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charts/chart35.xml" ContentType="application/vnd.openxmlformats-officedocument.drawingml.chart+xml"/>
  <Override PartName="/word/theme/themeOverride35.xml" ContentType="application/vnd.openxmlformats-officedocument.themeOverride+xml"/>
  <Override PartName="/word/charts/chart36.xml" ContentType="application/vnd.openxmlformats-officedocument.drawingml.chart+xml"/>
  <Override PartName="/word/theme/themeOverride36.xml" ContentType="application/vnd.openxmlformats-officedocument.themeOverride+xml"/>
  <Override PartName="/word/charts/chart37.xml" ContentType="application/vnd.openxmlformats-officedocument.drawingml.chart+xml"/>
  <Override PartName="/word/theme/themeOverride37.xml" ContentType="application/vnd.openxmlformats-officedocument.themeOverride+xml"/>
  <Override PartName="/word/charts/chart38.xml" ContentType="application/vnd.openxmlformats-officedocument.drawingml.chart+xml"/>
  <Override PartName="/word/theme/themeOverride38.xml" ContentType="application/vnd.openxmlformats-officedocument.themeOverride+xml"/>
  <Override PartName="/word/charts/chart39.xml" ContentType="application/vnd.openxmlformats-officedocument.drawingml.chart+xml"/>
  <Override PartName="/word/theme/themeOverride39.xml" ContentType="application/vnd.openxmlformats-officedocument.themeOverride+xml"/>
  <Override PartName="/word/charts/chart40.xml" ContentType="application/vnd.openxmlformats-officedocument.drawingml.chart+xml"/>
  <Override PartName="/word/theme/themeOverride40.xml" ContentType="application/vnd.openxmlformats-officedocument.themeOverride+xml"/>
  <Override PartName="/word/charts/chart41.xml" ContentType="application/vnd.openxmlformats-officedocument.drawingml.chart+xml"/>
  <Override PartName="/word/theme/themeOverride41.xml" ContentType="application/vnd.openxmlformats-officedocument.themeOverride+xml"/>
  <Override PartName="/word/charts/chart42.xml" ContentType="application/vnd.openxmlformats-officedocument.drawingml.chart+xml"/>
  <Override PartName="/word/theme/themeOverride42.xml" ContentType="application/vnd.openxmlformats-officedocument.themeOverride+xml"/>
  <Override PartName="/word/charts/chart43.xml" ContentType="application/vnd.openxmlformats-officedocument.drawingml.chart+xml"/>
  <Override PartName="/word/theme/themeOverride43.xml" ContentType="application/vnd.openxmlformats-officedocument.themeOverride+xml"/>
  <Override PartName="/word/charts/chart44.xml" ContentType="application/vnd.openxmlformats-officedocument.drawingml.chart+xml"/>
  <Override PartName="/word/theme/themeOverride44.xml" ContentType="application/vnd.openxmlformats-officedocument.themeOverride+xml"/>
  <Override PartName="/word/charts/chart45.xml" ContentType="application/vnd.openxmlformats-officedocument.drawingml.chart+xml"/>
  <Override PartName="/word/theme/themeOverride45.xml" ContentType="application/vnd.openxmlformats-officedocument.themeOverride+xml"/>
  <Override PartName="/word/charts/chart46.xml" ContentType="application/vnd.openxmlformats-officedocument.drawingml.chart+xml"/>
  <Override PartName="/word/theme/themeOverride46.xml" ContentType="application/vnd.openxmlformats-officedocument.themeOverride+xml"/>
  <Override PartName="/word/charts/chart47.xml" ContentType="application/vnd.openxmlformats-officedocument.drawingml.chart+xml"/>
  <Override PartName="/word/theme/themeOverride47.xml" ContentType="application/vnd.openxmlformats-officedocument.themeOverride+xml"/>
  <Override PartName="/word/charts/chart48.xml" ContentType="application/vnd.openxmlformats-officedocument.drawingml.chart+xml"/>
  <Override PartName="/word/theme/themeOverride48.xml" ContentType="application/vnd.openxmlformats-officedocument.themeOverride+xml"/>
  <Override PartName="/word/charts/chart49.xml" ContentType="application/vnd.openxmlformats-officedocument.drawingml.chart+xml"/>
  <Override PartName="/word/theme/themeOverride49.xml" ContentType="application/vnd.openxmlformats-officedocument.themeOverride+xml"/>
  <Override PartName="/word/charts/chart50.xml" ContentType="application/vnd.openxmlformats-officedocument.drawingml.chart+xml"/>
  <Override PartName="/word/theme/themeOverride50.xml" ContentType="application/vnd.openxmlformats-officedocument.themeOverride+xml"/>
  <Override PartName="/word/charts/chart51.xml" ContentType="application/vnd.openxmlformats-officedocument.drawingml.chart+xml"/>
  <Override PartName="/word/theme/themeOverride51.xml" ContentType="application/vnd.openxmlformats-officedocument.themeOverride+xml"/>
  <Override PartName="/word/charts/chart52.xml" ContentType="application/vnd.openxmlformats-officedocument.drawingml.chart+xml"/>
  <Override PartName="/word/theme/themeOverride52.xml" ContentType="application/vnd.openxmlformats-officedocument.themeOverride+xml"/>
  <Override PartName="/word/charts/chart53.xml" ContentType="application/vnd.openxmlformats-officedocument.drawingml.chart+xml"/>
  <Override PartName="/word/theme/themeOverride53.xml" ContentType="application/vnd.openxmlformats-officedocument.themeOverride+xml"/>
  <Override PartName="/word/charts/chart54.xml" ContentType="application/vnd.openxmlformats-officedocument.drawingml.chart+xml"/>
  <Override PartName="/word/theme/themeOverride54.xml" ContentType="application/vnd.openxmlformats-officedocument.themeOverride+xml"/>
  <Override PartName="/word/charts/chart55.xml" ContentType="application/vnd.openxmlformats-officedocument.drawingml.chart+xml"/>
  <Override PartName="/word/theme/themeOverride55.xml" ContentType="application/vnd.openxmlformats-officedocument.themeOverride+xml"/>
  <Override PartName="/word/charts/chart56.xml" ContentType="application/vnd.openxmlformats-officedocument.drawingml.chart+xml"/>
  <Override PartName="/word/theme/themeOverride56.xml" ContentType="application/vnd.openxmlformats-officedocument.themeOverride+xml"/>
  <Override PartName="/word/charts/chart57.xml" ContentType="application/vnd.openxmlformats-officedocument.drawingml.chart+xml"/>
  <Override PartName="/word/theme/themeOverride57.xml" ContentType="application/vnd.openxmlformats-officedocument.themeOverride+xml"/>
  <Override PartName="/word/charts/chart58.xml" ContentType="application/vnd.openxmlformats-officedocument.drawingml.chart+xml"/>
  <Override PartName="/word/theme/themeOverride58.xml" ContentType="application/vnd.openxmlformats-officedocument.themeOverride+xml"/>
  <Override PartName="/word/charts/chart59.xml" ContentType="application/vnd.openxmlformats-officedocument.drawingml.chart+xml"/>
  <Override PartName="/word/theme/themeOverride59.xml" ContentType="application/vnd.openxmlformats-officedocument.themeOverride+xml"/>
  <Override PartName="/word/charts/chart60.xml" ContentType="application/vnd.openxmlformats-officedocument.drawingml.chart+xml"/>
  <Override PartName="/word/theme/themeOverride60.xml" ContentType="application/vnd.openxmlformats-officedocument.themeOverride+xml"/>
  <Override PartName="/word/charts/chart61.xml" ContentType="application/vnd.openxmlformats-officedocument.drawingml.chart+xml"/>
  <Override PartName="/word/theme/themeOverride61.xml" ContentType="application/vnd.openxmlformats-officedocument.themeOverride+xml"/>
  <Override PartName="/word/charts/chart62.xml" ContentType="application/vnd.openxmlformats-officedocument.drawingml.chart+xml"/>
  <Override PartName="/word/theme/themeOverride62.xml" ContentType="application/vnd.openxmlformats-officedocument.themeOverride+xml"/>
  <Override PartName="/word/charts/chart63.xml" ContentType="application/vnd.openxmlformats-officedocument.drawingml.chart+xml"/>
  <Override PartName="/word/theme/themeOverride63.xml" ContentType="application/vnd.openxmlformats-officedocument.themeOverride+xml"/>
  <Override PartName="/word/charts/chart64.xml" ContentType="application/vnd.openxmlformats-officedocument.drawingml.chart+xml"/>
  <Override PartName="/word/theme/themeOverride64.xml" ContentType="application/vnd.openxmlformats-officedocument.themeOverride+xml"/>
  <Override PartName="/word/charts/chart65.xml" ContentType="application/vnd.openxmlformats-officedocument.drawingml.chart+xml"/>
  <Override PartName="/word/theme/themeOverride65.xml" ContentType="application/vnd.openxmlformats-officedocument.themeOverride+xml"/>
  <Override PartName="/word/charts/chart66.xml" ContentType="application/vnd.openxmlformats-officedocument.drawingml.chart+xml"/>
  <Override PartName="/word/theme/themeOverride66.xml" ContentType="application/vnd.openxmlformats-officedocument.themeOverride+xml"/>
  <Override PartName="/word/charts/chart67.xml" ContentType="application/vnd.openxmlformats-officedocument.drawingml.chart+xml"/>
  <Override PartName="/word/theme/themeOverride67.xml" ContentType="application/vnd.openxmlformats-officedocument.themeOverride+xml"/>
  <Override PartName="/word/charts/chart68.xml" ContentType="application/vnd.openxmlformats-officedocument.drawingml.chart+xml"/>
  <Override PartName="/word/theme/themeOverride68.xml" ContentType="application/vnd.openxmlformats-officedocument.themeOverride+xml"/>
  <Override PartName="/word/charts/chart69.xml" ContentType="application/vnd.openxmlformats-officedocument.drawingml.chart+xml"/>
  <Override PartName="/word/theme/themeOverride69.xml" ContentType="application/vnd.openxmlformats-officedocument.themeOverride+xml"/>
  <Override PartName="/word/charts/chart70.xml" ContentType="application/vnd.openxmlformats-officedocument.drawingml.chart+xml"/>
  <Override PartName="/word/theme/themeOverride70.xml" ContentType="application/vnd.openxmlformats-officedocument.themeOverride+xml"/>
  <Override PartName="/word/charts/chart71.xml" ContentType="application/vnd.openxmlformats-officedocument.drawingml.chart+xml"/>
  <Override PartName="/word/theme/themeOverride71.xml" ContentType="application/vnd.openxmlformats-officedocument.themeOverride+xml"/>
  <Override PartName="/word/charts/chart72.xml" ContentType="application/vnd.openxmlformats-officedocument.drawingml.chart+xml"/>
  <Override PartName="/word/theme/themeOverride72.xml" ContentType="application/vnd.openxmlformats-officedocument.themeOverride+xml"/>
  <Override PartName="/word/charts/chart73.xml" ContentType="application/vnd.openxmlformats-officedocument.drawingml.chart+xml"/>
  <Override PartName="/word/theme/themeOverride73.xml" ContentType="application/vnd.openxmlformats-officedocument.themeOverride+xml"/>
  <Override PartName="/word/charts/chart74.xml" ContentType="application/vnd.openxmlformats-officedocument.drawingml.chart+xml"/>
  <Override PartName="/word/theme/themeOverride74.xml" ContentType="application/vnd.openxmlformats-officedocument.themeOverride+xml"/>
  <Override PartName="/word/charts/chart75.xml" ContentType="application/vnd.openxmlformats-officedocument.drawingml.chart+xml"/>
  <Override PartName="/word/theme/themeOverride75.xml" ContentType="application/vnd.openxmlformats-officedocument.themeOverride+xml"/>
  <Override PartName="/word/charts/chart76.xml" ContentType="application/vnd.openxmlformats-officedocument.drawingml.chart+xml"/>
  <Override PartName="/word/theme/themeOverride76.xml" ContentType="application/vnd.openxmlformats-officedocument.themeOverride+xml"/>
  <Override PartName="/word/charts/chart77.xml" ContentType="application/vnd.openxmlformats-officedocument.drawingml.chart+xml"/>
  <Override PartName="/word/theme/themeOverride77.xml" ContentType="application/vnd.openxmlformats-officedocument.themeOverride+xml"/>
  <Override PartName="/word/charts/chart78.xml" ContentType="application/vnd.openxmlformats-officedocument.drawingml.chart+xml"/>
  <Override PartName="/word/theme/themeOverride78.xml" ContentType="application/vnd.openxmlformats-officedocument.themeOverride+xml"/>
  <Override PartName="/word/charts/chart79.xml" ContentType="application/vnd.openxmlformats-officedocument.drawingml.chart+xml"/>
  <Override PartName="/word/theme/themeOverride79.xml" ContentType="application/vnd.openxmlformats-officedocument.themeOverride+xml"/>
  <Override PartName="/word/charts/chart80.xml" ContentType="application/vnd.openxmlformats-officedocument.drawingml.chart+xml"/>
  <Override PartName="/word/theme/themeOverride80.xml" ContentType="application/vnd.openxmlformats-officedocument.themeOverride+xml"/>
  <Override PartName="/word/charts/chart81.xml" ContentType="application/vnd.openxmlformats-officedocument.drawingml.chart+xml"/>
  <Override PartName="/word/theme/themeOverride81.xml" ContentType="application/vnd.openxmlformats-officedocument.themeOverride+xml"/>
  <Override PartName="/word/charts/chart82.xml" ContentType="application/vnd.openxmlformats-officedocument.drawingml.chart+xml"/>
  <Override PartName="/word/theme/themeOverride82.xml" ContentType="application/vnd.openxmlformats-officedocument.themeOverride+xml"/>
  <Override PartName="/word/charts/chart83.xml" ContentType="application/vnd.openxmlformats-officedocument.drawingml.chart+xml"/>
  <Override PartName="/word/theme/themeOverride83.xml" ContentType="application/vnd.openxmlformats-officedocument.themeOverride+xml"/>
  <Override PartName="/word/charts/chart84.xml" ContentType="application/vnd.openxmlformats-officedocument.drawingml.chart+xml"/>
  <Override PartName="/word/theme/themeOverride84.xml" ContentType="application/vnd.openxmlformats-officedocument.themeOverride+xml"/>
  <Override PartName="/word/charts/chart85.xml" ContentType="application/vnd.openxmlformats-officedocument.drawingml.chart+xml"/>
  <Override PartName="/word/theme/themeOverride85.xml" ContentType="application/vnd.openxmlformats-officedocument.themeOverride+xml"/>
  <Override PartName="/word/charts/chart86.xml" ContentType="application/vnd.openxmlformats-officedocument.drawingml.chart+xml"/>
  <Override PartName="/word/theme/themeOverride86.xml" ContentType="application/vnd.openxmlformats-officedocument.themeOverride+xml"/>
  <Override PartName="/word/charts/chart87.xml" ContentType="application/vnd.openxmlformats-officedocument.drawingml.chart+xml"/>
  <Override PartName="/word/theme/themeOverride87.xml" ContentType="application/vnd.openxmlformats-officedocument.themeOverride+xml"/>
  <Override PartName="/word/charts/chart88.xml" ContentType="application/vnd.openxmlformats-officedocument.drawingml.chart+xml"/>
  <Override PartName="/word/theme/themeOverride88.xml" ContentType="application/vnd.openxmlformats-officedocument.themeOverride+xml"/>
  <Override PartName="/word/charts/chart89.xml" ContentType="application/vnd.openxmlformats-officedocument.drawingml.chart+xml"/>
  <Override PartName="/word/theme/themeOverride89.xml" ContentType="application/vnd.openxmlformats-officedocument.themeOverride+xml"/>
  <Override PartName="/word/charts/chart90.xml" ContentType="application/vnd.openxmlformats-officedocument.drawingml.chart+xml"/>
  <Override PartName="/word/theme/themeOverride90.xml" ContentType="application/vnd.openxmlformats-officedocument.themeOverride+xml"/>
  <Override PartName="/word/charts/chart91.xml" ContentType="application/vnd.openxmlformats-officedocument.drawingml.chart+xml"/>
  <Override PartName="/word/theme/themeOverride91.xml" ContentType="application/vnd.openxmlformats-officedocument.themeOverride+xml"/>
  <Override PartName="/word/charts/chart92.xml" ContentType="application/vnd.openxmlformats-officedocument.drawingml.chart+xml"/>
  <Override PartName="/word/theme/themeOverride92.xml" ContentType="application/vnd.openxmlformats-officedocument.themeOverride+xml"/>
  <Override PartName="/word/charts/chart93.xml" ContentType="application/vnd.openxmlformats-officedocument.drawingml.chart+xml"/>
  <Override PartName="/word/theme/themeOverride93.xml" ContentType="application/vnd.openxmlformats-officedocument.themeOverride+xml"/>
  <Override PartName="/word/charts/chart94.xml" ContentType="application/vnd.openxmlformats-officedocument.drawingml.chart+xml"/>
  <Override PartName="/word/theme/themeOverride94.xml" ContentType="application/vnd.openxmlformats-officedocument.themeOverride+xml"/>
  <Override PartName="/word/charts/chart95.xml" ContentType="application/vnd.openxmlformats-officedocument.drawingml.chart+xml"/>
  <Override PartName="/word/theme/themeOverride95.xml" ContentType="application/vnd.openxmlformats-officedocument.themeOverride+xml"/>
  <Override PartName="/word/charts/chart96.xml" ContentType="application/vnd.openxmlformats-officedocument.drawingml.chart+xml"/>
  <Override PartName="/word/theme/themeOverride96.xml" ContentType="application/vnd.openxmlformats-officedocument.themeOverride+xml"/>
  <Override PartName="/word/charts/chart97.xml" ContentType="application/vnd.openxmlformats-officedocument.drawingml.chart+xml"/>
  <Override PartName="/word/theme/themeOverride97.xml" ContentType="application/vnd.openxmlformats-officedocument.themeOverride+xml"/>
  <Override PartName="/word/charts/chart98.xml" ContentType="application/vnd.openxmlformats-officedocument.drawingml.chart+xml"/>
  <Override PartName="/word/theme/themeOverride98.xml" ContentType="application/vnd.openxmlformats-officedocument.themeOverride+xml"/>
  <Override PartName="/word/charts/chart99.xml" ContentType="application/vnd.openxmlformats-officedocument.drawingml.chart+xml"/>
  <Override PartName="/word/theme/themeOverride99.xml" ContentType="application/vnd.openxmlformats-officedocument.themeOverride+xml"/>
  <Override PartName="/word/charts/chart100.xml" ContentType="application/vnd.openxmlformats-officedocument.drawingml.chart+xml"/>
  <Override PartName="/word/theme/themeOverride100.xml" ContentType="application/vnd.openxmlformats-officedocument.themeOverride+xml"/>
  <Override PartName="/word/charts/chart101.xml" ContentType="application/vnd.openxmlformats-officedocument.drawingml.chart+xml"/>
  <Override PartName="/word/theme/themeOverride101.xml" ContentType="application/vnd.openxmlformats-officedocument.themeOverride+xml"/>
  <Override PartName="/word/charts/chart102.xml" ContentType="application/vnd.openxmlformats-officedocument.drawingml.chart+xml"/>
  <Override PartName="/word/theme/themeOverride102.xml" ContentType="application/vnd.openxmlformats-officedocument.themeOverride+xml"/>
  <Override PartName="/word/charts/chart103.xml" ContentType="application/vnd.openxmlformats-officedocument.drawingml.chart+xml"/>
  <Override PartName="/word/theme/themeOverride103.xml" ContentType="application/vnd.openxmlformats-officedocument.themeOverride+xml"/>
  <Override PartName="/word/charts/chart104.xml" ContentType="application/vnd.openxmlformats-officedocument.drawingml.chart+xml"/>
  <Override PartName="/word/theme/themeOverride104.xml" ContentType="application/vnd.openxmlformats-officedocument.themeOverride+xml"/>
  <Override PartName="/word/charts/chart105.xml" ContentType="application/vnd.openxmlformats-officedocument.drawingml.chart+xml"/>
  <Override PartName="/word/theme/themeOverride105.xml" ContentType="application/vnd.openxmlformats-officedocument.themeOverride+xml"/>
  <Override PartName="/word/charts/chart106.xml" ContentType="application/vnd.openxmlformats-officedocument.drawingml.chart+xml"/>
  <Override PartName="/word/theme/themeOverride106.xml" ContentType="application/vnd.openxmlformats-officedocument.themeOverride+xml"/>
  <Override PartName="/word/charts/chart107.xml" ContentType="application/vnd.openxmlformats-officedocument.drawingml.chart+xml"/>
  <Override PartName="/word/theme/themeOverride107.xml" ContentType="application/vnd.openxmlformats-officedocument.themeOverride+xml"/>
  <Override PartName="/word/charts/chart108.xml" ContentType="application/vnd.openxmlformats-officedocument.drawingml.chart+xml"/>
  <Override PartName="/word/charts/chart109.xml" ContentType="application/vnd.openxmlformats-officedocument.drawingml.chart+xml"/>
  <Override PartName="/word/theme/themeOverride108.xml" ContentType="application/vnd.openxmlformats-officedocument.themeOverride+xml"/>
  <Override PartName="/word/charts/chart110.xml" ContentType="application/vnd.openxmlformats-officedocument.drawingml.chart+xml"/>
  <Override PartName="/word/theme/themeOverride109.xml" ContentType="application/vnd.openxmlformats-officedocument.themeOverride+xml"/>
  <Override PartName="/word/charts/chart111.xml" ContentType="application/vnd.openxmlformats-officedocument.drawingml.chart+xml"/>
  <Override PartName="/word/theme/themeOverride110.xml" ContentType="application/vnd.openxmlformats-officedocument.themeOverride+xml"/>
  <Override PartName="/word/charts/chart112.xml" ContentType="application/vnd.openxmlformats-officedocument.drawingml.chart+xml"/>
  <Override PartName="/word/theme/themeOverride111.xml" ContentType="application/vnd.openxmlformats-officedocument.themeOverride+xml"/>
  <Override PartName="/word/charts/chart113.xml" ContentType="application/vnd.openxmlformats-officedocument.drawingml.chart+xml"/>
  <Override PartName="/word/theme/themeOverride112.xml" ContentType="application/vnd.openxmlformats-officedocument.themeOverride+xml"/>
  <Override PartName="/word/charts/chart114.xml" ContentType="application/vnd.openxmlformats-officedocument.drawingml.chart+xml"/>
  <Override PartName="/word/theme/themeOverride113.xml" ContentType="application/vnd.openxmlformats-officedocument.themeOverride+xml"/>
  <Override PartName="/word/charts/chart115.xml" ContentType="application/vnd.openxmlformats-officedocument.drawingml.chart+xml"/>
  <Override PartName="/word/theme/themeOverride114.xml" ContentType="application/vnd.openxmlformats-officedocument.themeOverride+xml"/>
  <Override PartName="/word/charts/chart116.xml" ContentType="application/vnd.openxmlformats-officedocument.drawingml.chart+xml"/>
  <Override PartName="/word/theme/themeOverride115.xml" ContentType="application/vnd.openxmlformats-officedocument.themeOverride+xml"/>
  <Override PartName="/word/charts/chart117.xml" ContentType="application/vnd.openxmlformats-officedocument.drawingml.chart+xml"/>
  <Override PartName="/word/theme/themeOverride116.xml" ContentType="application/vnd.openxmlformats-officedocument.themeOverride+xml"/>
  <Override PartName="/word/charts/chart118.xml" ContentType="application/vnd.openxmlformats-officedocument.drawingml.chart+xml"/>
  <Override PartName="/word/theme/themeOverride11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219510519"/>
        <w:docPartObj>
          <w:docPartGallery w:val="Cover Pages"/>
          <w:docPartUnique/>
        </w:docPartObj>
      </w:sdtPr>
      <w:sdtEndPr>
        <w:rPr>
          <w:rFonts w:asciiTheme="majorHAnsi" w:eastAsiaTheme="majorEastAsia" w:hAnsiTheme="majorHAnsi" w:cstheme="majorBidi"/>
          <w:sz w:val="80"/>
          <w:szCs w:val="80"/>
        </w:rPr>
      </w:sdtEndPr>
      <w:sdtContent>
        <w:p w:rsidR="00852F3F" w:rsidRPr="00AA69EF" w:rsidRDefault="00661877">
          <w:r>
            <w:rPr>
              <w:noProof/>
              <w:color w:val="FFFFFF" w:themeColor="background1"/>
            </w:rPr>
            <mc:AlternateContent>
              <mc:Choice Requires="wps">
                <w:drawing>
                  <wp:anchor distT="0" distB="0" distL="114300" distR="114300" simplePos="0" relativeHeight="251656192" behindDoc="0" locked="0" layoutInCell="1" allowOverlap="1" wp14:anchorId="71AEF7F7" wp14:editId="606BAAC7">
                    <wp:simplePos x="0" y="0"/>
                    <wp:positionH relativeFrom="column">
                      <wp:posOffset>228600</wp:posOffset>
                    </wp:positionH>
                    <wp:positionV relativeFrom="paragraph">
                      <wp:posOffset>133350</wp:posOffset>
                    </wp:positionV>
                    <wp:extent cx="4486275" cy="1219200"/>
                    <wp:effectExtent l="0" t="0" r="9525" b="0"/>
                    <wp:wrapNone/>
                    <wp:docPr id="416" name="Rectangle 416"/>
                    <wp:cNvGraphicFramePr/>
                    <a:graphic xmlns:a="http://schemas.openxmlformats.org/drawingml/2006/main">
                      <a:graphicData uri="http://schemas.microsoft.com/office/word/2010/wordprocessingShape">
                        <wps:wsp>
                          <wps:cNvSpPr/>
                          <wps:spPr>
                            <a:xfrm>
                              <a:off x="0" y="0"/>
                              <a:ext cx="4486275" cy="1219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64059F" w:rsidRDefault="0064059F" w:rsidP="009A6FC1">
                                <w:r>
                                  <w:rPr>
                                    <w:noProof/>
                                  </w:rPr>
                                  <w:drawing>
                                    <wp:inline distT="0" distB="0" distL="0" distR="0" wp14:anchorId="528C4F49" wp14:editId="5506A3C3">
                                      <wp:extent cx="933450" cy="923925"/>
                                      <wp:effectExtent l="0" t="0" r="0" b="9525"/>
                                      <wp:docPr id="417" name="Picture 417"/>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0" cy="923925"/>
                                              </a:xfrm>
                                              <a:prstGeom prst="rect">
                                                <a:avLst/>
                                              </a:prstGeom>
                                              <a:noFill/>
                                              <a:ln>
                                                <a:noFill/>
                                              </a:ln>
                                            </pic:spPr>
                                          </pic:pic>
                                        </a:graphicData>
                                      </a:graphic>
                                    </wp:inline>
                                  </w:drawing>
                                </w:r>
                                <w:r>
                                  <w:t xml:space="preserve">                                                           </w:t>
                                </w:r>
                                <w:r>
                                  <w:rPr>
                                    <w:noProof/>
                                  </w:rPr>
                                  <w:drawing>
                                    <wp:inline distT="0" distB="0" distL="0" distR="0" wp14:anchorId="2AB0ADCE" wp14:editId="74618AA9">
                                      <wp:extent cx="1362075" cy="1009650"/>
                                      <wp:effectExtent l="0" t="0" r="9525" b="0"/>
                                      <wp:docPr id="118" name="Picture 118" descr="C:\Users\AKM\AppData\Local\Microsoft\Windows\INetCache\Content.MSO\2F461D9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M\AppData\Local\Microsoft\Windows\INetCache\Content.MSO\2F461D9F.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2075" cy="10096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EF7F7" id="Rectangle 416" o:spid="_x0000_s1026" style="position:absolute;margin-left:18pt;margin-top:10.5pt;width:353.25pt;height: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" fillcolor="white [3201]" stroked="f" strokeweight="1pt">
                    <v:textbox>
                      <w:txbxContent>
                        <w:p w:rsidR="0064059F" w:rsidRDefault="0064059F" w:rsidP="009A6FC1">
                          <w:r>
                            <w:rPr>
                              <w:noProof/>
                            </w:rPr>
                            <w:drawing>
                              <wp:inline distT="0" distB="0" distL="0" distR="0" wp14:anchorId="528C4F49" wp14:editId="5506A3C3">
                                <wp:extent cx="933450" cy="923925"/>
                                <wp:effectExtent l="0" t="0" r="0" b="9525"/>
                                <wp:docPr id="417" name="Picture 417"/>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0" cy="923925"/>
                                        </a:xfrm>
                                        <a:prstGeom prst="rect">
                                          <a:avLst/>
                                        </a:prstGeom>
                                        <a:noFill/>
                                        <a:ln>
                                          <a:noFill/>
                                        </a:ln>
                                      </pic:spPr>
                                    </pic:pic>
                                  </a:graphicData>
                                </a:graphic>
                              </wp:inline>
                            </w:drawing>
                          </w:r>
                          <w:r>
                            <w:t xml:space="preserve">                                                           </w:t>
                          </w:r>
                          <w:r>
                            <w:rPr>
                              <w:noProof/>
                            </w:rPr>
                            <w:drawing>
                              <wp:inline distT="0" distB="0" distL="0" distR="0" wp14:anchorId="2AB0ADCE" wp14:editId="74618AA9">
                                <wp:extent cx="1362075" cy="1009650"/>
                                <wp:effectExtent l="0" t="0" r="9525" b="0"/>
                                <wp:docPr id="118" name="Picture 118" descr="C:\Users\AKM\AppData\Local\Microsoft\Windows\INetCache\Content.MSO\2F461D9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M\AppData\Local\Microsoft\Windows\INetCache\Content.MSO\2F461D9F.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2075" cy="1009650"/>
                                        </a:xfrm>
                                        <a:prstGeom prst="rect">
                                          <a:avLst/>
                                        </a:prstGeom>
                                        <a:noFill/>
                                        <a:ln>
                                          <a:noFill/>
                                        </a:ln>
                                      </pic:spPr>
                                    </pic:pic>
                                  </a:graphicData>
                                </a:graphic>
                              </wp:inline>
                            </w:drawing>
                          </w:r>
                        </w:p>
                      </w:txbxContent>
                    </v:textbox>
                  </v:rect>
                </w:pict>
              </mc:Fallback>
            </mc:AlternateContent>
          </w:r>
          <w:r>
            <w:rPr>
              <w:noProof/>
              <w:color w:val="FFFFFF" w:themeColor="background1"/>
            </w:rPr>
            <mc:AlternateContent>
              <mc:Choice Requires="wps">
                <w:drawing>
                  <wp:anchor distT="0" distB="0" distL="114300" distR="114300" simplePos="0" relativeHeight="251658240" behindDoc="0" locked="0" layoutInCell="1" allowOverlap="1">
                    <wp:simplePos x="0" y="0"/>
                    <wp:positionH relativeFrom="column">
                      <wp:posOffset>1905000</wp:posOffset>
                    </wp:positionH>
                    <wp:positionV relativeFrom="paragraph">
                      <wp:posOffset>8172450</wp:posOffset>
                    </wp:positionV>
                    <wp:extent cx="2219325" cy="180975"/>
                    <wp:effectExtent l="0" t="0" r="28575" b="28575"/>
                    <wp:wrapNone/>
                    <wp:docPr id="103" name="Rectangle 103"/>
                    <wp:cNvGraphicFramePr/>
                    <a:graphic xmlns:a="http://schemas.openxmlformats.org/drawingml/2006/main">
                      <a:graphicData uri="http://schemas.microsoft.com/office/word/2010/wordprocessingShape">
                        <wps:wsp>
                          <wps:cNvSpPr/>
                          <wps:spPr>
                            <a:xfrm>
                              <a:off x="0" y="0"/>
                              <a:ext cx="2219325" cy="180975"/>
                            </a:xfrm>
                            <a:prstGeom prst="rect">
                              <a:avLst/>
                            </a:prstGeom>
                            <a:solidFill>
                              <a:srgbClr val="130C7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F15BC" id="Rectangle 103" o:spid="_x0000_s1026" style="position:absolute;margin-left:150pt;margin-top:643.5pt;width:174.7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" fillcolor="#130c72" strokecolor="#1f4d78 [1604]" strokeweight="1pt"/>
                </w:pict>
              </mc:Fallback>
            </mc:AlternateContent>
          </w:r>
          <w:r w:rsidR="00AA69EF">
            <w:rPr>
              <w:noProof/>
              <w:color w:val="FFFFFF" w:themeColor="background1"/>
            </w:rPr>
            <w:drawing>
              <wp:inline distT="0" distB="0" distL="0" distR="0" wp14:anchorId="1D836B4A" wp14:editId="55B7A4F0">
                <wp:extent cx="6096000" cy="8391525"/>
                <wp:effectExtent l="0" t="0" r="0" b="9525"/>
                <wp:docPr id="415" name="Picture 415" descr="C:\Users\C.S.T\Downloads\file_00000000f1e87246948888ca3f7fa1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C.S.T\Downloads\file_00000000f1e87246948888ca3f7fa19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8391525"/>
                        </a:xfrm>
                        <a:prstGeom prst="rect">
                          <a:avLst/>
                        </a:prstGeom>
                        <a:noFill/>
                        <a:ln>
                          <a:noFill/>
                        </a:ln>
                      </pic:spPr>
                    </pic:pic>
                  </a:graphicData>
                </a:graphic>
              </wp:inline>
            </w:drawing>
          </w:r>
        </w:p>
      </w:sdtContent>
    </w:sdt>
    <w:p w:rsidR="004F1F86" w:rsidRPr="004F1F86" w:rsidRDefault="004F1F86" w:rsidP="005D749D">
      <w:pPr>
        <w:jc w:val="center"/>
        <w:rPr>
          <w:b/>
          <w:sz w:val="24"/>
          <w:szCs w:val="24"/>
        </w:rPr>
      </w:pPr>
    </w:p>
    <w:p w:rsidR="004F1F86" w:rsidRPr="004F1F86" w:rsidRDefault="004F1F86" w:rsidP="005D749D">
      <w:pPr>
        <w:jc w:val="center"/>
        <w:rPr>
          <w:b/>
          <w:sz w:val="24"/>
          <w:szCs w:val="24"/>
        </w:rPr>
      </w:pPr>
    </w:p>
    <w:p w:rsidR="00623566" w:rsidRDefault="00623566" w:rsidP="005D749D">
      <w:pPr>
        <w:jc w:val="center"/>
        <w:rPr>
          <w:b/>
          <w:sz w:val="24"/>
          <w:szCs w:val="24"/>
        </w:rPr>
      </w:pPr>
    </w:p>
    <w:p w:rsidR="00623566" w:rsidRDefault="00623566" w:rsidP="005D749D">
      <w:pPr>
        <w:jc w:val="center"/>
        <w:rPr>
          <w:b/>
          <w:sz w:val="24"/>
          <w:szCs w:val="24"/>
        </w:rPr>
      </w:pPr>
    </w:p>
    <w:p w:rsidR="00623566" w:rsidRDefault="00623566" w:rsidP="005D749D">
      <w:pPr>
        <w:jc w:val="center"/>
        <w:rPr>
          <w:b/>
          <w:sz w:val="24"/>
          <w:szCs w:val="24"/>
        </w:rPr>
      </w:pPr>
    </w:p>
    <w:p w:rsidR="00623566" w:rsidRDefault="00623566" w:rsidP="005D749D">
      <w:pPr>
        <w:jc w:val="center"/>
        <w:rPr>
          <w:b/>
          <w:color w:val="BF8F00" w:themeColor="accent4" w:themeShade="BF"/>
          <w:sz w:val="24"/>
          <w:szCs w:val="24"/>
        </w:rPr>
      </w:pPr>
    </w:p>
    <w:p w:rsidR="000F7D36" w:rsidRDefault="000F7D36" w:rsidP="005D749D">
      <w:pPr>
        <w:jc w:val="center"/>
        <w:rPr>
          <w:b/>
          <w:color w:val="BF8F00" w:themeColor="accent4" w:themeShade="BF"/>
          <w:sz w:val="24"/>
          <w:szCs w:val="24"/>
        </w:rPr>
      </w:pPr>
    </w:p>
    <w:p w:rsidR="000F7D36" w:rsidRPr="0035511C" w:rsidRDefault="000F7D36" w:rsidP="005D749D">
      <w:pPr>
        <w:jc w:val="center"/>
        <w:rPr>
          <w:b/>
          <w:color w:val="BF8F00" w:themeColor="accent4" w:themeShade="BF"/>
          <w:sz w:val="24"/>
          <w:szCs w:val="24"/>
        </w:rPr>
      </w:pPr>
    </w:p>
    <w:p w:rsidR="0088337B" w:rsidRPr="00AA69EF" w:rsidRDefault="009E1BE2" w:rsidP="005D749D">
      <w:pPr>
        <w:jc w:val="center"/>
        <w:rPr>
          <w:rFonts w:ascii="Times New Roman" w:hAnsi="Times New Roman" w:cs="Times New Roman"/>
          <w:b/>
          <w:color w:val="BF8F00" w:themeColor="accent4" w:themeShade="BF"/>
          <w:sz w:val="48"/>
          <w:szCs w:val="48"/>
        </w:rPr>
      </w:pPr>
      <w:r w:rsidRPr="00AA69EF">
        <w:rPr>
          <w:rFonts w:ascii="Times New Roman" w:hAnsi="Times New Roman" w:cs="Times New Roman"/>
          <w:b/>
          <w:color w:val="BF8F00" w:themeColor="accent4" w:themeShade="BF"/>
          <w:sz w:val="48"/>
          <w:szCs w:val="48"/>
        </w:rPr>
        <w:t>R</w:t>
      </w:r>
      <w:r w:rsidR="0088337B" w:rsidRPr="00AA69EF">
        <w:rPr>
          <w:rFonts w:ascii="Times New Roman" w:hAnsi="Times New Roman" w:cs="Times New Roman"/>
          <w:b/>
          <w:color w:val="BF8F00" w:themeColor="accent4" w:themeShade="BF"/>
          <w:sz w:val="48"/>
          <w:szCs w:val="48"/>
        </w:rPr>
        <w:t xml:space="preserve">aport i </w:t>
      </w:r>
      <w:r w:rsidRPr="00AA69EF">
        <w:rPr>
          <w:rFonts w:ascii="Times New Roman" w:hAnsi="Times New Roman" w:cs="Times New Roman"/>
          <w:b/>
          <w:color w:val="BF8F00" w:themeColor="accent4" w:themeShade="BF"/>
          <w:sz w:val="48"/>
          <w:szCs w:val="48"/>
        </w:rPr>
        <w:t>G</w:t>
      </w:r>
      <w:r w:rsidR="0088337B" w:rsidRPr="00AA69EF">
        <w:rPr>
          <w:rFonts w:ascii="Times New Roman" w:hAnsi="Times New Roman" w:cs="Times New Roman"/>
          <w:b/>
          <w:color w:val="BF8F00" w:themeColor="accent4" w:themeShade="BF"/>
          <w:sz w:val="48"/>
          <w:szCs w:val="48"/>
        </w:rPr>
        <w:t xml:space="preserve">jendjes në </w:t>
      </w:r>
      <w:r w:rsidRPr="00AA69EF">
        <w:rPr>
          <w:rFonts w:ascii="Times New Roman" w:hAnsi="Times New Roman" w:cs="Times New Roman"/>
          <w:b/>
          <w:color w:val="BF8F00" w:themeColor="accent4" w:themeShade="BF"/>
          <w:sz w:val="48"/>
          <w:szCs w:val="48"/>
        </w:rPr>
        <w:t>M</w:t>
      </w:r>
      <w:r w:rsidR="0088337B" w:rsidRPr="00AA69EF">
        <w:rPr>
          <w:rFonts w:ascii="Times New Roman" w:hAnsi="Times New Roman" w:cs="Times New Roman"/>
          <w:b/>
          <w:color w:val="BF8F00" w:themeColor="accent4" w:themeShade="BF"/>
          <w:sz w:val="48"/>
          <w:szCs w:val="48"/>
        </w:rPr>
        <w:t xml:space="preserve">jedis </w:t>
      </w:r>
    </w:p>
    <w:p w:rsidR="00D21581" w:rsidRPr="00AA69EF" w:rsidRDefault="009E1BE2" w:rsidP="005D749D">
      <w:pPr>
        <w:jc w:val="center"/>
        <w:rPr>
          <w:rFonts w:ascii="Times New Roman" w:hAnsi="Times New Roman" w:cs="Times New Roman"/>
          <w:b/>
          <w:color w:val="BF8F00" w:themeColor="accent4" w:themeShade="BF"/>
          <w:sz w:val="48"/>
          <w:szCs w:val="48"/>
        </w:rPr>
      </w:pPr>
      <w:r w:rsidRPr="00AA69EF">
        <w:rPr>
          <w:rFonts w:ascii="Times New Roman" w:hAnsi="Times New Roman" w:cs="Times New Roman"/>
          <w:b/>
          <w:color w:val="BF8F00" w:themeColor="accent4" w:themeShade="BF"/>
          <w:sz w:val="48"/>
          <w:szCs w:val="48"/>
        </w:rPr>
        <w:t xml:space="preserve"> 202</w:t>
      </w:r>
      <w:r w:rsidR="009773DA" w:rsidRPr="00AA69EF">
        <w:rPr>
          <w:rFonts w:ascii="Times New Roman" w:hAnsi="Times New Roman" w:cs="Times New Roman"/>
          <w:b/>
          <w:color w:val="BF8F00" w:themeColor="accent4" w:themeShade="BF"/>
          <w:sz w:val="48"/>
          <w:szCs w:val="48"/>
        </w:rPr>
        <w:t>5</w:t>
      </w:r>
    </w:p>
    <w:p w:rsidR="002E7797" w:rsidRPr="0035511C" w:rsidRDefault="002E7797" w:rsidP="005D749D">
      <w:pPr>
        <w:jc w:val="center"/>
        <w:rPr>
          <w:rFonts w:ascii="Times New Roman" w:hAnsi="Times New Roman" w:cs="Times New Roman"/>
          <w:b/>
          <w:color w:val="BF8F00" w:themeColor="accent4" w:themeShade="BF"/>
          <w:sz w:val="24"/>
          <w:szCs w:val="24"/>
        </w:rPr>
      </w:pPr>
    </w:p>
    <w:p w:rsidR="00595934" w:rsidRDefault="00595934">
      <w:pPr>
        <w:rPr>
          <w:sz w:val="24"/>
          <w:szCs w:val="24"/>
        </w:rPr>
      </w:pPr>
    </w:p>
    <w:p w:rsidR="00595934" w:rsidRDefault="00595934">
      <w:pPr>
        <w:rPr>
          <w:sz w:val="24"/>
          <w:szCs w:val="24"/>
        </w:rPr>
      </w:pPr>
    </w:p>
    <w:p w:rsidR="00595934" w:rsidRDefault="00595934">
      <w:pPr>
        <w:rPr>
          <w:sz w:val="24"/>
          <w:szCs w:val="24"/>
        </w:rPr>
      </w:pPr>
    </w:p>
    <w:p w:rsidR="00595934" w:rsidRDefault="00595934">
      <w:pPr>
        <w:rPr>
          <w:sz w:val="24"/>
          <w:szCs w:val="24"/>
        </w:rPr>
      </w:pPr>
    </w:p>
    <w:p w:rsidR="00595934" w:rsidRDefault="00595934">
      <w:pPr>
        <w:rPr>
          <w:sz w:val="24"/>
          <w:szCs w:val="24"/>
        </w:rPr>
      </w:pPr>
    </w:p>
    <w:p w:rsidR="00595934" w:rsidRDefault="00595934">
      <w:pPr>
        <w:rPr>
          <w:sz w:val="24"/>
          <w:szCs w:val="24"/>
        </w:rPr>
      </w:pPr>
    </w:p>
    <w:p w:rsidR="00595934" w:rsidRDefault="00595934">
      <w:pPr>
        <w:rPr>
          <w:sz w:val="24"/>
          <w:szCs w:val="24"/>
        </w:rPr>
      </w:pPr>
    </w:p>
    <w:p w:rsidR="00595934" w:rsidRDefault="00595934">
      <w:pPr>
        <w:rPr>
          <w:sz w:val="24"/>
          <w:szCs w:val="24"/>
        </w:rPr>
      </w:pPr>
    </w:p>
    <w:p w:rsidR="00595934" w:rsidRDefault="00595934">
      <w:pPr>
        <w:rPr>
          <w:sz w:val="24"/>
          <w:szCs w:val="24"/>
        </w:rPr>
      </w:pPr>
    </w:p>
    <w:p w:rsidR="00595934" w:rsidRPr="0035511C" w:rsidRDefault="0035511C">
      <w:pPr>
        <w:rPr>
          <w:rFonts w:ascii="Times New Roman" w:hAnsi="Times New Roman" w:cs="Times New Roman"/>
          <w:b/>
          <w:i/>
          <w:color w:val="BF8F00" w:themeColor="accent4" w:themeShade="BF"/>
          <w:sz w:val="24"/>
          <w:szCs w:val="24"/>
        </w:rPr>
      </w:pPr>
      <w:r w:rsidRPr="0035511C">
        <w:rPr>
          <w:rFonts w:ascii="Times New Roman" w:hAnsi="Times New Roman" w:cs="Times New Roman"/>
          <w:b/>
          <w:i/>
          <w:color w:val="BF8F00" w:themeColor="accent4" w:themeShade="BF"/>
          <w:sz w:val="24"/>
          <w:szCs w:val="24"/>
        </w:rPr>
        <w:t>Përgatitur dhe publikuar nga:</w:t>
      </w:r>
    </w:p>
    <w:p w:rsidR="0035511C" w:rsidRPr="0035511C" w:rsidRDefault="0035511C">
      <w:pPr>
        <w:rPr>
          <w:rFonts w:ascii="Times New Roman" w:hAnsi="Times New Roman" w:cs="Times New Roman"/>
          <w:b/>
          <w:i/>
          <w:color w:val="BF8F00" w:themeColor="accent4" w:themeShade="BF"/>
          <w:sz w:val="24"/>
          <w:szCs w:val="24"/>
        </w:rPr>
      </w:pPr>
    </w:p>
    <w:p w:rsidR="0035511C" w:rsidRPr="0035511C" w:rsidRDefault="0035511C">
      <w:pPr>
        <w:rPr>
          <w:rFonts w:ascii="Times New Roman" w:hAnsi="Times New Roman" w:cs="Times New Roman"/>
          <w:b/>
          <w:i/>
          <w:color w:val="BF8F00" w:themeColor="accent4" w:themeShade="BF"/>
          <w:sz w:val="24"/>
          <w:szCs w:val="24"/>
        </w:rPr>
      </w:pPr>
      <w:r w:rsidRPr="0035511C">
        <w:rPr>
          <w:rFonts w:ascii="Times New Roman" w:hAnsi="Times New Roman" w:cs="Times New Roman"/>
          <w:b/>
          <w:i/>
          <w:color w:val="BF8F00" w:themeColor="accent4" w:themeShade="BF"/>
          <w:sz w:val="24"/>
          <w:szCs w:val="24"/>
        </w:rPr>
        <w:t>Agjencia Kombëtare e Mjedisit</w:t>
      </w:r>
    </w:p>
    <w:p w:rsidR="00595934" w:rsidRPr="0035511C" w:rsidRDefault="00595934">
      <w:pPr>
        <w:rPr>
          <w:rFonts w:ascii="Times New Roman" w:hAnsi="Times New Roman" w:cs="Times New Roman"/>
          <w:b/>
          <w:i/>
          <w:color w:val="BF8F00" w:themeColor="accent4" w:themeShade="BF"/>
          <w:sz w:val="24"/>
          <w:szCs w:val="24"/>
        </w:rPr>
      </w:pPr>
    </w:p>
    <w:p w:rsidR="00595934" w:rsidRDefault="00595934">
      <w:pPr>
        <w:rPr>
          <w:sz w:val="24"/>
          <w:szCs w:val="24"/>
        </w:rPr>
      </w:pPr>
    </w:p>
    <w:p w:rsidR="00595934" w:rsidRDefault="00595934">
      <w:pPr>
        <w:rPr>
          <w:sz w:val="24"/>
          <w:szCs w:val="24"/>
        </w:rPr>
      </w:pPr>
    </w:p>
    <w:p w:rsidR="00A03454" w:rsidRPr="00AA69EF" w:rsidRDefault="00AA69EF">
      <w:pPr>
        <w:rPr>
          <w:rFonts w:ascii="Times New Roman" w:hAnsi="Times New Roman" w:cs="Times New Roman"/>
          <w:b/>
          <w:sz w:val="32"/>
          <w:szCs w:val="32"/>
        </w:rPr>
      </w:pPr>
      <w:r w:rsidRPr="00AA69EF">
        <w:rPr>
          <w:rFonts w:ascii="Times New Roman" w:hAnsi="Times New Roman" w:cs="Times New Roman"/>
          <w:b/>
          <w:sz w:val="32"/>
          <w:szCs w:val="32"/>
        </w:rPr>
        <w:t xml:space="preserve">                                                   </w:t>
      </w:r>
      <w:r w:rsidR="00A03454" w:rsidRPr="00AA69EF">
        <w:rPr>
          <w:rFonts w:ascii="Times New Roman" w:hAnsi="Times New Roman" w:cs="Times New Roman"/>
          <w:b/>
          <w:sz w:val="32"/>
          <w:szCs w:val="32"/>
        </w:rPr>
        <w:t>P</w:t>
      </w:r>
      <w:r w:rsidR="002E7797" w:rsidRPr="00AA69EF">
        <w:rPr>
          <w:rFonts w:ascii="Times New Roman" w:hAnsi="Times New Roman" w:cs="Times New Roman"/>
          <w:b/>
          <w:sz w:val="32"/>
          <w:szCs w:val="32"/>
        </w:rPr>
        <w:t>ë</w:t>
      </w:r>
      <w:r w:rsidR="00A03454" w:rsidRPr="00AA69EF">
        <w:rPr>
          <w:rFonts w:ascii="Times New Roman" w:hAnsi="Times New Roman" w:cs="Times New Roman"/>
          <w:b/>
          <w:sz w:val="32"/>
          <w:szCs w:val="32"/>
        </w:rPr>
        <w:t xml:space="preserve">rmbajtja </w:t>
      </w:r>
    </w:p>
    <w:p w:rsidR="00AA69EF" w:rsidRPr="0035511C" w:rsidRDefault="00AA69EF">
      <w:pPr>
        <w:rPr>
          <w:rFonts w:ascii="Times New Roman" w:hAnsi="Times New Roman" w:cs="Times New Roman"/>
          <w:b/>
          <w:sz w:val="28"/>
          <w:szCs w:val="28"/>
        </w:rPr>
      </w:pPr>
    </w:p>
    <w:p w:rsidR="006042F6" w:rsidRDefault="006042F6" w:rsidP="006042F6">
      <w:pPr>
        <w:rPr>
          <w:rFonts w:ascii="Times New Roman" w:hAnsi="Times New Roman" w:cs="Times New Roman"/>
          <w:b/>
        </w:rPr>
      </w:pPr>
      <w:r>
        <w:rPr>
          <w:rFonts w:ascii="Times New Roman" w:hAnsi="Times New Roman" w:cs="Times New Roman"/>
          <w:b/>
        </w:rPr>
        <w:t>HYRJE__________________________________________________________________________ _7</w:t>
      </w:r>
    </w:p>
    <w:p w:rsidR="006042F6" w:rsidRDefault="006042F6" w:rsidP="006042F6">
      <w:pPr>
        <w:spacing w:after="0" w:line="240" w:lineRule="auto"/>
        <w:jc w:val="both"/>
        <w:rPr>
          <w:rFonts w:ascii="Times New Roman" w:hAnsi="Times New Roman" w:cs="Times New Roman"/>
          <w:b/>
        </w:rPr>
      </w:pPr>
    </w:p>
    <w:p w:rsidR="006042F6" w:rsidRPr="001B66A2" w:rsidRDefault="006042F6" w:rsidP="006042F6">
      <w:pPr>
        <w:spacing w:after="0" w:line="240" w:lineRule="auto"/>
        <w:jc w:val="both"/>
        <w:rPr>
          <w:rFonts w:ascii="Times New Roman" w:hAnsi="Times New Roman" w:cs="Times New Roman"/>
          <w:b/>
        </w:rPr>
      </w:pPr>
      <w:r w:rsidRPr="001B66A2">
        <w:rPr>
          <w:rFonts w:ascii="Times New Roman" w:hAnsi="Times New Roman" w:cs="Times New Roman"/>
          <w:b/>
        </w:rPr>
        <w:t>KAPITULLI  1</w:t>
      </w:r>
    </w:p>
    <w:p w:rsidR="006042F6" w:rsidRPr="001B66A2" w:rsidRDefault="00B166F9" w:rsidP="006042F6">
      <w:pPr>
        <w:spacing w:after="0" w:line="240" w:lineRule="auto"/>
        <w:jc w:val="both"/>
        <w:rPr>
          <w:rFonts w:ascii="Times New Roman" w:hAnsi="Times New Roman" w:cs="Times New Roman"/>
          <w:b/>
        </w:rPr>
      </w:pPr>
      <w:r w:rsidRPr="001B66A2">
        <w:rPr>
          <w:rFonts w:ascii="Times New Roman" w:hAnsi="Times New Roman" w:cs="Times New Roman"/>
          <w:b/>
        </w:rPr>
        <w:t xml:space="preserve">AJRI  </w:t>
      </w:r>
      <w:r w:rsidR="006042F6" w:rsidRPr="001B66A2">
        <w:rPr>
          <w:rFonts w:ascii="Times New Roman" w:hAnsi="Times New Roman" w:cs="Times New Roman"/>
          <w:b/>
        </w:rPr>
        <w:t xml:space="preserve"> ______________________________________________________________</w:t>
      </w:r>
      <w:r w:rsidRPr="001B66A2">
        <w:rPr>
          <w:rFonts w:ascii="Times New Roman" w:hAnsi="Times New Roman" w:cs="Times New Roman"/>
          <w:b/>
        </w:rPr>
        <w:t>______________8</w:t>
      </w:r>
    </w:p>
    <w:p w:rsidR="006042F6" w:rsidRPr="001B66A2" w:rsidRDefault="006042F6" w:rsidP="006042F6">
      <w:pPr>
        <w:spacing w:after="0" w:line="240" w:lineRule="auto"/>
        <w:jc w:val="both"/>
        <w:rPr>
          <w:rFonts w:ascii="Times New Roman" w:hAnsi="Times New Roman" w:cs="Times New Roman"/>
          <w:b/>
        </w:rPr>
      </w:pPr>
    </w:p>
    <w:p w:rsidR="006042F6" w:rsidRPr="001B66A2" w:rsidRDefault="006042F6" w:rsidP="006042F6">
      <w:pPr>
        <w:spacing w:after="0" w:line="240" w:lineRule="auto"/>
        <w:jc w:val="both"/>
        <w:rPr>
          <w:rFonts w:ascii="Times New Roman" w:hAnsi="Times New Roman" w:cs="Times New Roman"/>
          <w:b/>
        </w:rPr>
      </w:pPr>
      <w:r w:rsidRPr="001B66A2">
        <w:rPr>
          <w:rFonts w:ascii="Times New Roman" w:hAnsi="Times New Roman" w:cs="Times New Roman"/>
          <w:b/>
        </w:rPr>
        <w:t>KAPITULLI  2</w:t>
      </w:r>
    </w:p>
    <w:p w:rsidR="006042F6" w:rsidRPr="001B66A2" w:rsidRDefault="00B166F9" w:rsidP="006042F6">
      <w:pPr>
        <w:spacing w:after="0" w:line="240" w:lineRule="auto"/>
        <w:jc w:val="both"/>
        <w:rPr>
          <w:rFonts w:ascii="Times New Roman" w:hAnsi="Times New Roman" w:cs="Times New Roman"/>
          <w:b/>
        </w:rPr>
      </w:pPr>
      <w:r w:rsidRPr="001B66A2">
        <w:rPr>
          <w:rFonts w:ascii="Times New Roman" w:hAnsi="Times New Roman" w:cs="Times New Roman"/>
          <w:b/>
        </w:rPr>
        <w:t>ZHURMAT URBANE</w:t>
      </w:r>
      <w:r w:rsidR="006042F6" w:rsidRPr="001B66A2">
        <w:rPr>
          <w:rFonts w:ascii="Times New Roman" w:hAnsi="Times New Roman" w:cs="Times New Roman"/>
          <w:b/>
        </w:rPr>
        <w:t xml:space="preserve"> ______________________________________________</w:t>
      </w:r>
      <w:r w:rsidRPr="001B66A2">
        <w:rPr>
          <w:rFonts w:ascii="Times New Roman" w:hAnsi="Times New Roman" w:cs="Times New Roman"/>
          <w:b/>
        </w:rPr>
        <w:t>________________26</w:t>
      </w:r>
    </w:p>
    <w:p w:rsidR="006042F6" w:rsidRPr="001B66A2" w:rsidRDefault="006042F6" w:rsidP="006042F6">
      <w:pPr>
        <w:spacing w:after="0" w:line="240" w:lineRule="auto"/>
        <w:jc w:val="both"/>
        <w:rPr>
          <w:rFonts w:ascii="Times New Roman" w:hAnsi="Times New Roman" w:cs="Times New Roman"/>
          <w:b/>
        </w:rPr>
      </w:pPr>
    </w:p>
    <w:p w:rsidR="006042F6" w:rsidRPr="001B66A2" w:rsidRDefault="006042F6" w:rsidP="006042F6">
      <w:pPr>
        <w:spacing w:after="0" w:line="240" w:lineRule="auto"/>
        <w:jc w:val="both"/>
        <w:rPr>
          <w:rFonts w:ascii="Times New Roman" w:hAnsi="Times New Roman" w:cs="Times New Roman"/>
          <w:b/>
        </w:rPr>
      </w:pPr>
      <w:r w:rsidRPr="001B66A2">
        <w:rPr>
          <w:rFonts w:ascii="Times New Roman" w:hAnsi="Times New Roman" w:cs="Times New Roman"/>
          <w:b/>
        </w:rPr>
        <w:t>KAPITULLI 3</w:t>
      </w:r>
    </w:p>
    <w:p w:rsidR="006042F6" w:rsidRPr="001B66A2" w:rsidRDefault="00B166F9" w:rsidP="006042F6">
      <w:pPr>
        <w:spacing w:after="0" w:line="240" w:lineRule="auto"/>
        <w:jc w:val="both"/>
        <w:rPr>
          <w:rFonts w:ascii="Times New Roman" w:hAnsi="Times New Roman" w:cs="Times New Roman"/>
          <w:b/>
        </w:rPr>
      </w:pPr>
      <w:r w:rsidRPr="001B66A2">
        <w:rPr>
          <w:rFonts w:ascii="Times New Roman" w:hAnsi="Times New Roman" w:cs="Times New Roman"/>
          <w:b/>
        </w:rPr>
        <w:t>UJËRAT SIPËRFAQËSORE</w:t>
      </w:r>
      <w:r w:rsidR="006042F6" w:rsidRPr="001B66A2">
        <w:rPr>
          <w:rFonts w:ascii="Times New Roman" w:hAnsi="Times New Roman" w:cs="Times New Roman"/>
          <w:b/>
        </w:rPr>
        <w:t xml:space="preserve"> _______________________________________________</w:t>
      </w:r>
      <w:r w:rsidR="00A25534">
        <w:rPr>
          <w:rFonts w:ascii="Times New Roman" w:hAnsi="Times New Roman" w:cs="Times New Roman"/>
          <w:b/>
        </w:rPr>
        <w:t>_________43</w:t>
      </w:r>
    </w:p>
    <w:p w:rsidR="006042F6" w:rsidRPr="001B66A2" w:rsidRDefault="006042F6" w:rsidP="006042F6">
      <w:pPr>
        <w:spacing w:after="0" w:line="240" w:lineRule="auto"/>
        <w:jc w:val="both"/>
        <w:rPr>
          <w:rFonts w:ascii="Times New Roman" w:hAnsi="Times New Roman" w:cs="Times New Roman"/>
          <w:b/>
        </w:rPr>
      </w:pPr>
    </w:p>
    <w:p w:rsidR="006042F6" w:rsidRPr="001B66A2" w:rsidRDefault="006042F6" w:rsidP="006042F6">
      <w:pPr>
        <w:spacing w:after="0" w:line="240" w:lineRule="auto"/>
        <w:jc w:val="both"/>
        <w:rPr>
          <w:rFonts w:ascii="Times New Roman" w:hAnsi="Times New Roman" w:cs="Times New Roman"/>
          <w:b/>
        </w:rPr>
      </w:pPr>
      <w:r w:rsidRPr="001B66A2">
        <w:rPr>
          <w:rFonts w:ascii="Times New Roman" w:hAnsi="Times New Roman" w:cs="Times New Roman"/>
          <w:b/>
        </w:rPr>
        <w:t>KAPITULLI 4</w:t>
      </w:r>
    </w:p>
    <w:p w:rsidR="006042F6" w:rsidRPr="001B66A2" w:rsidRDefault="00B166F9" w:rsidP="006042F6">
      <w:pPr>
        <w:spacing w:after="0" w:line="240" w:lineRule="auto"/>
        <w:jc w:val="both"/>
        <w:rPr>
          <w:rFonts w:ascii="Times New Roman" w:hAnsi="Times New Roman" w:cs="Times New Roman"/>
          <w:b/>
        </w:rPr>
      </w:pPr>
      <w:r w:rsidRPr="001B66A2">
        <w:rPr>
          <w:rFonts w:ascii="Times New Roman" w:hAnsi="Times New Roman" w:cs="Times New Roman"/>
          <w:b/>
        </w:rPr>
        <w:t>UJËRAT NËNTOKËSORE</w:t>
      </w:r>
      <w:r w:rsidR="006042F6" w:rsidRPr="001B66A2">
        <w:rPr>
          <w:rFonts w:ascii="Times New Roman" w:hAnsi="Times New Roman" w:cs="Times New Roman"/>
          <w:b/>
        </w:rPr>
        <w:t xml:space="preserve"> _______________________________________________________</w:t>
      </w:r>
      <w:r w:rsidRPr="001B66A2">
        <w:rPr>
          <w:rFonts w:ascii="Times New Roman" w:hAnsi="Times New Roman" w:cs="Times New Roman"/>
          <w:b/>
        </w:rPr>
        <w:t>__</w:t>
      </w:r>
      <w:r w:rsidR="006042F6" w:rsidRPr="001B66A2">
        <w:rPr>
          <w:rFonts w:ascii="Times New Roman" w:hAnsi="Times New Roman" w:cs="Times New Roman"/>
          <w:b/>
        </w:rPr>
        <w:t>1</w:t>
      </w:r>
      <w:r w:rsidR="00A25534">
        <w:rPr>
          <w:rFonts w:ascii="Times New Roman" w:hAnsi="Times New Roman" w:cs="Times New Roman"/>
          <w:b/>
        </w:rPr>
        <w:t>01</w:t>
      </w:r>
    </w:p>
    <w:p w:rsidR="006042F6" w:rsidRPr="001B66A2" w:rsidRDefault="006042F6" w:rsidP="006042F6">
      <w:pPr>
        <w:spacing w:after="0" w:line="240" w:lineRule="auto"/>
        <w:jc w:val="both"/>
        <w:rPr>
          <w:rFonts w:ascii="Times New Roman" w:hAnsi="Times New Roman" w:cs="Times New Roman"/>
          <w:b/>
        </w:rPr>
      </w:pPr>
    </w:p>
    <w:p w:rsidR="006042F6" w:rsidRPr="001B66A2" w:rsidRDefault="006042F6" w:rsidP="006042F6">
      <w:pPr>
        <w:spacing w:after="0" w:line="240" w:lineRule="auto"/>
        <w:jc w:val="both"/>
        <w:rPr>
          <w:rFonts w:ascii="Times New Roman" w:hAnsi="Times New Roman" w:cs="Times New Roman"/>
          <w:b/>
        </w:rPr>
      </w:pPr>
      <w:r w:rsidRPr="001B66A2">
        <w:rPr>
          <w:rFonts w:ascii="Times New Roman" w:hAnsi="Times New Roman" w:cs="Times New Roman"/>
          <w:b/>
        </w:rPr>
        <w:t>KAPITULLI  5</w:t>
      </w:r>
    </w:p>
    <w:p w:rsidR="006042F6" w:rsidRPr="001B66A2" w:rsidRDefault="001D6570" w:rsidP="006042F6">
      <w:pPr>
        <w:spacing w:after="0" w:line="240" w:lineRule="auto"/>
        <w:rPr>
          <w:rFonts w:ascii="Times New Roman" w:hAnsi="Times New Roman" w:cs="Times New Roman"/>
          <w:b/>
        </w:rPr>
      </w:pPr>
      <w:r>
        <w:rPr>
          <w:rFonts w:ascii="Times New Roman" w:hAnsi="Times New Roman" w:cs="Times New Roman"/>
          <w:b/>
        </w:rPr>
        <w:t xml:space="preserve">PLAZHET DHE ZONAT </w:t>
      </w:r>
      <w:r w:rsidR="00B166F9" w:rsidRPr="001B66A2">
        <w:rPr>
          <w:rFonts w:ascii="Times New Roman" w:hAnsi="Times New Roman" w:cs="Times New Roman"/>
          <w:b/>
        </w:rPr>
        <w:t xml:space="preserve"> BREGDETAR</w:t>
      </w:r>
      <w:r>
        <w:rPr>
          <w:rFonts w:ascii="Times New Roman" w:hAnsi="Times New Roman" w:cs="Times New Roman"/>
          <w:b/>
        </w:rPr>
        <w:t>E</w:t>
      </w:r>
      <w:r w:rsidR="006042F6" w:rsidRPr="001B66A2">
        <w:rPr>
          <w:rFonts w:ascii="Times New Roman" w:hAnsi="Times New Roman" w:cs="Times New Roman"/>
          <w:b/>
        </w:rPr>
        <w:t xml:space="preserve"> ________________________</w:t>
      </w:r>
      <w:r>
        <w:rPr>
          <w:rFonts w:ascii="Times New Roman" w:hAnsi="Times New Roman" w:cs="Times New Roman"/>
          <w:b/>
        </w:rPr>
        <w:t>_________ ___________</w:t>
      </w:r>
      <w:r w:rsidR="006042F6" w:rsidRPr="001B66A2">
        <w:rPr>
          <w:rFonts w:ascii="Times New Roman" w:hAnsi="Times New Roman" w:cs="Times New Roman"/>
          <w:b/>
        </w:rPr>
        <w:t>1</w:t>
      </w:r>
      <w:r w:rsidR="00A25534">
        <w:rPr>
          <w:rFonts w:ascii="Times New Roman" w:hAnsi="Times New Roman" w:cs="Times New Roman"/>
          <w:b/>
        </w:rPr>
        <w:t>30</w:t>
      </w:r>
    </w:p>
    <w:p w:rsidR="006042F6" w:rsidRPr="001B66A2" w:rsidRDefault="006042F6" w:rsidP="006042F6">
      <w:pPr>
        <w:spacing w:after="0" w:line="240" w:lineRule="auto"/>
        <w:jc w:val="both"/>
        <w:rPr>
          <w:rFonts w:ascii="Times New Roman" w:hAnsi="Times New Roman" w:cs="Times New Roman"/>
          <w:b/>
        </w:rPr>
      </w:pPr>
    </w:p>
    <w:p w:rsidR="00B166F9" w:rsidRPr="001B66A2" w:rsidRDefault="00B166F9" w:rsidP="00B166F9">
      <w:pPr>
        <w:spacing w:after="0" w:line="240" w:lineRule="auto"/>
        <w:jc w:val="both"/>
        <w:rPr>
          <w:rFonts w:ascii="Times New Roman" w:hAnsi="Times New Roman" w:cs="Times New Roman"/>
          <w:b/>
        </w:rPr>
      </w:pPr>
      <w:r w:rsidRPr="001B66A2">
        <w:rPr>
          <w:rFonts w:ascii="Times New Roman" w:hAnsi="Times New Roman" w:cs="Times New Roman"/>
          <w:b/>
        </w:rPr>
        <w:t xml:space="preserve">KAPITULLI  6 </w:t>
      </w:r>
    </w:p>
    <w:p w:rsidR="00B166F9" w:rsidRPr="001B66A2" w:rsidRDefault="00B166F9" w:rsidP="00B166F9">
      <w:pPr>
        <w:spacing w:after="0" w:line="240" w:lineRule="auto"/>
        <w:rPr>
          <w:rFonts w:ascii="Times New Roman" w:hAnsi="Times New Roman" w:cs="Times New Roman"/>
          <w:b/>
        </w:rPr>
      </w:pPr>
      <w:r w:rsidRPr="001B66A2">
        <w:rPr>
          <w:rFonts w:ascii="Times New Roman" w:hAnsi="Times New Roman" w:cs="Times New Roman"/>
          <w:b/>
        </w:rPr>
        <w:t>TOKAT _________________________________________________</w:t>
      </w:r>
      <w:r w:rsidR="00A25534">
        <w:rPr>
          <w:rFonts w:ascii="Times New Roman" w:hAnsi="Times New Roman" w:cs="Times New Roman"/>
          <w:b/>
        </w:rPr>
        <w:t>_________________________175</w:t>
      </w:r>
    </w:p>
    <w:p w:rsidR="00B166F9" w:rsidRPr="001B66A2" w:rsidRDefault="00B166F9" w:rsidP="00B166F9">
      <w:pPr>
        <w:spacing w:after="0" w:line="240" w:lineRule="auto"/>
        <w:jc w:val="both"/>
        <w:rPr>
          <w:rFonts w:ascii="Times New Roman" w:hAnsi="Times New Roman" w:cs="Times New Roman"/>
          <w:b/>
        </w:rPr>
      </w:pPr>
    </w:p>
    <w:p w:rsidR="00B166F9" w:rsidRPr="001B66A2" w:rsidRDefault="00B166F9" w:rsidP="00B166F9">
      <w:pPr>
        <w:spacing w:after="0" w:line="240" w:lineRule="auto"/>
        <w:jc w:val="both"/>
        <w:rPr>
          <w:rFonts w:ascii="Times New Roman" w:hAnsi="Times New Roman" w:cs="Times New Roman"/>
          <w:b/>
        </w:rPr>
      </w:pPr>
      <w:r w:rsidRPr="001B66A2">
        <w:rPr>
          <w:rFonts w:ascii="Times New Roman" w:hAnsi="Times New Roman" w:cs="Times New Roman"/>
          <w:b/>
        </w:rPr>
        <w:t xml:space="preserve">KAPITULLI  7 </w:t>
      </w:r>
    </w:p>
    <w:p w:rsidR="00B166F9" w:rsidRPr="001B66A2" w:rsidRDefault="00B166F9" w:rsidP="00B166F9">
      <w:pPr>
        <w:spacing w:after="0" w:line="240" w:lineRule="auto"/>
        <w:rPr>
          <w:rFonts w:ascii="Times New Roman" w:hAnsi="Times New Roman" w:cs="Times New Roman"/>
          <w:b/>
        </w:rPr>
      </w:pPr>
      <w:r w:rsidRPr="001B66A2">
        <w:rPr>
          <w:rFonts w:ascii="Times New Roman" w:hAnsi="Times New Roman" w:cs="Times New Roman"/>
          <w:b/>
        </w:rPr>
        <w:t>AKTIVITETI INDUSTRIAL_________________________</w:t>
      </w:r>
      <w:r w:rsidR="00A25534">
        <w:rPr>
          <w:rFonts w:ascii="Times New Roman" w:hAnsi="Times New Roman" w:cs="Times New Roman"/>
          <w:b/>
        </w:rPr>
        <w:t>_______________________________195</w:t>
      </w:r>
    </w:p>
    <w:p w:rsidR="00B166F9" w:rsidRPr="001B66A2" w:rsidRDefault="00B166F9" w:rsidP="006042F6">
      <w:pPr>
        <w:spacing w:after="0" w:line="240" w:lineRule="auto"/>
        <w:jc w:val="both"/>
        <w:rPr>
          <w:rFonts w:ascii="Times New Roman" w:hAnsi="Times New Roman" w:cs="Times New Roman"/>
          <w:b/>
        </w:rPr>
      </w:pPr>
    </w:p>
    <w:p w:rsidR="006042F6" w:rsidRPr="001B66A2" w:rsidRDefault="006042F6" w:rsidP="006042F6">
      <w:pPr>
        <w:spacing w:after="0" w:line="240" w:lineRule="auto"/>
        <w:jc w:val="both"/>
        <w:rPr>
          <w:rFonts w:ascii="Times New Roman" w:hAnsi="Times New Roman" w:cs="Times New Roman"/>
          <w:b/>
        </w:rPr>
      </w:pPr>
      <w:r w:rsidRPr="001B66A2">
        <w:rPr>
          <w:rFonts w:ascii="Times New Roman" w:hAnsi="Times New Roman" w:cs="Times New Roman"/>
          <w:b/>
        </w:rPr>
        <w:t xml:space="preserve">KAPITULLI  </w:t>
      </w:r>
      <w:r w:rsidR="00B166F9" w:rsidRPr="001B66A2">
        <w:rPr>
          <w:rFonts w:ascii="Times New Roman" w:hAnsi="Times New Roman" w:cs="Times New Roman"/>
          <w:b/>
        </w:rPr>
        <w:t>8</w:t>
      </w:r>
      <w:r w:rsidRPr="001B66A2">
        <w:rPr>
          <w:rFonts w:ascii="Times New Roman" w:hAnsi="Times New Roman" w:cs="Times New Roman"/>
          <w:b/>
        </w:rPr>
        <w:t xml:space="preserve"> </w:t>
      </w:r>
    </w:p>
    <w:p w:rsidR="006042F6" w:rsidRPr="001B66A2" w:rsidRDefault="00660554" w:rsidP="006042F6">
      <w:pPr>
        <w:spacing w:after="0" w:line="240" w:lineRule="auto"/>
        <w:rPr>
          <w:rFonts w:ascii="Times New Roman" w:hAnsi="Times New Roman" w:cs="Times New Roman"/>
          <w:b/>
        </w:rPr>
      </w:pPr>
      <w:r>
        <w:rPr>
          <w:rFonts w:ascii="Times New Roman" w:hAnsi="Times New Roman" w:cs="Times New Roman"/>
          <w:b/>
        </w:rPr>
        <w:t xml:space="preserve">PYJET DHE BIODIVERSITETI </w:t>
      </w:r>
      <w:r w:rsidR="006042F6" w:rsidRPr="001B66A2">
        <w:rPr>
          <w:rFonts w:ascii="Times New Roman" w:hAnsi="Times New Roman" w:cs="Times New Roman"/>
          <w:b/>
        </w:rPr>
        <w:t>________________________</w:t>
      </w:r>
      <w:r w:rsidR="00B166F9" w:rsidRPr="001B66A2">
        <w:rPr>
          <w:rFonts w:ascii="Times New Roman" w:hAnsi="Times New Roman" w:cs="Times New Roman"/>
          <w:b/>
        </w:rPr>
        <w:t>____________________</w:t>
      </w:r>
      <w:r>
        <w:rPr>
          <w:rFonts w:ascii="Times New Roman" w:hAnsi="Times New Roman" w:cs="Times New Roman"/>
          <w:b/>
        </w:rPr>
        <w:t>________</w:t>
      </w:r>
      <w:r w:rsidR="00A25534">
        <w:rPr>
          <w:rFonts w:ascii="Times New Roman" w:hAnsi="Times New Roman" w:cs="Times New Roman"/>
          <w:b/>
        </w:rPr>
        <w:t>203</w:t>
      </w:r>
    </w:p>
    <w:p w:rsidR="006042F6" w:rsidRPr="001B66A2" w:rsidRDefault="006042F6" w:rsidP="006042F6">
      <w:pPr>
        <w:spacing w:after="0" w:line="240" w:lineRule="auto"/>
        <w:jc w:val="both"/>
        <w:rPr>
          <w:rFonts w:ascii="Times New Roman" w:hAnsi="Times New Roman" w:cs="Times New Roman"/>
          <w:b/>
        </w:rPr>
      </w:pPr>
    </w:p>
    <w:p w:rsidR="006042F6" w:rsidRPr="001B66A2" w:rsidRDefault="006042F6" w:rsidP="006042F6">
      <w:pPr>
        <w:spacing w:after="0" w:line="240" w:lineRule="auto"/>
        <w:jc w:val="both"/>
        <w:rPr>
          <w:rFonts w:ascii="Times New Roman" w:hAnsi="Times New Roman" w:cs="Times New Roman"/>
          <w:b/>
        </w:rPr>
      </w:pPr>
      <w:r w:rsidRPr="001B66A2">
        <w:rPr>
          <w:rFonts w:ascii="Times New Roman" w:hAnsi="Times New Roman" w:cs="Times New Roman"/>
          <w:b/>
        </w:rPr>
        <w:t xml:space="preserve">KAPITULLI  </w:t>
      </w:r>
      <w:r w:rsidR="00B166F9" w:rsidRPr="001B66A2">
        <w:rPr>
          <w:rFonts w:ascii="Times New Roman" w:hAnsi="Times New Roman" w:cs="Times New Roman"/>
          <w:b/>
        </w:rPr>
        <w:t>9</w:t>
      </w:r>
    </w:p>
    <w:p w:rsidR="006042F6" w:rsidRPr="001B66A2" w:rsidRDefault="00B166F9" w:rsidP="00B166F9">
      <w:pPr>
        <w:spacing w:after="0" w:line="240" w:lineRule="auto"/>
        <w:rPr>
          <w:rFonts w:ascii="Times New Roman" w:hAnsi="Times New Roman" w:cs="Times New Roman"/>
          <w:b/>
        </w:rPr>
      </w:pPr>
      <w:r w:rsidRPr="001B66A2">
        <w:rPr>
          <w:rFonts w:ascii="Times New Roman" w:hAnsi="Times New Roman" w:cs="Times New Roman"/>
          <w:b/>
        </w:rPr>
        <w:t>NDRYSHIMET KLIMATIKE</w:t>
      </w:r>
      <w:r w:rsidR="006042F6" w:rsidRPr="001B66A2">
        <w:rPr>
          <w:rFonts w:ascii="Times New Roman" w:hAnsi="Times New Roman" w:cs="Times New Roman"/>
          <w:b/>
        </w:rPr>
        <w:t xml:space="preserve"> _____________________________________________________</w:t>
      </w:r>
      <w:r w:rsidR="00A25534">
        <w:rPr>
          <w:rFonts w:ascii="Times New Roman" w:hAnsi="Times New Roman" w:cs="Times New Roman"/>
          <w:b/>
        </w:rPr>
        <w:t>_252</w:t>
      </w:r>
    </w:p>
    <w:p w:rsidR="00B166F9" w:rsidRPr="001B66A2" w:rsidRDefault="00B166F9" w:rsidP="006042F6">
      <w:pPr>
        <w:spacing w:after="0" w:line="240" w:lineRule="auto"/>
        <w:jc w:val="both"/>
        <w:rPr>
          <w:rFonts w:ascii="Times New Roman" w:hAnsi="Times New Roman" w:cs="Times New Roman"/>
          <w:b/>
        </w:rPr>
      </w:pPr>
    </w:p>
    <w:p w:rsidR="006042F6" w:rsidRPr="001B66A2" w:rsidRDefault="006042F6" w:rsidP="006042F6">
      <w:pPr>
        <w:spacing w:after="0" w:line="240" w:lineRule="auto"/>
        <w:jc w:val="both"/>
        <w:rPr>
          <w:rFonts w:ascii="Times New Roman" w:hAnsi="Times New Roman" w:cs="Times New Roman"/>
          <w:b/>
        </w:rPr>
      </w:pPr>
      <w:r w:rsidRPr="001B66A2">
        <w:rPr>
          <w:rFonts w:ascii="Times New Roman" w:hAnsi="Times New Roman" w:cs="Times New Roman"/>
          <w:b/>
        </w:rPr>
        <w:t xml:space="preserve">KAPITULLI  </w:t>
      </w:r>
      <w:r w:rsidR="00B166F9" w:rsidRPr="001B66A2">
        <w:rPr>
          <w:rFonts w:ascii="Times New Roman" w:hAnsi="Times New Roman" w:cs="Times New Roman"/>
          <w:b/>
        </w:rPr>
        <w:t>10</w:t>
      </w:r>
      <w:r w:rsidRPr="001B66A2">
        <w:rPr>
          <w:rFonts w:ascii="Times New Roman" w:hAnsi="Times New Roman" w:cs="Times New Roman"/>
          <w:b/>
        </w:rPr>
        <w:t xml:space="preserve"> </w:t>
      </w:r>
    </w:p>
    <w:p w:rsidR="006042F6" w:rsidRPr="001B66A2" w:rsidRDefault="00B166F9" w:rsidP="006042F6">
      <w:pPr>
        <w:spacing w:after="0" w:line="240" w:lineRule="auto"/>
        <w:jc w:val="both"/>
        <w:rPr>
          <w:rFonts w:ascii="Times New Roman" w:hAnsi="Times New Roman" w:cs="Times New Roman"/>
          <w:b/>
        </w:rPr>
      </w:pPr>
      <w:r w:rsidRPr="001B66A2">
        <w:rPr>
          <w:rFonts w:ascii="Times New Roman" w:hAnsi="Times New Roman" w:cs="Times New Roman"/>
          <w:b/>
        </w:rPr>
        <w:t xml:space="preserve">EKONOMIA QARKULLUESE DHE MBETJET </w:t>
      </w:r>
      <w:r w:rsidR="006042F6" w:rsidRPr="001B66A2">
        <w:rPr>
          <w:rFonts w:ascii="Times New Roman" w:hAnsi="Times New Roman" w:cs="Times New Roman"/>
          <w:b/>
        </w:rPr>
        <w:t xml:space="preserve"> _________________________________</w:t>
      </w:r>
      <w:r w:rsidRPr="001B66A2">
        <w:rPr>
          <w:rFonts w:ascii="Times New Roman" w:hAnsi="Times New Roman" w:cs="Times New Roman"/>
          <w:b/>
        </w:rPr>
        <w:t>____</w:t>
      </w:r>
      <w:r w:rsidR="006042F6" w:rsidRPr="001B66A2">
        <w:rPr>
          <w:rFonts w:ascii="Times New Roman" w:hAnsi="Times New Roman" w:cs="Times New Roman"/>
          <w:b/>
        </w:rPr>
        <w:t>2</w:t>
      </w:r>
      <w:r w:rsidR="00A25534">
        <w:rPr>
          <w:rFonts w:ascii="Times New Roman" w:hAnsi="Times New Roman" w:cs="Times New Roman"/>
          <w:b/>
        </w:rPr>
        <w:t>66</w:t>
      </w:r>
    </w:p>
    <w:p w:rsidR="006042F6" w:rsidRPr="001B66A2" w:rsidRDefault="006042F6" w:rsidP="006042F6">
      <w:pPr>
        <w:spacing w:after="0" w:line="240" w:lineRule="auto"/>
        <w:jc w:val="both"/>
        <w:rPr>
          <w:rFonts w:ascii="Times New Roman" w:hAnsi="Times New Roman" w:cs="Times New Roman"/>
          <w:b/>
        </w:rPr>
      </w:pPr>
    </w:p>
    <w:p w:rsidR="006042F6" w:rsidRPr="001B66A2" w:rsidRDefault="006042F6" w:rsidP="006042F6">
      <w:pPr>
        <w:spacing w:after="0" w:line="240" w:lineRule="auto"/>
        <w:jc w:val="both"/>
        <w:rPr>
          <w:rFonts w:ascii="Times New Roman" w:hAnsi="Times New Roman" w:cs="Times New Roman"/>
          <w:b/>
        </w:rPr>
      </w:pPr>
      <w:r w:rsidRPr="001B66A2">
        <w:rPr>
          <w:rFonts w:ascii="Times New Roman" w:hAnsi="Times New Roman" w:cs="Times New Roman"/>
          <w:b/>
        </w:rPr>
        <w:t xml:space="preserve">KAPITULLI </w:t>
      </w:r>
      <w:r w:rsidR="00B166F9" w:rsidRPr="001B66A2">
        <w:rPr>
          <w:rFonts w:ascii="Times New Roman" w:hAnsi="Times New Roman" w:cs="Times New Roman"/>
          <w:b/>
        </w:rPr>
        <w:t>11</w:t>
      </w:r>
    </w:p>
    <w:p w:rsidR="006042F6" w:rsidRDefault="00B166F9" w:rsidP="006042F6">
      <w:pPr>
        <w:spacing w:after="0" w:line="240" w:lineRule="auto"/>
        <w:jc w:val="both"/>
        <w:rPr>
          <w:rFonts w:ascii="Times New Roman" w:hAnsi="Times New Roman" w:cs="Times New Roman"/>
          <w:b/>
        </w:rPr>
      </w:pPr>
      <w:r w:rsidRPr="001B66A2">
        <w:rPr>
          <w:rFonts w:ascii="Times New Roman" w:hAnsi="Times New Roman" w:cs="Times New Roman"/>
          <w:b/>
        </w:rPr>
        <w:t>MENAXHIMI I KIMIKATEVE</w:t>
      </w:r>
      <w:r w:rsidR="006042F6" w:rsidRPr="001B66A2">
        <w:rPr>
          <w:rFonts w:ascii="Times New Roman" w:hAnsi="Times New Roman" w:cs="Times New Roman"/>
          <w:b/>
        </w:rPr>
        <w:t>_____________________________________________</w:t>
      </w:r>
      <w:r w:rsidRPr="001B66A2">
        <w:rPr>
          <w:rFonts w:ascii="Times New Roman" w:hAnsi="Times New Roman" w:cs="Times New Roman"/>
          <w:b/>
        </w:rPr>
        <w:t>_______</w:t>
      </w:r>
      <w:r w:rsidR="00A25534">
        <w:rPr>
          <w:rFonts w:ascii="Times New Roman" w:hAnsi="Times New Roman" w:cs="Times New Roman"/>
          <w:b/>
        </w:rPr>
        <w:t>_3</w:t>
      </w:r>
      <w:r w:rsidR="00B42A91">
        <w:rPr>
          <w:rFonts w:ascii="Times New Roman" w:hAnsi="Times New Roman" w:cs="Times New Roman"/>
          <w:b/>
        </w:rPr>
        <w:t>10</w:t>
      </w:r>
    </w:p>
    <w:p w:rsidR="0068211D" w:rsidRDefault="0068211D" w:rsidP="006042F6">
      <w:pPr>
        <w:spacing w:after="0" w:line="240" w:lineRule="auto"/>
        <w:jc w:val="both"/>
        <w:rPr>
          <w:rFonts w:ascii="Times New Roman" w:hAnsi="Times New Roman" w:cs="Times New Roman"/>
          <w:b/>
        </w:rPr>
      </w:pPr>
    </w:p>
    <w:p w:rsidR="0068211D" w:rsidRPr="001B66A2" w:rsidRDefault="0068211D" w:rsidP="006042F6">
      <w:pPr>
        <w:spacing w:after="0" w:line="240" w:lineRule="auto"/>
        <w:jc w:val="both"/>
        <w:rPr>
          <w:rFonts w:ascii="Times New Roman" w:hAnsi="Times New Roman" w:cs="Times New Roman"/>
          <w:b/>
        </w:rPr>
      </w:pPr>
      <w:r>
        <w:rPr>
          <w:rFonts w:ascii="Times New Roman" w:hAnsi="Times New Roman" w:cs="Times New Roman"/>
          <w:b/>
        </w:rPr>
        <w:t>PËRMBLEDHJE ____________________________________________________________</w:t>
      </w:r>
      <w:r w:rsidR="00E91FC2">
        <w:rPr>
          <w:rFonts w:ascii="Times New Roman" w:hAnsi="Times New Roman" w:cs="Times New Roman"/>
          <w:b/>
        </w:rPr>
        <w:t>_____</w:t>
      </w:r>
      <w:r w:rsidR="00A25534">
        <w:rPr>
          <w:rFonts w:ascii="Times New Roman" w:hAnsi="Times New Roman" w:cs="Times New Roman"/>
          <w:b/>
        </w:rPr>
        <w:t xml:space="preserve"> 317</w:t>
      </w:r>
    </w:p>
    <w:p w:rsidR="006042F6" w:rsidRPr="001B66A2" w:rsidRDefault="006042F6" w:rsidP="006042F6">
      <w:pPr>
        <w:spacing w:after="0" w:line="240" w:lineRule="auto"/>
        <w:jc w:val="both"/>
        <w:rPr>
          <w:rFonts w:ascii="Times New Roman" w:hAnsi="Times New Roman" w:cs="Times New Roman"/>
          <w:b/>
        </w:rPr>
      </w:pPr>
    </w:p>
    <w:p w:rsidR="00B166F9" w:rsidRPr="001B66A2" w:rsidRDefault="00B166F9" w:rsidP="00B166F9">
      <w:pPr>
        <w:spacing w:after="0" w:line="240" w:lineRule="auto"/>
        <w:rPr>
          <w:rFonts w:ascii="Times New Roman" w:hAnsi="Times New Roman" w:cs="Times New Roman"/>
          <w:b/>
        </w:rPr>
      </w:pPr>
      <w:r w:rsidRPr="001B66A2">
        <w:rPr>
          <w:rFonts w:ascii="Times New Roman" w:hAnsi="Times New Roman" w:cs="Times New Roman"/>
          <w:b/>
        </w:rPr>
        <w:t>ANEKS 1</w:t>
      </w:r>
    </w:p>
    <w:p w:rsidR="006042F6" w:rsidRPr="001B66A2" w:rsidRDefault="001B66A2" w:rsidP="00B166F9">
      <w:pPr>
        <w:spacing w:after="0" w:line="240" w:lineRule="auto"/>
        <w:jc w:val="both"/>
        <w:rPr>
          <w:rFonts w:ascii="Times New Roman" w:hAnsi="Times New Roman" w:cs="Times New Roman"/>
          <w:b/>
        </w:rPr>
      </w:pPr>
      <w:r w:rsidRPr="001B66A2">
        <w:rPr>
          <w:rFonts w:ascii="Times New Roman" w:hAnsi="Times New Roman" w:cs="Times New Roman"/>
          <w:b/>
        </w:rPr>
        <w:t>MJEDISI I EVROPËS/PROFILI I SHQIPËRISË</w:t>
      </w:r>
      <w:r w:rsidR="00B166F9" w:rsidRPr="001B66A2">
        <w:rPr>
          <w:rFonts w:ascii="Times New Roman" w:hAnsi="Times New Roman" w:cs="Times New Roman"/>
          <w:b/>
        </w:rPr>
        <w:t xml:space="preserve"> ___________________________________</w:t>
      </w:r>
      <w:r w:rsidR="00A25534">
        <w:rPr>
          <w:rFonts w:ascii="Times New Roman" w:hAnsi="Times New Roman" w:cs="Times New Roman"/>
          <w:b/>
        </w:rPr>
        <w:t>___32</w:t>
      </w:r>
      <w:r w:rsidR="00B42A91">
        <w:rPr>
          <w:rFonts w:ascii="Times New Roman" w:hAnsi="Times New Roman" w:cs="Times New Roman"/>
          <w:b/>
        </w:rPr>
        <w:t>4</w:t>
      </w:r>
    </w:p>
    <w:p w:rsidR="006042F6" w:rsidRPr="001B66A2" w:rsidRDefault="006042F6" w:rsidP="006042F6">
      <w:pPr>
        <w:spacing w:after="0" w:line="240" w:lineRule="auto"/>
        <w:rPr>
          <w:rFonts w:ascii="Calibri" w:hAnsi="Calibri" w:cs="Times New Roman"/>
        </w:rPr>
      </w:pPr>
    </w:p>
    <w:p w:rsidR="006042F6" w:rsidRPr="001B66A2" w:rsidRDefault="006042F6" w:rsidP="006042F6">
      <w:pPr>
        <w:spacing w:after="0" w:line="240" w:lineRule="auto"/>
        <w:rPr>
          <w:rFonts w:ascii="Times New Roman" w:hAnsi="Times New Roman" w:cs="Times New Roman"/>
          <w:b/>
        </w:rPr>
      </w:pPr>
      <w:r w:rsidRPr="001B66A2">
        <w:rPr>
          <w:rFonts w:ascii="Times New Roman" w:hAnsi="Times New Roman" w:cs="Times New Roman"/>
          <w:b/>
        </w:rPr>
        <w:t xml:space="preserve">ANEKS </w:t>
      </w:r>
      <w:r w:rsidR="001B66A2" w:rsidRPr="001B66A2">
        <w:rPr>
          <w:rFonts w:ascii="Times New Roman" w:hAnsi="Times New Roman" w:cs="Times New Roman"/>
          <w:b/>
        </w:rPr>
        <w:t>2</w:t>
      </w:r>
    </w:p>
    <w:p w:rsidR="006042F6" w:rsidRPr="001B66A2" w:rsidRDefault="006042F6" w:rsidP="006042F6">
      <w:pPr>
        <w:spacing w:after="0" w:line="240" w:lineRule="auto"/>
        <w:rPr>
          <w:rFonts w:ascii="Times New Roman" w:hAnsi="Times New Roman" w:cs="Times New Roman"/>
          <w:b/>
        </w:rPr>
      </w:pPr>
      <w:r w:rsidRPr="001B66A2">
        <w:rPr>
          <w:rFonts w:ascii="Times New Roman" w:hAnsi="Times New Roman" w:cs="Times New Roman"/>
          <w:b/>
        </w:rPr>
        <w:t xml:space="preserve">RRJETI I MONITORIMIT TË PYJEVE _____________________________________________ </w:t>
      </w:r>
      <w:r w:rsidR="00A25534">
        <w:rPr>
          <w:rFonts w:ascii="Times New Roman" w:hAnsi="Times New Roman" w:cs="Times New Roman"/>
          <w:b/>
        </w:rPr>
        <w:t>34</w:t>
      </w:r>
      <w:r w:rsidR="00B42A91">
        <w:rPr>
          <w:rFonts w:ascii="Times New Roman" w:hAnsi="Times New Roman" w:cs="Times New Roman"/>
          <w:b/>
        </w:rPr>
        <w:t>2</w:t>
      </w:r>
    </w:p>
    <w:p w:rsidR="00595934" w:rsidRPr="001B66A2" w:rsidRDefault="00595934">
      <w:pPr>
        <w:rPr>
          <w:sz w:val="24"/>
          <w:szCs w:val="24"/>
        </w:rPr>
      </w:pPr>
    </w:p>
    <w:p w:rsidR="00595934" w:rsidRDefault="00595934">
      <w:pPr>
        <w:rPr>
          <w:sz w:val="24"/>
          <w:szCs w:val="24"/>
        </w:rPr>
      </w:pPr>
    </w:p>
    <w:p w:rsidR="00A03454" w:rsidRPr="00AA69EF" w:rsidRDefault="00A03454">
      <w:pPr>
        <w:rPr>
          <w:rFonts w:ascii="Times New Roman" w:hAnsi="Times New Roman" w:cs="Times New Roman"/>
          <w:b/>
          <w:sz w:val="32"/>
          <w:szCs w:val="32"/>
        </w:rPr>
      </w:pPr>
      <w:r w:rsidRPr="00AA69EF">
        <w:rPr>
          <w:rFonts w:ascii="Times New Roman" w:hAnsi="Times New Roman" w:cs="Times New Roman"/>
          <w:b/>
          <w:sz w:val="32"/>
          <w:szCs w:val="32"/>
        </w:rPr>
        <w:t>Shkurtime</w:t>
      </w:r>
    </w:p>
    <w:p w:rsidR="001827FC" w:rsidRPr="002E7797" w:rsidRDefault="001827FC">
      <w:pP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7977"/>
      </w:tblGrid>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 xml:space="preserve">AKM           </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 xml:space="preserve">Agjencia Kombëtare e Mjedisit </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AKB</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Agjencia Kombëtare e Bregdetit</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 xml:space="preserve">AEM </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Agjencia Europiane e Mjedisit</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AKEM</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Agjencia Kombëtare e Ekonomisë së Mbetjeve</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eastAsia="Calibri" w:hAnsi="Times New Roman" w:cs="Times New Roman"/>
                <w:sz w:val="24"/>
                <w:szCs w:val="24"/>
              </w:rPr>
              <w:t>BaU</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Bussines as Usual (Punë si zakonisht)</w:t>
            </w:r>
          </w:p>
        </w:tc>
      </w:tr>
      <w:tr w:rsidR="00E3771F" w:rsidRPr="001827FC" w:rsidTr="005617F3">
        <w:tc>
          <w:tcPr>
            <w:tcW w:w="1373" w:type="dxa"/>
            <w:tcBorders>
              <w:top w:val="single" w:sz="4" w:space="0" w:color="auto"/>
              <w:left w:val="single" w:sz="4" w:space="0" w:color="auto"/>
              <w:bottom w:val="single" w:sz="4" w:space="0" w:color="auto"/>
              <w:right w:val="single" w:sz="4" w:space="0" w:color="auto"/>
            </w:tcBorders>
          </w:tcPr>
          <w:p w:rsidR="00E3771F" w:rsidRPr="001827FC" w:rsidRDefault="00E3771F" w:rsidP="001827FC">
            <w:pPr>
              <w:spacing w:line="256" w:lineRule="auto"/>
              <w:rPr>
                <w:rFonts w:ascii="Times New Roman" w:hAnsi="Times New Roman" w:cs="Times New Roman"/>
                <w:sz w:val="24"/>
                <w:szCs w:val="24"/>
              </w:rPr>
            </w:pPr>
            <w:r>
              <w:rPr>
                <w:rFonts w:ascii="Times New Roman" w:hAnsi="Times New Roman" w:cs="Times New Roman"/>
                <w:sz w:val="24"/>
                <w:szCs w:val="24"/>
              </w:rPr>
              <w:t>BMA</w:t>
            </w:r>
          </w:p>
        </w:tc>
        <w:tc>
          <w:tcPr>
            <w:tcW w:w="7977" w:type="dxa"/>
            <w:tcBorders>
              <w:top w:val="single" w:sz="4" w:space="0" w:color="auto"/>
              <w:left w:val="single" w:sz="4" w:space="0" w:color="auto"/>
              <w:bottom w:val="single" w:sz="4" w:space="0" w:color="auto"/>
              <w:right w:val="single" w:sz="4" w:space="0" w:color="auto"/>
            </w:tcBorders>
          </w:tcPr>
          <w:p w:rsidR="00E3771F" w:rsidRPr="001827FC" w:rsidRDefault="00E3771F" w:rsidP="001827FC">
            <w:pPr>
              <w:spacing w:line="256" w:lineRule="auto"/>
              <w:rPr>
                <w:rFonts w:ascii="Times New Roman" w:hAnsi="Times New Roman" w:cs="Times New Roman"/>
                <w:sz w:val="24"/>
                <w:szCs w:val="24"/>
              </w:rPr>
            </w:pPr>
            <w:r>
              <w:rPr>
                <w:rFonts w:ascii="Times New Roman" w:hAnsi="Times New Roman" w:cs="Times New Roman"/>
                <w:sz w:val="24"/>
                <w:szCs w:val="24"/>
              </w:rPr>
              <w:t>Bimët Mjekësore Aromatike</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BE</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Bashkimi Evropian</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BTEX</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Benzen Toluen, Etilbenzen, meta-para Ksilen</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DKU</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Direktiva Kuadër e Ujit</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dB</w:t>
            </w:r>
          </w:p>
        </w:tc>
        <w:tc>
          <w:tcPr>
            <w:tcW w:w="7977" w:type="dxa"/>
            <w:tcBorders>
              <w:top w:val="single" w:sz="4" w:space="0" w:color="auto"/>
              <w:left w:val="single" w:sz="4" w:space="0" w:color="auto"/>
              <w:bottom w:val="single" w:sz="4" w:space="0" w:color="auto"/>
              <w:right w:val="single" w:sz="4" w:space="0" w:color="auto"/>
            </w:tcBorders>
          </w:tcPr>
          <w:p w:rsidR="001827FC" w:rsidRPr="001827FC" w:rsidRDefault="00244257" w:rsidP="001827FC">
            <w:pPr>
              <w:spacing w:line="256" w:lineRule="auto"/>
              <w:rPr>
                <w:rFonts w:ascii="Times New Roman" w:hAnsi="Times New Roman" w:cs="Times New Roman"/>
                <w:sz w:val="24"/>
                <w:szCs w:val="24"/>
              </w:rPr>
            </w:pPr>
            <w:r>
              <w:rPr>
                <w:rFonts w:ascii="Times New Roman" w:hAnsi="Times New Roman" w:cs="Times New Roman"/>
                <w:sz w:val="24"/>
                <w:szCs w:val="24"/>
              </w:rPr>
              <w:t>D</w:t>
            </w:r>
            <w:r w:rsidR="001827FC" w:rsidRPr="001827FC">
              <w:rPr>
                <w:rFonts w:ascii="Times New Roman" w:hAnsi="Times New Roman" w:cs="Times New Roman"/>
                <w:sz w:val="24"/>
                <w:szCs w:val="24"/>
              </w:rPr>
              <w:t>ecibel</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EC</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 xml:space="preserve">European Commision </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 xml:space="preserve">EEA     </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 xml:space="preserve">European Environment Agency  </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 xml:space="preserve">ISHTI  </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Inspektoriati Shtetëror Teknik Industrial</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IKPK</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Inventari Kombëtar i Pyjeve dhe Kullotave</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IFBZ</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Instituti i Fizikës Bërthamore të Zbatuar</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 xml:space="preserve">KE    </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 xml:space="preserve">Komisioni Evropian </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KKBNK</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 xml:space="preserve">Konventa e Kombeve të Bashkuara për Ndryshimet Klimatike </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KKP</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Kontributi Kombëtar i Përcaktuar</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LM</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Leje Mjedisore</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NKO</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Nevoja Kimike për Oksigjen</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NBO5</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Nevoja Biokimike për Oksigjen 5 ditore</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eastAsia="Calibri" w:hAnsi="Times New Roman" w:cs="Times New Roman"/>
                <w:sz w:val="24"/>
                <w:szCs w:val="24"/>
              </w:rPr>
              <w:t>NMVOC</w:t>
            </w:r>
          </w:p>
        </w:tc>
        <w:tc>
          <w:tcPr>
            <w:tcW w:w="7977" w:type="dxa"/>
            <w:tcBorders>
              <w:top w:val="single" w:sz="4" w:space="0" w:color="auto"/>
              <w:left w:val="single" w:sz="4" w:space="0" w:color="auto"/>
              <w:bottom w:val="single" w:sz="4" w:space="0" w:color="auto"/>
              <w:right w:val="single" w:sz="4" w:space="0" w:color="auto"/>
            </w:tcBorders>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Komponine organike volatile pa metan</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tcPr>
          <w:p w:rsidR="001827FC" w:rsidRPr="001827FC" w:rsidRDefault="001827FC" w:rsidP="001827FC">
            <w:pPr>
              <w:spacing w:line="256" w:lineRule="auto"/>
              <w:rPr>
                <w:rFonts w:ascii="Times New Roman" w:eastAsia="Calibri" w:hAnsi="Times New Roman" w:cs="Times New Roman"/>
                <w:sz w:val="24"/>
                <w:szCs w:val="24"/>
              </w:rPr>
            </w:pPr>
            <w:r w:rsidRPr="001827FC">
              <w:rPr>
                <w:rFonts w:ascii="Times New Roman" w:eastAsia="Calibri" w:hAnsi="Times New Roman" w:cs="Times New Roman"/>
                <w:sz w:val="24"/>
                <w:szCs w:val="24"/>
              </w:rPr>
              <w:t>GES</w:t>
            </w:r>
          </w:p>
        </w:tc>
        <w:tc>
          <w:tcPr>
            <w:tcW w:w="7977" w:type="dxa"/>
            <w:tcBorders>
              <w:top w:val="single" w:sz="4" w:space="0" w:color="auto"/>
              <w:left w:val="single" w:sz="4" w:space="0" w:color="auto"/>
              <w:bottom w:val="single" w:sz="4" w:space="0" w:color="auto"/>
              <w:right w:val="single" w:sz="4" w:space="0" w:color="auto"/>
            </w:tcBorders>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Gaz me efekt sere</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lastRenderedPageBreak/>
              <w:t>NJQV</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Njësi e Qeverisjes Vendore</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 xml:space="preserve">OBSH </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Organizata Botërore e Shëndetësisë</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PP</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Produkte plehëruese</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PMB</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Produkte per Mbrojtjen e Bimeve</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PM</w:t>
            </w:r>
          </w:p>
        </w:tc>
        <w:tc>
          <w:tcPr>
            <w:tcW w:w="7977" w:type="dxa"/>
            <w:tcBorders>
              <w:top w:val="single" w:sz="4" w:space="0" w:color="auto"/>
              <w:left w:val="single" w:sz="4" w:space="0" w:color="auto"/>
              <w:bottom w:val="single" w:sz="4" w:space="0" w:color="auto"/>
              <w:right w:val="single" w:sz="4" w:space="0" w:color="auto"/>
            </w:tcBorders>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Particulate Matter (grimcat e pluhurit)</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PIPP</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 xml:space="preserve">Proçeset Industriale dhe Përdorimi i Produkteve </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PTNPTP</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 xml:space="preserve">Përdorimi i Tokës dhe Ndryshimi i Përdorimit të Tokës dhe Pyjet </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PK</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Park  Kombëtar</w:t>
            </w:r>
          </w:p>
        </w:tc>
      </w:tr>
      <w:tr w:rsidR="00D672D3" w:rsidRPr="001827FC" w:rsidTr="005617F3">
        <w:tc>
          <w:tcPr>
            <w:tcW w:w="1373" w:type="dxa"/>
            <w:tcBorders>
              <w:top w:val="single" w:sz="4" w:space="0" w:color="auto"/>
              <w:left w:val="single" w:sz="4" w:space="0" w:color="auto"/>
              <w:bottom w:val="single" w:sz="4" w:space="0" w:color="auto"/>
              <w:right w:val="single" w:sz="4" w:space="0" w:color="auto"/>
            </w:tcBorders>
          </w:tcPr>
          <w:p w:rsidR="00D672D3" w:rsidRPr="001827FC" w:rsidRDefault="00D672D3" w:rsidP="001827FC">
            <w:pPr>
              <w:spacing w:line="256" w:lineRule="auto"/>
              <w:rPr>
                <w:rFonts w:ascii="Times New Roman" w:hAnsi="Times New Roman" w:cs="Times New Roman"/>
                <w:sz w:val="24"/>
                <w:szCs w:val="24"/>
              </w:rPr>
            </w:pPr>
            <w:r>
              <w:rPr>
                <w:rFonts w:ascii="Times New Roman" w:hAnsi="Times New Roman" w:cs="Times New Roman"/>
                <w:sz w:val="24"/>
                <w:szCs w:val="24"/>
              </w:rPr>
              <w:t>PZP</w:t>
            </w:r>
          </w:p>
        </w:tc>
        <w:tc>
          <w:tcPr>
            <w:tcW w:w="7977" w:type="dxa"/>
            <w:tcBorders>
              <w:top w:val="single" w:sz="4" w:space="0" w:color="auto"/>
              <w:left w:val="single" w:sz="4" w:space="0" w:color="auto"/>
              <w:bottom w:val="single" w:sz="4" w:space="0" w:color="auto"/>
              <w:right w:val="single" w:sz="4" w:space="0" w:color="auto"/>
            </w:tcBorders>
          </w:tcPr>
          <w:p w:rsidR="00D672D3" w:rsidRPr="001827FC" w:rsidRDefault="00D672D3" w:rsidP="001827FC">
            <w:pPr>
              <w:spacing w:line="256" w:lineRule="auto"/>
              <w:rPr>
                <w:rFonts w:ascii="Times New Roman" w:hAnsi="Times New Roman" w:cs="Times New Roman"/>
                <w:sz w:val="24"/>
                <w:szCs w:val="24"/>
              </w:rPr>
            </w:pPr>
            <w:r>
              <w:rPr>
                <w:rFonts w:ascii="Times New Roman" w:hAnsi="Times New Roman" w:cs="Times New Roman"/>
                <w:sz w:val="24"/>
                <w:szCs w:val="24"/>
              </w:rPr>
              <w:t>Përgjegjësi e Zgjeruar e Prodhuesit</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RGJM</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Raport i Gjendjes në Mjedis</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RNM</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Rezervat Natyror  i Mbrojtur</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SHGJSH</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Shërbimi Gjeologjik Shqiptar</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UN</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Ujëra Nëntokësore</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UNEP</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United Nations Environment Program/ Programi për Mjedisin i Kombeve të Bashkuara</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VKM</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Vendim i Këshillit të Ministrave</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VNM</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1827FC" w:rsidP="001827FC">
            <w:pPr>
              <w:spacing w:line="256" w:lineRule="auto"/>
              <w:rPr>
                <w:rFonts w:ascii="Times New Roman" w:hAnsi="Times New Roman" w:cs="Times New Roman"/>
                <w:sz w:val="24"/>
                <w:szCs w:val="24"/>
              </w:rPr>
            </w:pPr>
            <w:r w:rsidRPr="001827FC">
              <w:rPr>
                <w:rFonts w:ascii="Times New Roman" w:hAnsi="Times New Roman" w:cs="Times New Roman"/>
                <w:sz w:val="24"/>
                <w:szCs w:val="24"/>
              </w:rPr>
              <w:t>Vlerësim i Ndikimit në Mjedis</w:t>
            </w:r>
          </w:p>
        </w:tc>
      </w:tr>
      <w:tr w:rsidR="001827FC" w:rsidRPr="001827FC" w:rsidTr="005617F3">
        <w:tc>
          <w:tcPr>
            <w:tcW w:w="1373" w:type="dxa"/>
            <w:tcBorders>
              <w:top w:val="single" w:sz="4" w:space="0" w:color="auto"/>
              <w:left w:val="single" w:sz="4" w:space="0" w:color="auto"/>
              <w:bottom w:val="single" w:sz="4" w:space="0" w:color="auto"/>
              <w:right w:val="single" w:sz="4" w:space="0" w:color="auto"/>
            </w:tcBorders>
            <w:hideMark/>
          </w:tcPr>
          <w:p w:rsidR="001827FC" w:rsidRPr="001827FC" w:rsidRDefault="002C4833" w:rsidP="001827FC">
            <w:pPr>
              <w:spacing w:line="256" w:lineRule="auto"/>
              <w:rPr>
                <w:rFonts w:ascii="Times New Roman" w:hAnsi="Times New Roman" w:cs="Times New Roman"/>
                <w:sz w:val="24"/>
                <w:szCs w:val="24"/>
              </w:rPr>
            </w:pPr>
            <w:r>
              <w:rPr>
                <w:rFonts w:ascii="Times New Roman" w:hAnsi="Times New Roman" w:cs="Times New Roman"/>
                <w:sz w:val="24"/>
                <w:szCs w:val="24"/>
              </w:rPr>
              <w:t>Ë</w:t>
            </w:r>
            <w:r w:rsidR="001827FC" w:rsidRPr="001827FC">
              <w:rPr>
                <w:rFonts w:ascii="Times New Roman" w:hAnsi="Times New Roman" w:cs="Times New Roman"/>
                <w:sz w:val="24"/>
                <w:szCs w:val="24"/>
              </w:rPr>
              <w:t>HO</w:t>
            </w:r>
          </w:p>
        </w:tc>
        <w:tc>
          <w:tcPr>
            <w:tcW w:w="7977" w:type="dxa"/>
            <w:tcBorders>
              <w:top w:val="single" w:sz="4" w:space="0" w:color="auto"/>
              <w:left w:val="single" w:sz="4" w:space="0" w:color="auto"/>
              <w:bottom w:val="single" w:sz="4" w:space="0" w:color="auto"/>
              <w:right w:val="single" w:sz="4" w:space="0" w:color="auto"/>
            </w:tcBorders>
            <w:hideMark/>
          </w:tcPr>
          <w:p w:rsidR="001827FC" w:rsidRPr="001827FC" w:rsidRDefault="002C4833" w:rsidP="001827FC">
            <w:pPr>
              <w:spacing w:line="256" w:lineRule="auto"/>
              <w:rPr>
                <w:rFonts w:ascii="Times New Roman" w:hAnsi="Times New Roman" w:cs="Times New Roman"/>
                <w:sz w:val="24"/>
                <w:szCs w:val="24"/>
              </w:rPr>
            </w:pPr>
            <w:r>
              <w:rPr>
                <w:rFonts w:ascii="Times New Roman" w:hAnsi="Times New Roman" w:cs="Times New Roman"/>
                <w:sz w:val="24"/>
                <w:szCs w:val="24"/>
              </w:rPr>
              <w:t>Ë</w:t>
            </w:r>
            <w:r w:rsidR="001827FC" w:rsidRPr="001827FC">
              <w:rPr>
                <w:rFonts w:ascii="Times New Roman" w:hAnsi="Times New Roman" w:cs="Times New Roman"/>
                <w:sz w:val="24"/>
                <w:szCs w:val="24"/>
              </w:rPr>
              <w:t>orld Health Organization/Organizata Botërore e Shëndetësisë</w:t>
            </w:r>
          </w:p>
        </w:tc>
      </w:tr>
    </w:tbl>
    <w:p w:rsidR="004D7AA4" w:rsidRPr="006042F6" w:rsidRDefault="004D7AA4" w:rsidP="00E0358A">
      <w:pPr>
        <w:rPr>
          <w:rFonts w:ascii="Times New Roman" w:hAnsi="Times New Roman" w:cs="Times New Roman"/>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A2481A" w:rsidRDefault="00A2481A" w:rsidP="00E0358A">
      <w:pPr>
        <w:rPr>
          <w:sz w:val="24"/>
          <w:szCs w:val="24"/>
        </w:rPr>
      </w:pPr>
    </w:p>
    <w:p w:rsidR="00AA69EF" w:rsidRDefault="00AA69EF" w:rsidP="00E0358A">
      <w:pPr>
        <w:rPr>
          <w:sz w:val="24"/>
          <w:szCs w:val="24"/>
        </w:rPr>
      </w:pPr>
    </w:p>
    <w:p w:rsidR="00AA69EF" w:rsidRDefault="00AA69EF" w:rsidP="006042F6">
      <w:pPr>
        <w:jc w:val="center"/>
        <w:rPr>
          <w:rFonts w:ascii="Times New Roman" w:hAnsi="Times New Roman" w:cs="Times New Roman"/>
          <w:b/>
          <w:sz w:val="32"/>
          <w:szCs w:val="32"/>
        </w:rPr>
      </w:pPr>
    </w:p>
    <w:p w:rsidR="004D7AA4" w:rsidRDefault="00244257" w:rsidP="006042F6">
      <w:pPr>
        <w:jc w:val="center"/>
        <w:rPr>
          <w:rFonts w:ascii="Times New Roman" w:hAnsi="Times New Roman" w:cs="Times New Roman"/>
          <w:b/>
          <w:sz w:val="32"/>
          <w:szCs w:val="32"/>
        </w:rPr>
      </w:pPr>
      <w:r w:rsidRPr="00AA69EF">
        <w:rPr>
          <w:rFonts w:ascii="Times New Roman" w:hAnsi="Times New Roman" w:cs="Times New Roman"/>
          <w:b/>
          <w:sz w:val="32"/>
          <w:szCs w:val="32"/>
        </w:rPr>
        <w:t>Burimi i të</w:t>
      </w:r>
      <w:r w:rsidR="006042F6" w:rsidRPr="00AA69EF">
        <w:rPr>
          <w:rFonts w:ascii="Times New Roman" w:hAnsi="Times New Roman" w:cs="Times New Roman"/>
          <w:b/>
          <w:sz w:val="32"/>
          <w:szCs w:val="32"/>
        </w:rPr>
        <w:t xml:space="preserve"> dhënave</w:t>
      </w:r>
    </w:p>
    <w:p w:rsidR="00AA69EF" w:rsidRPr="00AA69EF" w:rsidRDefault="00AA69EF" w:rsidP="006042F6">
      <w:pPr>
        <w:jc w:val="center"/>
        <w:rPr>
          <w:rFonts w:ascii="Times New Roman" w:hAnsi="Times New Roman" w:cs="Times New Roman"/>
          <w:b/>
          <w:sz w:val="32"/>
          <w:szCs w:val="32"/>
        </w:rPr>
      </w:pPr>
    </w:p>
    <w:tbl>
      <w:tblPr>
        <w:tblStyle w:val="TableGrid110"/>
        <w:tblW w:w="0" w:type="auto"/>
        <w:tblLook w:val="04A0" w:firstRow="1" w:lastRow="0" w:firstColumn="1" w:lastColumn="0" w:noHBand="0" w:noVBand="1"/>
      </w:tblPr>
      <w:tblGrid>
        <w:gridCol w:w="4945"/>
        <w:gridCol w:w="4405"/>
      </w:tblGrid>
      <w:tr w:rsidR="006042F6" w:rsidRPr="006042F6" w:rsidTr="006042F6">
        <w:tc>
          <w:tcPr>
            <w:tcW w:w="4945" w:type="dxa"/>
            <w:tcBorders>
              <w:top w:val="single" w:sz="4" w:space="0" w:color="auto"/>
              <w:left w:val="single" w:sz="4" w:space="0" w:color="auto"/>
              <w:bottom w:val="single" w:sz="4" w:space="0" w:color="auto"/>
              <w:right w:val="single" w:sz="4" w:space="0" w:color="auto"/>
            </w:tcBorders>
          </w:tcPr>
          <w:p w:rsidR="006042F6" w:rsidRPr="006042F6" w:rsidRDefault="006042F6" w:rsidP="006042F6">
            <w:pPr>
              <w:rPr>
                <w:rFonts w:ascii="Times New Roman" w:hAnsi="Times New Roman"/>
                <w:sz w:val="24"/>
                <w:szCs w:val="24"/>
              </w:rPr>
            </w:pPr>
            <w:bookmarkStart w:id="0" w:name="_Hlk200615467"/>
            <w:r w:rsidRPr="006042F6">
              <w:rPr>
                <w:rFonts w:ascii="Times New Roman" w:hAnsi="Times New Roman"/>
                <w:sz w:val="24"/>
                <w:szCs w:val="24"/>
              </w:rPr>
              <w:t>Monitorimi/Dokument/Raport</w:t>
            </w:r>
          </w:p>
          <w:p w:rsidR="006042F6" w:rsidRPr="006042F6" w:rsidRDefault="006042F6" w:rsidP="006042F6">
            <w:pPr>
              <w:rPr>
                <w:rFonts w:ascii="Times New Roman" w:hAnsi="Times New Roman"/>
                <w:sz w:val="24"/>
                <w:szCs w:val="24"/>
              </w:rPr>
            </w:pP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 xml:space="preserve">Institucioni </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jc w:val="both"/>
              <w:rPr>
                <w:rFonts w:ascii="Times New Roman" w:eastAsia="Calibri" w:hAnsi="Times New Roman"/>
                <w:sz w:val="24"/>
                <w:szCs w:val="24"/>
                <w:lang w:val="it-IT"/>
              </w:rPr>
            </w:pPr>
            <w:r w:rsidRPr="006042F6">
              <w:rPr>
                <w:rFonts w:ascii="Times New Roman" w:hAnsi="Times New Roman"/>
                <w:sz w:val="24"/>
                <w:szCs w:val="24"/>
              </w:rPr>
              <w:t>Monitorimi i</w:t>
            </w:r>
            <w:r w:rsidRPr="006042F6">
              <w:rPr>
                <w:rFonts w:ascii="Times New Roman" w:eastAsia="Calibri" w:hAnsi="Times New Roman"/>
                <w:bCs/>
                <w:sz w:val="24"/>
                <w:szCs w:val="24"/>
                <w:lang w:val="sq-AL"/>
              </w:rPr>
              <w:t xml:space="preserve"> cilësisë së ujërave sipërfaqësore të Shqipërisë në lumenj, liqene dhe zona bregdetare si dhe ndikimi i shkarkimeve të lëngëta urbane në cilësinë e tyre”</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r w:rsidRPr="006042F6">
              <w:rPr>
                <w:rFonts w:ascii="Times New Roman" w:hAnsi="Times New Roman"/>
                <w:bCs/>
                <w:sz w:val="24"/>
                <w:szCs w:val="24"/>
              </w:rPr>
              <w:t>Agjencia Kombëtare e Mjedisit</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 xml:space="preserve">Monitorimi i ndotjeve radioaktive  të ujërave sipërfaqësor dhe precipitimeve atmosferike (fallout) në Shqipëri </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Instituti i Fizikës Bërthamore të Zbatuar</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 xml:space="preserve">Monitorimi i prurjeve ujore në lumenjtë e Shqipërisë  </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Sherbimi Gjeologjik Shqiptar</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Monitorimi i cilësisë së ajrit urban me stacione automatike në qytetet kryesore të vendit tonë si Tiranë, Durrës, Shkodër, Elbasan, Fier dhe Korçë për treguesit kryesorë të cilësisë së ajrit urban si: PM10, PM2.5, NO2, SO2 , O3, CO dhe</w:t>
            </w:r>
            <w:r w:rsidRPr="006042F6">
              <w:rPr>
                <w:rFonts w:ascii="Times New Roman" w:hAnsi="Times New Roman"/>
                <w:b/>
                <w:sz w:val="24"/>
                <w:szCs w:val="24"/>
              </w:rPr>
              <w:t xml:space="preserve"> </w:t>
            </w:r>
            <w:r w:rsidRPr="006042F6">
              <w:rPr>
                <w:rFonts w:ascii="Times New Roman" w:hAnsi="Times New Roman"/>
                <w:sz w:val="24"/>
                <w:szCs w:val="24"/>
              </w:rPr>
              <w:t xml:space="preserve">BTEX.  </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r w:rsidRPr="006042F6">
              <w:rPr>
                <w:rFonts w:ascii="Times New Roman" w:hAnsi="Times New Roman"/>
                <w:bCs/>
                <w:sz w:val="24"/>
                <w:szCs w:val="24"/>
              </w:rPr>
              <w:t>Agjencia Kombëtare e Mjedisit</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376E24" w:rsidRDefault="006042F6" w:rsidP="006042F6">
            <w:pPr>
              <w:rPr>
                <w:rFonts w:ascii="Times New Roman" w:hAnsi="Times New Roman"/>
                <w:sz w:val="24"/>
                <w:szCs w:val="24"/>
              </w:rPr>
            </w:pPr>
            <w:r w:rsidRPr="006042F6">
              <w:rPr>
                <w:rFonts w:ascii="Times New Roman" w:hAnsi="Times New Roman"/>
                <w:sz w:val="24"/>
                <w:szCs w:val="24"/>
              </w:rPr>
              <w:t>Të dhënat për ndryshimet klimatike janë marrë nga</w:t>
            </w:r>
            <w:r w:rsidR="002424EC">
              <w:rPr>
                <w:rFonts w:ascii="Times New Roman" w:hAnsi="Times New Roman"/>
                <w:sz w:val="24"/>
                <w:szCs w:val="24"/>
              </w:rPr>
              <w:t xml:space="preserve"> dokument Inventari i gazeve me efekt serë.</w:t>
            </w:r>
            <w:r w:rsidRPr="006042F6">
              <w:rPr>
                <w:rFonts w:ascii="Times New Roman" w:hAnsi="Times New Roman"/>
                <w:sz w:val="24"/>
                <w:szCs w:val="24"/>
              </w:rPr>
              <w:t xml:space="preserve"> </w:t>
            </w:r>
          </w:p>
          <w:p w:rsidR="00376E24" w:rsidRDefault="00376E24" w:rsidP="006042F6">
            <w:pPr>
              <w:rPr>
                <w:rFonts w:ascii="Times New Roman" w:hAnsi="Times New Roman"/>
                <w:sz w:val="24"/>
                <w:szCs w:val="24"/>
              </w:rPr>
            </w:pPr>
          </w:p>
          <w:p w:rsidR="006042F6" w:rsidRPr="006042F6" w:rsidRDefault="002424EC" w:rsidP="006042F6">
            <w:pPr>
              <w:rPr>
                <w:rFonts w:ascii="Times New Roman" w:hAnsi="Times New Roman"/>
                <w:sz w:val="24"/>
                <w:szCs w:val="24"/>
              </w:rPr>
            </w:pPr>
            <w:r>
              <w:rPr>
                <w:rFonts w:ascii="Times New Roman" w:hAnsi="Times New Roman"/>
                <w:sz w:val="24"/>
                <w:szCs w:val="24"/>
              </w:rPr>
              <w:t>D</w:t>
            </w:r>
            <w:r w:rsidR="006042F6" w:rsidRPr="006042F6">
              <w:rPr>
                <w:rFonts w:ascii="Times New Roman" w:hAnsi="Times New Roman"/>
                <w:sz w:val="24"/>
                <w:szCs w:val="24"/>
              </w:rPr>
              <w:t>okumenti “Kontributi Kombëtar i Pikësynuar 2020”.</w:t>
            </w:r>
          </w:p>
        </w:tc>
        <w:tc>
          <w:tcPr>
            <w:tcW w:w="4405" w:type="dxa"/>
            <w:tcBorders>
              <w:top w:val="single" w:sz="4" w:space="0" w:color="auto"/>
              <w:left w:val="single" w:sz="4" w:space="0" w:color="auto"/>
              <w:bottom w:val="single" w:sz="4" w:space="0" w:color="auto"/>
              <w:right w:val="single" w:sz="4" w:space="0" w:color="auto"/>
            </w:tcBorders>
            <w:hideMark/>
          </w:tcPr>
          <w:p w:rsidR="002424EC" w:rsidRDefault="002424EC" w:rsidP="006042F6">
            <w:pPr>
              <w:rPr>
                <w:rFonts w:ascii="Times New Roman" w:hAnsi="Times New Roman"/>
                <w:bCs/>
                <w:sz w:val="24"/>
                <w:szCs w:val="24"/>
              </w:rPr>
            </w:pPr>
            <w:r>
              <w:rPr>
                <w:rFonts w:ascii="Times New Roman" w:hAnsi="Times New Roman"/>
                <w:bCs/>
                <w:sz w:val="24"/>
                <w:szCs w:val="24"/>
              </w:rPr>
              <w:t>Agjencia Kombëtare e Mjedisit</w:t>
            </w:r>
          </w:p>
          <w:p w:rsidR="002424EC" w:rsidRDefault="002424EC" w:rsidP="006042F6">
            <w:pPr>
              <w:rPr>
                <w:rFonts w:ascii="Times New Roman" w:hAnsi="Times New Roman"/>
                <w:bCs/>
                <w:sz w:val="24"/>
                <w:szCs w:val="24"/>
              </w:rPr>
            </w:pPr>
          </w:p>
          <w:p w:rsidR="002424EC" w:rsidRDefault="002424EC" w:rsidP="006042F6">
            <w:pPr>
              <w:rPr>
                <w:rFonts w:ascii="Times New Roman" w:hAnsi="Times New Roman"/>
                <w:bCs/>
                <w:sz w:val="24"/>
                <w:szCs w:val="24"/>
              </w:rPr>
            </w:pPr>
          </w:p>
          <w:p w:rsidR="006042F6" w:rsidRPr="006042F6" w:rsidRDefault="006042F6" w:rsidP="006042F6">
            <w:pPr>
              <w:rPr>
                <w:rFonts w:ascii="Times New Roman" w:hAnsi="Times New Roman"/>
                <w:bCs/>
                <w:sz w:val="24"/>
                <w:szCs w:val="24"/>
              </w:rPr>
            </w:pPr>
            <w:r w:rsidRPr="006042F6">
              <w:rPr>
                <w:rFonts w:ascii="Times New Roman" w:hAnsi="Times New Roman"/>
                <w:bCs/>
                <w:sz w:val="24"/>
                <w:szCs w:val="24"/>
              </w:rPr>
              <w:t>UNDP</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M</w:t>
            </w:r>
            <w:r w:rsidRPr="006042F6">
              <w:rPr>
                <w:rFonts w:ascii="Times New Roman" w:hAnsi="Times New Roman"/>
                <w:bCs/>
                <w:sz w:val="24"/>
                <w:szCs w:val="24"/>
              </w:rPr>
              <w:t xml:space="preserve">onitorimi i zhurmave </w:t>
            </w:r>
            <w:r w:rsidRPr="006042F6">
              <w:rPr>
                <w:rFonts w:ascii="Times New Roman" w:hAnsi="Times New Roman"/>
                <w:sz w:val="24"/>
                <w:szCs w:val="24"/>
              </w:rPr>
              <w:t>në qytetet Tiranë Shkodër</w:t>
            </w:r>
            <w:r w:rsidR="00244257">
              <w:rPr>
                <w:rFonts w:ascii="Times New Roman" w:hAnsi="Times New Roman"/>
                <w:sz w:val="24"/>
                <w:szCs w:val="24"/>
              </w:rPr>
              <w:t>,</w:t>
            </w:r>
            <w:r w:rsidRPr="006042F6">
              <w:rPr>
                <w:rFonts w:ascii="Times New Roman" w:hAnsi="Times New Roman"/>
                <w:sz w:val="24"/>
                <w:szCs w:val="24"/>
              </w:rPr>
              <w:t xml:space="preserve"> Vlorë, Lezhë, Kukës, Korçë, Pogradec, Berat, Sarandë, Gjirokastër, Fier, Përmet, Lushnje.</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bCs/>
                <w:sz w:val="24"/>
                <w:szCs w:val="24"/>
              </w:rPr>
              <w:t>Agjencia Kombëtare e Mjedisit</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0419A3" w:rsidP="006042F6">
            <w:pPr>
              <w:rPr>
                <w:rFonts w:ascii="Times New Roman" w:hAnsi="Times New Roman"/>
                <w:sz w:val="24"/>
                <w:szCs w:val="24"/>
              </w:rPr>
            </w:pPr>
            <w:r>
              <w:rPr>
                <w:rFonts w:ascii="Times New Roman" w:eastAsia="Times New Roman" w:hAnsi="Times New Roman"/>
                <w:sz w:val="24"/>
                <w:szCs w:val="24"/>
              </w:rPr>
              <w:t>Monitorimi</w:t>
            </w:r>
            <w:r w:rsidR="006042F6" w:rsidRPr="006042F6">
              <w:rPr>
                <w:rFonts w:ascii="Times New Roman" w:eastAsia="Times New Roman" w:hAnsi="Times New Roman"/>
                <w:sz w:val="24"/>
                <w:szCs w:val="24"/>
              </w:rPr>
              <w:t xml:space="preserve"> i cilësisë së ujërave bregdetarë të larjes</w:t>
            </w:r>
            <w:r>
              <w:rPr>
                <w:rFonts w:ascii="Times New Roman" w:eastAsia="Times New Roman" w:hAnsi="Times New Roman"/>
                <w:sz w:val="24"/>
                <w:szCs w:val="24"/>
              </w:rPr>
              <w:t xml:space="preserve"> (plazhet)</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Instituti i Shëndetit Publik</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2424EC" w:rsidP="006042F6">
            <w:pPr>
              <w:jc w:val="both"/>
              <w:rPr>
                <w:rFonts w:ascii="Times New Roman" w:eastAsia="Calibri" w:hAnsi="Times New Roman"/>
                <w:sz w:val="24"/>
                <w:szCs w:val="24"/>
                <w:lang w:val="sq-AL"/>
              </w:rPr>
            </w:pPr>
            <w:r>
              <w:rPr>
                <w:rFonts w:ascii="Times New Roman" w:eastAsia="Calibri" w:hAnsi="Times New Roman"/>
                <w:sz w:val="24"/>
                <w:szCs w:val="24"/>
                <w:lang w:val="sq-AL"/>
              </w:rPr>
              <w:t>Monitorimi gjeologjik i lumenjve Drin-Gjadër, Kir, Mat,Vjosë dhe Ishëm</w:t>
            </w:r>
            <w:r w:rsidR="00162781">
              <w:rPr>
                <w:rFonts w:ascii="Times New Roman" w:eastAsia="Calibri" w:hAnsi="Times New Roman"/>
                <w:sz w:val="24"/>
                <w:szCs w:val="24"/>
                <w:lang w:val="sq-AL"/>
              </w:rPr>
              <w:t>,</w:t>
            </w:r>
            <w:r>
              <w:rPr>
                <w:rFonts w:ascii="Times New Roman" w:eastAsia="Calibri" w:hAnsi="Times New Roman"/>
                <w:sz w:val="24"/>
                <w:szCs w:val="24"/>
                <w:lang w:val="sq-AL"/>
              </w:rPr>
              <w:t xml:space="preserve"> propozimi i masave për mënjanimin e pasojave.</w:t>
            </w:r>
            <w:r w:rsidR="006042F6" w:rsidRPr="006042F6">
              <w:rPr>
                <w:rFonts w:ascii="Times New Roman" w:eastAsia="Calibri" w:hAnsi="Times New Roman"/>
                <w:sz w:val="24"/>
                <w:szCs w:val="24"/>
                <w:lang w:val="sq-AL"/>
              </w:rPr>
              <w:t xml:space="preserve"> </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 xml:space="preserve">Shërbimi Gjeologjik Shqiptar </w:t>
            </w:r>
          </w:p>
        </w:tc>
      </w:tr>
      <w:tr w:rsidR="002424EC" w:rsidRPr="006042F6" w:rsidTr="006042F6">
        <w:tc>
          <w:tcPr>
            <w:tcW w:w="4945" w:type="dxa"/>
            <w:tcBorders>
              <w:top w:val="single" w:sz="4" w:space="0" w:color="auto"/>
              <w:left w:val="single" w:sz="4" w:space="0" w:color="auto"/>
              <w:bottom w:val="single" w:sz="4" w:space="0" w:color="auto"/>
              <w:right w:val="single" w:sz="4" w:space="0" w:color="auto"/>
            </w:tcBorders>
          </w:tcPr>
          <w:p w:rsidR="002424EC" w:rsidRDefault="00162781" w:rsidP="00162781">
            <w:pPr>
              <w:rPr>
                <w:rFonts w:ascii="Times New Roman" w:eastAsia="Calibri" w:hAnsi="Times New Roman"/>
                <w:sz w:val="24"/>
                <w:szCs w:val="24"/>
                <w:lang w:val="sq-AL"/>
              </w:rPr>
            </w:pPr>
            <w:r>
              <w:rPr>
                <w:rFonts w:ascii="Times New Roman" w:eastAsia="Calibri" w:hAnsi="Times New Roman"/>
                <w:sz w:val="24"/>
                <w:szCs w:val="24"/>
                <w:lang w:val="sq-AL"/>
              </w:rPr>
              <w:t xml:space="preserve">Vlerësimi sasior dhe cilësor i ujërave </w:t>
            </w:r>
            <w:r w:rsidR="002424EC">
              <w:rPr>
                <w:rFonts w:ascii="Times New Roman" w:eastAsia="Calibri" w:hAnsi="Times New Roman"/>
                <w:sz w:val="24"/>
                <w:szCs w:val="24"/>
                <w:lang w:val="sq-AL"/>
              </w:rPr>
              <w:t>nëntokësore</w:t>
            </w:r>
            <w:r w:rsidR="000419A3">
              <w:rPr>
                <w:rFonts w:ascii="Times New Roman" w:eastAsia="Calibri" w:hAnsi="Times New Roman"/>
                <w:sz w:val="24"/>
                <w:szCs w:val="24"/>
                <w:lang w:val="sq-AL"/>
              </w:rPr>
              <w:t xml:space="preserve"> në basenet ujëmbajtëse.</w:t>
            </w:r>
          </w:p>
        </w:tc>
        <w:tc>
          <w:tcPr>
            <w:tcW w:w="4405" w:type="dxa"/>
            <w:tcBorders>
              <w:top w:val="single" w:sz="4" w:space="0" w:color="auto"/>
              <w:left w:val="single" w:sz="4" w:space="0" w:color="auto"/>
              <w:bottom w:val="single" w:sz="4" w:space="0" w:color="auto"/>
              <w:right w:val="single" w:sz="4" w:space="0" w:color="auto"/>
            </w:tcBorders>
          </w:tcPr>
          <w:p w:rsidR="002424EC" w:rsidRPr="006042F6" w:rsidRDefault="000419A3" w:rsidP="006042F6">
            <w:pPr>
              <w:rPr>
                <w:rFonts w:ascii="Times New Roman" w:hAnsi="Times New Roman"/>
                <w:sz w:val="24"/>
                <w:szCs w:val="24"/>
              </w:rPr>
            </w:pPr>
            <w:r w:rsidRPr="006042F6">
              <w:rPr>
                <w:rFonts w:ascii="Times New Roman" w:hAnsi="Times New Roman"/>
                <w:sz w:val="24"/>
                <w:szCs w:val="24"/>
              </w:rPr>
              <w:t>Shërbimi Gjeologjik Shqiptar</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 xml:space="preserve">Monitorimi per </w:t>
            </w:r>
            <w:r w:rsidR="002424EC">
              <w:rPr>
                <w:rFonts w:ascii="Times New Roman" w:hAnsi="Times New Roman"/>
                <w:sz w:val="24"/>
                <w:szCs w:val="24"/>
              </w:rPr>
              <w:t>identifikimin</w:t>
            </w:r>
            <w:r w:rsidR="000419A3">
              <w:rPr>
                <w:rFonts w:ascii="Times New Roman" w:hAnsi="Times New Roman"/>
                <w:sz w:val="24"/>
                <w:szCs w:val="24"/>
              </w:rPr>
              <w:t xml:space="preserve"> </w:t>
            </w:r>
            <w:r w:rsidR="002424EC">
              <w:rPr>
                <w:rFonts w:ascii="Times New Roman" w:hAnsi="Times New Roman"/>
                <w:sz w:val="24"/>
                <w:szCs w:val="24"/>
              </w:rPr>
              <w:t>e zonave</w:t>
            </w:r>
            <w:r w:rsidR="0035511C">
              <w:rPr>
                <w:rFonts w:ascii="Times New Roman" w:hAnsi="Times New Roman"/>
                <w:sz w:val="24"/>
                <w:szCs w:val="24"/>
              </w:rPr>
              <w:t xml:space="preserve"> të ndotura me metale të rënda.</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Qendra e Transferimit tëTeknologjive Bujqësore</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0419A3" w:rsidP="006042F6">
            <w:pPr>
              <w:rPr>
                <w:rFonts w:ascii="Times New Roman" w:hAnsi="Times New Roman"/>
                <w:sz w:val="24"/>
                <w:szCs w:val="24"/>
              </w:rPr>
            </w:pPr>
            <w:r>
              <w:rPr>
                <w:rFonts w:ascii="Times New Roman" w:hAnsi="Times New Roman"/>
                <w:sz w:val="24"/>
                <w:szCs w:val="24"/>
              </w:rPr>
              <w:t>Të dhënat për substancat ozo</w:t>
            </w:r>
            <w:r w:rsidR="00162781">
              <w:rPr>
                <w:rFonts w:ascii="Times New Roman" w:hAnsi="Times New Roman"/>
                <w:sz w:val="24"/>
                <w:szCs w:val="24"/>
              </w:rPr>
              <w:t>n</w:t>
            </w:r>
            <w:r w:rsidR="00244257">
              <w:rPr>
                <w:rFonts w:ascii="Times New Roman" w:hAnsi="Times New Roman"/>
                <w:sz w:val="24"/>
                <w:szCs w:val="24"/>
              </w:rPr>
              <w:t>holluese, eksporti i mbetjeve</w:t>
            </w:r>
            <w:r>
              <w:rPr>
                <w:rFonts w:ascii="Times New Roman" w:hAnsi="Times New Roman"/>
                <w:sz w:val="24"/>
                <w:szCs w:val="24"/>
              </w:rPr>
              <w:t>, ekonomi qarkulluese.</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0419A3" w:rsidP="006042F6">
            <w:pPr>
              <w:rPr>
                <w:rFonts w:ascii="Times New Roman" w:hAnsi="Times New Roman"/>
                <w:sz w:val="24"/>
                <w:szCs w:val="24"/>
              </w:rPr>
            </w:pPr>
            <w:r>
              <w:rPr>
                <w:rFonts w:ascii="Times New Roman" w:hAnsi="Times New Roman"/>
                <w:sz w:val="24"/>
                <w:szCs w:val="24"/>
              </w:rPr>
              <w:t>Ministria e Mjedisit</w:t>
            </w:r>
          </w:p>
        </w:tc>
      </w:tr>
      <w:tr w:rsidR="00660554" w:rsidRPr="006042F6" w:rsidTr="006042F6">
        <w:tc>
          <w:tcPr>
            <w:tcW w:w="4945" w:type="dxa"/>
            <w:tcBorders>
              <w:top w:val="single" w:sz="4" w:space="0" w:color="auto"/>
              <w:left w:val="single" w:sz="4" w:space="0" w:color="auto"/>
              <w:bottom w:val="single" w:sz="4" w:space="0" w:color="auto"/>
              <w:right w:val="single" w:sz="4" w:space="0" w:color="auto"/>
            </w:tcBorders>
          </w:tcPr>
          <w:p w:rsidR="00660554" w:rsidRPr="00660554" w:rsidRDefault="00660554" w:rsidP="006042F6">
            <w:pPr>
              <w:rPr>
                <w:rFonts w:ascii="Times New Roman" w:eastAsia="Times New Roman" w:hAnsi="Times New Roman"/>
                <w:color w:val="000000"/>
                <w:sz w:val="24"/>
                <w:szCs w:val="24"/>
                <w:u w:color="000000"/>
                <w:lang w:val="sq-AL"/>
              </w:rPr>
            </w:pPr>
            <w:r>
              <w:rPr>
                <w:rFonts w:ascii="Times New Roman" w:hAnsi="Times New Roman"/>
                <w:sz w:val="24"/>
                <w:szCs w:val="24"/>
              </w:rPr>
              <w:lastRenderedPageBreak/>
              <w:t xml:space="preserve">Të dhënat për  </w:t>
            </w:r>
            <w:r w:rsidRPr="00660554">
              <w:rPr>
                <w:rFonts w:ascii="Times New Roman" w:eastAsia="Times New Roman" w:hAnsi="Times New Roman"/>
                <w:color w:val="000000"/>
                <w:sz w:val="24"/>
                <w:szCs w:val="24"/>
                <w:u w:color="000000"/>
                <w:lang w:val="sq-AL"/>
              </w:rPr>
              <w:t>Treguesit e Udhërrëfyesit për Ekonominë Qarkulluese</w:t>
            </w:r>
            <w:r>
              <w:rPr>
                <w:rFonts w:ascii="Times New Roman" w:eastAsia="Times New Roman" w:hAnsi="Times New Roman"/>
                <w:color w:val="000000"/>
                <w:sz w:val="24"/>
                <w:szCs w:val="24"/>
                <w:u w:color="000000"/>
                <w:lang w:val="sq-AL"/>
              </w:rPr>
              <w:t xml:space="preserve"> dhe </w:t>
            </w:r>
            <w:r>
              <w:rPr>
                <w:rFonts w:ascii="Times New Roman" w:hAnsi="Times New Roman"/>
                <w:sz w:val="24"/>
                <w:szCs w:val="24"/>
              </w:rPr>
              <w:t>treguesit e performanc</w:t>
            </w:r>
            <w:r w:rsidR="003A31D9">
              <w:rPr>
                <w:rFonts w:ascii="Times New Roman" w:hAnsi="Times New Roman"/>
                <w:sz w:val="24"/>
                <w:szCs w:val="24"/>
              </w:rPr>
              <w:t>ë</w:t>
            </w:r>
            <w:r>
              <w:rPr>
                <w:rFonts w:ascii="Times New Roman" w:hAnsi="Times New Roman"/>
                <w:sz w:val="24"/>
                <w:szCs w:val="24"/>
              </w:rPr>
              <w:t>s për menaxhimin e mbetjeve bashkiake</w:t>
            </w:r>
          </w:p>
        </w:tc>
        <w:tc>
          <w:tcPr>
            <w:tcW w:w="4405" w:type="dxa"/>
            <w:tcBorders>
              <w:top w:val="single" w:sz="4" w:space="0" w:color="auto"/>
              <w:left w:val="single" w:sz="4" w:space="0" w:color="auto"/>
              <w:bottom w:val="single" w:sz="4" w:space="0" w:color="auto"/>
              <w:right w:val="single" w:sz="4" w:space="0" w:color="auto"/>
            </w:tcBorders>
          </w:tcPr>
          <w:p w:rsidR="00660554" w:rsidRDefault="00660554" w:rsidP="006042F6">
            <w:pPr>
              <w:rPr>
                <w:rFonts w:ascii="Times New Roman" w:hAnsi="Times New Roman"/>
                <w:sz w:val="24"/>
                <w:szCs w:val="24"/>
              </w:rPr>
            </w:pPr>
            <w:r>
              <w:rPr>
                <w:rFonts w:ascii="Times New Roman" w:hAnsi="Times New Roman"/>
                <w:sz w:val="24"/>
                <w:szCs w:val="24"/>
              </w:rPr>
              <w:t>GIZ, Albania</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244257" w:rsidP="006042F6">
            <w:pPr>
              <w:rPr>
                <w:rFonts w:ascii="Times New Roman" w:hAnsi="Times New Roman"/>
                <w:sz w:val="24"/>
                <w:szCs w:val="24"/>
              </w:rPr>
            </w:pPr>
            <w:r>
              <w:rPr>
                <w:rFonts w:ascii="Times New Roman" w:hAnsi="Times New Roman"/>
                <w:sz w:val="24"/>
                <w:szCs w:val="24"/>
              </w:rPr>
              <w:t>Të dhënat për sasinë</w:t>
            </w:r>
            <w:r w:rsidR="006042F6" w:rsidRPr="006042F6">
              <w:rPr>
                <w:rFonts w:ascii="Times New Roman" w:hAnsi="Times New Roman"/>
                <w:sz w:val="24"/>
                <w:szCs w:val="24"/>
              </w:rPr>
              <w:t xml:space="preserve"> dhe cilësinë e lëndëve djegëse</w:t>
            </w:r>
            <w:r>
              <w:rPr>
                <w:rFonts w:ascii="Times New Roman" w:hAnsi="Times New Roman"/>
                <w:sz w:val="24"/>
                <w:szCs w:val="24"/>
              </w:rPr>
              <w:t>.</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I</w:t>
            </w:r>
            <w:r w:rsidR="00376E24">
              <w:rPr>
                <w:rFonts w:ascii="Times New Roman" w:hAnsi="Times New Roman"/>
                <w:sz w:val="24"/>
                <w:szCs w:val="24"/>
              </w:rPr>
              <w:t xml:space="preserve">nspektoriati </w:t>
            </w:r>
            <w:r w:rsidRPr="006042F6">
              <w:rPr>
                <w:rFonts w:ascii="Times New Roman" w:hAnsi="Times New Roman"/>
                <w:sz w:val="24"/>
                <w:szCs w:val="24"/>
              </w:rPr>
              <w:t>S</w:t>
            </w:r>
            <w:r w:rsidR="00376E24">
              <w:rPr>
                <w:rFonts w:ascii="Times New Roman" w:hAnsi="Times New Roman"/>
                <w:sz w:val="24"/>
                <w:szCs w:val="24"/>
              </w:rPr>
              <w:t xml:space="preserve">htetëror </w:t>
            </w:r>
            <w:r w:rsidRPr="006042F6">
              <w:rPr>
                <w:rFonts w:ascii="Times New Roman" w:hAnsi="Times New Roman"/>
                <w:sz w:val="24"/>
                <w:szCs w:val="24"/>
              </w:rPr>
              <w:t>T</w:t>
            </w:r>
            <w:r w:rsidR="00376E24">
              <w:rPr>
                <w:rFonts w:ascii="Times New Roman" w:hAnsi="Times New Roman"/>
                <w:sz w:val="24"/>
                <w:szCs w:val="24"/>
              </w:rPr>
              <w:t xml:space="preserve">eknik </w:t>
            </w:r>
            <w:r w:rsidRPr="006042F6">
              <w:rPr>
                <w:rFonts w:ascii="Times New Roman" w:hAnsi="Times New Roman"/>
                <w:sz w:val="24"/>
                <w:szCs w:val="24"/>
              </w:rPr>
              <w:t>I</w:t>
            </w:r>
            <w:r w:rsidR="00376E24">
              <w:rPr>
                <w:rFonts w:ascii="Times New Roman" w:hAnsi="Times New Roman"/>
                <w:sz w:val="24"/>
                <w:szCs w:val="24"/>
              </w:rPr>
              <w:t>ndustrial</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244257" w:rsidP="006042F6">
            <w:pPr>
              <w:rPr>
                <w:rFonts w:ascii="Times New Roman" w:hAnsi="Times New Roman"/>
                <w:sz w:val="24"/>
                <w:szCs w:val="24"/>
              </w:rPr>
            </w:pPr>
            <w:r>
              <w:rPr>
                <w:rFonts w:ascii="Times New Roman" w:hAnsi="Times New Roman"/>
                <w:sz w:val="24"/>
                <w:szCs w:val="24"/>
              </w:rPr>
              <w:t>Të dhënat për</w:t>
            </w:r>
            <w:r w:rsidR="006042F6" w:rsidRPr="006042F6">
              <w:rPr>
                <w:rFonts w:ascii="Times New Roman" w:hAnsi="Times New Roman"/>
                <w:sz w:val="24"/>
                <w:szCs w:val="24"/>
              </w:rPr>
              <w:t xml:space="preserve"> raportet e vetmonitorimit/ leje mjediosre/VNM/ inspektime </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bCs/>
                <w:sz w:val="24"/>
                <w:szCs w:val="24"/>
              </w:rPr>
              <w:t>Agjencia Kombëtare e Mjedisit</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Të dhënat për importin e produkteve për mbrojtjen e bimëve, produkteve plehëruese dhe sigurinë ushqimore</w:t>
            </w:r>
            <w:r w:rsidR="00244257">
              <w:rPr>
                <w:rFonts w:ascii="Times New Roman" w:hAnsi="Times New Roman"/>
                <w:sz w:val="24"/>
                <w:szCs w:val="24"/>
              </w:rPr>
              <w:t>.</w:t>
            </w:r>
            <w:r w:rsidRPr="006042F6">
              <w:rPr>
                <w:rFonts w:ascii="Times New Roman" w:hAnsi="Times New Roman"/>
                <w:sz w:val="24"/>
                <w:szCs w:val="24"/>
              </w:rPr>
              <w:t xml:space="preserve"> </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Autoriteti Kombëtar i Ushqimit</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 xml:space="preserve">Të dhënat për </w:t>
            </w:r>
            <w:r w:rsidR="000419A3">
              <w:rPr>
                <w:rFonts w:ascii="Times New Roman" w:hAnsi="Times New Roman"/>
                <w:sz w:val="24"/>
                <w:szCs w:val="24"/>
              </w:rPr>
              <w:t xml:space="preserve"> mbetjet e produkteve shtazore </w:t>
            </w:r>
            <w:r w:rsidR="00162781">
              <w:rPr>
                <w:rFonts w:ascii="Times New Roman" w:hAnsi="Times New Roman"/>
                <w:sz w:val="24"/>
                <w:szCs w:val="24"/>
              </w:rPr>
              <w:t xml:space="preserve">dhe </w:t>
            </w:r>
            <w:r w:rsidRPr="006042F6">
              <w:rPr>
                <w:rFonts w:ascii="Times New Roman" w:hAnsi="Times New Roman"/>
                <w:sz w:val="24"/>
                <w:szCs w:val="24"/>
              </w:rPr>
              <w:t>bujqësinë</w:t>
            </w:r>
            <w:r w:rsidR="00244257">
              <w:rPr>
                <w:rFonts w:ascii="Times New Roman" w:hAnsi="Times New Roman"/>
                <w:sz w:val="24"/>
                <w:szCs w:val="24"/>
              </w:rPr>
              <w:t>.</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0419A3" w:rsidP="006042F6">
            <w:pPr>
              <w:rPr>
                <w:rFonts w:ascii="Times New Roman" w:hAnsi="Times New Roman"/>
                <w:sz w:val="24"/>
                <w:szCs w:val="24"/>
              </w:rPr>
            </w:pPr>
            <w:r>
              <w:rPr>
                <w:rFonts w:ascii="Times New Roman" w:hAnsi="Times New Roman"/>
                <w:sz w:val="24"/>
                <w:szCs w:val="24"/>
              </w:rPr>
              <w:t xml:space="preserve">Ministria e Bujqësisë dhe Zhvillimit Rural </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244257" w:rsidP="006042F6">
            <w:pPr>
              <w:rPr>
                <w:rFonts w:ascii="Times New Roman" w:hAnsi="Times New Roman"/>
                <w:sz w:val="24"/>
                <w:szCs w:val="24"/>
              </w:rPr>
            </w:pPr>
            <w:r>
              <w:rPr>
                <w:rFonts w:ascii="Times New Roman" w:hAnsi="Times New Roman"/>
                <w:sz w:val="24"/>
                <w:szCs w:val="24"/>
              </w:rPr>
              <w:t>Të dhenat për PP , PMB.</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Autoritet Kombëtar i Ushqimit</w:t>
            </w:r>
          </w:p>
        </w:tc>
      </w:tr>
      <w:tr w:rsidR="000419A3" w:rsidRPr="006042F6" w:rsidTr="006042F6">
        <w:tc>
          <w:tcPr>
            <w:tcW w:w="4945" w:type="dxa"/>
            <w:tcBorders>
              <w:top w:val="single" w:sz="4" w:space="0" w:color="auto"/>
              <w:left w:val="single" w:sz="4" w:space="0" w:color="auto"/>
              <w:bottom w:val="single" w:sz="4" w:space="0" w:color="auto"/>
              <w:right w:val="single" w:sz="4" w:space="0" w:color="auto"/>
            </w:tcBorders>
          </w:tcPr>
          <w:p w:rsidR="000419A3" w:rsidRPr="006042F6" w:rsidRDefault="000419A3" w:rsidP="006042F6">
            <w:pPr>
              <w:rPr>
                <w:rFonts w:ascii="Times New Roman" w:hAnsi="Times New Roman"/>
                <w:sz w:val="24"/>
                <w:szCs w:val="24"/>
              </w:rPr>
            </w:pPr>
            <w:r>
              <w:rPr>
                <w:rFonts w:ascii="Times New Roman" w:hAnsi="Times New Roman"/>
                <w:sz w:val="24"/>
                <w:szCs w:val="24"/>
              </w:rPr>
              <w:t>Të dhënat për mbetjet nga shëndetësia</w:t>
            </w:r>
            <w:r w:rsidR="00244257">
              <w:rPr>
                <w:rFonts w:ascii="Times New Roman" w:hAnsi="Times New Roman"/>
                <w:sz w:val="24"/>
                <w:szCs w:val="24"/>
              </w:rPr>
              <w:t>.</w:t>
            </w:r>
          </w:p>
        </w:tc>
        <w:tc>
          <w:tcPr>
            <w:tcW w:w="4405" w:type="dxa"/>
            <w:tcBorders>
              <w:top w:val="single" w:sz="4" w:space="0" w:color="auto"/>
              <w:left w:val="single" w:sz="4" w:space="0" w:color="auto"/>
              <w:bottom w:val="single" w:sz="4" w:space="0" w:color="auto"/>
              <w:right w:val="single" w:sz="4" w:space="0" w:color="auto"/>
            </w:tcBorders>
          </w:tcPr>
          <w:p w:rsidR="000419A3" w:rsidRPr="006042F6" w:rsidRDefault="000419A3" w:rsidP="006042F6">
            <w:pPr>
              <w:rPr>
                <w:rFonts w:ascii="Times New Roman" w:hAnsi="Times New Roman"/>
                <w:sz w:val="24"/>
                <w:szCs w:val="24"/>
              </w:rPr>
            </w:pPr>
            <w:r>
              <w:rPr>
                <w:rFonts w:ascii="Times New Roman" w:hAnsi="Times New Roman"/>
                <w:sz w:val="24"/>
                <w:szCs w:val="24"/>
              </w:rPr>
              <w:t>Ministria e Shëndetësisë dhe Mirëqënies Sociale</w:t>
            </w:r>
          </w:p>
        </w:tc>
      </w:tr>
      <w:tr w:rsidR="0035511C" w:rsidRPr="006042F6" w:rsidTr="006042F6">
        <w:tc>
          <w:tcPr>
            <w:tcW w:w="4945" w:type="dxa"/>
            <w:tcBorders>
              <w:top w:val="single" w:sz="4" w:space="0" w:color="auto"/>
              <w:left w:val="single" w:sz="4" w:space="0" w:color="auto"/>
              <w:bottom w:val="single" w:sz="4" w:space="0" w:color="auto"/>
              <w:right w:val="single" w:sz="4" w:space="0" w:color="auto"/>
            </w:tcBorders>
          </w:tcPr>
          <w:p w:rsidR="0035511C" w:rsidRDefault="0035511C" w:rsidP="006042F6">
            <w:pPr>
              <w:rPr>
                <w:rFonts w:ascii="Times New Roman" w:hAnsi="Times New Roman"/>
                <w:sz w:val="24"/>
                <w:szCs w:val="24"/>
              </w:rPr>
            </w:pPr>
            <w:r>
              <w:rPr>
                <w:rFonts w:ascii="Times New Roman" w:hAnsi="Times New Roman"/>
                <w:sz w:val="24"/>
                <w:szCs w:val="24"/>
              </w:rPr>
              <w:t>T</w:t>
            </w:r>
            <w:r w:rsidR="00244257">
              <w:rPr>
                <w:rFonts w:ascii="Times New Roman" w:hAnsi="Times New Roman"/>
                <w:sz w:val="24"/>
                <w:szCs w:val="24"/>
              </w:rPr>
              <w:t>ë dhënat për mbetjet bashkiake.</w:t>
            </w:r>
          </w:p>
        </w:tc>
        <w:tc>
          <w:tcPr>
            <w:tcW w:w="4405" w:type="dxa"/>
            <w:tcBorders>
              <w:top w:val="single" w:sz="4" w:space="0" w:color="auto"/>
              <w:left w:val="single" w:sz="4" w:space="0" w:color="auto"/>
              <w:bottom w:val="single" w:sz="4" w:space="0" w:color="auto"/>
              <w:right w:val="single" w:sz="4" w:space="0" w:color="auto"/>
            </w:tcBorders>
          </w:tcPr>
          <w:p w:rsidR="0035511C" w:rsidRDefault="0035511C" w:rsidP="006042F6">
            <w:pPr>
              <w:rPr>
                <w:rFonts w:ascii="Times New Roman" w:hAnsi="Times New Roman"/>
                <w:sz w:val="24"/>
                <w:szCs w:val="24"/>
              </w:rPr>
            </w:pPr>
            <w:r>
              <w:rPr>
                <w:rFonts w:ascii="Times New Roman" w:hAnsi="Times New Roman"/>
                <w:sz w:val="24"/>
                <w:szCs w:val="24"/>
              </w:rPr>
              <w:t>Agjencia Kombëtare e Ekonomisë të Mbetjeve</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keepNext/>
              <w:keepLines/>
              <w:jc w:val="both"/>
              <w:outlineLvl w:val="0"/>
              <w:rPr>
                <w:rFonts w:ascii="Times New Roman" w:eastAsia="Times New Roman" w:hAnsi="Times New Roman"/>
                <w:bCs/>
                <w:sz w:val="24"/>
                <w:szCs w:val="24"/>
                <w:lang w:val="it-IT"/>
              </w:rPr>
            </w:pPr>
            <w:r w:rsidRPr="006042F6">
              <w:rPr>
                <w:rFonts w:ascii="Times New Roman" w:hAnsi="Times New Roman"/>
                <w:sz w:val="24"/>
                <w:szCs w:val="24"/>
              </w:rPr>
              <w:t xml:space="preserve">Monitorimi i </w:t>
            </w:r>
            <w:r w:rsidRPr="006042F6">
              <w:rPr>
                <w:rFonts w:ascii="Times New Roman" w:eastAsia="Times New Roman" w:hAnsi="Times New Roman"/>
                <w:bCs/>
                <w:sz w:val="24"/>
                <w:szCs w:val="24"/>
                <w:lang w:val="it-IT"/>
              </w:rPr>
              <w:t>burimeve gjenetike pyjore në habitatin e llo</w:t>
            </w:r>
            <w:r w:rsidR="00162781">
              <w:rPr>
                <w:rFonts w:ascii="Times New Roman" w:eastAsia="Times New Roman" w:hAnsi="Times New Roman"/>
                <w:bCs/>
                <w:sz w:val="24"/>
                <w:szCs w:val="24"/>
                <w:lang w:val="it-IT"/>
              </w:rPr>
              <w:t>j</w:t>
            </w:r>
            <w:r w:rsidRPr="006042F6">
              <w:rPr>
                <w:rFonts w:ascii="Times New Roman" w:eastAsia="Times New Roman" w:hAnsi="Times New Roman"/>
                <w:bCs/>
                <w:sz w:val="24"/>
                <w:szCs w:val="24"/>
                <w:lang w:val="it-IT"/>
              </w:rPr>
              <w:t>it Dushk dhe Gështënjë, gjendja e shëndetit, vitalitetit në pyjet e vendit tonë, vlerësimi i specieve drunore dhe bimëve aromatiko-mjekësore të kë</w:t>
            </w:r>
            <w:r w:rsidR="00162781">
              <w:rPr>
                <w:rFonts w:ascii="Times New Roman" w:eastAsia="Times New Roman" w:hAnsi="Times New Roman"/>
                <w:bCs/>
                <w:sz w:val="24"/>
                <w:szCs w:val="24"/>
                <w:lang w:val="it-IT"/>
              </w:rPr>
              <w:t>rcënuara dhe në rrezik zhdukje</w:t>
            </w:r>
            <w:r w:rsidRPr="006042F6">
              <w:rPr>
                <w:rFonts w:ascii="Times New Roman" w:eastAsia="Times New Roman" w:hAnsi="Times New Roman"/>
                <w:bCs/>
                <w:sz w:val="24"/>
                <w:szCs w:val="24"/>
                <w:lang w:val="it-IT"/>
              </w:rPr>
              <w:t>.</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Agjencia Kombëtare e Pyjeve</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Të dh</w:t>
            </w:r>
            <w:r w:rsidR="00376E24">
              <w:rPr>
                <w:rFonts w:ascii="Times New Roman" w:hAnsi="Times New Roman"/>
                <w:sz w:val="24"/>
                <w:szCs w:val="24"/>
              </w:rPr>
              <w:t>ë</w:t>
            </w:r>
            <w:r w:rsidRPr="006042F6">
              <w:rPr>
                <w:rFonts w:ascii="Times New Roman" w:hAnsi="Times New Roman"/>
                <w:sz w:val="24"/>
                <w:szCs w:val="24"/>
              </w:rPr>
              <w:t>nat për fondin pyjor, kullosor (Inventari Kombëtar i Pyjeve dhe Kullotave)</w:t>
            </w:r>
            <w:r w:rsidR="00244257">
              <w:rPr>
                <w:rFonts w:ascii="Times New Roman" w:hAnsi="Times New Roman"/>
                <w:sz w:val="24"/>
                <w:szCs w:val="24"/>
              </w:rPr>
              <w:t>.</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Agjencia Kombëtare e Pyjeve</w:t>
            </w:r>
          </w:p>
        </w:tc>
      </w:tr>
      <w:tr w:rsidR="006042F6" w:rsidRPr="006042F6" w:rsidTr="006042F6">
        <w:tc>
          <w:tcPr>
            <w:tcW w:w="494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 xml:space="preserve">Zonat e mbrojtura </w:t>
            </w:r>
          </w:p>
        </w:tc>
        <w:tc>
          <w:tcPr>
            <w:tcW w:w="4405" w:type="dxa"/>
            <w:tcBorders>
              <w:top w:val="single" w:sz="4" w:space="0" w:color="auto"/>
              <w:left w:val="single" w:sz="4" w:space="0" w:color="auto"/>
              <w:bottom w:val="single" w:sz="4" w:space="0" w:color="auto"/>
              <w:right w:val="single" w:sz="4" w:space="0" w:color="auto"/>
            </w:tcBorders>
            <w:hideMark/>
          </w:tcPr>
          <w:p w:rsidR="006042F6" w:rsidRPr="006042F6" w:rsidRDefault="006042F6" w:rsidP="006042F6">
            <w:pPr>
              <w:rPr>
                <w:rFonts w:ascii="Times New Roman" w:hAnsi="Times New Roman"/>
                <w:sz w:val="24"/>
                <w:szCs w:val="24"/>
              </w:rPr>
            </w:pPr>
            <w:r w:rsidRPr="006042F6">
              <w:rPr>
                <w:rFonts w:ascii="Times New Roman" w:hAnsi="Times New Roman"/>
                <w:sz w:val="24"/>
                <w:szCs w:val="24"/>
              </w:rPr>
              <w:t>Agjencia Kombëtare e Zonave të Mbrojtura</w:t>
            </w:r>
          </w:p>
        </w:tc>
      </w:tr>
      <w:bookmarkEnd w:id="0"/>
    </w:tbl>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C849D5" w:rsidRDefault="00C849D5" w:rsidP="00E0358A">
      <w:pPr>
        <w:rPr>
          <w:sz w:val="24"/>
          <w:szCs w:val="24"/>
        </w:rPr>
      </w:pPr>
    </w:p>
    <w:p w:rsidR="004D7AA4" w:rsidRPr="0088337B" w:rsidRDefault="0088337B" w:rsidP="0088337B">
      <w:pPr>
        <w:jc w:val="center"/>
        <w:rPr>
          <w:rFonts w:ascii="Times New Roman" w:hAnsi="Times New Roman" w:cs="Times New Roman"/>
          <w:b/>
          <w:sz w:val="24"/>
          <w:szCs w:val="24"/>
        </w:rPr>
      </w:pPr>
      <w:r w:rsidRPr="0088337B">
        <w:rPr>
          <w:rFonts w:ascii="Times New Roman" w:hAnsi="Times New Roman" w:cs="Times New Roman"/>
          <w:b/>
          <w:sz w:val="24"/>
          <w:szCs w:val="24"/>
        </w:rPr>
        <w:t>HYRJE</w:t>
      </w:r>
    </w:p>
    <w:p w:rsidR="004D7AA4" w:rsidRDefault="004D7AA4" w:rsidP="00E0358A">
      <w:pPr>
        <w:rPr>
          <w:sz w:val="24"/>
          <w:szCs w:val="24"/>
        </w:rPr>
      </w:pPr>
    </w:p>
    <w:p w:rsidR="00C849D5" w:rsidRPr="0035511C" w:rsidRDefault="0035511C" w:rsidP="00C849D5">
      <w:pPr>
        <w:autoSpaceDE w:val="0"/>
        <w:autoSpaceDN w:val="0"/>
        <w:adjustRightInd w:val="0"/>
        <w:spacing w:after="0" w:line="240" w:lineRule="auto"/>
        <w:jc w:val="both"/>
        <w:rPr>
          <w:rFonts w:ascii="Times New Roman" w:eastAsia="Calibri" w:hAnsi="Times New Roman" w:cs="Times New Roman"/>
          <w:b/>
          <w:sz w:val="24"/>
          <w:szCs w:val="24"/>
        </w:rPr>
      </w:pPr>
      <w:r w:rsidRPr="0035511C">
        <w:rPr>
          <w:rFonts w:ascii="Times New Roman" w:eastAsia="Calibri" w:hAnsi="Times New Roman" w:cs="Times New Roman"/>
          <w:sz w:val="24"/>
          <w:szCs w:val="24"/>
        </w:rPr>
        <w:t>Raporti i Gjendjes në Mjedis për vitin 202</w:t>
      </w:r>
      <w:r w:rsidR="00C849D5">
        <w:rPr>
          <w:rFonts w:ascii="Times New Roman" w:eastAsia="Calibri" w:hAnsi="Times New Roman" w:cs="Times New Roman"/>
          <w:sz w:val="24"/>
          <w:szCs w:val="24"/>
        </w:rPr>
        <w:t>5</w:t>
      </w:r>
      <w:r w:rsidRPr="0035511C">
        <w:rPr>
          <w:rFonts w:ascii="Times New Roman" w:eastAsia="Calibri" w:hAnsi="Times New Roman" w:cs="Times New Roman"/>
          <w:sz w:val="24"/>
          <w:szCs w:val="24"/>
        </w:rPr>
        <w:t>, paraqet</w:t>
      </w:r>
      <w:r w:rsidRPr="0035511C">
        <w:rPr>
          <w:rFonts w:ascii="Times New Roman" w:eastAsia="Calibri" w:hAnsi="Times New Roman" w:cs="Times New Roman"/>
          <w:b/>
          <w:sz w:val="24"/>
          <w:szCs w:val="24"/>
        </w:rPr>
        <w:t xml:space="preserve"> </w:t>
      </w:r>
      <w:r w:rsidRPr="0035511C">
        <w:rPr>
          <w:rFonts w:ascii="Times New Roman" w:eastAsia="Calibri" w:hAnsi="Times New Roman" w:cs="Times New Roman"/>
          <w:iCs/>
          <w:sz w:val="24"/>
          <w:szCs w:val="24"/>
        </w:rPr>
        <w:t xml:space="preserve">vlerësimin e gjendjes së mjedisit bazuar në të dhëna përkatëse për komponentët kryesorë të mjedisit. </w:t>
      </w:r>
      <w:r w:rsidR="00C849D5" w:rsidRPr="0035511C">
        <w:rPr>
          <w:rFonts w:ascii="Times New Roman" w:eastAsia="Calibri" w:hAnsi="Times New Roman" w:cs="Times New Roman"/>
          <w:iCs/>
          <w:sz w:val="24"/>
          <w:szCs w:val="24"/>
        </w:rPr>
        <w:t>Synimi ynë ësh</w:t>
      </w:r>
      <w:r w:rsidR="00F32916">
        <w:rPr>
          <w:rFonts w:ascii="Times New Roman" w:eastAsia="Calibri" w:hAnsi="Times New Roman" w:cs="Times New Roman"/>
          <w:iCs/>
          <w:sz w:val="24"/>
          <w:szCs w:val="24"/>
        </w:rPr>
        <w:t xml:space="preserve">të që publiku të marrë njohuri </w:t>
      </w:r>
      <w:r w:rsidR="00C849D5" w:rsidRPr="0035511C">
        <w:rPr>
          <w:rFonts w:ascii="Times New Roman" w:eastAsia="Calibri" w:hAnsi="Times New Roman" w:cs="Times New Roman"/>
          <w:iCs/>
          <w:sz w:val="24"/>
          <w:szCs w:val="24"/>
        </w:rPr>
        <w:t>për cilësinë e mjedisit ku jeton</w:t>
      </w:r>
      <w:r w:rsidR="00C849D5">
        <w:rPr>
          <w:rFonts w:ascii="Times New Roman" w:eastAsia="Calibri" w:hAnsi="Times New Roman" w:cs="Times New Roman"/>
          <w:iCs/>
          <w:sz w:val="24"/>
          <w:szCs w:val="24"/>
        </w:rPr>
        <w:t xml:space="preserve"> </w:t>
      </w:r>
      <w:r w:rsidR="00C849D5" w:rsidRPr="0035511C">
        <w:rPr>
          <w:rFonts w:ascii="Times New Roman" w:eastAsia="Calibri" w:hAnsi="Times New Roman" w:cs="Times New Roman"/>
          <w:iCs/>
          <w:sz w:val="24"/>
          <w:szCs w:val="24"/>
        </w:rPr>
        <w:t xml:space="preserve">si dhe përfshirjen në përmirësimin e gjendjes nëpërmjet zhvillimit të ndërgjegjësimit në mbrojtje të mjedisit.  </w:t>
      </w:r>
    </w:p>
    <w:p w:rsidR="00C849D5" w:rsidRDefault="00C849D5" w:rsidP="0035511C">
      <w:pPr>
        <w:autoSpaceDE w:val="0"/>
        <w:autoSpaceDN w:val="0"/>
        <w:adjustRightInd w:val="0"/>
        <w:spacing w:after="0" w:line="240" w:lineRule="auto"/>
        <w:jc w:val="both"/>
        <w:rPr>
          <w:rFonts w:ascii="Times New Roman" w:eastAsia="Calibri" w:hAnsi="Times New Roman" w:cs="Times New Roman"/>
          <w:iCs/>
          <w:sz w:val="24"/>
          <w:szCs w:val="24"/>
        </w:rPr>
      </w:pPr>
    </w:p>
    <w:p w:rsidR="00C849D5" w:rsidRDefault="00C849D5" w:rsidP="0035511C">
      <w:pPr>
        <w:autoSpaceDE w:val="0"/>
        <w:autoSpaceDN w:val="0"/>
        <w:adjustRightInd w:val="0"/>
        <w:spacing w:after="0" w:line="240" w:lineRule="auto"/>
        <w:jc w:val="both"/>
        <w:rPr>
          <w:rFonts w:ascii="Times New Roman" w:eastAsia="Calibri" w:hAnsi="Times New Roman" w:cs="Times New Roman"/>
          <w:iCs/>
          <w:sz w:val="24"/>
          <w:szCs w:val="24"/>
        </w:rPr>
      </w:pPr>
    </w:p>
    <w:p w:rsidR="0035511C" w:rsidRPr="00C849D5" w:rsidRDefault="00C849D5" w:rsidP="0035511C">
      <w:pPr>
        <w:autoSpaceDE w:val="0"/>
        <w:autoSpaceDN w:val="0"/>
        <w:adjustRightInd w:val="0"/>
        <w:spacing w:after="0" w:line="240" w:lineRule="auto"/>
        <w:jc w:val="both"/>
        <w:rPr>
          <w:rFonts w:ascii="Times New Roman" w:eastAsia="Calibri" w:hAnsi="Times New Roman" w:cs="Times New Roman"/>
          <w:iCs/>
          <w:sz w:val="24"/>
          <w:szCs w:val="24"/>
        </w:rPr>
      </w:pPr>
      <w:r w:rsidRPr="0035511C">
        <w:rPr>
          <w:rFonts w:ascii="Times New Roman" w:eastAsia="Times New Roman" w:hAnsi="Times New Roman" w:cs="Times New Roman"/>
          <w:sz w:val="24"/>
          <w:szCs w:val="24"/>
        </w:rPr>
        <w:t xml:space="preserve">Ky raport </w:t>
      </w:r>
      <w:r w:rsidR="0035511C" w:rsidRPr="0035511C">
        <w:rPr>
          <w:rFonts w:ascii="Times New Roman" w:eastAsia="Calibri" w:hAnsi="Times New Roman" w:cs="Times New Roman"/>
          <w:iCs/>
          <w:sz w:val="24"/>
          <w:szCs w:val="24"/>
        </w:rPr>
        <w:t>vlerëson</w:t>
      </w:r>
      <w:r w:rsidR="00F32916">
        <w:rPr>
          <w:rFonts w:ascii="Times New Roman" w:eastAsia="Calibri" w:hAnsi="Times New Roman" w:cs="Times New Roman"/>
          <w:iCs/>
          <w:sz w:val="24"/>
          <w:szCs w:val="24"/>
        </w:rPr>
        <w:t xml:space="preserve"> tendencën e treguesve të matur</w:t>
      </w:r>
      <w:r w:rsidR="0035511C" w:rsidRPr="0035511C">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d</w:t>
      </w:r>
      <w:r w:rsidR="0035511C" w:rsidRPr="0035511C">
        <w:rPr>
          <w:rFonts w:ascii="Times New Roman" w:eastAsia="Calibri" w:hAnsi="Times New Roman" w:cs="Times New Roman"/>
          <w:iCs/>
          <w:sz w:val="24"/>
          <w:szCs w:val="24"/>
        </w:rPr>
        <w:t>he jep</w:t>
      </w:r>
      <w:r w:rsidR="00F32916">
        <w:rPr>
          <w:rFonts w:ascii="Times New Roman" w:eastAsia="Calibri" w:hAnsi="Times New Roman" w:cs="Times New Roman"/>
          <w:iCs/>
          <w:sz w:val="24"/>
          <w:szCs w:val="24"/>
        </w:rPr>
        <w:t xml:space="preserve"> </w:t>
      </w:r>
      <w:r w:rsidR="0035511C" w:rsidRPr="0035511C">
        <w:rPr>
          <w:rFonts w:ascii="Times New Roman" w:eastAsia="Calibri" w:hAnsi="Times New Roman" w:cs="Times New Roman"/>
          <w:iCs/>
          <w:sz w:val="24"/>
          <w:szCs w:val="24"/>
        </w:rPr>
        <w:t>rekomandime për të lehtësuar  vlerësimin dhe efektivitetin e masave të politikave mjedisore.</w:t>
      </w:r>
      <w:r w:rsidR="0035511C" w:rsidRPr="003551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Gjithashtu </w:t>
      </w:r>
      <w:r w:rsidR="0035511C" w:rsidRPr="0035511C">
        <w:rPr>
          <w:rFonts w:ascii="Times New Roman" w:eastAsia="Times New Roman" w:hAnsi="Times New Roman" w:cs="Times New Roman"/>
          <w:sz w:val="24"/>
          <w:szCs w:val="24"/>
        </w:rPr>
        <w:t xml:space="preserve">është një mesazh për politikëbërësit, të cilët nëpërmjet njohjes së gjendjes në mjedis dhe rekomandimeve, të ndërmarrin veprime </w:t>
      </w:r>
      <w:r w:rsidR="0035511C" w:rsidRPr="0035511C">
        <w:rPr>
          <w:rFonts w:ascii="Times New Roman" w:eastAsia="MinionPro-Regular" w:hAnsi="Times New Roman" w:cs="Times New Roman"/>
          <w:sz w:val="24"/>
          <w:szCs w:val="24"/>
        </w:rPr>
        <w:t xml:space="preserve">në hartimin e politikave më efikase në parandalimin e ndikimeve në mjedis.  </w:t>
      </w:r>
    </w:p>
    <w:p w:rsidR="0035511C" w:rsidRPr="0035511C" w:rsidRDefault="0035511C" w:rsidP="0035511C">
      <w:pPr>
        <w:autoSpaceDE w:val="0"/>
        <w:autoSpaceDN w:val="0"/>
        <w:adjustRightInd w:val="0"/>
        <w:spacing w:after="0" w:line="240" w:lineRule="auto"/>
        <w:jc w:val="both"/>
        <w:rPr>
          <w:rFonts w:ascii="Times New Roman" w:eastAsia="Calibri" w:hAnsi="Times New Roman" w:cs="Times New Roman"/>
          <w:iCs/>
          <w:sz w:val="24"/>
          <w:szCs w:val="24"/>
        </w:rPr>
      </w:pPr>
    </w:p>
    <w:p w:rsidR="0035511C" w:rsidRPr="0035511C" w:rsidRDefault="0035511C" w:rsidP="0035511C">
      <w:pPr>
        <w:autoSpaceDE w:val="0"/>
        <w:autoSpaceDN w:val="0"/>
        <w:adjustRightInd w:val="0"/>
        <w:spacing w:after="0" w:line="240" w:lineRule="auto"/>
        <w:rPr>
          <w:rFonts w:ascii="Times New Roman" w:eastAsia="Calibri" w:hAnsi="Times New Roman" w:cs="Times New Roman"/>
          <w:iCs/>
          <w:color w:val="FF0000"/>
          <w:sz w:val="24"/>
          <w:szCs w:val="24"/>
        </w:rPr>
      </w:pPr>
    </w:p>
    <w:p w:rsidR="0035511C" w:rsidRPr="0035511C" w:rsidRDefault="0035511C" w:rsidP="0035511C">
      <w:pPr>
        <w:spacing w:line="256" w:lineRule="auto"/>
        <w:jc w:val="both"/>
        <w:rPr>
          <w:rFonts w:ascii="Times New Roman" w:eastAsia="Calibri" w:hAnsi="Times New Roman" w:cs="Times New Roman"/>
          <w:sz w:val="24"/>
          <w:szCs w:val="24"/>
        </w:rPr>
      </w:pPr>
      <w:r w:rsidRPr="0035511C">
        <w:rPr>
          <w:rFonts w:ascii="Times New Roman" w:eastAsia="Calibri" w:hAnsi="Times New Roman" w:cs="Times New Roman"/>
          <w:sz w:val="24"/>
          <w:szCs w:val="24"/>
        </w:rPr>
        <w:t>Raporti i Gjendjes në Mjedis 202</w:t>
      </w:r>
      <w:r w:rsidR="00C849D5">
        <w:rPr>
          <w:rFonts w:ascii="Times New Roman" w:eastAsia="Calibri" w:hAnsi="Times New Roman" w:cs="Times New Roman"/>
          <w:sz w:val="24"/>
          <w:szCs w:val="24"/>
        </w:rPr>
        <w:t>5</w:t>
      </w:r>
      <w:r w:rsidR="00F32916">
        <w:rPr>
          <w:rFonts w:ascii="Times New Roman" w:eastAsia="Calibri" w:hAnsi="Times New Roman" w:cs="Times New Roman"/>
          <w:sz w:val="24"/>
          <w:szCs w:val="24"/>
        </w:rPr>
        <w:t>, kontribuon</w:t>
      </w:r>
      <w:r w:rsidRPr="0035511C">
        <w:rPr>
          <w:rFonts w:ascii="Times New Roman" w:eastAsia="Calibri" w:hAnsi="Times New Roman" w:cs="Times New Roman"/>
          <w:sz w:val="24"/>
          <w:szCs w:val="24"/>
        </w:rPr>
        <w:t xml:space="preserve"> në nxjerrjen në pah të arritjeve kryesore dhe problemev</w:t>
      </w:r>
      <w:r w:rsidR="00F32916">
        <w:rPr>
          <w:rFonts w:ascii="Times New Roman" w:eastAsia="Calibri" w:hAnsi="Times New Roman" w:cs="Times New Roman"/>
          <w:sz w:val="24"/>
          <w:szCs w:val="24"/>
        </w:rPr>
        <w:t>e për secilin tregues mjedisor. Siguron</w:t>
      </w:r>
      <w:r w:rsidRPr="0035511C">
        <w:rPr>
          <w:rFonts w:ascii="Times New Roman" w:eastAsia="Calibri" w:hAnsi="Times New Roman" w:cs="Times New Roman"/>
          <w:sz w:val="24"/>
          <w:szCs w:val="24"/>
        </w:rPr>
        <w:t xml:space="preserve"> një vëzhgim të gjendjes në mjedis dhe një kuadër veprimesh që janë të nevojshme të ndërmerren  për të krijuar një  mjedis të pastër</w:t>
      </w:r>
      <w:r w:rsidR="00C849D5">
        <w:rPr>
          <w:rFonts w:ascii="Times New Roman" w:eastAsia="Calibri" w:hAnsi="Times New Roman" w:cs="Times New Roman"/>
          <w:sz w:val="24"/>
          <w:szCs w:val="24"/>
        </w:rPr>
        <w:t>.</w:t>
      </w:r>
      <w:r w:rsidRPr="0035511C">
        <w:rPr>
          <w:rFonts w:ascii="Times New Roman" w:eastAsia="Calibri" w:hAnsi="Times New Roman" w:cs="Times New Roman"/>
          <w:sz w:val="24"/>
          <w:szCs w:val="24"/>
        </w:rPr>
        <w:t xml:space="preserve"> </w:t>
      </w:r>
    </w:p>
    <w:p w:rsidR="0088337B" w:rsidRDefault="0088337B"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4D7AA4" w:rsidRDefault="004D7AA4" w:rsidP="00E0358A">
      <w:pPr>
        <w:rPr>
          <w:sz w:val="24"/>
          <w:szCs w:val="24"/>
        </w:rPr>
      </w:pPr>
    </w:p>
    <w:p w:rsidR="00AB1F2A" w:rsidRDefault="00AB1F2A" w:rsidP="00E0358A">
      <w:pPr>
        <w:rPr>
          <w:sz w:val="24"/>
          <w:szCs w:val="24"/>
        </w:rPr>
      </w:pPr>
    </w:p>
    <w:p w:rsidR="00AB1F2A" w:rsidRPr="002E7797" w:rsidRDefault="002E7797" w:rsidP="002E7797">
      <w:pPr>
        <w:jc w:val="center"/>
        <w:rPr>
          <w:rFonts w:ascii="Times New Roman" w:hAnsi="Times New Roman" w:cs="Times New Roman"/>
          <w:b/>
          <w:sz w:val="24"/>
          <w:szCs w:val="24"/>
        </w:rPr>
      </w:pPr>
      <w:r w:rsidRPr="002E7797">
        <w:rPr>
          <w:rFonts w:ascii="Times New Roman" w:hAnsi="Times New Roman" w:cs="Times New Roman"/>
          <w:b/>
          <w:sz w:val="24"/>
          <w:szCs w:val="24"/>
        </w:rPr>
        <w:t>KAPITULLI  1</w:t>
      </w:r>
    </w:p>
    <w:p w:rsidR="002E7797" w:rsidRPr="002E7797" w:rsidRDefault="002E7797" w:rsidP="002E7797">
      <w:pPr>
        <w:jc w:val="center"/>
        <w:rPr>
          <w:rFonts w:ascii="Times New Roman" w:hAnsi="Times New Roman" w:cs="Times New Roman"/>
          <w:b/>
          <w:sz w:val="24"/>
          <w:szCs w:val="24"/>
        </w:rPr>
      </w:pPr>
    </w:p>
    <w:p w:rsidR="002E7797" w:rsidRPr="002E7797" w:rsidRDefault="002E7797" w:rsidP="002E7797">
      <w:pPr>
        <w:jc w:val="center"/>
        <w:rPr>
          <w:rFonts w:ascii="Times New Roman" w:hAnsi="Times New Roman" w:cs="Times New Roman"/>
          <w:b/>
          <w:sz w:val="24"/>
          <w:szCs w:val="24"/>
        </w:rPr>
      </w:pPr>
      <w:r w:rsidRPr="002E7797">
        <w:rPr>
          <w:rFonts w:ascii="Times New Roman" w:hAnsi="Times New Roman" w:cs="Times New Roman"/>
          <w:b/>
          <w:sz w:val="24"/>
          <w:szCs w:val="24"/>
        </w:rPr>
        <w:t>AJRI</w:t>
      </w:r>
    </w:p>
    <w:p w:rsidR="00AB1F2A" w:rsidRDefault="00AB1F2A" w:rsidP="00E0358A">
      <w:pPr>
        <w:rPr>
          <w:sz w:val="24"/>
          <w:szCs w:val="24"/>
        </w:rPr>
      </w:pPr>
    </w:p>
    <w:p w:rsidR="00AB1F2A" w:rsidRDefault="00716E74" w:rsidP="00E0358A">
      <w:pPr>
        <w:rPr>
          <w:sz w:val="24"/>
          <w:szCs w:val="24"/>
        </w:rPr>
      </w:pPr>
      <w:r>
        <w:rPr>
          <w:sz w:val="24"/>
          <w:szCs w:val="24"/>
        </w:rPr>
        <w:t xml:space="preserve">                </w:t>
      </w:r>
      <w:r>
        <w:rPr>
          <w:noProof/>
        </w:rPr>
        <w:drawing>
          <wp:inline distT="0" distB="0" distL="0" distR="0" wp14:anchorId="5E88F2F1" wp14:editId="46DCF565">
            <wp:extent cx="4753563" cy="2694305"/>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6981" cy="2701910"/>
                    </a:xfrm>
                    <a:prstGeom prst="rect">
                      <a:avLst/>
                    </a:prstGeom>
                    <a:noFill/>
                  </pic:spPr>
                </pic:pic>
              </a:graphicData>
            </a:graphic>
          </wp:inline>
        </w:drawing>
      </w:r>
    </w:p>
    <w:p w:rsidR="00AB1F2A" w:rsidRDefault="00AB1F2A" w:rsidP="00E0358A">
      <w:pPr>
        <w:rPr>
          <w:sz w:val="24"/>
          <w:szCs w:val="24"/>
        </w:rPr>
      </w:pPr>
    </w:p>
    <w:p w:rsidR="00AB1F2A" w:rsidRDefault="00AB1F2A" w:rsidP="00E0358A">
      <w:pPr>
        <w:rPr>
          <w:sz w:val="24"/>
          <w:szCs w:val="24"/>
        </w:rPr>
      </w:pPr>
    </w:p>
    <w:p w:rsidR="00623566" w:rsidRDefault="00623566" w:rsidP="0005229A">
      <w:pPr>
        <w:rPr>
          <w:rFonts w:ascii="Arial" w:eastAsia="Times New Roman" w:hAnsi="Arial" w:cs="Arial"/>
          <w:color w:val="3D5265"/>
          <w:sz w:val="24"/>
          <w:szCs w:val="24"/>
        </w:rPr>
      </w:pPr>
    </w:p>
    <w:p w:rsidR="00AB1F2A" w:rsidRDefault="00AB1F2A" w:rsidP="0005229A">
      <w:pPr>
        <w:rPr>
          <w:rFonts w:ascii="Arial" w:eastAsia="Times New Roman" w:hAnsi="Arial" w:cs="Arial"/>
          <w:color w:val="3D5265"/>
          <w:sz w:val="24"/>
          <w:szCs w:val="24"/>
        </w:rPr>
      </w:pPr>
    </w:p>
    <w:p w:rsidR="00C849D5" w:rsidRDefault="00C849D5" w:rsidP="0005229A">
      <w:pPr>
        <w:rPr>
          <w:rFonts w:ascii="Arial" w:eastAsia="Times New Roman" w:hAnsi="Arial" w:cs="Arial"/>
          <w:color w:val="3D5265"/>
          <w:sz w:val="24"/>
          <w:szCs w:val="24"/>
        </w:rPr>
      </w:pPr>
    </w:p>
    <w:p w:rsidR="0005229A" w:rsidRPr="00915578" w:rsidRDefault="0005229A" w:rsidP="00915578">
      <w:pPr>
        <w:jc w:val="center"/>
        <w:rPr>
          <w:rFonts w:ascii="Times New Roman" w:eastAsia="Times New Roman" w:hAnsi="Times New Roman" w:cs="Times New Roman"/>
          <w:b/>
          <w:sz w:val="24"/>
          <w:szCs w:val="24"/>
        </w:rPr>
      </w:pPr>
      <w:r w:rsidRPr="00915578">
        <w:rPr>
          <w:rFonts w:ascii="Times New Roman" w:eastAsia="Times New Roman" w:hAnsi="Times New Roman" w:cs="Times New Roman"/>
          <w:b/>
          <w:sz w:val="24"/>
          <w:szCs w:val="24"/>
        </w:rPr>
        <w:lastRenderedPageBreak/>
        <w:t>Kapitulli 1</w:t>
      </w:r>
    </w:p>
    <w:p w:rsidR="004D7AA4" w:rsidRPr="00915578" w:rsidRDefault="00915578" w:rsidP="0091557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r w:rsidR="004D7AA4" w:rsidRPr="00915578">
        <w:rPr>
          <w:rFonts w:ascii="Times New Roman" w:eastAsia="Times New Roman" w:hAnsi="Times New Roman" w:cs="Times New Roman"/>
          <w:b/>
          <w:sz w:val="24"/>
          <w:szCs w:val="24"/>
        </w:rPr>
        <w:t>jri</w:t>
      </w:r>
    </w:p>
    <w:p w:rsidR="003406C7" w:rsidRDefault="003406C7" w:rsidP="003406C7">
      <w:pPr>
        <w:spacing w:after="0" w:line="240" w:lineRule="auto"/>
        <w:rPr>
          <w:rFonts w:ascii="Calibri" w:eastAsia="Times New Roman" w:hAnsi="Calibri" w:cs="Times New Roman"/>
          <w:color w:val="000000"/>
          <w:sz w:val="24"/>
          <w:szCs w:val="24"/>
        </w:rPr>
      </w:pPr>
    </w:p>
    <w:p w:rsidR="00C86E18" w:rsidRDefault="00C86E18" w:rsidP="003406C7">
      <w:pPr>
        <w:spacing w:after="0" w:line="240" w:lineRule="auto"/>
        <w:rPr>
          <w:rFonts w:ascii="Calibri" w:eastAsia="Times New Roman" w:hAnsi="Calibri" w:cs="Times New Roman"/>
          <w:color w:val="000000"/>
          <w:sz w:val="24"/>
          <w:szCs w:val="24"/>
        </w:rPr>
      </w:pPr>
    </w:p>
    <w:p w:rsidR="00C86E18" w:rsidRPr="00C86E18" w:rsidRDefault="00C86E18" w:rsidP="00807975">
      <w:pPr>
        <w:pStyle w:val="ListParagraph"/>
        <w:numPr>
          <w:ilvl w:val="1"/>
          <w:numId w:val="33"/>
        </w:numPr>
        <w:shd w:val="clear" w:color="auto" w:fill="FFFFFF"/>
        <w:spacing w:after="0" w:line="301" w:lineRule="atLeast"/>
        <w:jc w:val="both"/>
        <w:textAlignment w:val="baseline"/>
        <w:rPr>
          <w:rFonts w:ascii="Times New Roman" w:eastAsia="Calibri" w:hAnsi="Times New Roman" w:cs="Times New Roman"/>
          <w:b/>
          <w:sz w:val="24"/>
          <w:szCs w:val="24"/>
          <w:lang w:val="sq-AL"/>
        </w:rPr>
      </w:pPr>
      <w:r w:rsidRPr="00C86E18">
        <w:rPr>
          <w:rFonts w:ascii="Times New Roman" w:eastAsia="Calibri" w:hAnsi="Times New Roman" w:cs="Times New Roman"/>
          <w:b/>
          <w:sz w:val="24"/>
          <w:szCs w:val="24"/>
          <w:lang w:val="sq-AL"/>
        </w:rPr>
        <w:t>Vlerësimi i gjendjes</w:t>
      </w:r>
    </w:p>
    <w:p w:rsidR="00C86E18" w:rsidRPr="00C86E18" w:rsidRDefault="00C86E18" w:rsidP="00C86E18">
      <w:pPr>
        <w:pStyle w:val="ListParagraph"/>
        <w:shd w:val="clear" w:color="auto" w:fill="FFFFFF"/>
        <w:spacing w:after="0" w:line="301" w:lineRule="atLeast"/>
        <w:ind w:left="360"/>
        <w:jc w:val="both"/>
        <w:textAlignment w:val="baseline"/>
        <w:rPr>
          <w:rFonts w:ascii="Times New Roman" w:eastAsia="Calibri" w:hAnsi="Times New Roman" w:cs="Times New Roman"/>
          <w:sz w:val="24"/>
          <w:szCs w:val="24"/>
          <w:lang w:val="sq-AL"/>
        </w:rPr>
      </w:pPr>
    </w:p>
    <w:p w:rsidR="007C40DD" w:rsidRPr="007C40DD" w:rsidRDefault="007C40DD" w:rsidP="007C40DD">
      <w:pPr>
        <w:shd w:val="clear" w:color="auto" w:fill="FFFFFF"/>
        <w:spacing w:after="0" w:line="301" w:lineRule="atLeast"/>
        <w:jc w:val="both"/>
        <w:textAlignment w:val="baseline"/>
        <w:rPr>
          <w:rFonts w:ascii="Times New Roman" w:eastAsia="Calibri" w:hAnsi="Times New Roman" w:cs="Times New Roman"/>
          <w:color w:val="000000"/>
          <w:sz w:val="24"/>
          <w:szCs w:val="24"/>
        </w:rPr>
      </w:pPr>
      <w:r w:rsidRPr="007C40DD">
        <w:rPr>
          <w:rFonts w:ascii="Times New Roman" w:eastAsia="Calibri" w:hAnsi="Times New Roman" w:cs="Times New Roman"/>
          <w:sz w:val="24"/>
          <w:szCs w:val="24"/>
          <w:lang w:val="sq-AL"/>
        </w:rPr>
        <w:t xml:space="preserve">Mbështetur </w:t>
      </w:r>
      <w:r w:rsidRPr="007C40DD">
        <w:rPr>
          <w:rFonts w:ascii="Times New Roman" w:eastAsia="PalatinoLinotype-Roman" w:hAnsi="Times New Roman" w:cs="Times New Roman"/>
          <w:color w:val="000000"/>
          <w:sz w:val="24"/>
          <w:szCs w:val="24"/>
        </w:rPr>
        <w:t xml:space="preserve">në </w:t>
      </w:r>
      <w:hyperlink r:id="rId13" w:history="1">
        <w:r w:rsidRPr="002E7797">
          <w:rPr>
            <w:rFonts w:ascii="Times New Roman" w:eastAsia="Calibri" w:hAnsi="Times New Roman" w:cs="Times New Roman"/>
            <w:color w:val="000000"/>
            <w:sz w:val="24"/>
            <w:szCs w:val="24"/>
          </w:rPr>
          <w:t>Ligjin Nr.10431, datë 09.06.2013 "Për mbrojtien e mjedis</w:t>
        </w:r>
        <w:r w:rsidR="00C558BD">
          <w:rPr>
            <w:rFonts w:ascii="Times New Roman" w:eastAsia="Calibri" w:hAnsi="Times New Roman" w:cs="Times New Roman"/>
            <w:color w:val="000000"/>
            <w:sz w:val="24"/>
            <w:szCs w:val="24"/>
          </w:rPr>
          <w:t>i</w:t>
        </w:r>
        <w:r w:rsidRPr="002E7797">
          <w:rPr>
            <w:rFonts w:ascii="Times New Roman" w:eastAsia="Calibri" w:hAnsi="Times New Roman" w:cs="Times New Roman"/>
            <w:color w:val="000000"/>
            <w:sz w:val="24"/>
            <w:szCs w:val="24"/>
          </w:rPr>
          <w:t>t"</w:t>
        </w:r>
      </w:hyperlink>
      <w:r w:rsidRPr="002E7797">
        <w:rPr>
          <w:rFonts w:ascii="Times New Roman" w:eastAsia="Calibri" w:hAnsi="Times New Roman" w:cs="Times New Roman"/>
          <w:sz w:val="24"/>
          <w:szCs w:val="24"/>
        </w:rPr>
        <w:t>,</w:t>
      </w:r>
      <w:r w:rsidRPr="007C40DD">
        <w:rPr>
          <w:rFonts w:ascii="Times New Roman" w:eastAsia="Calibri" w:hAnsi="Times New Roman" w:cs="Times New Roman"/>
          <w:sz w:val="24"/>
          <w:szCs w:val="24"/>
        </w:rPr>
        <w:t xml:space="preserve"> </w:t>
      </w:r>
      <w:r w:rsidRPr="007C40DD">
        <w:rPr>
          <w:rFonts w:ascii="Times New Roman" w:eastAsia="Calibri" w:hAnsi="Times New Roman" w:cs="Times New Roman"/>
          <w:color w:val="000000"/>
          <w:sz w:val="24"/>
          <w:szCs w:val="24"/>
        </w:rPr>
        <w:t>n</w:t>
      </w:r>
      <w:r w:rsidRPr="007C40DD">
        <w:rPr>
          <w:rFonts w:ascii="Times New Roman" w:eastAsia="PalatinoLinotype-Roman" w:hAnsi="Times New Roman" w:cs="Times New Roman"/>
          <w:color w:val="000000"/>
          <w:sz w:val="24"/>
          <w:szCs w:val="24"/>
        </w:rPr>
        <w:t>ë</w:t>
      </w:r>
      <w:r w:rsidRPr="007C40DD">
        <w:rPr>
          <w:rFonts w:ascii="Times New Roman" w:eastAsia="Calibri" w:hAnsi="Times New Roman" w:cs="Times New Roman"/>
          <w:color w:val="000000"/>
          <w:sz w:val="24"/>
          <w:szCs w:val="24"/>
        </w:rPr>
        <w:t xml:space="preserve"> </w:t>
      </w:r>
      <w:r w:rsidRPr="002E7797">
        <w:rPr>
          <w:rFonts w:ascii="Times New Roman" w:eastAsia="Times New Roman" w:hAnsi="Times New Roman" w:cs="Times New Roman"/>
          <w:bCs/>
          <w:sz w:val="24"/>
          <w:szCs w:val="24"/>
        </w:rPr>
        <w:t>Ligjin Nr. 162, datë 04.12.2014 “Për Mbrojtjen e Cilësisë së Ajrit të Ambientit” (i ndryshuar)</w:t>
      </w:r>
      <w:r w:rsidRPr="002E7797">
        <w:rPr>
          <w:rFonts w:ascii="Times New Roman" w:eastAsia="Calibri" w:hAnsi="Times New Roman" w:cs="Times New Roman"/>
          <w:color w:val="000000"/>
          <w:sz w:val="24"/>
          <w:szCs w:val="24"/>
        </w:rPr>
        <w:t>,</w:t>
      </w:r>
      <w:r w:rsidRPr="007C40DD">
        <w:rPr>
          <w:rFonts w:ascii="Times New Roman" w:eastAsia="Calibri" w:hAnsi="Times New Roman" w:cs="Times New Roman"/>
          <w:color w:val="000000"/>
          <w:sz w:val="24"/>
          <w:szCs w:val="24"/>
        </w:rPr>
        <w:t xml:space="preserve"> VKM Nr.1189 dat</w:t>
      </w:r>
      <w:r w:rsidRPr="007C40DD">
        <w:rPr>
          <w:rFonts w:ascii="Times New Roman" w:eastAsia="PalatinoLinotype-Roman" w:hAnsi="Times New Roman" w:cs="Times New Roman"/>
          <w:color w:val="000000"/>
          <w:sz w:val="24"/>
          <w:szCs w:val="24"/>
        </w:rPr>
        <w:t>ë</w:t>
      </w:r>
      <w:r w:rsidRPr="007C40DD">
        <w:rPr>
          <w:rFonts w:ascii="Times New Roman" w:eastAsia="Calibri" w:hAnsi="Times New Roman" w:cs="Times New Roman"/>
          <w:color w:val="000000"/>
          <w:sz w:val="24"/>
          <w:szCs w:val="24"/>
        </w:rPr>
        <w:t xml:space="preserve"> 18.11.2009 “P</w:t>
      </w:r>
      <w:r w:rsidRPr="007C40DD">
        <w:rPr>
          <w:rFonts w:ascii="Times New Roman" w:eastAsia="PalatinoLinotype-Roman" w:hAnsi="Times New Roman" w:cs="Times New Roman"/>
          <w:color w:val="000000"/>
          <w:sz w:val="24"/>
          <w:szCs w:val="24"/>
        </w:rPr>
        <w:t>ë</w:t>
      </w:r>
      <w:r w:rsidR="00C86E18">
        <w:rPr>
          <w:rFonts w:ascii="Times New Roman" w:eastAsia="Calibri" w:hAnsi="Times New Roman" w:cs="Times New Roman"/>
          <w:color w:val="000000"/>
          <w:sz w:val="24"/>
          <w:szCs w:val="24"/>
        </w:rPr>
        <w:t>r rregullat dhe p</w:t>
      </w:r>
      <w:r w:rsidRPr="007C40DD">
        <w:rPr>
          <w:rFonts w:ascii="Times New Roman" w:eastAsia="Calibri" w:hAnsi="Times New Roman" w:cs="Times New Roman"/>
          <w:color w:val="000000"/>
          <w:sz w:val="24"/>
          <w:szCs w:val="24"/>
        </w:rPr>
        <w:t>roçedurat p</w:t>
      </w:r>
      <w:r w:rsidRPr="007C40DD">
        <w:rPr>
          <w:rFonts w:ascii="Times New Roman" w:eastAsia="PalatinoLinotype-Roman" w:hAnsi="Times New Roman" w:cs="Times New Roman"/>
          <w:color w:val="000000"/>
          <w:sz w:val="24"/>
          <w:szCs w:val="24"/>
        </w:rPr>
        <w:t>ë</w:t>
      </w:r>
      <w:r w:rsidRPr="007C40DD">
        <w:rPr>
          <w:rFonts w:ascii="Times New Roman" w:eastAsia="Calibri" w:hAnsi="Times New Roman" w:cs="Times New Roman"/>
          <w:color w:val="000000"/>
          <w:sz w:val="24"/>
          <w:szCs w:val="24"/>
        </w:rPr>
        <w:t>r hartimin dhe zbatimin e Programit Komb</w:t>
      </w:r>
      <w:r w:rsidRPr="007C40DD">
        <w:rPr>
          <w:rFonts w:ascii="Times New Roman" w:eastAsia="PalatinoLinotype-Roman" w:hAnsi="Times New Roman" w:cs="Times New Roman"/>
          <w:color w:val="000000"/>
          <w:sz w:val="24"/>
          <w:szCs w:val="24"/>
        </w:rPr>
        <w:t>ë</w:t>
      </w:r>
      <w:r w:rsidRPr="007C40DD">
        <w:rPr>
          <w:rFonts w:ascii="Times New Roman" w:eastAsia="Calibri" w:hAnsi="Times New Roman" w:cs="Times New Roman"/>
          <w:color w:val="000000"/>
          <w:sz w:val="24"/>
          <w:szCs w:val="24"/>
        </w:rPr>
        <w:t>tar p</w:t>
      </w:r>
      <w:r w:rsidRPr="007C40DD">
        <w:rPr>
          <w:rFonts w:ascii="Times New Roman" w:eastAsia="PalatinoLinotype-Roman" w:hAnsi="Times New Roman" w:cs="Times New Roman"/>
          <w:color w:val="000000"/>
          <w:sz w:val="24"/>
          <w:szCs w:val="24"/>
        </w:rPr>
        <w:t>ë</w:t>
      </w:r>
      <w:r w:rsidRPr="007C40DD">
        <w:rPr>
          <w:rFonts w:ascii="Times New Roman" w:eastAsia="Calibri" w:hAnsi="Times New Roman" w:cs="Times New Roman"/>
          <w:color w:val="000000"/>
          <w:sz w:val="24"/>
          <w:szCs w:val="24"/>
        </w:rPr>
        <w:t xml:space="preserve">r </w:t>
      </w:r>
      <w:r w:rsidR="00C558BD">
        <w:rPr>
          <w:rFonts w:ascii="Times New Roman" w:eastAsia="Calibri" w:hAnsi="Times New Roman" w:cs="Times New Roman"/>
          <w:color w:val="000000"/>
          <w:sz w:val="24"/>
          <w:szCs w:val="24"/>
        </w:rPr>
        <w:t>M</w:t>
      </w:r>
      <w:r w:rsidRPr="007C40DD">
        <w:rPr>
          <w:rFonts w:ascii="Times New Roman" w:eastAsia="Calibri" w:hAnsi="Times New Roman" w:cs="Times New Roman"/>
          <w:color w:val="000000"/>
          <w:sz w:val="24"/>
          <w:szCs w:val="24"/>
        </w:rPr>
        <w:t>onitorimin e</w:t>
      </w:r>
      <w:r w:rsidR="00F32916">
        <w:rPr>
          <w:rFonts w:ascii="Times New Roman" w:eastAsia="Calibri" w:hAnsi="Times New Roman" w:cs="Times New Roman"/>
          <w:color w:val="000000"/>
          <w:sz w:val="24"/>
          <w:szCs w:val="24"/>
        </w:rPr>
        <w:t xml:space="preserve"> </w:t>
      </w:r>
      <w:r w:rsidR="00C558BD">
        <w:rPr>
          <w:rFonts w:ascii="Times New Roman" w:eastAsia="Calibri" w:hAnsi="Times New Roman" w:cs="Times New Roman"/>
          <w:color w:val="000000"/>
          <w:sz w:val="24"/>
          <w:szCs w:val="24"/>
        </w:rPr>
        <w:t>M</w:t>
      </w:r>
      <w:r w:rsidR="00F32916">
        <w:rPr>
          <w:rFonts w:ascii="Times New Roman" w:eastAsia="Calibri" w:hAnsi="Times New Roman" w:cs="Times New Roman"/>
          <w:color w:val="000000"/>
          <w:sz w:val="24"/>
          <w:szCs w:val="24"/>
        </w:rPr>
        <w:t>jedisit” si</w:t>
      </w:r>
      <w:r w:rsidRPr="007C40DD">
        <w:rPr>
          <w:rFonts w:ascii="Times New Roman" w:eastAsia="Calibri" w:hAnsi="Times New Roman" w:cs="Times New Roman"/>
          <w:color w:val="000000"/>
          <w:sz w:val="24"/>
          <w:szCs w:val="24"/>
        </w:rPr>
        <w:t xml:space="preserve"> dhe </w:t>
      </w:r>
      <w:r w:rsidR="00C86E18" w:rsidRPr="00C558BD">
        <w:rPr>
          <w:rFonts w:ascii="Times New Roman" w:hAnsi="Times New Roman" w:cs="Times New Roman"/>
          <w:bCs/>
          <w:color w:val="000000" w:themeColor="text1"/>
          <w:sz w:val="24"/>
          <w:szCs w:val="24"/>
          <w:shd w:val="clear" w:color="auto" w:fill="FFFFFF"/>
        </w:rPr>
        <w:t>VKM 352.datë</w:t>
      </w:r>
      <w:r w:rsidRPr="00C558BD">
        <w:rPr>
          <w:rFonts w:ascii="Times New Roman" w:hAnsi="Times New Roman" w:cs="Times New Roman"/>
          <w:bCs/>
          <w:color w:val="000000" w:themeColor="text1"/>
          <w:sz w:val="24"/>
          <w:szCs w:val="24"/>
          <w:shd w:val="clear" w:color="auto" w:fill="FFFFFF"/>
        </w:rPr>
        <w:t xml:space="preserve"> 29.04.2015</w:t>
      </w:r>
      <w:r w:rsidR="00F32916" w:rsidRPr="00C558BD">
        <w:rPr>
          <w:rFonts w:ascii="Times New Roman" w:hAnsi="Times New Roman" w:cs="Times New Roman"/>
          <w:color w:val="000000" w:themeColor="text1"/>
          <w:sz w:val="24"/>
          <w:szCs w:val="24"/>
          <w:shd w:val="clear" w:color="auto" w:fill="FFFFFF"/>
        </w:rPr>
        <w:t> “P</w:t>
      </w:r>
      <w:r w:rsidR="00F32916" w:rsidRPr="00C558BD">
        <w:rPr>
          <w:rFonts w:ascii="Times New Roman" w:hAnsi="Times New Roman"/>
          <w:sz w:val="24"/>
          <w:szCs w:val="24"/>
        </w:rPr>
        <w:t>ë</w:t>
      </w:r>
      <w:r w:rsidR="00F32916" w:rsidRPr="00C558BD">
        <w:rPr>
          <w:rFonts w:ascii="Times New Roman" w:hAnsi="Times New Roman" w:cs="Times New Roman"/>
          <w:color w:val="000000" w:themeColor="text1"/>
          <w:sz w:val="24"/>
          <w:szCs w:val="24"/>
          <w:shd w:val="clear" w:color="auto" w:fill="FFFFFF"/>
        </w:rPr>
        <w:t>r vler</w:t>
      </w:r>
      <w:r w:rsidR="00F32916" w:rsidRPr="00C558BD">
        <w:rPr>
          <w:rFonts w:ascii="Times New Roman" w:hAnsi="Times New Roman"/>
          <w:sz w:val="24"/>
          <w:szCs w:val="24"/>
        </w:rPr>
        <w:t>ë</w:t>
      </w:r>
      <w:r w:rsidR="00F32916" w:rsidRPr="00C558BD">
        <w:rPr>
          <w:rFonts w:ascii="Times New Roman" w:hAnsi="Times New Roman" w:cs="Times New Roman"/>
          <w:color w:val="000000" w:themeColor="text1"/>
          <w:sz w:val="24"/>
          <w:szCs w:val="24"/>
          <w:shd w:val="clear" w:color="auto" w:fill="FFFFFF"/>
        </w:rPr>
        <w:t>simin</w:t>
      </w:r>
      <w:r w:rsidR="00F32916">
        <w:rPr>
          <w:rFonts w:ascii="Times New Roman" w:hAnsi="Times New Roman" w:cs="Times New Roman"/>
          <w:color w:val="000000" w:themeColor="text1"/>
          <w:sz w:val="24"/>
          <w:szCs w:val="24"/>
          <w:shd w:val="clear" w:color="auto" w:fill="FFFFFF"/>
        </w:rPr>
        <w:t xml:space="preserve"> e cil</w:t>
      </w:r>
      <w:r w:rsidR="00F32916">
        <w:rPr>
          <w:rFonts w:ascii="Times New Roman" w:hAnsi="Times New Roman"/>
          <w:sz w:val="24"/>
          <w:szCs w:val="24"/>
        </w:rPr>
        <w:t>ë</w:t>
      </w:r>
      <w:r w:rsidR="00F32916">
        <w:rPr>
          <w:rFonts w:ascii="Times New Roman" w:hAnsi="Times New Roman" w:cs="Times New Roman"/>
          <w:color w:val="000000" w:themeColor="text1"/>
          <w:sz w:val="24"/>
          <w:szCs w:val="24"/>
          <w:shd w:val="clear" w:color="auto" w:fill="FFFFFF"/>
        </w:rPr>
        <w:t>sis</w:t>
      </w:r>
      <w:r w:rsidR="00F32916">
        <w:rPr>
          <w:rFonts w:ascii="Times New Roman" w:hAnsi="Times New Roman"/>
          <w:sz w:val="24"/>
          <w:szCs w:val="24"/>
        </w:rPr>
        <w:t>ë</w:t>
      </w:r>
      <w:r w:rsidR="00F32916">
        <w:rPr>
          <w:rFonts w:ascii="Times New Roman" w:hAnsi="Times New Roman" w:cs="Times New Roman"/>
          <w:color w:val="000000" w:themeColor="text1"/>
          <w:sz w:val="24"/>
          <w:szCs w:val="24"/>
          <w:shd w:val="clear" w:color="auto" w:fill="FFFFFF"/>
        </w:rPr>
        <w:t xml:space="preserve"> s</w:t>
      </w:r>
      <w:r w:rsidR="00C558BD">
        <w:rPr>
          <w:rFonts w:ascii="Times New Roman" w:hAnsi="Times New Roman" w:cs="Times New Roman"/>
          <w:color w:val="000000" w:themeColor="text1"/>
          <w:sz w:val="24"/>
          <w:szCs w:val="24"/>
          <w:shd w:val="clear" w:color="auto" w:fill="FFFFFF"/>
        </w:rPr>
        <w:t>ë</w:t>
      </w:r>
      <w:r w:rsidR="00F32916">
        <w:rPr>
          <w:rFonts w:ascii="Times New Roman" w:hAnsi="Times New Roman" w:cs="Times New Roman"/>
          <w:color w:val="000000" w:themeColor="text1"/>
          <w:sz w:val="24"/>
          <w:szCs w:val="24"/>
          <w:shd w:val="clear" w:color="auto" w:fill="FFFFFF"/>
        </w:rPr>
        <w:t xml:space="preserve"> ajrit t</w:t>
      </w:r>
      <w:r w:rsidR="00F32916">
        <w:rPr>
          <w:rFonts w:ascii="Times New Roman" w:hAnsi="Times New Roman"/>
          <w:sz w:val="24"/>
          <w:szCs w:val="24"/>
        </w:rPr>
        <w:t>ë</w:t>
      </w:r>
      <w:r w:rsidR="00F32916">
        <w:rPr>
          <w:rFonts w:ascii="Times New Roman" w:hAnsi="Times New Roman" w:cs="Times New Roman"/>
          <w:color w:val="000000" w:themeColor="text1"/>
          <w:sz w:val="24"/>
          <w:szCs w:val="24"/>
          <w:shd w:val="clear" w:color="auto" w:fill="FFFFFF"/>
        </w:rPr>
        <w:t xml:space="preserve"> mjedisit dhe k</w:t>
      </w:r>
      <w:r w:rsidR="00F32916">
        <w:rPr>
          <w:rFonts w:ascii="Times New Roman" w:hAnsi="Times New Roman"/>
          <w:sz w:val="24"/>
          <w:szCs w:val="24"/>
        </w:rPr>
        <w:t>ë</w:t>
      </w:r>
      <w:r w:rsidR="00F32916">
        <w:rPr>
          <w:rFonts w:ascii="Times New Roman" w:hAnsi="Times New Roman" w:cs="Times New Roman"/>
          <w:color w:val="000000" w:themeColor="text1"/>
          <w:sz w:val="24"/>
          <w:szCs w:val="24"/>
          <w:shd w:val="clear" w:color="auto" w:fill="FFFFFF"/>
        </w:rPr>
        <w:t>rkesat p</w:t>
      </w:r>
      <w:r w:rsidR="00F32916">
        <w:rPr>
          <w:rFonts w:ascii="Times New Roman" w:hAnsi="Times New Roman"/>
          <w:sz w:val="24"/>
          <w:szCs w:val="24"/>
        </w:rPr>
        <w:t>ë</w:t>
      </w:r>
      <w:r w:rsidR="00F32916">
        <w:rPr>
          <w:rFonts w:ascii="Times New Roman" w:hAnsi="Times New Roman" w:cs="Times New Roman"/>
          <w:color w:val="000000" w:themeColor="text1"/>
          <w:sz w:val="24"/>
          <w:szCs w:val="24"/>
          <w:shd w:val="clear" w:color="auto" w:fill="FFFFFF"/>
        </w:rPr>
        <w:t>r disa ndot</w:t>
      </w:r>
      <w:r w:rsidR="00F32916">
        <w:rPr>
          <w:rFonts w:ascii="Times New Roman" w:hAnsi="Times New Roman"/>
          <w:sz w:val="24"/>
          <w:szCs w:val="24"/>
        </w:rPr>
        <w:t>ë</w:t>
      </w:r>
      <w:r w:rsidR="00F32916">
        <w:rPr>
          <w:rFonts w:ascii="Times New Roman" w:hAnsi="Times New Roman" w:cs="Times New Roman"/>
          <w:color w:val="000000" w:themeColor="text1"/>
          <w:sz w:val="24"/>
          <w:szCs w:val="24"/>
          <w:shd w:val="clear" w:color="auto" w:fill="FFFFFF"/>
        </w:rPr>
        <w:t>s n</w:t>
      </w:r>
      <w:r w:rsidR="00F32916">
        <w:rPr>
          <w:rFonts w:ascii="Times New Roman" w:hAnsi="Times New Roman"/>
          <w:sz w:val="24"/>
          <w:szCs w:val="24"/>
        </w:rPr>
        <w:t>ë</w:t>
      </w:r>
      <w:r w:rsidR="00F32916">
        <w:rPr>
          <w:rFonts w:ascii="Times New Roman" w:hAnsi="Times New Roman" w:cs="Times New Roman"/>
          <w:color w:val="000000" w:themeColor="text1"/>
          <w:sz w:val="24"/>
          <w:szCs w:val="24"/>
          <w:shd w:val="clear" w:color="auto" w:fill="FFFFFF"/>
        </w:rPr>
        <w:t xml:space="preserve"> lidhje me t</w:t>
      </w:r>
      <w:r w:rsidR="00F32916">
        <w:rPr>
          <w:rFonts w:ascii="Times New Roman" w:hAnsi="Times New Roman"/>
          <w:sz w:val="24"/>
          <w:szCs w:val="24"/>
        </w:rPr>
        <w:t>ë</w:t>
      </w:r>
      <w:r w:rsidRPr="007C40DD">
        <w:rPr>
          <w:rFonts w:ascii="Times New Roman" w:hAnsi="Times New Roman" w:cs="Times New Roman"/>
          <w:color w:val="000000" w:themeColor="text1"/>
          <w:sz w:val="24"/>
          <w:szCs w:val="24"/>
          <w:shd w:val="clear" w:color="auto" w:fill="FFFFFF"/>
        </w:rPr>
        <w:t>” </w:t>
      </w:r>
      <w:r w:rsidRPr="007C40DD">
        <w:rPr>
          <w:rFonts w:ascii="Times New Roman" w:eastAsia="Calibri" w:hAnsi="Times New Roman" w:cs="Times New Roman"/>
          <w:color w:val="000000"/>
          <w:sz w:val="24"/>
          <w:szCs w:val="24"/>
        </w:rPr>
        <w:t xml:space="preserve">Agjencia </w:t>
      </w:r>
      <w:r w:rsidR="00F32916">
        <w:rPr>
          <w:rFonts w:ascii="Times New Roman" w:eastAsia="Calibri" w:hAnsi="Times New Roman" w:cs="Times New Roman"/>
          <w:color w:val="000000"/>
          <w:sz w:val="24"/>
          <w:szCs w:val="24"/>
        </w:rPr>
        <w:t>Komb</w:t>
      </w:r>
      <w:r w:rsidR="00C558BD">
        <w:rPr>
          <w:rFonts w:ascii="Times New Roman" w:eastAsia="Calibri" w:hAnsi="Times New Roman" w:cs="Times New Roman"/>
          <w:color w:val="000000"/>
          <w:sz w:val="24"/>
          <w:szCs w:val="24"/>
        </w:rPr>
        <w:t>ë</w:t>
      </w:r>
      <w:r w:rsidR="00F32916">
        <w:rPr>
          <w:rFonts w:ascii="Times New Roman" w:eastAsia="Calibri" w:hAnsi="Times New Roman" w:cs="Times New Roman"/>
          <w:color w:val="000000"/>
          <w:sz w:val="24"/>
          <w:szCs w:val="24"/>
        </w:rPr>
        <w:t>tare e Mjedisit</w:t>
      </w:r>
      <w:r w:rsidR="00C86E18">
        <w:rPr>
          <w:rFonts w:ascii="Times New Roman" w:eastAsia="Calibri" w:hAnsi="Times New Roman" w:cs="Times New Roman"/>
          <w:color w:val="000000"/>
          <w:sz w:val="24"/>
          <w:szCs w:val="24"/>
        </w:rPr>
        <w:t xml:space="preserve"> realizon ç</w:t>
      </w:r>
      <w:r w:rsidRPr="007C40DD">
        <w:rPr>
          <w:rFonts w:ascii="Times New Roman" w:eastAsia="Calibri" w:hAnsi="Times New Roman" w:cs="Times New Roman"/>
          <w:color w:val="000000"/>
          <w:sz w:val="24"/>
          <w:szCs w:val="24"/>
        </w:rPr>
        <w:t>do vit  mo</w:t>
      </w:r>
      <w:r w:rsidR="00F32916">
        <w:rPr>
          <w:rFonts w:ascii="Times New Roman" w:eastAsia="Calibri" w:hAnsi="Times New Roman" w:cs="Times New Roman"/>
          <w:color w:val="000000"/>
          <w:sz w:val="24"/>
          <w:szCs w:val="24"/>
        </w:rPr>
        <w:t xml:space="preserve">nitorimin </w:t>
      </w:r>
      <w:r w:rsidR="00C558BD">
        <w:rPr>
          <w:rFonts w:ascii="Times New Roman" w:eastAsia="Calibri" w:hAnsi="Times New Roman" w:cs="Times New Roman"/>
          <w:color w:val="000000"/>
          <w:sz w:val="24"/>
          <w:szCs w:val="24"/>
        </w:rPr>
        <w:t xml:space="preserve">e </w:t>
      </w:r>
      <w:r w:rsidR="00F32916">
        <w:rPr>
          <w:rFonts w:ascii="Times New Roman" w:eastAsia="Calibri" w:hAnsi="Times New Roman" w:cs="Times New Roman"/>
          <w:color w:val="000000"/>
          <w:sz w:val="24"/>
          <w:szCs w:val="24"/>
        </w:rPr>
        <w:t>cilësisë së ajrit t</w:t>
      </w:r>
      <w:r w:rsidR="00F32916">
        <w:rPr>
          <w:rFonts w:ascii="Times New Roman" w:hAnsi="Times New Roman"/>
          <w:sz w:val="24"/>
          <w:szCs w:val="24"/>
        </w:rPr>
        <w:t>ë</w:t>
      </w:r>
      <w:r w:rsidRPr="007C40DD">
        <w:rPr>
          <w:rFonts w:ascii="Times New Roman" w:eastAsia="Calibri" w:hAnsi="Times New Roman" w:cs="Times New Roman"/>
          <w:color w:val="000000"/>
          <w:sz w:val="24"/>
          <w:szCs w:val="24"/>
        </w:rPr>
        <w:t xml:space="preserve"> mjedisit</w:t>
      </w:r>
      <w:r w:rsidRPr="007C40DD">
        <w:rPr>
          <w:rFonts w:ascii="Times New Roman" w:eastAsia="Calibri" w:hAnsi="Times New Roman" w:cs="Times New Roman"/>
          <w:i/>
          <w:color w:val="000000"/>
          <w:sz w:val="24"/>
          <w:szCs w:val="24"/>
        </w:rPr>
        <w:t xml:space="preserve">. </w:t>
      </w:r>
      <w:r w:rsidRPr="007C40DD">
        <w:rPr>
          <w:rFonts w:ascii="Times New Roman" w:eastAsia="Calibri" w:hAnsi="Times New Roman" w:cs="Times New Roman"/>
          <w:color w:val="000000"/>
          <w:sz w:val="24"/>
          <w:szCs w:val="24"/>
        </w:rPr>
        <w:t xml:space="preserve"> </w:t>
      </w:r>
    </w:p>
    <w:p w:rsidR="007C40DD" w:rsidRPr="007C40DD" w:rsidRDefault="007C40DD" w:rsidP="007C40DD">
      <w:pPr>
        <w:shd w:val="clear" w:color="auto" w:fill="FFFFFF"/>
        <w:spacing w:after="0" w:line="301" w:lineRule="atLeast"/>
        <w:jc w:val="both"/>
        <w:textAlignment w:val="baseline"/>
        <w:rPr>
          <w:rFonts w:ascii="Times New Roman" w:eastAsia="Calibri" w:hAnsi="Times New Roman" w:cs="Times New Roman"/>
          <w:color w:val="000000"/>
          <w:sz w:val="24"/>
          <w:szCs w:val="24"/>
        </w:rPr>
      </w:pPr>
    </w:p>
    <w:p w:rsidR="007C40DD" w:rsidRPr="007C40DD" w:rsidRDefault="007C40DD" w:rsidP="007C40DD">
      <w:pPr>
        <w:shd w:val="clear" w:color="auto" w:fill="FFFFFF"/>
        <w:spacing w:after="0" w:line="301" w:lineRule="atLeast"/>
        <w:jc w:val="both"/>
        <w:textAlignment w:val="baseline"/>
        <w:rPr>
          <w:rFonts w:ascii="Times New Roman" w:eastAsia="Calibri" w:hAnsi="Times New Roman" w:cs="Times New Roman"/>
          <w:color w:val="000000"/>
          <w:sz w:val="24"/>
          <w:szCs w:val="24"/>
        </w:rPr>
      </w:pPr>
      <w:r w:rsidRPr="007C40DD">
        <w:rPr>
          <w:rFonts w:ascii="Times New Roman" w:eastAsia="Calibri" w:hAnsi="Times New Roman" w:cs="Times New Roman"/>
          <w:noProof/>
          <w:color w:val="000000"/>
          <w:sz w:val="24"/>
          <w:szCs w:val="24"/>
        </w:rPr>
        <mc:AlternateContent>
          <mc:Choice Requires="wps">
            <w:drawing>
              <wp:anchor distT="0" distB="0" distL="114300" distR="114300" simplePos="0" relativeHeight="251664384" behindDoc="0" locked="0" layoutInCell="1" allowOverlap="1" wp14:anchorId="3E4B7365" wp14:editId="6F96C7A6">
                <wp:simplePos x="0" y="0"/>
                <wp:positionH relativeFrom="column">
                  <wp:posOffset>3248025</wp:posOffset>
                </wp:positionH>
                <wp:positionV relativeFrom="paragraph">
                  <wp:posOffset>78105</wp:posOffset>
                </wp:positionV>
                <wp:extent cx="3086100" cy="3752850"/>
                <wp:effectExtent l="0" t="0" r="19050" b="19050"/>
                <wp:wrapNone/>
                <wp:docPr id="321" name="Rectangle 321"/>
                <wp:cNvGraphicFramePr/>
                <a:graphic xmlns:a="http://schemas.openxmlformats.org/drawingml/2006/main">
                  <a:graphicData uri="http://schemas.microsoft.com/office/word/2010/wordprocessingShape">
                    <wps:wsp>
                      <wps:cNvSpPr/>
                      <wps:spPr>
                        <a:xfrm>
                          <a:off x="0" y="0"/>
                          <a:ext cx="3086100" cy="3752850"/>
                        </a:xfrm>
                        <a:prstGeom prst="rect">
                          <a:avLst/>
                        </a:prstGeom>
                        <a:solidFill>
                          <a:sysClr val="window" lastClr="FFFFFF"/>
                        </a:solidFill>
                        <a:ln w="12700" cap="flat" cmpd="sng" algn="ctr">
                          <a:solidFill>
                            <a:srgbClr val="70AD47"/>
                          </a:solidFill>
                          <a:prstDash val="solid"/>
                          <a:miter lim="800000"/>
                        </a:ln>
                        <a:effectLst/>
                      </wps:spPr>
                      <wps:txbx>
                        <w:txbxContent>
                          <w:p w:rsidR="0064059F" w:rsidRPr="00C67159" w:rsidRDefault="0064059F" w:rsidP="007C40DD">
                            <w:pPr>
                              <w:jc w:val="both"/>
                              <w:rPr>
                                <w:rFonts w:ascii="Times New Roman" w:hAnsi="Times New Roman" w:cs="Times New Roman"/>
                                <w:sz w:val="24"/>
                                <w:szCs w:val="24"/>
                              </w:rPr>
                            </w:pPr>
                            <w:r w:rsidRPr="00C67159">
                              <w:rPr>
                                <w:rFonts w:ascii="Times New Roman" w:hAnsi="Times New Roman" w:cs="Times New Roman"/>
                                <w:sz w:val="24"/>
                                <w:szCs w:val="24"/>
                              </w:rPr>
                              <w:t>Rrjeti kombëtar i monitorimit për</w:t>
                            </w:r>
                            <w:r>
                              <w:rPr>
                                <w:rFonts w:ascii="Times New Roman" w:hAnsi="Times New Roman" w:cs="Times New Roman"/>
                                <w:sz w:val="24"/>
                                <w:szCs w:val="24"/>
                              </w:rPr>
                              <w:t>bëhet nga 9 stacione</w:t>
                            </w:r>
                            <w:r w:rsidRPr="00C67159">
                              <w:rPr>
                                <w:rFonts w:ascii="Times New Roman" w:hAnsi="Times New Roman" w:cs="Times New Roman"/>
                                <w:sz w:val="24"/>
                                <w:szCs w:val="24"/>
                              </w:rPr>
                              <w:t xml:space="preserve"> automatike </w:t>
                            </w:r>
                            <w:r>
                              <w:rPr>
                                <w:rFonts w:ascii="Times New Roman" w:hAnsi="Times New Roman" w:cs="Times New Roman"/>
                                <w:sz w:val="24"/>
                                <w:szCs w:val="24"/>
                              </w:rPr>
                              <w:t xml:space="preserve">dhe gjysemautomatike </w:t>
                            </w:r>
                            <w:r w:rsidRPr="00C67159">
                              <w:rPr>
                                <w:rFonts w:ascii="Times New Roman" w:hAnsi="Times New Roman" w:cs="Times New Roman"/>
                                <w:sz w:val="24"/>
                                <w:szCs w:val="24"/>
                              </w:rPr>
                              <w:t>në qytete kryesore si Tirana, Durrësi, Elbasani, Shkodra, Korça dhe Fieri.</w:t>
                            </w:r>
                          </w:p>
                          <w:p w:rsidR="0064059F" w:rsidRPr="00C67159" w:rsidRDefault="0064059F" w:rsidP="007C40DD">
                            <w:pPr>
                              <w:jc w:val="both"/>
                              <w:rPr>
                                <w:rFonts w:ascii="Times New Roman" w:hAnsi="Times New Roman" w:cs="Times New Roman"/>
                                <w:sz w:val="24"/>
                                <w:szCs w:val="24"/>
                              </w:rPr>
                            </w:pPr>
                            <w:r>
                              <w:rPr>
                                <w:rFonts w:ascii="Times New Roman" w:hAnsi="Times New Roman" w:cs="Times New Roman"/>
                                <w:sz w:val="24"/>
                                <w:szCs w:val="24"/>
                              </w:rPr>
                              <w:t>Monitorimi realizohet për p</w:t>
                            </w:r>
                            <w:r w:rsidRPr="00C67159">
                              <w:rPr>
                                <w:rFonts w:ascii="Times New Roman" w:hAnsi="Times New Roman" w:cs="Times New Roman"/>
                                <w:sz w:val="24"/>
                                <w:szCs w:val="24"/>
                              </w:rPr>
                              <w:t>aramet</w:t>
                            </w:r>
                            <w:r>
                              <w:rPr>
                                <w:rFonts w:ascii="Times New Roman" w:hAnsi="Times New Roman" w:cs="Times New Roman"/>
                                <w:sz w:val="24"/>
                                <w:szCs w:val="24"/>
                              </w:rPr>
                              <w:t>rat si Monoksidi i Karbonit (CO), Dioksidi i Squfurit (SO₂), Oksidet e Azotit (NOx), O</w:t>
                            </w:r>
                            <w:r w:rsidRPr="00C67159">
                              <w:rPr>
                                <w:rFonts w:ascii="Times New Roman" w:hAnsi="Times New Roman" w:cs="Times New Roman"/>
                                <w:sz w:val="24"/>
                                <w:szCs w:val="24"/>
                              </w:rPr>
                              <w:t xml:space="preserve">zoni (O₃), grimcat e pluhurit me diametër më të </w:t>
                            </w:r>
                            <w:r>
                              <w:rPr>
                                <w:rFonts w:ascii="Times New Roman" w:hAnsi="Times New Roman" w:cs="Times New Roman"/>
                                <w:sz w:val="24"/>
                                <w:szCs w:val="24"/>
                              </w:rPr>
                              <w:t>vogël se 10 mikrometra (</w:t>
                            </w:r>
                            <w:r w:rsidRPr="00C67159">
                              <w:rPr>
                                <w:rFonts w:ascii="Times New Roman" w:hAnsi="Times New Roman" w:cs="Times New Roman"/>
                                <w:sz w:val="24"/>
                                <w:szCs w:val="24"/>
                              </w:rPr>
                              <w:t>PM</w:t>
                            </w:r>
                            <w:r>
                              <w:rPr>
                                <w:rFonts w:ascii="Times New Roman" w:hAnsi="Times New Roman" w:cs="Times New Roman"/>
                                <w:sz w:val="24"/>
                                <w:szCs w:val="24"/>
                              </w:rPr>
                              <w:t xml:space="preserve">₁₀) dhe 2.5 </w:t>
                            </w:r>
                            <w:r w:rsidRPr="002A4DCD">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mikrometra (PM₂.₅), </w:t>
                            </w:r>
                            <w:r w:rsidRPr="00C67159">
                              <w:rPr>
                                <w:rFonts w:ascii="Times New Roman" w:hAnsi="Times New Roman" w:cs="Times New Roman"/>
                                <w:sz w:val="24"/>
                                <w:szCs w:val="24"/>
                              </w:rPr>
                              <w:t>si dhe Benzeni</w:t>
                            </w:r>
                            <w:r>
                              <w:rPr>
                                <w:rFonts w:ascii="Times New Roman" w:hAnsi="Times New Roman" w:cs="Times New Roman"/>
                                <w:sz w:val="24"/>
                                <w:szCs w:val="24"/>
                              </w:rPr>
                              <w:t>n</w:t>
                            </w:r>
                            <w:r w:rsidRPr="00C67159">
                              <w:rPr>
                                <w:rFonts w:ascii="Times New Roman" w:hAnsi="Times New Roman" w:cs="Times New Roman"/>
                                <w:sz w:val="24"/>
                                <w:szCs w:val="24"/>
                              </w:rPr>
                              <w:t xml:space="preserve">. </w:t>
                            </w:r>
                            <w:r>
                              <w:rPr>
                                <w:rFonts w:ascii="Times New Roman" w:hAnsi="Times New Roman" w:cs="Times New Roman"/>
                                <w:sz w:val="24"/>
                                <w:szCs w:val="24"/>
                              </w:rPr>
                              <w:t xml:space="preserve">Gjithashtu </w:t>
                            </w:r>
                            <w:r w:rsidRPr="00C67159">
                              <w:rPr>
                                <w:rFonts w:ascii="Times New Roman" w:hAnsi="Times New Roman" w:cs="Times New Roman"/>
                                <w:sz w:val="24"/>
                                <w:szCs w:val="24"/>
                              </w:rPr>
                              <w:t>regjistrohen edhe parametra</w:t>
                            </w:r>
                            <w:r>
                              <w:rPr>
                                <w:rFonts w:ascii="Times New Roman" w:hAnsi="Times New Roman" w:cs="Times New Roman"/>
                                <w:sz w:val="24"/>
                                <w:szCs w:val="24"/>
                              </w:rPr>
                              <w:t>t meteorologjikë si Shpejtësia dhe Drejtimi i Erës, Temperatura, Lagështia dhe P</w:t>
                            </w:r>
                            <w:r w:rsidRPr="00C67159">
                              <w:rPr>
                                <w:rFonts w:ascii="Times New Roman" w:hAnsi="Times New Roman" w:cs="Times New Roman"/>
                                <w:sz w:val="24"/>
                                <w:szCs w:val="24"/>
                              </w:rPr>
                              <w:t>resioni atmosferik. Matjet kryhen me pajisje në përputhje me standardet EN/ISO</w:t>
                            </w:r>
                            <w:r>
                              <w:rPr>
                                <w:rFonts w:ascii="Times New Roman" w:hAnsi="Times New Roman" w:cs="Times New Roman"/>
                                <w:sz w:val="24"/>
                                <w:szCs w:val="24"/>
                              </w:rPr>
                              <w:t>.</w:t>
                            </w:r>
                          </w:p>
                          <w:p w:rsidR="0064059F" w:rsidRPr="00C67159" w:rsidRDefault="0064059F" w:rsidP="007C40DD">
                            <w:pPr>
                              <w:jc w:val="both"/>
                              <w:rPr>
                                <w:rFonts w:ascii="Times New Roman" w:hAnsi="Times New Roman" w:cs="Times New Roman"/>
                                <w:sz w:val="24"/>
                                <w:szCs w:val="24"/>
                              </w:rPr>
                            </w:pPr>
                            <w:r w:rsidRPr="00C67159">
                              <w:rPr>
                                <w:rFonts w:ascii="Times New Roman" w:hAnsi="Times New Roman" w:cs="Times New Roman"/>
                                <w:sz w:val="24"/>
                                <w:szCs w:val="24"/>
                              </w:rPr>
                              <w:t>AKM disponon gjithashtu kampionues me volum t</w:t>
                            </w:r>
                            <w:r>
                              <w:rPr>
                                <w:rFonts w:ascii="Times New Roman" w:hAnsi="Times New Roman" w:cs="Times New Roman"/>
                                <w:sz w:val="24"/>
                                <w:szCs w:val="24"/>
                              </w:rPr>
                              <w:t>ë ulët për monitorimin e</w:t>
                            </w:r>
                            <w:r w:rsidRPr="00C67159">
                              <w:rPr>
                                <w:rFonts w:ascii="Times New Roman" w:hAnsi="Times New Roman" w:cs="Times New Roman"/>
                                <w:sz w:val="24"/>
                                <w:szCs w:val="24"/>
                              </w:rPr>
                              <w:t xml:space="preserve"> PM₁₀ dhe PM₂.₅.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B7365" id="Rectangle 321" o:spid="_x0000_s1027" style="position:absolute;left:0;text-align:left;margin-left:255.75pt;margin-top:6.15pt;width:243pt;height:2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" fillcolor="window" strokecolor="#70ad47" strokeweight="1pt">
                <v:textbox>
                  <w:txbxContent>
                    <w:p w:rsidR="0064059F" w:rsidRPr="00C67159" w:rsidRDefault="0064059F" w:rsidP="007C40DD">
                      <w:pPr>
                        <w:jc w:val="both"/>
                        <w:rPr>
                          <w:rFonts w:ascii="Times New Roman" w:hAnsi="Times New Roman" w:cs="Times New Roman"/>
                          <w:sz w:val="24"/>
                          <w:szCs w:val="24"/>
                        </w:rPr>
                      </w:pPr>
                      <w:r w:rsidRPr="00C67159">
                        <w:rPr>
                          <w:rFonts w:ascii="Times New Roman" w:hAnsi="Times New Roman" w:cs="Times New Roman"/>
                          <w:sz w:val="24"/>
                          <w:szCs w:val="24"/>
                        </w:rPr>
                        <w:t>Rrjeti kombëtar i monitorimit për</w:t>
                      </w:r>
                      <w:r>
                        <w:rPr>
                          <w:rFonts w:ascii="Times New Roman" w:hAnsi="Times New Roman" w:cs="Times New Roman"/>
                          <w:sz w:val="24"/>
                          <w:szCs w:val="24"/>
                        </w:rPr>
                        <w:t>bëhet nga 9 stacione</w:t>
                      </w:r>
                      <w:r w:rsidRPr="00C67159">
                        <w:rPr>
                          <w:rFonts w:ascii="Times New Roman" w:hAnsi="Times New Roman" w:cs="Times New Roman"/>
                          <w:sz w:val="24"/>
                          <w:szCs w:val="24"/>
                        </w:rPr>
                        <w:t xml:space="preserve"> automatike </w:t>
                      </w:r>
                      <w:r>
                        <w:rPr>
                          <w:rFonts w:ascii="Times New Roman" w:hAnsi="Times New Roman" w:cs="Times New Roman"/>
                          <w:sz w:val="24"/>
                          <w:szCs w:val="24"/>
                        </w:rPr>
                        <w:t xml:space="preserve">dhe gjysemautomatike </w:t>
                      </w:r>
                      <w:r w:rsidRPr="00C67159">
                        <w:rPr>
                          <w:rFonts w:ascii="Times New Roman" w:hAnsi="Times New Roman" w:cs="Times New Roman"/>
                          <w:sz w:val="24"/>
                          <w:szCs w:val="24"/>
                        </w:rPr>
                        <w:t>në qytete kryesore si Tirana, Durrësi, Elbasani, Shkodra, Korça dhe Fieri.</w:t>
                      </w:r>
                    </w:p>
                    <w:p w:rsidR="0064059F" w:rsidRPr="00C67159" w:rsidRDefault="0064059F" w:rsidP="007C40DD">
                      <w:pPr>
                        <w:jc w:val="both"/>
                        <w:rPr>
                          <w:rFonts w:ascii="Times New Roman" w:hAnsi="Times New Roman" w:cs="Times New Roman"/>
                          <w:sz w:val="24"/>
                          <w:szCs w:val="24"/>
                        </w:rPr>
                      </w:pPr>
                      <w:r>
                        <w:rPr>
                          <w:rFonts w:ascii="Times New Roman" w:hAnsi="Times New Roman" w:cs="Times New Roman"/>
                          <w:sz w:val="24"/>
                          <w:szCs w:val="24"/>
                        </w:rPr>
                        <w:t>Monitorimi realizohet për p</w:t>
                      </w:r>
                      <w:r w:rsidRPr="00C67159">
                        <w:rPr>
                          <w:rFonts w:ascii="Times New Roman" w:hAnsi="Times New Roman" w:cs="Times New Roman"/>
                          <w:sz w:val="24"/>
                          <w:szCs w:val="24"/>
                        </w:rPr>
                        <w:t>aramet</w:t>
                      </w:r>
                      <w:r>
                        <w:rPr>
                          <w:rFonts w:ascii="Times New Roman" w:hAnsi="Times New Roman" w:cs="Times New Roman"/>
                          <w:sz w:val="24"/>
                          <w:szCs w:val="24"/>
                        </w:rPr>
                        <w:t>rat si Monoksidi i Karbonit (CO), Dioksidi i Squfurit (SO₂), Oksidet e Azotit (NOx), O</w:t>
                      </w:r>
                      <w:r w:rsidRPr="00C67159">
                        <w:rPr>
                          <w:rFonts w:ascii="Times New Roman" w:hAnsi="Times New Roman" w:cs="Times New Roman"/>
                          <w:sz w:val="24"/>
                          <w:szCs w:val="24"/>
                        </w:rPr>
                        <w:t xml:space="preserve">zoni (O₃), grimcat e pluhurit me diametër më të </w:t>
                      </w:r>
                      <w:r>
                        <w:rPr>
                          <w:rFonts w:ascii="Times New Roman" w:hAnsi="Times New Roman" w:cs="Times New Roman"/>
                          <w:sz w:val="24"/>
                          <w:szCs w:val="24"/>
                        </w:rPr>
                        <w:t>vogël se 10 mikrometra (</w:t>
                      </w:r>
                      <w:r w:rsidRPr="00C67159">
                        <w:rPr>
                          <w:rFonts w:ascii="Times New Roman" w:hAnsi="Times New Roman" w:cs="Times New Roman"/>
                          <w:sz w:val="24"/>
                          <w:szCs w:val="24"/>
                        </w:rPr>
                        <w:t>PM</w:t>
                      </w:r>
                      <w:r>
                        <w:rPr>
                          <w:rFonts w:ascii="Times New Roman" w:hAnsi="Times New Roman" w:cs="Times New Roman"/>
                          <w:sz w:val="24"/>
                          <w:szCs w:val="24"/>
                        </w:rPr>
                        <w:t xml:space="preserve">₁₀) dhe 2.5 </w:t>
                      </w:r>
                      <w:r w:rsidRPr="002A4DCD">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mikrometra (PM₂.₅), </w:t>
                      </w:r>
                      <w:r w:rsidRPr="00C67159">
                        <w:rPr>
                          <w:rFonts w:ascii="Times New Roman" w:hAnsi="Times New Roman" w:cs="Times New Roman"/>
                          <w:sz w:val="24"/>
                          <w:szCs w:val="24"/>
                        </w:rPr>
                        <w:t>si dhe Benzeni</w:t>
                      </w:r>
                      <w:r>
                        <w:rPr>
                          <w:rFonts w:ascii="Times New Roman" w:hAnsi="Times New Roman" w:cs="Times New Roman"/>
                          <w:sz w:val="24"/>
                          <w:szCs w:val="24"/>
                        </w:rPr>
                        <w:t>n</w:t>
                      </w:r>
                      <w:r w:rsidRPr="00C67159">
                        <w:rPr>
                          <w:rFonts w:ascii="Times New Roman" w:hAnsi="Times New Roman" w:cs="Times New Roman"/>
                          <w:sz w:val="24"/>
                          <w:szCs w:val="24"/>
                        </w:rPr>
                        <w:t xml:space="preserve">. </w:t>
                      </w:r>
                      <w:r>
                        <w:rPr>
                          <w:rFonts w:ascii="Times New Roman" w:hAnsi="Times New Roman" w:cs="Times New Roman"/>
                          <w:sz w:val="24"/>
                          <w:szCs w:val="24"/>
                        </w:rPr>
                        <w:t xml:space="preserve">Gjithashtu </w:t>
                      </w:r>
                      <w:r w:rsidRPr="00C67159">
                        <w:rPr>
                          <w:rFonts w:ascii="Times New Roman" w:hAnsi="Times New Roman" w:cs="Times New Roman"/>
                          <w:sz w:val="24"/>
                          <w:szCs w:val="24"/>
                        </w:rPr>
                        <w:t>regjistrohen edhe parametra</w:t>
                      </w:r>
                      <w:r>
                        <w:rPr>
                          <w:rFonts w:ascii="Times New Roman" w:hAnsi="Times New Roman" w:cs="Times New Roman"/>
                          <w:sz w:val="24"/>
                          <w:szCs w:val="24"/>
                        </w:rPr>
                        <w:t>t meteorologjikë si Shpejtësia dhe Drejtimi i Erës, Temperatura, Lagështia dhe P</w:t>
                      </w:r>
                      <w:r w:rsidRPr="00C67159">
                        <w:rPr>
                          <w:rFonts w:ascii="Times New Roman" w:hAnsi="Times New Roman" w:cs="Times New Roman"/>
                          <w:sz w:val="24"/>
                          <w:szCs w:val="24"/>
                        </w:rPr>
                        <w:t>resioni atmosferik. Matjet kryhen me pajisje në përputhje me standardet EN/ISO</w:t>
                      </w:r>
                      <w:r>
                        <w:rPr>
                          <w:rFonts w:ascii="Times New Roman" w:hAnsi="Times New Roman" w:cs="Times New Roman"/>
                          <w:sz w:val="24"/>
                          <w:szCs w:val="24"/>
                        </w:rPr>
                        <w:t>.</w:t>
                      </w:r>
                    </w:p>
                    <w:p w:rsidR="0064059F" w:rsidRPr="00C67159" w:rsidRDefault="0064059F" w:rsidP="007C40DD">
                      <w:pPr>
                        <w:jc w:val="both"/>
                        <w:rPr>
                          <w:rFonts w:ascii="Times New Roman" w:hAnsi="Times New Roman" w:cs="Times New Roman"/>
                          <w:sz w:val="24"/>
                          <w:szCs w:val="24"/>
                        </w:rPr>
                      </w:pPr>
                      <w:r w:rsidRPr="00C67159">
                        <w:rPr>
                          <w:rFonts w:ascii="Times New Roman" w:hAnsi="Times New Roman" w:cs="Times New Roman"/>
                          <w:sz w:val="24"/>
                          <w:szCs w:val="24"/>
                        </w:rPr>
                        <w:t>AKM disponon gjithashtu kampionues me volum t</w:t>
                      </w:r>
                      <w:r>
                        <w:rPr>
                          <w:rFonts w:ascii="Times New Roman" w:hAnsi="Times New Roman" w:cs="Times New Roman"/>
                          <w:sz w:val="24"/>
                          <w:szCs w:val="24"/>
                        </w:rPr>
                        <w:t>ë ulët për monitorimin e</w:t>
                      </w:r>
                      <w:r w:rsidRPr="00C67159">
                        <w:rPr>
                          <w:rFonts w:ascii="Times New Roman" w:hAnsi="Times New Roman" w:cs="Times New Roman"/>
                          <w:sz w:val="24"/>
                          <w:szCs w:val="24"/>
                        </w:rPr>
                        <w:t xml:space="preserve"> PM₁₀ dhe PM₂.₅.</w:t>
                      </w:r>
                    </w:p>
                  </w:txbxContent>
                </v:textbox>
              </v:rect>
            </w:pict>
          </mc:Fallback>
        </mc:AlternateContent>
      </w:r>
      <w:r w:rsidR="00C86E18">
        <w:rPr>
          <w:noProof/>
        </w:rPr>
        <mc:AlternateContent>
          <mc:Choice Requires="wps">
            <w:drawing>
              <wp:inline distT="0" distB="0" distL="0" distR="0" wp14:anchorId="067622F8" wp14:editId="7D283AB7">
                <wp:extent cx="304800" cy="304800"/>
                <wp:effectExtent l="0" t="0" r="0" b="0"/>
                <wp:docPr id="342" name="AutoShape 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3FBA36" id="AutoShape 1"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9xoi&#10;/MICAADP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7C40DD">
        <w:rPr>
          <w:rFonts w:ascii="Times New Roman" w:eastAsia="Calibri" w:hAnsi="Times New Roman" w:cs="Times New Roman"/>
          <w:noProof/>
          <w:color w:val="000000"/>
          <w:sz w:val="24"/>
          <w:szCs w:val="24"/>
        </w:rPr>
        <w:drawing>
          <wp:inline distT="0" distB="0" distL="0" distR="0" wp14:anchorId="0B616848" wp14:editId="32EA57EA">
            <wp:extent cx="2886075" cy="3914775"/>
            <wp:effectExtent l="0" t="0" r="9525" b="952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6075" cy="3914775"/>
                    </a:xfrm>
                    <a:prstGeom prst="rect">
                      <a:avLst/>
                    </a:prstGeom>
                    <a:noFill/>
                  </pic:spPr>
                </pic:pic>
              </a:graphicData>
            </a:graphic>
          </wp:inline>
        </w:drawing>
      </w:r>
    </w:p>
    <w:p w:rsidR="007C40DD" w:rsidRPr="007C40DD" w:rsidRDefault="007C40DD" w:rsidP="007C40DD">
      <w:pPr>
        <w:shd w:val="clear" w:color="auto" w:fill="FFFFFF"/>
        <w:spacing w:after="0" w:line="301" w:lineRule="atLeast"/>
        <w:jc w:val="both"/>
        <w:textAlignment w:val="baseline"/>
        <w:rPr>
          <w:rFonts w:ascii="Times New Roman" w:eastAsia="Calibri" w:hAnsi="Times New Roman" w:cs="Times New Roman"/>
          <w:color w:val="000000"/>
          <w:sz w:val="24"/>
          <w:szCs w:val="24"/>
        </w:rPr>
      </w:pPr>
    </w:p>
    <w:p w:rsidR="007C40DD" w:rsidRPr="007C40DD" w:rsidRDefault="007C40DD" w:rsidP="00822E13">
      <w:pPr>
        <w:shd w:val="clear" w:color="auto" w:fill="FFFFFF"/>
        <w:spacing w:after="0" w:line="301" w:lineRule="atLeast"/>
        <w:jc w:val="both"/>
        <w:textAlignment w:val="baseline"/>
        <w:rPr>
          <w:rFonts w:ascii="Times New Roman" w:eastAsia="Calibri" w:hAnsi="Times New Roman" w:cs="Times New Roman"/>
          <w:bCs/>
          <w:sz w:val="24"/>
          <w:szCs w:val="24"/>
          <w:lang w:val="sq-AL"/>
        </w:rPr>
      </w:pPr>
      <w:r w:rsidRPr="007C40DD">
        <w:rPr>
          <w:rFonts w:ascii="Times New Roman" w:eastAsia="Calibri" w:hAnsi="Times New Roman" w:cs="Times New Roman"/>
          <w:bCs/>
          <w:sz w:val="24"/>
          <w:szCs w:val="24"/>
          <w:lang w:val="sq-AL"/>
        </w:rPr>
        <w:t xml:space="preserve">Monitorimi i cilësisë </w:t>
      </w:r>
      <w:r w:rsidR="00F32916">
        <w:rPr>
          <w:rFonts w:ascii="Times New Roman" w:eastAsia="Calibri" w:hAnsi="Times New Roman" w:cs="Times New Roman"/>
          <w:bCs/>
          <w:sz w:val="24"/>
          <w:szCs w:val="24"/>
          <w:lang w:val="sq-AL"/>
        </w:rPr>
        <w:t>së ajrit realizohet për marrjen</w:t>
      </w:r>
      <w:r w:rsidRPr="007C40DD">
        <w:rPr>
          <w:rFonts w:ascii="Times New Roman" w:eastAsia="Calibri" w:hAnsi="Times New Roman" w:cs="Times New Roman"/>
          <w:bCs/>
          <w:sz w:val="24"/>
          <w:szCs w:val="24"/>
          <w:lang w:val="sq-AL"/>
        </w:rPr>
        <w:t xml:space="preserve"> e inf</w:t>
      </w:r>
      <w:r w:rsidR="002B7558">
        <w:rPr>
          <w:rFonts w:ascii="Times New Roman" w:eastAsia="Calibri" w:hAnsi="Times New Roman" w:cs="Times New Roman"/>
          <w:bCs/>
          <w:sz w:val="24"/>
          <w:szCs w:val="24"/>
          <w:lang w:val="sq-AL"/>
        </w:rPr>
        <w:t>ormacionit me qëllim vlerësimin</w:t>
      </w:r>
      <w:r w:rsidRPr="007C40DD">
        <w:rPr>
          <w:rFonts w:ascii="Times New Roman" w:eastAsia="Calibri" w:hAnsi="Times New Roman" w:cs="Times New Roman"/>
          <w:bCs/>
          <w:sz w:val="24"/>
          <w:szCs w:val="24"/>
          <w:lang w:val="sq-AL"/>
        </w:rPr>
        <w:t xml:space="preserve"> në lidhje me PM</w:t>
      </w:r>
      <w:r w:rsidRPr="00C558BD">
        <w:rPr>
          <w:rFonts w:ascii="Times New Roman" w:eastAsia="Calibri" w:hAnsi="Times New Roman" w:cs="Times New Roman"/>
          <w:bCs/>
          <w:sz w:val="24"/>
          <w:szCs w:val="24"/>
          <w:vertAlign w:val="subscript"/>
          <w:lang w:val="sq-AL"/>
        </w:rPr>
        <w:t>10</w:t>
      </w:r>
      <w:r w:rsidRPr="007C40DD">
        <w:rPr>
          <w:rFonts w:ascii="Times New Roman" w:eastAsia="Calibri" w:hAnsi="Times New Roman" w:cs="Times New Roman"/>
          <w:bCs/>
          <w:sz w:val="24"/>
          <w:szCs w:val="24"/>
          <w:lang w:val="sq-AL"/>
        </w:rPr>
        <w:t>, PM</w:t>
      </w:r>
      <w:r w:rsidRPr="00C558BD">
        <w:rPr>
          <w:rFonts w:ascii="Times New Roman" w:eastAsia="Calibri" w:hAnsi="Times New Roman" w:cs="Times New Roman"/>
          <w:bCs/>
          <w:sz w:val="24"/>
          <w:szCs w:val="24"/>
          <w:vertAlign w:val="subscript"/>
          <w:lang w:val="sq-AL"/>
        </w:rPr>
        <w:t xml:space="preserve">2.5 </w:t>
      </w:r>
      <w:r w:rsidRPr="007C40DD">
        <w:rPr>
          <w:rFonts w:ascii="Times New Roman" w:eastAsia="Calibri" w:hAnsi="Times New Roman" w:cs="Times New Roman"/>
          <w:bCs/>
          <w:sz w:val="24"/>
          <w:szCs w:val="24"/>
          <w:lang w:val="sq-AL"/>
        </w:rPr>
        <w:t>, SO</w:t>
      </w:r>
      <w:r w:rsidRPr="007C40DD">
        <w:rPr>
          <w:rFonts w:ascii="Times New Roman" w:eastAsia="Calibri" w:hAnsi="Times New Roman" w:cs="Times New Roman"/>
          <w:bCs/>
          <w:sz w:val="24"/>
          <w:szCs w:val="24"/>
          <w:vertAlign w:val="subscript"/>
          <w:lang w:val="sq-AL"/>
        </w:rPr>
        <w:t>2</w:t>
      </w:r>
      <w:r w:rsidRPr="007C40DD">
        <w:rPr>
          <w:rFonts w:ascii="Times New Roman" w:eastAsia="Calibri" w:hAnsi="Times New Roman" w:cs="Times New Roman"/>
          <w:bCs/>
          <w:sz w:val="24"/>
          <w:szCs w:val="24"/>
          <w:lang w:val="sq-AL"/>
        </w:rPr>
        <w:t>, NOx, O</w:t>
      </w:r>
      <w:r w:rsidRPr="007C40DD">
        <w:rPr>
          <w:rFonts w:ascii="Times New Roman" w:eastAsia="Calibri" w:hAnsi="Times New Roman" w:cs="Times New Roman"/>
          <w:bCs/>
          <w:sz w:val="24"/>
          <w:szCs w:val="24"/>
          <w:vertAlign w:val="subscript"/>
          <w:lang w:val="sq-AL"/>
        </w:rPr>
        <w:t>3</w:t>
      </w:r>
      <w:r w:rsidR="002B7558">
        <w:rPr>
          <w:rFonts w:ascii="Times New Roman" w:eastAsia="Calibri" w:hAnsi="Times New Roman" w:cs="Times New Roman"/>
          <w:bCs/>
          <w:sz w:val="24"/>
          <w:szCs w:val="24"/>
          <w:lang w:val="sq-AL"/>
        </w:rPr>
        <w:t>, CO dhe Benzenin,  përcaktimin e</w:t>
      </w:r>
      <w:r w:rsidRPr="007C40DD">
        <w:rPr>
          <w:rFonts w:ascii="Times New Roman" w:eastAsia="Calibri" w:hAnsi="Times New Roman" w:cs="Times New Roman"/>
          <w:bCs/>
          <w:sz w:val="24"/>
          <w:szCs w:val="24"/>
          <w:lang w:val="sq-AL"/>
        </w:rPr>
        <w:t xml:space="preserve"> vlerave kufi, vlerave prag dhe vlerave të synuara për disa ndotës në ajër, si dhe objektivave për cilësi të shëndetshme të ajrit</w:t>
      </w:r>
      <w:r w:rsidR="002B7558">
        <w:rPr>
          <w:rFonts w:ascii="Times New Roman" w:eastAsia="Calibri" w:hAnsi="Times New Roman" w:cs="Times New Roman"/>
          <w:bCs/>
          <w:sz w:val="24"/>
          <w:szCs w:val="24"/>
          <w:lang w:val="sq-AL"/>
        </w:rPr>
        <w:t xml:space="preserve"> të mjedisit. Gjithashtu dhënia e rekomandimeve</w:t>
      </w:r>
      <w:r w:rsidRPr="007C40DD">
        <w:rPr>
          <w:rFonts w:ascii="Times New Roman" w:eastAsia="Calibri" w:hAnsi="Times New Roman" w:cs="Times New Roman"/>
          <w:bCs/>
          <w:sz w:val="24"/>
          <w:szCs w:val="24"/>
          <w:lang w:val="sq-AL"/>
        </w:rPr>
        <w:t xml:space="preserve"> u shërben si baz</w:t>
      </w:r>
      <w:r w:rsidR="00C558BD">
        <w:rPr>
          <w:rFonts w:ascii="Times New Roman" w:eastAsia="Calibri" w:hAnsi="Times New Roman" w:cs="Times New Roman"/>
          <w:bCs/>
          <w:sz w:val="24"/>
          <w:szCs w:val="24"/>
          <w:lang w:val="sq-AL"/>
        </w:rPr>
        <w:t>ë</w:t>
      </w:r>
      <w:r w:rsidRPr="007C40DD">
        <w:rPr>
          <w:rFonts w:ascii="Times New Roman" w:eastAsia="Calibri" w:hAnsi="Times New Roman" w:cs="Times New Roman"/>
          <w:bCs/>
          <w:sz w:val="24"/>
          <w:szCs w:val="24"/>
          <w:lang w:val="sq-AL"/>
        </w:rPr>
        <w:t xml:space="preserve"> politikbërëse për hartimin e legjislacionit, planeve dhe strategjive duke synuar parandalimin e ndotje</w:t>
      </w:r>
      <w:r w:rsidR="002B7558">
        <w:rPr>
          <w:rFonts w:ascii="Times New Roman" w:eastAsia="Calibri" w:hAnsi="Times New Roman" w:cs="Times New Roman"/>
          <w:bCs/>
          <w:sz w:val="24"/>
          <w:szCs w:val="24"/>
          <w:lang w:val="sq-AL"/>
        </w:rPr>
        <w:t>s dhe pasojave që lidhen me të,</w:t>
      </w:r>
      <w:r w:rsidRPr="007C40DD">
        <w:rPr>
          <w:rFonts w:ascii="Times New Roman" w:eastAsia="Calibri" w:hAnsi="Times New Roman" w:cs="Times New Roman"/>
          <w:bCs/>
          <w:sz w:val="24"/>
          <w:szCs w:val="24"/>
          <w:lang w:val="sq-AL"/>
        </w:rPr>
        <w:t xml:space="preserve"> si dhe përmirësimin e tij nëpërmjet masave kombëtare</w:t>
      </w:r>
      <w:r w:rsidR="00162781">
        <w:rPr>
          <w:rFonts w:ascii="Times New Roman" w:eastAsia="Calibri" w:hAnsi="Times New Roman" w:cs="Times New Roman"/>
          <w:bCs/>
          <w:sz w:val="24"/>
          <w:szCs w:val="24"/>
          <w:lang w:val="sq-AL"/>
        </w:rPr>
        <w:t>.</w:t>
      </w:r>
      <w:r w:rsidRPr="007C40DD">
        <w:rPr>
          <w:rFonts w:ascii="Times New Roman" w:eastAsia="Calibri" w:hAnsi="Times New Roman" w:cs="Times New Roman"/>
          <w:bCs/>
          <w:sz w:val="24"/>
          <w:szCs w:val="24"/>
          <w:lang w:val="sq-AL"/>
        </w:rPr>
        <w:t xml:space="preserve"> </w:t>
      </w:r>
    </w:p>
    <w:p w:rsidR="007C40DD" w:rsidRPr="007C40DD" w:rsidRDefault="007C40DD" w:rsidP="00822E13">
      <w:pPr>
        <w:spacing w:after="0" w:line="276" w:lineRule="auto"/>
        <w:jc w:val="both"/>
        <w:rPr>
          <w:rFonts w:ascii="Times New Roman" w:eastAsia="Calibri" w:hAnsi="Times New Roman" w:cs="Times New Roman"/>
          <w:sz w:val="24"/>
          <w:szCs w:val="24"/>
          <w:lang w:val="it-IT"/>
        </w:rPr>
      </w:pPr>
    </w:p>
    <w:p w:rsidR="007C40DD" w:rsidRPr="007C40DD" w:rsidRDefault="007C40DD" w:rsidP="00822E13">
      <w:pPr>
        <w:spacing w:after="0" w:line="276" w:lineRule="auto"/>
        <w:jc w:val="both"/>
        <w:rPr>
          <w:rFonts w:ascii="Times New Roman" w:eastAsia="Calibri" w:hAnsi="Times New Roman" w:cs="Times New Roman"/>
          <w:sz w:val="24"/>
          <w:szCs w:val="24"/>
          <w:lang w:val="it-IT"/>
        </w:rPr>
      </w:pPr>
      <w:r w:rsidRPr="007C40DD">
        <w:rPr>
          <w:rFonts w:ascii="Times New Roman" w:eastAsia="Calibri" w:hAnsi="Times New Roman" w:cs="Times New Roman"/>
          <w:sz w:val="24"/>
          <w:szCs w:val="24"/>
          <w:lang w:val="it-IT"/>
        </w:rPr>
        <w:lastRenderedPageBreak/>
        <w:t>Të dhënat e përftuara nga stacionet e monitorimit përpunohen dhe analizohen për të vlerësuar gjendjen e cilësisë së ajrit në nivel kombëtar, si dhe për të identifikuar rastet e tejkalimit të vlerave kufi të përcaktuara në legjislacionin kombëtar dhe në direktivat e Bashkimit Evropi</w:t>
      </w:r>
      <w:r w:rsidR="00822E13">
        <w:rPr>
          <w:rFonts w:ascii="Times New Roman" w:eastAsia="Calibri" w:hAnsi="Times New Roman" w:cs="Times New Roman"/>
          <w:sz w:val="24"/>
          <w:szCs w:val="24"/>
          <w:lang w:val="it-IT"/>
        </w:rPr>
        <w:t>an për cilësinë e ajrit. Ky proç</w:t>
      </w:r>
      <w:r w:rsidRPr="007C40DD">
        <w:rPr>
          <w:rFonts w:ascii="Times New Roman" w:eastAsia="Calibri" w:hAnsi="Times New Roman" w:cs="Times New Roman"/>
          <w:sz w:val="24"/>
          <w:szCs w:val="24"/>
          <w:lang w:val="it-IT"/>
        </w:rPr>
        <w:t>es mundëson vlerësimin e tendencave të ndotjes së ajrit dhe shërben si bazë për hartimin dhe zbatimin e politikave dhe masave për përmirësimin e cilësisë së ajrit</w:t>
      </w:r>
      <w:r w:rsidR="002B7558">
        <w:rPr>
          <w:rFonts w:ascii="Times New Roman" w:eastAsia="Calibri" w:hAnsi="Times New Roman" w:cs="Times New Roman"/>
          <w:sz w:val="24"/>
          <w:szCs w:val="24"/>
          <w:lang w:val="it-IT"/>
        </w:rPr>
        <w:t>.</w:t>
      </w:r>
    </w:p>
    <w:p w:rsidR="007C40DD" w:rsidRPr="007C40DD" w:rsidRDefault="007C40DD" w:rsidP="007C40DD">
      <w:pPr>
        <w:shd w:val="clear" w:color="auto" w:fill="FFFFFF"/>
        <w:spacing w:after="0" w:line="301" w:lineRule="atLeast"/>
        <w:jc w:val="both"/>
        <w:textAlignment w:val="baseline"/>
        <w:rPr>
          <w:rFonts w:ascii="Times New Roman" w:eastAsia="Calibri" w:hAnsi="Times New Roman" w:cs="Times New Roman"/>
          <w:i/>
          <w:color w:val="000000" w:themeColor="text1"/>
          <w:sz w:val="24"/>
          <w:szCs w:val="24"/>
        </w:rPr>
      </w:pPr>
    </w:p>
    <w:tbl>
      <w:tblPr>
        <w:tblpPr w:leftFromText="180" w:rightFromText="180" w:vertAnchor="text" w:horzAnchor="margin" w:tblpY="802"/>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1080"/>
        <w:gridCol w:w="1170"/>
        <w:gridCol w:w="1170"/>
        <w:gridCol w:w="1260"/>
        <w:gridCol w:w="1260"/>
        <w:gridCol w:w="1260"/>
        <w:gridCol w:w="1350"/>
      </w:tblGrid>
      <w:tr w:rsidR="007C40DD" w:rsidRPr="007C40DD" w:rsidTr="002B575F">
        <w:tc>
          <w:tcPr>
            <w:tcW w:w="163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7C40DD" w:rsidRPr="007C40DD" w:rsidRDefault="007C40DD" w:rsidP="007C40DD">
            <w:pPr>
              <w:spacing w:after="0" w:line="240" w:lineRule="auto"/>
              <w:rPr>
                <w:rFonts w:ascii="Times New Roman" w:eastAsia="Calibri" w:hAnsi="Times New Roman" w:cs="Times New Roman"/>
                <w:sz w:val="24"/>
                <w:szCs w:val="24"/>
                <w:lang w:bidi="en-US"/>
              </w:rPr>
            </w:pPr>
          </w:p>
          <w:p w:rsidR="007C40DD" w:rsidRPr="007C40DD" w:rsidRDefault="007C40DD" w:rsidP="007C40DD">
            <w:pPr>
              <w:spacing w:after="0" w:line="240" w:lineRule="auto"/>
              <w:rPr>
                <w:rFonts w:ascii="Times New Roman" w:eastAsia="Calibri" w:hAnsi="Times New Roman" w:cs="Times New Roman"/>
                <w:sz w:val="24"/>
                <w:szCs w:val="24"/>
                <w:lang w:bidi="en-US"/>
              </w:rPr>
            </w:pPr>
            <w:r w:rsidRPr="007C40DD">
              <w:rPr>
                <w:rFonts w:ascii="Times New Roman" w:eastAsia="Calibri" w:hAnsi="Times New Roman" w:cs="Times New Roman"/>
                <w:sz w:val="24"/>
                <w:szCs w:val="24"/>
                <w:lang w:bidi="en-US"/>
              </w:rPr>
              <w:t xml:space="preserve">Normat e lejuara </w:t>
            </w:r>
          </w:p>
        </w:tc>
        <w:tc>
          <w:tcPr>
            <w:tcW w:w="108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7C40DD" w:rsidRPr="007C40DD" w:rsidRDefault="007C40DD" w:rsidP="007C40DD">
            <w:pPr>
              <w:spacing w:after="0" w:line="240" w:lineRule="auto"/>
              <w:jc w:val="center"/>
              <w:rPr>
                <w:rFonts w:ascii="Times New Roman" w:eastAsia="Calibri" w:hAnsi="Times New Roman" w:cs="Times New Roman"/>
                <w:sz w:val="24"/>
                <w:szCs w:val="24"/>
                <w:lang w:bidi="en-US"/>
              </w:rPr>
            </w:pPr>
          </w:p>
          <w:p w:rsidR="007C40DD" w:rsidRPr="007C40DD" w:rsidRDefault="007C40DD" w:rsidP="007C40DD">
            <w:pPr>
              <w:spacing w:after="0" w:line="240" w:lineRule="auto"/>
              <w:jc w:val="center"/>
              <w:rPr>
                <w:rFonts w:ascii="Times New Roman" w:eastAsia="Calibri" w:hAnsi="Times New Roman" w:cs="Times New Roman"/>
                <w:sz w:val="24"/>
                <w:szCs w:val="24"/>
                <w:lang w:bidi="en-US"/>
              </w:rPr>
            </w:pPr>
            <w:r w:rsidRPr="007C40DD">
              <w:rPr>
                <w:rFonts w:ascii="Times New Roman" w:eastAsia="Calibri" w:hAnsi="Times New Roman" w:cs="Times New Roman"/>
                <w:sz w:val="24"/>
                <w:szCs w:val="24"/>
                <w:lang w:bidi="en-US"/>
              </w:rPr>
              <w:t>PM10</w:t>
            </w:r>
          </w:p>
          <w:p w:rsidR="007C40DD" w:rsidRPr="007C40DD" w:rsidRDefault="007C40DD" w:rsidP="007C40DD">
            <w:pPr>
              <w:spacing w:after="0" w:line="240" w:lineRule="auto"/>
              <w:jc w:val="center"/>
              <w:rPr>
                <w:rFonts w:ascii="Times New Roman" w:eastAsia="Calibri" w:hAnsi="Times New Roman" w:cs="Times New Roman"/>
                <w:sz w:val="24"/>
                <w:szCs w:val="24"/>
                <w:lang w:bidi="en-US"/>
              </w:rPr>
            </w:pPr>
          </w:p>
          <w:p w:rsidR="007C40DD" w:rsidRPr="007C40DD" w:rsidRDefault="007C40DD" w:rsidP="007C40DD">
            <w:pPr>
              <w:spacing w:after="0" w:line="240" w:lineRule="auto"/>
              <w:jc w:val="center"/>
              <w:rPr>
                <w:rFonts w:ascii="Times New Roman" w:eastAsia="Calibri" w:hAnsi="Times New Roman" w:cs="Times New Roman"/>
                <w:sz w:val="24"/>
                <w:szCs w:val="24"/>
                <w:lang w:bidi="en-US"/>
              </w:rPr>
            </w:pPr>
            <w:r w:rsidRPr="007C40DD">
              <w:rPr>
                <w:rFonts w:ascii="Times New Roman" w:eastAsia="Calibri" w:hAnsi="Times New Roman" w:cs="Times New Roman"/>
                <w:sz w:val="24"/>
                <w:szCs w:val="24"/>
                <w:lang w:bidi="en-US"/>
              </w:rPr>
              <w:t>µg/m³</w:t>
            </w:r>
          </w:p>
        </w:tc>
        <w:tc>
          <w:tcPr>
            <w:tcW w:w="117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7C40DD" w:rsidRPr="007C40DD" w:rsidRDefault="007C40DD" w:rsidP="007C40DD">
            <w:pPr>
              <w:spacing w:after="0" w:line="240" w:lineRule="auto"/>
              <w:jc w:val="center"/>
              <w:rPr>
                <w:rFonts w:ascii="Times New Roman" w:eastAsia="Calibri" w:hAnsi="Times New Roman" w:cs="Times New Roman"/>
                <w:sz w:val="24"/>
                <w:szCs w:val="24"/>
                <w:lang w:bidi="en-US"/>
              </w:rPr>
            </w:pPr>
          </w:p>
          <w:p w:rsidR="007C40DD" w:rsidRPr="007C40DD" w:rsidRDefault="007C40DD" w:rsidP="007C40DD">
            <w:pPr>
              <w:spacing w:after="0" w:line="240" w:lineRule="auto"/>
              <w:jc w:val="center"/>
              <w:rPr>
                <w:rFonts w:ascii="Times New Roman" w:eastAsia="Calibri" w:hAnsi="Times New Roman" w:cs="Times New Roman"/>
                <w:sz w:val="24"/>
                <w:szCs w:val="24"/>
                <w:lang w:bidi="en-US"/>
              </w:rPr>
            </w:pPr>
            <w:r w:rsidRPr="007C40DD">
              <w:rPr>
                <w:rFonts w:ascii="Times New Roman" w:eastAsia="Calibri" w:hAnsi="Times New Roman" w:cs="Times New Roman"/>
                <w:sz w:val="24"/>
                <w:szCs w:val="24"/>
                <w:lang w:bidi="en-US"/>
              </w:rPr>
              <w:t>PM2.5</w:t>
            </w:r>
          </w:p>
          <w:p w:rsidR="007C40DD" w:rsidRPr="007C40DD" w:rsidRDefault="007C40DD" w:rsidP="007C40DD">
            <w:pPr>
              <w:spacing w:after="0" w:line="240" w:lineRule="auto"/>
              <w:jc w:val="center"/>
              <w:rPr>
                <w:rFonts w:ascii="Times New Roman" w:eastAsia="Calibri" w:hAnsi="Times New Roman" w:cs="Times New Roman"/>
                <w:sz w:val="24"/>
                <w:szCs w:val="24"/>
                <w:lang w:bidi="en-US"/>
              </w:rPr>
            </w:pPr>
          </w:p>
          <w:p w:rsidR="007C40DD" w:rsidRPr="007C40DD" w:rsidRDefault="007C40DD" w:rsidP="007C40DD">
            <w:pPr>
              <w:spacing w:after="0" w:line="240" w:lineRule="auto"/>
              <w:jc w:val="center"/>
              <w:rPr>
                <w:rFonts w:ascii="Times New Roman" w:eastAsia="Calibri" w:hAnsi="Times New Roman" w:cs="Times New Roman"/>
                <w:sz w:val="24"/>
                <w:szCs w:val="24"/>
                <w:lang w:bidi="en-US"/>
              </w:rPr>
            </w:pPr>
            <w:r w:rsidRPr="007C40DD">
              <w:rPr>
                <w:rFonts w:ascii="Times New Roman" w:eastAsia="Calibri" w:hAnsi="Times New Roman" w:cs="Times New Roman"/>
                <w:sz w:val="24"/>
                <w:szCs w:val="24"/>
                <w:lang w:bidi="en-US"/>
              </w:rPr>
              <w:t>µg/m³</w:t>
            </w:r>
          </w:p>
        </w:tc>
        <w:tc>
          <w:tcPr>
            <w:tcW w:w="117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Times New Roman" w:hAnsi="Times New Roman" w:cs="Times New Roman"/>
                <w:color w:val="000000"/>
                <w:sz w:val="24"/>
                <w:szCs w:val="24"/>
                <w:lang w:bidi="en-US"/>
              </w:rPr>
              <w:t>SO2</w:t>
            </w:r>
          </w:p>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Calibri" w:hAnsi="Times New Roman" w:cs="Times New Roman"/>
                <w:sz w:val="24"/>
                <w:szCs w:val="24"/>
                <w:lang w:bidi="en-US"/>
              </w:rPr>
              <w:t>µg/m³</w:t>
            </w:r>
          </w:p>
        </w:tc>
        <w:tc>
          <w:tcPr>
            <w:tcW w:w="12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Times New Roman" w:hAnsi="Times New Roman" w:cs="Times New Roman"/>
                <w:color w:val="000000"/>
                <w:sz w:val="24"/>
                <w:szCs w:val="24"/>
                <w:lang w:bidi="en-US"/>
              </w:rPr>
              <w:t>O3</w:t>
            </w:r>
          </w:p>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Calibri" w:hAnsi="Times New Roman" w:cs="Times New Roman"/>
                <w:sz w:val="24"/>
                <w:szCs w:val="24"/>
                <w:lang w:bidi="en-US"/>
              </w:rPr>
              <w:t>µg/m³</w:t>
            </w:r>
          </w:p>
        </w:tc>
        <w:tc>
          <w:tcPr>
            <w:tcW w:w="12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Times New Roman" w:hAnsi="Times New Roman" w:cs="Times New Roman"/>
                <w:color w:val="000000"/>
                <w:sz w:val="24"/>
                <w:szCs w:val="24"/>
                <w:lang w:bidi="en-US"/>
              </w:rPr>
              <w:t>CO</w:t>
            </w:r>
          </w:p>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Calibri" w:hAnsi="Times New Roman" w:cs="Times New Roman"/>
                <w:sz w:val="24"/>
                <w:szCs w:val="24"/>
                <w:lang w:bidi="en-US"/>
              </w:rPr>
              <w:t>mg/m³</w:t>
            </w:r>
          </w:p>
        </w:tc>
        <w:tc>
          <w:tcPr>
            <w:tcW w:w="12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Times New Roman" w:hAnsi="Times New Roman" w:cs="Times New Roman"/>
                <w:color w:val="000000"/>
                <w:sz w:val="24"/>
                <w:szCs w:val="24"/>
                <w:lang w:bidi="en-US"/>
              </w:rPr>
              <w:t>NO2</w:t>
            </w:r>
          </w:p>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Calibri" w:hAnsi="Times New Roman" w:cs="Times New Roman"/>
                <w:sz w:val="24"/>
                <w:szCs w:val="24"/>
                <w:lang w:bidi="en-US"/>
              </w:rPr>
              <w:t>µg/m³</w:t>
            </w:r>
          </w:p>
        </w:tc>
        <w:tc>
          <w:tcPr>
            <w:tcW w:w="135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Times New Roman" w:hAnsi="Times New Roman" w:cs="Times New Roman"/>
                <w:color w:val="000000"/>
                <w:sz w:val="24"/>
                <w:szCs w:val="24"/>
                <w:lang w:bidi="en-US"/>
              </w:rPr>
              <w:t>Benzeni</w:t>
            </w:r>
          </w:p>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Calibri" w:hAnsi="Times New Roman" w:cs="Times New Roman"/>
                <w:sz w:val="24"/>
                <w:szCs w:val="24"/>
                <w:lang w:bidi="en-US"/>
              </w:rPr>
              <w:t>µg/m³</w:t>
            </w:r>
          </w:p>
        </w:tc>
      </w:tr>
      <w:tr w:rsidR="007C40DD" w:rsidRPr="007C40DD" w:rsidTr="002B575F">
        <w:tc>
          <w:tcPr>
            <w:tcW w:w="163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hideMark/>
          </w:tcPr>
          <w:p w:rsidR="007C40DD" w:rsidRPr="007C40DD" w:rsidRDefault="002B7558" w:rsidP="007C40D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1 or</w:t>
            </w:r>
            <w:r>
              <w:rPr>
                <w:rFonts w:ascii="Times New Roman" w:hAnsi="Times New Roman"/>
                <w:sz w:val="24"/>
                <w:szCs w:val="24"/>
              </w:rPr>
              <w:t>ë</w:t>
            </w:r>
            <w:r w:rsidR="007C40DD" w:rsidRPr="007C40DD">
              <w:rPr>
                <w:rFonts w:ascii="Times New Roman" w:eastAsia="Times New Roman" w:hAnsi="Times New Roman" w:cs="Times New Roman"/>
                <w:color w:val="000000"/>
                <w:sz w:val="24"/>
                <w:szCs w:val="24"/>
                <w:lang w:bidi="en-US"/>
              </w:rPr>
              <w:t xml:space="preserve">she </w:t>
            </w:r>
          </w:p>
        </w:tc>
        <w:tc>
          <w:tcPr>
            <w:tcW w:w="1080" w:type="dxa"/>
            <w:tcBorders>
              <w:top w:val="single" w:sz="4" w:space="0" w:color="000000"/>
              <w:left w:val="single" w:sz="4" w:space="0" w:color="000000"/>
              <w:bottom w:val="single" w:sz="4" w:space="0" w:color="000000"/>
              <w:right w:val="single" w:sz="4" w:space="0" w:color="000000"/>
            </w:tcBorders>
          </w:tcPr>
          <w:p w:rsidR="007C40DD" w:rsidRPr="007C40DD" w:rsidRDefault="007C40DD" w:rsidP="007C40DD">
            <w:pPr>
              <w:spacing w:after="0" w:line="240" w:lineRule="auto"/>
              <w:jc w:val="center"/>
              <w:rPr>
                <w:rFonts w:ascii="Times New Roman" w:eastAsia="Calibri" w:hAnsi="Times New Roman" w:cs="Times New Roman"/>
                <w:sz w:val="24"/>
                <w:szCs w:val="24"/>
                <w:lang w:bidi="en-US"/>
              </w:rPr>
            </w:pPr>
          </w:p>
        </w:tc>
        <w:tc>
          <w:tcPr>
            <w:tcW w:w="1170" w:type="dxa"/>
            <w:tcBorders>
              <w:top w:val="single" w:sz="4" w:space="0" w:color="000000"/>
              <w:left w:val="single" w:sz="4" w:space="0" w:color="000000"/>
              <w:bottom w:val="single" w:sz="4" w:space="0" w:color="000000"/>
              <w:right w:val="single" w:sz="4" w:space="0" w:color="000000"/>
            </w:tcBorders>
          </w:tcPr>
          <w:p w:rsidR="007C40DD" w:rsidRPr="007C40DD" w:rsidRDefault="007C40DD" w:rsidP="007C40DD">
            <w:pPr>
              <w:spacing w:after="0" w:line="240" w:lineRule="auto"/>
              <w:jc w:val="center"/>
              <w:rPr>
                <w:rFonts w:ascii="Times New Roman" w:eastAsia="Calibri" w:hAnsi="Times New Roman" w:cs="Times New Roman"/>
                <w:sz w:val="24"/>
                <w:szCs w:val="24"/>
                <w:lang w:bidi="en-US"/>
              </w:rPr>
            </w:pP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Times New Roman" w:hAnsi="Times New Roman" w:cs="Times New Roman"/>
                <w:color w:val="000000"/>
                <w:sz w:val="24"/>
                <w:szCs w:val="24"/>
                <w:lang w:bidi="en-US"/>
              </w:rPr>
              <w:t>350</w:t>
            </w:r>
          </w:p>
        </w:tc>
        <w:tc>
          <w:tcPr>
            <w:tcW w:w="1260" w:type="dxa"/>
            <w:tcBorders>
              <w:top w:val="single" w:sz="4" w:space="0" w:color="000000"/>
              <w:left w:val="single" w:sz="4" w:space="0" w:color="000000"/>
              <w:bottom w:val="single" w:sz="4" w:space="0" w:color="000000"/>
              <w:right w:val="single" w:sz="4" w:space="0" w:color="000000"/>
            </w:tcBorders>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tc>
        <w:tc>
          <w:tcPr>
            <w:tcW w:w="1260" w:type="dxa"/>
            <w:tcBorders>
              <w:top w:val="single" w:sz="4" w:space="0" w:color="000000"/>
              <w:left w:val="single" w:sz="4" w:space="0" w:color="000000"/>
              <w:bottom w:val="single" w:sz="4" w:space="0" w:color="000000"/>
              <w:right w:val="single" w:sz="4" w:space="0" w:color="000000"/>
            </w:tcBorders>
            <w:vAlign w:val="bottom"/>
            <w:hideMark/>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Times New Roman" w:hAnsi="Times New Roman" w:cs="Times New Roman"/>
                <w:color w:val="000000"/>
                <w:sz w:val="24"/>
                <w:szCs w:val="24"/>
                <w:lang w:bidi="en-US"/>
              </w:rPr>
              <w:t>200</w:t>
            </w:r>
          </w:p>
        </w:tc>
        <w:tc>
          <w:tcPr>
            <w:tcW w:w="1350" w:type="dxa"/>
            <w:tcBorders>
              <w:top w:val="single" w:sz="4" w:space="0" w:color="000000"/>
              <w:left w:val="single" w:sz="4" w:space="0" w:color="000000"/>
              <w:bottom w:val="single" w:sz="4" w:space="0" w:color="000000"/>
              <w:right w:val="single" w:sz="4" w:space="0" w:color="000000"/>
            </w:tcBorders>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tc>
      </w:tr>
      <w:tr w:rsidR="007C40DD" w:rsidRPr="007C40DD" w:rsidTr="002B575F">
        <w:tc>
          <w:tcPr>
            <w:tcW w:w="163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hideMark/>
          </w:tcPr>
          <w:p w:rsidR="007C40DD" w:rsidRPr="007C40DD" w:rsidRDefault="002B7558" w:rsidP="007C40D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8 or</w:t>
            </w:r>
            <w:r>
              <w:rPr>
                <w:rFonts w:ascii="Times New Roman" w:hAnsi="Times New Roman"/>
                <w:sz w:val="24"/>
                <w:szCs w:val="24"/>
              </w:rPr>
              <w:t>ë</w:t>
            </w:r>
            <w:r w:rsidR="007C40DD" w:rsidRPr="007C40DD">
              <w:rPr>
                <w:rFonts w:ascii="Times New Roman" w:eastAsia="Times New Roman" w:hAnsi="Times New Roman" w:cs="Times New Roman"/>
                <w:color w:val="000000"/>
                <w:sz w:val="24"/>
                <w:szCs w:val="24"/>
                <w:lang w:bidi="en-US"/>
              </w:rPr>
              <w:t>she</w:t>
            </w:r>
          </w:p>
        </w:tc>
        <w:tc>
          <w:tcPr>
            <w:tcW w:w="1080" w:type="dxa"/>
            <w:tcBorders>
              <w:top w:val="single" w:sz="4" w:space="0" w:color="000000"/>
              <w:left w:val="single" w:sz="4" w:space="0" w:color="000000"/>
              <w:bottom w:val="single" w:sz="4" w:space="0" w:color="000000"/>
              <w:right w:val="single" w:sz="4" w:space="0" w:color="000000"/>
            </w:tcBorders>
          </w:tcPr>
          <w:p w:rsidR="007C40DD" w:rsidRPr="007C40DD" w:rsidRDefault="007C40DD" w:rsidP="007C40DD">
            <w:pPr>
              <w:spacing w:after="0" w:line="240" w:lineRule="auto"/>
              <w:jc w:val="center"/>
              <w:rPr>
                <w:rFonts w:ascii="Times New Roman" w:eastAsia="Calibri" w:hAnsi="Times New Roman" w:cs="Times New Roman"/>
                <w:sz w:val="24"/>
                <w:szCs w:val="24"/>
                <w:lang w:bidi="en-US"/>
              </w:rPr>
            </w:pPr>
          </w:p>
        </w:tc>
        <w:tc>
          <w:tcPr>
            <w:tcW w:w="1170" w:type="dxa"/>
            <w:tcBorders>
              <w:top w:val="single" w:sz="4" w:space="0" w:color="000000"/>
              <w:left w:val="single" w:sz="4" w:space="0" w:color="000000"/>
              <w:bottom w:val="single" w:sz="4" w:space="0" w:color="000000"/>
              <w:right w:val="single" w:sz="4" w:space="0" w:color="000000"/>
            </w:tcBorders>
          </w:tcPr>
          <w:p w:rsidR="007C40DD" w:rsidRPr="007C40DD" w:rsidRDefault="007C40DD" w:rsidP="007C40DD">
            <w:pPr>
              <w:spacing w:after="0" w:line="240" w:lineRule="auto"/>
              <w:jc w:val="center"/>
              <w:rPr>
                <w:rFonts w:ascii="Times New Roman" w:eastAsia="Calibri" w:hAnsi="Times New Roman" w:cs="Times New Roman"/>
                <w:sz w:val="24"/>
                <w:szCs w:val="24"/>
                <w:lang w:bidi="en-US"/>
              </w:rPr>
            </w:pPr>
          </w:p>
        </w:tc>
        <w:tc>
          <w:tcPr>
            <w:tcW w:w="1170" w:type="dxa"/>
            <w:tcBorders>
              <w:top w:val="single" w:sz="4" w:space="0" w:color="000000"/>
              <w:left w:val="single" w:sz="4" w:space="0" w:color="000000"/>
              <w:bottom w:val="single" w:sz="4" w:space="0" w:color="000000"/>
              <w:right w:val="single" w:sz="4" w:space="0" w:color="000000"/>
            </w:tcBorders>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tc>
        <w:tc>
          <w:tcPr>
            <w:tcW w:w="1260" w:type="dxa"/>
            <w:tcBorders>
              <w:top w:val="single" w:sz="4" w:space="0" w:color="000000"/>
              <w:left w:val="single" w:sz="4" w:space="0" w:color="000000"/>
              <w:bottom w:val="single" w:sz="4" w:space="0" w:color="000000"/>
              <w:right w:val="single" w:sz="4" w:space="0" w:color="000000"/>
            </w:tcBorders>
            <w:vAlign w:val="bottom"/>
            <w:hideMark/>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Times New Roman" w:hAnsi="Times New Roman" w:cs="Times New Roman"/>
                <w:color w:val="000000"/>
                <w:sz w:val="24"/>
                <w:szCs w:val="24"/>
                <w:lang w:bidi="en-US"/>
              </w:rPr>
              <w:t>120</w:t>
            </w:r>
          </w:p>
        </w:tc>
        <w:tc>
          <w:tcPr>
            <w:tcW w:w="1260" w:type="dxa"/>
            <w:tcBorders>
              <w:top w:val="single" w:sz="4" w:space="0" w:color="000000"/>
              <w:left w:val="single" w:sz="4" w:space="0" w:color="000000"/>
              <w:bottom w:val="single" w:sz="4" w:space="0" w:color="000000"/>
              <w:right w:val="single" w:sz="4" w:space="0" w:color="000000"/>
            </w:tcBorders>
            <w:vAlign w:val="bottom"/>
            <w:hideMark/>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Times New Roman" w:hAnsi="Times New Roman" w:cs="Times New Roman"/>
                <w:color w:val="000000"/>
                <w:sz w:val="24"/>
                <w:szCs w:val="24"/>
                <w:lang w:bidi="en-US"/>
              </w:rPr>
              <w:t>10</w:t>
            </w:r>
          </w:p>
        </w:tc>
        <w:tc>
          <w:tcPr>
            <w:tcW w:w="1260" w:type="dxa"/>
            <w:tcBorders>
              <w:top w:val="single" w:sz="4" w:space="0" w:color="000000"/>
              <w:left w:val="single" w:sz="4" w:space="0" w:color="000000"/>
              <w:bottom w:val="single" w:sz="4" w:space="0" w:color="000000"/>
              <w:right w:val="single" w:sz="4" w:space="0" w:color="000000"/>
            </w:tcBorders>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tc>
        <w:tc>
          <w:tcPr>
            <w:tcW w:w="1350" w:type="dxa"/>
            <w:tcBorders>
              <w:top w:val="single" w:sz="4" w:space="0" w:color="000000"/>
              <w:left w:val="single" w:sz="4" w:space="0" w:color="000000"/>
              <w:bottom w:val="single" w:sz="4" w:space="0" w:color="000000"/>
              <w:right w:val="single" w:sz="4" w:space="0" w:color="000000"/>
            </w:tcBorders>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tc>
      </w:tr>
      <w:tr w:rsidR="007C40DD" w:rsidRPr="007C40DD" w:rsidTr="002B575F">
        <w:tc>
          <w:tcPr>
            <w:tcW w:w="163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hideMark/>
          </w:tcPr>
          <w:p w:rsidR="007C40DD" w:rsidRPr="007C40DD" w:rsidRDefault="002B7558" w:rsidP="007C40D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24 or</w:t>
            </w:r>
            <w:r>
              <w:rPr>
                <w:rFonts w:ascii="Times New Roman" w:hAnsi="Times New Roman"/>
                <w:sz w:val="24"/>
                <w:szCs w:val="24"/>
              </w:rPr>
              <w:t>ë</w:t>
            </w:r>
            <w:r w:rsidR="007C40DD" w:rsidRPr="007C40DD">
              <w:rPr>
                <w:rFonts w:ascii="Times New Roman" w:eastAsia="Times New Roman" w:hAnsi="Times New Roman" w:cs="Times New Roman"/>
                <w:color w:val="000000"/>
                <w:sz w:val="24"/>
                <w:szCs w:val="24"/>
                <w:lang w:bidi="en-US"/>
              </w:rPr>
              <w:t xml:space="preserve">she </w:t>
            </w:r>
          </w:p>
        </w:tc>
        <w:tc>
          <w:tcPr>
            <w:tcW w:w="1080" w:type="dxa"/>
            <w:tcBorders>
              <w:top w:val="single" w:sz="4" w:space="0" w:color="000000"/>
              <w:left w:val="single" w:sz="4" w:space="0" w:color="000000"/>
              <w:bottom w:val="single" w:sz="4" w:space="0" w:color="000000"/>
              <w:right w:val="single" w:sz="4" w:space="0" w:color="000000"/>
            </w:tcBorders>
            <w:hideMark/>
          </w:tcPr>
          <w:p w:rsidR="007C40DD" w:rsidRPr="007C40DD" w:rsidRDefault="007C40DD" w:rsidP="007C40DD">
            <w:pPr>
              <w:spacing w:after="0" w:line="240" w:lineRule="auto"/>
              <w:jc w:val="center"/>
              <w:rPr>
                <w:rFonts w:ascii="Times New Roman" w:eastAsia="Calibri" w:hAnsi="Times New Roman" w:cs="Times New Roman"/>
                <w:sz w:val="24"/>
                <w:szCs w:val="24"/>
                <w:lang w:bidi="en-US"/>
              </w:rPr>
            </w:pPr>
            <w:r w:rsidRPr="007C40DD">
              <w:rPr>
                <w:rFonts w:ascii="Times New Roman" w:eastAsia="Calibri" w:hAnsi="Times New Roman" w:cs="Times New Roman"/>
                <w:sz w:val="24"/>
                <w:szCs w:val="24"/>
                <w:lang w:bidi="en-US"/>
              </w:rPr>
              <w:t>50</w:t>
            </w:r>
          </w:p>
        </w:tc>
        <w:tc>
          <w:tcPr>
            <w:tcW w:w="1170" w:type="dxa"/>
            <w:tcBorders>
              <w:top w:val="single" w:sz="4" w:space="0" w:color="000000"/>
              <w:left w:val="single" w:sz="4" w:space="0" w:color="000000"/>
              <w:bottom w:val="single" w:sz="4" w:space="0" w:color="000000"/>
              <w:right w:val="single" w:sz="4" w:space="0" w:color="000000"/>
            </w:tcBorders>
          </w:tcPr>
          <w:p w:rsidR="007C40DD" w:rsidRPr="007C40DD" w:rsidRDefault="007C40DD" w:rsidP="007C40DD">
            <w:pPr>
              <w:spacing w:after="0" w:line="240" w:lineRule="auto"/>
              <w:jc w:val="center"/>
              <w:rPr>
                <w:rFonts w:ascii="Times New Roman" w:eastAsia="Calibri" w:hAnsi="Times New Roman" w:cs="Times New Roman"/>
                <w:sz w:val="24"/>
                <w:szCs w:val="24"/>
                <w:lang w:bidi="en-US"/>
              </w:rPr>
            </w:pP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Times New Roman" w:hAnsi="Times New Roman" w:cs="Times New Roman"/>
                <w:color w:val="000000"/>
                <w:sz w:val="24"/>
                <w:szCs w:val="24"/>
                <w:lang w:bidi="en-US"/>
              </w:rPr>
              <w:t>125</w:t>
            </w:r>
          </w:p>
        </w:tc>
        <w:tc>
          <w:tcPr>
            <w:tcW w:w="1260" w:type="dxa"/>
            <w:tcBorders>
              <w:top w:val="single" w:sz="4" w:space="0" w:color="000000"/>
              <w:left w:val="single" w:sz="4" w:space="0" w:color="000000"/>
              <w:bottom w:val="single" w:sz="4" w:space="0" w:color="000000"/>
              <w:right w:val="single" w:sz="4" w:space="0" w:color="000000"/>
            </w:tcBorders>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tc>
        <w:tc>
          <w:tcPr>
            <w:tcW w:w="1350" w:type="dxa"/>
            <w:tcBorders>
              <w:top w:val="single" w:sz="4" w:space="0" w:color="000000"/>
              <w:left w:val="single" w:sz="4" w:space="0" w:color="000000"/>
              <w:bottom w:val="single" w:sz="4" w:space="0" w:color="000000"/>
              <w:right w:val="single" w:sz="4" w:space="0" w:color="000000"/>
            </w:tcBorders>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tc>
      </w:tr>
      <w:tr w:rsidR="007C40DD" w:rsidRPr="007C40DD" w:rsidTr="002B575F">
        <w:tc>
          <w:tcPr>
            <w:tcW w:w="163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hideMark/>
          </w:tcPr>
          <w:p w:rsidR="007C40DD" w:rsidRPr="007C40DD" w:rsidRDefault="007C40DD" w:rsidP="007C40DD">
            <w:pPr>
              <w:spacing w:after="0" w:line="240" w:lineRule="auto"/>
              <w:rPr>
                <w:rFonts w:ascii="Times New Roman" w:eastAsia="Times New Roman" w:hAnsi="Times New Roman" w:cs="Times New Roman"/>
                <w:color w:val="000000"/>
                <w:sz w:val="24"/>
                <w:szCs w:val="24"/>
                <w:lang w:bidi="en-US"/>
              </w:rPr>
            </w:pPr>
            <w:r w:rsidRPr="007C40DD">
              <w:rPr>
                <w:rFonts w:ascii="Times New Roman" w:eastAsia="Times New Roman" w:hAnsi="Times New Roman" w:cs="Times New Roman"/>
                <w:color w:val="000000"/>
                <w:sz w:val="24"/>
                <w:szCs w:val="24"/>
                <w:lang w:bidi="en-US"/>
              </w:rPr>
              <w:t>Vjetore</w:t>
            </w:r>
          </w:p>
        </w:tc>
        <w:tc>
          <w:tcPr>
            <w:tcW w:w="1080" w:type="dxa"/>
            <w:tcBorders>
              <w:top w:val="single" w:sz="4" w:space="0" w:color="000000"/>
              <w:left w:val="single" w:sz="4" w:space="0" w:color="000000"/>
              <w:bottom w:val="single" w:sz="4" w:space="0" w:color="000000"/>
              <w:right w:val="single" w:sz="4" w:space="0" w:color="000000"/>
            </w:tcBorders>
            <w:hideMark/>
          </w:tcPr>
          <w:p w:rsidR="007C40DD" w:rsidRPr="007C40DD" w:rsidRDefault="007C40DD" w:rsidP="007C40DD">
            <w:pPr>
              <w:spacing w:after="0" w:line="240" w:lineRule="auto"/>
              <w:jc w:val="center"/>
              <w:rPr>
                <w:rFonts w:ascii="Times New Roman" w:eastAsia="Calibri" w:hAnsi="Times New Roman" w:cs="Times New Roman"/>
                <w:sz w:val="24"/>
                <w:szCs w:val="24"/>
                <w:lang w:bidi="en-US"/>
              </w:rPr>
            </w:pPr>
            <w:r w:rsidRPr="007C40DD">
              <w:rPr>
                <w:rFonts w:ascii="Times New Roman" w:eastAsia="Calibri" w:hAnsi="Times New Roman" w:cs="Times New Roman"/>
                <w:sz w:val="24"/>
                <w:szCs w:val="24"/>
                <w:lang w:bidi="en-US"/>
              </w:rPr>
              <w:t>40</w:t>
            </w:r>
          </w:p>
        </w:tc>
        <w:tc>
          <w:tcPr>
            <w:tcW w:w="1170" w:type="dxa"/>
            <w:tcBorders>
              <w:top w:val="single" w:sz="4" w:space="0" w:color="000000"/>
              <w:left w:val="single" w:sz="4" w:space="0" w:color="000000"/>
              <w:bottom w:val="single" w:sz="4" w:space="0" w:color="000000"/>
              <w:right w:val="single" w:sz="4" w:space="0" w:color="000000"/>
            </w:tcBorders>
            <w:hideMark/>
          </w:tcPr>
          <w:p w:rsidR="007C40DD" w:rsidRPr="007C40DD" w:rsidRDefault="007C40DD" w:rsidP="007C40DD">
            <w:pPr>
              <w:spacing w:after="0" w:line="240" w:lineRule="auto"/>
              <w:jc w:val="center"/>
              <w:rPr>
                <w:rFonts w:ascii="Times New Roman" w:eastAsia="Calibri" w:hAnsi="Times New Roman" w:cs="Times New Roman"/>
                <w:sz w:val="24"/>
                <w:szCs w:val="24"/>
                <w:lang w:bidi="en-US"/>
              </w:rPr>
            </w:pPr>
            <w:r w:rsidRPr="007C40DD">
              <w:rPr>
                <w:rFonts w:ascii="Times New Roman" w:eastAsia="Calibri" w:hAnsi="Times New Roman" w:cs="Times New Roman"/>
                <w:sz w:val="24"/>
                <w:szCs w:val="24"/>
                <w:lang w:bidi="en-US"/>
              </w:rPr>
              <w:t>25</w:t>
            </w:r>
          </w:p>
        </w:tc>
        <w:tc>
          <w:tcPr>
            <w:tcW w:w="1170" w:type="dxa"/>
            <w:tcBorders>
              <w:top w:val="single" w:sz="4" w:space="0" w:color="000000"/>
              <w:left w:val="single" w:sz="4" w:space="0" w:color="000000"/>
              <w:bottom w:val="single" w:sz="4" w:space="0" w:color="000000"/>
              <w:right w:val="single" w:sz="4" w:space="0" w:color="000000"/>
            </w:tcBorders>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p>
        </w:tc>
        <w:tc>
          <w:tcPr>
            <w:tcW w:w="1260" w:type="dxa"/>
            <w:tcBorders>
              <w:top w:val="single" w:sz="4" w:space="0" w:color="000000"/>
              <w:left w:val="single" w:sz="4" w:space="0" w:color="000000"/>
              <w:bottom w:val="single" w:sz="4" w:space="0" w:color="000000"/>
              <w:right w:val="single" w:sz="4" w:space="0" w:color="000000"/>
            </w:tcBorders>
            <w:vAlign w:val="bottom"/>
            <w:hideMark/>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Times New Roman" w:hAnsi="Times New Roman" w:cs="Times New Roman"/>
                <w:color w:val="000000"/>
                <w:sz w:val="24"/>
                <w:szCs w:val="24"/>
                <w:lang w:bidi="en-US"/>
              </w:rPr>
              <w:t>40</w:t>
            </w:r>
          </w:p>
        </w:tc>
        <w:tc>
          <w:tcPr>
            <w:tcW w:w="1350" w:type="dxa"/>
            <w:tcBorders>
              <w:top w:val="single" w:sz="4" w:space="0" w:color="000000"/>
              <w:left w:val="single" w:sz="4" w:space="0" w:color="000000"/>
              <w:bottom w:val="single" w:sz="4" w:space="0" w:color="000000"/>
              <w:right w:val="single" w:sz="4" w:space="0" w:color="000000"/>
            </w:tcBorders>
            <w:vAlign w:val="bottom"/>
            <w:hideMark/>
          </w:tcPr>
          <w:p w:rsidR="007C40DD" w:rsidRPr="007C40DD" w:rsidRDefault="007C40DD" w:rsidP="007C40DD">
            <w:pPr>
              <w:spacing w:after="0" w:line="240" w:lineRule="auto"/>
              <w:jc w:val="center"/>
              <w:rPr>
                <w:rFonts w:ascii="Times New Roman" w:eastAsia="Times New Roman" w:hAnsi="Times New Roman" w:cs="Times New Roman"/>
                <w:color w:val="000000"/>
                <w:sz w:val="24"/>
                <w:szCs w:val="24"/>
                <w:lang w:bidi="en-US"/>
              </w:rPr>
            </w:pPr>
            <w:r w:rsidRPr="007C40DD">
              <w:rPr>
                <w:rFonts w:ascii="Times New Roman" w:eastAsia="Times New Roman" w:hAnsi="Times New Roman" w:cs="Times New Roman"/>
                <w:color w:val="000000"/>
                <w:sz w:val="24"/>
                <w:szCs w:val="24"/>
                <w:lang w:bidi="en-US"/>
              </w:rPr>
              <w:t>5</w:t>
            </w:r>
          </w:p>
        </w:tc>
      </w:tr>
    </w:tbl>
    <w:p w:rsidR="007C40DD" w:rsidRPr="007C40DD" w:rsidRDefault="007C40DD" w:rsidP="007C40DD">
      <w:pPr>
        <w:autoSpaceDE w:val="0"/>
        <w:autoSpaceDN w:val="0"/>
        <w:adjustRightInd w:val="0"/>
        <w:spacing w:after="0" w:line="240" w:lineRule="auto"/>
        <w:jc w:val="both"/>
        <w:rPr>
          <w:rFonts w:ascii="Times New Roman" w:eastAsia="Calibri" w:hAnsi="Times New Roman" w:cs="Times New Roman"/>
          <w:b/>
          <w:color w:val="000000"/>
          <w:sz w:val="24"/>
          <w:szCs w:val="24"/>
        </w:rPr>
      </w:pPr>
    </w:p>
    <w:p w:rsidR="007C40DD" w:rsidRPr="007C40DD" w:rsidRDefault="002E7797" w:rsidP="007C40DD">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2E7797">
        <w:rPr>
          <w:rFonts w:ascii="Times New Roman" w:eastAsia="Calibri" w:hAnsi="Times New Roman" w:cs="Times New Roman"/>
          <w:color w:val="000000"/>
        </w:rPr>
        <w:t>Tabela 1.</w:t>
      </w:r>
      <w:r w:rsidR="007C40DD" w:rsidRPr="002E7797">
        <w:rPr>
          <w:rFonts w:ascii="Times New Roman" w:eastAsia="Calibri" w:hAnsi="Times New Roman" w:cs="Times New Roman"/>
          <w:color w:val="000000"/>
        </w:rPr>
        <w:t>Normat e cilë</w:t>
      </w:r>
      <w:r w:rsidR="00822E13" w:rsidRPr="002E7797">
        <w:rPr>
          <w:rFonts w:ascii="Times New Roman" w:eastAsia="Calibri" w:hAnsi="Times New Roman" w:cs="Times New Roman"/>
          <w:color w:val="000000"/>
        </w:rPr>
        <w:t>sisë së ajrit sipas VKM 352 datë</w:t>
      </w:r>
      <w:r w:rsidR="007C40DD" w:rsidRPr="002E7797">
        <w:rPr>
          <w:rFonts w:ascii="Times New Roman" w:eastAsia="Calibri" w:hAnsi="Times New Roman" w:cs="Times New Roman"/>
          <w:color w:val="000000"/>
        </w:rPr>
        <w:t xml:space="preserve"> 29.04.2015 (të unifikuara me normat e</w:t>
      </w:r>
      <w:r w:rsidR="007C40DD" w:rsidRPr="007C40DD">
        <w:rPr>
          <w:rFonts w:ascii="Times New Roman" w:eastAsia="Calibri" w:hAnsi="Times New Roman" w:cs="Times New Roman"/>
          <w:b/>
          <w:color w:val="000000"/>
          <w:sz w:val="24"/>
          <w:szCs w:val="24"/>
        </w:rPr>
        <w:t xml:space="preserve"> </w:t>
      </w:r>
      <w:r w:rsidR="007C40DD" w:rsidRPr="002E7797">
        <w:rPr>
          <w:rFonts w:ascii="Times New Roman" w:eastAsia="Calibri" w:hAnsi="Times New Roman" w:cs="Times New Roman"/>
          <w:color w:val="000000"/>
        </w:rPr>
        <w:t>BE)</w:t>
      </w:r>
    </w:p>
    <w:p w:rsidR="007C40DD" w:rsidRPr="007C40DD" w:rsidRDefault="007C40DD" w:rsidP="007C40DD"/>
    <w:p w:rsidR="007C40DD" w:rsidRPr="007C40DD" w:rsidRDefault="007C40DD" w:rsidP="007C40DD">
      <w:pPr>
        <w:spacing w:after="200" w:line="276" w:lineRule="auto"/>
        <w:jc w:val="both"/>
        <w:rPr>
          <w:rFonts w:ascii="Times New Roman" w:eastAsia="Calibri" w:hAnsi="Times New Roman" w:cs="Times New Roman"/>
          <w:b/>
          <w:color w:val="000000"/>
          <w:sz w:val="24"/>
          <w:szCs w:val="24"/>
          <w:u w:val="single"/>
          <w:lang w:val="pt-BR"/>
        </w:rPr>
      </w:pPr>
      <w:r w:rsidRPr="007C40DD">
        <w:rPr>
          <w:rFonts w:ascii="Times New Roman" w:eastAsia="Calibri" w:hAnsi="Times New Roman" w:cs="Times New Roman"/>
          <w:b/>
          <w:color w:val="000000"/>
          <w:sz w:val="24"/>
          <w:szCs w:val="24"/>
          <w:u w:val="single"/>
          <w:lang w:val="pt-BR"/>
        </w:rPr>
        <w:t>Grimcat e pluhu</w:t>
      </w:r>
      <w:r w:rsidR="00822E13">
        <w:rPr>
          <w:rFonts w:ascii="Times New Roman" w:eastAsia="Calibri" w:hAnsi="Times New Roman" w:cs="Times New Roman"/>
          <w:b/>
          <w:color w:val="000000"/>
          <w:sz w:val="24"/>
          <w:szCs w:val="24"/>
          <w:u w:val="single"/>
          <w:lang w:val="pt-BR"/>
        </w:rPr>
        <w:t xml:space="preserve">rave me </w:t>
      </w:r>
      <w:r w:rsidR="00822E13" w:rsidRPr="002B7558">
        <w:rPr>
          <w:rFonts w:ascii="Times New Roman" w:eastAsia="Calibri" w:hAnsi="Times New Roman" w:cs="Times New Roman"/>
          <w:b/>
          <w:color w:val="000000"/>
          <w:sz w:val="24"/>
          <w:szCs w:val="24"/>
          <w:u w:val="single"/>
          <w:lang w:val="pt-BR"/>
        </w:rPr>
        <w:t>madhë</w:t>
      </w:r>
      <w:r w:rsidR="002B7558" w:rsidRPr="002B7558">
        <w:rPr>
          <w:rFonts w:ascii="Times New Roman" w:eastAsia="Calibri" w:hAnsi="Times New Roman" w:cs="Times New Roman"/>
          <w:b/>
          <w:color w:val="000000"/>
          <w:sz w:val="24"/>
          <w:szCs w:val="24"/>
          <w:u w:val="single"/>
          <w:lang w:val="pt-BR"/>
        </w:rPr>
        <w:t>si t</w:t>
      </w:r>
      <w:r w:rsidR="002B7558" w:rsidRPr="002B7558">
        <w:rPr>
          <w:rFonts w:ascii="Times New Roman" w:hAnsi="Times New Roman"/>
          <w:sz w:val="24"/>
          <w:szCs w:val="24"/>
          <w:u w:val="single"/>
        </w:rPr>
        <w:t>ë</w:t>
      </w:r>
      <w:r w:rsidRPr="007C40DD">
        <w:rPr>
          <w:rFonts w:ascii="Times New Roman" w:eastAsia="Calibri" w:hAnsi="Times New Roman" w:cs="Times New Roman"/>
          <w:b/>
          <w:color w:val="000000"/>
          <w:sz w:val="24"/>
          <w:szCs w:val="24"/>
          <w:u w:val="single"/>
          <w:lang w:val="pt-BR"/>
        </w:rPr>
        <w:t xml:space="preserve"> ndryshme  (PM</w:t>
      </w:r>
      <w:r w:rsidRPr="00742D71">
        <w:rPr>
          <w:rFonts w:ascii="Times New Roman" w:eastAsia="Calibri" w:hAnsi="Times New Roman" w:cs="Times New Roman"/>
          <w:b/>
          <w:color w:val="000000"/>
          <w:sz w:val="24"/>
          <w:szCs w:val="24"/>
          <w:u w:val="single"/>
          <w:vertAlign w:val="subscript"/>
          <w:lang w:val="pt-BR"/>
        </w:rPr>
        <w:t>10</w:t>
      </w:r>
      <w:r w:rsidRPr="007C40DD">
        <w:rPr>
          <w:rFonts w:ascii="Times New Roman" w:eastAsia="Calibri" w:hAnsi="Times New Roman" w:cs="Times New Roman"/>
          <w:b/>
          <w:color w:val="000000"/>
          <w:sz w:val="24"/>
          <w:szCs w:val="24"/>
          <w:u w:val="single"/>
          <w:lang w:val="pt-BR"/>
        </w:rPr>
        <w:t xml:space="preserve"> PM</w:t>
      </w:r>
      <w:r w:rsidRPr="00742D71">
        <w:rPr>
          <w:rFonts w:ascii="Times New Roman" w:eastAsia="Calibri" w:hAnsi="Times New Roman" w:cs="Times New Roman"/>
          <w:b/>
          <w:color w:val="000000"/>
          <w:sz w:val="24"/>
          <w:szCs w:val="24"/>
          <w:u w:val="single"/>
          <w:vertAlign w:val="subscript"/>
          <w:lang w:val="pt-BR"/>
        </w:rPr>
        <w:t>2.5</w:t>
      </w:r>
      <w:r w:rsidRPr="007C40DD">
        <w:rPr>
          <w:rFonts w:ascii="Times New Roman" w:eastAsia="Calibri" w:hAnsi="Times New Roman" w:cs="Times New Roman"/>
          <w:b/>
          <w:color w:val="000000"/>
          <w:sz w:val="24"/>
          <w:szCs w:val="24"/>
          <w:u w:val="single"/>
          <w:lang w:val="pt-BR"/>
        </w:rPr>
        <w:t>)</w:t>
      </w:r>
    </w:p>
    <w:p w:rsidR="007C40DD" w:rsidRDefault="00822E13" w:rsidP="00D672D3">
      <w:pPr>
        <w:spacing w:after="0" w:line="240" w:lineRule="auto"/>
        <w:jc w:val="both"/>
        <w:rPr>
          <w:rFonts w:ascii="Times New Roman" w:eastAsia="Calibri" w:hAnsi="Times New Roman" w:cs="Times New Roman"/>
          <w:color w:val="000000"/>
          <w:sz w:val="24"/>
          <w:szCs w:val="24"/>
          <w:lang w:val="pt-BR"/>
        </w:rPr>
      </w:pPr>
      <w:r>
        <w:rPr>
          <w:rFonts w:ascii="Times New Roman" w:eastAsia="Calibri" w:hAnsi="Times New Roman" w:cs="Times New Roman"/>
          <w:b/>
          <w:color w:val="000000"/>
          <w:sz w:val="24"/>
          <w:szCs w:val="24"/>
          <w:lang w:val="pt-BR"/>
        </w:rPr>
        <w:t>Burimi i</w:t>
      </w:r>
      <w:r w:rsidR="007C40DD" w:rsidRPr="007C40DD">
        <w:rPr>
          <w:rFonts w:ascii="Times New Roman" w:eastAsia="Calibri" w:hAnsi="Times New Roman" w:cs="Times New Roman"/>
          <w:b/>
          <w:color w:val="000000"/>
          <w:sz w:val="24"/>
          <w:szCs w:val="24"/>
          <w:lang w:val="pt-BR"/>
        </w:rPr>
        <w:t xml:space="preserve"> grimcave:</w:t>
      </w:r>
      <w:r w:rsidR="00FD697B">
        <w:rPr>
          <w:rFonts w:ascii="Times New Roman" w:eastAsia="Calibri" w:hAnsi="Times New Roman" w:cs="Times New Roman"/>
          <w:color w:val="000000"/>
          <w:sz w:val="24"/>
          <w:szCs w:val="24"/>
          <w:lang w:val="pt-BR"/>
        </w:rPr>
        <w:t xml:space="preserve"> PM</w:t>
      </w:r>
      <w:r w:rsidR="00FD697B" w:rsidRPr="00FD697B">
        <w:rPr>
          <w:rFonts w:ascii="Times New Roman" w:eastAsia="Calibri" w:hAnsi="Times New Roman" w:cs="Times New Roman"/>
          <w:color w:val="000000"/>
          <w:sz w:val="24"/>
          <w:szCs w:val="24"/>
          <w:vertAlign w:val="subscript"/>
          <w:lang w:val="pt-BR"/>
        </w:rPr>
        <w:t>10</w:t>
      </w:r>
      <w:r w:rsidR="00FD697B">
        <w:rPr>
          <w:rFonts w:ascii="Times New Roman" w:eastAsia="Calibri" w:hAnsi="Times New Roman" w:cs="Times New Roman"/>
          <w:color w:val="000000"/>
          <w:sz w:val="24"/>
          <w:szCs w:val="24"/>
          <w:lang w:val="pt-BR"/>
        </w:rPr>
        <w:t xml:space="preserve"> janë grimcat e pluhurit me diametër</w:t>
      </w:r>
      <w:r w:rsidR="007C40DD" w:rsidRPr="007C40DD">
        <w:rPr>
          <w:rFonts w:ascii="Times New Roman" w:eastAsia="Calibri" w:hAnsi="Times New Roman" w:cs="Times New Roman"/>
          <w:color w:val="000000"/>
          <w:sz w:val="24"/>
          <w:szCs w:val="24"/>
          <w:lang w:val="pt-BR"/>
        </w:rPr>
        <w:t xml:space="preserve"> 10µm ose më pak. PM</w:t>
      </w:r>
      <w:r w:rsidR="007C40DD" w:rsidRPr="00FD697B">
        <w:rPr>
          <w:rFonts w:ascii="Times New Roman" w:eastAsia="Calibri" w:hAnsi="Times New Roman" w:cs="Times New Roman"/>
          <w:color w:val="000000"/>
          <w:sz w:val="24"/>
          <w:szCs w:val="24"/>
          <w:vertAlign w:val="subscript"/>
          <w:lang w:val="pt-BR"/>
        </w:rPr>
        <w:t>10</w:t>
      </w:r>
      <w:r w:rsidR="007C40DD" w:rsidRPr="007C40DD">
        <w:rPr>
          <w:rFonts w:ascii="Times New Roman" w:eastAsia="Calibri" w:hAnsi="Times New Roman" w:cs="Times New Roman"/>
          <w:color w:val="000000"/>
          <w:sz w:val="24"/>
          <w:szCs w:val="24"/>
          <w:lang w:val="pt-BR"/>
        </w:rPr>
        <w:t xml:space="preserve"> em</w:t>
      </w:r>
      <w:r w:rsidR="00162781">
        <w:rPr>
          <w:rFonts w:ascii="Times New Roman" w:eastAsia="Calibri" w:hAnsi="Times New Roman" w:cs="Times New Roman"/>
          <w:color w:val="000000"/>
          <w:sz w:val="24"/>
          <w:szCs w:val="24"/>
          <w:lang w:val="pt-BR"/>
        </w:rPr>
        <w:t>ë</w:t>
      </w:r>
      <w:r w:rsidR="007C40DD" w:rsidRPr="007C40DD">
        <w:rPr>
          <w:rFonts w:ascii="Times New Roman" w:eastAsia="Calibri" w:hAnsi="Times New Roman" w:cs="Times New Roman"/>
          <w:color w:val="000000"/>
          <w:sz w:val="24"/>
          <w:szCs w:val="24"/>
          <w:lang w:val="pt-BR"/>
        </w:rPr>
        <w:t>tohet kryesisht nga djegia e lëndëve djegëse të ngurta për ngrohje shtëpiake. Aktivitetet industriale, bujqësia dhe transporti rrugor janë gjithashtu burime të rëndësishme.</w:t>
      </w:r>
      <w:r w:rsidR="007C40DD" w:rsidRPr="007C40DD">
        <w:t xml:space="preserve"> </w:t>
      </w:r>
      <w:r w:rsidR="007C40DD" w:rsidRPr="007C40DD">
        <w:rPr>
          <w:rFonts w:ascii="Times New Roman" w:eastAsia="Calibri" w:hAnsi="Times New Roman" w:cs="Times New Roman"/>
          <w:color w:val="000000"/>
          <w:sz w:val="24"/>
          <w:szCs w:val="24"/>
          <w:lang w:val="pt-BR"/>
        </w:rPr>
        <w:t>Grimcat e pluhurit</w:t>
      </w:r>
      <w:r w:rsidR="00FD697B">
        <w:rPr>
          <w:rFonts w:ascii="Times New Roman" w:eastAsia="Calibri" w:hAnsi="Times New Roman" w:cs="Times New Roman"/>
          <w:color w:val="000000"/>
          <w:sz w:val="24"/>
          <w:szCs w:val="24"/>
          <w:lang w:val="pt-BR"/>
        </w:rPr>
        <w:t xml:space="preserve"> emëtohen në atmosferë dhe nga</w:t>
      </w:r>
      <w:r w:rsidR="007C40DD" w:rsidRPr="007C40DD">
        <w:rPr>
          <w:rFonts w:ascii="Times New Roman" w:eastAsia="Calibri" w:hAnsi="Times New Roman" w:cs="Times New Roman"/>
          <w:color w:val="000000"/>
          <w:sz w:val="24"/>
          <w:szCs w:val="24"/>
          <w:lang w:val="pt-BR"/>
        </w:rPr>
        <w:t xml:space="preserve"> burime natyrore si kripa e detit, pluhuri i Saharasë ose vullkanet. PM të tjera sekondare formohen në atmosferë si një kombinim i gazrave të ndryshëm (për shembull, amoniaku dhe dioksidi i azotit). </w:t>
      </w:r>
    </w:p>
    <w:p w:rsidR="00D672D3" w:rsidRPr="007C40DD" w:rsidRDefault="00D672D3" w:rsidP="00D672D3">
      <w:pPr>
        <w:spacing w:after="0" w:line="240" w:lineRule="auto"/>
        <w:jc w:val="both"/>
        <w:rPr>
          <w:rFonts w:ascii="Times New Roman" w:eastAsia="Calibri" w:hAnsi="Times New Roman" w:cs="Times New Roman"/>
          <w:color w:val="000000"/>
          <w:sz w:val="24"/>
          <w:szCs w:val="24"/>
          <w:lang w:val="pt-BR"/>
        </w:rPr>
      </w:pPr>
    </w:p>
    <w:p w:rsidR="007C40DD" w:rsidRDefault="00FD697B" w:rsidP="00D672D3">
      <w:pPr>
        <w:spacing w:after="0" w:line="240" w:lineRule="auto"/>
        <w:jc w:val="both"/>
        <w:rPr>
          <w:rFonts w:ascii="Times New Roman" w:eastAsia="Calibri" w:hAnsi="Times New Roman" w:cs="Times New Roman"/>
          <w:color w:val="000000"/>
          <w:sz w:val="24"/>
          <w:szCs w:val="24"/>
          <w:lang w:val="pt-BR"/>
        </w:rPr>
      </w:pPr>
      <w:r>
        <w:rPr>
          <w:rFonts w:ascii="Times New Roman" w:eastAsia="Calibri" w:hAnsi="Times New Roman" w:cs="Times New Roman"/>
          <w:color w:val="000000"/>
          <w:sz w:val="24"/>
          <w:szCs w:val="24"/>
          <w:lang w:val="pt-BR"/>
        </w:rPr>
        <w:t>PM</w:t>
      </w:r>
      <w:r w:rsidRPr="00FD697B">
        <w:rPr>
          <w:rFonts w:ascii="Times New Roman" w:eastAsia="Calibri" w:hAnsi="Times New Roman" w:cs="Times New Roman"/>
          <w:color w:val="000000"/>
          <w:sz w:val="24"/>
          <w:szCs w:val="24"/>
          <w:vertAlign w:val="subscript"/>
          <w:lang w:val="pt-BR"/>
        </w:rPr>
        <w:t>2.5</w:t>
      </w:r>
      <w:r>
        <w:rPr>
          <w:rFonts w:ascii="Times New Roman" w:eastAsia="Calibri" w:hAnsi="Times New Roman" w:cs="Times New Roman"/>
          <w:color w:val="000000"/>
          <w:sz w:val="24"/>
          <w:szCs w:val="24"/>
          <w:lang w:val="pt-BR"/>
        </w:rPr>
        <w:t xml:space="preserve"> janë grimcat e pluhurit me</w:t>
      </w:r>
      <w:r w:rsidR="007C40DD" w:rsidRPr="007C40DD">
        <w:rPr>
          <w:rFonts w:ascii="Times New Roman" w:eastAsia="Calibri" w:hAnsi="Times New Roman" w:cs="Times New Roman"/>
          <w:color w:val="000000"/>
          <w:sz w:val="24"/>
          <w:szCs w:val="24"/>
          <w:lang w:val="pt-BR"/>
        </w:rPr>
        <w:t xml:space="preserve"> diametër prej 2.5µm ose më pak. Këto grimca em</w:t>
      </w:r>
      <w:r w:rsidR="00162781">
        <w:rPr>
          <w:rFonts w:ascii="Times New Roman" w:eastAsia="Calibri" w:hAnsi="Times New Roman" w:cs="Times New Roman"/>
          <w:color w:val="000000"/>
          <w:sz w:val="24"/>
          <w:szCs w:val="24"/>
          <w:lang w:val="pt-BR"/>
        </w:rPr>
        <w:t>ë</w:t>
      </w:r>
      <w:r w:rsidR="007C40DD" w:rsidRPr="007C40DD">
        <w:rPr>
          <w:rFonts w:ascii="Times New Roman" w:eastAsia="Calibri" w:hAnsi="Times New Roman" w:cs="Times New Roman"/>
          <w:color w:val="000000"/>
          <w:sz w:val="24"/>
          <w:szCs w:val="24"/>
          <w:lang w:val="pt-BR"/>
        </w:rPr>
        <w:t xml:space="preserve">tohen kryesisht nga djegia e lëndëve djegëse të ngurta për ngrohjen e shtëpive, aktivitetet industriale dhe transporti rrugor. Ashtu si dhe </w:t>
      </w:r>
      <w:r>
        <w:rPr>
          <w:rFonts w:ascii="Times New Roman" w:eastAsia="Calibri" w:hAnsi="Times New Roman" w:cs="Times New Roman"/>
          <w:color w:val="000000"/>
          <w:sz w:val="24"/>
          <w:szCs w:val="24"/>
          <w:lang w:val="pt-BR"/>
        </w:rPr>
        <w:t>PM</w:t>
      </w:r>
      <w:r w:rsidRPr="00FD697B">
        <w:rPr>
          <w:rFonts w:ascii="Times New Roman" w:eastAsia="Calibri" w:hAnsi="Times New Roman" w:cs="Times New Roman"/>
          <w:color w:val="000000"/>
          <w:sz w:val="24"/>
          <w:szCs w:val="24"/>
          <w:vertAlign w:val="subscript"/>
          <w:lang w:val="pt-BR"/>
        </w:rPr>
        <w:t>10</w:t>
      </w:r>
      <w:r>
        <w:rPr>
          <w:rFonts w:ascii="Times New Roman" w:eastAsia="Calibri" w:hAnsi="Times New Roman" w:cs="Times New Roman"/>
          <w:color w:val="000000"/>
          <w:sz w:val="24"/>
          <w:szCs w:val="24"/>
          <w:lang w:val="pt-BR"/>
        </w:rPr>
        <w:t>, PM</w:t>
      </w:r>
      <w:r w:rsidRPr="00FD697B">
        <w:rPr>
          <w:rFonts w:ascii="Times New Roman" w:eastAsia="Calibri" w:hAnsi="Times New Roman" w:cs="Times New Roman"/>
          <w:color w:val="000000"/>
          <w:sz w:val="24"/>
          <w:szCs w:val="24"/>
          <w:vertAlign w:val="subscript"/>
          <w:lang w:val="pt-BR"/>
        </w:rPr>
        <w:t xml:space="preserve">2.5  </w:t>
      </w:r>
      <w:r>
        <w:rPr>
          <w:rFonts w:ascii="Times New Roman" w:eastAsia="Calibri" w:hAnsi="Times New Roman" w:cs="Times New Roman"/>
          <w:color w:val="000000"/>
          <w:sz w:val="24"/>
          <w:szCs w:val="24"/>
          <w:lang w:val="pt-BR"/>
        </w:rPr>
        <w:t>mund të emëtohet n</w:t>
      </w:r>
      <w:r>
        <w:rPr>
          <w:rFonts w:ascii="Times New Roman" w:hAnsi="Times New Roman"/>
          <w:sz w:val="24"/>
          <w:szCs w:val="24"/>
        </w:rPr>
        <w:t>ë</w:t>
      </w:r>
      <w:r w:rsidR="007C40DD" w:rsidRPr="007C40DD">
        <w:rPr>
          <w:rFonts w:ascii="Times New Roman" w:eastAsia="Calibri" w:hAnsi="Times New Roman" w:cs="Times New Roman"/>
          <w:color w:val="000000"/>
          <w:sz w:val="24"/>
          <w:szCs w:val="24"/>
          <w:lang w:val="pt-BR"/>
        </w:rPr>
        <w:t xml:space="preserve"> atmosfer</w:t>
      </w:r>
      <w:r w:rsidR="00827023">
        <w:rPr>
          <w:rFonts w:ascii="Times New Roman" w:eastAsia="Calibri" w:hAnsi="Times New Roman" w:cs="Times New Roman"/>
          <w:color w:val="000000"/>
          <w:sz w:val="24"/>
          <w:szCs w:val="24"/>
          <w:lang w:val="pt-BR"/>
        </w:rPr>
        <w:t>ë</w:t>
      </w:r>
      <w:r w:rsidR="007C40DD" w:rsidRPr="007C40DD">
        <w:rPr>
          <w:rFonts w:ascii="Times New Roman" w:eastAsia="Calibri" w:hAnsi="Times New Roman" w:cs="Times New Roman"/>
          <w:color w:val="000000"/>
          <w:sz w:val="24"/>
          <w:szCs w:val="24"/>
          <w:lang w:val="pt-BR"/>
        </w:rPr>
        <w:t xml:space="preserve">  nga burime natyrore si dhe nga  em</w:t>
      </w:r>
      <w:r w:rsidR="00827023">
        <w:rPr>
          <w:rFonts w:ascii="Times New Roman" w:eastAsia="Calibri" w:hAnsi="Times New Roman" w:cs="Times New Roman"/>
          <w:color w:val="000000"/>
          <w:sz w:val="24"/>
          <w:szCs w:val="24"/>
          <w:lang w:val="pt-BR"/>
        </w:rPr>
        <w:t>e</w:t>
      </w:r>
      <w:r w:rsidR="007C40DD" w:rsidRPr="007C40DD">
        <w:rPr>
          <w:rFonts w:ascii="Times New Roman" w:eastAsia="Calibri" w:hAnsi="Times New Roman" w:cs="Times New Roman"/>
          <w:color w:val="000000"/>
          <w:sz w:val="24"/>
          <w:szCs w:val="24"/>
          <w:lang w:val="pt-BR"/>
        </w:rPr>
        <w:t xml:space="preserve">timet e </w:t>
      </w:r>
      <w:r w:rsidR="00162781">
        <w:rPr>
          <w:rFonts w:ascii="Times New Roman" w:eastAsia="Calibri" w:hAnsi="Times New Roman" w:cs="Times New Roman"/>
          <w:color w:val="000000"/>
          <w:sz w:val="24"/>
          <w:szCs w:val="24"/>
          <w:lang w:val="pt-BR"/>
        </w:rPr>
        <w:t xml:space="preserve">aktivitetit </w:t>
      </w:r>
      <w:r w:rsidR="007C40DD" w:rsidRPr="007C40DD">
        <w:rPr>
          <w:rFonts w:ascii="Times New Roman" w:eastAsia="Calibri" w:hAnsi="Times New Roman" w:cs="Times New Roman"/>
          <w:color w:val="000000"/>
          <w:sz w:val="24"/>
          <w:szCs w:val="24"/>
          <w:lang w:val="pt-BR"/>
        </w:rPr>
        <w:t xml:space="preserve"> bujqësor t</w:t>
      </w:r>
      <w:r w:rsidR="00162781">
        <w:rPr>
          <w:rFonts w:ascii="Times New Roman" w:eastAsia="Calibri" w:hAnsi="Times New Roman" w:cs="Times New Roman"/>
          <w:color w:val="000000"/>
          <w:sz w:val="24"/>
          <w:szCs w:val="24"/>
          <w:lang w:val="pt-BR"/>
        </w:rPr>
        <w:t>ë</w:t>
      </w:r>
      <w:r w:rsidR="007C40DD" w:rsidRPr="007C40DD">
        <w:rPr>
          <w:rFonts w:ascii="Times New Roman" w:eastAsia="Calibri" w:hAnsi="Times New Roman" w:cs="Times New Roman"/>
          <w:color w:val="000000"/>
          <w:sz w:val="24"/>
          <w:szCs w:val="24"/>
          <w:lang w:val="pt-BR"/>
        </w:rPr>
        <w:t xml:space="preserve"> cilët kontribuojnë ndjeshëm në formimin e tyre në këtë drejtim.</w:t>
      </w:r>
    </w:p>
    <w:p w:rsidR="00D672D3" w:rsidRPr="007C40DD" w:rsidRDefault="00D672D3" w:rsidP="00D672D3">
      <w:pPr>
        <w:spacing w:after="0" w:line="240" w:lineRule="auto"/>
        <w:jc w:val="both"/>
        <w:rPr>
          <w:rFonts w:ascii="Times New Roman" w:eastAsia="Calibri" w:hAnsi="Times New Roman" w:cs="Times New Roman"/>
          <w:color w:val="000000"/>
          <w:sz w:val="24"/>
          <w:szCs w:val="24"/>
          <w:lang w:val="pt-BR"/>
        </w:rPr>
      </w:pPr>
    </w:p>
    <w:p w:rsidR="007C40DD" w:rsidRDefault="00FD697B" w:rsidP="00D672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Efektet</w:t>
      </w:r>
      <w:r w:rsidR="007C40DD" w:rsidRPr="007C40DD">
        <w:rPr>
          <w:rFonts w:ascii="Times New Roman" w:eastAsia="Calibri" w:hAnsi="Times New Roman" w:cs="Times New Roman"/>
          <w:b/>
          <w:sz w:val="24"/>
          <w:szCs w:val="24"/>
        </w:rPr>
        <w:t xml:space="preserve"> në shëndet: </w:t>
      </w:r>
      <w:r w:rsidR="007C40DD" w:rsidRPr="007C40DD">
        <w:rPr>
          <w:rFonts w:ascii="Times New Roman" w:eastAsia="Calibri" w:hAnsi="Times New Roman" w:cs="Times New Roman"/>
          <w:sz w:val="24"/>
          <w:szCs w:val="24"/>
        </w:rPr>
        <w:t>PM mund të shk</w:t>
      </w:r>
      <w:r>
        <w:rPr>
          <w:rFonts w:ascii="Times New Roman" w:eastAsia="Calibri" w:hAnsi="Times New Roman" w:cs="Times New Roman"/>
          <w:sz w:val="24"/>
          <w:szCs w:val="24"/>
        </w:rPr>
        <w:t>aktojnë dhe përkeqësojnë sëmundjet e zemrës dhe mushkrive</w:t>
      </w:r>
      <w:r w:rsidR="007C40DD" w:rsidRPr="007C40DD">
        <w:rPr>
          <w:rFonts w:ascii="Times New Roman" w:eastAsia="Calibri" w:hAnsi="Times New Roman" w:cs="Times New Roman"/>
          <w:sz w:val="24"/>
          <w:szCs w:val="24"/>
        </w:rPr>
        <w:t xml:space="preserve">, goditje në zemër </w:t>
      </w:r>
      <w:r>
        <w:rPr>
          <w:rFonts w:ascii="Times New Roman" w:eastAsia="Calibri" w:hAnsi="Times New Roman" w:cs="Times New Roman"/>
          <w:sz w:val="24"/>
          <w:szCs w:val="24"/>
        </w:rPr>
        <w:t>dhe aritmi. PM mun</w:t>
      </w:r>
      <w:r w:rsidR="00162781">
        <w:rPr>
          <w:rFonts w:ascii="Times New Roman" w:eastAsia="Calibri" w:hAnsi="Times New Roman" w:cs="Times New Roman"/>
          <w:sz w:val="24"/>
          <w:szCs w:val="24"/>
        </w:rPr>
        <w:t>d të dëmtojnë sistemin nervor qe</w:t>
      </w:r>
      <w:r>
        <w:rPr>
          <w:rFonts w:ascii="Times New Roman" w:eastAsia="Calibri" w:hAnsi="Times New Roman" w:cs="Times New Roman"/>
          <w:sz w:val="24"/>
          <w:szCs w:val="24"/>
        </w:rPr>
        <w:t>ndror</w:t>
      </w:r>
      <w:r w:rsidR="007C40DD" w:rsidRPr="007C40DD">
        <w:rPr>
          <w:rFonts w:ascii="Times New Roman" w:eastAsia="Calibri" w:hAnsi="Times New Roman" w:cs="Times New Roman"/>
          <w:sz w:val="24"/>
          <w:szCs w:val="24"/>
        </w:rPr>
        <w:t>, sistemin prodhues dhe mund të shkaktojnë kancer.</w:t>
      </w:r>
      <w:r>
        <w:rPr>
          <w:rFonts w:ascii="Times New Roman" w:eastAsia="Calibri" w:hAnsi="Times New Roman" w:cs="Times New Roman"/>
          <w:sz w:val="24"/>
          <w:szCs w:val="24"/>
        </w:rPr>
        <w:t xml:space="preserve"> </w:t>
      </w:r>
      <w:r w:rsidR="007C40DD" w:rsidRPr="007C40DD">
        <w:rPr>
          <w:rFonts w:ascii="Times New Roman" w:eastAsia="Calibri" w:hAnsi="Times New Roman" w:cs="Times New Roman"/>
          <w:sz w:val="24"/>
          <w:szCs w:val="24"/>
        </w:rPr>
        <w:t xml:space="preserve">Një nga rezultatet e ekspozimit të PM mund të </w:t>
      </w:r>
      <w:r w:rsidR="00822E13">
        <w:rPr>
          <w:rFonts w:ascii="Times New Roman" w:eastAsia="Calibri" w:hAnsi="Times New Roman" w:cs="Times New Roman"/>
          <w:sz w:val="24"/>
          <w:szCs w:val="24"/>
        </w:rPr>
        <w:t>shkaktojë vdekje të parakohshme</w:t>
      </w:r>
      <w:r w:rsidR="00742D71">
        <w:rPr>
          <w:rFonts w:ascii="Times New Roman" w:eastAsia="Calibri" w:hAnsi="Times New Roman" w:cs="Times New Roman"/>
          <w:sz w:val="24"/>
          <w:szCs w:val="24"/>
        </w:rPr>
        <w:t>.</w:t>
      </w:r>
    </w:p>
    <w:p w:rsidR="00051C09" w:rsidRPr="007C40DD" w:rsidRDefault="00051C09" w:rsidP="00051C09">
      <w:pPr>
        <w:spacing w:after="0" w:line="240" w:lineRule="auto"/>
        <w:jc w:val="both"/>
        <w:rPr>
          <w:rFonts w:ascii="Times New Roman" w:eastAsia="Calibri" w:hAnsi="Times New Roman" w:cs="Times New Roman"/>
          <w:sz w:val="24"/>
          <w:szCs w:val="24"/>
        </w:rPr>
      </w:pPr>
    </w:p>
    <w:p w:rsidR="007C40DD" w:rsidRPr="00051C09" w:rsidRDefault="00822E13" w:rsidP="00807975">
      <w:pPr>
        <w:numPr>
          <w:ilvl w:val="0"/>
          <w:numId w:val="29"/>
        </w:num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Vlerësimi i</w:t>
      </w:r>
      <w:r w:rsidR="007C40DD" w:rsidRPr="007C40DD">
        <w:rPr>
          <w:rFonts w:ascii="Times New Roman" w:eastAsia="Calibri" w:hAnsi="Times New Roman" w:cs="Times New Roman"/>
          <w:b/>
          <w:sz w:val="24"/>
          <w:szCs w:val="24"/>
        </w:rPr>
        <w:t xml:space="preserve"> cilësisë së ajrit për PM</w:t>
      </w:r>
      <w:r w:rsidR="007C40DD" w:rsidRPr="00742D71">
        <w:rPr>
          <w:rFonts w:ascii="Times New Roman" w:eastAsia="Calibri" w:hAnsi="Times New Roman" w:cs="Times New Roman"/>
          <w:b/>
          <w:sz w:val="24"/>
          <w:szCs w:val="24"/>
          <w:vertAlign w:val="subscript"/>
        </w:rPr>
        <w:t>10</w:t>
      </w:r>
      <w:r w:rsidR="007C40DD" w:rsidRPr="007C40DD">
        <w:rPr>
          <w:rFonts w:ascii="Times New Roman" w:eastAsia="Calibri" w:hAnsi="Times New Roman" w:cs="Times New Roman"/>
          <w:b/>
          <w:sz w:val="24"/>
          <w:szCs w:val="24"/>
        </w:rPr>
        <w:t xml:space="preserve"> dhe PM</w:t>
      </w:r>
      <w:r w:rsidR="007C40DD" w:rsidRPr="00742D71">
        <w:rPr>
          <w:rFonts w:ascii="Times New Roman" w:eastAsia="Calibri" w:hAnsi="Times New Roman" w:cs="Times New Roman"/>
          <w:b/>
          <w:sz w:val="24"/>
          <w:szCs w:val="24"/>
          <w:vertAlign w:val="subscript"/>
        </w:rPr>
        <w:t>2.5</w:t>
      </w:r>
    </w:p>
    <w:p w:rsidR="00051C09" w:rsidRPr="007C40DD" w:rsidRDefault="00051C09" w:rsidP="007A6C83">
      <w:pPr>
        <w:spacing w:after="0" w:line="240" w:lineRule="auto"/>
        <w:ind w:left="720"/>
        <w:contextualSpacing/>
        <w:jc w:val="both"/>
        <w:rPr>
          <w:rFonts w:ascii="Times New Roman" w:eastAsia="Calibri" w:hAnsi="Times New Roman" w:cs="Times New Roman"/>
          <w:b/>
          <w:sz w:val="24"/>
          <w:szCs w:val="24"/>
        </w:rPr>
      </w:pPr>
    </w:p>
    <w:p w:rsidR="007C40DD" w:rsidRDefault="00D672D3" w:rsidP="00827023">
      <w:pPr>
        <w:spacing w:after="0" w:line="240" w:lineRule="auto"/>
        <w:jc w:val="both"/>
        <w:rPr>
          <w:rFonts w:ascii="Times New Roman" w:eastAsia="Calibri" w:hAnsi="Times New Roman" w:cs="Times New Roman"/>
          <w:sz w:val="24"/>
          <w:szCs w:val="24"/>
        </w:rPr>
      </w:pPr>
      <w:r w:rsidRPr="007C40DD">
        <w:rPr>
          <w:rFonts w:ascii="Times New Roman" w:eastAsia="Calibri" w:hAnsi="Times New Roman" w:cs="Times New Roman"/>
          <w:sz w:val="24"/>
          <w:szCs w:val="24"/>
        </w:rPr>
        <w:t>Bazuar në të dhënat e</w:t>
      </w:r>
      <w:r>
        <w:rPr>
          <w:rFonts w:ascii="Times New Roman" w:eastAsia="Calibri" w:hAnsi="Times New Roman" w:cs="Times New Roman"/>
          <w:sz w:val="24"/>
          <w:szCs w:val="24"/>
        </w:rPr>
        <w:t xml:space="preserve"> monitoruara </w:t>
      </w:r>
      <w:r w:rsidR="00051C09" w:rsidRPr="007C40DD">
        <w:rPr>
          <w:rFonts w:ascii="Times New Roman" w:eastAsia="Calibri" w:hAnsi="Times New Roman" w:cs="Times New Roman"/>
          <w:sz w:val="24"/>
          <w:szCs w:val="24"/>
        </w:rPr>
        <w:t>të PM</w:t>
      </w:r>
      <w:r w:rsidR="00051C09" w:rsidRPr="00742D71">
        <w:rPr>
          <w:rFonts w:ascii="Times New Roman" w:eastAsia="Calibri" w:hAnsi="Times New Roman" w:cs="Times New Roman"/>
          <w:sz w:val="24"/>
          <w:szCs w:val="24"/>
          <w:vertAlign w:val="subscript"/>
        </w:rPr>
        <w:t>10</w:t>
      </w:r>
      <w:r w:rsidR="00051C09" w:rsidRPr="007C40DD">
        <w:rPr>
          <w:rFonts w:ascii="Times New Roman" w:eastAsia="Calibri" w:hAnsi="Times New Roman" w:cs="Times New Roman"/>
          <w:sz w:val="24"/>
          <w:szCs w:val="24"/>
        </w:rPr>
        <w:t xml:space="preserve"> për periudhën Korrik-Dhjetor 2025</w:t>
      </w:r>
      <w:r>
        <w:rPr>
          <w:rFonts w:ascii="Times New Roman" w:eastAsia="Calibri" w:hAnsi="Times New Roman" w:cs="Times New Roman"/>
          <w:sz w:val="24"/>
          <w:szCs w:val="24"/>
        </w:rPr>
        <w:t>,</w:t>
      </w:r>
      <w:r w:rsidRPr="007C40DD">
        <w:rPr>
          <w:rFonts w:ascii="Times New Roman" w:eastAsia="Calibri" w:hAnsi="Times New Roman" w:cs="Times New Roman"/>
          <w:sz w:val="24"/>
          <w:szCs w:val="24"/>
        </w:rPr>
        <w:t xml:space="preserve"> vër</w:t>
      </w:r>
      <w:r w:rsidR="00162781">
        <w:rPr>
          <w:rFonts w:ascii="Times New Roman" w:eastAsia="Calibri" w:hAnsi="Times New Roman" w:cs="Times New Roman"/>
          <w:sz w:val="24"/>
          <w:szCs w:val="24"/>
        </w:rPr>
        <w:t>e</w:t>
      </w:r>
      <w:r w:rsidRPr="007C40DD">
        <w:rPr>
          <w:rFonts w:ascii="Times New Roman" w:eastAsia="Calibri" w:hAnsi="Times New Roman" w:cs="Times New Roman"/>
          <w:sz w:val="24"/>
          <w:szCs w:val="24"/>
        </w:rPr>
        <w:t>jmë që kemi tejkalim të normës vjetore të PM</w:t>
      </w:r>
      <w:r w:rsidRPr="000F0AE0">
        <w:rPr>
          <w:rFonts w:ascii="Times New Roman" w:eastAsia="Calibri" w:hAnsi="Times New Roman" w:cs="Times New Roman"/>
          <w:sz w:val="24"/>
          <w:szCs w:val="24"/>
          <w:vertAlign w:val="subscript"/>
        </w:rPr>
        <w:t>10</w:t>
      </w:r>
      <w:r w:rsidRPr="007C40DD">
        <w:rPr>
          <w:rFonts w:ascii="Times New Roman" w:eastAsia="Calibri" w:hAnsi="Times New Roman" w:cs="Times New Roman"/>
          <w:sz w:val="24"/>
          <w:szCs w:val="24"/>
        </w:rPr>
        <w:t xml:space="preserve"> në dy nga stacionet e monitoruara, në stacionin e Tirana Hi</w:t>
      </w:r>
      <w:r>
        <w:rPr>
          <w:rFonts w:ascii="Times New Roman" w:eastAsia="Calibri" w:hAnsi="Times New Roman" w:cs="Times New Roman"/>
          <w:sz w:val="24"/>
          <w:szCs w:val="24"/>
        </w:rPr>
        <w:t xml:space="preserve">gjena dhe stacionin e Ebasanit. </w:t>
      </w:r>
    </w:p>
    <w:p w:rsidR="00162781" w:rsidRPr="007C40DD" w:rsidRDefault="00162781" w:rsidP="00051C09">
      <w:pPr>
        <w:spacing w:after="0" w:line="240" w:lineRule="auto"/>
        <w:rPr>
          <w:rFonts w:ascii="Times New Roman" w:eastAsia="Calibri" w:hAnsi="Times New Roman" w:cs="Times New Roman"/>
          <w:sz w:val="24"/>
          <w:szCs w:val="24"/>
        </w:rPr>
      </w:pPr>
    </w:p>
    <w:p w:rsidR="007C40DD" w:rsidRPr="007C40DD" w:rsidRDefault="007C40DD" w:rsidP="007C40DD">
      <w:pPr>
        <w:spacing w:after="200" w:line="276" w:lineRule="auto"/>
        <w:jc w:val="both"/>
        <w:rPr>
          <w:rFonts w:ascii="Times New Roman" w:eastAsia="Calibri" w:hAnsi="Times New Roman" w:cs="Times New Roman"/>
          <w:sz w:val="24"/>
          <w:szCs w:val="24"/>
        </w:rPr>
      </w:pPr>
      <w:r w:rsidRPr="007C40DD">
        <w:rPr>
          <w:rFonts w:ascii="Times New Roman" w:eastAsia="Calibri" w:hAnsi="Times New Roman" w:cs="Times New Roman"/>
          <w:noProof/>
          <w:sz w:val="20"/>
          <w:szCs w:val="20"/>
        </w:rPr>
        <w:lastRenderedPageBreak/>
        <w:drawing>
          <wp:inline distT="0" distB="0" distL="0" distR="0" wp14:anchorId="633B89F7" wp14:editId="7E28C063">
            <wp:extent cx="5834380" cy="2755900"/>
            <wp:effectExtent l="0" t="0" r="0" b="635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4380" cy="2755900"/>
                    </a:xfrm>
                    <a:prstGeom prst="rect">
                      <a:avLst/>
                    </a:prstGeom>
                    <a:noFill/>
                  </pic:spPr>
                </pic:pic>
              </a:graphicData>
            </a:graphic>
          </wp:inline>
        </w:drawing>
      </w:r>
    </w:p>
    <w:p w:rsidR="007C40DD" w:rsidRDefault="000F0AE0" w:rsidP="002E779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Vlera e monitoruar  </w:t>
      </w:r>
      <w:r w:rsidR="007C40DD" w:rsidRPr="007C40DD">
        <w:rPr>
          <w:rFonts w:ascii="Times New Roman" w:eastAsia="Calibri" w:hAnsi="Times New Roman" w:cs="Times New Roman"/>
          <w:sz w:val="24"/>
          <w:szCs w:val="24"/>
        </w:rPr>
        <w:t>në stacionin e T</w:t>
      </w:r>
      <w:r w:rsidR="00051C09">
        <w:rPr>
          <w:rFonts w:ascii="Times New Roman" w:eastAsia="Calibri" w:hAnsi="Times New Roman" w:cs="Times New Roman"/>
          <w:sz w:val="24"/>
          <w:szCs w:val="24"/>
        </w:rPr>
        <w:t>irana Higjena është 57.66 µg/m³</w:t>
      </w:r>
      <w:r w:rsidR="007C40DD" w:rsidRPr="007C40DD">
        <w:rPr>
          <w:rFonts w:ascii="Times New Roman" w:eastAsia="Calibri" w:hAnsi="Times New Roman" w:cs="Times New Roman"/>
          <w:sz w:val="24"/>
          <w:szCs w:val="24"/>
        </w:rPr>
        <w:t>, kemi një tejkalim prej 44% t</w:t>
      </w:r>
      <w:r w:rsidR="00CE4678">
        <w:rPr>
          <w:rFonts w:ascii="Times New Roman" w:eastAsia="Calibri" w:hAnsi="Times New Roman" w:cs="Times New Roman"/>
          <w:sz w:val="24"/>
          <w:szCs w:val="24"/>
        </w:rPr>
        <w:t>ë</w:t>
      </w:r>
      <w:r w:rsidR="007C40DD" w:rsidRPr="007C40DD">
        <w:rPr>
          <w:rFonts w:ascii="Times New Roman" w:eastAsia="Calibri" w:hAnsi="Times New Roman" w:cs="Times New Roman"/>
          <w:sz w:val="24"/>
          <w:szCs w:val="24"/>
        </w:rPr>
        <w:t xml:space="preserve"> normës vjetore, ndërsa vlera e monitoruar në stacionin e Elbasanit është 59.72 µ</w:t>
      </w:r>
      <w:r>
        <w:rPr>
          <w:rFonts w:ascii="Times New Roman" w:eastAsia="Calibri" w:hAnsi="Times New Roman" w:cs="Times New Roman"/>
          <w:sz w:val="24"/>
          <w:szCs w:val="24"/>
        </w:rPr>
        <w:t>g/m³ me një tejkalim prej 49% t</w:t>
      </w:r>
      <w:r>
        <w:rPr>
          <w:rFonts w:ascii="Times New Roman" w:hAnsi="Times New Roman"/>
          <w:sz w:val="24"/>
          <w:szCs w:val="24"/>
        </w:rPr>
        <w:t>ë</w:t>
      </w:r>
      <w:r w:rsidR="007C40DD" w:rsidRPr="007C40DD">
        <w:rPr>
          <w:rFonts w:ascii="Times New Roman" w:eastAsia="Calibri" w:hAnsi="Times New Roman" w:cs="Times New Roman"/>
          <w:sz w:val="24"/>
          <w:szCs w:val="24"/>
        </w:rPr>
        <w:t xml:space="preserve"> normës vjetore</w:t>
      </w:r>
      <w:r>
        <w:rPr>
          <w:rFonts w:ascii="Times New Roman" w:eastAsia="Calibri" w:hAnsi="Times New Roman" w:cs="Times New Roman"/>
          <w:sz w:val="24"/>
          <w:szCs w:val="24"/>
        </w:rPr>
        <w:t>.</w:t>
      </w:r>
    </w:p>
    <w:p w:rsidR="002E7797" w:rsidRPr="007C40DD" w:rsidRDefault="002E7797" w:rsidP="002E7797">
      <w:pPr>
        <w:spacing w:after="0" w:line="240" w:lineRule="auto"/>
        <w:jc w:val="both"/>
        <w:rPr>
          <w:rFonts w:ascii="Times New Roman" w:eastAsia="Calibri" w:hAnsi="Times New Roman" w:cs="Times New Roman"/>
          <w:sz w:val="24"/>
          <w:szCs w:val="24"/>
        </w:rPr>
      </w:pPr>
    </w:p>
    <w:p w:rsidR="007C40DD" w:rsidRPr="007C40DD" w:rsidRDefault="007C40DD" w:rsidP="007C40DD">
      <w:pPr>
        <w:spacing w:after="200" w:line="276" w:lineRule="auto"/>
        <w:rPr>
          <w:rFonts w:ascii="Times New Roman" w:eastAsia="Calibri" w:hAnsi="Times New Roman" w:cs="Times New Roman"/>
          <w:b/>
          <w:sz w:val="24"/>
          <w:szCs w:val="24"/>
        </w:rPr>
      </w:pPr>
      <w:r w:rsidRPr="007C40DD">
        <w:rPr>
          <w:rFonts w:ascii="Times New Roman" w:eastAsia="Calibri" w:hAnsi="Times New Roman" w:cs="Times New Roman"/>
          <w:b/>
          <w:noProof/>
          <w:sz w:val="24"/>
          <w:szCs w:val="24"/>
        </w:rPr>
        <w:drawing>
          <wp:inline distT="0" distB="0" distL="0" distR="0" wp14:anchorId="7C69993C" wp14:editId="7A289BFD">
            <wp:extent cx="5657849" cy="2524125"/>
            <wp:effectExtent l="0" t="0" r="635"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7377" cy="2528376"/>
                    </a:xfrm>
                    <a:prstGeom prst="rect">
                      <a:avLst/>
                    </a:prstGeom>
                    <a:noFill/>
                  </pic:spPr>
                </pic:pic>
              </a:graphicData>
            </a:graphic>
          </wp:inline>
        </w:drawing>
      </w:r>
    </w:p>
    <w:p w:rsidR="007C40DD" w:rsidRPr="007C40DD" w:rsidRDefault="007C40DD" w:rsidP="00827023">
      <w:pPr>
        <w:spacing w:after="200" w:line="276" w:lineRule="auto"/>
        <w:jc w:val="both"/>
        <w:rPr>
          <w:rFonts w:ascii="Times New Roman" w:eastAsia="Calibri" w:hAnsi="Times New Roman" w:cs="Times New Roman"/>
          <w:sz w:val="24"/>
          <w:szCs w:val="24"/>
        </w:rPr>
      </w:pPr>
      <w:r w:rsidRPr="007C40DD">
        <w:rPr>
          <w:rFonts w:ascii="Times New Roman" w:eastAsia="Calibri" w:hAnsi="Times New Roman" w:cs="Times New Roman"/>
          <w:sz w:val="24"/>
          <w:szCs w:val="24"/>
        </w:rPr>
        <w:t>Numri më i lartë i ditëve që tejkalojnë numrin e di</w:t>
      </w:r>
      <w:r w:rsidR="00326AD6">
        <w:rPr>
          <w:rFonts w:ascii="Times New Roman" w:eastAsia="Calibri" w:hAnsi="Times New Roman" w:cs="Times New Roman"/>
          <w:sz w:val="24"/>
          <w:szCs w:val="24"/>
        </w:rPr>
        <w:t>tëve të lejuara në nj</w:t>
      </w:r>
      <w:r w:rsidR="00CE4678">
        <w:rPr>
          <w:rFonts w:ascii="Times New Roman" w:eastAsia="Calibri" w:hAnsi="Times New Roman" w:cs="Times New Roman"/>
          <w:sz w:val="24"/>
          <w:szCs w:val="24"/>
        </w:rPr>
        <w:t>ë</w:t>
      </w:r>
      <w:r w:rsidR="00326AD6">
        <w:rPr>
          <w:rFonts w:ascii="Times New Roman" w:eastAsia="Calibri" w:hAnsi="Times New Roman" w:cs="Times New Roman"/>
          <w:sz w:val="24"/>
          <w:szCs w:val="24"/>
        </w:rPr>
        <w:t xml:space="preserve"> vit, për</w:t>
      </w:r>
      <w:r w:rsidRPr="007C40DD">
        <w:rPr>
          <w:rFonts w:ascii="Times New Roman" w:eastAsia="Calibri" w:hAnsi="Times New Roman" w:cs="Times New Roman"/>
          <w:sz w:val="24"/>
          <w:szCs w:val="24"/>
        </w:rPr>
        <w:t xml:space="preserve"> periudhën Korrik – Dhjetor 2025</w:t>
      </w:r>
      <w:r w:rsidR="00CE4678">
        <w:rPr>
          <w:rFonts w:ascii="Times New Roman" w:eastAsia="Calibri" w:hAnsi="Times New Roman" w:cs="Times New Roman"/>
          <w:sz w:val="24"/>
          <w:szCs w:val="24"/>
        </w:rPr>
        <w:t>,</w:t>
      </w:r>
      <w:r w:rsidRPr="007C40DD">
        <w:rPr>
          <w:rFonts w:ascii="Times New Roman" w:eastAsia="Calibri" w:hAnsi="Times New Roman" w:cs="Times New Roman"/>
          <w:sz w:val="24"/>
          <w:szCs w:val="24"/>
        </w:rPr>
        <w:t xml:space="preserve"> është </w:t>
      </w:r>
      <w:r w:rsidR="00CE4678">
        <w:rPr>
          <w:rFonts w:ascii="Times New Roman" w:eastAsia="Calibri" w:hAnsi="Times New Roman" w:cs="Times New Roman"/>
          <w:sz w:val="24"/>
          <w:szCs w:val="24"/>
        </w:rPr>
        <w:t xml:space="preserve">monitoruar </w:t>
      </w:r>
      <w:r w:rsidRPr="007C40DD">
        <w:rPr>
          <w:rFonts w:ascii="Times New Roman" w:eastAsia="Calibri" w:hAnsi="Times New Roman" w:cs="Times New Roman"/>
          <w:sz w:val="24"/>
          <w:szCs w:val="24"/>
        </w:rPr>
        <w:t>në stacionin e Tirana Higje</w:t>
      </w:r>
      <w:r w:rsidR="00764B7A">
        <w:rPr>
          <w:rFonts w:ascii="Times New Roman" w:eastAsia="Calibri" w:hAnsi="Times New Roman" w:cs="Times New Roman"/>
          <w:sz w:val="24"/>
          <w:szCs w:val="24"/>
        </w:rPr>
        <w:t>na ku kemi 33 ditë që tejkalojn</w:t>
      </w:r>
      <w:r w:rsidR="00764B7A">
        <w:rPr>
          <w:rFonts w:ascii="Times New Roman" w:hAnsi="Times New Roman"/>
          <w:sz w:val="24"/>
          <w:szCs w:val="24"/>
        </w:rPr>
        <w:t>ë</w:t>
      </w:r>
      <w:r w:rsidRPr="007C40DD">
        <w:rPr>
          <w:rFonts w:ascii="Times New Roman" w:eastAsia="Calibri" w:hAnsi="Times New Roman" w:cs="Times New Roman"/>
          <w:sz w:val="24"/>
          <w:szCs w:val="24"/>
        </w:rPr>
        <w:t xml:space="preserve"> normën ditore të PM</w:t>
      </w:r>
      <w:r w:rsidRPr="00764B7A">
        <w:rPr>
          <w:rFonts w:ascii="Times New Roman" w:eastAsia="Calibri" w:hAnsi="Times New Roman" w:cs="Times New Roman"/>
          <w:sz w:val="24"/>
          <w:szCs w:val="24"/>
          <w:vertAlign w:val="subscript"/>
        </w:rPr>
        <w:t xml:space="preserve">10 </w:t>
      </w:r>
      <w:r w:rsidRPr="007C40DD">
        <w:rPr>
          <w:rFonts w:ascii="Times New Roman" w:eastAsia="Calibri" w:hAnsi="Times New Roman" w:cs="Times New Roman"/>
          <w:sz w:val="24"/>
          <w:szCs w:val="24"/>
        </w:rPr>
        <w:t>prej 50μg/m³ nga 35 ditë që është norma e lejuar në një vit.</w:t>
      </w:r>
    </w:p>
    <w:p w:rsidR="007C40DD" w:rsidRPr="007C40DD" w:rsidRDefault="007C40DD" w:rsidP="007C40DD">
      <w:pPr>
        <w:spacing w:after="200" w:line="276" w:lineRule="auto"/>
        <w:rPr>
          <w:rFonts w:ascii="Times New Roman" w:eastAsia="Calibri" w:hAnsi="Times New Roman" w:cs="Times New Roman"/>
          <w:sz w:val="24"/>
          <w:szCs w:val="24"/>
        </w:rPr>
      </w:pPr>
    </w:p>
    <w:p w:rsidR="007C40DD" w:rsidRPr="007C40DD" w:rsidRDefault="007C40DD" w:rsidP="007C40DD">
      <w:pPr>
        <w:spacing w:after="200" w:line="276" w:lineRule="auto"/>
        <w:rPr>
          <w:rFonts w:ascii="Times New Roman" w:eastAsia="Calibri" w:hAnsi="Times New Roman" w:cs="Times New Roman"/>
          <w:b/>
          <w:sz w:val="24"/>
          <w:szCs w:val="24"/>
        </w:rPr>
      </w:pPr>
      <w:r w:rsidRPr="007C40DD">
        <w:rPr>
          <w:rFonts w:ascii="Times New Roman" w:eastAsia="Calibri" w:hAnsi="Times New Roman" w:cs="Times New Roman"/>
          <w:b/>
          <w:noProof/>
          <w:sz w:val="24"/>
          <w:szCs w:val="24"/>
        </w:rPr>
        <w:lastRenderedPageBreak/>
        <w:drawing>
          <wp:inline distT="0" distB="0" distL="0" distR="0" wp14:anchorId="02F5293B" wp14:editId="123B7AB4">
            <wp:extent cx="6120056" cy="2543175"/>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7115" cy="2546108"/>
                    </a:xfrm>
                    <a:prstGeom prst="rect">
                      <a:avLst/>
                    </a:prstGeom>
                    <a:noFill/>
                  </pic:spPr>
                </pic:pic>
              </a:graphicData>
            </a:graphic>
          </wp:inline>
        </w:drawing>
      </w:r>
    </w:p>
    <w:p w:rsidR="007C40DD" w:rsidRPr="007C40DD" w:rsidRDefault="007C40DD" w:rsidP="007C40DD">
      <w:pPr>
        <w:spacing w:after="200" w:line="276" w:lineRule="auto"/>
        <w:jc w:val="both"/>
        <w:rPr>
          <w:rFonts w:ascii="Times New Roman" w:eastAsia="Calibri" w:hAnsi="Times New Roman" w:cs="Times New Roman"/>
          <w:sz w:val="24"/>
          <w:szCs w:val="24"/>
        </w:rPr>
      </w:pPr>
      <w:r w:rsidRPr="007C40DD">
        <w:rPr>
          <w:rFonts w:ascii="Times New Roman" w:eastAsia="Calibri" w:hAnsi="Times New Roman" w:cs="Times New Roman"/>
          <w:sz w:val="24"/>
          <w:szCs w:val="24"/>
        </w:rPr>
        <w:t>Sipas të dhënave të monitoruara nuk kemi tejkalim të normës vjetore të PM</w:t>
      </w:r>
      <w:r w:rsidRPr="00764B7A">
        <w:rPr>
          <w:rFonts w:ascii="Times New Roman" w:eastAsia="Calibri" w:hAnsi="Times New Roman" w:cs="Times New Roman"/>
          <w:sz w:val="24"/>
          <w:szCs w:val="24"/>
          <w:vertAlign w:val="subscript"/>
        </w:rPr>
        <w:t xml:space="preserve">2.5 </w:t>
      </w:r>
      <w:r w:rsidRPr="007C40DD">
        <w:rPr>
          <w:rFonts w:ascii="Times New Roman" w:eastAsia="Calibri" w:hAnsi="Times New Roman" w:cs="Times New Roman"/>
          <w:sz w:val="24"/>
          <w:szCs w:val="24"/>
        </w:rPr>
        <w:t>në asnjë nga stacionet e monitoruara. Por në stacionin e Kor</w:t>
      </w:r>
      <w:r w:rsidR="00827023">
        <w:rPr>
          <w:rFonts w:ascii="Times New Roman" w:eastAsia="Calibri" w:hAnsi="Times New Roman" w:cs="Times New Roman"/>
          <w:sz w:val="24"/>
          <w:szCs w:val="24"/>
        </w:rPr>
        <w:t>ç</w:t>
      </w:r>
      <w:r w:rsidRPr="007C40DD">
        <w:rPr>
          <w:rFonts w:ascii="Times New Roman" w:eastAsia="Calibri" w:hAnsi="Times New Roman" w:cs="Times New Roman"/>
          <w:sz w:val="24"/>
          <w:szCs w:val="24"/>
        </w:rPr>
        <w:t>ës vlera e monitoruar për periudhën Korrik-Dhjetor 2025 është shumë afër normës vjetore të PM</w:t>
      </w:r>
      <w:r w:rsidRPr="00764B7A">
        <w:rPr>
          <w:rFonts w:ascii="Times New Roman" w:eastAsia="Calibri" w:hAnsi="Times New Roman" w:cs="Times New Roman"/>
          <w:sz w:val="24"/>
          <w:szCs w:val="24"/>
          <w:vertAlign w:val="subscript"/>
        </w:rPr>
        <w:t>2.5</w:t>
      </w:r>
      <w:r w:rsidRPr="007C40DD">
        <w:rPr>
          <w:rFonts w:ascii="Times New Roman" w:eastAsia="Calibri" w:hAnsi="Times New Roman" w:cs="Times New Roman"/>
          <w:sz w:val="24"/>
          <w:szCs w:val="24"/>
        </w:rPr>
        <w:t>.</w:t>
      </w:r>
    </w:p>
    <w:p w:rsidR="007C40DD" w:rsidRPr="007C40DD" w:rsidRDefault="007C40DD" w:rsidP="002E7797">
      <w:pPr>
        <w:spacing w:after="0" w:line="240" w:lineRule="auto"/>
      </w:pPr>
    </w:p>
    <w:p w:rsidR="007C40DD" w:rsidRPr="007C40DD" w:rsidRDefault="00764B7A" w:rsidP="00807975">
      <w:pPr>
        <w:numPr>
          <w:ilvl w:val="0"/>
          <w:numId w:val="29"/>
        </w:numPr>
        <w:spacing w:after="0" w:line="240" w:lineRule="auto"/>
        <w:contextualSpacing/>
        <w:rPr>
          <w:rFonts w:ascii="Times New Roman" w:hAnsi="Times New Roman" w:cs="Times New Roman"/>
          <w:b/>
          <w:sz w:val="24"/>
          <w:szCs w:val="24"/>
          <w:u w:val="single"/>
        </w:rPr>
      </w:pPr>
      <w:r>
        <w:rPr>
          <w:rFonts w:ascii="Times New Roman" w:hAnsi="Times New Roman" w:cs="Times New Roman"/>
          <w:b/>
          <w:sz w:val="24"/>
          <w:szCs w:val="24"/>
          <w:u w:val="single"/>
        </w:rPr>
        <w:t>Oksidet e azotit (</w:t>
      </w:r>
      <w:r w:rsidR="007C40DD" w:rsidRPr="007C40DD">
        <w:rPr>
          <w:rFonts w:ascii="Times New Roman" w:hAnsi="Times New Roman" w:cs="Times New Roman"/>
          <w:b/>
          <w:sz w:val="24"/>
          <w:szCs w:val="24"/>
          <w:u w:val="single"/>
        </w:rPr>
        <w:t xml:space="preserve">Dyoksidi dhe oksidi i azotit) </w:t>
      </w:r>
    </w:p>
    <w:p w:rsidR="002E7797" w:rsidRDefault="002E7797" w:rsidP="002E7797">
      <w:pPr>
        <w:spacing w:after="0" w:line="240" w:lineRule="auto"/>
        <w:jc w:val="both"/>
        <w:rPr>
          <w:rFonts w:ascii="Times New Roman" w:eastAsia="Calibri" w:hAnsi="Times New Roman" w:cs="Times New Roman"/>
          <w:b/>
          <w:sz w:val="24"/>
          <w:szCs w:val="24"/>
        </w:rPr>
      </w:pPr>
    </w:p>
    <w:p w:rsidR="007C40DD" w:rsidRPr="007C40DD" w:rsidRDefault="007C40DD" w:rsidP="002E7797">
      <w:pPr>
        <w:spacing w:after="0" w:line="240" w:lineRule="auto"/>
        <w:jc w:val="both"/>
        <w:rPr>
          <w:rFonts w:ascii="Times New Roman" w:eastAsia="Calibri" w:hAnsi="Times New Roman" w:cs="Times New Roman"/>
          <w:sz w:val="24"/>
          <w:szCs w:val="24"/>
        </w:rPr>
      </w:pPr>
      <w:r w:rsidRPr="007C40DD">
        <w:rPr>
          <w:rFonts w:ascii="Times New Roman" w:eastAsia="Calibri" w:hAnsi="Times New Roman" w:cs="Times New Roman"/>
          <w:b/>
          <w:sz w:val="24"/>
          <w:szCs w:val="24"/>
        </w:rPr>
        <w:t>Burimi i ndotjes</w:t>
      </w:r>
      <w:r w:rsidR="00764B7A">
        <w:rPr>
          <w:rFonts w:ascii="Times New Roman" w:eastAsia="Calibri" w:hAnsi="Times New Roman" w:cs="Times New Roman"/>
          <w:sz w:val="24"/>
          <w:szCs w:val="24"/>
        </w:rPr>
        <w:t xml:space="preserve"> . Oksidet e Azotit janë</w:t>
      </w:r>
      <w:r w:rsidRPr="007C40DD">
        <w:rPr>
          <w:rFonts w:ascii="Times New Roman" w:eastAsia="Calibri" w:hAnsi="Times New Roman" w:cs="Times New Roman"/>
          <w:sz w:val="24"/>
          <w:szCs w:val="24"/>
        </w:rPr>
        <w:t xml:space="preserve"> ndotës që emetohet në atmosphere si rezulta</w:t>
      </w:r>
      <w:r w:rsidR="00764B7A">
        <w:rPr>
          <w:rFonts w:ascii="Times New Roman" w:eastAsia="Calibri" w:hAnsi="Times New Roman" w:cs="Times New Roman"/>
          <w:sz w:val="24"/>
          <w:szCs w:val="24"/>
        </w:rPr>
        <w:t xml:space="preserve">t i djegijes së lëndes djegëse </w:t>
      </w:r>
      <w:r w:rsidRPr="007C40DD">
        <w:rPr>
          <w:rFonts w:ascii="Times New Roman" w:eastAsia="Calibri" w:hAnsi="Times New Roman" w:cs="Times New Roman"/>
          <w:sz w:val="24"/>
          <w:szCs w:val="24"/>
        </w:rPr>
        <w:t>në proceset industriale dhe sektorin e tr</w:t>
      </w:r>
      <w:r w:rsidR="00764B7A">
        <w:rPr>
          <w:rFonts w:ascii="Times New Roman" w:eastAsia="Calibri" w:hAnsi="Times New Roman" w:cs="Times New Roman"/>
          <w:sz w:val="24"/>
          <w:szCs w:val="24"/>
        </w:rPr>
        <w:t>ansportit rrugor. NOx është një</w:t>
      </w:r>
      <w:r w:rsidRPr="007C40DD">
        <w:rPr>
          <w:rFonts w:ascii="Times New Roman" w:eastAsia="Calibri" w:hAnsi="Times New Roman" w:cs="Times New Roman"/>
          <w:sz w:val="24"/>
          <w:szCs w:val="24"/>
        </w:rPr>
        <w:t xml:space="preserve"> grup gazesh i përbërë nga NO</w:t>
      </w:r>
      <w:r w:rsidR="00764B7A">
        <w:rPr>
          <w:rFonts w:ascii="Times New Roman" w:eastAsia="Calibri" w:hAnsi="Times New Roman" w:cs="Times New Roman"/>
          <w:sz w:val="24"/>
          <w:szCs w:val="24"/>
        </w:rPr>
        <w:t xml:space="preserve"> (Monoksidi i Azotit</w:t>
      </w:r>
      <w:r w:rsidRPr="007C40DD">
        <w:rPr>
          <w:rFonts w:ascii="Times New Roman" w:eastAsia="Calibri" w:hAnsi="Times New Roman" w:cs="Times New Roman"/>
          <w:sz w:val="24"/>
          <w:szCs w:val="24"/>
        </w:rPr>
        <w:t>) dhe NO</w:t>
      </w:r>
      <w:r w:rsidRPr="007C40DD">
        <w:rPr>
          <w:rFonts w:ascii="Times New Roman" w:eastAsia="Calibri" w:hAnsi="Times New Roman" w:cs="Times New Roman"/>
          <w:sz w:val="24"/>
          <w:szCs w:val="24"/>
          <w:vertAlign w:val="subscript"/>
        </w:rPr>
        <w:t>2</w:t>
      </w:r>
      <w:r w:rsidR="00764B7A">
        <w:rPr>
          <w:rFonts w:ascii="Times New Roman" w:eastAsia="Calibri" w:hAnsi="Times New Roman" w:cs="Times New Roman"/>
          <w:sz w:val="24"/>
          <w:szCs w:val="24"/>
        </w:rPr>
        <w:t xml:space="preserve"> (Dioksidi i Azotit</w:t>
      </w:r>
      <w:r w:rsidRPr="007C40DD">
        <w:rPr>
          <w:rFonts w:ascii="Times New Roman" w:eastAsia="Calibri" w:hAnsi="Times New Roman" w:cs="Times New Roman"/>
          <w:sz w:val="24"/>
          <w:szCs w:val="24"/>
        </w:rPr>
        <w:t>) NO përbën pjesën më të madhe të emisioneve të NOx . NOx ndihmon në formimin e ozonit dhe grimcave të pluhurit.</w:t>
      </w:r>
    </w:p>
    <w:p w:rsidR="00827023" w:rsidRDefault="00827023" w:rsidP="002E7797">
      <w:pPr>
        <w:spacing w:after="0" w:line="240" w:lineRule="auto"/>
        <w:jc w:val="both"/>
        <w:rPr>
          <w:rFonts w:ascii="Times New Roman" w:eastAsia="Calibri" w:hAnsi="Times New Roman" w:cs="Times New Roman"/>
          <w:b/>
          <w:sz w:val="24"/>
          <w:szCs w:val="24"/>
        </w:rPr>
      </w:pPr>
    </w:p>
    <w:p w:rsidR="007C40DD" w:rsidRPr="007C40DD" w:rsidRDefault="007C40DD" w:rsidP="002E7797">
      <w:pPr>
        <w:spacing w:after="0" w:line="240" w:lineRule="auto"/>
        <w:jc w:val="both"/>
        <w:rPr>
          <w:rFonts w:ascii="Times New Roman" w:eastAsia="Calibri" w:hAnsi="Times New Roman" w:cs="Times New Roman"/>
          <w:sz w:val="24"/>
          <w:szCs w:val="24"/>
        </w:rPr>
      </w:pPr>
      <w:r w:rsidRPr="007C40DD">
        <w:rPr>
          <w:rFonts w:ascii="Times New Roman" w:eastAsia="Calibri" w:hAnsi="Times New Roman" w:cs="Times New Roman"/>
          <w:b/>
          <w:sz w:val="24"/>
          <w:szCs w:val="24"/>
        </w:rPr>
        <w:t>Efekti në shëndet dhe mjedis</w:t>
      </w:r>
      <w:r w:rsidRPr="007C40DD">
        <w:rPr>
          <w:rFonts w:ascii="Times New Roman" w:eastAsia="Calibri" w:hAnsi="Times New Roman" w:cs="Times New Roman"/>
          <w:sz w:val="24"/>
          <w:szCs w:val="24"/>
        </w:rPr>
        <w:t>. NO</w:t>
      </w:r>
      <w:r w:rsidRPr="007C40DD">
        <w:rPr>
          <w:rFonts w:ascii="Times New Roman" w:eastAsia="Calibri" w:hAnsi="Times New Roman" w:cs="Times New Roman"/>
          <w:sz w:val="24"/>
          <w:szCs w:val="24"/>
          <w:vertAlign w:val="subscript"/>
        </w:rPr>
        <w:t>2</w:t>
      </w:r>
      <w:r w:rsidR="00764B7A">
        <w:rPr>
          <w:rFonts w:ascii="Times New Roman" w:eastAsia="Calibri" w:hAnsi="Times New Roman" w:cs="Times New Roman"/>
          <w:sz w:val="24"/>
          <w:szCs w:val="24"/>
        </w:rPr>
        <w:t xml:space="preserve"> është i lidhur</w:t>
      </w:r>
      <w:r w:rsidRPr="007C40DD">
        <w:rPr>
          <w:rFonts w:ascii="Times New Roman" w:eastAsia="Calibri" w:hAnsi="Times New Roman" w:cs="Times New Roman"/>
          <w:sz w:val="24"/>
          <w:szCs w:val="24"/>
        </w:rPr>
        <w:t xml:space="preserve"> me efekte të padëshiruara në shëndet, NO</w:t>
      </w:r>
      <w:r w:rsidRPr="007C40DD">
        <w:rPr>
          <w:rFonts w:ascii="Times New Roman" w:eastAsia="Calibri" w:hAnsi="Times New Roman" w:cs="Times New Roman"/>
          <w:sz w:val="24"/>
          <w:szCs w:val="24"/>
          <w:vertAlign w:val="subscript"/>
        </w:rPr>
        <w:t>2</w:t>
      </w:r>
      <w:r w:rsidR="00764B7A">
        <w:rPr>
          <w:rFonts w:ascii="Times New Roman" w:eastAsia="Calibri" w:hAnsi="Times New Roman" w:cs="Times New Roman"/>
          <w:sz w:val="24"/>
          <w:szCs w:val="24"/>
        </w:rPr>
        <w:t xml:space="preserve"> mund të dëmtoj</w:t>
      </w:r>
      <w:r w:rsidR="00764B7A">
        <w:rPr>
          <w:rFonts w:ascii="Times New Roman" w:hAnsi="Times New Roman"/>
          <w:sz w:val="24"/>
          <w:szCs w:val="24"/>
        </w:rPr>
        <w:t>ë</w:t>
      </w:r>
      <w:r w:rsidR="00764B7A">
        <w:rPr>
          <w:rFonts w:ascii="Times New Roman" w:eastAsia="Calibri" w:hAnsi="Times New Roman" w:cs="Times New Roman"/>
          <w:sz w:val="24"/>
          <w:szCs w:val="24"/>
        </w:rPr>
        <w:t xml:space="preserve"> melcinë</w:t>
      </w:r>
      <w:r w:rsidRPr="007C40DD">
        <w:rPr>
          <w:rFonts w:ascii="Times New Roman" w:eastAsia="Calibri" w:hAnsi="Times New Roman" w:cs="Times New Roman"/>
          <w:sz w:val="24"/>
          <w:szCs w:val="24"/>
        </w:rPr>
        <w:t>, shpr</w:t>
      </w:r>
      <w:r w:rsidR="00764B7A">
        <w:rPr>
          <w:rFonts w:ascii="Times New Roman" w:eastAsia="Calibri" w:hAnsi="Times New Roman" w:cs="Times New Roman"/>
          <w:sz w:val="24"/>
          <w:szCs w:val="24"/>
        </w:rPr>
        <w:t>etkën gjithashtu mund të përkeq</w:t>
      </w:r>
      <w:r w:rsidR="00764B7A">
        <w:rPr>
          <w:rFonts w:ascii="Times New Roman" w:hAnsi="Times New Roman"/>
          <w:sz w:val="24"/>
          <w:szCs w:val="24"/>
        </w:rPr>
        <w:t>ë</w:t>
      </w:r>
      <w:r w:rsidRPr="007C40DD">
        <w:rPr>
          <w:rFonts w:ascii="Times New Roman" w:eastAsia="Calibri" w:hAnsi="Times New Roman" w:cs="Times New Roman"/>
          <w:sz w:val="24"/>
          <w:szCs w:val="24"/>
        </w:rPr>
        <w:t>sojë sëmundjet e mushkrive duke krijuar probleme respiratore,</w:t>
      </w:r>
      <w:r w:rsidR="00764B7A">
        <w:rPr>
          <w:rFonts w:ascii="Times New Roman" w:eastAsia="Calibri" w:hAnsi="Times New Roman" w:cs="Times New Roman"/>
          <w:sz w:val="24"/>
          <w:szCs w:val="24"/>
        </w:rPr>
        <w:t xml:space="preserve"> </w:t>
      </w:r>
      <w:r w:rsidRPr="007C40DD">
        <w:rPr>
          <w:rFonts w:ascii="Times New Roman" w:eastAsia="Calibri" w:hAnsi="Times New Roman" w:cs="Times New Roman"/>
          <w:sz w:val="24"/>
          <w:szCs w:val="24"/>
        </w:rPr>
        <w:t>ashtu si SO</w:t>
      </w:r>
      <w:r w:rsidRPr="007C40DD">
        <w:rPr>
          <w:rFonts w:ascii="Times New Roman" w:eastAsia="Calibri" w:hAnsi="Times New Roman" w:cs="Times New Roman"/>
          <w:sz w:val="24"/>
          <w:szCs w:val="24"/>
          <w:vertAlign w:val="subscript"/>
        </w:rPr>
        <w:t>2</w:t>
      </w:r>
      <w:r w:rsidRPr="007C40DD">
        <w:rPr>
          <w:rFonts w:ascii="Times New Roman" w:eastAsia="Calibri" w:hAnsi="Times New Roman" w:cs="Times New Roman"/>
          <w:sz w:val="24"/>
          <w:szCs w:val="24"/>
        </w:rPr>
        <w:t>, NO</w:t>
      </w:r>
      <w:r w:rsidRPr="007C40DD">
        <w:rPr>
          <w:rFonts w:ascii="Times New Roman" w:eastAsia="Calibri" w:hAnsi="Times New Roman" w:cs="Times New Roman"/>
          <w:sz w:val="24"/>
          <w:szCs w:val="24"/>
          <w:vertAlign w:val="subscript"/>
        </w:rPr>
        <w:t>2</w:t>
      </w:r>
      <w:r w:rsidRPr="007C40DD">
        <w:rPr>
          <w:rFonts w:ascii="Times New Roman" w:eastAsia="Calibri" w:hAnsi="Times New Roman" w:cs="Times New Roman"/>
          <w:sz w:val="24"/>
          <w:szCs w:val="24"/>
        </w:rPr>
        <w:t xml:space="preserve"> ndikon në formimin e shiut acid dhe në  eutrofikimin e tokës dhe ujit.</w:t>
      </w:r>
    </w:p>
    <w:p w:rsidR="007C40DD" w:rsidRPr="007C40DD" w:rsidRDefault="007C40DD" w:rsidP="007C40DD">
      <w:pPr>
        <w:spacing w:after="200" w:line="276" w:lineRule="auto"/>
        <w:rPr>
          <w:rFonts w:ascii="Times New Roman" w:eastAsia="Calibri" w:hAnsi="Times New Roman" w:cs="Times New Roman"/>
          <w:b/>
          <w:sz w:val="24"/>
          <w:szCs w:val="24"/>
        </w:rPr>
      </w:pPr>
    </w:p>
    <w:p w:rsidR="007C40DD" w:rsidRDefault="00822E13" w:rsidP="007C40DD">
      <w:pPr>
        <w:spacing w:after="20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Vlerësimi i</w:t>
      </w:r>
      <w:r w:rsidR="007C40DD" w:rsidRPr="007C40DD">
        <w:rPr>
          <w:rFonts w:ascii="Times New Roman" w:eastAsia="Calibri" w:hAnsi="Times New Roman" w:cs="Times New Roman"/>
          <w:b/>
          <w:sz w:val="24"/>
          <w:szCs w:val="24"/>
        </w:rPr>
        <w:t xml:space="preserve"> cilësisë së ajrit për Dyoksidin e Azotit </w:t>
      </w:r>
    </w:p>
    <w:p w:rsidR="00751ECE" w:rsidRPr="007C40DD" w:rsidRDefault="00751ECE" w:rsidP="00751ECE">
      <w:pPr>
        <w:spacing w:after="200" w:line="276" w:lineRule="auto"/>
        <w:jc w:val="both"/>
        <w:rPr>
          <w:rFonts w:ascii="Times New Roman" w:eastAsia="Calibri" w:hAnsi="Times New Roman" w:cs="Times New Roman"/>
          <w:sz w:val="24"/>
          <w:szCs w:val="24"/>
        </w:rPr>
      </w:pPr>
      <w:r w:rsidRPr="007C40DD">
        <w:rPr>
          <w:rFonts w:ascii="Times New Roman" w:eastAsia="Calibri" w:hAnsi="Times New Roman" w:cs="Times New Roman"/>
          <w:sz w:val="24"/>
          <w:szCs w:val="24"/>
        </w:rPr>
        <w:t>Monitorimi i NO</w:t>
      </w:r>
      <w:r w:rsidRPr="007C40DD">
        <w:rPr>
          <w:rFonts w:ascii="Times New Roman" w:eastAsia="Calibri" w:hAnsi="Times New Roman" w:cs="Times New Roman"/>
          <w:sz w:val="24"/>
          <w:szCs w:val="24"/>
          <w:vertAlign w:val="subscript"/>
        </w:rPr>
        <w:t>2</w:t>
      </w:r>
      <w:r w:rsidRPr="007C40DD">
        <w:rPr>
          <w:rFonts w:ascii="Times New Roman" w:eastAsia="Calibri" w:hAnsi="Times New Roman" w:cs="Times New Roman"/>
          <w:sz w:val="24"/>
          <w:szCs w:val="24"/>
        </w:rPr>
        <w:t xml:space="preserve"> për vitin 2025 është realizua për periudh</w:t>
      </w:r>
      <w:r w:rsidR="00F94ED4">
        <w:rPr>
          <w:rFonts w:ascii="Times New Roman" w:eastAsia="Calibri" w:hAnsi="Times New Roman" w:cs="Times New Roman"/>
          <w:sz w:val="24"/>
          <w:szCs w:val="24"/>
        </w:rPr>
        <w:t>ën Korrik- Dhjetor në stacionet e</w:t>
      </w:r>
      <w:r>
        <w:rPr>
          <w:rFonts w:ascii="Times New Roman" w:eastAsia="Calibri" w:hAnsi="Times New Roman" w:cs="Times New Roman"/>
          <w:sz w:val="24"/>
          <w:szCs w:val="24"/>
        </w:rPr>
        <w:t xml:space="preserve"> </w:t>
      </w:r>
      <w:r w:rsidRPr="007C40DD">
        <w:rPr>
          <w:rFonts w:ascii="Times New Roman" w:eastAsia="Calibri" w:hAnsi="Times New Roman" w:cs="Times New Roman"/>
          <w:sz w:val="24"/>
          <w:szCs w:val="24"/>
        </w:rPr>
        <w:t>Tirana Mobile, Tirana Higjena, Durrës, Elbasan, Fier, Korçë dhe Shkodër. Bazuar në të d</w:t>
      </w:r>
      <w:r w:rsidR="00764B7A">
        <w:rPr>
          <w:rFonts w:ascii="Times New Roman" w:eastAsia="Calibri" w:hAnsi="Times New Roman" w:cs="Times New Roman"/>
          <w:sz w:val="24"/>
          <w:szCs w:val="24"/>
        </w:rPr>
        <w:t>hënat e monitoruara rezulton se</w:t>
      </w:r>
      <w:r w:rsidRPr="007C40DD">
        <w:rPr>
          <w:rFonts w:ascii="Times New Roman" w:eastAsia="Calibri" w:hAnsi="Times New Roman" w:cs="Times New Roman"/>
          <w:sz w:val="24"/>
          <w:szCs w:val="24"/>
        </w:rPr>
        <w:t xml:space="preserve"> kemi tej</w:t>
      </w:r>
      <w:r w:rsidR="00764B7A">
        <w:rPr>
          <w:rFonts w:ascii="Times New Roman" w:eastAsia="Calibri" w:hAnsi="Times New Roman" w:cs="Times New Roman"/>
          <w:sz w:val="24"/>
          <w:szCs w:val="24"/>
        </w:rPr>
        <w:t xml:space="preserve">kalim të vlerës limite vjetore </w:t>
      </w:r>
      <w:r w:rsidRPr="007C40DD">
        <w:rPr>
          <w:rFonts w:ascii="Times New Roman" w:eastAsia="Calibri" w:hAnsi="Times New Roman" w:cs="Times New Roman"/>
          <w:sz w:val="24"/>
          <w:szCs w:val="24"/>
        </w:rPr>
        <w:t xml:space="preserve">vetëm në stacionin e Elbasanit. Vlera e monitoruar është 40.18 µg/m³. </w:t>
      </w:r>
    </w:p>
    <w:p w:rsidR="00751ECE" w:rsidRPr="007C40DD" w:rsidRDefault="00751ECE" w:rsidP="007C40DD">
      <w:pPr>
        <w:spacing w:after="200" w:line="276" w:lineRule="auto"/>
        <w:rPr>
          <w:rFonts w:ascii="Times New Roman" w:eastAsia="Calibri" w:hAnsi="Times New Roman" w:cs="Times New Roman"/>
          <w:sz w:val="24"/>
          <w:szCs w:val="24"/>
        </w:rPr>
      </w:pPr>
    </w:p>
    <w:p w:rsidR="007C40DD" w:rsidRPr="007C40DD" w:rsidRDefault="007C40DD" w:rsidP="007C40DD">
      <w:r w:rsidRPr="007C40DD">
        <w:rPr>
          <w:noProof/>
        </w:rPr>
        <w:lastRenderedPageBreak/>
        <w:drawing>
          <wp:inline distT="0" distB="0" distL="0" distR="0" wp14:anchorId="0EDEFCB3" wp14:editId="1B911714">
            <wp:extent cx="5822315" cy="2755900"/>
            <wp:effectExtent l="0" t="0" r="6985" b="635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2315" cy="2755900"/>
                    </a:xfrm>
                    <a:prstGeom prst="rect">
                      <a:avLst/>
                    </a:prstGeom>
                    <a:noFill/>
                  </pic:spPr>
                </pic:pic>
              </a:graphicData>
            </a:graphic>
          </wp:inline>
        </w:drawing>
      </w:r>
    </w:p>
    <w:p w:rsidR="007C40DD" w:rsidRPr="007C40DD" w:rsidRDefault="007C40DD" w:rsidP="007C40DD">
      <w:pPr>
        <w:rPr>
          <w:rFonts w:ascii="Times New Roman" w:eastAsia="Calibri" w:hAnsi="Times New Roman" w:cs="Times New Roman"/>
          <w:b/>
          <w:noProof/>
          <w:color w:val="000000"/>
          <w:sz w:val="24"/>
          <w:szCs w:val="24"/>
          <w:u w:val="single"/>
        </w:rPr>
      </w:pPr>
      <w:r w:rsidRPr="007C40DD">
        <w:rPr>
          <w:rFonts w:ascii="Times New Roman" w:eastAsia="Calibri" w:hAnsi="Times New Roman" w:cs="Times New Roman"/>
          <w:b/>
          <w:noProof/>
          <w:color w:val="000000"/>
          <w:sz w:val="24"/>
          <w:szCs w:val="24"/>
          <w:u w:val="single"/>
        </w:rPr>
        <w:t>Dioksid Squfuri (SO</w:t>
      </w:r>
      <w:r w:rsidRPr="007C40DD">
        <w:rPr>
          <w:rFonts w:ascii="Times New Roman" w:eastAsia="Calibri" w:hAnsi="Times New Roman" w:cs="Times New Roman"/>
          <w:b/>
          <w:noProof/>
          <w:color w:val="000000"/>
          <w:sz w:val="24"/>
          <w:szCs w:val="24"/>
          <w:u w:val="single"/>
          <w:vertAlign w:val="subscript"/>
        </w:rPr>
        <w:t>2</w:t>
      </w:r>
      <w:r w:rsidRPr="007C40DD">
        <w:rPr>
          <w:rFonts w:ascii="Times New Roman" w:eastAsia="Calibri" w:hAnsi="Times New Roman" w:cs="Times New Roman"/>
          <w:b/>
          <w:noProof/>
          <w:color w:val="000000"/>
          <w:sz w:val="24"/>
          <w:szCs w:val="24"/>
          <w:u w:val="single"/>
        </w:rPr>
        <w:t>)</w:t>
      </w:r>
    </w:p>
    <w:p w:rsidR="007C40DD" w:rsidRPr="007C40DD" w:rsidRDefault="007C40DD" w:rsidP="007C40DD">
      <w:pPr>
        <w:jc w:val="both"/>
        <w:rPr>
          <w:rFonts w:ascii="Times New Roman" w:eastAsia="Calibri" w:hAnsi="Times New Roman" w:cs="Times New Roman"/>
          <w:sz w:val="24"/>
          <w:szCs w:val="24"/>
        </w:rPr>
      </w:pPr>
      <w:r w:rsidRPr="007C40DD">
        <w:rPr>
          <w:rFonts w:ascii="Times New Roman" w:eastAsia="Calibri" w:hAnsi="Times New Roman" w:cs="Times New Roman"/>
          <w:b/>
          <w:sz w:val="24"/>
          <w:szCs w:val="24"/>
        </w:rPr>
        <w:t>Burimi i ndotjes:</w:t>
      </w:r>
      <w:r w:rsidRPr="007C40DD">
        <w:rPr>
          <w:rFonts w:ascii="Times New Roman" w:eastAsia="Calibri" w:hAnsi="Times New Roman" w:cs="Times New Roman"/>
          <w:sz w:val="24"/>
          <w:szCs w:val="24"/>
        </w:rPr>
        <w:t xml:space="preserve"> </w:t>
      </w:r>
      <w:r w:rsidRPr="007C40DD">
        <w:rPr>
          <w:rFonts w:ascii="Times New Roman" w:eastAsia="Calibri" w:hAnsi="Times New Roman" w:cs="Times New Roman"/>
          <w:noProof/>
          <w:color w:val="000000"/>
          <w:sz w:val="24"/>
          <w:szCs w:val="24"/>
        </w:rPr>
        <w:t>Dioksidi i squfurit</w:t>
      </w:r>
      <w:r w:rsidRPr="007C40DD">
        <w:rPr>
          <w:rFonts w:ascii="Times New Roman" w:eastAsia="Calibri" w:hAnsi="Times New Roman" w:cs="Times New Roman"/>
          <w:sz w:val="24"/>
          <w:szCs w:val="24"/>
        </w:rPr>
        <w:t xml:space="preserve"> është formuar nga oksidimi i squfurit dhe kryesisht nga djegija e lëndës djegëse me p</w:t>
      </w:r>
      <w:r w:rsidR="00F94ED4">
        <w:rPr>
          <w:rFonts w:ascii="Times New Roman" w:eastAsia="Calibri" w:hAnsi="Times New Roman" w:cs="Times New Roman"/>
          <w:sz w:val="24"/>
          <w:szCs w:val="24"/>
        </w:rPr>
        <w:t>ë</w:t>
      </w:r>
      <w:r w:rsidRPr="007C40DD">
        <w:rPr>
          <w:rFonts w:ascii="Times New Roman" w:eastAsia="Calibri" w:hAnsi="Times New Roman" w:cs="Times New Roman"/>
          <w:sz w:val="24"/>
          <w:szCs w:val="24"/>
        </w:rPr>
        <w:t>rmbajtje squfuri. Sekt</w:t>
      </w:r>
      <w:r w:rsidR="00CF5A60">
        <w:rPr>
          <w:rFonts w:ascii="Times New Roman" w:eastAsia="Calibri" w:hAnsi="Times New Roman" w:cs="Times New Roman"/>
          <w:sz w:val="24"/>
          <w:szCs w:val="24"/>
        </w:rPr>
        <w:t>ori i prodhimit të energjisë ele</w:t>
      </w:r>
      <w:r w:rsidRPr="007C40DD">
        <w:rPr>
          <w:rFonts w:ascii="Times New Roman" w:eastAsia="Calibri" w:hAnsi="Times New Roman" w:cs="Times New Roman"/>
          <w:sz w:val="24"/>
          <w:szCs w:val="24"/>
        </w:rPr>
        <w:t>ktrike është burimi kryesor i SO</w:t>
      </w:r>
      <w:r w:rsidRPr="007C40DD">
        <w:rPr>
          <w:rFonts w:ascii="Times New Roman" w:eastAsia="Calibri" w:hAnsi="Times New Roman" w:cs="Times New Roman"/>
          <w:sz w:val="24"/>
          <w:szCs w:val="24"/>
          <w:vertAlign w:val="subscript"/>
        </w:rPr>
        <w:t>2</w:t>
      </w:r>
      <w:r w:rsidRPr="007C40DD">
        <w:rPr>
          <w:rFonts w:ascii="Times New Roman" w:eastAsia="Calibri" w:hAnsi="Times New Roman" w:cs="Times New Roman"/>
          <w:sz w:val="24"/>
          <w:szCs w:val="24"/>
        </w:rPr>
        <w:t xml:space="preserve">. Gjithashtu </w:t>
      </w:r>
      <w:r w:rsidR="00F94ED4">
        <w:rPr>
          <w:rFonts w:ascii="Times New Roman" w:eastAsia="Calibri" w:hAnsi="Times New Roman" w:cs="Times New Roman"/>
          <w:sz w:val="24"/>
          <w:szCs w:val="24"/>
        </w:rPr>
        <w:t>SO</w:t>
      </w:r>
      <w:r w:rsidR="00F94ED4" w:rsidRPr="00827023">
        <w:rPr>
          <w:rFonts w:ascii="Times New Roman" w:eastAsia="Calibri" w:hAnsi="Times New Roman" w:cs="Times New Roman"/>
          <w:sz w:val="24"/>
          <w:szCs w:val="24"/>
          <w:vertAlign w:val="subscript"/>
        </w:rPr>
        <w:t>2</w:t>
      </w:r>
      <w:r w:rsidR="00F94ED4">
        <w:rPr>
          <w:rFonts w:ascii="Times New Roman" w:eastAsia="Calibri" w:hAnsi="Times New Roman" w:cs="Times New Roman"/>
          <w:sz w:val="24"/>
          <w:szCs w:val="24"/>
        </w:rPr>
        <w:t xml:space="preserve">  ndihmon</w:t>
      </w:r>
      <w:r w:rsidRPr="007C40DD">
        <w:rPr>
          <w:rFonts w:ascii="Times New Roman" w:eastAsia="Calibri" w:hAnsi="Times New Roman" w:cs="Times New Roman"/>
          <w:sz w:val="24"/>
          <w:szCs w:val="24"/>
        </w:rPr>
        <w:t xml:space="preserve"> në formimin e grimcave dytësore sulfate dhe formimin e shiut acid.</w:t>
      </w:r>
    </w:p>
    <w:p w:rsidR="007C40DD" w:rsidRPr="007C40DD" w:rsidRDefault="007C40DD" w:rsidP="007C40DD">
      <w:pPr>
        <w:jc w:val="both"/>
        <w:rPr>
          <w:rFonts w:ascii="Times New Roman" w:eastAsia="Calibri" w:hAnsi="Times New Roman" w:cs="Times New Roman"/>
          <w:sz w:val="24"/>
          <w:szCs w:val="24"/>
        </w:rPr>
      </w:pPr>
      <w:r w:rsidRPr="007C40DD">
        <w:rPr>
          <w:rFonts w:ascii="Times New Roman" w:eastAsia="Calibri" w:hAnsi="Times New Roman" w:cs="Times New Roman"/>
          <w:b/>
          <w:sz w:val="24"/>
          <w:szCs w:val="24"/>
        </w:rPr>
        <w:t>Efekti në shëndet dhe mjedis:</w:t>
      </w:r>
      <w:r w:rsidRPr="007C40DD">
        <w:rPr>
          <w:rFonts w:ascii="Times New Roman" w:eastAsia="Calibri" w:hAnsi="Times New Roman" w:cs="Times New Roman"/>
          <w:sz w:val="24"/>
          <w:szCs w:val="24"/>
        </w:rPr>
        <w:t xml:space="preserve"> </w:t>
      </w:r>
      <w:r w:rsidRPr="007C40DD">
        <w:rPr>
          <w:rFonts w:ascii="Times New Roman" w:eastAsia="Calibri" w:hAnsi="Times New Roman" w:cs="Times New Roman"/>
          <w:noProof/>
          <w:color w:val="000000"/>
          <w:sz w:val="24"/>
          <w:szCs w:val="24"/>
        </w:rPr>
        <w:t>Dioksidi  Squfurit</w:t>
      </w:r>
      <w:r w:rsidRPr="007C40DD">
        <w:rPr>
          <w:rFonts w:ascii="Times New Roman" w:eastAsia="Calibri" w:hAnsi="Times New Roman" w:cs="Times New Roman"/>
          <w:sz w:val="24"/>
          <w:szCs w:val="24"/>
        </w:rPr>
        <w:t xml:space="preserve"> është një ndotës që shkakton probleme serioze në shëndetin e popullatës si përkeqësimin e astmës si dhe redukton funksionin e mushkrive dhe irriton</w:t>
      </w:r>
      <w:r w:rsidR="00764B7A">
        <w:rPr>
          <w:rFonts w:ascii="Times New Roman" w:eastAsia="Calibri" w:hAnsi="Times New Roman" w:cs="Times New Roman"/>
          <w:sz w:val="24"/>
          <w:szCs w:val="24"/>
        </w:rPr>
        <w:t xml:space="preserve"> </w:t>
      </w:r>
      <w:r w:rsidRPr="007C40DD">
        <w:rPr>
          <w:rFonts w:ascii="Times New Roman" w:eastAsia="Calibri" w:hAnsi="Times New Roman" w:cs="Times New Roman"/>
          <w:sz w:val="24"/>
          <w:szCs w:val="24"/>
        </w:rPr>
        <w:t>aparatin respirator. Kjo mund të shkaktojë dhimbje koke, shqetësim dhe ankth. SO</w:t>
      </w:r>
      <w:r w:rsidRPr="00CF5A60">
        <w:rPr>
          <w:rFonts w:ascii="Times New Roman" w:eastAsia="Calibri" w:hAnsi="Times New Roman" w:cs="Times New Roman"/>
          <w:sz w:val="24"/>
          <w:szCs w:val="24"/>
          <w:vertAlign w:val="subscript"/>
        </w:rPr>
        <w:t xml:space="preserve">2 </w:t>
      </w:r>
      <w:r w:rsidRPr="007C40DD">
        <w:rPr>
          <w:rFonts w:ascii="Times New Roman" w:eastAsia="Calibri" w:hAnsi="Times New Roman" w:cs="Times New Roman"/>
          <w:sz w:val="24"/>
          <w:szCs w:val="24"/>
        </w:rPr>
        <w:t xml:space="preserve">ndihmon në formimin e shiut acid, impaki i të cilit mund të jetë  i dukshëm duke shkaktuar dëmtimin e pyjeve dhe ekosistemin e liqeneve dhe lumenjëve. </w:t>
      </w:r>
    </w:p>
    <w:p w:rsidR="007C40DD" w:rsidRPr="007C40DD" w:rsidRDefault="007C40DD" w:rsidP="007C40DD">
      <w:pPr>
        <w:jc w:val="both"/>
        <w:rPr>
          <w:rFonts w:ascii="Times New Roman" w:eastAsia="Calibri" w:hAnsi="Times New Roman" w:cs="Times New Roman"/>
          <w:sz w:val="24"/>
          <w:szCs w:val="24"/>
        </w:rPr>
      </w:pPr>
    </w:p>
    <w:p w:rsidR="007C40DD" w:rsidRPr="007C40DD" w:rsidRDefault="00CF5A60" w:rsidP="00807975">
      <w:pPr>
        <w:numPr>
          <w:ilvl w:val="0"/>
          <w:numId w:val="29"/>
        </w:numPr>
        <w:spacing w:after="200" w:line="276"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Vlerësimi i</w:t>
      </w:r>
      <w:r w:rsidR="007C40DD" w:rsidRPr="007C40DD">
        <w:rPr>
          <w:rFonts w:ascii="Times New Roman" w:eastAsia="Calibri" w:hAnsi="Times New Roman" w:cs="Times New Roman"/>
          <w:b/>
          <w:sz w:val="24"/>
          <w:szCs w:val="24"/>
        </w:rPr>
        <w:t xml:space="preserve"> cilësisë së ajrit për Dyoksidin e Squfurit </w:t>
      </w:r>
    </w:p>
    <w:p w:rsidR="007C40DD" w:rsidRPr="007C40DD" w:rsidRDefault="007C40DD" w:rsidP="007C40DD">
      <w:pPr>
        <w:spacing w:after="0" w:line="240" w:lineRule="auto"/>
        <w:rPr>
          <w:i/>
          <w:iCs/>
          <w:color w:val="5B9BD5" w:themeColor="accent1"/>
        </w:rPr>
      </w:pPr>
    </w:p>
    <w:p w:rsidR="007C40DD" w:rsidRPr="007C40DD" w:rsidRDefault="007C40DD" w:rsidP="007C40DD">
      <w:pPr>
        <w:jc w:val="both"/>
        <w:rPr>
          <w:rFonts w:ascii="Times New Roman" w:eastAsia="Calibri" w:hAnsi="Times New Roman" w:cs="Times New Roman"/>
          <w:sz w:val="24"/>
          <w:szCs w:val="24"/>
        </w:rPr>
      </w:pPr>
      <w:r w:rsidRPr="007C40DD">
        <w:rPr>
          <w:rFonts w:ascii="Times New Roman" w:eastAsia="Calibri" w:hAnsi="Times New Roman" w:cs="Times New Roman"/>
          <w:noProof/>
          <w:sz w:val="20"/>
          <w:szCs w:val="20"/>
        </w:rPr>
        <w:drawing>
          <wp:inline distT="0" distB="0" distL="0" distR="0" wp14:anchorId="282F08A6" wp14:editId="2F6B8C7E">
            <wp:extent cx="5773420" cy="2128520"/>
            <wp:effectExtent l="0" t="0" r="0" b="508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3420" cy="2128520"/>
                    </a:xfrm>
                    <a:prstGeom prst="rect">
                      <a:avLst/>
                    </a:prstGeom>
                    <a:noFill/>
                  </pic:spPr>
                </pic:pic>
              </a:graphicData>
            </a:graphic>
          </wp:inline>
        </w:drawing>
      </w:r>
    </w:p>
    <w:p w:rsidR="007C40DD" w:rsidRPr="007C40DD" w:rsidRDefault="007C40DD" w:rsidP="007C40DD">
      <w:pPr>
        <w:jc w:val="both"/>
        <w:rPr>
          <w:rFonts w:ascii="Times New Roman" w:hAnsi="Times New Roman" w:cs="Times New Roman"/>
          <w:iCs/>
          <w:sz w:val="24"/>
          <w:szCs w:val="24"/>
        </w:rPr>
      </w:pPr>
      <w:r w:rsidRPr="007C40DD">
        <w:rPr>
          <w:rFonts w:ascii="Times New Roman" w:hAnsi="Times New Roman" w:cs="Times New Roman"/>
          <w:iCs/>
          <w:sz w:val="24"/>
          <w:szCs w:val="24"/>
        </w:rPr>
        <w:lastRenderedPageBreak/>
        <w:t>Monitorim</w:t>
      </w:r>
      <w:r w:rsidR="00CF5A60">
        <w:rPr>
          <w:rFonts w:ascii="Times New Roman" w:hAnsi="Times New Roman" w:cs="Times New Roman"/>
          <w:iCs/>
          <w:sz w:val="24"/>
          <w:szCs w:val="24"/>
        </w:rPr>
        <w:t>i</w:t>
      </w:r>
      <w:r w:rsidRPr="007C40DD">
        <w:rPr>
          <w:rFonts w:ascii="Times New Roman" w:hAnsi="Times New Roman" w:cs="Times New Roman"/>
          <w:iCs/>
          <w:sz w:val="24"/>
          <w:szCs w:val="24"/>
        </w:rPr>
        <w:t xml:space="preserve">  i SO</w:t>
      </w:r>
      <w:r w:rsidRPr="00CF5A60">
        <w:rPr>
          <w:rFonts w:ascii="Times New Roman" w:hAnsi="Times New Roman" w:cs="Times New Roman"/>
          <w:iCs/>
          <w:sz w:val="24"/>
          <w:szCs w:val="24"/>
          <w:vertAlign w:val="subscript"/>
        </w:rPr>
        <w:t>2</w:t>
      </w:r>
      <w:r w:rsidRPr="007C40DD">
        <w:rPr>
          <w:rFonts w:ascii="Times New Roman" w:hAnsi="Times New Roman" w:cs="Times New Roman"/>
          <w:iCs/>
          <w:sz w:val="24"/>
          <w:szCs w:val="24"/>
        </w:rPr>
        <w:t xml:space="preserve"> për periudhën Korrik -Dhjetor 2025 është realizuar në stacionet e Tirana Mobile, Tirana Higjena, Durrësit, Fierit,</w:t>
      </w:r>
      <w:r w:rsidR="00F94ED4">
        <w:rPr>
          <w:rFonts w:ascii="Times New Roman" w:hAnsi="Times New Roman" w:cs="Times New Roman"/>
          <w:iCs/>
          <w:sz w:val="24"/>
          <w:szCs w:val="24"/>
        </w:rPr>
        <w:t xml:space="preserve"> Shkodrës, Korçës dhe Elbasanit.</w:t>
      </w:r>
      <w:r w:rsidRPr="007C40DD">
        <w:rPr>
          <w:rFonts w:ascii="Times New Roman" w:hAnsi="Times New Roman" w:cs="Times New Roman"/>
          <w:iCs/>
          <w:sz w:val="24"/>
          <w:szCs w:val="24"/>
        </w:rPr>
        <w:t xml:space="preserve"> Bazuar në të dhënat e monitoruara rezult</w:t>
      </w:r>
      <w:r w:rsidR="00764B7A">
        <w:rPr>
          <w:rFonts w:ascii="Times New Roman" w:hAnsi="Times New Roman" w:cs="Times New Roman"/>
          <w:iCs/>
          <w:sz w:val="24"/>
          <w:szCs w:val="24"/>
        </w:rPr>
        <w:t>on se në asnjë stacion nuk kemi</w:t>
      </w:r>
      <w:r w:rsidRPr="007C40DD">
        <w:rPr>
          <w:rFonts w:ascii="Times New Roman" w:hAnsi="Times New Roman" w:cs="Times New Roman"/>
          <w:iCs/>
          <w:sz w:val="24"/>
          <w:szCs w:val="24"/>
        </w:rPr>
        <w:t xml:space="preserve"> t</w:t>
      </w:r>
      <w:r w:rsidR="00764B7A">
        <w:rPr>
          <w:rFonts w:ascii="Times New Roman" w:hAnsi="Times New Roman" w:cs="Times New Roman"/>
          <w:iCs/>
          <w:sz w:val="24"/>
          <w:szCs w:val="24"/>
        </w:rPr>
        <w:t>ejkalim të vlerës limite ditore</w:t>
      </w:r>
      <w:r w:rsidRPr="007C40DD">
        <w:rPr>
          <w:rFonts w:ascii="Times New Roman" w:hAnsi="Times New Roman" w:cs="Times New Roman"/>
          <w:iCs/>
          <w:sz w:val="24"/>
          <w:szCs w:val="24"/>
        </w:rPr>
        <w:t xml:space="preserve"> dhe as vlerës li</w:t>
      </w:r>
      <w:r w:rsidR="00F94ED4">
        <w:rPr>
          <w:rFonts w:ascii="Times New Roman" w:hAnsi="Times New Roman" w:cs="Times New Roman"/>
          <w:iCs/>
          <w:sz w:val="24"/>
          <w:szCs w:val="24"/>
        </w:rPr>
        <w:t xml:space="preserve">mite orare </w:t>
      </w:r>
      <w:r w:rsidRPr="007C40DD">
        <w:rPr>
          <w:rFonts w:ascii="Times New Roman" w:hAnsi="Times New Roman" w:cs="Times New Roman"/>
          <w:iCs/>
          <w:sz w:val="24"/>
          <w:szCs w:val="24"/>
        </w:rPr>
        <w:t xml:space="preserve"> për SO</w:t>
      </w:r>
      <w:r w:rsidRPr="00CF5A60">
        <w:rPr>
          <w:rFonts w:ascii="Times New Roman" w:hAnsi="Times New Roman" w:cs="Times New Roman"/>
          <w:iCs/>
          <w:sz w:val="24"/>
          <w:szCs w:val="24"/>
          <w:vertAlign w:val="subscript"/>
        </w:rPr>
        <w:t>2</w:t>
      </w:r>
      <w:r w:rsidR="00CF5A60">
        <w:rPr>
          <w:rFonts w:ascii="Times New Roman" w:hAnsi="Times New Roman" w:cs="Times New Roman"/>
          <w:iCs/>
          <w:sz w:val="24"/>
          <w:szCs w:val="24"/>
          <w:vertAlign w:val="subscript"/>
        </w:rPr>
        <w:t>.</w:t>
      </w:r>
    </w:p>
    <w:p w:rsidR="007C40DD" w:rsidRPr="007C40DD" w:rsidRDefault="007C40DD" w:rsidP="007C40DD">
      <w:pPr>
        <w:jc w:val="both"/>
        <w:rPr>
          <w:rFonts w:ascii="Times New Roman" w:eastAsia="Calibri" w:hAnsi="Times New Roman" w:cs="Times New Roman"/>
          <w:b/>
          <w:sz w:val="24"/>
          <w:szCs w:val="24"/>
          <w:u w:val="single"/>
        </w:rPr>
      </w:pPr>
      <w:r w:rsidRPr="007C40DD">
        <w:rPr>
          <w:rFonts w:ascii="Times New Roman" w:eastAsia="Calibri" w:hAnsi="Times New Roman" w:cs="Times New Roman"/>
          <w:b/>
          <w:sz w:val="24"/>
          <w:szCs w:val="24"/>
          <w:u w:val="single"/>
        </w:rPr>
        <w:t>Ozoni (O</w:t>
      </w:r>
      <w:r w:rsidRPr="007C40DD">
        <w:rPr>
          <w:rFonts w:ascii="Times New Roman" w:eastAsia="Calibri" w:hAnsi="Times New Roman" w:cs="Times New Roman"/>
          <w:b/>
          <w:sz w:val="24"/>
          <w:szCs w:val="24"/>
          <w:u w:val="single"/>
          <w:vertAlign w:val="subscript"/>
        </w:rPr>
        <w:t>3</w:t>
      </w:r>
      <w:r w:rsidRPr="007C40DD">
        <w:rPr>
          <w:rFonts w:ascii="Times New Roman" w:eastAsia="Calibri" w:hAnsi="Times New Roman" w:cs="Times New Roman"/>
          <w:b/>
          <w:sz w:val="24"/>
          <w:szCs w:val="24"/>
          <w:u w:val="single"/>
        </w:rPr>
        <w:t>)</w:t>
      </w:r>
    </w:p>
    <w:p w:rsidR="007C40DD" w:rsidRPr="007C40DD" w:rsidRDefault="00CF5A60" w:rsidP="007C40DD">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Burimi i</w:t>
      </w:r>
      <w:r w:rsidR="007C40DD" w:rsidRPr="007C40DD">
        <w:rPr>
          <w:rFonts w:ascii="Times New Roman" w:eastAsia="Calibri" w:hAnsi="Times New Roman" w:cs="Times New Roman"/>
          <w:b/>
          <w:sz w:val="24"/>
          <w:szCs w:val="24"/>
        </w:rPr>
        <w:t xml:space="preserve"> ndotjes</w:t>
      </w:r>
      <w:r w:rsidR="007C40DD" w:rsidRPr="007C40DD">
        <w:rPr>
          <w:rFonts w:ascii="Times New Roman" w:eastAsia="Calibri" w:hAnsi="Times New Roman" w:cs="Times New Roman"/>
          <w:sz w:val="24"/>
          <w:szCs w:val="24"/>
        </w:rPr>
        <w:t>: Ozoni i nivelit të ulët të troposferë</w:t>
      </w:r>
      <w:r>
        <w:rPr>
          <w:rFonts w:ascii="Times New Roman" w:eastAsia="Calibri" w:hAnsi="Times New Roman" w:cs="Times New Roman"/>
          <w:sz w:val="24"/>
          <w:szCs w:val="24"/>
        </w:rPr>
        <w:t>s nuk em</w:t>
      </w:r>
      <w:r w:rsidR="00F94ED4">
        <w:rPr>
          <w:rFonts w:ascii="Times New Roman" w:eastAsia="Calibri" w:hAnsi="Times New Roman" w:cs="Times New Roman"/>
          <w:sz w:val="24"/>
          <w:szCs w:val="24"/>
        </w:rPr>
        <w:t>ë</w:t>
      </w:r>
      <w:r>
        <w:rPr>
          <w:rFonts w:ascii="Times New Roman" w:eastAsia="Calibri" w:hAnsi="Times New Roman" w:cs="Times New Roman"/>
          <w:sz w:val="24"/>
          <w:szCs w:val="24"/>
        </w:rPr>
        <w:t>tohet direkt në atmosferë</w:t>
      </w:r>
      <w:r w:rsidR="007C40DD" w:rsidRPr="007C40DD">
        <w:rPr>
          <w:rFonts w:ascii="Times New Roman" w:eastAsia="Calibri" w:hAnsi="Times New Roman" w:cs="Times New Roman"/>
          <w:sz w:val="24"/>
          <w:szCs w:val="24"/>
        </w:rPr>
        <w:t>, ai formohet si rezultat i zinxhirit të reaksioneve kimike me gazet pararendëse të em</w:t>
      </w:r>
      <w:r w:rsidR="00F94ED4">
        <w:rPr>
          <w:rFonts w:ascii="Times New Roman" w:eastAsia="Calibri" w:hAnsi="Times New Roman" w:cs="Times New Roman"/>
          <w:sz w:val="24"/>
          <w:szCs w:val="24"/>
        </w:rPr>
        <w:t>ë</w:t>
      </w:r>
      <w:r w:rsidR="007C40DD" w:rsidRPr="007C40DD">
        <w:rPr>
          <w:rFonts w:ascii="Times New Roman" w:eastAsia="Calibri" w:hAnsi="Times New Roman" w:cs="Times New Roman"/>
          <w:sz w:val="24"/>
          <w:szCs w:val="24"/>
        </w:rPr>
        <w:t>tuara në at</w:t>
      </w:r>
      <w:r>
        <w:rPr>
          <w:rFonts w:ascii="Times New Roman" w:eastAsia="Calibri" w:hAnsi="Times New Roman" w:cs="Times New Roman"/>
          <w:sz w:val="24"/>
          <w:szCs w:val="24"/>
        </w:rPr>
        <w:t>mosf</w:t>
      </w:r>
      <w:r w:rsidR="007C40DD" w:rsidRPr="007C40DD">
        <w:rPr>
          <w:rFonts w:ascii="Times New Roman" w:eastAsia="Calibri" w:hAnsi="Times New Roman" w:cs="Times New Roman"/>
          <w:sz w:val="24"/>
          <w:szCs w:val="24"/>
        </w:rPr>
        <w:t>er</w:t>
      </w:r>
      <w:r w:rsidR="00827023">
        <w:rPr>
          <w:rFonts w:ascii="Times New Roman" w:eastAsia="Calibri" w:hAnsi="Times New Roman" w:cs="Times New Roman"/>
          <w:sz w:val="24"/>
          <w:szCs w:val="24"/>
        </w:rPr>
        <w:t>ë</w:t>
      </w:r>
      <w:r w:rsidR="007C40DD" w:rsidRPr="007C40DD">
        <w:rPr>
          <w:rFonts w:ascii="Times New Roman" w:eastAsia="Calibri" w:hAnsi="Times New Roman" w:cs="Times New Roman"/>
          <w:sz w:val="24"/>
          <w:szCs w:val="24"/>
        </w:rPr>
        <w:t xml:space="preserve"> si NOx, CO, NMVOCs dhe CH</w:t>
      </w:r>
      <w:r w:rsidR="007C40DD" w:rsidRPr="00CF5A60">
        <w:rPr>
          <w:rFonts w:ascii="Times New Roman" w:eastAsia="Calibri" w:hAnsi="Times New Roman" w:cs="Times New Roman"/>
          <w:sz w:val="24"/>
          <w:szCs w:val="24"/>
          <w:vertAlign w:val="subscript"/>
        </w:rPr>
        <w:t>4</w:t>
      </w:r>
      <w:r w:rsidR="007C40DD" w:rsidRPr="007C40DD">
        <w:rPr>
          <w:rFonts w:ascii="Times New Roman" w:eastAsia="Calibri" w:hAnsi="Times New Roman" w:cs="Times New Roman"/>
          <w:sz w:val="24"/>
          <w:szCs w:val="24"/>
        </w:rPr>
        <w:t xml:space="preserve"> në prani dhe të rrezatimit diellor. </w:t>
      </w:r>
    </w:p>
    <w:p w:rsidR="007C40DD" w:rsidRPr="00057745" w:rsidRDefault="00822E13" w:rsidP="00057745">
      <w:pPr>
        <w:spacing w:after="200" w:line="276" w:lineRule="auto"/>
        <w:jc w:val="both"/>
        <w:rPr>
          <w:rFonts w:ascii="Times New Roman" w:eastAsia="Calibri" w:hAnsi="Times New Roman" w:cs="Times New Roman"/>
          <w:b/>
          <w:noProof/>
          <w:color w:val="000000"/>
          <w:sz w:val="24"/>
          <w:szCs w:val="24"/>
        </w:rPr>
      </w:pPr>
      <w:r>
        <w:rPr>
          <w:rFonts w:ascii="Times New Roman" w:eastAsia="Calibri" w:hAnsi="Times New Roman" w:cs="Times New Roman"/>
          <w:b/>
          <w:sz w:val="24"/>
          <w:szCs w:val="24"/>
        </w:rPr>
        <w:t>Efekti në Shë</w:t>
      </w:r>
      <w:r w:rsidR="007C40DD" w:rsidRPr="007C40DD">
        <w:rPr>
          <w:rFonts w:ascii="Times New Roman" w:eastAsia="Calibri" w:hAnsi="Times New Roman" w:cs="Times New Roman"/>
          <w:b/>
          <w:sz w:val="24"/>
          <w:szCs w:val="24"/>
        </w:rPr>
        <w:t>ndet dhe mjedis</w:t>
      </w:r>
      <w:r w:rsidR="007C40DD" w:rsidRPr="007C40DD">
        <w:rPr>
          <w:rFonts w:ascii="Times New Roman" w:eastAsia="Calibri" w:hAnsi="Times New Roman" w:cs="Times New Roman"/>
          <w:sz w:val="24"/>
          <w:szCs w:val="24"/>
        </w:rPr>
        <w:t>: Niveli i lartë i ozonit mund të shkaktojë problem</w:t>
      </w:r>
      <w:r w:rsidR="00F94ED4">
        <w:rPr>
          <w:rFonts w:ascii="Times New Roman" w:eastAsia="Calibri" w:hAnsi="Times New Roman" w:cs="Times New Roman"/>
          <w:sz w:val="24"/>
          <w:szCs w:val="24"/>
        </w:rPr>
        <w:t>e</w:t>
      </w:r>
      <w:r w:rsidR="007C40DD" w:rsidRPr="007C40DD">
        <w:rPr>
          <w:rFonts w:ascii="Times New Roman" w:eastAsia="Calibri" w:hAnsi="Times New Roman" w:cs="Times New Roman"/>
          <w:sz w:val="24"/>
          <w:szCs w:val="24"/>
        </w:rPr>
        <w:t xml:space="preserve"> të shëndetit respirator duke zvo</w:t>
      </w:r>
      <w:r w:rsidR="00696006">
        <w:rPr>
          <w:rFonts w:ascii="Times New Roman" w:eastAsia="Calibri" w:hAnsi="Times New Roman" w:cs="Times New Roman"/>
          <w:sz w:val="24"/>
          <w:szCs w:val="24"/>
        </w:rPr>
        <w:t>gëluar funksionimin e mushkrive</w:t>
      </w:r>
      <w:r w:rsidR="007C40DD" w:rsidRPr="007C40DD">
        <w:rPr>
          <w:rFonts w:ascii="Times New Roman" w:eastAsia="Calibri" w:hAnsi="Times New Roman" w:cs="Times New Roman"/>
          <w:sz w:val="24"/>
          <w:szCs w:val="24"/>
        </w:rPr>
        <w:t>, përkeqësimin e astmës dhe sëmundje të tjera të mushkrive deri në vdekje të parakohshme. Ozoni gjithashtu është gaz me efekt serë duke kontribuar në ngrohjen e atmos</w:t>
      </w:r>
      <w:r w:rsidR="00827023">
        <w:rPr>
          <w:rFonts w:ascii="Times New Roman" w:eastAsia="Calibri" w:hAnsi="Times New Roman" w:cs="Times New Roman"/>
          <w:sz w:val="24"/>
          <w:szCs w:val="24"/>
        </w:rPr>
        <w:t>f</w:t>
      </w:r>
      <w:r w:rsidR="007C40DD" w:rsidRPr="007C40DD">
        <w:rPr>
          <w:rFonts w:ascii="Times New Roman" w:eastAsia="Calibri" w:hAnsi="Times New Roman" w:cs="Times New Roman"/>
          <w:sz w:val="24"/>
          <w:szCs w:val="24"/>
        </w:rPr>
        <w:t xml:space="preserve">erës.   </w:t>
      </w:r>
    </w:p>
    <w:p w:rsidR="007C40DD" w:rsidRDefault="00822E13" w:rsidP="00807975">
      <w:pPr>
        <w:numPr>
          <w:ilvl w:val="0"/>
          <w:numId w:val="29"/>
        </w:numPr>
        <w:spacing w:after="200" w:line="276"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Vlerësimi i</w:t>
      </w:r>
      <w:r w:rsidR="007C40DD" w:rsidRPr="007C40DD">
        <w:rPr>
          <w:rFonts w:ascii="Times New Roman" w:eastAsia="Calibri" w:hAnsi="Times New Roman" w:cs="Times New Roman"/>
          <w:b/>
          <w:sz w:val="24"/>
          <w:szCs w:val="24"/>
        </w:rPr>
        <w:t xml:space="preserve"> cilësisë së ajrit për Ozonin </w:t>
      </w:r>
    </w:p>
    <w:p w:rsidR="00751ECE" w:rsidRPr="007C40DD" w:rsidRDefault="00751ECE" w:rsidP="00751ECE">
      <w:pPr>
        <w:spacing w:after="200" w:line="276" w:lineRule="auto"/>
        <w:ind w:left="720"/>
        <w:contextualSpacing/>
        <w:rPr>
          <w:rFonts w:ascii="Times New Roman" w:eastAsia="Calibri" w:hAnsi="Times New Roman" w:cs="Times New Roman"/>
          <w:b/>
          <w:sz w:val="24"/>
          <w:szCs w:val="24"/>
        </w:rPr>
      </w:pPr>
    </w:p>
    <w:p w:rsidR="007C40DD" w:rsidRPr="007C40DD" w:rsidRDefault="007C40DD" w:rsidP="007C40DD">
      <w:pPr>
        <w:spacing w:after="200" w:line="276" w:lineRule="auto"/>
        <w:rPr>
          <w:rFonts w:ascii="Times New Roman" w:eastAsia="Calibri" w:hAnsi="Times New Roman" w:cs="Times New Roman"/>
          <w:b/>
          <w:sz w:val="24"/>
          <w:szCs w:val="24"/>
        </w:rPr>
      </w:pPr>
      <w:r w:rsidRPr="007C40DD">
        <w:rPr>
          <w:rFonts w:ascii="Times New Roman" w:eastAsia="Calibri" w:hAnsi="Times New Roman" w:cs="Times New Roman"/>
          <w:b/>
          <w:noProof/>
          <w:sz w:val="24"/>
          <w:szCs w:val="24"/>
        </w:rPr>
        <w:drawing>
          <wp:inline distT="0" distB="0" distL="0" distR="0" wp14:anchorId="4BF97C7D" wp14:editId="3D29A286">
            <wp:extent cx="5328285" cy="2324100"/>
            <wp:effectExtent l="0" t="0" r="5715"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28285" cy="2324100"/>
                    </a:xfrm>
                    <a:prstGeom prst="rect">
                      <a:avLst/>
                    </a:prstGeom>
                    <a:noFill/>
                  </pic:spPr>
                </pic:pic>
              </a:graphicData>
            </a:graphic>
          </wp:inline>
        </w:drawing>
      </w:r>
    </w:p>
    <w:p w:rsidR="0044080E" w:rsidRPr="009D2EB8" w:rsidRDefault="007C40DD" w:rsidP="004E3CAD">
      <w:pPr>
        <w:spacing w:after="0" w:line="240" w:lineRule="auto"/>
        <w:jc w:val="both"/>
        <w:rPr>
          <w:rFonts w:ascii="Times New Roman" w:eastAsia="Calibri" w:hAnsi="Times New Roman" w:cs="Times New Roman"/>
          <w:sz w:val="24"/>
          <w:szCs w:val="24"/>
        </w:rPr>
      </w:pPr>
      <w:r w:rsidRPr="007C40DD">
        <w:rPr>
          <w:rFonts w:ascii="Times New Roman" w:eastAsia="Calibri" w:hAnsi="Times New Roman" w:cs="Times New Roman"/>
          <w:sz w:val="24"/>
          <w:szCs w:val="24"/>
        </w:rPr>
        <w:t>Monitorimi i O</w:t>
      </w:r>
      <w:r w:rsidRPr="00696006">
        <w:rPr>
          <w:rFonts w:ascii="Times New Roman" w:eastAsia="Calibri" w:hAnsi="Times New Roman" w:cs="Times New Roman"/>
          <w:sz w:val="24"/>
          <w:szCs w:val="24"/>
          <w:vertAlign w:val="subscript"/>
        </w:rPr>
        <w:t>3</w:t>
      </w:r>
      <w:r w:rsidRPr="007C40DD">
        <w:rPr>
          <w:rFonts w:ascii="Times New Roman" w:eastAsia="Calibri" w:hAnsi="Times New Roman" w:cs="Times New Roman"/>
          <w:sz w:val="24"/>
          <w:szCs w:val="24"/>
        </w:rPr>
        <w:t xml:space="preserve"> është realizu</w:t>
      </w:r>
      <w:r w:rsidR="00764B7A">
        <w:rPr>
          <w:rFonts w:ascii="Times New Roman" w:eastAsia="Calibri" w:hAnsi="Times New Roman" w:cs="Times New Roman"/>
          <w:sz w:val="24"/>
          <w:szCs w:val="24"/>
        </w:rPr>
        <w:t>ar në</w:t>
      </w:r>
      <w:r w:rsidR="00F94ED4">
        <w:rPr>
          <w:rFonts w:ascii="Times New Roman" w:eastAsia="Calibri" w:hAnsi="Times New Roman" w:cs="Times New Roman"/>
          <w:sz w:val="24"/>
          <w:szCs w:val="24"/>
        </w:rPr>
        <w:t xml:space="preserve"> </w:t>
      </w:r>
      <w:r w:rsidR="00F94ED4" w:rsidRPr="009D2EB8">
        <w:rPr>
          <w:rFonts w:ascii="Times New Roman" w:eastAsia="Calibri" w:hAnsi="Times New Roman" w:cs="Times New Roman"/>
          <w:sz w:val="24"/>
          <w:szCs w:val="24"/>
        </w:rPr>
        <w:t>stacio</w:t>
      </w:r>
      <w:r w:rsidR="00696006" w:rsidRPr="009D2EB8">
        <w:rPr>
          <w:rFonts w:ascii="Times New Roman" w:eastAsia="Calibri" w:hAnsi="Times New Roman" w:cs="Times New Roman"/>
          <w:sz w:val="24"/>
          <w:szCs w:val="24"/>
        </w:rPr>
        <w:t>n</w:t>
      </w:r>
      <w:r w:rsidR="00F94ED4" w:rsidRPr="009D2EB8">
        <w:rPr>
          <w:rFonts w:ascii="Times New Roman" w:eastAsia="Calibri" w:hAnsi="Times New Roman" w:cs="Times New Roman"/>
          <w:sz w:val="24"/>
          <w:szCs w:val="24"/>
        </w:rPr>
        <w:t>et</w:t>
      </w:r>
      <w:r w:rsidR="00696006" w:rsidRPr="009D2EB8">
        <w:rPr>
          <w:rFonts w:ascii="Times New Roman" w:eastAsia="Calibri" w:hAnsi="Times New Roman" w:cs="Times New Roman"/>
          <w:sz w:val="24"/>
          <w:szCs w:val="24"/>
        </w:rPr>
        <w:t xml:space="preserve"> e Durrësit</w:t>
      </w:r>
      <w:r w:rsidRPr="009D2EB8">
        <w:rPr>
          <w:rFonts w:ascii="Times New Roman" w:eastAsia="Calibri" w:hAnsi="Times New Roman" w:cs="Times New Roman"/>
          <w:sz w:val="24"/>
          <w:szCs w:val="24"/>
        </w:rPr>
        <w:t>,</w:t>
      </w:r>
      <w:r w:rsidR="00696006" w:rsidRPr="009D2EB8">
        <w:rPr>
          <w:rFonts w:ascii="Times New Roman" w:eastAsia="Calibri" w:hAnsi="Times New Roman" w:cs="Times New Roman"/>
          <w:sz w:val="24"/>
          <w:szCs w:val="24"/>
        </w:rPr>
        <w:t xml:space="preserve"> </w:t>
      </w:r>
      <w:r w:rsidRPr="009D2EB8">
        <w:rPr>
          <w:rFonts w:ascii="Times New Roman" w:eastAsia="Calibri" w:hAnsi="Times New Roman" w:cs="Times New Roman"/>
          <w:sz w:val="24"/>
          <w:szCs w:val="24"/>
        </w:rPr>
        <w:t>Elbasan</w:t>
      </w:r>
      <w:r w:rsidR="00F94ED4" w:rsidRPr="009D2EB8">
        <w:rPr>
          <w:rFonts w:ascii="Times New Roman" w:eastAsia="Calibri" w:hAnsi="Times New Roman" w:cs="Times New Roman"/>
          <w:sz w:val="24"/>
          <w:szCs w:val="24"/>
        </w:rPr>
        <w:t>it</w:t>
      </w:r>
      <w:r w:rsidRPr="009D2EB8">
        <w:rPr>
          <w:rFonts w:ascii="Times New Roman" w:eastAsia="Calibri" w:hAnsi="Times New Roman" w:cs="Times New Roman"/>
          <w:sz w:val="24"/>
          <w:szCs w:val="24"/>
        </w:rPr>
        <w:t>, Fier</w:t>
      </w:r>
      <w:r w:rsidR="00F94ED4" w:rsidRPr="009D2EB8">
        <w:rPr>
          <w:rFonts w:ascii="Times New Roman" w:eastAsia="Calibri" w:hAnsi="Times New Roman" w:cs="Times New Roman"/>
          <w:sz w:val="24"/>
          <w:szCs w:val="24"/>
        </w:rPr>
        <w:t>it</w:t>
      </w:r>
      <w:r w:rsidRPr="009D2EB8">
        <w:rPr>
          <w:rFonts w:ascii="Times New Roman" w:eastAsia="Calibri" w:hAnsi="Times New Roman" w:cs="Times New Roman"/>
          <w:sz w:val="24"/>
          <w:szCs w:val="24"/>
        </w:rPr>
        <w:t>, Shk</w:t>
      </w:r>
      <w:r w:rsidR="00696006" w:rsidRPr="009D2EB8">
        <w:rPr>
          <w:rFonts w:ascii="Times New Roman" w:eastAsia="Calibri" w:hAnsi="Times New Roman" w:cs="Times New Roman"/>
          <w:sz w:val="24"/>
          <w:szCs w:val="24"/>
        </w:rPr>
        <w:t>od</w:t>
      </w:r>
      <w:r w:rsidR="00F94ED4" w:rsidRPr="009D2EB8">
        <w:rPr>
          <w:rFonts w:ascii="Times New Roman" w:eastAsia="Calibri" w:hAnsi="Times New Roman" w:cs="Times New Roman"/>
          <w:sz w:val="24"/>
          <w:szCs w:val="24"/>
        </w:rPr>
        <w:t>r</w:t>
      </w:r>
      <w:r w:rsidR="00696006" w:rsidRPr="009D2EB8">
        <w:rPr>
          <w:rFonts w:ascii="Times New Roman" w:eastAsia="Calibri" w:hAnsi="Times New Roman" w:cs="Times New Roman"/>
          <w:sz w:val="24"/>
          <w:szCs w:val="24"/>
        </w:rPr>
        <w:t>ë</w:t>
      </w:r>
      <w:r w:rsidR="00F94ED4" w:rsidRPr="009D2EB8">
        <w:rPr>
          <w:rFonts w:ascii="Times New Roman" w:eastAsia="Calibri" w:hAnsi="Times New Roman" w:cs="Times New Roman"/>
          <w:sz w:val="24"/>
          <w:szCs w:val="24"/>
        </w:rPr>
        <w:t>s</w:t>
      </w:r>
      <w:r w:rsidRPr="009D2EB8">
        <w:rPr>
          <w:rFonts w:ascii="Times New Roman" w:eastAsia="Calibri" w:hAnsi="Times New Roman" w:cs="Times New Roman"/>
          <w:sz w:val="24"/>
          <w:szCs w:val="24"/>
        </w:rPr>
        <w:t>, Korçës, Tirana Higjen</w:t>
      </w:r>
      <w:r w:rsidR="00696006" w:rsidRPr="009D2EB8">
        <w:rPr>
          <w:rFonts w:ascii="Times New Roman" w:eastAsia="Calibri" w:hAnsi="Times New Roman" w:cs="Times New Roman"/>
          <w:sz w:val="24"/>
          <w:szCs w:val="24"/>
        </w:rPr>
        <w:t>a dhe Tirana Mobile për periudhë</w:t>
      </w:r>
      <w:r w:rsidRPr="009D2EB8">
        <w:rPr>
          <w:rFonts w:ascii="Times New Roman" w:eastAsia="Calibri" w:hAnsi="Times New Roman" w:cs="Times New Roman"/>
          <w:sz w:val="24"/>
          <w:szCs w:val="24"/>
        </w:rPr>
        <w:t>n Korrik</w:t>
      </w:r>
      <w:r w:rsidR="009D2EB8">
        <w:rPr>
          <w:rFonts w:ascii="Times New Roman" w:eastAsia="Calibri" w:hAnsi="Times New Roman" w:cs="Times New Roman"/>
          <w:sz w:val="24"/>
          <w:szCs w:val="24"/>
        </w:rPr>
        <w:t xml:space="preserve"> </w:t>
      </w:r>
      <w:r w:rsidRPr="009D2EB8">
        <w:rPr>
          <w:rFonts w:ascii="Times New Roman" w:eastAsia="Calibri" w:hAnsi="Times New Roman" w:cs="Times New Roman"/>
          <w:sz w:val="24"/>
          <w:szCs w:val="24"/>
        </w:rPr>
        <w:t>-</w:t>
      </w:r>
      <w:r w:rsidR="009D2EB8">
        <w:rPr>
          <w:rFonts w:ascii="Times New Roman" w:eastAsia="Calibri" w:hAnsi="Times New Roman" w:cs="Times New Roman"/>
          <w:sz w:val="24"/>
          <w:szCs w:val="24"/>
        </w:rPr>
        <w:t xml:space="preserve"> </w:t>
      </w:r>
      <w:r w:rsidRPr="009D2EB8">
        <w:rPr>
          <w:rFonts w:ascii="Times New Roman" w:eastAsia="Calibri" w:hAnsi="Times New Roman" w:cs="Times New Roman"/>
          <w:sz w:val="24"/>
          <w:szCs w:val="24"/>
        </w:rPr>
        <w:t>Dhjet</w:t>
      </w:r>
      <w:r w:rsidR="00696006" w:rsidRPr="009D2EB8">
        <w:rPr>
          <w:rFonts w:ascii="Times New Roman" w:eastAsia="Calibri" w:hAnsi="Times New Roman" w:cs="Times New Roman"/>
          <w:sz w:val="24"/>
          <w:szCs w:val="24"/>
        </w:rPr>
        <w:t xml:space="preserve">or 2025. </w:t>
      </w:r>
      <w:r w:rsidR="002C4833" w:rsidRPr="009D2EB8">
        <w:rPr>
          <w:rFonts w:ascii="Times New Roman" w:eastAsia="Calibri" w:hAnsi="Times New Roman" w:cs="Times New Roman"/>
          <w:sz w:val="24"/>
          <w:szCs w:val="24"/>
        </w:rPr>
        <w:t>Bazuar në mesataret e vlerave për periudhën Korrik</w:t>
      </w:r>
      <w:r w:rsidR="009D2EB8">
        <w:rPr>
          <w:rFonts w:ascii="Times New Roman" w:eastAsia="Calibri" w:hAnsi="Times New Roman" w:cs="Times New Roman"/>
          <w:sz w:val="24"/>
          <w:szCs w:val="24"/>
        </w:rPr>
        <w:t xml:space="preserve"> </w:t>
      </w:r>
      <w:r w:rsidR="002C4833" w:rsidRPr="009D2EB8">
        <w:rPr>
          <w:rFonts w:ascii="Times New Roman" w:eastAsia="Calibri" w:hAnsi="Times New Roman" w:cs="Times New Roman"/>
          <w:sz w:val="24"/>
          <w:szCs w:val="24"/>
        </w:rPr>
        <w:t>-</w:t>
      </w:r>
      <w:r w:rsidR="009D2EB8">
        <w:rPr>
          <w:rFonts w:ascii="Times New Roman" w:eastAsia="Calibri" w:hAnsi="Times New Roman" w:cs="Times New Roman"/>
          <w:sz w:val="24"/>
          <w:szCs w:val="24"/>
        </w:rPr>
        <w:t xml:space="preserve"> </w:t>
      </w:r>
      <w:r w:rsidR="002C4833" w:rsidRPr="009D2EB8">
        <w:rPr>
          <w:rFonts w:ascii="Times New Roman" w:eastAsia="Calibri" w:hAnsi="Times New Roman" w:cs="Times New Roman"/>
          <w:sz w:val="24"/>
          <w:szCs w:val="24"/>
        </w:rPr>
        <w:t xml:space="preserve">Dhjetor 2025, theksojmë se ndotja e ajrit nga Ozoni në qytetet e monitoruara nuk është </w:t>
      </w:r>
      <w:r w:rsidR="006F6D38" w:rsidRPr="009D2EB8">
        <w:rPr>
          <w:rFonts w:ascii="Times New Roman" w:eastAsia="Calibri" w:hAnsi="Times New Roman" w:cs="Times New Roman"/>
          <w:sz w:val="24"/>
          <w:szCs w:val="24"/>
        </w:rPr>
        <w:t>problematik.</w:t>
      </w:r>
    </w:p>
    <w:p w:rsidR="00827023" w:rsidRDefault="009D2EB8" w:rsidP="004E3CAD">
      <w:pPr>
        <w:spacing w:after="0" w:line="240" w:lineRule="auto"/>
        <w:jc w:val="both"/>
        <w:rPr>
          <w:rFonts w:ascii="Times New Roman" w:eastAsia="Calibri" w:hAnsi="Times New Roman" w:cs="Times New Roman"/>
          <w:noProof/>
          <w:sz w:val="24"/>
          <w:szCs w:val="24"/>
        </w:rPr>
      </w:pPr>
      <w:r>
        <w:rPr>
          <w:rFonts w:ascii="Times New Roman" w:eastAsia="Calibri" w:hAnsi="Times New Roman" w:cs="Times New Roman"/>
          <w:sz w:val="24"/>
          <w:szCs w:val="24"/>
        </w:rPr>
        <w:t>Sipas</w:t>
      </w:r>
      <w:r w:rsidR="00696006" w:rsidRPr="009D2EB8">
        <w:rPr>
          <w:rFonts w:ascii="Times New Roman" w:eastAsia="Calibri" w:hAnsi="Times New Roman" w:cs="Times New Roman"/>
          <w:sz w:val="24"/>
          <w:szCs w:val="24"/>
        </w:rPr>
        <w:t xml:space="preserve"> </w:t>
      </w:r>
      <w:r w:rsidR="002C4833" w:rsidRPr="009D2EB8">
        <w:rPr>
          <w:rFonts w:ascii="Times New Roman" w:eastAsia="Calibri" w:hAnsi="Times New Roman" w:cs="Times New Roman"/>
          <w:sz w:val="24"/>
          <w:szCs w:val="24"/>
        </w:rPr>
        <w:t>të dhëna</w:t>
      </w:r>
      <w:r w:rsidR="006D4E86">
        <w:rPr>
          <w:rFonts w:ascii="Times New Roman" w:eastAsia="Calibri" w:hAnsi="Times New Roman" w:cs="Times New Roman"/>
          <w:sz w:val="24"/>
          <w:szCs w:val="24"/>
        </w:rPr>
        <w:t>ve</w:t>
      </w:r>
      <w:r w:rsidR="002C4833" w:rsidRPr="009D2EB8">
        <w:rPr>
          <w:rFonts w:ascii="Times New Roman" w:eastAsia="Calibri" w:hAnsi="Times New Roman" w:cs="Times New Roman"/>
          <w:sz w:val="24"/>
          <w:szCs w:val="24"/>
        </w:rPr>
        <w:t xml:space="preserve"> 8 orare t</w:t>
      </w:r>
      <w:r>
        <w:rPr>
          <w:rFonts w:ascii="Times New Roman" w:eastAsia="Calibri" w:hAnsi="Times New Roman" w:cs="Times New Roman"/>
          <w:sz w:val="24"/>
          <w:szCs w:val="24"/>
        </w:rPr>
        <w:t>ë</w:t>
      </w:r>
      <w:r w:rsidR="002C4833" w:rsidRPr="009D2EB8">
        <w:rPr>
          <w:rFonts w:ascii="Times New Roman" w:eastAsia="Calibri" w:hAnsi="Times New Roman" w:cs="Times New Roman"/>
          <w:sz w:val="24"/>
          <w:szCs w:val="24"/>
        </w:rPr>
        <w:t xml:space="preserve"> O</w:t>
      </w:r>
      <w:r w:rsidR="002C4833" w:rsidRPr="00827023">
        <w:rPr>
          <w:rFonts w:ascii="Times New Roman" w:eastAsia="Calibri" w:hAnsi="Times New Roman" w:cs="Times New Roman"/>
          <w:sz w:val="24"/>
          <w:szCs w:val="24"/>
          <w:vertAlign w:val="subscript"/>
        </w:rPr>
        <w:t>3</w:t>
      </w:r>
      <w:r w:rsidR="002C4833" w:rsidRPr="009D2EB8">
        <w:rPr>
          <w:rFonts w:ascii="Times New Roman" w:eastAsia="Calibri" w:hAnsi="Times New Roman" w:cs="Times New Roman"/>
          <w:sz w:val="24"/>
          <w:szCs w:val="24"/>
        </w:rPr>
        <w:t>,</w:t>
      </w:r>
      <w:r w:rsidR="006A278D" w:rsidRPr="009D2EB8">
        <w:rPr>
          <w:rFonts w:ascii="Times New Roman" w:eastAsia="Calibri" w:hAnsi="Times New Roman" w:cs="Times New Roman"/>
          <w:sz w:val="24"/>
          <w:szCs w:val="24"/>
        </w:rPr>
        <w:t xml:space="preserve"> </w:t>
      </w:r>
      <w:r w:rsidR="007C40DD" w:rsidRPr="009D2EB8">
        <w:rPr>
          <w:rFonts w:ascii="Times New Roman" w:eastAsia="Calibri" w:hAnsi="Times New Roman" w:cs="Times New Roman"/>
          <w:sz w:val="24"/>
          <w:szCs w:val="24"/>
        </w:rPr>
        <w:t>krahasuar me normën 8 orare</w:t>
      </w:r>
      <w:r w:rsidR="006F6D38" w:rsidRPr="009D2EB8">
        <w:rPr>
          <w:rFonts w:ascii="Times New Roman" w:eastAsia="Calibri" w:hAnsi="Times New Roman" w:cs="Times New Roman"/>
          <w:sz w:val="24"/>
          <w:szCs w:val="24"/>
        </w:rPr>
        <w:t xml:space="preserve"> </w:t>
      </w:r>
      <w:r w:rsidR="006A278D" w:rsidRPr="009D2EB8">
        <w:rPr>
          <w:rFonts w:ascii="Times New Roman" w:eastAsia="Calibri" w:hAnsi="Times New Roman" w:cs="Times New Roman"/>
          <w:sz w:val="24"/>
          <w:szCs w:val="24"/>
        </w:rPr>
        <w:t>(</w:t>
      </w:r>
      <w:r w:rsidR="006F6D38" w:rsidRPr="009D2EB8">
        <w:rPr>
          <w:rFonts w:ascii="Times New Roman" w:eastAsia="Calibri" w:hAnsi="Times New Roman" w:cs="Times New Roman"/>
          <w:sz w:val="24"/>
          <w:szCs w:val="24"/>
        </w:rPr>
        <w:t xml:space="preserve"> </w:t>
      </w:r>
      <w:r w:rsidR="006A278D" w:rsidRPr="009D2EB8">
        <w:rPr>
          <w:rFonts w:ascii="Times New Roman" w:eastAsia="Calibri" w:hAnsi="Times New Roman" w:cs="Times New Roman"/>
          <w:sz w:val="24"/>
          <w:szCs w:val="24"/>
        </w:rPr>
        <w:t>norma 8 orare e O3 është 120 µg/m³)</w:t>
      </w:r>
      <w:r w:rsidR="007C40DD" w:rsidRPr="009D2EB8">
        <w:rPr>
          <w:rFonts w:ascii="Times New Roman" w:eastAsia="Calibri" w:hAnsi="Times New Roman" w:cs="Times New Roman"/>
          <w:sz w:val="24"/>
          <w:szCs w:val="24"/>
        </w:rPr>
        <w:t>,</w:t>
      </w:r>
      <w:r w:rsidR="002C4833" w:rsidRPr="009D2EB8">
        <w:rPr>
          <w:rFonts w:ascii="Times New Roman" w:eastAsia="Calibri" w:hAnsi="Times New Roman" w:cs="Times New Roman"/>
          <w:sz w:val="24"/>
          <w:szCs w:val="24"/>
        </w:rPr>
        <w:t xml:space="preserve"> vlerësojmë se </w:t>
      </w:r>
      <w:r w:rsidR="007C40DD" w:rsidRPr="009D2EB8">
        <w:rPr>
          <w:rFonts w:ascii="Times New Roman" w:eastAsia="Calibri" w:hAnsi="Times New Roman" w:cs="Times New Roman"/>
          <w:sz w:val="24"/>
          <w:szCs w:val="24"/>
        </w:rPr>
        <w:t>nuk kemi tejkalim të normës</w:t>
      </w:r>
      <w:r w:rsidR="007C40DD" w:rsidRPr="009D2EB8">
        <w:rPr>
          <w:rFonts w:ascii="Times New Roman" w:eastAsia="Calibri" w:hAnsi="Times New Roman" w:cs="Times New Roman"/>
          <w:noProof/>
          <w:sz w:val="24"/>
          <w:szCs w:val="24"/>
        </w:rPr>
        <w:t xml:space="preserve"> n</w:t>
      </w:r>
      <w:r w:rsidR="00F94ED4" w:rsidRPr="009D2EB8">
        <w:rPr>
          <w:rFonts w:ascii="Times New Roman" w:eastAsia="Calibri" w:hAnsi="Times New Roman" w:cs="Times New Roman"/>
          <w:noProof/>
          <w:sz w:val="24"/>
          <w:szCs w:val="24"/>
        </w:rPr>
        <w:t>ë</w:t>
      </w:r>
      <w:r w:rsidR="007C40DD" w:rsidRPr="009D2EB8">
        <w:rPr>
          <w:rFonts w:ascii="Times New Roman" w:eastAsia="Calibri" w:hAnsi="Times New Roman" w:cs="Times New Roman"/>
          <w:noProof/>
          <w:sz w:val="24"/>
          <w:szCs w:val="24"/>
        </w:rPr>
        <w:t xml:space="preserve"> stacionet e Durrësit dhe Elba</w:t>
      </w:r>
      <w:r w:rsidR="00696006" w:rsidRPr="009D2EB8">
        <w:rPr>
          <w:rFonts w:ascii="Times New Roman" w:eastAsia="Calibri" w:hAnsi="Times New Roman" w:cs="Times New Roman"/>
          <w:noProof/>
          <w:sz w:val="24"/>
          <w:szCs w:val="24"/>
        </w:rPr>
        <w:t xml:space="preserve">sani. </w:t>
      </w:r>
    </w:p>
    <w:p w:rsidR="004E3CAD" w:rsidRPr="009D2EB8" w:rsidRDefault="00696006" w:rsidP="004E3CAD">
      <w:pPr>
        <w:spacing w:after="0" w:line="240" w:lineRule="auto"/>
        <w:jc w:val="both"/>
        <w:rPr>
          <w:rFonts w:ascii="Times New Roman" w:eastAsia="Calibri" w:hAnsi="Times New Roman" w:cs="Times New Roman"/>
          <w:sz w:val="24"/>
          <w:szCs w:val="24"/>
        </w:rPr>
      </w:pPr>
      <w:r w:rsidRPr="009D2EB8">
        <w:rPr>
          <w:rFonts w:ascii="Times New Roman" w:eastAsia="Calibri" w:hAnsi="Times New Roman" w:cs="Times New Roman"/>
          <w:noProof/>
          <w:sz w:val="24"/>
          <w:szCs w:val="24"/>
        </w:rPr>
        <w:t xml:space="preserve">Në  stacionin e Fierit </w:t>
      </w:r>
      <w:r w:rsidR="007C40DD" w:rsidRPr="009D2EB8">
        <w:rPr>
          <w:rFonts w:ascii="Times New Roman" w:eastAsia="Calibri" w:hAnsi="Times New Roman" w:cs="Times New Roman"/>
          <w:noProof/>
          <w:sz w:val="24"/>
          <w:szCs w:val="24"/>
        </w:rPr>
        <w:t xml:space="preserve"> kemi tejkalim të normës 8 orare  </w:t>
      </w:r>
      <w:r w:rsidR="002C4833" w:rsidRPr="009D2EB8">
        <w:rPr>
          <w:rFonts w:ascii="Times New Roman" w:eastAsia="Calibri" w:hAnsi="Times New Roman" w:cs="Times New Roman"/>
          <w:noProof/>
          <w:sz w:val="24"/>
          <w:szCs w:val="24"/>
        </w:rPr>
        <w:t>te O</w:t>
      </w:r>
      <w:r w:rsidR="002C4833" w:rsidRPr="00827023">
        <w:rPr>
          <w:rFonts w:ascii="Times New Roman" w:eastAsia="Calibri" w:hAnsi="Times New Roman" w:cs="Times New Roman"/>
          <w:noProof/>
          <w:sz w:val="24"/>
          <w:szCs w:val="24"/>
          <w:vertAlign w:val="subscript"/>
        </w:rPr>
        <w:t>3</w:t>
      </w:r>
      <w:r w:rsidR="002C4833" w:rsidRPr="009D2EB8">
        <w:rPr>
          <w:rFonts w:ascii="Times New Roman" w:eastAsia="Calibri" w:hAnsi="Times New Roman" w:cs="Times New Roman"/>
          <w:noProof/>
          <w:sz w:val="24"/>
          <w:szCs w:val="24"/>
        </w:rPr>
        <w:t xml:space="preserve"> </w:t>
      </w:r>
      <w:r w:rsidR="007C40DD" w:rsidRPr="009D2EB8">
        <w:rPr>
          <w:rFonts w:ascii="Times New Roman" w:eastAsia="Calibri" w:hAnsi="Times New Roman" w:cs="Times New Roman"/>
          <w:noProof/>
          <w:sz w:val="24"/>
          <w:szCs w:val="24"/>
        </w:rPr>
        <w:t xml:space="preserve">dhe vlera më e lartë është 156.34 µg/m³ dhe është regjistruar  më datën 14.10.2025. </w:t>
      </w:r>
      <w:r w:rsidR="007C40DD" w:rsidRPr="009D2EB8">
        <w:rPr>
          <w:rFonts w:ascii="Times New Roman" w:eastAsia="Calibri" w:hAnsi="Times New Roman" w:cs="Times New Roman"/>
          <w:sz w:val="24"/>
          <w:szCs w:val="24"/>
        </w:rPr>
        <w:t xml:space="preserve"> </w:t>
      </w:r>
    </w:p>
    <w:p w:rsidR="004E3CAD" w:rsidRDefault="004E3CAD" w:rsidP="004E3CAD">
      <w:pPr>
        <w:spacing w:after="0" w:line="240" w:lineRule="auto"/>
        <w:jc w:val="both"/>
        <w:rPr>
          <w:rFonts w:ascii="Times New Roman" w:eastAsia="Calibri" w:hAnsi="Times New Roman" w:cs="Times New Roman"/>
          <w:sz w:val="24"/>
          <w:szCs w:val="24"/>
        </w:rPr>
      </w:pPr>
    </w:p>
    <w:p w:rsidR="007C40DD" w:rsidRPr="00751ECE" w:rsidRDefault="00764B7A" w:rsidP="004E3CA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Në stacionin e Korçës</w:t>
      </w:r>
      <w:r w:rsidR="007C40DD" w:rsidRPr="007C40DD">
        <w:rPr>
          <w:rFonts w:ascii="Times New Roman" w:eastAsia="Calibri" w:hAnsi="Times New Roman" w:cs="Times New Roman"/>
          <w:sz w:val="24"/>
          <w:szCs w:val="24"/>
        </w:rPr>
        <w:t xml:space="preserve"> k</w:t>
      </w:r>
      <w:r>
        <w:rPr>
          <w:rFonts w:ascii="Times New Roman" w:eastAsia="Calibri" w:hAnsi="Times New Roman" w:cs="Times New Roman"/>
          <w:sz w:val="24"/>
          <w:szCs w:val="24"/>
        </w:rPr>
        <w:t>emi tejkalim të normës 8 orare ku vlera</w:t>
      </w:r>
      <w:r w:rsidR="007C40DD" w:rsidRPr="007C40DD">
        <w:rPr>
          <w:rFonts w:ascii="Times New Roman" w:eastAsia="Calibri" w:hAnsi="Times New Roman" w:cs="Times New Roman"/>
          <w:sz w:val="24"/>
          <w:szCs w:val="24"/>
        </w:rPr>
        <w:t xml:space="preserve"> është 125.54 µg/m³ dhe është regjistruar në datën 21.10.2025. Në stacion</w:t>
      </w:r>
      <w:r w:rsidR="00F94ED4">
        <w:rPr>
          <w:rFonts w:ascii="Times New Roman" w:eastAsia="Calibri" w:hAnsi="Times New Roman" w:cs="Times New Roman"/>
          <w:sz w:val="24"/>
          <w:szCs w:val="24"/>
        </w:rPr>
        <w:t>in e Shkodrës</w:t>
      </w:r>
      <w:r w:rsidR="007C40DD" w:rsidRPr="007C40DD">
        <w:rPr>
          <w:rFonts w:ascii="Times New Roman" w:eastAsia="Calibri" w:hAnsi="Times New Roman" w:cs="Times New Roman"/>
          <w:sz w:val="24"/>
          <w:szCs w:val="24"/>
        </w:rPr>
        <w:t xml:space="preserve"> kemi tejkalim të normës 8 orare, vlera më e lartë është 129</w:t>
      </w:r>
      <w:r>
        <w:rPr>
          <w:rFonts w:ascii="Times New Roman" w:eastAsia="Calibri" w:hAnsi="Times New Roman" w:cs="Times New Roman"/>
          <w:sz w:val="24"/>
          <w:szCs w:val="24"/>
        </w:rPr>
        <w:t>.19 µg/m³ dhe është regjistruar</w:t>
      </w:r>
      <w:r w:rsidR="007C40DD" w:rsidRPr="007C40DD">
        <w:rPr>
          <w:rFonts w:ascii="Times New Roman" w:eastAsia="Calibri" w:hAnsi="Times New Roman" w:cs="Times New Roman"/>
          <w:sz w:val="24"/>
          <w:szCs w:val="24"/>
        </w:rPr>
        <w:t xml:space="preserve"> në datën 12.08.2025.</w:t>
      </w:r>
      <w:r w:rsidR="007C40DD" w:rsidRPr="007C40DD">
        <w:rPr>
          <w:rFonts w:ascii="Times New Roman" w:hAnsi="Times New Roman" w:cs="Times New Roman"/>
          <w:sz w:val="24"/>
          <w:szCs w:val="24"/>
        </w:rPr>
        <w:t xml:space="preserve"> </w:t>
      </w:r>
      <w:r w:rsidR="007C40DD" w:rsidRPr="007C40DD">
        <w:rPr>
          <w:rFonts w:ascii="Times New Roman" w:eastAsia="Calibri" w:hAnsi="Times New Roman" w:cs="Times New Roman"/>
          <w:sz w:val="24"/>
          <w:szCs w:val="24"/>
        </w:rPr>
        <w:t>Në stacionin Tirana Higjena kemi tejkalim të normës 8 orare</w:t>
      </w:r>
      <w:r w:rsidR="006A278D">
        <w:rPr>
          <w:rFonts w:ascii="Times New Roman" w:eastAsia="Calibri" w:hAnsi="Times New Roman" w:cs="Times New Roman"/>
          <w:sz w:val="24"/>
          <w:szCs w:val="24"/>
        </w:rPr>
        <w:t xml:space="preserve"> ku </w:t>
      </w:r>
      <w:r w:rsidR="007C40DD" w:rsidRPr="007C40DD">
        <w:rPr>
          <w:rFonts w:ascii="Times New Roman" w:eastAsia="Calibri" w:hAnsi="Times New Roman" w:cs="Times New Roman"/>
          <w:sz w:val="24"/>
          <w:szCs w:val="24"/>
        </w:rPr>
        <w:t xml:space="preserve"> vlera më e lartë është 1</w:t>
      </w:r>
      <w:r>
        <w:rPr>
          <w:rFonts w:ascii="Times New Roman" w:eastAsia="Calibri" w:hAnsi="Times New Roman" w:cs="Times New Roman"/>
          <w:sz w:val="24"/>
          <w:szCs w:val="24"/>
        </w:rPr>
        <w:t xml:space="preserve">25.5µg/m³ dhe është </w:t>
      </w:r>
      <w:r>
        <w:rPr>
          <w:rFonts w:ascii="Times New Roman" w:eastAsia="Calibri" w:hAnsi="Times New Roman" w:cs="Times New Roman"/>
          <w:sz w:val="24"/>
          <w:szCs w:val="24"/>
        </w:rPr>
        <w:lastRenderedPageBreak/>
        <w:t>regjistruar</w:t>
      </w:r>
      <w:r w:rsidR="007C40DD" w:rsidRPr="007C40DD">
        <w:rPr>
          <w:rFonts w:ascii="Times New Roman" w:eastAsia="Calibri" w:hAnsi="Times New Roman" w:cs="Times New Roman"/>
          <w:sz w:val="24"/>
          <w:szCs w:val="24"/>
        </w:rPr>
        <w:t xml:space="preserve"> në datën 19.08.2025.</w:t>
      </w:r>
      <w:r>
        <w:rPr>
          <w:rFonts w:ascii="Times New Roman" w:eastAsia="Calibri" w:hAnsi="Times New Roman" w:cs="Times New Roman"/>
          <w:sz w:val="24"/>
          <w:szCs w:val="24"/>
        </w:rPr>
        <w:t xml:space="preserve"> </w:t>
      </w:r>
      <w:r w:rsidR="007C40DD" w:rsidRPr="007C40DD">
        <w:rPr>
          <w:rFonts w:ascii="Times New Roman" w:eastAsia="Calibri" w:hAnsi="Times New Roman" w:cs="Times New Roman"/>
          <w:sz w:val="24"/>
          <w:szCs w:val="24"/>
        </w:rPr>
        <w:t xml:space="preserve">Në stacionin e Tirana Mobile </w:t>
      </w:r>
      <w:r w:rsidR="007C40DD" w:rsidRPr="007C40DD">
        <w:rPr>
          <w:rFonts w:ascii="Times New Roman" w:hAnsi="Times New Roman" w:cs="Times New Roman"/>
          <w:sz w:val="24"/>
          <w:szCs w:val="24"/>
        </w:rPr>
        <w:t>ke</w:t>
      </w:r>
      <w:r>
        <w:rPr>
          <w:rFonts w:ascii="Times New Roman" w:hAnsi="Times New Roman" w:cs="Times New Roman"/>
          <w:sz w:val="24"/>
          <w:szCs w:val="24"/>
        </w:rPr>
        <w:t>mi tejkalim të normës 8 orare t</w:t>
      </w:r>
      <w:r>
        <w:rPr>
          <w:rFonts w:ascii="Times New Roman" w:hAnsi="Times New Roman"/>
          <w:sz w:val="24"/>
          <w:szCs w:val="24"/>
        </w:rPr>
        <w:t>ë</w:t>
      </w:r>
      <w:r w:rsidR="007C40DD" w:rsidRPr="007C40DD">
        <w:rPr>
          <w:rFonts w:ascii="Times New Roman" w:hAnsi="Times New Roman" w:cs="Times New Roman"/>
          <w:sz w:val="24"/>
          <w:szCs w:val="24"/>
        </w:rPr>
        <w:t xml:space="preserve"> O</w:t>
      </w:r>
      <w:r w:rsidR="007C40DD" w:rsidRPr="00827023">
        <w:rPr>
          <w:rFonts w:ascii="Times New Roman" w:hAnsi="Times New Roman" w:cs="Times New Roman"/>
          <w:sz w:val="24"/>
          <w:szCs w:val="24"/>
          <w:vertAlign w:val="subscript"/>
        </w:rPr>
        <w:t>3</w:t>
      </w:r>
      <w:r w:rsidR="006A278D">
        <w:rPr>
          <w:rFonts w:ascii="Times New Roman" w:hAnsi="Times New Roman" w:cs="Times New Roman"/>
          <w:sz w:val="24"/>
          <w:szCs w:val="24"/>
        </w:rPr>
        <w:t xml:space="preserve"> ku </w:t>
      </w:r>
      <w:r w:rsidR="007C40DD" w:rsidRPr="007C40DD">
        <w:rPr>
          <w:rFonts w:ascii="Times New Roman" w:hAnsi="Times New Roman" w:cs="Times New Roman"/>
          <w:sz w:val="24"/>
          <w:szCs w:val="24"/>
        </w:rPr>
        <w:t>vlera më e lartë është 13</w:t>
      </w:r>
      <w:r w:rsidR="00F94ED4">
        <w:rPr>
          <w:rFonts w:ascii="Times New Roman" w:hAnsi="Times New Roman" w:cs="Times New Roman"/>
          <w:sz w:val="24"/>
          <w:szCs w:val="24"/>
        </w:rPr>
        <w:t>3.8 µg/m³</w:t>
      </w:r>
      <w:r w:rsidR="006A278D">
        <w:rPr>
          <w:rFonts w:ascii="Times New Roman" w:hAnsi="Times New Roman" w:cs="Times New Roman"/>
          <w:sz w:val="24"/>
          <w:szCs w:val="24"/>
        </w:rPr>
        <w:t xml:space="preserve"> e </w:t>
      </w:r>
      <w:r>
        <w:rPr>
          <w:rFonts w:ascii="Times New Roman" w:hAnsi="Times New Roman" w:cs="Times New Roman"/>
          <w:sz w:val="24"/>
          <w:szCs w:val="24"/>
        </w:rPr>
        <w:t xml:space="preserve"> regjistruar</w:t>
      </w:r>
      <w:r w:rsidR="007C40DD" w:rsidRPr="007C40DD">
        <w:rPr>
          <w:rFonts w:ascii="Times New Roman" w:hAnsi="Times New Roman" w:cs="Times New Roman"/>
          <w:sz w:val="24"/>
          <w:szCs w:val="24"/>
        </w:rPr>
        <w:t xml:space="preserve"> në datën 15.08.2025.    </w:t>
      </w:r>
    </w:p>
    <w:p w:rsidR="004E3CAD" w:rsidRDefault="007C40DD" w:rsidP="007C40DD">
      <w:pPr>
        <w:rPr>
          <w:rFonts w:ascii="Times New Roman" w:hAnsi="Times New Roman" w:cs="Times New Roman"/>
          <w:b/>
          <w:sz w:val="24"/>
          <w:szCs w:val="24"/>
        </w:rPr>
      </w:pPr>
      <w:r w:rsidRPr="007C40DD">
        <w:rPr>
          <w:rFonts w:ascii="Times New Roman" w:hAnsi="Times New Roman" w:cs="Times New Roman"/>
          <w:b/>
          <w:sz w:val="24"/>
          <w:szCs w:val="24"/>
        </w:rPr>
        <w:t xml:space="preserve"> </w:t>
      </w:r>
    </w:p>
    <w:p w:rsidR="007C40DD" w:rsidRPr="007C40DD" w:rsidRDefault="007C40DD" w:rsidP="007C40DD">
      <w:pPr>
        <w:rPr>
          <w:rFonts w:ascii="Times New Roman" w:hAnsi="Times New Roman" w:cs="Times New Roman"/>
          <w:b/>
          <w:sz w:val="24"/>
          <w:szCs w:val="24"/>
        </w:rPr>
      </w:pPr>
      <w:r w:rsidRPr="007C40DD">
        <w:rPr>
          <w:rFonts w:ascii="Times New Roman" w:hAnsi="Times New Roman" w:cs="Times New Roman"/>
          <w:b/>
          <w:sz w:val="24"/>
          <w:szCs w:val="24"/>
        </w:rPr>
        <w:t>CO (monoksidi i karbonit)</w:t>
      </w:r>
    </w:p>
    <w:p w:rsidR="007C40DD" w:rsidRPr="007C40DD" w:rsidRDefault="007C40DD" w:rsidP="00827023">
      <w:pPr>
        <w:jc w:val="both"/>
        <w:rPr>
          <w:rFonts w:ascii="Times New Roman" w:hAnsi="Times New Roman" w:cs="Times New Roman"/>
          <w:sz w:val="24"/>
          <w:szCs w:val="24"/>
        </w:rPr>
      </w:pPr>
      <w:r w:rsidRPr="007C40DD">
        <w:rPr>
          <w:rFonts w:ascii="Times New Roman" w:hAnsi="Times New Roman" w:cs="Times New Roman"/>
          <w:sz w:val="24"/>
          <w:szCs w:val="24"/>
        </w:rPr>
        <w:t>Monoksidi i karbonit (CO) em</w:t>
      </w:r>
      <w:r w:rsidR="00F94ED4">
        <w:rPr>
          <w:rFonts w:ascii="Times New Roman" w:hAnsi="Times New Roman" w:cs="Times New Roman"/>
          <w:sz w:val="24"/>
          <w:szCs w:val="24"/>
        </w:rPr>
        <w:t>ëtohet në atmosferë për shkak</w:t>
      </w:r>
      <w:r w:rsidRPr="007C40DD">
        <w:rPr>
          <w:rFonts w:ascii="Times New Roman" w:hAnsi="Times New Roman" w:cs="Times New Roman"/>
          <w:sz w:val="24"/>
          <w:szCs w:val="24"/>
        </w:rPr>
        <w:t xml:space="preserve"> të djegies jo të plotë të </w:t>
      </w:r>
      <w:r w:rsidR="00764B7A">
        <w:rPr>
          <w:rFonts w:ascii="Times New Roman" w:hAnsi="Times New Roman" w:cs="Times New Roman"/>
          <w:sz w:val="24"/>
          <w:szCs w:val="24"/>
        </w:rPr>
        <w:t>l</w:t>
      </w:r>
      <w:r w:rsidR="00F94ED4">
        <w:rPr>
          <w:rFonts w:ascii="Times New Roman" w:hAnsi="Times New Roman" w:cs="Times New Roman"/>
          <w:sz w:val="24"/>
          <w:szCs w:val="24"/>
        </w:rPr>
        <w:t>ë</w:t>
      </w:r>
      <w:r w:rsidR="00764B7A">
        <w:rPr>
          <w:rFonts w:ascii="Times New Roman" w:hAnsi="Times New Roman" w:cs="Times New Roman"/>
          <w:sz w:val="24"/>
          <w:szCs w:val="24"/>
        </w:rPr>
        <w:t>ndës djegëse. Burimet</w:t>
      </w:r>
      <w:r w:rsidRPr="007C40DD">
        <w:rPr>
          <w:rFonts w:ascii="Times New Roman" w:hAnsi="Times New Roman" w:cs="Times New Roman"/>
          <w:sz w:val="24"/>
          <w:szCs w:val="24"/>
        </w:rPr>
        <w:t xml:space="preserve"> kryesor të shkarkimit të CO në ajër janë transporti rrugor, bisnesi, shtëpite dhe industria. </w:t>
      </w:r>
    </w:p>
    <w:p w:rsidR="007C40DD" w:rsidRPr="007C40DD" w:rsidRDefault="007C40DD" w:rsidP="007C40DD">
      <w:pPr>
        <w:rPr>
          <w:rFonts w:ascii="Times New Roman" w:hAnsi="Times New Roman" w:cs="Times New Roman"/>
          <w:sz w:val="24"/>
          <w:szCs w:val="24"/>
        </w:rPr>
      </w:pPr>
      <w:r w:rsidRPr="007C40DD">
        <w:rPr>
          <w:rFonts w:ascii="Times New Roman" w:hAnsi="Times New Roman" w:cs="Times New Roman"/>
          <w:sz w:val="24"/>
          <w:szCs w:val="24"/>
        </w:rPr>
        <w:t>Monoksidi i karbonit (CO)  është një ndotës që në nivele të larta mund të shkaktojë probleme në zemër dhe të dëmtojë sistemin nervor. Gjithashtu mund të shkaktojë dhimbje koke,</w:t>
      </w:r>
      <w:r w:rsidR="00696006">
        <w:rPr>
          <w:rFonts w:ascii="Times New Roman" w:hAnsi="Times New Roman" w:cs="Times New Roman"/>
          <w:sz w:val="24"/>
          <w:szCs w:val="24"/>
        </w:rPr>
        <w:t xml:space="preserve"> </w:t>
      </w:r>
      <w:r w:rsidRPr="007C40DD">
        <w:rPr>
          <w:rFonts w:ascii="Times New Roman" w:hAnsi="Times New Roman" w:cs="Times New Roman"/>
          <w:sz w:val="24"/>
          <w:szCs w:val="24"/>
        </w:rPr>
        <w:t>marramëndje dhe lodhje.</w:t>
      </w:r>
    </w:p>
    <w:p w:rsidR="007C40DD" w:rsidRPr="004E3CAD" w:rsidRDefault="00822E13" w:rsidP="00807975">
      <w:pPr>
        <w:numPr>
          <w:ilvl w:val="0"/>
          <w:numId w:val="29"/>
        </w:numPr>
        <w:contextualSpacing/>
        <w:rPr>
          <w:rFonts w:ascii="Times New Roman" w:hAnsi="Times New Roman" w:cs="Times New Roman"/>
          <w:b/>
          <w:sz w:val="24"/>
          <w:szCs w:val="24"/>
        </w:rPr>
      </w:pPr>
      <w:r w:rsidRPr="004E3CAD">
        <w:rPr>
          <w:rFonts w:ascii="Times New Roman" w:hAnsi="Times New Roman" w:cs="Times New Roman"/>
          <w:b/>
          <w:sz w:val="24"/>
          <w:szCs w:val="24"/>
        </w:rPr>
        <w:t>Vlerësimi i</w:t>
      </w:r>
      <w:r w:rsidR="007C40DD" w:rsidRPr="004E3CAD">
        <w:rPr>
          <w:rFonts w:ascii="Times New Roman" w:hAnsi="Times New Roman" w:cs="Times New Roman"/>
          <w:b/>
          <w:sz w:val="24"/>
          <w:szCs w:val="24"/>
        </w:rPr>
        <w:t xml:space="preserve"> cilësisë së ajrit për CO (monoksidi i karbonit)</w:t>
      </w:r>
    </w:p>
    <w:p w:rsidR="00751ECE" w:rsidRPr="007C40DD" w:rsidRDefault="00751ECE" w:rsidP="00751ECE">
      <w:pPr>
        <w:ind w:left="720"/>
        <w:contextualSpacing/>
        <w:rPr>
          <w:rFonts w:ascii="Times New Roman" w:hAnsi="Times New Roman" w:cs="Times New Roman"/>
          <w:sz w:val="24"/>
          <w:szCs w:val="24"/>
        </w:rPr>
      </w:pPr>
    </w:p>
    <w:p w:rsidR="007C40DD" w:rsidRPr="007C40DD" w:rsidRDefault="007C40DD" w:rsidP="007C40DD">
      <w:pPr>
        <w:rPr>
          <w:rFonts w:ascii="Times New Roman" w:hAnsi="Times New Roman" w:cs="Times New Roman"/>
          <w:sz w:val="24"/>
          <w:szCs w:val="24"/>
        </w:rPr>
      </w:pPr>
      <w:r w:rsidRPr="007C40DD">
        <w:rPr>
          <w:rFonts w:ascii="Times New Roman" w:hAnsi="Times New Roman" w:cs="Times New Roman"/>
          <w:noProof/>
          <w:sz w:val="24"/>
          <w:szCs w:val="24"/>
        </w:rPr>
        <w:drawing>
          <wp:inline distT="0" distB="0" distL="0" distR="0" wp14:anchorId="014CC3BA" wp14:editId="78FD7043">
            <wp:extent cx="5511165" cy="2400300"/>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11165" cy="2400300"/>
                    </a:xfrm>
                    <a:prstGeom prst="rect">
                      <a:avLst/>
                    </a:prstGeom>
                    <a:noFill/>
                  </pic:spPr>
                </pic:pic>
              </a:graphicData>
            </a:graphic>
          </wp:inline>
        </w:drawing>
      </w:r>
    </w:p>
    <w:p w:rsidR="007C40DD" w:rsidRPr="009D2EB8" w:rsidRDefault="007C40DD" w:rsidP="004E3CAD">
      <w:pPr>
        <w:jc w:val="both"/>
        <w:rPr>
          <w:rFonts w:ascii="Times New Roman" w:hAnsi="Times New Roman" w:cs="Times New Roman"/>
          <w:sz w:val="24"/>
          <w:szCs w:val="24"/>
        </w:rPr>
      </w:pPr>
      <w:r w:rsidRPr="007C40DD">
        <w:rPr>
          <w:rFonts w:ascii="Times New Roman" w:hAnsi="Times New Roman" w:cs="Times New Roman"/>
          <w:sz w:val="24"/>
          <w:szCs w:val="24"/>
        </w:rPr>
        <w:t xml:space="preserve">Monitorimi i CO është realizur </w:t>
      </w:r>
      <w:r w:rsidRPr="009D2EB8">
        <w:rPr>
          <w:rFonts w:ascii="Times New Roman" w:hAnsi="Times New Roman" w:cs="Times New Roman"/>
          <w:sz w:val="24"/>
          <w:szCs w:val="24"/>
        </w:rPr>
        <w:t>në stacionet e Durrësit,</w:t>
      </w:r>
      <w:r w:rsidR="004E3CAD" w:rsidRPr="009D2EB8">
        <w:rPr>
          <w:rFonts w:ascii="Times New Roman" w:hAnsi="Times New Roman" w:cs="Times New Roman"/>
          <w:sz w:val="24"/>
          <w:szCs w:val="24"/>
        </w:rPr>
        <w:t xml:space="preserve"> </w:t>
      </w:r>
      <w:r w:rsidRPr="009D2EB8">
        <w:rPr>
          <w:rFonts w:ascii="Times New Roman" w:hAnsi="Times New Roman" w:cs="Times New Roman"/>
          <w:sz w:val="24"/>
          <w:szCs w:val="24"/>
        </w:rPr>
        <w:t>Elbasanit,</w:t>
      </w:r>
      <w:r w:rsidR="004E3CAD" w:rsidRPr="009D2EB8">
        <w:rPr>
          <w:rFonts w:ascii="Times New Roman" w:hAnsi="Times New Roman" w:cs="Times New Roman"/>
          <w:sz w:val="24"/>
          <w:szCs w:val="24"/>
        </w:rPr>
        <w:t xml:space="preserve"> </w:t>
      </w:r>
      <w:r w:rsidRPr="009D2EB8">
        <w:rPr>
          <w:rFonts w:ascii="Times New Roman" w:hAnsi="Times New Roman" w:cs="Times New Roman"/>
          <w:sz w:val="24"/>
          <w:szCs w:val="24"/>
        </w:rPr>
        <w:t>Fierit,</w:t>
      </w:r>
      <w:r w:rsidR="004E3CAD" w:rsidRPr="009D2EB8">
        <w:rPr>
          <w:rFonts w:ascii="Times New Roman" w:hAnsi="Times New Roman" w:cs="Times New Roman"/>
          <w:sz w:val="24"/>
          <w:szCs w:val="24"/>
        </w:rPr>
        <w:t xml:space="preserve"> </w:t>
      </w:r>
      <w:r w:rsidRPr="009D2EB8">
        <w:rPr>
          <w:rFonts w:ascii="Times New Roman" w:hAnsi="Times New Roman" w:cs="Times New Roman"/>
          <w:sz w:val="24"/>
          <w:szCs w:val="24"/>
        </w:rPr>
        <w:t>Korçës,</w:t>
      </w:r>
      <w:r w:rsidR="004E3CAD" w:rsidRPr="009D2EB8">
        <w:rPr>
          <w:rFonts w:ascii="Times New Roman" w:hAnsi="Times New Roman" w:cs="Times New Roman"/>
          <w:sz w:val="24"/>
          <w:szCs w:val="24"/>
        </w:rPr>
        <w:t xml:space="preserve"> </w:t>
      </w:r>
      <w:r w:rsidRPr="009D2EB8">
        <w:rPr>
          <w:rFonts w:ascii="Times New Roman" w:hAnsi="Times New Roman" w:cs="Times New Roman"/>
          <w:sz w:val="24"/>
          <w:szCs w:val="24"/>
        </w:rPr>
        <w:t>Shkodrës,</w:t>
      </w:r>
      <w:r w:rsidR="004E3CAD" w:rsidRPr="009D2EB8">
        <w:rPr>
          <w:rFonts w:ascii="Times New Roman" w:hAnsi="Times New Roman" w:cs="Times New Roman"/>
          <w:sz w:val="24"/>
          <w:szCs w:val="24"/>
        </w:rPr>
        <w:t xml:space="preserve"> </w:t>
      </w:r>
      <w:r w:rsidRPr="009D2EB8">
        <w:rPr>
          <w:rFonts w:ascii="Times New Roman" w:hAnsi="Times New Roman" w:cs="Times New Roman"/>
          <w:sz w:val="24"/>
          <w:szCs w:val="24"/>
        </w:rPr>
        <w:t>Tirana Higjena dhe Tirana Mobile.</w:t>
      </w:r>
      <w:r w:rsidR="002C4833" w:rsidRPr="009D2EB8">
        <w:t xml:space="preserve"> </w:t>
      </w:r>
      <w:r w:rsidR="002C4833" w:rsidRPr="009D2EB8">
        <w:rPr>
          <w:rFonts w:ascii="Times New Roman" w:hAnsi="Times New Roman" w:cs="Times New Roman"/>
          <w:sz w:val="24"/>
          <w:szCs w:val="24"/>
        </w:rPr>
        <w:t>Bazuar n</w:t>
      </w:r>
      <w:r w:rsidR="006A278D" w:rsidRPr="009D2EB8">
        <w:rPr>
          <w:rFonts w:ascii="Times New Roman" w:hAnsi="Times New Roman" w:cs="Times New Roman"/>
          <w:sz w:val="24"/>
          <w:szCs w:val="24"/>
        </w:rPr>
        <w:t>ë</w:t>
      </w:r>
      <w:r w:rsidR="002C4833" w:rsidRPr="009D2EB8">
        <w:rPr>
          <w:rFonts w:ascii="Times New Roman" w:hAnsi="Times New Roman" w:cs="Times New Roman"/>
          <w:sz w:val="24"/>
          <w:szCs w:val="24"/>
        </w:rPr>
        <w:t xml:space="preserve"> mesataret e vlerave p</w:t>
      </w:r>
      <w:r w:rsidR="006A278D" w:rsidRPr="009D2EB8">
        <w:rPr>
          <w:rFonts w:ascii="Times New Roman" w:hAnsi="Times New Roman" w:cs="Times New Roman"/>
          <w:sz w:val="24"/>
          <w:szCs w:val="24"/>
        </w:rPr>
        <w:t>ë</w:t>
      </w:r>
      <w:r w:rsidR="002C4833" w:rsidRPr="009D2EB8">
        <w:rPr>
          <w:rFonts w:ascii="Times New Roman" w:hAnsi="Times New Roman" w:cs="Times New Roman"/>
          <w:sz w:val="24"/>
          <w:szCs w:val="24"/>
        </w:rPr>
        <w:t>r periudh</w:t>
      </w:r>
      <w:r w:rsidR="006A278D" w:rsidRPr="009D2EB8">
        <w:rPr>
          <w:rFonts w:ascii="Times New Roman" w:hAnsi="Times New Roman" w:cs="Times New Roman"/>
          <w:sz w:val="24"/>
          <w:szCs w:val="24"/>
        </w:rPr>
        <w:t>ë</w:t>
      </w:r>
      <w:r w:rsidR="002C4833" w:rsidRPr="009D2EB8">
        <w:rPr>
          <w:rFonts w:ascii="Times New Roman" w:hAnsi="Times New Roman" w:cs="Times New Roman"/>
          <w:sz w:val="24"/>
          <w:szCs w:val="24"/>
        </w:rPr>
        <w:t>n Korrik</w:t>
      </w:r>
      <w:r w:rsidR="009D2EB8" w:rsidRPr="009D2EB8">
        <w:rPr>
          <w:rFonts w:ascii="Times New Roman" w:hAnsi="Times New Roman" w:cs="Times New Roman"/>
          <w:sz w:val="24"/>
          <w:szCs w:val="24"/>
        </w:rPr>
        <w:t xml:space="preserve"> </w:t>
      </w:r>
      <w:r w:rsidR="006A278D" w:rsidRPr="009D2EB8">
        <w:rPr>
          <w:rFonts w:ascii="Times New Roman" w:hAnsi="Times New Roman" w:cs="Times New Roman"/>
          <w:sz w:val="24"/>
          <w:szCs w:val="24"/>
        </w:rPr>
        <w:t>-</w:t>
      </w:r>
      <w:r w:rsidR="009D2EB8" w:rsidRPr="009D2EB8">
        <w:rPr>
          <w:rFonts w:ascii="Times New Roman" w:hAnsi="Times New Roman" w:cs="Times New Roman"/>
          <w:sz w:val="24"/>
          <w:szCs w:val="24"/>
        </w:rPr>
        <w:t xml:space="preserve"> </w:t>
      </w:r>
      <w:r w:rsidR="002C4833" w:rsidRPr="009D2EB8">
        <w:rPr>
          <w:rFonts w:ascii="Times New Roman" w:hAnsi="Times New Roman" w:cs="Times New Roman"/>
          <w:sz w:val="24"/>
          <w:szCs w:val="24"/>
        </w:rPr>
        <w:t>Dhjetor 2025</w:t>
      </w:r>
      <w:r w:rsidR="006A278D" w:rsidRPr="009D2EB8">
        <w:rPr>
          <w:rFonts w:ascii="Times New Roman" w:hAnsi="Times New Roman" w:cs="Times New Roman"/>
          <w:sz w:val="24"/>
          <w:szCs w:val="24"/>
        </w:rPr>
        <w:t>,</w:t>
      </w:r>
      <w:r w:rsidR="002C4833" w:rsidRPr="009D2EB8">
        <w:rPr>
          <w:rFonts w:ascii="Times New Roman" w:hAnsi="Times New Roman" w:cs="Times New Roman"/>
          <w:sz w:val="24"/>
          <w:szCs w:val="24"/>
        </w:rPr>
        <w:t xml:space="preserve"> theksojm</w:t>
      </w:r>
      <w:r w:rsidR="006A278D" w:rsidRPr="009D2EB8">
        <w:rPr>
          <w:rFonts w:ascii="Times New Roman" w:hAnsi="Times New Roman" w:cs="Times New Roman"/>
          <w:sz w:val="24"/>
          <w:szCs w:val="24"/>
        </w:rPr>
        <w:t>ë</w:t>
      </w:r>
      <w:r w:rsidR="002C4833" w:rsidRPr="009D2EB8">
        <w:rPr>
          <w:rFonts w:ascii="Times New Roman" w:hAnsi="Times New Roman" w:cs="Times New Roman"/>
          <w:sz w:val="24"/>
          <w:szCs w:val="24"/>
        </w:rPr>
        <w:t xml:space="preserve"> se ndotja e ajrit nga CO n</w:t>
      </w:r>
      <w:r w:rsidR="006A278D" w:rsidRPr="009D2EB8">
        <w:rPr>
          <w:rFonts w:ascii="Times New Roman" w:hAnsi="Times New Roman" w:cs="Times New Roman"/>
          <w:sz w:val="24"/>
          <w:szCs w:val="24"/>
        </w:rPr>
        <w:t>ë</w:t>
      </w:r>
      <w:r w:rsidR="002C4833" w:rsidRPr="009D2EB8">
        <w:rPr>
          <w:rFonts w:ascii="Times New Roman" w:hAnsi="Times New Roman" w:cs="Times New Roman"/>
          <w:sz w:val="24"/>
          <w:szCs w:val="24"/>
        </w:rPr>
        <w:t xml:space="preserve"> qytetet e monitoruara nuk </w:t>
      </w:r>
      <w:r w:rsidR="006A278D" w:rsidRPr="009D2EB8">
        <w:rPr>
          <w:rFonts w:ascii="Times New Roman" w:hAnsi="Times New Roman" w:cs="Times New Roman"/>
          <w:sz w:val="24"/>
          <w:szCs w:val="24"/>
        </w:rPr>
        <w:t>ë</w:t>
      </w:r>
      <w:r w:rsidR="002C4833" w:rsidRPr="009D2EB8">
        <w:rPr>
          <w:rFonts w:ascii="Times New Roman" w:hAnsi="Times New Roman" w:cs="Times New Roman"/>
          <w:sz w:val="24"/>
          <w:szCs w:val="24"/>
        </w:rPr>
        <w:t>sht</w:t>
      </w:r>
      <w:r w:rsidR="006A278D" w:rsidRPr="009D2EB8">
        <w:rPr>
          <w:rFonts w:ascii="Times New Roman" w:hAnsi="Times New Roman" w:cs="Times New Roman"/>
          <w:sz w:val="24"/>
          <w:szCs w:val="24"/>
        </w:rPr>
        <w:t>ë</w:t>
      </w:r>
      <w:r w:rsidR="002C4833" w:rsidRPr="009D2EB8">
        <w:rPr>
          <w:rFonts w:ascii="Times New Roman" w:hAnsi="Times New Roman" w:cs="Times New Roman"/>
          <w:sz w:val="24"/>
          <w:szCs w:val="24"/>
        </w:rPr>
        <w:t xml:space="preserve"> </w:t>
      </w:r>
      <w:r w:rsidR="009D2EB8" w:rsidRPr="009D2EB8">
        <w:rPr>
          <w:rFonts w:ascii="Times New Roman" w:hAnsi="Times New Roman" w:cs="Times New Roman"/>
          <w:sz w:val="24"/>
          <w:szCs w:val="24"/>
        </w:rPr>
        <w:t>problematik.</w:t>
      </w:r>
    </w:p>
    <w:p w:rsidR="007C40DD" w:rsidRPr="009D2EB8" w:rsidRDefault="009D2EB8" w:rsidP="004E3CAD">
      <w:pPr>
        <w:jc w:val="both"/>
        <w:rPr>
          <w:rFonts w:ascii="Times New Roman" w:hAnsi="Times New Roman" w:cs="Times New Roman"/>
          <w:sz w:val="24"/>
          <w:szCs w:val="24"/>
        </w:rPr>
      </w:pPr>
      <w:r>
        <w:rPr>
          <w:rFonts w:ascii="Times New Roman" w:hAnsi="Times New Roman" w:cs="Times New Roman"/>
          <w:sz w:val="24"/>
          <w:szCs w:val="24"/>
        </w:rPr>
        <w:t>Referuar</w:t>
      </w:r>
      <w:r w:rsidR="00764B7A" w:rsidRPr="009D2EB8">
        <w:rPr>
          <w:rFonts w:ascii="Times New Roman" w:hAnsi="Times New Roman" w:cs="Times New Roman"/>
          <w:sz w:val="24"/>
          <w:szCs w:val="24"/>
        </w:rPr>
        <w:t xml:space="preserve"> </w:t>
      </w:r>
      <w:r w:rsidR="006A278D" w:rsidRPr="009D2EB8">
        <w:rPr>
          <w:rFonts w:ascii="Times New Roman" w:hAnsi="Times New Roman" w:cs="Times New Roman"/>
          <w:sz w:val="24"/>
          <w:szCs w:val="24"/>
        </w:rPr>
        <w:t>të dhëna</w:t>
      </w:r>
      <w:r>
        <w:rPr>
          <w:rFonts w:ascii="Times New Roman" w:hAnsi="Times New Roman" w:cs="Times New Roman"/>
          <w:sz w:val="24"/>
          <w:szCs w:val="24"/>
        </w:rPr>
        <w:t>ve</w:t>
      </w:r>
      <w:r w:rsidR="00764B7A" w:rsidRPr="009D2EB8">
        <w:rPr>
          <w:rFonts w:ascii="Times New Roman" w:hAnsi="Times New Roman" w:cs="Times New Roman"/>
          <w:sz w:val="24"/>
          <w:szCs w:val="24"/>
        </w:rPr>
        <w:t xml:space="preserve"> orare të CO</w:t>
      </w:r>
      <w:r w:rsidR="00F94ED4" w:rsidRPr="009D2EB8">
        <w:rPr>
          <w:rFonts w:ascii="Times New Roman" w:hAnsi="Times New Roman" w:cs="Times New Roman"/>
          <w:sz w:val="24"/>
          <w:szCs w:val="24"/>
        </w:rPr>
        <w:t xml:space="preserve"> </w:t>
      </w:r>
      <w:r w:rsidR="00764B7A" w:rsidRPr="009D2EB8">
        <w:rPr>
          <w:rFonts w:ascii="Times New Roman" w:hAnsi="Times New Roman" w:cs="Times New Roman"/>
          <w:sz w:val="24"/>
          <w:szCs w:val="24"/>
        </w:rPr>
        <w:t>krahasuar me normën 8 orare</w:t>
      </w:r>
      <w:r w:rsidR="002C4833" w:rsidRPr="009D2EB8">
        <w:rPr>
          <w:rFonts w:ascii="Times New Roman" w:hAnsi="Times New Roman" w:cs="Times New Roman"/>
          <w:sz w:val="24"/>
          <w:szCs w:val="24"/>
        </w:rPr>
        <w:t xml:space="preserve"> q</w:t>
      </w:r>
      <w:r w:rsidR="006A278D" w:rsidRPr="009D2EB8">
        <w:rPr>
          <w:rFonts w:ascii="Times New Roman" w:hAnsi="Times New Roman" w:cs="Times New Roman"/>
          <w:sz w:val="24"/>
          <w:szCs w:val="24"/>
        </w:rPr>
        <w:t>ë</w:t>
      </w:r>
      <w:r w:rsidR="002C4833" w:rsidRPr="009D2EB8">
        <w:rPr>
          <w:rFonts w:ascii="Times New Roman" w:hAnsi="Times New Roman" w:cs="Times New Roman"/>
          <w:sz w:val="24"/>
          <w:szCs w:val="24"/>
        </w:rPr>
        <w:t xml:space="preserve"> </w:t>
      </w:r>
      <w:r w:rsidR="006A278D" w:rsidRPr="009D2EB8">
        <w:rPr>
          <w:rFonts w:ascii="Times New Roman" w:hAnsi="Times New Roman" w:cs="Times New Roman"/>
          <w:sz w:val="24"/>
          <w:szCs w:val="24"/>
        </w:rPr>
        <w:t>ë</w:t>
      </w:r>
      <w:r w:rsidR="002C4833" w:rsidRPr="009D2EB8">
        <w:rPr>
          <w:rFonts w:ascii="Times New Roman" w:hAnsi="Times New Roman" w:cs="Times New Roman"/>
          <w:sz w:val="24"/>
          <w:szCs w:val="24"/>
        </w:rPr>
        <w:t>sht</w:t>
      </w:r>
      <w:r w:rsidR="006A278D" w:rsidRPr="009D2EB8">
        <w:rPr>
          <w:rFonts w:ascii="Times New Roman" w:hAnsi="Times New Roman" w:cs="Times New Roman"/>
          <w:sz w:val="24"/>
          <w:szCs w:val="24"/>
        </w:rPr>
        <w:t>ë</w:t>
      </w:r>
      <w:r w:rsidR="002C4833" w:rsidRPr="009D2EB8">
        <w:rPr>
          <w:rFonts w:ascii="Times New Roman" w:hAnsi="Times New Roman" w:cs="Times New Roman"/>
          <w:sz w:val="24"/>
          <w:szCs w:val="24"/>
        </w:rPr>
        <w:t xml:space="preserve"> 10 mg/m</w:t>
      </w:r>
      <w:r w:rsidR="002C4833" w:rsidRPr="009D2EB8">
        <w:rPr>
          <w:rFonts w:ascii="Times New Roman" w:hAnsi="Times New Roman" w:cs="Times New Roman"/>
          <w:sz w:val="24"/>
          <w:szCs w:val="24"/>
          <w:vertAlign w:val="superscript"/>
        </w:rPr>
        <w:t>3</w:t>
      </w:r>
      <w:r w:rsidRPr="009D2EB8">
        <w:rPr>
          <w:rFonts w:ascii="Times New Roman" w:hAnsi="Times New Roman" w:cs="Times New Roman"/>
          <w:sz w:val="24"/>
          <w:szCs w:val="24"/>
        </w:rPr>
        <w:t xml:space="preserve">, </w:t>
      </w:r>
      <w:r w:rsidR="002C4833" w:rsidRPr="009D2EB8">
        <w:rPr>
          <w:rFonts w:ascii="Times New Roman" w:hAnsi="Times New Roman" w:cs="Times New Roman"/>
          <w:sz w:val="24"/>
          <w:szCs w:val="24"/>
        </w:rPr>
        <w:t>vler</w:t>
      </w:r>
      <w:r w:rsidR="006A278D" w:rsidRPr="009D2EB8">
        <w:rPr>
          <w:rFonts w:ascii="Times New Roman" w:hAnsi="Times New Roman" w:cs="Times New Roman"/>
          <w:sz w:val="24"/>
          <w:szCs w:val="24"/>
        </w:rPr>
        <w:t>ë</w:t>
      </w:r>
      <w:r w:rsidR="002C4833" w:rsidRPr="009D2EB8">
        <w:rPr>
          <w:rFonts w:ascii="Times New Roman" w:hAnsi="Times New Roman" w:cs="Times New Roman"/>
          <w:sz w:val="24"/>
          <w:szCs w:val="24"/>
        </w:rPr>
        <w:t>sojm</w:t>
      </w:r>
      <w:r w:rsidR="006A278D" w:rsidRPr="009D2EB8">
        <w:rPr>
          <w:rFonts w:ascii="Times New Roman" w:hAnsi="Times New Roman" w:cs="Times New Roman"/>
          <w:sz w:val="24"/>
          <w:szCs w:val="24"/>
        </w:rPr>
        <w:t>ë</w:t>
      </w:r>
      <w:r w:rsidR="00764B7A" w:rsidRPr="009D2EB8">
        <w:rPr>
          <w:rFonts w:ascii="Times New Roman" w:hAnsi="Times New Roman" w:cs="Times New Roman"/>
          <w:sz w:val="24"/>
          <w:szCs w:val="24"/>
        </w:rPr>
        <w:t xml:space="preserve"> se kemi tejkalim vetëm në </w:t>
      </w:r>
      <w:r w:rsidR="007C40DD" w:rsidRPr="009D2EB8">
        <w:rPr>
          <w:rFonts w:ascii="Times New Roman" w:hAnsi="Times New Roman" w:cs="Times New Roman"/>
          <w:sz w:val="24"/>
          <w:szCs w:val="24"/>
        </w:rPr>
        <w:t xml:space="preserve">stacionin e Fierit ku vlera më e lartë është 10.93 mg/m³ dhe është </w:t>
      </w:r>
      <w:r w:rsidR="00016CD1" w:rsidRPr="009D2EB8">
        <w:rPr>
          <w:rFonts w:ascii="Times New Roman" w:hAnsi="Times New Roman" w:cs="Times New Roman"/>
          <w:sz w:val="24"/>
          <w:szCs w:val="24"/>
        </w:rPr>
        <w:t>regjistruar</w:t>
      </w:r>
      <w:r w:rsidR="007C40DD" w:rsidRPr="009D2EB8">
        <w:rPr>
          <w:rFonts w:ascii="Times New Roman" w:hAnsi="Times New Roman" w:cs="Times New Roman"/>
          <w:sz w:val="24"/>
          <w:szCs w:val="24"/>
        </w:rPr>
        <w:t xml:space="preserve"> në datën 05.12.2025.</w:t>
      </w:r>
      <w:r w:rsidR="00764B7A" w:rsidRPr="009D2EB8">
        <w:rPr>
          <w:rFonts w:ascii="Times New Roman" w:hAnsi="Times New Roman" w:cs="Times New Roman"/>
          <w:sz w:val="24"/>
          <w:szCs w:val="24"/>
        </w:rPr>
        <w:t xml:space="preserve"> Ndërsa në stacionin e Korçës</w:t>
      </w:r>
      <w:r w:rsidR="007C40DD" w:rsidRPr="009D2EB8">
        <w:rPr>
          <w:rFonts w:ascii="Times New Roman" w:hAnsi="Times New Roman" w:cs="Times New Roman"/>
          <w:sz w:val="24"/>
          <w:szCs w:val="24"/>
        </w:rPr>
        <w:t xml:space="preserve"> nuk kemi tejkalim të normës 8 orare, por vërejmë një rritje të ndjeshme të vlerave në muajin Dhjetor, kjo mendohe</w:t>
      </w:r>
      <w:r w:rsidR="007C666E" w:rsidRPr="009D2EB8">
        <w:rPr>
          <w:rFonts w:ascii="Times New Roman" w:hAnsi="Times New Roman" w:cs="Times New Roman"/>
          <w:sz w:val="24"/>
          <w:szCs w:val="24"/>
        </w:rPr>
        <w:t>t si rezultat i përdorimit të l</w:t>
      </w:r>
      <w:r w:rsidR="007C666E" w:rsidRPr="009D2EB8">
        <w:rPr>
          <w:rFonts w:ascii="Times New Roman" w:hAnsi="Times New Roman"/>
          <w:sz w:val="24"/>
          <w:szCs w:val="24"/>
        </w:rPr>
        <w:t>ë</w:t>
      </w:r>
      <w:r w:rsidR="007C40DD" w:rsidRPr="009D2EB8">
        <w:rPr>
          <w:rFonts w:ascii="Times New Roman" w:hAnsi="Times New Roman" w:cs="Times New Roman"/>
          <w:sz w:val="24"/>
          <w:szCs w:val="24"/>
        </w:rPr>
        <w:t xml:space="preserve">ndës djegëse fosile për ngrohje në këtë qytet. </w:t>
      </w:r>
      <w:r w:rsidR="002C4833" w:rsidRPr="009D2EB8">
        <w:rPr>
          <w:rFonts w:ascii="Times New Roman" w:hAnsi="Times New Roman" w:cs="Times New Roman"/>
          <w:sz w:val="24"/>
          <w:szCs w:val="24"/>
        </w:rPr>
        <w:t>N</w:t>
      </w:r>
      <w:r w:rsidR="006A278D" w:rsidRPr="009D2EB8">
        <w:rPr>
          <w:rFonts w:ascii="Times New Roman" w:hAnsi="Times New Roman" w:cs="Times New Roman"/>
          <w:sz w:val="24"/>
          <w:szCs w:val="24"/>
        </w:rPr>
        <w:t>ë</w:t>
      </w:r>
      <w:r w:rsidR="002C4833" w:rsidRPr="009D2EB8">
        <w:rPr>
          <w:rFonts w:ascii="Times New Roman" w:hAnsi="Times New Roman" w:cs="Times New Roman"/>
          <w:sz w:val="24"/>
          <w:szCs w:val="24"/>
        </w:rPr>
        <w:t xml:space="preserve"> stacionet e tjera nuk kemi tejkalim t</w:t>
      </w:r>
      <w:r w:rsidR="006A278D" w:rsidRPr="009D2EB8">
        <w:rPr>
          <w:rFonts w:ascii="Times New Roman" w:hAnsi="Times New Roman" w:cs="Times New Roman"/>
          <w:sz w:val="24"/>
          <w:szCs w:val="24"/>
        </w:rPr>
        <w:t>ë</w:t>
      </w:r>
      <w:r w:rsidR="002C4833" w:rsidRPr="009D2EB8">
        <w:rPr>
          <w:rFonts w:ascii="Times New Roman" w:hAnsi="Times New Roman" w:cs="Times New Roman"/>
          <w:sz w:val="24"/>
          <w:szCs w:val="24"/>
        </w:rPr>
        <w:t xml:space="preserve"> vlerave 8 orare.</w:t>
      </w:r>
    </w:p>
    <w:p w:rsidR="007C40DD" w:rsidRPr="007C40DD" w:rsidRDefault="007C40DD" w:rsidP="007C40DD">
      <w:pPr>
        <w:rPr>
          <w:rFonts w:ascii="Times New Roman" w:hAnsi="Times New Roman" w:cs="Times New Roman"/>
          <w:b/>
          <w:sz w:val="24"/>
          <w:szCs w:val="24"/>
        </w:rPr>
      </w:pPr>
      <w:r w:rsidRPr="007C40DD">
        <w:rPr>
          <w:rFonts w:ascii="Times New Roman" w:hAnsi="Times New Roman" w:cs="Times New Roman"/>
          <w:b/>
          <w:sz w:val="24"/>
          <w:szCs w:val="24"/>
        </w:rPr>
        <w:t xml:space="preserve">Benzeni </w:t>
      </w:r>
    </w:p>
    <w:p w:rsidR="007C40DD" w:rsidRPr="007C40DD" w:rsidRDefault="007C666E" w:rsidP="004E3CAD">
      <w:pPr>
        <w:jc w:val="both"/>
        <w:rPr>
          <w:rFonts w:ascii="Times New Roman" w:hAnsi="Times New Roman" w:cs="Times New Roman"/>
          <w:sz w:val="24"/>
          <w:szCs w:val="24"/>
        </w:rPr>
      </w:pPr>
      <w:r>
        <w:rPr>
          <w:rFonts w:ascii="Times New Roman" w:hAnsi="Times New Roman" w:cs="Times New Roman"/>
          <w:sz w:val="24"/>
          <w:szCs w:val="24"/>
        </w:rPr>
        <w:t>NMVOCs (</w:t>
      </w:r>
      <w:r w:rsidR="007C40DD" w:rsidRPr="007C40DD">
        <w:rPr>
          <w:rFonts w:ascii="Times New Roman" w:hAnsi="Times New Roman" w:cs="Times New Roman"/>
          <w:sz w:val="24"/>
          <w:szCs w:val="24"/>
        </w:rPr>
        <w:t>Komponimet volatile organike pa metan) prodhojnë oksidant fotok</w:t>
      </w:r>
      <w:r w:rsidR="00016CD1">
        <w:rPr>
          <w:rFonts w:ascii="Times New Roman" w:hAnsi="Times New Roman" w:cs="Times New Roman"/>
          <w:sz w:val="24"/>
          <w:szCs w:val="24"/>
        </w:rPr>
        <w:t>imik në reaksion me NOx, në prez</w:t>
      </w:r>
      <w:r w:rsidR="007C40DD" w:rsidRPr="007C40DD">
        <w:rPr>
          <w:rFonts w:ascii="Times New Roman" w:hAnsi="Times New Roman" w:cs="Times New Roman"/>
          <w:sz w:val="24"/>
          <w:szCs w:val="24"/>
        </w:rPr>
        <w:t>encë të rrezatimit diellor. Komponimet organike antropogjene em</w:t>
      </w:r>
      <w:r w:rsidR="00827023">
        <w:rPr>
          <w:rFonts w:ascii="Times New Roman" w:hAnsi="Times New Roman" w:cs="Times New Roman"/>
          <w:sz w:val="24"/>
          <w:szCs w:val="24"/>
        </w:rPr>
        <w:t>e</w:t>
      </w:r>
      <w:r w:rsidR="007C40DD" w:rsidRPr="007C40DD">
        <w:rPr>
          <w:rFonts w:ascii="Times New Roman" w:hAnsi="Times New Roman" w:cs="Times New Roman"/>
          <w:sz w:val="24"/>
          <w:szCs w:val="24"/>
        </w:rPr>
        <w:t>tohen nga burime të ndryshme përfshi</w:t>
      </w:r>
      <w:r>
        <w:rPr>
          <w:rFonts w:ascii="Times New Roman" w:hAnsi="Times New Roman" w:cs="Times New Roman"/>
          <w:sz w:val="24"/>
          <w:szCs w:val="24"/>
        </w:rPr>
        <w:t>r</w:t>
      </w:r>
      <w:r>
        <w:rPr>
          <w:rFonts w:ascii="Times New Roman" w:hAnsi="Times New Roman"/>
          <w:sz w:val="24"/>
          <w:szCs w:val="24"/>
        </w:rPr>
        <w:t>ë</w:t>
      </w:r>
      <w:r w:rsidR="007C40DD" w:rsidRPr="007C40DD">
        <w:rPr>
          <w:rFonts w:ascii="Times New Roman" w:hAnsi="Times New Roman" w:cs="Times New Roman"/>
          <w:sz w:val="24"/>
          <w:szCs w:val="24"/>
        </w:rPr>
        <w:t xml:space="preserve"> përdorimin e bojrave, transporti rrugor dhe përdorimi i solventëve </w:t>
      </w:r>
      <w:r w:rsidR="007C40DD" w:rsidRPr="007C40DD">
        <w:rPr>
          <w:rFonts w:ascii="Times New Roman" w:hAnsi="Times New Roman" w:cs="Times New Roman"/>
          <w:sz w:val="24"/>
          <w:szCs w:val="24"/>
        </w:rPr>
        <w:lastRenderedPageBreak/>
        <w:t xml:space="preserve">të ndryshme.   </w:t>
      </w:r>
    </w:p>
    <w:p w:rsidR="007C40DD" w:rsidRDefault="007C666E" w:rsidP="004E3CAD">
      <w:pPr>
        <w:jc w:val="both"/>
        <w:rPr>
          <w:rFonts w:ascii="Times New Roman" w:hAnsi="Times New Roman" w:cs="Times New Roman"/>
          <w:sz w:val="24"/>
          <w:szCs w:val="24"/>
        </w:rPr>
      </w:pPr>
      <w:r>
        <w:rPr>
          <w:rFonts w:ascii="Times New Roman" w:hAnsi="Times New Roman" w:cs="Times New Roman"/>
          <w:sz w:val="24"/>
          <w:szCs w:val="24"/>
        </w:rPr>
        <w:t>NMVOCs përfshijn</w:t>
      </w:r>
      <w:r>
        <w:rPr>
          <w:rFonts w:ascii="Times New Roman" w:hAnsi="Times New Roman"/>
          <w:sz w:val="24"/>
          <w:szCs w:val="24"/>
        </w:rPr>
        <w:t>ë</w:t>
      </w:r>
      <w:r w:rsidR="00016CD1">
        <w:rPr>
          <w:rFonts w:ascii="Times New Roman" w:hAnsi="Times New Roman" w:cs="Times New Roman"/>
          <w:sz w:val="24"/>
          <w:szCs w:val="24"/>
        </w:rPr>
        <w:t xml:space="preserve"> kimikate të ndryshme si Benzeni</w:t>
      </w:r>
      <w:r w:rsidR="007C40DD" w:rsidRPr="007C40DD">
        <w:rPr>
          <w:rFonts w:ascii="Times New Roman" w:hAnsi="Times New Roman" w:cs="Times New Roman"/>
          <w:sz w:val="24"/>
          <w:szCs w:val="24"/>
        </w:rPr>
        <w:t xml:space="preserve"> (C</w:t>
      </w:r>
      <w:r w:rsidR="007C40DD" w:rsidRPr="00696006">
        <w:rPr>
          <w:rFonts w:ascii="Times New Roman" w:hAnsi="Times New Roman" w:cs="Times New Roman"/>
          <w:sz w:val="24"/>
          <w:szCs w:val="24"/>
          <w:vertAlign w:val="subscript"/>
        </w:rPr>
        <w:t>6</w:t>
      </w:r>
      <w:r w:rsidR="007C40DD" w:rsidRPr="007C40DD">
        <w:rPr>
          <w:rFonts w:ascii="Times New Roman" w:hAnsi="Times New Roman" w:cs="Times New Roman"/>
          <w:sz w:val="24"/>
          <w:szCs w:val="24"/>
        </w:rPr>
        <w:t>H</w:t>
      </w:r>
      <w:r w:rsidR="007C40DD" w:rsidRPr="00696006">
        <w:rPr>
          <w:rFonts w:ascii="Times New Roman" w:hAnsi="Times New Roman" w:cs="Times New Roman"/>
          <w:sz w:val="24"/>
          <w:szCs w:val="24"/>
          <w:vertAlign w:val="subscript"/>
        </w:rPr>
        <w:t>6</w:t>
      </w:r>
      <w:r w:rsidR="00016CD1">
        <w:rPr>
          <w:rFonts w:ascii="Times New Roman" w:hAnsi="Times New Roman" w:cs="Times New Roman"/>
          <w:sz w:val="24"/>
          <w:szCs w:val="24"/>
        </w:rPr>
        <w:t>) dhe 1,3 Butadieni të cilët</w:t>
      </w:r>
      <w:r w:rsidR="007C40DD" w:rsidRPr="007C40DD">
        <w:rPr>
          <w:rFonts w:ascii="Times New Roman" w:hAnsi="Times New Roman" w:cs="Times New Roman"/>
          <w:sz w:val="24"/>
          <w:szCs w:val="24"/>
        </w:rPr>
        <w:t xml:space="preserve"> rrezikojnë direkt shëndetin human, gjithashtu janë dhe pararendës të ozonit të nivelit të ulët të atmos</w:t>
      </w:r>
      <w:r w:rsidR="004E3CAD">
        <w:rPr>
          <w:rFonts w:ascii="Times New Roman" w:hAnsi="Times New Roman" w:cs="Times New Roman"/>
          <w:sz w:val="24"/>
          <w:szCs w:val="24"/>
        </w:rPr>
        <w:t>f</w:t>
      </w:r>
      <w:r w:rsidR="007C40DD" w:rsidRPr="007C40DD">
        <w:rPr>
          <w:rFonts w:ascii="Times New Roman" w:hAnsi="Times New Roman" w:cs="Times New Roman"/>
          <w:sz w:val="24"/>
          <w:szCs w:val="24"/>
        </w:rPr>
        <w:t>erës.</w:t>
      </w:r>
    </w:p>
    <w:p w:rsidR="00751ECE" w:rsidRPr="007C40DD" w:rsidRDefault="00751ECE" w:rsidP="007C40DD">
      <w:pPr>
        <w:rPr>
          <w:rFonts w:ascii="Times New Roman" w:hAnsi="Times New Roman" w:cs="Times New Roman"/>
          <w:sz w:val="24"/>
          <w:szCs w:val="24"/>
        </w:rPr>
      </w:pPr>
    </w:p>
    <w:p w:rsidR="007C40DD" w:rsidRPr="007C40DD" w:rsidRDefault="007C40DD" w:rsidP="00807975">
      <w:pPr>
        <w:numPr>
          <w:ilvl w:val="0"/>
          <w:numId w:val="29"/>
        </w:numPr>
        <w:contextualSpacing/>
        <w:rPr>
          <w:rFonts w:ascii="Times New Roman" w:hAnsi="Times New Roman" w:cs="Times New Roman"/>
          <w:sz w:val="24"/>
          <w:szCs w:val="24"/>
        </w:rPr>
      </w:pPr>
      <w:r w:rsidRPr="007C40DD">
        <w:rPr>
          <w:rFonts w:ascii="Times New Roman" w:hAnsi="Times New Roman" w:cs="Times New Roman"/>
          <w:sz w:val="24"/>
          <w:szCs w:val="24"/>
        </w:rPr>
        <w:t xml:space="preserve">Vlerësimi </w:t>
      </w:r>
      <w:r w:rsidR="00751ECE">
        <w:rPr>
          <w:rFonts w:ascii="Times New Roman" w:hAnsi="Times New Roman" w:cs="Times New Roman"/>
          <w:sz w:val="24"/>
          <w:szCs w:val="24"/>
        </w:rPr>
        <w:t>i</w:t>
      </w:r>
      <w:r w:rsidRPr="007C40DD">
        <w:rPr>
          <w:rFonts w:ascii="Times New Roman" w:hAnsi="Times New Roman" w:cs="Times New Roman"/>
          <w:sz w:val="24"/>
          <w:szCs w:val="24"/>
        </w:rPr>
        <w:t xml:space="preserve"> cilësisë së ajrit për Benzenin.</w:t>
      </w:r>
    </w:p>
    <w:p w:rsidR="007C40DD" w:rsidRPr="007C40DD" w:rsidRDefault="007C40DD" w:rsidP="007C40DD">
      <w:pPr>
        <w:rPr>
          <w:rFonts w:ascii="Times New Roman" w:hAnsi="Times New Roman" w:cs="Times New Roman"/>
          <w:sz w:val="24"/>
          <w:szCs w:val="24"/>
        </w:rPr>
      </w:pPr>
    </w:p>
    <w:p w:rsidR="007C40DD" w:rsidRPr="007C40DD" w:rsidRDefault="007C40DD" w:rsidP="007C40DD">
      <w:pPr>
        <w:rPr>
          <w:rFonts w:ascii="Times New Roman" w:hAnsi="Times New Roman" w:cs="Times New Roman"/>
          <w:sz w:val="24"/>
          <w:szCs w:val="24"/>
        </w:rPr>
      </w:pPr>
      <w:r w:rsidRPr="007C40DD">
        <w:rPr>
          <w:rFonts w:ascii="Times New Roman" w:hAnsi="Times New Roman" w:cs="Times New Roman"/>
          <w:noProof/>
          <w:sz w:val="24"/>
          <w:szCs w:val="24"/>
        </w:rPr>
        <w:drawing>
          <wp:inline distT="0" distB="0" distL="0" distR="0" wp14:anchorId="2DC8B54D" wp14:editId="07E00CB0">
            <wp:extent cx="5706110" cy="2365375"/>
            <wp:effectExtent l="0" t="0" r="889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06110" cy="2365375"/>
                    </a:xfrm>
                    <a:prstGeom prst="rect">
                      <a:avLst/>
                    </a:prstGeom>
                    <a:noFill/>
                  </pic:spPr>
                </pic:pic>
              </a:graphicData>
            </a:graphic>
          </wp:inline>
        </w:drawing>
      </w:r>
    </w:p>
    <w:p w:rsidR="007C40DD" w:rsidRPr="007C40DD" w:rsidRDefault="007C666E" w:rsidP="007C40DD">
      <w:pPr>
        <w:rPr>
          <w:rFonts w:ascii="Times New Roman" w:hAnsi="Times New Roman" w:cs="Times New Roman"/>
          <w:sz w:val="24"/>
          <w:szCs w:val="24"/>
        </w:rPr>
      </w:pPr>
      <w:r>
        <w:rPr>
          <w:rFonts w:ascii="Times New Roman" w:hAnsi="Times New Roman" w:cs="Times New Roman"/>
          <w:sz w:val="24"/>
          <w:szCs w:val="24"/>
        </w:rPr>
        <w:t>Monitorim</w:t>
      </w:r>
      <w:r w:rsidR="007C40DD" w:rsidRPr="007C40DD">
        <w:rPr>
          <w:rFonts w:ascii="Times New Roman" w:hAnsi="Times New Roman" w:cs="Times New Roman"/>
          <w:sz w:val="24"/>
          <w:szCs w:val="24"/>
        </w:rPr>
        <w:t xml:space="preserve"> i Benzenit për periudhën Korrik</w:t>
      </w:r>
      <w:r w:rsidR="00225502">
        <w:rPr>
          <w:rFonts w:ascii="Times New Roman" w:hAnsi="Times New Roman" w:cs="Times New Roman"/>
          <w:sz w:val="24"/>
          <w:szCs w:val="24"/>
        </w:rPr>
        <w:t xml:space="preserve"> </w:t>
      </w:r>
      <w:r w:rsidR="007C40DD" w:rsidRPr="007C40DD">
        <w:rPr>
          <w:rFonts w:ascii="Times New Roman" w:hAnsi="Times New Roman" w:cs="Times New Roman"/>
          <w:sz w:val="24"/>
          <w:szCs w:val="24"/>
        </w:rPr>
        <w:t>-</w:t>
      </w:r>
      <w:r w:rsidR="00225502">
        <w:rPr>
          <w:rFonts w:ascii="Times New Roman" w:hAnsi="Times New Roman" w:cs="Times New Roman"/>
          <w:sz w:val="24"/>
          <w:szCs w:val="24"/>
        </w:rPr>
        <w:t xml:space="preserve"> </w:t>
      </w:r>
      <w:r w:rsidR="007C40DD" w:rsidRPr="007C40DD">
        <w:rPr>
          <w:rFonts w:ascii="Times New Roman" w:hAnsi="Times New Roman" w:cs="Times New Roman"/>
          <w:sz w:val="24"/>
          <w:szCs w:val="24"/>
        </w:rPr>
        <w:t>Dhjetor 2025 është realizuar në stacionet e Tirana Higjena, Durrësit, Fierit, Shkodrës, Korçës dhe Elbasanit. Bazuar në të dhënat e monitoruara rezult</w:t>
      </w:r>
      <w:r>
        <w:rPr>
          <w:rFonts w:ascii="Times New Roman" w:hAnsi="Times New Roman" w:cs="Times New Roman"/>
          <w:sz w:val="24"/>
          <w:szCs w:val="24"/>
        </w:rPr>
        <w:t>on se në asnjë stacion nuk kemi</w:t>
      </w:r>
      <w:r w:rsidR="007C40DD" w:rsidRPr="007C40DD">
        <w:rPr>
          <w:rFonts w:ascii="Times New Roman" w:hAnsi="Times New Roman" w:cs="Times New Roman"/>
          <w:sz w:val="24"/>
          <w:szCs w:val="24"/>
        </w:rPr>
        <w:t xml:space="preserve"> tejkalim të vlerës mesatare për periudhën Korrik</w:t>
      </w:r>
      <w:r w:rsidR="00225502">
        <w:rPr>
          <w:rFonts w:ascii="Times New Roman" w:hAnsi="Times New Roman" w:cs="Times New Roman"/>
          <w:sz w:val="24"/>
          <w:szCs w:val="24"/>
        </w:rPr>
        <w:t xml:space="preserve"> </w:t>
      </w:r>
      <w:r w:rsidR="007C40DD" w:rsidRPr="007C40DD">
        <w:rPr>
          <w:rFonts w:ascii="Times New Roman" w:hAnsi="Times New Roman" w:cs="Times New Roman"/>
          <w:sz w:val="24"/>
          <w:szCs w:val="24"/>
        </w:rPr>
        <w:t>-</w:t>
      </w:r>
      <w:r w:rsidR="00225502">
        <w:rPr>
          <w:rFonts w:ascii="Times New Roman" w:hAnsi="Times New Roman" w:cs="Times New Roman"/>
          <w:sz w:val="24"/>
          <w:szCs w:val="24"/>
        </w:rPr>
        <w:t xml:space="preserve"> </w:t>
      </w:r>
      <w:r w:rsidR="007C40DD" w:rsidRPr="007C40DD">
        <w:rPr>
          <w:rFonts w:ascii="Times New Roman" w:hAnsi="Times New Roman" w:cs="Times New Roman"/>
          <w:sz w:val="24"/>
          <w:szCs w:val="24"/>
        </w:rPr>
        <w:t>Dhjetor krahasuar me</w:t>
      </w:r>
      <w:r>
        <w:rPr>
          <w:rFonts w:ascii="Times New Roman" w:hAnsi="Times New Roman" w:cs="Times New Roman"/>
          <w:sz w:val="24"/>
          <w:szCs w:val="24"/>
        </w:rPr>
        <w:t xml:space="preserve"> normën vjetore për Benzenin.</w:t>
      </w:r>
    </w:p>
    <w:p w:rsidR="007C40DD" w:rsidRPr="007C40DD" w:rsidRDefault="007C40DD" w:rsidP="007C40DD">
      <w:pPr>
        <w:rPr>
          <w:rFonts w:ascii="Times New Roman" w:hAnsi="Times New Roman" w:cs="Times New Roman"/>
          <w:sz w:val="24"/>
          <w:szCs w:val="24"/>
        </w:rPr>
      </w:pPr>
    </w:p>
    <w:p w:rsidR="007C40DD" w:rsidRDefault="00501830" w:rsidP="00822E13">
      <w:pPr>
        <w:contextualSpacing/>
        <w:rPr>
          <w:rFonts w:ascii="Times New Roman" w:hAnsi="Times New Roman" w:cs="Times New Roman"/>
          <w:b/>
          <w:sz w:val="24"/>
          <w:szCs w:val="24"/>
        </w:rPr>
      </w:pPr>
      <w:r>
        <w:rPr>
          <w:rFonts w:ascii="Times New Roman" w:hAnsi="Times New Roman" w:cs="Times New Roman"/>
          <w:b/>
          <w:sz w:val="24"/>
          <w:szCs w:val="24"/>
        </w:rPr>
        <w:t xml:space="preserve">1.2 </w:t>
      </w:r>
      <w:r w:rsidR="00822E13" w:rsidRPr="00822E13">
        <w:rPr>
          <w:rFonts w:ascii="Times New Roman" w:hAnsi="Times New Roman" w:cs="Times New Roman"/>
          <w:b/>
          <w:sz w:val="24"/>
          <w:szCs w:val="24"/>
        </w:rPr>
        <w:t>Tendenca e cilësisë të ajrit</w:t>
      </w:r>
      <w:r w:rsidR="007C40DD" w:rsidRPr="00822E13">
        <w:rPr>
          <w:rFonts w:ascii="Times New Roman" w:hAnsi="Times New Roman" w:cs="Times New Roman"/>
          <w:b/>
          <w:sz w:val="24"/>
          <w:szCs w:val="24"/>
        </w:rPr>
        <w:t xml:space="preserve"> në vitet 2019-2025</w:t>
      </w:r>
    </w:p>
    <w:p w:rsidR="00822E13" w:rsidRDefault="00822E13" w:rsidP="00822E13">
      <w:pPr>
        <w:contextualSpacing/>
        <w:rPr>
          <w:rFonts w:ascii="Times New Roman" w:hAnsi="Times New Roman" w:cs="Times New Roman"/>
          <w:b/>
          <w:sz w:val="24"/>
          <w:szCs w:val="24"/>
        </w:rPr>
      </w:pPr>
    </w:p>
    <w:p w:rsidR="00822E13" w:rsidRDefault="00822E13" w:rsidP="00822E13">
      <w:pPr>
        <w:contextualSpacing/>
        <w:jc w:val="both"/>
        <w:rPr>
          <w:rFonts w:ascii="Times New Roman" w:hAnsi="Times New Roman" w:cs="Times New Roman"/>
          <w:b/>
          <w:sz w:val="24"/>
          <w:szCs w:val="24"/>
        </w:rPr>
      </w:pPr>
      <w:r w:rsidRPr="007C40DD">
        <w:rPr>
          <w:rFonts w:ascii="Times New Roman" w:hAnsi="Times New Roman" w:cs="Times New Roman"/>
          <w:sz w:val="24"/>
          <w:szCs w:val="24"/>
        </w:rPr>
        <w:t>Bazuar në të dhënat e monitoruara në vite, kemi përmir</w:t>
      </w:r>
      <w:r>
        <w:rPr>
          <w:rFonts w:ascii="Times New Roman" w:hAnsi="Times New Roman" w:cs="Times New Roman"/>
          <w:sz w:val="24"/>
          <w:szCs w:val="24"/>
        </w:rPr>
        <w:t>ë</w:t>
      </w:r>
      <w:r w:rsidR="00696006">
        <w:rPr>
          <w:rFonts w:ascii="Times New Roman" w:hAnsi="Times New Roman" w:cs="Times New Roman"/>
          <w:sz w:val="24"/>
          <w:szCs w:val="24"/>
        </w:rPr>
        <w:t>sim të cilësisë</w:t>
      </w:r>
      <w:r w:rsidRPr="007C40DD">
        <w:rPr>
          <w:rFonts w:ascii="Times New Roman" w:hAnsi="Times New Roman" w:cs="Times New Roman"/>
          <w:sz w:val="24"/>
          <w:szCs w:val="24"/>
        </w:rPr>
        <w:t xml:space="preserve"> së ajrit nga SO</w:t>
      </w:r>
      <w:r w:rsidRPr="00696006">
        <w:rPr>
          <w:rFonts w:ascii="Times New Roman" w:hAnsi="Times New Roman" w:cs="Times New Roman"/>
          <w:sz w:val="24"/>
          <w:szCs w:val="24"/>
          <w:vertAlign w:val="subscript"/>
        </w:rPr>
        <w:t>2</w:t>
      </w:r>
      <w:r w:rsidR="00696006">
        <w:rPr>
          <w:rFonts w:ascii="Times New Roman" w:hAnsi="Times New Roman" w:cs="Times New Roman"/>
          <w:sz w:val="24"/>
          <w:szCs w:val="24"/>
        </w:rPr>
        <w:t xml:space="preserve"> në vitin 2025 në stacionin e Durrë</w:t>
      </w:r>
      <w:r w:rsidR="007C666E">
        <w:rPr>
          <w:rFonts w:ascii="Times New Roman" w:hAnsi="Times New Roman" w:cs="Times New Roman"/>
          <w:sz w:val="24"/>
          <w:szCs w:val="24"/>
        </w:rPr>
        <w:t>sit</w:t>
      </w:r>
      <w:r w:rsidRPr="007C40DD">
        <w:rPr>
          <w:rFonts w:ascii="Times New Roman" w:hAnsi="Times New Roman" w:cs="Times New Roman"/>
          <w:sz w:val="24"/>
          <w:szCs w:val="24"/>
        </w:rPr>
        <w:t xml:space="preserve"> krahasuar me vitin 2021</w:t>
      </w:r>
      <w:r w:rsidR="00225502">
        <w:rPr>
          <w:rFonts w:ascii="Times New Roman" w:hAnsi="Times New Roman" w:cs="Times New Roman"/>
          <w:sz w:val="24"/>
          <w:szCs w:val="24"/>
        </w:rPr>
        <w:t>,</w:t>
      </w:r>
      <w:r w:rsidRPr="007C40DD">
        <w:rPr>
          <w:rFonts w:ascii="Times New Roman" w:hAnsi="Times New Roman" w:cs="Times New Roman"/>
          <w:sz w:val="24"/>
          <w:szCs w:val="24"/>
        </w:rPr>
        <w:t xml:space="preserve"> ndërsa krahasuar me vitet e tjera kemi rritje të nivelit të SO</w:t>
      </w:r>
      <w:r w:rsidRPr="00696006">
        <w:rPr>
          <w:rFonts w:ascii="Times New Roman" w:hAnsi="Times New Roman" w:cs="Times New Roman"/>
          <w:sz w:val="24"/>
          <w:szCs w:val="24"/>
          <w:vertAlign w:val="subscript"/>
        </w:rPr>
        <w:t>2</w:t>
      </w:r>
      <w:r w:rsidRPr="007C40DD">
        <w:rPr>
          <w:rFonts w:ascii="Times New Roman" w:hAnsi="Times New Roman" w:cs="Times New Roman"/>
          <w:sz w:val="24"/>
          <w:szCs w:val="24"/>
        </w:rPr>
        <w:t>.</w:t>
      </w:r>
    </w:p>
    <w:p w:rsidR="00822E13" w:rsidRPr="00822E13" w:rsidRDefault="00822E13" w:rsidP="00822E13">
      <w:pPr>
        <w:contextualSpacing/>
        <w:rPr>
          <w:rFonts w:ascii="Times New Roman" w:hAnsi="Times New Roman" w:cs="Times New Roman"/>
          <w:b/>
          <w:sz w:val="24"/>
          <w:szCs w:val="24"/>
        </w:rPr>
      </w:pPr>
    </w:p>
    <w:p w:rsidR="007C40DD" w:rsidRPr="007C40DD" w:rsidRDefault="007C40DD" w:rsidP="007C40DD">
      <w:pPr>
        <w:rPr>
          <w:rFonts w:ascii="Times New Roman" w:hAnsi="Times New Roman" w:cs="Times New Roman"/>
          <w:b/>
          <w:sz w:val="28"/>
          <w:szCs w:val="28"/>
        </w:rPr>
      </w:pPr>
      <w:r w:rsidRPr="007C40DD">
        <w:rPr>
          <w:rFonts w:ascii="Times New Roman" w:hAnsi="Times New Roman" w:cs="Times New Roman"/>
          <w:b/>
          <w:noProof/>
          <w:sz w:val="28"/>
          <w:szCs w:val="28"/>
        </w:rPr>
        <w:lastRenderedPageBreak/>
        <w:drawing>
          <wp:inline distT="0" distB="0" distL="0" distR="0" wp14:anchorId="39537AE1" wp14:editId="529DD364">
            <wp:extent cx="5584190" cy="240030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84190" cy="2400300"/>
                    </a:xfrm>
                    <a:prstGeom prst="rect">
                      <a:avLst/>
                    </a:prstGeom>
                    <a:noFill/>
                  </pic:spPr>
                </pic:pic>
              </a:graphicData>
            </a:graphic>
          </wp:inline>
        </w:drawing>
      </w:r>
    </w:p>
    <w:p w:rsidR="00696006" w:rsidRDefault="00696006" w:rsidP="00696006">
      <w:pPr>
        <w:jc w:val="both"/>
        <w:rPr>
          <w:rFonts w:ascii="Times New Roman" w:hAnsi="Times New Roman" w:cs="Times New Roman"/>
          <w:sz w:val="24"/>
          <w:szCs w:val="24"/>
        </w:rPr>
      </w:pPr>
      <w:r>
        <w:rPr>
          <w:rFonts w:ascii="Times New Roman" w:hAnsi="Times New Roman" w:cs="Times New Roman"/>
          <w:sz w:val="24"/>
          <w:szCs w:val="24"/>
        </w:rPr>
        <w:t>Në stacionin e Korçë</w:t>
      </w:r>
      <w:r w:rsidR="007C40DD" w:rsidRPr="007C40DD">
        <w:rPr>
          <w:rFonts w:ascii="Times New Roman" w:hAnsi="Times New Roman" w:cs="Times New Roman"/>
          <w:sz w:val="24"/>
          <w:szCs w:val="24"/>
        </w:rPr>
        <w:t>s kemi përmirësim të cilësisë së ajrit nga SO</w:t>
      </w:r>
      <w:r w:rsidR="007C40DD" w:rsidRPr="00696006">
        <w:rPr>
          <w:rFonts w:ascii="Times New Roman" w:hAnsi="Times New Roman" w:cs="Times New Roman"/>
          <w:sz w:val="24"/>
          <w:szCs w:val="24"/>
          <w:vertAlign w:val="subscript"/>
        </w:rPr>
        <w:t>2</w:t>
      </w:r>
      <w:r w:rsidR="007C40DD" w:rsidRPr="007C40DD">
        <w:rPr>
          <w:rFonts w:ascii="Times New Roman" w:hAnsi="Times New Roman" w:cs="Times New Roman"/>
          <w:sz w:val="24"/>
          <w:szCs w:val="24"/>
        </w:rPr>
        <w:t xml:space="preserve"> krahasuar me vitin 2019. </w:t>
      </w:r>
    </w:p>
    <w:p w:rsidR="007C40DD" w:rsidRPr="007C40DD" w:rsidRDefault="00696006" w:rsidP="00696006">
      <w:pPr>
        <w:jc w:val="both"/>
        <w:rPr>
          <w:rFonts w:ascii="Times New Roman" w:hAnsi="Times New Roman" w:cs="Times New Roman"/>
          <w:sz w:val="24"/>
          <w:szCs w:val="24"/>
        </w:rPr>
      </w:pPr>
      <w:r>
        <w:rPr>
          <w:rFonts w:ascii="Times New Roman" w:hAnsi="Times New Roman" w:cs="Times New Roman"/>
          <w:sz w:val="24"/>
          <w:szCs w:val="24"/>
        </w:rPr>
        <w:t>N</w:t>
      </w:r>
      <w:r w:rsidRPr="007C40DD">
        <w:rPr>
          <w:rFonts w:ascii="Times New Roman" w:hAnsi="Times New Roman" w:cs="Times New Roman"/>
          <w:sz w:val="24"/>
          <w:szCs w:val="24"/>
        </w:rPr>
        <w:t xml:space="preserve">iveli më i lartë i ndotjes </w:t>
      </w:r>
      <w:r>
        <w:rPr>
          <w:rFonts w:ascii="Times New Roman" w:hAnsi="Times New Roman" w:cs="Times New Roman"/>
          <w:sz w:val="24"/>
          <w:szCs w:val="24"/>
        </w:rPr>
        <w:t>n</w:t>
      </w:r>
      <w:r w:rsidR="007C40DD" w:rsidRPr="007C40DD">
        <w:rPr>
          <w:rFonts w:ascii="Times New Roman" w:hAnsi="Times New Roman" w:cs="Times New Roman"/>
          <w:sz w:val="24"/>
          <w:szCs w:val="24"/>
        </w:rPr>
        <w:t xml:space="preserve">ë stacionin Tirana Mobile </w:t>
      </w:r>
      <w:r>
        <w:rPr>
          <w:rFonts w:ascii="Times New Roman" w:hAnsi="Times New Roman" w:cs="Times New Roman"/>
          <w:sz w:val="24"/>
          <w:szCs w:val="24"/>
        </w:rPr>
        <w:t>është monitoruar në</w:t>
      </w:r>
      <w:r w:rsidR="00A4700D">
        <w:rPr>
          <w:rFonts w:ascii="Times New Roman" w:hAnsi="Times New Roman" w:cs="Times New Roman"/>
          <w:sz w:val="24"/>
          <w:szCs w:val="24"/>
        </w:rPr>
        <w:t xml:space="preserve"> vitin 2019 dhe 2025.  N</w:t>
      </w:r>
      <w:r w:rsidR="00A4700D">
        <w:rPr>
          <w:rFonts w:ascii="Times New Roman" w:hAnsi="Times New Roman"/>
          <w:sz w:val="24"/>
          <w:szCs w:val="24"/>
        </w:rPr>
        <w:t>ë</w:t>
      </w:r>
      <w:r w:rsidR="00A4700D">
        <w:rPr>
          <w:rFonts w:ascii="Times New Roman" w:hAnsi="Times New Roman" w:cs="Times New Roman"/>
          <w:sz w:val="24"/>
          <w:szCs w:val="24"/>
        </w:rPr>
        <w:t xml:space="preserve"> stacionet e Elbasanit,</w:t>
      </w:r>
      <w:r w:rsidR="007C40DD" w:rsidRPr="007C40DD">
        <w:rPr>
          <w:rFonts w:ascii="Times New Roman" w:hAnsi="Times New Roman" w:cs="Times New Roman"/>
          <w:sz w:val="24"/>
          <w:szCs w:val="24"/>
        </w:rPr>
        <w:t xml:space="preserve"> Shkodrës, Tirana Higjena dhe Fier cilësi</w:t>
      </w:r>
      <w:r w:rsidR="00A4700D">
        <w:rPr>
          <w:rFonts w:ascii="Times New Roman" w:hAnsi="Times New Roman" w:cs="Times New Roman"/>
          <w:sz w:val="24"/>
          <w:szCs w:val="24"/>
        </w:rPr>
        <w:t>a e ajrit nga</w:t>
      </w:r>
      <w:r>
        <w:rPr>
          <w:rFonts w:ascii="Times New Roman" w:hAnsi="Times New Roman" w:cs="Times New Roman"/>
          <w:sz w:val="24"/>
          <w:szCs w:val="24"/>
        </w:rPr>
        <w:t xml:space="preserve"> SO</w:t>
      </w:r>
      <w:r w:rsidRPr="00696006">
        <w:rPr>
          <w:rFonts w:ascii="Times New Roman" w:hAnsi="Times New Roman" w:cs="Times New Roman"/>
          <w:sz w:val="24"/>
          <w:szCs w:val="24"/>
          <w:vertAlign w:val="subscript"/>
        </w:rPr>
        <w:t>2</w:t>
      </w:r>
      <w:r>
        <w:rPr>
          <w:rFonts w:ascii="Times New Roman" w:hAnsi="Times New Roman" w:cs="Times New Roman"/>
          <w:sz w:val="24"/>
          <w:szCs w:val="24"/>
        </w:rPr>
        <w:t xml:space="preserve"> është e mirë</w:t>
      </w:r>
      <w:r w:rsidR="007C40DD" w:rsidRPr="007C40DD">
        <w:rPr>
          <w:rFonts w:ascii="Times New Roman" w:hAnsi="Times New Roman" w:cs="Times New Roman"/>
          <w:sz w:val="24"/>
          <w:szCs w:val="24"/>
        </w:rPr>
        <w:t>. Në asnjë nga stacionet e monitoruara nuk kemi tejka</w:t>
      </w:r>
      <w:r>
        <w:rPr>
          <w:rFonts w:ascii="Times New Roman" w:hAnsi="Times New Roman" w:cs="Times New Roman"/>
          <w:sz w:val="24"/>
          <w:szCs w:val="24"/>
        </w:rPr>
        <w:t>l</w:t>
      </w:r>
      <w:r w:rsidR="007C40DD" w:rsidRPr="007C40DD">
        <w:rPr>
          <w:rFonts w:ascii="Times New Roman" w:hAnsi="Times New Roman" w:cs="Times New Roman"/>
          <w:sz w:val="24"/>
          <w:szCs w:val="24"/>
        </w:rPr>
        <w:t>im të normës orare dhe ditore për SO</w:t>
      </w:r>
      <w:r w:rsidR="007C40DD" w:rsidRPr="00696006">
        <w:rPr>
          <w:rFonts w:ascii="Times New Roman" w:hAnsi="Times New Roman" w:cs="Times New Roman"/>
          <w:sz w:val="24"/>
          <w:szCs w:val="24"/>
          <w:vertAlign w:val="subscript"/>
        </w:rPr>
        <w:t>2</w:t>
      </w:r>
      <w:r w:rsidR="007C40DD" w:rsidRPr="007C40DD">
        <w:rPr>
          <w:rFonts w:ascii="Times New Roman" w:hAnsi="Times New Roman" w:cs="Times New Roman"/>
          <w:sz w:val="24"/>
          <w:szCs w:val="24"/>
        </w:rPr>
        <w:t xml:space="preserve">. </w:t>
      </w:r>
    </w:p>
    <w:p w:rsidR="007C40DD" w:rsidRPr="007C40DD" w:rsidRDefault="007C40DD" w:rsidP="007C40DD">
      <w:pPr>
        <w:rPr>
          <w:rFonts w:ascii="Times New Roman" w:hAnsi="Times New Roman" w:cs="Times New Roman"/>
          <w:sz w:val="24"/>
          <w:szCs w:val="24"/>
        </w:rPr>
      </w:pPr>
      <w:r w:rsidRPr="007C40DD">
        <w:rPr>
          <w:rFonts w:ascii="Times New Roman" w:hAnsi="Times New Roman" w:cs="Times New Roman"/>
          <w:noProof/>
          <w:sz w:val="24"/>
          <w:szCs w:val="24"/>
        </w:rPr>
        <w:drawing>
          <wp:inline distT="0" distB="0" distL="0" distR="0" wp14:anchorId="0BC39260" wp14:editId="68D327B1">
            <wp:extent cx="5511165" cy="2390775"/>
            <wp:effectExtent l="0" t="0" r="0" b="952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11165" cy="2390775"/>
                    </a:xfrm>
                    <a:prstGeom prst="rect">
                      <a:avLst/>
                    </a:prstGeom>
                    <a:noFill/>
                  </pic:spPr>
                </pic:pic>
              </a:graphicData>
            </a:graphic>
          </wp:inline>
        </w:drawing>
      </w:r>
    </w:p>
    <w:p w:rsidR="007C40DD" w:rsidRPr="007C40DD" w:rsidRDefault="007C40DD" w:rsidP="00225502">
      <w:pPr>
        <w:jc w:val="both"/>
        <w:rPr>
          <w:rFonts w:ascii="Times New Roman" w:hAnsi="Times New Roman" w:cs="Times New Roman"/>
          <w:sz w:val="24"/>
          <w:szCs w:val="24"/>
        </w:rPr>
      </w:pPr>
      <w:r w:rsidRPr="007C40DD">
        <w:rPr>
          <w:rFonts w:ascii="Times New Roman" w:hAnsi="Times New Roman" w:cs="Times New Roman"/>
          <w:sz w:val="24"/>
          <w:szCs w:val="24"/>
        </w:rPr>
        <w:t>Referuar të dhënave të Ozonit për vitin 2025, kemi përm</w:t>
      </w:r>
      <w:r w:rsidR="00A4700D">
        <w:rPr>
          <w:rFonts w:ascii="Times New Roman" w:hAnsi="Times New Roman" w:cs="Times New Roman"/>
          <w:sz w:val="24"/>
          <w:szCs w:val="24"/>
        </w:rPr>
        <w:t>irësim në stacionin e Durrësit,</w:t>
      </w:r>
      <w:r w:rsidRPr="007C40DD">
        <w:rPr>
          <w:rFonts w:ascii="Times New Roman" w:hAnsi="Times New Roman" w:cs="Times New Roman"/>
          <w:sz w:val="24"/>
          <w:szCs w:val="24"/>
        </w:rPr>
        <w:t xml:space="preserve"> në stacio</w:t>
      </w:r>
      <w:r w:rsidR="00A4700D">
        <w:rPr>
          <w:rFonts w:ascii="Times New Roman" w:hAnsi="Times New Roman" w:cs="Times New Roman"/>
          <w:sz w:val="24"/>
          <w:szCs w:val="24"/>
        </w:rPr>
        <w:t>n</w:t>
      </w:r>
      <w:r w:rsidRPr="007C40DD">
        <w:rPr>
          <w:rFonts w:ascii="Times New Roman" w:hAnsi="Times New Roman" w:cs="Times New Roman"/>
          <w:sz w:val="24"/>
          <w:szCs w:val="24"/>
        </w:rPr>
        <w:t>in e Elbasanit, në stacionin e T</w:t>
      </w:r>
      <w:r w:rsidR="00225502">
        <w:rPr>
          <w:rFonts w:ascii="Times New Roman" w:hAnsi="Times New Roman" w:cs="Times New Roman"/>
          <w:sz w:val="24"/>
          <w:szCs w:val="24"/>
        </w:rPr>
        <w:t>irana</w:t>
      </w:r>
      <w:r w:rsidR="00A4700D">
        <w:rPr>
          <w:rFonts w:ascii="Times New Roman" w:hAnsi="Times New Roman" w:cs="Times New Roman"/>
          <w:sz w:val="24"/>
          <w:szCs w:val="24"/>
        </w:rPr>
        <w:t xml:space="preserve"> </w:t>
      </w:r>
      <w:r w:rsidRPr="007C40DD">
        <w:rPr>
          <w:rFonts w:ascii="Times New Roman" w:hAnsi="Times New Roman" w:cs="Times New Roman"/>
          <w:sz w:val="24"/>
          <w:szCs w:val="24"/>
        </w:rPr>
        <w:t>Higjena dhe T</w:t>
      </w:r>
      <w:r w:rsidR="00225502">
        <w:rPr>
          <w:rFonts w:ascii="Times New Roman" w:hAnsi="Times New Roman" w:cs="Times New Roman"/>
          <w:sz w:val="24"/>
          <w:szCs w:val="24"/>
        </w:rPr>
        <w:t>irana</w:t>
      </w:r>
      <w:r w:rsidR="00A4700D">
        <w:rPr>
          <w:rFonts w:ascii="Times New Roman" w:hAnsi="Times New Roman" w:cs="Times New Roman"/>
          <w:sz w:val="24"/>
          <w:szCs w:val="24"/>
        </w:rPr>
        <w:t xml:space="preserve"> Mobile</w:t>
      </w:r>
      <w:r w:rsidRPr="007C40DD">
        <w:rPr>
          <w:rFonts w:ascii="Times New Roman" w:hAnsi="Times New Roman" w:cs="Times New Roman"/>
          <w:sz w:val="24"/>
          <w:szCs w:val="24"/>
        </w:rPr>
        <w:t xml:space="preserve"> krahasuar me periudhën 2023-2024. Gjithashtu kemi përmirësim në stacionin e Shkodrës, Korçës dhe Fierit krahasuar me vitin 2024</w:t>
      </w:r>
      <w:r w:rsidR="00A4700D">
        <w:rPr>
          <w:rFonts w:ascii="Times New Roman" w:hAnsi="Times New Roman" w:cs="Times New Roman"/>
          <w:sz w:val="24"/>
          <w:szCs w:val="24"/>
        </w:rPr>
        <w:t>.</w:t>
      </w:r>
    </w:p>
    <w:p w:rsidR="007C40DD" w:rsidRPr="007C40DD" w:rsidRDefault="007C40DD" w:rsidP="007C40DD">
      <w:pPr>
        <w:rPr>
          <w:rFonts w:ascii="Times New Roman" w:hAnsi="Times New Roman" w:cs="Times New Roman"/>
          <w:sz w:val="24"/>
          <w:szCs w:val="24"/>
        </w:rPr>
      </w:pPr>
      <w:r w:rsidRPr="007C40DD">
        <w:rPr>
          <w:rFonts w:ascii="Times New Roman" w:hAnsi="Times New Roman" w:cs="Times New Roman"/>
          <w:noProof/>
          <w:sz w:val="24"/>
          <w:szCs w:val="24"/>
        </w:rPr>
        <w:lastRenderedPageBreak/>
        <w:drawing>
          <wp:inline distT="0" distB="0" distL="0" distR="0" wp14:anchorId="07A6A1B2" wp14:editId="1E95EED3">
            <wp:extent cx="5848350" cy="251460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52795" cy="2516511"/>
                    </a:xfrm>
                    <a:prstGeom prst="rect">
                      <a:avLst/>
                    </a:prstGeom>
                    <a:noFill/>
                  </pic:spPr>
                </pic:pic>
              </a:graphicData>
            </a:graphic>
          </wp:inline>
        </w:drawing>
      </w:r>
    </w:p>
    <w:p w:rsidR="007C40DD" w:rsidRPr="007C40DD" w:rsidRDefault="007C40DD" w:rsidP="00051C09">
      <w:pPr>
        <w:jc w:val="both"/>
        <w:rPr>
          <w:rFonts w:ascii="Times New Roman" w:hAnsi="Times New Roman" w:cs="Times New Roman"/>
          <w:sz w:val="24"/>
          <w:szCs w:val="24"/>
        </w:rPr>
      </w:pPr>
      <w:r w:rsidRPr="007C40DD">
        <w:rPr>
          <w:rFonts w:ascii="Times New Roman" w:hAnsi="Times New Roman" w:cs="Times New Roman"/>
          <w:sz w:val="24"/>
          <w:szCs w:val="24"/>
        </w:rPr>
        <w:t>Referuar të dhënave të CO në vitet 2019-20</w:t>
      </w:r>
      <w:r w:rsidR="00A4700D">
        <w:rPr>
          <w:rFonts w:ascii="Times New Roman" w:hAnsi="Times New Roman" w:cs="Times New Roman"/>
          <w:sz w:val="24"/>
          <w:szCs w:val="24"/>
        </w:rPr>
        <w:t>25 theksojm</w:t>
      </w:r>
      <w:r w:rsidR="00A4700D">
        <w:rPr>
          <w:rFonts w:ascii="Times New Roman" w:hAnsi="Times New Roman"/>
          <w:sz w:val="24"/>
          <w:szCs w:val="24"/>
        </w:rPr>
        <w:t>ë</w:t>
      </w:r>
      <w:r w:rsidR="00A4700D">
        <w:rPr>
          <w:rFonts w:ascii="Times New Roman" w:hAnsi="Times New Roman" w:cs="Times New Roman"/>
          <w:sz w:val="24"/>
          <w:szCs w:val="24"/>
        </w:rPr>
        <w:t xml:space="preserve"> se kemi përmirësim</w:t>
      </w:r>
      <w:r w:rsidRPr="007C40DD">
        <w:rPr>
          <w:rFonts w:ascii="Times New Roman" w:hAnsi="Times New Roman" w:cs="Times New Roman"/>
          <w:sz w:val="24"/>
          <w:szCs w:val="24"/>
        </w:rPr>
        <w:t xml:space="preserve"> të cilësisë së ajrit në stacionet e Tirana Mobile dhe Fierit, krahasuar me vitet 2023-2024. Kemi përkeqësim të nivelit të CO në vitin 2025 krahasuar me vitet e tjera në stacionin e Durrësit  dhe Shkodrës. Gjithashtu në stacionin Elbasanit, Tirana Higjena dhe Korcës kemi përkeqësim të nivelit t</w:t>
      </w:r>
      <w:r w:rsidR="00A4700D">
        <w:rPr>
          <w:rFonts w:ascii="Times New Roman" w:hAnsi="Times New Roman"/>
          <w:sz w:val="24"/>
          <w:szCs w:val="24"/>
        </w:rPr>
        <w:t>ë</w:t>
      </w:r>
      <w:r w:rsidR="00A4700D">
        <w:rPr>
          <w:rFonts w:ascii="Times New Roman" w:hAnsi="Times New Roman" w:cs="Times New Roman"/>
          <w:sz w:val="24"/>
          <w:szCs w:val="24"/>
        </w:rPr>
        <w:t xml:space="preserve"> CO krahasuar me vitin 2024.</w:t>
      </w:r>
    </w:p>
    <w:p w:rsidR="007C40DD" w:rsidRPr="007C40DD" w:rsidRDefault="007C40DD" w:rsidP="007C40DD">
      <w:pPr>
        <w:rPr>
          <w:rFonts w:ascii="Times New Roman" w:hAnsi="Times New Roman" w:cs="Times New Roman"/>
          <w:sz w:val="24"/>
          <w:szCs w:val="24"/>
        </w:rPr>
      </w:pPr>
      <w:r w:rsidRPr="007C40DD">
        <w:rPr>
          <w:rFonts w:ascii="Times New Roman" w:hAnsi="Times New Roman" w:cs="Times New Roman"/>
          <w:noProof/>
          <w:sz w:val="24"/>
          <w:szCs w:val="24"/>
        </w:rPr>
        <w:t>,</w:t>
      </w:r>
      <w:r w:rsidRPr="007C40DD">
        <w:rPr>
          <w:rFonts w:ascii="Times New Roman" w:hAnsi="Times New Roman" w:cs="Times New Roman"/>
          <w:noProof/>
          <w:sz w:val="24"/>
          <w:szCs w:val="24"/>
        </w:rPr>
        <w:drawing>
          <wp:inline distT="0" distB="0" distL="0" distR="0" wp14:anchorId="78F7E13A" wp14:editId="58886056">
            <wp:extent cx="6193790" cy="2495550"/>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93790" cy="2495550"/>
                    </a:xfrm>
                    <a:prstGeom prst="rect">
                      <a:avLst/>
                    </a:prstGeom>
                    <a:noFill/>
                  </pic:spPr>
                </pic:pic>
              </a:graphicData>
            </a:graphic>
          </wp:inline>
        </w:drawing>
      </w:r>
    </w:p>
    <w:p w:rsidR="007C40DD" w:rsidRPr="007C40DD" w:rsidRDefault="007C40DD" w:rsidP="00051C09">
      <w:pPr>
        <w:jc w:val="both"/>
        <w:rPr>
          <w:rFonts w:ascii="Times New Roman" w:hAnsi="Times New Roman" w:cs="Times New Roman"/>
          <w:sz w:val="24"/>
          <w:szCs w:val="24"/>
        </w:rPr>
      </w:pPr>
      <w:r w:rsidRPr="007C40DD">
        <w:rPr>
          <w:rFonts w:ascii="Times New Roman" w:hAnsi="Times New Roman" w:cs="Times New Roman"/>
          <w:sz w:val="24"/>
          <w:szCs w:val="24"/>
        </w:rPr>
        <w:t>Referuar të dhënave të NO</w:t>
      </w:r>
      <w:r w:rsidRPr="00051C09">
        <w:rPr>
          <w:rFonts w:ascii="Times New Roman" w:hAnsi="Times New Roman" w:cs="Times New Roman"/>
          <w:sz w:val="24"/>
          <w:szCs w:val="24"/>
          <w:vertAlign w:val="subscript"/>
        </w:rPr>
        <w:t>2</w:t>
      </w:r>
      <w:r w:rsidRPr="007C40DD">
        <w:rPr>
          <w:rFonts w:ascii="Times New Roman" w:hAnsi="Times New Roman" w:cs="Times New Roman"/>
          <w:sz w:val="24"/>
          <w:szCs w:val="24"/>
        </w:rPr>
        <w:t xml:space="preserve"> për vitin 2025, kemi përmirësim të cilësisë së ajrit në stacionin e Durrësit krahasuar me vitin 2021 dhe 2023, në stacionin e Shkodrës krahasuar me vitin 2019 dhe 2024</w:t>
      </w:r>
      <w:r w:rsidR="00A4700D">
        <w:rPr>
          <w:rFonts w:ascii="Times New Roman" w:hAnsi="Times New Roman" w:cs="Times New Roman"/>
          <w:sz w:val="24"/>
          <w:szCs w:val="24"/>
        </w:rPr>
        <w:t>, në stacionin e Tirana Higjena</w:t>
      </w:r>
      <w:r w:rsidRPr="007C40DD">
        <w:rPr>
          <w:rFonts w:ascii="Times New Roman" w:hAnsi="Times New Roman" w:cs="Times New Roman"/>
          <w:sz w:val="24"/>
          <w:szCs w:val="24"/>
        </w:rPr>
        <w:t xml:space="preserve"> krahasuar me vitet 2023-2024 dhe në stacionin e Fierit krahasuar me vitin 2024.  Në stacionin e Elbasanit kemi përkeqësim të cilësisë së ajrit nga NO</w:t>
      </w:r>
      <w:r w:rsidRPr="00E071D4">
        <w:rPr>
          <w:rFonts w:ascii="Times New Roman" w:hAnsi="Times New Roman" w:cs="Times New Roman"/>
          <w:sz w:val="24"/>
          <w:szCs w:val="24"/>
          <w:vertAlign w:val="subscript"/>
        </w:rPr>
        <w:t>2</w:t>
      </w:r>
      <w:r w:rsidRPr="007C40DD">
        <w:rPr>
          <w:rFonts w:ascii="Times New Roman" w:hAnsi="Times New Roman" w:cs="Times New Roman"/>
          <w:sz w:val="24"/>
          <w:szCs w:val="24"/>
        </w:rPr>
        <w:t xml:space="preserve"> krahasuar me vitet 2019-2024. </w:t>
      </w:r>
    </w:p>
    <w:p w:rsidR="007C40DD" w:rsidRPr="007C40DD" w:rsidRDefault="007C40DD" w:rsidP="007C40DD">
      <w:pPr>
        <w:rPr>
          <w:rFonts w:ascii="Times New Roman" w:hAnsi="Times New Roman" w:cs="Times New Roman"/>
          <w:sz w:val="24"/>
          <w:szCs w:val="24"/>
        </w:rPr>
      </w:pPr>
      <w:r w:rsidRPr="007C40DD">
        <w:rPr>
          <w:rFonts w:ascii="Times New Roman" w:hAnsi="Times New Roman" w:cs="Times New Roman"/>
          <w:noProof/>
          <w:sz w:val="24"/>
          <w:szCs w:val="24"/>
        </w:rPr>
        <w:lastRenderedPageBreak/>
        <w:drawing>
          <wp:inline distT="0" distB="0" distL="0" distR="0" wp14:anchorId="02E49D3C" wp14:editId="1770C00B">
            <wp:extent cx="5951402" cy="2600325"/>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6300" cy="2602465"/>
                    </a:xfrm>
                    <a:prstGeom prst="rect">
                      <a:avLst/>
                    </a:prstGeom>
                    <a:noFill/>
                  </pic:spPr>
                </pic:pic>
              </a:graphicData>
            </a:graphic>
          </wp:inline>
        </w:drawing>
      </w:r>
    </w:p>
    <w:p w:rsidR="004E3CAD" w:rsidRDefault="004E3CAD" w:rsidP="007C40DD">
      <w:pPr>
        <w:rPr>
          <w:rFonts w:ascii="Times New Roman" w:hAnsi="Times New Roman" w:cs="Times New Roman"/>
          <w:sz w:val="24"/>
          <w:szCs w:val="24"/>
        </w:rPr>
      </w:pPr>
    </w:p>
    <w:p w:rsidR="007C40DD" w:rsidRPr="007C40DD" w:rsidRDefault="007C40DD" w:rsidP="00DA3FBA">
      <w:pPr>
        <w:jc w:val="both"/>
        <w:rPr>
          <w:rFonts w:ascii="Times New Roman" w:hAnsi="Times New Roman" w:cs="Times New Roman"/>
          <w:sz w:val="24"/>
          <w:szCs w:val="24"/>
        </w:rPr>
      </w:pPr>
      <w:r w:rsidRPr="007C40DD">
        <w:rPr>
          <w:rFonts w:ascii="Times New Roman" w:hAnsi="Times New Roman" w:cs="Times New Roman"/>
          <w:sz w:val="24"/>
          <w:szCs w:val="24"/>
        </w:rPr>
        <w:t>Bazuar në të dhënat e PM</w:t>
      </w:r>
      <w:r w:rsidRPr="00A4700D">
        <w:rPr>
          <w:rFonts w:ascii="Times New Roman" w:hAnsi="Times New Roman" w:cs="Times New Roman"/>
          <w:sz w:val="24"/>
          <w:szCs w:val="24"/>
          <w:vertAlign w:val="subscript"/>
        </w:rPr>
        <w:t>10</w:t>
      </w:r>
      <w:r w:rsidRPr="007C40DD">
        <w:rPr>
          <w:rFonts w:ascii="Times New Roman" w:hAnsi="Times New Roman" w:cs="Times New Roman"/>
          <w:sz w:val="24"/>
          <w:szCs w:val="24"/>
        </w:rPr>
        <w:t xml:space="preserve"> të monitoruara  në vitet 2019-2025, referuar stacioneve ku kemi tejkalim të normës vjetore</w:t>
      </w:r>
      <w:r w:rsidR="00016CD1">
        <w:rPr>
          <w:rFonts w:ascii="Times New Roman" w:hAnsi="Times New Roman" w:cs="Times New Roman"/>
          <w:sz w:val="24"/>
          <w:szCs w:val="24"/>
        </w:rPr>
        <w:t>,</w:t>
      </w:r>
      <w:r w:rsidRPr="007C40DD">
        <w:rPr>
          <w:rFonts w:ascii="Times New Roman" w:hAnsi="Times New Roman" w:cs="Times New Roman"/>
          <w:sz w:val="24"/>
          <w:szCs w:val="24"/>
        </w:rPr>
        <w:t xml:space="preserve"> theksojmë se kemi përkeqësim të cilësisë së ajrit nga PM</w:t>
      </w:r>
      <w:r w:rsidRPr="00A4700D">
        <w:rPr>
          <w:rFonts w:ascii="Times New Roman" w:hAnsi="Times New Roman" w:cs="Times New Roman"/>
          <w:sz w:val="24"/>
          <w:szCs w:val="24"/>
          <w:vertAlign w:val="subscript"/>
        </w:rPr>
        <w:t>10</w:t>
      </w:r>
      <w:r w:rsidR="00A4700D">
        <w:rPr>
          <w:rFonts w:ascii="Times New Roman" w:hAnsi="Times New Roman" w:cs="Times New Roman"/>
          <w:sz w:val="24"/>
          <w:szCs w:val="24"/>
        </w:rPr>
        <w:t xml:space="preserve"> në vitin 2025</w:t>
      </w:r>
      <w:r w:rsidRPr="007C40DD">
        <w:rPr>
          <w:rFonts w:ascii="Times New Roman" w:hAnsi="Times New Roman" w:cs="Times New Roman"/>
          <w:sz w:val="24"/>
          <w:szCs w:val="24"/>
        </w:rPr>
        <w:t xml:space="preserve"> në stacionin  e Elbasanit krahasuar me vitet 2020 dhe 2023. Gjithashtu në stacionin e Tirana Higjena kemi përkeqësim të PM</w:t>
      </w:r>
      <w:r w:rsidRPr="00A4700D">
        <w:rPr>
          <w:rFonts w:ascii="Times New Roman" w:hAnsi="Times New Roman" w:cs="Times New Roman"/>
          <w:sz w:val="24"/>
          <w:szCs w:val="24"/>
          <w:vertAlign w:val="subscript"/>
        </w:rPr>
        <w:t>10</w:t>
      </w:r>
      <w:r w:rsidRPr="007C40DD">
        <w:rPr>
          <w:rFonts w:ascii="Times New Roman" w:hAnsi="Times New Roman" w:cs="Times New Roman"/>
          <w:sz w:val="24"/>
          <w:szCs w:val="24"/>
        </w:rPr>
        <w:t xml:space="preserve"> në vitin 2025 krahasuar me 2023-2024. </w:t>
      </w:r>
    </w:p>
    <w:p w:rsidR="007C40DD" w:rsidRPr="007C40DD" w:rsidRDefault="007C40DD" w:rsidP="007C40DD">
      <w:pPr>
        <w:rPr>
          <w:rFonts w:ascii="Times New Roman" w:hAnsi="Times New Roman" w:cs="Times New Roman"/>
          <w:sz w:val="24"/>
          <w:szCs w:val="24"/>
        </w:rPr>
      </w:pPr>
      <w:r w:rsidRPr="007C40DD">
        <w:rPr>
          <w:rFonts w:ascii="Times New Roman" w:hAnsi="Times New Roman" w:cs="Times New Roman"/>
          <w:noProof/>
          <w:sz w:val="24"/>
          <w:szCs w:val="24"/>
        </w:rPr>
        <w:drawing>
          <wp:inline distT="0" distB="0" distL="0" distR="0" wp14:anchorId="5B843725" wp14:editId="7A446C6A">
            <wp:extent cx="5848350" cy="247650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48350" cy="2476500"/>
                    </a:xfrm>
                    <a:prstGeom prst="rect">
                      <a:avLst/>
                    </a:prstGeom>
                    <a:noFill/>
                  </pic:spPr>
                </pic:pic>
              </a:graphicData>
            </a:graphic>
          </wp:inline>
        </w:drawing>
      </w:r>
    </w:p>
    <w:p w:rsidR="007C40DD" w:rsidRPr="007C40DD" w:rsidRDefault="007C40DD" w:rsidP="00051C09">
      <w:pPr>
        <w:jc w:val="both"/>
        <w:rPr>
          <w:rFonts w:ascii="Times New Roman" w:hAnsi="Times New Roman" w:cs="Times New Roman"/>
          <w:sz w:val="24"/>
          <w:szCs w:val="24"/>
        </w:rPr>
      </w:pPr>
      <w:r w:rsidRPr="007C40DD">
        <w:rPr>
          <w:rFonts w:ascii="Times New Roman" w:hAnsi="Times New Roman" w:cs="Times New Roman"/>
          <w:sz w:val="24"/>
          <w:szCs w:val="24"/>
        </w:rPr>
        <w:t>Referuar të dhënave të  PM</w:t>
      </w:r>
      <w:r w:rsidRPr="00A4700D">
        <w:rPr>
          <w:rFonts w:ascii="Times New Roman" w:hAnsi="Times New Roman" w:cs="Times New Roman"/>
          <w:sz w:val="24"/>
          <w:szCs w:val="24"/>
          <w:vertAlign w:val="subscript"/>
        </w:rPr>
        <w:t xml:space="preserve">2.5 </w:t>
      </w:r>
      <w:r w:rsidRPr="007C40DD">
        <w:rPr>
          <w:rFonts w:ascii="Times New Roman" w:hAnsi="Times New Roman" w:cs="Times New Roman"/>
          <w:sz w:val="24"/>
          <w:szCs w:val="24"/>
        </w:rPr>
        <w:t>, kemi tejkalim të normës vjetore vetëm në stacionin e Elbasanit në vitin 2024. Theksojmë se PM</w:t>
      </w:r>
      <w:r w:rsidRPr="00A4700D">
        <w:rPr>
          <w:rFonts w:ascii="Times New Roman" w:hAnsi="Times New Roman" w:cs="Times New Roman"/>
          <w:sz w:val="24"/>
          <w:szCs w:val="24"/>
          <w:vertAlign w:val="subscript"/>
        </w:rPr>
        <w:t xml:space="preserve">2.5 </w:t>
      </w:r>
      <w:r w:rsidRPr="007C40DD">
        <w:rPr>
          <w:rFonts w:ascii="Times New Roman" w:hAnsi="Times New Roman" w:cs="Times New Roman"/>
          <w:sz w:val="24"/>
          <w:szCs w:val="24"/>
        </w:rPr>
        <w:t xml:space="preserve">është monitoruar për herë të parë në Elbasan, në vitin 2025 nuk ka monitorimi të këtij treguesi. Në vitin 2025 monitorimi </w:t>
      </w:r>
      <w:r w:rsidR="00225502">
        <w:rPr>
          <w:rFonts w:ascii="Times New Roman" w:hAnsi="Times New Roman" w:cs="Times New Roman"/>
          <w:sz w:val="24"/>
          <w:szCs w:val="24"/>
        </w:rPr>
        <w:t>i</w:t>
      </w:r>
      <w:r w:rsidRPr="007C40DD">
        <w:rPr>
          <w:rFonts w:ascii="Times New Roman" w:hAnsi="Times New Roman" w:cs="Times New Roman"/>
          <w:sz w:val="24"/>
          <w:szCs w:val="24"/>
        </w:rPr>
        <w:t xml:space="preserve"> PM</w:t>
      </w:r>
      <w:r w:rsidRPr="00A4700D">
        <w:rPr>
          <w:rFonts w:ascii="Times New Roman" w:hAnsi="Times New Roman" w:cs="Times New Roman"/>
          <w:sz w:val="24"/>
          <w:szCs w:val="24"/>
          <w:vertAlign w:val="subscript"/>
        </w:rPr>
        <w:t xml:space="preserve">2.5 </w:t>
      </w:r>
      <w:r w:rsidRPr="007C40DD">
        <w:rPr>
          <w:rFonts w:ascii="Times New Roman" w:hAnsi="Times New Roman" w:cs="Times New Roman"/>
          <w:sz w:val="24"/>
          <w:szCs w:val="24"/>
        </w:rPr>
        <w:t>është realizuar në stacionin e Durrësit d</w:t>
      </w:r>
      <w:r w:rsidR="00A4700D">
        <w:rPr>
          <w:rFonts w:ascii="Times New Roman" w:hAnsi="Times New Roman" w:cs="Times New Roman"/>
          <w:sz w:val="24"/>
          <w:szCs w:val="24"/>
        </w:rPr>
        <w:t>he Korçës. Në stacionin e Durrës</w:t>
      </w:r>
      <w:r w:rsidRPr="007C40DD">
        <w:rPr>
          <w:rFonts w:ascii="Times New Roman" w:hAnsi="Times New Roman" w:cs="Times New Roman"/>
          <w:sz w:val="24"/>
          <w:szCs w:val="24"/>
        </w:rPr>
        <w:t>it kemi përmirësim të PM</w:t>
      </w:r>
      <w:r w:rsidRPr="00A4700D">
        <w:rPr>
          <w:rFonts w:ascii="Times New Roman" w:hAnsi="Times New Roman" w:cs="Times New Roman"/>
          <w:sz w:val="24"/>
          <w:szCs w:val="24"/>
          <w:vertAlign w:val="subscript"/>
        </w:rPr>
        <w:t>2.5</w:t>
      </w:r>
      <w:r w:rsidRPr="007C40DD">
        <w:rPr>
          <w:rFonts w:ascii="Times New Roman" w:hAnsi="Times New Roman" w:cs="Times New Roman"/>
          <w:sz w:val="24"/>
          <w:szCs w:val="24"/>
        </w:rPr>
        <w:t xml:space="preserve"> në vitin 2025 krahasuar me vitin 2020, përkeqësim krahasuar me vitet 2019, 2024 dhe nivele të barabarta me vitin 2023. Në stacionin e Korçës kemi përmirësim të nivelit të PM</w:t>
      </w:r>
      <w:r w:rsidRPr="00A4700D">
        <w:rPr>
          <w:rFonts w:ascii="Times New Roman" w:hAnsi="Times New Roman" w:cs="Times New Roman"/>
          <w:sz w:val="24"/>
          <w:szCs w:val="24"/>
          <w:vertAlign w:val="subscript"/>
        </w:rPr>
        <w:t xml:space="preserve">2.5 </w:t>
      </w:r>
      <w:r w:rsidRPr="007C40DD">
        <w:rPr>
          <w:rFonts w:ascii="Times New Roman" w:hAnsi="Times New Roman" w:cs="Times New Roman"/>
          <w:sz w:val="24"/>
          <w:szCs w:val="24"/>
        </w:rPr>
        <w:t>krahasuar me vitin 2024 dhe</w:t>
      </w:r>
      <w:r w:rsidR="00A4700D">
        <w:rPr>
          <w:rFonts w:ascii="Times New Roman" w:hAnsi="Times New Roman" w:cs="Times New Roman"/>
          <w:sz w:val="24"/>
          <w:szCs w:val="24"/>
        </w:rPr>
        <w:t xml:space="preserve"> pothuajse i barabartë me vitin</w:t>
      </w:r>
      <w:r w:rsidRPr="007C40DD">
        <w:rPr>
          <w:rFonts w:ascii="Times New Roman" w:hAnsi="Times New Roman" w:cs="Times New Roman"/>
          <w:sz w:val="24"/>
          <w:szCs w:val="24"/>
        </w:rPr>
        <w:t xml:space="preserve"> 2023. </w:t>
      </w:r>
    </w:p>
    <w:p w:rsidR="007C40DD" w:rsidRPr="007C40DD" w:rsidRDefault="007C40DD" w:rsidP="007C40DD">
      <w:pPr>
        <w:rPr>
          <w:rFonts w:ascii="Times New Roman" w:hAnsi="Times New Roman" w:cs="Times New Roman"/>
          <w:sz w:val="24"/>
          <w:szCs w:val="24"/>
        </w:rPr>
      </w:pPr>
      <w:r w:rsidRPr="007C40DD">
        <w:rPr>
          <w:rFonts w:ascii="Times New Roman" w:hAnsi="Times New Roman" w:cs="Times New Roman"/>
          <w:noProof/>
          <w:sz w:val="24"/>
          <w:szCs w:val="24"/>
        </w:rPr>
        <w:lastRenderedPageBreak/>
        <w:drawing>
          <wp:inline distT="0" distB="0" distL="0" distR="0" wp14:anchorId="2E0026E1" wp14:editId="56E04FB1">
            <wp:extent cx="5791200" cy="2257425"/>
            <wp:effectExtent l="0" t="0" r="0" b="952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91200" cy="2257425"/>
                    </a:xfrm>
                    <a:prstGeom prst="rect">
                      <a:avLst/>
                    </a:prstGeom>
                    <a:noFill/>
                  </pic:spPr>
                </pic:pic>
              </a:graphicData>
            </a:graphic>
          </wp:inline>
        </w:drawing>
      </w:r>
    </w:p>
    <w:p w:rsidR="007C40DD" w:rsidRPr="007C40DD" w:rsidRDefault="00A4700D" w:rsidP="007A6C83">
      <w:pPr>
        <w:jc w:val="both"/>
        <w:rPr>
          <w:rFonts w:ascii="Times New Roman" w:hAnsi="Times New Roman" w:cs="Times New Roman"/>
          <w:sz w:val="24"/>
          <w:szCs w:val="24"/>
        </w:rPr>
      </w:pPr>
      <w:r>
        <w:rPr>
          <w:rFonts w:ascii="Times New Roman" w:hAnsi="Times New Roman" w:cs="Times New Roman"/>
          <w:sz w:val="24"/>
          <w:szCs w:val="24"/>
        </w:rPr>
        <w:t>Monitorimi i</w:t>
      </w:r>
      <w:r w:rsidR="007C40DD" w:rsidRPr="007C40DD">
        <w:rPr>
          <w:rFonts w:ascii="Times New Roman" w:hAnsi="Times New Roman" w:cs="Times New Roman"/>
          <w:sz w:val="24"/>
          <w:szCs w:val="24"/>
        </w:rPr>
        <w:t xml:space="preserve"> Benzenit</w:t>
      </w:r>
      <w:r>
        <w:rPr>
          <w:rFonts w:ascii="Times New Roman" w:hAnsi="Times New Roman" w:cs="Times New Roman"/>
          <w:sz w:val="24"/>
          <w:szCs w:val="24"/>
        </w:rPr>
        <w:t xml:space="preserve"> për vitin 2025 është realizuar</w:t>
      </w:r>
      <w:r w:rsidR="007C40DD" w:rsidRPr="007C40DD">
        <w:rPr>
          <w:rFonts w:ascii="Times New Roman" w:hAnsi="Times New Roman" w:cs="Times New Roman"/>
          <w:sz w:val="24"/>
          <w:szCs w:val="24"/>
        </w:rPr>
        <w:t xml:space="preserve"> në stacionet Durrës, Elbasan, Korçë, Tirana Higjena, Shkodër dhe Fier. Bazuar në të dhënat e monitoruara në vite theksojmë se në vitin 2025 kemi përmirësim t</w:t>
      </w:r>
      <w:r w:rsidR="00016CD1">
        <w:rPr>
          <w:rFonts w:ascii="Times New Roman" w:hAnsi="Times New Roman" w:cs="Times New Roman"/>
          <w:sz w:val="24"/>
          <w:szCs w:val="24"/>
        </w:rPr>
        <w:t>ë</w:t>
      </w:r>
      <w:r w:rsidR="007C40DD" w:rsidRPr="007C40DD">
        <w:rPr>
          <w:rFonts w:ascii="Times New Roman" w:hAnsi="Times New Roman" w:cs="Times New Roman"/>
          <w:sz w:val="24"/>
          <w:szCs w:val="24"/>
        </w:rPr>
        <w:t xml:space="preserve"> nivelit të Benzenit krah</w:t>
      </w:r>
      <w:r w:rsidR="00AE61D8">
        <w:rPr>
          <w:rFonts w:ascii="Times New Roman" w:hAnsi="Times New Roman" w:cs="Times New Roman"/>
          <w:sz w:val="24"/>
          <w:szCs w:val="24"/>
        </w:rPr>
        <w:t xml:space="preserve">asuar me periudhën 2019-2024 </w:t>
      </w:r>
      <w:r w:rsidR="007C40DD" w:rsidRPr="007C40DD">
        <w:rPr>
          <w:rFonts w:ascii="Times New Roman" w:hAnsi="Times New Roman" w:cs="Times New Roman"/>
          <w:sz w:val="24"/>
          <w:szCs w:val="24"/>
        </w:rPr>
        <w:t xml:space="preserve">në stacionin e Durrësit, Shkodrës dhe Fierit. Kemi përkeqësim të nivelit të Benzenit në stacionin e Elbasanit dhe Tirana Higjena. Në stacionin e Korçës kemi përmirësim krahasuar me vitin 2024 dhe është në nivele të barabarta me vitin 2023. </w:t>
      </w:r>
    </w:p>
    <w:p w:rsidR="007C40DD" w:rsidRPr="007C40DD" w:rsidRDefault="007C40DD" w:rsidP="007C40DD">
      <w:pPr>
        <w:rPr>
          <w:rFonts w:ascii="Times New Roman" w:hAnsi="Times New Roman" w:cs="Times New Roman"/>
          <w:b/>
          <w:sz w:val="24"/>
          <w:szCs w:val="24"/>
        </w:rPr>
      </w:pPr>
    </w:p>
    <w:p w:rsidR="007C40DD" w:rsidRPr="00501830" w:rsidRDefault="00501830" w:rsidP="00807975">
      <w:pPr>
        <w:pStyle w:val="ListParagraph"/>
        <w:numPr>
          <w:ilvl w:val="1"/>
          <w:numId w:val="34"/>
        </w:numPr>
        <w:rPr>
          <w:rFonts w:ascii="Times New Roman" w:hAnsi="Times New Roman" w:cs="Times New Roman"/>
          <w:b/>
          <w:sz w:val="24"/>
          <w:szCs w:val="24"/>
        </w:rPr>
      </w:pPr>
      <w:r w:rsidRPr="00501830">
        <w:rPr>
          <w:rFonts w:ascii="Times New Roman" w:hAnsi="Times New Roman" w:cs="Times New Roman"/>
          <w:b/>
          <w:sz w:val="24"/>
          <w:szCs w:val="24"/>
        </w:rPr>
        <w:t>Përfundime</w:t>
      </w:r>
    </w:p>
    <w:p w:rsidR="007C40DD" w:rsidRPr="007C40DD" w:rsidRDefault="007C40DD" w:rsidP="00E3771F">
      <w:pPr>
        <w:jc w:val="both"/>
        <w:rPr>
          <w:rFonts w:ascii="Times New Roman" w:hAnsi="Times New Roman" w:cs="Times New Roman"/>
          <w:sz w:val="24"/>
          <w:szCs w:val="24"/>
        </w:rPr>
      </w:pPr>
      <w:r w:rsidRPr="007C40DD">
        <w:rPr>
          <w:rFonts w:ascii="Times New Roman" w:hAnsi="Times New Roman" w:cs="Times New Roman"/>
          <w:sz w:val="24"/>
          <w:szCs w:val="24"/>
        </w:rPr>
        <w:t xml:space="preserve">1-Bazuar në të dhënat e </w:t>
      </w:r>
      <w:r w:rsidR="00AE61D8" w:rsidRPr="00AE61D8">
        <w:rPr>
          <w:rFonts w:ascii="Times New Roman" w:hAnsi="Times New Roman" w:cs="Times New Roman"/>
          <w:sz w:val="24"/>
          <w:szCs w:val="24"/>
        </w:rPr>
        <w:t xml:space="preserve">cilësisë së ajrit urban të </w:t>
      </w:r>
      <w:r w:rsidR="00AE61D8">
        <w:rPr>
          <w:rFonts w:ascii="Times New Roman" w:hAnsi="Times New Roman" w:cs="Times New Roman"/>
          <w:sz w:val="24"/>
          <w:szCs w:val="24"/>
        </w:rPr>
        <w:t>monitoruara në</w:t>
      </w:r>
      <w:r w:rsidRPr="007C40DD">
        <w:rPr>
          <w:rFonts w:ascii="Times New Roman" w:hAnsi="Times New Roman" w:cs="Times New Roman"/>
          <w:sz w:val="24"/>
          <w:szCs w:val="24"/>
        </w:rPr>
        <w:t xml:space="preserve"> peri</w:t>
      </w:r>
      <w:r w:rsidR="00AE61D8">
        <w:rPr>
          <w:rFonts w:ascii="Times New Roman" w:hAnsi="Times New Roman" w:cs="Times New Roman"/>
          <w:sz w:val="24"/>
          <w:szCs w:val="24"/>
        </w:rPr>
        <w:t>udhën Korrik-Dhjetor 2025,</w:t>
      </w:r>
      <w:r w:rsidRPr="007C40DD">
        <w:rPr>
          <w:rFonts w:ascii="Times New Roman" w:hAnsi="Times New Roman" w:cs="Times New Roman"/>
          <w:sz w:val="24"/>
          <w:szCs w:val="24"/>
        </w:rPr>
        <w:t xml:space="preserve"> vlerësohet se cilësia e ajrit në qytet</w:t>
      </w:r>
      <w:r w:rsidR="00334368">
        <w:rPr>
          <w:rFonts w:ascii="Times New Roman" w:hAnsi="Times New Roman" w:cs="Times New Roman"/>
          <w:sz w:val="24"/>
          <w:szCs w:val="24"/>
        </w:rPr>
        <w:t>et e monitoruara nuk është e nj</w:t>
      </w:r>
      <w:r w:rsidR="00334368">
        <w:rPr>
          <w:rFonts w:ascii="Times New Roman" w:hAnsi="Times New Roman"/>
          <w:sz w:val="24"/>
          <w:szCs w:val="24"/>
        </w:rPr>
        <w:t>ë</w:t>
      </w:r>
      <w:r w:rsidRPr="007C40DD">
        <w:rPr>
          <w:rFonts w:ascii="Times New Roman" w:hAnsi="Times New Roman" w:cs="Times New Roman"/>
          <w:sz w:val="24"/>
          <w:szCs w:val="24"/>
        </w:rPr>
        <w:t xml:space="preserve"> niveli shumë të mirë. </w:t>
      </w:r>
    </w:p>
    <w:p w:rsidR="00AE61D8" w:rsidRDefault="007C40DD" w:rsidP="00E3771F">
      <w:pPr>
        <w:jc w:val="both"/>
        <w:rPr>
          <w:rFonts w:ascii="Times New Roman" w:hAnsi="Times New Roman" w:cs="Times New Roman"/>
          <w:sz w:val="24"/>
          <w:szCs w:val="24"/>
        </w:rPr>
      </w:pPr>
      <w:r w:rsidRPr="007C40DD">
        <w:rPr>
          <w:rFonts w:ascii="Times New Roman" w:hAnsi="Times New Roman" w:cs="Times New Roman"/>
          <w:sz w:val="24"/>
          <w:szCs w:val="24"/>
        </w:rPr>
        <w:t>2-Ndotësit kryesorë të cilësisë së ajrit urban janë plu</w:t>
      </w:r>
      <w:r w:rsidR="00E071D4">
        <w:rPr>
          <w:rFonts w:ascii="Times New Roman" w:hAnsi="Times New Roman" w:cs="Times New Roman"/>
          <w:sz w:val="24"/>
          <w:szCs w:val="24"/>
        </w:rPr>
        <w:t>hurat me diameter 10 mikromet</w:t>
      </w:r>
      <w:r w:rsidR="00225502">
        <w:rPr>
          <w:rFonts w:ascii="Times New Roman" w:hAnsi="Times New Roman" w:cs="Times New Roman"/>
          <w:sz w:val="24"/>
          <w:szCs w:val="24"/>
        </w:rPr>
        <w:t>ë</w:t>
      </w:r>
      <w:r w:rsidR="00E071D4">
        <w:rPr>
          <w:rFonts w:ascii="Times New Roman" w:hAnsi="Times New Roman" w:cs="Times New Roman"/>
          <w:sz w:val="24"/>
          <w:szCs w:val="24"/>
        </w:rPr>
        <w:t>r</w:t>
      </w:r>
      <w:r w:rsidR="00225502">
        <w:rPr>
          <w:rFonts w:ascii="Times New Roman" w:hAnsi="Times New Roman" w:cs="Times New Roman"/>
          <w:sz w:val="24"/>
          <w:szCs w:val="24"/>
        </w:rPr>
        <w:t xml:space="preserve"> </w:t>
      </w:r>
      <w:r w:rsidR="00AE61D8">
        <w:rPr>
          <w:rFonts w:ascii="Times New Roman" w:hAnsi="Times New Roman" w:cs="Times New Roman"/>
          <w:sz w:val="24"/>
          <w:szCs w:val="24"/>
        </w:rPr>
        <w:t>(</w:t>
      </w:r>
      <w:r w:rsidRPr="007C40DD">
        <w:rPr>
          <w:rFonts w:ascii="Times New Roman" w:hAnsi="Times New Roman" w:cs="Times New Roman"/>
          <w:sz w:val="24"/>
          <w:szCs w:val="24"/>
        </w:rPr>
        <w:t>PM</w:t>
      </w:r>
      <w:r w:rsidRPr="00334368">
        <w:rPr>
          <w:rFonts w:ascii="Times New Roman" w:hAnsi="Times New Roman" w:cs="Times New Roman"/>
          <w:sz w:val="24"/>
          <w:szCs w:val="24"/>
          <w:vertAlign w:val="subscript"/>
        </w:rPr>
        <w:t>10</w:t>
      </w:r>
      <w:r w:rsidR="00AE61D8">
        <w:rPr>
          <w:rFonts w:ascii="Times New Roman" w:hAnsi="Times New Roman" w:cs="Times New Roman"/>
          <w:sz w:val="24"/>
          <w:szCs w:val="24"/>
        </w:rPr>
        <w:t>)</w:t>
      </w:r>
      <w:r w:rsidR="00334368">
        <w:rPr>
          <w:rFonts w:ascii="Times New Roman" w:hAnsi="Times New Roman" w:cs="Times New Roman"/>
          <w:sz w:val="24"/>
          <w:szCs w:val="24"/>
        </w:rPr>
        <w:t xml:space="preserve"> sidomos</w:t>
      </w:r>
      <w:r w:rsidRPr="007C40DD">
        <w:rPr>
          <w:rFonts w:ascii="Times New Roman" w:hAnsi="Times New Roman" w:cs="Times New Roman"/>
          <w:sz w:val="24"/>
          <w:szCs w:val="24"/>
        </w:rPr>
        <w:t xml:space="preserve"> në stacionin </w:t>
      </w:r>
      <w:r w:rsidR="00334368">
        <w:rPr>
          <w:rFonts w:ascii="Times New Roman" w:hAnsi="Times New Roman" w:cs="Times New Roman"/>
          <w:sz w:val="24"/>
          <w:szCs w:val="24"/>
        </w:rPr>
        <w:t>e Tirana Higjena dhe Elbasanit.</w:t>
      </w:r>
      <w:r w:rsidRPr="007C40DD">
        <w:rPr>
          <w:rFonts w:ascii="Times New Roman" w:hAnsi="Times New Roman" w:cs="Times New Roman"/>
          <w:sz w:val="24"/>
          <w:szCs w:val="24"/>
        </w:rPr>
        <w:t xml:space="preserve"> Burimi kryesor i ndotjes nga PM</w:t>
      </w:r>
      <w:r w:rsidRPr="00334368">
        <w:rPr>
          <w:rFonts w:ascii="Times New Roman" w:hAnsi="Times New Roman" w:cs="Times New Roman"/>
          <w:sz w:val="24"/>
          <w:szCs w:val="24"/>
          <w:vertAlign w:val="subscript"/>
        </w:rPr>
        <w:t>10</w:t>
      </w:r>
      <w:r w:rsidRPr="007C40DD">
        <w:rPr>
          <w:rFonts w:ascii="Times New Roman" w:hAnsi="Times New Roman" w:cs="Times New Roman"/>
          <w:sz w:val="24"/>
          <w:szCs w:val="24"/>
        </w:rPr>
        <w:t xml:space="preserve"> në stacionin e Tirana </w:t>
      </w:r>
      <w:r w:rsidR="00AE61D8">
        <w:rPr>
          <w:rFonts w:ascii="Times New Roman" w:hAnsi="Times New Roman" w:cs="Times New Roman"/>
          <w:sz w:val="24"/>
          <w:szCs w:val="24"/>
        </w:rPr>
        <w:t xml:space="preserve"> </w:t>
      </w:r>
      <w:r w:rsidRPr="007C40DD">
        <w:rPr>
          <w:rFonts w:ascii="Times New Roman" w:hAnsi="Times New Roman" w:cs="Times New Roman"/>
          <w:sz w:val="24"/>
          <w:szCs w:val="24"/>
        </w:rPr>
        <w:t xml:space="preserve">Higjena dhe Elbasanit është </w:t>
      </w:r>
      <w:r w:rsidR="00334368">
        <w:rPr>
          <w:rFonts w:ascii="Times New Roman" w:hAnsi="Times New Roman" w:cs="Times New Roman"/>
          <w:sz w:val="24"/>
          <w:szCs w:val="24"/>
        </w:rPr>
        <w:t>trafiku pasi dhe stacionet janë</w:t>
      </w:r>
      <w:r w:rsidRPr="007C40DD">
        <w:rPr>
          <w:rFonts w:ascii="Times New Roman" w:hAnsi="Times New Roman" w:cs="Times New Roman"/>
          <w:sz w:val="24"/>
          <w:szCs w:val="24"/>
        </w:rPr>
        <w:t xml:space="preserve"> instaluar </w:t>
      </w:r>
      <w:r w:rsidR="00AE61D8">
        <w:rPr>
          <w:rFonts w:ascii="Times New Roman" w:hAnsi="Times New Roman" w:cs="Times New Roman"/>
          <w:sz w:val="24"/>
          <w:szCs w:val="24"/>
        </w:rPr>
        <w:t xml:space="preserve">pranë </w:t>
      </w:r>
      <w:r w:rsidRPr="007C40DD">
        <w:rPr>
          <w:rFonts w:ascii="Times New Roman" w:hAnsi="Times New Roman" w:cs="Times New Roman"/>
          <w:sz w:val="24"/>
          <w:szCs w:val="24"/>
        </w:rPr>
        <w:t>rrugë</w:t>
      </w:r>
      <w:r w:rsidR="00AE61D8">
        <w:rPr>
          <w:rFonts w:ascii="Times New Roman" w:hAnsi="Times New Roman" w:cs="Times New Roman"/>
          <w:sz w:val="24"/>
          <w:szCs w:val="24"/>
        </w:rPr>
        <w:t>ve</w:t>
      </w:r>
      <w:r w:rsidRPr="007C40DD">
        <w:rPr>
          <w:rFonts w:ascii="Times New Roman" w:hAnsi="Times New Roman" w:cs="Times New Roman"/>
          <w:sz w:val="24"/>
          <w:szCs w:val="24"/>
        </w:rPr>
        <w:t xml:space="preserve"> me trafik të r</w:t>
      </w:r>
      <w:r w:rsidR="00AE61D8">
        <w:rPr>
          <w:rFonts w:ascii="Times New Roman" w:hAnsi="Times New Roman" w:cs="Times New Roman"/>
          <w:sz w:val="24"/>
          <w:szCs w:val="24"/>
        </w:rPr>
        <w:t>ë</w:t>
      </w:r>
      <w:r w:rsidRPr="007C40DD">
        <w:rPr>
          <w:rFonts w:ascii="Times New Roman" w:hAnsi="Times New Roman" w:cs="Times New Roman"/>
          <w:sz w:val="24"/>
          <w:szCs w:val="24"/>
        </w:rPr>
        <w:t xml:space="preserve">nduar në qytetin e Tiranës dhe </w:t>
      </w:r>
      <w:r w:rsidR="00AE61D8">
        <w:rPr>
          <w:rFonts w:ascii="Times New Roman" w:hAnsi="Times New Roman" w:cs="Times New Roman"/>
          <w:sz w:val="24"/>
          <w:szCs w:val="24"/>
        </w:rPr>
        <w:t xml:space="preserve"> Elbasanit.</w:t>
      </w:r>
    </w:p>
    <w:p w:rsidR="007C40DD" w:rsidRPr="007C40DD" w:rsidRDefault="007C40DD" w:rsidP="00E3771F">
      <w:pPr>
        <w:jc w:val="both"/>
        <w:rPr>
          <w:rFonts w:ascii="Times New Roman" w:hAnsi="Times New Roman" w:cs="Times New Roman"/>
          <w:sz w:val="24"/>
          <w:szCs w:val="24"/>
        </w:rPr>
      </w:pPr>
      <w:r w:rsidRPr="007C40DD">
        <w:rPr>
          <w:rFonts w:ascii="Times New Roman" w:hAnsi="Times New Roman" w:cs="Times New Roman"/>
          <w:sz w:val="24"/>
          <w:szCs w:val="24"/>
        </w:rPr>
        <w:t>3-Nivelet më të larta të ozonit janë m</w:t>
      </w:r>
      <w:r w:rsidR="00334368">
        <w:rPr>
          <w:rFonts w:ascii="Times New Roman" w:hAnsi="Times New Roman" w:cs="Times New Roman"/>
          <w:sz w:val="24"/>
          <w:szCs w:val="24"/>
        </w:rPr>
        <w:t>onitoruar në stacionin e Fierit</w:t>
      </w:r>
      <w:r w:rsidR="00AE61D8">
        <w:rPr>
          <w:rFonts w:ascii="Times New Roman" w:hAnsi="Times New Roman" w:cs="Times New Roman"/>
          <w:sz w:val="24"/>
          <w:szCs w:val="24"/>
        </w:rPr>
        <w:t>, v</w:t>
      </w:r>
      <w:r w:rsidRPr="007C40DD">
        <w:rPr>
          <w:rFonts w:ascii="Times New Roman" w:hAnsi="Times New Roman" w:cs="Times New Roman"/>
          <w:sz w:val="24"/>
          <w:szCs w:val="24"/>
        </w:rPr>
        <w:t xml:space="preserve">lera më e lartë është 156.34 µg/m³ </w:t>
      </w:r>
      <w:r w:rsidR="00AE61D8">
        <w:rPr>
          <w:rFonts w:ascii="Times New Roman" w:hAnsi="Times New Roman" w:cs="Times New Roman"/>
          <w:sz w:val="24"/>
          <w:szCs w:val="24"/>
        </w:rPr>
        <w:t>e monitoruar n</w:t>
      </w:r>
      <w:r w:rsidRPr="007C40DD">
        <w:rPr>
          <w:rFonts w:ascii="Times New Roman" w:hAnsi="Times New Roman" w:cs="Times New Roman"/>
          <w:sz w:val="24"/>
          <w:szCs w:val="24"/>
        </w:rPr>
        <w:t>ë datën 14.10.2025.</w:t>
      </w:r>
    </w:p>
    <w:p w:rsidR="007C40DD" w:rsidRPr="007C40DD" w:rsidRDefault="007C40DD" w:rsidP="00E3771F">
      <w:pPr>
        <w:jc w:val="both"/>
        <w:rPr>
          <w:rFonts w:ascii="Times New Roman" w:hAnsi="Times New Roman" w:cs="Times New Roman"/>
          <w:sz w:val="24"/>
          <w:szCs w:val="24"/>
        </w:rPr>
      </w:pPr>
      <w:r w:rsidRPr="007C40DD">
        <w:rPr>
          <w:rFonts w:ascii="Times New Roman" w:hAnsi="Times New Roman" w:cs="Times New Roman"/>
          <w:sz w:val="24"/>
          <w:szCs w:val="24"/>
        </w:rPr>
        <w:t>4-Gjatë</w:t>
      </w:r>
      <w:r w:rsidR="00225502">
        <w:rPr>
          <w:rFonts w:ascii="Times New Roman" w:hAnsi="Times New Roman" w:cs="Times New Roman"/>
          <w:sz w:val="24"/>
          <w:szCs w:val="24"/>
        </w:rPr>
        <w:t xml:space="preserve"> </w:t>
      </w:r>
      <w:r w:rsidRPr="007C40DD">
        <w:rPr>
          <w:rFonts w:ascii="Times New Roman" w:hAnsi="Times New Roman" w:cs="Times New Roman"/>
          <w:sz w:val="24"/>
          <w:szCs w:val="24"/>
        </w:rPr>
        <w:t>viteve të mëparshme janë evidentuar tejkalime të vlerave limit, kryesisht për përqendrimet e grimcave PM</w:t>
      </w:r>
      <w:r w:rsidRPr="00334368">
        <w:rPr>
          <w:rFonts w:ascii="Times New Roman" w:hAnsi="Times New Roman" w:cs="Times New Roman"/>
          <w:sz w:val="24"/>
          <w:szCs w:val="24"/>
          <w:vertAlign w:val="subscript"/>
        </w:rPr>
        <w:t>10</w:t>
      </w:r>
      <w:r w:rsidRPr="007C40DD">
        <w:rPr>
          <w:rFonts w:ascii="Times New Roman" w:hAnsi="Times New Roman" w:cs="Times New Roman"/>
          <w:sz w:val="24"/>
          <w:szCs w:val="24"/>
        </w:rPr>
        <w:t xml:space="preserve"> dhe PM</w:t>
      </w:r>
      <w:r w:rsidRPr="00334368">
        <w:rPr>
          <w:rFonts w:ascii="Times New Roman" w:hAnsi="Times New Roman" w:cs="Times New Roman"/>
          <w:sz w:val="24"/>
          <w:szCs w:val="24"/>
          <w:vertAlign w:val="subscript"/>
        </w:rPr>
        <w:t>2.5</w:t>
      </w:r>
      <w:r w:rsidRPr="007C40DD">
        <w:rPr>
          <w:rFonts w:ascii="Times New Roman" w:hAnsi="Times New Roman" w:cs="Times New Roman"/>
          <w:sz w:val="24"/>
          <w:szCs w:val="24"/>
        </w:rPr>
        <w:t>, në stacionet e monitorimit në Elbasan dhe Tirana Higjena, si dhe në stacionin e Korçës, veçanërisht gjatë periudhës së dimrit.</w:t>
      </w:r>
    </w:p>
    <w:p w:rsidR="007C40DD" w:rsidRPr="007C40DD" w:rsidRDefault="007C40DD" w:rsidP="00E3771F">
      <w:pPr>
        <w:jc w:val="both"/>
        <w:rPr>
          <w:rFonts w:ascii="Times New Roman" w:hAnsi="Times New Roman" w:cs="Times New Roman"/>
          <w:sz w:val="24"/>
          <w:szCs w:val="24"/>
        </w:rPr>
      </w:pPr>
      <w:r w:rsidRPr="007C40DD">
        <w:rPr>
          <w:rFonts w:ascii="Times New Roman" w:hAnsi="Times New Roman" w:cs="Times New Roman"/>
          <w:sz w:val="24"/>
          <w:szCs w:val="24"/>
        </w:rPr>
        <w:t xml:space="preserve">5-Në stacionin Tirana Higjena janë konstatuar gjithashtu </w:t>
      </w:r>
      <w:r w:rsidR="00334368">
        <w:rPr>
          <w:rFonts w:ascii="Times New Roman" w:hAnsi="Times New Roman" w:cs="Times New Roman"/>
          <w:sz w:val="24"/>
          <w:szCs w:val="24"/>
        </w:rPr>
        <w:t>tejkalime të përq</w:t>
      </w:r>
      <w:r w:rsidR="00334368">
        <w:rPr>
          <w:rFonts w:ascii="Times New Roman" w:hAnsi="Times New Roman"/>
          <w:sz w:val="24"/>
          <w:szCs w:val="24"/>
        </w:rPr>
        <w:t>ë</w:t>
      </w:r>
      <w:r w:rsidRPr="007C40DD">
        <w:rPr>
          <w:rFonts w:ascii="Times New Roman" w:hAnsi="Times New Roman" w:cs="Times New Roman"/>
          <w:sz w:val="24"/>
          <w:szCs w:val="24"/>
        </w:rPr>
        <w:t>ndrimeve të NO</w:t>
      </w:r>
      <w:r w:rsidR="007A6C83">
        <w:rPr>
          <w:rFonts w:ascii="Times New Roman" w:hAnsi="Times New Roman" w:cs="Times New Roman"/>
          <w:sz w:val="24"/>
          <w:szCs w:val="24"/>
          <w:vertAlign w:val="subscript"/>
        </w:rPr>
        <w:t>2</w:t>
      </w:r>
      <w:r w:rsidRPr="007C40DD">
        <w:rPr>
          <w:rFonts w:ascii="Times New Roman" w:hAnsi="Times New Roman" w:cs="Times New Roman"/>
          <w:sz w:val="24"/>
          <w:szCs w:val="24"/>
        </w:rPr>
        <w:t xml:space="preserve">, ose nivele shumë </w:t>
      </w:r>
      <w:r w:rsidR="00334368">
        <w:rPr>
          <w:rFonts w:ascii="Times New Roman" w:hAnsi="Times New Roman" w:cs="Times New Roman"/>
          <w:sz w:val="24"/>
          <w:szCs w:val="24"/>
        </w:rPr>
        <w:t>pranë vlerës kufi të standardit</w:t>
      </w:r>
      <w:r w:rsidRPr="007C40DD">
        <w:rPr>
          <w:rFonts w:ascii="Times New Roman" w:hAnsi="Times New Roman" w:cs="Times New Roman"/>
          <w:sz w:val="24"/>
          <w:szCs w:val="24"/>
        </w:rPr>
        <w:t>.</w:t>
      </w:r>
    </w:p>
    <w:p w:rsidR="007C40DD" w:rsidRPr="00501830" w:rsidRDefault="007C40DD" w:rsidP="007A6C83">
      <w:pPr>
        <w:jc w:val="both"/>
        <w:rPr>
          <w:rFonts w:ascii="Times New Roman" w:hAnsi="Times New Roman" w:cs="Times New Roman"/>
          <w:sz w:val="24"/>
          <w:szCs w:val="24"/>
        </w:rPr>
      </w:pPr>
      <w:r w:rsidRPr="007C40DD">
        <w:rPr>
          <w:rFonts w:ascii="Times New Roman" w:hAnsi="Times New Roman" w:cs="Times New Roman"/>
          <w:sz w:val="24"/>
          <w:szCs w:val="24"/>
        </w:rPr>
        <w:t xml:space="preserve">Nga të dhënat e monitorimit ndër vite të realizuara nga AKM tregon se burimet </w:t>
      </w:r>
      <w:r w:rsidR="00334368">
        <w:rPr>
          <w:rFonts w:ascii="Times New Roman" w:hAnsi="Times New Roman" w:cs="Times New Roman"/>
          <w:sz w:val="24"/>
          <w:szCs w:val="24"/>
        </w:rPr>
        <w:t>kryesore të ndotjes së ajrit në</w:t>
      </w:r>
      <w:r w:rsidRPr="007C40DD">
        <w:rPr>
          <w:rFonts w:ascii="Times New Roman" w:hAnsi="Times New Roman" w:cs="Times New Roman"/>
          <w:sz w:val="24"/>
          <w:szCs w:val="24"/>
        </w:rPr>
        <w:t xml:space="preserve"> Shqipëri lidhen kryesisht me trafikun rrugor, aktivitetet e ndërtimit, si dhe përdorimin e lënd</w:t>
      </w:r>
      <w:r w:rsidR="007A6C83">
        <w:rPr>
          <w:rFonts w:ascii="Times New Roman" w:hAnsi="Times New Roman" w:cs="Times New Roman"/>
          <w:sz w:val="24"/>
          <w:szCs w:val="24"/>
        </w:rPr>
        <w:t>ëve djegëse fosile për ngrohje.</w:t>
      </w:r>
    </w:p>
    <w:p w:rsidR="00AE61D8" w:rsidRDefault="00AE61D8" w:rsidP="00CA0BC8">
      <w:pPr>
        <w:rPr>
          <w:rFonts w:ascii="Times New Roman" w:eastAsia="Calibri" w:hAnsi="Times New Roman" w:cs="Times New Roman"/>
          <w:b/>
          <w:color w:val="000000"/>
          <w:sz w:val="24"/>
          <w:szCs w:val="24"/>
        </w:rPr>
      </w:pPr>
    </w:p>
    <w:p w:rsidR="0047684C" w:rsidRPr="00501830" w:rsidRDefault="00501830" w:rsidP="00CA0BC8">
      <w:pPr>
        <w:rPr>
          <w:rFonts w:ascii="Times New Roman" w:eastAsia="Calibri" w:hAnsi="Times New Roman" w:cs="Times New Roman"/>
          <w:b/>
          <w:color w:val="000000"/>
          <w:sz w:val="24"/>
          <w:szCs w:val="24"/>
        </w:rPr>
      </w:pPr>
      <w:r w:rsidRPr="00501830">
        <w:rPr>
          <w:rFonts w:ascii="Times New Roman" w:eastAsia="Calibri" w:hAnsi="Times New Roman" w:cs="Times New Roman"/>
          <w:b/>
          <w:color w:val="000000"/>
          <w:sz w:val="24"/>
          <w:szCs w:val="24"/>
        </w:rPr>
        <w:lastRenderedPageBreak/>
        <w:t xml:space="preserve">1.4 </w:t>
      </w:r>
      <w:r w:rsidR="00CA0BC8" w:rsidRPr="00501830">
        <w:rPr>
          <w:rFonts w:ascii="Times New Roman" w:eastAsia="Calibri" w:hAnsi="Times New Roman" w:cs="Times New Roman"/>
          <w:b/>
          <w:color w:val="000000"/>
          <w:sz w:val="24"/>
          <w:szCs w:val="24"/>
        </w:rPr>
        <w:t>Cilësia</w:t>
      </w:r>
      <w:r w:rsidR="0047684C" w:rsidRPr="00501830">
        <w:rPr>
          <w:rFonts w:ascii="Times New Roman" w:eastAsia="Calibri" w:hAnsi="Times New Roman" w:cs="Times New Roman"/>
          <w:b/>
          <w:color w:val="000000"/>
          <w:sz w:val="24"/>
          <w:szCs w:val="24"/>
        </w:rPr>
        <w:t xml:space="preserve"> e naftës dhe nënprodukteve të tyre për vitin </w:t>
      </w:r>
      <w:r w:rsidR="0047684C" w:rsidRPr="00501830">
        <w:rPr>
          <w:rFonts w:ascii="Times New Roman" w:eastAsia="Calibri" w:hAnsi="Times New Roman" w:cs="Times New Roman"/>
          <w:b/>
          <w:sz w:val="24"/>
          <w:szCs w:val="24"/>
        </w:rPr>
        <w:t>202</w:t>
      </w:r>
      <w:r w:rsidR="00E70CB4" w:rsidRPr="00501830">
        <w:rPr>
          <w:rFonts w:ascii="Times New Roman" w:eastAsia="Calibri" w:hAnsi="Times New Roman" w:cs="Times New Roman"/>
          <w:b/>
          <w:sz w:val="24"/>
          <w:szCs w:val="24"/>
        </w:rPr>
        <w:t>5</w:t>
      </w:r>
    </w:p>
    <w:p w:rsidR="0047684C" w:rsidRPr="00CA0BC8" w:rsidRDefault="00CA0BC8" w:rsidP="0047684C">
      <w:pPr>
        <w:jc w:val="both"/>
        <w:rPr>
          <w:rFonts w:ascii="Times New Roman" w:eastAsia="Calibri" w:hAnsi="Times New Roman" w:cs="Times New Roman"/>
          <w:sz w:val="24"/>
          <w:szCs w:val="24"/>
        </w:rPr>
      </w:pPr>
      <w:r>
        <w:rPr>
          <w:rFonts w:ascii="Times New Roman" w:eastAsia="Calibri" w:hAnsi="Times New Roman" w:cs="Times New Roman"/>
          <w:sz w:val="24"/>
          <w:szCs w:val="24"/>
        </w:rPr>
        <w:t>Një nga burimet e ndotjes së ajrit është dhe cilësia e lëndës djegëse që përd</w:t>
      </w:r>
      <w:r w:rsidR="003A6544">
        <w:rPr>
          <w:rFonts w:ascii="Times New Roman" w:eastAsia="Calibri" w:hAnsi="Times New Roman" w:cs="Times New Roman"/>
          <w:sz w:val="24"/>
          <w:szCs w:val="24"/>
        </w:rPr>
        <w:t xml:space="preserve">oret për mjetet e transportit. </w:t>
      </w:r>
      <w:r>
        <w:rPr>
          <w:rFonts w:ascii="Times New Roman" w:eastAsia="Calibri" w:hAnsi="Times New Roman" w:cs="Times New Roman"/>
          <w:sz w:val="24"/>
          <w:szCs w:val="24"/>
        </w:rPr>
        <w:t>Inspektoriati Shtetëror Teknik Industrial (ISHTI) kryen kontrolle</w:t>
      </w:r>
      <w:r w:rsidRPr="00CA0BC8">
        <w:rPr>
          <w:rFonts w:ascii="Times New Roman" w:eastAsia="Calibri" w:hAnsi="Times New Roman" w:cs="Times New Roman"/>
          <w:sz w:val="24"/>
          <w:szCs w:val="24"/>
        </w:rPr>
        <w:t xml:space="preserve"> </w:t>
      </w:r>
      <w:r w:rsidRPr="0047684C">
        <w:rPr>
          <w:rFonts w:ascii="Times New Roman" w:eastAsia="Calibri" w:hAnsi="Times New Roman" w:cs="Times New Roman"/>
          <w:sz w:val="24"/>
          <w:szCs w:val="24"/>
        </w:rPr>
        <w:t>për respektimin e standarteve shtetërore për cilësinë e naftës dhe nënprodukteve të saj</w:t>
      </w:r>
      <w:r>
        <w:rPr>
          <w:rFonts w:ascii="Times New Roman" w:eastAsia="Calibri" w:hAnsi="Times New Roman" w:cs="Times New Roman"/>
          <w:sz w:val="24"/>
          <w:szCs w:val="24"/>
        </w:rPr>
        <w:t>. Ky kontroll</w:t>
      </w:r>
      <w:r w:rsidR="0047684C" w:rsidRPr="0047684C">
        <w:rPr>
          <w:rFonts w:ascii="Times New Roman" w:eastAsia="Calibri" w:hAnsi="Times New Roman" w:cs="Times New Roman"/>
          <w:sz w:val="24"/>
          <w:szCs w:val="24"/>
        </w:rPr>
        <w:t xml:space="preserve"> realizohet në zbatim të pikës 2 të nenit 23 të ligjit Nr.8450, datë 24.04.1999 “Për përpunimin, transportimin dhe tregëtimin e naftës, gazit dhe nënprodukteve të tyre”, të ndryshuar, VKM Nr.147, datë 21.03.2007 “Për cilësinë e lëndëve djegëse,</w:t>
      </w:r>
      <w:r w:rsidR="00225502">
        <w:rPr>
          <w:rFonts w:ascii="Times New Roman" w:eastAsia="Calibri" w:hAnsi="Times New Roman" w:cs="Times New Roman"/>
          <w:sz w:val="24"/>
          <w:szCs w:val="24"/>
        </w:rPr>
        <w:t xml:space="preserve"> </w:t>
      </w:r>
      <w:r w:rsidR="0047684C" w:rsidRPr="0047684C">
        <w:rPr>
          <w:rFonts w:ascii="Times New Roman" w:eastAsia="Calibri" w:hAnsi="Times New Roman" w:cs="Times New Roman"/>
          <w:sz w:val="24"/>
          <w:szCs w:val="24"/>
        </w:rPr>
        <w:t>benzinë dhe diesel”, VKM Nr.429</w:t>
      </w:r>
      <w:r w:rsidR="0047684C" w:rsidRPr="0047684C">
        <w:rPr>
          <w:rFonts w:ascii="Times New Roman" w:eastAsia="Calibri" w:hAnsi="Times New Roman" w:cs="Times New Roman"/>
          <w:color w:val="000000"/>
          <w:sz w:val="24"/>
          <w:szCs w:val="24"/>
        </w:rPr>
        <w:t xml:space="preserve">, datë 26.06.2019 </w:t>
      </w:r>
      <w:r w:rsidR="0047684C" w:rsidRPr="0047684C">
        <w:rPr>
          <w:rFonts w:ascii="Times New Roman" w:eastAsia="Calibri" w:hAnsi="Times New Roman" w:cs="Times New Roman"/>
          <w:sz w:val="24"/>
          <w:szCs w:val="24"/>
        </w:rPr>
        <w:t>“Për cilësinë e disa lëndëve të djegshme, të lëngëta, për përdorim termik, civil dhe industrial, si dhe përdorim në mjetet e transportit ujor (detar,</w:t>
      </w:r>
      <w:r>
        <w:rPr>
          <w:rFonts w:ascii="Times New Roman" w:eastAsia="Calibri" w:hAnsi="Times New Roman" w:cs="Times New Roman"/>
          <w:sz w:val="24"/>
          <w:szCs w:val="24"/>
        </w:rPr>
        <w:t xml:space="preserve"> </w:t>
      </w:r>
      <w:r w:rsidR="0047684C" w:rsidRPr="0047684C">
        <w:rPr>
          <w:rFonts w:ascii="Times New Roman" w:eastAsia="Calibri" w:hAnsi="Times New Roman" w:cs="Times New Roman"/>
          <w:sz w:val="24"/>
          <w:szCs w:val="24"/>
        </w:rPr>
        <w:t xml:space="preserve">lumor dhe liqenor), Urdhërit të </w:t>
      </w:r>
      <w:r w:rsidR="00225502">
        <w:rPr>
          <w:rFonts w:ascii="Times New Roman" w:eastAsia="Calibri" w:hAnsi="Times New Roman" w:cs="Times New Roman"/>
          <w:sz w:val="24"/>
          <w:szCs w:val="24"/>
        </w:rPr>
        <w:t>M</w:t>
      </w:r>
      <w:r w:rsidR="0047684C" w:rsidRPr="0047684C">
        <w:rPr>
          <w:rFonts w:ascii="Times New Roman" w:eastAsia="Calibri" w:hAnsi="Times New Roman" w:cs="Times New Roman"/>
          <w:sz w:val="24"/>
          <w:szCs w:val="24"/>
        </w:rPr>
        <w:t>inistrit nr.6 datë 09.01.2015 “</w:t>
      </w:r>
      <w:r w:rsidR="0047684C" w:rsidRPr="0047684C">
        <w:rPr>
          <w:rFonts w:ascii="Times New Roman" w:eastAsia="Calibri" w:hAnsi="Times New Roman" w:cs="Times New Roman"/>
          <w:i/>
          <w:sz w:val="24"/>
          <w:szCs w:val="24"/>
        </w:rPr>
        <w:t>Për kontrollin e standardeve teknike të naftës dhe nënprodukteve të saj, procedurat dhe tarifat përkatëse</w:t>
      </w:r>
      <w:r w:rsidR="0047684C" w:rsidRPr="0047684C">
        <w:rPr>
          <w:rFonts w:ascii="Times New Roman" w:eastAsia="Calibri" w:hAnsi="Times New Roman" w:cs="Times New Roman"/>
          <w:sz w:val="24"/>
          <w:szCs w:val="24"/>
        </w:rPr>
        <w:t>” dhe Udhëzimit Nr.3492, datë 30.04.2015 “</w:t>
      </w:r>
      <w:r w:rsidR="0047684C" w:rsidRPr="0047684C">
        <w:rPr>
          <w:rFonts w:ascii="Times New Roman" w:eastAsia="Calibri" w:hAnsi="Times New Roman" w:cs="Times New Roman"/>
          <w:i/>
          <w:sz w:val="24"/>
          <w:szCs w:val="24"/>
        </w:rPr>
        <w:t>Për koordinimin ndërinstitucionaltë procedurave standard të kontrollit cilë</w:t>
      </w:r>
      <w:r w:rsidR="00334368">
        <w:rPr>
          <w:rFonts w:ascii="Times New Roman" w:eastAsia="Calibri" w:hAnsi="Times New Roman" w:cs="Times New Roman"/>
          <w:i/>
          <w:sz w:val="24"/>
          <w:szCs w:val="24"/>
        </w:rPr>
        <w:t>s</w:t>
      </w:r>
      <w:r w:rsidR="0047684C" w:rsidRPr="0047684C">
        <w:rPr>
          <w:rFonts w:ascii="Times New Roman" w:eastAsia="Calibri" w:hAnsi="Times New Roman" w:cs="Times New Roman"/>
          <w:i/>
          <w:sz w:val="24"/>
          <w:szCs w:val="24"/>
        </w:rPr>
        <w:t>or dhe fiskal të naftës bruto dhe nënproduktet e saj në Republikën e Shqipërisë</w:t>
      </w:r>
      <w:r>
        <w:rPr>
          <w:rFonts w:ascii="Times New Roman" w:eastAsia="Calibri" w:hAnsi="Times New Roman" w:cs="Times New Roman"/>
          <w:sz w:val="24"/>
          <w:szCs w:val="24"/>
        </w:rPr>
        <w:t>”, Udhëzim i</w:t>
      </w:r>
      <w:r w:rsidR="0047684C" w:rsidRPr="0047684C">
        <w:rPr>
          <w:rFonts w:ascii="Times New Roman" w:eastAsia="Calibri" w:hAnsi="Times New Roman" w:cs="Times New Roman"/>
          <w:sz w:val="24"/>
          <w:szCs w:val="24"/>
        </w:rPr>
        <w:t xml:space="preserve"> Përbashkët Nr.6529/2 datë 06.10.2020 “</w:t>
      </w:r>
      <w:r w:rsidR="0047684C" w:rsidRPr="0047684C">
        <w:rPr>
          <w:rFonts w:ascii="Times New Roman" w:eastAsia="Calibri" w:hAnsi="Times New Roman" w:cs="Times New Roman"/>
          <w:i/>
          <w:sz w:val="24"/>
          <w:szCs w:val="24"/>
        </w:rPr>
        <w:t>Për mbledhjen,</w:t>
      </w:r>
      <w:r w:rsidR="00334368">
        <w:rPr>
          <w:rFonts w:ascii="Times New Roman" w:eastAsia="Calibri" w:hAnsi="Times New Roman" w:cs="Times New Roman"/>
          <w:i/>
          <w:sz w:val="24"/>
          <w:szCs w:val="24"/>
        </w:rPr>
        <w:t xml:space="preserve"> </w:t>
      </w:r>
      <w:r w:rsidR="0047684C" w:rsidRPr="0047684C">
        <w:rPr>
          <w:rFonts w:ascii="Times New Roman" w:eastAsia="Calibri" w:hAnsi="Times New Roman" w:cs="Times New Roman"/>
          <w:i/>
          <w:sz w:val="24"/>
          <w:szCs w:val="24"/>
        </w:rPr>
        <w:t>ruajtjen marrjen e mostrave dhe raportimin e të dhënave për cilësinë e benzinës,</w:t>
      </w:r>
      <w:r>
        <w:rPr>
          <w:rFonts w:ascii="Times New Roman" w:eastAsia="Calibri" w:hAnsi="Times New Roman" w:cs="Times New Roman"/>
          <w:i/>
          <w:sz w:val="24"/>
          <w:szCs w:val="24"/>
        </w:rPr>
        <w:t xml:space="preserve"> </w:t>
      </w:r>
      <w:r w:rsidR="0047684C" w:rsidRPr="0047684C">
        <w:rPr>
          <w:rFonts w:ascii="Times New Roman" w:eastAsia="Calibri" w:hAnsi="Times New Roman" w:cs="Times New Roman"/>
          <w:i/>
          <w:sz w:val="24"/>
          <w:szCs w:val="24"/>
        </w:rPr>
        <w:t>diezelit, gazit të lëngët të naftës (GLN), lëndëve djegëse të lëngëta të mesme-rënda, lëndëve djegëse të lëngëta të rënda, lëndëve djegëse të lëngëta detare dhe furnizuesit e këtyre të lëndëve djegëse të lëngëta”.</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 xml:space="preserve">Kontrolli i cilësisë së naftës, </w:t>
      </w:r>
      <w:r w:rsidR="00CA0BC8">
        <w:rPr>
          <w:rFonts w:ascii="Times New Roman" w:eastAsia="Calibri" w:hAnsi="Times New Roman" w:cs="Times New Roman"/>
          <w:sz w:val="24"/>
          <w:szCs w:val="24"/>
        </w:rPr>
        <w:t>gazit dhe nënprodukteve të tyre</w:t>
      </w:r>
      <w:r w:rsidRPr="0047684C">
        <w:rPr>
          <w:rFonts w:ascii="Times New Roman" w:eastAsia="Calibri" w:hAnsi="Times New Roman" w:cs="Times New Roman"/>
          <w:sz w:val="24"/>
          <w:szCs w:val="24"/>
        </w:rPr>
        <w:t>, përfshin përcaktimin e vetive fizike dhe kimike sipas kërkesave të standardeve shtetërore të miratuara, parandalimin e falsifikimit të cilësisë nga subjektet e tregtimit me shumicë dhe ato me pakicë gjatë transportimit,</w:t>
      </w:r>
      <w:r w:rsidR="00CA0BC8">
        <w:rPr>
          <w:rFonts w:ascii="Times New Roman" w:eastAsia="Calibri" w:hAnsi="Times New Roman" w:cs="Times New Roman"/>
          <w:sz w:val="24"/>
          <w:szCs w:val="24"/>
        </w:rPr>
        <w:t xml:space="preserve"> </w:t>
      </w:r>
      <w:r w:rsidRPr="0047684C">
        <w:rPr>
          <w:rFonts w:ascii="Times New Roman" w:eastAsia="Calibri" w:hAnsi="Times New Roman" w:cs="Times New Roman"/>
          <w:sz w:val="24"/>
          <w:szCs w:val="24"/>
        </w:rPr>
        <w:t>ruajtjes dhe tregtimit të tyre.</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Nga sa më sipër ISHTI kryen marrje të mostrave për kontroll cilësor në gjitha pikat doganore të vendit tonë të produkteve të naftës të klasifikuara për tregtim sipas kategorive përkatëse, në depozitat e subjekteve të tregtimit me shumicë dhe në stacionet e tregtimit me pakicë të tyre.</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 xml:space="preserve">Testimi dhe Inspektimi për </w:t>
      </w:r>
      <w:r w:rsidR="00225502">
        <w:rPr>
          <w:rFonts w:ascii="Times New Roman" w:eastAsia="Calibri" w:hAnsi="Times New Roman" w:cs="Times New Roman"/>
          <w:sz w:val="24"/>
          <w:szCs w:val="24"/>
        </w:rPr>
        <w:t>ç</w:t>
      </w:r>
      <w:r w:rsidRPr="0047684C">
        <w:rPr>
          <w:rFonts w:ascii="Times New Roman" w:eastAsia="Calibri" w:hAnsi="Times New Roman" w:cs="Times New Roman"/>
          <w:sz w:val="24"/>
          <w:szCs w:val="24"/>
        </w:rPr>
        <w:t>do parti nafte dhe nënproduktet e saj, si dhe Raport Testimet nga La</w:t>
      </w:r>
      <w:r w:rsidR="00CA0BC8">
        <w:rPr>
          <w:rFonts w:ascii="Times New Roman" w:eastAsia="Calibri" w:hAnsi="Times New Roman" w:cs="Times New Roman"/>
          <w:sz w:val="24"/>
          <w:szCs w:val="24"/>
        </w:rPr>
        <w:t>boratori i</w:t>
      </w:r>
      <w:r w:rsidRPr="0047684C">
        <w:rPr>
          <w:rFonts w:ascii="Times New Roman" w:eastAsia="Calibri" w:hAnsi="Times New Roman" w:cs="Times New Roman"/>
          <w:sz w:val="24"/>
          <w:szCs w:val="24"/>
        </w:rPr>
        <w:t xml:space="preserve"> Naftës dhe Gazit përbëjnë masa shtesë për verifikimin e testimeve të kryera nga rafineritë e naftës dhe importuesit e nënprodukteve të naftës për të dorëzuar raport testime te falsifikuara.</w:t>
      </w:r>
    </w:p>
    <w:p w:rsidR="0047684C" w:rsidRPr="0047684C" w:rsidRDefault="00334368" w:rsidP="0047684C">
      <w:pPr>
        <w:jc w:val="both"/>
        <w:rPr>
          <w:rFonts w:ascii="Times New Roman" w:eastAsia="Calibri" w:hAnsi="Times New Roman" w:cs="Times New Roman"/>
          <w:sz w:val="24"/>
          <w:szCs w:val="24"/>
        </w:rPr>
      </w:pPr>
      <w:r>
        <w:rPr>
          <w:rFonts w:ascii="Times New Roman" w:eastAsia="Calibri" w:hAnsi="Times New Roman" w:cs="Times New Roman"/>
          <w:sz w:val="24"/>
          <w:szCs w:val="24"/>
        </w:rPr>
        <w:t>Shtimi i q</w:t>
      </w:r>
      <w:r>
        <w:rPr>
          <w:rFonts w:ascii="Times New Roman" w:hAnsi="Times New Roman"/>
          <w:sz w:val="24"/>
          <w:szCs w:val="24"/>
        </w:rPr>
        <w:t>ë</w:t>
      </w:r>
      <w:r>
        <w:rPr>
          <w:rFonts w:ascii="Times New Roman" w:eastAsia="Calibri" w:hAnsi="Times New Roman" w:cs="Times New Roman"/>
          <w:sz w:val="24"/>
          <w:szCs w:val="24"/>
        </w:rPr>
        <w:t>llimsh</w:t>
      </w:r>
      <w:r>
        <w:rPr>
          <w:rFonts w:ascii="Times New Roman" w:hAnsi="Times New Roman"/>
          <w:sz w:val="24"/>
          <w:szCs w:val="24"/>
        </w:rPr>
        <w:t>ë</w:t>
      </w:r>
      <w:r w:rsidR="00CA0BC8">
        <w:rPr>
          <w:rFonts w:ascii="Times New Roman" w:eastAsia="Calibri" w:hAnsi="Times New Roman" w:cs="Times New Roman"/>
          <w:sz w:val="24"/>
          <w:szCs w:val="24"/>
        </w:rPr>
        <w:t>m i ndotë</w:t>
      </w:r>
      <w:r w:rsidR="0047684C" w:rsidRPr="0047684C">
        <w:rPr>
          <w:rFonts w:ascii="Times New Roman" w:eastAsia="Calibri" w:hAnsi="Times New Roman" w:cs="Times New Roman"/>
          <w:sz w:val="24"/>
          <w:szCs w:val="24"/>
        </w:rPr>
        <w:t>sve q</w:t>
      </w:r>
      <w:r w:rsidR="00CA0BC8">
        <w:rPr>
          <w:rFonts w:ascii="Times New Roman" w:eastAsia="Calibri" w:hAnsi="Times New Roman" w:cs="Times New Roman"/>
          <w:sz w:val="24"/>
          <w:szCs w:val="24"/>
        </w:rPr>
        <w:t>ë mund të kryhen gjatë shpërndarjes është ë</w:t>
      </w:r>
      <w:r w:rsidR="0047684C" w:rsidRPr="0047684C">
        <w:rPr>
          <w:rFonts w:ascii="Times New Roman" w:eastAsia="Calibri" w:hAnsi="Times New Roman" w:cs="Times New Roman"/>
          <w:sz w:val="24"/>
          <w:szCs w:val="24"/>
        </w:rPr>
        <w:t xml:space="preserve"> vështirë të identifikohet nëse nuk b</w:t>
      </w:r>
      <w:r w:rsidR="00225502">
        <w:rPr>
          <w:rFonts w:ascii="Times New Roman" w:eastAsia="Calibri" w:hAnsi="Times New Roman" w:cs="Times New Roman"/>
          <w:sz w:val="24"/>
          <w:szCs w:val="24"/>
        </w:rPr>
        <w:t>ë</w:t>
      </w:r>
      <w:r w:rsidR="0047684C" w:rsidRPr="0047684C">
        <w:rPr>
          <w:rFonts w:ascii="Times New Roman" w:eastAsia="Calibri" w:hAnsi="Times New Roman" w:cs="Times New Roman"/>
          <w:sz w:val="24"/>
          <w:szCs w:val="24"/>
        </w:rPr>
        <w:t>hen analizat laboratorike dhe monitorohen me kujdes.</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Në vendin tonë me p</w:t>
      </w:r>
      <w:r w:rsidR="00225502">
        <w:rPr>
          <w:rFonts w:ascii="Times New Roman" w:eastAsia="Calibri" w:hAnsi="Times New Roman" w:cs="Times New Roman"/>
          <w:sz w:val="24"/>
          <w:szCs w:val="24"/>
        </w:rPr>
        <w:t>ë</w:t>
      </w:r>
      <w:r w:rsidRPr="0047684C">
        <w:rPr>
          <w:rFonts w:ascii="Times New Roman" w:eastAsia="Calibri" w:hAnsi="Times New Roman" w:cs="Times New Roman"/>
          <w:sz w:val="24"/>
          <w:szCs w:val="24"/>
        </w:rPr>
        <w:t>rjashtim të rafinerive të naftës q</w:t>
      </w:r>
      <w:r w:rsidR="00225502">
        <w:rPr>
          <w:rFonts w:ascii="Times New Roman" w:eastAsia="Calibri" w:hAnsi="Times New Roman" w:cs="Times New Roman"/>
          <w:sz w:val="24"/>
          <w:szCs w:val="24"/>
        </w:rPr>
        <w:t>ë</w:t>
      </w:r>
      <w:r w:rsidR="00334368">
        <w:rPr>
          <w:rFonts w:ascii="Times New Roman" w:eastAsia="Calibri" w:hAnsi="Times New Roman" w:cs="Times New Roman"/>
          <w:sz w:val="24"/>
          <w:szCs w:val="24"/>
        </w:rPr>
        <w:t xml:space="preserve"> kanë laborator operacional, t</w:t>
      </w:r>
      <w:r w:rsidR="00334368">
        <w:rPr>
          <w:rFonts w:ascii="Times New Roman" w:hAnsi="Times New Roman"/>
          <w:sz w:val="24"/>
          <w:szCs w:val="24"/>
        </w:rPr>
        <w:t>ë</w:t>
      </w:r>
      <w:r w:rsidR="00334368">
        <w:rPr>
          <w:rFonts w:ascii="Times New Roman" w:eastAsia="Calibri" w:hAnsi="Times New Roman" w:cs="Times New Roman"/>
          <w:sz w:val="24"/>
          <w:szCs w:val="24"/>
        </w:rPr>
        <w:t xml:space="preserve"> gjitha shoqërit</w:t>
      </w:r>
      <w:r w:rsidR="00334368">
        <w:rPr>
          <w:rFonts w:ascii="Times New Roman" w:hAnsi="Times New Roman"/>
          <w:sz w:val="24"/>
          <w:szCs w:val="24"/>
        </w:rPr>
        <w:t>ë</w:t>
      </w:r>
      <w:r w:rsidR="00334368">
        <w:rPr>
          <w:rFonts w:ascii="Times New Roman" w:eastAsia="Calibri" w:hAnsi="Times New Roman" w:cs="Times New Roman"/>
          <w:sz w:val="24"/>
          <w:szCs w:val="24"/>
        </w:rPr>
        <w:t xml:space="preserve"> e tregtimit me shumic</w:t>
      </w:r>
      <w:r w:rsidR="00334368">
        <w:rPr>
          <w:rFonts w:ascii="Times New Roman" w:hAnsi="Times New Roman"/>
          <w:sz w:val="24"/>
          <w:szCs w:val="24"/>
        </w:rPr>
        <w:t>ë</w:t>
      </w:r>
      <w:r w:rsidRPr="0047684C">
        <w:rPr>
          <w:rFonts w:ascii="Times New Roman" w:eastAsia="Calibri" w:hAnsi="Times New Roman" w:cs="Times New Roman"/>
          <w:sz w:val="24"/>
          <w:szCs w:val="24"/>
        </w:rPr>
        <w:t xml:space="preserve"> q</w:t>
      </w:r>
      <w:r w:rsidR="00225502">
        <w:rPr>
          <w:rFonts w:ascii="Times New Roman" w:eastAsia="Calibri" w:hAnsi="Times New Roman" w:cs="Times New Roman"/>
          <w:sz w:val="24"/>
          <w:szCs w:val="24"/>
        </w:rPr>
        <w:t>ë</w:t>
      </w:r>
      <w:r w:rsidRPr="0047684C">
        <w:rPr>
          <w:rFonts w:ascii="Times New Roman" w:eastAsia="Calibri" w:hAnsi="Times New Roman" w:cs="Times New Roman"/>
          <w:sz w:val="24"/>
          <w:szCs w:val="24"/>
        </w:rPr>
        <w:t xml:space="preserve"> zotërojnë kapacitete depozitimi dhe stacionet e karburantëve nuk kanë laboratorë dhe nuk kontrollojnë cilësinë e nënprodukteve të naftës.</w:t>
      </w:r>
    </w:p>
    <w:p w:rsidR="0047684C" w:rsidRPr="0047684C" w:rsidRDefault="00501830" w:rsidP="0047684C">
      <w:pPr>
        <w:jc w:val="both"/>
        <w:rPr>
          <w:rFonts w:ascii="Times New Roman" w:eastAsia="Calibri" w:hAnsi="Times New Roman" w:cs="Times New Roman"/>
          <w:sz w:val="24"/>
          <w:szCs w:val="24"/>
        </w:rPr>
      </w:pPr>
      <w:r>
        <w:rPr>
          <w:rFonts w:ascii="Times New Roman" w:eastAsia="Calibri" w:hAnsi="Times New Roman" w:cs="Times New Roman"/>
          <w:sz w:val="24"/>
          <w:szCs w:val="24"/>
        </w:rPr>
        <w:t>Numri i</w:t>
      </w:r>
      <w:r w:rsidR="0047684C" w:rsidRPr="0047684C">
        <w:rPr>
          <w:rFonts w:ascii="Times New Roman" w:eastAsia="Calibri" w:hAnsi="Times New Roman" w:cs="Times New Roman"/>
          <w:sz w:val="24"/>
          <w:szCs w:val="24"/>
        </w:rPr>
        <w:t xml:space="preserve"> mostrave dhe testimeve periodike është rregulluar në standartet dhe specifikimet teknike për llojet e produkteve të naftës, si dhe në urdhërin Nr</w:t>
      </w:r>
      <w:r w:rsidR="003A6544">
        <w:rPr>
          <w:rFonts w:ascii="Times New Roman" w:eastAsia="Calibri" w:hAnsi="Times New Roman" w:cs="Times New Roman"/>
          <w:sz w:val="24"/>
          <w:szCs w:val="24"/>
        </w:rPr>
        <w:t>.6/2015 të Ministrit Përgjegjës</w:t>
      </w:r>
      <w:r w:rsidR="0047684C" w:rsidRPr="0047684C">
        <w:rPr>
          <w:rFonts w:ascii="Times New Roman" w:eastAsia="Calibri" w:hAnsi="Times New Roman" w:cs="Times New Roman"/>
          <w:sz w:val="24"/>
          <w:szCs w:val="24"/>
        </w:rPr>
        <w:t xml:space="preserve"> për Hidrokarburet.</w:t>
      </w:r>
    </w:p>
    <w:p w:rsidR="00225502"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Në zbatim të detyrave të përcaktuara me ligj, janë bërë inspektime për cilësinë e nënprodukteve të</w:t>
      </w:r>
      <w:r w:rsidR="003A6544">
        <w:rPr>
          <w:rFonts w:ascii="Times New Roman" w:eastAsia="Calibri" w:hAnsi="Times New Roman" w:cs="Times New Roman"/>
          <w:sz w:val="24"/>
          <w:szCs w:val="24"/>
        </w:rPr>
        <w:t xml:space="preserve"> naftës për të verifikuar përpu</w:t>
      </w:r>
      <w:r w:rsidRPr="0047684C">
        <w:rPr>
          <w:rFonts w:ascii="Times New Roman" w:eastAsia="Calibri" w:hAnsi="Times New Roman" w:cs="Times New Roman"/>
          <w:sz w:val="24"/>
          <w:szCs w:val="24"/>
        </w:rPr>
        <w:t xml:space="preserve">thshmërinë me standardet në të gjithë territorin e vendit. </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lastRenderedPageBreak/>
        <w:t>Në ushtrimin e veprimtarisë së tij, ISHTI ka zbatuar një program agresiv për shkelësit e cilësisë, duke përfshirë rafineritë, importuesit dhe shitësit me pakicë të nënprodukteve të naftës.</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 xml:space="preserve">Gjatë vitit </w:t>
      </w:r>
      <w:r w:rsidRPr="00E70CB4">
        <w:rPr>
          <w:rFonts w:ascii="Times New Roman" w:eastAsia="Calibri" w:hAnsi="Times New Roman" w:cs="Times New Roman"/>
          <w:sz w:val="24"/>
          <w:szCs w:val="24"/>
        </w:rPr>
        <w:t>202</w:t>
      </w:r>
      <w:r w:rsidR="00E70CB4" w:rsidRPr="00E70CB4">
        <w:rPr>
          <w:rFonts w:ascii="Times New Roman" w:eastAsia="Calibri" w:hAnsi="Times New Roman" w:cs="Times New Roman"/>
          <w:sz w:val="24"/>
          <w:szCs w:val="24"/>
        </w:rPr>
        <w:t>5</w:t>
      </w:r>
      <w:r w:rsidRPr="00E70CB4">
        <w:rPr>
          <w:rFonts w:ascii="Times New Roman" w:eastAsia="Calibri" w:hAnsi="Times New Roman" w:cs="Times New Roman"/>
          <w:sz w:val="24"/>
          <w:szCs w:val="24"/>
        </w:rPr>
        <w:t xml:space="preserve"> </w:t>
      </w:r>
      <w:r w:rsidRPr="0047684C">
        <w:rPr>
          <w:rFonts w:ascii="Times New Roman" w:eastAsia="Calibri" w:hAnsi="Times New Roman" w:cs="Times New Roman"/>
          <w:sz w:val="24"/>
          <w:szCs w:val="24"/>
        </w:rPr>
        <w:t>kanë ushtruar veprimtari rafineritë e përpunimit të naftës bruto “Al Global Oil” sh.a UPN, Fier dhe “RBH Beline” sh.a në Elbasan, ndërsa rafineria e Përpunimit të naftës Ballsh dhe rafineria e naftës “AM-OIL” sh.a me adresë ish-Uzina e Plasmasit, Lushnjë nuk kanë ushtruar aktivitet të përpunimit të naftës bruto.</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Gjatë vitit 2025 janë mostruar për kontroll cilësor para</w:t>
      </w:r>
      <w:r w:rsidR="00334368">
        <w:rPr>
          <w:rFonts w:ascii="Times New Roman" w:eastAsia="Calibri" w:hAnsi="Times New Roman" w:cs="Times New Roman"/>
          <w:sz w:val="24"/>
          <w:szCs w:val="24"/>
        </w:rPr>
        <w:t xml:space="preserve"> </w:t>
      </w:r>
      <w:r w:rsidRPr="0047684C">
        <w:rPr>
          <w:rFonts w:ascii="Times New Roman" w:eastAsia="Calibri" w:hAnsi="Times New Roman" w:cs="Times New Roman"/>
          <w:sz w:val="24"/>
          <w:szCs w:val="24"/>
        </w:rPr>
        <w:t>zhdoganimi për sa</w:t>
      </w:r>
      <w:r w:rsidR="009E4ABE">
        <w:rPr>
          <w:rFonts w:ascii="Times New Roman" w:eastAsia="Calibri" w:hAnsi="Times New Roman" w:cs="Times New Roman"/>
          <w:sz w:val="24"/>
          <w:szCs w:val="24"/>
        </w:rPr>
        <w:t>s</w:t>
      </w:r>
      <w:r w:rsidRPr="0047684C">
        <w:rPr>
          <w:rFonts w:ascii="Times New Roman" w:eastAsia="Calibri" w:hAnsi="Times New Roman" w:cs="Times New Roman"/>
          <w:sz w:val="24"/>
          <w:szCs w:val="24"/>
        </w:rPr>
        <w:t>inë totale 2 709 059 ton naftë bruto dhe nënprodukte nafte, nga të cilat Gazoil 1 178 343</w:t>
      </w:r>
      <w:r w:rsidR="00696006">
        <w:rPr>
          <w:rFonts w:ascii="Times New Roman" w:eastAsia="Calibri" w:hAnsi="Times New Roman" w:cs="Times New Roman"/>
          <w:sz w:val="24"/>
          <w:szCs w:val="24"/>
        </w:rPr>
        <w:t xml:space="preserve"> ton, benzinë 132 486 ton. Gaz i</w:t>
      </w:r>
      <w:r w:rsidRPr="0047684C">
        <w:rPr>
          <w:rFonts w:ascii="Times New Roman" w:eastAsia="Calibri" w:hAnsi="Times New Roman" w:cs="Times New Roman"/>
          <w:sz w:val="24"/>
          <w:szCs w:val="24"/>
        </w:rPr>
        <w:t xml:space="preserve"> lëngëzuar nga nafta (GNL) 345 947 ton, lëndë djegëse (mazut) 1003 ton, vajra lubrifikante 13 999 ton, bitium 57 960 ton, karburante per avione me turbine JET A-135 022 ton, naftë bruto 488 267 ton, nënprodukte na</w:t>
      </w:r>
      <w:r w:rsidR="00334368">
        <w:rPr>
          <w:rFonts w:ascii="Times New Roman" w:eastAsia="Calibri" w:hAnsi="Times New Roman" w:cs="Times New Roman"/>
          <w:sz w:val="24"/>
          <w:szCs w:val="24"/>
        </w:rPr>
        <w:t>fte nga rafinerit</w:t>
      </w:r>
      <w:r w:rsidR="00334368">
        <w:rPr>
          <w:rFonts w:ascii="Times New Roman" w:hAnsi="Times New Roman"/>
          <w:sz w:val="24"/>
          <w:szCs w:val="24"/>
        </w:rPr>
        <w:t>ë</w:t>
      </w:r>
      <w:r w:rsidR="00334368">
        <w:rPr>
          <w:rFonts w:ascii="Times New Roman" w:eastAsia="Calibri" w:hAnsi="Times New Roman" w:cs="Times New Roman"/>
          <w:sz w:val="24"/>
          <w:szCs w:val="24"/>
        </w:rPr>
        <w:t xml:space="preserve"> e vendit ton</w:t>
      </w:r>
      <w:r w:rsidR="00334368">
        <w:rPr>
          <w:rFonts w:ascii="Times New Roman" w:hAnsi="Times New Roman"/>
          <w:sz w:val="24"/>
          <w:szCs w:val="24"/>
        </w:rPr>
        <w:t>ë</w:t>
      </w:r>
      <w:r w:rsidR="00334368">
        <w:rPr>
          <w:rFonts w:ascii="Times New Roman" w:eastAsia="Calibri" w:hAnsi="Times New Roman" w:cs="Times New Roman"/>
          <w:sz w:val="24"/>
          <w:szCs w:val="24"/>
        </w:rPr>
        <w:t xml:space="preserve"> p</w:t>
      </w:r>
      <w:r w:rsidR="00334368">
        <w:rPr>
          <w:rFonts w:ascii="Times New Roman" w:hAnsi="Times New Roman"/>
          <w:sz w:val="24"/>
          <w:szCs w:val="24"/>
        </w:rPr>
        <w:t>ë</w:t>
      </w:r>
      <w:r w:rsidRPr="0047684C">
        <w:rPr>
          <w:rFonts w:ascii="Times New Roman" w:eastAsia="Calibri" w:hAnsi="Times New Roman" w:cs="Times New Roman"/>
          <w:sz w:val="24"/>
          <w:szCs w:val="24"/>
        </w:rPr>
        <w:t xml:space="preserve">r eksport 109 455 ton, Gazoil+Biodiezel 156 481 ton, </w:t>
      </w:r>
      <w:r w:rsidR="002C4833">
        <w:rPr>
          <w:rFonts w:ascii="Times New Roman" w:eastAsia="Calibri" w:hAnsi="Times New Roman" w:cs="Times New Roman"/>
          <w:sz w:val="24"/>
          <w:szCs w:val="24"/>
        </w:rPr>
        <w:t>Ë</w:t>
      </w:r>
      <w:r w:rsidRPr="0047684C">
        <w:rPr>
          <w:rFonts w:ascii="Times New Roman" w:eastAsia="Calibri" w:hAnsi="Times New Roman" w:cs="Times New Roman"/>
          <w:sz w:val="24"/>
          <w:szCs w:val="24"/>
        </w:rPr>
        <w:t>hite Spriti 96 ton.</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 xml:space="preserve">Janë inspektuar subjektet e tregtimit me shumicë për kontroll cilësor dhe marrje mostra me tarife </w:t>
      </w:r>
      <w:r w:rsidR="00A55903">
        <w:rPr>
          <w:rFonts w:ascii="Times New Roman" w:eastAsia="Calibri" w:hAnsi="Times New Roman" w:cs="Times New Roman"/>
          <w:sz w:val="24"/>
          <w:szCs w:val="24"/>
        </w:rPr>
        <w:t>për cdo 4-mujor, n</w:t>
      </w:r>
      <w:r w:rsidR="00A55903">
        <w:rPr>
          <w:rFonts w:ascii="Times New Roman" w:hAnsi="Times New Roman"/>
          <w:sz w:val="24"/>
          <w:szCs w:val="24"/>
        </w:rPr>
        <w:t>ë</w:t>
      </w:r>
      <w:r w:rsidRPr="0047684C">
        <w:rPr>
          <w:rFonts w:ascii="Times New Roman" w:eastAsia="Calibri" w:hAnsi="Times New Roman" w:cs="Times New Roman"/>
          <w:sz w:val="24"/>
          <w:szCs w:val="24"/>
        </w:rPr>
        <w:t xml:space="preserve"> vitin 2025 dhe janë marrë gjithësej 529 mostra me tarife. Janë marrë gjithashtu 3498 mostra për kontroll cilësor para</w:t>
      </w:r>
      <w:r w:rsidR="00A55903">
        <w:rPr>
          <w:rFonts w:ascii="Times New Roman" w:eastAsia="Calibri" w:hAnsi="Times New Roman" w:cs="Times New Roman"/>
          <w:sz w:val="24"/>
          <w:szCs w:val="24"/>
        </w:rPr>
        <w:t xml:space="preserve"> </w:t>
      </w:r>
      <w:r w:rsidRPr="0047684C">
        <w:rPr>
          <w:rFonts w:ascii="Times New Roman" w:eastAsia="Calibri" w:hAnsi="Times New Roman" w:cs="Times New Roman"/>
          <w:sz w:val="24"/>
          <w:szCs w:val="24"/>
        </w:rPr>
        <w:t>zhdoganimi. Janë insepektuar subjektet e tregtimit me pakice për kontroll cilësor për vitin 2025 dhe janë marrë gjithësej 2594 mostra me tarife,</w:t>
      </w:r>
      <w:r w:rsidR="00A55903">
        <w:rPr>
          <w:rFonts w:ascii="Times New Roman" w:eastAsia="Calibri" w:hAnsi="Times New Roman" w:cs="Times New Roman"/>
          <w:sz w:val="24"/>
          <w:szCs w:val="24"/>
        </w:rPr>
        <w:t xml:space="preserve"> </w:t>
      </w:r>
      <w:r w:rsidRPr="0047684C">
        <w:rPr>
          <w:rFonts w:ascii="Times New Roman" w:eastAsia="Calibri" w:hAnsi="Times New Roman" w:cs="Times New Roman"/>
          <w:sz w:val="24"/>
          <w:szCs w:val="24"/>
        </w:rPr>
        <w:t>gjithashtu janë marrë 609 mostra për kontroll cilësor sondazh.</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Janë inspektuar subjektet Konsumatorë të M</w:t>
      </w:r>
      <w:r w:rsidR="004218AC">
        <w:rPr>
          <w:rFonts w:ascii="Times New Roman" w:eastAsia="Calibri" w:hAnsi="Times New Roman" w:cs="Times New Roman"/>
          <w:sz w:val="24"/>
          <w:szCs w:val="24"/>
        </w:rPr>
        <w:t>ë</w:t>
      </w:r>
      <w:r w:rsidRPr="0047684C">
        <w:rPr>
          <w:rFonts w:ascii="Times New Roman" w:eastAsia="Calibri" w:hAnsi="Times New Roman" w:cs="Times New Roman"/>
          <w:sz w:val="24"/>
          <w:szCs w:val="24"/>
        </w:rPr>
        <w:t xml:space="preserve">dhenj nga të cilët janë marrë 10 mostra për kontroll cilësor për produktet që përdorin dhe dokumentacioni </w:t>
      </w:r>
      <w:r w:rsidR="00E70CB4">
        <w:rPr>
          <w:rFonts w:ascii="Times New Roman" w:eastAsia="Calibri" w:hAnsi="Times New Roman" w:cs="Times New Roman"/>
          <w:sz w:val="24"/>
          <w:szCs w:val="24"/>
        </w:rPr>
        <w:t>i</w:t>
      </w:r>
      <w:r w:rsidRPr="0047684C">
        <w:rPr>
          <w:rFonts w:ascii="Times New Roman" w:eastAsia="Calibri" w:hAnsi="Times New Roman" w:cs="Times New Roman"/>
          <w:sz w:val="24"/>
          <w:szCs w:val="24"/>
        </w:rPr>
        <w:t xml:space="preserve"> furnizimit.</w:t>
      </w:r>
      <w:r w:rsidR="00E70CB4">
        <w:rPr>
          <w:rFonts w:ascii="Times New Roman" w:eastAsia="Calibri" w:hAnsi="Times New Roman" w:cs="Times New Roman"/>
          <w:sz w:val="24"/>
          <w:szCs w:val="24"/>
        </w:rPr>
        <w:t xml:space="preserve"> </w:t>
      </w:r>
      <w:r w:rsidRPr="0047684C">
        <w:rPr>
          <w:rFonts w:ascii="Times New Roman" w:eastAsia="Calibri" w:hAnsi="Times New Roman" w:cs="Times New Roman"/>
          <w:sz w:val="24"/>
          <w:szCs w:val="24"/>
        </w:rPr>
        <w:t>Gjithsej janë analizuar 36 mostra për palë të tretë.</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 xml:space="preserve">Zbatimi </w:t>
      </w:r>
      <w:r w:rsidR="00E70CB4">
        <w:rPr>
          <w:rFonts w:ascii="Times New Roman" w:eastAsia="Calibri" w:hAnsi="Times New Roman" w:cs="Times New Roman"/>
          <w:sz w:val="24"/>
          <w:szCs w:val="24"/>
        </w:rPr>
        <w:t>i</w:t>
      </w:r>
      <w:r w:rsidRPr="0047684C">
        <w:rPr>
          <w:rFonts w:ascii="Times New Roman" w:eastAsia="Calibri" w:hAnsi="Times New Roman" w:cs="Times New Roman"/>
          <w:sz w:val="24"/>
          <w:szCs w:val="24"/>
        </w:rPr>
        <w:t xml:space="preserve"> stand</w:t>
      </w:r>
      <w:r w:rsidR="00373779">
        <w:rPr>
          <w:rFonts w:ascii="Times New Roman" w:eastAsia="Calibri" w:hAnsi="Times New Roman" w:cs="Times New Roman"/>
          <w:sz w:val="24"/>
          <w:szCs w:val="24"/>
        </w:rPr>
        <w:t>ardeve cilësore të karburanteve</w:t>
      </w:r>
      <w:r w:rsidRPr="0047684C">
        <w:rPr>
          <w:rFonts w:ascii="Times New Roman" w:eastAsia="Calibri" w:hAnsi="Times New Roman" w:cs="Times New Roman"/>
          <w:sz w:val="24"/>
          <w:szCs w:val="24"/>
        </w:rPr>
        <w:t xml:space="preserve"> S SH EN 228:2025 për benzinën, S SH EN 590:2025 për gazoilin dhe S SH EN: 558:2018+ A1:2022 për gazin e lëngët është në përputhje me teknologjinë e avancuar të motorëve, por edhe me objektivat e BE-së për em</w:t>
      </w:r>
      <w:r w:rsidR="004218AC">
        <w:rPr>
          <w:rFonts w:ascii="Times New Roman" w:eastAsia="Calibri" w:hAnsi="Times New Roman" w:cs="Times New Roman"/>
          <w:sz w:val="24"/>
          <w:szCs w:val="24"/>
        </w:rPr>
        <w:t>ë</w:t>
      </w:r>
      <w:r w:rsidRPr="0047684C">
        <w:rPr>
          <w:rFonts w:ascii="Times New Roman" w:eastAsia="Calibri" w:hAnsi="Times New Roman" w:cs="Times New Roman"/>
          <w:sz w:val="24"/>
          <w:szCs w:val="24"/>
        </w:rPr>
        <w:t>timin e gazrave nga mjetet lëvizëse.</w:t>
      </w:r>
    </w:p>
    <w:p w:rsidR="0047684C" w:rsidRPr="0047684C" w:rsidRDefault="00373779" w:rsidP="0047684C">
      <w:pPr>
        <w:jc w:val="both"/>
        <w:rPr>
          <w:rFonts w:ascii="Times New Roman" w:eastAsia="Calibri" w:hAnsi="Times New Roman" w:cs="Times New Roman"/>
          <w:sz w:val="24"/>
          <w:szCs w:val="24"/>
        </w:rPr>
      </w:pPr>
      <w:r>
        <w:rPr>
          <w:rFonts w:ascii="Times New Roman" w:eastAsia="Calibri" w:hAnsi="Times New Roman" w:cs="Times New Roman"/>
          <w:sz w:val="24"/>
          <w:szCs w:val="24"/>
        </w:rPr>
        <w:t>Metoda e marjes s</w:t>
      </w:r>
      <w:r>
        <w:rPr>
          <w:rFonts w:ascii="Times New Roman" w:hAnsi="Times New Roman"/>
          <w:sz w:val="24"/>
          <w:szCs w:val="24"/>
        </w:rPr>
        <w:t>ë</w:t>
      </w:r>
      <w:r>
        <w:rPr>
          <w:rFonts w:ascii="Times New Roman" w:eastAsia="Calibri" w:hAnsi="Times New Roman" w:cs="Times New Roman"/>
          <w:sz w:val="24"/>
          <w:szCs w:val="24"/>
        </w:rPr>
        <w:t xml:space="preserve"> Mostrave q</w:t>
      </w:r>
      <w:r>
        <w:rPr>
          <w:rFonts w:ascii="Times New Roman" w:hAnsi="Times New Roman"/>
          <w:sz w:val="24"/>
          <w:szCs w:val="24"/>
        </w:rPr>
        <w:t>ë</w:t>
      </w:r>
      <w:r w:rsidR="0047684C" w:rsidRPr="0047684C">
        <w:rPr>
          <w:rFonts w:ascii="Times New Roman" w:eastAsia="Calibri" w:hAnsi="Times New Roman" w:cs="Times New Roman"/>
          <w:sz w:val="24"/>
          <w:szCs w:val="24"/>
        </w:rPr>
        <w:t xml:space="preserve"> zbatohen janë në përputhje me standardin S SH EN ISO 3170:2005 dhe S SH EN ISO 3171:2002 ndërsa kryerja e analizave është realizuar në la</w:t>
      </w:r>
      <w:r>
        <w:rPr>
          <w:rFonts w:ascii="Times New Roman" w:eastAsia="Calibri" w:hAnsi="Times New Roman" w:cs="Times New Roman"/>
          <w:sz w:val="24"/>
          <w:szCs w:val="24"/>
        </w:rPr>
        <w:t>boratorin e këtij institucioni i</w:t>
      </w:r>
      <w:r w:rsidR="0047684C" w:rsidRPr="0047684C">
        <w:rPr>
          <w:rFonts w:ascii="Times New Roman" w:eastAsia="Calibri" w:hAnsi="Times New Roman" w:cs="Times New Roman"/>
          <w:sz w:val="24"/>
          <w:szCs w:val="24"/>
        </w:rPr>
        <w:t xml:space="preserve"> cili funksionon sipas S SH ISO/IEC 17025:2017.</w:t>
      </w:r>
    </w:p>
    <w:p w:rsidR="0047684C" w:rsidRPr="0047684C" w:rsidRDefault="0047684C" w:rsidP="0047684C">
      <w:pPr>
        <w:jc w:val="both"/>
        <w:rPr>
          <w:rFonts w:ascii="Times New Roman" w:eastAsia="Calibri" w:hAnsi="Times New Roman" w:cs="Times New Roman"/>
          <w:sz w:val="24"/>
          <w:szCs w:val="24"/>
        </w:rPr>
      </w:pPr>
    </w:p>
    <w:p w:rsidR="0047684C" w:rsidRPr="0047684C" w:rsidRDefault="0047684C" w:rsidP="0047684C">
      <w:pPr>
        <w:jc w:val="both"/>
        <w:rPr>
          <w:rFonts w:ascii="Times New Roman" w:eastAsia="Calibri" w:hAnsi="Times New Roman" w:cs="Times New Roman"/>
          <w:b/>
          <w:sz w:val="24"/>
          <w:szCs w:val="24"/>
          <w:u w:val="single"/>
        </w:rPr>
      </w:pPr>
      <w:r w:rsidRPr="0047684C">
        <w:rPr>
          <w:rFonts w:ascii="Times New Roman" w:eastAsia="Calibri" w:hAnsi="Times New Roman" w:cs="Times New Roman"/>
          <w:b/>
          <w:sz w:val="24"/>
          <w:szCs w:val="24"/>
          <w:u w:val="single"/>
        </w:rPr>
        <w:t>Benzina</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Sasia e benzinës e cila konsumohet nga mjetet e transportit në vendin tonë furnizohet nga tregu rajonal dhe kryesisht nga rafineritë e naftës në Itali dhe Greqi, të cilat sipas analizave laboratorike rezultojnë në pë</w:t>
      </w:r>
      <w:r w:rsidR="00225502">
        <w:rPr>
          <w:rFonts w:ascii="Times New Roman" w:eastAsia="Calibri" w:hAnsi="Times New Roman" w:cs="Times New Roman"/>
          <w:sz w:val="24"/>
          <w:szCs w:val="24"/>
        </w:rPr>
        <w:t>r</w:t>
      </w:r>
      <w:r w:rsidRPr="0047684C">
        <w:rPr>
          <w:rFonts w:ascii="Times New Roman" w:eastAsia="Calibri" w:hAnsi="Times New Roman" w:cs="Times New Roman"/>
          <w:sz w:val="24"/>
          <w:szCs w:val="24"/>
        </w:rPr>
        <w:t>puthje me kërkesat e standardit S SH EN 228:2025</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Janë importuar 132 486 ton dhe janë marrë gjithsej 645 mostra.</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Gjatë periudhës të mostrimit benzina rezultoi në përputhje me standardet shtetërore dhe rregulloret mjedisore. Parametrat që kishin më shumë diapazon ndryshimi ishin hidro</w:t>
      </w:r>
      <w:r w:rsidR="003A6544">
        <w:rPr>
          <w:rFonts w:ascii="Times New Roman" w:eastAsia="Calibri" w:hAnsi="Times New Roman" w:cs="Times New Roman"/>
          <w:sz w:val="24"/>
          <w:szCs w:val="24"/>
        </w:rPr>
        <w:t>karburet aromatik dhe presioni i</w:t>
      </w:r>
      <w:r w:rsidRPr="0047684C">
        <w:rPr>
          <w:rFonts w:ascii="Times New Roman" w:eastAsia="Calibri" w:hAnsi="Times New Roman" w:cs="Times New Roman"/>
          <w:sz w:val="24"/>
          <w:szCs w:val="24"/>
        </w:rPr>
        <w:t xml:space="preserve"> avullit. </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lastRenderedPageBreak/>
        <w:t>Olefinat në benzinë të cilat kanë një shkallë të lartë antiknock, vlerat mesatare të tyre u luhatën në vlerën 9-18% duke respektuar kërkesat e standardit.</w:t>
      </w:r>
    </w:p>
    <w:p w:rsidR="0047684C" w:rsidRPr="0047684C" w:rsidRDefault="003A6544" w:rsidP="0047684C">
      <w:pPr>
        <w:jc w:val="both"/>
        <w:rPr>
          <w:rFonts w:ascii="Times New Roman" w:eastAsia="Calibri" w:hAnsi="Times New Roman" w:cs="Times New Roman"/>
          <w:sz w:val="24"/>
          <w:szCs w:val="24"/>
        </w:rPr>
      </w:pPr>
      <w:r>
        <w:rPr>
          <w:rFonts w:ascii="Times New Roman" w:eastAsia="Calibri" w:hAnsi="Times New Roman" w:cs="Times New Roman"/>
          <w:sz w:val="24"/>
          <w:szCs w:val="24"/>
        </w:rPr>
        <w:t>Monitorimit të këtij parametri i</w:t>
      </w:r>
      <w:r w:rsidR="0047684C" w:rsidRPr="0047684C">
        <w:rPr>
          <w:rFonts w:ascii="Times New Roman" w:eastAsia="Calibri" w:hAnsi="Times New Roman" w:cs="Times New Roman"/>
          <w:sz w:val="24"/>
          <w:szCs w:val="24"/>
        </w:rPr>
        <w:t xml:space="preserve"> është k</w:t>
      </w:r>
      <w:r w:rsidR="001219D8">
        <w:rPr>
          <w:rFonts w:ascii="Times New Roman" w:eastAsia="Calibri" w:hAnsi="Times New Roman" w:cs="Times New Roman"/>
          <w:sz w:val="24"/>
          <w:szCs w:val="24"/>
        </w:rPr>
        <w:t>ushtuar rëndësi sepse oksidimi i</w:t>
      </w:r>
      <w:r w:rsidR="0047684C" w:rsidRPr="0047684C">
        <w:rPr>
          <w:rFonts w:ascii="Times New Roman" w:eastAsia="Calibri" w:hAnsi="Times New Roman" w:cs="Times New Roman"/>
          <w:sz w:val="24"/>
          <w:szCs w:val="24"/>
        </w:rPr>
        <w:t xml:space="preserve"> tyre, kur benzina nuk përdoret për një kohë të gjatë, krijon depozitime në serbatorët e makinave duke bllokuar sistemin e injektimit të karburantit. </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Nga analizimi në laboratorë asnjë mostër nuk rezultoi me numër oktani të ulët dhe përmbajtje oksigjenatesh nën st</w:t>
      </w:r>
      <w:r w:rsidR="009E4ABE">
        <w:rPr>
          <w:rFonts w:ascii="Times New Roman" w:eastAsia="Calibri" w:hAnsi="Times New Roman" w:cs="Times New Roman"/>
          <w:sz w:val="24"/>
          <w:szCs w:val="24"/>
        </w:rPr>
        <w:t>andardet shtëtërore. Ndryshimi i</w:t>
      </w:r>
      <w:r w:rsidRPr="0047684C">
        <w:rPr>
          <w:rFonts w:ascii="Times New Roman" w:eastAsia="Calibri" w:hAnsi="Times New Roman" w:cs="Times New Roman"/>
          <w:sz w:val="24"/>
          <w:szCs w:val="24"/>
        </w:rPr>
        <w:t xml:space="preserve"> vlerës s</w:t>
      </w:r>
      <w:r w:rsidR="009E4ABE">
        <w:rPr>
          <w:rFonts w:ascii="Times New Roman" w:eastAsia="Calibri" w:hAnsi="Times New Roman" w:cs="Times New Roman"/>
          <w:sz w:val="24"/>
          <w:szCs w:val="24"/>
        </w:rPr>
        <w:t>ë numrit të oktanit në kufijtë brenda standard</w:t>
      </w:r>
      <w:r w:rsidRPr="0047684C">
        <w:rPr>
          <w:rFonts w:ascii="Times New Roman" w:eastAsia="Calibri" w:hAnsi="Times New Roman" w:cs="Times New Roman"/>
          <w:sz w:val="24"/>
          <w:szCs w:val="24"/>
        </w:rPr>
        <w:t>it nuk influencon në ndryshimin e emetimeve.</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Përmbajtja e oksigjenateve lidhet drej</w:t>
      </w:r>
      <w:r w:rsidR="001219D8">
        <w:rPr>
          <w:rFonts w:ascii="Times New Roman" w:eastAsia="Calibri" w:hAnsi="Times New Roman" w:cs="Times New Roman"/>
          <w:sz w:val="24"/>
          <w:szCs w:val="24"/>
        </w:rPr>
        <w:t>tëpërdrejtë me numrin e oktanit</w:t>
      </w:r>
      <w:r w:rsidR="00373779">
        <w:rPr>
          <w:rFonts w:ascii="Times New Roman" w:eastAsia="Calibri" w:hAnsi="Times New Roman" w:cs="Times New Roman"/>
          <w:sz w:val="24"/>
          <w:szCs w:val="24"/>
        </w:rPr>
        <w:t xml:space="preserve"> </w:t>
      </w:r>
      <w:r w:rsidRPr="0047684C">
        <w:rPr>
          <w:rFonts w:ascii="Times New Roman" w:eastAsia="Calibri" w:hAnsi="Times New Roman" w:cs="Times New Roman"/>
          <w:sz w:val="24"/>
          <w:szCs w:val="24"/>
        </w:rPr>
        <w:t>sepse këto komponime favorizojnë djegien e plotë të benzinës. Përmbajtja e tyre gjatë kësaj periudhe lu</w:t>
      </w:r>
      <w:r w:rsidR="001219D8">
        <w:rPr>
          <w:rFonts w:ascii="Times New Roman" w:eastAsia="Calibri" w:hAnsi="Times New Roman" w:cs="Times New Roman"/>
          <w:sz w:val="24"/>
          <w:szCs w:val="24"/>
        </w:rPr>
        <w:t>hatet në vlerën 1-2.6% në peshë</w:t>
      </w:r>
      <w:r w:rsidRPr="0047684C">
        <w:rPr>
          <w:rFonts w:ascii="Times New Roman" w:eastAsia="Calibri" w:hAnsi="Times New Roman" w:cs="Times New Roman"/>
          <w:sz w:val="24"/>
          <w:szCs w:val="24"/>
        </w:rPr>
        <w:t xml:space="preserve"> me një vlerë mesatare 1.7%. Ky parametër është në përputhje me rregullor</w:t>
      </w:r>
      <w:r w:rsidR="001219D8">
        <w:rPr>
          <w:rFonts w:ascii="Times New Roman" w:eastAsia="Calibri" w:hAnsi="Times New Roman" w:cs="Times New Roman"/>
          <w:sz w:val="24"/>
          <w:szCs w:val="24"/>
        </w:rPr>
        <w:t>ë</w:t>
      </w:r>
      <w:r w:rsidRPr="0047684C">
        <w:rPr>
          <w:rFonts w:ascii="Times New Roman" w:eastAsia="Calibri" w:hAnsi="Times New Roman" w:cs="Times New Roman"/>
          <w:sz w:val="24"/>
          <w:szCs w:val="24"/>
        </w:rPr>
        <w:t>t mjedisore.</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 xml:space="preserve">Numri </w:t>
      </w:r>
      <w:r w:rsidR="00751ECE">
        <w:rPr>
          <w:rFonts w:ascii="Times New Roman" w:eastAsia="Calibri" w:hAnsi="Times New Roman" w:cs="Times New Roman"/>
          <w:sz w:val="24"/>
          <w:szCs w:val="24"/>
        </w:rPr>
        <w:t>i</w:t>
      </w:r>
      <w:r w:rsidRPr="0047684C">
        <w:rPr>
          <w:rFonts w:ascii="Times New Roman" w:eastAsia="Calibri" w:hAnsi="Times New Roman" w:cs="Times New Roman"/>
          <w:sz w:val="24"/>
          <w:szCs w:val="24"/>
        </w:rPr>
        <w:t xml:space="preserve"> oktanit lidhet me aftësinë e benzinës për tu djegur pa goditje e normalisht në motor dhe gjenerimin e energjisë gjatë djegies së saj.</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 xml:space="preserve">Vlerësimi </w:t>
      </w:r>
      <w:r w:rsidR="00751ECE">
        <w:rPr>
          <w:rFonts w:ascii="Times New Roman" w:eastAsia="Calibri" w:hAnsi="Times New Roman" w:cs="Times New Roman"/>
          <w:sz w:val="24"/>
          <w:szCs w:val="24"/>
        </w:rPr>
        <w:t>i</w:t>
      </w:r>
      <w:r w:rsidRPr="0047684C">
        <w:rPr>
          <w:rFonts w:ascii="Times New Roman" w:eastAsia="Calibri" w:hAnsi="Times New Roman" w:cs="Times New Roman"/>
          <w:sz w:val="24"/>
          <w:szCs w:val="24"/>
        </w:rPr>
        <w:t xml:space="preserve"> oktanit me metodën S SH EN ISO 5164 rezulton në kufijtë e lejuar. Vlera mesatare e aromatikëve gjatë kësaj periudhe rezultoi 18-33%.</w:t>
      </w:r>
    </w:p>
    <w:p w:rsidR="0047684C" w:rsidRPr="0047684C" w:rsidRDefault="00373779" w:rsidP="0047684C">
      <w:pPr>
        <w:jc w:val="both"/>
        <w:rPr>
          <w:rFonts w:ascii="Times New Roman" w:eastAsia="Calibri" w:hAnsi="Times New Roman" w:cs="Times New Roman"/>
          <w:sz w:val="24"/>
          <w:szCs w:val="24"/>
        </w:rPr>
      </w:pPr>
      <w:r>
        <w:rPr>
          <w:rFonts w:ascii="Times New Roman" w:eastAsia="Calibri" w:hAnsi="Times New Roman" w:cs="Times New Roman"/>
          <w:sz w:val="24"/>
          <w:szCs w:val="24"/>
        </w:rPr>
        <w:t>Diferenca maksimale prej 6-8</w:t>
      </w:r>
      <w:r w:rsidR="0047684C" w:rsidRPr="0047684C">
        <w:rPr>
          <w:rFonts w:ascii="Times New Roman" w:eastAsia="Calibri" w:hAnsi="Times New Roman" w:cs="Times New Roman"/>
          <w:sz w:val="24"/>
          <w:szCs w:val="24"/>
        </w:rPr>
        <w:t>% e përmbajtjes së olefinave në benzinë nuk paraqet ndonjë ndryshim të rëndësishëm në emisionet e gazrave në at</w:t>
      </w:r>
      <w:r>
        <w:rPr>
          <w:rFonts w:ascii="Times New Roman" w:eastAsia="Calibri" w:hAnsi="Times New Roman" w:cs="Times New Roman"/>
          <w:sz w:val="24"/>
          <w:szCs w:val="24"/>
        </w:rPr>
        <w:t>mosferë. Përmbajtja e benzenit i cili është një produk</w:t>
      </w:r>
      <w:r w:rsidR="0047684C" w:rsidRPr="0047684C">
        <w:rPr>
          <w:rFonts w:ascii="Times New Roman" w:eastAsia="Calibri" w:hAnsi="Times New Roman" w:cs="Times New Roman"/>
          <w:sz w:val="24"/>
          <w:szCs w:val="24"/>
        </w:rPr>
        <w:t>t kancerogjen, në benzinë është luhatur në kufijtë 0.</w:t>
      </w:r>
      <w:r>
        <w:rPr>
          <w:rFonts w:ascii="Times New Roman" w:eastAsia="Calibri" w:hAnsi="Times New Roman" w:cs="Times New Roman"/>
          <w:sz w:val="24"/>
          <w:szCs w:val="24"/>
        </w:rPr>
        <w:t>4-0.7 % nga 1% që është kufiri i</w:t>
      </w:r>
      <w:r w:rsidR="0047684C" w:rsidRPr="0047684C">
        <w:rPr>
          <w:rFonts w:ascii="Times New Roman" w:eastAsia="Calibri" w:hAnsi="Times New Roman" w:cs="Times New Roman"/>
          <w:sz w:val="24"/>
          <w:szCs w:val="24"/>
        </w:rPr>
        <w:t xml:space="preserve"> lejuar.</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 xml:space="preserve">Përmbajtja e squfurit shoqërohet me formimin e oksidit të squfurit dhe formimin e shiut acid. Mesatarja e kësaj periudhe luhatet </w:t>
      </w:r>
      <w:r w:rsidR="001219D8">
        <w:rPr>
          <w:rFonts w:ascii="Times New Roman" w:eastAsia="Calibri" w:hAnsi="Times New Roman" w:cs="Times New Roman"/>
          <w:sz w:val="24"/>
          <w:szCs w:val="24"/>
        </w:rPr>
        <w:t>në kufijtë 5-10 ppm. Ndryshimi i</w:t>
      </w:r>
      <w:r w:rsidRPr="0047684C">
        <w:rPr>
          <w:rFonts w:ascii="Times New Roman" w:eastAsia="Calibri" w:hAnsi="Times New Roman" w:cs="Times New Roman"/>
          <w:sz w:val="24"/>
          <w:szCs w:val="24"/>
        </w:rPr>
        <w:t xml:space="preserve"> vlerës së përmbajtjes së squfurit influencon në rritjen e saj në atmosferë.</w:t>
      </w:r>
    </w:p>
    <w:p w:rsidR="0047684C" w:rsidRPr="0047684C" w:rsidRDefault="009E4ABE" w:rsidP="0047684C">
      <w:pPr>
        <w:jc w:val="both"/>
        <w:rPr>
          <w:rFonts w:ascii="Times New Roman" w:eastAsia="Calibri" w:hAnsi="Times New Roman" w:cs="Times New Roman"/>
          <w:sz w:val="24"/>
          <w:szCs w:val="24"/>
        </w:rPr>
      </w:pPr>
      <w:r>
        <w:rPr>
          <w:rFonts w:ascii="Times New Roman" w:eastAsia="Calibri" w:hAnsi="Times New Roman" w:cs="Times New Roman"/>
          <w:sz w:val="24"/>
          <w:szCs w:val="24"/>
        </w:rPr>
        <w:t>Presioni i</w:t>
      </w:r>
      <w:r w:rsidR="0047684C" w:rsidRPr="0047684C">
        <w:rPr>
          <w:rFonts w:ascii="Times New Roman" w:eastAsia="Calibri" w:hAnsi="Times New Roman" w:cs="Times New Roman"/>
          <w:sz w:val="24"/>
          <w:szCs w:val="24"/>
        </w:rPr>
        <w:t xml:space="preserve"> avullit karakterizon shkallën e paqëndrueshmërisë të benzinës, për të cilën kërkohet të arrihet një djegi</w:t>
      </w:r>
      <w:r>
        <w:rPr>
          <w:rFonts w:ascii="Times New Roman" w:eastAsia="Calibri" w:hAnsi="Times New Roman" w:cs="Times New Roman"/>
          <w:sz w:val="24"/>
          <w:szCs w:val="24"/>
        </w:rPr>
        <w:t>e efikase në motor është shumë i</w:t>
      </w:r>
      <w:r w:rsidR="0047684C" w:rsidRPr="0047684C">
        <w:rPr>
          <w:rFonts w:ascii="Times New Roman" w:eastAsia="Calibri" w:hAnsi="Times New Roman" w:cs="Times New Roman"/>
          <w:sz w:val="24"/>
          <w:szCs w:val="24"/>
        </w:rPr>
        <w:t xml:space="preserve"> rëndësishëm për stinën e verës </w:t>
      </w:r>
      <w:r>
        <w:rPr>
          <w:rFonts w:ascii="Times New Roman" w:eastAsia="Calibri" w:hAnsi="Times New Roman" w:cs="Times New Roman"/>
          <w:sz w:val="24"/>
          <w:szCs w:val="24"/>
        </w:rPr>
        <w:t>dh</w:t>
      </w:r>
      <w:r w:rsidR="0047684C" w:rsidRPr="0047684C">
        <w:rPr>
          <w:rFonts w:ascii="Times New Roman" w:eastAsia="Calibri" w:hAnsi="Times New Roman" w:cs="Times New Roman"/>
          <w:sz w:val="24"/>
          <w:szCs w:val="24"/>
        </w:rPr>
        <w:t xml:space="preserve">e nuk ka tejkaluar vlerën 60 kpa. </w:t>
      </w:r>
    </w:p>
    <w:p w:rsidR="0047684C" w:rsidRPr="0047684C" w:rsidRDefault="0047684C" w:rsidP="0047684C">
      <w:pPr>
        <w:jc w:val="both"/>
        <w:rPr>
          <w:rFonts w:ascii="Times New Roman" w:eastAsia="Calibri" w:hAnsi="Times New Roman" w:cs="Times New Roman"/>
          <w:b/>
          <w:sz w:val="24"/>
          <w:szCs w:val="24"/>
          <w:u w:val="single"/>
        </w:rPr>
      </w:pPr>
      <w:r w:rsidRPr="0047684C">
        <w:rPr>
          <w:rFonts w:ascii="Times New Roman" w:eastAsia="Calibri" w:hAnsi="Times New Roman" w:cs="Times New Roman"/>
          <w:b/>
          <w:sz w:val="24"/>
          <w:szCs w:val="24"/>
          <w:u w:val="single"/>
        </w:rPr>
        <w:t>Gazoili</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Sasia e gazoilit që konsumohet nga mjetet e transportit</w:t>
      </w:r>
      <w:r w:rsidR="001219D8">
        <w:rPr>
          <w:rFonts w:ascii="Times New Roman" w:eastAsia="Calibri" w:hAnsi="Times New Roman" w:cs="Times New Roman"/>
          <w:sz w:val="24"/>
          <w:szCs w:val="24"/>
        </w:rPr>
        <w:t>,</w:t>
      </w:r>
      <w:r w:rsidRPr="0047684C">
        <w:rPr>
          <w:rFonts w:ascii="Times New Roman" w:eastAsia="Calibri" w:hAnsi="Times New Roman" w:cs="Times New Roman"/>
          <w:sz w:val="24"/>
          <w:szCs w:val="24"/>
        </w:rPr>
        <w:t xml:space="preserve"> në ve</w:t>
      </w:r>
      <w:r w:rsidR="001219D8">
        <w:rPr>
          <w:rFonts w:ascii="Times New Roman" w:eastAsia="Calibri" w:hAnsi="Times New Roman" w:cs="Times New Roman"/>
          <w:sz w:val="24"/>
          <w:szCs w:val="24"/>
        </w:rPr>
        <w:t>ndin tonë furnizohet nga tregu i</w:t>
      </w:r>
      <w:r w:rsidRPr="0047684C">
        <w:rPr>
          <w:rFonts w:ascii="Times New Roman" w:eastAsia="Calibri" w:hAnsi="Times New Roman" w:cs="Times New Roman"/>
          <w:sz w:val="24"/>
          <w:szCs w:val="24"/>
        </w:rPr>
        <w:t xml:space="preserve"> jashtëm dhe kryesisht nga rafineritë e naftës në Itali, Greqi dhe Turqi të cilat sipas a</w:t>
      </w:r>
      <w:r w:rsidR="00373779">
        <w:rPr>
          <w:rFonts w:ascii="Times New Roman" w:eastAsia="Calibri" w:hAnsi="Times New Roman" w:cs="Times New Roman"/>
          <w:sz w:val="24"/>
          <w:szCs w:val="24"/>
        </w:rPr>
        <w:t>nalizave laboratorike rezultojn</w:t>
      </w:r>
      <w:r w:rsidR="00373779">
        <w:rPr>
          <w:rFonts w:ascii="Times New Roman" w:hAnsi="Times New Roman"/>
          <w:sz w:val="24"/>
          <w:szCs w:val="24"/>
        </w:rPr>
        <w:t>ë</w:t>
      </w:r>
      <w:r w:rsidRPr="0047684C">
        <w:rPr>
          <w:rFonts w:ascii="Times New Roman" w:eastAsia="Calibri" w:hAnsi="Times New Roman" w:cs="Times New Roman"/>
          <w:sz w:val="24"/>
          <w:szCs w:val="24"/>
        </w:rPr>
        <w:t xml:space="preserve"> në përputhje me kërkesat e standardit S SH EN 590:2025.</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Janë importuar gjatë këtij viti 1</w:t>
      </w:r>
      <w:r w:rsidR="00B85482">
        <w:rPr>
          <w:rFonts w:ascii="Times New Roman" w:eastAsia="Calibri" w:hAnsi="Times New Roman" w:cs="Times New Roman"/>
          <w:sz w:val="24"/>
          <w:szCs w:val="24"/>
        </w:rPr>
        <w:t>,</w:t>
      </w:r>
      <w:r w:rsidRPr="0047684C">
        <w:rPr>
          <w:rFonts w:ascii="Times New Roman" w:eastAsia="Calibri" w:hAnsi="Times New Roman" w:cs="Times New Roman"/>
          <w:sz w:val="24"/>
          <w:szCs w:val="24"/>
        </w:rPr>
        <w:t>178</w:t>
      </w:r>
      <w:r w:rsidR="00B85482">
        <w:rPr>
          <w:rFonts w:ascii="Times New Roman" w:eastAsia="Calibri" w:hAnsi="Times New Roman" w:cs="Times New Roman"/>
          <w:sz w:val="24"/>
          <w:szCs w:val="24"/>
        </w:rPr>
        <w:t>,</w:t>
      </w:r>
      <w:r w:rsidRPr="0047684C">
        <w:rPr>
          <w:rFonts w:ascii="Times New Roman" w:eastAsia="Calibri" w:hAnsi="Times New Roman" w:cs="Times New Roman"/>
          <w:sz w:val="24"/>
          <w:szCs w:val="24"/>
        </w:rPr>
        <w:t>343 ton dhe ja</w:t>
      </w:r>
      <w:r w:rsidR="00501830">
        <w:rPr>
          <w:rFonts w:ascii="Times New Roman" w:eastAsia="Calibri" w:hAnsi="Times New Roman" w:cs="Times New Roman"/>
          <w:sz w:val="24"/>
          <w:szCs w:val="24"/>
        </w:rPr>
        <w:t>në marrë gjithsej 1357 mostra.</w:t>
      </w:r>
      <w:r w:rsidR="00373779">
        <w:rPr>
          <w:rFonts w:ascii="Times New Roman" w:eastAsia="Calibri" w:hAnsi="Times New Roman" w:cs="Times New Roman"/>
          <w:sz w:val="24"/>
          <w:szCs w:val="24"/>
        </w:rPr>
        <w:t xml:space="preserve"> </w:t>
      </w:r>
      <w:r w:rsidRPr="0047684C">
        <w:rPr>
          <w:rFonts w:ascii="Times New Roman" w:eastAsia="Calibri" w:hAnsi="Times New Roman" w:cs="Times New Roman"/>
          <w:sz w:val="24"/>
          <w:szCs w:val="24"/>
        </w:rPr>
        <w:t>Vlera mesatare e numrit të cetanit gjatë kësaj periudhe ka rezultuar 52.1 njësi.</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 xml:space="preserve">Pika </w:t>
      </w:r>
      <w:r w:rsidR="00696006">
        <w:rPr>
          <w:rFonts w:ascii="Times New Roman" w:eastAsia="Calibri" w:hAnsi="Times New Roman" w:cs="Times New Roman"/>
          <w:sz w:val="24"/>
          <w:szCs w:val="24"/>
        </w:rPr>
        <w:t>e flakërimit është një koncept i</w:t>
      </w:r>
      <w:r w:rsidRPr="0047684C">
        <w:rPr>
          <w:rFonts w:ascii="Times New Roman" w:eastAsia="Calibri" w:hAnsi="Times New Roman" w:cs="Times New Roman"/>
          <w:sz w:val="24"/>
          <w:szCs w:val="24"/>
        </w:rPr>
        <w:t xml:space="preserve"> rëndësishëm për mbrojtjen ng</w:t>
      </w:r>
      <w:r w:rsidR="00373779">
        <w:rPr>
          <w:rFonts w:ascii="Times New Roman" w:eastAsia="Calibri" w:hAnsi="Times New Roman" w:cs="Times New Roman"/>
          <w:sz w:val="24"/>
          <w:szCs w:val="24"/>
        </w:rPr>
        <w:t>a zjarri sepse është temperatur</w:t>
      </w:r>
      <w:r w:rsidR="00373779">
        <w:rPr>
          <w:rFonts w:ascii="Times New Roman" w:hAnsi="Times New Roman"/>
          <w:sz w:val="24"/>
          <w:szCs w:val="24"/>
        </w:rPr>
        <w:t>ë</w:t>
      </w:r>
      <w:r w:rsidRPr="0047684C">
        <w:rPr>
          <w:rFonts w:ascii="Times New Roman" w:eastAsia="Calibri" w:hAnsi="Times New Roman" w:cs="Times New Roman"/>
          <w:sz w:val="24"/>
          <w:szCs w:val="24"/>
        </w:rPr>
        <w:t xml:space="preserve"> më e ulë</w:t>
      </w:r>
      <w:r w:rsidR="00696006">
        <w:rPr>
          <w:rFonts w:ascii="Times New Roman" w:eastAsia="Calibri" w:hAnsi="Times New Roman" w:cs="Times New Roman"/>
          <w:sz w:val="24"/>
          <w:szCs w:val="24"/>
        </w:rPr>
        <w:t>t në të cilën ekziston rreziku i</w:t>
      </w:r>
      <w:r w:rsidRPr="0047684C">
        <w:rPr>
          <w:rFonts w:ascii="Times New Roman" w:eastAsia="Calibri" w:hAnsi="Times New Roman" w:cs="Times New Roman"/>
          <w:sz w:val="24"/>
          <w:szCs w:val="24"/>
        </w:rPr>
        <w:t xml:space="preserve"> zjarrit me një lëng të caktuar. Ajo tregon praninë e</w:t>
      </w:r>
      <w:r w:rsidR="00373779">
        <w:rPr>
          <w:rFonts w:ascii="Times New Roman" w:eastAsia="Calibri" w:hAnsi="Times New Roman" w:cs="Times New Roman"/>
          <w:sz w:val="24"/>
          <w:szCs w:val="24"/>
        </w:rPr>
        <w:t xml:space="preserve"> materialeve të paqëndrueshme n</w:t>
      </w:r>
      <w:r w:rsidR="00373779">
        <w:rPr>
          <w:rFonts w:ascii="Times New Roman" w:hAnsi="Times New Roman"/>
          <w:sz w:val="24"/>
          <w:szCs w:val="24"/>
        </w:rPr>
        <w:t>ë</w:t>
      </w:r>
      <w:r w:rsidRPr="0047684C">
        <w:rPr>
          <w:rFonts w:ascii="Times New Roman" w:eastAsia="Calibri" w:hAnsi="Times New Roman" w:cs="Times New Roman"/>
          <w:sz w:val="24"/>
          <w:szCs w:val="24"/>
        </w:rPr>
        <w:t xml:space="preserve"> një material të qëndrueshëm. Temperatura e flakërimit është e përcaktuar si temperaturë minimale e nevojshme për karburantin në të cilën </w:t>
      </w:r>
      <w:r w:rsidRPr="0047684C">
        <w:rPr>
          <w:rFonts w:ascii="Times New Roman" w:eastAsia="Calibri" w:hAnsi="Times New Roman" w:cs="Times New Roman"/>
          <w:sz w:val="24"/>
          <w:szCs w:val="24"/>
        </w:rPr>
        <w:lastRenderedPageBreak/>
        <w:t>formohet një përzjerje e ndezshme.</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 xml:space="preserve">Përmbajtja e squfurit për </w:t>
      </w:r>
      <w:r w:rsidR="00696006">
        <w:rPr>
          <w:rFonts w:ascii="Times New Roman" w:eastAsia="Calibri" w:hAnsi="Times New Roman" w:cs="Times New Roman"/>
          <w:sz w:val="24"/>
          <w:szCs w:val="24"/>
        </w:rPr>
        <w:t>produktin gazoil është tregues i</w:t>
      </w:r>
      <w:r w:rsidRPr="0047684C">
        <w:rPr>
          <w:rFonts w:ascii="Times New Roman" w:eastAsia="Calibri" w:hAnsi="Times New Roman" w:cs="Times New Roman"/>
          <w:sz w:val="24"/>
          <w:szCs w:val="24"/>
        </w:rPr>
        <w:t xml:space="preserve"> rëndësishëm sipas standardit S SH EN 590:2025. Një rast ka rezultuar me shmangie të standardit,  ku përmbajtja e squfurit është 748.5 mg/kg.</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Motorët me naftë injektojnë lëndë djegëse të lë</w:t>
      </w:r>
      <w:r w:rsidR="00373779">
        <w:rPr>
          <w:rFonts w:ascii="Times New Roman" w:eastAsia="Calibri" w:hAnsi="Times New Roman" w:cs="Times New Roman"/>
          <w:sz w:val="24"/>
          <w:szCs w:val="24"/>
        </w:rPr>
        <w:t>ngët në cilindër. Në temperatur</w:t>
      </w:r>
      <w:r w:rsidR="00373779">
        <w:rPr>
          <w:rFonts w:ascii="Times New Roman" w:hAnsi="Times New Roman"/>
          <w:sz w:val="24"/>
          <w:szCs w:val="24"/>
        </w:rPr>
        <w:t>ë</w:t>
      </w:r>
      <w:r w:rsidR="00373779">
        <w:rPr>
          <w:rFonts w:ascii="Times New Roman" w:eastAsia="Calibri" w:hAnsi="Times New Roman" w:cs="Times New Roman"/>
          <w:sz w:val="24"/>
          <w:szCs w:val="24"/>
        </w:rPr>
        <w:t xml:space="preserve"> të ulëta rritet viskoziteti i</w:t>
      </w:r>
      <w:r w:rsidRPr="0047684C">
        <w:rPr>
          <w:rFonts w:ascii="Times New Roman" w:eastAsia="Calibri" w:hAnsi="Times New Roman" w:cs="Times New Roman"/>
          <w:sz w:val="24"/>
          <w:szCs w:val="24"/>
        </w:rPr>
        <w:t xml:space="preserve"> gazoilit dhe mund të kufizojë rrjedhën e karburantit në cilindër. Nga analizat laboratorike pika e ngrirjes luhatet nga -18 deri në -22 ̊ C, për të parandaluar problemet në periudhën e dimrit.</w:t>
      </w:r>
    </w:p>
    <w:p w:rsidR="00C849D5" w:rsidRDefault="00C849D5" w:rsidP="0047684C">
      <w:pPr>
        <w:jc w:val="both"/>
        <w:rPr>
          <w:rFonts w:ascii="Times New Roman" w:eastAsia="Calibri" w:hAnsi="Times New Roman" w:cs="Times New Roman"/>
          <w:b/>
          <w:sz w:val="24"/>
          <w:szCs w:val="24"/>
          <w:u w:val="single"/>
        </w:rPr>
      </w:pPr>
    </w:p>
    <w:p w:rsidR="0047684C" w:rsidRPr="0047684C" w:rsidRDefault="0047684C" w:rsidP="0047684C">
      <w:pPr>
        <w:jc w:val="both"/>
        <w:rPr>
          <w:rFonts w:ascii="Times New Roman" w:eastAsia="Calibri" w:hAnsi="Times New Roman" w:cs="Times New Roman"/>
          <w:b/>
          <w:sz w:val="24"/>
          <w:szCs w:val="24"/>
          <w:u w:val="single"/>
        </w:rPr>
      </w:pPr>
      <w:r w:rsidRPr="0047684C">
        <w:rPr>
          <w:rFonts w:ascii="Times New Roman" w:eastAsia="Calibri" w:hAnsi="Times New Roman" w:cs="Times New Roman"/>
          <w:b/>
          <w:sz w:val="24"/>
          <w:szCs w:val="24"/>
          <w:u w:val="single"/>
        </w:rPr>
        <w:t>Lëndët djegëse të lëngëta për përdorim termik, civil dhe industrial</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Në lëndët djegëse që përdoren për përdorim industrial dhe mjetet e lundrimit detar, inspektimi dhe testimi kanë patur si objektiv, që lëndët djegëse të jënë në përputhje me standartin S SH UNI 6579:2011 dhe Direktivën e Squfurit të BE 1999/32.</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Gjatë vitit 2025 është importuar 1003 ton lëndë djegëse mazut dhe janë marrë gjithësej 59 mostra lëndë djegëse për kontroll cilësor.</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Të gjithë përbërësit e naftës kur digjen janë të dëmshëm për mjedisin. Papstërtitë e squfurit të naftës dhe mbetjeve të rënda do të shkaktojnë formimin e tymrave toksikë me një përmbajtje të lartë të blozës, dhe një përmbajtje  e konsiderueshme e përbërjeve që përmbajnë azot con në një përqëndrim relativisht të lartë të oksideve të azotit. Dëmi nga djegia e naftës së papërpunuar është e dukshme dhe jo vetëm për mjedisin, por edhe për pajisjet e përdorura.</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Korrozio</w:t>
      </w:r>
      <w:r w:rsidR="00373779">
        <w:rPr>
          <w:rFonts w:ascii="Times New Roman" w:eastAsia="Calibri" w:hAnsi="Times New Roman" w:cs="Times New Roman"/>
          <w:sz w:val="24"/>
          <w:szCs w:val="24"/>
        </w:rPr>
        <w:t>ni i gazit i</w:t>
      </w:r>
      <w:r w:rsidR="00696006">
        <w:rPr>
          <w:rFonts w:ascii="Times New Roman" w:eastAsia="Calibri" w:hAnsi="Times New Roman" w:cs="Times New Roman"/>
          <w:sz w:val="24"/>
          <w:szCs w:val="24"/>
        </w:rPr>
        <w:t xml:space="preserve"> metaleve, formimi i</w:t>
      </w:r>
      <w:r w:rsidRPr="0047684C">
        <w:rPr>
          <w:rFonts w:ascii="Times New Roman" w:eastAsia="Calibri" w:hAnsi="Times New Roman" w:cs="Times New Roman"/>
          <w:sz w:val="24"/>
          <w:szCs w:val="24"/>
        </w:rPr>
        <w:t xml:space="preserve"> depozitave të karbonit në furrat dhe depozitat e koksit në sprucatore, çojnë në mbyllje të shpeshta të furrave për pastrim, janë shëmbujt më të zakonshëm të përdorimit destruktiv të naftës. Prandaj,</w:t>
      </w:r>
      <w:r w:rsidR="00373779">
        <w:rPr>
          <w:rFonts w:ascii="Times New Roman" w:eastAsia="Calibri" w:hAnsi="Times New Roman" w:cs="Times New Roman"/>
          <w:sz w:val="24"/>
          <w:szCs w:val="24"/>
        </w:rPr>
        <w:t xml:space="preserve"> sipas legjislacionit të disa v</w:t>
      </w:r>
      <w:r w:rsidR="00373779">
        <w:rPr>
          <w:rFonts w:ascii="Times New Roman" w:hAnsi="Times New Roman"/>
          <w:sz w:val="24"/>
          <w:szCs w:val="24"/>
        </w:rPr>
        <w:t>ë</w:t>
      </w:r>
      <w:r w:rsidRPr="0047684C">
        <w:rPr>
          <w:rFonts w:ascii="Times New Roman" w:eastAsia="Calibri" w:hAnsi="Times New Roman" w:cs="Times New Roman"/>
          <w:sz w:val="24"/>
          <w:szCs w:val="24"/>
        </w:rPr>
        <w:t>ndeve për mbrojtjen e mjedi</w:t>
      </w:r>
      <w:r w:rsidR="00373779">
        <w:rPr>
          <w:rFonts w:ascii="Times New Roman" w:eastAsia="Calibri" w:hAnsi="Times New Roman" w:cs="Times New Roman"/>
          <w:sz w:val="24"/>
          <w:szCs w:val="24"/>
        </w:rPr>
        <w:t>sit, është e ndaluar përdorimi i</w:t>
      </w:r>
      <w:r w:rsidRPr="0047684C">
        <w:rPr>
          <w:rFonts w:ascii="Times New Roman" w:eastAsia="Calibri" w:hAnsi="Times New Roman" w:cs="Times New Roman"/>
          <w:sz w:val="24"/>
          <w:szCs w:val="24"/>
        </w:rPr>
        <w:t xml:space="preserve"> naftës së papërpunuar si lëndë djegëse.</w:t>
      </w:r>
    </w:p>
    <w:p w:rsidR="0047684C" w:rsidRPr="0047684C" w:rsidRDefault="0047684C" w:rsidP="0047684C">
      <w:pPr>
        <w:jc w:val="both"/>
        <w:rPr>
          <w:rFonts w:ascii="Times New Roman" w:eastAsia="Calibri" w:hAnsi="Times New Roman" w:cs="Times New Roman"/>
          <w:b/>
          <w:sz w:val="24"/>
          <w:szCs w:val="24"/>
          <w:u w:val="single"/>
        </w:rPr>
      </w:pPr>
      <w:r w:rsidRPr="0047684C">
        <w:rPr>
          <w:rFonts w:ascii="Times New Roman" w:eastAsia="Calibri" w:hAnsi="Times New Roman" w:cs="Times New Roman"/>
          <w:b/>
          <w:sz w:val="24"/>
          <w:szCs w:val="24"/>
          <w:u w:val="single"/>
        </w:rPr>
        <w:t xml:space="preserve">Gaz </w:t>
      </w:r>
      <w:r w:rsidR="007C778A">
        <w:rPr>
          <w:rFonts w:ascii="Times New Roman" w:eastAsia="Calibri" w:hAnsi="Times New Roman" w:cs="Times New Roman"/>
          <w:b/>
          <w:sz w:val="24"/>
          <w:szCs w:val="24"/>
          <w:u w:val="single"/>
        </w:rPr>
        <w:t>i</w:t>
      </w:r>
      <w:r w:rsidRPr="0047684C">
        <w:rPr>
          <w:rFonts w:ascii="Times New Roman" w:eastAsia="Calibri" w:hAnsi="Times New Roman" w:cs="Times New Roman"/>
          <w:b/>
          <w:sz w:val="24"/>
          <w:szCs w:val="24"/>
          <w:u w:val="single"/>
        </w:rPr>
        <w:t xml:space="preserve"> lëng</w:t>
      </w:r>
      <w:r w:rsidR="007C778A">
        <w:rPr>
          <w:rFonts w:ascii="Times New Roman" w:eastAsia="Calibri" w:hAnsi="Times New Roman" w:cs="Times New Roman"/>
          <w:b/>
          <w:sz w:val="24"/>
          <w:szCs w:val="24"/>
          <w:u w:val="single"/>
        </w:rPr>
        <w:t>ë</w:t>
      </w:r>
      <w:r w:rsidRPr="0047684C">
        <w:rPr>
          <w:rFonts w:ascii="Times New Roman" w:eastAsia="Calibri" w:hAnsi="Times New Roman" w:cs="Times New Roman"/>
          <w:b/>
          <w:sz w:val="24"/>
          <w:szCs w:val="24"/>
          <w:u w:val="single"/>
        </w:rPr>
        <w:t>zuar nga nafta (GNL)</w:t>
      </w:r>
    </w:p>
    <w:p w:rsidR="0047684C" w:rsidRPr="0047684C"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Gjatë vitit 2025 janë importuar 345 947 ton GNL, ku janë marrë gjithsej 123 mostra.</w:t>
      </w:r>
    </w:p>
    <w:p w:rsidR="00501830" w:rsidRDefault="0047684C" w:rsidP="0047684C">
      <w:pPr>
        <w:jc w:val="both"/>
        <w:rPr>
          <w:rFonts w:ascii="Times New Roman" w:eastAsia="Calibri" w:hAnsi="Times New Roman" w:cs="Times New Roman"/>
          <w:sz w:val="24"/>
          <w:szCs w:val="24"/>
        </w:rPr>
      </w:pPr>
      <w:r w:rsidRPr="0047684C">
        <w:rPr>
          <w:rFonts w:ascii="Times New Roman" w:eastAsia="Calibri" w:hAnsi="Times New Roman" w:cs="Times New Roman"/>
          <w:sz w:val="24"/>
          <w:szCs w:val="24"/>
        </w:rPr>
        <w:t xml:space="preserve">Miratimi </w:t>
      </w:r>
      <w:r w:rsidR="007C778A">
        <w:rPr>
          <w:rFonts w:ascii="Times New Roman" w:eastAsia="Calibri" w:hAnsi="Times New Roman" w:cs="Times New Roman"/>
          <w:sz w:val="24"/>
          <w:szCs w:val="24"/>
        </w:rPr>
        <w:t>i</w:t>
      </w:r>
      <w:r w:rsidRPr="0047684C">
        <w:rPr>
          <w:rFonts w:ascii="Times New Roman" w:eastAsia="Calibri" w:hAnsi="Times New Roman" w:cs="Times New Roman"/>
          <w:sz w:val="24"/>
          <w:szCs w:val="24"/>
        </w:rPr>
        <w:t xml:space="preserve"> standardit të gaz</w:t>
      </w:r>
      <w:r w:rsidR="00696006">
        <w:rPr>
          <w:rFonts w:ascii="Times New Roman" w:eastAsia="Calibri" w:hAnsi="Times New Roman" w:cs="Times New Roman"/>
          <w:sz w:val="24"/>
          <w:szCs w:val="24"/>
        </w:rPr>
        <w:t>it të lëngët si rregull Teknik i</w:t>
      </w:r>
      <w:r w:rsidRPr="0047684C">
        <w:rPr>
          <w:rFonts w:ascii="Times New Roman" w:eastAsia="Calibri" w:hAnsi="Times New Roman" w:cs="Times New Roman"/>
          <w:sz w:val="24"/>
          <w:szCs w:val="24"/>
        </w:rPr>
        <w:t xml:space="preserve"> detyrueshëm për zbatim, me VKM Nr.429 datë 26.06.2019 “Për cilësinë e disa lëndëve të djegshme, të lëngëta, për përdorim termik, civil dhe industrial, si dhe përdorim në mjetet e transportit ujor (detar,</w:t>
      </w:r>
      <w:r w:rsidR="00DE4C30">
        <w:rPr>
          <w:rFonts w:ascii="Times New Roman" w:eastAsia="Calibri" w:hAnsi="Times New Roman" w:cs="Times New Roman"/>
          <w:sz w:val="24"/>
          <w:szCs w:val="24"/>
        </w:rPr>
        <w:t xml:space="preserve"> </w:t>
      </w:r>
      <w:r w:rsidRPr="0047684C">
        <w:rPr>
          <w:rFonts w:ascii="Times New Roman" w:eastAsia="Calibri" w:hAnsi="Times New Roman" w:cs="Times New Roman"/>
          <w:sz w:val="24"/>
          <w:szCs w:val="24"/>
        </w:rPr>
        <w:t>lumor dhe liqenor), disiplinon tregtimin e tij sipas kushteve klimatike të vendit tonë dhe në përputhje me stand</w:t>
      </w:r>
      <w:r w:rsidR="00501830">
        <w:rPr>
          <w:rFonts w:ascii="Times New Roman" w:eastAsia="Calibri" w:hAnsi="Times New Roman" w:cs="Times New Roman"/>
          <w:sz w:val="24"/>
          <w:szCs w:val="24"/>
        </w:rPr>
        <w:t>ardin S SH EN 589:2018+A1:2022.</w:t>
      </w:r>
    </w:p>
    <w:p w:rsidR="00B85482" w:rsidRDefault="00B85482" w:rsidP="0047684C">
      <w:pPr>
        <w:jc w:val="both"/>
        <w:rPr>
          <w:rFonts w:ascii="Times New Roman" w:eastAsia="Calibri" w:hAnsi="Times New Roman" w:cs="Times New Roman"/>
          <w:sz w:val="24"/>
          <w:szCs w:val="24"/>
        </w:rPr>
      </w:pPr>
    </w:p>
    <w:p w:rsidR="00B85482" w:rsidRDefault="00B85482" w:rsidP="0047684C">
      <w:pPr>
        <w:jc w:val="both"/>
        <w:rPr>
          <w:rFonts w:ascii="Times New Roman" w:eastAsia="Calibri" w:hAnsi="Times New Roman" w:cs="Times New Roman"/>
          <w:sz w:val="24"/>
          <w:szCs w:val="24"/>
        </w:rPr>
      </w:pPr>
    </w:p>
    <w:p w:rsidR="00B85482" w:rsidRDefault="00B85482" w:rsidP="0047684C">
      <w:pPr>
        <w:jc w:val="both"/>
        <w:rPr>
          <w:rFonts w:ascii="Times New Roman" w:eastAsia="Calibri" w:hAnsi="Times New Roman" w:cs="Times New Roman"/>
          <w:sz w:val="24"/>
          <w:szCs w:val="24"/>
        </w:rPr>
      </w:pPr>
    </w:p>
    <w:p w:rsidR="00B85482" w:rsidRPr="0047684C" w:rsidRDefault="00B85482" w:rsidP="0047684C">
      <w:pPr>
        <w:jc w:val="both"/>
        <w:rPr>
          <w:rFonts w:ascii="Times New Roman" w:eastAsia="Calibri" w:hAnsi="Times New Roman" w:cs="Times New Roman"/>
          <w:sz w:val="24"/>
          <w:szCs w:val="24"/>
        </w:rPr>
      </w:pPr>
    </w:p>
    <w:p w:rsidR="00AB1F2A" w:rsidRPr="00F81C5E" w:rsidRDefault="00AB1F2A" w:rsidP="00807975">
      <w:pPr>
        <w:pStyle w:val="ListParagraph"/>
        <w:numPr>
          <w:ilvl w:val="1"/>
          <w:numId w:val="35"/>
        </w:numPr>
        <w:spacing w:after="0" w:line="240" w:lineRule="auto"/>
        <w:jc w:val="both"/>
        <w:rPr>
          <w:rFonts w:ascii="Times New Roman" w:eastAsia="Times New Roman" w:hAnsi="Times New Roman" w:cs="Times New Roman"/>
          <w:b/>
          <w:color w:val="000000"/>
          <w:sz w:val="24"/>
          <w:szCs w:val="24"/>
        </w:rPr>
      </w:pPr>
      <w:r w:rsidRPr="00F81C5E">
        <w:rPr>
          <w:rFonts w:ascii="Times New Roman" w:eastAsia="Times New Roman" w:hAnsi="Times New Roman" w:cs="Times New Roman"/>
          <w:b/>
          <w:color w:val="000000"/>
          <w:sz w:val="24"/>
          <w:szCs w:val="24"/>
        </w:rPr>
        <w:t>Objektivat strategjik</w:t>
      </w:r>
      <w:r w:rsidR="00501830" w:rsidRPr="00F81C5E">
        <w:rPr>
          <w:rFonts w:ascii="Times New Roman" w:eastAsia="Times New Roman" w:hAnsi="Times New Roman" w:cs="Times New Roman"/>
          <w:b/>
          <w:color w:val="000000"/>
          <w:sz w:val="24"/>
          <w:szCs w:val="24"/>
        </w:rPr>
        <w:t xml:space="preserve"> për ajrin</w:t>
      </w:r>
    </w:p>
    <w:p w:rsidR="00501830" w:rsidRPr="00501830" w:rsidRDefault="00501830" w:rsidP="00501830">
      <w:pPr>
        <w:spacing w:after="0" w:line="240" w:lineRule="auto"/>
        <w:jc w:val="both"/>
        <w:rPr>
          <w:rFonts w:ascii="Times New Roman" w:eastAsia="Times New Roman" w:hAnsi="Times New Roman" w:cs="Times New Roman"/>
          <w:color w:val="000000"/>
          <w:sz w:val="24"/>
          <w:szCs w:val="24"/>
        </w:rPr>
      </w:pPr>
    </w:p>
    <w:p w:rsidR="00AB1F2A" w:rsidRPr="00501830" w:rsidRDefault="00AB1F2A" w:rsidP="00501830">
      <w:pPr>
        <w:spacing w:after="0" w:line="240" w:lineRule="auto"/>
        <w:jc w:val="both"/>
        <w:rPr>
          <w:rFonts w:ascii="Times New Roman" w:eastAsia="Times New Roman" w:hAnsi="Times New Roman" w:cs="Times New Roman"/>
          <w:sz w:val="24"/>
          <w:szCs w:val="24"/>
        </w:rPr>
      </w:pPr>
      <w:r w:rsidRPr="00501830">
        <w:rPr>
          <w:rFonts w:ascii="Times New Roman" w:eastAsia="Times New Roman" w:hAnsi="Times New Roman" w:cs="Times New Roman"/>
          <w:color w:val="000000"/>
          <w:sz w:val="24"/>
          <w:szCs w:val="24"/>
        </w:rPr>
        <w:t>Ministria e Mjedisit, me mbështetjen e projektit “Sane 27, është  angazhuar në rishikimin e Strategjisë Kombëtare për Cilësinë e Ajrit dhe Plani Kombëtar i Menaxhimit të Cilësisë së Ajrit. Strategjia e parë paraprake është për</w:t>
      </w:r>
      <w:r w:rsidR="00DE4C30">
        <w:rPr>
          <w:rFonts w:ascii="Times New Roman" w:eastAsia="Times New Roman" w:hAnsi="Times New Roman" w:cs="Times New Roman"/>
          <w:color w:val="000000"/>
          <w:sz w:val="24"/>
          <w:szCs w:val="24"/>
        </w:rPr>
        <w:t>gatitur dhe prezantuar gjatë nj</w:t>
      </w:r>
      <w:r w:rsidR="00DE4C30">
        <w:rPr>
          <w:rFonts w:ascii="Times New Roman" w:hAnsi="Times New Roman"/>
          <w:sz w:val="24"/>
          <w:szCs w:val="24"/>
        </w:rPr>
        <w:t>ë</w:t>
      </w:r>
      <w:r w:rsidR="00DE4C30">
        <w:rPr>
          <w:rFonts w:ascii="Times New Roman" w:eastAsia="Times New Roman" w:hAnsi="Times New Roman" w:cs="Times New Roman"/>
          <w:color w:val="000000"/>
          <w:sz w:val="24"/>
          <w:szCs w:val="24"/>
        </w:rPr>
        <w:t xml:space="preserve"> trajnimi në Korrik </w:t>
      </w:r>
      <w:r w:rsidRPr="00501830">
        <w:rPr>
          <w:rFonts w:ascii="Times New Roman" w:eastAsia="Times New Roman" w:hAnsi="Times New Roman" w:cs="Times New Roman"/>
          <w:color w:val="000000"/>
          <w:sz w:val="24"/>
          <w:szCs w:val="24"/>
        </w:rPr>
        <w:t>2025. Strategjia Kombëtare e rishikuar për Cilësinë e Ajrit dhe Plani Kombëtar i Menaxhimit të Cilësisë së Ajrit pritet të miratohen n</w:t>
      </w:r>
      <w:r w:rsidR="00DE4C30">
        <w:rPr>
          <w:rFonts w:ascii="Times New Roman" w:eastAsia="Times New Roman" w:hAnsi="Times New Roman" w:cs="Times New Roman"/>
          <w:color w:val="000000"/>
          <w:sz w:val="24"/>
          <w:szCs w:val="24"/>
        </w:rPr>
        <w:t>ga Këshilli i Ministrave br</w:t>
      </w:r>
      <w:r w:rsidR="001219D8">
        <w:rPr>
          <w:rFonts w:ascii="Times New Roman" w:eastAsia="Times New Roman" w:hAnsi="Times New Roman" w:cs="Times New Roman"/>
          <w:color w:val="000000"/>
          <w:sz w:val="24"/>
          <w:szCs w:val="24"/>
        </w:rPr>
        <w:t>e</w:t>
      </w:r>
      <w:r w:rsidR="00DE4C30">
        <w:rPr>
          <w:rFonts w:ascii="Times New Roman" w:eastAsia="Times New Roman" w:hAnsi="Times New Roman" w:cs="Times New Roman"/>
          <w:color w:val="000000"/>
          <w:sz w:val="24"/>
          <w:szCs w:val="24"/>
        </w:rPr>
        <w:t>nda</w:t>
      </w:r>
      <w:r w:rsidRPr="00501830">
        <w:rPr>
          <w:rFonts w:ascii="Times New Roman" w:eastAsia="Times New Roman" w:hAnsi="Times New Roman" w:cs="Times New Roman"/>
          <w:color w:val="000000"/>
          <w:sz w:val="24"/>
          <w:szCs w:val="24"/>
        </w:rPr>
        <w:t xml:space="preserve"> vitit 2026.</w:t>
      </w:r>
    </w:p>
    <w:p w:rsidR="0047684C" w:rsidRPr="00501830" w:rsidRDefault="0047684C" w:rsidP="00501830">
      <w:pPr>
        <w:jc w:val="both"/>
        <w:rPr>
          <w:rFonts w:ascii="Times New Roman" w:eastAsia="Calibri" w:hAnsi="Times New Roman" w:cs="Times New Roman"/>
          <w:sz w:val="24"/>
          <w:szCs w:val="24"/>
        </w:rPr>
      </w:pPr>
    </w:p>
    <w:p w:rsidR="00501830" w:rsidRPr="00F81C5E" w:rsidRDefault="00501830" w:rsidP="00807975">
      <w:pPr>
        <w:pStyle w:val="ListParagraph"/>
        <w:numPr>
          <w:ilvl w:val="1"/>
          <w:numId w:val="35"/>
        </w:numPr>
        <w:rPr>
          <w:rFonts w:ascii="Times New Roman" w:hAnsi="Times New Roman" w:cs="Times New Roman"/>
          <w:b/>
          <w:sz w:val="24"/>
          <w:szCs w:val="24"/>
        </w:rPr>
      </w:pPr>
      <w:r w:rsidRPr="00F81C5E">
        <w:rPr>
          <w:rFonts w:ascii="Times New Roman" w:hAnsi="Times New Roman" w:cs="Times New Roman"/>
          <w:b/>
          <w:sz w:val="24"/>
          <w:szCs w:val="24"/>
        </w:rPr>
        <w:t>Rekomandime për përmirësimin e cilësisë së ajrit:</w:t>
      </w:r>
    </w:p>
    <w:p w:rsidR="00501830" w:rsidRPr="007C40DD" w:rsidRDefault="00501830" w:rsidP="00501830">
      <w:pPr>
        <w:rPr>
          <w:rFonts w:ascii="Times New Roman" w:hAnsi="Times New Roman" w:cs="Times New Roman"/>
          <w:sz w:val="24"/>
          <w:szCs w:val="24"/>
        </w:rPr>
      </w:pPr>
      <w:r w:rsidRPr="007C40DD">
        <w:rPr>
          <w:rFonts w:ascii="Times New Roman" w:hAnsi="Times New Roman" w:cs="Times New Roman"/>
          <w:sz w:val="24"/>
          <w:szCs w:val="24"/>
        </w:rPr>
        <w:t>Për përmirësimin e cilësisë së ajrit dhe r</w:t>
      </w:r>
      <w:r w:rsidR="00DE4C30">
        <w:rPr>
          <w:rFonts w:ascii="Times New Roman" w:hAnsi="Times New Roman" w:cs="Times New Roman"/>
          <w:sz w:val="24"/>
          <w:szCs w:val="24"/>
        </w:rPr>
        <w:t>eduktimin e përq</w:t>
      </w:r>
      <w:r w:rsidR="00DE4C30">
        <w:rPr>
          <w:rFonts w:ascii="Times New Roman" w:hAnsi="Times New Roman"/>
          <w:sz w:val="24"/>
          <w:szCs w:val="24"/>
        </w:rPr>
        <w:t>ë</w:t>
      </w:r>
      <w:r w:rsidRPr="007C40DD">
        <w:rPr>
          <w:rFonts w:ascii="Times New Roman" w:hAnsi="Times New Roman" w:cs="Times New Roman"/>
          <w:sz w:val="24"/>
          <w:szCs w:val="24"/>
        </w:rPr>
        <w:t>ndrimeve të ndotësve atmosferikë, rekomandohet ndërmarrja e masave të mëposhtme:</w:t>
      </w:r>
    </w:p>
    <w:p w:rsidR="00501830" w:rsidRPr="007C40DD" w:rsidRDefault="00501830" w:rsidP="00501830">
      <w:pPr>
        <w:rPr>
          <w:rFonts w:ascii="Times New Roman" w:hAnsi="Times New Roman" w:cs="Times New Roman"/>
          <w:sz w:val="24"/>
          <w:szCs w:val="24"/>
        </w:rPr>
      </w:pPr>
      <w:r w:rsidRPr="007C40DD">
        <w:rPr>
          <w:rFonts w:ascii="Times New Roman" w:hAnsi="Times New Roman" w:cs="Times New Roman"/>
          <w:sz w:val="24"/>
          <w:szCs w:val="24"/>
        </w:rPr>
        <w:t>1.</w:t>
      </w:r>
      <w:r w:rsidRPr="007C40DD">
        <w:rPr>
          <w:rFonts w:ascii="Times New Roman" w:hAnsi="Times New Roman" w:cs="Times New Roman"/>
          <w:sz w:val="24"/>
          <w:szCs w:val="24"/>
        </w:rPr>
        <w:tab/>
        <w:t>Reduktimi i em</w:t>
      </w:r>
      <w:r w:rsidR="001219D8">
        <w:rPr>
          <w:rFonts w:ascii="Times New Roman" w:hAnsi="Times New Roman" w:cs="Times New Roman"/>
          <w:sz w:val="24"/>
          <w:szCs w:val="24"/>
        </w:rPr>
        <w:t>ë</w:t>
      </w:r>
      <w:r w:rsidRPr="007C40DD">
        <w:rPr>
          <w:rFonts w:ascii="Times New Roman" w:hAnsi="Times New Roman" w:cs="Times New Roman"/>
          <w:sz w:val="24"/>
          <w:szCs w:val="24"/>
        </w:rPr>
        <w:t>timeve nga sektori i transportit përmes promovimit të transportit publik, përdorimit të mjeteve me em</w:t>
      </w:r>
      <w:r w:rsidR="001219D8">
        <w:rPr>
          <w:rFonts w:ascii="Times New Roman" w:hAnsi="Times New Roman" w:cs="Times New Roman"/>
          <w:sz w:val="24"/>
          <w:szCs w:val="24"/>
        </w:rPr>
        <w:t>ë</w:t>
      </w:r>
      <w:r w:rsidRPr="007C40DD">
        <w:rPr>
          <w:rFonts w:ascii="Times New Roman" w:hAnsi="Times New Roman" w:cs="Times New Roman"/>
          <w:sz w:val="24"/>
          <w:szCs w:val="24"/>
        </w:rPr>
        <w:t>time të ulëta dhe kufizimit të qarkullimit të automjeteve në zonat urbane me ndotje të lartë.</w:t>
      </w:r>
    </w:p>
    <w:p w:rsidR="00501830" w:rsidRPr="007C40DD" w:rsidRDefault="00501830" w:rsidP="00501830">
      <w:pPr>
        <w:rPr>
          <w:rFonts w:ascii="Times New Roman" w:hAnsi="Times New Roman" w:cs="Times New Roman"/>
          <w:sz w:val="24"/>
          <w:szCs w:val="24"/>
        </w:rPr>
      </w:pPr>
      <w:r w:rsidRPr="007C40DD">
        <w:rPr>
          <w:rFonts w:ascii="Times New Roman" w:hAnsi="Times New Roman" w:cs="Times New Roman"/>
          <w:sz w:val="24"/>
          <w:szCs w:val="24"/>
        </w:rPr>
        <w:t>2.</w:t>
      </w:r>
      <w:r w:rsidRPr="007C40DD">
        <w:rPr>
          <w:rFonts w:ascii="Times New Roman" w:hAnsi="Times New Roman" w:cs="Times New Roman"/>
          <w:sz w:val="24"/>
          <w:szCs w:val="24"/>
        </w:rPr>
        <w:tab/>
        <w:t>Përmirësimi i standardeve të karburanteve dhe kontrolli periodik i automjeteve për të garantuar përmbushjen e normave të emëtimeve.</w:t>
      </w:r>
    </w:p>
    <w:p w:rsidR="00501830" w:rsidRPr="007C40DD" w:rsidRDefault="00501830" w:rsidP="00501830">
      <w:pPr>
        <w:rPr>
          <w:rFonts w:ascii="Times New Roman" w:hAnsi="Times New Roman" w:cs="Times New Roman"/>
          <w:sz w:val="24"/>
          <w:szCs w:val="24"/>
        </w:rPr>
      </w:pPr>
      <w:r w:rsidRPr="007C40DD">
        <w:rPr>
          <w:rFonts w:ascii="Times New Roman" w:hAnsi="Times New Roman" w:cs="Times New Roman"/>
          <w:sz w:val="24"/>
          <w:szCs w:val="24"/>
        </w:rPr>
        <w:t>3.</w:t>
      </w:r>
      <w:r w:rsidRPr="007C40DD">
        <w:rPr>
          <w:rFonts w:ascii="Times New Roman" w:hAnsi="Times New Roman" w:cs="Times New Roman"/>
          <w:sz w:val="24"/>
          <w:szCs w:val="24"/>
        </w:rPr>
        <w:tab/>
        <w:t>Forcimi i monitorimit dhe kontrollit të aktiviteteve industriale, duke siguruar zbatimin e plotë të legjislacionit mjedisor dhe përdorimin e teknologjive të pastra.</w:t>
      </w:r>
    </w:p>
    <w:p w:rsidR="00501830" w:rsidRPr="007C40DD" w:rsidRDefault="00501830" w:rsidP="00501830">
      <w:pPr>
        <w:rPr>
          <w:rFonts w:ascii="Times New Roman" w:hAnsi="Times New Roman" w:cs="Times New Roman"/>
          <w:sz w:val="24"/>
          <w:szCs w:val="24"/>
        </w:rPr>
      </w:pPr>
      <w:r w:rsidRPr="007C40DD">
        <w:rPr>
          <w:rFonts w:ascii="Times New Roman" w:hAnsi="Times New Roman" w:cs="Times New Roman"/>
          <w:sz w:val="24"/>
          <w:szCs w:val="24"/>
        </w:rPr>
        <w:t>4.</w:t>
      </w:r>
      <w:r w:rsidRPr="007C40DD">
        <w:rPr>
          <w:rFonts w:ascii="Times New Roman" w:hAnsi="Times New Roman" w:cs="Times New Roman"/>
          <w:sz w:val="24"/>
          <w:szCs w:val="24"/>
        </w:rPr>
        <w:tab/>
        <w:t>Ndalimi i djegies së mbetjeve në ambiente të hapura dhe rritja e ndërgjegjësimit publik mbi ndikimet negative të këtij fenomeni.</w:t>
      </w:r>
    </w:p>
    <w:p w:rsidR="00501830" w:rsidRPr="007C40DD" w:rsidRDefault="00501830" w:rsidP="00501830">
      <w:pPr>
        <w:rPr>
          <w:rFonts w:ascii="Times New Roman" w:hAnsi="Times New Roman" w:cs="Times New Roman"/>
          <w:sz w:val="24"/>
          <w:szCs w:val="24"/>
        </w:rPr>
      </w:pPr>
      <w:r w:rsidRPr="007C40DD">
        <w:rPr>
          <w:rFonts w:ascii="Times New Roman" w:hAnsi="Times New Roman" w:cs="Times New Roman"/>
          <w:sz w:val="24"/>
          <w:szCs w:val="24"/>
        </w:rPr>
        <w:t>5.</w:t>
      </w:r>
      <w:r w:rsidRPr="007C40DD">
        <w:rPr>
          <w:rFonts w:ascii="Times New Roman" w:hAnsi="Times New Roman" w:cs="Times New Roman"/>
          <w:sz w:val="24"/>
          <w:szCs w:val="24"/>
        </w:rPr>
        <w:tab/>
        <w:t>Përmirësimi i sistemeve të ngrohjes, duke nxitur përdorimin e alternativave më pak ndotëse dhe rritjen e eficiencës energjetike në ndërtesa.</w:t>
      </w:r>
    </w:p>
    <w:p w:rsidR="00501830" w:rsidRPr="007C40DD" w:rsidRDefault="00501830" w:rsidP="00501830">
      <w:pPr>
        <w:rPr>
          <w:rFonts w:ascii="Times New Roman" w:hAnsi="Times New Roman" w:cs="Times New Roman"/>
          <w:sz w:val="24"/>
          <w:szCs w:val="24"/>
        </w:rPr>
      </w:pPr>
      <w:r w:rsidRPr="007C40DD">
        <w:rPr>
          <w:rFonts w:ascii="Times New Roman" w:hAnsi="Times New Roman" w:cs="Times New Roman"/>
          <w:sz w:val="24"/>
          <w:szCs w:val="24"/>
        </w:rPr>
        <w:t>6.</w:t>
      </w:r>
      <w:r w:rsidRPr="007C40DD">
        <w:rPr>
          <w:rFonts w:ascii="Times New Roman" w:hAnsi="Times New Roman" w:cs="Times New Roman"/>
          <w:sz w:val="24"/>
          <w:szCs w:val="24"/>
        </w:rPr>
        <w:tab/>
        <w:t>Zgjerimi i hapësirave të gjelbëra urbane, të cilat kontribuojnë në përmirësimin e cilësisë</w:t>
      </w:r>
      <w:r w:rsidR="00DE4C30">
        <w:rPr>
          <w:rFonts w:ascii="Times New Roman" w:hAnsi="Times New Roman" w:cs="Times New Roman"/>
          <w:sz w:val="24"/>
          <w:szCs w:val="24"/>
        </w:rPr>
        <w:t xml:space="preserve"> së ajrit dhe reduktimin e përq</w:t>
      </w:r>
      <w:r w:rsidR="00DE4C30">
        <w:rPr>
          <w:rFonts w:ascii="Times New Roman" w:hAnsi="Times New Roman"/>
          <w:sz w:val="24"/>
          <w:szCs w:val="24"/>
        </w:rPr>
        <w:t>ë</w:t>
      </w:r>
      <w:r w:rsidRPr="007C40DD">
        <w:rPr>
          <w:rFonts w:ascii="Times New Roman" w:hAnsi="Times New Roman" w:cs="Times New Roman"/>
          <w:sz w:val="24"/>
          <w:szCs w:val="24"/>
        </w:rPr>
        <w:t>ndrimeve të grimcave të pluhurit.</w:t>
      </w:r>
    </w:p>
    <w:p w:rsidR="00501830" w:rsidRPr="007C40DD" w:rsidRDefault="00501830" w:rsidP="00501830">
      <w:pPr>
        <w:rPr>
          <w:rFonts w:ascii="Times New Roman" w:hAnsi="Times New Roman" w:cs="Times New Roman"/>
          <w:sz w:val="24"/>
          <w:szCs w:val="24"/>
        </w:rPr>
      </w:pPr>
      <w:r w:rsidRPr="007C40DD">
        <w:rPr>
          <w:rFonts w:ascii="Times New Roman" w:hAnsi="Times New Roman" w:cs="Times New Roman"/>
          <w:sz w:val="24"/>
          <w:szCs w:val="24"/>
        </w:rPr>
        <w:t>7.</w:t>
      </w:r>
      <w:r w:rsidRPr="007C40DD">
        <w:rPr>
          <w:rFonts w:ascii="Times New Roman" w:hAnsi="Times New Roman" w:cs="Times New Roman"/>
          <w:sz w:val="24"/>
          <w:szCs w:val="24"/>
        </w:rPr>
        <w:tab/>
        <w:t>Forcimi i rrjetit të monitorimit të cilësisë së ajrit dhe rritja e transparencës në publikimin e të dhënave për informimin e publikut.</w:t>
      </w:r>
    </w:p>
    <w:p w:rsidR="00501830" w:rsidRPr="007C40DD" w:rsidRDefault="00501830" w:rsidP="00501830">
      <w:pPr>
        <w:rPr>
          <w:rFonts w:ascii="Times New Roman" w:hAnsi="Times New Roman" w:cs="Times New Roman"/>
          <w:sz w:val="24"/>
          <w:szCs w:val="24"/>
        </w:rPr>
      </w:pPr>
      <w:r w:rsidRPr="007C40DD">
        <w:rPr>
          <w:rFonts w:ascii="Times New Roman" w:hAnsi="Times New Roman" w:cs="Times New Roman"/>
          <w:sz w:val="24"/>
          <w:szCs w:val="24"/>
        </w:rPr>
        <w:t>8.</w:t>
      </w:r>
      <w:r w:rsidRPr="007C40DD">
        <w:rPr>
          <w:rFonts w:ascii="Times New Roman" w:hAnsi="Times New Roman" w:cs="Times New Roman"/>
          <w:sz w:val="24"/>
          <w:szCs w:val="24"/>
        </w:rPr>
        <w:tab/>
        <w:t>Hartimi dhe zbatimi i planeve lokale dhe planit kombëtar për menaxhimin e cilësisë së ajrit, veçanërisht në zonat ku evidentohen tejkalime të vlerave kufi.</w:t>
      </w:r>
    </w:p>
    <w:p w:rsidR="0047684C" w:rsidRPr="0047684C" w:rsidRDefault="0047684C" w:rsidP="0047684C">
      <w:pPr>
        <w:jc w:val="both"/>
        <w:rPr>
          <w:rFonts w:ascii="Times New Roman" w:eastAsia="Calibri" w:hAnsi="Times New Roman" w:cs="Times New Roman"/>
          <w:sz w:val="24"/>
          <w:szCs w:val="24"/>
        </w:rPr>
      </w:pPr>
    </w:p>
    <w:p w:rsidR="0047684C" w:rsidRDefault="0047684C" w:rsidP="0005229A">
      <w:pPr>
        <w:rPr>
          <w:rFonts w:ascii="Arial" w:eastAsia="Times New Roman" w:hAnsi="Arial" w:cs="Arial"/>
          <w:color w:val="3D5265"/>
          <w:sz w:val="24"/>
          <w:szCs w:val="24"/>
        </w:rPr>
      </w:pPr>
    </w:p>
    <w:p w:rsidR="0047684C" w:rsidRDefault="0047684C" w:rsidP="0005229A">
      <w:pPr>
        <w:rPr>
          <w:rFonts w:ascii="Arial" w:eastAsia="Times New Roman" w:hAnsi="Arial" w:cs="Arial"/>
          <w:color w:val="3D5265"/>
          <w:sz w:val="24"/>
          <w:szCs w:val="24"/>
        </w:rPr>
      </w:pPr>
    </w:p>
    <w:p w:rsidR="0047684C" w:rsidRDefault="0047684C" w:rsidP="0005229A">
      <w:pPr>
        <w:rPr>
          <w:rFonts w:ascii="Arial" w:eastAsia="Times New Roman" w:hAnsi="Arial" w:cs="Arial"/>
          <w:color w:val="3D5265"/>
          <w:sz w:val="24"/>
          <w:szCs w:val="24"/>
        </w:rPr>
      </w:pPr>
    </w:p>
    <w:p w:rsidR="007C778A" w:rsidRDefault="007C778A" w:rsidP="0005229A">
      <w:pPr>
        <w:rPr>
          <w:rFonts w:ascii="Arial" w:eastAsia="Times New Roman" w:hAnsi="Arial" w:cs="Arial"/>
          <w:color w:val="3D5265"/>
          <w:sz w:val="24"/>
          <w:szCs w:val="24"/>
        </w:rPr>
      </w:pPr>
    </w:p>
    <w:p w:rsidR="007C778A" w:rsidRDefault="007C778A" w:rsidP="0005229A">
      <w:pPr>
        <w:rPr>
          <w:rFonts w:ascii="Arial" w:eastAsia="Times New Roman" w:hAnsi="Arial" w:cs="Arial"/>
          <w:color w:val="3D5265"/>
          <w:sz w:val="24"/>
          <w:szCs w:val="24"/>
        </w:rPr>
      </w:pPr>
    </w:p>
    <w:p w:rsidR="007C778A" w:rsidRDefault="007C778A" w:rsidP="0005229A">
      <w:pPr>
        <w:rPr>
          <w:rFonts w:ascii="Arial" w:eastAsia="Times New Roman" w:hAnsi="Arial" w:cs="Arial"/>
          <w:color w:val="3D5265"/>
          <w:sz w:val="24"/>
          <w:szCs w:val="24"/>
        </w:rPr>
      </w:pPr>
    </w:p>
    <w:p w:rsidR="007C778A" w:rsidRDefault="007C778A" w:rsidP="0005229A">
      <w:pPr>
        <w:rPr>
          <w:rFonts w:ascii="Arial" w:eastAsia="Times New Roman" w:hAnsi="Arial" w:cs="Arial"/>
          <w:color w:val="3D5265"/>
          <w:sz w:val="24"/>
          <w:szCs w:val="24"/>
        </w:rPr>
      </w:pPr>
    </w:p>
    <w:p w:rsidR="007C778A" w:rsidRDefault="007C778A" w:rsidP="0005229A">
      <w:pPr>
        <w:rPr>
          <w:rFonts w:ascii="Arial" w:eastAsia="Times New Roman" w:hAnsi="Arial" w:cs="Arial"/>
          <w:color w:val="3D5265"/>
          <w:sz w:val="24"/>
          <w:szCs w:val="24"/>
        </w:rPr>
      </w:pPr>
    </w:p>
    <w:p w:rsidR="007C778A" w:rsidRDefault="007C778A" w:rsidP="0005229A">
      <w:pPr>
        <w:rPr>
          <w:rFonts w:ascii="Arial" w:eastAsia="Times New Roman" w:hAnsi="Arial" w:cs="Arial"/>
          <w:color w:val="3D5265"/>
          <w:sz w:val="24"/>
          <w:szCs w:val="24"/>
        </w:rPr>
      </w:pPr>
    </w:p>
    <w:p w:rsidR="007C778A" w:rsidRDefault="007C778A" w:rsidP="0005229A">
      <w:pPr>
        <w:rPr>
          <w:rFonts w:ascii="Arial" w:eastAsia="Times New Roman" w:hAnsi="Arial" w:cs="Arial"/>
          <w:color w:val="3D5265"/>
          <w:sz w:val="24"/>
          <w:szCs w:val="24"/>
        </w:rPr>
      </w:pPr>
    </w:p>
    <w:p w:rsidR="00051C09" w:rsidRDefault="00051C09" w:rsidP="004E3CAD">
      <w:pPr>
        <w:rPr>
          <w:rFonts w:ascii="Times New Roman" w:eastAsia="Times New Roman" w:hAnsi="Times New Roman" w:cs="Times New Roman"/>
          <w:b/>
          <w:sz w:val="28"/>
          <w:szCs w:val="28"/>
        </w:rPr>
      </w:pPr>
    </w:p>
    <w:p w:rsidR="00751ECE" w:rsidRDefault="00751ECE" w:rsidP="00716E74">
      <w:pPr>
        <w:rPr>
          <w:rFonts w:ascii="Times New Roman" w:eastAsia="Times New Roman" w:hAnsi="Times New Roman" w:cs="Times New Roman"/>
          <w:b/>
          <w:sz w:val="28"/>
          <w:szCs w:val="28"/>
        </w:rPr>
      </w:pPr>
    </w:p>
    <w:p w:rsidR="00751ECE" w:rsidRPr="007C778A" w:rsidRDefault="00751ECE" w:rsidP="00751ECE">
      <w:pPr>
        <w:jc w:val="center"/>
        <w:rPr>
          <w:rFonts w:ascii="Times New Roman" w:eastAsia="Times New Roman" w:hAnsi="Times New Roman" w:cs="Times New Roman"/>
          <w:b/>
          <w:sz w:val="28"/>
          <w:szCs w:val="28"/>
        </w:rPr>
      </w:pPr>
      <w:r w:rsidRPr="007C778A">
        <w:rPr>
          <w:rFonts w:ascii="Times New Roman" w:eastAsia="Times New Roman" w:hAnsi="Times New Roman" w:cs="Times New Roman"/>
          <w:b/>
          <w:sz w:val="28"/>
          <w:szCs w:val="28"/>
        </w:rPr>
        <w:t>KAPITULLI  2</w:t>
      </w:r>
    </w:p>
    <w:p w:rsidR="00751ECE" w:rsidRDefault="00751ECE" w:rsidP="00751ECE">
      <w:pPr>
        <w:jc w:val="center"/>
        <w:rPr>
          <w:rFonts w:ascii="Times New Roman" w:eastAsia="Times New Roman" w:hAnsi="Times New Roman" w:cs="Times New Roman"/>
          <w:b/>
          <w:sz w:val="28"/>
          <w:szCs w:val="28"/>
        </w:rPr>
      </w:pPr>
      <w:r w:rsidRPr="007C778A">
        <w:rPr>
          <w:rFonts w:ascii="Times New Roman" w:eastAsia="Times New Roman" w:hAnsi="Times New Roman" w:cs="Times New Roman"/>
          <w:b/>
          <w:sz w:val="28"/>
          <w:szCs w:val="28"/>
        </w:rPr>
        <w:t xml:space="preserve">ZHURMAT </w:t>
      </w:r>
      <w:r>
        <w:rPr>
          <w:rFonts w:ascii="Times New Roman" w:eastAsia="Times New Roman" w:hAnsi="Times New Roman" w:cs="Times New Roman"/>
          <w:b/>
          <w:sz w:val="28"/>
          <w:szCs w:val="28"/>
        </w:rPr>
        <w:t>URBANE</w:t>
      </w:r>
    </w:p>
    <w:p w:rsidR="005E26E3" w:rsidRDefault="005E26E3" w:rsidP="00751ECE">
      <w:pPr>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5DF0EDA5">
            <wp:extent cx="4889500" cy="2761615"/>
            <wp:effectExtent l="0" t="0" r="6350" b="63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89500" cy="2761615"/>
                    </a:xfrm>
                    <a:prstGeom prst="rect">
                      <a:avLst/>
                    </a:prstGeom>
                    <a:noFill/>
                  </pic:spPr>
                </pic:pic>
              </a:graphicData>
            </a:graphic>
          </wp:inline>
        </w:drawing>
      </w:r>
    </w:p>
    <w:p w:rsidR="000F7D36" w:rsidRDefault="000F7D36" w:rsidP="00716E74">
      <w:pPr>
        <w:rPr>
          <w:rFonts w:ascii="Times New Roman" w:eastAsia="Times New Roman" w:hAnsi="Times New Roman" w:cs="Times New Roman"/>
          <w:b/>
          <w:sz w:val="28"/>
          <w:szCs w:val="28"/>
        </w:rPr>
      </w:pPr>
    </w:p>
    <w:p w:rsidR="00751ECE" w:rsidRDefault="00751ECE" w:rsidP="004E3CAD">
      <w:pPr>
        <w:rPr>
          <w:rFonts w:ascii="Times New Roman" w:eastAsia="Times New Roman" w:hAnsi="Times New Roman" w:cs="Times New Roman"/>
          <w:b/>
          <w:sz w:val="28"/>
          <w:szCs w:val="28"/>
        </w:rPr>
      </w:pPr>
    </w:p>
    <w:p w:rsidR="005E26E3" w:rsidRDefault="005E26E3" w:rsidP="004E3CAD">
      <w:pPr>
        <w:rPr>
          <w:rFonts w:ascii="Times New Roman" w:eastAsia="Times New Roman" w:hAnsi="Times New Roman" w:cs="Times New Roman"/>
          <w:b/>
          <w:sz w:val="28"/>
          <w:szCs w:val="28"/>
        </w:rPr>
      </w:pPr>
    </w:p>
    <w:p w:rsidR="005E26E3" w:rsidRDefault="005E26E3" w:rsidP="004E3CAD">
      <w:pPr>
        <w:rPr>
          <w:rFonts w:ascii="Times New Roman" w:eastAsia="Times New Roman" w:hAnsi="Times New Roman" w:cs="Times New Roman"/>
          <w:b/>
          <w:sz w:val="28"/>
          <w:szCs w:val="28"/>
        </w:rPr>
      </w:pPr>
    </w:p>
    <w:p w:rsidR="005E26E3" w:rsidRDefault="005E26E3" w:rsidP="004E3CAD">
      <w:pPr>
        <w:rPr>
          <w:rFonts w:ascii="Times New Roman" w:eastAsia="Times New Roman" w:hAnsi="Times New Roman" w:cs="Times New Roman"/>
          <w:b/>
          <w:sz w:val="28"/>
          <w:szCs w:val="28"/>
        </w:rPr>
      </w:pPr>
    </w:p>
    <w:p w:rsidR="005E26E3" w:rsidRDefault="005E26E3" w:rsidP="004E3CAD">
      <w:pPr>
        <w:rPr>
          <w:rFonts w:ascii="Times New Roman" w:eastAsia="Times New Roman" w:hAnsi="Times New Roman" w:cs="Times New Roman"/>
          <w:b/>
          <w:sz w:val="28"/>
          <w:szCs w:val="28"/>
        </w:rPr>
      </w:pPr>
    </w:p>
    <w:p w:rsidR="0005229A" w:rsidRPr="007C778A" w:rsidRDefault="0005229A" w:rsidP="007C778A">
      <w:pPr>
        <w:jc w:val="center"/>
        <w:rPr>
          <w:rFonts w:ascii="Times New Roman" w:eastAsia="Times New Roman" w:hAnsi="Times New Roman" w:cs="Times New Roman"/>
          <w:b/>
          <w:sz w:val="28"/>
          <w:szCs w:val="28"/>
        </w:rPr>
      </w:pPr>
      <w:r w:rsidRPr="007C778A">
        <w:rPr>
          <w:rFonts w:ascii="Times New Roman" w:eastAsia="Times New Roman" w:hAnsi="Times New Roman" w:cs="Times New Roman"/>
          <w:b/>
          <w:sz w:val="28"/>
          <w:szCs w:val="28"/>
        </w:rPr>
        <w:lastRenderedPageBreak/>
        <w:t xml:space="preserve">Kapitulli </w:t>
      </w:r>
      <w:r w:rsidR="007C778A" w:rsidRPr="007C778A">
        <w:rPr>
          <w:rFonts w:ascii="Times New Roman" w:eastAsia="Times New Roman" w:hAnsi="Times New Roman" w:cs="Times New Roman"/>
          <w:b/>
          <w:sz w:val="28"/>
          <w:szCs w:val="28"/>
        </w:rPr>
        <w:t xml:space="preserve"> </w:t>
      </w:r>
      <w:r w:rsidRPr="007C778A">
        <w:rPr>
          <w:rFonts w:ascii="Times New Roman" w:eastAsia="Times New Roman" w:hAnsi="Times New Roman" w:cs="Times New Roman"/>
          <w:b/>
          <w:sz w:val="28"/>
          <w:szCs w:val="28"/>
        </w:rPr>
        <w:t>2</w:t>
      </w:r>
    </w:p>
    <w:p w:rsidR="004D7AA4" w:rsidRPr="007C778A" w:rsidRDefault="004D7AA4" w:rsidP="007C778A">
      <w:pPr>
        <w:jc w:val="center"/>
        <w:rPr>
          <w:rFonts w:ascii="Times New Roman" w:eastAsia="Times New Roman" w:hAnsi="Times New Roman" w:cs="Times New Roman"/>
          <w:b/>
          <w:sz w:val="28"/>
          <w:szCs w:val="28"/>
        </w:rPr>
      </w:pPr>
      <w:r w:rsidRPr="007C778A">
        <w:rPr>
          <w:rFonts w:ascii="Times New Roman" w:eastAsia="Times New Roman" w:hAnsi="Times New Roman" w:cs="Times New Roman"/>
          <w:b/>
          <w:sz w:val="28"/>
          <w:szCs w:val="28"/>
        </w:rPr>
        <w:t xml:space="preserve">Zhurmat </w:t>
      </w:r>
      <w:r w:rsidR="00751ECE">
        <w:rPr>
          <w:rFonts w:ascii="Times New Roman" w:eastAsia="Times New Roman" w:hAnsi="Times New Roman" w:cs="Times New Roman"/>
          <w:b/>
          <w:sz w:val="28"/>
          <w:szCs w:val="28"/>
        </w:rPr>
        <w:t>urbane</w:t>
      </w:r>
    </w:p>
    <w:p w:rsidR="00DD3BBF" w:rsidRPr="00DD3BBF" w:rsidRDefault="00DD3BBF" w:rsidP="00DD3BBF">
      <w:pPr>
        <w:spacing w:after="0" w:line="276" w:lineRule="auto"/>
        <w:jc w:val="both"/>
        <w:rPr>
          <w:rFonts w:ascii="Times New Roman" w:eastAsia="Calibri" w:hAnsi="Times New Roman" w:cs="Times New Roman"/>
          <w:bCs/>
          <w:sz w:val="24"/>
          <w:szCs w:val="24"/>
          <w:lang w:val="sq-AL"/>
        </w:rPr>
      </w:pPr>
    </w:p>
    <w:p w:rsidR="00AB1F2A" w:rsidRDefault="00AB1F2A" w:rsidP="00DD3BBF">
      <w:pPr>
        <w:spacing w:after="0" w:line="276" w:lineRule="auto"/>
        <w:jc w:val="both"/>
        <w:rPr>
          <w:rFonts w:ascii="Times New Roman" w:eastAsia="Calibri" w:hAnsi="Times New Roman" w:cs="Times New Roman"/>
          <w:b/>
          <w:bCs/>
          <w:sz w:val="24"/>
          <w:szCs w:val="24"/>
          <w:lang w:val="sq-AL"/>
        </w:rPr>
      </w:pPr>
    </w:p>
    <w:p w:rsidR="00DD3BBF" w:rsidRPr="00DD3BBF" w:rsidRDefault="00AB1F2A" w:rsidP="00DD3BBF">
      <w:pPr>
        <w:spacing w:after="0" w:line="276" w:lineRule="auto"/>
        <w:jc w:val="both"/>
        <w:rPr>
          <w:rFonts w:ascii="Times New Roman" w:eastAsia="Calibri" w:hAnsi="Times New Roman" w:cs="Times New Roman"/>
          <w:b/>
          <w:sz w:val="24"/>
          <w:szCs w:val="24"/>
          <w:lang w:val="sq-AL"/>
        </w:rPr>
      </w:pPr>
      <w:r>
        <w:rPr>
          <w:rFonts w:ascii="Times New Roman" w:eastAsia="Calibri" w:hAnsi="Times New Roman" w:cs="Times New Roman"/>
          <w:b/>
          <w:bCs/>
          <w:sz w:val="24"/>
          <w:szCs w:val="24"/>
          <w:lang w:val="sq-AL"/>
        </w:rPr>
        <w:t xml:space="preserve">2.1  </w:t>
      </w:r>
      <w:r w:rsidR="007C778A">
        <w:rPr>
          <w:rFonts w:ascii="Times New Roman" w:eastAsia="Calibri" w:hAnsi="Times New Roman" w:cs="Times New Roman"/>
          <w:b/>
          <w:bCs/>
          <w:sz w:val="24"/>
          <w:szCs w:val="24"/>
          <w:lang w:val="sq-AL"/>
        </w:rPr>
        <w:t>V</w:t>
      </w:r>
      <w:r w:rsidR="007C778A" w:rsidRPr="00DD3BBF">
        <w:rPr>
          <w:rFonts w:ascii="Times New Roman" w:eastAsia="Calibri" w:hAnsi="Times New Roman" w:cs="Times New Roman"/>
          <w:b/>
          <w:bCs/>
          <w:sz w:val="24"/>
          <w:szCs w:val="24"/>
          <w:lang w:val="sq-AL"/>
        </w:rPr>
        <w:t>lerësimi i gjendjes</w:t>
      </w:r>
    </w:p>
    <w:p w:rsidR="00F730CC" w:rsidRDefault="00AB1BDD" w:rsidP="00AB1F2A">
      <w:pPr>
        <w:spacing w:after="0" w:line="276" w:lineRule="auto"/>
        <w:jc w:val="both"/>
        <w:rPr>
          <w:rFonts w:ascii="Times New Roman" w:eastAsia="Calibri" w:hAnsi="Times New Roman" w:cs="Times New Roman"/>
          <w:bCs/>
          <w:sz w:val="24"/>
          <w:szCs w:val="24"/>
          <w:lang w:val="sq-AL"/>
        </w:rPr>
      </w:pPr>
      <w:r>
        <w:rPr>
          <w:noProof/>
        </w:rPr>
        <mc:AlternateContent>
          <mc:Choice Requires="wps">
            <w:drawing>
              <wp:anchor distT="0" distB="0" distL="114300" distR="114300" simplePos="0" relativeHeight="251667968" behindDoc="0" locked="0" layoutInCell="1" allowOverlap="1" wp14:anchorId="765E1DDA" wp14:editId="13AC2B42">
                <wp:simplePos x="0" y="0"/>
                <wp:positionH relativeFrom="margin">
                  <wp:align>right</wp:align>
                </wp:positionH>
                <wp:positionV relativeFrom="paragraph">
                  <wp:posOffset>74295</wp:posOffset>
                </wp:positionV>
                <wp:extent cx="3200400" cy="3571875"/>
                <wp:effectExtent l="0" t="0" r="19050" b="28575"/>
                <wp:wrapNone/>
                <wp:docPr id="343" name="Rectangle 343"/>
                <wp:cNvGraphicFramePr/>
                <a:graphic xmlns:a="http://schemas.openxmlformats.org/drawingml/2006/main">
                  <a:graphicData uri="http://schemas.microsoft.com/office/word/2010/wordprocessingShape">
                    <wps:wsp>
                      <wps:cNvSpPr/>
                      <wps:spPr>
                        <a:xfrm>
                          <a:off x="0" y="0"/>
                          <a:ext cx="3200400" cy="3571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64059F" w:rsidRPr="00DD3BBF" w:rsidRDefault="0064059F" w:rsidP="00AB1BDD">
                            <w:pPr>
                              <w:spacing w:after="0" w:line="240" w:lineRule="auto"/>
                              <w:jc w:val="both"/>
                              <w:rPr>
                                <w:rFonts w:ascii="Times New Roman" w:eastAsia="Calibri" w:hAnsi="Times New Roman" w:cs="Times New Roman"/>
                                <w:bCs/>
                                <w:sz w:val="24"/>
                                <w:szCs w:val="24"/>
                                <w:lang w:val="sq-AL"/>
                              </w:rPr>
                            </w:pPr>
                            <w:r w:rsidRPr="00DD3BBF">
                              <w:rPr>
                                <w:rFonts w:ascii="Times New Roman" w:eastAsia="Calibri" w:hAnsi="Times New Roman" w:cs="Times New Roman"/>
                                <w:bCs/>
                                <w:sz w:val="24"/>
                                <w:szCs w:val="24"/>
                                <w:lang w:val="sq-AL"/>
                              </w:rPr>
                              <w:t xml:space="preserve">Monitorimi i zhurmave urbane kryhet në përputhje të Programit Kombëtar të Monitorimit të Mjedisit mbështetur në  </w:t>
                            </w:r>
                            <w:r w:rsidRPr="00DD3BBF">
                              <w:rPr>
                                <w:rFonts w:ascii="Times New Roman" w:eastAsia="Calibri" w:hAnsi="Times New Roman" w:cs="Times New Roman"/>
                                <w:i/>
                                <w:color w:val="000000"/>
                                <w:sz w:val="24"/>
                                <w:szCs w:val="24"/>
                                <w:lang w:val="sq-AL"/>
                              </w:rPr>
                              <w:t xml:space="preserve">VKM </w:t>
                            </w:r>
                            <w:r w:rsidRPr="00DD3BBF">
                              <w:rPr>
                                <w:rFonts w:ascii="Times New Roman" w:eastAsia="Calibri" w:hAnsi="Times New Roman" w:cs="Times New Roman"/>
                                <w:color w:val="000000"/>
                                <w:sz w:val="24"/>
                                <w:szCs w:val="24"/>
                                <w:lang w:val="sq-AL"/>
                              </w:rPr>
                              <w:t>Nr.1189 dat</w:t>
                            </w:r>
                            <w:r w:rsidRPr="00DD3BBF">
                              <w:rPr>
                                <w:rFonts w:ascii="Times New Roman" w:eastAsia="PalatinoLinotype-Roman" w:hAnsi="Times New Roman" w:cs="Times New Roman"/>
                                <w:color w:val="000000"/>
                                <w:sz w:val="24"/>
                                <w:szCs w:val="24"/>
                                <w:lang w:val="sq-AL"/>
                              </w:rPr>
                              <w:t>ë</w:t>
                            </w:r>
                            <w:r w:rsidRPr="00DD3BBF">
                              <w:rPr>
                                <w:rFonts w:ascii="Times New Roman" w:eastAsia="Calibri" w:hAnsi="Times New Roman" w:cs="Times New Roman"/>
                                <w:color w:val="000000"/>
                                <w:sz w:val="24"/>
                                <w:szCs w:val="24"/>
                                <w:lang w:val="sq-AL"/>
                              </w:rPr>
                              <w:t xml:space="preserve"> 18.11.2009 “P</w:t>
                            </w:r>
                            <w:r w:rsidRPr="00DD3BBF">
                              <w:rPr>
                                <w:rFonts w:ascii="Times New Roman" w:eastAsia="PalatinoLinotype-Roman" w:hAnsi="Times New Roman" w:cs="Times New Roman"/>
                                <w:color w:val="000000"/>
                                <w:sz w:val="24"/>
                                <w:szCs w:val="24"/>
                                <w:lang w:val="sq-AL"/>
                              </w:rPr>
                              <w:t>ë</w:t>
                            </w:r>
                            <w:r w:rsidRPr="00DD3BBF">
                              <w:rPr>
                                <w:rFonts w:ascii="Times New Roman" w:eastAsia="Calibri" w:hAnsi="Times New Roman" w:cs="Times New Roman"/>
                                <w:color w:val="000000"/>
                                <w:sz w:val="24"/>
                                <w:szCs w:val="24"/>
                                <w:lang w:val="sq-AL"/>
                              </w:rPr>
                              <w:t>r rregullat dhe Proçedurat p</w:t>
                            </w:r>
                            <w:r w:rsidRPr="00DD3BBF">
                              <w:rPr>
                                <w:rFonts w:ascii="Times New Roman" w:eastAsia="PalatinoLinotype-Roman" w:hAnsi="Times New Roman" w:cs="Times New Roman"/>
                                <w:color w:val="000000"/>
                                <w:sz w:val="24"/>
                                <w:szCs w:val="24"/>
                                <w:lang w:val="sq-AL"/>
                              </w:rPr>
                              <w:t>ë</w:t>
                            </w:r>
                            <w:r w:rsidRPr="00DD3BBF">
                              <w:rPr>
                                <w:rFonts w:ascii="Times New Roman" w:eastAsia="Calibri" w:hAnsi="Times New Roman" w:cs="Times New Roman"/>
                                <w:color w:val="000000"/>
                                <w:sz w:val="24"/>
                                <w:szCs w:val="24"/>
                                <w:lang w:val="sq-AL"/>
                              </w:rPr>
                              <w:t>r hartimin dhe zbatimin e Programit Komb</w:t>
                            </w:r>
                            <w:r w:rsidRPr="00DD3BBF">
                              <w:rPr>
                                <w:rFonts w:ascii="Times New Roman" w:eastAsia="PalatinoLinotype-Roman" w:hAnsi="Times New Roman" w:cs="Times New Roman"/>
                                <w:color w:val="000000"/>
                                <w:sz w:val="24"/>
                                <w:szCs w:val="24"/>
                                <w:lang w:val="sq-AL"/>
                              </w:rPr>
                              <w:t>ë</w:t>
                            </w:r>
                            <w:r w:rsidRPr="00DD3BBF">
                              <w:rPr>
                                <w:rFonts w:ascii="Times New Roman" w:eastAsia="Calibri" w:hAnsi="Times New Roman" w:cs="Times New Roman"/>
                                <w:color w:val="000000"/>
                                <w:sz w:val="24"/>
                                <w:szCs w:val="24"/>
                                <w:lang w:val="sq-AL"/>
                              </w:rPr>
                              <w:t>tar p</w:t>
                            </w:r>
                            <w:r w:rsidRPr="00DD3BBF">
                              <w:rPr>
                                <w:rFonts w:ascii="Times New Roman" w:eastAsia="PalatinoLinotype-Roman" w:hAnsi="Times New Roman" w:cs="Times New Roman"/>
                                <w:color w:val="000000"/>
                                <w:sz w:val="24"/>
                                <w:szCs w:val="24"/>
                                <w:lang w:val="sq-AL"/>
                              </w:rPr>
                              <w:t>ë</w:t>
                            </w:r>
                            <w:r w:rsidRPr="00DD3BBF">
                              <w:rPr>
                                <w:rFonts w:ascii="Times New Roman" w:eastAsia="Calibri" w:hAnsi="Times New Roman" w:cs="Times New Roman"/>
                                <w:color w:val="000000"/>
                                <w:sz w:val="24"/>
                                <w:szCs w:val="24"/>
                                <w:lang w:val="sq-AL"/>
                              </w:rPr>
                              <w:t>r monitorimin e mjedisit, n</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color w:val="000000"/>
                                <w:sz w:val="24"/>
                                <w:szCs w:val="24"/>
                                <w:lang w:val="sq-AL"/>
                              </w:rPr>
                              <w:t xml:space="preserve">  </w:t>
                            </w:r>
                            <w:r w:rsidRPr="00DD3BBF">
                              <w:rPr>
                                <w:rFonts w:ascii="Times New Roman" w:eastAsia="Calibri" w:hAnsi="Times New Roman" w:cs="Times New Roman"/>
                                <w:bCs/>
                                <w:sz w:val="24"/>
                                <w:szCs w:val="24"/>
                                <w:lang w:val="sq-AL"/>
                              </w:rPr>
                              <w:t xml:space="preserve">legjislacionin Shqipëtar dhe Direktivat e BE </w:t>
                            </w:r>
                            <w:r w:rsidRPr="00DD3BBF">
                              <w:rPr>
                                <w:rFonts w:ascii="Times New Roman" w:eastAsia="Calibri" w:hAnsi="Times New Roman" w:cs="Times New Roman"/>
                                <w:sz w:val="24"/>
                                <w:szCs w:val="24"/>
                                <w:lang w:val="sq-AL"/>
                              </w:rPr>
                              <w:t xml:space="preserve">dhe Ligjit </w:t>
                            </w:r>
                            <w:r w:rsidRPr="00DD3BBF">
                              <w:rPr>
                                <w:rFonts w:ascii="Times New Roman" w:eastAsia="Calibri" w:hAnsi="Times New Roman" w:cs="Times New Roman"/>
                                <w:bCs/>
                                <w:sz w:val="24"/>
                                <w:szCs w:val="24"/>
                                <w:lang w:val="sq-AL"/>
                              </w:rPr>
                              <w:t xml:space="preserve">Nr.9774, datë 12.07.2007 “Për vlerësimin dhe administrimin e zhurmës në mjedis” (I ndryshuar). </w:t>
                            </w:r>
                          </w:p>
                          <w:p w:rsidR="0064059F" w:rsidRDefault="0064059F" w:rsidP="00AB1BDD">
                            <w:pPr>
                              <w:jc w:val="both"/>
                              <w:rPr>
                                <w:rFonts w:ascii="Times New Roman" w:eastAsia="Calibri" w:hAnsi="Times New Roman" w:cs="Times New Roman"/>
                                <w:sz w:val="24"/>
                                <w:szCs w:val="24"/>
                                <w:lang w:val="sq-AL"/>
                              </w:rPr>
                            </w:pPr>
                          </w:p>
                          <w:p w:rsidR="0064059F" w:rsidRDefault="0064059F" w:rsidP="00AB1BDD">
                            <w:pPr>
                              <w:jc w:val="both"/>
                            </w:pPr>
                            <w:r w:rsidRPr="00DD3BBF">
                              <w:rPr>
                                <w:rFonts w:ascii="Times New Roman" w:eastAsia="Calibri" w:hAnsi="Times New Roman" w:cs="Times New Roman"/>
                                <w:sz w:val="24"/>
                                <w:szCs w:val="24"/>
                                <w:lang w:val="sq-AL"/>
                              </w:rPr>
                              <w:t>Gjenerimi i zhurmave  ka  efekte negative në shëndetin e njeriut si  dhe në mjedis dhe p</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r k</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t</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 xml:space="preserve"> duhen marr</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 xml:space="preserve"> masa mbrojt</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se p</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r zvog</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limin e nivelit t</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 xml:space="preserve"> zhurmave n</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 xml:space="preserve"> mjedis n</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p</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rmjet  ndërhyrjeve dhe të veprimeve, që merren ndaj burimit të zhurmës, si dhe në vendin e ndikimit të saj negativ, duke e sjellë atë në nivelin kufi.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E1DDA" id="Rectangle 343" o:spid="_x0000_s1028" style="position:absolute;left:0;text-align:left;margin-left:200.8pt;margin-top:5.85pt;width:252pt;height:281.25pt;z-index:251667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" fillcolor="white [3201]" strokecolor="#70ad47 [3209]" strokeweight="1pt">
                <v:textbox>
                  <w:txbxContent>
                    <w:p w:rsidR="0064059F" w:rsidRPr="00DD3BBF" w:rsidRDefault="0064059F" w:rsidP="00AB1BDD">
                      <w:pPr>
                        <w:spacing w:after="0" w:line="240" w:lineRule="auto"/>
                        <w:jc w:val="both"/>
                        <w:rPr>
                          <w:rFonts w:ascii="Times New Roman" w:eastAsia="Calibri" w:hAnsi="Times New Roman" w:cs="Times New Roman"/>
                          <w:bCs/>
                          <w:sz w:val="24"/>
                          <w:szCs w:val="24"/>
                          <w:lang w:val="sq-AL"/>
                        </w:rPr>
                      </w:pPr>
                      <w:r w:rsidRPr="00DD3BBF">
                        <w:rPr>
                          <w:rFonts w:ascii="Times New Roman" w:eastAsia="Calibri" w:hAnsi="Times New Roman" w:cs="Times New Roman"/>
                          <w:bCs/>
                          <w:sz w:val="24"/>
                          <w:szCs w:val="24"/>
                          <w:lang w:val="sq-AL"/>
                        </w:rPr>
                        <w:t xml:space="preserve">Monitorimi i zhurmave urbane kryhet në përputhje të Programit Kombëtar të Monitorimit të Mjedisit mbështetur në  </w:t>
                      </w:r>
                      <w:r w:rsidRPr="00DD3BBF">
                        <w:rPr>
                          <w:rFonts w:ascii="Times New Roman" w:eastAsia="Calibri" w:hAnsi="Times New Roman" w:cs="Times New Roman"/>
                          <w:i/>
                          <w:color w:val="000000"/>
                          <w:sz w:val="24"/>
                          <w:szCs w:val="24"/>
                          <w:lang w:val="sq-AL"/>
                        </w:rPr>
                        <w:t xml:space="preserve">VKM </w:t>
                      </w:r>
                      <w:r w:rsidRPr="00DD3BBF">
                        <w:rPr>
                          <w:rFonts w:ascii="Times New Roman" w:eastAsia="Calibri" w:hAnsi="Times New Roman" w:cs="Times New Roman"/>
                          <w:color w:val="000000"/>
                          <w:sz w:val="24"/>
                          <w:szCs w:val="24"/>
                          <w:lang w:val="sq-AL"/>
                        </w:rPr>
                        <w:t>Nr.1189 dat</w:t>
                      </w:r>
                      <w:r w:rsidRPr="00DD3BBF">
                        <w:rPr>
                          <w:rFonts w:ascii="Times New Roman" w:eastAsia="PalatinoLinotype-Roman" w:hAnsi="Times New Roman" w:cs="Times New Roman"/>
                          <w:color w:val="000000"/>
                          <w:sz w:val="24"/>
                          <w:szCs w:val="24"/>
                          <w:lang w:val="sq-AL"/>
                        </w:rPr>
                        <w:t>ë</w:t>
                      </w:r>
                      <w:r w:rsidRPr="00DD3BBF">
                        <w:rPr>
                          <w:rFonts w:ascii="Times New Roman" w:eastAsia="Calibri" w:hAnsi="Times New Roman" w:cs="Times New Roman"/>
                          <w:color w:val="000000"/>
                          <w:sz w:val="24"/>
                          <w:szCs w:val="24"/>
                          <w:lang w:val="sq-AL"/>
                        </w:rPr>
                        <w:t xml:space="preserve"> 18.11.2009 “P</w:t>
                      </w:r>
                      <w:r w:rsidRPr="00DD3BBF">
                        <w:rPr>
                          <w:rFonts w:ascii="Times New Roman" w:eastAsia="PalatinoLinotype-Roman" w:hAnsi="Times New Roman" w:cs="Times New Roman"/>
                          <w:color w:val="000000"/>
                          <w:sz w:val="24"/>
                          <w:szCs w:val="24"/>
                          <w:lang w:val="sq-AL"/>
                        </w:rPr>
                        <w:t>ë</w:t>
                      </w:r>
                      <w:r w:rsidRPr="00DD3BBF">
                        <w:rPr>
                          <w:rFonts w:ascii="Times New Roman" w:eastAsia="Calibri" w:hAnsi="Times New Roman" w:cs="Times New Roman"/>
                          <w:color w:val="000000"/>
                          <w:sz w:val="24"/>
                          <w:szCs w:val="24"/>
                          <w:lang w:val="sq-AL"/>
                        </w:rPr>
                        <w:t>r rregullat dhe Proçedurat p</w:t>
                      </w:r>
                      <w:r w:rsidRPr="00DD3BBF">
                        <w:rPr>
                          <w:rFonts w:ascii="Times New Roman" w:eastAsia="PalatinoLinotype-Roman" w:hAnsi="Times New Roman" w:cs="Times New Roman"/>
                          <w:color w:val="000000"/>
                          <w:sz w:val="24"/>
                          <w:szCs w:val="24"/>
                          <w:lang w:val="sq-AL"/>
                        </w:rPr>
                        <w:t>ë</w:t>
                      </w:r>
                      <w:r w:rsidRPr="00DD3BBF">
                        <w:rPr>
                          <w:rFonts w:ascii="Times New Roman" w:eastAsia="Calibri" w:hAnsi="Times New Roman" w:cs="Times New Roman"/>
                          <w:color w:val="000000"/>
                          <w:sz w:val="24"/>
                          <w:szCs w:val="24"/>
                          <w:lang w:val="sq-AL"/>
                        </w:rPr>
                        <w:t>r hartimin dhe zbatimin e Programit Komb</w:t>
                      </w:r>
                      <w:r w:rsidRPr="00DD3BBF">
                        <w:rPr>
                          <w:rFonts w:ascii="Times New Roman" w:eastAsia="PalatinoLinotype-Roman" w:hAnsi="Times New Roman" w:cs="Times New Roman"/>
                          <w:color w:val="000000"/>
                          <w:sz w:val="24"/>
                          <w:szCs w:val="24"/>
                          <w:lang w:val="sq-AL"/>
                        </w:rPr>
                        <w:t>ë</w:t>
                      </w:r>
                      <w:r w:rsidRPr="00DD3BBF">
                        <w:rPr>
                          <w:rFonts w:ascii="Times New Roman" w:eastAsia="Calibri" w:hAnsi="Times New Roman" w:cs="Times New Roman"/>
                          <w:color w:val="000000"/>
                          <w:sz w:val="24"/>
                          <w:szCs w:val="24"/>
                          <w:lang w:val="sq-AL"/>
                        </w:rPr>
                        <w:t>tar p</w:t>
                      </w:r>
                      <w:r w:rsidRPr="00DD3BBF">
                        <w:rPr>
                          <w:rFonts w:ascii="Times New Roman" w:eastAsia="PalatinoLinotype-Roman" w:hAnsi="Times New Roman" w:cs="Times New Roman"/>
                          <w:color w:val="000000"/>
                          <w:sz w:val="24"/>
                          <w:szCs w:val="24"/>
                          <w:lang w:val="sq-AL"/>
                        </w:rPr>
                        <w:t>ë</w:t>
                      </w:r>
                      <w:r w:rsidRPr="00DD3BBF">
                        <w:rPr>
                          <w:rFonts w:ascii="Times New Roman" w:eastAsia="Calibri" w:hAnsi="Times New Roman" w:cs="Times New Roman"/>
                          <w:color w:val="000000"/>
                          <w:sz w:val="24"/>
                          <w:szCs w:val="24"/>
                          <w:lang w:val="sq-AL"/>
                        </w:rPr>
                        <w:t>r monitorimin e mjedisit, n</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color w:val="000000"/>
                          <w:sz w:val="24"/>
                          <w:szCs w:val="24"/>
                          <w:lang w:val="sq-AL"/>
                        </w:rPr>
                        <w:t xml:space="preserve">  </w:t>
                      </w:r>
                      <w:r w:rsidRPr="00DD3BBF">
                        <w:rPr>
                          <w:rFonts w:ascii="Times New Roman" w:eastAsia="Calibri" w:hAnsi="Times New Roman" w:cs="Times New Roman"/>
                          <w:bCs/>
                          <w:sz w:val="24"/>
                          <w:szCs w:val="24"/>
                          <w:lang w:val="sq-AL"/>
                        </w:rPr>
                        <w:t xml:space="preserve">legjislacionin Shqipëtar dhe Direktivat e BE </w:t>
                      </w:r>
                      <w:r w:rsidRPr="00DD3BBF">
                        <w:rPr>
                          <w:rFonts w:ascii="Times New Roman" w:eastAsia="Calibri" w:hAnsi="Times New Roman" w:cs="Times New Roman"/>
                          <w:sz w:val="24"/>
                          <w:szCs w:val="24"/>
                          <w:lang w:val="sq-AL"/>
                        </w:rPr>
                        <w:t xml:space="preserve">dhe Ligjit </w:t>
                      </w:r>
                      <w:r w:rsidRPr="00DD3BBF">
                        <w:rPr>
                          <w:rFonts w:ascii="Times New Roman" w:eastAsia="Calibri" w:hAnsi="Times New Roman" w:cs="Times New Roman"/>
                          <w:bCs/>
                          <w:sz w:val="24"/>
                          <w:szCs w:val="24"/>
                          <w:lang w:val="sq-AL"/>
                        </w:rPr>
                        <w:t xml:space="preserve">Nr.9774, datë 12.07.2007 “Për vlerësimin dhe administrimin e zhurmës në mjedis” (I ndryshuar). </w:t>
                      </w:r>
                    </w:p>
                    <w:p w:rsidR="0064059F" w:rsidRDefault="0064059F" w:rsidP="00AB1BDD">
                      <w:pPr>
                        <w:jc w:val="both"/>
                        <w:rPr>
                          <w:rFonts w:ascii="Times New Roman" w:eastAsia="Calibri" w:hAnsi="Times New Roman" w:cs="Times New Roman"/>
                          <w:sz w:val="24"/>
                          <w:szCs w:val="24"/>
                          <w:lang w:val="sq-AL"/>
                        </w:rPr>
                      </w:pPr>
                    </w:p>
                    <w:p w:rsidR="0064059F" w:rsidRDefault="0064059F" w:rsidP="00AB1BDD">
                      <w:pPr>
                        <w:jc w:val="both"/>
                      </w:pPr>
                      <w:r w:rsidRPr="00DD3BBF">
                        <w:rPr>
                          <w:rFonts w:ascii="Times New Roman" w:eastAsia="Calibri" w:hAnsi="Times New Roman" w:cs="Times New Roman"/>
                          <w:sz w:val="24"/>
                          <w:szCs w:val="24"/>
                          <w:lang w:val="sq-AL"/>
                        </w:rPr>
                        <w:t>Gjenerimi i zhurmave  ka  efekte negative në shëndetin e njeriut si  dhe në mjedis dhe p</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r k</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t</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 xml:space="preserve"> duhen marr</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 xml:space="preserve"> masa mbrojt</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se p</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r zvog</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limin e nivelit t</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 xml:space="preserve"> zhurmave n</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 xml:space="preserve"> mjedis n</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p</w:t>
                      </w:r>
                      <w:r w:rsidRPr="00DD3BBF">
                        <w:rPr>
                          <w:rFonts w:ascii="Times New Roman" w:eastAsia="Calibri" w:hAnsi="Times New Roman" w:cs="Times New Roman"/>
                          <w:bCs/>
                          <w:sz w:val="24"/>
                          <w:szCs w:val="24"/>
                          <w:lang w:val="sq-AL"/>
                        </w:rPr>
                        <w:t>ë</w:t>
                      </w:r>
                      <w:r w:rsidRPr="00DD3BBF">
                        <w:rPr>
                          <w:rFonts w:ascii="Times New Roman" w:eastAsia="Calibri" w:hAnsi="Times New Roman" w:cs="Times New Roman"/>
                          <w:sz w:val="24"/>
                          <w:szCs w:val="24"/>
                          <w:lang w:val="sq-AL"/>
                        </w:rPr>
                        <w:t>rmjet  ndërhyrjeve dhe të veprimeve, që merren ndaj burimit të zhurmës, si dhe në vendin e ndikimit të saj negativ, duke e sjellë atë në nivelin kufi.</w:t>
                      </w:r>
                    </w:p>
                  </w:txbxContent>
                </v:textbox>
                <w10:wrap anchorx="margin"/>
              </v:rect>
            </w:pict>
          </mc:Fallback>
        </mc:AlternateContent>
      </w:r>
    </w:p>
    <w:p w:rsidR="00F81C5E" w:rsidRDefault="002840BF" w:rsidP="00AB1F2A">
      <w:pPr>
        <w:spacing w:after="0" w:line="276" w:lineRule="auto"/>
        <w:jc w:val="both"/>
        <w:rPr>
          <w:noProof/>
        </w:rPr>
      </w:pPr>
      <w:r>
        <w:rPr>
          <w:noProof/>
        </w:rPr>
        <w:drawing>
          <wp:inline distT="0" distB="0" distL="0" distR="0" wp14:anchorId="4F044E94" wp14:editId="7347682B">
            <wp:extent cx="2524125" cy="3419475"/>
            <wp:effectExtent l="0" t="0" r="9525" b="9525"/>
            <wp:docPr id="340" name="Picture 340"/>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24125" cy="3419475"/>
                    </a:xfrm>
                    <a:prstGeom prst="rect">
                      <a:avLst/>
                    </a:prstGeom>
                  </pic:spPr>
                </pic:pic>
              </a:graphicData>
            </a:graphic>
          </wp:inline>
        </w:drawing>
      </w:r>
      <w:r>
        <w:rPr>
          <w:noProof/>
        </w:rPr>
        <w:t xml:space="preserve">  </w:t>
      </w:r>
    </w:p>
    <w:p w:rsidR="00161542" w:rsidRDefault="00161542" w:rsidP="00AB1F2A">
      <w:pPr>
        <w:spacing w:after="0" w:line="276" w:lineRule="auto"/>
        <w:jc w:val="both"/>
        <w:rPr>
          <w:noProof/>
        </w:rPr>
      </w:pPr>
    </w:p>
    <w:p w:rsidR="00AB1F2A" w:rsidRPr="00DD3BBF" w:rsidRDefault="00AB1F2A" w:rsidP="00AB1F2A">
      <w:pPr>
        <w:autoSpaceDE w:val="0"/>
        <w:autoSpaceDN w:val="0"/>
        <w:adjustRightInd w:val="0"/>
        <w:spacing w:after="0" w:line="276" w:lineRule="auto"/>
        <w:jc w:val="both"/>
        <w:rPr>
          <w:rFonts w:ascii="Times New Roman" w:eastAsia="Calibri" w:hAnsi="Times New Roman" w:cs="Times New Roman"/>
          <w:b/>
          <w:sz w:val="24"/>
          <w:szCs w:val="24"/>
          <w:lang w:val="sq-AL"/>
        </w:rPr>
      </w:pPr>
      <w:r w:rsidRPr="00DD3BBF">
        <w:rPr>
          <w:rFonts w:ascii="Times New Roman" w:eastAsia="Calibri" w:hAnsi="Times New Roman" w:cs="Times New Roman"/>
          <w:b/>
          <w:sz w:val="24"/>
          <w:szCs w:val="24"/>
          <w:lang w:val="sq-AL"/>
        </w:rPr>
        <w:t>Në vendin tonë shkaktari kryesor i emëtimit të zhurmave është trafiku rrugor. Kjo sepse në vendin tonë sistemi hekurudhor pothuajse nuk ekziston, ndërsa përsa i përket s</w:t>
      </w:r>
      <w:r w:rsidR="00DE4C30">
        <w:rPr>
          <w:rFonts w:ascii="Times New Roman" w:eastAsia="Calibri" w:hAnsi="Times New Roman" w:cs="Times New Roman"/>
          <w:b/>
          <w:sz w:val="24"/>
          <w:szCs w:val="24"/>
          <w:lang w:val="sq-AL"/>
        </w:rPr>
        <w:t>istemit ajror ne kemi vetëm një</w:t>
      </w:r>
      <w:r w:rsidRPr="00DD3BBF">
        <w:rPr>
          <w:rFonts w:ascii="Times New Roman" w:eastAsia="Calibri" w:hAnsi="Times New Roman" w:cs="Times New Roman"/>
          <w:b/>
          <w:sz w:val="24"/>
          <w:szCs w:val="24"/>
          <w:lang w:val="sq-AL"/>
        </w:rPr>
        <w:t xml:space="preserve"> aeroport ndërkombëtar.</w:t>
      </w:r>
      <w:r w:rsidR="00DE4C30">
        <w:rPr>
          <w:rFonts w:ascii="Times New Roman" w:eastAsia="Calibri" w:hAnsi="Times New Roman" w:cs="Times New Roman"/>
          <w:b/>
          <w:sz w:val="24"/>
          <w:szCs w:val="24"/>
          <w:lang w:val="sq-AL"/>
        </w:rPr>
        <w:t xml:space="preserve"> </w:t>
      </w:r>
      <w:r w:rsidRPr="00DD3BBF">
        <w:rPr>
          <w:rFonts w:ascii="Times New Roman" w:eastAsia="Calibri" w:hAnsi="Times New Roman" w:cs="Times New Roman"/>
          <w:b/>
          <w:sz w:val="24"/>
          <w:szCs w:val="24"/>
          <w:lang w:val="sq-AL"/>
        </w:rPr>
        <w:t>Gjithashtu dhe lokalet gjenerojnë zhurma si ditën ashtu dhe natën</w:t>
      </w:r>
      <w:r w:rsidR="00DE4C30">
        <w:rPr>
          <w:rFonts w:ascii="Times New Roman" w:eastAsia="Calibri" w:hAnsi="Times New Roman" w:cs="Times New Roman"/>
          <w:b/>
          <w:sz w:val="24"/>
          <w:szCs w:val="24"/>
          <w:lang w:val="sq-AL"/>
        </w:rPr>
        <w:t>.</w:t>
      </w:r>
      <w:r w:rsidRPr="00DD3BBF">
        <w:rPr>
          <w:rFonts w:ascii="Times New Roman" w:eastAsia="Calibri" w:hAnsi="Times New Roman" w:cs="Times New Roman"/>
          <w:b/>
          <w:sz w:val="24"/>
          <w:szCs w:val="24"/>
          <w:lang w:val="sq-AL"/>
        </w:rPr>
        <w:t xml:space="preserve"> </w:t>
      </w:r>
    </w:p>
    <w:p w:rsidR="00AB1F2A" w:rsidRDefault="00AB1F2A" w:rsidP="00AB1F2A">
      <w:pPr>
        <w:spacing w:after="0" w:line="276" w:lineRule="auto"/>
        <w:jc w:val="both"/>
        <w:rPr>
          <w:rFonts w:ascii="Times New Roman" w:eastAsia="Calibri" w:hAnsi="Times New Roman" w:cs="Times New Roman"/>
          <w:sz w:val="24"/>
          <w:szCs w:val="24"/>
          <w:lang w:val="sq-AL"/>
        </w:rPr>
      </w:pPr>
    </w:p>
    <w:p w:rsidR="00AB1F2A" w:rsidRPr="00DD3BBF" w:rsidRDefault="00F03DAE" w:rsidP="00AB1F2A">
      <w:pPr>
        <w:spacing w:after="0" w:line="276" w:lineRule="auto"/>
        <w:jc w:val="both"/>
        <w:rPr>
          <w:rFonts w:ascii="Times New Roman" w:eastAsia="Calibri" w:hAnsi="Times New Roman" w:cs="Times New Roman"/>
          <w:bCs/>
          <w:sz w:val="24"/>
          <w:szCs w:val="24"/>
          <w:lang w:val="sq-AL"/>
        </w:rPr>
      </w:pPr>
      <w:r>
        <w:rPr>
          <w:rFonts w:ascii="Times New Roman" w:eastAsia="Calibri" w:hAnsi="Times New Roman" w:cs="Times New Roman"/>
          <w:sz w:val="24"/>
          <w:szCs w:val="24"/>
          <w:lang w:val="sq-AL"/>
        </w:rPr>
        <w:t>V</w:t>
      </w:r>
      <w:r w:rsidR="00AB1F2A" w:rsidRPr="00DD3BBF">
        <w:rPr>
          <w:rFonts w:ascii="Times New Roman" w:eastAsia="Calibri" w:hAnsi="Times New Roman" w:cs="Times New Roman"/>
          <w:sz w:val="24"/>
          <w:szCs w:val="24"/>
          <w:lang w:val="sq-AL"/>
        </w:rPr>
        <w:t xml:space="preserve">lerësimi </w:t>
      </w:r>
      <w:r>
        <w:rPr>
          <w:rFonts w:ascii="Times New Roman" w:eastAsia="Calibri" w:hAnsi="Times New Roman" w:cs="Times New Roman"/>
          <w:sz w:val="24"/>
          <w:szCs w:val="24"/>
          <w:lang w:val="sq-AL"/>
        </w:rPr>
        <w:t>për</w:t>
      </w:r>
      <w:r w:rsidR="00AB1F2A" w:rsidRPr="00DD3BBF">
        <w:rPr>
          <w:rFonts w:ascii="Times New Roman" w:eastAsia="Calibri" w:hAnsi="Times New Roman" w:cs="Times New Roman"/>
          <w:sz w:val="24"/>
          <w:szCs w:val="24"/>
          <w:lang w:val="sq-AL"/>
        </w:rPr>
        <w:t xml:space="preserve"> zhurmave urbane është hartuar me të dhënat e monitoruara për vitin 2025, m</w:t>
      </w:r>
      <w:r w:rsidR="00AB1F2A" w:rsidRPr="00DD3BBF">
        <w:rPr>
          <w:rFonts w:ascii="Times New Roman" w:eastAsia="Calibri" w:hAnsi="Times New Roman" w:cs="Times New Roman"/>
          <w:bCs/>
          <w:sz w:val="24"/>
          <w:szCs w:val="24"/>
          <w:lang w:val="sq-AL"/>
        </w:rPr>
        <w:t xml:space="preserve">onitorim i cili është kryer për një kohë matje 24 orëshe dhe niveli ekuivalent i presionit akustik LAeq ditën u llogarit nga ora 06°°- 23°° dhe LAeq për periudhën e natës nga ora 23°°- 06°°. </w:t>
      </w:r>
      <w:r w:rsidR="00AB1F2A" w:rsidRPr="00DD3BBF">
        <w:rPr>
          <w:rFonts w:ascii="Times New Roman" w:eastAsia="Calibri" w:hAnsi="Times New Roman" w:cs="Times New Roman"/>
          <w:sz w:val="24"/>
          <w:szCs w:val="24"/>
          <w:lang w:val="sq-AL"/>
        </w:rPr>
        <w:t xml:space="preserve"> </w:t>
      </w:r>
    </w:p>
    <w:p w:rsidR="00DD3BBF" w:rsidRDefault="00AB1F2A" w:rsidP="00F03DAE">
      <w:pPr>
        <w:spacing w:after="0" w:line="276"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bCs/>
          <w:sz w:val="24"/>
          <w:szCs w:val="24"/>
          <w:lang w:val="sq-AL"/>
        </w:rPr>
        <w:t>Matjet e zhurmave bëhen në mungesë të reshjeve, mjegull</w:t>
      </w:r>
      <w:r w:rsidRPr="00DD3BBF">
        <w:rPr>
          <w:rFonts w:ascii="Times New Roman" w:eastAsia="Calibri" w:hAnsi="Times New Roman" w:cs="Times New Roman"/>
          <w:sz w:val="24"/>
          <w:szCs w:val="24"/>
          <w:lang w:val="sq-AL"/>
        </w:rPr>
        <w:t>ë</w:t>
      </w:r>
      <w:r w:rsidRPr="00DD3BBF">
        <w:rPr>
          <w:rFonts w:ascii="Times New Roman" w:eastAsia="Calibri" w:hAnsi="Times New Roman" w:cs="Times New Roman"/>
          <w:bCs/>
          <w:sz w:val="24"/>
          <w:szCs w:val="24"/>
          <w:lang w:val="sq-AL"/>
        </w:rPr>
        <w:t>s dhe borës, shpejtësia e erës nuk duhet të jetë më e lartë se 5 m/s, mikrofoni i mbrojtur me kufje anti-erë. Zinxhiri i matjeve duhet t</w:t>
      </w:r>
      <w:r w:rsidRPr="00DD3BBF">
        <w:rPr>
          <w:rFonts w:ascii="Times New Roman" w:eastAsia="Calibri" w:hAnsi="Times New Roman" w:cs="Times New Roman"/>
          <w:sz w:val="24"/>
          <w:szCs w:val="24"/>
          <w:lang w:val="sq-AL"/>
        </w:rPr>
        <w:t>ë</w:t>
      </w:r>
      <w:r w:rsidRPr="00DD3BBF">
        <w:rPr>
          <w:rFonts w:ascii="Times New Roman" w:eastAsia="Calibri" w:hAnsi="Times New Roman" w:cs="Times New Roman"/>
          <w:bCs/>
          <w:sz w:val="24"/>
          <w:szCs w:val="24"/>
          <w:lang w:val="sq-AL"/>
        </w:rPr>
        <w:t xml:space="preserve"> jet</w:t>
      </w:r>
      <w:r w:rsidRPr="00DD3BBF">
        <w:rPr>
          <w:rFonts w:ascii="Times New Roman" w:eastAsia="Calibri" w:hAnsi="Times New Roman" w:cs="Times New Roman"/>
          <w:sz w:val="24"/>
          <w:szCs w:val="24"/>
          <w:lang w:val="sq-AL"/>
        </w:rPr>
        <w:t>ë</w:t>
      </w:r>
      <w:r w:rsidRPr="00DD3BBF">
        <w:rPr>
          <w:rFonts w:ascii="Times New Roman" w:eastAsia="Calibri" w:hAnsi="Times New Roman" w:cs="Times New Roman"/>
          <w:bCs/>
          <w:sz w:val="24"/>
          <w:szCs w:val="24"/>
          <w:lang w:val="sq-AL"/>
        </w:rPr>
        <w:t xml:space="preserve"> në përputhje me kushtet meterologjike të periudhës në të cilën bëhen matjet dhe në përputhje me normat e CEI 29-10 dhe EN 60804/1994.</w:t>
      </w:r>
      <w:r w:rsidR="00F03DAE">
        <w:rPr>
          <w:rFonts w:ascii="Times New Roman" w:eastAsia="Calibri" w:hAnsi="Times New Roman" w:cs="Times New Roman"/>
          <w:bCs/>
          <w:sz w:val="24"/>
          <w:szCs w:val="24"/>
          <w:lang w:val="sq-AL"/>
        </w:rPr>
        <w:t xml:space="preserve"> </w:t>
      </w:r>
      <w:r w:rsidR="00DD3BBF" w:rsidRPr="00DD3BBF">
        <w:rPr>
          <w:rFonts w:ascii="Times New Roman" w:eastAsia="Calibri" w:hAnsi="Times New Roman" w:cs="Times New Roman"/>
          <w:sz w:val="24"/>
          <w:szCs w:val="24"/>
          <w:lang w:val="sq-AL"/>
        </w:rPr>
        <w:t>Tabela si vijon paraqet të dhënat mesatare vjetore në qytetet e monitoruara.</w:t>
      </w:r>
    </w:p>
    <w:p w:rsidR="00AB1BDD" w:rsidRPr="00F03DAE" w:rsidRDefault="00AB1BDD" w:rsidP="00F03DAE">
      <w:pPr>
        <w:spacing w:after="0" w:line="276" w:lineRule="auto"/>
        <w:jc w:val="both"/>
        <w:rPr>
          <w:rFonts w:ascii="Times New Roman" w:eastAsia="Calibri" w:hAnsi="Times New Roman" w:cs="Times New Roman"/>
          <w:bCs/>
          <w:sz w:val="24"/>
          <w:szCs w:val="24"/>
          <w:lang w:val="sq-AL"/>
        </w:rPr>
      </w:pPr>
    </w:p>
    <w:p w:rsidR="00DA3FBA" w:rsidRDefault="00DA3FBA" w:rsidP="00DD3BBF">
      <w:pPr>
        <w:spacing w:after="0" w:line="276" w:lineRule="auto"/>
        <w:jc w:val="both"/>
        <w:rPr>
          <w:rFonts w:ascii="Times New Roman" w:eastAsia="Calibri" w:hAnsi="Times New Roman" w:cs="Times New Roman"/>
          <w:sz w:val="24"/>
          <w:szCs w:val="24"/>
          <w:lang w:val="sq-AL"/>
        </w:rPr>
      </w:pPr>
    </w:p>
    <w:p w:rsidR="00DD3BBF" w:rsidRPr="00DD3BBF" w:rsidRDefault="00DD3BBF" w:rsidP="00DD3BBF">
      <w:pPr>
        <w:spacing w:after="0" w:line="276"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lastRenderedPageBreak/>
        <w:t xml:space="preserve">Tabela </w:t>
      </w:r>
      <w:r w:rsidR="00F03DAE">
        <w:rPr>
          <w:rFonts w:ascii="Times New Roman" w:eastAsia="Calibri" w:hAnsi="Times New Roman" w:cs="Times New Roman"/>
          <w:sz w:val="24"/>
          <w:szCs w:val="24"/>
          <w:lang w:val="sq-AL"/>
        </w:rPr>
        <w:t>2</w:t>
      </w:r>
      <w:r w:rsidRPr="00DD3BBF">
        <w:rPr>
          <w:rFonts w:ascii="Times New Roman" w:eastAsia="Calibri" w:hAnsi="Times New Roman" w:cs="Times New Roman"/>
          <w:sz w:val="24"/>
          <w:szCs w:val="24"/>
          <w:lang w:val="sq-AL"/>
        </w:rPr>
        <w:t xml:space="preserve"> - Vlerat mesatare të nivelit të zhurmave LAeq ditën dhe natën.</w:t>
      </w:r>
    </w:p>
    <w:p w:rsidR="00DD3BBF" w:rsidRPr="00DD3BBF" w:rsidRDefault="00DD3BBF" w:rsidP="00DD3BBF">
      <w:pPr>
        <w:spacing w:after="0" w:line="276" w:lineRule="auto"/>
        <w:jc w:val="both"/>
        <w:rPr>
          <w:rFonts w:ascii="Times New Roman" w:eastAsia="Calibri" w:hAnsi="Times New Roman" w:cs="Times New Roman"/>
          <w:sz w:val="24"/>
          <w:szCs w:val="24"/>
          <w:lang w:val="sq-AL"/>
        </w:rPr>
      </w:pPr>
    </w:p>
    <w:tbl>
      <w:tblPr>
        <w:tblW w:w="9660" w:type="dxa"/>
        <w:tblLook w:val="04A0" w:firstRow="1" w:lastRow="0" w:firstColumn="1" w:lastColumn="0" w:noHBand="0" w:noVBand="1"/>
      </w:tblPr>
      <w:tblGrid>
        <w:gridCol w:w="3400"/>
        <w:gridCol w:w="2560"/>
        <w:gridCol w:w="3700"/>
      </w:tblGrid>
      <w:tr w:rsidR="00DD3BBF" w:rsidRPr="00DD3BBF" w:rsidTr="00DD3BBF">
        <w:trPr>
          <w:trHeight w:val="315"/>
        </w:trPr>
        <w:tc>
          <w:tcPr>
            <w:tcW w:w="34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D3BBF" w:rsidRPr="00DD3BBF" w:rsidRDefault="00DD3BBF" w:rsidP="00DD3BBF">
            <w:pPr>
              <w:spacing w:after="0" w:line="240" w:lineRule="auto"/>
              <w:jc w:val="center"/>
              <w:rPr>
                <w:rFonts w:ascii="Times New Roman" w:eastAsia="Times New Roman" w:hAnsi="Times New Roman" w:cs="Times New Roman"/>
                <w:b/>
                <w:bCs/>
                <w:sz w:val="24"/>
                <w:szCs w:val="24"/>
                <w:lang w:val="sq-AL"/>
              </w:rPr>
            </w:pPr>
            <w:r w:rsidRPr="00DD3BBF">
              <w:rPr>
                <w:rFonts w:ascii="Times New Roman" w:eastAsia="Times New Roman" w:hAnsi="Times New Roman" w:cs="Times New Roman"/>
                <w:b/>
                <w:bCs/>
                <w:sz w:val="24"/>
                <w:szCs w:val="24"/>
                <w:lang w:val="sq-AL"/>
              </w:rPr>
              <w:t>Zhurmat 2025</w:t>
            </w:r>
          </w:p>
        </w:tc>
        <w:tc>
          <w:tcPr>
            <w:tcW w:w="2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D3BBF" w:rsidRPr="00DD3BBF" w:rsidRDefault="00DD3BBF" w:rsidP="00DD3BBF">
            <w:pPr>
              <w:spacing w:after="0" w:line="240" w:lineRule="auto"/>
              <w:jc w:val="center"/>
              <w:rPr>
                <w:rFonts w:ascii="Times New Roman" w:eastAsia="Times New Roman" w:hAnsi="Times New Roman" w:cs="Times New Roman"/>
                <w:b/>
                <w:bCs/>
                <w:sz w:val="24"/>
                <w:szCs w:val="24"/>
                <w:lang w:val="sq-AL"/>
              </w:rPr>
            </w:pPr>
            <w:r w:rsidRPr="00DD3BBF">
              <w:rPr>
                <w:rFonts w:ascii="Times New Roman" w:eastAsia="Times New Roman" w:hAnsi="Times New Roman" w:cs="Times New Roman"/>
                <w:b/>
                <w:bCs/>
                <w:sz w:val="24"/>
                <w:szCs w:val="24"/>
                <w:lang w:val="sq-AL"/>
              </w:rPr>
              <w:t>LAeq/Ditën dB(A)</w:t>
            </w:r>
          </w:p>
        </w:tc>
        <w:tc>
          <w:tcPr>
            <w:tcW w:w="37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D3BBF" w:rsidRPr="00DD3BBF" w:rsidRDefault="00DD3BBF" w:rsidP="00DD3BBF">
            <w:pPr>
              <w:spacing w:after="0" w:line="240" w:lineRule="auto"/>
              <w:jc w:val="center"/>
              <w:rPr>
                <w:rFonts w:ascii="Times New Roman" w:eastAsia="Times New Roman" w:hAnsi="Times New Roman" w:cs="Times New Roman"/>
                <w:b/>
                <w:bCs/>
                <w:sz w:val="24"/>
                <w:szCs w:val="24"/>
                <w:lang w:val="sq-AL"/>
              </w:rPr>
            </w:pPr>
            <w:r w:rsidRPr="00DD3BBF">
              <w:rPr>
                <w:rFonts w:ascii="Times New Roman" w:eastAsia="Times New Roman" w:hAnsi="Times New Roman" w:cs="Times New Roman"/>
                <w:b/>
                <w:bCs/>
                <w:sz w:val="24"/>
                <w:szCs w:val="24"/>
                <w:lang w:val="sq-AL"/>
              </w:rPr>
              <w:t>LAeq/Natën dB(A)</w:t>
            </w:r>
          </w:p>
        </w:tc>
      </w:tr>
      <w:tr w:rsidR="00DD3BBF" w:rsidRPr="00DD3BBF" w:rsidTr="00DD3BBF">
        <w:trPr>
          <w:trHeight w:val="300"/>
        </w:trPr>
        <w:tc>
          <w:tcPr>
            <w:tcW w:w="3400" w:type="dxa"/>
            <w:tcBorders>
              <w:top w:val="single" w:sz="4" w:space="0" w:color="auto"/>
              <w:left w:val="single" w:sz="4" w:space="0" w:color="auto"/>
              <w:bottom w:val="single" w:sz="4" w:space="0" w:color="auto"/>
              <w:right w:val="nil"/>
            </w:tcBorders>
            <w:shd w:val="clear" w:color="548235" w:fill="548235"/>
            <w:vAlign w:val="bottom"/>
            <w:hideMark/>
          </w:tcPr>
          <w:p w:rsidR="00DD3BBF" w:rsidRPr="00DD3BBF" w:rsidRDefault="00DD3BBF" w:rsidP="00DD3BBF">
            <w:pPr>
              <w:spacing w:after="0" w:line="240" w:lineRule="auto"/>
              <w:rPr>
                <w:rFonts w:ascii="Times New Roman" w:eastAsia="Times New Roman" w:hAnsi="Times New Roman" w:cs="Times New Roman"/>
                <w:color w:val="FFFFFF"/>
                <w:lang w:val="sq-AL"/>
              </w:rPr>
            </w:pPr>
            <w:r w:rsidRPr="00DD3BBF">
              <w:rPr>
                <w:rFonts w:ascii="Times New Roman" w:eastAsia="Times New Roman" w:hAnsi="Times New Roman" w:cs="Times New Roman"/>
                <w:color w:val="FFFFFF"/>
                <w:lang w:val="sq-AL"/>
              </w:rPr>
              <w:t>Tiranë</w:t>
            </w:r>
          </w:p>
        </w:tc>
        <w:tc>
          <w:tcPr>
            <w:tcW w:w="256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63.07</w:t>
            </w:r>
          </w:p>
        </w:tc>
        <w:tc>
          <w:tcPr>
            <w:tcW w:w="370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53.05</w:t>
            </w:r>
          </w:p>
        </w:tc>
      </w:tr>
      <w:tr w:rsidR="00DD3BBF" w:rsidRPr="00DD3BBF" w:rsidTr="00DD3BBF">
        <w:trPr>
          <w:trHeight w:val="300"/>
        </w:trPr>
        <w:tc>
          <w:tcPr>
            <w:tcW w:w="3400" w:type="dxa"/>
            <w:tcBorders>
              <w:top w:val="single" w:sz="4" w:space="0" w:color="auto"/>
              <w:left w:val="single" w:sz="4" w:space="0" w:color="auto"/>
              <w:bottom w:val="single" w:sz="4" w:space="0" w:color="auto"/>
              <w:right w:val="nil"/>
            </w:tcBorders>
            <w:shd w:val="clear" w:color="70AD47" w:fill="70AD47"/>
            <w:vAlign w:val="bottom"/>
            <w:hideMark/>
          </w:tcPr>
          <w:p w:rsidR="00DD3BBF" w:rsidRPr="00DD3BBF" w:rsidRDefault="00DD3BBF" w:rsidP="00DD3BBF">
            <w:pPr>
              <w:spacing w:after="0" w:line="240" w:lineRule="auto"/>
              <w:rPr>
                <w:rFonts w:ascii="Times New Roman" w:eastAsia="Times New Roman" w:hAnsi="Times New Roman" w:cs="Times New Roman"/>
                <w:color w:val="FFFFFF"/>
                <w:lang w:val="sq-AL"/>
              </w:rPr>
            </w:pPr>
            <w:r w:rsidRPr="00DD3BBF">
              <w:rPr>
                <w:rFonts w:ascii="Times New Roman" w:eastAsia="Times New Roman" w:hAnsi="Times New Roman" w:cs="Times New Roman"/>
                <w:color w:val="FFFFFF"/>
                <w:lang w:val="sq-AL"/>
              </w:rPr>
              <w:t>Korçë</w:t>
            </w:r>
          </w:p>
        </w:tc>
        <w:tc>
          <w:tcPr>
            <w:tcW w:w="256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60.27</w:t>
            </w:r>
          </w:p>
        </w:tc>
        <w:tc>
          <w:tcPr>
            <w:tcW w:w="370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48.9</w:t>
            </w:r>
          </w:p>
        </w:tc>
      </w:tr>
      <w:tr w:rsidR="00DD3BBF" w:rsidRPr="00DD3BBF" w:rsidTr="00DD3BBF">
        <w:trPr>
          <w:trHeight w:val="300"/>
        </w:trPr>
        <w:tc>
          <w:tcPr>
            <w:tcW w:w="3400" w:type="dxa"/>
            <w:tcBorders>
              <w:top w:val="single" w:sz="4" w:space="0" w:color="auto"/>
              <w:left w:val="single" w:sz="4" w:space="0" w:color="auto"/>
              <w:bottom w:val="single" w:sz="4" w:space="0" w:color="auto"/>
              <w:right w:val="nil"/>
            </w:tcBorders>
            <w:shd w:val="clear" w:color="548235" w:fill="548235"/>
            <w:vAlign w:val="bottom"/>
            <w:hideMark/>
          </w:tcPr>
          <w:p w:rsidR="00DD3BBF" w:rsidRPr="00DD3BBF" w:rsidRDefault="00DD3BBF" w:rsidP="00DD3BBF">
            <w:pPr>
              <w:spacing w:after="0" w:line="240" w:lineRule="auto"/>
              <w:rPr>
                <w:rFonts w:ascii="Times New Roman" w:eastAsia="Times New Roman" w:hAnsi="Times New Roman" w:cs="Times New Roman"/>
                <w:color w:val="FFFFFF"/>
                <w:lang w:val="sq-AL"/>
              </w:rPr>
            </w:pPr>
            <w:r w:rsidRPr="00DD3BBF">
              <w:rPr>
                <w:rFonts w:ascii="Times New Roman" w:eastAsia="Times New Roman" w:hAnsi="Times New Roman" w:cs="Times New Roman"/>
                <w:color w:val="FFFFFF"/>
                <w:lang w:val="sq-AL"/>
              </w:rPr>
              <w:t>Gjirokastër</w:t>
            </w:r>
          </w:p>
        </w:tc>
        <w:tc>
          <w:tcPr>
            <w:tcW w:w="256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60.51</w:t>
            </w:r>
          </w:p>
        </w:tc>
        <w:tc>
          <w:tcPr>
            <w:tcW w:w="370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49.98</w:t>
            </w:r>
          </w:p>
        </w:tc>
      </w:tr>
      <w:tr w:rsidR="00DD3BBF" w:rsidRPr="00DD3BBF" w:rsidTr="00DD3BBF">
        <w:trPr>
          <w:trHeight w:val="300"/>
        </w:trPr>
        <w:tc>
          <w:tcPr>
            <w:tcW w:w="3400" w:type="dxa"/>
            <w:tcBorders>
              <w:top w:val="single" w:sz="4" w:space="0" w:color="auto"/>
              <w:left w:val="single" w:sz="4" w:space="0" w:color="auto"/>
              <w:bottom w:val="single" w:sz="4" w:space="0" w:color="auto"/>
              <w:right w:val="nil"/>
            </w:tcBorders>
            <w:shd w:val="clear" w:color="70AD47" w:fill="70AD47"/>
            <w:vAlign w:val="bottom"/>
            <w:hideMark/>
          </w:tcPr>
          <w:p w:rsidR="00DD3BBF" w:rsidRPr="00DD3BBF" w:rsidRDefault="00DD3BBF" w:rsidP="00DD3BBF">
            <w:pPr>
              <w:spacing w:after="0" w:line="240" w:lineRule="auto"/>
              <w:rPr>
                <w:rFonts w:ascii="Times New Roman" w:eastAsia="Times New Roman" w:hAnsi="Times New Roman" w:cs="Times New Roman"/>
                <w:color w:val="FFFFFF"/>
                <w:lang w:val="sq-AL"/>
              </w:rPr>
            </w:pPr>
            <w:r w:rsidRPr="00DD3BBF">
              <w:rPr>
                <w:rFonts w:ascii="Times New Roman" w:eastAsia="Times New Roman" w:hAnsi="Times New Roman" w:cs="Times New Roman"/>
                <w:color w:val="FFFFFF"/>
                <w:lang w:val="sq-AL"/>
              </w:rPr>
              <w:t>Sarandë</w:t>
            </w:r>
          </w:p>
        </w:tc>
        <w:tc>
          <w:tcPr>
            <w:tcW w:w="256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62.87</w:t>
            </w:r>
          </w:p>
        </w:tc>
        <w:tc>
          <w:tcPr>
            <w:tcW w:w="370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52.94</w:t>
            </w:r>
          </w:p>
        </w:tc>
      </w:tr>
      <w:tr w:rsidR="00DD3BBF" w:rsidRPr="00DD3BBF" w:rsidTr="00DD3BBF">
        <w:trPr>
          <w:trHeight w:val="300"/>
        </w:trPr>
        <w:tc>
          <w:tcPr>
            <w:tcW w:w="3400" w:type="dxa"/>
            <w:tcBorders>
              <w:top w:val="single" w:sz="4" w:space="0" w:color="auto"/>
              <w:left w:val="single" w:sz="4" w:space="0" w:color="auto"/>
              <w:bottom w:val="single" w:sz="4" w:space="0" w:color="auto"/>
              <w:right w:val="nil"/>
            </w:tcBorders>
            <w:shd w:val="clear" w:color="548235" w:fill="548235"/>
            <w:vAlign w:val="bottom"/>
            <w:hideMark/>
          </w:tcPr>
          <w:p w:rsidR="00DD3BBF" w:rsidRPr="00DD3BBF" w:rsidRDefault="00DD3BBF" w:rsidP="00DD3BBF">
            <w:pPr>
              <w:spacing w:after="0" w:line="240" w:lineRule="auto"/>
              <w:rPr>
                <w:rFonts w:ascii="Times New Roman" w:eastAsia="Times New Roman" w:hAnsi="Times New Roman" w:cs="Times New Roman"/>
                <w:color w:val="FFFFFF"/>
                <w:lang w:val="sq-AL"/>
              </w:rPr>
            </w:pPr>
            <w:r w:rsidRPr="00DD3BBF">
              <w:rPr>
                <w:rFonts w:ascii="Times New Roman" w:eastAsia="Times New Roman" w:hAnsi="Times New Roman" w:cs="Times New Roman"/>
                <w:color w:val="FFFFFF"/>
                <w:lang w:val="sq-AL"/>
              </w:rPr>
              <w:t>Berat</w:t>
            </w:r>
          </w:p>
        </w:tc>
        <w:tc>
          <w:tcPr>
            <w:tcW w:w="256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58.88</w:t>
            </w:r>
          </w:p>
        </w:tc>
        <w:tc>
          <w:tcPr>
            <w:tcW w:w="370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49.5</w:t>
            </w:r>
          </w:p>
        </w:tc>
      </w:tr>
      <w:tr w:rsidR="00DD3BBF" w:rsidRPr="00DD3BBF" w:rsidTr="00DD3BBF">
        <w:trPr>
          <w:trHeight w:val="300"/>
        </w:trPr>
        <w:tc>
          <w:tcPr>
            <w:tcW w:w="3400" w:type="dxa"/>
            <w:tcBorders>
              <w:top w:val="single" w:sz="4" w:space="0" w:color="auto"/>
              <w:left w:val="single" w:sz="4" w:space="0" w:color="auto"/>
              <w:bottom w:val="single" w:sz="4" w:space="0" w:color="auto"/>
              <w:right w:val="nil"/>
            </w:tcBorders>
            <w:shd w:val="clear" w:color="70AD47" w:fill="70AD47"/>
            <w:vAlign w:val="bottom"/>
            <w:hideMark/>
          </w:tcPr>
          <w:p w:rsidR="00DD3BBF" w:rsidRPr="00DD3BBF" w:rsidRDefault="00DD3BBF" w:rsidP="00DD3BBF">
            <w:pPr>
              <w:spacing w:after="0" w:line="240" w:lineRule="auto"/>
              <w:rPr>
                <w:rFonts w:ascii="Times New Roman" w:eastAsia="Times New Roman" w:hAnsi="Times New Roman" w:cs="Times New Roman"/>
                <w:color w:val="FFFFFF"/>
                <w:lang w:val="sq-AL"/>
              </w:rPr>
            </w:pPr>
            <w:r w:rsidRPr="00DD3BBF">
              <w:rPr>
                <w:rFonts w:ascii="Times New Roman" w:eastAsia="Times New Roman" w:hAnsi="Times New Roman" w:cs="Times New Roman"/>
                <w:color w:val="FFFFFF"/>
                <w:lang w:val="sq-AL"/>
              </w:rPr>
              <w:t>Pogradec</w:t>
            </w:r>
          </w:p>
        </w:tc>
        <w:tc>
          <w:tcPr>
            <w:tcW w:w="256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60.18</w:t>
            </w:r>
          </w:p>
        </w:tc>
        <w:tc>
          <w:tcPr>
            <w:tcW w:w="370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47.64</w:t>
            </w:r>
          </w:p>
        </w:tc>
      </w:tr>
      <w:tr w:rsidR="00DD3BBF" w:rsidRPr="00DD3BBF" w:rsidTr="00DD3BBF">
        <w:trPr>
          <w:trHeight w:val="300"/>
        </w:trPr>
        <w:tc>
          <w:tcPr>
            <w:tcW w:w="3400" w:type="dxa"/>
            <w:tcBorders>
              <w:top w:val="single" w:sz="4" w:space="0" w:color="auto"/>
              <w:left w:val="single" w:sz="4" w:space="0" w:color="auto"/>
              <w:bottom w:val="single" w:sz="4" w:space="0" w:color="auto"/>
              <w:right w:val="nil"/>
            </w:tcBorders>
            <w:shd w:val="clear" w:color="548235" w:fill="548235"/>
            <w:vAlign w:val="bottom"/>
            <w:hideMark/>
          </w:tcPr>
          <w:p w:rsidR="00DD3BBF" w:rsidRPr="00DD3BBF" w:rsidRDefault="00DD3BBF" w:rsidP="00DD3BBF">
            <w:pPr>
              <w:spacing w:after="0" w:line="240" w:lineRule="auto"/>
              <w:rPr>
                <w:rFonts w:ascii="Times New Roman" w:eastAsia="Times New Roman" w:hAnsi="Times New Roman" w:cs="Times New Roman"/>
                <w:color w:val="FFFFFF"/>
                <w:lang w:val="sq-AL"/>
              </w:rPr>
            </w:pPr>
            <w:r w:rsidRPr="00DD3BBF">
              <w:rPr>
                <w:rFonts w:ascii="Times New Roman" w:eastAsia="Times New Roman" w:hAnsi="Times New Roman" w:cs="Times New Roman"/>
                <w:color w:val="FFFFFF"/>
                <w:lang w:val="sq-AL"/>
              </w:rPr>
              <w:t>Kukës</w:t>
            </w:r>
          </w:p>
        </w:tc>
        <w:tc>
          <w:tcPr>
            <w:tcW w:w="256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57.23</w:t>
            </w:r>
          </w:p>
        </w:tc>
        <w:tc>
          <w:tcPr>
            <w:tcW w:w="370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47.1</w:t>
            </w:r>
          </w:p>
        </w:tc>
      </w:tr>
      <w:tr w:rsidR="00DD3BBF" w:rsidRPr="00DD3BBF" w:rsidTr="00DD3BBF">
        <w:trPr>
          <w:trHeight w:val="300"/>
        </w:trPr>
        <w:tc>
          <w:tcPr>
            <w:tcW w:w="3400" w:type="dxa"/>
            <w:tcBorders>
              <w:top w:val="single" w:sz="4" w:space="0" w:color="auto"/>
              <w:left w:val="single" w:sz="4" w:space="0" w:color="auto"/>
              <w:bottom w:val="single" w:sz="4" w:space="0" w:color="auto"/>
              <w:right w:val="nil"/>
            </w:tcBorders>
            <w:shd w:val="clear" w:color="70AD47" w:fill="70AD47"/>
            <w:vAlign w:val="bottom"/>
            <w:hideMark/>
          </w:tcPr>
          <w:p w:rsidR="00DD3BBF" w:rsidRPr="00DD3BBF" w:rsidRDefault="00DD3BBF" w:rsidP="00DD3BBF">
            <w:pPr>
              <w:spacing w:after="0" w:line="240" w:lineRule="auto"/>
              <w:rPr>
                <w:rFonts w:ascii="Times New Roman" w:eastAsia="Times New Roman" w:hAnsi="Times New Roman" w:cs="Times New Roman"/>
                <w:color w:val="FFFFFF"/>
                <w:lang w:val="sq-AL"/>
              </w:rPr>
            </w:pPr>
            <w:r w:rsidRPr="00DD3BBF">
              <w:rPr>
                <w:rFonts w:ascii="Times New Roman" w:eastAsia="Times New Roman" w:hAnsi="Times New Roman" w:cs="Times New Roman"/>
                <w:color w:val="FFFFFF"/>
                <w:lang w:val="sq-AL"/>
              </w:rPr>
              <w:t>Shkodër</w:t>
            </w:r>
          </w:p>
        </w:tc>
        <w:tc>
          <w:tcPr>
            <w:tcW w:w="256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57.36</w:t>
            </w:r>
          </w:p>
        </w:tc>
        <w:tc>
          <w:tcPr>
            <w:tcW w:w="370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45.32</w:t>
            </w:r>
          </w:p>
        </w:tc>
      </w:tr>
      <w:tr w:rsidR="00DD3BBF" w:rsidRPr="00DD3BBF" w:rsidTr="00DD3BBF">
        <w:trPr>
          <w:trHeight w:val="300"/>
        </w:trPr>
        <w:tc>
          <w:tcPr>
            <w:tcW w:w="3400" w:type="dxa"/>
            <w:tcBorders>
              <w:top w:val="single" w:sz="4" w:space="0" w:color="auto"/>
              <w:left w:val="single" w:sz="4" w:space="0" w:color="auto"/>
              <w:bottom w:val="single" w:sz="4" w:space="0" w:color="auto"/>
              <w:right w:val="nil"/>
            </w:tcBorders>
            <w:shd w:val="clear" w:color="548235" w:fill="548235"/>
            <w:vAlign w:val="bottom"/>
            <w:hideMark/>
          </w:tcPr>
          <w:p w:rsidR="00DD3BBF" w:rsidRPr="00DD3BBF" w:rsidRDefault="00DD3BBF" w:rsidP="00DD3BBF">
            <w:pPr>
              <w:spacing w:after="0" w:line="240" w:lineRule="auto"/>
              <w:rPr>
                <w:rFonts w:ascii="Times New Roman" w:eastAsia="Times New Roman" w:hAnsi="Times New Roman" w:cs="Times New Roman"/>
                <w:color w:val="FFFFFF"/>
                <w:lang w:val="sq-AL"/>
              </w:rPr>
            </w:pPr>
            <w:r w:rsidRPr="00DD3BBF">
              <w:rPr>
                <w:rFonts w:ascii="Times New Roman" w:eastAsia="Times New Roman" w:hAnsi="Times New Roman" w:cs="Times New Roman"/>
                <w:color w:val="FFFFFF"/>
                <w:lang w:val="sq-AL"/>
              </w:rPr>
              <w:t>Fier</w:t>
            </w:r>
          </w:p>
        </w:tc>
        <w:tc>
          <w:tcPr>
            <w:tcW w:w="256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61.67</w:t>
            </w:r>
          </w:p>
        </w:tc>
        <w:tc>
          <w:tcPr>
            <w:tcW w:w="370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52.31</w:t>
            </w:r>
          </w:p>
        </w:tc>
      </w:tr>
      <w:tr w:rsidR="00DD3BBF" w:rsidRPr="00DD3BBF" w:rsidTr="00DD3BBF">
        <w:trPr>
          <w:trHeight w:val="300"/>
        </w:trPr>
        <w:tc>
          <w:tcPr>
            <w:tcW w:w="3400" w:type="dxa"/>
            <w:tcBorders>
              <w:top w:val="single" w:sz="4" w:space="0" w:color="auto"/>
              <w:left w:val="single" w:sz="4" w:space="0" w:color="auto"/>
              <w:bottom w:val="single" w:sz="4" w:space="0" w:color="auto"/>
              <w:right w:val="nil"/>
            </w:tcBorders>
            <w:shd w:val="clear" w:color="70AD47" w:fill="70AD47"/>
            <w:vAlign w:val="bottom"/>
            <w:hideMark/>
          </w:tcPr>
          <w:p w:rsidR="00DD3BBF" w:rsidRPr="00DD3BBF" w:rsidRDefault="00DD3BBF" w:rsidP="00DD3BBF">
            <w:pPr>
              <w:spacing w:after="0" w:line="240" w:lineRule="auto"/>
              <w:rPr>
                <w:rFonts w:ascii="Times New Roman" w:eastAsia="Times New Roman" w:hAnsi="Times New Roman" w:cs="Times New Roman"/>
                <w:color w:val="FFFFFF"/>
                <w:lang w:val="sq-AL"/>
              </w:rPr>
            </w:pPr>
            <w:r w:rsidRPr="00DD3BBF">
              <w:rPr>
                <w:rFonts w:ascii="Times New Roman" w:eastAsia="Times New Roman" w:hAnsi="Times New Roman" w:cs="Times New Roman"/>
                <w:color w:val="FFFFFF"/>
                <w:lang w:val="sq-AL"/>
              </w:rPr>
              <w:t>Vlorë</w:t>
            </w:r>
          </w:p>
        </w:tc>
        <w:tc>
          <w:tcPr>
            <w:tcW w:w="256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63</w:t>
            </w:r>
          </w:p>
        </w:tc>
        <w:tc>
          <w:tcPr>
            <w:tcW w:w="370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53.56</w:t>
            </w:r>
          </w:p>
        </w:tc>
      </w:tr>
      <w:tr w:rsidR="00DD3BBF" w:rsidRPr="00DD3BBF" w:rsidTr="00DD3BBF">
        <w:trPr>
          <w:trHeight w:val="300"/>
        </w:trPr>
        <w:tc>
          <w:tcPr>
            <w:tcW w:w="3400" w:type="dxa"/>
            <w:tcBorders>
              <w:top w:val="single" w:sz="4" w:space="0" w:color="auto"/>
              <w:left w:val="single" w:sz="4" w:space="0" w:color="auto"/>
              <w:bottom w:val="single" w:sz="4" w:space="0" w:color="auto"/>
              <w:right w:val="nil"/>
            </w:tcBorders>
            <w:shd w:val="clear" w:color="548235" w:fill="548235"/>
            <w:vAlign w:val="bottom"/>
            <w:hideMark/>
          </w:tcPr>
          <w:p w:rsidR="00DD3BBF" w:rsidRPr="00DD3BBF" w:rsidRDefault="00DD3BBF" w:rsidP="00DD3BBF">
            <w:pPr>
              <w:spacing w:after="0" w:line="240" w:lineRule="auto"/>
              <w:rPr>
                <w:rFonts w:ascii="Times New Roman" w:eastAsia="Times New Roman" w:hAnsi="Times New Roman" w:cs="Times New Roman"/>
                <w:color w:val="FFFFFF"/>
                <w:lang w:val="sq-AL"/>
              </w:rPr>
            </w:pPr>
            <w:r w:rsidRPr="00DD3BBF">
              <w:rPr>
                <w:rFonts w:ascii="Times New Roman" w:eastAsia="Times New Roman" w:hAnsi="Times New Roman" w:cs="Times New Roman"/>
                <w:color w:val="FFFFFF"/>
                <w:lang w:val="sq-AL"/>
              </w:rPr>
              <w:t>Lezhë</w:t>
            </w:r>
          </w:p>
        </w:tc>
        <w:tc>
          <w:tcPr>
            <w:tcW w:w="256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56.24</w:t>
            </w:r>
          </w:p>
        </w:tc>
        <w:tc>
          <w:tcPr>
            <w:tcW w:w="370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44.16</w:t>
            </w:r>
          </w:p>
        </w:tc>
      </w:tr>
      <w:tr w:rsidR="00DD3BBF" w:rsidRPr="00DD3BBF" w:rsidTr="00DD3BBF">
        <w:trPr>
          <w:trHeight w:val="300"/>
        </w:trPr>
        <w:tc>
          <w:tcPr>
            <w:tcW w:w="3400" w:type="dxa"/>
            <w:tcBorders>
              <w:top w:val="single" w:sz="4" w:space="0" w:color="auto"/>
              <w:left w:val="single" w:sz="4" w:space="0" w:color="auto"/>
              <w:bottom w:val="single" w:sz="4" w:space="0" w:color="auto"/>
              <w:right w:val="nil"/>
            </w:tcBorders>
            <w:shd w:val="clear" w:color="70AD47" w:fill="70AD47"/>
            <w:vAlign w:val="bottom"/>
            <w:hideMark/>
          </w:tcPr>
          <w:p w:rsidR="00DD3BBF" w:rsidRPr="00DD3BBF" w:rsidRDefault="00DD3BBF" w:rsidP="00DD3BBF">
            <w:pPr>
              <w:spacing w:after="0" w:line="240" w:lineRule="auto"/>
              <w:rPr>
                <w:rFonts w:ascii="Times New Roman" w:eastAsia="Times New Roman" w:hAnsi="Times New Roman" w:cs="Times New Roman"/>
                <w:color w:val="FFFFFF"/>
                <w:lang w:val="sq-AL"/>
              </w:rPr>
            </w:pPr>
            <w:r w:rsidRPr="00DD3BBF">
              <w:rPr>
                <w:rFonts w:ascii="Times New Roman" w:eastAsia="Times New Roman" w:hAnsi="Times New Roman" w:cs="Times New Roman"/>
                <w:color w:val="FFFFFF"/>
                <w:lang w:val="sq-AL"/>
              </w:rPr>
              <w:t>Përmet</w:t>
            </w:r>
          </w:p>
        </w:tc>
        <w:tc>
          <w:tcPr>
            <w:tcW w:w="256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55.15</w:t>
            </w:r>
          </w:p>
        </w:tc>
        <w:tc>
          <w:tcPr>
            <w:tcW w:w="370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44.29</w:t>
            </w:r>
          </w:p>
        </w:tc>
      </w:tr>
      <w:tr w:rsidR="00DD3BBF" w:rsidRPr="00DD3BBF" w:rsidTr="00DD3BBF">
        <w:trPr>
          <w:trHeight w:val="300"/>
        </w:trPr>
        <w:tc>
          <w:tcPr>
            <w:tcW w:w="3400" w:type="dxa"/>
            <w:tcBorders>
              <w:top w:val="single" w:sz="4" w:space="0" w:color="auto"/>
              <w:left w:val="single" w:sz="4" w:space="0" w:color="auto"/>
              <w:bottom w:val="single" w:sz="4" w:space="0" w:color="auto"/>
              <w:right w:val="nil"/>
            </w:tcBorders>
            <w:shd w:val="clear" w:color="548235" w:fill="548235"/>
            <w:vAlign w:val="bottom"/>
            <w:hideMark/>
          </w:tcPr>
          <w:p w:rsidR="00DD3BBF" w:rsidRPr="00DD3BBF" w:rsidRDefault="00DD3BBF" w:rsidP="00DD3BBF">
            <w:pPr>
              <w:spacing w:after="0" w:line="240" w:lineRule="auto"/>
              <w:rPr>
                <w:rFonts w:ascii="Times New Roman" w:eastAsia="Times New Roman" w:hAnsi="Times New Roman" w:cs="Times New Roman"/>
                <w:color w:val="FFFFFF"/>
                <w:lang w:val="sq-AL"/>
              </w:rPr>
            </w:pPr>
            <w:r w:rsidRPr="00DD3BBF">
              <w:rPr>
                <w:rFonts w:ascii="Times New Roman" w:eastAsia="Times New Roman" w:hAnsi="Times New Roman" w:cs="Times New Roman"/>
                <w:color w:val="FFFFFF"/>
                <w:lang w:val="sq-AL"/>
              </w:rPr>
              <w:t>Lushnje</w:t>
            </w:r>
          </w:p>
        </w:tc>
        <w:tc>
          <w:tcPr>
            <w:tcW w:w="256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57.09</w:t>
            </w:r>
          </w:p>
        </w:tc>
        <w:tc>
          <w:tcPr>
            <w:tcW w:w="370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46.23</w:t>
            </w:r>
          </w:p>
        </w:tc>
      </w:tr>
    </w:tbl>
    <w:p w:rsidR="00DD3BBF" w:rsidRPr="00DD3BBF" w:rsidRDefault="00DD3BBF" w:rsidP="00DD3BBF">
      <w:pPr>
        <w:spacing w:after="200" w:line="276" w:lineRule="auto"/>
        <w:jc w:val="both"/>
        <w:rPr>
          <w:rFonts w:ascii="Times New Roman" w:eastAsia="Calibri" w:hAnsi="Times New Roman" w:cs="Times New Roman"/>
          <w:sz w:val="24"/>
          <w:szCs w:val="24"/>
          <w:lang w:val="sq-AL"/>
        </w:rPr>
      </w:pPr>
    </w:p>
    <w:p w:rsidR="00DD3BBF" w:rsidRPr="00DD3BBF" w:rsidRDefault="00DD3BBF" w:rsidP="00DD3BBF">
      <w:pPr>
        <w:spacing w:after="200" w:line="276" w:lineRule="auto"/>
        <w:jc w:val="center"/>
        <w:rPr>
          <w:rFonts w:ascii="Times New Roman" w:eastAsia="Calibri" w:hAnsi="Times New Roman" w:cs="Times New Roman"/>
          <w:sz w:val="24"/>
          <w:szCs w:val="24"/>
          <w:lang w:val="sq-AL"/>
        </w:rPr>
      </w:pPr>
      <w:r w:rsidRPr="00DD3BBF">
        <w:rPr>
          <w:rFonts w:ascii="Calibri" w:eastAsia="Calibri" w:hAnsi="Calibri" w:cs="Times New Roman"/>
          <w:noProof/>
        </w:rPr>
        <w:drawing>
          <wp:inline distT="0" distB="0" distL="0" distR="0" wp14:anchorId="157422C0" wp14:editId="2365CD3C">
            <wp:extent cx="5391150" cy="2381250"/>
            <wp:effectExtent l="0" t="0" r="0" b="0"/>
            <wp:docPr id="68" name="Chart 68">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D3BBF" w:rsidRPr="00DD3BBF" w:rsidRDefault="00DD3BBF" w:rsidP="00F03DAE">
      <w:pPr>
        <w:spacing w:after="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Monitorimi i zhurmave ditën kryhet nga ora 06:00 deri në orën 23:00 ku me të dhënat e monitoruara në këtë periudhë llogariten LAeq ditën për çdo stacion dhe LAeq ditën për  qytetet e monitoruara. </w:t>
      </w:r>
    </w:p>
    <w:p w:rsidR="00DD3BBF" w:rsidRPr="00DD3BBF" w:rsidRDefault="00DD3BBF" w:rsidP="00F03DAE">
      <w:pPr>
        <w:spacing w:after="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Bazuar në të dhënat e monitorimit të zhurmave ditën, siç duket dhe nga grafiku i mësipërm vërejmë se kemi tejkalimin të normës ditën (që ësh</w:t>
      </w:r>
      <w:r w:rsidR="00A26227">
        <w:rPr>
          <w:rFonts w:ascii="Times New Roman" w:eastAsia="Calibri" w:hAnsi="Times New Roman" w:cs="Times New Roman"/>
          <w:sz w:val="24"/>
          <w:szCs w:val="24"/>
          <w:lang w:val="sq-AL"/>
        </w:rPr>
        <w:t>të 55dB) në të gjitha qytetet.</w:t>
      </w:r>
      <w:r w:rsidR="005D577C">
        <w:rPr>
          <w:rFonts w:ascii="Times New Roman" w:eastAsia="Calibri" w:hAnsi="Times New Roman" w:cs="Times New Roman"/>
          <w:sz w:val="24"/>
          <w:szCs w:val="24"/>
          <w:lang w:val="sq-AL"/>
        </w:rPr>
        <w:t xml:space="preserve"> </w:t>
      </w:r>
      <w:r w:rsidRPr="00DD3BBF">
        <w:rPr>
          <w:rFonts w:ascii="Times New Roman" w:eastAsia="Calibri" w:hAnsi="Times New Roman" w:cs="Times New Roman"/>
          <w:sz w:val="24"/>
          <w:szCs w:val="24"/>
          <w:lang w:val="sq-AL"/>
        </w:rPr>
        <w:t xml:space="preserve">Niveli më  i lartë i zhurmave të realizuar në vitin 2025 është vlerësuar në stacionet e Tiranës.  </w:t>
      </w:r>
    </w:p>
    <w:p w:rsidR="00DD3BBF" w:rsidRPr="00DD3BBF" w:rsidRDefault="00DD3BBF" w:rsidP="00F03DAE">
      <w:pPr>
        <w:spacing w:after="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bCs/>
          <w:sz w:val="24"/>
          <w:szCs w:val="24"/>
          <w:lang w:val="sq-AL"/>
        </w:rPr>
        <w:t xml:space="preserve">Trafiku rrugor është një fenomen i karakterit të rastësishëm, </w:t>
      </w:r>
      <w:r w:rsidRPr="00DD3BBF">
        <w:rPr>
          <w:rFonts w:ascii="Times New Roman" w:eastAsia="Calibri" w:hAnsi="Times New Roman" w:cs="Times New Roman"/>
          <w:sz w:val="24"/>
          <w:szCs w:val="24"/>
          <w:lang w:val="sq-AL"/>
        </w:rPr>
        <w:t xml:space="preserve">për këtë arsye themi që ndikimi i trafikut ose i çdo faktori tjetër të jashtëm që shkakton zhurmë në momentin e monitorimit mund të jetë shkaktari uljes apo rritjes së nivelit të </w:t>
      </w:r>
      <w:r w:rsidR="00024039">
        <w:rPr>
          <w:rFonts w:ascii="Times New Roman" w:eastAsia="Calibri" w:hAnsi="Times New Roman" w:cs="Times New Roman"/>
          <w:sz w:val="24"/>
          <w:szCs w:val="24"/>
          <w:lang w:val="sq-AL"/>
        </w:rPr>
        <w:t xml:space="preserve">zhurmave urbane në qytetet që </w:t>
      </w:r>
      <w:r w:rsidRPr="00DD3BBF">
        <w:rPr>
          <w:rFonts w:ascii="Times New Roman" w:eastAsia="Calibri" w:hAnsi="Times New Roman" w:cs="Times New Roman"/>
          <w:sz w:val="24"/>
          <w:szCs w:val="24"/>
          <w:lang w:val="sq-AL"/>
        </w:rPr>
        <w:t xml:space="preserve"> monitorojmë. </w:t>
      </w:r>
    </w:p>
    <w:p w:rsidR="00DD3BBF" w:rsidRPr="00DD3BBF" w:rsidRDefault="00DD3BBF" w:rsidP="00F03DAE">
      <w:pPr>
        <w:spacing w:after="200" w:line="276" w:lineRule="auto"/>
        <w:rPr>
          <w:rFonts w:ascii="Times New Roman" w:eastAsia="Calibri" w:hAnsi="Times New Roman" w:cs="Times New Roman"/>
          <w:bCs/>
          <w:sz w:val="24"/>
          <w:szCs w:val="24"/>
          <w:lang w:val="sq-AL"/>
        </w:rPr>
      </w:pPr>
    </w:p>
    <w:p w:rsidR="00DD3BBF" w:rsidRPr="00DD3BBF" w:rsidRDefault="00AB1BDD" w:rsidP="00F03DAE">
      <w:pPr>
        <w:spacing w:after="200" w:line="276"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lastRenderedPageBreak/>
        <w:t xml:space="preserve">         </w:t>
      </w:r>
      <w:r w:rsidR="00DD3BBF" w:rsidRPr="00DD3BBF">
        <w:rPr>
          <w:rFonts w:ascii="Calibri" w:eastAsia="Calibri" w:hAnsi="Calibri" w:cs="Times New Roman"/>
          <w:noProof/>
        </w:rPr>
        <w:drawing>
          <wp:inline distT="0" distB="0" distL="0" distR="0" wp14:anchorId="137F3417" wp14:editId="11FE202A">
            <wp:extent cx="5314950" cy="2524125"/>
            <wp:effectExtent l="0" t="0" r="19050" b="9525"/>
            <wp:docPr id="69" name="Chart 69">
              <a:extLst xmlns:a="http://schemas.openxmlformats.org/drawingml/2006/main">
                <a:ext uri="{FF2B5EF4-FFF2-40B4-BE49-F238E27FC236}">
                  <a16:creationId xmlns:a16="http://schemas.microsoft.com/office/drawing/2014/main" id="{00000000-0008-0000-0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D3BBF" w:rsidRPr="00DD3BBF" w:rsidRDefault="00DD3BBF" w:rsidP="00F03DAE">
      <w:pPr>
        <w:spacing w:after="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Monitorimi i zhurmave natën kryhet nga ora 23:00 deri në orën 06:00 ku me të dhënat e monitoruara për vitin 2025 llogariten LAeq ditën dhe LAeq natën për qytetet e monitoruara.  </w:t>
      </w:r>
    </w:p>
    <w:p w:rsidR="00DD3BBF" w:rsidRDefault="00DD3BBF" w:rsidP="00F03DAE">
      <w:pPr>
        <w:spacing w:after="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Bazuar në të dhënat e monitoruara natën siç duket dhe nga grafiku i mësipërm vërejmë se tejkalimin më të lartë të normës natën (që është 45 dB) e kemi pothuajse në të gjitha qytetet përveç Lezhës dhe Përmetit.</w:t>
      </w:r>
      <w:r w:rsidR="005D577C">
        <w:rPr>
          <w:rFonts w:ascii="Times New Roman" w:eastAsia="Calibri" w:hAnsi="Times New Roman" w:cs="Times New Roman"/>
          <w:sz w:val="24"/>
          <w:szCs w:val="24"/>
          <w:lang w:val="sq-AL"/>
        </w:rPr>
        <w:t xml:space="preserve"> </w:t>
      </w:r>
      <w:r w:rsidRPr="00DD3BBF">
        <w:rPr>
          <w:rFonts w:ascii="Times New Roman" w:eastAsia="Calibri" w:hAnsi="Times New Roman" w:cs="Times New Roman"/>
          <w:sz w:val="24"/>
          <w:szCs w:val="24"/>
          <w:lang w:val="sq-AL"/>
        </w:rPr>
        <w:t>Niveli më i lartë është monitoruar në stacionet e Tiranës dhe Vlorës.</w:t>
      </w:r>
    </w:p>
    <w:p w:rsidR="00DA3FBA" w:rsidRDefault="00DA3FBA" w:rsidP="00F03DAE">
      <w:pPr>
        <w:spacing w:after="0" w:line="240" w:lineRule="auto"/>
        <w:jc w:val="both"/>
        <w:rPr>
          <w:rFonts w:ascii="Times New Roman" w:eastAsia="Calibri" w:hAnsi="Times New Roman" w:cs="Times New Roman"/>
          <w:sz w:val="24"/>
          <w:szCs w:val="24"/>
          <w:lang w:val="sq-AL"/>
        </w:rPr>
      </w:pPr>
    </w:p>
    <w:p w:rsidR="00AB1BDD" w:rsidRPr="00DD3BBF" w:rsidRDefault="00AB1BDD" w:rsidP="00F03DAE">
      <w:pPr>
        <w:spacing w:after="0" w:line="240" w:lineRule="auto"/>
        <w:jc w:val="both"/>
        <w:rPr>
          <w:rFonts w:ascii="Times New Roman" w:eastAsia="Calibri" w:hAnsi="Times New Roman" w:cs="Times New Roman"/>
          <w:sz w:val="24"/>
          <w:szCs w:val="24"/>
          <w:lang w:val="sq-AL"/>
        </w:rPr>
      </w:pPr>
    </w:p>
    <w:p w:rsidR="00DD3BBF" w:rsidRDefault="00DD3BBF" w:rsidP="0033538C">
      <w:pPr>
        <w:numPr>
          <w:ilvl w:val="0"/>
          <w:numId w:val="9"/>
        </w:numPr>
        <w:spacing w:after="200" w:line="240" w:lineRule="auto"/>
        <w:contextualSpacing/>
        <w:jc w:val="both"/>
        <w:rPr>
          <w:rFonts w:ascii="Times New Roman" w:eastAsia="Calibri" w:hAnsi="Times New Roman" w:cs="Times New Roman"/>
          <w:b/>
          <w:sz w:val="24"/>
          <w:szCs w:val="24"/>
          <w:lang w:val="sq-AL"/>
        </w:rPr>
      </w:pPr>
      <w:r w:rsidRPr="00DD3BBF">
        <w:rPr>
          <w:rFonts w:ascii="Times New Roman" w:eastAsia="Calibri" w:hAnsi="Times New Roman" w:cs="Times New Roman"/>
          <w:b/>
          <w:sz w:val="24"/>
          <w:szCs w:val="24"/>
          <w:lang w:val="sq-AL"/>
        </w:rPr>
        <w:t xml:space="preserve">Monitorimi i zhurmave në qytetin e Vlorës </w:t>
      </w:r>
    </w:p>
    <w:p w:rsidR="00DA3FBA" w:rsidRPr="00DD3BBF" w:rsidRDefault="00DA3FBA" w:rsidP="00DA3FBA">
      <w:pPr>
        <w:spacing w:after="200" w:line="240" w:lineRule="auto"/>
        <w:ind w:left="1440"/>
        <w:contextualSpacing/>
        <w:jc w:val="both"/>
        <w:rPr>
          <w:rFonts w:ascii="Times New Roman" w:eastAsia="Calibri" w:hAnsi="Times New Roman" w:cs="Times New Roman"/>
          <w:b/>
          <w:sz w:val="24"/>
          <w:szCs w:val="24"/>
          <w:lang w:val="sq-AL"/>
        </w:rPr>
      </w:pP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Monitorimi i zhurmave në qytetin e Vlorë për vitin 2025 është realizuar në 4 stacione si më poshtë</w:t>
      </w:r>
      <w:r w:rsidR="005D577C">
        <w:rPr>
          <w:rFonts w:ascii="Times New Roman" w:eastAsia="Calibri" w:hAnsi="Times New Roman" w:cs="Times New Roman"/>
          <w:sz w:val="24"/>
          <w:szCs w:val="24"/>
          <w:lang w:val="sq-AL"/>
        </w:rPr>
        <w:t>:</w:t>
      </w:r>
      <w:r w:rsidRPr="00DD3BBF">
        <w:rPr>
          <w:rFonts w:ascii="Times New Roman" w:eastAsia="Calibri" w:hAnsi="Times New Roman" w:cs="Times New Roman"/>
          <w:sz w:val="24"/>
          <w:szCs w:val="24"/>
          <w:lang w:val="sq-AL"/>
        </w:rPr>
        <w:t xml:space="preserve"> </w:t>
      </w:r>
    </w:p>
    <w:p w:rsidR="00DD3BBF" w:rsidRPr="00DD3BBF" w:rsidRDefault="00DD3BBF" w:rsidP="00DD3BBF">
      <w:pPr>
        <w:spacing w:after="200" w:line="240" w:lineRule="auto"/>
        <w:jc w:val="center"/>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Tabela </w:t>
      </w:r>
      <w:r w:rsidR="00F03DAE">
        <w:rPr>
          <w:rFonts w:ascii="Times New Roman" w:eastAsia="Calibri" w:hAnsi="Times New Roman" w:cs="Times New Roman"/>
          <w:sz w:val="24"/>
          <w:szCs w:val="24"/>
          <w:lang w:val="sq-AL"/>
        </w:rPr>
        <w:t>3</w:t>
      </w:r>
      <w:r w:rsidRPr="00DD3BBF">
        <w:rPr>
          <w:rFonts w:ascii="Times New Roman" w:eastAsia="Calibri" w:hAnsi="Times New Roman" w:cs="Times New Roman"/>
          <w:sz w:val="24"/>
          <w:szCs w:val="24"/>
          <w:lang w:val="sq-AL"/>
        </w:rPr>
        <w:t xml:space="preserve"> -  Stacionet e monitoruara në qytetin e Vlorës</w:t>
      </w:r>
    </w:p>
    <w:tbl>
      <w:tblPr>
        <w:tblW w:w="10075" w:type="dxa"/>
        <w:tblLook w:val="04A0" w:firstRow="1" w:lastRow="0" w:firstColumn="1" w:lastColumn="0" w:noHBand="0" w:noVBand="1"/>
      </w:tblPr>
      <w:tblGrid>
        <w:gridCol w:w="535"/>
        <w:gridCol w:w="1980"/>
        <w:gridCol w:w="2174"/>
        <w:gridCol w:w="2236"/>
        <w:gridCol w:w="1440"/>
        <w:gridCol w:w="1710"/>
      </w:tblGrid>
      <w:tr w:rsidR="00DD3BBF" w:rsidRPr="00DD3BBF" w:rsidTr="00DD3BBF">
        <w:trPr>
          <w:trHeight w:val="261"/>
        </w:trPr>
        <w:tc>
          <w:tcPr>
            <w:tcW w:w="535"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Nr.</w:t>
            </w:r>
          </w:p>
        </w:tc>
        <w:tc>
          <w:tcPr>
            <w:tcW w:w="198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Pika e monitorimit</w:t>
            </w:r>
          </w:p>
        </w:tc>
        <w:tc>
          <w:tcPr>
            <w:tcW w:w="2174"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Gjatësia gjeografike</w:t>
            </w:r>
          </w:p>
        </w:tc>
        <w:tc>
          <w:tcPr>
            <w:tcW w:w="2236"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Gjërësia gjeografike</w:t>
            </w:r>
          </w:p>
        </w:tc>
        <w:tc>
          <w:tcPr>
            <w:tcW w:w="144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LAeq/Ditën </w:t>
            </w:r>
          </w:p>
        </w:tc>
        <w:tc>
          <w:tcPr>
            <w:tcW w:w="171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LAeq/Natën </w:t>
            </w:r>
          </w:p>
        </w:tc>
      </w:tr>
      <w:tr w:rsidR="00DD3BBF" w:rsidRPr="00DD3BBF" w:rsidTr="00DD3BBF">
        <w:trPr>
          <w:trHeight w:val="261"/>
        </w:trPr>
        <w:tc>
          <w:tcPr>
            <w:tcW w:w="53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98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2174"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223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44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71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r>
      <w:tr w:rsidR="00DD3BBF" w:rsidRPr="00DD3BBF" w:rsidTr="00DD3BBF">
        <w:trPr>
          <w:trHeight w:val="261"/>
        </w:trPr>
        <w:tc>
          <w:tcPr>
            <w:tcW w:w="53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1</w:t>
            </w:r>
          </w:p>
        </w:tc>
        <w:tc>
          <w:tcPr>
            <w:tcW w:w="198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Hotel Bolonja</w:t>
            </w:r>
          </w:p>
        </w:tc>
        <w:tc>
          <w:tcPr>
            <w:tcW w:w="2174"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40°27'12.71"N</w:t>
            </w:r>
          </w:p>
        </w:tc>
        <w:tc>
          <w:tcPr>
            <w:tcW w:w="223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19°29'12.90"E</w:t>
            </w:r>
          </w:p>
        </w:tc>
        <w:tc>
          <w:tcPr>
            <w:tcW w:w="144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62.84</w:t>
            </w:r>
          </w:p>
        </w:tc>
        <w:tc>
          <w:tcPr>
            <w:tcW w:w="171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53.85</w:t>
            </w:r>
          </w:p>
        </w:tc>
      </w:tr>
      <w:tr w:rsidR="00DD3BBF" w:rsidRPr="00DD3BBF" w:rsidTr="00DD3BBF">
        <w:trPr>
          <w:trHeight w:val="261"/>
        </w:trPr>
        <w:tc>
          <w:tcPr>
            <w:tcW w:w="53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98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2174"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223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44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71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r>
      <w:tr w:rsidR="00DD3BBF" w:rsidRPr="00DD3BBF" w:rsidTr="00DD3BBF">
        <w:trPr>
          <w:trHeight w:val="261"/>
        </w:trPr>
        <w:tc>
          <w:tcPr>
            <w:tcW w:w="53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2</w:t>
            </w:r>
          </w:p>
        </w:tc>
        <w:tc>
          <w:tcPr>
            <w:tcW w:w="198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Hyrja e Qytetit</w:t>
            </w:r>
          </w:p>
        </w:tc>
        <w:tc>
          <w:tcPr>
            <w:tcW w:w="2174"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40°28'41.35"N</w:t>
            </w:r>
          </w:p>
        </w:tc>
        <w:tc>
          <w:tcPr>
            <w:tcW w:w="223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19°29'18.99"E</w:t>
            </w:r>
          </w:p>
        </w:tc>
        <w:tc>
          <w:tcPr>
            <w:tcW w:w="144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63.38</w:t>
            </w:r>
          </w:p>
        </w:tc>
        <w:tc>
          <w:tcPr>
            <w:tcW w:w="171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53.61</w:t>
            </w:r>
          </w:p>
        </w:tc>
      </w:tr>
      <w:tr w:rsidR="00DD3BBF" w:rsidRPr="00DD3BBF" w:rsidTr="00DD3BBF">
        <w:trPr>
          <w:trHeight w:val="261"/>
        </w:trPr>
        <w:tc>
          <w:tcPr>
            <w:tcW w:w="53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98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2174"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223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44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71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r>
      <w:tr w:rsidR="00DD3BBF" w:rsidRPr="00DD3BBF" w:rsidTr="00DD3BBF">
        <w:trPr>
          <w:trHeight w:val="261"/>
        </w:trPr>
        <w:tc>
          <w:tcPr>
            <w:tcW w:w="53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3</w:t>
            </w:r>
          </w:p>
        </w:tc>
        <w:tc>
          <w:tcPr>
            <w:tcW w:w="198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Xhamia</w:t>
            </w:r>
          </w:p>
        </w:tc>
        <w:tc>
          <w:tcPr>
            <w:tcW w:w="2174"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40°28'5.03"N</w:t>
            </w:r>
          </w:p>
        </w:tc>
        <w:tc>
          <w:tcPr>
            <w:tcW w:w="223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xml:space="preserve">19°29'29.70"E </w:t>
            </w:r>
          </w:p>
        </w:tc>
        <w:tc>
          <w:tcPr>
            <w:tcW w:w="144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61.83</w:t>
            </w:r>
          </w:p>
        </w:tc>
        <w:tc>
          <w:tcPr>
            <w:tcW w:w="171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55.37</w:t>
            </w:r>
          </w:p>
        </w:tc>
      </w:tr>
      <w:tr w:rsidR="00DD3BBF" w:rsidRPr="00DD3BBF" w:rsidTr="00DD3BBF">
        <w:trPr>
          <w:trHeight w:val="261"/>
        </w:trPr>
        <w:tc>
          <w:tcPr>
            <w:tcW w:w="53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98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2174"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223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44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71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r>
      <w:tr w:rsidR="00DD3BBF" w:rsidRPr="00DD3BBF" w:rsidTr="00DD3BBF">
        <w:trPr>
          <w:trHeight w:val="261"/>
        </w:trPr>
        <w:tc>
          <w:tcPr>
            <w:tcW w:w="53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4</w:t>
            </w:r>
          </w:p>
        </w:tc>
        <w:tc>
          <w:tcPr>
            <w:tcW w:w="198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Uji i Ftohtë</w:t>
            </w:r>
          </w:p>
        </w:tc>
        <w:tc>
          <w:tcPr>
            <w:tcW w:w="2174"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40°25'42.12"N</w:t>
            </w:r>
          </w:p>
        </w:tc>
        <w:tc>
          <w:tcPr>
            <w:tcW w:w="223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19°29'33.04"E</w:t>
            </w:r>
          </w:p>
        </w:tc>
        <w:tc>
          <w:tcPr>
            <w:tcW w:w="144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64.51</w:t>
            </w:r>
          </w:p>
        </w:tc>
        <w:tc>
          <w:tcPr>
            <w:tcW w:w="171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53.43</w:t>
            </w:r>
          </w:p>
        </w:tc>
      </w:tr>
    </w:tbl>
    <w:p w:rsidR="00DD3BBF" w:rsidRPr="00DD3BBF" w:rsidRDefault="00DD3BBF" w:rsidP="00AB1BDD">
      <w:pPr>
        <w:spacing w:after="0" w:line="276" w:lineRule="auto"/>
        <w:rPr>
          <w:rFonts w:ascii="Times New Roman" w:eastAsia="Calibri" w:hAnsi="Times New Roman" w:cs="Times New Roman"/>
          <w:bCs/>
          <w:sz w:val="24"/>
          <w:szCs w:val="24"/>
          <w:lang w:val="sq-AL"/>
        </w:rPr>
      </w:pPr>
    </w:p>
    <w:p w:rsidR="00053914" w:rsidRDefault="00DD3BBF" w:rsidP="00053914">
      <w:pPr>
        <w:spacing w:after="200" w:line="276" w:lineRule="auto"/>
        <w:rPr>
          <w:rFonts w:ascii="Times New Roman" w:eastAsia="Calibri" w:hAnsi="Times New Roman" w:cs="Times New Roman"/>
          <w:sz w:val="24"/>
          <w:szCs w:val="24"/>
          <w:lang w:val="sq-AL"/>
        </w:rPr>
      </w:pPr>
      <w:r w:rsidRPr="00DD3BBF">
        <w:rPr>
          <w:rFonts w:ascii="Calibri" w:eastAsia="Calibri" w:hAnsi="Calibri" w:cs="Times New Roman"/>
          <w:noProof/>
        </w:rPr>
        <w:lastRenderedPageBreak/>
        <w:drawing>
          <wp:inline distT="0" distB="0" distL="0" distR="0" wp14:anchorId="5D249B83" wp14:editId="606EC987">
            <wp:extent cx="2924175" cy="2114550"/>
            <wp:effectExtent l="0" t="0" r="9525" b="0"/>
            <wp:docPr id="77" name="Chart 7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053914">
        <w:rPr>
          <w:rFonts w:ascii="Times New Roman" w:eastAsia="Calibri" w:hAnsi="Times New Roman" w:cs="Times New Roman"/>
          <w:sz w:val="24"/>
          <w:szCs w:val="24"/>
          <w:lang w:val="sq-AL"/>
        </w:rPr>
        <w:t xml:space="preserve">  </w:t>
      </w:r>
      <w:r w:rsidR="00053914" w:rsidRPr="00DD3BBF">
        <w:rPr>
          <w:rFonts w:ascii="Calibri" w:eastAsia="Calibri" w:hAnsi="Calibri" w:cs="Times New Roman"/>
          <w:noProof/>
        </w:rPr>
        <w:drawing>
          <wp:inline distT="0" distB="0" distL="0" distR="0" wp14:anchorId="15363130" wp14:editId="5B09BC8D">
            <wp:extent cx="2857500" cy="2114550"/>
            <wp:effectExtent l="0" t="0" r="0" b="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Referuar të dhënave të monitoruara në stacionet e Vlorës vërejmë s</w:t>
      </w:r>
      <w:r w:rsidR="005D577C">
        <w:rPr>
          <w:rFonts w:ascii="Times New Roman" w:eastAsia="Calibri" w:hAnsi="Times New Roman" w:cs="Times New Roman"/>
          <w:sz w:val="24"/>
          <w:szCs w:val="24"/>
          <w:lang w:val="sq-AL"/>
        </w:rPr>
        <w:t>e kemi tejkalim të normës ditën</w:t>
      </w:r>
      <w:r w:rsidRPr="00DD3BBF">
        <w:rPr>
          <w:rFonts w:ascii="Times New Roman" w:eastAsia="Calibri" w:hAnsi="Times New Roman" w:cs="Times New Roman"/>
          <w:sz w:val="24"/>
          <w:szCs w:val="24"/>
          <w:lang w:val="sq-AL"/>
        </w:rPr>
        <w:t xml:space="preserve"> dhe të normës natën. </w:t>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Nivelet më të larta ditën janë monitoruar në stacionin Uji i Ftohtë në vlerën 64.51 dB(A)  dhe më e ulëta në stacionin  Xhamia 61.83 dB(A). E shprehur në përqindje kemi tejkalim të normës me 17.29%  tek  stacioni Uji i Ftohtë dhe  në masën 12.41% tek stacioni Xhamia me nivelin më të ulët të monitoruar.</w:t>
      </w:r>
    </w:p>
    <w:p w:rsid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Nivelet më të larta natën janë monitoruar në stacion</w:t>
      </w:r>
      <w:r w:rsidR="005D577C">
        <w:rPr>
          <w:rFonts w:ascii="Times New Roman" w:eastAsia="Calibri" w:hAnsi="Times New Roman" w:cs="Times New Roman"/>
          <w:sz w:val="24"/>
          <w:szCs w:val="24"/>
          <w:lang w:val="sq-AL"/>
        </w:rPr>
        <w:t>in Xhamia në vlerën 55.37 dB(A)</w:t>
      </w:r>
      <w:r w:rsidRPr="00DD3BBF">
        <w:rPr>
          <w:rFonts w:ascii="Times New Roman" w:eastAsia="Calibri" w:hAnsi="Times New Roman" w:cs="Times New Roman"/>
          <w:sz w:val="24"/>
          <w:szCs w:val="24"/>
          <w:lang w:val="sq-AL"/>
        </w:rPr>
        <w:t xml:space="preserve"> dhe më e ulëta në stacionin Uji i Ftohtë 53.43 dB(A). E shprehur në përqindje kemi tejkalim të normës me 23.04 %  tek  stacioni Xhamia dhe në masën 18.73% tek stacioni Uji i Ftohtë me nivelin më të ulët të monitoruar</w:t>
      </w:r>
      <w:r w:rsidR="00AB1BDD">
        <w:rPr>
          <w:rFonts w:ascii="Times New Roman" w:eastAsia="Calibri" w:hAnsi="Times New Roman" w:cs="Times New Roman"/>
          <w:sz w:val="24"/>
          <w:szCs w:val="24"/>
          <w:lang w:val="sq-AL"/>
        </w:rPr>
        <w:t>.</w:t>
      </w:r>
    </w:p>
    <w:p w:rsidR="00AB1BDD" w:rsidRPr="00DD3BBF" w:rsidRDefault="00AB1BDD" w:rsidP="00DD3BBF">
      <w:pPr>
        <w:spacing w:after="200" w:line="240" w:lineRule="auto"/>
        <w:jc w:val="both"/>
        <w:rPr>
          <w:rFonts w:ascii="Times New Roman" w:eastAsia="Calibri" w:hAnsi="Times New Roman" w:cs="Times New Roman"/>
          <w:sz w:val="24"/>
          <w:szCs w:val="24"/>
          <w:lang w:val="sq-AL"/>
        </w:rPr>
      </w:pPr>
    </w:p>
    <w:p w:rsidR="00DD3BBF" w:rsidRDefault="00DD3BBF" w:rsidP="0033538C">
      <w:pPr>
        <w:numPr>
          <w:ilvl w:val="0"/>
          <w:numId w:val="9"/>
        </w:numPr>
        <w:spacing w:after="200" w:line="240" w:lineRule="auto"/>
        <w:contextualSpacing/>
        <w:jc w:val="both"/>
        <w:rPr>
          <w:rFonts w:ascii="Times New Roman" w:eastAsia="Calibri" w:hAnsi="Times New Roman" w:cs="Times New Roman"/>
          <w:b/>
          <w:sz w:val="24"/>
          <w:szCs w:val="24"/>
          <w:lang w:val="sq-AL"/>
        </w:rPr>
      </w:pPr>
      <w:r w:rsidRPr="00DD3BBF">
        <w:rPr>
          <w:rFonts w:ascii="Times New Roman" w:eastAsia="Calibri" w:hAnsi="Times New Roman" w:cs="Times New Roman"/>
          <w:b/>
          <w:sz w:val="24"/>
          <w:szCs w:val="24"/>
          <w:lang w:val="sq-AL"/>
        </w:rPr>
        <w:t xml:space="preserve">Monitorimi i zhurmave në qytetin e Beratit  </w:t>
      </w:r>
    </w:p>
    <w:p w:rsidR="00AB1BDD" w:rsidRPr="00DD3BBF" w:rsidRDefault="00AB1BDD" w:rsidP="00AB1BDD">
      <w:pPr>
        <w:spacing w:after="200" w:line="240" w:lineRule="auto"/>
        <w:ind w:left="1440"/>
        <w:contextualSpacing/>
        <w:jc w:val="both"/>
        <w:rPr>
          <w:rFonts w:ascii="Times New Roman" w:eastAsia="Calibri" w:hAnsi="Times New Roman" w:cs="Times New Roman"/>
          <w:b/>
          <w:sz w:val="24"/>
          <w:szCs w:val="24"/>
          <w:lang w:val="sq-AL"/>
        </w:rPr>
      </w:pP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Monitorimi i zhurmave në qytetin e Beratit është realizuar në katër stacione, Bashkia, Kryqëzimi i Spitalit, Terminali i Autobuzave dhe Kryqëzimi “Shëtitorja Osumi” për të dy treguesit LAeq ditën dhe LAeq natën, ku rezultatet e monitoruara janë krahasuar me  normën ditën dhe natën. </w:t>
      </w:r>
    </w:p>
    <w:p w:rsidR="00DD3BBF" w:rsidRPr="00DD3BBF" w:rsidRDefault="00DD3BBF" w:rsidP="00DD3BBF">
      <w:pPr>
        <w:spacing w:after="200" w:line="240" w:lineRule="auto"/>
        <w:jc w:val="center"/>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Tabela </w:t>
      </w:r>
      <w:r w:rsidR="00F03DAE">
        <w:rPr>
          <w:rFonts w:ascii="Times New Roman" w:eastAsia="Calibri" w:hAnsi="Times New Roman" w:cs="Times New Roman"/>
          <w:sz w:val="24"/>
          <w:szCs w:val="24"/>
          <w:lang w:val="sq-AL"/>
        </w:rPr>
        <w:t>4</w:t>
      </w:r>
      <w:r w:rsidR="005D577C">
        <w:rPr>
          <w:rFonts w:ascii="Times New Roman" w:eastAsia="Calibri" w:hAnsi="Times New Roman" w:cs="Times New Roman"/>
          <w:sz w:val="24"/>
          <w:szCs w:val="24"/>
          <w:lang w:val="sq-AL"/>
        </w:rPr>
        <w:t xml:space="preserve">- </w:t>
      </w:r>
      <w:r w:rsidRPr="00DD3BBF">
        <w:rPr>
          <w:rFonts w:ascii="Times New Roman" w:eastAsia="Calibri" w:hAnsi="Times New Roman" w:cs="Times New Roman"/>
          <w:sz w:val="24"/>
          <w:szCs w:val="24"/>
          <w:lang w:val="sq-AL"/>
        </w:rPr>
        <w:t>Stacionet e monitoruara në qytetin e Beratit</w:t>
      </w:r>
    </w:p>
    <w:tbl>
      <w:tblPr>
        <w:tblW w:w="10075" w:type="dxa"/>
        <w:tblInd w:w="-365" w:type="dxa"/>
        <w:tblLook w:val="04A0" w:firstRow="1" w:lastRow="0" w:firstColumn="1" w:lastColumn="0" w:noHBand="0" w:noVBand="1"/>
      </w:tblPr>
      <w:tblGrid>
        <w:gridCol w:w="653"/>
        <w:gridCol w:w="2947"/>
        <w:gridCol w:w="1795"/>
        <w:gridCol w:w="1710"/>
        <w:gridCol w:w="360"/>
        <w:gridCol w:w="1061"/>
        <w:gridCol w:w="1549"/>
      </w:tblGrid>
      <w:tr w:rsidR="00DD3BBF" w:rsidRPr="00DD3BBF" w:rsidTr="00DD3BBF">
        <w:trPr>
          <w:trHeight w:val="232"/>
        </w:trPr>
        <w:tc>
          <w:tcPr>
            <w:tcW w:w="653"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Nr </w:t>
            </w:r>
          </w:p>
        </w:tc>
        <w:tc>
          <w:tcPr>
            <w:tcW w:w="2947"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bookmarkStart w:id="1" w:name="RANGE!B35"/>
            <w:r w:rsidRPr="00DD3BBF">
              <w:rPr>
                <w:rFonts w:ascii="Calibri" w:eastAsia="Times New Roman" w:hAnsi="Calibri" w:cs="Calibri"/>
                <w:b/>
                <w:bCs/>
                <w:color w:val="FFFFFF"/>
                <w:lang w:val="sq-AL"/>
              </w:rPr>
              <w:t xml:space="preserve">Stacionet monitorimit </w:t>
            </w:r>
            <w:bookmarkEnd w:id="1"/>
          </w:p>
        </w:tc>
        <w:tc>
          <w:tcPr>
            <w:tcW w:w="1795"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Gjatësi gjeografike </w:t>
            </w:r>
          </w:p>
        </w:tc>
        <w:tc>
          <w:tcPr>
            <w:tcW w:w="2070" w:type="dxa"/>
            <w:gridSpan w:val="2"/>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Gjërësi gjeografike</w:t>
            </w:r>
          </w:p>
        </w:tc>
        <w:tc>
          <w:tcPr>
            <w:tcW w:w="1061"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LAeq </w:t>
            </w:r>
          </w:p>
        </w:tc>
        <w:tc>
          <w:tcPr>
            <w:tcW w:w="1549"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LAeq 2</w:t>
            </w:r>
          </w:p>
        </w:tc>
      </w:tr>
      <w:tr w:rsidR="00DD3BBF" w:rsidRPr="00DD3BBF" w:rsidTr="00DD3BBF">
        <w:trPr>
          <w:trHeight w:val="232"/>
        </w:trPr>
        <w:tc>
          <w:tcPr>
            <w:tcW w:w="653"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2947"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79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71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421" w:type="dxa"/>
            <w:gridSpan w:val="2"/>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xml:space="preserve">/Ditën </w:t>
            </w:r>
          </w:p>
        </w:tc>
        <w:tc>
          <w:tcPr>
            <w:tcW w:w="1549"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/Natën</w:t>
            </w:r>
          </w:p>
        </w:tc>
      </w:tr>
      <w:tr w:rsidR="00DD3BBF" w:rsidRPr="00DD3BBF" w:rsidTr="00DD3BBF">
        <w:trPr>
          <w:trHeight w:val="232"/>
        </w:trPr>
        <w:tc>
          <w:tcPr>
            <w:tcW w:w="653"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1</w:t>
            </w:r>
          </w:p>
        </w:tc>
        <w:tc>
          <w:tcPr>
            <w:tcW w:w="2947"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xml:space="preserve">Bashkia </w:t>
            </w:r>
          </w:p>
        </w:tc>
        <w:tc>
          <w:tcPr>
            <w:tcW w:w="179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xml:space="preserve">40° 42'11.50" N </w:t>
            </w:r>
          </w:p>
        </w:tc>
        <w:tc>
          <w:tcPr>
            <w:tcW w:w="171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19°57'23"E</w:t>
            </w:r>
          </w:p>
        </w:tc>
        <w:tc>
          <w:tcPr>
            <w:tcW w:w="1421" w:type="dxa"/>
            <w:gridSpan w:val="2"/>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59.64</w:t>
            </w:r>
          </w:p>
        </w:tc>
        <w:tc>
          <w:tcPr>
            <w:tcW w:w="1549"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49.9</w:t>
            </w:r>
          </w:p>
        </w:tc>
      </w:tr>
      <w:tr w:rsidR="00DD3BBF" w:rsidRPr="00DD3BBF" w:rsidTr="00DD3BBF">
        <w:trPr>
          <w:trHeight w:val="232"/>
        </w:trPr>
        <w:tc>
          <w:tcPr>
            <w:tcW w:w="653"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2</w:t>
            </w:r>
          </w:p>
        </w:tc>
        <w:tc>
          <w:tcPr>
            <w:tcW w:w="2947"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xml:space="preserve">Kryqëzimi i Spitalit </w:t>
            </w:r>
          </w:p>
        </w:tc>
        <w:tc>
          <w:tcPr>
            <w:tcW w:w="179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40° 42'03.12"N</w:t>
            </w:r>
          </w:p>
        </w:tc>
        <w:tc>
          <w:tcPr>
            <w:tcW w:w="171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19°58'07.64"E</w:t>
            </w:r>
          </w:p>
        </w:tc>
        <w:tc>
          <w:tcPr>
            <w:tcW w:w="1421" w:type="dxa"/>
            <w:gridSpan w:val="2"/>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59.28</w:t>
            </w:r>
          </w:p>
        </w:tc>
        <w:tc>
          <w:tcPr>
            <w:tcW w:w="1549"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49.78</w:t>
            </w:r>
          </w:p>
        </w:tc>
      </w:tr>
      <w:tr w:rsidR="00DD3BBF" w:rsidRPr="00DD3BBF" w:rsidTr="00DD3BBF">
        <w:trPr>
          <w:trHeight w:val="232"/>
        </w:trPr>
        <w:tc>
          <w:tcPr>
            <w:tcW w:w="653"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3</w:t>
            </w:r>
          </w:p>
        </w:tc>
        <w:tc>
          <w:tcPr>
            <w:tcW w:w="2947"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Terminali i autobuzave</w:t>
            </w:r>
          </w:p>
        </w:tc>
        <w:tc>
          <w:tcPr>
            <w:tcW w:w="179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40° 72'23.29"N</w:t>
            </w:r>
          </w:p>
        </w:tc>
        <w:tc>
          <w:tcPr>
            <w:tcW w:w="171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19°94'07.49"E</w:t>
            </w:r>
          </w:p>
        </w:tc>
        <w:tc>
          <w:tcPr>
            <w:tcW w:w="1421" w:type="dxa"/>
            <w:gridSpan w:val="2"/>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59.15</w:t>
            </w:r>
          </w:p>
        </w:tc>
        <w:tc>
          <w:tcPr>
            <w:tcW w:w="1549"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50.49</w:t>
            </w:r>
          </w:p>
        </w:tc>
      </w:tr>
      <w:tr w:rsidR="00DD3BBF" w:rsidRPr="00DD3BBF" w:rsidTr="00DD3BBF">
        <w:trPr>
          <w:trHeight w:val="232"/>
        </w:trPr>
        <w:tc>
          <w:tcPr>
            <w:tcW w:w="653"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4</w:t>
            </w:r>
          </w:p>
        </w:tc>
        <w:tc>
          <w:tcPr>
            <w:tcW w:w="2947"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xml:space="preserve">Kryqëzimi Shëtitorja "Osumi" </w:t>
            </w:r>
          </w:p>
        </w:tc>
        <w:tc>
          <w:tcPr>
            <w:tcW w:w="179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40° 70'37.91"N</w:t>
            </w:r>
          </w:p>
        </w:tc>
        <w:tc>
          <w:tcPr>
            <w:tcW w:w="171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19°94'70.92"E</w:t>
            </w:r>
          </w:p>
        </w:tc>
        <w:tc>
          <w:tcPr>
            <w:tcW w:w="1421" w:type="dxa"/>
            <w:gridSpan w:val="2"/>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57.47</w:t>
            </w:r>
          </w:p>
        </w:tc>
        <w:tc>
          <w:tcPr>
            <w:tcW w:w="1549"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47.85</w:t>
            </w:r>
          </w:p>
        </w:tc>
      </w:tr>
    </w:tbl>
    <w:p w:rsidR="00DD3BBF" w:rsidRPr="00DD3BBF" w:rsidRDefault="00DD3BBF" w:rsidP="00DD3BBF">
      <w:pPr>
        <w:spacing w:after="0" w:line="240" w:lineRule="auto"/>
        <w:jc w:val="both"/>
        <w:rPr>
          <w:rFonts w:ascii="Times New Roman" w:eastAsia="Calibri" w:hAnsi="Times New Roman" w:cs="Times New Roman"/>
          <w:bCs/>
          <w:sz w:val="24"/>
          <w:szCs w:val="24"/>
          <w:lang w:val="sq-AL"/>
        </w:rPr>
      </w:pPr>
    </w:p>
    <w:p w:rsidR="00DD3BBF" w:rsidRPr="00DD3BBF" w:rsidRDefault="00DD3BBF" w:rsidP="00053914">
      <w:pPr>
        <w:spacing w:after="200" w:line="276" w:lineRule="auto"/>
        <w:rPr>
          <w:rFonts w:ascii="Times New Roman" w:eastAsia="Calibri" w:hAnsi="Times New Roman" w:cs="Times New Roman"/>
          <w:sz w:val="24"/>
          <w:szCs w:val="24"/>
          <w:lang w:val="sq-AL"/>
        </w:rPr>
      </w:pPr>
      <w:r w:rsidRPr="00DD3BBF">
        <w:rPr>
          <w:rFonts w:ascii="Calibri" w:eastAsia="Calibri" w:hAnsi="Calibri" w:cs="Times New Roman"/>
          <w:noProof/>
        </w:rPr>
        <w:lastRenderedPageBreak/>
        <w:drawing>
          <wp:inline distT="0" distB="0" distL="0" distR="0" wp14:anchorId="1F935D51" wp14:editId="736FBC12">
            <wp:extent cx="2905125" cy="2447925"/>
            <wp:effectExtent l="0" t="0" r="9525" b="9525"/>
            <wp:docPr id="79" name="Chart 79">
              <a:extLst xmlns:a="http://schemas.openxmlformats.org/drawingml/2006/main">
                <a:ext uri="{FF2B5EF4-FFF2-40B4-BE49-F238E27FC236}">
                  <a16:creationId xmlns:a16="http://schemas.microsoft.com/office/drawing/2014/main" id="{3C950D5F-EF78-672B-A0E0-FBC98DCA71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DD3BBF">
        <w:rPr>
          <w:rFonts w:ascii="Calibri" w:eastAsia="Calibri" w:hAnsi="Calibri" w:cs="Times New Roman"/>
          <w:noProof/>
          <w:lang w:val="sq-AL"/>
        </w:rPr>
        <w:t xml:space="preserve"> </w:t>
      </w:r>
      <w:r w:rsidR="00053914">
        <w:rPr>
          <w:rFonts w:ascii="Calibri" w:eastAsia="Calibri" w:hAnsi="Calibri" w:cs="Times New Roman"/>
          <w:noProof/>
          <w:lang w:val="sq-AL"/>
        </w:rPr>
        <w:t xml:space="preserve"> </w:t>
      </w:r>
      <w:r w:rsidR="00053914" w:rsidRPr="00DD3BBF">
        <w:rPr>
          <w:rFonts w:ascii="Calibri" w:eastAsia="Calibri" w:hAnsi="Calibri" w:cs="Times New Roman"/>
          <w:noProof/>
        </w:rPr>
        <w:drawing>
          <wp:inline distT="0" distB="0" distL="0" distR="0" wp14:anchorId="208F01F7" wp14:editId="294B2B23">
            <wp:extent cx="2905125" cy="2457450"/>
            <wp:effectExtent l="0" t="0" r="9525" b="0"/>
            <wp:docPr id="80" name="Chart 80">
              <a:extLst xmlns:a="http://schemas.openxmlformats.org/drawingml/2006/main">
                <a:ext uri="{FF2B5EF4-FFF2-40B4-BE49-F238E27FC236}">
                  <a16:creationId xmlns:a16="http://schemas.microsoft.com/office/drawing/2014/main" id="{66D69322-C2C5-1B63-E140-1BDD717DAC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D3BBF" w:rsidRPr="00DD3BBF" w:rsidRDefault="00DD3BBF" w:rsidP="00DD3BBF">
      <w:pPr>
        <w:spacing w:after="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Referuar të dhënave të mon</w:t>
      </w:r>
      <w:r w:rsidR="005D577C">
        <w:rPr>
          <w:rFonts w:ascii="Times New Roman" w:eastAsia="Calibri" w:hAnsi="Times New Roman" w:cs="Times New Roman"/>
          <w:sz w:val="24"/>
          <w:szCs w:val="24"/>
          <w:lang w:val="sq-AL"/>
        </w:rPr>
        <w:t>itoruara në stacionet e Beratit</w:t>
      </w:r>
      <w:r w:rsidRPr="00DD3BBF">
        <w:rPr>
          <w:rFonts w:ascii="Times New Roman" w:eastAsia="Calibri" w:hAnsi="Times New Roman" w:cs="Times New Roman"/>
          <w:sz w:val="24"/>
          <w:szCs w:val="24"/>
          <w:lang w:val="sq-AL"/>
        </w:rPr>
        <w:t xml:space="preserve"> vërejmë s</w:t>
      </w:r>
      <w:r w:rsidR="005D577C">
        <w:rPr>
          <w:rFonts w:ascii="Times New Roman" w:eastAsia="Calibri" w:hAnsi="Times New Roman" w:cs="Times New Roman"/>
          <w:sz w:val="24"/>
          <w:szCs w:val="24"/>
          <w:lang w:val="sq-AL"/>
        </w:rPr>
        <w:t>e kemi tejkalim të normës ditën</w:t>
      </w:r>
      <w:r w:rsidRPr="00DD3BBF">
        <w:rPr>
          <w:rFonts w:ascii="Times New Roman" w:eastAsia="Calibri" w:hAnsi="Times New Roman" w:cs="Times New Roman"/>
          <w:sz w:val="24"/>
          <w:szCs w:val="24"/>
          <w:lang w:val="sq-AL"/>
        </w:rPr>
        <w:t xml:space="preserve"> dhe të normës natën. </w:t>
      </w:r>
    </w:p>
    <w:p w:rsidR="00F03DAE" w:rsidRDefault="00F03DAE" w:rsidP="00DD3BBF">
      <w:pPr>
        <w:spacing w:after="0" w:line="240" w:lineRule="auto"/>
        <w:jc w:val="both"/>
        <w:rPr>
          <w:rFonts w:ascii="Times New Roman" w:eastAsia="Calibri" w:hAnsi="Times New Roman" w:cs="Times New Roman"/>
          <w:sz w:val="24"/>
          <w:szCs w:val="24"/>
          <w:lang w:val="sq-AL"/>
        </w:rPr>
      </w:pPr>
    </w:p>
    <w:p w:rsidR="00DD3BBF" w:rsidRPr="00DD3BBF" w:rsidRDefault="00DD3BBF" w:rsidP="00DD3BBF">
      <w:pPr>
        <w:spacing w:after="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Nivelet më të larta ditën janë monitoruar në stacionin Bashkia në vlerën 59.64 dB(A) dhe më e ulëta në stacion</w:t>
      </w:r>
      <w:r w:rsidR="005D577C">
        <w:rPr>
          <w:rFonts w:ascii="Times New Roman" w:eastAsia="Calibri" w:hAnsi="Times New Roman" w:cs="Times New Roman"/>
          <w:sz w:val="24"/>
          <w:szCs w:val="24"/>
          <w:lang w:val="sq-AL"/>
        </w:rPr>
        <w:t>in Kryqëzimi Shëtitorja “Osumi”</w:t>
      </w:r>
      <w:r w:rsidRPr="00DD3BBF">
        <w:rPr>
          <w:rFonts w:ascii="Times New Roman" w:eastAsia="Calibri" w:hAnsi="Times New Roman" w:cs="Times New Roman"/>
          <w:sz w:val="24"/>
          <w:szCs w:val="24"/>
          <w:lang w:val="sq-AL"/>
        </w:rPr>
        <w:t xml:space="preserve"> 57.47 dB(A). E shprehur në përqindje kemi te</w:t>
      </w:r>
      <w:r w:rsidR="005D577C">
        <w:rPr>
          <w:rFonts w:ascii="Times New Roman" w:eastAsia="Calibri" w:hAnsi="Times New Roman" w:cs="Times New Roman"/>
          <w:sz w:val="24"/>
          <w:szCs w:val="24"/>
          <w:lang w:val="sq-AL"/>
        </w:rPr>
        <w:t>jkalim të normës me 8.43 %  tek stacioni Bashkia dhe</w:t>
      </w:r>
      <w:r w:rsidRPr="00DD3BBF">
        <w:rPr>
          <w:rFonts w:ascii="Times New Roman" w:eastAsia="Calibri" w:hAnsi="Times New Roman" w:cs="Times New Roman"/>
          <w:sz w:val="24"/>
          <w:szCs w:val="24"/>
          <w:lang w:val="sq-AL"/>
        </w:rPr>
        <w:t xml:space="preserve"> në masën 4.49 % tek stacioni Kryqëzimi Shëtitorja “Osumi”  me nivelin më të ulët të monitoruar.</w:t>
      </w:r>
    </w:p>
    <w:p w:rsid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Nivelet më të larta natën janë monitoruar në stacionin Terminali i Autobuzave në vlerën 50.49 dB(A) dhe më e ulëta në stacionin Kryqëzimi “Shëtitorja Osumi” 47.85 dB(A).  E shprehur në përqindje k</w:t>
      </w:r>
      <w:r w:rsidR="005D577C">
        <w:rPr>
          <w:rFonts w:ascii="Times New Roman" w:eastAsia="Calibri" w:hAnsi="Times New Roman" w:cs="Times New Roman"/>
          <w:sz w:val="24"/>
          <w:szCs w:val="24"/>
          <w:lang w:val="sq-AL"/>
        </w:rPr>
        <w:t>emi tejkalim të normës me 12.2% tek</w:t>
      </w:r>
      <w:r w:rsidRPr="00DD3BBF">
        <w:rPr>
          <w:rFonts w:ascii="Times New Roman" w:eastAsia="Calibri" w:hAnsi="Times New Roman" w:cs="Times New Roman"/>
          <w:sz w:val="24"/>
          <w:szCs w:val="24"/>
          <w:lang w:val="sq-AL"/>
        </w:rPr>
        <w:t xml:space="preserve"> stacioni Terminali i Autobuzave dhe në masën 6.3% tek stacioni Kryqëzimi “Shëtitorja Osumi” me nivelin më të ulët të monitoruar.</w:t>
      </w:r>
    </w:p>
    <w:p w:rsidR="00F03DAE" w:rsidRPr="00DD3BBF" w:rsidRDefault="00F03DAE" w:rsidP="00DD3BBF">
      <w:pPr>
        <w:spacing w:after="200" w:line="240" w:lineRule="auto"/>
        <w:jc w:val="both"/>
        <w:rPr>
          <w:rFonts w:ascii="Times New Roman" w:eastAsia="Calibri" w:hAnsi="Times New Roman" w:cs="Times New Roman"/>
          <w:sz w:val="24"/>
          <w:szCs w:val="24"/>
          <w:lang w:val="sq-AL"/>
        </w:rPr>
      </w:pPr>
    </w:p>
    <w:p w:rsidR="00DD3BBF" w:rsidRPr="00F03DAE" w:rsidRDefault="00DD3BBF" w:rsidP="0033538C">
      <w:pPr>
        <w:numPr>
          <w:ilvl w:val="0"/>
          <w:numId w:val="9"/>
        </w:numPr>
        <w:spacing w:after="200" w:line="240" w:lineRule="auto"/>
        <w:contextualSpacing/>
        <w:jc w:val="both"/>
        <w:rPr>
          <w:rFonts w:ascii="Times New Roman" w:eastAsia="Calibri" w:hAnsi="Times New Roman" w:cs="Times New Roman"/>
          <w:b/>
          <w:i/>
          <w:sz w:val="24"/>
          <w:szCs w:val="24"/>
          <w:lang w:val="sq-AL"/>
        </w:rPr>
      </w:pPr>
      <w:r w:rsidRPr="00DD3BBF">
        <w:rPr>
          <w:rFonts w:ascii="Times New Roman" w:eastAsia="Calibri" w:hAnsi="Times New Roman" w:cs="Times New Roman"/>
          <w:b/>
          <w:sz w:val="24"/>
          <w:szCs w:val="24"/>
          <w:lang w:val="sq-AL"/>
        </w:rPr>
        <w:t xml:space="preserve">Monitorimi i zhurmave në qytetin e Shkodrës  </w:t>
      </w:r>
    </w:p>
    <w:p w:rsidR="00F03DAE" w:rsidRPr="00DD3BBF" w:rsidRDefault="00F03DAE" w:rsidP="00F03DAE">
      <w:pPr>
        <w:spacing w:after="200" w:line="240" w:lineRule="auto"/>
        <w:ind w:left="1440"/>
        <w:contextualSpacing/>
        <w:jc w:val="both"/>
        <w:rPr>
          <w:rFonts w:ascii="Times New Roman" w:eastAsia="Calibri" w:hAnsi="Times New Roman" w:cs="Times New Roman"/>
          <w:b/>
          <w:i/>
          <w:sz w:val="24"/>
          <w:szCs w:val="24"/>
          <w:lang w:val="sq-AL"/>
        </w:rPr>
      </w:pP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Monitorimi i zhurmave në qytetin e Shkodrës është realizuar në dy stacione, në Kryqëzimin e  Hyrjes dhe Universiteti (Hotel Rozafa). Monitorimi është realizuar për dy tregues LAeq ditën dhe LAeq natën. </w:t>
      </w:r>
    </w:p>
    <w:p w:rsidR="00DD3BBF" w:rsidRPr="00DD3BBF" w:rsidRDefault="00DD3BBF" w:rsidP="00DD3BBF">
      <w:pPr>
        <w:spacing w:after="200" w:line="240" w:lineRule="auto"/>
        <w:jc w:val="center"/>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Tabela </w:t>
      </w:r>
      <w:r w:rsidR="00F03DAE">
        <w:rPr>
          <w:rFonts w:ascii="Times New Roman" w:eastAsia="Calibri" w:hAnsi="Times New Roman" w:cs="Times New Roman"/>
          <w:sz w:val="24"/>
          <w:szCs w:val="24"/>
          <w:lang w:val="sq-AL"/>
        </w:rPr>
        <w:t>5</w:t>
      </w:r>
      <w:r w:rsidRPr="00DD3BBF">
        <w:rPr>
          <w:rFonts w:ascii="Times New Roman" w:eastAsia="Calibri" w:hAnsi="Times New Roman" w:cs="Times New Roman"/>
          <w:sz w:val="24"/>
          <w:szCs w:val="24"/>
          <w:lang w:val="sq-AL"/>
        </w:rPr>
        <w:t xml:space="preserve"> -  Stacionet e monitoruara në qytetin e Shkodrës</w:t>
      </w:r>
    </w:p>
    <w:tbl>
      <w:tblPr>
        <w:tblW w:w="9900" w:type="dxa"/>
        <w:tblLook w:val="04A0" w:firstRow="1" w:lastRow="0" w:firstColumn="1" w:lastColumn="0" w:noHBand="0" w:noVBand="1"/>
      </w:tblPr>
      <w:tblGrid>
        <w:gridCol w:w="540"/>
        <w:gridCol w:w="2430"/>
        <w:gridCol w:w="1890"/>
        <w:gridCol w:w="1710"/>
        <w:gridCol w:w="1440"/>
        <w:gridCol w:w="1890"/>
      </w:tblGrid>
      <w:tr w:rsidR="00DD3BBF" w:rsidRPr="00DD3BBF" w:rsidTr="00DD3BBF">
        <w:trPr>
          <w:trHeight w:val="226"/>
        </w:trPr>
        <w:tc>
          <w:tcPr>
            <w:tcW w:w="540" w:type="dxa"/>
            <w:tcBorders>
              <w:top w:val="nil"/>
              <w:left w:val="nil"/>
              <w:bottom w:val="single" w:sz="8" w:space="0" w:color="FFFFFF"/>
              <w:right w:val="nil"/>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Nr </w:t>
            </w:r>
          </w:p>
        </w:tc>
        <w:tc>
          <w:tcPr>
            <w:tcW w:w="2430" w:type="dxa"/>
            <w:tcBorders>
              <w:top w:val="nil"/>
              <w:left w:val="nil"/>
              <w:bottom w:val="single" w:sz="8" w:space="0" w:color="FFFFFF"/>
              <w:right w:val="nil"/>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Stacionet  monitorimit </w:t>
            </w:r>
          </w:p>
        </w:tc>
        <w:tc>
          <w:tcPr>
            <w:tcW w:w="1890" w:type="dxa"/>
            <w:tcBorders>
              <w:top w:val="nil"/>
              <w:left w:val="nil"/>
              <w:bottom w:val="single" w:sz="8" w:space="0" w:color="FFFFFF"/>
              <w:right w:val="nil"/>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Gjatësi gjeografike</w:t>
            </w:r>
          </w:p>
        </w:tc>
        <w:tc>
          <w:tcPr>
            <w:tcW w:w="1710" w:type="dxa"/>
            <w:tcBorders>
              <w:top w:val="nil"/>
              <w:left w:val="nil"/>
              <w:bottom w:val="single" w:sz="8" w:space="0" w:color="FFFFFF"/>
              <w:right w:val="nil"/>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 Gjerësi gjeografike</w:t>
            </w:r>
          </w:p>
        </w:tc>
        <w:tc>
          <w:tcPr>
            <w:tcW w:w="1440" w:type="dxa"/>
            <w:tcBorders>
              <w:top w:val="nil"/>
              <w:left w:val="nil"/>
              <w:bottom w:val="single" w:sz="8" w:space="0" w:color="FFFFFF"/>
              <w:right w:val="nil"/>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LAeq /Ditën</w:t>
            </w:r>
          </w:p>
        </w:tc>
        <w:tc>
          <w:tcPr>
            <w:tcW w:w="1890" w:type="dxa"/>
            <w:tcBorders>
              <w:top w:val="nil"/>
              <w:left w:val="nil"/>
              <w:bottom w:val="single" w:sz="8" w:space="0" w:color="FFFFFF"/>
              <w:right w:val="nil"/>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LAeq 2/Natën</w:t>
            </w:r>
          </w:p>
        </w:tc>
      </w:tr>
      <w:tr w:rsidR="007D2532" w:rsidRPr="00DD3BBF" w:rsidTr="007D2532">
        <w:trPr>
          <w:trHeight w:val="268"/>
        </w:trPr>
        <w:tc>
          <w:tcPr>
            <w:tcW w:w="54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7D2532" w:rsidRPr="00DD3BBF" w:rsidRDefault="007D2532" w:rsidP="007D2532">
            <w:pPr>
              <w:spacing w:after="0" w:line="240" w:lineRule="auto"/>
              <w:rPr>
                <w:rFonts w:ascii="Calibri" w:eastAsia="Times New Roman" w:hAnsi="Calibri" w:cs="Calibri"/>
                <w:b/>
                <w:bCs/>
                <w:color w:val="FFFFFF"/>
                <w:lang w:val="sq-AL"/>
              </w:rPr>
            </w:pPr>
            <w:r>
              <w:rPr>
                <w:rFonts w:ascii="Calibri" w:eastAsia="Times New Roman" w:hAnsi="Calibri" w:cs="Calibri"/>
                <w:b/>
                <w:bCs/>
                <w:color w:val="FFFFFF"/>
                <w:lang w:val="sq-AL"/>
              </w:rPr>
              <w:t xml:space="preserve">   </w:t>
            </w:r>
            <w:r w:rsidRPr="00DD3BBF">
              <w:rPr>
                <w:rFonts w:ascii="Calibri" w:eastAsia="Times New Roman" w:hAnsi="Calibri" w:cs="Calibri"/>
                <w:b/>
                <w:bCs/>
                <w:color w:val="FFFFFF"/>
                <w:lang w:val="sq-AL"/>
              </w:rPr>
              <w:t>1</w:t>
            </w:r>
          </w:p>
        </w:tc>
        <w:tc>
          <w:tcPr>
            <w:tcW w:w="243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7D2532" w:rsidRPr="00DD3BBF" w:rsidRDefault="007D2532" w:rsidP="007D2532">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Kryq</w:t>
            </w:r>
            <w:r w:rsidR="00F43698">
              <w:rPr>
                <w:rFonts w:ascii="Calibri" w:eastAsia="Times New Roman" w:hAnsi="Calibri" w:cs="Calibri"/>
                <w:b/>
                <w:bCs/>
                <w:color w:val="FFFFFF"/>
                <w:lang w:val="sq-AL"/>
              </w:rPr>
              <w:t>ë</w:t>
            </w:r>
            <w:r w:rsidRPr="00DD3BBF">
              <w:rPr>
                <w:rFonts w:ascii="Calibri" w:eastAsia="Times New Roman" w:hAnsi="Calibri" w:cs="Calibri"/>
                <w:b/>
                <w:bCs/>
                <w:color w:val="FFFFFF"/>
                <w:lang w:val="sq-AL"/>
              </w:rPr>
              <w:t xml:space="preserve">zimi i Hyrjes </w:t>
            </w:r>
          </w:p>
        </w:tc>
        <w:tc>
          <w:tcPr>
            <w:tcW w:w="1890" w:type="dxa"/>
            <w:tcBorders>
              <w:top w:val="single" w:sz="4" w:space="0" w:color="auto"/>
              <w:left w:val="single" w:sz="4" w:space="0" w:color="auto"/>
              <w:bottom w:val="single" w:sz="4" w:space="0" w:color="auto"/>
              <w:right w:val="single" w:sz="4" w:space="0" w:color="auto"/>
            </w:tcBorders>
            <w:shd w:val="clear" w:color="70AD47" w:fill="70AD47"/>
            <w:noWrap/>
            <w:hideMark/>
          </w:tcPr>
          <w:p w:rsidR="007D2532" w:rsidRPr="007D2532" w:rsidRDefault="007D2532" w:rsidP="007D2532">
            <w:pPr>
              <w:rPr>
                <w:rFonts w:cstheme="minorHAnsi"/>
                <w:b/>
                <w:color w:val="FFFFFF" w:themeColor="background1"/>
              </w:rPr>
            </w:pPr>
            <w:r w:rsidRPr="007D2532">
              <w:rPr>
                <w:rFonts w:cstheme="minorHAnsi"/>
                <w:b/>
                <w:color w:val="FFFFFF" w:themeColor="background1"/>
              </w:rPr>
              <w:t>42°02'42.8"N</w:t>
            </w:r>
          </w:p>
        </w:tc>
        <w:tc>
          <w:tcPr>
            <w:tcW w:w="1710" w:type="dxa"/>
            <w:tcBorders>
              <w:top w:val="single" w:sz="4" w:space="0" w:color="auto"/>
              <w:left w:val="single" w:sz="4" w:space="0" w:color="auto"/>
              <w:bottom w:val="single" w:sz="4" w:space="0" w:color="auto"/>
              <w:right w:val="single" w:sz="4" w:space="0" w:color="auto"/>
            </w:tcBorders>
            <w:shd w:val="clear" w:color="70AD47" w:fill="70AD47"/>
            <w:noWrap/>
            <w:hideMark/>
          </w:tcPr>
          <w:p w:rsidR="007D2532" w:rsidRPr="007D2532" w:rsidRDefault="007D2532" w:rsidP="007D2532">
            <w:pPr>
              <w:rPr>
                <w:b/>
              </w:rPr>
            </w:pPr>
            <w:r w:rsidRPr="007D2532">
              <w:rPr>
                <w:b/>
                <w:color w:val="FFFFFF" w:themeColor="background1"/>
              </w:rPr>
              <w:t>19°29'23.6"E</w:t>
            </w:r>
          </w:p>
        </w:tc>
        <w:tc>
          <w:tcPr>
            <w:tcW w:w="144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7D2532" w:rsidRPr="00DD3BBF" w:rsidRDefault="007D2532" w:rsidP="007D2532">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55.95</w:t>
            </w:r>
          </w:p>
        </w:tc>
        <w:tc>
          <w:tcPr>
            <w:tcW w:w="189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7D2532" w:rsidRPr="00DD3BBF" w:rsidRDefault="007D2532" w:rsidP="007D2532">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44.92</w:t>
            </w:r>
          </w:p>
        </w:tc>
      </w:tr>
      <w:tr w:rsidR="007D2532" w:rsidRPr="00DD3BBF" w:rsidTr="0064059F">
        <w:trPr>
          <w:trHeight w:val="226"/>
        </w:trPr>
        <w:tc>
          <w:tcPr>
            <w:tcW w:w="54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7D2532" w:rsidRPr="00DD3BBF" w:rsidRDefault="007D2532" w:rsidP="007D2532">
            <w:pPr>
              <w:spacing w:after="0" w:line="240" w:lineRule="auto"/>
              <w:jc w:val="right"/>
              <w:rPr>
                <w:rFonts w:ascii="Calibri" w:eastAsia="Times New Roman" w:hAnsi="Calibri" w:cs="Calibri"/>
                <w:b/>
                <w:bCs/>
                <w:color w:val="FFFFFF"/>
                <w:lang w:val="sq-AL"/>
              </w:rPr>
            </w:pPr>
            <w:r w:rsidRPr="00DD3BBF">
              <w:rPr>
                <w:rFonts w:ascii="Calibri" w:eastAsia="Times New Roman" w:hAnsi="Calibri" w:cs="Calibri"/>
                <w:b/>
                <w:bCs/>
                <w:color w:val="FFFFFF"/>
                <w:lang w:val="sq-AL"/>
              </w:rPr>
              <w:t>2</w:t>
            </w:r>
          </w:p>
        </w:tc>
        <w:tc>
          <w:tcPr>
            <w:tcW w:w="243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7D2532" w:rsidRPr="00DD3BBF" w:rsidRDefault="007D2532" w:rsidP="007D2532">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Universiteti </w:t>
            </w:r>
          </w:p>
        </w:tc>
        <w:tc>
          <w:tcPr>
            <w:tcW w:w="1890" w:type="dxa"/>
            <w:tcBorders>
              <w:top w:val="single" w:sz="4" w:space="0" w:color="auto"/>
              <w:left w:val="single" w:sz="4" w:space="0" w:color="auto"/>
              <w:bottom w:val="single" w:sz="4" w:space="0" w:color="auto"/>
              <w:right w:val="single" w:sz="4" w:space="0" w:color="auto"/>
            </w:tcBorders>
            <w:shd w:val="clear" w:color="548235" w:fill="548235"/>
            <w:noWrap/>
            <w:hideMark/>
          </w:tcPr>
          <w:p w:rsidR="007D2532" w:rsidRPr="007D2532" w:rsidRDefault="007D2532" w:rsidP="007D2532">
            <w:pPr>
              <w:rPr>
                <w:b/>
                <w:color w:val="FFFFFF" w:themeColor="background1"/>
              </w:rPr>
            </w:pPr>
            <w:r w:rsidRPr="007D2532">
              <w:rPr>
                <w:b/>
                <w:color w:val="FFFFFF" w:themeColor="background1"/>
              </w:rPr>
              <w:t>42°04'04.3"N</w:t>
            </w:r>
          </w:p>
        </w:tc>
        <w:tc>
          <w:tcPr>
            <w:tcW w:w="1710" w:type="dxa"/>
            <w:tcBorders>
              <w:top w:val="single" w:sz="4" w:space="0" w:color="auto"/>
              <w:left w:val="single" w:sz="4" w:space="0" w:color="auto"/>
              <w:bottom w:val="single" w:sz="4" w:space="0" w:color="auto"/>
              <w:right w:val="single" w:sz="4" w:space="0" w:color="auto"/>
            </w:tcBorders>
            <w:shd w:val="clear" w:color="548235" w:fill="548235"/>
            <w:noWrap/>
            <w:hideMark/>
          </w:tcPr>
          <w:p w:rsidR="007D2532" w:rsidRPr="007D2532" w:rsidRDefault="007D2532" w:rsidP="007D2532">
            <w:pPr>
              <w:rPr>
                <w:b/>
                <w:color w:val="FFFFFF" w:themeColor="background1"/>
              </w:rPr>
            </w:pPr>
            <w:r w:rsidRPr="007D2532">
              <w:rPr>
                <w:b/>
                <w:color w:val="FFFFFF" w:themeColor="background1"/>
              </w:rPr>
              <w:t xml:space="preserve"> 19°30'42.6"E</w:t>
            </w:r>
          </w:p>
        </w:tc>
        <w:tc>
          <w:tcPr>
            <w:tcW w:w="144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7D2532" w:rsidRPr="00DD3BBF" w:rsidRDefault="007D2532" w:rsidP="007D2532">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58.78</w:t>
            </w:r>
          </w:p>
        </w:tc>
        <w:tc>
          <w:tcPr>
            <w:tcW w:w="189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7D2532" w:rsidRPr="00DD3BBF" w:rsidRDefault="007D2532" w:rsidP="007D2532">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45.73</w:t>
            </w:r>
          </w:p>
        </w:tc>
      </w:tr>
      <w:tr w:rsidR="00DD3BBF" w:rsidRPr="00DD3BBF" w:rsidTr="00DD3BBF">
        <w:trPr>
          <w:trHeight w:val="226"/>
        </w:trPr>
        <w:tc>
          <w:tcPr>
            <w:tcW w:w="54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w:t>
            </w:r>
          </w:p>
        </w:tc>
        <w:tc>
          <w:tcPr>
            <w:tcW w:w="243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(Hotel Rozafa)</w:t>
            </w:r>
          </w:p>
        </w:tc>
        <w:tc>
          <w:tcPr>
            <w:tcW w:w="189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w:t>
            </w:r>
          </w:p>
        </w:tc>
        <w:tc>
          <w:tcPr>
            <w:tcW w:w="171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w:t>
            </w:r>
          </w:p>
        </w:tc>
        <w:tc>
          <w:tcPr>
            <w:tcW w:w="144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w:t>
            </w:r>
          </w:p>
        </w:tc>
        <w:tc>
          <w:tcPr>
            <w:tcW w:w="189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w:t>
            </w:r>
          </w:p>
        </w:tc>
      </w:tr>
    </w:tbl>
    <w:p w:rsidR="00053914" w:rsidRDefault="00053914" w:rsidP="00DD3BBF">
      <w:pPr>
        <w:spacing w:after="0" w:line="240" w:lineRule="auto"/>
        <w:jc w:val="center"/>
        <w:rPr>
          <w:rFonts w:ascii="Times New Roman" w:eastAsia="Calibri" w:hAnsi="Times New Roman" w:cs="Times New Roman"/>
          <w:bCs/>
          <w:sz w:val="24"/>
          <w:szCs w:val="24"/>
          <w:lang w:val="sq-AL"/>
        </w:rPr>
      </w:pPr>
    </w:p>
    <w:p w:rsidR="00DD3BBF" w:rsidRPr="00DD3BBF" w:rsidRDefault="00DD3BBF" w:rsidP="00F03DAE">
      <w:pPr>
        <w:spacing w:after="0" w:line="240" w:lineRule="auto"/>
        <w:rPr>
          <w:rFonts w:ascii="Times New Roman" w:eastAsia="Calibri" w:hAnsi="Times New Roman" w:cs="Times New Roman"/>
          <w:bCs/>
          <w:sz w:val="24"/>
          <w:szCs w:val="24"/>
          <w:lang w:val="sq-AL"/>
        </w:rPr>
      </w:pPr>
      <w:r w:rsidRPr="00DD3BBF">
        <w:rPr>
          <w:rFonts w:ascii="Calibri" w:eastAsia="Calibri" w:hAnsi="Calibri" w:cs="Times New Roman"/>
          <w:noProof/>
        </w:rPr>
        <w:lastRenderedPageBreak/>
        <w:drawing>
          <wp:inline distT="0" distB="0" distL="0" distR="0" wp14:anchorId="43C29F5A" wp14:editId="1C681E08">
            <wp:extent cx="2733675" cy="1943100"/>
            <wp:effectExtent l="0" t="0" r="9525" b="0"/>
            <wp:docPr id="81" name="Chart 8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F03DAE">
        <w:rPr>
          <w:rFonts w:ascii="Times New Roman" w:eastAsia="Calibri" w:hAnsi="Times New Roman" w:cs="Times New Roman"/>
          <w:bCs/>
          <w:sz w:val="24"/>
          <w:szCs w:val="24"/>
          <w:lang w:val="sq-AL"/>
        </w:rPr>
        <w:t xml:space="preserve"> </w:t>
      </w:r>
      <w:r w:rsidR="00F03DAE" w:rsidRPr="00DD3BBF">
        <w:rPr>
          <w:rFonts w:ascii="Calibri" w:eastAsia="Calibri" w:hAnsi="Calibri" w:cs="Times New Roman"/>
          <w:noProof/>
        </w:rPr>
        <w:drawing>
          <wp:inline distT="0" distB="0" distL="0" distR="0" wp14:anchorId="6154E6AE" wp14:editId="11228FE2">
            <wp:extent cx="2743200" cy="1981200"/>
            <wp:effectExtent l="0" t="0" r="0" b="0"/>
            <wp:docPr id="82" name="Chart 82">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D3BBF" w:rsidRPr="00DD3BBF" w:rsidRDefault="00DD3BBF" w:rsidP="00DD3BBF">
      <w:pPr>
        <w:spacing w:after="0" w:line="240" w:lineRule="auto"/>
        <w:jc w:val="center"/>
        <w:rPr>
          <w:rFonts w:ascii="Times New Roman" w:eastAsia="Calibri" w:hAnsi="Times New Roman" w:cs="Times New Roman"/>
          <w:bCs/>
          <w:sz w:val="24"/>
          <w:szCs w:val="24"/>
          <w:lang w:val="sq-AL"/>
        </w:rPr>
      </w:pPr>
    </w:p>
    <w:p w:rsidR="00DD3BBF" w:rsidRPr="00DD3BBF" w:rsidRDefault="00DD3BBF" w:rsidP="00DD3BBF">
      <w:pPr>
        <w:spacing w:after="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Referuar të dhënave të monitoruara vërejmë se kemi tejkali</w:t>
      </w:r>
      <w:r w:rsidR="005D577C">
        <w:rPr>
          <w:rFonts w:ascii="Times New Roman" w:eastAsia="Calibri" w:hAnsi="Times New Roman" w:cs="Times New Roman"/>
          <w:sz w:val="24"/>
          <w:szCs w:val="24"/>
          <w:lang w:val="sq-AL"/>
        </w:rPr>
        <w:t>m të normës ditën dhe natën tek</w:t>
      </w:r>
      <w:r w:rsidRPr="00DD3BBF">
        <w:rPr>
          <w:rFonts w:ascii="Times New Roman" w:eastAsia="Calibri" w:hAnsi="Times New Roman" w:cs="Times New Roman"/>
          <w:sz w:val="24"/>
          <w:szCs w:val="24"/>
          <w:lang w:val="sq-AL"/>
        </w:rPr>
        <w:t xml:space="preserve"> të gjitha stacionet e monitoruara. Nivelet më të larta ditën janë monitoruar në stacionin Universiteti (Hotel Rozafa) në vlerën 58.78dB(A)  dhe më e ulëta në stacionin Kryqëzimi i Hyrjes 55.95 dB(A). E shprehur në përqindje kemi tejkalim të normës me 6.87 %  tek  stacioni </w:t>
      </w:r>
      <w:r w:rsidR="005D577C">
        <w:rPr>
          <w:rFonts w:ascii="Times New Roman" w:eastAsia="Calibri" w:hAnsi="Times New Roman" w:cs="Times New Roman"/>
          <w:sz w:val="24"/>
          <w:szCs w:val="24"/>
          <w:lang w:val="sq-AL"/>
        </w:rPr>
        <w:t>Universiteti (Hotel Rozafa) dhe</w:t>
      </w:r>
      <w:r w:rsidRPr="00DD3BBF">
        <w:rPr>
          <w:rFonts w:ascii="Times New Roman" w:eastAsia="Calibri" w:hAnsi="Times New Roman" w:cs="Times New Roman"/>
          <w:sz w:val="24"/>
          <w:szCs w:val="24"/>
          <w:lang w:val="sq-AL"/>
        </w:rPr>
        <w:t xml:space="preserve"> në masën 1.72% tek stacioni Kryqëzimi i Hyrjes me nivelin më të ulët të monitoruar.</w:t>
      </w:r>
    </w:p>
    <w:p w:rsidR="00AB1BDD"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Në stacionin Kryqëzimi i Hyrjes niveli i zhurma</w:t>
      </w:r>
      <w:r w:rsidR="005D577C">
        <w:rPr>
          <w:rFonts w:ascii="Times New Roman" w:eastAsia="Calibri" w:hAnsi="Times New Roman" w:cs="Times New Roman"/>
          <w:sz w:val="24"/>
          <w:szCs w:val="24"/>
          <w:lang w:val="sq-AL"/>
        </w:rPr>
        <w:t>ve nuk e tejkalon normën natën. Ndërsa në stacionin</w:t>
      </w:r>
      <w:r w:rsidRPr="00DD3BBF">
        <w:rPr>
          <w:rFonts w:ascii="Times New Roman" w:eastAsia="Calibri" w:hAnsi="Times New Roman" w:cs="Times New Roman"/>
          <w:sz w:val="24"/>
          <w:szCs w:val="24"/>
          <w:lang w:val="sq-AL"/>
        </w:rPr>
        <w:t xml:space="preserve"> Universiteti (Hotel Rozafa) niveli i zhurmave natën e tejkalon normën me 1.6% .</w:t>
      </w:r>
    </w:p>
    <w:p w:rsidR="00DD3BBF" w:rsidRPr="00DD3BBF" w:rsidRDefault="00DD3BBF" w:rsidP="0033538C">
      <w:pPr>
        <w:numPr>
          <w:ilvl w:val="0"/>
          <w:numId w:val="9"/>
        </w:numPr>
        <w:spacing w:after="200" w:line="240" w:lineRule="auto"/>
        <w:contextualSpacing/>
        <w:jc w:val="both"/>
        <w:rPr>
          <w:rFonts w:ascii="Times New Roman" w:eastAsia="Calibri" w:hAnsi="Times New Roman" w:cs="Times New Roman"/>
          <w:b/>
          <w:sz w:val="24"/>
          <w:szCs w:val="24"/>
          <w:lang w:val="sq-AL"/>
        </w:rPr>
      </w:pPr>
      <w:r w:rsidRPr="00DD3BBF">
        <w:rPr>
          <w:rFonts w:ascii="Times New Roman" w:eastAsia="Calibri" w:hAnsi="Times New Roman" w:cs="Times New Roman"/>
          <w:b/>
          <w:sz w:val="24"/>
          <w:szCs w:val="24"/>
          <w:lang w:val="sq-AL"/>
        </w:rPr>
        <w:t xml:space="preserve">Monitorimi i zhurmave në qytetin e Lezhës </w:t>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Monitorimi i zhurmave në qytetin e Lezhës për vitin 2025 është realizuar në dy stacione si më poshtë: </w:t>
      </w:r>
    </w:p>
    <w:p w:rsidR="00DD3BBF" w:rsidRPr="00DD3BBF" w:rsidRDefault="00DD3BBF" w:rsidP="00DD3BBF">
      <w:pPr>
        <w:spacing w:after="200" w:line="240" w:lineRule="auto"/>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Tabela </w:t>
      </w:r>
      <w:r w:rsidR="00F03DAE">
        <w:rPr>
          <w:rFonts w:ascii="Times New Roman" w:eastAsia="Calibri" w:hAnsi="Times New Roman" w:cs="Times New Roman"/>
          <w:sz w:val="24"/>
          <w:szCs w:val="24"/>
          <w:lang w:val="sq-AL"/>
        </w:rPr>
        <w:t>6</w:t>
      </w:r>
      <w:r w:rsidRPr="00DD3BBF">
        <w:rPr>
          <w:rFonts w:ascii="Times New Roman" w:eastAsia="Calibri" w:hAnsi="Times New Roman" w:cs="Times New Roman"/>
          <w:sz w:val="24"/>
          <w:szCs w:val="24"/>
          <w:lang w:val="sq-AL"/>
        </w:rPr>
        <w:t xml:space="preserve"> -  Stacionet e monitoruara në qytetin e Lezhës</w:t>
      </w:r>
    </w:p>
    <w:tbl>
      <w:tblPr>
        <w:tblpPr w:leftFromText="180" w:rightFromText="180" w:vertAnchor="page" w:horzAnchor="margin" w:tblpY="8851"/>
        <w:tblW w:w="9947" w:type="dxa"/>
        <w:tblLook w:val="04A0" w:firstRow="1" w:lastRow="0" w:firstColumn="1" w:lastColumn="0" w:noHBand="0" w:noVBand="1"/>
      </w:tblPr>
      <w:tblGrid>
        <w:gridCol w:w="535"/>
        <w:gridCol w:w="2610"/>
        <w:gridCol w:w="2700"/>
        <w:gridCol w:w="2070"/>
        <w:gridCol w:w="810"/>
        <w:gridCol w:w="1222"/>
      </w:tblGrid>
      <w:tr w:rsidR="00051C09" w:rsidRPr="00057745" w:rsidTr="00051C09">
        <w:trPr>
          <w:trHeight w:val="336"/>
        </w:trPr>
        <w:tc>
          <w:tcPr>
            <w:tcW w:w="535"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051C09" w:rsidRPr="00057745" w:rsidRDefault="00051C09" w:rsidP="00051C09">
            <w:pPr>
              <w:spacing w:after="0" w:line="240" w:lineRule="auto"/>
              <w:rPr>
                <w:rFonts w:ascii="Calibri" w:eastAsia="Times New Roman" w:hAnsi="Calibri" w:cs="Calibri"/>
                <w:b/>
                <w:bCs/>
                <w:color w:val="FFFFFF"/>
              </w:rPr>
            </w:pPr>
            <w:r w:rsidRPr="00057745">
              <w:rPr>
                <w:rFonts w:ascii="Calibri" w:eastAsia="Times New Roman" w:hAnsi="Calibri" w:cs="Calibri"/>
                <w:b/>
                <w:bCs/>
                <w:color w:val="FFFFFF"/>
              </w:rPr>
              <w:t xml:space="preserve">Nr </w:t>
            </w:r>
          </w:p>
        </w:tc>
        <w:tc>
          <w:tcPr>
            <w:tcW w:w="261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051C09" w:rsidRPr="00057745" w:rsidRDefault="00051C09" w:rsidP="00051C09">
            <w:pPr>
              <w:spacing w:after="0" w:line="240" w:lineRule="auto"/>
              <w:rPr>
                <w:rFonts w:ascii="Calibri" w:eastAsia="Times New Roman" w:hAnsi="Calibri" w:cs="Calibri"/>
                <w:b/>
                <w:bCs/>
                <w:color w:val="FFFFFF"/>
              </w:rPr>
            </w:pPr>
            <w:r w:rsidRPr="00057745">
              <w:rPr>
                <w:rFonts w:ascii="Calibri" w:eastAsia="Times New Roman" w:hAnsi="Calibri" w:cs="Calibri"/>
                <w:b/>
                <w:bCs/>
                <w:color w:val="FFFFFF"/>
              </w:rPr>
              <w:t xml:space="preserve">Stacionet e monitorimit </w:t>
            </w:r>
          </w:p>
        </w:tc>
        <w:tc>
          <w:tcPr>
            <w:tcW w:w="270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051C09" w:rsidRPr="00057745" w:rsidRDefault="00051C09" w:rsidP="00051C09">
            <w:pPr>
              <w:spacing w:after="0" w:line="240" w:lineRule="auto"/>
              <w:rPr>
                <w:rFonts w:ascii="Calibri" w:eastAsia="Times New Roman" w:hAnsi="Calibri" w:cs="Calibri"/>
                <w:b/>
                <w:bCs/>
                <w:color w:val="FFFFFF"/>
              </w:rPr>
            </w:pPr>
            <w:r w:rsidRPr="00057745">
              <w:rPr>
                <w:rFonts w:ascii="Calibri" w:eastAsia="Times New Roman" w:hAnsi="Calibri" w:cs="Calibri"/>
                <w:b/>
                <w:bCs/>
                <w:color w:val="FFFFFF"/>
              </w:rPr>
              <w:t xml:space="preserve">Gjatësi gjeografike </w:t>
            </w:r>
          </w:p>
        </w:tc>
        <w:tc>
          <w:tcPr>
            <w:tcW w:w="207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051C09" w:rsidRPr="00057745" w:rsidRDefault="00051C09" w:rsidP="00051C09">
            <w:pPr>
              <w:spacing w:after="0" w:line="240" w:lineRule="auto"/>
              <w:rPr>
                <w:rFonts w:ascii="Calibri" w:eastAsia="Times New Roman" w:hAnsi="Calibri" w:cs="Calibri"/>
                <w:b/>
                <w:bCs/>
                <w:color w:val="FFFFFF"/>
              </w:rPr>
            </w:pPr>
            <w:r w:rsidRPr="00057745">
              <w:rPr>
                <w:rFonts w:ascii="Calibri" w:eastAsia="Times New Roman" w:hAnsi="Calibri" w:cs="Calibri"/>
                <w:b/>
                <w:bCs/>
                <w:color w:val="FFFFFF"/>
              </w:rPr>
              <w:t>Gjeresi gjeografike</w:t>
            </w:r>
          </w:p>
        </w:tc>
        <w:tc>
          <w:tcPr>
            <w:tcW w:w="81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051C09" w:rsidRPr="00057745" w:rsidRDefault="00051C09" w:rsidP="00051C09">
            <w:pPr>
              <w:spacing w:after="0" w:line="240" w:lineRule="auto"/>
              <w:rPr>
                <w:rFonts w:ascii="Calibri" w:eastAsia="Times New Roman" w:hAnsi="Calibri" w:cs="Calibri"/>
                <w:b/>
                <w:bCs/>
                <w:color w:val="FFFFFF"/>
              </w:rPr>
            </w:pPr>
            <w:r w:rsidRPr="00057745">
              <w:rPr>
                <w:rFonts w:ascii="Calibri" w:eastAsia="Times New Roman" w:hAnsi="Calibri" w:cs="Calibri"/>
                <w:b/>
                <w:bCs/>
                <w:color w:val="FFFFFF"/>
              </w:rPr>
              <w:t xml:space="preserve">LAeq </w:t>
            </w:r>
          </w:p>
        </w:tc>
        <w:tc>
          <w:tcPr>
            <w:tcW w:w="1222"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051C09" w:rsidRPr="00057745" w:rsidRDefault="00051C09" w:rsidP="00051C09">
            <w:pPr>
              <w:spacing w:after="0" w:line="240" w:lineRule="auto"/>
              <w:rPr>
                <w:rFonts w:ascii="Calibri" w:eastAsia="Times New Roman" w:hAnsi="Calibri" w:cs="Calibri"/>
                <w:b/>
                <w:bCs/>
                <w:color w:val="FFFFFF"/>
              </w:rPr>
            </w:pPr>
            <w:r w:rsidRPr="00057745">
              <w:rPr>
                <w:rFonts w:ascii="Calibri" w:eastAsia="Times New Roman" w:hAnsi="Calibri" w:cs="Calibri"/>
                <w:b/>
                <w:bCs/>
                <w:color w:val="FFFFFF"/>
              </w:rPr>
              <w:t>LAeq 2</w:t>
            </w:r>
          </w:p>
        </w:tc>
      </w:tr>
      <w:tr w:rsidR="00051C09" w:rsidRPr="00057745" w:rsidTr="00051C09">
        <w:trPr>
          <w:trHeight w:val="336"/>
        </w:trPr>
        <w:tc>
          <w:tcPr>
            <w:tcW w:w="53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 </w:t>
            </w:r>
          </w:p>
        </w:tc>
        <w:tc>
          <w:tcPr>
            <w:tcW w:w="261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 </w:t>
            </w:r>
          </w:p>
        </w:tc>
        <w:tc>
          <w:tcPr>
            <w:tcW w:w="270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 </w:t>
            </w:r>
          </w:p>
        </w:tc>
        <w:tc>
          <w:tcPr>
            <w:tcW w:w="207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 </w:t>
            </w:r>
          </w:p>
        </w:tc>
        <w:tc>
          <w:tcPr>
            <w:tcW w:w="81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 xml:space="preserve">/Ditën </w:t>
            </w:r>
          </w:p>
        </w:tc>
        <w:tc>
          <w:tcPr>
            <w:tcW w:w="1222"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/Natën</w:t>
            </w:r>
          </w:p>
        </w:tc>
      </w:tr>
      <w:tr w:rsidR="00051C09" w:rsidRPr="00057745" w:rsidTr="00051C09">
        <w:trPr>
          <w:trHeight w:val="336"/>
        </w:trPr>
        <w:tc>
          <w:tcPr>
            <w:tcW w:w="53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1</w:t>
            </w:r>
          </w:p>
        </w:tc>
        <w:tc>
          <w:tcPr>
            <w:tcW w:w="261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11 Janari</w:t>
            </w:r>
          </w:p>
        </w:tc>
        <w:tc>
          <w:tcPr>
            <w:tcW w:w="270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41° 46'49.64"N</w:t>
            </w:r>
          </w:p>
        </w:tc>
        <w:tc>
          <w:tcPr>
            <w:tcW w:w="207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19°38'36.63"E</w:t>
            </w:r>
          </w:p>
        </w:tc>
        <w:tc>
          <w:tcPr>
            <w:tcW w:w="81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54.64</w:t>
            </w:r>
          </w:p>
        </w:tc>
        <w:tc>
          <w:tcPr>
            <w:tcW w:w="1222"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43.15</w:t>
            </w:r>
          </w:p>
        </w:tc>
      </w:tr>
      <w:tr w:rsidR="00051C09" w:rsidRPr="00057745" w:rsidTr="00051C09">
        <w:trPr>
          <w:trHeight w:val="336"/>
        </w:trPr>
        <w:tc>
          <w:tcPr>
            <w:tcW w:w="53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2</w:t>
            </w:r>
          </w:p>
        </w:tc>
        <w:tc>
          <w:tcPr>
            <w:tcW w:w="261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 xml:space="preserve">Kryqezimi L. Gurra </w:t>
            </w:r>
          </w:p>
        </w:tc>
        <w:tc>
          <w:tcPr>
            <w:tcW w:w="270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41° 4631.90"N</w:t>
            </w:r>
          </w:p>
        </w:tc>
        <w:tc>
          <w:tcPr>
            <w:tcW w:w="207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19°38'09.30"E</w:t>
            </w:r>
          </w:p>
        </w:tc>
        <w:tc>
          <w:tcPr>
            <w:tcW w:w="81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57.83</w:t>
            </w:r>
          </w:p>
        </w:tc>
        <w:tc>
          <w:tcPr>
            <w:tcW w:w="1222"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1C09" w:rsidRPr="00057745" w:rsidRDefault="00051C09" w:rsidP="00051C09">
            <w:pPr>
              <w:spacing w:after="0" w:line="240" w:lineRule="auto"/>
              <w:rPr>
                <w:rFonts w:ascii="Calibri" w:eastAsia="Times New Roman" w:hAnsi="Calibri" w:cs="Calibri"/>
                <w:b/>
                <w:bCs/>
              </w:rPr>
            </w:pPr>
            <w:r w:rsidRPr="00057745">
              <w:rPr>
                <w:rFonts w:ascii="Calibri" w:eastAsia="Times New Roman" w:hAnsi="Calibri" w:cs="Calibri"/>
                <w:b/>
                <w:bCs/>
              </w:rPr>
              <w:t>45.18</w:t>
            </w:r>
          </w:p>
        </w:tc>
      </w:tr>
    </w:tbl>
    <w:p w:rsidR="00F03DAE" w:rsidRDefault="00F03DAE" w:rsidP="009E4ABE">
      <w:pPr>
        <w:spacing w:after="0" w:line="240" w:lineRule="auto"/>
        <w:rPr>
          <w:rFonts w:ascii="Times New Roman" w:eastAsia="Calibri" w:hAnsi="Times New Roman" w:cs="Times New Roman"/>
          <w:bCs/>
          <w:sz w:val="24"/>
          <w:szCs w:val="24"/>
          <w:lang w:val="sq-AL"/>
        </w:rPr>
      </w:pPr>
    </w:p>
    <w:p w:rsidR="00F03DAE" w:rsidRDefault="00057745" w:rsidP="00057745">
      <w:pPr>
        <w:spacing w:after="0" w:line="240" w:lineRule="auto"/>
        <w:rPr>
          <w:rFonts w:ascii="Times New Roman" w:eastAsia="Calibri" w:hAnsi="Times New Roman" w:cs="Times New Roman"/>
          <w:bCs/>
          <w:sz w:val="24"/>
          <w:szCs w:val="24"/>
          <w:lang w:val="sq-AL"/>
        </w:rPr>
      </w:pPr>
      <w:r w:rsidRPr="00DD3BBF">
        <w:rPr>
          <w:rFonts w:ascii="Calibri" w:eastAsia="Calibri" w:hAnsi="Calibri" w:cs="Times New Roman"/>
          <w:noProof/>
        </w:rPr>
        <w:drawing>
          <wp:inline distT="0" distB="0" distL="0" distR="0" wp14:anchorId="75F68F70" wp14:editId="0EE9C0B0">
            <wp:extent cx="2724150" cy="2047875"/>
            <wp:effectExtent l="0" t="0" r="0" b="9525"/>
            <wp:docPr id="83" name="Chart 83">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Pr>
          <w:rFonts w:ascii="Times New Roman" w:eastAsia="Calibri" w:hAnsi="Times New Roman" w:cs="Times New Roman"/>
          <w:bCs/>
          <w:sz w:val="24"/>
          <w:szCs w:val="24"/>
          <w:lang w:val="sq-AL"/>
        </w:rPr>
        <w:t xml:space="preserve">  </w:t>
      </w:r>
      <w:r w:rsidRPr="00DD3BBF">
        <w:rPr>
          <w:rFonts w:ascii="Calibri" w:eastAsia="Calibri" w:hAnsi="Calibri" w:cs="Times New Roman"/>
          <w:noProof/>
        </w:rPr>
        <w:drawing>
          <wp:inline distT="0" distB="0" distL="0" distR="0" wp14:anchorId="3891E34C" wp14:editId="4FC9BFC3">
            <wp:extent cx="2800350" cy="2009775"/>
            <wp:effectExtent l="0" t="0" r="0" b="9525"/>
            <wp:docPr id="84" name="Chart 84">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03DAE" w:rsidRDefault="00F03DAE" w:rsidP="00DD3BBF">
      <w:pPr>
        <w:spacing w:after="0" w:line="240" w:lineRule="auto"/>
        <w:jc w:val="center"/>
        <w:rPr>
          <w:rFonts w:ascii="Times New Roman" w:eastAsia="Calibri" w:hAnsi="Times New Roman" w:cs="Times New Roman"/>
          <w:bCs/>
          <w:sz w:val="24"/>
          <w:szCs w:val="24"/>
          <w:lang w:val="sq-AL"/>
        </w:rPr>
      </w:pPr>
    </w:p>
    <w:p w:rsidR="00DD3BBF" w:rsidRDefault="00DD3BBF" w:rsidP="00AB1BDD">
      <w:pPr>
        <w:spacing w:after="0" w:line="240" w:lineRule="auto"/>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lastRenderedPageBreak/>
        <w:t xml:space="preserve">Niveli i zhurmave ditën rezulton më i lartë në stacionin Lagjja Gurra në masën 5.1% dhe natën në vlerën kufi të lejuar. Në stacionin e 11 Janarit  niveli i zhurmave ditën dhe natën është nën normën e lejuar. </w:t>
      </w:r>
    </w:p>
    <w:p w:rsidR="00057745" w:rsidRPr="00DD3BBF" w:rsidRDefault="00057745" w:rsidP="00DD3BBF">
      <w:pPr>
        <w:spacing w:after="200" w:line="240" w:lineRule="auto"/>
        <w:jc w:val="both"/>
        <w:rPr>
          <w:rFonts w:ascii="Times New Roman" w:eastAsia="Calibri" w:hAnsi="Times New Roman" w:cs="Times New Roman"/>
          <w:sz w:val="24"/>
          <w:szCs w:val="24"/>
          <w:lang w:val="sq-AL"/>
        </w:rPr>
      </w:pPr>
    </w:p>
    <w:p w:rsidR="00DD3BBF" w:rsidRPr="00AB1BDD" w:rsidRDefault="00DD3BBF" w:rsidP="0033538C">
      <w:pPr>
        <w:numPr>
          <w:ilvl w:val="0"/>
          <w:numId w:val="9"/>
        </w:numPr>
        <w:spacing w:after="200" w:line="240" w:lineRule="auto"/>
        <w:contextualSpacing/>
        <w:jc w:val="both"/>
        <w:rPr>
          <w:rFonts w:ascii="Times New Roman" w:eastAsia="Calibri" w:hAnsi="Times New Roman" w:cs="Times New Roman"/>
          <w:sz w:val="24"/>
          <w:szCs w:val="24"/>
          <w:lang w:val="sq-AL"/>
        </w:rPr>
      </w:pPr>
      <w:r w:rsidRPr="00DD3BBF">
        <w:rPr>
          <w:rFonts w:ascii="Times New Roman" w:eastAsia="Calibri" w:hAnsi="Times New Roman" w:cs="Times New Roman"/>
          <w:b/>
          <w:sz w:val="24"/>
          <w:szCs w:val="24"/>
          <w:lang w:val="sq-AL"/>
        </w:rPr>
        <w:t xml:space="preserve">Monitorimi i zhurmave në qytetin e Fierit  </w:t>
      </w:r>
    </w:p>
    <w:p w:rsidR="00AB1BDD" w:rsidRPr="00DD3BBF" w:rsidRDefault="00AB1BDD" w:rsidP="00AB1BDD">
      <w:pPr>
        <w:spacing w:after="200" w:line="240" w:lineRule="auto"/>
        <w:ind w:left="1440"/>
        <w:contextualSpacing/>
        <w:jc w:val="both"/>
        <w:rPr>
          <w:rFonts w:ascii="Times New Roman" w:eastAsia="Calibri" w:hAnsi="Times New Roman" w:cs="Times New Roman"/>
          <w:sz w:val="24"/>
          <w:szCs w:val="24"/>
          <w:lang w:val="sq-AL"/>
        </w:rPr>
      </w:pPr>
    </w:p>
    <w:p w:rsidR="00051C09" w:rsidRDefault="00DD3BBF" w:rsidP="00057745">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Monitorimi i zhurmave në qytetin e Fierit realizohet në 4 stacione si janë paraqitur në tabelën më poshtë. Monitorimi i zhurmave është realizuar për LAeq ditën dhe LAeq natën, të dhënat e monitoruara janë krahasuar me normën ditën dhe natën.</w:t>
      </w:r>
      <w:r w:rsidR="00057745" w:rsidRPr="00057745">
        <w:rPr>
          <w:rFonts w:ascii="Times New Roman" w:eastAsia="Calibri" w:hAnsi="Times New Roman" w:cs="Times New Roman"/>
          <w:sz w:val="24"/>
          <w:szCs w:val="24"/>
          <w:lang w:val="sq-AL"/>
        </w:rPr>
        <w:t xml:space="preserve"> </w:t>
      </w:r>
    </w:p>
    <w:p w:rsidR="00057745" w:rsidRDefault="00051C09" w:rsidP="00057745">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Tabela</w:t>
      </w:r>
      <w:r>
        <w:rPr>
          <w:rFonts w:ascii="Times New Roman" w:eastAsia="Calibri" w:hAnsi="Times New Roman" w:cs="Times New Roman"/>
          <w:sz w:val="24"/>
          <w:szCs w:val="24"/>
          <w:lang w:val="sq-AL"/>
        </w:rPr>
        <w:t xml:space="preserve"> 7</w:t>
      </w:r>
      <w:r w:rsidRPr="00DD3BBF">
        <w:rPr>
          <w:rFonts w:ascii="Times New Roman" w:eastAsia="Calibri" w:hAnsi="Times New Roman" w:cs="Times New Roman"/>
          <w:sz w:val="24"/>
          <w:szCs w:val="24"/>
          <w:lang w:val="sq-AL"/>
        </w:rPr>
        <w:t xml:space="preserve"> -  Stacionet e monitoruara ne qytetin Fierit</w:t>
      </w:r>
    </w:p>
    <w:p w:rsidR="00057745" w:rsidRPr="00DD3BBF" w:rsidRDefault="00057745" w:rsidP="00AB1BDD">
      <w:pPr>
        <w:spacing w:after="200" w:line="240" w:lineRule="auto"/>
        <w:jc w:val="center"/>
        <w:rPr>
          <w:rFonts w:ascii="Times New Roman" w:eastAsia="Calibri" w:hAnsi="Times New Roman" w:cs="Times New Roman"/>
          <w:sz w:val="24"/>
          <w:szCs w:val="24"/>
          <w:lang w:val="sq-AL"/>
        </w:rPr>
      </w:pPr>
    </w:p>
    <w:tbl>
      <w:tblPr>
        <w:tblpPr w:leftFromText="180" w:rightFromText="180" w:vertAnchor="text" w:horzAnchor="margin" w:tblpXSpec="center" w:tblpY="-78"/>
        <w:tblW w:w="10924" w:type="dxa"/>
        <w:tblLook w:val="04A0" w:firstRow="1" w:lastRow="0" w:firstColumn="1" w:lastColumn="0" w:noHBand="0" w:noVBand="1"/>
      </w:tblPr>
      <w:tblGrid>
        <w:gridCol w:w="1997"/>
        <w:gridCol w:w="2026"/>
        <w:gridCol w:w="1678"/>
        <w:gridCol w:w="1910"/>
        <w:gridCol w:w="1678"/>
        <w:gridCol w:w="1635"/>
      </w:tblGrid>
      <w:tr w:rsidR="00057745" w:rsidRPr="00DD3BBF" w:rsidTr="00057745">
        <w:trPr>
          <w:trHeight w:val="183"/>
        </w:trPr>
        <w:tc>
          <w:tcPr>
            <w:tcW w:w="1997"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057745" w:rsidRPr="00DD3BBF" w:rsidRDefault="00057745" w:rsidP="00057745">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Nr </w:t>
            </w:r>
          </w:p>
        </w:tc>
        <w:tc>
          <w:tcPr>
            <w:tcW w:w="2026"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057745" w:rsidRPr="00DD3BBF" w:rsidRDefault="00057745" w:rsidP="00057745">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Stacionet e monitorimit </w:t>
            </w:r>
          </w:p>
        </w:tc>
        <w:tc>
          <w:tcPr>
            <w:tcW w:w="1678"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057745" w:rsidRPr="00DD3BBF" w:rsidRDefault="00057745" w:rsidP="00057745">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Gjatësi gjeografike </w:t>
            </w:r>
          </w:p>
        </w:tc>
        <w:tc>
          <w:tcPr>
            <w:tcW w:w="191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057745" w:rsidRPr="00DD3BBF" w:rsidRDefault="00057745" w:rsidP="00057745">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Gjerësi gjeografike</w:t>
            </w:r>
          </w:p>
        </w:tc>
        <w:tc>
          <w:tcPr>
            <w:tcW w:w="1678"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057745" w:rsidRPr="00DD3BBF" w:rsidRDefault="00057745" w:rsidP="00057745">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LAeq /Ditën</w:t>
            </w:r>
          </w:p>
        </w:tc>
        <w:tc>
          <w:tcPr>
            <w:tcW w:w="1635"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057745" w:rsidRPr="00DD3BBF" w:rsidRDefault="00057745" w:rsidP="00057745">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LAeq /Natën</w:t>
            </w:r>
          </w:p>
        </w:tc>
      </w:tr>
      <w:tr w:rsidR="00057745" w:rsidRPr="00DD3BBF" w:rsidTr="00057745">
        <w:trPr>
          <w:trHeight w:val="183"/>
        </w:trPr>
        <w:tc>
          <w:tcPr>
            <w:tcW w:w="1997"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7745" w:rsidRPr="00DD3BBF" w:rsidRDefault="00057745" w:rsidP="00057745">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1</w:t>
            </w:r>
          </w:p>
        </w:tc>
        <w:tc>
          <w:tcPr>
            <w:tcW w:w="202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7745" w:rsidRPr="00DD3BBF" w:rsidRDefault="00057745" w:rsidP="00057745">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Kryqëzimi i Hyrjes në Qytet</w:t>
            </w:r>
          </w:p>
        </w:tc>
        <w:tc>
          <w:tcPr>
            <w:tcW w:w="1678"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7745" w:rsidRPr="00DD3BBF" w:rsidRDefault="00057745" w:rsidP="00057745">
            <w:pPr>
              <w:spacing w:after="0" w:line="240" w:lineRule="auto"/>
              <w:rPr>
                <w:rFonts w:ascii="Calibri" w:eastAsia="Times New Roman" w:hAnsi="Calibri" w:cs="Calibri"/>
                <w:lang w:val="sq-AL"/>
              </w:rPr>
            </w:pPr>
            <w:r w:rsidRPr="00DD3BBF">
              <w:rPr>
                <w:rFonts w:ascii="Calibri" w:eastAsia="Times New Roman" w:hAnsi="Calibri" w:cs="Calibri"/>
                <w:lang w:val="sq-AL"/>
              </w:rPr>
              <w:t>40°43'52.43"N</w:t>
            </w:r>
          </w:p>
        </w:tc>
        <w:tc>
          <w:tcPr>
            <w:tcW w:w="191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7745" w:rsidRPr="00DD3BBF" w:rsidRDefault="00057745" w:rsidP="00057745">
            <w:pPr>
              <w:spacing w:after="0" w:line="240" w:lineRule="auto"/>
              <w:rPr>
                <w:rFonts w:ascii="Calibri" w:eastAsia="Times New Roman" w:hAnsi="Calibri" w:cs="Calibri"/>
                <w:lang w:val="sq-AL"/>
              </w:rPr>
            </w:pPr>
            <w:r w:rsidRPr="00DD3BBF">
              <w:rPr>
                <w:rFonts w:ascii="Calibri" w:eastAsia="Times New Roman" w:hAnsi="Calibri" w:cs="Calibri"/>
                <w:lang w:val="sq-AL"/>
              </w:rPr>
              <w:t>19°34'30.99"E</w:t>
            </w:r>
          </w:p>
        </w:tc>
        <w:tc>
          <w:tcPr>
            <w:tcW w:w="1678"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7745" w:rsidRPr="00DD3BBF" w:rsidRDefault="00057745" w:rsidP="00057745">
            <w:pPr>
              <w:spacing w:after="0" w:line="240" w:lineRule="auto"/>
              <w:jc w:val="right"/>
              <w:rPr>
                <w:rFonts w:ascii="Calibri" w:eastAsia="Times New Roman" w:hAnsi="Calibri" w:cs="Calibri"/>
                <w:b/>
                <w:bCs/>
                <w:color w:val="FFFFFF"/>
                <w:lang w:val="sq-AL"/>
              </w:rPr>
            </w:pPr>
            <w:r w:rsidRPr="00DD3BBF">
              <w:rPr>
                <w:rFonts w:ascii="Calibri" w:eastAsia="Times New Roman" w:hAnsi="Calibri" w:cs="Calibri"/>
                <w:b/>
                <w:bCs/>
                <w:color w:val="FFFFFF"/>
                <w:lang w:val="sq-AL"/>
              </w:rPr>
              <w:t>61.15</w:t>
            </w:r>
          </w:p>
        </w:tc>
        <w:tc>
          <w:tcPr>
            <w:tcW w:w="163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7745" w:rsidRPr="00DD3BBF" w:rsidRDefault="00057745" w:rsidP="00057745">
            <w:pPr>
              <w:spacing w:after="0" w:line="240" w:lineRule="auto"/>
              <w:jc w:val="right"/>
              <w:rPr>
                <w:rFonts w:ascii="Calibri" w:eastAsia="Times New Roman" w:hAnsi="Calibri" w:cs="Calibri"/>
                <w:b/>
                <w:bCs/>
                <w:color w:val="FFFFFF"/>
                <w:lang w:val="sq-AL"/>
              </w:rPr>
            </w:pPr>
            <w:r w:rsidRPr="00DD3BBF">
              <w:rPr>
                <w:rFonts w:ascii="Calibri" w:eastAsia="Times New Roman" w:hAnsi="Calibri" w:cs="Calibri"/>
                <w:b/>
                <w:bCs/>
                <w:color w:val="FFFFFF"/>
                <w:lang w:val="sq-AL"/>
              </w:rPr>
              <w:t>51.02</w:t>
            </w:r>
          </w:p>
        </w:tc>
      </w:tr>
      <w:tr w:rsidR="00057745" w:rsidRPr="00DD3BBF" w:rsidTr="00057745">
        <w:trPr>
          <w:trHeight w:val="183"/>
        </w:trPr>
        <w:tc>
          <w:tcPr>
            <w:tcW w:w="1997"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057745" w:rsidRPr="00DD3BBF" w:rsidRDefault="00057745" w:rsidP="00057745">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2</w:t>
            </w:r>
          </w:p>
        </w:tc>
        <w:tc>
          <w:tcPr>
            <w:tcW w:w="2026" w:type="dxa"/>
            <w:tcBorders>
              <w:top w:val="single" w:sz="4" w:space="0" w:color="auto"/>
              <w:left w:val="single" w:sz="4" w:space="0" w:color="auto"/>
              <w:bottom w:val="nil"/>
              <w:right w:val="single" w:sz="4" w:space="0" w:color="auto"/>
            </w:tcBorders>
            <w:shd w:val="clear" w:color="70AD47" w:fill="70AD47"/>
            <w:noWrap/>
            <w:vAlign w:val="bottom"/>
            <w:hideMark/>
          </w:tcPr>
          <w:p w:rsidR="00057745" w:rsidRPr="00DD3BBF" w:rsidRDefault="00057745" w:rsidP="00057745">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Tregu (Banka)</w:t>
            </w:r>
          </w:p>
        </w:tc>
        <w:tc>
          <w:tcPr>
            <w:tcW w:w="1678"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057745" w:rsidRPr="00DD3BBF" w:rsidRDefault="00057745" w:rsidP="00057745">
            <w:pPr>
              <w:spacing w:after="0" w:line="240" w:lineRule="auto"/>
              <w:rPr>
                <w:rFonts w:ascii="Calibri" w:eastAsia="Times New Roman" w:hAnsi="Calibri" w:cs="Calibri"/>
                <w:lang w:val="sq-AL"/>
              </w:rPr>
            </w:pPr>
            <w:r w:rsidRPr="00DD3BBF">
              <w:rPr>
                <w:rFonts w:ascii="Calibri" w:eastAsia="Times New Roman" w:hAnsi="Calibri" w:cs="Calibri"/>
                <w:lang w:val="sq-AL"/>
              </w:rPr>
              <w:t>40°43'31.65"N</w:t>
            </w:r>
          </w:p>
        </w:tc>
        <w:tc>
          <w:tcPr>
            <w:tcW w:w="191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057745" w:rsidRPr="00DD3BBF" w:rsidRDefault="00057745" w:rsidP="00057745">
            <w:pPr>
              <w:spacing w:after="0" w:line="240" w:lineRule="auto"/>
              <w:rPr>
                <w:rFonts w:ascii="Calibri" w:eastAsia="Times New Roman" w:hAnsi="Calibri" w:cs="Calibri"/>
                <w:lang w:val="sq-AL"/>
              </w:rPr>
            </w:pPr>
            <w:r w:rsidRPr="00DD3BBF">
              <w:rPr>
                <w:rFonts w:ascii="Calibri" w:eastAsia="Times New Roman" w:hAnsi="Calibri" w:cs="Calibri"/>
                <w:lang w:val="sq-AL"/>
              </w:rPr>
              <w:t>19°33'22.82"E</w:t>
            </w:r>
          </w:p>
        </w:tc>
        <w:tc>
          <w:tcPr>
            <w:tcW w:w="1678" w:type="dxa"/>
            <w:tcBorders>
              <w:top w:val="nil"/>
              <w:left w:val="nil"/>
              <w:bottom w:val="nil"/>
              <w:right w:val="nil"/>
            </w:tcBorders>
            <w:shd w:val="clear" w:color="70AD47" w:fill="70AD47"/>
            <w:noWrap/>
            <w:vAlign w:val="bottom"/>
            <w:hideMark/>
          </w:tcPr>
          <w:p w:rsidR="00057745" w:rsidRPr="00DD3BBF" w:rsidRDefault="00057745" w:rsidP="00057745">
            <w:pPr>
              <w:spacing w:after="0" w:line="240" w:lineRule="auto"/>
              <w:jc w:val="right"/>
              <w:rPr>
                <w:rFonts w:ascii="Calibri" w:eastAsia="Times New Roman" w:hAnsi="Calibri" w:cs="Calibri"/>
                <w:color w:val="FFFFFF"/>
                <w:lang w:val="sq-AL"/>
              </w:rPr>
            </w:pPr>
            <w:r w:rsidRPr="00DD3BBF">
              <w:rPr>
                <w:rFonts w:ascii="Calibri" w:eastAsia="Times New Roman" w:hAnsi="Calibri" w:cs="Calibri"/>
                <w:color w:val="FFFFFF"/>
                <w:lang w:val="sq-AL"/>
              </w:rPr>
              <w:t>59.63</w:t>
            </w:r>
          </w:p>
        </w:tc>
        <w:tc>
          <w:tcPr>
            <w:tcW w:w="163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057745" w:rsidRPr="00DD3BBF" w:rsidRDefault="00057745" w:rsidP="00057745">
            <w:pPr>
              <w:spacing w:after="0" w:line="240" w:lineRule="auto"/>
              <w:jc w:val="right"/>
              <w:rPr>
                <w:rFonts w:ascii="Calibri" w:eastAsia="Times New Roman" w:hAnsi="Calibri" w:cs="Calibri"/>
                <w:b/>
                <w:bCs/>
                <w:color w:val="FFFFFF"/>
                <w:lang w:val="sq-AL"/>
              </w:rPr>
            </w:pPr>
            <w:r w:rsidRPr="00DD3BBF">
              <w:rPr>
                <w:rFonts w:ascii="Calibri" w:eastAsia="Times New Roman" w:hAnsi="Calibri" w:cs="Calibri"/>
                <w:b/>
                <w:bCs/>
                <w:color w:val="FFFFFF"/>
                <w:lang w:val="sq-AL"/>
              </w:rPr>
              <w:t>49.8</w:t>
            </w:r>
          </w:p>
        </w:tc>
      </w:tr>
      <w:tr w:rsidR="00057745" w:rsidRPr="00DD3BBF" w:rsidTr="00057745">
        <w:trPr>
          <w:trHeight w:val="183"/>
        </w:trPr>
        <w:tc>
          <w:tcPr>
            <w:tcW w:w="1997"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7745" w:rsidRPr="00DD3BBF" w:rsidRDefault="00057745" w:rsidP="00057745">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3</w:t>
            </w:r>
          </w:p>
        </w:tc>
        <w:tc>
          <w:tcPr>
            <w:tcW w:w="202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7745" w:rsidRPr="00DD3BBF" w:rsidRDefault="00057745" w:rsidP="00057745">
            <w:pPr>
              <w:spacing w:after="0" w:line="240" w:lineRule="auto"/>
              <w:rPr>
                <w:rFonts w:ascii="Calibri" w:eastAsia="Times New Roman" w:hAnsi="Calibri" w:cs="Calibri"/>
                <w:lang w:val="sq-AL"/>
              </w:rPr>
            </w:pPr>
            <w:r w:rsidRPr="00DD3BBF">
              <w:rPr>
                <w:rFonts w:ascii="Calibri" w:eastAsia="Times New Roman" w:hAnsi="Calibri" w:cs="Calibri"/>
                <w:lang w:val="sq-AL"/>
              </w:rPr>
              <w:t>Prefektura</w:t>
            </w:r>
          </w:p>
        </w:tc>
        <w:tc>
          <w:tcPr>
            <w:tcW w:w="1678"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7745" w:rsidRPr="00DD3BBF" w:rsidRDefault="00057745" w:rsidP="00057745">
            <w:pPr>
              <w:spacing w:after="0" w:line="240" w:lineRule="auto"/>
              <w:rPr>
                <w:rFonts w:ascii="Calibri" w:eastAsia="Times New Roman" w:hAnsi="Calibri" w:cs="Calibri"/>
                <w:lang w:val="sq-AL"/>
              </w:rPr>
            </w:pPr>
            <w:r w:rsidRPr="00DD3BBF">
              <w:rPr>
                <w:rFonts w:ascii="Calibri" w:eastAsia="Times New Roman" w:hAnsi="Calibri" w:cs="Calibri"/>
                <w:lang w:val="sq-AL"/>
              </w:rPr>
              <w:t>40°43'40.70"N</w:t>
            </w:r>
          </w:p>
        </w:tc>
        <w:tc>
          <w:tcPr>
            <w:tcW w:w="191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7745" w:rsidRPr="00DD3BBF" w:rsidRDefault="00057745" w:rsidP="00057745">
            <w:pPr>
              <w:spacing w:after="0" w:line="240" w:lineRule="auto"/>
              <w:rPr>
                <w:rFonts w:ascii="Calibri" w:eastAsia="Times New Roman" w:hAnsi="Calibri" w:cs="Calibri"/>
                <w:lang w:val="sq-AL"/>
              </w:rPr>
            </w:pPr>
            <w:r w:rsidRPr="00DD3BBF">
              <w:rPr>
                <w:rFonts w:ascii="Calibri" w:eastAsia="Times New Roman" w:hAnsi="Calibri" w:cs="Calibri"/>
                <w:lang w:val="sq-AL"/>
              </w:rPr>
              <w:t>19°33'36.69"E</w:t>
            </w:r>
          </w:p>
        </w:tc>
        <w:tc>
          <w:tcPr>
            <w:tcW w:w="1678"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7745" w:rsidRPr="00DD3BBF" w:rsidRDefault="00057745" w:rsidP="00057745">
            <w:pPr>
              <w:spacing w:after="0" w:line="240" w:lineRule="auto"/>
              <w:jc w:val="right"/>
              <w:rPr>
                <w:rFonts w:ascii="Calibri" w:eastAsia="Times New Roman" w:hAnsi="Calibri" w:cs="Calibri"/>
                <w:b/>
                <w:bCs/>
                <w:color w:val="FFFFFF"/>
                <w:lang w:val="sq-AL"/>
              </w:rPr>
            </w:pPr>
            <w:r w:rsidRPr="00DD3BBF">
              <w:rPr>
                <w:rFonts w:ascii="Calibri" w:eastAsia="Times New Roman" w:hAnsi="Calibri" w:cs="Calibri"/>
                <w:b/>
                <w:bCs/>
                <w:color w:val="FFFFFF"/>
                <w:lang w:val="sq-AL"/>
              </w:rPr>
              <w:t>62.9</w:t>
            </w:r>
          </w:p>
        </w:tc>
        <w:tc>
          <w:tcPr>
            <w:tcW w:w="163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057745" w:rsidRPr="00DD3BBF" w:rsidRDefault="00057745" w:rsidP="00057745">
            <w:pPr>
              <w:spacing w:after="0" w:line="240" w:lineRule="auto"/>
              <w:jc w:val="right"/>
              <w:rPr>
                <w:rFonts w:ascii="Calibri" w:eastAsia="Times New Roman" w:hAnsi="Calibri" w:cs="Calibri"/>
                <w:b/>
                <w:bCs/>
                <w:color w:val="FFFFFF"/>
                <w:lang w:val="sq-AL"/>
              </w:rPr>
            </w:pPr>
            <w:r w:rsidRPr="00DD3BBF">
              <w:rPr>
                <w:rFonts w:ascii="Calibri" w:eastAsia="Times New Roman" w:hAnsi="Calibri" w:cs="Calibri"/>
                <w:b/>
                <w:bCs/>
                <w:color w:val="FFFFFF"/>
                <w:lang w:val="sq-AL"/>
              </w:rPr>
              <w:t>54.65</w:t>
            </w:r>
          </w:p>
        </w:tc>
      </w:tr>
      <w:tr w:rsidR="00057745" w:rsidRPr="00DD3BBF" w:rsidTr="00057745">
        <w:trPr>
          <w:trHeight w:val="183"/>
        </w:trPr>
        <w:tc>
          <w:tcPr>
            <w:tcW w:w="1997"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057745" w:rsidRPr="00DD3BBF" w:rsidRDefault="00057745" w:rsidP="00057745">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4</w:t>
            </w:r>
          </w:p>
        </w:tc>
        <w:tc>
          <w:tcPr>
            <w:tcW w:w="202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057745" w:rsidRPr="00DD3BBF" w:rsidRDefault="00057745" w:rsidP="00057745">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Kryqëzimi për Vlorë</w:t>
            </w:r>
          </w:p>
        </w:tc>
        <w:tc>
          <w:tcPr>
            <w:tcW w:w="1678"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057745" w:rsidRPr="00DD3BBF" w:rsidRDefault="00057745" w:rsidP="00057745">
            <w:pPr>
              <w:spacing w:after="0" w:line="240" w:lineRule="auto"/>
              <w:rPr>
                <w:rFonts w:ascii="Calibri" w:eastAsia="Times New Roman" w:hAnsi="Calibri" w:cs="Calibri"/>
                <w:lang w:val="sq-AL"/>
              </w:rPr>
            </w:pPr>
            <w:r w:rsidRPr="00DD3BBF">
              <w:rPr>
                <w:rFonts w:ascii="Calibri" w:eastAsia="Times New Roman" w:hAnsi="Calibri" w:cs="Calibri"/>
                <w:lang w:val="sq-AL"/>
              </w:rPr>
              <w:t>40°43'9.73"N</w:t>
            </w:r>
          </w:p>
        </w:tc>
        <w:tc>
          <w:tcPr>
            <w:tcW w:w="191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057745" w:rsidRPr="00DD3BBF" w:rsidRDefault="00057745" w:rsidP="00057745">
            <w:pPr>
              <w:spacing w:after="0" w:line="240" w:lineRule="auto"/>
              <w:rPr>
                <w:rFonts w:ascii="Calibri" w:eastAsia="Times New Roman" w:hAnsi="Calibri" w:cs="Calibri"/>
                <w:lang w:val="sq-AL"/>
              </w:rPr>
            </w:pPr>
            <w:r w:rsidRPr="00DD3BBF">
              <w:rPr>
                <w:rFonts w:ascii="Calibri" w:eastAsia="Times New Roman" w:hAnsi="Calibri" w:cs="Calibri"/>
                <w:lang w:val="sq-AL"/>
              </w:rPr>
              <w:t>19°33'15.51"E</w:t>
            </w:r>
          </w:p>
        </w:tc>
        <w:tc>
          <w:tcPr>
            <w:tcW w:w="1678"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057745" w:rsidRPr="00DD3BBF" w:rsidRDefault="00057745" w:rsidP="00057745">
            <w:pPr>
              <w:spacing w:after="0" w:line="240" w:lineRule="auto"/>
              <w:jc w:val="right"/>
              <w:rPr>
                <w:rFonts w:ascii="Calibri" w:eastAsia="Times New Roman" w:hAnsi="Calibri" w:cs="Calibri"/>
                <w:b/>
                <w:bCs/>
                <w:color w:val="FFFFFF"/>
                <w:lang w:val="sq-AL"/>
              </w:rPr>
            </w:pPr>
            <w:r w:rsidRPr="00DD3BBF">
              <w:rPr>
                <w:rFonts w:ascii="Calibri" w:eastAsia="Times New Roman" w:hAnsi="Calibri" w:cs="Calibri"/>
                <w:b/>
                <w:bCs/>
                <w:color w:val="FFFFFF"/>
                <w:lang w:val="sq-AL"/>
              </w:rPr>
              <w:t>63.01</w:t>
            </w:r>
          </w:p>
        </w:tc>
        <w:tc>
          <w:tcPr>
            <w:tcW w:w="163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057745" w:rsidRPr="00DD3BBF" w:rsidRDefault="00057745" w:rsidP="00057745">
            <w:pPr>
              <w:spacing w:after="0" w:line="240" w:lineRule="auto"/>
              <w:jc w:val="right"/>
              <w:rPr>
                <w:rFonts w:ascii="Calibri" w:eastAsia="Times New Roman" w:hAnsi="Calibri" w:cs="Calibri"/>
                <w:b/>
                <w:bCs/>
                <w:color w:val="FFFFFF"/>
                <w:lang w:val="sq-AL"/>
              </w:rPr>
            </w:pPr>
            <w:r w:rsidRPr="00DD3BBF">
              <w:rPr>
                <w:rFonts w:ascii="Calibri" w:eastAsia="Times New Roman" w:hAnsi="Calibri" w:cs="Calibri"/>
                <w:b/>
                <w:bCs/>
                <w:color w:val="FFFFFF"/>
                <w:lang w:val="sq-AL"/>
              </w:rPr>
              <w:t>54.33</w:t>
            </w:r>
          </w:p>
        </w:tc>
      </w:tr>
    </w:tbl>
    <w:p w:rsidR="00DD3BBF" w:rsidRPr="00DD3BBF" w:rsidRDefault="00DD3BBF" w:rsidP="00DD3BBF">
      <w:pPr>
        <w:spacing w:after="0" w:line="240" w:lineRule="auto"/>
        <w:jc w:val="both"/>
        <w:rPr>
          <w:rFonts w:ascii="Times New Roman" w:eastAsia="Calibri" w:hAnsi="Times New Roman" w:cs="Times New Roman"/>
          <w:b/>
          <w:noProof/>
          <w:sz w:val="24"/>
          <w:szCs w:val="24"/>
          <w:u w:val="single"/>
          <w:lang w:val="sq-AL"/>
        </w:rPr>
      </w:pPr>
    </w:p>
    <w:p w:rsidR="00DD3BBF" w:rsidRPr="00DD3BBF" w:rsidRDefault="00DD3BBF" w:rsidP="00057745">
      <w:pPr>
        <w:spacing w:after="200" w:line="276" w:lineRule="auto"/>
        <w:rPr>
          <w:rFonts w:ascii="Times New Roman" w:eastAsia="Calibri" w:hAnsi="Times New Roman" w:cs="Times New Roman"/>
          <w:sz w:val="24"/>
          <w:szCs w:val="24"/>
          <w:lang w:val="sq-AL"/>
        </w:rPr>
      </w:pPr>
      <w:r w:rsidRPr="00DD3BBF">
        <w:rPr>
          <w:rFonts w:ascii="Calibri" w:eastAsia="Calibri" w:hAnsi="Calibri" w:cs="Times New Roman"/>
          <w:noProof/>
        </w:rPr>
        <w:drawing>
          <wp:inline distT="0" distB="0" distL="0" distR="0" wp14:anchorId="09CE7DED" wp14:editId="51C197A8">
            <wp:extent cx="2762250" cy="2200275"/>
            <wp:effectExtent l="0" t="0" r="0" b="9525"/>
            <wp:docPr id="85" name="Chart 85">
              <a:extLst xmlns:a="http://schemas.openxmlformats.org/drawingml/2006/main">
                <a:ext uri="{FF2B5EF4-FFF2-40B4-BE49-F238E27FC236}">
                  <a16:creationId xmlns:a16="http://schemas.microsoft.com/office/drawing/2014/main" id="{0451CB95-303E-1027-401A-35BC7CCBBF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057745">
        <w:rPr>
          <w:rFonts w:ascii="Times New Roman" w:eastAsia="Calibri" w:hAnsi="Times New Roman" w:cs="Times New Roman"/>
          <w:sz w:val="24"/>
          <w:szCs w:val="24"/>
          <w:lang w:val="sq-AL"/>
        </w:rPr>
        <w:t xml:space="preserve">  </w:t>
      </w:r>
      <w:r w:rsidR="00057745" w:rsidRPr="00DD3BBF">
        <w:rPr>
          <w:rFonts w:ascii="Calibri" w:eastAsia="Calibri" w:hAnsi="Calibri" w:cs="Times New Roman"/>
          <w:noProof/>
        </w:rPr>
        <w:drawing>
          <wp:inline distT="0" distB="0" distL="0" distR="0" wp14:anchorId="0AE3E878" wp14:editId="6459EE4D">
            <wp:extent cx="2733675" cy="2190750"/>
            <wp:effectExtent l="0" t="0" r="9525" b="0"/>
            <wp:docPr id="86" name="Chart 86">
              <a:extLst xmlns:a="http://schemas.openxmlformats.org/drawingml/2006/main">
                <a:ext uri="{FF2B5EF4-FFF2-40B4-BE49-F238E27FC236}">
                  <a16:creationId xmlns:a16="http://schemas.microsoft.com/office/drawing/2014/main" id="{4B470993-E237-C846-9100-591BAE4A8B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D3BBF" w:rsidRPr="00DD3BBF" w:rsidRDefault="00DD3BBF" w:rsidP="00DD3BBF">
      <w:pPr>
        <w:spacing w:after="0" w:line="240" w:lineRule="auto"/>
        <w:jc w:val="center"/>
        <w:rPr>
          <w:rFonts w:ascii="Times New Roman" w:eastAsia="Calibri" w:hAnsi="Times New Roman" w:cs="Times New Roman"/>
          <w:bCs/>
          <w:sz w:val="24"/>
          <w:szCs w:val="24"/>
          <w:lang w:val="sq-AL"/>
        </w:rPr>
      </w:pP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Referuar të dhënave të monitoruara, siç duket dhe nga grafiku, niveli i zhurmave ditën dhe </w:t>
      </w:r>
      <w:r w:rsidR="005D577C">
        <w:rPr>
          <w:rFonts w:ascii="Times New Roman" w:eastAsia="Calibri" w:hAnsi="Times New Roman" w:cs="Times New Roman"/>
          <w:sz w:val="24"/>
          <w:szCs w:val="24"/>
          <w:lang w:val="sq-AL"/>
        </w:rPr>
        <w:t>natën është më i lartë se norma</w:t>
      </w:r>
      <w:r w:rsidRPr="00DD3BBF">
        <w:rPr>
          <w:rFonts w:ascii="Times New Roman" w:eastAsia="Calibri" w:hAnsi="Times New Roman" w:cs="Times New Roman"/>
          <w:sz w:val="24"/>
          <w:szCs w:val="24"/>
          <w:lang w:val="sq-AL"/>
        </w:rPr>
        <w:t xml:space="preserve"> në të katër stacionet e monitoruara. Niveli më i lartë ditën është matur në stacionin Kryqëzimi për në Vlorë në vlerën 63.01 dB(A) me një tejkalim prej 14.5%.</w:t>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Niveli i zhurmave natën është më i lartë se norma në stacionin Prefektura në vlerën 54.65 dB(A) me një tejkalim  prej 21.4%.</w:t>
      </w:r>
    </w:p>
    <w:p w:rsidR="00DD3BBF" w:rsidRDefault="00DD3BBF" w:rsidP="00DD3BBF">
      <w:pPr>
        <w:spacing w:after="200" w:line="240" w:lineRule="auto"/>
        <w:jc w:val="both"/>
        <w:rPr>
          <w:rFonts w:ascii="Times New Roman" w:eastAsia="Calibri" w:hAnsi="Times New Roman" w:cs="Times New Roman"/>
          <w:sz w:val="24"/>
          <w:szCs w:val="24"/>
          <w:lang w:val="sq-AL"/>
        </w:rPr>
      </w:pPr>
    </w:p>
    <w:p w:rsidR="009E4ABE" w:rsidRPr="00DD3BBF" w:rsidRDefault="009E4ABE" w:rsidP="00DD3BBF">
      <w:pPr>
        <w:spacing w:after="200" w:line="240" w:lineRule="auto"/>
        <w:jc w:val="both"/>
        <w:rPr>
          <w:rFonts w:ascii="Times New Roman" w:eastAsia="Calibri" w:hAnsi="Times New Roman" w:cs="Times New Roman"/>
          <w:sz w:val="24"/>
          <w:szCs w:val="24"/>
          <w:lang w:val="sq-AL"/>
        </w:rPr>
      </w:pPr>
    </w:p>
    <w:p w:rsidR="00057745" w:rsidRPr="00057745" w:rsidRDefault="00DD3BBF" w:rsidP="0033538C">
      <w:pPr>
        <w:numPr>
          <w:ilvl w:val="0"/>
          <w:numId w:val="9"/>
        </w:numPr>
        <w:spacing w:after="200" w:line="240" w:lineRule="auto"/>
        <w:contextualSpacing/>
        <w:jc w:val="both"/>
        <w:rPr>
          <w:rFonts w:ascii="Times New Roman" w:eastAsia="Calibri" w:hAnsi="Times New Roman" w:cs="Times New Roman"/>
          <w:sz w:val="24"/>
          <w:szCs w:val="24"/>
          <w:lang w:val="sq-AL"/>
        </w:rPr>
      </w:pPr>
      <w:r w:rsidRPr="00DD3BBF">
        <w:rPr>
          <w:rFonts w:ascii="Times New Roman" w:eastAsia="Calibri" w:hAnsi="Times New Roman" w:cs="Times New Roman"/>
          <w:b/>
          <w:sz w:val="24"/>
          <w:szCs w:val="24"/>
          <w:lang w:val="sq-AL"/>
        </w:rPr>
        <w:t xml:space="preserve">Monitorimi i zhurmave në qytetin e Korçës </w:t>
      </w:r>
    </w:p>
    <w:p w:rsidR="00DD3BBF" w:rsidRPr="00DD3BBF" w:rsidRDefault="00DD3BBF" w:rsidP="00057745">
      <w:pPr>
        <w:spacing w:after="200" w:line="240" w:lineRule="auto"/>
        <w:ind w:left="1440"/>
        <w:contextualSpacing/>
        <w:jc w:val="both"/>
        <w:rPr>
          <w:rFonts w:ascii="Times New Roman" w:eastAsia="Calibri" w:hAnsi="Times New Roman" w:cs="Times New Roman"/>
          <w:sz w:val="24"/>
          <w:szCs w:val="24"/>
          <w:lang w:val="sq-AL"/>
        </w:rPr>
      </w:pPr>
      <w:r w:rsidRPr="00DD3BBF">
        <w:rPr>
          <w:rFonts w:ascii="Times New Roman" w:eastAsia="Calibri" w:hAnsi="Times New Roman" w:cs="Times New Roman"/>
          <w:b/>
          <w:sz w:val="24"/>
          <w:szCs w:val="24"/>
          <w:lang w:val="sq-AL"/>
        </w:rPr>
        <w:t xml:space="preserve"> </w:t>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Monitorimi i</w:t>
      </w:r>
      <w:r w:rsidR="005D577C">
        <w:rPr>
          <w:rFonts w:ascii="Times New Roman" w:eastAsia="Calibri" w:hAnsi="Times New Roman" w:cs="Times New Roman"/>
          <w:sz w:val="24"/>
          <w:szCs w:val="24"/>
          <w:lang w:val="sq-AL"/>
        </w:rPr>
        <w:t xml:space="preserve"> zhurmave në qytetin e Korçës</w:t>
      </w:r>
      <w:r w:rsidRPr="00DD3BBF">
        <w:rPr>
          <w:rFonts w:ascii="Times New Roman" w:eastAsia="Calibri" w:hAnsi="Times New Roman" w:cs="Times New Roman"/>
          <w:sz w:val="24"/>
          <w:szCs w:val="24"/>
          <w:lang w:val="sq-AL"/>
        </w:rPr>
        <w:t xml:space="preserve"> është realizuar në 4 stacion</w:t>
      </w:r>
      <w:r w:rsidR="005D577C">
        <w:rPr>
          <w:rFonts w:ascii="Times New Roman" w:eastAsia="Calibri" w:hAnsi="Times New Roman" w:cs="Times New Roman"/>
          <w:sz w:val="24"/>
          <w:szCs w:val="24"/>
          <w:lang w:val="sq-AL"/>
        </w:rPr>
        <w:t>e ditën dhe natën si në tabelën</w:t>
      </w:r>
      <w:r w:rsidR="00057745">
        <w:rPr>
          <w:rFonts w:ascii="Times New Roman" w:eastAsia="Calibri" w:hAnsi="Times New Roman" w:cs="Times New Roman"/>
          <w:sz w:val="24"/>
          <w:szCs w:val="24"/>
          <w:lang w:val="sq-AL"/>
        </w:rPr>
        <w:t xml:space="preserve"> mëposhtë</w:t>
      </w:r>
      <w:r w:rsidRPr="00DD3BBF">
        <w:rPr>
          <w:rFonts w:ascii="Times New Roman" w:eastAsia="Calibri" w:hAnsi="Times New Roman" w:cs="Times New Roman"/>
          <w:sz w:val="24"/>
          <w:szCs w:val="24"/>
          <w:lang w:val="sq-AL"/>
        </w:rPr>
        <w:t xml:space="preserve">. </w:t>
      </w:r>
    </w:p>
    <w:p w:rsidR="00DD3BBF" w:rsidRPr="00DD3BBF" w:rsidRDefault="00DD3BBF" w:rsidP="00057745">
      <w:pPr>
        <w:spacing w:after="200" w:line="240" w:lineRule="auto"/>
        <w:jc w:val="center"/>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Tabela </w:t>
      </w:r>
      <w:r w:rsidR="00057745">
        <w:rPr>
          <w:rFonts w:ascii="Times New Roman" w:eastAsia="Calibri" w:hAnsi="Times New Roman" w:cs="Times New Roman"/>
          <w:sz w:val="24"/>
          <w:szCs w:val="24"/>
          <w:lang w:val="sq-AL"/>
        </w:rPr>
        <w:t>8</w:t>
      </w:r>
      <w:r w:rsidRPr="00DD3BBF">
        <w:rPr>
          <w:rFonts w:ascii="Times New Roman" w:eastAsia="Calibri" w:hAnsi="Times New Roman" w:cs="Times New Roman"/>
          <w:sz w:val="24"/>
          <w:szCs w:val="24"/>
          <w:lang w:val="sq-AL"/>
        </w:rPr>
        <w:t xml:space="preserve"> -  Stacionet e monitoruara në qytetin e Korçës</w:t>
      </w:r>
    </w:p>
    <w:tbl>
      <w:tblPr>
        <w:tblW w:w="9782" w:type="dxa"/>
        <w:tblLook w:val="04A0" w:firstRow="1" w:lastRow="0" w:firstColumn="1" w:lastColumn="0" w:noHBand="0" w:noVBand="1"/>
      </w:tblPr>
      <w:tblGrid>
        <w:gridCol w:w="1565"/>
        <w:gridCol w:w="1578"/>
        <w:gridCol w:w="1590"/>
        <w:gridCol w:w="1551"/>
        <w:gridCol w:w="1896"/>
        <w:gridCol w:w="1602"/>
      </w:tblGrid>
      <w:tr w:rsidR="00DD3BBF" w:rsidRPr="00DD3BBF" w:rsidTr="00DD3BBF">
        <w:trPr>
          <w:trHeight w:val="183"/>
        </w:trPr>
        <w:tc>
          <w:tcPr>
            <w:tcW w:w="1565"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Nr.</w:t>
            </w:r>
          </w:p>
        </w:tc>
        <w:tc>
          <w:tcPr>
            <w:tcW w:w="1578"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Stacionet e monitorimit </w:t>
            </w:r>
          </w:p>
        </w:tc>
        <w:tc>
          <w:tcPr>
            <w:tcW w:w="159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Gjatësi gjeografike </w:t>
            </w:r>
          </w:p>
        </w:tc>
        <w:tc>
          <w:tcPr>
            <w:tcW w:w="1551"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Gjerësi gjeografike</w:t>
            </w:r>
          </w:p>
        </w:tc>
        <w:tc>
          <w:tcPr>
            <w:tcW w:w="1896"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LAeq </w:t>
            </w:r>
          </w:p>
        </w:tc>
        <w:tc>
          <w:tcPr>
            <w:tcW w:w="1602"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LAeq 2</w:t>
            </w:r>
          </w:p>
        </w:tc>
      </w:tr>
      <w:tr w:rsidR="00DD3BBF" w:rsidRPr="00DD3BBF" w:rsidTr="00DD3BBF">
        <w:trPr>
          <w:trHeight w:val="183"/>
        </w:trPr>
        <w:tc>
          <w:tcPr>
            <w:tcW w:w="156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578"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59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551"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89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xml:space="preserve">/Ditën </w:t>
            </w:r>
          </w:p>
        </w:tc>
        <w:tc>
          <w:tcPr>
            <w:tcW w:w="1602"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/Natën</w:t>
            </w:r>
          </w:p>
        </w:tc>
      </w:tr>
      <w:tr w:rsidR="00DD3BBF" w:rsidRPr="00DD3BBF" w:rsidTr="00DD3BBF">
        <w:trPr>
          <w:trHeight w:val="183"/>
        </w:trPr>
        <w:tc>
          <w:tcPr>
            <w:tcW w:w="156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1</w:t>
            </w:r>
          </w:p>
        </w:tc>
        <w:tc>
          <w:tcPr>
            <w:tcW w:w="1578"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xml:space="preserve">Kryqëzimi i Hyrjes                  </w:t>
            </w:r>
          </w:p>
        </w:tc>
        <w:tc>
          <w:tcPr>
            <w:tcW w:w="159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40°37'26.74"N</w:t>
            </w:r>
          </w:p>
        </w:tc>
        <w:tc>
          <w:tcPr>
            <w:tcW w:w="1551"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20°46'55.94"E</w:t>
            </w:r>
          </w:p>
        </w:tc>
        <w:tc>
          <w:tcPr>
            <w:tcW w:w="189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62.37</w:t>
            </w:r>
          </w:p>
        </w:tc>
        <w:tc>
          <w:tcPr>
            <w:tcW w:w="1602"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51.21</w:t>
            </w:r>
          </w:p>
        </w:tc>
      </w:tr>
      <w:tr w:rsidR="00DD3BBF" w:rsidRPr="00DD3BBF" w:rsidTr="00DD3BBF">
        <w:trPr>
          <w:trHeight w:val="183"/>
        </w:trPr>
        <w:tc>
          <w:tcPr>
            <w:tcW w:w="156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578"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59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551"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89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602"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r>
      <w:tr w:rsidR="00DD3BBF" w:rsidRPr="00DD3BBF" w:rsidTr="00DD3BBF">
        <w:trPr>
          <w:trHeight w:val="183"/>
        </w:trPr>
        <w:tc>
          <w:tcPr>
            <w:tcW w:w="156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2</w:t>
            </w:r>
          </w:p>
        </w:tc>
        <w:tc>
          <w:tcPr>
            <w:tcW w:w="1578"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xml:space="preserve">Tregu i Shumicës                     </w:t>
            </w:r>
          </w:p>
        </w:tc>
        <w:tc>
          <w:tcPr>
            <w:tcW w:w="159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40°37'3.88"N</w:t>
            </w:r>
          </w:p>
        </w:tc>
        <w:tc>
          <w:tcPr>
            <w:tcW w:w="1551"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20°46'33.88"E</w:t>
            </w:r>
          </w:p>
        </w:tc>
        <w:tc>
          <w:tcPr>
            <w:tcW w:w="189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60.09</w:t>
            </w:r>
          </w:p>
        </w:tc>
        <w:tc>
          <w:tcPr>
            <w:tcW w:w="1602"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48.15</w:t>
            </w:r>
          </w:p>
        </w:tc>
      </w:tr>
      <w:tr w:rsidR="00DD3BBF" w:rsidRPr="00DD3BBF" w:rsidTr="00DD3BBF">
        <w:trPr>
          <w:trHeight w:val="183"/>
        </w:trPr>
        <w:tc>
          <w:tcPr>
            <w:tcW w:w="156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578"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59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551"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89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602"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r>
      <w:tr w:rsidR="00DD3BBF" w:rsidRPr="00DD3BBF" w:rsidTr="00DD3BBF">
        <w:trPr>
          <w:trHeight w:val="183"/>
        </w:trPr>
        <w:tc>
          <w:tcPr>
            <w:tcW w:w="156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3</w:t>
            </w:r>
          </w:p>
        </w:tc>
        <w:tc>
          <w:tcPr>
            <w:tcW w:w="1578"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xml:space="preserve">Kryqëzimi i Spitalit                   </w:t>
            </w:r>
          </w:p>
        </w:tc>
        <w:tc>
          <w:tcPr>
            <w:tcW w:w="159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40°36'45.73"N</w:t>
            </w:r>
          </w:p>
        </w:tc>
        <w:tc>
          <w:tcPr>
            <w:tcW w:w="1551"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20°47'1.51"E</w:t>
            </w:r>
          </w:p>
        </w:tc>
        <w:tc>
          <w:tcPr>
            <w:tcW w:w="189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59.06</w:t>
            </w:r>
          </w:p>
        </w:tc>
        <w:tc>
          <w:tcPr>
            <w:tcW w:w="1602"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49.07</w:t>
            </w:r>
          </w:p>
        </w:tc>
      </w:tr>
      <w:tr w:rsidR="00DD3BBF" w:rsidRPr="00DD3BBF" w:rsidTr="00DD3BBF">
        <w:trPr>
          <w:trHeight w:val="183"/>
        </w:trPr>
        <w:tc>
          <w:tcPr>
            <w:tcW w:w="156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578"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59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551"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89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602"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r>
      <w:tr w:rsidR="00DD3BBF" w:rsidRPr="00DD3BBF" w:rsidTr="00DD3BBF">
        <w:trPr>
          <w:trHeight w:val="183"/>
        </w:trPr>
        <w:tc>
          <w:tcPr>
            <w:tcW w:w="156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4</w:t>
            </w:r>
          </w:p>
        </w:tc>
        <w:tc>
          <w:tcPr>
            <w:tcW w:w="1578"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xml:space="preserve">Telekomi                   </w:t>
            </w:r>
          </w:p>
        </w:tc>
        <w:tc>
          <w:tcPr>
            <w:tcW w:w="159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40°37'4.32"N</w:t>
            </w:r>
          </w:p>
        </w:tc>
        <w:tc>
          <w:tcPr>
            <w:tcW w:w="1551"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20°46'55.68"E</w:t>
            </w:r>
          </w:p>
        </w:tc>
        <w:tc>
          <w:tcPr>
            <w:tcW w:w="189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59.56</w:t>
            </w:r>
          </w:p>
        </w:tc>
        <w:tc>
          <w:tcPr>
            <w:tcW w:w="1602"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47.19</w:t>
            </w:r>
          </w:p>
        </w:tc>
      </w:tr>
    </w:tbl>
    <w:p w:rsidR="00DD3BBF" w:rsidRPr="00DD3BBF" w:rsidRDefault="00DD3BBF" w:rsidP="00DD3BBF">
      <w:pPr>
        <w:spacing w:after="0" w:line="240" w:lineRule="auto"/>
        <w:jc w:val="both"/>
        <w:rPr>
          <w:rFonts w:ascii="Times New Roman" w:eastAsia="Calibri" w:hAnsi="Times New Roman" w:cs="Times New Roman"/>
          <w:bCs/>
          <w:sz w:val="24"/>
          <w:szCs w:val="24"/>
          <w:lang w:val="sq-AL"/>
        </w:rPr>
      </w:pPr>
    </w:p>
    <w:p w:rsidR="00DD3BBF" w:rsidRPr="00DD3BBF" w:rsidRDefault="00DD3BBF" w:rsidP="00DD3BBF">
      <w:pPr>
        <w:spacing w:after="0" w:line="240" w:lineRule="auto"/>
        <w:jc w:val="center"/>
        <w:rPr>
          <w:rFonts w:ascii="Times New Roman" w:eastAsia="Calibri" w:hAnsi="Times New Roman" w:cs="Times New Roman"/>
          <w:sz w:val="24"/>
          <w:szCs w:val="24"/>
          <w:lang w:val="sq-AL"/>
        </w:rPr>
      </w:pPr>
    </w:p>
    <w:p w:rsidR="00DD3BBF" w:rsidRPr="00DD3BBF" w:rsidRDefault="00DD3BBF" w:rsidP="004E3CAD">
      <w:pPr>
        <w:spacing w:after="200" w:line="276" w:lineRule="auto"/>
        <w:rPr>
          <w:rFonts w:ascii="Times New Roman" w:eastAsia="Calibri" w:hAnsi="Times New Roman" w:cs="Times New Roman"/>
          <w:sz w:val="24"/>
          <w:szCs w:val="24"/>
          <w:lang w:val="sq-AL"/>
        </w:rPr>
      </w:pPr>
      <w:r w:rsidRPr="00DD3BBF">
        <w:rPr>
          <w:rFonts w:ascii="Calibri" w:eastAsia="Calibri" w:hAnsi="Calibri" w:cs="Times New Roman"/>
          <w:noProof/>
        </w:rPr>
        <w:drawing>
          <wp:inline distT="0" distB="0" distL="0" distR="0" wp14:anchorId="6917EE57" wp14:editId="561F6ECC">
            <wp:extent cx="2867025" cy="1990725"/>
            <wp:effectExtent l="0" t="0" r="9525" b="9525"/>
            <wp:docPr id="87" name="Chart 87">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EB1244">
        <w:rPr>
          <w:rFonts w:ascii="Times New Roman" w:eastAsia="Calibri" w:hAnsi="Times New Roman" w:cs="Times New Roman"/>
          <w:sz w:val="24"/>
          <w:szCs w:val="24"/>
          <w:lang w:val="sq-AL"/>
        </w:rPr>
        <w:t xml:space="preserve">  </w:t>
      </w:r>
      <w:r w:rsidR="00EB1244" w:rsidRPr="00DD3BBF">
        <w:rPr>
          <w:rFonts w:ascii="Calibri" w:eastAsia="Calibri" w:hAnsi="Calibri" w:cs="Times New Roman"/>
          <w:noProof/>
        </w:rPr>
        <w:drawing>
          <wp:inline distT="0" distB="0" distL="0" distR="0" wp14:anchorId="0EEA773B" wp14:editId="53ECD438">
            <wp:extent cx="2714625" cy="2019300"/>
            <wp:effectExtent l="0" t="0" r="9525" b="0"/>
            <wp:docPr id="88" name="Chart 88">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Referuar të dhënave të monitoruara vërejmë se niveli më i lartë i zhurmave ditën në qytetin e Korçës është monitoruar në stacionin Kryqëzimi i Hyrjes në vlerën 62.37 dB(A) me një tejkalim prej 13.4% mbi normën e lejuar.</w:t>
      </w:r>
    </w:p>
    <w:p w:rsid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Ndërsa niveli më i ulët është regjistruar në stacionin Kryqëzimi i Spitalit në vlerën 59.06 dB(A) me një tejkalim prej 7.3% mbi normën e lejuar.</w:t>
      </w:r>
      <w:r w:rsidR="00EB1244">
        <w:rPr>
          <w:rFonts w:ascii="Times New Roman" w:eastAsia="Calibri" w:hAnsi="Times New Roman" w:cs="Times New Roman"/>
          <w:sz w:val="24"/>
          <w:szCs w:val="24"/>
          <w:lang w:val="sq-AL"/>
        </w:rPr>
        <w:t xml:space="preserve"> </w:t>
      </w:r>
      <w:r w:rsidRPr="00DD3BBF">
        <w:rPr>
          <w:rFonts w:ascii="Times New Roman" w:eastAsia="Calibri" w:hAnsi="Times New Roman" w:cs="Times New Roman"/>
          <w:sz w:val="24"/>
          <w:szCs w:val="24"/>
          <w:lang w:val="sq-AL"/>
        </w:rPr>
        <w:t>Niveli më i lartë i zhurmave natën në qytetin e Korçës është monitoruar në stacionin Kryqëzimi i Hyrjes në vlerën 51.21 dB(A) me një tejkalim prej 13.8% mbi normën.</w:t>
      </w:r>
      <w:r w:rsidR="00EB1244">
        <w:rPr>
          <w:rFonts w:ascii="Times New Roman" w:eastAsia="Calibri" w:hAnsi="Times New Roman" w:cs="Times New Roman"/>
          <w:sz w:val="24"/>
          <w:szCs w:val="24"/>
          <w:lang w:val="sq-AL"/>
        </w:rPr>
        <w:t xml:space="preserve"> </w:t>
      </w:r>
      <w:r w:rsidRPr="00DD3BBF">
        <w:rPr>
          <w:rFonts w:ascii="Times New Roman" w:eastAsia="Calibri" w:hAnsi="Times New Roman" w:cs="Times New Roman"/>
          <w:sz w:val="24"/>
          <w:szCs w:val="24"/>
          <w:lang w:val="sq-AL"/>
        </w:rPr>
        <w:t>Ndërsa niveli më i ulët është regjistruar në stacionin Telekomi në vlerën 47.19 dB(A) me një tejkalim prej 4.8% mbi normën e lejuar.</w:t>
      </w:r>
    </w:p>
    <w:p w:rsidR="00EB1244" w:rsidRPr="00DD3BBF" w:rsidRDefault="00EB1244" w:rsidP="00DD3BBF">
      <w:pPr>
        <w:spacing w:after="200" w:line="240" w:lineRule="auto"/>
        <w:jc w:val="both"/>
        <w:rPr>
          <w:rFonts w:ascii="Times New Roman" w:eastAsia="Calibri" w:hAnsi="Times New Roman" w:cs="Times New Roman"/>
          <w:sz w:val="24"/>
          <w:szCs w:val="24"/>
          <w:lang w:val="sq-AL"/>
        </w:rPr>
      </w:pPr>
    </w:p>
    <w:p w:rsidR="00DD3BBF" w:rsidRPr="00DD3BBF" w:rsidRDefault="00DD3BBF" w:rsidP="0033538C">
      <w:pPr>
        <w:numPr>
          <w:ilvl w:val="0"/>
          <w:numId w:val="9"/>
        </w:numPr>
        <w:spacing w:after="200" w:line="240" w:lineRule="auto"/>
        <w:contextualSpacing/>
        <w:jc w:val="both"/>
        <w:rPr>
          <w:rFonts w:ascii="Times New Roman" w:eastAsia="Calibri" w:hAnsi="Times New Roman" w:cs="Times New Roman"/>
          <w:b/>
          <w:sz w:val="24"/>
          <w:szCs w:val="24"/>
          <w:lang w:val="sq-AL"/>
        </w:rPr>
      </w:pPr>
      <w:r w:rsidRPr="00DD3BBF">
        <w:rPr>
          <w:rFonts w:ascii="Times New Roman" w:eastAsia="Calibri" w:hAnsi="Times New Roman" w:cs="Times New Roman"/>
          <w:b/>
          <w:sz w:val="24"/>
          <w:szCs w:val="24"/>
          <w:lang w:val="sq-AL"/>
        </w:rPr>
        <w:t xml:space="preserve">Monitorimi i zhurmave në qytetin e Tiranës </w:t>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Monitorimi i zhurmave në Tiranë është realizuar në 15 stacione ditën dhe natën si në tabelën </w:t>
      </w:r>
      <w:r w:rsidR="00672D26">
        <w:rPr>
          <w:rFonts w:ascii="Times New Roman" w:eastAsia="Calibri" w:hAnsi="Times New Roman" w:cs="Times New Roman"/>
          <w:sz w:val="24"/>
          <w:szCs w:val="24"/>
          <w:lang w:val="sq-AL"/>
        </w:rPr>
        <w:t>9</w:t>
      </w:r>
      <w:r w:rsidRPr="00DD3BBF">
        <w:rPr>
          <w:rFonts w:ascii="Times New Roman" w:eastAsia="Calibri" w:hAnsi="Times New Roman" w:cs="Times New Roman"/>
          <w:sz w:val="24"/>
          <w:szCs w:val="24"/>
          <w:lang w:val="sq-AL"/>
        </w:rPr>
        <w:t xml:space="preserve">. </w:t>
      </w:r>
    </w:p>
    <w:p w:rsidR="00DD3BBF" w:rsidRPr="00DD3BBF" w:rsidRDefault="00DD3BBF" w:rsidP="00DD3BBF">
      <w:pPr>
        <w:spacing w:after="200" w:line="240" w:lineRule="auto"/>
        <w:jc w:val="center"/>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Tabela </w:t>
      </w:r>
      <w:r w:rsidR="00EB1244">
        <w:rPr>
          <w:rFonts w:ascii="Times New Roman" w:eastAsia="Calibri" w:hAnsi="Times New Roman" w:cs="Times New Roman"/>
          <w:sz w:val="24"/>
          <w:szCs w:val="24"/>
          <w:lang w:val="sq-AL"/>
        </w:rPr>
        <w:t>9</w:t>
      </w:r>
      <w:r w:rsidRPr="00DD3BBF">
        <w:rPr>
          <w:rFonts w:ascii="Times New Roman" w:eastAsia="Calibri" w:hAnsi="Times New Roman" w:cs="Times New Roman"/>
          <w:sz w:val="24"/>
          <w:szCs w:val="24"/>
          <w:lang w:val="sq-AL"/>
        </w:rPr>
        <w:t xml:space="preserve"> -  Stacionet e monitoruara ne qytetin e Tiranë</w:t>
      </w:r>
    </w:p>
    <w:tbl>
      <w:tblPr>
        <w:tblW w:w="9085" w:type="dxa"/>
        <w:tblLook w:val="04A0" w:firstRow="1" w:lastRow="0" w:firstColumn="1" w:lastColumn="0" w:noHBand="0" w:noVBand="1"/>
      </w:tblPr>
      <w:tblGrid>
        <w:gridCol w:w="3595"/>
        <w:gridCol w:w="2536"/>
        <w:gridCol w:w="2954"/>
      </w:tblGrid>
      <w:tr w:rsidR="00DD3BBF" w:rsidRPr="00DD3BBF" w:rsidTr="00DD3BBF">
        <w:trPr>
          <w:trHeight w:val="300"/>
        </w:trPr>
        <w:tc>
          <w:tcPr>
            <w:tcW w:w="3595"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Tiranë</w:t>
            </w:r>
          </w:p>
        </w:tc>
        <w:tc>
          <w:tcPr>
            <w:tcW w:w="2536"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LAeq /Ditën</w:t>
            </w:r>
          </w:p>
        </w:tc>
        <w:tc>
          <w:tcPr>
            <w:tcW w:w="2954"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LAeq /Natën</w:t>
            </w:r>
          </w:p>
        </w:tc>
      </w:tr>
      <w:tr w:rsidR="00DD3BBF" w:rsidRPr="00DD3BBF" w:rsidTr="00DD3BBF">
        <w:trPr>
          <w:trHeight w:val="300"/>
        </w:trPr>
        <w:tc>
          <w:tcPr>
            <w:tcW w:w="359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Shkolla e Bashkuar</w:t>
            </w:r>
          </w:p>
        </w:tc>
        <w:tc>
          <w:tcPr>
            <w:tcW w:w="253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61.78</w:t>
            </w:r>
          </w:p>
        </w:tc>
        <w:tc>
          <w:tcPr>
            <w:tcW w:w="2954"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53.86</w:t>
            </w:r>
          </w:p>
        </w:tc>
      </w:tr>
      <w:tr w:rsidR="00DD3BBF" w:rsidRPr="00DD3BBF" w:rsidTr="00DD3BBF">
        <w:trPr>
          <w:trHeight w:val="300"/>
        </w:trPr>
        <w:tc>
          <w:tcPr>
            <w:tcW w:w="359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Rruga e Elbasanit</w:t>
            </w:r>
          </w:p>
        </w:tc>
        <w:tc>
          <w:tcPr>
            <w:tcW w:w="253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63.16</w:t>
            </w:r>
          </w:p>
        </w:tc>
        <w:tc>
          <w:tcPr>
            <w:tcW w:w="2954"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52.74</w:t>
            </w:r>
          </w:p>
        </w:tc>
      </w:tr>
      <w:tr w:rsidR="00DD3BBF" w:rsidRPr="00DD3BBF" w:rsidTr="00DD3BBF">
        <w:trPr>
          <w:trHeight w:val="300"/>
        </w:trPr>
        <w:tc>
          <w:tcPr>
            <w:tcW w:w="359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Kryqëzimi "Vasil Shanto"</w:t>
            </w:r>
          </w:p>
        </w:tc>
        <w:tc>
          <w:tcPr>
            <w:tcW w:w="253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63.08</w:t>
            </w:r>
          </w:p>
        </w:tc>
        <w:tc>
          <w:tcPr>
            <w:tcW w:w="2954"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51.02</w:t>
            </w:r>
          </w:p>
        </w:tc>
      </w:tr>
      <w:tr w:rsidR="00DD3BBF" w:rsidRPr="00DD3BBF" w:rsidTr="00DD3BBF">
        <w:trPr>
          <w:trHeight w:val="300"/>
        </w:trPr>
        <w:tc>
          <w:tcPr>
            <w:tcW w:w="359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Farmacia 10</w:t>
            </w:r>
          </w:p>
        </w:tc>
        <w:tc>
          <w:tcPr>
            <w:tcW w:w="253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64.73</w:t>
            </w:r>
          </w:p>
        </w:tc>
        <w:tc>
          <w:tcPr>
            <w:tcW w:w="2954"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56.23</w:t>
            </w:r>
          </w:p>
        </w:tc>
      </w:tr>
      <w:tr w:rsidR="00DD3BBF" w:rsidRPr="00DD3BBF" w:rsidTr="00DD3BBF">
        <w:trPr>
          <w:trHeight w:val="300"/>
        </w:trPr>
        <w:tc>
          <w:tcPr>
            <w:tcW w:w="359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Stacioni i Trenit</w:t>
            </w:r>
          </w:p>
        </w:tc>
        <w:tc>
          <w:tcPr>
            <w:tcW w:w="253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64.36</w:t>
            </w:r>
          </w:p>
        </w:tc>
        <w:tc>
          <w:tcPr>
            <w:tcW w:w="2954"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53.44</w:t>
            </w:r>
          </w:p>
        </w:tc>
      </w:tr>
      <w:tr w:rsidR="00DD3BBF" w:rsidRPr="00DD3BBF" w:rsidTr="00DD3BBF">
        <w:trPr>
          <w:trHeight w:val="300"/>
        </w:trPr>
        <w:tc>
          <w:tcPr>
            <w:tcW w:w="359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Kryqezimi 21 Dhjetorit</w:t>
            </w:r>
          </w:p>
        </w:tc>
        <w:tc>
          <w:tcPr>
            <w:tcW w:w="253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63.69</w:t>
            </w:r>
          </w:p>
        </w:tc>
        <w:tc>
          <w:tcPr>
            <w:tcW w:w="2954"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52.02</w:t>
            </w:r>
          </w:p>
        </w:tc>
      </w:tr>
      <w:tr w:rsidR="00DD3BBF" w:rsidRPr="00DD3BBF" w:rsidTr="00DD3BBF">
        <w:trPr>
          <w:trHeight w:val="300"/>
        </w:trPr>
        <w:tc>
          <w:tcPr>
            <w:tcW w:w="359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Partizani Panjohur</w:t>
            </w:r>
          </w:p>
        </w:tc>
        <w:tc>
          <w:tcPr>
            <w:tcW w:w="253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63.28</w:t>
            </w:r>
          </w:p>
        </w:tc>
        <w:tc>
          <w:tcPr>
            <w:tcW w:w="2954"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52.89</w:t>
            </w:r>
          </w:p>
        </w:tc>
      </w:tr>
      <w:tr w:rsidR="00DD3BBF" w:rsidRPr="00DD3BBF" w:rsidTr="00DD3BBF">
        <w:trPr>
          <w:trHeight w:val="300"/>
        </w:trPr>
        <w:tc>
          <w:tcPr>
            <w:tcW w:w="359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Pallati I Kongreseve</w:t>
            </w:r>
          </w:p>
        </w:tc>
        <w:tc>
          <w:tcPr>
            <w:tcW w:w="253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61.96</w:t>
            </w:r>
          </w:p>
        </w:tc>
        <w:tc>
          <w:tcPr>
            <w:tcW w:w="2954"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50.1</w:t>
            </w:r>
          </w:p>
        </w:tc>
      </w:tr>
      <w:tr w:rsidR="00DD3BBF" w:rsidRPr="00DD3BBF" w:rsidTr="00DD3BBF">
        <w:trPr>
          <w:trHeight w:val="300"/>
        </w:trPr>
        <w:tc>
          <w:tcPr>
            <w:tcW w:w="359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Ish Banka Amerikane (Ish Blloku)</w:t>
            </w:r>
          </w:p>
        </w:tc>
        <w:tc>
          <w:tcPr>
            <w:tcW w:w="253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62.04</w:t>
            </w:r>
          </w:p>
        </w:tc>
        <w:tc>
          <w:tcPr>
            <w:tcW w:w="2954"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52.07</w:t>
            </w:r>
          </w:p>
        </w:tc>
      </w:tr>
      <w:tr w:rsidR="00DD3BBF" w:rsidRPr="00DD3BBF" w:rsidTr="00DD3BBF">
        <w:trPr>
          <w:trHeight w:val="300"/>
        </w:trPr>
        <w:tc>
          <w:tcPr>
            <w:tcW w:w="359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Skenderbeu</w:t>
            </w:r>
          </w:p>
        </w:tc>
        <w:tc>
          <w:tcPr>
            <w:tcW w:w="253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62.41</w:t>
            </w:r>
          </w:p>
        </w:tc>
        <w:tc>
          <w:tcPr>
            <w:tcW w:w="2954"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52.67</w:t>
            </w:r>
          </w:p>
        </w:tc>
      </w:tr>
      <w:tr w:rsidR="00DD3BBF" w:rsidRPr="00DD3BBF" w:rsidTr="00DD3BBF">
        <w:trPr>
          <w:trHeight w:val="300"/>
        </w:trPr>
        <w:tc>
          <w:tcPr>
            <w:tcW w:w="359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Selvia</w:t>
            </w:r>
          </w:p>
        </w:tc>
        <w:tc>
          <w:tcPr>
            <w:tcW w:w="253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60.31</w:t>
            </w:r>
          </w:p>
        </w:tc>
        <w:tc>
          <w:tcPr>
            <w:tcW w:w="2954"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50.1</w:t>
            </w:r>
          </w:p>
        </w:tc>
      </w:tr>
      <w:tr w:rsidR="00DD3BBF" w:rsidRPr="00DD3BBF" w:rsidTr="00DD3BBF">
        <w:trPr>
          <w:trHeight w:val="300"/>
        </w:trPr>
        <w:tc>
          <w:tcPr>
            <w:tcW w:w="359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Lapraka</w:t>
            </w:r>
          </w:p>
        </w:tc>
        <w:tc>
          <w:tcPr>
            <w:tcW w:w="253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64.26</w:t>
            </w:r>
          </w:p>
        </w:tc>
        <w:tc>
          <w:tcPr>
            <w:tcW w:w="2954"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54.25</w:t>
            </w:r>
          </w:p>
        </w:tc>
      </w:tr>
      <w:tr w:rsidR="00DD3BBF" w:rsidRPr="00DD3BBF" w:rsidTr="00DD3BBF">
        <w:trPr>
          <w:trHeight w:val="300"/>
        </w:trPr>
        <w:tc>
          <w:tcPr>
            <w:tcW w:w="359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Drejtoria e Policise</w:t>
            </w:r>
          </w:p>
        </w:tc>
        <w:tc>
          <w:tcPr>
            <w:tcW w:w="253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63.7</w:t>
            </w:r>
          </w:p>
        </w:tc>
        <w:tc>
          <w:tcPr>
            <w:tcW w:w="2954"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55.43</w:t>
            </w:r>
          </w:p>
        </w:tc>
      </w:tr>
      <w:tr w:rsidR="00DD3BBF" w:rsidRPr="00DD3BBF" w:rsidTr="00DD3BBF">
        <w:trPr>
          <w:trHeight w:val="300"/>
        </w:trPr>
        <w:tc>
          <w:tcPr>
            <w:tcW w:w="359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Shkolla "Edit Durham"</w:t>
            </w:r>
          </w:p>
        </w:tc>
        <w:tc>
          <w:tcPr>
            <w:tcW w:w="253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63.62</w:t>
            </w:r>
          </w:p>
        </w:tc>
        <w:tc>
          <w:tcPr>
            <w:tcW w:w="2954"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55.46</w:t>
            </w:r>
          </w:p>
        </w:tc>
      </w:tr>
      <w:tr w:rsidR="00DD3BBF" w:rsidRPr="00DD3BBF" w:rsidTr="00DD3BBF">
        <w:trPr>
          <w:trHeight w:val="300"/>
        </w:trPr>
        <w:tc>
          <w:tcPr>
            <w:tcW w:w="359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Stadiumi Dinamo</w:t>
            </w:r>
          </w:p>
        </w:tc>
        <w:tc>
          <w:tcPr>
            <w:tcW w:w="253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61.66</w:t>
            </w:r>
          </w:p>
        </w:tc>
        <w:tc>
          <w:tcPr>
            <w:tcW w:w="2954"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53.75</w:t>
            </w:r>
          </w:p>
        </w:tc>
      </w:tr>
    </w:tbl>
    <w:p w:rsidR="00DD3BBF" w:rsidRPr="00DD3BBF" w:rsidRDefault="00DD3BBF" w:rsidP="00EB1244">
      <w:pPr>
        <w:spacing w:after="0" w:line="276" w:lineRule="auto"/>
        <w:rPr>
          <w:rFonts w:ascii="Times New Roman" w:eastAsia="Calibri" w:hAnsi="Times New Roman" w:cs="Times New Roman"/>
          <w:color w:val="000000"/>
          <w:sz w:val="24"/>
          <w:szCs w:val="24"/>
          <w:lang w:val="sq-AL"/>
        </w:rPr>
      </w:pPr>
    </w:p>
    <w:p w:rsidR="00DD3BBF" w:rsidRPr="00DD3BBF" w:rsidRDefault="00DD3BBF" w:rsidP="00DD3BBF">
      <w:pPr>
        <w:spacing w:after="0" w:line="276" w:lineRule="auto"/>
        <w:jc w:val="center"/>
        <w:rPr>
          <w:rFonts w:ascii="Times New Roman" w:eastAsia="Calibri" w:hAnsi="Times New Roman" w:cs="Times New Roman"/>
          <w:sz w:val="24"/>
          <w:szCs w:val="24"/>
          <w:lang w:val="sq-AL"/>
        </w:rPr>
      </w:pPr>
      <w:r w:rsidRPr="00DD3BBF">
        <w:rPr>
          <w:rFonts w:ascii="Calibri" w:eastAsia="Calibri" w:hAnsi="Calibri" w:cs="Times New Roman"/>
          <w:noProof/>
        </w:rPr>
        <w:drawing>
          <wp:inline distT="0" distB="0" distL="0" distR="0" wp14:anchorId="3F96549E" wp14:editId="0538F6F0">
            <wp:extent cx="5943600" cy="3314700"/>
            <wp:effectExtent l="0" t="0" r="0" b="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DD3BBF" w:rsidRPr="00DD3BBF" w:rsidRDefault="00DD3BBF" w:rsidP="00DD3BBF">
      <w:pPr>
        <w:spacing w:after="0" w:line="276" w:lineRule="auto"/>
        <w:jc w:val="both"/>
        <w:rPr>
          <w:rFonts w:ascii="Times New Roman" w:eastAsia="Calibri" w:hAnsi="Times New Roman" w:cs="Times New Roman"/>
          <w:noProof/>
          <w:sz w:val="24"/>
          <w:szCs w:val="24"/>
          <w:lang w:val="sq-AL"/>
        </w:rPr>
      </w:pPr>
    </w:p>
    <w:p w:rsidR="00DD3BBF" w:rsidRPr="00DD3BBF" w:rsidRDefault="00DD3BBF" w:rsidP="00DD3BBF">
      <w:pPr>
        <w:spacing w:after="0" w:line="276" w:lineRule="auto"/>
        <w:jc w:val="both"/>
        <w:rPr>
          <w:rFonts w:ascii="Times New Roman" w:eastAsia="Calibri" w:hAnsi="Times New Roman" w:cs="Times New Roman"/>
          <w:sz w:val="24"/>
          <w:szCs w:val="24"/>
          <w:lang w:val="sq-AL"/>
        </w:rPr>
      </w:pPr>
    </w:p>
    <w:p w:rsidR="00DD3BBF" w:rsidRPr="00DD3BBF" w:rsidRDefault="00DD3BBF" w:rsidP="00DD3BBF">
      <w:pPr>
        <w:spacing w:after="200" w:line="240" w:lineRule="auto"/>
        <w:jc w:val="center"/>
        <w:rPr>
          <w:rFonts w:ascii="Times New Roman" w:eastAsia="Calibri" w:hAnsi="Times New Roman" w:cs="Times New Roman"/>
          <w:sz w:val="24"/>
          <w:szCs w:val="24"/>
          <w:lang w:val="sq-AL"/>
        </w:rPr>
      </w:pPr>
      <w:r w:rsidRPr="00DD3BBF">
        <w:rPr>
          <w:rFonts w:ascii="Calibri" w:eastAsia="Calibri" w:hAnsi="Calibri" w:cs="Times New Roman"/>
          <w:noProof/>
        </w:rPr>
        <w:drawing>
          <wp:inline distT="0" distB="0" distL="0" distR="0" wp14:anchorId="7565F7E0" wp14:editId="63E35066">
            <wp:extent cx="5667375" cy="2857500"/>
            <wp:effectExtent l="0" t="0" r="9525" b="0"/>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Referuar të dhënave të monitoruara në stacionet e Tiranës vërejmë se kemi tejkalim të normës ditën dhe natën në të gjitha stacionet. </w:t>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Nivelet më të larta ditën janë monitoruar në </w:t>
      </w:r>
      <w:r w:rsidR="005D577C">
        <w:rPr>
          <w:rFonts w:ascii="Times New Roman" w:eastAsia="Calibri" w:hAnsi="Times New Roman" w:cs="Times New Roman"/>
          <w:sz w:val="24"/>
          <w:szCs w:val="24"/>
          <w:lang w:val="sq-AL"/>
        </w:rPr>
        <w:t>stacionin Farmacia 10 në vlerën</w:t>
      </w:r>
      <w:r w:rsidRPr="00DD3BBF">
        <w:rPr>
          <w:rFonts w:ascii="Times New Roman" w:eastAsia="Calibri" w:hAnsi="Times New Roman" w:cs="Times New Roman"/>
          <w:sz w:val="24"/>
          <w:szCs w:val="24"/>
          <w:lang w:val="sq-AL"/>
        </w:rPr>
        <w:t xml:space="preserve"> 64.73 dB(A) dhe më e ulëta në stacionin Stadiumi Dinamo në vlerën 61.66 dB(A). E shprehur në përqindje kemi tejkalim të normës me 17.69 %</w:t>
      </w:r>
      <w:r w:rsidR="005D577C">
        <w:rPr>
          <w:rFonts w:ascii="Times New Roman" w:eastAsia="Calibri" w:hAnsi="Times New Roman" w:cs="Times New Roman"/>
          <w:sz w:val="24"/>
          <w:szCs w:val="24"/>
          <w:lang w:val="sq-AL"/>
        </w:rPr>
        <w:t xml:space="preserve">  tek  stacioni Farmacia 10 dhe</w:t>
      </w:r>
      <w:r w:rsidRPr="00DD3BBF">
        <w:rPr>
          <w:rFonts w:ascii="Times New Roman" w:eastAsia="Calibri" w:hAnsi="Times New Roman" w:cs="Times New Roman"/>
          <w:sz w:val="24"/>
          <w:szCs w:val="24"/>
          <w:lang w:val="sq-AL"/>
        </w:rPr>
        <w:t xml:space="preserve"> në masën 12.1% tek stacioni Stadiumi Dinamo me nivelin më të ulët.</w:t>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Nivelet më të larta natën janë monitoruar në </w:t>
      </w:r>
      <w:r w:rsidR="005D577C">
        <w:rPr>
          <w:rFonts w:ascii="Times New Roman" w:eastAsia="Calibri" w:hAnsi="Times New Roman" w:cs="Times New Roman"/>
          <w:sz w:val="24"/>
          <w:szCs w:val="24"/>
          <w:lang w:val="sq-AL"/>
        </w:rPr>
        <w:t>stacionin Farmacia 10 në vlerën 56.23 dB(A)</w:t>
      </w:r>
      <w:r w:rsidRPr="00DD3BBF">
        <w:rPr>
          <w:rFonts w:ascii="Times New Roman" w:eastAsia="Calibri" w:hAnsi="Times New Roman" w:cs="Times New Roman"/>
          <w:sz w:val="24"/>
          <w:szCs w:val="24"/>
          <w:lang w:val="sq-AL"/>
        </w:rPr>
        <w:t xml:space="preserve"> dhe më e ulëta në stacionin Selvia dhe Pallati i Kongreseve në vlerën 50.1 dB(A). E shprehur në përqindje kemi tejkalim të normës me 24.9 %  tek  stacioni Farmacia 10 dhe në masën 11.3% tek stacionet Selvia dhe Pallati i Kongreseve.</w:t>
      </w:r>
    </w:p>
    <w:p w:rsidR="00DD3BBF" w:rsidRPr="00DD3BBF" w:rsidRDefault="00DD3BBF" w:rsidP="00DD3BBF">
      <w:pPr>
        <w:spacing w:after="200" w:line="240" w:lineRule="auto"/>
        <w:contextualSpacing/>
        <w:jc w:val="both"/>
        <w:rPr>
          <w:rFonts w:ascii="Times New Roman" w:eastAsia="Calibri" w:hAnsi="Times New Roman" w:cs="Times New Roman"/>
          <w:b/>
          <w:sz w:val="24"/>
          <w:szCs w:val="24"/>
          <w:lang w:val="sq-AL"/>
        </w:rPr>
      </w:pPr>
    </w:p>
    <w:p w:rsidR="00DD3BBF" w:rsidRDefault="00DD3BBF" w:rsidP="0033538C">
      <w:pPr>
        <w:numPr>
          <w:ilvl w:val="0"/>
          <w:numId w:val="9"/>
        </w:numPr>
        <w:spacing w:after="200" w:line="240" w:lineRule="auto"/>
        <w:contextualSpacing/>
        <w:jc w:val="both"/>
        <w:rPr>
          <w:rFonts w:ascii="Times New Roman" w:eastAsia="Calibri" w:hAnsi="Times New Roman" w:cs="Times New Roman"/>
          <w:b/>
          <w:sz w:val="24"/>
          <w:szCs w:val="24"/>
          <w:lang w:val="sq-AL"/>
        </w:rPr>
      </w:pPr>
      <w:r w:rsidRPr="00DD3BBF">
        <w:rPr>
          <w:rFonts w:ascii="Times New Roman" w:eastAsia="Calibri" w:hAnsi="Times New Roman" w:cs="Times New Roman"/>
          <w:b/>
          <w:sz w:val="24"/>
          <w:szCs w:val="24"/>
          <w:lang w:val="sq-AL"/>
        </w:rPr>
        <w:t xml:space="preserve">Monitorimi i zhurmave në qytetin e Sarandës </w:t>
      </w:r>
    </w:p>
    <w:p w:rsidR="00EB1244" w:rsidRPr="00DD3BBF" w:rsidRDefault="00EB1244" w:rsidP="00EB1244">
      <w:pPr>
        <w:spacing w:after="200" w:line="240" w:lineRule="auto"/>
        <w:ind w:left="1440"/>
        <w:contextualSpacing/>
        <w:jc w:val="both"/>
        <w:rPr>
          <w:rFonts w:ascii="Times New Roman" w:eastAsia="Calibri" w:hAnsi="Times New Roman" w:cs="Times New Roman"/>
          <w:b/>
          <w:sz w:val="24"/>
          <w:szCs w:val="24"/>
          <w:lang w:val="sq-AL"/>
        </w:rPr>
      </w:pP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Monitorimi i zhurmave urbane në qytetin e Sarandës  për vitin 2025 është realizuar në 4 stacione</w:t>
      </w:r>
      <w:r w:rsidR="00EB1244">
        <w:rPr>
          <w:rFonts w:ascii="Times New Roman" w:eastAsia="Calibri" w:hAnsi="Times New Roman" w:cs="Times New Roman"/>
          <w:sz w:val="24"/>
          <w:szCs w:val="24"/>
          <w:lang w:val="sq-AL"/>
        </w:rPr>
        <w:t>.</w:t>
      </w:r>
    </w:p>
    <w:p w:rsidR="00DD3BBF" w:rsidRPr="00DD3BBF" w:rsidRDefault="00DD3BBF" w:rsidP="00EB1244">
      <w:pPr>
        <w:spacing w:after="200" w:line="240" w:lineRule="auto"/>
        <w:jc w:val="center"/>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 xml:space="preserve">Tabela </w:t>
      </w:r>
      <w:r w:rsidR="00EB1244">
        <w:rPr>
          <w:rFonts w:ascii="Times New Roman" w:eastAsia="Calibri" w:hAnsi="Times New Roman" w:cs="Times New Roman"/>
          <w:sz w:val="24"/>
          <w:szCs w:val="24"/>
          <w:lang w:val="sq-AL"/>
        </w:rPr>
        <w:t>10</w:t>
      </w:r>
      <w:r w:rsidRPr="00DD3BBF">
        <w:rPr>
          <w:rFonts w:ascii="Times New Roman" w:eastAsia="Calibri" w:hAnsi="Times New Roman" w:cs="Times New Roman"/>
          <w:sz w:val="24"/>
          <w:szCs w:val="24"/>
          <w:lang w:val="sq-AL"/>
        </w:rPr>
        <w:t xml:space="preserve"> -  Stacionet e monitoruara në qytetin e Sarandës</w:t>
      </w:r>
    </w:p>
    <w:tbl>
      <w:tblPr>
        <w:tblW w:w="9410" w:type="dxa"/>
        <w:tblLook w:val="04A0" w:firstRow="1" w:lastRow="0" w:firstColumn="1" w:lastColumn="0" w:noHBand="0" w:noVBand="1"/>
      </w:tblPr>
      <w:tblGrid>
        <w:gridCol w:w="715"/>
        <w:gridCol w:w="2430"/>
        <w:gridCol w:w="1620"/>
        <w:gridCol w:w="1611"/>
        <w:gridCol w:w="1454"/>
        <w:gridCol w:w="1580"/>
      </w:tblGrid>
      <w:tr w:rsidR="00DD3BBF" w:rsidRPr="00DD3BBF" w:rsidTr="00DD3BBF">
        <w:trPr>
          <w:trHeight w:val="261"/>
        </w:trPr>
        <w:tc>
          <w:tcPr>
            <w:tcW w:w="715"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Nr </w:t>
            </w:r>
          </w:p>
        </w:tc>
        <w:tc>
          <w:tcPr>
            <w:tcW w:w="243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Stacionet e monitorimit </w:t>
            </w:r>
          </w:p>
        </w:tc>
        <w:tc>
          <w:tcPr>
            <w:tcW w:w="162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Gjatësi gjeografike </w:t>
            </w:r>
          </w:p>
        </w:tc>
        <w:tc>
          <w:tcPr>
            <w:tcW w:w="1611"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Gjerësi gjeografike</w:t>
            </w:r>
          </w:p>
        </w:tc>
        <w:tc>
          <w:tcPr>
            <w:tcW w:w="1454"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LAeq Ditën</w:t>
            </w:r>
          </w:p>
        </w:tc>
        <w:tc>
          <w:tcPr>
            <w:tcW w:w="158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LAeq Natën</w:t>
            </w:r>
          </w:p>
        </w:tc>
      </w:tr>
      <w:tr w:rsidR="00DD3BBF" w:rsidRPr="00DD3BBF" w:rsidTr="00DD3BBF">
        <w:trPr>
          <w:trHeight w:val="261"/>
        </w:trPr>
        <w:tc>
          <w:tcPr>
            <w:tcW w:w="71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1</w:t>
            </w:r>
          </w:p>
        </w:tc>
        <w:tc>
          <w:tcPr>
            <w:tcW w:w="243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xml:space="preserve">Tregu i Valutes </w:t>
            </w:r>
          </w:p>
        </w:tc>
        <w:tc>
          <w:tcPr>
            <w:tcW w:w="162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39°52'32.08"N</w:t>
            </w:r>
          </w:p>
        </w:tc>
        <w:tc>
          <w:tcPr>
            <w:tcW w:w="1611"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20° 0'15.84"E</w:t>
            </w:r>
          </w:p>
        </w:tc>
        <w:tc>
          <w:tcPr>
            <w:tcW w:w="1454"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62.19</w:t>
            </w:r>
          </w:p>
        </w:tc>
        <w:tc>
          <w:tcPr>
            <w:tcW w:w="158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50.85</w:t>
            </w:r>
          </w:p>
        </w:tc>
      </w:tr>
      <w:tr w:rsidR="00DD3BBF" w:rsidRPr="00DD3BBF" w:rsidTr="00DD3BBF">
        <w:trPr>
          <w:trHeight w:val="261"/>
        </w:trPr>
        <w:tc>
          <w:tcPr>
            <w:tcW w:w="71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2</w:t>
            </w:r>
          </w:p>
        </w:tc>
        <w:tc>
          <w:tcPr>
            <w:tcW w:w="243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Hotel Butrinti</w:t>
            </w:r>
          </w:p>
        </w:tc>
        <w:tc>
          <w:tcPr>
            <w:tcW w:w="162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39°52'90.88"N</w:t>
            </w:r>
          </w:p>
        </w:tc>
        <w:tc>
          <w:tcPr>
            <w:tcW w:w="1611"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20° 0'52.57"E</w:t>
            </w:r>
          </w:p>
        </w:tc>
        <w:tc>
          <w:tcPr>
            <w:tcW w:w="1454"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62.37</w:t>
            </w:r>
          </w:p>
        </w:tc>
        <w:tc>
          <w:tcPr>
            <w:tcW w:w="158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52.38</w:t>
            </w:r>
          </w:p>
        </w:tc>
      </w:tr>
      <w:tr w:rsidR="00DD3BBF" w:rsidRPr="00DD3BBF" w:rsidTr="00DD3BBF">
        <w:trPr>
          <w:trHeight w:val="261"/>
        </w:trPr>
        <w:tc>
          <w:tcPr>
            <w:tcW w:w="715" w:type="dxa"/>
            <w:tcBorders>
              <w:top w:val="single" w:sz="4" w:space="0" w:color="auto"/>
              <w:left w:val="single" w:sz="4" w:space="0" w:color="auto"/>
              <w:bottom w:val="nil"/>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3</w:t>
            </w:r>
          </w:p>
        </w:tc>
        <w:tc>
          <w:tcPr>
            <w:tcW w:w="243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Bashkia</w:t>
            </w:r>
          </w:p>
        </w:tc>
        <w:tc>
          <w:tcPr>
            <w:tcW w:w="1620" w:type="dxa"/>
            <w:tcBorders>
              <w:top w:val="single" w:sz="4" w:space="0" w:color="auto"/>
              <w:left w:val="single" w:sz="4" w:space="0" w:color="auto"/>
              <w:bottom w:val="nil"/>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39°52'30.50"N</w:t>
            </w:r>
          </w:p>
        </w:tc>
        <w:tc>
          <w:tcPr>
            <w:tcW w:w="1611" w:type="dxa"/>
            <w:tcBorders>
              <w:top w:val="single" w:sz="4" w:space="0" w:color="auto"/>
              <w:left w:val="single" w:sz="4" w:space="0" w:color="auto"/>
              <w:bottom w:val="nil"/>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20° 0'24.95"E</w:t>
            </w:r>
          </w:p>
        </w:tc>
        <w:tc>
          <w:tcPr>
            <w:tcW w:w="1454"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63.71</w:t>
            </w:r>
          </w:p>
        </w:tc>
        <w:tc>
          <w:tcPr>
            <w:tcW w:w="158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55.13</w:t>
            </w:r>
          </w:p>
        </w:tc>
      </w:tr>
      <w:tr w:rsidR="00DD3BBF" w:rsidRPr="00DD3BBF" w:rsidTr="00DD3BBF">
        <w:trPr>
          <w:trHeight w:val="261"/>
        </w:trPr>
        <w:tc>
          <w:tcPr>
            <w:tcW w:w="71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4</w:t>
            </w:r>
          </w:p>
        </w:tc>
        <w:tc>
          <w:tcPr>
            <w:tcW w:w="243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Kryqëzimi Lagjja Kodër</w:t>
            </w:r>
          </w:p>
        </w:tc>
        <w:tc>
          <w:tcPr>
            <w:tcW w:w="162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39°52'23.57"N</w:t>
            </w:r>
          </w:p>
        </w:tc>
        <w:tc>
          <w:tcPr>
            <w:tcW w:w="1611"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20° 0'1.12"E</w:t>
            </w:r>
          </w:p>
        </w:tc>
        <w:tc>
          <w:tcPr>
            <w:tcW w:w="1454"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63.22</w:t>
            </w:r>
          </w:p>
        </w:tc>
        <w:tc>
          <w:tcPr>
            <w:tcW w:w="158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b/>
                <w:bCs/>
                <w:lang w:val="sq-AL"/>
              </w:rPr>
            </w:pPr>
            <w:r w:rsidRPr="00DD3BBF">
              <w:rPr>
                <w:rFonts w:ascii="Calibri" w:eastAsia="Times New Roman" w:hAnsi="Calibri" w:cs="Calibri"/>
                <w:b/>
                <w:bCs/>
                <w:lang w:val="sq-AL"/>
              </w:rPr>
              <w:t>53.43</w:t>
            </w:r>
          </w:p>
        </w:tc>
      </w:tr>
    </w:tbl>
    <w:p w:rsidR="00DD3BBF" w:rsidRPr="00DD3BBF" w:rsidRDefault="00DD3BBF" w:rsidP="00AB1BDD">
      <w:pPr>
        <w:spacing w:after="0" w:line="240" w:lineRule="auto"/>
        <w:rPr>
          <w:rFonts w:ascii="Times New Roman" w:eastAsia="Calibri" w:hAnsi="Times New Roman" w:cs="Times New Roman"/>
          <w:sz w:val="24"/>
          <w:szCs w:val="24"/>
          <w:lang w:val="sq-AL"/>
        </w:rPr>
      </w:pPr>
    </w:p>
    <w:p w:rsidR="00DD3BBF" w:rsidRPr="00DD3BBF" w:rsidRDefault="00DD3BBF" w:rsidP="0088337B">
      <w:pPr>
        <w:spacing w:after="200" w:line="240" w:lineRule="auto"/>
        <w:rPr>
          <w:rFonts w:ascii="Times New Roman" w:eastAsia="Calibri" w:hAnsi="Times New Roman" w:cs="Times New Roman"/>
          <w:noProof/>
          <w:sz w:val="24"/>
          <w:szCs w:val="24"/>
          <w:lang w:val="sq-AL"/>
        </w:rPr>
      </w:pPr>
      <w:r w:rsidRPr="00DD3BBF">
        <w:rPr>
          <w:rFonts w:ascii="Calibri" w:eastAsia="Calibri" w:hAnsi="Calibri" w:cs="Times New Roman"/>
          <w:noProof/>
        </w:rPr>
        <w:lastRenderedPageBreak/>
        <w:drawing>
          <wp:inline distT="0" distB="0" distL="0" distR="0" wp14:anchorId="229034D8" wp14:editId="11480981">
            <wp:extent cx="2800350" cy="2362200"/>
            <wp:effectExtent l="0" t="0" r="0" b="0"/>
            <wp:docPr id="91" name="Chart 91">
              <a:extLst xmlns:a="http://schemas.openxmlformats.org/drawingml/2006/main">
                <a:ext uri="{FF2B5EF4-FFF2-40B4-BE49-F238E27FC236}">
                  <a16:creationId xmlns:a16="http://schemas.microsoft.com/office/drawing/2014/main" id="{6C953786-9C85-11D8-64B3-9A4D4CB347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88337B">
        <w:rPr>
          <w:rFonts w:ascii="Times New Roman" w:eastAsia="Calibri" w:hAnsi="Times New Roman" w:cs="Times New Roman"/>
          <w:noProof/>
          <w:sz w:val="24"/>
          <w:szCs w:val="24"/>
          <w:lang w:val="sq-AL"/>
        </w:rPr>
        <w:t xml:space="preserve">   </w:t>
      </w:r>
      <w:r w:rsidR="0088337B" w:rsidRPr="00DD3BBF">
        <w:rPr>
          <w:rFonts w:ascii="Calibri" w:eastAsia="Calibri" w:hAnsi="Calibri" w:cs="Times New Roman"/>
          <w:noProof/>
        </w:rPr>
        <w:drawing>
          <wp:inline distT="0" distB="0" distL="0" distR="0" wp14:anchorId="13A154D6" wp14:editId="2F404759">
            <wp:extent cx="2819400" cy="2381250"/>
            <wp:effectExtent l="0" t="0" r="0" b="0"/>
            <wp:docPr id="92" name="Chart 92">
              <a:extLst xmlns:a="http://schemas.openxmlformats.org/drawingml/2006/main">
                <a:ext uri="{FF2B5EF4-FFF2-40B4-BE49-F238E27FC236}">
                  <a16:creationId xmlns:a16="http://schemas.microsoft.com/office/drawing/2014/main" id="{59373707-4747-44D0-7BA9-6AF0C7E8F7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DD3BBF" w:rsidRPr="00DD3BBF" w:rsidRDefault="00DD3BBF" w:rsidP="00DD3BBF">
      <w:pPr>
        <w:spacing w:after="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Niveli i zhurmave në qytetin e Sarandës, krahasuar me normën si ditën ashtu dhe natën rezulton i lartë në të katër stacionet e monitoruar</w:t>
      </w:r>
      <w:r w:rsidR="000C08CD">
        <w:rPr>
          <w:rFonts w:ascii="Times New Roman" w:eastAsia="Calibri" w:hAnsi="Times New Roman" w:cs="Times New Roman"/>
          <w:sz w:val="24"/>
          <w:szCs w:val="24"/>
          <w:lang w:val="sq-AL"/>
        </w:rPr>
        <w:t>a</w:t>
      </w:r>
      <w:r w:rsidRPr="00DD3BBF">
        <w:rPr>
          <w:rFonts w:ascii="Times New Roman" w:eastAsia="Calibri" w:hAnsi="Times New Roman" w:cs="Times New Roman"/>
          <w:sz w:val="24"/>
          <w:szCs w:val="24"/>
          <w:lang w:val="sq-AL"/>
        </w:rPr>
        <w:t>.</w:t>
      </w:r>
    </w:p>
    <w:p w:rsidR="00AB1BDD" w:rsidRDefault="00AB1BDD" w:rsidP="00DD3BBF">
      <w:pPr>
        <w:spacing w:after="0" w:line="240" w:lineRule="auto"/>
        <w:jc w:val="both"/>
        <w:rPr>
          <w:rFonts w:ascii="Times New Roman" w:eastAsia="Calibri" w:hAnsi="Times New Roman" w:cs="Times New Roman"/>
          <w:sz w:val="24"/>
          <w:szCs w:val="24"/>
          <w:lang w:val="sq-AL"/>
        </w:rPr>
      </w:pPr>
    </w:p>
    <w:p w:rsidR="00DD3BBF" w:rsidRPr="00DD3BBF" w:rsidRDefault="00DD3BBF" w:rsidP="00DD3BBF">
      <w:pPr>
        <w:spacing w:after="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Niveli më i lartë ditën është monitoruar në stacionin Bashkia në vlerën 63.71dB dhe e shprehur në përqindje 15.8% më e lartë se norma.</w:t>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Ndërsa natën niveli më i lartë është monitoruar në stacionin Bashkia ku vlera e monitoruar është 55.13 dB dhe e shprehur në përqindje 22.5 % më e lartë se norma.</w:t>
      </w:r>
    </w:p>
    <w:p w:rsidR="00AB1BDD" w:rsidRPr="00DD3BBF" w:rsidRDefault="00AB1BDD" w:rsidP="00DD3BBF">
      <w:pPr>
        <w:spacing w:after="200" w:line="240" w:lineRule="auto"/>
        <w:jc w:val="both"/>
        <w:rPr>
          <w:rFonts w:ascii="Times New Roman" w:eastAsia="Calibri" w:hAnsi="Times New Roman" w:cs="Times New Roman"/>
          <w:sz w:val="24"/>
          <w:szCs w:val="24"/>
          <w:lang w:val="sq-AL"/>
        </w:rPr>
      </w:pPr>
    </w:p>
    <w:p w:rsidR="00DD3BBF" w:rsidRDefault="00DD3BBF" w:rsidP="0033538C">
      <w:pPr>
        <w:numPr>
          <w:ilvl w:val="0"/>
          <w:numId w:val="9"/>
        </w:numPr>
        <w:spacing w:after="200" w:line="240" w:lineRule="auto"/>
        <w:contextualSpacing/>
        <w:jc w:val="both"/>
        <w:rPr>
          <w:rFonts w:ascii="Times New Roman" w:eastAsia="Calibri" w:hAnsi="Times New Roman" w:cs="Times New Roman"/>
          <w:b/>
          <w:sz w:val="24"/>
          <w:szCs w:val="24"/>
          <w:lang w:val="sq-AL"/>
        </w:rPr>
      </w:pPr>
      <w:r w:rsidRPr="00DD3BBF">
        <w:rPr>
          <w:rFonts w:ascii="Times New Roman" w:eastAsia="Calibri" w:hAnsi="Times New Roman" w:cs="Times New Roman"/>
          <w:b/>
          <w:sz w:val="24"/>
          <w:szCs w:val="24"/>
          <w:lang w:val="sq-AL"/>
        </w:rPr>
        <w:t xml:space="preserve">Monitorimi i zhurmave në qytetin e Kukësit  </w:t>
      </w:r>
    </w:p>
    <w:p w:rsidR="00AB1BDD" w:rsidRPr="00DD3BBF" w:rsidRDefault="00AB1BDD" w:rsidP="00AB1BDD">
      <w:pPr>
        <w:spacing w:after="200" w:line="240" w:lineRule="auto"/>
        <w:ind w:left="1440"/>
        <w:contextualSpacing/>
        <w:jc w:val="both"/>
        <w:rPr>
          <w:rFonts w:ascii="Times New Roman" w:eastAsia="Calibri" w:hAnsi="Times New Roman" w:cs="Times New Roman"/>
          <w:b/>
          <w:sz w:val="24"/>
          <w:szCs w:val="24"/>
          <w:lang w:val="sq-AL"/>
        </w:rPr>
      </w:pP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Monitorimi i zhurmave urbane në qytetin e Kukësit për vitin 2025 është realizuar në 2 stacione</w:t>
      </w:r>
      <w:r w:rsidR="0088337B">
        <w:rPr>
          <w:rFonts w:ascii="Times New Roman" w:eastAsia="Calibri" w:hAnsi="Times New Roman" w:cs="Times New Roman"/>
          <w:sz w:val="24"/>
          <w:szCs w:val="24"/>
          <w:lang w:val="sq-AL"/>
        </w:rPr>
        <w:t>.</w:t>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Tabela 1</w:t>
      </w:r>
      <w:r w:rsidR="0088337B">
        <w:rPr>
          <w:rFonts w:ascii="Times New Roman" w:eastAsia="Calibri" w:hAnsi="Times New Roman" w:cs="Times New Roman"/>
          <w:sz w:val="24"/>
          <w:szCs w:val="24"/>
          <w:lang w:val="sq-AL"/>
        </w:rPr>
        <w:t>1</w:t>
      </w:r>
      <w:r w:rsidRPr="00DD3BBF">
        <w:rPr>
          <w:rFonts w:ascii="Times New Roman" w:eastAsia="Calibri" w:hAnsi="Times New Roman" w:cs="Times New Roman"/>
          <w:sz w:val="24"/>
          <w:szCs w:val="24"/>
          <w:lang w:val="sq-AL"/>
        </w:rPr>
        <w:t xml:space="preserve"> - Stacionet e monitoruara në qytetin e Kukësit</w:t>
      </w:r>
    </w:p>
    <w:tbl>
      <w:tblPr>
        <w:tblW w:w="9687" w:type="dxa"/>
        <w:tblLook w:val="04A0" w:firstRow="1" w:lastRow="0" w:firstColumn="1" w:lastColumn="0" w:noHBand="0" w:noVBand="1"/>
      </w:tblPr>
      <w:tblGrid>
        <w:gridCol w:w="762"/>
        <w:gridCol w:w="2573"/>
        <w:gridCol w:w="2192"/>
        <w:gridCol w:w="2169"/>
        <w:gridCol w:w="1093"/>
        <w:gridCol w:w="898"/>
      </w:tblGrid>
      <w:tr w:rsidR="00DD3BBF" w:rsidRPr="00DD3BBF" w:rsidTr="00DD3BBF">
        <w:trPr>
          <w:trHeight w:val="270"/>
        </w:trPr>
        <w:tc>
          <w:tcPr>
            <w:tcW w:w="762" w:type="dxa"/>
            <w:tcBorders>
              <w:top w:val="nil"/>
              <w:left w:val="nil"/>
              <w:bottom w:val="single" w:sz="8" w:space="0" w:color="FFFFFF"/>
              <w:right w:val="nil"/>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Nr </w:t>
            </w:r>
          </w:p>
        </w:tc>
        <w:tc>
          <w:tcPr>
            <w:tcW w:w="2573" w:type="dxa"/>
            <w:tcBorders>
              <w:top w:val="nil"/>
              <w:left w:val="nil"/>
              <w:bottom w:val="single" w:sz="8" w:space="0" w:color="FFFFFF"/>
              <w:right w:val="nil"/>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Stacionet  monitorimit </w:t>
            </w:r>
          </w:p>
        </w:tc>
        <w:tc>
          <w:tcPr>
            <w:tcW w:w="2192" w:type="dxa"/>
            <w:tcBorders>
              <w:top w:val="nil"/>
              <w:left w:val="nil"/>
              <w:bottom w:val="single" w:sz="8" w:space="0" w:color="FFFFFF"/>
              <w:right w:val="nil"/>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Gjatësi gjeografike </w:t>
            </w:r>
          </w:p>
        </w:tc>
        <w:tc>
          <w:tcPr>
            <w:tcW w:w="2169" w:type="dxa"/>
            <w:tcBorders>
              <w:top w:val="nil"/>
              <w:left w:val="nil"/>
              <w:bottom w:val="single" w:sz="8" w:space="0" w:color="FFFFFF"/>
              <w:right w:val="nil"/>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Gjerësi gjeografike</w:t>
            </w:r>
          </w:p>
        </w:tc>
        <w:tc>
          <w:tcPr>
            <w:tcW w:w="1093" w:type="dxa"/>
            <w:tcBorders>
              <w:top w:val="nil"/>
              <w:left w:val="nil"/>
              <w:bottom w:val="single" w:sz="8" w:space="0" w:color="FFFFFF"/>
              <w:right w:val="nil"/>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LAeq </w:t>
            </w:r>
          </w:p>
        </w:tc>
        <w:tc>
          <w:tcPr>
            <w:tcW w:w="898" w:type="dxa"/>
            <w:tcBorders>
              <w:top w:val="nil"/>
              <w:left w:val="nil"/>
              <w:bottom w:val="single" w:sz="8" w:space="0" w:color="FFFFFF"/>
              <w:right w:val="nil"/>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LAeq 2</w:t>
            </w:r>
          </w:p>
        </w:tc>
      </w:tr>
      <w:tr w:rsidR="00DD3BBF" w:rsidRPr="00DD3BBF" w:rsidTr="00DD3BBF">
        <w:trPr>
          <w:trHeight w:val="270"/>
        </w:trPr>
        <w:tc>
          <w:tcPr>
            <w:tcW w:w="762"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2573"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2192"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2169"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1093"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xml:space="preserve">/Ditën </w:t>
            </w:r>
          </w:p>
        </w:tc>
        <w:tc>
          <w:tcPr>
            <w:tcW w:w="898"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/Natën</w:t>
            </w:r>
          </w:p>
        </w:tc>
      </w:tr>
      <w:tr w:rsidR="00DD3BBF" w:rsidRPr="00DD3BBF" w:rsidTr="00DD3BBF">
        <w:trPr>
          <w:trHeight w:val="270"/>
        </w:trPr>
        <w:tc>
          <w:tcPr>
            <w:tcW w:w="762"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1</w:t>
            </w:r>
          </w:p>
        </w:tc>
        <w:tc>
          <w:tcPr>
            <w:tcW w:w="2573"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xml:space="preserve">Bashkia </w:t>
            </w:r>
          </w:p>
        </w:tc>
        <w:tc>
          <w:tcPr>
            <w:tcW w:w="2192"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42° 04'38.26"N</w:t>
            </w:r>
          </w:p>
        </w:tc>
        <w:tc>
          <w:tcPr>
            <w:tcW w:w="2169"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20°24'58.02"E</w:t>
            </w:r>
          </w:p>
        </w:tc>
        <w:tc>
          <w:tcPr>
            <w:tcW w:w="1093"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56.34</w:t>
            </w:r>
          </w:p>
        </w:tc>
        <w:tc>
          <w:tcPr>
            <w:tcW w:w="898"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46.94</w:t>
            </w:r>
          </w:p>
        </w:tc>
      </w:tr>
      <w:tr w:rsidR="00DD3BBF" w:rsidRPr="00DD3BBF" w:rsidTr="00DD3BBF">
        <w:trPr>
          <w:trHeight w:val="270"/>
        </w:trPr>
        <w:tc>
          <w:tcPr>
            <w:tcW w:w="762"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2</w:t>
            </w:r>
          </w:p>
        </w:tc>
        <w:tc>
          <w:tcPr>
            <w:tcW w:w="2573"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Stacioni i autobusave</w:t>
            </w:r>
          </w:p>
        </w:tc>
        <w:tc>
          <w:tcPr>
            <w:tcW w:w="2192"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42° 04'32.10"N</w:t>
            </w:r>
          </w:p>
        </w:tc>
        <w:tc>
          <w:tcPr>
            <w:tcW w:w="2169"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20°25'33.37"E</w:t>
            </w:r>
          </w:p>
        </w:tc>
        <w:tc>
          <w:tcPr>
            <w:tcW w:w="1093"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58.12</w:t>
            </w:r>
          </w:p>
        </w:tc>
        <w:tc>
          <w:tcPr>
            <w:tcW w:w="898"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47.27</w:t>
            </w:r>
          </w:p>
        </w:tc>
      </w:tr>
    </w:tbl>
    <w:p w:rsidR="00DD3BBF" w:rsidRPr="00DD3BBF" w:rsidRDefault="00DD3BBF" w:rsidP="00DD3BBF">
      <w:pPr>
        <w:spacing w:after="0" w:line="240" w:lineRule="auto"/>
        <w:rPr>
          <w:rFonts w:ascii="Times New Roman" w:eastAsia="Calibri" w:hAnsi="Times New Roman" w:cs="Times New Roman"/>
          <w:b/>
          <w:bCs/>
          <w:i/>
          <w:sz w:val="24"/>
          <w:szCs w:val="24"/>
          <w:lang w:val="sq-AL"/>
        </w:rPr>
      </w:pPr>
    </w:p>
    <w:p w:rsidR="00DD3BBF" w:rsidRPr="00DD3BBF" w:rsidRDefault="00DD3BBF" w:rsidP="00DD3BBF">
      <w:pPr>
        <w:spacing w:after="0" w:line="240" w:lineRule="auto"/>
        <w:jc w:val="both"/>
        <w:rPr>
          <w:rFonts w:ascii="Times New Roman" w:eastAsia="Calibri" w:hAnsi="Times New Roman" w:cs="Times New Roman"/>
          <w:sz w:val="24"/>
          <w:szCs w:val="24"/>
          <w:lang w:val="sq-AL"/>
        </w:rPr>
      </w:pPr>
      <w:r w:rsidRPr="00DD3BBF">
        <w:rPr>
          <w:rFonts w:ascii="Calibri" w:eastAsia="Calibri" w:hAnsi="Calibri" w:cs="Times New Roman"/>
          <w:noProof/>
        </w:rPr>
        <w:drawing>
          <wp:inline distT="0" distB="0" distL="0" distR="0" wp14:anchorId="4FFDDE40" wp14:editId="59440A93">
            <wp:extent cx="2952750" cy="2009775"/>
            <wp:effectExtent l="0" t="0" r="0" b="9525"/>
            <wp:docPr id="93" name="Chart 93">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88337B">
        <w:rPr>
          <w:rFonts w:ascii="Times New Roman" w:eastAsia="Calibri" w:hAnsi="Times New Roman" w:cs="Times New Roman"/>
          <w:sz w:val="24"/>
          <w:szCs w:val="24"/>
          <w:lang w:val="sq-AL"/>
        </w:rPr>
        <w:t xml:space="preserve">  </w:t>
      </w:r>
      <w:r w:rsidR="00431C73" w:rsidRPr="00DD3BBF">
        <w:rPr>
          <w:rFonts w:ascii="Calibri" w:eastAsia="Calibri" w:hAnsi="Calibri" w:cs="Times New Roman"/>
          <w:noProof/>
        </w:rPr>
        <w:drawing>
          <wp:inline distT="0" distB="0" distL="0" distR="0" wp14:anchorId="225694A0" wp14:editId="6E909530">
            <wp:extent cx="2781300" cy="2019300"/>
            <wp:effectExtent l="0" t="0" r="0" b="0"/>
            <wp:docPr id="94" name="Chart 94">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DD3BBF" w:rsidRPr="00DD3BBF" w:rsidRDefault="00DD3BBF" w:rsidP="00DD3BBF">
      <w:pPr>
        <w:spacing w:after="0" w:line="240" w:lineRule="auto"/>
        <w:jc w:val="center"/>
        <w:rPr>
          <w:rFonts w:ascii="Times New Roman" w:eastAsia="Calibri" w:hAnsi="Times New Roman" w:cs="Times New Roman"/>
          <w:sz w:val="24"/>
          <w:szCs w:val="24"/>
          <w:lang w:val="sq-AL"/>
        </w:rPr>
      </w:pPr>
    </w:p>
    <w:p w:rsidR="00DD3BBF" w:rsidRPr="00DD3BBF" w:rsidRDefault="00431C73" w:rsidP="00DD3BBF">
      <w:pPr>
        <w:spacing w:after="20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N</w:t>
      </w:r>
      <w:r w:rsidR="00DD3BBF" w:rsidRPr="00DD3BBF">
        <w:rPr>
          <w:rFonts w:ascii="Times New Roman" w:eastAsia="Calibri" w:hAnsi="Times New Roman" w:cs="Times New Roman"/>
          <w:sz w:val="24"/>
          <w:szCs w:val="24"/>
          <w:lang w:val="sq-AL"/>
        </w:rPr>
        <w:t>ivelet më të larta ditën janë monitoruar në Stacionin e Autobuzave në vlerën 58.12 dB(A) shprehur në përqindje 5.6% më e lartë se norma.</w:t>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Ndërsa natën nivelet më të larta janë monitoruar në stacionin Stacioni i Autobusave ku vlera e monitoruar është 47.27 dB(A) dhe e shprehur në përqindje 5.04% më e lartë se norma.</w:t>
      </w:r>
    </w:p>
    <w:p w:rsidR="00DD3BBF" w:rsidRDefault="00DD3BBF" w:rsidP="0033538C">
      <w:pPr>
        <w:numPr>
          <w:ilvl w:val="0"/>
          <w:numId w:val="9"/>
        </w:numPr>
        <w:spacing w:after="200" w:line="240" w:lineRule="auto"/>
        <w:contextualSpacing/>
        <w:jc w:val="both"/>
        <w:rPr>
          <w:rFonts w:ascii="Times New Roman" w:eastAsia="Calibri" w:hAnsi="Times New Roman" w:cs="Times New Roman"/>
          <w:b/>
          <w:sz w:val="24"/>
          <w:szCs w:val="24"/>
          <w:lang w:val="sq-AL"/>
        </w:rPr>
      </w:pPr>
      <w:r w:rsidRPr="00DD3BBF">
        <w:rPr>
          <w:rFonts w:ascii="Times New Roman" w:eastAsia="Calibri" w:hAnsi="Times New Roman" w:cs="Times New Roman"/>
          <w:b/>
          <w:sz w:val="24"/>
          <w:szCs w:val="24"/>
          <w:lang w:val="sq-AL"/>
        </w:rPr>
        <w:t xml:space="preserve">Monitorimi i zhurmave në qytetin e Gjirokastrës </w:t>
      </w:r>
    </w:p>
    <w:p w:rsidR="00431C73" w:rsidRPr="00DD3BBF" w:rsidRDefault="00431C73" w:rsidP="00431C73">
      <w:pPr>
        <w:spacing w:after="200" w:line="240" w:lineRule="auto"/>
        <w:ind w:left="1440"/>
        <w:contextualSpacing/>
        <w:jc w:val="both"/>
        <w:rPr>
          <w:rFonts w:ascii="Times New Roman" w:eastAsia="Calibri" w:hAnsi="Times New Roman" w:cs="Times New Roman"/>
          <w:b/>
          <w:sz w:val="24"/>
          <w:szCs w:val="24"/>
          <w:lang w:val="sq-AL"/>
        </w:rPr>
      </w:pPr>
    </w:p>
    <w:p w:rsidR="00DD3BBF" w:rsidRPr="00DD3BBF" w:rsidRDefault="00DD3BBF" w:rsidP="00DD3BBF">
      <w:pPr>
        <w:spacing w:after="200" w:line="240" w:lineRule="auto"/>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Monitorimi i zhurmave urbane në qytetin e Gjirokastrës për vitin 2025 është realizuar në 4 stacione.</w:t>
      </w:r>
    </w:p>
    <w:p w:rsidR="00DD3BBF" w:rsidRPr="00DD3BBF" w:rsidRDefault="00DD3BBF" w:rsidP="00DD3BBF">
      <w:pPr>
        <w:spacing w:after="200" w:line="240" w:lineRule="auto"/>
        <w:jc w:val="center"/>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Tabela 1</w:t>
      </w:r>
      <w:r w:rsidR="00431C73">
        <w:rPr>
          <w:rFonts w:ascii="Times New Roman" w:eastAsia="Calibri" w:hAnsi="Times New Roman" w:cs="Times New Roman"/>
          <w:sz w:val="24"/>
          <w:szCs w:val="24"/>
          <w:lang w:val="sq-AL"/>
        </w:rPr>
        <w:t>2</w:t>
      </w:r>
      <w:r w:rsidRPr="00DD3BBF">
        <w:rPr>
          <w:rFonts w:ascii="Times New Roman" w:eastAsia="Calibri" w:hAnsi="Times New Roman" w:cs="Times New Roman"/>
          <w:sz w:val="24"/>
          <w:szCs w:val="24"/>
          <w:lang w:val="sq-AL"/>
        </w:rPr>
        <w:t xml:space="preserve"> -  Stacionet e monitoruara ne qytetin e Gjirokastrës</w:t>
      </w:r>
    </w:p>
    <w:tbl>
      <w:tblPr>
        <w:tblW w:w="9495" w:type="dxa"/>
        <w:tblLook w:val="04A0" w:firstRow="1" w:lastRow="0" w:firstColumn="1" w:lastColumn="0" w:noHBand="0" w:noVBand="1"/>
      </w:tblPr>
      <w:tblGrid>
        <w:gridCol w:w="445"/>
        <w:gridCol w:w="2610"/>
        <w:gridCol w:w="1980"/>
        <w:gridCol w:w="1949"/>
        <w:gridCol w:w="1021"/>
        <w:gridCol w:w="1490"/>
      </w:tblGrid>
      <w:tr w:rsidR="00DD3BBF" w:rsidRPr="00DD3BBF" w:rsidTr="00DD3BBF">
        <w:trPr>
          <w:trHeight w:val="455"/>
        </w:trPr>
        <w:tc>
          <w:tcPr>
            <w:tcW w:w="445"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Nr </w:t>
            </w:r>
          </w:p>
        </w:tc>
        <w:tc>
          <w:tcPr>
            <w:tcW w:w="261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Stacionet e monitorimit </w:t>
            </w:r>
          </w:p>
        </w:tc>
        <w:tc>
          <w:tcPr>
            <w:tcW w:w="198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Gjatësi gjeografike </w:t>
            </w:r>
          </w:p>
        </w:tc>
        <w:tc>
          <w:tcPr>
            <w:tcW w:w="1949"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Gjerësi gjeografike</w:t>
            </w:r>
          </w:p>
        </w:tc>
        <w:tc>
          <w:tcPr>
            <w:tcW w:w="1021"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LAeq </w:t>
            </w:r>
          </w:p>
        </w:tc>
        <w:tc>
          <w:tcPr>
            <w:tcW w:w="149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LAeq 2</w:t>
            </w:r>
          </w:p>
        </w:tc>
      </w:tr>
      <w:tr w:rsidR="00DD3BBF" w:rsidRPr="00DD3BBF" w:rsidTr="00DD3BBF">
        <w:trPr>
          <w:trHeight w:val="455"/>
        </w:trPr>
        <w:tc>
          <w:tcPr>
            <w:tcW w:w="44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261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198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1949"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1021"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xml:space="preserve">/Ditën </w:t>
            </w:r>
          </w:p>
        </w:tc>
        <w:tc>
          <w:tcPr>
            <w:tcW w:w="149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/Natën</w:t>
            </w:r>
          </w:p>
        </w:tc>
      </w:tr>
      <w:tr w:rsidR="00DD3BBF" w:rsidRPr="00DD3BBF" w:rsidTr="00DD3BBF">
        <w:trPr>
          <w:trHeight w:val="455"/>
        </w:trPr>
        <w:tc>
          <w:tcPr>
            <w:tcW w:w="44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1</w:t>
            </w:r>
          </w:p>
        </w:tc>
        <w:tc>
          <w:tcPr>
            <w:tcW w:w="261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Kryqëzimi në Hyrje</w:t>
            </w:r>
          </w:p>
        </w:tc>
        <w:tc>
          <w:tcPr>
            <w:tcW w:w="198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xml:space="preserve">40° 05'03.44"N </w:t>
            </w:r>
          </w:p>
        </w:tc>
        <w:tc>
          <w:tcPr>
            <w:tcW w:w="1949"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20°08'40.60"E</w:t>
            </w:r>
          </w:p>
        </w:tc>
        <w:tc>
          <w:tcPr>
            <w:tcW w:w="1021"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61.95</w:t>
            </w:r>
          </w:p>
        </w:tc>
        <w:tc>
          <w:tcPr>
            <w:tcW w:w="149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53.04</w:t>
            </w:r>
          </w:p>
        </w:tc>
      </w:tr>
      <w:tr w:rsidR="00DD3BBF" w:rsidRPr="00DD3BBF" w:rsidTr="00DD3BBF">
        <w:trPr>
          <w:trHeight w:val="455"/>
        </w:trPr>
        <w:tc>
          <w:tcPr>
            <w:tcW w:w="445" w:type="dxa"/>
            <w:tcBorders>
              <w:top w:val="single" w:sz="4" w:space="0" w:color="auto"/>
              <w:left w:val="single" w:sz="4" w:space="0" w:color="auto"/>
              <w:bottom w:val="nil"/>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2</w:t>
            </w:r>
          </w:p>
        </w:tc>
        <w:tc>
          <w:tcPr>
            <w:tcW w:w="261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Rrethrrotullimi te Stacioni</w:t>
            </w:r>
          </w:p>
        </w:tc>
        <w:tc>
          <w:tcPr>
            <w:tcW w:w="1980" w:type="dxa"/>
            <w:tcBorders>
              <w:top w:val="single" w:sz="4" w:space="0" w:color="auto"/>
              <w:left w:val="single" w:sz="4" w:space="0" w:color="auto"/>
              <w:bottom w:val="nil"/>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40° 04'48.78"N</w:t>
            </w:r>
          </w:p>
        </w:tc>
        <w:tc>
          <w:tcPr>
            <w:tcW w:w="1949" w:type="dxa"/>
            <w:tcBorders>
              <w:top w:val="single" w:sz="4" w:space="0" w:color="auto"/>
              <w:left w:val="single" w:sz="4" w:space="0" w:color="auto"/>
              <w:bottom w:val="nil"/>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20°08'17.56"E</w:t>
            </w:r>
          </w:p>
        </w:tc>
        <w:tc>
          <w:tcPr>
            <w:tcW w:w="1021"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60.1</w:t>
            </w:r>
          </w:p>
        </w:tc>
        <w:tc>
          <w:tcPr>
            <w:tcW w:w="149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48.93</w:t>
            </w:r>
          </w:p>
        </w:tc>
      </w:tr>
      <w:tr w:rsidR="00DD3BBF" w:rsidRPr="00DD3BBF" w:rsidTr="00DD3BBF">
        <w:trPr>
          <w:trHeight w:val="455"/>
        </w:trPr>
        <w:tc>
          <w:tcPr>
            <w:tcW w:w="445" w:type="dxa"/>
            <w:tcBorders>
              <w:top w:val="single" w:sz="4" w:space="0" w:color="auto"/>
              <w:left w:val="single" w:sz="4" w:space="0" w:color="auto"/>
              <w:bottom w:val="nil"/>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3</w:t>
            </w:r>
          </w:p>
        </w:tc>
        <w:tc>
          <w:tcPr>
            <w:tcW w:w="261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Sheshi "Çerçiz Topulli"</w:t>
            </w:r>
          </w:p>
        </w:tc>
        <w:tc>
          <w:tcPr>
            <w:tcW w:w="1980" w:type="dxa"/>
            <w:tcBorders>
              <w:top w:val="single" w:sz="4" w:space="0" w:color="auto"/>
              <w:left w:val="single" w:sz="4" w:space="0" w:color="auto"/>
              <w:bottom w:val="nil"/>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40° 07'48.713"N</w:t>
            </w:r>
          </w:p>
        </w:tc>
        <w:tc>
          <w:tcPr>
            <w:tcW w:w="1949" w:type="dxa"/>
            <w:tcBorders>
              <w:top w:val="single" w:sz="4" w:space="0" w:color="auto"/>
              <w:left w:val="single" w:sz="4" w:space="0" w:color="auto"/>
              <w:bottom w:val="nil"/>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20°14'01.322"E</w:t>
            </w:r>
          </w:p>
        </w:tc>
        <w:tc>
          <w:tcPr>
            <w:tcW w:w="1021"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61.29</w:t>
            </w:r>
          </w:p>
        </w:tc>
        <w:tc>
          <w:tcPr>
            <w:tcW w:w="149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50.06</w:t>
            </w:r>
          </w:p>
        </w:tc>
      </w:tr>
      <w:tr w:rsidR="00DD3BBF" w:rsidRPr="00DD3BBF" w:rsidTr="00DD3BBF">
        <w:trPr>
          <w:trHeight w:val="455"/>
        </w:trPr>
        <w:tc>
          <w:tcPr>
            <w:tcW w:w="44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4</w:t>
            </w:r>
          </w:p>
        </w:tc>
        <w:tc>
          <w:tcPr>
            <w:tcW w:w="261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Kryqëzimi i Rrugës "Gjin Zenebisi"</w:t>
            </w:r>
          </w:p>
        </w:tc>
        <w:tc>
          <w:tcPr>
            <w:tcW w:w="198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40° 07'71.979"N</w:t>
            </w:r>
          </w:p>
        </w:tc>
        <w:tc>
          <w:tcPr>
            <w:tcW w:w="1949"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20°14'94.079"E</w:t>
            </w:r>
          </w:p>
        </w:tc>
        <w:tc>
          <w:tcPr>
            <w:tcW w:w="1021"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58.68</w:t>
            </w:r>
          </w:p>
        </w:tc>
        <w:tc>
          <w:tcPr>
            <w:tcW w:w="149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48.89</w:t>
            </w:r>
          </w:p>
        </w:tc>
      </w:tr>
    </w:tbl>
    <w:p w:rsidR="00431C73" w:rsidRDefault="00431C73" w:rsidP="00431C73">
      <w:pPr>
        <w:spacing w:after="0" w:line="240" w:lineRule="auto"/>
        <w:rPr>
          <w:rFonts w:ascii="Times New Roman" w:eastAsia="Calibri" w:hAnsi="Times New Roman" w:cs="Times New Roman"/>
          <w:bCs/>
          <w:sz w:val="24"/>
          <w:szCs w:val="24"/>
          <w:lang w:val="sq-AL"/>
        </w:rPr>
      </w:pPr>
    </w:p>
    <w:p w:rsidR="00DD3BBF" w:rsidRPr="00DD3BBF" w:rsidRDefault="00DD3BBF" w:rsidP="00431C73">
      <w:pPr>
        <w:spacing w:after="0" w:line="240" w:lineRule="auto"/>
        <w:rPr>
          <w:rFonts w:ascii="Times New Roman" w:eastAsia="Calibri" w:hAnsi="Times New Roman" w:cs="Times New Roman"/>
          <w:bCs/>
          <w:sz w:val="24"/>
          <w:szCs w:val="24"/>
          <w:lang w:val="sq-AL"/>
        </w:rPr>
      </w:pPr>
      <w:r w:rsidRPr="00DD3BBF">
        <w:rPr>
          <w:rFonts w:ascii="Calibri" w:eastAsia="Calibri" w:hAnsi="Calibri" w:cs="Times New Roman"/>
          <w:noProof/>
        </w:rPr>
        <w:drawing>
          <wp:inline distT="0" distB="0" distL="0" distR="0" wp14:anchorId="3BB85530" wp14:editId="29A8EAEE">
            <wp:extent cx="2914650" cy="2105025"/>
            <wp:effectExtent l="0" t="0" r="0" b="9525"/>
            <wp:docPr id="95" name="Chart 95">
              <a:extLst xmlns:a="http://schemas.openxmlformats.org/drawingml/2006/main">
                <a:ext uri="{FF2B5EF4-FFF2-40B4-BE49-F238E27FC236}">
                  <a16:creationId xmlns:a16="http://schemas.microsoft.com/office/drawing/2014/main" id="{8A9F8E4F-2178-514D-BF90-BFAD5CB488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431C73">
        <w:rPr>
          <w:rFonts w:ascii="Times New Roman" w:eastAsia="Calibri" w:hAnsi="Times New Roman" w:cs="Times New Roman"/>
          <w:bCs/>
          <w:sz w:val="24"/>
          <w:szCs w:val="24"/>
          <w:lang w:val="sq-AL"/>
        </w:rPr>
        <w:t xml:space="preserve">  </w:t>
      </w:r>
      <w:r w:rsidR="00431C73" w:rsidRPr="00DD3BBF">
        <w:rPr>
          <w:rFonts w:ascii="Calibri" w:eastAsia="Calibri" w:hAnsi="Calibri" w:cs="Times New Roman"/>
          <w:noProof/>
        </w:rPr>
        <w:drawing>
          <wp:inline distT="0" distB="0" distL="0" distR="0" wp14:anchorId="504973CB" wp14:editId="2CEC0997">
            <wp:extent cx="2886075" cy="2047875"/>
            <wp:effectExtent l="0" t="0" r="9525" b="9525"/>
            <wp:docPr id="96" name="Chart 96">
              <a:extLst xmlns:a="http://schemas.openxmlformats.org/drawingml/2006/main">
                <a:ext uri="{FF2B5EF4-FFF2-40B4-BE49-F238E27FC236}">
                  <a16:creationId xmlns:a16="http://schemas.microsoft.com/office/drawing/2014/main" id="{2214AE44-9C1F-D698-56D6-D10908AC4E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DD3BBF" w:rsidRPr="00DD3BBF" w:rsidRDefault="00DD3BBF" w:rsidP="00DD3BBF">
      <w:pPr>
        <w:spacing w:after="0" w:line="240" w:lineRule="auto"/>
        <w:jc w:val="both"/>
        <w:rPr>
          <w:rFonts w:ascii="Times New Roman" w:eastAsia="Calibri" w:hAnsi="Times New Roman" w:cs="Times New Roman"/>
          <w:bCs/>
          <w:sz w:val="24"/>
          <w:szCs w:val="24"/>
          <w:lang w:val="sq-AL"/>
        </w:rPr>
      </w:pPr>
    </w:p>
    <w:p w:rsidR="00431C73"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Referuar të dhënave kemi tejkalim të normës ditën dhe natën në të  katërt stacionet. Nivelet më të larta ditën janë monitoruar në stacionin Kryqëzimi në Hyrje ku vlera e monitoruar është 61.95 dB (A) e shprehur në përqindje 12.6 3% më e lartë se norma.</w:t>
      </w:r>
      <w:r w:rsidR="000C08CD">
        <w:rPr>
          <w:rFonts w:ascii="Times New Roman" w:eastAsia="Calibri" w:hAnsi="Times New Roman" w:cs="Times New Roman"/>
          <w:sz w:val="24"/>
          <w:szCs w:val="24"/>
          <w:lang w:val="sq-AL"/>
        </w:rPr>
        <w:t xml:space="preserve"> </w:t>
      </w:r>
      <w:r w:rsidRPr="00DD3BBF">
        <w:rPr>
          <w:rFonts w:ascii="Times New Roman" w:eastAsia="Calibri" w:hAnsi="Times New Roman" w:cs="Times New Roman"/>
          <w:sz w:val="24"/>
          <w:szCs w:val="24"/>
          <w:lang w:val="sq-AL"/>
        </w:rPr>
        <w:t xml:space="preserve">Nivelet më të larta natën janë monitoruar në stacionin </w:t>
      </w:r>
      <w:r w:rsidR="000C08CD">
        <w:rPr>
          <w:rFonts w:ascii="Times New Roman" w:eastAsia="Calibri" w:hAnsi="Times New Roman" w:cs="Times New Roman"/>
          <w:sz w:val="24"/>
          <w:szCs w:val="24"/>
          <w:lang w:val="sq-AL"/>
        </w:rPr>
        <w:t xml:space="preserve">e </w:t>
      </w:r>
      <w:r w:rsidRPr="00DD3BBF">
        <w:rPr>
          <w:rFonts w:ascii="Times New Roman" w:eastAsia="Calibri" w:hAnsi="Times New Roman" w:cs="Times New Roman"/>
          <w:sz w:val="24"/>
          <w:szCs w:val="24"/>
          <w:lang w:val="sq-AL"/>
        </w:rPr>
        <w:t>Kryqëzimit në Hyrje ku vlera e monitoruar është 53.04 dB(A) dhe e shprehur në përqindje 17.86 % më e lartë se norma.</w:t>
      </w:r>
    </w:p>
    <w:p w:rsidR="009E4ABE" w:rsidRDefault="009E4ABE" w:rsidP="00DD3BBF">
      <w:pPr>
        <w:spacing w:after="200" w:line="240" w:lineRule="auto"/>
        <w:jc w:val="both"/>
        <w:rPr>
          <w:rFonts w:ascii="Times New Roman" w:eastAsia="Calibri" w:hAnsi="Times New Roman" w:cs="Times New Roman"/>
          <w:sz w:val="24"/>
          <w:szCs w:val="24"/>
          <w:lang w:val="sq-AL"/>
        </w:rPr>
      </w:pPr>
    </w:p>
    <w:p w:rsidR="00051C09" w:rsidRPr="00DD3BBF" w:rsidRDefault="00051C09" w:rsidP="00051C09">
      <w:pPr>
        <w:spacing w:after="0" w:line="240" w:lineRule="auto"/>
        <w:jc w:val="both"/>
        <w:rPr>
          <w:rFonts w:ascii="Times New Roman" w:eastAsia="Calibri" w:hAnsi="Times New Roman" w:cs="Times New Roman"/>
          <w:sz w:val="24"/>
          <w:szCs w:val="24"/>
          <w:lang w:val="sq-AL"/>
        </w:rPr>
      </w:pPr>
    </w:p>
    <w:p w:rsidR="00DD3BBF" w:rsidRDefault="00DD3BBF" w:rsidP="00051C09">
      <w:pPr>
        <w:numPr>
          <w:ilvl w:val="0"/>
          <w:numId w:val="9"/>
        </w:numPr>
        <w:spacing w:after="0" w:line="240" w:lineRule="auto"/>
        <w:contextualSpacing/>
        <w:jc w:val="both"/>
        <w:rPr>
          <w:rFonts w:ascii="Times New Roman" w:eastAsia="Calibri" w:hAnsi="Times New Roman" w:cs="Times New Roman"/>
          <w:b/>
          <w:sz w:val="24"/>
          <w:szCs w:val="24"/>
          <w:lang w:val="sq-AL"/>
        </w:rPr>
      </w:pPr>
      <w:r w:rsidRPr="00DD3BBF">
        <w:rPr>
          <w:rFonts w:ascii="Times New Roman" w:eastAsia="Calibri" w:hAnsi="Times New Roman" w:cs="Times New Roman"/>
          <w:b/>
          <w:sz w:val="24"/>
          <w:szCs w:val="24"/>
          <w:lang w:val="sq-AL"/>
        </w:rPr>
        <w:lastRenderedPageBreak/>
        <w:t xml:space="preserve">Monitorimi i zhurmave në qytetin e Pogradecit </w:t>
      </w:r>
    </w:p>
    <w:p w:rsidR="00431C73" w:rsidRPr="00DD3BBF" w:rsidRDefault="00431C73" w:rsidP="00051C09">
      <w:pPr>
        <w:spacing w:after="0" w:line="240" w:lineRule="auto"/>
        <w:ind w:left="1440"/>
        <w:contextualSpacing/>
        <w:jc w:val="both"/>
        <w:rPr>
          <w:rFonts w:ascii="Times New Roman" w:eastAsia="Calibri" w:hAnsi="Times New Roman" w:cs="Times New Roman"/>
          <w:b/>
          <w:sz w:val="24"/>
          <w:szCs w:val="24"/>
          <w:lang w:val="sq-AL"/>
        </w:rPr>
      </w:pPr>
    </w:p>
    <w:p w:rsidR="00431C73" w:rsidRPr="00DD3BBF" w:rsidRDefault="00A80BCC" w:rsidP="00051C09">
      <w:pPr>
        <w:spacing w:after="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Monitorimi i zhurmave urbane në</w:t>
      </w:r>
      <w:r w:rsidR="00DD3BBF" w:rsidRPr="00DD3BBF">
        <w:rPr>
          <w:rFonts w:ascii="Times New Roman" w:eastAsia="Calibri" w:hAnsi="Times New Roman" w:cs="Times New Roman"/>
          <w:sz w:val="24"/>
          <w:szCs w:val="24"/>
          <w:lang w:val="sq-AL"/>
        </w:rPr>
        <w:t xml:space="preserve"> qytetin e Pogradec</w:t>
      </w:r>
      <w:r>
        <w:rPr>
          <w:rFonts w:ascii="Times New Roman" w:eastAsia="Calibri" w:hAnsi="Times New Roman" w:cs="Times New Roman"/>
          <w:sz w:val="24"/>
          <w:szCs w:val="24"/>
          <w:lang w:val="sq-AL"/>
        </w:rPr>
        <w:t>it</w:t>
      </w:r>
      <w:r w:rsidR="00DD3BBF" w:rsidRPr="00DD3BBF">
        <w:rPr>
          <w:rFonts w:ascii="Times New Roman" w:eastAsia="Calibri" w:hAnsi="Times New Roman" w:cs="Times New Roman"/>
          <w:sz w:val="24"/>
          <w:szCs w:val="24"/>
          <w:lang w:val="sq-AL"/>
        </w:rPr>
        <w:t xml:space="preserve"> për vitin 2025 është realizuar në 2 stacione si </w:t>
      </w:r>
      <w:r w:rsidR="00431C73">
        <w:rPr>
          <w:rFonts w:ascii="Times New Roman" w:eastAsia="Calibri" w:hAnsi="Times New Roman" w:cs="Times New Roman"/>
          <w:sz w:val="24"/>
          <w:szCs w:val="24"/>
          <w:lang w:val="sq-AL"/>
        </w:rPr>
        <w:t>vijon</w:t>
      </w:r>
      <w:r w:rsidR="00DD3BBF" w:rsidRPr="00DD3BBF">
        <w:rPr>
          <w:rFonts w:ascii="Times New Roman" w:eastAsia="Calibri" w:hAnsi="Times New Roman" w:cs="Times New Roman"/>
          <w:sz w:val="24"/>
          <w:szCs w:val="24"/>
          <w:lang w:val="sq-AL"/>
        </w:rPr>
        <w:t>.</w:t>
      </w:r>
    </w:p>
    <w:tbl>
      <w:tblPr>
        <w:tblpPr w:leftFromText="180" w:rightFromText="180" w:vertAnchor="text" w:horzAnchor="margin" w:tblpXSpec="center" w:tblpY="547"/>
        <w:tblW w:w="10325" w:type="dxa"/>
        <w:tblLook w:val="04A0" w:firstRow="1" w:lastRow="0" w:firstColumn="1" w:lastColumn="0" w:noHBand="0" w:noVBand="1"/>
      </w:tblPr>
      <w:tblGrid>
        <w:gridCol w:w="715"/>
        <w:gridCol w:w="2700"/>
        <w:gridCol w:w="2340"/>
        <w:gridCol w:w="90"/>
        <w:gridCol w:w="2430"/>
        <w:gridCol w:w="1080"/>
        <w:gridCol w:w="970"/>
      </w:tblGrid>
      <w:tr w:rsidR="00431C73" w:rsidRPr="00DD3BBF" w:rsidTr="00431C73">
        <w:trPr>
          <w:trHeight w:val="241"/>
        </w:trPr>
        <w:tc>
          <w:tcPr>
            <w:tcW w:w="715"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431C73" w:rsidRPr="00DD3BBF" w:rsidRDefault="00431C73" w:rsidP="00431C73">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Nr </w:t>
            </w:r>
          </w:p>
        </w:tc>
        <w:tc>
          <w:tcPr>
            <w:tcW w:w="270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431C73" w:rsidRPr="00DD3BBF" w:rsidRDefault="00431C73" w:rsidP="00431C73">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Stacionet e monitorimit </w:t>
            </w:r>
          </w:p>
        </w:tc>
        <w:tc>
          <w:tcPr>
            <w:tcW w:w="2430" w:type="dxa"/>
            <w:gridSpan w:val="2"/>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431C73" w:rsidRPr="00DD3BBF" w:rsidRDefault="00431C73" w:rsidP="00431C73">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Gjatësi gjeografike </w:t>
            </w:r>
          </w:p>
        </w:tc>
        <w:tc>
          <w:tcPr>
            <w:tcW w:w="243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431C73" w:rsidRPr="00DD3BBF" w:rsidRDefault="00431C73" w:rsidP="00431C73">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Gjerësi gjeografike</w:t>
            </w:r>
          </w:p>
        </w:tc>
        <w:tc>
          <w:tcPr>
            <w:tcW w:w="108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431C73" w:rsidRPr="00DD3BBF" w:rsidRDefault="00431C73" w:rsidP="00431C73">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LAeq </w:t>
            </w:r>
          </w:p>
        </w:tc>
        <w:tc>
          <w:tcPr>
            <w:tcW w:w="97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431C73" w:rsidRPr="00DD3BBF" w:rsidRDefault="00431C73" w:rsidP="00431C73">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LAeq 2</w:t>
            </w:r>
          </w:p>
        </w:tc>
      </w:tr>
      <w:tr w:rsidR="00431C73" w:rsidRPr="00DD3BBF" w:rsidTr="00431C73">
        <w:trPr>
          <w:trHeight w:val="241"/>
        </w:trPr>
        <w:tc>
          <w:tcPr>
            <w:tcW w:w="71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270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234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2520" w:type="dxa"/>
            <w:gridSpan w:val="2"/>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08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xml:space="preserve">/Ditën </w:t>
            </w:r>
          </w:p>
        </w:tc>
        <w:tc>
          <w:tcPr>
            <w:tcW w:w="97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/Natën</w:t>
            </w:r>
          </w:p>
        </w:tc>
      </w:tr>
      <w:tr w:rsidR="00431C73" w:rsidRPr="00DD3BBF" w:rsidTr="00431C73">
        <w:trPr>
          <w:trHeight w:val="241"/>
        </w:trPr>
        <w:tc>
          <w:tcPr>
            <w:tcW w:w="71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431C73" w:rsidRPr="00DD3BBF" w:rsidRDefault="00431C73" w:rsidP="00431C73">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1</w:t>
            </w:r>
          </w:p>
        </w:tc>
        <w:tc>
          <w:tcPr>
            <w:tcW w:w="270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431C73" w:rsidRPr="00DD3BBF" w:rsidRDefault="00431C73" w:rsidP="00431C73">
            <w:pPr>
              <w:spacing w:after="0" w:line="240" w:lineRule="auto"/>
              <w:rPr>
                <w:rFonts w:ascii="Calibri" w:eastAsia="Times New Roman" w:hAnsi="Calibri" w:cs="Calibri"/>
                <w:lang w:val="sq-AL"/>
              </w:rPr>
            </w:pPr>
            <w:r w:rsidRPr="00DD3BBF">
              <w:rPr>
                <w:rFonts w:ascii="Calibri" w:eastAsia="Times New Roman" w:hAnsi="Calibri" w:cs="Calibri"/>
                <w:lang w:val="sq-AL"/>
              </w:rPr>
              <w:t xml:space="preserve">Kryqëzimi te Terminali                    </w:t>
            </w:r>
          </w:p>
        </w:tc>
        <w:tc>
          <w:tcPr>
            <w:tcW w:w="234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431C73" w:rsidRPr="00DD3BBF" w:rsidRDefault="00431C73" w:rsidP="00431C73">
            <w:pPr>
              <w:spacing w:after="0" w:line="240" w:lineRule="auto"/>
              <w:rPr>
                <w:rFonts w:ascii="Calibri" w:eastAsia="Times New Roman" w:hAnsi="Calibri" w:cs="Calibri"/>
                <w:lang w:val="sq-AL"/>
              </w:rPr>
            </w:pPr>
            <w:r w:rsidRPr="00DD3BBF">
              <w:rPr>
                <w:rFonts w:ascii="Calibri" w:eastAsia="Times New Roman" w:hAnsi="Calibri" w:cs="Calibri"/>
                <w:lang w:val="sq-AL"/>
              </w:rPr>
              <w:t>40° 54'25.77"N</w:t>
            </w:r>
          </w:p>
        </w:tc>
        <w:tc>
          <w:tcPr>
            <w:tcW w:w="2520" w:type="dxa"/>
            <w:gridSpan w:val="2"/>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431C73" w:rsidRPr="00DD3BBF" w:rsidRDefault="00431C73" w:rsidP="00431C73">
            <w:pPr>
              <w:spacing w:after="0" w:line="240" w:lineRule="auto"/>
              <w:rPr>
                <w:rFonts w:ascii="Calibri" w:eastAsia="Times New Roman" w:hAnsi="Calibri" w:cs="Calibri"/>
                <w:lang w:val="sq-AL"/>
              </w:rPr>
            </w:pPr>
            <w:r w:rsidRPr="00DD3BBF">
              <w:rPr>
                <w:rFonts w:ascii="Calibri" w:eastAsia="Times New Roman" w:hAnsi="Calibri" w:cs="Calibri"/>
                <w:lang w:val="sq-AL"/>
              </w:rPr>
              <w:t>20°39'02.03"E</w:t>
            </w:r>
          </w:p>
        </w:tc>
        <w:tc>
          <w:tcPr>
            <w:tcW w:w="108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431C73" w:rsidRPr="00DD3BBF" w:rsidRDefault="00431C73" w:rsidP="00431C73">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60.46</w:t>
            </w:r>
          </w:p>
        </w:tc>
        <w:tc>
          <w:tcPr>
            <w:tcW w:w="97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431C73" w:rsidRPr="00DD3BBF" w:rsidRDefault="00431C73" w:rsidP="00431C73">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47.56</w:t>
            </w:r>
          </w:p>
        </w:tc>
      </w:tr>
      <w:tr w:rsidR="00431C73" w:rsidRPr="00DD3BBF" w:rsidTr="00431C73">
        <w:trPr>
          <w:trHeight w:val="241"/>
        </w:trPr>
        <w:tc>
          <w:tcPr>
            <w:tcW w:w="71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270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234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2520" w:type="dxa"/>
            <w:gridSpan w:val="2"/>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108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97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r>
      <w:tr w:rsidR="00431C73" w:rsidRPr="00DD3BBF" w:rsidTr="00431C73">
        <w:trPr>
          <w:trHeight w:val="241"/>
        </w:trPr>
        <w:tc>
          <w:tcPr>
            <w:tcW w:w="71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431C73" w:rsidRPr="00DD3BBF" w:rsidRDefault="00431C73" w:rsidP="00431C73">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2</w:t>
            </w:r>
          </w:p>
        </w:tc>
        <w:tc>
          <w:tcPr>
            <w:tcW w:w="2700" w:type="dxa"/>
            <w:tcBorders>
              <w:top w:val="single" w:sz="4" w:space="0" w:color="auto"/>
              <w:left w:val="single" w:sz="4" w:space="0" w:color="auto"/>
              <w:bottom w:val="nil"/>
              <w:right w:val="single" w:sz="4" w:space="0" w:color="auto"/>
            </w:tcBorders>
            <w:shd w:val="clear" w:color="70AD47" w:fill="70AD47"/>
            <w:noWrap/>
            <w:vAlign w:val="bottom"/>
            <w:hideMark/>
          </w:tcPr>
          <w:p w:rsidR="00431C73" w:rsidRPr="00DD3BBF" w:rsidRDefault="00431C73" w:rsidP="00431C73">
            <w:pPr>
              <w:spacing w:after="0" w:line="240" w:lineRule="auto"/>
              <w:rPr>
                <w:rFonts w:ascii="Calibri" w:eastAsia="Times New Roman" w:hAnsi="Calibri" w:cs="Calibri"/>
                <w:lang w:val="sq-AL"/>
              </w:rPr>
            </w:pPr>
            <w:r w:rsidRPr="00DD3BBF">
              <w:rPr>
                <w:rFonts w:ascii="Calibri" w:eastAsia="Times New Roman" w:hAnsi="Calibri" w:cs="Calibri"/>
                <w:lang w:val="sq-AL"/>
              </w:rPr>
              <w:t xml:space="preserve">Hyrja e Qytetit               </w:t>
            </w:r>
          </w:p>
        </w:tc>
        <w:tc>
          <w:tcPr>
            <w:tcW w:w="2340" w:type="dxa"/>
            <w:tcBorders>
              <w:top w:val="single" w:sz="4" w:space="0" w:color="auto"/>
              <w:left w:val="single" w:sz="4" w:space="0" w:color="auto"/>
              <w:bottom w:val="nil"/>
              <w:right w:val="single" w:sz="4" w:space="0" w:color="auto"/>
            </w:tcBorders>
            <w:shd w:val="clear" w:color="70AD47" w:fill="70AD47"/>
            <w:noWrap/>
            <w:vAlign w:val="bottom"/>
            <w:hideMark/>
          </w:tcPr>
          <w:p w:rsidR="00431C73" w:rsidRPr="00DD3BBF" w:rsidRDefault="00431C73" w:rsidP="00431C73">
            <w:pPr>
              <w:spacing w:after="0" w:line="240" w:lineRule="auto"/>
              <w:rPr>
                <w:rFonts w:ascii="Calibri" w:eastAsia="Times New Roman" w:hAnsi="Calibri" w:cs="Calibri"/>
                <w:lang w:val="sq-AL"/>
              </w:rPr>
            </w:pPr>
            <w:r w:rsidRPr="00DD3BBF">
              <w:rPr>
                <w:rFonts w:ascii="Calibri" w:eastAsia="Times New Roman" w:hAnsi="Calibri" w:cs="Calibri"/>
                <w:lang w:val="sq-AL"/>
              </w:rPr>
              <w:t>40° 54'00.56"N</w:t>
            </w:r>
          </w:p>
        </w:tc>
        <w:tc>
          <w:tcPr>
            <w:tcW w:w="2520" w:type="dxa"/>
            <w:gridSpan w:val="2"/>
            <w:tcBorders>
              <w:top w:val="single" w:sz="4" w:space="0" w:color="auto"/>
              <w:left w:val="single" w:sz="4" w:space="0" w:color="auto"/>
              <w:bottom w:val="nil"/>
              <w:right w:val="single" w:sz="4" w:space="0" w:color="auto"/>
            </w:tcBorders>
            <w:shd w:val="clear" w:color="70AD47" w:fill="70AD47"/>
            <w:noWrap/>
            <w:vAlign w:val="bottom"/>
            <w:hideMark/>
          </w:tcPr>
          <w:p w:rsidR="00431C73" w:rsidRPr="00DD3BBF" w:rsidRDefault="00431C73" w:rsidP="00431C73">
            <w:pPr>
              <w:spacing w:after="0" w:line="240" w:lineRule="auto"/>
              <w:rPr>
                <w:rFonts w:ascii="Calibri" w:eastAsia="Times New Roman" w:hAnsi="Calibri" w:cs="Calibri"/>
                <w:lang w:val="sq-AL"/>
              </w:rPr>
            </w:pPr>
            <w:r w:rsidRPr="00DD3BBF">
              <w:rPr>
                <w:rFonts w:ascii="Calibri" w:eastAsia="Times New Roman" w:hAnsi="Calibri" w:cs="Calibri"/>
                <w:lang w:val="sq-AL"/>
              </w:rPr>
              <w:t>20°39'23.79"E</w:t>
            </w:r>
          </w:p>
        </w:tc>
        <w:tc>
          <w:tcPr>
            <w:tcW w:w="1080" w:type="dxa"/>
            <w:tcBorders>
              <w:top w:val="single" w:sz="4" w:space="0" w:color="auto"/>
              <w:left w:val="single" w:sz="4" w:space="0" w:color="auto"/>
              <w:bottom w:val="nil"/>
              <w:right w:val="single" w:sz="4" w:space="0" w:color="auto"/>
            </w:tcBorders>
            <w:shd w:val="clear" w:color="70AD47" w:fill="70AD47"/>
            <w:noWrap/>
            <w:vAlign w:val="bottom"/>
            <w:hideMark/>
          </w:tcPr>
          <w:p w:rsidR="00431C73" w:rsidRPr="00DD3BBF" w:rsidRDefault="00431C73" w:rsidP="00431C73">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59.9</w:t>
            </w:r>
          </w:p>
        </w:tc>
        <w:tc>
          <w:tcPr>
            <w:tcW w:w="970" w:type="dxa"/>
            <w:tcBorders>
              <w:top w:val="single" w:sz="4" w:space="0" w:color="auto"/>
              <w:left w:val="single" w:sz="4" w:space="0" w:color="auto"/>
              <w:bottom w:val="nil"/>
              <w:right w:val="single" w:sz="4" w:space="0" w:color="auto"/>
            </w:tcBorders>
            <w:shd w:val="clear" w:color="70AD47" w:fill="70AD47"/>
            <w:noWrap/>
            <w:vAlign w:val="bottom"/>
            <w:hideMark/>
          </w:tcPr>
          <w:p w:rsidR="00431C73" w:rsidRPr="00DD3BBF" w:rsidRDefault="00431C73" w:rsidP="00431C73">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47.73</w:t>
            </w:r>
          </w:p>
        </w:tc>
      </w:tr>
      <w:tr w:rsidR="00431C73" w:rsidRPr="00DD3BBF" w:rsidTr="00431C73">
        <w:trPr>
          <w:trHeight w:val="241"/>
        </w:trPr>
        <w:tc>
          <w:tcPr>
            <w:tcW w:w="71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270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234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2520" w:type="dxa"/>
            <w:gridSpan w:val="2"/>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108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97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431C73" w:rsidRPr="00DD3BBF" w:rsidRDefault="00431C73" w:rsidP="00431C73">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r>
    </w:tbl>
    <w:p w:rsidR="00DD3BBF" w:rsidRPr="00DD3BBF" w:rsidRDefault="00DD3BBF" w:rsidP="00FC025F">
      <w:pPr>
        <w:spacing w:after="200" w:line="240" w:lineRule="auto"/>
        <w:jc w:val="center"/>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Tabela 1</w:t>
      </w:r>
      <w:r w:rsidR="00431C73">
        <w:rPr>
          <w:rFonts w:ascii="Times New Roman" w:eastAsia="Calibri" w:hAnsi="Times New Roman" w:cs="Times New Roman"/>
          <w:sz w:val="24"/>
          <w:szCs w:val="24"/>
          <w:lang w:val="sq-AL"/>
        </w:rPr>
        <w:t>3</w:t>
      </w:r>
      <w:r w:rsidRPr="00DD3BBF">
        <w:rPr>
          <w:rFonts w:ascii="Times New Roman" w:eastAsia="Calibri" w:hAnsi="Times New Roman" w:cs="Times New Roman"/>
          <w:sz w:val="24"/>
          <w:szCs w:val="24"/>
          <w:lang w:val="sq-AL"/>
        </w:rPr>
        <w:t xml:space="preserve"> - Stacionet e monitoruara në qytetin e Pogradecit</w:t>
      </w:r>
    </w:p>
    <w:p w:rsidR="00DD3BBF" w:rsidRPr="00DD3BBF" w:rsidRDefault="00DD3BBF" w:rsidP="00DD3BBF">
      <w:pPr>
        <w:spacing w:after="200" w:line="240" w:lineRule="auto"/>
        <w:rPr>
          <w:rFonts w:ascii="Times New Roman" w:eastAsia="Calibri" w:hAnsi="Times New Roman" w:cs="Times New Roman"/>
          <w:b/>
          <w:noProof/>
          <w:sz w:val="24"/>
          <w:szCs w:val="24"/>
          <w:u w:val="single"/>
          <w:lang w:val="sq-AL"/>
        </w:rPr>
      </w:pPr>
      <w:r w:rsidRPr="00DD3BBF">
        <w:rPr>
          <w:rFonts w:ascii="Calibri" w:eastAsia="Calibri" w:hAnsi="Calibri" w:cs="Times New Roman"/>
          <w:noProof/>
        </w:rPr>
        <w:drawing>
          <wp:inline distT="0" distB="0" distL="0" distR="0" wp14:anchorId="7638AD56" wp14:editId="775EA105">
            <wp:extent cx="2809875" cy="2238375"/>
            <wp:effectExtent l="0" t="0" r="9525" b="9525"/>
            <wp:docPr id="97" name="Chart 97">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431C73">
        <w:rPr>
          <w:rFonts w:ascii="Times New Roman" w:eastAsia="Calibri" w:hAnsi="Times New Roman" w:cs="Times New Roman"/>
          <w:b/>
          <w:noProof/>
          <w:sz w:val="24"/>
          <w:szCs w:val="24"/>
          <w:u w:val="single"/>
          <w:lang w:val="sq-AL"/>
        </w:rPr>
        <w:t xml:space="preserve">  </w:t>
      </w:r>
      <w:r w:rsidR="00431C73" w:rsidRPr="00DD3BBF">
        <w:rPr>
          <w:rFonts w:ascii="Calibri" w:eastAsia="Calibri" w:hAnsi="Calibri" w:cs="Times New Roman"/>
          <w:noProof/>
        </w:rPr>
        <w:drawing>
          <wp:inline distT="0" distB="0" distL="0" distR="0" wp14:anchorId="04542280" wp14:editId="2ABC2859">
            <wp:extent cx="2905125" cy="2228850"/>
            <wp:effectExtent l="0" t="0" r="9525" b="0"/>
            <wp:docPr id="98" name="Chart 98">
              <a:extLst xmlns:a="http://schemas.openxmlformats.org/drawingml/2006/main">
                <a:ext uri="{FF2B5EF4-FFF2-40B4-BE49-F238E27FC236}">
                  <a16:creationId xmlns:a16="http://schemas.microsoft.com/office/drawing/2014/main" id="{00000000-0008-0000-0A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Referuar të dhënave të monitoruara në stacionet e Pogradecit vërejmë që kemi tejkalim të normës ditën dhe natën për të dy stacionet e monitoruara ku nivelet më të larta ditën janë monitoruar në stacionin Kryqëzimi te Terminali në vlerën 60.46 dB(A) shprehur në përqindje 9.9% më e lartë se norma.</w:t>
      </w:r>
    </w:p>
    <w:p w:rsidR="0086733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Ndërsa natën nivelet më të larta janë monitoruar në stacionin Hyrja e Qytetit ku vlera e monitoruar është 47.73dB</w:t>
      </w:r>
      <w:r w:rsidR="000C08CD">
        <w:rPr>
          <w:rFonts w:ascii="Times New Roman" w:eastAsia="Calibri" w:hAnsi="Times New Roman" w:cs="Times New Roman"/>
          <w:sz w:val="24"/>
          <w:szCs w:val="24"/>
          <w:lang w:val="sq-AL"/>
        </w:rPr>
        <w:t xml:space="preserve"> </w:t>
      </w:r>
      <w:r w:rsidRPr="00DD3BBF">
        <w:rPr>
          <w:rFonts w:ascii="Times New Roman" w:eastAsia="Calibri" w:hAnsi="Times New Roman" w:cs="Times New Roman"/>
          <w:sz w:val="24"/>
          <w:szCs w:val="24"/>
          <w:lang w:val="sq-AL"/>
        </w:rPr>
        <w:t>(A) dhe e shprehur në përqi</w:t>
      </w:r>
      <w:r w:rsidR="00051C09">
        <w:rPr>
          <w:rFonts w:ascii="Times New Roman" w:eastAsia="Calibri" w:hAnsi="Times New Roman" w:cs="Times New Roman"/>
          <w:sz w:val="24"/>
          <w:szCs w:val="24"/>
          <w:lang w:val="sq-AL"/>
        </w:rPr>
        <w:t>ndje 6.06% më e lartë se norma.</w:t>
      </w:r>
    </w:p>
    <w:p w:rsidR="00DD3BBF" w:rsidRDefault="00DD3BBF" w:rsidP="0033538C">
      <w:pPr>
        <w:numPr>
          <w:ilvl w:val="0"/>
          <w:numId w:val="9"/>
        </w:numPr>
        <w:spacing w:after="200" w:line="240" w:lineRule="auto"/>
        <w:contextualSpacing/>
        <w:jc w:val="both"/>
        <w:rPr>
          <w:rFonts w:ascii="Times New Roman" w:eastAsia="Calibri" w:hAnsi="Times New Roman" w:cs="Times New Roman"/>
          <w:b/>
          <w:sz w:val="24"/>
          <w:szCs w:val="24"/>
          <w:lang w:val="sq-AL"/>
        </w:rPr>
      </w:pPr>
      <w:r w:rsidRPr="00DD3BBF">
        <w:rPr>
          <w:rFonts w:ascii="Times New Roman" w:eastAsia="Calibri" w:hAnsi="Times New Roman" w:cs="Times New Roman"/>
          <w:b/>
          <w:sz w:val="24"/>
          <w:szCs w:val="24"/>
          <w:lang w:val="sq-AL"/>
        </w:rPr>
        <w:t xml:space="preserve">Monitorimi i zhurmave në qytetin e Përmetit </w:t>
      </w:r>
    </w:p>
    <w:p w:rsidR="00431C73" w:rsidRPr="00DD3BBF" w:rsidRDefault="00431C73" w:rsidP="00431C73">
      <w:pPr>
        <w:spacing w:after="200" w:line="240" w:lineRule="auto"/>
        <w:ind w:left="1440"/>
        <w:contextualSpacing/>
        <w:jc w:val="both"/>
        <w:rPr>
          <w:rFonts w:ascii="Times New Roman" w:eastAsia="Calibri" w:hAnsi="Times New Roman" w:cs="Times New Roman"/>
          <w:b/>
          <w:sz w:val="24"/>
          <w:szCs w:val="24"/>
          <w:lang w:val="sq-AL"/>
        </w:rPr>
      </w:pPr>
    </w:p>
    <w:p w:rsidR="00DD3BBF" w:rsidRPr="00DD3BBF" w:rsidRDefault="00A80BCC" w:rsidP="00DD3BBF">
      <w:pPr>
        <w:spacing w:after="200" w:line="240" w:lineRule="auto"/>
        <w:jc w:val="both"/>
        <w:rPr>
          <w:rFonts w:ascii="Times New Roman" w:eastAsia="Calibri" w:hAnsi="Times New Roman" w:cs="Times New Roman"/>
          <w:b/>
          <w:sz w:val="24"/>
          <w:szCs w:val="24"/>
          <w:lang w:val="sq-AL"/>
        </w:rPr>
      </w:pPr>
      <w:r>
        <w:rPr>
          <w:rFonts w:ascii="Times New Roman" w:eastAsia="Calibri" w:hAnsi="Times New Roman" w:cs="Times New Roman"/>
          <w:sz w:val="24"/>
          <w:szCs w:val="24"/>
          <w:lang w:val="sq-AL"/>
        </w:rPr>
        <w:t>Monitorimi i zhurmave urbane në qytetin e Përmetit</w:t>
      </w:r>
      <w:r w:rsidR="00DD3BBF" w:rsidRPr="00DD3BBF">
        <w:rPr>
          <w:rFonts w:ascii="Times New Roman" w:eastAsia="Calibri" w:hAnsi="Times New Roman" w:cs="Times New Roman"/>
          <w:sz w:val="24"/>
          <w:szCs w:val="24"/>
          <w:lang w:val="sq-AL"/>
        </w:rPr>
        <w:t xml:space="preserve"> për vitin 2025 është realizuar në 2 stacione si në tabelën 1</w:t>
      </w:r>
      <w:r w:rsidR="0086733F">
        <w:rPr>
          <w:rFonts w:ascii="Times New Roman" w:eastAsia="Calibri" w:hAnsi="Times New Roman" w:cs="Times New Roman"/>
          <w:sz w:val="24"/>
          <w:szCs w:val="24"/>
          <w:lang w:val="sq-AL"/>
        </w:rPr>
        <w:t>4</w:t>
      </w:r>
      <w:r w:rsidR="00DD3BBF" w:rsidRPr="00DD3BBF">
        <w:rPr>
          <w:rFonts w:ascii="Times New Roman" w:eastAsia="Calibri" w:hAnsi="Times New Roman" w:cs="Times New Roman"/>
          <w:sz w:val="24"/>
          <w:szCs w:val="24"/>
          <w:lang w:val="sq-AL"/>
        </w:rPr>
        <w:t>.</w:t>
      </w:r>
    </w:p>
    <w:p w:rsidR="00DD3BBF" w:rsidRPr="00DD3BBF" w:rsidRDefault="00DD3BBF" w:rsidP="00DD3BBF">
      <w:pPr>
        <w:spacing w:after="200" w:line="240" w:lineRule="auto"/>
        <w:jc w:val="center"/>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Tabela 1</w:t>
      </w:r>
      <w:r w:rsidR="0086733F">
        <w:rPr>
          <w:rFonts w:ascii="Times New Roman" w:eastAsia="Calibri" w:hAnsi="Times New Roman" w:cs="Times New Roman"/>
          <w:sz w:val="24"/>
          <w:szCs w:val="24"/>
          <w:lang w:val="sq-AL"/>
        </w:rPr>
        <w:t>4</w:t>
      </w:r>
      <w:r w:rsidRPr="00DD3BBF">
        <w:rPr>
          <w:rFonts w:ascii="Times New Roman" w:eastAsia="Calibri" w:hAnsi="Times New Roman" w:cs="Times New Roman"/>
          <w:sz w:val="24"/>
          <w:szCs w:val="24"/>
          <w:lang w:val="sq-AL"/>
        </w:rPr>
        <w:t xml:space="preserve"> - Stacionet e monitoruara në qytetin e Përmetit</w:t>
      </w:r>
    </w:p>
    <w:tbl>
      <w:tblPr>
        <w:tblW w:w="10261" w:type="dxa"/>
        <w:tblLook w:val="04A0" w:firstRow="1" w:lastRow="0" w:firstColumn="1" w:lastColumn="0" w:noHBand="0" w:noVBand="1"/>
      </w:tblPr>
      <w:tblGrid>
        <w:gridCol w:w="535"/>
        <w:gridCol w:w="2430"/>
        <w:gridCol w:w="2070"/>
        <w:gridCol w:w="1980"/>
        <w:gridCol w:w="1440"/>
        <w:gridCol w:w="1806"/>
      </w:tblGrid>
      <w:tr w:rsidR="00DD3BBF" w:rsidRPr="00DD3BBF" w:rsidTr="00DD3BBF">
        <w:trPr>
          <w:trHeight w:val="151"/>
        </w:trPr>
        <w:tc>
          <w:tcPr>
            <w:tcW w:w="535"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Nr </w:t>
            </w:r>
          </w:p>
        </w:tc>
        <w:tc>
          <w:tcPr>
            <w:tcW w:w="243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Stacionet e monitorimit </w:t>
            </w:r>
          </w:p>
        </w:tc>
        <w:tc>
          <w:tcPr>
            <w:tcW w:w="207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Gjatësi gjeografike </w:t>
            </w:r>
          </w:p>
        </w:tc>
        <w:tc>
          <w:tcPr>
            <w:tcW w:w="198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Gjerësi gjeografike</w:t>
            </w:r>
          </w:p>
        </w:tc>
        <w:tc>
          <w:tcPr>
            <w:tcW w:w="144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LAeq </w:t>
            </w:r>
          </w:p>
        </w:tc>
        <w:tc>
          <w:tcPr>
            <w:tcW w:w="1806"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LAeq 2</w:t>
            </w:r>
          </w:p>
        </w:tc>
      </w:tr>
      <w:tr w:rsidR="00DD3BBF" w:rsidRPr="00DD3BBF" w:rsidTr="00DD3BBF">
        <w:trPr>
          <w:trHeight w:val="151"/>
        </w:trPr>
        <w:tc>
          <w:tcPr>
            <w:tcW w:w="53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243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207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98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44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xml:space="preserve">/Ditën </w:t>
            </w:r>
          </w:p>
        </w:tc>
        <w:tc>
          <w:tcPr>
            <w:tcW w:w="180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/Natën</w:t>
            </w:r>
          </w:p>
        </w:tc>
      </w:tr>
      <w:tr w:rsidR="00DD3BBF" w:rsidRPr="00DD3BBF" w:rsidTr="00DD3BBF">
        <w:trPr>
          <w:trHeight w:val="151"/>
        </w:trPr>
        <w:tc>
          <w:tcPr>
            <w:tcW w:w="53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1</w:t>
            </w:r>
          </w:p>
        </w:tc>
        <w:tc>
          <w:tcPr>
            <w:tcW w:w="2430" w:type="dxa"/>
            <w:tcBorders>
              <w:top w:val="nil"/>
              <w:left w:val="nil"/>
              <w:bottom w:val="nil"/>
              <w:right w:val="nil"/>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Ura ne Hyrje</w:t>
            </w:r>
          </w:p>
        </w:tc>
        <w:tc>
          <w:tcPr>
            <w:tcW w:w="207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40° 23'34.91"N</w:t>
            </w:r>
          </w:p>
        </w:tc>
        <w:tc>
          <w:tcPr>
            <w:tcW w:w="198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20°35'47.82"E</w:t>
            </w:r>
          </w:p>
        </w:tc>
        <w:tc>
          <w:tcPr>
            <w:tcW w:w="144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54.07</w:t>
            </w:r>
          </w:p>
        </w:tc>
        <w:tc>
          <w:tcPr>
            <w:tcW w:w="1806"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43.89</w:t>
            </w:r>
          </w:p>
        </w:tc>
      </w:tr>
      <w:tr w:rsidR="00DD3BBF" w:rsidRPr="00DD3BBF" w:rsidTr="00DD3BBF">
        <w:trPr>
          <w:trHeight w:val="151"/>
        </w:trPr>
        <w:tc>
          <w:tcPr>
            <w:tcW w:w="53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243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207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198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144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80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r>
      <w:tr w:rsidR="00DD3BBF" w:rsidRPr="00DD3BBF" w:rsidTr="00DD3BBF">
        <w:trPr>
          <w:trHeight w:val="151"/>
        </w:trPr>
        <w:tc>
          <w:tcPr>
            <w:tcW w:w="53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jc w:val="right"/>
              <w:rPr>
                <w:rFonts w:ascii="Calibri" w:eastAsia="Times New Roman" w:hAnsi="Calibri" w:cs="Calibri"/>
                <w:lang w:val="sq-AL"/>
              </w:rPr>
            </w:pPr>
            <w:r w:rsidRPr="00DD3BBF">
              <w:rPr>
                <w:rFonts w:ascii="Calibri" w:eastAsia="Times New Roman" w:hAnsi="Calibri" w:cs="Calibri"/>
                <w:lang w:val="sq-AL"/>
              </w:rPr>
              <w:t>2</w:t>
            </w:r>
          </w:p>
        </w:tc>
        <w:tc>
          <w:tcPr>
            <w:tcW w:w="2430" w:type="dxa"/>
            <w:tcBorders>
              <w:top w:val="single" w:sz="4" w:space="0" w:color="auto"/>
              <w:left w:val="single" w:sz="4" w:space="0" w:color="auto"/>
              <w:bottom w:val="nil"/>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xml:space="preserve"> Bashkia</w:t>
            </w:r>
          </w:p>
        </w:tc>
        <w:tc>
          <w:tcPr>
            <w:tcW w:w="2070" w:type="dxa"/>
            <w:tcBorders>
              <w:top w:val="single" w:sz="4" w:space="0" w:color="auto"/>
              <w:left w:val="single" w:sz="4" w:space="0" w:color="auto"/>
              <w:bottom w:val="nil"/>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40° 23'31.70"N</w:t>
            </w:r>
          </w:p>
        </w:tc>
        <w:tc>
          <w:tcPr>
            <w:tcW w:w="1980" w:type="dxa"/>
            <w:tcBorders>
              <w:top w:val="single" w:sz="4" w:space="0" w:color="auto"/>
              <w:left w:val="single" w:sz="4" w:space="0" w:color="auto"/>
              <w:bottom w:val="nil"/>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20°35'31.26"E</w:t>
            </w:r>
          </w:p>
        </w:tc>
        <w:tc>
          <w:tcPr>
            <w:tcW w:w="1440" w:type="dxa"/>
            <w:tcBorders>
              <w:top w:val="single" w:sz="4" w:space="0" w:color="auto"/>
              <w:left w:val="single" w:sz="4" w:space="0" w:color="auto"/>
              <w:bottom w:val="nil"/>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56.23</w:t>
            </w:r>
          </w:p>
        </w:tc>
        <w:tc>
          <w:tcPr>
            <w:tcW w:w="1806" w:type="dxa"/>
            <w:tcBorders>
              <w:top w:val="single" w:sz="4" w:space="0" w:color="auto"/>
              <w:left w:val="single" w:sz="4" w:space="0" w:color="auto"/>
              <w:bottom w:val="nil"/>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44.69</w:t>
            </w:r>
          </w:p>
        </w:tc>
      </w:tr>
      <w:tr w:rsidR="00DD3BBF" w:rsidRPr="00DD3BBF" w:rsidTr="00DD3BBF">
        <w:trPr>
          <w:trHeight w:val="151"/>
        </w:trPr>
        <w:tc>
          <w:tcPr>
            <w:tcW w:w="53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243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207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198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 </w:t>
            </w:r>
          </w:p>
        </w:tc>
        <w:tc>
          <w:tcPr>
            <w:tcW w:w="144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c>
          <w:tcPr>
            <w:tcW w:w="1806"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 </w:t>
            </w:r>
          </w:p>
        </w:tc>
      </w:tr>
    </w:tbl>
    <w:p w:rsidR="00DD3BBF" w:rsidRPr="00DD3BBF" w:rsidRDefault="00DD3BBF" w:rsidP="00DD3BBF">
      <w:pPr>
        <w:spacing w:after="200" w:line="240" w:lineRule="auto"/>
        <w:jc w:val="center"/>
        <w:rPr>
          <w:rFonts w:ascii="Times New Roman" w:eastAsia="Calibri" w:hAnsi="Times New Roman" w:cs="Times New Roman"/>
          <w:sz w:val="24"/>
          <w:szCs w:val="24"/>
          <w:lang w:val="sq-AL"/>
        </w:rPr>
      </w:pPr>
    </w:p>
    <w:p w:rsidR="00DD3BBF" w:rsidRPr="00DD3BBF" w:rsidRDefault="00DD3BBF" w:rsidP="0086733F">
      <w:pPr>
        <w:spacing w:after="200" w:line="240" w:lineRule="auto"/>
        <w:rPr>
          <w:rFonts w:ascii="Times New Roman" w:eastAsia="Calibri" w:hAnsi="Times New Roman" w:cs="Times New Roman"/>
          <w:sz w:val="24"/>
          <w:szCs w:val="24"/>
          <w:lang w:val="sq-AL"/>
        </w:rPr>
      </w:pPr>
      <w:r w:rsidRPr="00DD3BBF">
        <w:rPr>
          <w:rFonts w:ascii="Calibri" w:eastAsia="Calibri" w:hAnsi="Calibri" w:cs="Times New Roman"/>
          <w:noProof/>
        </w:rPr>
        <w:drawing>
          <wp:inline distT="0" distB="0" distL="0" distR="0" wp14:anchorId="0F649961" wp14:editId="215CD6D0">
            <wp:extent cx="2886075" cy="2581275"/>
            <wp:effectExtent l="0" t="0" r="9525" b="9525"/>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0086733F">
        <w:rPr>
          <w:rFonts w:ascii="Times New Roman" w:eastAsia="Calibri" w:hAnsi="Times New Roman" w:cs="Times New Roman"/>
          <w:sz w:val="24"/>
          <w:szCs w:val="24"/>
          <w:lang w:val="sq-AL"/>
        </w:rPr>
        <w:t xml:space="preserve">  </w:t>
      </w:r>
      <w:r w:rsidR="0086733F" w:rsidRPr="00DD3BBF">
        <w:rPr>
          <w:rFonts w:ascii="Calibri" w:eastAsia="Calibri" w:hAnsi="Calibri" w:cs="Times New Roman"/>
          <w:noProof/>
        </w:rPr>
        <w:drawing>
          <wp:inline distT="0" distB="0" distL="0" distR="0" wp14:anchorId="01A9A25D" wp14:editId="63C6711F">
            <wp:extent cx="2867025" cy="2562225"/>
            <wp:effectExtent l="0" t="0" r="9525" b="9525"/>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Referuar të dhënave të monitoruara në stacionet e Përmetit vërejmë që kemi tejkalim të normës ditën vetëm në stacionin Bashkia në vlerën 56.23 dB(A) shprehur në përqindje 2.2 % më e lartë se norma.</w:t>
      </w:r>
      <w:r w:rsidR="0086733F">
        <w:rPr>
          <w:rFonts w:ascii="Times New Roman" w:eastAsia="Calibri" w:hAnsi="Times New Roman" w:cs="Times New Roman"/>
          <w:sz w:val="24"/>
          <w:szCs w:val="24"/>
          <w:lang w:val="sq-AL"/>
        </w:rPr>
        <w:t xml:space="preserve"> </w:t>
      </w:r>
      <w:r w:rsidRPr="00DD3BBF">
        <w:rPr>
          <w:rFonts w:ascii="Times New Roman" w:eastAsia="Calibri" w:hAnsi="Times New Roman" w:cs="Times New Roman"/>
          <w:sz w:val="24"/>
          <w:szCs w:val="24"/>
          <w:lang w:val="sq-AL"/>
        </w:rPr>
        <w:t xml:space="preserve">Ndërsa natën nuk kemi tejkalim në asnjë nga stacionet e monitoruar në qytetin e Përmetit. </w:t>
      </w:r>
    </w:p>
    <w:p w:rsidR="00FC025F" w:rsidRDefault="00FC025F" w:rsidP="00DD3BBF">
      <w:pPr>
        <w:autoSpaceDE w:val="0"/>
        <w:autoSpaceDN w:val="0"/>
        <w:adjustRightInd w:val="0"/>
        <w:spacing w:after="0" w:line="276" w:lineRule="auto"/>
        <w:jc w:val="both"/>
        <w:rPr>
          <w:rFonts w:ascii="Times New Roman" w:eastAsia="Calibri" w:hAnsi="Times New Roman" w:cs="Times New Roman"/>
          <w:sz w:val="24"/>
          <w:szCs w:val="24"/>
          <w:u w:val="single"/>
          <w:lang w:val="sq-AL"/>
        </w:rPr>
      </w:pPr>
    </w:p>
    <w:p w:rsidR="00FC025F" w:rsidRPr="00DD3BBF" w:rsidRDefault="00FC025F" w:rsidP="00DD3BBF">
      <w:pPr>
        <w:autoSpaceDE w:val="0"/>
        <w:autoSpaceDN w:val="0"/>
        <w:adjustRightInd w:val="0"/>
        <w:spacing w:after="0" w:line="276" w:lineRule="auto"/>
        <w:jc w:val="both"/>
        <w:rPr>
          <w:rFonts w:ascii="Times New Roman" w:eastAsia="Calibri" w:hAnsi="Times New Roman" w:cs="Times New Roman"/>
          <w:sz w:val="24"/>
          <w:szCs w:val="24"/>
          <w:u w:val="single"/>
          <w:lang w:val="sq-AL"/>
        </w:rPr>
      </w:pPr>
    </w:p>
    <w:p w:rsidR="00DD3BBF" w:rsidRDefault="00DD3BBF" w:rsidP="0033538C">
      <w:pPr>
        <w:numPr>
          <w:ilvl w:val="0"/>
          <w:numId w:val="9"/>
        </w:numPr>
        <w:spacing w:after="200" w:line="240" w:lineRule="auto"/>
        <w:contextualSpacing/>
        <w:jc w:val="both"/>
        <w:rPr>
          <w:rFonts w:ascii="Times New Roman" w:eastAsia="Calibri" w:hAnsi="Times New Roman" w:cs="Times New Roman"/>
          <w:b/>
          <w:sz w:val="24"/>
          <w:szCs w:val="24"/>
          <w:lang w:val="sq-AL"/>
        </w:rPr>
      </w:pPr>
      <w:r w:rsidRPr="00DD3BBF">
        <w:rPr>
          <w:rFonts w:ascii="Times New Roman" w:eastAsia="Calibri" w:hAnsi="Times New Roman" w:cs="Times New Roman"/>
          <w:b/>
          <w:sz w:val="24"/>
          <w:szCs w:val="24"/>
          <w:lang w:val="sq-AL"/>
        </w:rPr>
        <w:t xml:space="preserve">Monitorimi i zhurmave në qytetin e Lushnjes </w:t>
      </w:r>
    </w:p>
    <w:p w:rsidR="007A6C83" w:rsidRPr="00DD3BBF" w:rsidRDefault="007A6C83" w:rsidP="007A6C83">
      <w:pPr>
        <w:spacing w:after="200" w:line="240" w:lineRule="auto"/>
        <w:ind w:left="1440"/>
        <w:contextualSpacing/>
        <w:jc w:val="both"/>
        <w:rPr>
          <w:rFonts w:ascii="Times New Roman" w:eastAsia="Calibri" w:hAnsi="Times New Roman" w:cs="Times New Roman"/>
          <w:b/>
          <w:sz w:val="24"/>
          <w:szCs w:val="24"/>
          <w:lang w:val="sq-AL"/>
        </w:rPr>
      </w:pPr>
    </w:p>
    <w:p w:rsidR="00DD3BBF" w:rsidRPr="00DD3BBF" w:rsidRDefault="00A80BCC" w:rsidP="00DD3BBF">
      <w:pPr>
        <w:spacing w:after="200" w:line="240" w:lineRule="auto"/>
        <w:jc w:val="both"/>
        <w:rPr>
          <w:rFonts w:ascii="Times New Roman" w:eastAsia="Calibri" w:hAnsi="Times New Roman" w:cs="Times New Roman"/>
          <w:b/>
          <w:sz w:val="24"/>
          <w:szCs w:val="24"/>
          <w:lang w:val="sq-AL"/>
        </w:rPr>
      </w:pPr>
      <w:r>
        <w:rPr>
          <w:rFonts w:ascii="Times New Roman" w:eastAsia="Calibri" w:hAnsi="Times New Roman" w:cs="Times New Roman"/>
          <w:sz w:val="24"/>
          <w:szCs w:val="24"/>
          <w:lang w:val="sq-AL"/>
        </w:rPr>
        <w:t>Monitorimi i zhurmave urbane në</w:t>
      </w:r>
      <w:r w:rsidR="00DD3BBF" w:rsidRPr="00DD3BBF">
        <w:rPr>
          <w:rFonts w:ascii="Times New Roman" w:eastAsia="Calibri" w:hAnsi="Times New Roman" w:cs="Times New Roman"/>
          <w:sz w:val="24"/>
          <w:szCs w:val="24"/>
          <w:lang w:val="sq-AL"/>
        </w:rPr>
        <w:t xml:space="preserve"> qytetin e Lushnjes për vitin 2025 është realizuar në</w:t>
      </w:r>
      <w:r w:rsidR="00B16CF2">
        <w:rPr>
          <w:rFonts w:ascii="Times New Roman" w:eastAsia="Calibri" w:hAnsi="Times New Roman" w:cs="Times New Roman"/>
          <w:sz w:val="24"/>
          <w:szCs w:val="24"/>
          <w:lang w:val="sq-AL"/>
        </w:rPr>
        <w:t xml:space="preserve"> 4</w:t>
      </w:r>
      <w:r w:rsidR="00DD3BBF" w:rsidRPr="00DD3BBF">
        <w:rPr>
          <w:rFonts w:ascii="Times New Roman" w:eastAsia="Calibri" w:hAnsi="Times New Roman" w:cs="Times New Roman"/>
          <w:sz w:val="24"/>
          <w:szCs w:val="24"/>
          <w:lang w:val="sq-AL"/>
        </w:rPr>
        <w:t xml:space="preserve"> stacione.</w:t>
      </w:r>
    </w:p>
    <w:p w:rsidR="00DD3BBF" w:rsidRPr="00DD3BBF" w:rsidRDefault="00DD3BBF" w:rsidP="00DD3BBF">
      <w:pPr>
        <w:spacing w:after="200" w:line="240" w:lineRule="auto"/>
        <w:jc w:val="center"/>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Tabela 1</w:t>
      </w:r>
      <w:r w:rsidR="00C33F11">
        <w:rPr>
          <w:rFonts w:ascii="Times New Roman" w:eastAsia="Calibri" w:hAnsi="Times New Roman" w:cs="Times New Roman"/>
          <w:sz w:val="24"/>
          <w:szCs w:val="24"/>
          <w:lang w:val="sq-AL"/>
        </w:rPr>
        <w:t>5</w:t>
      </w:r>
      <w:r w:rsidRPr="00DD3BBF">
        <w:rPr>
          <w:rFonts w:ascii="Times New Roman" w:eastAsia="Calibri" w:hAnsi="Times New Roman" w:cs="Times New Roman"/>
          <w:sz w:val="24"/>
          <w:szCs w:val="24"/>
          <w:lang w:val="sq-AL"/>
        </w:rPr>
        <w:t xml:space="preserve"> - Stacionet e monitoruara në qytetin e Lushnjes</w:t>
      </w:r>
    </w:p>
    <w:tbl>
      <w:tblPr>
        <w:tblpPr w:leftFromText="180" w:rightFromText="180" w:vertAnchor="text" w:horzAnchor="margin" w:tblpXSpec="center" w:tblpY="176"/>
        <w:tblW w:w="10795" w:type="dxa"/>
        <w:tblLook w:val="04A0" w:firstRow="1" w:lastRow="0" w:firstColumn="1" w:lastColumn="0" w:noHBand="0" w:noVBand="1"/>
      </w:tblPr>
      <w:tblGrid>
        <w:gridCol w:w="3325"/>
        <w:gridCol w:w="2250"/>
        <w:gridCol w:w="2070"/>
        <w:gridCol w:w="1350"/>
        <w:gridCol w:w="1800"/>
      </w:tblGrid>
      <w:tr w:rsidR="00DD3BBF" w:rsidRPr="00DD3BBF" w:rsidTr="00DD3BBF">
        <w:trPr>
          <w:trHeight w:val="565"/>
        </w:trPr>
        <w:tc>
          <w:tcPr>
            <w:tcW w:w="3325"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Stacionet e monitorimit </w:t>
            </w:r>
          </w:p>
        </w:tc>
        <w:tc>
          <w:tcPr>
            <w:tcW w:w="225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Gjatësi gjeografike </w:t>
            </w:r>
          </w:p>
        </w:tc>
        <w:tc>
          <w:tcPr>
            <w:tcW w:w="207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Gjerësi gjeografike</w:t>
            </w:r>
          </w:p>
        </w:tc>
        <w:tc>
          <w:tcPr>
            <w:tcW w:w="135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 xml:space="preserve">LAeq </w:t>
            </w:r>
          </w:p>
        </w:tc>
        <w:tc>
          <w:tcPr>
            <w:tcW w:w="180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DD3BBF" w:rsidRPr="00DD3BBF" w:rsidRDefault="00DD3BBF" w:rsidP="00DD3BBF">
            <w:pPr>
              <w:spacing w:after="0" w:line="240" w:lineRule="auto"/>
              <w:rPr>
                <w:rFonts w:ascii="Calibri" w:eastAsia="Times New Roman" w:hAnsi="Calibri" w:cs="Calibri"/>
                <w:b/>
                <w:bCs/>
                <w:color w:val="FFFFFF"/>
                <w:lang w:val="sq-AL"/>
              </w:rPr>
            </w:pPr>
            <w:r w:rsidRPr="00DD3BBF">
              <w:rPr>
                <w:rFonts w:ascii="Calibri" w:eastAsia="Times New Roman" w:hAnsi="Calibri" w:cs="Calibri"/>
                <w:b/>
                <w:bCs/>
                <w:color w:val="FFFFFF"/>
                <w:lang w:val="sq-AL"/>
              </w:rPr>
              <w:t>LAeq 2</w:t>
            </w:r>
          </w:p>
        </w:tc>
      </w:tr>
      <w:tr w:rsidR="00DD3BBF" w:rsidRPr="00DD3BBF" w:rsidTr="00DD3BBF">
        <w:trPr>
          <w:trHeight w:val="565"/>
        </w:trPr>
        <w:tc>
          <w:tcPr>
            <w:tcW w:w="332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225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207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w:t>
            </w:r>
          </w:p>
        </w:tc>
        <w:tc>
          <w:tcPr>
            <w:tcW w:w="135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 xml:space="preserve">/Ditën </w:t>
            </w:r>
          </w:p>
        </w:tc>
        <w:tc>
          <w:tcPr>
            <w:tcW w:w="180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color w:val="FFFFFF"/>
                <w:lang w:val="sq-AL"/>
              </w:rPr>
            </w:pPr>
            <w:r w:rsidRPr="00DD3BBF">
              <w:rPr>
                <w:rFonts w:ascii="Calibri" w:eastAsia="Times New Roman" w:hAnsi="Calibri" w:cs="Calibri"/>
                <w:color w:val="FFFFFF"/>
                <w:lang w:val="sq-AL"/>
              </w:rPr>
              <w:t>/Natën</w:t>
            </w:r>
          </w:p>
        </w:tc>
      </w:tr>
      <w:tr w:rsidR="00DD3BBF" w:rsidRPr="00DD3BBF" w:rsidTr="00DD3BBF">
        <w:trPr>
          <w:trHeight w:val="565"/>
        </w:trPr>
        <w:tc>
          <w:tcPr>
            <w:tcW w:w="332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Rrethrrotullimi i Plasmasit</w:t>
            </w:r>
          </w:p>
        </w:tc>
        <w:tc>
          <w:tcPr>
            <w:tcW w:w="225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40° 98'38.65"N</w:t>
            </w:r>
          </w:p>
        </w:tc>
        <w:tc>
          <w:tcPr>
            <w:tcW w:w="207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19°41'03.95"E</w:t>
            </w:r>
          </w:p>
        </w:tc>
        <w:tc>
          <w:tcPr>
            <w:tcW w:w="135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54.29</w:t>
            </w:r>
          </w:p>
        </w:tc>
        <w:tc>
          <w:tcPr>
            <w:tcW w:w="180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43.26</w:t>
            </w:r>
          </w:p>
        </w:tc>
      </w:tr>
      <w:tr w:rsidR="00DD3BBF" w:rsidRPr="00DD3BBF" w:rsidTr="00DD3BBF">
        <w:trPr>
          <w:trHeight w:val="565"/>
        </w:trPr>
        <w:tc>
          <w:tcPr>
            <w:tcW w:w="332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Shkolla " 18 Tetori"</w:t>
            </w:r>
          </w:p>
        </w:tc>
        <w:tc>
          <w:tcPr>
            <w:tcW w:w="2250" w:type="dxa"/>
            <w:tcBorders>
              <w:top w:val="single" w:sz="4" w:space="0" w:color="auto"/>
              <w:left w:val="single" w:sz="4" w:space="0" w:color="auto"/>
              <w:bottom w:val="nil"/>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40° 94'53.38"N</w:t>
            </w:r>
          </w:p>
        </w:tc>
        <w:tc>
          <w:tcPr>
            <w:tcW w:w="2070" w:type="dxa"/>
            <w:tcBorders>
              <w:top w:val="single" w:sz="4" w:space="0" w:color="auto"/>
              <w:left w:val="single" w:sz="4" w:space="0" w:color="auto"/>
              <w:bottom w:val="nil"/>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19°62'63.08"E</w:t>
            </w:r>
          </w:p>
        </w:tc>
        <w:tc>
          <w:tcPr>
            <w:tcW w:w="135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53.99</w:t>
            </w:r>
          </w:p>
        </w:tc>
        <w:tc>
          <w:tcPr>
            <w:tcW w:w="180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42.9</w:t>
            </w:r>
          </w:p>
        </w:tc>
      </w:tr>
      <w:tr w:rsidR="00DD3BBF" w:rsidRPr="00DD3BBF" w:rsidTr="00DD3BBF">
        <w:trPr>
          <w:trHeight w:val="565"/>
        </w:trPr>
        <w:tc>
          <w:tcPr>
            <w:tcW w:w="3325"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Kryqëzimi Ish Instituti Bujqësor (Shetitorja e Palmave)</w:t>
            </w:r>
          </w:p>
        </w:tc>
        <w:tc>
          <w:tcPr>
            <w:tcW w:w="2250" w:type="dxa"/>
            <w:tcBorders>
              <w:top w:val="single" w:sz="4" w:space="0" w:color="auto"/>
              <w:left w:val="single" w:sz="4" w:space="0" w:color="auto"/>
              <w:bottom w:val="nil"/>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40° 94'77.83"N</w:t>
            </w:r>
          </w:p>
        </w:tc>
        <w:tc>
          <w:tcPr>
            <w:tcW w:w="2070" w:type="dxa"/>
            <w:tcBorders>
              <w:top w:val="single" w:sz="4" w:space="0" w:color="auto"/>
              <w:left w:val="single" w:sz="4" w:space="0" w:color="auto"/>
              <w:bottom w:val="nil"/>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19°69'40.309"E</w:t>
            </w:r>
          </w:p>
        </w:tc>
        <w:tc>
          <w:tcPr>
            <w:tcW w:w="135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60.3</w:t>
            </w:r>
          </w:p>
        </w:tc>
        <w:tc>
          <w:tcPr>
            <w:tcW w:w="1800" w:type="dxa"/>
            <w:tcBorders>
              <w:top w:val="single" w:sz="4" w:space="0" w:color="auto"/>
              <w:left w:val="single" w:sz="4" w:space="0" w:color="auto"/>
              <w:bottom w:val="single" w:sz="4" w:space="0" w:color="auto"/>
              <w:right w:val="single" w:sz="4" w:space="0" w:color="auto"/>
            </w:tcBorders>
            <w:shd w:val="clear" w:color="70AD47" w:fill="70AD47"/>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48.57</w:t>
            </w:r>
          </w:p>
        </w:tc>
      </w:tr>
      <w:tr w:rsidR="00DD3BBF" w:rsidRPr="00DD3BBF" w:rsidTr="00DD3BBF">
        <w:trPr>
          <w:trHeight w:val="565"/>
        </w:trPr>
        <w:tc>
          <w:tcPr>
            <w:tcW w:w="3325"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Stacioni i Trenit</w:t>
            </w:r>
          </w:p>
        </w:tc>
        <w:tc>
          <w:tcPr>
            <w:tcW w:w="225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40° 93'94.807"N</w:t>
            </w:r>
          </w:p>
        </w:tc>
        <w:tc>
          <w:tcPr>
            <w:tcW w:w="207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lang w:val="sq-AL"/>
              </w:rPr>
            </w:pPr>
            <w:r w:rsidRPr="00DD3BBF">
              <w:rPr>
                <w:rFonts w:ascii="Calibri" w:eastAsia="Times New Roman" w:hAnsi="Calibri" w:cs="Calibri"/>
                <w:lang w:val="sq-AL"/>
              </w:rPr>
              <w:t>19°69'60.08"E</w:t>
            </w:r>
          </w:p>
        </w:tc>
        <w:tc>
          <w:tcPr>
            <w:tcW w:w="135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58.7</w:t>
            </w:r>
          </w:p>
        </w:tc>
        <w:tc>
          <w:tcPr>
            <w:tcW w:w="1800" w:type="dxa"/>
            <w:tcBorders>
              <w:top w:val="single" w:sz="4" w:space="0" w:color="auto"/>
              <w:left w:val="single" w:sz="4" w:space="0" w:color="auto"/>
              <w:bottom w:val="single" w:sz="4" w:space="0" w:color="auto"/>
              <w:right w:val="single" w:sz="4" w:space="0" w:color="auto"/>
            </w:tcBorders>
            <w:shd w:val="clear" w:color="548235" w:fill="548235"/>
            <w:noWrap/>
            <w:vAlign w:val="bottom"/>
            <w:hideMark/>
          </w:tcPr>
          <w:p w:rsidR="00DD3BBF" w:rsidRPr="00DD3BBF" w:rsidRDefault="00DD3BBF" w:rsidP="00DD3BBF">
            <w:pPr>
              <w:spacing w:after="0" w:line="240" w:lineRule="auto"/>
              <w:rPr>
                <w:rFonts w:ascii="Calibri" w:eastAsia="Times New Roman" w:hAnsi="Calibri" w:cs="Calibri"/>
                <w:b/>
                <w:bCs/>
                <w:lang w:val="sq-AL"/>
              </w:rPr>
            </w:pPr>
            <w:r w:rsidRPr="00DD3BBF">
              <w:rPr>
                <w:rFonts w:ascii="Calibri" w:eastAsia="Times New Roman" w:hAnsi="Calibri" w:cs="Calibri"/>
                <w:b/>
                <w:bCs/>
                <w:lang w:val="sq-AL"/>
              </w:rPr>
              <w:t>46.4</w:t>
            </w:r>
          </w:p>
        </w:tc>
      </w:tr>
    </w:tbl>
    <w:p w:rsidR="00DD3BBF" w:rsidRPr="00DD3BBF" w:rsidRDefault="00DD3BBF" w:rsidP="00DD3BBF">
      <w:pPr>
        <w:spacing w:after="0" w:line="240" w:lineRule="auto"/>
        <w:jc w:val="center"/>
        <w:rPr>
          <w:rFonts w:ascii="Times New Roman" w:eastAsia="Calibri" w:hAnsi="Times New Roman" w:cs="Times New Roman"/>
          <w:sz w:val="24"/>
          <w:szCs w:val="24"/>
          <w:lang w:val="sq-AL"/>
        </w:rPr>
      </w:pPr>
    </w:p>
    <w:p w:rsidR="00DD3BBF" w:rsidRPr="00DD3BBF" w:rsidRDefault="00DD3BBF" w:rsidP="00B16CF2">
      <w:pPr>
        <w:spacing w:after="0" w:line="240" w:lineRule="auto"/>
        <w:rPr>
          <w:rFonts w:ascii="Times New Roman" w:eastAsia="Calibri" w:hAnsi="Times New Roman" w:cs="Times New Roman"/>
          <w:sz w:val="24"/>
          <w:szCs w:val="24"/>
          <w:lang w:val="sq-AL"/>
        </w:rPr>
      </w:pPr>
    </w:p>
    <w:p w:rsidR="00DD3BBF" w:rsidRPr="00DD3BBF" w:rsidRDefault="00DD3BBF" w:rsidP="00DD3BBF">
      <w:pPr>
        <w:spacing w:after="0" w:line="240" w:lineRule="auto"/>
        <w:jc w:val="center"/>
        <w:rPr>
          <w:rFonts w:ascii="Times New Roman" w:eastAsia="Calibri" w:hAnsi="Times New Roman" w:cs="Times New Roman"/>
          <w:sz w:val="24"/>
          <w:szCs w:val="24"/>
          <w:lang w:val="sq-AL"/>
        </w:rPr>
      </w:pPr>
    </w:p>
    <w:p w:rsidR="00DD3BBF" w:rsidRPr="00DD3BBF" w:rsidRDefault="00DD3BBF" w:rsidP="00DD3BBF">
      <w:pPr>
        <w:spacing w:after="0" w:line="240" w:lineRule="auto"/>
        <w:jc w:val="center"/>
        <w:rPr>
          <w:rFonts w:ascii="Times New Roman" w:eastAsia="Calibri" w:hAnsi="Times New Roman" w:cs="Times New Roman"/>
          <w:bCs/>
          <w:sz w:val="24"/>
          <w:szCs w:val="24"/>
          <w:lang w:val="sq-AL"/>
        </w:rPr>
      </w:pPr>
      <w:r w:rsidRPr="00DD3BBF">
        <w:rPr>
          <w:rFonts w:ascii="Calibri" w:eastAsia="Calibri" w:hAnsi="Calibri" w:cs="Times New Roman"/>
          <w:noProof/>
        </w:rPr>
        <w:lastRenderedPageBreak/>
        <w:drawing>
          <wp:inline distT="0" distB="0" distL="0" distR="0" wp14:anchorId="4EEE99F7" wp14:editId="329566A8">
            <wp:extent cx="4895850" cy="2781300"/>
            <wp:effectExtent l="0" t="0" r="0" b="0"/>
            <wp:docPr id="101" name="Chart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DD3BBF" w:rsidRPr="00DD3BBF" w:rsidRDefault="00DD3BBF" w:rsidP="00DD3BBF">
      <w:pPr>
        <w:spacing w:after="0" w:line="240" w:lineRule="auto"/>
        <w:jc w:val="center"/>
        <w:rPr>
          <w:rFonts w:ascii="Times New Roman" w:eastAsia="Calibri" w:hAnsi="Times New Roman" w:cs="Times New Roman"/>
          <w:bCs/>
          <w:sz w:val="24"/>
          <w:szCs w:val="24"/>
          <w:lang w:val="sq-AL"/>
        </w:rPr>
      </w:pPr>
    </w:p>
    <w:p w:rsidR="00DD3BBF" w:rsidRPr="00DD3BBF" w:rsidRDefault="00DD3BBF" w:rsidP="00DD3BBF">
      <w:pPr>
        <w:spacing w:after="0" w:line="240" w:lineRule="auto"/>
        <w:jc w:val="center"/>
        <w:rPr>
          <w:rFonts w:ascii="Times New Roman" w:eastAsia="Calibri" w:hAnsi="Times New Roman" w:cs="Times New Roman"/>
          <w:bCs/>
          <w:sz w:val="24"/>
          <w:szCs w:val="24"/>
          <w:lang w:val="sq-AL"/>
        </w:rPr>
      </w:pPr>
    </w:p>
    <w:p w:rsidR="00DD3BBF" w:rsidRPr="00DD3BBF" w:rsidRDefault="00DD3BBF" w:rsidP="00DD3BBF">
      <w:pPr>
        <w:spacing w:after="0" w:line="240" w:lineRule="auto"/>
        <w:jc w:val="center"/>
        <w:rPr>
          <w:rFonts w:ascii="Times New Roman" w:eastAsia="Calibri" w:hAnsi="Times New Roman" w:cs="Times New Roman"/>
          <w:bCs/>
          <w:sz w:val="24"/>
          <w:szCs w:val="24"/>
          <w:lang w:val="sq-AL"/>
        </w:rPr>
      </w:pPr>
    </w:p>
    <w:p w:rsidR="00DD3BBF" w:rsidRPr="00DD3BBF" w:rsidRDefault="00DD3BBF" w:rsidP="00DD3BBF">
      <w:pPr>
        <w:autoSpaceDE w:val="0"/>
        <w:autoSpaceDN w:val="0"/>
        <w:adjustRightInd w:val="0"/>
        <w:spacing w:after="0" w:line="276" w:lineRule="auto"/>
        <w:jc w:val="both"/>
        <w:rPr>
          <w:rFonts w:ascii="Times New Roman" w:eastAsia="Calibri" w:hAnsi="Times New Roman" w:cs="Times New Roman"/>
          <w:sz w:val="24"/>
          <w:szCs w:val="24"/>
          <w:u w:val="single"/>
          <w:lang w:val="sq-AL"/>
        </w:rPr>
      </w:pPr>
    </w:p>
    <w:p w:rsidR="00DD3BBF" w:rsidRPr="00DD3BBF" w:rsidRDefault="00DD3BBF" w:rsidP="00DD3BBF">
      <w:pPr>
        <w:autoSpaceDE w:val="0"/>
        <w:autoSpaceDN w:val="0"/>
        <w:adjustRightInd w:val="0"/>
        <w:spacing w:after="0" w:line="276" w:lineRule="auto"/>
        <w:jc w:val="center"/>
        <w:rPr>
          <w:rFonts w:ascii="Times New Roman" w:eastAsia="Calibri" w:hAnsi="Times New Roman" w:cs="Times New Roman"/>
          <w:sz w:val="24"/>
          <w:szCs w:val="24"/>
          <w:u w:val="single"/>
          <w:lang w:val="sq-AL"/>
        </w:rPr>
      </w:pPr>
      <w:r w:rsidRPr="00DD3BBF">
        <w:rPr>
          <w:rFonts w:ascii="Calibri" w:eastAsia="Calibri" w:hAnsi="Calibri" w:cs="Times New Roman"/>
          <w:noProof/>
        </w:rPr>
        <w:drawing>
          <wp:inline distT="0" distB="0" distL="0" distR="0" wp14:anchorId="28901147" wp14:editId="39F386E4">
            <wp:extent cx="4886325" cy="2476500"/>
            <wp:effectExtent l="0" t="0" r="9525" b="0"/>
            <wp:docPr id="102" name="Chart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DD3BBF" w:rsidRPr="00DD3BBF" w:rsidRDefault="00DD3BBF" w:rsidP="00DD3BBF">
      <w:pPr>
        <w:autoSpaceDE w:val="0"/>
        <w:autoSpaceDN w:val="0"/>
        <w:adjustRightInd w:val="0"/>
        <w:spacing w:after="0" w:line="276" w:lineRule="auto"/>
        <w:jc w:val="both"/>
        <w:rPr>
          <w:rFonts w:ascii="Times New Roman" w:eastAsia="Calibri" w:hAnsi="Times New Roman" w:cs="Times New Roman"/>
          <w:sz w:val="24"/>
          <w:szCs w:val="24"/>
          <w:u w:val="single"/>
          <w:lang w:val="sq-AL"/>
        </w:rPr>
      </w:pP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Referuar të dhënave të monitoruara në stacionet e Lushnjes vërejmë që ke</w:t>
      </w:r>
      <w:r w:rsidR="00A80BCC">
        <w:rPr>
          <w:rFonts w:ascii="Times New Roman" w:eastAsia="Calibri" w:hAnsi="Times New Roman" w:cs="Times New Roman"/>
          <w:sz w:val="24"/>
          <w:szCs w:val="24"/>
          <w:lang w:val="sq-AL"/>
        </w:rPr>
        <w:t>mi tejkalim të normës  ditën në</w:t>
      </w:r>
      <w:r w:rsidRPr="00DD3BBF">
        <w:rPr>
          <w:rFonts w:ascii="Times New Roman" w:eastAsia="Calibri" w:hAnsi="Times New Roman" w:cs="Times New Roman"/>
          <w:sz w:val="24"/>
          <w:szCs w:val="24"/>
          <w:lang w:val="sq-AL"/>
        </w:rPr>
        <w:t xml:space="preserve"> të gjitha stacionet perveç stacionit Rrethrrotullimi </w:t>
      </w:r>
      <w:r w:rsidR="00A80BCC">
        <w:rPr>
          <w:rFonts w:ascii="Times New Roman" w:eastAsia="Calibri" w:hAnsi="Times New Roman" w:cs="Times New Roman"/>
          <w:sz w:val="24"/>
          <w:szCs w:val="24"/>
          <w:lang w:val="sq-AL"/>
        </w:rPr>
        <w:t xml:space="preserve">i </w:t>
      </w:r>
      <w:r w:rsidRPr="00DD3BBF">
        <w:rPr>
          <w:rFonts w:ascii="Times New Roman" w:eastAsia="Calibri" w:hAnsi="Times New Roman" w:cs="Times New Roman"/>
          <w:sz w:val="24"/>
          <w:szCs w:val="24"/>
          <w:lang w:val="sq-AL"/>
        </w:rPr>
        <w:t xml:space="preserve">Plasmasit. Nivelet më të larta ditën janë monitoruar në stacionin Kryqëzimi Ish Instituti Bujqësor (Shëtitorja e Palmave) në vlerën 60.3 </w:t>
      </w:r>
      <w:r w:rsidR="000C08CD">
        <w:rPr>
          <w:rFonts w:ascii="Times New Roman" w:eastAsia="Calibri" w:hAnsi="Times New Roman" w:cs="Times New Roman"/>
          <w:sz w:val="24"/>
          <w:szCs w:val="24"/>
          <w:lang w:val="sq-AL"/>
        </w:rPr>
        <w:t>dB</w:t>
      </w:r>
      <w:r w:rsidRPr="00DD3BBF">
        <w:rPr>
          <w:rFonts w:ascii="Times New Roman" w:eastAsia="Calibri" w:hAnsi="Times New Roman" w:cs="Times New Roman"/>
          <w:sz w:val="24"/>
          <w:szCs w:val="24"/>
          <w:lang w:val="sq-AL"/>
        </w:rPr>
        <w:t xml:space="preserve"> (A) shprehur në përqindje 9.6% më e lartë se norma.</w:t>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Tejkalim të normës natën kemi në të dy stacionet Kryqëzimi Ish Institutit Bujqësor dhe Stacioni i Trenit në dy stacionet e tjera vlerat e monitoruara janë brenda normës.</w:t>
      </w:r>
    </w:p>
    <w:p w:rsidR="00DD3BBF" w:rsidRPr="00DD3BBF" w:rsidRDefault="00DD3BBF" w:rsidP="00DD3BBF">
      <w:pPr>
        <w:spacing w:after="200" w:line="240" w:lineRule="auto"/>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Nivelet më të larta janë monitoruar në stacionin Kryqëzimi Ish Instituti Bujqësor (Shëtitorja e Palmave) në vlerën 48.57dB(A) shprehur në përqindje 7.9% më e lartë se norma.</w:t>
      </w:r>
    </w:p>
    <w:p w:rsidR="00DD3BBF" w:rsidRPr="00DD3BBF" w:rsidRDefault="00DD3BBF" w:rsidP="00DD3BBF">
      <w:pPr>
        <w:autoSpaceDE w:val="0"/>
        <w:autoSpaceDN w:val="0"/>
        <w:adjustRightInd w:val="0"/>
        <w:spacing w:after="0" w:line="276" w:lineRule="auto"/>
        <w:jc w:val="both"/>
        <w:rPr>
          <w:rFonts w:ascii="Times New Roman" w:eastAsia="Calibri" w:hAnsi="Times New Roman" w:cs="Times New Roman"/>
          <w:b/>
          <w:sz w:val="24"/>
          <w:szCs w:val="24"/>
          <w:lang w:val="sq-AL"/>
        </w:rPr>
      </w:pPr>
    </w:p>
    <w:p w:rsidR="00DD3BBF" w:rsidRPr="00DD3BBF" w:rsidRDefault="00DD3BBF" w:rsidP="00DD3BBF">
      <w:pPr>
        <w:autoSpaceDE w:val="0"/>
        <w:autoSpaceDN w:val="0"/>
        <w:adjustRightInd w:val="0"/>
        <w:spacing w:after="0" w:line="276" w:lineRule="auto"/>
        <w:contextualSpacing/>
        <w:jc w:val="both"/>
        <w:rPr>
          <w:rFonts w:ascii="Times New Roman" w:eastAsia="Calibri" w:hAnsi="Times New Roman" w:cs="Times New Roman"/>
          <w:sz w:val="24"/>
          <w:szCs w:val="24"/>
          <w:lang w:val="sq-AL"/>
        </w:rPr>
      </w:pPr>
    </w:p>
    <w:p w:rsidR="00DD3BBF" w:rsidRPr="00DD3BBF" w:rsidRDefault="00AB1F2A" w:rsidP="00DD3BBF">
      <w:pPr>
        <w:spacing w:after="200" w:line="276" w:lineRule="auto"/>
        <w:jc w:val="both"/>
        <w:rPr>
          <w:rFonts w:ascii="Times New Roman" w:eastAsia="Calibri" w:hAnsi="Times New Roman" w:cs="Times New Roman"/>
          <w:b/>
          <w:sz w:val="24"/>
          <w:szCs w:val="24"/>
          <w:lang w:val="sq-AL"/>
        </w:rPr>
      </w:pPr>
      <w:r>
        <w:rPr>
          <w:rFonts w:ascii="Times New Roman" w:eastAsia="Calibri" w:hAnsi="Times New Roman" w:cs="Times New Roman"/>
          <w:b/>
          <w:sz w:val="24"/>
          <w:szCs w:val="24"/>
          <w:lang w:val="sq-AL"/>
        </w:rPr>
        <w:t>2.</w:t>
      </w:r>
      <w:r w:rsidR="00B16CF2">
        <w:rPr>
          <w:rFonts w:ascii="Times New Roman" w:eastAsia="Calibri" w:hAnsi="Times New Roman" w:cs="Times New Roman"/>
          <w:b/>
          <w:sz w:val="24"/>
          <w:szCs w:val="24"/>
          <w:lang w:val="sq-AL"/>
        </w:rPr>
        <w:t>2</w:t>
      </w:r>
      <w:r>
        <w:rPr>
          <w:rFonts w:ascii="Times New Roman" w:eastAsia="Calibri" w:hAnsi="Times New Roman" w:cs="Times New Roman"/>
          <w:b/>
          <w:sz w:val="24"/>
          <w:szCs w:val="24"/>
          <w:lang w:val="sq-AL"/>
        </w:rPr>
        <w:t xml:space="preserve"> </w:t>
      </w:r>
      <w:r w:rsidR="00B16CF2">
        <w:rPr>
          <w:rFonts w:ascii="Times New Roman" w:eastAsia="Calibri" w:hAnsi="Times New Roman" w:cs="Times New Roman"/>
          <w:b/>
          <w:sz w:val="24"/>
          <w:szCs w:val="24"/>
          <w:lang w:val="sq-AL"/>
        </w:rPr>
        <w:t>R</w:t>
      </w:r>
      <w:r w:rsidR="00B16CF2" w:rsidRPr="00DD3BBF">
        <w:rPr>
          <w:rFonts w:ascii="Times New Roman" w:eastAsia="Calibri" w:hAnsi="Times New Roman" w:cs="Times New Roman"/>
          <w:b/>
          <w:sz w:val="24"/>
          <w:szCs w:val="24"/>
          <w:lang w:val="sq-AL"/>
        </w:rPr>
        <w:t xml:space="preserve">ekomandime </w:t>
      </w:r>
    </w:p>
    <w:p w:rsidR="00DD3BBF" w:rsidRPr="00DD3BBF" w:rsidRDefault="00DD3BBF" w:rsidP="00820C3D">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eastAsia="sq-AL"/>
        </w:rPr>
        <w:t xml:space="preserve">Sigurimi i brezit mbrojtës të gjelbër dhe hapësirave të mbjella me pemë midis zonave të banuara dhe rrugës kryesore, si një nga masat më eko - miqësore për të reduktuar nivelin e ndotjes. </w:t>
      </w:r>
    </w:p>
    <w:p w:rsidR="00DD3BBF" w:rsidRPr="00DD3BBF" w:rsidRDefault="00DD3BBF" w:rsidP="00820C3D">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eastAsia="sq-AL"/>
        </w:rPr>
        <w:t>Të përcaktohen me rregullore distancat midis rrugëve dhe banesave.</w:t>
      </w:r>
    </w:p>
    <w:p w:rsidR="00DD3BBF" w:rsidRPr="00DD3BBF" w:rsidRDefault="00DD3BBF" w:rsidP="00820C3D">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Të bëhen projekte për zvogëlimin e zhurmës, që në projektimin e ndërtimeve të reja (institucione, shkolla, spitale, rrugë etj.)</w:t>
      </w:r>
    </w:p>
    <w:p w:rsidR="00DD3BBF" w:rsidRPr="00DD3BBF" w:rsidRDefault="00DD3BBF" w:rsidP="00820C3D">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Të sigurohet kontrolli periodik i mjeteve të transportit që gjenerojnë zhurmë.</w:t>
      </w:r>
    </w:p>
    <w:p w:rsidR="00DD3BBF" w:rsidRPr="00DD3BBF" w:rsidRDefault="00DD3BBF" w:rsidP="00820C3D">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Të parashikohen ndërhyrjet në sinjalistikën rrugore, ku të përfshihen në të sinjalet që lidhen me zhurmat si dhe vendosjen e tyre në pika të caktuara.</w:t>
      </w:r>
    </w:p>
    <w:p w:rsidR="00DD3BBF" w:rsidRPr="00DD3BBF" w:rsidRDefault="00DD3BBF" w:rsidP="00820C3D">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Vendim – marrja për efektet negative që shkaton zhurma në shëndetin fizik dhe mendor të popullsisë.</w:t>
      </w:r>
    </w:p>
    <w:p w:rsidR="00DD3BBF" w:rsidRPr="00DD3BBF" w:rsidRDefault="00DD3BBF" w:rsidP="00820C3D">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lang w:val="sq-AL"/>
        </w:rPr>
      </w:pPr>
      <w:r w:rsidRPr="00DD3BBF">
        <w:rPr>
          <w:rFonts w:ascii="Times New Roman" w:eastAsia="Calibri" w:hAnsi="Times New Roman" w:cs="Times New Roman"/>
          <w:sz w:val="24"/>
          <w:szCs w:val="24"/>
          <w:lang w:val="sq-AL"/>
        </w:rPr>
        <w:t>Edukimi i publikut</w:t>
      </w:r>
      <w:r w:rsidRPr="00DD3BBF">
        <w:rPr>
          <w:rFonts w:ascii="Times New Roman" w:eastAsia="Calibri" w:hAnsi="Times New Roman" w:cs="Times New Roman"/>
          <w:b/>
          <w:sz w:val="24"/>
          <w:szCs w:val="24"/>
          <w:lang w:val="sq-AL"/>
        </w:rPr>
        <w:t xml:space="preserve"> </w:t>
      </w:r>
      <w:r w:rsidRPr="00DD3BBF">
        <w:rPr>
          <w:rFonts w:ascii="Times New Roman" w:eastAsia="Calibri" w:hAnsi="Times New Roman" w:cs="Times New Roman"/>
          <w:sz w:val="24"/>
          <w:szCs w:val="24"/>
          <w:lang w:val="sq-AL"/>
        </w:rPr>
        <w:t>është</w:t>
      </w:r>
      <w:r w:rsidRPr="00DD3BBF">
        <w:rPr>
          <w:rFonts w:ascii="Times New Roman" w:eastAsia="Calibri" w:hAnsi="Times New Roman" w:cs="Times New Roman"/>
          <w:b/>
          <w:sz w:val="24"/>
          <w:szCs w:val="24"/>
          <w:lang w:val="sq-AL"/>
        </w:rPr>
        <w:t xml:space="preserve"> </w:t>
      </w:r>
      <w:r w:rsidRPr="00DD3BBF">
        <w:rPr>
          <w:rFonts w:ascii="Times New Roman" w:eastAsia="Calibri" w:hAnsi="Times New Roman" w:cs="Times New Roman"/>
          <w:sz w:val="24"/>
          <w:szCs w:val="24"/>
          <w:lang w:val="sq-AL"/>
        </w:rPr>
        <w:t>kërkesa</w:t>
      </w:r>
      <w:r w:rsidRPr="00DD3BBF">
        <w:rPr>
          <w:rFonts w:ascii="Times New Roman" w:eastAsia="Calibri" w:hAnsi="Times New Roman" w:cs="Times New Roman"/>
          <w:b/>
          <w:sz w:val="24"/>
          <w:szCs w:val="24"/>
          <w:lang w:val="sq-AL"/>
        </w:rPr>
        <w:t xml:space="preserve"> </w:t>
      </w:r>
      <w:r w:rsidRPr="00DD3BBF">
        <w:rPr>
          <w:rFonts w:ascii="Times New Roman" w:eastAsia="Calibri" w:hAnsi="Times New Roman" w:cs="Times New Roman"/>
          <w:sz w:val="24"/>
          <w:szCs w:val="24"/>
          <w:lang w:val="sq-AL"/>
        </w:rPr>
        <w:t>më e rëndësishme.</w:t>
      </w:r>
      <w:r w:rsidR="000C08CD">
        <w:rPr>
          <w:rFonts w:ascii="Times New Roman" w:eastAsia="Calibri" w:hAnsi="Times New Roman" w:cs="Times New Roman"/>
          <w:sz w:val="24"/>
          <w:szCs w:val="24"/>
          <w:lang w:val="sq-AL"/>
        </w:rPr>
        <w:t xml:space="preserve"> </w:t>
      </w:r>
      <w:r w:rsidRPr="00DD3BBF">
        <w:rPr>
          <w:rFonts w:ascii="Times New Roman" w:eastAsia="Calibri" w:hAnsi="Times New Roman" w:cs="Times New Roman"/>
          <w:sz w:val="24"/>
          <w:szCs w:val="24"/>
          <w:lang w:val="sq-AL"/>
        </w:rPr>
        <w:t>Programet e ndërhyrjes për zvogëlimin e</w:t>
      </w:r>
      <w:r w:rsidRPr="00DD3BBF">
        <w:rPr>
          <w:rFonts w:ascii="Times New Roman" w:eastAsia="Calibri" w:hAnsi="Times New Roman" w:cs="Times New Roman"/>
          <w:b/>
          <w:sz w:val="24"/>
          <w:szCs w:val="24"/>
          <w:lang w:val="sq-AL"/>
        </w:rPr>
        <w:t xml:space="preserve"> </w:t>
      </w:r>
      <w:r w:rsidRPr="00DD3BBF">
        <w:rPr>
          <w:rFonts w:ascii="Times New Roman" w:eastAsia="Calibri" w:hAnsi="Times New Roman" w:cs="Times New Roman"/>
          <w:sz w:val="24"/>
          <w:szCs w:val="24"/>
          <w:lang w:val="sq-AL"/>
        </w:rPr>
        <w:t>zhurmës</w:t>
      </w:r>
      <w:r w:rsidRPr="00DD3BBF">
        <w:rPr>
          <w:rFonts w:ascii="Times New Roman" w:eastAsia="Calibri" w:hAnsi="Times New Roman" w:cs="Times New Roman"/>
          <w:b/>
          <w:sz w:val="24"/>
          <w:szCs w:val="24"/>
          <w:lang w:val="sq-AL"/>
        </w:rPr>
        <w:t xml:space="preserve"> </w:t>
      </w:r>
      <w:r w:rsidRPr="00DD3BBF">
        <w:rPr>
          <w:rFonts w:ascii="Times New Roman" w:eastAsia="Calibri" w:hAnsi="Times New Roman" w:cs="Times New Roman"/>
          <w:sz w:val="24"/>
          <w:szCs w:val="24"/>
          <w:lang w:val="sq-AL"/>
        </w:rPr>
        <w:t>mund të mos kenë sukses</w:t>
      </w:r>
      <w:r w:rsidRPr="00DD3BBF">
        <w:rPr>
          <w:rFonts w:ascii="Times New Roman" w:eastAsia="Calibri" w:hAnsi="Times New Roman" w:cs="Times New Roman"/>
          <w:b/>
          <w:sz w:val="24"/>
          <w:szCs w:val="24"/>
          <w:lang w:val="sq-AL"/>
        </w:rPr>
        <w:t xml:space="preserve"> </w:t>
      </w:r>
      <w:r w:rsidRPr="00DD3BBF">
        <w:rPr>
          <w:rFonts w:ascii="Times New Roman" w:eastAsia="Calibri" w:hAnsi="Times New Roman" w:cs="Times New Roman"/>
          <w:sz w:val="24"/>
          <w:szCs w:val="24"/>
          <w:lang w:val="sq-AL"/>
        </w:rPr>
        <w:t>pa pjesëmarrjen</w:t>
      </w:r>
      <w:r w:rsidRPr="00DD3BBF">
        <w:rPr>
          <w:rFonts w:ascii="Times New Roman" w:eastAsia="Calibri" w:hAnsi="Times New Roman" w:cs="Times New Roman"/>
          <w:b/>
          <w:sz w:val="24"/>
          <w:szCs w:val="24"/>
          <w:lang w:val="sq-AL"/>
        </w:rPr>
        <w:t xml:space="preserve"> </w:t>
      </w:r>
      <w:r w:rsidRPr="00DD3BBF">
        <w:rPr>
          <w:rFonts w:ascii="Times New Roman" w:eastAsia="Calibri" w:hAnsi="Times New Roman" w:cs="Times New Roman"/>
          <w:sz w:val="24"/>
          <w:szCs w:val="24"/>
          <w:lang w:val="sq-AL"/>
        </w:rPr>
        <w:t>e publikut.</w:t>
      </w:r>
      <w:r w:rsidRPr="00DD3BBF">
        <w:rPr>
          <w:rFonts w:ascii="Times New Roman" w:eastAsia="Calibri" w:hAnsi="Times New Roman" w:cs="Times New Roman"/>
          <w:b/>
          <w:sz w:val="24"/>
          <w:szCs w:val="24"/>
          <w:lang w:val="sq-AL"/>
        </w:rPr>
        <w:t xml:space="preserve"> </w:t>
      </w:r>
    </w:p>
    <w:p w:rsidR="00DD3BBF" w:rsidRPr="00DD3BBF" w:rsidRDefault="00DD3BBF" w:rsidP="00DD3BBF">
      <w:pPr>
        <w:spacing w:after="0" w:line="276" w:lineRule="auto"/>
        <w:rPr>
          <w:rFonts w:ascii="Times New Roman" w:eastAsia="Calibri" w:hAnsi="Times New Roman" w:cs="Times New Roman"/>
          <w:sz w:val="24"/>
          <w:szCs w:val="24"/>
          <w:lang w:val="sq-AL"/>
        </w:rPr>
      </w:pPr>
    </w:p>
    <w:p w:rsidR="0005229A" w:rsidRDefault="0005229A" w:rsidP="0005229A">
      <w:pPr>
        <w:rPr>
          <w:rFonts w:ascii="Arial" w:eastAsia="Times New Roman" w:hAnsi="Arial" w:cs="Arial"/>
          <w:color w:val="3D5265"/>
          <w:sz w:val="24"/>
          <w:szCs w:val="24"/>
        </w:rPr>
      </w:pPr>
    </w:p>
    <w:p w:rsidR="00E068F7" w:rsidRDefault="00E068F7" w:rsidP="0005229A">
      <w:pPr>
        <w:rPr>
          <w:rFonts w:ascii="Arial" w:eastAsia="Times New Roman" w:hAnsi="Arial" w:cs="Arial"/>
          <w:color w:val="3D5265"/>
          <w:sz w:val="24"/>
          <w:szCs w:val="24"/>
        </w:rPr>
      </w:pPr>
    </w:p>
    <w:p w:rsidR="001E7407" w:rsidRDefault="001E7407" w:rsidP="0005229A">
      <w:pPr>
        <w:rPr>
          <w:rFonts w:ascii="Arial" w:eastAsia="Times New Roman" w:hAnsi="Arial" w:cs="Arial"/>
          <w:color w:val="3D5265"/>
          <w:sz w:val="24"/>
          <w:szCs w:val="24"/>
        </w:rPr>
      </w:pPr>
    </w:p>
    <w:p w:rsidR="001E7407" w:rsidRDefault="001E7407" w:rsidP="0005229A">
      <w:pPr>
        <w:rPr>
          <w:rFonts w:ascii="Arial" w:eastAsia="Times New Roman" w:hAnsi="Arial" w:cs="Arial"/>
          <w:color w:val="3D5265"/>
          <w:sz w:val="24"/>
          <w:szCs w:val="24"/>
        </w:rPr>
      </w:pPr>
    </w:p>
    <w:p w:rsidR="001E7407" w:rsidRDefault="001E7407" w:rsidP="0005229A">
      <w:pPr>
        <w:rPr>
          <w:rFonts w:ascii="Arial" w:eastAsia="Times New Roman" w:hAnsi="Arial" w:cs="Arial"/>
          <w:color w:val="3D5265"/>
          <w:sz w:val="24"/>
          <w:szCs w:val="24"/>
        </w:rPr>
      </w:pPr>
    </w:p>
    <w:p w:rsidR="001E7407" w:rsidRDefault="001E7407" w:rsidP="0005229A">
      <w:pPr>
        <w:rPr>
          <w:rFonts w:ascii="Arial" w:eastAsia="Times New Roman" w:hAnsi="Arial" w:cs="Arial"/>
          <w:color w:val="3D5265"/>
          <w:sz w:val="24"/>
          <w:szCs w:val="24"/>
        </w:rPr>
      </w:pPr>
    </w:p>
    <w:p w:rsidR="001E7407" w:rsidRDefault="001E7407" w:rsidP="0005229A">
      <w:pPr>
        <w:rPr>
          <w:rFonts w:ascii="Arial" w:eastAsia="Times New Roman" w:hAnsi="Arial" w:cs="Arial"/>
          <w:color w:val="3D5265"/>
          <w:sz w:val="24"/>
          <w:szCs w:val="24"/>
        </w:rPr>
      </w:pPr>
    </w:p>
    <w:p w:rsidR="001E7407" w:rsidRDefault="001E7407" w:rsidP="0005229A">
      <w:pPr>
        <w:rPr>
          <w:rFonts w:ascii="Arial" w:eastAsia="Times New Roman" w:hAnsi="Arial" w:cs="Arial"/>
          <w:color w:val="3D5265"/>
          <w:sz w:val="24"/>
          <w:szCs w:val="24"/>
        </w:rPr>
      </w:pPr>
    </w:p>
    <w:p w:rsidR="001E7407" w:rsidRDefault="001E7407" w:rsidP="0005229A">
      <w:pPr>
        <w:rPr>
          <w:rFonts w:ascii="Arial" w:eastAsia="Times New Roman" w:hAnsi="Arial" w:cs="Arial"/>
          <w:color w:val="3D5265"/>
          <w:sz w:val="24"/>
          <w:szCs w:val="24"/>
        </w:rPr>
      </w:pPr>
    </w:p>
    <w:p w:rsidR="001E7407" w:rsidRDefault="001E7407" w:rsidP="0005229A">
      <w:pPr>
        <w:rPr>
          <w:rFonts w:ascii="Arial" w:eastAsia="Times New Roman" w:hAnsi="Arial" w:cs="Arial"/>
          <w:color w:val="3D5265"/>
          <w:sz w:val="24"/>
          <w:szCs w:val="24"/>
        </w:rPr>
      </w:pPr>
    </w:p>
    <w:p w:rsidR="00376E24" w:rsidRDefault="00376E24" w:rsidP="0005229A">
      <w:pPr>
        <w:rPr>
          <w:rFonts w:ascii="Arial" w:eastAsia="Times New Roman" w:hAnsi="Arial" w:cs="Arial"/>
          <w:color w:val="3D5265"/>
          <w:sz w:val="24"/>
          <w:szCs w:val="24"/>
        </w:rPr>
      </w:pPr>
    </w:p>
    <w:p w:rsidR="00376E24" w:rsidRDefault="00376E24" w:rsidP="0005229A">
      <w:pPr>
        <w:rPr>
          <w:rFonts w:ascii="Arial" w:eastAsia="Times New Roman" w:hAnsi="Arial" w:cs="Arial"/>
          <w:color w:val="3D5265"/>
          <w:sz w:val="24"/>
          <w:szCs w:val="24"/>
        </w:rPr>
      </w:pPr>
    </w:p>
    <w:p w:rsidR="00376E24" w:rsidRDefault="00376E24" w:rsidP="0005229A">
      <w:pPr>
        <w:rPr>
          <w:rFonts w:ascii="Arial" w:eastAsia="Times New Roman" w:hAnsi="Arial" w:cs="Arial"/>
          <w:color w:val="3D5265"/>
          <w:sz w:val="24"/>
          <w:szCs w:val="24"/>
        </w:rPr>
      </w:pPr>
    </w:p>
    <w:p w:rsidR="00376E24" w:rsidRDefault="00376E24" w:rsidP="0005229A">
      <w:pPr>
        <w:rPr>
          <w:rFonts w:ascii="Arial" w:eastAsia="Times New Roman" w:hAnsi="Arial" w:cs="Arial"/>
          <w:color w:val="3D5265"/>
          <w:sz w:val="24"/>
          <w:szCs w:val="24"/>
        </w:rPr>
      </w:pPr>
    </w:p>
    <w:p w:rsidR="00376E24" w:rsidRDefault="00376E24" w:rsidP="0005229A">
      <w:pPr>
        <w:rPr>
          <w:rFonts w:ascii="Arial" w:eastAsia="Times New Roman" w:hAnsi="Arial" w:cs="Arial"/>
          <w:color w:val="3D5265"/>
          <w:sz w:val="24"/>
          <w:szCs w:val="24"/>
        </w:rPr>
      </w:pPr>
    </w:p>
    <w:p w:rsidR="00376E24" w:rsidRDefault="00376E24" w:rsidP="0005229A">
      <w:pPr>
        <w:rPr>
          <w:rFonts w:ascii="Arial" w:eastAsia="Times New Roman" w:hAnsi="Arial" w:cs="Arial"/>
          <w:color w:val="3D5265"/>
          <w:sz w:val="24"/>
          <w:szCs w:val="24"/>
        </w:rPr>
      </w:pPr>
    </w:p>
    <w:p w:rsidR="00376E24" w:rsidRDefault="00376E24" w:rsidP="0005229A">
      <w:pPr>
        <w:rPr>
          <w:rFonts w:ascii="Arial" w:eastAsia="Times New Roman" w:hAnsi="Arial" w:cs="Arial"/>
          <w:color w:val="3D5265"/>
          <w:sz w:val="24"/>
          <w:szCs w:val="24"/>
        </w:rPr>
      </w:pPr>
    </w:p>
    <w:p w:rsidR="001E7407" w:rsidRDefault="001E7407" w:rsidP="0005229A">
      <w:pPr>
        <w:rPr>
          <w:rFonts w:ascii="Arial" w:eastAsia="Times New Roman" w:hAnsi="Arial" w:cs="Arial"/>
          <w:color w:val="3D5265"/>
          <w:sz w:val="24"/>
          <w:szCs w:val="24"/>
        </w:rPr>
      </w:pPr>
    </w:p>
    <w:p w:rsidR="00376E24" w:rsidRDefault="00376E24" w:rsidP="0005229A">
      <w:pPr>
        <w:rPr>
          <w:rFonts w:ascii="Arial" w:eastAsia="Times New Roman" w:hAnsi="Arial" w:cs="Arial"/>
          <w:color w:val="3D5265"/>
          <w:sz w:val="24"/>
          <w:szCs w:val="24"/>
        </w:rPr>
      </w:pPr>
    </w:p>
    <w:p w:rsidR="00376E24" w:rsidRDefault="00376E24" w:rsidP="0005229A">
      <w:pPr>
        <w:rPr>
          <w:rFonts w:ascii="Arial" w:eastAsia="Times New Roman" w:hAnsi="Arial" w:cs="Arial"/>
          <w:color w:val="3D5265"/>
          <w:sz w:val="24"/>
          <w:szCs w:val="24"/>
        </w:rPr>
      </w:pPr>
    </w:p>
    <w:p w:rsidR="00376E24" w:rsidRDefault="00376E24" w:rsidP="0005229A">
      <w:pPr>
        <w:rPr>
          <w:rFonts w:ascii="Arial" w:eastAsia="Times New Roman" w:hAnsi="Arial" w:cs="Arial"/>
          <w:color w:val="3D5265"/>
          <w:sz w:val="24"/>
          <w:szCs w:val="24"/>
        </w:rPr>
      </w:pPr>
    </w:p>
    <w:p w:rsidR="00716E74" w:rsidRDefault="00716E74" w:rsidP="0005229A">
      <w:pPr>
        <w:rPr>
          <w:rFonts w:ascii="Arial" w:eastAsia="Times New Roman" w:hAnsi="Arial" w:cs="Arial"/>
          <w:color w:val="3D5265"/>
          <w:sz w:val="24"/>
          <w:szCs w:val="24"/>
        </w:rPr>
      </w:pPr>
    </w:p>
    <w:p w:rsidR="00E068F7" w:rsidRDefault="00E068F7" w:rsidP="0005229A">
      <w:pPr>
        <w:rPr>
          <w:rFonts w:ascii="Arial" w:eastAsia="Times New Roman" w:hAnsi="Arial" w:cs="Arial"/>
          <w:color w:val="3D5265"/>
          <w:sz w:val="24"/>
          <w:szCs w:val="24"/>
        </w:rPr>
      </w:pPr>
    </w:p>
    <w:p w:rsidR="00B16CF2" w:rsidRPr="00B16CF2" w:rsidRDefault="00B16CF2" w:rsidP="00B16CF2">
      <w:pPr>
        <w:jc w:val="center"/>
        <w:rPr>
          <w:rFonts w:ascii="Times New Roman" w:eastAsia="Times New Roman" w:hAnsi="Times New Roman" w:cs="Times New Roman"/>
          <w:b/>
          <w:sz w:val="24"/>
          <w:szCs w:val="24"/>
        </w:rPr>
      </w:pPr>
      <w:r w:rsidRPr="00B16CF2">
        <w:rPr>
          <w:rFonts w:ascii="Times New Roman" w:eastAsia="Times New Roman" w:hAnsi="Times New Roman" w:cs="Times New Roman"/>
          <w:b/>
          <w:sz w:val="24"/>
          <w:szCs w:val="24"/>
        </w:rPr>
        <w:t>KAPITULLI  3</w:t>
      </w:r>
    </w:p>
    <w:p w:rsidR="00B16CF2" w:rsidRPr="00B16CF2" w:rsidRDefault="00B16CF2" w:rsidP="00B16CF2">
      <w:pPr>
        <w:jc w:val="center"/>
        <w:rPr>
          <w:rFonts w:ascii="Times New Roman" w:eastAsia="Times New Roman" w:hAnsi="Times New Roman" w:cs="Times New Roman"/>
          <w:b/>
          <w:sz w:val="24"/>
          <w:szCs w:val="24"/>
        </w:rPr>
      </w:pPr>
      <w:r w:rsidRPr="00B16CF2">
        <w:rPr>
          <w:rFonts w:ascii="Times New Roman" w:eastAsia="Times New Roman" w:hAnsi="Times New Roman" w:cs="Times New Roman"/>
          <w:b/>
          <w:sz w:val="24"/>
          <w:szCs w:val="24"/>
        </w:rPr>
        <w:t>UJËRA</w:t>
      </w:r>
      <w:r>
        <w:rPr>
          <w:rFonts w:ascii="Times New Roman" w:eastAsia="Times New Roman" w:hAnsi="Times New Roman" w:cs="Times New Roman"/>
          <w:b/>
          <w:sz w:val="24"/>
          <w:szCs w:val="24"/>
        </w:rPr>
        <w:t xml:space="preserve">T </w:t>
      </w:r>
      <w:r w:rsidRPr="00B16CF2">
        <w:rPr>
          <w:rFonts w:ascii="Times New Roman" w:eastAsia="Times New Roman" w:hAnsi="Times New Roman" w:cs="Times New Roman"/>
          <w:b/>
          <w:sz w:val="24"/>
          <w:szCs w:val="24"/>
        </w:rPr>
        <w:t>SIPËRFAQËSORE</w:t>
      </w:r>
    </w:p>
    <w:p w:rsidR="00B16CF2" w:rsidRDefault="00B16CF2" w:rsidP="0005229A">
      <w:pPr>
        <w:rPr>
          <w:rFonts w:ascii="Arial" w:eastAsia="Times New Roman" w:hAnsi="Arial" w:cs="Arial"/>
          <w:color w:val="3D5265"/>
          <w:sz w:val="24"/>
          <w:szCs w:val="24"/>
        </w:rPr>
      </w:pPr>
    </w:p>
    <w:p w:rsidR="00716E74" w:rsidRDefault="00716E74" w:rsidP="0005229A">
      <w:pPr>
        <w:rPr>
          <w:rFonts w:ascii="Arial" w:eastAsia="Times New Roman" w:hAnsi="Arial" w:cs="Arial"/>
          <w:color w:val="3D5265"/>
          <w:sz w:val="24"/>
          <w:szCs w:val="24"/>
        </w:rPr>
      </w:pPr>
      <w:r>
        <w:rPr>
          <w:rFonts w:ascii="Arial" w:eastAsia="Times New Roman" w:hAnsi="Arial" w:cs="Arial"/>
          <w:color w:val="3D5265"/>
          <w:sz w:val="24"/>
          <w:szCs w:val="24"/>
        </w:rPr>
        <w:t xml:space="preserve">          </w:t>
      </w:r>
      <w:r>
        <w:rPr>
          <w:noProof/>
        </w:rPr>
        <w:drawing>
          <wp:inline distT="0" distB="0" distL="0" distR="0" wp14:anchorId="25AD6C1B" wp14:editId="0918FEBC">
            <wp:extent cx="5353050" cy="3343275"/>
            <wp:effectExtent l="0" t="0" r="0" b="952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65139" cy="3350825"/>
                    </a:xfrm>
                    <a:prstGeom prst="rect">
                      <a:avLst/>
                    </a:prstGeom>
                    <a:noFill/>
                  </pic:spPr>
                </pic:pic>
              </a:graphicData>
            </a:graphic>
          </wp:inline>
        </w:drawing>
      </w:r>
    </w:p>
    <w:p w:rsidR="00B16CF2" w:rsidRDefault="00B16CF2" w:rsidP="0005229A">
      <w:pPr>
        <w:rPr>
          <w:rFonts w:ascii="Arial" w:eastAsia="Times New Roman" w:hAnsi="Arial" w:cs="Arial"/>
          <w:color w:val="3D5265"/>
          <w:sz w:val="24"/>
          <w:szCs w:val="24"/>
        </w:rPr>
      </w:pPr>
    </w:p>
    <w:p w:rsidR="00B16CF2" w:rsidRDefault="00B16CF2" w:rsidP="0005229A">
      <w:pPr>
        <w:rPr>
          <w:rFonts w:ascii="Arial" w:eastAsia="Times New Roman" w:hAnsi="Arial" w:cs="Arial"/>
          <w:color w:val="3D5265"/>
          <w:sz w:val="24"/>
          <w:szCs w:val="24"/>
        </w:rPr>
      </w:pPr>
    </w:p>
    <w:p w:rsidR="00B16CF2" w:rsidRDefault="00B16CF2" w:rsidP="0005229A">
      <w:pPr>
        <w:rPr>
          <w:rFonts w:ascii="Arial" w:eastAsia="Times New Roman" w:hAnsi="Arial" w:cs="Arial"/>
          <w:color w:val="3D5265"/>
          <w:sz w:val="24"/>
          <w:szCs w:val="24"/>
        </w:rPr>
      </w:pPr>
    </w:p>
    <w:p w:rsidR="000C08CD" w:rsidRDefault="000C08CD" w:rsidP="0005229A">
      <w:pPr>
        <w:rPr>
          <w:rFonts w:ascii="Arial" w:eastAsia="Times New Roman" w:hAnsi="Arial" w:cs="Arial"/>
          <w:color w:val="3D5265"/>
          <w:sz w:val="24"/>
          <w:szCs w:val="24"/>
        </w:rPr>
      </w:pPr>
    </w:p>
    <w:p w:rsidR="000C08CD" w:rsidRDefault="000C08CD" w:rsidP="0005229A">
      <w:pPr>
        <w:rPr>
          <w:rFonts w:ascii="Arial" w:eastAsia="Times New Roman" w:hAnsi="Arial" w:cs="Arial"/>
          <w:color w:val="3D5265"/>
          <w:sz w:val="24"/>
          <w:szCs w:val="24"/>
        </w:rPr>
      </w:pPr>
      <w:bookmarkStart w:id="2" w:name="_GoBack"/>
      <w:bookmarkEnd w:id="2"/>
    </w:p>
    <w:p w:rsidR="00B16CF2" w:rsidRDefault="00B16CF2" w:rsidP="0005229A">
      <w:pPr>
        <w:rPr>
          <w:rFonts w:ascii="Arial" w:eastAsia="Times New Roman" w:hAnsi="Arial" w:cs="Arial"/>
          <w:color w:val="3D5265"/>
          <w:sz w:val="24"/>
          <w:szCs w:val="24"/>
        </w:rPr>
      </w:pPr>
    </w:p>
    <w:p w:rsidR="0005229A" w:rsidRPr="00B16CF2" w:rsidRDefault="0005229A" w:rsidP="001E7407">
      <w:pPr>
        <w:jc w:val="center"/>
        <w:rPr>
          <w:rFonts w:ascii="Times New Roman" w:eastAsia="Times New Roman" w:hAnsi="Times New Roman" w:cs="Times New Roman"/>
          <w:b/>
          <w:sz w:val="24"/>
          <w:szCs w:val="24"/>
        </w:rPr>
      </w:pPr>
      <w:r w:rsidRPr="00B16CF2">
        <w:rPr>
          <w:rFonts w:ascii="Times New Roman" w:eastAsia="Times New Roman" w:hAnsi="Times New Roman" w:cs="Times New Roman"/>
          <w:b/>
          <w:sz w:val="24"/>
          <w:szCs w:val="24"/>
        </w:rPr>
        <w:lastRenderedPageBreak/>
        <w:t>Kapitulli 3</w:t>
      </w:r>
    </w:p>
    <w:p w:rsidR="0005229A" w:rsidRPr="00B16CF2" w:rsidRDefault="00B16CF2" w:rsidP="00B16CF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w:t>
      </w:r>
      <w:r w:rsidR="004D7AA4" w:rsidRPr="00B16CF2">
        <w:rPr>
          <w:rFonts w:ascii="Times New Roman" w:eastAsia="Times New Roman" w:hAnsi="Times New Roman" w:cs="Times New Roman"/>
          <w:b/>
          <w:sz w:val="24"/>
          <w:szCs w:val="24"/>
        </w:rPr>
        <w:t>jëra</w:t>
      </w:r>
      <w:r>
        <w:rPr>
          <w:rFonts w:ascii="Times New Roman" w:eastAsia="Times New Roman" w:hAnsi="Times New Roman" w:cs="Times New Roman"/>
          <w:b/>
          <w:sz w:val="24"/>
          <w:szCs w:val="24"/>
        </w:rPr>
        <w:t>t</w:t>
      </w:r>
      <w:r w:rsidR="00053914" w:rsidRPr="00B16CF2">
        <w:rPr>
          <w:rFonts w:ascii="Times New Roman" w:eastAsia="Times New Roman" w:hAnsi="Times New Roman" w:cs="Times New Roman"/>
          <w:b/>
          <w:sz w:val="24"/>
          <w:szCs w:val="24"/>
        </w:rPr>
        <w:t xml:space="preserve"> sipërfaqësor</w:t>
      </w:r>
      <w:r>
        <w:rPr>
          <w:rFonts w:ascii="Times New Roman" w:eastAsia="Times New Roman" w:hAnsi="Times New Roman" w:cs="Times New Roman"/>
          <w:b/>
          <w:sz w:val="24"/>
          <w:szCs w:val="24"/>
        </w:rPr>
        <w:t>e</w:t>
      </w:r>
    </w:p>
    <w:p w:rsidR="001E7407" w:rsidRDefault="001E7407" w:rsidP="0047684C">
      <w:pPr>
        <w:spacing w:after="200" w:line="276" w:lineRule="auto"/>
        <w:jc w:val="both"/>
        <w:rPr>
          <w:rFonts w:ascii="Times New Roman" w:eastAsia="Calibri" w:hAnsi="Times New Roman" w:cs="Times New Roman"/>
          <w:sz w:val="24"/>
          <w:szCs w:val="24"/>
          <w:lang w:val="it-IT"/>
        </w:rPr>
      </w:pPr>
    </w:p>
    <w:p w:rsidR="0047684C" w:rsidRPr="001E7407" w:rsidRDefault="00AB1F2A" w:rsidP="0047684C">
      <w:pPr>
        <w:spacing w:after="200" w:line="276" w:lineRule="auto"/>
        <w:jc w:val="both"/>
        <w:rPr>
          <w:rFonts w:ascii="Times New Roman" w:eastAsia="Calibri" w:hAnsi="Times New Roman" w:cs="Times New Roman"/>
          <w:b/>
          <w:sz w:val="24"/>
          <w:szCs w:val="24"/>
          <w:lang w:val="it-IT"/>
        </w:rPr>
      </w:pPr>
      <w:r w:rsidRPr="001E7407">
        <w:rPr>
          <w:rFonts w:ascii="Times New Roman" w:eastAsia="Calibri" w:hAnsi="Times New Roman" w:cs="Times New Roman"/>
          <w:b/>
          <w:sz w:val="24"/>
          <w:szCs w:val="24"/>
          <w:lang w:val="it-IT"/>
        </w:rPr>
        <w:t xml:space="preserve">3.1 Vlerësimi i gjendjes së ujërave </w:t>
      </w:r>
    </w:p>
    <w:p w:rsidR="0047684C" w:rsidRPr="00CA247F" w:rsidRDefault="00CA247F" w:rsidP="0047684C">
      <w:pPr>
        <w:spacing w:after="0" w:line="240" w:lineRule="auto"/>
        <w:jc w:val="both"/>
        <w:rPr>
          <w:rFonts w:ascii="Times New Roman" w:eastAsia="Calibri" w:hAnsi="Times New Roman" w:cs="Times New Roman"/>
          <w:b/>
          <w:sz w:val="24"/>
          <w:szCs w:val="24"/>
          <w:lang w:val="sq-AL"/>
        </w:rPr>
      </w:pPr>
      <w:r w:rsidRPr="00CA247F">
        <w:rPr>
          <w:rFonts w:ascii="Times New Roman" w:eastAsia="Calibri" w:hAnsi="Times New Roman" w:cs="Times New Roman"/>
          <w:b/>
          <w:sz w:val="24"/>
          <w:szCs w:val="24"/>
          <w:lang w:val="sq-AL"/>
        </w:rPr>
        <w:t xml:space="preserve">3.1.1 </w:t>
      </w:r>
      <w:r w:rsidR="001E7407" w:rsidRPr="00CA247F">
        <w:rPr>
          <w:rFonts w:ascii="Times New Roman" w:eastAsia="Calibri" w:hAnsi="Times New Roman" w:cs="Times New Roman"/>
          <w:b/>
          <w:sz w:val="24"/>
          <w:szCs w:val="24"/>
          <w:lang w:val="sq-AL"/>
        </w:rPr>
        <w:t xml:space="preserve">Lumenjtë </w:t>
      </w:r>
    </w:p>
    <w:p w:rsidR="001E7407" w:rsidRDefault="001E7407" w:rsidP="0047684C">
      <w:pPr>
        <w:spacing w:after="0" w:line="240" w:lineRule="auto"/>
        <w:jc w:val="both"/>
        <w:rPr>
          <w:rFonts w:ascii="Times New Roman" w:eastAsia="Calibri" w:hAnsi="Times New Roman" w:cs="Times New Roman"/>
          <w:sz w:val="24"/>
          <w:szCs w:val="24"/>
          <w:lang w:val="es-MX"/>
        </w:rPr>
      </w:pPr>
      <w:bookmarkStart w:id="3" w:name="_Hlk221538787"/>
    </w:p>
    <w:p w:rsidR="00040F45" w:rsidRDefault="00FC025F" w:rsidP="0047684C">
      <w:pPr>
        <w:spacing w:after="0" w:line="240" w:lineRule="auto"/>
        <w:jc w:val="both"/>
        <w:rPr>
          <w:rFonts w:ascii="Times New Roman" w:eastAsia="Calibri" w:hAnsi="Times New Roman" w:cs="Times New Roman"/>
          <w:sz w:val="24"/>
          <w:szCs w:val="24"/>
          <w:lang w:val="es-MX"/>
        </w:rPr>
      </w:pPr>
      <w:r>
        <w:rPr>
          <w:noProof/>
        </w:rPr>
        <mc:AlternateContent>
          <mc:Choice Requires="wps">
            <w:drawing>
              <wp:anchor distT="0" distB="0" distL="114300" distR="114300" simplePos="0" relativeHeight="251670016" behindDoc="0" locked="0" layoutInCell="1" allowOverlap="1" wp14:anchorId="4E8AB836" wp14:editId="3AC9D239">
                <wp:simplePos x="0" y="0"/>
                <wp:positionH relativeFrom="column">
                  <wp:posOffset>3063922</wp:posOffset>
                </wp:positionH>
                <wp:positionV relativeFrom="paragraph">
                  <wp:posOffset>43104</wp:posOffset>
                </wp:positionV>
                <wp:extent cx="2895600" cy="3596185"/>
                <wp:effectExtent l="0" t="0" r="19050" b="23495"/>
                <wp:wrapNone/>
                <wp:docPr id="345" name="Rectangle 345"/>
                <wp:cNvGraphicFramePr/>
                <a:graphic xmlns:a="http://schemas.openxmlformats.org/drawingml/2006/main">
                  <a:graphicData uri="http://schemas.microsoft.com/office/word/2010/wordprocessingShape">
                    <wps:wsp>
                      <wps:cNvSpPr/>
                      <wps:spPr>
                        <a:xfrm>
                          <a:off x="0" y="0"/>
                          <a:ext cx="2895600" cy="3596185"/>
                        </a:xfrm>
                        <a:prstGeom prst="rect">
                          <a:avLst/>
                        </a:prstGeom>
                      </wps:spPr>
                      <wps:style>
                        <a:lnRef idx="2">
                          <a:schemeClr val="accent6"/>
                        </a:lnRef>
                        <a:fillRef idx="1">
                          <a:schemeClr val="lt1"/>
                        </a:fillRef>
                        <a:effectRef idx="0">
                          <a:schemeClr val="accent6"/>
                        </a:effectRef>
                        <a:fontRef idx="minor">
                          <a:schemeClr val="dk1"/>
                        </a:fontRef>
                      </wps:style>
                      <wps:txbx>
                        <w:txbxContent>
                          <w:p w:rsidR="0064059F" w:rsidRDefault="0064059F" w:rsidP="00FC025F">
                            <w:pPr>
                              <w:spacing w:after="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es-MX"/>
                              </w:rPr>
                              <w:t xml:space="preserve">Vlerësimi kryhet për ujërat e lumenjve të baseneve lumor Drin-Buna, Mat, Shkumbin, Ishëm-Erzen, Vjosa, Seman. </w:t>
                            </w:r>
                            <w:r w:rsidRPr="0047684C">
                              <w:rPr>
                                <w:rFonts w:ascii="Times New Roman" w:eastAsia="Calibri" w:hAnsi="Times New Roman" w:cs="Times New Roman"/>
                                <w:sz w:val="24"/>
                                <w:szCs w:val="24"/>
                                <w:lang w:val="es-MX"/>
                              </w:rPr>
                              <w:t>Klasifikimi i cil</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sis</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 xml:space="preserve"> s</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 xml:space="preserve"> uj</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 xml:space="preserve">rave </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sht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 xml:space="preserve"> kryer sipas Direktiv</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s Kuad</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r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 xml:space="preserve"> Ujit, ku </w:t>
                            </w:r>
                            <w:r w:rsidRPr="0047684C">
                              <w:rPr>
                                <w:rFonts w:ascii="Times New Roman" w:eastAsia="Calibri" w:hAnsi="Times New Roman" w:cs="Times New Roman"/>
                                <w:sz w:val="24"/>
                                <w:szCs w:val="24"/>
                                <w:lang w:val="sq-AL"/>
                              </w:rPr>
                              <w:t xml:space="preserve">ujërat e lumenjve klasifikohen në pesë klasa, ku gjendja e moderuar ose klasa e tretë, konsiderohet si klasa me nivelin minimal të pranueshëm të cilësisë së ujërave të lumenjve. </w:t>
                            </w:r>
                          </w:p>
                          <w:p w:rsidR="0064059F" w:rsidRDefault="0064059F" w:rsidP="00FC025F">
                            <w:pPr>
                              <w:spacing w:after="0" w:line="240" w:lineRule="auto"/>
                              <w:jc w:val="both"/>
                              <w:rPr>
                                <w:rFonts w:ascii="Times New Roman" w:eastAsia="Calibri" w:hAnsi="Times New Roman" w:cs="Times New Roman"/>
                                <w:b/>
                                <w:sz w:val="24"/>
                                <w:szCs w:val="24"/>
                                <w:lang w:val="sq-AL"/>
                              </w:rPr>
                            </w:pPr>
                          </w:p>
                          <w:p w:rsidR="0064059F" w:rsidRPr="0047684C" w:rsidRDefault="0064059F" w:rsidP="00FC025F">
                            <w:pPr>
                              <w:spacing w:after="0" w:line="240" w:lineRule="auto"/>
                              <w:contextualSpacing/>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Temperaturat e ujërave variojnë në varësi të stinës dhe pozicionimin e stacioneve të kampionimit, ku në rrjedhat e sipërme ujë</w:t>
                            </w:r>
                            <w:r w:rsidRPr="0047684C">
                              <w:rPr>
                                <w:rFonts w:ascii="Times New Roman" w:eastAsia="Calibri" w:hAnsi="Times New Roman" w:cs="Times New Roman"/>
                                <w:bCs/>
                                <w:sz w:val="24"/>
                                <w:szCs w:val="24"/>
                                <w:lang w:val="sq-AL"/>
                              </w:rPr>
                              <w:t>rat e lumenjve karakterizohen nga temperatura  m</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sq-AL"/>
                              </w:rPr>
                              <w:t xml:space="preserve">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sq-AL"/>
                              </w:rPr>
                              <w:t xml:space="preserve"> ul</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sq-AL"/>
                              </w:rPr>
                              <w:t>ta, pasi jan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sq-AL"/>
                              </w:rPr>
                              <w:t xml:space="preserve"> uj</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sq-AL"/>
                              </w:rPr>
                              <w:t>ra q</w:t>
                            </w:r>
                            <w:r w:rsidRPr="0047684C">
                              <w:rPr>
                                <w:rFonts w:ascii="Times New Roman" w:eastAsia="Calibri" w:hAnsi="Times New Roman" w:cs="Times New Roman"/>
                                <w:sz w:val="24"/>
                                <w:szCs w:val="24"/>
                                <w:lang w:val="sq-AL"/>
                              </w:rPr>
                              <w:t xml:space="preserve">ë </w:t>
                            </w:r>
                            <w:r w:rsidRPr="0047684C">
                              <w:rPr>
                                <w:rFonts w:ascii="Times New Roman" w:eastAsia="Calibri" w:hAnsi="Times New Roman" w:cs="Times New Roman"/>
                                <w:bCs/>
                                <w:sz w:val="24"/>
                                <w:szCs w:val="24"/>
                                <w:lang w:val="sq-AL"/>
                              </w:rPr>
                              <w:t>burojn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sq-AL"/>
                              </w:rPr>
                              <w:t xml:space="preserve"> nga zonat malore</w:t>
                            </w:r>
                            <w:r>
                              <w:rPr>
                                <w:rFonts w:ascii="Times New Roman" w:eastAsia="Calibri" w:hAnsi="Times New Roman" w:cs="Times New Roman"/>
                                <w:bCs/>
                                <w:sz w:val="24"/>
                                <w:szCs w:val="24"/>
                                <w:lang w:val="sq-AL"/>
                              </w:rPr>
                              <w:t xml:space="preserve">. </w:t>
                            </w:r>
                            <w:r w:rsidRPr="0047684C">
                              <w:rPr>
                                <w:rFonts w:ascii="Times New Roman" w:eastAsia="Calibri" w:hAnsi="Times New Roman" w:cs="Times New Roman"/>
                                <w:sz w:val="24"/>
                                <w:szCs w:val="24"/>
                                <w:lang w:val="sq-AL"/>
                              </w:rPr>
                              <w:t>Ujërat e lumenjve v</w:t>
                            </w:r>
                            <w:r>
                              <w:rPr>
                                <w:rFonts w:ascii="Times New Roman" w:eastAsia="Calibri" w:hAnsi="Times New Roman" w:cs="Times New Roman"/>
                                <w:sz w:val="24"/>
                                <w:szCs w:val="24"/>
                                <w:lang w:val="sq-AL"/>
                              </w:rPr>
                              <w:t>lerësohen alkalin  me pH nga 7.</w:t>
                            </w:r>
                            <w:r w:rsidRPr="0047684C">
                              <w:rPr>
                                <w:rFonts w:ascii="Times New Roman" w:eastAsia="Calibri" w:hAnsi="Times New Roman" w:cs="Times New Roman"/>
                                <w:sz w:val="24"/>
                                <w:szCs w:val="24"/>
                                <w:lang w:val="sq-AL"/>
                              </w:rPr>
                              <w:t>3 - 8.81.</w:t>
                            </w:r>
                          </w:p>
                          <w:p w:rsidR="0064059F" w:rsidRDefault="0064059F" w:rsidP="00FC02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8AB836" id="Rectangle 345" o:spid="_x0000_s1029" style="position:absolute;left:0;text-align:left;margin-left:241.25pt;margin-top:3.4pt;width:228pt;height:283.15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" fillcolor="white [3201]" strokecolor="#70ad47 [3209]" strokeweight="1pt">
                <v:textbox>
                  <w:txbxContent>
                    <w:p w:rsidR="0064059F" w:rsidRDefault="0064059F" w:rsidP="00FC025F">
                      <w:pPr>
                        <w:spacing w:after="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es-MX"/>
                        </w:rPr>
                        <w:t xml:space="preserve">Vlerësimi kryhet për ujërat e lumenjve të baseneve lumor Drin-Buna, Mat, Shkumbin, Ishëm-Erzen, Vjosa, Seman. </w:t>
                      </w:r>
                      <w:r w:rsidRPr="0047684C">
                        <w:rPr>
                          <w:rFonts w:ascii="Times New Roman" w:eastAsia="Calibri" w:hAnsi="Times New Roman" w:cs="Times New Roman"/>
                          <w:sz w:val="24"/>
                          <w:szCs w:val="24"/>
                          <w:lang w:val="es-MX"/>
                        </w:rPr>
                        <w:t>Klasifikimi i cil</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sis</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 xml:space="preserve"> s</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 xml:space="preserve"> uj</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 xml:space="preserve">rave </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sht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 xml:space="preserve"> kryer sipas Direktiv</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s Kuad</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r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es-MX"/>
                        </w:rPr>
                        <w:t xml:space="preserve"> Ujit, ku </w:t>
                      </w:r>
                      <w:r w:rsidRPr="0047684C">
                        <w:rPr>
                          <w:rFonts w:ascii="Times New Roman" w:eastAsia="Calibri" w:hAnsi="Times New Roman" w:cs="Times New Roman"/>
                          <w:sz w:val="24"/>
                          <w:szCs w:val="24"/>
                          <w:lang w:val="sq-AL"/>
                        </w:rPr>
                        <w:t xml:space="preserve">ujërat e lumenjve klasifikohen në pesë klasa, ku gjendja e moderuar ose klasa e tretë, konsiderohet si klasa me nivelin minimal të pranueshëm të cilësisë së ujërave të lumenjve. </w:t>
                      </w:r>
                    </w:p>
                    <w:p w:rsidR="0064059F" w:rsidRDefault="0064059F" w:rsidP="00FC025F">
                      <w:pPr>
                        <w:spacing w:after="0" w:line="240" w:lineRule="auto"/>
                        <w:jc w:val="both"/>
                        <w:rPr>
                          <w:rFonts w:ascii="Times New Roman" w:eastAsia="Calibri" w:hAnsi="Times New Roman" w:cs="Times New Roman"/>
                          <w:b/>
                          <w:sz w:val="24"/>
                          <w:szCs w:val="24"/>
                          <w:lang w:val="sq-AL"/>
                        </w:rPr>
                      </w:pPr>
                    </w:p>
                    <w:p w:rsidR="0064059F" w:rsidRPr="0047684C" w:rsidRDefault="0064059F" w:rsidP="00FC025F">
                      <w:pPr>
                        <w:spacing w:after="0" w:line="240" w:lineRule="auto"/>
                        <w:contextualSpacing/>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Temperaturat e ujërave variojnë në varësi të stinës dhe pozicionimin e stacioneve të kampionimit, ku në rrjedhat e sipërme ujë</w:t>
                      </w:r>
                      <w:r w:rsidRPr="0047684C">
                        <w:rPr>
                          <w:rFonts w:ascii="Times New Roman" w:eastAsia="Calibri" w:hAnsi="Times New Roman" w:cs="Times New Roman"/>
                          <w:bCs/>
                          <w:sz w:val="24"/>
                          <w:szCs w:val="24"/>
                          <w:lang w:val="sq-AL"/>
                        </w:rPr>
                        <w:t>rat e lumenjve karakterizohen nga temperatura  m</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sq-AL"/>
                        </w:rPr>
                        <w:t xml:space="preserve">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sq-AL"/>
                        </w:rPr>
                        <w:t xml:space="preserve"> ul</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sq-AL"/>
                        </w:rPr>
                        <w:t>ta, pasi jan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sq-AL"/>
                        </w:rPr>
                        <w:t xml:space="preserve"> uj</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sq-AL"/>
                        </w:rPr>
                        <w:t>ra q</w:t>
                      </w:r>
                      <w:r w:rsidRPr="0047684C">
                        <w:rPr>
                          <w:rFonts w:ascii="Times New Roman" w:eastAsia="Calibri" w:hAnsi="Times New Roman" w:cs="Times New Roman"/>
                          <w:sz w:val="24"/>
                          <w:szCs w:val="24"/>
                          <w:lang w:val="sq-AL"/>
                        </w:rPr>
                        <w:t xml:space="preserve">ë </w:t>
                      </w:r>
                      <w:r w:rsidRPr="0047684C">
                        <w:rPr>
                          <w:rFonts w:ascii="Times New Roman" w:eastAsia="Calibri" w:hAnsi="Times New Roman" w:cs="Times New Roman"/>
                          <w:bCs/>
                          <w:sz w:val="24"/>
                          <w:szCs w:val="24"/>
                          <w:lang w:val="sq-AL"/>
                        </w:rPr>
                        <w:t>burojn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sq-AL"/>
                        </w:rPr>
                        <w:t xml:space="preserve"> nga zonat malore</w:t>
                      </w:r>
                      <w:r>
                        <w:rPr>
                          <w:rFonts w:ascii="Times New Roman" w:eastAsia="Calibri" w:hAnsi="Times New Roman" w:cs="Times New Roman"/>
                          <w:bCs/>
                          <w:sz w:val="24"/>
                          <w:szCs w:val="24"/>
                          <w:lang w:val="sq-AL"/>
                        </w:rPr>
                        <w:t xml:space="preserve">. </w:t>
                      </w:r>
                      <w:r w:rsidRPr="0047684C">
                        <w:rPr>
                          <w:rFonts w:ascii="Times New Roman" w:eastAsia="Calibri" w:hAnsi="Times New Roman" w:cs="Times New Roman"/>
                          <w:sz w:val="24"/>
                          <w:szCs w:val="24"/>
                          <w:lang w:val="sq-AL"/>
                        </w:rPr>
                        <w:t>Ujërat e lumenjve v</w:t>
                      </w:r>
                      <w:r>
                        <w:rPr>
                          <w:rFonts w:ascii="Times New Roman" w:eastAsia="Calibri" w:hAnsi="Times New Roman" w:cs="Times New Roman"/>
                          <w:sz w:val="24"/>
                          <w:szCs w:val="24"/>
                          <w:lang w:val="sq-AL"/>
                        </w:rPr>
                        <w:t>lerësohen alkalin  me pH nga 7.</w:t>
                      </w:r>
                      <w:r w:rsidRPr="0047684C">
                        <w:rPr>
                          <w:rFonts w:ascii="Times New Roman" w:eastAsia="Calibri" w:hAnsi="Times New Roman" w:cs="Times New Roman"/>
                          <w:sz w:val="24"/>
                          <w:szCs w:val="24"/>
                          <w:lang w:val="sq-AL"/>
                        </w:rPr>
                        <w:t>3 - 8.81.</w:t>
                      </w:r>
                    </w:p>
                    <w:p w:rsidR="0064059F" w:rsidRDefault="0064059F" w:rsidP="00FC025F">
                      <w:pPr>
                        <w:jc w:val="center"/>
                      </w:pPr>
                    </w:p>
                  </w:txbxContent>
                </v:textbox>
              </v:rect>
            </w:pict>
          </mc:Fallback>
        </mc:AlternateContent>
      </w:r>
      <w:r>
        <w:rPr>
          <w:noProof/>
        </w:rPr>
        <w:drawing>
          <wp:inline distT="0" distB="0" distL="0" distR="0" wp14:anchorId="6B92B00B" wp14:editId="75787FF1">
            <wp:extent cx="2542540" cy="3181350"/>
            <wp:effectExtent l="0" t="0" r="0" b="0"/>
            <wp:docPr id="344" name="Picture 344"/>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42540" cy="3181350"/>
                    </a:xfrm>
                    <a:prstGeom prst="rect">
                      <a:avLst/>
                    </a:prstGeom>
                  </pic:spPr>
                </pic:pic>
              </a:graphicData>
            </a:graphic>
          </wp:inline>
        </w:drawing>
      </w:r>
      <w:r>
        <w:rPr>
          <w:rFonts w:ascii="Times New Roman" w:eastAsia="Calibri" w:hAnsi="Times New Roman" w:cs="Times New Roman"/>
          <w:sz w:val="24"/>
          <w:szCs w:val="24"/>
          <w:lang w:val="es-MX"/>
        </w:rPr>
        <w:t xml:space="preserve">  </w:t>
      </w:r>
    </w:p>
    <w:p w:rsidR="00FC025F" w:rsidRDefault="00FC025F" w:rsidP="0047684C">
      <w:pPr>
        <w:spacing w:after="0" w:line="240" w:lineRule="auto"/>
        <w:jc w:val="both"/>
        <w:rPr>
          <w:rFonts w:ascii="Times New Roman" w:eastAsia="Calibri" w:hAnsi="Times New Roman" w:cs="Times New Roman"/>
          <w:sz w:val="24"/>
          <w:szCs w:val="24"/>
          <w:lang w:val="es-MX"/>
        </w:rPr>
      </w:pPr>
    </w:p>
    <w:p w:rsidR="00FC025F" w:rsidRDefault="00FC025F" w:rsidP="0047684C">
      <w:pPr>
        <w:spacing w:after="0" w:line="240" w:lineRule="auto"/>
        <w:jc w:val="both"/>
        <w:rPr>
          <w:rFonts w:ascii="Times New Roman" w:eastAsia="Calibri" w:hAnsi="Times New Roman" w:cs="Times New Roman"/>
          <w:sz w:val="24"/>
          <w:szCs w:val="24"/>
          <w:lang w:val="es-MX"/>
        </w:rPr>
      </w:pPr>
    </w:p>
    <w:p w:rsidR="00FC025F" w:rsidRDefault="00FC025F" w:rsidP="0047684C">
      <w:pPr>
        <w:spacing w:after="0" w:line="240" w:lineRule="auto"/>
        <w:jc w:val="both"/>
        <w:rPr>
          <w:rFonts w:ascii="Times New Roman" w:eastAsia="Calibri" w:hAnsi="Times New Roman" w:cs="Times New Roman"/>
          <w:sz w:val="24"/>
          <w:szCs w:val="24"/>
          <w:lang w:val="es-MX"/>
        </w:rPr>
      </w:pPr>
    </w:p>
    <w:p w:rsidR="00FC025F" w:rsidRDefault="00FC025F" w:rsidP="0047684C">
      <w:pPr>
        <w:spacing w:after="0" w:line="24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Tabela 16. Kla</w:t>
      </w:r>
      <w:r w:rsidR="00E02B61">
        <w:rPr>
          <w:rFonts w:ascii="Times New Roman" w:eastAsia="Calibri" w:hAnsi="Times New Roman" w:cs="Times New Roman"/>
          <w:sz w:val="24"/>
          <w:szCs w:val="24"/>
          <w:lang w:val="es-MX"/>
        </w:rPr>
        <w:t>sifikimi i cilësisë të lumenjve, sipas Direktivës Kuadër të Ujit</w:t>
      </w:r>
    </w:p>
    <w:p w:rsidR="00FC025F" w:rsidRDefault="00FC025F" w:rsidP="0047684C">
      <w:pPr>
        <w:spacing w:after="0" w:line="240" w:lineRule="auto"/>
        <w:jc w:val="both"/>
        <w:rPr>
          <w:rFonts w:ascii="Times New Roman" w:eastAsia="Calibri" w:hAnsi="Times New Roman" w:cs="Times New Roman"/>
          <w:sz w:val="24"/>
          <w:szCs w:val="24"/>
          <w:lang w:val="es-MX"/>
        </w:rPr>
      </w:pPr>
    </w:p>
    <w:bookmarkEnd w:id="3"/>
    <w:tbl>
      <w:tblPr>
        <w:tblW w:w="10121"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900"/>
        <w:gridCol w:w="1089"/>
        <w:gridCol w:w="1319"/>
        <w:gridCol w:w="1936"/>
        <w:gridCol w:w="1495"/>
        <w:gridCol w:w="1412"/>
      </w:tblGrid>
      <w:tr w:rsidR="00CA0AB5" w:rsidRPr="00CA0AB5" w:rsidTr="00CA0AB5">
        <w:trPr>
          <w:trHeight w:val="253"/>
        </w:trPr>
        <w:tc>
          <w:tcPr>
            <w:tcW w:w="1970" w:type="dxa"/>
            <w:vMerge w:val="restart"/>
            <w:tcBorders>
              <w:top w:val="double" w:sz="4" w:space="0" w:color="A5A5A5"/>
              <w:left w:val="double" w:sz="4" w:space="0" w:color="A5A5A5"/>
              <w:bottom w:val="double" w:sz="4" w:space="0" w:color="A5A5A5"/>
              <w:right w:val="double" w:sz="4" w:space="0" w:color="A5A5A5"/>
            </w:tcBorders>
            <w:shd w:val="clear" w:color="auto" w:fill="DEEAF6"/>
          </w:tcPr>
          <w:p w:rsidR="00CA0AB5" w:rsidRPr="00CA0AB5" w:rsidRDefault="00CA0AB5" w:rsidP="00CA0AB5">
            <w:pPr>
              <w:spacing w:after="0" w:line="240" w:lineRule="auto"/>
              <w:jc w:val="both"/>
              <w:rPr>
                <w:rFonts w:ascii="Times New Roman" w:eastAsia="Calibri" w:hAnsi="Times New Roman" w:cs="Times New Roman"/>
                <w:b/>
                <w:sz w:val="24"/>
                <w:szCs w:val="24"/>
                <w:lang w:val="sq-AL"/>
              </w:rPr>
            </w:pPr>
          </w:p>
          <w:p w:rsidR="00CA0AB5" w:rsidRPr="00CA0AB5" w:rsidRDefault="00CA0AB5" w:rsidP="00CA0AB5">
            <w:pPr>
              <w:spacing w:after="0" w:line="240" w:lineRule="auto"/>
              <w:jc w:val="both"/>
              <w:rPr>
                <w:rFonts w:ascii="Times New Roman" w:eastAsia="Calibri" w:hAnsi="Times New Roman" w:cs="Times New Roman"/>
                <w:b/>
                <w:sz w:val="24"/>
                <w:szCs w:val="24"/>
              </w:rPr>
            </w:pPr>
          </w:p>
        </w:tc>
        <w:tc>
          <w:tcPr>
            <w:tcW w:w="900" w:type="dxa"/>
            <w:vMerge w:val="restart"/>
            <w:tcBorders>
              <w:top w:val="double" w:sz="4" w:space="0" w:color="A5A5A5"/>
              <w:left w:val="double" w:sz="4" w:space="0" w:color="A5A5A5"/>
              <w:bottom w:val="double" w:sz="4" w:space="0" w:color="A5A5A5"/>
              <w:right w:val="double" w:sz="4" w:space="0" w:color="A5A5A5"/>
            </w:tcBorders>
            <w:shd w:val="clear" w:color="auto" w:fill="DEEAF6"/>
          </w:tcPr>
          <w:p w:rsidR="00CA0AB5" w:rsidRPr="00CA0AB5" w:rsidRDefault="00CA0AB5" w:rsidP="00CA0AB5">
            <w:pPr>
              <w:spacing w:after="0" w:line="240" w:lineRule="auto"/>
              <w:rPr>
                <w:rFonts w:ascii="Times New Roman" w:eastAsia="Calibri" w:hAnsi="Times New Roman" w:cs="Times New Roman"/>
                <w:b/>
                <w:sz w:val="24"/>
                <w:szCs w:val="24"/>
              </w:rPr>
            </w:pPr>
          </w:p>
          <w:p w:rsidR="00CA0AB5" w:rsidRPr="00CA0AB5" w:rsidRDefault="00CA0AB5" w:rsidP="00CA0AB5">
            <w:pPr>
              <w:spacing w:after="0" w:line="240" w:lineRule="auto"/>
              <w:rPr>
                <w:rFonts w:ascii="Times New Roman" w:eastAsia="Calibri" w:hAnsi="Times New Roman" w:cs="Times New Roman"/>
                <w:b/>
                <w:sz w:val="24"/>
                <w:szCs w:val="24"/>
              </w:rPr>
            </w:pPr>
            <w:r w:rsidRPr="00CA0AB5">
              <w:rPr>
                <w:rFonts w:ascii="Times New Roman" w:eastAsia="Calibri" w:hAnsi="Times New Roman" w:cs="Times New Roman"/>
                <w:b/>
                <w:sz w:val="24"/>
                <w:szCs w:val="24"/>
              </w:rPr>
              <w:t>Njesia</w:t>
            </w:r>
          </w:p>
          <w:p w:rsidR="00CA0AB5" w:rsidRPr="00CA0AB5" w:rsidRDefault="00CA0AB5" w:rsidP="00CA0AB5">
            <w:pPr>
              <w:spacing w:after="0" w:line="240" w:lineRule="auto"/>
              <w:rPr>
                <w:rFonts w:ascii="Times New Roman" w:eastAsia="Calibri" w:hAnsi="Times New Roman" w:cs="Times New Roman"/>
                <w:b/>
                <w:sz w:val="24"/>
                <w:szCs w:val="24"/>
              </w:rPr>
            </w:pPr>
          </w:p>
        </w:tc>
        <w:tc>
          <w:tcPr>
            <w:tcW w:w="7251" w:type="dxa"/>
            <w:gridSpan w:val="5"/>
            <w:tcBorders>
              <w:top w:val="double" w:sz="4" w:space="0" w:color="A5A5A5"/>
              <w:left w:val="double" w:sz="4" w:space="0" w:color="A5A5A5"/>
              <w:bottom w:val="double" w:sz="4" w:space="0" w:color="A5A5A5"/>
              <w:right w:val="double" w:sz="4" w:space="0" w:color="A5A5A5"/>
            </w:tcBorders>
            <w:shd w:val="clear" w:color="auto" w:fill="DEEAF6"/>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b/>
                <w:sz w:val="24"/>
                <w:szCs w:val="24"/>
              </w:rPr>
              <w:t>Vlerat limite te parametrave kimike</w:t>
            </w:r>
          </w:p>
        </w:tc>
      </w:tr>
      <w:tr w:rsidR="00CA0AB5" w:rsidRPr="00CA0AB5" w:rsidTr="00CA0AB5">
        <w:trPr>
          <w:trHeight w:val="342"/>
        </w:trPr>
        <w:tc>
          <w:tcPr>
            <w:tcW w:w="0" w:type="auto"/>
            <w:vMerge/>
            <w:tcBorders>
              <w:top w:val="double" w:sz="4" w:space="0" w:color="A5A5A5"/>
              <w:left w:val="double" w:sz="4" w:space="0" w:color="A5A5A5"/>
              <w:bottom w:val="double" w:sz="4" w:space="0" w:color="A5A5A5"/>
              <w:right w:val="double" w:sz="4" w:space="0" w:color="A5A5A5"/>
            </w:tcBorders>
            <w:vAlign w:val="center"/>
            <w:hideMark/>
          </w:tcPr>
          <w:p w:rsidR="00CA0AB5" w:rsidRPr="00CA0AB5" w:rsidRDefault="00CA0AB5" w:rsidP="00CA0AB5">
            <w:pPr>
              <w:spacing w:after="0" w:line="256" w:lineRule="auto"/>
              <w:rPr>
                <w:rFonts w:ascii="Times New Roman" w:eastAsia="Calibri" w:hAnsi="Times New Roman" w:cs="Times New Roman"/>
                <w:b/>
                <w:sz w:val="24"/>
                <w:szCs w:val="24"/>
              </w:rPr>
            </w:pPr>
          </w:p>
        </w:tc>
        <w:tc>
          <w:tcPr>
            <w:tcW w:w="0" w:type="auto"/>
            <w:vMerge/>
            <w:tcBorders>
              <w:top w:val="double" w:sz="4" w:space="0" w:color="A5A5A5"/>
              <w:left w:val="double" w:sz="4" w:space="0" w:color="A5A5A5"/>
              <w:bottom w:val="double" w:sz="4" w:space="0" w:color="A5A5A5"/>
              <w:right w:val="double" w:sz="4" w:space="0" w:color="A5A5A5"/>
            </w:tcBorders>
            <w:vAlign w:val="center"/>
            <w:hideMark/>
          </w:tcPr>
          <w:p w:rsidR="00CA0AB5" w:rsidRPr="00CA0AB5" w:rsidRDefault="00CA0AB5" w:rsidP="00CA0AB5">
            <w:pPr>
              <w:spacing w:after="0" w:line="256" w:lineRule="auto"/>
              <w:rPr>
                <w:rFonts w:ascii="Times New Roman" w:eastAsia="Calibri" w:hAnsi="Times New Roman" w:cs="Times New Roman"/>
                <w:b/>
                <w:sz w:val="24"/>
                <w:szCs w:val="24"/>
              </w:rPr>
            </w:pPr>
          </w:p>
        </w:tc>
        <w:tc>
          <w:tcPr>
            <w:tcW w:w="1089" w:type="dxa"/>
            <w:tcBorders>
              <w:top w:val="double" w:sz="4" w:space="0" w:color="A5A5A5"/>
              <w:left w:val="double" w:sz="4" w:space="0" w:color="A5A5A5"/>
              <w:bottom w:val="double" w:sz="4" w:space="0" w:color="A5A5A5"/>
              <w:right w:val="double" w:sz="4" w:space="0" w:color="A5A5A5"/>
            </w:tcBorders>
            <w:shd w:val="clear" w:color="auto" w:fill="DEEAF6"/>
            <w:hideMark/>
          </w:tcPr>
          <w:p w:rsidR="00CA0AB5" w:rsidRPr="00CA0AB5" w:rsidRDefault="00CA0AB5" w:rsidP="00CA0AB5">
            <w:pPr>
              <w:spacing w:after="0" w:line="240" w:lineRule="auto"/>
              <w:rPr>
                <w:rFonts w:ascii="Times New Roman" w:eastAsia="Calibri" w:hAnsi="Times New Roman" w:cs="Times New Roman"/>
                <w:b/>
                <w:sz w:val="24"/>
                <w:szCs w:val="24"/>
              </w:rPr>
            </w:pPr>
            <w:r w:rsidRPr="00CA0AB5">
              <w:rPr>
                <w:rFonts w:ascii="Times New Roman" w:eastAsia="Calibri" w:hAnsi="Times New Roman" w:cs="Times New Roman"/>
                <w:b/>
                <w:sz w:val="24"/>
                <w:szCs w:val="24"/>
              </w:rPr>
              <w:t>Gjendje e Lartë Kl.I</w:t>
            </w:r>
          </w:p>
        </w:tc>
        <w:tc>
          <w:tcPr>
            <w:tcW w:w="1319" w:type="dxa"/>
            <w:tcBorders>
              <w:top w:val="double" w:sz="4" w:space="0" w:color="A5A5A5"/>
              <w:left w:val="double" w:sz="4" w:space="0" w:color="A5A5A5"/>
              <w:bottom w:val="double" w:sz="4" w:space="0" w:color="A5A5A5"/>
              <w:right w:val="double" w:sz="4" w:space="0" w:color="A5A5A5"/>
            </w:tcBorders>
            <w:shd w:val="clear" w:color="auto" w:fill="DEEAF6"/>
            <w:hideMark/>
          </w:tcPr>
          <w:p w:rsidR="00CA0AB5" w:rsidRPr="00CA0AB5" w:rsidRDefault="00CA0AB5" w:rsidP="00CA0AB5">
            <w:pPr>
              <w:spacing w:after="0" w:line="240" w:lineRule="auto"/>
              <w:rPr>
                <w:rFonts w:ascii="Times New Roman" w:eastAsia="Calibri" w:hAnsi="Times New Roman" w:cs="Times New Roman"/>
                <w:b/>
                <w:sz w:val="24"/>
                <w:szCs w:val="24"/>
              </w:rPr>
            </w:pPr>
            <w:r w:rsidRPr="00CA0AB5">
              <w:rPr>
                <w:rFonts w:ascii="Times New Roman" w:eastAsia="Calibri" w:hAnsi="Times New Roman" w:cs="Times New Roman"/>
                <w:b/>
                <w:sz w:val="24"/>
                <w:szCs w:val="24"/>
              </w:rPr>
              <w:t>Gjendje e Mirë Kl.II</w:t>
            </w:r>
          </w:p>
        </w:tc>
        <w:tc>
          <w:tcPr>
            <w:tcW w:w="1936" w:type="dxa"/>
            <w:tcBorders>
              <w:top w:val="double" w:sz="4" w:space="0" w:color="A5A5A5"/>
              <w:left w:val="double" w:sz="4" w:space="0" w:color="A5A5A5"/>
              <w:bottom w:val="double" w:sz="4" w:space="0" w:color="A5A5A5"/>
              <w:right w:val="double" w:sz="4" w:space="0" w:color="A5A5A5"/>
            </w:tcBorders>
            <w:shd w:val="clear" w:color="auto" w:fill="DEEAF6"/>
            <w:hideMark/>
          </w:tcPr>
          <w:p w:rsidR="00CA0AB5" w:rsidRPr="00CA0AB5" w:rsidRDefault="00CA0AB5" w:rsidP="00CA0AB5">
            <w:pPr>
              <w:spacing w:after="0" w:line="240" w:lineRule="auto"/>
              <w:rPr>
                <w:rFonts w:ascii="Times New Roman" w:eastAsia="Calibri" w:hAnsi="Times New Roman" w:cs="Times New Roman"/>
                <w:b/>
                <w:sz w:val="24"/>
                <w:szCs w:val="24"/>
              </w:rPr>
            </w:pPr>
            <w:r w:rsidRPr="00CA0AB5">
              <w:rPr>
                <w:rFonts w:ascii="Times New Roman" w:eastAsia="Calibri" w:hAnsi="Times New Roman" w:cs="Times New Roman"/>
                <w:b/>
                <w:sz w:val="24"/>
                <w:szCs w:val="24"/>
              </w:rPr>
              <w:t>Gjendje e Moderuar Kl.III</w:t>
            </w:r>
          </w:p>
        </w:tc>
        <w:tc>
          <w:tcPr>
            <w:tcW w:w="1495" w:type="dxa"/>
            <w:tcBorders>
              <w:top w:val="double" w:sz="4" w:space="0" w:color="A5A5A5"/>
              <w:left w:val="double" w:sz="4" w:space="0" w:color="A5A5A5"/>
              <w:bottom w:val="double" w:sz="4" w:space="0" w:color="A5A5A5"/>
              <w:right w:val="double" w:sz="4" w:space="0" w:color="A5A5A5"/>
            </w:tcBorders>
            <w:shd w:val="clear" w:color="auto" w:fill="DEEAF6"/>
            <w:hideMark/>
          </w:tcPr>
          <w:p w:rsidR="00CA0AB5" w:rsidRPr="00CA0AB5" w:rsidRDefault="00CA0AB5" w:rsidP="00CA0AB5">
            <w:pPr>
              <w:spacing w:after="0" w:line="240" w:lineRule="auto"/>
              <w:rPr>
                <w:rFonts w:ascii="Times New Roman" w:eastAsia="Calibri" w:hAnsi="Times New Roman" w:cs="Times New Roman"/>
                <w:b/>
                <w:sz w:val="24"/>
                <w:szCs w:val="24"/>
              </w:rPr>
            </w:pPr>
            <w:r w:rsidRPr="00CA0AB5">
              <w:rPr>
                <w:rFonts w:ascii="Times New Roman" w:eastAsia="Calibri" w:hAnsi="Times New Roman" w:cs="Times New Roman"/>
                <w:b/>
                <w:sz w:val="24"/>
                <w:szCs w:val="24"/>
              </w:rPr>
              <w:t>Gjendje e Varfër K.IV</w:t>
            </w:r>
          </w:p>
        </w:tc>
        <w:tc>
          <w:tcPr>
            <w:tcW w:w="1412" w:type="dxa"/>
            <w:tcBorders>
              <w:top w:val="double" w:sz="4" w:space="0" w:color="A5A5A5"/>
              <w:left w:val="double" w:sz="4" w:space="0" w:color="A5A5A5"/>
              <w:bottom w:val="double" w:sz="4" w:space="0" w:color="A5A5A5"/>
              <w:right w:val="double" w:sz="4" w:space="0" w:color="A5A5A5"/>
            </w:tcBorders>
            <w:shd w:val="clear" w:color="auto" w:fill="DEEAF6"/>
            <w:hideMark/>
          </w:tcPr>
          <w:p w:rsidR="00CA0AB5" w:rsidRPr="00CA0AB5" w:rsidRDefault="00CA0AB5" w:rsidP="00CA0AB5">
            <w:pPr>
              <w:spacing w:after="0" w:line="240" w:lineRule="auto"/>
              <w:rPr>
                <w:rFonts w:ascii="Times New Roman" w:eastAsia="Calibri" w:hAnsi="Times New Roman" w:cs="Times New Roman"/>
                <w:b/>
                <w:sz w:val="24"/>
                <w:szCs w:val="24"/>
              </w:rPr>
            </w:pPr>
            <w:r w:rsidRPr="00CA0AB5">
              <w:rPr>
                <w:rFonts w:ascii="Times New Roman" w:eastAsia="Calibri" w:hAnsi="Times New Roman" w:cs="Times New Roman"/>
                <w:b/>
                <w:sz w:val="24"/>
                <w:szCs w:val="24"/>
              </w:rPr>
              <w:t>Gjendje e Keqe Kl.V</w:t>
            </w:r>
          </w:p>
        </w:tc>
      </w:tr>
      <w:tr w:rsidR="00CA0AB5" w:rsidRPr="00CA0AB5" w:rsidTr="00CA0AB5">
        <w:trPr>
          <w:trHeight w:val="137"/>
        </w:trPr>
        <w:tc>
          <w:tcPr>
            <w:tcW w:w="1970" w:type="dxa"/>
            <w:tcBorders>
              <w:top w:val="double" w:sz="4" w:space="0" w:color="A5A5A5"/>
              <w:left w:val="double" w:sz="4" w:space="0" w:color="A5A5A5"/>
              <w:bottom w:val="single" w:sz="4" w:space="0" w:color="auto"/>
              <w:right w:val="double" w:sz="4" w:space="0" w:color="A5A5A5"/>
            </w:tcBorders>
            <w:hideMark/>
          </w:tcPr>
          <w:p w:rsidR="00CA0AB5" w:rsidRPr="00CA0AB5" w:rsidRDefault="00CA0AB5" w:rsidP="00CA0AB5">
            <w:pPr>
              <w:spacing w:after="0" w:line="240" w:lineRule="auto"/>
              <w:rPr>
                <w:rFonts w:ascii="Times New Roman" w:eastAsia="Calibri" w:hAnsi="Times New Roman" w:cs="Times New Roman"/>
                <w:sz w:val="24"/>
                <w:szCs w:val="24"/>
              </w:rPr>
            </w:pPr>
            <w:r w:rsidRPr="00CA0AB5">
              <w:rPr>
                <w:rFonts w:ascii="Times New Roman" w:eastAsia="Calibri" w:hAnsi="Times New Roman" w:cs="Times New Roman"/>
                <w:sz w:val="24"/>
                <w:szCs w:val="24"/>
              </w:rPr>
              <w:t>Oksigjen i tretur</w:t>
            </w:r>
          </w:p>
        </w:tc>
        <w:tc>
          <w:tcPr>
            <w:tcW w:w="900" w:type="dxa"/>
            <w:tcBorders>
              <w:top w:val="double" w:sz="4" w:space="0" w:color="A5A5A5"/>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mgO/l</w:t>
            </w:r>
          </w:p>
        </w:tc>
        <w:tc>
          <w:tcPr>
            <w:tcW w:w="1089" w:type="dxa"/>
            <w:tcBorders>
              <w:top w:val="double" w:sz="4" w:space="0" w:color="A5A5A5"/>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&gt;7</w:t>
            </w:r>
          </w:p>
        </w:tc>
        <w:tc>
          <w:tcPr>
            <w:tcW w:w="1319" w:type="dxa"/>
            <w:tcBorders>
              <w:top w:val="double" w:sz="4" w:space="0" w:color="A5A5A5"/>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&gt;6</w:t>
            </w:r>
          </w:p>
        </w:tc>
        <w:tc>
          <w:tcPr>
            <w:tcW w:w="1936" w:type="dxa"/>
            <w:tcBorders>
              <w:top w:val="double" w:sz="4" w:space="0" w:color="A5A5A5"/>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&gt;5</w:t>
            </w:r>
          </w:p>
        </w:tc>
        <w:tc>
          <w:tcPr>
            <w:tcW w:w="1495" w:type="dxa"/>
            <w:tcBorders>
              <w:top w:val="double" w:sz="4" w:space="0" w:color="A5A5A5"/>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&gt;4</w:t>
            </w:r>
          </w:p>
        </w:tc>
        <w:tc>
          <w:tcPr>
            <w:tcW w:w="1412" w:type="dxa"/>
            <w:tcBorders>
              <w:top w:val="double" w:sz="4" w:space="0" w:color="A5A5A5"/>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&lt;3</w:t>
            </w:r>
          </w:p>
        </w:tc>
      </w:tr>
      <w:tr w:rsidR="00CA0AB5" w:rsidRPr="00CA0AB5" w:rsidTr="00CA0AB5">
        <w:trPr>
          <w:trHeight w:val="198"/>
        </w:trPr>
        <w:tc>
          <w:tcPr>
            <w:tcW w:w="1970"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rPr>
                <w:rFonts w:ascii="Times New Roman" w:eastAsia="Calibri" w:hAnsi="Times New Roman" w:cs="Times New Roman"/>
                <w:sz w:val="24"/>
                <w:szCs w:val="24"/>
              </w:rPr>
            </w:pPr>
            <w:r w:rsidRPr="00CA0AB5">
              <w:rPr>
                <w:rFonts w:ascii="Times New Roman" w:eastAsia="Calibri" w:hAnsi="Times New Roman" w:cs="Times New Roman"/>
                <w:sz w:val="24"/>
                <w:szCs w:val="24"/>
              </w:rPr>
              <w:t>NBO</w:t>
            </w:r>
            <w:r w:rsidRPr="00CA0AB5">
              <w:rPr>
                <w:rFonts w:ascii="Times New Roman" w:eastAsia="Calibri" w:hAnsi="Times New Roman" w:cs="Times New Roman"/>
                <w:sz w:val="24"/>
                <w:szCs w:val="24"/>
                <w:vertAlign w:val="subscript"/>
              </w:rPr>
              <w:t>5</w:t>
            </w:r>
          </w:p>
        </w:tc>
        <w:tc>
          <w:tcPr>
            <w:tcW w:w="900"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mg/l</w:t>
            </w:r>
          </w:p>
        </w:tc>
        <w:tc>
          <w:tcPr>
            <w:tcW w:w="1089"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&lt;2</w:t>
            </w:r>
          </w:p>
        </w:tc>
        <w:tc>
          <w:tcPr>
            <w:tcW w:w="1319"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&lt;3.5</w:t>
            </w:r>
          </w:p>
        </w:tc>
        <w:tc>
          <w:tcPr>
            <w:tcW w:w="1936"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&lt;7</w:t>
            </w:r>
          </w:p>
        </w:tc>
        <w:tc>
          <w:tcPr>
            <w:tcW w:w="1495"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&lt;18</w:t>
            </w:r>
          </w:p>
        </w:tc>
        <w:tc>
          <w:tcPr>
            <w:tcW w:w="1412"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&gt;18</w:t>
            </w:r>
          </w:p>
        </w:tc>
      </w:tr>
      <w:tr w:rsidR="00CA0AB5" w:rsidRPr="00CA0AB5" w:rsidTr="00CA0AB5">
        <w:trPr>
          <w:trHeight w:val="198"/>
        </w:trPr>
        <w:tc>
          <w:tcPr>
            <w:tcW w:w="1970"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rPr>
                <w:rFonts w:ascii="Times New Roman" w:eastAsia="Calibri" w:hAnsi="Times New Roman" w:cs="Times New Roman"/>
                <w:sz w:val="24"/>
                <w:szCs w:val="24"/>
              </w:rPr>
            </w:pPr>
            <w:r w:rsidRPr="00CA0AB5">
              <w:rPr>
                <w:rFonts w:ascii="Times New Roman" w:eastAsia="Calibri" w:hAnsi="Times New Roman" w:cs="Times New Roman"/>
                <w:sz w:val="24"/>
                <w:szCs w:val="24"/>
              </w:rPr>
              <w:t>pH (acid)</w:t>
            </w:r>
          </w:p>
        </w:tc>
        <w:tc>
          <w:tcPr>
            <w:tcW w:w="900" w:type="dxa"/>
            <w:tcBorders>
              <w:top w:val="single" w:sz="4" w:space="0" w:color="auto"/>
              <w:left w:val="double" w:sz="4" w:space="0" w:color="A5A5A5"/>
              <w:bottom w:val="single" w:sz="4" w:space="0" w:color="auto"/>
              <w:right w:val="double" w:sz="4" w:space="0" w:color="A5A5A5"/>
            </w:tcBorders>
          </w:tcPr>
          <w:p w:rsidR="00CA0AB5" w:rsidRPr="00CA0AB5" w:rsidRDefault="00CA0AB5" w:rsidP="00CA0AB5">
            <w:pPr>
              <w:spacing w:after="0" w:line="240" w:lineRule="auto"/>
              <w:jc w:val="center"/>
              <w:rPr>
                <w:rFonts w:ascii="Times New Roman" w:eastAsia="Calibri" w:hAnsi="Times New Roman" w:cs="Times New Roman"/>
                <w:sz w:val="24"/>
                <w:szCs w:val="24"/>
              </w:rPr>
            </w:pPr>
          </w:p>
        </w:tc>
        <w:tc>
          <w:tcPr>
            <w:tcW w:w="1089" w:type="dxa"/>
            <w:tcBorders>
              <w:top w:val="single" w:sz="4" w:space="0" w:color="auto"/>
              <w:left w:val="double" w:sz="4" w:space="0" w:color="A5A5A5"/>
              <w:bottom w:val="single" w:sz="4" w:space="0" w:color="auto"/>
              <w:right w:val="double" w:sz="4" w:space="0" w:color="A5A5A5"/>
            </w:tcBorders>
          </w:tcPr>
          <w:p w:rsidR="00CA0AB5" w:rsidRPr="00CA0AB5" w:rsidRDefault="00CA0AB5" w:rsidP="00CA0AB5">
            <w:pPr>
              <w:spacing w:after="0" w:line="240" w:lineRule="auto"/>
              <w:jc w:val="center"/>
              <w:rPr>
                <w:rFonts w:ascii="Times New Roman" w:eastAsia="Calibri" w:hAnsi="Times New Roman" w:cs="Times New Roman"/>
                <w:sz w:val="24"/>
                <w:szCs w:val="24"/>
              </w:rPr>
            </w:pPr>
          </w:p>
        </w:tc>
        <w:tc>
          <w:tcPr>
            <w:tcW w:w="1319"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&gt;6.5</w:t>
            </w:r>
          </w:p>
        </w:tc>
        <w:tc>
          <w:tcPr>
            <w:tcW w:w="1936"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&gt;6</w:t>
            </w:r>
          </w:p>
        </w:tc>
        <w:tc>
          <w:tcPr>
            <w:tcW w:w="1495" w:type="dxa"/>
            <w:tcBorders>
              <w:top w:val="single" w:sz="4" w:space="0" w:color="auto"/>
              <w:left w:val="double" w:sz="4" w:space="0" w:color="A5A5A5"/>
              <w:bottom w:val="single" w:sz="4" w:space="0" w:color="auto"/>
              <w:right w:val="double" w:sz="4" w:space="0" w:color="A5A5A5"/>
            </w:tcBorders>
          </w:tcPr>
          <w:p w:rsidR="00CA0AB5" w:rsidRPr="00CA0AB5" w:rsidRDefault="00CA0AB5" w:rsidP="00CA0AB5">
            <w:pPr>
              <w:spacing w:after="0" w:line="240" w:lineRule="auto"/>
              <w:jc w:val="center"/>
              <w:rPr>
                <w:rFonts w:ascii="Times New Roman" w:eastAsia="Calibri" w:hAnsi="Times New Roman" w:cs="Times New Roman"/>
                <w:sz w:val="24"/>
                <w:szCs w:val="24"/>
              </w:rPr>
            </w:pPr>
          </w:p>
        </w:tc>
        <w:tc>
          <w:tcPr>
            <w:tcW w:w="1412" w:type="dxa"/>
            <w:tcBorders>
              <w:top w:val="single" w:sz="4" w:space="0" w:color="auto"/>
              <w:left w:val="double" w:sz="4" w:space="0" w:color="A5A5A5"/>
              <w:bottom w:val="single" w:sz="4" w:space="0" w:color="auto"/>
              <w:right w:val="double" w:sz="4" w:space="0" w:color="A5A5A5"/>
            </w:tcBorders>
          </w:tcPr>
          <w:p w:rsidR="00CA0AB5" w:rsidRPr="00CA0AB5" w:rsidRDefault="00CA0AB5" w:rsidP="00CA0AB5">
            <w:pPr>
              <w:spacing w:after="0" w:line="240" w:lineRule="auto"/>
              <w:jc w:val="center"/>
              <w:rPr>
                <w:rFonts w:ascii="Times New Roman" w:eastAsia="Calibri" w:hAnsi="Times New Roman" w:cs="Times New Roman"/>
                <w:sz w:val="24"/>
                <w:szCs w:val="24"/>
              </w:rPr>
            </w:pPr>
          </w:p>
        </w:tc>
      </w:tr>
      <w:tr w:rsidR="00CA0AB5" w:rsidRPr="00CA0AB5" w:rsidTr="00CA0AB5">
        <w:trPr>
          <w:trHeight w:val="198"/>
        </w:trPr>
        <w:tc>
          <w:tcPr>
            <w:tcW w:w="1970"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rPr>
                <w:rFonts w:ascii="Times New Roman" w:eastAsia="Calibri" w:hAnsi="Times New Roman" w:cs="Times New Roman"/>
                <w:sz w:val="24"/>
                <w:szCs w:val="24"/>
              </w:rPr>
            </w:pPr>
            <w:r w:rsidRPr="00CA0AB5">
              <w:rPr>
                <w:rFonts w:ascii="Times New Roman" w:eastAsia="Calibri" w:hAnsi="Times New Roman" w:cs="Times New Roman"/>
                <w:sz w:val="24"/>
                <w:szCs w:val="24"/>
              </w:rPr>
              <w:t>pH (alkalin)</w:t>
            </w:r>
          </w:p>
        </w:tc>
        <w:tc>
          <w:tcPr>
            <w:tcW w:w="900" w:type="dxa"/>
            <w:tcBorders>
              <w:top w:val="single" w:sz="4" w:space="0" w:color="auto"/>
              <w:left w:val="double" w:sz="4" w:space="0" w:color="A5A5A5"/>
              <w:bottom w:val="single" w:sz="4" w:space="0" w:color="auto"/>
              <w:right w:val="double" w:sz="4" w:space="0" w:color="A5A5A5"/>
            </w:tcBorders>
          </w:tcPr>
          <w:p w:rsidR="00CA0AB5" w:rsidRPr="00CA0AB5" w:rsidRDefault="00CA0AB5" w:rsidP="00CA0AB5">
            <w:pPr>
              <w:spacing w:after="0" w:line="240" w:lineRule="auto"/>
              <w:jc w:val="center"/>
              <w:rPr>
                <w:rFonts w:ascii="Times New Roman" w:eastAsia="Calibri" w:hAnsi="Times New Roman" w:cs="Times New Roman"/>
                <w:sz w:val="24"/>
                <w:szCs w:val="24"/>
              </w:rPr>
            </w:pPr>
          </w:p>
        </w:tc>
        <w:tc>
          <w:tcPr>
            <w:tcW w:w="1089" w:type="dxa"/>
            <w:tcBorders>
              <w:top w:val="single" w:sz="4" w:space="0" w:color="auto"/>
              <w:left w:val="double" w:sz="4" w:space="0" w:color="A5A5A5"/>
              <w:bottom w:val="single" w:sz="4" w:space="0" w:color="auto"/>
              <w:right w:val="double" w:sz="4" w:space="0" w:color="A5A5A5"/>
            </w:tcBorders>
          </w:tcPr>
          <w:p w:rsidR="00CA0AB5" w:rsidRPr="00CA0AB5" w:rsidRDefault="00CA0AB5" w:rsidP="00CA0AB5">
            <w:pPr>
              <w:spacing w:after="0" w:line="240" w:lineRule="auto"/>
              <w:jc w:val="center"/>
              <w:rPr>
                <w:rFonts w:ascii="Times New Roman" w:eastAsia="Calibri" w:hAnsi="Times New Roman" w:cs="Times New Roman"/>
                <w:sz w:val="24"/>
                <w:szCs w:val="24"/>
              </w:rPr>
            </w:pPr>
          </w:p>
        </w:tc>
        <w:tc>
          <w:tcPr>
            <w:tcW w:w="1319"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&lt;8.5</w:t>
            </w:r>
          </w:p>
        </w:tc>
        <w:tc>
          <w:tcPr>
            <w:tcW w:w="1936"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&lt;9</w:t>
            </w:r>
          </w:p>
        </w:tc>
        <w:tc>
          <w:tcPr>
            <w:tcW w:w="1495" w:type="dxa"/>
            <w:tcBorders>
              <w:top w:val="single" w:sz="4" w:space="0" w:color="auto"/>
              <w:left w:val="double" w:sz="4" w:space="0" w:color="A5A5A5"/>
              <w:bottom w:val="single" w:sz="4" w:space="0" w:color="auto"/>
              <w:right w:val="double" w:sz="4" w:space="0" w:color="A5A5A5"/>
            </w:tcBorders>
          </w:tcPr>
          <w:p w:rsidR="00CA0AB5" w:rsidRPr="00CA0AB5" w:rsidRDefault="00CA0AB5" w:rsidP="00CA0AB5">
            <w:pPr>
              <w:spacing w:after="0" w:line="240" w:lineRule="auto"/>
              <w:jc w:val="center"/>
              <w:rPr>
                <w:rFonts w:ascii="Times New Roman" w:eastAsia="Calibri" w:hAnsi="Times New Roman" w:cs="Times New Roman"/>
                <w:sz w:val="24"/>
                <w:szCs w:val="24"/>
              </w:rPr>
            </w:pPr>
          </w:p>
        </w:tc>
        <w:tc>
          <w:tcPr>
            <w:tcW w:w="1412" w:type="dxa"/>
            <w:tcBorders>
              <w:top w:val="single" w:sz="4" w:space="0" w:color="auto"/>
              <w:left w:val="double" w:sz="4" w:space="0" w:color="A5A5A5"/>
              <w:bottom w:val="single" w:sz="4" w:space="0" w:color="auto"/>
              <w:right w:val="double" w:sz="4" w:space="0" w:color="A5A5A5"/>
            </w:tcBorders>
          </w:tcPr>
          <w:p w:rsidR="00CA0AB5" w:rsidRPr="00CA0AB5" w:rsidRDefault="00CA0AB5" w:rsidP="00CA0AB5">
            <w:pPr>
              <w:spacing w:after="0" w:line="240" w:lineRule="auto"/>
              <w:jc w:val="center"/>
              <w:rPr>
                <w:rFonts w:ascii="Times New Roman" w:eastAsia="Calibri" w:hAnsi="Times New Roman" w:cs="Times New Roman"/>
                <w:sz w:val="24"/>
                <w:szCs w:val="24"/>
              </w:rPr>
            </w:pPr>
          </w:p>
        </w:tc>
      </w:tr>
      <w:tr w:rsidR="00CA0AB5" w:rsidRPr="00CA0AB5" w:rsidTr="00CA0AB5">
        <w:trPr>
          <w:trHeight w:val="198"/>
        </w:trPr>
        <w:tc>
          <w:tcPr>
            <w:tcW w:w="1970" w:type="dxa"/>
            <w:tcBorders>
              <w:top w:val="single" w:sz="4" w:space="0" w:color="auto"/>
              <w:left w:val="double" w:sz="4" w:space="0" w:color="A5A5A5"/>
              <w:bottom w:val="single" w:sz="12" w:space="0" w:color="A5A5A5"/>
              <w:right w:val="double" w:sz="4" w:space="0" w:color="A5A5A5"/>
            </w:tcBorders>
            <w:hideMark/>
          </w:tcPr>
          <w:p w:rsidR="00CA0AB5" w:rsidRPr="00CA0AB5" w:rsidRDefault="00CA0AB5" w:rsidP="00CA0AB5">
            <w:pPr>
              <w:spacing w:after="0" w:line="240" w:lineRule="auto"/>
              <w:rPr>
                <w:rFonts w:ascii="Times New Roman" w:eastAsia="Calibri" w:hAnsi="Times New Roman" w:cs="Times New Roman"/>
                <w:sz w:val="24"/>
                <w:szCs w:val="24"/>
              </w:rPr>
            </w:pPr>
            <w:r w:rsidRPr="00CA0AB5">
              <w:rPr>
                <w:rFonts w:ascii="Times New Roman" w:eastAsia="Calibri" w:hAnsi="Times New Roman" w:cs="Times New Roman"/>
                <w:sz w:val="24"/>
                <w:szCs w:val="24"/>
              </w:rPr>
              <w:t>NH</w:t>
            </w:r>
            <w:r w:rsidRPr="00CA0AB5">
              <w:rPr>
                <w:rFonts w:ascii="Times New Roman" w:eastAsia="Calibri" w:hAnsi="Times New Roman" w:cs="Times New Roman"/>
                <w:sz w:val="24"/>
                <w:szCs w:val="24"/>
                <w:vertAlign w:val="subscript"/>
              </w:rPr>
              <w:t>4</w:t>
            </w:r>
          </w:p>
        </w:tc>
        <w:tc>
          <w:tcPr>
            <w:tcW w:w="900"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mgN/l</w:t>
            </w:r>
          </w:p>
        </w:tc>
        <w:tc>
          <w:tcPr>
            <w:tcW w:w="1089"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&lt;0.05</w:t>
            </w:r>
          </w:p>
        </w:tc>
        <w:tc>
          <w:tcPr>
            <w:tcW w:w="1319"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&lt;0.3</w:t>
            </w:r>
          </w:p>
        </w:tc>
        <w:tc>
          <w:tcPr>
            <w:tcW w:w="1936"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&lt;0.6</w:t>
            </w:r>
          </w:p>
        </w:tc>
        <w:tc>
          <w:tcPr>
            <w:tcW w:w="1495"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&lt;1.5</w:t>
            </w:r>
          </w:p>
        </w:tc>
        <w:tc>
          <w:tcPr>
            <w:tcW w:w="1412"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&gt;1.5</w:t>
            </w:r>
          </w:p>
        </w:tc>
      </w:tr>
      <w:tr w:rsidR="00CA0AB5" w:rsidRPr="00CA0AB5" w:rsidTr="00CA0AB5">
        <w:trPr>
          <w:trHeight w:val="209"/>
        </w:trPr>
        <w:tc>
          <w:tcPr>
            <w:tcW w:w="1970" w:type="dxa"/>
            <w:tcBorders>
              <w:top w:val="single" w:sz="12" w:space="0" w:color="A5A5A5"/>
              <w:left w:val="double" w:sz="4" w:space="0" w:color="A5A5A5"/>
              <w:bottom w:val="single" w:sz="4" w:space="0" w:color="auto"/>
              <w:right w:val="double" w:sz="4" w:space="0" w:color="A5A5A5"/>
            </w:tcBorders>
            <w:hideMark/>
          </w:tcPr>
          <w:p w:rsidR="00CA0AB5" w:rsidRPr="00CA0AB5" w:rsidRDefault="00CA0AB5" w:rsidP="00CA0AB5">
            <w:pPr>
              <w:spacing w:after="0" w:line="240" w:lineRule="auto"/>
              <w:rPr>
                <w:rFonts w:ascii="Times New Roman" w:eastAsia="Calibri" w:hAnsi="Times New Roman" w:cs="Times New Roman"/>
                <w:sz w:val="24"/>
                <w:szCs w:val="24"/>
              </w:rPr>
            </w:pPr>
            <w:r w:rsidRPr="00CA0AB5">
              <w:rPr>
                <w:rFonts w:ascii="Times New Roman" w:eastAsia="Calibri" w:hAnsi="Times New Roman" w:cs="Times New Roman"/>
                <w:sz w:val="24"/>
                <w:szCs w:val="24"/>
              </w:rPr>
              <w:t>NO</w:t>
            </w:r>
            <w:r w:rsidRPr="00CA0AB5">
              <w:rPr>
                <w:rFonts w:ascii="Times New Roman" w:eastAsia="Calibri" w:hAnsi="Times New Roman" w:cs="Times New Roman"/>
                <w:sz w:val="24"/>
                <w:szCs w:val="24"/>
                <w:vertAlign w:val="subscript"/>
              </w:rPr>
              <w:t>2</w:t>
            </w:r>
          </w:p>
        </w:tc>
        <w:tc>
          <w:tcPr>
            <w:tcW w:w="900"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mgN/l</w:t>
            </w:r>
          </w:p>
        </w:tc>
        <w:tc>
          <w:tcPr>
            <w:tcW w:w="1089"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&lt;0.01</w:t>
            </w:r>
          </w:p>
        </w:tc>
        <w:tc>
          <w:tcPr>
            <w:tcW w:w="1319"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&lt;0.06</w:t>
            </w:r>
          </w:p>
        </w:tc>
        <w:tc>
          <w:tcPr>
            <w:tcW w:w="1936"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&lt;0.12</w:t>
            </w:r>
          </w:p>
        </w:tc>
        <w:tc>
          <w:tcPr>
            <w:tcW w:w="1495"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&lt;0.3</w:t>
            </w:r>
          </w:p>
        </w:tc>
        <w:tc>
          <w:tcPr>
            <w:tcW w:w="1412"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&gt;0.3</w:t>
            </w:r>
          </w:p>
        </w:tc>
      </w:tr>
      <w:tr w:rsidR="00CA0AB5" w:rsidRPr="00CA0AB5" w:rsidTr="00CA0AB5">
        <w:trPr>
          <w:trHeight w:val="198"/>
        </w:trPr>
        <w:tc>
          <w:tcPr>
            <w:tcW w:w="1970"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rPr>
                <w:rFonts w:ascii="Times New Roman" w:eastAsia="Calibri" w:hAnsi="Times New Roman" w:cs="Times New Roman"/>
                <w:sz w:val="24"/>
                <w:szCs w:val="24"/>
              </w:rPr>
            </w:pPr>
            <w:r w:rsidRPr="00CA0AB5">
              <w:rPr>
                <w:rFonts w:ascii="Times New Roman" w:eastAsia="Calibri" w:hAnsi="Times New Roman" w:cs="Times New Roman"/>
                <w:sz w:val="24"/>
                <w:szCs w:val="24"/>
              </w:rPr>
              <w:t>NO</w:t>
            </w:r>
            <w:r w:rsidRPr="00CA0AB5">
              <w:rPr>
                <w:rFonts w:ascii="Times New Roman" w:eastAsia="Calibri" w:hAnsi="Times New Roman" w:cs="Times New Roman"/>
                <w:sz w:val="24"/>
                <w:szCs w:val="24"/>
                <w:vertAlign w:val="subscript"/>
              </w:rPr>
              <w:t>3</w:t>
            </w:r>
          </w:p>
        </w:tc>
        <w:tc>
          <w:tcPr>
            <w:tcW w:w="900"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mgN/l</w:t>
            </w:r>
          </w:p>
        </w:tc>
        <w:tc>
          <w:tcPr>
            <w:tcW w:w="1089"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&lt;0.8</w:t>
            </w:r>
          </w:p>
        </w:tc>
        <w:tc>
          <w:tcPr>
            <w:tcW w:w="1319"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&lt;2</w:t>
            </w:r>
          </w:p>
        </w:tc>
        <w:tc>
          <w:tcPr>
            <w:tcW w:w="1936"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&lt;4</w:t>
            </w:r>
          </w:p>
        </w:tc>
        <w:tc>
          <w:tcPr>
            <w:tcW w:w="1495"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&lt;10</w:t>
            </w:r>
          </w:p>
        </w:tc>
        <w:tc>
          <w:tcPr>
            <w:tcW w:w="1412"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&gt;10</w:t>
            </w:r>
          </w:p>
        </w:tc>
      </w:tr>
      <w:tr w:rsidR="00CA0AB5" w:rsidRPr="00CA0AB5" w:rsidTr="00CA0AB5">
        <w:trPr>
          <w:trHeight w:val="198"/>
        </w:trPr>
        <w:tc>
          <w:tcPr>
            <w:tcW w:w="1970"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rPr>
                <w:rFonts w:ascii="Times New Roman" w:eastAsia="Calibri" w:hAnsi="Times New Roman" w:cs="Times New Roman"/>
                <w:sz w:val="24"/>
                <w:szCs w:val="24"/>
              </w:rPr>
            </w:pPr>
            <w:r w:rsidRPr="00CA0AB5">
              <w:rPr>
                <w:rFonts w:ascii="Times New Roman" w:eastAsia="Calibri" w:hAnsi="Times New Roman" w:cs="Times New Roman"/>
                <w:sz w:val="24"/>
                <w:szCs w:val="24"/>
              </w:rPr>
              <w:t>PO</w:t>
            </w:r>
            <w:r w:rsidRPr="00CA0AB5">
              <w:rPr>
                <w:rFonts w:ascii="Times New Roman" w:eastAsia="Calibri" w:hAnsi="Times New Roman" w:cs="Times New Roman"/>
                <w:sz w:val="24"/>
                <w:szCs w:val="24"/>
                <w:vertAlign w:val="subscript"/>
              </w:rPr>
              <w:t>4</w:t>
            </w:r>
          </w:p>
        </w:tc>
        <w:tc>
          <w:tcPr>
            <w:tcW w:w="900"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mgP/l</w:t>
            </w:r>
          </w:p>
        </w:tc>
        <w:tc>
          <w:tcPr>
            <w:tcW w:w="1089"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&lt;0.05</w:t>
            </w:r>
          </w:p>
        </w:tc>
        <w:tc>
          <w:tcPr>
            <w:tcW w:w="1319"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&lt;0.10</w:t>
            </w:r>
          </w:p>
        </w:tc>
        <w:tc>
          <w:tcPr>
            <w:tcW w:w="1936"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&lt;0.2</w:t>
            </w:r>
          </w:p>
        </w:tc>
        <w:tc>
          <w:tcPr>
            <w:tcW w:w="1495"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0.5</w:t>
            </w:r>
          </w:p>
        </w:tc>
        <w:tc>
          <w:tcPr>
            <w:tcW w:w="1412" w:type="dxa"/>
            <w:tcBorders>
              <w:top w:val="single" w:sz="4" w:space="0" w:color="auto"/>
              <w:left w:val="double" w:sz="4" w:space="0" w:color="A5A5A5"/>
              <w:bottom w:val="single" w:sz="4" w:space="0" w:color="auto"/>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&gt;0.5</w:t>
            </w:r>
          </w:p>
        </w:tc>
      </w:tr>
      <w:tr w:rsidR="00CA0AB5" w:rsidRPr="00CA0AB5" w:rsidTr="00CA0AB5">
        <w:trPr>
          <w:trHeight w:val="137"/>
        </w:trPr>
        <w:tc>
          <w:tcPr>
            <w:tcW w:w="1970" w:type="dxa"/>
            <w:tcBorders>
              <w:top w:val="single" w:sz="4" w:space="0" w:color="auto"/>
              <w:left w:val="double" w:sz="4" w:space="0" w:color="A5A5A5"/>
              <w:bottom w:val="double" w:sz="4" w:space="0" w:color="A5A5A5"/>
              <w:right w:val="double" w:sz="4" w:space="0" w:color="A5A5A5"/>
            </w:tcBorders>
            <w:hideMark/>
          </w:tcPr>
          <w:p w:rsidR="00CA0AB5" w:rsidRPr="00CA0AB5" w:rsidRDefault="00CA0AB5" w:rsidP="00CA0AB5">
            <w:pPr>
              <w:spacing w:after="0" w:line="240" w:lineRule="auto"/>
              <w:rPr>
                <w:rFonts w:ascii="Times New Roman" w:eastAsia="Calibri" w:hAnsi="Times New Roman" w:cs="Times New Roman"/>
                <w:sz w:val="24"/>
                <w:szCs w:val="24"/>
              </w:rPr>
            </w:pPr>
            <w:r w:rsidRPr="00CA0AB5">
              <w:rPr>
                <w:rFonts w:ascii="Times New Roman" w:eastAsia="Calibri" w:hAnsi="Times New Roman" w:cs="Times New Roman"/>
                <w:sz w:val="24"/>
                <w:szCs w:val="24"/>
              </w:rPr>
              <w:t>P-total</w:t>
            </w:r>
          </w:p>
        </w:tc>
        <w:tc>
          <w:tcPr>
            <w:tcW w:w="900" w:type="dxa"/>
            <w:tcBorders>
              <w:top w:val="single" w:sz="4" w:space="0" w:color="auto"/>
              <w:left w:val="double" w:sz="4" w:space="0" w:color="A5A5A5"/>
              <w:bottom w:val="double" w:sz="4" w:space="0" w:color="A5A5A5"/>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mgP/l</w:t>
            </w:r>
          </w:p>
        </w:tc>
        <w:tc>
          <w:tcPr>
            <w:tcW w:w="1089" w:type="dxa"/>
            <w:tcBorders>
              <w:top w:val="single" w:sz="4" w:space="0" w:color="auto"/>
              <w:left w:val="double" w:sz="4" w:space="0" w:color="A5A5A5"/>
              <w:bottom w:val="double" w:sz="4" w:space="0" w:color="A5A5A5"/>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&lt;0.1</w:t>
            </w:r>
          </w:p>
        </w:tc>
        <w:tc>
          <w:tcPr>
            <w:tcW w:w="1319" w:type="dxa"/>
            <w:tcBorders>
              <w:top w:val="single" w:sz="4" w:space="0" w:color="auto"/>
              <w:left w:val="double" w:sz="4" w:space="0" w:color="A5A5A5"/>
              <w:bottom w:val="double" w:sz="4" w:space="0" w:color="A5A5A5"/>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&lt;0.20</w:t>
            </w:r>
          </w:p>
        </w:tc>
        <w:tc>
          <w:tcPr>
            <w:tcW w:w="1936" w:type="dxa"/>
            <w:tcBorders>
              <w:top w:val="single" w:sz="4" w:space="0" w:color="auto"/>
              <w:left w:val="double" w:sz="4" w:space="0" w:color="A5A5A5"/>
              <w:bottom w:val="double" w:sz="4" w:space="0" w:color="A5A5A5"/>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&lt;0.4</w:t>
            </w:r>
          </w:p>
        </w:tc>
        <w:tc>
          <w:tcPr>
            <w:tcW w:w="1495" w:type="dxa"/>
            <w:tcBorders>
              <w:top w:val="single" w:sz="4" w:space="0" w:color="auto"/>
              <w:left w:val="double" w:sz="4" w:space="0" w:color="A5A5A5"/>
              <w:bottom w:val="double" w:sz="4" w:space="0" w:color="A5A5A5"/>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&lt;1</w:t>
            </w:r>
          </w:p>
        </w:tc>
        <w:tc>
          <w:tcPr>
            <w:tcW w:w="1412" w:type="dxa"/>
            <w:tcBorders>
              <w:top w:val="single" w:sz="4" w:space="0" w:color="auto"/>
              <w:left w:val="double" w:sz="4" w:space="0" w:color="A5A5A5"/>
              <w:bottom w:val="double" w:sz="4" w:space="0" w:color="A5A5A5"/>
              <w:right w:val="double" w:sz="4" w:space="0" w:color="A5A5A5"/>
            </w:tcBorders>
            <w:hideMark/>
          </w:tcPr>
          <w:p w:rsidR="00CA0AB5" w:rsidRPr="00CA0AB5" w:rsidRDefault="00CA0AB5" w:rsidP="00CA0AB5">
            <w:pPr>
              <w:spacing w:after="0" w:line="240" w:lineRule="auto"/>
              <w:jc w:val="center"/>
              <w:rPr>
                <w:rFonts w:ascii="Times New Roman" w:eastAsia="Calibri" w:hAnsi="Times New Roman" w:cs="Times New Roman"/>
                <w:sz w:val="24"/>
                <w:szCs w:val="24"/>
              </w:rPr>
            </w:pPr>
            <w:r w:rsidRPr="00CA0AB5">
              <w:rPr>
                <w:rFonts w:ascii="Times New Roman" w:eastAsia="Calibri" w:hAnsi="Times New Roman" w:cs="Times New Roman"/>
                <w:sz w:val="24"/>
                <w:szCs w:val="24"/>
              </w:rPr>
              <w:t>&gt;1</w:t>
            </w:r>
          </w:p>
        </w:tc>
      </w:tr>
    </w:tbl>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D460A">
      <w:pPr>
        <w:numPr>
          <w:ilvl w:val="0"/>
          <w:numId w:val="22"/>
        </w:numPr>
        <w:spacing w:after="0" w:line="240" w:lineRule="auto"/>
        <w:contextualSpacing/>
        <w:jc w:val="both"/>
        <w:rPr>
          <w:rFonts w:ascii="Times New Roman" w:eastAsia="Calibri" w:hAnsi="Times New Roman" w:cs="Times New Roman"/>
          <w:b/>
          <w:sz w:val="24"/>
          <w:szCs w:val="24"/>
          <w:lang w:val="sq-AL"/>
        </w:rPr>
      </w:pPr>
      <w:r w:rsidRPr="0047684C">
        <w:rPr>
          <w:rFonts w:ascii="Times New Roman" w:eastAsia="Calibri" w:hAnsi="Times New Roman" w:cs="Times New Roman"/>
          <w:b/>
          <w:sz w:val="24"/>
          <w:szCs w:val="24"/>
          <w:lang w:val="sq-AL"/>
        </w:rPr>
        <w:t xml:space="preserve">Baseni </w:t>
      </w:r>
      <w:r w:rsidR="00F04AA2">
        <w:rPr>
          <w:rFonts w:ascii="Times New Roman" w:eastAsia="Calibri" w:hAnsi="Times New Roman" w:cs="Times New Roman"/>
          <w:b/>
          <w:sz w:val="24"/>
          <w:szCs w:val="24"/>
          <w:lang w:val="sq-AL"/>
        </w:rPr>
        <w:t xml:space="preserve">lumor </w:t>
      </w:r>
      <w:r w:rsidRPr="0047684C">
        <w:rPr>
          <w:rFonts w:ascii="Times New Roman" w:eastAsia="Calibri" w:hAnsi="Times New Roman" w:cs="Times New Roman"/>
          <w:b/>
          <w:sz w:val="24"/>
          <w:szCs w:val="24"/>
          <w:lang w:val="sq-AL"/>
        </w:rPr>
        <w:t xml:space="preserve">i Drinit </w:t>
      </w:r>
    </w:p>
    <w:p w:rsidR="0047684C" w:rsidRPr="0047684C" w:rsidRDefault="0047684C" w:rsidP="0047684C">
      <w:pPr>
        <w:spacing w:after="0" w:line="240" w:lineRule="auto"/>
        <w:jc w:val="both"/>
        <w:rPr>
          <w:rFonts w:ascii="Times New Roman" w:eastAsia="Calibri" w:hAnsi="Times New Roman" w:cs="Times New Roman"/>
          <w:b/>
          <w:sz w:val="24"/>
          <w:szCs w:val="24"/>
          <w:lang w:val="sq-AL"/>
        </w:rPr>
      </w:pPr>
    </w:p>
    <w:p w:rsid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b/>
          <w:bCs/>
          <w:color w:val="222222"/>
          <w:sz w:val="24"/>
          <w:szCs w:val="24"/>
          <w:shd w:val="clear" w:color="auto" w:fill="FFFFFF"/>
        </w:rPr>
        <w:t>Drini</w:t>
      </w:r>
      <w:r w:rsidRPr="0047684C">
        <w:rPr>
          <w:rFonts w:ascii="Times New Roman" w:eastAsia="Calibri" w:hAnsi="Times New Roman" w:cs="Times New Roman"/>
          <w:color w:val="222222"/>
          <w:sz w:val="24"/>
          <w:szCs w:val="24"/>
          <w:shd w:val="clear" w:color="auto" w:fill="FFFFFF"/>
        </w:rPr>
        <w:t> është lumi më i gjatë i trojeve shqiptare me nj</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color w:val="222222"/>
          <w:sz w:val="24"/>
          <w:szCs w:val="24"/>
          <w:shd w:val="clear" w:color="auto" w:fill="FFFFFF"/>
        </w:rPr>
        <w:t xml:space="preserve"> gjat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color w:val="222222"/>
          <w:sz w:val="24"/>
          <w:szCs w:val="24"/>
          <w:shd w:val="clear" w:color="auto" w:fill="FFFFFF"/>
        </w:rPr>
        <w:t>si 335 km, i cili derdhet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color w:val="222222"/>
          <w:sz w:val="24"/>
          <w:szCs w:val="24"/>
          <w:shd w:val="clear" w:color="auto" w:fill="FFFFFF"/>
        </w:rPr>
        <w:t xml:space="preserve"> Detin Adriatik af</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color w:val="222222"/>
          <w:sz w:val="24"/>
          <w:szCs w:val="24"/>
          <w:shd w:val="clear" w:color="auto" w:fill="FFFFFF"/>
        </w:rPr>
        <w:t>r qytetit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color w:val="222222"/>
          <w:sz w:val="24"/>
          <w:szCs w:val="24"/>
          <w:shd w:val="clear" w:color="auto" w:fill="FFFFFF"/>
        </w:rPr>
        <w:t xml:space="preserve"> Lezh</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color w:val="222222"/>
          <w:sz w:val="24"/>
          <w:szCs w:val="24"/>
          <w:shd w:val="clear" w:color="auto" w:fill="FFFFFF"/>
        </w:rPr>
        <w:t>s dhe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color w:val="222222"/>
          <w:sz w:val="24"/>
          <w:szCs w:val="24"/>
          <w:shd w:val="clear" w:color="auto" w:fill="FFFFFF"/>
        </w:rPr>
        <w:t xml:space="preserve"> lumin e Bun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color w:val="222222"/>
          <w:sz w:val="24"/>
          <w:szCs w:val="24"/>
          <w:shd w:val="clear" w:color="auto" w:fill="FFFFFF"/>
        </w:rPr>
        <w:t>s, degë q</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color w:val="222222"/>
          <w:sz w:val="24"/>
          <w:szCs w:val="24"/>
          <w:shd w:val="clear" w:color="auto" w:fill="FFFFFF"/>
        </w:rPr>
        <w:t xml:space="preserve"> u formua pas një përmbytjeje në shekullin e 19.</w:t>
      </w:r>
      <w:r w:rsidR="00A80BCC">
        <w:rPr>
          <w:rFonts w:ascii="Times New Roman" w:eastAsia="Calibri" w:hAnsi="Times New Roman" w:cs="Times New Roman"/>
          <w:color w:val="222222"/>
          <w:sz w:val="24"/>
          <w:szCs w:val="24"/>
          <w:shd w:val="clear" w:color="auto" w:fill="FFFFFF"/>
        </w:rPr>
        <w:t xml:space="preserve"> </w:t>
      </w:r>
      <w:r w:rsidRPr="0047684C">
        <w:rPr>
          <w:rFonts w:ascii="Times New Roman" w:eastAsia="Calibri" w:hAnsi="Times New Roman" w:cs="Times New Roman"/>
          <w:sz w:val="24"/>
          <w:szCs w:val="24"/>
          <w:lang w:val="sq-AL"/>
        </w:rPr>
        <w:t>Ky basen monitorohet në 7 stacione kampionimi që nga stacioni i referencës, burimi i tij deri para derdhjes në det.</w:t>
      </w:r>
      <w:r w:rsidR="000505FE">
        <w:rPr>
          <w:rFonts w:ascii="Times New Roman" w:eastAsia="Calibri" w:hAnsi="Times New Roman" w:cs="Times New Roman"/>
          <w:sz w:val="24"/>
          <w:szCs w:val="24"/>
          <w:lang w:val="sq-AL"/>
        </w:rPr>
        <w:t xml:space="preserve"> </w:t>
      </w:r>
    </w:p>
    <w:p w:rsidR="000505FE" w:rsidRDefault="000505FE" w:rsidP="0047684C">
      <w:pPr>
        <w:spacing w:after="0" w:line="240" w:lineRule="auto"/>
        <w:jc w:val="both"/>
        <w:rPr>
          <w:rFonts w:ascii="Times New Roman" w:eastAsia="Calibri" w:hAnsi="Times New Roman" w:cs="Times New Roman"/>
          <w:b/>
          <w:sz w:val="24"/>
          <w:szCs w:val="24"/>
          <w:lang w:val="sq-AL"/>
        </w:rPr>
      </w:pPr>
    </w:p>
    <w:p w:rsidR="000505FE" w:rsidRPr="000505FE" w:rsidRDefault="000505FE" w:rsidP="0047684C">
      <w:pPr>
        <w:spacing w:after="0" w:line="240" w:lineRule="auto"/>
        <w:jc w:val="both"/>
        <w:rPr>
          <w:rFonts w:ascii="Times New Roman" w:eastAsia="Calibri" w:hAnsi="Times New Roman" w:cs="Times New Roman"/>
          <w:sz w:val="24"/>
          <w:szCs w:val="24"/>
          <w:lang w:val="sq-AL"/>
        </w:rPr>
      </w:pPr>
      <w:r w:rsidRPr="000505FE">
        <w:rPr>
          <w:rFonts w:ascii="Times New Roman" w:eastAsia="Calibri" w:hAnsi="Times New Roman" w:cs="Times New Roman"/>
          <w:sz w:val="24"/>
          <w:szCs w:val="24"/>
          <w:lang w:val="sq-AL"/>
        </w:rPr>
        <w:t>Tabela 17. Stacionet e kampionimit për basenin Drin</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tbl>
      <w:tblPr>
        <w:tblStyle w:val="TableGrid"/>
        <w:tblW w:w="0" w:type="auto"/>
        <w:tblLook w:val="04A0" w:firstRow="1" w:lastRow="0" w:firstColumn="1" w:lastColumn="0" w:noHBand="0" w:noVBand="1"/>
      </w:tblPr>
      <w:tblGrid>
        <w:gridCol w:w="601"/>
        <w:gridCol w:w="1623"/>
        <w:gridCol w:w="2081"/>
        <w:gridCol w:w="2736"/>
        <w:gridCol w:w="2535"/>
      </w:tblGrid>
      <w:tr w:rsidR="0047684C" w:rsidRPr="0047684C" w:rsidTr="0047684C">
        <w:tc>
          <w:tcPr>
            <w:tcW w:w="601" w:type="dxa"/>
          </w:tcPr>
          <w:p w:rsidR="0047684C" w:rsidRPr="0047684C" w:rsidRDefault="0047684C" w:rsidP="0047684C">
            <w:pPr>
              <w:jc w:val="both"/>
              <w:rPr>
                <w:rFonts w:ascii="Times New Roman" w:eastAsia="Calibri" w:hAnsi="Times New Roman" w:cs="Times New Roman"/>
                <w:b/>
                <w:lang w:val="sq-AL"/>
              </w:rPr>
            </w:pPr>
            <w:bookmarkStart w:id="4" w:name="_Hlk94709601"/>
            <w:r w:rsidRPr="0047684C">
              <w:rPr>
                <w:rFonts w:ascii="Times New Roman" w:eastAsia="Calibri" w:hAnsi="Times New Roman" w:cs="Times New Roman"/>
                <w:b/>
                <w:lang w:val="sq-AL"/>
              </w:rPr>
              <w:t>Nr.</w:t>
            </w:r>
          </w:p>
        </w:tc>
        <w:tc>
          <w:tcPr>
            <w:tcW w:w="1623"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Kodi i kampionit</w:t>
            </w:r>
          </w:p>
        </w:tc>
        <w:tc>
          <w:tcPr>
            <w:tcW w:w="2081"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Emërtimi i Lumit</w:t>
            </w:r>
          </w:p>
        </w:tc>
        <w:tc>
          <w:tcPr>
            <w:tcW w:w="2736"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Vendndodhja</w:t>
            </w:r>
          </w:p>
        </w:tc>
        <w:tc>
          <w:tcPr>
            <w:tcW w:w="2535"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Koordinatat gjeografike</w:t>
            </w:r>
          </w:p>
        </w:tc>
      </w:tr>
      <w:tr w:rsidR="0047684C" w:rsidRPr="0047684C" w:rsidTr="0047684C">
        <w:trPr>
          <w:trHeight w:val="323"/>
        </w:trPr>
        <w:tc>
          <w:tcPr>
            <w:tcW w:w="601"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1.</w:t>
            </w:r>
          </w:p>
        </w:tc>
        <w:tc>
          <w:tcPr>
            <w:tcW w:w="1623"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D1</w:t>
            </w:r>
          </w:p>
        </w:tc>
        <w:tc>
          <w:tcPr>
            <w:tcW w:w="2081"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Drini i Zi</w:t>
            </w:r>
          </w:p>
        </w:tc>
        <w:tc>
          <w:tcPr>
            <w:tcW w:w="2736"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Topojan – Ura Burrel Peshkopi</w:t>
            </w:r>
          </w:p>
        </w:tc>
        <w:tc>
          <w:tcPr>
            <w:tcW w:w="2535" w:type="dxa"/>
          </w:tcPr>
          <w:p w:rsidR="0047684C" w:rsidRPr="0047684C" w:rsidRDefault="0047684C" w:rsidP="0047684C">
            <w:pPr>
              <w:rPr>
                <w:rFonts w:ascii="Times New Roman" w:eastAsia="Calibri" w:hAnsi="Times New Roman" w:cs="Times New Roman"/>
                <w:lang w:val="sq-AL"/>
              </w:rPr>
            </w:pPr>
            <w:r w:rsidRPr="0047684C">
              <w:rPr>
                <w:rFonts w:ascii="Times New Roman" w:eastAsia="Calibri" w:hAnsi="Times New Roman" w:cs="Times New Roman"/>
                <w:lang w:val="sq-AL"/>
              </w:rPr>
              <w:t>N 41.580626</w:t>
            </w:r>
          </w:p>
          <w:p w:rsidR="0047684C" w:rsidRPr="0047684C" w:rsidRDefault="0047684C" w:rsidP="0047684C">
            <w:pPr>
              <w:rPr>
                <w:rFonts w:ascii="Times New Roman" w:eastAsia="Calibri" w:hAnsi="Times New Roman" w:cs="Times New Roman"/>
                <w:lang w:val="sq-AL"/>
              </w:rPr>
            </w:pPr>
            <w:r w:rsidRPr="0047684C">
              <w:rPr>
                <w:rFonts w:ascii="Times New Roman" w:eastAsia="Calibri" w:hAnsi="Times New Roman" w:cs="Times New Roman"/>
                <w:lang w:val="sq-AL"/>
              </w:rPr>
              <w:t>E 20.434238</w:t>
            </w:r>
          </w:p>
        </w:tc>
      </w:tr>
      <w:tr w:rsidR="0047684C" w:rsidRPr="0047684C" w:rsidTr="0047684C">
        <w:tc>
          <w:tcPr>
            <w:tcW w:w="601"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2.</w:t>
            </w:r>
          </w:p>
        </w:tc>
        <w:tc>
          <w:tcPr>
            <w:tcW w:w="1623"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D2</w:t>
            </w:r>
          </w:p>
        </w:tc>
        <w:tc>
          <w:tcPr>
            <w:tcW w:w="2081"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Drini</w:t>
            </w:r>
          </w:p>
        </w:tc>
        <w:tc>
          <w:tcPr>
            <w:tcW w:w="2736"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Bahçallek– Ura Bahçallek</w:t>
            </w:r>
          </w:p>
        </w:tc>
        <w:tc>
          <w:tcPr>
            <w:tcW w:w="253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42.041771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19.490806</w:t>
            </w:r>
          </w:p>
        </w:tc>
      </w:tr>
      <w:tr w:rsidR="0047684C" w:rsidRPr="0047684C" w:rsidTr="0047684C">
        <w:tc>
          <w:tcPr>
            <w:tcW w:w="601"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3.</w:t>
            </w:r>
          </w:p>
        </w:tc>
        <w:tc>
          <w:tcPr>
            <w:tcW w:w="1623"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D3</w:t>
            </w:r>
          </w:p>
        </w:tc>
        <w:tc>
          <w:tcPr>
            <w:tcW w:w="2081"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Drini i Bardhë</w:t>
            </w:r>
          </w:p>
        </w:tc>
        <w:tc>
          <w:tcPr>
            <w:tcW w:w="2736"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Luma - Kukës</w:t>
            </w:r>
          </w:p>
        </w:tc>
        <w:tc>
          <w:tcPr>
            <w:tcW w:w="253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42.040408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20.274955</w:t>
            </w:r>
          </w:p>
        </w:tc>
      </w:tr>
      <w:tr w:rsidR="0047684C" w:rsidRPr="0047684C" w:rsidTr="0047684C">
        <w:tc>
          <w:tcPr>
            <w:tcW w:w="601"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4.</w:t>
            </w:r>
          </w:p>
        </w:tc>
        <w:tc>
          <w:tcPr>
            <w:tcW w:w="1623"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Bu1</w:t>
            </w:r>
          </w:p>
        </w:tc>
        <w:tc>
          <w:tcPr>
            <w:tcW w:w="2081"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Buna</w:t>
            </w:r>
          </w:p>
        </w:tc>
        <w:tc>
          <w:tcPr>
            <w:tcW w:w="2736"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Muriqan – afër fshatit, në kufi</w:t>
            </w:r>
          </w:p>
        </w:tc>
        <w:tc>
          <w:tcPr>
            <w:tcW w:w="253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42.009313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19.411012</w:t>
            </w:r>
          </w:p>
        </w:tc>
      </w:tr>
      <w:tr w:rsidR="0047684C" w:rsidRPr="0047684C" w:rsidTr="0047684C">
        <w:tc>
          <w:tcPr>
            <w:tcW w:w="601"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5.</w:t>
            </w:r>
          </w:p>
          <w:p w:rsidR="0047684C" w:rsidRPr="0047684C" w:rsidRDefault="0047684C" w:rsidP="0047684C">
            <w:pPr>
              <w:jc w:val="both"/>
              <w:rPr>
                <w:rFonts w:ascii="Times New Roman" w:eastAsia="Calibri" w:hAnsi="Times New Roman" w:cs="Times New Roman"/>
                <w:b/>
                <w:lang w:val="sq-AL"/>
              </w:rPr>
            </w:pPr>
          </w:p>
        </w:tc>
        <w:tc>
          <w:tcPr>
            <w:tcW w:w="1623"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Ki</w:t>
            </w:r>
          </w:p>
        </w:tc>
        <w:tc>
          <w:tcPr>
            <w:tcW w:w="2081"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Kir</w:t>
            </w:r>
          </w:p>
        </w:tc>
        <w:tc>
          <w:tcPr>
            <w:tcW w:w="2736"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e Mesit</w:t>
            </w:r>
          </w:p>
        </w:tc>
        <w:tc>
          <w:tcPr>
            <w:tcW w:w="253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42.1146116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19.4925139</w:t>
            </w:r>
          </w:p>
        </w:tc>
      </w:tr>
      <w:tr w:rsidR="0047684C" w:rsidRPr="0047684C" w:rsidTr="0047684C">
        <w:tc>
          <w:tcPr>
            <w:tcW w:w="601"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6.</w:t>
            </w:r>
          </w:p>
        </w:tc>
        <w:tc>
          <w:tcPr>
            <w:tcW w:w="1623"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Bu2</w:t>
            </w:r>
          </w:p>
        </w:tc>
        <w:tc>
          <w:tcPr>
            <w:tcW w:w="2081"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Buna</w:t>
            </w:r>
          </w:p>
        </w:tc>
        <w:tc>
          <w:tcPr>
            <w:tcW w:w="2736"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e vjetër Shkodër - Shirokë</w:t>
            </w:r>
          </w:p>
        </w:tc>
        <w:tc>
          <w:tcPr>
            <w:tcW w:w="253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42.045851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19.487121</w:t>
            </w:r>
          </w:p>
        </w:tc>
      </w:tr>
      <w:tr w:rsidR="0047684C" w:rsidRPr="0047684C" w:rsidTr="0047684C">
        <w:tc>
          <w:tcPr>
            <w:tcW w:w="601"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7.</w:t>
            </w:r>
          </w:p>
        </w:tc>
        <w:tc>
          <w:tcPr>
            <w:tcW w:w="1623"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DLe</w:t>
            </w:r>
          </w:p>
        </w:tc>
        <w:tc>
          <w:tcPr>
            <w:tcW w:w="2081"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Drini Lezhë</w:t>
            </w:r>
          </w:p>
        </w:tc>
        <w:tc>
          <w:tcPr>
            <w:tcW w:w="2736"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Kune – Vain para derdhjes në det</w:t>
            </w:r>
          </w:p>
        </w:tc>
        <w:tc>
          <w:tcPr>
            <w:tcW w:w="253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41.753554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19.593363</w:t>
            </w:r>
          </w:p>
        </w:tc>
      </w:tr>
      <w:bookmarkEnd w:id="4"/>
    </w:tbl>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D460A">
      <w:pPr>
        <w:numPr>
          <w:ilvl w:val="0"/>
          <w:numId w:val="23"/>
        </w:numPr>
        <w:spacing w:after="0" w:line="240" w:lineRule="auto"/>
        <w:contextualSpacing/>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Oksigjeni i tretur</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Grafiku i mëposhtëm paraqet vlerat mesatare të ekspeditave të realizuara, ku vlerësojmë se të gjitha stacionet janë të ngopura me oksigjen me vlera &gt; 7, duke nënvizuar faktin se stacioni DLe – Drini Lezhë është në vlerën kufi (Klasa I – Gjendje e lartë).</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center"/>
        <w:rPr>
          <w:rFonts w:ascii="Times New Roman" w:eastAsia="Calibri" w:hAnsi="Times New Roman" w:cs="Times New Roman"/>
          <w:sz w:val="24"/>
          <w:szCs w:val="24"/>
          <w:lang w:val="sq-AL"/>
        </w:rPr>
      </w:pPr>
      <w:r w:rsidRPr="0047684C">
        <w:rPr>
          <w:rFonts w:ascii="Calibri" w:eastAsia="Calibri" w:hAnsi="Calibri" w:cs="Times New Roman"/>
          <w:noProof/>
        </w:rPr>
        <w:drawing>
          <wp:inline distT="0" distB="0" distL="0" distR="0" wp14:anchorId="5709A785" wp14:editId="286C81B1">
            <wp:extent cx="3886200" cy="1771650"/>
            <wp:effectExtent l="0" t="0" r="19050" b="19050"/>
            <wp:docPr id="119" name="Chart 1">
              <a:extLst xmlns:a="http://schemas.openxmlformats.org/drawingml/2006/main">
                <a:ext uri="{FF2B5EF4-FFF2-40B4-BE49-F238E27FC236}">
                  <a16:creationId xmlns:a16="http://schemas.microsoft.com/office/drawing/2014/main" id="{80598B66-05C0-D90D-A946-E184783D2E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Pr="0047684C">
        <w:rPr>
          <w:rFonts w:ascii="Times New Roman" w:eastAsia="Calibri" w:hAnsi="Times New Roman" w:cs="Times New Roman"/>
          <w:sz w:val="24"/>
          <w:szCs w:val="24"/>
          <w:lang w:val="sq-AL"/>
        </w:rPr>
        <w:t xml:space="preserve">          </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center"/>
        <w:rPr>
          <w:rFonts w:ascii="Times New Roman" w:eastAsia="Calibri" w:hAnsi="Times New Roman" w:cs="Times New Roman"/>
          <w:sz w:val="24"/>
          <w:szCs w:val="24"/>
          <w:lang w:val="sq-AL"/>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lastRenderedPageBreak/>
        <w:t>Nevoja Biokimike për Oksigjen</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A80BCC" w:rsidP="0047684C">
      <w:pPr>
        <w:spacing w:after="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Vlerat mesatare të</w:t>
      </w:r>
      <w:r w:rsidR="0047684C" w:rsidRPr="0047684C">
        <w:rPr>
          <w:rFonts w:ascii="Times New Roman" w:eastAsia="Calibri" w:hAnsi="Times New Roman" w:cs="Times New Roman"/>
          <w:sz w:val="24"/>
          <w:szCs w:val="24"/>
          <w:lang w:val="sq-AL"/>
        </w:rPr>
        <w:t xml:space="preserve"> monitorimit janë paraqitur në mënyrë grafike, ku vlerësojmë se ujërat paraqesin cilësi të mirë në lidhje me këtë parametër në rrjedhën e sipër</w:t>
      </w:r>
      <w:r>
        <w:rPr>
          <w:rFonts w:ascii="Times New Roman" w:eastAsia="Calibri" w:hAnsi="Times New Roman" w:cs="Times New Roman"/>
          <w:sz w:val="24"/>
          <w:szCs w:val="24"/>
          <w:lang w:val="sq-AL"/>
        </w:rPr>
        <w:t>me duke u klasifikuar në Klasën</w:t>
      </w:r>
      <w:r w:rsidR="0047684C" w:rsidRPr="0047684C">
        <w:rPr>
          <w:rFonts w:ascii="Times New Roman" w:eastAsia="Calibri" w:hAnsi="Times New Roman" w:cs="Times New Roman"/>
          <w:sz w:val="24"/>
          <w:szCs w:val="24"/>
          <w:lang w:val="sq-AL"/>
        </w:rPr>
        <w:t xml:space="preserve"> I</w:t>
      </w:r>
      <w:r w:rsidR="00E02B61">
        <w:rPr>
          <w:rFonts w:ascii="Times New Roman" w:eastAsia="Calibri" w:hAnsi="Times New Roman" w:cs="Times New Roman"/>
          <w:sz w:val="24"/>
          <w:szCs w:val="24"/>
          <w:lang w:val="sq-AL"/>
        </w:rPr>
        <w:t>-Gjendje e lartë</w:t>
      </w:r>
      <w:r w:rsidR="0047684C" w:rsidRPr="0047684C">
        <w:rPr>
          <w:rFonts w:ascii="Times New Roman" w:eastAsia="Calibri" w:hAnsi="Times New Roman" w:cs="Times New Roman"/>
          <w:sz w:val="24"/>
          <w:szCs w:val="24"/>
          <w:lang w:val="sq-AL"/>
        </w:rPr>
        <w:t xml:space="preserve"> dhe në Klasën II</w:t>
      </w:r>
      <w:r w:rsidR="00E02B61">
        <w:rPr>
          <w:rFonts w:ascii="Times New Roman" w:eastAsia="Calibri" w:hAnsi="Times New Roman" w:cs="Times New Roman"/>
          <w:sz w:val="24"/>
          <w:szCs w:val="24"/>
          <w:lang w:val="sq-AL"/>
        </w:rPr>
        <w:t>- Gjendje e mirë</w:t>
      </w:r>
      <w:r w:rsidR="0047684C" w:rsidRPr="0047684C">
        <w:rPr>
          <w:rFonts w:ascii="Times New Roman" w:eastAsia="Calibri" w:hAnsi="Times New Roman" w:cs="Times New Roman"/>
          <w:sz w:val="24"/>
          <w:szCs w:val="24"/>
          <w:lang w:val="sq-AL"/>
        </w:rPr>
        <w:t>, ndërsa në stacionet pranë zonave të banuara dhe përkatësisht stacioni DLe – Drini Lezhë klasifikohet në Klasën III – Gjendje e moderuar, si klasa kufi e pranimit të cilësisë së ujërave.</w:t>
      </w:r>
    </w:p>
    <w:p w:rsidR="0047684C" w:rsidRPr="0047684C" w:rsidRDefault="0047684C" w:rsidP="0047684C">
      <w:pPr>
        <w:spacing w:after="0" w:line="240" w:lineRule="auto"/>
        <w:jc w:val="center"/>
        <w:rPr>
          <w:rFonts w:ascii="Times New Roman" w:eastAsia="Calibri" w:hAnsi="Times New Roman" w:cs="Times New Roman"/>
          <w:sz w:val="24"/>
          <w:szCs w:val="24"/>
          <w:lang w:val="sq-AL"/>
        </w:rPr>
      </w:pPr>
    </w:p>
    <w:p w:rsidR="0047684C" w:rsidRPr="0047684C" w:rsidRDefault="0047684C" w:rsidP="0047684C">
      <w:pPr>
        <w:spacing w:after="0" w:line="240" w:lineRule="auto"/>
        <w:jc w:val="center"/>
        <w:rPr>
          <w:rFonts w:ascii="Times New Roman" w:eastAsia="Calibri" w:hAnsi="Times New Roman" w:cs="Times New Roman"/>
          <w:b/>
          <w:sz w:val="24"/>
          <w:szCs w:val="24"/>
          <w:lang w:val="sq-AL"/>
        </w:rPr>
      </w:pPr>
      <w:r w:rsidRPr="0047684C">
        <w:rPr>
          <w:rFonts w:ascii="Calibri" w:eastAsia="Calibri" w:hAnsi="Calibri" w:cs="Times New Roman"/>
          <w:noProof/>
        </w:rPr>
        <w:drawing>
          <wp:inline distT="0" distB="0" distL="0" distR="0" wp14:anchorId="3362D63F" wp14:editId="71C200A1">
            <wp:extent cx="3981450" cy="1790700"/>
            <wp:effectExtent l="0" t="0" r="19050" b="19050"/>
            <wp:docPr id="120" name="Chart 1">
              <a:extLst xmlns:a="http://schemas.openxmlformats.org/drawingml/2006/main">
                <a:ext uri="{FF2B5EF4-FFF2-40B4-BE49-F238E27FC236}">
                  <a16:creationId xmlns:a16="http://schemas.microsoft.com/office/drawing/2014/main" id="{C4BDAF70-3FFF-C94F-E4CF-0D75E1624E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33538C">
      <w:pPr>
        <w:numPr>
          <w:ilvl w:val="0"/>
          <w:numId w:val="8"/>
        </w:numPr>
        <w:spacing w:after="0" w:line="240" w:lineRule="auto"/>
        <w:contextualSpacing/>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 xml:space="preserve">Përmbajtja e amonjakut </w:t>
      </w:r>
    </w:p>
    <w:p w:rsidR="0047684C" w:rsidRPr="0047684C" w:rsidRDefault="0047684C" w:rsidP="0047684C">
      <w:pPr>
        <w:spacing w:after="0" w:line="240" w:lineRule="auto"/>
        <w:rPr>
          <w:rFonts w:ascii="Times New Roman" w:eastAsia="Calibri" w:hAnsi="Times New Roman" w:cs="Times New Roman"/>
          <w:b/>
          <w:sz w:val="24"/>
          <w:szCs w:val="24"/>
          <w:lang w:val="sq-AL"/>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rcaktimi i 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rmbajtjes s</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amonjakut </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sht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paramet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 kryesor i klasifikimit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klasa t</w:t>
      </w:r>
      <w:r w:rsidRPr="0047684C">
        <w:rPr>
          <w:rFonts w:ascii="Times New Roman" w:eastAsia="Calibri" w:hAnsi="Times New Roman" w:cs="Times New Roman"/>
          <w:sz w:val="24"/>
          <w:szCs w:val="24"/>
          <w:lang w:val="sq-AL"/>
        </w:rPr>
        <w:t xml:space="preserve">ë </w:t>
      </w:r>
      <w:r w:rsidRPr="0047684C">
        <w:rPr>
          <w:rFonts w:ascii="Times New Roman" w:eastAsia="Calibri" w:hAnsi="Times New Roman" w:cs="Times New Roman"/>
          <w:bCs/>
          <w:sz w:val="24"/>
          <w:szCs w:val="24"/>
          <w:lang w:val="fi-FI"/>
        </w:rPr>
        <w:t>cil</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sis</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s</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uj</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rave sipas DKU. </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Të gjitha</w:t>
      </w:r>
      <w:r w:rsidR="00A80BCC">
        <w:rPr>
          <w:rFonts w:ascii="Times New Roman" w:eastAsia="Calibri" w:hAnsi="Times New Roman" w:cs="Times New Roman"/>
          <w:sz w:val="24"/>
          <w:szCs w:val="24"/>
          <w:lang w:val="sq-AL"/>
        </w:rPr>
        <w:t xml:space="preserve"> stacionet paraqesin vlera shum</w:t>
      </w:r>
      <w:r w:rsidR="00A80BCC">
        <w:rPr>
          <w:rFonts w:ascii="Times New Roman" w:hAnsi="Times New Roman"/>
          <w:sz w:val="24"/>
          <w:szCs w:val="24"/>
        </w:rPr>
        <w:t>ë</w:t>
      </w:r>
      <w:r w:rsidRPr="0047684C">
        <w:rPr>
          <w:rFonts w:ascii="Times New Roman" w:eastAsia="Calibri" w:hAnsi="Times New Roman" w:cs="Times New Roman"/>
          <w:sz w:val="24"/>
          <w:szCs w:val="24"/>
          <w:lang w:val="sq-AL"/>
        </w:rPr>
        <w:t xml:space="preserve"> të ulëta të përmbajtjes së amonjakut duke u klasifikuar në Klasën I – Gjendje e lartë, ndërsa Drini Lezhë ka një përmbajtje më të lartë të amonjakut në vlerën 0.2 mg/l por brenda normës duke u klasifikuar në Klasën II - Gjendje e mirë.</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3A9F2736" wp14:editId="06B00CBA">
            <wp:extent cx="3581400" cy="1905000"/>
            <wp:effectExtent l="0" t="0" r="19050" b="19050"/>
            <wp:docPr id="121" name="Chart 1">
              <a:extLst xmlns:a="http://schemas.openxmlformats.org/drawingml/2006/main">
                <a:ext uri="{FF2B5EF4-FFF2-40B4-BE49-F238E27FC236}">
                  <a16:creationId xmlns:a16="http://schemas.microsoft.com/office/drawing/2014/main" id="{336912B8-C558-5B6F-80E5-168C06F067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Përmbajtja e nitriteve</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 xml:space="preserve">Përmbajtja e nitriteve është </w:t>
      </w:r>
      <w:r w:rsidR="00A80BCC">
        <w:rPr>
          <w:rFonts w:ascii="Times New Roman" w:eastAsia="Calibri" w:hAnsi="Times New Roman" w:cs="Times New Roman"/>
          <w:bCs/>
          <w:sz w:val="24"/>
          <w:szCs w:val="24"/>
          <w:lang w:val="fi-FI"/>
        </w:rPr>
        <w:t>nën normën e lejuar që varion n</w:t>
      </w:r>
      <w:r w:rsidR="00A80BCC">
        <w:rPr>
          <w:rFonts w:ascii="Times New Roman" w:hAnsi="Times New Roman"/>
          <w:sz w:val="24"/>
          <w:szCs w:val="24"/>
        </w:rPr>
        <w:t>ë</w:t>
      </w:r>
      <w:r w:rsidRPr="0047684C">
        <w:rPr>
          <w:rFonts w:ascii="Times New Roman" w:eastAsia="Calibri" w:hAnsi="Times New Roman" w:cs="Times New Roman"/>
          <w:bCs/>
          <w:sz w:val="24"/>
          <w:szCs w:val="24"/>
          <w:lang w:val="fi-FI"/>
        </w:rPr>
        <w:t xml:space="preserve"> vlerat &lt; 0.001 – 0.0069 mg/l duke i klasifikuar të gjitha stacionet në Klasën I – Gjendje e lartë.</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r w:rsidRPr="0047684C">
        <w:rPr>
          <w:rFonts w:ascii="Calibri" w:eastAsia="Calibri" w:hAnsi="Calibri" w:cs="Times New Roman"/>
          <w:noProof/>
        </w:rPr>
        <w:lastRenderedPageBreak/>
        <w:drawing>
          <wp:inline distT="0" distB="0" distL="0" distR="0" wp14:anchorId="2AE4E156" wp14:editId="29A568B3">
            <wp:extent cx="3902075" cy="1622738"/>
            <wp:effectExtent l="0" t="0" r="22225" b="15875"/>
            <wp:docPr id="122" name="Chart 1">
              <a:extLst xmlns:a="http://schemas.openxmlformats.org/drawingml/2006/main">
                <a:ext uri="{FF2B5EF4-FFF2-40B4-BE49-F238E27FC236}">
                  <a16:creationId xmlns:a16="http://schemas.microsoft.com/office/drawing/2014/main" id="{CCFFA990-67CE-2B42-8BAA-6AD63CB3D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47684C" w:rsidRPr="0047684C" w:rsidRDefault="0047684C" w:rsidP="0047684C">
      <w:pPr>
        <w:spacing w:after="0" w:line="240" w:lineRule="auto"/>
        <w:ind w:left="540"/>
        <w:contextualSpacing/>
        <w:jc w:val="both"/>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Përmbajtja e nitrateve</w:t>
      </w:r>
    </w:p>
    <w:p w:rsidR="0047684C" w:rsidRPr="0047684C" w:rsidRDefault="0047684C" w:rsidP="0047684C">
      <w:pPr>
        <w:spacing w:after="0" w:line="276" w:lineRule="auto"/>
        <w:jc w:val="both"/>
        <w:rPr>
          <w:rFonts w:ascii="Times New Roman" w:eastAsia="Calibri" w:hAnsi="Times New Roman" w:cs="Times New Roman"/>
          <w:sz w:val="24"/>
          <w:szCs w:val="24"/>
          <w:lang w:val="da-DK"/>
        </w:rPr>
      </w:pPr>
    </w:p>
    <w:p w:rsidR="0047684C" w:rsidRPr="0047684C" w:rsidRDefault="0047684C" w:rsidP="00A156AA">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sz w:val="24"/>
          <w:szCs w:val="24"/>
          <w:lang w:val="da-DK"/>
        </w:rPr>
        <w:t>P</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da-DK"/>
        </w:rPr>
        <w:t>rmbajtja e nitrateve n</w:t>
      </w:r>
      <w:r w:rsidRPr="0047684C">
        <w:rPr>
          <w:rFonts w:ascii="Times New Roman" w:eastAsia="Calibri" w:hAnsi="Times New Roman" w:cs="Times New Roman"/>
          <w:bCs/>
          <w:sz w:val="24"/>
          <w:szCs w:val="24"/>
          <w:lang w:val="fi-FI"/>
        </w:rPr>
        <w:t xml:space="preserve">ë </w:t>
      </w:r>
      <w:r w:rsidRPr="0047684C">
        <w:rPr>
          <w:rFonts w:ascii="Times New Roman" w:eastAsia="Calibri" w:hAnsi="Times New Roman" w:cs="Times New Roman"/>
          <w:sz w:val="24"/>
          <w:szCs w:val="24"/>
          <w:lang w:val="da-DK"/>
        </w:rPr>
        <w:t>t</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da-DK"/>
        </w:rPr>
        <w:t xml:space="preserve"> gjitha stacionet e monitoruara rezulton n</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da-DK"/>
        </w:rPr>
        <w:t xml:space="preserve"> vlera m</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da-DK"/>
        </w:rPr>
        <w:t xml:space="preserve"> t</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da-DK"/>
        </w:rPr>
        <w:t xml:space="preserve"> ul</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da-DK"/>
        </w:rPr>
        <w:t>ta se norma e lejuar, n</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da-DK"/>
        </w:rPr>
        <w:t xml:space="preserve"> vlerat 0.18 – 1.097 mg/l </w:t>
      </w:r>
      <w:r w:rsidRPr="0047684C">
        <w:rPr>
          <w:rFonts w:ascii="Times New Roman" w:eastAsia="Calibri" w:hAnsi="Times New Roman" w:cs="Times New Roman"/>
          <w:bCs/>
          <w:sz w:val="24"/>
          <w:szCs w:val="24"/>
          <w:lang w:val="fi-FI"/>
        </w:rPr>
        <w:t>duke i klasifikuar stacionet në Klasën I – Gjendje e lartë, përveç stacioneve D</w:t>
      </w:r>
      <w:r w:rsidRPr="0047684C">
        <w:rPr>
          <w:rFonts w:ascii="Times New Roman" w:eastAsia="Calibri" w:hAnsi="Times New Roman" w:cs="Times New Roman"/>
          <w:bCs/>
          <w:sz w:val="24"/>
          <w:szCs w:val="24"/>
          <w:vertAlign w:val="subscript"/>
          <w:lang w:val="fi-FI"/>
        </w:rPr>
        <w:t>2</w:t>
      </w:r>
      <w:r w:rsidRPr="0047684C">
        <w:rPr>
          <w:rFonts w:ascii="Times New Roman" w:eastAsia="Calibri" w:hAnsi="Times New Roman" w:cs="Times New Roman"/>
          <w:bCs/>
          <w:sz w:val="24"/>
          <w:szCs w:val="24"/>
          <w:lang w:val="fi-FI"/>
        </w:rPr>
        <w:t xml:space="preserve"> – Bahçallëk dhe DLe – Drini Lezhë klasifikohen në Klasën II – Gjendje e mirë.</w:t>
      </w:r>
    </w:p>
    <w:p w:rsidR="0047684C" w:rsidRPr="0047684C" w:rsidRDefault="0047684C" w:rsidP="0047684C">
      <w:pPr>
        <w:spacing w:after="0" w:line="276" w:lineRule="auto"/>
        <w:jc w:val="center"/>
        <w:rPr>
          <w:rFonts w:ascii="Times New Roman" w:eastAsia="Calibri" w:hAnsi="Times New Roman" w:cs="Times New Roman"/>
          <w:sz w:val="24"/>
          <w:szCs w:val="24"/>
          <w:lang w:val="da-DK"/>
        </w:rPr>
      </w:pPr>
      <w:r w:rsidRPr="0047684C">
        <w:rPr>
          <w:rFonts w:ascii="Calibri" w:eastAsia="Calibri" w:hAnsi="Calibri" w:cs="Times New Roman"/>
          <w:noProof/>
        </w:rPr>
        <w:drawing>
          <wp:inline distT="0" distB="0" distL="0" distR="0" wp14:anchorId="49AE674E" wp14:editId="42BDF1BA">
            <wp:extent cx="3818255" cy="1873876"/>
            <wp:effectExtent l="0" t="0" r="10795" b="12700"/>
            <wp:docPr id="123" name="Chart 1">
              <a:extLst xmlns:a="http://schemas.openxmlformats.org/drawingml/2006/main">
                <a:ext uri="{FF2B5EF4-FFF2-40B4-BE49-F238E27FC236}">
                  <a16:creationId xmlns:a16="http://schemas.microsoft.com/office/drawing/2014/main" id="{E97557FA-7B21-896C-B291-A8CC13692C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Përmbajtja e fosforit</w:t>
      </w:r>
    </w:p>
    <w:p w:rsidR="0047684C" w:rsidRPr="0047684C" w:rsidRDefault="0047684C" w:rsidP="0047684C">
      <w:pPr>
        <w:spacing w:after="0" w:line="240" w:lineRule="auto"/>
        <w:ind w:left="720"/>
        <w:contextualSpacing/>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Referuar vlerave mesatare të monitorimit të ekspeditave të realizuara, siç janë paraqitur edhe në grafikun e mëposhtëm, nuk kemi tejkalim të vlerave të lejuara për përmbajtjen e orto – fosfateve.Vlerat më larta janë vlerësuar në stacionin D</w:t>
      </w:r>
      <w:r w:rsidRPr="0047684C">
        <w:rPr>
          <w:rFonts w:ascii="Times New Roman" w:eastAsia="Calibri" w:hAnsi="Times New Roman" w:cs="Times New Roman"/>
          <w:bCs/>
          <w:sz w:val="24"/>
          <w:szCs w:val="24"/>
          <w:vertAlign w:val="subscript"/>
          <w:lang w:val="fi-FI"/>
        </w:rPr>
        <w:t>2</w:t>
      </w:r>
      <w:r w:rsidRPr="0047684C">
        <w:rPr>
          <w:rFonts w:ascii="Times New Roman" w:eastAsia="Calibri" w:hAnsi="Times New Roman" w:cs="Times New Roman"/>
          <w:bCs/>
          <w:sz w:val="24"/>
          <w:szCs w:val="24"/>
          <w:lang w:val="fi-FI"/>
        </w:rPr>
        <w:t xml:space="preserve"> – Bahçallëk dhe DLe – Drini Lezhe por brenda normës së lejuar.</w:t>
      </w:r>
      <w:r w:rsidR="00E02B61">
        <w:rPr>
          <w:rFonts w:ascii="Times New Roman" w:eastAsia="Calibri" w:hAnsi="Times New Roman" w:cs="Times New Roman"/>
          <w:bCs/>
          <w:sz w:val="24"/>
          <w:szCs w:val="24"/>
          <w:lang w:val="fi-FI"/>
        </w:rPr>
        <w:t xml:space="preserve"> Ujërat klasifikohen në Kl I- Gjendje e lartë.</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0BEF56F9" wp14:editId="77E83F3B">
            <wp:extent cx="4572000" cy="1857375"/>
            <wp:effectExtent l="0" t="0" r="19050" b="9525"/>
            <wp:docPr id="124" name="Chart 1">
              <a:extLst xmlns:a="http://schemas.openxmlformats.org/drawingml/2006/main">
                <a:ext uri="{FF2B5EF4-FFF2-40B4-BE49-F238E27FC236}">
                  <a16:creationId xmlns:a16="http://schemas.microsoft.com/office/drawing/2014/main" id="{CE358C5F-789D-0957-530F-6B330FD05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p>
    <w:p w:rsidR="0047684C" w:rsidRPr="0047684C" w:rsidRDefault="0047684C" w:rsidP="0047684C">
      <w:pPr>
        <w:spacing w:after="0" w:line="240" w:lineRule="auto"/>
        <w:ind w:left="540"/>
        <w:contextualSpacing/>
        <w:jc w:val="both"/>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 xml:space="preserve">Përmbajtja e fosforit total </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76"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sz w:val="24"/>
          <w:szCs w:val="24"/>
          <w:lang w:val="sq-AL"/>
        </w:rPr>
        <w:t>N</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sq-AL"/>
        </w:rPr>
        <w:t xml:space="preserve"> stacionet e monitoruara vler</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sq-AL"/>
        </w:rPr>
        <w:t>sojm</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sq-AL"/>
        </w:rPr>
        <w:t xml:space="preserve"> se nuk ka prani t</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sq-AL"/>
        </w:rPr>
        <w:t xml:space="preserve"> p</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sq-AL"/>
        </w:rPr>
        <w:t>rmbajtjes s</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sq-AL"/>
        </w:rPr>
        <w:t xml:space="preserve"> fosforit total, duke i klasifikuar stacionet në Klasën I – Gjendje e lartë. </w:t>
      </w: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23CEC427" wp14:editId="4E47E076">
            <wp:extent cx="3998890" cy="1648460"/>
            <wp:effectExtent l="0" t="0" r="20955" b="27940"/>
            <wp:docPr id="125" name="Chart 1">
              <a:extLst xmlns:a="http://schemas.openxmlformats.org/drawingml/2006/main">
                <a:ext uri="{FF2B5EF4-FFF2-40B4-BE49-F238E27FC236}">
                  <a16:creationId xmlns:a16="http://schemas.microsoft.com/office/drawing/2014/main" id="{1329DDEE-3153-88DC-93EF-9D92F1D417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47684C" w:rsidRPr="0047684C" w:rsidRDefault="0047684C" w:rsidP="0047684C">
      <w:pPr>
        <w:spacing w:after="200" w:line="276" w:lineRule="auto"/>
        <w:jc w:val="center"/>
        <w:rPr>
          <w:rFonts w:ascii="Times New Roman" w:eastAsia="Calibri" w:hAnsi="Times New Roman" w:cs="Times New Roman"/>
          <w:b/>
          <w:sz w:val="24"/>
          <w:szCs w:val="24"/>
          <w:lang w:val="sq-AL"/>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i/>
          <w:sz w:val="24"/>
          <w:szCs w:val="24"/>
          <w:lang w:val="sq-AL"/>
        </w:rPr>
      </w:pPr>
      <w:r w:rsidRPr="0047684C">
        <w:rPr>
          <w:rFonts w:ascii="Times New Roman" w:eastAsia="Calibri" w:hAnsi="Times New Roman" w:cs="Times New Roman"/>
          <w:bCs/>
          <w:i/>
          <w:sz w:val="24"/>
          <w:szCs w:val="24"/>
          <w:lang w:val="sq-AL"/>
        </w:rPr>
        <w:t>Përmbajtja e TOC</w:t>
      </w:r>
    </w:p>
    <w:p w:rsidR="0047684C" w:rsidRPr="0047684C" w:rsidRDefault="0047684C" w:rsidP="0047684C">
      <w:pPr>
        <w:spacing w:after="0" w:line="240" w:lineRule="auto"/>
        <w:jc w:val="both"/>
        <w:rPr>
          <w:rFonts w:ascii="Times New Roman" w:eastAsia="Calibri" w:hAnsi="Times New Roman" w:cs="Times New Roman"/>
          <w:bCs/>
          <w:i/>
          <w:sz w:val="24"/>
          <w:szCs w:val="24"/>
          <w:lang w:val="sq-AL"/>
        </w:rPr>
      </w:pPr>
    </w:p>
    <w:p w:rsidR="0047684C" w:rsidRPr="0047684C" w:rsidRDefault="0047684C" w:rsidP="0047684C">
      <w:pPr>
        <w:spacing w:after="0" w:line="240" w:lineRule="auto"/>
        <w:jc w:val="both"/>
        <w:rPr>
          <w:rFonts w:ascii="Times New Roman" w:eastAsia="Calibri" w:hAnsi="Times New Roman" w:cs="Times New Roman"/>
          <w:bCs/>
          <w:iCs/>
          <w:sz w:val="24"/>
          <w:szCs w:val="24"/>
          <w:lang w:val="sq-AL"/>
        </w:rPr>
      </w:pPr>
      <w:r w:rsidRPr="0047684C">
        <w:rPr>
          <w:rFonts w:ascii="Times New Roman" w:eastAsia="Calibri" w:hAnsi="Times New Roman" w:cs="Times New Roman"/>
          <w:bCs/>
          <w:iCs/>
          <w:sz w:val="24"/>
          <w:szCs w:val="24"/>
          <w:lang w:val="sq-AL"/>
        </w:rPr>
        <w:t>Karboni organik total (TOC) është sasia e karbonit që gjendet në një përbërje organike dhe shpesh përdoret si një tregues jo-specifik i cilësisë së ujit. TOC është masa e pranisë së karbonit organik të tretur dhe grimcor në mostrat e ujit. Ky parametër lidhet me përqendrimet e oksigjenit të tretur në mostrën e ujit. Sa më e madhe të jetë përmbajtja e karbonit ose e lëndës organike, aq më shumë oksigjen konsumohet. Një përmbajtje e lartë organike do të thotë një rritje në rritjen e mikroorganizmave që kontribuojnë në pakësimin e furnizimeve me oksigjen.</w:t>
      </w:r>
    </w:p>
    <w:p w:rsidR="0047684C" w:rsidRPr="0047684C" w:rsidRDefault="0047684C" w:rsidP="0047684C">
      <w:pPr>
        <w:spacing w:after="0" w:line="240" w:lineRule="auto"/>
        <w:jc w:val="both"/>
        <w:rPr>
          <w:rFonts w:ascii="Times New Roman" w:eastAsia="Calibri" w:hAnsi="Times New Roman" w:cs="Times New Roman"/>
          <w:bCs/>
          <w:iCs/>
          <w:sz w:val="24"/>
          <w:szCs w:val="24"/>
          <w:lang w:val="sq-AL"/>
        </w:rPr>
      </w:pPr>
      <w:r w:rsidRPr="0047684C">
        <w:rPr>
          <w:rFonts w:ascii="Times New Roman" w:eastAsia="Calibri" w:hAnsi="Times New Roman" w:cs="Times New Roman"/>
          <w:bCs/>
          <w:iCs/>
          <w:sz w:val="24"/>
          <w:szCs w:val="24"/>
          <w:lang w:val="sq-AL"/>
        </w:rPr>
        <w:t>Përmbajtja e TOC është vlerësuar &lt; 5mg/l duke i klasifikuar stacionet në cilësi të mirë.</w:t>
      </w:r>
    </w:p>
    <w:p w:rsidR="0047684C" w:rsidRPr="0047684C" w:rsidRDefault="0047684C" w:rsidP="0047684C">
      <w:pPr>
        <w:spacing w:after="0" w:line="240" w:lineRule="auto"/>
        <w:jc w:val="both"/>
        <w:rPr>
          <w:rFonts w:ascii="Times New Roman" w:eastAsia="Calibri" w:hAnsi="Times New Roman" w:cs="Times New Roman"/>
          <w:b/>
          <w:i/>
          <w:sz w:val="24"/>
          <w:szCs w:val="24"/>
          <w:lang w:val="sq-AL"/>
        </w:rPr>
      </w:pPr>
    </w:p>
    <w:p w:rsidR="0047684C" w:rsidRPr="0047684C" w:rsidRDefault="0047684C" w:rsidP="0047684C">
      <w:pPr>
        <w:spacing w:after="0" w:line="240" w:lineRule="auto"/>
        <w:jc w:val="both"/>
        <w:rPr>
          <w:rFonts w:ascii="Times New Roman" w:eastAsia="Calibri" w:hAnsi="Times New Roman" w:cs="Times New Roman"/>
          <w:b/>
          <w:i/>
          <w:sz w:val="24"/>
          <w:szCs w:val="24"/>
          <w:lang w:val="sq-AL"/>
        </w:rPr>
      </w:pPr>
      <w:r w:rsidRPr="0047684C">
        <w:rPr>
          <w:rFonts w:ascii="Times New Roman" w:eastAsia="Calibri" w:hAnsi="Times New Roman" w:cs="Times New Roman"/>
          <w:b/>
          <w:i/>
          <w:sz w:val="24"/>
          <w:szCs w:val="24"/>
          <w:lang w:val="sq-AL"/>
        </w:rPr>
        <w:t>Duke vlerësua</w:t>
      </w:r>
      <w:r w:rsidR="00A80BCC">
        <w:rPr>
          <w:rFonts w:ascii="Times New Roman" w:eastAsia="Calibri" w:hAnsi="Times New Roman" w:cs="Times New Roman"/>
          <w:b/>
          <w:i/>
          <w:sz w:val="24"/>
          <w:szCs w:val="24"/>
          <w:lang w:val="sq-AL"/>
        </w:rPr>
        <w:t>r të gjithë parametrat e DKU të</w:t>
      </w:r>
      <w:r w:rsidRPr="0047684C">
        <w:rPr>
          <w:rFonts w:ascii="Times New Roman" w:eastAsia="Calibri" w:hAnsi="Times New Roman" w:cs="Times New Roman"/>
          <w:b/>
          <w:i/>
          <w:sz w:val="24"/>
          <w:szCs w:val="24"/>
          <w:lang w:val="sq-AL"/>
        </w:rPr>
        <w:t xml:space="preserve"> paraqitura edhe më sipër, vlerësojmë cilësinë e ujërave të Basenit të Drinit në Klasën III – Gjendje e moderuar duke nënvizuar se në stacionin DLe – Drini Lezhë ka përmbajtje të lëndëve organike në sasi të moderuar ku duhet të mbahet në monitorim pasi është në nivelin kufi të ndotjes.</w:t>
      </w:r>
    </w:p>
    <w:p w:rsidR="0047684C" w:rsidRPr="0047684C" w:rsidRDefault="0047684C" w:rsidP="0047684C">
      <w:pPr>
        <w:spacing w:after="0" w:line="240" w:lineRule="auto"/>
        <w:jc w:val="both"/>
        <w:rPr>
          <w:rFonts w:ascii="Times New Roman" w:eastAsia="Calibri" w:hAnsi="Times New Roman" w:cs="Times New Roman"/>
          <w:b/>
          <w:i/>
          <w:sz w:val="24"/>
          <w:szCs w:val="24"/>
          <w:lang w:val="sq-AL"/>
        </w:rPr>
      </w:pPr>
    </w:p>
    <w:p w:rsidR="0047684C" w:rsidRPr="0047684C" w:rsidRDefault="0047684C" w:rsidP="004D460A">
      <w:pPr>
        <w:numPr>
          <w:ilvl w:val="0"/>
          <w:numId w:val="22"/>
        </w:numPr>
        <w:spacing w:after="0" w:line="240" w:lineRule="auto"/>
        <w:contextualSpacing/>
        <w:jc w:val="both"/>
        <w:rPr>
          <w:rFonts w:ascii="Times New Roman" w:eastAsia="Calibri" w:hAnsi="Times New Roman" w:cs="Times New Roman"/>
          <w:b/>
          <w:sz w:val="24"/>
          <w:szCs w:val="24"/>
          <w:lang w:val="sq-AL"/>
        </w:rPr>
      </w:pPr>
      <w:r w:rsidRPr="0047684C">
        <w:rPr>
          <w:rFonts w:ascii="Times New Roman" w:eastAsia="Calibri" w:hAnsi="Times New Roman" w:cs="Times New Roman"/>
          <w:b/>
          <w:sz w:val="24"/>
          <w:szCs w:val="24"/>
          <w:lang w:val="sq-AL"/>
        </w:rPr>
        <w:t xml:space="preserve">Baseni </w:t>
      </w:r>
      <w:r w:rsidR="00F04AA2">
        <w:rPr>
          <w:rFonts w:ascii="Times New Roman" w:eastAsia="Calibri" w:hAnsi="Times New Roman" w:cs="Times New Roman"/>
          <w:b/>
          <w:sz w:val="24"/>
          <w:szCs w:val="24"/>
          <w:lang w:val="sq-AL"/>
        </w:rPr>
        <w:t xml:space="preserve"> lumor </w:t>
      </w:r>
      <w:r w:rsidRPr="0047684C">
        <w:rPr>
          <w:rFonts w:ascii="Times New Roman" w:eastAsia="Calibri" w:hAnsi="Times New Roman" w:cs="Times New Roman"/>
          <w:b/>
          <w:sz w:val="24"/>
          <w:szCs w:val="24"/>
          <w:lang w:val="sq-AL"/>
        </w:rPr>
        <w:t xml:space="preserve">i Matit </w:t>
      </w:r>
    </w:p>
    <w:p w:rsidR="0047684C" w:rsidRPr="0047684C" w:rsidRDefault="0047684C" w:rsidP="0047684C">
      <w:pPr>
        <w:spacing w:after="0" w:line="240" w:lineRule="auto"/>
        <w:jc w:val="both"/>
        <w:rPr>
          <w:rFonts w:ascii="Times New Roman" w:eastAsia="Calibri" w:hAnsi="Times New Roman" w:cs="Times New Roman"/>
          <w:b/>
          <w:sz w:val="24"/>
          <w:szCs w:val="24"/>
          <w:lang w:val="sq-AL"/>
        </w:rPr>
      </w:pPr>
    </w:p>
    <w:p w:rsidR="0047684C" w:rsidRPr="0047684C" w:rsidRDefault="0047684C" w:rsidP="0047684C">
      <w:pPr>
        <w:spacing w:after="0" w:line="240" w:lineRule="auto"/>
        <w:jc w:val="both"/>
        <w:rPr>
          <w:rFonts w:ascii="Times New Roman" w:eastAsia="Calibri" w:hAnsi="Times New Roman" w:cs="Times New Roman"/>
          <w:color w:val="222222"/>
          <w:sz w:val="24"/>
          <w:szCs w:val="24"/>
        </w:rPr>
      </w:pPr>
      <w:r w:rsidRPr="0047684C">
        <w:rPr>
          <w:rFonts w:ascii="Times New Roman" w:eastAsia="Calibri" w:hAnsi="Times New Roman" w:cs="Times New Roman"/>
          <w:b/>
          <w:bCs/>
          <w:color w:val="222222"/>
          <w:sz w:val="24"/>
          <w:szCs w:val="24"/>
          <w:shd w:val="clear" w:color="auto" w:fill="FFFFFF"/>
        </w:rPr>
        <w:t>Lumi i Matit</w:t>
      </w:r>
      <w:r w:rsidRPr="0047684C">
        <w:rPr>
          <w:rFonts w:ascii="Times New Roman" w:eastAsia="Calibri" w:hAnsi="Times New Roman" w:cs="Times New Roman"/>
          <w:bCs/>
          <w:color w:val="222222"/>
          <w:sz w:val="24"/>
          <w:szCs w:val="24"/>
          <w:shd w:val="clear" w:color="auto" w:fill="FFFFFF"/>
        </w:rPr>
        <w:t xml:space="preserve"> ka një gjatësi totale prej 115 km dhe derdhet në Detin Adriatik në afërsi të Fushë – Kuqes në mes të qyteteve Lezhë </w:t>
      </w:r>
      <w:r w:rsidR="00F04AA2">
        <w:rPr>
          <w:rFonts w:ascii="Times New Roman" w:eastAsia="Calibri" w:hAnsi="Times New Roman" w:cs="Times New Roman"/>
          <w:bCs/>
          <w:color w:val="222222"/>
          <w:sz w:val="24"/>
          <w:szCs w:val="24"/>
          <w:shd w:val="clear" w:color="auto" w:fill="FFFFFF"/>
        </w:rPr>
        <w:t>-</w:t>
      </w:r>
      <w:r w:rsidRPr="0047684C">
        <w:rPr>
          <w:rFonts w:ascii="Times New Roman" w:eastAsia="Calibri" w:hAnsi="Times New Roman" w:cs="Times New Roman"/>
          <w:bCs/>
          <w:color w:val="222222"/>
          <w:sz w:val="24"/>
          <w:szCs w:val="24"/>
          <w:shd w:val="clear" w:color="auto" w:fill="FFFFFF"/>
        </w:rPr>
        <w:t>Laç.</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Ky basen monitorohet n</w:t>
      </w:r>
      <w:r w:rsidRPr="0047684C">
        <w:rPr>
          <w:rFonts w:ascii="Times New Roman" w:eastAsia="Calibri" w:hAnsi="Times New Roman" w:cs="Times New Roman"/>
          <w:bCs/>
          <w:color w:val="222222"/>
          <w:sz w:val="24"/>
          <w:szCs w:val="24"/>
          <w:shd w:val="clear" w:color="auto" w:fill="FFFFFF"/>
        </w:rPr>
        <w:t xml:space="preserve">ë </w:t>
      </w:r>
      <w:r w:rsidRPr="0047684C">
        <w:rPr>
          <w:rFonts w:ascii="Times New Roman" w:eastAsia="Calibri" w:hAnsi="Times New Roman" w:cs="Times New Roman"/>
          <w:sz w:val="24"/>
          <w:szCs w:val="24"/>
          <w:lang w:val="sq-AL"/>
        </w:rPr>
        <w:t>4 stacione kampionimi n</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 xml:space="preserve"> gjith</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 xml:space="preserve"> gjat</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sin</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 xml:space="preserve"> e vet. </w:t>
      </w:r>
    </w:p>
    <w:p w:rsidR="0047684C" w:rsidRDefault="0047684C" w:rsidP="0047684C">
      <w:pPr>
        <w:spacing w:after="0" w:line="240" w:lineRule="auto"/>
        <w:jc w:val="both"/>
        <w:rPr>
          <w:rFonts w:ascii="Times New Roman" w:eastAsia="Calibri" w:hAnsi="Times New Roman" w:cs="Times New Roman"/>
          <w:sz w:val="24"/>
          <w:szCs w:val="24"/>
          <w:lang w:val="sq-AL"/>
        </w:rPr>
      </w:pPr>
    </w:p>
    <w:p w:rsidR="000505FE" w:rsidRPr="000505FE" w:rsidRDefault="000505FE" w:rsidP="000505FE">
      <w:pPr>
        <w:spacing w:after="0" w:line="240" w:lineRule="auto"/>
        <w:jc w:val="both"/>
        <w:rPr>
          <w:rFonts w:ascii="Times New Roman" w:eastAsia="Calibri" w:hAnsi="Times New Roman" w:cs="Times New Roman"/>
          <w:sz w:val="24"/>
          <w:szCs w:val="24"/>
          <w:lang w:val="sq-AL"/>
        </w:rPr>
      </w:pPr>
      <w:r w:rsidRPr="000505FE">
        <w:rPr>
          <w:rFonts w:ascii="Times New Roman" w:eastAsia="Calibri" w:hAnsi="Times New Roman" w:cs="Times New Roman"/>
          <w:sz w:val="24"/>
          <w:szCs w:val="24"/>
          <w:lang w:val="sq-AL"/>
        </w:rPr>
        <w:t>Tabela 1</w:t>
      </w:r>
      <w:r>
        <w:rPr>
          <w:rFonts w:ascii="Times New Roman" w:eastAsia="Calibri" w:hAnsi="Times New Roman" w:cs="Times New Roman"/>
          <w:sz w:val="24"/>
          <w:szCs w:val="24"/>
          <w:lang w:val="sq-AL"/>
        </w:rPr>
        <w:t>8</w:t>
      </w:r>
      <w:r w:rsidRPr="000505FE">
        <w:rPr>
          <w:rFonts w:ascii="Times New Roman" w:eastAsia="Calibri" w:hAnsi="Times New Roman" w:cs="Times New Roman"/>
          <w:sz w:val="24"/>
          <w:szCs w:val="24"/>
          <w:lang w:val="sq-AL"/>
        </w:rPr>
        <w:t xml:space="preserve">. Stacionet e kampionimit për basenin </w:t>
      </w:r>
      <w:r>
        <w:rPr>
          <w:rFonts w:ascii="Times New Roman" w:eastAsia="Calibri" w:hAnsi="Times New Roman" w:cs="Times New Roman"/>
          <w:sz w:val="24"/>
          <w:szCs w:val="24"/>
          <w:lang w:val="sq-AL"/>
        </w:rPr>
        <w:t>Mat</w:t>
      </w:r>
    </w:p>
    <w:p w:rsidR="000505FE" w:rsidRPr="0047684C" w:rsidRDefault="000505FE" w:rsidP="0047684C">
      <w:pPr>
        <w:spacing w:after="0" w:line="240" w:lineRule="auto"/>
        <w:jc w:val="both"/>
        <w:rPr>
          <w:rFonts w:ascii="Times New Roman" w:eastAsia="Calibri" w:hAnsi="Times New Roman" w:cs="Times New Roman"/>
          <w:sz w:val="24"/>
          <w:szCs w:val="24"/>
          <w:lang w:val="sq-AL"/>
        </w:rPr>
      </w:pPr>
    </w:p>
    <w:tbl>
      <w:tblPr>
        <w:tblStyle w:val="TableGrid"/>
        <w:tblW w:w="0" w:type="auto"/>
        <w:tblLook w:val="04A0" w:firstRow="1" w:lastRow="0" w:firstColumn="1" w:lastColumn="0" w:noHBand="0" w:noVBand="1"/>
      </w:tblPr>
      <w:tblGrid>
        <w:gridCol w:w="547"/>
        <w:gridCol w:w="1753"/>
        <w:gridCol w:w="1790"/>
        <w:gridCol w:w="3141"/>
        <w:gridCol w:w="2345"/>
      </w:tblGrid>
      <w:tr w:rsidR="0047684C" w:rsidRPr="0047684C" w:rsidTr="0047684C">
        <w:tc>
          <w:tcPr>
            <w:tcW w:w="55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Nr.</w:t>
            </w:r>
          </w:p>
        </w:tc>
        <w:tc>
          <w:tcPr>
            <w:tcW w:w="2070"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Kodi i kampionit</w:t>
            </w:r>
          </w:p>
        </w:tc>
        <w:tc>
          <w:tcPr>
            <w:tcW w:w="2160"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Emërtimi i Lumit</w:t>
            </w:r>
          </w:p>
        </w:tc>
        <w:tc>
          <w:tcPr>
            <w:tcW w:w="4050"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Vendndodhja</w:t>
            </w:r>
          </w:p>
        </w:tc>
        <w:tc>
          <w:tcPr>
            <w:tcW w:w="2880"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Koordinatat gjeografike</w:t>
            </w:r>
          </w:p>
        </w:tc>
      </w:tr>
      <w:tr w:rsidR="0047684C" w:rsidRPr="0047684C" w:rsidTr="0047684C">
        <w:tc>
          <w:tcPr>
            <w:tcW w:w="55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1.</w:t>
            </w:r>
          </w:p>
        </w:tc>
        <w:tc>
          <w:tcPr>
            <w:tcW w:w="207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Ma</w:t>
            </w:r>
            <w:r w:rsidRPr="0047684C">
              <w:rPr>
                <w:rFonts w:ascii="Times New Roman" w:eastAsia="Calibri" w:hAnsi="Times New Roman" w:cs="Times New Roman"/>
                <w:vertAlign w:val="subscript"/>
                <w:lang w:val="sq-AL"/>
              </w:rPr>
              <w:t>1</w:t>
            </w:r>
          </w:p>
        </w:tc>
        <w:tc>
          <w:tcPr>
            <w:tcW w:w="216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Fani i Madh</w:t>
            </w:r>
          </w:p>
        </w:tc>
        <w:tc>
          <w:tcPr>
            <w:tcW w:w="405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Nd</w:t>
            </w:r>
            <w:r w:rsidRPr="0047684C">
              <w:rPr>
                <w:rFonts w:ascii="Times New Roman" w:eastAsia="Calibri" w:hAnsi="Times New Roman" w:cs="Times New Roman"/>
                <w:bCs/>
                <w:color w:val="222222"/>
                <w:shd w:val="clear" w:color="auto" w:fill="FFFFFF"/>
              </w:rPr>
              <w:t>ë</w:t>
            </w:r>
            <w:r w:rsidRPr="0047684C">
              <w:rPr>
                <w:rFonts w:ascii="Times New Roman" w:eastAsia="Calibri" w:hAnsi="Times New Roman" w:cs="Times New Roman"/>
                <w:lang w:val="sq-AL"/>
              </w:rPr>
              <w:t>rfush</w:t>
            </w:r>
            <w:r w:rsidRPr="0047684C">
              <w:rPr>
                <w:rFonts w:ascii="Times New Roman" w:eastAsia="Calibri" w:hAnsi="Times New Roman" w:cs="Times New Roman"/>
                <w:bCs/>
                <w:color w:val="222222"/>
                <w:shd w:val="clear" w:color="auto" w:fill="FFFFFF"/>
              </w:rPr>
              <w:t>ë</w:t>
            </w:r>
            <w:r w:rsidRPr="0047684C">
              <w:rPr>
                <w:rFonts w:ascii="Times New Roman" w:eastAsia="Calibri" w:hAnsi="Times New Roman" w:cs="Times New Roman"/>
                <w:lang w:val="sq-AL"/>
              </w:rPr>
              <w:t>, nd</w:t>
            </w:r>
            <w:r w:rsidRPr="0047684C">
              <w:rPr>
                <w:rFonts w:ascii="Times New Roman" w:eastAsia="Calibri" w:hAnsi="Times New Roman" w:cs="Times New Roman"/>
                <w:bCs/>
                <w:color w:val="222222"/>
                <w:shd w:val="clear" w:color="auto" w:fill="FFFFFF"/>
              </w:rPr>
              <w:t>ë</w:t>
            </w:r>
            <w:r w:rsidRPr="0047684C">
              <w:rPr>
                <w:rFonts w:ascii="Times New Roman" w:eastAsia="Calibri" w:hAnsi="Times New Roman" w:cs="Times New Roman"/>
                <w:lang w:val="sq-AL"/>
              </w:rPr>
              <w:t>rmjet urave Milot – Kuk</w:t>
            </w:r>
            <w:r w:rsidRPr="0047684C">
              <w:rPr>
                <w:rFonts w:ascii="Times New Roman" w:eastAsia="Calibri" w:hAnsi="Times New Roman" w:cs="Times New Roman"/>
                <w:bCs/>
                <w:color w:val="222222"/>
                <w:shd w:val="clear" w:color="auto" w:fill="FFFFFF"/>
              </w:rPr>
              <w:t>ë</w:t>
            </w:r>
            <w:r w:rsidRPr="0047684C">
              <w:rPr>
                <w:rFonts w:ascii="Times New Roman" w:eastAsia="Calibri" w:hAnsi="Times New Roman" w:cs="Times New Roman"/>
                <w:lang w:val="sq-AL"/>
              </w:rPr>
              <w:t>s dhe Milot - Rr</w:t>
            </w:r>
            <w:r w:rsidRPr="0047684C">
              <w:rPr>
                <w:rFonts w:ascii="Times New Roman" w:eastAsia="Calibri" w:hAnsi="Times New Roman" w:cs="Times New Roman"/>
                <w:bCs/>
                <w:color w:val="222222"/>
                <w:shd w:val="clear" w:color="auto" w:fill="FFFFFF"/>
              </w:rPr>
              <w:t>ë</w:t>
            </w:r>
            <w:r w:rsidRPr="0047684C">
              <w:rPr>
                <w:rFonts w:ascii="Times New Roman" w:eastAsia="Calibri" w:hAnsi="Times New Roman" w:cs="Times New Roman"/>
                <w:lang w:val="sq-AL"/>
              </w:rPr>
              <w:t>shen</w:t>
            </w:r>
          </w:p>
        </w:tc>
        <w:tc>
          <w:tcPr>
            <w:tcW w:w="28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41.775874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19.859456</w:t>
            </w:r>
          </w:p>
        </w:tc>
      </w:tr>
      <w:tr w:rsidR="0047684C" w:rsidRPr="0047684C" w:rsidTr="0047684C">
        <w:tc>
          <w:tcPr>
            <w:tcW w:w="55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lastRenderedPageBreak/>
              <w:t>2.</w:t>
            </w:r>
          </w:p>
        </w:tc>
        <w:tc>
          <w:tcPr>
            <w:tcW w:w="207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Ma</w:t>
            </w:r>
            <w:r w:rsidRPr="0047684C">
              <w:rPr>
                <w:rFonts w:ascii="Times New Roman" w:eastAsia="Calibri" w:hAnsi="Times New Roman" w:cs="Times New Roman"/>
                <w:vertAlign w:val="subscript"/>
                <w:lang w:val="sq-AL"/>
              </w:rPr>
              <w:t>2</w:t>
            </w:r>
          </w:p>
        </w:tc>
        <w:tc>
          <w:tcPr>
            <w:tcW w:w="216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Fani i Vog</w:t>
            </w:r>
            <w:r w:rsidRPr="0047684C">
              <w:rPr>
                <w:rFonts w:ascii="Times New Roman" w:eastAsia="Calibri" w:hAnsi="Times New Roman" w:cs="Times New Roman"/>
                <w:bCs/>
                <w:color w:val="222222"/>
                <w:shd w:val="clear" w:color="auto" w:fill="FFFFFF"/>
              </w:rPr>
              <w:t>ë</w:t>
            </w:r>
            <w:r w:rsidRPr="0047684C">
              <w:rPr>
                <w:rFonts w:ascii="Times New Roman" w:eastAsia="Calibri" w:hAnsi="Times New Roman" w:cs="Times New Roman"/>
                <w:lang w:val="sq-AL"/>
              </w:rPr>
              <w:t>l</w:t>
            </w:r>
          </w:p>
        </w:tc>
        <w:tc>
          <w:tcPr>
            <w:tcW w:w="405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Bukemire – Ura e Vjet</w:t>
            </w:r>
            <w:r w:rsidRPr="0047684C">
              <w:rPr>
                <w:rFonts w:ascii="Times New Roman" w:eastAsia="Calibri" w:hAnsi="Times New Roman" w:cs="Times New Roman"/>
                <w:bCs/>
                <w:color w:val="222222"/>
                <w:shd w:val="clear" w:color="auto" w:fill="FFFFFF"/>
              </w:rPr>
              <w:t>ë</w:t>
            </w:r>
            <w:r w:rsidRPr="0047684C">
              <w:rPr>
                <w:rFonts w:ascii="Times New Roman" w:eastAsia="Calibri" w:hAnsi="Times New Roman" w:cs="Times New Roman"/>
                <w:lang w:val="sq-AL"/>
              </w:rPr>
              <w:t>r Milot – Kuk</w:t>
            </w:r>
            <w:r w:rsidRPr="0047684C">
              <w:rPr>
                <w:rFonts w:ascii="Times New Roman" w:eastAsia="Calibri" w:hAnsi="Times New Roman" w:cs="Times New Roman"/>
                <w:bCs/>
                <w:color w:val="222222"/>
                <w:shd w:val="clear" w:color="auto" w:fill="FFFFFF"/>
              </w:rPr>
              <w:t>ë</w:t>
            </w:r>
            <w:r w:rsidRPr="0047684C">
              <w:rPr>
                <w:rFonts w:ascii="Times New Roman" w:eastAsia="Calibri" w:hAnsi="Times New Roman" w:cs="Times New Roman"/>
                <w:lang w:val="sq-AL"/>
              </w:rPr>
              <w:t>s q</w:t>
            </w:r>
            <w:r w:rsidRPr="0047684C">
              <w:rPr>
                <w:rFonts w:ascii="Times New Roman" w:eastAsia="Calibri" w:hAnsi="Times New Roman" w:cs="Times New Roman"/>
                <w:bCs/>
                <w:color w:val="222222"/>
                <w:shd w:val="clear" w:color="auto" w:fill="FFFFFF"/>
              </w:rPr>
              <w:t>ë</w:t>
            </w:r>
            <w:r w:rsidRPr="0047684C">
              <w:rPr>
                <w:rFonts w:ascii="Times New Roman" w:eastAsia="Calibri" w:hAnsi="Times New Roman" w:cs="Times New Roman"/>
                <w:lang w:val="sq-AL"/>
              </w:rPr>
              <w:t xml:space="preserve"> t</w:t>
            </w:r>
            <w:r w:rsidRPr="0047684C">
              <w:rPr>
                <w:rFonts w:ascii="Times New Roman" w:eastAsia="Calibri" w:hAnsi="Times New Roman" w:cs="Times New Roman"/>
                <w:bCs/>
                <w:color w:val="222222"/>
                <w:shd w:val="clear" w:color="auto" w:fill="FFFFFF"/>
              </w:rPr>
              <w:t>ë</w:t>
            </w:r>
            <w:r w:rsidRPr="0047684C">
              <w:rPr>
                <w:rFonts w:ascii="Times New Roman" w:eastAsia="Calibri" w:hAnsi="Times New Roman" w:cs="Times New Roman"/>
                <w:lang w:val="sq-AL"/>
              </w:rPr>
              <w:t xml:space="preserve"> lidh me Rrug</w:t>
            </w:r>
            <w:r w:rsidRPr="0047684C">
              <w:rPr>
                <w:rFonts w:ascii="Times New Roman" w:eastAsia="Calibri" w:hAnsi="Times New Roman" w:cs="Times New Roman"/>
                <w:bCs/>
                <w:color w:val="222222"/>
                <w:shd w:val="clear" w:color="auto" w:fill="FFFFFF"/>
              </w:rPr>
              <w:t>ë</w:t>
            </w:r>
            <w:r w:rsidRPr="0047684C">
              <w:rPr>
                <w:rFonts w:ascii="Times New Roman" w:eastAsia="Calibri" w:hAnsi="Times New Roman" w:cs="Times New Roman"/>
                <w:lang w:val="sq-AL"/>
              </w:rPr>
              <w:t>n e Kombit</w:t>
            </w:r>
          </w:p>
        </w:tc>
        <w:tc>
          <w:tcPr>
            <w:tcW w:w="2880" w:type="dxa"/>
          </w:tcPr>
          <w:p w:rsidR="0047684C" w:rsidRPr="0047684C" w:rsidRDefault="0047684C" w:rsidP="0047684C">
            <w:pPr>
              <w:rPr>
                <w:rFonts w:ascii="Times New Roman" w:eastAsia="Calibri" w:hAnsi="Times New Roman" w:cs="Times New Roman"/>
                <w:lang w:val="sq-AL"/>
              </w:rPr>
            </w:pPr>
            <w:r w:rsidRPr="0047684C">
              <w:rPr>
                <w:rFonts w:ascii="Times New Roman" w:eastAsia="Calibri" w:hAnsi="Times New Roman" w:cs="Times New Roman"/>
                <w:lang w:val="sq-AL"/>
              </w:rPr>
              <w:t xml:space="preserve">N 41.779305  </w:t>
            </w:r>
          </w:p>
          <w:p w:rsidR="0047684C" w:rsidRPr="0047684C" w:rsidRDefault="0047684C" w:rsidP="0047684C">
            <w:pPr>
              <w:rPr>
                <w:rFonts w:ascii="Times New Roman" w:eastAsia="Calibri" w:hAnsi="Times New Roman" w:cs="Times New Roman"/>
                <w:lang w:val="sq-AL"/>
              </w:rPr>
            </w:pPr>
            <w:r w:rsidRPr="0047684C">
              <w:rPr>
                <w:rFonts w:ascii="Times New Roman" w:eastAsia="Calibri" w:hAnsi="Times New Roman" w:cs="Times New Roman"/>
                <w:lang w:val="sq-AL"/>
              </w:rPr>
              <w:t xml:space="preserve"> E 19.855054</w:t>
            </w:r>
          </w:p>
        </w:tc>
      </w:tr>
      <w:tr w:rsidR="0047684C" w:rsidRPr="0047684C" w:rsidTr="0047684C">
        <w:tc>
          <w:tcPr>
            <w:tcW w:w="55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3.</w:t>
            </w:r>
          </w:p>
        </w:tc>
        <w:tc>
          <w:tcPr>
            <w:tcW w:w="207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Ma</w:t>
            </w:r>
            <w:r w:rsidRPr="0047684C">
              <w:rPr>
                <w:rFonts w:ascii="Times New Roman" w:eastAsia="Calibri" w:hAnsi="Times New Roman" w:cs="Times New Roman"/>
                <w:vertAlign w:val="subscript"/>
                <w:lang w:val="sq-AL"/>
              </w:rPr>
              <w:t>3</w:t>
            </w:r>
          </w:p>
        </w:tc>
        <w:tc>
          <w:tcPr>
            <w:tcW w:w="216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Mat</w:t>
            </w:r>
          </w:p>
        </w:tc>
        <w:tc>
          <w:tcPr>
            <w:tcW w:w="405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Klos - Dars</w:t>
            </w:r>
            <w:r w:rsidRPr="0047684C">
              <w:rPr>
                <w:rFonts w:ascii="Times New Roman" w:eastAsia="Calibri" w:hAnsi="Times New Roman" w:cs="Times New Roman"/>
                <w:bCs/>
                <w:color w:val="222222"/>
                <w:shd w:val="clear" w:color="auto" w:fill="FFFFFF"/>
              </w:rPr>
              <w:t>ë</w:t>
            </w:r>
          </w:p>
        </w:tc>
        <w:tc>
          <w:tcPr>
            <w:tcW w:w="28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41.506614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 E 20.083041</w:t>
            </w:r>
          </w:p>
        </w:tc>
      </w:tr>
      <w:tr w:rsidR="0047684C" w:rsidRPr="0047684C" w:rsidTr="0047684C">
        <w:tc>
          <w:tcPr>
            <w:tcW w:w="55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4.</w:t>
            </w:r>
          </w:p>
        </w:tc>
        <w:tc>
          <w:tcPr>
            <w:tcW w:w="207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Ma</w:t>
            </w:r>
            <w:r w:rsidRPr="0047684C">
              <w:rPr>
                <w:rFonts w:ascii="Times New Roman" w:eastAsia="Calibri" w:hAnsi="Times New Roman" w:cs="Times New Roman"/>
                <w:vertAlign w:val="subscript"/>
                <w:lang w:val="sq-AL"/>
              </w:rPr>
              <w:t>4</w:t>
            </w:r>
          </w:p>
        </w:tc>
        <w:tc>
          <w:tcPr>
            <w:tcW w:w="216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Mat</w:t>
            </w:r>
          </w:p>
        </w:tc>
        <w:tc>
          <w:tcPr>
            <w:tcW w:w="405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e Re Tiran</w:t>
            </w:r>
            <w:r w:rsidRPr="0047684C">
              <w:rPr>
                <w:rFonts w:ascii="Times New Roman" w:eastAsia="Calibri" w:hAnsi="Times New Roman" w:cs="Times New Roman"/>
                <w:bCs/>
                <w:color w:val="222222"/>
                <w:shd w:val="clear" w:color="auto" w:fill="FFFFFF"/>
              </w:rPr>
              <w:t>ë</w:t>
            </w:r>
            <w:r w:rsidRPr="0047684C">
              <w:rPr>
                <w:rFonts w:ascii="Times New Roman" w:eastAsia="Calibri" w:hAnsi="Times New Roman" w:cs="Times New Roman"/>
                <w:lang w:val="sq-AL"/>
              </w:rPr>
              <w:t xml:space="preserve"> - Shkod</w:t>
            </w:r>
            <w:r w:rsidRPr="0047684C">
              <w:rPr>
                <w:rFonts w:ascii="Times New Roman" w:eastAsia="Calibri" w:hAnsi="Times New Roman" w:cs="Times New Roman"/>
                <w:bCs/>
                <w:color w:val="222222"/>
                <w:shd w:val="clear" w:color="auto" w:fill="FFFFFF"/>
              </w:rPr>
              <w:t>ë</w:t>
            </w:r>
            <w:r w:rsidRPr="0047684C">
              <w:rPr>
                <w:rFonts w:ascii="Times New Roman" w:eastAsia="Calibri" w:hAnsi="Times New Roman" w:cs="Times New Roman"/>
                <w:lang w:val="sq-AL"/>
              </w:rPr>
              <w:t>r</w:t>
            </w:r>
          </w:p>
        </w:tc>
        <w:tc>
          <w:tcPr>
            <w:tcW w:w="28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41.685437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19.671641</w:t>
            </w:r>
          </w:p>
        </w:tc>
      </w:tr>
    </w:tbl>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Vler</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simi i cil</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sis</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 xml:space="preserve"> s</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 xml:space="preserve"> uj</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rave t</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 xml:space="preserve"> basenit </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sht</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 xml:space="preserve"> kryer bazuar n</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 xml:space="preserve"> vlerat limite t</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 xml:space="preserve"> parametrave t</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 xml:space="preserve"> Direktiv</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s Kuad</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r t</w:t>
      </w:r>
      <w:r w:rsidRPr="0047684C">
        <w:rPr>
          <w:rFonts w:ascii="Times New Roman" w:eastAsia="Calibri" w:hAnsi="Times New Roman" w:cs="Times New Roman"/>
          <w:bCs/>
          <w:color w:val="222222"/>
          <w:sz w:val="24"/>
          <w:szCs w:val="24"/>
          <w:shd w:val="clear" w:color="auto" w:fill="FFFFFF"/>
        </w:rPr>
        <w:t>ë</w:t>
      </w:r>
      <w:r w:rsidRPr="0047684C">
        <w:rPr>
          <w:rFonts w:ascii="Times New Roman" w:eastAsia="Calibri" w:hAnsi="Times New Roman" w:cs="Times New Roman"/>
          <w:sz w:val="24"/>
          <w:szCs w:val="24"/>
          <w:lang w:val="sq-AL"/>
        </w:rPr>
        <w:t xml:space="preserve"> Ujit.</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D460A">
      <w:pPr>
        <w:numPr>
          <w:ilvl w:val="0"/>
          <w:numId w:val="23"/>
        </w:numPr>
        <w:spacing w:after="0" w:line="240" w:lineRule="auto"/>
        <w:contextualSpacing/>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Oksigjeni i tretur</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Përmbajtja e oksigjenit të tretur sikurse paraqitet edhe në formë grafike, vlerësohet se stacionet janë të ngopura me oksigjen.</w:t>
      </w:r>
    </w:p>
    <w:p w:rsidR="0047684C" w:rsidRPr="0047684C" w:rsidRDefault="0047684C" w:rsidP="007A6C83">
      <w:pPr>
        <w:spacing w:after="0" w:line="240" w:lineRule="auto"/>
        <w:rPr>
          <w:rFonts w:ascii="Times New Roman" w:eastAsia="Calibri" w:hAnsi="Times New Roman" w:cs="Times New Roman"/>
          <w:sz w:val="24"/>
          <w:szCs w:val="24"/>
          <w:lang w:val="sq-AL"/>
        </w:rPr>
      </w:pPr>
      <w:r w:rsidRPr="0047684C">
        <w:rPr>
          <w:rFonts w:ascii="Calibri" w:eastAsia="Calibri" w:hAnsi="Calibri" w:cs="Times New Roman"/>
          <w:noProof/>
        </w:rPr>
        <w:drawing>
          <wp:inline distT="0" distB="0" distL="0" distR="0" wp14:anchorId="7B0DF498" wp14:editId="616D6C65">
            <wp:extent cx="3009900" cy="1581150"/>
            <wp:effectExtent l="0" t="0" r="19050" b="19050"/>
            <wp:docPr id="126" name="Chart 1">
              <a:extLst xmlns:a="http://schemas.openxmlformats.org/drawingml/2006/main">
                <a:ext uri="{FF2B5EF4-FFF2-40B4-BE49-F238E27FC236}">
                  <a16:creationId xmlns:a16="http://schemas.microsoft.com/office/drawing/2014/main" id="{DE727502-6F30-6466-F49D-FA0EB86DC6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007A6C83">
        <w:rPr>
          <w:rFonts w:ascii="Times New Roman" w:eastAsia="Calibri" w:hAnsi="Times New Roman" w:cs="Times New Roman"/>
          <w:sz w:val="24"/>
          <w:szCs w:val="24"/>
          <w:lang w:val="sq-AL"/>
        </w:rPr>
        <w:t xml:space="preserve"> </w:t>
      </w:r>
      <w:r w:rsidR="007A6C83" w:rsidRPr="0047684C">
        <w:rPr>
          <w:rFonts w:ascii="Calibri" w:eastAsia="Calibri" w:hAnsi="Calibri" w:cs="Times New Roman"/>
          <w:noProof/>
        </w:rPr>
        <w:drawing>
          <wp:inline distT="0" distB="0" distL="0" distR="0" wp14:anchorId="3DE449C4" wp14:editId="79EEAD54">
            <wp:extent cx="2667000" cy="1638300"/>
            <wp:effectExtent l="0" t="0" r="19050" b="19050"/>
            <wp:docPr id="127" name="Chart 1">
              <a:extLst xmlns:a="http://schemas.openxmlformats.org/drawingml/2006/main">
                <a:ext uri="{FF2B5EF4-FFF2-40B4-BE49-F238E27FC236}">
                  <a16:creationId xmlns:a16="http://schemas.microsoft.com/office/drawing/2014/main" id="{660FB3E1-718B-DFBB-2F57-FB5D1203C1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47684C" w:rsidRPr="0047684C" w:rsidRDefault="0047684C" w:rsidP="0047684C">
      <w:pPr>
        <w:spacing w:after="0" w:line="240" w:lineRule="auto"/>
        <w:jc w:val="center"/>
        <w:rPr>
          <w:rFonts w:ascii="Times New Roman" w:eastAsia="Calibri" w:hAnsi="Times New Roman" w:cs="Times New Roman"/>
          <w:sz w:val="24"/>
          <w:szCs w:val="24"/>
          <w:lang w:val="sq-AL"/>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Nevoja Biokimike për Oksigjen</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Vlerësojmë se stacionet paraqiten të jenë nën normën e lejuar duke i klasifikuar stacionet me cilësi të mirë në Klasën II – Gjendje e lartë.</w:t>
      </w:r>
    </w:p>
    <w:p w:rsidR="0047684C" w:rsidRPr="0047684C" w:rsidRDefault="0047684C" w:rsidP="0047684C">
      <w:pPr>
        <w:spacing w:after="0" w:line="240" w:lineRule="auto"/>
        <w:rPr>
          <w:rFonts w:ascii="Times New Roman" w:eastAsia="Calibri" w:hAnsi="Times New Roman" w:cs="Times New Roman"/>
          <w:b/>
          <w:sz w:val="24"/>
          <w:szCs w:val="24"/>
          <w:lang w:val="sq-AL"/>
        </w:rPr>
      </w:pPr>
    </w:p>
    <w:p w:rsidR="0047684C" w:rsidRPr="0047684C" w:rsidRDefault="0047684C" w:rsidP="0033538C">
      <w:pPr>
        <w:numPr>
          <w:ilvl w:val="0"/>
          <w:numId w:val="8"/>
        </w:numPr>
        <w:spacing w:after="0" w:line="240" w:lineRule="auto"/>
        <w:contextualSpacing/>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 xml:space="preserve">Përmbajtja e amonjakut </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rmbajtja e amonjakut i klasifikon stacionet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Klasa I</w:t>
      </w:r>
      <w:r w:rsidR="008B7244">
        <w:rPr>
          <w:rFonts w:ascii="Times New Roman" w:eastAsia="Calibri" w:hAnsi="Times New Roman" w:cs="Times New Roman"/>
          <w:bCs/>
          <w:sz w:val="24"/>
          <w:szCs w:val="24"/>
          <w:lang w:val="fi-FI"/>
        </w:rPr>
        <w:t>-Gjendje e lartë</w:t>
      </w:r>
      <w:r w:rsidRPr="0047684C">
        <w:rPr>
          <w:rFonts w:ascii="Times New Roman" w:eastAsia="Calibri" w:hAnsi="Times New Roman" w:cs="Times New Roman"/>
          <w:bCs/>
          <w:sz w:val="24"/>
          <w:szCs w:val="24"/>
          <w:lang w:val="fi-FI"/>
        </w:rPr>
        <w:t xml:space="preserve"> dhe stacionin </w:t>
      </w:r>
    </w:p>
    <w:p w:rsid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 xml:space="preserve">Ma </w:t>
      </w:r>
      <w:r w:rsidRPr="0047684C">
        <w:rPr>
          <w:rFonts w:ascii="Times New Roman" w:eastAsia="Calibri" w:hAnsi="Times New Roman" w:cs="Times New Roman"/>
          <w:bCs/>
          <w:sz w:val="24"/>
          <w:szCs w:val="24"/>
          <w:vertAlign w:val="subscript"/>
          <w:lang w:val="fi-FI"/>
        </w:rPr>
        <w:t>2</w:t>
      </w:r>
      <w:r w:rsidRPr="0047684C">
        <w:rPr>
          <w:rFonts w:ascii="Times New Roman" w:eastAsia="Calibri" w:hAnsi="Times New Roman" w:cs="Times New Roman"/>
          <w:bCs/>
          <w:sz w:val="24"/>
          <w:szCs w:val="24"/>
          <w:lang w:val="fi-FI"/>
        </w:rPr>
        <w:t xml:space="preserve"> – Fani i Vogël në Klasën II – Gjendje e mirë. </w:t>
      </w:r>
    </w:p>
    <w:p w:rsidR="007A6C83" w:rsidRPr="0047684C" w:rsidRDefault="007A6C83"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7A6C83">
      <w:pPr>
        <w:spacing w:after="100" w:afterAutospacing="1" w:line="240" w:lineRule="auto"/>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547C7A82" wp14:editId="4674A4F8">
            <wp:extent cx="2886075" cy="1838325"/>
            <wp:effectExtent l="0" t="0" r="9525" b="9525"/>
            <wp:docPr id="352" name="Chart 1">
              <a:extLst xmlns:a="http://schemas.openxmlformats.org/drawingml/2006/main">
                <a:ext uri="{FF2B5EF4-FFF2-40B4-BE49-F238E27FC236}">
                  <a16:creationId xmlns:a16="http://schemas.microsoft.com/office/drawing/2014/main" id="{B6B3E199-4317-387C-4265-5A278AFEC9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rsidR="007A6C83">
        <w:rPr>
          <w:rFonts w:ascii="Times New Roman" w:eastAsia="Calibri" w:hAnsi="Times New Roman" w:cs="Times New Roman"/>
          <w:bCs/>
          <w:sz w:val="24"/>
          <w:szCs w:val="24"/>
          <w:lang w:val="fi-FI"/>
        </w:rPr>
        <w:t xml:space="preserve">   </w:t>
      </w:r>
      <w:r w:rsidR="007A6C83" w:rsidRPr="0047684C">
        <w:rPr>
          <w:rFonts w:ascii="Calibri" w:eastAsia="Calibri" w:hAnsi="Calibri" w:cs="Times New Roman"/>
          <w:noProof/>
        </w:rPr>
        <w:drawing>
          <wp:inline distT="0" distB="0" distL="0" distR="0" wp14:anchorId="03E98C79" wp14:editId="31BEB149">
            <wp:extent cx="2867025" cy="1828800"/>
            <wp:effectExtent l="0" t="0" r="9525" b="19050"/>
            <wp:docPr id="353" name="Chart 1">
              <a:extLst xmlns:a="http://schemas.openxmlformats.org/drawingml/2006/main">
                <a:ext uri="{FF2B5EF4-FFF2-40B4-BE49-F238E27FC236}">
                  <a16:creationId xmlns:a16="http://schemas.microsoft.com/office/drawing/2014/main" id="{F76D8F6F-20C2-8879-EAF3-EEBC128CFA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lastRenderedPageBreak/>
        <w:t>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rmbajtja e nitriteve</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76" w:lineRule="auto"/>
        <w:jc w:val="both"/>
        <w:rPr>
          <w:rFonts w:ascii="Times New Roman" w:eastAsia="Calibri" w:hAnsi="Times New Roman" w:cs="Times New Roman"/>
          <w:sz w:val="24"/>
          <w:szCs w:val="24"/>
          <w:lang w:val="da-DK"/>
        </w:rPr>
      </w:pPr>
      <w:r w:rsidRPr="0047684C">
        <w:rPr>
          <w:rFonts w:ascii="Times New Roman" w:eastAsia="Calibri" w:hAnsi="Times New Roman" w:cs="Times New Roman"/>
          <w:bCs/>
          <w:sz w:val="24"/>
          <w:szCs w:val="24"/>
          <w:lang w:val="fi-FI"/>
        </w:rPr>
        <w:t>Siç vihet re edhe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grafikun e m</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posht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m, 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rmbajtja e nitriteve </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sht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n norm</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n e lejuar, </w:t>
      </w:r>
      <w:r w:rsidRPr="0047684C">
        <w:rPr>
          <w:rFonts w:ascii="Times New Roman" w:eastAsia="Calibri" w:hAnsi="Times New Roman" w:cs="Times New Roman"/>
          <w:sz w:val="24"/>
          <w:szCs w:val="24"/>
          <w:lang w:val="da-DK"/>
        </w:rPr>
        <w:t>duke i klasifikuar k</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to stacione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 xml:space="preserve"> cilësi të mirë.</w:t>
      </w:r>
    </w:p>
    <w:p w:rsidR="0047684C" w:rsidRPr="0047684C" w:rsidRDefault="0047684C" w:rsidP="007A6C83">
      <w:pPr>
        <w:spacing w:after="0" w:line="240" w:lineRule="auto"/>
        <w:contextualSpacing/>
        <w:jc w:val="both"/>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rmbajtja e nitrateve</w:t>
      </w:r>
    </w:p>
    <w:p w:rsidR="0047684C" w:rsidRPr="0047684C" w:rsidRDefault="0047684C" w:rsidP="0047684C">
      <w:pPr>
        <w:spacing w:after="0" w:line="276" w:lineRule="auto"/>
        <w:jc w:val="both"/>
        <w:rPr>
          <w:rFonts w:ascii="Times New Roman" w:eastAsia="Calibri" w:hAnsi="Times New Roman" w:cs="Times New Roman"/>
          <w:sz w:val="24"/>
          <w:szCs w:val="24"/>
          <w:lang w:val="fi-FI"/>
        </w:rPr>
      </w:pPr>
    </w:p>
    <w:p w:rsidR="0047684C" w:rsidRPr="0047684C" w:rsidRDefault="0047684C" w:rsidP="0047684C">
      <w:pPr>
        <w:spacing w:after="0" w:line="276" w:lineRule="auto"/>
        <w:jc w:val="both"/>
        <w:rPr>
          <w:rFonts w:ascii="Times New Roman" w:eastAsia="Calibri" w:hAnsi="Times New Roman" w:cs="Times New Roman"/>
          <w:sz w:val="24"/>
          <w:szCs w:val="24"/>
          <w:lang w:val="da-DK"/>
        </w:rPr>
      </w:pPr>
      <w:r w:rsidRPr="0047684C">
        <w:rPr>
          <w:rFonts w:ascii="Times New Roman" w:eastAsia="Calibri" w:hAnsi="Times New Roman" w:cs="Times New Roman"/>
          <w:sz w:val="24"/>
          <w:szCs w:val="24"/>
          <w:lang w:val="da-DK"/>
        </w:rPr>
        <w:t>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rmbajtja e nitrateve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 xml:space="preserve">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 xml:space="preserve"> gjitha stacionet e monitoruara rezulton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 xml:space="preserve"> vlera m</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 xml:space="preserve">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 xml:space="preserve"> ul</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ta se norma e lejuar, duke i klasifikuar k</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to stacione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 xml:space="preserve"> Klas</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n I – Gjendje e lart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w:t>
      </w:r>
    </w:p>
    <w:p w:rsidR="0047684C" w:rsidRPr="0047684C" w:rsidRDefault="0047684C" w:rsidP="0047684C">
      <w:pPr>
        <w:spacing w:after="0" w:line="276" w:lineRule="auto"/>
        <w:jc w:val="both"/>
        <w:rPr>
          <w:rFonts w:ascii="Times New Roman" w:eastAsia="Calibri" w:hAnsi="Times New Roman" w:cs="Times New Roman"/>
          <w:sz w:val="24"/>
          <w:szCs w:val="24"/>
          <w:lang w:val="da-DK"/>
        </w:rPr>
      </w:pPr>
    </w:p>
    <w:p w:rsidR="0047684C" w:rsidRPr="0047684C" w:rsidRDefault="0047684C" w:rsidP="00165888">
      <w:pPr>
        <w:spacing w:after="0" w:line="240" w:lineRule="auto"/>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7BA40140" wp14:editId="5DD0FC3E">
            <wp:extent cx="2724150" cy="1695450"/>
            <wp:effectExtent l="0" t="0" r="19050" b="19050"/>
            <wp:docPr id="354" name="Chart 1">
              <a:extLst xmlns:a="http://schemas.openxmlformats.org/drawingml/2006/main">
                <a:ext uri="{FF2B5EF4-FFF2-40B4-BE49-F238E27FC236}">
                  <a16:creationId xmlns:a16="http://schemas.microsoft.com/office/drawing/2014/main" id="{1C138CB7-35BF-CFB3-2D37-7286BEB0D0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r w:rsidR="00165888">
        <w:rPr>
          <w:rFonts w:ascii="Times New Roman" w:eastAsia="Calibri" w:hAnsi="Times New Roman" w:cs="Times New Roman"/>
          <w:bCs/>
          <w:sz w:val="24"/>
          <w:szCs w:val="24"/>
          <w:lang w:val="fi-FI"/>
        </w:rPr>
        <w:t xml:space="preserve"> </w:t>
      </w:r>
      <w:r w:rsidR="00165888" w:rsidRPr="0047684C">
        <w:rPr>
          <w:rFonts w:ascii="Calibri" w:eastAsia="Calibri" w:hAnsi="Calibri" w:cs="Times New Roman"/>
          <w:noProof/>
        </w:rPr>
        <w:drawing>
          <wp:inline distT="0" distB="0" distL="0" distR="0" wp14:anchorId="3569CA70" wp14:editId="36880474">
            <wp:extent cx="3000375" cy="1704975"/>
            <wp:effectExtent l="0" t="0" r="9525" b="9525"/>
            <wp:docPr id="355" name="Chart 1">
              <a:extLst xmlns:a="http://schemas.openxmlformats.org/drawingml/2006/main">
                <a:ext uri="{FF2B5EF4-FFF2-40B4-BE49-F238E27FC236}">
                  <a16:creationId xmlns:a16="http://schemas.microsoft.com/office/drawing/2014/main" id="{403DD4D5-137C-B03B-10BC-8E6FDD816C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rmbajtja e fosforit</w:t>
      </w:r>
    </w:p>
    <w:p w:rsidR="0047684C" w:rsidRPr="0047684C" w:rsidRDefault="0047684C" w:rsidP="0047684C">
      <w:pPr>
        <w:spacing w:after="0" w:line="240" w:lineRule="auto"/>
        <w:ind w:left="720"/>
        <w:contextualSpacing/>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Referuar grafikut të mëposhtëm, vihet re se nuk ka tejkalim të vlerave të lejuara për përmbajtjen e orto – fosfateve duke i klasifikuar stacionet në Klasën I – Gjendje e lartë.</w:t>
      </w:r>
    </w:p>
    <w:p w:rsidR="0047684C" w:rsidRPr="0047684C" w:rsidRDefault="0047684C" w:rsidP="00165888">
      <w:pPr>
        <w:spacing w:after="0" w:line="240" w:lineRule="auto"/>
        <w:rPr>
          <w:rFonts w:ascii="Times New Roman" w:eastAsia="Calibri" w:hAnsi="Times New Roman" w:cs="Times New Roman"/>
          <w:bCs/>
          <w:sz w:val="24"/>
          <w:szCs w:val="24"/>
          <w:lang w:val="fi-FI"/>
        </w:rPr>
      </w:pPr>
    </w:p>
    <w:p w:rsidR="0047684C" w:rsidRPr="0047684C" w:rsidRDefault="0047684C" w:rsidP="00165888">
      <w:pPr>
        <w:spacing w:after="0" w:line="240" w:lineRule="auto"/>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 xml:space="preserve">Përmbajtja e fosforit total </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Si vijon kemi paraqitjen grafike të përmbajtjes së fosforit total, ku referuar pranisë se fosforit total  këto stacione klasifikohen në Klasën I – Gjendje e lartë.</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1B1FA0D9" wp14:editId="276A5BFB">
            <wp:extent cx="4657725" cy="1981200"/>
            <wp:effectExtent l="0" t="0" r="9525" b="19050"/>
            <wp:docPr id="356" name="Chart 1">
              <a:extLst xmlns:a="http://schemas.openxmlformats.org/drawingml/2006/main">
                <a:ext uri="{FF2B5EF4-FFF2-40B4-BE49-F238E27FC236}">
                  <a16:creationId xmlns:a16="http://schemas.microsoft.com/office/drawing/2014/main" id="{36C33C1E-7A88-1F2D-2E0F-AEA5182A9D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p>
    <w:p w:rsidR="0047684C" w:rsidRPr="0047684C" w:rsidRDefault="0047684C" w:rsidP="0047684C">
      <w:pPr>
        <w:spacing w:after="0" w:line="240" w:lineRule="auto"/>
        <w:jc w:val="center"/>
        <w:rPr>
          <w:rFonts w:ascii="Times New Roman" w:eastAsia="Calibri" w:hAnsi="Times New Roman" w:cs="Times New Roman"/>
          <w:bCs/>
          <w:noProof/>
          <w:sz w:val="24"/>
          <w:szCs w:val="24"/>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i/>
          <w:sz w:val="24"/>
          <w:szCs w:val="24"/>
          <w:lang w:val="sq-AL"/>
        </w:rPr>
      </w:pPr>
      <w:r w:rsidRPr="0047684C">
        <w:rPr>
          <w:rFonts w:ascii="Times New Roman" w:eastAsia="Calibri" w:hAnsi="Times New Roman" w:cs="Times New Roman"/>
          <w:bCs/>
          <w:i/>
          <w:sz w:val="24"/>
          <w:szCs w:val="24"/>
          <w:lang w:val="sq-AL"/>
        </w:rPr>
        <w:lastRenderedPageBreak/>
        <w:t>Përmbajtja e TOC</w:t>
      </w:r>
    </w:p>
    <w:p w:rsidR="0047684C" w:rsidRPr="0047684C" w:rsidRDefault="0047684C" w:rsidP="0047684C">
      <w:pPr>
        <w:spacing w:after="0" w:line="240" w:lineRule="auto"/>
        <w:jc w:val="both"/>
        <w:rPr>
          <w:rFonts w:ascii="Times New Roman" w:eastAsia="Calibri" w:hAnsi="Times New Roman" w:cs="Times New Roman"/>
          <w:bCs/>
          <w:i/>
          <w:sz w:val="24"/>
          <w:szCs w:val="24"/>
          <w:lang w:val="sq-AL"/>
        </w:rPr>
      </w:pPr>
    </w:p>
    <w:p w:rsidR="0047684C" w:rsidRPr="0047684C" w:rsidRDefault="0047684C" w:rsidP="0047684C">
      <w:pPr>
        <w:spacing w:after="0" w:line="240" w:lineRule="auto"/>
        <w:jc w:val="both"/>
        <w:rPr>
          <w:rFonts w:ascii="Times New Roman" w:eastAsia="Calibri" w:hAnsi="Times New Roman" w:cs="Times New Roman"/>
          <w:bCs/>
          <w:iCs/>
          <w:sz w:val="24"/>
          <w:szCs w:val="24"/>
          <w:lang w:val="sq-AL"/>
        </w:rPr>
      </w:pPr>
      <w:r w:rsidRPr="0047684C">
        <w:rPr>
          <w:rFonts w:ascii="Times New Roman" w:eastAsia="Calibri" w:hAnsi="Times New Roman" w:cs="Times New Roman"/>
          <w:bCs/>
          <w:iCs/>
          <w:sz w:val="24"/>
          <w:szCs w:val="24"/>
          <w:lang w:val="sq-AL"/>
        </w:rPr>
        <w:t>Karboni organik total (TOC) është sasia e karbonit që gjendet në një përbërje organike dhe shpesh përdoret si një tregues jo-specifik i cilësisë së ujit. TOC është masa e pranisë së karbonit organik të tretur dhe grimcor në mostrat e uj</w:t>
      </w:r>
      <w:r w:rsidR="00E224D1">
        <w:rPr>
          <w:rFonts w:ascii="Times New Roman" w:eastAsia="Calibri" w:hAnsi="Times New Roman" w:cs="Times New Roman"/>
          <w:bCs/>
          <w:iCs/>
          <w:sz w:val="24"/>
          <w:szCs w:val="24"/>
          <w:lang w:val="sq-AL"/>
        </w:rPr>
        <w:t>it. Ky parametër lidhet me përq</w:t>
      </w:r>
      <w:r w:rsidR="00E224D1">
        <w:rPr>
          <w:rFonts w:ascii="Times New Roman" w:hAnsi="Times New Roman"/>
          <w:sz w:val="24"/>
          <w:szCs w:val="24"/>
        </w:rPr>
        <w:t>ë</w:t>
      </w:r>
      <w:r w:rsidRPr="0047684C">
        <w:rPr>
          <w:rFonts w:ascii="Times New Roman" w:eastAsia="Calibri" w:hAnsi="Times New Roman" w:cs="Times New Roman"/>
          <w:bCs/>
          <w:iCs/>
          <w:sz w:val="24"/>
          <w:szCs w:val="24"/>
          <w:lang w:val="sq-AL"/>
        </w:rPr>
        <w:t>ndrimet e oksigjenit të tretur në mostrën e ujit. Sa më e madhe të jetë përmbajtja e karbonit ose e lëndës organike, aq më shumë oksigjen konsumohet. Një përmbajtje e lartë organike do të thotë një rritje në rritjen e mikroorganizmave që kontribuojnë në pakësimin e furnizimeve me oksigjen.</w:t>
      </w:r>
    </w:p>
    <w:p w:rsidR="0047684C" w:rsidRPr="0047684C" w:rsidRDefault="0047684C" w:rsidP="0047684C">
      <w:pPr>
        <w:spacing w:after="0" w:line="240" w:lineRule="auto"/>
        <w:jc w:val="both"/>
        <w:rPr>
          <w:rFonts w:ascii="Times New Roman" w:eastAsia="Calibri" w:hAnsi="Times New Roman" w:cs="Times New Roman"/>
          <w:bCs/>
          <w:iCs/>
          <w:sz w:val="24"/>
          <w:szCs w:val="24"/>
          <w:lang w:val="sq-AL"/>
        </w:rPr>
      </w:pPr>
      <w:r w:rsidRPr="0047684C">
        <w:rPr>
          <w:rFonts w:ascii="Times New Roman" w:eastAsia="Calibri" w:hAnsi="Times New Roman" w:cs="Times New Roman"/>
          <w:bCs/>
          <w:iCs/>
          <w:sz w:val="24"/>
          <w:szCs w:val="24"/>
          <w:lang w:val="sq-AL"/>
        </w:rPr>
        <w:t>Përmbajtja e TOC është vlerësuar &lt; 5mg/l duke i klasifikuar stacionet në cilësi të mirë.</w:t>
      </w:r>
    </w:p>
    <w:p w:rsidR="0047684C" w:rsidRPr="0047684C" w:rsidRDefault="0047684C" w:rsidP="0047684C">
      <w:pPr>
        <w:spacing w:after="0" w:line="240" w:lineRule="auto"/>
        <w:jc w:val="both"/>
        <w:rPr>
          <w:rFonts w:ascii="Times New Roman" w:eastAsia="Calibri" w:hAnsi="Times New Roman" w:cs="Times New Roman"/>
          <w:b/>
          <w:i/>
          <w:sz w:val="24"/>
          <w:szCs w:val="24"/>
          <w:lang w:val="sq-AL"/>
        </w:rPr>
      </w:pPr>
    </w:p>
    <w:p w:rsidR="0047684C" w:rsidRPr="0047684C" w:rsidRDefault="0047684C" w:rsidP="0047684C">
      <w:pPr>
        <w:spacing w:after="0" w:line="240" w:lineRule="auto"/>
        <w:jc w:val="both"/>
        <w:rPr>
          <w:rFonts w:ascii="Times New Roman" w:eastAsia="Calibri" w:hAnsi="Times New Roman" w:cs="Times New Roman"/>
          <w:b/>
          <w:i/>
          <w:sz w:val="24"/>
          <w:szCs w:val="24"/>
          <w:lang w:val="sq-AL"/>
        </w:rPr>
      </w:pPr>
      <w:r w:rsidRPr="0047684C">
        <w:rPr>
          <w:rFonts w:ascii="Times New Roman" w:eastAsia="Calibri" w:hAnsi="Times New Roman" w:cs="Times New Roman"/>
          <w:b/>
          <w:i/>
          <w:sz w:val="24"/>
          <w:szCs w:val="24"/>
          <w:lang w:val="sq-AL"/>
        </w:rPr>
        <w:t>Duke vlerësuar të gjithë parametrat bazë të Direktivës Kuadër të Ujit, vlerësojmë se ujërat e Basenit të Matit klasifikohen në Klasën II – Gjendje e mirë.</w:t>
      </w:r>
    </w:p>
    <w:p w:rsidR="0047684C" w:rsidRPr="0047684C" w:rsidRDefault="0047684C" w:rsidP="0047684C">
      <w:pPr>
        <w:spacing w:after="0" w:line="240" w:lineRule="auto"/>
        <w:jc w:val="both"/>
        <w:rPr>
          <w:rFonts w:ascii="Times New Roman" w:eastAsia="Calibri" w:hAnsi="Times New Roman" w:cs="Times New Roman"/>
          <w:b/>
          <w:i/>
          <w:sz w:val="24"/>
          <w:szCs w:val="24"/>
          <w:lang w:val="sq-AL"/>
        </w:rPr>
      </w:pPr>
    </w:p>
    <w:p w:rsidR="0047684C" w:rsidRPr="0047684C" w:rsidRDefault="0047684C" w:rsidP="0047684C">
      <w:pPr>
        <w:spacing w:after="0" w:line="240" w:lineRule="auto"/>
        <w:jc w:val="both"/>
        <w:rPr>
          <w:rFonts w:ascii="Times New Roman" w:eastAsia="Calibri" w:hAnsi="Times New Roman" w:cs="Times New Roman"/>
          <w:b/>
          <w:i/>
          <w:sz w:val="24"/>
          <w:szCs w:val="24"/>
          <w:lang w:val="sq-AL"/>
        </w:rPr>
      </w:pPr>
    </w:p>
    <w:p w:rsidR="0047684C" w:rsidRPr="0047684C" w:rsidRDefault="0047684C" w:rsidP="0047684C">
      <w:pPr>
        <w:spacing w:after="0" w:line="240" w:lineRule="auto"/>
        <w:jc w:val="both"/>
        <w:rPr>
          <w:rFonts w:ascii="Times New Roman" w:eastAsia="Calibri" w:hAnsi="Times New Roman" w:cs="Times New Roman"/>
          <w:b/>
          <w:i/>
          <w:sz w:val="24"/>
          <w:szCs w:val="24"/>
          <w:lang w:val="sq-AL"/>
        </w:rPr>
      </w:pPr>
    </w:p>
    <w:p w:rsidR="0047684C" w:rsidRDefault="0047684C" w:rsidP="004D460A">
      <w:pPr>
        <w:numPr>
          <w:ilvl w:val="0"/>
          <w:numId w:val="22"/>
        </w:numPr>
        <w:spacing w:after="200" w:line="276" w:lineRule="auto"/>
        <w:contextualSpacing/>
        <w:rPr>
          <w:rFonts w:ascii="Times New Roman" w:eastAsia="Calibri" w:hAnsi="Times New Roman" w:cs="Times New Roman"/>
          <w:b/>
          <w:sz w:val="24"/>
          <w:szCs w:val="24"/>
          <w:lang w:val="sq-AL"/>
        </w:rPr>
      </w:pPr>
      <w:r w:rsidRPr="0047684C">
        <w:rPr>
          <w:rFonts w:ascii="Times New Roman" w:eastAsia="Calibri" w:hAnsi="Times New Roman" w:cs="Times New Roman"/>
          <w:b/>
          <w:sz w:val="24"/>
          <w:szCs w:val="24"/>
          <w:lang w:val="sq-AL"/>
        </w:rPr>
        <w:t>Baseni</w:t>
      </w:r>
      <w:r w:rsidR="00F26274">
        <w:rPr>
          <w:rFonts w:ascii="Times New Roman" w:eastAsia="Calibri" w:hAnsi="Times New Roman" w:cs="Times New Roman"/>
          <w:b/>
          <w:sz w:val="24"/>
          <w:szCs w:val="24"/>
          <w:lang w:val="sq-AL"/>
        </w:rPr>
        <w:t xml:space="preserve"> lumor  Ishëm dhe </w:t>
      </w:r>
      <w:r w:rsidRPr="0047684C">
        <w:rPr>
          <w:rFonts w:ascii="Times New Roman" w:eastAsia="Calibri" w:hAnsi="Times New Roman" w:cs="Times New Roman"/>
          <w:b/>
          <w:sz w:val="24"/>
          <w:szCs w:val="24"/>
          <w:lang w:val="sq-AL"/>
        </w:rPr>
        <w:t>Erzen</w:t>
      </w:r>
    </w:p>
    <w:p w:rsidR="00165888" w:rsidRPr="0047684C" w:rsidRDefault="00165888" w:rsidP="00165888">
      <w:pPr>
        <w:spacing w:after="200" w:line="276" w:lineRule="auto"/>
        <w:ind w:left="720"/>
        <w:contextualSpacing/>
        <w:rPr>
          <w:rFonts w:ascii="Times New Roman" w:eastAsia="Calibri" w:hAnsi="Times New Roman" w:cs="Times New Roman"/>
          <w:b/>
          <w:sz w:val="24"/>
          <w:szCs w:val="24"/>
          <w:lang w:val="sq-AL"/>
        </w:rPr>
      </w:pPr>
    </w:p>
    <w:p w:rsidR="0047684C" w:rsidRPr="0047684C" w:rsidRDefault="0047684C" w:rsidP="008B7244">
      <w:pPr>
        <w:spacing w:after="200" w:line="276" w:lineRule="auto"/>
        <w:jc w:val="both"/>
        <w:rPr>
          <w:rFonts w:ascii="Times New Roman" w:eastAsia="Calibri" w:hAnsi="Times New Roman" w:cs="Times New Roman"/>
          <w:color w:val="222222"/>
          <w:sz w:val="24"/>
          <w:szCs w:val="24"/>
          <w:shd w:val="clear" w:color="auto" w:fill="FFFFFF"/>
        </w:rPr>
      </w:pPr>
      <w:r w:rsidRPr="0047684C">
        <w:rPr>
          <w:rFonts w:ascii="Times New Roman" w:eastAsia="Calibri" w:hAnsi="Times New Roman" w:cs="Times New Roman"/>
          <w:b/>
          <w:sz w:val="24"/>
          <w:szCs w:val="24"/>
          <w:lang w:val="sq-AL"/>
        </w:rPr>
        <w:t xml:space="preserve">Lumi i Tiranës </w:t>
      </w:r>
      <w:r w:rsidRPr="0047684C">
        <w:rPr>
          <w:rFonts w:ascii="Times New Roman" w:eastAsia="Calibri" w:hAnsi="Times New Roman" w:cs="Times New Roman"/>
          <w:sz w:val="24"/>
          <w:szCs w:val="24"/>
          <w:lang w:val="sq-AL"/>
        </w:rPr>
        <w:t>përshkon p</w:t>
      </w:r>
      <w:r w:rsidRPr="0047684C">
        <w:rPr>
          <w:rFonts w:ascii="Times New Roman" w:eastAsia="Calibri" w:hAnsi="Times New Roman" w:cs="Times New Roman"/>
          <w:color w:val="222222"/>
          <w:sz w:val="24"/>
          <w:szCs w:val="24"/>
          <w:shd w:val="clear" w:color="auto" w:fill="FFFFFF"/>
        </w:rPr>
        <w:t>jesën veriore të Tiranës, në zonën e quajtur Bregu i Lumit aty ku formohet kufiri administrativ verior i Tiranës i cili e ndan nga Komuna Paskuqan.</w:t>
      </w:r>
    </w:p>
    <w:p w:rsidR="0047684C" w:rsidRPr="0047684C" w:rsidRDefault="0047684C" w:rsidP="008B7244">
      <w:pPr>
        <w:shd w:val="clear" w:color="auto" w:fill="FFFFFF"/>
        <w:spacing w:before="120" w:after="200" w:line="240" w:lineRule="auto"/>
        <w:jc w:val="both"/>
        <w:rPr>
          <w:rFonts w:ascii="Times New Roman" w:eastAsia="Times New Roman" w:hAnsi="Times New Roman" w:cs="Times New Roman"/>
          <w:color w:val="222222"/>
          <w:sz w:val="24"/>
          <w:szCs w:val="24"/>
        </w:rPr>
      </w:pPr>
      <w:r w:rsidRPr="0047684C">
        <w:rPr>
          <w:rFonts w:ascii="Times New Roman" w:eastAsia="Times New Roman" w:hAnsi="Times New Roman" w:cs="Times New Roman"/>
          <w:b/>
          <w:color w:val="222222"/>
          <w:sz w:val="24"/>
          <w:szCs w:val="24"/>
        </w:rPr>
        <w:t>Lana</w:t>
      </w:r>
      <w:r w:rsidRPr="0047684C">
        <w:rPr>
          <w:rFonts w:ascii="Times New Roman" w:eastAsia="Times New Roman" w:hAnsi="Times New Roman" w:cs="Times New Roman"/>
          <w:color w:val="222222"/>
          <w:sz w:val="24"/>
          <w:szCs w:val="24"/>
        </w:rPr>
        <w:t xml:space="preserve"> derdhet në Lumin e Tiranës, i cili kalon përmes qytetit të Tiranës. Ai buron në pjesën perëndimore të Qafës së Priskës dhe ka një gjatësi prej 29 km. Në hyrje të Tiranës, Lana rrjedh në një kanal të sistemuar betoni dhe pastaj bashkohet me lumin e Tiranës në verilindje të Bërxullës nga ku formohet Lumi i Ishmit.</w:t>
      </w:r>
    </w:p>
    <w:p w:rsidR="0047684C" w:rsidRPr="0047684C" w:rsidRDefault="0047684C" w:rsidP="008B7244">
      <w:pPr>
        <w:spacing w:after="200" w:line="276" w:lineRule="auto"/>
        <w:jc w:val="both"/>
        <w:rPr>
          <w:rFonts w:ascii="Times New Roman" w:eastAsia="Calibri" w:hAnsi="Times New Roman" w:cs="Times New Roman"/>
          <w:color w:val="222222"/>
          <w:sz w:val="24"/>
          <w:szCs w:val="24"/>
          <w:shd w:val="clear" w:color="auto" w:fill="FFFFFF"/>
        </w:rPr>
      </w:pPr>
      <w:r w:rsidRPr="0047684C">
        <w:rPr>
          <w:rFonts w:ascii="Times New Roman" w:eastAsia="Calibri" w:hAnsi="Times New Roman" w:cs="Times New Roman"/>
          <w:b/>
          <w:sz w:val="24"/>
          <w:szCs w:val="24"/>
          <w:lang w:val="sq-AL"/>
        </w:rPr>
        <w:t xml:space="preserve">Lumi Ishëm </w:t>
      </w:r>
      <w:r w:rsidRPr="0047684C">
        <w:rPr>
          <w:rFonts w:ascii="Times New Roman" w:eastAsia="Calibri" w:hAnsi="Times New Roman" w:cs="Times New Roman"/>
          <w:color w:val="222222"/>
          <w:sz w:val="24"/>
          <w:szCs w:val="24"/>
          <w:shd w:val="clear" w:color="auto" w:fill="FFFFFF"/>
        </w:rPr>
        <w:t>rrjedh përmes Shqipërisë Qendrore me një gjatësi rreth 74 km i cili  formohet nga bashkimi i Lumit të Tiranës, delta e të cilit ndodhet në Kepin e Rodonit.</w:t>
      </w:r>
    </w:p>
    <w:p w:rsidR="0047684C" w:rsidRPr="0047684C" w:rsidRDefault="0047684C" w:rsidP="008B7244">
      <w:pPr>
        <w:spacing w:after="200" w:line="276" w:lineRule="auto"/>
        <w:jc w:val="both"/>
        <w:rPr>
          <w:rFonts w:ascii="Times New Roman" w:eastAsia="Calibri" w:hAnsi="Times New Roman" w:cs="Times New Roman"/>
          <w:color w:val="222222"/>
          <w:sz w:val="24"/>
          <w:szCs w:val="24"/>
        </w:rPr>
      </w:pPr>
      <w:r w:rsidRPr="0047684C">
        <w:rPr>
          <w:rFonts w:ascii="Times New Roman" w:eastAsia="Calibri" w:hAnsi="Times New Roman" w:cs="Times New Roman"/>
          <w:b/>
          <w:color w:val="222222"/>
          <w:sz w:val="24"/>
          <w:szCs w:val="24"/>
          <w:shd w:val="clear" w:color="auto" w:fill="FFFFFF"/>
        </w:rPr>
        <w:t xml:space="preserve">Lumi Erzen </w:t>
      </w:r>
      <w:r w:rsidRPr="0047684C">
        <w:rPr>
          <w:rFonts w:ascii="Times New Roman" w:eastAsia="Calibri" w:hAnsi="Times New Roman" w:cs="Times New Roman"/>
          <w:color w:val="222222"/>
          <w:sz w:val="24"/>
          <w:szCs w:val="24"/>
          <w:shd w:val="clear" w:color="auto" w:fill="FFFFFF"/>
        </w:rPr>
        <w:t>buron nga Mali me Gropa, 25 km nga lindja e Tiranës, pranë</w:t>
      </w:r>
      <w:r w:rsidRPr="0047684C">
        <w:rPr>
          <w:rFonts w:ascii="Times New Roman" w:eastAsia="Calibri" w:hAnsi="Times New Roman" w:cs="Times New Roman"/>
          <w:color w:val="222222"/>
          <w:sz w:val="24"/>
          <w:szCs w:val="24"/>
        </w:rPr>
        <w:t xml:space="preserve"> Shëngjergjit dhe derdhet në Gjirin e Lalëzit në veri të qytetit të Durrësit.</w:t>
      </w:r>
    </w:p>
    <w:p w:rsidR="0047684C" w:rsidRDefault="0047684C" w:rsidP="008B7244">
      <w:pPr>
        <w:spacing w:after="200" w:line="276"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Monitorimi i këtij baseni realizohet në 10 stacione kampionimi në të gjithë gjatësinë e tij, të cilat janë paraqitur në formë tabelare si vijon:</w:t>
      </w:r>
    </w:p>
    <w:p w:rsidR="000505FE" w:rsidRDefault="000505FE" w:rsidP="002C46B9">
      <w:pPr>
        <w:spacing w:after="0" w:line="240" w:lineRule="auto"/>
        <w:jc w:val="both"/>
        <w:rPr>
          <w:rFonts w:ascii="Times New Roman" w:eastAsia="Calibri" w:hAnsi="Times New Roman" w:cs="Times New Roman"/>
          <w:sz w:val="24"/>
          <w:szCs w:val="24"/>
          <w:lang w:val="sq-AL"/>
        </w:rPr>
      </w:pPr>
      <w:r w:rsidRPr="000505FE">
        <w:rPr>
          <w:rFonts w:ascii="Times New Roman" w:eastAsia="Calibri" w:hAnsi="Times New Roman" w:cs="Times New Roman"/>
          <w:sz w:val="24"/>
          <w:szCs w:val="24"/>
          <w:lang w:val="sq-AL"/>
        </w:rPr>
        <w:t>Tabela 1</w:t>
      </w:r>
      <w:r>
        <w:rPr>
          <w:rFonts w:ascii="Times New Roman" w:eastAsia="Calibri" w:hAnsi="Times New Roman" w:cs="Times New Roman"/>
          <w:sz w:val="24"/>
          <w:szCs w:val="24"/>
          <w:lang w:val="sq-AL"/>
        </w:rPr>
        <w:t>9</w:t>
      </w:r>
      <w:r w:rsidRPr="000505FE">
        <w:rPr>
          <w:rFonts w:ascii="Times New Roman" w:eastAsia="Calibri" w:hAnsi="Times New Roman" w:cs="Times New Roman"/>
          <w:sz w:val="24"/>
          <w:szCs w:val="24"/>
          <w:lang w:val="sq-AL"/>
        </w:rPr>
        <w:t xml:space="preserve">. Stacionet e kampionimit për basenin </w:t>
      </w:r>
      <w:r>
        <w:rPr>
          <w:rFonts w:ascii="Times New Roman" w:eastAsia="Calibri" w:hAnsi="Times New Roman" w:cs="Times New Roman"/>
          <w:sz w:val="24"/>
          <w:szCs w:val="24"/>
          <w:lang w:val="sq-AL"/>
        </w:rPr>
        <w:t>Ishëm-Erzen</w:t>
      </w:r>
    </w:p>
    <w:p w:rsidR="002C46B9" w:rsidRDefault="002C46B9" w:rsidP="002C46B9">
      <w:pPr>
        <w:spacing w:after="0" w:line="240" w:lineRule="auto"/>
        <w:jc w:val="both"/>
        <w:rPr>
          <w:rFonts w:ascii="Times New Roman" w:eastAsia="Calibri" w:hAnsi="Times New Roman" w:cs="Times New Roman"/>
          <w:sz w:val="24"/>
          <w:szCs w:val="24"/>
          <w:lang w:val="sq-AL"/>
        </w:rPr>
      </w:pPr>
    </w:p>
    <w:p w:rsidR="002C46B9" w:rsidRPr="0047684C" w:rsidRDefault="002C46B9" w:rsidP="002C46B9">
      <w:pPr>
        <w:spacing w:after="0" w:line="240" w:lineRule="auto"/>
        <w:jc w:val="both"/>
        <w:rPr>
          <w:rFonts w:ascii="Times New Roman" w:eastAsia="Calibri" w:hAnsi="Times New Roman" w:cs="Times New Roman"/>
          <w:sz w:val="24"/>
          <w:szCs w:val="24"/>
          <w:lang w:val="sq-AL"/>
        </w:rPr>
      </w:pPr>
    </w:p>
    <w:tbl>
      <w:tblPr>
        <w:tblStyle w:val="TableGrid"/>
        <w:tblW w:w="0" w:type="auto"/>
        <w:tblInd w:w="108" w:type="dxa"/>
        <w:tblLook w:val="04A0" w:firstRow="1" w:lastRow="0" w:firstColumn="1" w:lastColumn="0" w:noHBand="0" w:noVBand="1"/>
      </w:tblPr>
      <w:tblGrid>
        <w:gridCol w:w="556"/>
        <w:gridCol w:w="1334"/>
        <w:gridCol w:w="2119"/>
        <w:gridCol w:w="3154"/>
        <w:gridCol w:w="2305"/>
      </w:tblGrid>
      <w:tr w:rsidR="0047684C" w:rsidRPr="0047684C" w:rsidTr="0047684C">
        <w:tc>
          <w:tcPr>
            <w:tcW w:w="556"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Nr.</w:t>
            </w:r>
          </w:p>
        </w:tc>
        <w:tc>
          <w:tcPr>
            <w:tcW w:w="1334"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Kodi i kampionit</w:t>
            </w:r>
          </w:p>
        </w:tc>
        <w:tc>
          <w:tcPr>
            <w:tcW w:w="2119"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Emërtimi i Lumit</w:t>
            </w:r>
          </w:p>
        </w:tc>
        <w:tc>
          <w:tcPr>
            <w:tcW w:w="3154"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Vendndodhja</w:t>
            </w:r>
          </w:p>
        </w:tc>
        <w:tc>
          <w:tcPr>
            <w:tcW w:w="2305"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Koordinatat gjeografike</w:t>
            </w:r>
          </w:p>
        </w:tc>
      </w:tr>
      <w:tr w:rsidR="0047684C" w:rsidRPr="0047684C" w:rsidTr="0047684C">
        <w:tc>
          <w:tcPr>
            <w:tcW w:w="556"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1.</w:t>
            </w:r>
          </w:p>
        </w:tc>
        <w:tc>
          <w:tcPr>
            <w:tcW w:w="133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T</w:t>
            </w:r>
            <w:r w:rsidRPr="0047684C">
              <w:rPr>
                <w:rFonts w:ascii="Times New Roman" w:eastAsia="Calibri" w:hAnsi="Times New Roman" w:cs="Times New Roman"/>
                <w:vertAlign w:val="subscript"/>
                <w:lang w:val="sq-AL"/>
              </w:rPr>
              <w:t>1</w:t>
            </w:r>
          </w:p>
        </w:tc>
        <w:tc>
          <w:tcPr>
            <w:tcW w:w="211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 Tiranës</w:t>
            </w:r>
          </w:p>
        </w:tc>
        <w:tc>
          <w:tcPr>
            <w:tcW w:w="315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e Brarit</w:t>
            </w:r>
          </w:p>
        </w:tc>
        <w:tc>
          <w:tcPr>
            <w:tcW w:w="2305" w:type="dxa"/>
          </w:tcPr>
          <w:p w:rsidR="0047684C" w:rsidRPr="0047684C" w:rsidRDefault="0047684C" w:rsidP="0047684C">
            <w:pPr>
              <w:rPr>
                <w:rFonts w:ascii="Times New Roman" w:eastAsia="Calibri" w:hAnsi="Times New Roman" w:cs="Times New Roman"/>
                <w:lang w:val="sq-AL"/>
              </w:rPr>
            </w:pPr>
            <w:r w:rsidRPr="0047684C">
              <w:rPr>
                <w:rFonts w:ascii="Times New Roman" w:eastAsia="Calibri" w:hAnsi="Times New Roman" w:cs="Times New Roman"/>
                <w:lang w:val="sq-AL"/>
              </w:rPr>
              <w:t xml:space="preserve">N 41.372595    </w:t>
            </w:r>
          </w:p>
          <w:p w:rsidR="0047684C" w:rsidRPr="0047684C" w:rsidRDefault="0047684C" w:rsidP="0047684C">
            <w:pPr>
              <w:rPr>
                <w:rFonts w:ascii="Times New Roman" w:eastAsia="Calibri" w:hAnsi="Times New Roman" w:cs="Times New Roman"/>
                <w:lang w:val="sq-AL"/>
              </w:rPr>
            </w:pPr>
            <w:r w:rsidRPr="0047684C">
              <w:rPr>
                <w:rFonts w:ascii="Times New Roman" w:eastAsia="Calibri" w:hAnsi="Times New Roman" w:cs="Times New Roman"/>
                <w:lang w:val="sq-AL"/>
              </w:rPr>
              <w:t>E 19.855204</w:t>
            </w:r>
          </w:p>
        </w:tc>
      </w:tr>
      <w:tr w:rsidR="0047684C" w:rsidRPr="0047684C" w:rsidTr="0047684C">
        <w:tc>
          <w:tcPr>
            <w:tcW w:w="556"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2.</w:t>
            </w:r>
          </w:p>
        </w:tc>
        <w:tc>
          <w:tcPr>
            <w:tcW w:w="133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T</w:t>
            </w:r>
            <w:r w:rsidRPr="0047684C">
              <w:rPr>
                <w:rFonts w:ascii="Times New Roman" w:eastAsia="Calibri" w:hAnsi="Times New Roman" w:cs="Times New Roman"/>
                <w:vertAlign w:val="subscript"/>
                <w:lang w:val="sq-AL"/>
              </w:rPr>
              <w:t>2</w:t>
            </w:r>
          </w:p>
        </w:tc>
        <w:tc>
          <w:tcPr>
            <w:tcW w:w="211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 Tiranës</w:t>
            </w:r>
          </w:p>
        </w:tc>
        <w:tc>
          <w:tcPr>
            <w:tcW w:w="315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Kamëz – poshtë urës</w:t>
            </w:r>
          </w:p>
        </w:tc>
        <w:tc>
          <w:tcPr>
            <w:tcW w:w="230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41.354077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19.773338</w:t>
            </w:r>
          </w:p>
        </w:tc>
      </w:tr>
      <w:tr w:rsidR="0047684C" w:rsidRPr="0047684C" w:rsidTr="0047684C">
        <w:tc>
          <w:tcPr>
            <w:tcW w:w="556"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3.</w:t>
            </w:r>
          </w:p>
        </w:tc>
        <w:tc>
          <w:tcPr>
            <w:tcW w:w="133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w:t>
            </w:r>
            <w:r w:rsidRPr="0047684C">
              <w:rPr>
                <w:rFonts w:ascii="Times New Roman" w:eastAsia="Calibri" w:hAnsi="Times New Roman" w:cs="Times New Roman"/>
                <w:vertAlign w:val="subscript"/>
                <w:lang w:val="sq-AL"/>
              </w:rPr>
              <w:t>1</w:t>
            </w:r>
          </w:p>
        </w:tc>
        <w:tc>
          <w:tcPr>
            <w:tcW w:w="211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 Lanës</w:t>
            </w:r>
          </w:p>
        </w:tc>
        <w:tc>
          <w:tcPr>
            <w:tcW w:w="315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Lanabregas- 200 – 300 m sipër gurores Dajti</w:t>
            </w:r>
          </w:p>
        </w:tc>
        <w:tc>
          <w:tcPr>
            <w:tcW w:w="230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41.3293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19.8788</w:t>
            </w:r>
          </w:p>
        </w:tc>
      </w:tr>
      <w:tr w:rsidR="0047684C" w:rsidRPr="0047684C" w:rsidTr="0047684C">
        <w:tc>
          <w:tcPr>
            <w:tcW w:w="556"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lastRenderedPageBreak/>
              <w:t>4.</w:t>
            </w:r>
          </w:p>
        </w:tc>
        <w:tc>
          <w:tcPr>
            <w:tcW w:w="133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w:t>
            </w:r>
            <w:r w:rsidRPr="0047684C">
              <w:rPr>
                <w:rFonts w:ascii="Times New Roman" w:eastAsia="Calibri" w:hAnsi="Times New Roman" w:cs="Times New Roman"/>
                <w:vertAlign w:val="subscript"/>
                <w:lang w:val="sq-AL"/>
              </w:rPr>
              <w:t>2</w:t>
            </w:r>
          </w:p>
        </w:tc>
        <w:tc>
          <w:tcPr>
            <w:tcW w:w="211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 Lanës</w:t>
            </w:r>
          </w:p>
        </w:tc>
        <w:tc>
          <w:tcPr>
            <w:tcW w:w="315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Ish dogana Kashar në autostradë 200m poshtë urës, 700 – 800m nga kryqëzimi i Coca - Colës</w:t>
            </w:r>
          </w:p>
        </w:tc>
        <w:tc>
          <w:tcPr>
            <w:tcW w:w="230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41.3385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19.7762</w:t>
            </w:r>
          </w:p>
        </w:tc>
      </w:tr>
      <w:tr w:rsidR="0047684C" w:rsidRPr="0047684C" w:rsidTr="0047684C">
        <w:tc>
          <w:tcPr>
            <w:tcW w:w="556"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5.</w:t>
            </w:r>
          </w:p>
        </w:tc>
        <w:tc>
          <w:tcPr>
            <w:tcW w:w="133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Ish</w:t>
            </w:r>
            <w:r w:rsidRPr="0047684C">
              <w:rPr>
                <w:rFonts w:ascii="Times New Roman" w:eastAsia="Calibri" w:hAnsi="Times New Roman" w:cs="Times New Roman"/>
                <w:vertAlign w:val="subscript"/>
                <w:lang w:val="sq-AL"/>
              </w:rPr>
              <w:t>1</w:t>
            </w:r>
          </w:p>
        </w:tc>
        <w:tc>
          <w:tcPr>
            <w:tcW w:w="211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Ishëm</w:t>
            </w:r>
          </w:p>
        </w:tc>
        <w:tc>
          <w:tcPr>
            <w:tcW w:w="315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Rinas</w:t>
            </w:r>
          </w:p>
        </w:tc>
        <w:tc>
          <w:tcPr>
            <w:tcW w:w="230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41.435932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19.696267</w:t>
            </w:r>
          </w:p>
        </w:tc>
      </w:tr>
      <w:tr w:rsidR="0047684C" w:rsidRPr="0047684C" w:rsidTr="0047684C">
        <w:tc>
          <w:tcPr>
            <w:tcW w:w="556"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6.</w:t>
            </w:r>
          </w:p>
        </w:tc>
        <w:tc>
          <w:tcPr>
            <w:tcW w:w="133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Ish</w:t>
            </w:r>
            <w:r w:rsidRPr="0047684C">
              <w:rPr>
                <w:rFonts w:ascii="Times New Roman" w:eastAsia="Calibri" w:hAnsi="Times New Roman" w:cs="Times New Roman"/>
                <w:vertAlign w:val="subscript"/>
                <w:lang w:val="sq-AL"/>
              </w:rPr>
              <w:t>2</w:t>
            </w:r>
          </w:p>
        </w:tc>
        <w:tc>
          <w:tcPr>
            <w:tcW w:w="211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Ishëm</w:t>
            </w:r>
          </w:p>
        </w:tc>
        <w:tc>
          <w:tcPr>
            <w:tcW w:w="315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e Gjolës</w:t>
            </w:r>
          </w:p>
        </w:tc>
        <w:tc>
          <w:tcPr>
            <w:tcW w:w="230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41.467270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19.691924</w:t>
            </w:r>
          </w:p>
        </w:tc>
      </w:tr>
      <w:tr w:rsidR="0047684C" w:rsidRPr="0047684C" w:rsidTr="0047684C">
        <w:tc>
          <w:tcPr>
            <w:tcW w:w="556"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7.</w:t>
            </w:r>
          </w:p>
        </w:tc>
        <w:tc>
          <w:tcPr>
            <w:tcW w:w="133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Ish</w:t>
            </w:r>
            <w:r w:rsidRPr="0047684C">
              <w:rPr>
                <w:rFonts w:ascii="Times New Roman" w:eastAsia="Calibri" w:hAnsi="Times New Roman" w:cs="Times New Roman"/>
                <w:vertAlign w:val="subscript"/>
                <w:lang w:val="sq-AL"/>
              </w:rPr>
              <w:t>3</w:t>
            </w:r>
          </w:p>
        </w:tc>
        <w:tc>
          <w:tcPr>
            <w:tcW w:w="211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Ishëm</w:t>
            </w:r>
          </w:p>
        </w:tc>
        <w:tc>
          <w:tcPr>
            <w:tcW w:w="315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Salmer</w:t>
            </w:r>
          </w:p>
        </w:tc>
        <w:tc>
          <w:tcPr>
            <w:tcW w:w="230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41.541421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19.610609</w:t>
            </w:r>
          </w:p>
        </w:tc>
      </w:tr>
      <w:tr w:rsidR="0047684C" w:rsidRPr="0047684C" w:rsidTr="0047684C">
        <w:tc>
          <w:tcPr>
            <w:tcW w:w="556"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8.</w:t>
            </w:r>
          </w:p>
        </w:tc>
        <w:tc>
          <w:tcPr>
            <w:tcW w:w="133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Er</w:t>
            </w:r>
            <w:r w:rsidRPr="0047684C">
              <w:rPr>
                <w:rFonts w:ascii="Times New Roman" w:eastAsia="Calibri" w:hAnsi="Times New Roman" w:cs="Times New Roman"/>
                <w:vertAlign w:val="subscript"/>
                <w:lang w:val="sq-AL"/>
              </w:rPr>
              <w:t>1</w:t>
            </w:r>
          </w:p>
        </w:tc>
        <w:tc>
          <w:tcPr>
            <w:tcW w:w="211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Erzen</w:t>
            </w:r>
          </w:p>
        </w:tc>
        <w:tc>
          <w:tcPr>
            <w:tcW w:w="315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Pëllumbas</w:t>
            </w:r>
          </w:p>
        </w:tc>
        <w:tc>
          <w:tcPr>
            <w:tcW w:w="230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41.245533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19.936300</w:t>
            </w:r>
          </w:p>
        </w:tc>
      </w:tr>
      <w:tr w:rsidR="0047684C" w:rsidRPr="0047684C" w:rsidTr="0047684C">
        <w:tc>
          <w:tcPr>
            <w:tcW w:w="556"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9.</w:t>
            </w:r>
          </w:p>
        </w:tc>
        <w:tc>
          <w:tcPr>
            <w:tcW w:w="133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Er</w:t>
            </w:r>
            <w:r w:rsidRPr="0047684C">
              <w:rPr>
                <w:rFonts w:ascii="Times New Roman" w:eastAsia="Calibri" w:hAnsi="Times New Roman" w:cs="Times New Roman"/>
                <w:vertAlign w:val="subscript"/>
                <w:lang w:val="sq-AL"/>
              </w:rPr>
              <w:t>2</w:t>
            </w:r>
          </w:p>
        </w:tc>
        <w:tc>
          <w:tcPr>
            <w:tcW w:w="211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Erzen</w:t>
            </w:r>
          </w:p>
        </w:tc>
        <w:tc>
          <w:tcPr>
            <w:tcW w:w="315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e Beshirit</w:t>
            </w:r>
          </w:p>
        </w:tc>
        <w:tc>
          <w:tcPr>
            <w:tcW w:w="230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41.292176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19.755325</w:t>
            </w:r>
          </w:p>
        </w:tc>
      </w:tr>
      <w:tr w:rsidR="0047684C" w:rsidRPr="0047684C" w:rsidTr="0047684C">
        <w:tc>
          <w:tcPr>
            <w:tcW w:w="556"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10.</w:t>
            </w:r>
          </w:p>
        </w:tc>
        <w:tc>
          <w:tcPr>
            <w:tcW w:w="133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Er</w:t>
            </w:r>
            <w:r w:rsidRPr="0047684C">
              <w:rPr>
                <w:rFonts w:ascii="Times New Roman" w:eastAsia="Calibri" w:hAnsi="Times New Roman" w:cs="Times New Roman"/>
                <w:vertAlign w:val="subscript"/>
                <w:lang w:val="sq-AL"/>
              </w:rPr>
              <w:t>3</w:t>
            </w:r>
          </w:p>
        </w:tc>
        <w:tc>
          <w:tcPr>
            <w:tcW w:w="211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Erzen</w:t>
            </w:r>
          </w:p>
        </w:tc>
        <w:tc>
          <w:tcPr>
            <w:tcW w:w="3154"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Sallmone – Fshati Rinia</w:t>
            </w:r>
          </w:p>
        </w:tc>
        <w:tc>
          <w:tcPr>
            <w:tcW w:w="230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41.360944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19.549134</w:t>
            </w:r>
          </w:p>
        </w:tc>
      </w:tr>
    </w:tbl>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Vlerësimi i cilësisë së ujërave të basenit është kryer bazuar në vlerat limite të parametrave të Direktivës Kuadër të Ujit.</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D460A">
      <w:pPr>
        <w:numPr>
          <w:ilvl w:val="0"/>
          <w:numId w:val="23"/>
        </w:numPr>
        <w:spacing w:after="0" w:line="240" w:lineRule="auto"/>
        <w:contextualSpacing/>
        <w:jc w:val="both"/>
        <w:rPr>
          <w:rFonts w:ascii="Times New Roman" w:eastAsia="Calibri" w:hAnsi="Times New Roman" w:cs="Times New Roman"/>
          <w:b/>
          <w:sz w:val="24"/>
          <w:szCs w:val="24"/>
          <w:lang w:val="sq-AL"/>
        </w:rPr>
      </w:pPr>
      <w:r w:rsidRPr="0047684C">
        <w:rPr>
          <w:rFonts w:ascii="Times New Roman" w:eastAsia="Calibri" w:hAnsi="Times New Roman" w:cs="Times New Roman"/>
          <w:b/>
          <w:sz w:val="24"/>
          <w:szCs w:val="24"/>
          <w:lang w:val="sq-AL"/>
        </w:rPr>
        <w:t>Oksigjeni i tretur</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Vlerat mesatare të ekspeditave të realizuara janë paraqitur në formë grafike ku vëmë re se vetëm stacioni L</w:t>
      </w:r>
      <w:r w:rsidRPr="0047684C">
        <w:rPr>
          <w:rFonts w:ascii="Times New Roman" w:eastAsia="Calibri" w:hAnsi="Times New Roman" w:cs="Times New Roman"/>
          <w:sz w:val="24"/>
          <w:szCs w:val="24"/>
          <w:vertAlign w:val="subscript"/>
          <w:lang w:val="sq-AL"/>
        </w:rPr>
        <w:t>2</w:t>
      </w:r>
      <w:r w:rsidRPr="0047684C">
        <w:rPr>
          <w:rFonts w:ascii="Times New Roman" w:eastAsia="Calibri" w:hAnsi="Times New Roman" w:cs="Times New Roman"/>
          <w:sz w:val="24"/>
          <w:szCs w:val="24"/>
          <w:lang w:val="sq-AL"/>
        </w:rPr>
        <w:t xml:space="preserve"> – Yrshek (Ish Dogana) klasifikohet në Klasën V – Gjendje e</w:t>
      </w:r>
      <w:r w:rsidR="008B7244">
        <w:rPr>
          <w:rFonts w:ascii="Times New Roman" w:eastAsia="Calibri" w:hAnsi="Times New Roman" w:cs="Times New Roman"/>
          <w:sz w:val="24"/>
          <w:szCs w:val="24"/>
          <w:lang w:val="sq-AL"/>
        </w:rPr>
        <w:t xml:space="preserve"> keqe</w:t>
      </w:r>
      <w:r w:rsidRPr="0047684C">
        <w:rPr>
          <w:rFonts w:ascii="Times New Roman" w:eastAsia="Calibri" w:hAnsi="Times New Roman" w:cs="Times New Roman"/>
          <w:sz w:val="24"/>
          <w:szCs w:val="24"/>
          <w:lang w:val="sq-AL"/>
        </w:rPr>
        <w:t xml:space="preserve">. </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center"/>
        <w:rPr>
          <w:rFonts w:ascii="Times New Roman" w:eastAsia="Calibri" w:hAnsi="Times New Roman" w:cs="Times New Roman"/>
          <w:sz w:val="24"/>
          <w:szCs w:val="24"/>
          <w:lang w:val="sq-AL"/>
        </w:rPr>
      </w:pPr>
      <w:r w:rsidRPr="0047684C">
        <w:rPr>
          <w:rFonts w:ascii="Calibri" w:eastAsia="Calibri" w:hAnsi="Calibri" w:cs="Times New Roman"/>
          <w:noProof/>
        </w:rPr>
        <w:drawing>
          <wp:inline distT="0" distB="0" distL="0" distR="0" wp14:anchorId="36577A09" wp14:editId="54F17A8B">
            <wp:extent cx="4162425" cy="2343150"/>
            <wp:effectExtent l="0" t="0" r="9525" b="19050"/>
            <wp:docPr id="357" name="Chart 1">
              <a:extLst xmlns:a="http://schemas.openxmlformats.org/drawingml/2006/main">
                <a:ext uri="{FF2B5EF4-FFF2-40B4-BE49-F238E27FC236}">
                  <a16:creationId xmlns:a16="http://schemas.microsoft.com/office/drawing/2014/main" id="{D1FB1155-DFBC-776D-4A06-6AE236A98B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7684C" w:rsidRPr="0047684C" w:rsidRDefault="0047684C" w:rsidP="0047684C">
      <w:pPr>
        <w:spacing w:after="200" w:line="276" w:lineRule="auto"/>
        <w:rPr>
          <w:rFonts w:ascii="Times New Roman" w:eastAsia="Calibri" w:hAnsi="Times New Roman" w:cs="Times New Roman"/>
          <w:sz w:val="24"/>
          <w:szCs w:val="24"/>
          <w:lang w:val="sq-AL"/>
        </w:rPr>
      </w:pPr>
    </w:p>
    <w:p w:rsidR="0047684C" w:rsidRPr="0047684C" w:rsidRDefault="0047684C" w:rsidP="0047684C">
      <w:pPr>
        <w:spacing w:after="200" w:line="276" w:lineRule="auto"/>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Lumi Er</w:t>
      </w:r>
      <w:r w:rsidR="00E224D1">
        <w:rPr>
          <w:rFonts w:ascii="Times New Roman" w:eastAsia="Calibri" w:hAnsi="Times New Roman" w:cs="Times New Roman"/>
          <w:sz w:val="24"/>
          <w:szCs w:val="24"/>
          <w:lang w:val="sq-AL"/>
        </w:rPr>
        <w:t>zen paraqitet të jetë me ujëra të</w:t>
      </w:r>
      <w:r w:rsidRPr="0047684C">
        <w:rPr>
          <w:rFonts w:ascii="Times New Roman" w:eastAsia="Calibri" w:hAnsi="Times New Roman" w:cs="Times New Roman"/>
          <w:sz w:val="24"/>
          <w:szCs w:val="24"/>
          <w:lang w:val="sq-AL"/>
        </w:rPr>
        <w:t xml:space="preserve"> pasur me oksigjen duke u klasifikuar në  Klasën I – Gjendje e lartë në të tre stacionet.</w:t>
      </w: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Nevoja Biokimike për oksigjen</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Ky parametër është i rëndësishëm për vlerësimin e cilësisë së ujërave të lumenjve, tregues i shkallës së ndotjes.</w:t>
      </w:r>
    </w:p>
    <w:p w:rsidR="0047684C" w:rsidRPr="0047684C" w:rsidRDefault="0047684C" w:rsidP="0047684C">
      <w:pPr>
        <w:spacing w:after="0" w:line="240" w:lineRule="auto"/>
        <w:rPr>
          <w:rFonts w:ascii="Times New Roman" w:eastAsia="Calibri" w:hAnsi="Times New Roman" w:cs="Times New Roman"/>
          <w:noProof/>
          <w:sz w:val="24"/>
          <w:szCs w:val="24"/>
        </w:rPr>
      </w:pPr>
    </w:p>
    <w:p w:rsidR="0047684C" w:rsidRPr="0047684C" w:rsidRDefault="0047684C" w:rsidP="0047684C">
      <w:pPr>
        <w:spacing w:after="0" w:line="240" w:lineRule="auto"/>
        <w:jc w:val="center"/>
        <w:rPr>
          <w:rFonts w:ascii="Times New Roman" w:eastAsia="Calibri" w:hAnsi="Times New Roman" w:cs="Times New Roman"/>
          <w:noProof/>
          <w:sz w:val="24"/>
          <w:szCs w:val="24"/>
        </w:rPr>
      </w:pPr>
      <w:r w:rsidRPr="0047684C">
        <w:rPr>
          <w:rFonts w:ascii="Calibri" w:eastAsia="Calibri" w:hAnsi="Calibri" w:cs="Times New Roman"/>
          <w:noProof/>
        </w:rPr>
        <w:lastRenderedPageBreak/>
        <w:drawing>
          <wp:inline distT="0" distB="0" distL="0" distR="0" wp14:anchorId="4EF70714" wp14:editId="75D76946">
            <wp:extent cx="4572000" cy="2124075"/>
            <wp:effectExtent l="0" t="0" r="19050" b="9525"/>
            <wp:docPr id="358" name="Chart 1">
              <a:extLst xmlns:a="http://schemas.openxmlformats.org/drawingml/2006/main">
                <a:ext uri="{FF2B5EF4-FFF2-40B4-BE49-F238E27FC236}">
                  <a16:creationId xmlns:a16="http://schemas.microsoft.com/office/drawing/2014/main" id="{0C5497D3-1402-0FB7-0736-3E484B763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7684C" w:rsidRPr="0047684C" w:rsidRDefault="0047684C" w:rsidP="0047684C">
      <w:pPr>
        <w:spacing w:after="0" w:line="240" w:lineRule="auto"/>
        <w:jc w:val="both"/>
        <w:rPr>
          <w:rFonts w:ascii="Times New Roman" w:eastAsia="Calibri" w:hAnsi="Times New Roman" w:cs="Times New Roman"/>
          <w:noProof/>
          <w:sz w:val="24"/>
          <w:szCs w:val="24"/>
        </w:rPr>
      </w:pPr>
    </w:p>
    <w:p w:rsidR="0047684C" w:rsidRPr="0047684C" w:rsidRDefault="0047684C" w:rsidP="0047684C">
      <w:pPr>
        <w:spacing w:after="0" w:line="240" w:lineRule="auto"/>
        <w:jc w:val="both"/>
        <w:rPr>
          <w:rFonts w:ascii="Times New Roman" w:eastAsia="Calibri" w:hAnsi="Times New Roman" w:cs="Times New Roman"/>
          <w:noProof/>
          <w:sz w:val="24"/>
          <w:szCs w:val="24"/>
        </w:rPr>
      </w:pPr>
      <w:r w:rsidRPr="0047684C">
        <w:rPr>
          <w:rFonts w:ascii="Times New Roman" w:eastAsia="Calibri" w:hAnsi="Times New Roman" w:cs="Times New Roman"/>
          <w:noProof/>
          <w:sz w:val="24"/>
          <w:szCs w:val="24"/>
        </w:rPr>
        <w:t>Tejkalim të vlerës limite për parametrin nevoja biokimike për oksigjen kemi në stacionet T</w:t>
      </w:r>
      <w:r w:rsidRPr="0047684C">
        <w:rPr>
          <w:rFonts w:ascii="Times New Roman" w:eastAsia="Calibri" w:hAnsi="Times New Roman" w:cs="Times New Roman"/>
          <w:noProof/>
          <w:sz w:val="24"/>
          <w:szCs w:val="24"/>
          <w:vertAlign w:val="subscript"/>
        </w:rPr>
        <w:t>2</w:t>
      </w:r>
      <w:r w:rsidRPr="0047684C">
        <w:rPr>
          <w:rFonts w:ascii="Times New Roman" w:eastAsia="Calibri" w:hAnsi="Times New Roman" w:cs="Times New Roman"/>
          <w:noProof/>
          <w:sz w:val="24"/>
          <w:szCs w:val="24"/>
        </w:rPr>
        <w:t xml:space="preserve"> – Kamëz poshtë urës , L</w:t>
      </w:r>
      <w:r w:rsidRPr="0047684C">
        <w:rPr>
          <w:rFonts w:ascii="Times New Roman" w:eastAsia="Calibri" w:hAnsi="Times New Roman" w:cs="Times New Roman"/>
          <w:noProof/>
          <w:sz w:val="24"/>
          <w:szCs w:val="24"/>
          <w:vertAlign w:val="subscript"/>
        </w:rPr>
        <w:t>1</w:t>
      </w:r>
      <w:r w:rsidRPr="0047684C">
        <w:rPr>
          <w:rFonts w:ascii="Times New Roman" w:eastAsia="Calibri" w:hAnsi="Times New Roman" w:cs="Times New Roman"/>
          <w:noProof/>
          <w:sz w:val="24"/>
          <w:szCs w:val="24"/>
        </w:rPr>
        <w:t xml:space="preserve"> – Lanabregas, L</w:t>
      </w:r>
      <w:r w:rsidRPr="0047684C">
        <w:rPr>
          <w:rFonts w:ascii="Times New Roman" w:eastAsia="Calibri" w:hAnsi="Times New Roman" w:cs="Times New Roman"/>
          <w:noProof/>
          <w:sz w:val="24"/>
          <w:szCs w:val="24"/>
          <w:vertAlign w:val="subscript"/>
        </w:rPr>
        <w:t>2</w:t>
      </w:r>
      <w:r w:rsidRPr="0047684C">
        <w:rPr>
          <w:rFonts w:ascii="Times New Roman" w:eastAsia="Calibri" w:hAnsi="Times New Roman" w:cs="Times New Roman"/>
          <w:noProof/>
          <w:sz w:val="24"/>
          <w:szCs w:val="24"/>
        </w:rPr>
        <w:t xml:space="preserve"> – Ish Do</w:t>
      </w:r>
      <w:r w:rsidR="00E224D1">
        <w:rPr>
          <w:rFonts w:ascii="Times New Roman" w:eastAsia="Calibri" w:hAnsi="Times New Roman" w:cs="Times New Roman"/>
          <w:noProof/>
          <w:sz w:val="24"/>
          <w:szCs w:val="24"/>
        </w:rPr>
        <w:t>gana Kashar ku vlera mesatare e</w:t>
      </w:r>
      <w:r w:rsidRPr="0047684C">
        <w:rPr>
          <w:rFonts w:ascii="Times New Roman" w:eastAsia="Calibri" w:hAnsi="Times New Roman" w:cs="Times New Roman"/>
          <w:noProof/>
          <w:sz w:val="24"/>
          <w:szCs w:val="24"/>
        </w:rPr>
        <w:t xml:space="preserve"> ekspeditave të realizuara është 53.6 mgO/l një vlerë shumë e lartë që dëshmon një shkallë ndotjeje shumë të lartë duke e klasifikuar në Klasën V – Gjendje e keqe ku duhet të merren masa të menjëhershme (&gt; 18 mg/l). Tejkalim të normës kemi edhe në tre stacionet e monitorimit të Lumit Ishëm ku gjendja paraqitet me një ndotje të lartë e klasifikuar në Klasën V – Gjendje e keqe.</w:t>
      </w:r>
    </w:p>
    <w:p w:rsidR="0047684C" w:rsidRPr="0047684C" w:rsidRDefault="0047684C" w:rsidP="0047684C">
      <w:pPr>
        <w:spacing w:after="0" w:line="240" w:lineRule="auto"/>
        <w:jc w:val="both"/>
        <w:rPr>
          <w:rFonts w:ascii="Times New Roman" w:eastAsia="Calibri" w:hAnsi="Times New Roman" w:cs="Times New Roman"/>
          <w:noProof/>
          <w:sz w:val="24"/>
          <w:szCs w:val="24"/>
        </w:rPr>
      </w:pPr>
      <w:r w:rsidRPr="0047684C">
        <w:rPr>
          <w:rFonts w:ascii="Times New Roman" w:eastAsia="Calibri" w:hAnsi="Times New Roman" w:cs="Times New Roman"/>
          <w:noProof/>
          <w:sz w:val="24"/>
          <w:szCs w:val="24"/>
        </w:rPr>
        <w:t>Lumi Erzen paraqitet të jetë në normën kufi në stacionin Er</w:t>
      </w:r>
      <w:r w:rsidRPr="0047684C">
        <w:rPr>
          <w:rFonts w:ascii="Times New Roman" w:eastAsia="Calibri" w:hAnsi="Times New Roman" w:cs="Times New Roman"/>
          <w:noProof/>
          <w:sz w:val="24"/>
          <w:szCs w:val="24"/>
          <w:vertAlign w:val="subscript"/>
        </w:rPr>
        <w:t>2</w:t>
      </w:r>
      <w:r w:rsidRPr="0047684C">
        <w:rPr>
          <w:rFonts w:ascii="Times New Roman" w:eastAsia="Calibri" w:hAnsi="Times New Roman" w:cs="Times New Roman"/>
          <w:noProof/>
          <w:sz w:val="24"/>
          <w:szCs w:val="24"/>
        </w:rPr>
        <w:t xml:space="preserve"> – Ura e Beshirit që klasifikohet në Klasa III – Gjendje e moderuar dhe stacioni Er</w:t>
      </w:r>
      <w:r w:rsidRPr="0047684C">
        <w:rPr>
          <w:rFonts w:ascii="Times New Roman" w:eastAsia="Calibri" w:hAnsi="Times New Roman" w:cs="Times New Roman"/>
          <w:noProof/>
          <w:sz w:val="24"/>
          <w:szCs w:val="24"/>
          <w:vertAlign w:val="subscript"/>
        </w:rPr>
        <w:t>3</w:t>
      </w:r>
      <w:r w:rsidRPr="0047684C">
        <w:rPr>
          <w:rFonts w:ascii="Times New Roman" w:eastAsia="Calibri" w:hAnsi="Times New Roman" w:cs="Times New Roman"/>
          <w:noProof/>
          <w:sz w:val="24"/>
          <w:szCs w:val="24"/>
        </w:rPr>
        <w:t xml:space="preserve"> – Ura Sallmone ka ndotje dhe ky stacion klasifikohet në Klasën V – Gjendje e keqe.</w:t>
      </w:r>
    </w:p>
    <w:p w:rsidR="0047684C" w:rsidRPr="0047684C" w:rsidRDefault="0047684C" w:rsidP="0047684C">
      <w:pPr>
        <w:spacing w:after="0" w:line="240" w:lineRule="auto"/>
        <w:rPr>
          <w:rFonts w:ascii="Times New Roman" w:eastAsia="Calibri" w:hAnsi="Times New Roman" w:cs="Times New Roman"/>
          <w:b/>
          <w:sz w:val="24"/>
          <w:szCs w:val="24"/>
          <w:lang w:val="sq-AL"/>
        </w:rPr>
      </w:pPr>
    </w:p>
    <w:p w:rsidR="0047684C" w:rsidRPr="0047684C" w:rsidRDefault="0047684C" w:rsidP="0033538C">
      <w:pPr>
        <w:numPr>
          <w:ilvl w:val="0"/>
          <w:numId w:val="8"/>
        </w:numPr>
        <w:spacing w:after="0" w:line="240" w:lineRule="auto"/>
        <w:contextualSpacing/>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P</w:t>
      </w:r>
      <w:r w:rsidRPr="0047684C">
        <w:rPr>
          <w:rFonts w:ascii="Times New Roman" w:eastAsia="Calibri" w:hAnsi="Times New Roman" w:cs="Times New Roman"/>
          <w:noProof/>
          <w:sz w:val="24"/>
          <w:szCs w:val="24"/>
        </w:rPr>
        <w:t>ë</w:t>
      </w:r>
      <w:r w:rsidRPr="0047684C">
        <w:rPr>
          <w:rFonts w:ascii="Times New Roman" w:eastAsia="Calibri" w:hAnsi="Times New Roman" w:cs="Times New Roman"/>
          <w:sz w:val="24"/>
          <w:szCs w:val="24"/>
          <w:lang w:val="sq-AL"/>
        </w:rPr>
        <w:t xml:space="preserve">rmbajtja e amonjakut </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63EE888E" wp14:editId="50F99F9A">
            <wp:extent cx="5143500" cy="2171700"/>
            <wp:effectExtent l="0" t="0" r="19050" b="19050"/>
            <wp:docPr id="359" name="Chart 1">
              <a:extLst xmlns:a="http://schemas.openxmlformats.org/drawingml/2006/main">
                <a:ext uri="{FF2B5EF4-FFF2-40B4-BE49-F238E27FC236}">
                  <a16:creationId xmlns:a16="http://schemas.microsoft.com/office/drawing/2014/main" id="{5EF7DE66-DC38-996F-5F14-9490310D57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Në stacionet e monitoruara kemi tejkalim të vlerës limite për përmbajtjen e amonjakut në stacionin T</w:t>
      </w:r>
      <w:r w:rsidRPr="0047684C">
        <w:rPr>
          <w:rFonts w:ascii="Times New Roman" w:eastAsia="Calibri" w:hAnsi="Times New Roman" w:cs="Times New Roman"/>
          <w:bCs/>
          <w:sz w:val="24"/>
          <w:szCs w:val="24"/>
          <w:vertAlign w:val="subscript"/>
          <w:lang w:val="fi-FI"/>
        </w:rPr>
        <w:t>2</w:t>
      </w:r>
      <w:r w:rsidRPr="0047684C">
        <w:rPr>
          <w:rFonts w:ascii="Times New Roman" w:eastAsia="Calibri" w:hAnsi="Times New Roman" w:cs="Times New Roman"/>
          <w:bCs/>
          <w:sz w:val="24"/>
          <w:szCs w:val="24"/>
          <w:lang w:val="fi-FI"/>
        </w:rPr>
        <w:t xml:space="preserve"> – Ura Kamëz, L</w:t>
      </w:r>
      <w:r w:rsidRPr="0047684C">
        <w:rPr>
          <w:rFonts w:ascii="Times New Roman" w:eastAsia="Calibri" w:hAnsi="Times New Roman" w:cs="Times New Roman"/>
          <w:bCs/>
          <w:sz w:val="24"/>
          <w:szCs w:val="24"/>
          <w:vertAlign w:val="subscript"/>
          <w:lang w:val="fi-FI"/>
        </w:rPr>
        <w:t xml:space="preserve">1 </w:t>
      </w:r>
      <w:r w:rsidRPr="0047684C">
        <w:rPr>
          <w:rFonts w:ascii="Times New Roman" w:eastAsia="Calibri" w:hAnsi="Times New Roman" w:cs="Times New Roman"/>
          <w:bCs/>
          <w:sz w:val="24"/>
          <w:szCs w:val="24"/>
          <w:lang w:val="fi-FI"/>
        </w:rPr>
        <w:t>– Lanabregas, L</w:t>
      </w:r>
      <w:r w:rsidRPr="0047684C">
        <w:rPr>
          <w:rFonts w:ascii="Times New Roman" w:eastAsia="Calibri" w:hAnsi="Times New Roman" w:cs="Times New Roman"/>
          <w:bCs/>
          <w:sz w:val="24"/>
          <w:szCs w:val="24"/>
          <w:vertAlign w:val="subscript"/>
          <w:lang w:val="fi-FI"/>
        </w:rPr>
        <w:t>2</w:t>
      </w:r>
      <w:r w:rsidRPr="0047684C">
        <w:rPr>
          <w:rFonts w:ascii="Times New Roman" w:eastAsia="Calibri" w:hAnsi="Times New Roman" w:cs="Times New Roman"/>
          <w:bCs/>
          <w:sz w:val="24"/>
          <w:szCs w:val="24"/>
          <w:lang w:val="fi-FI"/>
        </w:rPr>
        <w:t xml:space="preserve"> – Yrshek (Ish Dogana) në vlerën më të lartë 24 mg/l duke i klasifikuar këto stacione në Klasën V</w:t>
      </w:r>
      <w:r w:rsidR="00E224D1">
        <w:rPr>
          <w:rFonts w:ascii="Times New Roman" w:eastAsia="Calibri" w:hAnsi="Times New Roman" w:cs="Times New Roman"/>
          <w:bCs/>
          <w:sz w:val="24"/>
          <w:szCs w:val="24"/>
          <w:lang w:val="fi-FI"/>
        </w:rPr>
        <w:t xml:space="preserve"> – Gjendje e keqe, si dhe në te</w:t>
      </w:r>
      <w:r w:rsidRPr="0047684C">
        <w:rPr>
          <w:rFonts w:ascii="Times New Roman" w:eastAsia="Calibri" w:hAnsi="Times New Roman" w:cs="Times New Roman"/>
          <w:bCs/>
          <w:sz w:val="24"/>
          <w:szCs w:val="24"/>
          <w:lang w:val="fi-FI"/>
        </w:rPr>
        <w:t xml:space="preserve"> tre stacionet e Ishmit të cilat klasifikohen</w:t>
      </w:r>
      <w:r w:rsidR="002C2A2D">
        <w:rPr>
          <w:rFonts w:ascii="Times New Roman" w:eastAsia="Calibri" w:hAnsi="Times New Roman" w:cs="Times New Roman"/>
          <w:bCs/>
          <w:sz w:val="24"/>
          <w:szCs w:val="24"/>
          <w:lang w:val="fi-FI"/>
        </w:rPr>
        <w:t xml:space="preserve"> në Klasën V – Gjendje e keqe.  </w:t>
      </w:r>
      <w:r w:rsidRPr="0047684C">
        <w:rPr>
          <w:rFonts w:ascii="Times New Roman" w:eastAsia="Calibri" w:hAnsi="Times New Roman" w:cs="Times New Roman"/>
          <w:bCs/>
          <w:sz w:val="24"/>
          <w:szCs w:val="24"/>
          <w:lang w:val="fi-FI"/>
        </w:rPr>
        <w:t>Stacioni Er</w:t>
      </w:r>
      <w:r w:rsidRPr="0047684C">
        <w:rPr>
          <w:rFonts w:ascii="Times New Roman" w:eastAsia="Calibri" w:hAnsi="Times New Roman" w:cs="Times New Roman"/>
          <w:bCs/>
          <w:sz w:val="24"/>
          <w:szCs w:val="24"/>
          <w:vertAlign w:val="subscript"/>
          <w:lang w:val="fi-FI"/>
        </w:rPr>
        <w:t>3</w:t>
      </w:r>
      <w:r w:rsidRPr="0047684C">
        <w:rPr>
          <w:rFonts w:ascii="Times New Roman" w:eastAsia="Calibri" w:hAnsi="Times New Roman" w:cs="Times New Roman"/>
          <w:bCs/>
          <w:sz w:val="24"/>
          <w:szCs w:val="24"/>
          <w:lang w:val="fi-FI"/>
        </w:rPr>
        <w:t xml:space="preserve"> klasifikohen në Klasën V – Gjendje e keqe.</w:t>
      </w:r>
    </w:p>
    <w:p w:rsidR="002C2A2D" w:rsidRDefault="002C2A2D" w:rsidP="0047684C">
      <w:pPr>
        <w:spacing w:after="0" w:line="240" w:lineRule="auto"/>
        <w:jc w:val="both"/>
        <w:rPr>
          <w:rFonts w:ascii="Times New Roman" w:eastAsia="Calibri" w:hAnsi="Times New Roman" w:cs="Times New Roman"/>
          <w:bCs/>
          <w:sz w:val="24"/>
          <w:szCs w:val="24"/>
          <w:lang w:val="fi-FI"/>
        </w:rPr>
      </w:pPr>
    </w:p>
    <w:p w:rsidR="002C2A2D" w:rsidRDefault="002C2A2D" w:rsidP="0047684C">
      <w:pPr>
        <w:spacing w:after="0" w:line="240" w:lineRule="auto"/>
        <w:jc w:val="both"/>
        <w:rPr>
          <w:rFonts w:ascii="Times New Roman" w:eastAsia="Calibri" w:hAnsi="Times New Roman" w:cs="Times New Roman"/>
          <w:bCs/>
          <w:sz w:val="24"/>
          <w:szCs w:val="24"/>
          <w:lang w:val="fi-FI"/>
        </w:rPr>
      </w:pPr>
    </w:p>
    <w:p w:rsidR="002C2A2D" w:rsidRPr="0047684C" w:rsidRDefault="002C2A2D"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Përmbajtja e nitriteve</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Siç vihet re edhe në grafikun e mëposhtëm, përmbajtja e nitriteve është nën normën e lejuar në të gjitha stacionet e këtij baseni. Përmbajtja më e lartë është vleresuar ne stacionin Er</w:t>
      </w:r>
      <w:r w:rsidRPr="0047684C">
        <w:rPr>
          <w:rFonts w:ascii="Times New Roman" w:eastAsia="Calibri" w:hAnsi="Times New Roman" w:cs="Times New Roman"/>
          <w:bCs/>
          <w:sz w:val="24"/>
          <w:szCs w:val="24"/>
          <w:vertAlign w:val="subscript"/>
          <w:lang w:val="fi-FI"/>
        </w:rPr>
        <w:t>2</w:t>
      </w:r>
      <w:r w:rsidRPr="0047684C">
        <w:rPr>
          <w:rFonts w:ascii="Times New Roman" w:eastAsia="Calibri" w:hAnsi="Times New Roman" w:cs="Times New Roman"/>
          <w:bCs/>
          <w:sz w:val="24"/>
          <w:szCs w:val="24"/>
          <w:lang w:val="fi-FI"/>
        </w:rPr>
        <w:t xml:space="preserve"> – Ura e Beshirit por nën normën e lejuar.</w:t>
      </w:r>
    </w:p>
    <w:p w:rsidR="0047684C" w:rsidRPr="0047684C" w:rsidRDefault="0047684C" w:rsidP="0047684C">
      <w:pPr>
        <w:spacing w:after="0" w:line="240" w:lineRule="auto"/>
        <w:ind w:left="720"/>
        <w:contextualSpacing/>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136CC5FE" wp14:editId="4EF45C17">
            <wp:extent cx="5143500" cy="1770845"/>
            <wp:effectExtent l="0" t="0" r="19050" b="20320"/>
            <wp:docPr id="360" name="Chart 1">
              <a:extLst xmlns:a="http://schemas.openxmlformats.org/drawingml/2006/main">
                <a:ext uri="{FF2B5EF4-FFF2-40B4-BE49-F238E27FC236}">
                  <a16:creationId xmlns:a16="http://schemas.microsoft.com/office/drawing/2014/main" id="{BF037C59-F991-7A9F-210D-F2D68B1C68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Përmbajtja e nitrateve</w:t>
      </w:r>
    </w:p>
    <w:p w:rsidR="0047684C" w:rsidRPr="0047684C" w:rsidRDefault="0047684C" w:rsidP="0047684C">
      <w:pPr>
        <w:spacing w:after="0" w:line="240" w:lineRule="auto"/>
        <w:ind w:left="540"/>
        <w:contextualSpacing/>
        <w:jc w:val="both"/>
        <w:rPr>
          <w:rFonts w:ascii="Times New Roman" w:eastAsia="Calibri" w:hAnsi="Times New Roman" w:cs="Times New Roman"/>
          <w:bCs/>
          <w:sz w:val="24"/>
          <w:szCs w:val="24"/>
          <w:lang w:val="fi-FI"/>
        </w:rPr>
      </w:pPr>
    </w:p>
    <w:p w:rsidR="0047684C" w:rsidRPr="0047684C" w:rsidRDefault="0047684C" w:rsidP="0047684C">
      <w:pPr>
        <w:spacing w:after="0" w:line="276" w:lineRule="auto"/>
        <w:jc w:val="both"/>
        <w:rPr>
          <w:rFonts w:ascii="Times New Roman" w:eastAsia="Calibri" w:hAnsi="Times New Roman" w:cs="Times New Roman"/>
          <w:sz w:val="24"/>
          <w:szCs w:val="24"/>
          <w:lang w:val="da-DK"/>
        </w:rPr>
      </w:pPr>
      <w:r w:rsidRPr="0047684C">
        <w:rPr>
          <w:rFonts w:ascii="Times New Roman" w:eastAsia="Calibri" w:hAnsi="Times New Roman" w:cs="Times New Roman"/>
          <w:sz w:val="24"/>
          <w:szCs w:val="24"/>
          <w:lang w:val="da-DK"/>
        </w:rPr>
        <w:t>P</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da-DK"/>
        </w:rPr>
        <w:t>rmbajtja e nitrateve n</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da-DK"/>
        </w:rPr>
        <w:t xml:space="preserve">  t</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da-DK"/>
        </w:rPr>
        <w:t xml:space="preserve"> gjitha stacionet e monitoruara rezulton n</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da-DK"/>
        </w:rPr>
        <w:t xml:space="preserve"> vlera m</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da-DK"/>
        </w:rPr>
        <w:t xml:space="preserve"> t</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da-DK"/>
        </w:rPr>
        <w:t xml:space="preserve"> ul</w:t>
      </w:r>
      <w:r w:rsidRPr="0047684C">
        <w:rPr>
          <w:rFonts w:ascii="Times New Roman" w:eastAsia="Calibri" w:hAnsi="Times New Roman" w:cs="Times New Roman"/>
          <w:bCs/>
          <w:sz w:val="24"/>
          <w:szCs w:val="24"/>
          <w:lang w:val="fi-FI"/>
        </w:rPr>
        <w:t>ë</w:t>
      </w:r>
      <w:r w:rsidRPr="0047684C">
        <w:rPr>
          <w:rFonts w:ascii="Times New Roman" w:eastAsia="Calibri" w:hAnsi="Times New Roman" w:cs="Times New Roman"/>
          <w:sz w:val="24"/>
          <w:szCs w:val="24"/>
          <w:lang w:val="da-DK"/>
        </w:rPr>
        <w:t xml:space="preserve">ta se norma e lejuar. </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0F7DCEC0" wp14:editId="687160E8">
            <wp:extent cx="5248275" cy="1905000"/>
            <wp:effectExtent l="0" t="0" r="9525" b="19050"/>
            <wp:docPr id="361" name="Chart 1">
              <a:extLst xmlns:a="http://schemas.openxmlformats.org/drawingml/2006/main">
                <a:ext uri="{FF2B5EF4-FFF2-40B4-BE49-F238E27FC236}">
                  <a16:creationId xmlns:a16="http://schemas.microsoft.com/office/drawing/2014/main" id="{1B1ACC81-B7B2-054D-E85B-8C2D38F7F1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Përmbajtja e fosforit</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Referuar të dhënave mesatare vjetore, vlerësojme se kemi tejkalim të vlerës limite të përmbajtjes së orto – fosfateve në stacionin T</w:t>
      </w:r>
      <w:r w:rsidRPr="0047684C">
        <w:rPr>
          <w:rFonts w:ascii="Times New Roman" w:eastAsia="Calibri" w:hAnsi="Times New Roman" w:cs="Times New Roman"/>
          <w:bCs/>
          <w:sz w:val="24"/>
          <w:szCs w:val="24"/>
          <w:vertAlign w:val="subscript"/>
          <w:lang w:val="fi-FI"/>
        </w:rPr>
        <w:t>2</w:t>
      </w:r>
      <w:r w:rsidRPr="0047684C">
        <w:rPr>
          <w:rFonts w:ascii="Times New Roman" w:eastAsia="Calibri" w:hAnsi="Times New Roman" w:cs="Times New Roman"/>
          <w:bCs/>
          <w:sz w:val="24"/>
          <w:szCs w:val="24"/>
          <w:lang w:val="fi-FI"/>
        </w:rPr>
        <w:t xml:space="preserve"> – Ura e Kamzës, L</w:t>
      </w:r>
      <w:r w:rsidRPr="0047684C">
        <w:rPr>
          <w:rFonts w:ascii="Times New Roman" w:eastAsia="Calibri" w:hAnsi="Times New Roman" w:cs="Times New Roman"/>
          <w:bCs/>
          <w:sz w:val="24"/>
          <w:szCs w:val="24"/>
          <w:vertAlign w:val="subscript"/>
          <w:lang w:val="fi-FI"/>
        </w:rPr>
        <w:t>1</w:t>
      </w:r>
      <w:r w:rsidRPr="0047684C">
        <w:rPr>
          <w:rFonts w:ascii="Times New Roman" w:eastAsia="Calibri" w:hAnsi="Times New Roman" w:cs="Times New Roman"/>
          <w:bCs/>
          <w:sz w:val="24"/>
          <w:szCs w:val="24"/>
          <w:lang w:val="fi-FI"/>
        </w:rPr>
        <w:t xml:space="preserve"> – Lanabregas në vlerën 0.29 mg/l duke e klasifikuar këtë stacion në Klasën IV – Gjendje e varfër, L</w:t>
      </w:r>
      <w:r w:rsidRPr="0047684C">
        <w:rPr>
          <w:rFonts w:ascii="Times New Roman" w:eastAsia="Calibri" w:hAnsi="Times New Roman" w:cs="Times New Roman"/>
          <w:bCs/>
          <w:sz w:val="24"/>
          <w:szCs w:val="24"/>
          <w:vertAlign w:val="subscript"/>
          <w:lang w:val="fi-FI"/>
        </w:rPr>
        <w:t>2</w:t>
      </w:r>
      <w:r w:rsidRPr="0047684C">
        <w:rPr>
          <w:rFonts w:ascii="Times New Roman" w:eastAsia="Calibri" w:hAnsi="Times New Roman" w:cs="Times New Roman"/>
          <w:bCs/>
          <w:sz w:val="24"/>
          <w:szCs w:val="24"/>
          <w:lang w:val="fi-FI"/>
        </w:rPr>
        <w:t xml:space="preserve"> – Yrshek (Ish Dogana) në vlerën më të lartë 2.04 mg/l duke e klasifikuar këtë stacion në Klasën V – Gjendje e keqe</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 xml:space="preserve">Tejkalim të vlerës limite kemi edhe në të tre stacionet e Ishmit duke e klasifikuar këtë lumë </w:t>
      </w:r>
      <w:r w:rsidR="002C2A2D">
        <w:rPr>
          <w:rFonts w:ascii="Times New Roman" w:eastAsia="Calibri" w:hAnsi="Times New Roman" w:cs="Times New Roman"/>
          <w:bCs/>
          <w:sz w:val="24"/>
          <w:szCs w:val="24"/>
          <w:lang w:val="fi-FI"/>
        </w:rPr>
        <w:t>në Klasën e V – Gjendje e keqe.</w:t>
      </w:r>
      <w:r w:rsidRPr="0047684C">
        <w:rPr>
          <w:rFonts w:ascii="Times New Roman" w:eastAsia="Calibri" w:hAnsi="Times New Roman" w:cs="Times New Roman"/>
          <w:bCs/>
          <w:sz w:val="24"/>
          <w:szCs w:val="24"/>
          <w:lang w:val="fi-FI"/>
        </w:rPr>
        <w:t>Stacionet e Lumit Erzen nuk kanë përmbajtje të fosforit.</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r w:rsidRPr="0047684C">
        <w:rPr>
          <w:rFonts w:ascii="Calibri" w:eastAsia="Calibri" w:hAnsi="Calibri" w:cs="Times New Roman"/>
          <w:noProof/>
        </w:rPr>
        <w:lastRenderedPageBreak/>
        <w:drawing>
          <wp:inline distT="0" distB="0" distL="0" distR="0" wp14:anchorId="609F9738" wp14:editId="6579319C">
            <wp:extent cx="4591050" cy="1781175"/>
            <wp:effectExtent l="0" t="0" r="19050" b="9525"/>
            <wp:docPr id="362" name="Chart 1">
              <a:extLst xmlns:a="http://schemas.openxmlformats.org/drawingml/2006/main">
                <a:ext uri="{FF2B5EF4-FFF2-40B4-BE49-F238E27FC236}">
                  <a16:creationId xmlns:a16="http://schemas.microsoft.com/office/drawing/2014/main" id="{6E42DEB4-DFB9-BB87-7E76-1C410C5F46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47684C" w:rsidRPr="0047684C" w:rsidRDefault="0047684C" w:rsidP="0047684C">
      <w:pPr>
        <w:spacing w:after="0" w:line="240" w:lineRule="auto"/>
        <w:ind w:left="540"/>
        <w:contextualSpacing/>
        <w:jc w:val="both"/>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 xml:space="preserve">Përmbajtja e fosforit total </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Referuar vlerave mesatare të ekspeditave të realizuara vlerësojmë se stacioni L2 –Lanabregas tejkalon vlerën limite të Klasës së III duke klasifikuar Lanabregasin në Klasën V – Gjendje e keqe. Gjithashtu, është vlerësuar se ka prani të fosforit total në të tre stacionet e monitorimit të Lumit Ishëm në vlera të larta. Lumi i Erzenit nuk ka përmbajtje të fosforit total.</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75710795" wp14:editId="0C3CDE23">
            <wp:extent cx="5248275" cy="1733550"/>
            <wp:effectExtent l="0" t="0" r="9525" b="19050"/>
            <wp:docPr id="363" name="Chart 1">
              <a:extLst xmlns:a="http://schemas.openxmlformats.org/drawingml/2006/main">
                <a:ext uri="{FF2B5EF4-FFF2-40B4-BE49-F238E27FC236}">
                  <a16:creationId xmlns:a16="http://schemas.microsoft.com/office/drawing/2014/main" id="{DD0C526D-2C3B-F10A-63BF-2842A59A64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76" w:lineRule="auto"/>
        <w:rPr>
          <w:rFonts w:ascii="Times New Roman" w:eastAsia="Calibri" w:hAnsi="Times New Roman" w:cs="Times New Roman"/>
          <w:b/>
          <w:sz w:val="24"/>
          <w:szCs w:val="24"/>
          <w:lang w:val="sq-AL"/>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i/>
          <w:sz w:val="24"/>
          <w:szCs w:val="24"/>
          <w:lang w:val="sq-AL"/>
        </w:rPr>
      </w:pPr>
      <w:r w:rsidRPr="0047684C">
        <w:rPr>
          <w:rFonts w:ascii="Times New Roman" w:eastAsia="Calibri" w:hAnsi="Times New Roman" w:cs="Times New Roman"/>
          <w:bCs/>
          <w:i/>
          <w:sz w:val="24"/>
          <w:szCs w:val="24"/>
          <w:lang w:val="sq-AL"/>
        </w:rPr>
        <w:t>Përmbajtja e TOC</w:t>
      </w:r>
    </w:p>
    <w:p w:rsidR="0047684C" w:rsidRPr="0047684C" w:rsidRDefault="0047684C" w:rsidP="0047684C">
      <w:pPr>
        <w:spacing w:after="0" w:line="240" w:lineRule="auto"/>
        <w:jc w:val="both"/>
        <w:rPr>
          <w:rFonts w:ascii="Times New Roman" w:eastAsia="Calibri" w:hAnsi="Times New Roman" w:cs="Times New Roman"/>
          <w:bCs/>
          <w:i/>
          <w:sz w:val="24"/>
          <w:szCs w:val="24"/>
          <w:lang w:val="sq-AL"/>
        </w:rPr>
      </w:pPr>
    </w:p>
    <w:p w:rsidR="0047684C" w:rsidRPr="0047684C" w:rsidRDefault="0047684C" w:rsidP="0047684C">
      <w:pPr>
        <w:spacing w:after="0" w:line="240" w:lineRule="auto"/>
        <w:jc w:val="both"/>
        <w:rPr>
          <w:rFonts w:ascii="Times New Roman" w:eastAsia="Calibri" w:hAnsi="Times New Roman" w:cs="Times New Roman"/>
          <w:bCs/>
          <w:iCs/>
          <w:sz w:val="24"/>
          <w:szCs w:val="24"/>
          <w:lang w:val="sq-AL"/>
        </w:rPr>
      </w:pPr>
      <w:r w:rsidRPr="0047684C">
        <w:rPr>
          <w:rFonts w:ascii="Times New Roman" w:eastAsia="Calibri" w:hAnsi="Times New Roman" w:cs="Times New Roman"/>
          <w:bCs/>
          <w:iCs/>
          <w:sz w:val="24"/>
          <w:szCs w:val="24"/>
          <w:lang w:val="sq-AL"/>
        </w:rPr>
        <w:t>Përmbajtja e TOC është nën normë për stacionet T</w:t>
      </w:r>
      <w:r w:rsidRPr="0047684C">
        <w:rPr>
          <w:rFonts w:ascii="Times New Roman" w:eastAsia="Calibri" w:hAnsi="Times New Roman" w:cs="Times New Roman"/>
          <w:bCs/>
          <w:iCs/>
          <w:sz w:val="24"/>
          <w:szCs w:val="24"/>
          <w:vertAlign w:val="subscript"/>
          <w:lang w:val="sq-AL"/>
        </w:rPr>
        <w:t>1</w:t>
      </w:r>
      <w:r w:rsidRPr="0047684C">
        <w:rPr>
          <w:rFonts w:ascii="Times New Roman" w:eastAsia="Calibri" w:hAnsi="Times New Roman" w:cs="Times New Roman"/>
          <w:bCs/>
          <w:iCs/>
          <w:sz w:val="24"/>
          <w:szCs w:val="24"/>
          <w:lang w:val="sq-AL"/>
        </w:rPr>
        <w:t xml:space="preserve"> – Ura e Brarit, Er</w:t>
      </w:r>
      <w:r w:rsidRPr="0047684C">
        <w:rPr>
          <w:rFonts w:ascii="Times New Roman" w:eastAsia="Calibri" w:hAnsi="Times New Roman" w:cs="Times New Roman"/>
          <w:bCs/>
          <w:iCs/>
          <w:sz w:val="24"/>
          <w:szCs w:val="24"/>
          <w:vertAlign w:val="subscript"/>
          <w:lang w:val="sq-AL"/>
        </w:rPr>
        <w:t>1</w:t>
      </w:r>
      <w:r w:rsidRPr="0047684C">
        <w:rPr>
          <w:rFonts w:ascii="Times New Roman" w:eastAsia="Calibri" w:hAnsi="Times New Roman" w:cs="Times New Roman"/>
          <w:bCs/>
          <w:iCs/>
          <w:sz w:val="24"/>
          <w:szCs w:val="24"/>
          <w:lang w:val="sq-AL"/>
        </w:rPr>
        <w:t xml:space="preserve"> - Pëllumbas dhe Er</w:t>
      </w:r>
      <w:r w:rsidRPr="0047684C">
        <w:rPr>
          <w:rFonts w:ascii="Times New Roman" w:eastAsia="Calibri" w:hAnsi="Times New Roman" w:cs="Times New Roman"/>
          <w:bCs/>
          <w:iCs/>
          <w:sz w:val="24"/>
          <w:szCs w:val="24"/>
          <w:vertAlign w:val="subscript"/>
          <w:lang w:val="sq-AL"/>
        </w:rPr>
        <w:t>2</w:t>
      </w:r>
      <w:r w:rsidRPr="0047684C">
        <w:rPr>
          <w:rFonts w:ascii="Times New Roman" w:eastAsia="Calibri" w:hAnsi="Times New Roman" w:cs="Times New Roman"/>
          <w:bCs/>
          <w:iCs/>
          <w:sz w:val="24"/>
          <w:szCs w:val="24"/>
          <w:lang w:val="sq-AL"/>
        </w:rPr>
        <w:t xml:space="preserve"> - Ndroq. Gjithë stacionet e tjera janë mbi normë.</w:t>
      </w:r>
    </w:p>
    <w:p w:rsidR="0047684C" w:rsidRPr="0047684C" w:rsidRDefault="0047684C" w:rsidP="0047684C">
      <w:pPr>
        <w:spacing w:after="0" w:line="276" w:lineRule="auto"/>
        <w:rPr>
          <w:rFonts w:ascii="Times New Roman" w:eastAsia="Calibri" w:hAnsi="Times New Roman" w:cs="Times New Roman"/>
          <w:b/>
          <w:sz w:val="24"/>
          <w:szCs w:val="24"/>
          <w:lang w:val="sq-AL"/>
        </w:rPr>
      </w:pPr>
    </w:p>
    <w:p w:rsidR="0047684C" w:rsidRPr="0047684C" w:rsidRDefault="0047684C" w:rsidP="0047684C">
      <w:pPr>
        <w:spacing w:after="0" w:line="276" w:lineRule="auto"/>
        <w:jc w:val="center"/>
        <w:rPr>
          <w:rFonts w:ascii="Times New Roman" w:eastAsia="Calibri" w:hAnsi="Times New Roman" w:cs="Times New Roman"/>
          <w:b/>
          <w:sz w:val="24"/>
          <w:szCs w:val="24"/>
          <w:lang w:val="sq-AL"/>
        </w:rPr>
      </w:pPr>
      <w:r w:rsidRPr="0047684C">
        <w:rPr>
          <w:rFonts w:ascii="Calibri" w:eastAsia="Calibri" w:hAnsi="Calibri" w:cs="Times New Roman"/>
          <w:noProof/>
        </w:rPr>
        <w:drawing>
          <wp:inline distT="0" distB="0" distL="0" distR="0" wp14:anchorId="162293B3" wp14:editId="4788E93B">
            <wp:extent cx="5248275" cy="1733550"/>
            <wp:effectExtent l="0" t="0" r="9525" b="19050"/>
            <wp:docPr id="364" name="Chart 1">
              <a:extLst xmlns:a="http://schemas.openxmlformats.org/drawingml/2006/main">
                <a:ext uri="{FF2B5EF4-FFF2-40B4-BE49-F238E27FC236}">
                  <a16:creationId xmlns:a16="http://schemas.microsoft.com/office/drawing/2014/main" id="{ADC4F6B3-DA4C-D31A-A926-076E9E60A8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47684C" w:rsidRPr="0047684C" w:rsidRDefault="0047684C" w:rsidP="0047684C">
      <w:pPr>
        <w:spacing w:after="0" w:line="276" w:lineRule="auto"/>
        <w:rPr>
          <w:rFonts w:ascii="Times New Roman" w:eastAsia="Calibri" w:hAnsi="Times New Roman" w:cs="Times New Roman"/>
          <w:b/>
          <w:sz w:val="24"/>
          <w:szCs w:val="24"/>
          <w:lang w:val="sq-AL"/>
        </w:rPr>
      </w:pPr>
    </w:p>
    <w:p w:rsidR="0047684C" w:rsidRPr="0047684C" w:rsidRDefault="0047684C" w:rsidP="002C2A2D">
      <w:pPr>
        <w:spacing w:after="0" w:line="276" w:lineRule="auto"/>
        <w:jc w:val="both"/>
        <w:rPr>
          <w:rFonts w:ascii="Times New Roman" w:eastAsia="Calibri" w:hAnsi="Times New Roman" w:cs="Times New Roman"/>
          <w:b/>
          <w:sz w:val="24"/>
          <w:szCs w:val="24"/>
          <w:lang w:val="sq-AL"/>
        </w:rPr>
      </w:pPr>
      <w:r w:rsidRPr="0047684C">
        <w:rPr>
          <w:rFonts w:ascii="Times New Roman" w:eastAsia="Calibri" w:hAnsi="Times New Roman" w:cs="Times New Roman"/>
          <w:b/>
          <w:sz w:val="24"/>
          <w:szCs w:val="24"/>
          <w:lang w:val="sq-AL"/>
        </w:rPr>
        <w:t xml:space="preserve">Duke marrë në konsideratë të gjithë parametrat, vlerësojmë </w:t>
      </w:r>
      <w:r w:rsidR="00D10692">
        <w:rPr>
          <w:rFonts w:ascii="Times New Roman" w:eastAsia="Calibri" w:hAnsi="Times New Roman" w:cs="Times New Roman"/>
          <w:b/>
          <w:sz w:val="24"/>
          <w:szCs w:val="24"/>
          <w:lang w:val="sq-AL"/>
        </w:rPr>
        <w:t>se</w:t>
      </w:r>
      <w:r w:rsidRPr="0047684C">
        <w:rPr>
          <w:rFonts w:ascii="Times New Roman" w:eastAsia="Calibri" w:hAnsi="Times New Roman" w:cs="Times New Roman"/>
          <w:b/>
          <w:sz w:val="24"/>
          <w:szCs w:val="24"/>
          <w:lang w:val="sq-AL"/>
        </w:rPr>
        <w:t xml:space="preserve"> afër zonave të  banuara impakti i shkarkimeve urbane të cilat derd</w:t>
      </w:r>
      <w:r w:rsidR="00894388">
        <w:rPr>
          <w:rFonts w:ascii="Times New Roman" w:eastAsia="Calibri" w:hAnsi="Times New Roman" w:cs="Times New Roman"/>
          <w:b/>
          <w:sz w:val="24"/>
          <w:szCs w:val="24"/>
          <w:lang w:val="sq-AL"/>
        </w:rPr>
        <w:t xml:space="preserve">hen direkt të patrajtuara sjell </w:t>
      </w:r>
      <w:r w:rsidRPr="0047684C">
        <w:rPr>
          <w:rFonts w:ascii="Times New Roman" w:eastAsia="Calibri" w:hAnsi="Times New Roman" w:cs="Times New Roman"/>
          <w:b/>
          <w:sz w:val="24"/>
          <w:szCs w:val="24"/>
          <w:lang w:val="sq-AL"/>
        </w:rPr>
        <w:t>kla</w:t>
      </w:r>
      <w:r w:rsidR="002C2A2D">
        <w:rPr>
          <w:rFonts w:ascii="Times New Roman" w:eastAsia="Calibri" w:hAnsi="Times New Roman" w:cs="Times New Roman"/>
          <w:b/>
          <w:sz w:val="24"/>
          <w:szCs w:val="24"/>
          <w:lang w:val="sq-AL"/>
        </w:rPr>
        <w:t xml:space="preserve">sifikim me një ndotje të lartë. </w:t>
      </w:r>
      <w:r w:rsidRPr="0047684C">
        <w:rPr>
          <w:rFonts w:ascii="Times New Roman" w:eastAsia="Calibri" w:hAnsi="Times New Roman" w:cs="Times New Roman"/>
          <w:b/>
          <w:sz w:val="24"/>
          <w:szCs w:val="24"/>
          <w:lang w:val="sq-AL"/>
        </w:rPr>
        <w:t>Baseni  Ishëm – Erzen klasifikohet në Klasën V – Gjendje e keqe.</w:t>
      </w:r>
    </w:p>
    <w:p w:rsidR="0047684C" w:rsidRPr="0047684C" w:rsidRDefault="0047684C" w:rsidP="0047684C">
      <w:pPr>
        <w:spacing w:after="0" w:line="276" w:lineRule="auto"/>
        <w:rPr>
          <w:rFonts w:ascii="Times New Roman" w:eastAsia="Calibri" w:hAnsi="Times New Roman" w:cs="Times New Roman"/>
          <w:b/>
          <w:sz w:val="24"/>
          <w:szCs w:val="24"/>
          <w:lang w:val="sq-AL"/>
        </w:rPr>
      </w:pPr>
    </w:p>
    <w:p w:rsidR="0047684C" w:rsidRPr="0047684C" w:rsidRDefault="0047684C" w:rsidP="004D460A">
      <w:pPr>
        <w:numPr>
          <w:ilvl w:val="0"/>
          <w:numId w:val="22"/>
        </w:numPr>
        <w:spacing w:after="200" w:line="276" w:lineRule="auto"/>
        <w:contextualSpacing/>
        <w:rPr>
          <w:rFonts w:ascii="Times New Roman" w:eastAsia="Calibri" w:hAnsi="Times New Roman" w:cs="Times New Roman"/>
          <w:b/>
          <w:sz w:val="24"/>
          <w:szCs w:val="24"/>
          <w:lang w:val="sq-AL"/>
        </w:rPr>
      </w:pPr>
      <w:r w:rsidRPr="0047684C">
        <w:rPr>
          <w:rFonts w:ascii="Times New Roman" w:eastAsia="Calibri" w:hAnsi="Times New Roman" w:cs="Times New Roman"/>
          <w:b/>
          <w:sz w:val="24"/>
          <w:szCs w:val="24"/>
          <w:lang w:val="sq-AL"/>
        </w:rPr>
        <w:t xml:space="preserve">Baseni </w:t>
      </w:r>
      <w:r w:rsidR="00F26274">
        <w:rPr>
          <w:rFonts w:ascii="Times New Roman" w:eastAsia="Calibri" w:hAnsi="Times New Roman" w:cs="Times New Roman"/>
          <w:b/>
          <w:sz w:val="24"/>
          <w:szCs w:val="24"/>
          <w:lang w:val="sq-AL"/>
        </w:rPr>
        <w:t xml:space="preserve">lumor </w:t>
      </w:r>
      <w:r w:rsidRPr="0047684C">
        <w:rPr>
          <w:rFonts w:ascii="Times New Roman" w:eastAsia="Calibri" w:hAnsi="Times New Roman" w:cs="Times New Roman"/>
          <w:b/>
          <w:sz w:val="24"/>
          <w:szCs w:val="24"/>
          <w:lang w:val="sq-AL"/>
        </w:rPr>
        <w:t>i Shkumbinit</w:t>
      </w:r>
    </w:p>
    <w:p w:rsidR="0047684C" w:rsidRPr="002C2A2D" w:rsidRDefault="0047684C" w:rsidP="002C2A2D">
      <w:pPr>
        <w:shd w:val="clear" w:color="auto" w:fill="FFFFFF"/>
        <w:spacing w:before="120" w:after="120" w:line="240" w:lineRule="auto"/>
        <w:rPr>
          <w:rFonts w:ascii="Times New Roman" w:eastAsia="Times New Roman" w:hAnsi="Times New Roman" w:cs="Times New Roman"/>
          <w:color w:val="222222"/>
          <w:sz w:val="24"/>
          <w:szCs w:val="24"/>
        </w:rPr>
      </w:pPr>
      <w:r w:rsidRPr="0047684C">
        <w:rPr>
          <w:rFonts w:ascii="Times New Roman" w:eastAsia="Times New Roman" w:hAnsi="Times New Roman" w:cs="Times New Roman"/>
          <w:b/>
          <w:bCs/>
          <w:color w:val="222222"/>
          <w:sz w:val="24"/>
          <w:szCs w:val="24"/>
        </w:rPr>
        <w:t xml:space="preserve">Lumi Shkumbin </w:t>
      </w:r>
      <w:r w:rsidRPr="0047684C">
        <w:rPr>
          <w:rFonts w:ascii="Times New Roman" w:eastAsia="Times New Roman" w:hAnsi="Times New Roman" w:cs="Times New Roman"/>
          <w:color w:val="222222"/>
          <w:sz w:val="24"/>
          <w:szCs w:val="24"/>
        </w:rPr>
        <w:t xml:space="preserve">buron në malin e Valamarës (Shqipëri) me një gjatësi prej 181 km </w:t>
      </w:r>
      <w:r w:rsidR="002C2A2D">
        <w:rPr>
          <w:rFonts w:ascii="Times New Roman" w:eastAsia="Times New Roman" w:hAnsi="Times New Roman" w:cs="Times New Roman"/>
          <w:color w:val="222222"/>
          <w:sz w:val="24"/>
          <w:szCs w:val="24"/>
        </w:rPr>
        <w:t xml:space="preserve">dhe derdhet në Detin Adriatik. </w:t>
      </w:r>
      <w:r w:rsidRPr="0047684C">
        <w:rPr>
          <w:rFonts w:ascii="Times New Roman" w:eastAsia="Calibri" w:hAnsi="Times New Roman" w:cs="Times New Roman"/>
          <w:sz w:val="24"/>
          <w:szCs w:val="24"/>
          <w:lang w:val="sq-AL"/>
        </w:rPr>
        <w:t>Monitorimi i k</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tij baseni realizohet n</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 xml:space="preserve"> 4 stacione kampionimi n</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 xml:space="preserve"> t</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 xml:space="preserve"> gjith</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 xml:space="preserve"> gjat</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sin</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 xml:space="preserve"> e tij</w:t>
      </w:r>
      <w:r w:rsidR="002C46B9">
        <w:rPr>
          <w:rFonts w:ascii="Times New Roman" w:eastAsia="Calibri" w:hAnsi="Times New Roman" w:cs="Times New Roman"/>
          <w:sz w:val="24"/>
          <w:szCs w:val="24"/>
          <w:lang w:val="sq-AL"/>
        </w:rPr>
        <w:t>.</w:t>
      </w:r>
      <w:r w:rsidRPr="0047684C">
        <w:rPr>
          <w:rFonts w:ascii="Times New Roman" w:eastAsia="Calibri" w:hAnsi="Times New Roman" w:cs="Times New Roman"/>
          <w:sz w:val="24"/>
          <w:szCs w:val="24"/>
          <w:lang w:val="sq-AL"/>
        </w:rPr>
        <w:t xml:space="preserve"> </w:t>
      </w:r>
    </w:p>
    <w:p w:rsidR="002C46B9" w:rsidRPr="0047684C" w:rsidRDefault="002C2A2D" w:rsidP="002C2A2D">
      <w:pPr>
        <w:spacing w:after="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sidR="002C46B9" w:rsidRPr="000505FE">
        <w:rPr>
          <w:rFonts w:ascii="Times New Roman" w:eastAsia="Calibri" w:hAnsi="Times New Roman" w:cs="Times New Roman"/>
          <w:sz w:val="24"/>
          <w:szCs w:val="24"/>
          <w:lang w:val="sq-AL"/>
        </w:rPr>
        <w:t xml:space="preserve">Tabela </w:t>
      </w:r>
      <w:r w:rsidR="002C46B9">
        <w:rPr>
          <w:rFonts w:ascii="Times New Roman" w:eastAsia="Calibri" w:hAnsi="Times New Roman" w:cs="Times New Roman"/>
          <w:sz w:val="24"/>
          <w:szCs w:val="24"/>
          <w:lang w:val="sq-AL"/>
        </w:rPr>
        <w:t>20</w:t>
      </w:r>
      <w:r w:rsidR="002C46B9" w:rsidRPr="000505FE">
        <w:rPr>
          <w:rFonts w:ascii="Times New Roman" w:eastAsia="Calibri" w:hAnsi="Times New Roman" w:cs="Times New Roman"/>
          <w:sz w:val="24"/>
          <w:szCs w:val="24"/>
          <w:lang w:val="sq-AL"/>
        </w:rPr>
        <w:t xml:space="preserve">. Stacionet e kampionimit për basenin </w:t>
      </w:r>
      <w:r>
        <w:rPr>
          <w:rFonts w:ascii="Times New Roman" w:eastAsia="Calibri" w:hAnsi="Times New Roman" w:cs="Times New Roman"/>
          <w:sz w:val="24"/>
          <w:szCs w:val="24"/>
          <w:lang w:val="sq-AL"/>
        </w:rPr>
        <w:t>Shkumbin</w:t>
      </w:r>
    </w:p>
    <w:tbl>
      <w:tblPr>
        <w:tblStyle w:val="TableGrid"/>
        <w:tblW w:w="0" w:type="auto"/>
        <w:tblLook w:val="04A0" w:firstRow="1" w:lastRow="0" w:firstColumn="1" w:lastColumn="0" w:noHBand="0" w:noVBand="1"/>
      </w:tblPr>
      <w:tblGrid>
        <w:gridCol w:w="610"/>
        <w:gridCol w:w="1731"/>
        <w:gridCol w:w="1937"/>
        <w:gridCol w:w="2761"/>
        <w:gridCol w:w="2537"/>
      </w:tblGrid>
      <w:tr w:rsidR="0047684C" w:rsidRPr="0047684C" w:rsidTr="0047684C">
        <w:tc>
          <w:tcPr>
            <w:tcW w:w="64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Nr.</w:t>
            </w:r>
          </w:p>
        </w:tc>
        <w:tc>
          <w:tcPr>
            <w:tcW w:w="1980"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Kodi i kampionit</w:t>
            </w:r>
          </w:p>
        </w:tc>
        <w:tc>
          <w:tcPr>
            <w:tcW w:w="2250"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Emërtimi i Lumit</w:t>
            </w:r>
          </w:p>
        </w:tc>
        <w:tc>
          <w:tcPr>
            <w:tcW w:w="3330"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Vendndodhja</w:t>
            </w:r>
          </w:p>
        </w:tc>
        <w:tc>
          <w:tcPr>
            <w:tcW w:w="3060"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Koordinatat gjeografike</w:t>
            </w:r>
          </w:p>
        </w:tc>
      </w:tr>
      <w:tr w:rsidR="0047684C" w:rsidRPr="0047684C" w:rsidTr="0047684C">
        <w:tc>
          <w:tcPr>
            <w:tcW w:w="64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1.</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Sh</w:t>
            </w:r>
            <w:r w:rsidRPr="0047684C">
              <w:rPr>
                <w:rFonts w:ascii="Times New Roman" w:eastAsia="Calibri" w:hAnsi="Times New Roman" w:cs="Times New Roman"/>
                <w:vertAlign w:val="subscript"/>
                <w:lang w:val="sq-AL"/>
              </w:rPr>
              <w:t>1</w:t>
            </w:r>
          </w:p>
        </w:tc>
        <w:tc>
          <w:tcPr>
            <w:tcW w:w="225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 Shkumbinit</w:t>
            </w:r>
          </w:p>
        </w:tc>
        <w:tc>
          <w:tcPr>
            <w:tcW w:w="333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Quk</w:t>
            </w:r>
            <w:r w:rsidRPr="0047684C">
              <w:rPr>
                <w:rFonts w:ascii="Times New Roman" w:eastAsia="Times New Roman" w:hAnsi="Times New Roman" w:cs="Times New Roman"/>
                <w:color w:val="222222"/>
              </w:rPr>
              <w:t>ë</w:t>
            </w:r>
            <w:r w:rsidRPr="0047684C">
              <w:rPr>
                <w:rFonts w:ascii="Times New Roman" w:eastAsia="Calibri" w:hAnsi="Times New Roman" w:cs="Times New Roman"/>
                <w:lang w:val="sq-AL"/>
              </w:rPr>
              <w:t>s – 500 mbi fshatin Quk</w:t>
            </w:r>
            <w:r w:rsidRPr="0047684C">
              <w:rPr>
                <w:rFonts w:ascii="Times New Roman" w:eastAsia="Times New Roman" w:hAnsi="Times New Roman" w:cs="Times New Roman"/>
                <w:color w:val="222222"/>
              </w:rPr>
              <w:t>ë</w:t>
            </w:r>
            <w:r w:rsidRPr="0047684C">
              <w:rPr>
                <w:rFonts w:ascii="Times New Roman" w:eastAsia="Calibri" w:hAnsi="Times New Roman" w:cs="Times New Roman"/>
                <w:lang w:val="sq-AL"/>
              </w:rPr>
              <w:t>s</w:t>
            </w:r>
          </w:p>
        </w:tc>
        <w:tc>
          <w:tcPr>
            <w:tcW w:w="306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41.070265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20.467855</w:t>
            </w:r>
          </w:p>
        </w:tc>
      </w:tr>
      <w:tr w:rsidR="0047684C" w:rsidRPr="0047684C" w:rsidTr="0047684C">
        <w:trPr>
          <w:trHeight w:val="323"/>
        </w:trPr>
        <w:tc>
          <w:tcPr>
            <w:tcW w:w="64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2.</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Sh</w:t>
            </w:r>
            <w:r w:rsidRPr="0047684C">
              <w:rPr>
                <w:rFonts w:ascii="Times New Roman" w:eastAsia="Calibri" w:hAnsi="Times New Roman" w:cs="Times New Roman"/>
                <w:vertAlign w:val="subscript"/>
                <w:lang w:val="sq-AL"/>
              </w:rPr>
              <w:t>2</w:t>
            </w:r>
          </w:p>
        </w:tc>
        <w:tc>
          <w:tcPr>
            <w:tcW w:w="225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 Shkumbinit</w:t>
            </w:r>
          </w:p>
        </w:tc>
        <w:tc>
          <w:tcPr>
            <w:tcW w:w="333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Toplias</w:t>
            </w:r>
          </w:p>
        </w:tc>
        <w:tc>
          <w:tcPr>
            <w:tcW w:w="306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41.097940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20.081447</w:t>
            </w:r>
          </w:p>
        </w:tc>
      </w:tr>
      <w:tr w:rsidR="0047684C" w:rsidRPr="0047684C" w:rsidTr="0047684C">
        <w:tc>
          <w:tcPr>
            <w:tcW w:w="64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3.</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Sh</w:t>
            </w:r>
            <w:r w:rsidRPr="0047684C">
              <w:rPr>
                <w:rFonts w:ascii="Times New Roman" w:eastAsia="Calibri" w:hAnsi="Times New Roman" w:cs="Times New Roman"/>
                <w:vertAlign w:val="subscript"/>
                <w:lang w:val="sq-AL"/>
              </w:rPr>
              <w:t>3</w:t>
            </w:r>
          </w:p>
        </w:tc>
        <w:tc>
          <w:tcPr>
            <w:tcW w:w="225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 Shkumbinit</w:t>
            </w:r>
          </w:p>
        </w:tc>
        <w:tc>
          <w:tcPr>
            <w:tcW w:w="333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e Paprit</w:t>
            </w:r>
          </w:p>
        </w:tc>
        <w:tc>
          <w:tcPr>
            <w:tcW w:w="306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41.052378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19.942619</w:t>
            </w:r>
          </w:p>
        </w:tc>
      </w:tr>
      <w:tr w:rsidR="0047684C" w:rsidRPr="0047684C" w:rsidTr="0047684C">
        <w:tc>
          <w:tcPr>
            <w:tcW w:w="64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4.</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Sh</w:t>
            </w:r>
            <w:r w:rsidRPr="0047684C">
              <w:rPr>
                <w:rFonts w:ascii="Times New Roman" w:eastAsia="Calibri" w:hAnsi="Times New Roman" w:cs="Times New Roman"/>
                <w:vertAlign w:val="subscript"/>
                <w:lang w:val="sq-AL"/>
              </w:rPr>
              <w:t>4</w:t>
            </w:r>
          </w:p>
        </w:tc>
        <w:tc>
          <w:tcPr>
            <w:tcW w:w="225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 Shkumbinit</w:t>
            </w:r>
          </w:p>
        </w:tc>
        <w:tc>
          <w:tcPr>
            <w:tcW w:w="333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Rrogozhin</w:t>
            </w:r>
            <w:r w:rsidRPr="0047684C">
              <w:rPr>
                <w:rFonts w:ascii="Times New Roman" w:eastAsia="Times New Roman" w:hAnsi="Times New Roman" w:cs="Times New Roman"/>
                <w:color w:val="222222"/>
              </w:rPr>
              <w:t>ë</w:t>
            </w:r>
          </w:p>
        </w:tc>
        <w:tc>
          <w:tcPr>
            <w:tcW w:w="306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41.062902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19.645174</w:t>
            </w:r>
          </w:p>
        </w:tc>
      </w:tr>
    </w:tbl>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Vler</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simi i cil</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sis</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 xml:space="preserve"> s</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 xml:space="preserve"> uj</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rave t</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 xml:space="preserve"> basenit </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sht</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 xml:space="preserve"> kryer bazuar n</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 xml:space="preserve"> vlerat limite t</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 xml:space="preserve"> parametrave t</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 xml:space="preserve"> Direktiv</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s Kuad</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r t</w:t>
      </w:r>
      <w:r w:rsidRPr="0047684C">
        <w:rPr>
          <w:rFonts w:ascii="Times New Roman" w:eastAsia="Times New Roman" w:hAnsi="Times New Roman" w:cs="Times New Roman"/>
          <w:color w:val="222222"/>
          <w:sz w:val="24"/>
          <w:szCs w:val="24"/>
        </w:rPr>
        <w:t>ë</w:t>
      </w:r>
      <w:r w:rsidRPr="0047684C">
        <w:rPr>
          <w:rFonts w:ascii="Times New Roman" w:eastAsia="Calibri" w:hAnsi="Times New Roman" w:cs="Times New Roman"/>
          <w:sz w:val="24"/>
          <w:szCs w:val="24"/>
          <w:lang w:val="sq-AL"/>
        </w:rPr>
        <w:t xml:space="preserve"> Ujit.</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D460A">
      <w:pPr>
        <w:numPr>
          <w:ilvl w:val="0"/>
          <w:numId w:val="23"/>
        </w:numPr>
        <w:spacing w:after="0" w:line="240" w:lineRule="auto"/>
        <w:contextualSpacing/>
        <w:jc w:val="both"/>
        <w:rPr>
          <w:rFonts w:ascii="Times New Roman" w:eastAsia="Calibri" w:hAnsi="Times New Roman" w:cs="Times New Roman"/>
          <w:b/>
          <w:sz w:val="24"/>
          <w:szCs w:val="24"/>
          <w:lang w:val="sq-AL"/>
        </w:rPr>
      </w:pPr>
      <w:r w:rsidRPr="0047684C">
        <w:rPr>
          <w:rFonts w:ascii="Times New Roman" w:eastAsia="Calibri" w:hAnsi="Times New Roman" w:cs="Times New Roman"/>
          <w:b/>
          <w:sz w:val="24"/>
          <w:szCs w:val="24"/>
          <w:lang w:val="sq-AL"/>
        </w:rPr>
        <w:t>Oksigjeni i tretur</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Vlerat mesatare vjetore të ekspeditave të realizuara janë paraqitur në formë grafike si vijon</w:t>
      </w:r>
      <w:r w:rsidR="002C2A2D">
        <w:rPr>
          <w:rFonts w:ascii="Times New Roman" w:eastAsia="Calibri" w:hAnsi="Times New Roman" w:cs="Times New Roman"/>
          <w:sz w:val="24"/>
          <w:szCs w:val="24"/>
          <w:lang w:val="sq-AL"/>
        </w:rPr>
        <w:t>.</w:t>
      </w:r>
    </w:p>
    <w:p w:rsidR="0047684C" w:rsidRPr="0047684C" w:rsidRDefault="0047684C" w:rsidP="002C2A2D">
      <w:pPr>
        <w:spacing w:after="200" w:line="276" w:lineRule="auto"/>
        <w:rPr>
          <w:rFonts w:ascii="Times New Roman" w:eastAsia="Calibri" w:hAnsi="Times New Roman" w:cs="Times New Roman"/>
          <w:b/>
          <w:sz w:val="24"/>
          <w:szCs w:val="24"/>
          <w:lang w:val="sq-AL"/>
        </w:rPr>
      </w:pPr>
      <w:r w:rsidRPr="0047684C">
        <w:rPr>
          <w:rFonts w:ascii="Calibri" w:eastAsia="Calibri" w:hAnsi="Calibri" w:cs="Times New Roman"/>
          <w:noProof/>
        </w:rPr>
        <w:drawing>
          <wp:inline distT="0" distB="0" distL="0" distR="0" wp14:anchorId="6A6866E8" wp14:editId="4240B064">
            <wp:extent cx="2809875" cy="2038350"/>
            <wp:effectExtent l="0" t="0" r="9525" b="19050"/>
            <wp:docPr id="365" name="Chart 1">
              <a:extLst xmlns:a="http://schemas.openxmlformats.org/drawingml/2006/main">
                <a:ext uri="{FF2B5EF4-FFF2-40B4-BE49-F238E27FC236}">
                  <a16:creationId xmlns:a16="http://schemas.microsoft.com/office/drawing/2014/main" id="{64EAEBB2-D507-0F5B-631F-6DA3130615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sidR="002C2A2D">
        <w:rPr>
          <w:rFonts w:ascii="Times New Roman" w:eastAsia="Calibri" w:hAnsi="Times New Roman" w:cs="Times New Roman"/>
          <w:b/>
          <w:sz w:val="24"/>
          <w:szCs w:val="24"/>
          <w:lang w:val="sq-AL"/>
        </w:rPr>
        <w:t xml:space="preserve">   </w:t>
      </w:r>
      <w:r w:rsidR="002C2A2D" w:rsidRPr="0047684C">
        <w:rPr>
          <w:rFonts w:ascii="Calibri" w:eastAsia="Calibri" w:hAnsi="Calibri" w:cs="Times New Roman"/>
          <w:noProof/>
        </w:rPr>
        <w:drawing>
          <wp:inline distT="0" distB="0" distL="0" distR="0" wp14:anchorId="46BBCB90" wp14:editId="2D7D27FC">
            <wp:extent cx="2886075" cy="2009775"/>
            <wp:effectExtent l="0" t="0" r="9525" b="9525"/>
            <wp:docPr id="366" name="Chart 1">
              <a:extLst xmlns:a="http://schemas.openxmlformats.org/drawingml/2006/main">
                <a:ext uri="{FF2B5EF4-FFF2-40B4-BE49-F238E27FC236}">
                  <a16:creationId xmlns:a16="http://schemas.microsoft.com/office/drawing/2014/main" id="{1CBDAAB7-1933-5B80-B2F5-8CBA338838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2C2A2D" w:rsidRPr="0047684C" w:rsidRDefault="0047684C" w:rsidP="0047684C">
      <w:pPr>
        <w:spacing w:after="200" w:line="276" w:lineRule="auto"/>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Stacionet dëshmojnë për ujëra të ngopura me oksigjen duke i klasifikuar ujërat e Basenit të Shkumbinit në Klasën I – Gjendje e lartë.</w:t>
      </w:r>
    </w:p>
    <w:p w:rsidR="0047684C" w:rsidRPr="0047684C" w:rsidRDefault="00773F09" w:rsidP="0033538C">
      <w:pPr>
        <w:numPr>
          <w:ilvl w:val="0"/>
          <w:numId w:val="8"/>
        </w:numPr>
        <w:spacing w:after="0" w:line="240" w:lineRule="auto"/>
        <w:contextualSpacing/>
        <w:jc w:val="both"/>
        <w:rPr>
          <w:rFonts w:ascii="Times New Roman" w:eastAsia="Calibri" w:hAnsi="Times New Roman" w:cs="Times New Roman"/>
          <w:b/>
          <w:sz w:val="24"/>
          <w:szCs w:val="24"/>
          <w:lang w:val="sq-AL"/>
        </w:rPr>
      </w:pPr>
      <w:r>
        <w:rPr>
          <w:rFonts w:ascii="Times New Roman" w:eastAsia="Calibri" w:hAnsi="Times New Roman" w:cs="Times New Roman"/>
          <w:b/>
          <w:sz w:val="24"/>
          <w:szCs w:val="24"/>
          <w:lang w:val="sq-AL"/>
        </w:rPr>
        <w:t>Nevoja Biokimike për O</w:t>
      </w:r>
      <w:r w:rsidR="0047684C" w:rsidRPr="0047684C">
        <w:rPr>
          <w:rFonts w:ascii="Times New Roman" w:eastAsia="Calibri" w:hAnsi="Times New Roman" w:cs="Times New Roman"/>
          <w:b/>
          <w:sz w:val="24"/>
          <w:szCs w:val="24"/>
          <w:lang w:val="sq-AL"/>
        </w:rPr>
        <w:t>ksigjen</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Ky parametër është i rëndësishëm për vlerësimin e cilësisë së ujërave të lumenjve si një tregues i shkallës së ndotjes.</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noProof/>
          <w:sz w:val="24"/>
          <w:szCs w:val="24"/>
        </w:rPr>
      </w:pPr>
      <w:r w:rsidRPr="0047684C">
        <w:rPr>
          <w:rFonts w:ascii="Times New Roman" w:eastAsia="Calibri" w:hAnsi="Times New Roman" w:cs="Times New Roman"/>
          <w:noProof/>
          <w:sz w:val="24"/>
          <w:szCs w:val="24"/>
        </w:rPr>
        <w:t>Tejkalim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noProof/>
          <w:sz w:val="24"/>
          <w:szCs w:val="24"/>
        </w:rPr>
        <w:t xml:space="preserve"> vler</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noProof/>
          <w:sz w:val="24"/>
          <w:szCs w:val="24"/>
        </w:rPr>
        <w:t>s limite 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noProof/>
          <w:sz w:val="24"/>
          <w:szCs w:val="24"/>
        </w:rPr>
        <w:t>r k</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noProof/>
          <w:sz w:val="24"/>
          <w:szCs w:val="24"/>
        </w:rPr>
        <w:t>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noProof/>
          <w:sz w:val="24"/>
          <w:szCs w:val="24"/>
        </w:rPr>
        <w:t xml:space="preserve"> paramet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noProof/>
          <w:sz w:val="24"/>
          <w:szCs w:val="24"/>
        </w:rPr>
        <w:t>r nuk ka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noProof/>
          <w:sz w:val="24"/>
          <w:szCs w:val="24"/>
        </w:rPr>
        <w:t xml:space="preserve"> asnj</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noProof/>
          <w:sz w:val="24"/>
          <w:szCs w:val="24"/>
        </w:rPr>
        <w:t xml:space="preserve"> nga stacionet e monitoruara por janë në vlerat kufi të Klasës III – Gjendje e moderuar . </w:t>
      </w:r>
    </w:p>
    <w:p w:rsidR="0047684C" w:rsidRPr="0047684C" w:rsidRDefault="0047684C" w:rsidP="0047684C">
      <w:pPr>
        <w:spacing w:after="0" w:line="240" w:lineRule="auto"/>
        <w:rPr>
          <w:rFonts w:ascii="Times New Roman" w:eastAsia="Calibri" w:hAnsi="Times New Roman" w:cs="Times New Roman"/>
          <w:b/>
          <w:sz w:val="24"/>
          <w:szCs w:val="24"/>
          <w:lang w:val="sq-AL"/>
        </w:rPr>
      </w:pPr>
    </w:p>
    <w:p w:rsidR="0047684C" w:rsidRPr="0047684C" w:rsidRDefault="0047684C" w:rsidP="0033538C">
      <w:pPr>
        <w:numPr>
          <w:ilvl w:val="0"/>
          <w:numId w:val="8"/>
        </w:numPr>
        <w:spacing w:after="0" w:line="240" w:lineRule="auto"/>
        <w:contextualSpacing/>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 xml:space="preserve">Përmbajtja e amonjakut </w:t>
      </w:r>
    </w:p>
    <w:p w:rsidR="0047684C" w:rsidRPr="0047684C" w:rsidRDefault="0047684C" w:rsidP="0047684C">
      <w:pPr>
        <w:spacing w:after="0" w:line="240" w:lineRule="auto"/>
        <w:rPr>
          <w:rFonts w:ascii="Times New Roman" w:eastAsia="Calibri" w:hAnsi="Times New Roman" w:cs="Times New Roman"/>
          <w:b/>
          <w:sz w:val="24"/>
          <w:szCs w:val="24"/>
          <w:lang w:val="sq-AL"/>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Grafiku paraqet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dh</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nat mesatare vjetore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ekspeditave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realizuara ku përqendrimi i amonjakut paraqitet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jet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n norm</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n e lejuar 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gjitha stacionet, me vlerë më të lartë në stacionin Sh</w:t>
      </w:r>
      <w:r w:rsidRPr="0047684C">
        <w:rPr>
          <w:rFonts w:ascii="Times New Roman" w:eastAsia="Calibri" w:hAnsi="Times New Roman" w:cs="Times New Roman"/>
          <w:bCs/>
          <w:sz w:val="24"/>
          <w:szCs w:val="24"/>
          <w:vertAlign w:val="subscript"/>
          <w:lang w:val="fi-FI"/>
        </w:rPr>
        <w:t>2</w:t>
      </w:r>
      <w:r w:rsidRPr="0047684C">
        <w:rPr>
          <w:rFonts w:ascii="Times New Roman" w:eastAsia="Calibri" w:hAnsi="Times New Roman" w:cs="Times New Roman"/>
          <w:bCs/>
          <w:sz w:val="24"/>
          <w:szCs w:val="24"/>
          <w:lang w:val="fi-FI"/>
        </w:rPr>
        <w:t xml:space="preserve"> - duke u klasifikuar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Klas</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n II – Gjendje e mir</w:t>
      </w:r>
      <w:r w:rsidRPr="0047684C">
        <w:rPr>
          <w:rFonts w:ascii="Times New Roman" w:eastAsia="Calibri" w:hAnsi="Times New Roman" w:cs="Times New Roman"/>
          <w:sz w:val="24"/>
          <w:szCs w:val="24"/>
          <w:lang w:val="sq-AL"/>
        </w:rPr>
        <w:t>ë</w:t>
      </w: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p>
    <w:p w:rsidR="0047684C" w:rsidRPr="0047684C" w:rsidRDefault="0047684C" w:rsidP="00773F09">
      <w:pPr>
        <w:spacing w:after="0" w:line="240" w:lineRule="auto"/>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3573ABC4" wp14:editId="3191410A">
            <wp:extent cx="2590800" cy="1971675"/>
            <wp:effectExtent l="0" t="0" r="19050" b="9525"/>
            <wp:docPr id="367" name="Chart 1">
              <a:extLst xmlns:a="http://schemas.openxmlformats.org/drawingml/2006/main">
                <a:ext uri="{FF2B5EF4-FFF2-40B4-BE49-F238E27FC236}">
                  <a16:creationId xmlns:a16="http://schemas.microsoft.com/office/drawing/2014/main" id="{03009344-3BEE-0B4D-37AD-FC254DCA8A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r w:rsidR="00773F09">
        <w:rPr>
          <w:rFonts w:ascii="Times New Roman" w:eastAsia="Calibri" w:hAnsi="Times New Roman" w:cs="Times New Roman"/>
          <w:bCs/>
          <w:sz w:val="24"/>
          <w:szCs w:val="24"/>
          <w:lang w:val="fi-FI"/>
        </w:rPr>
        <w:t xml:space="preserve">  </w:t>
      </w:r>
      <w:r w:rsidR="00773F09" w:rsidRPr="0047684C">
        <w:rPr>
          <w:rFonts w:ascii="Calibri" w:eastAsia="Calibri" w:hAnsi="Calibri" w:cs="Times New Roman"/>
          <w:noProof/>
        </w:rPr>
        <w:drawing>
          <wp:inline distT="0" distB="0" distL="0" distR="0" wp14:anchorId="2C78F75F" wp14:editId="37B6D014">
            <wp:extent cx="2895600" cy="1962150"/>
            <wp:effectExtent l="0" t="0" r="19050" b="19050"/>
            <wp:docPr id="368" name="Chart 1">
              <a:extLst xmlns:a="http://schemas.openxmlformats.org/drawingml/2006/main">
                <a:ext uri="{FF2B5EF4-FFF2-40B4-BE49-F238E27FC236}">
                  <a16:creationId xmlns:a16="http://schemas.microsoft.com/office/drawing/2014/main" id="{84B55B62-2D65-CEF5-EB34-FCB78F39F7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rmbajtja e nitriteve</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rmbajtja e nitriteve </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sht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n norm</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n e lejuar duke i vler</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suar stacionet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Klas</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n I – Gjendje e lart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kat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 stacionet e monitorimit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k</w:t>
      </w:r>
      <w:r w:rsidRPr="0047684C">
        <w:rPr>
          <w:rFonts w:ascii="Times New Roman" w:eastAsia="Calibri" w:hAnsi="Times New Roman" w:cs="Times New Roman"/>
          <w:sz w:val="24"/>
          <w:szCs w:val="24"/>
          <w:lang w:val="sq-AL"/>
        </w:rPr>
        <w:t>ë</w:t>
      </w:r>
      <w:r w:rsidR="00E224D1">
        <w:rPr>
          <w:rFonts w:ascii="Times New Roman" w:eastAsia="Calibri" w:hAnsi="Times New Roman" w:cs="Times New Roman"/>
          <w:bCs/>
          <w:sz w:val="24"/>
          <w:szCs w:val="24"/>
          <w:lang w:val="fi-FI"/>
        </w:rPr>
        <w:t>tij baseni, vlera t</w:t>
      </w:r>
      <w:r w:rsidR="00E224D1">
        <w:rPr>
          <w:rFonts w:ascii="Times New Roman" w:hAnsi="Times New Roman"/>
          <w:sz w:val="24"/>
          <w:szCs w:val="24"/>
        </w:rPr>
        <w:t>ë</w:t>
      </w:r>
      <w:r w:rsidRPr="0047684C">
        <w:rPr>
          <w:rFonts w:ascii="Times New Roman" w:eastAsia="Calibri" w:hAnsi="Times New Roman" w:cs="Times New Roman"/>
          <w:bCs/>
          <w:sz w:val="24"/>
          <w:szCs w:val="24"/>
          <w:lang w:val="fi-FI"/>
        </w:rPr>
        <w:t xml:space="preserve"> cilat variojnë 0.0019 – 0.019 mg/l.</w:t>
      </w:r>
    </w:p>
    <w:p w:rsidR="0047684C" w:rsidRPr="0047684C" w:rsidRDefault="0047684C" w:rsidP="00773F09">
      <w:pPr>
        <w:spacing w:after="0" w:line="240" w:lineRule="auto"/>
        <w:contextualSpacing/>
        <w:jc w:val="both"/>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rmbajtja e nitrateve</w:t>
      </w:r>
    </w:p>
    <w:p w:rsidR="0047684C" w:rsidRPr="0047684C" w:rsidRDefault="0047684C" w:rsidP="0047684C">
      <w:pPr>
        <w:spacing w:after="0" w:line="276" w:lineRule="auto"/>
        <w:jc w:val="both"/>
        <w:rPr>
          <w:rFonts w:ascii="Times New Roman" w:eastAsia="Calibri" w:hAnsi="Times New Roman" w:cs="Times New Roman"/>
          <w:sz w:val="24"/>
          <w:szCs w:val="24"/>
          <w:lang w:val="da-DK"/>
        </w:rPr>
      </w:pPr>
    </w:p>
    <w:p w:rsidR="0047684C" w:rsidRPr="0047684C" w:rsidRDefault="0047684C" w:rsidP="0047684C">
      <w:pPr>
        <w:spacing w:after="0" w:line="276" w:lineRule="auto"/>
        <w:jc w:val="both"/>
        <w:rPr>
          <w:rFonts w:ascii="Times New Roman" w:eastAsia="Calibri" w:hAnsi="Times New Roman" w:cs="Times New Roman"/>
          <w:sz w:val="24"/>
          <w:szCs w:val="24"/>
          <w:lang w:val="da-DK"/>
        </w:rPr>
      </w:pPr>
      <w:r w:rsidRPr="0047684C">
        <w:rPr>
          <w:rFonts w:ascii="Times New Roman" w:eastAsia="Calibri" w:hAnsi="Times New Roman" w:cs="Times New Roman"/>
          <w:sz w:val="24"/>
          <w:szCs w:val="24"/>
          <w:lang w:val="da-DK"/>
        </w:rPr>
        <w:t>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rmbajtja e nitrateve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 xml:space="preserve">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 xml:space="preserve"> gjitha stacionet e monitoruara rezulton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 xml:space="preserve"> vlera m</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 xml:space="preserve">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 xml:space="preserve"> ul</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ta se norma e lejuar duke i klasifikuar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 xml:space="preserve"> Klas</w:t>
      </w:r>
      <w:r w:rsidRPr="0047684C">
        <w:rPr>
          <w:rFonts w:ascii="Times New Roman" w:eastAsia="Calibri" w:hAnsi="Times New Roman" w:cs="Times New Roman"/>
          <w:sz w:val="24"/>
          <w:szCs w:val="24"/>
          <w:lang w:val="sq-AL"/>
        </w:rPr>
        <w:t>ën</w:t>
      </w:r>
      <w:r w:rsidRPr="0047684C">
        <w:rPr>
          <w:rFonts w:ascii="Times New Roman" w:eastAsia="Calibri" w:hAnsi="Times New Roman" w:cs="Times New Roman"/>
          <w:sz w:val="24"/>
          <w:szCs w:val="24"/>
          <w:lang w:val="da-DK"/>
        </w:rPr>
        <w:t xml:space="preserve"> I – Gjendje e lart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sz w:val="24"/>
          <w:szCs w:val="24"/>
          <w:lang w:val="da-DK"/>
        </w:rPr>
        <w:t>.</w:t>
      </w:r>
    </w:p>
    <w:p w:rsidR="0047684C" w:rsidRPr="0047684C" w:rsidRDefault="0047684C" w:rsidP="0047684C">
      <w:pPr>
        <w:spacing w:after="0" w:line="276" w:lineRule="auto"/>
        <w:jc w:val="both"/>
        <w:rPr>
          <w:rFonts w:ascii="Times New Roman" w:eastAsia="Calibri" w:hAnsi="Times New Roman" w:cs="Times New Roman"/>
          <w:sz w:val="24"/>
          <w:szCs w:val="24"/>
          <w:lang w:val="da-DK"/>
        </w:rPr>
      </w:pPr>
    </w:p>
    <w:p w:rsidR="0047684C" w:rsidRPr="0047684C" w:rsidRDefault="0047684C" w:rsidP="0047684C">
      <w:pPr>
        <w:spacing w:after="0" w:line="276" w:lineRule="auto"/>
        <w:jc w:val="center"/>
        <w:rPr>
          <w:rFonts w:ascii="Times New Roman" w:eastAsia="Calibri" w:hAnsi="Times New Roman" w:cs="Times New Roman"/>
          <w:sz w:val="24"/>
          <w:szCs w:val="24"/>
          <w:lang w:val="da-DK"/>
        </w:rPr>
      </w:pPr>
      <w:r w:rsidRPr="0047684C">
        <w:rPr>
          <w:rFonts w:ascii="Calibri" w:eastAsia="Calibri" w:hAnsi="Calibri" w:cs="Times New Roman"/>
          <w:noProof/>
        </w:rPr>
        <w:drawing>
          <wp:inline distT="0" distB="0" distL="0" distR="0" wp14:anchorId="7B595D90" wp14:editId="2E675666">
            <wp:extent cx="4095750" cy="2038350"/>
            <wp:effectExtent l="0" t="0" r="19050" b="19050"/>
            <wp:docPr id="369" name="Chart 1">
              <a:extLst xmlns:a="http://schemas.openxmlformats.org/drawingml/2006/main">
                <a:ext uri="{FF2B5EF4-FFF2-40B4-BE49-F238E27FC236}">
                  <a16:creationId xmlns:a16="http://schemas.microsoft.com/office/drawing/2014/main" id="{5B6CBEAC-4EE1-5131-B0E8-D7450D2C06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47684C" w:rsidRPr="0047684C" w:rsidRDefault="0047684C" w:rsidP="0047684C">
      <w:pPr>
        <w:spacing w:after="0" w:line="276" w:lineRule="auto"/>
        <w:jc w:val="center"/>
        <w:rPr>
          <w:rFonts w:ascii="Times New Roman" w:eastAsia="Calibri" w:hAnsi="Times New Roman" w:cs="Times New Roman"/>
          <w:bCs/>
          <w:sz w:val="24"/>
          <w:szCs w:val="24"/>
          <w:lang w:val="fi-FI"/>
        </w:rPr>
      </w:pP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Përmbajtja e fosforit</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Referuar të dhënave mesatare, vlerësojmë se nuk kemi tejkalim të vlerës limite të përmbajtjes së orto – fosfateve.</w:t>
      </w:r>
    </w:p>
    <w:p w:rsidR="0047684C" w:rsidRPr="0047684C" w:rsidRDefault="0047684C" w:rsidP="00773F09">
      <w:pPr>
        <w:spacing w:after="0" w:line="240" w:lineRule="auto"/>
        <w:rPr>
          <w:rFonts w:ascii="Times New Roman" w:eastAsia="Calibri" w:hAnsi="Times New Roman" w:cs="Times New Roman"/>
          <w:bCs/>
          <w:sz w:val="24"/>
          <w:szCs w:val="24"/>
          <w:lang w:val="fi-FI"/>
        </w:rPr>
      </w:pPr>
    </w:p>
    <w:p w:rsidR="0047684C" w:rsidRPr="0047684C" w:rsidRDefault="0047684C" w:rsidP="00773F09">
      <w:pPr>
        <w:spacing w:after="0" w:line="240" w:lineRule="auto"/>
        <w:contextualSpacing/>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4D6A4EE9" wp14:editId="026221E8">
            <wp:extent cx="2800350" cy="1905000"/>
            <wp:effectExtent l="0" t="0" r="19050" b="19050"/>
            <wp:docPr id="382" name="Chart 1">
              <a:extLst xmlns:a="http://schemas.openxmlformats.org/drawingml/2006/main">
                <a:ext uri="{FF2B5EF4-FFF2-40B4-BE49-F238E27FC236}">
                  <a16:creationId xmlns:a16="http://schemas.microsoft.com/office/drawing/2014/main" id="{3BCF1EC1-7E48-19FE-12C4-20E9B9A97B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sidR="00773F09">
        <w:rPr>
          <w:rFonts w:ascii="Times New Roman" w:eastAsia="Calibri" w:hAnsi="Times New Roman" w:cs="Times New Roman"/>
          <w:bCs/>
          <w:sz w:val="24"/>
          <w:szCs w:val="24"/>
          <w:lang w:val="fi-FI"/>
        </w:rPr>
        <w:t xml:space="preserve">   </w:t>
      </w:r>
      <w:r w:rsidR="00773F09" w:rsidRPr="0047684C">
        <w:rPr>
          <w:rFonts w:ascii="Calibri" w:eastAsia="Calibri" w:hAnsi="Calibri" w:cs="Times New Roman"/>
          <w:noProof/>
        </w:rPr>
        <w:drawing>
          <wp:inline distT="0" distB="0" distL="0" distR="0" wp14:anchorId="09BB6BEB" wp14:editId="7627D769">
            <wp:extent cx="2838450" cy="1905000"/>
            <wp:effectExtent l="0" t="0" r="19050" b="19050"/>
            <wp:docPr id="383" name="Chart 1">
              <a:extLst xmlns:a="http://schemas.openxmlformats.org/drawingml/2006/main">
                <a:ext uri="{FF2B5EF4-FFF2-40B4-BE49-F238E27FC236}">
                  <a16:creationId xmlns:a16="http://schemas.microsoft.com/office/drawing/2014/main" id="{6E821FCD-3C80-AD04-7ED6-42FC2E2E07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47684C" w:rsidRPr="0047684C" w:rsidRDefault="0047684C" w:rsidP="00773F09">
      <w:pPr>
        <w:spacing w:after="0" w:line="240" w:lineRule="auto"/>
        <w:contextualSpacing/>
        <w:rPr>
          <w:rFonts w:ascii="Times New Roman" w:eastAsia="Calibri" w:hAnsi="Times New Roman" w:cs="Times New Roman"/>
          <w:bCs/>
          <w:sz w:val="24"/>
          <w:szCs w:val="24"/>
          <w:lang w:val="fi-FI"/>
        </w:rPr>
      </w:pPr>
    </w:p>
    <w:p w:rsidR="0047684C" w:rsidRPr="00773F09" w:rsidRDefault="0047684C" w:rsidP="0033538C">
      <w:pPr>
        <w:numPr>
          <w:ilvl w:val="0"/>
          <w:numId w:val="8"/>
        </w:numPr>
        <w:spacing w:after="0" w:line="240" w:lineRule="auto"/>
        <w:contextualSpacing/>
        <w:jc w:val="both"/>
        <w:rPr>
          <w:rFonts w:ascii="Times New Roman" w:eastAsia="Calibri" w:hAnsi="Times New Roman" w:cs="Times New Roman"/>
          <w:bCs/>
          <w:iCs/>
          <w:sz w:val="24"/>
          <w:szCs w:val="24"/>
          <w:lang w:val="fi-FI"/>
        </w:rPr>
      </w:pPr>
      <w:r w:rsidRPr="00773F09">
        <w:rPr>
          <w:rFonts w:ascii="Times New Roman" w:eastAsia="Calibri" w:hAnsi="Times New Roman" w:cs="Times New Roman"/>
          <w:bCs/>
          <w:iCs/>
          <w:sz w:val="24"/>
          <w:szCs w:val="24"/>
          <w:lang w:val="fi-FI"/>
        </w:rPr>
        <w:t xml:space="preserve">Përmbajtja e fosforit total </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Referuar vlerave mesatare vjetore vlerësojmë se stacionet nuk e tejkalojnë vlerën e lejuar, përmbajtja e të cilave varion nga 0.0078mg/l – 0.031 mg/l duke i klasifikuar në Klasën I - Gjendje e lartë.</w:t>
      </w:r>
    </w:p>
    <w:p w:rsidR="0047684C" w:rsidRPr="0047684C" w:rsidRDefault="0047684C" w:rsidP="0047684C">
      <w:pPr>
        <w:spacing w:after="200" w:line="276" w:lineRule="auto"/>
        <w:rPr>
          <w:rFonts w:ascii="Times New Roman" w:eastAsia="Calibri" w:hAnsi="Times New Roman" w:cs="Times New Roman"/>
          <w:b/>
          <w:i/>
          <w:sz w:val="24"/>
          <w:szCs w:val="24"/>
          <w:lang w:val="sq-AL"/>
        </w:rPr>
      </w:pPr>
    </w:p>
    <w:p w:rsidR="0047684C" w:rsidRPr="00773F09"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sq-AL"/>
        </w:rPr>
      </w:pPr>
      <w:r w:rsidRPr="00773F09">
        <w:rPr>
          <w:rFonts w:ascii="Times New Roman" w:eastAsia="Calibri" w:hAnsi="Times New Roman" w:cs="Times New Roman"/>
          <w:bCs/>
          <w:sz w:val="24"/>
          <w:szCs w:val="24"/>
          <w:lang w:val="sq-AL"/>
        </w:rPr>
        <w:t>Përmbajtja e TOC</w:t>
      </w:r>
    </w:p>
    <w:p w:rsidR="0047684C" w:rsidRPr="0047684C" w:rsidRDefault="0047684C" w:rsidP="0047684C">
      <w:pPr>
        <w:spacing w:after="0" w:line="240" w:lineRule="auto"/>
        <w:jc w:val="both"/>
        <w:rPr>
          <w:rFonts w:ascii="Times New Roman" w:eastAsia="Calibri" w:hAnsi="Times New Roman" w:cs="Times New Roman"/>
          <w:bCs/>
          <w:i/>
          <w:sz w:val="24"/>
          <w:szCs w:val="24"/>
          <w:lang w:val="sq-AL"/>
        </w:rPr>
      </w:pPr>
    </w:p>
    <w:p w:rsidR="0047684C" w:rsidRPr="0047684C" w:rsidRDefault="0047684C" w:rsidP="0047684C">
      <w:pPr>
        <w:spacing w:after="0" w:line="240" w:lineRule="auto"/>
        <w:jc w:val="both"/>
        <w:rPr>
          <w:rFonts w:ascii="Times New Roman" w:eastAsia="Calibri" w:hAnsi="Times New Roman" w:cs="Times New Roman"/>
          <w:bCs/>
          <w:iCs/>
          <w:sz w:val="24"/>
          <w:szCs w:val="24"/>
          <w:lang w:val="sq-AL"/>
        </w:rPr>
      </w:pPr>
      <w:r w:rsidRPr="0047684C">
        <w:rPr>
          <w:rFonts w:ascii="Times New Roman" w:eastAsia="Calibri" w:hAnsi="Times New Roman" w:cs="Times New Roman"/>
          <w:bCs/>
          <w:iCs/>
          <w:sz w:val="24"/>
          <w:szCs w:val="24"/>
          <w:lang w:val="sq-AL"/>
        </w:rPr>
        <w:t>Përmbajtja e TOC është nën normë për të gjitha stacionet.</w:t>
      </w:r>
    </w:p>
    <w:p w:rsidR="0047684C" w:rsidRPr="0047684C" w:rsidRDefault="0047684C" w:rsidP="0047684C">
      <w:pPr>
        <w:spacing w:after="200" w:line="276" w:lineRule="auto"/>
        <w:rPr>
          <w:rFonts w:ascii="Times New Roman" w:eastAsia="Calibri" w:hAnsi="Times New Roman" w:cs="Times New Roman"/>
          <w:b/>
          <w:i/>
          <w:sz w:val="24"/>
          <w:szCs w:val="24"/>
          <w:lang w:val="sq-AL"/>
        </w:rPr>
      </w:pPr>
    </w:p>
    <w:p w:rsidR="0047684C" w:rsidRDefault="0047684C" w:rsidP="00773F09">
      <w:pPr>
        <w:spacing w:after="200" w:line="276" w:lineRule="auto"/>
        <w:jc w:val="both"/>
        <w:rPr>
          <w:rFonts w:ascii="Times New Roman" w:eastAsia="Calibri" w:hAnsi="Times New Roman" w:cs="Times New Roman"/>
          <w:b/>
          <w:i/>
          <w:sz w:val="24"/>
          <w:szCs w:val="24"/>
          <w:lang w:val="sq-AL"/>
        </w:rPr>
      </w:pPr>
      <w:r w:rsidRPr="0047684C">
        <w:rPr>
          <w:rFonts w:ascii="Times New Roman" w:eastAsia="Calibri" w:hAnsi="Times New Roman" w:cs="Times New Roman"/>
          <w:b/>
          <w:i/>
          <w:sz w:val="24"/>
          <w:szCs w:val="24"/>
          <w:lang w:val="sq-AL"/>
        </w:rPr>
        <w:t>Duke marrë në konsideratë të gjithë parametrat e DKU, vlerësojmë se ujërat e Basenit të Shkumbinit klasifikohen në Klasën e III – Gjendje e moderuar, e vlerësuar si klasa kufi për pranimin e cilësisë së ujërave.</w:t>
      </w:r>
    </w:p>
    <w:p w:rsidR="00773F09" w:rsidRPr="0047684C" w:rsidRDefault="00773F09" w:rsidP="00773F09">
      <w:pPr>
        <w:spacing w:after="200" w:line="276" w:lineRule="auto"/>
        <w:jc w:val="both"/>
        <w:rPr>
          <w:rFonts w:ascii="Times New Roman" w:eastAsia="Calibri" w:hAnsi="Times New Roman" w:cs="Times New Roman"/>
          <w:b/>
          <w:i/>
          <w:sz w:val="24"/>
          <w:szCs w:val="24"/>
          <w:lang w:val="sq-AL"/>
        </w:rPr>
      </w:pPr>
    </w:p>
    <w:p w:rsidR="0047684C" w:rsidRDefault="0047684C" w:rsidP="004D460A">
      <w:pPr>
        <w:numPr>
          <w:ilvl w:val="0"/>
          <w:numId w:val="22"/>
        </w:numPr>
        <w:spacing w:after="200" w:line="276" w:lineRule="auto"/>
        <w:contextualSpacing/>
        <w:rPr>
          <w:rFonts w:ascii="Times New Roman" w:eastAsia="Calibri" w:hAnsi="Times New Roman" w:cs="Times New Roman"/>
          <w:b/>
          <w:sz w:val="24"/>
          <w:szCs w:val="24"/>
          <w:lang w:val="sq-AL"/>
        </w:rPr>
      </w:pPr>
      <w:r w:rsidRPr="0047684C">
        <w:rPr>
          <w:rFonts w:ascii="Times New Roman" w:eastAsia="Calibri" w:hAnsi="Times New Roman" w:cs="Times New Roman"/>
          <w:b/>
          <w:sz w:val="24"/>
          <w:szCs w:val="24"/>
          <w:lang w:val="sq-AL"/>
        </w:rPr>
        <w:t xml:space="preserve">Baseni </w:t>
      </w:r>
      <w:r w:rsidR="002179F1">
        <w:rPr>
          <w:rFonts w:ascii="Times New Roman" w:eastAsia="Calibri" w:hAnsi="Times New Roman" w:cs="Times New Roman"/>
          <w:b/>
          <w:sz w:val="24"/>
          <w:szCs w:val="24"/>
          <w:lang w:val="sq-AL"/>
        </w:rPr>
        <w:t xml:space="preserve">lumor </w:t>
      </w:r>
      <w:r w:rsidRPr="0047684C">
        <w:rPr>
          <w:rFonts w:ascii="Times New Roman" w:eastAsia="Calibri" w:hAnsi="Times New Roman" w:cs="Times New Roman"/>
          <w:b/>
          <w:sz w:val="24"/>
          <w:szCs w:val="24"/>
          <w:lang w:val="sq-AL"/>
        </w:rPr>
        <w:t xml:space="preserve">i Vjosës </w:t>
      </w:r>
    </w:p>
    <w:p w:rsidR="00773F09" w:rsidRPr="0047684C" w:rsidRDefault="00773F09" w:rsidP="00773F09">
      <w:pPr>
        <w:spacing w:after="200" w:line="276" w:lineRule="auto"/>
        <w:ind w:left="720"/>
        <w:contextualSpacing/>
        <w:rPr>
          <w:rFonts w:ascii="Times New Roman" w:eastAsia="Calibri" w:hAnsi="Times New Roman" w:cs="Times New Roman"/>
          <w:b/>
          <w:sz w:val="24"/>
          <w:szCs w:val="24"/>
          <w:lang w:val="sq-AL"/>
        </w:rPr>
      </w:pPr>
    </w:p>
    <w:p w:rsidR="0047684C" w:rsidRPr="0047684C" w:rsidRDefault="0047684C" w:rsidP="00773F09">
      <w:pPr>
        <w:shd w:val="clear" w:color="auto" w:fill="FFFFFF"/>
        <w:spacing w:before="120" w:after="120" w:line="240" w:lineRule="auto"/>
        <w:jc w:val="both"/>
        <w:rPr>
          <w:rFonts w:ascii="Times New Roman" w:eastAsia="Times New Roman" w:hAnsi="Times New Roman" w:cs="Times New Roman"/>
          <w:color w:val="222222"/>
          <w:sz w:val="24"/>
          <w:szCs w:val="24"/>
        </w:rPr>
      </w:pPr>
      <w:r w:rsidRPr="0047684C">
        <w:rPr>
          <w:rFonts w:ascii="Times New Roman" w:eastAsia="Times New Roman" w:hAnsi="Times New Roman" w:cs="Times New Roman"/>
          <w:b/>
          <w:bCs/>
          <w:color w:val="222222"/>
          <w:sz w:val="24"/>
          <w:szCs w:val="24"/>
        </w:rPr>
        <w:t xml:space="preserve">Lumi Vjosa </w:t>
      </w:r>
      <w:r w:rsidRPr="0047684C">
        <w:rPr>
          <w:rFonts w:ascii="Times New Roman" w:eastAsia="Times New Roman" w:hAnsi="Times New Roman" w:cs="Times New Roman"/>
          <w:bCs/>
          <w:color w:val="222222"/>
          <w:sz w:val="24"/>
          <w:szCs w:val="24"/>
        </w:rPr>
        <w:t>buron në veriperëndimtë Greqisë, në Epir nga malet e Pindit në lindje të Janinës ku rrjedha e tij vazhdon në drejtim të veriperëndimit dhe derdhet në detin Adriatik në Shqipëri.</w:t>
      </w:r>
    </w:p>
    <w:p w:rsidR="0047684C" w:rsidRPr="0047684C" w:rsidRDefault="0047684C" w:rsidP="00773F09">
      <w:pPr>
        <w:shd w:val="clear" w:color="auto" w:fill="FFFFFF"/>
        <w:spacing w:before="120" w:after="120" w:line="240" w:lineRule="auto"/>
        <w:jc w:val="both"/>
        <w:rPr>
          <w:rFonts w:ascii="Times New Roman" w:eastAsia="Times New Roman" w:hAnsi="Times New Roman" w:cs="Times New Roman"/>
          <w:color w:val="222222"/>
          <w:sz w:val="24"/>
          <w:szCs w:val="24"/>
        </w:rPr>
      </w:pPr>
      <w:r w:rsidRPr="0047684C">
        <w:rPr>
          <w:rFonts w:ascii="Times New Roman" w:eastAsia="Times New Roman" w:hAnsi="Times New Roman" w:cs="Times New Roman"/>
          <w:color w:val="222222"/>
          <w:sz w:val="24"/>
          <w:szCs w:val="24"/>
        </w:rPr>
        <w:t>Lumi ka një gjat</w:t>
      </w:r>
      <w:r w:rsidRPr="0047684C">
        <w:rPr>
          <w:rFonts w:ascii="Times New Roman" w:eastAsia="Times New Roman" w:hAnsi="Times New Roman" w:cs="Times New Roman"/>
          <w:bCs/>
          <w:color w:val="222222"/>
          <w:sz w:val="24"/>
          <w:szCs w:val="24"/>
        </w:rPr>
        <w:t>ë</w:t>
      </w:r>
      <w:r w:rsidRPr="0047684C">
        <w:rPr>
          <w:rFonts w:ascii="Times New Roman" w:eastAsia="Times New Roman" w:hAnsi="Times New Roman" w:cs="Times New Roman"/>
          <w:color w:val="222222"/>
          <w:sz w:val="24"/>
          <w:szCs w:val="24"/>
        </w:rPr>
        <w:t xml:space="preserve">si prej 272 km, prej të cilave 80 km në territorin e Greqisë dhe rreth 192 km brenda territorit të Shqipërisë, rrjedha e të cilit përshkon jugun e Shqipërisë, dhe </w:t>
      </w:r>
      <w:r w:rsidRPr="0047684C">
        <w:rPr>
          <w:rFonts w:ascii="Times New Roman" w:eastAsia="Times New Roman" w:hAnsi="Times New Roman" w:cs="Times New Roman"/>
          <w:bCs/>
          <w:color w:val="222222"/>
          <w:sz w:val="24"/>
          <w:szCs w:val="24"/>
        </w:rPr>
        <w:t>ë</w:t>
      </w:r>
      <w:r w:rsidRPr="0047684C">
        <w:rPr>
          <w:rFonts w:ascii="Times New Roman" w:eastAsia="Times New Roman" w:hAnsi="Times New Roman" w:cs="Times New Roman"/>
          <w:color w:val="222222"/>
          <w:sz w:val="24"/>
          <w:szCs w:val="24"/>
        </w:rPr>
        <w:t>sht</w:t>
      </w:r>
      <w:r w:rsidRPr="0047684C">
        <w:rPr>
          <w:rFonts w:ascii="Times New Roman" w:eastAsia="Times New Roman" w:hAnsi="Times New Roman" w:cs="Times New Roman"/>
          <w:bCs/>
          <w:color w:val="222222"/>
          <w:sz w:val="24"/>
          <w:szCs w:val="24"/>
        </w:rPr>
        <w:t>ë</w:t>
      </w:r>
      <w:r w:rsidRPr="0047684C">
        <w:rPr>
          <w:rFonts w:ascii="Times New Roman" w:eastAsia="Times New Roman" w:hAnsi="Times New Roman" w:cs="Times New Roman"/>
          <w:color w:val="222222"/>
          <w:sz w:val="24"/>
          <w:szCs w:val="24"/>
        </w:rPr>
        <w:t xml:space="preserve"> kufiri ndar</w:t>
      </w:r>
      <w:r w:rsidRPr="0047684C">
        <w:rPr>
          <w:rFonts w:ascii="Times New Roman" w:eastAsia="Times New Roman" w:hAnsi="Times New Roman" w:cs="Times New Roman"/>
          <w:bCs/>
          <w:color w:val="222222"/>
          <w:sz w:val="24"/>
          <w:szCs w:val="24"/>
        </w:rPr>
        <w:t>ë</w:t>
      </w:r>
      <w:r w:rsidRPr="0047684C">
        <w:rPr>
          <w:rFonts w:ascii="Times New Roman" w:eastAsia="Times New Roman" w:hAnsi="Times New Roman" w:cs="Times New Roman"/>
          <w:color w:val="222222"/>
          <w:sz w:val="24"/>
          <w:szCs w:val="24"/>
        </w:rPr>
        <w:t>s natyror midis rrethit të Fierit dhe Vlor</w:t>
      </w:r>
      <w:r w:rsidRPr="0047684C">
        <w:rPr>
          <w:rFonts w:ascii="Times New Roman" w:eastAsia="Times New Roman" w:hAnsi="Times New Roman" w:cs="Times New Roman"/>
          <w:bCs/>
          <w:color w:val="222222"/>
          <w:sz w:val="24"/>
          <w:szCs w:val="24"/>
        </w:rPr>
        <w:t>ë</w:t>
      </w:r>
      <w:r w:rsidRPr="0047684C">
        <w:rPr>
          <w:rFonts w:ascii="Times New Roman" w:eastAsia="Times New Roman" w:hAnsi="Times New Roman" w:cs="Times New Roman"/>
          <w:color w:val="222222"/>
          <w:sz w:val="24"/>
          <w:szCs w:val="24"/>
        </w:rPr>
        <w:t>s.</w:t>
      </w:r>
    </w:p>
    <w:p w:rsidR="0047684C" w:rsidRDefault="0047684C" w:rsidP="00773F09">
      <w:pPr>
        <w:spacing w:after="200" w:line="276"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Baseni i Vjos</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s monitorohet ne 5 pika monitorimi t</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 xml:space="preserve"> cilat paraqiten n</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 xml:space="preserve"> form</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 xml:space="preserve"> tabelare si vijon:</w:t>
      </w:r>
    </w:p>
    <w:p w:rsidR="002C46B9" w:rsidRDefault="00773F09" w:rsidP="002C46B9">
      <w:pPr>
        <w:spacing w:after="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lastRenderedPageBreak/>
        <w:t xml:space="preserve">                  </w:t>
      </w:r>
      <w:r w:rsidR="002C46B9" w:rsidRPr="000505FE">
        <w:rPr>
          <w:rFonts w:ascii="Times New Roman" w:eastAsia="Calibri" w:hAnsi="Times New Roman" w:cs="Times New Roman"/>
          <w:sz w:val="24"/>
          <w:szCs w:val="24"/>
          <w:lang w:val="sq-AL"/>
        </w:rPr>
        <w:t xml:space="preserve">Tabela </w:t>
      </w:r>
      <w:r w:rsidR="002C46B9">
        <w:rPr>
          <w:rFonts w:ascii="Times New Roman" w:eastAsia="Calibri" w:hAnsi="Times New Roman" w:cs="Times New Roman"/>
          <w:sz w:val="24"/>
          <w:szCs w:val="24"/>
          <w:lang w:val="sq-AL"/>
        </w:rPr>
        <w:t>21</w:t>
      </w:r>
      <w:r w:rsidR="002C46B9" w:rsidRPr="000505FE">
        <w:rPr>
          <w:rFonts w:ascii="Times New Roman" w:eastAsia="Calibri" w:hAnsi="Times New Roman" w:cs="Times New Roman"/>
          <w:sz w:val="24"/>
          <w:szCs w:val="24"/>
          <w:lang w:val="sq-AL"/>
        </w:rPr>
        <w:t xml:space="preserve">. Stacionet e kampionimit për basenin </w:t>
      </w:r>
      <w:r w:rsidR="002C46B9">
        <w:rPr>
          <w:rFonts w:ascii="Times New Roman" w:eastAsia="Calibri" w:hAnsi="Times New Roman" w:cs="Times New Roman"/>
          <w:sz w:val="24"/>
          <w:szCs w:val="24"/>
          <w:lang w:val="sq-AL"/>
        </w:rPr>
        <w:t>Vjosë</w:t>
      </w:r>
    </w:p>
    <w:p w:rsidR="00773F09" w:rsidRPr="0047684C" w:rsidRDefault="00773F09" w:rsidP="002C46B9">
      <w:pPr>
        <w:spacing w:after="0" w:line="240" w:lineRule="auto"/>
        <w:jc w:val="both"/>
        <w:rPr>
          <w:rFonts w:ascii="Times New Roman" w:eastAsia="Calibri" w:hAnsi="Times New Roman" w:cs="Times New Roman"/>
          <w:sz w:val="24"/>
          <w:szCs w:val="24"/>
          <w:lang w:val="sq-AL"/>
        </w:rPr>
      </w:pPr>
    </w:p>
    <w:tbl>
      <w:tblPr>
        <w:tblStyle w:val="TableGrid"/>
        <w:tblW w:w="0" w:type="auto"/>
        <w:tblLook w:val="04A0" w:firstRow="1" w:lastRow="0" w:firstColumn="1" w:lastColumn="0" w:noHBand="0" w:noVBand="1"/>
      </w:tblPr>
      <w:tblGrid>
        <w:gridCol w:w="621"/>
        <w:gridCol w:w="1773"/>
        <w:gridCol w:w="1817"/>
        <w:gridCol w:w="2702"/>
        <w:gridCol w:w="2663"/>
      </w:tblGrid>
      <w:tr w:rsidR="0047684C" w:rsidRPr="0047684C" w:rsidTr="0047684C">
        <w:tc>
          <w:tcPr>
            <w:tcW w:w="621"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Nr.</w:t>
            </w:r>
          </w:p>
        </w:tc>
        <w:tc>
          <w:tcPr>
            <w:tcW w:w="1773"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Kodi i kampionit</w:t>
            </w:r>
          </w:p>
        </w:tc>
        <w:tc>
          <w:tcPr>
            <w:tcW w:w="1817"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Emërtimi i Lumit</w:t>
            </w:r>
          </w:p>
        </w:tc>
        <w:tc>
          <w:tcPr>
            <w:tcW w:w="2702"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Vendndodhja</w:t>
            </w:r>
          </w:p>
        </w:tc>
        <w:tc>
          <w:tcPr>
            <w:tcW w:w="2663"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Koordinatat gjeografike</w:t>
            </w:r>
          </w:p>
        </w:tc>
      </w:tr>
      <w:tr w:rsidR="0047684C" w:rsidRPr="0047684C" w:rsidTr="0047684C">
        <w:tc>
          <w:tcPr>
            <w:tcW w:w="621"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1.</w:t>
            </w:r>
          </w:p>
        </w:tc>
        <w:tc>
          <w:tcPr>
            <w:tcW w:w="1773"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Vj</w:t>
            </w:r>
            <w:r w:rsidRPr="0047684C">
              <w:rPr>
                <w:rFonts w:ascii="Times New Roman" w:eastAsia="Calibri" w:hAnsi="Times New Roman" w:cs="Times New Roman"/>
                <w:vertAlign w:val="subscript"/>
                <w:lang w:val="sq-AL"/>
              </w:rPr>
              <w:t>1</w:t>
            </w:r>
          </w:p>
        </w:tc>
        <w:tc>
          <w:tcPr>
            <w:tcW w:w="1817"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 Vjosës</w:t>
            </w:r>
          </w:p>
        </w:tc>
        <w:tc>
          <w:tcPr>
            <w:tcW w:w="2702"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Çarshov</w:t>
            </w:r>
            <w:r w:rsidRPr="0047684C">
              <w:rPr>
                <w:rFonts w:ascii="Times New Roman" w:eastAsia="Calibri" w:hAnsi="Times New Roman" w:cs="Times New Roman"/>
                <w:bCs/>
                <w:color w:val="222222"/>
              </w:rPr>
              <w:t>ë</w:t>
            </w:r>
            <w:r w:rsidRPr="0047684C">
              <w:rPr>
                <w:rFonts w:ascii="Times New Roman" w:eastAsia="Calibri" w:hAnsi="Times New Roman" w:cs="Times New Roman"/>
                <w:lang w:val="sq-AL"/>
              </w:rPr>
              <w:t xml:space="preserve"> – pas fshatit Petran</w:t>
            </w:r>
          </w:p>
        </w:tc>
        <w:tc>
          <w:tcPr>
            <w:tcW w:w="2663" w:type="dxa"/>
          </w:tcPr>
          <w:p w:rsidR="0047684C" w:rsidRPr="0047684C" w:rsidRDefault="0047684C" w:rsidP="0047684C">
            <w:pPr>
              <w:rPr>
                <w:rFonts w:ascii="Times New Roman" w:eastAsia="Calibri" w:hAnsi="Times New Roman" w:cs="Times New Roman"/>
                <w:lang w:val="sq-AL"/>
              </w:rPr>
            </w:pPr>
            <w:r w:rsidRPr="0047684C">
              <w:rPr>
                <w:rFonts w:ascii="Times New Roman" w:eastAsia="Calibri" w:hAnsi="Times New Roman" w:cs="Times New Roman"/>
                <w:lang w:val="sq-AL"/>
              </w:rPr>
              <w:t xml:space="preserve">N 40.206037      </w:t>
            </w:r>
          </w:p>
          <w:p w:rsidR="0047684C" w:rsidRPr="0047684C" w:rsidRDefault="0047684C" w:rsidP="0047684C">
            <w:pPr>
              <w:rPr>
                <w:rFonts w:ascii="Times New Roman" w:eastAsia="Calibri" w:hAnsi="Times New Roman" w:cs="Times New Roman"/>
                <w:lang w:val="sq-AL"/>
              </w:rPr>
            </w:pPr>
            <w:r w:rsidRPr="0047684C">
              <w:rPr>
                <w:rFonts w:ascii="Times New Roman" w:eastAsia="Calibri" w:hAnsi="Times New Roman" w:cs="Times New Roman"/>
                <w:lang w:val="sq-AL"/>
              </w:rPr>
              <w:t>E 20.42145</w:t>
            </w:r>
          </w:p>
        </w:tc>
      </w:tr>
      <w:tr w:rsidR="0047684C" w:rsidRPr="0047684C" w:rsidTr="0047684C">
        <w:trPr>
          <w:trHeight w:val="323"/>
        </w:trPr>
        <w:tc>
          <w:tcPr>
            <w:tcW w:w="621"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2.</w:t>
            </w:r>
          </w:p>
        </w:tc>
        <w:tc>
          <w:tcPr>
            <w:tcW w:w="1773"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Vj</w:t>
            </w:r>
            <w:r w:rsidRPr="0047684C">
              <w:rPr>
                <w:rFonts w:ascii="Times New Roman" w:eastAsia="Calibri" w:hAnsi="Times New Roman" w:cs="Times New Roman"/>
                <w:vertAlign w:val="subscript"/>
                <w:lang w:val="sq-AL"/>
              </w:rPr>
              <w:t>2</w:t>
            </w:r>
          </w:p>
        </w:tc>
        <w:tc>
          <w:tcPr>
            <w:tcW w:w="1817"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 Vjosës</w:t>
            </w:r>
          </w:p>
        </w:tc>
        <w:tc>
          <w:tcPr>
            <w:tcW w:w="2702"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e qytetit</w:t>
            </w:r>
          </w:p>
        </w:tc>
        <w:tc>
          <w:tcPr>
            <w:tcW w:w="2663"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40.234072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20.354869</w:t>
            </w:r>
          </w:p>
        </w:tc>
      </w:tr>
      <w:tr w:rsidR="0047684C" w:rsidRPr="0047684C" w:rsidTr="0047684C">
        <w:tc>
          <w:tcPr>
            <w:tcW w:w="621"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3.</w:t>
            </w:r>
          </w:p>
        </w:tc>
        <w:tc>
          <w:tcPr>
            <w:tcW w:w="1773"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Vj</w:t>
            </w:r>
            <w:r w:rsidRPr="0047684C">
              <w:rPr>
                <w:rFonts w:ascii="Times New Roman" w:eastAsia="Calibri" w:hAnsi="Times New Roman" w:cs="Times New Roman"/>
                <w:vertAlign w:val="subscript"/>
                <w:lang w:val="sq-AL"/>
              </w:rPr>
              <w:t>3</w:t>
            </w:r>
          </w:p>
        </w:tc>
        <w:tc>
          <w:tcPr>
            <w:tcW w:w="1817"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Drino</w:t>
            </w:r>
          </w:p>
        </w:tc>
        <w:tc>
          <w:tcPr>
            <w:tcW w:w="2702"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e Leklit - Tepelen</w:t>
            </w:r>
            <w:r w:rsidRPr="0047684C">
              <w:rPr>
                <w:rFonts w:ascii="Times New Roman" w:eastAsia="Calibri" w:hAnsi="Times New Roman" w:cs="Times New Roman"/>
                <w:bCs/>
                <w:color w:val="222222"/>
              </w:rPr>
              <w:t>ë</w:t>
            </w:r>
          </w:p>
        </w:tc>
        <w:tc>
          <w:tcPr>
            <w:tcW w:w="2663"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40.259037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20.055159</w:t>
            </w:r>
          </w:p>
        </w:tc>
      </w:tr>
      <w:tr w:rsidR="0047684C" w:rsidRPr="0047684C" w:rsidTr="0047684C">
        <w:tc>
          <w:tcPr>
            <w:tcW w:w="621"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4.</w:t>
            </w:r>
          </w:p>
        </w:tc>
        <w:tc>
          <w:tcPr>
            <w:tcW w:w="1773"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Vj</w:t>
            </w:r>
            <w:r w:rsidRPr="0047684C">
              <w:rPr>
                <w:rFonts w:ascii="Times New Roman" w:eastAsia="Calibri" w:hAnsi="Times New Roman" w:cs="Times New Roman"/>
                <w:vertAlign w:val="subscript"/>
                <w:lang w:val="sq-AL"/>
              </w:rPr>
              <w:t>4</w:t>
            </w:r>
          </w:p>
        </w:tc>
        <w:tc>
          <w:tcPr>
            <w:tcW w:w="1817"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 Vjosës</w:t>
            </w:r>
          </w:p>
        </w:tc>
        <w:tc>
          <w:tcPr>
            <w:tcW w:w="2702"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Memaliaj</w:t>
            </w:r>
          </w:p>
        </w:tc>
        <w:tc>
          <w:tcPr>
            <w:tcW w:w="2663"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40.351397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19.972733</w:t>
            </w:r>
          </w:p>
        </w:tc>
      </w:tr>
      <w:tr w:rsidR="0047684C" w:rsidRPr="0047684C" w:rsidTr="0047684C">
        <w:tc>
          <w:tcPr>
            <w:tcW w:w="621"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5.</w:t>
            </w:r>
          </w:p>
        </w:tc>
        <w:tc>
          <w:tcPr>
            <w:tcW w:w="1773"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Vj</w:t>
            </w:r>
            <w:r w:rsidRPr="0047684C">
              <w:rPr>
                <w:rFonts w:ascii="Times New Roman" w:eastAsia="Calibri" w:hAnsi="Times New Roman" w:cs="Times New Roman"/>
                <w:vertAlign w:val="subscript"/>
                <w:lang w:val="sq-AL"/>
              </w:rPr>
              <w:t>5</w:t>
            </w:r>
          </w:p>
        </w:tc>
        <w:tc>
          <w:tcPr>
            <w:tcW w:w="1817"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 Vjosës</w:t>
            </w:r>
          </w:p>
        </w:tc>
        <w:tc>
          <w:tcPr>
            <w:tcW w:w="2702"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e Mifolit - Vlor</w:t>
            </w:r>
            <w:r w:rsidRPr="0047684C">
              <w:rPr>
                <w:rFonts w:ascii="Times New Roman" w:eastAsia="Calibri" w:hAnsi="Times New Roman" w:cs="Times New Roman"/>
                <w:bCs/>
                <w:color w:val="222222"/>
              </w:rPr>
              <w:t>ë</w:t>
            </w:r>
          </w:p>
        </w:tc>
        <w:tc>
          <w:tcPr>
            <w:tcW w:w="2663"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40.634750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19.461599</w:t>
            </w:r>
          </w:p>
        </w:tc>
      </w:tr>
    </w:tbl>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Vler</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simi i cil</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sis</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 xml:space="preserve"> s</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 xml:space="preserve"> uj</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rave t</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 xml:space="preserve"> basenit </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sht</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 xml:space="preserve"> kryer bazuar n</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 xml:space="preserve"> vlerat limite t</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 xml:space="preserve"> parametrave t</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 xml:space="preserve"> Direktiv</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s Kuad</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r t</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sz w:val="24"/>
          <w:szCs w:val="24"/>
          <w:lang w:val="sq-AL"/>
        </w:rPr>
        <w:t xml:space="preserve"> Ujit.</w:t>
      </w:r>
    </w:p>
    <w:p w:rsidR="0047684C" w:rsidRPr="0047684C" w:rsidRDefault="0047684C" w:rsidP="0047684C">
      <w:pPr>
        <w:spacing w:after="0" w:line="240" w:lineRule="auto"/>
        <w:jc w:val="both"/>
        <w:rPr>
          <w:rFonts w:ascii="Times New Roman" w:eastAsia="Calibri" w:hAnsi="Times New Roman" w:cs="Times New Roman"/>
          <w:color w:val="FF0000"/>
          <w:sz w:val="24"/>
          <w:szCs w:val="24"/>
          <w:lang w:val="sq-AL"/>
        </w:rPr>
      </w:pPr>
    </w:p>
    <w:p w:rsidR="0047684C" w:rsidRPr="0047684C" w:rsidRDefault="0047684C" w:rsidP="004D460A">
      <w:pPr>
        <w:numPr>
          <w:ilvl w:val="0"/>
          <w:numId w:val="23"/>
        </w:numPr>
        <w:spacing w:after="0" w:line="240" w:lineRule="auto"/>
        <w:contextualSpacing/>
        <w:jc w:val="both"/>
        <w:rPr>
          <w:rFonts w:ascii="Times New Roman" w:eastAsia="Calibri" w:hAnsi="Times New Roman" w:cs="Times New Roman"/>
          <w:b/>
          <w:color w:val="000000"/>
          <w:sz w:val="24"/>
          <w:szCs w:val="24"/>
          <w:lang w:val="sq-AL"/>
        </w:rPr>
      </w:pPr>
      <w:r w:rsidRPr="0047684C">
        <w:rPr>
          <w:rFonts w:ascii="Times New Roman" w:eastAsia="Calibri" w:hAnsi="Times New Roman" w:cs="Times New Roman"/>
          <w:b/>
          <w:color w:val="000000"/>
          <w:sz w:val="24"/>
          <w:szCs w:val="24"/>
          <w:lang w:val="sq-AL"/>
        </w:rPr>
        <w:t>Oksigjeni i tretur</w:t>
      </w:r>
    </w:p>
    <w:p w:rsidR="0047684C" w:rsidRPr="0047684C" w:rsidRDefault="0047684C" w:rsidP="0047684C">
      <w:pPr>
        <w:spacing w:after="0" w:line="240" w:lineRule="auto"/>
        <w:jc w:val="both"/>
        <w:rPr>
          <w:rFonts w:ascii="Times New Roman" w:eastAsia="Calibri" w:hAnsi="Times New Roman" w:cs="Times New Roman"/>
          <w:color w:val="000000"/>
          <w:sz w:val="24"/>
          <w:szCs w:val="24"/>
          <w:lang w:val="sq-AL"/>
        </w:rPr>
      </w:pPr>
    </w:p>
    <w:p w:rsidR="0047684C" w:rsidRPr="0047684C" w:rsidRDefault="0047684C" w:rsidP="0047684C">
      <w:pPr>
        <w:spacing w:after="0" w:line="240" w:lineRule="auto"/>
        <w:jc w:val="both"/>
        <w:rPr>
          <w:rFonts w:ascii="Times New Roman" w:eastAsia="Calibri" w:hAnsi="Times New Roman" w:cs="Times New Roman"/>
          <w:color w:val="000000"/>
          <w:sz w:val="24"/>
          <w:szCs w:val="24"/>
          <w:lang w:val="sq-AL"/>
        </w:rPr>
      </w:pPr>
      <w:r w:rsidRPr="0047684C">
        <w:rPr>
          <w:rFonts w:ascii="Times New Roman" w:eastAsia="Calibri" w:hAnsi="Times New Roman" w:cs="Times New Roman"/>
          <w:color w:val="000000"/>
          <w:sz w:val="24"/>
          <w:szCs w:val="24"/>
          <w:lang w:val="sq-AL"/>
        </w:rPr>
        <w:t>Vlerat mesatare vjetore të ekspeditave t</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color w:val="000000"/>
          <w:sz w:val="24"/>
          <w:szCs w:val="24"/>
          <w:lang w:val="sq-AL"/>
        </w:rPr>
        <w:t xml:space="preserve"> realizuara jan</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color w:val="000000"/>
          <w:sz w:val="24"/>
          <w:szCs w:val="24"/>
          <w:lang w:val="sq-AL"/>
        </w:rPr>
        <w:t xml:space="preserve"> paraqitur n</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color w:val="000000"/>
          <w:sz w:val="24"/>
          <w:szCs w:val="24"/>
          <w:lang w:val="sq-AL"/>
        </w:rPr>
        <w:t xml:space="preserve"> form</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color w:val="000000"/>
          <w:sz w:val="24"/>
          <w:szCs w:val="24"/>
          <w:lang w:val="sq-AL"/>
        </w:rPr>
        <w:t xml:space="preserve"> grafike si vijon, ku vler</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color w:val="000000"/>
          <w:sz w:val="24"/>
          <w:szCs w:val="24"/>
          <w:lang w:val="sq-AL"/>
        </w:rPr>
        <w:t>sojm</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color w:val="000000"/>
          <w:sz w:val="24"/>
          <w:szCs w:val="24"/>
          <w:lang w:val="sq-AL"/>
        </w:rPr>
        <w:t xml:space="preserve"> se uj</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color w:val="000000"/>
          <w:sz w:val="24"/>
          <w:szCs w:val="24"/>
          <w:lang w:val="sq-AL"/>
        </w:rPr>
        <w:t>rat e k</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color w:val="000000"/>
          <w:sz w:val="24"/>
          <w:szCs w:val="24"/>
          <w:lang w:val="sq-AL"/>
        </w:rPr>
        <w:t>tyre 5 stacioneve t</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color w:val="000000"/>
          <w:sz w:val="24"/>
          <w:szCs w:val="24"/>
          <w:lang w:val="sq-AL"/>
        </w:rPr>
        <w:t xml:space="preserve"> monitoruara jan</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color w:val="000000"/>
          <w:sz w:val="24"/>
          <w:szCs w:val="24"/>
          <w:lang w:val="sq-AL"/>
        </w:rPr>
        <w:t xml:space="preserve"> uj</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color w:val="000000"/>
          <w:sz w:val="24"/>
          <w:szCs w:val="24"/>
          <w:lang w:val="sq-AL"/>
        </w:rPr>
        <w:t>ra t</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color w:val="000000"/>
          <w:sz w:val="24"/>
          <w:szCs w:val="24"/>
          <w:lang w:val="sq-AL"/>
        </w:rPr>
        <w:t xml:space="preserve"> pasura me oksigjen duke i klasifikuar n</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color w:val="000000"/>
          <w:sz w:val="24"/>
          <w:szCs w:val="24"/>
          <w:lang w:val="sq-AL"/>
        </w:rPr>
        <w:t xml:space="preserve"> Klas</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color w:val="000000"/>
          <w:sz w:val="24"/>
          <w:szCs w:val="24"/>
          <w:lang w:val="sq-AL"/>
        </w:rPr>
        <w:t>n I – Gjendje e lart</w:t>
      </w:r>
      <w:r w:rsidRPr="0047684C">
        <w:rPr>
          <w:rFonts w:ascii="Times New Roman" w:eastAsia="Calibri" w:hAnsi="Times New Roman" w:cs="Times New Roman"/>
          <w:bCs/>
          <w:color w:val="222222"/>
          <w:sz w:val="24"/>
          <w:szCs w:val="24"/>
        </w:rPr>
        <w:t>ë</w:t>
      </w:r>
      <w:r w:rsidRPr="0047684C">
        <w:rPr>
          <w:rFonts w:ascii="Times New Roman" w:eastAsia="Calibri" w:hAnsi="Times New Roman" w:cs="Times New Roman"/>
          <w:color w:val="000000"/>
          <w:sz w:val="24"/>
          <w:szCs w:val="24"/>
          <w:lang w:val="sq-AL"/>
        </w:rPr>
        <w:t>.</w:t>
      </w:r>
    </w:p>
    <w:p w:rsidR="0047684C" w:rsidRPr="0047684C" w:rsidRDefault="0047684C" w:rsidP="0047684C">
      <w:pPr>
        <w:spacing w:after="200" w:line="276" w:lineRule="auto"/>
        <w:rPr>
          <w:rFonts w:ascii="Times New Roman" w:eastAsia="Calibri" w:hAnsi="Times New Roman" w:cs="Times New Roman"/>
          <w:b/>
          <w:color w:val="FF0000"/>
          <w:sz w:val="24"/>
          <w:szCs w:val="24"/>
          <w:lang w:val="sq-AL"/>
        </w:rPr>
      </w:pPr>
    </w:p>
    <w:p w:rsidR="0047684C" w:rsidRPr="0047684C" w:rsidRDefault="0047684C" w:rsidP="00E923C1">
      <w:pPr>
        <w:spacing w:after="200" w:line="276" w:lineRule="auto"/>
        <w:rPr>
          <w:rFonts w:ascii="Times New Roman" w:eastAsia="Calibri" w:hAnsi="Times New Roman" w:cs="Times New Roman"/>
          <w:sz w:val="24"/>
          <w:szCs w:val="24"/>
          <w:lang w:val="sq-AL"/>
        </w:rPr>
      </w:pPr>
      <w:r w:rsidRPr="0047684C">
        <w:rPr>
          <w:rFonts w:ascii="Calibri" w:eastAsia="Calibri" w:hAnsi="Calibri" w:cs="Times New Roman"/>
          <w:noProof/>
        </w:rPr>
        <w:drawing>
          <wp:inline distT="0" distB="0" distL="0" distR="0" wp14:anchorId="717FBB16" wp14:editId="4C3937BF">
            <wp:extent cx="2762250" cy="1724025"/>
            <wp:effectExtent l="0" t="0" r="19050" b="9525"/>
            <wp:docPr id="384" name="Chart 1">
              <a:extLst xmlns:a="http://schemas.openxmlformats.org/drawingml/2006/main">
                <a:ext uri="{FF2B5EF4-FFF2-40B4-BE49-F238E27FC236}">
                  <a16:creationId xmlns:a16="http://schemas.microsoft.com/office/drawing/2014/main" id="{C3AE3CCE-CD81-42B0-3BF9-D2DE73C7A5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r w:rsidR="00E923C1">
        <w:rPr>
          <w:rFonts w:ascii="Times New Roman" w:eastAsia="Calibri" w:hAnsi="Times New Roman" w:cs="Times New Roman"/>
          <w:sz w:val="24"/>
          <w:szCs w:val="24"/>
          <w:lang w:val="sq-AL"/>
        </w:rPr>
        <w:t xml:space="preserve">   </w:t>
      </w:r>
    </w:p>
    <w:p w:rsidR="0047684C" w:rsidRPr="0047684C" w:rsidRDefault="0047684C" w:rsidP="0047684C">
      <w:pPr>
        <w:spacing w:after="200" w:line="276" w:lineRule="auto"/>
        <w:jc w:val="center"/>
        <w:rPr>
          <w:rFonts w:ascii="Times New Roman" w:eastAsia="Calibri" w:hAnsi="Times New Roman" w:cs="Times New Roman"/>
          <w:sz w:val="24"/>
          <w:szCs w:val="24"/>
          <w:lang w:val="sq-AL"/>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
          <w:sz w:val="24"/>
          <w:szCs w:val="24"/>
          <w:lang w:val="sq-AL"/>
        </w:rPr>
      </w:pPr>
      <w:r w:rsidRPr="0047684C">
        <w:rPr>
          <w:rFonts w:ascii="Times New Roman" w:eastAsia="Calibri" w:hAnsi="Times New Roman" w:cs="Times New Roman"/>
          <w:b/>
          <w:sz w:val="24"/>
          <w:szCs w:val="24"/>
          <w:lang w:val="sq-AL"/>
        </w:rPr>
        <w:t>Nevoja Biokimike për oksigjen</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Ky parametër është i rëndësishëm për vlerësimin e cilësisë së ujërave të lumenjve si një tregues i shkallës së ndotjes, i cili për të gjithë stacionet është brenda vlerës limite të lejuar duke i klasifikuar stacionet në Klasën I – Gjendje e lartë. Stacioni Vj</w:t>
      </w:r>
      <w:r w:rsidRPr="0047684C">
        <w:rPr>
          <w:rFonts w:ascii="Times New Roman" w:eastAsia="Calibri" w:hAnsi="Times New Roman" w:cs="Times New Roman"/>
          <w:sz w:val="24"/>
          <w:szCs w:val="24"/>
          <w:vertAlign w:val="subscript"/>
          <w:lang w:val="sq-AL"/>
        </w:rPr>
        <w:t>5</w:t>
      </w:r>
      <w:r w:rsidRPr="0047684C">
        <w:rPr>
          <w:rFonts w:ascii="Times New Roman" w:eastAsia="Calibri" w:hAnsi="Times New Roman" w:cs="Times New Roman"/>
          <w:sz w:val="24"/>
          <w:szCs w:val="24"/>
          <w:lang w:val="sq-AL"/>
        </w:rPr>
        <w:t xml:space="preserve"> – Ura e Mifolit ka vlerë më të lartë 3mg/l duke e klasifikuar stacionin në Klasën II – Gjendje e mirë.</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center"/>
        <w:rPr>
          <w:rFonts w:ascii="Times New Roman" w:eastAsia="Calibri" w:hAnsi="Times New Roman" w:cs="Times New Roman"/>
          <w:sz w:val="24"/>
          <w:szCs w:val="24"/>
          <w:lang w:val="sq-AL"/>
        </w:rPr>
      </w:pPr>
      <w:r w:rsidRPr="0047684C">
        <w:rPr>
          <w:rFonts w:ascii="Calibri" w:eastAsia="Calibri" w:hAnsi="Calibri" w:cs="Times New Roman"/>
          <w:noProof/>
        </w:rPr>
        <w:lastRenderedPageBreak/>
        <w:drawing>
          <wp:inline distT="0" distB="0" distL="0" distR="0" wp14:anchorId="4A1C84DC" wp14:editId="4321CA08">
            <wp:extent cx="4572000" cy="1866900"/>
            <wp:effectExtent l="0" t="0" r="19050" b="19050"/>
            <wp:docPr id="385" name="Chart 1">
              <a:extLst xmlns:a="http://schemas.openxmlformats.org/drawingml/2006/main">
                <a:ext uri="{FF2B5EF4-FFF2-40B4-BE49-F238E27FC236}">
                  <a16:creationId xmlns:a16="http://schemas.microsoft.com/office/drawing/2014/main" id="{C7A9BCC4-6B2A-0D83-9A6A-FF8B9D1044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47684C" w:rsidRPr="0047684C" w:rsidRDefault="0047684C" w:rsidP="0047684C">
      <w:pPr>
        <w:spacing w:after="0" w:line="240" w:lineRule="auto"/>
        <w:jc w:val="center"/>
        <w:rPr>
          <w:rFonts w:ascii="Times New Roman" w:eastAsia="Calibri" w:hAnsi="Times New Roman" w:cs="Times New Roman"/>
          <w:noProof/>
          <w:sz w:val="24"/>
          <w:szCs w:val="24"/>
        </w:rPr>
      </w:pPr>
    </w:p>
    <w:p w:rsidR="0047684C" w:rsidRPr="0047684C" w:rsidRDefault="0047684C" w:rsidP="0047684C">
      <w:pPr>
        <w:spacing w:after="0" w:line="240" w:lineRule="auto"/>
        <w:ind w:left="540"/>
        <w:contextualSpacing/>
        <w:rPr>
          <w:rFonts w:ascii="Times New Roman" w:eastAsia="Calibri" w:hAnsi="Times New Roman" w:cs="Times New Roman"/>
          <w:sz w:val="24"/>
          <w:szCs w:val="24"/>
          <w:lang w:val="sq-AL"/>
        </w:rPr>
      </w:pPr>
    </w:p>
    <w:p w:rsidR="0047684C" w:rsidRPr="0047684C" w:rsidRDefault="0047684C" w:rsidP="0033538C">
      <w:pPr>
        <w:numPr>
          <w:ilvl w:val="0"/>
          <w:numId w:val="8"/>
        </w:numPr>
        <w:spacing w:after="0" w:line="240" w:lineRule="auto"/>
        <w:contextualSpacing/>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 xml:space="preserve">Përmbajtja e amonjakut </w:t>
      </w:r>
    </w:p>
    <w:p w:rsidR="0047684C" w:rsidRPr="0047684C" w:rsidRDefault="0047684C" w:rsidP="0047684C">
      <w:pPr>
        <w:spacing w:after="0" w:line="240" w:lineRule="auto"/>
        <w:rPr>
          <w:rFonts w:ascii="Times New Roman" w:eastAsia="Calibri" w:hAnsi="Times New Roman" w:cs="Times New Roman"/>
          <w:b/>
          <w:sz w:val="24"/>
          <w:szCs w:val="24"/>
          <w:lang w:val="sq-AL"/>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rcaktimi i 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rmbajtjes s</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amonjakut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kampione uji i 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rcaktuar me metod</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n spektrometrike </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sht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paramet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 kryesor i klasifikimit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klasa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cil</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sis</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s</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uj</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rave sipas DKU. </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Grafiku paraqet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dh</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nat mesatare vjetore nga ku vler</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sojm</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se uj</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rat e k</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tyre stacioneve 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 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rmbajtjen e amonjakut jan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nj</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cil</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sie shum</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mir</w:t>
      </w:r>
      <w:r w:rsidRPr="0047684C">
        <w:rPr>
          <w:rFonts w:ascii="Times New Roman" w:eastAsia="Calibri" w:hAnsi="Times New Roman" w:cs="Times New Roman"/>
          <w:sz w:val="24"/>
          <w:szCs w:val="24"/>
          <w:lang w:val="sq-AL"/>
        </w:rPr>
        <w:t>ë.</w:t>
      </w: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02507425" wp14:editId="63845DBF">
            <wp:extent cx="5000625" cy="1743075"/>
            <wp:effectExtent l="0" t="0" r="9525" b="9525"/>
            <wp:docPr id="386" name="Chart 1">
              <a:extLst xmlns:a="http://schemas.openxmlformats.org/drawingml/2006/main">
                <a:ext uri="{FF2B5EF4-FFF2-40B4-BE49-F238E27FC236}">
                  <a16:creationId xmlns:a16="http://schemas.microsoft.com/office/drawing/2014/main" id="{9D615B3A-5A10-99E6-211A-0DD19C6B8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Përmbajtja e nitriteve</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Përmbajtja e nitriteve në stacionet e monitorimit të Basenit të Vjosës është në vlera shumë të ulëta, në nivelin e limitit te dedektimit  duke i klasifikuar në Klasën I – Gjendje e lartë.</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Përmbajtja e nitrateve</w:t>
      </w:r>
    </w:p>
    <w:p w:rsidR="0047684C" w:rsidRPr="0047684C" w:rsidRDefault="0047684C" w:rsidP="0047684C">
      <w:pPr>
        <w:spacing w:after="0" w:line="276" w:lineRule="auto"/>
        <w:jc w:val="both"/>
        <w:rPr>
          <w:rFonts w:ascii="Times New Roman" w:eastAsia="Calibri" w:hAnsi="Times New Roman" w:cs="Times New Roman"/>
          <w:sz w:val="24"/>
          <w:szCs w:val="24"/>
          <w:lang w:val="da-DK"/>
        </w:rPr>
      </w:pPr>
    </w:p>
    <w:p w:rsidR="0047684C" w:rsidRPr="0047684C" w:rsidRDefault="00E224D1" w:rsidP="0047684C">
      <w:pPr>
        <w:spacing w:after="0" w:line="276" w:lineRule="auto"/>
        <w:jc w:val="both"/>
        <w:rPr>
          <w:rFonts w:ascii="Times New Roman" w:eastAsia="Calibri" w:hAnsi="Times New Roman" w:cs="Times New Roman"/>
          <w:sz w:val="24"/>
          <w:szCs w:val="24"/>
          <w:lang w:val="da-DK"/>
        </w:rPr>
      </w:pPr>
      <w:r>
        <w:rPr>
          <w:rFonts w:ascii="Times New Roman" w:eastAsia="Calibri" w:hAnsi="Times New Roman" w:cs="Times New Roman"/>
          <w:sz w:val="24"/>
          <w:szCs w:val="24"/>
          <w:lang w:val="da-DK"/>
        </w:rPr>
        <w:t>Përmbajtja e nitrateve në</w:t>
      </w:r>
      <w:r w:rsidR="0047684C" w:rsidRPr="0047684C">
        <w:rPr>
          <w:rFonts w:ascii="Times New Roman" w:eastAsia="Calibri" w:hAnsi="Times New Roman" w:cs="Times New Roman"/>
          <w:sz w:val="24"/>
          <w:szCs w:val="24"/>
          <w:lang w:val="da-DK"/>
        </w:rPr>
        <w:t xml:space="preserve"> të gjitha stacionet e monitoruara rezulton në vlera më të ulëta se norma e lejuar duke i klasifikuar në Klasën I – Gjendje e lartë të gjitha stacionet e monitoruara.</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 xml:space="preserve"> Përmbajtja e  fosforit</w:t>
      </w:r>
    </w:p>
    <w:p w:rsidR="0047684C" w:rsidRPr="0047684C" w:rsidRDefault="0047684C" w:rsidP="0047684C">
      <w:pPr>
        <w:spacing w:after="0" w:line="240" w:lineRule="auto"/>
        <w:ind w:left="720"/>
        <w:contextualSpacing/>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Referuar të dhënave mesatare, vlerësojmë se nuk kemi tejkalim të vlerës limite të përmbajtjes së orto – fosfateve duke i klasifikuar këto stacione në Klasën I – Gjendje e lartë përsa i përket përmbajtjes së fosforit.</w:t>
      </w:r>
    </w:p>
    <w:p w:rsidR="0047684C" w:rsidRPr="0047684C" w:rsidRDefault="0047684C" w:rsidP="0047684C">
      <w:pPr>
        <w:tabs>
          <w:tab w:val="left" w:pos="960"/>
        </w:tabs>
        <w:spacing w:after="0" w:line="240" w:lineRule="auto"/>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 xml:space="preserve">Përmbajtja e fosforit total </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Referuar vlerave mesatare vlerësojme se stacionet nuk e tejkalojnë vlerën e lejuar, përmbajtja e të cilave varion nga 0.0058 mg/l – 0.019 mg/l duke i klasifikuar në Klasën I - Gjendje e lartë</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 xml:space="preserve"> (&lt; 0.1mgP/l).</w:t>
      </w: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i/>
          <w:sz w:val="24"/>
          <w:szCs w:val="24"/>
          <w:lang w:val="sq-AL"/>
        </w:rPr>
      </w:pPr>
      <w:r w:rsidRPr="0047684C">
        <w:rPr>
          <w:rFonts w:ascii="Times New Roman" w:eastAsia="Calibri" w:hAnsi="Times New Roman" w:cs="Times New Roman"/>
          <w:bCs/>
          <w:i/>
          <w:sz w:val="24"/>
          <w:szCs w:val="24"/>
          <w:lang w:val="sq-AL"/>
        </w:rPr>
        <w:t>Përmbajtja e TOC</w:t>
      </w:r>
    </w:p>
    <w:p w:rsidR="0047684C" w:rsidRPr="0047684C" w:rsidRDefault="0047684C" w:rsidP="0047684C">
      <w:pPr>
        <w:spacing w:after="0" w:line="240" w:lineRule="auto"/>
        <w:jc w:val="both"/>
        <w:rPr>
          <w:rFonts w:ascii="Times New Roman" w:eastAsia="Calibri" w:hAnsi="Times New Roman" w:cs="Times New Roman"/>
          <w:bCs/>
          <w:i/>
          <w:sz w:val="24"/>
          <w:szCs w:val="24"/>
          <w:lang w:val="sq-AL"/>
        </w:rPr>
      </w:pPr>
    </w:p>
    <w:p w:rsidR="0047684C" w:rsidRPr="0047684C" w:rsidRDefault="0047684C" w:rsidP="0047684C">
      <w:pPr>
        <w:spacing w:after="0" w:line="240" w:lineRule="auto"/>
        <w:jc w:val="both"/>
        <w:rPr>
          <w:rFonts w:ascii="Times New Roman" w:eastAsia="Calibri" w:hAnsi="Times New Roman" w:cs="Times New Roman"/>
          <w:bCs/>
          <w:iCs/>
          <w:sz w:val="24"/>
          <w:szCs w:val="24"/>
          <w:lang w:val="sq-AL"/>
        </w:rPr>
      </w:pPr>
      <w:r w:rsidRPr="0047684C">
        <w:rPr>
          <w:rFonts w:ascii="Times New Roman" w:eastAsia="Calibri" w:hAnsi="Times New Roman" w:cs="Times New Roman"/>
          <w:bCs/>
          <w:iCs/>
          <w:sz w:val="24"/>
          <w:szCs w:val="24"/>
          <w:lang w:val="sq-AL"/>
        </w:rPr>
        <w:t>Karboni organik total (TOC) është sasia e karbonit që gjendet në një përbërje organike dhe shpesh përdoret si një tregues jo-specifik i cilësisë së ujit. TOC është masa e pranisë së karbonit organik të tretur dhe grimcor në mostrat e ujit. Ky parametër lidhet me përqendrimet e oksigjenit të tretur në mostrën e ujit. Sa më e madhe të jetë përmbajtja e karbonit ose e lëndës organike, aq më shumë oksigjen konsumohet. Një përmbajtje e lartë organike do të thotë një rritje në rritjen e mikroorganizmave që kontribuojnë në pakësimin e furnizimeve me oksigjen.</w:t>
      </w:r>
    </w:p>
    <w:p w:rsidR="0047684C" w:rsidRPr="0047684C" w:rsidRDefault="0047684C" w:rsidP="0047684C">
      <w:pPr>
        <w:spacing w:after="0" w:line="240" w:lineRule="auto"/>
        <w:jc w:val="both"/>
        <w:rPr>
          <w:rFonts w:ascii="Times New Roman" w:eastAsia="Calibri" w:hAnsi="Times New Roman" w:cs="Times New Roman"/>
          <w:bCs/>
          <w:iCs/>
          <w:sz w:val="24"/>
          <w:szCs w:val="24"/>
          <w:lang w:val="sq-AL"/>
        </w:rPr>
      </w:pPr>
      <w:r w:rsidRPr="0047684C">
        <w:rPr>
          <w:rFonts w:ascii="Times New Roman" w:eastAsia="Calibri" w:hAnsi="Times New Roman" w:cs="Times New Roman"/>
          <w:bCs/>
          <w:iCs/>
          <w:sz w:val="24"/>
          <w:szCs w:val="24"/>
          <w:lang w:val="sq-AL"/>
        </w:rPr>
        <w:t>Përmbajtja e TOC është nën normë për të gjitha stacionet.</w:t>
      </w:r>
    </w:p>
    <w:p w:rsidR="0047684C" w:rsidRPr="0047684C" w:rsidRDefault="0047684C" w:rsidP="0047684C">
      <w:pPr>
        <w:spacing w:after="200" w:line="276" w:lineRule="auto"/>
        <w:rPr>
          <w:rFonts w:ascii="Times New Roman" w:eastAsia="Calibri" w:hAnsi="Times New Roman" w:cs="Times New Roman"/>
          <w:b/>
          <w:i/>
          <w:sz w:val="24"/>
          <w:szCs w:val="24"/>
          <w:lang w:val="sq-AL"/>
        </w:rPr>
      </w:pPr>
    </w:p>
    <w:p w:rsidR="0047684C" w:rsidRPr="0047684C" w:rsidRDefault="0047684C" w:rsidP="0047684C">
      <w:pPr>
        <w:spacing w:after="200" w:line="276" w:lineRule="auto"/>
        <w:rPr>
          <w:rFonts w:ascii="Times New Roman" w:eastAsia="Calibri" w:hAnsi="Times New Roman" w:cs="Times New Roman"/>
          <w:b/>
          <w:i/>
          <w:sz w:val="24"/>
          <w:szCs w:val="24"/>
          <w:lang w:val="sq-AL"/>
        </w:rPr>
      </w:pPr>
      <w:r w:rsidRPr="0047684C">
        <w:rPr>
          <w:rFonts w:ascii="Times New Roman" w:eastAsia="Calibri" w:hAnsi="Times New Roman" w:cs="Times New Roman"/>
          <w:b/>
          <w:i/>
          <w:sz w:val="24"/>
          <w:szCs w:val="24"/>
          <w:lang w:val="sq-AL"/>
        </w:rPr>
        <w:t xml:space="preserve">Duke </w:t>
      </w:r>
      <w:r w:rsidR="00E224D1">
        <w:rPr>
          <w:rFonts w:ascii="Times New Roman" w:eastAsia="Calibri" w:hAnsi="Times New Roman" w:cs="Times New Roman"/>
          <w:b/>
          <w:i/>
          <w:sz w:val="24"/>
          <w:szCs w:val="24"/>
          <w:lang w:val="sq-AL"/>
        </w:rPr>
        <w:t>marrë në konsideratë  të gjithë</w:t>
      </w:r>
      <w:r w:rsidRPr="0047684C">
        <w:rPr>
          <w:rFonts w:ascii="Times New Roman" w:eastAsia="Calibri" w:hAnsi="Times New Roman" w:cs="Times New Roman"/>
          <w:b/>
          <w:i/>
          <w:sz w:val="24"/>
          <w:szCs w:val="24"/>
          <w:lang w:val="sq-AL"/>
        </w:rPr>
        <w:t xml:space="preserve"> parametrat e DKU, vlerësojmë se stacionet e Basenit të </w:t>
      </w:r>
      <w:r w:rsidR="00E224D1">
        <w:rPr>
          <w:rFonts w:ascii="Times New Roman" w:eastAsia="Calibri" w:hAnsi="Times New Roman" w:cs="Times New Roman"/>
          <w:b/>
          <w:i/>
          <w:sz w:val="24"/>
          <w:szCs w:val="24"/>
          <w:lang w:val="sq-AL"/>
        </w:rPr>
        <w:t>Vjosës klasifikohen si ujëra me</w:t>
      </w:r>
      <w:r w:rsidRPr="0047684C">
        <w:rPr>
          <w:rFonts w:ascii="Times New Roman" w:eastAsia="Calibri" w:hAnsi="Times New Roman" w:cs="Times New Roman"/>
          <w:b/>
          <w:i/>
          <w:sz w:val="24"/>
          <w:szCs w:val="24"/>
          <w:lang w:val="sq-AL"/>
        </w:rPr>
        <w:t xml:space="preserve"> cilësi të mir</w:t>
      </w:r>
      <w:r w:rsidR="00E224D1">
        <w:rPr>
          <w:rFonts w:ascii="Times New Roman" w:eastAsia="Calibri" w:hAnsi="Times New Roman" w:cs="Times New Roman"/>
          <w:b/>
          <w:i/>
          <w:sz w:val="24"/>
          <w:szCs w:val="24"/>
          <w:lang w:val="sq-AL"/>
        </w:rPr>
        <w:t>ë të cilat r</w:t>
      </w:r>
      <w:r w:rsidR="00E224D1">
        <w:rPr>
          <w:rFonts w:ascii="Times New Roman" w:hAnsi="Times New Roman"/>
          <w:sz w:val="24"/>
          <w:szCs w:val="24"/>
        </w:rPr>
        <w:t>ë</w:t>
      </w:r>
      <w:r w:rsidRPr="0047684C">
        <w:rPr>
          <w:rFonts w:ascii="Times New Roman" w:eastAsia="Calibri" w:hAnsi="Times New Roman" w:cs="Times New Roman"/>
          <w:b/>
          <w:i/>
          <w:sz w:val="24"/>
          <w:szCs w:val="24"/>
          <w:lang w:val="sq-AL"/>
        </w:rPr>
        <w:t>nditen në Klasën II – Gjendje e mirë.</w:t>
      </w:r>
    </w:p>
    <w:p w:rsidR="0047684C" w:rsidRPr="0047684C" w:rsidRDefault="0047684C" w:rsidP="004D460A">
      <w:pPr>
        <w:numPr>
          <w:ilvl w:val="0"/>
          <w:numId w:val="22"/>
        </w:numPr>
        <w:spacing w:after="200" w:line="276" w:lineRule="auto"/>
        <w:contextualSpacing/>
        <w:rPr>
          <w:rFonts w:ascii="Times New Roman" w:eastAsia="Calibri" w:hAnsi="Times New Roman" w:cs="Times New Roman"/>
          <w:b/>
          <w:sz w:val="24"/>
          <w:szCs w:val="24"/>
          <w:lang w:val="sq-AL"/>
        </w:rPr>
      </w:pPr>
      <w:r w:rsidRPr="0047684C">
        <w:rPr>
          <w:rFonts w:ascii="Times New Roman" w:eastAsia="Calibri" w:hAnsi="Times New Roman" w:cs="Times New Roman"/>
          <w:b/>
          <w:sz w:val="24"/>
          <w:szCs w:val="24"/>
          <w:lang w:val="sq-AL"/>
        </w:rPr>
        <w:t>Baseni</w:t>
      </w:r>
      <w:r w:rsidR="001D09ED">
        <w:rPr>
          <w:rFonts w:ascii="Times New Roman" w:eastAsia="Calibri" w:hAnsi="Times New Roman" w:cs="Times New Roman"/>
          <w:b/>
          <w:sz w:val="24"/>
          <w:szCs w:val="24"/>
          <w:lang w:val="sq-AL"/>
        </w:rPr>
        <w:t xml:space="preserve"> lumor </w:t>
      </w:r>
      <w:r w:rsidRPr="0047684C">
        <w:rPr>
          <w:rFonts w:ascii="Times New Roman" w:eastAsia="Calibri" w:hAnsi="Times New Roman" w:cs="Times New Roman"/>
          <w:b/>
          <w:sz w:val="24"/>
          <w:szCs w:val="24"/>
          <w:lang w:val="sq-AL"/>
        </w:rPr>
        <w:t xml:space="preserve"> i Semanit</w:t>
      </w:r>
    </w:p>
    <w:p w:rsidR="0047684C" w:rsidRPr="0047684C" w:rsidRDefault="0047684C" w:rsidP="0047684C">
      <w:pPr>
        <w:spacing w:after="200" w:line="276" w:lineRule="auto"/>
        <w:rPr>
          <w:rFonts w:ascii="Times New Roman" w:eastAsia="Calibri" w:hAnsi="Times New Roman" w:cs="Times New Roman"/>
          <w:sz w:val="24"/>
          <w:szCs w:val="24"/>
          <w:lang w:val="sq-AL"/>
        </w:rPr>
      </w:pPr>
      <w:r w:rsidRPr="0047684C">
        <w:rPr>
          <w:rFonts w:ascii="Times New Roman" w:eastAsia="Calibri" w:hAnsi="Times New Roman" w:cs="Times New Roman"/>
          <w:b/>
          <w:sz w:val="24"/>
          <w:szCs w:val="24"/>
          <w:lang w:val="sq-AL"/>
        </w:rPr>
        <w:t xml:space="preserve">Semani </w:t>
      </w:r>
      <w:r w:rsidRPr="0047684C">
        <w:rPr>
          <w:rFonts w:ascii="Times New Roman" w:eastAsia="Calibri" w:hAnsi="Times New Roman" w:cs="Times New Roman"/>
          <w:sz w:val="24"/>
          <w:szCs w:val="24"/>
          <w:lang w:val="sq-AL"/>
        </w:rPr>
        <w:t>është lumi i dytë për nga gjatësia në Shqipëri, pas Drinit, rreth 281 km i gjatëi cili formohet nga bashkimi i dy lumenjve Osum dhe Devoll, në afërsi të fshatit Kozarë.</w:t>
      </w:r>
    </w:p>
    <w:p w:rsidR="0047684C" w:rsidRDefault="0047684C" w:rsidP="0047684C">
      <w:pPr>
        <w:spacing w:after="200" w:line="276" w:lineRule="auto"/>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Baseni i Semanit monitorohet në</w:t>
      </w:r>
      <w:r w:rsidR="004C0412">
        <w:rPr>
          <w:rFonts w:ascii="Times New Roman" w:eastAsia="Calibri" w:hAnsi="Times New Roman" w:cs="Times New Roman"/>
          <w:sz w:val="24"/>
          <w:szCs w:val="24"/>
          <w:lang w:val="sq-AL"/>
        </w:rPr>
        <w:t xml:space="preserve"> </w:t>
      </w:r>
      <w:r w:rsidRPr="0047684C">
        <w:rPr>
          <w:rFonts w:ascii="Times New Roman" w:eastAsia="Calibri" w:hAnsi="Times New Roman" w:cs="Times New Roman"/>
          <w:sz w:val="24"/>
          <w:szCs w:val="24"/>
          <w:lang w:val="sq-AL"/>
        </w:rPr>
        <w:t>8 pika monitorimi në të gjithë gjatësinë e tij të cilat paraqiten në formë tabelare si vijon:</w:t>
      </w:r>
    </w:p>
    <w:p w:rsidR="002C46B9" w:rsidRPr="0047684C" w:rsidRDefault="002C46B9" w:rsidP="002C46B9">
      <w:pPr>
        <w:spacing w:after="0" w:line="240" w:lineRule="auto"/>
        <w:jc w:val="both"/>
        <w:rPr>
          <w:rFonts w:ascii="Times New Roman" w:eastAsia="Calibri" w:hAnsi="Times New Roman" w:cs="Times New Roman"/>
          <w:sz w:val="24"/>
          <w:szCs w:val="24"/>
          <w:lang w:val="sq-AL"/>
        </w:rPr>
      </w:pPr>
      <w:r w:rsidRPr="000505FE">
        <w:rPr>
          <w:rFonts w:ascii="Times New Roman" w:eastAsia="Calibri" w:hAnsi="Times New Roman" w:cs="Times New Roman"/>
          <w:sz w:val="24"/>
          <w:szCs w:val="24"/>
          <w:lang w:val="sq-AL"/>
        </w:rPr>
        <w:t xml:space="preserve">Tabela </w:t>
      </w:r>
      <w:r>
        <w:rPr>
          <w:rFonts w:ascii="Times New Roman" w:eastAsia="Calibri" w:hAnsi="Times New Roman" w:cs="Times New Roman"/>
          <w:sz w:val="24"/>
          <w:szCs w:val="24"/>
          <w:lang w:val="sq-AL"/>
        </w:rPr>
        <w:t>22</w:t>
      </w:r>
      <w:r w:rsidRPr="000505FE">
        <w:rPr>
          <w:rFonts w:ascii="Times New Roman" w:eastAsia="Calibri" w:hAnsi="Times New Roman" w:cs="Times New Roman"/>
          <w:sz w:val="24"/>
          <w:szCs w:val="24"/>
          <w:lang w:val="sq-AL"/>
        </w:rPr>
        <w:t xml:space="preserve">. Stacionet e kampionimit për basenin </w:t>
      </w:r>
      <w:r>
        <w:rPr>
          <w:rFonts w:ascii="Times New Roman" w:eastAsia="Calibri" w:hAnsi="Times New Roman" w:cs="Times New Roman"/>
          <w:sz w:val="24"/>
          <w:szCs w:val="24"/>
          <w:lang w:val="sq-AL"/>
        </w:rPr>
        <w:t>Seman</w:t>
      </w:r>
    </w:p>
    <w:p w:rsidR="002C46B9" w:rsidRPr="0047684C" w:rsidRDefault="002C46B9" w:rsidP="0047684C">
      <w:pPr>
        <w:spacing w:after="200" w:line="276" w:lineRule="auto"/>
        <w:rPr>
          <w:rFonts w:ascii="Times New Roman" w:eastAsia="Calibri" w:hAnsi="Times New Roman" w:cs="Times New Roman"/>
          <w:sz w:val="24"/>
          <w:szCs w:val="24"/>
          <w:lang w:val="sq-AL"/>
        </w:rPr>
      </w:pPr>
    </w:p>
    <w:tbl>
      <w:tblPr>
        <w:tblStyle w:val="TableGrid"/>
        <w:tblW w:w="0" w:type="auto"/>
        <w:tblLook w:val="04A0" w:firstRow="1" w:lastRow="0" w:firstColumn="1" w:lastColumn="0" w:noHBand="0" w:noVBand="1"/>
      </w:tblPr>
      <w:tblGrid>
        <w:gridCol w:w="619"/>
        <w:gridCol w:w="1289"/>
        <w:gridCol w:w="2322"/>
        <w:gridCol w:w="2725"/>
        <w:gridCol w:w="2621"/>
      </w:tblGrid>
      <w:tr w:rsidR="0047684C" w:rsidRPr="0047684C" w:rsidTr="0047684C">
        <w:tc>
          <w:tcPr>
            <w:tcW w:w="619"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Nr.</w:t>
            </w:r>
          </w:p>
        </w:tc>
        <w:tc>
          <w:tcPr>
            <w:tcW w:w="1289"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Kodi i kampionit</w:t>
            </w:r>
          </w:p>
        </w:tc>
        <w:tc>
          <w:tcPr>
            <w:tcW w:w="2322"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Emërtimi i Lumit</w:t>
            </w:r>
          </w:p>
        </w:tc>
        <w:tc>
          <w:tcPr>
            <w:tcW w:w="2725"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Vendndodhja</w:t>
            </w:r>
          </w:p>
        </w:tc>
        <w:tc>
          <w:tcPr>
            <w:tcW w:w="2621"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Koordinatat gjeografike</w:t>
            </w:r>
          </w:p>
        </w:tc>
      </w:tr>
      <w:tr w:rsidR="0047684C" w:rsidRPr="0047684C" w:rsidTr="001D09ED">
        <w:trPr>
          <w:trHeight w:val="143"/>
        </w:trPr>
        <w:tc>
          <w:tcPr>
            <w:tcW w:w="619"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1.</w:t>
            </w:r>
          </w:p>
        </w:tc>
        <w:tc>
          <w:tcPr>
            <w:tcW w:w="128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Dv</w:t>
            </w:r>
            <w:r w:rsidRPr="0047684C">
              <w:rPr>
                <w:rFonts w:ascii="Times New Roman" w:eastAsia="Calibri" w:hAnsi="Times New Roman" w:cs="Times New Roman"/>
                <w:vertAlign w:val="subscript"/>
                <w:lang w:val="sq-AL"/>
              </w:rPr>
              <w:t>0</w:t>
            </w:r>
          </w:p>
        </w:tc>
        <w:tc>
          <w:tcPr>
            <w:tcW w:w="2322"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 Semanit</w:t>
            </w:r>
          </w:p>
        </w:tc>
        <w:tc>
          <w:tcPr>
            <w:tcW w:w="272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Bilisht – Ura e Treshit</w:t>
            </w:r>
          </w:p>
        </w:tc>
        <w:tc>
          <w:tcPr>
            <w:tcW w:w="2621"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40.4101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21.0056</w:t>
            </w:r>
          </w:p>
        </w:tc>
      </w:tr>
      <w:tr w:rsidR="0047684C" w:rsidRPr="0047684C" w:rsidTr="0047684C">
        <w:trPr>
          <w:trHeight w:val="323"/>
        </w:trPr>
        <w:tc>
          <w:tcPr>
            <w:tcW w:w="619"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2.</w:t>
            </w:r>
          </w:p>
        </w:tc>
        <w:tc>
          <w:tcPr>
            <w:tcW w:w="128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Dv</w:t>
            </w:r>
            <w:r w:rsidRPr="0047684C">
              <w:rPr>
                <w:rFonts w:ascii="Times New Roman" w:eastAsia="Calibri" w:hAnsi="Times New Roman" w:cs="Times New Roman"/>
                <w:vertAlign w:val="subscript"/>
                <w:lang w:val="sq-AL"/>
              </w:rPr>
              <w:t>1</w:t>
            </w:r>
          </w:p>
        </w:tc>
        <w:tc>
          <w:tcPr>
            <w:tcW w:w="2322"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Devoll</w:t>
            </w:r>
          </w:p>
        </w:tc>
        <w:tc>
          <w:tcPr>
            <w:tcW w:w="272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Kuçovë – Ura Kuçovë Kozarë</w:t>
            </w:r>
          </w:p>
        </w:tc>
        <w:tc>
          <w:tcPr>
            <w:tcW w:w="2621"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N40.828639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19.910801</w:t>
            </w:r>
          </w:p>
        </w:tc>
      </w:tr>
      <w:tr w:rsidR="0047684C" w:rsidRPr="0047684C" w:rsidTr="0047684C">
        <w:tc>
          <w:tcPr>
            <w:tcW w:w="619"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3.</w:t>
            </w:r>
          </w:p>
        </w:tc>
        <w:tc>
          <w:tcPr>
            <w:tcW w:w="128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Os</w:t>
            </w:r>
            <w:r w:rsidRPr="0047684C">
              <w:rPr>
                <w:rFonts w:ascii="Times New Roman" w:eastAsia="Calibri" w:hAnsi="Times New Roman" w:cs="Times New Roman"/>
                <w:vertAlign w:val="subscript"/>
                <w:lang w:val="sq-AL"/>
              </w:rPr>
              <w:t>1</w:t>
            </w:r>
          </w:p>
        </w:tc>
        <w:tc>
          <w:tcPr>
            <w:tcW w:w="2322"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Osum</w:t>
            </w:r>
          </w:p>
        </w:tc>
        <w:tc>
          <w:tcPr>
            <w:tcW w:w="272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Lapan</w:t>
            </w:r>
          </w:p>
        </w:tc>
        <w:tc>
          <w:tcPr>
            <w:tcW w:w="2621"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40.254252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20.171348</w:t>
            </w:r>
          </w:p>
        </w:tc>
      </w:tr>
      <w:tr w:rsidR="0047684C" w:rsidRPr="0047684C" w:rsidTr="0047684C">
        <w:tc>
          <w:tcPr>
            <w:tcW w:w="619"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4.</w:t>
            </w:r>
          </w:p>
        </w:tc>
        <w:tc>
          <w:tcPr>
            <w:tcW w:w="128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Os</w:t>
            </w:r>
            <w:r w:rsidRPr="0047684C">
              <w:rPr>
                <w:rFonts w:ascii="Times New Roman" w:eastAsia="Calibri" w:hAnsi="Times New Roman" w:cs="Times New Roman"/>
                <w:vertAlign w:val="subscript"/>
                <w:lang w:val="sq-AL"/>
              </w:rPr>
              <w:t>2</w:t>
            </w:r>
          </w:p>
        </w:tc>
        <w:tc>
          <w:tcPr>
            <w:tcW w:w="2322"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 Osumit</w:t>
            </w:r>
          </w:p>
        </w:tc>
        <w:tc>
          <w:tcPr>
            <w:tcW w:w="272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Fshati Uznovë</w:t>
            </w:r>
          </w:p>
        </w:tc>
        <w:tc>
          <w:tcPr>
            <w:tcW w:w="2621"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40.689065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19.973427</w:t>
            </w:r>
          </w:p>
        </w:tc>
      </w:tr>
      <w:tr w:rsidR="0047684C" w:rsidRPr="0047684C" w:rsidTr="0047684C">
        <w:tc>
          <w:tcPr>
            <w:tcW w:w="619"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5.</w:t>
            </w:r>
          </w:p>
        </w:tc>
        <w:tc>
          <w:tcPr>
            <w:tcW w:w="128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Os</w:t>
            </w:r>
            <w:r w:rsidRPr="0047684C">
              <w:rPr>
                <w:rFonts w:ascii="Times New Roman" w:eastAsia="Calibri" w:hAnsi="Times New Roman" w:cs="Times New Roman"/>
                <w:vertAlign w:val="subscript"/>
                <w:lang w:val="sq-AL"/>
              </w:rPr>
              <w:t>3</w:t>
            </w:r>
          </w:p>
        </w:tc>
        <w:tc>
          <w:tcPr>
            <w:tcW w:w="2322"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i Osumit</w:t>
            </w:r>
          </w:p>
        </w:tc>
        <w:tc>
          <w:tcPr>
            <w:tcW w:w="272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Vajgurore</w:t>
            </w:r>
          </w:p>
        </w:tc>
        <w:tc>
          <w:tcPr>
            <w:tcW w:w="2621"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N 40.774274</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19.874563</w:t>
            </w:r>
          </w:p>
        </w:tc>
      </w:tr>
      <w:tr w:rsidR="0047684C" w:rsidRPr="0047684C" w:rsidTr="0047684C">
        <w:tc>
          <w:tcPr>
            <w:tcW w:w="619"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6.</w:t>
            </w:r>
          </w:p>
        </w:tc>
        <w:tc>
          <w:tcPr>
            <w:tcW w:w="128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Gj</w:t>
            </w:r>
            <w:r w:rsidRPr="0047684C">
              <w:rPr>
                <w:rFonts w:ascii="Times New Roman" w:eastAsia="Calibri" w:hAnsi="Times New Roman" w:cs="Times New Roman"/>
                <w:vertAlign w:val="subscript"/>
                <w:lang w:val="sq-AL"/>
              </w:rPr>
              <w:t>4</w:t>
            </w:r>
          </w:p>
        </w:tc>
        <w:tc>
          <w:tcPr>
            <w:tcW w:w="2322"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Gjanicë</w:t>
            </w:r>
          </w:p>
        </w:tc>
        <w:tc>
          <w:tcPr>
            <w:tcW w:w="272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e Qytetit Fier</w:t>
            </w:r>
          </w:p>
        </w:tc>
        <w:tc>
          <w:tcPr>
            <w:tcW w:w="2621"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N 40.73383</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19.572400</w:t>
            </w:r>
          </w:p>
        </w:tc>
      </w:tr>
      <w:tr w:rsidR="0047684C" w:rsidRPr="0047684C" w:rsidTr="0047684C">
        <w:tc>
          <w:tcPr>
            <w:tcW w:w="619"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7.</w:t>
            </w:r>
          </w:p>
        </w:tc>
        <w:tc>
          <w:tcPr>
            <w:tcW w:w="128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Se</w:t>
            </w:r>
            <w:r w:rsidRPr="0047684C">
              <w:rPr>
                <w:rFonts w:ascii="Times New Roman" w:eastAsia="Calibri" w:hAnsi="Times New Roman" w:cs="Times New Roman"/>
                <w:vertAlign w:val="subscript"/>
                <w:lang w:val="sq-AL"/>
              </w:rPr>
              <w:t>5</w:t>
            </w:r>
          </w:p>
        </w:tc>
        <w:tc>
          <w:tcPr>
            <w:tcW w:w="2322"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Seman</w:t>
            </w:r>
          </w:p>
        </w:tc>
        <w:tc>
          <w:tcPr>
            <w:tcW w:w="272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Ura e Mbrostarit</w:t>
            </w:r>
          </w:p>
        </w:tc>
        <w:tc>
          <w:tcPr>
            <w:tcW w:w="2621"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N 40.750471</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19.579492</w:t>
            </w:r>
          </w:p>
        </w:tc>
      </w:tr>
      <w:tr w:rsidR="0047684C" w:rsidRPr="0047684C" w:rsidTr="0047684C">
        <w:tc>
          <w:tcPr>
            <w:tcW w:w="619"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lastRenderedPageBreak/>
              <w:t>8.</w:t>
            </w:r>
          </w:p>
        </w:tc>
        <w:tc>
          <w:tcPr>
            <w:tcW w:w="1289"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Se</w:t>
            </w:r>
            <w:r w:rsidRPr="0047684C">
              <w:rPr>
                <w:rFonts w:ascii="Times New Roman" w:eastAsia="Calibri" w:hAnsi="Times New Roman" w:cs="Times New Roman"/>
                <w:vertAlign w:val="subscript"/>
                <w:lang w:val="sq-AL"/>
              </w:rPr>
              <w:t>6</w:t>
            </w:r>
          </w:p>
        </w:tc>
        <w:tc>
          <w:tcPr>
            <w:tcW w:w="2322"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Lumi Seman</w:t>
            </w:r>
          </w:p>
        </w:tc>
        <w:tc>
          <w:tcPr>
            <w:tcW w:w="2725"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Mujalli, Libofsh</w:t>
            </w:r>
          </w:p>
        </w:tc>
        <w:tc>
          <w:tcPr>
            <w:tcW w:w="2621"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N 40.785391</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19.564659</w:t>
            </w:r>
          </w:p>
        </w:tc>
      </w:tr>
    </w:tbl>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Vlerësimi i cilësisë së ujërave të basenit është kryer bazuar në vlerat limite të parametrave të Direktivës Kuadër të Ujit.</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D460A">
      <w:pPr>
        <w:numPr>
          <w:ilvl w:val="0"/>
          <w:numId w:val="23"/>
        </w:numPr>
        <w:spacing w:after="0" w:line="240" w:lineRule="auto"/>
        <w:contextualSpacing/>
        <w:jc w:val="both"/>
        <w:rPr>
          <w:rFonts w:ascii="Times New Roman" w:eastAsia="Calibri" w:hAnsi="Times New Roman" w:cs="Times New Roman"/>
          <w:b/>
          <w:sz w:val="24"/>
          <w:szCs w:val="24"/>
          <w:lang w:val="sq-AL"/>
        </w:rPr>
      </w:pPr>
      <w:r w:rsidRPr="0047684C">
        <w:rPr>
          <w:rFonts w:ascii="Times New Roman" w:eastAsia="Calibri" w:hAnsi="Times New Roman" w:cs="Times New Roman"/>
          <w:b/>
          <w:sz w:val="24"/>
          <w:szCs w:val="24"/>
          <w:lang w:val="sq-AL"/>
        </w:rPr>
        <w:t>Oksigjeni i tretur</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 xml:space="preserve">Vlerat mesatare vjetore të ekspeditave të realizuara janë paraqitur në formë grafike si vijon, ku ujërat paraqiten të jenë të ngopura me oksigjen. </w:t>
      </w:r>
    </w:p>
    <w:p w:rsidR="0047684C" w:rsidRPr="0047684C" w:rsidRDefault="0047684C" w:rsidP="00465EBF">
      <w:pPr>
        <w:spacing w:after="0" w:line="240" w:lineRule="auto"/>
        <w:rPr>
          <w:rFonts w:ascii="Times New Roman" w:eastAsia="Calibri" w:hAnsi="Times New Roman" w:cs="Times New Roman"/>
          <w:sz w:val="24"/>
          <w:szCs w:val="24"/>
          <w:lang w:val="sq-AL"/>
        </w:rPr>
      </w:pPr>
    </w:p>
    <w:p w:rsidR="0047684C" w:rsidRPr="0047684C" w:rsidRDefault="0047684C" w:rsidP="0047684C">
      <w:pPr>
        <w:spacing w:after="200" w:line="276" w:lineRule="auto"/>
        <w:jc w:val="center"/>
        <w:rPr>
          <w:rFonts w:ascii="Times New Roman" w:eastAsia="Calibri" w:hAnsi="Times New Roman" w:cs="Times New Roman"/>
          <w:b/>
          <w:sz w:val="24"/>
          <w:szCs w:val="24"/>
          <w:lang w:val="sq-AL"/>
        </w:rPr>
      </w:pPr>
      <w:r w:rsidRPr="0047684C">
        <w:rPr>
          <w:rFonts w:ascii="Calibri" w:eastAsia="Calibri" w:hAnsi="Calibri" w:cs="Times New Roman"/>
          <w:noProof/>
        </w:rPr>
        <w:drawing>
          <wp:inline distT="0" distB="0" distL="0" distR="0" wp14:anchorId="680D4BF7" wp14:editId="612842EE">
            <wp:extent cx="5219700" cy="1943100"/>
            <wp:effectExtent l="0" t="0" r="0" b="0"/>
            <wp:docPr id="387" name="Chart 1">
              <a:extLst xmlns:a="http://schemas.openxmlformats.org/drawingml/2006/main">
                <a:ext uri="{FF2B5EF4-FFF2-40B4-BE49-F238E27FC236}">
                  <a16:creationId xmlns:a16="http://schemas.microsoft.com/office/drawing/2014/main" id="{F9C426F3-76D5-ECF0-CC52-913473BA1A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
          <w:sz w:val="24"/>
          <w:szCs w:val="24"/>
          <w:lang w:val="sq-AL"/>
        </w:rPr>
      </w:pPr>
      <w:r w:rsidRPr="0047684C">
        <w:rPr>
          <w:rFonts w:ascii="Times New Roman" w:eastAsia="Calibri" w:hAnsi="Times New Roman" w:cs="Times New Roman"/>
          <w:b/>
          <w:sz w:val="24"/>
          <w:szCs w:val="24"/>
          <w:lang w:val="sq-AL"/>
        </w:rPr>
        <w:t>Nevoja Biokimike për oksigjen</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Ky parametër është i rëndë</w:t>
      </w:r>
      <w:r w:rsidR="004C0412">
        <w:rPr>
          <w:rFonts w:ascii="Times New Roman" w:eastAsia="Calibri" w:hAnsi="Times New Roman" w:cs="Times New Roman"/>
          <w:sz w:val="24"/>
          <w:szCs w:val="24"/>
          <w:lang w:val="sq-AL"/>
        </w:rPr>
        <w:t>sishëm për vlerësimin e cilësis</w:t>
      </w:r>
      <w:r w:rsidR="004C0412">
        <w:rPr>
          <w:rFonts w:ascii="Times New Roman" w:hAnsi="Times New Roman"/>
          <w:sz w:val="24"/>
          <w:szCs w:val="24"/>
        </w:rPr>
        <w:t>ë</w:t>
      </w:r>
      <w:r w:rsidRPr="0047684C">
        <w:rPr>
          <w:rFonts w:ascii="Times New Roman" w:eastAsia="Calibri" w:hAnsi="Times New Roman" w:cs="Times New Roman"/>
          <w:sz w:val="24"/>
          <w:szCs w:val="24"/>
          <w:lang w:val="sq-AL"/>
        </w:rPr>
        <w:t xml:space="preserve"> së ujërave të lumenjve si një tregues i shkallës së ndotjes, ku stacioni Gj</w:t>
      </w:r>
      <w:r w:rsidRPr="0047684C">
        <w:rPr>
          <w:rFonts w:ascii="Times New Roman" w:eastAsia="Calibri" w:hAnsi="Times New Roman" w:cs="Times New Roman"/>
          <w:sz w:val="24"/>
          <w:szCs w:val="24"/>
          <w:vertAlign w:val="subscript"/>
          <w:lang w:val="sq-AL"/>
        </w:rPr>
        <w:t>4</w:t>
      </w:r>
      <w:r w:rsidRPr="0047684C">
        <w:rPr>
          <w:rFonts w:ascii="Times New Roman" w:eastAsia="Calibri" w:hAnsi="Times New Roman" w:cs="Times New Roman"/>
          <w:sz w:val="24"/>
          <w:szCs w:val="24"/>
          <w:lang w:val="sq-AL"/>
        </w:rPr>
        <w:t xml:space="preserve"> – Ura e qytetit ka një përmbajtje të lartë të NBO</w:t>
      </w:r>
      <w:r w:rsidRPr="0047684C">
        <w:rPr>
          <w:rFonts w:ascii="Times New Roman" w:eastAsia="Calibri" w:hAnsi="Times New Roman" w:cs="Times New Roman"/>
          <w:sz w:val="24"/>
          <w:szCs w:val="24"/>
          <w:vertAlign w:val="subscript"/>
          <w:lang w:val="sq-AL"/>
        </w:rPr>
        <w:t>5</w:t>
      </w:r>
      <w:r w:rsidRPr="0047684C">
        <w:rPr>
          <w:rFonts w:ascii="Times New Roman" w:eastAsia="Calibri" w:hAnsi="Times New Roman" w:cs="Times New Roman"/>
          <w:sz w:val="24"/>
          <w:szCs w:val="24"/>
          <w:lang w:val="sq-AL"/>
        </w:rPr>
        <w:t xml:space="preserve"> duke e klasifikuar këtë stacion në Klasën IV – Gjendje e Varfër, pasi impakti i shkarkimeve urbane dhe industriale  të qytetit është i ndjeshëm.</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center"/>
        <w:rPr>
          <w:rFonts w:ascii="Times New Roman" w:eastAsia="Calibri" w:hAnsi="Times New Roman" w:cs="Times New Roman"/>
          <w:sz w:val="24"/>
          <w:szCs w:val="24"/>
          <w:lang w:val="sq-AL"/>
        </w:rPr>
      </w:pPr>
      <w:r w:rsidRPr="0047684C">
        <w:rPr>
          <w:rFonts w:ascii="Calibri" w:eastAsia="Calibri" w:hAnsi="Calibri" w:cs="Times New Roman"/>
          <w:noProof/>
        </w:rPr>
        <w:drawing>
          <wp:inline distT="0" distB="0" distL="0" distR="0" wp14:anchorId="609C9C7F" wp14:editId="732C8D86">
            <wp:extent cx="4981575" cy="2257425"/>
            <wp:effectExtent l="0" t="0" r="9525" b="9525"/>
            <wp:docPr id="388" name="Chart 1">
              <a:extLst xmlns:a="http://schemas.openxmlformats.org/drawingml/2006/main">
                <a:ext uri="{FF2B5EF4-FFF2-40B4-BE49-F238E27FC236}">
                  <a16:creationId xmlns:a16="http://schemas.microsoft.com/office/drawing/2014/main" id="{AAFAC806-A357-2113-B25A-46E40F511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47684C" w:rsidRPr="0047684C" w:rsidRDefault="0047684C" w:rsidP="0047684C">
      <w:pPr>
        <w:spacing w:after="0" w:line="240" w:lineRule="auto"/>
        <w:jc w:val="center"/>
        <w:rPr>
          <w:rFonts w:ascii="Times New Roman" w:eastAsia="Calibri" w:hAnsi="Times New Roman" w:cs="Times New Roman"/>
          <w:sz w:val="24"/>
          <w:szCs w:val="24"/>
          <w:lang w:val="sq-AL"/>
        </w:rPr>
      </w:pPr>
    </w:p>
    <w:p w:rsidR="0047684C" w:rsidRPr="0047684C" w:rsidRDefault="0047684C" w:rsidP="0047684C">
      <w:pPr>
        <w:spacing w:after="0" w:line="240" w:lineRule="auto"/>
        <w:rPr>
          <w:rFonts w:ascii="Times New Roman" w:eastAsia="Calibri" w:hAnsi="Times New Roman" w:cs="Times New Roman"/>
          <w:b/>
          <w:sz w:val="24"/>
          <w:szCs w:val="24"/>
          <w:lang w:val="sq-AL"/>
        </w:rPr>
      </w:pPr>
    </w:p>
    <w:p w:rsidR="0047684C" w:rsidRPr="0047684C" w:rsidRDefault="0047684C" w:rsidP="0033538C">
      <w:pPr>
        <w:numPr>
          <w:ilvl w:val="0"/>
          <w:numId w:val="8"/>
        </w:numPr>
        <w:spacing w:after="0" w:line="240" w:lineRule="auto"/>
        <w:contextualSpacing/>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 xml:space="preserve">Përmbajtja e amonjakut </w:t>
      </w:r>
    </w:p>
    <w:p w:rsidR="0047684C" w:rsidRPr="0047684C" w:rsidRDefault="0047684C" w:rsidP="0047684C">
      <w:pPr>
        <w:spacing w:after="0" w:line="240" w:lineRule="auto"/>
        <w:rPr>
          <w:rFonts w:ascii="Times New Roman" w:eastAsia="Calibri" w:hAnsi="Times New Roman" w:cs="Times New Roman"/>
          <w:b/>
          <w:sz w:val="24"/>
          <w:szCs w:val="24"/>
          <w:lang w:val="sq-AL"/>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rcaktimi i 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rmbajtjes s</w:t>
      </w:r>
      <w:r w:rsidRPr="0047684C">
        <w:rPr>
          <w:rFonts w:ascii="Times New Roman" w:eastAsia="Calibri" w:hAnsi="Times New Roman" w:cs="Times New Roman"/>
          <w:sz w:val="24"/>
          <w:szCs w:val="24"/>
          <w:lang w:val="sq-AL"/>
        </w:rPr>
        <w:t xml:space="preserve">ë </w:t>
      </w:r>
      <w:r w:rsidRPr="0047684C">
        <w:rPr>
          <w:rFonts w:ascii="Times New Roman" w:eastAsia="Calibri" w:hAnsi="Times New Roman" w:cs="Times New Roman"/>
          <w:bCs/>
          <w:sz w:val="24"/>
          <w:szCs w:val="24"/>
          <w:lang w:val="fi-FI"/>
        </w:rPr>
        <w:t>amonjakut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kampione uji i p</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rcaktuar me metod</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n spektrometrike </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sht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paramet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r kryesor i klasifikimit n</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klasa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cil</w:t>
      </w:r>
      <w:r w:rsidRPr="0047684C">
        <w:rPr>
          <w:rFonts w:ascii="Times New Roman" w:eastAsia="Calibri" w:hAnsi="Times New Roman" w:cs="Times New Roman"/>
          <w:sz w:val="24"/>
          <w:szCs w:val="24"/>
          <w:lang w:val="sq-AL"/>
        </w:rPr>
        <w:t>ë</w:t>
      </w:r>
      <w:r w:rsidR="004C0412">
        <w:rPr>
          <w:rFonts w:ascii="Times New Roman" w:eastAsia="Calibri" w:hAnsi="Times New Roman" w:cs="Times New Roman"/>
          <w:bCs/>
          <w:sz w:val="24"/>
          <w:szCs w:val="24"/>
          <w:lang w:val="fi-FI"/>
        </w:rPr>
        <w:t>sis</w:t>
      </w:r>
      <w:r w:rsidR="004C0412">
        <w:rPr>
          <w:rFonts w:ascii="Times New Roman" w:hAnsi="Times New Roman"/>
          <w:sz w:val="24"/>
          <w:szCs w:val="24"/>
        </w:rPr>
        <w:t>ë</w:t>
      </w:r>
      <w:r w:rsidRPr="0047684C">
        <w:rPr>
          <w:rFonts w:ascii="Times New Roman" w:eastAsia="Calibri" w:hAnsi="Times New Roman" w:cs="Times New Roman"/>
          <w:bCs/>
          <w:sz w:val="24"/>
          <w:szCs w:val="24"/>
          <w:lang w:val="fi-FI"/>
        </w:rPr>
        <w:t xml:space="preserve"> s</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uj</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rave sipas DKU. </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Grafiku paraqet t</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 xml:space="preserve"> dh</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nat mesatare vjetore nga ku vler</w:t>
      </w:r>
      <w:r w:rsidRPr="0047684C">
        <w:rPr>
          <w:rFonts w:ascii="Times New Roman" w:eastAsia="Calibri" w:hAnsi="Times New Roman" w:cs="Times New Roman"/>
          <w:sz w:val="24"/>
          <w:szCs w:val="24"/>
          <w:lang w:val="sq-AL"/>
        </w:rPr>
        <w:t>ë</w:t>
      </w:r>
      <w:r w:rsidRPr="0047684C">
        <w:rPr>
          <w:rFonts w:ascii="Times New Roman" w:eastAsia="Calibri" w:hAnsi="Times New Roman" w:cs="Times New Roman"/>
          <w:bCs/>
          <w:sz w:val="24"/>
          <w:szCs w:val="24"/>
          <w:lang w:val="fi-FI"/>
        </w:rPr>
        <w:t>sojm</w:t>
      </w:r>
      <w:r w:rsidRPr="0047684C">
        <w:rPr>
          <w:rFonts w:ascii="Times New Roman" w:eastAsia="Calibri" w:hAnsi="Times New Roman" w:cs="Times New Roman"/>
          <w:sz w:val="24"/>
          <w:szCs w:val="24"/>
          <w:lang w:val="sq-AL"/>
        </w:rPr>
        <w:t>ë</w:t>
      </w:r>
      <w:r w:rsidR="004C0412">
        <w:rPr>
          <w:rFonts w:ascii="Times New Roman" w:eastAsia="Calibri" w:hAnsi="Times New Roman" w:cs="Times New Roman"/>
          <w:bCs/>
          <w:sz w:val="24"/>
          <w:szCs w:val="24"/>
          <w:lang w:val="fi-FI"/>
        </w:rPr>
        <w:t xml:space="preserve"> ndotje n</w:t>
      </w:r>
      <w:r w:rsidR="004C0412">
        <w:rPr>
          <w:rFonts w:ascii="Times New Roman" w:hAnsi="Times New Roman"/>
          <w:sz w:val="24"/>
          <w:szCs w:val="24"/>
        </w:rPr>
        <w:t>ë</w:t>
      </w:r>
      <w:r w:rsidRPr="0047684C">
        <w:rPr>
          <w:rFonts w:ascii="Times New Roman" w:eastAsia="Calibri" w:hAnsi="Times New Roman" w:cs="Times New Roman"/>
          <w:bCs/>
          <w:sz w:val="24"/>
          <w:szCs w:val="24"/>
          <w:lang w:val="fi-FI"/>
        </w:rPr>
        <w:t xml:space="preserve"> stacionin Gj4 – Ura e qytetit Fier me një përmbajtje 1.69 mg/l  klasifikuar në Klasën V – Gjendje e keqe.</w:t>
      </w: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0F3E4245" wp14:editId="62811CD1">
            <wp:extent cx="5353050" cy="2133600"/>
            <wp:effectExtent l="0" t="0" r="0" b="0"/>
            <wp:docPr id="389" name="Chart 1">
              <a:extLst xmlns:a="http://schemas.openxmlformats.org/drawingml/2006/main">
                <a:ext uri="{FF2B5EF4-FFF2-40B4-BE49-F238E27FC236}">
                  <a16:creationId xmlns:a16="http://schemas.microsoft.com/office/drawing/2014/main" id="{2C8FB0EF-19D5-DB0B-B29A-4F9CC4AD80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Përmbajtja e nitriteve</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Përmbajtja e nitriteve është nën normën e lejuar duke i vlerësuar në cilësi të mirë, Klasa  I – Gjendje e Lartë.</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0E3B7045" wp14:editId="194EC197">
            <wp:extent cx="5267325" cy="1962150"/>
            <wp:effectExtent l="0" t="0" r="9525" b="0"/>
            <wp:docPr id="390" name="Chart 1">
              <a:extLst xmlns:a="http://schemas.openxmlformats.org/drawingml/2006/main">
                <a:ext uri="{FF2B5EF4-FFF2-40B4-BE49-F238E27FC236}">
                  <a16:creationId xmlns:a16="http://schemas.microsoft.com/office/drawing/2014/main" id="{0E576D2D-9491-F0A7-443C-9AEDC7DDF1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47684C" w:rsidRDefault="0047684C" w:rsidP="0047684C">
      <w:pPr>
        <w:spacing w:after="0" w:line="240" w:lineRule="auto"/>
        <w:ind w:left="540"/>
        <w:contextualSpacing/>
        <w:jc w:val="both"/>
        <w:rPr>
          <w:rFonts w:ascii="Times New Roman" w:eastAsia="Calibri" w:hAnsi="Times New Roman" w:cs="Times New Roman"/>
          <w:bCs/>
          <w:sz w:val="24"/>
          <w:szCs w:val="24"/>
          <w:lang w:val="fi-FI"/>
        </w:rPr>
      </w:pPr>
    </w:p>
    <w:p w:rsidR="00465EBF" w:rsidRDefault="00465EBF" w:rsidP="0047684C">
      <w:pPr>
        <w:spacing w:after="0" w:line="240" w:lineRule="auto"/>
        <w:ind w:left="540"/>
        <w:contextualSpacing/>
        <w:jc w:val="both"/>
        <w:rPr>
          <w:rFonts w:ascii="Times New Roman" w:eastAsia="Calibri" w:hAnsi="Times New Roman" w:cs="Times New Roman"/>
          <w:bCs/>
          <w:sz w:val="24"/>
          <w:szCs w:val="24"/>
          <w:lang w:val="fi-FI"/>
        </w:rPr>
      </w:pPr>
    </w:p>
    <w:p w:rsidR="00465EBF" w:rsidRPr="0047684C" w:rsidRDefault="00465EBF" w:rsidP="0047684C">
      <w:pPr>
        <w:spacing w:after="0" w:line="240" w:lineRule="auto"/>
        <w:ind w:left="540"/>
        <w:contextualSpacing/>
        <w:jc w:val="both"/>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Përmbajtja e nitrateve</w:t>
      </w:r>
    </w:p>
    <w:p w:rsidR="0047684C" w:rsidRPr="0047684C" w:rsidRDefault="0047684C" w:rsidP="0047684C">
      <w:pPr>
        <w:spacing w:after="0" w:line="276" w:lineRule="auto"/>
        <w:jc w:val="both"/>
        <w:rPr>
          <w:rFonts w:ascii="Times New Roman" w:eastAsia="Calibri" w:hAnsi="Times New Roman" w:cs="Times New Roman"/>
          <w:sz w:val="24"/>
          <w:szCs w:val="24"/>
          <w:lang w:val="da-DK"/>
        </w:rPr>
      </w:pPr>
    </w:p>
    <w:p w:rsidR="0047684C" w:rsidRPr="0047684C" w:rsidRDefault="0047684C" w:rsidP="0047684C">
      <w:pPr>
        <w:spacing w:after="0" w:line="276" w:lineRule="auto"/>
        <w:jc w:val="both"/>
        <w:rPr>
          <w:rFonts w:ascii="Times New Roman" w:eastAsia="Calibri" w:hAnsi="Times New Roman" w:cs="Times New Roman"/>
          <w:sz w:val="24"/>
          <w:szCs w:val="24"/>
          <w:lang w:val="da-DK"/>
        </w:rPr>
      </w:pPr>
      <w:r w:rsidRPr="0047684C">
        <w:rPr>
          <w:rFonts w:ascii="Times New Roman" w:eastAsia="Calibri" w:hAnsi="Times New Roman" w:cs="Times New Roman"/>
          <w:sz w:val="24"/>
          <w:szCs w:val="24"/>
          <w:lang w:val="da-DK"/>
        </w:rPr>
        <w:t>Siç vihet re edhe nga grafiku, përmbajtja e nitrateve është brenda normës së lejuar për të gjithë stacionet e monitoruar.</w:t>
      </w:r>
    </w:p>
    <w:p w:rsidR="0047684C" w:rsidRPr="0047684C" w:rsidRDefault="0047684C" w:rsidP="0047684C">
      <w:pPr>
        <w:spacing w:after="0" w:line="276" w:lineRule="auto"/>
        <w:jc w:val="both"/>
        <w:rPr>
          <w:rFonts w:ascii="Times New Roman" w:eastAsia="Calibri" w:hAnsi="Times New Roman" w:cs="Times New Roman"/>
          <w:sz w:val="24"/>
          <w:szCs w:val="24"/>
          <w:lang w:val="da-DK"/>
        </w:rPr>
      </w:pPr>
    </w:p>
    <w:p w:rsidR="0047684C" w:rsidRPr="0047684C" w:rsidRDefault="0047684C" w:rsidP="0047684C">
      <w:pPr>
        <w:spacing w:after="0" w:line="276" w:lineRule="auto"/>
        <w:jc w:val="center"/>
        <w:rPr>
          <w:rFonts w:ascii="Times New Roman" w:eastAsia="Calibri" w:hAnsi="Times New Roman" w:cs="Times New Roman"/>
          <w:sz w:val="24"/>
          <w:szCs w:val="24"/>
          <w:lang w:val="da-DK"/>
        </w:rPr>
      </w:pPr>
      <w:r w:rsidRPr="0047684C">
        <w:rPr>
          <w:rFonts w:ascii="Calibri" w:eastAsia="Calibri" w:hAnsi="Calibri" w:cs="Times New Roman"/>
          <w:noProof/>
        </w:rPr>
        <w:lastRenderedPageBreak/>
        <w:drawing>
          <wp:inline distT="0" distB="0" distL="0" distR="0" wp14:anchorId="7D656C02" wp14:editId="36ED84BC">
            <wp:extent cx="5038725" cy="1838325"/>
            <wp:effectExtent l="0" t="0" r="9525" b="9525"/>
            <wp:docPr id="391" name="Chart 1">
              <a:extLst xmlns:a="http://schemas.openxmlformats.org/drawingml/2006/main">
                <a:ext uri="{FF2B5EF4-FFF2-40B4-BE49-F238E27FC236}">
                  <a16:creationId xmlns:a16="http://schemas.microsoft.com/office/drawing/2014/main" id="{EE0FDB66-164A-198F-9633-C3078774C2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 xml:space="preserve">  Përmbajtja e  fosforit</w:t>
      </w:r>
    </w:p>
    <w:p w:rsidR="0047684C" w:rsidRPr="0047684C" w:rsidRDefault="0047684C" w:rsidP="0047684C">
      <w:pPr>
        <w:spacing w:after="0" w:line="240" w:lineRule="auto"/>
        <w:ind w:left="720"/>
        <w:contextualSpacing/>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Referuar të dhënave mesatare, vlerësojmë se kemi tejkalim të vlerës limite të përmbajtjes së orto – fosfateve në stacionin Gj</w:t>
      </w:r>
      <w:r w:rsidRPr="0047684C">
        <w:rPr>
          <w:rFonts w:ascii="Times New Roman" w:eastAsia="Calibri" w:hAnsi="Times New Roman" w:cs="Times New Roman"/>
          <w:bCs/>
          <w:sz w:val="24"/>
          <w:szCs w:val="24"/>
          <w:vertAlign w:val="subscript"/>
          <w:lang w:val="fi-FI"/>
        </w:rPr>
        <w:t>4</w:t>
      </w:r>
      <w:r w:rsidRPr="0047684C">
        <w:rPr>
          <w:rFonts w:ascii="Times New Roman" w:eastAsia="Calibri" w:hAnsi="Times New Roman" w:cs="Times New Roman"/>
          <w:bCs/>
          <w:sz w:val="24"/>
          <w:szCs w:val="24"/>
          <w:lang w:val="fi-FI"/>
        </w:rPr>
        <w:t xml:space="preserve"> – Ura e qytetit Fier me një përmbajtje 0.219 mg/l duke e klasifikuar stacionin në Klasën IV – Gjendje e varfër.</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 xml:space="preserve">. </w:t>
      </w: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5109EB73" wp14:editId="049A7BBD">
            <wp:extent cx="4572000" cy="1800225"/>
            <wp:effectExtent l="0" t="0" r="0" b="9525"/>
            <wp:docPr id="392" name="Chart 1">
              <a:extLst xmlns:a="http://schemas.openxmlformats.org/drawingml/2006/main">
                <a:ext uri="{FF2B5EF4-FFF2-40B4-BE49-F238E27FC236}">
                  <a16:creationId xmlns:a16="http://schemas.microsoft.com/office/drawing/2014/main" id="{2A37F96D-89DA-67FF-FE25-0DAD48ED04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 xml:space="preserve">Përmbajtja e fosforit total </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Referuar vlerave mesatare vjetore vlerësojmë se stacionet nuk e tejkalojnë vlerën e lejuar, përmbajtja më e lartë është vlerësuar në stacionin Gj</w:t>
      </w:r>
      <w:r w:rsidRPr="0047684C">
        <w:rPr>
          <w:rFonts w:ascii="Times New Roman" w:eastAsia="Calibri" w:hAnsi="Times New Roman" w:cs="Times New Roman"/>
          <w:bCs/>
          <w:sz w:val="24"/>
          <w:szCs w:val="24"/>
          <w:vertAlign w:val="subscript"/>
          <w:lang w:val="fi-FI"/>
        </w:rPr>
        <w:t>4</w:t>
      </w:r>
      <w:r w:rsidRPr="0047684C">
        <w:rPr>
          <w:rFonts w:ascii="Times New Roman" w:eastAsia="Calibri" w:hAnsi="Times New Roman" w:cs="Times New Roman"/>
          <w:bCs/>
          <w:sz w:val="24"/>
          <w:szCs w:val="24"/>
          <w:lang w:val="fi-FI"/>
        </w:rPr>
        <w:t xml:space="preserve"> – Ura e qytetit Fier por brenda normës së lejuar. </w:t>
      </w:r>
    </w:p>
    <w:p w:rsidR="0047684C" w:rsidRPr="0047684C" w:rsidRDefault="0047684C" w:rsidP="0047684C">
      <w:pPr>
        <w:spacing w:after="0" w:line="240" w:lineRule="auto"/>
        <w:jc w:val="both"/>
        <w:rPr>
          <w:rFonts w:ascii="Times New Roman" w:eastAsia="Calibri" w:hAnsi="Times New Roman" w:cs="Times New Roman"/>
          <w:bCs/>
          <w:sz w:val="24"/>
          <w:szCs w:val="24"/>
          <w:lang w:val="fi-FI"/>
        </w:rPr>
      </w:pP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3589B6C9" wp14:editId="7F360E8A">
            <wp:extent cx="5000625" cy="1876425"/>
            <wp:effectExtent l="0" t="0" r="9525" b="9525"/>
            <wp:docPr id="393" name="Chart 1">
              <a:extLst xmlns:a="http://schemas.openxmlformats.org/drawingml/2006/main">
                <a:ext uri="{FF2B5EF4-FFF2-40B4-BE49-F238E27FC236}">
                  <a16:creationId xmlns:a16="http://schemas.microsoft.com/office/drawing/2014/main" id="{4248CC01-EB90-3A67-D97E-EE30E9EB70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p>
    <w:p w:rsidR="0047684C" w:rsidRPr="00465EBF" w:rsidRDefault="0047684C" w:rsidP="0033538C">
      <w:pPr>
        <w:numPr>
          <w:ilvl w:val="0"/>
          <w:numId w:val="8"/>
        </w:numPr>
        <w:spacing w:after="0" w:line="240" w:lineRule="auto"/>
        <w:contextualSpacing/>
        <w:jc w:val="both"/>
        <w:rPr>
          <w:rFonts w:ascii="Times New Roman" w:eastAsia="Calibri" w:hAnsi="Times New Roman" w:cs="Times New Roman"/>
          <w:bCs/>
          <w:sz w:val="24"/>
          <w:szCs w:val="24"/>
          <w:lang w:val="sq-AL"/>
        </w:rPr>
      </w:pPr>
      <w:r w:rsidRPr="00465EBF">
        <w:rPr>
          <w:rFonts w:ascii="Times New Roman" w:eastAsia="Calibri" w:hAnsi="Times New Roman" w:cs="Times New Roman"/>
          <w:bCs/>
          <w:sz w:val="24"/>
          <w:szCs w:val="24"/>
          <w:lang w:val="sq-AL"/>
        </w:rPr>
        <w:t>Përmbajtja e TOC</w:t>
      </w:r>
    </w:p>
    <w:p w:rsidR="0047684C" w:rsidRPr="0047684C" w:rsidRDefault="0047684C" w:rsidP="0047684C">
      <w:pPr>
        <w:spacing w:after="0" w:line="240" w:lineRule="auto"/>
        <w:jc w:val="both"/>
        <w:rPr>
          <w:rFonts w:ascii="Times New Roman" w:eastAsia="Calibri" w:hAnsi="Times New Roman" w:cs="Times New Roman"/>
          <w:bCs/>
          <w:i/>
          <w:sz w:val="24"/>
          <w:szCs w:val="24"/>
          <w:lang w:val="sq-AL"/>
        </w:rPr>
      </w:pPr>
    </w:p>
    <w:p w:rsidR="0047684C" w:rsidRPr="0047684C" w:rsidRDefault="0047684C" w:rsidP="0047684C">
      <w:pPr>
        <w:spacing w:after="0" w:line="240" w:lineRule="auto"/>
        <w:jc w:val="both"/>
        <w:rPr>
          <w:rFonts w:ascii="Times New Roman" w:eastAsia="Calibri" w:hAnsi="Times New Roman" w:cs="Times New Roman"/>
          <w:bCs/>
          <w:iCs/>
          <w:sz w:val="24"/>
          <w:szCs w:val="24"/>
          <w:lang w:val="sq-AL"/>
        </w:rPr>
      </w:pPr>
      <w:r w:rsidRPr="0047684C">
        <w:rPr>
          <w:rFonts w:ascii="Times New Roman" w:eastAsia="Calibri" w:hAnsi="Times New Roman" w:cs="Times New Roman"/>
          <w:bCs/>
          <w:iCs/>
          <w:sz w:val="24"/>
          <w:szCs w:val="24"/>
          <w:lang w:val="sq-AL"/>
        </w:rPr>
        <w:t>Përmbajtja e TOC është nën normë për të gjitha stacionet.</w:t>
      </w:r>
    </w:p>
    <w:p w:rsidR="0047684C" w:rsidRPr="0047684C" w:rsidRDefault="0047684C" w:rsidP="0047684C">
      <w:pPr>
        <w:spacing w:after="200" w:line="276" w:lineRule="auto"/>
        <w:rPr>
          <w:rFonts w:ascii="Times New Roman" w:eastAsia="Calibri" w:hAnsi="Times New Roman" w:cs="Times New Roman"/>
          <w:b/>
          <w:i/>
          <w:sz w:val="24"/>
          <w:szCs w:val="24"/>
          <w:lang w:val="sq-AL"/>
        </w:rPr>
      </w:pPr>
    </w:p>
    <w:p w:rsidR="0047684C" w:rsidRPr="0047684C" w:rsidRDefault="0047684C" w:rsidP="00465EBF">
      <w:pPr>
        <w:spacing w:after="200" w:line="276" w:lineRule="auto"/>
        <w:jc w:val="both"/>
        <w:rPr>
          <w:rFonts w:ascii="Times New Roman" w:eastAsia="Calibri" w:hAnsi="Times New Roman" w:cs="Times New Roman"/>
          <w:b/>
          <w:i/>
          <w:sz w:val="24"/>
          <w:szCs w:val="24"/>
          <w:lang w:val="sq-AL"/>
        </w:rPr>
      </w:pPr>
      <w:r w:rsidRPr="0047684C">
        <w:rPr>
          <w:rFonts w:ascii="Times New Roman" w:eastAsia="Calibri" w:hAnsi="Times New Roman" w:cs="Times New Roman"/>
          <w:b/>
          <w:i/>
          <w:sz w:val="24"/>
          <w:szCs w:val="24"/>
          <w:lang w:val="sq-AL"/>
        </w:rPr>
        <w:t>Duke marrë në konsideratë të gjit</w:t>
      </w:r>
      <w:r w:rsidR="004C0412">
        <w:rPr>
          <w:rFonts w:ascii="Times New Roman" w:eastAsia="Calibri" w:hAnsi="Times New Roman" w:cs="Times New Roman"/>
          <w:b/>
          <w:i/>
          <w:sz w:val="24"/>
          <w:szCs w:val="24"/>
          <w:lang w:val="sq-AL"/>
        </w:rPr>
        <w:t>hë parametrat e DKU, vlerësojmë</w:t>
      </w:r>
      <w:r w:rsidRPr="0047684C">
        <w:rPr>
          <w:rFonts w:ascii="Times New Roman" w:eastAsia="Calibri" w:hAnsi="Times New Roman" w:cs="Times New Roman"/>
          <w:b/>
          <w:i/>
          <w:sz w:val="24"/>
          <w:szCs w:val="24"/>
          <w:lang w:val="sq-AL"/>
        </w:rPr>
        <w:t xml:space="preserve"> se Baseni i Semanit klasifikohet në</w:t>
      </w:r>
      <w:r w:rsidR="004C0412">
        <w:rPr>
          <w:rFonts w:ascii="Times New Roman" w:eastAsia="Calibri" w:hAnsi="Times New Roman" w:cs="Times New Roman"/>
          <w:b/>
          <w:i/>
          <w:sz w:val="24"/>
          <w:szCs w:val="24"/>
          <w:lang w:val="sq-AL"/>
        </w:rPr>
        <w:t xml:space="preserve"> Klasën V- gjendje e keqe me n</w:t>
      </w:r>
      <w:r w:rsidR="004C0412" w:rsidRPr="004C0412">
        <w:rPr>
          <w:rFonts w:ascii="Times New Roman" w:eastAsia="Calibri" w:hAnsi="Times New Roman" w:cs="Times New Roman"/>
          <w:b/>
          <w:i/>
          <w:sz w:val="24"/>
          <w:szCs w:val="24"/>
          <w:lang w:val="sq-AL"/>
        </w:rPr>
        <w:t>j</w:t>
      </w:r>
      <w:r w:rsidR="004C0412" w:rsidRPr="004C0412">
        <w:rPr>
          <w:rFonts w:ascii="Times New Roman" w:hAnsi="Times New Roman"/>
          <w:b/>
          <w:i/>
          <w:sz w:val="24"/>
          <w:szCs w:val="24"/>
        </w:rPr>
        <w:t>ë</w:t>
      </w:r>
      <w:r w:rsidRPr="0047684C">
        <w:rPr>
          <w:rFonts w:ascii="Times New Roman" w:eastAsia="Calibri" w:hAnsi="Times New Roman" w:cs="Times New Roman"/>
          <w:b/>
          <w:i/>
          <w:sz w:val="24"/>
          <w:szCs w:val="24"/>
          <w:lang w:val="sq-AL"/>
        </w:rPr>
        <w:t xml:space="preserve"> ndotje </w:t>
      </w:r>
      <w:r w:rsidRPr="004C0412">
        <w:rPr>
          <w:rFonts w:ascii="Times New Roman" w:eastAsia="Calibri" w:hAnsi="Times New Roman" w:cs="Times New Roman"/>
          <w:b/>
          <w:i/>
          <w:sz w:val="24"/>
          <w:szCs w:val="24"/>
          <w:lang w:val="sq-AL"/>
        </w:rPr>
        <w:t>t</w:t>
      </w:r>
      <w:r w:rsidR="004C0412" w:rsidRPr="004C0412">
        <w:rPr>
          <w:rFonts w:ascii="Times New Roman" w:hAnsi="Times New Roman"/>
          <w:b/>
          <w:i/>
          <w:sz w:val="24"/>
          <w:szCs w:val="24"/>
        </w:rPr>
        <w:t>ë</w:t>
      </w:r>
      <w:r w:rsidR="004C0412">
        <w:rPr>
          <w:rFonts w:ascii="Times New Roman" w:eastAsia="Calibri" w:hAnsi="Times New Roman" w:cs="Times New Roman"/>
          <w:b/>
          <w:i/>
          <w:sz w:val="24"/>
          <w:szCs w:val="24"/>
          <w:lang w:val="sq-AL"/>
        </w:rPr>
        <w:t xml:space="preserve"> konstatuar n</w:t>
      </w:r>
      <w:r w:rsidR="004C0412" w:rsidRPr="004C0412">
        <w:rPr>
          <w:rFonts w:ascii="Times New Roman" w:hAnsi="Times New Roman"/>
          <w:b/>
          <w:i/>
          <w:sz w:val="24"/>
          <w:szCs w:val="24"/>
        </w:rPr>
        <w:t>ë</w:t>
      </w:r>
      <w:r w:rsidRPr="0047684C">
        <w:rPr>
          <w:rFonts w:ascii="Times New Roman" w:eastAsia="Calibri" w:hAnsi="Times New Roman" w:cs="Times New Roman"/>
          <w:b/>
          <w:i/>
          <w:sz w:val="24"/>
          <w:szCs w:val="24"/>
          <w:lang w:val="sq-AL"/>
        </w:rPr>
        <w:t xml:space="preserve"> stacionin  Gj4 – Ura e qytetit Fier ku impakti i shkarkimeve urbane dhe industriale është i lartë.</w:t>
      </w:r>
    </w:p>
    <w:p w:rsidR="001E7407" w:rsidRPr="002D7C3E" w:rsidRDefault="00465EBF" w:rsidP="001E7407">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sidR="002C46B9">
        <w:rPr>
          <w:rFonts w:ascii="Times New Roman" w:eastAsia="Calibri" w:hAnsi="Times New Roman" w:cs="Times New Roman"/>
          <w:sz w:val="24"/>
          <w:szCs w:val="24"/>
          <w:lang w:val="sq-AL"/>
        </w:rPr>
        <w:t>Tabela 23</w:t>
      </w:r>
      <w:r>
        <w:rPr>
          <w:rFonts w:ascii="Times New Roman" w:eastAsia="Calibri" w:hAnsi="Times New Roman" w:cs="Times New Roman"/>
          <w:sz w:val="24"/>
          <w:szCs w:val="24"/>
          <w:lang w:val="sq-AL"/>
        </w:rPr>
        <w:t>.</w:t>
      </w:r>
      <w:r w:rsidR="002C46B9">
        <w:rPr>
          <w:rFonts w:ascii="Times New Roman" w:eastAsia="Calibri" w:hAnsi="Times New Roman" w:cs="Times New Roman"/>
          <w:sz w:val="24"/>
          <w:szCs w:val="24"/>
          <w:lang w:val="sq-AL"/>
        </w:rPr>
        <w:t xml:space="preserve"> K</w:t>
      </w:r>
      <w:r w:rsidR="001E7407" w:rsidRPr="002D7C3E">
        <w:rPr>
          <w:rFonts w:ascii="Times New Roman" w:eastAsia="Calibri" w:hAnsi="Times New Roman" w:cs="Times New Roman"/>
          <w:sz w:val="24"/>
          <w:szCs w:val="24"/>
          <w:lang w:val="sq-AL"/>
        </w:rPr>
        <w:t xml:space="preserve">lasifikimi i cilësisë së baseneve për vitin 2025.  </w:t>
      </w:r>
    </w:p>
    <w:tbl>
      <w:tblPr>
        <w:tblStyle w:val="TableGrid5"/>
        <w:tblW w:w="11279" w:type="dxa"/>
        <w:tblInd w:w="-911" w:type="dxa"/>
        <w:tblLayout w:type="fixed"/>
        <w:tblLook w:val="04A0" w:firstRow="1" w:lastRow="0" w:firstColumn="1" w:lastColumn="0" w:noHBand="0" w:noVBand="1"/>
      </w:tblPr>
      <w:tblGrid>
        <w:gridCol w:w="2909"/>
        <w:gridCol w:w="1330"/>
        <w:gridCol w:w="1820"/>
        <w:gridCol w:w="1710"/>
        <w:gridCol w:w="1260"/>
        <w:gridCol w:w="1048"/>
        <w:gridCol w:w="1202"/>
      </w:tblGrid>
      <w:tr w:rsidR="001E7407" w:rsidRPr="002D7C3E" w:rsidTr="00EB61BF">
        <w:trPr>
          <w:trHeight w:val="981"/>
        </w:trPr>
        <w:tc>
          <w:tcPr>
            <w:tcW w:w="2909" w:type="dxa"/>
          </w:tcPr>
          <w:p w:rsidR="001E7407" w:rsidRPr="002D7C3E" w:rsidRDefault="001E7407" w:rsidP="00EB61BF">
            <w:pPr>
              <w:jc w:val="center"/>
              <w:rPr>
                <w:rFonts w:ascii="Times New Roman" w:eastAsia="Calibri" w:hAnsi="Times New Roman" w:cs="Times New Roman"/>
                <w:b/>
                <w:lang w:val="it-IT"/>
              </w:rPr>
            </w:pPr>
            <w:bookmarkStart w:id="5" w:name="_Hlk164343642"/>
          </w:p>
          <w:p w:rsidR="001E7407" w:rsidRPr="002D7C3E" w:rsidRDefault="001E7407" w:rsidP="00EB61BF">
            <w:pPr>
              <w:jc w:val="center"/>
              <w:rPr>
                <w:rFonts w:ascii="Times New Roman" w:eastAsia="Calibri" w:hAnsi="Times New Roman" w:cs="Times New Roman"/>
                <w:b/>
                <w:lang w:val="it-IT"/>
              </w:rPr>
            </w:pPr>
          </w:p>
          <w:p w:rsidR="001E7407" w:rsidRPr="002D7C3E" w:rsidRDefault="001E7407" w:rsidP="00EB61BF">
            <w:pPr>
              <w:jc w:val="center"/>
              <w:rPr>
                <w:rFonts w:ascii="Times New Roman" w:eastAsia="Calibri" w:hAnsi="Times New Roman" w:cs="Times New Roman"/>
                <w:b/>
                <w:lang w:val="it-IT"/>
              </w:rPr>
            </w:pPr>
            <w:r w:rsidRPr="002D7C3E">
              <w:rPr>
                <w:rFonts w:ascii="Times New Roman" w:eastAsia="Calibri" w:hAnsi="Times New Roman" w:cs="Times New Roman"/>
                <w:b/>
                <w:lang w:val="it-IT"/>
              </w:rPr>
              <w:t>Cilësia 2025</w:t>
            </w:r>
          </w:p>
        </w:tc>
        <w:tc>
          <w:tcPr>
            <w:tcW w:w="1330" w:type="dxa"/>
          </w:tcPr>
          <w:p w:rsidR="001E7407" w:rsidRPr="002D7C3E" w:rsidRDefault="001E7407" w:rsidP="00EB61BF">
            <w:pPr>
              <w:jc w:val="center"/>
              <w:rPr>
                <w:rFonts w:ascii="Times New Roman" w:eastAsia="Calibri" w:hAnsi="Times New Roman" w:cs="Times New Roman"/>
                <w:b/>
                <w:lang w:val="it-IT"/>
              </w:rPr>
            </w:pPr>
          </w:p>
          <w:p w:rsidR="001E7407" w:rsidRPr="002D7C3E" w:rsidRDefault="001E7407" w:rsidP="00EB61BF">
            <w:pPr>
              <w:jc w:val="center"/>
              <w:rPr>
                <w:rFonts w:ascii="Times New Roman" w:eastAsia="Calibri" w:hAnsi="Times New Roman" w:cs="Times New Roman"/>
                <w:b/>
                <w:lang w:val="it-IT"/>
              </w:rPr>
            </w:pPr>
          </w:p>
          <w:p w:rsidR="001E7407" w:rsidRPr="002D7C3E" w:rsidRDefault="001E7407" w:rsidP="00EB61BF">
            <w:pPr>
              <w:jc w:val="center"/>
              <w:rPr>
                <w:rFonts w:ascii="Times New Roman" w:eastAsia="Calibri" w:hAnsi="Times New Roman" w:cs="Times New Roman"/>
                <w:b/>
                <w:lang w:val="it-IT"/>
              </w:rPr>
            </w:pPr>
            <w:r w:rsidRPr="002D7C3E">
              <w:rPr>
                <w:rFonts w:ascii="Times New Roman" w:eastAsia="Calibri" w:hAnsi="Times New Roman" w:cs="Times New Roman"/>
                <w:b/>
                <w:lang w:val="it-IT"/>
              </w:rPr>
              <w:t xml:space="preserve">Baseni </w:t>
            </w:r>
          </w:p>
          <w:p w:rsidR="001E7407" w:rsidRPr="002D7C3E" w:rsidRDefault="001E7407" w:rsidP="00EB61BF">
            <w:pPr>
              <w:jc w:val="center"/>
              <w:rPr>
                <w:rFonts w:ascii="Times New Roman" w:eastAsia="Calibri" w:hAnsi="Times New Roman" w:cs="Times New Roman"/>
                <w:b/>
                <w:lang w:val="it-IT"/>
              </w:rPr>
            </w:pPr>
            <w:r w:rsidRPr="002D7C3E">
              <w:rPr>
                <w:rFonts w:ascii="Times New Roman" w:eastAsia="Calibri" w:hAnsi="Times New Roman" w:cs="Times New Roman"/>
                <w:b/>
                <w:lang w:val="it-IT"/>
              </w:rPr>
              <w:t>Drini -  Bunë</w:t>
            </w:r>
          </w:p>
        </w:tc>
        <w:tc>
          <w:tcPr>
            <w:tcW w:w="1820" w:type="dxa"/>
          </w:tcPr>
          <w:p w:rsidR="001E7407" w:rsidRPr="002D7C3E" w:rsidRDefault="001E7407" w:rsidP="00EB61BF">
            <w:pPr>
              <w:rPr>
                <w:rFonts w:ascii="Times New Roman" w:eastAsia="Calibri" w:hAnsi="Times New Roman" w:cs="Times New Roman"/>
                <w:b/>
                <w:lang w:val="it-IT"/>
              </w:rPr>
            </w:pPr>
          </w:p>
          <w:p w:rsidR="001E7407" w:rsidRPr="002D7C3E" w:rsidRDefault="001E7407" w:rsidP="00EB61BF">
            <w:pPr>
              <w:rPr>
                <w:rFonts w:ascii="Times New Roman" w:eastAsia="Calibri" w:hAnsi="Times New Roman" w:cs="Times New Roman"/>
                <w:b/>
                <w:lang w:val="it-IT"/>
              </w:rPr>
            </w:pPr>
          </w:p>
          <w:p w:rsidR="001E7407" w:rsidRPr="002D7C3E" w:rsidRDefault="001E7407" w:rsidP="00EB61BF">
            <w:pPr>
              <w:jc w:val="center"/>
              <w:rPr>
                <w:rFonts w:ascii="Times New Roman" w:eastAsia="Calibri" w:hAnsi="Times New Roman" w:cs="Times New Roman"/>
                <w:b/>
                <w:lang w:val="it-IT"/>
              </w:rPr>
            </w:pPr>
            <w:r w:rsidRPr="002D7C3E">
              <w:rPr>
                <w:rFonts w:ascii="Times New Roman" w:eastAsia="Calibri" w:hAnsi="Times New Roman" w:cs="Times New Roman"/>
                <w:b/>
                <w:lang w:val="it-IT"/>
              </w:rPr>
              <w:t>Baseni</w:t>
            </w:r>
          </w:p>
          <w:p w:rsidR="001E7407" w:rsidRPr="002D7C3E" w:rsidRDefault="001E7407" w:rsidP="00EB61BF">
            <w:pPr>
              <w:jc w:val="center"/>
              <w:rPr>
                <w:rFonts w:ascii="Times New Roman" w:eastAsia="Calibri" w:hAnsi="Times New Roman" w:cs="Times New Roman"/>
                <w:b/>
                <w:lang w:val="it-IT"/>
              </w:rPr>
            </w:pPr>
            <w:r w:rsidRPr="002D7C3E">
              <w:rPr>
                <w:rFonts w:ascii="Times New Roman" w:eastAsia="Calibri" w:hAnsi="Times New Roman" w:cs="Times New Roman"/>
                <w:b/>
                <w:lang w:val="it-IT"/>
              </w:rPr>
              <w:t>Ishëm - Erzen</w:t>
            </w:r>
          </w:p>
        </w:tc>
        <w:tc>
          <w:tcPr>
            <w:tcW w:w="1710" w:type="dxa"/>
          </w:tcPr>
          <w:p w:rsidR="001E7407" w:rsidRPr="002D7C3E" w:rsidRDefault="001E7407" w:rsidP="00EB61BF">
            <w:pPr>
              <w:jc w:val="center"/>
              <w:rPr>
                <w:rFonts w:ascii="Times New Roman" w:eastAsia="Calibri" w:hAnsi="Times New Roman" w:cs="Times New Roman"/>
                <w:b/>
                <w:lang w:val="it-IT"/>
              </w:rPr>
            </w:pPr>
          </w:p>
          <w:p w:rsidR="001E7407" w:rsidRPr="002D7C3E" w:rsidRDefault="001E7407" w:rsidP="00EB61BF">
            <w:pPr>
              <w:jc w:val="center"/>
              <w:rPr>
                <w:rFonts w:ascii="Times New Roman" w:eastAsia="Calibri" w:hAnsi="Times New Roman" w:cs="Times New Roman"/>
                <w:b/>
                <w:lang w:val="it-IT"/>
              </w:rPr>
            </w:pPr>
          </w:p>
          <w:p w:rsidR="001E7407" w:rsidRPr="002D7C3E" w:rsidRDefault="001E7407" w:rsidP="00EB61BF">
            <w:pPr>
              <w:jc w:val="center"/>
              <w:rPr>
                <w:rFonts w:ascii="Times New Roman" w:eastAsia="Calibri" w:hAnsi="Times New Roman" w:cs="Times New Roman"/>
                <w:b/>
                <w:lang w:val="it-IT"/>
              </w:rPr>
            </w:pPr>
            <w:r w:rsidRPr="002D7C3E">
              <w:rPr>
                <w:rFonts w:ascii="Times New Roman" w:eastAsia="Calibri" w:hAnsi="Times New Roman" w:cs="Times New Roman"/>
                <w:b/>
                <w:lang w:val="it-IT"/>
              </w:rPr>
              <w:t>Baseni i Shkumbinit</w:t>
            </w:r>
          </w:p>
        </w:tc>
        <w:tc>
          <w:tcPr>
            <w:tcW w:w="1260" w:type="dxa"/>
          </w:tcPr>
          <w:p w:rsidR="001E7407" w:rsidRPr="002D7C3E" w:rsidRDefault="001E7407" w:rsidP="00EB61BF">
            <w:pPr>
              <w:jc w:val="center"/>
              <w:rPr>
                <w:rFonts w:ascii="Times New Roman" w:eastAsia="Calibri" w:hAnsi="Times New Roman" w:cs="Times New Roman"/>
                <w:b/>
                <w:lang w:val="it-IT"/>
              </w:rPr>
            </w:pPr>
          </w:p>
          <w:p w:rsidR="001E7407" w:rsidRPr="002D7C3E" w:rsidRDefault="001E7407" w:rsidP="00EB61BF">
            <w:pPr>
              <w:jc w:val="center"/>
              <w:rPr>
                <w:rFonts w:ascii="Times New Roman" w:eastAsia="Calibri" w:hAnsi="Times New Roman" w:cs="Times New Roman"/>
                <w:b/>
                <w:lang w:val="it-IT"/>
              </w:rPr>
            </w:pPr>
          </w:p>
          <w:p w:rsidR="001E7407" w:rsidRPr="002D7C3E" w:rsidRDefault="001E7407" w:rsidP="00EB61BF">
            <w:pPr>
              <w:jc w:val="center"/>
              <w:rPr>
                <w:rFonts w:ascii="Times New Roman" w:eastAsia="Calibri" w:hAnsi="Times New Roman" w:cs="Times New Roman"/>
                <w:b/>
                <w:lang w:val="it-IT"/>
              </w:rPr>
            </w:pPr>
            <w:r w:rsidRPr="002D7C3E">
              <w:rPr>
                <w:rFonts w:ascii="Times New Roman" w:eastAsia="Calibri" w:hAnsi="Times New Roman" w:cs="Times New Roman"/>
                <w:b/>
                <w:lang w:val="it-IT"/>
              </w:rPr>
              <w:t>Baseni i Semanit</w:t>
            </w:r>
          </w:p>
        </w:tc>
        <w:tc>
          <w:tcPr>
            <w:tcW w:w="1048" w:type="dxa"/>
          </w:tcPr>
          <w:p w:rsidR="001E7407" w:rsidRPr="002D7C3E" w:rsidRDefault="001E7407" w:rsidP="00EB61BF">
            <w:pPr>
              <w:jc w:val="center"/>
              <w:rPr>
                <w:rFonts w:ascii="Times New Roman" w:eastAsia="Calibri" w:hAnsi="Times New Roman" w:cs="Times New Roman"/>
                <w:b/>
                <w:lang w:val="it-IT"/>
              </w:rPr>
            </w:pPr>
          </w:p>
          <w:p w:rsidR="001E7407" w:rsidRPr="002D7C3E" w:rsidRDefault="001E7407" w:rsidP="00EB61BF">
            <w:pPr>
              <w:jc w:val="center"/>
              <w:rPr>
                <w:rFonts w:ascii="Times New Roman" w:eastAsia="Calibri" w:hAnsi="Times New Roman" w:cs="Times New Roman"/>
                <w:b/>
                <w:lang w:val="it-IT"/>
              </w:rPr>
            </w:pPr>
          </w:p>
          <w:p w:rsidR="001E7407" w:rsidRPr="002D7C3E" w:rsidRDefault="001E7407" w:rsidP="00EB61BF">
            <w:pPr>
              <w:jc w:val="center"/>
              <w:rPr>
                <w:rFonts w:ascii="Times New Roman" w:eastAsia="Calibri" w:hAnsi="Times New Roman" w:cs="Times New Roman"/>
                <w:b/>
                <w:lang w:val="it-IT"/>
              </w:rPr>
            </w:pPr>
            <w:r w:rsidRPr="002D7C3E">
              <w:rPr>
                <w:rFonts w:ascii="Times New Roman" w:eastAsia="Calibri" w:hAnsi="Times New Roman" w:cs="Times New Roman"/>
                <w:b/>
                <w:lang w:val="it-IT"/>
              </w:rPr>
              <w:t>Baseni i Vjosës</w:t>
            </w:r>
          </w:p>
        </w:tc>
        <w:tc>
          <w:tcPr>
            <w:tcW w:w="1202" w:type="dxa"/>
          </w:tcPr>
          <w:p w:rsidR="001E7407" w:rsidRPr="002D7C3E" w:rsidRDefault="001E7407" w:rsidP="00EB61BF">
            <w:pPr>
              <w:jc w:val="center"/>
              <w:rPr>
                <w:rFonts w:ascii="Times New Roman" w:eastAsia="Calibri" w:hAnsi="Times New Roman" w:cs="Times New Roman"/>
                <w:b/>
                <w:lang w:val="it-IT"/>
              </w:rPr>
            </w:pPr>
          </w:p>
          <w:p w:rsidR="001E7407" w:rsidRPr="002D7C3E" w:rsidRDefault="001E7407" w:rsidP="00EB61BF">
            <w:pPr>
              <w:jc w:val="center"/>
              <w:rPr>
                <w:rFonts w:ascii="Times New Roman" w:eastAsia="Calibri" w:hAnsi="Times New Roman" w:cs="Times New Roman"/>
                <w:b/>
                <w:lang w:val="it-IT"/>
              </w:rPr>
            </w:pPr>
          </w:p>
          <w:p w:rsidR="001E7407" w:rsidRPr="002D7C3E" w:rsidRDefault="001E7407" w:rsidP="00EB61BF">
            <w:pPr>
              <w:jc w:val="center"/>
              <w:rPr>
                <w:rFonts w:ascii="Times New Roman" w:eastAsia="Calibri" w:hAnsi="Times New Roman" w:cs="Times New Roman"/>
                <w:b/>
                <w:lang w:val="it-IT"/>
              </w:rPr>
            </w:pPr>
            <w:r w:rsidRPr="002D7C3E">
              <w:rPr>
                <w:rFonts w:ascii="Times New Roman" w:eastAsia="Calibri" w:hAnsi="Times New Roman" w:cs="Times New Roman"/>
                <w:b/>
                <w:lang w:val="it-IT"/>
              </w:rPr>
              <w:t>Baseni i Matit</w:t>
            </w:r>
          </w:p>
        </w:tc>
      </w:tr>
      <w:tr w:rsidR="001E7407" w:rsidRPr="002D7C3E" w:rsidTr="00EB61BF">
        <w:trPr>
          <w:trHeight w:val="248"/>
        </w:trPr>
        <w:tc>
          <w:tcPr>
            <w:tcW w:w="2909" w:type="dxa"/>
          </w:tcPr>
          <w:p w:rsidR="001E7407" w:rsidRPr="002D7C3E" w:rsidRDefault="001E7407" w:rsidP="00EB61BF">
            <w:pPr>
              <w:jc w:val="center"/>
              <w:rPr>
                <w:rFonts w:ascii="Times New Roman" w:eastAsia="Calibri" w:hAnsi="Times New Roman" w:cs="Times New Roman"/>
                <w:lang w:val="it-IT"/>
              </w:rPr>
            </w:pPr>
            <w:r w:rsidRPr="002D7C3E">
              <w:rPr>
                <w:rFonts w:ascii="Times New Roman" w:eastAsia="Calibri" w:hAnsi="Times New Roman" w:cs="Times New Roman"/>
                <w:lang w:val="it-IT"/>
              </w:rPr>
              <w:t>Klasa I – Gjendje e lartë</w:t>
            </w:r>
          </w:p>
        </w:tc>
        <w:tc>
          <w:tcPr>
            <w:tcW w:w="1330" w:type="dxa"/>
          </w:tcPr>
          <w:p w:rsidR="001E7407" w:rsidRPr="002D7C3E" w:rsidRDefault="001E7407" w:rsidP="00EB61BF">
            <w:pPr>
              <w:jc w:val="center"/>
              <w:rPr>
                <w:rFonts w:ascii="Times New Roman" w:eastAsia="Calibri" w:hAnsi="Times New Roman" w:cs="Times New Roman"/>
                <w:lang w:val="it-IT"/>
              </w:rPr>
            </w:pPr>
          </w:p>
        </w:tc>
        <w:tc>
          <w:tcPr>
            <w:tcW w:w="1820" w:type="dxa"/>
          </w:tcPr>
          <w:p w:rsidR="001E7407" w:rsidRPr="002D7C3E" w:rsidRDefault="001E7407" w:rsidP="00EB61BF">
            <w:pPr>
              <w:jc w:val="center"/>
              <w:rPr>
                <w:rFonts w:ascii="Times New Roman" w:eastAsia="Calibri" w:hAnsi="Times New Roman" w:cs="Times New Roman"/>
                <w:lang w:val="it-IT"/>
              </w:rPr>
            </w:pPr>
          </w:p>
        </w:tc>
        <w:tc>
          <w:tcPr>
            <w:tcW w:w="1710" w:type="dxa"/>
          </w:tcPr>
          <w:p w:rsidR="001E7407" w:rsidRPr="002D7C3E" w:rsidRDefault="001E7407" w:rsidP="00EB61BF">
            <w:pPr>
              <w:jc w:val="center"/>
              <w:rPr>
                <w:rFonts w:ascii="Times New Roman" w:eastAsia="Calibri" w:hAnsi="Times New Roman" w:cs="Times New Roman"/>
                <w:lang w:val="it-IT"/>
              </w:rPr>
            </w:pPr>
          </w:p>
        </w:tc>
        <w:tc>
          <w:tcPr>
            <w:tcW w:w="1260" w:type="dxa"/>
          </w:tcPr>
          <w:p w:rsidR="001E7407" w:rsidRPr="002D7C3E" w:rsidRDefault="001E7407" w:rsidP="00EB61BF">
            <w:pPr>
              <w:jc w:val="center"/>
              <w:rPr>
                <w:rFonts w:ascii="Times New Roman" w:eastAsia="Calibri" w:hAnsi="Times New Roman" w:cs="Times New Roman"/>
                <w:lang w:val="it-IT"/>
              </w:rPr>
            </w:pPr>
          </w:p>
        </w:tc>
        <w:tc>
          <w:tcPr>
            <w:tcW w:w="1048" w:type="dxa"/>
          </w:tcPr>
          <w:p w:rsidR="001E7407" w:rsidRPr="002D7C3E" w:rsidRDefault="001E7407" w:rsidP="00EB61BF">
            <w:pPr>
              <w:jc w:val="center"/>
              <w:rPr>
                <w:rFonts w:ascii="Times New Roman" w:eastAsia="Calibri" w:hAnsi="Times New Roman" w:cs="Times New Roman"/>
                <w:lang w:val="it-IT"/>
              </w:rPr>
            </w:pPr>
          </w:p>
        </w:tc>
        <w:tc>
          <w:tcPr>
            <w:tcW w:w="1202" w:type="dxa"/>
          </w:tcPr>
          <w:p w:rsidR="001E7407" w:rsidRPr="002D7C3E" w:rsidRDefault="001E7407" w:rsidP="00EB61BF">
            <w:pPr>
              <w:jc w:val="center"/>
              <w:rPr>
                <w:rFonts w:ascii="Times New Roman" w:eastAsia="Calibri" w:hAnsi="Times New Roman" w:cs="Times New Roman"/>
                <w:lang w:val="it-IT"/>
              </w:rPr>
            </w:pPr>
          </w:p>
        </w:tc>
      </w:tr>
      <w:tr w:rsidR="001E7407" w:rsidRPr="002D7C3E" w:rsidTr="00EB61BF">
        <w:trPr>
          <w:trHeight w:val="237"/>
        </w:trPr>
        <w:tc>
          <w:tcPr>
            <w:tcW w:w="2909" w:type="dxa"/>
          </w:tcPr>
          <w:p w:rsidR="001E7407" w:rsidRPr="002D7C3E" w:rsidRDefault="001E7407" w:rsidP="00EB61BF">
            <w:pPr>
              <w:jc w:val="center"/>
              <w:rPr>
                <w:rFonts w:ascii="Times New Roman" w:eastAsia="Calibri" w:hAnsi="Times New Roman" w:cs="Times New Roman"/>
                <w:lang w:val="it-IT"/>
              </w:rPr>
            </w:pPr>
            <w:r w:rsidRPr="002D7C3E">
              <w:rPr>
                <w:rFonts w:ascii="Times New Roman" w:eastAsia="Calibri" w:hAnsi="Times New Roman" w:cs="Times New Roman"/>
                <w:lang w:val="it-IT"/>
              </w:rPr>
              <w:t>Klasa II – Gjendje e mirë</w:t>
            </w:r>
          </w:p>
        </w:tc>
        <w:tc>
          <w:tcPr>
            <w:tcW w:w="1330" w:type="dxa"/>
          </w:tcPr>
          <w:p w:rsidR="001E7407" w:rsidRPr="002D7C3E" w:rsidRDefault="001E7407" w:rsidP="00EB61BF">
            <w:pPr>
              <w:jc w:val="center"/>
              <w:rPr>
                <w:rFonts w:ascii="Times New Roman" w:eastAsia="Calibri" w:hAnsi="Times New Roman" w:cs="Times New Roman"/>
                <w:lang w:val="it-IT"/>
              </w:rPr>
            </w:pPr>
          </w:p>
        </w:tc>
        <w:tc>
          <w:tcPr>
            <w:tcW w:w="1820" w:type="dxa"/>
          </w:tcPr>
          <w:p w:rsidR="001E7407" w:rsidRPr="002D7C3E" w:rsidRDefault="001E7407" w:rsidP="00EB61BF">
            <w:pPr>
              <w:jc w:val="center"/>
              <w:rPr>
                <w:rFonts w:ascii="Times New Roman" w:eastAsia="Calibri" w:hAnsi="Times New Roman" w:cs="Times New Roman"/>
                <w:lang w:val="it-IT"/>
              </w:rPr>
            </w:pPr>
          </w:p>
        </w:tc>
        <w:tc>
          <w:tcPr>
            <w:tcW w:w="1710" w:type="dxa"/>
          </w:tcPr>
          <w:p w:rsidR="001E7407" w:rsidRPr="002D7C3E" w:rsidRDefault="001E7407" w:rsidP="00EB61BF">
            <w:pPr>
              <w:jc w:val="center"/>
              <w:rPr>
                <w:rFonts w:ascii="Times New Roman" w:eastAsia="Calibri" w:hAnsi="Times New Roman" w:cs="Times New Roman"/>
                <w:lang w:val="it-IT"/>
              </w:rPr>
            </w:pPr>
          </w:p>
        </w:tc>
        <w:tc>
          <w:tcPr>
            <w:tcW w:w="1260" w:type="dxa"/>
          </w:tcPr>
          <w:p w:rsidR="001E7407" w:rsidRPr="002D7C3E" w:rsidRDefault="001E7407" w:rsidP="00EB61BF">
            <w:pPr>
              <w:jc w:val="center"/>
              <w:rPr>
                <w:rFonts w:ascii="Times New Roman" w:eastAsia="Calibri" w:hAnsi="Times New Roman" w:cs="Times New Roman"/>
                <w:lang w:val="it-IT"/>
              </w:rPr>
            </w:pPr>
          </w:p>
        </w:tc>
        <w:tc>
          <w:tcPr>
            <w:tcW w:w="1048" w:type="dxa"/>
          </w:tcPr>
          <w:p w:rsidR="001E7407" w:rsidRPr="002D7C3E" w:rsidRDefault="001E7407" w:rsidP="00EB61BF">
            <w:pPr>
              <w:jc w:val="center"/>
              <w:rPr>
                <w:rFonts w:ascii="Times New Roman" w:eastAsia="Calibri" w:hAnsi="Times New Roman" w:cs="Times New Roman"/>
                <w:lang w:val="it-IT"/>
              </w:rPr>
            </w:pPr>
            <w:r w:rsidRPr="002D7C3E">
              <w:rPr>
                <w:rFonts w:ascii="Times New Roman" w:eastAsia="Calibri" w:hAnsi="Times New Roman" w:cs="Times New Roman"/>
                <w:lang w:val="it-IT"/>
              </w:rPr>
              <w:t>II</w:t>
            </w:r>
          </w:p>
        </w:tc>
        <w:tc>
          <w:tcPr>
            <w:tcW w:w="1202" w:type="dxa"/>
          </w:tcPr>
          <w:p w:rsidR="001E7407" w:rsidRPr="002D7C3E" w:rsidRDefault="001E7407" w:rsidP="00EB61BF">
            <w:pPr>
              <w:jc w:val="center"/>
              <w:rPr>
                <w:rFonts w:ascii="Times New Roman" w:eastAsia="Calibri" w:hAnsi="Times New Roman" w:cs="Times New Roman"/>
                <w:lang w:val="it-IT"/>
              </w:rPr>
            </w:pPr>
            <w:r w:rsidRPr="002D7C3E">
              <w:rPr>
                <w:rFonts w:ascii="Times New Roman" w:eastAsia="Calibri" w:hAnsi="Times New Roman" w:cs="Times New Roman"/>
                <w:lang w:val="it-IT"/>
              </w:rPr>
              <w:t>II</w:t>
            </w:r>
          </w:p>
        </w:tc>
      </w:tr>
      <w:tr w:rsidR="001E7407" w:rsidRPr="002D7C3E" w:rsidTr="00EB61BF">
        <w:trPr>
          <w:trHeight w:val="496"/>
        </w:trPr>
        <w:tc>
          <w:tcPr>
            <w:tcW w:w="2909" w:type="dxa"/>
          </w:tcPr>
          <w:p w:rsidR="001E7407" w:rsidRPr="002D7C3E" w:rsidRDefault="001E7407" w:rsidP="00EB61BF">
            <w:pPr>
              <w:jc w:val="center"/>
              <w:rPr>
                <w:rFonts w:ascii="Times New Roman" w:eastAsia="Calibri" w:hAnsi="Times New Roman" w:cs="Times New Roman"/>
                <w:lang w:val="it-IT"/>
              </w:rPr>
            </w:pPr>
            <w:r w:rsidRPr="002D7C3E">
              <w:rPr>
                <w:rFonts w:ascii="Times New Roman" w:eastAsia="Calibri" w:hAnsi="Times New Roman" w:cs="Times New Roman"/>
                <w:lang w:val="it-IT"/>
              </w:rPr>
              <w:t>Klasa III – Gjendje e moderuar</w:t>
            </w:r>
          </w:p>
        </w:tc>
        <w:tc>
          <w:tcPr>
            <w:tcW w:w="1330" w:type="dxa"/>
          </w:tcPr>
          <w:p w:rsidR="001E7407" w:rsidRPr="002D7C3E" w:rsidRDefault="001E7407" w:rsidP="00EB61BF">
            <w:pPr>
              <w:jc w:val="center"/>
              <w:rPr>
                <w:rFonts w:ascii="Times New Roman" w:eastAsia="Calibri" w:hAnsi="Times New Roman" w:cs="Times New Roman"/>
                <w:lang w:val="it-IT"/>
              </w:rPr>
            </w:pPr>
            <w:r w:rsidRPr="002D7C3E">
              <w:rPr>
                <w:rFonts w:ascii="Times New Roman" w:eastAsia="Calibri" w:hAnsi="Times New Roman" w:cs="Times New Roman"/>
                <w:lang w:val="it-IT"/>
              </w:rPr>
              <w:t>III</w:t>
            </w:r>
          </w:p>
        </w:tc>
        <w:tc>
          <w:tcPr>
            <w:tcW w:w="1820" w:type="dxa"/>
          </w:tcPr>
          <w:p w:rsidR="001E7407" w:rsidRPr="002D7C3E" w:rsidRDefault="001E7407" w:rsidP="00EB61BF">
            <w:pPr>
              <w:jc w:val="center"/>
              <w:rPr>
                <w:rFonts w:ascii="Times New Roman" w:eastAsia="Calibri" w:hAnsi="Times New Roman" w:cs="Times New Roman"/>
                <w:lang w:val="it-IT"/>
              </w:rPr>
            </w:pPr>
          </w:p>
        </w:tc>
        <w:tc>
          <w:tcPr>
            <w:tcW w:w="1710" w:type="dxa"/>
          </w:tcPr>
          <w:p w:rsidR="001E7407" w:rsidRPr="002D7C3E" w:rsidRDefault="001E7407" w:rsidP="00EB61BF">
            <w:pPr>
              <w:jc w:val="center"/>
              <w:rPr>
                <w:rFonts w:ascii="Times New Roman" w:eastAsia="Calibri" w:hAnsi="Times New Roman" w:cs="Times New Roman"/>
                <w:lang w:val="it-IT"/>
              </w:rPr>
            </w:pPr>
            <w:r w:rsidRPr="002D7C3E">
              <w:rPr>
                <w:rFonts w:ascii="Times New Roman" w:eastAsia="Calibri" w:hAnsi="Times New Roman" w:cs="Times New Roman"/>
                <w:lang w:val="it-IT"/>
              </w:rPr>
              <w:t>III</w:t>
            </w:r>
          </w:p>
        </w:tc>
        <w:tc>
          <w:tcPr>
            <w:tcW w:w="1260" w:type="dxa"/>
          </w:tcPr>
          <w:p w:rsidR="001E7407" w:rsidRPr="002D7C3E" w:rsidRDefault="001E7407" w:rsidP="00EB61BF">
            <w:pPr>
              <w:jc w:val="center"/>
              <w:rPr>
                <w:rFonts w:ascii="Times New Roman" w:eastAsia="Calibri" w:hAnsi="Times New Roman" w:cs="Times New Roman"/>
                <w:lang w:val="it-IT"/>
              </w:rPr>
            </w:pPr>
          </w:p>
        </w:tc>
        <w:tc>
          <w:tcPr>
            <w:tcW w:w="1048" w:type="dxa"/>
          </w:tcPr>
          <w:p w:rsidR="001E7407" w:rsidRPr="002D7C3E" w:rsidRDefault="001E7407" w:rsidP="00EB61BF">
            <w:pPr>
              <w:jc w:val="center"/>
              <w:rPr>
                <w:rFonts w:ascii="Times New Roman" w:eastAsia="Calibri" w:hAnsi="Times New Roman" w:cs="Times New Roman"/>
                <w:lang w:val="it-IT"/>
              </w:rPr>
            </w:pPr>
          </w:p>
        </w:tc>
        <w:tc>
          <w:tcPr>
            <w:tcW w:w="1202" w:type="dxa"/>
          </w:tcPr>
          <w:p w:rsidR="001E7407" w:rsidRPr="002D7C3E" w:rsidRDefault="001E7407" w:rsidP="00EB61BF">
            <w:pPr>
              <w:jc w:val="center"/>
              <w:rPr>
                <w:rFonts w:ascii="Times New Roman" w:eastAsia="Calibri" w:hAnsi="Times New Roman" w:cs="Times New Roman"/>
                <w:lang w:val="it-IT"/>
              </w:rPr>
            </w:pPr>
          </w:p>
        </w:tc>
      </w:tr>
      <w:tr w:rsidR="001E7407" w:rsidRPr="002D7C3E" w:rsidTr="00EB61BF">
        <w:trPr>
          <w:trHeight w:val="248"/>
        </w:trPr>
        <w:tc>
          <w:tcPr>
            <w:tcW w:w="2909" w:type="dxa"/>
          </w:tcPr>
          <w:p w:rsidR="001E7407" w:rsidRPr="002D7C3E" w:rsidRDefault="001E7407" w:rsidP="00EB61BF">
            <w:pPr>
              <w:jc w:val="center"/>
              <w:rPr>
                <w:rFonts w:ascii="Times New Roman" w:eastAsia="Calibri" w:hAnsi="Times New Roman" w:cs="Times New Roman"/>
                <w:lang w:val="it-IT"/>
              </w:rPr>
            </w:pPr>
            <w:r w:rsidRPr="002D7C3E">
              <w:rPr>
                <w:rFonts w:ascii="Times New Roman" w:eastAsia="Calibri" w:hAnsi="Times New Roman" w:cs="Times New Roman"/>
                <w:lang w:val="it-IT"/>
              </w:rPr>
              <w:t>Klasa IV – Gjendje e varfër</w:t>
            </w:r>
          </w:p>
        </w:tc>
        <w:tc>
          <w:tcPr>
            <w:tcW w:w="1330" w:type="dxa"/>
          </w:tcPr>
          <w:p w:rsidR="001E7407" w:rsidRPr="002D7C3E" w:rsidRDefault="001E7407" w:rsidP="00EB61BF">
            <w:pPr>
              <w:jc w:val="center"/>
              <w:rPr>
                <w:rFonts w:ascii="Times New Roman" w:eastAsia="Calibri" w:hAnsi="Times New Roman" w:cs="Times New Roman"/>
                <w:lang w:val="it-IT"/>
              </w:rPr>
            </w:pPr>
          </w:p>
        </w:tc>
        <w:tc>
          <w:tcPr>
            <w:tcW w:w="1820" w:type="dxa"/>
          </w:tcPr>
          <w:p w:rsidR="001E7407" w:rsidRPr="002D7C3E" w:rsidRDefault="001E7407" w:rsidP="00EB61BF">
            <w:pPr>
              <w:jc w:val="center"/>
              <w:rPr>
                <w:rFonts w:ascii="Times New Roman" w:eastAsia="Calibri" w:hAnsi="Times New Roman" w:cs="Times New Roman"/>
                <w:lang w:val="it-IT"/>
              </w:rPr>
            </w:pPr>
          </w:p>
        </w:tc>
        <w:tc>
          <w:tcPr>
            <w:tcW w:w="1710" w:type="dxa"/>
          </w:tcPr>
          <w:p w:rsidR="001E7407" w:rsidRPr="002D7C3E" w:rsidRDefault="001E7407" w:rsidP="00EB61BF">
            <w:pPr>
              <w:jc w:val="center"/>
              <w:rPr>
                <w:rFonts w:ascii="Times New Roman" w:eastAsia="Calibri" w:hAnsi="Times New Roman" w:cs="Times New Roman"/>
                <w:lang w:val="it-IT"/>
              </w:rPr>
            </w:pPr>
          </w:p>
        </w:tc>
        <w:tc>
          <w:tcPr>
            <w:tcW w:w="1260" w:type="dxa"/>
          </w:tcPr>
          <w:p w:rsidR="001E7407" w:rsidRPr="002D7C3E" w:rsidRDefault="001E7407" w:rsidP="00EB61BF">
            <w:pPr>
              <w:jc w:val="center"/>
              <w:rPr>
                <w:rFonts w:ascii="Times New Roman" w:eastAsia="Calibri" w:hAnsi="Times New Roman" w:cs="Times New Roman"/>
                <w:lang w:val="it-IT"/>
              </w:rPr>
            </w:pPr>
          </w:p>
        </w:tc>
        <w:tc>
          <w:tcPr>
            <w:tcW w:w="1048" w:type="dxa"/>
          </w:tcPr>
          <w:p w:rsidR="001E7407" w:rsidRPr="002D7C3E" w:rsidRDefault="001E7407" w:rsidP="00EB61BF">
            <w:pPr>
              <w:jc w:val="center"/>
              <w:rPr>
                <w:rFonts w:ascii="Times New Roman" w:eastAsia="Calibri" w:hAnsi="Times New Roman" w:cs="Times New Roman"/>
                <w:lang w:val="it-IT"/>
              </w:rPr>
            </w:pPr>
          </w:p>
        </w:tc>
        <w:tc>
          <w:tcPr>
            <w:tcW w:w="1202" w:type="dxa"/>
          </w:tcPr>
          <w:p w:rsidR="001E7407" w:rsidRPr="002D7C3E" w:rsidRDefault="001E7407" w:rsidP="00EB61BF">
            <w:pPr>
              <w:jc w:val="center"/>
              <w:rPr>
                <w:rFonts w:ascii="Times New Roman" w:eastAsia="Calibri" w:hAnsi="Times New Roman" w:cs="Times New Roman"/>
                <w:lang w:val="it-IT"/>
              </w:rPr>
            </w:pPr>
          </w:p>
        </w:tc>
      </w:tr>
      <w:tr w:rsidR="001E7407" w:rsidRPr="002D7C3E" w:rsidTr="00EB61BF">
        <w:trPr>
          <w:trHeight w:val="259"/>
        </w:trPr>
        <w:tc>
          <w:tcPr>
            <w:tcW w:w="2909" w:type="dxa"/>
          </w:tcPr>
          <w:p w:rsidR="001E7407" w:rsidRPr="002D7C3E" w:rsidRDefault="001E7407" w:rsidP="00EB61BF">
            <w:pPr>
              <w:jc w:val="center"/>
              <w:rPr>
                <w:rFonts w:ascii="Times New Roman" w:eastAsia="Calibri" w:hAnsi="Times New Roman" w:cs="Times New Roman"/>
                <w:lang w:val="it-IT"/>
              </w:rPr>
            </w:pPr>
            <w:r w:rsidRPr="002D7C3E">
              <w:rPr>
                <w:rFonts w:ascii="Times New Roman" w:eastAsia="Calibri" w:hAnsi="Times New Roman" w:cs="Times New Roman"/>
                <w:lang w:val="it-IT"/>
              </w:rPr>
              <w:t>Klasa V – Gjendje e keqe</w:t>
            </w:r>
          </w:p>
        </w:tc>
        <w:tc>
          <w:tcPr>
            <w:tcW w:w="1330" w:type="dxa"/>
          </w:tcPr>
          <w:p w:rsidR="001E7407" w:rsidRPr="002D7C3E" w:rsidRDefault="001E7407" w:rsidP="00EB61BF">
            <w:pPr>
              <w:jc w:val="center"/>
              <w:rPr>
                <w:rFonts w:ascii="Times New Roman" w:eastAsia="Calibri" w:hAnsi="Times New Roman" w:cs="Times New Roman"/>
                <w:lang w:val="it-IT"/>
              </w:rPr>
            </w:pPr>
          </w:p>
        </w:tc>
        <w:tc>
          <w:tcPr>
            <w:tcW w:w="1820" w:type="dxa"/>
          </w:tcPr>
          <w:p w:rsidR="001E7407" w:rsidRPr="002D7C3E" w:rsidRDefault="001E7407" w:rsidP="00EB61BF">
            <w:pPr>
              <w:jc w:val="center"/>
              <w:rPr>
                <w:rFonts w:ascii="Times New Roman" w:eastAsia="Calibri" w:hAnsi="Times New Roman" w:cs="Times New Roman"/>
                <w:lang w:val="it-IT"/>
              </w:rPr>
            </w:pPr>
            <w:r w:rsidRPr="002D7C3E">
              <w:rPr>
                <w:rFonts w:ascii="Times New Roman" w:eastAsia="Calibri" w:hAnsi="Times New Roman" w:cs="Times New Roman"/>
                <w:lang w:val="it-IT"/>
              </w:rPr>
              <w:t>V</w:t>
            </w:r>
          </w:p>
        </w:tc>
        <w:tc>
          <w:tcPr>
            <w:tcW w:w="1710" w:type="dxa"/>
          </w:tcPr>
          <w:p w:rsidR="001E7407" w:rsidRPr="002D7C3E" w:rsidRDefault="001E7407" w:rsidP="00EB61BF">
            <w:pPr>
              <w:jc w:val="center"/>
              <w:rPr>
                <w:rFonts w:ascii="Times New Roman" w:eastAsia="Calibri" w:hAnsi="Times New Roman" w:cs="Times New Roman"/>
                <w:lang w:val="it-IT"/>
              </w:rPr>
            </w:pPr>
          </w:p>
        </w:tc>
        <w:tc>
          <w:tcPr>
            <w:tcW w:w="1260" w:type="dxa"/>
          </w:tcPr>
          <w:p w:rsidR="001E7407" w:rsidRPr="002D7C3E" w:rsidRDefault="001E7407" w:rsidP="00EB61BF">
            <w:pPr>
              <w:jc w:val="center"/>
              <w:rPr>
                <w:rFonts w:ascii="Times New Roman" w:eastAsia="Calibri" w:hAnsi="Times New Roman" w:cs="Times New Roman"/>
                <w:lang w:val="it-IT"/>
              </w:rPr>
            </w:pPr>
            <w:r w:rsidRPr="002D7C3E">
              <w:rPr>
                <w:rFonts w:ascii="Times New Roman" w:eastAsia="Calibri" w:hAnsi="Times New Roman" w:cs="Times New Roman"/>
                <w:lang w:val="it-IT"/>
              </w:rPr>
              <w:t>V</w:t>
            </w:r>
          </w:p>
        </w:tc>
        <w:tc>
          <w:tcPr>
            <w:tcW w:w="1048" w:type="dxa"/>
          </w:tcPr>
          <w:p w:rsidR="001E7407" w:rsidRPr="002D7C3E" w:rsidRDefault="001E7407" w:rsidP="00EB61BF">
            <w:pPr>
              <w:jc w:val="center"/>
              <w:rPr>
                <w:rFonts w:ascii="Times New Roman" w:eastAsia="Calibri" w:hAnsi="Times New Roman" w:cs="Times New Roman"/>
                <w:lang w:val="it-IT"/>
              </w:rPr>
            </w:pPr>
          </w:p>
        </w:tc>
        <w:tc>
          <w:tcPr>
            <w:tcW w:w="1202" w:type="dxa"/>
          </w:tcPr>
          <w:p w:rsidR="001E7407" w:rsidRPr="002D7C3E" w:rsidRDefault="001E7407" w:rsidP="00EB61BF">
            <w:pPr>
              <w:jc w:val="center"/>
              <w:rPr>
                <w:rFonts w:ascii="Times New Roman" w:eastAsia="Calibri" w:hAnsi="Times New Roman" w:cs="Times New Roman"/>
                <w:lang w:val="it-IT"/>
              </w:rPr>
            </w:pPr>
          </w:p>
        </w:tc>
      </w:tr>
      <w:bookmarkEnd w:id="5"/>
    </w:tbl>
    <w:p w:rsidR="001E7407" w:rsidRDefault="001E7407" w:rsidP="001E7407">
      <w:pPr>
        <w:spacing w:after="200" w:line="276" w:lineRule="auto"/>
        <w:rPr>
          <w:rFonts w:ascii="Times New Roman" w:eastAsia="Calibri" w:hAnsi="Times New Roman" w:cs="Times New Roman"/>
          <w:b/>
          <w:sz w:val="24"/>
          <w:szCs w:val="24"/>
          <w:lang w:val="sq-AL"/>
        </w:rPr>
      </w:pPr>
    </w:p>
    <w:p w:rsidR="00465EBF" w:rsidRPr="00115DD2" w:rsidRDefault="00465EBF" w:rsidP="00465EBF">
      <w:pPr>
        <w:spacing w:after="0" w:line="240" w:lineRule="auto"/>
        <w:jc w:val="both"/>
        <w:rPr>
          <w:rFonts w:ascii="Times New Roman" w:eastAsia="Calibri" w:hAnsi="Times New Roman" w:cs="Times New Roman"/>
          <w:sz w:val="24"/>
          <w:szCs w:val="24"/>
          <w:lang w:val="sq-AL"/>
        </w:rPr>
      </w:pPr>
      <w:r w:rsidRPr="00465EBF">
        <w:rPr>
          <w:rFonts w:ascii="Times New Roman" w:eastAsia="Calibri" w:hAnsi="Times New Roman" w:cs="Times New Roman"/>
          <w:sz w:val="24"/>
          <w:szCs w:val="24"/>
          <w:lang w:val="sq-AL"/>
        </w:rPr>
        <w:t>Referuar t</w:t>
      </w:r>
      <w:r w:rsidR="001E7407" w:rsidRPr="00465EBF">
        <w:rPr>
          <w:rFonts w:ascii="Times New Roman" w:eastAsia="Calibri" w:hAnsi="Times New Roman" w:cs="Times New Roman"/>
          <w:sz w:val="24"/>
          <w:szCs w:val="24"/>
          <w:lang w:val="sq-AL"/>
        </w:rPr>
        <w:t>endenc</w:t>
      </w:r>
      <w:r w:rsidRPr="00465EBF">
        <w:rPr>
          <w:rFonts w:ascii="Times New Roman" w:eastAsia="Calibri" w:hAnsi="Times New Roman" w:cs="Times New Roman"/>
          <w:sz w:val="24"/>
          <w:szCs w:val="24"/>
          <w:lang w:val="sq-AL"/>
        </w:rPr>
        <w:t xml:space="preserve">ës </w:t>
      </w:r>
      <w:r w:rsidR="001E7407" w:rsidRPr="00465EBF">
        <w:rPr>
          <w:rFonts w:ascii="Times New Roman" w:eastAsia="Calibri" w:hAnsi="Times New Roman" w:cs="Times New Roman"/>
          <w:sz w:val="24"/>
          <w:szCs w:val="24"/>
          <w:lang w:val="sq-AL"/>
        </w:rPr>
        <w:t xml:space="preserve"> në vite</w:t>
      </w:r>
      <w:r w:rsidRPr="00465EBF">
        <w:rPr>
          <w:rFonts w:ascii="Times New Roman" w:eastAsia="Calibri" w:hAnsi="Times New Roman" w:cs="Times New Roman"/>
          <w:sz w:val="24"/>
          <w:szCs w:val="24"/>
          <w:lang w:val="sq-AL"/>
        </w:rPr>
        <w:t xml:space="preserve"> të cilësisë të basenese lumore, </w:t>
      </w:r>
      <w:r>
        <w:rPr>
          <w:rFonts w:ascii="Times New Roman" w:eastAsia="Calibri" w:hAnsi="Times New Roman" w:cs="Times New Roman"/>
          <w:sz w:val="24"/>
          <w:szCs w:val="24"/>
          <w:lang w:val="sq-AL"/>
        </w:rPr>
        <w:t>v</w:t>
      </w:r>
      <w:r w:rsidRPr="00115DD2">
        <w:rPr>
          <w:rFonts w:ascii="Times New Roman" w:eastAsia="Calibri" w:hAnsi="Times New Roman" w:cs="Times New Roman"/>
          <w:sz w:val="24"/>
          <w:szCs w:val="24"/>
          <w:lang w:val="sq-AL"/>
        </w:rPr>
        <w:t>ërehet përkeqësim i cilësisë të ujërave të basenit Shkumbin duke kaluar nga Kl II- gjendje e mirë në Kl III- Gj</w:t>
      </w:r>
      <w:r>
        <w:rPr>
          <w:rFonts w:ascii="Times New Roman" w:eastAsia="Calibri" w:hAnsi="Times New Roman" w:cs="Times New Roman"/>
          <w:sz w:val="24"/>
          <w:szCs w:val="24"/>
          <w:lang w:val="sq-AL"/>
        </w:rPr>
        <w:t>endje e moderuar. Po ashtu kemi</w:t>
      </w:r>
      <w:r w:rsidRPr="00115DD2">
        <w:rPr>
          <w:rFonts w:ascii="Times New Roman" w:eastAsia="Calibri" w:hAnsi="Times New Roman" w:cs="Times New Roman"/>
          <w:sz w:val="24"/>
          <w:szCs w:val="24"/>
          <w:lang w:val="sq-AL"/>
        </w:rPr>
        <w:t xml:space="preserve"> përkeqësim edhe në basenin Seman krahasuar me vitit 2024, duke nga KL IV-Gjendje e varfër në gjendje e keqe KL V- Gjendje e e keqe.</w:t>
      </w:r>
    </w:p>
    <w:p w:rsidR="001E7407" w:rsidRPr="00465EBF" w:rsidRDefault="001E7407" w:rsidP="001E7407">
      <w:pPr>
        <w:spacing w:after="200" w:line="276" w:lineRule="auto"/>
        <w:rPr>
          <w:rFonts w:ascii="Times New Roman" w:eastAsia="Calibri" w:hAnsi="Times New Roman" w:cs="Times New Roman"/>
          <w:sz w:val="24"/>
          <w:szCs w:val="24"/>
          <w:lang w:val="sq-AL"/>
        </w:rPr>
      </w:pPr>
    </w:p>
    <w:tbl>
      <w:tblPr>
        <w:tblW w:w="9450" w:type="dxa"/>
        <w:tblInd w:w="-5" w:type="dxa"/>
        <w:tblLook w:val="04A0" w:firstRow="1" w:lastRow="0" w:firstColumn="1" w:lastColumn="0" w:noHBand="0" w:noVBand="1"/>
      </w:tblPr>
      <w:tblGrid>
        <w:gridCol w:w="1039"/>
        <w:gridCol w:w="1481"/>
        <w:gridCol w:w="1620"/>
        <w:gridCol w:w="1530"/>
        <w:gridCol w:w="1260"/>
        <w:gridCol w:w="1260"/>
        <w:gridCol w:w="1260"/>
      </w:tblGrid>
      <w:tr w:rsidR="00C55FD0" w:rsidTr="00C55FD0">
        <w:trPr>
          <w:trHeight w:val="434"/>
        </w:trPr>
        <w:tc>
          <w:tcPr>
            <w:tcW w:w="1039" w:type="dxa"/>
            <w:tcBorders>
              <w:top w:val="single" w:sz="4" w:space="0" w:color="auto"/>
              <w:left w:val="single" w:sz="4" w:space="0" w:color="auto"/>
              <w:bottom w:val="single" w:sz="4" w:space="0" w:color="auto"/>
              <w:right w:val="single" w:sz="4" w:space="0" w:color="auto"/>
            </w:tcBorders>
            <w:noWrap/>
            <w:vAlign w:val="bottom"/>
            <w:hideMark/>
          </w:tcPr>
          <w:p w:rsidR="00C55FD0" w:rsidRDefault="00C55FD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Viti </w:t>
            </w:r>
          </w:p>
        </w:tc>
        <w:tc>
          <w:tcPr>
            <w:tcW w:w="1481" w:type="dxa"/>
            <w:tcBorders>
              <w:top w:val="single" w:sz="4" w:space="0" w:color="auto"/>
              <w:left w:val="nil"/>
              <w:bottom w:val="single" w:sz="4" w:space="0" w:color="auto"/>
              <w:right w:val="single" w:sz="4" w:space="0" w:color="auto"/>
            </w:tcBorders>
            <w:noWrap/>
            <w:vAlign w:val="bottom"/>
            <w:hideMark/>
          </w:tcPr>
          <w:p w:rsidR="00C55FD0" w:rsidRDefault="00C55FD0">
            <w:pPr>
              <w:spacing w:after="0" w:line="240" w:lineRule="auto"/>
              <w:rPr>
                <w:rFonts w:ascii="Times New Roman" w:eastAsia="Times New Roman" w:hAnsi="Times New Roman" w:cs="Times New Roman"/>
                <w:b/>
                <w:color w:val="000000"/>
                <w:sz w:val="24"/>
                <w:szCs w:val="24"/>
                <w:lang w:val="it-IT"/>
              </w:rPr>
            </w:pPr>
            <w:r>
              <w:rPr>
                <w:rFonts w:ascii="Times New Roman" w:eastAsia="Times New Roman" w:hAnsi="Times New Roman" w:cs="Times New Roman"/>
                <w:b/>
                <w:color w:val="000000"/>
                <w:sz w:val="24"/>
                <w:szCs w:val="24"/>
                <w:lang w:val="it-IT"/>
              </w:rPr>
              <w:t xml:space="preserve">Baseni  </w:t>
            </w:r>
          </w:p>
          <w:p w:rsidR="00C55FD0" w:rsidRDefault="00C55FD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it-IT"/>
              </w:rPr>
              <w:t>Drini-Bunë</w:t>
            </w:r>
          </w:p>
        </w:tc>
        <w:tc>
          <w:tcPr>
            <w:tcW w:w="1620" w:type="dxa"/>
            <w:tcBorders>
              <w:top w:val="single" w:sz="4" w:space="0" w:color="auto"/>
              <w:left w:val="nil"/>
              <w:bottom w:val="single" w:sz="4" w:space="0" w:color="auto"/>
              <w:right w:val="single" w:sz="4" w:space="0" w:color="auto"/>
            </w:tcBorders>
            <w:noWrap/>
            <w:vAlign w:val="bottom"/>
            <w:hideMark/>
          </w:tcPr>
          <w:p w:rsidR="00C55FD0" w:rsidRDefault="00C55FD0">
            <w:pPr>
              <w:spacing w:after="0" w:line="240" w:lineRule="auto"/>
              <w:rPr>
                <w:rFonts w:ascii="Times New Roman" w:eastAsia="Times New Roman" w:hAnsi="Times New Roman" w:cs="Times New Roman"/>
                <w:b/>
                <w:color w:val="000000"/>
                <w:sz w:val="24"/>
                <w:szCs w:val="24"/>
                <w:lang w:val="it-IT"/>
              </w:rPr>
            </w:pPr>
            <w:r>
              <w:rPr>
                <w:rFonts w:ascii="Times New Roman" w:eastAsia="Times New Roman" w:hAnsi="Times New Roman" w:cs="Times New Roman"/>
                <w:b/>
                <w:color w:val="000000"/>
                <w:sz w:val="24"/>
                <w:szCs w:val="24"/>
                <w:lang w:val="it-IT"/>
              </w:rPr>
              <w:t xml:space="preserve">Baseni </w:t>
            </w:r>
          </w:p>
          <w:p w:rsidR="00C55FD0" w:rsidRDefault="00C55FD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it-IT"/>
              </w:rPr>
              <w:t>Ishëm- Erzen</w:t>
            </w:r>
          </w:p>
        </w:tc>
        <w:tc>
          <w:tcPr>
            <w:tcW w:w="1530" w:type="dxa"/>
            <w:tcBorders>
              <w:top w:val="single" w:sz="4" w:space="0" w:color="auto"/>
              <w:left w:val="nil"/>
              <w:bottom w:val="single" w:sz="4" w:space="0" w:color="auto"/>
              <w:right w:val="single" w:sz="4" w:space="0" w:color="auto"/>
            </w:tcBorders>
            <w:noWrap/>
            <w:vAlign w:val="bottom"/>
            <w:hideMark/>
          </w:tcPr>
          <w:p w:rsidR="00C55FD0" w:rsidRDefault="00C55FD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it-IT"/>
              </w:rPr>
              <w:t>Baseni i Shkumbinit</w:t>
            </w:r>
          </w:p>
        </w:tc>
        <w:tc>
          <w:tcPr>
            <w:tcW w:w="1260" w:type="dxa"/>
            <w:tcBorders>
              <w:top w:val="single" w:sz="4" w:space="0" w:color="auto"/>
              <w:left w:val="nil"/>
              <w:bottom w:val="single" w:sz="4" w:space="0" w:color="auto"/>
              <w:right w:val="single" w:sz="4" w:space="0" w:color="auto"/>
            </w:tcBorders>
            <w:noWrap/>
            <w:vAlign w:val="bottom"/>
            <w:hideMark/>
          </w:tcPr>
          <w:p w:rsidR="00C55FD0" w:rsidRDefault="00C55FD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it-IT"/>
              </w:rPr>
              <w:t>Baseni i Semanit</w:t>
            </w:r>
          </w:p>
        </w:tc>
        <w:tc>
          <w:tcPr>
            <w:tcW w:w="1260" w:type="dxa"/>
            <w:tcBorders>
              <w:top w:val="single" w:sz="4" w:space="0" w:color="auto"/>
              <w:left w:val="nil"/>
              <w:bottom w:val="single" w:sz="4" w:space="0" w:color="auto"/>
              <w:right w:val="single" w:sz="4" w:space="0" w:color="auto"/>
            </w:tcBorders>
            <w:noWrap/>
            <w:vAlign w:val="bottom"/>
            <w:hideMark/>
          </w:tcPr>
          <w:p w:rsidR="00C55FD0" w:rsidRDefault="00C55FD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it-IT"/>
              </w:rPr>
              <w:t>Baseni i Vjosës</w:t>
            </w:r>
          </w:p>
        </w:tc>
        <w:tc>
          <w:tcPr>
            <w:tcW w:w="1260" w:type="dxa"/>
            <w:tcBorders>
              <w:top w:val="single" w:sz="4" w:space="0" w:color="auto"/>
              <w:left w:val="nil"/>
              <w:bottom w:val="single" w:sz="4" w:space="0" w:color="auto"/>
              <w:right w:val="single" w:sz="4" w:space="0" w:color="auto"/>
            </w:tcBorders>
            <w:noWrap/>
            <w:vAlign w:val="bottom"/>
            <w:hideMark/>
          </w:tcPr>
          <w:p w:rsidR="00C55FD0" w:rsidRDefault="00C55FD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it-IT"/>
              </w:rPr>
              <w:t>Baseni i Matit</w:t>
            </w:r>
          </w:p>
        </w:tc>
      </w:tr>
      <w:tr w:rsidR="00C55FD0" w:rsidTr="00C55FD0">
        <w:trPr>
          <w:trHeight w:val="434"/>
        </w:trPr>
        <w:tc>
          <w:tcPr>
            <w:tcW w:w="1039" w:type="dxa"/>
            <w:tcBorders>
              <w:top w:val="nil"/>
              <w:left w:val="single" w:sz="4" w:space="0" w:color="auto"/>
              <w:bottom w:val="single" w:sz="4" w:space="0" w:color="auto"/>
              <w:right w:val="single" w:sz="4" w:space="0" w:color="auto"/>
            </w:tcBorders>
            <w:noWrap/>
            <w:vAlign w:val="bottom"/>
            <w:hideMark/>
          </w:tcPr>
          <w:p w:rsidR="00C55FD0" w:rsidRDefault="00C55FD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2018</w:t>
            </w:r>
          </w:p>
        </w:tc>
        <w:tc>
          <w:tcPr>
            <w:tcW w:w="1481"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Klasa III</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it-IT"/>
              </w:rPr>
              <w:t>Klasa V</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Klasa IV</w:t>
            </w:r>
          </w:p>
        </w:tc>
        <w:tc>
          <w:tcPr>
            <w:tcW w:w="1260"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it-IT"/>
              </w:rPr>
              <w:t>Klasa V</w:t>
            </w:r>
          </w:p>
        </w:tc>
        <w:tc>
          <w:tcPr>
            <w:tcW w:w="1260"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Klasa II</w:t>
            </w:r>
          </w:p>
        </w:tc>
        <w:tc>
          <w:tcPr>
            <w:tcW w:w="1260"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Klasa III</w:t>
            </w:r>
          </w:p>
        </w:tc>
      </w:tr>
      <w:tr w:rsidR="00C55FD0" w:rsidTr="00C55FD0">
        <w:trPr>
          <w:trHeight w:val="434"/>
        </w:trPr>
        <w:tc>
          <w:tcPr>
            <w:tcW w:w="1039" w:type="dxa"/>
            <w:tcBorders>
              <w:top w:val="nil"/>
              <w:left w:val="single" w:sz="4" w:space="0" w:color="auto"/>
              <w:bottom w:val="single" w:sz="4" w:space="0" w:color="auto"/>
              <w:right w:val="single" w:sz="4" w:space="0" w:color="auto"/>
            </w:tcBorders>
            <w:noWrap/>
            <w:vAlign w:val="bottom"/>
            <w:hideMark/>
          </w:tcPr>
          <w:p w:rsidR="00C55FD0" w:rsidRDefault="00C55FD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2019</w:t>
            </w:r>
          </w:p>
        </w:tc>
        <w:tc>
          <w:tcPr>
            <w:tcW w:w="1481"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t-IT"/>
              </w:rPr>
              <w:t>Klasa IV</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Klasa V</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t-IT"/>
              </w:rPr>
              <w:t>Klasa III</w:t>
            </w:r>
          </w:p>
        </w:tc>
        <w:tc>
          <w:tcPr>
            <w:tcW w:w="1260"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Klasa V</w:t>
            </w:r>
          </w:p>
        </w:tc>
        <w:tc>
          <w:tcPr>
            <w:tcW w:w="1260"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t-IT"/>
              </w:rPr>
              <w:t>Klasa III</w:t>
            </w:r>
          </w:p>
        </w:tc>
        <w:tc>
          <w:tcPr>
            <w:tcW w:w="1260"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t-IT"/>
              </w:rPr>
              <w:t>Klasa II</w:t>
            </w:r>
          </w:p>
        </w:tc>
      </w:tr>
      <w:tr w:rsidR="00C55FD0" w:rsidTr="00C55FD0">
        <w:trPr>
          <w:trHeight w:val="434"/>
        </w:trPr>
        <w:tc>
          <w:tcPr>
            <w:tcW w:w="1039" w:type="dxa"/>
            <w:tcBorders>
              <w:top w:val="nil"/>
              <w:left w:val="single" w:sz="4" w:space="0" w:color="auto"/>
              <w:bottom w:val="single" w:sz="4" w:space="0" w:color="auto"/>
              <w:right w:val="single" w:sz="4" w:space="0" w:color="auto"/>
            </w:tcBorders>
            <w:noWrap/>
            <w:vAlign w:val="bottom"/>
            <w:hideMark/>
          </w:tcPr>
          <w:p w:rsidR="00C55FD0" w:rsidRDefault="00C55FD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2020</w:t>
            </w:r>
          </w:p>
        </w:tc>
        <w:tc>
          <w:tcPr>
            <w:tcW w:w="1481"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Klasa IV</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Klasa V</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t-IT"/>
              </w:rPr>
              <w:t>Klasa III</w:t>
            </w:r>
          </w:p>
        </w:tc>
        <w:tc>
          <w:tcPr>
            <w:tcW w:w="1260"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Klasa V</w:t>
            </w:r>
          </w:p>
        </w:tc>
        <w:tc>
          <w:tcPr>
            <w:tcW w:w="1260"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t-IT"/>
              </w:rPr>
              <w:t>Klasa II</w:t>
            </w:r>
          </w:p>
        </w:tc>
        <w:tc>
          <w:tcPr>
            <w:tcW w:w="1260" w:type="dxa"/>
            <w:tcBorders>
              <w:top w:val="nil"/>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t-IT"/>
              </w:rPr>
              <w:t>Klasa III</w:t>
            </w:r>
          </w:p>
        </w:tc>
      </w:tr>
      <w:tr w:rsidR="00C55FD0" w:rsidTr="00C55FD0">
        <w:trPr>
          <w:trHeight w:val="434"/>
        </w:trPr>
        <w:tc>
          <w:tcPr>
            <w:tcW w:w="1039" w:type="dxa"/>
            <w:tcBorders>
              <w:top w:val="single" w:sz="4" w:space="0" w:color="auto"/>
              <w:left w:val="single" w:sz="4" w:space="0" w:color="auto"/>
              <w:bottom w:val="single" w:sz="4" w:space="0" w:color="auto"/>
              <w:right w:val="single" w:sz="4" w:space="0" w:color="auto"/>
            </w:tcBorders>
            <w:noWrap/>
            <w:vAlign w:val="bottom"/>
            <w:hideMark/>
          </w:tcPr>
          <w:p w:rsidR="00C55FD0" w:rsidRDefault="00C55FD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2021</w:t>
            </w:r>
          </w:p>
        </w:tc>
        <w:tc>
          <w:tcPr>
            <w:tcW w:w="1481"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Klasa IV</w:t>
            </w:r>
          </w:p>
        </w:tc>
        <w:tc>
          <w:tcPr>
            <w:tcW w:w="162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Klasa V</w:t>
            </w:r>
          </w:p>
        </w:tc>
        <w:tc>
          <w:tcPr>
            <w:tcW w:w="153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Klasa II</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Klasa V</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Klasa II</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Klasa III</w:t>
            </w:r>
          </w:p>
        </w:tc>
      </w:tr>
      <w:tr w:rsidR="00C55FD0" w:rsidTr="00C55FD0">
        <w:trPr>
          <w:trHeight w:val="434"/>
        </w:trPr>
        <w:tc>
          <w:tcPr>
            <w:tcW w:w="1039" w:type="dxa"/>
            <w:tcBorders>
              <w:top w:val="single" w:sz="4" w:space="0" w:color="auto"/>
              <w:left w:val="single" w:sz="4" w:space="0" w:color="auto"/>
              <w:bottom w:val="single" w:sz="4" w:space="0" w:color="auto"/>
              <w:right w:val="single" w:sz="4" w:space="0" w:color="auto"/>
            </w:tcBorders>
            <w:noWrap/>
            <w:vAlign w:val="bottom"/>
            <w:hideMark/>
          </w:tcPr>
          <w:p w:rsidR="00C55FD0" w:rsidRDefault="00C55FD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2022</w:t>
            </w:r>
          </w:p>
        </w:tc>
        <w:tc>
          <w:tcPr>
            <w:tcW w:w="1481"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Klasa III</w:t>
            </w:r>
          </w:p>
        </w:tc>
        <w:tc>
          <w:tcPr>
            <w:tcW w:w="162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Klasa V</w:t>
            </w:r>
          </w:p>
        </w:tc>
        <w:tc>
          <w:tcPr>
            <w:tcW w:w="153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Klasa III</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Klasa V</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Klasa II</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Klasa II</w:t>
            </w:r>
          </w:p>
        </w:tc>
      </w:tr>
      <w:tr w:rsidR="00C55FD0" w:rsidTr="00C55FD0">
        <w:trPr>
          <w:trHeight w:val="434"/>
        </w:trPr>
        <w:tc>
          <w:tcPr>
            <w:tcW w:w="1039" w:type="dxa"/>
            <w:tcBorders>
              <w:top w:val="single" w:sz="4" w:space="0" w:color="auto"/>
              <w:left w:val="single" w:sz="4" w:space="0" w:color="auto"/>
              <w:bottom w:val="single" w:sz="4" w:space="0" w:color="auto"/>
              <w:right w:val="single" w:sz="4" w:space="0" w:color="auto"/>
            </w:tcBorders>
            <w:noWrap/>
            <w:vAlign w:val="bottom"/>
            <w:hideMark/>
          </w:tcPr>
          <w:p w:rsidR="00C55FD0" w:rsidRDefault="00C55FD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2023</w:t>
            </w:r>
          </w:p>
        </w:tc>
        <w:tc>
          <w:tcPr>
            <w:tcW w:w="1481" w:type="dxa"/>
            <w:tcBorders>
              <w:top w:val="single" w:sz="4" w:space="0" w:color="auto"/>
              <w:left w:val="nil"/>
              <w:bottom w:val="single" w:sz="4" w:space="0" w:color="auto"/>
              <w:right w:val="single" w:sz="4" w:space="0" w:color="auto"/>
            </w:tcBorders>
            <w:shd w:val="clear" w:color="auto" w:fill="FFFFFF" w:themeFill="background1"/>
            <w:noWrap/>
            <w:hideMark/>
          </w:tcPr>
          <w:p w:rsidR="00C55FD0" w:rsidRDefault="00C55FD0">
            <w:r>
              <w:rPr>
                <w:rFonts w:ascii="Times New Roman" w:eastAsia="Times New Roman" w:hAnsi="Times New Roman" w:cs="Times New Roman"/>
                <w:color w:val="000000"/>
                <w:sz w:val="24"/>
                <w:szCs w:val="24"/>
              </w:rPr>
              <w:t>Klasa IV</w:t>
            </w:r>
          </w:p>
        </w:tc>
        <w:tc>
          <w:tcPr>
            <w:tcW w:w="1620" w:type="dxa"/>
            <w:tcBorders>
              <w:top w:val="single" w:sz="4" w:space="0" w:color="auto"/>
              <w:left w:val="nil"/>
              <w:bottom w:val="single" w:sz="4" w:space="0" w:color="auto"/>
              <w:right w:val="single" w:sz="4" w:space="0" w:color="auto"/>
            </w:tcBorders>
            <w:shd w:val="clear" w:color="auto" w:fill="FFFFFF" w:themeFill="background1"/>
            <w:noWrap/>
            <w:hideMark/>
          </w:tcPr>
          <w:p w:rsidR="00C55FD0" w:rsidRDefault="00C55FD0">
            <w:r>
              <w:rPr>
                <w:rFonts w:ascii="Times New Roman" w:eastAsia="Times New Roman" w:hAnsi="Times New Roman" w:cs="Times New Roman"/>
                <w:sz w:val="24"/>
                <w:szCs w:val="24"/>
              </w:rPr>
              <w:t>Klasa V</w:t>
            </w:r>
          </w:p>
        </w:tc>
        <w:tc>
          <w:tcPr>
            <w:tcW w:w="153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Klasa III</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FFFFFF" w:themeColor="background1"/>
                <w:sz w:val="24"/>
                <w:szCs w:val="24"/>
              </w:rPr>
            </w:pPr>
            <w:r>
              <w:rPr>
                <w:rFonts w:ascii="Times New Roman" w:eastAsia="Times New Roman" w:hAnsi="Times New Roman" w:cs="Times New Roman"/>
                <w:color w:val="000000"/>
                <w:sz w:val="24"/>
                <w:szCs w:val="24"/>
              </w:rPr>
              <w:t>Klasa IV</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Klasa II</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Klasa II</w:t>
            </w:r>
          </w:p>
        </w:tc>
      </w:tr>
      <w:tr w:rsidR="00C55FD0" w:rsidTr="00C55FD0">
        <w:trPr>
          <w:trHeight w:val="434"/>
        </w:trPr>
        <w:tc>
          <w:tcPr>
            <w:tcW w:w="1039" w:type="dxa"/>
            <w:tcBorders>
              <w:top w:val="single" w:sz="4" w:space="0" w:color="auto"/>
              <w:left w:val="single" w:sz="4" w:space="0" w:color="auto"/>
              <w:bottom w:val="single" w:sz="4" w:space="0" w:color="auto"/>
              <w:right w:val="single" w:sz="4" w:space="0" w:color="auto"/>
            </w:tcBorders>
            <w:noWrap/>
            <w:vAlign w:val="bottom"/>
            <w:hideMark/>
          </w:tcPr>
          <w:p w:rsidR="00C55FD0" w:rsidRDefault="00C55FD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2024</w:t>
            </w:r>
          </w:p>
        </w:tc>
        <w:tc>
          <w:tcPr>
            <w:tcW w:w="1481" w:type="dxa"/>
            <w:tcBorders>
              <w:top w:val="single" w:sz="4" w:space="0" w:color="auto"/>
              <w:left w:val="nil"/>
              <w:bottom w:val="single" w:sz="4" w:space="0" w:color="auto"/>
              <w:right w:val="single" w:sz="4" w:space="0" w:color="auto"/>
            </w:tcBorders>
            <w:shd w:val="clear" w:color="auto" w:fill="FFFFFF" w:themeFill="background1"/>
            <w:noWrap/>
            <w:hideMark/>
          </w:tcPr>
          <w:p w:rsidR="00C55FD0" w:rsidRDefault="00C55FD0">
            <w:r>
              <w:rPr>
                <w:rFonts w:ascii="Times New Roman" w:eastAsia="Times New Roman" w:hAnsi="Times New Roman" w:cs="Times New Roman"/>
                <w:color w:val="000000"/>
                <w:sz w:val="24"/>
                <w:szCs w:val="24"/>
              </w:rPr>
              <w:t>Klasa III</w:t>
            </w:r>
          </w:p>
        </w:tc>
        <w:tc>
          <w:tcPr>
            <w:tcW w:w="1620" w:type="dxa"/>
            <w:tcBorders>
              <w:top w:val="single" w:sz="4" w:space="0" w:color="auto"/>
              <w:left w:val="nil"/>
              <w:bottom w:val="single" w:sz="4" w:space="0" w:color="auto"/>
              <w:right w:val="single" w:sz="4" w:space="0" w:color="auto"/>
            </w:tcBorders>
            <w:shd w:val="clear" w:color="auto" w:fill="FFFFFF" w:themeFill="background1"/>
            <w:noWrap/>
            <w:hideMark/>
          </w:tcPr>
          <w:p w:rsidR="00C55FD0" w:rsidRDefault="00C55FD0">
            <w:r>
              <w:rPr>
                <w:rFonts w:ascii="Times New Roman" w:eastAsia="Times New Roman" w:hAnsi="Times New Roman" w:cs="Times New Roman"/>
                <w:sz w:val="24"/>
                <w:szCs w:val="24"/>
              </w:rPr>
              <w:t>Klasa V</w:t>
            </w:r>
          </w:p>
        </w:tc>
        <w:tc>
          <w:tcPr>
            <w:tcW w:w="153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t-IT"/>
              </w:rPr>
              <w:t>Klasa II</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FFFFFF" w:themeColor="background1"/>
                <w:sz w:val="24"/>
                <w:szCs w:val="24"/>
              </w:rPr>
            </w:pPr>
            <w:r>
              <w:rPr>
                <w:rFonts w:ascii="Times New Roman" w:eastAsia="Times New Roman" w:hAnsi="Times New Roman" w:cs="Times New Roman"/>
                <w:color w:val="000000"/>
                <w:sz w:val="24"/>
                <w:szCs w:val="24"/>
              </w:rPr>
              <w:t>Klasa IV</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Klasa II</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55FD0" w:rsidRDefault="00C55FD0">
            <w:pPr>
              <w:spacing w:after="0" w:line="240" w:lineRule="auto"/>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Klasa II</w:t>
            </w:r>
          </w:p>
        </w:tc>
      </w:tr>
      <w:tr w:rsidR="00C849D5" w:rsidTr="00C55FD0">
        <w:trPr>
          <w:trHeight w:val="434"/>
        </w:trPr>
        <w:tc>
          <w:tcPr>
            <w:tcW w:w="1039" w:type="dxa"/>
            <w:tcBorders>
              <w:top w:val="single" w:sz="4" w:space="0" w:color="auto"/>
              <w:left w:val="single" w:sz="4" w:space="0" w:color="auto"/>
              <w:bottom w:val="single" w:sz="4" w:space="0" w:color="auto"/>
              <w:right w:val="single" w:sz="4" w:space="0" w:color="auto"/>
            </w:tcBorders>
            <w:noWrap/>
            <w:vAlign w:val="bottom"/>
          </w:tcPr>
          <w:p w:rsidR="00C849D5" w:rsidRDefault="00C849D5" w:rsidP="00C849D5">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2025</w:t>
            </w:r>
          </w:p>
        </w:tc>
        <w:tc>
          <w:tcPr>
            <w:tcW w:w="1481" w:type="dxa"/>
            <w:tcBorders>
              <w:top w:val="single" w:sz="4" w:space="0" w:color="auto"/>
              <w:left w:val="nil"/>
              <w:bottom w:val="single" w:sz="4" w:space="0" w:color="auto"/>
              <w:right w:val="single" w:sz="4" w:space="0" w:color="auto"/>
            </w:tcBorders>
            <w:shd w:val="clear" w:color="auto" w:fill="FFFFFF" w:themeFill="background1"/>
            <w:noWrap/>
          </w:tcPr>
          <w:p w:rsidR="00C849D5" w:rsidRDefault="00C849D5" w:rsidP="00C849D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Klasa III</w:t>
            </w:r>
          </w:p>
        </w:tc>
        <w:tc>
          <w:tcPr>
            <w:tcW w:w="1620" w:type="dxa"/>
            <w:tcBorders>
              <w:top w:val="single" w:sz="4" w:space="0" w:color="auto"/>
              <w:left w:val="nil"/>
              <w:bottom w:val="single" w:sz="4" w:space="0" w:color="auto"/>
              <w:right w:val="single" w:sz="4" w:space="0" w:color="auto"/>
            </w:tcBorders>
            <w:shd w:val="clear" w:color="auto" w:fill="FFFFFF" w:themeFill="background1"/>
            <w:noWrap/>
          </w:tcPr>
          <w:p w:rsidR="00C849D5" w:rsidRDefault="00C849D5" w:rsidP="00C849D5">
            <w:pPr>
              <w:rPr>
                <w:rFonts w:ascii="Times New Roman" w:eastAsia="Times New Roman" w:hAnsi="Times New Roman" w:cs="Times New Roman"/>
                <w:sz w:val="24"/>
                <w:szCs w:val="24"/>
              </w:rPr>
            </w:pPr>
            <w:r>
              <w:rPr>
                <w:rFonts w:ascii="Times New Roman" w:eastAsia="Times New Roman" w:hAnsi="Times New Roman" w:cs="Times New Roman"/>
                <w:sz w:val="24"/>
                <w:szCs w:val="24"/>
              </w:rPr>
              <w:t>Klasa V</w:t>
            </w:r>
          </w:p>
        </w:tc>
        <w:tc>
          <w:tcPr>
            <w:tcW w:w="1530" w:type="dxa"/>
            <w:tcBorders>
              <w:top w:val="single" w:sz="4" w:space="0" w:color="auto"/>
              <w:left w:val="nil"/>
              <w:bottom w:val="single" w:sz="4" w:space="0" w:color="auto"/>
              <w:right w:val="single" w:sz="4" w:space="0" w:color="auto"/>
            </w:tcBorders>
            <w:shd w:val="clear" w:color="auto" w:fill="FFFFFF" w:themeFill="background1"/>
            <w:noWrap/>
            <w:vAlign w:val="bottom"/>
          </w:tcPr>
          <w:p w:rsidR="00C849D5" w:rsidRDefault="00C849D5" w:rsidP="00C849D5">
            <w:pPr>
              <w:spacing w:after="0" w:line="240" w:lineRule="auto"/>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rPr>
              <w:t>Klasa III</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bottom"/>
          </w:tcPr>
          <w:p w:rsidR="00C849D5" w:rsidRDefault="00C849D5" w:rsidP="00C849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Klasa V</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bottom"/>
          </w:tcPr>
          <w:p w:rsidR="00C849D5" w:rsidRDefault="00C849D5" w:rsidP="00C849D5">
            <w:pPr>
              <w:spacing w:after="0" w:line="240" w:lineRule="auto"/>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Klasa II</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bottom"/>
          </w:tcPr>
          <w:p w:rsidR="00C849D5" w:rsidRDefault="00C849D5" w:rsidP="00C849D5">
            <w:pPr>
              <w:spacing w:after="0" w:line="240" w:lineRule="auto"/>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Klasa II</w:t>
            </w:r>
          </w:p>
        </w:tc>
      </w:tr>
    </w:tbl>
    <w:p w:rsidR="00C55FD0" w:rsidRDefault="00C55FD0" w:rsidP="001E7407">
      <w:pPr>
        <w:spacing w:after="200" w:line="276" w:lineRule="auto"/>
        <w:rPr>
          <w:rFonts w:ascii="Times New Roman" w:eastAsia="Calibri" w:hAnsi="Times New Roman" w:cs="Times New Roman"/>
          <w:b/>
          <w:sz w:val="24"/>
          <w:szCs w:val="24"/>
          <w:lang w:val="sq-AL"/>
        </w:rPr>
      </w:pPr>
    </w:p>
    <w:p w:rsidR="004332BF" w:rsidRPr="00C849D5" w:rsidRDefault="004332BF" w:rsidP="00807975">
      <w:pPr>
        <w:pStyle w:val="ListParagraph"/>
        <w:numPr>
          <w:ilvl w:val="0"/>
          <w:numId w:val="47"/>
        </w:numPr>
        <w:rPr>
          <w:rFonts w:ascii="Times New Roman" w:hAnsi="Times New Roman" w:cs="Times New Roman"/>
          <w:b/>
          <w:sz w:val="24"/>
          <w:szCs w:val="24"/>
        </w:rPr>
      </w:pPr>
      <w:r w:rsidRPr="00C849D5">
        <w:rPr>
          <w:rFonts w:ascii="Times New Roman" w:hAnsi="Times New Roman" w:cs="Times New Roman"/>
          <w:b/>
          <w:sz w:val="24"/>
          <w:szCs w:val="24"/>
        </w:rPr>
        <w:t xml:space="preserve">Radioaktiviteti </w:t>
      </w:r>
      <w:r w:rsidR="00C849D5" w:rsidRPr="00C849D5">
        <w:rPr>
          <w:rFonts w:ascii="Times New Roman" w:hAnsi="Times New Roman" w:cs="Times New Roman"/>
          <w:b/>
          <w:sz w:val="24"/>
          <w:szCs w:val="24"/>
        </w:rPr>
        <w:t>i</w:t>
      </w:r>
      <w:r w:rsidRPr="00C849D5">
        <w:rPr>
          <w:rFonts w:ascii="Times New Roman" w:hAnsi="Times New Roman" w:cs="Times New Roman"/>
          <w:b/>
          <w:sz w:val="24"/>
          <w:szCs w:val="24"/>
        </w:rPr>
        <w:t xml:space="preserve"> ujërave të lumenjve</w:t>
      </w:r>
      <w:r w:rsidR="000505FE">
        <w:rPr>
          <w:rFonts w:ascii="Times New Roman" w:hAnsi="Times New Roman" w:cs="Times New Roman"/>
          <w:b/>
          <w:sz w:val="24"/>
          <w:szCs w:val="24"/>
        </w:rPr>
        <w:t xml:space="preserve"> dhe precipitimet </w:t>
      </w:r>
      <w:r w:rsidR="005D14DF">
        <w:rPr>
          <w:rFonts w:ascii="Times New Roman" w:hAnsi="Times New Roman" w:cs="Times New Roman"/>
          <w:b/>
          <w:sz w:val="24"/>
          <w:szCs w:val="24"/>
        </w:rPr>
        <w:t>atmosferike</w:t>
      </w:r>
    </w:p>
    <w:p w:rsidR="00465EBF" w:rsidRDefault="00EA4B66" w:rsidP="000505FE">
      <w:pPr>
        <w:jc w:val="both"/>
        <w:rPr>
          <w:rFonts w:ascii="Times New Roman" w:hAnsi="Times New Roman" w:cs="Times New Roman"/>
          <w:sz w:val="24"/>
          <w:szCs w:val="24"/>
        </w:rPr>
      </w:pPr>
      <w:r w:rsidRPr="000505FE">
        <w:rPr>
          <w:rFonts w:ascii="Times New Roman" w:hAnsi="Times New Roman" w:cs="Times New Roman"/>
          <w:sz w:val="24"/>
          <w:szCs w:val="24"/>
        </w:rPr>
        <w:t xml:space="preserve">Monitorimi </w:t>
      </w:r>
      <w:r w:rsidR="005D14DF">
        <w:rPr>
          <w:rFonts w:ascii="Times New Roman" w:hAnsi="Times New Roman" w:cs="Times New Roman"/>
          <w:sz w:val="24"/>
          <w:szCs w:val="24"/>
        </w:rPr>
        <w:t xml:space="preserve">radioaktivitetin alfa dhe beta total </w:t>
      </w:r>
      <w:r w:rsidR="000505FE" w:rsidRPr="000505FE">
        <w:rPr>
          <w:rFonts w:ascii="Times New Roman" w:hAnsi="Times New Roman" w:cs="Times New Roman"/>
          <w:sz w:val="24"/>
          <w:szCs w:val="24"/>
        </w:rPr>
        <w:t xml:space="preserve">është kryer në dy </w:t>
      </w:r>
      <w:r w:rsidRPr="000505FE">
        <w:rPr>
          <w:rFonts w:ascii="Times New Roman" w:hAnsi="Times New Roman" w:cs="Times New Roman"/>
          <w:sz w:val="24"/>
          <w:szCs w:val="24"/>
        </w:rPr>
        <w:t>sezo</w:t>
      </w:r>
      <w:r w:rsidR="000505FE" w:rsidRPr="000505FE">
        <w:rPr>
          <w:rFonts w:ascii="Times New Roman" w:hAnsi="Times New Roman" w:cs="Times New Roman"/>
          <w:sz w:val="24"/>
          <w:szCs w:val="24"/>
        </w:rPr>
        <w:t>ne,</w:t>
      </w:r>
      <w:r w:rsidR="004C0412">
        <w:rPr>
          <w:rFonts w:ascii="Times New Roman" w:hAnsi="Times New Roman" w:cs="Times New Roman"/>
          <w:sz w:val="24"/>
          <w:szCs w:val="24"/>
        </w:rPr>
        <w:t xml:space="preserve"> Qershor dhe Nëntor në lumenjtë</w:t>
      </w:r>
      <w:r w:rsidR="000505FE" w:rsidRPr="000505FE">
        <w:rPr>
          <w:rFonts w:ascii="Times New Roman" w:hAnsi="Times New Roman" w:cs="Times New Roman"/>
          <w:sz w:val="24"/>
          <w:szCs w:val="24"/>
        </w:rPr>
        <w:t xml:space="preserve"> Drin, Mat, Erzen, Shkumbin dhe Vjosë</w:t>
      </w:r>
      <w:r w:rsidR="005D14DF">
        <w:rPr>
          <w:rFonts w:ascii="Times New Roman" w:hAnsi="Times New Roman" w:cs="Times New Roman"/>
          <w:sz w:val="24"/>
          <w:szCs w:val="24"/>
        </w:rPr>
        <w:t xml:space="preserve"> në stacionet e mëposhtme.</w:t>
      </w:r>
      <w:r w:rsidR="00465EBF" w:rsidRPr="00465EBF">
        <w:rPr>
          <w:rFonts w:ascii="Times New Roman" w:hAnsi="Times New Roman" w:cs="Times New Roman"/>
          <w:sz w:val="24"/>
          <w:szCs w:val="24"/>
        </w:rPr>
        <w:t xml:space="preserve"> </w:t>
      </w:r>
    </w:p>
    <w:p w:rsidR="00EA4B66" w:rsidRPr="000505FE" w:rsidRDefault="00465EBF" w:rsidP="000505FE">
      <w:pPr>
        <w:jc w:val="both"/>
        <w:rPr>
          <w:rFonts w:ascii="Times New Roman" w:hAnsi="Times New Roman" w:cs="Times New Roman"/>
          <w:sz w:val="24"/>
          <w:szCs w:val="24"/>
        </w:rPr>
      </w:pPr>
      <w:r>
        <w:rPr>
          <w:rFonts w:ascii="Times New Roman" w:hAnsi="Times New Roman" w:cs="Times New Roman"/>
          <w:sz w:val="24"/>
          <w:szCs w:val="24"/>
        </w:rPr>
        <w:t xml:space="preserve">                    </w:t>
      </w:r>
      <w:r w:rsidRPr="002C46B9">
        <w:rPr>
          <w:rFonts w:ascii="Times New Roman" w:hAnsi="Times New Roman" w:cs="Times New Roman"/>
          <w:sz w:val="24"/>
          <w:szCs w:val="24"/>
        </w:rPr>
        <w:t>Tabela 24. Vendndodhja e pikave të kampionimit dhe koordinatat e tyre</w:t>
      </w:r>
    </w:p>
    <w:p w:rsidR="000505FE" w:rsidRPr="002C46B9" w:rsidRDefault="00EA4B66" w:rsidP="000505FE">
      <w:pPr>
        <w:rPr>
          <w:rFonts w:ascii="Times New Roman" w:hAnsi="Times New Roman" w:cs="Times New Roman"/>
          <w:sz w:val="24"/>
          <w:szCs w:val="24"/>
        </w:rPr>
      </w:pPr>
      <w:r w:rsidRPr="00EA4B66">
        <w:rPr>
          <w:rFonts w:ascii="Times New Roman" w:hAnsi="Times New Roman" w:cs="Times New Roman"/>
          <w:b/>
          <w:sz w:val="24"/>
          <w:szCs w:val="24"/>
        </w:rPr>
        <w:tab/>
      </w:r>
    </w:p>
    <w:tbl>
      <w:tblPr>
        <w:tblpPr w:leftFromText="180" w:rightFromText="180" w:vertAnchor="text" w:horzAnchor="margin" w:tblpY="-35"/>
        <w:tblW w:w="9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2"/>
        <w:gridCol w:w="3064"/>
        <w:gridCol w:w="2810"/>
      </w:tblGrid>
      <w:tr w:rsidR="005D14DF" w:rsidTr="005D14DF">
        <w:trPr>
          <w:trHeight w:val="277"/>
        </w:trPr>
        <w:tc>
          <w:tcPr>
            <w:tcW w:w="3602" w:type="dxa"/>
            <w:tcBorders>
              <w:top w:val="single" w:sz="4" w:space="0" w:color="000000"/>
              <w:left w:val="single" w:sz="4" w:space="0" w:color="000000"/>
              <w:bottom w:val="single" w:sz="4" w:space="0" w:color="000000"/>
              <w:right w:val="single" w:sz="4" w:space="0" w:color="000000"/>
            </w:tcBorders>
            <w:hideMark/>
          </w:tcPr>
          <w:p w:rsidR="005D14DF" w:rsidRDefault="005D14DF" w:rsidP="005D14DF">
            <w:pPr>
              <w:pStyle w:val="TableParagraph"/>
              <w:spacing w:line="258" w:lineRule="exact"/>
              <w:rPr>
                <w:b/>
                <w:sz w:val="24"/>
              </w:rPr>
            </w:pPr>
            <w:r>
              <w:rPr>
                <w:b/>
                <w:sz w:val="24"/>
              </w:rPr>
              <w:t>Lumi</w:t>
            </w:r>
            <w:r>
              <w:rPr>
                <w:b/>
                <w:spacing w:val="-1"/>
                <w:sz w:val="24"/>
              </w:rPr>
              <w:t xml:space="preserve"> </w:t>
            </w:r>
            <w:r>
              <w:rPr>
                <w:b/>
                <w:sz w:val="24"/>
              </w:rPr>
              <w:t>dhe</w:t>
            </w:r>
            <w:r>
              <w:rPr>
                <w:b/>
                <w:spacing w:val="-1"/>
                <w:sz w:val="24"/>
              </w:rPr>
              <w:t xml:space="preserve"> </w:t>
            </w:r>
            <w:r>
              <w:rPr>
                <w:b/>
                <w:sz w:val="24"/>
              </w:rPr>
              <w:t>pika</w:t>
            </w:r>
            <w:r>
              <w:rPr>
                <w:b/>
                <w:spacing w:val="-1"/>
                <w:sz w:val="24"/>
              </w:rPr>
              <w:t xml:space="preserve"> </w:t>
            </w:r>
            <w:r>
              <w:rPr>
                <w:b/>
                <w:sz w:val="24"/>
              </w:rPr>
              <w:t>e</w:t>
            </w:r>
            <w:r>
              <w:rPr>
                <w:b/>
                <w:spacing w:val="-1"/>
                <w:sz w:val="24"/>
              </w:rPr>
              <w:t xml:space="preserve"> </w:t>
            </w:r>
            <w:r>
              <w:rPr>
                <w:b/>
                <w:spacing w:val="-2"/>
                <w:sz w:val="24"/>
              </w:rPr>
              <w:t>mostrimit</w:t>
            </w:r>
          </w:p>
        </w:tc>
        <w:tc>
          <w:tcPr>
            <w:tcW w:w="3064" w:type="dxa"/>
            <w:tcBorders>
              <w:top w:val="single" w:sz="4" w:space="0" w:color="000000"/>
              <w:left w:val="single" w:sz="4" w:space="0" w:color="000000"/>
              <w:bottom w:val="single" w:sz="4" w:space="0" w:color="000000"/>
              <w:right w:val="single" w:sz="4" w:space="0" w:color="000000"/>
            </w:tcBorders>
            <w:hideMark/>
          </w:tcPr>
          <w:p w:rsidR="005D14DF" w:rsidRDefault="005D14DF" w:rsidP="005D14DF">
            <w:pPr>
              <w:pStyle w:val="TableParagraph"/>
              <w:spacing w:line="258" w:lineRule="exact"/>
              <w:ind w:left="104"/>
              <w:rPr>
                <w:b/>
                <w:sz w:val="24"/>
              </w:rPr>
            </w:pPr>
            <w:r>
              <w:rPr>
                <w:b/>
                <w:spacing w:val="-2"/>
                <w:sz w:val="24"/>
              </w:rPr>
              <w:t>Koordinatat</w:t>
            </w:r>
          </w:p>
        </w:tc>
        <w:tc>
          <w:tcPr>
            <w:tcW w:w="2810" w:type="dxa"/>
            <w:tcBorders>
              <w:top w:val="single" w:sz="4" w:space="0" w:color="000000"/>
              <w:left w:val="single" w:sz="4" w:space="0" w:color="000000"/>
              <w:bottom w:val="single" w:sz="4" w:space="0" w:color="000000"/>
              <w:right w:val="single" w:sz="4" w:space="0" w:color="000000"/>
            </w:tcBorders>
            <w:hideMark/>
          </w:tcPr>
          <w:p w:rsidR="005D14DF" w:rsidRDefault="005D14DF" w:rsidP="005D14DF">
            <w:pPr>
              <w:pStyle w:val="TableParagraph"/>
              <w:spacing w:line="258" w:lineRule="exact"/>
              <w:ind w:left="104"/>
              <w:rPr>
                <w:b/>
                <w:sz w:val="24"/>
              </w:rPr>
            </w:pPr>
            <w:r>
              <w:rPr>
                <w:b/>
                <w:sz w:val="24"/>
              </w:rPr>
              <w:t>Sezoni</w:t>
            </w:r>
            <w:r>
              <w:rPr>
                <w:b/>
                <w:spacing w:val="1"/>
                <w:sz w:val="24"/>
              </w:rPr>
              <w:t xml:space="preserve"> </w:t>
            </w:r>
            <w:r>
              <w:rPr>
                <w:b/>
                <w:sz w:val="24"/>
              </w:rPr>
              <w:t>I</w:t>
            </w:r>
            <w:r>
              <w:rPr>
                <w:b/>
                <w:spacing w:val="-2"/>
                <w:sz w:val="24"/>
              </w:rPr>
              <w:t xml:space="preserve"> </w:t>
            </w:r>
            <w:r>
              <w:rPr>
                <w:b/>
                <w:sz w:val="24"/>
              </w:rPr>
              <w:t xml:space="preserve">dhe </w:t>
            </w:r>
            <w:r>
              <w:rPr>
                <w:b/>
                <w:spacing w:val="-5"/>
                <w:sz w:val="24"/>
              </w:rPr>
              <w:t>II</w:t>
            </w:r>
          </w:p>
        </w:tc>
      </w:tr>
      <w:tr w:rsidR="005D14DF" w:rsidTr="005D14DF">
        <w:trPr>
          <w:trHeight w:val="273"/>
        </w:trPr>
        <w:tc>
          <w:tcPr>
            <w:tcW w:w="3602" w:type="dxa"/>
            <w:tcBorders>
              <w:top w:val="single" w:sz="4" w:space="0" w:color="000000"/>
              <w:left w:val="single" w:sz="4" w:space="0" w:color="000000"/>
              <w:bottom w:val="single" w:sz="4" w:space="0" w:color="000000"/>
              <w:right w:val="single" w:sz="4" w:space="0" w:color="000000"/>
            </w:tcBorders>
            <w:hideMark/>
          </w:tcPr>
          <w:p w:rsidR="005D14DF" w:rsidRDefault="005D14DF" w:rsidP="005D14DF">
            <w:pPr>
              <w:pStyle w:val="TableParagraph"/>
              <w:spacing w:line="253" w:lineRule="exact"/>
              <w:rPr>
                <w:sz w:val="24"/>
              </w:rPr>
            </w:pPr>
            <w:r>
              <w:rPr>
                <w:sz w:val="24"/>
              </w:rPr>
              <w:t>Lumi</w:t>
            </w:r>
            <w:r>
              <w:rPr>
                <w:spacing w:val="-6"/>
                <w:sz w:val="24"/>
              </w:rPr>
              <w:t xml:space="preserve"> </w:t>
            </w:r>
            <w:r>
              <w:rPr>
                <w:sz w:val="24"/>
              </w:rPr>
              <w:t>Drin</w:t>
            </w:r>
            <w:r>
              <w:rPr>
                <w:spacing w:val="-5"/>
                <w:sz w:val="24"/>
              </w:rPr>
              <w:t xml:space="preserve"> </w:t>
            </w:r>
            <w:r>
              <w:rPr>
                <w:sz w:val="24"/>
              </w:rPr>
              <w:t>(Baçallëk,</w:t>
            </w:r>
            <w:r>
              <w:rPr>
                <w:spacing w:val="2"/>
                <w:sz w:val="24"/>
              </w:rPr>
              <w:t xml:space="preserve"> </w:t>
            </w:r>
            <w:r>
              <w:rPr>
                <w:spacing w:val="-2"/>
                <w:sz w:val="24"/>
              </w:rPr>
              <w:t>Shkodër)</w:t>
            </w:r>
          </w:p>
        </w:tc>
        <w:tc>
          <w:tcPr>
            <w:tcW w:w="3064" w:type="dxa"/>
            <w:tcBorders>
              <w:top w:val="single" w:sz="4" w:space="0" w:color="000000"/>
              <w:left w:val="single" w:sz="4" w:space="0" w:color="000000"/>
              <w:bottom w:val="single" w:sz="4" w:space="0" w:color="000000"/>
              <w:right w:val="single" w:sz="4" w:space="0" w:color="000000"/>
            </w:tcBorders>
            <w:hideMark/>
          </w:tcPr>
          <w:p w:rsidR="005D14DF" w:rsidRDefault="005D14DF" w:rsidP="005D14DF">
            <w:pPr>
              <w:pStyle w:val="TableParagraph"/>
              <w:spacing w:line="253" w:lineRule="exact"/>
              <w:ind w:left="104"/>
              <w:rPr>
                <w:sz w:val="24"/>
              </w:rPr>
            </w:pPr>
            <w:r>
              <w:rPr>
                <w:sz w:val="24"/>
              </w:rPr>
              <w:t>N</w:t>
            </w:r>
            <w:r>
              <w:rPr>
                <w:spacing w:val="1"/>
                <w:sz w:val="24"/>
              </w:rPr>
              <w:t xml:space="preserve"> </w:t>
            </w:r>
            <w:r>
              <w:rPr>
                <w:sz w:val="24"/>
              </w:rPr>
              <w:t>42°</w:t>
            </w:r>
            <w:r>
              <w:rPr>
                <w:spacing w:val="-3"/>
                <w:sz w:val="24"/>
              </w:rPr>
              <w:t xml:space="preserve"> </w:t>
            </w:r>
            <w:r>
              <w:rPr>
                <w:sz w:val="24"/>
              </w:rPr>
              <w:t>02'</w:t>
            </w:r>
            <w:r>
              <w:rPr>
                <w:spacing w:val="-3"/>
                <w:sz w:val="24"/>
              </w:rPr>
              <w:t xml:space="preserve"> </w:t>
            </w:r>
            <w:r>
              <w:rPr>
                <w:sz w:val="24"/>
              </w:rPr>
              <w:t>630;</w:t>
            </w:r>
            <w:r>
              <w:rPr>
                <w:spacing w:val="-3"/>
                <w:sz w:val="24"/>
              </w:rPr>
              <w:t xml:space="preserve"> </w:t>
            </w:r>
            <w:r>
              <w:rPr>
                <w:sz w:val="24"/>
              </w:rPr>
              <w:t>E</w:t>
            </w:r>
            <w:r>
              <w:rPr>
                <w:spacing w:val="4"/>
                <w:sz w:val="24"/>
              </w:rPr>
              <w:t xml:space="preserve"> </w:t>
            </w:r>
            <w:r>
              <w:rPr>
                <w:sz w:val="24"/>
              </w:rPr>
              <w:t>19°</w:t>
            </w:r>
            <w:r>
              <w:rPr>
                <w:spacing w:val="-2"/>
                <w:sz w:val="24"/>
              </w:rPr>
              <w:t xml:space="preserve"> </w:t>
            </w:r>
            <w:r>
              <w:rPr>
                <w:sz w:val="24"/>
              </w:rPr>
              <w:t>29'</w:t>
            </w:r>
            <w:r>
              <w:rPr>
                <w:spacing w:val="-3"/>
                <w:sz w:val="24"/>
              </w:rPr>
              <w:t xml:space="preserve"> </w:t>
            </w:r>
            <w:r>
              <w:rPr>
                <w:spacing w:val="-5"/>
                <w:sz w:val="24"/>
              </w:rPr>
              <w:t>57"</w:t>
            </w:r>
          </w:p>
        </w:tc>
        <w:tc>
          <w:tcPr>
            <w:tcW w:w="2810" w:type="dxa"/>
            <w:tcBorders>
              <w:top w:val="single" w:sz="4" w:space="0" w:color="000000"/>
              <w:left w:val="single" w:sz="4" w:space="0" w:color="000000"/>
              <w:bottom w:val="single" w:sz="4" w:space="0" w:color="000000"/>
              <w:right w:val="single" w:sz="4" w:space="0" w:color="000000"/>
            </w:tcBorders>
            <w:hideMark/>
          </w:tcPr>
          <w:p w:rsidR="005D14DF" w:rsidRDefault="005D14DF" w:rsidP="005D14DF">
            <w:pPr>
              <w:pStyle w:val="TableParagraph"/>
              <w:spacing w:line="253" w:lineRule="exact"/>
              <w:ind w:left="104"/>
              <w:rPr>
                <w:sz w:val="24"/>
              </w:rPr>
            </w:pPr>
            <w:r>
              <w:rPr>
                <w:sz w:val="24"/>
              </w:rPr>
              <w:t>Muaji</w:t>
            </w:r>
            <w:r>
              <w:rPr>
                <w:spacing w:val="-6"/>
                <w:sz w:val="24"/>
              </w:rPr>
              <w:t xml:space="preserve"> </w:t>
            </w:r>
            <w:r>
              <w:rPr>
                <w:spacing w:val="-2"/>
                <w:sz w:val="24"/>
              </w:rPr>
              <w:t>Qershor/Nëntor</w:t>
            </w:r>
          </w:p>
        </w:tc>
      </w:tr>
      <w:tr w:rsidR="005D14DF" w:rsidTr="005D14DF">
        <w:trPr>
          <w:trHeight w:val="278"/>
        </w:trPr>
        <w:tc>
          <w:tcPr>
            <w:tcW w:w="3602" w:type="dxa"/>
            <w:tcBorders>
              <w:top w:val="single" w:sz="4" w:space="0" w:color="000000"/>
              <w:left w:val="single" w:sz="4" w:space="0" w:color="000000"/>
              <w:bottom w:val="single" w:sz="4" w:space="0" w:color="000000"/>
              <w:right w:val="single" w:sz="4" w:space="0" w:color="000000"/>
            </w:tcBorders>
            <w:hideMark/>
          </w:tcPr>
          <w:p w:rsidR="005D14DF" w:rsidRDefault="005D14DF" w:rsidP="005D14DF">
            <w:pPr>
              <w:pStyle w:val="TableParagraph"/>
              <w:spacing w:line="258" w:lineRule="exact"/>
              <w:rPr>
                <w:sz w:val="24"/>
              </w:rPr>
            </w:pPr>
            <w:r>
              <w:rPr>
                <w:sz w:val="24"/>
              </w:rPr>
              <w:t>Lumi</w:t>
            </w:r>
            <w:r>
              <w:rPr>
                <w:spacing w:val="-5"/>
                <w:sz w:val="24"/>
              </w:rPr>
              <w:t xml:space="preserve"> </w:t>
            </w:r>
            <w:r>
              <w:rPr>
                <w:sz w:val="24"/>
              </w:rPr>
              <w:t>Mat</w:t>
            </w:r>
            <w:r>
              <w:rPr>
                <w:spacing w:val="4"/>
                <w:sz w:val="24"/>
              </w:rPr>
              <w:t xml:space="preserve"> </w:t>
            </w:r>
            <w:r>
              <w:rPr>
                <w:sz w:val="24"/>
              </w:rPr>
              <w:t>(Ura</w:t>
            </w:r>
            <w:r>
              <w:rPr>
                <w:spacing w:val="-1"/>
                <w:sz w:val="24"/>
              </w:rPr>
              <w:t xml:space="preserve"> </w:t>
            </w:r>
            <w:r>
              <w:rPr>
                <w:sz w:val="24"/>
              </w:rPr>
              <w:t>e</w:t>
            </w:r>
            <w:r>
              <w:rPr>
                <w:spacing w:val="-1"/>
                <w:sz w:val="24"/>
              </w:rPr>
              <w:t xml:space="preserve"> </w:t>
            </w:r>
            <w:r>
              <w:rPr>
                <w:sz w:val="24"/>
              </w:rPr>
              <w:t>Re</w:t>
            </w:r>
            <w:r>
              <w:rPr>
                <w:spacing w:val="-1"/>
                <w:sz w:val="24"/>
              </w:rPr>
              <w:t xml:space="preserve"> </w:t>
            </w:r>
            <w:r>
              <w:rPr>
                <w:sz w:val="24"/>
              </w:rPr>
              <w:t xml:space="preserve">në </w:t>
            </w:r>
            <w:r>
              <w:rPr>
                <w:spacing w:val="-2"/>
                <w:sz w:val="24"/>
              </w:rPr>
              <w:t>Milot)</w:t>
            </w:r>
          </w:p>
        </w:tc>
        <w:tc>
          <w:tcPr>
            <w:tcW w:w="3064" w:type="dxa"/>
            <w:tcBorders>
              <w:top w:val="single" w:sz="4" w:space="0" w:color="000000"/>
              <w:left w:val="single" w:sz="4" w:space="0" w:color="000000"/>
              <w:bottom w:val="single" w:sz="4" w:space="0" w:color="000000"/>
              <w:right w:val="single" w:sz="4" w:space="0" w:color="000000"/>
            </w:tcBorders>
            <w:hideMark/>
          </w:tcPr>
          <w:p w:rsidR="005D14DF" w:rsidRDefault="005D14DF" w:rsidP="005D14DF">
            <w:pPr>
              <w:pStyle w:val="TableParagraph"/>
              <w:spacing w:line="258" w:lineRule="exact"/>
              <w:ind w:left="104"/>
              <w:rPr>
                <w:sz w:val="24"/>
              </w:rPr>
            </w:pPr>
            <w:r>
              <w:rPr>
                <w:sz w:val="24"/>
              </w:rPr>
              <w:t>N</w:t>
            </w:r>
            <w:r>
              <w:rPr>
                <w:spacing w:val="1"/>
                <w:sz w:val="24"/>
              </w:rPr>
              <w:t xml:space="preserve"> </w:t>
            </w:r>
            <w:r>
              <w:rPr>
                <w:sz w:val="24"/>
              </w:rPr>
              <w:t>41°</w:t>
            </w:r>
            <w:r>
              <w:rPr>
                <w:spacing w:val="-3"/>
                <w:sz w:val="24"/>
              </w:rPr>
              <w:t xml:space="preserve"> </w:t>
            </w:r>
            <w:r>
              <w:rPr>
                <w:sz w:val="24"/>
              </w:rPr>
              <w:t>41'</w:t>
            </w:r>
            <w:r>
              <w:rPr>
                <w:spacing w:val="-3"/>
                <w:sz w:val="24"/>
              </w:rPr>
              <w:t xml:space="preserve"> </w:t>
            </w:r>
            <w:r>
              <w:rPr>
                <w:sz w:val="24"/>
              </w:rPr>
              <w:t>223;</w:t>
            </w:r>
            <w:r>
              <w:rPr>
                <w:spacing w:val="-3"/>
                <w:sz w:val="24"/>
              </w:rPr>
              <w:t xml:space="preserve"> </w:t>
            </w:r>
            <w:r>
              <w:rPr>
                <w:sz w:val="24"/>
              </w:rPr>
              <w:t>E</w:t>
            </w:r>
            <w:r>
              <w:rPr>
                <w:spacing w:val="4"/>
                <w:sz w:val="24"/>
              </w:rPr>
              <w:t xml:space="preserve"> </w:t>
            </w:r>
            <w:r>
              <w:rPr>
                <w:sz w:val="24"/>
              </w:rPr>
              <w:t>19°</w:t>
            </w:r>
            <w:r>
              <w:rPr>
                <w:spacing w:val="-2"/>
                <w:sz w:val="24"/>
              </w:rPr>
              <w:t xml:space="preserve"> </w:t>
            </w:r>
            <w:r>
              <w:rPr>
                <w:sz w:val="24"/>
              </w:rPr>
              <w:t>44'</w:t>
            </w:r>
            <w:r>
              <w:rPr>
                <w:spacing w:val="-3"/>
                <w:sz w:val="24"/>
              </w:rPr>
              <w:t xml:space="preserve"> </w:t>
            </w:r>
            <w:r>
              <w:rPr>
                <w:spacing w:val="-5"/>
                <w:sz w:val="24"/>
              </w:rPr>
              <w:t>43"</w:t>
            </w:r>
          </w:p>
        </w:tc>
        <w:tc>
          <w:tcPr>
            <w:tcW w:w="2810" w:type="dxa"/>
            <w:tcBorders>
              <w:top w:val="single" w:sz="4" w:space="0" w:color="000000"/>
              <w:left w:val="single" w:sz="4" w:space="0" w:color="000000"/>
              <w:bottom w:val="single" w:sz="4" w:space="0" w:color="000000"/>
              <w:right w:val="single" w:sz="4" w:space="0" w:color="000000"/>
            </w:tcBorders>
            <w:hideMark/>
          </w:tcPr>
          <w:p w:rsidR="005D14DF" w:rsidRDefault="005D14DF" w:rsidP="005D14DF">
            <w:pPr>
              <w:pStyle w:val="TableParagraph"/>
              <w:spacing w:line="258" w:lineRule="exact"/>
              <w:ind w:left="104"/>
              <w:rPr>
                <w:sz w:val="24"/>
              </w:rPr>
            </w:pPr>
            <w:r>
              <w:rPr>
                <w:sz w:val="24"/>
              </w:rPr>
              <w:t>Muaji</w:t>
            </w:r>
            <w:r>
              <w:rPr>
                <w:spacing w:val="-8"/>
                <w:sz w:val="24"/>
              </w:rPr>
              <w:t xml:space="preserve"> </w:t>
            </w:r>
            <w:r>
              <w:rPr>
                <w:spacing w:val="-2"/>
                <w:sz w:val="24"/>
              </w:rPr>
              <w:t>Qershor/Nëntor</w:t>
            </w:r>
          </w:p>
        </w:tc>
      </w:tr>
      <w:tr w:rsidR="005D14DF" w:rsidTr="005D14DF">
        <w:trPr>
          <w:trHeight w:val="273"/>
        </w:trPr>
        <w:tc>
          <w:tcPr>
            <w:tcW w:w="3602" w:type="dxa"/>
            <w:tcBorders>
              <w:top w:val="single" w:sz="4" w:space="0" w:color="000000"/>
              <w:left w:val="single" w:sz="4" w:space="0" w:color="000000"/>
              <w:bottom w:val="single" w:sz="4" w:space="0" w:color="000000"/>
              <w:right w:val="single" w:sz="4" w:space="0" w:color="000000"/>
            </w:tcBorders>
            <w:hideMark/>
          </w:tcPr>
          <w:p w:rsidR="005D14DF" w:rsidRDefault="005D14DF" w:rsidP="005D14DF">
            <w:pPr>
              <w:pStyle w:val="TableParagraph"/>
              <w:spacing w:line="254" w:lineRule="exact"/>
              <w:rPr>
                <w:sz w:val="24"/>
              </w:rPr>
            </w:pPr>
            <w:r>
              <w:rPr>
                <w:sz w:val="24"/>
              </w:rPr>
              <w:t>Lumi</w:t>
            </w:r>
            <w:r>
              <w:rPr>
                <w:spacing w:val="-4"/>
                <w:sz w:val="24"/>
              </w:rPr>
              <w:t xml:space="preserve"> </w:t>
            </w:r>
            <w:r>
              <w:rPr>
                <w:sz w:val="24"/>
              </w:rPr>
              <w:t>Erzen</w:t>
            </w:r>
            <w:r>
              <w:rPr>
                <w:spacing w:val="-4"/>
                <w:sz w:val="24"/>
              </w:rPr>
              <w:t xml:space="preserve"> </w:t>
            </w:r>
            <w:r>
              <w:rPr>
                <w:sz w:val="24"/>
              </w:rPr>
              <w:t>(Ura e</w:t>
            </w:r>
            <w:r>
              <w:rPr>
                <w:spacing w:val="1"/>
                <w:sz w:val="24"/>
              </w:rPr>
              <w:t xml:space="preserve"> </w:t>
            </w:r>
            <w:r>
              <w:rPr>
                <w:spacing w:val="-2"/>
                <w:sz w:val="24"/>
              </w:rPr>
              <w:t>Peshkatarit)</w:t>
            </w:r>
          </w:p>
        </w:tc>
        <w:tc>
          <w:tcPr>
            <w:tcW w:w="3064" w:type="dxa"/>
            <w:tcBorders>
              <w:top w:val="single" w:sz="4" w:space="0" w:color="000000"/>
              <w:left w:val="single" w:sz="4" w:space="0" w:color="000000"/>
              <w:bottom w:val="single" w:sz="4" w:space="0" w:color="000000"/>
              <w:right w:val="single" w:sz="4" w:space="0" w:color="000000"/>
            </w:tcBorders>
            <w:hideMark/>
          </w:tcPr>
          <w:p w:rsidR="005D14DF" w:rsidRDefault="005D14DF" w:rsidP="005D14DF">
            <w:pPr>
              <w:pStyle w:val="TableParagraph"/>
              <w:spacing w:line="254" w:lineRule="exact"/>
              <w:ind w:left="104"/>
              <w:rPr>
                <w:sz w:val="24"/>
              </w:rPr>
            </w:pPr>
            <w:r>
              <w:rPr>
                <w:sz w:val="24"/>
              </w:rPr>
              <w:t>N</w:t>
            </w:r>
            <w:r>
              <w:rPr>
                <w:spacing w:val="-2"/>
                <w:sz w:val="24"/>
              </w:rPr>
              <w:t xml:space="preserve"> </w:t>
            </w:r>
            <w:r>
              <w:rPr>
                <w:sz w:val="24"/>
              </w:rPr>
              <w:t>41°15'</w:t>
            </w:r>
            <w:r>
              <w:rPr>
                <w:spacing w:val="-2"/>
                <w:sz w:val="24"/>
              </w:rPr>
              <w:t xml:space="preserve"> </w:t>
            </w:r>
            <w:r>
              <w:rPr>
                <w:sz w:val="24"/>
              </w:rPr>
              <w:t>43";</w:t>
            </w:r>
            <w:r>
              <w:rPr>
                <w:spacing w:val="-4"/>
                <w:sz w:val="24"/>
              </w:rPr>
              <w:t xml:space="preserve"> </w:t>
            </w:r>
            <w:r>
              <w:rPr>
                <w:sz w:val="24"/>
              </w:rPr>
              <w:t>E</w:t>
            </w:r>
            <w:r>
              <w:rPr>
                <w:spacing w:val="3"/>
                <w:sz w:val="24"/>
              </w:rPr>
              <w:t xml:space="preserve"> </w:t>
            </w:r>
            <w:r>
              <w:rPr>
                <w:sz w:val="24"/>
              </w:rPr>
              <w:t>19°</w:t>
            </w:r>
            <w:r>
              <w:rPr>
                <w:spacing w:val="-2"/>
                <w:sz w:val="24"/>
              </w:rPr>
              <w:t xml:space="preserve"> </w:t>
            </w:r>
            <w:r>
              <w:rPr>
                <w:sz w:val="24"/>
              </w:rPr>
              <w:t>52'</w:t>
            </w:r>
            <w:r>
              <w:rPr>
                <w:spacing w:val="-3"/>
                <w:sz w:val="24"/>
              </w:rPr>
              <w:t xml:space="preserve"> </w:t>
            </w:r>
            <w:r>
              <w:rPr>
                <w:spacing w:val="-5"/>
                <w:sz w:val="24"/>
              </w:rPr>
              <w:t>11"</w:t>
            </w:r>
          </w:p>
        </w:tc>
        <w:tc>
          <w:tcPr>
            <w:tcW w:w="2810" w:type="dxa"/>
            <w:tcBorders>
              <w:top w:val="single" w:sz="4" w:space="0" w:color="000000"/>
              <w:left w:val="single" w:sz="4" w:space="0" w:color="000000"/>
              <w:bottom w:val="single" w:sz="4" w:space="0" w:color="000000"/>
              <w:right w:val="single" w:sz="4" w:space="0" w:color="000000"/>
            </w:tcBorders>
            <w:hideMark/>
          </w:tcPr>
          <w:p w:rsidR="005D14DF" w:rsidRDefault="005D14DF" w:rsidP="005D14DF">
            <w:pPr>
              <w:pStyle w:val="TableParagraph"/>
              <w:spacing w:line="254" w:lineRule="exact"/>
              <w:ind w:left="104"/>
              <w:rPr>
                <w:sz w:val="24"/>
              </w:rPr>
            </w:pPr>
            <w:r>
              <w:rPr>
                <w:sz w:val="24"/>
              </w:rPr>
              <w:t>Muaji</w:t>
            </w:r>
            <w:r>
              <w:rPr>
                <w:spacing w:val="-8"/>
                <w:sz w:val="24"/>
              </w:rPr>
              <w:t xml:space="preserve"> </w:t>
            </w:r>
            <w:r>
              <w:rPr>
                <w:spacing w:val="-2"/>
                <w:sz w:val="24"/>
              </w:rPr>
              <w:t>Qershor/Nëntor</w:t>
            </w:r>
          </w:p>
        </w:tc>
      </w:tr>
      <w:tr w:rsidR="005D14DF" w:rsidTr="005D14DF">
        <w:trPr>
          <w:trHeight w:val="273"/>
        </w:trPr>
        <w:tc>
          <w:tcPr>
            <w:tcW w:w="3602"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58" w:lineRule="exact"/>
              <w:rPr>
                <w:sz w:val="24"/>
              </w:rPr>
            </w:pPr>
            <w:r>
              <w:rPr>
                <w:sz w:val="24"/>
              </w:rPr>
              <w:t>Lumi</w:t>
            </w:r>
            <w:r>
              <w:rPr>
                <w:spacing w:val="-4"/>
                <w:sz w:val="24"/>
              </w:rPr>
              <w:t xml:space="preserve"> </w:t>
            </w:r>
            <w:r>
              <w:rPr>
                <w:sz w:val="24"/>
              </w:rPr>
              <w:t>Erzen</w:t>
            </w:r>
            <w:r>
              <w:rPr>
                <w:spacing w:val="-4"/>
                <w:sz w:val="24"/>
              </w:rPr>
              <w:t xml:space="preserve"> </w:t>
            </w:r>
            <w:r>
              <w:rPr>
                <w:sz w:val="24"/>
              </w:rPr>
              <w:t>(Ura e</w:t>
            </w:r>
            <w:r>
              <w:rPr>
                <w:spacing w:val="1"/>
                <w:sz w:val="24"/>
              </w:rPr>
              <w:t xml:space="preserve"> </w:t>
            </w:r>
            <w:r>
              <w:rPr>
                <w:spacing w:val="-2"/>
                <w:sz w:val="24"/>
              </w:rPr>
              <w:t>Beshirit)</w:t>
            </w:r>
          </w:p>
        </w:tc>
        <w:tc>
          <w:tcPr>
            <w:tcW w:w="3064"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58" w:lineRule="exact"/>
              <w:ind w:left="37" w:right="223"/>
              <w:jc w:val="center"/>
              <w:rPr>
                <w:sz w:val="24"/>
              </w:rPr>
            </w:pPr>
            <w:r>
              <w:rPr>
                <w:sz w:val="24"/>
              </w:rPr>
              <w:t>N</w:t>
            </w:r>
            <w:r>
              <w:rPr>
                <w:spacing w:val="-2"/>
                <w:sz w:val="24"/>
              </w:rPr>
              <w:t xml:space="preserve"> </w:t>
            </w:r>
            <w:r>
              <w:rPr>
                <w:sz w:val="24"/>
              </w:rPr>
              <w:t>41°17'</w:t>
            </w:r>
            <w:r>
              <w:rPr>
                <w:spacing w:val="-2"/>
                <w:sz w:val="24"/>
              </w:rPr>
              <w:t xml:space="preserve"> </w:t>
            </w:r>
            <w:r>
              <w:rPr>
                <w:sz w:val="24"/>
              </w:rPr>
              <w:t>33";</w:t>
            </w:r>
            <w:r>
              <w:rPr>
                <w:spacing w:val="-4"/>
                <w:sz w:val="24"/>
              </w:rPr>
              <w:t xml:space="preserve"> </w:t>
            </w:r>
            <w:r>
              <w:rPr>
                <w:sz w:val="24"/>
              </w:rPr>
              <w:t>E</w:t>
            </w:r>
            <w:r>
              <w:rPr>
                <w:spacing w:val="3"/>
                <w:sz w:val="24"/>
              </w:rPr>
              <w:t xml:space="preserve"> </w:t>
            </w:r>
            <w:r>
              <w:rPr>
                <w:sz w:val="24"/>
              </w:rPr>
              <w:t>19°</w:t>
            </w:r>
            <w:r>
              <w:rPr>
                <w:spacing w:val="-2"/>
                <w:sz w:val="24"/>
              </w:rPr>
              <w:t xml:space="preserve"> </w:t>
            </w:r>
            <w:r>
              <w:rPr>
                <w:sz w:val="24"/>
              </w:rPr>
              <w:t>43'</w:t>
            </w:r>
            <w:r>
              <w:rPr>
                <w:spacing w:val="-3"/>
                <w:sz w:val="24"/>
              </w:rPr>
              <w:t xml:space="preserve"> </w:t>
            </w:r>
            <w:r>
              <w:rPr>
                <w:spacing w:val="-5"/>
                <w:sz w:val="24"/>
              </w:rPr>
              <w:t>28"</w:t>
            </w:r>
          </w:p>
        </w:tc>
        <w:tc>
          <w:tcPr>
            <w:tcW w:w="2810"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58" w:lineRule="exact"/>
              <w:ind w:left="104"/>
              <w:rPr>
                <w:sz w:val="24"/>
              </w:rPr>
            </w:pPr>
            <w:r>
              <w:rPr>
                <w:sz w:val="24"/>
              </w:rPr>
              <w:t>Muaji</w:t>
            </w:r>
            <w:r>
              <w:rPr>
                <w:spacing w:val="-6"/>
                <w:sz w:val="24"/>
              </w:rPr>
              <w:t xml:space="preserve"> </w:t>
            </w:r>
            <w:r>
              <w:rPr>
                <w:spacing w:val="-2"/>
                <w:sz w:val="24"/>
              </w:rPr>
              <w:t>Qershor/Dhjetor</w:t>
            </w:r>
          </w:p>
        </w:tc>
      </w:tr>
      <w:tr w:rsidR="005D14DF" w:rsidTr="005D14DF">
        <w:trPr>
          <w:trHeight w:val="273"/>
        </w:trPr>
        <w:tc>
          <w:tcPr>
            <w:tcW w:w="3602"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53" w:lineRule="exact"/>
              <w:rPr>
                <w:sz w:val="24"/>
              </w:rPr>
            </w:pPr>
            <w:r>
              <w:rPr>
                <w:sz w:val="24"/>
              </w:rPr>
              <w:t>Lumi</w:t>
            </w:r>
            <w:r>
              <w:rPr>
                <w:spacing w:val="-8"/>
                <w:sz w:val="24"/>
              </w:rPr>
              <w:t xml:space="preserve"> </w:t>
            </w:r>
            <w:r>
              <w:rPr>
                <w:sz w:val="24"/>
              </w:rPr>
              <w:t>Shkumbin</w:t>
            </w:r>
            <w:r>
              <w:rPr>
                <w:spacing w:val="-3"/>
                <w:sz w:val="24"/>
              </w:rPr>
              <w:t xml:space="preserve"> </w:t>
            </w:r>
            <w:r>
              <w:rPr>
                <w:spacing w:val="-2"/>
                <w:sz w:val="24"/>
              </w:rPr>
              <w:t>(Qukës)</w:t>
            </w:r>
          </w:p>
        </w:tc>
        <w:tc>
          <w:tcPr>
            <w:tcW w:w="3064"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53" w:lineRule="exact"/>
              <w:ind w:left="0" w:right="223"/>
              <w:jc w:val="center"/>
              <w:rPr>
                <w:sz w:val="24"/>
              </w:rPr>
            </w:pPr>
            <w:r>
              <w:rPr>
                <w:sz w:val="24"/>
              </w:rPr>
              <w:t>N</w:t>
            </w:r>
            <w:r>
              <w:rPr>
                <w:spacing w:val="1"/>
                <w:sz w:val="24"/>
              </w:rPr>
              <w:t xml:space="preserve"> </w:t>
            </w:r>
            <w:r>
              <w:rPr>
                <w:sz w:val="24"/>
              </w:rPr>
              <w:t>41°</w:t>
            </w:r>
            <w:r>
              <w:rPr>
                <w:spacing w:val="-3"/>
                <w:sz w:val="24"/>
              </w:rPr>
              <w:t xml:space="preserve"> </w:t>
            </w:r>
            <w:r>
              <w:rPr>
                <w:sz w:val="24"/>
              </w:rPr>
              <w:t>09'</w:t>
            </w:r>
            <w:r>
              <w:rPr>
                <w:spacing w:val="-3"/>
                <w:sz w:val="24"/>
              </w:rPr>
              <w:t xml:space="preserve"> </w:t>
            </w:r>
            <w:r>
              <w:rPr>
                <w:sz w:val="24"/>
              </w:rPr>
              <w:t>28;</w:t>
            </w:r>
            <w:r>
              <w:rPr>
                <w:spacing w:val="-3"/>
                <w:sz w:val="24"/>
              </w:rPr>
              <w:t xml:space="preserve"> </w:t>
            </w:r>
            <w:r>
              <w:rPr>
                <w:sz w:val="24"/>
              </w:rPr>
              <w:t>E</w:t>
            </w:r>
            <w:r>
              <w:rPr>
                <w:spacing w:val="4"/>
                <w:sz w:val="24"/>
              </w:rPr>
              <w:t xml:space="preserve"> </w:t>
            </w:r>
            <w:r>
              <w:rPr>
                <w:sz w:val="24"/>
              </w:rPr>
              <w:t>19°</w:t>
            </w:r>
            <w:r>
              <w:rPr>
                <w:spacing w:val="-2"/>
                <w:sz w:val="24"/>
              </w:rPr>
              <w:t xml:space="preserve"> </w:t>
            </w:r>
            <w:r>
              <w:rPr>
                <w:sz w:val="24"/>
              </w:rPr>
              <w:t>43'</w:t>
            </w:r>
            <w:r>
              <w:rPr>
                <w:spacing w:val="-3"/>
                <w:sz w:val="24"/>
              </w:rPr>
              <w:t xml:space="preserve"> </w:t>
            </w:r>
            <w:r>
              <w:rPr>
                <w:spacing w:val="-5"/>
                <w:sz w:val="24"/>
              </w:rPr>
              <w:t>43"</w:t>
            </w:r>
          </w:p>
        </w:tc>
        <w:tc>
          <w:tcPr>
            <w:tcW w:w="2810"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53" w:lineRule="exact"/>
              <w:ind w:left="104"/>
              <w:rPr>
                <w:sz w:val="24"/>
              </w:rPr>
            </w:pPr>
            <w:r>
              <w:rPr>
                <w:sz w:val="24"/>
              </w:rPr>
              <w:t>Muaji</w:t>
            </w:r>
            <w:r>
              <w:rPr>
                <w:spacing w:val="-8"/>
                <w:sz w:val="24"/>
              </w:rPr>
              <w:t xml:space="preserve"> </w:t>
            </w:r>
            <w:r>
              <w:rPr>
                <w:spacing w:val="-2"/>
                <w:sz w:val="24"/>
              </w:rPr>
              <w:t>Qershor/Nëntor</w:t>
            </w:r>
          </w:p>
        </w:tc>
      </w:tr>
      <w:tr w:rsidR="005D14DF" w:rsidTr="005D14DF">
        <w:trPr>
          <w:trHeight w:val="273"/>
        </w:trPr>
        <w:tc>
          <w:tcPr>
            <w:tcW w:w="3602"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58" w:lineRule="exact"/>
              <w:rPr>
                <w:sz w:val="24"/>
              </w:rPr>
            </w:pPr>
            <w:r>
              <w:rPr>
                <w:sz w:val="24"/>
              </w:rPr>
              <w:t>Lumi</w:t>
            </w:r>
            <w:r>
              <w:rPr>
                <w:spacing w:val="-6"/>
                <w:sz w:val="24"/>
              </w:rPr>
              <w:t xml:space="preserve"> </w:t>
            </w:r>
            <w:r>
              <w:rPr>
                <w:sz w:val="24"/>
              </w:rPr>
              <w:t>Shkumbin</w:t>
            </w:r>
            <w:r>
              <w:rPr>
                <w:spacing w:val="-1"/>
                <w:sz w:val="24"/>
              </w:rPr>
              <w:t xml:space="preserve"> </w:t>
            </w:r>
            <w:r>
              <w:rPr>
                <w:sz w:val="24"/>
              </w:rPr>
              <w:t>(Ura</w:t>
            </w:r>
            <w:r>
              <w:rPr>
                <w:spacing w:val="-2"/>
                <w:sz w:val="24"/>
              </w:rPr>
              <w:t xml:space="preserve"> Rrogozhinë)</w:t>
            </w:r>
          </w:p>
        </w:tc>
        <w:tc>
          <w:tcPr>
            <w:tcW w:w="3064"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58" w:lineRule="exact"/>
              <w:ind w:left="5" w:right="103"/>
              <w:jc w:val="center"/>
              <w:rPr>
                <w:sz w:val="24"/>
              </w:rPr>
            </w:pPr>
            <w:r>
              <w:rPr>
                <w:sz w:val="24"/>
              </w:rPr>
              <w:t>N</w:t>
            </w:r>
            <w:r>
              <w:rPr>
                <w:spacing w:val="1"/>
                <w:sz w:val="24"/>
              </w:rPr>
              <w:t xml:space="preserve"> </w:t>
            </w:r>
            <w:r>
              <w:rPr>
                <w:sz w:val="24"/>
              </w:rPr>
              <w:t>44°</w:t>
            </w:r>
            <w:r>
              <w:rPr>
                <w:spacing w:val="-3"/>
                <w:sz w:val="24"/>
              </w:rPr>
              <w:t xml:space="preserve"> </w:t>
            </w:r>
            <w:r>
              <w:rPr>
                <w:sz w:val="24"/>
              </w:rPr>
              <w:t>03'</w:t>
            </w:r>
            <w:r>
              <w:rPr>
                <w:spacing w:val="-3"/>
                <w:sz w:val="24"/>
              </w:rPr>
              <w:t xml:space="preserve"> </w:t>
            </w:r>
            <w:r>
              <w:rPr>
                <w:sz w:val="24"/>
              </w:rPr>
              <w:t>039:</w:t>
            </w:r>
            <w:r>
              <w:rPr>
                <w:spacing w:val="2"/>
                <w:sz w:val="24"/>
              </w:rPr>
              <w:t xml:space="preserve"> </w:t>
            </w:r>
            <w:r>
              <w:rPr>
                <w:sz w:val="24"/>
              </w:rPr>
              <w:t>E</w:t>
            </w:r>
            <w:r>
              <w:rPr>
                <w:spacing w:val="4"/>
                <w:sz w:val="24"/>
              </w:rPr>
              <w:t xml:space="preserve"> </w:t>
            </w:r>
            <w:r>
              <w:rPr>
                <w:sz w:val="24"/>
              </w:rPr>
              <w:t>19°</w:t>
            </w:r>
            <w:r>
              <w:rPr>
                <w:spacing w:val="-2"/>
                <w:sz w:val="24"/>
              </w:rPr>
              <w:t xml:space="preserve"> </w:t>
            </w:r>
            <w:r>
              <w:rPr>
                <w:sz w:val="24"/>
              </w:rPr>
              <w:t>38'</w:t>
            </w:r>
            <w:r>
              <w:rPr>
                <w:spacing w:val="-3"/>
                <w:sz w:val="24"/>
              </w:rPr>
              <w:t xml:space="preserve"> </w:t>
            </w:r>
            <w:r>
              <w:rPr>
                <w:spacing w:val="-5"/>
                <w:sz w:val="24"/>
              </w:rPr>
              <w:t>55"</w:t>
            </w:r>
          </w:p>
        </w:tc>
        <w:tc>
          <w:tcPr>
            <w:tcW w:w="2810"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58" w:lineRule="exact"/>
              <w:ind w:left="104"/>
              <w:rPr>
                <w:sz w:val="24"/>
              </w:rPr>
            </w:pPr>
            <w:r>
              <w:rPr>
                <w:sz w:val="24"/>
              </w:rPr>
              <w:t>Muaji</w:t>
            </w:r>
            <w:r>
              <w:rPr>
                <w:spacing w:val="-8"/>
                <w:sz w:val="24"/>
              </w:rPr>
              <w:t xml:space="preserve"> </w:t>
            </w:r>
            <w:r>
              <w:rPr>
                <w:spacing w:val="-2"/>
                <w:sz w:val="24"/>
              </w:rPr>
              <w:t>Qershor/Dhjetor</w:t>
            </w:r>
          </w:p>
        </w:tc>
      </w:tr>
      <w:tr w:rsidR="005D14DF" w:rsidTr="005D14DF">
        <w:trPr>
          <w:trHeight w:val="273"/>
        </w:trPr>
        <w:tc>
          <w:tcPr>
            <w:tcW w:w="3602"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54" w:lineRule="exact"/>
              <w:rPr>
                <w:sz w:val="24"/>
              </w:rPr>
            </w:pPr>
            <w:r>
              <w:rPr>
                <w:sz w:val="24"/>
              </w:rPr>
              <w:t>Lumi</w:t>
            </w:r>
            <w:r>
              <w:rPr>
                <w:spacing w:val="-5"/>
                <w:sz w:val="24"/>
              </w:rPr>
              <w:t xml:space="preserve"> </w:t>
            </w:r>
            <w:r>
              <w:rPr>
                <w:sz w:val="24"/>
              </w:rPr>
              <w:t>Vjosë</w:t>
            </w:r>
            <w:r>
              <w:rPr>
                <w:spacing w:val="-1"/>
                <w:sz w:val="24"/>
              </w:rPr>
              <w:t xml:space="preserve"> </w:t>
            </w:r>
            <w:r>
              <w:rPr>
                <w:sz w:val="24"/>
              </w:rPr>
              <w:t>(Ura</w:t>
            </w:r>
            <w:r>
              <w:rPr>
                <w:spacing w:val="-1"/>
                <w:sz w:val="24"/>
              </w:rPr>
              <w:t xml:space="preserve"> </w:t>
            </w:r>
            <w:r>
              <w:rPr>
                <w:sz w:val="24"/>
              </w:rPr>
              <w:t>e</w:t>
            </w:r>
            <w:r>
              <w:rPr>
                <w:spacing w:val="-1"/>
                <w:sz w:val="24"/>
              </w:rPr>
              <w:t xml:space="preserve"> </w:t>
            </w:r>
            <w:r>
              <w:rPr>
                <w:spacing w:val="-2"/>
                <w:sz w:val="24"/>
              </w:rPr>
              <w:t>Mifolit)</w:t>
            </w:r>
          </w:p>
        </w:tc>
        <w:tc>
          <w:tcPr>
            <w:tcW w:w="3064"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54" w:lineRule="exact"/>
              <w:ind w:left="0" w:right="103"/>
              <w:jc w:val="center"/>
              <w:rPr>
                <w:sz w:val="24"/>
              </w:rPr>
            </w:pPr>
            <w:r>
              <w:rPr>
                <w:sz w:val="24"/>
              </w:rPr>
              <w:t>N</w:t>
            </w:r>
            <w:r>
              <w:rPr>
                <w:spacing w:val="1"/>
                <w:sz w:val="24"/>
              </w:rPr>
              <w:t xml:space="preserve"> </w:t>
            </w:r>
            <w:r>
              <w:rPr>
                <w:sz w:val="24"/>
              </w:rPr>
              <w:t>40°</w:t>
            </w:r>
            <w:r>
              <w:rPr>
                <w:spacing w:val="-3"/>
                <w:sz w:val="24"/>
              </w:rPr>
              <w:t xml:space="preserve"> </w:t>
            </w:r>
            <w:r>
              <w:rPr>
                <w:sz w:val="24"/>
              </w:rPr>
              <w:t>38'</w:t>
            </w:r>
            <w:r>
              <w:rPr>
                <w:spacing w:val="-3"/>
                <w:sz w:val="24"/>
              </w:rPr>
              <w:t xml:space="preserve"> </w:t>
            </w:r>
            <w:r>
              <w:rPr>
                <w:sz w:val="24"/>
              </w:rPr>
              <w:t>126;</w:t>
            </w:r>
            <w:r>
              <w:rPr>
                <w:spacing w:val="-3"/>
                <w:sz w:val="24"/>
              </w:rPr>
              <w:t xml:space="preserve"> </w:t>
            </w:r>
            <w:r>
              <w:rPr>
                <w:sz w:val="24"/>
              </w:rPr>
              <w:t>E</w:t>
            </w:r>
            <w:r>
              <w:rPr>
                <w:spacing w:val="4"/>
                <w:sz w:val="24"/>
              </w:rPr>
              <w:t xml:space="preserve"> </w:t>
            </w:r>
            <w:r>
              <w:rPr>
                <w:sz w:val="24"/>
              </w:rPr>
              <w:t>19°</w:t>
            </w:r>
            <w:r>
              <w:rPr>
                <w:spacing w:val="-2"/>
                <w:sz w:val="24"/>
              </w:rPr>
              <w:t xml:space="preserve"> </w:t>
            </w:r>
            <w:r>
              <w:rPr>
                <w:sz w:val="24"/>
              </w:rPr>
              <w:t>27'</w:t>
            </w:r>
            <w:r>
              <w:rPr>
                <w:spacing w:val="-3"/>
                <w:sz w:val="24"/>
              </w:rPr>
              <w:t xml:space="preserve"> </w:t>
            </w:r>
            <w:r>
              <w:rPr>
                <w:spacing w:val="-5"/>
                <w:sz w:val="24"/>
              </w:rPr>
              <w:t>67"</w:t>
            </w:r>
          </w:p>
        </w:tc>
        <w:tc>
          <w:tcPr>
            <w:tcW w:w="2810"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54" w:lineRule="exact"/>
              <w:ind w:left="104"/>
              <w:rPr>
                <w:sz w:val="24"/>
              </w:rPr>
            </w:pPr>
            <w:r>
              <w:rPr>
                <w:sz w:val="24"/>
              </w:rPr>
              <w:t>Muaji</w:t>
            </w:r>
            <w:r>
              <w:rPr>
                <w:spacing w:val="-8"/>
                <w:sz w:val="24"/>
              </w:rPr>
              <w:t xml:space="preserve"> </w:t>
            </w:r>
            <w:r>
              <w:rPr>
                <w:spacing w:val="-2"/>
                <w:sz w:val="24"/>
              </w:rPr>
              <w:t>Qershor/Dhjetor</w:t>
            </w:r>
          </w:p>
        </w:tc>
      </w:tr>
      <w:tr w:rsidR="005D14DF" w:rsidTr="005D14DF">
        <w:trPr>
          <w:trHeight w:val="273"/>
        </w:trPr>
        <w:tc>
          <w:tcPr>
            <w:tcW w:w="3602"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58" w:lineRule="exact"/>
              <w:rPr>
                <w:b/>
                <w:sz w:val="24"/>
              </w:rPr>
            </w:pPr>
            <w:r>
              <w:rPr>
                <w:b/>
                <w:sz w:val="24"/>
              </w:rPr>
              <w:t>Stacioni</w:t>
            </w:r>
            <w:r>
              <w:rPr>
                <w:b/>
                <w:spacing w:val="3"/>
                <w:sz w:val="24"/>
              </w:rPr>
              <w:t xml:space="preserve"> </w:t>
            </w:r>
            <w:r>
              <w:rPr>
                <w:b/>
                <w:sz w:val="24"/>
              </w:rPr>
              <w:t>i</w:t>
            </w:r>
            <w:r>
              <w:rPr>
                <w:b/>
                <w:spacing w:val="-2"/>
                <w:sz w:val="24"/>
              </w:rPr>
              <w:t xml:space="preserve"> Fallout</w:t>
            </w:r>
          </w:p>
        </w:tc>
        <w:tc>
          <w:tcPr>
            <w:tcW w:w="3064"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40" w:lineRule="auto"/>
              <w:ind w:left="0"/>
              <w:rPr>
                <w:sz w:val="20"/>
              </w:rPr>
            </w:pPr>
          </w:p>
        </w:tc>
        <w:tc>
          <w:tcPr>
            <w:tcW w:w="2810"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40" w:lineRule="auto"/>
              <w:ind w:left="0"/>
              <w:rPr>
                <w:sz w:val="20"/>
              </w:rPr>
            </w:pPr>
          </w:p>
        </w:tc>
      </w:tr>
      <w:tr w:rsidR="005D14DF" w:rsidTr="005D14DF">
        <w:trPr>
          <w:trHeight w:val="273"/>
        </w:trPr>
        <w:tc>
          <w:tcPr>
            <w:tcW w:w="3602"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58" w:lineRule="exact"/>
              <w:rPr>
                <w:sz w:val="24"/>
              </w:rPr>
            </w:pPr>
            <w:r>
              <w:rPr>
                <w:sz w:val="24"/>
              </w:rPr>
              <w:t>Tiranë</w:t>
            </w:r>
            <w:r>
              <w:rPr>
                <w:spacing w:val="-9"/>
                <w:sz w:val="24"/>
              </w:rPr>
              <w:t xml:space="preserve"> </w:t>
            </w:r>
            <w:r>
              <w:rPr>
                <w:spacing w:val="-2"/>
                <w:sz w:val="24"/>
              </w:rPr>
              <w:t>(IFBZ)</w:t>
            </w:r>
          </w:p>
        </w:tc>
        <w:tc>
          <w:tcPr>
            <w:tcW w:w="3064"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58" w:lineRule="exact"/>
              <w:ind w:left="36" w:right="223"/>
              <w:jc w:val="center"/>
              <w:rPr>
                <w:sz w:val="24"/>
              </w:rPr>
            </w:pPr>
            <w:r>
              <w:rPr>
                <w:sz w:val="24"/>
              </w:rPr>
              <w:t>N 41°34'</w:t>
            </w:r>
            <w:r>
              <w:rPr>
                <w:spacing w:val="-3"/>
                <w:sz w:val="24"/>
              </w:rPr>
              <w:t xml:space="preserve"> </w:t>
            </w:r>
            <w:r>
              <w:rPr>
                <w:sz w:val="24"/>
              </w:rPr>
              <w:t>80";</w:t>
            </w:r>
            <w:r>
              <w:rPr>
                <w:spacing w:val="-4"/>
                <w:sz w:val="24"/>
              </w:rPr>
              <w:t xml:space="preserve"> </w:t>
            </w:r>
            <w:r>
              <w:rPr>
                <w:sz w:val="24"/>
              </w:rPr>
              <w:t>E</w:t>
            </w:r>
            <w:r>
              <w:rPr>
                <w:spacing w:val="3"/>
                <w:sz w:val="24"/>
              </w:rPr>
              <w:t xml:space="preserve"> </w:t>
            </w:r>
            <w:r>
              <w:rPr>
                <w:sz w:val="24"/>
              </w:rPr>
              <w:t>19°</w:t>
            </w:r>
            <w:r>
              <w:rPr>
                <w:spacing w:val="-3"/>
                <w:sz w:val="24"/>
              </w:rPr>
              <w:t xml:space="preserve"> </w:t>
            </w:r>
            <w:r>
              <w:rPr>
                <w:sz w:val="24"/>
              </w:rPr>
              <w:t>85'</w:t>
            </w:r>
            <w:r>
              <w:rPr>
                <w:spacing w:val="-3"/>
                <w:sz w:val="24"/>
              </w:rPr>
              <w:t xml:space="preserve"> </w:t>
            </w:r>
            <w:r>
              <w:rPr>
                <w:spacing w:val="-5"/>
                <w:sz w:val="24"/>
              </w:rPr>
              <w:t>60"</w:t>
            </w:r>
          </w:p>
        </w:tc>
        <w:tc>
          <w:tcPr>
            <w:tcW w:w="2810" w:type="dxa"/>
            <w:tcBorders>
              <w:top w:val="single" w:sz="4" w:space="0" w:color="000000"/>
              <w:left w:val="single" w:sz="4" w:space="0" w:color="000000"/>
              <w:bottom w:val="single" w:sz="4" w:space="0" w:color="000000"/>
              <w:right w:val="single" w:sz="4" w:space="0" w:color="000000"/>
            </w:tcBorders>
          </w:tcPr>
          <w:p w:rsidR="005D14DF" w:rsidRDefault="005D14DF" w:rsidP="005D14DF">
            <w:pPr>
              <w:pStyle w:val="TableParagraph"/>
              <w:spacing w:line="258" w:lineRule="exact"/>
              <w:ind w:left="104"/>
              <w:rPr>
                <w:sz w:val="24"/>
              </w:rPr>
            </w:pPr>
            <w:r>
              <w:rPr>
                <w:sz w:val="24"/>
              </w:rPr>
              <w:t>Muaji</w:t>
            </w:r>
            <w:r>
              <w:rPr>
                <w:spacing w:val="-8"/>
                <w:sz w:val="24"/>
              </w:rPr>
              <w:t xml:space="preserve"> </w:t>
            </w:r>
            <w:r>
              <w:rPr>
                <w:spacing w:val="-2"/>
                <w:sz w:val="24"/>
              </w:rPr>
              <w:t>Qershor/Nëntor</w:t>
            </w:r>
          </w:p>
        </w:tc>
      </w:tr>
    </w:tbl>
    <w:p w:rsidR="005D14DF" w:rsidRDefault="005D14DF" w:rsidP="000505FE">
      <w:pPr>
        <w:rPr>
          <w:rFonts w:ascii="Times New Roman" w:hAnsi="Times New Roman" w:cs="Times New Roman"/>
          <w:sz w:val="24"/>
          <w:szCs w:val="24"/>
        </w:rPr>
      </w:pPr>
      <w:r>
        <w:rPr>
          <w:rFonts w:ascii="Times New Roman" w:hAnsi="Times New Roman" w:cs="Times New Roman"/>
          <w:sz w:val="24"/>
          <w:szCs w:val="24"/>
        </w:rPr>
        <w:t>Rezultatet nga monitorimi i kryer paraqiten në tabelën si vijon:</w:t>
      </w:r>
    </w:p>
    <w:p w:rsidR="00465EBF" w:rsidRDefault="00465EBF" w:rsidP="005D14DF">
      <w:pPr>
        <w:widowControl w:val="0"/>
        <w:autoSpaceDE w:val="0"/>
        <w:autoSpaceDN w:val="0"/>
        <w:spacing w:after="0" w:line="240" w:lineRule="auto"/>
        <w:ind w:left="360" w:right="36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     </w:t>
      </w:r>
      <w:r w:rsidR="005D14DF" w:rsidRPr="005D14DF">
        <w:rPr>
          <w:rFonts w:ascii="Times New Roman" w:eastAsia="Times New Roman" w:hAnsi="Times New Roman" w:cs="Times New Roman"/>
          <w:sz w:val="24"/>
          <w:szCs w:val="24"/>
          <w:lang w:val="sq-AL"/>
        </w:rPr>
        <w:t>Tabela 2</w:t>
      </w:r>
      <w:r w:rsidR="005D14DF">
        <w:rPr>
          <w:rFonts w:ascii="Times New Roman" w:eastAsia="Times New Roman" w:hAnsi="Times New Roman" w:cs="Times New Roman"/>
          <w:sz w:val="24"/>
          <w:szCs w:val="24"/>
          <w:lang w:val="sq-AL"/>
        </w:rPr>
        <w:t>5</w:t>
      </w:r>
      <w:r w:rsidR="005D14DF" w:rsidRPr="005D14DF">
        <w:rPr>
          <w:rFonts w:ascii="Times New Roman" w:eastAsia="Times New Roman" w:hAnsi="Times New Roman" w:cs="Times New Roman"/>
          <w:sz w:val="24"/>
          <w:szCs w:val="24"/>
          <w:lang w:val="sq-AL"/>
        </w:rPr>
        <w:t xml:space="preserve">. Vlerat e radioaktivitetit alfa dhe beta total të kampioneve të marra në </w:t>
      </w:r>
    </w:p>
    <w:p w:rsidR="00465EBF" w:rsidRDefault="00465EBF" w:rsidP="005D14DF">
      <w:pPr>
        <w:widowControl w:val="0"/>
        <w:autoSpaceDE w:val="0"/>
        <w:autoSpaceDN w:val="0"/>
        <w:spacing w:after="0" w:line="240" w:lineRule="auto"/>
        <w:ind w:left="360" w:right="36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                       </w:t>
      </w:r>
      <w:r w:rsidRPr="005D14DF">
        <w:rPr>
          <w:rFonts w:ascii="Times New Roman" w:eastAsia="Times New Roman" w:hAnsi="Times New Roman" w:cs="Times New Roman"/>
          <w:sz w:val="24"/>
          <w:szCs w:val="24"/>
          <w:lang w:val="sq-AL"/>
        </w:rPr>
        <w:t>lumenj</w:t>
      </w:r>
      <w:r>
        <w:rPr>
          <w:rFonts w:ascii="Times New Roman" w:eastAsia="Times New Roman" w:hAnsi="Times New Roman" w:cs="Times New Roman"/>
          <w:sz w:val="24"/>
          <w:szCs w:val="24"/>
          <w:lang w:val="sq-AL"/>
        </w:rPr>
        <w:t xml:space="preserve"> </w:t>
      </w:r>
      <w:r w:rsidRPr="005D14DF">
        <w:rPr>
          <w:rFonts w:ascii="Times New Roman" w:eastAsia="Times New Roman" w:hAnsi="Times New Roman" w:cs="Times New Roman"/>
          <w:sz w:val="24"/>
          <w:szCs w:val="24"/>
          <w:lang w:val="sq-AL"/>
        </w:rPr>
        <w:t>sezoni I (Qershor) dhe i dytë II (Nëntor) 2025</w:t>
      </w:r>
    </w:p>
    <w:p w:rsidR="005D14DF" w:rsidRPr="00465EBF" w:rsidRDefault="00465EBF" w:rsidP="00465EBF">
      <w:pPr>
        <w:widowControl w:val="0"/>
        <w:autoSpaceDE w:val="0"/>
        <w:autoSpaceDN w:val="0"/>
        <w:spacing w:after="0" w:line="240" w:lineRule="auto"/>
        <w:ind w:left="360" w:right="36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                        </w:t>
      </w:r>
    </w:p>
    <w:tbl>
      <w:tblPr>
        <w:tblW w:w="963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1800"/>
        <w:gridCol w:w="1637"/>
        <w:gridCol w:w="2083"/>
        <w:gridCol w:w="1858"/>
      </w:tblGrid>
      <w:tr w:rsidR="005D14DF" w:rsidRPr="005D14DF" w:rsidTr="005D14DF">
        <w:trPr>
          <w:trHeight w:val="830"/>
        </w:trPr>
        <w:tc>
          <w:tcPr>
            <w:tcW w:w="2252"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40" w:lineRule="auto"/>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Lumi</w:t>
            </w:r>
            <w:r w:rsidRPr="005D14DF">
              <w:rPr>
                <w:rFonts w:ascii="Times New Roman" w:eastAsia="Times New Roman" w:hAnsi="Times New Roman" w:cs="Times New Roman"/>
                <w:spacing w:val="-15"/>
                <w:sz w:val="24"/>
                <w:lang w:val="sq-AL"/>
              </w:rPr>
              <w:t xml:space="preserve"> </w:t>
            </w:r>
            <w:r w:rsidRPr="005D14DF">
              <w:rPr>
                <w:rFonts w:ascii="Times New Roman" w:eastAsia="Times New Roman" w:hAnsi="Times New Roman" w:cs="Times New Roman"/>
                <w:sz w:val="24"/>
                <w:lang w:val="sq-AL"/>
              </w:rPr>
              <w:t>dhe</w:t>
            </w:r>
            <w:r w:rsidRPr="005D14DF">
              <w:rPr>
                <w:rFonts w:ascii="Times New Roman" w:eastAsia="Times New Roman" w:hAnsi="Times New Roman" w:cs="Times New Roman"/>
                <w:spacing w:val="-13"/>
                <w:sz w:val="24"/>
                <w:lang w:val="sq-AL"/>
              </w:rPr>
              <w:t xml:space="preserve"> </w:t>
            </w:r>
            <w:r w:rsidRPr="005D14DF">
              <w:rPr>
                <w:rFonts w:ascii="Times New Roman" w:eastAsia="Times New Roman" w:hAnsi="Times New Roman" w:cs="Times New Roman"/>
                <w:sz w:val="24"/>
                <w:lang w:val="sq-AL"/>
              </w:rPr>
              <w:t>pika</w:t>
            </w:r>
            <w:r w:rsidRPr="005D14DF">
              <w:rPr>
                <w:rFonts w:ascii="Times New Roman" w:eastAsia="Times New Roman" w:hAnsi="Times New Roman" w:cs="Times New Roman"/>
                <w:spacing w:val="-13"/>
                <w:sz w:val="24"/>
                <w:lang w:val="sq-AL"/>
              </w:rPr>
              <w:t xml:space="preserve"> </w:t>
            </w:r>
            <w:r w:rsidRPr="005D14DF">
              <w:rPr>
                <w:rFonts w:ascii="Times New Roman" w:eastAsia="Times New Roman" w:hAnsi="Times New Roman" w:cs="Times New Roman"/>
                <w:sz w:val="24"/>
                <w:lang w:val="sq-AL"/>
              </w:rPr>
              <w:t xml:space="preserve">e </w:t>
            </w:r>
            <w:r w:rsidRPr="005D14DF">
              <w:rPr>
                <w:rFonts w:ascii="Times New Roman" w:eastAsia="Times New Roman" w:hAnsi="Times New Roman" w:cs="Times New Roman"/>
                <w:spacing w:val="-2"/>
                <w:sz w:val="24"/>
                <w:lang w:val="sq-AL"/>
              </w:rPr>
              <w:t>kampionimit</w:t>
            </w:r>
          </w:p>
        </w:tc>
        <w:tc>
          <w:tcPr>
            <w:tcW w:w="1800"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Aktiviteti</w:t>
            </w:r>
            <w:r w:rsidRPr="005D14DF">
              <w:rPr>
                <w:rFonts w:ascii="Times New Roman" w:eastAsia="Times New Roman" w:hAnsi="Times New Roman" w:cs="Times New Roman"/>
                <w:spacing w:val="-8"/>
                <w:sz w:val="24"/>
                <w:lang w:val="sq-AL"/>
              </w:rPr>
              <w:t xml:space="preserve"> </w:t>
            </w:r>
            <w:r w:rsidRPr="005D14DF">
              <w:rPr>
                <w:rFonts w:ascii="Times New Roman" w:eastAsia="Times New Roman" w:hAnsi="Times New Roman" w:cs="Times New Roman"/>
                <w:spacing w:val="-4"/>
                <w:sz w:val="24"/>
                <w:lang w:val="sq-AL"/>
              </w:rPr>
              <w:t>alfa</w:t>
            </w:r>
          </w:p>
          <w:p w:rsidR="005D14DF" w:rsidRPr="005D14DF" w:rsidRDefault="005D14DF" w:rsidP="005D14DF">
            <w:pPr>
              <w:widowControl w:val="0"/>
              <w:autoSpaceDE w:val="0"/>
              <w:autoSpaceDN w:val="0"/>
              <w:spacing w:after="0" w:line="274" w:lineRule="exact"/>
              <w:ind w:left="105" w:right="260"/>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total</w:t>
            </w:r>
            <w:r w:rsidRPr="005D14DF">
              <w:rPr>
                <w:rFonts w:ascii="Times New Roman" w:eastAsia="Times New Roman" w:hAnsi="Times New Roman" w:cs="Times New Roman"/>
                <w:spacing w:val="-15"/>
                <w:sz w:val="24"/>
                <w:lang w:val="sq-AL"/>
              </w:rPr>
              <w:t xml:space="preserve"> </w:t>
            </w:r>
            <w:r w:rsidRPr="005D14DF">
              <w:rPr>
                <w:rFonts w:ascii="Times New Roman" w:eastAsia="Times New Roman" w:hAnsi="Times New Roman" w:cs="Times New Roman"/>
                <w:sz w:val="24"/>
                <w:lang w:val="sq-AL"/>
              </w:rPr>
              <w:t xml:space="preserve">(Qershor) </w:t>
            </w:r>
            <w:r w:rsidRPr="005D14DF">
              <w:rPr>
                <w:rFonts w:ascii="Times New Roman" w:eastAsia="Times New Roman" w:hAnsi="Times New Roman" w:cs="Times New Roman"/>
                <w:spacing w:val="-2"/>
                <w:sz w:val="24"/>
                <w:lang w:val="sq-AL"/>
              </w:rPr>
              <w:t>mBq/L</w:t>
            </w:r>
          </w:p>
        </w:tc>
        <w:tc>
          <w:tcPr>
            <w:tcW w:w="1637"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6"/>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Aktiviteti</w:t>
            </w:r>
            <w:r w:rsidRPr="005D14DF">
              <w:rPr>
                <w:rFonts w:ascii="Times New Roman" w:eastAsia="Times New Roman" w:hAnsi="Times New Roman" w:cs="Times New Roman"/>
                <w:spacing w:val="-8"/>
                <w:sz w:val="24"/>
                <w:lang w:val="sq-AL"/>
              </w:rPr>
              <w:t xml:space="preserve"> </w:t>
            </w:r>
            <w:r w:rsidRPr="005D14DF">
              <w:rPr>
                <w:rFonts w:ascii="Times New Roman" w:eastAsia="Times New Roman" w:hAnsi="Times New Roman" w:cs="Times New Roman"/>
                <w:spacing w:val="-4"/>
                <w:sz w:val="24"/>
                <w:lang w:val="sq-AL"/>
              </w:rPr>
              <w:t>alfa</w:t>
            </w:r>
          </w:p>
          <w:p w:rsidR="005D14DF" w:rsidRPr="005D14DF" w:rsidRDefault="005D14DF" w:rsidP="005D14DF">
            <w:pPr>
              <w:widowControl w:val="0"/>
              <w:autoSpaceDE w:val="0"/>
              <w:autoSpaceDN w:val="0"/>
              <w:spacing w:after="0" w:line="274" w:lineRule="exact"/>
              <w:ind w:left="106" w:right="203"/>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total</w:t>
            </w:r>
            <w:r w:rsidRPr="005D14DF">
              <w:rPr>
                <w:rFonts w:ascii="Times New Roman" w:eastAsia="Times New Roman" w:hAnsi="Times New Roman" w:cs="Times New Roman"/>
                <w:spacing w:val="-15"/>
                <w:sz w:val="24"/>
                <w:lang w:val="sq-AL"/>
              </w:rPr>
              <w:t xml:space="preserve"> </w:t>
            </w:r>
            <w:r w:rsidRPr="005D14DF">
              <w:rPr>
                <w:rFonts w:ascii="Times New Roman" w:eastAsia="Times New Roman" w:hAnsi="Times New Roman" w:cs="Times New Roman"/>
                <w:sz w:val="24"/>
                <w:lang w:val="sq-AL"/>
              </w:rPr>
              <w:t xml:space="preserve">(Nëntor) </w:t>
            </w:r>
            <w:r w:rsidRPr="005D14DF">
              <w:rPr>
                <w:rFonts w:ascii="Times New Roman" w:eastAsia="Times New Roman" w:hAnsi="Times New Roman" w:cs="Times New Roman"/>
                <w:spacing w:val="-2"/>
                <w:sz w:val="24"/>
                <w:lang w:val="sq-AL"/>
              </w:rPr>
              <w:t>mBq/L</w:t>
            </w:r>
          </w:p>
        </w:tc>
        <w:tc>
          <w:tcPr>
            <w:tcW w:w="2083"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40" w:lineRule="auto"/>
              <w:ind w:left="106"/>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Aktiviteti</w:t>
            </w:r>
            <w:r w:rsidRPr="005D14DF">
              <w:rPr>
                <w:rFonts w:ascii="Times New Roman" w:eastAsia="Times New Roman" w:hAnsi="Times New Roman" w:cs="Times New Roman"/>
                <w:spacing w:val="-15"/>
                <w:sz w:val="24"/>
                <w:lang w:val="sq-AL"/>
              </w:rPr>
              <w:t xml:space="preserve"> </w:t>
            </w:r>
            <w:r w:rsidRPr="005D14DF">
              <w:rPr>
                <w:rFonts w:ascii="Times New Roman" w:eastAsia="Times New Roman" w:hAnsi="Times New Roman" w:cs="Times New Roman"/>
                <w:sz w:val="24"/>
                <w:lang w:val="sq-AL"/>
              </w:rPr>
              <w:t>beta</w:t>
            </w:r>
            <w:r w:rsidRPr="005D14DF">
              <w:rPr>
                <w:rFonts w:ascii="Times New Roman" w:eastAsia="Times New Roman" w:hAnsi="Times New Roman" w:cs="Times New Roman"/>
                <w:spacing w:val="-15"/>
                <w:sz w:val="24"/>
                <w:lang w:val="sq-AL"/>
              </w:rPr>
              <w:t xml:space="preserve"> </w:t>
            </w:r>
            <w:r w:rsidRPr="005D14DF">
              <w:rPr>
                <w:rFonts w:ascii="Times New Roman" w:eastAsia="Times New Roman" w:hAnsi="Times New Roman" w:cs="Times New Roman"/>
                <w:sz w:val="24"/>
                <w:lang w:val="sq-AL"/>
              </w:rPr>
              <w:t xml:space="preserve">total </w:t>
            </w:r>
            <w:r w:rsidRPr="005D14DF">
              <w:rPr>
                <w:rFonts w:ascii="Times New Roman" w:eastAsia="Times New Roman" w:hAnsi="Times New Roman" w:cs="Times New Roman"/>
                <w:spacing w:val="-2"/>
                <w:sz w:val="24"/>
                <w:lang w:val="sq-AL"/>
              </w:rPr>
              <w:t>(Qershor)</w:t>
            </w:r>
          </w:p>
          <w:p w:rsidR="005D14DF" w:rsidRPr="005D14DF" w:rsidRDefault="005D14DF" w:rsidP="005D14DF">
            <w:pPr>
              <w:widowControl w:val="0"/>
              <w:autoSpaceDE w:val="0"/>
              <w:autoSpaceDN w:val="0"/>
              <w:spacing w:after="0" w:line="261" w:lineRule="exact"/>
              <w:ind w:left="106"/>
              <w:rPr>
                <w:rFonts w:ascii="Times New Roman" w:eastAsia="Times New Roman" w:hAnsi="Times New Roman" w:cs="Times New Roman"/>
                <w:sz w:val="24"/>
                <w:lang w:val="sq-AL"/>
              </w:rPr>
            </w:pPr>
            <w:r w:rsidRPr="005D14DF">
              <w:rPr>
                <w:rFonts w:ascii="Times New Roman" w:eastAsia="Times New Roman" w:hAnsi="Times New Roman" w:cs="Times New Roman"/>
                <w:spacing w:val="-2"/>
                <w:sz w:val="24"/>
                <w:lang w:val="sq-AL"/>
              </w:rPr>
              <w:t>mBq/L</w:t>
            </w:r>
          </w:p>
        </w:tc>
        <w:tc>
          <w:tcPr>
            <w:tcW w:w="1858"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12"/>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Aktiviteti</w:t>
            </w:r>
            <w:r w:rsidRPr="005D14DF">
              <w:rPr>
                <w:rFonts w:ascii="Times New Roman" w:eastAsia="Times New Roman" w:hAnsi="Times New Roman" w:cs="Times New Roman"/>
                <w:spacing w:val="-8"/>
                <w:sz w:val="24"/>
                <w:lang w:val="sq-AL"/>
              </w:rPr>
              <w:t xml:space="preserve"> </w:t>
            </w:r>
            <w:r w:rsidRPr="005D14DF">
              <w:rPr>
                <w:rFonts w:ascii="Times New Roman" w:eastAsia="Times New Roman" w:hAnsi="Times New Roman" w:cs="Times New Roman"/>
                <w:spacing w:val="-4"/>
                <w:sz w:val="24"/>
                <w:lang w:val="sq-AL"/>
              </w:rPr>
              <w:t>beta</w:t>
            </w:r>
          </w:p>
          <w:p w:rsidR="005D14DF" w:rsidRPr="005D14DF" w:rsidRDefault="005D14DF" w:rsidP="005D14DF">
            <w:pPr>
              <w:widowControl w:val="0"/>
              <w:autoSpaceDE w:val="0"/>
              <w:autoSpaceDN w:val="0"/>
              <w:spacing w:after="0" w:line="274" w:lineRule="exact"/>
              <w:ind w:left="112" w:right="418"/>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total</w:t>
            </w:r>
            <w:r w:rsidRPr="005D14DF">
              <w:rPr>
                <w:rFonts w:ascii="Times New Roman" w:eastAsia="Times New Roman" w:hAnsi="Times New Roman" w:cs="Times New Roman"/>
                <w:spacing w:val="-15"/>
                <w:sz w:val="24"/>
                <w:lang w:val="sq-AL"/>
              </w:rPr>
              <w:t xml:space="preserve"> </w:t>
            </w:r>
            <w:r w:rsidRPr="005D14DF">
              <w:rPr>
                <w:rFonts w:ascii="Times New Roman" w:eastAsia="Times New Roman" w:hAnsi="Times New Roman" w:cs="Times New Roman"/>
                <w:sz w:val="24"/>
                <w:lang w:val="sq-AL"/>
              </w:rPr>
              <w:t xml:space="preserve">(Nëntor) </w:t>
            </w:r>
            <w:r w:rsidRPr="005D14DF">
              <w:rPr>
                <w:rFonts w:ascii="Times New Roman" w:eastAsia="Times New Roman" w:hAnsi="Times New Roman" w:cs="Times New Roman"/>
                <w:spacing w:val="-2"/>
                <w:sz w:val="24"/>
                <w:lang w:val="sq-AL"/>
              </w:rPr>
              <w:t>mBq/L</w:t>
            </w:r>
          </w:p>
        </w:tc>
      </w:tr>
      <w:tr w:rsidR="005D14DF" w:rsidRPr="005D14DF" w:rsidTr="005D14DF">
        <w:trPr>
          <w:trHeight w:val="552"/>
        </w:trPr>
        <w:tc>
          <w:tcPr>
            <w:tcW w:w="2252"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7"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Lumi</w:t>
            </w:r>
            <w:r w:rsidRPr="005D14DF">
              <w:rPr>
                <w:rFonts w:ascii="Times New Roman" w:eastAsia="Times New Roman" w:hAnsi="Times New Roman" w:cs="Times New Roman"/>
                <w:spacing w:val="-5"/>
                <w:sz w:val="24"/>
                <w:lang w:val="sq-AL"/>
              </w:rPr>
              <w:t xml:space="preserve"> </w:t>
            </w:r>
            <w:r w:rsidRPr="005D14DF">
              <w:rPr>
                <w:rFonts w:ascii="Times New Roman" w:eastAsia="Times New Roman" w:hAnsi="Times New Roman" w:cs="Times New Roman"/>
                <w:sz w:val="24"/>
                <w:lang w:val="sq-AL"/>
              </w:rPr>
              <w:t>Mat</w:t>
            </w:r>
            <w:r w:rsidRPr="005D14DF">
              <w:rPr>
                <w:rFonts w:ascii="Times New Roman" w:eastAsia="Times New Roman" w:hAnsi="Times New Roman" w:cs="Times New Roman"/>
                <w:spacing w:val="6"/>
                <w:sz w:val="24"/>
                <w:lang w:val="sq-AL"/>
              </w:rPr>
              <w:t xml:space="preserve"> </w:t>
            </w:r>
            <w:r w:rsidRPr="005D14DF">
              <w:rPr>
                <w:rFonts w:ascii="Times New Roman" w:eastAsia="Times New Roman" w:hAnsi="Times New Roman" w:cs="Times New Roman"/>
                <w:sz w:val="24"/>
                <w:lang w:val="sq-AL"/>
              </w:rPr>
              <w:t xml:space="preserve">(Ura e </w:t>
            </w:r>
            <w:r w:rsidRPr="005D14DF">
              <w:rPr>
                <w:rFonts w:ascii="Times New Roman" w:eastAsia="Times New Roman" w:hAnsi="Times New Roman" w:cs="Times New Roman"/>
                <w:spacing w:val="-5"/>
                <w:sz w:val="24"/>
                <w:lang w:val="sq-AL"/>
              </w:rPr>
              <w:t>Re</w:t>
            </w:r>
          </w:p>
          <w:p w:rsidR="005D14DF" w:rsidRPr="005D14DF" w:rsidRDefault="005D14DF" w:rsidP="005D14DF">
            <w:pPr>
              <w:widowControl w:val="0"/>
              <w:autoSpaceDE w:val="0"/>
              <w:autoSpaceDN w:val="0"/>
              <w:spacing w:after="0" w:line="265"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në</w:t>
            </w:r>
            <w:r w:rsidRPr="005D14DF">
              <w:rPr>
                <w:rFonts w:ascii="Times New Roman" w:eastAsia="Times New Roman" w:hAnsi="Times New Roman" w:cs="Times New Roman"/>
                <w:spacing w:val="-6"/>
                <w:sz w:val="24"/>
                <w:lang w:val="sq-AL"/>
              </w:rPr>
              <w:t xml:space="preserve"> </w:t>
            </w:r>
            <w:r w:rsidRPr="005D14DF">
              <w:rPr>
                <w:rFonts w:ascii="Times New Roman" w:eastAsia="Times New Roman" w:hAnsi="Times New Roman" w:cs="Times New Roman"/>
                <w:spacing w:val="-2"/>
                <w:sz w:val="24"/>
                <w:lang w:val="sq-AL"/>
              </w:rPr>
              <w:t>Milot)</w:t>
            </w:r>
          </w:p>
        </w:tc>
        <w:tc>
          <w:tcPr>
            <w:tcW w:w="1800"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&lt;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4"/>
                <w:sz w:val="24"/>
                <w:lang w:val="sq-AL"/>
              </w:rPr>
              <w:t>LLD*</w:t>
            </w:r>
          </w:p>
        </w:tc>
        <w:tc>
          <w:tcPr>
            <w:tcW w:w="1637"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6"/>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22.13</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4"/>
                <w:sz w:val="24"/>
                <w:lang w:val="sq-AL"/>
              </w:rPr>
              <w:t>2.21</w:t>
            </w:r>
          </w:p>
        </w:tc>
        <w:tc>
          <w:tcPr>
            <w:tcW w:w="2083"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69"/>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37.11</w:t>
            </w:r>
            <w:r w:rsidRPr="005D14DF">
              <w:rPr>
                <w:rFonts w:ascii="Times New Roman" w:eastAsia="Times New Roman" w:hAnsi="Times New Roman" w:cs="Times New Roman"/>
                <w:spacing w:val="-5"/>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2"/>
                <w:sz w:val="24"/>
                <w:lang w:val="sq-AL"/>
              </w:rPr>
              <w:t xml:space="preserve"> </w:t>
            </w:r>
            <w:r w:rsidRPr="005D14DF">
              <w:rPr>
                <w:rFonts w:ascii="Times New Roman" w:eastAsia="Times New Roman" w:hAnsi="Times New Roman" w:cs="Times New Roman"/>
                <w:spacing w:val="-4"/>
                <w:sz w:val="24"/>
                <w:lang w:val="sq-AL"/>
              </w:rPr>
              <w:t>3.39</w:t>
            </w:r>
          </w:p>
        </w:tc>
        <w:tc>
          <w:tcPr>
            <w:tcW w:w="1858"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12"/>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409.04</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2"/>
                <w:sz w:val="24"/>
                <w:lang w:val="sq-AL"/>
              </w:rPr>
              <w:t>40.31</w:t>
            </w:r>
          </w:p>
        </w:tc>
      </w:tr>
      <w:tr w:rsidR="005D14DF" w:rsidRPr="005D14DF" w:rsidTr="005D14DF">
        <w:trPr>
          <w:trHeight w:val="551"/>
        </w:trPr>
        <w:tc>
          <w:tcPr>
            <w:tcW w:w="2252"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7"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Lumi</w:t>
            </w:r>
            <w:r w:rsidRPr="005D14DF">
              <w:rPr>
                <w:rFonts w:ascii="Times New Roman" w:eastAsia="Times New Roman" w:hAnsi="Times New Roman" w:cs="Times New Roman"/>
                <w:spacing w:val="-9"/>
                <w:sz w:val="24"/>
                <w:lang w:val="sq-AL"/>
              </w:rPr>
              <w:t xml:space="preserve"> </w:t>
            </w:r>
            <w:r w:rsidRPr="005D14DF">
              <w:rPr>
                <w:rFonts w:ascii="Times New Roman" w:eastAsia="Times New Roman" w:hAnsi="Times New Roman" w:cs="Times New Roman"/>
                <w:spacing w:val="-4"/>
                <w:sz w:val="24"/>
                <w:lang w:val="sq-AL"/>
              </w:rPr>
              <w:t>Drin</w:t>
            </w:r>
          </w:p>
          <w:p w:rsidR="005D14DF" w:rsidRPr="005D14DF" w:rsidRDefault="005D14DF" w:rsidP="005D14DF">
            <w:pPr>
              <w:widowControl w:val="0"/>
              <w:autoSpaceDE w:val="0"/>
              <w:autoSpaceDN w:val="0"/>
              <w:spacing w:after="0" w:line="265"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(Baçallëk,</w:t>
            </w:r>
            <w:r w:rsidRPr="005D14DF">
              <w:rPr>
                <w:rFonts w:ascii="Times New Roman" w:eastAsia="Times New Roman" w:hAnsi="Times New Roman" w:cs="Times New Roman"/>
                <w:spacing w:val="-2"/>
                <w:sz w:val="24"/>
                <w:lang w:val="sq-AL"/>
              </w:rPr>
              <w:t xml:space="preserve"> Shkodër)</w:t>
            </w:r>
          </w:p>
        </w:tc>
        <w:tc>
          <w:tcPr>
            <w:tcW w:w="1800"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67"/>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20.36</w:t>
            </w:r>
            <w:r w:rsidRPr="005D14DF">
              <w:rPr>
                <w:rFonts w:ascii="Times New Roman" w:eastAsia="Times New Roman" w:hAnsi="Times New Roman" w:cs="Times New Roman"/>
                <w:spacing w:val="-5"/>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2"/>
                <w:sz w:val="24"/>
                <w:lang w:val="sq-AL"/>
              </w:rPr>
              <w:t xml:space="preserve"> </w:t>
            </w:r>
            <w:r w:rsidRPr="005D14DF">
              <w:rPr>
                <w:rFonts w:ascii="Times New Roman" w:eastAsia="Times New Roman" w:hAnsi="Times New Roman" w:cs="Times New Roman"/>
                <w:spacing w:val="-4"/>
                <w:sz w:val="24"/>
                <w:lang w:val="sq-AL"/>
              </w:rPr>
              <w:t>2.61</w:t>
            </w:r>
          </w:p>
        </w:tc>
        <w:tc>
          <w:tcPr>
            <w:tcW w:w="1637"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before="265" w:after="0" w:line="266" w:lineRule="exact"/>
              <w:ind w:left="106"/>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34.03</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4"/>
                <w:sz w:val="24"/>
                <w:lang w:val="sq-AL"/>
              </w:rPr>
              <w:t>3.13</w:t>
            </w:r>
          </w:p>
        </w:tc>
        <w:tc>
          <w:tcPr>
            <w:tcW w:w="2083"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69"/>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51.02</w:t>
            </w:r>
            <w:r w:rsidRPr="005D14DF">
              <w:rPr>
                <w:rFonts w:ascii="Times New Roman" w:eastAsia="Times New Roman" w:hAnsi="Times New Roman" w:cs="Times New Roman"/>
                <w:spacing w:val="-5"/>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2"/>
                <w:sz w:val="24"/>
                <w:lang w:val="sq-AL"/>
              </w:rPr>
              <w:t xml:space="preserve"> </w:t>
            </w:r>
            <w:r w:rsidRPr="005D14DF">
              <w:rPr>
                <w:rFonts w:ascii="Times New Roman" w:eastAsia="Times New Roman" w:hAnsi="Times New Roman" w:cs="Times New Roman"/>
                <w:spacing w:val="-4"/>
                <w:sz w:val="24"/>
                <w:lang w:val="sq-AL"/>
              </w:rPr>
              <w:t>5.16</w:t>
            </w:r>
          </w:p>
        </w:tc>
        <w:tc>
          <w:tcPr>
            <w:tcW w:w="1858"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12"/>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643.67</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2"/>
                <w:sz w:val="24"/>
                <w:lang w:val="sq-AL"/>
              </w:rPr>
              <w:t>64.16</w:t>
            </w:r>
          </w:p>
        </w:tc>
      </w:tr>
      <w:tr w:rsidR="005D14DF" w:rsidRPr="005D14DF" w:rsidTr="005D14DF">
        <w:trPr>
          <w:trHeight w:val="551"/>
        </w:trPr>
        <w:tc>
          <w:tcPr>
            <w:tcW w:w="2252"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7"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Lumi</w:t>
            </w:r>
            <w:r w:rsidRPr="005D14DF">
              <w:rPr>
                <w:rFonts w:ascii="Times New Roman" w:eastAsia="Times New Roman" w:hAnsi="Times New Roman" w:cs="Times New Roman"/>
                <w:spacing w:val="-4"/>
                <w:sz w:val="24"/>
                <w:lang w:val="sq-AL"/>
              </w:rPr>
              <w:t xml:space="preserve"> </w:t>
            </w:r>
            <w:r w:rsidRPr="005D14DF">
              <w:rPr>
                <w:rFonts w:ascii="Times New Roman" w:eastAsia="Times New Roman" w:hAnsi="Times New Roman" w:cs="Times New Roman"/>
                <w:sz w:val="24"/>
                <w:lang w:val="sq-AL"/>
              </w:rPr>
              <w:t>Erzen</w:t>
            </w:r>
            <w:r w:rsidRPr="005D14DF">
              <w:rPr>
                <w:rFonts w:ascii="Times New Roman" w:eastAsia="Times New Roman" w:hAnsi="Times New Roman" w:cs="Times New Roman"/>
                <w:spacing w:val="-4"/>
                <w:sz w:val="24"/>
                <w:lang w:val="sq-AL"/>
              </w:rPr>
              <w:t xml:space="preserve"> </w:t>
            </w:r>
            <w:r w:rsidRPr="005D14DF">
              <w:rPr>
                <w:rFonts w:ascii="Times New Roman" w:eastAsia="Times New Roman" w:hAnsi="Times New Roman" w:cs="Times New Roman"/>
                <w:sz w:val="24"/>
                <w:lang w:val="sq-AL"/>
              </w:rPr>
              <w:t xml:space="preserve">(Ura </w:t>
            </w:r>
            <w:r w:rsidRPr="005D14DF">
              <w:rPr>
                <w:rFonts w:ascii="Times New Roman" w:eastAsia="Times New Roman" w:hAnsi="Times New Roman" w:cs="Times New Roman"/>
                <w:spacing w:val="-10"/>
                <w:sz w:val="24"/>
                <w:lang w:val="sq-AL"/>
              </w:rPr>
              <w:t>e</w:t>
            </w:r>
          </w:p>
          <w:p w:rsidR="005D14DF" w:rsidRPr="005D14DF" w:rsidRDefault="005D14DF" w:rsidP="005D14DF">
            <w:pPr>
              <w:widowControl w:val="0"/>
              <w:autoSpaceDE w:val="0"/>
              <w:autoSpaceDN w:val="0"/>
              <w:spacing w:after="0" w:line="265"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pacing w:val="-2"/>
                <w:sz w:val="24"/>
                <w:lang w:val="sq-AL"/>
              </w:rPr>
              <w:t>Beshirit)</w:t>
            </w:r>
          </w:p>
        </w:tc>
        <w:tc>
          <w:tcPr>
            <w:tcW w:w="1800"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61.28</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4"/>
                <w:sz w:val="24"/>
                <w:lang w:val="sq-AL"/>
              </w:rPr>
              <w:t>6.92</w:t>
            </w:r>
          </w:p>
        </w:tc>
        <w:tc>
          <w:tcPr>
            <w:tcW w:w="1637"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6"/>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55.12</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4"/>
                <w:sz w:val="24"/>
                <w:lang w:val="sq-AL"/>
              </w:rPr>
              <w:t>5.48</w:t>
            </w:r>
          </w:p>
        </w:tc>
        <w:tc>
          <w:tcPr>
            <w:tcW w:w="2083"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69"/>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127.35</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2"/>
                <w:sz w:val="24"/>
                <w:lang w:val="sq-AL"/>
              </w:rPr>
              <w:t xml:space="preserve"> </w:t>
            </w:r>
            <w:r w:rsidRPr="005D14DF">
              <w:rPr>
                <w:rFonts w:ascii="Times New Roman" w:eastAsia="Times New Roman" w:hAnsi="Times New Roman" w:cs="Times New Roman"/>
                <w:spacing w:val="-2"/>
                <w:sz w:val="24"/>
                <w:lang w:val="sq-AL"/>
              </w:rPr>
              <w:t>13.15</w:t>
            </w:r>
          </w:p>
        </w:tc>
        <w:tc>
          <w:tcPr>
            <w:tcW w:w="1858"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12"/>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657.18</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2"/>
                <w:sz w:val="24"/>
                <w:lang w:val="sq-AL"/>
              </w:rPr>
              <w:t>66.01</w:t>
            </w:r>
          </w:p>
        </w:tc>
      </w:tr>
      <w:tr w:rsidR="005D14DF" w:rsidRPr="005D14DF" w:rsidTr="005D14DF">
        <w:trPr>
          <w:trHeight w:val="552"/>
        </w:trPr>
        <w:tc>
          <w:tcPr>
            <w:tcW w:w="2252"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7"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Lumi</w:t>
            </w:r>
            <w:r w:rsidRPr="005D14DF">
              <w:rPr>
                <w:rFonts w:ascii="Times New Roman" w:eastAsia="Times New Roman" w:hAnsi="Times New Roman" w:cs="Times New Roman"/>
                <w:spacing w:val="-4"/>
                <w:sz w:val="24"/>
                <w:lang w:val="sq-AL"/>
              </w:rPr>
              <w:t xml:space="preserve"> </w:t>
            </w:r>
            <w:r w:rsidRPr="005D14DF">
              <w:rPr>
                <w:rFonts w:ascii="Times New Roman" w:eastAsia="Times New Roman" w:hAnsi="Times New Roman" w:cs="Times New Roman"/>
                <w:sz w:val="24"/>
                <w:lang w:val="sq-AL"/>
              </w:rPr>
              <w:t>Erzen</w:t>
            </w:r>
            <w:r w:rsidRPr="005D14DF">
              <w:rPr>
                <w:rFonts w:ascii="Times New Roman" w:eastAsia="Times New Roman" w:hAnsi="Times New Roman" w:cs="Times New Roman"/>
                <w:spacing w:val="-4"/>
                <w:sz w:val="24"/>
                <w:lang w:val="sq-AL"/>
              </w:rPr>
              <w:t xml:space="preserve"> </w:t>
            </w:r>
            <w:r w:rsidRPr="005D14DF">
              <w:rPr>
                <w:rFonts w:ascii="Times New Roman" w:eastAsia="Times New Roman" w:hAnsi="Times New Roman" w:cs="Times New Roman"/>
                <w:sz w:val="24"/>
                <w:lang w:val="sq-AL"/>
              </w:rPr>
              <w:t xml:space="preserve">(Ura </w:t>
            </w:r>
            <w:r w:rsidRPr="005D14DF">
              <w:rPr>
                <w:rFonts w:ascii="Times New Roman" w:eastAsia="Times New Roman" w:hAnsi="Times New Roman" w:cs="Times New Roman"/>
                <w:spacing w:val="-10"/>
                <w:sz w:val="24"/>
                <w:lang w:val="sq-AL"/>
              </w:rPr>
              <w:t>e</w:t>
            </w:r>
          </w:p>
          <w:p w:rsidR="005D14DF" w:rsidRPr="005D14DF" w:rsidRDefault="005D14DF" w:rsidP="005D14DF">
            <w:pPr>
              <w:widowControl w:val="0"/>
              <w:autoSpaceDE w:val="0"/>
              <w:autoSpaceDN w:val="0"/>
              <w:spacing w:after="0" w:line="265"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pacing w:val="-2"/>
                <w:sz w:val="24"/>
                <w:lang w:val="sq-AL"/>
              </w:rPr>
              <w:t>Peshkatarit)</w:t>
            </w:r>
          </w:p>
        </w:tc>
        <w:tc>
          <w:tcPr>
            <w:tcW w:w="1800"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59.98</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4"/>
                <w:sz w:val="24"/>
                <w:lang w:val="sq-AL"/>
              </w:rPr>
              <w:t>6.16</w:t>
            </w:r>
          </w:p>
        </w:tc>
        <w:tc>
          <w:tcPr>
            <w:tcW w:w="1637"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6"/>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87.03</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4"/>
                <w:sz w:val="24"/>
                <w:lang w:val="sq-AL"/>
              </w:rPr>
              <w:t>8.63</w:t>
            </w:r>
          </w:p>
        </w:tc>
        <w:tc>
          <w:tcPr>
            <w:tcW w:w="2083"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69"/>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261.63</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2"/>
                <w:sz w:val="24"/>
                <w:lang w:val="sq-AL"/>
              </w:rPr>
              <w:t xml:space="preserve"> </w:t>
            </w:r>
            <w:r w:rsidRPr="005D14DF">
              <w:rPr>
                <w:rFonts w:ascii="Times New Roman" w:eastAsia="Times New Roman" w:hAnsi="Times New Roman" w:cs="Times New Roman"/>
                <w:spacing w:val="-2"/>
                <w:sz w:val="24"/>
                <w:lang w:val="sq-AL"/>
              </w:rPr>
              <w:t>28.49</w:t>
            </w:r>
          </w:p>
        </w:tc>
        <w:tc>
          <w:tcPr>
            <w:tcW w:w="1858"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12"/>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732.05</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2"/>
                <w:sz w:val="24"/>
                <w:lang w:val="sq-AL"/>
              </w:rPr>
              <w:t>74.01</w:t>
            </w:r>
          </w:p>
        </w:tc>
      </w:tr>
      <w:tr w:rsidR="005D14DF" w:rsidRPr="005D14DF" w:rsidTr="005D14DF">
        <w:trPr>
          <w:trHeight w:val="551"/>
        </w:trPr>
        <w:tc>
          <w:tcPr>
            <w:tcW w:w="2252"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7"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Lumi</w:t>
            </w:r>
            <w:r w:rsidRPr="005D14DF">
              <w:rPr>
                <w:rFonts w:ascii="Times New Roman" w:eastAsia="Times New Roman" w:hAnsi="Times New Roman" w:cs="Times New Roman"/>
                <w:spacing w:val="-7"/>
                <w:sz w:val="24"/>
                <w:lang w:val="sq-AL"/>
              </w:rPr>
              <w:t xml:space="preserve"> </w:t>
            </w:r>
            <w:r w:rsidRPr="005D14DF">
              <w:rPr>
                <w:rFonts w:ascii="Times New Roman" w:eastAsia="Times New Roman" w:hAnsi="Times New Roman" w:cs="Times New Roman"/>
                <w:spacing w:val="-2"/>
                <w:sz w:val="24"/>
                <w:lang w:val="sq-AL"/>
              </w:rPr>
              <w:t>Shkumbin</w:t>
            </w:r>
          </w:p>
          <w:p w:rsidR="005D14DF" w:rsidRPr="005D14DF" w:rsidRDefault="005D14DF" w:rsidP="005D14DF">
            <w:pPr>
              <w:widowControl w:val="0"/>
              <w:autoSpaceDE w:val="0"/>
              <w:autoSpaceDN w:val="0"/>
              <w:spacing w:after="0" w:line="265"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pacing w:val="-2"/>
                <w:sz w:val="24"/>
                <w:lang w:val="sq-AL"/>
              </w:rPr>
              <w:t>(Qukës)</w:t>
            </w:r>
          </w:p>
        </w:tc>
        <w:tc>
          <w:tcPr>
            <w:tcW w:w="1800"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37.72</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4"/>
                <w:sz w:val="24"/>
                <w:lang w:val="sq-AL"/>
              </w:rPr>
              <w:t>3.89</w:t>
            </w:r>
          </w:p>
        </w:tc>
        <w:tc>
          <w:tcPr>
            <w:tcW w:w="1637"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6"/>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69.16</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4"/>
                <w:sz w:val="24"/>
                <w:lang w:val="sq-AL"/>
              </w:rPr>
              <w:t>6.87</w:t>
            </w:r>
          </w:p>
        </w:tc>
        <w:tc>
          <w:tcPr>
            <w:tcW w:w="2083"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69"/>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128.33</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2"/>
                <w:sz w:val="24"/>
                <w:lang w:val="sq-AL"/>
              </w:rPr>
              <w:t xml:space="preserve"> </w:t>
            </w:r>
            <w:r w:rsidRPr="005D14DF">
              <w:rPr>
                <w:rFonts w:ascii="Times New Roman" w:eastAsia="Times New Roman" w:hAnsi="Times New Roman" w:cs="Times New Roman"/>
                <w:spacing w:val="-2"/>
                <w:sz w:val="24"/>
                <w:lang w:val="sq-AL"/>
              </w:rPr>
              <w:t>13.03</w:t>
            </w:r>
          </w:p>
        </w:tc>
        <w:tc>
          <w:tcPr>
            <w:tcW w:w="1858"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12"/>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562.32</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2"/>
                <w:sz w:val="24"/>
                <w:lang w:val="sq-AL"/>
              </w:rPr>
              <w:t>57.04</w:t>
            </w:r>
          </w:p>
        </w:tc>
      </w:tr>
      <w:tr w:rsidR="005D14DF" w:rsidRPr="005D14DF" w:rsidTr="005D14DF">
        <w:trPr>
          <w:trHeight w:val="551"/>
        </w:trPr>
        <w:tc>
          <w:tcPr>
            <w:tcW w:w="2252"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Lumi</w:t>
            </w:r>
            <w:r w:rsidRPr="005D14DF">
              <w:rPr>
                <w:rFonts w:ascii="Times New Roman" w:eastAsia="Times New Roman" w:hAnsi="Times New Roman" w:cs="Times New Roman"/>
                <w:spacing w:val="-7"/>
                <w:sz w:val="24"/>
                <w:lang w:val="sq-AL"/>
              </w:rPr>
              <w:t xml:space="preserve"> </w:t>
            </w:r>
            <w:r w:rsidRPr="005D14DF">
              <w:rPr>
                <w:rFonts w:ascii="Times New Roman" w:eastAsia="Times New Roman" w:hAnsi="Times New Roman" w:cs="Times New Roman"/>
                <w:spacing w:val="-2"/>
                <w:sz w:val="24"/>
                <w:lang w:val="sq-AL"/>
              </w:rPr>
              <w:t>Shkumbin</w:t>
            </w:r>
          </w:p>
          <w:p w:rsidR="005D14DF" w:rsidRPr="005D14DF" w:rsidRDefault="005D14DF" w:rsidP="005D14DF">
            <w:pPr>
              <w:widowControl w:val="0"/>
              <w:autoSpaceDE w:val="0"/>
              <w:autoSpaceDN w:val="0"/>
              <w:spacing w:before="2" w:after="0" w:line="261"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(Ura</w:t>
            </w:r>
            <w:r w:rsidRPr="005D14DF">
              <w:rPr>
                <w:rFonts w:ascii="Times New Roman" w:eastAsia="Times New Roman" w:hAnsi="Times New Roman" w:cs="Times New Roman"/>
                <w:spacing w:val="2"/>
                <w:sz w:val="24"/>
                <w:lang w:val="sq-AL"/>
              </w:rPr>
              <w:t xml:space="preserve"> </w:t>
            </w:r>
            <w:r w:rsidRPr="005D14DF">
              <w:rPr>
                <w:rFonts w:ascii="Times New Roman" w:eastAsia="Times New Roman" w:hAnsi="Times New Roman" w:cs="Times New Roman"/>
                <w:spacing w:val="-2"/>
                <w:sz w:val="24"/>
                <w:lang w:val="sq-AL"/>
              </w:rPr>
              <w:t>Rrogozhinë)</w:t>
            </w:r>
          </w:p>
        </w:tc>
        <w:tc>
          <w:tcPr>
            <w:tcW w:w="1800"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55.68</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4"/>
                <w:sz w:val="24"/>
                <w:lang w:val="sq-AL"/>
              </w:rPr>
              <w:t>5.83</w:t>
            </w:r>
          </w:p>
        </w:tc>
        <w:tc>
          <w:tcPr>
            <w:tcW w:w="1637"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6"/>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47.14</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4"/>
                <w:sz w:val="24"/>
                <w:lang w:val="sq-AL"/>
              </w:rPr>
              <w:t>4.61</w:t>
            </w:r>
          </w:p>
        </w:tc>
        <w:tc>
          <w:tcPr>
            <w:tcW w:w="2083"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69"/>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289.62</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2"/>
                <w:sz w:val="24"/>
                <w:lang w:val="sq-AL"/>
              </w:rPr>
              <w:t xml:space="preserve"> </w:t>
            </w:r>
            <w:r w:rsidRPr="005D14DF">
              <w:rPr>
                <w:rFonts w:ascii="Times New Roman" w:eastAsia="Times New Roman" w:hAnsi="Times New Roman" w:cs="Times New Roman"/>
                <w:spacing w:val="-2"/>
                <w:sz w:val="24"/>
                <w:lang w:val="sq-AL"/>
              </w:rPr>
              <w:t>29.15</w:t>
            </w:r>
          </w:p>
        </w:tc>
        <w:tc>
          <w:tcPr>
            <w:tcW w:w="1858"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12"/>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486.75</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2"/>
                <w:sz w:val="24"/>
                <w:lang w:val="sq-AL"/>
              </w:rPr>
              <w:t>48.63</w:t>
            </w:r>
          </w:p>
        </w:tc>
      </w:tr>
      <w:tr w:rsidR="005D14DF" w:rsidRPr="005D14DF" w:rsidTr="005D14DF">
        <w:trPr>
          <w:trHeight w:val="552"/>
        </w:trPr>
        <w:tc>
          <w:tcPr>
            <w:tcW w:w="2252"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Lumi</w:t>
            </w:r>
            <w:r w:rsidRPr="005D14DF">
              <w:rPr>
                <w:rFonts w:ascii="Times New Roman" w:eastAsia="Times New Roman" w:hAnsi="Times New Roman" w:cs="Times New Roman"/>
                <w:spacing w:val="-7"/>
                <w:sz w:val="24"/>
                <w:lang w:val="sq-AL"/>
              </w:rPr>
              <w:t xml:space="preserve"> </w:t>
            </w:r>
            <w:r w:rsidRPr="005D14DF">
              <w:rPr>
                <w:rFonts w:ascii="Times New Roman" w:eastAsia="Times New Roman" w:hAnsi="Times New Roman" w:cs="Times New Roman"/>
                <w:sz w:val="24"/>
                <w:lang w:val="sq-AL"/>
              </w:rPr>
              <w:t>Vjosë</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z w:val="24"/>
                <w:lang w:val="sq-AL"/>
              </w:rPr>
              <w:t>(Ura</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10"/>
                <w:sz w:val="24"/>
                <w:lang w:val="sq-AL"/>
              </w:rPr>
              <w:t>e</w:t>
            </w:r>
          </w:p>
          <w:p w:rsidR="005D14DF" w:rsidRPr="005D14DF" w:rsidRDefault="005D14DF" w:rsidP="005D14DF">
            <w:pPr>
              <w:widowControl w:val="0"/>
              <w:autoSpaceDE w:val="0"/>
              <w:autoSpaceDN w:val="0"/>
              <w:spacing w:before="2" w:after="0" w:line="261"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pacing w:val="-2"/>
                <w:sz w:val="24"/>
                <w:lang w:val="sq-AL"/>
              </w:rPr>
              <w:t>Mifolit)</w:t>
            </w:r>
          </w:p>
        </w:tc>
        <w:tc>
          <w:tcPr>
            <w:tcW w:w="1800"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10.76</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4"/>
                <w:sz w:val="24"/>
                <w:lang w:val="sq-AL"/>
              </w:rPr>
              <w:t>1.93</w:t>
            </w:r>
          </w:p>
        </w:tc>
        <w:tc>
          <w:tcPr>
            <w:tcW w:w="1637"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6"/>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52.13</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4"/>
                <w:sz w:val="24"/>
                <w:lang w:val="sq-AL"/>
              </w:rPr>
              <w:t>5.11</w:t>
            </w:r>
          </w:p>
        </w:tc>
        <w:tc>
          <w:tcPr>
            <w:tcW w:w="2083"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69"/>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229.21</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2"/>
                <w:sz w:val="24"/>
                <w:lang w:val="sq-AL"/>
              </w:rPr>
              <w:t xml:space="preserve"> </w:t>
            </w:r>
            <w:r w:rsidRPr="005D14DF">
              <w:rPr>
                <w:rFonts w:ascii="Times New Roman" w:eastAsia="Times New Roman" w:hAnsi="Times New Roman" w:cs="Times New Roman"/>
                <w:spacing w:val="-2"/>
                <w:sz w:val="24"/>
                <w:lang w:val="sq-AL"/>
              </w:rPr>
              <w:t>23.64</w:t>
            </w:r>
          </w:p>
        </w:tc>
        <w:tc>
          <w:tcPr>
            <w:tcW w:w="1858"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12"/>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341.19</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2"/>
                <w:sz w:val="24"/>
                <w:lang w:val="sq-AL"/>
              </w:rPr>
              <w:t>32.59</w:t>
            </w:r>
          </w:p>
        </w:tc>
      </w:tr>
      <w:tr w:rsidR="005D14DF" w:rsidRPr="005D14DF" w:rsidTr="005D14DF">
        <w:trPr>
          <w:trHeight w:val="830"/>
        </w:trPr>
        <w:tc>
          <w:tcPr>
            <w:tcW w:w="2252"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lastRenderedPageBreak/>
              <w:t>Stacioni</w:t>
            </w:r>
            <w:r w:rsidRPr="005D14DF">
              <w:rPr>
                <w:rFonts w:ascii="Times New Roman" w:eastAsia="Times New Roman" w:hAnsi="Times New Roman" w:cs="Times New Roman"/>
                <w:spacing w:val="-7"/>
                <w:sz w:val="24"/>
                <w:lang w:val="sq-AL"/>
              </w:rPr>
              <w:t xml:space="preserve"> </w:t>
            </w:r>
            <w:r w:rsidRPr="005D14DF">
              <w:rPr>
                <w:rFonts w:ascii="Times New Roman" w:eastAsia="Times New Roman" w:hAnsi="Times New Roman" w:cs="Times New Roman"/>
                <w:sz w:val="24"/>
                <w:lang w:val="sq-AL"/>
              </w:rPr>
              <w:t>për</w:t>
            </w:r>
            <w:r w:rsidRPr="005D14DF">
              <w:rPr>
                <w:rFonts w:ascii="Times New Roman" w:eastAsia="Times New Roman" w:hAnsi="Times New Roman" w:cs="Times New Roman"/>
                <w:spacing w:val="5"/>
                <w:sz w:val="24"/>
                <w:lang w:val="sq-AL"/>
              </w:rPr>
              <w:t xml:space="preserve"> </w:t>
            </w:r>
            <w:r w:rsidRPr="005D14DF">
              <w:rPr>
                <w:rFonts w:ascii="Times New Roman" w:eastAsia="Times New Roman" w:hAnsi="Times New Roman" w:cs="Times New Roman"/>
                <w:spacing w:val="-2"/>
                <w:sz w:val="24"/>
                <w:lang w:val="sq-AL"/>
              </w:rPr>
              <w:t>Fallout</w:t>
            </w:r>
          </w:p>
        </w:tc>
        <w:tc>
          <w:tcPr>
            <w:tcW w:w="1800"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Aktiviteti</w:t>
            </w:r>
            <w:r w:rsidRPr="005D14DF">
              <w:rPr>
                <w:rFonts w:ascii="Times New Roman" w:eastAsia="Times New Roman" w:hAnsi="Times New Roman" w:cs="Times New Roman"/>
                <w:spacing w:val="-8"/>
                <w:sz w:val="24"/>
                <w:lang w:val="sq-AL"/>
              </w:rPr>
              <w:t xml:space="preserve"> </w:t>
            </w:r>
            <w:r w:rsidRPr="005D14DF">
              <w:rPr>
                <w:rFonts w:ascii="Times New Roman" w:eastAsia="Times New Roman" w:hAnsi="Times New Roman" w:cs="Times New Roman"/>
                <w:spacing w:val="-4"/>
                <w:sz w:val="24"/>
                <w:lang w:val="sq-AL"/>
              </w:rPr>
              <w:t>alfa</w:t>
            </w:r>
          </w:p>
          <w:p w:rsidR="005D14DF" w:rsidRPr="005D14DF" w:rsidRDefault="005D14DF" w:rsidP="005D14DF">
            <w:pPr>
              <w:widowControl w:val="0"/>
              <w:autoSpaceDE w:val="0"/>
              <w:autoSpaceDN w:val="0"/>
              <w:spacing w:after="0" w:line="274" w:lineRule="exact"/>
              <w:ind w:left="105" w:right="260"/>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total</w:t>
            </w:r>
            <w:r w:rsidRPr="005D14DF">
              <w:rPr>
                <w:rFonts w:ascii="Times New Roman" w:eastAsia="Times New Roman" w:hAnsi="Times New Roman" w:cs="Times New Roman"/>
                <w:spacing w:val="-15"/>
                <w:sz w:val="24"/>
                <w:lang w:val="sq-AL"/>
              </w:rPr>
              <w:t xml:space="preserve"> </w:t>
            </w:r>
            <w:r w:rsidRPr="005D14DF">
              <w:rPr>
                <w:rFonts w:ascii="Times New Roman" w:eastAsia="Times New Roman" w:hAnsi="Times New Roman" w:cs="Times New Roman"/>
                <w:sz w:val="24"/>
                <w:lang w:val="sq-AL"/>
              </w:rPr>
              <w:t xml:space="preserve">(Qershor) </w:t>
            </w:r>
            <w:r w:rsidRPr="005D14DF">
              <w:rPr>
                <w:rFonts w:ascii="Times New Roman" w:eastAsia="Times New Roman" w:hAnsi="Times New Roman" w:cs="Times New Roman"/>
                <w:spacing w:val="-2"/>
                <w:sz w:val="24"/>
                <w:lang w:val="sq-AL"/>
              </w:rPr>
              <w:t>Bq/m</w:t>
            </w:r>
            <w:r w:rsidRPr="005D14DF">
              <w:rPr>
                <w:rFonts w:ascii="Times New Roman" w:eastAsia="Times New Roman" w:hAnsi="Times New Roman" w:cs="Times New Roman"/>
                <w:spacing w:val="-2"/>
                <w:sz w:val="24"/>
                <w:vertAlign w:val="superscript"/>
                <w:lang w:val="sq-AL"/>
              </w:rPr>
              <w:t>2</w:t>
            </w:r>
            <w:r w:rsidRPr="005D14DF">
              <w:rPr>
                <w:rFonts w:ascii="Times New Roman" w:eastAsia="Times New Roman" w:hAnsi="Times New Roman" w:cs="Times New Roman"/>
                <w:spacing w:val="-2"/>
                <w:sz w:val="24"/>
                <w:lang w:val="sq-AL"/>
              </w:rPr>
              <w:t>muaj</w:t>
            </w:r>
          </w:p>
        </w:tc>
        <w:tc>
          <w:tcPr>
            <w:tcW w:w="1637"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6"/>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Aktiviteti</w:t>
            </w:r>
            <w:r w:rsidRPr="005D14DF">
              <w:rPr>
                <w:rFonts w:ascii="Times New Roman" w:eastAsia="Times New Roman" w:hAnsi="Times New Roman" w:cs="Times New Roman"/>
                <w:spacing w:val="-8"/>
                <w:sz w:val="24"/>
                <w:lang w:val="sq-AL"/>
              </w:rPr>
              <w:t xml:space="preserve"> </w:t>
            </w:r>
            <w:r w:rsidRPr="005D14DF">
              <w:rPr>
                <w:rFonts w:ascii="Times New Roman" w:eastAsia="Times New Roman" w:hAnsi="Times New Roman" w:cs="Times New Roman"/>
                <w:spacing w:val="-4"/>
                <w:sz w:val="24"/>
                <w:lang w:val="sq-AL"/>
              </w:rPr>
              <w:t>alfa</w:t>
            </w:r>
          </w:p>
          <w:p w:rsidR="005D14DF" w:rsidRPr="005D14DF" w:rsidRDefault="005D14DF" w:rsidP="005D14DF">
            <w:pPr>
              <w:widowControl w:val="0"/>
              <w:autoSpaceDE w:val="0"/>
              <w:autoSpaceDN w:val="0"/>
              <w:spacing w:after="0" w:line="274" w:lineRule="exact"/>
              <w:ind w:left="106" w:right="203"/>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total</w:t>
            </w:r>
            <w:r w:rsidRPr="005D14DF">
              <w:rPr>
                <w:rFonts w:ascii="Times New Roman" w:eastAsia="Times New Roman" w:hAnsi="Times New Roman" w:cs="Times New Roman"/>
                <w:spacing w:val="-15"/>
                <w:sz w:val="24"/>
                <w:lang w:val="sq-AL"/>
              </w:rPr>
              <w:t xml:space="preserve"> </w:t>
            </w:r>
            <w:r w:rsidRPr="005D14DF">
              <w:rPr>
                <w:rFonts w:ascii="Times New Roman" w:eastAsia="Times New Roman" w:hAnsi="Times New Roman" w:cs="Times New Roman"/>
                <w:sz w:val="24"/>
                <w:lang w:val="sq-AL"/>
              </w:rPr>
              <w:t xml:space="preserve">(Nëntor) </w:t>
            </w:r>
            <w:r w:rsidRPr="005D14DF">
              <w:rPr>
                <w:rFonts w:ascii="Times New Roman" w:eastAsia="Times New Roman" w:hAnsi="Times New Roman" w:cs="Times New Roman"/>
                <w:spacing w:val="-2"/>
                <w:sz w:val="24"/>
                <w:lang w:val="sq-AL"/>
              </w:rPr>
              <w:t>Bq/m</w:t>
            </w:r>
            <w:r w:rsidRPr="005D14DF">
              <w:rPr>
                <w:rFonts w:ascii="Times New Roman" w:eastAsia="Times New Roman" w:hAnsi="Times New Roman" w:cs="Times New Roman"/>
                <w:spacing w:val="-2"/>
                <w:sz w:val="24"/>
                <w:vertAlign w:val="superscript"/>
                <w:lang w:val="sq-AL"/>
              </w:rPr>
              <w:t>2</w:t>
            </w:r>
            <w:r w:rsidRPr="005D14DF">
              <w:rPr>
                <w:rFonts w:ascii="Times New Roman" w:eastAsia="Times New Roman" w:hAnsi="Times New Roman" w:cs="Times New Roman"/>
                <w:spacing w:val="-2"/>
                <w:sz w:val="24"/>
                <w:lang w:val="sq-AL"/>
              </w:rPr>
              <w:t>muaj</w:t>
            </w:r>
          </w:p>
        </w:tc>
        <w:tc>
          <w:tcPr>
            <w:tcW w:w="2083"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06"/>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Aktiviteti</w:t>
            </w:r>
            <w:r w:rsidRPr="005D14DF">
              <w:rPr>
                <w:rFonts w:ascii="Times New Roman" w:eastAsia="Times New Roman" w:hAnsi="Times New Roman" w:cs="Times New Roman"/>
                <w:spacing w:val="-9"/>
                <w:sz w:val="24"/>
                <w:lang w:val="sq-AL"/>
              </w:rPr>
              <w:t xml:space="preserve"> </w:t>
            </w:r>
            <w:r w:rsidRPr="005D14DF">
              <w:rPr>
                <w:rFonts w:ascii="Times New Roman" w:eastAsia="Times New Roman" w:hAnsi="Times New Roman" w:cs="Times New Roman"/>
                <w:sz w:val="24"/>
                <w:lang w:val="sq-AL"/>
              </w:rPr>
              <w:t>beta</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4"/>
                <w:sz w:val="24"/>
                <w:lang w:val="sq-AL"/>
              </w:rPr>
              <w:t>total</w:t>
            </w:r>
          </w:p>
          <w:p w:rsidR="005D14DF" w:rsidRPr="005D14DF" w:rsidRDefault="005D14DF" w:rsidP="005D14DF">
            <w:pPr>
              <w:widowControl w:val="0"/>
              <w:autoSpaceDE w:val="0"/>
              <w:autoSpaceDN w:val="0"/>
              <w:spacing w:after="0" w:line="274" w:lineRule="exact"/>
              <w:ind w:left="106" w:right="831"/>
              <w:rPr>
                <w:rFonts w:ascii="Times New Roman" w:eastAsia="Times New Roman" w:hAnsi="Times New Roman" w:cs="Times New Roman"/>
                <w:sz w:val="24"/>
                <w:lang w:val="sq-AL"/>
              </w:rPr>
            </w:pPr>
            <w:r w:rsidRPr="005D14DF">
              <w:rPr>
                <w:rFonts w:ascii="Times New Roman" w:eastAsia="Times New Roman" w:hAnsi="Times New Roman" w:cs="Times New Roman"/>
                <w:spacing w:val="-2"/>
                <w:sz w:val="24"/>
                <w:lang w:val="sq-AL"/>
              </w:rPr>
              <w:t>(Qershor) Bq/m2muaj</w:t>
            </w:r>
          </w:p>
        </w:tc>
        <w:tc>
          <w:tcPr>
            <w:tcW w:w="1858"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68" w:lineRule="exact"/>
              <w:ind w:left="112"/>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Aktiviteti</w:t>
            </w:r>
            <w:r w:rsidRPr="005D14DF">
              <w:rPr>
                <w:rFonts w:ascii="Times New Roman" w:eastAsia="Times New Roman" w:hAnsi="Times New Roman" w:cs="Times New Roman"/>
                <w:spacing w:val="-8"/>
                <w:sz w:val="24"/>
                <w:lang w:val="sq-AL"/>
              </w:rPr>
              <w:t xml:space="preserve"> </w:t>
            </w:r>
            <w:r w:rsidRPr="005D14DF">
              <w:rPr>
                <w:rFonts w:ascii="Times New Roman" w:eastAsia="Times New Roman" w:hAnsi="Times New Roman" w:cs="Times New Roman"/>
                <w:spacing w:val="-4"/>
                <w:sz w:val="24"/>
                <w:lang w:val="sq-AL"/>
              </w:rPr>
              <w:t>beta</w:t>
            </w:r>
          </w:p>
          <w:p w:rsidR="005D14DF" w:rsidRPr="005D14DF" w:rsidRDefault="005D14DF" w:rsidP="005D14DF">
            <w:pPr>
              <w:widowControl w:val="0"/>
              <w:autoSpaceDE w:val="0"/>
              <w:autoSpaceDN w:val="0"/>
              <w:spacing w:after="0" w:line="274" w:lineRule="exact"/>
              <w:ind w:left="112" w:right="418"/>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total</w:t>
            </w:r>
            <w:r w:rsidRPr="005D14DF">
              <w:rPr>
                <w:rFonts w:ascii="Times New Roman" w:eastAsia="Times New Roman" w:hAnsi="Times New Roman" w:cs="Times New Roman"/>
                <w:spacing w:val="-15"/>
                <w:sz w:val="24"/>
                <w:lang w:val="sq-AL"/>
              </w:rPr>
              <w:t xml:space="preserve"> </w:t>
            </w:r>
            <w:r w:rsidRPr="005D14DF">
              <w:rPr>
                <w:rFonts w:ascii="Times New Roman" w:eastAsia="Times New Roman" w:hAnsi="Times New Roman" w:cs="Times New Roman"/>
                <w:sz w:val="24"/>
                <w:lang w:val="sq-AL"/>
              </w:rPr>
              <w:t xml:space="preserve">(Nëntor) </w:t>
            </w:r>
            <w:r w:rsidRPr="005D14DF">
              <w:rPr>
                <w:rFonts w:ascii="Times New Roman" w:eastAsia="Times New Roman" w:hAnsi="Times New Roman" w:cs="Times New Roman"/>
                <w:spacing w:val="-2"/>
                <w:sz w:val="24"/>
                <w:lang w:val="sq-AL"/>
              </w:rPr>
              <w:t>Bq/m</w:t>
            </w:r>
            <w:r w:rsidRPr="005D14DF">
              <w:rPr>
                <w:rFonts w:ascii="Times New Roman" w:eastAsia="Times New Roman" w:hAnsi="Times New Roman" w:cs="Times New Roman"/>
                <w:spacing w:val="-2"/>
                <w:sz w:val="24"/>
                <w:vertAlign w:val="superscript"/>
                <w:lang w:val="sq-AL"/>
              </w:rPr>
              <w:t>2</w:t>
            </w:r>
            <w:r w:rsidRPr="005D14DF">
              <w:rPr>
                <w:rFonts w:ascii="Times New Roman" w:eastAsia="Times New Roman" w:hAnsi="Times New Roman" w:cs="Times New Roman"/>
                <w:spacing w:val="-2"/>
                <w:sz w:val="24"/>
                <w:lang w:val="sq-AL"/>
              </w:rPr>
              <w:t>muaj</w:t>
            </w:r>
          </w:p>
        </w:tc>
      </w:tr>
      <w:tr w:rsidR="005D14DF" w:rsidRPr="005D14DF" w:rsidTr="005D14DF">
        <w:trPr>
          <w:trHeight w:val="273"/>
        </w:trPr>
        <w:tc>
          <w:tcPr>
            <w:tcW w:w="2252"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53"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IFBZ,</w:t>
            </w:r>
            <w:r w:rsidRPr="005D14DF">
              <w:rPr>
                <w:rFonts w:ascii="Times New Roman" w:eastAsia="Times New Roman" w:hAnsi="Times New Roman" w:cs="Times New Roman"/>
                <w:spacing w:val="-6"/>
                <w:sz w:val="24"/>
                <w:lang w:val="sq-AL"/>
              </w:rPr>
              <w:t xml:space="preserve"> </w:t>
            </w:r>
            <w:r w:rsidRPr="005D14DF">
              <w:rPr>
                <w:rFonts w:ascii="Times New Roman" w:eastAsia="Times New Roman" w:hAnsi="Times New Roman" w:cs="Times New Roman"/>
                <w:spacing w:val="-2"/>
                <w:sz w:val="24"/>
                <w:lang w:val="sq-AL"/>
              </w:rPr>
              <w:t>Tiranë</w:t>
            </w:r>
          </w:p>
        </w:tc>
        <w:tc>
          <w:tcPr>
            <w:tcW w:w="1800"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53" w:lineRule="exact"/>
              <w:ind w:left="105"/>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&lt;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4"/>
                <w:sz w:val="24"/>
                <w:lang w:val="sq-AL"/>
              </w:rPr>
              <w:t>LLD*</w:t>
            </w:r>
          </w:p>
        </w:tc>
        <w:tc>
          <w:tcPr>
            <w:tcW w:w="1637"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53" w:lineRule="exact"/>
              <w:ind w:left="106"/>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&lt;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5"/>
                <w:sz w:val="24"/>
                <w:lang w:val="sq-AL"/>
              </w:rPr>
              <w:t>LLD</w:t>
            </w:r>
          </w:p>
        </w:tc>
        <w:tc>
          <w:tcPr>
            <w:tcW w:w="2083"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53" w:lineRule="exact"/>
              <w:ind w:left="466"/>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0.5</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2"/>
                <w:sz w:val="24"/>
                <w:lang w:val="sq-AL"/>
              </w:rPr>
              <w:t>0.004</w:t>
            </w:r>
          </w:p>
        </w:tc>
        <w:tc>
          <w:tcPr>
            <w:tcW w:w="1858" w:type="dxa"/>
            <w:tcBorders>
              <w:top w:val="single" w:sz="4" w:space="0" w:color="000000"/>
              <w:left w:val="single" w:sz="4" w:space="0" w:color="000000"/>
              <w:bottom w:val="single" w:sz="4" w:space="0" w:color="000000"/>
              <w:right w:val="single" w:sz="4" w:space="0" w:color="000000"/>
            </w:tcBorders>
            <w:hideMark/>
          </w:tcPr>
          <w:p w:rsidR="005D14DF" w:rsidRPr="005D14DF" w:rsidRDefault="005D14DF" w:rsidP="005D14DF">
            <w:pPr>
              <w:widowControl w:val="0"/>
              <w:autoSpaceDE w:val="0"/>
              <w:autoSpaceDN w:val="0"/>
              <w:spacing w:after="0" w:line="253" w:lineRule="exact"/>
              <w:ind w:left="112"/>
              <w:rPr>
                <w:rFonts w:ascii="Times New Roman" w:eastAsia="Times New Roman" w:hAnsi="Times New Roman" w:cs="Times New Roman"/>
                <w:sz w:val="24"/>
                <w:lang w:val="sq-AL"/>
              </w:rPr>
            </w:pPr>
            <w:r w:rsidRPr="005D14DF">
              <w:rPr>
                <w:rFonts w:ascii="Times New Roman" w:eastAsia="Times New Roman" w:hAnsi="Times New Roman" w:cs="Times New Roman"/>
                <w:sz w:val="24"/>
                <w:lang w:val="sq-AL"/>
              </w:rPr>
              <w:t>0.3</w:t>
            </w:r>
            <w:r w:rsidRPr="005D14DF">
              <w:rPr>
                <w:rFonts w:ascii="Times New Roman" w:eastAsia="Times New Roman" w:hAnsi="Times New Roman" w:cs="Times New Roman"/>
                <w:spacing w:val="3"/>
                <w:sz w:val="24"/>
                <w:lang w:val="sq-AL"/>
              </w:rPr>
              <w:t xml:space="preserve"> </w:t>
            </w:r>
            <w:r w:rsidRPr="005D14DF">
              <w:rPr>
                <w:rFonts w:ascii="Times New Roman" w:eastAsia="Times New Roman" w:hAnsi="Times New Roman" w:cs="Times New Roman"/>
                <w:sz w:val="24"/>
                <w:lang w:val="sq-AL"/>
              </w:rPr>
              <w:t>±</w:t>
            </w:r>
            <w:r w:rsidRPr="005D14DF">
              <w:rPr>
                <w:rFonts w:ascii="Times New Roman" w:eastAsia="Times New Roman" w:hAnsi="Times New Roman" w:cs="Times New Roman"/>
                <w:spacing w:val="1"/>
                <w:sz w:val="24"/>
                <w:lang w:val="sq-AL"/>
              </w:rPr>
              <w:t xml:space="preserve"> </w:t>
            </w:r>
            <w:r w:rsidRPr="005D14DF">
              <w:rPr>
                <w:rFonts w:ascii="Times New Roman" w:eastAsia="Times New Roman" w:hAnsi="Times New Roman" w:cs="Times New Roman"/>
                <w:spacing w:val="-4"/>
                <w:sz w:val="24"/>
                <w:lang w:val="sq-AL"/>
              </w:rPr>
              <w:t>0.05</w:t>
            </w:r>
          </w:p>
        </w:tc>
      </w:tr>
    </w:tbl>
    <w:p w:rsidR="005D14DF" w:rsidRPr="005D14DF" w:rsidRDefault="005D14DF" w:rsidP="005D14DF">
      <w:pPr>
        <w:widowControl w:val="0"/>
        <w:autoSpaceDE w:val="0"/>
        <w:autoSpaceDN w:val="0"/>
        <w:spacing w:before="15" w:after="0" w:line="240" w:lineRule="auto"/>
        <w:ind w:left="360"/>
        <w:rPr>
          <w:rFonts w:ascii="Times New Roman" w:eastAsia="Times New Roman" w:hAnsi="Times New Roman" w:cs="Times New Roman"/>
          <w:sz w:val="24"/>
          <w:szCs w:val="24"/>
          <w:lang w:val="sq-AL"/>
        </w:rPr>
      </w:pPr>
      <w:r w:rsidRPr="005D14DF">
        <w:rPr>
          <w:rFonts w:ascii="Times New Roman" w:eastAsia="Times New Roman" w:hAnsi="Times New Roman" w:cs="Times New Roman"/>
          <w:b/>
          <w:sz w:val="24"/>
          <w:szCs w:val="24"/>
          <w:lang w:val="sq-AL"/>
        </w:rPr>
        <w:t>* LLD</w:t>
      </w:r>
      <w:r w:rsidRPr="005D14DF">
        <w:rPr>
          <w:rFonts w:ascii="Times New Roman" w:eastAsia="Times New Roman" w:hAnsi="Times New Roman" w:cs="Times New Roman"/>
          <w:b/>
          <w:spacing w:val="1"/>
          <w:sz w:val="24"/>
          <w:szCs w:val="24"/>
          <w:lang w:val="sq-AL"/>
        </w:rPr>
        <w:t xml:space="preserve"> </w:t>
      </w:r>
      <w:r w:rsidRPr="005D14DF">
        <w:rPr>
          <w:rFonts w:ascii="Times New Roman" w:eastAsia="Times New Roman" w:hAnsi="Times New Roman" w:cs="Times New Roman"/>
          <w:sz w:val="24"/>
          <w:szCs w:val="24"/>
          <w:lang w:val="sq-AL"/>
        </w:rPr>
        <w:t>Limiti</w:t>
      </w:r>
      <w:r w:rsidRPr="005D14DF">
        <w:rPr>
          <w:rFonts w:ascii="Times New Roman" w:eastAsia="Times New Roman" w:hAnsi="Times New Roman" w:cs="Times New Roman"/>
          <w:spacing w:val="-5"/>
          <w:sz w:val="24"/>
          <w:szCs w:val="24"/>
          <w:lang w:val="sq-AL"/>
        </w:rPr>
        <w:t xml:space="preserve"> </w:t>
      </w:r>
      <w:r w:rsidRPr="005D14DF">
        <w:rPr>
          <w:rFonts w:ascii="Times New Roman" w:eastAsia="Times New Roman" w:hAnsi="Times New Roman" w:cs="Times New Roman"/>
          <w:sz w:val="24"/>
          <w:szCs w:val="24"/>
          <w:lang w:val="sq-AL"/>
        </w:rPr>
        <w:t>më</w:t>
      </w:r>
      <w:r w:rsidRPr="005D14DF">
        <w:rPr>
          <w:rFonts w:ascii="Times New Roman" w:eastAsia="Times New Roman" w:hAnsi="Times New Roman" w:cs="Times New Roman"/>
          <w:spacing w:val="5"/>
          <w:sz w:val="24"/>
          <w:szCs w:val="24"/>
          <w:lang w:val="sq-AL"/>
        </w:rPr>
        <w:t xml:space="preserve"> </w:t>
      </w:r>
      <w:r w:rsidRPr="005D14DF">
        <w:rPr>
          <w:rFonts w:ascii="Times New Roman" w:eastAsia="Times New Roman" w:hAnsi="Times New Roman" w:cs="Times New Roman"/>
          <w:sz w:val="24"/>
          <w:szCs w:val="24"/>
          <w:lang w:val="sq-AL"/>
        </w:rPr>
        <w:t>i</w:t>
      </w:r>
      <w:r w:rsidRPr="005D14DF">
        <w:rPr>
          <w:rFonts w:ascii="Times New Roman" w:eastAsia="Times New Roman" w:hAnsi="Times New Roman" w:cs="Times New Roman"/>
          <w:spacing w:val="-5"/>
          <w:sz w:val="24"/>
          <w:szCs w:val="24"/>
          <w:lang w:val="sq-AL"/>
        </w:rPr>
        <w:t xml:space="preserve"> </w:t>
      </w:r>
      <w:r w:rsidRPr="005D14DF">
        <w:rPr>
          <w:rFonts w:ascii="Times New Roman" w:eastAsia="Times New Roman" w:hAnsi="Times New Roman" w:cs="Times New Roman"/>
          <w:sz w:val="24"/>
          <w:szCs w:val="24"/>
          <w:lang w:val="sq-AL"/>
        </w:rPr>
        <w:t>vogel</w:t>
      </w:r>
      <w:r w:rsidRPr="005D14DF">
        <w:rPr>
          <w:rFonts w:ascii="Times New Roman" w:eastAsia="Times New Roman" w:hAnsi="Times New Roman" w:cs="Times New Roman"/>
          <w:spacing w:val="-4"/>
          <w:sz w:val="24"/>
          <w:szCs w:val="24"/>
          <w:lang w:val="sq-AL"/>
        </w:rPr>
        <w:t xml:space="preserve"> </w:t>
      </w:r>
      <w:r w:rsidRPr="005D14DF">
        <w:rPr>
          <w:rFonts w:ascii="Times New Roman" w:eastAsia="Times New Roman" w:hAnsi="Times New Roman" w:cs="Times New Roman"/>
          <w:sz w:val="24"/>
          <w:szCs w:val="24"/>
          <w:lang w:val="sq-AL"/>
        </w:rPr>
        <w:t>i</w:t>
      </w:r>
      <w:r w:rsidRPr="005D14DF">
        <w:rPr>
          <w:rFonts w:ascii="Times New Roman" w:eastAsia="Times New Roman" w:hAnsi="Times New Roman" w:cs="Times New Roman"/>
          <w:spacing w:val="-8"/>
          <w:sz w:val="24"/>
          <w:szCs w:val="24"/>
          <w:lang w:val="sq-AL"/>
        </w:rPr>
        <w:t xml:space="preserve"> </w:t>
      </w:r>
      <w:r w:rsidRPr="005D14DF">
        <w:rPr>
          <w:rFonts w:ascii="Times New Roman" w:eastAsia="Times New Roman" w:hAnsi="Times New Roman" w:cs="Times New Roman"/>
          <w:spacing w:val="-2"/>
          <w:sz w:val="24"/>
          <w:szCs w:val="24"/>
          <w:lang w:val="sq-AL"/>
        </w:rPr>
        <w:t>detektimit</w:t>
      </w:r>
    </w:p>
    <w:p w:rsidR="00465EBF" w:rsidRDefault="00465EBF" w:rsidP="00144992">
      <w:pPr>
        <w:widowControl w:val="0"/>
        <w:autoSpaceDE w:val="0"/>
        <w:autoSpaceDN w:val="0"/>
        <w:spacing w:after="0" w:line="240" w:lineRule="auto"/>
        <w:jc w:val="both"/>
        <w:rPr>
          <w:rFonts w:ascii="Times New Roman" w:eastAsia="Times New Roman" w:hAnsi="Times New Roman" w:cs="Times New Roman"/>
          <w:sz w:val="24"/>
          <w:szCs w:val="24"/>
          <w:lang w:val="sq-AL"/>
        </w:rPr>
      </w:pPr>
    </w:p>
    <w:p w:rsidR="00A35947" w:rsidRPr="00A35947" w:rsidRDefault="00A35947" w:rsidP="00144992">
      <w:pPr>
        <w:widowControl w:val="0"/>
        <w:autoSpaceDE w:val="0"/>
        <w:autoSpaceDN w:val="0"/>
        <w:spacing w:after="0" w:line="240" w:lineRule="auto"/>
        <w:jc w:val="both"/>
        <w:rPr>
          <w:rFonts w:ascii="Times New Roman" w:eastAsia="Times New Roman" w:hAnsi="Times New Roman" w:cs="Times New Roman"/>
          <w:sz w:val="24"/>
          <w:szCs w:val="24"/>
          <w:lang w:val="sq-AL"/>
        </w:rPr>
      </w:pPr>
      <w:r w:rsidRPr="00A35947">
        <w:rPr>
          <w:rFonts w:ascii="Times New Roman" w:eastAsia="Times New Roman" w:hAnsi="Times New Roman" w:cs="Times New Roman"/>
          <w:sz w:val="24"/>
          <w:szCs w:val="24"/>
          <w:lang w:val="sq-AL"/>
        </w:rPr>
        <w:t>Treguesit e pranisë së ndotjes radioaktive në ujë janë përqëndrimi i aktiviteit alfa/beta total, radionuklidet natyrore: Uranium – 238, Uranium – 234, Radium – 226, Radium – 228, radionuklidet artificiale: Karbon -14, Stroncium – 90, Plutonium 239/240, Americium – 241, Kobalt – 60, Cezium -134, Cezium – 137, Jod – 131.</w:t>
      </w:r>
    </w:p>
    <w:p w:rsidR="00A35947" w:rsidRDefault="00A35947" w:rsidP="00D67F76">
      <w:pPr>
        <w:widowControl w:val="0"/>
        <w:autoSpaceDE w:val="0"/>
        <w:autoSpaceDN w:val="0"/>
        <w:spacing w:after="0" w:line="275" w:lineRule="exact"/>
        <w:jc w:val="both"/>
        <w:outlineLvl w:val="0"/>
        <w:rPr>
          <w:rFonts w:ascii="Times New Roman" w:eastAsia="Times New Roman" w:hAnsi="Times New Roman" w:cs="Times New Roman"/>
          <w:b/>
          <w:bCs/>
          <w:sz w:val="24"/>
          <w:szCs w:val="24"/>
          <w:lang w:val="sq-AL"/>
        </w:rPr>
      </w:pPr>
    </w:p>
    <w:p w:rsidR="005D14DF" w:rsidRPr="005D14DF" w:rsidRDefault="005D14DF" w:rsidP="00D67F76">
      <w:pPr>
        <w:widowControl w:val="0"/>
        <w:autoSpaceDE w:val="0"/>
        <w:autoSpaceDN w:val="0"/>
        <w:spacing w:after="0" w:line="275" w:lineRule="exact"/>
        <w:jc w:val="both"/>
        <w:outlineLvl w:val="0"/>
        <w:rPr>
          <w:rFonts w:ascii="Times New Roman" w:eastAsia="Times New Roman" w:hAnsi="Times New Roman" w:cs="Times New Roman"/>
          <w:b/>
          <w:bCs/>
          <w:sz w:val="24"/>
          <w:szCs w:val="24"/>
          <w:lang w:val="sq-AL"/>
        </w:rPr>
      </w:pPr>
      <w:r w:rsidRPr="005D14DF">
        <w:rPr>
          <w:rFonts w:ascii="Times New Roman" w:eastAsia="Times New Roman" w:hAnsi="Times New Roman" w:cs="Times New Roman"/>
          <w:b/>
          <w:bCs/>
          <w:sz w:val="24"/>
          <w:szCs w:val="24"/>
          <w:lang w:val="sq-AL"/>
        </w:rPr>
        <w:t>Aktiviteti</w:t>
      </w:r>
      <w:r w:rsidRPr="005D14DF">
        <w:rPr>
          <w:rFonts w:ascii="Times New Roman" w:eastAsia="Times New Roman" w:hAnsi="Times New Roman" w:cs="Times New Roman"/>
          <w:b/>
          <w:bCs/>
          <w:spacing w:val="-2"/>
          <w:sz w:val="24"/>
          <w:szCs w:val="24"/>
          <w:lang w:val="sq-AL"/>
        </w:rPr>
        <w:t xml:space="preserve"> </w:t>
      </w:r>
      <w:r w:rsidRPr="005D14DF">
        <w:rPr>
          <w:rFonts w:ascii="Times New Roman" w:eastAsia="Times New Roman" w:hAnsi="Times New Roman" w:cs="Times New Roman"/>
          <w:b/>
          <w:bCs/>
          <w:sz w:val="24"/>
          <w:szCs w:val="24"/>
          <w:lang w:val="sq-AL"/>
        </w:rPr>
        <w:t>alfa-total</w:t>
      </w:r>
      <w:r w:rsidRPr="005D14DF">
        <w:rPr>
          <w:rFonts w:ascii="Times New Roman" w:eastAsia="Times New Roman" w:hAnsi="Times New Roman" w:cs="Times New Roman"/>
          <w:b/>
          <w:bCs/>
          <w:spacing w:val="-5"/>
          <w:sz w:val="24"/>
          <w:szCs w:val="24"/>
          <w:lang w:val="sq-AL"/>
        </w:rPr>
        <w:t xml:space="preserve"> </w:t>
      </w:r>
      <w:r w:rsidRPr="005D14DF">
        <w:rPr>
          <w:rFonts w:ascii="Times New Roman" w:eastAsia="Times New Roman" w:hAnsi="Times New Roman" w:cs="Times New Roman"/>
          <w:b/>
          <w:bCs/>
          <w:sz w:val="24"/>
          <w:szCs w:val="24"/>
          <w:lang w:val="sq-AL"/>
        </w:rPr>
        <w:t>i</w:t>
      </w:r>
      <w:r w:rsidRPr="005D14DF">
        <w:rPr>
          <w:rFonts w:ascii="Times New Roman" w:eastAsia="Times New Roman" w:hAnsi="Times New Roman" w:cs="Times New Roman"/>
          <w:b/>
          <w:bCs/>
          <w:spacing w:val="1"/>
          <w:sz w:val="24"/>
          <w:szCs w:val="24"/>
          <w:lang w:val="sq-AL"/>
        </w:rPr>
        <w:t xml:space="preserve"> </w:t>
      </w:r>
      <w:r w:rsidRPr="005D14DF">
        <w:rPr>
          <w:rFonts w:ascii="Times New Roman" w:eastAsia="Times New Roman" w:hAnsi="Times New Roman" w:cs="Times New Roman"/>
          <w:b/>
          <w:bCs/>
          <w:sz w:val="24"/>
          <w:szCs w:val="24"/>
          <w:lang w:val="sq-AL"/>
        </w:rPr>
        <w:t>ujërave</w:t>
      </w:r>
      <w:r w:rsidRPr="005D14DF">
        <w:rPr>
          <w:rFonts w:ascii="Times New Roman" w:eastAsia="Times New Roman" w:hAnsi="Times New Roman" w:cs="Times New Roman"/>
          <w:b/>
          <w:bCs/>
          <w:spacing w:val="-2"/>
          <w:sz w:val="24"/>
          <w:szCs w:val="24"/>
          <w:lang w:val="sq-AL"/>
        </w:rPr>
        <w:t xml:space="preserve"> </w:t>
      </w:r>
      <w:r w:rsidRPr="005D14DF">
        <w:rPr>
          <w:rFonts w:ascii="Times New Roman" w:eastAsia="Times New Roman" w:hAnsi="Times New Roman" w:cs="Times New Roman"/>
          <w:b/>
          <w:bCs/>
          <w:sz w:val="24"/>
          <w:szCs w:val="24"/>
          <w:lang w:val="sq-AL"/>
        </w:rPr>
        <w:t>të</w:t>
      </w:r>
      <w:r w:rsidRPr="005D14DF">
        <w:rPr>
          <w:rFonts w:ascii="Times New Roman" w:eastAsia="Times New Roman" w:hAnsi="Times New Roman" w:cs="Times New Roman"/>
          <w:b/>
          <w:bCs/>
          <w:spacing w:val="-2"/>
          <w:sz w:val="24"/>
          <w:szCs w:val="24"/>
          <w:lang w:val="sq-AL"/>
        </w:rPr>
        <w:t xml:space="preserve"> </w:t>
      </w:r>
      <w:r w:rsidRPr="005D14DF">
        <w:rPr>
          <w:rFonts w:ascii="Times New Roman" w:eastAsia="Times New Roman" w:hAnsi="Times New Roman" w:cs="Times New Roman"/>
          <w:b/>
          <w:bCs/>
          <w:sz w:val="24"/>
          <w:szCs w:val="24"/>
          <w:lang w:val="sq-AL"/>
        </w:rPr>
        <w:t>lumenjve</w:t>
      </w:r>
      <w:r w:rsidRPr="005D14DF">
        <w:rPr>
          <w:rFonts w:ascii="Times New Roman" w:eastAsia="Times New Roman" w:hAnsi="Times New Roman" w:cs="Times New Roman"/>
          <w:b/>
          <w:bCs/>
          <w:spacing w:val="-1"/>
          <w:sz w:val="24"/>
          <w:szCs w:val="24"/>
          <w:lang w:val="sq-AL"/>
        </w:rPr>
        <w:t xml:space="preserve"> </w:t>
      </w:r>
      <w:r w:rsidRPr="005D14DF">
        <w:rPr>
          <w:rFonts w:ascii="Times New Roman" w:eastAsia="Times New Roman" w:hAnsi="Times New Roman" w:cs="Times New Roman"/>
          <w:b/>
          <w:bCs/>
          <w:sz w:val="24"/>
          <w:szCs w:val="24"/>
          <w:lang w:val="sq-AL"/>
        </w:rPr>
        <w:t>të</w:t>
      </w:r>
      <w:r w:rsidRPr="005D14DF">
        <w:rPr>
          <w:rFonts w:ascii="Times New Roman" w:eastAsia="Times New Roman" w:hAnsi="Times New Roman" w:cs="Times New Roman"/>
          <w:b/>
          <w:bCs/>
          <w:spacing w:val="-1"/>
          <w:sz w:val="24"/>
          <w:szCs w:val="24"/>
          <w:lang w:val="sq-AL"/>
        </w:rPr>
        <w:t xml:space="preserve"> </w:t>
      </w:r>
      <w:r w:rsidRPr="005D14DF">
        <w:rPr>
          <w:rFonts w:ascii="Times New Roman" w:eastAsia="Times New Roman" w:hAnsi="Times New Roman" w:cs="Times New Roman"/>
          <w:b/>
          <w:bCs/>
          <w:spacing w:val="-2"/>
          <w:sz w:val="24"/>
          <w:szCs w:val="24"/>
          <w:lang w:val="sq-AL"/>
        </w:rPr>
        <w:t>monitoruar</w:t>
      </w:r>
    </w:p>
    <w:p w:rsidR="005D14DF" w:rsidRPr="005D14DF" w:rsidRDefault="005D14DF" w:rsidP="00D67F76">
      <w:pPr>
        <w:widowControl w:val="0"/>
        <w:autoSpaceDE w:val="0"/>
        <w:autoSpaceDN w:val="0"/>
        <w:spacing w:after="0" w:line="240" w:lineRule="auto"/>
        <w:jc w:val="both"/>
        <w:rPr>
          <w:rFonts w:ascii="Times New Roman" w:eastAsia="Times New Roman" w:hAnsi="Times New Roman" w:cs="Times New Roman"/>
          <w:sz w:val="24"/>
          <w:szCs w:val="24"/>
          <w:lang w:val="sq-AL"/>
        </w:rPr>
      </w:pPr>
      <w:r w:rsidRPr="005D14DF">
        <w:rPr>
          <w:rFonts w:ascii="Times New Roman" w:eastAsia="Times New Roman" w:hAnsi="Times New Roman" w:cs="Times New Roman"/>
          <w:sz w:val="24"/>
          <w:szCs w:val="24"/>
          <w:lang w:val="sq-AL"/>
        </w:rPr>
        <w:t>Vlera më e lartë e aktivitetit alfa total vrojtohet në lumin Erzen (Ura e Beshirit) në sezonin pranverë, (61.28 ± 6.92) mBq/L, rreth 20 % me e madhe</w:t>
      </w:r>
      <w:r w:rsidR="004C0412">
        <w:rPr>
          <w:rFonts w:ascii="Times New Roman" w:eastAsia="Times New Roman" w:hAnsi="Times New Roman" w:cs="Times New Roman"/>
          <w:sz w:val="24"/>
          <w:szCs w:val="24"/>
          <w:lang w:val="sq-AL"/>
        </w:rPr>
        <w:t xml:space="preserve"> në krahasim me 2024, por gjith</w:t>
      </w:r>
      <w:r w:rsidRPr="005D14DF">
        <w:rPr>
          <w:rFonts w:ascii="Times New Roman" w:eastAsia="Times New Roman" w:hAnsi="Times New Roman" w:cs="Times New Roman"/>
          <w:sz w:val="24"/>
          <w:szCs w:val="24"/>
          <w:lang w:val="sq-AL"/>
        </w:rPr>
        <w:t>sesi brenda variacionit sezonal të vrojtuar gjatë viteve. Ndërsa në sezonin e v</w:t>
      </w:r>
      <w:r w:rsidR="00BA6898">
        <w:rPr>
          <w:rFonts w:ascii="Times New Roman" w:eastAsia="Times New Roman" w:hAnsi="Times New Roman" w:cs="Times New Roman"/>
          <w:sz w:val="24"/>
          <w:szCs w:val="24"/>
          <w:lang w:val="sq-AL"/>
        </w:rPr>
        <w:t>jeshtës në lumin Erzen (Ura e P</w:t>
      </w:r>
      <w:r w:rsidRPr="005D14DF">
        <w:rPr>
          <w:rFonts w:ascii="Times New Roman" w:eastAsia="Times New Roman" w:hAnsi="Times New Roman" w:cs="Times New Roman"/>
          <w:sz w:val="24"/>
          <w:szCs w:val="24"/>
          <w:lang w:val="sq-AL"/>
        </w:rPr>
        <w:t>eshkatarit)</w:t>
      </w:r>
      <w:r w:rsidR="00BA6898">
        <w:rPr>
          <w:rFonts w:ascii="Times New Roman" w:eastAsia="Times New Roman" w:hAnsi="Times New Roman" w:cs="Times New Roman"/>
          <w:sz w:val="24"/>
          <w:szCs w:val="24"/>
          <w:lang w:val="sq-AL"/>
        </w:rPr>
        <w:t xml:space="preserve"> vlera është</w:t>
      </w:r>
      <w:r w:rsidRPr="005D14DF">
        <w:rPr>
          <w:rFonts w:ascii="Times New Roman" w:eastAsia="Times New Roman" w:hAnsi="Times New Roman" w:cs="Times New Roman"/>
          <w:sz w:val="24"/>
          <w:szCs w:val="24"/>
          <w:lang w:val="sq-AL"/>
        </w:rPr>
        <w:t xml:space="preserve"> (87.03 ± 8.63) mBq/L. Vlera më e ulët për sezonin e pranverës vrojtohet në lumenjtë:</w:t>
      </w:r>
      <w:r w:rsidRPr="005D14DF">
        <w:rPr>
          <w:rFonts w:ascii="Times New Roman" w:eastAsia="Times New Roman" w:hAnsi="Times New Roman" w:cs="Times New Roman"/>
          <w:spacing w:val="13"/>
          <w:sz w:val="24"/>
          <w:szCs w:val="24"/>
          <w:lang w:val="sq-AL"/>
        </w:rPr>
        <w:t xml:space="preserve"> </w:t>
      </w:r>
      <w:r w:rsidRPr="005D14DF">
        <w:rPr>
          <w:rFonts w:ascii="Times New Roman" w:eastAsia="Times New Roman" w:hAnsi="Times New Roman" w:cs="Times New Roman"/>
          <w:sz w:val="24"/>
          <w:szCs w:val="24"/>
          <w:lang w:val="sq-AL"/>
        </w:rPr>
        <w:t>lumi Mat</w:t>
      </w:r>
      <w:r w:rsidRPr="005D14DF">
        <w:rPr>
          <w:rFonts w:ascii="Times New Roman" w:eastAsia="Times New Roman" w:hAnsi="Times New Roman" w:cs="Times New Roman"/>
          <w:spacing w:val="11"/>
          <w:sz w:val="24"/>
          <w:szCs w:val="24"/>
          <w:lang w:val="sq-AL"/>
        </w:rPr>
        <w:t xml:space="preserve"> </w:t>
      </w:r>
      <w:r w:rsidRPr="005D14DF">
        <w:rPr>
          <w:rFonts w:ascii="Times New Roman" w:eastAsia="Times New Roman" w:hAnsi="Times New Roman" w:cs="Times New Roman"/>
          <w:sz w:val="24"/>
          <w:szCs w:val="24"/>
          <w:lang w:val="sq-AL"/>
        </w:rPr>
        <w:t>(Ura e Re në Milot) LLD (vlera më e ulët</w:t>
      </w:r>
      <w:r w:rsidRPr="005D14DF">
        <w:rPr>
          <w:rFonts w:ascii="Times New Roman" w:eastAsia="Times New Roman" w:hAnsi="Times New Roman" w:cs="Times New Roman"/>
          <w:spacing w:val="11"/>
          <w:sz w:val="24"/>
          <w:szCs w:val="24"/>
          <w:lang w:val="sq-AL"/>
        </w:rPr>
        <w:t xml:space="preserve"> </w:t>
      </w:r>
      <w:r w:rsidRPr="005D14DF">
        <w:rPr>
          <w:rFonts w:ascii="Times New Roman" w:eastAsia="Times New Roman" w:hAnsi="Times New Roman" w:cs="Times New Roman"/>
          <w:sz w:val="24"/>
          <w:szCs w:val="24"/>
          <w:lang w:val="sq-AL"/>
        </w:rPr>
        <w:t>e detektimit) dhe</w:t>
      </w:r>
      <w:r w:rsidRPr="005D14DF">
        <w:rPr>
          <w:rFonts w:ascii="Times New Roman" w:eastAsia="Times New Roman" w:hAnsi="Times New Roman" w:cs="Times New Roman"/>
          <w:spacing w:val="20"/>
          <w:sz w:val="24"/>
          <w:szCs w:val="24"/>
          <w:lang w:val="sq-AL"/>
        </w:rPr>
        <w:t xml:space="preserve"> </w:t>
      </w:r>
      <w:r w:rsidRPr="005D14DF">
        <w:rPr>
          <w:rFonts w:ascii="Times New Roman" w:eastAsia="Times New Roman" w:hAnsi="Times New Roman" w:cs="Times New Roman"/>
          <w:sz w:val="24"/>
          <w:szCs w:val="24"/>
          <w:lang w:val="sq-AL"/>
        </w:rPr>
        <w:t>lumi Vjosë (Ura e Mifolit) (10.76 ± 1.93) mBq/L dhe në sezonin e vjeshtës në lumin Mat (Ura e Re në Milot) (22.13 ± 2.21) mBq/L</w:t>
      </w:r>
      <w:r w:rsidR="004C0412">
        <w:rPr>
          <w:rFonts w:ascii="Times New Roman" w:eastAsia="Times New Roman" w:hAnsi="Times New Roman" w:cs="Times New Roman"/>
          <w:sz w:val="24"/>
          <w:szCs w:val="24"/>
          <w:lang w:val="sq-AL"/>
        </w:rPr>
        <w:t>.</w:t>
      </w:r>
      <w:r w:rsidRPr="005D14DF">
        <w:rPr>
          <w:rFonts w:ascii="Times New Roman" w:eastAsia="Times New Roman" w:hAnsi="Times New Roman" w:cs="Times New Roman"/>
          <w:sz w:val="24"/>
          <w:szCs w:val="24"/>
          <w:lang w:val="sq-AL"/>
        </w:rPr>
        <w:t xml:space="preserve"> Duke u referuar database-it të viteve të kaluara që ka IFBZ (vitet 2001- 2005, 2015, 2023, 2024) ka</w:t>
      </w:r>
      <w:r w:rsidRPr="005D14DF">
        <w:rPr>
          <w:rFonts w:ascii="Times New Roman" w:eastAsia="Times New Roman" w:hAnsi="Times New Roman" w:cs="Times New Roman"/>
          <w:spacing w:val="-1"/>
          <w:sz w:val="24"/>
          <w:szCs w:val="24"/>
          <w:lang w:val="sq-AL"/>
        </w:rPr>
        <w:t xml:space="preserve"> </w:t>
      </w:r>
      <w:r w:rsidRPr="005D14DF">
        <w:rPr>
          <w:rFonts w:ascii="Times New Roman" w:eastAsia="Times New Roman" w:hAnsi="Times New Roman" w:cs="Times New Roman"/>
          <w:sz w:val="24"/>
          <w:szCs w:val="24"/>
          <w:lang w:val="sq-AL"/>
        </w:rPr>
        <w:t>luhatje të vlerave që mund të konsiderohen variacion sezonal brenda vlerave normale.</w:t>
      </w:r>
    </w:p>
    <w:p w:rsidR="00EA4B66" w:rsidRPr="00D67F76" w:rsidRDefault="00EA4B66" w:rsidP="00EA4B66">
      <w:pPr>
        <w:rPr>
          <w:rFonts w:ascii="Times New Roman" w:hAnsi="Times New Roman" w:cs="Times New Roman"/>
          <w:b/>
          <w:sz w:val="24"/>
          <w:szCs w:val="24"/>
        </w:rPr>
      </w:pPr>
    </w:p>
    <w:p w:rsidR="00D67F76" w:rsidRPr="00D67F76" w:rsidRDefault="00D67F76" w:rsidP="00D67F76">
      <w:pPr>
        <w:widowControl w:val="0"/>
        <w:autoSpaceDE w:val="0"/>
        <w:autoSpaceDN w:val="0"/>
        <w:spacing w:after="0" w:line="240" w:lineRule="auto"/>
        <w:jc w:val="both"/>
        <w:outlineLvl w:val="0"/>
        <w:rPr>
          <w:rFonts w:ascii="Times New Roman" w:eastAsia="Times New Roman" w:hAnsi="Times New Roman" w:cs="Times New Roman"/>
          <w:b/>
          <w:bCs/>
          <w:spacing w:val="-2"/>
          <w:sz w:val="24"/>
          <w:szCs w:val="24"/>
          <w:lang w:val="sq-AL"/>
        </w:rPr>
      </w:pPr>
      <w:r w:rsidRPr="00D67F76">
        <w:rPr>
          <w:rFonts w:ascii="Times New Roman" w:eastAsia="Times New Roman" w:hAnsi="Times New Roman" w:cs="Times New Roman"/>
          <w:b/>
          <w:bCs/>
          <w:sz w:val="24"/>
          <w:szCs w:val="24"/>
          <w:lang w:val="sq-AL"/>
        </w:rPr>
        <w:t>Aktiviteti beta-total</w:t>
      </w:r>
      <w:r w:rsidRPr="00D67F76">
        <w:rPr>
          <w:rFonts w:ascii="Times New Roman" w:eastAsia="Times New Roman" w:hAnsi="Times New Roman" w:cs="Times New Roman"/>
          <w:b/>
          <w:bCs/>
          <w:spacing w:val="-4"/>
          <w:sz w:val="24"/>
          <w:szCs w:val="24"/>
          <w:lang w:val="sq-AL"/>
        </w:rPr>
        <w:t xml:space="preserve"> </w:t>
      </w:r>
      <w:r w:rsidRPr="00D67F76">
        <w:rPr>
          <w:rFonts w:ascii="Times New Roman" w:eastAsia="Times New Roman" w:hAnsi="Times New Roman" w:cs="Times New Roman"/>
          <w:b/>
          <w:bCs/>
          <w:sz w:val="24"/>
          <w:szCs w:val="24"/>
          <w:lang w:val="sq-AL"/>
        </w:rPr>
        <w:t>i</w:t>
      </w:r>
      <w:r w:rsidRPr="00D67F76">
        <w:rPr>
          <w:rFonts w:ascii="Times New Roman" w:eastAsia="Times New Roman" w:hAnsi="Times New Roman" w:cs="Times New Roman"/>
          <w:b/>
          <w:bCs/>
          <w:spacing w:val="-3"/>
          <w:sz w:val="24"/>
          <w:szCs w:val="24"/>
          <w:lang w:val="sq-AL"/>
        </w:rPr>
        <w:t xml:space="preserve"> </w:t>
      </w:r>
      <w:r w:rsidRPr="00D67F76">
        <w:rPr>
          <w:rFonts w:ascii="Times New Roman" w:eastAsia="Times New Roman" w:hAnsi="Times New Roman" w:cs="Times New Roman"/>
          <w:b/>
          <w:bCs/>
          <w:sz w:val="24"/>
          <w:szCs w:val="24"/>
          <w:lang w:val="sq-AL"/>
        </w:rPr>
        <w:t xml:space="preserve">ujërave të </w:t>
      </w:r>
      <w:r w:rsidRPr="00D67F76">
        <w:rPr>
          <w:rFonts w:ascii="Times New Roman" w:eastAsia="Times New Roman" w:hAnsi="Times New Roman" w:cs="Times New Roman"/>
          <w:b/>
          <w:bCs/>
          <w:spacing w:val="-2"/>
          <w:sz w:val="24"/>
          <w:szCs w:val="24"/>
          <w:lang w:val="sq-AL"/>
        </w:rPr>
        <w:t>lumenjve</w:t>
      </w:r>
    </w:p>
    <w:p w:rsidR="00D67F76" w:rsidRPr="00D67F76" w:rsidRDefault="00D67F76" w:rsidP="00D67F76">
      <w:pPr>
        <w:widowControl w:val="0"/>
        <w:autoSpaceDE w:val="0"/>
        <w:autoSpaceDN w:val="0"/>
        <w:spacing w:after="0" w:line="240" w:lineRule="auto"/>
        <w:jc w:val="both"/>
        <w:rPr>
          <w:rFonts w:ascii="Times New Roman" w:eastAsia="Times New Roman" w:hAnsi="Times New Roman" w:cs="Times New Roman"/>
          <w:sz w:val="24"/>
          <w:szCs w:val="24"/>
          <w:lang w:val="sq-AL"/>
        </w:rPr>
      </w:pPr>
      <w:r w:rsidRPr="00D67F76">
        <w:rPr>
          <w:rFonts w:ascii="Times New Roman" w:eastAsia="Times New Roman" w:hAnsi="Times New Roman" w:cs="Times New Roman"/>
          <w:sz w:val="24"/>
          <w:szCs w:val="24"/>
          <w:lang w:val="sq-AL"/>
        </w:rPr>
        <w:t>Vlera më e lartë e</w:t>
      </w:r>
      <w:r w:rsidRPr="00D67F76">
        <w:rPr>
          <w:rFonts w:ascii="Times New Roman" w:eastAsia="Times New Roman" w:hAnsi="Times New Roman" w:cs="Times New Roman"/>
          <w:spacing w:val="-3"/>
          <w:sz w:val="24"/>
          <w:szCs w:val="24"/>
          <w:lang w:val="sq-AL"/>
        </w:rPr>
        <w:t xml:space="preserve"> </w:t>
      </w:r>
      <w:r w:rsidRPr="00D67F76">
        <w:rPr>
          <w:rFonts w:ascii="Times New Roman" w:eastAsia="Times New Roman" w:hAnsi="Times New Roman" w:cs="Times New Roman"/>
          <w:sz w:val="24"/>
          <w:szCs w:val="24"/>
          <w:lang w:val="sq-AL"/>
        </w:rPr>
        <w:t>aktivitetit beta</w:t>
      </w:r>
      <w:r w:rsidRPr="00D67F76">
        <w:rPr>
          <w:rFonts w:ascii="Times New Roman" w:eastAsia="Times New Roman" w:hAnsi="Times New Roman" w:cs="Times New Roman"/>
          <w:spacing w:val="-3"/>
          <w:sz w:val="24"/>
          <w:szCs w:val="24"/>
          <w:lang w:val="sq-AL"/>
        </w:rPr>
        <w:t xml:space="preserve"> </w:t>
      </w:r>
      <w:r w:rsidRPr="00D67F76">
        <w:rPr>
          <w:rFonts w:ascii="Times New Roman" w:eastAsia="Times New Roman" w:hAnsi="Times New Roman" w:cs="Times New Roman"/>
          <w:sz w:val="24"/>
          <w:szCs w:val="24"/>
          <w:lang w:val="sq-AL"/>
        </w:rPr>
        <w:t>total</w:t>
      </w:r>
      <w:r w:rsidRPr="00D67F76">
        <w:rPr>
          <w:rFonts w:ascii="Times New Roman" w:eastAsia="Times New Roman" w:hAnsi="Times New Roman" w:cs="Times New Roman"/>
          <w:spacing w:val="-1"/>
          <w:sz w:val="24"/>
          <w:szCs w:val="24"/>
          <w:lang w:val="sq-AL"/>
        </w:rPr>
        <w:t xml:space="preserve"> </w:t>
      </w:r>
      <w:r w:rsidRPr="00D67F76">
        <w:rPr>
          <w:rFonts w:ascii="Times New Roman" w:eastAsia="Times New Roman" w:hAnsi="Times New Roman" w:cs="Times New Roman"/>
          <w:sz w:val="24"/>
          <w:szCs w:val="24"/>
          <w:lang w:val="sq-AL"/>
        </w:rPr>
        <w:t>në sezonin e pranverës</w:t>
      </w:r>
      <w:r w:rsidRPr="00D67F76">
        <w:rPr>
          <w:rFonts w:ascii="Times New Roman" w:eastAsia="Times New Roman" w:hAnsi="Times New Roman" w:cs="Times New Roman"/>
          <w:spacing w:val="-1"/>
          <w:sz w:val="24"/>
          <w:szCs w:val="24"/>
          <w:lang w:val="sq-AL"/>
        </w:rPr>
        <w:t xml:space="preserve"> </w:t>
      </w:r>
      <w:r w:rsidRPr="00D67F76">
        <w:rPr>
          <w:rFonts w:ascii="Times New Roman" w:eastAsia="Times New Roman" w:hAnsi="Times New Roman" w:cs="Times New Roman"/>
          <w:sz w:val="24"/>
          <w:szCs w:val="24"/>
          <w:lang w:val="sq-AL"/>
        </w:rPr>
        <w:t>2025 vrojtohet në lumin Shkumbin (Ura e Rrogozhinës) (261.63 ± 28.49) mBq/L e krahasueshme me vlerën</w:t>
      </w:r>
      <w:r w:rsidRPr="00D67F76">
        <w:rPr>
          <w:rFonts w:ascii="Times New Roman" w:eastAsia="Times New Roman" w:hAnsi="Times New Roman" w:cs="Times New Roman"/>
          <w:spacing w:val="-2"/>
          <w:sz w:val="24"/>
          <w:szCs w:val="24"/>
          <w:lang w:val="sq-AL"/>
        </w:rPr>
        <w:t xml:space="preserve"> </w:t>
      </w:r>
      <w:r w:rsidR="004C0412">
        <w:rPr>
          <w:rFonts w:ascii="Times New Roman" w:eastAsia="Times New Roman" w:hAnsi="Times New Roman" w:cs="Times New Roman"/>
          <w:sz w:val="24"/>
          <w:szCs w:val="24"/>
          <w:lang w:val="sq-AL"/>
        </w:rPr>
        <w:t>e vitit t</w:t>
      </w:r>
      <w:r w:rsidR="004C0412">
        <w:rPr>
          <w:rFonts w:ascii="Times New Roman" w:hAnsi="Times New Roman"/>
          <w:sz w:val="24"/>
          <w:szCs w:val="24"/>
        </w:rPr>
        <w:t>ë</w:t>
      </w:r>
      <w:r w:rsidRPr="00D67F76">
        <w:rPr>
          <w:rFonts w:ascii="Times New Roman" w:eastAsia="Times New Roman" w:hAnsi="Times New Roman" w:cs="Times New Roman"/>
          <w:sz w:val="24"/>
          <w:szCs w:val="24"/>
          <w:lang w:val="sq-AL"/>
        </w:rPr>
        <w:t xml:space="preserve"> kaluar, por më e vogël se viti 2024. Ndërsa vlera më e ulët vrojtohet në lumin Lumi Mat (Ura e Re në Milot) (37.11 ± 3.39) mBq/L. Ndërsa në sezonin e vjeshtës vlera më e lartë e aktivitetit beta total është në lumin Erzen (Ura e Peshkatarit) (732.05 ± 74.01) mBq/L dhe më e ulët është në lumin Vjosë (Ura e Mifolit) (341.19 ± 32.59) mBq/L.</w:t>
      </w:r>
    </w:p>
    <w:p w:rsidR="000505FE" w:rsidRPr="00D67F76" w:rsidRDefault="00D67F76" w:rsidP="00D67F76">
      <w:pPr>
        <w:spacing w:after="0" w:line="240" w:lineRule="auto"/>
        <w:rPr>
          <w:rFonts w:ascii="Times New Roman" w:hAnsi="Times New Roman" w:cs="Times New Roman"/>
          <w:b/>
          <w:sz w:val="24"/>
          <w:szCs w:val="24"/>
        </w:rPr>
      </w:pPr>
      <w:r w:rsidRPr="00D67F76">
        <w:rPr>
          <w:rFonts w:ascii="Times New Roman" w:eastAsia="Times New Roman" w:hAnsi="Times New Roman" w:cs="Times New Roman"/>
          <w:sz w:val="24"/>
          <w:szCs w:val="24"/>
          <w:lang w:val="sq-AL"/>
        </w:rPr>
        <w:t>Gjithësesi</w:t>
      </w:r>
      <w:r w:rsidRPr="00D67F76">
        <w:rPr>
          <w:rFonts w:ascii="Times New Roman" w:eastAsia="Times New Roman" w:hAnsi="Times New Roman" w:cs="Times New Roman"/>
          <w:spacing w:val="-10"/>
          <w:sz w:val="24"/>
          <w:szCs w:val="24"/>
          <w:lang w:val="sq-AL"/>
        </w:rPr>
        <w:t xml:space="preserve"> </w:t>
      </w:r>
      <w:r w:rsidRPr="00D67F76">
        <w:rPr>
          <w:rFonts w:ascii="Times New Roman" w:eastAsia="Times New Roman" w:hAnsi="Times New Roman" w:cs="Times New Roman"/>
          <w:sz w:val="24"/>
          <w:szCs w:val="24"/>
          <w:lang w:val="sq-AL"/>
        </w:rPr>
        <w:t>janë</w:t>
      </w:r>
      <w:r w:rsidRPr="00D67F76">
        <w:rPr>
          <w:rFonts w:ascii="Times New Roman" w:eastAsia="Times New Roman" w:hAnsi="Times New Roman" w:cs="Times New Roman"/>
          <w:spacing w:val="-4"/>
          <w:sz w:val="24"/>
          <w:szCs w:val="24"/>
          <w:lang w:val="sq-AL"/>
        </w:rPr>
        <w:t xml:space="preserve"> </w:t>
      </w:r>
      <w:r w:rsidRPr="00D67F76">
        <w:rPr>
          <w:rFonts w:ascii="Times New Roman" w:eastAsia="Times New Roman" w:hAnsi="Times New Roman" w:cs="Times New Roman"/>
          <w:sz w:val="24"/>
          <w:szCs w:val="24"/>
          <w:lang w:val="sq-AL"/>
        </w:rPr>
        <w:t>variacione</w:t>
      </w:r>
      <w:r w:rsidRPr="00D67F76">
        <w:rPr>
          <w:rFonts w:ascii="Times New Roman" w:eastAsia="Times New Roman" w:hAnsi="Times New Roman" w:cs="Times New Roman"/>
          <w:spacing w:val="-3"/>
          <w:sz w:val="24"/>
          <w:szCs w:val="24"/>
          <w:lang w:val="sq-AL"/>
        </w:rPr>
        <w:t xml:space="preserve"> </w:t>
      </w:r>
      <w:r w:rsidRPr="00D67F76">
        <w:rPr>
          <w:rFonts w:ascii="Times New Roman" w:eastAsia="Times New Roman" w:hAnsi="Times New Roman" w:cs="Times New Roman"/>
          <w:sz w:val="24"/>
          <w:szCs w:val="24"/>
          <w:lang w:val="sq-AL"/>
        </w:rPr>
        <w:t>të</w:t>
      </w:r>
      <w:r w:rsidRPr="00D67F76">
        <w:rPr>
          <w:rFonts w:ascii="Times New Roman" w:eastAsia="Times New Roman" w:hAnsi="Times New Roman" w:cs="Times New Roman"/>
          <w:spacing w:val="-4"/>
          <w:sz w:val="24"/>
          <w:szCs w:val="24"/>
          <w:lang w:val="sq-AL"/>
        </w:rPr>
        <w:t xml:space="preserve"> </w:t>
      </w:r>
      <w:r w:rsidRPr="00D67F76">
        <w:rPr>
          <w:rFonts w:ascii="Times New Roman" w:eastAsia="Times New Roman" w:hAnsi="Times New Roman" w:cs="Times New Roman"/>
          <w:sz w:val="24"/>
          <w:szCs w:val="24"/>
          <w:lang w:val="sq-AL"/>
        </w:rPr>
        <w:t>pranueshme,</w:t>
      </w:r>
      <w:r w:rsidRPr="00D67F76">
        <w:rPr>
          <w:rFonts w:ascii="Times New Roman" w:eastAsia="Times New Roman" w:hAnsi="Times New Roman" w:cs="Times New Roman"/>
          <w:spacing w:val="-1"/>
          <w:sz w:val="24"/>
          <w:szCs w:val="24"/>
          <w:lang w:val="sq-AL"/>
        </w:rPr>
        <w:t xml:space="preserve"> </w:t>
      </w:r>
      <w:r w:rsidRPr="00D67F76">
        <w:rPr>
          <w:rFonts w:ascii="Times New Roman" w:eastAsia="Times New Roman" w:hAnsi="Times New Roman" w:cs="Times New Roman"/>
          <w:sz w:val="24"/>
          <w:szCs w:val="24"/>
          <w:lang w:val="sq-AL"/>
        </w:rPr>
        <w:t>nisur</w:t>
      </w:r>
      <w:r w:rsidRPr="00D67F76">
        <w:rPr>
          <w:rFonts w:ascii="Times New Roman" w:eastAsia="Times New Roman" w:hAnsi="Times New Roman" w:cs="Times New Roman"/>
          <w:spacing w:val="-2"/>
          <w:sz w:val="24"/>
          <w:szCs w:val="24"/>
          <w:lang w:val="sq-AL"/>
        </w:rPr>
        <w:t xml:space="preserve"> </w:t>
      </w:r>
      <w:r w:rsidRPr="00D67F76">
        <w:rPr>
          <w:rFonts w:ascii="Times New Roman" w:eastAsia="Times New Roman" w:hAnsi="Times New Roman" w:cs="Times New Roman"/>
          <w:sz w:val="24"/>
          <w:szCs w:val="24"/>
          <w:lang w:val="sq-AL"/>
        </w:rPr>
        <w:t>nga</w:t>
      </w:r>
      <w:r w:rsidRPr="00D67F76">
        <w:rPr>
          <w:rFonts w:ascii="Times New Roman" w:eastAsia="Times New Roman" w:hAnsi="Times New Roman" w:cs="Times New Roman"/>
          <w:spacing w:val="-3"/>
          <w:sz w:val="24"/>
          <w:szCs w:val="24"/>
          <w:lang w:val="sq-AL"/>
        </w:rPr>
        <w:t xml:space="preserve"> </w:t>
      </w:r>
      <w:r w:rsidRPr="00D67F76">
        <w:rPr>
          <w:rFonts w:ascii="Times New Roman" w:eastAsia="Times New Roman" w:hAnsi="Times New Roman" w:cs="Times New Roman"/>
          <w:sz w:val="24"/>
          <w:szCs w:val="24"/>
          <w:lang w:val="sq-AL"/>
        </w:rPr>
        <w:t>statistikat</w:t>
      </w:r>
      <w:r w:rsidRPr="00D67F76">
        <w:rPr>
          <w:rFonts w:ascii="Times New Roman" w:eastAsia="Times New Roman" w:hAnsi="Times New Roman" w:cs="Times New Roman"/>
          <w:spacing w:val="5"/>
          <w:sz w:val="24"/>
          <w:szCs w:val="24"/>
          <w:lang w:val="sq-AL"/>
        </w:rPr>
        <w:t xml:space="preserve"> </w:t>
      </w:r>
      <w:r w:rsidRPr="00D67F76">
        <w:rPr>
          <w:rFonts w:ascii="Times New Roman" w:eastAsia="Times New Roman" w:hAnsi="Times New Roman" w:cs="Times New Roman"/>
          <w:sz w:val="24"/>
          <w:szCs w:val="24"/>
          <w:lang w:val="sq-AL"/>
        </w:rPr>
        <w:t>e</w:t>
      </w:r>
      <w:r w:rsidRPr="00D67F76">
        <w:rPr>
          <w:rFonts w:ascii="Times New Roman" w:eastAsia="Times New Roman" w:hAnsi="Times New Roman" w:cs="Times New Roman"/>
          <w:spacing w:val="-3"/>
          <w:sz w:val="24"/>
          <w:szCs w:val="24"/>
          <w:lang w:val="sq-AL"/>
        </w:rPr>
        <w:t xml:space="preserve"> </w:t>
      </w:r>
      <w:r w:rsidRPr="00D67F76">
        <w:rPr>
          <w:rFonts w:ascii="Times New Roman" w:eastAsia="Times New Roman" w:hAnsi="Times New Roman" w:cs="Times New Roman"/>
          <w:sz w:val="24"/>
          <w:szCs w:val="24"/>
          <w:lang w:val="sq-AL"/>
        </w:rPr>
        <w:t>viteve</w:t>
      </w:r>
      <w:r w:rsidRPr="00D67F76">
        <w:rPr>
          <w:rFonts w:ascii="Times New Roman" w:eastAsia="Times New Roman" w:hAnsi="Times New Roman" w:cs="Times New Roman"/>
          <w:spacing w:val="-4"/>
          <w:sz w:val="24"/>
          <w:szCs w:val="24"/>
          <w:lang w:val="sq-AL"/>
        </w:rPr>
        <w:t xml:space="preserve"> </w:t>
      </w:r>
      <w:r w:rsidRPr="00D67F76">
        <w:rPr>
          <w:rFonts w:ascii="Times New Roman" w:eastAsia="Times New Roman" w:hAnsi="Times New Roman" w:cs="Times New Roman"/>
          <w:sz w:val="24"/>
          <w:szCs w:val="24"/>
          <w:lang w:val="sq-AL"/>
        </w:rPr>
        <w:t>të</w:t>
      </w:r>
      <w:r w:rsidRPr="00D67F76">
        <w:rPr>
          <w:rFonts w:ascii="Times New Roman" w:eastAsia="Times New Roman" w:hAnsi="Times New Roman" w:cs="Times New Roman"/>
          <w:spacing w:val="-3"/>
          <w:sz w:val="24"/>
          <w:szCs w:val="24"/>
          <w:lang w:val="sq-AL"/>
        </w:rPr>
        <w:t xml:space="preserve"> </w:t>
      </w:r>
      <w:r w:rsidRPr="00D67F76">
        <w:rPr>
          <w:rFonts w:ascii="Times New Roman" w:eastAsia="Times New Roman" w:hAnsi="Times New Roman" w:cs="Times New Roman"/>
          <w:sz w:val="24"/>
          <w:szCs w:val="24"/>
          <w:lang w:val="sq-AL"/>
        </w:rPr>
        <w:t>fundit</w:t>
      </w:r>
      <w:r w:rsidRPr="00D67F76">
        <w:rPr>
          <w:rFonts w:ascii="Times New Roman" w:eastAsia="Times New Roman" w:hAnsi="Times New Roman" w:cs="Times New Roman"/>
          <w:spacing w:val="7"/>
          <w:sz w:val="24"/>
          <w:szCs w:val="24"/>
          <w:lang w:val="sq-AL"/>
        </w:rPr>
        <w:t xml:space="preserve"> </w:t>
      </w:r>
      <w:r w:rsidRPr="00D67F76">
        <w:rPr>
          <w:rFonts w:ascii="Times New Roman" w:eastAsia="Times New Roman" w:hAnsi="Times New Roman" w:cs="Times New Roman"/>
          <w:sz w:val="24"/>
          <w:szCs w:val="24"/>
          <w:lang w:val="sq-AL"/>
        </w:rPr>
        <w:t>në</w:t>
      </w:r>
      <w:r w:rsidRPr="00D67F76">
        <w:rPr>
          <w:rFonts w:ascii="Times New Roman" w:eastAsia="Times New Roman" w:hAnsi="Times New Roman" w:cs="Times New Roman"/>
          <w:spacing w:val="-4"/>
          <w:sz w:val="24"/>
          <w:szCs w:val="24"/>
          <w:lang w:val="sq-AL"/>
        </w:rPr>
        <w:t xml:space="preserve"> </w:t>
      </w:r>
      <w:r w:rsidRPr="00D67F76">
        <w:rPr>
          <w:rFonts w:ascii="Times New Roman" w:eastAsia="Times New Roman" w:hAnsi="Times New Roman" w:cs="Times New Roman"/>
          <w:sz w:val="24"/>
          <w:szCs w:val="24"/>
          <w:lang w:val="sq-AL"/>
        </w:rPr>
        <w:t>rajonin</w:t>
      </w:r>
      <w:r w:rsidRPr="00D67F76">
        <w:rPr>
          <w:rFonts w:ascii="Times New Roman" w:eastAsia="Times New Roman" w:hAnsi="Times New Roman" w:cs="Times New Roman"/>
          <w:spacing w:val="-7"/>
          <w:sz w:val="24"/>
          <w:szCs w:val="24"/>
          <w:lang w:val="sq-AL"/>
        </w:rPr>
        <w:t xml:space="preserve"> </w:t>
      </w:r>
      <w:r w:rsidRPr="00D67F76">
        <w:rPr>
          <w:rFonts w:ascii="Times New Roman" w:eastAsia="Times New Roman" w:hAnsi="Times New Roman" w:cs="Times New Roman"/>
          <w:spacing w:val="-2"/>
          <w:sz w:val="24"/>
          <w:szCs w:val="24"/>
          <w:lang w:val="sq-AL"/>
        </w:rPr>
        <w:t>tonë</w:t>
      </w:r>
      <w:r w:rsidR="004C0412">
        <w:rPr>
          <w:rFonts w:ascii="Times New Roman" w:eastAsia="Times New Roman" w:hAnsi="Times New Roman" w:cs="Times New Roman"/>
          <w:spacing w:val="-2"/>
          <w:sz w:val="24"/>
          <w:szCs w:val="24"/>
          <w:lang w:val="sq-AL"/>
        </w:rPr>
        <w:t>.</w:t>
      </w:r>
    </w:p>
    <w:p w:rsidR="000505FE" w:rsidRPr="00D67F76" w:rsidRDefault="000505FE" w:rsidP="00EA4B66">
      <w:pPr>
        <w:rPr>
          <w:rFonts w:ascii="Times New Roman" w:hAnsi="Times New Roman" w:cs="Times New Roman"/>
          <w:b/>
          <w:sz w:val="24"/>
          <w:szCs w:val="24"/>
        </w:rPr>
      </w:pPr>
    </w:p>
    <w:p w:rsidR="00D67F76" w:rsidRPr="00D67F76" w:rsidRDefault="00D67F76" w:rsidP="00D67F76">
      <w:pPr>
        <w:widowControl w:val="0"/>
        <w:autoSpaceDE w:val="0"/>
        <w:autoSpaceDN w:val="0"/>
        <w:spacing w:before="70" w:after="0" w:line="240" w:lineRule="auto"/>
        <w:jc w:val="both"/>
        <w:outlineLvl w:val="0"/>
        <w:rPr>
          <w:rFonts w:ascii="Times New Roman" w:eastAsia="Times New Roman" w:hAnsi="Times New Roman" w:cs="Times New Roman"/>
          <w:b/>
          <w:bCs/>
          <w:sz w:val="24"/>
          <w:szCs w:val="24"/>
          <w:lang w:val="sq-AL"/>
        </w:rPr>
      </w:pPr>
      <w:r w:rsidRPr="00D67F76">
        <w:rPr>
          <w:rFonts w:ascii="Times New Roman" w:eastAsia="Times New Roman" w:hAnsi="Times New Roman" w:cs="Times New Roman"/>
          <w:b/>
          <w:bCs/>
          <w:sz w:val="24"/>
          <w:szCs w:val="24"/>
          <w:lang w:val="sq-AL"/>
        </w:rPr>
        <w:t>Aktiviteti</w:t>
      </w:r>
      <w:r w:rsidRPr="00D67F76">
        <w:rPr>
          <w:rFonts w:ascii="Times New Roman" w:eastAsia="Times New Roman" w:hAnsi="Times New Roman" w:cs="Times New Roman"/>
          <w:b/>
          <w:bCs/>
          <w:spacing w:val="-5"/>
          <w:sz w:val="24"/>
          <w:szCs w:val="24"/>
          <w:lang w:val="sq-AL"/>
        </w:rPr>
        <w:t xml:space="preserve"> </w:t>
      </w:r>
      <w:r w:rsidRPr="00D67F76">
        <w:rPr>
          <w:rFonts w:ascii="Times New Roman" w:eastAsia="Times New Roman" w:hAnsi="Times New Roman" w:cs="Times New Roman"/>
          <w:b/>
          <w:bCs/>
          <w:sz w:val="24"/>
          <w:szCs w:val="24"/>
          <w:lang w:val="sq-AL"/>
        </w:rPr>
        <w:t>alfa-beta</w:t>
      </w:r>
      <w:r w:rsidRPr="00D67F76">
        <w:rPr>
          <w:rFonts w:ascii="Times New Roman" w:eastAsia="Times New Roman" w:hAnsi="Times New Roman" w:cs="Times New Roman"/>
          <w:b/>
          <w:bCs/>
          <w:spacing w:val="-2"/>
          <w:sz w:val="24"/>
          <w:szCs w:val="24"/>
          <w:lang w:val="sq-AL"/>
        </w:rPr>
        <w:t xml:space="preserve"> </w:t>
      </w:r>
      <w:r w:rsidRPr="00D67F76">
        <w:rPr>
          <w:rFonts w:ascii="Times New Roman" w:eastAsia="Times New Roman" w:hAnsi="Times New Roman" w:cs="Times New Roman"/>
          <w:b/>
          <w:bCs/>
          <w:sz w:val="24"/>
          <w:szCs w:val="24"/>
          <w:lang w:val="sq-AL"/>
        </w:rPr>
        <w:t>total</w:t>
      </w:r>
      <w:r w:rsidRPr="00D67F76">
        <w:rPr>
          <w:rFonts w:ascii="Times New Roman" w:eastAsia="Times New Roman" w:hAnsi="Times New Roman" w:cs="Times New Roman"/>
          <w:b/>
          <w:bCs/>
          <w:spacing w:val="-7"/>
          <w:sz w:val="24"/>
          <w:szCs w:val="24"/>
          <w:lang w:val="sq-AL"/>
        </w:rPr>
        <w:t xml:space="preserve"> </w:t>
      </w:r>
      <w:r w:rsidRPr="00D67F76">
        <w:rPr>
          <w:rFonts w:ascii="Times New Roman" w:eastAsia="Times New Roman" w:hAnsi="Times New Roman" w:cs="Times New Roman"/>
          <w:b/>
          <w:bCs/>
          <w:sz w:val="24"/>
          <w:szCs w:val="24"/>
          <w:lang w:val="sq-AL"/>
        </w:rPr>
        <w:t>i</w:t>
      </w:r>
      <w:r w:rsidRPr="00D67F76">
        <w:rPr>
          <w:rFonts w:ascii="Times New Roman" w:eastAsia="Times New Roman" w:hAnsi="Times New Roman" w:cs="Times New Roman"/>
          <w:b/>
          <w:bCs/>
          <w:spacing w:val="-6"/>
          <w:sz w:val="24"/>
          <w:szCs w:val="24"/>
          <w:lang w:val="sq-AL"/>
        </w:rPr>
        <w:t xml:space="preserve"> </w:t>
      </w:r>
      <w:r w:rsidRPr="00D67F76">
        <w:rPr>
          <w:rFonts w:ascii="Times New Roman" w:eastAsia="Times New Roman" w:hAnsi="Times New Roman" w:cs="Times New Roman"/>
          <w:b/>
          <w:bCs/>
          <w:sz w:val="24"/>
          <w:szCs w:val="24"/>
          <w:lang w:val="sq-AL"/>
        </w:rPr>
        <w:t>precipitimeve</w:t>
      </w:r>
      <w:r w:rsidRPr="00D67F76">
        <w:rPr>
          <w:rFonts w:ascii="Times New Roman" w:eastAsia="Times New Roman" w:hAnsi="Times New Roman" w:cs="Times New Roman"/>
          <w:b/>
          <w:bCs/>
          <w:spacing w:val="-3"/>
          <w:sz w:val="24"/>
          <w:szCs w:val="24"/>
          <w:lang w:val="sq-AL"/>
        </w:rPr>
        <w:t xml:space="preserve"> </w:t>
      </w:r>
      <w:r w:rsidRPr="00D67F76">
        <w:rPr>
          <w:rFonts w:ascii="Times New Roman" w:eastAsia="Times New Roman" w:hAnsi="Times New Roman" w:cs="Times New Roman"/>
          <w:b/>
          <w:bCs/>
          <w:sz w:val="24"/>
          <w:szCs w:val="24"/>
          <w:lang w:val="sq-AL"/>
        </w:rPr>
        <w:t>atmosferike</w:t>
      </w:r>
      <w:r w:rsidRPr="00D67F76">
        <w:rPr>
          <w:rFonts w:ascii="Times New Roman" w:eastAsia="Times New Roman" w:hAnsi="Times New Roman" w:cs="Times New Roman"/>
          <w:b/>
          <w:bCs/>
          <w:spacing w:val="-3"/>
          <w:sz w:val="24"/>
          <w:szCs w:val="24"/>
          <w:lang w:val="sq-AL"/>
        </w:rPr>
        <w:t xml:space="preserve"> </w:t>
      </w:r>
      <w:r w:rsidRPr="00D67F76">
        <w:rPr>
          <w:rFonts w:ascii="Times New Roman" w:eastAsia="Times New Roman" w:hAnsi="Times New Roman" w:cs="Times New Roman"/>
          <w:b/>
          <w:bCs/>
          <w:spacing w:val="-2"/>
          <w:sz w:val="24"/>
          <w:szCs w:val="24"/>
          <w:lang w:val="sq-AL"/>
        </w:rPr>
        <w:t>(Fallout)</w:t>
      </w:r>
    </w:p>
    <w:p w:rsidR="00D67F76" w:rsidRPr="00D67F76" w:rsidRDefault="004C0412" w:rsidP="00D67F76">
      <w:pPr>
        <w:widowControl w:val="0"/>
        <w:autoSpaceDE w:val="0"/>
        <w:autoSpaceDN w:val="0"/>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Përsa i p</w:t>
      </w:r>
      <w:r>
        <w:rPr>
          <w:rFonts w:ascii="Times New Roman" w:hAnsi="Times New Roman"/>
          <w:sz w:val="24"/>
          <w:szCs w:val="24"/>
        </w:rPr>
        <w:t>ë</w:t>
      </w:r>
      <w:r w:rsidR="00D67F76" w:rsidRPr="00D67F76">
        <w:rPr>
          <w:rFonts w:ascii="Times New Roman" w:eastAsia="Times New Roman" w:hAnsi="Times New Roman" w:cs="Times New Roman"/>
          <w:sz w:val="24"/>
          <w:szCs w:val="24"/>
          <w:lang w:val="sq-AL"/>
        </w:rPr>
        <w:t xml:space="preserve">rket vlerave të aktivitetit alfa-beta total të precipitimeve atmosferike (Fallout), nga matjet e kryera gjatë periudhës 2001 - 2005 dhe gjatë 2015 - 2024 mund të thuhet se aktiviteti alfa beta total është në intervalin e vlerave që janë konstatuar në vendin tonë gjatë dekadës së </w:t>
      </w:r>
      <w:r w:rsidR="00D67F76" w:rsidRPr="00D67F76">
        <w:rPr>
          <w:rFonts w:ascii="Times New Roman" w:eastAsia="Times New Roman" w:hAnsi="Times New Roman" w:cs="Times New Roman"/>
          <w:spacing w:val="-2"/>
          <w:sz w:val="24"/>
          <w:szCs w:val="24"/>
          <w:lang w:val="sq-AL"/>
        </w:rPr>
        <w:t>kaluar.</w:t>
      </w:r>
    </w:p>
    <w:p w:rsidR="00D67F76" w:rsidRPr="00A156AA" w:rsidRDefault="00D67F76" w:rsidP="00A156AA">
      <w:pPr>
        <w:jc w:val="both"/>
        <w:rPr>
          <w:rFonts w:ascii="Times New Roman" w:hAnsi="Times New Roman" w:cs="Times New Roman"/>
          <w:sz w:val="24"/>
          <w:szCs w:val="24"/>
          <w:lang w:val="sq-AL"/>
        </w:rPr>
      </w:pPr>
      <w:r w:rsidRPr="00A156AA">
        <w:rPr>
          <w:rFonts w:ascii="Times New Roman" w:hAnsi="Times New Roman" w:cs="Times New Roman"/>
          <w:sz w:val="24"/>
          <w:szCs w:val="24"/>
          <w:lang w:val="sq-AL"/>
        </w:rPr>
        <w:t xml:space="preserve">Vlerat e matura për aktivitetin alfa total gjatë këtij sezoni </w:t>
      </w:r>
      <w:r w:rsidR="00A156AA" w:rsidRPr="00A156AA">
        <w:rPr>
          <w:rFonts w:ascii="Times New Roman" w:hAnsi="Times New Roman" w:cs="Times New Roman"/>
          <w:sz w:val="24"/>
          <w:szCs w:val="24"/>
          <w:lang w:val="sq-AL"/>
        </w:rPr>
        <w:t xml:space="preserve">janë nën LLD (vlera më e ulët e </w:t>
      </w:r>
      <w:r w:rsidRPr="00A156AA">
        <w:rPr>
          <w:rFonts w:ascii="Times New Roman" w:hAnsi="Times New Roman" w:cs="Times New Roman"/>
          <w:sz w:val="24"/>
          <w:szCs w:val="24"/>
          <w:lang w:val="sq-AL"/>
        </w:rPr>
        <w:t xml:space="preserve">detektimit). </w:t>
      </w:r>
    </w:p>
    <w:p w:rsidR="00EA4B66" w:rsidRPr="00A156AA" w:rsidRDefault="00D67F76" w:rsidP="00A156AA">
      <w:pPr>
        <w:jc w:val="both"/>
        <w:rPr>
          <w:rFonts w:ascii="Times New Roman" w:hAnsi="Times New Roman" w:cs="Times New Roman"/>
          <w:b/>
          <w:sz w:val="24"/>
          <w:szCs w:val="24"/>
        </w:rPr>
      </w:pPr>
      <w:r w:rsidRPr="00A156AA">
        <w:rPr>
          <w:rFonts w:ascii="Times New Roman" w:hAnsi="Times New Roman" w:cs="Times New Roman"/>
          <w:sz w:val="24"/>
          <w:szCs w:val="24"/>
          <w:lang w:val="sq-AL"/>
        </w:rPr>
        <w:t>Po kështu për aktivitetin beta total kemi një vlerë 0.5 Bq/m2/muaj, më e vogël në krahasim me matjet e kaluara</w:t>
      </w:r>
      <w:r w:rsidR="004C0412" w:rsidRPr="00A156AA">
        <w:rPr>
          <w:rFonts w:ascii="Times New Roman" w:hAnsi="Times New Roman" w:cs="Times New Roman"/>
          <w:sz w:val="24"/>
          <w:szCs w:val="24"/>
          <w:lang w:val="sq-AL"/>
        </w:rPr>
        <w:t>.</w:t>
      </w:r>
    </w:p>
    <w:p w:rsidR="00D67F76" w:rsidRPr="00115DD2" w:rsidRDefault="004C0412" w:rsidP="00115DD2">
      <w:pPr>
        <w:widowControl w:val="0"/>
        <w:autoSpaceDE w:val="0"/>
        <w:autoSpaceDN w:val="0"/>
        <w:spacing w:after="0" w:line="240" w:lineRule="auto"/>
        <w:ind w:right="23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Në grafikët më poshtë paraqiten </w:t>
      </w:r>
      <w:r w:rsidR="00D67F76" w:rsidRPr="00D67F76">
        <w:rPr>
          <w:rFonts w:ascii="Times New Roman" w:eastAsia="Times New Roman" w:hAnsi="Times New Roman" w:cs="Times New Roman"/>
          <w:sz w:val="24"/>
          <w:szCs w:val="24"/>
          <w:lang w:val="sq-AL"/>
        </w:rPr>
        <w:t>vlera</w:t>
      </w:r>
      <w:r w:rsidR="00842CC4">
        <w:rPr>
          <w:rFonts w:ascii="Times New Roman" w:eastAsia="Times New Roman" w:hAnsi="Times New Roman" w:cs="Times New Roman"/>
          <w:sz w:val="24"/>
          <w:szCs w:val="24"/>
          <w:lang w:val="sq-AL"/>
        </w:rPr>
        <w:t>t</w:t>
      </w:r>
      <w:r w:rsidR="00D67F76" w:rsidRPr="00D67F76">
        <w:rPr>
          <w:rFonts w:ascii="Times New Roman" w:eastAsia="Times New Roman" w:hAnsi="Times New Roman" w:cs="Times New Roman"/>
          <w:spacing w:val="-3"/>
          <w:sz w:val="24"/>
          <w:szCs w:val="24"/>
          <w:lang w:val="sq-AL"/>
        </w:rPr>
        <w:t xml:space="preserve"> </w:t>
      </w:r>
      <w:r w:rsidR="00D67F76" w:rsidRPr="00D67F76">
        <w:rPr>
          <w:rFonts w:ascii="Times New Roman" w:eastAsia="Times New Roman" w:hAnsi="Times New Roman" w:cs="Times New Roman"/>
          <w:sz w:val="24"/>
          <w:szCs w:val="24"/>
          <w:lang w:val="sq-AL"/>
        </w:rPr>
        <w:t>të</w:t>
      </w:r>
      <w:r w:rsidR="00D67F76" w:rsidRPr="00D67F76">
        <w:rPr>
          <w:rFonts w:ascii="Times New Roman" w:eastAsia="Times New Roman" w:hAnsi="Times New Roman" w:cs="Times New Roman"/>
          <w:spacing w:val="-3"/>
          <w:sz w:val="24"/>
          <w:szCs w:val="24"/>
          <w:lang w:val="sq-AL"/>
        </w:rPr>
        <w:t xml:space="preserve"> </w:t>
      </w:r>
      <w:r w:rsidR="00D67F76" w:rsidRPr="00D67F76">
        <w:rPr>
          <w:rFonts w:ascii="Times New Roman" w:eastAsia="Times New Roman" w:hAnsi="Times New Roman" w:cs="Times New Roman"/>
          <w:sz w:val="24"/>
          <w:szCs w:val="24"/>
          <w:lang w:val="sq-AL"/>
        </w:rPr>
        <w:t>radioaktivitetit alfa/beta</w:t>
      </w:r>
      <w:r w:rsidR="00D67F76" w:rsidRPr="00D67F76">
        <w:rPr>
          <w:rFonts w:ascii="Times New Roman" w:eastAsia="Times New Roman" w:hAnsi="Times New Roman" w:cs="Times New Roman"/>
          <w:spacing w:val="40"/>
          <w:sz w:val="24"/>
          <w:szCs w:val="24"/>
          <w:lang w:val="sq-AL"/>
        </w:rPr>
        <w:t xml:space="preserve"> </w:t>
      </w:r>
      <w:r w:rsidR="00D67F76" w:rsidRPr="00D67F76">
        <w:rPr>
          <w:rFonts w:ascii="Times New Roman" w:eastAsia="Times New Roman" w:hAnsi="Times New Roman" w:cs="Times New Roman"/>
          <w:sz w:val="24"/>
          <w:szCs w:val="24"/>
          <w:lang w:val="sq-AL"/>
        </w:rPr>
        <w:t>total</w:t>
      </w:r>
      <w:r w:rsidR="00D67F76" w:rsidRPr="00D67F76">
        <w:rPr>
          <w:rFonts w:ascii="Times New Roman" w:eastAsia="Times New Roman" w:hAnsi="Times New Roman" w:cs="Times New Roman"/>
          <w:spacing w:val="-11"/>
          <w:sz w:val="24"/>
          <w:szCs w:val="24"/>
          <w:lang w:val="sq-AL"/>
        </w:rPr>
        <w:t xml:space="preserve"> </w:t>
      </w:r>
      <w:r w:rsidR="00D67F76" w:rsidRPr="00D67F76">
        <w:rPr>
          <w:rFonts w:ascii="Times New Roman" w:eastAsia="Times New Roman" w:hAnsi="Times New Roman" w:cs="Times New Roman"/>
          <w:sz w:val="24"/>
          <w:szCs w:val="24"/>
          <w:lang w:val="sq-AL"/>
        </w:rPr>
        <w:t>(në mBq/L)</w:t>
      </w:r>
      <w:r w:rsidR="00D67F76" w:rsidRPr="00D67F76">
        <w:rPr>
          <w:rFonts w:ascii="Times New Roman" w:eastAsia="Times New Roman" w:hAnsi="Times New Roman" w:cs="Times New Roman"/>
          <w:spacing w:val="-1"/>
          <w:sz w:val="24"/>
          <w:szCs w:val="24"/>
          <w:lang w:val="sq-AL"/>
        </w:rPr>
        <w:t xml:space="preserve"> </w:t>
      </w:r>
      <w:r w:rsidR="00D67F76" w:rsidRPr="00D67F76">
        <w:rPr>
          <w:rFonts w:ascii="Times New Roman" w:eastAsia="Times New Roman" w:hAnsi="Times New Roman" w:cs="Times New Roman"/>
          <w:sz w:val="24"/>
          <w:szCs w:val="24"/>
          <w:lang w:val="sq-AL"/>
        </w:rPr>
        <w:t>të</w:t>
      </w:r>
      <w:r w:rsidR="00D67F76" w:rsidRPr="00D67F76">
        <w:rPr>
          <w:rFonts w:ascii="Times New Roman" w:eastAsia="Times New Roman" w:hAnsi="Times New Roman" w:cs="Times New Roman"/>
          <w:spacing w:val="-3"/>
          <w:sz w:val="24"/>
          <w:szCs w:val="24"/>
          <w:lang w:val="sq-AL"/>
        </w:rPr>
        <w:t xml:space="preserve"> </w:t>
      </w:r>
      <w:r w:rsidR="00D67F76" w:rsidRPr="00D67F76">
        <w:rPr>
          <w:rFonts w:ascii="Times New Roman" w:eastAsia="Times New Roman" w:hAnsi="Times New Roman" w:cs="Times New Roman"/>
          <w:sz w:val="24"/>
          <w:szCs w:val="24"/>
          <w:lang w:val="sq-AL"/>
        </w:rPr>
        <w:t>kampioneve</w:t>
      </w:r>
      <w:r w:rsidR="00D67F76" w:rsidRPr="00D67F76">
        <w:rPr>
          <w:rFonts w:ascii="Times New Roman" w:eastAsia="Times New Roman" w:hAnsi="Times New Roman" w:cs="Times New Roman"/>
          <w:spacing w:val="-3"/>
          <w:sz w:val="24"/>
          <w:szCs w:val="24"/>
          <w:lang w:val="sq-AL"/>
        </w:rPr>
        <w:t xml:space="preserve"> </w:t>
      </w:r>
      <w:r w:rsidR="00D67F76" w:rsidRPr="00D67F76">
        <w:rPr>
          <w:rFonts w:ascii="Times New Roman" w:eastAsia="Times New Roman" w:hAnsi="Times New Roman" w:cs="Times New Roman"/>
          <w:sz w:val="24"/>
          <w:szCs w:val="24"/>
          <w:lang w:val="sq-AL"/>
        </w:rPr>
        <w:t>të marra në</w:t>
      </w:r>
      <w:r w:rsidR="00842CC4">
        <w:rPr>
          <w:rFonts w:ascii="Times New Roman" w:eastAsia="Times New Roman" w:hAnsi="Times New Roman" w:cs="Times New Roman"/>
          <w:sz w:val="24"/>
          <w:szCs w:val="24"/>
          <w:lang w:val="sq-AL"/>
        </w:rPr>
        <w:t xml:space="preserve"> </w:t>
      </w:r>
      <w:r w:rsidR="00D67F76" w:rsidRPr="00D67F76">
        <w:rPr>
          <w:rFonts w:ascii="Times New Roman" w:eastAsia="Times New Roman" w:hAnsi="Times New Roman" w:cs="Times New Roman"/>
          <w:sz w:val="24"/>
          <w:szCs w:val="24"/>
          <w:lang w:val="sq-AL"/>
        </w:rPr>
        <w:t xml:space="preserve">lumenj </w:t>
      </w:r>
      <w:r w:rsidR="00842CC4">
        <w:rPr>
          <w:rFonts w:ascii="Times New Roman" w:eastAsia="Times New Roman" w:hAnsi="Times New Roman" w:cs="Times New Roman"/>
          <w:sz w:val="24"/>
          <w:szCs w:val="24"/>
          <w:lang w:val="sq-AL"/>
        </w:rPr>
        <w:t xml:space="preserve">në </w:t>
      </w:r>
      <w:r w:rsidR="00D67F76" w:rsidRPr="00D67F76">
        <w:rPr>
          <w:rFonts w:ascii="Times New Roman" w:eastAsia="Times New Roman" w:hAnsi="Times New Roman" w:cs="Times New Roman"/>
          <w:sz w:val="24"/>
          <w:szCs w:val="24"/>
          <w:lang w:val="sq-AL"/>
        </w:rPr>
        <w:t xml:space="preserve">pranverë </w:t>
      </w:r>
      <w:r>
        <w:rPr>
          <w:rFonts w:ascii="Times New Roman" w:eastAsia="Times New Roman" w:hAnsi="Times New Roman" w:cs="Times New Roman"/>
          <w:sz w:val="24"/>
          <w:szCs w:val="24"/>
          <w:lang w:val="sq-AL"/>
        </w:rPr>
        <w:t xml:space="preserve"> (Qershor)  dhe në vjeshtë (Nëntor)</w:t>
      </w:r>
      <w:r w:rsidR="00842CC4">
        <w:rPr>
          <w:rFonts w:ascii="Times New Roman" w:eastAsia="Times New Roman" w:hAnsi="Times New Roman" w:cs="Times New Roman"/>
          <w:sz w:val="24"/>
          <w:szCs w:val="24"/>
          <w:lang w:val="sq-AL"/>
        </w:rPr>
        <w:t xml:space="preserve"> </w:t>
      </w:r>
      <w:r w:rsidR="00D67F76" w:rsidRPr="00D67F76">
        <w:rPr>
          <w:rFonts w:ascii="Times New Roman" w:eastAsia="Times New Roman" w:hAnsi="Times New Roman" w:cs="Times New Roman"/>
          <w:sz w:val="24"/>
          <w:szCs w:val="24"/>
          <w:lang w:val="sq-AL"/>
        </w:rPr>
        <w:t>2025</w:t>
      </w:r>
      <w:r w:rsidR="00842CC4">
        <w:rPr>
          <w:rFonts w:ascii="Times New Roman" w:eastAsia="Times New Roman" w:hAnsi="Times New Roman" w:cs="Times New Roman"/>
          <w:sz w:val="24"/>
          <w:szCs w:val="24"/>
          <w:lang w:val="sq-AL"/>
        </w:rPr>
        <w:t>.</w:t>
      </w:r>
    </w:p>
    <w:p w:rsidR="00D67F76" w:rsidRDefault="00D67F76" w:rsidP="00EA4B66">
      <w:pPr>
        <w:rPr>
          <w:rFonts w:ascii="Times New Roman" w:hAnsi="Times New Roman" w:cs="Times New Roman"/>
          <w:b/>
          <w:sz w:val="24"/>
          <w:szCs w:val="24"/>
        </w:rPr>
      </w:pPr>
      <w:r>
        <w:rPr>
          <w:noProof/>
          <w:sz w:val="24"/>
          <w:szCs w:val="24"/>
        </w:rPr>
        <w:lastRenderedPageBreak/>
        <mc:AlternateContent>
          <mc:Choice Requires="wpg">
            <w:drawing>
              <wp:anchor distT="0" distB="0" distL="0" distR="0" simplePos="0" relativeHeight="251674112" behindDoc="1" locked="0" layoutInCell="1" allowOverlap="1" wp14:anchorId="57D8B5F3" wp14:editId="2FC901D2">
                <wp:simplePos x="0" y="0"/>
                <wp:positionH relativeFrom="margin">
                  <wp:align>left</wp:align>
                </wp:positionH>
                <wp:positionV relativeFrom="paragraph">
                  <wp:posOffset>280670</wp:posOffset>
                </wp:positionV>
                <wp:extent cx="5843905" cy="3667125"/>
                <wp:effectExtent l="0" t="0" r="23495" b="28575"/>
                <wp:wrapTopAndBottom/>
                <wp:docPr id="350" name="Group 350"/>
                <wp:cNvGraphicFramePr/>
                <a:graphic xmlns:a="http://schemas.openxmlformats.org/drawingml/2006/main">
                  <a:graphicData uri="http://schemas.microsoft.com/office/word/2010/wordprocessingGroup">
                    <wpg:wgp>
                      <wpg:cNvGrpSpPr/>
                      <wpg:grpSpPr>
                        <a:xfrm>
                          <a:off x="0" y="0"/>
                          <a:ext cx="5843905" cy="3667125"/>
                          <a:chOff x="4757" y="4757"/>
                          <a:chExt cx="5834380" cy="3495040"/>
                        </a:xfrm>
                      </wpg:grpSpPr>
                      <wps:wsp>
                        <wps:cNvPr id="317" name="Graphic 4"/>
                        <wps:cNvSpPr/>
                        <wps:spPr>
                          <a:xfrm>
                            <a:off x="311888" y="976685"/>
                            <a:ext cx="5052695" cy="1480820"/>
                          </a:xfrm>
                          <a:custGeom>
                            <a:avLst/>
                            <a:gdLst/>
                            <a:ahLst/>
                            <a:cxnLst/>
                            <a:rect l="l" t="t" r="r" b="b"/>
                            <a:pathLst>
                              <a:path w="5052695" h="1480820">
                                <a:moveTo>
                                  <a:pt x="0" y="1480588"/>
                                </a:moveTo>
                                <a:lnTo>
                                  <a:pt x="1105366" y="1480588"/>
                                </a:lnTo>
                              </a:path>
                              <a:path w="5052695" h="1480820">
                                <a:moveTo>
                                  <a:pt x="4876079" y="1480588"/>
                                </a:moveTo>
                                <a:lnTo>
                                  <a:pt x="5052451" y="1480588"/>
                                </a:lnTo>
                              </a:path>
                              <a:path w="5052695" h="1480820">
                                <a:moveTo>
                                  <a:pt x="3948605" y="1480588"/>
                                </a:moveTo>
                                <a:lnTo>
                                  <a:pt x="3992698" y="1480588"/>
                                </a:lnTo>
                              </a:path>
                              <a:path w="5052695" h="1480820">
                                <a:moveTo>
                                  <a:pt x="1783486" y="1480588"/>
                                </a:moveTo>
                                <a:lnTo>
                                  <a:pt x="1826059" y="1480588"/>
                                </a:lnTo>
                              </a:path>
                              <a:path w="5052695" h="1480820">
                                <a:moveTo>
                                  <a:pt x="1988747" y="1480588"/>
                                </a:moveTo>
                                <a:lnTo>
                                  <a:pt x="2343011" y="1480588"/>
                                </a:lnTo>
                              </a:path>
                              <a:path w="5052695" h="1480820">
                                <a:moveTo>
                                  <a:pt x="1266533" y="1480588"/>
                                </a:moveTo>
                                <a:lnTo>
                                  <a:pt x="1620798" y="1480588"/>
                                </a:lnTo>
                              </a:path>
                              <a:path w="5052695" h="1480820">
                                <a:moveTo>
                                  <a:pt x="2504179" y="1480588"/>
                                </a:moveTo>
                                <a:lnTo>
                                  <a:pt x="2548272" y="1480588"/>
                                </a:lnTo>
                              </a:path>
                              <a:path w="5052695" h="1480820">
                                <a:moveTo>
                                  <a:pt x="4153866" y="1480588"/>
                                </a:moveTo>
                                <a:lnTo>
                                  <a:pt x="4713391" y="1480588"/>
                                </a:lnTo>
                              </a:path>
                              <a:path w="5052695" h="1480820">
                                <a:moveTo>
                                  <a:pt x="2710960" y="1480588"/>
                                </a:moveTo>
                                <a:lnTo>
                                  <a:pt x="3270485" y="1480588"/>
                                </a:lnTo>
                              </a:path>
                              <a:path w="5052695" h="1480820">
                                <a:moveTo>
                                  <a:pt x="3431652" y="1480588"/>
                                </a:moveTo>
                                <a:lnTo>
                                  <a:pt x="3785917" y="1480588"/>
                                </a:lnTo>
                              </a:path>
                              <a:path w="5052695" h="1480820">
                                <a:moveTo>
                                  <a:pt x="3431652" y="1110489"/>
                                </a:moveTo>
                                <a:lnTo>
                                  <a:pt x="3992698" y="1110489"/>
                                </a:lnTo>
                              </a:path>
                              <a:path w="5052695" h="1480820">
                                <a:moveTo>
                                  <a:pt x="2710960" y="1110489"/>
                                </a:moveTo>
                                <a:lnTo>
                                  <a:pt x="3270485" y="1110489"/>
                                </a:lnTo>
                              </a:path>
                              <a:path w="5052695" h="1480820">
                                <a:moveTo>
                                  <a:pt x="4153866" y="1110489"/>
                                </a:moveTo>
                                <a:lnTo>
                                  <a:pt x="4713391" y="1110489"/>
                                </a:lnTo>
                              </a:path>
                              <a:path w="5052695" h="1480820">
                                <a:moveTo>
                                  <a:pt x="1988747" y="1110489"/>
                                </a:moveTo>
                                <a:lnTo>
                                  <a:pt x="2548272" y="1110489"/>
                                </a:lnTo>
                              </a:path>
                              <a:path w="5052695" h="1480820">
                                <a:moveTo>
                                  <a:pt x="0" y="1110489"/>
                                </a:moveTo>
                                <a:lnTo>
                                  <a:pt x="1826059" y="1110489"/>
                                </a:lnTo>
                              </a:path>
                              <a:path w="5052695" h="1480820">
                                <a:moveTo>
                                  <a:pt x="4876079" y="1110489"/>
                                </a:moveTo>
                                <a:lnTo>
                                  <a:pt x="5052451" y="1110489"/>
                                </a:lnTo>
                              </a:path>
                              <a:path w="5052695" h="1480820">
                                <a:moveTo>
                                  <a:pt x="4876079" y="740326"/>
                                </a:moveTo>
                                <a:lnTo>
                                  <a:pt x="5052451" y="740326"/>
                                </a:lnTo>
                              </a:path>
                              <a:path w="5052695" h="1480820">
                                <a:moveTo>
                                  <a:pt x="0" y="740326"/>
                                </a:moveTo>
                                <a:lnTo>
                                  <a:pt x="2548272" y="740326"/>
                                </a:lnTo>
                              </a:path>
                              <a:path w="5052695" h="1480820">
                                <a:moveTo>
                                  <a:pt x="4153866" y="740326"/>
                                </a:moveTo>
                                <a:lnTo>
                                  <a:pt x="4713391" y="740326"/>
                                </a:lnTo>
                              </a:path>
                              <a:path w="5052695" h="1480820">
                                <a:moveTo>
                                  <a:pt x="2710960" y="740326"/>
                                </a:moveTo>
                                <a:lnTo>
                                  <a:pt x="3992698" y="740326"/>
                                </a:lnTo>
                              </a:path>
                              <a:path w="5052695" h="1480820">
                                <a:moveTo>
                                  <a:pt x="4153866" y="370163"/>
                                </a:moveTo>
                                <a:lnTo>
                                  <a:pt x="4713391" y="370163"/>
                                </a:lnTo>
                              </a:path>
                              <a:path w="5052695" h="1480820">
                                <a:moveTo>
                                  <a:pt x="2710960" y="370163"/>
                                </a:moveTo>
                                <a:lnTo>
                                  <a:pt x="3992698" y="370163"/>
                                </a:lnTo>
                              </a:path>
                              <a:path w="5052695" h="1480820">
                                <a:moveTo>
                                  <a:pt x="4876079" y="370163"/>
                                </a:moveTo>
                                <a:lnTo>
                                  <a:pt x="5052451" y="370163"/>
                                </a:lnTo>
                              </a:path>
                              <a:path w="5052695" h="1480820">
                                <a:moveTo>
                                  <a:pt x="0" y="370163"/>
                                </a:moveTo>
                                <a:lnTo>
                                  <a:pt x="2548272" y="370163"/>
                                </a:lnTo>
                              </a:path>
                              <a:path w="5052695" h="1480820">
                                <a:moveTo>
                                  <a:pt x="4153866" y="0"/>
                                </a:moveTo>
                                <a:lnTo>
                                  <a:pt x="5052451" y="0"/>
                                </a:lnTo>
                              </a:path>
                              <a:path w="5052695" h="1480820">
                                <a:moveTo>
                                  <a:pt x="0" y="0"/>
                                </a:moveTo>
                                <a:lnTo>
                                  <a:pt x="2548272" y="0"/>
                                </a:lnTo>
                              </a:path>
                              <a:path w="5052695" h="1480820">
                                <a:moveTo>
                                  <a:pt x="2710960" y="0"/>
                                </a:moveTo>
                                <a:lnTo>
                                  <a:pt x="3992698" y="0"/>
                                </a:lnTo>
                              </a:path>
                            </a:pathLst>
                          </a:custGeom>
                          <a:ln w="9520">
                            <a:solidFill>
                              <a:srgbClr val="D9D9D9"/>
                            </a:solidFill>
                            <a:prstDash val="solid"/>
                          </a:ln>
                        </wps:spPr>
                        <wps:bodyPr wrap="square" lIns="0" tIns="0" rIns="0" bIns="0" rtlCol="0">
                          <a:prstTxWarp prst="textNoShape">
                            <a:avLst/>
                          </a:prstTxWarp>
                          <a:noAutofit/>
                        </wps:bodyPr>
                      </wps:wsp>
                      <wps:wsp>
                        <wps:cNvPr id="318" name="Graphic 5"/>
                        <wps:cNvSpPr/>
                        <wps:spPr>
                          <a:xfrm>
                            <a:off x="311888" y="606522"/>
                            <a:ext cx="5052695" cy="1270"/>
                          </a:xfrm>
                          <a:custGeom>
                            <a:avLst/>
                            <a:gdLst/>
                            <a:ahLst/>
                            <a:cxnLst/>
                            <a:rect l="l" t="t" r="r" b="b"/>
                            <a:pathLst>
                              <a:path w="5052695">
                                <a:moveTo>
                                  <a:pt x="0" y="0"/>
                                </a:moveTo>
                                <a:lnTo>
                                  <a:pt x="5052451" y="0"/>
                                </a:lnTo>
                              </a:path>
                            </a:pathLst>
                          </a:custGeom>
                          <a:ln w="9520">
                            <a:solidFill>
                              <a:srgbClr val="D9D9D9"/>
                            </a:solidFill>
                            <a:prstDash val="solid"/>
                          </a:ln>
                        </wps:spPr>
                        <wps:bodyPr wrap="square" lIns="0" tIns="0" rIns="0" bIns="0" rtlCol="0">
                          <a:prstTxWarp prst="textNoShape">
                            <a:avLst/>
                          </a:prstTxWarp>
                          <a:noAutofit/>
                        </wps:bodyPr>
                      </wps:wsp>
                      <wps:wsp>
                        <wps:cNvPr id="319" name="Graphic 6"/>
                        <wps:cNvSpPr/>
                        <wps:spPr>
                          <a:xfrm>
                            <a:off x="1210473" y="2373503"/>
                            <a:ext cx="3772535" cy="454025"/>
                          </a:xfrm>
                          <a:custGeom>
                            <a:avLst/>
                            <a:gdLst/>
                            <a:ahLst/>
                            <a:cxnLst/>
                            <a:rect l="l" t="t" r="r" b="b"/>
                            <a:pathLst>
                              <a:path w="3772535" h="454025">
                                <a:moveTo>
                                  <a:pt x="162687" y="303136"/>
                                </a:moveTo>
                                <a:lnTo>
                                  <a:pt x="0" y="303136"/>
                                </a:lnTo>
                                <a:lnTo>
                                  <a:pt x="0" y="453936"/>
                                </a:lnTo>
                                <a:lnTo>
                                  <a:pt x="162687" y="453936"/>
                                </a:lnTo>
                                <a:lnTo>
                                  <a:pt x="162687" y="303136"/>
                                </a:lnTo>
                                <a:close/>
                              </a:path>
                              <a:path w="3772535" h="454025">
                                <a:moveTo>
                                  <a:pt x="884897" y="0"/>
                                </a:moveTo>
                                <a:lnTo>
                                  <a:pt x="722210" y="0"/>
                                </a:lnTo>
                                <a:lnTo>
                                  <a:pt x="722210" y="453936"/>
                                </a:lnTo>
                                <a:lnTo>
                                  <a:pt x="884897" y="453936"/>
                                </a:lnTo>
                                <a:lnTo>
                                  <a:pt x="884897" y="0"/>
                                </a:lnTo>
                                <a:close/>
                              </a:path>
                              <a:path w="3772535" h="454025">
                                <a:moveTo>
                                  <a:pt x="1605584" y="9131"/>
                                </a:moveTo>
                                <a:lnTo>
                                  <a:pt x="1444421" y="9131"/>
                                </a:lnTo>
                                <a:lnTo>
                                  <a:pt x="1444421" y="453936"/>
                                </a:lnTo>
                                <a:lnTo>
                                  <a:pt x="1605584" y="453936"/>
                                </a:lnTo>
                                <a:lnTo>
                                  <a:pt x="1605584" y="9131"/>
                                </a:lnTo>
                                <a:close/>
                              </a:path>
                              <a:path w="3772535" h="454025">
                                <a:moveTo>
                                  <a:pt x="2327795" y="173647"/>
                                </a:moveTo>
                                <a:lnTo>
                                  <a:pt x="2166632" y="173647"/>
                                </a:lnTo>
                                <a:lnTo>
                                  <a:pt x="2166632" y="453936"/>
                                </a:lnTo>
                                <a:lnTo>
                                  <a:pt x="2327795" y="453936"/>
                                </a:lnTo>
                                <a:lnTo>
                                  <a:pt x="2327795" y="173647"/>
                                </a:lnTo>
                                <a:close/>
                              </a:path>
                              <a:path w="3772535" h="454025">
                                <a:moveTo>
                                  <a:pt x="3050019" y="41122"/>
                                </a:moveTo>
                                <a:lnTo>
                                  <a:pt x="2887332" y="41122"/>
                                </a:lnTo>
                                <a:lnTo>
                                  <a:pt x="2887332" y="453936"/>
                                </a:lnTo>
                                <a:lnTo>
                                  <a:pt x="3050019" y="453936"/>
                                </a:lnTo>
                                <a:lnTo>
                                  <a:pt x="3050019" y="41122"/>
                                </a:lnTo>
                                <a:close/>
                              </a:path>
                              <a:path w="3772535" h="454025">
                                <a:moveTo>
                                  <a:pt x="3772230" y="373202"/>
                                </a:moveTo>
                                <a:lnTo>
                                  <a:pt x="3609543" y="373202"/>
                                </a:lnTo>
                                <a:lnTo>
                                  <a:pt x="3609543" y="453936"/>
                                </a:lnTo>
                                <a:lnTo>
                                  <a:pt x="3772230" y="453936"/>
                                </a:lnTo>
                                <a:lnTo>
                                  <a:pt x="3772230" y="373202"/>
                                </a:lnTo>
                                <a:close/>
                              </a:path>
                            </a:pathLst>
                          </a:custGeom>
                          <a:solidFill>
                            <a:srgbClr val="155F82"/>
                          </a:solidFill>
                        </wps:spPr>
                        <wps:bodyPr wrap="square" lIns="0" tIns="0" rIns="0" bIns="0" rtlCol="0">
                          <a:prstTxWarp prst="textNoShape">
                            <a:avLst/>
                          </a:prstTxWarp>
                          <a:noAutofit/>
                        </wps:bodyPr>
                      </wps:wsp>
                      <wps:wsp>
                        <wps:cNvPr id="351" name="Graphic 7"/>
                        <wps:cNvSpPr/>
                        <wps:spPr>
                          <a:xfrm>
                            <a:off x="695031" y="682689"/>
                            <a:ext cx="4493260" cy="2145030"/>
                          </a:xfrm>
                          <a:custGeom>
                            <a:avLst/>
                            <a:gdLst/>
                            <a:ahLst/>
                            <a:cxnLst/>
                            <a:rect l="l" t="t" r="r" b="b"/>
                            <a:pathLst>
                              <a:path w="4493260" h="2145030">
                                <a:moveTo>
                                  <a:pt x="161175" y="1869033"/>
                                </a:moveTo>
                                <a:lnTo>
                                  <a:pt x="0" y="1869033"/>
                                </a:lnTo>
                                <a:lnTo>
                                  <a:pt x="0" y="2144750"/>
                                </a:lnTo>
                                <a:lnTo>
                                  <a:pt x="161175" y="2144750"/>
                                </a:lnTo>
                                <a:lnTo>
                                  <a:pt x="161175" y="1869033"/>
                                </a:lnTo>
                                <a:close/>
                              </a:path>
                              <a:path w="4493260" h="2145030">
                                <a:moveTo>
                                  <a:pt x="883386" y="1766976"/>
                                </a:moveTo>
                                <a:lnTo>
                                  <a:pt x="722210" y="1766976"/>
                                </a:lnTo>
                                <a:lnTo>
                                  <a:pt x="722223" y="2144750"/>
                                </a:lnTo>
                                <a:lnTo>
                                  <a:pt x="883386" y="2144750"/>
                                </a:lnTo>
                                <a:lnTo>
                                  <a:pt x="883386" y="1766976"/>
                                </a:lnTo>
                                <a:close/>
                              </a:path>
                              <a:path w="4493260" h="2145030">
                                <a:moveTo>
                                  <a:pt x="1605597" y="1201889"/>
                                </a:moveTo>
                                <a:lnTo>
                                  <a:pt x="1442910" y="1201889"/>
                                </a:lnTo>
                                <a:lnTo>
                                  <a:pt x="1442910" y="2144750"/>
                                </a:lnTo>
                                <a:lnTo>
                                  <a:pt x="1605597" y="2144750"/>
                                </a:lnTo>
                                <a:lnTo>
                                  <a:pt x="1605597" y="1201889"/>
                                </a:lnTo>
                                <a:close/>
                              </a:path>
                              <a:path w="4493260" h="2145030">
                                <a:moveTo>
                                  <a:pt x="2327808" y="207175"/>
                                </a:moveTo>
                                <a:lnTo>
                                  <a:pt x="2165121" y="207175"/>
                                </a:lnTo>
                                <a:lnTo>
                                  <a:pt x="2165121" y="2144750"/>
                                </a:lnTo>
                                <a:lnTo>
                                  <a:pt x="2327808" y="2144750"/>
                                </a:lnTo>
                                <a:lnTo>
                                  <a:pt x="2327808" y="207175"/>
                                </a:lnTo>
                                <a:close/>
                              </a:path>
                              <a:path w="4493260" h="2145030">
                                <a:moveTo>
                                  <a:pt x="3048508" y="1194269"/>
                                </a:moveTo>
                                <a:lnTo>
                                  <a:pt x="2887332" y="1194269"/>
                                </a:lnTo>
                                <a:lnTo>
                                  <a:pt x="2887332" y="2144750"/>
                                </a:lnTo>
                                <a:lnTo>
                                  <a:pt x="3048508" y="2144750"/>
                                </a:lnTo>
                                <a:lnTo>
                                  <a:pt x="3048508" y="1194269"/>
                                </a:lnTo>
                                <a:close/>
                              </a:path>
                              <a:path w="4493260" h="2145030">
                                <a:moveTo>
                                  <a:pt x="3770719" y="0"/>
                                </a:moveTo>
                                <a:lnTo>
                                  <a:pt x="3609543" y="0"/>
                                </a:lnTo>
                                <a:lnTo>
                                  <a:pt x="3609543" y="2144750"/>
                                </a:lnTo>
                                <a:lnTo>
                                  <a:pt x="3770719" y="2144750"/>
                                </a:lnTo>
                                <a:lnTo>
                                  <a:pt x="3770719" y="0"/>
                                </a:lnTo>
                                <a:close/>
                              </a:path>
                              <a:path w="4493260" h="2145030">
                                <a:moveTo>
                                  <a:pt x="4492930" y="447852"/>
                                </a:moveTo>
                                <a:lnTo>
                                  <a:pt x="4330243" y="447852"/>
                                </a:lnTo>
                                <a:lnTo>
                                  <a:pt x="4330243" y="2144750"/>
                                </a:lnTo>
                                <a:lnTo>
                                  <a:pt x="4492930" y="2144750"/>
                                </a:lnTo>
                                <a:lnTo>
                                  <a:pt x="4492930" y="447852"/>
                                </a:lnTo>
                                <a:close/>
                              </a:path>
                            </a:pathLst>
                          </a:custGeom>
                          <a:solidFill>
                            <a:srgbClr val="E97031"/>
                          </a:solidFill>
                        </wps:spPr>
                        <wps:bodyPr wrap="square" lIns="0" tIns="0" rIns="0" bIns="0" rtlCol="0">
                          <a:prstTxWarp prst="textNoShape">
                            <a:avLst/>
                          </a:prstTxWarp>
                          <a:noAutofit/>
                        </wps:bodyPr>
                      </wps:wsp>
                      <wps:wsp>
                        <wps:cNvPr id="401" name="Graphic 8"/>
                        <wps:cNvSpPr/>
                        <wps:spPr>
                          <a:xfrm>
                            <a:off x="311888" y="2827437"/>
                            <a:ext cx="5052695" cy="1270"/>
                          </a:xfrm>
                          <a:custGeom>
                            <a:avLst/>
                            <a:gdLst/>
                            <a:ahLst/>
                            <a:cxnLst/>
                            <a:rect l="l" t="t" r="r" b="b"/>
                            <a:pathLst>
                              <a:path w="5052695">
                                <a:moveTo>
                                  <a:pt x="0" y="0"/>
                                </a:moveTo>
                                <a:lnTo>
                                  <a:pt x="5052451" y="0"/>
                                </a:lnTo>
                              </a:path>
                            </a:pathLst>
                          </a:custGeom>
                          <a:ln w="9520">
                            <a:solidFill>
                              <a:srgbClr val="D9D9D9"/>
                            </a:solidFill>
                            <a:prstDash val="solid"/>
                          </a:ln>
                        </wps:spPr>
                        <wps:bodyPr wrap="square" lIns="0" tIns="0" rIns="0" bIns="0" rtlCol="0">
                          <a:prstTxWarp prst="textNoShape">
                            <a:avLst/>
                          </a:prstTxWarp>
                          <a:noAutofit/>
                        </wps:bodyPr>
                      </wps:wsp>
                      <wps:wsp>
                        <wps:cNvPr id="402" name="Graphic 9"/>
                        <wps:cNvSpPr/>
                        <wps:spPr>
                          <a:xfrm>
                            <a:off x="5235101" y="1532692"/>
                            <a:ext cx="52069" cy="52069"/>
                          </a:xfrm>
                          <a:custGeom>
                            <a:avLst/>
                            <a:gdLst/>
                            <a:ahLst/>
                            <a:cxnLst/>
                            <a:rect l="l" t="t" r="r" b="b"/>
                            <a:pathLst>
                              <a:path w="52069" h="52069">
                                <a:moveTo>
                                  <a:pt x="51695" y="0"/>
                                </a:moveTo>
                                <a:lnTo>
                                  <a:pt x="0" y="0"/>
                                </a:lnTo>
                                <a:lnTo>
                                  <a:pt x="0" y="51792"/>
                                </a:lnTo>
                                <a:lnTo>
                                  <a:pt x="51695" y="51792"/>
                                </a:lnTo>
                                <a:lnTo>
                                  <a:pt x="51695" y="0"/>
                                </a:lnTo>
                                <a:close/>
                              </a:path>
                            </a:pathLst>
                          </a:custGeom>
                          <a:solidFill>
                            <a:srgbClr val="155F82"/>
                          </a:solidFill>
                        </wps:spPr>
                        <wps:bodyPr wrap="square" lIns="0" tIns="0" rIns="0" bIns="0" rtlCol="0">
                          <a:prstTxWarp prst="textNoShape">
                            <a:avLst/>
                          </a:prstTxWarp>
                          <a:noAutofit/>
                        </wps:bodyPr>
                      </wps:wsp>
                      <wps:wsp>
                        <wps:cNvPr id="403" name="Graphic 10"/>
                        <wps:cNvSpPr/>
                        <wps:spPr>
                          <a:xfrm>
                            <a:off x="4757" y="4757"/>
                            <a:ext cx="5834380" cy="3495040"/>
                          </a:xfrm>
                          <a:custGeom>
                            <a:avLst/>
                            <a:gdLst/>
                            <a:ahLst/>
                            <a:cxnLst/>
                            <a:rect l="l" t="t" r="r" b="b"/>
                            <a:pathLst>
                              <a:path w="5834380" h="3495040">
                                <a:moveTo>
                                  <a:pt x="0" y="3494460"/>
                                </a:moveTo>
                                <a:lnTo>
                                  <a:pt x="5833962" y="3494460"/>
                                </a:lnTo>
                                <a:lnTo>
                                  <a:pt x="5833962" y="0"/>
                                </a:lnTo>
                                <a:lnTo>
                                  <a:pt x="0" y="0"/>
                                </a:lnTo>
                                <a:lnTo>
                                  <a:pt x="0" y="3494460"/>
                                </a:lnTo>
                                <a:close/>
                              </a:path>
                            </a:pathLst>
                          </a:custGeom>
                          <a:ln w="9515">
                            <a:solidFill>
                              <a:srgbClr val="D9D9D9"/>
                            </a:solidFill>
                            <a:prstDash val="solid"/>
                          </a:ln>
                        </wps:spPr>
                        <wps:bodyPr wrap="square" lIns="0" tIns="0" rIns="0" bIns="0" rtlCol="0">
                          <a:prstTxWarp prst="textNoShape">
                            <a:avLst/>
                          </a:prstTxWarp>
                          <a:noAutofit/>
                        </wps:bodyPr>
                      </wps:wsp>
                      <wps:wsp>
                        <wps:cNvPr id="404" name="Textbox 11"/>
                        <wps:cNvSpPr txBox="1"/>
                        <wps:spPr>
                          <a:xfrm>
                            <a:off x="24523" y="164289"/>
                            <a:ext cx="195580" cy="127635"/>
                          </a:xfrm>
                          <a:prstGeom prst="rect">
                            <a:avLst/>
                          </a:prstGeom>
                        </wps:spPr>
                        <wps:txbx>
                          <w:txbxContent>
                            <w:p w:rsidR="0064059F" w:rsidRDefault="0064059F" w:rsidP="00D67F76">
                              <w:pPr>
                                <w:spacing w:line="201" w:lineRule="exact"/>
                                <w:rPr>
                                  <w:rFonts w:ascii="Arial MT"/>
                                  <w:sz w:val="18"/>
                                </w:rPr>
                              </w:pPr>
                              <w:r>
                                <w:rPr>
                                  <w:rFonts w:ascii="Arial MT"/>
                                  <w:color w:val="333333"/>
                                  <w:spacing w:val="-5"/>
                                  <w:sz w:val="18"/>
                                </w:rPr>
                                <w:t>350</w:t>
                              </w:r>
                            </w:p>
                          </w:txbxContent>
                        </wps:txbx>
                        <wps:bodyPr wrap="square" lIns="0" tIns="0" rIns="0" bIns="0" rtlCol="0">
                          <a:noAutofit/>
                        </wps:bodyPr>
                      </wps:wsp>
                      <wps:wsp>
                        <wps:cNvPr id="405" name="Textbox 12"/>
                        <wps:cNvSpPr txBox="1"/>
                        <wps:spPr>
                          <a:xfrm>
                            <a:off x="311888" y="106963"/>
                            <a:ext cx="5065395" cy="168910"/>
                          </a:xfrm>
                          <a:prstGeom prst="rect">
                            <a:avLst/>
                          </a:prstGeom>
                        </wps:spPr>
                        <wps:txbx>
                          <w:txbxContent>
                            <w:p w:rsidR="0064059F" w:rsidRDefault="0064059F" w:rsidP="00D67F76">
                              <w:pPr>
                                <w:tabs>
                                  <w:tab w:val="left" w:pos="2084"/>
                                  <w:tab w:val="left" w:pos="7956"/>
                                </w:tabs>
                                <w:spacing w:line="266" w:lineRule="exact"/>
                                <w:rPr>
                                  <w:sz w:val="24"/>
                                </w:rPr>
                              </w:pPr>
                              <w:r>
                                <w:rPr>
                                  <w:color w:val="333333"/>
                                  <w:sz w:val="24"/>
                                  <w:u w:val="single" w:color="D9D9D9"/>
                                </w:rPr>
                                <w:tab/>
                                <w:t>Aktiviteti</w:t>
                              </w:r>
                              <w:r>
                                <w:rPr>
                                  <w:color w:val="333333"/>
                                  <w:spacing w:val="-9"/>
                                  <w:sz w:val="24"/>
                                  <w:u w:val="single" w:color="D9D9D9"/>
                                </w:rPr>
                                <w:t xml:space="preserve"> </w:t>
                              </w:r>
                              <w:r>
                                <w:rPr>
                                  <w:color w:val="333333"/>
                                  <w:sz w:val="24"/>
                                  <w:u w:val="single" w:color="D9D9D9"/>
                                </w:rPr>
                                <w:t>alfa</w:t>
                              </w:r>
                              <w:r>
                                <w:rPr>
                                  <w:color w:val="333333"/>
                                  <w:spacing w:val="-6"/>
                                  <w:sz w:val="24"/>
                                  <w:u w:val="single" w:color="D9D9D9"/>
                                </w:rPr>
                                <w:t xml:space="preserve"> </w:t>
                              </w:r>
                              <w:r>
                                <w:rPr>
                                  <w:color w:val="333333"/>
                                  <w:sz w:val="24"/>
                                  <w:u w:val="single" w:color="D9D9D9"/>
                                </w:rPr>
                                <w:t>dhe</w:t>
                              </w:r>
                              <w:r>
                                <w:rPr>
                                  <w:color w:val="333333"/>
                                  <w:spacing w:val="-6"/>
                                  <w:sz w:val="24"/>
                                  <w:u w:val="single" w:color="D9D9D9"/>
                                </w:rPr>
                                <w:t xml:space="preserve"> </w:t>
                              </w:r>
                              <w:r>
                                <w:rPr>
                                  <w:color w:val="333333"/>
                                  <w:sz w:val="24"/>
                                  <w:u w:val="single" w:color="D9D9D9"/>
                                </w:rPr>
                                <w:t>beta</w:t>
                              </w:r>
                              <w:r>
                                <w:rPr>
                                  <w:color w:val="333333"/>
                                  <w:spacing w:val="-7"/>
                                  <w:sz w:val="24"/>
                                  <w:u w:val="single" w:color="D9D9D9"/>
                                </w:rPr>
                                <w:t xml:space="preserve"> </w:t>
                              </w:r>
                              <w:r>
                                <w:rPr>
                                  <w:color w:val="333333"/>
                                  <w:sz w:val="24"/>
                                  <w:u w:val="single" w:color="D9D9D9"/>
                                </w:rPr>
                                <w:t>total</w:t>
                              </w:r>
                              <w:r>
                                <w:rPr>
                                  <w:color w:val="333333"/>
                                  <w:spacing w:val="-7"/>
                                  <w:sz w:val="24"/>
                                  <w:u w:val="single" w:color="D9D9D9"/>
                                </w:rPr>
                                <w:t xml:space="preserve"> </w:t>
                              </w:r>
                              <w:r>
                                <w:rPr>
                                  <w:color w:val="333333"/>
                                  <w:sz w:val="24"/>
                                  <w:u w:val="single" w:color="D9D9D9"/>
                                </w:rPr>
                                <w:t>Qershor</w:t>
                              </w:r>
                              <w:r>
                                <w:rPr>
                                  <w:color w:val="333333"/>
                                  <w:spacing w:val="-6"/>
                                  <w:sz w:val="24"/>
                                  <w:u w:val="single" w:color="D9D9D9"/>
                                </w:rPr>
                                <w:t xml:space="preserve"> </w:t>
                              </w:r>
                              <w:r>
                                <w:rPr>
                                  <w:color w:val="333333"/>
                                  <w:spacing w:val="-4"/>
                                  <w:sz w:val="24"/>
                                  <w:u w:val="single" w:color="D9D9D9"/>
                                </w:rPr>
                                <w:t>2025</w:t>
                              </w:r>
                              <w:r>
                                <w:rPr>
                                  <w:color w:val="333333"/>
                                  <w:sz w:val="24"/>
                                  <w:u w:val="single" w:color="D9D9D9"/>
                                </w:rPr>
                                <w:tab/>
                              </w:r>
                            </w:p>
                          </w:txbxContent>
                        </wps:txbx>
                        <wps:bodyPr wrap="square" lIns="0" tIns="0" rIns="0" bIns="0" rtlCol="0">
                          <a:noAutofit/>
                        </wps:bodyPr>
                      </wps:wsp>
                      <wps:wsp>
                        <wps:cNvPr id="406" name="Textbox 13"/>
                        <wps:cNvSpPr txBox="1"/>
                        <wps:spPr>
                          <a:xfrm>
                            <a:off x="24523" y="534452"/>
                            <a:ext cx="195580" cy="1238885"/>
                          </a:xfrm>
                          <a:prstGeom prst="rect">
                            <a:avLst/>
                          </a:prstGeom>
                        </wps:spPr>
                        <wps:txbx>
                          <w:txbxContent>
                            <w:p w:rsidR="0064059F" w:rsidRDefault="0064059F" w:rsidP="00D67F76">
                              <w:pPr>
                                <w:spacing w:line="201" w:lineRule="exact"/>
                                <w:rPr>
                                  <w:rFonts w:ascii="Arial MT"/>
                                  <w:sz w:val="18"/>
                                </w:rPr>
                              </w:pPr>
                              <w:r>
                                <w:rPr>
                                  <w:rFonts w:ascii="Arial MT"/>
                                  <w:color w:val="333333"/>
                                  <w:spacing w:val="-5"/>
                                  <w:sz w:val="18"/>
                                </w:rPr>
                                <w:t>300</w:t>
                              </w:r>
                            </w:p>
                            <w:p w:rsidR="0064059F" w:rsidRDefault="0064059F" w:rsidP="00D67F76">
                              <w:pPr>
                                <w:spacing w:before="169"/>
                                <w:rPr>
                                  <w:rFonts w:ascii="Arial MT"/>
                                  <w:sz w:val="18"/>
                                </w:rPr>
                              </w:pPr>
                            </w:p>
                            <w:p w:rsidR="0064059F" w:rsidRDefault="0064059F" w:rsidP="00D67F76">
                              <w:pPr>
                                <w:rPr>
                                  <w:rFonts w:ascii="Arial MT"/>
                                  <w:sz w:val="18"/>
                                </w:rPr>
                              </w:pPr>
                              <w:r>
                                <w:rPr>
                                  <w:rFonts w:ascii="Arial MT"/>
                                  <w:color w:val="333333"/>
                                  <w:spacing w:val="-5"/>
                                  <w:sz w:val="18"/>
                                </w:rPr>
                                <w:t>250</w:t>
                              </w:r>
                            </w:p>
                            <w:p w:rsidR="0064059F" w:rsidRDefault="0064059F" w:rsidP="00D67F76">
                              <w:pPr>
                                <w:spacing w:before="169"/>
                                <w:rPr>
                                  <w:rFonts w:ascii="Arial MT"/>
                                  <w:sz w:val="18"/>
                                </w:rPr>
                              </w:pPr>
                            </w:p>
                            <w:p w:rsidR="0064059F" w:rsidRDefault="0064059F" w:rsidP="00D67F76">
                              <w:pPr>
                                <w:rPr>
                                  <w:rFonts w:ascii="Arial MT"/>
                                  <w:sz w:val="18"/>
                                </w:rPr>
                              </w:pPr>
                              <w:r>
                                <w:rPr>
                                  <w:rFonts w:ascii="Arial MT"/>
                                  <w:color w:val="333333"/>
                                  <w:spacing w:val="-5"/>
                                  <w:sz w:val="18"/>
                                </w:rPr>
                                <w:t>200</w:t>
                              </w:r>
                            </w:p>
                            <w:p w:rsidR="0064059F" w:rsidRDefault="0064059F" w:rsidP="00D67F76">
                              <w:pPr>
                                <w:spacing w:before="169"/>
                                <w:rPr>
                                  <w:rFonts w:ascii="Arial MT"/>
                                  <w:sz w:val="18"/>
                                </w:rPr>
                              </w:pPr>
                            </w:p>
                            <w:p w:rsidR="0064059F" w:rsidRDefault="0064059F" w:rsidP="00D67F76">
                              <w:pPr>
                                <w:rPr>
                                  <w:rFonts w:ascii="Arial MT"/>
                                  <w:sz w:val="18"/>
                                </w:rPr>
                              </w:pPr>
                              <w:r>
                                <w:rPr>
                                  <w:rFonts w:ascii="Arial MT"/>
                                  <w:color w:val="333333"/>
                                  <w:spacing w:val="-5"/>
                                  <w:sz w:val="18"/>
                                </w:rPr>
                                <w:t>150</w:t>
                              </w:r>
                            </w:p>
                          </w:txbxContent>
                        </wps:txbx>
                        <wps:bodyPr wrap="square" lIns="0" tIns="0" rIns="0" bIns="0" rtlCol="0">
                          <a:noAutofit/>
                        </wps:bodyPr>
                      </wps:wsp>
                      <wps:wsp>
                        <wps:cNvPr id="407" name="Textbox 14"/>
                        <wps:cNvSpPr txBox="1"/>
                        <wps:spPr>
                          <a:xfrm>
                            <a:off x="5310490" y="1498691"/>
                            <a:ext cx="410209" cy="236854"/>
                          </a:xfrm>
                          <a:prstGeom prst="rect">
                            <a:avLst/>
                          </a:prstGeom>
                        </wps:spPr>
                        <wps:txbx>
                          <w:txbxContent>
                            <w:p w:rsidR="0064059F" w:rsidRDefault="0064059F" w:rsidP="00D67F76">
                              <w:pPr>
                                <w:spacing w:line="182" w:lineRule="exact"/>
                                <w:rPr>
                                  <w:sz w:val="16"/>
                                </w:rPr>
                              </w:pPr>
                              <w:r>
                                <w:rPr>
                                  <w:color w:val="333333"/>
                                  <w:w w:val="105"/>
                                  <w:sz w:val="16"/>
                                </w:rPr>
                                <w:t>Alfa</w:t>
                              </w:r>
                              <w:r>
                                <w:rPr>
                                  <w:color w:val="333333"/>
                                  <w:spacing w:val="-9"/>
                                  <w:w w:val="105"/>
                                  <w:sz w:val="16"/>
                                </w:rPr>
                                <w:t xml:space="preserve"> </w:t>
                              </w:r>
                              <w:r>
                                <w:rPr>
                                  <w:color w:val="333333"/>
                                  <w:spacing w:val="-2"/>
                                  <w:w w:val="105"/>
                                  <w:sz w:val="16"/>
                                </w:rPr>
                                <w:t>total</w:t>
                              </w:r>
                            </w:p>
                            <w:p w:rsidR="0064059F" w:rsidRDefault="0064059F" w:rsidP="00D67F76">
                              <w:pPr>
                                <w:spacing w:before="5"/>
                                <w:rPr>
                                  <w:sz w:val="16"/>
                                </w:rPr>
                              </w:pPr>
                              <w:r>
                                <w:rPr>
                                  <w:color w:val="333333"/>
                                  <w:spacing w:val="-4"/>
                                  <w:w w:val="105"/>
                                  <w:sz w:val="16"/>
                                </w:rPr>
                                <w:t>mBq/L</w:t>
                              </w:r>
                            </w:p>
                          </w:txbxContent>
                        </wps:txbx>
                        <wps:bodyPr wrap="square" lIns="0" tIns="0" rIns="0" bIns="0" rtlCol="0">
                          <a:noAutofit/>
                        </wps:bodyPr>
                      </wps:wsp>
                      <wps:wsp>
                        <wps:cNvPr id="408" name="Textbox 15"/>
                        <wps:cNvSpPr txBox="1"/>
                        <wps:spPr>
                          <a:xfrm>
                            <a:off x="24523" y="2015082"/>
                            <a:ext cx="198120" cy="868680"/>
                          </a:xfrm>
                          <a:prstGeom prst="rect">
                            <a:avLst/>
                          </a:prstGeom>
                        </wps:spPr>
                        <wps:txbx>
                          <w:txbxContent>
                            <w:p w:rsidR="0064059F" w:rsidRDefault="0064059F" w:rsidP="00D67F76">
                              <w:pPr>
                                <w:spacing w:line="201" w:lineRule="exact"/>
                                <w:rPr>
                                  <w:rFonts w:ascii="Arial MT"/>
                                  <w:sz w:val="18"/>
                                </w:rPr>
                              </w:pPr>
                              <w:r>
                                <w:rPr>
                                  <w:rFonts w:ascii="Arial MT"/>
                                  <w:color w:val="333333"/>
                                  <w:spacing w:val="-5"/>
                                  <w:sz w:val="18"/>
                                </w:rPr>
                                <w:t>100</w:t>
                              </w:r>
                            </w:p>
                            <w:p w:rsidR="0064059F" w:rsidRDefault="0064059F" w:rsidP="00D67F76">
                              <w:pPr>
                                <w:spacing w:before="169"/>
                                <w:rPr>
                                  <w:rFonts w:ascii="Arial MT"/>
                                  <w:sz w:val="18"/>
                                </w:rPr>
                              </w:pPr>
                            </w:p>
                            <w:p w:rsidR="0064059F" w:rsidRDefault="0064059F" w:rsidP="00D67F76">
                              <w:pPr>
                                <w:ind w:left="96"/>
                                <w:rPr>
                                  <w:rFonts w:ascii="Arial MT"/>
                                  <w:sz w:val="18"/>
                                </w:rPr>
                              </w:pPr>
                              <w:r>
                                <w:rPr>
                                  <w:rFonts w:ascii="Arial MT"/>
                                  <w:color w:val="333333"/>
                                  <w:spacing w:val="-5"/>
                                  <w:sz w:val="18"/>
                                </w:rPr>
                                <w:t>50</w:t>
                              </w:r>
                            </w:p>
                            <w:p w:rsidR="0064059F" w:rsidRDefault="0064059F" w:rsidP="00D67F76">
                              <w:pPr>
                                <w:spacing w:before="169"/>
                                <w:rPr>
                                  <w:rFonts w:ascii="Arial MT"/>
                                  <w:sz w:val="18"/>
                                </w:rPr>
                              </w:pPr>
                            </w:p>
                            <w:p w:rsidR="0064059F" w:rsidRDefault="0064059F" w:rsidP="00D67F76">
                              <w:pPr>
                                <w:ind w:left="192"/>
                                <w:rPr>
                                  <w:rFonts w:ascii="Arial MT"/>
                                  <w:sz w:val="18"/>
                                </w:rPr>
                              </w:pPr>
                              <w:r>
                                <w:rPr>
                                  <w:rFonts w:ascii="Arial MT"/>
                                  <w:color w:val="333333"/>
                                  <w:spacing w:val="-10"/>
                                  <w:sz w:val="18"/>
                                </w:rPr>
                                <w:t>0</w:t>
                              </w:r>
                            </w:p>
                          </w:txbxContent>
                        </wps:txbx>
                        <wps:bodyPr wrap="square" lIns="0" tIns="0" rIns="0" bIns="0" rtlCol="0">
                          <a:noAutofit/>
                        </wps:bodyPr>
                      </wps:wsp>
                      <wps:wsp>
                        <wps:cNvPr id="409" name="Textbox 16"/>
                        <wps:cNvSpPr txBox="1"/>
                        <wps:spPr>
                          <a:xfrm>
                            <a:off x="325268" y="2896577"/>
                            <a:ext cx="2799080" cy="389890"/>
                          </a:xfrm>
                          <a:prstGeom prst="rect">
                            <a:avLst/>
                          </a:prstGeom>
                        </wps:spPr>
                        <wps:txbx>
                          <w:txbxContent>
                            <w:p w:rsidR="0064059F" w:rsidRDefault="0064059F" w:rsidP="00D67F76">
                              <w:pPr>
                                <w:tabs>
                                  <w:tab w:val="left" w:pos="1304"/>
                                  <w:tab w:val="left" w:pos="2374"/>
                                  <w:tab w:val="left" w:pos="3533"/>
                                </w:tabs>
                                <w:spacing w:line="200" w:lineRule="exact"/>
                                <w:rPr>
                                  <w:sz w:val="18"/>
                                </w:rPr>
                              </w:pPr>
                              <w:r>
                                <w:rPr>
                                  <w:color w:val="333333"/>
                                  <w:sz w:val="18"/>
                                </w:rPr>
                                <w:t>Lumi</w:t>
                              </w:r>
                              <w:r>
                                <w:rPr>
                                  <w:color w:val="333333"/>
                                  <w:spacing w:val="-5"/>
                                  <w:sz w:val="18"/>
                                </w:rPr>
                                <w:t xml:space="preserve"> </w:t>
                              </w:r>
                              <w:r>
                                <w:rPr>
                                  <w:color w:val="333333"/>
                                  <w:sz w:val="18"/>
                                </w:rPr>
                                <w:t>Mat</w:t>
                              </w:r>
                              <w:r>
                                <w:rPr>
                                  <w:color w:val="333333"/>
                                  <w:spacing w:val="-1"/>
                                  <w:sz w:val="18"/>
                                </w:rPr>
                                <w:t xml:space="preserve"> </w:t>
                              </w:r>
                              <w:r>
                                <w:rPr>
                                  <w:color w:val="333333"/>
                                  <w:spacing w:val="-4"/>
                                  <w:sz w:val="18"/>
                                </w:rPr>
                                <w:t>(Ura</w:t>
                              </w:r>
                              <w:r>
                                <w:rPr>
                                  <w:color w:val="333333"/>
                                  <w:sz w:val="18"/>
                                </w:rPr>
                                <w:tab/>
                                <w:t>Lumi</w:t>
                              </w:r>
                              <w:r>
                                <w:rPr>
                                  <w:color w:val="333333"/>
                                  <w:spacing w:val="-3"/>
                                  <w:sz w:val="18"/>
                                </w:rPr>
                                <w:t xml:space="preserve"> </w:t>
                              </w:r>
                              <w:r>
                                <w:rPr>
                                  <w:color w:val="333333"/>
                                  <w:spacing w:val="-4"/>
                                  <w:sz w:val="18"/>
                                </w:rPr>
                                <w:t>Drin</w:t>
                              </w:r>
                              <w:r>
                                <w:rPr>
                                  <w:color w:val="333333"/>
                                  <w:sz w:val="18"/>
                                </w:rPr>
                                <w:tab/>
                                <w:t>Lumi</w:t>
                              </w:r>
                              <w:r>
                                <w:rPr>
                                  <w:color w:val="333333"/>
                                  <w:spacing w:val="-3"/>
                                  <w:sz w:val="18"/>
                                </w:rPr>
                                <w:t xml:space="preserve"> </w:t>
                              </w:r>
                              <w:r>
                                <w:rPr>
                                  <w:color w:val="333333"/>
                                  <w:spacing w:val="-4"/>
                                  <w:sz w:val="18"/>
                                </w:rPr>
                                <w:t>Erzen</w:t>
                              </w:r>
                              <w:r>
                                <w:rPr>
                                  <w:color w:val="333333"/>
                                  <w:sz w:val="18"/>
                                </w:rPr>
                                <w:tab/>
                                <w:t>Lumi</w:t>
                              </w:r>
                              <w:r>
                                <w:rPr>
                                  <w:color w:val="333333"/>
                                  <w:spacing w:val="-3"/>
                                  <w:sz w:val="18"/>
                                </w:rPr>
                                <w:t xml:space="preserve"> </w:t>
                              </w:r>
                              <w:r>
                                <w:rPr>
                                  <w:color w:val="333333"/>
                                  <w:spacing w:val="-4"/>
                                  <w:sz w:val="18"/>
                                </w:rPr>
                                <w:t>Erzen</w:t>
                              </w:r>
                            </w:p>
                            <w:p w:rsidR="0064059F" w:rsidRDefault="0064059F" w:rsidP="00D67F76">
                              <w:pPr>
                                <w:tabs>
                                  <w:tab w:val="left" w:pos="1319"/>
                                  <w:tab w:val="left" w:pos="3733"/>
                                </w:tabs>
                                <w:ind w:left="27"/>
                                <w:rPr>
                                  <w:sz w:val="18"/>
                                </w:rPr>
                              </w:pPr>
                              <w:r>
                                <w:rPr>
                                  <w:color w:val="333333"/>
                                  <w:sz w:val="18"/>
                                </w:rPr>
                                <w:t>e</w:t>
                              </w:r>
                              <w:r>
                                <w:rPr>
                                  <w:color w:val="333333"/>
                                  <w:spacing w:val="-3"/>
                                  <w:sz w:val="18"/>
                                </w:rPr>
                                <w:t xml:space="preserve"> </w:t>
                              </w:r>
                              <w:r>
                                <w:rPr>
                                  <w:color w:val="333333"/>
                                  <w:sz w:val="18"/>
                                </w:rPr>
                                <w:t>Re</w:t>
                              </w:r>
                              <w:r>
                                <w:rPr>
                                  <w:color w:val="333333"/>
                                  <w:spacing w:val="-2"/>
                                  <w:sz w:val="18"/>
                                </w:rPr>
                                <w:t xml:space="preserve"> </w:t>
                              </w:r>
                              <w:r>
                                <w:rPr>
                                  <w:color w:val="333333"/>
                                  <w:sz w:val="18"/>
                                </w:rPr>
                                <w:t>në</w:t>
                              </w:r>
                              <w:r>
                                <w:rPr>
                                  <w:color w:val="333333"/>
                                  <w:spacing w:val="-2"/>
                                  <w:sz w:val="18"/>
                                </w:rPr>
                                <w:t xml:space="preserve"> Milot)</w:t>
                              </w:r>
                              <w:r>
                                <w:rPr>
                                  <w:color w:val="333333"/>
                                  <w:sz w:val="18"/>
                                </w:rPr>
                                <w:tab/>
                                <w:t>(Baçallëk,</w:t>
                              </w:r>
                              <w:r>
                                <w:rPr>
                                  <w:color w:val="333333"/>
                                  <w:spacing w:val="42"/>
                                  <w:sz w:val="18"/>
                                </w:rPr>
                                <w:t xml:space="preserve">  </w:t>
                              </w:r>
                              <w:r>
                                <w:rPr>
                                  <w:color w:val="333333"/>
                                  <w:sz w:val="18"/>
                                </w:rPr>
                                <w:t>(Ura</w:t>
                              </w:r>
                              <w:r>
                                <w:rPr>
                                  <w:color w:val="333333"/>
                                  <w:spacing w:val="-2"/>
                                  <w:sz w:val="18"/>
                                </w:rPr>
                                <w:t xml:space="preserve"> </w:t>
                              </w:r>
                              <w:r>
                                <w:rPr>
                                  <w:color w:val="333333"/>
                                  <w:sz w:val="18"/>
                                </w:rPr>
                                <w:t>e</w:t>
                              </w:r>
                              <w:r>
                                <w:rPr>
                                  <w:color w:val="333333"/>
                                  <w:spacing w:val="-4"/>
                                  <w:sz w:val="18"/>
                                </w:rPr>
                                <w:t xml:space="preserve"> </w:t>
                              </w:r>
                              <w:r>
                                <w:rPr>
                                  <w:color w:val="333333"/>
                                  <w:spacing w:val="-2"/>
                                  <w:sz w:val="18"/>
                                </w:rPr>
                                <w:t>Beshirit)</w:t>
                              </w:r>
                              <w:r>
                                <w:rPr>
                                  <w:color w:val="333333"/>
                                  <w:sz w:val="18"/>
                                </w:rPr>
                                <w:tab/>
                                <w:t>(Ura</w:t>
                              </w:r>
                              <w:r>
                                <w:rPr>
                                  <w:color w:val="333333"/>
                                  <w:spacing w:val="-5"/>
                                  <w:sz w:val="18"/>
                                </w:rPr>
                                <w:t xml:space="preserve"> </w:t>
                              </w:r>
                              <w:r>
                                <w:rPr>
                                  <w:color w:val="333333"/>
                                  <w:spacing w:val="-10"/>
                                  <w:sz w:val="18"/>
                                </w:rPr>
                                <w:t>e</w:t>
                              </w:r>
                            </w:p>
                            <w:p w:rsidR="0064059F" w:rsidRDefault="0064059F" w:rsidP="00D67F76">
                              <w:pPr>
                                <w:tabs>
                                  <w:tab w:val="left" w:pos="3531"/>
                                </w:tabs>
                                <w:ind w:left="1356"/>
                                <w:rPr>
                                  <w:sz w:val="18"/>
                                </w:rPr>
                              </w:pPr>
                              <w:r>
                                <w:rPr>
                                  <w:color w:val="333333"/>
                                  <w:spacing w:val="-2"/>
                                  <w:sz w:val="18"/>
                                </w:rPr>
                                <w:t>Shkodër)</w:t>
                              </w:r>
                              <w:r>
                                <w:rPr>
                                  <w:color w:val="333333"/>
                                  <w:sz w:val="18"/>
                                </w:rPr>
                                <w:tab/>
                              </w:r>
                              <w:r>
                                <w:rPr>
                                  <w:color w:val="333333"/>
                                  <w:spacing w:val="-2"/>
                                  <w:sz w:val="18"/>
                                </w:rPr>
                                <w:t>Peshkatarit)</w:t>
                              </w:r>
                            </w:p>
                          </w:txbxContent>
                        </wps:txbx>
                        <wps:bodyPr wrap="square" lIns="0" tIns="0" rIns="0" bIns="0" rtlCol="0">
                          <a:noAutofit/>
                        </wps:bodyPr>
                      </wps:wsp>
                      <wps:wsp>
                        <wps:cNvPr id="410" name="Textbox 17"/>
                        <wps:cNvSpPr txBox="1"/>
                        <wps:spPr>
                          <a:xfrm>
                            <a:off x="3327572" y="2896577"/>
                            <a:ext cx="481330" cy="389890"/>
                          </a:xfrm>
                          <a:prstGeom prst="rect">
                            <a:avLst/>
                          </a:prstGeom>
                        </wps:spPr>
                        <wps:txbx>
                          <w:txbxContent>
                            <w:p w:rsidR="0064059F" w:rsidRDefault="0064059F" w:rsidP="00D67F76">
                              <w:pPr>
                                <w:ind w:right="18"/>
                                <w:jc w:val="center"/>
                                <w:rPr>
                                  <w:sz w:val="18"/>
                                </w:rPr>
                              </w:pPr>
                              <w:r>
                                <w:rPr>
                                  <w:color w:val="333333"/>
                                  <w:spacing w:val="-4"/>
                                  <w:sz w:val="18"/>
                                </w:rPr>
                                <w:t xml:space="preserve">Lumi </w:t>
                              </w:r>
                              <w:r>
                                <w:rPr>
                                  <w:color w:val="333333"/>
                                  <w:spacing w:val="-2"/>
                                  <w:sz w:val="18"/>
                                </w:rPr>
                                <w:t>Shkumbin (Qukës)</w:t>
                              </w:r>
                            </w:p>
                          </w:txbxContent>
                        </wps:txbx>
                        <wps:bodyPr wrap="square" lIns="0" tIns="0" rIns="0" bIns="0" rtlCol="0">
                          <a:noAutofit/>
                        </wps:bodyPr>
                      </wps:wsp>
                      <wps:wsp>
                        <wps:cNvPr id="411" name="Textbox 18"/>
                        <wps:cNvSpPr txBox="1"/>
                        <wps:spPr>
                          <a:xfrm>
                            <a:off x="4160397" y="2896577"/>
                            <a:ext cx="260350" cy="127000"/>
                          </a:xfrm>
                          <a:prstGeom prst="rect">
                            <a:avLst/>
                          </a:prstGeom>
                        </wps:spPr>
                        <wps:txbx>
                          <w:txbxContent>
                            <w:p w:rsidR="0064059F" w:rsidRDefault="0064059F" w:rsidP="00D67F76">
                              <w:pPr>
                                <w:spacing w:line="200" w:lineRule="exact"/>
                                <w:rPr>
                                  <w:sz w:val="18"/>
                                </w:rPr>
                              </w:pPr>
                              <w:r>
                                <w:rPr>
                                  <w:color w:val="333333"/>
                                  <w:spacing w:val="-4"/>
                                  <w:sz w:val="18"/>
                                </w:rPr>
                                <w:t>Lumi</w:t>
                              </w:r>
                            </w:p>
                          </w:txbxContent>
                        </wps:txbx>
                        <wps:bodyPr wrap="square" lIns="0" tIns="0" rIns="0" bIns="0" rtlCol="0">
                          <a:noAutofit/>
                        </wps:bodyPr>
                      </wps:wsp>
                      <wps:wsp>
                        <wps:cNvPr id="412" name="Textbox 19"/>
                        <wps:cNvSpPr txBox="1"/>
                        <wps:spPr>
                          <a:xfrm>
                            <a:off x="4720936" y="2896577"/>
                            <a:ext cx="554990" cy="127000"/>
                          </a:xfrm>
                          <a:prstGeom prst="rect">
                            <a:avLst/>
                          </a:prstGeom>
                        </wps:spPr>
                        <wps:txbx>
                          <w:txbxContent>
                            <w:p w:rsidR="0064059F" w:rsidRDefault="0064059F" w:rsidP="00D67F76">
                              <w:pPr>
                                <w:spacing w:line="200" w:lineRule="exact"/>
                                <w:rPr>
                                  <w:sz w:val="18"/>
                                </w:rPr>
                              </w:pPr>
                              <w:r>
                                <w:rPr>
                                  <w:color w:val="333333"/>
                                  <w:sz w:val="18"/>
                                </w:rPr>
                                <w:t>Lumi</w:t>
                              </w:r>
                              <w:r>
                                <w:rPr>
                                  <w:color w:val="333333"/>
                                  <w:spacing w:val="-5"/>
                                  <w:sz w:val="18"/>
                                </w:rPr>
                                <w:t xml:space="preserve"> </w:t>
                              </w:r>
                              <w:r>
                                <w:rPr>
                                  <w:color w:val="333333"/>
                                  <w:spacing w:val="-2"/>
                                  <w:sz w:val="18"/>
                                </w:rPr>
                                <w:t>Vjosë</w:t>
                              </w:r>
                            </w:p>
                          </w:txbxContent>
                        </wps:txbx>
                        <wps:bodyPr wrap="square" lIns="0" tIns="0" rIns="0" bIns="0" rtlCol="0">
                          <a:noAutofit/>
                        </wps:bodyPr>
                      </wps:wsp>
                      <wps:wsp>
                        <wps:cNvPr id="413" name="Textbox 20"/>
                        <wps:cNvSpPr txBox="1"/>
                        <wps:spPr>
                          <a:xfrm>
                            <a:off x="3930810" y="3028462"/>
                            <a:ext cx="1412240" cy="258445"/>
                          </a:xfrm>
                          <a:prstGeom prst="rect">
                            <a:avLst/>
                          </a:prstGeom>
                        </wps:spPr>
                        <wps:txbx>
                          <w:txbxContent>
                            <w:p w:rsidR="0064059F" w:rsidRDefault="0064059F" w:rsidP="00D67F76">
                              <w:pPr>
                                <w:ind w:left="107" w:right="18" w:hanging="108"/>
                                <w:rPr>
                                  <w:sz w:val="18"/>
                                </w:rPr>
                              </w:pPr>
                              <w:r>
                                <w:rPr>
                                  <w:color w:val="333333"/>
                                  <w:sz w:val="18"/>
                                </w:rPr>
                                <w:t>Shkumbin</w:t>
                              </w:r>
                              <w:r>
                                <w:rPr>
                                  <w:color w:val="333333"/>
                                  <w:spacing w:val="-12"/>
                                  <w:sz w:val="18"/>
                                </w:rPr>
                                <w:t xml:space="preserve"> </w:t>
                              </w:r>
                              <w:r>
                                <w:rPr>
                                  <w:color w:val="333333"/>
                                  <w:sz w:val="18"/>
                                </w:rPr>
                                <w:t>(Ura</w:t>
                              </w:r>
                              <w:r>
                                <w:rPr>
                                  <w:color w:val="333333"/>
                                  <w:spacing w:val="-19"/>
                                  <w:sz w:val="18"/>
                                </w:rPr>
                                <w:t xml:space="preserve"> </w:t>
                              </w:r>
                              <w:r>
                                <w:rPr>
                                  <w:color w:val="333333"/>
                                  <w:sz w:val="18"/>
                                </w:rPr>
                                <w:t>(Ura</w:t>
                              </w:r>
                              <w:r>
                                <w:rPr>
                                  <w:color w:val="333333"/>
                                  <w:spacing w:val="-11"/>
                                  <w:sz w:val="18"/>
                                </w:rPr>
                                <w:t xml:space="preserve"> </w:t>
                              </w:r>
                              <w:r>
                                <w:rPr>
                                  <w:color w:val="333333"/>
                                  <w:sz w:val="18"/>
                                </w:rPr>
                                <w:t>e</w:t>
                              </w:r>
                              <w:r>
                                <w:rPr>
                                  <w:color w:val="333333"/>
                                  <w:spacing w:val="-11"/>
                                  <w:sz w:val="18"/>
                                </w:rPr>
                                <w:t xml:space="preserve"> </w:t>
                              </w:r>
                              <w:r>
                                <w:rPr>
                                  <w:color w:val="333333"/>
                                  <w:sz w:val="18"/>
                                </w:rPr>
                                <w:t xml:space="preserve">Mifolit) </w:t>
                              </w:r>
                              <w:r>
                                <w:rPr>
                                  <w:color w:val="333333"/>
                                  <w:spacing w:val="-2"/>
                                  <w:sz w:val="18"/>
                                </w:rPr>
                                <w:t>Rrogozhinë)</w:t>
                              </w:r>
                            </w:p>
                          </w:txbxContent>
                        </wps:txbx>
                        <wps:bodyPr wrap="square" lIns="0" tIns="0" rIns="0" bIns="0" rtlCol="0">
                          <a:noAutofit/>
                        </wps:bodyPr>
                      </wps:wsp>
                    </wpg:wgp>
                  </a:graphicData>
                </a:graphic>
                <wp14:sizeRelH relativeFrom="page">
                  <wp14:pctWidth>0</wp14:pctWidth>
                </wp14:sizeRelH>
                <wp14:sizeRelV relativeFrom="margin">
                  <wp14:pctHeight>0</wp14:pctHeight>
                </wp14:sizeRelV>
              </wp:anchor>
            </w:drawing>
          </mc:Choice>
          <mc:Fallback>
            <w:pict>
              <v:group w14:anchorId="57D8B5F3" id="Group 350" o:spid="_x0000_s1030" style="position:absolute;margin-left:0;margin-top:22.1pt;width:460.15pt;height:288.75pt;z-index:-251642368;mso-wrap-distance-left:0;mso-wrap-distance-right:0;mso-position-horizontal:left;mso-position-horizontal-relative:margin;mso-height-relative:margin" coordorigin="47,47" coordsize="58343,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">
                <v:shape id="Graphic 4" o:spid="_x0000_s1031" style="position:absolute;left:3118;top:9766;width:50527;height:14809;visibility:visible;mso-wrap-style:square;v-text-anchor:top" coordsize="5052695,148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" path="m,1480588r1105366,em4876079,1480588r176372,em3948605,1480588r44093,em1783486,1480588r42573,em1988747,1480588r354264,em1266533,1480588r354265,em2504179,1480588r44093,em4153866,1480588r559525,em2710960,1480588r559525,em3431652,1480588r354265,em3431652,1110489r561046,em2710960,1110489r559525,em4153866,1110489r559525,em1988747,1110489r559525,em,1110489r1826059,em4876079,1110489r176372,em4876079,740326r176372,em,740326r2548272,em4153866,740326r559525,em2710960,740326r1281738,em4153866,370163r559525,em2710960,370163r1281738,em4876079,370163r176372,em,370163r2548272,em4153866,r898585,em,l2548272,em2710960,l3992698,e" filled="f" strokecolor="#d9d9d9" strokeweight=".26444mm">
                  <v:path arrowok="t"/>
                </v:shape>
                <v:shape id="Graphic 5" o:spid="_x0000_s1032" style="position:absolute;left:3118;top:6065;width:50527;height:12;visibility:visible;mso-wrap-style:square;v-text-anchor:top" coordsize="5052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" path="m,l5052451,e" filled="f" strokecolor="#d9d9d9" strokeweight=".26444mm">
                  <v:path arrowok="t"/>
                </v:shape>
                <v:shape id="Graphic 6" o:spid="_x0000_s1033" style="position:absolute;left:12104;top:23735;width:37726;height:4540;visibility:visible;mso-wrap-style:square;v-text-anchor:top" coordsize="3772535,45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" path="m162687,303136l,303136,,453936r162687,l162687,303136xem884897,l722210,r,453936l884897,453936,884897,xem1605584,9131r-161163,l1444421,453936r161163,l1605584,9131xem2327795,173647r-161163,l2166632,453936r161163,l2327795,173647xem3050019,41122r-162687,l2887332,453936r162687,l3050019,41122xem3772230,373202r-162687,l3609543,453936r162687,l3772230,373202xe" fillcolor="#155f82" stroked="f">
                  <v:path arrowok="t"/>
                </v:shape>
                <v:shape id="Graphic 7" o:spid="_x0000_s1034" style="position:absolute;left:6950;top:6826;width:44932;height:21451;visibility:visible;mso-wrap-style:square;v-text-anchor:top" coordsize="4493260,214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" path="m161175,1869033l,1869033r,275717l161175,2144750r,-275717xem883386,1766976r-161176,l722223,2144750r161163,l883386,1766976xem1605597,1201889r-162687,l1442910,2144750r162687,l1605597,1201889xem2327808,207175r-162687,l2165121,2144750r162687,l2327808,207175xem3048508,1194269r-161176,l2887332,2144750r161176,l3048508,1194269xem3770719,l3609543,r,2144750l3770719,2144750,3770719,xem4492930,447852r-162687,l4330243,2144750r162687,l4492930,447852xe" fillcolor="#e97031" stroked="f">
                  <v:path arrowok="t"/>
                </v:shape>
                <v:shape id="Graphic 8" o:spid="_x0000_s1035" style="position:absolute;left:3118;top:28274;width:50527;height:13;visibility:visible;mso-wrap-style:square;v-text-anchor:top" coordsize="5052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" path="m,l5052451,e" filled="f" strokecolor="#d9d9d9" strokeweight=".26444mm">
                  <v:path arrowok="t"/>
                </v:shape>
                <v:shape id="Graphic 9" o:spid="_x0000_s1036" style="position:absolute;left:52351;top:15326;width:520;height:521;visibility:visible;mso-wrap-style:square;v-text-anchor:top" coordsize="52069,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" path="m51695,l,,,51792r51695,l51695,xe" fillcolor="#155f82" stroked="f">
                  <v:path arrowok="t"/>
                </v:shape>
                <v:shape id="Graphic 10" o:spid="_x0000_s1037" style="position:absolute;left:47;top:47;width:58344;height:34950;visibility:visible;mso-wrap-style:square;v-text-anchor:top" coordsize="5834380,349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" path="m,3494460r5833962,l5833962,,,,,3494460xe" filled="f" strokecolor="#d9d9d9" strokeweight=".26431mm">
                  <v:path arrowok="t"/>
                </v:shape>
                <v:shapetype id="_x0000_t202" coordsize="21600,21600" o:spt="202" path="m,l,21600r21600,l21600,xe">
                  <v:stroke joinstyle="miter"/>
                  <v:path gradientshapeok="t" o:connecttype="rect"/>
                </v:shapetype>
                <v:shape id="Textbox 11" o:spid="_x0000_s1038" type="#_x0000_t202" style="position:absolute;left:245;top:1642;width:1956;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rsidR="0064059F" w:rsidRDefault="0064059F" w:rsidP="00D67F76">
                        <w:pPr>
                          <w:spacing w:line="201" w:lineRule="exact"/>
                          <w:rPr>
                            <w:rFonts w:ascii="Arial MT"/>
                            <w:sz w:val="18"/>
                          </w:rPr>
                        </w:pPr>
                        <w:r>
                          <w:rPr>
                            <w:rFonts w:ascii="Arial MT"/>
                            <w:color w:val="333333"/>
                            <w:spacing w:val="-5"/>
                            <w:sz w:val="18"/>
                          </w:rPr>
                          <w:t>350</w:t>
                        </w:r>
                      </w:p>
                    </w:txbxContent>
                  </v:textbox>
                </v:shape>
                <v:shape id="Textbox 12" o:spid="_x0000_s1039" type="#_x0000_t202" style="position:absolute;left:3118;top:1069;width:5065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rsidR="0064059F" w:rsidRDefault="0064059F" w:rsidP="00D67F76">
                        <w:pPr>
                          <w:tabs>
                            <w:tab w:val="left" w:pos="2084"/>
                            <w:tab w:val="left" w:pos="7956"/>
                          </w:tabs>
                          <w:spacing w:line="266" w:lineRule="exact"/>
                          <w:rPr>
                            <w:sz w:val="24"/>
                          </w:rPr>
                        </w:pPr>
                        <w:r>
                          <w:rPr>
                            <w:color w:val="333333"/>
                            <w:sz w:val="24"/>
                            <w:u w:val="single" w:color="D9D9D9"/>
                          </w:rPr>
                          <w:tab/>
                          <w:t>Aktiviteti</w:t>
                        </w:r>
                        <w:r>
                          <w:rPr>
                            <w:color w:val="333333"/>
                            <w:spacing w:val="-9"/>
                            <w:sz w:val="24"/>
                            <w:u w:val="single" w:color="D9D9D9"/>
                          </w:rPr>
                          <w:t xml:space="preserve"> </w:t>
                        </w:r>
                        <w:r>
                          <w:rPr>
                            <w:color w:val="333333"/>
                            <w:sz w:val="24"/>
                            <w:u w:val="single" w:color="D9D9D9"/>
                          </w:rPr>
                          <w:t>alfa</w:t>
                        </w:r>
                        <w:r>
                          <w:rPr>
                            <w:color w:val="333333"/>
                            <w:spacing w:val="-6"/>
                            <w:sz w:val="24"/>
                            <w:u w:val="single" w:color="D9D9D9"/>
                          </w:rPr>
                          <w:t xml:space="preserve"> </w:t>
                        </w:r>
                        <w:r>
                          <w:rPr>
                            <w:color w:val="333333"/>
                            <w:sz w:val="24"/>
                            <w:u w:val="single" w:color="D9D9D9"/>
                          </w:rPr>
                          <w:t>dhe</w:t>
                        </w:r>
                        <w:r>
                          <w:rPr>
                            <w:color w:val="333333"/>
                            <w:spacing w:val="-6"/>
                            <w:sz w:val="24"/>
                            <w:u w:val="single" w:color="D9D9D9"/>
                          </w:rPr>
                          <w:t xml:space="preserve"> </w:t>
                        </w:r>
                        <w:r>
                          <w:rPr>
                            <w:color w:val="333333"/>
                            <w:sz w:val="24"/>
                            <w:u w:val="single" w:color="D9D9D9"/>
                          </w:rPr>
                          <w:t>beta</w:t>
                        </w:r>
                        <w:r>
                          <w:rPr>
                            <w:color w:val="333333"/>
                            <w:spacing w:val="-7"/>
                            <w:sz w:val="24"/>
                            <w:u w:val="single" w:color="D9D9D9"/>
                          </w:rPr>
                          <w:t xml:space="preserve"> </w:t>
                        </w:r>
                        <w:r>
                          <w:rPr>
                            <w:color w:val="333333"/>
                            <w:sz w:val="24"/>
                            <w:u w:val="single" w:color="D9D9D9"/>
                          </w:rPr>
                          <w:t>total</w:t>
                        </w:r>
                        <w:r>
                          <w:rPr>
                            <w:color w:val="333333"/>
                            <w:spacing w:val="-7"/>
                            <w:sz w:val="24"/>
                            <w:u w:val="single" w:color="D9D9D9"/>
                          </w:rPr>
                          <w:t xml:space="preserve"> </w:t>
                        </w:r>
                        <w:r>
                          <w:rPr>
                            <w:color w:val="333333"/>
                            <w:sz w:val="24"/>
                            <w:u w:val="single" w:color="D9D9D9"/>
                          </w:rPr>
                          <w:t>Qershor</w:t>
                        </w:r>
                        <w:r>
                          <w:rPr>
                            <w:color w:val="333333"/>
                            <w:spacing w:val="-6"/>
                            <w:sz w:val="24"/>
                            <w:u w:val="single" w:color="D9D9D9"/>
                          </w:rPr>
                          <w:t xml:space="preserve"> </w:t>
                        </w:r>
                        <w:r>
                          <w:rPr>
                            <w:color w:val="333333"/>
                            <w:spacing w:val="-4"/>
                            <w:sz w:val="24"/>
                            <w:u w:val="single" w:color="D9D9D9"/>
                          </w:rPr>
                          <w:t>2025</w:t>
                        </w:r>
                        <w:r>
                          <w:rPr>
                            <w:color w:val="333333"/>
                            <w:sz w:val="24"/>
                            <w:u w:val="single" w:color="D9D9D9"/>
                          </w:rPr>
                          <w:tab/>
                        </w:r>
                      </w:p>
                    </w:txbxContent>
                  </v:textbox>
                </v:shape>
                <v:shape id="Textbox 13" o:spid="_x0000_s1040" type="#_x0000_t202" style="position:absolute;left:245;top:5344;width:1956;height:1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rsidR="0064059F" w:rsidRDefault="0064059F" w:rsidP="00D67F76">
                        <w:pPr>
                          <w:spacing w:line="201" w:lineRule="exact"/>
                          <w:rPr>
                            <w:rFonts w:ascii="Arial MT"/>
                            <w:sz w:val="18"/>
                          </w:rPr>
                        </w:pPr>
                        <w:r>
                          <w:rPr>
                            <w:rFonts w:ascii="Arial MT"/>
                            <w:color w:val="333333"/>
                            <w:spacing w:val="-5"/>
                            <w:sz w:val="18"/>
                          </w:rPr>
                          <w:t>300</w:t>
                        </w:r>
                      </w:p>
                      <w:p w:rsidR="0064059F" w:rsidRDefault="0064059F" w:rsidP="00D67F76">
                        <w:pPr>
                          <w:spacing w:before="169"/>
                          <w:rPr>
                            <w:rFonts w:ascii="Arial MT"/>
                            <w:sz w:val="18"/>
                          </w:rPr>
                        </w:pPr>
                      </w:p>
                      <w:p w:rsidR="0064059F" w:rsidRDefault="0064059F" w:rsidP="00D67F76">
                        <w:pPr>
                          <w:rPr>
                            <w:rFonts w:ascii="Arial MT"/>
                            <w:sz w:val="18"/>
                          </w:rPr>
                        </w:pPr>
                        <w:r>
                          <w:rPr>
                            <w:rFonts w:ascii="Arial MT"/>
                            <w:color w:val="333333"/>
                            <w:spacing w:val="-5"/>
                            <w:sz w:val="18"/>
                          </w:rPr>
                          <w:t>250</w:t>
                        </w:r>
                      </w:p>
                      <w:p w:rsidR="0064059F" w:rsidRDefault="0064059F" w:rsidP="00D67F76">
                        <w:pPr>
                          <w:spacing w:before="169"/>
                          <w:rPr>
                            <w:rFonts w:ascii="Arial MT"/>
                            <w:sz w:val="18"/>
                          </w:rPr>
                        </w:pPr>
                      </w:p>
                      <w:p w:rsidR="0064059F" w:rsidRDefault="0064059F" w:rsidP="00D67F76">
                        <w:pPr>
                          <w:rPr>
                            <w:rFonts w:ascii="Arial MT"/>
                            <w:sz w:val="18"/>
                          </w:rPr>
                        </w:pPr>
                        <w:r>
                          <w:rPr>
                            <w:rFonts w:ascii="Arial MT"/>
                            <w:color w:val="333333"/>
                            <w:spacing w:val="-5"/>
                            <w:sz w:val="18"/>
                          </w:rPr>
                          <w:t>200</w:t>
                        </w:r>
                      </w:p>
                      <w:p w:rsidR="0064059F" w:rsidRDefault="0064059F" w:rsidP="00D67F76">
                        <w:pPr>
                          <w:spacing w:before="169"/>
                          <w:rPr>
                            <w:rFonts w:ascii="Arial MT"/>
                            <w:sz w:val="18"/>
                          </w:rPr>
                        </w:pPr>
                      </w:p>
                      <w:p w:rsidR="0064059F" w:rsidRDefault="0064059F" w:rsidP="00D67F76">
                        <w:pPr>
                          <w:rPr>
                            <w:rFonts w:ascii="Arial MT"/>
                            <w:sz w:val="18"/>
                          </w:rPr>
                        </w:pPr>
                        <w:r>
                          <w:rPr>
                            <w:rFonts w:ascii="Arial MT"/>
                            <w:color w:val="333333"/>
                            <w:spacing w:val="-5"/>
                            <w:sz w:val="18"/>
                          </w:rPr>
                          <w:t>150</w:t>
                        </w:r>
                      </w:p>
                    </w:txbxContent>
                  </v:textbox>
                </v:shape>
                <v:shape id="Textbox 14" o:spid="_x0000_s1041" type="#_x0000_t202" style="position:absolute;left:53104;top:14986;width:4102;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rsidR="0064059F" w:rsidRDefault="0064059F" w:rsidP="00D67F76">
                        <w:pPr>
                          <w:spacing w:line="182" w:lineRule="exact"/>
                          <w:rPr>
                            <w:sz w:val="16"/>
                          </w:rPr>
                        </w:pPr>
                        <w:r>
                          <w:rPr>
                            <w:color w:val="333333"/>
                            <w:w w:val="105"/>
                            <w:sz w:val="16"/>
                          </w:rPr>
                          <w:t>Alfa</w:t>
                        </w:r>
                        <w:r>
                          <w:rPr>
                            <w:color w:val="333333"/>
                            <w:spacing w:val="-9"/>
                            <w:w w:val="105"/>
                            <w:sz w:val="16"/>
                          </w:rPr>
                          <w:t xml:space="preserve"> </w:t>
                        </w:r>
                        <w:r>
                          <w:rPr>
                            <w:color w:val="333333"/>
                            <w:spacing w:val="-2"/>
                            <w:w w:val="105"/>
                            <w:sz w:val="16"/>
                          </w:rPr>
                          <w:t>total</w:t>
                        </w:r>
                      </w:p>
                      <w:p w:rsidR="0064059F" w:rsidRDefault="0064059F" w:rsidP="00D67F76">
                        <w:pPr>
                          <w:spacing w:before="5"/>
                          <w:rPr>
                            <w:sz w:val="16"/>
                          </w:rPr>
                        </w:pPr>
                        <w:r>
                          <w:rPr>
                            <w:color w:val="333333"/>
                            <w:spacing w:val="-4"/>
                            <w:w w:val="105"/>
                            <w:sz w:val="16"/>
                          </w:rPr>
                          <w:t>mBq/L</w:t>
                        </w:r>
                      </w:p>
                    </w:txbxContent>
                  </v:textbox>
                </v:shape>
                <v:shape id="Textbox 15" o:spid="_x0000_s1042" type="#_x0000_t202" style="position:absolute;left:245;top:20150;width:1981;height:8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rsidR="0064059F" w:rsidRDefault="0064059F" w:rsidP="00D67F76">
                        <w:pPr>
                          <w:spacing w:line="201" w:lineRule="exact"/>
                          <w:rPr>
                            <w:rFonts w:ascii="Arial MT"/>
                            <w:sz w:val="18"/>
                          </w:rPr>
                        </w:pPr>
                        <w:r>
                          <w:rPr>
                            <w:rFonts w:ascii="Arial MT"/>
                            <w:color w:val="333333"/>
                            <w:spacing w:val="-5"/>
                            <w:sz w:val="18"/>
                          </w:rPr>
                          <w:t>100</w:t>
                        </w:r>
                      </w:p>
                      <w:p w:rsidR="0064059F" w:rsidRDefault="0064059F" w:rsidP="00D67F76">
                        <w:pPr>
                          <w:spacing w:before="169"/>
                          <w:rPr>
                            <w:rFonts w:ascii="Arial MT"/>
                            <w:sz w:val="18"/>
                          </w:rPr>
                        </w:pPr>
                      </w:p>
                      <w:p w:rsidR="0064059F" w:rsidRDefault="0064059F" w:rsidP="00D67F76">
                        <w:pPr>
                          <w:ind w:left="96"/>
                          <w:rPr>
                            <w:rFonts w:ascii="Arial MT"/>
                            <w:sz w:val="18"/>
                          </w:rPr>
                        </w:pPr>
                        <w:r>
                          <w:rPr>
                            <w:rFonts w:ascii="Arial MT"/>
                            <w:color w:val="333333"/>
                            <w:spacing w:val="-5"/>
                            <w:sz w:val="18"/>
                          </w:rPr>
                          <w:t>50</w:t>
                        </w:r>
                      </w:p>
                      <w:p w:rsidR="0064059F" w:rsidRDefault="0064059F" w:rsidP="00D67F76">
                        <w:pPr>
                          <w:spacing w:before="169"/>
                          <w:rPr>
                            <w:rFonts w:ascii="Arial MT"/>
                            <w:sz w:val="18"/>
                          </w:rPr>
                        </w:pPr>
                      </w:p>
                      <w:p w:rsidR="0064059F" w:rsidRDefault="0064059F" w:rsidP="00D67F76">
                        <w:pPr>
                          <w:ind w:left="192"/>
                          <w:rPr>
                            <w:rFonts w:ascii="Arial MT"/>
                            <w:sz w:val="18"/>
                          </w:rPr>
                        </w:pPr>
                        <w:r>
                          <w:rPr>
                            <w:rFonts w:ascii="Arial MT"/>
                            <w:color w:val="333333"/>
                            <w:spacing w:val="-10"/>
                            <w:sz w:val="18"/>
                          </w:rPr>
                          <w:t>0</w:t>
                        </w:r>
                      </w:p>
                    </w:txbxContent>
                  </v:textbox>
                </v:shape>
                <v:shape id="Textbox 16" o:spid="_x0000_s1043" type="#_x0000_t202" style="position:absolute;left:3252;top:28965;width:27991;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rsidR="0064059F" w:rsidRDefault="0064059F" w:rsidP="00D67F76">
                        <w:pPr>
                          <w:tabs>
                            <w:tab w:val="left" w:pos="1304"/>
                            <w:tab w:val="left" w:pos="2374"/>
                            <w:tab w:val="left" w:pos="3533"/>
                          </w:tabs>
                          <w:spacing w:line="200" w:lineRule="exact"/>
                          <w:rPr>
                            <w:sz w:val="18"/>
                          </w:rPr>
                        </w:pPr>
                        <w:r>
                          <w:rPr>
                            <w:color w:val="333333"/>
                            <w:sz w:val="18"/>
                          </w:rPr>
                          <w:t>Lumi</w:t>
                        </w:r>
                        <w:r>
                          <w:rPr>
                            <w:color w:val="333333"/>
                            <w:spacing w:val="-5"/>
                            <w:sz w:val="18"/>
                          </w:rPr>
                          <w:t xml:space="preserve"> </w:t>
                        </w:r>
                        <w:r>
                          <w:rPr>
                            <w:color w:val="333333"/>
                            <w:sz w:val="18"/>
                          </w:rPr>
                          <w:t>Mat</w:t>
                        </w:r>
                        <w:r>
                          <w:rPr>
                            <w:color w:val="333333"/>
                            <w:spacing w:val="-1"/>
                            <w:sz w:val="18"/>
                          </w:rPr>
                          <w:t xml:space="preserve"> </w:t>
                        </w:r>
                        <w:r>
                          <w:rPr>
                            <w:color w:val="333333"/>
                            <w:spacing w:val="-4"/>
                            <w:sz w:val="18"/>
                          </w:rPr>
                          <w:t>(Ura</w:t>
                        </w:r>
                        <w:r>
                          <w:rPr>
                            <w:color w:val="333333"/>
                            <w:sz w:val="18"/>
                          </w:rPr>
                          <w:tab/>
                          <w:t>Lumi</w:t>
                        </w:r>
                        <w:r>
                          <w:rPr>
                            <w:color w:val="333333"/>
                            <w:spacing w:val="-3"/>
                            <w:sz w:val="18"/>
                          </w:rPr>
                          <w:t xml:space="preserve"> </w:t>
                        </w:r>
                        <w:r>
                          <w:rPr>
                            <w:color w:val="333333"/>
                            <w:spacing w:val="-4"/>
                            <w:sz w:val="18"/>
                          </w:rPr>
                          <w:t>Drin</w:t>
                        </w:r>
                        <w:r>
                          <w:rPr>
                            <w:color w:val="333333"/>
                            <w:sz w:val="18"/>
                          </w:rPr>
                          <w:tab/>
                          <w:t>Lumi</w:t>
                        </w:r>
                        <w:r>
                          <w:rPr>
                            <w:color w:val="333333"/>
                            <w:spacing w:val="-3"/>
                            <w:sz w:val="18"/>
                          </w:rPr>
                          <w:t xml:space="preserve"> </w:t>
                        </w:r>
                        <w:r>
                          <w:rPr>
                            <w:color w:val="333333"/>
                            <w:spacing w:val="-4"/>
                            <w:sz w:val="18"/>
                          </w:rPr>
                          <w:t>Erzen</w:t>
                        </w:r>
                        <w:r>
                          <w:rPr>
                            <w:color w:val="333333"/>
                            <w:sz w:val="18"/>
                          </w:rPr>
                          <w:tab/>
                          <w:t>Lumi</w:t>
                        </w:r>
                        <w:r>
                          <w:rPr>
                            <w:color w:val="333333"/>
                            <w:spacing w:val="-3"/>
                            <w:sz w:val="18"/>
                          </w:rPr>
                          <w:t xml:space="preserve"> </w:t>
                        </w:r>
                        <w:r>
                          <w:rPr>
                            <w:color w:val="333333"/>
                            <w:spacing w:val="-4"/>
                            <w:sz w:val="18"/>
                          </w:rPr>
                          <w:t>Erzen</w:t>
                        </w:r>
                      </w:p>
                      <w:p w:rsidR="0064059F" w:rsidRDefault="0064059F" w:rsidP="00D67F76">
                        <w:pPr>
                          <w:tabs>
                            <w:tab w:val="left" w:pos="1319"/>
                            <w:tab w:val="left" w:pos="3733"/>
                          </w:tabs>
                          <w:ind w:left="27"/>
                          <w:rPr>
                            <w:sz w:val="18"/>
                          </w:rPr>
                        </w:pPr>
                        <w:r>
                          <w:rPr>
                            <w:color w:val="333333"/>
                            <w:sz w:val="18"/>
                          </w:rPr>
                          <w:t>e</w:t>
                        </w:r>
                        <w:r>
                          <w:rPr>
                            <w:color w:val="333333"/>
                            <w:spacing w:val="-3"/>
                            <w:sz w:val="18"/>
                          </w:rPr>
                          <w:t xml:space="preserve"> </w:t>
                        </w:r>
                        <w:r>
                          <w:rPr>
                            <w:color w:val="333333"/>
                            <w:sz w:val="18"/>
                          </w:rPr>
                          <w:t>Re</w:t>
                        </w:r>
                        <w:r>
                          <w:rPr>
                            <w:color w:val="333333"/>
                            <w:spacing w:val="-2"/>
                            <w:sz w:val="18"/>
                          </w:rPr>
                          <w:t xml:space="preserve"> </w:t>
                        </w:r>
                        <w:r>
                          <w:rPr>
                            <w:color w:val="333333"/>
                            <w:sz w:val="18"/>
                          </w:rPr>
                          <w:t>në</w:t>
                        </w:r>
                        <w:r>
                          <w:rPr>
                            <w:color w:val="333333"/>
                            <w:spacing w:val="-2"/>
                            <w:sz w:val="18"/>
                          </w:rPr>
                          <w:t xml:space="preserve"> Milot)</w:t>
                        </w:r>
                        <w:r>
                          <w:rPr>
                            <w:color w:val="333333"/>
                            <w:sz w:val="18"/>
                          </w:rPr>
                          <w:tab/>
                          <w:t>(Baçallëk,</w:t>
                        </w:r>
                        <w:r>
                          <w:rPr>
                            <w:color w:val="333333"/>
                            <w:spacing w:val="42"/>
                            <w:sz w:val="18"/>
                          </w:rPr>
                          <w:t xml:space="preserve">  </w:t>
                        </w:r>
                        <w:r>
                          <w:rPr>
                            <w:color w:val="333333"/>
                            <w:sz w:val="18"/>
                          </w:rPr>
                          <w:t>(Ura</w:t>
                        </w:r>
                        <w:r>
                          <w:rPr>
                            <w:color w:val="333333"/>
                            <w:spacing w:val="-2"/>
                            <w:sz w:val="18"/>
                          </w:rPr>
                          <w:t xml:space="preserve"> </w:t>
                        </w:r>
                        <w:r>
                          <w:rPr>
                            <w:color w:val="333333"/>
                            <w:sz w:val="18"/>
                          </w:rPr>
                          <w:t>e</w:t>
                        </w:r>
                        <w:r>
                          <w:rPr>
                            <w:color w:val="333333"/>
                            <w:spacing w:val="-4"/>
                            <w:sz w:val="18"/>
                          </w:rPr>
                          <w:t xml:space="preserve"> </w:t>
                        </w:r>
                        <w:r>
                          <w:rPr>
                            <w:color w:val="333333"/>
                            <w:spacing w:val="-2"/>
                            <w:sz w:val="18"/>
                          </w:rPr>
                          <w:t>Beshirit)</w:t>
                        </w:r>
                        <w:r>
                          <w:rPr>
                            <w:color w:val="333333"/>
                            <w:sz w:val="18"/>
                          </w:rPr>
                          <w:tab/>
                          <w:t>(Ura</w:t>
                        </w:r>
                        <w:r>
                          <w:rPr>
                            <w:color w:val="333333"/>
                            <w:spacing w:val="-5"/>
                            <w:sz w:val="18"/>
                          </w:rPr>
                          <w:t xml:space="preserve"> </w:t>
                        </w:r>
                        <w:r>
                          <w:rPr>
                            <w:color w:val="333333"/>
                            <w:spacing w:val="-10"/>
                            <w:sz w:val="18"/>
                          </w:rPr>
                          <w:t>e</w:t>
                        </w:r>
                      </w:p>
                      <w:p w:rsidR="0064059F" w:rsidRDefault="0064059F" w:rsidP="00D67F76">
                        <w:pPr>
                          <w:tabs>
                            <w:tab w:val="left" w:pos="3531"/>
                          </w:tabs>
                          <w:ind w:left="1356"/>
                          <w:rPr>
                            <w:sz w:val="18"/>
                          </w:rPr>
                        </w:pPr>
                        <w:r>
                          <w:rPr>
                            <w:color w:val="333333"/>
                            <w:spacing w:val="-2"/>
                            <w:sz w:val="18"/>
                          </w:rPr>
                          <w:t>Shkodër)</w:t>
                        </w:r>
                        <w:r>
                          <w:rPr>
                            <w:color w:val="333333"/>
                            <w:sz w:val="18"/>
                          </w:rPr>
                          <w:tab/>
                        </w:r>
                        <w:r>
                          <w:rPr>
                            <w:color w:val="333333"/>
                            <w:spacing w:val="-2"/>
                            <w:sz w:val="18"/>
                          </w:rPr>
                          <w:t>Peshkatarit)</w:t>
                        </w:r>
                      </w:p>
                    </w:txbxContent>
                  </v:textbox>
                </v:shape>
                <v:shape id="Textbox 17" o:spid="_x0000_s1044" type="#_x0000_t202" style="position:absolute;left:33275;top:28965;width:4814;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rsidR="0064059F" w:rsidRDefault="0064059F" w:rsidP="00D67F76">
                        <w:pPr>
                          <w:ind w:right="18"/>
                          <w:jc w:val="center"/>
                          <w:rPr>
                            <w:sz w:val="18"/>
                          </w:rPr>
                        </w:pPr>
                        <w:r>
                          <w:rPr>
                            <w:color w:val="333333"/>
                            <w:spacing w:val="-4"/>
                            <w:sz w:val="18"/>
                          </w:rPr>
                          <w:t xml:space="preserve">Lumi </w:t>
                        </w:r>
                        <w:r>
                          <w:rPr>
                            <w:color w:val="333333"/>
                            <w:spacing w:val="-2"/>
                            <w:sz w:val="18"/>
                          </w:rPr>
                          <w:t>Shkumbin (Qukës)</w:t>
                        </w:r>
                      </w:p>
                    </w:txbxContent>
                  </v:textbox>
                </v:shape>
                <v:shape id="Textbox 18" o:spid="_x0000_s1045" type="#_x0000_t202" style="position:absolute;left:41603;top:28965;width:260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rsidR="0064059F" w:rsidRDefault="0064059F" w:rsidP="00D67F76">
                        <w:pPr>
                          <w:spacing w:line="200" w:lineRule="exact"/>
                          <w:rPr>
                            <w:sz w:val="18"/>
                          </w:rPr>
                        </w:pPr>
                        <w:r>
                          <w:rPr>
                            <w:color w:val="333333"/>
                            <w:spacing w:val="-4"/>
                            <w:sz w:val="18"/>
                          </w:rPr>
                          <w:t>Lumi</w:t>
                        </w:r>
                      </w:p>
                    </w:txbxContent>
                  </v:textbox>
                </v:shape>
                <v:shape id="Textbox 19" o:spid="_x0000_s1046" type="#_x0000_t202" style="position:absolute;left:47209;top:28965;width:555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rsidR="0064059F" w:rsidRDefault="0064059F" w:rsidP="00D67F76">
                        <w:pPr>
                          <w:spacing w:line="200" w:lineRule="exact"/>
                          <w:rPr>
                            <w:sz w:val="18"/>
                          </w:rPr>
                        </w:pPr>
                        <w:r>
                          <w:rPr>
                            <w:color w:val="333333"/>
                            <w:sz w:val="18"/>
                          </w:rPr>
                          <w:t>Lumi</w:t>
                        </w:r>
                        <w:r>
                          <w:rPr>
                            <w:color w:val="333333"/>
                            <w:spacing w:val="-5"/>
                            <w:sz w:val="18"/>
                          </w:rPr>
                          <w:t xml:space="preserve"> </w:t>
                        </w:r>
                        <w:r>
                          <w:rPr>
                            <w:color w:val="333333"/>
                            <w:spacing w:val="-2"/>
                            <w:sz w:val="18"/>
                          </w:rPr>
                          <w:t>Vjosë</w:t>
                        </w:r>
                      </w:p>
                    </w:txbxContent>
                  </v:textbox>
                </v:shape>
                <v:shape id="Textbox 20" o:spid="_x0000_s1047" type="#_x0000_t202" style="position:absolute;left:39308;top:30284;width:14122;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rsidR="0064059F" w:rsidRDefault="0064059F" w:rsidP="00D67F76">
                        <w:pPr>
                          <w:ind w:left="107" w:right="18" w:hanging="108"/>
                          <w:rPr>
                            <w:sz w:val="18"/>
                          </w:rPr>
                        </w:pPr>
                        <w:r>
                          <w:rPr>
                            <w:color w:val="333333"/>
                            <w:sz w:val="18"/>
                          </w:rPr>
                          <w:t>Shkumbin</w:t>
                        </w:r>
                        <w:r>
                          <w:rPr>
                            <w:color w:val="333333"/>
                            <w:spacing w:val="-12"/>
                            <w:sz w:val="18"/>
                          </w:rPr>
                          <w:t xml:space="preserve"> </w:t>
                        </w:r>
                        <w:r>
                          <w:rPr>
                            <w:color w:val="333333"/>
                            <w:sz w:val="18"/>
                          </w:rPr>
                          <w:t>(Ura</w:t>
                        </w:r>
                        <w:r>
                          <w:rPr>
                            <w:color w:val="333333"/>
                            <w:spacing w:val="-19"/>
                            <w:sz w:val="18"/>
                          </w:rPr>
                          <w:t xml:space="preserve"> </w:t>
                        </w:r>
                        <w:r>
                          <w:rPr>
                            <w:color w:val="333333"/>
                            <w:sz w:val="18"/>
                          </w:rPr>
                          <w:t>(Ura</w:t>
                        </w:r>
                        <w:r>
                          <w:rPr>
                            <w:color w:val="333333"/>
                            <w:spacing w:val="-11"/>
                            <w:sz w:val="18"/>
                          </w:rPr>
                          <w:t xml:space="preserve"> </w:t>
                        </w:r>
                        <w:r>
                          <w:rPr>
                            <w:color w:val="333333"/>
                            <w:sz w:val="18"/>
                          </w:rPr>
                          <w:t>e</w:t>
                        </w:r>
                        <w:r>
                          <w:rPr>
                            <w:color w:val="333333"/>
                            <w:spacing w:val="-11"/>
                            <w:sz w:val="18"/>
                          </w:rPr>
                          <w:t xml:space="preserve"> </w:t>
                        </w:r>
                        <w:r>
                          <w:rPr>
                            <w:color w:val="333333"/>
                            <w:sz w:val="18"/>
                          </w:rPr>
                          <w:t xml:space="preserve">Mifolit) </w:t>
                        </w:r>
                        <w:r>
                          <w:rPr>
                            <w:color w:val="333333"/>
                            <w:spacing w:val="-2"/>
                            <w:sz w:val="18"/>
                          </w:rPr>
                          <w:t>Rrogozhinë)</w:t>
                        </w:r>
                      </w:p>
                    </w:txbxContent>
                  </v:textbox>
                </v:shape>
                <w10:wrap type="topAndBottom" anchorx="margin"/>
              </v:group>
            </w:pict>
          </mc:Fallback>
        </mc:AlternateContent>
      </w:r>
    </w:p>
    <w:p w:rsidR="00D67F76" w:rsidRDefault="00D67F76" w:rsidP="00EA4B66">
      <w:pPr>
        <w:rPr>
          <w:rFonts w:ascii="Times New Roman" w:hAnsi="Times New Roman" w:cs="Times New Roman"/>
          <w:b/>
          <w:sz w:val="24"/>
          <w:szCs w:val="24"/>
        </w:rPr>
      </w:pPr>
    </w:p>
    <w:p w:rsidR="00D67F76" w:rsidRDefault="00842CC4" w:rsidP="00EA4B66">
      <w:pPr>
        <w:rPr>
          <w:rFonts w:ascii="Times New Roman" w:hAnsi="Times New Roman" w:cs="Times New Roman"/>
          <w:b/>
          <w:sz w:val="24"/>
          <w:szCs w:val="24"/>
        </w:rPr>
      </w:pPr>
      <w:r>
        <w:rPr>
          <w:noProof/>
        </w:rPr>
        <mc:AlternateContent>
          <mc:Choice Requires="wpg">
            <w:drawing>
              <wp:inline distT="0" distB="0" distL="0" distR="0" wp14:anchorId="4D57A743" wp14:editId="36B8843D">
                <wp:extent cx="5843270" cy="3371850"/>
                <wp:effectExtent l="9525" t="9525" r="5080" b="0"/>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3270" cy="3371850"/>
                          <a:chOff x="0" y="0"/>
                          <a:chExt cx="58432" cy="33718"/>
                        </a:xfrm>
                      </wpg:grpSpPr>
                      <wps:wsp>
                        <wps:cNvPr id="257" name="Graphic 22"/>
                        <wps:cNvSpPr>
                          <a:spLocks/>
                        </wps:cNvSpPr>
                        <wps:spPr bwMode="auto">
                          <a:xfrm>
                            <a:off x="9488" y="22556"/>
                            <a:ext cx="47511" cy="12"/>
                          </a:xfrm>
                          <a:custGeom>
                            <a:avLst/>
                            <a:gdLst>
                              <a:gd name="T0" fmla="*/ 2281947 w 4751070"/>
                              <a:gd name="T1" fmla="*/ 0 h 1270"/>
                              <a:gd name="T2" fmla="*/ 2871817 w 4751070"/>
                              <a:gd name="T3" fmla="*/ 0 h 1270"/>
                              <a:gd name="T4" fmla="*/ 3042089 w 4751070"/>
                              <a:gd name="T5" fmla="*/ 0 h 1270"/>
                              <a:gd name="T6" fmla="*/ 3633480 w 4751070"/>
                              <a:gd name="T7" fmla="*/ 0 h 1270"/>
                              <a:gd name="T8" fmla="*/ 3803752 w 4751070"/>
                              <a:gd name="T9" fmla="*/ 0 h 1270"/>
                              <a:gd name="T10" fmla="*/ 4393622 w 4751070"/>
                              <a:gd name="T11" fmla="*/ 0 h 1270"/>
                              <a:gd name="T12" fmla="*/ 1521805 w 4751070"/>
                              <a:gd name="T13" fmla="*/ 0 h 1270"/>
                              <a:gd name="T14" fmla="*/ 2111675 w 4751070"/>
                              <a:gd name="T15" fmla="*/ 0 h 1270"/>
                              <a:gd name="T16" fmla="*/ 4563894 w 4751070"/>
                              <a:gd name="T17" fmla="*/ 0 h 1270"/>
                              <a:gd name="T18" fmla="*/ 4750889 w 4751070"/>
                              <a:gd name="T19" fmla="*/ 0 h 1270"/>
                              <a:gd name="T20" fmla="*/ 0 w 4751070"/>
                              <a:gd name="T21" fmla="*/ 0 h 1270"/>
                              <a:gd name="T22" fmla="*/ 589870 w 4751070"/>
                              <a:gd name="T23" fmla="*/ 0 h 1270"/>
                              <a:gd name="T24" fmla="*/ 760142 w 4751070"/>
                              <a:gd name="T25" fmla="*/ 0 h 1270"/>
                              <a:gd name="T26" fmla="*/ 1351533 w 4751070"/>
                              <a:gd name="T27" fmla="*/ 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751070" h="1270">
                                <a:moveTo>
                                  <a:pt x="2281947" y="0"/>
                                </a:moveTo>
                                <a:lnTo>
                                  <a:pt x="2871817" y="0"/>
                                </a:lnTo>
                              </a:path>
                              <a:path w="4751070" h="1270">
                                <a:moveTo>
                                  <a:pt x="3042089" y="0"/>
                                </a:moveTo>
                                <a:lnTo>
                                  <a:pt x="3633480" y="0"/>
                                </a:lnTo>
                              </a:path>
                              <a:path w="4751070" h="1270">
                                <a:moveTo>
                                  <a:pt x="3803752" y="0"/>
                                </a:moveTo>
                                <a:lnTo>
                                  <a:pt x="4393622" y="0"/>
                                </a:lnTo>
                              </a:path>
                              <a:path w="4751070" h="1270">
                                <a:moveTo>
                                  <a:pt x="1521805" y="0"/>
                                </a:moveTo>
                                <a:lnTo>
                                  <a:pt x="2111675" y="0"/>
                                </a:lnTo>
                              </a:path>
                              <a:path w="4751070" h="1270">
                                <a:moveTo>
                                  <a:pt x="4563894" y="0"/>
                                </a:moveTo>
                                <a:lnTo>
                                  <a:pt x="4750889" y="0"/>
                                </a:lnTo>
                              </a:path>
                              <a:path w="4751070" h="1270">
                                <a:moveTo>
                                  <a:pt x="0" y="0"/>
                                </a:moveTo>
                                <a:lnTo>
                                  <a:pt x="589870" y="0"/>
                                </a:lnTo>
                              </a:path>
                              <a:path w="4751070" h="1270">
                                <a:moveTo>
                                  <a:pt x="760142" y="0"/>
                                </a:moveTo>
                                <a:lnTo>
                                  <a:pt x="1351533"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Graphic 23"/>
                        <wps:cNvSpPr>
                          <a:spLocks/>
                        </wps:cNvSpPr>
                        <wps:spPr bwMode="auto">
                          <a:xfrm>
                            <a:off x="3757" y="22556"/>
                            <a:ext cx="4032" cy="12"/>
                          </a:xfrm>
                          <a:custGeom>
                            <a:avLst/>
                            <a:gdLst>
                              <a:gd name="T0" fmla="*/ 0 w 403225"/>
                              <a:gd name="T1" fmla="*/ 0 h 1270"/>
                              <a:gd name="T2" fmla="*/ 402875 w 403225"/>
                              <a:gd name="T3" fmla="*/ 0 h 1270"/>
                            </a:gdLst>
                            <a:ahLst/>
                            <a:cxnLst>
                              <a:cxn ang="0">
                                <a:pos x="T0" y="T1"/>
                              </a:cxn>
                              <a:cxn ang="0">
                                <a:pos x="T2" y="T3"/>
                              </a:cxn>
                            </a:cxnLst>
                            <a:rect l="0" t="0" r="r" b="b"/>
                            <a:pathLst>
                              <a:path w="403225" h="1270">
                                <a:moveTo>
                                  <a:pt x="0" y="0"/>
                                </a:moveTo>
                                <a:lnTo>
                                  <a:pt x="402875"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Graphic 24"/>
                        <wps:cNvSpPr>
                          <a:spLocks/>
                        </wps:cNvSpPr>
                        <wps:spPr bwMode="auto">
                          <a:xfrm>
                            <a:off x="9488" y="19949"/>
                            <a:ext cx="47511" cy="13"/>
                          </a:xfrm>
                          <a:custGeom>
                            <a:avLst/>
                            <a:gdLst>
                              <a:gd name="T0" fmla="*/ 0 w 4751070"/>
                              <a:gd name="T1" fmla="*/ 0 h 1270"/>
                              <a:gd name="T2" fmla="*/ 589870 w 4751070"/>
                              <a:gd name="T3" fmla="*/ 0 h 1270"/>
                              <a:gd name="T4" fmla="*/ 4563894 w 4751070"/>
                              <a:gd name="T5" fmla="*/ 0 h 1270"/>
                              <a:gd name="T6" fmla="*/ 4750889 w 4751070"/>
                              <a:gd name="T7" fmla="*/ 0 h 1270"/>
                              <a:gd name="T8" fmla="*/ 3042089 w 4751070"/>
                              <a:gd name="T9" fmla="*/ 0 h 1270"/>
                              <a:gd name="T10" fmla="*/ 3633480 w 4751070"/>
                              <a:gd name="T11" fmla="*/ 0 h 1270"/>
                              <a:gd name="T12" fmla="*/ 3803752 w 4751070"/>
                              <a:gd name="T13" fmla="*/ 0 h 1270"/>
                              <a:gd name="T14" fmla="*/ 4393622 w 4751070"/>
                              <a:gd name="T15" fmla="*/ 0 h 1270"/>
                              <a:gd name="T16" fmla="*/ 1521805 w 4751070"/>
                              <a:gd name="T17" fmla="*/ 0 h 1270"/>
                              <a:gd name="T18" fmla="*/ 2111675 w 4751070"/>
                              <a:gd name="T19" fmla="*/ 0 h 1270"/>
                              <a:gd name="T20" fmla="*/ 760142 w 4751070"/>
                              <a:gd name="T21" fmla="*/ 0 h 1270"/>
                              <a:gd name="T22" fmla="*/ 1351533 w 4751070"/>
                              <a:gd name="T23" fmla="*/ 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51070" h="1270">
                                <a:moveTo>
                                  <a:pt x="0" y="0"/>
                                </a:moveTo>
                                <a:lnTo>
                                  <a:pt x="589870" y="0"/>
                                </a:lnTo>
                              </a:path>
                              <a:path w="4751070" h="1270">
                                <a:moveTo>
                                  <a:pt x="4563894" y="0"/>
                                </a:moveTo>
                                <a:lnTo>
                                  <a:pt x="4750889" y="0"/>
                                </a:lnTo>
                              </a:path>
                              <a:path w="4751070" h="1270">
                                <a:moveTo>
                                  <a:pt x="3042089" y="0"/>
                                </a:moveTo>
                                <a:lnTo>
                                  <a:pt x="3633480" y="0"/>
                                </a:lnTo>
                              </a:path>
                              <a:path w="4751070" h="1270">
                                <a:moveTo>
                                  <a:pt x="3803752" y="0"/>
                                </a:moveTo>
                                <a:lnTo>
                                  <a:pt x="4393622" y="0"/>
                                </a:lnTo>
                              </a:path>
                              <a:path w="4751070" h="1270">
                                <a:moveTo>
                                  <a:pt x="1521805" y="0"/>
                                </a:moveTo>
                                <a:lnTo>
                                  <a:pt x="2111675" y="0"/>
                                </a:lnTo>
                              </a:path>
                              <a:path w="4751070" h="1270">
                                <a:moveTo>
                                  <a:pt x="760142" y="0"/>
                                </a:moveTo>
                                <a:lnTo>
                                  <a:pt x="1351533"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Graphic 25"/>
                        <wps:cNvSpPr>
                          <a:spLocks/>
                        </wps:cNvSpPr>
                        <wps:spPr bwMode="auto">
                          <a:xfrm>
                            <a:off x="3757" y="19949"/>
                            <a:ext cx="4032" cy="13"/>
                          </a:xfrm>
                          <a:custGeom>
                            <a:avLst/>
                            <a:gdLst>
                              <a:gd name="T0" fmla="*/ 0 w 403225"/>
                              <a:gd name="T1" fmla="*/ 0 h 1270"/>
                              <a:gd name="T2" fmla="*/ 402875 w 403225"/>
                              <a:gd name="T3" fmla="*/ 0 h 1270"/>
                            </a:gdLst>
                            <a:ahLst/>
                            <a:cxnLst>
                              <a:cxn ang="0">
                                <a:pos x="T0" y="T1"/>
                              </a:cxn>
                              <a:cxn ang="0">
                                <a:pos x="T2" y="T3"/>
                              </a:cxn>
                            </a:cxnLst>
                            <a:rect l="0" t="0" r="r" b="b"/>
                            <a:pathLst>
                              <a:path w="403225" h="1270">
                                <a:moveTo>
                                  <a:pt x="0" y="0"/>
                                </a:moveTo>
                                <a:lnTo>
                                  <a:pt x="402875"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Graphic 26"/>
                        <wps:cNvSpPr>
                          <a:spLocks/>
                        </wps:cNvSpPr>
                        <wps:spPr bwMode="auto">
                          <a:xfrm>
                            <a:off x="32308" y="17343"/>
                            <a:ext cx="24695" cy="2610"/>
                          </a:xfrm>
                          <a:custGeom>
                            <a:avLst/>
                            <a:gdLst>
                              <a:gd name="T0" fmla="*/ 0 w 2469515"/>
                              <a:gd name="T1" fmla="*/ 260594 h 260985"/>
                              <a:gd name="T2" fmla="*/ 589870 w 2469515"/>
                              <a:gd name="T3" fmla="*/ 260594 h 260985"/>
                              <a:gd name="T4" fmla="*/ 2281947 w 2469515"/>
                              <a:gd name="T5" fmla="*/ 0 h 260985"/>
                              <a:gd name="T6" fmla="*/ 2468942 w 2469515"/>
                              <a:gd name="T7" fmla="*/ 0 h 260985"/>
                            </a:gdLst>
                            <a:ahLst/>
                            <a:cxnLst>
                              <a:cxn ang="0">
                                <a:pos x="T0" y="T1"/>
                              </a:cxn>
                              <a:cxn ang="0">
                                <a:pos x="T2" y="T3"/>
                              </a:cxn>
                              <a:cxn ang="0">
                                <a:pos x="T4" y="T5"/>
                              </a:cxn>
                              <a:cxn ang="0">
                                <a:pos x="T6" y="T7"/>
                              </a:cxn>
                            </a:cxnLst>
                            <a:rect l="0" t="0" r="r" b="b"/>
                            <a:pathLst>
                              <a:path w="2469515" h="260985">
                                <a:moveTo>
                                  <a:pt x="0" y="260594"/>
                                </a:moveTo>
                                <a:lnTo>
                                  <a:pt x="589870" y="260594"/>
                                </a:lnTo>
                              </a:path>
                              <a:path w="2469515" h="260985">
                                <a:moveTo>
                                  <a:pt x="2281947" y="0"/>
                                </a:moveTo>
                                <a:lnTo>
                                  <a:pt x="2468942"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Graphic 27"/>
                        <wps:cNvSpPr>
                          <a:spLocks/>
                        </wps:cNvSpPr>
                        <wps:spPr bwMode="auto">
                          <a:xfrm>
                            <a:off x="3757" y="17343"/>
                            <a:ext cx="4032" cy="13"/>
                          </a:xfrm>
                          <a:custGeom>
                            <a:avLst/>
                            <a:gdLst>
                              <a:gd name="T0" fmla="*/ 0 w 403225"/>
                              <a:gd name="T1" fmla="*/ 0 h 1270"/>
                              <a:gd name="T2" fmla="*/ 402875 w 403225"/>
                              <a:gd name="T3" fmla="*/ 0 h 1270"/>
                            </a:gdLst>
                            <a:ahLst/>
                            <a:cxnLst>
                              <a:cxn ang="0">
                                <a:pos x="T0" y="T1"/>
                              </a:cxn>
                              <a:cxn ang="0">
                                <a:pos x="T2" y="T3"/>
                              </a:cxn>
                            </a:cxnLst>
                            <a:rect l="0" t="0" r="r" b="b"/>
                            <a:pathLst>
                              <a:path w="403225" h="1270">
                                <a:moveTo>
                                  <a:pt x="0" y="0"/>
                                </a:moveTo>
                                <a:lnTo>
                                  <a:pt x="402875"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Graphic 28"/>
                        <wps:cNvSpPr>
                          <a:spLocks/>
                        </wps:cNvSpPr>
                        <wps:spPr bwMode="auto">
                          <a:xfrm>
                            <a:off x="9488" y="17343"/>
                            <a:ext cx="43942" cy="13"/>
                          </a:xfrm>
                          <a:custGeom>
                            <a:avLst/>
                            <a:gdLst>
                              <a:gd name="T0" fmla="*/ 1521805 w 4394200"/>
                              <a:gd name="T1" fmla="*/ 0 h 1270"/>
                              <a:gd name="T2" fmla="*/ 2111675 w 4394200"/>
                              <a:gd name="T3" fmla="*/ 0 h 1270"/>
                              <a:gd name="T4" fmla="*/ 760142 w 4394200"/>
                              <a:gd name="T5" fmla="*/ 0 h 1270"/>
                              <a:gd name="T6" fmla="*/ 1351533 w 4394200"/>
                              <a:gd name="T7" fmla="*/ 0 h 1270"/>
                              <a:gd name="T8" fmla="*/ 2281947 w 4394200"/>
                              <a:gd name="T9" fmla="*/ 0 h 1270"/>
                              <a:gd name="T10" fmla="*/ 2871817 w 4394200"/>
                              <a:gd name="T11" fmla="*/ 0 h 1270"/>
                              <a:gd name="T12" fmla="*/ 3803752 w 4394200"/>
                              <a:gd name="T13" fmla="*/ 0 h 1270"/>
                              <a:gd name="T14" fmla="*/ 4393622 w 4394200"/>
                              <a:gd name="T15" fmla="*/ 0 h 1270"/>
                              <a:gd name="T16" fmla="*/ 0 w 4394200"/>
                              <a:gd name="T17" fmla="*/ 0 h 1270"/>
                              <a:gd name="T18" fmla="*/ 589870 w 4394200"/>
                              <a:gd name="T19" fmla="*/ 0 h 1270"/>
                              <a:gd name="T20" fmla="*/ 3042089 w 4394200"/>
                              <a:gd name="T21" fmla="*/ 0 h 1270"/>
                              <a:gd name="T22" fmla="*/ 3633480 w 4394200"/>
                              <a:gd name="T23" fmla="*/ 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394200" h="1270">
                                <a:moveTo>
                                  <a:pt x="1521805" y="0"/>
                                </a:moveTo>
                                <a:lnTo>
                                  <a:pt x="2111675" y="0"/>
                                </a:lnTo>
                              </a:path>
                              <a:path w="4394200" h="1270">
                                <a:moveTo>
                                  <a:pt x="760142" y="0"/>
                                </a:moveTo>
                                <a:lnTo>
                                  <a:pt x="1351533" y="0"/>
                                </a:lnTo>
                              </a:path>
                              <a:path w="4394200" h="1270">
                                <a:moveTo>
                                  <a:pt x="2281947" y="0"/>
                                </a:moveTo>
                                <a:lnTo>
                                  <a:pt x="2871817" y="0"/>
                                </a:lnTo>
                              </a:path>
                              <a:path w="4394200" h="1270">
                                <a:moveTo>
                                  <a:pt x="3803752" y="0"/>
                                </a:moveTo>
                                <a:lnTo>
                                  <a:pt x="4393622" y="0"/>
                                </a:lnTo>
                              </a:path>
                              <a:path w="4394200" h="1270">
                                <a:moveTo>
                                  <a:pt x="0" y="0"/>
                                </a:moveTo>
                                <a:lnTo>
                                  <a:pt x="589870" y="0"/>
                                </a:lnTo>
                              </a:path>
                              <a:path w="4394200" h="1270">
                                <a:moveTo>
                                  <a:pt x="3042089" y="0"/>
                                </a:moveTo>
                                <a:lnTo>
                                  <a:pt x="3633480"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Graphic 29"/>
                        <wps:cNvSpPr>
                          <a:spLocks/>
                        </wps:cNvSpPr>
                        <wps:spPr bwMode="auto">
                          <a:xfrm>
                            <a:off x="3757" y="14753"/>
                            <a:ext cx="53244" cy="12"/>
                          </a:xfrm>
                          <a:custGeom>
                            <a:avLst/>
                            <a:gdLst>
                              <a:gd name="T0" fmla="*/ 3615237 w 5324475"/>
                              <a:gd name="T1" fmla="*/ 0 h 1270"/>
                              <a:gd name="T2" fmla="*/ 4206627 w 5324475"/>
                              <a:gd name="T3" fmla="*/ 0 h 1270"/>
                              <a:gd name="T4" fmla="*/ 1333289 w 5324475"/>
                              <a:gd name="T5" fmla="*/ 0 h 1270"/>
                              <a:gd name="T6" fmla="*/ 1924680 w 5324475"/>
                              <a:gd name="T7" fmla="*/ 0 h 1270"/>
                              <a:gd name="T8" fmla="*/ 4376899 w 5324475"/>
                              <a:gd name="T9" fmla="*/ 0 h 1270"/>
                              <a:gd name="T10" fmla="*/ 5324037 w 5324475"/>
                              <a:gd name="T11" fmla="*/ 0 h 1270"/>
                              <a:gd name="T12" fmla="*/ 0 w 5324475"/>
                              <a:gd name="T13" fmla="*/ 0 h 1270"/>
                              <a:gd name="T14" fmla="*/ 402875 w 5324475"/>
                              <a:gd name="T15" fmla="*/ 0 h 1270"/>
                              <a:gd name="T16" fmla="*/ 2094952 w 5324475"/>
                              <a:gd name="T17" fmla="*/ 0 h 1270"/>
                              <a:gd name="T18" fmla="*/ 2684822 w 5324475"/>
                              <a:gd name="T19" fmla="*/ 0 h 1270"/>
                              <a:gd name="T20" fmla="*/ 2855094 w 5324475"/>
                              <a:gd name="T21" fmla="*/ 0 h 1270"/>
                              <a:gd name="T22" fmla="*/ 3444965 w 5324475"/>
                              <a:gd name="T23" fmla="*/ 0 h 1270"/>
                              <a:gd name="T24" fmla="*/ 573147 w 5324475"/>
                              <a:gd name="T25" fmla="*/ 0 h 1270"/>
                              <a:gd name="T26" fmla="*/ 1163017 w 5324475"/>
                              <a:gd name="T27" fmla="*/ 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324475" h="1270">
                                <a:moveTo>
                                  <a:pt x="3615237" y="0"/>
                                </a:moveTo>
                                <a:lnTo>
                                  <a:pt x="4206627" y="0"/>
                                </a:lnTo>
                              </a:path>
                              <a:path w="5324475" h="1270">
                                <a:moveTo>
                                  <a:pt x="1333289" y="0"/>
                                </a:moveTo>
                                <a:lnTo>
                                  <a:pt x="1924680" y="0"/>
                                </a:lnTo>
                              </a:path>
                              <a:path w="5324475" h="1270">
                                <a:moveTo>
                                  <a:pt x="4376899" y="0"/>
                                </a:moveTo>
                                <a:lnTo>
                                  <a:pt x="5324037" y="0"/>
                                </a:lnTo>
                              </a:path>
                              <a:path w="5324475" h="1270">
                                <a:moveTo>
                                  <a:pt x="0" y="0"/>
                                </a:moveTo>
                                <a:lnTo>
                                  <a:pt x="402875" y="0"/>
                                </a:lnTo>
                              </a:path>
                              <a:path w="5324475" h="1270">
                                <a:moveTo>
                                  <a:pt x="2094952" y="0"/>
                                </a:moveTo>
                                <a:lnTo>
                                  <a:pt x="2684822" y="0"/>
                                </a:lnTo>
                              </a:path>
                              <a:path w="5324475" h="1270">
                                <a:moveTo>
                                  <a:pt x="2855094" y="0"/>
                                </a:moveTo>
                                <a:lnTo>
                                  <a:pt x="3444965" y="0"/>
                                </a:lnTo>
                              </a:path>
                              <a:path w="5324475" h="1270">
                                <a:moveTo>
                                  <a:pt x="573147" y="0"/>
                                </a:moveTo>
                                <a:lnTo>
                                  <a:pt x="1163017"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Graphic 30"/>
                        <wps:cNvSpPr>
                          <a:spLocks/>
                        </wps:cNvSpPr>
                        <wps:spPr bwMode="auto">
                          <a:xfrm>
                            <a:off x="3757" y="12147"/>
                            <a:ext cx="4032" cy="12"/>
                          </a:xfrm>
                          <a:custGeom>
                            <a:avLst/>
                            <a:gdLst>
                              <a:gd name="T0" fmla="*/ 0 w 403225"/>
                              <a:gd name="T1" fmla="*/ 0 h 1270"/>
                              <a:gd name="T2" fmla="*/ 402875 w 403225"/>
                              <a:gd name="T3" fmla="*/ 0 h 1270"/>
                            </a:gdLst>
                            <a:ahLst/>
                            <a:cxnLst>
                              <a:cxn ang="0">
                                <a:pos x="T0" y="T1"/>
                              </a:cxn>
                              <a:cxn ang="0">
                                <a:pos x="T2" y="T3"/>
                              </a:cxn>
                            </a:cxnLst>
                            <a:rect l="0" t="0" r="r" b="b"/>
                            <a:pathLst>
                              <a:path w="403225" h="1270">
                                <a:moveTo>
                                  <a:pt x="0" y="0"/>
                                </a:moveTo>
                                <a:lnTo>
                                  <a:pt x="402875"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Graphic 31"/>
                        <wps:cNvSpPr>
                          <a:spLocks/>
                        </wps:cNvSpPr>
                        <wps:spPr bwMode="auto">
                          <a:xfrm>
                            <a:off x="9488" y="9541"/>
                            <a:ext cx="47511" cy="2610"/>
                          </a:xfrm>
                          <a:custGeom>
                            <a:avLst/>
                            <a:gdLst>
                              <a:gd name="T0" fmla="*/ 1521805 w 4751070"/>
                              <a:gd name="T1" fmla="*/ 260594 h 260985"/>
                              <a:gd name="T2" fmla="*/ 2111675 w 4751070"/>
                              <a:gd name="T3" fmla="*/ 260594 h 260985"/>
                              <a:gd name="T4" fmla="*/ 2281947 w 4751070"/>
                              <a:gd name="T5" fmla="*/ 260594 h 260985"/>
                              <a:gd name="T6" fmla="*/ 2871817 w 4751070"/>
                              <a:gd name="T7" fmla="*/ 260594 h 260985"/>
                              <a:gd name="T8" fmla="*/ 0 w 4751070"/>
                              <a:gd name="T9" fmla="*/ 260594 h 260985"/>
                              <a:gd name="T10" fmla="*/ 1351533 w 4751070"/>
                              <a:gd name="T11" fmla="*/ 260594 h 260985"/>
                              <a:gd name="T12" fmla="*/ 3042089 w 4751070"/>
                              <a:gd name="T13" fmla="*/ 260594 h 260985"/>
                              <a:gd name="T14" fmla="*/ 4750889 w 4751070"/>
                              <a:gd name="T15" fmla="*/ 260594 h 260985"/>
                              <a:gd name="T16" fmla="*/ 2281947 w 4751070"/>
                              <a:gd name="T17" fmla="*/ 0 h 260985"/>
                              <a:gd name="T18" fmla="*/ 4750889 w 4751070"/>
                              <a:gd name="T19" fmla="*/ 0 h 260985"/>
                              <a:gd name="T20" fmla="*/ 1521805 w 4751070"/>
                              <a:gd name="T21" fmla="*/ 0 h 260985"/>
                              <a:gd name="T22" fmla="*/ 2111675 w 4751070"/>
                              <a:gd name="T23" fmla="*/ 0 h 260985"/>
                              <a:gd name="T24" fmla="*/ 0 w 4751070"/>
                              <a:gd name="T25" fmla="*/ 0 h 260985"/>
                              <a:gd name="T26" fmla="*/ 1351533 w 4751070"/>
                              <a:gd name="T27" fmla="*/ 0 h 260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751070" h="260985">
                                <a:moveTo>
                                  <a:pt x="1521805" y="260594"/>
                                </a:moveTo>
                                <a:lnTo>
                                  <a:pt x="2111675" y="260594"/>
                                </a:lnTo>
                              </a:path>
                              <a:path w="4751070" h="260985">
                                <a:moveTo>
                                  <a:pt x="2281947" y="260594"/>
                                </a:moveTo>
                                <a:lnTo>
                                  <a:pt x="2871817" y="260594"/>
                                </a:lnTo>
                              </a:path>
                              <a:path w="4751070" h="260985">
                                <a:moveTo>
                                  <a:pt x="0" y="260594"/>
                                </a:moveTo>
                                <a:lnTo>
                                  <a:pt x="1351533" y="260594"/>
                                </a:lnTo>
                              </a:path>
                              <a:path w="4751070" h="260985">
                                <a:moveTo>
                                  <a:pt x="3042089" y="260594"/>
                                </a:moveTo>
                                <a:lnTo>
                                  <a:pt x="4750889" y="260594"/>
                                </a:lnTo>
                              </a:path>
                              <a:path w="4751070" h="260985">
                                <a:moveTo>
                                  <a:pt x="2281947" y="0"/>
                                </a:moveTo>
                                <a:lnTo>
                                  <a:pt x="4750889" y="0"/>
                                </a:lnTo>
                              </a:path>
                              <a:path w="4751070" h="260985">
                                <a:moveTo>
                                  <a:pt x="1521805" y="0"/>
                                </a:moveTo>
                                <a:lnTo>
                                  <a:pt x="2111675" y="0"/>
                                </a:lnTo>
                              </a:path>
                              <a:path w="4751070" h="260985">
                                <a:moveTo>
                                  <a:pt x="0" y="0"/>
                                </a:moveTo>
                                <a:lnTo>
                                  <a:pt x="1351533"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Graphic 32"/>
                        <wps:cNvSpPr>
                          <a:spLocks/>
                        </wps:cNvSpPr>
                        <wps:spPr bwMode="auto">
                          <a:xfrm>
                            <a:off x="3757" y="6935"/>
                            <a:ext cx="53244" cy="2610"/>
                          </a:xfrm>
                          <a:custGeom>
                            <a:avLst/>
                            <a:gdLst>
                              <a:gd name="T0" fmla="*/ 0 w 5324475"/>
                              <a:gd name="T1" fmla="*/ 260594 h 260985"/>
                              <a:gd name="T2" fmla="*/ 402875 w 5324475"/>
                              <a:gd name="T3" fmla="*/ 260594 h 260985"/>
                              <a:gd name="T4" fmla="*/ 2855094 w 5324475"/>
                              <a:gd name="T5" fmla="*/ 0 h 260985"/>
                              <a:gd name="T6" fmla="*/ 5324037 w 5324475"/>
                              <a:gd name="T7" fmla="*/ 0 h 260985"/>
                              <a:gd name="T8" fmla="*/ 0 w 5324475"/>
                              <a:gd name="T9" fmla="*/ 0 h 260985"/>
                              <a:gd name="T10" fmla="*/ 2684822 w 5324475"/>
                              <a:gd name="T11" fmla="*/ 0 h 260985"/>
                            </a:gdLst>
                            <a:ahLst/>
                            <a:cxnLst>
                              <a:cxn ang="0">
                                <a:pos x="T0" y="T1"/>
                              </a:cxn>
                              <a:cxn ang="0">
                                <a:pos x="T2" y="T3"/>
                              </a:cxn>
                              <a:cxn ang="0">
                                <a:pos x="T4" y="T5"/>
                              </a:cxn>
                              <a:cxn ang="0">
                                <a:pos x="T6" y="T7"/>
                              </a:cxn>
                              <a:cxn ang="0">
                                <a:pos x="T8" y="T9"/>
                              </a:cxn>
                              <a:cxn ang="0">
                                <a:pos x="T10" y="T11"/>
                              </a:cxn>
                            </a:cxnLst>
                            <a:rect l="0" t="0" r="r" b="b"/>
                            <a:pathLst>
                              <a:path w="5324475" h="260985">
                                <a:moveTo>
                                  <a:pt x="0" y="260594"/>
                                </a:moveTo>
                                <a:lnTo>
                                  <a:pt x="402875" y="260594"/>
                                </a:lnTo>
                              </a:path>
                              <a:path w="5324475" h="260985">
                                <a:moveTo>
                                  <a:pt x="2855094" y="0"/>
                                </a:moveTo>
                                <a:lnTo>
                                  <a:pt x="5324037" y="0"/>
                                </a:lnTo>
                              </a:path>
                              <a:path w="5324475" h="260985">
                                <a:moveTo>
                                  <a:pt x="0" y="0"/>
                                </a:moveTo>
                                <a:lnTo>
                                  <a:pt x="2684822"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Graphic 33"/>
                        <wps:cNvSpPr>
                          <a:spLocks/>
                        </wps:cNvSpPr>
                        <wps:spPr bwMode="auto">
                          <a:xfrm>
                            <a:off x="3757" y="4344"/>
                            <a:ext cx="53244" cy="13"/>
                          </a:xfrm>
                          <a:custGeom>
                            <a:avLst/>
                            <a:gdLst>
                              <a:gd name="T0" fmla="*/ 0 w 5324475"/>
                              <a:gd name="T1" fmla="*/ 0 h 1270"/>
                              <a:gd name="T2" fmla="*/ 5324037 w 5324475"/>
                              <a:gd name="T3" fmla="*/ 0 h 1270"/>
                            </a:gdLst>
                            <a:ahLst/>
                            <a:cxnLst>
                              <a:cxn ang="0">
                                <a:pos x="T0" y="T1"/>
                              </a:cxn>
                              <a:cxn ang="0">
                                <a:pos x="T2" y="T3"/>
                              </a:cxn>
                            </a:cxnLst>
                            <a:rect l="0" t="0" r="r" b="b"/>
                            <a:pathLst>
                              <a:path w="5324475" h="1270">
                                <a:moveTo>
                                  <a:pt x="0" y="0"/>
                                </a:moveTo>
                                <a:lnTo>
                                  <a:pt x="5324037" y="0"/>
                                </a:lnTo>
                              </a:path>
                            </a:pathLst>
                          </a:custGeom>
                          <a:noFill/>
                          <a:ln w="952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Graphic 34"/>
                        <wps:cNvSpPr>
                          <a:spLocks/>
                        </wps:cNvSpPr>
                        <wps:spPr bwMode="auto">
                          <a:xfrm>
                            <a:off x="5611" y="22891"/>
                            <a:ext cx="47359" cy="2261"/>
                          </a:xfrm>
                          <a:custGeom>
                            <a:avLst/>
                            <a:gdLst>
                              <a:gd name="T0" fmla="*/ 171792 w 4735830"/>
                              <a:gd name="T1" fmla="*/ 137147 h 226060"/>
                              <a:gd name="T2" fmla="*/ 0 w 4735830"/>
                              <a:gd name="T3" fmla="*/ 137147 h 226060"/>
                              <a:gd name="T4" fmla="*/ 0 w 4735830"/>
                              <a:gd name="T5" fmla="*/ 225539 h 226060"/>
                              <a:gd name="T6" fmla="*/ 171792 w 4735830"/>
                              <a:gd name="T7" fmla="*/ 225539 h 226060"/>
                              <a:gd name="T8" fmla="*/ 171792 w 4735830"/>
                              <a:gd name="T9" fmla="*/ 137147 h 226060"/>
                              <a:gd name="T10" fmla="*/ 931926 w 4735830"/>
                              <a:gd name="T11" fmla="*/ 169151 h 226060"/>
                              <a:gd name="T12" fmla="*/ 761657 w 4735830"/>
                              <a:gd name="T13" fmla="*/ 169151 h 226060"/>
                              <a:gd name="T14" fmla="*/ 761657 w 4735830"/>
                              <a:gd name="T15" fmla="*/ 225539 h 226060"/>
                              <a:gd name="T16" fmla="*/ 931926 w 4735830"/>
                              <a:gd name="T17" fmla="*/ 225539 h 226060"/>
                              <a:gd name="T18" fmla="*/ 931926 w 4735830"/>
                              <a:gd name="T19" fmla="*/ 169151 h 226060"/>
                              <a:gd name="T20" fmla="*/ 1692071 w 4735830"/>
                              <a:gd name="T21" fmla="*/ 82283 h 226060"/>
                              <a:gd name="T22" fmla="*/ 1521802 w 4735830"/>
                              <a:gd name="T23" fmla="*/ 82283 h 226060"/>
                              <a:gd name="T24" fmla="*/ 1521802 w 4735830"/>
                              <a:gd name="T25" fmla="*/ 225539 h 226060"/>
                              <a:gd name="T26" fmla="*/ 1692071 w 4735830"/>
                              <a:gd name="T27" fmla="*/ 225539 h 226060"/>
                              <a:gd name="T28" fmla="*/ 1692071 w 4735830"/>
                              <a:gd name="T29" fmla="*/ 82283 h 226060"/>
                              <a:gd name="T30" fmla="*/ 2453741 w 4735830"/>
                              <a:gd name="T31" fmla="*/ 0 h 226060"/>
                              <a:gd name="T32" fmla="*/ 2281948 w 4735830"/>
                              <a:gd name="T33" fmla="*/ 0 h 226060"/>
                              <a:gd name="T34" fmla="*/ 2281948 w 4735830"/>
                              <a:gd name="T35" fmla="*/ 225539 h 226060"/>
                              <a:gd name="T36" fmla="*/ 2453741 w 4735830"/>
                              <a:gd name="T37" fmla="*/ 225539 h 226060"/>
                              <a:gd name="T38" fmla="*/ 2453741 w 4735830"/>
                              <a:gd name="T39" fmla="*/ 0 h 226060"/>
                              <a:gd name="T40" fmla="*/ 3213874 w 4735830"/>
                              <a:gd name="T41" fmla="*/ 45720 h 226060"/>
                              <a:gd name="T42" fmla="*/ 3043605 w 4735830"/>
                              <a:gd name="T43" fmla="*/ 45720 h 226060"/>
                              <a:gd name="T44" fmla="*/ 3043605 w 4735830"/>
                              <a:gd name="T45" fmla="*/ 225539 h 226060"/>
                              <a:gd name="T46" fmla="*/ 3213874 w 4735830"/>
                              <a:gd name="T47" fmla="*/ 225539 h 226060"/>
                              <a:gd name="T48" fmla="*/ 3213874 w 4735830"/>
                              <a:gd name="T49" fmla="*/ 45720 h 226060"/>
                              <a:gd name="T50" fmla="*/ 3974020 w 4735830"/>
                              <a:gd name="T51" fmla="*/ 103619 h 226060"/>
                              <a:gd name="T52" fmla="*/ 3803751 w 4735830"/>
                              <a:gd name="T53" fmla="*/ 103619 h 226060"/>
                              <a:gd name="T54" fmla="*/ 3803751 w 4735830"/>
                              <a:gd name="T55" fmla="*/ 225539 h 226060"/>
                              <a:gd name="T56" fmla="*/ 3974020 w 4735830"/>
                              <a:gd name="T57" fmla="*/ 225539 h 226060"/>
                              <a:gd name="T58" fmla="*/ 3974020 w 4735830"/>
                              <a:gd name="T59" fmla="*/ 103619 h 226060"/>
                              <a:gd name="T60" fmla="*/ 4735690 w 4735830"/>
                              <a:gd name="T61" fmla="*/ 89903 h 226060"/>
                              <a:gd name="T62" fmla="*/ 4563897 w 4735830"/>
                              <a:gd name="T63" fmla="*/ 89903 h 226060"/>
                              <a:gd name="T64" fmla="*/ 4563897 w 4735830"/>
                              <a:gd name="T65" fmla="*/ 225539 h 226060"/>
                              <a:gd name="T66" fmla="*/ 4735690 w 4735830"/>
                              <a:gd name="T67" fmla="*/ 225539 h 226060"/>
                              <a:gd name="T68" fmla="*/ 4735690 w 4735830"/>
                              <a:gd name="T69" fmla="*/ 89903 h 226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35830" h="226060">
                                <a:moveTo>
                                  <a:pt x="171792" y="137147"/>
                                </a:moveTo>
                                <a:lnTo>
                                  <a:pt x="0" y="137147"/>
                                </a:lnTo>
                                <a:lnTo>
                                  <a:pt x="0" y="225539"/>
                                </a:lnTo>
                                <a:lnTo>
                                  <a:pt x="171792" y="225539"/>
                                </a:lnTo>
                                <a:lnTo>
                                  <a:pt x="171792" y="137147"/>
                                </a:lnTo>
                                <a:close/>
                              </a:path>
                              <a:path w="4735830" h="226060">
                                <a:moveTo>
                                  <a:pt x="931926" y="169151"/>
                                </a:moveTo>
                                <a:lnTo>
                                  <a:pt x="761657" y="169151"/>
                                </a:lnTo>
                                <a:lnTo>
                                  <a:pt x="761657" y="225539"/>
                                </a:lnTo>
                                <a:lnTo>
                                  <a:pt x="931926" y="225539"/>
                                </a:lnTo>
                                <a:lnTo>
                                  <a:pt x="931926" y="169151"/>
                                </a:lnTo>
                                <a:close/>
                              </a:path>
                              <a:path w="4735830" h="226060">
                                <a:moveTo>
                                  <a:pt x="1692071" y="82283"/>
                                </a:moveTo>
                                <a:lnTo>
                                  <a:pt x="1521802" y="82283"/>
                                </a:lnTo>
                                <a:lnTo>
                                  <a:pt x="1521802" y="225539"/>
                                </a:lnTo>
                                <a:lnTo>
                                  <a:pt x="1692071" y="225539"/>
                                </a:lnTo>
                                <a:lnTo>
                                  <a:pt x="1692071" y="82283"/>
                                </a:lnTo>
                                <a:close/>
                              </a:path>
                              <a:path w="4735830" h="226060">
                                <a:moveTo>
                                  <a:pt x="2453741" y="0"/>
                                </a:moveTo>
                                <a:lnTo>
                                  <a:pt x="2281948" y="0"/>
                                </a:lnTo>
                                <a:lnTo>
                                  <a:pt x="2281948" y="225539"/>
                                </a:lnTo>
                                <a:lnTo>
                                  <a:pt x="2453741" y="225539"/>
                                </a:lnTo>
                                <a:lnTo>
                                  <a:pt x="2453741" y="0"/>
                                </a:lnTo>
                                <a:close/>
                              </a:path>
                              <a:path w="4735830" h="226060">
                                <a:moveTo>
                                  <a:pt x="3213874" y="45720"/>
                                </a:moveTo>
                                <a:lnTo>
                                  <a:pt x="3043605" y="45720"/>
                                </a:lnTo>
                                <a:lnTo>
                                  <a:pt x="3043605" y="225539"/>
                                </a:lnTo>
                                <a:lnTo>
                                  <a:pt x="3213874" y="225539"/>
                                </a:lnTo>
                                <a:lnTo>
                                  <a:pt x="3213874" y="45720"/>
                                </a:lnTo>
                                <a:close/>
                              </a:path>
                              <a:path w="4735830" h="226060">
                                <a:moveTo>
                                  <a:pt x="3974020" y="103619"/>
                                </a:moveTo>
                                <a:lnTo>
                                  <a:pt x="3803751" y="103619"/>
                                </a:lnTo>
                                <a:lnTo>
                                  <a:pt x="3803751" y="225539"/>
                                </a:lnTo>
                                <a:lnTo>
                                  <a:pt x="3974020" y="225539"/>
                                </a:lnTo>
                                <a:lnTo>
                                  <a:pt x="3974020" y="103619"/>
                                </a:lnTo>
                                <a:close/>
                              </a:path>
                              <a:path w="4735830" h="226060">
                                <a:moveTo>
                                  <a:pt x="4735690" y="89903"/>
                                </a:moveTo>
                                <a:lnTo>
                                  <a:pt x="4563897" y="89903"/>
                                </a:lnTo>
                                <a:lnTo>
                                  <a:pt x="4563897" y="225539"/>
                                </a:lnTo>
                                <a:lnTo>
                                  <a:pt x="4735690" y="225539"/>
                                </a:lnTo>
                                <a:lnTo>
                                  <a:pt x="4735690" y="89903"/>
                                </a:lnTo>
                                <a:close/>
                              </a:path>
                            </a:pathLst>
                          </a:custGeom>
                          <a:solidFill>
                            <a:srgbClr val="155F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Graphic 35"/>
                        <wps:cNvSpPr>
                          <a:spLocks/>
                        </wps:cNvSpPr>
                        <wps:spPr bwMode="auto">
                          <a:xfrm>
                            <a:off x="7785" y="6112"/>
                            <a:ext cx="47346" cy="19037"/>
                          </a:xfrm>
                          <a:custGeom>
                            <a:avLst/>
                            <a:gdLst>
                              <a:gd name="T0" fmla="*/ 170268 w 4734560"/>
                              <a:gd name="T1" fmla="*/ 230124 h 1903730"/>
                              <a:gd name="T2" fmla="*/ 0 w 4734560"/>
                              <a:gd name="T3" fmla="*/ 230124 h 1903730"/>
                              <a:gd name="T4" fmla="*/ 0 w 4734560"/>
                              <a:gd name="T5" fmla="*/ 1903463 h 1903730"/>
                              <a:gd name="T6" fmla="*/ 170268 w 4734560"/>
                              <a:gd name="T7" fmla="*/ 1903463 h 1903730"/>
                              <a:gd name="T8" fmla="*/ 170268 w 4734560"/>
                              <a:gd name="T9" fmla="*/ 230124 h 1903730"/>
                              <a:gd name="T10" fmla="*/ 930414 w 4734560"/>
                              <a:gd name="T11" fmla="*/ 839698 h 1903730"/>
                              <a:gd name="T12" fmla="*/ 760145 w 4734560"/>
                              <a:gd name="T13" fmla="*/ 839698 h 1903730"/>
                              <a:gd name="T14" fmla="*/ 760145 w 4734560"/>
                              <a:gd name="T15" fmla="*/ 1903463 h 1903730"/>
                              <a:gd name="T16" fmla="*/ 930414 w 4734560"/>
                              <a:gd name="T17" fmla="*/ 1903463 h 1903730"/>
                              <a:gd name="T18" fmla="*/ 930414 w 4734560"/>
                              <a:gd name="T19" fmla="*/ 839698 h 1903730"/>
                              <a:gd name="T20" fmla="*/ 1692071 w 4734560"/>
                              <a:gd name="T21" fmla="*/ 193548 h 1903730"/>
                              <a:gd name="T22" fmla="*/ 1521802 w 4734560"/>
                              <a:gd name="T23" fmla="*/ 193548 h 1903730"/>
                              <a:gd name="T24" fmla="*/ 1521802 w 4734560"/>
                              <a:gd name="T25" fmla="*/ 1903463 h 1903730"/>
                              <a:gd name="T26" fmla="*/ 1692071 w 4734560"/>
                              <a:gd name="T27" fmla="*/ 1903463 h 1903730"/>
                              <a:gd name="T28" fmla="*/ 1692071 w 4734560"/>
                              <a:gd name="T29" fmla="*/ 193548 h 1903730"/>
                              <a:gd name="T30" fmla="*/ 2452217 w 4734560"/>
                              <a:gd name="T31" fmla="*/ 0 h 1903730"/>
                              <a:gd name="T32" fmla="*/ 2281948 w 4734560"/>
                              <a:gd name="T33" fmla="*/ 0 h 1903730"/>
                              <a:gd name="T34" fmla="*/ 2281948 w 4734560"/>
                              <a:gd name="T35" fmla="*/ 1903463 h 1903730"/>
                              <a:gd name="T36" fmla="*/ 2452217 w 4734560"/>
                              <a:gd name="T37" fmla="*/ 1903463 h 1903730"/>
                              <a:gd name="T38" fmla="*/ 2452217 w 4734560"/>
                              <a:gd name="T39" fmla="*/ 0 h 1903730"/>
                              <a:gd name="T40" fmla="*/ 3212363 w 4734560"/>
                              <a:gd name="T41" fmla="*/ 440423 h 1903730"/>
                              <a:gd name="T42" fmla="*/ 3042094 w 4734560"/>
                              <a:gd name="T43" fmla="*/ 440423 h 1903730"/>
                              <a:gd name="T44" fmla="*/ 3042094 w 4734560"/>
                              <a:gd name="T45" fmla="*/ 1903463 h 1903730"/>
                              <a:gd name="T46" fmla="*/ 3212363 w 4734560"/>
                              <a:gd name="T47" fmla="*/ 1903463 h 1903730"/>
                              <a:gd name="T48" fmla="*/ 3212363 w 4734560"/>
                              <a:gd name="T49" fmla="*/ 440423 h 1903730"/>
                              <a:gd name="T50" fmla="*/ 3974020 w 4734560"/>
                              <a:gd name="T51" fmla="*/ 637019 h 1903730"/>
                              <a:gd name="T52" fmla="*/ 3803751 w 4734560"/>
                              <a:gd name="T53" fmla="*/ 637019 h 1903730"/>
                              <a:gd name="T54" fmla="*/ 3803751 w 4734560"/>
                              <a:gd name="T55" fmla="*/ 1903463 h 1903730"/>
                              <a:gd name="T56" fmla="*/ 3974020 w 4734560"/>
                              <a:gd name="T57" fmla="*/ 1903463 h 1903730"/>
                              <a:gd name="T58" fmla="*/ 3974020 w 4734560"/>
                              <a:gd name="T59" fmla="*/ 637019 h 1903730"/>
                              <a:gd name="T60" fmla="*/ 4734166 w 4734560"/>
                              <a:gd name="T61" fmla="*/ 1016482 h 1903730"/>
                              <a:gd name="T62" fmla="*/ 4563897 w 4734560"/>
                              <a:gd name="T63" fmla="*/ 1016482 h 1903730"/>
                              <a:gd name="T64" fmla="*/ 4563897 w 4734560"/>
                              <a:gd name="T65" fmla="*/ 1903463 h 1903730"/>
                              <a:gd name="T66" fmla="*/ 4734166 w 4734560"/>
                              <a:gd name="T67" fmla="*/ 1903463 h 1903730"/>
                              <a:gd name="T68" fmla="*/ 4734166 w 4734560"/>
                              <a:gd name="T69" fmla="*/ 1016482 h 19037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34560" h="1903730">
                                <a:moveTo>
                                  <a:pt x="170268" y="230124"/>
                                </a:moveTo>
                                <a:lnTo>
                                  <a:pt x="0" y="230124"/>
                                </a:lnTo>
                                <a:lnTo>
                                  <a:pt x="0" y="1903463"/>
                                </a:lnTo>
                                <a:lnTo>
                                  <a:pt x="170268" y="1903463"/>
                                </a:lnTo>
                                <a:lnTo>
                                  <a:pt x="170268" y="230124"/>
                                </a:lnTo>
                                <a:close/>
                              </a:path>
                              <a:path w="4734560" h="1903730">
                                <a:moveTo>
                                  <a:pt x="930414" y="839698"/>
                                </a:moveTo>
                                <a:lnTo>
                                  <a:pt x="760145" y="839698"/>
                                </a:lnTo>
                                <a:lnTo>
                                  <a:pt x="760145" y="1903463"/>
                                </a:lnTo>
                                <a:lnTo>
                                  <a:pt x="930414" y="1903463"/>
                                </a:lnTo>
                                <a:lnTo>
                                  <a:pt x="930414" y="839698"/>
                                </a:lnTo>
                                <a:close/>
                              </a:path>
                              <a:path w="4734560" h="1903730">
                                <a:moveTo>
                                  <a:pt x="1692071" y="193548"/>
                                </a:moveTo>
                                <a:lnTo>
                                  <a:pt x="1521802" y="193548"/>
                                </a:lnTo>
                                <a:lnTo>
                                  <a:pt x="1521802" y="1903463"/>
                                </a:lnTo>
                                <a:lnTo>
                                  <a:pt x="1692071" y="1903463"/>
                                </a:lnTo>
                                <a:lnTo>
                                  <a:pt x="1692071" y="193548"/>
                                </a:lnTo>
                                <a:close/>
                              </a:path>
                              <a:path w="4734560" h="1903730">
                                <a:moveTo>
                                  <a:pt x="2452217" y="0"/>
                                </a:moveTo>
                                <a:lnTo>
                                  <a:pt x="2281948" y="0"/>
                                </a:lnTo>
                                <a:lnTo>
                                  <a:pt x="2281948" y="1903463"/>
                                </a:lnTo>
                                <a:lnTo>
                                  <a:pt x="2452217" y="1903463"/>
                                </a:lnTo>
                                <a:lnTo>
                                  <a:pt x="2452217" y="0"/>
                                </a:lnTo>
                                <a:close/>
                              </a:path>
                              <a:path w="4734560" h="1903730">
                                <a:moveTo>
                                  <a:pt x="3212363" y="440423"/>
                                </a:moveTo>
                                <a:lnTo>
                                  <a:pt x="3042094" y="440423"/>
                                </a:lnTo>
                                <a:lnTo>
                                  <a:pt x="3042094" y="1903463"/>
                                </a:lnTo>
                                <a:lnTo>
                                  <a:pt x="3212363" y="1903463"/>
                                </a:lnTo>
                                <a:lnTo>
                                  <a:pt x="3212363" y="440423"/>
                                </a:lnTo>
                                <a:close/>
                              </a:path>
                              <a:path w="4734560" h="1903730">
                                <a:moveTo>
                                  <a:pt x="3974020" y="637019"/>
                                </a:moveTo>
                                <a:lnTo>
                                  <a:pt x="3803751" y="637019"/>
                                </a:lnTo>
                                <a:lnTo>
                                  <a:pt x="3803751" y="1903463"/>
                                </a:lnTo>
                                <a:lnTo>
                                  <a:pt x="3974020" y="1903463"/>
                                </a:lnTo>
                                <a:lnTo>
                                  <a:pt x="3974020" y="637019"/>
                                </a:lnTo>
                                <a:close/>
                              </a:path>
                              <a:path w="4734560" h="1903730">
                                <a:moveTo>
                                  <a:pt x="4734166" y="1016482"/>
                                </a:moveTo>
                                <a:lnTo>
                                  <a:pt x="4563897" y="1016482"/>
                                </a:lnTo>
                                <a:lnTo>
                                  <a:pt x="4563897" y="1903463"/>
                                </a:lnTo>
                                <a:lnTo>
                                  <a:pt x="4734166" y="1903463"/>
                                </a:lnTo>
                                <a:lnTo>
                                  <a:pt x="4734166" y="1016482"/>
                                </a:lnTo>
                                <a:close/>
                              </a:path>
                            </a:pathLst>
                          </a:custGeom>
                          <a:solidFill>
                            <a:srgbClr val="E970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Graphic 36"/>
                        <wps:cNvSpPr>
                          <a:spLocks/>
                        </wps:cNvSpPr>
                        <wps:spPr bwMode="auto">
                          <a:xfrm>
                            <a:off x="3757" y="25146"/>
                            <a:ext cx="53244" cy="13"/>
                          </a:xfrm>
                          <a:custGeom>
                            <a:avLst/>
                            <a:gdLst>
                              <a:gd name="T0" fmla="*/ 0 w 5324475"/>
                              <a:gd name="T1" fmla="*/ 0 h 1270"/>
                              <a:gd name="T2" fmla="*/ 5324037 w 5324475"/>
                              <a:gd name="T3" fmla="*/ 0 h 1270"/>
                            </a:gdLst>
                            <a:ahLst/>
                            <a:cxnLst>
                              <a:cxn ang="0">
                                <a:pos x="T0" y="T1"/>
                              </a:cxn>
                              <a:cxn ang="0">
                                <a:pos x="T2" y="T3"/>
                              </a:cxn>
                            </a:cxnLst>
                            <a:rect l="0" t="0" r="r" b="b"/>
                            <a:pathLst>
                              <a:path w="5324475" h="1270">
                                <a:moveTo>
                                  <a:pt x="0" y="0"/>
                                </a:moveTo>
                                <a:lnTo>
                                  <a:pt x="5324037" y="0"/>
                                </a:lnTo>
                              </a:path>
                            </a:pathLst>
                          </a:custGeom>
                          <a:noFill/>
                          <a:ln w="952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Graphic 37"/>
                        <wps:cNvSpPr>
                          <a:spLocks/>
                        </wps:cNvSpPr>
                        <wps:spPr bwMode="auto">
                          <a:xfrm>
                            <a:off x="16269" y="31608"/>
                            <a:ext cx="577" cy="584"/>
                          </a:xfrm>
                          <a:custGeom>
                            <a:avLst/>
                            <a:gdLst>
                              <a:gd name="T0" fmla="*/ 57770 w 57785"/>
                              <a:gd name="T1" fmla="*/ 0 h 58419"/>
                              <a:gd name="T2" fmla="*/ 0 w 57785"/>
                              <a:gd name="T3" fmla="*/ 0 h 58419"/>
                              <a:gd name="T4" fmla="*/ 0 w 57785"/>
                              <a:gd name="T5" fmla="*/ 57909 h 58419"/>
                              <a:gd name="T6" fmla="*/ 57770 w 57785"/>
                              <a:gd name="T7" fmla="*/ 57909 h 58419"/>
                              <a:gd name="T8" fmla="*/ 57770 w 57785"/>
                              <a:gd name="T9" fmla="*/ 0 h 58419"/>
                            </a:gdLst>
                            <a:ahLst/>
                            <a:cxnLst>
                              <a:cxn ang="0">
                                <a:pos x="T0" y="T1"/>
                              </a:cxn>
                              <a:cxn ang="0">
                                <a:pos x="T2" y="T3"/>
                              </a:cxn>
                              <a:cxn ang="0">
                                <a:pos x="T4" y="T5"/>
                              </a:cxn>
                              <a:cxn ang="0">
                                <a:pos x="T6" y="T7"/>
                              </a:cxn>
                              <a:cxn ang="0">
                                <a:pos x="T8" y="T9"/>
                              </a:cxn>
                            </a:cxnLst>
                            <a:rect l="0" t="0" r="r" b="b"/>
                            <a:pathLst>
                              <a:path w="57785" h="58419">
                                <a:moveTo>
                                  <a:pt x="57770" y="0"/>
                                </a:moveTo>
                                <a:lnTo>
                                  <a:pt x="0" y="0"/>
                                </a:lnTo>
                                <a:lnTo>
                                  <a:pt x="0" y="57909"/>
                                </a:lnTo>
                                <a:lnTo>
                                  <a:pt x="57770" y="57909"/>
                                </a:lnTo>
                                <a:lnTo>
                                  <a:pt x="57770" y="0"/>
                                </a:lnTo>
                                <a:close/>
                              </a:path>
                            </a:pathLst>
                          </a:custGeom>
                          <a:solidFill>
                            <a:srgbClr val="155F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Graphic 38"/>
                        <wps:cNvSpPr>
                          <a:spLocks/>
                        </wps:cNvSpPr>
                        <wps:spPr bwMode="auto">
                          <a:xfrm>
                            <a:off x="30392" y="31608"/>
                            <a:ext cx="578" cy="584"/>
                          </a:xfrm>
                          <a:custGeom>
                            <a:avLst/>
                            <a:gdLst>
                              <a:gd name="T0" fmla="*/ 57770 w 57785"/>
                              <a:gd name="T1" fmla="*/ 0 h 58419"/>
                              <a:gd name="T2" fmla="*/ 0 w 57785"/>
                              <a:gd name="T3" fmla="*/ 0 h 58419"/>
                              <a:gd name="T4" fmla="*/ 0 w 57785"/>
                              <a:gd name="T5" fmla="*/ 57909 h 58419"/>
                              <a:gd name="T6" fmla="*/ 57770 w 57785"/>
                              <a:gd name="T7" fmla="*/ 57909 h 58419"/>
                              <a:gd name="T8" fmla="*/ 57770 w 57785"/>
                              <a:gd name="T9" fmla="*/ 0 h 58419"/>
                            </a:gdLst>
                            <a:ahLst/>
                            <a:cxnLst>
                              <a:cxn ang="0">
                                <a:pos x="T0" y="T1"/>
                              </a:cxn>
                              <a:cxn ang="0">
                                <a:pos x="T2" y="T3"/>
                              </a:cxn>
                              <a:cxn ang="0">
                                <a:pos x="T4" y="T5"/>
                              </a:cxn>
                              <a:cxn ang="0">
                                <a:pos x="T6" y="T7"/>
                              </a:cxn>
                              <a:cxn ang="0">
                                <a:pos x="T8" y="T9"/>
                              </a:cxn>
                            </a:cxnLst>
                            <a:rect l="0" t="0" r="r" b="b"/>
                            <a:pathLst>
                              <a:path w="57785" h="58419">
                                <a:moveTo>
                                  <a:pt x="57770" y="0"/>
                                </a:moveTo>
                                <a:lnTo>
                                  <a:pt x="0" y="0"/>
                                </a:lnTo>
                                <a:lnTo>
                                  <a:pt x="0" y="57909"/>
                                </a:lnTo>
                                <a:lnTo>
                                  <a:pt x="57770" y="57909"/>
                                </a:lnTo>
                                <a:lnTo>
                                  <a:pt x="57770" y="0"/>
                                </a:lnTo>
                                <a:close/>
                              </a:path>
                            </a:pathLst>
                          </a:custGeom>
                          <a:solidFill>
                            <a:srgbClr val="E970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Graphic 39"/>
                        <wps:cNvSpPr>
                          <a:spLocks/>
                        </wps:cNvSpPr>
                        <wps:spPr bwMode="auto">
                          <a:xfrm>
                            <a:off x="47" y="47"/>
                            <a:ext cx="58338" cy="33623"/>
                          </a:xfrm>
                          <a:custGeom>
                            <a:avLst/>
                            <a:gdLst>
                              <a:gd name="T0" fmla="*/ 0 w 5833745"/>
                              <a:gd name="T1" fmla="*/ 3361823 h 3362325"/>
                              <a:gd name="T2" fmla="*/ 5833332 w 5833745"/>
                              <a:gd name="T3" fmla="*/ 3361823 h 3362325"/>
                              <a:gd name="T4" fmla="*/ 5833332 w 5833745"/>
                              <a:gd name="T5" fmla="*/ 0 h 3362325"/>
                              <a:gd name="T6" fmla="*/ 0 w 5833745"/>
                              <a:gd name="T7" fmla="*/ 0 h 3362325"/>
                              <a:gd name="T8" fmla="*/ 0 w 5833745"/>
                              <a:gd name="T9" fmla="*/ 3361823 h 3362325"/>
                            </a:gdLst>
                            <a:ahLst/>
                            <a:cxnLst>
                              <a:cxn ang="0">
                                <a:pos x="T0" y="T1"/>
                              </a:cxn>
                              <a:cxn ang="0">
                                <a:pos x="T2" y="T3"/>
                              </a:cxn>
                              <a:cxn ang="0">
                                <a:pos x="T4" y="T5"/>
                              </a:cxn>
                              <a:cxn ang="0">
                                <a:pos x="T6" y="T7"/>
                              </a:cxn>
                              <a:cxn ang="0">
                                <a:pos x="T8" y="T9"/>
                              </a:cxn>
                            </a:cxnLst>
                            <a:rect l="0" t="0" r="r" b="b"/>
                            <a:pathLst>
                              <a:path w="5833745" h="3362325">
                                <a:moveTo>
                                  <a:pt x="0" y="3361823"/>
                                </a:moveTo>
                                <a:lnTo>
                                  <a:pt x="5833332" y="3361823"/>
                                </a:lnTo>
                                <a:lnTo>
                                  <a:pt x="5833332" y="0"/>
                                </a:lnTo>
                                <a:lnTo>
                                  <a:pt x="0" y="0"/>
                                </a:lnTo>
                                <a:lnTo>
                                  <a:pt x="0" y="3361823"/>
                                </a:lnTo>
                                <a:close/>
                              </a:path>
                            </a:pathLst>
                          </a:custGeom>
                          <a:noFill/>
                          <a:ln w="9518">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Textbox 40"/>
                        <wps:cNvSpPr txBox="1">
                          <a:spLocks noChangeArrowheads="1"/>
                        </wps:cNvSpPr>
                        <wps:spPr bwMode="auto">
                          <a:xfrm>
                            <a:off x="31219" y="31256"/>
                            <a:ext cx="11500" cy="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59F" w:rsidRDefault="0064059F" w:rsidP="00842CC4">
                              <w:pPr>
                                <w:rPr>
                                  <w:rFonts w:ascii="Arial MT"/>
                                  <w:sz w:val="16"/>
                                </w:rPr>
                              </w:pPr>
                              <w:r>
                                <w:rPr>
                                  <w:rFonts w:ascii="Arial MT"/>
                                  <w:color w:val="333333"/>
                                  <w:sz w:val="16"/>
                                </w:rPr>
                                <w:t>Aktiviteti</w:t>
                              </w:r>
                              <w:r>
                                <w:rPr>
                                  <w:rFonts w:ascii="Arial MT"/>
                                  <w:color w:val="333333"/>
                                  <w:spacing w:val="2"/>
                                  <w:sz w:val="16"/>
                                </w:rPr>
                                <w:t xml:space="preserve"> </w:t>
                              </w:r>
                              <w:r>
                                <w:rPr>
                                  <w:rFonts w:ascii="Arial MT"/>
                                  <w:color w:val="333333"/>
                                  <w:sz w:val="16"/>
                                </w:rPr>
                                <w:t>beta</w:t>
                              </w:r>
                              <w:r>
                                <w:rPr>
                                  <w:rFonts w:ascii="Arial MT"/>
                                  <w:color w:val="333333"/>
                                  <w:spacing w:val="-3"/>
                                  <w:sz w:val="16"/>
                                </w:rPr>
                                <w:t xml:space="preserve"> </w:t>
                              </w:r>
                              <w:r>
                                <w:rPr>
                                  <w:rFonts w:ascii="Arial MT"/>
                                  <w:color w:val="333333"/>
                                  <w:sz w:val="16"/>
                                </w:rPr>
                                <w:t>total</w:t>
                              </w:r>
                              <w:r>
                                <w:rPr>
                                  <w:rFonts w:ascii="Arial MT"/>
                                  <w:color w:val="333333"/>
                                  <w:spacing w:val="10"/>
                                  <w:sz w:val="16"/>
                                </w:rPr>
                                <w:t xml:space="preserve"> </w:t>
                              </w:r>
                              <w:r>
                                <w:rPr>
                                  <w:rFonts w:ascii="Arial MT"/>
                                  <w:color w:val="333333"/>
                                  <w:spacing w:val="-2"/>
                                  <w:sz w:val="16"/>
                                </w:rPr>
                                <w:t>mBq/l</w:t>
                              </w:r>
                            </w:p>
                          </w:txbxContent>
                        </wps:txbx>
                        <wps:bodyPr rot="0" vert="horz" wrap="square" lIns="0" tIns="0" rIns="0" bIns="0" anchor="t" anchorCtr="0" upright="1">
                          <a:noAutofit/>
                        </wps:bodyPr>
                      </wps:wsp>
                      <wps:wsp>
                        <wps:cNvPr id="276" name="Textbox 41"/>
                        <wps:cNvSpPr txBox="1">
                          <a:spLocks noChangeArrowheads="1"/>
                        </wps:cNvSpPr>
                        <wps:spPr bwMode="auto">
                          <a:xfrm>
                            <a:off x="17096" y="31256"/>
                            <a:ext cx="11481" cy="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59F" w:rsidRDefault="0064059F" w:rsidP="00842CC4">
                              <w:pPr>
                                <w:rPr>
                                  <w:rFonts w:ascii="Arial MT"/>
                                  <w:sz w:val="16"/>
                                </w:rPr>
                              </w:pPr>
                              <w:r>
                                <w:rPr>
                                  <w:rFonts w:ascii="Arial MT"/>
                                  <w:color w:val="333333"/>
                                  <w:sz w:val="16"/>
                                </w:rPr>
                                <w:t>Aktiviteti</w:t>
                              </w:r>
                              <w:r>
                                <w:rPr>
                                  <w:rFonts w:ascii="Arial MT"/>
                                  <w:color w:val="333333"/>
                                  <w:spacing w:val="2"/>
                                  <w:sz w:val="16"/>
                                </w:rPr>
                                <w:t xml:space="preserve"> </w:t>
                              </w:r>
                              <w:r>
                                <w:rPr>
                                  <w:rFonts w:ascii="Arial MT"/>
                                  <w:color w:val="333333"/>
                                  <w:sz w:val="16"/>
                                </w:rPr>
                                <w:t>alfa</w:t>
                              </w:r>
                              <w:r>
                                <w:rPr>
                                  <w:rFonts w:ascii="Arial MT"/>
                                  <w:color w:val="333333"/>
                                  <w:spacing w:val="-4"/>
                                  <w:sz w:val="16"/>
                                </w:rPr>
                                <w:t xml:space="preserve"> </w:t>
                              </w:r>
                              <w:r>
                                <w:rPr>
                                  <w:rFonts w:ascii="Arial MT"/>
                                  <w:color w:val="333333"/>
                                  <w:sz w:val="16"/>
                                </w:rPr>
                                <w:t>total</w:t>
                              </w:r>
                              <w:r>
                                <w:rPr>
                                  <w:rFonts w:ascii="Arial MT"/>
                                  <w:color w:val="333333"/>
                                  <w:spacing w:val="5"/>
                                  <w:sz w:val="16"/>
                                </w:rPr>
                                <w:t xml:space="preserve"> </w:t>
                              </w:r>
                              <w:r>
                                <w:rPr>
                                  <w:rFonts w:ascii="Arial MT"/>
                                  <w:color w:val="333333"/>
                                  <w:spacing w:val="-2"/>
                                  <w:sz w:val="16"/>
                                </w:rPr>
                                <w:t>mBq/L</w:t>
                              </w:r>
                            </w:p>
                          </w:txbxContent>
                        </wps:txbx>
                        <wps:bodyPr rot="0" vert="horz" wrap="square" lIns="0" tIns="0" rIns="0" bIns="0" anchor="t" anchorCtr="0" upright="1">
                          <a:noAutofit/>
                        </wps:bodyPr>
                      </wps:wsp>
                      <wps:wsp>
                        <wps:cNvPr id="277" name="Textbox 42"/>
                        <wps:cNvSpPr txBox="1">
                          <a:spLocks noChangeArrowheads="1"/>
                        </wps:cNvSpPr>
                        <wps:spPr bwMode="auto">
                          <a:xfrm>
                            <a:off x="41949" y="27315"/>
                            <a:ext cx="14611" cy="2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59F" w:rsidRDefault="0064059F" w:rsidP="00842CC4">
                              <w:pPr>
                                <w:spacing w:line="252" w:lineRule="auto"/>
                                <w:ind w:left="114" w:right="11" w:hanging="115"/>
                                <w:rPr>
                                  <w:rFonts w:ascii="Arial MT" w:hAnsi="Arial MT" w:hint="eastAsia"/>
                                  <w:sz w:val="18"/>
                                </w:rPr>
                              </w:pPr>
                              <w:r>
                                <w:rPr>
                                  <w:rFonts w:ascii="Arial MT" w:hAnsi="Arial MT"/>
                                  <w:color w:val="333333"/>
                                  <w:sz w:val="18"/>
                                </w:rPr>
                                <w:t>Shkumbin</w:t>
                              </w:r>
                              <w:r>
                                <w:rPr>
                                  <w:rFonts w:ascii="Arial MT" w:hAnsi="Arial MT"/>
                                  <w:color w:val="333333"/>
                                  <w:spacing w:val="-14"/>
                                  <w:sz w:val="18"/>
                                </w:rPr>
                                <w:t xml:space="preserve"> </w:t>
                              </w:r>
                              <w:r>
                                <w:rPr>
                                  <w:rFonts w:ascii="Arial MT" w:hAnsi="Arial MT"/>
                                  <w:color w:val="333333"/>
                                  <w:sz w:val="18"/>
                                </w:rPr>
                                <w:t>(Ura</w:t>
                              </w:r>
                              <w:r>
                                <w:rPr>
                                  <w:rFonts w:ascii="Arial MT" w:hAnsi="Arial MT"/>
                                  <w:color w:val="333333"/>
                                  <w:spacing w:val="-8"/>
                                  <w:sz w:val="18"/>
                                </w:rPr>
                                <w:t xml:space="preserve"> </w:t>
                              </w:r>
                              <w:r>
                                <w:rPr>
                                  <w:rFonts w:ascii="Arial MT" w:hAnsi="Arial MT"/>
                                  <w:color w:val="333333"/>
                                  <w:sz w:val="18"/>
                                </w:rPr>
                                <w:t>(Ura</w:t>
                              </w:r>
                              <w:r>
                                <w:rPr>
                                  <w:rFonts w:ascii="Arial MT" w:hAnsi="Arial MT"/>
                                  <w:color w:val="333333"/>
                                  <w:spacing w:val="-19"/>
                                  <w:sz w:val="18"/>
                                </w:rPr>
                                <w:t xml:space="preserve"> </w:t>
                              </w:r>
                              <w:r>
                                <w:rPr>
                                  <w:rFonts w:ascii="Arial MT" w:hAnsi="Arial MT"/>
                                  <w:color w:val="333333"/>
                                  <w:sz w:val="18"/>
                                </w:rPr>
                                <w:t>e</w:t>
                              </w:r>
                              <w:r>
                                <w:rPr>
                                  <w:rFonts w:ascii="Arial MT" w:hAnsi="Arial MT"/>
                                  <w:color w:val="333333"/>
                                  <w:spacing w:val="-19"/>
                                  <w:sz w:val="18"/>
                                </w:rPr>
                                <w:t xml:space="preserve"> </w:t>
                              </w:r>
                              <w:r>
                                <w:rPr>
                                  <w:rFonts w:ascii="Arial MT" w:hAnsi="Arial MT"/>
                                  <w:color w:val="333333"/>
                                  <w:sz w:val="18"/>
                                </w:rPr>
                                <w:t xml:space="preserve">Mifolit) </w:t>
                              </w:r>
                              <w:r>
                                <w:rPr>
                                  <w:rFonts w:ascii="Arial MT" w:hAnsi="Arial MT"/>
                                  <w:color w:val="333333"/>
                                  <w:spacing w:val="-2"/>
                                  <w:sz w:val="18"/>
                                </w:rPr>
                                <w:t>Rrogozhinë)</w:t>
                              </w:r>
                            </w:p>
                          </w:txbxContent>
                        </wps:txbx>
                        <wps:bodyPr rot="0" vert="horz" wrap="square" lIns="0" tIns="0" rIns="0" bIns="0" anchor="t" anchorCtr="0" upright="1">
                          <a:noAutofit/>
                        </wps:bodyPr>
                      </wps:wsp>
                      <wps:wsp>
                        <wps:cNvPr id="278" name="Textbox 43"/>
                        <wps:cNvSpPr txBox="1">
                          <a:spLocks noChangeArrowheads="1"/>
                        </wps:cNvSpPr>
                        <wps:spPr bwMode="auto">
                          <a:xfrm>
                            <a:off x="50393" y="25916"/>
                            <a:ext cx="5562" cy="1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59F" w:rsidRDefault="0064059F" w:rsidP="00842CC4">
                              <w:pPr>
                                <w:spacing w:line="202" w:lineRule="exact"/>
                                <w:rPr>
                                  <w:rFonts w:ascii="Arial MT" w:hAnsi="Arial MT" w:hint="eastAsia"/>
                                  <w:sz w:val="18"/>
                                </w:rPr>
                              </w:pPr>
                              <w:r>
                                <w:rPr>
                                  <w:rFonts w:ascii="Arial MT" w:hAnsi="Arial MT"/>
                                  <w:color w:val="333333"/>
                                  <w:spacing w:val="-4"/>
                                  <w:sz w:val="18"/>
                                </w:rPr>
                                <w:t>Lumi</w:t>
                              </w:r>
                              <w:r>
                                <w:rPr>
                                  <w:rFonts w:ascii="Arial MT" w:hAnsi="Arial MT"/>
                                  <w:color w:val="333333"/>
                                  <w:spacing w:val="-8"/>
                                  <w:sz w:val="18"/>
                                </w:rPr>
                                <w:t xml:space="preserve"> </w:t>
                              </w:r>
                              <w:r>
                                <w:rPr>
                                  <w:rFonts w:ascii="Arial MT" w:hAnsi="Arial MT"/>
                                  <w:color w:val="333333"/>
                                  <w:spacing w:val="-2"/>
                                  <w:sz w:val="18"/>
                                </w:rPr>
                                <w:t>Vjosë</w:t>
                              </w:r>
                            </w:p>
                          </w:txbxContent>
                        </wps:txbx>
                        <wps:bodyPr rot="0" vert="horz" wrap="square" lIns="0" tIns="0" rIns="0" bIns="0" anchor="t" anchorCtr="0" upright="1">
                          <a:noAutofit/>
                        </wps:bodyPr>
                      </wps:wsp>
                      <wps:wsp>
                        <wps:cNvPr id="279" name="Textbox 44"/>
                        <wps:cNvSpPr txBox="1">
                          <a:spLocks noChangeArrowheads="1"/>
                        </wps:cNvSpPr>
                        <wps:spPr bwMode="auto">
                          <a:xfrm>
                            <a:off x="44379" y="25916"/>
                            <a:ext cx="2559" cy="1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59F" w:rsidRDefault="0064059F" w:rsidP="00842CC4">
                              <w:pPr>
                                <w:spacing w:line="202" w:lineRule="exact"/>
                                <w:rPr>
                                  <w:rFonts w:ascii="Arial MT"/>
                                  <w:sz w:val="18"/>
                                </w:rPr>
                              </w:pPr>
                              <w:r>
                                <w:rPr>
                                  <w:rFonts w:ascii="Arial MT"/>
                                  <w:color w:val="333333"/>
                                  <w:spacing w:val="-4"/>
                                  <w:sz w:val="18"/>
                                </w:rPr>
                                <w:t>Lumi</w:t>
                              </w:r>
                            </w:p>
                          </w:txbxContent>
                        </wps:txbx>
                        <wps:bodyPr rot="0" vert="horz" wrap="square" lIns="0" tIns="0" rIns="0" bIns="0" anchor="t" anchorCtr="0" upright="1">
                          <a:noAutofit/>
                        </wps:bodyPr>
                      </wps:wsp>
                      <wps:wsp>
                        <wps:cNvPr id="280" name="Textbox 45"/>
                        <wps:cNvSpPr txBox="1">
                          <a:spLocks noChangeArrowheads="1"/>
                        </wps:cNvSpPr>
                        <wps:spPr bwMode="auto">
                          <a:xfrm>
                            <a:off x="35506" y="25916"/>
                            <a:ext cx="5106" cy="40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59F" w:rsidRDefault="0064059F" w:rsidP="00842CC4">
                              <w:pPr>
                                <w:spacing w:line="252" w:lineRule="auto"/>
                                <w:ind w:right="18" w:hanging="4"/>
                                <w:jc w:val="center"/>
                                <w:rPr>
                                  <w:rFonts w:ascii="Arial MT" w:hAnsi="Arial MT" w:hint="eastAsia"/>
                                  <w:sz w:val="18"/>
                                </w:rPr>
                              </w:pPr>
                              <w:r>
                                <w:rPr>
                                  <w:rFonts w:ascii="Arial MT" w:hAnsi="Arial MT"/>
                                  <w:color w:val="333333"/>
                                  <w:spacing w:val="-4"/>
                                  <w:sz w:val="18"/>
                                </w:rPr>
                                <w:t xml:space="preserve">Lumi Shkumbin </w:t>
                              </w:r>
                              <w:r>
                                <w:rPr>
                                  <w:rFonts w:ascii="Arial MT" w:hAnsi="Arial MT"/>
                                  <w:color w:val="333333"/>
                                  <w:spacing w:val="-2"/>
                                  <w:sz w:val="18"/>
                                </w:rPr>
                                <w:t>(Qukës)</w:t>
                              </w:r>
                            </w:p>
                          </w:txbxContent>
                        </wps:txbx>
                        <wps:bodyPr rot="0" vert="horz" wrap="square" lIns="0" tIns="0" rIns="0" bIns="0" anchor="t" anchorCtr="0" upright="1">
                          <a:noAutofit/>
                        </wps:bodyPr>
                      </wps:wsp>
                      <wps:wsp>
                        <wps:cNvPr id="281" name="Textbox 46"/>
                        <wps:cNvSpPr txBox="1">
                          <a:spLocks noChangeArrowheads="1"/>
                        </wps:cNvSpPr>
                        <wps:spPr bwMode="auto">
                          <a:xfrm>
                            <a:off x="5110" y="25916"/>
                            <a:ext cx="28410" cy="40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59F" w:rsidRDefault="0064059F" w:rsidP="00842CC4">
                              <w:pPr>
                                <w:tabs>
                                  <w:tab w:val="left" w:pos="1042"/>
                                  <w:tab w:val="left" w:pos="2336"/>
                                  <w:tab w:val="left" w:pos="3474"/>
                                  <w:tab w:val="left" w:pos="3553"/>
                                  <w:tab w:val="left" w:pos="3750"/>
                                </w:tabs>
                                <w:spacing w:line="252" w:lineRule="auto"/>
                                <w:ind w:right="18" w:firstLine="12"/>
                                <w:rPr>
                                  <w:rFonts w:ascii="Arial MT" w:hAnsi="Arial MT" w:hint="eastAsia"/>
                                  <w:sz w:val="18"/>
                                </w:rPr>
                              </w:pPr>
                              <w:r>
                                <w:rPr>
                                  <w:rFonts w:ascii="Arial MT" w:hAnsi="Arial MT"/>
                                  <w:color w:val="333333"/>
                                  <w:sz w:val="18"/>
                                </w:rPr>
                                <w:t>Lumi</w:t>
                              </w:r>
                              <w:r>
                                <w:rPr>
                                  <w:rFonts w:ascii="Arial MT" w:hAnsi="Arial MT"/>
                                  <w:color w:val="333333"/>
                                  <w:spacing w:val="-13"/>
                                  <w:sz w:val="18"/>
                                </w:rPr>
                                <w:t xml:space="preserve"> </w:t>
                              </w:r>
                              <w:r>
                                <w:rPr>
                                  <w:rFonts w:ascii="Arial MT" w:hAnsi="Arial MT"/>
                                  <w:color w:val="333333"/>
                                  <w:sz w:val="18"/>
                                </w:rPr>
                                <w:t>Drin</w:t>
                              </w:r>
                              <w:r>
                                <w:rPr>
                                  <w:rFonts w:ascii="Arial MT" w:hAnsi="Arial MT"/>
                                  <w:color w:val="333333"/>
                                  <w:sz w:val="18"/>
                                </w:rPr>
                                <w:tab/>
                                <w:t>Lumi Mat (Ura</w:t>
                              </w:r>
                              <w:r>
                                <w:rPr>
                                  <w:rFonts w:ascii="Arial MT" w:hAnsi="Arial MT"/>
                                  <w:color w:val="333333"/>
                                  <w:sz w:val="18"/>
                                </w:rPr>
                                <w:tab/>
                                <w:t>Lumi</w:t>
                              </w:r>
                              <w:r>
                                <w:rPr>
                                  <w:rFonts w:ascii="Arial MT" w:hAnsi="Arial MT"/>
                                  <w:color w:val="333333"/>
                                  <w:spacing w:val="-15"/>
                                  <w:sz w:val="18"/>
                                </w:rPr>
                                <w:t xml:space="preserve"> </w:t>
                              </w:r>
                              <w:r>
                                <w:rPr>
                                  <w:rFonts w:ascii="Arial MT" w:hAnsi="Arial MT"/>
                                  <w:color w:val="333333"/>
                                  <w:sz w:val="18"/>
                                </w:rPr>
                                <w:t>Erzen</w:t>
                              </w:r>
                              <w:r>
                                <w:rPr>
                                  <w:rFonts w:ascii="Arial MT" w:hAnsi="Arial MT"/>
                                  <w:color w:val="333333"/>
                                  <w:sz w:val="18"/>
                                </w:rPr>
                                <w:tab/>
                              </w:r>
                              <w:r>
                                <w:rPr>
                                  <w:rFonts w:ascii="Arial MT" w:hAnsi="Arial MT"/>
                                  <w:color w:val="333333"/>
                                  <w:sz w:val="18"/>
                                </w:rPr>
                                <w:tab/>
                              </w:r>
                              <w:r>
                                <w:rPr>
                                  <w:rFonts w:ascii="Arial MT" w:hAnsi="Arial MT"/>
                                  <w:color w:val="333333"/>
                                  <w:spacing w:val="-2"/>
                                  <w:sz w:val="18"/>
                                </w:rPr>
                                <w:t>Lumi</w:t>
                              </w:r>
                              <w:r>
                                <w:rPr>
                                  <w:rFonts w:ascii="Arial MT" w:hAnsi="Arial MT"/>
                                  <w:color w:val="333333"/>
                                  <w:spacing w:val="-12"/>
                                  <w:sz w:val="18"/>
                                </w:rPr>
                                <w:t xml:space="preserve"> </w:t>
                              </w:r>
                              <w:r>
                                <w:rPr>
                                  <w:rFonts w:ascii="Arial MT" w:hAnsi="Arial MT"/>
                                  <w:color w:val="333333"/>
                                  <w:spacing w:val="-2"/>
                                  <w:sz w:val="18"/>
                                </w:rPr>
                                <w:t>Erzen (Baçallëk,</w:t>
                              </w:r>
                              <w:r>
                                <w:rPr>
                                  <w:rFonts w:ascii="Arial MT" w:hAnsi="Arial MT"/>
                                  <w:color w:val="333333"/>
                                  <w:sz w:val="18"/>
                                </w:rPr>
                                <w:tab/>
                                <w:t xml:space="preserve"> e Re në Milot)</w:t>
                              </w:r>
                              <w:r>
                                <w:rPr>
                                  <w:rFonts w:ascii="Arial MT" w:hAnsi="Arial MT"/>
                                  <w:color w:val="333333"/>
                                  <w:spacing w:val="40"/>
                                  <w:sz w:val="18"/>
                                </w:rPr>
                                <w:t xml:space="preserve"> </w:t>
                              </w:r>
                              <w:r>
                                <w:rPr>
                                  <w:rFonts w:ascii="Arial MT" w:hAnsi="Arial MT"/>
                                  <w:color w:val="333333"/>
                                  <w:sz w:val="18"/>
                                </w:rPr>
                                <w:t>(Ura e Beshirit)</w:t>
                              </w:r>
                              <w:r>
                                <w:rPr>
                                  <w:rFonts w:ascii="Arial MT" w:hAnsi="Arial MT"/>
                                  <w:color w:val="333333"/>
                                  <w:sz w:val="18"/>
                                </w:rPr>
                                <w:tab/>
                              </w:r>
                              <w:r>
                                <w:rPr>
                                  <w:rFonts w:ascii="Arial MT" w:hAnsi="Arial MT"/>
                                  <w:color w:val="333333"/>
                                  <w:sz w:val="18"/>
                                </w:rPr>
                                <w:tab/>
                                <w:t>(Ura</w:t>
                              </w:r>
                              <w:r>
                                <w:rPr>
                                  <w:rFonts w:ascii="Arial MT" w:hAnsi="Arial MT"/>
                                  <w:color w:val="333333"/>
                                  <w:spacing w:val="-19"/>
                                  <w:sz w:val="18"/>
                                </w:rPr>
                                <w:t xml:space="preserve"> </w:t>
                              </w:r>
                              <w:r>
                                <w:rPr>
                                  <w:rFonts w:ascii="Arial MT" w:hAnsi="Arial MT"/>
                                  <w:color w:val="333333"/>
                                  <w:sz w:val="18"/>
                                </w:rPr>
                                <w:t xml:space="preserve">e </w:t>
                              </w:r>
                              <w:r>
                                <w:rPr>
                                  <w:rFonts w:ascii="Arial MT" w:hAnsi="Arial MT"/>
                                  <w:color w:val="333333"/>
                                  <w:spacing w:val="-2"/>
                                  <w:sz w:val="18"/>
                                </w:rPr>
                                <w:t>Shkodër)</w:t>
                              </w:r>
                              <w:r>
                                <w:rPr>
                                  <w:rFonts w:ascii="Arial MT" w:hAnsi="Arial MT"/>
                                  <w:color w:val="333333"/>
                                  <w:sz w:val="18"/>
                                </w:rPr>
                                <w:tab/>
                              </w:r>
                              <w:r>
                                <w:rPr>
                                  <w:rFonts w:ascii="Arial MT" w:hAnsi="Arial MT"/>
                                  <w:color w:val="333333"/>
                                  <w:sz w:val="18"/>
                                </w:rPr>
                                <w:tab/>
                              </w:r>
                              <w:r>
                                <w:rPr>
                                  <w:rFonts w:ascii="Arial MT" w:hAnsi="Arial MT"/>
                                  <w:color w:val="333333"/>
                                  <w:sz w:val="18"/>
                                </w:rPr>
                                <w:tab/>
                              </w:r>
                              <w:r>
                                <w:rPr>
                                  <w:rFonts w:ascii="Arial MT" w:hAnsi="Arial MT"/>
                                  <w:color w:val="333333"/>
                                  <w:spacing w:val="-2"/>
                                  <w:sz w:val="18"/>
                                </w:rPr>
                                <w:t>Peshkatarit)</w:t>
                              </w:r>
                            </w:p>
                          </w:txbxContent>
                        </wps:txbx>
                        <wps:bodyPr rot="0" vert="horz" wrap="square" lIns="0" tIns="0" rIns="0" bIns="0" anchor="t" anchorCtr="0" upright="1">
                          <a:noAutofit/>
                        </wps:bodyPr>
                      </wps:wsp>
                      <wps:wsp>
                        <wps:cNvPr id="282" name="Textbox 47"/>
                        <wps:cNvSpPr txBox="1">
                          <a:spLocks noChangeArrowheads="1"/>
                        </wps:cNvSpPr>
                        <wps:spPr bwMode="auto">
                          <a:xfrm>
                            <a:off x="880" y="3621"/>
                            <a:ext cx="1981" cy="22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59F" w:rsidRDefault="0064059F" w:rsidP="00842CC4">
                              <w:pPr>
                                <w:spacing w:line="201" w:lineRule="exact"/>
                                <w:rPr>
                                  <w:rFonts w:ascii="Arial MT"/>
                                  <w:sz w:val="18"/>
                                </w:rPr>
                              </w:pPr>
                              <w:r>
                                <w:rPr>
                                  <w:rFonts w:ascii="Arial MT"/>
                                  <w:color w:val="333333"/>
                                  <w:spacing w:val="-5"/>
                                  <w:sz w:val="18"/>
                                </w:rPr>
                                <w:t>800</w:t>
                              </w:r>
                            </w:p>
                            <w:p w:rsidR="0064059F" w:rsidRDefault="0064059F" w:rsidP="00842CC4">
                              <w:pPr>
                                <w:spacing w:before="203"/>
                                <w:ind w:right="22"/>
                                <w:jc w:val="right"/>
                                <w:rPr>
                                  <w:rFonts w:ascii="Arial MT"/>
                                  <w:sz w:val="18"/>
                                </w:rPr>
                              </w:pPr>
                              <w:r>
                                <w:rPr>
                                  <w:rFonts w:ascii="Arial MT"/>
                                  <w:color w:val="333333"/>
                                  <w:spacing w:val="-8"/>
                                  <w:sz w:val="18"/>
                                </w:rPr>
                                <w:t>700</w:t>
                              </w:r>
                            </w:p>
                            <w:p w:rsidR="0064059F" w:rsidRDefault="0064059F" w:rsidP="00842CC4">
                              <w:pPr>
                                <w:spacing w:before="203"/>
                                <w:ind w:right="22"/>
                                <w:jc w:val="right"/>
                                <w:rPr>
                                  <w:rFonts w:ascii="Arial MT"/>
                                  <w:sz w:val="18"/>
                                </w:rPr>
                              </w:pPr>
                              <w:r>
                                <w:rPr>
                                  <w:rFonts w:ascii="Arial MT"/>
                                  <w:color w:val="333333"/>
                                  <w:spacing w:val="-8"/>
                                  <w:sz w:val="18"/>
                                </w:rPr>
                                <w:t>600</w:t>
                              </w:r>
                            </w:p>
                            <w:p w:rsidR="0064059F" w:rsidRDefault="0064059F" w:rsidP="00842CC4">
                              <w:pPr>
                                <w:spacing w:before="203"/>
                                <w:ind w:right="22"/>
                                <w:jc w:val="right"/>
                                <w:rPr>
                                  <w:rFonts w:ascii="Arial MT"/>
                                  <w:sz w:val="18"/>
                                </w:rPr>
                              </w:pPr>
                              <w:r>
                                <w:rPr>
                                  <w:rFonts w:ascii="Arial MT"/>
                                  <w:color w:val="333333"/>
                                  <w:spacing w:val="-8"/>
                                  <w:sz w:val="18"/>
                                </w:rPr>
                                <w:t>500</w:t>
                              </w:r>
                            </w:p>
                            <w:p w:rsidR="0064059F" w:rsidRDefault="0064059F" w:rsidP="00842CC4">
                              <w:pPr>
                                <w:spacing w:before="203"/>
                                <w:ind w:right="22"/>
                                <w:jc w:val="right"/>
                                <w:rPr>
                                  <w:rFonts w:ascii="Arial MT"/>
                                  <w:sz w:val="18"/>
                                </w:rPr>
                              </w:pPr>
                              <w:r>
                                <w:rPr>
                                  <w:rFonts w:ascii="Arial MT"/>
                                  <w:color w:val="333333"/>
                                  <w:spacing w:val="-8"/>
                                  <w:sz w:val="18"/>
                                </w:rPr>
                                <w:t>400</w:t>
                              </w:r>
                            </w:p>
                            <w:p w:rsidR="0064059F" w:rsidRDefault="0064059F" w:rsidP="00842CC4">
                              <w:pPr>
                                <w:spacing w:before="202"/>
                                <w:ind w:right="22"/>
                                <w:jc w:val="right"/>
                                <w:rPr>
                                  <w:rFonts w:ascii="Arial MT"/>
                                  <w:sz w:val="18"/>
                                </w:rPr>
                              </w:pPr>
                              <w:r>
                                <w:rPr>
                                  <w:rFonts w:ascii="Arial MT"/>
                                  <w:color w:val="333333"/>
                                  <w:spacing w:val="-8"/>
                                  <w:sz w:val="18"/>
                                </w:rPr>
                                <w:t>300</w:t>
                              </w:r>
                            </w:p>
                            <w:p w:rsidR="0064059F" w:rsidRDefault="0064059F" w:rsidP="00842CC4">
                              <w:pPr>
                                <w:spacing w:before="203"/>
                                <w:ind w:right="22"/>
                                <w:jc w:val="right"/>
                                <w:rPr>
                                  <w:rFonts w:ascii="Arial MT"/>
                                  <w:sz w:val="18"/>
                                </w:rPr>
                              </w:pPr>
                              <w:r>
                                <w:rPr>
                                  <w:rFonts w:ascii="Arial MT"/>
                                  <w:color w:val="333333"/>
                                  <w:spacing w:val="-8"/>
                                  <w:sz w:val="18"/>
                                </w:rPr>
                                <w:t>200</w:t>
                              </w:r>
                            </w:p>
                            <w:p w:rsidR="0064059F" w:rsidRDefault="0064059F" w:rsidP="00842CC4">
                              <w:pPr>
                                <w:spacing w:before="203"/>
                                <w:ind w:right="22"/>
                                <w:jc w:val="right"/>
                                <w:rPr>
                                  <w:rFonts w:ascii="Arial MT"/>
                                  <w:sz w:val="18"/>
                                </w:rPr>
                              </w:pPr>
                              <w:r>
                                <w:rPr>
                                  <w:rFonts w:ascii="Arial MT"/>
                                  <w:color w:val="333333"/>
                                  <w:spacing w:val="-8"/>
                                  <w:sz w:val="18"/>
                                </w:rPr>
                                <w:t>100</w:t>
                              </w:r>
                            </w:p>
                            <w:p w:rsidR="0064059F" w:rsidRDefault="0064059F" w:rsidP="00842CC4">
                              <w:pPr>
                                <w:spacing w:before="203"/>
                                <w:ind w:right="18"/>
                                <w:jc w:val="right"/>
                                <w:rPr>
                                  <w:rFonts w:ascii="Arial MT"/>
                                  <w:sz w:val="18"/>
                                </w:rPr>
                              </w:pPr>
                              <w:r>
                                <w:rPr>
                                  <w:rFonts w:ascii="Arial MT"/>
                                  <w:color w:val="333333"/>
                                  <w:spacing w:val="-10"/>
                                  <w:sz w:val="18"/>
                                </w:rPr>
                                <w:t>0</w:t>
                              </w:r>
                            </w:p>
                          </w:txbxContent>
                        </wps:txbx>
                        <wps:bodyPr rot="0" vert="horz" wrap="square" lIns="0" tIns="0" rIns="0" bIns="0" anchor="t" anchorCtr="0" upright="1">
                          <a:noAutofit/>
                        </wps:bodyPr>
                      </wps:wsp>
                      <wps:wsp>
                        <wps:cNvPr id="283" name="Textbox 48"/>
                        <wps:cNvSpPr txBox="1">
                          <a:spLocks noChangeArrowheads="1"/>
                        </wps:cNvSpPr>
                        <wps:spPr bwMode="auto">
                          <a:xfrm>
                            <a:off x="16688" y="1070"/>
                            <a:ext cx="25203" cy="1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59F" w:rsidRDefault="0064059F" w:rsidP="00842CC4">
                              <w:pPr>
                                <w:spacing w:line="266" w:lineRule="exact"/>
                                <w:rPr>
                                  <w:sz w:val="24"/>
                                </w:rPr>
                              </w:pPr>
                              <w:r>
                                <w:rPr>
                                  <w:color w:val="333333"/>
                                  <w:sz w:val="24"/>
                                </w:rPr>
                                <w:t>Aktiviteti</w:t>
                              </w:r>
                              <w:r>
                                <w:rPr>
                                  <w:color w:val="333333"/>
                                  <w:spacing w:val="-9"/>
                                  <w:sz w:val="24"/>
                                </w:rPr>
                                <w:t xml:space="preserve"> </w:t>
                              </w:r>
                              <w:r>
                                <w:rPr>
                                  <w:color w:val="333333"/>
                                  <w:sz w:val="24"/>
                                </w:rPr>
                                <w:t>alfa</w:t>
                              </w:r>
                              <w:r>
                                <w:rPr>
                                  <w:color w:val="333333"/>
                                  <w:spacing w:val="-6"/>
                                  <w:sz w:val="24"/>
                                </w:rPr>
                                <w:t xml:space="preserve"> </w:t>
                              </w:r>
                              <w:r>
                                <w:rPr>
                                  <w:color w:val="333333"/>
                                  <w:sz w:val="24"/>
                                </w:rPr>
                                <w:t>dhe</w:t>
                              </w:r>
                              <w:r>
                                <w:rPr>
                                  <w:color w:val="333333"/>
                                  <w:spacing w:val="-5"/>
                                  <w:sz w:val="24"/>
                                </w:rPr>
                                <w:t xml:space="preserve"> </w:t>
                              </w:r>
                              <w:r>
                                <w:rPr>
                                  <w:color w:val="333333"/>
                                  <w:sz w:val="24"/>
                                </w:rPr>
                                <w:t>beta</w:t>
                              </w:r>
                              <w:r>
                                <w:rPr>
                                  <w:color w:val="333333"/>
                                  <w:spacing w:val="-7"/>
                                  <w:sz w:val="24"/>
                                </w:rPr>
                                <w:t xml:space="preserve"> </w:t>
                              </w:r>
                              <w:r>
                                <w:rPr>
                                  <w:color w:val="333333"/>
                                  <w:sz w:val="24"/>
                                </w:rPr>
                                <w:t>total</w:t>
                              </w:r>
                              <w:r>
                                <w:rPr>
                                  <w:color w:val="333333"/>
                                  <w:spacing w:val="-7"/>
                                  <w:sz w:val="24"/>
                                </w:rPr>
                                <w:t xml:space="preserve"> </w:t>
                              </w:r>
                              <w:r>
                                <w:rPr>
                                  <w:color w:val="333333"/>
                                  <w:sz w:val="24"/>
                                </w:rPr>
                                <w:t>Nentor</w:t>
                              </w:r>
                              <w:r>
                                <w:rPr>
                                  <w:color w:val="333333"/>
                                  <w:spacing w:val="-5"/>
                                  <w:sz w:val="24"/>
                                </w:rPr>
                                <w:t xml:space="preserve"> </w:t>
                              </w:r>
                              <w:r>
                                <w:rPr>
                                  <w:color w:val="333333"/>
                                  <w:spacing w:val="-4"/>
                                  <w:sz w:val="24"/>
                                </w:rPr>
                                <w:t>2025</w:t>
                              </w:r>
                            </w:p>
                          </w:txbxContent>
                        </wps:txbx>
                        <wps:bodyPr rot="0" vert="horz" wrap="square" lIns="0" tIns="0" rIns="0" bIns="0" anchor="t" anchorCtr="0" upright="1">
                          <a:noAutofit/>
                        </wps:bodyPr>
                      </wps:wsp>
                    </wpg:wgp>
                  </a:graphicData>
                </a:graphic>
              </wp:inline>
            </w:drawing>
          </mc:Choice>
          <mc:Fallback>
            <w:pict>
              <v:group w14:anchorId="4D57A743" id="Group 256" o:spid="_x0000_s1048" style="width:460.1pt;height:265.5pt;mso-position-horizontal-relative:char;mso-position-vertical-relative:line" coordsize="58432,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">
                <v:shape id="Graphic 22" o:spid="_x0000_s1049" style="position:absolute;left:9488;top:22556;width:47511;height:12;visibility:visible;mso-wrap-style:square;v-text-anchor:top" coordsize="4751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" path="m2281947,r589870,em3042089,r591391,em3803752,r589870,em1521805,r589870,em4563894,r186995,em,l589870,em760142,r591391,e" filled="f" strokecolor="#d9d9d9">
                  <v:path arrowok="t" o:connecttype="custom" o:connectlocs="22820,0;28718,0;30421,0;36335,0;38038,0;43936,0;15218,0;21117,0;45639,0;47509,0;0,0;5899,0;7601,0;13515,0" o:connectangles="0,0,0,0,0,0,0,0,0,0,0,0,0,0"/>
                </v:shape>
                <v:shape id="Graphic 23" o:spid="_x0000_s1050" style="position:absolute;left:3757;top:22556;width:4032;height:12;visibility:visible;mso-wrap-style:square;v-text-anchor:top" coordsize="403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" path="m,l402875,e" filled="f" strokecolor="#d9d9d9">
                  <v:path arrowok="t" o:connecttype="custom" o:connectlocs="0,0;4029,0" o:connectangles="0,0"/>
                </v:shape>
                <v:shape id="Graphic 24" o:spid="_x0000_s1051" style="position:absolute;left:9488;top:19949;width:47511;height:13;visibility:visible;mso-wrap-style:square;v-text-anchor:top" coordsize="4751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" path="m,l589870,em4563894,r186995,em3042089,r591391,em3803752,r589870,em1521805,r589870,em760142,r591391,e" filled="f" strokecolor="#d9d9d9">
                  <v:path arrowok="t" o:connecttype="custom" o:connectlocs="0,0;5899,0;45639,0;47509,0;30421,0;36335,0;38038,0;43936,0;15218,0;21117,0;7601,0;13515,0" o:connectangles="0,0,0,0,0,0,0,0,0,0,0,0"/>
                </v:shape>
                <v:shape id="Graphic 25" o:spid="_x0000_s1052" style="position:absolute;left:3757;top:19949;width:4032;height:13;visibility:visible;mso-wrap-style:square;v-text-anchor:top" coordsize="403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" path="m,l402875,e" filled="f" strokecolor="#d9d9d9">
                  <v:path arrowok="t" o:connecttype="custom" o:connectlocs="0,0;4029,0" o:connectangles="0,0"/>
                </v:shape>
                <v:shape id="Graphic 26" o:spid="_x0000_s1053" style="position:absolute;left:32308;top:17343;width:24695;height:2610;visibility:visible;mso-wrap-style:square;v-text-anchor:top" coordsize="246951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" path="m,260594r589870,em2281947,r186995,e" filled="f" strokecolor="#d9d9d9">
                  <v:path arrowok="t" o:connecttype="custom" o:connectlocs="0,2606;5899,2606;22819,0;24689,0" o:connectangles="0,0,0,0"/>
                </v:shape>
                <v:shape id="Graphic 27" o:spid="_x0000_s1054" style="position:absolute;left:3757;top:17343;width:4032;height:13;visibility:visible;mso-wrap-style:square;v-text-anchor:top" coordsize="403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" path="m,l402875,e" filled="f" strokecolor="#d9d9d9">
                  <v:path arrowok="t" o:connecttype="custom" o:connectlocs="0,0;4029,0" o:connectangles="0,0"/>
                </v:shape>
                <v:shape id="Graphic 28" o:spid="_x0000_s1055" style="position:absolute;left:9488;top:17343;width:43942;height:13;visibility:visible;mso-wrap-style:square;v-text-anchor:top" coordsize="4394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" path="m1521805,r589870,em760142,r591391,em2281947,r589870,em3803752,r589870,em,l589870,em3042089,r591391,e" filled="f" strokecolor="#d9d9d9">
                  <v:path arrowok="t" o:connecttype="custom" o:connectlocs="15218,0;21117,0;7601,0;13515,0;22819,0;28718,0;38038,0;43936,0;0,0;5899,0;30421,0;36335,0" o:connectangles="0,0,0,0,0,0,0,0,0,0,0,0"/>
                </v:shape>
                <v:shape id="Graphic 29" o:spid="_x0000_s1056" style="position:absolute;left:3757;top:14753;width:53244;height:12;visibility:visible;mso-wrap-style:square;v-text-anchor:top" coordsize="5324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" path="m3615237,r591390,em1333289,r591391,em4376899,r947138,em,l402875,em2094952,r589870,em2855094,r589871,em573147,r589870,e" filled="f" strokecolor="#d9d9d9">
                  <v:path arrowok="t" o:connecttype="custom" o:connectlocs="36152,0;42066,0;13333,0;19247,0;43768,0;53240,0;0,0;4029,0;20949,0;26848,0;28551,0;34449,0;5731,0;11630,0" o:connectangles="0,0,0,0,0,0,0,0,0,0,0,0,0,0"/>
                </v:shape>
                <v:shape id="Graphic 30" o:spid="_x0000_s1057" style="position:absolute;left:3757;top:12147;width:4032;height:12;visibility:visible;mso-wrap-style:square;v-text-anchor:top" coordsize="403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" path="m,l402875,e" filled="f" strokecolor="#d9d9d9">
                  <v:path arrowok="t" o:connecttype="custom" o:connectlocs="0,0;4029,0" o:connectangles="0,0"/>
                </v:shape>
                <v:shape id="Graphic 31" o:spid="_x0000_s1058" style="position:absolute;left:9488;top:9541;width:47511;height:2610;visibility:visible;mso-wrap-style:square;v-text-anchor:top" coordsize="47510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" path="m1521805,260594r589870,em2281947,260594r589870,em,260594r1351533,em3042089,260594r1708800,em2281947,l4750889,em1521805,r589870,em,l1351533,e" filled="f" strokecolor="#d9d9d9">
                  <v:path arrowok="t" o:connecttype="custom" o:connectlocs="15218,2606;21117,2606;22820,2606;28718,2606;0,2606;13515,2606;30421,2606;47509,2606;22820,0;47509,0;15218,0;21117,0;0,0;13515,0" o:connectangles="0,0,0,0,0,0,0,0,0,0,0,0,0,0"/>
                </v:shape>
                <v:shape id="Graphic 32" o:spid="_x0000_s1059" style="position:absolute;left:3757;top:6935;width:53244;height:2610;visibility:visible;mso-wrap-style:square;v-text-anchor:top" coordsize="532447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" path="m,260594r402875,em2855094,l5324037,em,l2684822,e" filled="f" strokecolor="#d9d9d9">
                  <v:path arrowok="t" o:connecttype="custom" o:connectlocs="0,2606;4029,2606;28551,0;53240,0;0,0;26848,0" o:connectangles="0,0,0,0,0,0"/>
                </v:shape>
                <v:shape id="Graphic 33" o:spid="_x0000_s1060" style="position:absolute;left:3757;top:4344;width:53244;height:13;visibility:visible;mso-wrap-style:square;v-text-anchor:top" coordsize="5324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" path="m,l5324037,e" filled="f" strokecolor="#d9d9d9" strokeweight=".26456mm">
                  <v:path arrowok="t" o:connecttype="custom" o:connectlocs="0,0;53240,0" o:connectangles="0,0"/>
                </v:shape>
                <v:shape id="Graphic 34" o:spid="_x0000_s1061" style="position:absolute;left:5611;top:22891;width:47359;height:2261;visibility:visible;mso-wrap-style:square;v-text-anchor:top" coordsize="4735830,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" path="m171792,137147l,137147r,88392l171792,225539r,-88392xem931926,169151r-170269,l761657,225539r170269,l931926,169151xem1692071,82283r-170269,l1521802,225539r170269,l1692071,82283xem2453741,l2281948,r,225539l2453741,225539,2453741,xem3213874,45720r-170269,l3043605,225539r170269,l3213874,45720xem3974020,103619r-170269,l3803751,225539r170269,l3974020,103619xem4735690,89903r-171793,l4563897,225539r171793,l4735690,89903xe" fillcolor="#155f82" stroked="f">
                  <v:path arrowok="t" o:connecttype="custom" o:connectlocs="1718,1372;0,1372;0,2256;1718,2256;1718,1372;9319,1692;7617,1692;7617,2256;9319,2256;9319,1692;16921,823;15218,823;15218,2256;16921,2256;16921,823;24538,0;22820,0;22820,2256;24538,2256;24538,0;32139,457;30436,457;30436,2256;32139,2256;32139,457;39741,1036;38038,1036;38038,2256;39741,2256;39741,1036;47358,899;45640,899;45640,2256;47358,2256;47358,899" o:connectangles="0,0,0,0,0,0,0,0,0,0,0,0,0,0,0,0,0,0,0,0,0,0,0,0,0,0,0,0,0,0,0,0,0,0,0"/>
                </v:shape>
                <v:shape id="Graphic 35" o:spid="_x0000_s1062" style="position:absolute;left:7785;top:6112;width:47346;height:19037;visibility:visible;mso-wrap-style:square;v-text-anchor:top" coordsize="4734560,190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" path="m170268,230124l,230124,,1903463r170268,l170268,230124xem930414,839698r-170269,l760145,1903463r170269,l930414,839698xem1692071,193548r-170269,l1521802,1903463r170269,l1692071,193548xem2452217,l2281948,r,1903463l2452217,1903463,2452217,xem3212363,440423r-170269,l3042094,1903463r170269,l3212363,440423xem3974020,637019r-170269,l3803751,1903463r170269,l3974020,637019xem4734166,1016482r-170269,l4563897,1903463r170269,l4734166,1016482xe" fillcolor="#e97031" stroked="f">
                  <v:path arrowok="t" o:connecttype="custom" o:connectlocs="1703,2301;0,2301;0,19034;1703,19034;1703,2301;9304,8397;7602,8397;7602,19034;9304,19034;9304,8397;16921,1935;15218,1935;15218,19034;16921,19034;16921,1935;24522,0;22820,0;22820,19034;24522,19034;24522,0;32124,4404;30421,4404;30421,19034;32124,19034;32124,4404;39741,6370;38038,6370;38038,19034;39741,19034;39741,6370;47342,10165;45639,10165;45639,19034;47342,19034;47342,10165" o:connectangles="0,0,0,0,0,0,0,0,0,0,0,0,0,0,0,0,0,0,0,0,0,0,0,0,0,0,0,0,0,0,0,0,0,0,0"/>
                </v:shape>
                <v:shape id="Graphic 36" o:spid="_x0000_s1063" style="position:absolute;left:3757;top:25146;width:53244;height:13;visibility:visible;mso-wrap-style:square;v-text-anchor:top" coordsize="5324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" path="m,l5324037,e" filled="f" strokecolor="#d9d9d9" strokeweight=".26456mm">
                  <v:path arrowok="t" o:connecttype="custom" o:connectlocs="0,0;53240,0" o:connectangles="0,0"/>
                </v:shape>
                <v:shape id="Graphic 37" o:spid="_x0000_s1064" style="position:absolute;left:16269;top:31608;width:577;height:584;visibility:visible;mso-wrap-style:square;v-text-anchor:top" coordsize="5778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" path="m57770,l,,,57909r57770,l57770,xe" fillcolor="#155f82" stroked="f">
                  <v:path arrowok="t" o:connecttype="custom" o:connectlocs="577,0;0,0;0,579;577,579;577,0" o:connectangles="0,0,0,0,0"/>
                </v:shape>
                <v:shape id="Graphic 38" o:spid="_x0000_s1065" style="position:absolute;left:30392;top:31608;width:578;height:584;visibility:visible;mso-wrap-style:square;v-text-anchor:top" coordsize="5778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" path="m57770,l,,,57909r57770,l57770,xe" fillcolor="#e97031" stroked="f">
                  <v:path arrowok="t" o:connecttype="custom" o:connectlocs="578,0;0,0;0,579;578,579;578,0" o:connectangles="0,0,0,0,0"/>
                </v:shape>
                <v:shape id="Graphic 39" o:spid="_x0000_s1066" style="position:absolute;left:47;top:47;width:58338;height:33623;visibility:visible;mso-wrap-style:square;v-text-anchor:top" coordsize="5833745,336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" path="m,3361823r5833332,l5833332,,,,,3361823xe" filled="f" strokecolor="#d9d9d9" strokeweight=".26439mm">
                  <v:path arrowok="t" o:connecttype="custom" o:connectlocs="0,33618;58334,33618;58334,0;0,0;0,33618" o:connectangles="0,0,0,0,0"/>
                </v:shape>
                <v:shape id="Textbox 40" o:spid="_x0000_s1067" type="#_x0000_t202" style="position:absolute;left:31219;top:31256;width:11500;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rsidR="0064059F" w:rsidRDefault="0064059F" w:rsidP="00842CC4">
                        <w:pPr>
                          <w:rPr>
                            <w:rFonts w:ascii="Arial MT"/>
                            <w:sz w:val="16"/>
                          </w:rPr>
                        </w:pPr>
                        <w:r>
                          <w:rPr>
                            <w:rFonts w:ascii="Arial MT"/>
                            <w:color w:val="333333"/>
                            <w:sz w:val="16"/>
                          </w:rPr>
                          <w:t>Aktiviteti</w:t>
                        </w:r>
                        <w:r>
                          <w:rPr>
                            <w:rFonts w:ascii="Arial MT"/>
                            <w:color w:val="333333"/>
                            <w:spacing w:val="2"/>
                            <w:sz w:val="16"/>
                          </w:rPr>
                          <w:t xml:space="preserve"> </w:t>
                        </w:r>
                        <w:r>
                          <w:rPr>
                            <w:rFonts w:ascii="Arial MT"/>
                            <w:color w:val="333333"/>
                            <w:sz w:val="16"/>
                          </w:rPr>
                          <w:t>beta</w:t>
                        </w:r>
                        <w:r>
                          <w:rPr>
                            <w:rFonts w:ascii="Arial MT"/>
                            <w:color w:val="333333"/>
                            <w:spacing w:val="-3"/>
                            <w:sz w:val="16"/>
                          </w:rPr>
                          <w:t xml:space="preserve"> </w:t>
                        </w:r>
                        <w:r>
                          <w:rPr>
                            <w:rFonts w:ascii="Arial MT"/>
                            <w:color w:val="333333"/>
                            <w:sz w:val="16"/>
                          </w:rPr>
                          <w:t>total</w:t>
                        </w:r>
                        <w:r>
                          <w:rPr>
                            <w:rFonts w:ascii="Arial MT"/>
                            <w:color w:val="333333"/>
                            <w:spacing w:val="10"/>
                            <w:sz w:val="16"/>
                          </w:rPr>
                          <w:t xml:space="preserve"> </w:t>
                        </w:r>
                        <w:r>
                          <w:rPr>
                            <w:rFonts w:ascii="Arial MT"/>
                            <w:color w:val="333333"/>
                            <w:spacing w:val="-2"/>
                            <w:sz w:val="16"/>
                          </w:rPr>
                          <w:t>mBq/l</w:t>
                        </w:r>
                      </w:p>
                    </w:txbxContent>
                  </v:textbox>
                </v:shape>
                <v:shape id="Textbox 41" o:spid="_x0000_s1068" type="#_x0000_t202" style="position:absolute;left:17096;top:31256;width:11481;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rsidR="0064059F" w:rsidRDefault="0064059F" w:rsidP="00842CC4">
                        <w:pPr>
                          <w:rPr>
                            <w:rFonts w:ascii="Arial MT"/>
                            <w:sz w:val="16"/>
                          </w:rPr>
                        </w:pPr>
                        <w:r>
                          <w:rPr>
                            <w:rFonts w:ascii="Arial MT"/>
                            <w:color w:val="333333"/>
                            <w:sz w:val="16"/>
                          </w:rPr>
                          <w:t>Aktiviteti</w:t>
                        </w:r>
                        <w:r>
                          <w:rPr>
                            <w:rFonts w:ascii="Arial MT"/>
                            <w:color w:val="333333"/>
                            <w:spacing w:val="2"/>
                            <w:sz w:val="16"/>
                          </w:rPr>
                          <w:t xml:space="preserve"> </w:t>
                        </w:r>
                        <w:r>
                          <w:rPr>
                            <w:rFonts w:ascii="Arial MT"/>
                            <w:color w:val="333333"/>
                            <w:sz w:val="16"/>
                          </w:rPr>
                          <w:t>alfa</w:t>
                        </w:r>
                        <w:r>
                          <w:rPr>
                            <w:rFonts w:ascii="Arial MT"/>
                            <w:color w:val="333333"/>
                            <w:spacing w:val="-4"/>
                            <w:sz w:val="16"/>
                          </w:rPr>
                          <w:t xml:space="preserve"> </w:t>
                        </w:r>
                        <w:r>
                          <w:rPr>
                            <w:rFonts w:ascii="Arial MT"/>
                            <w:color w:val="333333"/>
                            <w:sz w:val="16"/>
                          </w:rPr>
                          <w:t>total</w:t>
                        </w:r>
                        <w:r>
                          <w:rPr>
                            <w:rFonts w:ascii="Arial MT"/>
                            <w:color w:val="333333"/>
                            <w:spacing w:val="5"/>
                            <w:sz w:val="16"/>
                          </w:rPr>
                          <w:t xml:space="preserve"> </w:t>
                        </w:r>
                        <w:r>
                          <w:rPr>
                            <w:rFonts w:ascii="Arial MT"/>
                            <w:color w:val="333333"/>
                            <w:spacing w:val="-2"/>
                            <w:sz w:val="16"/>
                          </w:rPr>
                          <w:t>mBq/L</w:t>
                        </w:r>
                      </w:p>
                    </w:txbxContent>
                  </v:textbox>
                </v:shape>
                <v:shape id="Textbox 42" o:spid="_x0000_s1069" type="#_x0000_t202" style="position:absolute;left:41949;top:27315;width:14611;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rsidR="0064059F" w:rsidRDefault="0064059F" w:rsidP="00842CC4">
                        <w:pPr>
                          <w:spacing w:line="252" w:lineRule="auto"/>
                          <w:ind w:left="114" w:right="11" w:hanging="115"/>
                          <w:rPr>
                            <w:rFonts w:ascii="Arial MT" w:hAnsi="Arial MT" w:hint="eastAsia"/>
                            <w:sz w:val="18"/>
                          </w:rPr>
                        </w:pPr>
                        <w:r>
                          <w:rPr>
                            <w:rFonts w:ascii="Arial MT" w:hAnsi="Arial MT"/>
                            <w:color w:val="333333"/>
                            <w:sz w:val="18"/>
                          </w:rPr>
                          <w:t>Shkumbin</w:t>
                        </w:r>
                        <w:r>
                          <w:rPr>
                            <w:rFonts w:ascii="Arial MT" w:hAnsi="Arial MT"/>
                            <w:color w:val="333333"/>
                            <w:spacing w:val="-14"/>
                            <w:sz w:val="18"/>
                          </w:rPr>
                          <w:t xml:space="preserve"> </w:t>
                        </w:r>
                        <w:r>
                          <w:rPr>
                            <w:rFonts w:ascii="Arial MT" w:hAnsi="Arial MT"/>
                            <w:color w:val="333333"/>
                            <w:sz w:val="18"/>
                          </w:rPr>
                          <w:t>(Ura</w:t>
                        </w:r>
                        <w:r>
                          <w:rPr>
                            <w:rFonts w:ascii="Arial MT" w:hAnsi="Arial MT"/>
                            <w:color w:val="333333"/>
                            <w:spacing w:val="-8"/>
                            <w:sz w:val="18"/>
                          </w:rPr>
                          <w:t xml:space="preserve"> </w:t>
                        </w:r>
                        <w:r>
                          <w:rPr>
                            <w:rFonts w:ascii="Arial MT" w:hAnsi="Arial MT"/>
                            <w:color w:val="333333"/>
                            <w:sz w:val="18"/>
                          </w:rPr>
                          <w:t>(Ura</w:t>
                        </w:r>
                        <w:r>
                          <w:rPr>
                            <w:rFonts w:ascii="Arial MT" w:hAnsi="Arial MT"/>
                            <w:color w:val="333333"/>
                            <w:spacing w:val="-19"/>
                            <w:sz w:val="18"/>
                          </w:rPr>
                          <w:t xml:space="preserve"> </w:t>
                        </w:r>
                        <w:r>
                          <w:rPr>
                            <w:rFonts w:ascii="Arial MT" w:hAnsi="Arial MT"/>
                            <w:color w:val="333333"/>
                            <w:sz w:val="18"/>
                          </w:rPr>
                          <w:t>e</w:t>
                        </w:r>
                        <w:r>
                          <w:rPr>
                            <w:rFonts w:ascii="Arial MT" w:hAnsi="Arial MT"/>
                            <w:color w:val="333333"/>
                            <w:spacing w:val="-19"/>
                            <w:sz w:val="18"/>
                          </w:rPr>
                          <w:t xml:space="preserve"> </w:t>
                        </w:r>
                        <w:r>
                          <w:rPr>
                            <w:rFonts w:ascii="Arial MT" w:hAnsi="Arial MT"/>
                            <w:color w:val="333333"/>
                            <w:sz w:val="18"/>
                          </w:rPr>
                          <w:t xml:space="preserve">Mifolit) </w:t>
                        </w:r>
                        <w:r>
                          <w:rPr>
                            <w:rFonts w:ascii="Arial MT" w:hAnsi="Arial MT"/>
                            <w:color w:val="333333"/>
                            <w:spacing w:val="-2"/>
                            <w:sz w:val="18"/>
                          </w:rPr>
                          <w:t>Rrogozhinë)</w:t>
                        </w:r>
                      </w:p>
                    </w:txbxContent>
                  </v:textbox>
                </v:shape>
                <v:shape id="Textbox 43" o:spid="_x0000_s1070" type="#_x0000_t202" style="position:absolute;left:50393;top:25916;width:556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rsidR="0064059F" w:rsidRDefault="0064059F" w:rsidP="00842CC4">
                        <w:pPr>
                          <w:spacing w:line="202" w:lineRule="exact"/>
                          <w:rPr>
                            <w:rFonts w:ascii="Arial MT" w:hAnsi="Arial MT" w:hint="eastAsia"/>
                            <w:sz w:val="18"/>
                          </w:rPr>
                        </w:pPr>
                        <w:r>
                          <w:rPr>
                            <w:rFonts w:ascii="Arial MT" w:hAnsi="Arial MT"/>
                            <w:color w:val="333333"/>
                            <w:spacing w:val="-4"/>
                            <w:sz w:val="18"/>
                          </w:rPr>
                          <w:t>Lumi</w:t>
                        </w:r>
                        <w:r>
                          <w:rPr>
                            <w:rFonts w:ascii="Arial MT" w:hAnsi="Arial MT"/>
                            <w:color w:val="333333"/>
                            <w:spacing w:val="-8"/>
                            <w:sz w:val="18"/>
                          </w:rPr>
                          <w:t xml:space="preserve"> </w:t>
                        </w:r>
                        <w:r>
                          <w:rPr>
                            <w:rFonts w:ascii="Arial MT" w:hAnsi="Arial MT"/>
                            <w:color w:val="333333"/>
                            <w:spacing w:val="-2"/>
                            <w:sz w:val="18"/>
                          </w:rPr>
                          <w:t>Vjosë</w:t>
                        </w:r>
                      </w:p>
                    </w:txbxContent>
                  </v:textbox>
                </v:shape>
                <v:shape id="Textbox 44" o:spid="_x0000_s1071" type="#_x0000_t202" style="position:absolute;left:44379;top:25916;width:255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rsidR="0064059F" w:rsidRDefault="0064059F" w:rsidP="00842CC4">
                        <w:pPr>
                          <w:spacing w:line="202" w:lineRule="exact"/>
                          <w:rPr>
                            <w:rFonts w:ascii="Arial MT"/>
                            <w:sz w:val="18"/>
                          </w:rPr>
                        </w:pPr>
                        <w:r>
                          <w:rPr>
                            <w:rFonts w:ascii="Arial MT"/>
                            <w:color w:val="333333"/>
                            <w:spacing w:val="-4"/>
                            <w:sz w:val="18"/>
                          </w:rPr>
                          <w:t>Lumi</w:t>
                        </w:r>
                      </w:p>
                    </w:txbxContent>
                  </v:textbox>
                </v:shape>
                <v:shape id="Textbox 45" o:spid="_x0000_s1072" type="#_x0000_t202" style="position:absolute;left:35506;top:25916;width:5106;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rsidR="0064059F" w:rsidRDefault="0064059F" w:rsidP="00842CC4">
                        <w:pPr>
                          <w:spacing w:line="252" w:lineRule="auto"/>
                          <w:ind w:right="18" w:hanging="4"/>
                          <w:jc w:val="center"/>
                          <w:rPr>
                            <w:rFonts w:ascii="Arial MT" w:hAnsi="Arial MT" w:hint="eastAsia"/>
                            <w:sz w:val="18"/>
                          </w:rPr>
                        </w:pPr>
                        <w:r>
                          <w:rPr>
                            <w:rFonts w:ascii="Arial MT" w:hAnsi="Arial MT"/>
                            <w:color w:val="333333"/>
                            <w:spacing w:val="-4"/>
                            <w:sz w:val="18"/>
                          </w:rPr>
                          <w:t xml:space="preserve">Lumi Shkumbin </w:t>
                        </w:r>
                        <w:r>
                          <w:rPr>
                            <w:rFonts w:ascii="Arial MT" w:hAnsi="Arial MT"/>
                            <w:color w:val="333333"/>
                            <w:spacing w:val="-2"/>
                            <w:sz w:val="18"/>
                          </w:rPr>
                          <w:t>(Qukës)</w:t>
                        </w:r>
                      </w:p>
                    </w:txbxContent>
                  </v:textbox>
                </v:shape>
                <v:shape id="Textbox 46" o:spid="_x0000_s1073" type="#_x0000_t202" style="position:absolute;left:5110;top:25916;width:28410;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rsidR="0064059F" w:rsidRDefault="0064059F" w:rsidP="00842CC4">
                        <w:pPr>
                          <w:tabs>
                            <w:tab w:val="left" w:pos="1042"/>
                            <w:tab w:val="left" w:pos="2336"/>
                            <w:tab w:val="left" w:pos="3474"/>
                            <w:tab w:val="left" w:pos="3553"/>
                            <w:tab w:val="left" w:pos="3750"/>
                          </w:tabs>
                          <w:spacing w:line="252" w:lineRule="auto"/>
                          <w:ind w:right="18" w:firstLine="12"/>
                          <w:rPr>
                            <w:rFonts w:ascii="Arial MT" w:hAnsi="Arial MT" w:hint="eastAsia"/>
                            <w:sz w:val="18"/>
                          </w:rPr>
                        </w:pPr>
                        <w:r>
                          <w:rPr>
                            <w:rFonts w:ascii="Arial MT" w:hAnsi="Arial MT"/>
                            <w:color w:val="333333"/>
                            <w:sz w:val="18"/>
                          </w:rPr>
                          <w:t>Lumi</w:t>
                        </w:r>
                        <w:r>
                          <w:rPr>
                            <w:rFonts w:ascii="Arial MT" w:hAnsi="Arial MT"/>
                            <w:color w:val="333333"/>
                            <w:spacing w:val="-13"/>
                            <w:sz w:val="18"/>
                          </w:rPr>
                          <w:t xml:space="preserve"> </w:t>
                        </w:r>
                        <w:r>
                          <w:rPr>
                            <w:rFonts w:ascii="Arial MT" w:hAnsi="Arial MT"/>
                            <w:color w:val="333333"/>
                            <w:sz w:val="18"/>
                          </w:rPr>
                          <w:t>Drin</w:t>
                        </w:r>
                        <w:r>
                          <w:rPr>
                            <w:rFonts w:ascii="Arial MT" w:hAnsi="Arial MT"/>
                            <w:color w:val="333333"/>
                            <w:sz w:val="18"/>
                          </w:rPr>
                          <w:tab/>
                          <w:t>Lumi Mat (Ura</w:t>
                        </w:r>
                        <w:r>
                          <w:rPr>
                            <w:rFonts w:ascii="Arial MT" w:hAnsi="Arial MT"/>
                            <w:color w:val="333333"/>
                            <w:sz w:val="18"/>
                          </w:rPr>
                          <w:tab/>
                          <w:t>Lumi</w:t>
                        </w:r>
                        <w:r>
                          <w:rPr>
                            <w:rFonts w:ascii="Arial MT" w:hAnsi="Arial MT"/>
                            <w:color w:val="333333"/>
                            <w:spacing w:val="-15"/>
                            <w:sz w:val="18"/>
                          </w:rPr>
                          <w:t xml:space="preserve"> </w:t>
                        </w:r>
                        <w:r>
                          <w:rPr>
                            <w:rFonts w:ascii="Arial MT" w:hAnsi="Arial MT"/>
                            <w:color w:val="333333"/>
                            <w:sz w:val="18"/>
                          </w:rPr>
                          <w:t>Erzen</w:t>
                        </w:r>
                        <w:r>
                          <w:rPr>
                            <w:rFonts w:ascii="Arial MT" w:hAnsi="Arial MT"/>
                            <w:color w:val="333333"/>
                            <w:sz w:val="18"/>
                          </w:rPr>
                          <w:tab/>
                        </w:r>
                        <w:r>
                          <w:rPr>
                            <w:rFonts w:ascii="Arial MT" w:hAnsi="Arial MT"/>
                            <w:color w:val="333333"/>
                            <w:sz w:val="18"/>
                          </w:rPr>
                          <w:tab/>
                        </w:r>
                        <w:r>
                          <w:rPr>
                            <w:rFonts w:ascii="Arial MT" w:hAnsi="Arial MT"/>
                            <w:color w:val="333333"/>
                            <w:spacing w:val="-2"/>
                            <w:sz w:val="18"/>
                          </w:rPr>
                          <w:t>Lumi</w:t>
                        </w:r>
                        <w:r>
                          <w:rPr>
                            <w:rFonts w:ascii="Arial MT" w:hAnsi="Arial MT"/>
                            <w:color w:val="333333"/>
                            <w:spacing w:val="-12"/>
                            <w:sz w:val="18"/>
                          </w:rPr>
                          <w:t xml:space="preserve"> </w:t>
                        </w:r>
                        <w:r>
                          <w:rPr>
                            <w:rFonts w:ascii="Arial MT" w:hAnsi="Arial MT"/>
                            <w:color w:val="333333"/>
                            <w:spacing w:val="-2"/>
                            <w:sz w:val="18"/>
                          </w:rPr>
                          <w:t>Erzen (Baçallëk,</w:t>
                        </w:r>
                        <w:r>
                          <w:rPr>
                            <w:rFonts w:ascii="Arial MT" w:hAnsi="Arial MT"/>
                            <w:color w:val="333333"/>
                            <w:sz w:val="18"/>
                          </w:rPr>
                          <w:tab/>
                          <w:t xml:space="preserve"> e Re në Milot)</w:t>
                        </w:r>
                        <w:r>
                          <w:rPr>
                            <w:rFonts w:ascii="Arial MT" w:hAnsi="Arial MT"/>
                            <w:color w:val="333333"/>
                            <w:spacing w:val="40"/>
                            <w:sz w:val="18"/>
                          </w:rPr>
                          <w:t xml:space="preserve"> </w:t>
                        </w:r>
                        <w:r>
                          <w:rPr>
                            <w:rFonts w:ascii="Arial MT" w:hAnsi="Arial MT"/>
                            <w:color w:val="333333"/>
                            <w:sz w:val="18"/>
                          </w:rPr>
                          <w:t>(Ura e Beshirit)</w:t>
                        </w:r>
                        <w:r>
                          <w:rPr>
                            <w:rFonts w:ascii="Arial MT" w:hAnsi="Arial MT"/>
                            <w:color w:val="333333"/>
                            <w:sz w:val="18"/>
                          </w:rPr>
                          <w:tab/>
                        </w:r>
                        <w:r>
                          <w:rPr>
                            <w:rFonts w:ascii="Arial MT" w:hAnsi="Arial MT"/>
                            <w:color w:val="333333"/>
                            <w:sz w:val="18"/>
                          </w:rPr>
                          <w:tab/>
                          <w:t>(Ura</w:t>
                        </w:r>
                        <w:r>
                          <w:rPr>
                            <w:rFonts w:ascii="Arial MT" w:hAnsi="Arial MT"/>
                            <w:color w:val="333333"/>
                            <w:spacing w:val="-19"/>
                            <w:sz w:val="18"/>
                          </w:rPr>
                          <w:t xml:space="preserve"> </w:t>
                        </w:r>
                        <w:r>
                          <w:rPr>
                            <w:rFonts w:ascii="Arial MT" w:hAnsi="Arial MT"/>
                            <w:color w:val="333333"/>
                            <w:sz w:val="18"/>
                          </w:rPr>
                          <w:t xml:space="preserve">e </w:t>
                        </w:r>
                        <w:r>
                          <w:rPr>
                            <w:rFonts w:ascii="Arial MT" w:hAnsi="Arial MT"/>
                            <w:color w:val="333333"/>
                            <w:spacing w:val="-2"/>
                            <w:sz w:val="18"/>
                          </w:rPr>
                          <w:t>Shkodër)</w:t>
                        </w:r>
                        <w:r>
                          <w:rPr>
                            <w:rFonts w:ascii="Arial MT" w:hAnsi="Arial MT"/>
                            <w:color w:val="333333"/>
                            <w:sz w:val="18"/>
                          </w:rPr>
                          <w:tab/>
                        </w:r>
                        <w:r>
                          <w:rPr>
                            <w:rFonts w:ascii="Arial MT" w:hAnsi="Arial MT"/>
                            <w:color w:val="333333"/>
                            <w:sz w:val="18"/>
                          </w:rPr>
                          <w:tab/>
                        </w:r>
                        <w:r>
                          <w:rPr>
                            <w:rFonts w:ascii="Arial MT" w:hAnsi="Arial MT"/>
                            <w:color w:val="333333"/>
                            <w:sz w:val="18"/>
                          </w:rPr>
                          <w:tab/>
                        </w:r>
                        <w:r>
                          <w:rPr>
                            <w:rFonts w:ascii="Arial MT" w:hAnsi="Arial MT"/>
                            <w:color w:val="333333"/>
                            <w:spacing w:val="-2"/>
                            <w:sz w:val="18"/>
                          </w:rPr>
                          <w:t>Peshkatarit)</w:t>
                        </w:r>
                      </w:p>
                    </w:txbxContent>
                  </v:textbox>
                </v:shape>
                <v:shape id="Textbox 47" o:spid="_x0000_s1074" type="#_x0000_t202" style="position:absolute;left:880;top:3621;width:1981;height:22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rsidR="0064059F" w:rsidRDefault="0064059F" w:rsidP="00842CC4">
                        <w:pPr>
                          <w:spacing w:line="201" w:lineRule="exact"/>
                          <w:rPr>
                            <w:rFonts w:ascii="Arial MT"/>
                            <w:sz w:val="18"/>
                          </w:rPr>
                        </w:pPr>
                        <w:r>
                          <w:rPr>
                            <w:rFonts w:ascii="Arial MT"/>
                            <w:color w:val="333333"/>
                            <w:spacing w:val="-5"/>
                            <w:sz w:val="18"/>
                          </w:rPr>
                          <w:t>800</w:t>
                        </w:r>
                      </w:p>
                      <w:p w:rsidR="0064059F" w:rsidRDefault="0064059F" w:rsidP="00842CC4">
                        <w:pPr>
                          <w:spacing w:before="203"/>
                          <w:ind w:right="22"/>
                          <w:jc w:val="right"/>
                          <w:rPr>
                            <w:rFonts w:ascii="Arial MT"/>
                            <w:sz w:val="18"/>
                          </w:rPr>
                        </w:pPr>
                        <w:r>
                          <w:rPr>
                            <w:rFonts w:ascii="Arial MT"/>
                            <w:color w:val="333333"/>
                            <w:spacing w:val="-8"/>
                            <w:sz w:val="18"/>
                          </w:rPr>
                          <w:t>700</w:t>
                        </w:r>
                      </w:p>
                      <w:p w:rsidR="0064059F" w:rsidRDefault="0064059F" w:rsidP="00842CC4">
                        <w:pPr>
                          <w:spacing w:before="203"/>
                          <w:ind w:right="22"/>
                          <w:jc w:val="right"/>
                          <w:rPr>
                            <w:rFonts w:ascii="Arial MT"/>
                            <w:sz w:val="18"/>
                          </w:rPr>
                        </w:pPr>
                        <w:r>
                          <w:rPr>
                            <w:rFonts w:ascii="Arial MT"/>
                            <w:color w:val="333333"/>
                            <w:spacing w:val="-8"/>
                            <w:sz w:val="18"/>
                          </w:rPr>
                          <w:t>600</w:t>
                        </w:r>
                      </w:p>
                      <w:p w:rsidR="0064059F" w:rsidRDefault="0064059F" w:rsidP="00842CC4">
                        <w:pPr>
                          <w:spacing w:before="203"/>
                          <w:ind w:right="22"/>
                          <w:jc w:val="right"/>
                          <w:rPr>
                            <w:rFonts w:ascii="Arial MT"/>
                            <w:sz w:val="18"/>
                          </w:rPr>
                        </w:pPr>
                        <w:r>
                          <w:rPr>
                            <w:rFonts w:ascii="Arial MT"/>
                            <w:color w:val="333333"/>
                            <w:spacing w:val="-8"/>
                            <w:sz w:val="18"/>
                          </w:rPr>
                          <w:t>500</w:t>
                        </w:r>
                      </w:p>
                      <w:p w:rsidR="0064059F" w:rsidRDefault="0064059F" w:rsidP="00842CC4">
                        <w:pPr>
                          <w:spacing w:before="203"/>
                          <w:ind w:right="22"/>
                          <w:jc w:val="right"/>
                          <w:rPr>
                            <w:rFonts w:ascii="Arial MT"/>
                            <w:sz w:val="18"/>
                          </w:rPr>
                        </w:pPr>
                        <w:r>
                          <w:rPr>
                            <w:rFonts w:ascii="Arial MT"/>
                            <w:color w:val="333333"/>
                            <w:spacing w:val="-8"/>
                            <w:sz w:val="18"/>
                          </w:rPr>
                          <w:t>400</w:t>
                        </w:r>
                      </w:p>
                      <w:p w:rsidR="0064059F" w:rsidRDefault="0064059F" w:rsidP="00842CC4">
                        <w:pPr>
                          <w:spacing w:before="202"/>
                          <w:ind w:right="22"/>
                          <w:jc w:val="right"/>
                          <w:rPr>
                            <w:rFonts w:ascii="Arial MT"/>
                            <w:sz w:val="18"/>
                          </w:rPr>
                        </w:pPr>
                        <w:r>
                          <w:rPr>
                            <w:rFonts w:ascii="Arial MT"/>
                            <w:color w:val="333333"/>
                            <w:spacing w:val="-8"/>
                            <w:sz w:val="18"/>
                          </w:rPr>
                          <w:t>300</w:t>
                        </w:r>
                      </w:p>
                      <w:p w:rsidR="0064059F" w:rsidRDefault="0064059F" w:rsidP="00842CC4">
                        <w:pPr>
                          <w:spacing w:before="203"/>
                          <w:ind w:right="22"/>
                          <w:jc w:val="right"/>
                          <w:rPr>
                            <w:rFonts w:ascii="Arial MT"/>
                            <w:sz w:val="18"/>
                          </w:rPr>
                        </w:pPr>
                        <w:r>
                          <w:rPr>
                            <w:rFonts w:ascii="Arial MT"/>
                            <w:color w:val="333333"/>
                            <w:spacing w:val="-8"/>
                            <w:sz w:val="18"/>
                          </w:rPr>
                          <w:t>200</w:t>
                        </w:r>
                      </w:p>
                      <w:p w:rsidR="0064059F" w:rsidRDefault="0064059F" w:rsidP="00842CC4">
                        <w:pPr>
                          <w:spacing w:before="203"/>
                          <w:ind w:right="22"/>
                          <w:jc w:val="right"/>
                          <w:rPr>
                            <w:rFonts w:ascii="Arial MT"/>
                            <w:sz w:val="18"/>
                          </w:rPr>
                        </w:pPr>
                        <w:r>
                          <w:rPr>
                            <w:rFonts w:ascii="Arial MT"/>
                            <w:color w:val="333333"/>
                            <w:spacing w:val="-8"/>
                            <w:sz w:val="18"/>
                          </w:rPr>
                          <w:t>100</w:t>
                        </w:r>
                      </w:p>
                      <w:p w:rsidR="0064059F" w:rsidRDefault="0064059F" w:rsidP="00842CC4">
                        <w:pPr>
                          <w:spacing w:before="203"/>
                          <w:ind w:right="18"/>
                          <w:jc w:val="right"/>
                          <w:rPr>
                            <w:rFonts w:ascii="Arial MT"/>
                            <w:sz w:val="18"/>
                          </w:rPr>
                        </w:pPr>
                        <w:r>
                          <w:rPr>
                            <w:rFonts w:ascii="Arial MT"/>
                            <w:color w:val="333333"/>
                            <w:spacing w:val="-10"/>
                            <w:sz w:val="18"/>
                          </w:rPr>
                          <w:t>0</w:t>
                        </w:r>
                      </w:p>
                    </w:txbxContent>
                  </v:textbox>
                </v:shape>
                <v:shape id="Textbox 48" o:spid="_x0000_s1075" type="#_x0000_t202" style="position:absolute;left:16688;top:1070;width:2520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rsidR="0064059F" w:rsidRDefault="0064059F" w:rsidP="00842CC4">
                        <w:pPr>
                          <w:spacing w:line="266" w:lineRule="exact"/>
                          <w:rPr>
                            <w:sz w:val="24"/>
                          </w:rPr>
                        </w:pPr>
                        <w:r>
                          <w:rPr>
                            <w:color w:val="333333"/>
                            <w:sz w:val="24"/>
                          </w:rPr>
                          <w:t>Aktiviteti</w:t>
                        </w:r>
                        <w:r>
                          <w:rPr>
                            <w:color w:val="333333"/>
                            <w:spacing w:val="-9"/>
                            <w:sz w:val="24"/>
                          </w:rPr>
                          <w:t xml:space="preserve"> </w:t>
                        </w:r>
                        <w:r>
                          <w:rPr>
                            <w:color w:val="333333"/>
                            <w:sz w:val="24"/>
                          </w:rPr>
                          <w:t>alfa</w:t>
                        </w:r>
                        <w:r>
                          <w:rPr>
                            <w:color w:val="333333"/>
                            <w:spacing w:val="-6"/>
                            <w:sz w:val="24"/>
                          </w:rPr>
                          <w:t xml:space="preserve"> </w:t>
                        </w:r>
                        <w:r>
                          <w:rPr>
                            <w:color w:val="333333"/>
                            <w:sz w:val="24"/>
                          </w:rPr>
                          <w:t>dhe</w:t>
                        </w:r>
                        <w:r>
                          <w:rPr>
                            <w:color w:val="333333"/>
                            <w:spacing w:val="-5"/>
                            <w:sz w:val="24"/>
                          </w:rPr>
                          <w:t xml:space="preserve"> </w:t>
                        </w:r>
                        <w:r>
                          <w:rPr>
                            <w:color w:val="333333"/>
                            <w:sz w:val="24"/>
                          </w:rPr>
                          <w:t>beta</w:t>
                        </w:r>
                        <w:r>
                          <w:rPr>
                            <w:color w:val="333333"/>
                            <w:spacing w:val="-7"/>
                            <w:sz w:val="24"/>
                          </w:rPr>
                          <w:t xml:space="preserve"> </w:t>
                        </w:r>
                        <w:r>
                          <w:rPr>
                            <w:color w:val="333333"/>
                            <w:sz w:val="24"/>
                          </w:rPr>
                          <w:t>total</w:t>
                        </w:r>
                        <w:r>
                          <w:rPr>
                            <w:color w:val="333333"/>
                            <w:spacing w:val="-7"/>
                            <w:sz w:val="24"/>
                          </w:rPr>
                          <w:t xml:space="preserve"> </w:t>
                        </w:r>
                        <w:r>
                          <w:rPr>
                            <w:color w:val="333333"/>
                            <w:sz w:val="24"/>
                          </w:rPr>
                          <w:t>Nentor</w:t>
                        </w:r>
                        <w:r>
                          <w:rPr>
                            <w:color w:val="333333"/>
                            <w:spacing w:val="-5"/>
                            <w:sz w:val="24"/>
                          </w:rPr>
                          <w:t xml:space="preserve"> </w:t>
                        </w:r>
                        <w:r>
                          <w:rPr>
                            <w:color w:val="333333"/>
                            <w:spacing w:val="-4"/>
                            <w:sz w:val="24"/>
                          </w:rPr>
                          <w:t>2025</w:t>
                        </w:r>
                      </w:p>
                    </w:txbxContent>
                  </v:textbox>
                </v:shape>
                <w10:anchorlock/>
              </v:group>
            </w:pict>
          </mc:Fallback>
        </mc:AlternateContent>
      </w:r>
    </w:p>
    <w:p w:rsidR="00D67F76" w:rsidRDefault="00D67F76" w:rsidP="00EA4B66">
      <w:pPr>
        <w:rPr>
          <w:rFonts w:ascii="Times New Roman" w:hAnsi="Times New Roman" w:cs="Times New Roman"/>
          <w:b/>
          <w:sz w:val="24"/>
          <w:szCs w:val="24"/>
        </w:rPr>
      </w:pPr>
    </w:p>
    <w:p w:rsidR="00D67F76" w:rsidRPr="00D51CBA" w:rsidRDefault="00D67F76" w:rsidP="00807975">
      <w:pPr>
        <w:pStyle w:val="ListParagraph"/>
        <w:widowControl w:val="0"/>
        <w:numPr>
          <w:ilvl w:val="0"/>
          <w:numId w:val="48"/>
        </w:numPr>
        <w:tabs>
          <w:tab w:val="left" w:pos="720"/>
        </w:tabs>
        <w:autoSpaceDE w:val="0"/>
        <w:autoSpaceDN w:val="0"/>
        <w:spacing w:before="196" w:after="0" w:line="240" w:lineRule="auto"/>
        <w:jc w:val="both"/>
        <w:rPr>
          <w:rFonts w:ascii="Times New Roman" w:eastAsia="Times New Roman" w:hAnsi="Times New Roman" w:cs="Times New Roman"/>
          <w:b/>
          <w:sz w:val="24"/>
          <w:lang w:val="sq-AL"/>
        </w:rPr>
      </w:pPr>
      <w:r w:rsidRPr="00D51CBA">
        <w:rPr>
          <w:rFonts w:ascii="Times New Roman" w:eastAsia="Times New Roman" w:hAnsi="Times New Roman" w:cs="Times New Roman"/>
          <w:b/>
          <w:spacing w:val="-2"/>
          <w:sz w:val="24"/>
          <w:lang w:val="sq-AL"/>
        </w:rPr>
        <w:t>Përfundime</w:t>
      </w:r>
      <w:r w:rsidR="00842CC4" w:rsidRPr="00D51CBA">
        <w:rPr>
          <w:rFonts w:ascii="Times New Roman" w:eastAsia="Times New Roman" w:hAnsi="Times New Roman" w:cs="Times New Roman"/>
          <w:b/>
          <w:spacing w:val="-2"/>
          <w:sz w:val="24"/>
          <w:lang w:val="sq-AL"/>
        </w:rPr>
        <w:t xml:space="preserve"> për radioaktivitetin në ujëra</w:t>
      </w:r>
    </w:p>
    <w:p w:rsidR="00D67F76" w:rsidRPr="00D67F76" w:rsidRDefault="00D67F76" w:rsidP="00D67F76">
      <w:pPr>
        <w:widowControl w:val="0"/>
        <w:autoSpaceDE w:val="0"/>
        <w:autoSpaceDN w:val="0"/>
        <w:spacing w:before="82" w:after="0" w:line="240" w:lineRule="auto"/>
        <w:rPr>
          <w:rFonts w:ascii="Times New Roman" w:eastAsia="Times New Roman" w:hAnsi="Times New Roman" w:cs="Times New Roman"/>
          <w:sz w:val="24"/>
          <w:szCs w:val="24"/>
          <w:lang w:val="sq-AL"/>
        </w:rPr>
      </w:pPr>
    </w:p>
    <w:p w:rsidR="00D67F76" w:rsidRPr="00D67F76" w:rsidRDefault="00D67F76" w:rsidP="00842CC4">
      <w:pPr>
        <w:widowControl w:val="0"/>
        <w:autoSpaceDE w:val="0"/>
        <w:autoSpaceDN w:val="0"/>
        <w:spacing w:after="0" w:line="240" w:lineRule="auto"/>
        <w:ind w:right="353"/>
        <w:jc w:val="both"/>
        <w:rPr>
          <w:rFonts w:ascii="Times New Roman" w:eastAsia="Times New Roman" w:hAnsi="Times New Roman" w:cs="Times New Roman"/>
          <w:sz w:val="24"/>
          <w:szCs w:val="24"/>
          <w:lang w:val="sq-AL"/>
        </w:rPr>
      </w:pPr>
      <w:r w:rsidRPr="00D67F76">
        <w:rPr>
          <w:rFonts w:ascii="Times New Roman" w:eastAsia="Times New Roman" w:hAnsi="Times New Roman" w:cs="Times New Roman"/>
          <w:sz w:val="24"/>
          <w:szCs w:val="24"/>
          <w:lang w:val="sq-AL"/>
        </w:rPr>
        <w:t>Nga rezultatet e monitorimit gjatë ketij sezoni shihet se vlerat e radioktivitetit alfa dhe beta total janë nën vlerat e përcaktuara në standartet kombëtare.</w:t>
      </w:r>
    </w:p>
    <w:p w:rsidR="00D67F76" w:rsidRPr="00D67F76" w:rsidRDefault="00D67F76" w:rsidP="00842CC4">
      <w:pPr>
        <w:widowControl w:val="0"/>
        <w:autoSpaceDE w:val="0"/>
        <w:autoSpaceDN w:val="0"/>
        <w:spacing w:after="0" w:line="240" w:lineRule="auto"/>
        <w:ind w:right="353"/>
        <w:jc w:val="both"/>
        <w:rPr>
          <w:rFonts w:ascii="Times New Roman" w:eastAsia="Times New Roman" w:hAnsi="Times New Roman" w:cs="Times New Roman"/>
          <w:sz w:val="24"/>
          <w:szCs w:val="24"/>
          <w:lang w:val="sq-AL"/>
        </w:rPr>
      </w:pPr>
      <w:r w:rsidRPr="00D67F76">
        <w:rPr>
          <w:rFonts w:ascii="Times New Roman" w:eastAsia="Times New Roman" w:hAnsi="Times New Roman" w:cs="Times New Roman"/>
          <w:sz w:val="24"/>
          <w:szCs w:val="24"/>
          <w:lang w:val="sq-AL"/>
        </w:rPr>
        <w:t>Sipas legjislacionit Shqiptar të përditësuar (VKM Nr. 403, datë 19.06.2024) dhe rregullave të</w:t>
      </w:r>
      <w:r w:rsidRPr="00D67F76">
        <w:rPr>
          <w:rFonts w:ascii="Times New Roman" w:eastAsia="Times New Roman" w:hAnsi="Times New Roman" w:cs="Times New Roman"/>
          <w:spacing w:val="40"/>
          <w:sz w:val="24"/>
          <w:szCs w:val="24"/>
          <w:lang w:val="sq-AL"/>
        </w:rPr>
        <w:t xml:space="preserve"> </w:t>
      </w:r>
      <w:r w:rsidRPr="00D67F76">
        <w:rPr>
          <w:rFonts w:ascii="Times New Roman" w:eastAsia="Times New Roman" w:hAnsi="Times New Roman" w:cs="Times New Roman"/>
          <w:sz w:val="24"/>
          <w:szCs w:val="24"/>
          <w:lang w:val="sq-AL"/>
        </w:rPr>
        <w:t>KE, normat e lejuara për ujin e pijshëm janë: 0.1 Bq/l për radioaktivitetin alfa</w:t>
      </w:r>
      <w:r w:rsidRPr="00D67F76">
        <w:rPr>
          <w:rFonts w:ascii="Times New Roman" w:eastAsia="Times New Roman" w:hAnsi="Times New Roman" w:cs="Times New Roman"/>
          <w:spacing w:val="30"/>
          <w:sz w:val="24"/>
          <w:szCs w:val="24"/>
          <w:lang w:val="sq-AL"/>
        </w:rPr>
        <w:t xml:space="preserve"> </w:t>
      </w:r>
      <w:r w:rsidRPr="00D67F76">
        <w:rPr>
          <w:rFonts w:ascii="Times New Roman" w:eastAsia="Times New Roman" w:hAnsi="Times New Roman" w:cs="Times New Roman"/>
          <w:sz w:val="24"/>
          <w:szCs w:val="24"/>
          <w:lang w:val="sq-AL"/>
        </w:rPr>
        <w:t>total dhe 1 Bq/l</w:t>
      </w:r>
      <w:r w:rsidRPr="00D67F76">
        <w:rPr>
          <w:rFonts w:ascii="Times New Roman" w:eastAsia="Times New Roman" w:hAnsi="Times New Roman" w:cs="Times New Roman"/>
          <w:spacing w:val="40"/>
          <w:sz w:val="24"/>
          <w:szCs w:val="24"/>
          <w:lang w:val="sq-AL"/>
        </w:rPr>
        <w:t xml:space="preserve"> </w:t>
      </w:r>
      <w:r w:rsidRPr="00D67F76">
        <w:rPr>
          <w:rFonts w:ascii="Times New Roman" w:eastAsia="Times New Roman" w:hAnsi="Times New Roman" w:cs="Times New Roman"/>
          <w:sz w:val="24"/>
          <w:szCs w:val="24"/>
          <w:lang w:val="sq-AL"/>
        </w:rPr>
        <w:t>për radioaktivitetin beta total.</w:t>
      </w:r>
    </w:p>
    <w:p w:rsidR="00D67F76" w:rsidRDefault="004C0412" w:rsidP="00842CC4">
      <w:pPr>
        <w:widowControl w:val="0"/>
        <w:autoSpaceDE w:val="0"/>
        <w:autoSpaceDN w:val="0"/>
        <w:spacing w:after="0" w:line="240" w:lineRule="auto"/>
        <w:ind w:right="364"/>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Duke </w:t>
      </w:r>
      <w:r w:rsidR="00D67F76" w:rsidRPr="00D67F76">
        <w:rPr>
          <w:rFonts w:ascii="Times New Roman" w:eastAsia="Times New Roman" w:hAnsi="Times New Roman" w:cs="Times New Roman"/>
          <w:sz w:val="24"/>
          <w:szCs w:val="24"/>
          <w:lang w:val="sq-AL"/>
        </w:rPr>
        <w:t>patur parasysh që disa nga burimet e ujit përdoren për konsum të popullsisë dhe sidomos për nevoja të përdorimit të gjerë në bujqësi furnizohen nga lumenjtë është shumë e rëndësishme që treguesit e radioaktivitetit të jenë në monitorim të vazhdueshëm periodik.</w:t>
      </w:r>
    </w:p>
    <w:p w:rsidR="004332BF" w:rsidRDefault="004332BF" w:rsidP="004A74BB">
      <w:pPr>
        <w:rPr>
          <w:rFonts w:ascii="Times New Roman" w:hAnsi="Times New Roman" w:cs="Times New Roman"/>
          <w:b/>
          <w:sz w:val="24"/>
          <w:szCs w:val="24"/>
        </w:rPr>
      </w:pPr>
    </w:p>
    <w:p w:rsidR="004A74BB" w:rsidRPr="00D51CBA" w:rsidRDefault="004A74BB" w:rsidP="00807975">
      <w:pPr>
        <w:pStyle w:val="ListParagraph"/>
        <w:numPr>
          <w:ilvl w:val="0"/>
          <w:numId w:val="49"/>
        </w:numPr>
        <w:rPr>
          <w:rFonts w:ascii="Times New Roman" w:hAnsi="Times New Roman" w:cs="Times New Roman"/>
          <w:b/>
          <w:sz w:val="24"/>
          <w:szCs w:val="24"/>
        </w:rPr>
      </w:pPr>
      <w:r w:rsidRPr="00D51CBA">
        <w:rPr>
          <w:rFonts w:ascii="Times New Roman" w:hAnsi="Times New Roman" w:cs="Times New Roman"/>
          <w:b/>
          <w:sz w:val="24"/>
          <w:szCs w:val="24"/>
        </w:rPr>
        <w:t>Prurjet ujore në lumenj</w:t>
      </w:r>
    </w:p>
    <w:p w:rsidR="00465EBF" w:rsidRDefault="004A74BB" w:rsidP="00D51CBA">
      <w:pPr>
        <w:spacing w:after="0" w:line="240" w:lineRule="auto"/>
        <w:jc w:val="both"/>
        <w:rPr>
          <w:rFonts w:ascii="Times New Roman" w:eastAsia="Times New Roman" w:hAnsi="Times New Roman" w:cs="Times New Roman"/>
          <w:sz w:val="24"/>
          <w:szCs w:val="24"/>
          <w:lang w:val="sq-AL"/>
        </w:rPr>
      </w:pPr>
      <w:bookmarkStart w:id="6" w:name="_Hlk217982622"/>
      <w:bookmarkEnd w:id="6"/>
      <w:r w:rsidRPr="00D15B63">
        <w:rPr>
          <w:rFonts w:ascii="Times New Roman" w:eastAsia="Times New Roman" w:hAnsi="Times New Roman" w:cs="Times New Roman"/>
          <w:sz w:val="24"/>
          <w:szCs w:val="24"/>
          <w:lang w:val="sq-AL"/>
        </w:rPr>
        <w:t xml:space="preserve">Matja e vazhdueshme e prurjeve ujore në lumenjtë e Shqipërisë, konceptohet si një </w:t>
      </w:r>
      <w:r w:rsidR="001D09ED">
        <w:rPr>
          <w:rFonts w:ascii="Times New Roman" w:eastAsia="Times New Roman" w:hAnsi="Times New Roman" w:cs="Times New Roman"/>
          <w:sz w:val="24"/>
          <w:szCs w:val="24"/>
          <w:lang w:val="sq-AL"/>
        </w:rPr>
        <w:t>vlerësim sasior</w:t>
      </w:r>
      <w:r w:rsidRPr="00D15B63">
        <w:rPr>
          <w:rFonts w:ascii="Times New Roman" w:eastAsia="Times New Roman" w:hAnsi="Times New Roman" w:cs="Times New Roman"/>
          <w:sz w:val="24"/>
          <w:szCs w:val="24"/>
          <w:lang w:val="sq-AL"/>
        </w:rPr>
        <w:t xml:space="preserve"> që ndihmon në administrimin e pasurive ujrore sipërfaqësore për përdorime të ndryshme</w:t>
      </w:r>
      <w:r w:rsidR="0037352F">
        <w:rPr>
          <w:rFonts w:ascii="Times New Roman" w:eastAsia="Times New Roman" w:hAnsi="Times New Roman" w:cs="Times New Roman"/>
          <w:sz w:val="24"/>
          <w:szCs w:val="24"/>
          <w:lang w:val="sq-AL"/>
        </w:rPr>
        <w:t>,</w:t>
      </w:r>
      <w:r w:rsidRPr="00D15B63">
        <w:rPr>
          <w:rFonts w:ascii="Times New Roman" w:eastAsia="Times New Roman" w:hAnsi="Times New Roman" w:cs="Times New Roman"/>
          <w:sz w:val="24"/>
          <w:szCs w:val="24"/>
          <w:lang w:val="sq-AL"/>
        </w:rPr>
        <w:t xml:space="preserve"> </w:t>
      </w:r>
      <w:r w:rsidR="0037352F">
        <w:rPr>
          <w:rFonts w:ascii="Times New Roman" w:eastAsia="Times New Roman" w:hAnsi="Times New Roman" w:cs="Times New Roman"/>
          <w:sz w:val="24"/>
          <w:szCs w:val="24"/>
          <w:lang w:val="sq-AL"/>
        </w:rPr>
        <w:t>por gjithashtu</w:t>
      </w:r>
      <w:r w:rsidRPr="00D15B63">
        <w:rPr>
          <w:rFonts w:ascii="Times New Roman" w:eastAsia="Times New Roman" w:hAnsi="Times New Roman" w:cs="Times New Roman"/>
          <w:sz w:val="24"/>
          <w:szCs w:val="24"/>
          <w:lang w:val="sq-AL"/>
        </w:rPr>
        <w:t xml:space="preserve"> edhe të rreziqeve potenciale që ato mbartin në vetvete në raste të veçanta. </w:t>
      </w:r>
    </w:p>
    <w:p w:rsidR="004A74BB" w:rsidRDefault="004A74BB" w:rsidP="00D51CBA">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Ky pro</w:t>
      </w:r>
      <w:r w:rsidR="00465EBF">
        <w:rPr>
          <w:rFonts w:ascii="Times New Roman" w:eastAsia="Times New Roman" w:hAnsi="Times New Roman" w:cs="Times New Roman"/>
          <w:sz w:val="24"/>
          <w:szCs w:val="24"/>
          <w:lang w:val="sq-AL"/>
        </w:rPr>
        <w:t>c</w:t>
      </w:r>
      <w:r w:rsidRPr="00D15B63">
        <w:rPr>
          <w:rFonts w:ascii="Times New Roman" w:eastAsia="Times New Roman" w:hAnsi="Times New Roman" w:cs="Times New Roman"/>
          <w:sz w:val="24"/>
          <w:szCs w:val="24"/>
          <w:lang w:val="sq-AL"/>
        </w:rPr>
        <w:t xml:space="preserve">es monitorimi shërben si një </w:t>
      </w:r>
      <w:r>
        <w:rPr>
          <w:rFonts w:ascii="Times New Roman" w:eastAsia="Times New Roman" w:hAnsi="Times New Roman" w:cs="Times New Roman"/>
          <w:sz w:val="24"/>
          <w:szCs w:val="24"/>
          <w:lang w:val="sq-AL"/>
        </w:rPr>
        <w:t>kontroll</w:t>
      </w:r>
      <w:r w:rsidRPr="00D15B63">
        <w:rPr>
          <w:rFonts w:ascii="Times New Roman" w:eastAsia="Times New Roman" w:hAnsi="Times New Roman" w:cs="Times New Roman"/>
          <w:sz w:val="24"/>
          <w:szCs w:val="24"/>
          <w:lang w:val="sq-AL"/>
        </w:rPr>
        <w:t xml:space="preserve"> për të parë ecurinë e </w:t>
      </w:r>
      <w:r>
        <w:rPr>
          <w:rFonts w:ascii="Times New Roman" w:eastAsia="Times New Roman" w:hAnsi="Times New Roman" w:cs="Times New Roman"/>
          <w:sz w:val="24"/>
          <w:szCs w:val="24"/>
          <w:lang w:val="sq-AL"/>
        </w:rPr>
        <w:t>rrjedhës</w:t>
      </w:r>
      <w:r w:rsidRPr="00D15B63">
        <w:rPr>
          <w:rFonts w:ascii="Times New Roman" w:eastAsia="Times New Roman" w:hAnsi="Times New Roman" w:cs="Times New Roman"/>
          <w:sz w:val="24"/>
          <w:szCs w:val="24"/>
          <w:lang w:val="sq-AL"/>
        </w:rPr>
        <w:t xml:space="preserve"> në kohë varësisht nga kushtet e motit dhe të ndërhyrjeve humane.</w:t>
      </w:r>
      <w:r w:rsidR="00B21DB2">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 xml:space="preserve">Kështu </w:t>
      </w:r>
      <w:r w:rsidRPr="00D15B63">
        <w:rPr>
          <w:rFonts w:ascii="Times New Roman" w:eastAsia="Times New Roman" w:hAnsi="Times New Roman" w:cs="Times New Roman"/>
          <w:sz w:val="24"/>
          <w:szCs w:val="24"/>
          <w:lang w:val="sq-AL"/>
        </w:rPr>
        <w:t>jemi në gjëndje të kontrollojmë karakteristikat e rrjedhë</w:t>
      </w:r>
      <w:r w:rsidR="00B21DB2">
        <w:rPr>
          <w:rFonts w:ascii="Times New Roman" w:eastAsia="Times New Roman" w:hAnsi="Times New Roman" w:cs="Times New Roman"/>
          <w:sz w:val="24"/>
          <w:szCs w:val="24"/>
          <w:lang w:val="sq-AL"/>
        </w:rPr>
        <w:t xml:space="preserve">s, rrezikun që ajo mbart dhe të </w:t>
      </w:r>
      <w:r w:rsidRPr="00D15B63">
        <w:rPr>
          <w:rFonts w:ascii="Times New Roman" w:eastAsia="Times New Roman" w:hAnsi="Times New Roman" w:cs="Times New Roman"/>
          <w:sz w:val="24"/>
          <w:szCs w:val="24"/>
          <w:lang w:val="sq-AL"/>
        </w:rPr>
        <w:t>orjentojmë optimalisht, si mirëmenaxhimin e saj ashtu edhe masat parandaluese nga dëmet e pritshme.</w:t>
      </w:r>
    </w:p>
    <w:p w:rsidR="00D51CBA" w:rsidRPr="00D15B63" w:rsidRDefault="00D51CBA" w:rsidP="00D51CBA">
      <w:pPr>
        <w:spacing w:after="0" w:line="240" w:lineRule="auto"/>
        <w:jc w:val="both"/>
        <w:rPr>
          <w:rFonts w:ascii="Times New Roman" w:eastAsia="Times New Roman" w:hAnsi="Times New Roman" w:cs="Times New Roman"/>
          <w:sz w:val="24"/>
          <w:szCs w:val="24"/>
          <w:lang w:val="sq-AL"/>
        </w:rPr>
      </w:pPr>
    </w:p>
    <w:p w:rsidR="004A74BB" w:rsidRDefault="004A74BB" w:rsidP="004A74BB">
      <w:pPr>
        <w:rPr>
          <w:rFonts w:ascii="Times New Roman" w:eastAsia="Calibri"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5920" behindDoc="0" locked="0" layoutInCell="1" allowOverlap="1" wp14:anchorId="5FB5FC43" wp14:editId="639B89F4">
                <wp:simplePos x="0" y="0"/>
                <wp:positionH relativeFrom="column">
                  <wp:posOffset>2695575</wp:posOffset>
                </wp:positionH>
                <wp:positionV relativeFrom="paragraph">
                  <wp:posOffset>22860</wp:posOffset>
                </wp:positionV>
                <wp:extent cx="3810000" cy="3562350"/>
                <wp:effectExtent l="0" t="0" r="19050" b="19050"/>
                <wp:wrapNone/>
                <wp:docPr id="507" name="Rectangle 507"/>
                <wp:cNvGraphicFramePr/>
                <a:graphic xmlns:a="http://schemas.openxmlformats.org/drawingml/2006/main">
                  <a:graphicData uri="http://schemas.microsoft.com/office/word/2010/wordprocessingShape">
                    <wps:wsp>
                      <wps:cNvSpPr/>
                      <wps:spPr>
                        <a:xfrm>
                          <a:off x="0" y="0"/>
                          <a:ext cx="3810000" cy="3562350"/>
                        </a:xfrm>
                        <a:prstGeom prst="rect">
                          <a:avLst/>
                        </a:prstGeom>
                        <a:solidFill>
                          <a:sysClr val="window" lastClr="FFFFFF"/>
                        </a:solidFill>
                        <a:ln w="12700" cap="flat" cmpd="sng" algn="ctr">
                          <a:solidFill>
                            <a:srgbClr val="70AD47"/>
                          </a:solidFill>
                          <a:prstDash val="solid"/>
                          <a:miter lim="800000"/>
                        </a:ln>
                        <a:effectLst/>
                      </wps:spPr>
                      <wps:txbx>
                        <w:txbxContent>
                          <w:p w:rsidR="0064059F"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B947E2">
                              <w:rPr>
                                <w:rFonts w:ascii="Times New Roman" w:eastAsia="Times New Roman" w:hAnsi="Times New Roman" w:cs="Times New Roman"/>
                                <w:b/>
                                <w:sz w:val="24"/>
                                <w:szCs w:val="24"/>
                                <w:lang w:val="sq-AL"/>
                              </w:rPr>
                              <w:t>Drini:</w:t>
                            </w:r>
                            <w:r w:rsidRPr="00D15B63">
                              <w:rPr>
                                <w:rFonts w:ascii="Times New Roman" w:eastAsia="Times New Roman" w:hAnsi="Times New Roman" w:cs="Times New Roman"/>
                                <w:sz w:val="24"/>
                                <w:szCs w:val="24"/>
                                <w:lang w:val="sq-AL"/>
                              </w:rPr>
                              <w:t xml:space="preserve"> 9 stacione: Ura Topojanit, Ura e Lumës, Ba</w:t>
                            </w:r>
                            <w:r>
                              <w:rPr>
                                <w:rFonts w:ascii="Times New Roman" w:eastAsia="Times New Roman" w:hAnsi="Times New Roman" w:cs="Times New Roman"/>
                                <w:sz w:val="24"/>
                                <w:szCs w:val="24"/>
                                <w:lang w:val="sq-AL"/>
                              </w:rPr>
                              <w:t xml:space="preserve">hçallëk, Cemi i Selcës, Cemi i </w:t>
                            </w:r>
                            <w:r w:rsidRPr="00D15B63">
                              <w:rPr>
                                <w:rFonts w:ascii="Times New Roman" w:eastAsia="Times New Roman" w:hAnsi="Times New Roman" w:cs="Times New Roman"/>
                                <w:sz w:val="24"/>
                                <w:szCs w:val="24"/>
                                <w:lang w:val="sq-AL"/>
                              </w:rPr>
                              <w:t>Vuklit, Ura e Mesit, Bajram Curri, Shoshani dhe Ura e</w:t>
                            </w:r>
                            <w:r>
                              <w:rPr>
                                <w:rFonts w:ascii="Times New Roman" w:eastAsia="Times New Roman" w:hAnsi="Times New Roman" w:cs="Times New Roman"/>
                                <w:sz w:val="24"/>
                                <w:szCs w:val="24"/>
                                <w:lang w:val="sq-AL"/>
                              </w:rPr>
                              <w:t xml:space="preserve"> Bujanit.</w:t>
                            </w:r>
                          </w:p>
                          <w:p w:rsidR="0064059F" w:rsidRPr="00D15B63"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B947E2">
                              <w:rPr>
                                <w:rFonts w:ascii="Times New Roman" w:eastAsia="Times New Roman" w:hAnsi="Times New Roman" w:cs="Times New Roman"/>
                                <w:b/>
                                <w:sz w:val="24"/>
                                <w:szCs w:val="24"/>
                                <w:lang w:val="sq-AL"/>
                              </w:rPr>
                              <w:t>Vermoshi</w:t>
                            </w:r>
                            <w:r>
                              <w:rPr>
                                <w:rFonts w:ascii="Times New Roman" w:eastAsia="Times New Roman" w:hAnsi="Times New Roman" w:cs="Times New Roman"/>
                                <w:sz w:val="24"/>
                                <w:szCs w:val="24"/>
                                <w:lang w:val="sq-AL"/>
                              </w:rPr>
                              <w:t xml:space="preserve">:1 stacion: Vermosh. </w:t>
                            </w:r>
                          </w:p>
                          <w:p w:rsidR="0064059F" w:rsidRPr="00D15B63"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3. Buna: 2 stacione: Ur</w:t>
                            </w:r>
                            <w:r>
                              <w:rPr>
                                <w:rFonts w:ascii="Times New Roman" w:eastAsia="Times New Roman" w:hAnsi="Times New Roman" w:cs="Times New Roman"/>
                                <w:sz w:val="24"/>
                                <w:szCs w:val="24"/>
                                <w:lang w:val="sq-AL"/>
                              </w:rPr>
                              <w:t>a e Vjetër e Bunës dhe Murriqan</w:t>
                            </w:r>
                          </w:p>
                          <w:p w:rsidR="0064059F" w:rsidRPr="00D15B63"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4. Mati: 3 stacione: Darsi, Ura e Fanit (Fa</w:t>
                            </w:r>
                            <w:r>
                              <w:rPr>
                                <w:rFonts w:ascii="Times New Roman" w:eastAsia="Times New Roman" w:hAnsi="Times New Roman" w:cs="Times New Roman"/>
                                <w:sz w:val="24"/>
                                <w:szCs w:val="24"/>
                                <w:lang w:val="sq-AL"/>
                              </w:rPr>
                              <w:t xml:space="preserve">ni i Vogël) dhe Ura Berluskoni </w:t>
                            </w:r>
                          </w:p>
                          <w:p w:rsidR="0064059F" w:rsidRPr="00D15B63"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5. Erzeni: 2 s</w:t>
                            </w:r>
                            <w:r>
                              <w:rPr>
                                <w:rFonts w:ascii="Times New Roman" w:eastAsia="Times New Roman" w:hAnsi="Times New Roman" w:cs="Times New Roman"/>
                                <w:sz w:val="24"/>
                                <w:szCs w:val="24"/>
                                <w:lang w:val="sq-AL"/>
                              </w:rPr>
                              <w:t>tacione: Pëllumbas dhe Sallmone</w:t>
                            </w:r>
                          </w:p>
                          <w:p w:rsidR="0064059F" w:rsidRPr="00D15B63"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6. Ishmi: 2 stacione: Brar (lumi i Tiranë</w:t>
                            </w:r>
                            <w:r>
                              <w:rPr>
                                <w:rFonts w:ascii="Times New Roman" w:eastAsia="Times New Roman" w:hAnsi="Times New Roman" w:cs="Times New Roman"/>
                                <w:sz w:val="24"/>
                                <w:szCs w:val="24"/>
                                <w:lang w:val="sq-AL"/>
                              </w:rPr>
                              <w:t>s) dhe Salme-Shete (lumi Ishëm)</w:t>
                            </w:r>
                          </w:p>
                          <w:p w:rsidR="0064059F" w:rsidRPr="00D15B63"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7. Shkumbini: </w:t>
                            </w:r>
                            <w:r w:rsidRPr="00D15B63">
                              <w:rPr>
                                <w:rFonts w:ascii="Times New Roman" w:eastAsia="Times New Roman" w:hAnsi="Times New Roman" w:cs="Times New Roman"/>
                                <w:sz w:val="24"/>
                                <w:szCs w:val="24"/>
                                <w:lang w:val="sq-AL"/>
                              </w:rPr>
                              <w:tab/>
                              <w:t xml:space="preserve">4 stacione: Proptisht (Qukës-Prrenjas), Labinot, Papër (Ura e Zezë), </w:t>
                            </w:r>
                          </w:p>
                          <w:p w:rsidR="0064059F" w:rsidRPr="00D15B63"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dhe Ura vjetër (Rrogozhinë)</w:t>
                            </w:r>
                          </w:p>
                          <w:p w:rsidR="0064059F" w:rsidRPr="00D15B63" w:rsidRDefault="0064059F"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8. Semani: 4 stacione: Bilisht (lumi Devoll), Ura e Lapanit-Çorovodë (lumi Osum), Ura Gjanicës-Fier (lumi i Gjanicë</w:t>
                            </w:r>
                            <w:r>
                              <w:rPr>
                                <w:rFonts w:ascii="Times New Roman" w:eastAsia="Times New Roman" w:hAnsi="Times New Roman" w:cs="Times New Roman"/>
                                <w:sz w:val="24"/>
                                <w:szCs w:val="24"/>
                                <w:lang w:val="sq-AL"/>
                              </w:rPr>
                              <w:t>s) dhe Ura e Mbrostarit (Seman)</w:t>
                            </w:r>
                          </w:p>
                          <w:p w:rsidR="0064059F" w:rsidRPr="00D15B63" w:rsidRDefault="0064059F"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9. Vjosa: 4 stacione: Tri Urat, Ura e Leklit (lumi Drin</w:t>
                            </w:r>
                            <w:r>
                              <w:rPr>
                                <w:rFonts w:ascii="Times New Roman" w:eastAsia="Times New Roman" w:hAnsi="Times New Roman" w:cs="Times New Roman"/>
                                <w:sz w:val="24"/>
                                <w:szCs w:val="24"/>
                                <w:lang w:val="sq-AL"/>
                              </w:rPr>
                              <w:t>os), Memaliaj dhe Ura e Mifolit</w:t>
                            </w:r>
                          </w:p>
                          <w:p w:rsidR="0064059F" w:rsidRDefault="0064059F" w:rsidP="004A74BB">
                            <w:pPr>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10.Bistrica :4 stacione: Vrina, Cuka, Delvina dhe Kalasa</w:t>
                            </w:r>
                          </w:p>
                          <w:p w:rsidR="0064059F" w:rsidRPr="00D15B63"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p>
                          <w:p w:rsidR="0064059F" w:rsidRDefault="0064059F" w:rsidP="004A74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5FC43" id="Rectangle 507" o:spid="_x0000_s1076" style="position:absolute;margin-left:212.25pt;margin-top:1.8pt;width:300pt;height:28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" fillcolor="window" strokecolor="#70ad47" strokeweight="1pt">
                <v:textbox>
                  <w:txbxContent>
                    <w:p w:rsidR="0064059F"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B947E2">
                        <w:rPr>
                          <w:rFonts w:ascii="Times New Roman" w:eastAsia="Times New Roman" w:hAnsi="Times New Roman" w:cs="Times New Roman"/>
                          <w:b/>
                          <w:sz w:val="24"/>
                          <w:szCs w:val="24"/>
                          <w:lang w:val="sq-AL"/>
                        </w:rPr>
                        <w:t>Drini:</w:t>
                      </w:r>
                      <w:r w:rsidRPr="00D15B63">
                        <w:rPr>
                          <w:rFonts w:ascii="Times New Roman" w:eastAsia="Times New Roman" w:hAnsi="Times New Roman" w:cs="Times New Roman"/>
                          <w:sz w:val="24"/>
                          <w:szCs w:val="24"/>
                          <w:lang w:val="sq-AL"/>
                        </w:rPr>
                        <w:t xml:space="preserve"> 9 stacione: Ura Topojanit, Ura e Lumës, Ba</w:t>
                      </w:r>
                      <w:r>
                        <w:rPr>
                          <w:rFonts w:ascii="Times New Roman" w:eastAsia="Times New Roman" w:hAnsi="Times New Roman" w:cs="Times New Roman"/>
                          <w:sz w:val="24"/>
                          <w:szCs w:val="24"/>
                          <w:lang w:val="sq-AL"/>
                        </w:rPr>
                        <w:t xml:space="preserve">hçallëk, Cemi i Selcës, Cemi i </w:t>
                      </w:r>
                      <w:r w:rsidRPr="00D15B63">
                        <w:rPr>
                          <w:rFonts w:ascii="Times New Roman" w:eastAsia="Times New Roman" w:hAnsi="Times New Roman" w:cs="Times New Roman"/>
                          <w:sz w:val="24"/>
                          <w:szCs w:val="24"/>
                          <w:lang w:val="sq-AL"/>
                        </w:rPr>
                        <w:t>Vuklit, Ura e Mesit, Bajram Curri, Shoshani dhe Ura e</w:t>
                      </w:r>
                      <w:r>
                        <w:rPr>
                          <w:rFonts w:ascii="Times New Roman" w:eastAsia="Times New Roman" w:hAnsi="Times New Roman" w:cs="Times New Roman"/>
                          <w:sz w:val="24"/>
                          <w:szCs w:val="24"/>
                          <w:lang w:val="sq-AL"/>
                        </w:rPr>
                        <w:t xml:space="preserve"> Bujanit.</w:t>
                      </w:r>
                    </w:p>
                    <w:p w:rsidR="0064059F" w:rsidRPr="00D15B63"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B947E2">
                        <w:rPr>
                          <w:rFonts w:ascii="Times New Roman" w:eastAsia="Times New Roman" w:hAnsi="Times New Roman" w:cs="Times New Roman"/>
                          <w:b/>
                          <w:sz w:val="24"/>
                          <w:szCs w:val="24"/>
                          <w:lang w:val="sq-AL"/>
                        </w:rPr>
                        <w:t>Vermoshi</w:t>
                      </w:r>
                      <w:r>
                        <w:rPr>
                          <w:rFonts w:ascii="Times New Roman" w:eastAsia="Times New Roman" w:hAnsi="Times New Roman" w:cs="Times New Roman"/>
                          <w:sz w:val="24"/>
                          <w:szCs w:val="24"/>
                          <w:lang w:val="sq-AL"/>
                        </w:rPr>
                        <w:t xml:space="preserve">:1 stacion: Vermosh. </w:t>
                      </w:r>
                    </w:p>
                    <w:p w:rsidR="0064059F" w:rsidRPr="00D15B63"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3. Buna: 2 stacione: Ur</w:t>
                      </w:r>
                      <w:r>
                        <w:rPr>
                          <w:rFonts w:ascii="Times New Roman" w:eastAsia="Times New Roman" w:hAnsi="Times New Roman" w:cs="Times New Roman"/>
                          <w:sz w:val="24"/>
                          <w:szCs w:val="24"/>
                          <w:lang w:val="sq-AL"/>
                        </w:rPr>
                        <w:t>a e Vjetër e Bunës dhe Murriqan</w:t>
                      </w:r>
                    </w:p>
                    <w:p w:rsidR="0064059F" w:rsidRPr="00D15B63"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4. Mati: 3 stacione: Darsi, Ura e Fanit (Fa</w:t>
                      </w:r>
                      <w:r>
                        <w:rPr>
                          <w:rFonts w:ascii="Times New Roman" w:eastAsia="Times New Roman" w:hAnsi="Times New Roman" w:cs="Times New Roman"/>
                          <w:sz w:val="24"/>
                          <w:szCs w:val="24"/>
                          <w:lang w:val="sq-AL"/>
                        </w:rPr>
                        <w:t xml:space="preserve">ni i Vogël) dhe Ura Berluskoni </w:t>
                      </w:r>
                    </w:p>
                    <w:p w:rsidR="0064059F" w:rsidRPr="00D15B63"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5. Erzeni: 2 s</w:t>
                      </w:r>
                      <w:r>
                        <w:rPr>
                          <w:rFonts w:ascii="Times New Roman" w:eastAsia="Times New Roman" w:hAnsi="Times New Roman" w:cs="Times New Roman"/>
                          <w:sz w:val="24"/>
                          <w:szCs w:val="24"/>
                          <w:lang w:val="sq-AL"/>
                        </w:rPr>
                        <w:t>tacione: Pëllumbas dhe Sallmone</w:t>
                      </w:r>
                    </w:p>
                    <w:p w:rsidR="0064059F" w:rsidRPr="00D15B63"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6. Ishmi: 2 stacione: Brar (lumi i Tiranë</w:t>
                      </w:r>
                      <w:r>
                        <w:rPr>
                          <w:rFonts w:ascii="Times New Roman" w:eastAsia="Times New Roman" w:hAnsi="Times New Roman" w:cs="Times New Roman"/>
                          <w:sz w:val="24"/>
                          <w:szCs w:val="24"/>
                          <w:lang w:val="sq-AL"/>
                        </w:rPr>
                        <w:t>s) dhe Salme-Shete (lumi Ishëm)</w:t>
                      </w:r>
                    </w:p>
                    <w:p w:rsidR="0064059F" w:rsidRPr="00D15B63"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7. Shkumbini: </w:t>
                      </w:r>
                      <w:r w:rsidRPr="00D15B63">
                        <w:rPr>
                          <w:rFonts w:ascii="Times New Roman" w:eastAsia="Times New Roman" w:hAnsi="Times New Roman" w:cs="Times New Roman"/>
                          <w:sz w:val="24"/>
                          <w:szCs w:val="24"/>
                          <w:lang w:val="sq-AL"/>
                        </w:rPr>
                        <w:tab/>
                        <w:t xml:space="preserve">4 stacione: Proptisht (Qukës-Prrenjas), Labinot, Papër (Ura e Zezë), </w:t>
                      </w:r>
                    </w:p>
                    <w:p w:rsidR="0064059F" w:rsidRPr="00D15B63"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dhe Ura vjetër (Rrogozhinë)</w:t>
                      </w:r>
                    </w:p>
                    <w:p w:rsidR="0064059F" w:rsidRPr="00D15B63" w:rsidRDefault="0064059F"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8. Semani: 4 stacione: Bilisht (lumi Devoll), Ura e Lapanit-Çorovodë (lumi Osum), Ura Gjanicës-Fier (lumi i Gjanicë</w:t>
                      </w:r>
                      <w:r>
                        <w:rPr>
                          <w:rFonts w:ascii="Times New Roman" w:eastAsia="Times New Roman" w:hAnsi="Times New Roman" w:cs="Times New Roman"/>
                          <w:sz w:val="24"/>
                          <w:szCs w:val="24"/>
                          <w:lang w:val="sq-AL"/>
                        </w:rPr>
                        <w:t>s) dhe Ura e Mbrostarit (Seman)</w:t>
                      </w:r>
                    </w:p>
                    <w:p w:rsidR="0064059F" w:rsidRPr="00D15B63" w:rsidRDefault="0064059F"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9. Vjosa: 4 stacione: Tri Urat, Ura e Leklit (lumi Drin</w:t>
                      </w:r>
                      <w:r>
                        <w:rPr>
                          <w:rFonts w:ascii="Times New Roman" w:eastAsia="Times New Roman" w:hAnsi="Times New Roman" w:cs="Times New Roman"/>
                          <w:sz w:val="24"/>
                          <w:szCs w:val="24"/>
                          <w:lang w:val="sq-AL"/>
                        </w:rPr>
                        <w:t>os), Memaliaj dhe Ura e Mifolit</w:t>
                      </w:r>
                    </w:p>
                    <w:p w:rsidR="0064059F" w:rsidRDefault="0064059F" w:rsidP="004A74BB">
                      <w:pPr>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10.Bistrica :4 stacione: Vrina, Cuka, Delvina dhe Kalasa</w:t>
                      </w:r>
                    </w:p>
                    <w:p w:rsidR="0064059F" w:rsidRPr="00D15B63" w:rsidRDefault="0064059F"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p>
                    <w:p w:rsidR="0064059F" w:rsidRDefault="0064059F" w:rsidP="004A74BB">
                      <w:pPr>
                        <w:jc w:val="center"/>
                      </w:pPr>
                    </w:p>
                  </w:txbxContent>
                </v:textbox>
              </v:rect>
            </w:pict>
          </mc:Fallback>
        </mc:AlternateContent>
      </w:r>
      <w:r w:rsidRPr="00D15B63">
        <w:rPr>
          <w:rFonts w:ascii="Times New Roman" w:eastAsia="Times New Roman" w:hAnsi="Times New Roman" w:cs="Times New Roman"/>
          <w:noProof/>
          <w:sz w:val="24"/>
          <w:szCs w:val="24"/>
        </w:rPr>
        <w:drawing>
          <wp:inline distT="0" distB="0" distL="0" distR="0" wp14:anchorId="610839E5" wp14:editId="13A1E162">
            <wp:extent cx="2476500" cy="3238500"/>
            <wp:effectExtent l="19050" t="19050" r="19050" b="19050"/>
            <wp:docPr id="447" name="Picture 1" descr="Albania_hidrografi kryesore me 38 stacionet e matjeve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bania_hidrografi kryesore me 38 stacionet e matjeve Model (1)"/>
                    <pic:cNvPicPr>
                      <a:picLocks noChangeAspect="1" noChangeArrowheads="1"/>
                    </pic:cNvPicPr>
                  </pic:nvPicPr>
                  <pic:blipFill>
                    <a:blip r:embed="rId101" cstate="print"/>
                    <a:srcRect/>
                    <a:stretch>
                      <a:fillRect/>
                    </a:stretch>
                  </pic:blipFill>
                  <pic:spPr bwMode="auto">
                    <a:xfrm>
                      <a:off x="0" y="0"/>
                      <a:ext cx="2478544" cy="3241173"/>
                    </a:xfrm>
                    <a:prstGeom prst="rect">
                      <a:avLst/>
                    </a:prstGeom>
                    <a:noFill/>
                    <a:ln w="6350" cmpd="sng">
                      <a:solidFill>
                        <a:srgbClr val="000000"/>
                      </a:solidFill>
                      <a:miter lim="800000"/>
                      <a:headEnd/>
                      <a:tailEnd/>
                    </a:ln>
                    <a:effectLst/>
                  </pic:spPr>
                </pic:pic>
              </a:graphicData>
            </a:graphic>
          </wp:inline>
        </w:drawing>
      </w:r>
    </w:p>
    <w:p w:rsidR="004A74BB" w:rsidRPr="00B947E2" w:rsidRDefault="004A74BB" w:rsidP="004A74BB">
      <w:pPr>
        <w:rPr>
          <w:rFonts w:ascii="Times New Roman" w:eastAsia="Calibri" w:hAnsi="Times New Roman" w:cs="Times New Roman"/>
          <w:sz w:val="24"/>
          <w:szCs w:val="24"/>
        </w:rPr>
      </w:pPr>
      <w:r w:rsidRPr="00D15B63">
        <w:rPr>
          <w:rFonts w:ascii="Times New Roman" w:eastAsia="Times New Roman" w:hAnsi="Times New Roman" w:cs="Times New Roman"/>
          <w:b/>
          <w:sz w:val="24"/>
          <w:szCs w:val="24"/>
          <w:lang w:val="sq-AL"/>
        </w:rPr>
        <w:t>Harta e stacio</w:t>
      </w:r>
      <w:r>
        <w:rPr>
          <w:rFonts w:ascii="Times New Roman" w:eastAsia="Times New Roman" w:hAnsi="Times New Roman" w:cs="Times New Roman"/>
          <w:b/>
          <w:sz w:val="24"/>
          <w:szCs w:val="24"/>
          <w:lang w:val="sq-AL"/>
        </w:rPr>
        <w:t>neve të matjes së prurjeve</w:t>
      </w:r>
    </w:p>
    <w:p w:rsidR="004A74BB" w:rsidRDefault="004A74BB" w:rsidP="004A74BB">
      <w:pPr>
        <w:rPr>
          <w:rFonts w:ascii="Times New Roman" w:eastAsia="Calibri" w:hAnsi="Times New Roman" w:cs="Times New Roman"/>
          <w:sz w:val="24"/>
          <w:szCs w:val="24"/>
        </w:rPr>
      </w:pPr>
    </w:p>
    <w:p w:rsidR="00D51CBA" w:rsidRDefault="00D51CBA" w:rsidP="004A74BB">
      <w:pPr>
        <w:rPr>
          <w:rFonts w:ascii="Times New Roman" w:eastAsia="Calibri" w:hAnsi="Times New Roman" w:cs="Times New Roman"/>
          <w:sz w:val="24"/>
          <w:szCs w:val="24"/>
        </w:rPr>
      </w:pPr>
    </w:p>
    <w:p w:rsidR="00D51CBA" w:rsidRPr="00D15B63" w:rsidRDefault="00D51CBA" w:rsidP="00FC5061">
      <w:pPr>
        <w:overflowPunct w:val="0"/>
        <w:autoSpaceDE w:val="0"/>
        <w:autoSpaceDN w:val="0"/>
        <w:spacing w:after="0" w:line="240" w:lineRule="auto"/>
        <w:contextualSpacing/>
        <w:jc w:val="both"/>
        <w:rPr>
          <w:rFonts w:ascii="Times New Roman" w:eastAsia="Times New Roman" w:hAnsi="Times New Roman" w:cs="Times New Roman"/>
          <w:b/>
          <w:color w:val="000000"/>
          <w:sz w:val="24"/>
          <w:szCs w:val="24"/>
          <w:lang w:val="sq-AL"/>
        </w:rPr>
      </w:pPr>
      <w:r w:rsidRPr="00D15B63">
        <w:rPr>
          <w:rFonts w:ascii="Times New Roman" w:hAnsi="Times New Roman" w:cs="Times New Roman"/>
          <w:color w:val="000000"/>
          <w:sz w:val="24"/>
          <w:szCs w:val="24"/>
          <w:lang w:val="sq-AL"/>
        </w:rPr>
        <w:t xml:space="preserve">Në secilin stacion u kryen dy matje mbi bazën e periudhave stinore në faza të ndryshme pune, pra rezultatet e marra janë në varësi të plotë nga ecuria hidrometereologjike stinore. </w:t>
      </w:r>
    </w:p>
    <w:p w:rsidR="00D51CBA" w:rsidRPr="00D15B63" w:rsidRDefault="00D51CBA" w:rsidP="00D51CBA">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sq-AL"/>
        </w:rPr>
      </w:pPr>
    </w:p>
    <w:p w:rsidR="00D51CBA" w:rsidRPr="00FC5061" w:rsidRDefault="00D51CBA" w:rsidP="00D51CBA">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val="sq-AL"/>
        </w:rPr>
      </w:pPr>
      <w:r w:rsidRPr="00D15B63">
        <w:rPr>
          <w:rFonts w:ascii="Times New Roman" w:eastAsia="Times New Roman" w:hAnsi="Times New Roman" w:cs="Times New Roman"/>
          <w:b/>
          <w:sz w:val="24"/>
          <w:szCs w:val="24"/>
          <w:lang w:val="sq-AL"/>
        </w:rPr>
        <w:t xml:space="preserve">                                  </w:t>
      </w:r>
      <w:r w:rsidR="00FC5061" w:rsidRPr="00FC5061">
        <w:rPr>
          <w:rFonts w:ascii="Times New Roman" w:eastAsia="Times New Roman" w:hAnsi="Times New Roman" w:cs="Times New Roman"/>
          <w:sz w:val="24"/>
          <w:szCs w:val="24"/>
          <w:lang w:val="sq-AL"/>
        </w:rPr>
        <w:t>Tabela 26 .</w:t>
      </w:r>
      <w:r w:rsidRPr="00FC5061">
        <w:rPr>
          <w:rFonts w:ascii="Times New Roman" w:eastAsia="Times New Roman" w:hAnsi="Times New Roman" w:cs="Times New Roman"/>
          <w:sz w:val="24"/>
          <w:szCs w:val="24"/>
          <w:lang w:val="sq-AL"/>
        </w:rPr>
        <w:t xml:space="preserve">Rezultatet e matjeve </w:t>
      </w:r>
      <w:r w:rsidR="00FC5061" w:rsidRPr="00FC5061">
        <w:rPr>
          <w:rFonts w:ascii="Times New Roman" w:eastAsia="Times New Roman" w:hAnsi="Times New Roman" w:cs="Times New Roman"/>
          <w:sz w:val="24"/>
          <w:szCs w:val="24"/>
          <w:lang w:val="sq-AL"/>
        </w:rPr>
        <w:t xml:space="preserve">të prurjeve </w:t>
      </w:r>
      <w:r w:rsidRPr="00FC5061">
        <w:rPr>
          <w:rFonts w:ascii="Times New Roman" w:eastAsia="Times New Roman" w:hAnsi="Times New Roman" w:cs="Times New Roman"/>
          <w:sz w:val="24"/>
          <w:szCs w:val="24"/>
          <w:lang w:val="sq-AL"/>
        </w:rPr>
        <w:t>për vitin 2025</w:t>
      </w:r>
    </w:p>
    <w:p w:rsidR="00D51CBA" w:rsidRPr="00D15B63" w:rsidRDefault="00D51CBA" w:rsidP="00D51CBA">
      <w:pPr>
        <w:overflowPunct w:val="0"/>
        <w:autoSpaceDE w:val="0"/>
        <w:autoSpaceDN w:val="0"/>
        <w:adjustRightInd w:val="0"/>
        <w:spacing w:after="0" w:line="240" w:lineRule="auto"/>
        <w:textAlignment w:val="baseline"/>
        <w:rPr>
          <w:rFonts w:ascii="Times New Roman" w:eastAsia="Times New Roman" w:hAnsi="Times New Roman" w:cs="Times New Roman"/>
          <w:b/>
          <w:color w:val="000000"/>
          <w:sz w:val="24"/>
          <w:szCs w:val="24"/>
          <w:lang w:val="sq-AL"/>
        </w:rPr>
      </w:pPr>
    </w:p>
    <w:tbl>
      <w:tblPr>
        <w:tblW w:w="104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
        <w:gridCol w:w="1615"/>
        <w:gridCol w:w="1559"/>
        <w:gridCol w:w="1701"/>
        <w:gridCol w:w="1559"/>
        <w:gridCol w:w="1559"/>
        <w:gridCol w:w="993"/>
        <w:gridCol w:w="993"/>
      </w:tblGrid>
      <w:tr w:rsidR="00D51CBA" w:rsidRPr="00D15B63" w:rsidTr="00AA3E50">
        <w:trPr>
          <w:trHeight w:val="386"/>
        </w:trPr>
        <w:tc>
          <w:tcPr>
            <w:tcW w:w="512" w:type="dxa"/>
            <w:vMerge w:val="restart"/>
            <w:tcBorders>
              <w:top w:val="single" w:sz="12" w:space="0" w:color="auto"/>
              <w:left w:val="single" w:sz="12" w:space="0" w:color="auto"/>
              <w:right w:val="single" w:sz="12" w:space="0" w:color="auto"/>
            </w:tcBorders>
            <w:shd w:val="clear" w:color="auto" w:fill="C2D69B"/>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w:t>
            </w:r>
          </w:p>
        </w:tc>
        <w:tc>
          <w:tcPr>
            <w:tcW w:w="1615" w:type="dxa"/>
            <w:vMerge w:val="restart"/>
            <w:tcBorders>
              <w:top w:val="single" w:sz="12" w:space="0" w:color="auto"/>
              <w:left w:val="single" w:sz="12" w:space="0" w:color="auto"/>
              <w:right w:val="single" w:sz="12" w:space="0" w:color="auto"/>
            </w:tcBorders>
            <w:shd w:val="clear" w:color="auto" w:fill="C2D69B"/>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Stacionet e matjes</w:t>
            </w:r>
          </w:p>
        </w:tc>
        <w:tc>
          <w:tcPr>
            <w:tcW w:w="1559" w:type="dxa"/>
            <w:vMerge w:val="restart"/>
            <w:tcBorders>
              <w:top w:val="single" w:sz="12" w:space="0" w:color="auto"/>
              <w:left w:val="single" w:sz="12" w:space="0" w:color="auto"/>
              <w:right w:val="single" w:sz="12" w:space="0" w:color="auto"/>
            </w:tcBorders>
            <w:shd w:val="clear" w:color="auto" w:fill="C2D69B"/>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Kodi i stacionit</w:t>
            </w:r>
          </w:p>
        </w:tc>
        <w:tc>
          <w:tcPr>
            <w:tcW w:w="1701" w:type="dxa"/>
            <w:vMerge w:val="restart"/>
            <w:tcBorders>
              <w:top w:val="single" w:sz="12" w:space="0" w:color="auto"/>
              <w:left w:val="single" w:sz="12" w:space="0" w:color="auto"/>
              <w:right w:val="single" w:sz="12" w:space="0" w:color="auto"/>
            </w:tcBorders>
            <w:shd w:val="clear" w:color="auto" w:fill="C2D69B"/>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Lumi</w:t>
            </w:r>
          </w:p>
        </w:tc>
        <w:tc>
          <w:tcPr>
            <w:tcW w:w="3118" w:type="dxa"/>
            <w:gridSpan w:val="2"/>
            <w:tcBorders>
              <w:top w:val="single" w:sz="12" w:space="0" w:color="auto"/>
              <w:left w:val="single" w:sz="12" w:space="0" w:color="auto"/>
              <w:bottom w:val="single" w:sz="8" w:space="0" w:color="002060"/>
              <w:right w:val="single" w:sz="12" w:space="0" w:color="auto"/>
            </w:tcBorders>
            <w:shd w:val="clear" w:color="auto" w:fill="C2D69B"/>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Koordinatat gjeografike</w:t>
            </w:r>
          </w:p>
        </w:tc>
        <w:tc>
          <w:tcPr>
            <w:tcW w:w="993" w:type="dxa"/>
            <w:vMerge w:val="restart"/>
            <w:tcBorders>
              <w:top w:val="single" w:sz="12" w:space="0" w:color="auto"/>
              <w:left w:val="single" w:sz="12" w:space="0" w:color="auto"/>
              <w:right w:val="single" w:sz="12" w:space="0" w:color="auto"/>
            </w:tcBorders>
            <w:shd w:val="clear" w:color="auto" w:fill="C2D69B"/>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Prurjet (m</w:t>
            </w:r>
            <w:r w:rsidRPr="00D15B63">
              <w:rPr>
                <w:rFonts w:ascii="Times New Roman" w:eastAsia="Times New Roman" w:hAnsi="Times New Roman" w:cs="Times New Roman"/>
                <w:b/>
                <w:sz w:val="24"/>
                <w:szCs w:val="24"/>
                <w:vertAlign w:val="superscript"/>
                <w:lang w:val="sq-AL"/>
              </w:rPr>
              <w:t>3</w:t>
            </w:r>
            <w:r w:rsidRPr="00D15B63">
              <w:rPr>
                <w:rFonts w:ascii="Times New Roman" w:eastAsia="Times New Roman" w:hAnsi="Times New Roman" w:cs="Times New Roman"/>
                <w:b/>
                <w:sz w:val="24"/>
                <w:szCs w:val="24"/>
                <w:lang w:val="sq-AL"/>
              </w:rPr>
              <w:t>/s)</w:t>
            </w:r>
          </w:p>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Faza e I</w:t>
            </w:r>
          </w:p>
        </w:tc>
        <w:tc>
          <w:tcPr>
            <w:tcW w:w="993" w:type="dxa"/>
            <w:vMerge w:val="restart"/>
            <w:tcBorders>
              <w:top w:val="single" w:sz="12" w:space="0" w:color="auto"/>
              <w:left w:val="single" w:sz="12" w:space="0" w:color="auto"/>
              <w:right w:val="single" w:sz="12" w:space="0" w:color="auto"/>
            </w:tcBorders>
            <w:shd w:val="clear" w:color="auto" w:fill="C2D69B"/>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Prurjet (m</w:t>
            </w:r>
            <w:r w:rsidRPr="00D15B63">
              <w:rPr>
                <w:rFonts w:ascii="Times New Roman" w:eastAsia="Times New Roman" w:hAnsi="Times New Roman" w:cs="Times New Roman"/>
                <w:b/>
                <w:sz w:val="24"/>
                <w:szCs w:val="24"/>
                <w:vertAlign w:val="superscript"/>
                <w:lang w:val="sq-AL"/>
              </w:rPr>
              <w:t>3</w:t>
            </w:r>
            <w:r w:rsidRPr="00D15B63">
              <w:rPr>
                <w:rFonts w:ascii="Times New Roman" w:eastAsia="Times New Roman" w:hAnsi="Times New Roman" w:cs="Times New Roman"/>
                <w:b/>
                <w:sz w:val="24"/>
                <w:szCs w:val="24"/>
                <w:lang w:val="sq-AL"/>
              </w:rPr>
              <w:t>/s)</w:t>
            </w:r>
          </w:p>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Faza e II</w:t>
            </w:r>
          </w:p>
        </w:tc>
      </w:tr>
      <w:tr w:rsidR="00D51CBA" w:rsidRPr="00D15B63" w:rsidTr="00AA3E50">
        <w:trPr>
          <w:trHeight w:val="273"/>
        </w:trPr>
        <w:tc>
          <w:tcPr>
            <w:tcW w:w="512" w:type="dxa"/>
            <w:vMerge/>
            <w:tcBorders>
              <w:left w:val="single" w:sz="12" w:space="0" w:color="auto"/>
              <w:bottom w:val="single" w:sz="12" w:space="0" w:color="auto"/>
              <w:right w:val="single" w:sz="12" w:space="0" w:color="auto"/>
            </w:tcBorders>
            <w:shd w:val="clear" w:color="auto" w:fill="C2D69B"/>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p>
        </w:tc>
        <w:tc>
          <w:tcPr>
            <w:tcW w:w="1615" w:type="dxa"/>
            <w:vMerge/>
            <w:tcBorders>
              <w:left w:val="single" w:sz="12" w:space="0" w:color="auto"/>
              <w:bottom w:val="single" w:sz="12" w:space="0" w:color="auto"/>
              <w:right w:val="single" w:sz="12" w:space="0" w:color="auto"/>
            </w:tcBorders>
            <w:shd w:val="clear" w:color="auto" w:fill="C2D69B"/>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p>
        </w:tc>
        <w:tc>
          <w:tcPr>
            <w:tcW w:w="1559" w:type="dxa"/>
            <w:vMerge/>
            <w:tcBorders>
              <w:left w:val="single" w:sz="12" w:space="0" w:color="auto"/>
              <w:bottom w:val="single" w:sz="12" w:space="0" w:color="auto"/>
              <w:right w:val="single" w:sz="12" w:space="0" w:color="auto"/>
            </w:tcBorders>
            <w:shd w:val="clear" w:color="auto" w:fill="C2D69B"/>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p>
        </w:tc>
        <w:tc>
          <w:tcPr>
            <w:tcW w:w="1701" w:type="dxa"/>
            <w:vMerge/>
            <w:tcBorders>
              <w:left w:val="single" w:sz="12" w:space="0" w:color="auto"/>
              <w:bottom w:val="single" w:sz="12" w:space="0" w:color="auto"/>
              <w:right w:val="single" w:sz="12" w:space="0" w:color="auto"/>
            </w:tcBorders>
            <w:shd w:val="clear" w:color="auto" w:fill="C2D69B"/>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p>
        </w:tc>
        <w:tc>
          <w:tcPr>
            <w:tcW w:w="1559" w:type="dxa"/>
            <w:tcBorders>
              <w:top w:val="single" w:sz="8" w:space="0" w:color="002060"/>
              <w:left w:val="single" w:sz="12" w:space="0" w:color="auto"/>
              <w:bottom w:val="single" w:sz="12" w:space="0" w:color="auto"/>
              <w:right w:val="single" w:sz="8" w:space="0" w:color="002060"/>
            </w:tcBorders>
            <w:shd w:val="clear" w:color="auto" w:fill="C2D69B"/>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N</w:t>
            </w:r>
          </w:p>
        </w:tc>
        <w:tc>
          <w:tcPr>
            <w:tcW w:w="1559" w:type="dxa"/>
            <w:tcBorders>
              <w:top w:val="single" w:sz="8" w:space="0" w:color="auto"/>
              <w:left w:val="single" w:sz="8" w:space="0" w:color="002060"/>
              <w:bottom w:val="single" w:sz="12" w:space="0" w:color="auto"/>
              <w:right w:val="single" w:sz="12" w:space="0" w:color="auto"/>
            </w:tcBorders>
            <w:shd w:val="clear" w:color="auto" w:fill="C2D69B"/>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E</w:t>
            </w:r>
          </w:p>
        </w:tc>
        <w:tc>
          <w:tcPr>
            <w:tcW w:w="993" w:type="dxa"/>
            <w:vMerge/>
            <w:tcBorders>
              <w:left w:val="single" w:sz="12" w:space="0" w:color="auto"/>
              <w:bottom w:val="single" w:sz="12" w:space="0" w:color="auto"/>
              <w:right w:val="single" w:sz="12" w:space="0" w:color="auto"/>
            </w:tcBorders>
            <w:shd w:val="clear" w:color="auto" w:fill="C2D69B"/>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p>
        </w:tc>
        <w:tc>
          <w:tcPr>
            <w:tcW w:w="993" w:type="dxa"/>
            <w:vMerge/>
            <w:tcBorders>
              <w:left w:val="single" w:sz="12" w:space="0" w:color="auto"/>
              <w:bottom w:val="single" w:sz="12" w:space="0" w:color="auto"/>
              <w:right w:val="single" w:sz="12" w:space="0" w:color="auto"/>
            </w:tcBorders>
            <w:shd w:val="clear" w:color="auto" w:fill="C2D69B"/>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p>
        </w:tc>
      </w:tr>
      <w:tr w:rsidR="00D51CBA" w:rsidRPr="00D15B63" w:rsidTr="00AA3E50">
        <w:tc>
          <w:tcPr>
            <w:tcW w:w="512"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w:t>
            </w:r>
          </w:p>
        </w:tc>
        <w:tc>
          <w:tcPr>
            <w:tcW w:w="1615"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e Topojanit</w:t>
            </w:r>
          </w:p>
        </w:tc>
        <w:tc>
          <w:tcPr>
            <w:tcW w:w="1559"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AL10R_Dr1</w:t>
            </w:r>
          </w:p>
        </w:tc>
        <w:tc>
          <w:tcPr>
            <w:tcW w:w="1701"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Drin</w:t>
            </w:r>
          </w:p>
        </w:tc>
        <w:tc>
          <w:tcPr>
            <w:tcW w:w="1559" w:type="dxa"/>
            <w:tcBorders>
              <w:top w:val="single" w:sz="12" w:space="0" w:color="auto"/>
              <w:left w:val="single" w:sz="12"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41</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34’ 50,00”</w:t>
            </w:r>
          </w:p>
        </w:tc>
        <w:tc>
          <w:tcPr>
            <w:tcW w:w="1559" w:type="dxa"/>
            <w:tcBorders>
              <w:top w:val="single" w:sz="12" w:space="0" w:color="auto"/>
              <w:left w:val="single" w:sz="8" w:space="0" w:color="002060"/>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20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26’   2,49”</w:t>
            </w:r>
          </w:p>
        </w:tc>
        <w:tc>
          <w:tcPr>
            <w:tcW w:w="993" w:type="dxa"/>
            <w:tcBorders>
              <w:top w:val="single" w:sz="12" w:space="0" w:color="auto"/>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26.15</w:t>
            </w:r>
          </w:p>
        </w:tc>
        <w:tc>
          <w:tcPr>
            <w:tcW w:w="993" w:type="dxa"/>
            <w:tcBorders>
              <w:top w:val="single" w:sz="12" w:space="0" w:color="auto"/>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12.270</w:t>
            </w:r>
          </w:p>
        </w:tc>
      </w:tr>
      <w:tr w:rsidR="00D51CBA" w:rsidRPr="00D15B63" w:rsidTr="00AA3E50">
        <w:tc>
          <w:tcPr>
            <w:tcW w:w="512"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w:t>
            </w:r>
          </w:p>
        </w:tc>
        <w:tc>
          <w:tcPr>
            <w:tcW w:w="1615"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e Lumës</w:t>
            </w:r>
          </w:p>
        </w:tc>
        <w:tc>
          <w:tcPr>
            <w:tcW w:w="1559"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AL10R_Dr20</w:t>
            </w:r>
          </w:p>
        </w:tc>
        <w:tc>
          <w:tcPr>
            <w:tcW w:w="1701"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D15B63">
              <w:rPr>
                <w:rFonts w:ascii="Times New Roman" w:eastAsia="Times New Roman" w:hAnsi="Times New Roman" w:cs="Times New Roman"/>
                <w:sz w:val="24"/>
                <w:szCs w:val="24"/>
                <w:lang w:val="sq-AL"/>
              </w:rPr>
              <w:t>Drin</w:t>
            </w:r>
          </w:p>
        </w:tc>
        <w:tc>
          <w:tcPr>
            <w:tcW w:w="1559" w:type="dxa"/>
            <w:tcBorders>
              <w:left w:val="single" w:sz="12"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42</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04’   3,66”</w:t>
            </w:r>
          </w:p>
        </w:tc>
        <w:tc>
          <w:tcPr>
            <w:tcW w:w="1559" w:type="dxa"/>
            <w:tcBorders>
              <w:left w:val="single" w:sz="8" w:space="0" w:color="002060"/>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20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27’ 50,74”</w:t>
            </w:r>
          </w:p>
        </w:tc>
        <w:tc>
          <w:tcPr>
            <w:tcW w:w="993" w:type="dxa"/>
            <w:tcBorders>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0.703</w:t>
            </w:r>
          </w:p>
        </w:tc>
        <w:tc>
          <w:tcPr>
            <w:tcW w:w="993" w:type="dxa"/>
            <w:tcBorders>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1.0490</w:t>
            </w:r>
          </w:p>
        </w:tc>
      </w:tr>
      <w:tr w:rsidR="00D51CBA" w:rsidRPr="00D15B63" w:rsidTr="00AA3E50">
        <w:tc>
          <w:tcPr>
            <w:tcW w:w="512"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3</w:t>
            </w:r>
          </w:p>
        </w:tc>
        <w:tc>
          <w:tcPr>
            <w:tcW w:w="1615"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Bahçallëk</w:t>
            </w:r>
          </w:p>
        </w:tc>
        <w:tc>
          <w:tcPr>
            <w:tcW w:w="1559"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AL10R_Dr30</w:t>
            </w:r>
          </w:p>
        </w:tc>
        <w:tc>
          <w:tcPr>
            <w:tcW w:w="1701"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D15B63">
              <w:rPr>
                <w:rFonts w:ascii="Times New Roman" w:eastAsia="Times New Roman" w:hAnsi="Times New Roman" w:cs="Times New Roman"/>
                <w:sz w:val="24"/>
                <w:szCs w:val="24"/>
                <w:lang w:val="sq-AL"/>
              </w:rPr>
              <w:t>Drin</w:t>
            </w:r>
          </w:p>
        </w:tc>
        <w:tc>
          <w:tcPr>
            <w:tcW w:w="1559" w:type="dxa"/>
            <w:tcBorders>
              <w:left w:val="single" w:sz="12" w:space="0" w:color="auto"/>
              <w:bottom w:val="single" w:sz="4"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42</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02’ 31,79”</w:t>
            </w:r>
          </w:p>
        </w:tc>
        <w:tc>
          <w:tcPr>
            <w:tcW w:w="1559" w:type="dxa"/>
            <w:tcBorders>
              <w:left w:val="single" w:sz="8" w:space="0" w:color="002060"/>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29’ 32,48”</w:t>
            </w:r>
          </w:p>
        </w:tc>
        <w:tc>
          <w:tcPr>
            <w:tcW w:w="993" w:type="dxa"/>
            <w:tcBorders>
              <w:left w:val="single" w:sz="8" w:space="0" w:color="002060"/>
              <w:bottom w:val="single" w:sz="4"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310.7</w:t>
            </w:r>
          </w:p>
        </w:tc>
        <w:tc>
          <w:tcPr>
            <w:tcW w:w="993" w:type="dxa"/>
            <w:tcBorders>
              <w:left w:val="single" w:sz="8" w:space="0" w:color="002060"/>
              <w:bottom w:val="single" w:sz="4"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197.23</w:t>
            </w:r>
          </w:p>
        </w:tc>
      </w:tr>
      <w:tr w:rsidR="00D51CBA" w:rsidRPr="00D15B63" w:rsidTr="00AA3E50">
        <w:tc>
          <w:tcPr>
            <w:tcW w:w="512"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4</w:t>
            </w:r>
          </w:p>
        </w:tc>
        <w:tc>
          <w:tcPr>
            <w:tcW w:w="1615"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Tamarë</w:t>
            </w:r>
          </w:p>
        </w:tc>
        <w:tc>
          <w:tcPr>
            <w:tcW w:w="1559"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AL10R_Vr20</w:t>
            </w:r>
          </w:p>
        </w:tc>
        <w:tc>
          <w:tcPr>
            <w:tcW w:w="1701"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Cemi i Selcës</w:t>
            </w:r>
          </w:p>
        </w:tc>
        <w:tc>
          <w:tcPr>
            <w:tcW w:w="1559" w:type="dxa"/>
            <w:tcBorders>
              <w:left w:val="single" w:sz="12" w:space="0" w:color="auto"/>
              <w:bottom w:val="single" w:sz="4"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42</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28’ 50,87”</w:t>
            </w:r>
          </w:p>
        </w:tc>
        <w:tc>
          <w:tcPr>
            <w:tcW w:w="1559" w:type="dxa"/>
            <w:tcBorders>
              <w:left w:val="single" w:sz="8" w:space="0" w:color="002060"/>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34’ 56,58”</w:t>
            </w:r>
          </w:p>
        </w:tc>
        <w:tc>
          <w:tcPr>
            <w:tcW w:w="993" w:type="dxa"/>
            <w:tcBorders>
              <w:left w:val="single" w:sz="8" w:space="0" w:color="002060"/>
              <w:bottom w:val="single" w:sz="4"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2.81</w:t>
            </w:r>
          </w:p>
        </w:tc>
        <w:tc>
          <w:tcPr>
            <w:tcW w:w="993" w:type="dxa"/>
            <w:tcBorders>
              <w:left w:val="single" w:sz="8" w:space="0" w:color="002060"/>
              <w:bottom w:val="single" w:sz="4"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0.5510</w:t>
            </w:r>
          </w:p>
        </w:tc>
      </w:tr>
      <w:tr w:rsidR="00D51CBA" w:rsidRPr="00D15B63" w:rsidTr="00AA3E50">
        <w:tc>
          <w:tcPr>
            <w:tcW w:w="512"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5</w:t>
            </w:r>
          </w:p>
        </w:tc>
        <w:tc>
          <w:tcPr>
            <w:tcW w:w="1615"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Tamarë</w:t>
            </w:r>
          </w:p>
        </w:tc>
        <w:tc>
          <w:tcPr>
            <w:tcW w:w="1559"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CM2</w:t>
            </w:r>
          </w:p>
        </w:tc>
        <w:tc>
          <w:tcPr>
            <w:tcW w:w="1701"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Cemi i Vuklit</w:t>
            </w:r>
          </w:p>
        </w:tc>
        <w:tc>
          <w:tcPr>
            <w:tcW w:w="1559" w:type="dxa"/>
            <w:tcBorders>
              <w:left w:val="single" w:sz="12" w:space="0" w:color="auto"/>
              <w:bottom w:val="single" w:sz="4"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42</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27’ 17,35”</w:t>
            </w:r>
          </w:p>
        </w:tc>
        <w:tc>
          <w:tcPr>
            <w:tcW w:w="1559" w:type="dxa"/>
            <w:tcBorders>
              <w:left w:val="single" w:sz="8" w:space="0" w:color="002060"/>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33’ 40,67”</w:t>
            </w:r>
          </w:p>
        </w:tc>
        <w:tc>
          <w:tcPr>
            <w:tcW w:w="993" w:type="dxa"/>
            <w:tcBorders>
              <w:left w:val="single" w:sz="8" w:space="0" w:color="002060"/>
              <w:bottom w:val="single" w:sz="4"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5.31</w:t>
            </w:r>
          </w:p>
        </w:tc>
        <w:tc>
          <w:tcPr>
            <w:tcW w:w="993" w:type="dxa"/>
            <w:tcBorders>
              <w:left w:val="single" w:sz="8" w:space="0" w:color="002060"/>
              <w:bottom w:val="single" w:sz="4"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1.4880</w:t>
            </w:r>
          </w:p>
        </w:tc>
      </w:tr>
      <w:tr w:rsidR="00D51CBA" w:rsidRPr="00D15B63" w:rsidTr="00AA3E50">
        <w:tc>
          <w:tcPr>
            <w:tcW w:w="512"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6</w:t>
            </w:r>
          </w:p>
        </w:tc>
        <w:tc>
          <w:tcPr>
            <w:tcW w:w="1615"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e Mesit</w:t>
            </w:r>
          </w:p>
        </w:tc>
        <w:tc>
          <w:tcPr>
            <w:tcW w:w="1559"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AL10R_Ki10</w:t>
            </w:r>
          </w:p>
        </w:tc>
        <w:tc>
          <w:tcPr>
            <w:tcW w:w="1701"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Kir, Drin</w:t>
            </w:r>
          </w:p>
        </w:tc>
        <w:tc>
          <w:tcPr>
            <w:tcW w:w="1559" w:type="dxa"/>
            <w:tcBorders>
              <w:left w:val="single" w:sz="12" w:space="0" w:color="auto"/>
              <w:bottom w:val="single" w:sz="4"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42</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06’ 50,00”</w:t>
            </w:r>
          </w:p>
        </w:tc>
        <w:tc>
          <w:tcPr>
            <w:tcW w:w="1559" w:type="dxa"/>
            <w:tcBorders>
              <w:left w:val="single" w:sz="8" w:space="0" w:color="002060"/>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34’ 29,00”</w:t>
            </w:r>
          </w:p>
        </w:tc>
        <w:tc>
          <w:tcPr>
            <w:tcW w:w="993" w:type="dxa"/>
            <w:tcBorders>
              <w:left w:val="single" w:sz="8" w:space="0" w:color="002060"/>
              <w:bottom w:val="single" w:sz="4"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40.3</w:t>
            </w:r>
          </w:p>
        </w:tc>
        <w:tc>
          <w:tcPr>
            <w:tcW w:w="993" w:type="dxa"/>
            <w:tcBorders>
              <w:left w:val="single" w:sz="8" w:space="0" w:color="002060"/>
              <w:bottom w:val="single" w:sz="4"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0.0065</w:t>
            </w:r>
          </w:p>
        </w:tc>
      </w:tr>
      <w:tr w:rsidR="00D51CBA" w:rsidRPr="00D15B63" w:rsidTr="00AA3E50">
        <w:tc>
          <w:tcPr>
            <w:tcW w:w="512"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7</w:t>
            </w:r>
          </w:p>
        </w:tc>
        <w:tc>
          <w:tcPr>
            <w:tcW w:w="1615"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Bajram Curri</w:t>
            </w:r>
          </w:p>
        </w:tc>
        <w:tc>
          <w:tcPr>
            <w:tcW w:w="1559"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AL10R_Va10</w:t>
            </w:r>
          </w:p>
        </w:tc>
        <w:tc>
          <w:tcPr>
            <w:tcW w:w="1701"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Valbonë</w:t>
            </w:r>
          </w:p>
        </w:tc>
        <w:tc>
          <w:tcPr>
            <w:tcW w:w="1559" w:type="dxa"/>
            <w:tcBorders>
              <w:left w:val="single" w:sz="12" w:space="0" w:color="auto"/>
              <w:bottom w:val="single" w:sz="4"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42</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27’ 19,51”</w:t>
            </w:r>
          </w:p>
        </w:tc>
        <w:tc>
          <w:tcPr>
            <w:tcW w:w="1559" w:type="dxa"/>
            <w:tcBorders>
              <w:left w:val="single" w:sz="8" w:space="0" w:color="002060"/>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53’ 46,31”</w:t>
            </w:r>
          </w:p>
        </w:tc>
        <w:tc>
          <w:tcPr>
            <w:tcW w:w="993" w:type="dxa"/>
            <w:tcBorders>
              <w:left w:val="single" w:sz="8" w:space="0" w:color="002060"/>
              <w:bottom w:val="single" w:sz="4"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2.67</w:t>
            </w:r>
          </w:p>
        </w:tc>
        <w:tc>
          <w:tcPr>
            <w:tcW w:w="993" w:type="dxa"/>
            <w:tcBorders>
              <w:left w:val="single" w:sz="8" w:space="0" w:color="002060"/>
              <w:bottom w:val="single" w:sz="4"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0.5904</w:t>
            </w:r>
          </w:p>
        </w:tc>
      </w:tr>
      <w:tr w:rsidR="00D51CBA" w:rsidRPr="00D15B63" w:rsidTr="00AA3E50">
        <w:tc>
          <w:tcPr>
            <w:tcW w:w="512"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8</w:t>
            </w:r>
          </w:p>
        </w:tc>
        <w:tc>
          <w:tcPr>
            <w:tcW w:w="1615"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Shoshani</w:t>
            </w:r>
          </w:p>
        </w:tc>
        <w:tc>
          <w:tcPr>
            <w:tcW w:w="1559"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AL10R_Va20</w:t>
            </w:r>
          </w:p>
        </w:tc>
        <w:tc>
          <w:tcPr>
            <w:tcW w:w="1701" w:type="dxa"/>
            <w:tcBorders>
              <w:left w:val="single" w:sz="12" w:space="0" w:color="auto"/>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Valbonë</w:t>
            </w:r>
          </w:p>
        </w:tc>
        <w:tc>
          <w:tcPr>
            <w:tcW w:w="1559" w:type="dxa"/>
            <w:tcBorders>
              <w:left w:val="single" w:sz="12" w:space="0" w:color="auto"/>
              <w:bottom w:val="single" w:sz="4"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42</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23’ 18,51”</w:t>
            </w:r>
          </w:p>
        </w:tc>
        <w:tc>
          <w:tcPr>
            <w:tcW w:w="1559" w:type="dxa"/>
            <w:tcBorders>
              <w:left w:val="single" w:sz="8" w:space="0" w:color="002060"/>
              <w:bottom w:val="single" w:sz="4"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20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04’ 22,74”</w:t>
            </w:r>
          </w:p>
        </w:tc>
        <w:tc>
          <w:tcPr>
            <w:tcW w:w="993" w:type="dxa"/>
            <w:tcBorders>
              <w:left w:val="single" w:sz="8" w:space="0" w:color="002060"/>
              <w:bottom w:val="single" w:sz="4"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12.67</w:t>
            </w:r>
          </w:p>
        </w:tc>
        <w:tc>
          <w:tcPr>
            <w:tcW w:w="993" w:type="dxa"/>
            <w:tcBorders>
              <w:left w:val="single" w:sz="8" w:space="0" w:color="002060"/>
              <w:bottom w:val="single" w:sz="4"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3.2068</w:t>
            </w:r>
          </w:p>
        </w:tc>
      </w:tr>
      <w:tr w:rsidR="00D51CBA" w:rsidRPr="00D15B63" w:rsidTr="00AA3E50">
        <w:tc>
          <w:tcPr>
            <w:tcW w:w="512"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9</w:t>
            </w:r>
          </w:p>
        </w:tc>
        <w:tc>
          <w:tcPr>
            <w:tcW w:w="1615"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e Bujanit</w:t>
            </w:r>
          </w:p>
        </w:tc>
        <w:tc>
          <w:tcPr>
            <w:tcW w:w="1559"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AL10R_Va30</w:t>
            </w:r>
          </w:p>
        </w:tc>
        <w:tc>
          <w:tcPr>
            <w:tcW w:w="1701"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Valbonë</w:t>
            </w:r>
          </w:p>
        </w:tc>
        <w:tc>
          <w:tcPr>
            <w:tcW w:w="1559" w:type="dxa"/>
            <w:tcBorders>
              <w:left w:val="single" w:sz="12" w:space="0" w:color="auto"/>
              <w:bottom w:val="single" w:sz="12"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42</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19’ 40,49”</w:t>
            </w:r>
          </w:p>
        </w:tc>
        <w:tc>
          <w:tcPr>
            <w:tcW w:w="1559" w:type="dxa"/>
            <w:tcBorders>
              <w:left w:val="single" w:sz="8" w:space="0" w:color="002060"/>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20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04’ 50,32”</w:t>
            </w:r>
          </w:p>
        </w:tc>
        <w:tc>
          <w:tcPr>
            <w:tcW w:w="993" w:type="dxa"/>
            <w:tcBorders>
              <w:left w:val="single" w:sz="8" w:space="0" w:color="002060"/>
              <w:bottom w:val="single" w:sz="12"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15.9</w:t>
            </w:r>
          </w:p>
        </w:tc>
        <w:tc>
          <w:tcPr>
            <w:tcW w:w="993" w:type="dxa"/>
            <w:tcBorders>
              <w:left w:val="single" w:sz="8" w:space="0" w:color="002060"/>
              <w:bottom w:val="single" w:sz="12"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8.0556</w:t>
            </w:r>
          </w:p>
        </w:tc>
      </w:tr>
      <w:tr w:rsidR="00D51CBA" w:rsidRPr="00D15B63" w:rsidTr="00AA3E50">
        <w:tc>
          <w:tcPr>
            <w:tcW w:w="512"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10</w:t>
            </w:r>
          </w:p>
        </w:tc>
        <w:tc>
          <w:tcPr>
            <w:tcW w:w="1615"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Vermosh</w:t>
            </w:r>
          </w:p>
        </w:tc>
        <w:tc>
          <w:tcPr>
            <w:tcW w:w="1559"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AL10R_Vr10</w:t>
            </w:r>
          </w:p>
        </w:tc>
        <w:tc>
          <w:tcPr>
            <w:tcW w:w="1701"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Vermosh</w:t>
            </w:r>
          </w:p>
        </w:tc>
        <w:tc>
          <w:tcPr>
            <w:tcW w:w="1559" w:type="dxa"/>
            <w:tcBorders>
              <w:top w:val="single" w:sz="12" w:space="0" w:color="auto"/>
              <w:left w:val="single" w:sz="12" w:space="0" w:color="auto"/>
              <w:right w:val="single" w:sz="8" w:space="0" w:color="002060"/>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42</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34’ 58,33”</w:t>
            </w:r>
          </w:p>
        </w:tc>
        <w:tc>
          <w:tcPr>
            <w:tcW w:w="1559" w:type="dxa"/>
            <w:tcBorders>
              <w:top w:val="single" w:sz="12" w:space="0" w:color="auto"/>
              <w:left w:val="single" w:sz="8" w:space="0" w:color="002060"/>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44’ 50,81”</w:t>
            </w:r>
          </w:p>
        </w:tc>
        <w:tc>
          <w:tcPr>
            <w:tcW w:w="993" w:type="dxa"/>
            <w:tcBorders>
              <w:top w:val="single" w:sz="12" w:space="0" w:color="auto"/>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3.425</w:t>
            </w:r>
          </w:p>
        </w:tc>
        <w:tc>
          <w:tcPr>
            <w:tcW w:w="993" w:type="dxa"/>
            <w:tcBorders>
              <w:top w:val="single" w:sz="12" w:space="0" w:color="auto"/>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1.058</w:t>
            </w:r>
          </w:p>
        </w:tc>
      </w:tr>
      <w:tr w:rsidR="00D51CBA" w:rsidRPr="00D15B63" w:rsidTr="00AA3E50">
        <w:tc>
          <w:tcPr>
            <w:tcW w:w="512"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11</w:t>
            </w:r>
          </w:p>
        </w:tc>
        <w:tc>
          <w:tcPr>
            <w:tcW w:w="1615"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e Bunës</w:t>
            </w:r>
          </w:p>
        </w:tc>
        <w:tc>
          <w:tcPr>
            <w:tcW w:w="1559"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AL10R_ Bu10</w:t>
            </w:r>
          </w:p>
        </w:tc>
        <w:tc>
          <w:tcPr>
            <w:tcW w:w="1701"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Bunë</w:t>
            </w:r>
          </w:p>
        </w:tc>
        <w:tc>
          <w:tcPr>
            <w:tcW w:w="1559" w:type="dxa"/>
            <w:tcBorders>
              <w:top w:val="single" w:sz="12" w:space="0" w:color="auto"/>
              <w:left w:val="single" w:sz="12"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42</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03’03,17”</w:t>
            </w:r>
          </w:p>
        </w:tc>
        <w:tc>
          <w:tcPr>
            <w:tcW w:w="1559" w:type="dxa"/>
            <w:tcBorders>
              <w:top w:val="single" w:sz="12" w:space="0" w:color="auto"/>
              <w:left w:val="single" w:sz="8" w:space="0" w:color="002060"/>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29’ 28,16”</w:t>
            </w:r>
          </w:p>
        </w:tc>
        <w:tc>
          <w:tcPr>
            <w:tcW w:w="993" w:type="dxa"/>
            <w:tcBorders>
              <w:top w:val="single" w:sz="12" w:space="0" w:color="auto"/>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121.53</w:t>
            </w:r>
          </w:p>
        </w:tc>
        <w:tc>
          <w:tcPr>
            <w:tcW w:w="993" w:type="dxa"/>
            <w:tcBorders>
              <w:top w:val="single" w:sz="12" w:space="0" w:color="auto"/>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111.02</w:t>
            </w:r>
          </w:p>
        </w:tc>
      </w:tr>
      <w:tr w:rsidR="00D51CBA" w:rsidRPr="00D15B63" w:rsidTr="00AA3E50">
        <w:tc>
          <w:tcPr>
            <w:tcW w:w="512"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12</w:t>
            </w:r>
          </w:p>
        </w:tc>
        <w:tc>
          <w:tcPr>
            <w:tcW w:w="1615"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Murriqan</w:t>
            </w:r>
          </w:p>
        </w:tc>
        <w:tc>
          <w:tcPr>
            <w:tcW w:w="1559"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AL10R_ Bu20</w:t>
            </w:r>
          </w:p>
        </w:tc>
        <w:tc>
          <w:tcPr>
            <w:tcW w:w="1701"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Bunë</w:t>
            </w:r>
          </w:p>
        </w:tc>
        <w:tc>
          <w:tcPr>
            <w:tcW w:w="1559" w:type="dxa"/>
            <w:tcBorders>
              <w:left w:val="single" w:sz="12" w:space="0" w:color="auto"/>
              <w:bottom w:val="single" w:sz="12"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42</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00’ 30,20”</w:t>
            </w:r>
          </w:p>
        </w:tc>
        <w:tc>
          <w:tcPr>
            <w:tcW w:w="1559" w:type="dxa"/>
            <w:tcBorders>
              <w:left w:val="single" w:sz="8" w:space="0" w:color="002060"/>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24’ 14,78”</w:t>
            </w:r>
          </w:p>
        </w:tc>
        <w:tc>
          <w:tcPr>
            <w:tcW w:w="993" w:type="dxa"/>
            <w:tcBorders>
              <w:left w:val="single" w:sz="8" w:space="0" w:color="002060"/>
              <w:bottom w:val="single" w:sz="12"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435.33</w:t>
            </w:r>
          </w:p>
        </w:tc>
        <w:tc>
          <w:tcPr>
            <w:tcW w:w="993" w:type="dxa"/>
            <w:tcBorders>
              <w:left w:val="single" w:sz="8" w:space="0" w:color="002060"/>
              <w:bottom w:val="single" w:sz="12"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311.15</w:t>
            </w:r>
          </w:p>
        </w:tc>
      </w:tr>
      <w:tr w:rsidR="00D51CBA" w:rsidRPr="00D15B63" w:rsidTr="00AA3E50">
        <w:tc>
          <w:tcPr>
            <w:tcW w:w="512"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13</w:t>
            </w:r>
          </w:p>
        </w:tc>
        <w:tc>
          <w:tcPr>
            <w:tcW w:w="1615"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e Darsit</w:t>
            </w:r>
          </w:p>
        </w:tc>
        <w:tc>
          <w:tcPr>
            <w:tcW w:w="1559"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AL20R_Ma10</w:t>
            </w:r>
          </w:p>
        </w:tc>
        <w:tc>
          <w:tcPr>
            <w:tcW w:w="1701"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Pr i Darsit, Mat</w:t>
            </w:r>
          </w:p>
        </w:tc>
        <w:tc>
          <w:tcPr>
            <w:tcW w:w="1559" w:type="dxa"/>
            <w:tcBorders>
              <w:top w:val="single" w:sz="12" w:space="0" w:color="auto"/>
              <w:left w:val="single" w:sz="12" w:space="0" w:color="auto"/>
              <w:right w:val="single" w:sz="8" w:space="0" w:color="002060"/>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41</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30’ 23,91”</w:t>
            </w:r>
          </w:p>
        </w:tc>
        <w:tc>
          <w:tcPr>
            <w:tcW w:w="1559" w:type="dxa"/>
            <w:tcBorders>
              <w:top w:val="single" w:sz="12" w:space="0" w:color="auto"/>
              <w:left w:val="single" w:sz="8" w:space="0" w:color="002060"/>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20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04’ 58,52”</w:t>
            </w:r>
          </w:p>
        </w:tc>
        <w:tc>
          <w:tcPr>
            <w:tcW w:w="993" w:type="dxa"/>
            <w:tcBorders>
              <w:top w:val="single" w:sz="12" w:space="0" w:color="auto"/>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9.34</w:t>
            </w:r>
          </w:p>
        </w:tc>
        <w:tc>
          <w:tcPr>
            <w:tcW w:w="993" w:type="dxa"/>
            <w:tcBorders>
              <w:top w:val="single" w:sz="12" w:space="0" w:color="auto"/>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3.456</w:t>
            </w:r>
          </w:p>
        </w:tc>
      </w:tr>
      <w:tr w:rsidR="00D51CBA" w:rsidRPr="00D15B63" w:rsidTr="00AA3E50">
        <w:tc>
          <w:tcPr>
            <w:tcW w:w="512"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14</w:t>
            </w:r>
          </w:p>
        </w:tc>
        <w:tc>
          <w:tcPr>
            <w:tcW w:w="1615"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e Fanit</w:t>
            </w:r>
          </w:p>
        </w:tc>
        <w:tc>
          <w:tcPr>
            <w:tcW w:w="1559"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AL20R_ Fa20</w:t>
            </w:r>
          </w:p>
        </w:tc>
        <w:tc>
          <w:tcPr>
            <w:tcW w:w="1701"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Fani i Vogël, Mat</w:t>
            </w:r>
          </w:p>
        </w:tc>
        <w:tc>
          <w:tcPr>
            <w:tcW w:w="1559" w:type="dxa"/>
            <w:tcBorders>
              <w:left w:val="single" w:sz="12" w:space="0" w:color="auto"/>
              <w:right w:val="single" w:sz="8" w:space="0" w:color="002060"/>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41</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46’ 32,40”</w:t>
            </w:r>
          </w:p>
        </w:tc>
        <w:tc>
          <w:tcPr>
            <w:tcW w:w="1559" w:type="dxa"/>
            <w:tcBorders>
              <w:left w:val="single" w:sz="8" w:space="0" w:color="002060"/>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51’ 34,10”</w:t>
            </w:r>
          </w:p>
        </w:tc>
        <w:tc>
          <w:tcPr>
            <w:tcW w:w="993" w:type="dxa"/>
            <w:tcBorders>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2.21</w:t>
            </w:r>
          </w:p>
        </w:tc>
        <w:tc>
          <w:tcPr>
            <w:tcW w:w="993" w:type="dxa"/>
            <w:tcBorders>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1.078</w:t>
            </w:r>
          </w:p>
        </w:tc>
      </w:tr>
      <w:tr w:rsidR="00D51CBA" w:rsidRPr="00D15B63" w:rsidTr="00AA3E50">
        <w:tc>
          <w:tcPr>
            <w:tcW w:w="512" w:type="dxa"/>
            <w:tcBorders>
              <w:left w:val="single" w:sz="12" w:space="0" w:color="auto"/>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15</w:t>
            </w:r>
          </w:p>
        </w:tc>
        <w:tc>
          <w:tcPr>
            <w:tcW w:w="1615" w:type="dxa"/>
            <w:tcBorders>
              <w:left w:val="single" w:sz="12" w:space="0" w:color="auto"/>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Berluskoni</w:t>
            </w:r>
          </w:p>
        </w:tc>
        <w:tc>
          <w:tcPr>
            <w:tcW w:w="1559" w:type="dxa"/>
            <w:tcBorders>
              <w:left w:val="single" w:sz="12" w:space="0" w:color="auto"/>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AL20R_Ma50</w:t>
            </w:r>
          </w:p>
        </w:tc>
        <w:tc>
          <w:tcPr>
            <w:tcW w:w="1701" w:type="dxa"/>
            <w:tcBorders>
              <w:left w:val="single" w:sz="12" w:space="0" w:color="auto"/>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Mat</w:t>
            </w:r>
          </w:p>
        </w:tc>
        <w:tc>
          <w:tcPr>
            <w:tcW w:w="1559" w:type="dxa"/>
            <w:tcBorders>
              <w:left w:val="single" w:sz="12" w:space="0" w:color="auto"/>
              <w:bottom w:val="single" w:sz="12" w:space="0" w:color="auto"/>
              <w:right w:val="single" w:sz="8" w:space="0" w:color="002060"/>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41</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41’ 57,50”</w:t>
            </w:r>
          </w:p>
        </w:tc>
        <w:tc>
          <w:tcPr>
            <w:tcW w:w="1559" w:type="dxa"/>
            <w:tcBorders>
              <w:left w:val="single" w:sz="8" w:space="0" w:color="002060"/>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43’ 33,62”</w:t>
            </w:r>
          </w:p>
        </w:tc>
        <w:tc>
          <w:tcPr>
            <w:tcW w:w="993" w:type="dxa"/>
            <w:tcBorders>
              <w:left w:val="single" w:sz="8" w:space="0" w:color="002060"/>
              <w:bottom w:val="single" w:sz="12" w:space="0" w:color="auto"/>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24.62</w:t>
            </w:r>
          </w:p>
        </w:tc>
        <w:tc>
          <w:tcPr>
            <w:tcW w:w="993" w:type="dxa"/>
            <w:tcBorders>
              <w:left w:val="single" w:sz="8" w:space="0" w:color="002060"/>
              <w:bottom w:val="single" w:sz="12" w:space="0" w:color="auto"/>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27.60</w:t>
            </w:r>
          </w:p>
        </w:tc>
      </w:tr>
      <w:tr w:rsidR="00D51CBA" w:rsidRPr="00D15B63" w:rsidTr="00AA3E50">
        <w:tc>
          <w:tcPr>
            <w:tcW w:w="512"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16</w:t>
            </w:r>
          </w:p>
        </w:tc>
        <w:tc>
          <w:tcPr>
            <w:tcW w:w="1615"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e Brarit</w:t>
            </w:r>
          </w:p>
        </w:tc>
        <w:tc>
          <w:tcPr>
            <w:tcW w:w="1559"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AL30R_ Tr20</w:t>
            </w:r>
          </w:p>
        </w:tc>
        <w:tc>
          <w:tcPr>
            <w:tcW w:w="1701"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Ishëm</w:t>
            </w:r>
          </w:p>
        </w:tc>
        <w:tc>
          <w:tcPr>
            <w:tcW w:w="1559" w:type="dxa"/>
            <w:tcBorders>
              <w:top w:val="single" w:sz="12" w:space="0" w:color="auto"/>
              <w:left w:val="single" w:sz="12"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41</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22’ 47,72”</w:t>
            </w:r>
          </w:p>
        </w:tc>
        <w:tc>
          <w:tcPr>
            <w:tcW w:w="1559" w:type="dxa"/>
            <w:tcBorders>
              <w:top w:val="single" w:sz="12" w:space="0" w:color="auto"/>
              <w:left w:val="single" w:sz="8" w:space="0" w:color="002060"/>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51’ 34,27”</w:t>
            </w:r>
          </w:p>
        </w:tc>
        <w:tc>
          <w:tcPr>
            <w:tcW w:w="993" w:type="dxa"/>
            <w:tcBorders>
              <w:top w:val="single" w:sz="12" w:space="0" w:color="auto"/>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0.7</w:t>
            </w:r>
          </w:p>
        </w:tc>
        <w:tc>
          <w:tcPr>
            <w:tcW w:w="993" w:type="dxa"/>
            <w:tcBorders>
              <w:top w:val="single" w:sz="12" w:space="0" w:color="auto"/>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2.064</w:t>
            </w:r>
          </w:p>
        </w:tc>
      </w:tr>
      <w:tr w:rsidR="00D51CBA" w:rsidRPr="00D15B63" w:rsidTr="00AA3E50">
        <w:tc>
          <w:tcPr>
            <w:tcW w:w="512"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17</w:t>
            </w:r>
          </w:p>
        </w:tc>
        <w:tc>
          <w:tcPr>
            <w:tcW w:w="1615"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Salme-Shetaj</w:t>
            </w:r>
          </w:p>
        </w:tc>
        <w:tc>
          <w:tcPr>
            <w:tcW w:w="1559"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Al_RV_049</w:t>
            </w:r>
          </w:p>
        </w:tc>
        <w:tc>
          <w:tcPr>
            <w:tcW w:w="1701"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Ishëm</w:t>
            </w:r>
          </w:p>
        </w:tc>
        <w:tc>
          <w:tcPr>
            <w:tcW w:w="1559" w:type="dxa"/>
            <w:tcBorders>
              <w:left w:val="single" w:sz="12" w:space="0" w:color="auto"/>
              <w:bottom w:val="single" w:sz="12"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41</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32’ 29,39”</w:t>
            </w:r>
          </w:p>
        </w:tc>
        <w:tc>
          <w:tcPr>
            <w:tcW w:w="1559" w:type="dxa"/>
            <w:tcBorders>
              <w:left w:val="single" w:sz="8" w:space="0" w:color="002060"/>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36’ 37,98”</w:t>
            </w:r>
          </w:p>
        </w:tc>
        <w:tc>
          <w:tcPr>
            <w:tcW w:w="993" w:type="dxa"/>
            <w:tcBorders>
              <w:left w:val="single" w:sz="8" w:space="0" w:color="002060"/>
              <w:bottom w:val="single" w:sz="12"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5.06</w:t>
            </w:r>
          </w:p>
        </w:tc>
        <w:tc>
          <w:tcPr>
            <w:tcW w:w="993" w:type="dxa"/>
            <w:tcBorders>
              <w:left w:val="single" w:sz="8" w:space="0" w:color="002060"/>
              <w:bottom w:val="single" w:sz="12"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12.01</w:t>
            </w:r>
          </w:p>
        </w:tc>
      </w:tr>
      <w:tr w:rsidR="00D51CBA" w:rsidRPr="00D15B63" w:rsidTr="00AA3E50">
        <w:tc>
          <w:tcPr>
            <w:tcW w:w="512"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lastRenderedPageBreak/>
              <w:t>18</w:t>
            </w:r>
          </w:p>
        </w:tc>
        <w:tc>
          <w:tcPr>
            <w:tcW w:w="1615"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Pëllumbas</w:t>
            </w:r>
          </w:p>
        </w:tc>
        <w:tc>
          <w:tcPr>
            <w:tcW w:w="1559"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AL40R_ Er20</w:t>
            </w:r>
          </w:p>
        </w:tc>
        <w:tc>
          <w:tcPr>
            <w:tcW w:w="1701"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Erzen</w:t>
            </w:r>
          </w:p>
        </w:tc>
        <w:tc>
          <w:tcPr>
            <w:tcW w:w="1559" w:type="dxa"/>
            <w:tcBorders>
              <w:top w:val="single" w:sz="12" w:space="0" w:color="auto"/>
              <w:left w:val="single" w:sz="12" w:space="0" w:color="auto"/>
              <w:right w:val="single" w:sz="8" w:space="0" w:color="002060"/>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41</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14’ 43,24”</w:t>
            </w:r>
          </w:p>
        </w:tc>
        <w:tc>
          <w:tcPr>
            <w:tcW w:w="1559" w:type="dxa"/>
            <w:tcBorders>
              <w:top w:val="single" w:sz="12" w:space="0" w:color="auto"/>
              <w:left w:val="single" w:sz="8" w:space="0" w:color="002060"/>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56’  9,32”</w:t>
            </w:r>
          </w:p>
        </w:tc>
        <w:tc>
          <w:tcPr>
            <w:tcW w:w="993" w:type="dxa"/>
            <w:tcBorders>
              <w:top w:val="single" w:sz="12" w:space="0" w:color="auto"/>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1.09</w:t>
            </w:r>
          </w:p>
        </w:tc>
        <w:tc>
          <w:tcPr>
            <w:tcW w:w="993" w:type="dxa"/>
            <w:tcBorders>
              <w:top w:val="single" w:sz="12" w:space="0" w:color="auto"/>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6.206</w:t>
            </w:r>
          </w:p>
        </w:tc>
      </w:tr>
      <w:tr w:rsidR="00D51CBA" w:rsidRPr="00D15B63" w:rsidTr="00AA3E50">
        <w:tc>
          <w:tcPr>
            <w:tcW w:w="512" w:type="dxa"/>
            <w:tcBorders>
              <w:left w:val="single" w:sz="12" w:space="0" w:color="auto"/>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19</w:t>
            </w:r>
          </w:p>
        </w:tc>
        <w:tc>
          <w:tcPr>
            <w:tcW w:w="1615" w:type="dxa"/>
            <w:tcBorders>
              <w:left w:val="single" w:sz="12" w:space="0" w:color="auto"/>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Sallmone</w:t>
            </w:r>
          </w:p>
        </w:tc>
        <w:tc>
          <w:tcPr>
            <w:tcW w:w="1559" w:type="dxa"/>
            <w:tcBorders>
              <w:left w:val="single" w:sz="12" w:space="0" w:color="auto"/>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Al_RV_504</w:t>
            </w:r>
          </w:p>
        </w:tc>
        <w:tc>
          <w:tcPr>
            <w:tcW w:w="1701" w:type="dxa"/>
            <w:tcBorders>
              <w:left w:val="single" w:sz="12" w:space="0" w:color="auto"/>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Erzen</w:t>
            </w:r>
          </w:p>
        </w:tc>
        <w:tc>
          <w:tcPr>
            <w:tcW w:w="1559" w:type="dxa"/>
            <w:tcBorders>
              <w:left w:val="single" w:sz="12" w:space="0" w:color="auto"/>
              <w:bottom w:val="single" w:sz="12" w:space="0" w:color="auto"/>
              <w:right w:val="single" w:sz="8" w:space="0" w:color="002060"/>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41</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21’ 39,55”</w:t>
            </w:r>
          </w:p>
        </w:tc>
        <w:tc>
          <w:tcPr>
            <w:tcW w:w="1559" w:type="dxa"/>
            <w:tcBorders>
              <w:left w:val="single" w:sz="8" w:space="0" w:color="002060"/>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32’ 56,85”</w:t>
            </w:r>
          </w:p>
        </w:tc>
        <w:tc>
          <w:tcPr>
            <w:tcW w:w="993" w:type="dxa"/>
            <w:tcBorders>
              <w:left w:val="single" w:sz="8" w:space="0" w:color="002060"/>
              <w:bottom w:val="single" w:sz="12" w:space="0" w:color="auto"/>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2.27</w:t>
            </w:r>
          </w:p>
        </w:tc>
        <w:tc>
          <w:tcPr>
            <w:tcW w:w="993" w:type="dxa"/>
            <w:tcBorders>
              <w:left w:val="single" w:sz="8" w:space="0" w:color="002060"/>
              <w:bottom w:val="single" w:sz="12" w:space="0" w:color="auto"/>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4.963</w:t>
            </w:r>
          </w:p>
        </w:tc>
      </w:tr>
      <w:tr w:rsidR="00D51CBA" w:rsidRPr="00D15B63" w:rsidTr="00AA3E50">
        <w:tc>
          <w:tcPr>
            <w:tcW w:w="512"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20</w:t>
            </w:r>
          </w:p>
        </w:tc>
        <w:tc>
          <w:tcPr>
            <w:tcW w:w="1615"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Proptisht</w:t>
            </w:r>
          </w:p>
        </w:tc>
        <w:tc>
          <w:tcPr>
            <w:tcW w:w="1559"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AL50R_ Sh10</w:t>
            </w:r>
          </w:p>
        </w:tc>
        <w:tc>
          <w:tcPr>
            <w:tcW w:w="1701"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Shkumbin</w:t>
            </w:r>
          </w:p>
        </w:tc>
        <w:tc>
          <w:tcPr>
            <w:tcW w:w="1559" w:type="dxa"/>
            <w:tcBorders>
              <w:top w:val="single" w:sz="12" w:space="0" w:color="auto"/>
              <w:left w:val="single" w:sz="12"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58’ 57,86”</w:t>
            </w:r>
          </w:p>
        </w:tc>
        <w:tc>
          <w:tcPr>
            <w:tcW w:w="1559" w:type="dxa"/>
            <w:tcBorders>
              <w:top w:val="single" w:sz="12" w:space="0" w:color="auto"/>
              <w:left w:val="single" w:sz="8" w:space="0" w:color="002060"/>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20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30’ 38,39”</w:t>
            </w:r>
          </w:p>
        </w:tc>
        <w:tc>
          <w:tcPr>
            <w:tcW w:w="993" w:type="dxa"/>
            <w:tcBorders>
              <w:top w:val="single" w:sz="12" w:space="0" w:color="auto"/>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3.55</w:t>
            </w:r>
          </w:p>
        </w:tc>
        <w:tc>
          <w:tcPr>
            <w:tcW w:w="993" w:type="dxa"/>
            <w:tcBorders>
              <w:top w:val="single" w:sz="12" w:space="0" w:color="auto"/>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3.812</w:t>
            </w:r>
          </w:p>
        </w:tc>
      </w:tr>
      <w:tr w:rsidR="00D51CBA" w:rsidRPr="00D15B63" w:rsidTr="00AA3E50">
        <w:tc>
          <w:tcPr>
            <w:tcW w:w="512"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21</w:t>
            </w:r>
          </w:p>
        </w:tc>
        <w:tc>
          <w:tcPr>
            <w:tcW w:w="1615"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Labinot</w:t>
            </w:r>
          </w:p>
        </w:tc>
        <w:tc>
          <w:tcPr>
            <w:tcW w:w="1559"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AL50R_ Sh50</w:t>
            </w:r>
          </w:p>
        </w:tc>
        <w:tc>
          <w:tcPr>
            <w:tcW w:w="1701"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Shkumbin </w:t>
            </w:r>
          </w:p>
        </w:tc>
        <w:tc>
          <w:tcPr>
            <w:tcW w:w="1559" w:type="dxa"/>
            <w:tcBorders>
              <w:left w:val="single" w:sz="12"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41</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08’ 53,77”</w:t>
            </w:r>
          </w:p>
        </w:tc>
        <w:tc>
          <w:tcPr>
            <w:tcW w:w="1559" w:type="dxa"/>
            <w:tcBorders>
              <w:left w:val="single" w:sz="8" w:space="0" w:color="002060"/>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20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9’ 58,47”</w:t>
            </w:r>
          </w:p>
        </w:tc>
        <w:tc>
          <w:tcPr>
            <w:tcW w:w="993" w:type="dxa"/>
            <w:tcBorders>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22.26</w:t>
            </w:r>
          </w:p>
        </w:tc>
        <w:tc>
          <w:tcPr>
            <w:tcW w:w="993" w:type="dxa"/>
            <w:tcBorders>
              <w:left w:val="single" w:sz="8" w:space="0" w:color="002060"/>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32.444</w:t>
            </w:r>
          </w:p>
        </w:tc>
      </w:tr>
      <w:tr w:rsidR="00D51CBA" w:rsidRPr="00D15B63" w:rsidTr="00AA3E50">
        <w:tc>
          <w:tcPr>
            <w:tcW w:w="512"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22</w:t>
            </w:r>
          </w:p>
        </w:tc>
        <w:tc>
          <w:tcPr>
            <w:tcW w:w="1615"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e Paprit</w:t>
            </w:r>
          </w:p>
        </w:tc>
        <w:tc>
          <w:tcPr>
            <w:tcW w:w="1559"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AL50R_ Sh100</w:t>
            </w:r>
          </w:p>
        </w:tc>
        <w:tc>
          <w:tcPr>
            <w:tcW w:w="1701"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Shkumbin</w:t>
            </w:r>
          </w:p>
        </w:tc>
        <w:tc>
          <w:tcPr>
            <w:tcW w:w="1559" w:type="dxa"/>
            <w:tcBorders>
              <w:left w:val="single" w:sz="12"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41</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03’ 08,67”</w:t>
            </w:r>
          </w:p>
        </w:tc>
        <w:tc>
          <w:tcPr>
            <w:tcW w:w="1559" w:type="dxa"/>
            <w:tcBorders>
              <w:left w:val="single" w:sz="8" w:space="0" w:color="002060"/>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56’ 33,65”</w:t>
            </w:r>
          </w:p>
        </w:tc>
        <w:tc>
          <w:tcPr>
            <w:tcW w:w="993" w:type="dxa"/>
            <w:tcBorders>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20.63</w:t>
            </w:r>
          </w:p>
        </w:tc>
        <w:tc>
          <w:tcPr>
            <w:tcW w:w="993" w:type="dxa"/>
            <w:tcBorders>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30.298</w:t>
            </w:r>
          </w:p>
        </w:tc>
      </w:tr>
      <w:tr w:rsidR="00D51CBA" w:rsidRPr="00D15B63" w:rsidTr="00AA3E50">
        <w:tc>
          <w:tcPr>
            <w:tcW w:w="512"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23</w:t>
            </w:r>
          </w:p>
        </w:tc>
        <w:tc>
          <w:tcPr>
            <w:tcW w:w="1615"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Rrogozhinë</w:t>
            </w:r>
          </w:p>
        </w:tc>
        <w:tc>
          <w:tcPr>
            <w:tcW w:w="1559"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AL50R_ Sh120</w:t>
            </w:r>
          </w:p>
        </w:tc>
        <w:tc>
          <w:tcPr>
            <w:tcW w:w="1701"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Shkumbin</w:t>
            </w:r>
          </w:p>
        </w:tc>
        <w:tc>
          <w:tcPr>
            <w:tcW w:w="1559" w:type="dxa"/>
            <w:tcBorders>
              <w:left w:val="single" w:sz="12" w:space="0" w:color="auto"/>
              <w:bottom w:val="single" w:sz="12"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41</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03’ 52,14”</w:t>
            </w:r>
          </w:p>
        </w:tc>
        <w:tc>
          <w:tcPr>
            <w:tcW w:w="1559" w:type="dxa"/>
            <w:tcBorders>
              <w:left w:val="single" w:sz="8" w:space="0" w:color="002060"/>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39’ 13,13”</w:t>
            </w:r>
          </w:p>
        </w:tc>
        <w:tc>
          <w:tcPr>
            <w:tcW w:w="993" w:type="dxa"/>
            <w:tcBorders>
              <w:left w:val="single" w:sz="8" w:space="0" w:color="002060"/>
              <w:bottom w:val="single" w:sz="12"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15.99</w:t>
            </w:r>
          </w:p>
        </w:tc>
        <w:tc>
          <w:tcPr>
            <w:tcW w:w="993" w:type="dxa"/>
            <w:tcBorders>
              <w:left w:val="single" w:sz="8" w:space="0" w:color="002060"/>
              <w:bottom w:val="single" w:sz="12"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63.514</w:t>
            </w:r>
          </w:p>
        </w:tc>
      </w:tr>
      <w:tr w:rsidR="00D51CBA" w:rsidRPr="00D15B63" w:rsidTr="00AA3E50">
        <w:tc>
          <w:tcPr>
            <w:tcW w:w="512"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24</w:t>
            </w:r>
          </w:p>
        </w:tc>
        <w:tc>
          <w:tcPr>
            <w:tcW w:w="1615"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Bilisht</w:t>
            </w:r>
          </w:p>
        </w:tc>
        <w:tc>
          <w:tcPr>
            <w:tcW w:w="1559"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AL60R_ 40</w:t>
            </w:r>
          </w:p>
        </w:tc>
        <w:tc>
          <w:tcPr>
            <w:tcW w:w="1701"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Devoll, Seman</w:t>
            </w:r>
          </w:p>
        </w:tc>
        <w:tc>
          <w:tcPr>
            <w:tcW w:w="1559" w:type="dxa"/>
            <w:tcBorders>
              <w:top w:val="single" w:sz="12" w:space="0" w:color="auto"/>
              <w:left w:val="single" w:sz="12" w:space="0" w:color="auto"/>
              <w:right w:val="single" w:sz="8" w:space="0" w:color="002060"/>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39’ 17,53”</w:t>
            </w:r>
          </w:p>
        </w:tc>
        <w:tc>
          <w:tcPr>
            <w:tcW w:w="1559" w:type="dxa"/>
            <w:tcBorders>
              <w:top w:val="single" w:sz="12" w:space="0" w:color="auto"/>
              <w:left w:val="single" w:sz="8" w:space="0" w:color="002060"/>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20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57’ 17,82”</w:t>
            </w:r>
          </w:p>
        </w:tc>
        <w:tc>
          <w:tcPr>
            <w:tcW w:w="993" w:type="dxa"/>
            <w:tcBorders>
              <w:top w:val="single" w:sz="12" w:space="0" w:color="auto"/>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0.93</w:t>
            </w:r>
          </w:p>
        </w:tc>
        <w:tc>
          <w:tcPr>
            <w:tcW w:w="993" w:type="dxa"/>
            <w:tcBorders>
              <w:top w:val="single" w:sz="12" w:space="0" w:color="auto"/>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0.362</w:t>
            </w:r>
          </w:p>
        </w:tc>
      </w:tr>
      <w:tr w:rsidR="00D51CBA" w:rsidRPr="00D15B63" w:rsidTr="00AA3E50">
        <w:tc>
          <w:tcPr>
            <w:tcW w:w="512"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25</w:t>
            </w:r>
          </w:p>
        </w:tc>
        <w:tc>
          <w:tcPr>
            <w:tcW w:w="1615"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e Lapanjit</w:t>
            </w:r>
          </w:p>
        </w:tc>
        <w:tc>
          <w:tcPr>
            <w:tcW w:w="1559"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AL60R_ Os10</w:t>
            </w:r>
          </w:p>
        </w:tc>
        <w:tc>
          <w:tcPr>
            <w:tcW w:w="1701"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Osum, Seman</w:t>
            </w:r>
          </w:p>
        </w:tc>
        <w:tc>
          <w:tcPr>
            <w:tcW w:w="1559" w:type="dxa"/>
            <w:tcBorders>
              <w:left w:val="single" w:sz="12" w:space="0" w:color="auto"/>
              <w:right w:val="single" w:sz="8" w:space="0" w:color="002060"/>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25’ 42,55”</w:t>
            </w:r>
          </w:p>
        </w:tc>
        <w:tc>
          <w:tcPr>
            <w:tcW w:w="1559" w:type="dxa"/>
            <w:tcBorders>
              <w:left w:val="single" w:sz="8" w:space="0" w:color="002060"/>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20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17’ 13,47”</w:t>
            </w:r>
          </w:p>
        </w:tc>
        <w:tc>
          <w:tcPr>
            <w:tcW w:w="993" w:type="dxa"/>
            <w:tcBorders>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4.28</w:t>
            </w:r>
          </w:p>
        </w:tc>
        <w:tc>
          <w:tcPr>
            <w:tcW w:w="993" w:type="dxa"/>
            <w:tcBorders>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1.568</w:t>
            </w:r>
          </w:p>
        </w:tc>
      </w:tr>
      <w:tr w:rsidR="00D51CBA" w:rsidRPr="00D15B63" w:rsidTr="00AA3E50">
        <w:tc>
          <w:tcPr>
            <w:tcW w:w="512"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26</w:t>
            </w:r>
          </w:p>
        </w:tc>
        <w:tc>
          <w:tcPr>
            <w:tcW w:w="1615"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Fier </w:t>
            </w:r>
          </w:p>
        </w:tc>
        <w:tc>
          <w:tcPr>
            <w:tcW w:w="1559"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52Al_RV_605</w:t>
            </w:r>
          </w:p>
        </w:tc>
        <w:tc>
          <w:tcPr>
            <w:tcW w:w="1701"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Gjanicë, Seman</w:t>
            </w:r>
          </w:p>
        </w:tc>
        <w:tc>
          <w:tcPr>
            <w:tcW w:w="1559" w:type="dxa"/>
            <w:tcBorders>
              <w:left w:val="single" w:sz="12" w:space="0" w:color="auto"/>
              <w:right w:val="single" w:sz="8" w:space="0" w:color="002060"/>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44’   2,83”</w:t>
            </w:r>
          </w:p>
        </w:tc>
        <w:tc>
          <w:tcPr>
            <w:tcW w:w="1559" w:type="dxa"/>
            <w:tcBorders>
              <w:left w:val="single" w:sz="8" w:space="0" w:color="002060"/>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34’ 19,86”</w:t>
            </w:r>
          </w:p>
        </w:tc>
        <w:tc>
          <w:tcPr>
            <w:tcW w:w="993" w:type="dxa"/>
            <w:tcBorders>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0.33</w:t>
            </w:r>
          </w:p>
        </w:tc>
        <w:tc>
          <w:tcPr>
            <w:tcW w:w="993" w:type="dxa"/>
            <w:tcBorders>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0.277</w:t>
            </w:r>
          </w:p>
        </w:tc>
      </w:tr>
      <w:tr w:rsidR="00D51CBA" w:rsidRPr="00D15B63" w:rsidTr="00AA3E50">
        <w:tc>
          <w:tcPr>
            <w:tcW w:w="512" w:type="dxa"/>
            <w:tcBorders>
              <w:left w:val="single" w:sz="12" w:space="0" w:color="auto"/>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27</w:t>
            </w:r>
          </w:p>
        </w:tc>
        <w:tc>
          <w:tcPr>
            <w:tcW w:w="1615" w:type="dxa"/>
            <w:tcBorders>
              <w:left w:val="single" w:sz="12" w:space="0" w:color="auto"/>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Mbrostarit</w:t>
            </w:r>
          </w:p>
        </w:tc>
        <w:tc>
          <w:tcPr>
            <w:tcW w:w="1559" w:type="dxa"/>
            <w:tcBorders>
              <w:left w:val="single" w:sz="12" w:space="0" w:color="auto"/>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AL60R_ Se20</w:t>
            </w:r>
          </w:p>
        </w:tc>
        <w:tc>
          <w:tcPr>
            <w:tcW w:w="1701" w:type="dxa"/>
            <w:tcBorders>
              <w:left w:val="single" w:sz="12" w:space="0" w:color="auto"/>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Seman</w:t>
            </w:r>
          </w:p>
        </w:tc>
        <w:tc>
          <w:tcPr>
            <w:tcW w:w="1559" w:type="dxa"/>
            <w:tcBorders>
              <w:left w:val="single" w:sz="12" w:space="0" w:color="auto"/>
              <w:bottom w:val="single" w:sz="12" w:space="0" w:color="auto"/>
              <w:right w:val="single" w:sz="8" w:space="0" w:color="002060"/>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49’ 44,72”</w:t>
            </w:r>
          </w:p>
        </w:tc>
        <w:tc>
          <w:tcPr>
            <w:tcW w:w="1559" w:type="dxa"/>
            <w:tcBorders>
              <w:left w:val="single" w:sz="8" w:space="0" w:color="002060"/>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54’ 38,85”</w:t>
            </w:r>
          </w:p>
        </w:tc>
        <w:tc>
          <w:tcPr>
            <w:tcW w:w="993" w:type="dxa"/>
            <w:tcBorders>
              <w:left w:val="single" w:sz="8" w:space="0" w:color="002060"/>
              <w:bottom w:val="single" w:sz="12" w:space="0" w:color="auto"/>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6.98</w:t>
            </w:r>
          </w:p>
        </w:tc>
        <w:tc>
          <w:tcPr>
            <w:tcW w:w="993" w:type="dxa"/>
            <w:tcBorders>
              <w:left w:val="single" w:sz="8" w:space="0" w:color="002060"/>
              <w:bottom w:val="single" w:sz="12" w:space="0" w:color="auto"/>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8.399</w:t>
            </w:r>
          </w:p>
        </w:tc>
      </w:tr>
      <w:tr w:rsidR="00D51CBA" w:rsidRPr="00D15B63" w:rsidTr="00AA3E50">
        <w:tc>
          <w:tcPr>
            <w:tcW w:w="512"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28</w:t>
            </w:r>
          </w:p>
        </w:tc>
        <w:tc>
          <w:tcPr>
            <w:tcW w:w="1615"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Tri Urat</w:t>
            </w:r>
          </w:p>
        </w:tc>
        <w:tc>
          <w:tcPr>
            <w:tcW w:w="1559"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AL70R_ Vj10</w:t>
            </w:r>
          </w:p>
        </w:tc>
        <w:tc>
          <w:tcPr>
            <w:tcW w:w="1701" w:type="dxa"/>
            <w:tcBorders>
              <w:top w:val="single" w:sz="12" w:space="0" w:color="auto"/>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Vjosë</w:t>
            </w:r>
          </w:p>
        </w:tc>
        <w:tc>
          <w:tcPr>
            <w:tcW w:w="1559" w:type="dxa"/>
            <w:tcBorders>
              <w:top w:val="single" w:sz="12" w:space="0" w:color="auto"/>
              <w:left w:val="single" w:sz="12"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06’ 44,08”</w:t>
            </w:r>
          </w:p>
        </w:tc>
        <w:tc>
          <w:tcPr>
            <w:tcW w:w="1559" w:type="dxa"/>
            <w:tcBorders>
              <w:top w:val="single" w:sz="12" w:space="0" w:color="auto"/>
              <w:left w:val="single" w:sz="8" w:space="0" w:color="002060"/>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20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32’ 23,96”</w:t>
            </w:r>
          </w:p>
        </w:tc>
        <w:tc>
          <w:tcPr>
            <w:tcW w:w="993" w:type="dxa"/>
            <w:tcBorders>
              <w:top w:val="single" w:sz="12" w:space="0" w:color="auto"/>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25.53</w:t>
            </w:r>
          </w:p>
        </w:tc>
        <w:tc>
          <w:tcPr>
            <w:tcW w:w="993" w:type="dxa"/>
            <w:tcBorders>
              <w:top w:val="single" w:sz="12" w:space="0" w:color="auto"/>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13.41</w:t>
            </w:r>
          </w:p>
        </w:tc>
      </w:tr>
      <w:tr w:rsidR="00D51CBA" w:rsidRPr="00D15B63" w:rsidTr="00AA3E50">
        <w:tc>
          <w:tcPr>
            <w:tcW w:w="512"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29</w:t>
            </w:r>
          </w:p>
        </w:tc>
        <w:tc>
          <w:tcPr>
            <w:tcW w:w="1615"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e Leklit</w:t>
            </w:r>
          </w:p>
        </w:tc>
        <w:tc>
          <w:tcPr>
            <w:tcW w:w="1559"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AL70R_ Di60</w:t>
            </w:r>
          </w:p>
        </w:tc>
        <w:tc>
          <w:tcPr>
            <w:tcW w:w="1701"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Drinos, Vjosë</w:t>
            </w:r>
          </w:p>
        </w:tc>
        <w:tc>
          <w:tcPr>
            <w:tcW w:w="1559" w:type="dxa"/>
            <w:tcBorders>
              <w:left w:val="single" w:sz="12"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15’ 33,19”</w:t>
            </w:r>
          </w:p>
        </w:tc>
        <w:tc>
          <w:tcPr>
            <w:tcW w:w="1559" w:type="dxa"/>
            <w:tcBorders>
              <w:left w:val="single" w:sz="8" w:space="0" w:color="002060"/>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20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03’ 19,86”</w:t>
            </w:r>
          </w:p>
        </w:tc>
        <w:tc>
          <w:tcPr>
            <w:tcW w:w="993" w:type="dxa"/>
            <w:tcBorders>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4.272</w:t>
            </w:r>
          </w:p>
        </w:tc>
        <w:tc>
          <w:tcPr>
            <w:tcW w:w="993" w:type="dxa"/>
            <w:tcBorders>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4.34</w:t>
            </w:r>
          </w:p>
        </w:tc>
      </w:tr>
      <w:tr w:rsidR="00D51CBA" w:rsidRPr="00D15B63" w:rsidTr="00AA3E50">
        <w:tc>
          <w:tcPr>
            <w:tcW w:w="512"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30</w:t>
            </w:r>
          </w:p>
        </w:tc>
        <w:tc>
          <w:tcPr>
            <w:tcW w:w="1615"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ind w:left="-180" w:firstLine="180"/>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Memaliaj</w:t>
            </w:r>
          </w:p>
        </w:tc>
        <w:tc>
          <w:tcPr>
            <w:tcW w:w="1559"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Al_RV</w:t>
            </w:r>
          </w:p>
        </w:tc>
        <w:tc>
          <w:tcPr>
            <w:tcW w:w="1701" w:type="dxa"/>
            <w:tcBorders>
              <w:left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Vjosë</w:t>
            </w:r>
          </w:p>
        </w:tc>
        <w:tc>
          <w:tcPr>
            <w:tcW w:w="1559" w:type="dxa"/>
            <w:tcBorders>
              <w:left w:val="single" w:sz="12"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21’ 05,61”</w:t>
            </w:r>
          </w:p>
        </w:tc>
        <w:tc>
          <w:tcPr>
            <w:tcW w:w="1559" w:type="dxa"/>
            <w:tcBorders>
              <w:left w:val="single" w:sz="8" w:space="0" w:color="002060"/>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58’ 22,19”</w:t>
            </w:r>
          </w:p>
        </w:tc>
        <w:tc>
          <w:tcPr>
            <w:tcW w:w="993" w:type="dxa"/>
            <w:tcBorders>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53.25</w:t>
            </w:r>
          </w:p>
        </w:tc>
        <w:tc>
          <w:tcPr>
            <w:tcW w:w="993" w:type="dxa"/>
            <w:tcBorders>
              <w:left w:val="single" w:sz="8" w:space="0" w:color="002060"/>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45.22</w:t>
            </w:r>
          </w:p>
        </w:tc>
      </w:tr>
      <w:tr w:rsidR="00D51CBA" w:rsidRPr="00D15B63" w:rsidTr="00AA3E50">
        <w:tc>
          <w:tcPr>
            <w:tcW w:w="512"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31</w:t>
            </w:r>
          </w:p>
        </w:tc>
        <w:tc>
          <w:tcPr>
            <w:tcW w:w="1615"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ind w:left="-180" w:firstLine="180"/>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Mifolit</w:t>
            </w:r>
          </w:p>
        </w:tc>
        <w:tc>
          <w:tcPr>
            <w:tcW w:w="1559"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AL70R_ Vj50</w:t>
            </w:r>
          </w:p>
        </w:tc>
        <w:tc>
          <w:tcPr>
            <w:tcW w:w="1701" w:type="dxa"/>
            <w:tcBorders>
              <w:left w:val="single" w:sz="12" w:space="0" w:color="auto"/>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Vjosë</w:t>
            </w:r>
          </w:p>
        </w:tc>
        <w:tc>
          <w:tcPr>
            <w:tcW w:w="1559" w:type="dxa"/>
            <w:tcBorders>
              <w:left w:val="single" w:sz="12" w:space="0" w:color="auto"/>
              <w:bottom w:val="single" w:sz="12" w:space="0" w:color="auto"/>
              <w:right w:val="single" w:sz="8" w:space="0" w:color="002060"/>
            </w:tcBorders>
            <w:shd w:val="clear" w:color="auto" w:fill="C6D9F1"/>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40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38 ’  4,26”</w:t>
            </w:r>
          </w:p>
        </w:tc>
        <w:tc>
          <w:tcPr>
            <w:tcW w:w="1559" w:type="dxa"/>
            <w:tcBorders>
              <w:left w:val="single" w:sz="8" w:space="0" w:color="002060"/>
              <w:bottom w:val="single" w:sz="12" w:space="0" w:color="auto"/>
              <w:right w:val="single" w:sz="12" w:space="0" w:color="auto"/>
            </w:tcBorders>
            <w:shd w:val="clear" w:color="auto" w:fill="C6D9F1"/>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Calibri" w:hAnsi="Times New Roman" w:cs="Times New Roman"/>
                <w:b/>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27’ 39,08”</w:t>
            </w:r>
          </w:p>
        </w:tc>
        <w:tc>
          <w:tcPr>
            <w:tcW w:w="993" w:type="dxa"/>
            <w:tcBorders>
              <w:left w:val="single" w:sz="8" w:space="0" w:color="002060"/>
              <w:bottom w:val="single" w:sz="12"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26.7</w:t>
            </w:r>
          </w:p>
        </w:tc>
        <w:tc>
          <w:tcPr>
            <w:tcW w:w="993" w:type="dxa"/>
            <w:tcBorders>
              <w:left w:val="single" w:sz="8" w:space="0" w:color="002060"/>
              <w:bottom w:val="single" w:sz="12" w:space="0" w:color="auto"/>
              <w:right w:val="single" w:sz="12" w:space="0" w:color="auto"/>
            </w:tcBorders>
            <w:shd w:val="clear" w:color="auto" w:fill="C6D9F1"/>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22.12</w:t>
            </w:r>
          </w:p>
        </w:tc>
      </w:tr>
      <w:tr w:rsidR="00D51CBA" w:rsidRPr="00D15B63" w:rsidTr="00AA3E50">
        <w:tc>
          <w:tcPr>
            <w:tcW w:w="512"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32</w:t>
            </w:r>
          </w:p>
        </w:tc>
        <w:tc>
          <w:tcPr>
            <w:tcW w:w="1615"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e Kalasës</w:t>
            </w:r>
          </w:p>
        </w:tc>
        <w:tc>
          <w:tcPr>
            <w:tcW w:w="1559"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AL80R_Ka10</w:t>
            </w:r>
          </w:p>
        </w:tc>
        <w:tc>
          <w:tcPr>
            <w:tcW w:w="1701" w:type="dxa"/>
            <w:tcBorders>
              <w:top w:val="single" w:sz="12" w:space="0" w:color="auto"/>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Kalasë </w:t>
            </w:r>
          </w:p>
        </w:tc>
        <w:tc>
          <w:tcPr>
            <w:tcW w:w="1559" w:type="dxa"/>
            <w:tcBorders>
              <w:top w:val="single" w:sz="12" w:space="0" w:color="auto"/>
              <w:left w:val="single" w:sz="12" w:space="0" w:color="auto"/>
              <w:right w:val="single" w:sz="8" w:space="0" w:color="002060"/>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40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00’45.10”</w:t>
            </w:r>
          </w:p>
        </w:tc>
        <w:tc>
          <w:tcPr>
            <w:tcW w:w="1559" w:type="dxa"/>
            <w:tcBorders>
              <w:top w:val="single" w:sz="12" w:space="0" w:color="auto"/>
              <w:left w:val="single" w:sz="8" w:space="0" w:color="002060"/>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19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57’ 27,90”</w:t>
            </w:r>
          </w:p>
        </w:tc>
        <w:tc>
          <w:tcPr>
            <w:tcW w:w="993" w:type="dxa"/>
            <w:tcBorders>
              <w:top w:val="single" w:sz="12" w:space="0" w:color="auto"/>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1.99</w:t>
            </w:r>
          </w:p>
        </w:tc>
        <w:tc>
          <w:tcPr>
            <w:tcW w:w="993" w:type="dxa"/>
            <w:tcBorders>
              <w:top w:val="single" w:sz="12" w:space="0" w:color="auto"/>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6.23</w:t>
            </w:r>
          </w:p>
        </w:tc>
      </w:tr>
      <w:tr w:rsidR="00D51CBA" w:rsidRPr="00D15B63" w:rsidTr="00AA3E50">
        <w:tc>
          <w:tcPr>
            <w:tcW w:w="512"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33</w:t>
            </w:r>
          </w:p>
        </w:tc>
        <w:tc>
          <w:tcPr>
            <w:tcW w:w="1615"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e Delvinës</w:t>
            </w:r>
          </w:p>
        </w:tc>
        <w:tc>
          <w:tcPr>
            <w:tcW w:w="1559"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AL80R_Ka30</w:t>
            </w:r>
          </w:p>
        </w:tc>
        <w:tc>
          <w:tcPr>
            <w:tcW w:w="1701"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Delvina</w:t>
            </w:r>
          </w:p>
        </w:tc>
        <w:tc>
          <w:tcPr>
            <w:tcW w:w="1559" w:type="dxa"/>
            <w:tcBorders>
              <w:left w:val="single" w:sz="12" w:space="0" w:color="auto"/>
              <w:right w:val="single" w:sz="8" w:space="0" w:color="002060"/>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39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56’59.83”</w:t>
            </w:r>
          </w:p>
        </w:tc>
        <w:tc>
          <w:tcPr>
            <w:tcW w:w="1559" w:type="dxa"/>
            <w:tcBorders>
              <w:left w:val="single" w:sz="8" w:space="0" w:color="002060"/>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20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05’ 40.51”</w:t>
            </w:r>
          </w:p>
        </w:tc>
        <w:tc>
          <w:tcPr>
            <w:tcW w:w="993" w:type="dxa"/>
            <w:tcBorders>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0.28</w:t>
            </w:r>
          </w:p>
        </w:tc>
        <w:tc>
          <w:tcPr>
            <w:tcW w:w="993" w:type="dxa"/>
            <w:tcBorders>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6.674</w:t>
            </w:r>
          </w:p>
        </w:tc>
      </w:tr>
      <w:tr w:rsidR="00D51CBA" w:rsidRPr="00D15B63" w:rsidTr="00AA3E50">
        <w:tc>
          <w:tcPr>
            <w:tcW w:w="512"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34</w:t>
            </w:r>
          </w:p>
        </w:tc>
        <w:tc>
          <w:tcPr>
            <w:tcW w:w="1615"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Ura e Çukës</w:t>
            </w:r>
          </w:p>
        </w:tc>
        <w:tc>
          <w:tcPr>
            <w:tcW w:w="1559"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AL80R_Bi30</w:t>
            </w:r>
          </w:p>
        </w:tc>
        <w:tc>
          <w:tcPr>
            <w:tcW w:w="1701" w:type="dxa"/>
            <w:tcBorders>
              <w:left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Bistrica</w:t>
            </w:r>
          </w:p>
        </w:tc>
        <w:tc>
          <w:tcPr>
            <w:tcW w:w="1559" w:type="dxa"/>
            <w:tcBorders>
              <w:left w:val="single" w:sz="12" w:space="0" w:color="auto"/>
              <w:right w:val="single" w:sz="8" w:space="0" w:color="002060"/>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39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50’49.44”</w:t>
            </w:r>
          </w:p>
        </w:tc>
        <w:tc>
          <w:tcPr>
            <w:tcW w:w="1559" w:type="dxa"/>
            <w:tcBorders>
              <w:left w:val="single" w:sz="8" w:space="0" w:color="002060"/>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20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01’ 31.34”</w:t>
            </w:r>
          </w:p>
        </w:tc>
        <w:tc>
          <w:tcPr>
            <w:tcW w:w="993" w:type="dxa"/>
            <w:tcBorders>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11.8</w:t>
            </w:r>
          </w:p>
        </w:tc>
        <w:tc>
          <w:tcPr>
            <w:tcW w:w="993" w:type="dxa"/>
            <w:tcBorders>
              <w:left w:val="single" w:sz="8" w:space="0" w:color="002060"/>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72.97</w:t>
            </w:r>
          </w:p>
        </w:tc>
      </w:tr>
      <w:tr w:rsidR="00D51CBA" w:rsidRPr="00D15B63" w:rsidTr="00AA3E50">
        <w:tc>
          <w:tcPr>
            <w:tcW w:w="512" w:type="dxa"/>
            <w:tcBorders>
              <w:left w:val="single" w:sz="12" w:space="0" w:color="auto"/>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35</w:t>
            </w:r>
          </w:p>
        </w:tc>
        <w:tc>
          <w:tcPr>
            <w:tcW w:w="1615" w:type="dxa"/>
            <w:tcBorders>
              <w:left w:val="single" w:sz="12" w:space="0" w:color="auto"/>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Vrina</w:t>
            </w:r>
          </w:p>
        </w:tc>
        <w:tc>
          <w:tcPr>
            <w:tcW w:w="1559" w:type="dxa"/>
            <w:tcBorders>
              <w:left w:val="single" w:sz="12" w:space="0" w:color="auto"/>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AL80T_Pa20</w:t>
            </w:r>
          </w:p>
        </w:tc>
        <w:tc>
          <w:tcPr>
            <w:tcW w:w="1701" w:type="dxa"/>
            <w:tcBorders>
              <w:left w:val="single" w:sz="12" w:space="0" w:color="auto"/>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Pavllo</w:t>
            </w:r>
          </w:p>
        </w:tc>
        <w:tc>
          <w:tcPr>
            <w:tcW w:w="1559" w:type="dxa"/>
            <w:tcBorders>
              <w:left w:val="single" w:sz="12" w:space="0" w:color="auto"/>
              <w:bottom w:val="single" w:sz="12" w:space="0" w:color="auto"/>
              <w:right w:val="single" w:sz="8" w:space="0" w:color="002060"/>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39</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42’20.43”</w:t>
            </w:r>
          </w:p>
        </w:tc>
        <w:tc>
          <w:tcPr>
            <w:tcW w:w="1559" w:type="dxa"/>
            <w:tcBorders>
              <w:left w:val="single" w:sz="8" w:space="0" w:color="002060"/>
              <w:bottom w:val="single" w:sz="12" w:space="0" w:color="auto"/>
              <w:right w:val="single" w:sz="12" w:space="0" w:color="auto"/>
            </w:tcBorders>
            <w:shd w:val="clear" w:color="auto" w:fill="D6E3BC"/>
            <w:vAlign w:val="center"/>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20</w:t>
            </w:r>
            <w:r w:rsidRPr="00D15B63">
              <w:rPr>
                <w:rFonts w:ascii="Times New Roman" w:eastAsia="Times New Roman" w:hAnsi="Times New Roman" w:cs="Times New Roman"/>
                <w:sz w:val="24"/>
                <w:szCs w:val="24"/>
                <w:vertAlign w:val="superscript"/>
                <w:lang w:val="sq-AL"/>
              </w:rPr>
              <w:t>0</w:t>
            </w:r>
            <w:r w:rsidRPr="00D15B63">
              <w:rPr>
                <w:rFonts w:ascii="Times New Roman" w:eastAsia="Times New Roman" w:hAnsi="Times New Roman" w:cs="Times New Roman"/>
                <w:sz w:val="24"/>
                <w:szCs w:val="24"/>
                <w:lang w:val="sq-AL"/>
              </w:rPr>
              <w:t xml:space="preserve"> 02’ 30.93”</w:t>
            </w:r>
          </w:p>
        </w:tc>
        <w:tc>
          <w:tcPr>
            <w:tcW w:w="993" w:type="dxa"/>
            <w:tcBorders>
              <w:left w:val="single" w:sz="8" w:space="0" w:color="002060"/>
              <w:bottom w:val="single" w:sz="12" w:space="0" w:color="auto"/>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ind w:left="-180" w:firstLine="180"/>
              <w:jc w:val="center"/>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0.54</w:t>
            </w:r>
          </w:p>
        </w:tc>
        <w:tc>
          <w:tcPr>
            <w:tcW w:w="993" w:type="dxa"/>
            <w:tcBorders>
              <w:left w:val="single" w:sz="8" w:space="0" w:color="002060"/>
              <w:bottom w:val="single" w:sz="12" w:space="0" w:color="auto"/>
              <w:right w:val="single" w:sz="12" w:space="0" w:color="auto"/>
            </w:tcBorders>
            <w:shd w:val="clear" w:color="auto" w:fill="D6E3BC"/>
          </w:tcPr>
          <w:p w:rsidR="00D51CBA" w:rsidRPr="00D15B63" w:rsidRDefault="00D51CBA" w:rsidP="00AA3E50">
            <w:pPr>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21.13</w:t>
            </w:r>
          </w:p>
        </w:tc>
      </w:tr>
    </w:tbl>
    <w:p w:rsidR="00D51CBA" w:rsidRPr="00D15B63" w:rsidRDefault="00D51CBA" w:rsidP="004A74BB">
      <w:pPr>
        <w:rPr>
          <w:rFonts w:ascii="Times New Roman" w:eastAsia="Calibri" w:hAnsi="Times New Roman" w:cs="Times New Roman"/>
          <w:sz w:val="24"/>
          <w:szCs w:val="24"/>
        </w:rPr>
      </w:pP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bookmarkStart w:id="7" w:name="_Hlk217905834"/>
      <w:r w:rsidRPr="00D15B63">
        <w:rPr>
          <w:rFonts w:ascii="Times New Roman" w:eastAsia="Times New Roman" w:hAnsi="Times New Roman" w:cs="Times New Roman"/>
          <w:b/>
          <w:sz w:val="24"/>
          <w:szCs w:val="24"/>
          <w:lang w:val="sq-AL"/>
        </w:rPr>
        <w:t xml:space="preserve">●  Stacioni  Ura e Topojanit </w:t>
      </w:r>
    </w:p>
    <w:bookmarkEnd w:id="7"/>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p>
    <w:p w:rsidR="004A74BB"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Në stacionin e Urës së Topojanit (lumi i Drinit). Sasia e prurjeve në këtë stacion është në funksion të prurjeve që dalin nga kaskada e HEC-it në tokën e Maqedonisë së Veriut. Gjithashtu ndikim në sasinë e prurjeve ka edhe stina në të cilën kryhen matjet dhe sasia e rreshjeve që bien në basenin ujëmbledhës.</w:t>
      </w:r>
    </w:p>
    <w:p w:rsidR="009D1471" w:rsidRDefault="009D1471"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p>
    <w:p w:rsidR="009D1471" w:rsidRPr="009D1471" w:rsidRDefault="009D1471" w:rsidP="009D1471">
      <w:pPr>
        <w:overflowPunct w:val="0"/>
        <w:autoSpaceDE w:val="0"/>
        <w:autoSpaceDN w:val="0"/>
        <w:adjustRightInd w:val="0"/>
        <w:spacing w:after="0" w:line="240" w:lineRule="auto"/>
        <w:ind w:left="720" w:firstLine="720"/>
        <w:jc w:val="both"/>
        <w:rPr>
          <w:rFonts w:ascii="Arial" w:eastAsia="Times New Roman" w:hAnsi="Arial" w:cs="Arial"/>
          <w:b/>
          <w:sz w:val="24"/>
          <w:szCs w:val="24"/>
          <w:lang w:val="sq-AL"/>
        </w:rPr>
      </w:pPr>
      <w:r w:rsidRPr="009D1471">
        <w:rPr>
          <w:rFonts w:ascii="Tms Rmn" w:eastAsia="Times New Roman" w:hAnsi="Tms Rmn" w:cs="Times New Roman"/>
          <w:noProof/>
          <w:sz w:val="20"/>
          <w:szCs w:val="20"/>
        </w:rPr>
        <w:lastRenderedPageBreak/>
        <mc:AlternateContent>
          <mc:Choice Requires="wps">
            <w:drawing>
              <wp:anchor distT="0" distB="0" distL="114300" distR="114300" simplePos="0" relativeHeight="251676160" behindDoc="0" locked="0" layoutInCell="1" allowOverlap="1" wp14:anchorId="44502240" wp14:editId="513ECD30">
                <wp:simplePos x="0" y="0"/>
                <wp:positionH relativeFrom="column">
                  <wp:posOffset>885825</wp:posOffset>
                </wp:positionH>
                <wp:positionV relativeFrom="paragraph">
                  <wp:posOffset>76200</wp:posOffset>
                </wp:positionV>
                <wp:extent cx="190500" cy="257175"/>
                <wp:effectExtent l="9525" t="9525" r="9525" b="9525"/>
                <wp:wrapNone/>
                <wp:docPr id="28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57175"/>
                        </a:xfrm>
                        <a:prstGeom prst="can">
                          <a:avLst>
                            <a:gd name="adj" fmla="val 33750"/>
                          </a:avLst>
                        </a:prstGeom>
                        <a:solidFill>
                          <a:srgbClr val="C2D69B"/>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9DDBA"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2" o:spid="_x0000_s1026" type="#_x0000_t22" style="position:absolute;margin-left:69.75pt;margin-top:6pt;width:15pt;height:20.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" fillcolor="#c2d69b"/>
            </w:pict>
          </mc:Fallback>
        </mc:AlternateContent>
      </w:r>
      <w:r w:rsidRPr="009D1471">
        <w:rPr>
          <w:rFonts w:ascii="Tms Rmn" w:eastAsia="Times New Roman" w:hAnsi="Tms Rmn" w:cs="Times New Roman"/>
          <w:noProof/>
          <w:sz w:val="20"/>
          <w:szCs w:val="20"/>
        </w:rPr>
        <mc:AlternateContent>
          <mc:Choice Requires="wps">
            <w:drawing>
              <wp:anchor distT="0" distB="0" distL="114300" distR="114300" simplePos="0" relativeHeight="251678208" behindDoc="0" locked="0" layoutInCell="1" allowOverlap="1" wp14:anchorId="71527F67" wp14:editId="04EE91E0">
                <wp:simplePos x="0" y="0"/>
                <wp:positionH relativeFrom="column">
                  <wp:posOffset>3905250</wp:posOffset>
                </wp:positionH>
                <wp:positionV relativeFrom="paragraph">
                  <wp:posOffset>76200</wp:posOffset>
                </wp:positionV>
                <wp:extent cx="190500" cy="257175"/>
                <wp:effectExtent l="9525" t="9525" r="9525" b="9525"/>
                <wp:wrapNone/>
                <wp:docPr id="28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57175"/>
                        </a:xfrm>
                        <a:prstGeom prst="can">
                          <a:avLst>
                            <a:gd name="adj" fmla="val 33750"/>
                          </a:avLst>
                        </a:prstGeom>
                        <a:solidFill>
                          <a:srgbClr val="548DD4"/>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3CF67" id="AutoShape 3" o:spid="_x0000_s1026" type="#_x0000_t22" style="position:absolute;margin-left:307.5pt;margin-top:6pt;width:15pt;height:20.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" fillcolor="#548dd4"/>
            </w:pict>
          </mc:Fallback>
        </mc:AlternateContent>
      </w:r>
    </w:p>
    <w:p w:rsidR="004A74BB" w:rsidRPr="009D1471" w:rsidRDefault="009D1471" w:rsidP="009D1471">
      <w:pPr>
        <w:overflowPunct w:val="0"/>
        <w:autoSpaceDE w:val="0"/>
        <w:autoSpaceDN w:val="0"/>
        <w:adjustRightInd w:val="0"/>
        <w:spacing w:after="0" w:line="240" w:lineRule="auto"/>
        <w:ind w:left="720" w:firstLine="720"/>
        <w:jc w:val="both"/>
        <w:rPr>
          <w:rFonts w:ascii="Arial" w:eastAsia="Times New Roman" w:hAnsi="Arial" w:cs="Arial"/>
          <w:b/>
          <w:sz w:val="24"/>
          <w:szCs w:val="24"/>
          <w:lang w:val="sq-AL"/>
        </w:rPr>
      </w:pPr>
      <w:r w:rsidRPr="009D1471">
        <w:rPr>
          <w:rFonts w:ascii="Arial" w:eastAsia="Times New Roman" w:hAnsi="Arial" w:cs="Arial"/>
          <w:b/>
          <w:sz w:val="24"/>
          <w:szCs w:val="24"/>
          <w:lang w:val="sq-AL"/>
        </w:rPr>
        <w:t xml:space="preserve">       Fazat e para</w:t>
      </w:r>
      <w:r w:rsidRPr="009D1471">
        <w:rPr>
          <w:rFonts w:ascii="Arial" w:eastAsia="Times New Roman" w:hAnsi="Arial" w:cs="Arial"/>
          <w:b/>
          <w:sz w:val="24"/>
          <w:szCs w:val="24"/>
          <w:lang w:val="sq-AL"/>
        </w:rPr>
        <w:tab/>
      </w:r>
      <w:r w:rsidRPr="009D1471">
        <w:rPr>
          <w:rFonts w:ascii="Arial" w:eastAsia="Times New Roman" w:hAnsi="Arial" w:cs="Arial"/>
          <w:b/>
          <w:sz w:val="24"/>
          <w:szCs w:val="24"/>
          <w:lang w:val="sq-AL"/>
        </w:rPr>
        <w:tab/>
      </w:r>
      <w:r w:rsidRPr="009D1471">
        <w:rPr>
          <w:rFonts w:ascii="Arial" w:eastAsia="Times New Roman" w:hAnsi="Arial" w:cs="Arial"/>
          <w:b/>
          <w:sz w:val="24"/>
          <w:szCs w:val="24"/>
          <w:lang w:val="sq-AL"/>
        </w:rPr>
        <w:tab/>
      </w:r>
      <w:r w:rsidRPr="009D1471">
        <w:rPr>
          <w:rFonts w:ascii="Arial" w:eastAsia="Times New Roman" w:hAnsi="Arial" w:cs="Arial"/>
          <w:b/>
          <w:sz w:val="24"/>
          <w:szCs w:val="24"/>
          <w:lang w:val="sq-AL"/>
        </w:rPr>
        <w:tab/>
      </w:r>
      <w:r w:rsidRPr="009D1471">
        <w:rPr>
          <w:rFonts w:ascii="Arial" w:eastAsia="Times New Roman" w:hAnsi="Arial" w:cs="Arial"/>
          <w:b/>
          <w:sz w:val="24"/>
          <w:szCs w:val="24"/>
          <w:lang w:val="sq-AL"/>
        </w:rPr>
        <w:tab/>
        <w:t xml:space="preserve">    Fazat e dyta</w:t>
      </w:r>
    </w:p>
    <w:p w:rsidR="004A74BB" w:rsidRPr="00FC5061" w:rsidRDefault="004A74BB" w:rsidP="004A74BB">
      <w:pPr>
        <w:rPr>
          <w:rFonts w:ascii="Times New Roman" w:eastAsia="Times New Roman" w:hAnsi="Times New Roman" w:cs="Times New Roman"/>
          <w:b/>
          <w:noProof/>
          <w:color w:val="000000"/>
          <w:sz w:val="24"/>
          <w:szCs w:val="24"/>
        </w:rPr>
      </w:pPr>
      <w:r w:rsidRPr="00D15B63">
        <w:rPr>
          <w:rFonts w:ascii="Times New Roman" w:eastAsia="Times New Roman" w:hAnsi="Times New Roman" w:cs="Times New Roman"/>
          <w:b/>
          <w:noProof/>
          <w:color w:val="000000"/>
          <w:sz w:val="24"/>
          <w:szCs w:val="24"/>
        </w:rPr>
        <w:drawing>
          <wp:inline distT="0" distB="0" distL="0" distR="0" wp14:anchorId="4F5EF0CD" wp14:editId="0848CBAE">
            <wp:extent cx="2809875" cy="1543050"/>
            <wp:effectExtent l="19050" t="19050" r="28575" b="19050"/>
            <wp:docPr id="448"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02" cstate="print"/>
                    <a:srcRect/>
                    <a:stretch>
                      <a:fillRect/>
                    </a:stretch>
                  </pic:blipFill>
                  <pic:spPr bwMode="auto">
                    <a:xfrm>
                      <a:off x="0" y="0"/>
                      <a:ext cx="2809875" cy="1543050"/>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6BBA9891" wp14:editId="707BE204">
            <wp:extent cx="2943225" cy="1590040"/>
            <wp:effectExtent l="0" t="0" r="9525" b="0"/>
            <wp:docPr id="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print"/>
                    <a:srcRect l="3766" t="22508" r="32292" b="9259"/>
                    <a:stretch>
                      <a:fillRect/>
                    </a:stretch>
                  </pic:blipFill>
                  <pic:spPr bwMode="auto">
                    <a:xfrm>
                      <a:off x="0" y="0"/>
                      <a:ext cx="2954213" cy="1595976"/>
                    </a:xfrm>
                    <a:prstGeom prst="rect">
                      <a:avLst/>
                    </a:prstGeom>
                    <a:noFill/>
                    <a:ln w="9525">
                      <a:noFill/>
                      <a:miter lim="800000"/>
                      <a:headEnd/>
                      <a:tailEnd/>
                    </a:ln>
                  </pic:spPr>
                </pic:pic>
              </a:graphicData>
            </a:graphic>
          </wp:inline>
        </w:drawing>
      </w:r>
    </w:p>
    <w:p w:rsidR="004A74BB" w:rsidRPr="00D15B63" w:rsidRDefault="004A74BB" w:rsidP="004A74BB">
      <w:pPr>
        <w:rPr>
          <w:rFonts w:ascii="Times New Roman" w:eastAsia="Calibri" w:hAnsi="Times New Roman" w:cs="Times New Roman"/>
          <w:b/>
          <w:sz w:val="24"/>
          <w:szCs w:val="24"/>
          <w:lang w:val="sq-AL"/>
        </w:rPr>
      </w:pPr>
      <w:r w:rsidRPr="00D15B63">
        <w:rPr>
          <w:rFonts w:ascii="Times New Roman" w:eastAsia="Calibri" w:hAnsi="Times New Roman" w:cs="Times New Roman"/>
          <w:b/>
          <w:sz w:val="24"/>
          <w:szCs w:val="24"/>
          <w:lang w:val="sq-AL"/>
        </w:rPr>
        <w:t>●  Stacioni  Ura e Lum</w:t>
      </w:r>
      <w:r w:rsidR="00144992">
        <w:rPr>
          <w:rFonts w:ascii="Times New Roman" w:eastAsia="Calibri" w:hAnsi="Times New Roman" w:cs="Times New Roman"/>
          <w:b/>
          <w:sz w:val="24"/>
          <w:szCs w:val="24"/>
          <w:lang w:val="sq-AL"/>
        </w:rPr>
        <w:t>ë</w:t>
      </w:r>
      <w:r w:rsidRPr="00D15B63">
        <w:rPr>
          <w:rFonts w:ascii="Times New Roman" w:eastAsia="Calibri" w:hAnsi="Times New Roman" w:cs="Times New Roman"/>
          <w:b/>
          <w:sz w:val="24"/>
          <w:szCs w:val="24"/>
          <w:lang w:val="sq-AL"/>
        </w:rPr>
        <w:t>s</w:t>
      </w:r>
    </w:p>
    <w:p w:rsidR="004A74BB" w:rsidRPr="00FC5061" w:rsidRDefault="004A74BB" w:rsidP="00FC506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Në stacionin Ura e Lumës (lumi i Drinit) sasia e prurjeve në këtë lumë kontrollohet nga HEC-i i ngritur fare pranë si dhe nga sasia e rreshjeve që bien në basenin ujëmbledhës. </w:t>
      </w:r>
    </w:p>
    <w:p w:rsidR="004A74BB" w:rsidRPr="00D15B63" w:rsidRDefault="004A74BB" w:rsidP="004A74BB">
      <w:pPr>
        <w:rPr>
          <w:rFonts w:ascii="Times New Roman" w:eastAsia="Times New Roman" w:hAnsi="Times New Roman" w:cs="Times New Roman"/>
          <w:b/>
          <w:noProof/>
          <w:color w:val="000000"/>
          <w:sz w:val="24"/>
          <w:szCs w:val="24"/>
        </w:rPr>
      </w:pPr>
      <w:r w:rsidRPr="00D15B63">
        <w:rPr>
          <w:rFonts w:ascii="Times New Roman" w:eastAsia="Times New Roman" w:hAnsi="Times New Roman" w:cs="Times New Roman"/>
          <w:b/>
          <w:noProof/>
          <w:color w:val="000000"/>
          <w:sz w:val="24"/>
          <w:szCs w:val="24"/>
        </w:rPr>
        <w:drawing>
          <wp:inline distT="0" distB="0" distL="0" distR="0" wp14:anchorId="5B9AB082" wp14:editId="58724B35">
            <wp:extent cx="2809875" cy="1638300"/>
            <wp:effectExtent l="19050" t="19050" r="28575" b="19050"/>
            <wp:docPr id="450"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04" cstate="print"/>
                    <a:srcRect/>
                    <a:stretch>
                      <a:fillRect/>
                    </a:stretch>
                  </pic:blipFill>
                  <pic:spPr bwMode="auto">
                    <a:xfrm>
                      <a:off x="0" y="0"/>
                      <a:ext cx="2809875" cy="1638300"/>
                    </a:xfrm>
                    <a:prstGeom prst="rect">
                      <a:avLst/>
                    </a:prstGeom>
                    <a:noFill/>
                    <a:ln w="6350" cmpd="sng">
                      <a:solidFill>
                        <a:srgbClr val="000000"/>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33BC243E" wp14:editId="53C73F41">
            <wp:extent cx="2923540" cy="1714500"/>
            <wp:effectExtent l="0" t="0" r="0" b="0"/>
            <wp:docPr id="4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cstate="print"/>
                    <a:srcRect l="3846" t="22934" r="32292" b="8832"/>
                    <a:stretch>
                      <a:fillRect/>
                    </a:stretch>
                  </pic:blipFill>
                  <pic:spPr bwMode="auto">
                    <a:xfrm>
                      <a:off x="0" y="0"/>
                      <a:ext cx="2923654" cy="1714567"/>
                    </a:xfrm>
                    <a:prstGeom prst="rect">
                      <a:avLst/>
                    </a:prstGeom>
                    <a:noFill/>
                    <a:ln w="9525">
                      <a:noFill/>
                      <a:miter lim="800000"/>
                      <a:headEnd/>
                      <a:tailEnd/>
                    </a:ln>
                  </pic:spPr>
                </pic:pic>
              </a:graphicData>
            </a:graphic>
          </wp:inline>
        </w:drawing>
      </w:r>
    </w:p>
    <w:p w:rsidR="004A74BB" w:rsidRPr="00D15B63" w:rsidRDefault="004A74BB" w:rsidP="004A74BB">
      <w:pPr>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Stacioni  Ura e Bahçallëkut</w:t>
      </w:r>
    </w:p>
    <w:p w:rsidR="004A74BB" w:rsidRPr="00D15B63" w:rsidRDefault="004A74BB" w:rsidP="004A74BB">
      <w:pPr>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Në stacionin e </w:t>
      </w:r>
      <w:bookmarkStart w:id="8" w:name="_Hlk217907158"/>
      <w:r w:rsidRPr="00D15B63">
        <w:rPr>
          <w:rFonts w:ascii="Times New Roman" w:eastAsia="Times New Roman" w:hAnsi="Times New Roman" w:cs="Times New Roman"/>
          <w:sz w:val="24"/>
          <w:szCs w:val="24"/>
          <w:lang w:val="sq-AL"/>
        </w:rPr>
        <w:t>Bahçallëkut</w:t>
      </w:r>
      <w:bookmarkEnd w:id="8"/>
      <w:r w:rsidRPr="00D15B63">
        <w:rPr>
          <w:rFonts w:ascii="Times New Roman" w:eastAsia="Times New Roman" w:hAnsi="Times New Roman" w:cs="Times New Roman"/>
          <w:sz w:val="24"/>
          <w:szCs w:val="24"/>
          <w:lang w:val="sq-AL"/>
        </w:rPr>
        <w:t xml:space="preserve"> (lumi i Drinit) sasia e prurjeve  eshte më e lartë e R</w:t>
      </w:r>
      <w:r w:rsidRPr="00D15B63">
        <w:rPr>
          <w:rFonts w:ascii="Times New Roman" w:eastAsia="Times New Roman" w:hAnsi="Times New Roman" w:cs="Times New Roman"/>
          <w:sz w:val="24"/>
          <w:szCs w:val="24"/>
          <w:vertAlign w:val="subscript"/>
          <w:lang w:val="sq-AL"/>
        </w:rPr>
        <w:t xml:space="preserve">H  </w:t>
      </w:r>
      <w:r w:rsidRPr="00D15B63">
        <w:rPr>
          <w:rFonts w:ascii="Times New Roman" w:eastAsia="Times New Roman" w:hAnsi="Times New Roman" w:cs="Times New Roman"/>
          <w:sz w:val="24"/>
          <w:szCs w:val="24"/>
          <w:lang w:val="sq-AL"/>
        </w:rPr>
        <w:t xml:space="preserve">është në seksionin e dytë dhe të tretë çka korespondon edhe me sasitë më të mëdha të prurjeve në këto seksione. </w:t>
      </w:r>
    </w:p>
    <w:p w:rsidR="004A74BB" w:rsidRPr="00D15B63" w:rsidRDefault="004A74BB" w:rsidP="004A74BB">
      <w:pPr>
        <w:rPr>
          <w:rFonts w:ascii="Times New Roman" w:eastAsia="Times New Roman" w:hAnsi="Times New Roman" w:cs="Times New Roman"/>
          <w:b/>
          <w:noProof/>
          <w:color w:val="000000"/>
          <w:sz w:val="24"/>
          <w:szCs w:val="24"/>
        </w:rPr>
      </w:pPr>
      <w:r w:rsidRPr="00D15B63">
        <w:rPr>
          <w:rFonts w:ascii="Times New Roman" w:eastAsia="Times New Roman" w:hAnsi="Times New Roman" w:cs="Times New Roman"/>
          <w:b/>
          <w:noProof/>
          <w:color w:val="000000"/>
          <w:sz w:val="24"/>
          <w:szCs w:val="24"/>
        </w:rPr>
        <w:drawing>
          <wp:inline distT="0" distB="0" distL="0" distR="0" wp14:anchorId="1DD28D90" wp14:editId="318D84D6">
            <wp:extent cx="2828925" cy="1657350"/>
            <wp:effectExtent l="19050" t="19050" r="28575" b="19050"/>
            <wp:docPr id="452"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106" cstate="print"/>
                    <a:srcRect/>
                    <a:stretch>
                      <a:fillRect/>
                    </a:stretch>
                  </pic:blipFill>
                  <pic:spPr bwMode="auto">
                    <a:xfrm>
                      <a:off x="0" y="0"/>
                      <a:ext cx="2828925" cy="1657350"/>
                    </a:xfrm>
                    <a:prstGeom prst="rect">
                      <a:avLst/>
                    </a:prstGeom>
                    <a:noFill/>
                    <a:ln w="6350" cmpd="sng">
                      <a:solidFill>
                        <a:srgbClr val="000000"/>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1D2DD013" wp14:editId="01942393">
            <wp:extent cx="3018447" cy="1666875"/>
            <wp:effectExtent l="0" t="0" r="0" b="0"/>
            <wp:docPr id="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srcRect l="3846" t="21795" r="32131" b="9544"/>
                    <a:stretch>
                      <a:fillRect/>
                    </a:stretch>
                  </pic:blipFill>
                  <pic:spPr bwMode="auto">
                    <a:xfrm>
                      <a:off x="0" y="0"/>
                      <a:ext cx="3025729" cy="1670896"/>
                    </a:xfrm>
                    <a:prstGeom prst="rect">
                      <a:avLst/>
                    </a:prstGeom>
                    <a:noFill/>
                    <a:ln w="9525">
                      <a:noFill/>
                      <a:miter lim="800000"/>
                      <a:headEnd/>
                      <a:tailEnd/>
                    </a:ln>
                  </pic:spPr>
                </pic:pic>
              </a:graphicData>
            </a:graphic>
          </wp:inline>
        </w:drawing>
      </w:r>
    </w:p>
    <w:p w:rsidR="004A74BB" w:rsidRPr="00D15B63" w:rsidRDefault="004A74BB" w:rsidP="004A74BB">
      <w:pPr>
        <w:rPr>
          <w:rFonts w:ascii="Times New Roman" w:eastAsia="Times New Roman" w:hAnsi="Times New Roman" w:cs="Times New Roman"/>
          <w:b/>
          <w:noProof/>
          <w:color w:val="000000"/>
          <w:sz w:val="24"/>
          <w:szCs w:val="24"/>
          <w:lang w:val="sq-AL"/>
        </w:rPr>
      </w:pPr>
      <w:r w:rsidRPr="00D15B63">
        <w:rPr>
          <w:rFonts w:ascii="Times New Roman" w:eastAsia="Times New Roman" w:hAnsi="Times New Roman" w:cs="Times New Roman"/>
          <w:b/>
          <w:noProof/>
          <w:color w:val="000000"/>
          <w:sz w:val="24"/>
          <w:szCs w:val="24"/>
          <w:lang w:val="sq-AL"/>
        </w:rPr>
        <w:t>●  Stacioni  Ura e Mesit, lumi Kir</w:t>
      </w:r>
    </w:p>
    <w:p w:rsidR="004A74BB" w:rsidRPr="00D15B63" w:rsidRDefault="004A74BB" w:rsidP="00FC5061">
      <w:pPr>
        <w:overflowPunct w:val="0"/>
        <w:autoSpaceDE w:val="0"/>
        <w:autoSpaceDN w:val="0"/>
        <w:adjustRightInd w:val="0"/>
        <w:spacing w:after="0" w:line="240" w:lineRule="auto"/>
        <w:jc w:val="both"/>
        <w:textAlignment w:val="baseline"/>
        <w:rPr>
          <w:rFonts w:ascii="Times New Roman" w:eastAsia="Times New Roman" w:hAnsi="Times New Roman" w:cs="Times New Roman"/>
          <w:b/>
          <w:noProof/>
          <w:color w:val="000000"/>
          <w:sz w:val="24"/>
          <w:szCs w:val="24"/>
        </w:rPr>
      </w:pPr>
      <w:r w:rsidRPr="00D15B63">
        <w:rPr>
          <w:rFonts w:ascii="Times New Roman" w:eastAsia="Times New Roman" w:hAnsi="Times New Roman" w:cs="Times New Roman"/>
          <w:sz w:val="24"/>
          <w:szCs w:val="24"/>
          <w:lang w:val="sq-AL"/>
        </w:rPr>
        <w:t xml:space="preserve">Në stacionin Ura e Mesit (lumi i Kirit, Drin), falë rreshjeve të shiut, shtrati i Kirit ka pasur prani të rrjedhës ujore në të dy sezonet e matjeve çka na mundësoi kryerjen e tyre. Lumi i Kirit ka karakter të theksuar stinor dhe torrencial ndaj dhe në pjesën më të madhe të fundit të pranverës </w:t>
      </w:r>
      <w:r w:rsidRPr="00D15B63">
        <w:rPr>
          <w:rFonts w:ascii="Times New Roman" w:eastAsia="Times New Roman" w:hAnsi="Times New Roman" w:cs="Times New Roman"/>
          <w:sz w:val="24"/>
          <w:szCs w:val="24"/>
          <w:lang w:val="sq-AL"/>
        </w:rPr>
        <w:lastRenderedPageBreak/>
        <w:t xml:space="preserve">dhe verës shtratit është i thatë. Matja e parë </w:t>
      </w:r>
      <w:r w:rsidR="00B21DB2">
        <w:rPr>
          <w:rFonts w:ascii="Times New Roman" w:eastAsia="Times New Roman" w:hAnsi="Times New Roman" w:cs="Times New Roman"/>
          <w:sz w:val="24"/>
          <w:szCs w:val="24"/>
          <w:lang w:val="sq-AL"/>
        </w:rPr>
        <w:t>rastisi</w:t>
      </w:r>
      <w:r w:rsidRPr="00D15B63">
        <w:rPr>
          <w:rFonts w:ascii="Times New Roman" w:eastAsia="Times New Roman" w:hAnsi="Times New Roman" w:cs="Times New Roman"/>
          <w:sz w:val="24"/>
          <w:szCs w:val="24"/>
          <w:lang w:val="sq-AL"/>
        </w:rPr>
        <w:t xml:space="preserve"> me një sasi të konsiderueshme të prurjeve ujore ndërsa në matjen e dytë, në shtratin e Kirit kishin mbetur pellgje uji të palëvizëshme për shkak të shterimit të tij. </w:t>
      </w:r>
    </w:p>
    <w:p w:rsidR="004A74BB" w:rsidRPr="00D15B63" w:rsidRDefault="004A74BB" w:rsidP="004A74BB">
      <w:pPr>
        <w:rPr>
          <w:rFonts w:ascii="Times New Roman" w:eastAsia="Times New Roman" w:hAnsi="Times New Roman" w:cs="Times New Roman"/>
          <w:b/>
          <w:noProof/>
          <w:color w:val="000000"/>
          <w:sz w:val="24"/>
          <w:szCs w:val="24"/>
        </w:rPr>
      </w:pPr>
      <w:r w:rsidRPr="00D15B63">
        <w:rPr>
          <w:rFonts w:ascii="Times New Roman" w:eastAsia="Times New Roman" w:hAnsi="Times New Roman" w:cs="Times New Roman"/>
          <w:b/>
          <w:noProof/>
          <w:color w:val="000000"/>
          <w:sz w:val="24"/>
          <w:szCs w:val="24"/>
        </w:rPr>
        <w:drawing>
          <wp:inline distT="0" distB="0" distL="0" distR="0" wp14:anchorId="2B257A7F" wp14:editId="57D9278A">
            <wp:extent cx="2946780" cy="1914525"/>
            <wp:effectExtent l="0" t="0" r="6350" b="0"/>
            <wp:docPr id="4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cstate="print"/>
                    <a:srcRect l="3766" t="22222" r="32292" b="9402"/>
                    <a:stretch>
                      <a:fillRect/>
                    </a:stretch>
                  </pic:blipFill>
                  <pic:spPr bwMode="auto">
                    <a:xfrm>
                      <a:off x="0" y="0"/>
                      <a:ext cx="2957974" cy="1921798"/>
                    </a:xfrm>
                    <a:prstGeom prst="rect">
                      <a:avLst/>
                    </a:prstGeom>
                    <a:noFill/>
                    <a:ln w="9525">
                      <a:noFill/>
                      <a:miter lim="800000"/>
                      <a:headEnd/>
                      <a:tailEnd/>
                    </a:ln>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40CEB076" wp14:editId="5454807F">
            <wp:extent cx="2933700" cy="1908175"/>
            <wp:effectExtent l="0" t="0" r="0" b="0"/>
            <wp:docPr id="4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9" cstate="print"/>
                    <a:srcRect l="3766" t="23077" r="34455" b="9402"/>
                    <a:stretch>
                      <a:fillRect/>
                    </a:stretch>
                  </pic:blipFill>
                  <pic:spPr bwMode="auto">
                    <a:xfrm>
                      <a:off x="0" y="0"/>
                      <a:ext cx="2962306" cy="1926781"/>
                    </a:xfrm>
                    <a:prstGeom prst="rect">
                      <a:avLst/>
                    </a:prstGeom>
                    <a:noFill/>
                    <a:ln w="9525">
                      <a:noFill/>
                      <a:miter lim="800000"/>
                      <a:headEnd/>
                      <a:tailEnd/>
                    </a:ln>
                  </pic:spPr>
                </pic:pic>
              </a:graphicData>
            </a:graphic>
          </wp:inline>
        </w:drawing>
      </w:r>
    </w:p>
    <w:p w:rsidR="004A74BB" w:rsidRPr="00D15B63" w:rsidRDefault="00B21DB2" w:rsidP="004A74BB">
      <w:pPr>
        <w:rPr>
          <w:rFonts w:ascii="Times New Roman" w:eastAsia="Times New Roman" w:hAnsi="Times New Roman" w:cs="Times New Roman"/>
          <w:b/>
          <w:noProof/>
          <w:color w:val="000000"/>
          <w:sz w:val="24"/>
          <w:szCs w:val="24"/>
          <w:lang w:val="sq-AL"/>
        </w:rPr>
      </w:pPr>
      <w:r>
        <w:rPr>
          <w:rFonts w:ascii="Times New Roman" w:eastAsia="Times New Roman" w:hAnsi="Times New Roman" w:cs="Times New Roman"/>
          <w:b/>
          <w:noProof/>
          <w:color w:val="000000"/>
          <w:sz w:val="24"/>
          <w:szCs w:val="24"/>
          <w:lang w:val="sq-AL"/>
        </w:rPr>
        <w:t>●  Stacioni i Tamar</w:t>
      </w:r>
      <w:r>
        <w:rPr>
          <w:rFonts w:ascii="Times New Roman" w:hAnsi="Times New Roman"/>
          <w:sz w:val="24"/>
          <w:szCs w:val="24"/>
        </w:rPr>
        <w:t>ë</w:t>
      </w:r>
      <w:r>
        <w:rPr>
          <w:rFonts w:ascii="Times New Roman" w:eastAsia="Times New Roman" w:hAnsi="Times New Roman" w:cs="Times New Roman"/>
          <w:b/>
          <w:noProof/>
          <w:color w:val="000000"/>
          <w:sz w:val="24"/>
          <w:szCs w:val="24"/>
          <w:lang w:val="sq-AL"/>
        </w:rPr>
        <w:t>s n</w:t>
      </w:r>
      <w:r>
        <w:rPr>
          <w:rFonts w:ascii="Times New Roman" w:hAnsi="Times New Roman"/>
          <w:sz w:val="24"/>
          <w:szCs w:val="24"/>
        </w:rPr>
        <w:t>ë</w:t>
      </w:r>
      <w:r>
        <w:rPr>
          <w:rFonts w:ascii="Times New Roman" w:eastAsia="Times New Roman" w:hAnsi="Times New Roman" w:cs="Times New Roman"/>
          <w:b/>
          <w:noProof/>
          <w:color w:val="000000"/>
          <w:sz w:val="24"/>
          <w:szCs w:val="24"/>
          <w:lang w:val="sq-AL"/>
        </w:rPr>
        <w:t xml:space="preserve"> deg</w:t>
      </w:r>
      <w:r>
        <w:rPr>
          <w:rFonts w:ascii="Times New Roman" w:hAnsi="Times New Roman"/>
          <w:sz w:val="24"/>
          <w:szCs w:val="24"/>
        </w:rPr>
        <w:t>ë</w:t>
      </w:r>
      <w:r>
        <w:rPr>
          <w:rFonts w:ascii="Times New Roman" w:eastAsia="Times New Roman" w:hAnsi="Times New Roman" w:cs="Times New Roman"/>
          <w:b/>
          <w:noProof/>
          <w:color w:val="000000"/>
          <w:sz w:val="24"/>
          <w:szCs w:val="24"/>
          <w:lang w:val="sq-AL"/>
        </w:rPr>
        <w:t>n e Cemit te Salc</w:t>
      </w:r>
      <w:r>
        <w:rPr>
          <w:rFonts w:ascii="Times New Roman" w:hAnsi="Times New Roman"/>
          <w:sz w:val="24"/>
          <w:szCs w:val="24"/>
        </w:rPr>
        <w:t>ë</w:t>
      </w:r>
      <w:r w:rsidR="004A74BB" w:rsidRPr="00D15B63">
        <w:rPr>
          <w:rFonts w:ascii="Times New Roman" w:eastAsia="Times New Roman" w:hAnsi="Times New Roman" w:cs="Times New Roman"/>
          <w:b/>
          <w:noProof/>
          <w:color w:val="000000"/>
          <w:sz w:val="24"/>
          <w:szCs w:val="24"/>
          <w:lang w:val="sq-AL"/>
        </w:rPr>
        <w:t>s</w:t>
      </w: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Në stacionin e T</w:t>
      </w:r>
      <w:r w:rsidR="00B21DB2">
        <w:rPr>
          <w:rFonts w:ascii="Times New Roman" w:eastAsia="Times New Roman" w:hAnsi="Times New Roman" w:cs="Times New Roman"/>
          <w:sz w:val="24"/>
          <w:szCs w:val="24"/>
          <w:lang w:val="sq-AL"/>
        </w:rPr>
        <w:t>amarës në degën e Cemit të Selc</w:t>
      </w:r>
      <w:r w:rsidR="00B21DB2">
        <w:rPr>
          <w:rFonts w:ascii="Times New Roman" w:hAnsi="Times New Roman"/>
          <w:sz w:val="24"/>
          <w:szCs w:val="24"/>
        </w:rPr>
        <w:t>ë</w:t>
      </w:r>
      <w:r w:rsidRPr="00D15B63">
        <w:rPr>
          <w:rFonts w:ascii="Times New Roman" w:eastAsia="Times New Roman" w:hAnsi="Times New Roman" w:cs="Times New Roman"/>
          <w:sz w:val="24"/>
          <w:szCs w:val="24"/>
          <w:lang w:val="sq-AL"/>
        </w:rPr>
        <w:t>s matjet u kryen në dalje të lumit nga qyteti pasi edhe sasia e prurjeve reflekton më mirë të gjithë t</w:t>
      </w:r>
      <w:r w:rsidR="009805E6">
        <w:rPr>
          <w:rFonts w:ascii="Times New Roman" w:eastAsia="Times New Roman" w:hAnsi="Times New Roman" w:cs="Times New Roman"/>
          <w:sz w:val="24"/>
          <w:szCs w:val="24"/>
          <w:lang w:val="sq-AL"/>
        </w:rPr>
        <w:t>ributarët që ndodhen më sipër.</w:t>
      </w: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rPr>
        <w:drawing>
          <wp:inline distT="0" distB="0" distL="0" distR="0" wp14:anchorId="48D27BFA" wp14:editId="4DEAF89E">
            <wp:extent cx="2780599" cy="1943100"/>
            <wp:effectExtent l="0" t="0" r="1270" b="0"/>
            <wp:docPr id="4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0" cstate="print"/>
                    <a:srcRect l="5288" t="23219" r="33734" b="11681"/>
                    <a:stretch>
                      <a:fillRect/>
                    </a:stretch>
                  </pic:blipFill>
                  <pic:spPr bwMode="auto">
                    <a:xfrm>
                      <a:off x="0" y="0"/>
                      <a:ext cx="2797455" cy="1954879"/>
                    </a:xfrm>
                    <a:prstGeom prst="rect">
                      <a:avLst/>
                    </a:prstGeom>
                    <a:noFill/>
                    <a:ln w="9525">
                      <a:noFill/>
                      <a:miter lim="800000"/>
                      <a:headEnd/>
                      <a:tailEnd/>
                    </a:ln>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4A509439" wp14:editId="10532BD9">
            <wp:extent cx="2895600" cy="1905000"/>
            <wp:effectExtent l="0" t="0" r="0" b="0"/>
            <wp:docPr id="4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1" cstate="print"/>
                    <a:srcRect l="5288" t="21795" r="23317" b="10541"/>
                    <a:stretch>
                      <a:fillRect/>
                    </a:stretch>
                  </pic:blipFill>
                  <pic:spPr bwMode="auto">
                    <a:xfrm>
                      <a:off x="0" y="0"/>
                      <a:ext cx="2896029" cy="1905282"/>
                    </a:xfrm>
                    <a:prstGeom prst="rect">
                      <a:avLst/>
                    </a:prstGeom>
                    <a:noFill/>
                    <a:ln w="9525">
                      <a:noFill/>
                      <a:miter lim="800000"/>
                      <a:headEnd/>
                      <a:tailEnd/>
                    </a:ln>
                  </pic:spPr>
                </pic:pic>
              </a:graphicData>
            </a:graphic>
          </wp:inline>
        </w:drawing>
      </w:r>
      <w:r w:rsidRPr="00D15B63">
        <w:rPr>
          <w:rFonts w:ascii="Times New Roman" w:eastAsia="Times New Roman" w:hAnsi="Times New Roman" w:cs="Times New Roman"/>
          <w:sz w:val="24"/>
          <w:szCs w:val="24"/>
          <w:lang w:val="sq-AL"/>
        </w:rPr>
        <w:t xml:space="preserve"> </w:t>
      </w: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 xml:space="preserve">●  Stacioni  </w:t>
      </w:r>
      <w:r w:rsidR="00144992">
        <w:rPr>
          <w:rFonts w:ascii="Times New Roman" w:eastAsia="Times New Roman" w:hAnsi="Times New Roman" w:cs="Times New Roman"/>
          <w:b/>
          <w:sz w:val="24"/>
          <w:szCs w:val="24"/>
          <w:lang w:val="sq-AL"/>
        </w:rPr>
        <w:t>i</w:t>
      </w:r>
      <w:r w:rsidRPr="00D15B63">
        <w:rPr>
          <w:rFonts w:ascii="Times New Roman" w:eastAsia="Times New Roman" w:hAnsi="Times New Roman" w:cs="Times New Roman"/>
          <w:b/>
          <w:sz w:val="24"/>
          <w:szCs w:val="24"/>
          <w:lang w:val="sq-AL"/>
        </w:rPr>
        <w:t xml:space="preserve"> Tamar</w:t>
      </w:r>
      <w:r w:rsidR="00144992">
        <w:rPr>
          <w:rFonts w:ascii="Times New Roman" w:eastAsia="Times New Roman" w:hAnsi="Times New Roman" w:cs="Times New Roman"/>
          <w:b/>
          <w:sz w:val="24"/>
          <w:szCs w:val="24"/>
          <w:lang w:val="sq-AL"/>
        </w:rPr>
        <w:t>ë</w:t>
      </w:r>
      <w:r w:rsidR="00B21DB2">
        <w:rPr>
          <w:rFonts w:ascii="Times New Roman" w:eastAsia="Times New Roman" w:hAnsi="Times New Roman" w:cs="Times New Roman"/>
          <w:b/>
          <w:sz w:val="24"/>
          <w:szCs w:val="24"/>
          <w:lang w:val="sq-AL"/>
        </w:rPr>
        <w:t>s n</w:t>
      </w:r>
      <w:r w:rsidR="00B21DB2">
        <w:rPr>
          <w:rFonts w:ascii="Times New Roman" w:hAnsi="Times New Roman"/>
          <w:sz w:val="24"/>
          <w:szCs w:val="24"/>
        </w:rPr>
        <w:t>ë</w:t>
      </w:r>
      <w:r w:rsidR="00B21DB2">
        <w:rPr>
          <w:rFonts w:ascii="Times New Roman" w:eastAsia="Times New Roman" w:hAnsi="Times New Roman" w:cs="Times New Roman"/>
          <w:b/>
          <w:sz w:val="24"/>
          <w:szCs w:val="24"/>
          <w:lang w:val="sq-AL"/>
        </w:rPr>
        <w:t xml:space="preserve"> deg</w:t>
      </w:r>
      <w:r w:rsidR="00B21DB2">
        <w:rPr>
          <w:rFonts w:ascii="Times New Roman" w:hAnsi="Times New Roman"/>
          <w:sz w:val="24"/>
          <w:szCs w:val="24"/>
        </w:rPr>
        <w:t>ë</w:t>
      </w:r>
      <w:r w:rsidR="00B21DB2">
        <w:rPr>
          <w:rFonts w:ascii="Times New Roman" w:eastAsia="Times New Roman" w:hAnsi="Times New Roman" w:cs="Times New Roman"/>
          <w:b/>
          <w:sz w:val="24"/>
          <w:szCs w:val="24"/>
          <w:lang w:val="sq-AL"/>
        </w:rPr>
        <w:t>n e Cemit t</w:t>
      </w:r>
      <w:r w:rsidR="00B21DB2">
        <w:rPr>
          <w:rFonts w:ascii="Times New Roman" w:hAnsi="Times New Roman"/>
          <w:sz w:val="24"/>
          <w:szCs w:val="24"/>
        </w:rPr>
        <w:t>ë</w:t>
      </w:r>
      <w:r w:rsidRPr="00D15B63">
        <w:rPr>
          <w:rFonts w:ascii="Times New Roman" w:eastAsia="Times New Roman" w:hAnsi="Times New Roman" w:cs="Times New Roman"/>
          <w:b/>
          <w:sz w:val="24"/>
          <w:szCs w:val="24"/>
          <w:lang w:val="sq-AL"/>
        </w:rPr>
        <w:t xml:space="preserve"> Vuklit.</w:t>
      </w: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Në stacionin Tamarës, degë e Cemit të Vuklit, Sasia e përgjithëshme e prurjeve për të dyja degës së</w:t>
      </w:r>
      <w:r w:rsidR="00B21DB2">
        <w:rPr>
          <w:rFonts w:ascii="Times New Roman" w:eastAsia="Times New Roman" w:hAnsi="Times New Roman" w:cs="Times New Roman"/>
          <w:sz w:val="24"/>
          <w:szCs w:val="24"/>
          <w:lang w:val="sq-AL"/>
        </w:rPr>
        <w:t xml:space="preserve"> </w:t>
      </w:r>
      <w:r w:rsidRPr="00D15B63">
        <w:rPr>
          <w:rFonts w:ascii="Times New Roman" w:eastAsia="Times New Roman" w:hAnsi="Times New Roman" w:cs="Times New Roman"/>
          <w:sz w:val="24"/>
          <w:szCs w:val="24"/>
          <w:lang w:val="sq-AL"/>
        </w:rPr>
        <w:t>bashku, është 8.128 m</w:t>
      </w:r>
      <w:r w:rsidRPr="00D15B63">
        <w:rPr>
          <w:rFonts w:ascii="Times New Roman" w:eastAsia="Times New Roman" w:hAnsi="Times New Roman" w:cs="Times New Roman"/>
          <w:sz w:val="24"/>
          <w:szCs w:val="24"/>
          <w:vertAlign w:val="superscript"/>
          <w:lang w:val="sq-AL"/>
        </w:rPr>
        <w:t>3</w:t>
      </w:r>
      <w:r w:rsidRPr="00D15B63">
        <w:rPr>
          <w:rFonts w:ascii="Times New Roman" w:eastAsia="Times New Roman" w:hAnsi="Times New Roman" w:cs="Times New Roman"/>
          <w:sz w:val="24"/>
          <w:szCs w:val="24"/>
          <w:lang w:val="sq-AL"/>
        </w:rPr>
        <w:t>/s për fazën e parë dhe 2.039 m</w:t>
      </w:r>
      <w:r w:rsidRPr="00D15B63">
        <w:rPr>
          <w:rFonts w:ascii="Times New Roman" w:eastAsia="Times New Roman" w:hAnsi="Times New Roman" w:cs="Times New Roman"/>
          <w:sz w:val="24"/>
          <w:szCs w:val="24"/>
          <w:vertAlign w:val="superscript"/>
          <w:lang w:val="sq-AL"/>
        </w:rPr>
        <w:t>3</w:t>
      </w:r>
      <w:r w:rsidRPr="00D15B63">
        <w:rPr>
          <w:rFonts w:ascii="Times New Roman" w:eastAsia="Times New Roman" w:hAnsi="Times New Roman" w:cs="Times New Roman"/>
          <w:sz w:val="24"/>
          <w:szCs w:val="24"/>
          <w:lang w:val="sq-AL"/>
        </w:rPr>
        <w:t>/s për fazën e dytë.</w:t>
      </w: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rPr>
        <w:drawing>
          <wp:inline distT="0" distB="0" distL="0" distR="0" wp14:anchorId="61C5CED7" wp14:editId="7C9CF1FB">
            <wp:extent cx="2919730" cy="1819275"/>
            <wp:effectExtent l="0" t="0" r="0" b="9525"/>
            <wp:docPr id="4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2" cstate="print"/>
                    <a:srcRect l="5368" t="22650" r="30529" b="10399"/>
                    <a:stretch>
                      <a:fillRect/>
                    </a:stretch>
                  </pic:blipFill>
                  <pic:spPr bwMode="auto">
                    <a:xfrm>
                      <a:off x="0" y="0"/>
                      <a:ext cx="2922770" cy="1821169"/>
                    </a:xfrm>
                    <a:prstGeom prst="rect">
                      <a:avLst/>
                    </a:prstGeom>
                    <a:noFill/>
                    <a:ln w="9525">
                      <a:noFill/>
                      <a:miter lim="800000"/>
                      <a:headEnd/>
                      <a:tailEnd/>
                    </a:ln>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2BFC2F42" wp14:editId="04ADC13C">
            <wp:extent cx="2837180" cy="1809465"/>
            <wp:effectExtent l="0" t="0" r="1270" b="635"/>
            <wp:docPr id="45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3" cstate="print"/>
                    <a:srcRect l="5288" t="22934" r="23397" b="9402"/>
                    <a:stretch>
                      <a:fillRect/>
                    </a:stretch>
                  </pic:blipFill>
                  <pic:spPr bwMode="auto">
                    <a:xfrm>
                      <a:off x="0" y="0"/>
                      <a:ext cx="2864915" cy="1827153"/>
                    </a:xfrm>
                    <a:prstGeom prst="rect">
                      <a:avLst/>
                    </a:prstGeom>
                    <a:noFill/>
                    <a:ln w="9525">
                      <a:noFill/>
                      <a:miter lim="800000"/>
                      <a:headEnd/>
                      <a:tailEnd/>
                    </a:ln>
                  </pic:spPr>
                </pic:pic>
              </a:graphicData>
            </a:graphic>
          </wp:inline>
        </w:drawing>
      </w: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p>
    <w:p w:rsidR="004A74BB"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val="sq-AL"/>
        </w:rPr>
      </w:pPr>
      <w:bookmarkStart w:id="9" w:name="_Hlk219276935"/>
      <w:r w:rsidRPr="00D15B63">
        <w:rPr>
          <w:rFonts w:ascii="Times New Roman" w:eastAsia="Times New Roman" w:hAnsi="Times New Roman" w:cs="Times New Roman"/>
          <w:b/>
          <w:sz w:val="24"/>
          <w:szCs w:val="24"/>
          <w:lang w:val="sq-AL"/>
        </w:rPr>
        <w:t>●  Stacioni  e Vermoshit, Lumi Vermosh.</w:t>
      </w:r>
      <w:bookmarkEnd w:id="9"/>
    </w:p>
    <w:p w:rsidR="004A74BB" w:rsidRDefault="009826DD" w:rsidP="004A74BB">
      <w:p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9826DD">
        <w:rPr>
          <w:rFonts w:ascii="Times New Roman" w:eastAsia="Calibri" w:hAnsi="Times New Roman" w:cs="Times New Roman"/>
          <w:sz w:val="24"/>
          <w:szCs w:val="24"/>
          <w:lang w:val="sq-AL"/>
        </w:rPr>
        <w:t>Në stacionin e Vermoshit (lumi i Vermoshit) sasia e prurjeve është 3.425 m</w:t>
      </w:r>
      <w:r w:rsidRPr="009826DD">
        <w:rPr>
          <w:rFonts w:ascii="Times New Roman" w:eastAsia="Calibri" w:hAnsi="Times New Roman" w:cs="Times New Roman"/>
          <w:sz w:val="24"/>
          <w:szCs w:val="24"/>
          <w:vertAlign w:val="superscript"/>
          <w:lang w:val="sq-AL"/>
        </w:rPr>
        <w:t>3</w:t>
      </w:r>
      <w:r w:rsidRPr="009826DD">
        <w:rPr>
          <w:rFonts w:ascii="Times New Roman" w:eastAsia="Calibri" w:hAnsi="Times New Roman" w:cs="Times New Roman"/>
          <w:sz w:val="24"/>
          <w:szCs w:val="24"/>
          <w:lang w:val="sq-AL"/>
        </w:rPr>
        <w:t>/s për fazën e parë dhe 1.058 m</w:t>
      </w:r>
      <w:r w:rsidRPr="009826DD">
        <w:rPr>
          <w:rFonts w:ascii="Times New Roman" w:eastAsia="Calibri" w:hAnsi="Times New Roman" w:cs="Times New Roman"/>
          <w:sz w:val="24"/>
          <w:szCs w:val="24"/>
          <w:vertAlign w:val="superscript"/>
          <w:lang w:val="sq-AL"/>
        </w:rPr>
        <w:t>3</w:t>
      </w:r>
      <w:r w:rsidRPr="009826DD">
        <w:rPr>
          <w:rFonts w:ascii="Times New Roman" w:eastAsia="Calibri" w:hAnsi="Times New Roman" w:cs="Times New Roman"/>
          <w:sz w:val="24"/>
          <w:szCs w:val="24"/>
          <w:lang w:val="sq-AL"/>
        </w:rPr>
        <w:t>/s për fazën e dytë ndërsa rrezja hidraulike është R</w:t>
      </w:r>
      <w:r w:rsidRPr="009826DD">
        <w:rPr>
          <w:rFonts w:ascii="Times New Roman" w:eastAsia="Calibri" w:hAnsi="Times New Roman" w:cs="Times New Roman"/>
          <w:sz w:val="24"/>
          <w:szCs w:val="24"/>
          <w:vertAlign w:val="subscript"/>
          <w:lang w:val="sq-AL"/>
        </w:rPr>
        <w:t>H</w:t>
      </w:r>
      <w:r w:rsidRPr="009826DD">
        <w:rPr>
          <w:rFonts w:ascii="Times New Roman" w:eastAsia="Calibri" w:hAnsi="Times New Roman" w:cs="Times New Roman"/>
          <w:sz w:val="24"/>
          <w:szCs w:val="24"/>
          <w:lang w:val="sq-AL"/>
        </w:rPr>
        <w:t xml:space="preserve"> = 0.45m</w:t>
      </w:r>
    </w:p>
    <w:p w:rsidR="009826DD" w:rsidRPr="009826DD" w:rsidRDefault="009826DD"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  Stacioni  e Bajram Currit, Lumi i Valbonës</w:t>
      </w:r>
    </w:p>
    <w:p w:rsidR="004A74BB" w:rsidRPr="009826DD" w:rsidRDefault="009826DD" w:rsidP="004A74BB">
      <w:p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9826DD">
        <w:rPr>
          <w:rFonts w:ascii="Times New Roman" w:eastAsia="Calibri" w:hAnsi="Times New Roman" w:cs="Times New Roman"/>
          <w:sz w:val="24"/>
          <w:szCs w:val="24"/>
          <w:lang w:val="sq-AL"/>
        </w:rPr>
        <w:t>Në stacionin e Bajram Currit (lumi i Valbonës) sasia e prurjeve është 2.67 m</w:t>
      </w:r>
      <w:r w:rsidRPr="009826DD">
        <w:rPr>
          <w:rFonts w:ascii="Times New Roman" w:eastAsia="Calibri" w:hAnsi="Times New Roman" w:cs="Times New Roman"/>
          <w:sz w:val="24"/>
          <w:szCs w:val="24"/>
          <w:vertAlign w:val="superscript"/>
          <w:lang w:val="sq-AL"/>
        </w:rPr>
        <w:t>3</w:t>
      </w:r>
      <w:r w:rsidRPr="009826DD">
        <w:rPr>
          <w:rFonts w:ascii="Times New Roman" w:eastAsia="Calibri" w:hAnsi="Times New Roman" w:cs="Times New Roman"/>
          <w:sz w:val="24"/>
          <w:szCs w:val="24"/>
          <w:lang w:val="sq-AL"/>
        </w:rPr>
        <w:t>/s për fazën e parë dhe 0.59 m</w:t>
      </w:r>
      <w:r w:rsidRPr="009826DD">
        <w:rPr>
          <w:rFonts w:ascii="Times New Roman" w:eastAsia="Calibri" w:hAnsi="Times New Roman" w:cs="Times New Roman"/>
          <w:sz w:val="24"/>
          <w:szCs w:val="24"/>
          <w:vertAlign w:val="superscript"/>
          <w:lang w:val="sq-AL"/>
        </w:rPr>
        <w:t>3</w:t>
      </w:r>
      <w:r w:rsidRPr="009826DD">
        <w:rPr>
          <w:rFonts w:ascii="Times New Roman" w:eastAsia="Calibri" w:hAnsi="Times New Roman" w:cs="Times New Roman"/>
          <w:sz w:val="24"/>
          <w:szCs w:val="24"/>
          <w:lang w:val="sq-AL"/>
        </w:rPr>
        <w:t>/s për fazën e dytë ndërsa rrezja hidraulike është R</w:t>
      </w:r>
      <w:r w:rsidRPr="009826DD">
        <w:rPr>
          <w:rFonts w:ascii="Times New Roman" w:eastAsia="Calibri" w:hAnsi="Times New Roman" w:cs="Times New Roman"/>
          <w:sz w:val="24"/>
          <w:szCs w:val="24"/>
          <w:vertAlign w:val="subscript"/>
          <w:lang w:val="sq-AL"/>
        </w:rPr>
        <w:t>H</w:t>
      </w:r>
      <w:r w:rsidRPr="009826DD">
        <w:rPr>
          <w:rFonts w:ascii="Times New Roman" w:eastAsia="Calibri" w:hAnsi="Times New Roman" w:cs="Times New Roman"/>
          <w:sz w:val="24"/>
          <w:szCs w:val="24"/>
          <w:lang w:val="sq-AL"/>
        </w:rPr>
        <w:t xml:space="preserve"> = 0.381m</w:t>
      </w:r>
    </w:p>
    <w:p w:rsidR="009826DD" w:rsidRPr="00D15B63" w:rsidRDefault="009826DD"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b/>
          <w:sz w:val="24"/>
          <w:szCs w:val="24"/>
          <w:lang w:val="sq-AL"/>
        </w:rPr>
        <w:t xml:space="preserve">●  Stacioni  e Shoshanit , </w:t>
      </w:r>
      <w:bookmarkStart w:id="10" w:name="_Hlk219277201"/>
      <w:r w:rsidRPr="00D15B63">
        <w:rPr>
          <w:rFonts w:ascii="Times New Roman" w:eastAsia="Times New Roman" w:hAnsi="Times New Roman" w:cs="Times New Roman"/>
          <w:b/>
          <w:sz w:val="24"/>
          <w:szCs w:val="24"/>
          <w:lang w:val="sq-AL"/>
        </w:rPr>
        <w:t>Lumi i Valbonës</w:t>
      </w:r>
    </w:p>
    <w:bookmarkEnd w:id="10"/>
    <w:p w:rsidR="004A74BB" w:rsidRPr="009826DD" w:rsidRDefault="009826DD" w:rsidP="004A74BB">
      <w:pPr>
        <w:spacing w:after="0" w:line="240" w:lineRule="auto"/>
        <w:jc w:val="both"/>
        <w:rPr>
          <w:rFonts w:ascii="Times New Roman" w:eastAsia="Times New Roman" w:hAnsi="Times New Roman" w:cs="Times New Roman"/>
          <w:sz w:val="24"/>
          <w:szCs w:val="24"/>
          <w:lang w:val="sq-AL"/>
        </w:rPr>
      </w:pPr>
      <w:r w:rsidRPr="009826DD">
        <w:rPr>
          <w:rFonts w:ascii="Times New Roman" w:eastAsia="Calibri" w:hAnsi="Times New Roman" w:cs="Times New Roman"/>
          <w:sz w:val="24"/>
          <w:szCs w:val="24"/>
          <w:lang w:val="sq-AL"/>
        </w:rPr>
        <w:t>Në stacionin e Shoshanit (lumi i Valbonës) sasia e prurjeve është 12.67 m</w:t>
      </w:r>
      <w:r w:rsidRPr="009826DD">
        <w:rPr>
          <w:rFonts w:ascii="Times New Roman" w:eastAsia="Calibri" w:hAnsi="Times New Roman" w:cs="Times New Roman"/>
          <w:sz w:val="24"/>
          <w:szCs w:val="24"/>
          <w:vertAlign w:val="superscript"/>
          <w:lang w:val="sq-AL"/>
        </w:rPr>
        <w:t>3</w:t>
      </w:r>
      <w:r w:rsidRPr="009826DD">
        <w:rPr>
          <w:rFonts w:ascii="Times New Roman" w:eastAsia="Calibri" w:hAnsi="Times New Roman" w:cs="Times New Roman"/>
          <w:sz w:val="24"/>
          <w:szCs w:val="24"/>
          <w:lang w:val="sq-AL"/>
        </w:rPr>
        <w:t>/s për fazën e parë dhe 3.207 m</w:t>
      </w:r>
      <w:r w:rsidRPr="009826DD">
        <w:rPr>
          <w:rFonts w:ascii="Times New Roman" w:eastAsia="Calibri" w:hAnsi="Times New Roman" w:cs="Times New Roman"/>
          <w:sz w:val="24"/>
          <w:szCs w:val="24"/>
          <w:vertAlign w:val="superscript"/>
          <w:lang w:val="sq-AL"/>
        </w:rPr>
        <w:t>3</w:t>
      </w:r>
      <w:r w:rsidRPr="009826DD">
        <w:rPr>
          <w:rFonts w:ascii="Times New Roman" w:eastAsia="Calibri" w:hAnsi="Times New Roman" w:cs="Times New Roman"/>
          <w:sz w:val="24"/>
          <w:szCs w:val="24"/>
          <w:lang w:val="sq-AL"/>
        </w:rPr>
        <w:t>/s për fazën e dytë ndërsa rrezja hidraulike është R</w:t>
      </w:r>
      <w:r w:rsidRPr="009826DD">
        <w:rPr>
          <w:rFonts w:ascii="Times New Roman" w:eastAsia="Calibri" w:hAnsi="Times New Roman" w:cs="Times New Roman"/>
          <w:sz w:val="24"/>
          <w:szCs w:val="24"/>
          <w:vertAlign w:val="subscript"/>
          <w:lang w:val="sq-AL"/>
        </w:rPr>
        <w:t>H</w:t>
      </w:r>
      <w:r w:rsidRPr="009826DD">
        <w:rPr>
          <w:rFonts w:ascii="Times New Roman" w:eastAsia="Calibri" w:hAnsi="Times New Roman" w:cs="Times New Roman"/>
          <w:sz w:val="24"/>
          <w:szCs w:val="24"/>
          <w:lang w:val="sq-AL"/>
        </w:rPr>
        <w:t xml:space="preserve"> = 1.77m</w:t>
      </w:r>
    </w:p>
    <w:p w:rsidR="004A74BB" w:rsidRPr="009826DD" w:rsidRDefault="004A74BB" w:rsidP="004A74BB">
      <w:pPr>
        <w:spacing w:after="0" w:line="240" w:lineRule="auto"/>
        <w:jc w:val="both"/>
        <w:rPr>
          <w:rFonts w:ascii="Times New Roman" w:eastAsia="Times New Roman" w:hAnsi="Times New Roman" w:cs="Times New Roman"/>
          <w:sz w:val="24"/>
          <w:szCs w:val="24"/>
          <w:lang w:val="sq-AL"/>
        </w:rPr>
      </w:pPr>
    </w:p>
    <w:p w:rsidR="004A74BB"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val="sq-AL"/>
        </w:rPr>
      </w:pPr>
      <w:bookmarkStart w:id="11" w:name="_Hlk219277985"/>
      <w:r w:rsidRPr="00D15B63">
        <w:rPr>
          <w:rFonts w:ascii="Times New Roman" w:eastAsia="Times New Roman" w:hAnsi="Times New Roman" w:cs="Times New Roman"/>
          <w:b/>
          <w:sz w:val="24"/>
          <w:szCs w:val="24"/>
          <w:lang w:val="sq-AL"/>
        </w:rPr>
        <w:t>●  Stacioni Ura e Bujanit,</w:t>
      </w:r>
      <w:r w:rsidRPr="00D15B63">
        <w:rPr>
          <w:rFonts w:ascii="Times New Roman" w:eastAsia="Times New Roman" w:hAnsi="Times New Roman" w:cs="Times New Roman"/>
          <w:sz w:val="24"/>
          <w:szCs w:val="24"/>
          <w:lang w:val="sq-AL"/>
        </w:rPr>
        <w:t xml:space="preserve"> </w:t>
      </w:r>
      <w:r w:rsidRPr="00D15B63">
        <w:rPr>
          <w:rFonts w:ascii="Times New Roman" w:eastAsia="Times New Roman" w:hAnsi="Times New Roman" w:cs="Times New Roman"/>
          <w:b/>
          <w:sz w:val="24"/>
          <w:szCs w:val="24"/>
          <w:lang w:val="sq-AL"/>
        </w:rPr>
        <w:t>Lumi i Valbonë</w:t>
      </w:r>
      <w:bookmarkEnd w:id="11"/>
    </w:p>
    <w:p w:rsidR="009826DD" w:rsidRPr="009826DD" w:rsidRDefault="009826DD" w:rsidP="004A74BB">
      <w:p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9826DD">
        <w:rPr>
          <w:rFonts w:ascii="Times New Roman" w:eastAsia="Calibri" w:hAnsi="Times New Roman" w:cs="Times New Roman"/>
          <w:sz w:val="24"/>
          <w:szCs w:val="24"/>
          <w:lang w:val="sq-AL"/>
        </w:rPr>
        <w:t>Në stacionin Ura e Bujanit (lumi i Valbonës) sasia e prurjeve është 15.9 m</w:t>
      </w:r>
      <w:r w:rsidRPr="009826DD">
        <w:rPr>
          <w:rFonts w:ascii="Times New Roman" w:eastAsia="Calibri" w:hAnsi="Times New Roman" w:cs="Times New Roman"/>
          <w:sz w:val="24"/>
          <w:szCs w:val="24"/>
          <w:vertAlign w:val="superscript"/>
          <w:lang w:val="sq-AL"/>
        </w:rPr>
        <w:t>3</w:t>
      </w:r>
      <w:r w:rsidRPr="009826DD">
        <w:rPr>
          <w:rFonts w:ascii="Times New Roman" w:eastAsia="Calibri" w:hAnsi="Times New Roman" w:cs="Times New Roman"/>
          <w:sz w:val="24"/>
          <w:szCs w:val="24"/>
          <w:lang w:val="sq-AL"/>
        </w:rPr>
        <w:t>/s për fazën e parë dhe 8.056 m</w:t>
      </w:r>
      <w:r w:rsidRPr="009826DD">
        <w:rPr>
          <w:rFonts w:ascii="Times New Roman" w:eastAsia="Calibri" w:hAnsi="Times New Roman" w:cs="Times New Roman"/>
          <w:sz w:val="24"/>
          <w:szCs w:val="24"/>
          <w:vertAlign w:val="superscript"/>
          <w:lang w:val="sq-AL"/>
        </w:rPr>
        <w:t>3</w:t>
      </w:r>
      <w:r w:rsidRPr="009826DD">
        <w:rPr>
          <w:rFonts w:ascii="Times New Roman" w:eastAsia="Calibri" w:hAnsi="Times New Roman" w:cs="Times New Roman"/>
          <w:sz w:val="24"/>
          <w:szCs w:val="24"/>
          <w:lang w:val="sq-AL"/>
        </w:rPr>
        <w:t>/s për fazën e dytë ndërsa rrezet hidraulike janë R</w:t>
      </w:r>
      <w:r w:rsidRPr="009826DD">
        <w:rPr>
          <w:rFonts w:ascii="Times New Roman" w:eastAsia="Calibri" w:hAnsi="Times New Roman" w:cs="Times New Roman"/>
          <w:sz w:val="24"/>
          <w:szCs w:val="24"/>
          <w:vertAlign w:val="subscript"/>
          <w:lang w:val="sq-AL"/>
        </w:rPr>
        <w:t>H1</w:t>
      </w:r>
      <w:r w:rsidRPr="009826DD">
        <w:rPr>
          <w:rFonts w:ascii="Times New Roman" w:eastAsia="Calibri" w:hAnsi="Times New Roman" w:cs="Times New Roman"/>
          <w:sz w:val="24"/>
          <w:szCs w:val="24"/>
          <w:lang w:val="sq-AL"/>
        </w:rPr>
        <w:t xml:space="preserve"> = 0.65m dhe 0.59m</w:t>
      </w:r>
    </w:p>
    <w:p w:rsidR="009826DD" w:rsidRDefault="009826DD"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p>
    <w:p w:rsidR="009826DD" w:rsidRDefault="009826DD"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Stacionet e Vermoshit</w:t>
      </w:r>
      <w:r w:rsidR="00FA6218">
        <w:rPr>
          <w:rFonts w:ascii="Times New Roman" w:eastAsia="Times New Roman" w:hAnsi="Times New Roman" w:cs="Times New Roman"/>
          <w:sz w:val="24"/>
          <w:szCs w:val="24"/>
          <w:lang w:val="sq-AL"/>
        </w:rPr>
        <w:t xml:space="preserve">, Bajram Currit, Shoshanit dhe Ura e Bujanit janë monitoruar vetëm në vitin 2025 dhe nuk mund të paraqitet grafik krahasues ndër vite. </w:t>
      </w:r>
    </w:p>
    <w:p w:rsidR="00FA6218" w:rsidRPr="00D15B63" w:rsidRDefault="00FA6218"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lang w:val="sq-AL"/>
        </w:rPr>
        <w:t>●  Stacioni Ura e Bunës, Lumi i Bunës</w:t>
      </w: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b/>
          <w:noProof/>
          <w:color w:val="000000"/>
          <w:sz w:val="24"/>
          <w:szCs w:val="24"/>
        </w:rPr>
      </w:pPr>
    </w:p>
    <w:p w:rsidR="004A74BB" w:rsidRPr="00FA6218" w:rsidRDefault="004A74BB" w:rsidP="00FA6218">
      <w:pPr>
        <w:overflowPunct w:val="0"/>
        <w:autoSpaceDE w:val="0"/>
        <w:autoSpaceDN w:val="0"/>
        <w:adjustRightInd w:val="0"/>
        <w:spacing w:after="0" w:line="240" w:lineRule="auto"/>
        <w:jc w:val="both"/>
        <w:textAlignment w:val="baseline"/>
        <w:rPr>
          <w:rFonts w:ascii="Times New Roman" w:eastAsia="Times New Roman" w:hAnsi="Times New Roman" w:cs="Times New Roman"/>
          <w:b/>
          <w:noProof/>
          <w:color w:val="000000"/>
          <w:sz w:val="24"/>
          <w:szCs w:val="24"/>
        </w:rPr>
      </w:pPr>
      <w:r w:rsidRPr="00D15B63">
        <w:rPr>
          <w:rFonts w:ascii="Times New Roman" w:eastAsia="Times New Roman" w:hAnsi="Times New Roman" w:cs="Times New Roman"/>
          <w:sz w:val="24"/>
          <w:szCs w:val="24"/>
          <w:lang w:val="sq-AL"/>
        </w:rPr>
        <w:t>Vlerat më të ulta të R</w:t>
      </w:r>
      <w:r w:rsidRPr="00D15B63">
        <w:rPr>
          <w:rFonts w:ascii="Times New Roman" w:eastAsia="Times New Roman" w:hAnsi="Times New Roman" w:cs="Times New Roman"/>
          <w:sz w:val="24"/>
          <w:szCs w:val="24"/>
          <w:vertAlign w:val="subscript"/>
          <w:lang w:val="sq-AL"/>
        </w:rPr>
        <w:t xml:space="preserve">H </w:t>
      </w:r>
      <w:r w:rsidRPr="00D15B63">
        <w:rPr>
          <w:rFonts w:ascii="Times New Roman" w:eastAsia="Times New Roman" w:hAnsi="Times New Roman" w:cs="Times New Roman"/>
          <w:sz w:val="24"/>
          <w:szCs w:val="24"/>
          <w:lang w:val="sq-AL"/>
        </w:rPr>
        <w:t xml:space="preserve">janë në seksionet anësore ku janë edhe prurjet më të vogla ndërsa në seksionet e tjera janë thuajse të njëjta që korrespondon me një rregjim të njëtrajtshëm rrjedhe në gjerësinë e saj. Rreziku për përmbytje është gjithmonë i pranishëm sidomos në rastin e prurjeve të mëdha nga kaskada e Vaut të Dejës mbi lumin e Drinit. Tashmë, në krahun e majtë të rrjedhës, thuajse ngjitur me urën, është ndërtuar porti i varkave me ambjentet përrreth tij.  </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b/>
          <w:noProof/>
          <w:color w:val="000000"/>
          <w:sz w:val="24"/>
          <w:szCs w:val="24"/>
        </w:rPr>
      </w:pPr>
      <w:r w:rsidRPr="00D15B63">
        <w:rPr>
          <w:rFonts w:ascii="Times New Roman" w:eastAsia="Times New Roman" w:hAnsi="Times New Roman" w:cs="Times New Roman"/>
          <w:b/>
          <w:noProof/>
          <w:color w:val="000000"/>
          <w:sz w:val="24"/>
          <w:szCs w:val="24"/>
        </w:rPr>
        <w:drawing>
          <wp:inline distT="0" distB="0" distL="0" distR="0" wp14:anchorId="18DACE80" wp14:editId="1D30C4B7">
            <wp:extent cx="2886075" cy="1933575"/>
            <wp:effectExtent l="19050" t="19050" r="28575" b="28575"/>
            <wp:docPr id="460"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114" cstate="print"/>
                    <a:srcRect/>
                    <a:stretch>
                      <a:fillRect/>
                    </a:stretch>
                  </pic:blipFill>
                  <pic:spPr bwMode="auto">
                    <a:xfrm>
                      <a:off x="0" y="0"/>
                      <a:ext cx="2886075" cy="1933575"/>
                    </a:xfrm>
                    <a:prstGeom prst="rect">
                      <a:avLst/>
                    </a:prstGeom>
                    <a:noFill/>
                    <a:ln w="6350" cmpd="sng">
                      <a:solidFill>
                        <a:sysClr val="windowText" lastClr="000000"/>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72F76D81" wp14:editId="1930E394">
            <wp:extent cx="2933700" cy="1938491"/>
            <wp:effectExtent l="0" t="0" r="0" b="5080"/>
            <wp:docPr id="4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5" cstate="print"/>
                    <a:srcRect l="3766" t="22365" r="32692" b="9829"/>
                    <a:stretch>
                      <a:fillRect/>
                    </a:stretch>
                  </pic:blipFill>
                  <pic:spPr bwMode="auto">
                    <a:xfrm>
                      <a:off x="0" y="0"/>
                      <a:ext cx="2937412" cy="1940944"/>
                    </a:xfrm>
                    <a:prstGeom prst="rect">
                      <a:avLst/>
                    </a:prstGeom>
                    <a:noFill/>
                    <a:ln w="9525">
                      <a:noFill/>
                      <a:miter lim="800000"/>
                      <a:headEnd/>
                      <a:tailEnd/>
                    </a:ln>
                  </pic:spPr>
                </pic:pic>
              </a:graphicData>
            </a:graphic>
          </wp:inline>
        </w:drawing>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  Stacioni Muriqan, Lumi i Bunës</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Në raste prurjesh të mëdha, për shkak të disniveleve të vogla me bankot e lumit, rrjedha kalon edhe në stadin e përmbytjes.</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Calibri" w:hAnsi="Times New Roman" w:cs="Times New Roman"/>
          <w:b/>
          <w:noProof/>
          <w:color w:val="000000"/>
          <w:sz w:val="24"/>
          <w:szCs w:val="24"/>
        </w:rPr>
        <w:lastRenderedPageBreak/>
        <w:drawing>
          <wp:inline distT="0" distB="0" distL="0" distR="0" wp14:anchorId="03976608" wp14:editId="6231FC66">
            <wp:extent cx="2781300" cy="1885950"/>
            <wp:effectExtent l="0" t="0" r="0" b="0"/>
            <wp:docPr id="46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32ACB770" wp14:editId="27060A1F">
            <wp:extent cx="2779395" cy="1914525"/>
            <wp:effectExtent l="0" t="0" r="1905" b="9525"/>
            <wp:docPr id="46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7" cstate="print"/>
                    <a:srcRect l="3846" t="22365" r="32692" b="9687"/>
                    <a:stretch>
                      <a:fillRect/>
                    </a:stretch>
                  </pic:blipFill>
                  <pic:spPr bwMode="auto">
                    <a:xfrm>
                      <a:off x="0" y="0"/>
                      <a:ext cx="2780019" cy="1914955"/>
                    </a:xfrm>
                    <a:prstGeom prst="rect">
                      <a:avLst/>
                    </a:prstGeom>
                    <a:noFill/>
                    <a:ln w="9525">
                      <a:noFill/>
                      <a:miter lim="800000"/>
                      <a:headEnd/>
                      <a:tailEnd/>
                    </a:ln>
                  </pic:spPr>
                </pic:pic>
              </a:graphicData>
            </a:graphic>
          </wp:inline>
        </w:drawing>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Default="004A74BB" w:rsidP="004A74BB">
      <w:pPr>
        <w:overflowPunct w:val="0"/>
        <w:autoSpaceDE w:val="0"/>
        <w:autoSpaceDN w:val="0"/>
        <w:spacing w:after="0" w:line="240" w:lineRule="auto"/>
        <w:jc w:val="both"/>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  Stacioni Urës së Darsit, Lumi i Matit</w:t>
      </w:r>
    </w:p>
    <w:p w:rsidR="00FA6218" w:rsidRPr="00D15B63" w:rsidRDefault="00FA6218" w:rsidP="004A74BB">
      <w:pPr>
        <w:overflowPunct w:val="0"/>
        <w:autoSpaceDE w:val="0"/>
        <w:autoSpaceDN w:val="0"/>
        <w:spacing w:after="0" w:line="240" w:lineRule="auto"/>
        <w:jc w:val="both"/>
        <w:rPr>
          <w:rFonts w:ascii="Times New Roman" w:eastAsia="Times New Roman" w:hAnsi="Times New Roman" w:cs="Times New Roman"/>
          <w:b/>
          <w:sz w:val="24"/>
          <w:szCs w:val="24"/>
          <w:lang w:val="sq-AL"/>
        </w:rPr>
      </w:pPr>
    </w:p>
    <w:p w:rsidR="004A74BB" w:rsidRPr="00D15B63" w:rsidRDefault="004A74BB" w:rsidP="004A74BB">
      <w:pPr>
        <w:overflowPunct w:val="0"/>
        <w:autoSpaceDE w:val="0"/>
        <w:autoSpaceDN w:val="0"/>
        <w:spacing w:after="0" w:line="240" w:lineRule="auto"/>
        <w:jc w:val="both"/>
        <w:rPr>
          <w:rFonts w:ascii="Times New Roman" w:eastAsia="Times New Roman" w:hAnsi="Times New Roman" w:cs="Times New Roman"/>
          <w:b/>
          <w:sz w:val="24"/>
          <w:szCs w:val="24"/>
          <w:lang w:val="sq-AL"/>
        </w:rPr>
      </w:pPr>
      <w:r w:rsidRPr="00D15B63">
        <w:rPr>
          <w:rFonts w:ascii="Times New Roman" w:eastAsia="Times New Roman" w:hAnsi="Times New Roman" w:cs="Times New Roman"/>
          <w:sz w:val="24"/>
          <w:szCs w:val="24"/>
          <w:lang w:val="sq-AL"/>
        </w:rPr>
        <w:t xml:space="preserve">Në stacionin e Urës së Darsit (lumi i Matit), gjatë këtij viti, në momentin e matjeve, bashkimi i të dyja rrjedhave ujore të Matit dhe Darsit ndodh sipër urës së Darsit dhe në vendin e matjeve Mati vjen si një rrjedhë e vetme. </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rPr>
        <w:drawing>
          <wp:inline distT="0" distB="0" distL="0" distR="0" wp14:anchorId="2DBF1736" wp14:editId="16EA4531">
            <wp:extent cx="2952750" cy="1800225"/>
            <wp:effectExtent l="19050" t="19050" r="19050" b="28575"/>
            <wp:docPr id="464" name="Char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7"/>
                    <pic:cNvPicPr>
                      <a:picLocks noChangeArrowheads="1"/>
                    </pic:cNvPicPr>
                  </pic:nvPicPr>
                  <pic:blipFill>
                    <a:blip r:embed="rId118" cstate="print"/>
                    <a:srcRect/>
                    <a:stretch>
                      <a:fillRect/>
                    </a:stretch>
                  </pic:blipFill>
                  <pic:spPr bwMode="auto">
                    <a:xfrm>
                      <a:off x="0" y="0"/>
                      <a:ext cx="2952750" cy="1800225"/>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346D22B9" wp14:editId="59D9D657">
            <wp:extent cx="2895600" cy="1849120"/>
            <wp:effectExtent l="0" t="0" r="0" b="0"/>
            <wp:docPr id="46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9" cstate="print"/>
                    <a:srcRect l="3766" t="24217" r="32051" b="8974"/>
                    <a:stretch>
                      <a:fillRect/>
                    </a:stretch>
                  </pic:blipFill>
                  <pic:spPr bwMode="auto">
                    <a:xfrm>
                      <a:off x="0" y="0"/>
                      <a:ext cx="2899153" cy="1851389"/>
                    </a:xfrm>
                    <a:prstGeom prst="rect">
                      <a:avLst/>
                    </a:prstGeom>
                    <a:noFill/>
                    <a:ln w="9525">
                      <a:noFill/>
                      <a:miter lim="800000"/>
                      <a:headEnd/>
                      <a:tailEnd/>
                    </a:ln>
                  </pic:spPr>
                </pic:pic>
              </a:graphicData>
            </a:graphic>
          </wp:inline>
        </w:drawing>
      </w: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  Stacioni Ura e Fanit,  Lumi i Fanit të Vogël</w:t>
      </w: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r w:rsidRPr="00D15B63">
        <w:rPr>
          <w:rFonts w:ascii="Times New Roman" w:eastAsia="Times New Roman" w:hAnsi="Times New Roman" w:cs="Times New Roman"/>
          <w:sz w:val="24"/>
          <w:szCs w:val="24"/>
          <w:lang w:val="sq-AL"/>
        </w:rPr>
        <w:t xml:space="preserve">Sasia e ulët e ujit në shtrat lidhet kryesisht me kushtet e motit, por edhe me regjimin e HEC-eve të ngritura mbi lumin e Fanit. </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rPr>
        <w:drawing>
          <wp:inline distT="0" distB="0" distL="0" distR="0" wp14:anchorId="1500BE38" wp14:editId="588E326C">
            <wp:extent cx="2962275" cy="1847850"/>
            <wp:effectExtent l="19050" t="19050" r="28575" b="19050"/>
            <wp:docPr id="466" name="Chart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8"/>
                    <pic:cNvPicPr>
                      <a:picLocks noChangeArrowheads="1"/>
                    </pic:cNvPicPr>
                  </pic:nvPicPr>
                  <pic:blipFill>
                    <a:blip r:embed="rId120" cstate="print"/>
                    <a:srcRect/>
                    <a:stretch>
                      <a:fillRect/>
                    </a:stretch>
                  </pic:blipFill>
                  <pic:spPr bwMode="auto">
                    <a:xfrm>
                      <a:off x="0" y="0"/>
                      <a:ext cx="2962275" cy="1847850"/>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62314F65" wp14:editId="18BFC0B1">
            <wp:extent cx="2886075" cy="1895352"/>
            <wp:effectExtent l="0" t="0" r="0" b="0"/>
            <wp:docPr id="46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1" cstate="print"/>
                    <a:srcRect l="3846" t="22934" r="31971" b="10256"/>
                    <a:stretch>
                      <a:fillRect/>
                    </a:stretch>
                  </pic:blipFill>
                  <pic:spPr bwMode="auto">
                    <a:xfrm>
                      <a:off x="0" y="0"/>
                      <a:ext cx="2889409" cy="1897542"/>
                    </a:xfrm>
                    <a:prstGeom prst="rect">
                      <a:avLst/>
                    </a:prstGeom>
                    <a:noFill/>
                    <a:ln w="9525">
                      <a:noFill/>
                      <a:miter lim="800000"/>
                      <a:headEnd/>
                      <a:tailEnd/>
                    </a:ln>
                  </pic:spPr>
                </pic:pic>
              </a:graphicData>
            </a:graphic>
          </wp:inline>
        </w:drawing>
      </w:r>
    </w:p>
    <w:p w:rsidR="004A74BB" w:rsidRPr="00FA6218" w:rsidRDefault="004A74BB" w:rsidP="004A74BB">
      <w:pPr>
        <w:spacing w:after="0" w:line="240" w:lineRule="auto"/>
        <w:jc w:val="both"/>
        <w:rPr>
          <w:rFonts w:ascii="Times New Roman" w:eastAsia="Times New Roman" w:hAnsi="Times New Roman" w:cs="Times New Roman"/>
          <w:sz w:val="24"/>
          <w:szCs w:val="24"/>
          <w:lang w:val="sq-AL"/>
        </w:rPr>
      </w:pPr>
    </w:p>
    <w:p w:rsidR="004A74BB" w:rsidRDefault="004A74BB" w:rsidP="004A74BB">
      <w:pPr>
        <w:spacing w:after="0" w:line="240" w:lineRule="auto"/>
        <w:jc w:val="both"/>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lastRenderedPageBreak/>
        <w:t>●  Stacioni Ura e Berluskonit , Lumi i Matit</w:t>
      </w:r>
    </w:p>
    <w:p w:rsidR="00A95E5C" w:rsidRPr="00D15B63" w:rsidRDefault="00A95E5C" w:rsidP="004A74BB">
      <w:pPr>
        <w:spacing w:after="0" w:line="240" w:lineRule="auto"/>
        <w:jc w:val="both"/>
        <w:rPr>
          <w:rFonts w:ascii="Times New Roman" w:eastAsia="Times New Roman" w:hAnsi="Times New Roman" w:cs="Times New Roman"/>
          <w:b/>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Sasitë e ujit në këtë stacion janë funksion i rreshjeve stinore dhe rregjimit të HEC-eve mbi lumenjtë e Fanit dhe Matit. Rreziku për përmbytje është gjithmonë i pranishëm në pjesët poshtë kësaj Ure deri në det, sidomos në rastin e prurjeve të menjëhershme në periudhë të shkurtër kohore. </w:t>
      </w:r>
    </w:p>
    <w:p w:rsidR="004A74BB" w:rsidRPr="00D15B63" w:rsidRDefault="004A74BB" w:rsidP="004A74BB">
      <w:pPr>
        <w:spacing w:after="0" w:line="240" w:lineRule="auto"/>
        <w:jc w:val="both"/>
        <w:rPr>
          <w:rFonts w:ascii="Times New Roman" w:eastAsia="Times New Roman" w:hAnsi="Times New Roman" w:cs="Times New Roman"/>
          <w:b/>
          <w:noProof/>
          <w:color w:val="000000"/>
          <w:sz w:val="24"/>
          <w:szCs w:val="24"/>
        </w:rPr>
      </w:pPr>
      <w:r w:rsidRPr="00D15B63">
        <w:rPr>
          <w:rFonts w:ascii="Times New Roman" w:eastAsia="Times New Roman" w:hAnsi="Times New Roman" w:cs="Times New Roman"/>
          <w:b/>
          <w:noProof/>
          <w:color w:val="000000"/>
          <w:sz w:val="24"/>
          <w:szCs w:val="24"/>
        </w:rPr>
        <w:drawing>
          <wp:inline distT="0" distB="0" distL="0" distR="0" wp14:anchorId="0F500877" wp14:editId="0C617F9F">
            <wp:extent cx="2781300" cy="1657350"/>
            <wp:effectExtent l="19050" t="19050" r="19050" b="19050"/>
            <wp:docPr id="468" name="Chart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9"/>
                    <pic:cNvPicPr>
                      <a:picLocks noChangeArrowheads="1"/>
                    </pic:cNvPicPr>
                  </pic:nvPicPr>
                  <pic:blipFill>
                    <a:blip r:embed="rId122" cstate="print"/>
                    <a:srcRect/>
                    <a:stretch>
                      <a:fillRect/>
                    </a:stretch>
                  </pic:blipFill>
                  <pic:spPr bwMode="auto">
                    <a:xfrm>
                      <a:off x="0" y="0"/>
                      <a:ext cx="2781300" cy="1657350"/>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1369A7B1" wp14:editId="5752FC3A">
            <wp:extent cx="2933700" cy="1676400"/>
            <wp:effectExtent l="0" t="0" r="0" b="0"/>
            <wp:docPr id="46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3" cstate="print"/>
                    <a:srcRect l="3846" t="23932" r="31971" b="9402"/>
                    <a:stretch>
                      <a:fillRect/>
                    </a:stretch>
                  </pic:blipFill>
                  <pic:spPr bwMode="auto">
                    <a:xfrm>
                      <a:off x="0" y="0"/>
                      <a:ext cx="2951023" cy="1686299"/>
                    </a:xfrm>
                    <a:prstGeom prst="rect">
                      <a:avLst/>
                    </a:prstGeom>
                    <a:noFill/>
                    <a:ln w="9525">
                      <a:noFill/>
                      <a:miter lim="800000"/>
                      <a:headEnd/>
                      <a:tailEnd/>
                    </a:ln>
                  </pic:spPr>
                </pic:pic>
              </a:graphicData>
            </a:graphic>
          </wp:inline>
        </w:drawing>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bookmarkStart w:id="12" w:name="_Hlk219449893"/>
      <w:r w:rsidRPr="00D15B63">
        <w:rPr>
          <w:rFonts w:ascii="Times New Roman" w:eastAsia="Times New Roman" w:hAnsi="Times New Roman" w:cs="Times New Roman"/>
          <w:b/>
          <w:sz w:val="24"/>
          <w:szCs w:val="24"/>
          <w:lang w:val="sq-AL"/>
        </w:rPr>
        <w:t>●  Stacioni Ura e Brarit , Lumi i Ishmit</w:t>
      </w:r>
    </w:p>
    <w:bookmarkEnd w:id="12"/>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Forma e shtratit e ngushtë dhe e thellë lejon kalimin e sasive të mëdha të ujit për në sektorët e mëposhtëm. Nuk asnjë ka rrezik përmbytjeje.</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rPr>
        <w:drawing>
          <wp:inline distT="0" distB="0" distL="0" distR="0" wp14:anchorId="25A32F7D" wp14:editId="00618FE7">
            <wp:extent cx="2962275" cy="1743075"/>
            <wp:effectExtent l="19050" t="19050" r="28575" b="28575"/>
            <wp:docPr id="470" name="Chart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0"/>
                    <pic:cNvPicPr>
                      <a:picLocks noChangeArrowheads="1"/>
                    </pic:cNvPicPr>
                  </pic:nvPicPr>
                  <pic:blipFill>
                    <a:blip r:embed="rId124" cstate="print"/>
                    <a:srcRect/>
                    <a:stretch>
                      <a:fillRect/>
                    </a:stretch>
                  </pic:blipFill>
                  <pic:spPr bwMode="auto">
                    <a:xfrm>
                      <a:off x="0" y="0"/>
                      <a:ext cx="2962275" cy="1743075"/>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drawing>
          <wp:inline distT="0" distB="0" distL="0" distR="0" wp14:anchorId="39DA3AF4" wp14:editId="041478AA">
            <wp:extent cx="2894841" cy="1743075"/>
            <wp:effectExtent l="0" t="0" r="1270" b="0"/>
            <wp:docPr id="47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5" cstate="print"/>
                    <a:srcRect l="3766" t="22650" r="31170" b="12393"/>
                    <a:stretch>
                      <a:fillRect/>
                    </a:stretch>
                  </pic:blipFill>
                  <pic:spPr bwMode="auto">
                    <a:xfrm>
                      <a:off x="0" y="0"/>
                      <a:ext cx="2903710" cy="1748415"/>
                    </a:xfrm>
                    <a:prstGeom prst="rect">
                      <a:avLst/>
                    </a:prstGeom>
                    <a:noFill/>
                    <a:ln w="9525">
                      <a:noFill/>
                      <a:miter lim="800000"/>
                      <a:headEnd/>
                      <a:tailEnd/>
                    </a:ln>
                  </pic:spPr>
                </pic:pic>
              </a:graphicData>
            </a:graphic>
          </wp:inline>
        </w:drawing>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  Stacioni Salme -Shetaj , Lumi i Ishmit</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Sasia më e madhe e ujit kalon në krahun e djathtë të shtratit. Rreziku për përmbytje është i pranishëm sidomos në rastin e prurjeve të menjëherëshme në kohë të shkurtër</w:t>
      </w:r>
      <w:r w:rsidR="00A95E5C">
        <w:rPr>
          <w:rFonts w:ascii="Times New Roman" w:eastAsia="Times New Roman" w:hAnsi="Times New Roman" w:cs="Times New Roman"/>
          <w:sz w:val="24"/>
          <w:szCs w:val="24"/>
          <w:lang w:val="sq-AL"/>
        </w:rPr>
        <w:t>.</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rPr>
        <w:drawing>
          <wp:inline distT="0" distB="0" distL="0" distR="0" wp14:anchorId="2065C157" wp14:editId="7AB6E731">
            <wp:extent cx="2838450" cy="1752600"/>
            <wp:effectExtent l="19050" t="19050" r="19050" b="19050"/>
            <wp:docPr id="472" name="Chart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1"/>
                    <pic:cNvPicPr>
                      <a:picLocks noChangeArrowheads="1"/>
                    </pic:cNvPicPr>
                  </pic:nvPicPr>
                  <pic:blipFill>
                    <a:blip r:embed="rId126" cstate="print"/>
                    <a:srcRect/>
                    <a:stretch>
                      <a:fillRect/>
                    </a:stretch>
                  </pic:blipFill>
                  <pic:spPr bwMode="auto">
                    <a:xfrm>
                      <a:off x="0" y="0"/>
                      <a:ext cx="2838450" cy="1752600"/>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55D032AB" wp14:editId="2F34AB4E">
            <wp:extent cx="2952750" cy="1743075"/>
            <wp:effectExtent l="0" t="0" r="0" b="9525"/>
            <wp:docPr id="47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7" cstate="print"/>
                    <a:srcRect l="3766" t="25071" r="31170" b="9972"/>
                    <a:stretch>
                      <a:fillRect/>
                    </a:stretch>
                  </pic:blipFill>
                  <pic:spPr bwMode="auto">
                    <a:xfrm>
                      <a:off x="0" y="0"/>
                      <a:ext cx="2963189" cy="1749237"/>
                    </a:xfrm>
                    <a:prstGeom prst="rect">
                      <a:avLst/>
                    </a:prstGeom>
                    <a:noFill/>
                    <a:ln w="9525">
                      <a:noFill/>
                      <a:miter lim="800000"/>
                      <a:headEnd/>
                      <a:tailEnd/>
                    </a:ln>
                  </pic:spPr>
                </pic:pic>
              </a:graphicData>
            </a:graphic>
          </wp:inline>
        </w:drawing>
      </w: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lastRenderedPageBreak/>
        <w:t>●  Stacioni P</w:t>
      </w:r>
      <w:r w:rsidR="00A95E5C">
        <w:rPr>
          <w:rFonts w:ascii="Times New Roman" w:eastAsia="Times New Roman" w:hAnsi="Times New Roman" w:cs="Times New Roman"/>
          <w:b/>
          <w:sz w:val="24"/>
          <w:szCs w:val="24"/>
          <w:lang w:val="sq-AL"/>
        </w:rPr>
        <w:t>ë</w:t>
      </w:r>
      <w:r w:rsidRPr="00D15B63">
        <w:rPr>
          <w:rFonts w:ascii="Times New Roman" w:eastAsia="Times New Roman" w:hAnsi="Times New Roman" w:cs="Times New Roman"/>
          <w:b/>
          <w:sz w:val="24"/>
          <w:szCs w:val="24"/>
          <w:lang w:val="sq-AL"/>
        </w:rPr>
        <w:t xml:space="preserve">llumbas , </w:t>
      </w:r>
      <w:bookmarkStart w:id="13" w:name="_Hlk219450126"/>
      <w:r w:rsidRPr="00D15B63">
        <w:rPr>
          <w:rFonts w:ascii="Times New Roman" w:eastAsia="Times New Roman" w:hAnsi="Times New Roman" w:cs="Times New Roman"/>
          <w:b/>
          <w:sz w:val="24"/>
          <w:szCs w:val="24"/>
          <w:lang w:val="sq-AL"/>
        </w:rPr>
        <w:t>Lumi i Erzenit</w:t>
      </w:r>
    </w:p>
    <w:bookmarkEnd w:id="13"/>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overflowPunct w:val="0"/>
        <w:autoSpaceDE w:val="0"/>
        <w:autoSpaceDN w:val="0"/>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Sasia e ujit në këtë stacion është funksion i rreshjeve stinore dhe rregjimit të rezervuarit të Skoranës në hyrje të kanionit. Rreth 50 m sipër vendmatjes është ndërtuar një kapërderdhës për uljen e energjisë së rrjedhës, pasi në këtë sektor, fenomeni i erozionit fundor dhe anësor është mjaft i zhvilluar. Kjo ndihmon në uljen e itensitetit të këtij fenomeni si dhe për ruajtjen e brigjeve në tërësi dhe investimeve turistike të bëra në krahun e majtë të këtij shtrati.</w:t>
      </w:r>
    </w:p>
    <w:p w:rsidR="004A74BB" w:rsidRPr="00D15B63" w:rsidRDefault="004A74BB" w:rsidP="004A74BB">
      <w:pPr>
        <w:overflowPunct w:val="0"/>
        <w:autoSpaceDE w:val="0"/>
        <w:autoSpaceDN w:val="0"/>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rPr>
        <w:drawing>
          <wp:inline distT="0" distB="0" distL="0" distR="0" wp14:anchorId="129C995E" wp14:editId="1CB4704F">
            <wp:extent cx="2686050" cy="1609725"/>
            <wp:effectExtent l="19050" t="19050" r="19050" b="28575"/>
            <wp:docPr id="474" name="Chart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2"/>
                    <pic:cNvPicPr>
                      <a:picLocks noChangeArrowheads="1"/>
                    </pic:cNvPicPr>
                  </pic:nvPicPr>
                  <pic:blipFill>
                    <a:blip r:embed="rId128" cstate="print"/>
                    <a:srcRect/>
                    <a:stretch>
                      <a:fillRect/>
                    </a:stretch>
                  </pic:blipFill>
                  <pic:spPr bwMode="auto">
                    <a:xfrm>
                      <a:off x="0" y="0"/>
                      <a:ext cx="2686050" cy="1609725"/>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51455346" wp14:editId="6B9896B1">
            <wp:extent cx="2981325" cy="1628775"/>
            <wp:effectExtent l="0" t="0" r="9525" b="9525"/>
            <wp:docPr id="47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9" cstate="print"/>
                    <a:srcRect l="3846" t="25356" r="31170" b="9544"/>
                    <a:stretch>
                      <a:fillRect/>
                    </a:stretch>
                  </pic:blipFill>
                  <pic:spPr bwMode="auto">
                    <a:xfrm>
                      <a:off x="0" y="0"/>
                      <a:ext cx="2981325" cy="1628775"/>
                    </a:xfrm>
                    <a:prstGeom prst="rect">
                      <a:avLst/>
                    </a:prstGeom>
                    <a:noFill/>
                    <a:ln w="9525">
                      <a:noFill/>
                      <a:miter lim="800000"/>
                      <a:headEnd/>
                      <a:tailEnd/>
                    </a:ln>
                  </pic:spPr>
                </pic:pic>
              </a:graphicData>
            </a:graphic>
          </wp:inline>
        </w:drawing>
      </w:r>
    </w:p>
    <w:p w:rsidR="004A74BB" w:rsidRPr="00D15B63" w:rsidRDefault="004A74BB" w:rsidP="004A74BB">
      <w:pPr>
        <w:overflowPunct w:val="0"/>
        <w:autoSpaceDE w:val="0"/>
        <w:autoSpaceDN w:val="0"/>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overflowPunct w:val="0"/>
        <w:autoSpaceDE w:val="0"/>
        <w:autoSpaceDN w:val="0"/>
        <w:spacing w:after="0" w:line="240" w:lineRule="auto"/>
        <w:jc w:val="both"/>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  Stacioni i Sallmones, Lumi i Erzenit</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Sasia e ujit në këtë stacion është funksion i rreshjeve stinore. Nuk ka rrezik përmbytjeje. </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bdr w:val="single" w:sz="4" w:space="0" w:color="4F6228"/>
        </w:rPr>
        <w:drawing>
          <wp:inline distT="0" distB="0" distL="0" distR="0" wp14:anchorId="57DA0494" wp14:editId="61EE7A67">
            <wp:extent cx="2905125" cy="1647825"/>
            <wp:effectExtent l="19050" t="19050" r="28575" b="28575"/>
            <wp:docPr id="476" name="Chart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3"/>
                    <pic:cNvPicPr>
                      <a:picLocks noChangeArrowheads="1"/>
                    </pic:cNvPicPr>
                  </pic:nvPicPr>
                  <pic:blipFill>
                    <a:blip r:embed="rId130" cstate="print"/>
                    <a:srcRect/>
                    <a:stretch>
                      <a:fillRect/>
                    </a:stretch>
                  </pic:blipFill>
                  <pic:spPr bwMode="auto">
                    <a:xfrm>
                      <a:off x="0" y="0"/>
                      <a:ext cx="2905125" cy="1647825"/>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sz w:val="24"/>
          <w:szCs w:val="24"/>
          <w:lang w:val="sq-AL"/>
        </w:rPr>
        <w:t xml:space="preserve"> </w:t>
      </w:r>
      <w:r w:rsidRPr="00D15B63">
        <w:rPr>
          <w:rFonts w:ascii="Times New Roman" w:eastAsia="Times New Roman" w:hAnsi="Times New Roman" w:cs="Times New Roman"/>
          <w:b/>
          <w:noProof/>
          <w:color w:val="000000"/>
          <w:sz w:val="24"/>
          <w:szCs w:val="24"/>
        </w:rPr>
        <w:drawing>
          <wp:inline distT="0" distB="0" distL="0" distR="0" wp14:anchorId="14DABD0D" wp14:editId="26936A53">
            <wp:extent cx="2914204" cy="1657350"/>
            <wp:effectExtent l="0" t="0" r="635" b="0"/>
            <wp:docPr id="47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1" cstate="print"/>
                    <a:srcRect l="3846" t="22792" r="31170" b="12108"/>
                    <a:stretch>
                      <a:fillRect/>
                    </a:stretch>
                  </pic:blipFill>
                  <pic:spPr bwMode="auto">
                    <a:xfrm>
                      <a:off x="0" y="0"/>
                      <a:ext cx="2925430" cy="1663734"/>
                    </a:xfrm>
                    <a:prstGeom prst="rect">
                      <a:avLst/>
                    </a:prstGeom>
                    <a:noFill/>
                    <a:ln w="9525">
                      <a:noFill/>
                      <a:miter lim="800000"/>
                      <a:headEnd/>
                      <a:tailEnd/>
                    </a:ln>
                  </pic:spPr>
                </pic:pic>
              </a:graphicData>
            </a:graphic>
          </wp:inline>
        </w:drawing>
      </w: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bookmarkStart w:id="14" w:name="_Hlk219450797"/>
      <w:r w:rsidRPr="00D15B63">
        <w:rPr>
          <w:rFonts w:ascii="Times New Roman" w:eastAsia="Times New Roman" w:hAnsi="Times New Roman" w:cs="Times New Roman"/>
          <w:b/>
          <w:sz w:val="24"/>
          <w:szCs w:val="24"/>
          <w:lang w:val="sq-AL"/>
        </w:rPr>
        <w:t>●  Stacioni i Propishtit , Lumi i Shkumbin</w:t>
      </w:r>
    </w:p>
    <w:bookmarkEnd w:id="14"/>
    <w:p w:rsidR="004A74BB"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Sasia e ujit në këtë stacion është funksion i rreshjeve stinore. Ky stacion ndodhet në pjesën më të sipërme të rrjedhës së Shkumbinit. Rreziku i përmbytjes në pjesët anësore të shtratit është gjithmonë evident.</w:t>
      </w:r>
    </w:p>
    <w:p w:rsidR="00024039" w:rsidRPr="00D15B63" w:rsidRDefault="00024039"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rPr>
        <w:drawing>
          <wp:inline distT="0" distB="0" distL="0" distR="0" wp14:anchorId="0062BA63" wp14:editId="66951F56">
            <wp:extent cx="2914650" cy="1666875"/>
            <wp:effectExtent l="19050" t="19050" r="19050" b="28575"/>
            <wp:docPr id="478" name="Chart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4"/>
                    <pic:cNvPicPr>
                      <a:picLocks noChangeArrowheads="1"/>
                    </pic:cNvPicPr>
                  </pic:nvPicPr>
                  <pic:blipFill>
                    <a:blip r:embed="rId132" cstate="print"/>
                    <a:srcRect/>
                    <a:stretch>
                      <a:fillRect/>
                    </a:stretch>
                  </pic:blipFill>
                  <pic:spPr bwMode="auto">
                    <a:xfrm>
                      <a:off x="0" y="0"/>
                      <a:ext cx="2914650" cy="1666875"/>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01E00901" wp14:editId="0AC6164D">
            <wp:extent cx="2857500" cy="1666875"/>
            <wp:effectExtent l="0" t="0" r="0" b="9525"/>
            <wp:docPr id="47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3" cstate="print"/>
                    <a:srcRect l="3766" t="24501" r="31490" b="10684"/>
                    <a:stretch>
                      <a:fillRect/>
                    </a:stretch>
                  </pic:blipFill>
                  <pic:spPr bwMode="auto">
                    <a:xfrm>
                      <a:off x="0" y="0"/>
                      <a:ext cx="2888085" cy="1684716"/>
                    </a:xfrm>
                    <a:prstGeom prst="rect">
                      <a:avLst/>
                    </a:prstGeom>
                    <a:noFill/>
                    <a:ln w="9525">
                      <a:noFill/>
                      <a:miter lim="800000"/>
                      <a:headEnd/>
                      <a:tailEnd/>
                    </a:ln>
                  </pic:spPr>
                </pic:pic>
              </a:graphicData>
            </a:graphic>
          </wp:inline>
        </w:drawing>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  Stacioni Labinot -P</w:t>
      </w:r>
      <w:r w:rsidR="00A95E5C">
        <w:rPr>
          <w:rFonts w:ascii="Times New Roman" w:eastAsia="Times New Roman" w:hAnsi="Times New Roman" w:cs="Times New Roman"/>
          <w:b/>
          <w:sz w:val="24"/>
          <w:szCs w:val="24"/>
          <w:lang w:val="sq-AL"/>
        </w:rPr>
        <w:t>ë</w:t>
      </w:r>
      <w:r w:rsidRPr="00D15B63">
        <w:rPr>
          <w:rFonts w:ascii="Times New Roman" w:eastAsia="Times New Roman" w:hAnsi="Times New Roman" w:cs="Times New Roman"/>
          <w:b/>
          <w:sz w:val="24"/>
          <w:szCs w:val="24"/>
          <w:lang w:val="sq-AL"/>
        </w:rPr>
        <w:t>rroi i Gures, Lumi i Shkumbin</w:t>
      </w:r>
    </w:p>
    <w:p w:rsidR="00024039" w:rsidRPr="00D15B63" w:rsidRDefault="004A74BB" w:rsidP="00A95E5C">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Në këtë stacion, gjatë matjeve, kanali vaditës ishte i thatë për të dyja periudhat. Kjo për shkak të punimeve gërmuese që kryen në shtrat të Shkumbini sipër vendit të matjeve, të cilat kanë ndryshuar tërësisht panoramën e shtratit dhe kanalit të rrjedhës. Nuk ka rrezik përmbytjeje. </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6C523E85" wp14:editId="2A356E24">
            <wp:extent cx="2838450" cy="1619250"/>
            <wp:effectExtent l="19050" t="19050" r="19050" b="19050"/>
            <wp:docPr id="480" name="Chart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5"/>
                    <pic:cNvPicPr>
                      <a:picLocks noChangeArrowheads="1"/>
                    </pic:cNvPicPr>
                  </pic:nvPicPr>
                  <pic:blipFill>
                    <a:blip r:embed="rId134" cstate="print"/>
                    <a:srcRect/>
                    <a:stretch>
                      <a:fillRect/>
                    </a:stretch>
                  </pic:blipFill>
                  <pic:spPr bwMode="auto">
                    <a:xfrm>
                      <a:off x="0" y="0"/>
                      <a:ext cx="2838450" cy="1619250"/>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5ECF32F8" wp14:editId="4DE33068">
            <wp:extent cx="2886075" cy="1647825"/>
            <wp:effectExtent l="0" t="0" r="9525" b="9525"/>
            <wp:docPr id="48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5" cstate="print"/>
                    <a:srcRect l="3846" t="21653" r="31571" b="13248"/>
                    <a:stretch>
                      <a:fillRect/>
                    </a:stretch>
                  </pic:blipFill>
                  <pic:spPr bwMode="auto">
                    <a:xfrm>
                      <a:off x="0" y="0"/>
                      <a:ext cx="2894612" cy="1652699"/>
                    </a:xfrm>
                    <a:prstGeom prst="rect">
                      <a:avLst/>
                    </a:prstGeom>
                    <a:noFill/>
                    <a:ln w="9525">
                      <a:noFill/>
                      <a:miter lim="800000"/>
                      <a:headEnd/>
                      <a:tailEnd/>
                    </a:ln>
                  </pic:spPr>
                </pic:pic>
              </a:graphicData>
            </a:graphic>
          </wp:inline>
        </w:drawing>
      </w: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  Stacioni i Paprit , Lumi i Shkumbin</w:t>
      </w:r>
    </w:p>
    <w:p w:rsidR="004A74BB" w:rsidRPr="00D15B63" w:rsidRDefault="004A74BB" w:rsidP="00A95E5C">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Sasia e ujit në këtë stacion është funksion i rreshjeve stinore. Pjesa më e madhe e ujit kalon në krahun e djathtë të rrjedhës. Edhe në këtë stacion matjet janë kryer pas shumë vitesh duke plotësuar një panoramë më të gjerë të ecurisë së sasi sasisë së prurjeve përgjatë rrjedhës. Nuk vërehet rrezik për përmbytje në këtë pjesë të rrjedhës. </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rPr>
        <w:drawing>
          <wp:inline distT="0" distB="0" distL="0" distR="0" wp14:anchorId="1FC4D73B" wp14:editId="5D81B6EB">
            <wp:extent cx="2809875" cy="1714500"/>
            <wp:effectExtent l="19050" t="19050" r="28575" b="19050"/>
            <wp:docPr id="482" name="Chart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8"/>
                    <pic:cNvPicPr>
                      <a:picLocks noChangeArrowheads="1"/>
                    </pic:cNvPicPr>
                  </pic:nvPicPr>
                  <pic:blipFill>
                    <a:blip r:embed="rId136" cstate="print"/>
                    <a:srcRect/>
                    <a:stretch>
                      <a:fillRect/>
                    </a:stretch>
                  </pic:blipFill>
                  <pic:spPr bwMode="auto">
                    <a:xfrm>
                      <a:off x="0" y="0"/>
                      <a:ext cx="2809875" cy="1714500"/>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54532FF5" wp14:editId="1663BB00">
            <wp:extent cx="2981325" cy="1762125"/>
            <wp:effectExtent l="0" t="0" r="9525" b="9525"/>
            <wp:docPr id="4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7" cstate="print"/>
                    <a:srcRect l="3766" t="21795" r="29728" b="11111"/>
                    <a:stretch>
                      <a:fillRect/>
                    </a:stretch>
                  </pic:blipFill>
                  <pic:spPr bwMode="auto">
                    <a:xfrm>
                      <a:off x="0" y="0"/>
                      <a:ext cx="2990737" cy="1767688"/>
                    </a:xfrm>
                    <a:prstGeom prst="rect">
                      <a:avLst/>
                    </a:prstGeom>
                    <a:noFill/>
                    <a:ln w="9525">
                      <a:noFill/>
                      <a:miter lim="800000"/>
                      <a:headEnd/>
                      <a:tailEnd/>
                    </a:ln>
                  </pic:spPr>
                </pic:pic>
              </a:graphicData>
            </a:graphic>
          </wp:inline>
        </w:drawing>
      </w: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p>
    <w:p w:rsidR="004A74BB" w:rsidRPr="00A95E5C" w:rsidRDefault="004A74BB" w:rsidP="004A74BB">
      <w:pPr>
        <w:spacing w:after="0" w:line="240" w:lineRule="auto"/>
        <w:jc w:val="both"/>
        <w:rPr>
          <w:rFonts w:ascii="Times New Roman" w:eastAsia="Times New Roman" w:hAnsi="Times New Roman" w:cs="Times New Roman"/>
          <w:b/>
          <w:sz w:val="24"/>
          <w:szCs w:val="24"/>
          <w:u w:val="single"/>
          <w:lang w:val="sq-AL"/>
        </w:rPr>
      </w:pPr>
      <w:r w:rsidRPr="00D15B63">
        <w:rPr>
          <w:rFonts w:ascii="Times New Roman" w:eastAsia="Times New Roman" w:hAnsi="Times New Roman" w:cs="Times New Roman"/>
          <w:b/>
          <w:sz w:val="24"/>
          <w:szCs w:val="24"/>
          <w:lang w:val="sq-AL"/>
        </w:rPr>
        <w:t xml:space="preserve">●  </w:t>
      </w:r>
      <w:r w:rsidRPr="00A95E5C">
        <w:rPr>
          <w:rFonts w:ascii="Times New Roman" w:eastAsia="Times New Roman" w:hAnsi="Times New Roman" w:cs="Times New Roman"/>
          <w:b/>
          <w:sz w:val="24"/>
          <w:szCs w:val="24"/>
          <w:u w:val="single"/>
          <w:lang w:val="sq-AL"/>
        </w:rPr>
        <w:t>Stacioni</w:t>
      </w:r>
      <w:r w:rsidRPr="00A95E5C">
        <w:rPr>
          <w:rFonts w:ascii="Times New Roman" w:eastAsia="Times New Roman" w:hAnsi="Times New Roman" w:cs="Times New Roman"/>
          <w:sz w:val="24"/>
          <w:szCs w:val="24"/>
          <w:u w:val="single"/>
          <w:lang w:val="sq-AL"/>
        </w:rPr>
        <w:t xml:space="preserve"> </w:t>
      </w:r>
      <w:r w:rsidRPr="00A95E5C">
        <w:rPr>
          <w:rFonts w:ascii="Times New Roman" w:eastAsia="Times New Roman" w:hAnsi="Times New Roman" w:cs="Times New Roman"/>
          <w:b/>
          <w:sz w:val="24"/>
          <w:szCs w:val="24"/>
          <w:u w:val="single"/>
          <w:lang w:val="sq-AL"/>
        </w:rPr>
        <w:t>Ura e Rrogozhinës, Lumi i Shkumbin</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Prurja është funksion i rreshjeve stinore dhe rregjimit të digës në rezervuarin ujëmbledhës në Çengelaj. Rreziku për përmbytje është gjithmonë i pranishëm sidomos në rastin e prurjeve të men</w:t>
      </w:r>
      <w:r w:rsidR="00024039">
        <w:rPr>
          <w:rFonts w:ascii="Times New Roman" w:eastAsia="Times New Roman" w:hAnsi="Times New Roman" w:cs="Times New Roman"/>
          <w:sz w:val="24"/>
          <w:szCs w:val="24"/>
          <w:lang w:val="sq-AL"/>
        </w:rPr>
        <w:t xml:space="preserve">jëhershme në kohë të shkurtër. </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rPr>
        <w:drawing>
          <wp:inline distT="0" distB="0" distL="0" distR="0" wp14:anchorId="0B099F2F" wp14:editId="0B2C79B0">
            <wp:extent cx="2752725" cy="1657350"/>
            <wp:effectExtent l="19050" t="19050" r="28575" b="19050"/>
            <wp:docPr id="484" name="Chart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6"/>
                    <pic:cNvPicPr>
                      <a:picLocks noChangeArrowheads="1"/>
                    </pic:cNvPicPr>
                  </pic:nvPicPr>
                  <pic:blipFill>
                    <a:blip r:embed="rId138" cstate="print"/>
                    <a:srcRect/>
                    <a:stretch>
                      <a:fillRect/>
                    </a:stretch>
                  </pic:blipFill>
                  <pic:spPr bwMode="auto">
                    <a:xfrm>
                      <a:off x="0" y="0"/>
                      <a:ext cx="2752725" cy="1657350"/>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4444FD79" wp14:editId="25BCEF10">
            <wp:extent cx="2879308" cy="1724025"/>
            <wp:effectExtent l="0" t="0" r="0" b="0"/>
            <wp:docPr id="48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9" cstate="print"/>
                    <a:srcRect l="3766" t="25499" r="31490" b="9402"/>
                    <a:stretch>
                      <a:fillRect/>
                    </a:stretch>
                  </pic:blipFill>
                  <pic:spPr bwMode="auto">
                    <a:xfrm>
                      <a:off x="0" y="0"/>
                      <a:ext cx="2905404" cy="1739650"/>
                    </a:xfrm>
                    <a:prstGeom prst="rect">
                      <a:avLst/>
                    </a:prstGeom>
                    <a:noFill/>
                    <a:ln w="9525">
                      <a:noFill/>
                      <a:miter lim="800000"/>
                      <a:headEnd/>
                      <a:tailEnd/>
                    </a:ln>
                  </pic:spPr>
                </pic:pic>
              </a:graphicData>
            </a:graphic>
          </wp:inline>
        </w:drawing>
      </w: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lastRenderedPageBreak/>
        <w:t xml:space="preserve">●  </w:t>
      </w:r>
      <w:r w:rsidRPr="00A95E5C">
        <w:rPr>
          <w:rFonts w:ascii="Times New Roman" w:eastAsia="Times New Roman" w:hAnsi="Times New Roman" w:cs="Times New Roman"/>
          <w:b/>
          <w:sz w:val="24"/>
          <w:szCs w:val="24"/>
          <w:u w:val="single"/>
          <w:lang w:val="sq-AL"/>
        </w:rPr>
        <w:t>Stacioni</w:t>
      </w:r>
      <w:r w:rsidRPr="00A95E5C">
        <w:rPr>
          <w:rFonts w:ascii="Times New Roman" w:eastAsia="Times New Roman" w:hAnsi="Times New Roman" w:cs="Times New Roman"/>
          <w:sz w:val="24"/>
          <w:szCs w:val="24"/>
          <w:u w:val="single"/>
          <w:lang w:val="sq-AL"/>
        </w:rPr>
        <w:t xml:space="preserve"> </w:t>
      </w:r>
      <w:r w:rsidRPr="00A95E5C">
        <w:rPr>
          <w:rFonts w:ascii="Times New Roman" w:eastAsia="Times New Roman" w:hAnsi="Times New Roman" w:cs="Times New Roman"/>
          <w:b/>
          <w:sz w:val="24"/>
          <w:szCs w:val="24"/>
          <w:u w:val="single"/>
          <w:lang w:val="sq-AL"/>
        </w:rPr>
        <w:t>i Bilishtit, Lumi i Devollit</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Sasia e ujit në këtë stacion është funksion i rreshjeve stinore. Ky stacion ndodhet në pjesën e sipërme të rrjedhës së lumit Devoll pranë qytetit të Bilishtit dhe nuk</w:t>
      </w:r>
      <w:r w:rsidR="009805E6">
        <w:rPr>
          <w:rFonts w:ascii="Times New Roman" w:eastAsia="Times New Roman" w:hAnsi="Times New Roman" w:cs="Times New Roman"/>
          <w:sz w:val="24"/>
          <w:szCs w:val="24"/>
          <w:lang w:val="sq-AL"/>
        </w:rPr>
        <w:t xml:space="preserve"> ka asnjë rrezik për përmbytje</w:t>
      </w:r>
      <w:r w:rsidR="006368CB">
        <w:rPr>
          <w:rFonts w:ascii="Times New Roman" w:eastAsia="Times New Roman" w:hAnsi="Times New Roman" w:cs="Times New Roman"/>
          <w:sz w:val="24"/>
          <w:szCs w:val="24"/>
          <w:lang w:val="sq-AL"/>
        </w:rPr>
        <w:t>.</w:t>
      </w:r>
    </w:p>
    <w:p w:rsidR="004A74BB" w:rsidRDefault="004A74BB" w:rsidP="004A74BB">
      <w:pPr>
        <w:spacing w:after="0" w:line="240" w:lineRule="auto"/>
        <w:jc w:val="both"/>
        <w:rPr>
          <w:rFonts w:ascii="Times New Roman" w:eastAsia="Times New Roman" w:hAnsi="Times New Roman" w:cs="Times New Roman"/>
          <w:b/>
          <w:noProof/>
          <w:color w:val="000000"/>
          <w:sz w:val="24"/>
          <w:szCs w:val="24"/>
        </w:rPr>
      </w:pPr>
      <w:r w:rsidRPr="00D15B63">
        <w:rPr>
          <w:rFonts w:ascii="Times New Roman" w:eastAsia="Times New Roman" w:hAnsi="Times New Roman" w:cs="Times New Roman"/>
          <w:b/>
          <w:noProof/>
          <w:color w:val="000000"/>
          <w:sz w:val="24"/>
          <w:szCs w:val="24"/>
        </w:rPr>
        <w:drawing>
          <wp:inline distT="0" distB="0" distL="0" distR="0" wp14:anchorId="5C2C0610" wp14:editId="1FF17812">
            <wp:extent cx="2676525" cy="1638300"/>
            <wp:effectExtent l="19050" t="19050" r="28575" b="19050"/>
            <wp:docPr id="486" name="Chart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9"/>
                    <pic:cNvPicPr>
                      <a:picLocks noChangeArrowheads="1"/>
                    </pic:cNvPicPr>
                  </pic:nvPicPr>
                  <pic:blipFill>
                    <a:blip r:embed="rId140" cstate="print"/>
                    <a:srcRect/>
                    <a:stretch>
                      <a:fillRect/>
                    </a:stretch>
                  </pic:blipFill>
                  <pic:spPr bwMode="auto">
                    <a:xfrm>
                      <a:off x="0" y="0"/>
                      <a:ext cx="2676525" cy="1638300"/>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0D97FF5E" wp14:editId="1B2C6ECD">
            <wp:extent cx="2800350" cy="1657350"/>
            <wp:effectExtent l="0" t="0" r="0" b="0"/>
            <wp:docPr id="48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1" cstate="print"/>
                    <a:srcRect l="3846" t="24074" r="31410" b="10684"/>
                    <a:stretch>
                      <a:fillRect/>
                    </a:stretch>
                  </pic:blipFill>
                  <pic:spPr bwMode="auto">
                    <a:xfrm>
                      <a:off x="0" y="0"/>
                      <a:ext cx="2800350" cy="1657350"/>
                    </a:xfrm>
                    <a:prstGeom prst="rect">
                      <a:avLst/>
                    </a:prstGeom>
                    <a:noFill/>
                    <a:ln w="9525">
                      <a:noFill/>
                      <a:miter lim="800000"/>
                      <a:headEnd/>
                      <a:tailEnd/>
                    </a:ln>
                  </pic:spPr>
                </pic:pic>
              </a:graphicData>
            </a:graphic>
          </wp:inline>
        </w:drawing>
      </w:r>
    </w:p>
    <w:p w:rsidR="009805E6" w:rsidRPr="00D15B63" w:rsidRDefault="009805E6" w:rsidP="004A74BB">
      <w:pPr>
        <w:spacing w:after="0" w:line="240" w:lineRule="auto"/>
        <w:jc w:val="both"/>
        <w:rPr>
          <w:rFonts w:ascii="Times New Roman" w:eastAsia="Times New Roman" w:hAnsi="Times New Roman" w:cs="Times New Roman"/>
          <w:sz w:val="24"/>
          <w:szCs w:val="24"/>
          <w:lang w:val="sq-AL"/>
        </w:rPr>
      </w:pPr>
    </w:p>
    <w:p w:rsidR="004A74BB" w:rsidRPr="00A95E5C" w:rsidRDefault="004A74BB" w:rsidP="004A74BB">
      <w:pPr>
        <w:spacing w:after="0" w:line="240" w:lineRule="auto"/>
        <w:jc w:val="both"/>
        <w:rPr>
          <w:rFonts w:ascii="Times New Roman" w:eastAsia="Times New Roman" w:hAnsi="Times New Roman" w:cs="Times New Roman"/>
          <w:b/>
          <w:sz w:val="24"/>
          <w:szCs w:val="24"/>
          <w:u w:val="single"/>
          <w:lang w:val="sq-AL"/>
        </w:rPr>
      </w:pPr>
      <w:bookmarkStart w:id="15" w:name="_Hlk219451800"/>
      <w:r w:rsidRPr="00A95E5C">
        <w:rPr>
          <w:rFonts w:ascii="Times New Roman" w:eastAsia="Times New Roman" w:hAnsi="Times New Roman" w:cs="Times New Roman"/>
          <w:b/>
          <w:sz w:val="24"/>
          <w:szCs w:val="24"/>
          <w:u w:val="single"/>
          <w:lang w:val="sq-AL"/>
        </w:rPr>
        <w:t>●  Stacioni Ura e Lapanjit, Lumi i Osumit</w:t>
      </w:r>
    </w:p>
    <w:bookmarkEnd w:id="15"/>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Sasia e ujit në këtë stacion është funksion i rreshjeve stinore. Ky stacion ndodhet në pjesën më të sipërme të rrjedhës së Osumit. Forma e thellë e kanionit lejon kalimin e sasive të mëdha të ujit për në sektorët e mëposhtëm. Vërehet qëndrueshmëri e sasisë së prurjeve midis dy matjeve të kryera. Edhe ky stacion nuk ka asnjë rrezik për përmbytje</w:t>
      </w:r>
      <w:r w:rsidR="006368CB">
        <w:rPr>
          <w:rFonts w:ascii="Times New Roman" w:eastAsia="Times New Roman" w:hAnsi="Times New Roman" w:cs="Times New Roman"/>
          <w:sz w:val="24"/>
          <w:szCs w:val="24"/>
          <w:lang w:val="sq-AL"/>
        </w:rPr>
        <w:t>.</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rPr>
        <w:drawing>
          <wp:inline distT="0" distB="0" distL="0" distR="0" wp14:anchorId="12A3640D" wp14:editId="2141F555">
            <wp:extent cx="2943225" cy="1581150"/>
            <wp:effectExtent l="19050" t="19050" r="28575" b="19050"/>
            <wp:docPr id="488" name="Chart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0"/>
                    <pic:cNvPicPr>
                      <a:picLocks noChangeArrowheads="1"/>
                    </pic:cNvPicPr>
                  </pic:nvPicPr>
                  <pic:blipFill>
                    <a:blip r:embed="rId142" cstate="print"/>
                    <a:srcRect/>
                    <a:stretch>
                      <a:fillRect/>
                    </a:stretch>
                  </pic:blipFill>
                  <pic:spPr bwMode="auto">
                    <a:xfrm>
                      <a:off x="0" y="0"/>
                      <a:ext cx="2943225" cy="1581150"/>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7A6D709A" wp14:editId="5385C306">
            <wp:extent cx="2886075" cy="1638300"/>
            <wp:effectExtent l="0" t="0" r="9525" b="0"/>
            <wp:docPr id="48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3" cstate="print"/>
                    <a:srcRect l="3766" t="23504" r="31410" b="11396"/>
                    <a:stretch>
                      <a:fillRect/>
                    </a:stretch>
                  </pic:blipFill>
                  <pic:spPr bwMode="auto">
                    <a:xfrm>
                      <a:off x="0" y="0"/>
                      <a:ext cx="2905668" cy="1649422"/>
                    </a:xfrm>
                    <a:prstGeom prst="rect">
                      <a:avLst/>
                    </a:prstGeom>
                    <a:noFill/>
                    <a:ln w="9525">
                      <a:noFill/>
                      <a:miter lim="800000"/>
                      <a:headEnd/>
                      <a:tailEnd/>
                    </a:ln>
                  </pic:spPr>
                </pic:pic>
              </a:graphicData>
            </a:graphic>
          </wp:inline>
        </w:drawing>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A95E5C" w:rsidRDefault="004A74BB" w:rsidP="004A74BB">
      <w:pPr>
        <w:spacing w:after="0" w:line="240" w:lineRule="auto"/>
        <w:jc w:val="both"/>
        <w:rPr>
          <w:rFonts w:ascii="Times New Roman" w:eastAsia="Times New Roman" w:hAnsi="Times New Roman" w:cs="Times New Roman"/>
          <w:b/>
          <w:sz w:val="24"/>
          <w:szCs w:val="24"/>
          <w:u w:val="single"/>
          <w:lang w:val="sq-AL"/>
        </w:rPr>
      </w:pPr>
      <w:r w:rsidRPr="00D15B63">
        <w:rPr>
          <w:rFonts w:ascii="Times New Roman" w:eastAsia="Times New Roman" w:hAnsi="Times New Roman" w:cs="Times New Roman"/>
          <w:b/>
          <w:sz w:val="24"/>
          <w:szCs w:val="24"/>
          <w:lang w:val="sq-AL"/>
        </w:rPr>
        <w:t xml:space="preserve">●  </w:t>
      </w:r>
      <w:r w:rsidRPr="00A95E5C">
        <w:rPr>
          <w:rFonts w:ascii="Times New Roman" w:eastAsia="Times New Roman" w:hAnsi="Times New Roman" w:cs="Times New Roman"/>
          <w:b/>
          <w:sz w:val="24"/>
          <w:szCs w:val="24"/>
          <w:u w:val="single"/>
          <w:lang w:val="sq-AL"/>
        </w:rPr>
        <w:t>Stacioni  Fier, Lumi i Gjanices</w:t>
      </w:r>
    </w:p>
    <w:p w:rsidR="004A74BB" w:rsidRPr="00D15B63" w:rsidRDefault="004A74BB" w:rsidP="004A74BB">
      <w:pPr>
        <w:overflowPunct w:val="0"/>
        <w:autoSpaceDE w:val="0"/>
        <w:autoSpaceDN w:val="0"/>
        <w:adjustRightInd w:val="0"/>
        <w:spacing w:after="0" w:line="240" w:lineRule="auto"/>
        <w:ind w:right="-15"/>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Sasia e ujit në këtë stacion është funksion i rreshjeve stinore. Pjesa më e madhe e prurjeve të matura janë ujra të zeza të cilat shkarkohen fare pranë Urës në krahun e sipërm të saj.</w:t>
      </w:r>
    </w:p>
    <w:p w:rsidR="004A74BB" w:rsidRPr="00D15B63" w:rsidRDefault="004A74BB" w:rsidP="004A74BB">
      <w:pPr>
        <w:overflowPunct w:val="0"/>
        <w:autoSpaceDE w:val="0"/>
        <w:autoSpaceDN w:val="0"/>
        <w:adjustRightInd w:val="0"/>
        <w:spacing w:after="0" w:line="240" w:lineRule="auto"/>
        <w:ind w:right="-15"/>
        <w:jc w:val="both"/>
        <w:textAlignment w:val="baseline"/>
        <w:rPr>
          <w:rFonts w:ascii="Times New Roman" w:eastAsia="Times New Roman" w:hAnsi="Times New Roman" w:cs="Times New Roman"/>
          <w:sz w:val="24"/>
          <w:szCs w:val="24"/>
          <w:lang w:val="sq-AL"/>
        </w:rPr>
      </w:pPr>
    </w:p>
    <w:p w:rsidR="004A74BB" w:rsidRPr="00D15B63" w:rsidRDefault="004A74BB" w:rsidP="004A74BB">
      <w:pPr>
        <w:overflowPunct w:val="0"/>
        <w:autoSpaceDE w:val="0"/>
        <w:autoSpaceDN w:val="0"/>
        <w:adjustRightInd w:val="0"/>
        <w:spacing w:after="0" w:line="240" w:lineRule="auto"/>
        <w:ind w:right="-15"/>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bdr w:val="single" w:sz="4" w:space="0" w:color="4F6228"/>
        </w:rPr>
        <w:drawing>
          <wp:inline distT="0" distB="0" distL="0" distR="0" wp14:anchorId="4D97996A" wp14:editId="4BE56859">
            <wp:extent cx="2771775" cy="1762125"/>
            <wp:effectExtent l="19050" t="19050" r="28575" b="28575"/>
            <wp:docPr id="490" name="Chart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1"/>
                    <pic:cNvPicPr>
                      <a:picLocks noChangeArrowheads="1"/>
                    </pic:cNvPicPr>
                  </pic:nvPicPr>
                  <pic:blipFill>
                    <a:blip r:embed="rId144" cstate="print"/>
                    <a:srcRect/>
                    <a:stretch>
                      <a:fillRect/>
                    </a:stretch>
                  </pic:blipFill>
                  <pic:spPr bwMode="auto">
                    <a:xfrm>
                      <a:off x="0" y="0"/>
                      <a:ext cx="2771775" cy="1762125"/>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3AE10D4D" wp14:editId="66C81D2F">
            <wp:extent cx="2933700" cy="1828800"/>
            <wp:effectExtent l="0" t="0" r="0" b="0"/>
            <wp:docPr id="49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5" cstate="print"/>
                    <a:srcRect l="3766" t="24502" r="31490" b="10541"/>
                    <a:stretch>
                      <a:fillRect/>
                    </a:stretch>
                  </pic:blipFill>
                  <pic:spPr bwMode="auto">
                    <a:xfrm>
                      <a:off x="0" y="0"/>
                      <a:ext cx="2942630" cy="1834367"/>
                    </a:xfrm>
                    <a:prstGeom prst="rect">
                      <a:avLst/>
                    </a:prstGeom>
                    <a:noFill/>
                    <a:ln w="9525">
                      <a:noFill/>
                      <a:miter lim="800000"/>
                      <a:headEnd/>
                      <a:tailEnd/>
                    </a:ln>
                  </pic:spPr>
                </pic:pic>
              </a:graphicData>
            </a:graphic>
          </wp:inline>
        </w:drawing>
      </w:r>
    </w:p>
    <w:p w:rsidR="004A74BB" w:rsidRPr="00D15B63" w:rsidRDefault="004A74BB" w:rsidP="004A74BB">
      <w:pPr>
        <w:overflowPunct w:val="0"/>
        <w:autoSpaceDE w:val="0"/>
        <w:autoSpaceDN w:val="0"/>
        <w:adjustRightInd w:val="0"/>
        <w:spacing w:after="0" w:line="240" w:lineRule="auto"/>
        <w:ind w:right="-15"/>
        <w:jc w:val="both"/>
        <w:textAlignment w:val="baseline"/>
        <w:rPr>
          <w:rFonts w:ascii="Times New Roman" w:eastAsia="Times New Roman" w:hAnsi="Times New Roman" w:cs="Times New Roman"/>
          <w:sz w:val="24"/>
          <w:szCs w:val="24"/>
          <w:lang w:val="sq-AL"/>
        </w:rPr>
      </w:pPr>
    </w:p>
    <w:p w:rsidR="004A74BB" w:rsidRPr="00D15B63" w:rsidRDefault="004A74BB" w:rsidP="004A74BB">
      <w:pPr>
        <w:overflowPunct w:val="0"/>
        <w:autoSpaceDE w:val="0"/>
        <w:autoSpaceDN w:val="0"/>
        <w:adjustRightInd w:val="0"/>
        <w:spacing w:after="0" w:line="240" w:lineRule="auto"/>
        <w:ind w:right="-15"/>
        <w:jc w:val="both"/>
        <w:textAlignment w:val="baseline"/>
        <w:rPr>
          <w:rFonts w:ascii="Times New Roman" w:eastAsia="Times New Roman" w:hAnsi="Times New Roman" w:cs="Times New Roman"/>
          <w:b/>
          <w:sz w:val="24"/>
          <w:szCs w:val="24"/>
          <w:lang w:val="sq-AL"/>
        </w:rPr>
      </w:pPr>
    </w:p>
    <w:p w:rsidR="004A74BB" w:rsidRPr="00A95E5C" w:rsidRDefault="004A74BB" w:rsidP="004A74BB">
      <w:pPr>
        <w:overflowPunct w:val="0"/>
        <w:autoSpaceDE w:val="0"/>
        <w:autoSpaceDN w:val="0"/>
        <w:adjustRightInd w:val="0"/>
        <w:spacing w:after="0" w:line="240" w:lineRule="auto"/>
        <w:ind w:right="-15"/>
        <w:jc w:val="both"/>
        <w:textAlignment w:val="baseline"/>
        <w:rPr>
          <w:rFonts w:ascii="Times New Roman" w:eastAsia="Times New Roman" w:hAnsi="Times New Roman" w:cs="Times New Roman"/>
          <w:b/>
          <w:sz w:val="24"/>
          <w:szCs w:val="24"/>
          <w:u w:val="single"/>
          <w:lang w:val="sq-AL"/>
        </w:rPr>
      </w:pPr>
      <w:r w:rsidRPr="00A95E5C">
        <w:rPr>
          <w:rFonts w:ascii="Times New Roman" w:eastAsia="Times New Roman" w:hAnsi="Times New Roman" w:cs="Times New Roman"/>
          <w:b/>
          <w:sz w:val="24"/>
          <w:szCs w:val="24"/>
          <w:u w:val="single"/>
          <w:lang w:val="sq-AL"/>
        </w:rPr>
        <w:lastRenderedPageBreak/>
        <w:t>●  Stacioni Ura e Mbrostarit, Lumi i Semanit</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Sasia më e madhe e ujit në këtë stacion kalon në krahun e djathtë të shtratit gjë që përkon edhe me vlerën më të lartë të R</w:t>
      </w:r>
      <w:r w:rsidRPr="00D15B63">
        <w:rPr>
          <w:rFonts w:ascii="Times New Roman" w:eastAsia="Times New Roman" w:hAnsi="Times New Roman" w:cs="Times New Roman"/>
          <w:sz w:val="24"/>
          <w:szCs w:val="24"/>
          <w:vertAlign w:val="subscript"/>
          <w:lang w:val="sq-AL"/>
        </w:rPr>
        <w:t>H</w:t>
      </w:r>
      <w:r w:rsidRPr="00D15B63">
        <w:rPr>
          <w:rFonts w:ascii="Times New Roman" w:eastAsia="Times New Roman" w:hAnsi="Times New Roman" w:cs="Times New Roman"/>
          <w:sz w:val="24"/>
          <w:szCs w:val="24"/>
          <w:lang w:val="sq-AL"/>
        </w:rPr>
        <w:t xml:space="preserve">. Niveli i ujit në shtrat gjatë fazës së dytë të matjeve ishte shumë i ulët duke bërë të mundur zbulimin e një pjese të madhe të tabanit të shtratit. Prurja në këtë stacion është funksion i rreshjeve stinore dhe rregjimit të digës në rezervuarin e Thanës. Rreziku për përmbytje është gjithmonë i pranishëm sidomos në rastin e prurjeve të menjëhershme në kohë të shkurtër.  </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26148897" wp14:editId="7CC8CDA3">
            <wp:extent cx="2838450" cy="1619250"/>
            <wp:effectExtent l="19050" t="19050" r="19050" b="19050"/>
            <wp:docPr id="492" name="Chart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3"/>
                    <pic:cNvPicPr>
                      <a:picLocks noChangeArrowheads="1"/>
                    </pic:cNvPicPr>
                  </pic:nvPicPr>
                  <pic:blipFill>
                    <a:blip r:embed="rId146" cstate="print"/>
                    <a:srcRect/>
                    <a:stretch>
                      <a:fillRect/>
                    </a:stretch>
                  </pic:blipFill>
                  <pic:spPr bwMode="auto">
                    <a:xfrm>
                      <a:off x="0" y="0"/>
                      <a:ext cx="2838450" cy="1619250"/>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3E85DCAD" wp14:editId="306FB96E">
            <wp:extent cx="2976946" cy="1704975"/>
            <wp:effectExtent l="0" t="0" r="0" b="0"/>
            <wp:docPr id="49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7" cstate="print"/>
                    <a:srcRect l="3766" t="23646" r="31490" b="11254"/>
                    <a:stretch>
                      <a:fillRect/>
                    </a:stretch>
                  </pic:blipFill>
                  <pic:spPr bwMode="auto">
                    <a:xfrm>
                      <a:off x="0" y="0"/>
                      <a:ext cx="2997469" cy="1716729"/>
                    </a:xfrm>
                    <a:prstGeom prst="rect">
                      <a:avLst/>
                    </a:prstGeom>
                    <a:noFill/>
                    <a:ln w="9525">
                      <a:noFill/>
                      <a:miter lim="800000"/>
                      <a:headEnd/>
                      <a:tailEnd/>
                    </a:ln>
                  </pic:spPr>
                </pic:pic>
              </a:graphicData>
            </a:graphic>
          </wp:inline>
        </w:drawing>
      </w: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p>
    <w:p w:rsidR="004A74BB" w:rsidRPr="00A95E5C" w:rsidRDefault="004A74BB" w:rsidP="004A74BB">
      <w:pPr>
        <w:spacing w:after="0" w:line="240" w:lineRule="auto"/>
        <w:jc w:val="both"/>
        <w:rPr>
          <w:rFonts w:ascii="Times New Roman" w:eastAsia="Times New Roman" w:hAnsi="Times New Roman" w:cs="Times New Roman"/>
          <w:b/>
          <w:sz w:val="24"/>
          <w:szCs w:val="24"/>
          <w:u w:val="single"/>
          <w:lang w:val="sq-AL"/>
        </w:rPr>
      </w:pPr>
      <w:r w:rsidRPr="00D15B63">
        <w:rPr>
          <w:rFonts w:ascii="Times New Roman" w:eastAsia="Times New Roman" w:hAnsi="Times New Roman" w:cs="Times New Roman"/>
          <w:b/>
          <w:sz w:val="24"/>
          <w:szCs w:val="24"/>
          <w:lang w:val="sq-AL"/>
        </w:rPr>
        <w:t xml:space="preserve">●  </w:t>
      </w:r>
      <w:r w:rsidRPr="00A95E5C">
        <w:rPr>
          <w:rFonts w:ascii="Times New Roman" w:eastAsia="Times New Roman" w:hAnsi="Times New Roman" w:cs="Times New Roman"/>
          <w:b/>
          <w:sz w:val="24"/>
          <w:szCs w:val="24"/>
          <w:u w:val="single"/>
          <w:lang w:val="sq-AL"/>
        </w:rPr>
        <w:t>Stacioni Tri Urat, Lumi i Vjoses</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Sasia e ujit në këtë stacion është funksion i rreshjeve stinore. Vlera e Rrezes tregon aftësi përcjellëse relativisht të mira të kanalit të rrjedhës. Nuk ka rrezik për përmbytje. Vërehet ndryshueshmëri e sasisë së prurjeve midis dy matjeve të kryera, kjo për shkak të mungesës së rreshjeve gjatë periudhës së vjeshtës.</w:t>
      </w:r>
    </w:p>
    <w:p w:rsidR="004A74BB" w:rsidRPr="00D15B63" w:rsidRDefault="004A74BB" w:rsidP="004A74BB">
      <w:pPr>
        <w:spacing w:after="0" w:line="240" w:lineRule="auto"/>
        <w:jc w:val="both"/>
        <w:rPr>
          <w:rFonts w:ascii="Times New Roman" w:eastAsia="Times New Roman" w:hAnsi="Times New Roman" w:cs="Times New Roman"/>
          <w:b/>
          <w:noProof/>
          <w:color w:val="000000"/>
          <w:sz w:val="24"/>
          <w:szCs w:val="24"/>
        </w:rPr>
      </w:pPr>
      <w:r w:rsidRPr="00D15B63">
        <w:rPr>
          <w:rFonts w:ascii="Times New Roman" w:eastAsia="Times New Roman" w:hAnsi="Times New Roman" w:cs="Times New Roman"/>
          <w:b/>
          <w:noProof/>
          <w:color w:val="000000"/>
          <w:sz w:val="24"/>
          <w:szCs w:val="24"/>
        </w:rPr>
        <w:drawing>
          <wp:inline distT="0" distB="0" distL="0" distR="0" wp14:anchorId="49298FF8" wp14:editId="5A850338">
            <wp:extent cx="2705100" cy="1562100"/>
            <wp:effectExtent l="19050" t="19050" r="19050" b="19050"/>
            <wp:docPr id="494" name="Chart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4"/>
                    <pic:cNvPicPr>
                      <a:picLocks noChangeArrowheads="1"/>
                    </pic:cNvPicPr>
                  </pic:nvPicPr>
                  <pic:blipFill>
                    <a:blip r:embed="rId148" cstate="print"/>
                    <a:srcRect/>
                    <a:stretch>
                      <a:fillRect/>
                    </a:stretch>
                  </pic:blipFill>
                  <pic:spPr bwMode="auto">
                    <a:xfrm>
                      <a:off x="0" y="0"/>
                      <a:ext cx="2705100" cy="1562100"/>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3BD96B4A" wp14:editId="1EF5B799">
            <wp:extent cx="2809875" cy="1600200"/>
            <wp:effectExtent l="0" t="0" r="9525" b="0"/>
            <wp:docPr id="49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9" cstate="print"/>
                    <a:srcRect l="3766" t="25071" r="31410" b="9829"/>
                    <a:stretch>
                      <a:fillRect/>
                    </a:stretch>
                  </pic:blipFill>
                  <pic:spPr bwMode="auto">
                    <a:xfrm>
                      <a:off x="0" y="0"/>
                      <a:ext cx="2829531" cy="1611394"/>
                    </a:xfrm>
                    <a:prstGeom prst="rect">
                      <a:avLst/>
                    </a:prstGeom>
                    <a:noFill/>
                    <a:ln w="9525">
                      <a:noFill/>
                      <a:miter lim="800000"/>
                      <a:headEnd/>
                      <a:tailEnd/>
                    </a:ln>
                  </pic:spPr>
                </pic:pic>
              </a:graphicData>
            </a:graphic>
          </wp:inline>
        </w:drawing>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b/>
          <w:sz w:val="24"/>
          <w:szCs w:val="24"/>
          <w:lang w:val="sq-AL"/>
        </w:rPr>
      </w:pPr>
      <w:r w:rsidRPr="00D15B63">
        <w:rPr>
          <w:rFonts w:ascii="Times New Roman" w:eastAsia="Times New Roman" w:hAnsi="Times New Roman" w:cs="Times New Roman"/>
          <w:b/>
          <w:sz w:val="24"/>
          <w:szCs w:val="24"/>
          <w:lang w:val="sq-AL"/>
        </w:rPr>
        <w:t xml:space="preserve">●  </w:t>
      </w:r>
      <w:r w:rsidRPr="00465EBF">
        <w:rPr>
          <w:rFonts w:ascii="Times New Roman" w:eastAsia="Times New Roman" w:hAnsi="Times New Roman" w:cs="Times New Roman"/>
          <w:b/>
          <w:sz w:val="24"/>
          <w:szCs w:val="24"/>
          <w:u w:val="single"/>
          <w:lang w:val="sq-AL"/>
        </w:rPr>
        <w:t>Stacioni Ura e Leklit, Lumi i Drinosit</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Sasia e ujit në këtë stacion është funksion i rreshjeve stinore. Nuk ka rrezik për përmbytje. Nuk vërehet ndryshueshmëri e sasisë së prurjev</w:t>
      </w:r>
      <w:r w:rsidR="009805E6">
        <w:rPr>
          <w:rFonts w:ascii="Times New Roman" w:eastAsia="Times New Roman" w:hAnsi="Times New Roman" w:cs="Times New Roman"/>
          <w:sz w:val="24"/>
          <w:szCs w:val="24"/>
          <w:lang w:val="sq-AL"/>
        </w:rPr>
        <w:t xml:space="preserve">e midis dy matjeve të kryera.  </w:t>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376E24"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bdr w:val="single" w:sz="4" w:space="0" w:color="4F6228"/>
        </w:rPr>
        <w:drawing>
          <wp:inline distT="0" distB="0" distL="0" distR="0" wp14:anchorId="53912785" wp14:editId="02A60957">
            <wp:extent cx="2867025" cy="1562100"/>
            <wp:effectExtent l="19050" t="19050" r="28575" b="19050"/>
            <wp:docPr id="496" name="Chart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5"/>
                    <pic:cNvPicPr>
                      <a:picLocks noChangeArrowheads="1"/>
                    </pic:cNvPicPr>
                  </pic:nvPicPr>
                  <pic:blipFill>
                    <a:blip r:embed="rId150" cstate="print"/>
                    <a:srcRect/>
                    <a:stretch>
                      <a:fillRect/>
                    </a:stretch>
                  </pic:blipFill>
                  <pic:spPr bwMode="auto">
                    <a:xfrm>
                      <a:off x="0" y="0"/>
                      <a:ext cx="2867025" cy="1562100"/>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36C0F0EC" wp14:editId="22E76EEC">
            <wp:extent cx="2912110" cy="1562100"/>
            <wp:effectExtent l="0" t="0" r="2540" b="0"/>
            <wp:docPr id="49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1" cstate="print"/>
                    <a:srcRect l="3766" t="22365" r="31571" b="12536"/>
                    <a:stretch>
                      <a:fillRect/>
                    </a:stretch>
                  </pic:blipFill>
                  <pic:spPr bwMode="auto">
                    <a:xfrm>
                      <a:off x="0" y="0"/>
                      <a:ext cx="2921223" cy="1566988"/>
                    </a:xfrm>
                    <a:prstGeom prst="rect">
                      <a:avLst/>
                    </a:prstGeom>
                    <a:noFill/>
                    <a:ln w="9525">
                      <a:noFill/>
                      <a:miter lim="800000"/>
                      <a:headEnd/>
                      <a:tailEnd/>
                    </a:ln>
                  </pic:spPr>
                </pic:pic>
              </a:graphicData>
            </a:graphic>
          </wp:inline>
        </w:drawing>
      </w:r>
    </w:p>
    <w:p w:rsidR="00376E24" w:rsidRPr="00D15B63" w:rsidRDefault="00376E24" w:rsidP="004A74BB">
      <w:pPr>
        <w:spacing w:after="0" w:line="240" w:lineRule="auto"/>
        <w:jc w:val="both"/>
        <w:rPr>
          <w:rFonts w:ascii="Times New Roman" w:eastAsia="Times New Roman" w:hAnsi="Times New Roman" w:cs="Times New Roman"/>
          <w:sz w:val="24"/>
          <w:szCs w:val="24"/>
          <w:lang w:val="sq-AL"/>
        </w:rPr>
      </w:pPr>
    </w:p>
    <w:p w:rsidR="004A74BB" w:rsidRDefault="004A74BB" w:rsidP="004A74BB">
      <w:pPr>
        <w:spacing w:after="0" w:line="240" w:lineRule="auto"/>
        <w:jc w:val="both"/>
        <w:rPr>
          <w:rFonts w:ascii="Times New Roman" w:eastAsia="Times New Roman" w:hAnsi="Times New Roman" w:cs="Times New Roman"/>
          <w:b/>
          <w:sz w:val="24"/>
          <w:szCs w:val="24"/>
          <w:u w:val="single"/>
          <w:lang w:val="sq-AL"/>
        </w:rPr>
      </w:pPr>
      <w:r w:rsidRPr="00D15B63">
        <w:rPr>
          <w:rFonts w:ascii="Times New Roman" w:eastAsia="Times New Roman" w:hAnsi="Times New Roman" w:cs="Times New Roman"/>
          <w:b/>
          <w:sz w:val="24"/>
          <w:szCs w:val="24"/>
          <w:lang w:val="sq-AL"/>
        </w:rPr>
        <w:t xml:space="preserve">●  </w:t>
      </w:r>
      <w:r w:rsidRPr="00A95E5C">
        <w:rPr>
          <w:rFonts w:ascii="Times New Roman" w:eastAsia="Times New Roman" w:hAnsi="Times New Roman" w:cs="Times New Roman"/>
          <w:b/>
          <w:sz w:val="24"/>
          <w:szCs w:val="24"/>
          <w:u w:val="single"/>
          <w:lang w:val="sq-AL"/>
        </w:rPr>
        <w:t>Stacioni Memaliaj, Lumi i Vjoses</w:t>
      </w:r>
    </w:p>
    <w:p w:rsidR="00B100E9" w:rsidRPr="00A95E5C" w:rsidRDefault="00B100E9" w:rsidP="004A74BB">
      <w:pPr>
        <w:spacing w:after="0" w:line="240" w:lineRule="auto"/>
        <w:jc w:val="both"/>
        <w:rPr>
          <w:rFonts w:ascii="Times New Roman" w:eastAsia="Times New Roman" w:hAnsi="Times New Roman" w:cs="Times New Roman"/>
          <w:b/>
          <w:sz w:val="24"/>
          <w:szCs w:val="24"/>
          <w:u w:val="single"/>
          <w:lang w:val="sq-AL"/>
        </w:rPr>
      </w:pPr>
    </w:p>
    <w:p w:rsidR="004A74BB"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Sasia e ujit në këtë stacion është funksion i rreshjeve stinore. Vlera e Rrezes Hidraulike tregon aftësi përcjellëse të kënaqëshme të kanalit të rrjedhës. Nuk ka rrezik për përmbytje në këtë sektor. Edhe në këtë stacion, nuk vërehet ndryshueshmëri e madhe në sasinë e prurjeve midis dy matjeve të kryera.  </w:t>
      </w:r>
    </w:p>
    <w:p w:rsidR="00B100E9" w:rsidRPr="00D15B63" w:rsidRDefault="00B100E9"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rPr>
        <w:drawing>
          <wp:inline distT="0" distB="0" distL="0" distR="0" wp14:anchorId="23970E68" wp14:editId="751067DF">
            <wp:extent cx="2657475" cy="1866900"/>
            <wp:effectExtent l="19050" t="19050" r="28575" b="19050"/>
            <wp:docPr id="498" name="Chart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6"/>
                    <pic:cNvPicPr>
                      <a:picLocks noChangeArrowheads="1"/>
                    </pic:cNvPicPr>
                  </pic:nvPicPr>
                  <pic:blipFill>
                    <a:blip r:embed="rId152" cstate="print"/>
                    <a:srcRect/>
                    <a:stretch>
                      <a:fillRect/>
                    </a:stretch>
                  </pic:blipFill>
                  <pic:spPr bwMode="auto">
                    <a:xfrm>
                      <a:off x="0" y="0"/>
                      <a:ext cx="2657475" cy="1866900"/>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116DC9C7" wp14:editId="3BE2A332">
            <wp:extent cx="2885441" cy="1912620"/>
            <wp:effectExtent l="0" t="0" r="0" b="0"/>
            <wp:docPr id="49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3" cstate="print"/>
                    <a:srcRect l="3766" t="23219" r="31490" b="11681"/>
                    <a:stretch>
                      <a:fillRect/>
                    </a:stretch>
                  </pic:blipFill>
                  <pic:spPr bwMode="auto">
                    <a:xfrm>
                      <a:off x="0" y="0"/>
                      <a:ext cx="2891732" cy="1916790"/>
                    </a:xfrm>
                    <a:prstGeom prst="rect">
                      <a:avLst/>
                    </a:prstGeom>
                    <a:noFill/>
                    <a:ln w="9525">
                      <a:noFill/>
                      <a:miter lim="800000"/>
                      <a:headEnd/>
                      <a:tailEnd/>
                    </a:ln>
                  </pic:spPr>
                </pic:pic>
              </a:graphicData>
            </a:graphic>
          </wp:inline>
        </w:drawing>
      </w:r>
    </w:p>
    <w:p w:rsidR="004A74BB" w:rsidRDefault="004A74BB" w:rsidP="004A74BB">
      <w:pPr>
        <w:spacing w:after="0" w:line="240" w:lineRule="auto"/>
        <w:jc w:val="both"/>
        <w:rPr>
          <w:rFonts w:ascii="Times New Roman" w:eastAsia="Times New Roman" w:hAnsi="Times New Roman" w:cs="Times New Roman"/>
          <w:sz w:val="24"/>
          <w:szCs w:val="24"/>
          <w:lang w:val="sq-AL"/>
        </w:rPr>
      </w:pPr>
    </w:p>
    <w:p w:rsidR="00B100E9" w:rsidRPr="00D15B63" w:rsidRDefault="00B100E9" w:rsidP="004A74BB">
      <w:pPr>
        <w:spacing w:after="0" w:line="240" w:lineRule="auto"/>
        <w:jc w:val="both"/>
        <w:rPr>
          <w:rFonts w:ascii="Times New Roman" w:eastAsia="Times New Roman" w:hAnsi="Times New Roman" w:cs="Times New Roman"/>
          <w:sz w:val="24"/>
          <w:szCs w:val="24"/>
          <w:lang w:val="sq-AL"/>
        </w:rPr>
      </w:pPr>
    </w:p>
    <w:p w:rsidR="004A74BB" w:rsidRDefault="004A74BB" w:rsidP="004A74BB">
      <w:pPr>
        <w:spacing w:after="0" w:line="240" w:lineRule="auto"/>
        <w:jc w:val="both"/>
        <w:rPr>
          <w:rFonts w:ascii="Times New Roman" w:eastAsia="Times New Roman" w:hAnsi="Times New Roman" w:cs="Times New Roman"/>
          <w:b/>
          <w:sz w:val="24"/>
          <w:szCs w:val="24"/>
          <w:u w:val="single"/>
          <w:lang w:val="sq-AL"/>
        </w:rPr>
      </w:pPr>
      <w:r w:rsidRPr="00D15B63">
        <w:rPr>
          <w:rFonts w:ascii="Times New Roman" w:eastAsia="Times New Roman" w:hAnsi="Times New Roman" w:cs="Times New Roman"/>
          <w:b/>
          <w:sz w:val="24"/>
          <w:szCs w:val="24"/>
          <w:lang w:val="sq-AL"/>
        </w:rPr>
        <w:t xml:space="preserve">●  </w:t>
      </w:r>
      <w:r w:rsidRPr="00A95E5C">
        <w:rPr>
          <w:rFonts w:ascii="Times New Roman" w:eastAsia="Times New Roman" w:hAnsi="Times New Roman" w:cs="Times New Roman"/>
          <w:b/>
          <w:sz w:val="24"/>
          <w:szCs w:val="24"/>
          <w:u w:val="single"/>
          <w:lang w:val="sq-AL"/>
        </w:rPr>
        <w:t>Stacioni Ura e Mifolit, Lumi i Vjoses</w:t>
      </w:r>
    </w:p>
    <w:p w:rsidR="00B100E9" w:rsidRPr="00A95E5C" w:rsidRDefault="00B100E9" w:rsidP="004A74BB">
      <w:pPr>
        <w:spacing w:after="0" w:line="240" w:lineRule="auto"/>
        <w:jc w:val="both"/>
        <w:rPr>
          <w:rFonts w:ascii="Times New Roman" w:eastAsia="Times New Roman" w:hAnsi="Times New Roman" w:cs="Times New Roman"/>
          <w:b/>
          <w:sz w:val="24"/>
          <w:szCs w:val="24"/>
          <w:u w:val="single"/>
          <w:lang w:val="sq-AL"/>
        </w:rPr>
      </w:pPr>
    </w:p>
    <w:p w:rsidR="004A74BB"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Vërehe</w:t>
      </w:r>
      <w:r w:rsidR="00A95E5C">
        <w:rPr>
          <w:rFonts w:ascii="Times New Roman" w:eastAsia="Times New Roman" w:hAnsi="Times New Roman" w:cs="Times New Roman"/>
          <w:sz w:val="24"/>
          <w:szCs w:val="24"/>
          <w:lang w:val="sq-AL"/>
        </w:rPr>
        <w:t xml:space="preserve">t </w:t>
      </w:r>
      <w:r w:rsidRPr="00D15B63">
        <w:rPr>
          <w:rFonts w:ascii="Times New Roman" w:eastAsia="Times New Roman" w:hAnsi="Times New Roman" w:cs="Times New Roman"/>
          <w:sz w:val="24"/>
          <w:szCs w:val="24"/>
          <w:lang w:val="sq-AL"/>
        </w:rPr>
        <w:t xml:space="preserve">një jouniformitet </w:t>
      </w:r>
      <w:r w:rsidR="00A95E5C">
        <w:rPr>
          <w:rFonts w:ascii="Times New Roman" w:eastAsia="Times New Roman" w:hAnsi="Times New Roman" w:cs="Times New Roman"/>
          <w:sz w:val="24"/>
          <w:szCs w:val="24"/>
          <w:lang w:val="sq-AL"/>
        </w:rPr>
        <w:t xml:space="preserve">i </w:t>
      </w:r>
      <w:r w:rsidRPr="00D15B63">
        <w:rPr>
          <w:rFonts w:ascii="Times New Roman" w:eastAsia="Times New Roman" w:hAnsi="Times New Roman" w:cs="Times New Roman"/>
          <w:sz w:val="24"/>
          <w:szCs w:val="24"/>
          <w:lang w:val="sq-AL"/>
        </w:rPr>
        <w:t>rrjedhës.</w:t>
      </w:r>
      <w:r w:rsidR="006368CB">
        <w:rPr>
          <w:rFonts w:ascii="Times New Roman" w:eastAsia="Times New Roman" w:hAnsi="Times New Roman" w:cs="Times New Roman"/>
          <w:sz w:val="24"/>
          <w:szCs w:val="24"/>
          <w:lang w:val="sq-AL"/>
        </w:rPr>
        <w:t xml:space="preserve"> </w:t>
      </w:r>
      <w:r w:rsidRPr="00D15B63">
        <w:rPr>
          <w:rFonts w:ascii="Times New Roman" w:eastAsia="Times New Roman" w:hAnsi="Times New Roman" w:cs="Times New Roman"/>
          <w:sz w:val="24"/>
          <w:szCs w:val="24"/>
          <w:lang w:val="sq-AL"/>
        </w:rPr>
        <w:t>Krijimi i barrierave të depozitimeve të rërës që vijnë si rezultat i pjerrësisë shumë të ulët të kanalit të rrjedhës, ndikojnë fuqimisht në shpejtësinë e lëvizjes së ujit. Rreziku për përmbytje është gjithmonë i pranishëm sidomos në rastin e prurjeve të mëdha në periudhë të shkurtër kohore.</w:t>
      </w:r>
    </w:p>
    <w:p w:rsidR="00B100E9" w:rsidRPr="00B100E9" w:rsidRDefault="00B100E9"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r w:rsidRPr="00D15B63">
        <w:rPr>
          <w:rFonts w:ascii="Times New Roman" w:eastAsia="Times New Roman" w:hAnsi="Times New Roman" w:cs="Times New Roman"/>
          <w:b/>
          <w:noProof/>
          <w:color w:val="000000"/>
          <w:sz w:val="24"/>
          <w:szCs w:val="24"/>
          <w:bdr w:val="single" w:sz="4" w:space="0" w:color="4F6228"/>
        </w:rPr>
        <w:drawing>
          <wp:inline distT="0" distB="0" distL="0" distR="0" wp14:anchorId="009B8F15" wp14:editId="6ACCCAE7">
            <wp:extent cx="2819400" cy="1905000"/>
            <wp:effectExtent l="19050" t="19050" r="19050" b="19050"/>
            <wp:docPr id="500" name="Chart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7"/>
                    <pic:cNvPicPr>
                      <a:picLocks noChangeArrowheads="1"/>
                    </pic:cNvPicPr>
                  </pic:nvPicPr>
                  <pic:blipFill>
                    <a:blip r:embed="rId154" cstate="print"/>
                    <a:srcRect/>
                    <a:stretch>
                      <a:fillRect/>
                    </a:stretch>
                  </pic:blipFill>
                  <pic:spPr bwMode="auto">
                    <a:xfrm>
                      <a:off x="0" y="0"/>
                      <a:ext cx="2819400" cy="1905000"/>
                    </a:xfrm>
                    <a:prstGeom prst="rect">
                      <a:avLst/>
                    </a:prstGeom>
                    <a:noFill/>
                    <a:ln w="19050" cmpd="sng">
                      <a:solidFill>
                        <a:srgbClr val="9BBB59">
                          <a:lumMod val="75000"/>
                        </a:srgbClr>
                      </a:solidFill>
                      <a:miter lim="800000"/>
                      <a:headEnd/>
                      <a:tailEnd/>
                    </a:ln>
                    <a:effectLst/>
                  </pic:spPr>
                </pic:pic>
              </a:graphicData>
            </a:graphic>
          </wp:inline>
        </w:drawing>
      </w:r>
      <w:r w:rsidRPr="00D15B63">
        <w:rPr>
          <w:rFonts w:ascii="Times New Roman" w:eastAsia="Times New Roman" w:hAnsi="Times New Roman" w:cs="Times New Roman"/>
          <w:b/>
          <w:noProof/>
          <w:color w:val="000000"/>
          <w:sz w:val="24"/>
          <w:szCs w:val="24"/>
        </w:rPr>
        <w:t xml:space="preserve">   </w:t>
      </w:r>
      <w:r w:rsidRPr="00D15B63">
        <w:rPr>
          <w:rFonts w:ascii="Times New Roman" w:eastAsia="Times New Roman" w:hAnsi="Times New Roman" w:cs="Times New Roman"/>
          <w:b/>
          <w:noProof/>
          <w:color w:val="000000"/>
          <w:sz w:val="24"/>
          <w:szCs w:val="24"/>
        </w:rPr>
        <w:drawing>
          <wp:inline distT="0" distB="0" distL="0" distR="0" wp14:anchorId="4D90FB8D" wp14:editId="4E0F2A5C">
            <wp:extent cx="2942631" cy="1943100"/>
            <wp:effectExtent l="0" t="0" r="0" b="0"/>
            <wp:docPr id="50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5" cstate="print"/>
                    <a:srcRect l="3766" t="23219" r="31490" b="11538"/>
                    <a:stretch>
                      <a:fillRect/>
                    </a:stretch>
                  </pic:blipFill>
                  <pic:spPr bwMode="auto">
                    <a:xfrm>
                      <a:off x="0" y="0"/>
                      <a:ext cx="2969007" cy="1960517"/>
                    </a:xfrm>
                    <a:prstGeom prst="rect">
                      <a:avLst/>
                    </a:prstGeom>
                    <a:noFill/>
                    <a:ln w="9525">
                      <a:noFill/>
                      <a:miter lim="800000"/>
                      <a:headEnd/>
                      <a:tailEnd/>
                    </a:ln>
                  </pic:spPr>
                </pic:pic>
              </a:graphicData>
            </a:graphic>
          </wp:inline>
        </w:drawing>
      </w: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Pr="00D15B63" w:rsidRDefault="004A74BB" w:rsidP="004A74BB">
      <w:pPr>
        <w:spacing w:after="0" w:line="240" w:lineRule="auto"/>
        <w:jc w:val="both"/>
        <w:rPr>
          <w:rFonts w:ascii="Times New Roman" w:eastAsia="Times New Roman" w:hAnsi="Times New Roman" w:cs="Times New Roman"/>
          <w:sz w:val="24"/>
          <w:szCs w:val="24"/>
          <w:lang w:val="sq-AL"/>
        </w:rPr>
      </w:pPr>
    </w:p>
    <w:p w:rsidR="004A74BB" w:rsidRDefault="004A74BB" w:rsidP="004A74BB">
      <w:pPr>
        <w:overflowPunct w:val="0"/>
        <w:autoSpaceDE w:val="0"/>
        <w:autoSpaceDN w:val="0"/>
        <w:adjustRightInd w:val="0"/>
        <w:spacing w:after="0" w:line="240" w:lineRule="auto"/>
        <w:jc w:val="both"/>
        <w:rPr>
          <w:rFonts w:ascii="Times New Roman" w:eastAsia="Times New Roman" w:hAnsi="Times New Roman" w:cs="Times New Roman"/>
          <w:b/>
          <w:sz w:val="24"/>
          <w:szCs w:val="24"/>
          <w:lang w:val="sq-AL"/>
        </w:rPr>
      </w:pPr>
    </w:p>
    <w:p w:rsidR="00465EBF" w:rsidRDefault="00465EBF" w:rsidP="004A74BB">
      <w:pPr>
        <w:overflowPunct w:val="0"/>
        <w:autoSpaceDE w:val="0"/>
        <w:autoSpaceDN w:val="0"/>
        <w:adjustRightInd w:val="0"/>
        <w:spacing w:after="0" w:line="240" w:lineRule="auto"/>
        <w:jc w:val="both"/>
        <w:rPr>
          <w:rFonts w:ascii="Times New Roman" w:eastAsia="Times New Roman" w:hAnsi="Times New Roman" w:cs="Times New Roman"/>
          <w:b/>
          <w:sz w:val="24"/>
          <w:szCs w:val="24"/>
          <w:lang w:val="sq-AL"/>
        </w:rPr>
      </w:pPr>
    </w:p>
    <w:p w:rsidR="00465EBF" w:rsidRPr="00D15B63" w:rsidRDefault="00465EBF" w:rsidP="004A74BB">
      <w:pPr>
        <w:overflowPunct w:val="0"/>
        <w:autoSpaceDE w:val="0"/>
        <w:autoSpaceDN w:val="0"/>
        <w:adjustRightInd w:val="0"/>
        <w:spacing w:after="0" w:line="240" w:lineRule="auto"/>
        <w:jc w:val="both"/>
        <w:rPr>
          <w:rFonts w:ascii="Times New Roman" w:eastAsia="Times New Roman" w:hAnsi="Times New Roman" w:cs="Times New Roman"/>
          <w:b/>
          <w:sz w:val="24"/>
          <w:szCs w:val="24"/>
          <w:lang w:val="sq-AL"/>
        </w:rPr>
      </w:pPr>
    </w:p>
    <w:p w:rsidR="004A74BB" w:rsidRPr="00D15B63" w:rsidRDefault="004A74BB" w:rsidP="004A74BB">
      <w:pPr>
        <w:overflowPunct w:val="0"/>
        <w:autoSpaceDE w:val="0"/>
        <w:autoSpaceDN w:val="0"/>
        <w:adjustRightInd w:val="0"/>
        <w:spacing w:after="0" w:line="240" w:lineRule="auto"/>
        <w:textAlignment w:val="baseline"/>
        <w:rPr>
          <w:rFonts w:ascii="Times New Roman" w:eastAsia="Times New Roman" w:hAnsi="Times New Roman" w:cs="Times New Roman"/>
          <w:b/>
          <w:color w:val="000000"/>
          <w:sz w:val="24"/>
          <w:szCs w:val="24"/>
          <w:lang w:val="sq-AL"/>
        </w:rPr>
      </w:pPr>
    </w:p>
    <w:p w:rsidR="004A74BB" w:rsidRPr="00D15B63" w:rsidRDefault="004A74BB" w:rsidP="004A74BB">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sq-AL"/>
        </w:rPr>
      </w:pPr>
      <w:r w:rsidRPr="00D15B63">
        <w:rPr>
          <w:rFonts w:ascii="Times New Roman" w:eastAsia="Times New Roman" w:hAnsi="Times New Roman" w:cs="Times New Roman"/>
          <w:b/>
          <w:color w:val="000000"/>
          <w:sz w:val="24"/>
          <w:szCs w:val="24"/>
          <w:lang w:val="sq-AL"/>
        </w:rPr>
        <w:lastRenderedPageBreak/>
        <w:t>Përfundime</w:t>
      </w:r>
      <w:r w:rsidRPr="00D15B63">
        <w:rPr>
          <w:rFonts w:ascii="Times New Roman" w:eastAsia="Times New Roman" w:hAnsi="Times New Roman" w:cs="Times New Roman"/>
          <w:b/>
          <w:sz w:val="24"/>
          <w:szCs w:val="24"/>
          <w:lang w:val="sq-AL"/>
        </w:rPr>
        <w:t xml:space="preserve"> </w:t>
      </w:r>
    </w:p>
    <w:p w:rsidR="004A74BB" w:rsidRPr="00D15B63" w:rsidRDefault="004A74BB" w:rsidP="00322D6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 Lumenjtë e Shqipërisë paraqesin një potencial ujor të larmishëm i cili mund të kontrollohet, disiplinohet dhe menaxhohet duke u vënë në dispozicion të bujqësisë, industrisë dhe drejtimeve të tjera të ekonomisë </w:t>
      </w:r>
      <w:r w:rsidR="00024039">
        <w:rPr>
          <w:rFonts w:ascii="Times New Roman" w:eastAsia="Times New Roman" w:hAnsi="Times New Roman" w:cs="Times New Roman"/>
          <w:sz w:val="24"/>
          <w:szCs w:val="24"/>
          <w:lang w:val="sq-AL"/>
        </w:rPr>
        <w:t xml:space="preserve">dhe </w:t>
      </w:r>
      <w:r w:rsidRPr="00D15B63">
        <w:rPr>
          <w:rFonts w:ascii="Times New Roman" w:eastAsia="Times New Roman" w:hAnsi="Times New Roman" w:cs="Times New Roman"/>
          <w:sz w:val="24"/>
          <w:szCs w:val="24"/>
          <w:lang w:val="sq-AL"/>
        </w:rPr>
        <w:t>në dobi të komunitetit.</w:t>
      </w:r>
    </w:p>
    <w:p w:rsidR="004A74BB" w:rsidRPr="00D15B63" w:rsidRDefault="004A74BB" w:rsidP="004A74BB">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 Në faktorët natyrorë që ndikojnë në sasinë e prurjeve ujore, rëndësi parësore kanë:  </w:t>
      </w: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1.Faktorët hidrometeorologjikë (rreshjet dhe itensiteti i tyre), </w:t>
      </w: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lang w:val="sq-AL"/>
        </w:rPr>
      </w:pPr>
      <w:r w:rsidRPr="00D15B63">
        <w:rPr>
          <w:rFonts w:ascii="Times New Roman" w:eastAsia="Times New Roman" w:hAnsi="Times New Roman" w:cs="Times New Roman"/>
          <w:bCs/>
          <w:sz w:val="24"/>
          <w:szCs w:val="24"/>
          <w:lang w:val="sq-AL"/>
        </w:rPr>
        <w:t xml:space="preserve">2.Ndërtimi gjeologjik i rajonit (shkalla e përshkueshmërisë së formacioneve), </w:t>
      </w: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lang w:val="sq-AL"/>
        </w:rPr>
      </w:pPr>
      <w:r w:rsidRPr="00D15B63">
        <w:rPr>
          <w:rFonts w:ascii="Times New Roman" w:eastAsia="Times New Roman" w:hAnsi="Times New Roman" w:cs="Times New Roman"/>
          <w:bCs/>
          <w:sz w:val="24"/>
          <w:szCs w:val="24"/>
          <w:lang w:val="sq-AL"/>
        </w:rPr>
        <w:t xml:space="preserve">3.Pjerrësitë e reliefit në brigjet e shtretërve, shkalla e pyllëzimit (koefiçienti i rrjedhës), </w:t>
      </w: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lang w:val="sq-AL"/>
        </w:rPr>
      </w:pPr>
      <w:r w:rsidRPr="00D15B63">
        <w:rPr>
          <w:rFonts w:ascii="Times New Roman" w:eastAsia="Times New Roman" w:hAnsi="Times New Roman" w:cs="Times New Roman"/>
          <w:bCs/>
          <w:sz w:val="24"/>
          <w:szCs w:val="24"/>
          <w:lang w:val="sq-AL"/>
        </w:rPr>
        <w:t xml:space="preserve">4.Pjerrësitë e vetë shtratit (gradienti i shtratit dhe i rrjedhës), </w:t>
      </w: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lang w:val="sq-AL"/>
        </w:rPr>
      </w:pPr>
      <w:r w:rsidRPr="00D15B63">
        <w:rPr>
          <w:rFonts w:ascii="Times New Roman" w:eastAsia="Times New Roman" w:hAnsi="Times New Roman" w:cs="Times New Roman"/>
          <w:bCs/>
          <w:sz w:val="24"/>
          <w:szCs w:val="24"/>
          <w:lang w:val="sq-AL"/>
        </w:rPr>
        <w:t xml:space="preserve">5.Sedimentimi apo erozioni i aluvioneve në shtratin e lumit (ulje-ngritjet e bazamentit),  </w:t>
      </w: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bCs/>
          <w:sz w:val="24"/>
          <w:szCs w:val="24"/>
          <w:lang w:val="sq-AL"/>
        </w:rPr>
        <w:t>6.Shkalla e zhveshmërisë së pellgut ujëmbledhës (</w:t>
      </w:r>
      <w:r w:rsidRPr="00D15B63">
        <w:rPr>
          <w:rFonts w:ascii="Times New Roman" w:eastAsia="Times New Roman" w:hAnsi="Times New Roman" w:cs="Times New Roman"/>
          <w:sz w:val="24"/>
          <w:szCs w:val="24"/>
          <w:lang w:val="sq-AL"/>
        </w:rPr>
        <w:t>mbulesa bimore), etj.</w:t>
      </w: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  Gjatë matjeve të këtij viti, </w:t>
      </w:r>
      <w:r w:rsidR="0021214D">
        <w:rPr>
          <w:rFonts w:ascii="Times New Roman" w:eastAsia="Times New Roman" w:hAnsi="Times New Roman" w:cs="Times New Roman"/>
          <w:sz w:val="24"/>
          <w:szCs w:val="24"/>
          <w:lang w:val="sq-AL"/>
        </w:rPr>
        <w:t>janë</w:t>
      </w:r>
      <w:r w:rsidRPr="00D15B63">
        <w:rPr>
          <w:rFonts w:ascii="Times New Roman" w:eastAsia="Times New Roman" w:hAnsi="Times New Roman" w:cs="Times New Roman"/>
          <w:sz w:val="24"/>
          <w:szCs w:val="24"/>
          <w:lang w:val="sq-AL"/>
        </w:rPr>
        <w:t xml:space="preserve"> shtuar edhe 5 stacione të tjera (një në lumin e Vermoshit, tre në lumin e Bistricës dhe një në atë të Pavllos) duke marrë informacion shtesë i cili ka munguar prej vitesh. </w:t>
      </w:r>
    </w:p>
    <w:p w:rsidR="004A74BB" w:rsidRPr="00D15B63" w:rsidRDefault="004A74BB" w:rsidP="004A74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Rreziku i përmbytjeve mbetet gjithmonë evident në rrjedhjet e poshtme të lumenjve, por edhe në sektorë të tjerë të cilët kanë filluar të evidentohen në vitet e fundit. Kjo tregon shtrirjen në rritje të këtij fenomeni drejt pjesëve më të sipërme të pellgut. Nga shkaqet kryesore të këtij fenomeni janë ulja e pjerrësisë së shtratit në rrjedhën e poshtme, mbushja e tabanit të kanalit të rrjedhës dhe prurjet e shpejta me itensitet të lartë.</w:t>
      </w:r>
    </w:p>
    <w:p w:rsidR="0021214D" w:rsidRDefault="004A74BB" w:rsidP="0021214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D15B63">
        <w:rPr>
          <w:rFonts w:ascii="Times New Roman" w:eastAsia="Times New Roman" w:hAnsi="Times New Roman" w:cs="Times New Roman"/>
          <w:sz w:val="24"/>
          <w:szCs w:val="24"/>
          <w:lang w:val="sq-AL"/>
        </w:rPr>
        <w:t xml:space="preserve">● Informacioni i fituar shërben për orientimin e një menaxhimi të mirë të burimeve ujore (por edhe atyre inerte) në shtretërit e lumenjve. Orienton marrjen e masave për mbrojtjen nga erozioni lumor, mbrojtjen e objekteve inxhinierike të rrezikuara në shtrat të lumit nga energjia e rrjedhës, mbrojtjen e tokave bujqësore dhe ndërtimeve të popullatës nga rreziku i përmbytjeve, etj. </w:t>
      </w:r>
    </w:p>
    <w:p w:rsidR="0021214D" w:rsidRDefault="0021214D" w:rsidP="0021214D">
      <w:pPr>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lang w:val="sq-AL"/>
        </w:rPr>
      </w:pPr>
    </w:p>
    <w:p w:rsidR="0021214D" w:rsidRDefault="0021214D" w:rsidP="0021214D">
      <w:pPr>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lang w:val="sq-AL"/>
        </w:rPr>
      </w:pPr>
    </w:p>
    <w:p w:rsidR="001E7407" w:rsidRPr="0021214D" w:rsidRDefault="00322D6E" w:rsidP="00807975">
      <w:pPr>
        <w:pStyle w:val="ListParagraph"/>
        <w:numPr>
          <w:ilvl w:val="0"/>
          <w:numId w:val="50"/>
        </w:numPr>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21214D">
        <w:rPr>
          <w:rFonts w:ascii="Times New Roman" w:eastAsia="Calibri" w:hAnsi="Times New Roman" w:cs="Times New Roman"/>
          <w:b/>
          <w:sz w:val="24"/>
          <w:szCs w:val="24"/>
          <w:lang w:val="sq-AL"/>
        </w:rPr>
        <w:t xml:space="preserve">Gjeologjia e shtretërve të lumenjve </w:t>
      </w:r>
      <w:r w:rsidR="004332BF" w:rsidRPr="0021214D">
        <w:rPr>
          <w:rFonts w:ascii="Times New Roman" w:eastAsia="Calibri" w:hAnsi="Times New Roman" w:cs="Times New Roman"/>
          <w:b/>
          <w:sz w:val="24"/>
          <w:szCs w:val="24"/>
          <w:lang w:val="sq-AL"/>
        </w:rPr>
        <w:t xml:space="preserve"> Drin, Gjadër</w:t>
      </w:r>
      <w:r w:rsidR="001445DC">
        <w:rPr>
          <w:rFonts w:ascii="Times New Roman" w:eastAsia="Calibri" w:hAnsi="Times New Roman" w:cs="Times New Roman"/>
          <w:b/>
          <w:sz w:val="24"/>
          <w:szCs w:val="24"/>
          <w:lang w:val="sq-AL"/>
        </w:rPr>
        <w:t>, Kir, Mat, V</w:t>
      </w:r>
      <w:r w:rsidR="00763DC7">
        <w:rPr>
          <w:rFonts w:ascii="Times New Roman" w:eastAsia="Calibri" w:hAnsi="Times New Roman" w:cs="Times New Roman"/>
          <w:b/>
          <w:sz w:val="24"/>
          <w:szCs w:val="24"/>
          <w:lang w:val="sq-AL"/>
        </w:rPr>
        <w:t>josë dhe Ishëm</w:t>
      </w:r>
    </w:p>
    <w:p w:rsidR="004332BF" w:rsidRDefault="004332BF" w:rsidP="001E7407">
      <w:pPr>
        <w:spacing w:after="200" w:line="276" w:lineRule="auto"/>
        <w:rPr>
          <w:rFonts w:ascii="Times New Roman" w:eastAsia="Calibri" w:hAnsi="Times New Roman" w:cs="Times New Roman"/>
          <w:b/>
          <w:sz w:val="24"/>
          <w:szCs w:val="24"/>
          <w:lang w:val="sq-AL"/>
        </w:rPr>
      </w:pPr>
    </w:p>
    <w:p w:rsidR="004332BF" w:rsidRPr="007E2640" w:rsidRDefault="007E2640" w:rsidP="007E2640">
      <w:pPr>
        <w:spacing w:after="200" w:line="276" w:lineRule="auto"/>
        <w:jc w:val="both"/>
        <w:rPr>
          <w:rFonts w:ascii="Times New Roman" w:eastAsia="Calibri" w:hAnsi="Times New Roman" w:cs="Times New Roman"/>
          <w:b/>
          <w:sz w:val="24"/>
          <w:szCs w:val="24"/>
          <w:lang w:val="sq-AL"/>
        </w:rPr>
      </w:pPr>
      <w:r w:rsidRPr="007E2640">
        <w:rPr>
          <w:rFonts w:ascii="Times New Roman" w:eastAsia="Times New Roman" w:hAnsi="Times New Roman" w:cs="Times New Roman"/>
          <w:sz w:val="24"/>
          <w:szCs w:val="24"/>
          <w:lang w:val="sq-AL"/>
        </w:rPr>
        <w:t>Lumenjtë e marrë në studim gjatë vitit 2025, Drin, Mat, Ishëm dhe Vjosë, janë lumenj të prekur në pjesën më</w:t>
      </w:r>
      <w:r w:rsidRPr="007E2640">
        <w:rPr>
          <w:rFonts w:ascii="Times New Roman" w:eastAsia="Times New Roman" w:hAnsi="Times New Roman" w:cs="Times New Roman"/>
          <w:spacing w:val="-1"/>
          <w:sz w:val="24"/>
          <w:szCs w:val="24"/>
          <w:lang w:val="sq-AL"/>
        </w:rPr>
        <w:t xml:space="preserve"> </w:t>
      </w:r>
      <w:r w:rsidRPr="007E2640">
        <w:rPr>
          <w:rFonts w:ascii="Times New Roman" w:eastAsia="Times New Roman" w:hAnsi="Times New Roman" w:cs="Times New Roman"/>
          <w:sz w:val="24"/>
          <w:szCs w:val="24"/>
          <w:lang w:val="sq-AL"/>
        </w:rPr>
        <w:t>të</w:t>
      </w:r>
      <w:r w:rsidRPr="007E2640">
        <w:rPr>
          <w:rFonts w:ascii="Times New Roman" w:eastAsia="Times New Roman" w:hAnsi="Times New Roman" w:cs="Times New Roman"/>
          <w:spacing w:val="-1"/>
          <w:sz w:val="24"/>
          <w:szCs w:val="24"/>
          <w:lang w:val="sq-AL"/>
        </w:rPr>
        <w:t xml:space="preserve"> </w:t>
      </w:r>
      <w:r w:rsidRPr="007E2640">
        <w:rPr>
          <w:rFonts w:ascii="Times New Roman" w:eastAsia="Times New Roman" w:hAnsi="Times New Roman" w:cs="Times New Roman"/>
          <w:sz w:val="24"/>
          <w:szCs w:val="24"/>
          <w:lang w:val="sq-AL"/>
        </w:rPr>
        <w:t>madhe</w:t>
      </w:r>
      <w:r w:rsidRPr="007E2640">
        <w:rPr>
          <w:rFonts w:ascii="Times New Roman" w:eastAsia="Times New Roman" w:hAnsi="Times New Roman" w:cs="Times New Roman"/>
          <w:spacing w:val="-1"/>
          <w:sz w:val="24"/>
          <w:szCs w:val="24"/>
          <w:lang w:val="sq-AL"/>
        </w:rPr>
        <w:t xml:space="preserve"> </w:t>
      </w:r>
      <w:r w:rsidRPr="007E2640">
        <w:rPr>
          <w:rFonts w:ascii="Times New Roman" w:eastAsia="Times New Roman" w:hAnsi="Times New Roman" w:cs="Times New Roman"/>
          <w:sz w:val="24"/>
          <w:szCs w:val="24"/>
          <w:lang w:val="sq-AL"/>
        </w:rPr>
        <w:t>nga presionet e</w:t>
      </w:r>
      <w:r w:rsidRPr="007E2640">
        <w:rPr>
          <w:rFonts w:ascii="Times New Roman" w:eastAsia="Times New Roman" w:hAnsi="Times New Roman" w:cs="Times New Roman"/>
          <w:spacing w:val="-1"/>
          <w:sz w:val="24"/>
          <w:szCs w:val="24"/>
          <w:lang w:val="sq-AL"/>
        </w:rPr>
        <w:t xml:space="preserve"> </w:t>
      </w:r>
      <w:r w:rsidRPr="007E2640">
        <w:rPr>
          <w:rFonts w:ascii="Times New Roman" w:eastAsia="Times New Roman" w:hAnsi="Times New Roman" w:cs="Times New Roman"/>
          <w:sz w:val="24"/>
          <w:szCs w:val="24"/>
          <w:lang w:val="sq-AL"/>
        </w:rPr>
        <w:t>jashme</w:t>
      </w:r>
      <w:r w:rsidRPr="007E2640">
        <w:rPr>
          <w:rFonts w:ascii="Times New Roman" w:eastAsia="Times New Roman" w:hAnsi="Times New Roman" w:cs="Times New Roman"/>
          <w:spacing w:val="-1"/>
          <w:sz w:val="24"/>
          <w:szCs w:val="24"/>
          <w:lang w:val="sq-AL"/>
        </w:rPr>
        <w:t xml:space="preserve"> </w:t>
      </w:r>
      <w:r w:rsidRPr="007E2640">
        <w:rPr>
          <w:rFonts w:ascii="Times New Roman" w:eastAsia="Times New Roman" w:hAnsi="Times New Roman" w:cs="Times New Roman"/>
          <w:sz w:val="24"/>
          <w:szCs w:val="24"/>
          <w:lang w:val="sq-AL"/>
        </w:rPr>
        <w:t>që</w:t>
      </w:r>
      <w:r w:rsidRPr="007E2640">
        <w:rPr>
          <w:rFonts w:ascii="Times New Roman" w:eastAsia="Times New Roman" w:hAnsi="Times New Roman" w:cs="Times New Roman"/>
          <w:spacing w:val="-1"/>
          <w:sz w:val="24"/>
          <w:szCs w:val="24"/>
          <w:lang w:val="sq-AL"/>
        </w:rPr>
        <w:t xml:space="preserve"> </w:t>
      </w:r>
      <w:r w:rsidRPr="007E2640">
        <w:rPr>
          <w:rFonts w:ascii="Times New Roman" w:eastAsia="Times New Roman" w:hAnsi="Times New Roman" w:cs="Times New Roman"/>
          <w:sz w:val="24"/>
          <w:szCs w:val="24"/>
          <w:lang w:val="sq-AL"/>
        </w:rPr>
        <w:t>vijnë</w:t>
      </w:r>
      <w:r w:rsidRPr="007E2640">
        <w:rPr>
          <w:rFonts w:ascii="Times New Roman" w:eastAsia="Times New Roman" w:hAnsi="Times New Roman" w:cs="Times New Roman"/>
          <w:spacing w:val="-1"/>
          <w:sz w:val="24"/>
          <w:szCs w:val="24"/>
          <w:lang w:val="sq-AL"/>
        </w:rPr>
        <w:t xml:space="preserve"> </w:t>
      </w:r>
      <w:r w:rsidRPr="007E2640">
        <w:rPr>
          <w:rFonts w:ascii="Times New Roman" w:eastAsia="Times New Roman" w:hAnsi="Times New Roman" w:cs="Times New Roman"/>
          <w:sz w:val="24"/>
          <w:szCs w:val="24"/>
          <w:lang w:val="sq-AL"/>
        </w:rPr>
        <w:t>nga</w:t>
      </w:r>
      <w:r w:rsidRPr="007E2640">
        <w:rPr>
          <w:rFonts w:ascii="Times New Roman" w:eastAsia="Times New Roman" w:hAnsi="Times New Roman" w:cs="Times New Roman"/>
          <w:spacing w:val="-1"/>
          <w:sz w:val="24"/>
          <w:szCs w:val="24"/>
          <w:lang w:val="sq-AL"/>
        </w:rPr>
        <w:t xml:space="preserve"> </w:t>
      </w:r>
      <w:r w:rsidRPr="007E2640">
        <w:rPr>
          <w:rFonts w:ascii="Times New Roman" w:eastAsia="Times New Roman" w:hAnsi="Times New Roman" w:cs="Times New Roman"/>
          <w:sz w:val="24"/>
          <w:szCs w:val="24"/>
          <w:lang w:val="sq-AL"/>
        </w:rPr>
        <w:t>aktiviteti i shoqërisë</w:t>
      </w:r>
      <w:r w:rsidRPr="007E2640">
        <w:rPr>
          <w:rFonts w:ascii="Times New Roman" w:eastAsia="Times New Roman" w:hAnsi="Times New Roman" w:cs="Times New Roman"/>
          <w:spacing w:val="-1"/>
          <w:sz w:val="24"/>
          <w:szCs w:val="24"/>
          <w:lang w:val="sq-AL"/>
        </w:rPr>
        <w:t xml:space="preserve"> </w:t>
      </w:r>
      <w:r w:rsidRPr="007E2640">
        <w:rPr>
          <w:rFonts w:ascii="Times New Roman" w:eastAsia="Times New Roman" w:hAnsi="Times New Roman" w:cs="Times New Roman"/>
          <w:sz w:val="24"/>
          <w:szCs w:val="24"/>
          <w:lang w:val="sq-AL"/>
        </w:rPr>
        <w:t>sonë dhe</w:t>
      </w:r>
      <w:r w:rsidRPr="007E2640">
        <w:rPr>
          <w:rFonts w:ascii="Times New Roman" w:eastAsia="Times New Roman" w:hAnsi="Times New Roman" w:cs="Times New Roman"/>
          <w:spacing w:val="-1"/>
          <w:sz w:val="24"/>
          <w:szCs w:val="24"/>
          <w:lang w:val="sq-AL"/>
        </w:rPr>
        <w:t xml:space="preserve"> </w:t>
      </w:r>
      <w:r w:rsidRPr="007E2640">
        <w:rPr>
          <w:rFonts w:ascii="Times New Roman" w:eastAsia="Times New Roman" w:hAnsi="Times New Roman" w:cs="Times New Roman"/>
          <w:sz w:val="24"/>
          <w:szCs w:val="24"/>
          <w:lang w:val="sq-AL"/>
        </w:rPr>
        <w:t>për rrjedhojë, nga përshpejtimi i proceseve natyrore të rrymës ujore. Presionet, në shumë raste, kanë tejkaluar aftësinë përballuese të sistemit lumor (shtrat + rrjedhë ujore), kjo e shfaqur më shumë në shtretërit e lumenjve Ishëm dhe Mat, relativisht dëmshëm në rrjedhën e poshtme të Drinit dhe më pak në atë të Vjosës. Shkalla e dëmtimit në këta shtretër është e ndryshme dhe shkaku më kryesor, është intensiteti i ndryshëm i shfrytëzimit të inerteve lumore. Kjo ka krijuar kushtë të favorshme për një vazhdimësi kryesisht të proçesit të erozionit (por edhe të sedimentimit) duke rrezikuar seriozisht edhe vepra të rëndësishme inxhinierike me interes kombëtar</w:t>
      </w:r>
    </w:p>
    <w:p w:rsidR="007E2640" w:rsidRPr="007E2640" w:rsidRDefault="007E2640" w:rsidP="007E2640">
      <w:pPr>
        <w:widowControl w:val="0"/>
        <w:tabs>
          <w:tab w:val="left" w:pos="1778"/>
        </w:tabs>
        <w:autoSpaceDE w:val="0"/>
        <w:autoSpaceDN w:val="0"/>
        <w:spacing w:after="0" w:line="240" w:lineRule="auto"/>
        <w:outlineLvl w:val="0"/>
        <w:rPr>
          <w:rFonts w:ascii="Times New Roman" w:eastAsia="Times New Roman" w:hAnsi="Times New Roman" w:cs="Times New Roman"/>
          <w:b/>
          <w:bCs/>
          <w:sz w:val="24"/>
          <w:szCs w:val="24"/>
          <w:lang w:val="sq-AL"/>
        </w:rPr>
      </w:pPr>
      <w:r w:rsidRPr="007E2640">
        <w:rPr>
          <w:rFonts w:ascii="Times New Roman" w:eastAsia="Times New Roman" w:hAnsi="Times New Roman" w:cs="Times New Roman"/>
          <w:b/>
          <w:bCs/>
          <w:sz w:val="24"/>
          <w:szCs w:val="24"/>
          <w:lang w:val="sq-AL"/>
        </w:rPr>
        <w:t>Pellgu</w:t>
      </w:r>
      <w:r w:rsidRPr="007E2640">
        <w:rPr>
          <w:rFonts w:ascii="Times New Roman" w:eastAsia="Times New Roman" w:hAnsi="Times New Roman" w:cs="Times New Roman"/>
          <w:b/>
          <w:bCs/>
          <w:spacing w:val="-2"/>
          <w:sz w:val="24"/>
          <w:szCs w:val="24"/>
          <w:lang w:val="sq-AL"/>
        </w:rPr>
        <w:t xml:space="preserve"> </w:t>
      </w:r>
      <w:r w:rsidRPr="007E2640">
        <w:rPr>
          <w:rFonts w:ascii="Times New Roman" w:eastAsia="Times New Roman" w:hAnsi="Times New Roman" w:cs="Times New Roman"/>
          <w:b/>
          <w:bCs/>
          <w:sz w:val="24"/>
          <w:szCs w:val="24"/>
          <w:lang w:val="sq-AL"/>
        </w:rPr>
        <w:t>i</w:t>
      </w:r>
      <w:r w:rsidRPr="007E2640">
        <w:rPr>
          <w:rFonts w:ascii="Times New Roman" w:eastAsia="Times New Roman" w:hAnsi="Times New Roman" w:cs="Times New Roman"/>
          <w:b/>
          <w:bCs/>
          <w:spacing w:val="-1"/>
          <w:sz w:val="24"/>
          <w:szCs w:val="24"/>
          <w:lang w:val="sq-AL"/>
        </w:rPr>
        <w:t xml:space="preserve"> </w:t>
      </w:r>
      <w:r w:rsidRPr="007E2640">
        <w:rPr>
          <w:rFonts w:ascii="Times New Roman" w:eastAsia="Times New Roman" w:hAnsi="Times New Roman" w:cs="Times New Roman"/>
          <w:b/>
          <w:bCs/>
          <w:spacing w:val="-2"/>
          <w:sz w:val="24"/>
          <w:szCs w:val="24"/>
          <w:lang w:val="sq-AL"/>
        </w:rPr>
        <w:t>Drinit</w:t>
      </w:r>
    </w:p>
    <w:p w:rsidR="007E2640" w:rsidRDefault="007E2640" w:rsidP="007E2640">
      <w:pPr>
        <w:jc w:val="both"/>
        <w:rPr>
          <w:rFonts w:ascii="Times New Roman" w:eastAsia="Calibri" w:hAnsi="Times New Roman" w:cs="Times New Roman"/>
          <w:b/>
          <w:sz w:val="24"/>
          <w:szCs w:val="24"/>
          <w:lang w:val="sq-AL"/>
        </w:rPr>
      </w:pPr>
    </w:p>
    <w:p w:rsidR="007E2640" w:rsidRDefault="007E2640" w:rsidP="007E2640">
      <w:pPr>
        <w:jc w:val="both"/>
        <w:rPr>
          <w:rFonts w:ascii="Times New Roman" w:eastAsia="Times New Roman" w:hAnsi="Times New Roman" w:cs="Times New Roman"/>
          <w:lang w:val="sq-AL"/>
        </w:rPr>
      </w:pPr>
      <w:r w:rsidRPr="007E2640">
        <w:rPr>
          <w:rFonts w:ascii="Times New Roman" w:eastAsia="Times New Roman" w:hAnsi="Times New Roman" w:cs="Times New Roman"/>
          <w:lang w:val="sq-AL"/>
        </w:rPr>
        <w:t>Nga matjet e kryera në profilet e monitorimit në shtetërit e degëve të lumit Drin për periudhën 2022-2025 dhe nga vrojtimet e bëra për një periudhë më të gjatë kohe evidentohen problemet e mëposhtme</w:t>
      </w:r>
      <w:r>
        <w:rPr>
          <w:rFonts w:ascii="Times New Roman" w:eastAsia="Times New Roman" w:hAnsi="Times New Roman" w:cs="Times New Roman"/>
          <w:lang w:val="sq-AL"/>
        </w:rPr>
        <w:t>;</w:t>
      </w:r>
    </w:p>
    <w:p w:rsidR="007E2640" w:rsidRDefault="007E2640" w:rsidP="00807975">
      <w:pPr>
        <w:pStyle w:val="ListParagraph"/>
        <w:numPr>
          <w:ilvl w:val="0"/>
          <w:numId w:val="88"/>
        </w:numPr>
        <w:jc w:val="both"/>
      </w:pPr>
      <w:r w:rsidRPr="007E2640">
        <w:rPr>
          <w:rFonts w:ascii="Times New Roman" w:eastAsia="Times New Roman" w:hAnsi="Times New Roman" w:cs="Times New Roman"/>
          <w:sz w:val="24"/>
          <w:lang w:val="sq-AL"/>
        </w:rPr>
        <w:t xml:space="preserve">Ulje e shtratit për shkak të marrjes së inerteve dhe degradim i strukturës së shtratit të </w:t>
      </w:r>
      <w:r w:rsidRPr="007E2640">
        <w:rPr>
          <w:rFonts w:ascii="Times New Roman" w:eastAsia="Times New Roman" w:hAnsi="Times New Roman" w:cs="Times New Roman"/>
          <w:sz w:val="24"/>
          <w:lang w:val="sq-AL"/>
        </w:rPr>
        <w:lastRenderedPageBreak/>
        <w:t>rrjedhës në sektorë të caktuar. Më problematik paraqitet segmenti nga Ura e Spatharës e deri në bashkimin e Drinit me lumin Kir. Në këtë segment mungojnë tërësisht prurjet inerte dhe ulja e disnivelit të shtratit midis këtyre dy pikave shkakton qëndrim më të gjatë të ujit gjatë përmbytjeve të zonës. Po kështu kemi ulje edhe në të dy profilet mbi lumin e Gjadrit</w:t>
      </w:r>
    </w:p>
    <w:p w:rsidR="007E2640" w:rsidRPr="007E2640" w:rsidRDefault="007E2640" w:rsidP="00807975">
      <w:pPr>
        <w:pStyle w:val="ListParagraph"/>
        <w:widowControl w:val="0"/>
        <w:numPr>
          <w:ilvl w:val="0"/>
          <w:numId w:val="88"/>
        </w:numPr>
        <w:tabs>
          <w:tab w:val="left" w:pos="1263"/>
        </w:tabs>
        <w:autoSpaceDE w:val="0"/>
        <w:autoSpaceDN w:val="0"/>
        <w:spacing w:before="64" w:after="0" w:line="240" w:lineRule="auto"/>
        <w:rPr>
          <w:rFonts w:ascii="Times New Roman" w:eastAsia="Times New Roman" w:hAnsi="Times New Roman" w:cs="Times New Roman"/>
          <w:sz w:val="24"/>
          <w:lang w:val="sq-AL"/>
        </w:rPr>
      </w:pPr>
      <w:r w:rsidRPr="007E2640">
        <w:rPr>
          <w:rFonts w:ascii="Times New Roman" w:eastAsia="Times New Roman" w:hAnsi="Times New Roman" w:cs="Times New Roman"/>
          <w:sz w:val="24"/>
          <w:lang w:val="sq-AL"/>
        </w:rPr>
        <w:t>Erozioni</w:t>
      </w:r>
      <w:r w:rsidRPr="007E2640">
        <w:rPr>
          <w:rFonts w:ascii="Times New Roman" w:eastAsia="Times New Roman" w:hAnsi="Times New Roman" w:cs="Times New Roman"/>
          <w:spacing w:val="-3"/>
          <w:sz w:val="24"/>
          <w:lang w:val="sq-AL"/>
        </w:rPr>
        <w:t xml:space="preserve"> </w:t>
      </w:r>
      <w:r w:rsidRPr="007E2640">
        <w:rPr>
          <w:rFonts w:ascii="Times New Roman" w:eastAsia="Times New Roman" w:hAnsi="Times New Roman" w:cs="Times New Roman"/>
          <w:sz w:val="24"/>
          <w:lang w:val="sq-AL"/>
        </w:rPr>
        <w:t>i</w:t>
      </w:r>
      <w:r w:rsidRPr="007E2640">
        <w:rPr>
          <w:rFonts w:ascii="Times New Roman" w:eastAsia="Times New Roman" w:hAnsi="Times New Roman" w:cs="Times New Roman"/>
          <w:spacing w:val="-2"/>
          <w:sz w:val="24"/>
          <w:lang w:val="sq-AL"/>
        </w:rPr>
        <w:t xml:space="preserve"> </w:t>
      </w:r>
      <w:r w:rsidRPr="007E2640">
        <w:rPr>
          <w:rFonts w:ascii="Times New Roman" w:eastAsia="Times New Roman" w:hAnsi="Times New Roman" w:cs="Times New Roman"/>
          <w:sz w:val="24"/>
          <w:lang w:val="sq-AL"/>
        </w:rPr>
        <w:t>tarracës</w:t>
      </w:r>
      <w:r w:rsidRPr="007E2640">
        <w:rPr>
          <w:rFonts w:ascii="Times New Roman" w:eastAsia="Times New Roman" w:hAnsi="Times New Roman" w:cs="Times New Roman"/>
          <w:spacing w:val="-1"/>
          <w:sz w:val="24"/>
          <w:lang w:val="sq-AL"/>
        </w:rPr>
        <w:t xml:space="preserve"> </w:t>
      </w:r>
      <w:r w:rsidRPr="007E2640">
        <w:rPr>
          <w:rFonts w:ascii="Times New Roman" w:eastAsia="Times New Roman" w:hAnsi="Times New Roman" w:cs="Times New Roman"/>
          <w:sz w:val="24"/>
          <w:lang w:val="sq-AL"/>
        </w:rPr>
        <w:t>së shtratit (foto</w:t>
      </w:r>
      <w:r w:rsidRPr="007E2640">
        <w:rPr>
          <w:rFonts w:ascii="Times New Roman" w:eastAsia="Times New Roman" w:hAnsi="Times New Roman" w:cs="Times New Roman"/>
          <w:spacing w:val="-1"/>
          <w:sz w:val="24"/>
          <w:lang w:val="sq-AL"/>
        </w:rPr>
        <w:t xml:space="preserve"> </w:t>
      </w:r>
      <w:r w:rsidRPr="007E2640">
        <w:rPr>
          <w:rFonts w:ascii="Times New Roman" w:eastAsia="Times New Roman" w:hAnsi="Times New Roman" w:cs="Times New Roman"/>
          <w:sz w:val="24"/>
          <w:lang w:val="sq-AL"/>
        </w:rPr>
        <w:t>3) dhe tokës</w:t>
      </w:r>
      <w:r w:rsidRPr="007E2640">
        <w:rPr>
          <w:rFonts w:ascii="Times New Roman" w:eastAsia="Times New Roman" w:hAnsi="Times New Roman" w:cs="Times New Roman"/>
          <w:spacing w:val="1"/>
          <w:sz w:val="24"/>
          <w:lang w:val="sq-AL"/>
        </w:rPr>
        <w:t xml:space="preserve"> </w:t>
      </w:r>
      <w:r w:rsidRPr="007E2640">
        <w:rPr>
          <w:rFonts w:ascii="Times New Roman" w:eastAsia="Times New Roman" w:hAnsi="Times New Roman" w:cs="Times New Roman"/>
          <w:sz w:val="24"/>
          <w:lang w:val="sq-AL"/>
        </w:rPr>
        <w:t>bujqësore</w:t>
      </w:r>
      <w:r w:rsidRPr="007E2640">
        <w:rPr>
          <w:rFonts w:ascii="Times New Roman" w:eastAsia="Times New Roman" w:hAnsi="Times New Roman" w:cs="Times New Roman"/>
          <w:spacing w:val="-2"/>
          <w:sz w:val="24"/>
          <w:lang w:val="sq-AL"/>
        </w:rPr>
        <w:t xml:space="preserve"> </w:t>
      </w:r>
      <w:r w:rsidRPr="007E2640">
        <w:rPr>
          <w:rFonts w:ascii="Times New Roman" w:eastAsia="Times New Roman" w:hAnsi="Times New Roman" w:cs="Times New Roman"/>
          <w:sz w:val="24"/>
          <w:lang w:val="sq-AL"/>
        </w:rPr>
        <w:t>në</w:t>
      </w:r>
      <w:r w:rsidRPr="007E2640">
        <w:rPr>
          <w:rFonts w:ascii="Times New Roman" w:eastAsia="Times New Roman" w:hAnsi="Times New Roman" w:cs="Times New Roman"/>
          <w:spacing w:val="-2"/>
          <w:sz w:val="24"/>
          <w:lang w:val="sq-AL"/>
        </w:rPr>
        <w:t xml:space="preserve"> </w:t>
      </w:r>
      <w:r w:rsidRPr="007E2640">
        <w:rPr>
          <w:rFonts w:ascii="Times New Roman" w:eastAsia="Times New Roman" w:hAnsi="Times New Roman" w:cs="Times New Roman"/>
          <w:sz w:val="24"/>
          <w:lang w:val="sq-AL"/>
        </w:rPr>
        <w:t>sektorë</w:t>
      </w:r>
      <w:r w:rsidRPr="007E2640">
        <w:rPr>
          <w:rFonts w:ascii="Times New Roman" w:eastAsia="Times New Roman" w:hAnsi="Times New Roman" w:cs="Times New Roman"/>
          <w:spacing w:val="-1"/>
          <w:sz w:val="24"/>
          <w:lang w:val="sq-AL"/>
        </w:rPr>
        <w:t xml:space="preserve"> </w:t>
      </w:r>
      <w:r w:rsidRPr="007E2640">
        <w:rPr>
          <w:rFonts w:ascii="Times New Roman" w:eastAsia="Times New Roman" w:hAnsi="Times New Roman" w:cs="Times New Roman"/>
          <w:sz w:val="24"/>
          <w:lang w:val="sq-AL"/>
        </w:rPr>
        <w:t>të</w:t>
      </w:r>
      <w:r w:rsidRPr="007E2640">
        <w:rPr>
          <w:rFonts w:ascii="Times New Roman" w:eastAsia="Times New Roman" w:hAnsi="Times New Roman" w:cs="Times New Roman"/>
          <w:spacing w:val="1"/>
          <w:sz w:val="24"/>
          <w:lang w:val="sq-AL"/>
        </w:rPr>
        <w:t xml:space="preserve"> </w:t>
      </w:r>
      <w:r w:rsidRPr="007E2640">
        <w:rPr>
          <w:rFonts w:ascii="Times New Roman" w:eastAsia="Times New Roman" w:hAnsi="Times New Roman" w:cs="Times New Roman"/>
          <w:sz w:val="24"/>
          <w:lang w:val="sq-AL"/>
        </w:rPr>
        <w:t>caktuar</w:t>
      </w:r>
      <w:r w:rsidRPr="007E2640">
        <w:rPr>
          <w:rFonts w:ascii="Times New Roman" w:eastAsia="Times New Roman" w:hAnsi="Times New Roman" w:cs="Times New Roman"/>
          <w:spacing w:val="-3"/>
          <w:sz w:val="24"/>
          <w:lang w:val="sq-AL"/>
        </w:rPr>
        <w:t xml:space="preserve"> </w:t>
      </w:r>
      <w:r w:rsidRPr="007E2640">
        <w:rPr>
          <w:rFonts w:ascii="Times New Roman" w:eastAsia="Times New Roman" w:hAnsi="Times New Roman" w:cs="Times New Roman"/>
          <w:sz w:val="24"/>
          <w:lang w:val="sq-AL"/>
        </w:rPr>
        <w:t xml:space="preserve">sidomos në </w:t>
      </w:r>
      <w:r w:rsidRPr="007E2640">
        <w:rPr>
          <w:rFonts w:ascii="Times New Roman" w:eastAsia="Times New Roman" w:hAnsi="Times New Roman" w:cs="Times New Roman"/>
          <w:spacing w:val="-2"/>
          <w:sz w:val="24"/>
          <w:lang w:val="sq-AL"/>
        </w:rPr>
        <w:t>Bunë.</w:t>
      </w:r>
    </w:p>
    <w:p w:rsidR="007E2640" w:rsidRPr="007E2640" w:rsidRDefault="007E2640" w:rsidP="00807975">
      <w:pPr>
        <w:pStyle w:val="ListParagraph"/>
        <w:widowControl w:val="0"/>
        <w:numPr>
          <w:ilvl w:val="0"/>
          <w:numId w:val="88"/>
        </w:numPr>
        <w:tabs>
          <w:tab w:val="left" w:pos="1263"/>
        </w:tabs>
        <w:autoSpaceDE w:val="0"/>
        <w:autoSpaceDN w:val="0"/>
        <w:spacing w:before="12" w:after="0" w:line="311" w:lineRule="exact"/>
        <w:rPr>
          <w:rFonts w:ascii="Times New Roman" w:eastAsia="Times New Roman" w:hAnsi="Times New Roman" w:cs="Times New Roman"/>
          <w:sz w:val="24"/>
          <w:lang w:val="sq-AL"/>
        </w:rPr>
      </w:pPr>
      <w:r w:rsidRPr="007E2640">
        <w:rPr>
          <w:rFonts w:ascii="Times New Roman" w:eastAsia="Times New Roman" w:hAnsi="Times New Roman" w:cs="Times New Roman"/>
          <w:sz w:val="24"/>
          <w:lang w:val="sq-AL"/>
        </w:rPr>
        <w:t>Rrezikime</w:t>
      </w:r>
      <w:r w:rsidRPr="007E2640">
        <w:rPr>
          <w:rFonts w:ascii="Times New Roman" w:eastAsia="Times New Roman" w:hAnsi="Times New Roman" w:cs="Times New Roman"/>
          <w:spacing w:val="-3"/>
          <w:sz w:val="24"/>
          <w:lang w:val="sq-AL"/>
        </w:rPr>
        <w:t xml:space="preserve"> </w:t>
      </w:r>
      <w:r w:rsidRPr="007E2640">
        <w:rPr>
          <w:rFonts w:ascii="Times New Roman" w:eastAsia="Times New Roman" w:hAnsi="Times New Roman" w:cs="Times New Roman"/>
          <w:sz w:val="24"/>
          <w:lang w:val="sq-AL"/>
        </w:rPr>
        <w:t>apo</w:t>
      </w:r>
      <w:r w:rsidRPr="007E2640">
        <w:rPr>
          <w:rFonts w:ascii="Times New Roman" w:eastAsia="Times New Roman" w:hAnsi="Times New Roman" w:cs="Times New Roman"/>
          <w:spacing w:val="-1"/>
          <w:sz w:val="24"/>
          <w:lang w:val="sq-AL"/>
        </w:rPr>
        <w:t xml:space="preserve"> </w:t>
      </w:r>
      <w:r w:rsidRPr="007E2640">
        <w:rPr>
          <w:rFonts w:ascii="Times New Roman" w:eastAsia="Times New Roman" w:hAnsi="Times New Roman" w:cs="Times New Roman"/>
          <w:sz w:val="24"/>
          <w:lang w:val="sq-AL"/>
        </w:rPr>
        <w:t>prishje</w:t>
      </w:r>
      <w:r w:rsidRPr="007E2640">
        <w:rPr>
          <w:rFonts w:ascii="Times New Roman" w:eastAsia="Times New Roman" w:hAnsi="Times New Roman" w:cs="Times New Roman"/>
          <w:spacing w:val="-1"/>
          <w:sz w:val="24"/>
          <w:lang w:val="sq-AL"/>
        </w:rPr>
        <w:t xml:space="preserve"> </w:t>
      </w:r>
      <w:r w:rsidRPr="007E2640">
        <w:rPr>
          <w:rFonts w:ascii="Times New Roman" w:eastAsia="Times New Roman" w:hAnsi="Times New Roman" w:cs="Times New Roman"/>
          <w:sz w:val="24"/>
          <w:lang w:val="sq-AL"/>
        </w:rPr>
        <w:t>të</w:t>
      </w:r>
      <w:r w:rsidRPr="007E2640">
        <w:rPr>
          <w:rFonts w:ascii="Times New Roman" w:eastAsia="Times New Roman" w:hAnsi="Times New Roman" w:cs="Times New Roman"/>
          <w:spacing w:val="-2"/>
          <w:sz w:val="24"/>
          <w:lang w:val="sq-AL"/>
        </w:rPr>
        <w:t xml:space="preserve"> </w:t>
      </w:r>
      <w:r w:rsidRPr="007E2640">
        <w:rPr>
          <w:rFonts w:ascii="Times New Roman" w:eastAsia="Times New Roman" w:hAnsi="Times New Roman" w:cs="Times New Roman"/>
          <w:sz w:val="24"/>
          <w:lang w:val="sq-AL"/>
        </w:rPr>
        <w:t>objekteve</w:t>
      </w:r>
      <w:r w:rsidRPr="007E2640">
        <w:rPr>
          <w:rFonts w:ascii="Times New Roman" w:eastAsia="Times New Roman" w:hAnsi="Times New Roman" w:cs="Times New Roman"/>
          <w:spacing w:val="-1"/>
          <w:sz w:val="24"/>
          <w:lang w:val="sq-AL"/>
        </w:rPr>
        <w:t xml:space="preserve"> </w:t>
      </w:r>
      <w:r w:rsidRPr="007E2640">
        <w:rPr>
          <w:rFonts w:ascii="Times New Roman" w:eastAsia="Times New Roman" w:hAnsi="Times New Roman" w:cs="Times New Roman"/>
          <w:sz w:val="24"/>
          <w:lang w:val="sq-AL"/>
        </w:rPr>
        <w:t>inxhinjerike</w:t>
      </w:r>
      <w:r w:rsidRPr="007E2640">
        <w:rPr>
          <w:rFonts w:ascii="Times New Roman" w:eastAsia="Times New Roman" w:hAnsi="Times New Roman" w:cs="Times New Roman"/>
          <w:spacing w:val="-2"/>
          <w:sz w:val="24"/>
          <w:lang w:val="sq-AL"/>
        </w:rPr>
        <w:t xml:space="preserve"> </w:t>
      </w:r>
      <w:r w:rsidRPr="007E2640">
        <w:rPr>
          <w:rFonts w:ascii="Times New Roman" w:eastAsia="Times New Roman" w:hAnsi="Times New Roman" w:cs="Times New Roman"/>
          <w:sz w:val="24"/>
          <w:lang w:val="sq-AL"/>
        </w:rPr>
        <w:t>(prishja</w:t>
      </w:r>
      <w:r w:rsidRPr="007E2640">
        <w:rPr>
          <w:rFonts w:ascii="Times New Roman" w:eastAsia="Times New Roman" w:hAnsi="Times New Roman" w:cs="Times New Roman"/>
          <w:spacing w:val="-2"/>
          <w:sz w:val="24"/>
          <w:lang w:val="sq-AL"/>
        </w:rPr>
        <w:t xml:space="preserve"> </w:t>
      </w:r>
      <w:r w:rsidRPr="007E2640">
        <w:rPr>
          <w:rFonts w:ascii="Times New Roman" w:eastAsia="Times New Roman" w:hAnsi="Times New Roman" w:cs="Times New Roman"/>
          <w:sz w:val="24"/>
          <w:lang w:val="sq-AL"/>
        </w:rPr>
        <w:t>e</w:t>
      </w:r>
      <w:r w:rsidRPr="007E2640">
        <w:rPr>
          <w:rFonts w:ascii="Times New Roman" w:eastAsia="Times New Roman" w:hAnsi="Times New Roman" w:cs="Times New Roman"/>
          <w:spacing w:val="-1"/>
          <w:sz w:val="24"/>
          <w:lang w:val="sq-AL"/>
        </w:rPr>
        <w:t xml:space="preserve"> </w:t>
      </w:r>
      <w:r w:rsidRPr="007E2640">
        <w:rPr>
          <w:rFonts w:ascii="Times New Roman" w:eastAsia="Times New Roman" w:hAnsi="Times New Roman" w:cs="Times New Roman"/>
          <w:sz w:val="24"/>
          <w:lang w:val="sq-AL"/>
        </w:rPr>
        <w:t>Urës</w:t>
      </w:r>
      <w:r w:rsidRPr="007E2640">
        <w:rPr>
          <w:rFonts w:ascii="Times New Roman" w:eastAsia="Times New Roman" w:hAnsi="Times New Roman" w:cs="Times New Roman"/>
          <w:spacing w:val="-1"/>
          <w:sz w:val="24"/>
          <w:lang w:val="sq-AL"/>
        </w:rPr>
        <w:t xml:space="preserve"> </w:t>
      </w:r>
      <w:r w:rsidRPr="007E2640">
        <w:rPr>
          <w:rFonts w:ascii="Times New Roman" w:eastAsia="Times New Roman" w:hAnsi="Times New Roman" w:cs="Times New Roman"/>
          <w:sz w:val="24"/>
          <w:lang w:val="sq-AL"/>
        </w:rPr>
        <w:t>së vjetër në</w:t>
      </w:r>
      <w:r w:rsidRPr="007E2640">
        <w:rPr>
          <w:rFonts w:ascii="Times New Roman" w:eastAsia="Times New Roman" w:hAnsi="Times New Roman" w:cs="Times New Roman"/>
          <w:spacing w:val="-1"/>
          <w:sz w:val="24"/>
          <w:lang w:val="sq-AL"/>
        </w:rPr>
        <w:t xml:space="preserve"> </w:t>
      </w:r>
      <w:r w:rsidRPr="007E2640">
        <w:rPr>
          <w:rFonts w:ascii="Times New Roman" w:eastAsia="Times New Roman" w:hAnsi="Times New Roman" w:cs="Times New Roman"/>
          <w:spacing w:val="-2"/>
          <w:sz w:val="24"/>
          <w:lang w:val="sq-AL"/>
        </w:rPr>
        <w:t>Ba</w:t>
      </w:r>
      <w:r w:rsidRPr="007E2640">
        <w:rPr>
          <w:rFonts w:ascii="Sylfaen" w:eastAsia="Times New Roman" w:hAnsi="Sylfaen" w:cs="Times New Roman"/>
          <w:spacing w:val="-2"/>
          <w:sz w:val="24"/>
          <w:lang w:val="sq-AL"/>
        </w:rPr>
        <w:t>çallëk)</w:t>
      </w:r>
      <w:r w:rsidRPr="007E2640">
        <w:rPr>
          <w:rFonts w:ascii="Times New Roman" w:eastAsia="Times New Roman" w:hAnsi="Times New Roman" w:cs="Times New Roman"/>
          <w:spacing w:val="-2"/>
          <w:sz w:val="24"/>
          <w:lang w:val="sq-AL"/>
        </w:rPr>
        <w:t>.</w:t>
      </w:r>
    </w:p>
    <w:p w:rsidR="00B100E9" w:rsidRDefault="007E2640" w:rsidP="00807975">
      <w:pPr>
        <w:pStyle w:val="ListParagraph"/>
        <w:numPr>
          <w:ilvl w:val="0"/>
          <w:numId w:val="88"/>
        </w:numPr>
        <w:spacing w:after="200" w:line="276" w:lineRule="auto"/>
        <w:rPr>
          <w:rFonts w:ascii="Times New Roman" w:eastAsia="Times New Roman" w:hAnsi="Times New Roman" w:cs="Times New Roman"/>
          <w:spacing w:val="-2"/>
          <w:sz w:val="24"/>
          <w:lang w:val="sq-AL"/>
        </w:rPr>
      </w:pPr>
      <w:r w:rsidRPr="007E2640">
        <w:rPr>
          <w:rFonts w:ascii="Times New Roman" w:eastAsia="Times New Roman" w:hAnsi="Times New Roman" w:cs="Times New Roman"/>
          <w:sz w:val="24"/>
          <w:lang w:val="sq-AL"/>
        </w:rPr>
        <w:t>Përmbytje</w:t>
      </w:r>
      <w:r w:rsidRPr="007E2640">
        <w:rPr>
          <w:rFonts w:ascii="Times New Roman" w:eastAsia="Times New Roman" w:hAnsi="Times New Roman" w:cs="Times New Roman"/>
          <w:spacing w:val="-2"/>
          <w:sz w:val="24"/>
          <w:lang w:val="sq-AL"/>
        </w:rPr>
        <w:t xml:space="preserve"> </w:t>
      </w:r>
      <w:r w:rsidRPr="007E2640">
        <w:rPr>
          <w:rFonts w:ascii="Times New Roman" w:eastAsia="Times New Roman" w:hAnsi="Times New Roman" w:cs="Times New Roman"/>
          <w:sz w:val="24"/>
          <w:lang w:val="sq-AL"/>
        </w:rPr>
        <w:t>të</w:t>
      </w:r>
      <w:r w:rsidRPr="007E2640">
        <w:rPr>
          <w:rFonts w:ascii="Times New Roman" w:eastAsia="Times New Roman" w:hAnsi="Times New Roman" w:cs="Times New Roman"/>
          <w:spacing w:val="-1"/>
          <w:sz w:val="24"/>
          <w:lang w:val="sq-AL"/>
        </w:rPr>
        <w:t xml:space="preserve"> </w:t>
      </w:r>
      <w:r w:rsidRPr="007E2640">
        <w:rPr>
          <w:rFonts w:ascii="Times New Roman" w:eastAsia="Times New Roman" w:hAnsi="Times New Roman" w:cs="Times New Roman"/>
          <w:sz w:val="24"/>
          <w:lang w:val="sq-AL"/>
        </w:rPr>
        <w:t>shpeshta</w:t>
      </w:r>
      <w:r w:rsidRPr="007E2640">
        <w:rPr>
          <w:rFonts w:ascii="Times New Roman" w:eastAsia="Times New Roman" w:hAnsi="Times New Roman" w:cs="Times New Roman"/>
          <w:spacing w:val="-1"/>
          <w:sz w:val="24"/>
          <w:lang w:val="sq-AL"/>
        </w:rPr>
        <w:t xml:space="preserve"> </w:t>
      </w:r>
      <w:r w:rsidRPr="007E2640">
        <w:rPr>
          <w:rFonts w:ascii="Times New Roman" w:eastAsia="Times New Roman" w:hAnsi="Times New Roman" w:cs="Times New Roman"/>
          <w:sz w:val="24"/>
          <w:lang w:val="sq-AL"/>
        </w:rPr>
        <w:t>të zonës</w:t>
      </w:r>
      <w:r w:rsidRPr="007E2640">
        <w:rPr>
          <w:rFonts w:ascii="Times New Roman" w:eastAsia="Times New Roman" w:hAnsi="Times New Roman" w:cs="Times New Roman"/>
          <w:spacing w:val="-1"/>
          <w:sz w:val="24"/>
          <w:lang w:val="sq-AL"/>
        </w:rPr>
        <w:t xml:space="preserve"> </w:t>
      </w:r>
      <w:r w:rsidRPr="007E2640">
        <w:rPr>
          <w:rFonts w:ascii="Times New Roman" w:eastAsia="Times New Roman" w:hAnsi="Times New Roman" w:cs="Times New Roman"/>
          <w:sz w:val="24"/>
          <w:lang w:val="sq-AL"/>
        </w:rPr>
        <w:t>së</w:t>
      </w:r>
      <w:r w:rsidRPr="007E2640">
        <w:rPr>
          <w:rFonts w:ascii="Times New Roman" w:eastAsia="Times New Roman" w:hAnsi="Times New Roman" w:cs="Times New Roman"/>
          <w:spacing w:val="-1"/>
          <w:sz w:val="24"/>
          <w:lang w:val="sq-AL"/>
        </w:rPr>
        <w:t xml:space="preserve"> </w:t>
      </w:r>
      <w:r w:rsidRPr="007E2640">
        <w:rPr>
          <w:rFonts w:ascii="Times New Roman" w:eastAsia="Times New Roman" w:hAnsi="Times New Roman" w:cs="Times New Roman"/>
          <w:spacing w:val="-2"/>
          <w:sz w:val="24"/>
          <w:lang w:val="sq-AL"/>
        </w:rPr>
        <w:t>Nënshkodrës</w:t>
      </w:r>
      <w:r w:rsidR="006368CB">
        <w:rPr>
          <w:rFonts w:ascii="Times New Roman" w:eastAsia="Times New Roman" w:hAnsi="Times New Roman" w:cs="Times New Roman"/>
          <w:spacing w:val="-2"/>
          <w:sz w:val="24"/>
          <w:lang w:val="sq-AL"/>
        </w:rPr>
        <w:t>.</w:t>
      </w:r>
    </w:p>
    <w:p w:rsidR="007E2640" w:rsidRDefault="007E2640" w:rsidP="007E2640">
      <w:pPr>
        <w:pStyle w:val="ListParagraph"/>
        <w:spacing w:after="200" w:line="276" w:lineRule="auto"/>
        <w:rPr>
          <w:rFonts w:ascii="Times New Roman" w:eastAsia="Times New Roman" w:hAnsi="Times New Roman" w:cs="Times New Roman"/>
          <w:spacing w:val="-2"/>
          <w:sz w:val="24"/>
          <w:lang w:val="sq-AL"/>
        </w:rPr>
      </w:pPr>
    </w:p>
    <w:p w:rsidR="007E2640" w:rsidRDefault="00465EBF" w:rsidP="00763DC7">
      <w:pPr>
        <w:pStyle w:val="ListParagraph"/>
        <w:spacing w:after="200" w:line="276" w:lineRule="auto"/>
        <w:jc w:val="center"/>
        <w:rPr>
          <w:rFonts w:ascii="Times New Roman" w:eastAsia="Times New Roman" w:hAnsi="Times New Roman" w:cs="Times New Roman"/>
          <w:spacing w:val="-2"/>
          <w:sz w:val="24"/>
          <w:lang w:val="sq-AL"/>
        </w:rPr>
      </w:pPr>
      <w:r>
        <w:rPr>
          <w:rFonts w:ascii="Times New Roman" w:eastAsia="Times New Roman" w:hAnsi="Times New Roman" w:cs="Times New Roman"/>
          <w:lang w:val="sq-AL"/>
        </w:rPr>
        <w:t xml:space="preserve">Tabela 27. </w:t>
      </w:r>
      <w:r w:rsidR="007E2640" w:rsidRPr="007E2640">
        <w:rPr>
          <w:rFonts w:ascii="Times New Roman" w:eastAsia="Times New Roman" w:hAnsi="Times New Roman" w:cs="Times New Roman"/>
          <w:lang w:val="sq-AL"/>
        </w:rPr>
        <w:t>Ndryshimet</w:t>
      </w:r>
      <w:r w:rsidR="007E2640" w:rsidRPr="007E2640">
        <w:rPr>
          <w:rFonts w:ascii="Times New Roman" w:eastAsia="Times New Roman" w:hAnsi="Times New Roman" w:cs="Times New Roman"/>
          <w:spacing w:val="-5"/>
          <w:lang w:val="sq-AL"/>
        </w:rPr>
        <w:t xml:space="preserve"> </w:t>
      </w:r>
      <w:r w:rsidR="007E2640" w:rsidRPr="007E2640">
        <w:rPr>
          <w:rFonts w:ascii="Times New Roman" w:eastAsia="Times New Roman" w:hAnsi="Times New Roman" w:cs="Times New Roman"/>
          <w:lang w:val="sq-AL"/>
        </w:rPr>
        <w:t>në</w:t>
      </w:r>
      <w:r w:rsidR="007E2640" w:rsidRPr="007E2640">
        <w:rPr>
          <w:rFonts w:ascii="Times New Roman" w:eastAsia="Times New Roman" w:hAnsi="Times New Roman" w:cs="Times New Roman"/>
          <w:spacing w:val="-3"/>
          <w:lang w:val="sq-AL"/>
        </w:rPr>
        <w:t xml:space="preserve"> </w:t>
      </w:r>
      <w:r w:rsidR="007E2640" w:rsidRPr="007E2640">
        <w:rPr>
          <w:rFonts w:ascii="Times New Roman" w:eastAsia="Times New Roman" w:hAnsi="Times New Roman" w:cs="Times New Roman"/>
          <w:lang w:val="sq-AL"/>
        </w:rPr>
        <w:t>profilet</w:t>
      </w:r>
      <w:r w:rsidR="007E2640" w:rsidRPr="007E2640">
        <w:rPr>
          <w:rFonts w:ascii="Times New Roman" w:eastAsia="Times New Roman" w:hAnsi="Times New Roman" w:cs="Times New Roman"/>
          <w:spacing w:val="-3"/>
          <w:lang w:val="sq-AL"/>
        </w:rPr>
        <w:t xml:space="preserve"> </w:t>
      </w:r>
      <w:r w:rsidR="007E2640" w:rsidRPr="007E2640">
        <w:rPr>
          <w:rFonts w:ascii="Times New Roman" w:eastAsia="Times New Roman" w:hAnsi="Times New Roman" w:cs="Times New Roman"/>
          <w:lang w:val="sq-AL"/>
        </w:rPr>
        <w:t>e</w:t>
      </w:r>
      <w:r w:rsidR="007E2640" w:rsidRPr="007E2640">
        <w:rPr>
          <w:rFonts w:ascii="Times New Roman" w:eastAsia="Times New Roman" w:hAnsi="Times New Roman" w:cs="Times New Roman"/>
          <w:spacing w:val="-5"/>
          <w:lang w:val="sq-AL"/>
        </w:rPr>
        <w:t xml:space="preserve"> </w:t>
      </w:r>
      <w:r w:rsidR="007E2640" w:rsidRPr="007E2640">
        <w:rPr>
          <w:rFonts w:ascii="Times New Roman" w:eastAsia="Times New Roman" w:hAnsi="Times New Roman" w:cs="Times New Roman"/>
          <w:lang w:val="sq-AL"/>
        </w:rPr>
        <w:t>monitorimit</w:t>
      </w:r>
      <w:r w:rsidR="007E2640" w:rsidRPr="007E2640">
        <w:rPr>
          <w:rFonts w:ascii="Times New Roman" w:eastAsia="Times New Roman" w:hAnsi="Times New Roman" w:cs="Times New Roman"/>
          <w:spacing w:val="-4"/>
          <w:lang w:val="sq-AL"/>
        </w:rPr>
        <w:t xml:space="preserve"> </w:t>
      </w:r>
      <w:r w:rsidR="007E2640" w:rsidRPr="007E2640">
        <w:rPr>
          <w:rFonts w:ascii="Times New Roman" w:eastAsia="Times New Roman" w:hAnsi="Times New Roman" w:cs="Times New Roman"/>
          <w:lang w:val="sq-AL"/>
        </w:rPr>
        <w:t>në</w:t>
      </w:r>
      <w:r w:rsidR="007E2640" w:rsidRPr="007E2640">
        <w:rPr>
          <w:rFonts w:ascii="Times New Roman" w:eastAsia="Times New Roman" w:hAnsi="Times New Roman" w:cs="Times New Roman"/>
          <w:spacing w:val="-3"/>
          <w:lang w:val="sq-AL"/>
        </w:rPr>
        <w:t xml:space="preserve"> </w:t>
      </w:r>
      <w:r w:rsidR="007E2640" w:rsidRPr="007E2640">
        <w:rPr>
          <w:rFonts w:ascii="Times New Roman" w:eastAsia="Times New Roman" w:hAnsi="Times New Roman" w:cs="Times New Roman"/>
          <w:lang w:val="sq-AL"/>
        </w:rPr>
        <w:t>degët</w:t>
      </w:r>
      <w:r w:rsidR="007E2640" w:rsidRPr="007E2640">
        <w:rPr>
          <w:rFonts w:ascii="Times New Roman" w:eastAsia="Times New Roman" w:hAnsi="Times New Roman" w:cs="Times New Roman"/>
          <w:spacing w:val="-4"/>
          <w:lang w:val="sq-AL"/>
        </w:rPr>
        <w:t xml:space="preserve"> </w:t>
      </w:r>
      <w:r w:rsidR="007E2640" w:rsidRPr="007E2640">
        <w:rPr>
          <w:rFonts w:ascii="Times New Roman" w:eastAsia="Times New Roman" w:hAnsi="Times New Roman" w:cs="Times New Roman"/>
          <w:lang w:val="sq-AL"/>
        </w:rPr>
        <w:t>e</w:t>
      </w:r>
      <w:r w:rsidR="007E2640" w:rsidRPr="007E2640">
        <w:rPr>
          <w:rFonts w:ascii="Times New Roman" w:eastAsia="Times New Roman" w:hAnsi="Times New Roman" w:cs="Times New Roman"/>
          <w:spacing w:val="-4"/>
          <w:lang w:val="sq-AL"/>
        </w:rPr>
        <w:t xml:space="preserve"> </w:t>
      </w:r>
      <w:r w:rsidR="007E2640" w:rsidRPr="007E2640">
        <w:rPr>
          <w:rFonts w:ascii="Times New Roman" w:eastAsia="Times New Roman" w:hAnsi="Times New Roman" w:cs="Times New Roman"/>
          <w:lang w:val="sq-AL"/>
        </w:rPr>
        <w:t>lumenjve</w:t>
      </w:r>
      <w:r w:rsidR="007E2640" w:rsidRPr="007E2640">
        <w:rPr>
          <w:rFonts w:ascii="Times New Roman" w:eastAsia="Times New Roman" w:hAnsi="Times New Roman" w:cs="Times New Roman"/>
          <w:spacing w:val="-5"/>
          <w:lang w:val="sq-AL"/>
        </w:rPr>
        <w:t xml:space="preserve"> </w:t>
      </w:r>
      <w:r w:rsidR="007E2640" w:rsidRPr="007E2640">
        <w:rPr>
          <w:rFonts w:ascii="Times New Roman" w:eastAsia="Times New Roman" w:hAnsi="Times New Roman" w:cs="Times New Roman"/>
          <w:lang w:val="sq-AL"/>
        </w:rPr>
        <w:t>të</w:t>
      </w:r>
      <w:r w:rsidR="007E2640" w:rsidRPr="007E2640">
        <w:rPr>
          <w:rFonts w:ascii="Times New Roman" w:eastAsia="Times New Roman" w:hAnsi="Times New Roman" w:cs="Times New Roman"/>
          <w:spacing w:val="-5"/>
          <w:lang w:val="sq-AL"/>
        </w:rPr>
        <w:t xml:space="preserve"> </w:t>
      </w:r>
      <w:r w:rsidR="007E2640" w:rsidRPr="007E2640">
        <w:rPr>
          <w:rFonts w:ascii="Times New Roman" w:eastAsia="Times New Roman" w:hAnsi="Times New Roman" w:cs="Times New Roman"/>
          <w:lang w:val="sq-AL"/>
        </w:rPr>
        <w:t>pellgut</w:t>
      </w:r>
      <w:r w:rsidR="007E2640" w:rsidRPr="007E2640">
        <w:rPr>
          <w:rFonts w:ascii="Times New Roman" w:eastAsia="Times New Roman" w:hAnsi="Times New Roman" w:cs="Times New Roman"/>
          <w:spacing w:val="-4"/>
          <w:lang w:val="sq-AL"/>
        </w:rPr>
        <w:t xml:space="preserve"> </w:t>
      </w:r>
      <w:r w:rsidR="007E2640" w:rsidRPr="007E2640">
        <w:rPr>
          <w:rFonts w:ascii="Times New Roman" w:eastAsia="Times New Roman" w:hAnsi="Times New Roman" w:cs="Times New Roman"/>
          <w:lang w:val="sq-AL"/>
        </w:rPr>
        <w:t>të</w:t>
      </w:r>
      <w:r w:rsidR="007E2640" w:rsidRPr="007E2640">
        <w:rPr>
          <w:rFonts w:ascii="Times New Roman" w:eastAsia="Times New Roman" w:hAnsi="Times New Roman" w:cs="Times New Roman"/>
          <w:spacing w:val="-4"/>
          <w:lang w:val="sq-AL"/>
        </w:rPr>
        <w:t xml:space="preserve"> </w:t>
      </w:r>
      <w:r w:rsidR="007E2640" w:rsidRPr="007E2640">
        <w:rPr>
          <w:rFonts w:ascii="Times New Roman" w:eastAsia="Times New Roman" w:hAnsi="Times New Roman" w:cs="Times New Roman"/>
          <w:spacing w:val="-2"/>
          <w:lang w:val="sq-AL"/>
        </w:rPr>
        <w:t>Drinit</w:t>
      </w:r>
    </w:p>
    <w:tbl>
      <w:tblPr>
        <w:tblpPr w:leftFromText="180" w:rightFromText="180" w:vertAnchor="text" w:horzAnchor="margin" w:tblpY="381"/>
        <w:tblW w:w="9531" w:type="dxa"/>
        <w:tblBorders>
          <w:top w:val="single" w:sz="12" w:space="0" w:color="6CA62C"/>
          <w:left w:val="single" w:sz="12" w:space="0" w:color="6CA62C"/>
          <w:bottom w:val="single" w:sz="12" w:space="0" w:color="6CA62C"/>
          <w:right w:val="single" w:sz="12" w:space="0" w:color="6CA62C"/>
          <w:insideH w:val="single" w:sz="12" w:space="0" w:color="6CA62C"/>
          <w:insideV w:val="single" w:sz="12" w:space="0" w:color="6CA62C"/>
        </w:tblBorders>
        <w:tblLayout w:type="fixed"/>
        <w:tblCellMar>
          <w:left w:w="0" w:type="dxa"/>
          <w:right w:w="0" w:type="dxa"/>
        </w:tblCellMar>
        <w:tblLook w:val="01E0" w:firstRow="1" w:lastRow="1" w:firstColumn="1" w:lastColumn="1" w:noHBand="0" w:noVBand="0"/>
      </w:tblPr>
      <w:tblGrid>
        <w:gridCol w:w="737"/>
        <w:gridCol w:w="1133"/>
        <w:gridCol w:w="1986"/>
        <w:gridCol w:w="1986"/>
        <w:gridCol w:w="1737"/>
        <w:gridCol w:w="1952"/>
      </w:tblGrid>
      <w:tr w:rsidR="007E2640" w:rsidRPr="007E2640" w:rsidTr="007E2640">
        <w:trPr>
          <w:trHeight w:val="783"/>
        </w:trPr>
        <w:tc>
          <w:tcPr>
            <w:tcW w:w="737" w:type="dxa"/>
            <w:tcBorders>
              <w:bottom w:val="single" w:sz="18" w:space="0" w:color="9BBA58"/>
            </w:tcBorders>
            <w:shd w:val="clear" w:color="auto" w:fill="FCE9D9"/>
          </w:tcPr>
          <w:p w:rsidR="007E2640" w:rsidRPr="007E2640" w:rsidRDefault="007E2640" w:rsidP="007E2640">
            <w:pPr>
              <w:widowControl w:val="0"/>
              <w:autoSpaceDE w:val="0"/>
              <w:autoSpaceDN w:val="0"/>
              <w:spacing w:before="42" w:after="0" w:line="240" w:lineRule="auto"/>
              <w:rPr>
                <w:rFonts w:ascii="Arial" w:eastAsia="Times New Roman" w:hAnsi="Times New Roman" w:cs="Times New Roman"/>
                <w:b/>
                <w:sz w:val="20"/>
                <w:lang w:val="sq-AL"/>
              </w:rPr>
            </w:pPr>
          </w:p>
          <w:p w:rsidR="007E2640" w:rsidRPr="007E2640" w:rsidRDefault="007E2640" w:rsidP="007E2640">
            <w:pPr>
              <w:widowControl w:val="0"/>
              <w:autoSpaceDE w:val="0"/>
              <w:autoSpaceDN w:val="0"/>
              <w:spacing w:after="0" w:line="240" w:lineRule="auto"/>
              <w:ind w:left="27"/>
              <w:jc w:val="center"/>
              <w:rPr>
                <w:rFonts w:ascii="Arial" w:eastAsia="Times New Roman" w:hAnsi="Times New Roman" w:cs="Times New Roman"/>
                <w:b/>
                <w:sz w:val="20"/>
                <w:lang w:val="sq-AL"/>
              </w:rPr>
            </w:pPr>
            <w:r w:rsidRPr="007E2640">
              <w:rPr>
                <w:rFonts w:ascii="Arial" w:eastAsia="Times New Roman" w:hAnsi="Times New Roman" w:cs="Times New Roman"/>
                <w:b/>
                <w:spacing w:val="-5"/>
                <w:sz w:val="20"/>
                <w:lang w:val="sq-AL"/>
              </w:rPr>
              <w:t>Nr</w:t>
            </w:r>
          </w:p>
        </w:tc>
        <w:tc>
          <w:tcPr>
            <w:tcW w:w="1133" w:type="dxa"/>
            <w:tcBorders>
              <w:bottom w:val="single" w:sz="18" w:space="0" w:color="9BBA58"/>
            </w:tcBorders>
            <w:shd w:val="clear" w:color="auto" w:fill="FCE9D9"/>
          </w:tcPr>
          <w:p w:rsidR="007E2640" w:rsidRPr="007E2640" w:rsidRDefault="007E2640" w:rsidP="007E2640">
            <w:pPr>
              <w:widowControl w:val="0"/>
              <w:autoSpaceDE w:val="0"/>
              <w:autoSpaceDN w:val="0"/>
              <w:spacing w:before="42" w:after="0" w:line="240" w:lineRule="auto"/>
              <w:rPr>
                <w:rFonts w:ascii="Arial" w:eastAsia="Times New Roman" w:hAnsi="Times New Roman" w:cs="Times New Roman"/>
                <w:b/>
                <w:sz w:val="20"/>
                <w:lang w:val="sq-AL"/>
              </w:rPr>
            </w:pPr>
          </w:p>
          <w:p w:rsidR="007E2640" w:rsidRPr="007E2640" w:rsidRDefault="007E2640" w:rsidP="007E2640">
            <w:pPr>
              <w:widowControl w:val="0"/>
              <w:autoSpaceDE w:val="0"/>
              <w:autoSpaceDN w:val="0"/>
              <w:spacing w:after="0" w:line="240" w:lineRule="auto"/>
              <w:ind w:left="325"/>
              <w:rPr>
                <w:rFonts w:ascii="Arial" w:eastAsia="Times New Roman" w:hAnsi="Times New Roman" w:cs="Times New Roman"/>
                <w:b/>
                <w:sz w:val="20"/>
                <w:lang w:val="sq-AL"/>
              </w:rPr>
            </w:pPr>
            <w:r w:rsidRPr="007E2640">
              <w:rPr>
                <w:rFonts w:ascii="Arial" w:eastAsia="Times New Roman" w:hAnsi="Times New Roman" w:cs="Times New Roman"/>
                <w:b/>
                <w:spacing w:val="-4"/>
                <w:sz w:val="20"/>
                <w:lang w:val="sq-AL"/>
              </w:rPr>
              <w:t>Lumi</w:t>
            </w:r>
          </w:p>
        </w:tc>
        <w:tc>
          <w:tcPr>
            <w:tcW w:w="1986" w:type="dxa"/>
            <w:tcBorders>
              <w:bottom w:val="single" w:sz="18" w:space="0" w:color="9BBA58"/>
            </w:tcBorders>
            <w:shd w:val="clear" w:color="auto" w:fill="FCE9D9"/>
          </w:tcPr>
          <w:p w:rsidR="007E2640" w:rsidRPr="007E2640" w:rsidRDefault="007E2640" w:rsidP="007E2640">
            <w:pPr>
              <w:widowControl w:val="0"/>
              <w:autoSpaceDE w:val="0"/>
              <w:autoSpaceDN w:val="0"/>
              <w:spacing w:before="42" w:after="0" w:line="240" w:lineRule="auto"/>
              <w:rPr>
                <w:rFonts w:ascii="Arial" w:eastAsia="Times New Roman" w:hAnsi="Times New Roman" w:cs="Times New Roman"/>
                <w:b/>
                <w:sz w:val="20"/>
                <w:lang w:val="sq-AL"/>
              </w:rPr>
            </w:pPr>
          </w:p>
          <w:p w:rsidR="007E2640" w:rsidRPr="007E2640" w:rsidRDefault="007E2640" w:rsidP="007E2640">
            <w:pPr>
              <w:widowControl w:val="0"/>
              <w:autoSpaceDE w:val="0"/>
              <w:autoSpaceDN w:val="0"/>
              <w:spacing w:after="0" w:line="240" w:lineRule="auto"/>
              <w:ind w:left="322"/>
              <w:rPr>
                <w:rFonts w:ascii="Arial" w:eastAsia="Times New Roman" w:hAnsi="Times New Roman" w:cs="Times New Roman"/>
                <w:b/>
                <w:sz w:val="20"/>
                <w:lang w:val="sq-AL"/>
              </w:rPr>
            </w:pPr>
            <w:r w:rsidRPr="007E2640">
              <w:rPr>
                <w:rFonts w:ascii="Arial" w:eastAsia="Times New Roman" w:hAnsi="Times New Roman" w:cs="Times New Roman"/>
                <w:b/>
                <w:sz w:val="20"/>
                <w:lang w:val="sq-AL"/>
              </w:rPr>
              <w:t>Vendi</w:t>
            </w:r>
            <w:r w:rsidRPr="007E2640">
              <w:rPr>
                <w:rFonts w:ascii="Arial" w:eastAsia="Times New Roman" w:hAnsi="Times New Roman" w:cs="Times New Roman"/>
                <w:b/>
                <w:spacing w:val="-7"/>
                <w:sz w:val="20"/>
                <w:lang w:val="sq-AL"/>
              </w:rPr>
              <w:t xml:space="preserve"> </w:t>
            </w:r>
            <w:r w:rsidRPr="007E2640">
              <w:rPr>
                <w:rFonts w:ascii="Arial" w:eastAsia="Times New Roman" w:hAnsi="Times New Roman" w:cs="Times New Roman"/>
                <w:b/>
                <w:sz w:val="20"/>
                <w:lang w:val="sq-AL"/>
              </w:rPr>
              <w:t>i</w:t>
            </w:r>
            <w:r w:rsidRPr="007E2640">
              <w:rPr>
                <w:rFonts w:ascii="Arial" w:eastAsia="Times New Roman" w:hAnsi="Times New Roman" w:cs="Times New Roman"/>
                <w:b/>
                <w:spacing w:val="-4"/>
                <w:sz w:val="20"/>
                <w:lang w:val="sq-AL"/>
              </w:rPr>
              <w:t xml:space="preserve"> </w:t>
            </w:r>
            <w:r w:rsidRPr="007E2640">
              <w:rPr>
                <w:rFonts w:ascii="Arial" w:eastAsia="Times New Roman" w:hAnsi="Times New Roman" w:cs="Times New Roman"/>
                <w:b/>
                <w:spacing w:val="-2"/>
                <w:sz w:val="20"/>
                <w:lang w:val="sq-AL"/>
              </w:rPr>
              <w:t>profilit</w:t>
            </w:r>
          </w:p>
        </w:tc>
        <w:tc>
          <w:tcPr>
            <w:tcW w:w="1986" w:type="dxa"/>
            <w:tcBorders>
              <w:bottom w:val="single" w:sz="18" w:space="0" w:color="9BBA58"/>
              <w:right w:val="single" w:sz="8" w:space="0" w:color="9BBA58"/>
            </w:tcBorders>
            <w:shd w:val="clear" w:color="auto" w:fill="FCE9D9"/>
          </w:tcPr>
          <w:p w:rsidR="007E2640" w:rsidRPr="007E2640" w:rsidRDefault="007E2640" w:rsidP="007E2640">
            <w:pPr>
              <w:widowControl w:val="0"/>
              <w:autoSpaceDE w:val="0"/>
              <w:autoSpaceDN w:val="0"/>
              <w:spacing w:before="157" w:after="0" w:line="240" w:lineRule="auto"/>
              <w:ind w:left="439" w:firstLine="40"/>
              <w:rPr>
                <w:rFonts w:ascii="Arial" w:eastAsia="Times New Roman" w:hAnsi="Times New Roman" w:cs="Times New Roman"/>
                <w:b/>
                <w:sz w:val="20"/>
                <w:lang w:val="sq-AL"/>
              </w:rPr>
            </w:pPr>
            <w:r w:rsidRPr="007E2640">
              <w:rPr>
                <w:rFonts w:ascii="Arial" w:eastAsia="Times New Roman" w:hAnsi="Times New Roman" w:cs="Times New Roman"/>
                <w:b/>
                <w:sz w:val="20"/>
                <w:lang w:val="sq-AL"/>
              </w:rPr>
              <w:t>Periudha</w:t>
            </w:r>
            <w:r w:rsidRPr="007E2640">
              <w:rPr>
                <w:rFonts w:ascii="Arial" w:eastAsia="Times New Roman" w:hAnsi="Times New Roman" w:cs="Times New Roman"/>
                <w:b/>
                <w:spacing w:val="-2"/>
                <w:sz w:val="20"/>
                <w:lang w:val="sq-AL"/>
              </w:rPr>
              <w:t xml:space="preserve"> </w:t>
            </w:r>
            <w:r w:rsidRPr="007E2640">
              <w:rPr>
                <w:rFonts w:ascii="Arial" w:eastAsia="Times New Roman" w:hAnsi="Times New Roman" w:cs="Times New Roman"/>
                <w:b/>
                <w:sz w:val="20"/>
                <w:lang w:val="sq-AL"/>
              </w:rPr>
              <w:t xml:space="preserve">e </w:t>
            </w:r>
            <w:r w:rsidRPr="007E2640">
              <w:rPr>
                <w:rFonts w:ascii="Arial" w:eastAsia="Times New Roman" w:hAnsi="Times New Roman" w:cs="Times New Roman"/>
                <w:b/>
                <w:spacing w:val="-2"/>
                <w:sz w:val="20"/>
                <w:lang w:val="sq-AL"/>
              </w:rPr>
              <w:t>monitorimit</w:t>
            </w:r>
          </w:p>
        </w:tc>
        <w:tc>
          <w:tcPr>
            <w:tcW w:w="1737" w:type="dxa"/>
            <w:tcBorders>
              <w:left w:val="single" w:sz="8" w:space="0" w:color="9BBA58"/>
              <w:bottom w:val="single" w:sz="18" w:space="0" w:color="9BBA58"/>
            </w:tcBorders>
            <w:shd w:val="clear" w:color="auto" w:fill="FCE9D9"/>
          </w:tcPr>
          <w:p w:rsidR="007E2640" w:rsidRPr="007E2640" w:rsidRDefault="007E2640" w:rsidP="007E2640">
            <w:pPr>
              <w:widowControl w:val="0"/>
              <w:autoSpaceDE w:val="0"/>
              <w:autoSpaceDN w:val="0"/>
              <w:spacing w:before="42" w:after="0" w:line="240" w:lineRule="auto"/>
              <w:rPr>
                <w:rFonts w:ascii="Arial" w:eastAsia="Times New Roman" w:hAnsi="Times New Roman" w:cs="Times New Roman"/>
                <w:b/>
                <w:sz w:val="20"/>
                <w:lang w:val="sq-AL"/>
              </w:rPr>
            </w:pPr>
          </w:p>
          <w:p w:rsidR="007E2640" w:rsidRPr="007E2640" w:rsidRDefault="007E2640" w:rsidP="007E2640">
            <w:pPr>
              <w:widowControl w:val="0"/>
              <w:autoSpaceDE w:val="0"/>
              <w:autoSpaceDN w:val="0"/>
              <w:spacing w:after="0" w:line="240" w:lineRule="auto"/>
              <w:ind w:left="22" w:right="2"/>
              <w:jc w:val="center"/>
              <w:rPr>
                <w:rFonts w:ascii="Arial" w:eastAsia="Times New Roman" w:hAnsi="Times New Roman" w:cs="Times New Roman"/>
                <w:b/>
                <w:sz w:val="20"/>
                <w:lang w:val="sq-AL"/>
              </w:rPr>
            </w:pPr>
            <w:r w:rsidRPr="007E2640">
              <w:rPr>
                <w:rFonts w:ascii="Arial" w:eastAsia="Times New Roman" w:hAnsi="Times New Roman" w:cs="Times New Roman"/>
                <w:b/>
                <w:sz w:val="20"/>
                <w:lang w:val="sq-AL"/>
              </w:rPr>
              <w:t>Ndyshimi</w:t>
            </w:r>
            <w:r w:rsidRPr="007E2640">
              <w:rPr>
                <w:rFonts w:ascii="Arial" w:eastAsia="Times New Roman" w:hAnsi="Times New Roman" w:cs="Times New Roman"/>
                <w:b/>
                <w:spacing w:val="42"/>
                <w:sz w:val="20"/>
                <w:lang w:val="sq-AL"/>
              </w:rPr>
              <w:t xml:space="preserve"> </w:t>
            </w:r>
            <w:r w:rsidRPr="007E2640">
              <w:rPr>
                <w:rFonts w:ascii="Arial" w:eastAsia="Times New Roman" w:hAnsi="Times New Roman" w:cs="Times New Roman"/>
                <w:b/>
                <w:spacing w:val="-2"/>
                <w:sz w:val="20"/>
                <w:lang w:val="sq-AL"/>
              </w:rPr>
              <w:t>total</w:t>
            </w:r>
          </w:p>
        </w:tc>
        <w:tc>
          <w:tcPr>
            <w:tcW w:w="1952" w:type="dxa"/>
            <w:tcBorders>
              <w:bottom w:val="single" w:sz="18" w:space="0" w:color="9BBA58"/>
              <w:right w:val="single" w:sz="12" w:space="0" w:color="85A644"/>
            </w:tcBorders>
            <w:shd w:val="clear" w:color="auto" w:fill="FCE9D9"/>
          </w:tcPr>
          <w:p w:rsidR="007E2640" w:rsidRPr="007E2640" w:rsidRDefault="007E2640" w:rsidP="007E2640">
            <w:pPr>
              <w:widowControl w:val="0"/>
              <w:autoSpaceDE w:val="0"/>
              <w:autoSpaceDN w:val="0"/>
              <w:spacing w:before="42" w:after="0" w:line="240" w:lineRule="auto"/>
              <w:ind w:left="485" w:right="219" w:hanging="250"/>
              <w:rPr>
                <w:rFonts w:ascii="Arial" w:eastAsia="Times New Roman" w:hAnsi="Arial" w:cs="Times New Roman"/>
                <w:b/>
                <w:sz w:val="20"/>
                <w:lang w:val="sq-AL"/>
              </w:rPr>
            </w:pPr>
            <w:r w:rsidRPr="007E2640">
              <w:rPr>
                <w:rFonts w:ascii="Arial" w:eastAsia="Times New Roman" w:hAnsi="Arial" w:cs="Times New Roman"/>
                <w:b/>
                <w:sz w:val="20"/>
                <w:lang w:val="sq-AL"/>
              </w:rPr>
              <w:t>Ndryshimet</w:t>
            </w:r>
            <w:r w:rsidRPr="007E2640">
              <w:rPr>
                <w:rFonts w:ascii="Arial" w:eastAsia="Times New Roman" w:hAnsi="Arial" w:cs="Times New Roman"/>
                <w:b/>
                <w:spacing w:val="-14"/>
                <w:sz w:val="20"/>
                <w:lang w:val="sq-AL"/>
              </w:rPr>
              <w:t xml:space="preserve"> </w:t>
            </w:r>
            <w:r w:rsidRPr="007E2640">
              <w:rPr>
                <w:rFonts w:ascii="Arial" w:eastAsia="Times New Roman" w:hAnsi="Arial" w:cs="Times New Roman"/>
                <w:b/>
                <w:sz w:val="20"/>
                <w:lang w:val="sq-AL"/>
              </w:rPr>
              <w:t xml:space="preserve">për </w:t>
            </w:r>
            <w:r w:rsidRPr="007E2640">
              <w:rPr>
                <w:rFonts w:ascii="Arial" w:eastAsia="Times New Roman" w:hAnsi="Arial" w:cs="Times New Roman"/>
                <w:b/>
                <w:spacing w:val="-2"/>
                <w:sz w:val="20"/>
                <w:lang w:val="sq-AL"/>
              </w:rPr>
              <w:t>periudhën 2022-2025</w:t>
            </w:r>
          </w:p>
        </w:tc>
      </w:tr>
      <w:tr w:rsidR="007E2640" w:rsidRPr="007E2640" w:rsidTr="007E2640">
        <w:trPr>
          <w:trHeight w:val="243"/>
        </w:trPr>
        <w:tc>
          <w:tcPr>
            <w:tcW w:w="737" w:type="dxa"/>
            <w:tcBorders>
              <w:top w:val="single" w:sz="18" w:space="0" w:color="9BBA58"/>
              <w:bottom w:val="single" w:sz="8" w:space="0" w:color="9BBA58"/>
            </w:tcBorders>
          </w:tcPr>
          <w:p w:rsidR="007E2640" w:rsidRPr="007E2640" w:rsidRDefault="007E2640" w:rsidP="007E2640">
            <w:pPr>
              <w:widowControl w:val="0"/>
              <w:autoSpaceDE w:val="0"/>
              <w:autoSpaceDN w:val="0"/>
              <w:spacing w:before="3" w:after="0" w:line="220" w:lineRule="exact"/>
              <w:ind w:left="27" w:right="1"/>
              <w:jc w:val="center"/>
              <w:rPr>
                <w:rFonts w:ascii="Arial" w:eastAsia="Times New Roman" w:hAnsi="Times New Roman" w:cs="Times New Roman"/>
                <w:b/>
                <w:sz w:val="20"/>
                <w:lang w:val="sq-AL"/>
              </w:rPr>
            </w:pPr>
            <w:r w:rsidRPr="007E2640">
              <w:rPr>
                <w:rFonts w:ascii="Arial" w:eastAsia="Times New Roman" w:hAnsi="Times New Roman" w:cs="Times New Roman"/>
                <w:b/>
                <w:spacing w:val="-10"/>
                <w:sz w:val="20"/>
                <w:lang w:val="sq-AL"/>
              </w:rPr>
              <w:t>1</w:t>
            </w:r>
          </w:p>
        </w:tc>
        <w:tc>
          <w:tcPr>
            <w:tcW w:w="1133" w:type="dxa"/>
            <w:vMerge w:val="restart"/>
            <w:tcBorders>
              <w:top w:val="single" w:sz="18" w:space="0" w:color="9BBA58"/>
            </w:tcBorders>
          </w:tcPr>
          <w:p w:rsidR="007E2640" w:rsidRPr="007E2640" w:rsidRDefault="007E2640" w:rsidP="007E2640">
            <w:pPr>
              <w:widowControl w:val="0"/>
              <w:autoSpaceDE w:val="0"/>
              <w:autoSpaceDN w:val="0"/>
              <w:spacing w:after="0" w:line="240" w:lineRule="auto"/>
              <w:rPr>
                <w:rFonts w:ascii="Arial" w:eastAsia="Times New Roman" w:hAnsi="Times New Roman" w:cs="Times New Roman"/>
                <w:b/>
                <w:sz w:val="20"/>
                <w:lang w:val="sq-AL"/>
              </w:rPr>
            </w:pPr>
          </w:p>
          <w:p w:rsidR="007E2640" w:rsidRPr="007E2640" w:rsidRDefault="007E2640" w:rsidP="007E2640">
            <w:pPr>
              <w:widowControl w:val="0"/>
              <w:autoSpaceDE w:val="0"/>
              <w:autoSpaceDN w:val="0"/>
              <w:spacing w:after="0" w:line="240" w:lineRule="auto"/>
              <w:rPr>
                <w:rFonts w:ascii="Arial" w:eastAsia="Times New Roman" w:hAnsi="Times New Roman" w:cs="Times New Roman"/>
                <w:b/>
                <w:sz w:val="20"/>
                <w:lang w:val="sq-AL"/>
              </w:rPr>
            </w:pPr>
          </w:p>
          <w:p w:rsidR="007E2640" w:rsidRPr="007E2640" w:rsidRDefault="007E2640" w:rsidP="007E2640">
            <w:pPr>
              <w:widowControl w:val="0"/>
              <w:autoSpaceDE w:val="0"/>
              <w:autoSpaceDN w:val="0"/>
              <w:spacing w:before="55" w:after="0" w:line="240" w:lineRule="auto"/>
              <w:rPr>
                <w:rFonts w:ascii="Arial" w:eastAsia="Times New Roman" w:hAnsi="Times New Roman" w:cs="Times New Roman"/>
                <w:b/>
                <w:sz w:val="20"/>
                <w:lang w:val="sq-AL"/>
              </w:rPr>
            </w:pPr>
          </w:p>
          <w:p w:rsidR="007E2640" w:rsidRPr="007E2640" w:rsidRDefault="007E2640" w:rsidP="007E2640">
            <w:pPr>
              <w:widowControl w:val="0"/>
              <w:autoSpaceDE w:val="0"/>
              <w:autoSpaceDN w:val="0"/>
              <w:spacing w:after="0" w:line="240" w:lineRule="auto"/>
              <w:ind w:left="215" w:right="188" w:firstLine="2"/>
              <w:jc w:val="center"/>
              <w:rPr>
                <w:rFonts w:ascii="Arial" w:eastAsia="Times New Roman" w:hAnsi="Arial" w:cs="Times New Roman"/>
                <w:b/>
                <w:sz w:val="20"/>
                <w:lang w:val="sq-AL"/>
              </w:rPr>
            </w:pPr>
            <w:r w:rsidRPr="007E2640">
              <w:rPr>
                <w:rFonts w:ascii="Arial" w:eastAsia="Times New Roman" w:hAnsi="Arial" w:cs="Times New Roman"/>
                <w:b/>
                <w:spacing w:val="-2"/>
                <w:sz w:val="20"/>
                <w:lang w:val="sq-AL"/>
              </w:rPr>
              <w:t>Drin-Gjadër-</w:t>
            </w:r>
            <w:r w:rsidRPr="007E2640">
              <w:rPr>
                <w:rFonts w:ascii="Arial" w:eastAsia="Times New Roman" w:hAnsi="Arial" w:cs="Times New Roman"/>
                <w:b/>
                <w:spacing w:val="-4"/>
                <w:sz w:val="20"/>
                <w:lang w:val="sq-AL"/>
              </w:rPr>
              <w:t>Kir</w:t>
            </w:r>
          </w:p>
        </w:tc>
        <w:tc>
          <w:tcPr>
            <w:tcW w:w="1986" w:type="dxa"/>
            <w:tcBorders>
              <w:top w:val="single" w:sz="18" w:space="0" w:color="9BBA58"/>
              <w:bottom w:val="single" w:sz="8" w:space="0" w:color="9BBA58"/>
            </w:tcBorders>
          </w:tcPr>
          <w:p w:rsidR="007E2640" w:rsidRPr="007E2640" w:rsidRDefault="007E2640" w:rsidP="007E2640">
            <w:pPr>
              <w:widowControl w:val="0"/>
              <w:autoSpaceDE w:val="0"/>
              <w:autoSpaceDN w:val="0"/>
              <w:spacing w:before="3" w:after="0" w:line="220" w:lineRule="exact"/>
              <w:ind w:left="106"/>
              <w:rPr>
                <w:rFonts w:ascii="Arial" w:eastAsia="Times New Roman" w:hAnsi="Times New Roman" w:cs="Times New Roman"/>
                <w:b/>
                <w:sz w:val="20"/>
                <w:lang w:val="sq-AL"/>
              </w:rPr>
            </w:pPr>
            <w:r w:rsidRPr="007E2640">
              <w:rPr>
                <w:rFonts w:ascii="Arial" w:eastAsia="Times New Roman" w:hAnsi="Times New Roman" w:cs="Times New Roman"/>
                <w:b/>
                <w:sz w:val="20"/>
                <w:lang w:val="sq-AL"/>
              </w:rPr>
              <w:t>Lumi</w:t>
            </w:r>
            <w:r w:rsidRPr="007E2640">
              <w:rPr>
                <w:rFonts w:ascii="Arial" w:eastAsia="Times New Roman" w:hAnsi="Times New Roman" w:cs="Times New Roman"/>
                <w:b/>
                <w:spacing w:val="-4"/>
                <w:sz w:val="20"/>
                <w:lang w:val="sq-AL"/>
              </w:rPr>
              <w:t xml:space="preserve"> </w:t>
            </w:r>
            <w:r w:rsidRPr="007E2640">
              <w:rPr>
                <w:rFonts w:ascii="Arial" w:eastAsia="Times New Roman" w:hAnsi="Times New Roman" w:cs="Times New Roman"/>
                <w:b/>
                <w:sz w:val="20"/>
                <w:lang w:val="sq-AL"/>
              </w:rPr>
              <w:t>i</w:t>
            </w:r>
            <w:r w:rsidRPr="007E2640">
              <w:rPr>
                <w:rFonts w:ascii="Arial" w:eastAsia="Times New Roman" w:hAnsi="Times New Roman" w:cs="Times New Roman"/>
                <w:b/>
                <w:spacing w:val="-4"/>
                <w:sz w:val="20"/>
                <w:lang w:val="sq-AL"/>
              </w:rPr>
              <w:t xml:space="preserve"> </w:t>
            </w:r>
            <w:r w:rsidRPr="007E2640">
              <w:rPr>
                <w:rFonts w:ascii="Arial" w:eastAsia="Times New Roman" w:hAnsi="Times New Roman" w:cs="Times New Roman"/>
                <w:b/>
                <w:spacing w:val="-2"/>
                <w:sz w:val="20"/>
                <w:lang w:val="sq-AL"/>
              </w:rPr>
              <w:t>Gomsiqes</w:t>
            </w:r>
          </w:p>
        </w:tc>
        <w:tc>
          <w:tcPr>
            <w:tcW w:w="1986" w:type="dxa"/>
            <w:tcBorders>
              <w:top w:val="single" w:sz="18" w:space="0" w:color="9BBA58"/>
              <w:bottom w:val="single" w:sz="8" w:space="0" w:color="9BBA58"/>
              <w:right w:val="single" w:sz="8" w:space="0" w:color="9BBA58"/>
            </w:tcBorders>
          </w:tcPr>
          <w:p w:rsidR="007E2640" w:rsidRPr="007E2640" w:rsidRDefault="007E2640" w:rsidP="007E2640">
            <w:pPr>
              <w:widowControl w:val="0"/>
              <w:autoSpaceDE w:val="0"/>
              <w:autoSpaceDN w:val="0"/>
              <w:spacing w:before="3" w:after="0" w:line="220" w:lineRule="exact"/>
              <w:ind w:left="18"/>
              <w:jc w:val="center"/>
              <w:rPr>
                <w:rFonts w:ascii="Arial" w:eastAsia="Times New Roman" w:hAnsi="Arial" w:cs="Times New Roman"/>
                <w:b/>
                <w:sz w:val="20"/>
                <w:lang w:val="sq-AL"/>
              </w:rPr>
            </w:pPr>
            <w:r w:rsidRPr="007E2640">
              <w:rPr>
                <w:rFonts w:ascii="Arial" w:eastAsia="Times New Roman" w:hAnsi="Arial" w:cs="Times New Roman"/>
                <w:b/>
                <w:sz w:val="20"/>
                <w:lang w:val="sq-AL"/>
              </w:rPr>
              <w:t>2007</w:t>
            </w:r>
            <w:r w:rsidRPr="007E2640">
              <w:rPr>
                <w:rFonts w:ascii="Arial" w:eastAsia="Times New Roman" w:hAnsi="Arial" w:cs="Times New Roman"/>
                <w:b/>
                <w:spacing w:val="-3"/>
                <w:sz w:val="20"/>
                <w:lang w:val="sq-AL"/>
              </w:rPr>
              <w:t xml:space="preserve"> </w:t>
            </w:r>
            <w:r w:rsidRPr="007E2640">
              <w:rPr>
                <w:rFonts w:ascii="Arial" w:eastAsia="Times New Roman" w:hAnsi="Arial" w:cs="Times New Roman"/>
                <w:b/>
                <w:sz w:val="20"/>
                <w:lang w:val="sq-AL"/>
              </w:rPr>
              <w:t>–</w:t>
            </w:r>
            <w:r w:rsidRPr="007E2640">
              <w:rPr>
                <w:rFonts w:ascii="Arial" w:eastAsia="Times New Roman" w:hAnsi="Arial" w:cs="Times New Roman"/>
                <w:b/>
                <w:spacing w:val="-4"/>
                <w:sz w:val="20"/>
                <w:lang w:val="sq-AL"/>
              </w:rPr>
              <w:t xml:space="preserve"> 2025</w:t>
            </w:r>
          </w:p>
        </w:tc>
        <w:tc>
          <w:tcPr>
            <w:tcW w:w="1737" w:type="dxa"/>
            <w:tcBorders>
              <w:top w:val="single" w:sz="18" w:space="0" w:color="9BBA58"/>
              <w:left w:val="single" w:sz="8" w:space="0" w:color="9BBA58"/>
              <w:bottom w:val="single" w:sz="6" w:space="0" w:color="85A644"/>
            </w:tcBorders>
          </w:tcPr>
          <w:p w:rsidR="007E2640" w:rsidRPr="007E2640" w:rsidRDefault="007E2640" w:rsidP="007E2640">
            <w:pPr>
              <w:widowControl w:val="0"/>
              <w:autoSpaceDE w:val="0"/>
              <w:autoSpaceDN w:val="0"/>
              <w:spacing w:before="3" w:after="0" w:line="220" w:lineRule="exact"/>
              <w:ind w:left="22"/>
              <w:jc w:val="center"/>
              <w:rPr>
                <w:rFonts w:ascii="Arial" w:eastAsia="Times New Roman" w:hAnsi="Times New Roman" w:cs="Times New Roman"/>
                <w:b/>
                <w:sz w:val="20"/>
                <w:lang w:val="sq-AL"/>
              </w:rPr>
            </w:pPr>
            <w:r w:rsidRPr="007E2640">
              <w:rPr>
                <w:rFonts w:ascii="Arial" w:eastAsia="Times New Roman" w:hAnsi="Times New Roman" w:cs="Times New Roman"/>
                <w:b/>
                <w:color w:val="00AF50"/>
                <w:sz w:val="20"/>
                <w:lang w:val="sq-AL"/>
              </w:rPr>
              <w:t>+</w:t>
            </w:r>
            <w:r w:rsidRPr="007E2640">
              <w:rPr>
                <w:rFonts w:ascii="Arial" w:eastAsia="Times New Roman" w:hAnsi="Times New Roman" w:cs="Times New Roman"/>
                <w:b/>
                <w:color w:val="00AF50"/>
                <w:spacing w:val="-4"/>
                <w:sz w:val="20"/>
                <w:lang w:val="sq-AL"/>
              </w:rPr>
              <w:t xml:space="preserve"> </w:t>
            </w:r>
            <w:r w:rsidRPr="007E2640">
              <w:rPr>
                <w:rFonts w:ascii="Arial" w:eastAsia="Times New Roman" w:hAnsi="Times New Roman" w:cs="Times New Roman"/>
                <w:b/>
                <w:color w:val="00AF50"/>
                <w:sz w:val="20"/>
                <w:lang w:val="sq-AL"/>
              </w:rPr>
              <w:t>49.6</w:t>
            </w:r>
            <w:r w:rsidRPr="007E2640">
              <w:rPr>
                <w:rFonts w:ascii="Arial" w:eastAsia="Times New Roman" w:hAnsi="Times New Roman" w:cs="Times New Roman"/>
                <w:b/>
                <w:color w:val="00AF50"/>
                <w:spacing w:val="-2"/>
                <w:sz w:val="20"/>
                <w:lang w:val="sq-AL"/>
              </w:rPr>
              <w:t xml:space="preserve"> </w:t>
            </w:r>
            <w:r w:rsidRPr="007E2640">
              <w:rPr>
                <w:rFonts w:ascii="Arial" w:eastAsia="Times New Roman" w:hAnsi="Times New Roman" w:cs="Times New Roman"/>
                <w:b/>
                <w:color w:val="00AF50"/>
                <w:spacing w:val="-5"/>
                <w:sz w:val="20"/>
                <w:lang w:val="sq-AL"/>
              </w:rPr>
              <w:t>cm</w:t>
            </w:r>
          </w:p>
        </w:tc>
        <w:tc>
          <w:tcPr>
            <w:tcW w:w="1952" w:type="dxa"/>
            <w:tcBorders>
              <w:top w:val="single" w:sz="18" w:space="0" w:color="9BBA58"/>
              <w:bottom w:val="single" w:sz="8" w:space="0" w:color="9BBA58"/>
              <w:right w:val="single" w:sz="12" w:space="0" w:color="85A644"/>
            </w:tcBorders>
          </w:tcPr>
          <w:p w:rsidR="007E2640" w:rsidRPr="007E2640" w:rsidRDefault="007E2640" w:rsidP="007E2640">
            <w:pPr>
              <w:widowControl w:val="0"/>
              <w:autoSpaceDE w:val="0"/>
              <w:autoSpaceDN w:val="0"/>
              <w:spacing w:before="3" w:after="0" w:line="220" w:lineRule="exact"/>
              <w:ind w:left="15" w:right="3"/>
              <w:jc w:val="center"/>
              <w:rPr>
                <w:rFonts w:ascii="Arial" w:eastAsia="Times New Roman" w:hAnsi="Times New Roman" w:cs="Times New Roman"/>
                <w:b/>
                <w:sz w:val="20"/>
                <w:lang w:val="sq-AL"/>
              </w:rPr>
            </w:pPr>
            <w:r w:rsidRPr="007E2640">
              <w:rPr>
                <w:rFonts w:ascii="Arial" w:eastAsia="Times New Roman" w:hAnsi="Times New Roman" w:cs="Times New Roman"/>
                <w:b/>
                <w:color w:val="00AF50"/>
                <w:spacing w:val="-5"/>
                <w:sz w:val="20"/>
                <w:lang w:val="sq-AL"/>
              </w:rPr>
              <w:t>2.0</w:t>
            </w:r>
          </w:p>
        </w:tc>
      </w:tr>
      <w:tr w:rsidR="007E2640" w:rsidRPr="007E2640" w:rsidTr="007E2640">
        <w:trPr>
          <w:trHeight w:val="236"/>
        </w:trPr>
        <w:tc>
          <w:tcPr>
            <w:tcW w:w="737" w:type="dxa"/>
            <w:vMerge w:val="restart"/>
            <w:tcBorders>
              <w:top w:val="single" w:sz="8" w:space="0" w:color="9BBA58"/>
              <w:bottom w:val="single" w:sz="8" w:space="0" w:color="9BBA58"/>
            </w:tcBorders>
          </w:tcPr>
          <w:p w:rsidR="007E2640" w:rsidRPr="007E2640" w:rsidRDefault="007E2640" w:rsidP="007E2640">
            <w:pPr>
              <w:widowControl w:val="0"/>
              <w:autoSpaceDE w:val="0"/>
              <w:autoSpaceDN w:val="0"/>
              <w:spacing w:before="131" w:after="0" w:line="240" w:lineRule="auto"/>
              <w:ind w:left="27" w:right="1"/>
              <w:jc w:val="center"/>
              <w:rPr>
                <w:rFonts w:ascii="Arial" w:eastAsia="Times New Roman" w:hAnsi="Times New Roman" w:cs="Times New Roman"/>
                <w:b/>
                <w:sz w:val="20"/>
                <w:lang w:val="sq-AL"/>
              </w:rPr>
            </w:pPr>
            <w:r w:rsidRPr="007E2640">
              <w:rPr>
                <w:rFonts w:ascii="Arial" w:eastAsia="Times New Roman" w:hAnsi="Times New Roman" w:cs="Times New Roman"/>
                <w:b/>
                <w:spacing w:val="-10"/>
                <w:sz w:val="20"/>
                <w:lang w:val="sq-AL"/>
              </w:rPr>
              <w:t>2</w:t>
            </w:r>
          </w:p>
        </w:tc>
        <w:tc>
          <w:tcPr>
            <w:tcW w:w="1133" w:type="dxa"/>
            <w:vMerge/>
            <w:tcBorders>
              <w:top w:val="nil"/>
            </w:tcBorders>
          </w:tcPr>
          <w:p w:rsidR="007E2640" w:rsidRPr="007E2640" w:rsidRDefault="007E2640" w:rsidP="007E2640">
            <w:pPr>
              <w:widowControl w:val="0"/>
              <w:autoSpaceDE w:val="0"/>
              <w:autoSpaceDN w:val="0"/>
              <w:spacing w:after="0" w:line="240" w:lineRule="auto"/>
              <w:rPr>
                <w:rFonts w:ascii="Times New Roman" w:eastAsia="Times New Roman" w:hAnsi="Times New Roman" w:cs="Times New Roman"/>
                <w:sz w:val="2"/>
                <w:szCs w:val="2"/>
                <w:lang w:val="sq-AL"/>
              </w:rPr>
            </w:pPr>
          </w:p>
        </w:tc>
        <w:tc>
          <w:tcPr>
            <w:tcW w:w="1986" w:type="dxa"/>
            <w:vMerge w:val="restart"/>
            <w:tcBorders>
              <w:top w:val="single" w:sz="8" w:space="0" w:color="9BBA58"/>
              <w:bottom w:val="single" w:sz="8" w:space="0" w:color="9BBA58"/>
            </w:tcBorders>
          </w:tcPr>
          <w:p w:rsidR="007E2640" w:rsidRPr="007E2640" w:rsidRDefault="007E2640" w:rsidP="007E2640">
            <w:pPr>
              <w:widowControl w:val="0"/>
              <w:autoSpaceDE w:val="0"/>
              <w:autoSpaceDN w:val="0"/>
              <w:spacing w:before="131" w:after="0" w:line="240" w:lineRule="auto"/>
              <w:ind w:left="106"/>
              <w:rPr>
                <w:rFonts w:ascii="Arial" w:eastAsia="Times New Roman" w:hAnsi="Times New Roman" w:cs="Times New Roman"/>
                <w:b/>
                <w:sz w:val="20"/>
                <w:lang w:val="sq-AL"/>
              </w:rPr>
            </w:pPr>
            <w:r w:rsidRPr="007E2640">
              <w:rPr>
                <w:rFonts w:ascii="Arial" w:eastAsia="Times New Roman" w:hAnsi="Times New Roman" w:cs="Times New Roman"/>
                <w:b/>
                <w:spacing w:val="-2"/>
                <w:sz w:val="20"/>
                <w:lang w:val="sq-AL"/>
              </w:rPr>
              <w:t>Kullaxhi</w:t>
            </w:r>
          </w:p>
        </w:tc>
        <w:tc>
          <w:tcPr>
            <w:tcW w:w="1986" w:type="dxa"/>
            <w:tcBorders>
              <w:top w:val="single" w:sz="8" w:space="0" w:color="9BBA58"/>
              <w:bottom w:val="single" w:sz="8" w:space="0" w:color="9BBA58"/>
              <w:right w:val="single" w:sz="8" w:space="0" w:color="9BBA58"/>
            </w:tcBorders>
          </w:tcPr>
          <w:p w:rsidR="007E2640" w:rsidRPr="007E2640" w:rsidRDefault="007E2640" w:rsidP="007E2640">
            <w:pPr>
              <w:widowControl w:val="0"/>
              <w:autoSpaceDE w:val="0"/>
              <w:autoSpaceDN w:val="0"/>
              <w:spacing w:after="0" w:line="216" w:lineRule="exact"/>
              <w:ind w:left="18"/>
              <w:jc w:val="center"/>
              <w:rPr>
                <w:rFonts w:ascii="Arial" w:eastAsia="Times New Roman" w:hAnsi="Arial" w:cs="Times New Roman"/>
                <w:b/>
                <w:sz w:val="20"/>
                <w:lang w:val="sq-AL"/>
              </w:rPr>
            </w:pPr>
            <w:r w:rsidRPr="007E2640">
              <w:rPr>
                <w:rFonts w:ascii="Arial" w:eastAsia="Times New Roman" w:hAnsi="Arial" w:cs="Times New Roman"/>
                <w:b/>
                <w:sz w:val="20"/>
                <w:lang w:val="sq-AL"/>
              </w:rPr>
              <w:t>2007</w:t>
            </w:r>
            <w:r w:rsidRPr="007E2640">
              <w:rPr>
                <w:rFonts w:ascii="Arial" w:eastAsia="Times New Roman" w:hAnsi="Arial" w:cs="Times New Roman"/>
                <w:b/>
                <w:spacing w:val="-3"/>
                <w:sz w:val="20"/>
                <w:lang w:val="sq-AL"/>
              </w:rPr>
              <w:t xml:space="preserve"> </w:t>
            </w:r>
            <w:r w:rsidRPr="007E2640">
              <w:rPr>
                <w:rFonts w:ascii="Arial" w:eastAsia="Times New Roman" w:hAnsi="Arial" w:cs="Times New Roman"/>
                <w:b/>
                <w:sz w:val="20"/>
                <w:lang w:val="sq-AL"/>
              </w:rPr>
              <w:t>–</w:t>
            </w:r>
            <w:r w:rsidRPr="007E2640">
              <w:rPr>
                <w:rFonts w:ascii="Arial" w:eastAsia="Times New Roman" w:hAnsi="Arial" w:cs="Times New Roman"/>
                <w:b/>
                <w:spacing w:val="-4"/>
                <w:sz w:val="20"/>
                <w:lang w:val="sq-AL"/>
              </w:rPr>
              <w:t xml:space="preserve"> 2025</w:t>
            </w:r>
          </w:p>
        </w:tc>
        <w:tc>
          <w:tcPr>
            <w:tcW w:w="1737" w:type="dxa"/>
            <w:tcBorders>
              <w:top w:val="single" w:sz="6" w:space="0" w:color="85A644"/>
              <w:left w:val="single" w:sz="8" w:space="0" w:color="9BBA58"/>
              <w:bottom w:val="single" w:sz="8" w:space="0" w:color="9BBA58"/>
            </w:tcBorders>
          </w:tcPr>
          <w:p w:rsidR="007E2640" w:rsidRPr="007E2640" w:rsidRDefault="007E2640" w:rsidP="007E2640">
            <w:pPr>
              <w:widowControl w:val="0"/>
              <w:autoSpaceDE w:val="0"/>
              <w:autoSpaceDN w:val="0"/>
              <w:spacing w:after="0" w:line="216" w:lineRule="exact"/>
              <w:ind w:left="22" w:right="1"/>
              <w:jc w:val="center"/>
              <w:rPr>
                <w:rFonts w:ascii="Arial" w:eastAsia="Times New Roman" w:hAnsi="Arial" w:cs="Times New Roman"/>
                <w:b/>
                <w:sz w:val="20"/>
                <w:lang w:val="sq-AL"/>
              </w:rPr>
            </w:pPr>
            <w:r w:rsidRPr="007E2640">
              <w:rPr>
                <w:rFonts w:ascii="Arial" w:eastAsia="Times New Roman" w:hAnsi="Arial" w:cs="Times New Roman"/>
                <w:b/>
                <w:color w:val="FF0000"/>
                <w:sz w:val="20"/>
                <w:lang w:val="sq-AL"/>
              </w:rPr>
              <w:t>–</w:t>
            </w:r>
            <w:r w:rsidRPr="007E2640">
              <w:rPr>
                <w:rFonts w:ascii="Arial" w:eastAsia="Times New Roman" w:hAnsi="Arial" w:cs="Times New Roman"/>
                <w:b/>
                <w:color w:val="FF0000"/>
                <w:spacing w:val="-3"/>
                <w:sz w:val="20"/>
                <w:lang w:val="sq-AL"/>
              </w:rPr>
              <w:t xml:space="preserve"> </w:t>
            </w:r>
            <w:r w:rsidRPr="007E2640">
              <w:rPr>
                <w:rFonts w:ascii="Arial" w:eastAsia="Times New Roman" w:hAnsi="Arial" w:cs="Times New Roman"/>
                <w:b/>
                <w:color w:val="FF0000"/>
                <w:sz w:val="20"/>
                <w:lang w:val="sq-AL"/>
              </w:rPr>
              <w:t>6.3</w:t>
            </w:r>
            <w:r w:rsidRPr="007E2640">
              <w:rPr>
                <w:rFonts w:ascii="Arial" w:eastAsia="Times New Roman" w:hAnsi="Arial" w:cs="Times New Roman"/>
                <w:b/>
                <w:color w:val="FF0000"/>
                <w:spacing w:val="-1"/>
                <w:sz w:val="20"/>
                <w:lang w:val="sq-AL"/>
              </w:rPr>
              <w:t xml:space="preserve"> </w:t>
            </w:r>
            <w:r w:rsidRPr="007E2640">
              <w:rPr>
                <w:rFonts w:ascii="Arial" w:eastAsia="Times New Roman" w:hAnsi="Arial" w:cs="Times New Roman"/>
                <w:b/>
                <w:color w:val="FF0000"/>
                <w:spacing w:val="-5"/>
                <w:sz w:val="20"/>
                <w:lang w:val="sq-AL"/>
              </w:rPr>
              <w:t>cm</w:t>
            </w:r>
          </w:p>
        </w:tc>
        <w:tc>
          <w:tcPr>
            <w:tcW w:w="1952" w:type="dxa"/>
            <w:vMerge w:val="restart"/>
            <w:tcBorders>
              <w:top w:val="single" w:sz="8" w:space="0" w:color="9BBA58"/>
              <w:bottom w:val="single" w:sz="8" w:space="0" w:color="9BBA58"/>
              <w:right w:val="single" w:sz="12" w:space="0" w:color="85A644"/>
            </w:tcBorders>
          </w:tcPr>
          <w:p w:rsidR="007E2640" w:rsidRPr="007E2640" w:rsidRDefault="007E2640" w:rsidP="007E2640">
            <w:pPr>
              <w:widowControl w:val="0"/>
              <w:autoSpaceDE w:val="0"/>
              <w:autoSpaceDN w:val="0"/>
              <w:spacing w:before="131" w:after="0" w:line="240" w:lineRule="auto"/>
              <w:ind w:left="15" w:right="3"/>
              <w:jc w:val="center"/>
              <w:rPr>
                <w:rFonts w:ascii="Arial" w:eastAsia="Times New Roman" w:hAnsi="Times New Roman" w:cs="Times New Roman"/>
                <w:b/>
                <w:sz w:val="20"/>
                <w:lang w:val="sq-AL"/>
              </w:rPr>
            </w:pPr>
            <w:r w:rsidRPr="007E2640">
              <w:rPr>
                <w:rFonts w:ascii="Arial" w:eastAsia="Times New Roman" w:hAnsi="Times New Roman" w:cs="Times New Roman"/>
                <w:b/>
                <w:color w:val="FF0000"/>
                <w:spacing w:val="-4"/>
                <w:sz w:val="20"/>
                <w:lang w:val="sq-AL"/>
              </w:rPr>
              <w:t>18.8</w:t>
            </w:r>
          </w:p>
        </w:tc>
      </w:tr>
      <w:tr w:rsidR="007E2640" w:rsidRPr="007E2640" w:rsidTr="007E2640">
        <w:trPr>
          <w:trHeight w:val="236"/>
        </w:trPr>
        <w:tc>
          <w:tcPr>
            <w:tcW w:w="737" w:type="dxa"/>
            <w:vMerge/>
            <w:tcBorders>
              <w:top w:val="nil"/>
              <w:bottom w:val="single" w:sz="8" w:space="0" w:color="9BBA58"/>
            </w:tcBorders>
          </w:tcPr>
          <w:p w:rsidR="007E2640" w:rsidRPr="007E2640" w:rsidRDefault="007E2640" w:rsidP="007E2640">
            <w:pPr>
              <w:widowControl w:val="0"/>
              <w:autoSpaceDE w:val="0"/>
              <w:autoSpaceDN w:val="0"/>
              <w:spacing w:after="0" w:line="240" w:lineRule="auto"/>
              <w:rPr>
                <w:rFonts w:ascii="Times New Roman" w:eastAsia="Times New Roman" w:hAnsi="Times New Roman" w:cs="Times New Roman"/>
                <w:sz w:val="2"/>
                <w:szCs w:val="2"/>
                <w:lang w:val="sq-AL"/>
              </w:rPr>
            </w:pPr>
          </w:p>
        </w:tc>
        <w:tc>
          <w:tcPr>
            <w:tcW w:w="1133" w:type="dxa"/>
            <w:vMerge/>
            <w:tcBorders>
              <w:top w:val="nil"/>
            </w:tcBorders>
          </w:tcPr>
          <w:p w:rsidR="007E2640" w:rsidRPr="007E2640" w:rsidRDefault="007E2640" w:rsidP="007E2640">
            <w:pPr>
              <w:widowControl w:val="0"/>
              <w:autoSpaceDE w:val="0"/>
              <w:autoSpaceDN w:val="0"/>
              <w:spacing w:after="0" w:line="240" w:lineRule="auto"/>
              <w:rPr>
                <w:rFonts w:ascii="Times New Roman" w:eastAsia="Times New Roman" w:hAnsi="Times New Roman" w:cs="Times New Roman"/>
                <w:sz w:val="2"/>
                <w:szCs w:val="2"/>
                <w:lang w:val="sq-AL"/>
              </w:rPr>
            </w:pPr>
          </w:p>
        </w:tc>
        <w:tc>
          <w:tcPr>
            <w:tcW w:w="1986" w:type="dxa"/>
            <w:vMerge/>
            <w:tcBorders>
              <w:top w:val="nil"/>
              <w:bottom w:val="single" w:sz="8" w:space="0" w:color="9BBA58"/>
            </w:tcBorders>
          </w:tcPr>
          <w:p w:rsidR="007E2640" w:rsidRPr="007E2640" w:rsidRDefault="007E2640" w:rsidP="007E2640">
            <w:pPr>
              <w:widowControl w:val="0"/>
              <w:autoSpaceDE w:val="0"/>
              <w:autoSpaceDN w:val="0"/>
              <w:spacing w:after="0" w:line="240" w:lineRule="auto"/>
              <w:rPr>
                <w:rFonts w:ascii="Times New Roman" w:eastAsia="Times New Roman" w:hAnsi="Times New Roman" w:cs="Times New Roman"/>
                <w:sz w:val="2"/>
                <w:szCs w:val="2"/>
                <w:lang w:val="sq-AL"/>
              </w:rPr>
            </w:pPr>
          </w:p>
        </w:tc>
        <w:tc>
          <w:tcPr>
            <w:tcW w:w="1986" w:type="dxa"/>
            <w:tcBorders>
              <w:top w:val="single" w:sz="8" w:space="0" w:color="9BBA58"/>
              <w:bottom w:val="single" w:sz="8" w:space="0" w:color="9BBA58"/>
              <w:right w:val="single" w:sz="8" w:space="0" w:color="9BBA58"/>
            </w:tcBorders>
          </w:tcPr>
          <w:p w:rsidR="007E2640" w:rsidRPr="007E2640" w:rsidRDefault="007E2640" w:rsidP="007E2640">
            <w:pPr>
              <w:widowControl w:val="0"/>
              <w:autoSpaceDE w:val="0"/>
              <w:autoSpaceDN w:val="0"/>
              <w:spacing w:after="0" w:line="216" w:lineRule="exact"/>
              <w:ind w:left="18"/>
              <w:jc w:val="center"/>
              <w:rPr>
                <w:rFonts w:ascii="Arial" w:eastAsia="Times New Roman" w:hAnsi="Arial" w:cs="Times New Roman"/>
                <w:b/>
                <w:sz w:val="20"/>
                <w:lang w:val="sq-AL"/>
              </w:rPr>
            </w:pPr>
            <w:r w:rsidRPr="007E2640">
              <w:rPr>
                <w:rFonts w:ascii="Arial" w:eastAsia="Times New Roman" w:hAnsi="Arial" w:cs="Times New Roman"/>
                <w:b/>
                <w:sz w:val="20"/>
                <w:lang w:val="sq-AL"/>
              </w:rPr>
              <w:t>2011</w:t>
            </w:r>
            <w:r w:rsidRPr="007E2640">
              <w:rPr>
                <w:rFonts w:ascii="Arial" w:eastAsia="Times New Roman" w:hAnsi="Arial" w:cs="Times New Roman"/>
                <w:b/>
                <w:spacing w:val="-3"/>
                <w:sz w:val="20"/>
                <w:lang w:val="sq-AL"/>
              </w:rPr>
              <w:t xml:space="preserve"> </w:t>
            </w:r>
            <w:r w:rsidRPr="007E2640">
              <w:rPr>
                <w:rFonts w:ascii="Arial" w:eastAsia="Times New Roman" w:hAnsi="Arial" w:cs="Times New Roman"/>
                <w:b/>
                <w:sz w:val="20"/>
                <w:lang w:val="sq-AL"/>
              </w:rPr>
              <w:t>–</w:t>
            </w:r>
            <w:r w:rsidRPr="007E2640">
              <w:rPr>
                <w:rFonts w:ascii="Arial" w:eastAsia="Times New Roman" w:hAnsi="Arial" w:cs="Times New Roman"/>
                <w:b/>
                <w:spacing w:val="-4"/>
                <w:sz w:val="20"/>
                <w:lang w:val="sq-AL"/>
              </w:rPr>
              <w:t xml:space="preserve"> 2025</w:t>
            </w:r>
          </w:p>
        </w:tc>
        <w:tc>
          <w:tcPr>
            <w:tcW w:w="1737" w:type="dxa"/>
            <w:tcBorders>
              <w:top w:val="single" w:sz="8" w:space="0" w:color="9BBA58"/>
              <w:left w:val="single" w:sz="8" w:space="0" w:color="9BBA58"/>
              <w:bottom w:val="single" w:sz="8" w:space="0" w:color="9BBA58"/>
            </w:tcBorders>
          </w:tcPr>
          <w:p w:rsidR="007E2640" w:rsidRPr="007E2640" w:rsidRDefault="007E2640" w:rsidP="007E2640">
            <w:pPr>
              <w:widowControl w:val="0"/>
              <w:autoSpaceDE w:val="0"/>
              <w:autoSpaceDN w:val="0"/>
              <w:spacing w:after="0" w:line="216" w:lineRule="exact"/>
              <w:ind w:left="22"/>
              <w:jc w:val="center"/>
              <w:rPr>
                <w:rFonts w:ascii="Arial" w:eastAsia="Times New Roman" w:hAnsi="Times New Roman" w:cs="Times New Roman"/>
                <w:b/>
                <w:sz w:val="20"/>
                <w:lang w:val="sq-AL"/>
              </w:rPr>
            </w:pPr>
            <w:r w:rsidRPr="007E2640">
              <w:rPr>
                <w:rFonts w:ascii="Arial" w:eastAsia="Times New Roman" w:hAnsi="Times New Roman" w:cs="Times New Roman"/>
                <w:b/>
                <w:color w:val="00AF50"/>
                <w:sz w:val="20"/>
                <w:lang w:val="sq-AL"/>
              </w:rPr>
              <w:t>+</w:t>
            </w:r>
            <w:r w:rsidRPr="007E2640">
              <w:rPr>
                <w:rFonts w:ascii="Arial" w:eastAsia="Times New Roman" w:hAnsi="Times New Roman" w:cs="Times New Roman"/>
                <w:b/>
                <w:color w:val="00AF50"/>
                <w:spacing w:val="-4"/>
                <w:sz w:val="20"/>
                <w:lang w:val="sq-AL"/>
              </w:rPr>
              <w:t xml:space="preserve"> </w:t>
            </w:r>
            <w:r w:rsidRPr="007E2640">
              <w:rPr>
                <w:rFonts w:ascii="Arial" w:eastAsia="Times New Roman" w:hAnsi="Times New Roman" w:cs="Times New Roman"/>
                <w:b/>
                <w:color w:val="00AF50"/>
                <w:sz w:val="20"/>
                <w:lang w:val="sq-AL"/>
              </w:rPr>
              <w:t>10.4</w:t>
            </w:r>
            <w:r w:rsidRPr="007E2640">
              <w:rPr>
                <w:rFonts w:ascii="Arial" w:eastAsia="Times New Roman" w:hAnsi="Times New Roman" w:cs="Times New Roman"/>
                <w:b/>
                <w:color w:val="00AF50"/>
                <w:spacing w:val="-2"/>
                <w:sz w:val="20"/>
                <w:lang w:val="sq-AL"/>
              </w:rPr>
              <w:t xml:space="preserve"> </w:t>
            </w:r>
            <w:r w:rsidRPr="007E2640">
              <w:rPr>
                <w:rFonts w:ascii="Arial" w:eastAsia="Times New Roman" w:hAnsi="Times New Roman" w:cs="Times New Roman"/>
                <w:b/>
                <w:color w:val="00AF50"/>
                <w:spacing w:val="-5"/>
                <w:sz w:val="20"/>
                <w:lang w:val="sq-AL"/>
              </w:rPr>
              <w:t>cm</w:t>
            </w:r>
          </w:p>
        </w:tc>
        <w:tc>
          <w:tcPr>
            <w:tcW w:w="1952" w:type="dxa"/>
            <w:vMerge/>
            <w:tcBorders>
              <w:top w:val="nil"/>
              <w:bottom w:val="single" w:sz="8" w:space="0" w:color="9BBA58"/>
              <w:right w:val="single" w:sz="12" w:space="0" w:color="85A644"/>
            </w:tcBorders>
          </w:tcPr>
          <w:p w:rsidR="007E2640" w:rsidRPr="007E2640" w:rsidRDefault="007E2640" w:rsidP="007E2640">
            <w:pPr>
              <w:widowControl w:val="0"/>
              <w:autoSpaceDE w:val="0"/>
              <w:autoSpaceDN w:val="0"/>
              <w:spacing w:after="0" w:line="240" w:lineRule="auto"/>
              <w:rPr>
                <w:rFonts w:ascii="Times New Roman" w:eastAsia="Times New Roman" w:hAnsi="Times New Roman" w:cs="Times New Roman"/>
                <w:sz w:val="2"/>
                <w:szCs w:val="2"/>
                <w:lang w:val="sq-AL"/>
              </w:rPr>
            </w:pPr>
          </w:p>
        </w:tc>
      </w:tr>
      <w:tr w:rsidR="007E2640" w:rsidRPr="007E2640" w:rsidTr="007E2640">
        <w:trPr>
          <w:trHeight w:val="236"/>
        </w:trPr>
        <w:tc>
          <w:tcPr>
            <w:tcW w:w="737" w:type="dxa"/>
            <w:tcBorders>
              <w:top w:val="single" w:sz="8" w:space="0" w:color="9BBA58"/>
              <w:bottom w:val="single" w:sz="8" w:space="0" w:color="9BBA58"/>
            </w:tcBorders>
          </w:tcPr>
          <w:p w:rsidR="007E2640" w:rsidRPr="007E2640" w:rsidRDefault="007E2640" w:rsidP="007E2640">
            <w:pPr>
              <w:widowControl w:val="0"/>
              <w:autoSpaceDE w:val="0"/>
              <w:autoSpaceDN w:val="0"/>
              <w:spacing w:after="0" w:line="216" w:lineRule="exact"/>
              <w:ind w:left="27" w:right="1"/>
              <w:jc w:val="center"/>
              <w:rPr>
                <w:rFonts w:ascii="Arial" w:eastAsia="Times New Roman" w:hAnsi="Times New Roman" w:cs="Times New Roman"/>
                <w:b/>
                <w:sz w:val="20"/>
                <w:lang w:val="sq-AL"/>
              </w:rPr>
            </w:pPr>
            <w:r w:rsidRPr="007E2640">
              <w:rPr>
                <w:rFonts w:ascii="Arial" w:eastAsia="Times New Roman" w:hAnsi="Times New Roman" w:cs="Times New Roman"/>
                <w:b/>
                <w:spacing w:val="-10"/>
                <w:sz w:val="20"/>
                <w:lang w:val="sq-AL"/>
              </w:rPr>
              <w:t>3</w:t>
            </w:r>
          </w:p>
        </w:tc>
        <w:tc>
          <w:tcPr>
            <w:tcW w:w="1133" w:type="dxa"/>
            <w:vMerge/>
            <w:tcBorders>
              <w:top w:val="nil"/>
            </w:tcBorders>
          </w:tcPr>
          <w:p w:rsidR="007E2640" w:rsidRPr="007E2640" w:rsidRDefault="007E2640" w:rsidP="007E2640">
            <w:pPr>
              <w:widowControl w:val="0"/>
              <w:autoSpaceDE w:val="0"/>
              <w:autoSpaceDN w:val="0"/>
              <w:spacing w:after="0" w:line="240" w:lineRule="auto"/>
              <w:rPr>
                <w:rFonts w:ascii="Times New Roman" w:eastAsia="Times New Roman" w:hAnsi="Times New Roman" w:cs="Times New Roman"/>
                <w:sz w:val="2"/>
                <w:szCs w:val="2"/>
                <w:lang w:val="sq-AL"/>
              </w:rPr>
            </w:pPr>
          </w:p>
        </w:tc>
        <w:tc>
          <w:tcPr>
            <w:tcW w:w="1986" w:type="dxa"/>
            <w:tcBorders>
              <w:top w:val="single" w:sz="8" w:space="0" w:color="9BBA58"/>
              <w:bottom w:val="single" w:sz="8" w:space="0" w:color="9BBA58"/>
            </w:tcBorders>
          </w:tcPr>
          <w:p w:rsidR="007E2640" w:rsidRPr="007E2640" w:rsidRDefault="007E2640" w:rsidP="007E2640">
            <w:pPr>
              <w:widowControl w:val="0"/>
              <w:autoSpaceDE w:val="0"/>
              <w:autoSpaceDN w:val="0"/>
              <w:spacing w:after="0" w:line="216" w:lineRule="exact"/>
              <w:ind w:left="106"/>
              <w:rPr>
                <w:rFonts w:ascii="Arial" w:eastAsia="Times New Roman" w:hAnsi="Arial" w:cs="Times New Roman"/>
                <w:b/>
                <w:sz w:val="20"/>
                <w:lang w:val="sq-AL"/>
              </w:rPr>
            </w:pPr>
            <w:r w:rsidRPr="007E2640">
              <w:rPr>
                <w:rFonts w:ascii="Arial" w:eastAsia="Times New Roman" w:hAnsi="Arial" w:cs="Times New Roman"/>
                <w:b/>
                <w:sz w:val="20"/>
                <w:lang w:val="sq-AL"/>
              </w:rPr>
              <w:t>Mali</w:t>
            </w:r>
            <w:r w:rsidRPr="007E2640">
              <w:rPr>
                <w:rFonts w:ascii="Arial" w:eastAsia="Times New Roman" w:hAnsi="Arial" w:cs="Times New Roman"/>
                <w:b/>
                <w:spacing w:val="-2"/>
                <w:sz w:val="20"/>
                <w:lang w:val="sq-AL"/>
              </w:rPr>
              <w:t xml:space="preserve"> </w:t>
            </w:r>
            <w:r w:rsidRPr="007E2640">
              <w:rPr>
                <w:rFonts w:ascii="Arial" w:eastAsia="Times New Roman" w:hAnsi="Arial" w:cs="Times New Roman"/>
                <w:b/>
                <w:sz w:val="20"/>
                <w:lang w:val="sq-AL"/>
              </w:rPr>
              <w:t>i</w:t>
            </w:r>
            <w:r w:rsidRPr="007E2640">
              <w:rPr>
                <w:rFonts w:ascii="Arial" w:eastAsia="Times New Roman" w:hAnsi="Arial" w:cs="Times New Roman"/>
                <w:b/>
                <w:spacing w:val="-1"/>
                <w:sz w:val="20"/>
                <w:lang w:val="sq-AL"/>
              </w:rPr>
              <w:t xml:space="preserve"> </w:t>
            </w:r>
            <w:r w:rsidRPr="007E2640">
              <w:rPr>
                <w:rFonts w:ascii="Arial" w:eastAsia="Times New Roman" w:hAnsi="Arial" w:cs="Times New Roman"/>
                <w:b/>
                <w:spacing w:val="-2"/>
                <w:sz w:val="20"/>
                <w:lang w:val="sq-AL"/>
              </w:rPr>
              <w:t>Rrëzuem</w:t>
            </w:r>
          </w:p>
        </w:tc>
        <w:tc>
          <w:tcPr>
            <w:tcW w:w="1986" w:type="dxa"/>
            <w:tcBorders>
              <w:top w:val="single" w:sz="8" w:space="0" w:color="9BBA58"/>
              <w:bottom w:val="single" w:sz="8" w:space="0" w:color="9BBA58"/>
              <w:right w:val="single" w:sz="8" w:space="0" w:color="9BBA58"/>
            </w:tcBorders>
          </w:tcPr>
          <w:p w:rsidR="007E2640" w:rsidRPr="007E2640" w:rsidRDefault="007E2640" w:rsidP="007E2640">
            <w:pPr>
              <w:widowControl w:val="0"/>
              <w:autoSpaceDE w:val="0"/>
              <w:autoSpaceDN w:val="0"/>
              <w:spacing w:after="0" w:line="216" w:lineRule="exact"/>
              <w:ind w:left="18"/>
              <w:jc w:val="center"/>
              <w:rPr>
                <w:rFonts w:ascii="Arial" w:eastAsia="Times New Roman" w:hAnsi="Arial" w:cs="Times New Roman"/>
                <w:b/>
                <w:sz w:val="20"/>
                <w:lang w:val="sq-AL"/>
              </w:rPr>
            </w:pPr>
            <w:r w:rsidRPr="007E2640">
              <w:rPr>
                <w:rFonts w:ascii="Arial" w:eastAsia="Times New Roman" w:hAnsi="Arial" w:cs="Times New Roman"/>
                <w:b/>
                <w:sz w:val="20"/>
                <w:lang w:val="sq-AL"/>
              </w:rPr>
              <w:t>2009</w:t>
            </w:r>
            <w:r w:rsidRPr="007E2640">
              <w:rPr>
                <w:rFonts w:ascii="Arial" w:eastAsia="Times New Roman" w:hAnsi="Arial" w:cs="Times New Roman"/>
                <w:b/>
                <w:spacing w:val="-3"/>
                <w:sz w:val="20"/>
                <w:lang w:val="sq-AL"/>
              </w:rPr>
              <w:t xml:space="preserve"> </w:t>
            </w:r>
            <w:r w:rsidRPr="007E2640">
              <w:rPr>
                <w:rFonts w:ascii="Arial" w:eastAsia="Times New Roman" w:hAnsi="Arial" w:cs="Times New Roman"/>
                <w:b/>
                <w:sz w:val="20"/>
                <w:lang w:val="sq-AL"/>
              </w:rPr>
              <w:t>–</w:t>
            </w:r>
            <w:r w:rsidRPr="007E2640">
              <w:rPr>
                <w:rFonts w:ascii="Arial" w:eastAsia="Times New Roman" w:hAnsi="Arial" w:cs="Times New Roman"/>
                <w:b/>
                <w:spacing w:val="-4"/>
                <w:sz w:val="20"/>
                <w:lang w:val="sq-AL"/>
              </w:rPr>
              <w:t xml:space="preserve"> 2025</w:t>
            </w:r>
          </w:p>
        </w:tc>
        <w:tc>
          <w:tcPr>
            <w:tcW w:w="1737" w:type="dxa"/>
            <w:tcBorders>
              <w:top w:val="single" w:sz="8" w:space="0" w:color="9BBA58"/>
              <w:left w:val="single" w:sz="8" w:space="0" w:color="9BBA58"/>
              <w:bottom w:val="single" w:sz="8" w:space="0" w:color="9BBA58"/>
            </w:tcBorders>
          </w:tcPr>
          <w:p w:rsidR="007E2640" w:rsidRPr="007E2640" w:rsidRDefault="007E2640" w:rsidP="007E2640">
            <w:pPr>
              <w:widowControl w:val="0"/>
              <w:autoSpaceDE w:val="0"/>
              <w:autoSpaceDN w:val="0"/>
              <w:spacing w:after="0" w:line="216" w:lineRule="exact"/>
              <w:ind w:left="22"/>
              <w:jc w:val="center"/>
              <w:rPr>
                <w:rFonts w:ascii="Arial" w:eastAsia="Times New Roman" w:hAnsi="Arial" w:cs="Times New Roman"/>
                <w:b/>
                <w:sz w:val="20"/>
                <w:lang w:val="sq-AL"/>
              </w:rPr>
            </w:pPr>
            <w:r w:rsidRPr="007E2640">
              <w:rPr>
                <w:rFonts w:ascii="Arial" w:eastAsia="Times New Roman" w:hAnsi="Arial" w:cs="Times New Roman"/>
                <w:b/>
                <w:color w:val="FF0000"/>
                <w:sz w:val="20"/>
                <w:lang w:val="sq-AL"/>
              </w:rPr>
              <w:t>–</w:t>
            </w:r>
            <w:r w:rsidRPr="007E2640">
              <w:rPr>
                <w:rFonts w:ascii="Arial" w:eastAsia="Times New Roman" w:hAnsi="Arial" w:cs="Times New Roman"/>
                <w:b/>
                <w:color w:val="FF0000"/>
                <w:spacing w:val="-4"/>
                <w:sz w:val="20"/>
                <w:lang w:val="sq-AL"/>
              </w:rPr>
              <w:t xml:space="preserve"> </w:t>
            </w:r>
            <w:r w:rsidRPr="007E2640">
              <w:rPr>
                <w:rFonts w:ascii="Arial" w:eastAsia="Times New Roman" w:hAnsi="Arial" w:cs="Times New Roman"/>
                <w:b/>
                <w:color w:val="FF0000"/>
                <w:sz w:val="20"/>
                <w:lang w:val="sq-AL"/>
              </w:rPr>
              <w:t>108.7</w:t>
            </w:r>
            <w:r w:rsidRPr="007E2640">
              <w:rPr>
                <w:rFonts w:ascii="Arial" w:eastAsia="Times New Roman" w:hAnsi="Arial" w:cs="Times New Roman"/>
                <w:b/>
                <w:color w:val="FF0000"/>
                <w:spacing w:val="-2"/>
                <w:sz w:val="20"/>
                <w:lang w:val="sq-AL"/>
              </w:rPr>
              <w:t xml:space="preserve"> </w:t>
            </w:r>
            <w:r w:rsidRPr="007E2640">
              <w:rPr>
                <w:rFonts w:ascii="Arial" w:eastAsia="Times New Roman" w:hAnsi="Arial" w:cs="Times New Roman"/>
                <w:b/>
                <w:color w:val="FF0000"/>
                <w:spacing w:val="-5"/>
                <w:sz w:val="20"/>
                <w:lang w:val="sq-AL"/>
              </w:rPr>
              <w:t>cm</w:t>
            </w:r>
          </w:p>
        </w:tc>
        <w:tc>
          <w:tcPr>
            <w:tcW w:w="1952" w:type="dxa"/>
            <w:tcBorders>
              <w:top w:val="single" w:sz="8" w:space="0" w:color="9BBA58"/>
              <w:bottom w:val="single" w:sz="6" w:space="0" w:color="85A644"/>
              <w:right w:val="single" w:sz="12" w:space="0" w:color="85A644"/>
            </w:tcBorders>
          </w:tcPr>
          <w:p w:rsidR="007E2640" w:rsidRPr="007E2640" w:rsidRDefault="007E2640" w:rsidP="007E2640">
            <w:pPr>
              <w:widowControl w:val="0"/>
              <w:autoSpaceDE w:val="0"/>
              <w:autoSpaceDN w:val="0"/>
              <w:spacing w:after="0" w:line="216" w:lineRule="exact"/>
              <w:ind w:left="15" w:right="3"/>
              <w:jc w:val="center"/>
              <w:rPr>
                <w:rFonts w:ascii="Arial" w:eastAsia="Times New Roman" w:hAnsi="Times New Roman" w:cs="Times New Roman"/>
                <w:b/>
                <w:sz w:val="20"/>
                <w:lang w:val="sq-AL"/>
              </w:rPr>
            </w:pPr>
            <w:r w:rsidRPr="007E2640">
              <w:rPr>
                <w:rFonts w:ascii="Arial" w:eastAsia="Times New Roman" w:hAnsi="Times New Roman" w:cs="Times New Roman"/>
                <w:b/>
                <w:color w:val="FF0000"/>
                <w:spacing w:val="-4"/>
                <w:sz w:val="20"/>
                <w:lang w:val="sq-AL"/>
              </w:rPr>
              <w:t>31.1</w:t>
            </w:r>
          </w:p>
        </w:tc>
      </w:tr>
      <w:tr w:rsidR="007E2640" w:rsidRPr="007E2640" w:rsidTr="007E2640">
        <w:trPr>
          <w:trHeight w:val="255"/>
        </w:trPr>
        <w:tc>
          <w:tcPr>
            <w:tcW w:w="737" w:type="dxa"/>
            <w:vMerge w:val="restart"/>
            <w:tcBorders>
              <w:top w:val="single" w:sz="8" w:space="0" w:color="9BBA58"/>
              <w:bottom w:val="single" w:sz="8" w:space="0" w:color="9BBA58"/>
            </w:tcBorders>
          </w:tcPr>
          <w:p w:rsidR="007E2640" w:rsidRPr="007E2640" w:rsidRDefault="007E2640" w:rsidP="007E2640">
            <w:pPr>
              <w:widowControl w:val="0"/>
              <w:autoSpaceDE w:val="0"/>
              <w:autoSpaceDN w:val="0"/>
              <w:spacing w:before="150" w:after="0" w:line="240" w:lineRule="auto"/>
              <w:ind w:left="27" w:right="1"/>
              <w:jc w:val="center"/>
              <w:rPr>
                <w:rFonts w:ascii="Arial" w:eastAsia="Times New Roman" w:hAnsi="Times New Roman" w:cs="Times New Roman"/>
                <w:b/>
                <w:sz w:val="20"/>
                <w:lang w:val="sq-AL"/>
              </w:rPr>
            </w:pPr>
            <w:r w:rsidRPr="007E2640">
              <w:rPr>
                <w:rFonts w:ascii="Arial" w:eastAsia="Times New Roman" w:hAnsi="Times New Roman" w:cs="Times New Roman"/>
                <w:b/>
                <w:spacing w:val="-10"/>
                <w:sz w:val="20"/>
                <w:lang w:val="sq-AL"/>
              </w:rPr>
              <w:t>4</w:t>
            </w:r>
          </w:p>
        </w:tc>
        <w:tc>
          <w:tcPr>
            <w:tcW w:w="1133" w:type="dxa"/>
            <w:vMerge/>
            <w:tcBorders>
              <w:top w:val="nil"/>
            </w:tcBorders>
          </w:tcPr>
          <w:p w:rsidR="007E2640" w:rsidRPr="007E2640" w:rsidRDefault="007E2640" w:rsidP="007E2640">
            <w:pPr>
              <w:widowControl w:val="0"/>
              <w:autoSpaceDE w:val="0"/>
              <w:autoSpaceDN w:val="0"/>
              <w:spacing w:after="0" w:line="240" w:lineRule="auto"/>
              <w:rPr>
                <w:rFonts w:ascii="Times New Roman" w:eastAsia="Times New Roman" w:hAnsi="Times New Roman" w:cs="Times New Roman"/>
                <w:sz w:val="2"/>
                <w:szCs w:val="2"/>
                <w:lang w:val="sq-AL"/>
              </w:rPr>
            </w:pPr>
          </w:p>
        </w:tc>
        <w:tc>
          <w:tcPr>
            <w:tcW w:w="1986" w:type="dxa"/>
            <w:vMerge w:val="restart"/>
            <w:tcBorders>
              <w:top w:val="single" w:sz="8" w:space="0" w:color="9BBA58"/>
              <w:bottom w:val="single" w:sz="8" w:space="0" w:color="9BBA58"/>
            </w:tcBorders>
          </w:tcPr>
          <w:p w:rsidR="007E2640" w:rsidRPr="007E2640" w:rsidRDefault="007E2640" w:rsidP="007E2640">
            <w:pPr>
              <w:widowControl w:val="0"/>
              <w:autoSpaceDE w:val="0"/>
              <w:autoSpaceDN w:val="0"/>
              <w:spacing w:before="150" w:after="0" w:line="240" w:lineRule="auto"/>
              <w:ind w:left="106"/>
              <w:rPr>
                <w:rFonts w:ascii="Arial" w:eastAsia="Times New Roman" w:hAnsi="Times New Roman" w:cs="Times New Roman"/>
                <w:b/>
                <w:sz w:val="20"/>
                <w:lang w:val="sq-AL"/>
              </w:rPr>
            </w:pPr>
            <w:r w:rsidRPr="007E2640">
              <w:rPr>
                <w:rFonts w:ascii="Arial" w:eastAsia="Times New Roman" w:hAnsi="Times New Roman" w:cs="Times New Roman"/>
                <w:b/>
                <w:spacing w:val="-2"/>
                <w:sz w:val="20"/>
                <w:lang w:val="sq-AL"/>
              </w:rPr>
              <w:t>Bardhaj</w:t>
            </w:r>
          </w:p>
        </w:tc>
        <w:tc>
          <w:tcPr>
            <w:tcW w:w="1986" w:type="dxa"/>
            <w:tcBorders>
              <w:top w:val="single" w:sz="8" w:space="0" w:color="9BBA58"/>
              <w:bottom w:val="single" w:sz="8" w:space="0" w:color="9BBA58"/>
              <w:right w:val="single" w:sz="8" w:space="0" w:color="9BBA58"/>
            </w:tcBorders>
          </w:tcPr>
          <w:p w:rsidR="007E2640" w:rsidRPr="007E2640" w:rsidRDefault="007E2640" w:rsidP="007E2640">
            <w:pPr>
              <w:widowControl w:val="0"/>
              <w:autoSpaceDE w:val="0"/>
              <w:autoSpaceDN w:val="0"/>
              <w:spacing w:before="8" w:after="0" w:line="227" w:lineRule="exact"/>
              <w:ind w:left="18"/>
              <w:jc w:val="center"/>
              <w:rPr>
                <w:rFonts w:ascii="Arial" w:eastAsia="Times New Roman" w:hAnsi="Arial" w:cs="Times New Roman"/>
                <w:b/>
                <w:sz w:val="20"/>
                <w:lang w:val="sq-AL"/>
              </w:rPr>
            </w:pPr>
            <w:r w:rsidRPr="007E2640">
              <w:rPr>
                <w:rFonts w:ascii="Arial" w:eastAsia="Times New Roman" w:hAnsi="Arial" w:cs="Times New Roman"/>
                <w:b/>
                <w:sz w:val="20"/>
                <w:lang w:val="sq-AL"/>
              </w:rPr>
              <w:t>2007</w:t>
            </w:r>
            <w:r w:rsidRPr="007E2640">
              <w:rPr>
                <w:rFonts w:ascii="Arial" w:eastAsia="Times New Roman" w:hAnsi="Arial" w:cs="Times New Roman"/>
                <w:b/>
                <w:spacing w:val="-3"/>
                <w:sz w:val="20"/>
                <w:lang w:val="sq-AL"/>
              </w:rPr>
              <w:t xml:space="preserve"> </w:t>
            </w:r>
            <w:r w:rsidRPr="007E2640">
              <w:rPr>
                <w:rFonts w:ascii="Arial" w:eastAsia="Times New Roman" w:hAnsi="Arial" w:cs="Times New Roman"/>
                <w:b/>
                <w:sz w:val="20"/>
                <w:lang w:val="sq-AL"/>
              </w:rPr>
              <w:t>–</w:t>
            </w:r>
            <w:r w:rsidRPr="007E2640">
              <w:rPr>
                <w:rFonts w:ascii="Arial" w:eastAsia="Times New Roman" w:hAnsi="Arial" w:cs="Times New Roman"/>
                <w:b/>
                <w:spacing w:val="-4"/>
                <w:sz w:val="20"/>
                <w:lang w:val="sq-AL"/>
              </w:rPr>
              <w:t xml:space="preserve"> 2025</w:t>
            </w:r>
          </w:p>
        </w:tc>
        <w:tc>
          <w:tcPr>
            <w:tcW w:w="1737" w:type="dxa"/>
            <w:tcBorders>
              <w:top w:val="single" w:sz="8" w:space="0" w:color="9BBA58"/>
              <w:left w:val="single" w:sz="8" w:space="0" w:color="9BBA58"/>
              <w:bottom w:val="single" w:sz="8" w:space="0" w:color="9BBA58"/>
            </w:tcBorders>
          </w:tcPr>
          <w:p w:rsidR="007E2640" w:rsidRPr="007E2640" w:rsidRDefault="007E2640" w:rsidP="007E2640">
            <w:pPr>
              <w:widowControl w:val="0"/>
              <w:autoSpaceDE w:val="0"/>
              <w:autoSpaceDN w:val="0"/>
              <w:spacing w:before="8" w:after="0" w:line="227" w:lineRule="exact"/>
              <w:ind w:left="22" w:right="2"/>
              <w:jc w:val="center"/>
              <w:rPr>
                <w:rFonts w:ascii="Arial" w:eastAsia="Times New Roman" w:hAnsi="Arial" w:cs="Times New Roman"/>
                <w:b/>
                <w:sz w:val="20"/>
                <w:lang w:val="sq-AL"/>
              </w:rPr>
            </w:pPr>
            <w:r w:rsidRPr="007E2640">
              <w:rPr>
                <w:rFonts w:ascii="Arial" w:eastAsia="Times New Roman" w:hAnsi="Arial" w:cs="Times New Roman"/>
                <w:b/>
                <w:color w:val="FF0000"/>
                <w:sz w:val="20"/>
                <w:lang w:val="sq-AL"/>
              </w:rPr>
              <w:t>–</w:t>
            </w:r>
            <w:r w:rsidRPr="007E2640">
              <w:rPr>
                <w:rFonts w:ascii="Arial" w:eastAsia="Times New Roman" w:hAnsi="Arial" w:cs="Times New Roman"/>
                <w:b/>
                <w:color w:val="FF0000"/>
                <w:spacing w:val="-5"/>
                <w:sz w:val="20"/>
                <w:lang w:val="sq-AL"/>
              </w:rPr>
              <w:t xml:space="preserve"> </w:t>
            </w:r>
            <w:r w:rsidRPr="007E2640">
              <w:rPr>
                <w:rFonts w:ascii="Arial" w:eastAsia="Times New Roman" w:hAnsi="Arial" w:cs="Times New Roman"/>
                <w:b/>
                <w:color w:val="FF0000"/>
                <w:sz w:val="20"/>
                <w:lang w:val="sq-AL"/>
              </w:rPr>
              <w:t>62.9</w:t>
            </w:r>
            <w:r w:rsidRPr="007E2640">
              <w:rPr>
                <w:rFonts w:ascii="Arial" w:eastAsia="Times New Roman" w:hAnsi="Arial" w:cs="Times New Roman"/>
                <w:b/>
                <w:color w:val="FF0000"/>
                <w:spacing w:val="-3"/>
                <w:sz w:val="20"/>
                <w:lang w:val="sq-AL"/>
              </w:rPr>
              <w:t xml:space="preserve"> </w:t>
            </w:r>
            <w:r w:rsidRPr="007E2640">
              <w:rPr>
                <w:rFonts w:ascii="Arial" w:eastAsia="Times New Roman" w:hAnsi="Arial" w:cs="Times New Roman"/>
                <w:b/>
                <w:color w:val="FF0000"/>
                <w:spacing w:val="-5"/>
                <w:sz w:val="20"/>
                <w:lang w:val="sq-AL"/>
              </w:rPr>
              <w:t>cm</w:t>
            </w:r>
          </w:p>
        </w:tc>
        <w:tc>
          <w:tcPr>
            <w:tcW w:w="1952" w:type="dxa"/>
            <w:vMerge w:val="restart"/>
            <w:tcBorders>
              <w:top w:val="single" w:sz="6" w:space="0" w:color="85A644"/>
              <w:bottom w:val="single" w:sz="8" w:space="0" w:color="9BBA58"/>
              <w:right w:val="single" w:sz="12" w:space="0" w:color="85A644"/>
            </w:tcBorders>
          </w:tcPr>
          <w:p w:rsidR="007E2640" w:rsidRPr="007E2640" w:rsidRDefault="007E2640" w:rsidP="007E2640">
            <w:pPr>
              <w:widowControl w:val="0"/>
              <w:autoSpaceDE w:val="0"/>
              <w:autoSpaceDN w:val="0"/>
              <w:spacing w:before="150" w:after="0" w:line="240" w:lineRule="auto"/>
              <w:ind w:left="15" w:right="3"/>
              <w:jc w:val="center"/>
              <w:rPr>
                <w:rFonts w:ascii="Arial" w:eastAsia="Times New Roman" w:hAnsi="Times New Roman" w:cs="Times New Roman"/>
                <w:b/>
                <w:sz w:val="20"/>
                <w:lang w:val="sq-AL"/>
              </w:rPr>
            </w:pPr>
            <w:r w:rsidRPr="007E2640">
              <w:rPr>
                <w:rFonts w:ascii="Arial" w:eastAsia="Times New Roman" w:hAnsi="Times New Roman" w:cs="Times New Roman"/>
                <w:b/>
                <w:color w:val="006FC0"/>
                <w:spacing w:val="-5"/>
                <w:sz w:val="20"/>
                <w:lang w:val="sq-AL"/>
              </w:rPr>
              <w:t>0.0</w:t>
            </w:r>
          </w:p>
        </w:tc>
      </w:tr>
      <w:tr w:rsidR="007E2640" w:rsidRPr="007E2640" w:rsidTr="007E2640">
        <w:trPr>
          <w:trHeight w:val="256"/>
        </w:trPr>
        <w:tc>
          <w:tcPr>
            <w:tcW w:w="737" w:type="dxa"/>
            <w:vMerge/>
            <w:tcBorders>
              <w:top w:val="nil"/>
              <w:bottom w:val="single" w:sz="8" w:space="0" w:color="9BBA58"/>
            </w:tcBorders>
          </w:tcPr>
          <w:p w:rsidR="007E2640" w:rsidRPr="007E2640" w:rsidRDefault="007E2640" w:rsidP="007E2640">
            <w:pPr>
              <w:widowControl w:val="0"/>
              <w:autoSpaceDE w:val="0"/>
              <w:autoSpaceDN w:val="0"/>
              <w:spacing w:after="0" w:line="240" w:lineRule="auto"/>
              <w:rPr>
                <w:rFonts w:ascii="Times New Roman" w:eastAsia="Times New Roman" w:hAnsi="Times New Roman" w:cs="Times New Roman"/>
                <w:sz w:val="2"/>
                <w:szCs w:val="2"/>
                <w:lang w:val="sq-AL"/>
              </w:rPr>
            </w:pPr>
          </w:p>
        </w:tc>
        <w:tc>
          <w:tcPr>
            <w:tcW w:w="1133" w:type="dxa"/>
            <w:vMerge/>
            <w:tcBorders>
              <w:top w:val="nil"/>
            </w:tcBorders>
          </w:tcPr>
          <w:p w:rsidR="007E2640" w:rsidRPr="007E2640" w:rsidRDefault="007E2640" w:rsidP="007E2640">
            <w:pPr>
              <w:widowControl w:val="0"/>
              <w:autoSpaceDE w:val="0"/>
              <w:autoSpaceDN w:val="0"/>
              <w:spacing w:after="0" w:line="240" w:lineRule="auto"/>
              <w:rPr>
                <w:rFonts w:ascii="Times New Roman" w:eastAsia="Times New Roman" w:hAnsi="Times New Roman" w:cs="Times New Roman"/>
                <w:sz w:val="2"/>
                <w:szCs w:val="2"/>
                <w:lang w:val="sq-AL"/>
              </w:rPr>
            </w:pPr>
          </w:p>
        </w:tc>
        <w:tc>
          <w:tcPr>
            <w:tcW w:w="1986" w:type="dxa"/>
            <w:vMerge/>
            <w:tcBorders>
              <w:top w:val="nil"/>
              <w:bottom w:val="single" w:sz="8" w:space="0" w:color="9BBA58"/>
            </w:tcBorders>
          </w:tcPr>
          <w:p w:rsidR="007E2640" w:rsidRPr="007E2640" w:rsidRDefault="007E2640" w:rsidP="007E2640">
            <w:pPr>
              <w:widowControl w:val="0"/>
              <w:autoSpaceDE w:val="0"/>
              <w:autoSpaceDN w:val="0"/>
              <w:spacing w:after="0" w:line="240" w:lineRule="auto"/>
              <w:rPr>
                <w:rFonts w:ascii="Times New Roman" w:eastAsia="Times New Roman" w:hAnsi="Times New Roman" w:cs="Times New Roman"/>
                <w:sz w:val="2"/>
                <w:szCs w:val="2"/>
                <w:lang w:val="sq-AL"/>
              </w:rPr>
            </w:pPr>
          </w:p>
        </w:tc>
        <w:tc>
          <w:tcPr>
            <w:tcW w:w="1986" w:type="dxa"/>
            <w:tcBorders>
              <w:top w:val="single" w:sz="8" w:space="0" w:color="9BBA58"/>
              <w:bottom w:val="single" w:sz="8" w:space="0" w:color="9BBA58"/>
              <w:right w:val="single" w:sz="8" w:space="0" w:color="9BBA58"/>
            </w:tcBorders>
          </w:tcPr>
          <w:p w:rsidR="007E2640" w:rsidRPr="007E2640" w:rsidRDefault="007E2640" w:rsidP="007E2640">
            <w:pPr>
              <w:widowControl w:val="0"/>
              <w:autoSpaceDE w:val="0"/>
              <w:autoSpaceDN w:val="0"/>
              <w:spacing w:before="8" w:after="0" w:line="228" w:lineRule="exact"/>
              <w:ind w:left="18"/>
              <w:jc w:val="center"/>
              <w:rPr>
                <w:rFonts w:ascii="Arial" w:eastAsia="Times New Roman" w:hAnsi="Arial" w:cs="Times New Roman"/>
                <w:b/>
                <w:sz w:val="20"/>
                <w:lang w:val="sq-AL"/>
              </w:rPr>
            </w:pPr>
            <w:r w:rsidRPr="007E2640">
              <w:rPr>
                <w:rFonts w:ascii="Arial" w:eastAsia="Times New Roman" w:hAnsi="Arial" w:cs="Times New Roman"/>
                <w:b/>
                <w:sz w:val="20"/>
                <w:lang w:val="sq-AL"/>
              </w:rPr>
              <w:t>2011</w:t>
            </w:r>
            <w:r w:rsidRPr="007E2640">
              <w:rPr>
                <w:rFonts w:ascii="Arial" w:eastAsia="Times New Roman" w:hAnsi="Arial" w:cs="Times New Roman"/>
                <w:b/>
                <w:spacing w:val="-3"/>
                <w:sz w:val="20"/>
                <w:lang w:val="sq-AL"/>
              </w:rPr>
              <w:t xml:space="preserve"> </w:t>
            </w:r>
            <w:r w:rsidRPr="007E2640">
              <w:rPr>
                <w:rFonts w:ascii="Arial" w:eastAsia="Times New Roman" w:hAnsi="Arial" w:cs="Times New Roman"/>
                <w:b/>
                <w:sz w:val="20"/>
                <w:lang w:val="sq-AL"/>
              </w:rPr>
              <w:t>–</w:t>
            </w:r>
            <w:r w:rsidRPr="007E2640">
              <w:rPr>
                <w:rFonts w:ascii="Arial" w:eastAsia="Times New Roman" w:hAnsi="Arial" w:cs="Times New Roman"/>
                <w:b/>
                <w:spacing w:val="-4"/>
                <w:sz w:val="20"/>
                <w:lang w:val="sq-AL"/>
              </w:rPr>
              <w:t xml:space="preserve"> 2025</w:t>
            </w:r>
          </w:p>
        </w:tc>
        <w:tc>
          <w:tcPr>
            <w:tcW w:w="1737" w:type="dxa"/>
            <w:tcBorders>
              <w:top w:val="single" w:sz="8" w:space="0" w:color="9BBA58"/>
              <w:left w:val="single" w:sz="8" w:space="0" w:color="9BBA58"/>
              <w:bottom w:val="single" w:sz="8" w:space="0" w:color="9BBA58"/>
            </w:tcBorders>
          </w:tcPr>
          <w:p w:rsidR="007E2640" w:rsidRPr="007E2640" w:rsidRDefault="007E2640" w:rsidP="007E2640">
            <w:pPr>
              <w:widowControl w:val="0"/>
              <w:autoSpaceDE w:val="0"/>
              <w:autoSpaceDN w:val="0"/>
              <w:spacing w:before="8" w:after="0" w:line="228" w:lineRule="exact"/>
              <w:ind w:left="22" w:right="2"/>
              <w:jc w:val="center"/>
              <w:rPr>
                <w:rFonts w:ascii="Arial" w:eastAsia="Times New Roman" w:hAnsi="Arial" w:cs="Times New Roman"/>
                <w:b/>
                <w:sz w:val="20"/>
                <w:lang w:val="sq-AL"/>
              </w:rPr>
            </w:pPr>
            <w:r w:rsidRPr="007E2640">
              <w:rPr>
                <w:rFonts w:ascii="Arial" w:eastAsia="Times New Roman" w:hAnsi="Arial" w:cs="Times New Roman"/>
                <w:b/>
                <w:color w:val="FF0000"/>
                <w:sz w:val="20"/>
                <w:lang w:val="sq-AL"/>
              </w:rPr>
              <w:t>–</w:t>
            </w:r>
            <w:r w:rsidRPr="007E2640">
              <w:rPr>
                <w:rFonts w:ascii="Arial" w:eastAsia="Times New Roman" w:hAnsi="Arial" w:cs="Times New Roman"/>
                <w:b/>
                <w:color w:val="FF0000"/>
                <w:spacing w:val="-5"/>
                <w:sz w:val="20"/>
                <w:lang w:val="sq-AL"/>
              </w:rPr>
              <w:t xml:space="preserve"> </w:t>
            </w:r>
            <w:r w:rsidRPr="007E2640">
              <w:rPr>
                <w:rFonts w:ascii="Arial" w:eastAsia="Times New Roman" w:hAnsi="Arial" w:cs="Times New Roman"/>
                <w:b/>
                <w:color w:val="FF0000"/>
                <w:sz w:val="20"/>
                <w:lang w:val="sq-AL"/>
              </w:rPr>
              <w:t>80.9</w:t>
            </w:r>
            <w:r w:rsidRPr="007E2640">
              <w:rPr>
                <w:rFonts w:ascii="Arial" w:eastAsia="Times New Roman" w:hAnsi="Arial" w:cs="Times New Roman"/>
                <w:b/>
                <w:color w:val="FF0000"/>
                <w:spacing w:val="-3"/>
                <w:sz w:val="20"/>
                <w:lang w:val="sq-AL"/>
              </w:rPr>
              <w:t xml:space="preserve"> </w:t>
            </w:r>
            <w:r w:rsidRPr="007E2640">
              <w:rPr>
                <w:rFonts w:ascii="Arial" w:eastAsia="Times New Roman" w:hAnsi="Arial" w:cs="Times New Roman"/>
                <w:b/>
                <w:color w:val="FF0000"/>
                <w:spacing w:val="-5"/>
                <w:sz w:val="20"/>
                <w:lang w:val="sq-AL"/>
              </w:rPr>
              <w:t>cm</w:t>
            </w:r>
          </w:p>
        </w:tc>
        <w:tc>
          <w:tcPr>
            <w:tcW w:w="1952" w:type="dxa"/>
            <w:vMerge/>
            <w:tcBorders>
              <w:top w:val="nil"/>
              <w:bottom w:val="single" w:sz="8" w:space="0" w:color="9BBA58"/>
              <w:right w:val="single" w:sz="12" w:space="0" w:color="85A644"/>
            </w:tcBorders>
          </w:tcPr>
          <w:p w:rsidR="007E2640" w:rsidRPr="007E2640" w:rsidRDefault="007E2640" w:rsidP="007E2640">
            <w:pPr>
              <w:widowControl w:val="0"/>
              <w:autoSpaceDE w:val="0"/>
              <w:autoSpaceDN w:val="0"/>
              <w:spacing w:after="0" w:line="240" w:lineRule="auto"/>
              <w:rPr>
                <w:rFonts w:ascii="Times New Roman" w:eastAsia="Times New Roman" w:hAnsi="Times New Roman" w:cs="Times New Roman"/>
                <w:sz w:val="2"/>
                <w:szCs w:val="2"/>
                <w:lang w:val="sq-AL"/>
              </w:rPr>
            </w:pPr>
          </w:p>
        </w:tc>
      </w:tr>
      <w:tr w:rsidR="007E2640" w:rsidRPr="007E2640" w:rsidTr="007E2640">
        <w:trPr>
          <w:trHeight w:val="255"/>
        </w:trPr>
        <w:tc>
          <w:tcPr>
            <w:tcW w:w="737" w:type="dxa"/>
            <w:tcBorders>
              <w:top w:val="single" w:sz="8" w:space="0" w:color="9BBA58"/>
              <w:bottom w:val="single" w:sz="8" w:space="0" w:color="9BBA58"/>
            </w:tcBorders>
          </w:tcPr>
          <w:p w:rsidR="007E2640" w:rsidRPr="007E2640" w:rsidRDefault="007E2640" w:rsidP="007E2640">
            <w:pPr>
              <w:widowControl w:val="0"/>
              <w:autoSpaceDE w:val="0"/>
              <w:autoSpaceDN w:val="0"/>
              <w:spacing w:before="8" w:after="0" w:line="227" w:lineRule="exact"/>
              <w:ind w:left="27" w:right="1"/>
              <w:jc w:val="center"/>
              <w:rPr>
                <w:rFonts w:ascii="Arial" w:eastAsia="Times New Roman" w:hAnsi="Times New Roman" w:cs="Times New Roman"/>
                <w:b/>
                <w:sz w:val="20"/>
                <w:lang w:val="sq-AL"/>
              </w:rPr>
            </w:pPr>
            <w:r w:rsidRPr="007E2640">
              <w:rPr>
                <w:rFonts w:ascii="Arial" w:eastAsia="Times New Roman" w:hAnsi="Times New Roman" w:cs="Times New Roman"/>
                <w:b/>
                <w:spacing w:val="-10"/>
                <w:sz w:val="20"/>
                <w:lang w:val="sq-AL"/>
              </w:rPr>
              <w:t>5</w:t>
            </w:r>
          </w:p>
        </w:tc>
        <w:tc>
          <w:tcPr>
            <w:tcW w:w="1133" w:type="dxa"/>
            <w:vMerge/>
            <w:tcBorders>
              <w:top w:val="nil"/>
            </w:tcBorders>
          </w:tcPr>
          <w:p w:rsidR="007E2640" w:rsidRPr="007E2640" w:rsidRDefault="007E2640" w:rsidP="007E2640">
            <w:pPr>
              <w:widowControl w:val="0"/>
              <w:autoSpaceDE w:val="0"/>
              <w:autoSpaceDN w:val="0"/>
              <w:spacing w:after="0" w:line="240" w:lineRule="auto"/>
              <w:rPr>
                <w:rFonts w:ascii="Times New Roman" w:eastAsia="Times New Roman" w:hAnsi="Times New Roman" w:cs="Times New Roman"/>
                <w:sz w:val="2"/>
                <w:szCs w:val="2"/>
                <w:lang w:val="sq-AL"/>
              </w:rPr>
            </w:pPr>
          </w:p>
        </w:tc>
        <w:tc>
          <w:tcPr>
            <w:tcW w:w="1986" w:type="dxa"/>
            <w:tcBorders>
              <w:top w:val="single" w:sz="8" w:space="0" w:color="9BBA58"/>
              <w:bottom w:val="single" w:sz="8" w:space="0" w:color="9BBA58"/>
            </w:tcBorders>
          </w:tcPr>
          <w:p w:rsidR="007E2640" w:rsidRPr="007E2640" w:rsidRDefault="007E2640" w:rsidP="007E2640">
            <w:pPr>
              <w:widowControl w:val="0"/>
              <w:autoSpaceDE w:val="0"/>
              <w:autoSpaceDN w:val="0"/>
              <w:spacing w:before="8" w:after="0" w:line="227" w:lineRule="exact"/>
              <w:ind w:left="106"/>
              <w:rPr>
                <w:rFonts w:ascii="Arial" w:eastAsia="Times New Roman" w:hAnsi="Times New Roman" w:cs="Times New Roman"/>
                <w:b/>
                <w:sz w:val="20"/>
                <w:lang w:val="sq-AL"/>
              </w:rPr>
            </w:pPr>
            <w:r w:rsidRPr="007E2640">
              <w:rPr>
                <w:rFonts w:ascii="Arial" w:eastAsia="Times New Roman" w:hAnsi="Times New Roman" w:cs="Times New Roman"/>
                <w:b/>
                <w:sz w:val="20"/>
                <w:lang w:val="sq-AL"/>
              </w:rPr>
              <w:t>Zalli</w:t>
            </w:r>
            <w:r w:rsidRPr="007E2640">
              <w:rPr>
                <w:rFonts w:ascii="Arial" w:eastAsia="Times New Roman" w:hAnsi="Times New Roman" w:cs="Times New Roman"/>
                <w:b/>
                <w:spacing w:val="-4"/>
                <w:sz w:val="20"/>
                <w:lang w:val="sq-AL"/>
              </w:rPr>
              <w:t xml:space="preserve"> </w:t>
            </w:r>
            <w:r w:rsidRPr="007E2640">
              <w:rPr>
                <w:rFonts w:ascii="Arial" w:eastAsia="Times New Roman" w:hAnsi="Times New Roman" w:cs="Times New Roman"/>
                <w:b/>
                <w:sz w:val="20"/>
                <w:lang w:val="sq-AL"/>
              </w:rPr>
              <w:t>i</w:t>
            </w:r>
            <w:r w:rsidRPr="007E2640">
              <w:rPr>
                <w:rFonts w:ascii="Arial" w:eastAsia="Times New Roman" w:hAnsi="Times New Roman" w:cs="Times New Roman"/>
                <w:b/>
                <w:spacing w:val="-4"/>
                <w:sz w:val="20"/>
                <w:lang w:val="sq-AL"/>
              </w:rPr>
              <w:t xml:space="preserve"> </w:t>
            </w:r>
            <w:r w:rsidRPr="007E2640">
              <w:rPr>
                <w:rFonts w:ascii="Arial" w:eastAsia="Times New Roman" w:hAnsi="Times New Roman" w:cs="Times New Roman"/>
                <w:b/>
                <w:spacing w:val="-2"/>
                <w:sz w:val="20"/>
                <w:lang w:val="sq-AL"/>
              </w:rPr>
              <w:t>Kirit</w:t>
            </w:r>
          </w:p>
        </w:tc>
        <w:tc>
          <w:tcPr>
            <w:tcW w:w="1986" w:type="dxa"/>
            <w:tcBorders>
              <w:top w:val="single" w:sz="8" w:space="0" w:color="9BBA58"/>
              <w:bottom w:val="single" w:sz="8" w:space="0" w:color="9BBA58"/>
              <w:right w:val="single" w:sz="8" w:space="0" w:color="9BBA58"/>
            </w:tcBorders>
          </w:tcPr>
          <w:p w:rsidR="007E2640" w:rsidRPr="007E2640" w:rsidRDefault="007E2640" w:rsidP="007E2640">
            <w:pPr>
              <w:widowControl w:val="0"/>
              <w:autoSpaceDE w:val="0"/>
              <w:autoSpaceDN w:val="0"/>
              <w:spacing w:before="8" w:after="0" w:line="227" w:lineRule="exact"/>
              <w:ind w:left="18"/>
              <w:jc w:val="center"/>
              <w:rPr>
                <w:rFonts w:ascii="Arial" w:eastAsia="Times New Roman" w:hAnsi="Arial" w:cs="Times New Roman"/>
                <w:b/>
                <w:sz w:val="20"/>
                <w:lang w:val="sq-AL"/>
              </w:rPr>
            </w:pPr>
            <w:r w:rsidRPr="007E2640">
              <w:rPr>
                <w:rFonts w:ascii="Arial" w:eastAsia="Times New Roman" w:hAnsi="Arial" w:cs="Times New Roman"/>
                <w:b/>
                <w:sz w:val="20"/>
                <w:lang w:val="sq-AL"/>
              </w:rPr>
              <w:t>2009</w:t>
            </w:r>
            <w:r w:rsidRPr="007E2640">
              <w:rPr>
                <w:rFonts w:ascii="Arial" w:eastAsia="Times New Roman" w:hAnsi="Arial" w:cs="Times New Roman"/>
                <w:b/>
                <w:spacing w:val="-3"/>
                <w:sz w:val="20"/>
                <w:lang w:val="sq-AL"/>
              </w:rPr>
              <w:t xml:space="preserve"> </w:t>
            </w:r>
            <w:r w:rsidRPr="007E2640">
              <w:rPr>
                <w:rFonts w:ascii="Arial" w:eastAsia="Times New Roman" w:hAnsi="Arial" w:cs="Times New Roman"/>
                <w:b/>
                <w:sz w:val="20"/>
                <w:lang w:val="sq-AL"/>
              </w:rPr>
              <w:t>–</w:t>
            </w:r>
            <w:r w:rsidRPr="007E2640">
              <w:rPr>
                <w:rFonts w:ascii="Arial" w:eastAsia="Times New Roman" w:hAnsi="Arial" w:cs="Times New Roman"/>
                <w:b/>
                <w:spacing w:val="-4"/>
                <w:sz w:val="20"/>
                <w:lang w:val="sq-AL"/>
              </w:rPr>
              <w:t xml:space="preserve"> 2025</w:t>
            </w:r>
          </w:p>
        </w:tc>
        <w:tc>
          <w:tcPr>
            <w:tcW w:w="1737" w:type="dxa"/>
            <w:tcBorders>
              <w:top w:val="single" w:sz="8" w:space="0" w:color="9BBA58"/>
              <w:left w:val="single" w:sz="8" w:space="0" w:color="9BBA58"/>
              <w:bottom w:val="single" w:sz="8" w:space="0" w:color="9BBA58"/>
            </w:tcBorders>
          </w:tcPr>
          <w:p w:rsidR="007E2640" w:rsidRPr="007E2640" w:rsidRDefault="007E2640" w:rsidP="007E2640">
            <w:pPr>
              <w:widowControl w:val="0"/>
              <w:autoSpaceDE w:val="0"/>
              <w:autoSpaceDN w:val="0"/>
              <w:spacing w:before="8" w:after="0" w:line="227" w:lineRule="exact"/>
              <w:ind w:left="22" w:right="2"/>
              <w:jc w:val="center"/>
              <w:rPr>
                <w:rFonts w:ascii="Arial" w:eastAsia="Times New Roman" w:hAnsi="Arial" w:cs="Times New Roman"/>
                <w:b/>
                <w:sz w:val="20"/>
                <w:lang w:val="sq-AL"/>
              </w:rPr>
            </w:pPr>
            <w:r w:rsidRPr="007E2640">
              <w:rPr>
                <w:rFonts w:ascii="Arial" w:eastAsia="Times New Roman" w:hAnsi="Arial" w:cs="Times New Roman"/>
                <w:b/>
                <w:color w:val="FF0000"/>
                <w:sz w:val="20"/>
                <w:lang w:val="sq-AL"/>
              </w:rPr>
              <w:t>–</w:t>
            </w:r>
            <w:r w:rsidRPr="007E2640">
              <w:rPr>
                <w:rFonts w:ascii="Arial" w:eastAsia="Times New Roman" w:hAnsi="Arial" w:cs="Times New Roman"/>
                <w:b/>
                <w:color w:val="FF0000"/>
                <w:spacing w:val="-5"/>
                <w:sz w:val="20"/>
                <w:lang w:val="sq-AL"/>
              </w:rPr>
              <w:t xml:space="preserve"> </w:t>
            </w:r>
            <w:r w:rsidRPr="007E2640">
              <w:rPr>
                <w:rFonts w:ascii="Arial" w:eastAsia="Times New Roman" w:hAnsi="Arial" w:cs="Times New Roman"/>
                <w:b/>
                <w:color w:val="FF0000"/>
                <w:sz w:val="20"/>
                <w:lang w:val="sq-AL"/>
              </w:rPr>
              <w:t>37.8</w:t>
            </w:r>
            <w:r w:rsidRPr="007E2640">
              <w:rPr>
                <w:rFonts w:ascii="Arial" w:eastAsia="Times New Roman" w:hAnsi="Arial" w:cs="Times New Roman"/>
                <w:b/>
                <w:color w:val="FF0000"/>
                <w:spacing w:val="-3"/>
                <w:sz w:val="20"/>
                <w:lang w:val="sq-AL"/>
              </w:rPr>
              <w:t xml:space="preserve"> </w:t>
            </w:r>
            <w:r w:rsidRPr="007E2640">
              <w:rPr>
                <w:rFonts w:ascii="Arial" w:eastAsia="Times New Roman" w:hAnsi="Arial" w:cs="Times New Roman"/>
                <w:b/>
                <w:color w:val="FF0000"/>
                <w:spacing w:val="-5"/>
                <w:sz w:val="20"/>
                <w:lang w:val="sq-AL"/>
              </w:rPr>
              <w:t>cm</w:t>
            </w:r>
          </w:p>
        </w:tc>
        <w:tc>
          <w:tcPr>
            <w:tcW w:w="1952" w:type="dxa"/>
            <w:tcBorders>
              <w:top w:val="single" w:sz="8" w:space="0" w:color="9BBA58"/>
              <w:bottom w:val="single" w:sz="8" w:space="0" w:color="9BBA58"/>
              <w:right w:val="single" w:sz="12" w:space="0" w:color="85A644"/>
            </w:tcBorders>
          </w:tcPr>
          <w:p w:rsidR="007E2640" w:rsidRPr="007E2640" w:rsidRDefault="007E2640" w:rsidP="007E2640">
            <w:pPr>
              <w:widowControl w:val="0"/>
              <w:autoSpaceDE w:val="0"/>
              <w:autoSpaceDN w:val="0"/>
              <w:spacing w:before="8" w:after="0" w:line="227" w:lineRule="exact"/>
              <w:ind w:left="15" w:right="3"/>
              <w:jc w:val="center"/>
              <w:rPr>
                <w:rFonts w:ascii="Arial" w:eastAsia="Times New Roman" w:hAnsi="Times New Roman" w:cs="Times New Roman"/>
                <w:b/>
                <w:sz w:val="20"/>
                <w:lang w:val="sq-AL"/>
              </w:rPr>
            </w:pPr>
            <w:r w:rsidRPr="007E2640">
              <w:rPr>
                <w:rFonts w:ascii="Arial" w:eastAsia="Times New Roman" w:hAnsi="Times New Roman" w:cs="Times New Roman"/>
                <w:b/>
                <w:color w:val="FF0000"/>
                <w:spacing w:val="-5"/>
                <w:sz w:val="20"/>
                <w:lang w:val="sq-AL"/>
              </w:rPr>
              <w:t>6.4</w:t>
            </w:r>
          </w:p>
        </w:tc>
      </w:tr>
      <w:tr w:rsidR="007E2640" w:rsidRPr="007E2640" w:rsidTr="007E2640">
        <w:trPr>
          <w:trHeight w:val="260"/>
        </w:trPr>
        <w:tc>
          <w:tcPr>
            <w:tcW w:w="737" w:type="dxa"/>
            <w:tcBorders>
              <w:top w:val="single" w:sz="8" w:space="0" w:color="9BBA58"/>
            </w:tcBorders>
          </w:tcPr>
          <w:p w:rsidR="007E2640" w:rsidRPr="007E2640" w:rsidRDefault="007E2640" w:rsidP="007E2640">
            <w:pPr>
              <w:widowControl w:val="0"/>
              <w:autoSpaceDE w:val="0"/>
              <w:autoSpaceDN w:val="0"/>
              <w:spacing w:before="6" w:after="0" w:line="240" w:lineRule="auto"/>
              <w:ind w:left="27" w:right="1"/>
              <w:jc w:val="center"/>
              <w:rPr>
                <w:rFonts w:ascii="Arial" w:eastAsia="Times New Roman" w:hAnsi="Times New Roman" w:cs="Times New Roman"/>
                <w:b/>
                <w:sz w:val="20"/>
                <w:lang w:val="sq-AL"/>
              </w:rPr>
            </w:pPr>
            <w:r w:rsidRPr="007E2640">
              <w:rPr>
                <w:rFonts w:ascii="Arial" w:eastAsia="Times New Roman" w:hAnsi="Times New Roman" w:cs="Times New Roman"/>
                <w:b/>
                <w:spacing w:val="-10"/>
                <w:sz w:val="20"/>
                <w:lang w:val="sq-AL"/>
              </w:rPr>
              <w:t>6</w:t>
            </w:r>
          </w:p>
        </w:tc>
        <w:tc>
          <w:tcPr>
            <w:tcW w:w="1133" w:type="dxa"/>
            <w:vMerge/>
            <w:tcBorders>
              <w:top w:val="nil"/>
            </w:tcBorders>
          </w:tcPr>
          <w:p w:rsidR="007E2640" w:rsidRPr="007E2640" w:rsidRDefault="007E2640" w:rsidP="007E2640">
            <w:pPr>
              <w:widowControl w:val="0"/>
              <w:autoSpaceDE w:val="0"/>
              <w:autoSpaceDN w:val="0"/>
              <w:spacing w:after="0" w:line="240" w:lineRule="auto"/>
              <w:rPr>
                <w:rFonts w:ascii="Times New Roman" w:eastAsia="Times New Roman" w:hAnsi="Times New Roman" w:cs="Times New Roman"/>
                <w:sz w:val="2"/>
                <w:szCs w:val="2"/>
                <w:lang w:val="sq-AL"/>
              </w:rPr>
            </w:pPr>
          </w:p>
        </w:tc>
        <w:tc>
          <w:tcPr>
            <w:tcW w:w="1986" w:type="dxa"/>
            <w:tcBorders>
              <w:top w:val="single" w:sz="8" w:space="0" w:color="9BBA58"/>
            </w:tcBorders>
          </w:tcPr>
          <w:p w:rsidR="007E2640" w:rsidRPr="007E2640" w:rsidRDefault="007E2640" w:rsidP="007E2640">
            <w:pPr>
              <w:widowControl w:val="0"/>
              <w:autoSpaceDE w:val="0"/>
              <w:autoSpaceDN w:val="0"/>
              <w:spacing w:before="6" w:after="0" w:line="240" w:lineRule="auto"/>
              <w:ind w:left="106"/>
              <w:rPr>
                <w:rFonts w:ascii="Arial" w:eastAsia="Times New Roman" w:hAnsi="Arial" w:cs="Times New Roman"/>
                <w:b/>
                <w:sz w:val="20"/>
                <w:lang w:val="sq-AL"/>
              </w:rPr>
            </w:pPr>
            <w:r w:rsidRPr="007E2640">
              <w:rPr>
                <w:rFonts w:ascii="Arial" w:eastAsia="Times New Roman" w:hAnsi="Arial" w:cs="Times New Roman"/>
                <w:b/>
                <w:spacing w:val="-2"/>
                <w:sz w:val="20"/>
                <w:lang w:val="sq-AL"/>
              </w:rPr>
              <w:t>Beltojë</w:t>
            </w:r>
          </w:p>
        </w:tc>
        <w:tc>
          <w:tcPr>
            <w:tcW w:w="1986" w:type="dxa"/>
            <w:tcBorders>
              <w:top w:val="single" w:sz="8" w:space="0" w:color="9BBA58"/>
              <w:right w:val="single" w:sz="8" w:space="0" w:color="9BBA58"/>
            </w:tcBorders>
          </w:tcPr>
          <w:p w:rsidR="007E2640" w:rsidRPr="007E2640" w:rsidRDefault="007E2640" w:rsidP="007E2640">
            <w:pPr>
              <w:widowControl w:val="0"/>
              <w:autoSpaceDE w:val="0"/>
              <w:autoSpaceDN w:val="0"/>
              <w:spacing w:before="6" w:after="0" w:line="240" w:lineRule="auto"/>
              <w:ind w:left="18"/>
              <w:jc w:val="center"/>
              <w:rPr>
                <w:rFonts w:ascii="Arial" w:eastAsia="Times New Roman" w:hAnsi="Arial" w:cs="Times New Roman"/>
                <w:b/>
                <w:sz w:val="20"/>
                <w:lang w:val="sq-AL"/>
              </w:rPr>
            </w:pPr>
            <w:r w:rsidRPr="007E2640">
              <w:rPr>
                <w:rFonts w:ascii="Arial" w:eastAsia="Times New Roman" w:hAnsi="Arial" w:cs="Times New Roman"/>
                <w:b/>
                <w:sz w:val="20"/>
                <w:lang w:val="sq-AL"/>
              </w:rPr>
              <w:t>2007</w:t>
            </w:r>
            <w:r w:rsidRPr="007E2640">
              <w:rPr>
                <w:rFonts w:ascii="Arial" w:eastAsia="Times New Roman" w:hAnsi="Arial" w:cs="Times New Roman"/>
                <w:b/>
                <w:spacing w:val="-3"/>
                <w:sz w:val="20"/>
                <w:lang w:val="sq-AL"/>
              </w:rPr>
              <w:t xml:space="preserve"> </w:t>
            </w:r>
            <w:r w:rsidRPr="007E2640">
              <w:rPr>
                <w:rFonts w:ascii="Arial" w:eastAsia="Times New Roman" w:hAnsi="Arial" w:cs="Times New Roman"/>
                <w:b/>
                <w:sz w:val="20"/>
                <w:lang w:val="sq-AL"/>
              </w:rPr>
              <w:t>–</w:t>
            </w:r>
            <w:r w:rsidRPr="007E2640">
              <w:rPr>
                <w:rFonts w:ascii="Arial" w:eastAsia="Times New Roman" w:hAnsi="Arial" w:cs="Times New Roman"/>
                <w:b/>
                <w:spacing w:val="-4"/>
                <w:sz w:val="20"/>
                <w:lang w:val="sq-AL"/>
              </w:rPr>
              <w:t xml:space="preserve"> 2016</w:t>
            </w:r>
          </w:p>
        </w:tc>
        <w:tc>
          <w:tcPr>
            <w:tcW w:w="1737" w:type="dxa"/>
            <w:tcBorders>
              <w:top w:val="single" w:sz="8" w:space="0" w:color="9BBA58"/>
              <w:left w:val="single" w:sz="8" w:space="0" w:color="9BBA58"/>
            </w:tcBorders>
          </w:tcPr>
          <w:p w:rsidR="007E2640" w:rsidRPr="007E2640" w:rsidRDefault="007E2640" w:rsidP="007E2640">
            <w:pPr>
              <w:widowControl w:val="0"/>
              <w:autoSpaceDE w:val="0"/>
              <w:autoSpaceDN w:val="0"/>
              <w:spacing w:before="6" w:after="0" w:line="240" w:lineRule="auto"/>
              <w:ind w:left="22" w:right="2"/>
              <w:jc w:val="center"/>
              <w:rPr>
                <w:rFonts w:ascii="Arial" w:eastAsia="Times New Roman" w:hAnsi="Arial" w:cs="Times New Roman"/>
                <w:b/>
                <w:sz w:val="20"/>
                <w:lang w:val="sq-AL"/>
              </w:rPr>
            </w:pPr>
            <w:r w:rsidRPr="007E2640">
              <w:rPr>
                <w:rFonts w:ascii="Arial" w:eastAsia="Times New Roman" w:hAnsi="Arial" w:cs="Times New Roman"/>
                <w:b/>
                <w:color w:val="FF0000"/>
                <w:sz w:val="20"/>
                <w:lang w:val="sq-AL"/>
              </w:rPr>
              <w:t>–</w:t>
            </w:r>
            <w:r w:rsidRPr="007E2640">
              <w:rPr>
                <w:rFonts w:ascii="Arial" w:eastAsia="Times New Roman" w:hAnsi="Arial" w:cs="Times New Roman"/>
                <w:b/>
                <w:color w:val="FF0000"/>
                <w:spacing w:val="-5"/>
                <w:sz w:val="20"/>
                <w:lang w:val="sq-AL"/>
              </w:rPr>
              <w:t xml:space="preserve"> </w:t>
            </w:r>
            <w:r w:rsidRPr="007E2640">
              <w:rPr>
                <w:rFonts w:ascii="Arial" w:eastAsia="Times New Roman" w:hAnsi="Arial" w:cs="Times New Roman"/>
                <w:b/>
                <w:color w:val="FF0000"/>
                <w:sz w:val="20"/>
                <w:lang w:val="sq-AL"/>
              </w:rPr>
              <w:t>66.4</w:t>
            </w:r>
            <w:r w:rsidRPr="007E2640">
              <w:rPr>
                <w:rFonts w:ascii="Arial" w:eastAsia="Times New Roman" w:hAnsi="Arial" w:cs="Times New Roman"/>
                <w:b/>
                <w:color w:val="FF0000"/>
                <w:spacing w:val="-3"/>
                <w:sz w:val="20"/>
                <w:lang w:val="sq-AL"/>
              </w:rPr>
              <w:t xml:space="preserve"> </w:t>
            </w:r>
            <w:r w:rsidRPr="007E2640">
              <w:rPr>
                <w:rFonts w:ascii="Arial" w:eastAsia="Times New Roman" w:hAnsi="Arial" w:cs="Times New Roman"/>
                <w:b/>
                <w:color w:val="FF0000"/>
                <w:spacing w:val="-5"/>
                <w:sz w:val="20"/>
                <w:lang w:val="sq-AL"/>
              </w:rPr>
              <w:t>cm</w:t>
            </w:r>
          </w:p>
        </w:tc>
        <w:tc>
          <w:tcPr>
            <w:tcW w:w="1952" w:type="dxa"/>
            <w:tcBorders>
              <w:top w:val="single" w:sz="8" w:space="0" w:color="9BBA58"/>
              <w:right w:val="single" w:sz="12" w:space="0" w:color="85A644"/>
            </w:tcBorders>
          </w:tcPr>
          <w:p w:rsidR="007E2640" w:rsidRPr="007E2640" w:rsidRDefault="007E2640" w:rsidP="007E2640">
            <w:pPr>
              <w:widowControl w:val="0"/>
              <w:autoSpaceDE w:val="0"/>
              <w:autoSpaceDN w:val="0"/>
              <w:spacing w:before="6" w:after="0" w:line="240" w:lineRule="auto"/>
              <w:ind w:left="15"/>
              <w:jc w:val="center"/>
              <w:rPr>
                <w:rFonts w:ascii="Arial" w:eastAsia="Times New Roman" w:hAnsi="Arial" w:cs="Times New Roman"/>
                <w:b/>
                <w:sz w:val="20"/>
                <w:lang w:val="sq-AL"/>
              </w:rPr>
            </w:pPr>
            <w:r w:rsidRPr="007E2640">
              <w:rPr>
                <w:rFonts w:ascii="Arial" w:eastAsia="Times New Roman" w:hAnsi="Arial" w:cs="Times New Roman"/>
                <w:b/>
                <w:spacing w:val="-10"/>
                <w:sz w:val="20"/>
                <w:lang w:val="sq-AL"/>
              </w:rPr>
              <w:t>–</w:t>
            </w:r>
          </w:p>
        </w:tc>
      </w:tr>
    </w:tbl>
    <w:p w:rsidR="007E2640" w:rsidRDefault="007E2640" w:rsidP="007E2640">
      <w:pPr>
        <w:pStyle w:val="ListParagraph"/>
        <w:spacing w:after="200" w:line="276" w:lineRule="auto"/>
        <w:rPr>
          <w:rFonts w:ascii="Times New Roman" w:eastAsia="Times New Roman" w:hAnsi="Times New Roman" w:cs="Times New Roman"/>
          <w:spacing w:val="-2"/>
          <w:sz w:val="24"/>
          <w:lang w:val="sq-AL"/>
        </w:rPr>
      </w:pPr>
    </w:p>
    <w:p w:rsidR="007E2640" w:rsidRPr="007E2640" w:rsidRDefault="0037352F" w:rsidP="007E2640">
      <w:pPr>
        <w:pStyle w:val="ListParagraph"/>
        <w:spacing w:after="200" w:line="276" w:lineRule="auto"/>
        <w:rPr>
          <w:rFonts w:ascii="Times New Roman" w:eastAsia="Times New Roman" w:hAnsi="Times New Roman" w:cs="Times New Roman"/>
          <w:spacing w:val="-2"/>
          <w:sz w:val="24"/>
          <w:lang w:val="sq-AL"/>
        </w:rPr>
      </w:pPr>
      <w:r w:rsidRPr="007E2640">
        <w:rPr>
          <w:rFonts w:ascii="Times New Roman" w:eastAsia="Times New Roman" w:hAnsi="Times New Roman" w:cs="Times New Roman"/>
          <w:noProof/>
        </w:rPr>
        <mc:AlternateContent>
          <mc:Choice Requires="wpg">
            <w:drawing>
              <wp:anchor distT="0" distB="0" distL="0" distR="0" simplePos="0" relativeHeight="251702784" behindDoc="0" locked="0" layoutInCell="1" allowOverlap="1" wp14:anchorId="36D8F8F8" wp14:editId="3CD40B00">
                <wp:simplePos x="0" y="0"/>
                <wp:positionH relativeFrom="page">
                  <wp:posOffset>857250</wp:posOffset>
                </wp:positionH>
                <wp:positionV relativeFrom="paragraph">
                  <wp:posOffset>2256155</wp:posOffset>
                </wp:positionV>
                <wp:extent cx="2438400" cy="2619375"/>
                <wp:effectExtent l="0" t="0" r="19050" b="9525"/>
                <wp:wrapNone/>
                <wp:docPr id="286" name="Group 286" descr="C:\LUMENJTE\MONITORIMI I RRJETIT LUMOR TE SHQIPERISE\Lumenjte, ACad+pdf+jpeg\1. Pellgu ujembledhes i Drin-Bunes\Pellgu ujembledhes i Drin-Bu.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2619375"/>
                          <a:chOff x="0" y="0"/>
                          <a:chExt cx="3061970" cy="4714240"/>
                        </a:xfrm>
                      </wpg:grpSpPr>
                      <pic:pic xmlns:pic="http://schemas.openxmlformats.org/drawingml/2006/picture">
                        <pic:nvPicPr>
                          <pic:cNvPr id="287" name="Image 6" descr="C:\LUMENJTE\MONITORIMI I RRJETIT LUMOR TE SHQIPERISE\Lumenjte, ACad+pdf+jpeg\1. Pellgu ujembledhes i Drin-Bunes\Pellgu ujembledhes i Drin-Bu.jpg"/>
                          <pic:cNvPicPr/>
                        </pic:nvPicPr>
                        <pic:blipFill>
                          <a:blip r:embed="rId156" cstate="print"/>
                          <a:stretch>
                            <a:fillRect/>
                          </a:stretch>
                        </pic:blipFill>
                        <pic:spPr>
                          <a:xfrm>
                            <a:off x="9144" y="9144"/>
                            <a:ext cx="3043428" cy="4695444"/>
                          </a:xfrm>
                          <a:prstGeom prst="rect">
                            <a:avLst/>
                          </a:prstGeom>
                        </pic:spPr>
                      </pic:pic>
                      <wps:wsp>
                        <wps:cNvPr id="288" name="Graphic 7"/>
                        <wps:cNvSpPr/>
                        <wps:spPr>
                          <a:xfrm>
                            <a:off x="4572" y="4572"/>
                            <a:ext cx="3053080" cy="4704715"/>
                          </a:xfrm>
                          <a:custGeom>
                            <a:avLst/>
                            <a:gdLst/>
                            <a:ahLst/>
                            <a:cxnLst/>
                            <a:rect l="l" t="t" r="r" b="b"/>
                            <a:pathLst>
                              <a:path w="3053080" h="4704715">
                                <a:moveTo>
                                  <a:pt x="0" y="4704588"/>
                                </a:moveTo>
                                <a:lnTo>
                                  <a:pt x="3052572" y="4704588"/>
                                </a:lnTo>
                                <a:lnTo>
                                  <a:pt x="3052572" y="0"/>
                                </a:lnTo>
                                <a:lnTo>
                                  <a:pt x="0" y="0"/>
                                </a:lnTo>
                                <a:lnTo>
                                  <a:pt x="0" y="4704588"/>
                                </a:lnTo>
                                <a:close/>
                              </a:path>
                            </a:pathLst>
                          </a:custGeom>
                          <a:ln w="9144">
                            <a:solidFill>
                              <a:srgbClr val="001F5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C8564D" id="Group 286" o:spid="_x0000_s1026" style="position:absolute;margin-left:67.5pt;margin-top:177.65pt;width:192pt;height:206.25pt;z-index:251702784;mso-wrap-distance-left:0;mso-wrap-distance-right:0;mso-position-horizontal-relative:page;mso-width-relative:margin;mso-height-relative:margin" coordsize="30619,471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">
                <v:shape id="Image 6" o:spid="_x0000_s1027" type="#_x0000_t75" style="position:absolute;left:91;top:91;width:30434;height:46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">
                  <v:imagedata r:id="rId157" o:title="Pellgu ujembledhes i Drin-Bu"/>
                </v:shape>
                <v:shape id="Graphic 7" o:spid="_x0000_s1028" style="position:absolute;left:45;top:45;width:30531;height:47047;visibility:visible;mso-wrap-style:square;v-text-anchor:top" coordsize="3053080,470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" path="m,4704588r3052572,l3052572,,,,,4704588xe" filled="f" strokecolor="#001f5f" strokeweight=".72pt">
                  <v:path arrowok="t"/>
                </v:shape>
                <w10:wrap anchorx="page"/>
              </v:group>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84352" behindDoc="0" locked="0" layoutInCell="1" allowOverlap="1" wp14:anchorId="2DB6CEBA" wp14:editId="5925733C">
                <wp:simplePos x="0" y="0"/>
                <wp:positionH relativeFrom="column">
                  <wp:posOffset>2590800</wp:posOffset>
                </wp:positionH>
                <wp:positionV relativeFrom="paragraph">
                  <wp:posOffset>2084704</wp:posOffset>
                </wp:positionV>
                <wp:extent cx="3638550" cy="3457575"/>
                <wp:effectExtent l="0" t="0" r="19050" b="28575"/>
                <wp:wrapNone/>
                <wp:docPr id="289" name="Rectangle 289"/>
                <wp:cNvGraphicFramePr/>
                <a:graphic xmlns:a="http://schemas.openxmlformats.org/drawingml/2006/main">
                  <a:graphicData uri="http://schemas.microsoft.com/office/word/2010/wordprocessingShape">
                    <wps:wsp>
                      <wps:cNvSpPr/>
                      <wps:spPr>
                        <a:xfrm>
                          <a:off x="0" y="0"/>
                          <a:ext cx="3638550" cy="3457575"/>
                        </a:xfrm>
                        <a:prstGeom prst="rect">
                          <a:avLst/>
                        </a:prstGeom>
                      </wps:spPr>
                      <wps:style>
                        <a:lnRef idx="2">
                          <a:schemeClr val="accent6"/>
                        </a:lnRef>
                        <a:fillRef idx="1">
                          <a:schemeClr val="lt1"/>
                        </a:fillRef>
                        <a:effectRef idx="0">
                          <a:schemeClr val="accent6"/>
                        </a:effectRef>
                        <a:fontRef idx="minor">
                          <a:schemeClr val="dk1"/>
                        </a:fontRef>
                      </wps:style>
                      <wps:txbx>
                        <w:txbxContent>
                          <w:p w:rsidR="0064059F" w:rsidRPr="00465EBF" w:rsidRDefault="0064059F" w:rsidP="004215A5">
                            <w:pPr>
                              <w:widowControl w:val="0"/>
                              <w:autoSpaceDE w:val="0"/>
                              <w:autoSpaceDN w:val="0"/>
                              <w:spacing w:before="271" w:after="0" w:line="240" w:lineRule="auto"/>
                              <w:rPr>
                                <w:rFonts w:ascii="Times New Roman" w:eastAsia="Times New Roman" w:hAnsi="Times New Roman" w:cs="Times New Roman"/>
                                <w:b/>
                                <w:sz w:val="24"/>
                                <w:szCs w:val="24"/>
                                <w:lang w:val="sq-AL"/>
                              </w:rPr>
                            </w:pPr>
                            <w:r w:rsidRPr="00465EBF">
                              <w:rPr>
                                <w:rFonts w:ascii="Times New Roman" w:eastAsia="Times New Roman" w:hAnsi="Times New Roman" w:cs="Times New Roman"/>
                                <w:b/>
                                <w:sz w:val="24"/>
                                <w:szCs w:val="24"/>
                                <w:lang w:val="sq-AL"/>
                              </w:rPr>
                              <w:t>Rekomandime.</w:t>
                            </w:r>
                          </w:p>
                          <w:p w:rsidR="0064059F" w:rsidRDefault="0064059F" w:rsidP="004215A5">
                            <w:pPr>
                              <w:widowControl w:val="0"/>
                              <w:autoSpaceDE w:val="0"/>
                              <w:autoSpaceDN w:val="0"/>
                              <w:spacing w:before="271" w:after="0" w:line="240" w:lineRule="auto"/>
                              <w:rPr>
                                <w:rFonts w:ascii="Times New Roman" w:eastAsia="Times New Roman" w:hAnsi="Times New Roman" w:cs="Times New Roman"/>
                                <w:spacing w:val="-2"/>
                                <w:sz w:val="24"/>
                                <w:szCs w:val="24"/>
                                <w:lang w:val="sq-AL"/>
                              </w:rPr>
                            </w:pPr>
                            <w:r w:rsidRPr="004215A5">
                              <w:rPr>
                                <w:rFonts w:ascii="Times New Roman" w:eastAsia="Times New Roman" w:hAnsi="Times New Roman" w:cs="Times New Roman"/>
                                <w:sz w:val="24"/>
                                <w:szCs w:val="24"/>
                                <w:lang w:val="sq-AL"/>
                              </w:rPr>
                              <w:t>Për</w:t>
                            </w:r>
                            <w:r w:rsidRPr="004215A5">
                              <w:rPr>
                                <w:rFonts w:ascii="Times New Roman" w:eastAsia="Times New Roman" w:hAnsi="Times New Roman" w:cs="Times New Roman"/>
                                <w:spacing w:val="-4"/>
                                <w:sz w:val="24"/>
                                <w:szCs w:val="24"/>
                                <w:lang w:val="sq-AL"/>
                              </w:rPr>
                              <w:t xml:space="preserve"> </w:t>
                            </w:r>
                            <w:r w:rsidRPr="004215A5">
                              <w:rPr>
                                <w:rFonts w:ascii="Times New Roman" w:eastAsia="Times New Roman" w:hAnsi="Times New Roman" w:cs="Times New Roman"/>
                                <w:sz w:val="24"/>
                                <w:szCs w:val="24"/>
                                <w:lang w:val="sq-AL"/>
                              </w:rPr>
                              <w:t>të</w:t>
                            </w:r>
                            <w:r w:rsidRPr="004215A5">
                              <w:rPr>
                                <w:rFonts w:ascii="Times New Roman" w:eastAsia="Times New Roman" w:hAnsi="Times New Roman" w:cs="Times New Roman"/>
                                <w:spacing w:val="5"/>
                                <w:sz w:val="24"/>
                                <w:szCs w:val="24"/>
                                <w:lang w:val="sq-AL"/>
                              </w:rPr>
                              <w:t xml:space="preserve"> </w:t>
                            </w:r>
                            <w:r w:rsidRPr="004215A5">
                              <w:rPr>
                                <w:rFonts w:ascii="Times New Roman" w:eastAsia="Times New Roman" w:hAnsi="Times New Roman" w:cs="Times New Roman"/>
                                <w:sz w:val="24"/>
                                <w:szCs w:val="24"/>
                                <w:lang w:val="sq-AL"/>
                              </w:rPr>
                              <w:t>ndaluar</w:t>
                            </w:r>
                            <w:r w:rsidRPr="004215A5">
                              <w:rPr>
                                <w:rFonts w:ascii="Times New Roman" w:eastAsia="Times New Roman" w:hAnsi="Times New Roman" w:cs="Times New Roman"/>
                                <w:spacing w:val="-2"/>
                                <w:sz w:val="24"/>
                                <w:szCs w:val="24"/>
                                <w:lang w:val="sq-AL"/>
                              </w:rPr>
                              <w:t xml:space="preserve"> </w:t>
                            </w:r>
                            <w:r w:rsidRPr="004215A5">
                              <w:rPr>
                                <w:rFonts w:ascii="Times New Roman" w:eastAsia="Times New Roman" w:hAnsi="Times New Roman" w:cs="Times New Roman"/>
                                <w:sz w:val="24"/>
                                <w:szCs w:val="24"/>
                                <w:lang w:val="sq-AL"/>
                              </w:rPr>
                              <w:t>përkeqësimin</w:t>
                            </w:r>
                            <w:r w:rsidRPr="004215A5">
                              <w:rPr>
                                <w:rFonts w:ascii="Times New Roman" w:eastAsia="Times New Roman" w:hAnsi="Times New Roman" w:cs="Times New Roman"/>
                                <w:spacing w:val="-1"/>
                                <w:sz w:val="24"/>
                                <w:szCs w:val="24"/>
                                <w:lang w:val="sq-AL"/>
                              </w:rPr>
                              <w:t xml:space="preserve"> </w:t>
                            </w:r>
                            <w:r w:rsidRPr="004215A5">
                              <w:rPr>
                                <w:rFonts w:ascii="Times New Roman" w:eastAsia="Times New Roman" w:hAnsi="Times New Roman" w:cs="Times New Roman"/>
                                <w:sz w:val="24"/>
                                <w:szCs w:val="24"/>
                                <w:lang w:val="sq-AL"/>
                              </w:rPr>
                              <w:t>e gjëndjes dhe</w:t>
                            </w:r>
                            <w:r w:rsidRPr="004215A5">
                              <w:rPr>
                                <w:rFonts w:ascii="Times New Roman" w:eastAsia="Times New Roman" w:hAnsi="Times New Roman" w:cs="Times New Roman"/>
                                <w:spacing w:val="-3"/>
                                <w:sz w:val="24"/>
                                <w:szCs w:val="24"/>
                                <w:lang w:val="sq-AL"/>
                              </w:rPr>
                              <w:t xml:space="preserve"> </w:t>
                            </w:r>
                            <w:r w:rsidRPr="004215A5">
                              <w:rPr>
                                <w:rFonts w:ascii="Times New Roman" w:eastAsia="Times New Roman" w:hAnsi="Times New Roman" w:cs="Times New Roman"/>
                                <w:sz w:val="24"/>
                                <w:szCs w:val="24"/>
                                <w:lang w:val="sq-AL"/>
                              </w:rPr>
                              <w:t>rikuperimin e</w:t>
                            </w:r>
                            <w:r w:rsidRPr="004215A5">
                              <w:rPr>
                                <w:rFonts w:ascii="Times New Roman" w:eastAsia="Times New Roman" w:hAnsi="Times New Roman" w:cs="Times New Roman"/>
                                <w:spacing w:val="-1"/>
                                <w:sz w:val="24"/>
                                <w:szCs w:val="24"/>
                                <w:lang w:val="sq-AL"/>
                              </w:rPr>
                              <w:t xml:space="preserve"> </w:t>
                            </w:r>
                            <w:r w:rsidRPr="004215A5">
                              <w:rPr>
                                <w:rFonts w:ascii="Times New Roman" w:eastAsia="Times New Roman" w:hAnsi="Times New Roman" w:cs="Times New Roman"/>
                                <w:sz w:val="24"/>
                                <w:szCs w:val="24"/>
                                <w:lang w:val="sq-AL"/>
                              </w:rPr>
                              <w:t>pjesshëm</w:t>
                            </w:r>
                            <w:r w:rsidRPr="004215A5">
                              <w:rPr>
                                <w:rFonts w:ascii="Times New Roman" w:eastAsia="Times New Roman" w:hAnsi="Times New Roman" w:cs="Times New Roman"/>
                                <w:spacing w:val="-1"/>
                                <w:sz w:val="24"/>
                                <w:szCs w:val="24"/>
                                <w:lang w:val="sq-AL"/>
                              </w:rPr>
                              <w:t xml:space="preserve"> </w:t>
                            </w:r>
                            <w:r w:rsidRPr="004215A5">
                              <w:rPr>
                                <w:rFonts w:ascii="Times New Roman" w:eastAsia="Times New Roman" w:hAnsi="Times New Roman" w:cs="Times New Roman"/>
                                <w:sz w:val="24"/>
                                <w:szCs w:val="24"/>
                                <w:lang w:val="sq-AL"/>
                              </w:rPr>
                              <w:t>të</w:t>
                            </w:r>
                            <w:r w:rsidRPr="004215A5">
                              <w:rPr>
                                <w:rFonts w:ascii="Times New Roman" w:eastAsia="Times New Roman" w:hAnsi="Times New Roman" w:cs="Times New Roman"/>
                                <w:spacing w:val="5"/>
                                <w:sz w:val="24"/>
                                <w:szCs w:val="24"/>
                                <w:lang w:val="sq-AL"/>
                              </w:rPr>
                              <w:t xml:space="preserve"> </w:t>
                            </w:r>
                            <w:r w:rsidRPr="004215A5">
                              <w:rPr>
                                <w:rFonts w:ascii="Times New Roman" w:eastAsia="Times New Roman" w:hAnsi="Times New Roman" w:cs="Times New Roman"/>
                                <w:sz w:val="24"/>
                                <w:szCs w:val="24"/>
                                <w:lang w:val="sq-AL"/>
                              </w:rPr>
                              <w:t xml:space="preserve">saj </w:t>
                            </w:r>
                            <w:r w:rsidRPr="004215A5">
                              <w:rPr>
                                <w:rFonts w:ascii="Times New Roman" w:eastAsia="Times New Roman" w:hAnsi="Times New Roman" w:cs="Times New Roman"/>
                                <w:spacing w:val="-2"/>
                                <w:sz w:val="24"/>
                                <w:szCs w:val="24"/>
                                <w:lang w:val="sq-AL"/>
                              </w:rPr>
                              <w:t>sugjerojmë:</w:t>
                            </w:r>
                          </w:p>
                          <w:p w:rsidR="0064059F" w:rsidRDefault="0064059F" w:rsidP="004215A5">
                            <w:pPr>
                              <w:widowControl w:val="0"/>
                              <w:tabs>
                                <w:tab w:val="left" w:pos="1263"/>
                              </w:tabs>
                              <w:autoSpaceDE w:val="0"/>
                              <w:autoSpaceDN w:val="0"/>
                              <w:spacing w:after="0" w:line="240" w:lineRule="auto"/>
                              <w:jc w:val="both"/>
                              <w:outlineLvl w:val="0"/>
                              <w:rPr>
                                <w:rFonts w:ascii="Times New Roman" w:eastAsia="Times New Roman" w:hAnsi="Times New Roman" w:cs="Times New Roman"/>
                                <w:bCs/>
                                <w:spacing w:val="-2"/>
                                <w:sz w:val="24"/>
                                <w:szCs w:val="24"/>
                                <w:lang w:val="sq-AL"/>
                              </w:rPr>
                            </w:pPr>
                            <w:r w:rsidRPr="004215A5">
                              <w:rPr>
                                <w:rFonts w:ascii="Times New Roman" w:eastAsia="Times New Roman" w:hAnsi="Times New Roman" w:cs="Times New Roman"/>
                                <w:bCs/>
                                <w:sz w:val="24"/>
                                <w:szCs w:val="24"/>
                                <w:lang w:val="sq-AL"/>
                              </w:rPr>
                              <w:t>Të</w:t>
                            </w:r>
                            <w:r w:rsidRPr="004215A5">
                              <w:rPr>
                                <w:rFonts w:ascii="Times New Roman" w:eastAsia="Times New Roman" w:hAnsi="Times New Roman" w:cs="Times New Roman"/>
                                <w:bCs/>
                                <w:spacing w:val="-5"/>
                                <w:sz w:val="24"/>
                                <w:szCs w:val="24"/>
                                <w:lang w:val="sq-AL"/>
                              </w:rPr>
                              <w:t xml:space="preserve"> </w:t>
                            </w:r>
                            <w:r w:rsidRPr="004215A5">
                              <w:rPr>
                                <w:rFonts w:ascii="Times New Roman" w:eastAsia="Times New Roman" w:hAnsi="Times New Roman" w:cs="Times New Roman"/>
                                <w:bCs/>
                                <w:sz w:val="24"/>
                                <w:szCs w:val="24"/>
                                <w:lang w:val="sq-AL"/>
                              </w:rPr>
                              <w:t>ndërpritet</w:t>
                            </w:r>
                            <w:r w:rsidRPr="004215A5">
                              <w:rPr>
                                <w:rFonts w:ascii="Times New Roman" w:eastAsia="Times New Roman" w:hAnsi="Times New Roman" w:cs="Times New Roman"/>
                                <w:bCs/>
                                <w:spacing w:val="-1"/>
                                <w:sz w:val="24"/>
                                <w:szCs w:val="24"/>
                                <w:lang w:val="sq-AL"/>
                              </w:rPr>
                              <w:t xml:space="preserve"> </w:t>
                            </w:r>
                            <w:r w:rsidRPr="004215A5">
                              <w:rPr>
                                <w:rFonts w:ascii="Times New Roman" w:eastAsia="Times New Roman" w:hAnsi="Times New Roman" w:cs="Times New Roman"/>
                                <w:bCs/>
                                <w:sz w:val="24"/>
                                <w:szCs w:val="24"/>
                                <w:lang w:val="sq-AL"/>
                              </w:rPr>
                              <w:t>shfrytëzimi</w:t>
                            </w:r>
                            <w:r w:rsidRPr="004215A5">
                              <w:rPr>
                                <w:rFonts w:ascii="Times New Roman" w:eastAsia="Times New Roman" w:hAnsi="Times New Roman" w:cs="Times New Roman"/>
                                <w:bCs/>
                                <w:spacing w:val="-1"/>
                                <w:sz w:val="24"/>
                                <w:szCs w:val="24"/>
                                <w:lang w:val="sq-AL"/>
                              </w:rPr>
                              <w:t xml:space="preserve"> </w:t>
                            </w:r>
                            <w:r w:rsidRPr="004215A5">
                              <w:rPr>
                                <w:rFonts w:ascii="Times New Roman" w:eastAsia="Times New Roman" w:hAnsi="Times New Roman" w:cs="Times New Roman"/>
                                <w:bCs/>
                                <w:sz w:val="24"/>
                                <w:szCs w:val="24"/>
                                <w:lang w:val="sq-AL"/>
                              </w:rPr>
                              <w:t>i</w:t>
                            </w:r>
                            <w:r w:rsidRPr="004215A5">
                              <w:rPr>
                                <w:rFonts w:ascii="Times New Roman" w:eastAsia="Times New Roman" w:hAnsi="Times New Roman" w:cs="Times New Roman"/>
                                <w:bCs/>
                                <w:spacing w:val="-2"/>
                                <w:sz w:val="24"/>
                                <w:szCs w:val="24"/>
                                <w:lang w:val="sq-AL"/>
                              </w:rPr>
                              <w:t xml:space="preserve"> </w:t>
                            </w:r>
                            <w:r w:rsidRPr="004215A5">
                              <w:rPr>
                                <w:rFonts w:ascii="Times New Roman" w:eastAsia="Times New Roman" w:hAnsi="Times New Roman" w:cs="Times New Roman"/>
                                <w:bCs/>
                                <w:sz w:val="24"/>
                                <w:szCs w:val="24"/>
                                <w:lang w:val="sq-AL"/>
                              </w:rPr>
                              <w:t>inerteve</w:t>
                            </w:r>
                            <w:r w:rsidRPr="004215A5">
                              <w:rPr>
                                <w:rFonts w:ascii="Times New Roman" w:eastAsia="Times New Roman" w:hAnsi="Times New Roman" w:cs="Times New Roman"/>
                                <w:bCs/>
                                <w:spacing w:val="-2"/>
                                <w:sz w:val="24"/>
                                <w:szCs w:val="24"/>
                                <w:lang w:val="sq-AL"/>
                              </w:rPr>
                              <w:t xml:space="preserve"> </w:t>
                            </w:r>
                            <w:r w:rsidRPr="004215A5">
                              <w:rPr>
                                <w:rFonts w:ascii="Times New Roman" w:eastAsia="Times New Roman" w:hAnsi="Times New Roman" w:cs="Times New Roman"/>
                                <w:bCs/>
                                <w:sz w:val="24"/>
                                <w:szCs w:val="24"/>
                                <w:lang w:val="sq-AL"/>
                              </w:rPr>
                              <w:t>në</w:t>
                            </w:r>
                            <w:r w:rsidRPr="004215A5">
                              <w:rPr>
                                <w:rFonts w:ascii="Times New Roman" w:eastAsia="Times New Roman" w:hAnsi="Times New Roman" w:cs="Times New Roman"/>
                                <w:bCs/>
                                <w:spacing w:val="-2"/>
                                <w:sz w:val="24"/>
                                <w:szCs w:val="24"/>
                                <w:lang w:val="sq-AL"/>
                              </w:rPr>
                              <w:t xml:space="preserve"> </w:t>
                            </w:r>
                            <w:r w:rsidRPr="004215A5">
                              <w:rPr>
                                <w:rFonts w:ascii="Times New Roman" w:eastAsia="Times New Roman" w:hAnsi="Times New Roman" w:cs="Times New Roman"/>
                                <w:bCs/>
                                <w:sz w:val="24"/>
                                <w:szCs w:val="24"/>
                                <w:lang w:val="sq-AL"/>
                              </w:rPr>
                              <w:t>shtratin</w:t>
                            </w:r>
                            <w:r w:rsidRPr="004215A5">
                              <w:rPr>
                                <w:rFonts w:ascii="Times New Roman" w:eastAsia="Times New Roman" w:hAnsi="Times New Roman" w:cs="Times New Roman"/>
                                <w:bCs/>
                                <w:spacing w:val="-1"/>
                                <w:sz w:val="24"/>
                                <w:szCs w:val="24"/>
                                <w:lang w:val="sq-AL"/>
                              </w:rPr>
                              <w:t xml:space="preserve"> </w:t>
                            </w:r>
                            <w:r w:rsidRPr="004215A5">
                              <w:rPr>
                                <w:rFonts w:ascii="Times New Roman" w:eastAsia="Times New Roman" w:hAnsi="Times New Roman" w:cs="Times New Roman"/>
                                <w:bCs/>
                                <w:sz w:val="24"/>
                                <w:szCs w:val="24"/>
                                <w:lang w:val="sq-AL"/>
                              </w:rPr>
                              <w:t>e</w:t>
                            </w:r>
                            <w:r w:rsidRPr="004215A5">
                              <w:rPr>
                                <w:rFonts w:ascii="Times New Roman" w:eastAsia="Times New Roman" w:hAnsi="Times New Roman" w:cs="Times New Roman"/>
                                <w:bCs/>
                                <w:spacing w:val="-2"/>
                                <w:sz w:val="24"/>
                                <w:szCs w:val="24"/>
                                <w:lang w:val="sq-AL"/>
                              </w:rPr>
                              <w:t xml:space="preserve"> </w:t>
                            </w:r>
                            <w:r w:rsidRPr="004215A5">
                              <w:rPr>
                                <w:rFonts w:ascii="Times New Roman" w:eastAsia="Times New Roman" w:hAnsi="Times New Roman" w:cs="Times New Roman"/>
                                <w:bCs/>
                                <w:sz w:val="24"/>
                                <w:szCs w:val="24"/>
                                <w:lang w:val="sq-AL"/>
                              </w:rPr>
                              <w:t>Drinit</w:t>
                            </w:r>
                            <w:r w:rsidRPr="004215A5">
                              <w:rPr>
                                <w:rFonts w:ascii="Times New Roman" w:eastAsia="Times New Roman" w:hAnsi="Times New Roman" w:cs="Times New Roman"/>
                                <w:bCs/>
                                <w:spacing w:val="3"/>
                                <w:sz w:val="24"/>
                                <w:szCs w:val="24"/>
                                <w:lang w:val="sq-AL"/>
                              </w:rPr>
                              <w:t xml:space="preserve"> </w:t>
                            </w:r>
                            <w:r w:rsidRPr="004215A5">
                              <w:rPr>
                                <w:rFonts w:ascii="Times New Roman" w:eastAsia="Times New Roman" w:hAnsi="Times New Roman" w:cs="Times New Roman"/>
                                <w:bCs/>
                                <w:sz w:val="24"/>
                                <w:szCs w:val="24"/>
                                <w:lang w:val="sq-AL"/>
                              </w:rPr>
                              <w:t>(pranë</w:t>
                            </w:r>
                            <w:r w:rsidRPr="004215A5">
                              <w:rPr>
                                <w:rFonts w:ascii="Times New Roman" w:eastAsia="Times New Roman" w:hAnsi="Times New Roman" w:cs="Times New Roman"/>
                                <w:bCs/>
                                <w:spacing w:val="-2"/>
                                <w:sz w:val="24"/>
                                <w:szCs w:val="24"/>
                                <w:lang w:val="sq-AL"/>
                              </w:rPr>
                              <w:t xml:space="preserve"> Bërdicës).</w:t>
                            </w:r>
                          </w:p>
                          <w:p w:rsidR="0064059F" w:rsidRPr="004215A5" w:rsidRDefault="0064059F" w:rsidP="004215A5">
                            <w:pPr>
                              <w:widowControl w:val="0"/>
                              <w:tabs>
                                <w:tab w:val="left" w:pos="1340"/>
                                <w:tab w:val="left" w:pos="5400"/>
                              </w:tabs>
                              <w:autoSpaceDE w:val="0"/>
                              <w:autoSpaceDN w:val="0"/>
                              <w:spacing w:after="0" w:line="242" w:lineRule="auto"/>
                              <w:ind w:right="30"/>
                              <w:jc w:val="both"/>
                              <w:rPr>
                                <w:rFonts w:ascii="Times New Roman" w:eastAsia="Times New Roman" w:hAnsi="Times New Roman" w:cs="Times New Roman"/>
                                <w:sz w:val="24"/>
                                <w:szCs w:val="24"/>
                                <w:lang w:val="sq-AL"/>
                              </w:rPr>
                            </w:pPr>
                            <w:r w:rsidRPr="004215A5">
                              <w:rPr>
                                <w:rFonts w:ascii="Times New Roman" w:eastAsia="Times New Roman" w:hAnsi="Times New Roman" w:cs="Times New Roman"/>
                                <w:sz w:val="24"/>
                                <w:szCs w:val="24"/>
                                <w:lang w:val="sq-AL"/>
                              </w:rPr>
                              <w:t>Të shfr</w:t>
                            </w:r>
                            <w:r>
                              <w:rPr>
                                <w:rFonts w:ascii="Times New Roman" w:eastAsia="Times New Roman" w:hAnsi="Times New Roman" w:cs="Times New Roman"/>
                                <w:sz w:val="24"/>
                                <w:szCs w:val="24"/>
                                <w:lang w:val="sq-AL"/>
                              </w:rPr>
                              <w:t xml:space="preserve">ytëzohen intensivisht inertet e </w:t>
                            </w:r>
                            <w:r w:rsidRPr="004215A5">
                              <w:rPr>
                                <w:rFonts w:ascii="Times New Roman" w:eastAsia="Times New Roman" w:hAnsi="Times New Roman" w:cs="Times New Roman"/>
                                <w:sz w:val="24"/>
                                <w:szCs w:val="24"/>
                                <w:lang w:val="sq-AL"/>
                              </w:rPr>
                              <w:t>konsiderueshme në grykëderdhjen e përroit të Gomsiqes në Vaun e Dejës me anë të impiantit të ri të vendosur së fundmi pasi zgjatet edhe jeta e këtij rezervuari. Të vendosen impiante të tjera në këtë zonë.</w:t>
                            </w:r>
                          </w:p>
                          <w:p w:rsidR="0064059F" w:rsidRPr="004215A5" w:rsidRDefault="0064059F" w:rsidP="004215A5">
                            <w:pPr>
                              <w:widowControl w:val="0"/>
                              <w:tabs>
                                <w:tab w:val="left" w:pos="1268"/>
                                <w:tab w:val="left" w:pos="5400"/>
                              </w:tabs>
                              <w:autoSpaceDE w:val="0"/>
                              <w:autoSpaceDN w:val="0"/>
                              <w:spacing w:after="0" w:line="240" w:lineRule="auto"/>
                              <w:ind w:right="30"/>
                              <w:jc w:val="both"/>
                              <w:rPr>
                                <w:rFonts w:ascii="Times New Roman" w:eastAsia="Times New Roman" w:hAnsi="Times New Roman" w:cs="Times New Roman"/>
                                <w:sz w:val="24"/>
                                <w:szCs w:val="24"/>
                                <w:lang w:val="sq-AL"/>
                              </w:rPr>
                            </w:pPr>
                            <w:r w:rsidRPr="004215A5">
                              <w:rPr>
                                <w:rFonts w:ascii="Times New Roman" w:eastAsia="Times New Roman" w:hAnsi="Times New Roman" w:cs="Times New Roman"/>
                                <w:sz w:val="24"/>
                                <w:szCs w:val="24"/>
                                <w:lang w:val="sq-AL"/>
                              </w:rPr>
                              <w:t>Të shfrytëzohen sasitë e prurjeve të konsiderueshme inerte në shtratin e Gjadrit sipër digës tek Mali i Rrëzum (të riparohet diga e prishur me qëllim grumbullimin e tyre).</w:t>
                            </w:r>
                          </w:p>
                          <w:p w:rsidR="0064059F" w:rsidRPr="004215A5" w:rsidRDefault="0064059F" w:rsidP="004215A5">
                            <w:pPr>
                              <w:widowControl w:val="0"/>
                              <w:tabs>
                                <w:tab w:val="left" w:pos="1268"/>
                                <w:tab w:val="left" w:pos="5400"/>
                              </w:tabs>
                              <w:autoSpaceDE w:val="0"/>
                              <w:autoSpaceDN w:val="0"/>
                              <w:spacing w:after="0" w:line="240" w:lineRule="auto"/>
                              <w:ind w:right="30"/>
                              <w:jc w:val="both"/>
                              <w:rPr>
                                <w:rFonts w:ascii="Times New Roman" w:eastAsia="Times New Roman" w:hAnsi="Times New Roman" w:cs="Times New Roman"/>
                                <w:sz w:val="24"/>
                                <w:szCs w:val="24"/>
                                <w:lang w:val="sq-AL"/>
                              </w:rPr>
                            </w:pPr>
                            <w:r w:rsidRPr="004215A5">
                              <w:rPr>
                                <w:rFonts w:ascii="Times New Roman" w:eastAsia="Times New Roman" w:hAnsi="Times New Roman" w:cs="Times New Roman"/>
                                <w:sz w:val="24"/>
                                <w:szCs w:val="24"/>
                                <w:lang w:val="sq-AL"/>
                              </w:rPr>
                              <w:t>Të riparohen veprat e dëmtuara të mbrojtes veçanërisht përgjatë brigjeve të lumit Drin dhe Bunë që janë kryesisht argjinaturat</w:t>
                            </w:r>
                            <w:r>
                              <w:rPr>
                                <w:rFonts w:ascii="Times New Roman" w:eastAsia="Times New Roman" w:hAnsi="Times New Roman" w:cs="Times New Roman"/>
                                <w:sz w:val="24"/>
                                <w:szCs w:val="24"/>
                                <w:lang w:val="sq-AL"/>
                              </w:rPr>
                              <w:t>.</w:t>
                            </w:r>
                          </w:p>
                          <w:p w:rsidR="0064059F" w:rsidRPr="004215A5" w:rsidRDefault="0064059F" w:rsidP="004215A5">
                            <w:pPr>
                              <w:jc w:val="both"/>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B6CEBA" id="Rectangle 289" o:spid="_x0000_s1077" style="position:absolute;left:0;text-align:left;margin-left:204pt;margin-top:164.15pt;width:286.5pt;height:272.25pt;z-index:25168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" fillcolor="white [3201]" strokecolor="#70ad47 [3209]" strokeweight="1pt">
                <v:textbox>
                  <w:txbxContent>
                    <w:p w:rsidR="0064059F" w:rsidRPr="00465EBF" w:rsidRDefault="0064059F" w:rsidP="004215A5">
                      <w:pPr>
                        <w:widowControl w:val="0"/>
                        <w:autoSpaceDE w:val="0"/>
                        <w:autoSpaceDN w:val="0"/>
                        <w:spacing w:before="271" w:after="0" w:line="240" w:lineRule="auto"/>
                        <w:rPr>
                          <w:rFonts w:ascii="Times New Roman" w:eastAsia="Times New Roman" w:hAnsi="Times New Roman" w:cs="Times New Roman"/>
                          <w:b/>
                          <w:sz w:val="24"/>
                          <w:szCs w:val="24"/>
                          <w:lang w:val="sq-AL"/>
                        </w:rPr>
                      </w:pPr>
                      <w:r w:rsidRPr="00465EBF">
                        <w:rPr>
                          <w:rFonts w:ascii="Times New Roman" w:eastAsia="Times New Roman" w:hAnsi="Times New Roman" w:cs="Times New Roman"/>
                          <w:b/>
                          <w:sz w:val="24"/>
                          <w:szCs w:val="24"/>
                          <w:lang w:val="sq-AL"/>
                        </w:rPr>
                        <w:t>Rekomandime.</w:t>
                      </w:r>
                    </w:p>
                    <w:p w:rsidR="0064059F" w:rsidRDefault="0064059F" w:rsidP="004215A5">
                      <w:pPr>
                        <w:widowControl w:val="0"/>
                        <w:autoSpaceDE w:val="0"/>
                        <w:autoSpaceDN w:val="0"/>
                        <w:spacing w:before="271" w:after="0" w:line="240" w:lineRule="auto"/>
                        <w:rPr>
                          <w:rFonts w:ascii="Times New Roman" w:eastAsia="Times New Roman" w:hAnsi="Times New Roman" w:cs="Times New Roman"/>
                          <w:spacing w:val="-2"/>
                          <w:sz w:val="24"/>
                          <w:szCs w:val="24"/>
                          <w:lang w:val="sq-AL"/>
                        </w:rPr>
                      </w:pPr>
                      <w:r w:rsidRPr="004215A5">
                        <w:rPr>
                          <w:rFonts w:ascii="Times New Roman" w:eastAsia="Times New Roman" w:hAnsi="Times New Roman" w:cs="Times New Roman"/>
                          <w:sz w:val="24"/>
                          <w:szCs w:val="24"/>
                          <w:lang w:val="sq-AL"/>
                        </w:rPr>
                        <w:t>Për</w:t>
                      </w:r>
                      <w:r w:rsidRPr="004215A5">
                        <w:rPr>
                          <w:rFonts w:ascii="Times New Roman" w:eastAsia="Times New Roman" w:hAnsi="Times New Roman" w:cs="Times New Roman"/>
                          <w:spacing w:val="-4"/>
                          <w:sz w:val="24"/>
                          <w:szCs w:val="24"/>
                          <w:lang w:val="sq-AL"/>
                        </w:rPr>
                        <w:t xml:space="preserve"> </w:t>
                      </w:r>
                      <w:r w:rsidRPr="004215A5">
                        <w:rPr>
                          <w:rFonts w:ascii="Times New Roman" w:eastAsia="Times New Roman" w:hAnsi="Times New Roman" w:cs="Times New Roman"/>
                          <w:sz w:val="24"/>
                          <w:szCs w:val="24"/>
                          <w:lang w:val="sq-AL"/>
                        </w:rPr>
                        <w:t>të</w:t>
                      </w:r>
                      <w:r w:rsidRPr="004215A5">
                        <w:rPr>
                          <w:rFonts w:ascii="Times New Roman" w:eastAsia="Times New Roman" w:hAnsi="Times New Roman" w:cs="Times New Roman"/>
                          <w:spacing w:val="5"/>
                          <w:sz w:val="24"/>
                          <w:szCs w:val="24"/>
                          <w:lang w:val="sq-AL"/>
                        </w:rPr>
                        <w:t xml:space="preserve"> </w:t>
                      </w:r>
                      <w:r w:rsidRPr="004215A5">
                        <w:rPr>
                          <w:rFonts w:ascii="Times New Roman" w:eastAsia="Times New Roman" w:hAnsi="Times New Roman" w:cs="Times New Roman"/>
                          <w:sz w:val="24"/>
                          <w:szCs w:val="24"/>
                          <w:lang w:val="sq-AL"/>
                        </w:rPr>
                        <w:t>ndaluar</w:t>
                      </w:r>
                      <w:r w:rsidRPr="004215A5">
                        <w:rPr>
                          <w:rFonts w:ascii="Times New Roman" w:eastAsia="Times New Roman" w:hAnsi="Times New Roman" w:cs="Times New Roman"/>
                          <w:spacing w:val="-2"/>
                          <w:sz w:val="24"/>
                          <w:szCs w:val="24"/>
                          <w:lang w:val="sq-AL"/>
                        </w:rPr>
                        <w:t xml:space="preserve"> </w:t>
                      </w:r>
                      <w:r w:rsidRPr="004215A5">
                        <w:rPr>
                          <w:rFonts w:ascii="Times New Roman" w:eastAsia="Times New Roman" w:hAnsi="Times New Roman" w:cs="Times New Roman"/>
                          <w:sz w:val="24"/>
                          <w:szCs w:val="24"/>
                          <w:lang w:val="sq-AL"/>
                        </w:rPr>
                        <w:t>përkeqësimin</w:t>
                      </w:r>
                      <w:r w:rsidRPr="004215A5">
                        <w:rPr>
                          <w:rFonts w:ascii="Times New Roman" w:eastAsia="Times New Roman" w:hAnsi="Times New Roman" w:cs="Times New Roman"/>
                          <w:spacing w:val="-1"/>
                          <w:sz w:val="24"/>
                          <w:szCs w:val="24"/>
                          <w:lang w:val="sq-AL"/>
                        </w:rPr>
                        <w:t xml:space="preserve"> </w:t>
                      </w:r>
                      <w:r w:rsidRPr="004215A5">
                        <w:rPr>
                          <w:rFonts w:ascii="Times New Roman" w:eastAsia="Times New Roman" w:hAnsi="Times New Roman" w:cs="Times New Roman"/>
                          <w:sz w:val="24"/>
                          <w:szCs w:val="24"/>
                          <w:lang w:val="sq-AL"/>
                        </w:rPr>
                        <w:t>e gjëndjes dhe</w:t>
                      </w:r>
                      <w:r w:rsidRPr="004215A5">
                        <w:rPr>
                          <w:rFonts w:ascii="Times New Roman" w:eastAsia="Times New Roman" w:hAnsi="Times New Roman" w:cs="Times New Roman"/>
                          <w:spacing w:val="-3"/>
                          <w:sz w:val="24"/>
                          <w:szCs w:val="24"/>
                          <w:lang w:val="sq-AL"/>
                        </w:rPr>
                        <w:t xml:space="preserve"> </w:t>
                      </w:r>
                      <w:r w:rsidRPr="004215A5">
                        <w:rPr>
                          <w:rFonts w:ascii="Times New Roman" w:eastAsia="Times New Roman" w:hAnsi="Times New Roman" w:cs="Times New Roman"/>
                          <w:sz w:val="24"/>
                          <w:szCs w:val="24"/>
                          <w:lang w:val="sq-AL"/>
                        </w:rPr>
                        <w:t>rikuperimin e</w:t>
                      </w:r>
                      <w:r w:rsidRPr="004215A5">
                        <w:rPr>
                          <w:rFonts w:ascii="Times New Roman" w:eastAsia="Times New Roman" w:hAnsi="Times New Roman" w:cs="Times New Roman"/>
                          <w:spacing w:val="-1"/>
                          <w:sz w:val="24"/>
                          <w:szCs w:val="24"/>
                          <w:lang w:val="sq-AL"/>
                        </w:rPr>
                        <w:t xml:space="preserve"> </w:t>
                      </w:r>
                      <w:r w:rsidRPr="004215A5">
                        <w:rPr>
                          <w:rFonts w:ascii="Times New Roman" w:eastAsia="Times New Roman" w:hAnsi="Times New Roman" w:cs="Times New Roman"/>
                          <w:sz w:val="24"/>
                          <w:szCs w:val="24"/>
                          <w:lang w:val="sq-AL"/>
                        </w:rPr>
                        <w:t>pjesshëm</w:t>
                      </w:r>
                      <w:r w:rsidRPr="004215A5">
                        <w:rPr>
                          <w:rFonts w:ascii="Times New Roman" w:eastAsia="Times New Roman" w:hAnsi="Times New Roman" w:cs="Times New Roman"/>
                          <w:spacing w:val="-1"/>
                          <w:sz w:val="24"/>
                          <w:szCs w:val="24"/>
                          <w:lang w:val="sq-AL"/>
                        </w:rPr>
                        <w:t xml:space="preserve"> </w:t>
                      </w:r>
                      <w:r w:rsidRPr="004215A5">
                        <w:rPr>
                          <w:rFonts w:ascii="Times New Roman" w:eastAsia="Times New Roman" w:hAnsi="Times New Roman" w:cs="Times New Roman"/>
                          <w:sz w:val="24"/>
                          <w:szCs w:val="24"/>
                          <w:lang w:val="sq-AL"/>
                        </w:rPr>
                        <w:t>të</w:t>
                      </w:r>
                      <w:r w:rsidRPr="004215A5">
                        <w:rPr>
                          <w:rFonts w:ascii="Times New Roman" w:eastAsia="Times New Roman" w:hAnsi="Times New Roman" w:cs="Times New Roman"/>
                          <w:spacing w:val="5"/>
                          <w:sz w:val="24"/>
                          <w:szCs w:val="24"/>
                          <w:lang w:val="sq-AL"/>
                        </w:rPr>
                        <w:t xml:space="preserve"> </w:t>
                      </w:r>
                      <w:r w:rsidRPr="004215A5">
                        <w:rPr>
                          <w:rFonts w:ascii="Times New Roman" w:eastAsia="Times New Roman" w:hAnsi="Times New Roman" w:cs="Times New Roman"/>
                          <w:sz w:val="24"/>
                          <w:szCs w:val="24"/>
                          <w:lang w:val="sq-AL"/>
                        </w:rPr>
                        <w:t xml:space="preserve">saj </w:t>
                      </w:r>
                      <w:r w:rsidRPr="004215A5">
                        <w:rPr>
                          <w:rFonts w:ascii="Times New Roman" w:eastAsia="Times New Roman" w:hAnsi="Times New Roman" w:cs="Times New Roman"/>
                          <w:spacing w:val="-2"/>
                          <w:sz w:val="24"/>
                          <w:szCs w:val="24"/>
                          <w:lang w:val="sq-AL"/>
                        </w:rPr>
                        <w:t>sugjerojmë:</w:t>
                      </w:r>
                    </w:p>
                    <w:p w:rsidR="0064059F" w:rsidRDefault="0064059F" w:rsidP="004215A5">
                      <w:pPr>
                        <w:widowControl w:val="0"/>
                        <w:tabs>
                          <w:tab w:val="left" w:pos="1263"/>
                        </w:tabs>
                        <w:autoSpaceDE w:val="0"/>
                        <w:autoSpaceDN w:val="0"/>
                        <w:spacing w:after="0" w:line="240" w:lineRule="auto"/>
                        <w:jc w:val="both"/>
                        <w:outlineLvl w:val="0"/>
                        <w:rPr>
                          <w:rFonts w:ascii="Times New Roman" w:eastAsia="Times New Roman" w:hAnsi="Times New Roman" w:cs="Times New Roman"/>
                          <w:bCs/>
                          <w:spacing w:val="-2"/>
                          <w:sz w:val="24"/>
                          <w:szCs w:val="24"/>
                          <w:lang w:val="sq-AL"/>
                        </w:rPr>
                      </w:pPr>
                      <w:r w:rsidRPr="004215A5">
                        <w:rPr>
                          <w:rFonts w:ascii="Times New Roman" w:eastAsia="Times New Roman" w:hAnsi="Times New Roman" w:cs="Times New Roman"/>
                          <w:bCs/>
                          <w:sz w:val="24"/>
                          <w:szCs w:val="24"/>
                          <w:lang w:val="sq-AL"/>
                        </w:rPr>
                        <w:t>Të</w:t>
                      </w:r>
                      <w:r w:rsidRPr="004215A5">
                        <w:rPr>
                          <w:rFonts w:ascii="Times New Roman" w:eastAsia="Times New Roman" w:hAnsi="Times New Roman" w:cs="Times New Roman"/>
                          <w:bCs/>
                          <w:spacing w:val="-5"/>
                          <w:sz w:val="24"/>
                          <w:szCs w:val="24"/>
                          <w:lang w:val="sq-AL"/>
                        </w:rPr>
                        <w:t xml:space="preserve"> </w:t>
                      </w:r>
                      <w:r w:rsidRPr="004215A5">
                        <w:rPr>
                          <w:rFonts w:ascii="Times New Roman" w:eastAsia="Times New Roman" w:hAnsi="Times New Roman" w:cs="Times New Roman"/>
                          <w:bCs/>
                          <w:sz w:val="24"/>
                          <w:szCs w:val="24"/>
                          <w:lang w:val="sq-AL"/>
                        </w:rPr>
                        <w:t>ndërpritet</w:t>
                      </w:r>
                      <w:r w:rsidRPr="004215A5">
                        <w:rPr>
                          <w:rFonts w:ascii="Times New Roman" w:eastAsia="Times New Roman" w:hAnsi="Times New Roman" w:cs="Times New Roman"/>
                          <w:bCs/>
                          <w:spacing w:val="-1"/>
                          <w:sz w:val="24"/>
                          <w:szCs w:val="24"/>
                          <w:lang w:val="sq-AL"/>
                        </w:rPr>
                        <w:t xml:space="preserve"> </w:t>
                      </w:r>
                      <w:r w:rsidRPr="004215A5">
                        <w:rPr>
                          <w:rFonts w:ascii="Times New Roman" w:eastAsia="Times New Roman" w:hAnsi="Times New Roman" w:cs="Times New Roman"/>
                          <w:bCs/>
                          <w:sz w:val="24"/>
                          <w:szCs w:val="24"/>
                          <w:lang w:val="sq-AL"/>
                        </w:rPr>
                        <w:t>shfrytëzimi</w:t>
                      </w:r>
                      <w:r w:rsidRPr="004215A5">
                        <w:rPr>
                          <w:rFonts w:ascii="Times New Roman" w:eastAsia="Times New Roman" w:hAnsi="Times New Roman" w:cs="Times New Roman"/>
                          <w:bCs/>
                          <w:spacing w:val="-1"/>
                          <w:sz w:val="24"/>
                          <w:szCs w:val="24"/>
                          <w:lang w:val="sq-AL"/>
                        </w:rPr>
                        <w:t xml:space="preserve"> </w:t>
                      </w:r>
                      <w:r w:rsidRPr="004215A5">
                        <w:rPr>
                          <w:rFonts w:ascii="Times New Roman" w:eastAsia="Times New Roman" w:hAnsi="Times New Roman" w:cs="Times New Roman"/>
                          <w:bCs/>
                          <w:sz w:val="24"/>
                          <w:szCs w:val="24"/>
                          <w:lang w:val="sq-AL"/>
                        </w:rPr>
                        <w:t>i</w:t>
                      </w:r>
                      <w:r w:rsidRPr="004215A5">
                        <w:rPr>
                          <w:rFonts w:ascii="Times New Roman" w:eastAsia="Times New Roman" w:hAnsi="Times New Roman" w:cs="Times New Roman"/>
                          <w:bCs/>
                          <w:spacing w:val="-2"/>
                          <w:sz w:val="24"/>
                          <w:szCs w:val="24"/>
                          <w:lang w:val="sq-AL"/>
                        </w:rPr>
                        <w:t xml:space="preserve"> </w:t>
                      </w:r>
                      <w:r w:rsidRPr="004215A5">
                        <w:rPr>
                          <w:rFonts w:ascii="Times New Roman" w:eastAsia="Times New Roman" w:hAnsi="Times New Roman" w:cs="Times New Roman"/>
                          <w:bCs/>
                          <w:sz w:val="24"/>
                          <w:szCs w:val="24"/>
                          <w:lang w:val="sq-AL"/>
                        </w:rPr>
                        <w:t>inerteve</w:t>
                      </w:r>
                      <w:r w:rsidRPr="004215A5">
                        <w:rPr>
                          <w:rFonts w:ascii="Times New Roman" w:eastAsia="Times New Roman" w:hAnsi="Times New Roman" w:cs="Times New Roman"/>
                          <w:bCs/>
                          <w:spacing w:val="-2"/>
                          <w:sz w:val="24"/>
                          <w:szCs w:val="24"/>
                          <w:lang w:val="sq-AL"/>
                        </w:rPr>
                        <w:t xml:space="preserve"> </w:t>
                      </w:r>
                      <w:r w:rsidRPr="004215A5">
                        <w:rPr>
                          <w:rFonts w:ascii="Times New Roman" w:eastAsia="Times New Roman" w:hAnsi="Times New Roman" w:cs="Times New Roman"/>
                          <w:bCs/>
                          <w:sz w:val="24"/>
                          <w:szCs w:val="24"/>
                          <w:lang w:val="sq-AL"/>
                        </w:rPr>
                        <w:t>në</w:t>
                      </w:r>
                      <w:r w:rsidRPr="004215A5">
                        <w:rPr>
                          <w:rFonts w:ascii="Times New Roman" w:eastAsia="Times New Roman" w:hAnsi="Times New Roman" w:cs="Times New Roman"/>
                          <w:bCs/>
                          <w:spacing w:val="-2"/>
                          <w:sz w:val="24"/>
                          <w:szCs w:val="24"/>
                          <w:lang w:val="sq-AL"/>
                        </w:rPr>
                        <w:t xml:space="preserve"> </w:t>
                      </w:r>
                      <w:r w:rsidRPr="004215A5">
                        <w:rPr>
                          <w:rFonts w:ascii="Times New Roman" w:eastAsia="Times New Roman" w:hAnsi="Times New Roman" w:cs="Times New Roman"/>
                          <w:bCs/>
                          <w:sz w:val="24"/>
                          <w:szCs w:val="24"/>
                          <w:lang w:val="sq-AL"/>
                        </w:rPr>
                        <w:t>shtratin</w:t>
                      </w:r>
                      <w:r w:rsidRPr="004215A5">
                        <w:rPr>
                          <w:rFonts w:ascii="Times New Roman" w:eastAsia="Times New Roman" w:hAnsi="Times New Roman" w:cs="Times New Roman"/>
                          <w:bCs/>
                          <w:spacing w:val="-1"/>
                          <w:sz w:val="24"/>
                          <w:szCs w:val="24"/>
                          <w:lang w:val="sq-AL"/>
                        </w:rPr>
                        <w:t xml:space="preserve"> </w:t>
                      </w:r>
                      <w:r w:rsidRPr="004215A5">
                        <w:rPr>
                          <w:rFonts w:ascii="Times New Roman" w:eastAsia="Times New Roman" w:hAnsi="Times New Roman" w:cs="Times New Roman"/>
                          <w:bCs/>
                          <w:sz w:val="24"/>
                          <w:szCs w:val="24"/>
                          <w:lang w:val="sq-AL"/>
                        </w:rPr>
                        <w:t>e</w:t>
                      </w:r>
                      <w:r w:rsidRPr="004215A5">
                        <w:rPr>
                          <w:rFonts w:ascii="Times New Roman" w:eastAsia="Times New Roman" w:hAnsi="Times New Roman" w:cs="Times New Roman"/>
                          <w:bCs/>
                          <w:spacing w:val="-2"/>
                          <w:sz w:val="24"/>
                          <w:szCs w:val="24"/>
                          <w:lang w:val="sq-AL"/>
                        </w:rPr>
                        <w:t xml:space="preserve"> </w:t>
                      </w:r>
                      <w:r w:rsidRPr="004215A5">
                        <w:rPr>
                          <w:rFonts w:ascii="Times New Roman" w:eastAsia="Times New Roman" w:hAnsi="Times New Roman" w:cs="Times New Roman"/>
                          <w:bCs/>
                          <w:sz w:val="24"/>
                          <w:szCs w:val="24"/>
                          <w:lang w:val="sq-AL"/>
                        </w:rPr>
                        <w:t>Drinit</w:t>
                      </w:r>
                      <w:r w:rsidRPr="004215A5">
                        <w:rPr>
                          <w:rFonts w:ascii="Times New Roman" w:eastAsia="Times New Roman" w:hAnsi="Times New Roman" w:cs="Times New Roman"/>
                          <w:bCs/>
                          <w:spacing w:val="3"/>
                          <w:sz w:val="24"/>
                          <w:szCs w:val="24"/>
                          <w:lang w:val="sq-AL"/>
                        </w:rPr>
                        <w:t xml:space="preserve"> </w:t>
                      </w:r>
                      <w:r w:rsidRPr="004215A5">
                        <w:rPr>
                          <w:rFonts w:ascii="Times New Roman" w:eastAsia="Times New Roman" w:hAnsi="Times New Roman" w:cs="Times New Roman"/>
                          <w:bCs/>
                          <w:sz w:val="24"/>
                          <w:szCs w:val="24"/>
                          <w:lang w:val="sq-AL"/>
                        </w:rPr>
                        <w:t>(pranë</w:t>
                      </w:r>
                      <w:r w:rsidRPr="004215A5">
                        <w:rPr>
                          <w:rFonts w:ascii="Times New Roman" w:eastAsia="Times New Roman" w:hAnsi="Times New Roman" w:cs="Times New Roman"/>
                          <w:bCs/>
                          <w:spacing w:val="-2"/>
                          <w:sz w:val="24"/>
                          <w:szCs w:val="24"/>
                          <w:lang w:val="sq-AL"/>
                        </w:rPr>
                        <w:t xml:space="preserve"> Bërdicës).</w:t>
                      </w:r>
                    </w:p>
                    <w:p w:rsidR="0064059F" w:rsidRPr="004215A5" w:rsidRDefault="0064059F" w:rsidP="004215A5">
                      <w:pPr>
                        <w:widowControl w:val="0"/>
                        <w:tabs>
                          <w:tab w:val="left" w:pos="1340"/>
                          <w:tab w:val="left" w:pos="5400"/>
                        </w:tabs>
                        <w:autoSpaceDE w:val="0"/>
                        <w:autoSpaceDN w:val="0"/>
                        <w:spacing w:after="0" w:line="242" w:lineRule="auto"/>
                        <w:ind w:right="30"/>
                        <w:jc w:val="both"/>
                        <w:rPr>
                          <w:rFonts w:ascii="Times New Roman" w:eastAsia="Times New Roman" w:hAnsi="Times New Roman" w:cs="Times New Roman"/>
                          <w:sz w:val="24"/>
                          <w:szCs w:val="24"/>
                          <w:lang w:val="sq-AL"/>
                        </w:rPr>
                      </w:pPr>
                      <w:r w:rsidRPr="004215A5">
                        <w:rPr>
                          <w:rFonts w:ascii="Times New Roman" w:eastAsia="Times New Roman" w:hAnsi="Times New Roman" w:cs="Times New Roman"/>
                          <w:sz w:val="24"/>
                          <w:szCs w:val="24"/>
                          <w:lang w:val="sq-AL"/>
                        </w:rPr>
                        <w:t>Të shfr</w:t>
                      </w:r>
                      <w:r>
                        <w:rPr>
                          <w:rFonts w:ascii="Times New Roman" w:eastAsia="Times New Roman" w:hAnsi="Times New Roman" w:cs="Times New Roman"/>
                          <w:sz w:val="24"/>
                          <w:szCs w:val="24"/>
                          <w:lang w:val="sq-AL"/>
                        </w:rPr>
                        <w:t xml:space="preserve">ytëzohen intensivisht inertet e </w:t>
                      </w:r>
                      <w:r w:rsidRPr="004215A5">
                        <w:rPr>
                          <w:rFonts w:ascii="Times New Roman" w:eastAsia="Times New Roman" w:hAnsi="Times New Roman" w:cs="Times New Roman"/>
                          <w:sz w:val="24"/>
                          <w:szCs w:val="24"/>
                          <w:lang w:val="sq-AL"/>
                        </w:rPr>
                        <w:t>konsiderueshme në grykëderdhjen e përroit të Gomsiqes në Vaun e Dejës me anë të impiantit të ri të vendosur së fundmi pasi zgjatet edhe jeta e këtij rezervuari. Të vendosen impiante të tjera në këtë zonë.</w:t>
                      </w:r>
                    </w:p>
                    <w:p w:rsidR="0064059F" w:rsidRPr="004215A5" w:rsidRDefault="0064059F" w:rsidP="004215A5">
                      <w:pPr>
                        <w:widowControl w:val="0"/>
                        <w:tabs>
                          <w:tab w:val="left" w:pos="1268"/>
                          <w:tab w:val="left" w:pos="5400"/>
                        </w:tabs>
                        <w:autoSpaceDE w:val="0"/>
                        <w:autoSpaceDN w:val="0"/>
                        <w:spacing w:after="0" w:line="240" w:lineRule="auto"/>
                        <w:ind w:right="30"/>
                        <w:jc w:val="both"/>
                        <w:rPr>
                          <w:rFonts w:ascii="Times New Roman" w:eastAsia="Times New Roman" w:hAnsi="Times New Roman" w:cs="Times New Roman"/>
                          <w:sz w:val="24"/>
                          <w:szCs w:val="24"/>
                          <w:lang w:val="sq-AL"/>
                        </w:rPr>
                      </w:pPr>
                      <w:r w:rsidRPr="004215A5">
                        <w:rPr>
                          <w:rFonts w:ascii="Times New Roman" w:eastAsia="Times New Roman" w:hAnsi="Times New Roman" w:cs="Times New Roman"/>
                          <w:sz w:val="24"/>
                          <w:szCs w:val="24"/>
                          <w:lang w:val="sq-AL"/>
                        </w:rPr>
                        <w:t>Të shfrytëzohen sasitë e prurjeve të konsiderueshme inerte në shtratin e Gjadrit sipër digës tek Mali i Rrëzum (të riparohet diga e prishur me qëllim grumbullimin e tyre).</w:t>
                      </w:r>
                    </w:p>
                    <w:p w:rsidR="0064059F" w:rsidRPr="004215A5" w:rsidRDefault="0064059F" w:rsidP="004215A5">
                      <w:pPr>
                        <w:widowControl w:val="0"/>
                        <w:tabs>
                          <w:tab w:val="left" w:pos="1268"/>
                          <w:tab w:val="left" w:pos="5400"/>
                        </w:tabs>
                        <w:autoSpaceDE w:val="0"/>
                        <w:autoSpaceDN w:val="0"/>
                        <w:spacing w:after="0" w:line="240" w:lineRule="auto"/>
                        <w:ind w:right="30"/>
                        <w:jc w:val="both"/>
                        <w:rPr>
                          <w:rFonts w:ascii="Times New Roman" w:eastAsia="Times New Roman" w:hAnsi="Times New Roman" w:cs="Times New Roman"/>
                          <w:sz w:val="24"/>
                          <w:szCs w:val="24"/>
                          <w:lang w:val="sq-AL"/>
                        </w:rPr>
                      </w:pPr>
                      <w:r w:rsidRPr="004215A5">
                        <w:rPr>
                          <w:rFonts w:ascii="Times New Roman" w:eastAsia="Times New Roman" w:hAnsi="Times New Roman" w:cs="Times New Roman"/>
                          <w:sz w:val="24"/>
                          <w:szCs w:val="24"/>
                          <w:lang w:val="sq-AL"/>
                        </w:rPr>
                        <w:t>Të riparohen veprat e dëmtuara të mbrojtes veçanërisht përgjatë brigjeve të lumit Drin dhe Bunë që janë kryesisht argjinaturat</w:t>
                      </w:r>
                      <w:r>
                        <w:rPr>
                          <w:rFonts w:ascii="Times New Roman" w:eastAsia="Times New Roman" w:hAnsi="Times New Roman" w:cs="Times New Roman"/>
                          <w:sz w:val="24"/>
                          <w:szCs w:val="24"/>
                          <w:lang w:val="sq-AL"/>
                        </w:rPr>
                        <w:t>.</w:t>
                      </w:r>
                    </w:p>
                    <w:p w:rsidR="0064059F" w:rsidRPr="004215A5" w:rsidRDefault="0064059F" w:rsidP="004215A5">
                      <w:pPr>
                        <w:jc w:val="both"/>
                        <w:rPr>
                          <w:sz w:val="24"/>
                          <w:szCs w:val="24"/>
                        </w:rPr>
                      </w:pPr>
                    </w:p>
                  </w:txbxContent>
                </v:textbox>
              </v:rect>
            </w:pict>
          </mc:Fallback>
        </mc:AlternateContent>
      </w:r>
    </w:p>
    <w:p w:rsidR="00B100E9" w:rsidRDefault="00B100E9" w:rsidP="001E7407">
      <w:pPr>
        <w:spacing w:after="200" w:line="276" w:lineRule="auto"/>
        <w:rPr>
          <w:rFonts w:ascii="Times New Roman" w:eastAsia="Calibri" w:hAnsi="Times New Roman" w:cs="Times New Roman"/>
          <w:b/>
          <w:sz w:val="24"/>
          <w:szCs w:val="24"/>
          <w:lang w:val="sq-AL"/>
        </w:rPr>
      </w:pPr>
    </w:p>
    <w:p w:rsidR="00124A5A" w:rsidRDefault="00124A5A" w:rsidP="001E7407">
      <w:pPr>
        <w:spacing w:after="200" w:line="276" w:lineRule="auto"/>
        <w:rPr>
          <w:rFonts w:ascii="Times New Roman" w:eastAsia="Calibri" w:hAnsi="Times New Roman" w:cs="Times New Roman"/>
          <w:b/>
          <w:sz w:val="24"/>
          <w:szCs w:val="24"/>
          <w:lang w:val="sq-AL"/>
        </w:rPr>
      </w:pPr>
    </w:p>
    <w:p w:rsidR="007E2640" w:rsidRDefault="007E2640" w:rsidP="001E7407">
      <w:pPr>
        <w:spacing w:after="200" w:line="276" w:lineRule="auto"/>
        <w:rPr>
          <w:rFonts w:ascii="Times New Roman" w:eastAsia="Calibri" w:hAnsi="Times New Roman" w:cs="Times New Roman"/>
          <w:b/>
          <w:sz w:val="24"/>
          <w:szCs w:val="24"/>
          <w:lang w:val="sq-AL"/>
        </w:rPr>
      </w:pPr>
    </w:p>
    <w:p w:rsidR="007E2640" w:rsidRDefault="007E2640" w:rsidP="001E7407">
      <w:pPr>
        <w:spacing w:after="200" w:line="276" w:lineRule="auto"/>
        <w:rPr>
          <w:rFonts w:ascii="Times New Roman" w:eastAsia="Calibri" w:hAnsi="Times New Roman" w:cs="Times New Roman"/>
          <w:b/>
          <w:sz w:val="24"/>
          <w:szCs w:val="24"/>
          <w:lang w:val="sq-AL"/>
        </w:rPr>
      </w:pPr>
    </w:p>
    <w:p w:rsidR="007E2640" w:rsidRDefault="007E2640" w:rsidP="001E7407">
      <w:pPr>
        <w:spacing w:after="200" w:line="276" w:lineRule="auto"/>
        <w:rPr>
          <w:rFonts w:ascii="Times New Roman" w:eastAsia="Calibri" w:hAnsi="Times New Roman" w:cs="Times New Roman"/>
          <w:b/>
          <w:sz w:val="24"/>
          <w:szCs w:val="24"/>
          <w:lang w:val="sq-AL"/>
        </w:rPr>
      </w:pPr>
    </w:p>
    <w:p w:rsidR="007E2640" w:rsidRDefault="007E2640" w:rsidP="001E7407">
      <w:pPr>
        <w:spacing w:after="200" w:line="276" w:lineRule="auto"/>
        <w:rPr>
          <w:rFonts w:ascii="Times New Roman" w:eastAsia="Calibri" w:hAnsi="Times New Roman" w:cs="Times New Roman"/>
          <w:b/>
          <w:sz w:val="24"/>
          <w:szCs w:val="24"/>
          <w:lang w:val="sq-AL"/>
        </w:rPr>
      </w:pPr>
    </w:p>
    <w:p w:rsidR="007E2640" w:rsidRDefault="007E2640" w:rsidP="001E7407">
      <w:pPr>
        <w:spacing w:after="200" w:line="276" w:lineRule="auto"/>
        <w:rPr>
          <w:rFonts w:ascii="Times New Roman" w:eastAsia="Calibri" w:hAnsi="Times New Roman" w:cs="Times New Roman"/>
          <w:b/>
          <w:sz w:val="24"/>
          <w:szCs w:val="24"/>
          <w:lang w:val="sq-AL"/>
        </w:rPr>
      </w:pPr>
    </w:p>
    <w:p w:rsidR="007E2640" w:rsidRDefault="007E2640" w:rsidP="001E7407">
      <w:pPr>
        <w:spacing w:after="200" w:line="276" w:lineRule="auto"/>
        <w:rPr>
          <w:rFonts w:ascii="Times New Roman" w:eastAsia="Calibri" w:hAnsi="Times New Roman" w:cs="Times New Roman"/>
          <w:b/>
          <w:sz w:val="24"/>
          <w:szCs w:val="24"/>
          <w:lang w:val="sq-AL"/>
        </w:rPr>
      </w:pPr>
    </w:p>
    <w:p w:rsidR="007E2640" w:rsidRDefault="0037352F" w:rsidP="001E7407">
      <w:pPr>
        <w:spacing w:after="200" w:line="276" w:lineRule="auto"/>
        <w:rPr>
          <w:rFonts w:ascii="Times New Roman" w:eastAsia="Calibri" w:hAnsi="Times New Roman" w:cs="Times New Roman"/>
          <w:b/>
          <w:sz w:val="24"/>
          <w:szCs w:val="24"/>
          <w:lang w:val="sq-AL"/>
        </w:rPr>
      </w:pPr>
      <w:r w:rsidRPr="007E2640">
        <w:rPr>
          <w:rFonts w:ascii="Times New Roman" w:eastAsia="Times New Roman" w:hAnsi="Times New Roman" w:cs="Times New Roman"/>
          <w:b/>
          <w:sz w:val="20"/>
          <w:lang w:val="sq-AL"/>
        </w:rPr>
        <w:t>Pellgu</w:t>
      </w:r>
      <w:r w:rsidRPr="007E2640">
        <w:rPr>
          <w:rFonts w:ascii="Times New Roman" w:eastAsia="Times New Roman" w:hAnsi="Times New Roman" w:cs="Times New Roman"/>
          <w:b/>
          <w:spacing w:val="-5"/>
          <w:sz w:val="20"/>
          <w:lang w:val="sq-AL"/>
        </w:rPr>
        <w:t xml:space="preserve"> </w:t>
      </w:r>
      <w:r w:rsidRPr="007E2640">
        <w:rPr>
          <w:rFonts w:ascii="Times New Roman" w:eastAsia="Times New Roman" w:hAnsi="Times New Roman" w:cs="Times New Roman"/>
          <w:b/>
          <w:sz w:val="20"/>
          <w:lang w:val="sq-AL"/>
        </w:rPr>
        <w:t>ujëmbledhës</w:t>
      </w:r>
      <w:r w:rsidRPr="007E2640">
        <w:rPr>
          <w:rFonts w:ascii="Times New Roman" w:eastAsia="Times New Roman" w:hAnsi="Times New Roman" w:cs="Times New Roman"/>
          <w:b/>
          <w:spacing w:val="-1"/>
          <w:sz w:val="20"/>
          <w:lang w:val="sq-AL"/>
        </w:rPr>
        <w:t xml:space="preserve"> </w:t>
      </w:r>
      <w:r w:rsidRPr="007E2640">
        <w:rPr>
          <w:rFonts w:ascii="Times New Roman" w:eastAsia="Times New Roman" w:hAnsi="Times New Roman" w:cs="Times New Roman"/>
          <w:b/>
          <w:sz w:val="20"/>
          <w:lang w:val="sq-AL"/>
        </w:rPr>
        <w:t>i</w:t>
      </w:r>
      <w:r w:rsidRPr="007E2640">
        <w:rPr>
          <w:rFonts w:ascii="Times New Roman" w:eastAsia="Times New Roman" w:hAnsi="Times New Roman" w:cs="Times New Roman"/>
          <w:b/>
          <w:spacing w:val="-6"/>
          <w:sz w:val="20"/>
          <w:lang w:val="sq-AL"/>
        </w:rPr>
        <w:t xml:space="preserve"> </w:t>
      </w:r>
      <w:r w:rsidRPr="007E2640">
        <w:rPr>
          <w:rFonts w:ascii="Times New Roman" w:eastAsia="Times New Roman" w:hAnsi="Times New Roman" w:cs="Times New Roman"/>
          <w:b/>
          <w:spacing w:val="-2"/>
          <w:sz w:val="20"/>
          <w:lang w:val="sq-AL"/>
        </w:rPr>
        <w:t>Drinit</w:t>
      </w:r>
    </w:p>
    <w:p w:rsidR="007E2640" w:rsidRPr="007E2640" w:rsidRDefault="007E2640" w:rsidP="007E2640">
      <w:pPr>
        <w:widowControl w:val="0"/>
        <w:autoSpaceDE w:val="0"/>
        <w:autoSpaceDN w:val="0"/>
        <w:spacing w:after="0" w:line="240" w:lineRule="auto"/>
        <w:rPr>
          <w:rFonts w:ascii="Times New Roman" w:eastAsia="Times New Roman" w:hAnsi="Times New Roman" w:cs="Times New Roman"/>
          <w:b/>
          <w:sz w:val="20"/>
          <w:lang w:val="sq-AL"/>
        </w:rPr>
      </w:pPr>
    </w:p>
    <w:p w:rsidR="00465EBF" w:rsidRDefault="00465EBF" w:rsidP="004215A5">
      <w:pPr>
        <w:widowControl w:val="0"/>
        <w:tabs>
          <w:tab w:val="left" w:pos="1777"/>
        </w:tabs>
        <w:autoSpaceDE w:val="0"/>
        <w:autoSpaceDN w:val="0"/>
        <w:spacing w:after="0" w:line="240" w:lineRule="auto"/>
        <w:jc w:val="both"/>
        <w:outlineLvl w:val="0"/>
        <w:rPr>
          <w:rFonts w:ascii="Times New Roman" w:eastAsia="Times New Roman" w:hAnsi="Times New Roman" w:cs="Times New Roman"/>
          <w:b/>
          <w:bCs/>
          <w:sz w:val="24"/>
          <w:szCs w:val="24"/>
          <w:lang w:val="sq-AL"/>
        </w:rPr>
      </w:pPr>
    </w:p>
    <w:p w:rsidR="004215A5" w:rsidRDefault="004215A5" w:rsidP="004215A5">
      <w:pPr>
        <w:widowControl w:val="0"/>
        <w:tabs>
          <w:tab w:val="left" w:pos="1777"/>
        </w:tabs>
        <w:autoSpaceDE w:val="0"/>
        <w:autoSpaceDN w:val="0"/>
        <w:spacing w:after="0" w:line="240" w:lineRule="auto"/>
        <w:jc w:val="both"/>
        <w:outlineLvl w:val="0"/>
        <w:rPr>
          <w:rFonts w:ascii="Times New Roman" w:eastAsia="Times New Roman" w:hAnsi="Times New Roman" w:cs="Times New Roman"/>
          <w:b/>
          <w:bCs/>
          <w:spacing w:val="-2"/>
          <w:sz w:val="24"/>
          <w:szCs w:val="24"/>
          <w:lang w:val="sq-AL"/>
        </w:rPr>
      </w:pPr>
      <w:r w:rsidRPr="004215A5">
        <w:rPr>
          <w:rFonts w:ascii="Times New Roman" w:eastAsia="Times New Roman" w:hAnsi="Times New Roman" w:cs="Times New Roman"/>
          <w:b/>
          <w:bCs/>
          <w:sz w:val="24"/>
          <w:szCs w:val="24"/>
          <w:lang w:val="sq-AL"/>
        </w:rPr>
        <w:lastRenderedPageBreak/>
        <w:t>Lumi</w:t>
      </w:r>
      <w:r w:rsidRPr="004215A5">
        <w:rPr>
          <w:rFonts w:ascii="Times New Roman" w:eastAsia="Times New Roman" w:hAnsi="Times New Roman" w:cs="Times New Roman"/>
          <w:b/>
          <w:bCs/>
          <w:spacing w:val="-2"/>
          <w:sz w:val="24"/>
          <w:szCs w:val="24"/>
          <w:lang w:val="sq-AL"/>
        </w:rPr>
        <w:t xml:space="preserve"> </w:t>
      </w:r>
      <w:r w:rsidRPr="004215A5">
        <w:rPr>
          <w:rFonts w:ascii="Times New Roman" w:eastAsia="Times New Roman" w:hAnsi="Times New Roman" w:cs="Times New Roman"/>
          <w:b/>
          <w:bCs/>
          <w:sz w:val="24"/>
          <w:szCs w:val="24"/>
          <w:lang w:val="sq-AL"/>
        </w:rPr>
        <w:t>i</w:t>
      </w:r>
      <w:r w:rsidR="0037352F">
        <w:rPr>
          <w:rFonts w:ascii="Times New Roman" w:eastAsia="Times New Roman" w:hAnsi="Times New Roman" w:cs="Times New Roman"/>
          <w:b/>
          <w:bCs/>
          <w:spacing w:val="-2"/>
          <w:sz w:val="24"/>
          <w:szCs w:val="24"/>
          <w:lang w:val="sq-AL"/>
        </w:rPr>
        <w:t xml:space="preserve"> Matit</w:t>
      </w:r>
    </w:p>
    <w:p w:rsidR="00A94861" w:rsidRPr="00601626" w:rsidRDefault="00A94861" w:rsidP="00A94861">
      <w:pPr>
        <w:widowControl w:val="0"/>
        <w:tabs>
          <w:tab w:val="left" w:pos="5760"/>
        </w:tabs>
        <w:autoSpaceDE w:val="0"/>
        <w:autoSpaceDN w:val="0"/>
        <w:spacing w:before="271" w:after="0" w:line="240" w:lineRule="auto"/>
        <w:ind w:right="270"/>
        <w:jc w:val="both"/>
        <w:rPr>
          <w:rFonts w:ascii="Times New Roman" w:eastAsia="Times New Roman" w:hAnsi="Times New Roman" w:cs="Times New Roman"/>
          <w:sz w:val="24"/>
          <w:szCs w:val="24"/>
          <w:lang w:val="sq-AL"/>
        </w:rPr>
      </w:pPr>
      <w:r w:rsidRPr="00601626">
        <w:rPr>
          <w:rFonts w:ascii="Times New Roman" w:eastAsia="Times New Roman" w:hAnsi="Times New Roman" w:cs="Times New Roman"/>
          <w:sz w:val="24"/>
          <w:szCs w:val="24"/>
          <w:lang w:val="sq-AL"/>
        </w:rPr>
        <w:t>Nga matjet e kryera në profilet e monitorimit në rrjedhën e lumit Fan dhe Mat dhe nga vrojtimet e bëra në shtratin e tij për periudhën 2022-2025 janë evidentuar problemet e mëposhtme.</w:t>
      </w:r>
    </w:p>
    <w:p w:rsidR="007E2640" w:rsidRDefault="00A94861" w:rsidP="001E7407">
      <w:pPr>
        <w:spacing w:after="200" w:line="276" w:lineRule="auto"/>
        <w:rPr>
          <w:rFonts w:ascii="Times New Roman" w:eastAsia="Calibri" w:hAnsi="Times New Roman" w:cs="Times New Roman"/>
          <w:b/>
          <w:sz w:val="24"/>
          <w:szCs w:val="24"/>
          <w:lang w:val="sq-AL"/>
        </w:rPr>
      </w:pPr>
      <w:r>
        <w:rPr>
          <w:rFonts w:ascii="Times New Roman" w:eastAsia="Times New Roman" w:hAnsi="Times New Roman" w:cs="Times New Roman"/>
          <w:noProof/>
        </w:rPr>
        <mc:AlternateContent>
          <mc:Choice Requires="wps">
            <w:drawing>
              <wp:anchor distT="0" distB="0" distL="114300" distR="114300" simplePos="0" relativeHeight="251688448" behindDoc="0" locked="0" layoutInCell="1" allowOverlap="1" wp14:anchorId="0CC2B172" wp14:editId="241E246E">
                <wp:simplePos x="0" y="0"/>
                <wp:positionH relativeFrom="column">
                  <wp:posOffset>2552700</wp:posOffset>
                </wp:positionH>
                <wp:positionV relativeFrom="paragraph">
                  <wp:posOffset>36830</wp:posOffset>
                </wp:positionV>
                <wp:extent cx="3672205" cy="3714750"/>
                <wp:effectExtent l="0" t="0" r="23495" b="19050"/>
                <wp:wrapNone/>
                <wp:docPr id="293" name="Rectangle 293"/>
                <wp:cNvGraphicFramePr/>
                <a:graphic xmlns:a="http://schemas.openxmlformats.org/drawingml/2006/main">
                  <a:graphicData uri="http://schemas.microsoft.com/office/word/2010/wordprocessingShape">
                    <wps:wsp>
                      <wps:cNvSpPr/>
                      <wps:spPr>
                        <a:xfrm>
                          <a:off x="0" y="0"/>
                          <a:ext cx="3672205" cy="37147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4059F" w:rsidRDefault="0064059F" w:rsidP="00A94861">
                            <w:pPr>
                              <w:widowControl w:val="0"/>
                              <w:tabs>
                                <w:tab w:val="left" w:pos="1280"/>
                                <w:tab w:val="left" w:pos="5760"/>
                              </w:tabs>
                              <w:autoSpaceDE w:val="0"/>
                              <w:autoSpaceDN w:val="0"/>
                              <w:spacing w:before="2" w:after="0" w:line="240" w:lineRule="auto"/>
                              <w:ind w:right="270"/>
                              <w:jc w:val="both"/>
                              <w:rPr>
                                <w:rFonts w:ascii="Times New Roman" w:eastAsia="Times New Roman" w:hAnsi="Times New Roman" w:cs="Times New Roman"/>
                                <w:sz w:val="24"/>
                                <w:lang w:val="sq-AL"/>
                              </w:rPr>
                            </w:pPr>
                            <w:r w:rsidRPr="00601626">
                              <w:rPr>
                                <w:rFonts w:ascii="Times New Roman" w:eastAsia="Times New Roman" w:hAnsi="Times New Roman" w:cs="Times New Roman"/>
                                <w:sz w:val="24"/>
                                <w:lang w:val="sq-AL"/>
                              </w:rPr>
                              <w:t>Ulje e konsiderueshme e shtratit për shkak të erozionit fundor dhe shfrytëzimit të tejskajshëm të inerteve thuajse</w:t>
                            </w:r>
                            <w:r>
                              <w:rPr>
                                <w:rFonts w:ascii="Times New Roman" w:eastAsia="Times New Roman" w:hAnsi="Times New Roman" w:cs="Times New Roman"/>
                                <w:sz w:val="24"/>
                                <w:lang w:val="sq-AL"/>
                              </w:rPr>
                              <w:t xml:space="preserve"> në të gjithë gjatësinë e lumit.</w:t>
                            </w:r>
                          </w:p>
                          <w:p w:rsidR="0064059F" w:rsidRPr="00601626" w:rsidRDefault="0064059F" w:rsidP="00A94861">
                            <w:pPr>
                              <w:widowControl w:val="0"/>
                              <w:tabs>
                                <w:tab w:val="left" w:pos="1280"/>
                                <w:tab w:val="left" w:pos="5760"/>
                              </w:tabs>
                              <w:autoSpaceDE w:val="0"/>
                              <w:autoSpaceDN w:val="0"/>
                              <w:spacing w:before="2" w:after="0" w:line="240" w:lineRule="auto"/>
                              <w:ind w:right="270"/>
                              <w:jc w:val="both"/>
                              <w:rPr>
                                <w:rFonts w:ascii="Arial" w:eastAsia="Times New Roman" w:hAnsi="Arial" w:cs="Times New Roman"/>
                                <w:sz w:val="24"/>
                                <w:lang w:val="sq-AL"/>
                              </w:rPr>
                            </w:pPr>
                          </w:p>
                          <w:p w:rsidR="0064059F" w:rsidRDefault="0064059F" w:rsidP="00A94861">
                            <w:pPr>
                              <w:widowControl w:val="0"/>
                              <w:tabs>
                                <w:tab w:val="left" w:pos="1261"/>
                                <w:tab w:val="left" w:pos="5760"/>
                              </w:tabs>
                              <w:autoSpaceDE w:val="0"/>
                              <w:autoSpaceDN w:val="0"/>
                              <w:spacing w:before="1" w:after="0" w:line="277" w:lineRule="exact"/>
                              <w:ind w:right="270"/>
                              <w:jc w:val="both"/>
                              <w:rPr>
                                <w:rFonts w:ascii="Times New Roman" w:eastAsia="Times New Roman" w:hAnsi="Times New Roman" w:cs="Times New Roman"/>
                                <w:spacing w:val="-2"/>
                                <w:sz w:val="24"/>
                                <w:lang w:val="sq-AL"/>
                              </w:rPr>
                            </w:pPr>
                            <w:r w:rsidRPr="00601626">
                              <w:rPr>
                                <w:rFonts w:ascii="Times New Roman" w:eastAsia="Times New Roman" w:hAnsi="Times New Roman" w:cs="Times New Roman"/>
                                <w:sz w:val="24"/>
                                <w:lang w:val="sq-AL"/>
                              </w:rPr>
                              <w:t>Erozion</w:t>
                            </w:r>
                            <w:r w:rsidRPr="00601626">
                              <w:rPr>
                                <w:rFonts w:ascii="Times New Roman" w:eastAsia="Times New Roman" w:hAnsi="Times New Roman" w:cs="Times New Roman"/>
                                <w:spacing w:val="-3"/>
                                <w:sz w:val="24"/>
                                <w:lang w:val="sq-AL"/>
                              </w:rPr>
                              <w:t xml:space="preserve"> </w:t>
                            </w:r>
                            <w:r w:rsidRPr="00601626">
                              <w:rPr>
                                <w:rFonts w:ascii="Times New Roman" w:eastAsia="Times New Roman" w:hAnsi="Times New Roman" w:cs="Times New Roman"/>
                                <w:sz w:val="24"/>
                                <w:lang w:val="sq-AL"/>
                              </w:rPr>
                              <w:t>i</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terracës së</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shtratit</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dhe</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tokës</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bujqësore</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në</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sektorë</w:t>
                            </w:r>
                            <w:r w:rsidRPr="00601626">
                              <w:rPr>
                                <w:rFonts w:ascii="Times New Roman" w:eastAsia="Times New Roman" w:hAnsi="Times New Roman" w:cs="Times New Roman"/>
                                <w:spacing w:val="-3"/>
                                <w:sz w:val="24"/>
                                <w:lang w:val="sq-AL"/>
                              </w:rPr>
                              <w:t xml:space="preserve"> </w:t>
                            </w:r>
                            <w:r w:rsidRPr="00601626">
                              <w:rPr>
                                <w:rFonts w:ascii="Times New Roman" w:eastAsia="Times New Roman" w:hAnsi="Times New Roman" w:cs="Times New Roman"/>
                                <w:sz w:val="24"/>
                                <w:lang w:val="sq-AL"/>
                              </w:rPr>
                              <w:t>të</w:t>
                            </w:r>
                            <w:r w:rsidRPr="00601626">
                              <w:rPr>
                                <w:rFonts w:ascii="Times New Roman" w:eastAsia="Times New Roman" w:hAnsi="Times New Roman" w:cs="Times New Roman"/>
                                <w:spacing w:val="2"/>
                                <w:sz w:val="24"/>
                                <w:lang w:val="sq-AL"/>
                              </w:rPr>
                              <w:t xml:space="preserve"> </w:t>
                            </w:r>
                            <w:r w:rsidRPr="00601626">
                              <w:rPr>
                                <w:rFonts w:ascii="Times New Roman" w:eastAsia="Times New Roman" w:hAnsi="Times New Roman" w:cs="Times New Roman"/>
                                <w:spacing w:val="-2"/>
                                <w:sz w:val="24"/>
                                <w:lang w:val="sq-AL"/>
                              </w:rPr>
                              <w:t>caktuar.</w:t>
                            </w:r>
                          </w:p>
                          <w:p w:rsidR="0064059F" w:rsidRPr="00601626" w:rsidRDefault="0064059F" w:rsidP="00A94861">
                            <w:pPr>
                              <w:widowControl w:val="0"/>
                              <w:tabs>
                                <w:tab w:val="left" w:pos="1261"/>
                                <w:tab w:val="left" w:pos="5760"/>
                              </w:tabs>
                              <w:autoSpaceDE w:val="0"/>
                              <w:autoSpaceDN w:val="0"/>
                              <w:spacing w:before="1" w:after="0" w:line="277" w:lineRule="exact"/>
                              <w:ind w:right="270"/>
                              <w:jc w:val="both"/>
                              <w:rPr>
                                <w:rFonts w:ascii="Arial" w:eastAsia="Times New Roman" w:hAnsi="Arial" w:cs="Times New Roman"/>
                                <w:sz w:val="24"/>
                                <w:lang w:val="sq-AL"/>
                              </w:rPr>
                            </w:pPr>
                          </w:p>
                          <w:p w:rsidR="0064059F" w:rsidRDefault="0064059F" w:rsidP="00A94861">
                            <w:pPr>
                              <w:widowControl w:val="0"/>
                              <w:tabs>
                                <w:tab w:val="left" w:pos="1324"/>
                                <w:tab w:val="left" w:pos="5760"/>
                              </w:tabs>
                              <w:autoSpaceDE w:val="0"/>
                              <w:autoSpaceDN w:val="0"/>
                              <w:spacing w:after="0" w:line="240" w:lineRule="auto"/>
                              <w:ind w:right="270"/>
                              <w:jc w:val="both"/>
                              <w:rPr>
                                <w:rFonts w:ascii="Times New Roman" w:eastAsia="Times New Roman" w:hAnsi="Times New Roman" w:cs="Times New Roman"/>
                                <w:sz w:val="24"/>
                                <w:lang w:val="sq-AL"/>
                              </w:rPr>
                            </w:pPr>
                            <w:r w:rsidRPr="00601626">
                              <w:rPr>
                                <w:rFonts w:ascii="Times New Roman" w:eastAsia="Times New Roman" w:hAnsi="Times New Roman" w:cs="Times New Roman"/>
                                <w:sz w:val="24"/>
                                <w:lang w:val="sq-AL"/>
                              </w:rPr>
                              <w:t>Dëmtime dhe rrezikime të objekteve inxhinjerike për shkak të uljes së shtratit, (ura, vepra mbrojtëse, vepra të marrjes së ujit). Çedimi i dy prej këmbëve të Urës së Zogut ë</w:t>
                            </w:r>
                            <w:r>
                              <w:rPr>
                                <w:rFonts w:ascii="Times New Roman" w:eastAsia="Times New Roman" w:hAnsi="Times New Roman" w:cs="Times New Roman"/>
                                <w:sz w:val="24"/>
                                <w:lang w:val="sq-AL"/>
                              </w:rPr>
                              <w:t>shtë rasti më flagrant.</w:t>
                            </w:r>
                          </w:p>
                          <w:p w:rsidR="0064059F" w:rsidRPr="00601626" w:rsidRDefault="0064059F" w:rsidP="00A94861">
                            <w:pPr>
                              <w:widowControl w:val="0"/>
                              <w:tabs>
                                <w:tab w:val="left" w:pos="1324"/>
                                <w:tab w:val="left" w:pos="5760"/>
                              </w:tabs>
                              <w:autoSpaceDE w:val="0"/>
                              <w:autoSpaceDN w:val="0"/>
                              <w:spacing w:after="0" w:line="240" w:lineRule="auto"/>
                              <w:ind w:right="270"/>
                              <w:jc w:val="both"/>
                              <w:rPr>
                                <w:rFonts w:ascii="Arial" w:eastAsia="Times New Roman" w:hAnsi="Arial" w:cs="Times New Roman"/>
                                <w:sz w:val="24"/>
                                <w:lang w:val="sq-AL"/>
                              </w:rPr>
                            </w:pPr>
                          </w:p>
                          <w:p w:rsidR="0064059F" w:rsidRDefault="0064059F" w:rsidP="00A94861">
                            <w:pPr>
                              <w:widowControl w:val="0"/>
                              <w:tabs>
                                <w:tab w:val="left" w:pos="1263"/>
                                <w:tab w:val="left" w:pos="5760"/>
                              </w:tabs>
                              <w:autoSpaceDE w:val="0"/>
                              <w:autoSpaceDN w:val="0"/>
                              <w:spacing w:after="0" w:line="240" w:lineRule="auto"/>
                              <w:ind w:right="270"/>
                              <w:jc w:val="both"/>
                              <w:rPr>
                                <w:rFonts w:ascii="Times New Roman" w:eastAsia="Times New Roman" w:hAnsi="Times New Roman" w:cs="Times New Roman"/>
                                <w:spacing w:val="-4"/>
                                <w:sz w:val="24"/>
                                <w:lang w:val="sq-AL"/>
                              </w:rPr>
                            </w:pPr>
                            <w:r w:rsidRPr="00601626">
                              <w:rPr>
                                <w:rFonts w:ascii="Times New Roman" w:eastAsia="Times New Roman" w:hAnsi="Times New Roman" w:cs="Times New Roman"/>
                                <w:sz w:val="24"/>
                                <w:lang w:val="sq-AL"/>
                              </w:rPr>
                              <w:t>Ulje</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e</w:t>
                            </w:r>
                            <w:r w:rsidRPr="00601626">
                              <w:rPr>
                                <w:rFonts w:ascii="Times New Roman" w:eastAsia="Times New Roman" w:hAnsi="Times New Roman" w:cs="Times New Roman"/>
                                <w:spacing w:val="-2"/>
                                <w:sz w:val="24"/>
                                <w:lang w:val="sq-AL"/>
                              </w:rPr>
                              <w:t xml:space="preserve"> </w:t>
                            </w:r>
                            <w:r w:rsidRPr="00601626">
                              <w:rPr>
                                <w:rFonts w:ascii="Times New Roman" w:eastAsia="Times New Roman" w:hAnsi="Times New Roman" w:cs="Times New Roman"/>
                                <w:sz w:val="24"/>
                                <w:lang w:val="sq-AL"/>
                              </w:rPr>
                              <w:t>nivelit të</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ujrave</w:t>
                            </w:r>
                            <w:r w:rsidRPr="00601626">
                              <w:rPr>
                                <w:rFonts w:ascii="Times New Roman" w:eastAsia="Times New Roman" w:hAnsi="Times New Roman" w:cs="Times New Roman"/>
                                <w:spacing w:val="2"/>
                                <w:sz w:val="24"/>
                                <w:lang w:val="sq-AL"/>
                              </w:rPr>
                              <w:t xml:space="preserve"> </w:t>
                            </w:r>
                            <w:r w:rsidRPr="00601626">
                              <w:rPr>
                                <w:rFonts w:ascii="Times New Roman" w:eastAsia="Times New Roman" w:hAnsi="Times New Roman" w:cs="Times New Roman"/>
                                <w:sz w:val="24"/>
                                <w:lang w:val="sq-AL"/>
                              </w:rPr>
                              <w:t>nëntokësorë</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në</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puset</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e ujit</w:t>
                            </w:r>
                            <w:r w:rsidRPr="00601626">
                              <w:rPr>
                                <w:rFonts w:ascii="Times New Roman" w:eastAsia="Times New Roman" w:hAnsi="Times New Roman" w:cs="Times New Roman"/>
                                <w:spacing w:val="2"/>
                                <w:sz w:val="24"/>
                                <w:lang w:val="sq-AL"/>
                              </w:rPr>
                              <w:t xml:space="preserve"> </w:t>
                            </w:r>
                            <w:r w:rsidRPr="00601626">
                              <w:rPr>
                                <w:rFonts w:ascii="Times New Roman" w:eastAsia="Times New Roman" w:hAnsi="Times New Roman" w:cs="Times New Roman"/>
                                <w:sz w:val="24"/>
                                <w:lang w:val="sq-AL"/>
                              </w:rPr>
                              <w:t>në</w:t>
                            </w:r>
                            <w:r w:rsidRPr="00601626">
                              <w:rPr>
                                <w:rFonts w:ascii="Times New Roman" w:eastAsia="Times New Roman" w:hAnsi="Times New Roman" w:cs="Times New Roman"/>
                                <w:spacing w:val="-2"/>
                                <w:sz w:val="24"/>
                                <w:lang w:val="sq-AL"/>
                              </w:rPr>
                              <w:t xml:space="preserve"> </w:t>
                            </w:r>
                            <w:r w:rsidRPr="00601626">
                              <w:rPr>
                                <w:rFonts w:ascii="Times New Roman" w:eastAsia="Times New Roman" w:hAnsi="Times New Roman" w:cs="Times New Roman"/>
                                <w:sz w:val="24"/>
                                <w:lang w:val="sq-AL"/>
                              </w:rPr>
                              <w:t>Fushë</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 xml:space="preserve">Kuqe, Rrilë, </w:t>
                            </w:r>
                            <w:r w:rsidRPr="00601626">
                              <w:rPr>
                                <w:rFonts w:ascii="Times New Roman" w:eastAsia="Times New Roman" w:hAnsi="Times New Roman" w:cs="Times New Roman"/>
                                <w:spacing w:val="-4"/>
                                <w:sz w:val="24"/>
                                <w:lang w:val="sq-AL"/>
                              </w:rPr>
                              <w:t>etj.</w:t>
                            </w:r>
                          </w:p>
                          <w:p w:rsidR="0064059F" w:rsidRPr="00601626" w:rsidRDefault="0064059F" w:rsidP="00A94861">
                            <w:pPr>
                              <w:widowControl w:val="0"/>
                              <w:tabs>
                                <w:tab w:val="left" w:pos="1263"/>
                                <w:tab w:val="left" w:pos="5760"/>
                              </w:tabs>
                              <w:autoSpaceDE w:val="0"/>
                              <w:autoSpaceDN w:val="0"/>
                              <w:spacing w:after="0" w:line="240" w:lineRule="auto"/>
                              <w:ind w:right="270"/>
                              <w:jc w:val="both"/>
                              <w:rPr>
                                <w:rFonts w:ascii="Times New Roman" w:eastAsia="Times New Roman" w:hAnsi="Times New Roman" w:cs="Times New Roman"/>
                                <w:sz w:val="24"/>
                                <w:lang w:val="sq-AL"/>
                              </w:rPr>
                            </w:pPr>
                          </w:p>
                          <w:p w:rsidR="0064059F" w:rsidRDefault="0064059F" w:rsidP="00A94861">
                            <w:pPr>
                              <w:widowControl w:val="0"/>
                              <w:tabs>
                                <w:tab w:val="left" w:pos="1263"/>
                                <w:tab w:val="left" w:pos="5760"/>
                              </w:tabs>
                              <w:autoSpaceDE w:val="0"/>
                              <w:autoSpaceDN w:val="0"/>
                              <w:spacing w:after="0" w:line="240" w:lineRule="auto"/>
                              <w:ind w:right="270"/>
                              <w:jc w:val="both"/>
                              <w:rPr>
                                <w:rFonts w:ascii="Times New Roman" w:eastAsia="Times New Roman" w:hAnsi="Times New Roman" w:cs="Times New Roman"/>
                                <w:spacing w:val="-2"/>
                                <w:sz w:val="24"/>
                                <w:lang w:val="sq-AL"/>
                              </w:rPr>
                            </w:pPr>
                            <w:r w:rsidRPr="00601626">
                              <w:rPr>
                                <w:rFonts w:ascii="Times New Roman" w:eastAsia="Times New Roman" w:hAnsi="Times New Roman" w:cs="Times New Roman"/>
                                <w:sz w:val="24"/>
                                <w:lang w:val="sq-AL"/>
                              </w:rPr>
                              <w:t>Degradim</w:t>
                            </w:r>
                            <w:r w:rsidRPr="00601626">
                              <w:rPr>
                                <w:rFonts w:ascii="Times New Roman" w:eastAsia="Times New Roman" w:hAnsi="Times New Roman" w:cs="Times New Roman"/>
                                <w:spacing w:val="-3"/>
                                <w:sz w:val="24"/>
                                <w:lang w:val="sq-AL"/>
                              </w:rPr>
                              <w:t xml:space="preserve"> </w:t>
                            </w:r>
                            <w:r w:rsidRPr="00601626">
                              <w:rPr>
                                <w:rFonts w:ascii="Times New Roman" w:eastAsia="Times New Roman" w:hAnsi="Times New Roman" w:cs="Times New Roman"/>
                                <w:sz w:val="24"/>
                                <w:lang w:val="sq-AL"/>
                              </w:rPr>
                              <w:t>i</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strukturës</w:t>
                            </w:r>
                            <w:r w:rsidRPr="00601626">
                              <w:rPr>
                                <w:rFonts w:ascii="Times New Roman" w:eastAsia="Times New Roman" w:hAnsi="Times New Roman" w:cs="Times New Roman"/>
                                <w:spacing w:val="-2"/>
                                <w:sz w:val="24"/>
                                <w:lang w:val="sq-AL"/>
                              </w:rPr>
                              <w:t xml:space="preserve"> </w:t>
                            </w:r>
                            <w:r w:rsidRPr="00601626">
                              <w:rPr>
                                <w:rFonts w:ascii="Times New Roman" w:eastAsia="Times New Roman" w:hAnsi="Times New Roman" w:cs="Times New Roman"/>
                                <w:sz w:val="24"/>
                                <w:lang w:val="sq-AL"/>
                              </w:rPr>
                              <w:t>së</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kanalit</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lumor</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në</w:t>
                            </w:r>
                            <w:r w:rsidRPr="00601626">
                              <w:rPr>
                                <w:rFonts w:ascii="Times New Roman" w:eastAsia="Times New Roman" w:hAnsi="Times New Roman" w:cs="Times New Roman"/>
                                <w:spacing w:val="-3"/>
                                <w:sz w:val="24"/>
                                <w:lang w:val="sq-AL"/>
                              </w:rPr>
                              <w:t xml:space="preserve"> </w:t>
                            </w:r>
                            <w:r w:rsidRPr="00601626">
                              <w:rPr>
                                <w:rFonts w:ascii="Times New Roman" w:eastAsia="Times New Roman" w:hAnsi="Times New Roman" w:cs="Times New Roman"/>
                                <w:sz w:val="24"/>
                                <w:lang w:val="sq-AL"/>
                              </w:rPr>
                              <w:t>zona</w:t>
                            </w:r>
                            <w:r w:rsidRPr="00601626">
                              <w:rPr>
                                <w:rFonts w:ascii="Times New Roman" w:eastAsia="Times New Roman" w:hAnsi="Times New Roman" w:cs="Times New Roman"/>
                                <w:spacing w:val="-2"/>
                                <w:sz w:val="24"/>
                                <w:lang w:val="sq-AL"/>
                              </w:rPr>
                              <w:t xml:space="preserve"> </w:t>
                            </w:r>
                            <w:r w:rsidRPr="00601626">
                              <w:rPr>
                                <w:rFonts w:ascii="Times New Roman" w:eastAsia="Times New Roman" w:hAnsi="Times New Roman" w:cs="Times New Roman"/>
                                <w:sz w:val="24"/>
                                <w:lang w:val="sq-AL"/>
                              </w:rPr>
                              <w:t>të</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caktuara</w:t>
                            </w:r>
                            <w:r w:rsidRPr="00601626">
                              <w:rPr>
                                <w:rFonts w:ascii="Times New Roman" w:eastAsia="Times New Roman" w:hAnsi="Times New Roman" w:cs="Times New Roman"/>
                                <w:spacing w:val="-3"/>
                                <w:sz w:val="24"/>
                                <w:lang w:val="sq-AL"/>
                              </w:rPr>
                              <w:t xml:space="preserve"> </w:t>
                            </w:r>
                            <w:r w:rsidRPr="00601626">
                              <w:rPr>
                                <w:rFonts w:ascii="Times New Roman" w:eastAsia="Times New Roman" w:hAnsi="Times New Roman" w:cs="Times New Roman"/>
                                <w:sz w:val="24"/>
                                <w:lang w:val="sq-AL"/>
                              </w:rPr>
                              <w:t>me</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 xml:space="preserve">shfrytëzim </w:t>
                            </w:r>
                            <w:r w:rsidRPr="00601626">
                              <w:rPr>
                                <w:rFonts w:ascii="Times New Roman" w:eastAsia="Times New Roman" w:hAnsi="Times New Roman" w:cs="Times New Roman"/>
                                <w:spacing w:val="-2"/>
                                <w:sz w:val="24"/>
                                <w:lang w:val="sq-AL"/>
                              </w:rPr>
                              <w:t>intensiv.</w:t>
                            </w:r>
                          </w:p>
                          <w:p w:rsidR="0064059F" w:rsidRDefault="0064059F" w:rsidP="00A94861">
                            <w:pPr>
                              <w:widowControl w:val="0"/>
                              <w:tabs>
                                <w:tab w:val="left" w:pos="1263"/>
                                <w:tab w:val="left" w:pos="5760"/>
                              </w:tabs>
                              <w:autoSpaceDE w:val="0"/>
                              <w:autoSpaceDN w:val="0"/>
                              <w:spacing w:after="0" w:line="240" w:lineRule="auto"/>
                              <w:ind w:right="270"/>
                              <w:jc w:val="both"/>
                              <w:rPr>
                                <w:rFonts w:ascii="Times New Roman" w:eastAsia="Times New Roman" w:hAnsi="Times New Roman" w:cs="Times New Roman"/>
                                <w:sz w:val="24"/>
                                <w:lang w:val="sq-AL"/>
                              </w:rPr>
                            </w:pPr>
                          </w:p>
                          <w:p w:rsidR="0064059F" w:rsidRPr="00A94861" w:rsidRDefault="0064059F" w:rsidP="00A94861">
                            <w:pPr>
                              <w:widowControl w:val="0"/>
                              <w:tabs>
                                <w:tab w:val="left" w:pos="1263"/>
                                <w:tab w:val="left" w:pos="5760"/>
                              </w:tabs>
                              <w:autoSpaceDE w:val="0"/>
                              <w:autoSpaceDN w:val="0"/>
                              <w:spacing w:after="0" w:line="240" w:lineRule="auto"/>
                              <w:ind w:right="270"/>
                              <w:jc w:val="both"/>
                              <w:rPr>
                                <w:rFonts w:ascii="Times New Roman" w:eastAsia="Times New Roman" w:hAnsi="Times New Roman" w:cs="Times New Roman"/>
                                <w:sz w:val="24"/>
                                <w:lang w:val="sq-AL"/>
                              </w:rPr>
                            </w:pPr>
                            <w:r w:rsidRPr="00A94861">
                              <w:rPr>
                                <w:rFonts w:ascii="Times New Roman" w:eastAsia="Times New Roman" w:hAnsi="Times New Roman" w:cs="Times New Roman"/>
                                <w:sz w:val="24"/>
                                <w:lang w:val="sq-AL"/>
                              </w:rPr>
                              <w:t>Sedimentim gjatë viteve të fundit i materialit n</w:t>
                            </w:r>
                            <w:r>
                              <w:rPr>
                                <w:rFonts w:ascii="Times New Roman" w:eastAsia="Times New Roman" w:hAnsi="Times New Roman" w:cs="Times New Roman"/>
                                <w:sz w:val="24"/>
                                <w:lang w:val="sq-AL"/>
                              </w:rPr>
                              <w:t>ë profilet e Munazit dhe Fierzë.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2B172" id="Rectangle 293" o:spid="_x0000_s1078" style="position:absolute;margin-left:201pt;margin-top:2.9pt;width:289.15pt;height:29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" fillcolor="white [3201]" strokecolor="#70ad47 [3209]" strokeweight="1pt">
                <v:textbox>
                  <w:txbxContent>
                    <w:p w:rsidR="0064059F" w:rsidRDefault="0064059F" w:rsidP="00A94861">
                      <w:pPr>
                        <w:widowControl w:val="0"/>
                        <w:tabs>
                          <w:tab w:val="left" w:pos="1280"/>
                          <w:tab w:val="left" w:pos="5760"/>
                        </w:tabs>
                        <w:autoSpaceDE w:val="0"/>
                        <w:autoSpaceDN w:val="0"/>
                        <w:spacing w:before="2" w:after="0" w:line="240" w:lineRule="auto"/>
                        <w:ind w:right="270"/>
                        <w:jc w:val="both"/>
                        <w:rPr>
                          <w:rFonts w:ascii="Times New Roman" w:eastAsia="Times New Roman" w:hAnsi="Times New Roman" w:cs="Times New Roman"/>
                          <w:sz w:val="24"/>
                          <w:lang w:val="sq-AL"/>
                        </w:rPr>
                      </w:pPr>
                      <w:r w:rsidRPr="00601626">
                        <w:rPr>
                          <w:rFonts w:ascii="Times New Roman" w:eastAsia="Times New Roman" w:hAnsi="Times New Roman" w:cs="Times New Roman"/>
                          <w:sz w:val="24"/>
                          <w:lang w:val="sq-AL"/>
                        </w:rPr>
                        <w:t>Ulje e konsiderueshme e shtratit për shkak të erozionit fundor dhe shfrytëzimit të tejskajshëm të inerteve thuajse</w:t>
                      </w:r>
                      <w:r>
                        <w:rPr>
                          <w:rFonts w:ascii="Times New Roman" w:eastAsia="Times New Roman" w:hAnsi="Times New Roman" w:cs="Times New Roman"/>
                          <w:sz w:val="24"/>
                          <w:lang w:val="sq-AL"/>
                        </w:rPr>
                        <w:t xml:space="preserve"> në të gjithë gjatësinë e lumit.</w:t>
                      </w:r>
                    </w:p>
                    <w:p w:rsidR="0064059F" w:rsidRPr="00601626" w:rsidRDefault="0064059F" w:rsidP="00A94861">
                      <w:pPr>
                        <w:widowControl w:val="0"/>
                        <w:tabs>
                          <w:tab w:val="left" w:pos="1280"/>
                          <w:tab w:val="left" w:pos="5760"/>
                        </w:tabs>
                        <w:autoSpaceDE w:val="0"/>
                        <w:autoSpaceDN w:val="0"/>
                        <w:spacing w:before="2" w:after="0" w:line="240" w:lineRule="auto"/>
                        <w:ind w:right="270"/>
                        <w:jc w:val="both"/>
                        <w:rPr>
                          <w:rFonts w:ascii="Arial" w:eastAsia="Times New Roman" w:hAnsi="Arial" w:cs="Times New Roman"/>
                          <w:sz w:val="24"/>
                          <w:lang w:val="sq-AL"/>
                        </w:rPr>
                      </w:pPr>
                    </w:p>
                    <w:p w:rsidR="0064059F" w:rsidRDefault="0064059F" w:rsidP="00A94861">
                      <w:pPr>
                        <w:widowControl w:val="0"/>
                        <w:tabs>
                          <w:tab w:val="left" w:pos="1261"/>
                          <w:tab w:val="left" w:pos="5760"/>
                        </w:tabs>
                        <w:autoSpaceDE w:val="0"/>
                        <w:autoSpaceDN w:val="0"/>
                        <w:spacing w:before="1" w:after="0" w:line="277" w:lineRule="exact"/>
                        <w:ind w:right="270"/>
                        <w:jc w:val="both"/>
                        <w:rPr>
                          <w:rFonts w:ascii="Times New Roman" w:eastAsia="Times New Roman" w:hAnsi="Times New Roman" w:cs="Times New Roman"/>
                          <w:spacing w:val="-2"/>
                          <w:sz w:val="24"/>
                          <w:lang w:val="sq-AL"/>
                        </w:rPr>
                      </w:pPr>
                      <w:r w:rsidRPr="00601626">
                        <w:rPr>
                          <w:rFonts w:ascii="Times New Roman" w:eastAsia="Times New Roman" w:hAnsi="Times New Roman" w:cs="Times New Roman"/>
                          <w:sz w:val="24"/>
                          <w:lang w:val="sq-AL"/>
                        </w:rPr>
                        <w:t>Erozion</w:t>
                      </w:r>
                      <w:r w:rsidRPr="00601626">
                        <w:rPr>
                          <w:rFonts w:ascii="Times New Roman" w:eastAsia="Times New Roman" w:hAnsi="Times New Roman" w:cs="Times New Roman"/>
                          <w:spacing w:val="-3"/>
                          <w:sz w:val="24"/>
                          <w:lang w:val="sq-AL"/>
                        </w:rPr>
                        <w:t xml:space="preserve"> </w:t>
                      </w:r>
                      <w:r w:rsidRPr="00601626">
                        <w:rPr>
                          <w:rFonts w:ascii="Times New Roman" w:eastAsia="Times New Roman" w:hAnsi="Times New Roman" w:cs="Times New Roman"/>
                          <w:sz w:val="24"/>
                          <w:lang w:val="sq-AL"/>
                        </w:rPr>
                        <w:t>i</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terracës së</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shtratit</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dhe</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tokës</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bujqësore</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në</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sektorë</w:t>
                      </w:r>
                      <w:r w:rsidRPr="00601626">
                        <w:rPr>
                          <w:rFonts w:ascii="Times New Roman" w:eastAsia="Times New Roman" w:hAnsi="Times New Roman" w:cs="Times New Roman"/>
                          <w:spacing w:val="-3"/>
                          <w:sz w:val="24"/>
                          <w:lang w:val="sq-AL"/>
                        </w:rPr>
                        <w:t xml:space="preserve"> </w:t>
                      </w:r>
                      <w:r w:rsidRPr="00601626">
                        <w:rPr>
                          <w:rFonts w:ascii="Times New Roman" w:eastAsia="Times New Roman" w:hAnsi="Times New Roman" w:cs="Times New Roman"/>
                          <w:sz w:val="24"/>
                          <w:lang w:val="sq-AL"/>
                        </w:rPr>
                        <w:t>të</w:t>
                      </w:r>
                      <w:r w:rsidRPr="00601626">
                        <w:rPr>
                          <w:rFonts w:ascii="Times New Roman" w:eastAsia="Times New Roman" w:hAnsi="Times New Roman" w:cs="Times New Roman"/>
                          <w:spacing w:val="2"/>
                          <w:sz w:val="24"/>
                          <w:lang w:val="sq-AL"/>
                        </w:rPr>
                        <w:t xml:space="preserve"> </w:t>
                      </w:r>
                      <w:r w:rsidRPr="00601626">
                        <w:rPr>
                          <w:rFonts w:ascii="Times New Roman" w:eastAsia="Times New Roman" w:hAnsi="Times New Roman" w:cs="Times New Roman"/>
                          <w:spacing w:val="-2"/>
                          <w:sz w:val="24"/>
                          <w:lang w:val="sq-AL"/>
                        </w:rPr>
                        <w:t>caktuar.</w:t>
                      </w:r>
                    </w:p>
                    <w:p w:rsidR="0064059F" w:rsidRPr="00601626" w:rsidRDefault="0064059F" w:rsidP="00A94861">
                      <w:pPr>
                        <w:widowControl w:val="0"/>
                        <w:tabs>
                          <w:tab w:val="left" w:pos="1261"/>
                          <w:tab w:val="left" w:pos="5760"/>
                        </w:tabs>
                        <w:autoSpaceDE w:val="0"/>
                        <w:autoSpaceDN w:val="0"/>
                        <w:spacing w:before="1" w:after="0" w:line="277" w:lineRule="exact"/>
                        <w:ind w:right="270"/>
                        <w:jc w:val="both"/>
                        <w:rPr>
                          <w:rFonts w:ascii="Arial" w:eastAsia="Times New Roman" w:hAnsi="Arial" w:cs="Times New Roman"/>
                          <w:sz w:val="24"/>
                          <w:lang w:val="sq-AL"/>
                        </w:rPr>
                      </w:pPr>
                    </w:p>
                    <w:p w:rsidR="0064059F" w:rsidRDefault="0064059F" w:rsidP="00A94861">
                      <w:pPr>
                        <w:widowControl w:val="0"/>
                        <w:tabs>
                          <w:tab w:val="left" w:pos="1324"/>
                          <w:tab w:val="left" w:pos="5760"/>
                        </w:tabs>
                        <w:autoSpaceDE w:val="0"/>
                        <w:autoSpaceDN w:val="0"/>
                        <w:spacing w:after="0" w:line="240" w:lineRule="auto"/>
                        <w:ind w:right="270"/>
                        <w:jc w:val="both"/>
                        <w:rPr>
                          <w:rFonts w:ascii="Times New Roman" w:eastAsia="Times New Roman" w:hAnsi="Times New Roman" w:cs="Times New Roman"/>
                          <w:sz w:val="24"/>
                          <w:lang w:val="sq-AL"/>
                        </w:rPr>
                      </w:pPr>
                      <w:r w:rsidRPr="00601626">
                        <w:rPr>
                          <w:rFonts w:ascii="Times New Roman" w:eastAsia="Times New Roman" w:hAnsi="Times New Roman" w:cs="Times New Roman"/>
                          <w:sz w:val="24"/>
                          <w:lang w:val="sq-AL"/>
                        </w:rPr>
                        <w:t>Dëmtime dhe rrezikime të objekteve inxhinjerike për shkak të uljes së shtratit, (ura, vepra mbrojtëse, vepra të marrjes së ujit). Çedimi i dy prej këmbëve të Urës së Zogut ë</w:t>
                      </w:r>
                      <w:r>
                        <w:rPr>
                          <w:rFonts w:ascii="Times New Roman" w:eastAsia="Times New Roman" w:hAnsi="Times New Roman" w:cs="Times New Roman"/>
                          <w:sz w:val="24"/>
                          <w:lang w:val="sq-AL"/>
                        </w:rPr>
                        <w:t>shtë rasti më flagrant.</w:t>
                      </w:r>
                    </w:p>
                    <w:p w:rsidR="0064059F" w:rsidRPr="00601626" w:rsidRDefault="0064059F" w:rsidP="00A94861">
                      <w:pPr>
                        <w:widowControl w:val="0"/>
                        <w:tabs>
                          <w:tab w:val="left" w:pos="1324"/>
                          <w:tab w:val="left" w:pos="5760"/>
                        </w:tabs>
                        <w:autoSpaceDE w:val="0"/>
                        <w:autoSpaceDN w:val="0"/>
                        <w:spacing w:after="0" w:line="240" w:lineRule="auto"/>
                        <w:ind w:right="270"/>
                        <w:jc w:val="both"/>
                        <w:rPr>
                          <w:rFonts w:ascii="Arial" w:eastAsia="Times New Roman" w:hAnsi="Arial" w:cs="Times New Roman"/>
                          <w:sz w:val="24"/>
                          <w:lang w:val="sq-AL"/>
                        </w:rPr>
                      </w:pPr>
                    </w:p>
                    <w:p w:rsidR="0064059F" w:rsidRDefault="0064059F" w:rsidP="00A94861">
                      <w:pPr>
                        <w:widowControl w:val="0"/>
                        <w:tabs>
                          <w:tab w:val="left" w:pos="1263"/>
                          <w:tab w:val="left" w:pos="5760"/>
                        </w:tabs>
                        <w:autoSpaceDE w:val="0"/>
                        <w:autoSpaceDN w:val="0"/>
                        <w:spacing w:after="0" w:line="240" w:lineRule="auto"/>
                        <w:ind w:right="270"/>
                        <w:jc w:val="both"/>
                        <w:rPr>
                          <w:rFonts w:ascii="Times New Roman" w:eastAsia="Times New Roman" w:hAnsi="Times New Roman" w:cs="Times New Roman"/>
                          <w:spacing w:val="-4"/>
                          <w:sz w:val="24"/>
                          <w:lang w:val="sq-AL"/>
                        </w:rPr>
                      </w:pPr>
                      <w:r w:rsidRPr="00601626">
                        <w:rPr>
                          <w:rFonts w:ascii="Times New Roman" w:eastAsia="Times New Roman" w:hAnsi="Times New Roman" w:cs="Times New Roman"/>
                          <w:sz w:val="24"/>
                          <w:lang w:val="sq-AL"/>
                        </w:rPr>
                        <w:t>Ulje</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e</w:t>
                      </w:r>
                      <w:r w:rsidRPr="00601626">
                        <w:rPr>
                          <w:rFonts w:ascii="Times New Roman" w:eastAsia="Times New Roman" w:hAnsi="Times New Roman" w:cs="Times New Roman"/>
                          <w:spacing w:val="-2"/>
                          <w:sz w:val="24"/>
                          <w:lang w:val="sq-AL"/>
                        </w:rPr>
                        <w:t xml:space="preserve"> </w:t>
                      </w:r>
                      <w:r w:rsidRPr="00601626">
                        <w:rPr>
                          <w:rFonts w:ascii="Times New Roman" w:eastAsia="Times New Roman" w:hAnsi="Times New Roman" w:cs="Times New Roman"/>
                          <w:sz w:val="24"/>
                          <w:lang w:val="sq-AL"/>
                        </w:rPr>
                        <w:t>nivelit të</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ujrave</w:t>
                      </w:r>
                      <w:r w:rsidRPr="00601626">
                        <w:rPr>
                          <w:rFonts w:ascii="Times New Roman" w:eastAsia="Times New Roman" w:hAnsi="Times New Roman" w:cs="Times New Roman"/>
                          <w:spacing w:val="2"/>
                          <w:sz w:val="24"/>
                          <w:lang w:val="sq-AL"/>
                        </w:rPr>
                        <w:t xml:space="preserve"> </w:t>
                      </w:r>
                      <w:r w:rsidRPr="00601626">
                        <w:rPr>
                          <w:rFonts w:ascii="Times New Roman" w:eastAsia="Times New Roman" w:hAnsi="Times New Roman" w:cs="Times New Roman"/>
                          <w:sz w:val="24"/>
                          <w:lang w:val="sq-AL"/>
                        </w:rPr>
                        <w:t>nëntokësorë</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në</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puset</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e ujit</w:t>
                      </w:r>
                      <w:r w:rsidRPr="00601626">
                        <w:rPr>
                          <w:rFonts w:ascii="Times New Roman" w:eastAsia="Times New Roman" w:hAnsi="Times New Roman" w:cs="Times New Roman"/>
                          <w:spacing w:val="2"/>
                          <w:sz w:val="24"/>
                          <w:lang w:val="sq-AL"/>
                        </w:rPr>
                        <w:t xml:space="preserve"> </w:t>
                      </w:r>
                      <w:r w:rsidRPr="00601626">
                        <w:rPr>
                          <w:rFonts w:ascii="Times New Roman" w:eastAsia="Times New Roman" w:hAnsi="Times New Roman" w:cs="Times New Roman"/>
                          <w:sz w:val="24"/>
                          <w:lang w:val="sq-AL"/>
                        </w:rPr>
                        <w:t>në</w:t>
                      </w:r>
                      <w:r w:rsidRPr="00601626">
                        <w:rPr>
                          <w:rFonts w:ascii="Times New Roman" w:eastAsia="Times New Roman" w:hAnsi="Times New Roman" w:cs="Times New Roman"/>
                          <w:spacing w:val="-2"/>
                          <w:sz w:val="24"/>
                          <w:lang w:val="sq-AL"/>
                        </w:rPr>
                        <w:t xml:space="preserve"> </w:t>
                      </w:r>
                      <w:r w:rsidRPr="00601626">
                        <w:rPr>
                          <w:rFonts w:ascii="Times New Roman" w:eastAsia="Times New Roman" w:hAnsi="Times New Roman" w:cs="Times New Roman"/>
                          <w:sz w:val="24"/>
                          <w:lang w:val="sq-AL"/>
                        </w:rPr>
                        <w:t>Fushë</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 xml:space="preserve">Kuqe, Rrilë, </w:t>
                      </w:r>
                      <w:r w:rsidRPr="00601626">
                        <w:rPr>
                          <w:rFonts w:ascii="Times New Roman" w:eastAsia="Times New Roman" w:hAnsi="Times New Roman" w:cs="Times New Roman"/>
                          <w:spacing w:val="-4"/>
                          <w:sz w:val="24"/>
                          <w:lang w:val="sq-AL"/>
                        </w:rPr>
                        <w:t>etj.</w:t>
                      </w:r>
                    </w:p>
                    <w:p w:rsidR="0064059F" w:rsidRPr="00601626" w:rsidRDefault="0064059F" w:rsidP="00A94861">
                      <w:pPr>
                        <w:widowControl w:val="0"/>
                        <w:tabs>
                          <w:tab w:val="left" w:pos="1263"/>
                          <w:tab w:val="left" w:pos="5760"/>
                        </w:tabs>
                        <w:autoSpaceDE w:val="0"/>
                        <w:autoSpaceDN w:val="0"/>
                        <w:spacing w:after="0" w:line="240" w:lineRule="auto"/>
                        <w:ind w:right="270"/>
                        <w:jc w:val="both"/>
                        <w:rPr>
                          <w:rFonts w:ascii="Times New Roman" w:eastAsia="Times New Roman" w:hAnsi="Times New Roman" w:cs="Times New Roman"/>
                          <w:sz w:val="24"/>
                          <w:lang w:val="sq-AL"/>
                        </w:rPr>
                      </w:pPr>
                    </w:p>
                    <w:p w:rsidR="0064059F" w:rsidRDefault="0064059F" w:rsidP="00A94861">
                      <w:pPr>
                        <w:widowControl w:val="0"/>
                        <w:tabs>
                          <w:tab w:val="left" w:pos="1263"/>
                          <w:tab w:val="left" w:pos="5760"/>
                        </w:tabs>
                        <w:autoSpaceDE w:val="0"/>
                        <w:autoSpaceDN w:val="0"/>
                        <w:spacing w:after="0" w:line="240" w:lineRule="auto"/>
                        <w:ind w:right="270"/>
                        <w:jc w:val="both"/>
                        <w:rPr>
                          <w:rFonts w:ascii="Times New Roman" w:eastAsia="Times New Roman" w:hAnsi="Times New Roman" w:cs="Times New Roman"/>
                          <w:spacing w:val="-2"/>
                          <w:sz w:val="24"/>
                          <w:lang w:val="sq-AL"/>
                        </w:rPr>
                      </w:pPr>
                      <w:r w:rsidRPr="00601626">
                        <w:rPr>
                          <w:rFonts w:ascii="Times New Roman" w:eastAsia="Times New Roman" w:hAnsi="Times New Roman" w:cs="Times New Roman"/>
                          <w:sz w:val="24"/>
                          <w:lang w:val="sq-AL"/>
                        </w:rPr>
                        <w:t>Degradim</w:t>
                      </w:r>
                      <w:r w:rsidRPr="00601626">
                        <w:rPr>
                          <w:rFonts w:ascii="Times New Roman" w:eastAsia="Times New Roman" w:hAnsi="Times New Roman" w:cs="Times New Roman"/>
                          <w:spacing w:val="-3"/>
                          <w:sz w:val="24"/>
                          <w:lang w:val="sq-AL"/>
                        </w:rPr>
                        <w:t xml:space="preserve"> </w:t>
                      </w:r>
                      <w:r w:rsidRPr="00601626">
                        <w:rPr>
                          <w:rFonts w:ascii="Times New Roman" w:eastAsia="Times New Roman" w:hAnsi="Times New Roman" w:cs="Times New Roman"/>
                          <w:sz w:val="24"/>
                          <w:lang w:val="sq-AL"/>
                        </w:rPr>
                        <w:t>i</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strukturës</w:t>
                      </w:r>
                      <w:r w:rsidRPr="00601626">
                        <w:rPr>
                          <w:rFonts w:ascii="Times New Roman" w:eastAsia="Times New Roman" w:hAnsi="Times New Roman" w:cs="Times New Roman"/>
                          <w:spacing w:val="-2"/>
                          <w:sz w:val="24"/>
                          <w:lang w:val="sq-AL"/>
                        </w:rPr>
                        <w:t xml:space="preserve"> </w:t>
                      </w:r>
                      <w:r w:rsidRPr="00601626">
                        <w:rPr>
                          <w:rFonts w:ascii="Times New Roman" w:eastAsia="Times New Roman" w:hAnsi="Times New Roman" w:cs="Times New Roman"/>
                          <w:sz w:val="24"/>
                          <w:lang w:val="sq-AL"/>
                        </w:rPr>
                        <w:t>së</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kanalit</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lumor</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në</w:t>
                      </w:r>
                      <w:r w:rsidRPr="00601626">
                        <w:rPr>
                          <w:rFonts w:ascii="Times New Roman" w:eastAsia="Times New Roman" w:hAnsi="Times New Roman" w:cs="Times New Roman"/>
                          <w:spacing w:val="-3"/>
                          <w:sz w:val="24"/>
                          <w:lang w:val="sq-AL"/>
                        </w:rPr>
                        <w:t xml:space="preserve"> </w:t>
                      </w:r>
                      <w:r w:rsidRPr="00601626">
                        <w:rPr>
                          <w:rFonts w:ascii="Times New Roman" w:eastAsia="Times New Roman" w:hAnsi="Times New Roman" w:cs="Times New Roman"/>
                          <w:sz w:val="24"/>
                          <w:lang w:val="sq-AL"/>
                        </w:rPr>
                        <w:t>zona</w:t>
                      </w:r>
                      <w:r w:rsidRPr="00601626">
                        <w:rPr>
                          <w:rFonts w:ascii="Times New Roman" w:eastAsia="Times New Roman" w:hAnsi="Times New Roman" w:cs="Times New Roman"/>
                          <w:spacing w:val="-2"/>
                          <w:sz w:val="24"/>
                          <w:lang w:val="sq-AL"/>
                        </w:rPr>
                        <w:t xml:space="preserve"> </w:t>
                      </w:r>
                      <w:r w:rsidRPr="00601626">
                        <w:rPr>
                          <w:rFonts w:ascii="Times New Roman" w:eastAsia="Times New Roman" w:hAnsi="Times New Roman" w:cs="Times New Roman"/>
                          <w:sz w:val="24"/>
                          <w:lang w:val="sq-AL"/>
                        </w:rPr>
                        <w:t>të</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caktuara</w:t>
                      </w:r>
                      <w:r w:rsidRPr="00601626">
                        <w:rPr>
                          <w:rFonts w:ascii="Times New Roman" w:eastAsia="Times New Roman" w:hAnsi="Times New Roman" w:cs="Times New Roman"/>
                          <w:spacing w:val="-3"/>
                          <w:sz w:val="24"/>
                          <w:lang w:val="sq-AL"/>
                        </w:rPr>
                        <w:t xml:space="preserve"> </w:t>
                      </w:r>
                      <w:r w:rsidRPr="00601626">
                        <w:rPr>
                          <w:rFonts w:ascii="Times New Roman" w:eastAsia="Times New Roman" w:hAnsi="Times New Roman" w:cs="Times New Roman"/>
                          <w:sz w:val="24"/>
                          <w:lang w:val="sq-AL"/>
                        </w:rPr>
                        <w:t>me</w:t>
                      </w:r>
                      <w:r w:rsidRPr="00601626">
                        <w:rPr>
                          <w:rFonts w:ascii="Times New Roman" w:eastAsia="Times New Roman" w:hAnsi="Times New Roman" w:cs="Times New Roman"/>
                          <w:spacing w:val="-1"/>
                          <w:sz w:val="24"/>
                          <w:lang w:val="sq-AL"/>
                        </w:rPr>
                        <w:t xml:space="preserve"> </w:t>
                      </w:r>
                      <w:r w:rsidRPr="00601626">
                        <w:rPr>
                          <w:rFonts w:ascii="Times New Roman" w:eastAsia="Times New Roman" w:hAnsi="Times New Roman" w:cs="Times New Roman"/>
                          <w:sz w:val="24"/>
                          <w:lang w:val="sq-AL"/>
                        </w:rPr>
                        <w:t xml:space="preserve">shfrytëzim </w:t>
                      </w:r>
                      <w:r w:rsidRPr="00601626">
                        <w:rPr>
                          <w:rFonts w:ascii="Times New Roman" w:eastAsia="Times New Roman" w:hAnsi="Times New Roman" w:cs="Times New Roman"/>
                          <w:spacing w:val="-2"/>
                          <w:sz w:val="24"/>
                          <w:lang w:val="sq-AL"/>
                        </w:rPr>
                        <w:t>intensiv.</w:t>
                      </w:r>
                    </w:p>
                    <w:p w:rsidR="0064059F" w:rsidRDefault="0064059F" w:rsidP="00A94861">
                      <w:pPr>
                        <w:widowControl w:val="0"/>
                        <w:tabs>
                          <w:tab w:val="left" w:pos="1263"/>
                          <w:tab w:val="left" w:pos="5760"/>
                        </w:tabs>
                        <w:autoSpaceDE w:val="0"/>
                        <w:autoSpaceDN w:val="0"/>
                        <w:spacing w:after="0" w:line="240" w:lineRule="auto"/>
                        <w:ind w:right="270"/>
                        <w:jc w:val="both"/>
                        <w:rPr>
                          <w:rFonts w:ascii="Times New Roman" w:eastAsia="Times New Roman" w:hAnsi="Times New Roman" w:cs="Times New Roman"/>
                          <w:sz w:val="24"/>
                          <w:lang w:val="sq-AL"/>
                        </w:rPr>
                      </w:pPr>
                    </w:p>
                    <w:p w:rsidR="0064059F" w:rsidRPr="00A94861" w:rsidRDefault="0064059F" w:rsidP="00A94861">
                      <w:pPr>
                        <w:widowControl w:val="0"/>
                        <w:tabs>
                          <w:tab w:val="left" w:pos="1263"/>
                          <w:tab w:val="left" w:pos="5760"/>
                        </w:tabs>
                        <w:autoSpaceDE w:val="0"/>
                        <w:autoSpaceDN w:val="0"/>
                        <w:spacing w:after="0" w:line="240" w:lineRule="auto"/>
                        <w:ind w:right="270"/>
                        <w:jc w:val="both"/>
                        <w:rPr>
                          <w:rFonts w:ascii="Times New Roman" w:eastAsia="Times New Roman" w:hAnsi="Times New Roman" w:cs="Times New Roman"/>
                          <w:sz w:val="24"/>
                          <w:lang w:val="sq-AL"/>
                        </w:rPr>
                      </w:pPr>
                      <w:r w:rsidRPr="00A94861">
                        <w:rPr>
                          <w:rFonts w:ascii="Times New Roman" w:eastAsia="Times New Roman" w:hAnsi="Times New Roman" w:cs="Times New Roman"/>
                          <w:sz w:val="24"/>
                          <w:lang w:val="sq-AL"/>
                        </w:rPr>
                        <w:t>Sedimentim gjatë viteve të fundit i materialit n</w:t>
                      </w:r>
                      <w:r>
                        <w:rPr>
                          <w:rFonts w:ascii="Times New Roman" w:eastAsia="Times New Roman" w:hAnsi="Times New Roman" w:cs="Times New Roman"/>
                          <w:sz w:val="24"/>
                          <w:lang w:val="sq-AL"/>
                        </w:rPr>
                        <w:t>ë profilet e Munazit dhe Fierzë.</w:t>
                      </w:r>
                    </w:p>
                  </w:txbxContent>
                </v:textbox>
              </v:rect>
            </w:pict>
          </mc:Fallback>
        </mc:AlternateContent>
      </w:r>
      <w:r w:rsidR="00601626" w:rsidRPr="00601626">
        <w:rPr>
          <w:rFonts w:ascii="Times New Roman" w:eastAsia="Times New Roman" w:hAnsi="Times New Roman" w:cs="Times New Roman"/>
          <w:noProof/>
        </w:rPr>
        <mc:AlternateContent>
          <mc:Choice Requires="wpg">
            <w:drawing>
              <wp:anchor distT="0" distB="0" distL="0" distR="0" simplePos="0" relativeHeight="251686400" behindDoc="0" locked="0" layoutInCell="1" allowOverlap="1" wp14:anchorId="33684469" wp14:editId="42154FAE">
                <wp:simplePos x="0" y="0"/>
                <wp:positionH relativeFrom="page">
                  <wp:posOffset>828675</wp:posOffset>
                </wp:positionH>
                <wp:positionV relativeFrom="paragraph">
                  <wp:posOffset>167640</wp:posOffset>
                </wp:positionV>
                <wp:extent cx="2419350" cy="3524250"/>
                <wp:effectExtent l="0" t="0" r="19050" b="19050"/>
                <wp:wrapNone/>
                <wp:docPr id="290" name="Group 290" descr="C:\LUMENJTE\MONITORIMI I RRJETIT LUMOR TE SHQIPERISE\Lumenjte, ACad+pdf+jpeg\2. Pellgu ujembledhes i Matit\Pellgu ujembledhes i Matit Model .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9350" cy="3524250"/>
                          <a:chOff x="0" y="0"/>
                          <a:chExt cx="2703830" cy="3933825"/>
                        </a:xfrm>
                      </wpg:grpSpPr>
                      <pic:pic xmlns:pic="http://schemas.openxmlformats.org/drawingml/2006/picture">
                        <pic:nvPicPr>
                          <pic:cNvPr id="291" name="Image 28" descr="C:\LUMENJTE\MONITORIMI I RRJETIT LUMOR TE SHQIPERISE\Lumenjte, ACad+pdf+jpeg\2. Pellgu ujembledhes i Matit\Pellgu ujembledhes i Matit Model .jpg"/>
                          <pic:cNvPicPr/>
                        </pic:nvPicPr>
                        <pic:blipFill>
                          <a:blip r:embed="rId158" cstate="print"/>
                          <a:stretch>
                            <a:fillRect/>
                          </a:stretch>
                        </pic:blipFill>
                        <pic:spPr>
                          <a:xfrm>
                            <a:off x="9144" y="9144"/>
                            <a:ext cx="2685288" cy="3915156"/>
                          </a:xfrm>
                          <a:prstGeom prst="rect">
                            <a:avLst/>
                          </a:prstGeom>
                        </pic:spPr>
                      </pic:pic>
                      <wps:wsp>
                        <wps:cNvPr id="292" name="Graphic 29"/>
                        <wps:cNvSpPr/>
                        <wps:spPr>
                          <a:xfrm>
                            <a:off x="4572" y="4572"/>
                            <a:ext cx="2694940" cy="3924300"/>
                          </a:xfrm>
                          <a:custGeom>
                            <a:avLst/>
                            <a:gdLst/>
                            <a:ahLst/>
                            <a:cxnLst/>
                            <a:rect l="l" t="t" r="r" b="b"/>
                            <a:pathLst>
                              <a:path w="2694940" h="3924300">
                                <a:moveTo>
                                  <a:pt x="0" y="3924300"/>
                                </a:moveTo>
                                <a:lnTo>
                                  <a:pt x="2694432" y="3924300"/>
                                </a:lnTo>
                                <a:lnTo>
                                  <a:pt x="2694432" y="0"/>
                                </a:lnTo>
                                <a:lnTo>
                                  <a:pt x="0" y="0"/>
                                </a:lnTo>
                                <a:lnTo>
                                  <a:pt x="0" y="3924300"/>
                                </a:lnTo>
                                <a:close/>
                              </a:path>
                            </a:pathLst>
                          </a:custGeom>
                          <a:ln w="9143">
                            <a:solidFill>
                              <a:srgbClr val="001F5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BA3DBF" id="Group 290" o:spid="_x0000_s1026" style="position:absolute;margin-left:65.25pt;margin-top:13.2pt;width:190.5pt;height:277.5pt;z-index:251686400;mso-wrap-distance-left:0;mso-wrap-distance-right:0;mso-position-horizontal-relative:page;mso-width-relative:margin;mso-height-relative:margin" coordsize="27038,393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">
                <v:shape id="Image 28" o:spid="_x0000_s1027" type="#_x0000_t75" style="position:absolute;left:91;top:91;width:26853;height:39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">
                  <v:imagedata r:id="rId159" o:title="Pellgu ujembledhes i Matit Model "/>
                </v:shape>
                <v:shape id="Graphic 29" o:spid="_x0000_s1028" style="position:absolute;left:45;top:45;width:26950;height:39243;visibility:visible;mso-wrap-style:square;v-text-anchor:top" coordsize="2694940,392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" path="m,3924300r2694432,l2694432,,,,,3924300xe" filled="f" strokecolor="#001f5f" strokeweight=".25397mm">
                  <v:path arrowok="t"/>
                </v:shape>
                <w10:wrap anchorx="page"/>
              </v:group>
            </w:pict>
          </mc:Fallback>
        </mc:AlternateContent>
      </w:r>
    </w:p>
    <w:p w:rsidR="007E2640" w:rsidRDefault="007E2640" w:rsidP="001E7407">
      <w:pPr>
        <w:spacing w:after="200" w:line="276" w:lineRule="auto"/>
        <w:rPr>
          <w:rFonts w:ascii="Times New Roman" w:eastAsia="Calibri" w:hAnsi="Times New Roman" w:cs="Times New Roman"/>
          <w:b/>
          <w:sz w:val="24"/>
          <w:szCs w:val="24"/>
          <w:lang w:val="sq-AL"/>
        </w:rPr>
      </w:pPr>
    </w:p>
    <w:p w:rsidR="004215A5" w:rsidRDefault="004215A5" w:rsidP="001E7407">
      <w:pPr>
        <w:spacing w:after="200" w:line="276" w:lineRule="auto"/>
        <w:rPr>
          <w:rFonts w:ascii="Times New Roman" w:eastAsia="Calibri" w:hAnsi="Times New Roman" w:cs="Times New Roman"/>
          <w:b/>
          <w:sz w:val="24"/>
          <w:szCs w:val="24"/>
          <w:lang w:val="sq-AL"/>
        </w:rPr>
      </w:pPr>
    </w:p>
    <w:p w:rsidR="004215A5" w:rsidRDefault="004215A5" w:rsidP="001E7407">
      <w:pPr>
        <w:spacing w:after="200" w:line="276" w:lineRule="auto"/>
        <w:rPr>
          <w:rFonts w:ascii="Times New Roman" w:eastAsia="Calibri" w:hAnsi="Times New Roman" w:cs="Times New Roman"/>
          <w:b/>
          <w:sz w:val="24"/>
          <w:szCs w:val="24"/>
          <w:lang w:val="sq-AL"/>
        </w:rPr>
      </w:pPr>
    </w:p>
    <w:p w:rsidR="004215A5" w:rsidRDefault="004215A5" w:rsidP="001E7407">
      <w:pPr>
        <w:spacing w:after="200" w:line="276" w:lineRule="auto"/>
        <w:rPr>
          <w:rFonts w:ascii="Times New Roman" w:eastAsia="Calibri" w:hAnsi="Times New Roman" w:cs="Times New Roman"/>
          <w:b/>
          <w:sz w:val="24"/>
          <w:szCs w:val="24"/>
          <w:lang w:val="sq-AL"/>
        </w:rPr>
      </w:pPr>
    </w:p>
    <w:p w:rsidR="004215A5" w:rsidRDefault="004215A5" w:rsidP="001E7407">
      <w:pPr>
        <w:spacing w:after="200" w:line="276" w:lineRule="auto"/>
        <w:rPr>
          <w:rFonts w:ascii="Times New Roman" w:eastAsia="Calibri" w:hAnsi="Times New Roman" w:cs="Times New Roman"/>
          <w:b/>
          <w:sz w:val="24"/>
          <w:szCs w:val="24"/>
          <w:lang w:val="sq-AL"/>
        </w:rPr>
      </w:pPr>
    </w:p>
    <w:p w:rsidR="004215A5" w:rsidRDefault="004215A5" w:rsidP="001E7407">
      <w:pPr>
        <w:spacing w:after="200" w:line="276" w:lineRule="auto"/>
        <w:rPr>
          <w:rFonts w:ascii="Times New Roman" w:eastAsia="Calibri" w:hAnsi="Times New Roman" w:cs="Times New Roman"/>
          <w:b/>
          <w:sz w:val="24"/>
          <w:szCs w:val="24"/>
          <w:lang w:val="sq-AL"/>
        </w:rPr>
      </w:pPr>
    </w:p>
    <w:p w:rsidR="004215A5" w:rsidRDefault="004215A5" w:rsidP="001E7407">
      <w:pPr>
        <w:spacing w:after="200" w:line="276" w:lineRule="auto"/>
        <w:rPr>
          <w:rFonts w:ascii="Times New Roman" w:eastAsia="Calibri" w:hAnsi="Times New Roman" w:cs="Times New Roman"/>
          <w:b/>
          <w:sz w:val="24"/>
          <w:szCs w:val="24"/>
          <w:lang w:val="sq-AL"/>
        </w:rPr>
      </w:pPr>
    </w:p>
    <w:p w:rsidR="004215A5" w:rsidRDefault="004215A5" w:rsidP="001E7407">
      <w:pPr>
        <w:spacing w:after="200" w:line="276" w:lineRule="auto"/>
        <w:rPr>
          <w:rFonts w:ascii="Times New Roman" w:eastAsia="Calibri" w:hAnsi="Times New Roman" w:cs="Times New Roman"/>
          <w:b/>
          <w:sz w:val="24"/>
          <w:szCs w:val="24"/>
          <w:lang w:val="sq-AL"/>
        </w:rPr>
      </w:pPr>
    </w:p>
    <w:p w:rsidR="004215A5" w:rsidRDefault="004215A5" w:rsidP="001E7407">
      <w:pPr>
        <w:spacing w:after="200" w:line="276" w:lineRule="auto"/>
        <w:rPr>
          <w:rFonts w:ascii="Times New Roman" w:eastAsia="Calibri" w:hAnsi="Times New Roman" w:cs="Times New Roman"/>
          <w:b/>
          <w:sz w:val="24"/>
          <w:szCs w:val="24"/>
          <w:lang w:val="sq-AL"/>
        </w:rPr>
      </w:pPr>
    </w:p>
    <w:p w:rsidR="007E2640" w:rsidRDefault="007E2640" w:rsidP="001E7407">
      <w:pPr>
        <w:spacing w:after="200" w:line="276" w:lineRule="auto"/>
        <w:rPr>
          <w:rFonts w:ascii="Times New Roman" w:eastAsia="Calibri" w:hAnsi="Times New Roman" w:cs="Times New Roman"/>
          <w:b/>
          <w:sz w:val="24"/>
          <w:szCs w:val="24"/>
          <w:lang w:val="sq-AL"/>
        </w:rPr>
      </w:pPr>
    </w:p>
    <w:p w:rsidR="007E2640" w:rsidRDefault="007E2640" w:rsidP="001E7407">
      <w:pPr>
        <w:spacing w:after="200" w:line="276" w:lineRule="auto"/>
        <w:rPr>
          <w:rFonts w:ascii="Times New Roman" w:eastAsia="Calibri" w:hAnsi="Times New Roman" w:cs="Times New Roman"/>
          <w:b/>
          <w:sz w:val="24"/>
          <w:szCs w:val="24"/>
          <w:lang w:val="sq-AL"/>
        </w:rPr>
      </w:pPr>
    </w:p>
    <w:p w:rsidR="00A94861" w:rsidRPr="00A94861" w:rsidRDefault="00A94861" w:rsidP="00A94861">
      <w:pPr>
        <w:widowControl w:val="0"/>
        <w:tabs>
          <w:tab w:val="left" w:pos="1273"/>
          <w:tab w:val="left" w:pos="9360"/>
        </w:tabs>
        <w:autoSpaceDE w:val="0"/>
        <w:autoSpaceDN w:val="0"/>
        <w:spacing w:before="2" w:after="0" w:line="240" w:lineRule="auto"/>
        <w:jc w:val="both"/>
        <w:rPr>
          <w:rFonts w:ascii="Arial" w:eastAsia="Times New Roman" w:hAnsi="Arial" w:cs="Times New Roman"/>
          <w:sz w:val="24"/>
          <w:lang w:val="sq-AL"/>
        </w:rPr>
      </w:pPr>
      <w:r w:rsidRPr="00A94861">
        <w:rPr>
          <w:rFonts w:ascii="Times New Roman" w:eastAsia="Times New Roman" w:hAnsi="Times New Roman" w:cs="Times New Roman"/>
          <w:sz w:val="24"/>
          <w:lang w:val="sq-AL"/>
        </w:rPr>
        <w:t>Shkak i këtij akumulimi është gërryerja dhe shpërndarja e sterilit malor të nxjerrë nga hapja e tuneleve të HEC-it të Qafë-Mollës dhe të stokuara në shtratin e lumit Fan. Duhet të theksojmë se ky lloj materiali është totalisht i panatyrshëm për shtratin e lumit pasi përfaqëson një përzierje të coprave këndore me pluhura argjilore. Sedimentimi i këtij miksazhi ka një ndikim shumë negativ në ekuilibrat e lëvizjes së ujrave në shtrat dhe poshtë tij pasi krijon një taposje perfekte të shtratit duke bërë të mundur kufizimin e filtrimit të këtyre ujrave poshtë tij.</w:t>
      </w:r>
    </w:p>
    <w:p w:rsidR="00F060D4" w:rsidRDefault="00F060D4" w:rsidP="00A94861">
      <w:pPr>
        <w:widowControl w:val="0"/>
        <w:tabs>
          <w:tab w:val="left" w:pos="5817"/>
        </w:tabs>
        <w:autoSpaceDE w:val="0"/>
        <w:autoSpaceDN w:val="0"/>
        <w:spacing w:before="1" w:after="0" w:line="240" w:lineRule="auto"/>
        <w:jc w:val="both"/>
        <w:rPr>
          <w:rFonts w:ascii="Times New Roman" w:eastAsia="Times New Roman" w:hAnsi="Times New Roman" w:cs="Times New Roman"/>
          <w:sz w:val="24"/>
          <w:szCs w:val="24"/>
          <w:lang w:val="sq-AL"/>
        </w:rPr>
      </w:pPr>
    </w:p>
    <w:p w:rsidR="00A94861" w:rsidRPr="00A94861" w:rsidRDefault="00A94861" w:rsidP="00A94861">
      <w:pPr>
        <w:widowControl w:val="0"/>
        <w:tabs>
          <w:tab w:val="left" w:pos="5817"/>
        </w:tabs>
        <w:autoSpaceDE w:val="0"/>
        <w:autoSpaceDN w:val="0"/>
        <w:spacing w:before="1" w:after="0" w:line="240" w:lineRule="auto"/>
        <w:jc w:val="both"/>
        <w:rPr>
          <w:rFonts w:ascii="Times New Roman" w:eastAsia="Times New Roman" w:hAnsi="Times New Roman" w:cs="Times New Roman"/>
          <w:sz w:val="24"/>
          <w:lang w:val="sq-AL"/>
        </w:rPr>
      </w:pPr>
      <w:r w:rsidRPr="00A94861">
        <w:rPr>
          <w:rFonts w:ascii="Times New Roman" w:eastAsia="Times New Roman" w:hAnsi="Times New Roman" w:cs="Times New Roman"/>
          <w:sz w:val="24"/>
          <w:szCs w:val="24"/>
          <w:lang w:val="sq-AL"/>
        </w:rPr>
        <w:t xml:space="preserve">Ky impakt ka filluar zhvendosjen e tij nga sektori i tuneleve (Luxhë) në drejtimin poshtë rrjedhës. Më i ndjeshëm ky proces është në zonën e Munazit, por elemente të tij vërehen deri tek Ura e Uzinës pranë qytetit të Rubikut. </w:t>
      </w:r>
      <w:r w:rsidRPr="00A94861">
        <w:rPr>
          <w:rFonts w:ascii="Times New Roman" w:eastAsia="Times New Roman" w:hAnsi="Times New Roman" w:cs="Times New Roman"/>
          <w:sz w:val="24"/>
          <w:lang w:val="sq-AL"/>
        </w:rPr>
        <w:t>Ndërprerja prej disa vitesh në furnizimin e shtratit me</w:t>
      </w:r>
      <w:r w:rsidRPr="00A94861">
        <w:rPr>
          <w:rFonts w:ascii="Times New Roman" w:eastAsia="Times New Roman" w:hAnsi="Times New Roman" w:cs="Times New Roman"/>
          <w:spacing w:val="-3"/>
          <w:sz w:val="24"/>
          <w:lang w:val="sq-AL"/>
        </w:rPr>
        <w:t xml:space="preserve"> </w:t>
      </w:r>
      <w:r w:rsidRPr="00A94861">
        <w:rPr>
          <w:rFonts w:ascii="Times New Roman" w:eastAsia="Times New Roman" w:hAnsi="Times New Roman" w:cs="Times New Roman"/>
          <w:sz w:val="24"/>
          <w:lang w:val="sq-AL"/>
        </w:rPr>
        <w:t>inerte</w:t>
      </w:r>
      <w:r w:rsidRPr="00A94861">
        <w:rPr>
          <w:rFonts w:ascii="Times New Roman" w:eastAsia="Times New Roman" w:hAnsi="Times New Roman" w:cs="Times New Roman"/>
          <w:spacing w:val="-5"/>
          <w:sz w:val="24"/>
          <w:lang w:val="sq-AL"/>
        </w:rPr>
        <w:t xml:space="preserve"> </w:t>
      </w:r>
      <w:r w:rsidRPr="00A94861">
        <w:rPr>
          <w:rFonts w:ascii="Times New Roman" w:eastAsia="Times New Roman" w:hAnsi="Times New Roman" w:cs="Times New Roman"/>
          <w:sz w:val="24"/>
          <w:lang w:val="sq-AL"/>
        </w:rPr>
        <w:t>lumore</w:t>
      </w:r>
      <w:r w:rsidRPr="00A94861">
        <w:rPr>
          <w:rFonts w:ascii="Times New Roman" w:eastAsia="Times New Roman" w:hAnsi="Times New Roman" w:cs="Times New Roman"/>
          <w:spacing w:val="-3"/>
          <w:sz w:val="24"/>
          <w:lang w:val="sq-AL"/>
        </w:rPr>
        <w:t xml:space="preserve"> </w:t>
      </w:r>
      <w:r w:rsidRPr="00A94861">
        <w:rPr>
          <w:rFonts w:ascii="Times New Roman" w:eastAsia="Times New Roman" w:hAnsi="Times New Roman" w:cs="Times New Roman"/>
          <w:sz w:val="24"/>
          <w:lang w:val="sq-AL"/>
        </w:rPr>
        <w:t>për</w:t>
      </w:r>
      <w:r w:rsidRPr="00A94861">
        <w:rPr>
          <w:rFonts w:ascii="Times New Roman" w:eastAsia="Times New Roman" w:hAnsi="Times New Roman" w:cs="Times New Roman"/>
          <w:spacing w:val="-3"/>
          <w:sz w:val="24"/>
          <w:lang w:val="sq-AL"/>
        </w:rPr>
        <w:t xml:space="preserve"> </w:t>
      </w:r>
      <w:r w:rsidRPr="00A94861">
        <w:rPr>
          <w:rFonts w:ascii="Times New Roman" w:eastAsia="Times New Roman" w:hAnsi="Times New Roman" w:cs="Times New Roman"/>
          <w:sz w:val="24"/>
          <w:lang w:val="sq-AL"/>
        </w:rPr>
        <w:t>shkak</w:t>
      </w:r>
      <w:r w:rsidRPr="00A94861">
        <w:rPr>
          <w:rFonts w:ascii="Times New Roman" w:eastAsia="Times New Roman" w:hAnsi="Times New Roman" w:cs="Times New Roman"/>
          <w:spacing w:val="-3"/>
          <w:sz w:val="24"/>
          <w:lang w:val="sq-AL"/>
        </w:rPr>
        <w:t xml:space="preserve"> </w:t>
      </w:r>
      <w:r w:rsidRPr="00A94861">
        <w:rPr>
          <w:rFonts w:ascii="Times New Roman" w:eastAsia="Times New Roman" w:hAnsi="Times New Roman" w:cs="Times New Roman"/>
          <w:sz w:val="24"/>
          <w:lang w:val="sq-AL"/>
        </w:rPr>
        <w:t>të</w:t>
      </w:r>
      <w:r w:rsidRPr="00A94861">
        <w:rPr>
          <w:rFonts w:ascii="Times New Roman" w:eastAsia="Times New Roman" w:hAnsi="Times New Roman" w:cs="Times New Roman"/>
          <w:spacing w:val="-3"/>
          <w:sz w:val="24"/>
          <w:lang w:val="sq-AL"/>
        </w:rPr>
        <w:t xml:space="preserve"> </w:t>
      </w:r>
      <w:r w:rsidRPr="00A94861">
        <w:rPr>
          <w:rFonts w:ascii="Times New Roman" w:eastAsia="Times New Roman" w:hAnsi="Times New Roman" w:cs="Times New Roman"/>
          <w:sz w:val="24"/>
          <w:lang w:val="sq-AL"/>
        </w:rPr>
        <w:t>ndërtimit</w:t>
      </w:r>
      <w:r w:rsidRPr="00A94861">
        <w:rPr>
          <w:rFonts w:ascii="Times New Roman" w:eastAsia="Times New Roman" w:hAnsi="Times New Roman" w:cs="Times New Roman"/>
          <w:spacing w:val="-3"/>
          <w:sz w:val="24"/>
          <w:lang w:val="sq-AL"/>
        </w:rPr>
        <w:t xml:space="preserve"> </w:t>
      </w:r>
      <w:r w:rsidRPr="00A94861">
        <w:rPr>
          <w:rFonts w:ascii="Times New Roman" w:eastAsia="Times New Roman" w:hAnsi="Times New Roman" w:cs="Times New Roman"/>
          <w:sz w:val="24"/>
          <w:lang w:val="sq-AL"/>
        </w:rPr>
        <w:t>të</w:t>
      </w:r>
      <w:r w:rsidRPr="00A94861">
        <w:rPr>
          <w:rFonts w:ascii="Times New Roman" w:eastAsia="Times New Roman" w:hAnsi="Times New Roman" w:cs="Times New Roman"/>
          <w:spacing w:val="40"/>
          <w:sz w:val="24"/>
          <w:lang w:val="sq-AL"/>
        </w:rPr>
        <w:t xml:space="preserve"> </w:t>
      </w:r>
      <w:r w:rsidRPr="00A94861">
        <w:rPr>
          <w:rFonts w:ascii="Times New Roman" w:eastAsia="Times New Roman" w:hAnsi="Times New Roman" w:cs="Times New Roman"/>
          <w:sz w:val="24"/>
          <w:lang w:val="sq-AL"/>
        </w:rPr>
        <w:t>HEC</w:t>
      </w:r>
      <w:r w:rsidRPr="00A94861">
        <w:rPr>
          <w:rFonts w:ascii="Times New Roman" w:eastAsia="Times New Roman" w:hAnsi="Times New Roman" w:cs="Times New Roman"/>
          <w:spacing w:val="-3"/>
          <w:sz w:val="24"/>
          <w:lang w:val="sq-AL"/>
        </w:rPr>
        <w:t xml:space="preserve"> </w:t>
      </w:r>
      <w:r w:rsidRPr="00A94861">
        <w:rPr>
          <w:rFonts w:ascii="Times New Roman" w:eastAsia="Times New Roman" w:hAnsi="Times New Roman" w:cs="Times New Roman"/>
          <w:sz w:val="24"/>
          <w:lang w:val="sq-AL"/>
        </w:rPr>
        <w:t>- ve mbi lumin Fan, gjë që ka shuar çdo lloj mundësie për rigjenerimin e tij. Prurjet inerte në shtrat të Fani\Matit reduktohen në ardhjet e papërfillshme të proluvioneve nga përrenjtë anësorë.</w:t>
      </w:r>
    </w:p>
    <w:p w:rsidR="00F060D4" w:rsidRDefault="00F060D4" w:rsidP="00A94861">
      <w:pPr>
        <w:widowControl w:val="0"/>
        <w:tabs>
          <w:tab w:val="left" w:pos="5846"/>
        </w:tabs>
        <w:autoSpaceDE w:val="0"/>
        <w:autoSpaceDN w:val="0"/>
        <w:spacing w:before="3" w:after="0" w:line="237" w:lineRule="auto"/>
        <w:jc w:val="both"/>
        <w:rPr>
          <w:rFonts w:ascii="Times New Roman" w:eastAsia="Times New Roman" w:hAnsi="Times New Roman" w:cs="Times New Roman"/>
          <w:sz w:val="24"/>
          <w:lang w:val="sq-AL"/>
        </w:rPr>
      </w:pPr>
    </w:p>
    <w:p w:rsidR="00A94861" w:rsidRPr="00A94861" w:rsidRDefault="00A94861" w:rsidP="00F060D4">
      <w:pPr>
        <w:widowControl w:val="0"/>
        <w:tabs>
          <w:tab w:val="left" w:pos="5848"/>
        </w:tabs>
        <w:autoSpaceDE w:val="0"/>
        <w:autoSpaceDN w:val="0"/>
        <w:spacing w:before="3" w:after="0" w:line="237" w:lineRule="auto"/>
        <w:jc w:val="both"/>
        <w:rPr>
          <w:rFonts w:ascii="Arial" w:eastAsia="Times New Roman" w:hAnsi="Arial" w:cs="Times New Roman"/>
          <w:sz w:val="24"/>
          <w:lang w:val="sq-AL"/>
        </w:rPr>
      </w:pPr>
      <w:r w:rsidRPr="00A94861">
        <w:rPr>
          <w:rFonts w:ascii="Times New Roman" w:eastAsia="Times New Roman" w:hAnsi="Times New Roman" w:cs="Times New Roman"/>
          <w:sz w:val="24"/>
          <w:lang w:val="sq-AL"/>
        </w:rPr>
        <w:t>Përmbytje në rrjedhën e poshtme, nga Gurëza e deri në grykëderdhje.</w:t>
      </w:r>
      <w:r w:rsidR="00F060D4">
        <w:rPr>
          <w:rFonts w:ascii="Arial" w:eastAsia="Times New Roman" w:hAnsi="Arial" w:cs="Times New Roman"/>
          <w:sz w:val="24"/>
          <w:lang w:val="sq-AL"/>
        </w:rPr>
        <w:t xml:space="preserve"> </w:t>
      </w:r>
      <w:r w:rsidRPr="00A94861">
        <w:rPr>
          <w:rFonts w:ascii="Times New Roman" w:eastAsia="Times New Roman" w:hAnsi="Times New Roman" w:cs="Times New Roman"/>
          <w:sz w:val="24"/>
          <w:lang w:val="sq-AL"/>
        </w:rPr>
        <w:t>Defiçit</w:t>
      </w:r>
      <w:r w:rsidRPr="00A94861">
        <w:rPr>
          <w:rFonts w:ascii="Times New Roman" w:eastAsia="Times New Roman" w:hAnsi="Times New Roman" w:cs="Times New Roman"/>
          <w:spacing w:val="31"/>
          <w:sz w:val="24"/>
          <w:lang w:val="sq-AL"/>
        </w:rPr>
        <w:t xml:space="preserve"> </w:t>
      </w:r>
      <w:r w:rsidRPr="00A94861">
        <w:rPr>
          <w:rFonts w:ascii="Times New Roman" w:eastAsia="Times New Roman" w:hAnsi="Times New Roman" w:cs="Times New Roman"/>
          <w:sz w:val="24"/>
          <w:lang w:val="sq-AL"/>
        </w:rPr>
        <w:t>i</w:t>
      </w:r>
      <w:r w:rsidRPr="00A94861">
        <w:rPr>
          <w:rFonts w:ascii="Times New Roman" w:eastAsia="Times New Roman" w:hAnsi="Times New Roman" w:cs="Times New Roman"/>
          <w:spacing w:val="31"/>
          <w:sz w:val="24"/>
          <w:lang w:val="sq-AL"/>
        </w:rPr>
        <w:t xml:space="preserve"> </w:t>
      </w:r>
      <w:r w:rsidRPr="00A94861">
        <w:rPr>
          <w:rFonts w:ascii="Times New Roman" w:eastAsia="Times New Roman" w:hAnsi="Times New Roman" w:cs="Times New Roman"/>
          <w:sz w:val="24"/>
          <w:lang w:val="sq-AL"/>
        </w:rPr>
        <w:t>theksuar</w:t>
      </w:r>
      <w:r w:rsidRPr="00A94861">
        <w:rPr>
          <w:rFonts w:ascii="Times New Roman" w:eastAsia="Times New Roman" w:hAnsi="Times New Roman" w:cs="Times New Roman"/>
          <w:spacing w:val="30"/>
          <w:sz w:val="24"/>
          <w:lang w:val="sq-AL"/>
        </w:rPr>
        <w:t xml:space="preserve"> </w:t>
      </w:r>
      <w:r w:rsidRPr="00A94861">
        <w:rPr>
          <w:rFonts w:ascii="Times New Roman" w:eastAsia="Times New Roman" w:hAnsi="Times New Roman" w:cs="Times New Roman"/>
          <w:sz w:val="24"/>
          <w:lang w:val="sq-AL"/>
        </w:rPr>
        <w:t>inertesh</w:t>
      </w:r>
      <w:r w:rsidRPr="00A94861">
        <w:rPr>
          <w:rFonts w:ascii="Times New Roman" w:eastAsia="Times New Roman" w:hAnsi="Times New Roman" w:cs="Times New Roman"/>
          <w:spacing w:val="30"/>
          <w:sz w:val="24"/>
          <w:lang w:val="sq-AL"/>
        </w:rPr>
        <w:t xml:space="preserve"> </w:t>
      </w:r>
      <w:r w:rsidRPr="00A94861">
        <w:rPr>
          <w:rFonts w:ascii="Times New Roman" w:eastAsia="Times New Roman" w:hAnsi="Times New Roman" w:cs="Times New Roman"/>
          <w:sz w:val="24"/>
          <w:lang w:val="sq-AL"/>
        </w:rPr>
        <w:t>në</w:t>
      </w:r>
      <w:r w:rsidRPr="00A94861">
        <w:rPr>
          <w:rFonts w:ascii="Times New Roman" w:eastAsia="Times New Roman" w:hAnsi="Times New Roman" w:cs="Times New Roman"/>
          <w:spacing w:val="29"/>
          <w:sz w:val="24"/>
          <w:lang w:val="sq-AL"/>
        </w:rPr>
        <w:t xml:space="preserve"> </w:t>
      </w:r>
      <w:r w:rsidRPr="00A94861">
        <w:rPr>
          <w:rFonts w:ascii="Times New Roman" w:eastAsia="Times New Roman" w:hAnsi="Times New Roman" w:cs="Times New Roman"/>
          <w:sz w:val="24"/>
          <w:lang w:val="sq-AL"/>
        </w:rPr>
        <w:t>shtrat</w:t>
      </w:r>
      <w:r w:rsidRPr="00A94861">
        <w:rPr>
          <w:rFonts w:ascii="Times New Roman" w:eastAsia="Times New Roman" w:hAnsi="Times New Roman" w:cs="Times New Roman"/>
          <w:spacing w:val="31"/>
          <w:sz w:val="24"/>
          <w:lang w:val="sq-AL"/>
        </w:rPr>
        <w:t xml:space="preserve"> </w:t>
      </w:r>
      <w:r w:rsidRPr="00A94861">
        <w:rPr>
          <w:rFonts w:ascii="Times New Roman" w:eastAsia="Times New Roman" w:hAnsi="Times New Roman" w:cs="Times New Roman"/>
          <w:sz w:val="24"/>
          <w:lang w:val="sq-AL"/>
        </w:rPr>
        <w:t>të</w:t>
      </w:r>
      <w:r w:rsidRPr="00A94861">
        <w:rPr>
          <w:rFonts w:ascii="Times New Roman" w:eastAsia="Times New Roman" w:hAnsi="Times New Roman" w:cs="Times New Roman"/>
          <w:spacing w:val="29"/>
          <w:sz w:val="24"/>
          <w:lang w:val="sq-AL"/>
        </w:rPr>
        <w:t xml:space="preserve"> </w:t>
      </w:r>
      <w:r w:rsidRPr="00A94861">
        <w:rPr>
          <w:rFonts w:ascii="Times New Roman" w:eastAsia="Times New Roman" w:hAnsi="Times New Roman" w:cs="Times New Roman"/>
          <w:sz w:val="24"/>
          <w:lang w:val="sq-AL"/>
        </w:rPr>
        <w:t>lumit</w:t>
      </w:r>
      <w:r w:rsidRPr="00A94861">
        <w:rPr>
          <w:rFonts w:ascii="Times New Roman" w:eastAsia="Times New Roman" w:hAnsi="Times New Roman" w:cs="Times New Roman"/>
          <w:spacing w:val="31"/>
          <w:sz w:val="24"/>
          <w:lang w:val="sq-AL"/>
        </w:rPr>
        <w:t xml:space="preserve"> </w:t>
      </w:r>
      <w:r w:rsidRPr="00A94861">
        <w:rPr>
          <w:rFonts w:ascii="Times New Roman" w:eastAsia="Times New Roman" w:hAnsi="Times New Roman" w:cs="Times New Roman"/>
          <w:sz w:val="24"/>
          <w:lang w:val="sq-AL"/>
        </w:rPr>
        <w:t>për shkak të marrjes</w:t>
      </w:r>
      <w:r w:rsidRPr="00A94861">
        <w:rPr>
          <w:rFonts w:ascii="Times New Roman" w:eastAsia="Times New Roman" w:hAnsi="Times New Roman" w:cs="Times New Roman"/>
          <w:spacing w:val="40"/>
          <w:sz w:val="24"/>
          <w:lang w:val="sq-AL"/>
        </w:rPr>
        <w:t xml:space="preserve"> </w:t>
      </w:r>
      <w:r w:rsidRPr="00A94861">
        <w:rPr>
          <w:rFonts w:ascii="Times New Roman" w:eastAsia="Times New Roman" w:hAnsi="Times New Roman" w:cs="Times New Roman"/>
          <w:sz w:val="24"/>
          <w:lang w:val="sq-AL"/>
        </w:rPr>
        <w:t>së</w:t>
      </w:r>
      <w:r w:rsidRPr="00A94861">
        <w:rPr>
          <w:rFonts w:ascii="Times New Roman" w:eastAsia="Times New Roman" w:hAnsi="Times New Roman" w:cs="Times New Roman"/>
          <w:spacing w:val="40"/>
          <w:sz w:val="24"/>
          <w:lang w:val="sq-AL"/>
        </w:rPr>
        <w:t xml:space="preserve"> </w:t>
      </w:r>
      <w:r w:rsidRPr="00A94861">
        <w:rPr>
          <w:rFonts w:ascii="Times New Roman" w:eastAsia="Times New Roman" w:hAnsi="Times New Roman" w:cs="Times New Roman"/>
          <w:sz w:val="24"/>
          <w:lang w:val="sq-AL"/>
        </w:rPr>
        <w:t>tyre</w:t>
      </w:r>
      <w:r w:rsidRPr="00A94861">
        <w:rPr>
          <w:rFonts w:ascii="Times New Roman" w:eastAsia="Times New Roman" w:hAnsi="Times New Roman" w:cs="Times New Roman"/>
          <w:spacing w:val="40"/>
          <w:sz w:val="24"/>
          <w:lang w:val="sq-AL"/>
        </w:rPr>
        <w:t xml:space="preserve"> </w:t>
      </w:r>
      <w:r w:rsidRPr="00A94861">
        <w:rPr>
          <w:rFonts w:ascii="Times New Roman" w:eastAsia="Times New Roman" w:hAnsi="Times New Roman" w:cs="Times New Roman"/>
          <w:sz w:val="24"/>
          <w:lang w:val="sq-AL"/>
        </w:rPr>
        <w:t>nga</w:t>
      </w:r>
      <w:r w:rsidRPr="00A94861">
        <w:rPr>
          <w:rFonts w:ascii="Times New Roman" w:eastAsia="Times New Roman" w:hAnsi="Times New Roman" w:cs="Times New Roman"/>
          <w:spacing w:val="40"/>
          <w:sz w:val="24"/>
          <w:lang w:val="sq-AL"/>
        </w:rPr>
        <w:t xml:space="preserve"> </w:t>
      </w:r>
      <w:r w:rsidRPr="00A94861">
        <w:rPr>
          <w:rFonts w:ascii="Times New Roman" w:eastAsia="Times New Roman" w:hAnsi="Times New Roman" w:cs="Times New Roman"/>
          <w:sz w:val="24"/>
          <w:lang w:val="sq-AL"/>
        </w:rPr>
        <w:t>subjektet</w:t>
      </w:r>
      <w:r>
        <w:rPr>
          <w:rFonts w:ascii="Times New Roman" w:eastAsia="Times New Roman" w:hAnsi="Times New Roman" w:cs="Times New Roman"/>
          <w:spacing w:val="40"/>
          <w:sz w:val="24"/>
          <w:lang w:val="sq-AL"/>
        </w:rPr>
        <w:t xml:space="preserve"> </w:t>
      </w:r>
      <w:r w:rsidRPr="00A94861">
        <w:rPr>
          <w:rFonts w:ascii="Times New Roman" w:eastAsia="Times New Roman" w:hAnsi="Times New Roman" w:cs="Times New Roman"/>
          <w:sz w:val="24"/>
          <w:lang w:val="sq-AL"/>
        </w:rPr>
        <w:t>operuese. Aktualisht operojnë me aktivitetin e tyre shfrytëzues rreth 25 subjekte.</w:t>
      </w:r>
    </w:p>
    <w:p w:rsidR="00F060D4" w:rsidRPr="00763DC7" w:rsidRDefault="00465EBF" w:rsidP="00763DC7">
      <w:pPr>
        <w:pStyle w:val="BodyText"/>
        <w:spacing w:before="275"/>
        <w:jc w:val="center"/>
        <w:rPr>
          <w:lang w:val="sq-AL"/>
        </w:rPr>
      </w:pPr>
      <w:r>
        <w:rPr>
          <w:lang w:val="sq-AL"/>
        </w:rPr>
        <w:lastRenderedPageBreak/>
        <w:t>Tabela 28.</w:t>
      </w:r>
      <w:r w:rsidR="00F060D4" w:rsidRPr="00763DC7">
        <w:rPr>
          <w:lang w:val="sq-AL"/>
        </w:rPr>
        <w:t>Ndryshimet</w:t>
      </w:r>
      <w:r w:rsidR="00F060D4" w:rsidRPr="00763DC7">
        <w:rPr>
          <w:spacing w:val="-5"/>
          <w:lang w:val="sq-AL"/>
        </w:rPr>
        <w:t xml:space="preserve"> </w:t>
      </w:r>
      <w:r w:rsidR="00F060D4" w:rsidRPr="00763DC7">
        <w:rPr>
          <w:lang w:val="sq-AL"/>
        </w:rPr>
        <w:t>në</w:t>
      </w:r>
      <w:r w:rsidR="00F060D4" w:rsidRPr="00763DC7">
        <w:rPr>
          <w:spacing w:val="-4"/>
          <w:lang w:val="sq-AL"/>
        </w:rPr>
        <w:t xml:space="preserve"> </w:t>
      </w:r>
      <w:r w:rsidR="00F060D4" w:rsidRPr="00763DC7">
        <w:rPr>
          <w:lang w:val="sq-AL"/>
        </w:rPr>
        <w:t>profilet</w:t>
      </w:r>
      <w:r w:rsidR="00F060D4" w:rsidRPr="00763DC7">
        <w:rPr>
          <w:spacing w:val="-5"/>
          <w:lang w:val="sq-AL"/>
        </w:rPr>
        <w:t xml:space="preserve"> </w:t>
      </w:r>
      <w:r w:rsidR="00F060D4" w:rsidRPr="00763DC7">
        <w:rPr>
          <w:lang w:val="sq-AL"/>
        </w:rPr>
        <w:t>e</w:t>
      </w:r>
      <w:r w:rsidR="00F060D4" w:rsidRPr="00763DC7">
        <w:rPr>
          <w:spacing w:val="-6"/>
          <w:lang w:val="sq-AL"/>
        </w:rPr>
        <w:t xml:space="preserve"> </w:t>
      </w:r>
      <w:r w:rsidR="00F060D4" w:rsidRPr="00763DC7">
        <w:rPr>
          <w:lang w:val="sq-AL"/>
        </w:rPr>
        <w:t>monitorimit</w:t>
      </w:r>
      <w:r w:rsidR="00F060D4" w:rsidRPr="00763DC7">
        <w:rPr>
          <w:spacing w:val="-4"/>
          <w:lang w:val="sq-AL"/>
        </w:rPr>
        <w:t xml:space="preserve"> </w:t>
      </w:r>
      <w:r w:rsidR="00F060D4" w:rsidRPr="00763DC7">
        <w:rPr>
          <w:lang w:val="sq-AL"/>
        </w:rPr>
        <w:t>në</w:t>
      </w:r>
      <w:r w:rsidR="00F060D4" w:rsidRPr="00763DC7">
        <w:rPr>
          <w:spacing w:val="-6"/>
          <w:lang w:val="sq-AL"/>
        </w:rPr>
        <w:t xml:space="preserve"> </w:t>
      </w:r>
      <w:r w:rsidR="00F060D4" w:rsidRPr="00763DC7">
        <w:rPr>
          <w:lang w:val="sq-AL"/>
        </w:rPr>
        <w:t>lumenjtë</w:t>
      </w:r>
      <w:r w:rsidR="00F060D4" w:rsidRPr="00763DC7">
        <w:rPr>
          <w:spacing w:val="-5"/>
          <w:lang w:val="sq-AL"/>
        </w:rPr>
        <w:t xml:space="preserve"> </w:t>
      </w:r>
      <w:r w:rsidR="00F060D4" w:rsidRPr="00763DC7">
        <w:rPr>
          <w:lang w:val="sq-AL"/>
        </w:rPr>
        <w:t>Fan-</w:t>
      </w:r>
      <w:r w:rsidR="00F060D4" w:rsidRPr="00763DC7">
        <w:rPr>
          <w:spacing w:val="-4"/>
          <w:lang w:val="sq-AL"/>
        </w:rPr>
        <w:t>Mat</w:t>
      </w:r>
    </w:p>
    <w:p w:rsidR="00F060D4" w:rsidRDefault="00F060D4" w:rsidP="00A94861">
      <w:pPr>
        <w:pStyle w:val="BodyText"/>
        <w:spacing w:before="275"/>
        <w:jc w:val="both"/>
        <w:rPr>
          <w:lang w:val="sq-AL"/>
        </w:rPr>
      </w:pPr>
      <w:r w:rsidRPr="00F060D4">
        <w:rPr>
          <w:rFonts w:ascii="Arial"/>
          <w:noProof/>
          <w:sz w:val="20"/>
          <w:szCs w:val="22"/>
        </w:rPr>
        <w:drawing>
          <wp:inline distT="0" distB="0" distL="0" distR="0" wp14:anchorId="469E9064" wp14:editId="4C161F6C">
            <wp:extent cx="5943600" cy="1622043"/>
            <wp:effectExtent l="0" t="0" r="0" b="0"/>
            <wp:docPr id="294"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60" cstate="print"/>
                    <a:stretch>
                      <a:fillRect/>
                    </a:stretch>
                  </pic:blipFill>
                  <pic:spPr>
                    <a:xfrm>
                      <a:off x="0" y="0"/>
                      <a:ext cx="5943600" cy="1622043"/>
                    </a:xfrm>
                    <a:prstGeom prst="rect">
                      <a:avLst/>
                    </a:prstGeom>
                  </pic:spPr>
                </pic:pic>
              </a:graphicData>
            </a:graphic>
          </wp:inline>
        </w:drawing>
      </w:r>
    </w:p>
    <w:p w:rsidR="00A94861" w:rsidRPr="00A94861" w:rsidRDefault="00A94861" w:rsidP="00A94861">
      <w:pPr>
        <w:pStyle w:val="BodyText"/>
        <w:spacing w:before="275"/>
        <w:jc w:val="both"/>
        <w:rPr>
          <w:lang w:val="sq-AL"/>
        </w:rPr>
      </w:pPr>
      <w:r w:rsidRPr="00A94861">
        <w:rPr>
          <w:lang w:val="sq-AL"/>
        </w:rPr>
        <w:t>Mungesa</w:t>
      </w:r>
      <w:r w:rsidRPr="00A94861">
        <w:rPr>
          <w:spacing w:val="-1"/>
          <w:lang w:val="sq-AL"/>
        </w:rPr>
        <w:t xml:space="preserve"> </w:t>
      </w:r>
      <w:r w:rsidRPr="00A94861">
        <w:rPr>
          <w:lang w:val="sq-AL"/>
        </w:rPr>
        <w:t>thuajse</w:t>
      </w:r>
      <w:r w:rsidRPr="00A94861">
        <w:rPr>
          <w:spacing w:val="-2"/>
          <w:lang w:val="sq-AL"/>
        </w:rPr>
        <w:t xml:space="preserve"> </w:t>
      </w:r>
      <w:r w:rsidRPr="00A94861">
        <w:rPr>
          <w:lang w:val="sq-AL"/>
        </w:rPr>
        <w:t>tërësore</w:t>
      </w:r>
      <w:r w:rsidRPr="00A94861">
        <w:rPr>
          <w:spacing w:val="-2"/>
          <w:lang w:val="sq-AL"/>
        </w:rPr>
        <w:t xml:space="preserve"> </w:t>
      </w:r>
      <w:r w:rsidRPr="00A94861">
        <w:rPr>
          <w:lang w:val="sq-AL"/>
        </w:rPr>
        <w:t>e</w:t>
      </w:r>
      <w:r w:rsidRPr="00A94861">
        <w:rPr>
          <w:spacing w:val="-2"/>
          <w:lang w:val="sq-AL"/>
        </w:rPr>
        <w:t xml:space="preserve"> </w:t>
      </w:r>
      <w:r w:rsidRPr="00A94861">
        <w:rPr>
          <w:lang w:val="sq-AL"/>
        </w:rPr>
        <w:t>ujit apo</w:t>
      </w:r>
      <w:r w:rsidRPr="00A94861">
        <w:rPr>
          <w:spacing w:val="-1"/>
          <w:lang w:val="sq-AL"/>
        </w:rPr>
        <w:t xml:space="preserve"> </w:t>
      </w:r>
      <w:r w:rsidRPr="00A94861">
        <w:rPr>
          <w:lang w:val="sq-AL"/>
        </w:rPr>
        <w:t>prezenca</w:t>
      </w:r>
      <w:r w:rsidRPr="00A94861">
        <w:rPr>
          <w:spacing w:val="-2"/>
          <w:lang w:val="sq-AL"/>
        </w:rPr>
        <w:t xml:space="preserve"> </w:t>
      </w:r>
      <w:r w:rsidRPr="00A94861">
        <w:rPr>
          <w:lang w:val="sq-AL"/>
        </w:rPr>
        <w:t>e një sasie minimale të tij në shtratin ekzistues të lumit Fan në periudhën e verës shkakton ndotje baktereologjike të shtratit nga Ura e Fanit deri në Skuraj në vendbashkimin me lumin e Matit</w:t>
      </w:r>
      <w:r>
        <w:rPr>
          <w:lang w:val="sq-AL"/>
        </w:rPr>
        <w:t>.</w:t>
      </w:r>
      <w:r w:rsidRPr="00A94861">
        <w:rPr>
          <w:lang w:val="sq-AL"/>
        </w:rPr>
        <w:t xml:space="preserve"> Gjatë kësaj stine, rrjedha ujore e Fanit reduktohet</w:t>
      </w:r>
      <w:r w:rsidRPr="00A94861">
        <w:rPr>
          <w:spacing w:val="40"/>
          <w:lang w:val="sq-AL"/>
        </w:rPr>
        <w:t xml:space="preserve"> </w:t>
      </w:r>
      <w:r w:rsidRPr="00A94861">
        <w:rPr>
          <w:lang w:val="sq-AL"/>
        </w:rPr>
        <w:t>në rrjedhjen e ujrave të zeza të qyteteve pranë tij pasi shpesh mungon sasia minimale e ujit që përbën rrjedhën ekologjike të tij. Kjo sasi uji duhet të sigurohet nga shkarkimet në digën e HEC-it të Qafë Mollës mbi lumin Fan gjatë gjithë kohës.</w:t>
      </w:r>
    </w:p>
    <w:p w:rsidR="00A94861" w:rsidRPr="00A94861" w:rsidRDefault="00A94861" w:rsidP="00A94861">
      <w:pPr>
        <w:jc w:val="both"/>
        <w:rPr>
          <w:rFonts w:ascii="Times New Roman" w:hAnsi="Times New Roman" w:cs="Times New Roman"/>
          <w:sz w:val="24"/>
          <w:szCs w:val="24"/>
          <w:lang w:val="sq-AL"/>
        </w:rPr>
      </w:pPr>
      <w:r w:rsidRPr="00A94861">
        <w:rPr>
          <w:rFonts w:ascii="Times New Roman" w:hAnsi="Times New Roman" w:cs="Times New Roman"/>
          <w:sz w:val="24"/>
          <w:szCs w:val="24"/>
          <w:lang w:val="sq-AL"/>
        </w:rPr>
        <w:t>Në</w:t>
      </w:r>
      <w:r w:rsidRPr="00A94861">
        <w:rPr>
          <w:rFonts w:ascii="Times New Roman" w:hAnsi="Times New Roman" w:cs="Times New Roman"/>
          <w:spacing w:val="-2"/>
          <w:sz w:val="24"/>
          <w:szCs w:val="24"/>
          <w:lang w:val="sq-AL"/>
        </w:rPr>
        <w:t xml:space="preserve"> </w:t>
      </w:r>
      <w:r w:rsidRPr="00A94861">
        <w:rPr>
          <w:rFonts w:ascii="Times New Roman" w:hAnsi="Times New Roman" w:cs="Times New Roman"/>
          <w:sz w:val="24"/>
          <w:szCs w:val="24"/>
          <w:lang w:val="sq-AL"/>
        </w:rPr>
        <w:t>brigjet e</w:t>
      </w:r>
      <w:r w:rsidRPr="00A94861">
        <w:rPr>
          <w:rFonts w:ascii="Times New Roman" w:hAnsi="Times New Roman" w:cs="Times New Roman"/>
          <w:spacing w:val="-2"/>
          <w:sz w:val="24"/>
          <w:szCs w:val="24"/>
          <w:lang w:val="sq-AL"/>
        </w:rPr>
        <w:t xml:space="preserve"> </w:t>
      </w:r>
      <w:r w:rsidRPr="00A94861">
        <w:rPr>
          <w:rFonts w:ascii="Times New Roman" w:hAnsi="Times New Roman" w:cs="Times New Roman"/>
          <w:sz w:val="24"/>
          <w:szCs w:val="24"/>
          <w:lang w:val="sq-AL"/>
        </w:rPr>
        <w:t>shtratit shfaqen fenomene gjeodinamike</w:t>
      </w:r>
      <w:r w:rsidRPr="00A94861">
        <w:rPr>
          <w:rFonts w:ascii="Times New Roman" w:hAnsi="Times New Roman" w:cs="Times New Roman"/>
          <w:spacing w:val="-2"/>
          <w:sz w:val="24"/>
          <w:szCs w:val="24"/>
          <w:lang w:val="sq-AL"/>
        </w:rPr>
        <w:t xml:space="preserve"> </w:t>
      </w:r>
      <w:r w:rsidRPr="00A94861">
        <w:rPr>
          <w:rFonts w:ascii="Times New Roman" w:hAnsi="Times New Roman" w:cs="Times New Roman"/>
          <w:sz w:val="24"/>
          <w:szCs w:val="24"/>
          <w:lang w:val="sq-AL"/>
        </w:rPr>
        <w:t>gravitative si</w:t>
      </w:r>
      <w:r w:rsidRPr="00A94861">
        <w:rPr>
          <w:rFonts w:ascii="Times New Roman" w:hAnsi="Times New Roman" w:cs="Times New Roman"/>
          <w:spacing w:val="-1"/>
          <w:sz w:val="24"/>
          <w:szCs w:val="24"/>
          <w:lang w:val="sq-AL"/>
        </w:rPr>
        <w:t xml:space="preserve"> </w:t>
      </w:r>
      <w:r w:rsidRPr="00A94861">
        <w:rPr>
          <w:rFonts w:ascii="Times New Roman" w:hAnsi="Times New Roman" w:cs="Times New Roman"/>
          <w:sz w:val="24"/>
          <w:szCs w:val="24"/>
          <w:lang w:val="sq-AL"/>
        </w:rPr>
        <w:t>rrëshqitje,</w:t>
      </w:r>
      <w:r w:rsidRPr="00A94861">
        <w:rPr>
          <w:rFonts w:ascii="Times New Roman" w:hAnsi="Times New Roman" w:cs="Times New Roman"/>
          <w:spacing w:val="-2"/>
          <w:sz w:val="24"/>
          <w:szCs w:val="24"/>
          <w:lang w:val="sq-AL"/>
        </w:rPr>
        <w:t xml:space="preserve"> </w:t>
      </w:r>
      <w:r w:rsidRPr="00A94861">
        <w:rPr>
          <w:rFonts w:ascii="Times New Roman" w:hAnsi="Times New Roman" w:cs="Times New Roman"/>
          <w:sz w:val="24"/>
          <w:szCs w:val="24"/>
          <w:lang w:val="sq-AL"/>
        </w:rPr>
        <w:t>rrëzime,</w:t>
      </w:r>
      <w:r w:rsidRPr="00A94861">
        <w:rPr>
          <w:rFonts w:ascii="Times New Roman" w:hAnsi="Times New Roman" w:cs="Times New Roman"/>
          <w:spacing w:val="-1"/>
          <w:sz w:val="24"/>
          <w:szCs w:val="24"/>
          <w:lang w:val="sq-AL"/>
        </w:rPr>
        <w:t xml:space="preserve"> </w:t>
      </w:r>
      <w:r w:rsidRPr="00A94861">
        <w:rPr>
          <w:rFonts w:ascii="Times New Roman" w:hAnsi="Times New Roman" w:cs="Times New Roman"/>
          <w:sz w:val="24"/>
          <w:szCs w:val="24"/>
          <w:lang w:val="sq-AL"/>
        </w:rPr>
        <w:t>rrjedhje dhe shëmbje të masave.Vërehet</w:t>
      </w:r>
      <w:r w:rsidRPr="00A94861">
        <w:rPr>
          <w:rFonts w:ascii="Times New Roman" w:hAnsi="Times New Roman" w:cs="Times New Roman"/>
          <w:spacing w:val="-1"/>
          <w:sz w:val="24"/>
          <w:szCs w:val="24"/>
          <w:lang w:val="sq-AL"/>
        </w:rPr>
        <w:t xml:space="preserve"> </w:t>
      </w:r>
      <w:r w:rsidRPr="00A94861">
        <w:rPr>
          <w:rFonts w:ascii="Times New Roman" w:hAnsi="Times New Roman" w:cs="Times New Roman"/>
          <w:sz w:val="24"/>
          <w:szCs w:val="24"/>
          <w:lang w:val="sq-AL"/>
        </w:rPr>
        <w:t>hedhje e</w:t>
      </w:r>
      <w:r w:rsidRPr="00A94861">
        <w:rPr>
          <w:rFonts w:ascii="Times New Roman" w:hAnsi="Times New Roman" w:cs="Times New Roman"/>
          <w:spacing w:val="-2"/>
          <w:sz w:val="24"/>
          <w:szCs w:val="24"/>
          <w:lang w:val="sq-AL"/>
        </w:rPr>
        <w:t xml:space="preserve"> </w:t>
      </w:r>
      <w:r w:rsidRPr="00A94861">
        <w:rPr>
          <w:rFonts w:ascii="Times New Roman" w:hAnsi="Times New Roman" w:cs="Times New Roman"/>
          <w:sz w:val="24"/>
          <w:szCs w:val="24"/>
          <w:lang w:val="sq-AL"/>
        </w:rPr>
        <w:t>inerteve</w:t>
      </w:r>
      <w:r w:rsidRPr="00A94861">
        <w:rPr>
          <w:rFonts w:ascii="Times New Roman" w:hAnsi="Times New Roman" w:cs="Times New Roman"/>
          <w:spacing w:val="-2"/>
          <w:sz w:val="24"/>
          <w:szCs w:val="24"/>
          <w:lang w:val="sq-AL"/>
        </w:rPr>
        <w:t xml:space="preserve"> </w:t>
      </w:r>
      <w:r w:rsidRPr="00A94861">
        <w:rPr>
          <w:rFonts w:ascii="Times New Roman" w:hAnsi="Times New Roman" w:cs="Times New Roman"/>
          <w:sz w:val="24"/>
          <w:szCs w:val="24"/>
          <w:lang w:val="sq-AL"/>
        </w:rPr>
        <w:t>urbane</w:t>
      </w:r>
      <w:r w:rsidRPr="00A94861">
        <w:rPr>
          <w:rFonts w:ascii="Times New Roman" w:hAnsi="Times New Roman" w:cs="Times New Roman"/>
          <w:spacing w:val="-1"/>
          <w:sz w:val="24"/>
          <w:szCs w:val="24"/>
          <w:lang w:val="sq-AL"/>
        </w:rPr>
        <w:t xml:space="preserve"> </w:t>
      </w:r>
      <w:r w:rsidRPr="00A94861">
        <w:rPr>
          <w:rFonts w:ascii="Times New Roman" w:hAnsi="Times New Roman" w:cs="Times New Roman"/>
          <w:sz w:val="24"/>
          <w:szCs w:val="24"/>
          <w:lang w:val="sq-AL"/>
        </w:rPr>
        <w:t>në</w:t>
      </w:r>
      <w:r w:rsidRPr="00A94861">
        <w:rPr>
          <w:rFonts w:ascii="Times New Roman" w:hAnsi="Times New Roman" w:cs="Times New Roman"/>
          <w:spacing w:val="-2"/>
          <w:sz w:val="24"/>
          <w:szCs w:val="24"/>
          <w:lang w:val="sq-AL"/>
        </w:rPr>
        <w:t xml:space="preserve"> </w:t>
      </w:r>
      <w:r w:rsidRPr="00A94861">
        <w:rPr>
          <w:rFonts w:ascii="Times New Roman" w:hAnsi="Times New Roman" w:cs="Times New Roman"/>
          <w:sz w:val="24"/>
          <w:szCs w:val="24"/>
          <w:lang w:val="sq-AL"/>
        </w:rPr>
        <w:t>shtrat</w:t>
      </w:r>
      <w:r w:rsidRPr="00A94861">
        <w:rPr>
          <w:rFonts w:ascii="Times New Roman" w:hAnsi="Times New Roman" w:cs="Times New Roman"/>
          <w:spacing w:val="-1"/>
          <w:sz w:val="24"/>
          <w:szCs w:val="24"/>
          <w:lang w:val="sq-AL"/>
        </w:rPr>
        <w:t xml:space="preserve"> </w:t>
      </w:r>
      <w:r w:rsidRPr="00A94861">
        <w:rPr>
          <w:rFonts w:ascii="Times New Roman" w:hAnsi="Times New Roman" w:cs="Times New Roman"/>
          <w:sz w:val="24"/>
          <w:szCs w:val="24"/>
          <w:lang w:val="sq-AL"/>
        </w:rPr>
        <w:t>dhe</w:t>
      </w:r>
      <w:r w:rsidRPr="00A94861">
        <w:rPr>
          <w:rFonts w:ascii="Times New Roman" w:hAnsi="Times New Roman" w:cs="Times New Roman"/>
          <w:spacing w:val="-1"/>
          <w:sz w:val="24"/>
          <w:szCs w:val="24"/>
          <w:lang w:val="sq-AL"/>
        </w:rPr>
        <w:t xml:space="preserve"> </w:t>
      </w:r>
      <w:r w:rsidRPr="00A94861">
        <w:rPr>
          <w:rFonts w:ascii="Times New Roman" w:hAnsi="Times New Roman" w:cs="Times New Roman"/>
          <w:sz w:val="24"/>
          <w:szCs w:val="24"/>
          <w:lang w:val="sq-AL"/>
        </w:rPr>
        <w:t>brigjet</w:t>
      </w:r>
      <w:r w:rsidRPr="00A94861">
        <w:rPr>
          <w:rFonts w:ascii="Times New Roman" w:hAnsi="Times New Roman" w:cs="Times New Roman"/>
          <w:spacing w:val="-1"/>
          <w:sz w:val="24"/>
          <w:szCs w:val="24"/>
          <w:lang w:val="sq-AL"/>
        </w:rPr>
        <w:t xml:space="preserve"> </w:t>
      </w:r>
      <w:r w:rsidRPr="00A94861">
        <w:rPr>
          <w:rFonts w:ascii="Times New Roman" w:hAnsi="Times New Roman" w:cs="Times New Roman"/>
          <w:sz w:val="24"/>
          <w:szCs w:val="24"/>
          <w:lang w:val="sq-AL"/>
        </w:rPr>
        <w:t>e</w:t>
      </w:r>
      <w:r w:rsidRPr="00A94861">
        <w:rPr>
          <w:rFonts w:ascii="Times New Roman" w:hAnsi="Times New Roman" w:cs="Times New Roman"/>
          <w:spacing w:val="-1"/>
          <w:sz w:val="24"/>
          <w:szCs w:val="24"/>
          <w:lang w:val="sq-AL"/>
        </w:rPr>
        <w:t xml:space="preserve"> </w:t>
      </w:r>
      <w:r w:rsidRPr="00A94861">
        <w:rPr>
          <w:rFonts w:ascii="Times New Roman" w:hAnsi="Times New Roman" w:cs="Times New Roman"/>
          <w:spacing w:val="-4"/>
          <w:sz w:val="24"/>
          <w:szCs w:val="24"/>
          <w:lang w:val="sq-AL"/>
        </w:rPr>
        <w:t>tij</w:t>
      </w:r>
      <w:r w:rsidR="006368CB">
        <w:rPr>
          <w:rFonts w:ascii="Times New Roman" w:hAnsi="Times New Roman" w:cs="Times New Roman"/>
          <w:spacing w:val="-4"/>
          <w:sz w:val="24"/>
          <w:szCs w:val="24"/>
          <w:lang w:val="sq-AL"/>
        </w:rPr>
        <w:t>.</w:t>
      </w:r>
    </w:p>
    <w:p w:rsidR="007E2640" w:rsidRDefault="00F060D4" w:rsidP="001E7407">
      <w:pPr>
        <w:spacing w:after="200" w:line="276" w:lineRule="auto"/>
        <w:rPr>
          <w:rFonts w:ascii="Times New Roman" w:eastAsia="Calibri" w:hAnsi="Times New Roman" w:cs="Times New Roman"/>
          <w:b/>
          <w:sz w:val="24"/>
          <w:szCs w:val="24"/>
          <w:lang w:val="sq-AL"/>
        </w:rPr>
      </w:pPr>
      <w:r>
        <w:rPr>
          <w:rFonts w:ascii="Times New Roman" w:eastAsia="Calibri" w:hAnsi="Times New Roman" w:cs="Times New Roman"/>
          <w:b/>
          <w:sz w:val="24"/>
          <w:szCs w:val="24"/>
          <w:lang w:val="sq-AL"/>
        </w:rPr>
        <w:t>Rekomandime</w:t>
      </w:r>
    </w:p>
    <w:p w:rsidR="00F060D4" w:rsidRPr="00F060D4" w:rsidRDefault="00F060D4" w:rsidP="00F060D4">
      <w:pPr>
        <w:widowControl w:val="0"/>
        <w:tabs>
          <w:tab w:val="left" w:pos="1270"/>
        </w:tabs>
        <w:autoSpaceDE w:val="0"/>
        <w:autoSpaceDN w:val="0"/>
        <w:spacing w:before="69" w:after="0" w:line="240" w:lineRule="auto"/>
        <w:jc w:val="both"/>
        <w:outlineLvl w:val="0"/>
        <w:rPr>
          <w:rFonts w:ascii="Times New Roman" w:eastAsia="Times New Roman" w:hAnsi="Times New Roman" w:cs="Times New Roman"/>
          <w:bCs/>
          <w:i/>
          <w:sz w:val="24"/>
          <w:szCs w:val="24"/>
          <w:lang w:val="sq-AL"/>
        </w:rPr>
      </w:pPr>
      <w:r w:rsidRPr="00F060D4">
        <w:rPr>
          <w:rFonts w:ascii="Times New Roman" w:eastAsia="Times New Roman" w:hAnsi="Times New Roman" w:cs="Times New Roman"/>
          <w:bCs/>
          <w:sz w:val="24"/>
          <w:szCs w:val="24"/>
          <w:lang w:val="sq-AL"/>
        </w:rPr>
        <w:t xml:space="preserve">Ndërprerje të menjëhershme e shfrytëzimit të inerteve në të gjithë shtratin e lumit Fan dhe Mat </w:t>
      </w:r>
      <w:r w:rsidR="00024039">
        <w:rPr>
          <w:rFonts w:ascii="Times New Roman" w:eastAsia="Times New Roman" w:hAnsi="Times New Roman" w:cs="Times New Roman"/>
          <w:bCs/>
          <w:sz w:val="24"/>
          <w:szCs w:val="24"/>
          <w:lang w:val="sq-AL"/>
        </w:rPr>
        <w:t xml:space="preserve">, </w:t>
      </w:r>
      <w:r w:rsidRPr="00F060D4">
        <w:rPr>
          <w:rFonts w:ascii="Times New Roman" w:eastAsia="Times New Roman" w:hAnsi="Times New Roman" w:cs="Times New Roman"/>
          <w:bCs/>
          <w:sz w:val="24"/>
          <w:szCs w:val="24"/>
          <w:lang w:val="sq-AL"/>
        </w:rPr>
        <w:t>nga Ura e Fanit pranë Rrëshenit deri në</w:t>
      </w:r>
      <w:r w:rsidR="006368CB">
        <w:rPr>
          <w:rFonts w:ascii="Times New Roman" w:eastAsia="Times New Roman" w:hAnsi="Times New Roman" w:cs="Times New Roman"/>
          <w:bCs/>
          <w:sz w:val="24"/>
          <w:szCs w:val="24"/>
          <w:lang w:val="sq-AL"/>
        </w:rPr>
        <w:t xml:space="preserve"> afërsi të grykëderdhjes në det.</w:t>
      </w:r>
    </w:p>
    <w:p w:rsidR="00F060D4" w:rsidRDefault="00F060D4" w:rsidP="00F060D4">
      <w:pPr>
        <w:spacing w:after="200" w:line="276" w:lineRule="auto"/>
        <w:jc w:val="both"/>
        <w:rPr>
          <w:rFonts w:ascii="Times New Roman" w:eastAsia="Times New Roman" w:hAnsi="Times New Roman" w:cs="Times New Roman"/>
          <w:sz w:val="24"/>
          <w:lang w:val="sq-AL"/>
        </w:rPr>
      </w:pPr>
      <w:r w:rsidRPr="00F060D4">
        <w:rPr>
          <w:rFonts w:ascii="Times New Roman" w:eastAsia="Times New Roman" w:hAnsi="Times New Roman" w:cs="Times New Roman"/>
          <w:sz w:val="24"/>
          <w:lang w:val="sq-AL"/>
        </w:rPr>
        <w:t>Shpërndarjen</w:t>
      </w:r>
      <w:r w:rsidRPr="00F060D4">
        <w:rPr>
          <w:rFonts w:ascii="Times New Roman" w:eastAsia="Times New Roman" w:hAnsi="Times New Roman" w:cs="Times New Roman"/>
          <w:spacing w:val="-3"/>
          <w:sz w:val="24"/>
          <w:lang w:val="sq-AL"/>
        </w:rPr>
        <w:t xml:space="preserve"> </w:t>
      </w:r>
      <w:r w:rsidRPr="00F060D4">
        <w:rPr>
          <w:rFonts w:ascii="Times New Roman" w:eastAsia="Times New Roman" w:hAnsi="Times New Roman" w:cs="Times New Roman"/>
          <w:sz w:val="24"/>
          <w:lang w:val="sq-AL"/>
        </w:rPr>
        <w:t>në</w:t>
      </w:r>
      <w:r w:rsidRPr="00F060D4">
        <w:rPr>
          <w:rFonts w:ascii="Times New Roman" w:eastAsia="Times New Roman" w:hAnsi="Times New Roman" w:cs="Times New Roman"/>
          <w:spacing w:val="-4"/>
          <w:sz w:val="24"/>
          <w:lang w:val="sq-AL"/>
        </w:rPr>
        <w:t xml:space="preserve"> </w:t>
      </w:r>
      <w:r w:rsidRPr="00F060D4">
        <w:rPr>
          <w:rFonts w:ascii="Times New Roman" w:eastAsia="Times New Roman" w:hAnsi="Times New Roman" w:cs="Times New Roman"/>
          <w:sz w:val="24"/>
          <w:lang w:val="sq-AL"/>
        </w:rPr>
        <w:t>shtrat të</w:t>
      </w:r>
      <w:r w:rsidRPr="00F060D4">
        <w:rPr>
          <w:rFonts w:ascii="Times New Roman" w:eastAsia="Times New Roman" w:hAnsi="Times New Roman" w:cs="Times New Roman"/>
          <w:spacing w:val="-3"/>
          <w:sz w:val="24"/>
          <w:lang w:val="sq-AL"/>
        </w:rPr>
        <w:t xml:space="preserve"> </w:t>
      </w:r>
      <w:r w:rsidRPr="00F060D4">
        <w:rPr>
          <w:rFonts w:ascii="Times New Roman" w:eastAsia="Times New Roman" w:hAnsi="Times New Roman" w:cs="Times New Roman"/>
          <w:sz w:val="24"/>
          <w:lang w:val="sq-AL"/>
        </w:rPr>
        <w:t>lumit</w:t>
      </w:r>
      <w:r w:rsidRPr="00F060D4">
        <w:rPr>
          <w:rFonts w:ascii="Times New Roman" w:eastAsia="Times New Roman" w:hAnsi="Times New Roman" w:cs="Times New Roman"/>
          <w:spacing w:val="-1"/>
          <w:sz w:val="24"/>
          <w:lang w:val="sq-AL"/>
        </w:rPr>
        <w:t xml:space="preserve"> </w:t>
      </w:r>
      <w:r w:rsidRPr="00F060D4">
        <w:rPr>
          <w:rFonts w:ascii="Times New Roman" w:eastAsia="Times New Roman" w:hAnsi="Times New Roman" w:cs="Times New Roman"/>
          <w:sz w:val="24"/>
          <w:lang w:val="sq-AL"/>
        </w:rPr>
        <w:t>të</w:t>
      </w:r>
      <w:r w:rsidRPr="00F060D4">
        <w:rPr>
          <w:rFonts w:ascii="Times New Roman" w:eastAsia="Times New Roman" w:hAnsi="Times New Roman" w:cs="Times New Roman"/>
          <w:spacing w:val="-3"/>
          <w:sz w:val="24"/>
          <w:lang w:val="sq-AL"/>
        </w:rPr>
        <w:t xml:space="preserve"> </w:t>
      </w:r>
      <w:r w:rsidRPr="00F060D4">
        <w:rPr>
          <w:rFonts w:ascii="Times New Roman" w:eastAsia="Times New Roman" w:hAnsi="Times New Roman" w:cs="Times New Roman"/>
          <w:sz w:val="24"/>
          <w:lang w:val="sq-AL"/>
        </w:rPr>
        <w:t>pirgjeve</w:t>
      </w:r>
      <w:r w:rsidRPr="00F060D4">
        <w:rPr>
          <w:rFonts w:ascii="Times New Roman" w:eastAsia="Times New Roman" w:hAnsi="Times New Roman" w:cs="Times New Roman"/>
          <w:spacing w:val="-2"/>
          <w:sz w:val="24"/>
          <w:lang w:val="sq-AL"/>
        </w:rPr>
        <w:t xml:space="preserve"> </w:t>
      </w:r>
      <w:r w:rsidRPr="00F060D4">
        <w:rPr>
          <w:rFonts w:ascii="Times New Roman" w:eastAsia="Times New Roman" w:hAnsi="Times New Roman" w:cs="Times New Roman"/>
          <w:sz w:val="24"/>
          <w:lang w:val="sq-AL"/>
        </w:rPr>
        <w:t>të</w:t>
      </w:r>
      <w:r w:rsidRPr="00F060D4">
        <w:rPr>
          <w:rFonts w:ascii="Times New Roman" w:eastAsia="Times New Roman" w:hAnsi="Times New Roman" w:cs="Times New Roman"/>
          <w:spacing w:val="-3"/>
          <w:sz w:val="24"/>
          <w:lang w:val="sq-AL"/>
        </w:rPr>
        <w:t xml:space="preserve"> </w:t>
      </w:r>
      <w:r w:rsidRPr="00F060D4">
        <w:rPr>
          <w:rFonts w:ascii="Times New Roman" w:eastAsia="Times New Roman" w:hAnsi="Times New Roman" w:cs="Times New Roman"/>
          <w:sz w:val="24"/>
          <w:lang w:val="sq-AL"/>
        </w:rPr>
        <w:t>zhavorrit</w:t>
      </w:r>
      <w:r w:rsidRPr="00F060D4">
        <w:rPr>
          <w:rFonts w:ascii="Times New Roman" w:eastAsia="Times New Roman" w:hAnsi="Times New Roman" w:cs="Times New Roman"/>
          <w:spacing w:val="-3"/>
          <w:sz w:val="24"/>
          <w:lang w:val="sq-AL"/>
        </w:rPr>
        <w:t xml:space="preserve"> </w:t>
      </w:r>
      <w:r w:rsidRPr="00F060D4">
        <w:rPr>
          <w:rFonts w:ascii="Times New Roman" w:eastAsia="Times New Roman" w:hAnsi="Times New Roman" w:cs="Times New Roman"/>
          <w:sz w:val="24"/>
          <w:lang w:val="sq-AL"/>
        </w:rPr>
        <w:t>dhe</w:t>
      </w:r>
      <w:r w:rsidRPr="00F060D4">
        <w:rPr>
          <w:rFonts w:ascii="Times New Roman" w:eastAsia="Times New Roman" w:hAnsi="Times New Roman" w:cs="Times New Roman"/>
          <w:spacing w:val="-4"/>
          <w:sz w:val="24"/>
          <w:lang w:val="sq-AL"/>
        </w:rPr>
        <w:t xml:space="preserve"> </w:t>
      </w:r>
      <w:r w:rsidRPr="00F060D4">
        <w:rPr>
          <w:rFonts w:ascii="Times New Roman" w:eastAsia="Times New Roman" w:hAnsi="Times New Roman" w:cs="Times New Roman"/>
          <w:sz w:val="24"/>
          <w:lang w:val="sq-AL"/>
        </w:rPr>
        <w:t>mbeturinave</w:t>
      </w:r>
      <w:r w:rsidRPr="00F060D4">
        <w:rPr>
          <w:rFonts w:ascii="Times New Roman" w:eastAsia="Times New Roman" w:hAnsi="Times New Roman" w:cs="Times New Roman"/>
          <w:spacing w:val="-4"/>
          <w:sz w:val="24"/>
          <w:lang w:val="sq-AL"/>
        </w:rPr>
        <w:t xml:space="preserve"> </w:t>
      </w:r>
      <w:r w:rsidRPr="00F060D4">
        <w:rPr>
          <w:rFonts w:ascii="Times New Roman" w:eastAsia="Times New Roman" w:hAnsi="Times New Roman" w:cs="Times New Roman"/>
          <w:sz w:val="24"/>
          <w:lang w:val="sq-AL"/>
        </w:rPr>
        <w:t>teknologjike</w:t>
      </w:r>
      <w:r w:rsidRPr="00F060D4">
        <w:rPr>
          <w:rFonts w:ascii="Times New Roman" w:eastAsia="Times New Roman" w:hAnsi="Times New Roman" w:cs="Times New Roman"/>
          <w:spacing w:val="-4"/>
          <w:sz w:val="24"/>
          <w:lang w:val="sq-AL"/>
        </w:rPr>
        <w:t xml:space="preserve"> </w:t>
      </w:r>
      <w:r w:rsidRPr="00F060D4">
        <w:rPr>
          <w:rFonts w:ascii="Times New Roman" w:eastAsia="Times New Roman" w:hAnsi="Times New Roman" w:cs="Times New Roman"/>
          <w:sz w:val="24"/>
          <w:lang w:val="sq-AL"/>
        </w:rPr>
        <w:t>të</w:t>
      </w:r>
      <w:r w:rsidRPr="00F060D4">
        <w:rPr>
          <w:rFonts w:ascii="Times New Roman" w:eastAsia="Times New Roman" w:hAnsi="Times New Roman" w:cs="Times New Roman"/>
          <w:spacing w:val="-2"/>
          <w:sz w:val="24"/>
          <w:lang w:val="sq-AL"/>
        </w:rPr>
        <w:t xml:space="preserve"> </w:t>
      </w:r>
      <w:r w:rsidRPr="00F060D4">
        <w:rPr>
          <w:rFonts w:ascii="Times New Roman" w:eastAsia="Times New Roman" w:hAnsi="Times New Roman" w:cs="Times New Roman"/>
          <w:sz w:val="24"/>
          <w:lang w:val="sq-AL"/>
        </w:rPr>
        <w:t>përpunim</w:t>
      </w:r>
      <w:r w:rsidR="00024039">
        <w:rPr>
          <w:rFonts w:ascii="Times New Roman" w:eastAsia="Times New Roman" w:hAnsi="Times New Roman" w:cs="Times New Roman"/>
          <w:sz w:val="24"/>
          <w:lang w:val="sq-AL"/>
        </w:rPr>
        <w:t>it të inerteve dhe  n</w:t>
      </w:r>
      <w:r w:rsidRPr="00F060D4">
        <w:rPr>
          <w:rFonts w:ascii="Times New Roman" w:eastAsia="Times New Roman" w:hAnsi="Times New Roman" w:cs="Times New Roman"/>
          <w:sz w:val="24"/>
          <w:lang w:val="sq-AL"/>
        </w:rPr>
        <w:t>ivelimin e sipërfaqes së shtratit dhe terracës së tij</w:t>
      </w:r>
      <w:r w:rsidR="006368CB">
        <w:rPr>
          <w:rFonts w:ascii="Times New Roman" w:eastAsia="Times New Roman" w:hAnsi="Times New Roman" w:cs="Times New Roman"/>
          <w:sz w:val="24"/>
          <w:lang w:val="sq-AL"/>
        </w:rPr>
        <w:t>.</w:t>
      </w:r>
    </w:p>
    <w:p w:rsidR="00F060D4" w:rsidRPr="00F060D4" w:rsidRDefault="00F060D4" w:rsidP="00F060D4">
      <w:pPr>
        <w:spacing w:after="200" w:line="276" w:lineRule="auto"/>
        <w:jc w:val="both"/>
        <w:rPr>
          <w:rFonts w:ascii="Times New Roman" w:eastAsia="Calibri" w:hAnsi="Times New Roman" w:cs="Times New Roman"/>
          <w:b/>
          <w:sz w:val="24"/>
          <w:szCs w:val="24"/>
          <w:lang w:val="sq-AL"/>
        </w:rPr>
      </w:pPr>
      <w:r w:rsidRPr="00F060D4">
        <w:rPr>
          <w:rFonts w:ascii="Times New Roman" w:eastAsia="Times New Roman" w:hAnsi="Times New Roman" w:cs="Times New Roman"/>
          <w:sz w:val="24"/>
          <w:lang w:val="sq-AL"/>
        </w:rPr>
        <w:t>Të ndërtohen vepra mbrojtëse për të shuar energjinë e rrjedhës sidomos në kohë vërshimesh me</w:t>
      </w:r>
      <w:r w:rsidRPr="00F060D4">
        <w:rPr>
          <w:rFonts w:ascii="Times New Roman" w:eastAsia="Times New Roman" w:hAnsi="Times New Roman" w:cs="Times New Roman"/>
          <w:spacing w:val="40"/>
          <w:sz w:val="24"/>
          <w:lang w:val="sq-AL"/>
        </w:rPr>
        <w:t xml:space="preserve"> </w:t>
      </w:r>
      <w:r w:rsidRPr="00F060D4">
        <w:rPr>
          <w:rFonts w:ascii="Times New Roman" w:eastAsia="Times New Roman" w:hAnsi="Times New Roman" w:cs="Times New Roman"/>
          <w:sz w:val="24"/>
          <w:lang w:val="sq-AL"/>
        </w:rPr>
        <w:t>qëlli</w:t>
      </w:r>
      <w:r w:rsidR="00024039">
        <w:rPr>
          <w:rFonts w:ascii="Times New Roman" w:eastAsia="Times New Roman" w:hAnsi="Times New Roman" w:cs="Times New Roman"/>
          <w:bCs/>
          <w:sz w:val="24"/>
          <w:szCs w:val="24"/>
          <w:lang w:val="sq-AL"/>
        </w:rPr>
        <w:t>m</w:t>
      </w:r>
      <w:r w:rsidRPr="00F060D4">
        <w:rPr>
          <w:rFonts w:ascii="Times New Roman" w:eastAsia="Times New Roman" w:hAnsi="Times New Roman" w:cs="Times New Roman"/>
          <w:bCs/>
          <w:sz w:val="24"/>
          <w:szCs w:val="24"/>
          <w:lang w:val="sq-AL"/>
        </w:rPr>
        <w:t xml:space="preserve"> mbrojtjen e urave dhe rrugëve automobilistike. Por ndërtimi i tyre duhet të bëhet me shumë kujdes mbi shtratin e Fanit dhe Matit duke patur parasysh që materiali që sedimentohet në pjesët më të sipërme të rrjedhës së Fanit është kryesisht copëzor dhe me përqindje të lartë pluhurash e llumrash të cilat kanë efekt negativ në shtresën që</w:t>
      </w:r>
      <w:r w:rsidRPr="00F060D4">
        <w:rPr>
          <w:rFonts w:ascii="Times New Roman" w:eastAsia="Times New Roman" w:hAnsi="Times New Roman" w:cs="Times New Roman"/>
          <w:bCs/>
          <w:spacing w:val="80"/>
          <w:sz w:val="24"/>
          <w:szCs w:val="24"/>
          <w:lang w:val="sq-AL"/>
        </w:rPr>
        <w:t xml:space="preserve"> </w:t>
      </w:r>
      <w:r w:rsidRPr="00F060D4">
        <w:rPr>
          <w:rFonts w:ascii="Times New Roman" w:eastAsia="Times New Roman" w:hAnsi="Times New Roman" w:cs="Times New Roman"/>
          <w:bCs/>
          <w:spacing w:val="-2"/>
          <w:sz w:val="24"/>
          <w:szCs w:val="24"/>
          <w:lang w:val="sq-AL"/>
        </w:rPr>
        <w:t>sedimentohet</w:t>
      </w:r>
      <w:r w:rsidRPr="00F060D4">
        <w:rPr>
          <w:rFonts w:ascii="Times New Roman" w:eastAsia="Times New Roman" w:hAnsi="Times New Roman" w:cs="Times New Roman"/>
          <w:b/>
          <w:bCs/>
          <w:spacing w:val="-2"/>
          <w:sz w:val="24"/>
          <w:szCs w:val="24"/>
          <w:lang w:val="sq-AL"/>
        </w:rPr>
        <w:t>.</w:t>
      </w:r>
    </w:p>
    <w:p w:rsidR="004B6ACF" w:rsidRDefault="00F060D4" w:rsidP="004B6ACF">
      <w:pPr>
        <w:pStyle w:val="Heading1"/>
        <w:spacing w:before="64"/>
        <w:jc w:val="both"/>
        <w:rPr>
          <w:rFonts w:ascii="Times New Roman" w:eastAsia="Times New Roman" w:hAnsi="Times New Roman" w:cs="Times New Roman"/>
          <w:color w:val="auto"/>
          <w:spacing w:val="15"/>
          <w:sz w:val="24"/>
          <w:lang w:val="sq-AL"/>
        </w:rPr>
      </w:pPr>
      <w:r w:rsidRPr="004B6ACF">
        <w:rPr>
          <w:rFonts w:ascii="Times New Roman" w:eastAsia="Times New Roman" w:hAnsi="Times New Roman" w:cs="Times New Roman"/>
          <w:color w:val="auto"/>
          <w:sz w:val="24"/>
          <w:lang w:val="sq-AL"/>
        </w:rPr>
        <w:t>Të riparohen veprat e dëmtuara të mbrojtes që janë kryesisht panelet anësore dhe argjinaturat. Panelet anësore të jenë me kënde të tilla që të ulin shpejtësinë e lumit dhe të mbrojnë nga erozioni ujor brigjet me tokën bujqësore, objektet inxhinjerike, qendrat e banuara buzë lumit, puset e hidrogjeologjisë për ujë të pijshëm, etj</w:t>
      </w:r>
      <w:r w:rsidRPr="004B6ACF">
        <w:rPr>
          <w:rFonts w:ascii="Times New Roman" w:eastAsia="Times New Roman" w:hAnsi="Times New Roman" w:cs="Times New Roman"/>
          <w:color w:val="auto"/>
          <w:spacing w:val="15"/>
          <w:sz w:val="24"/>
          <w:lang w:val="sq-AL"/>
        </w:rPr>
        <w:t xml:space="preserve"> </w:t>
      </w:r>
    </w:p>
    <w:p w:rsidR="004B6ACF" w:rsidRPr="004B6ACF" w:rsidRDefault="004B6ACF" w:rsidP="004B6ACF">
      <w:pPr>
        <w:pStyle w:val="Heading1"/>
        <w:spacing w:before="64"/>
        <w:jc w:val="both"/>
        <w:rPr>
          <w:rFonts w:ascii="Times New Roman" w:eastAsia="Times New Roman" w:hAnsi="Times New Roman" w:cs="Times New Roman"/>
          <w:bCs/>
          <w:color w:val="auto"/>
          <w:sz w:val="24"/>
          <w:szCs w:val="24"/>
          <w:lang w:val="sq-AL"/>
        </w:rPr>
      </w:pPr>
      <w:r>
        <w:rPr>
          <w:rFonts w:ascii="Times New Roman" w:eastAsia="Times New Roman" w:hAnsi="Times New Roman" w:cs="Times New Roman"/>
          <w:color w:val="auto"/>
          <w:sz w:val="24"/>
          <w:lang w:val="sq-AL"/>
        </w:rPr>
        <w:t>E</w:t>
      </w:r>
      <w:r w:rsidR="00F060D4" w:rsidRPr="004B6ACF">
        <w:rPr>
          <w:rFonts w:ascii="Times New Roman" w:eastAsia="Times New Roman" w:hAnsi="Times New Roman" w:cs="Times New Roman"/>
          <w:color w:val="auto"/>
          <w:sz w:val="24"/>
          <w:lang w:val="sq-AL"/>
        </w:rPr>
        <w:t>leminimin</w:t>
      </w:r>
      <w:r w:rsidR="00F060D4" w:rsidRPr="004B6ACF">
        <w:rPr>
          <w:rFonts w:ascii="Times New Roman" w:eastAsia="Times New Roman" w:hAnsi="Times New Roman" w:cs="Times New Roman"/>
          <w:color w:val="auto"/>
          <w:spacing w:val="14"/>
          <w:sz w:val="24"/>
          <w:lang w:val="sq-AL"/>
        </w:rPr>
        <w:t xml:space="preserve"> </w:t>
      </w:r>
      <w:r w:rsidR="00F060D4" w:rsidRPr="004B6ACF">
        <w:rPr>
          <w:rFonts w:ascii="Times New Roman" w:eastAsia="Times New Roman" w:hAnsi="Times New Roman" w:cs="Times New Roman"/>
          <w:color w:val="auto"/>
          <w:sz w:val="24"/>
          <w:lang w:val="sq-AL"/>
        </w:rPr>
        <w:t>e</w:t>
      </w:r>
      <w:r w:rsidR="00F060D4" w:rsidRPr="004B6ACF">
        <w:rPr>
          <w:rFonts w:ascii="Times New Roman" w:eastAsia="Times New Roman" w:hAnsi="Times New Roman" w:cs="Times New Roman"/>
          <w:color w:val="auto"/>
          <w:spacing w:val="13"/>
          <w:sz w:val="24"/>
          <w:lang w:val="sq-AL"/>
        </w:rPr>
        <w:t xml:space="preserve"> </w:t>
      </w:r>
      <w:r w:rsidR="00F060D4" w:rsidRPr="004B6ACF">
        <w:rPr>
          <w:rFonts w:ascii="Times New Roman" w:eastAsia="Times New Roman" w:hAnsi="Times New Roman" w:cs="Times New Roman"/>
          <w:color w:val="auto"/>
          <w:sz w:val="24"/>
          <w:lang w:val="sq-AL"/>
        </w:rPr>
        <w:t>erozionit</w:t>
      </w:r>
      <w:r w:rsidR="00F060D4" w:rsidRPr="004B6ACF">
        <w:rPr>
          <w:rFonts w:ascii="Times New Roman" w:eastAsia="Times New Roman" w:hAnsi="Times New Roman" w:cs="Times New Roman"/>
          <w:color w:val="auto"/>
          <w:spacing w:val="15"/>
          <w:sz w:val="24"/>
          <w:lang w:val="sq-AL"/>
        </w:rPr>
        <w:t xml:space="preserve"> </w:t>
      </w:r>
      <w:r w:rsidR="00F060D4" w:rsidRPr="004B6ACF">
        <w:rPr>
          <w:rFonts w:ascii="Times New Roman" w:eastAsia="Times New Roman" w:hAnsi="Times New Roman" w:cs="Times New Roman"/>
          <w:color w:val="auto"/>
          <w:sz w:val="24"/>
          <w:lang w:val="sq-AL"/>
        </w:rPr>
        <w:t>të</w:t>
      </w:r>
      <w:r w:rsidR="00F060D4" w:rsidRPr="004B6ACF">
        <w:rPr>
          <w:rFonts w:ascii="Times New Roman" w:eastAsia="Times New Roman" w:hAnsi="Times New Roman" w:cs="Times New Roman"/>
          <w:color w:val="auto"/>
          <w:spacing w:val="14"/>
          <w:sz w:val="24"/>
          <w:lang w:val="sq-AL"/>
        </w:rPr>
        <w:t xml:space="preserve"> </w:t>
      </w:r>
      <w:r w:rsidR="00F060D4" w:rsidRPr="004B6ACF">
        <w:rPr>
          <w:rFonts w:ascii="Times New Roman" w:eastAsia="Times New Roman" w:hAnsi="Times New Roman" w:cs="Times New Roman"/>
          <w:color w:val="auto"/>
          <w:sz w:val="24"/>
          <w:lang w:val="sq-AL"/>
        </w:rPr>
        <w:t>mëtejshëm</w:t>
      </w:r>
      <w:r w:rsidR="00F060D4" w:rsidRPr="004B6ACF">
        <w:rPr>
          <w:rFonts w:ascii="Times New Roman" w:eastAsia="Times New Roman" w:hAnsi="Times New Roman" w:cs="Times New Roman"/>
          <w:color w:val="auto"/>
          <w:spacing w:val="14"/>
          <w:sz w:val="24"/>
          <w:lang w:val="sq-AL"/>
        </w:rPr>
        <w:t xml:space="preserve"> </w:t>
      </w:r>
      <w:r w:rsidR="00F060D4" w:rsidRPr="004B6ACF">
        <w:rPr>
          <w:rFonts w:ascii="Times New Roman" w:eastAsia="Times New Roman" w:hAnsi="Times New Roman" w:cs="Times New Roman"/>
          <w:color w:val="auto"/>
          <w:sz w:val="24"/>
          <w:lang w:val="sq-AL"/>
        </w:rPr>
        <w:t>të</w:t>
      </w:r>
      <w:r w:rsidR="00F060D4" w:rsidRPr="004B6ACF">
        <w:rPr>
          <w:rFonts w:ascii="Times New Roman" w:eastAsia="Times New Roman" w:hAnsi="Times New Roman" w:cs="Times New Roman"/>
          <w:color w:val="auto"/>
          <w:spacing w:val="14"/>
          <w:sz w:val="24"/>
          <w:lang w:val="sq-AL"/>
        </w:rPr>
        <w:t xml:space="preserve"> </w:t>
      </w:r>
      <w:r w:rsidR="00F060D4" w:rsidRPr="004B6ACF">
        <w:rPr>
          <w:rFonts w:ascii="Times New Roman" w:eastAsia="Times New Roman" w:hAnsi="Times New Roman" w:cs="Times New Roman"/>
          <w:color w:val="auto"/>
          <w:sz w:val="24"/>
          <w:lang w:val="sq-AL"/>
        </w:rPr>
        <w:t>brigjeve,</w:t>
      </w:r>
      <w:r w:rsidR="00F060D4" w:rsidRPr="004B6ACF">
        <w:rPr>
          <w:rFonts w:ascii="Times New Roman" w:eastAsia="Times New Roman" w:hAnsi="Times New Roman" w:cs="Times New Roman"/>
          <w:color w:val="auto"/>
          <w:spacing w:val="16"/>
          <w:sz w:val="24"/>
          <w:lang w:val="sq-AL"/>
        </w:rPr>
        <w:t xml:space="preserve"> </w:t>
      </w:r>
      <w:r w:rsidR="00F060D4" w:rsidRPr="004B6ACF">
        <w:rPr>
          <w:rFonts w:ascii="Times New Roman" w:eastAsia="Times New Roman" w:hAnsi="Times New Roman" w:cs="Times New Roman"/>
          <w:color w:val="auto"/>
          <w:sz w:val="24"/>
          <w:lang w:val="sq-AL"/>
        </w:rPr>
        <w:t>rehabilitimin</w:t>
      </w:r>
      <w:r w:rsidR="00F060D4" w:rsidRPr="004B6ACF">
        <w:rPr>
          <w:rFonts w:ascii="Times New Roman" w:eastAsia="Times New Roman" w:hAnsi="Times New Roman" w:cs="Times New Roman"/>
          <w:color w:val="auto"/>
          <w:spacing w:val="15"/>
          <w:sz w:val="24"/>
          <w:lang w:val="sq-AL"/>
        </w:rPr>
        <w:t xml:space="preserve"> </w:t>
      </w:r>
      <w:r w:rsidR="00F060D4" w:rsidRPr="004B6ACF">
        <w:rPr>
          <w:rFonts w:ascii="Times New Roman" w:eastAsia="Times New Roman" w:hAnsi="Times New Roman" w:cs="Times New Roman"/>
          <w:color w:val="auto"/>
          <w:sz w:val="24"/>
          <w:lang w:val="sq-AL"/>
        </w:rPr>
        <w:t>e</w:t>
      </w:r>
      <w:r w:rsidR="00F060D4" w:rsidRPr="004B6ACF">
        <w:rPr>
          <w:rFonts w:ascii="Times New Roman" w:eastAsia="Times New Roman" w:hAnsi="Times New Roman" w:cs="Times New Roman"/>
          <w:color w:val="auto"/>
          <w:spacing w:val="13"/>
          <w:sz w:val="24"/>
          <w:lang w:val="sq-AL"/>
        </w:rPr>
        <w:t xml:space="preserve"> </w:t>
      </w:r>
      <w:r w:rsidR="00F060D4" w:rsidRPr="004B6ACF">
        <w:rPr>
          <w:rFonts w:ascii="Times New Roman" w:eastAsia="Times New Roman" w:hAnsi="Times New Roman" w:cs="Times New Roman"/>
          <w:color w:val="auto"/>
          <w:sz w:val="24"/>
          <w:lang w:val="sq-AL"/>
        </w:rPr>
        <w:t>mundshëm</w:t>
      </w:r>
      <w:r w:rsidR="00F060D4" w:rsidRPr="004B6ACF">
        <w:rPr>
          <w:rFonts w:ascii="Times New Roman" w:eastAsia="Times New Roman" w:hAnsi="Times New Roman" w:cs="Times New Roman"/>
          <w:color w:val="auto"/>
          <w:spacing w:val="15"/>
          <w:sz w:val="24"/>
          <w:lang w:val="sq-AL"/>
        </w:rPr>
        <w:t xml:space="preserve"> </w:t>
      </w:r>
      <w:r w:rsidR="00F060D4" w:rsidRPr="004B6ACF">
        <w:rPr>
          <w:rFonts w:ascii="Times New Roman" w:eastAsia="Times New Roman" w:hAnsi="Times New Roman" w:cs="Times New Roman"/>
          <w:color w:val="auto"/>
          <w:sz w:val="24"/>
          <w:lang w:val="sq-AL"/>
        </w:rPr>
        <w:t>të</w:t>
      </w:r>
      <w:r w:rsidR="00F060D4" w:rsidRPr="004B6ACF">
        <w:rPr>
          <w:rFonts w:ascii="Times New Roman" w:eastAsia="Times New Roman" w:hAnsi="Times New Roman" w:cs="Times New Roman"/>
          <w:color w:val="auto"/>
          <w:spacing w:val="14"/>
          <w:sz w:val="24"/>
          <w:lang w:val="sq-AL"/>
        </w:rPr>
        <w:t xml:space="preserve"> </w:t>
      </w:r>
      <w:r w:rsidR="00F060D4" w:rsidRPr="004B6ACF">
        <w:rPr>
          <w:rFonts w:ascii="Times New Roman" w:eastAsia="Times New Roman" w:hAnsi="Times New Roman" w:cs="Times New Roman"/>
          <w:color w:val="auto"/>
          <w:sz w:val="24"/>
          <w:lang w:val="sq-AL"/>
        </w:rPr>
        <w:t>tij</w:t>
      </w:r>
      <w:r w:rsidR="00F060D4" w:rsidRPr="004B6ACF">
        <w:rPr>
          <w:rFonts w:ascii="Times New Roman" w:eastAsia="Times New Roman" w:hAnsi="Times New Roman" w:cs="Times New Roman"/>
          <w:color w:val="auto"/>
          <w:spacing w:val="15"/>
          <w:sz w:val="24"/>
          <w:lang w:val="sq-AL"/>
        </w:rPr>
        <w:t xml:space="preserve"> </w:t>
      </w:r>
      <w:r w:rsidR="00F060D4" w:rsidRPr="004B6ACF">
        <w:rPr>
          <w:rFonts w:ascii="Times New Roman" w:eastAsia="Times New Roman" w:hAnsi="Times New Roman" w:cs="Times New Roman"/>
          <w:color w:val="auto"/>
          <w:sz w:val="24"/>
          <w:lang w:val="sq-AL"/>
        </w:rPr>
        <w:t>në</w:t>
      </w:r>
      <w:r w:rsidRPr="004B6ACF">
        <w:rPr>
          <w:rFonts w:ascii="Times New Roman" w:eastAsia="Times New Roman" w:hAnsi="Times New Roman" w:cs="Times New Roman"/>
          <w:color w:val="auto"/>
          <w:sz w:val="24"/>
          <w:lang w:val="sq-AL"/>
        </w:rPr>
        <w:t xml:space="preserve"> zonat e</w:t>
      </w:r>
      <w:r w:rsidR="00024039">
        <w:rPr>
          <w:rFonts w:ascii="Times New Roman" w:eastAsia="Times New Roman" w:hAnsi="Times New Roman" w:cs="Times New Roman"/>
          <w:color w:val="auto"/>
          <w:sz w:val="24"/>
          <w:lang w:val="sq-AL"/>
        </w:rPr>
        <w:t xml:space="preserve"> </w:t>
      </w:r>
      <w:r w:rsidRPr="004B6ACF">
        <w:rPr>
          <w:rFonts w:ascii="Times New Roman" w:eastAsia="Times New Roman" w:hAnsi="Times New Roman" w:cs="Times New Roman"/>
          <w:bCs/>
          <w:color w:val="auto"/>
          <w:sz w:val="24"/>
          <w:szCs w:val="24"/>
          <w:lang w:val="sq-AL"/>
        </w:rPr>
        <w:t>dëmtuara, mbrojtjen e urave dhe rrugëve automobilistike. Por ndërtimi i tyre duhet të bëhet me shumë kujdes mbi shtratin e Fanit dhe Matit duke patur parasysh që materiali që sedimentohet në pjesët më të sipërme të rrjedhës së Fanit është kryesisht copëzor dhe me përqindje të lartë pluhurash e llumrash të cilat kanë efekt negativ në shtresën që</w:t>
      </w:r>
      <w:r w:rsidRPr="004B6ACF">
        <w:rPr>
          <w:rFonts w:ascii="Times New Roman" w:eastAsia="Times New Roman" w:hAnsi="Times New Roman" w:cs="Times New Roman"/>
          <w:bCs/>
          <w:color w:val="auto"/>
          <w:spacing w:val="80"/>
          <w:sz w:val="24"/>
          <w:szCs w:val="24"/>
          <w:lang w:val="sq-AL"/>
        </w:rPr>
        <w:t xml:space="preserve"> </w:t>
      </w:r>
      <w:r w:rsidRPr="004B6ACF">
        <w:rPr>
          <w:rFonts w:ascii="Times New Roman" w:eastAsia="Times New Roman" w:hAnsi="Times New Roman" w:cs="Times New Roman"/>
          <w:bCs/>
          <w:color w:val="auto"/>
          <w:spacing w:val="-2"/>
          <w:sz w:val="24"/>
          <w:szCs w:val="24"/>
          <w:lang w:val="sq-AL"/>
        </w:rPr>
        <w:t>sedimentohet.</w:t>
      </w:r>
    </w:p>
    <w:p w:rsidR="004B6ACF" w:rsidRPr="004B6ACF" w:rsidRDefault="004B6ACF" w:rsidP="004B6ACF">
      <w:pPr>
        <w:widowControl w:val="0"/>
        <w:tabs>
          <w:tab w:val="left" w:pos="1265"/>
        </w:tabs>
        <w:autoSpaceDE w:val="0"/>
        <w:autoSpaceDN w:val="0"/>
        <w:spacing w:before="228" w:after="0" w:line="240" w:lineRule="auto"/>
        <w:jc w:val="both"/>
        <w:rPr>
          <w:rFonts w:ascii="Times New Roman" w:eastAsia="Times New Roman" w:hAnsi="Times New Roman" w:cs="Times New Roman"/>
          <w:sz w:val="24"/>
          <w:lang w:val="sq-AL"/>
        </w:rPr>
      </w:pPr>
      <w:r w:rsidRPr="004B6ACF">
        <w:rPr>
          <w:rFonts w:ascii="Times New Roman" w:eastAsia="Times New Roman" w:hAnsi="Times New Roman" w:cs="Times New Roman"/>
          <w:sz w:val="24"/>
          <w:lang w:val="sq-AL"/>
        </w:rPr>
        <w:t>Të</w:t>
      </w:r>
      <w:r w:rsidRPr="004B6ACF">
        <w:rPr>
          <w:rFonts w:ascii="Times New Roman" w:eastAsia="Times New Roman" w:hAnsi="Times New Roman" w:cs="Times New Roman"/>
          <w:spacing w:val="-4"/>
          <w:sz w:val="24"/>
          <w:lang w:val="sq-AL"/>
        </w:rPr>
        <w:t xml:space="preserve"> </w:t>
      </w:r>
      <w:r w:rsidRPr="004B6ACF">
        <w:rPr>
          <w:rFonts w:ascii="Times New Roman" w:eastAsia="Times New Roman" w:hAnsi="Times New Roman" w:cs="Times New Roman"/>
          <w:sz w:val="24"/>
          <w:lang w:val="sq-AL"/>
        </w:rPr>
        <w:t>ndërpritet</w:t>
      </w:r>
      <w:r w:rsidRPr="004B6ACF">
        <w:rPr>
          <w:rFonts w:ascii="Times New Roman" w:eastAsia="Times New Roman" w:hAnsi="Times New Roman" w:cs="Times New Roman"/>
          <w:spacing w:val="-2"/>
          <w:sz w:val="24"/>
          <w:lang w:val="sq-AL"/>
        </w:rPr>
        <w:t xml:space="preserve"> </w:t>
      </w:r>
      <w:r w:rsidRPr="004B6ACF">
        <w:rPr>
          <w:rFonts w:ascii="Times New Roman" w:eastAsia="Times New Roman" w:hAnsi="Times New Roman" w:cs="Times New Roman"/>
          <w:sz w:val="24"/>
          <w:lang w:val="sq-AL"/>
        </w:rPr>
        <w:t>hedhja</w:t>
      </w:r>
      <w:r w:rsidRPr="004B6ACF">
        <w:rPr>
          <w:rFonts w:ascii="Times New Roman" w:eastAsia="Times New Roman" w:hAnsi="Times New Roman" w:cs="Times New Roman"/>
          <w:spacing w:val="-1"/>
          <w:sz w:val="24"/>
          <w:lang w:val="sq-AL"/>
        </w:rPr>
        <w:t xml:space="preserve"> </w:t>
      </w:r>
      <w:r w:rsidRPr="004B6ACF">
        <w:rPr>
          <w:rFonts w:ascii="Times New Roman" w:eastAsia="Times New Roman" w:hAnsi="Times New Roman" w:cs="Times New Roman"/>
          <w:sz w:val="24"/>
          <w:lang w:val="sq-AL"/>
        </w:rPr>
        <w:t>e</w:t>
      </w:r>
      <w:r w:rsidRPr="004B6ACF">
        <w:rPr>
          <w:rFonts w:ascii="Times New Roman" w:eastAsia="Times New Roman" w:hAnsi="Times New Roman" w:cs="Times New Roman"/>
          <w:spacing w:val="-1"/>
          <w:sz w:val="24"/>
          <w:lang w:val="sq-AL"/>
        </w:rPr>
        <w:t xml:space="preserve"> </w:t>
      </w:r>
      <w:r w:rsidRPr="004B6ACF">
        <w:rPr>
          <w:rFonts w:ascii="Times New Roman" w:eastAsia="Times New Roman" w:hAnsi="Times New Roman" w:cs="Times New Roman"/>
          <w:sz w:val="24"/>
          <w:lang w:val="sq-AL"/>
        </w:rPr>
        <w:t>mbeturinave</w:t>
      </w:r>
      <w:r w:rsidRPr="004B6ACF">
        <w:rPr>
          <w:rFonts w:ascii="Times New Roman" w:eastAsia="Times New Roman" w:hAnsi="Times New Roman" w:cs="Times New Roman"/>
          <w:spacing w:val="-4"/>
          <w:sz w:val="24"/>
          <w:lang w:val="sq-AL"/>
        </w:rPr>
        <w:t xml:space="preserve"> </w:t>
      </w:r>
      <w:r w:rsidRPr="004B6ACF">
        <w:rPr>
          <w:rFonts w:ascii="Times New Roman" w:eastAsia="Times New Roman" w:hAnsi="Times New Roman" w:cs="Times New Roman"/>
          <w:sz w:val="24"/>
          <w:lang w:val="sq-AL"/>
        </w:rPr>
        <w:t>inerte,</w:t>
      </w:r>
      <w:r w:rsidRPr="004B6ACF">
        <w:rPr>
          <w:rFonts w:ascii="Times New Roman" w:eastAsia="Times New Roman" w:hAnsi="Times New Roman" w:cs="Times New Roman"/>
          <w:spacing w:val="-2"/>
          <w:sz w:val="24"/>
          <w:lang w:val="sq-AL"/>
        </w:rPr>
        <w:t xml:space="preserve"> </w:t>
      </w:r>
      <w:r w:rsidRPr="004B6ACF">
        <w:rPr>
          <w:rFonts w:ascii="Times New Roman" w:eastAsia="Times New Roman" w:hAnsi="Times New Roman" w:cs="Times New Roman"/>
          <w:sz w:val="24"/>
          <w:lang w:val="sq-AL"/>
        </w:rPr>
        <w:t>të</w:t>
      </w:r>
      <w:r w:rsidRPr="004B6ACF">
        <w:rPr>
          <w:rFonts w:ascii="Times New Roman" w:eastAsia="Times New Roman" w:hAnsi="Times New Roman" w:cs="Times New Roman"/>
          <w:spacing w:val="-1"/>
          <w:sz w:val="24"/>
          <w:lang w:val="sq-AL"/>
        </w:rPr>
        <w:t xml:space="preserve"> </w:t>
      </w:r>
      <w:r w:rsidRPr="004B6ACF">
        <w:rPr>
          <w:rFonts w:ascii="Times New Roman" w:eastAsia="Times New Roman" w:hAnsi="Times New Roman" w:cs="Times New Roman"/>
          <w:sz w:val="24"/>
          <w:lang w:val="sq-AL"/>
        </w:rPr>
        <w:t>eleminohet</w:t>
      </w:r>
      <w:r w:rsidRPr="004B6ACF">
        <w:rPr>
          <w:rFonts w:ascii="Times New Roman" w:eastAsia="Times New Roman" w:hAnsi="Times New Roman" w:cs="Times New Roman"/>
          <w:spacing w:val="-2"/>
          <w:sz w:val="24"/>
          <w:lang w:val="sq-AL"/>
        </w:rPr>
        <w:t xml:space="preserve"> </w:t>
      </w:r>
      <w:r w:rsidRPr="004B6ACF">
        <w:rPr>
          <w:rFonts w:ascii="Times New Roman" w:eastAsia="Times New Roman" w:hAnsi="Times New Roman" w:cs="Times New Roman"/>
          <w:sz w:val="24"/>
          <w:lang w:val="sq-AL"/>
        </w:rPr>
        <w:t>derdhja</w:t>
      </w:r>
      <w:r w:rsidRPr="004B6ACF">
        <w:rPr>
          <w:rFonts w:ascii="Times New Roman" w:eastAsia="Times New Roman" w:hAnsi="Times New Roman" w:cs="Times New Roman"/>
          <w:spacing w:val="-1"/>
          <w:sz w:val="24"/>
          <w:lang w:val="sq-AL"/>
        </w:rPr>
        <w:t xml:space="preserve"> </w:t>
      </w:r>
      <w:r w:rsidRPr="004B6ACF">
        <w:rPr>
          <w:rFonts w:ascii="Times New Roman" w:eastAsia="Times New Roman" w:hAnsi="Times New Roman" w:cs="Times New Roman"/>
          <w:sz w:val="24"/>
          <w:lang w:val="sq-AL"/>
        </w:rPr>
        <w:t>e</w:t>
      </w:r>
      <w:r w:rsidRPr="004B6ACF">
        <w:rPr>
          <w:rFonts w:ascii="Times New Roman" w:eastAsia="Times New Roman" w:hAnsi="Times New Roman" w:cs="Times New Roman"/>
          <w:spacing w:val="-3"/>
          <w:sz w:val="24"/>
          <w:lang w:val="sq-AL"/>
        </w:rPr>
        <w:t xml:space="preserve"> </w:t>
      </w:r>
      <w:r w:rsidRPr="004B6ACF">
        <w:rPr>
          <w:rFonts w:ascii="Times New Roman" w:eastAsia="Times New Roman" w:hAnsi="Times New Roman" w:cs="Times New Roman"/>
          <w:sz w:val="24"/>
          <w:lang w:val="sq-AL"/>
        </w:rPr>
        <w:t>ujrave</w:t>
      </w:r>
      <w:r w:rsidRPr="004B6ACF">
        <w:rPr>
          <w:rFonts w:ascii="Times New Roman" w:eastAsia="Times New Roman" w:hAnsi="Times New Roman" w:cs="Times New Roman"/>
          <w:spacing w:val="-1"/>
          <w:sz w:val="24"/>
          <w:lang w:val="sq-AL"/>
        </w:rPr>
        <w:t xml:space="preserve"> </w:t>
      </w:r>
      <w:r w:rsidRPr="004B6ACF">
        <w:rPr>
          <w:rFonts w:ascii="Times New Roman" w:eastAsia="Times New Roman" w:hAnsi="Times New Roman" w:cs="Times New Roman"/>
          <w:sz w:val="24"/>
          <w:lang w:val="sq-AL"/>
        </w:rPr>
        <w:t>të</w:t>
      </w:r>
      <w:r w:rsidRPr="004B6ACF">
        <w:rPr>
          <w:rFonts w:ascii="Times New Roman" w:eastAsia="Times New Roman" w:hAnsi="Times New Roman" w:cs="Times New Roman"/>
          <w:spacing w:val="-2"/>
          <w:sz w:val="24"/>
          <w:lang w:val="sq-AL"/>
        </w:rPr>
        <w:t xml:space="preserve"> </w:t>
      </w:r>
      <w:r w:rsidR="0029302C">
        <w:rPr>
          <w:rFonts w:ascii="Times New Roman" w:eastAsia="Times New Roman" w:hAnsi="Times New Roman" w:cs="Times New Roman"/>
          <w:sz w:val="24"/>
          <w:lang w:val="sq-AL"/>
        </w:rPr>
        <w:t xml:space="preserve">ndotura urbane </w:t>
      </w:r>
      <w:r w:rsidRPr="004B6ACF">
        <w:rPr>
          <w:rFonts w:ascii="Times New Roman" w:eastAsia="Times New Roman" w:hAnsi="Times New Roman" w:cs="Times New Roman"/>
          <w:spacing w:val="-3"/>
          <w:sz w:val="24"/>
          <w:lang w:val="sq-AL"/>
        </w:rPr>
        <w:t xml:space="preserve"> </w:t>
      </w:r>
      <w:r w:rsidRPr="004B6ACF">
        <w:rPr>
          <w:rFonts w:ascii="Times New Roman" w:eastAsia="Times New Roman" w:hAnsi="Times New Roman" w:cs="Times New Roman"/>
          <w:sz w:val="24"/>
          <w:lang w:val="sq-AL"/>
        </w:rPr>
        <w:t>në</w:t>
      </w:r>
      <w:r w:rsidRPr="004B6ACF">
        <w:rPr>
          <w:rFonts w:ascii="Times New Roman" w:eastAsia="Times New Roman" w:hAnsi="Times New Roman" w:cs="Times New Roman"/>
          <w:spacing w:val="-3"/>
          <w:sz w:val="24"/>
          <w:lang w:val="sq-AL"/>
        </w:rPr>
        <w:t xml:space="preserve"> </w:t>
      </w:r>
      <w:r w:rsidRPr="004B6ACF">
        <w:rPr>
          <w:rFonts w:ascii="Times New Roman" w:eastAsia="Times New Roman" w:hAnsi="Times New Roman" w:cs="Times New Roman"/>
          <w:sz w:val="24"/>
          <w:lang w:val="sq-AL"/>
        </w:rPr>
        <w:lastRenderedPageBreak/>
        <w:t>shtrat si</w:t>
      </w:r>
      <w:r w:rsidRPr="004B6ACF">
        <w:rPr>
          <w:rFonts w:ascii="Times New Roman" w:eastAsia="Times New Roman" w:hAnsi="Times New Roman" w:cs="Times New Roman"/>
          <w:spacing w:val="-2"/>
          <w:sz w:val="24"/>
          <w:lang w:val="sq-AL"/>
        </w:rPr>
        <w:t xml:space="preserve"> </w:t>
      </w:r>
      <w:r w:rsidRPr="004B6ACF">
        <w:rPr>
          <w:rFonts w:ascii="Times New Roman" w:eastAsia="Times New Roman" w:hAnsi="Times New Roman" w:cs="Times New Roman"/>
          <w:sz w:val="24"/>
          <w:lang w:val="sq-AL"/>
        </w:rPr>
        <w:t>dhe</w:t>
      </w:r>
      <w:r w:rsidRPr="004B6ACF">
        <w:rPr>
          <w:rFonts w:ascii="Times New Roman" w:eastAsia="Times New Roman" w:hAnsi="Times New Roman" w:cs="Times New Roman"/>
          <w:spacing w:val="-1"/>
          <w:sz w:val="24"/>
          <w:lang w:val="sq-AL"/>
        </w:rPr>
        <w:t xml:space="preserve"> </w:t>
      </w:r>
      <w:r w:rsidRPr="004B6ACF">
        <w:rPr>
          <w:rFonts w:ascii="Times New Roman" w:eastAsia="Times New Roman" w:hAnsi="Times New Roman" w:cs="Times New Roman"/>
          <w:sz w:val="24"/>
          <w:lang w:val="sq-AL"/>
        </w:rPr>
        <w:t>të shihet mundësia për pastrimin dhe sistemimin e tyre. Sasitë e inerteve të imta urbane që merren dhe transportohen lehtësisht nga rrjedhat lumore, përbëjnë një potencial të shtuar për mbathjen e shtratit pranë grykëderdhjeve dhe uljen e kapacitetit përcjellës të kanalit ujor.</w:t>
      </w:r>
    </w:p>
    <w:p w:rsidR="004B6ACF" w:rsidRDefault="004B6ACF" w:rsidP="004B6ACF">
      <w:pPr>
        <w:widowControl w:val="0"/>
        <w:tabs>
          <w:tab w:val="left" w:pos="1267"/>
        </w:tabs>
        <w:autoSpaceDE w:val="0"/>
        <w:autoSpaceDN w:val="0"/>
        <w:spacing w:before="1" w:after="0" w:line="240" w:lineRule="auto"/>
        <w:jc w:val="both"/>
        <w:rPr>
          <w:rFonts w:ascii="Times New Roman" w:eastAsia="Times New Roman" w:hAnsi="Times New Roman" w:cs="Times New Roman"/>
          <w:sz w:val="24"/>
          <w:lang w:val="sq-AL"/>
        </w:rPr>
      </w:pPr>
    </w:p>
    <w:p w:rsidR="004B6ACF" w:rsidRPr="004B6ACF" w:rsidRDefault="004B6ACF" w:rsidP="004B6ACF">
      <w:pPr>
        <w:widowControl w:val="0"/>
        <w:tabs>
          <w:tab w:val="left" w:pos="1267"/>
        </w:tabs>
        <w:autoSpaceDE w:val="0"/>
        <w:autoSpaceDN w:val="0"/>
        <w:spacing w:before="1" w:after="0" w:line="240" w:lineRule="auto"/>
        <w:jc w:val="both"/>
        <w:rPr>
          <w:rFonts w:ascii="Times New Roman" w:eastAsia="Times New Roman" w:hAnsi="Times New Roman" w:cs="Times New Roman"/>
          <w:sz w:val="24"/>
          <w:lang w:val="sq-AL"/>
        </w:rPr>
      </w:pPr>
      <w:r w:rsidRPr="004B6ACF">
        <w:rPr>
          <w:rFonts w:ascii="Times New Roman" w:eastAsia="Times New Roman" w:hAnsi="Times New Roman" w:cs="Times New Roman"/>
          <w:sz w:val="24"/>
          <w:lang w:val="sq-AL"/>
        </w:rPr>
        <w:t>Të</w:t>
      </w:r>
      <w:r w:rsidRPr="004B6ACF">
        <w:rPr>
          <w:rFonts w:ascii="Times New Roman" w:eastAsia="Times New Roman" w:hAnsi="Times New Roman" w:cs="Times New Roman"/>
          <w:spacing w:val="-1"/>
          <w:sz w:val="24"/>
          <w:lang w:val="sq-AL"/>
        </w:rPr>
        <w:t xml:space="preserve"> </w:t>
      </w:r>
      <w:r w:rsidRPr="004B6ACF">
        <w:rPr>
          <w:rFonts w:ascii="Times New Roman" w:eastAsia="Times New Roman" w:hAnsi="Times New Roman" w:cs="Times New Roman"/>
          <w:sz w:val="24"/>
          <w:lang w:val="sq-AL"/>
        </w:rPr>
        <w:t>monitorohen shkarkimet nga HEC-i i Qafë Mollës për</w:t>
      </w:r>
      <w:r w:rsidRPr="004B6ACF">
        <w:rPr>
          <w:rFonts w:ascii="Times New Roman" w:eastAsia="Times New Roman" w:hAnsi="Times New Roman" w:cs="Times New Roman"/>
          <w:spacing w:val="-1"/>
          <w:sz w:val="24"/>
          <w:lang w:val="sq-AL"/>
        </w:rPr>
        <w:t xml:space="preserve"> </w:t>
      </w:r>
      <w:r w:rsidRPr="004B6ACF">
        <w:rPr>
          <w:rFonts w:ascii="Times New Roman" w:eastAsia="Times New Roman" w:hAnsi="Times New Roman" w:cs="Times New Roman"/>
          <w:sz w:val="24"/>
          <w:lang w:val="sq-AL"/>
        </w:rPr>
        <w:t>sigurimin e</w:t>
      </w:r>
      <w:r w:rsidRPr="004B6ACF">
        <w:rPr>
          <w:rFonts w:ascii="Times New Roman" w:eastAsia="Times New Roman" w:hAnsi="Times New Roman" w:cs="Times New Roman"/>
          <w:spacing w:val="-1"/>
          <w:sz w:val="24"/>
          <w:lang w:val="sq-AL"/>
        </w:rPr>
        <w:t xml:space="preserve"> </w:t>
      </w:r>
      <w:r w:rsidRPr="004B6ACF">
        <w:rPr>
          <w:rFonts w:ascii="Times New Roman" w:eastAsia="Times New Roman" w:hAnsi="Times New Roman" w:cs="Times New Roman"/>
          <w:sz w:val="24"/>
          <w:lang w:val="sq-AL"/>
        </w:rPr>
        <w:t>sasisë</w:t>
      </w:r>
      <w:r w:rsidRPr="004B6ACF">
        <w:rPr>
          <w:rFonts w:ascii="Times New Roman" w:eastAsia="Times New Roman" w:hAnsi="Times New Roman" w:cs="Times New Roman"/>
          <w:spacing w:val="-1"/>
          <w:sz w:val="24"/>
          <w:lang w:val="sq-AL"/>
        </w:rPr>
        <w:t xml:space="preserve"> </w:t>
      </w:r>
      <w:r w:rsidRPr="004B6ACF">
        <w:rPr>
          <w:rFonts w:ascii="Times New Roman" w:eastAsia="Times New Roman" w:hAnsi="Times New Roman" w:cs="Times New Roman"/>
          <w:sz w:val="24"/>
          <w:lang w:val="sq-AL"/>
        </w:rPr>
        <w:t>së</w:t>
      </w:r>
      <w:r w:rsidRPr="004B6ACF">
        <w:rPr>
          <w:rFonts w:ascii="Times New Roman" w:eastAsia="Times New Roman" w:hAnsi="Times New Roman" w:cs="Times New Roman"/>
          <w:spacing w:val="-1"/>
          <w:sz w:val="24"/>
          <w:lang w:val="sq-AL"/>
        </w:rPr>
        <w:t xml:space="preserve"> </w:t>
      </w:r>
      <w:r w:rsidRPr="004B6ACF">
        <w:rPr>
          <w:rFonts w:ascii="Times New Roman" w:eastAsia="Times New Roman" w:hAnsi="Times New Roman" w:cs="Times New Roman"/>
          <w:sz w:val="24"/>
          <w:lang w:val="sq-AL"/>
        </w:rPr>
        <w:t>rrjedhës ekologjike në shtratin e lumit të Fanit.</w:t>
      </w:r>
    </w:p>
    <w:p w:rsidR="00A94861" w:rsidRDefault="00A94861" w:rsidP="001E7407">
      <w:pPr>
        <w:spacing w:after="200" w:line="276" w:lineRule="auto"/>
        <w:rPr>
          <w:rFonts w:ascii="Times New Roman" w:eastAsia="Calibri" w:hAnsi="Times New Roman" w:cs="Times New Roman"/>
          <w:b/>
          <w:sz w:val="24"/>
          <w:szCs w:val="24"/>
          <w:lang w:val="sq-AL"/>
        </w:rPr>
      </w:pPr>
    </w:p>
    <w:p w:rsidR="004B6ACF" w:rsidRDefault="004B6ACF" w:rsidP="001E7407">
      <w:pPr>
        <w:spacing w:after="200" w:line="276" w:lineRule="auto"/>
        <w:rPr>
          <w:rFonts w:ascii="Times New Roman" w:eastAsia="Calibri" w:hAnsi="Times New Roman" w:cs="Times New Roman"/>
          <w:b/>
          <w:sz w:val="24"/>
          <w:szCs w:val="24"/>
          <w:lang w:val="sq-AL"/>
        </w:rPr>
      </w:pPr>
      <w:r>
        <w:rPr>
          <w:rFonts w:ascii="Times New Roman" w:eastAsia="Calibri" w:hAnsi="Times New Roman" w:cs="Times New Roman"/>
          <w:b/>
          <w:sz w:val="24"/>
          <w:szCs w:val="24"/>
          <w:lang w:val="sq-AL"/>
        </w:rPr>
        <w:t>Lumi Ishëm</w:t>
      </w:r>
    </w:p>
    <w:p w:rsidR="00E1087F" w:rsidRDefault="004B6ACF" w:rsidP="004B6ACF">
      <w:pPr>
        <w:widowControl w:val="0"/>
        <w:tabs>
          <w:tab w:val="left" w:pos="9360"/>
        </w:tabs>
        <w:autoSpaceDE w:val="0"/>
        <w:autoSpaceDN w:val="0"/>
        <w:spacing w:before="271" w:after="0" w:line="240" w:lineRule="auto"/>
        <w:jc w:val="both"/>
        <w:rPr>
          <w:rFonts w:ascii="Times New Roman" w:eastAsia="Times New Roman" w:hAnsi="Times New Roman" w:cs="Times New Roman"/>
          <w:sz w:val="24"/>
          <w:szCs w:val="24"/>
          <w:lang w:val="sq-AL"/>
        </w:rPr>
      </w:pPr>
      <w:r w:rsidRPr="004B6ACF">
        <w:rPr>
          <w:rFonts w:ascii="Times New Roman" w:eastAsia="Times New Roman" w:hAnsi="Times New Roman" w:cs="Times New Roman"/>
          <w:sz w:val="24"/>
          <w:szCs w:val="24"/>
          <w:lang w:val="sq-AL"/>
        </w:rPr>
        <w:t>Në Kurcaj dhe Verjan kemi patur ulje të shtratit ndërsa në</w:t>
      </w:r>
      <w:r w:rsidRPr="004B6ACF">
        <w:rPr>
          <w:rFonts w:ascii="Times New Roman" w:eastAsia="Times New Roman" w:hAnsi="Times New Roman" w:cs="Times New Roman"/>
          <w:spacing w:val="40"/>
          <w:sz w:val="24"/>
          <w:szCs w:val="24"/>
          <w:lang w:val="sq-AL"/>
        </w:rPr>
        <w:t xml:space="preserve"> </w:t>
      </w:r>
      <w:r w:rsidRPr="004B6ACF">
        <w:rPr>
          <w:rFonts w:ascii="Times New Roman" w:eastAsia="Times New Roman" w:hAnsi="Times New Roman" w:cs="Times New Roman"/>
          <w:sz w:val="24"/>
          <w:szCs w:val="24"/>
          <w:lang w:val="sq-AL"/>
        </w:rPr>
        <w:t xml:space="preserve">Zall Herr, Çerkezë-Morinë dhe Zezë vërehet akumulim i sedimenteve. Në profilin e Çerkezë-Zgafnores vërehet gjëndje ekuilibri për këtë periudhë. Proçesi i marrjes së inerteve në këta shtretër nuk është ndërprerë ende. </w:t>
      </w:r>
    </w:p>
    <w:p w:rsidR="00E1087F" w:rsidRDefault="00E1087F" w:rsidP="004B6ACF">
      <w:pPr>
        <w:widowControl w:val="0"/>
        <w:tabs>
          <w:tab w:val="left" w:pos="9360"/>
        </w:tabs>
        <w:autoSpaceDE w:val="0"/>
        <w:autoSpaceDN w:val="0"/>
        <w:spacing w:before="271" w:after="0" w:line="240" w:lineRule="auto"/>
        <w:jc w:val="both"/>
        <w:rPr>
          <w:rFonts w:ascii="Times New Roman" w:eastAsia="Times New Roman" w:hAnsi="Times New Roman" w:cs="Times New Roman"/>
          <w:sz w:val="24"/>
          <w:szCs w:val="24"/>
          <w:lang w:val="sq-AL"/>
        </w:rPr>
      </w:pPr>
      <w:r w:rsidRPr="00E1087F">
        <w:rPr>
          <w:rFonts w:ascii="Times New Roman" w:eastAsia="Times New Roman" w:hAnsi="Times New Roman" w:cs="Times New Roman"/>
          <w:noProof/>
        </w:rPr>
        <mc:AlternateContent>
          <mc:Choice Requires="wpg">
            <w:drawing>
              <wp:anchor distT="0" distB="0" distL="0" distR="0" simplePos="0" relativeHeight="251690496" behindDoc="0" locked="0" layoutInCell="1" allowOverlap="1" wp14:anchorId="07C05CF0" wp14:editId="79BA0979">
                <wp:simplePos x="0" y="0"/>
                <wp:positionH relativeFrom="page">
                  <wp:posOffset>838200</wp:posOffset>
                </wp:positionH>
                <wp:positionV relativeFrom="paragraph">
                  <wp:posOffset>128905</wp:posOffset>
                </wp:positionV>
                <wp:extent cx="2724150" cy="2781300"/>
                <wp:effectExtent l="0" t="0" r="19050" b="19050"/>
                <wp:wrapNone/>
                <wp:docPr id="295" name="Group 295" descr="C:\LUMENJTE\MONITORIMI I RRJETIT LUMOR TE SHQIPERISE\Lumenjte, ACad+pdf+jpeg\3. Pellgu ujembledhes i Ishmit\Pellgu ujembledhes i Ishmit,pdf.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4150" cy="2781300"/>
                          <a:chOff x="0" y="0"/>
                          <a:chExt cx="3371215" cy="2590800"/>
                        </a:xfrm>
                      </wpg:grpSpPr>
                      <pic:pic xmlns:pic="http://schemas.openxmlformats.org/drawingml/2006/picture">
                        <pic:nvPicPr>
                          <pic:cNvPr id="296" name="Image 56" descr="C:\LUMENJTE\MONITORIMI I RRJETIT LUMOR TE SHQIPERISE\Lumenjte, ACad+pdf+jpeg\3. Pellgu ujembledhes i Ishmit\Pellgu ujembledhes i Ishmit,pdf.jpg"/>
                          <pic:cNvPicPr/>
                        </pic:nvPicPr>
                        <pic:blipFill>
                          <a:blip r:embed="rId161" cstate="print"/>
                          <a:stretch>
                            <a:fillRect/>
                          </a:stretch>
                        </pic:blipFill>
                        <pic:spPr>
                          <a:xfrm>
                            <a:off x="9144" y="9144"/>
                            <a:ext cx="3352800" cy="2572511"/>
                          </a:xfrm>
                          <a:prstGeom prst="rect">
                            <a:avLst/>
                          </a:prstGeom>
                        </pic:spPr>
                      </pic:pic>
                      <wps:wsp>
                        <wps:cNvPr id="297" name="Graphic 57"/>
                        <wps:cNvSpPr/>
                        <wps:spPr>
                          <a:xfrm>
                            <a:off x="4572" y="4572"/>
                            <a:ext cx="3362325" cy="2581910"/>
                          </a:xfrm>
                          <a:custGeom>
                            <a:avLst/>
                            <a:gdLst/>
                            <a:ahLst/>
                            <a:cxnLst/>
                            <a:rect l="l" t="t" r="r" b="b"/>
                            <a:pathLst>
                              <a:path w="3362325" h="2581910">
                                <a:moveTo>
                                  <a:pt x="0" y="2581655"/>
                                </a:moveTo>
                                <a:lnTo>
                                  <a:pt x="3361944" y="2581655"/>
                                </a:lnTo>
                                <a:lnTo>
                                  <a:pt x="3361944" y="0"/>
                                </a:lnTo>
                                <a:lnTo>
                                  <a:pt x="0" y="0"/>
                                </a:lnTo>
                                <a:lnTo>
                                  <a:pt x="0" y="2581655"/>
                                </a:lnTo>
                                <a:close/>
                              </a:path>
                            </a:pathLst>
                          </a:custGeom>
                          <a:ln w="9144">
                            <a:solidFill>
                              <a:srgbClr val="001F5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0F53B6" id="Group 295" o:spid="_x0000_s1026" style="position:absolute;margin-left:66pt;margin-top:10.15pt;width:214.5pt;height:219pt;z-index:251690496;mso-wrap-distance-left:0;mso-wrap-distance-right:0;mso-position-horizontal-relative:page;mso-width-relative:margin;mso-height-relative:margin" coordsize="33712,259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">
                <v:shape id="Image 56" o:spid="_x0000_s1027" type="#_x0000_t75" style="position:absolute;left:91;top:91;width:33528;height:25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">
                  <v:imagedata r:id="rId162" o:title="Pellgu ujembledhes i Ishmit,pdf"/>
                </v:shape>
                <v:shape id="Graphic 57" o:spid="_x0000_s1028" style="position:absolute;left:45;top:45;width:33623;height:25819;visibility:visible;mso-wrap-style:square;v-text-anchor:top" coordsize="3362325,258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" path="m,2581655r3361944,l3361944,,,,,2581655xe" filled="f" strokecolor="#001f5f" strokeweight=".72pt">
                  <v:path arrowok="t"/>
                </v:shape>
                <w10:wrap anchorx="page"/>
              </v:group>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92544" behindDoc="0" locked="0" layoutInCell="1" allowOverlap="1" wp14:anchorId="710A6030" wp14:editId="36190D98">
                <wp:simplePos x="0" y="0"/>
                <wp:positionH relativeFrom="column">
                  <wp:posOffset>2838450</wp:posOffset>
                </wp:positionH>
                <wp:positionV relativeFrom="paragraph">
                  <wp:posOffset>186055</wp:posOffset>
                </wp:positionV>
                <wp:extent cx="3200400" cy="2724150"/>
                <wp:effectExtent l="0" t="0" r="19050" b="19050"/>
                <wp:wrapNone/>
                <wp:docPr id="298" name="Rectangle 298"/>
                <wp:cNvGraphicFramePr/>
                <a:graphic xmlns:a="http://schemas.openxmlformats.org/drawingml/2006/main">
                  <a:graphicData uri="http://schemas.microsoft.com/office/word/2010/wordprocessingShape">
                    <wps:wsp>
                      <wps:cNvSpPr/>
                      <wps:spPr>
                        <a:xfrm>
                          <a:off x="0" y="0"/>
                          <a:ext cx="3200400" cy="27241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4059F" w:rsidRDefault="0064059F" w:rsidP="00E1087F">
                            <w:pPr>
                              <w:jc w:val="both"/>
                            </w:pPr>
                            <w:r w:rsidRPr="004B6ACF">
                              <w:rPr>
                                <w:rFonts w:ascii="Times New Roman" w:eastAsia="Times New Roman" w:hAnsi="Times New Roman" w:cs="Times New Roman"/>
                                <w:sz w:val="24"/>
                                <w:szCs w:val="24"/>
                                <w:lang w:val="sq-AL"/>
                              </w:rPr>
                              <w:t>Gjatë vrojtimeve janë vërejtur veprimtari shfrytëzimi dhe përpunimi të materialeve inerte në të dyja degët e lumit sidomos në mënyrë të paperceptueshme në zonën e Kurcajt mbi lumin Zezë gjë që ka kushtëzuar edhe zhvillimin e proçeseve të erozionit dhe akumulimit në pjesë të ndryshme të shtratit</w:t>
                            </w:r>
                            <w:r>
                              <w:rPr>
                                <w:rFonts w:ascii="Times New Roman" w:eastAsia="Times New Roman" w:hAnsi="Times New Roman" w:cs="Times New Roman"/>
                                <w:sz w:val="24"/>
                                <w:szCs w:val="24"/>
                                <w:lang w:val="sq-AL"/>
                              </w:rPr>
                              <w:t>.</w:t>
                            </w:r>
                            <w:r w:rsidRPr="00E1087F">
                              <w:rPr>
                                <w:rFonts w:ascii="Times New Roman" w:eastAsia="Times New Roman" w:hAnsi="Times New Roman" w:cs="Times New Roman"/>
                                <w:sz w:val="24"/>
                                <w:szCs w:val="24"/>
                                <w:lang w:val="sq-AL"/>
                              </w:rPr>
                              <w:t xml:space="preserve"> </w:t>
                            </w:r>
                            <w:r w:rsidRPr="004B6ACF">
                              <w:rPr>
                                <w:rFonts w:ascii="Times New Roman" w:eastAsia="Times New Roman" w:hAnsi="Times New Roman" w:cs="Times New Roman"/>
                                <w:sz w:val="24"/>
                                <w:szCs w:val="24"/>
                                <w:lang w:val="sq-AL"/>
                              </w:rPr>
                              <w:t xml:space="preserve">Krahas ndikimit direkt të heqjes së inerteve, është veprimtaria natyrore e rrjedhës ujore ajo që, duke synuar rishpërndarjen e materialit të mbetur në shtratin e lumit, ka intensifikuar diku erozionin dhe diku tjetër e ka zbutur atë. Diga e </w:t>
                            </w:r>
                            <w:r w:rsidRPr="00AF0379">
                              <w:rPr>
                                <w:rFonts w:ascii="Times New Roman" w:eastAsia="Times New Roman" w:hAnsi="Times New Roman" w:cs="Times New Roman"/>
                                <w:sz w:val="24"/>
                                <w:szCs w:val="24"/>
                                <w:lang w:val="sq-AL"/>
                              </w:rPr>
                              <w:t>Bovillës ka hequr mundësinë</w:t>
                            </w:r>
                            <w:r w:rsidRPr="00AF0379">
                              <w:rPr>
                                <w:rFonts w:ascii="Times New Roman" w:eastAsia="Times New Roman" w:hAnsi="Times New Roman" w:cs="Times New Roman"/>
                                <w:spacing w:val="80"/>
                                <w:w w:val="150"/>
                                <w:sz w:val="24"/>
                                <w:szCs w:val="24"/>
                                <w:lang w:val="sq-AL"/>
                              </w:rPr>
                              <w:t xml:space="preserve"> </w:t>
                            </w:r>
                            <w:r w:rsidRPr="00AF0379">
                              <w:rPr>
                                <w:rFonts w:ascii="Times New Roman" w:eastAsia="Times New Roman" w:hAnsi="Times New Roman" w:cs="Times New Roman"/>
                                <w:sz w:val="24"/>
                                <w:szCs w:val="24"/>
                                <w:lang w:val="sq-AL"/>
                              </w:rPr>
                              <w:t>e</w:t>
                            </w:r>
                            <w:r w:rsidRPr="00AF0379">
                              <w:rPr>
                                <w:rFonts w:ascii="Times New Roman" w:eastAsia="Times New Roman" w:hAnsi="Times New Roman" w:cs="Times New Roman"/>
                                <w:spacing w:val="80"/>
                                <w:w w:val="150"/>
                                <w:sz w:val="24"/>
                                <w:szCs w:val="24"/>
                                <w:lang w:val="sq-AL"/>
                              </w:rPr>
                              <w:t xml:space="preserve"> </w:t>
                            </w:r>
                            <w:r w:rsidRPr="00AF0379">
                              <w:rPr>
                                <w:rFonts w:ascii="Times New Roman" w:eastAsia="Times New Roman" w:hAnsi="Times New Roman" w:cs="Times New Roman"/>
                                <w:sz w:val="24"/>
                                <w:szCs w:val="24"/>
                                <w:lang w:val="sq-AL"/>
                              </w:rPr>
                              <w:t>rehabilitimit</w:t>
                            </w:r>
                            <w:r w:rsidRPr="00AF0379">
                              <w:rPr>
                                <w:rFonts w:ascii="Times New Roman" w:eastAsia="Times New Roman" w:hAnsi="Times New Roman" w:cs="Times New Roman"/>
                                <w:spacing w:val="72"/>
                                <w:sz w:val="24"/>
                                <w:szCs w:val="24"/>
                                <w:lang w:val="sq-AL"/>
                              </w:rPr>
                              <w:t xml:space="preserve"> </w:t>
                            </w:r>
                            <w:r w:rsidRPr="00AF0379">
                              <w:rPr>
                                <w:rFonts w:ascii="Times New Roman" w:eastAsia="Times New Roman" w:hAnsi="Times New Roman" w:cs="Times New Roman"/>
                                <w:sz w:val="24"/>
                                <w:szCs w:val="24"/>
                                <w:lang w:val="sq-AL"/>
                              </w:rPr>
                              <w:t>të</w:t>
                            </w:r>
                            <w:r w:rsidRPr="00AF0379">
                              <w:rPr>
                                <w:rFonts w:ascii="Times New Roman" w:eastAsia="Times New Roman" w:hAnsi="Times New Roman" w:cs="Times New Roman"/>
                                <w:spacing w:val="80"/>
                                <w:w w:val="150"/>
                                <w:sz w:val="24"/>
                                <w:szCs w:val="24"/>
                                <w:lang w:val="sq-AL"/>
                              </w:rPr>
                              <w:t xml:space="preserve"> </w:t>
                            </w:r>
                            <w:r w:rsidRPr="00AF0379">
                              <w:rPr>
                                <w:rFonts w:ascii="Times New Roman" w:eastAsia="Times New Roman" w:hAnsi="Times New Roman" w:cs="Times New Roman"/>
                                <w:sz w:val="24"/>
                                <w:szCs w:val="24"/>
                                <w:lang w:val="sq-AL"/>
                              </w:rPr>
                              <w:t>shtratit</w:t>
                            </w:r>
                            <w:r w:rsidRPr="00AF0379">
                              <w:rPr>
                                <w:rFonts w:ascii="Times New Roman" w:eastAsia="Times New Roman" w:hAnsi="Times New Roman" w:cs="Times New Roman"/>
                                <w:spacing w:val="73"/>
                                <w:sz w:val="24"/>
                                <w:szCs w:val="24"/>
                                <w:lang w:val="sq-AL"/>
                              </w:rPr>
                              <w:t xml:space="preserve"> </w:t>
                            </w:r>
                            <w:r w:rsidRPr="00AF0379">
                              <w:rPr>
                                <w:rFonts w:ascii="Times New Roman" w:eastAsia="Times New Roman" w:hAnsi="Times New Roman" w:cs="Times New Roman"/>
                                <w:sz w:val="24"/>
                                <w:szCs w:val="24"/>
                                <w:lang w:val="sq-AL"/>
                              </w:rPr>
                              <w:t>të Tërkuzës për shkak të ndërprerjes së prurjeve të inerteve.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A6030" id="Rectangle 298" o:spid="_x0000_s1079" style="position:absolute;left:0;text-align:left;margin-left:223.5pt;margin-top:14.65pt;width:252pt;height:214.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" fillcolor="white [3201]" strokecolor="#70ad47 [3209]" strokeweight="1pt">
                <v:textbox>
                  <w:txbxContent>
                    <w:p w:rsidR="0064059F" w:rsidRDefault="0064059F" w:rsidP="00E1087F">
                      <w:pPr>
                        <w:jc w:val="both"/>
                      </w:pPr>
                      <w:r w:rsidRPr="004B6ACF">
                        <w:rPr>
                          <w:rFonts w:ascii="Times New Roman" w:eastAsia="Times New Roman" w:hAnsi="Times New Roman" w:cs="Times New Roman"/>
                          <w:sz w:val="24"/>
                          <w:szCs w:val="24"/>
                          <w:lang w:val="sq-AL"/>
                        </w:rPr>
                        <w:t>Gjatë vrojtimeve janë vërejtur veprimtari shfrytëzimi dhe përpunimi të materialeve inerte në të dyja degët e lumit sidomos në mënyrë të paperceptueshme në zonën e Kurcajt mbi lumin Zezë gjë që ka kushtëzuar edhe zhvillimin e proçeseve të erozionit dhe akumulimit në pjesë të ndryshme të shtratit</w:t>
                      </w:r>
                      <w:r>
                        <w:rPr>
                          <w:rFonts w:ascii="Times New Roman" w:eastAsia="Times New Roman" w:hAnsi="Times New Roman" w:cs="Times New Roman"/>
                          <w:sz w:val="24"/>
                          <w:szCs w:val="24"/>
                          <w:lang w:val="sq-AL"/>
                        </w:rPr>
                        <w:t>.</w:t>
                      </w:r>
                      <w:r w:rsidRPr="00E1087F">
                        <w:rPr>
                          <w:rFonts w:ascii="Times New Roman" w:eastAsia="Times New Roman" w:hAnsi="Times New Roman" w:cs="Times New Roman"/>
                          <w:sz w:val="24"/>
                          <w:szCs w:val="24"/>
                          <w:lang w:val="sq-AL"/>
                        </w:rPr>
                        <w:t xml:space="preserve"> </w:t>
                      </w:r>
                      <w:r w:rsidRPr="004B6ACF">
                        <w:rPr>
                          <w:rFonts w:ascii="Times New Roman" w:eastAsia="Times New Roman" w:hAnsi="Times New Roman" w:cs="Times New Roman"/>
                          <w:sz w:val="24"/>
                          <w:szCs w:val="24"/>
                          <w:lang w:val="sq-AL"/>
                        </w:rPr>
                        <w:t xml:space="preserve">Krahas ndikimit direkt të heqjes së inerteve, është veprimtaria natyrore e rrjedhës ujore ajo që, duke synuar rishpërndarjen e materialit të mbetur në shtratin e lumit, ka intensifikuar diku erozionin dhe diku tjetër e ka zbutur atë. Diga e </w:t>
                      </w:r>
                      <w:r w:rsidRPr="00AF0379">
                        <w:rPr>
                          <w:rFonts w:ascii="Times New Roman" w:eastAsia="Times New Roman" w:hAnsi="Times New Roman" w:cs="Times New Roman"/>
                          <w:sz w:val="24"/>
                          <w:szCs w:val="24"/>
                          <w:lang w:val="sq-AL"/>
                        </w:rPr>
                        <w:t>Bovillës ka hequr mundësinë</w:t>
                      </w:r>
                      <w:r w:rsidRPr="00AF0379">
                        <w:rPr>
                          <w:rFonts w:ascii="Times New Roman" w:eastAsia="Times New Roman" w:hAnsi="Times New Roman" w:cs="Times New Roman"/>
                          <w:spacing w:val="80"/>
                          <w:w w:val="150"/>
                          <w:sz w:val="24"/>
                          <w:szCs w:val="24"/>
                          <w:lang w:val="sq-AL"/>
                        </w:rPr>
                        <w:t xml:space="preserve"> </w:t>
                      </w:r>
                      <w:r w:rsidRPr="00AF0379">
                        <w:rPr>
                          <w:rFonts w:ascii="Times New Roman" w:eastAsia="Times New Roman" w:hAnsi="Times New Roman" w:cs="Times New Roman"/>
                          <w:sz w:val="24"/>
                          <w:szCs w:val="24"/>
                          <w:lang w:val="sq-AL"/>
                        </w:rPr>
                        <w:t>e</w:t>
                      </w:r>
                      <w:r w:rsidRPr="00AF0379">
                        <w:rPr>
                          <w:rFonts w:ascii="Times New Roman" w:eastAsia="Times New Roman" w:hAnsi="Times New Roman" w:cs="Times New Roman"/>
                          <w:spacing w:val="80"/>
                          <w:w w:val="150"/>
                          <w:sz w:val="24"/>
                          <w:szCs w:val="24"/>
                          <w:lang w:val="sq-AL"/>
                        </w:rPr>
                        <w:t xml:space="preserve"> </w:t>
                      </w:r>
                      <w:r w:rsidRPr="00AF0379">
                        <w:rPr>
                          <w:rFonts w:ascii="Times New Roman" w:eastAsia="Times New Roman" w:hAnsi="Times New Roman" w:cs="Times New Roman"/>
                          <w:sz w:val="24"/>
                          <w:szCs w:val="24"/>
                          <w:lang w:val="sq-AL"/>
                        </w:rPr>
                        <w:t>rehabilitimit</w:t>
                      </w:r>
                      <w:r w:rsidRPr="00AF0379">
                        <w:rPr>
                          <w:rFonts w:ascii="Times New Roman" w:eastAsia="Times New Roman" w:hAnsi="Times New Roman" w:cs="Times New Roman"/>
                          <w:spacing w:val="72"/>
                          <w:sz w:val="24"/>
                          <w:szCs w:val="24"/>
                          <w:lang w:val="sq-AL"/>
                        </w:rPr>
                        <w:t xml:space="preserve"> </w:t>
                      </w:r>
                      <w:r w:rsidRPr="00AF0379">
                        <w:rPr>
                          <w:rFonts w:ascii="Times New Roman" w:eastAsia="Times New Roman" w:hAnsi="Times New Roman" w:cs="Times New Roman"/>
                          <w:sz w:val="24"/>
                          <w:szCs w:val="24"/>
                          <w:lang w:val="sq-AL"/>
                        </w:rPr>
                        <w:t>të</w:t>
                      </w:r>
                      <w:r w:rsidRPr="00AF0379">
                        <w:rPr>
                          <w:rFonts w:ascii="Times New Roman" w:eastAsia="Times New Roman" w:hAnsi="Times New Roman" w:cs="Times New Roman"/>
                          <w:spacing w:val="80"/>
                          <w:w w:val="150"/>
                          <w:sz w:val="24"/>
                          <w:szCs w:val="24"/>
                          <w:lang w:val="sq-AL"/>
                        </w:rPr>
                        <w:t xml:space="preserve"> </w:t>
                      </w:r>
                      <w:r w:rsidRPr="00AF0379">
                        <w:rPr>
                          <w:rFonts w:ascii="Times New Roman" w:eastAsia="Times New Roman" w:hAnsi="Times New Roman" w:cs="Times New Roman"/>
                          <w:sz w:val="24"/>
                          <w:szCs w:val="24"/>
                          <w:lang w:val="sq-AL"/>
                        </w:rPr>
                        <w:t>shtratit</w:t>
                      </w:r>
                      <w:r w:rsidRPr="00AF0379">
                        <w:rPr>
                          <w:rFonts w:ascii="Times New Roman" w:eastAsia="Times New Roman" w:hAnsi="Times New Roman" w:cs="Times New Roman"/>
                          <w:spacing w:val="73"/>
                          <w:sz w:val="24"/>
                          <w:szCs w:val="24"/>
                          <w:lang w:val="sq-AL"/>
                        </w:rPr>
                        <w:t xml:space="preserve"> </w:t>
                      </w:r>
                      <w:r w:rsidRPr="00AF0379">
                        <w:rPr>
                          <w:rFonts w:ascii="Times New Roman" w:eastAsia="Times New Roman" w:hAnsi="Times New Roman" w:cs="Times New Roman"/>
                          <w:sz w:val="24"/>
                          <w:szCs w:val="24"/>
                          <w:lang w:val="sq-AL"/>
                        </w:rPr>
                        <w:t>të Tërkuzës për shkak të ndërprerjes së prurjeve të inerteve.</w:t>
                      </w:r>
                    </w:p>
                  </w:txbxContent>
                </v:textbox>
              </v:rect>
            </w:pict>
          </mc:Fallback>
        </mc:AlternateContent>
      </w:r>
    </w:p>
    <w:p w:rsidR="00E1087F" w:rsidRDefault="00E1087F" w:rsidP="004B6ACF">
      <w:pPr>
        <w:widowControl w:val="0"/>
        <w:tabs>
          <w:tab w:val="left" w:pos="9360"/>
        </w:tabs>
        <w:autoSpaceDE w:val="0"/>
        <w:autoSpaceDN w:val="0"/>
        <w:spacing w:before="271" w:after="0" w:line="240" w:lineRule="auto"/>
        <w:jc w:val="both"/>
        <w:rPr>
          <w:rFonts w:ascii="Times New Roman" w:eastAsia="Times New Roman" w:hAnsi="Times New Roman" w:cs="Times New Roman"/>
          <w:sz w:val="24"/>
          <w:szCs w:val="24"/>
          <w:lang w:val="sq-AL"/>
        </w:rPr>
      </w:pPr>
    </w:p>
    <w:p w:rsidR="00E1087F" w:rsidRDefault="00E1087F" w:rsidP="004B6ACF">
      <w:pPr>
        <w:widowControl w:val="0"/>
        <w:tabs>
          <w:tab w:val="left" w:pos="9360"/>
        </w:tabs>
        <w:autoSpaceDE w:val="0"/>
        <w:autoSpaceDN w:val="0"/>
        <w:spacing w:before="271" w:after="0" w:line="240" w:lineRule="auto"/>
        <w:jc w:val="both"/>
        <w:rPr>
          <w:rFonts w:ascii="Times New Roman" w:eastAsia="Times New Roman" w:hAnsi="Times New Roman" w:cs="Times New Roman"/>
          <w:sz w:val="24"/>
          <w:szCs w:val="24"/>
          <w:lang w:val="sq-AL"/>
        </w:rPr>
      </w:pPr>
    </w:p>
    <w:p w:rsidR="00E1087F" w:rsidRDefault="00E1087F" w:rsidP="004B6ACF">
      <w:pPr>
        <w:widowControl w:val="0"/>
        <w:tabs>
          <w:tab w:val="left" w:pos="9360"/>
        </w:tabs>
        <w:autoSpaceDE w:val="0"/>
        <w:autoSpaceDN w:val="0"/>
        <w:spacing w:before="271" w:after="0" w:line="240" w:lineRule="auto"/>
        <w:jc w:val="both"/>
        <w:rPr>
          <w:rFonts w:ascii="Times New Roman" w:eastAsia="Times New Roman" w:hAnsi="Times New Roman" w:cs="Times New Roman"/>
          <w:sz w:val="24"/>
          <w:szCs w:val="24"/>
          <w:lang w:val="sq-AL"/>
        </w:rPr>
      </w:pPr>
    </w:p>
    <w:p w:rsidR="00E1087F" w:rsidRDefault="00E1087F" w:rsidP="004B6ACF">
      <w:pPr>
        <w:widowControl w:val="0"/>
        <w:tabs>
          <w:tab w:val="left" w:pos="9360"/>
        </w:tabs>
        <w:autoSpaceDE w:val="0"/>
        <w:autoSpaceDN w:val="0"/>
        <w:spacing w:before="271" w:after="0" w:line="240" w:lineRule="auto"/>
        <w:jc w:val="both"/>
        <w:rPr>
          <w:rFonts w:ascii="Times New Roman" w:eastAsia="Times New Roman" w:hAnsi="Times New Roman" w:cs="Times New Roman"/>
          <w:sz w:val="24"/>
          <w:szCs w:val="24"/>
          <w:lang w:val="sq-AL"/>
        </w:rPr>
      </w:pPr>
    </w:p>
    <w:p w:rsidR="00E1087F" w:rsidRDefault="00E1087F" w:rsidP="004B6ACF">
      <w:pPr>
        <w:widowControl w:val="0"/>
        <w:tabs>
          <w:tab w:val="left" w:pos="9360"/>
        </w:tabs>
        <w:autoSpaceDE w:val="0"/>
        <w:autoSpaceDN w:val="0"/>
        <w:spacing w:before="271" w:after="0" w:line="240" w:lineRule="auto"/>
        <w:jc w:val="both"/>
        <w:rPr>
          <w:rFonts w:ascii="Times New Roman" w:eastAsia="Times New Roman" w:hAnsi="Times New Roman" w:cs="Times New Roman"/>
          <w:sz w:val="24"/>
          <w:szCs w:val="24"/>
          <w:lang w:val="sq-AL"/>
        </w:rPr>
      </w:pPr>
    </w:p>
    <w:p w:rsidR="00E1087F" w:rsidRDefault="00E1087F" w:rsidP="004B6ACF">
      <w:pPr>
        <w:widowControl w:val="0"/>
        <w:tabs>
          <w:tab w:val="left" w:pos="9360"/>
        </w:tabs>
        <w:autoSpaceDE w:val="0"/>
        <w:autoSpaceDN w:val="0"/>
        <w:spacing w:before="271" w:after="0" w:line="240" w:lineRule="auto"/>
        <w:jc w:val="both"/>
        <w:rPr>
          <w:rFonts w:ascii="Times New Roman" w:eastAsia="Times New Roman" w:hAnsi="Times New Roman" w:cs="Times New Roman"/>
          <w:sz w:val="24"/>
          <w:szCs w:val="24"/>
          <w:lang w:val="sq-AL"/>
        </w:rPr>
      </w:pPr>
    </w:p>
    <w:p w:rsidR="00E1087F" w:rsidRDefault="00E1087F" w:rsidP="004B6ACF">
      <w:pPr>
        <w:widowControl w:val="0"/>
        <w:tabs>
          <w:tab w:val="left" w:pos="9360"/>
        </w:tabs>
        <w:autoSpaceDE w:val="0"/>
        <w:autoSpaceDN w:val="0"/>
        <w:spacing w:before="271" w:after="0" w:line="240" w:lineRule="auto"/>
        <w:jc w:val="both"/>
        <w:rPr>
          <w:rFonts w:ascii="Times New Roman" w:eastAsia="Times New Roman" w:hAnsi="Times New Roman" w:cs="Times New Roman"/>
          <w:sz w:val="24"/>
          <w:szCs w:val="24"/>
          <w:lang w:val="sq-AL"/>
        </w:rPr>
      </w:pPr>
    </w:p>
    <w:p w:rsidR="00E1087F" w:rsidRDefault="00E1087F" w:rsidP="004B6ACF">
      <w:pPr>
        <w:widowControl w:val="0"/>
        <w:tabs>
          <w:tab w:val="left" w:pos="9360"/>
        </w:tabs>
        <w:autoSpaceDE w:val="0"/>
        <w:autoSpaceDN w:val="0"/>
        <w:spacing w:before="271" w:after="0" w:line="240" w:lineRule="auto"/>
        <w:jc w:val="both"/>
        <w:rPr>
          <w:rFonts w:ascii="Times New Roman" w:eastAsia="Times New Roman" w:hAnsi="Times New Roman" w:cs="Times New Roman"/>
          <w:sz w:val="24"/>
          <w:szCs w:val="24"/>
          <w:lang w:val="sq-AL"/>
        </w:rPr>
      </w:pPr>
    </w:p>
    <w:p w:rsidR="00E1087F" w:rsidRPr="004A238F" w:rsidRDefault="00E1087F" w:rsidP="004B6ACF">
      <w:pPr>
        <w:widowControl w:val="0"/>
        <w:tabs>
          <w:tab w:val="left" w:pos="9360"/>
        </w:tabs>
        <w:autoSpaceDE w:val="0"/>
        <w:autoSpaceDN w:val="0"/>
        <w:spacing w:before="271" w:after="0" w:line="240" w:lineRule="auto"/>
        <w:jc w:val="both"/>
        <w:rPr>
          <w:rFonts w:ascii="Times New Roman" w:eastAsia="Times New Roman" w:hAnsi="Times New Roman" w:cs="Times New Roman"/>
          <w:lang w:val="sq-AL"/>
        </w:rPr>
      </w:pPr>
      <w:r w:rsidRPr="004A238F">
        <w:rPr>
          <w:rFonts w:ascii="Times New Roman" w:eastAsia="Times New Roman" w:hAnsi="Times New Roman" w:cs="Times New Roman"/>
          <w:lang w:val="sq-AL"/>
        </w:rPr>
        <w:t>Tabela</w:t>
      </w:r>
      <w:r w:rsidRPr="004A238F">
        <w:rPr>
          <w:rFonts w:ascii="Times New Roman" w:eastAsia="Times New Roman" w:hAnsi="Times New Roman" w:cs="Times New Roman"/>
          <w:spacing w:val="-6"/>
          <w:lang w:val="sq-AL"/>
        </w:rPr>
        <w:t xml:space="preserve"> </w:t>
      </w:r>
      <w:r w:rsidR="00465EBF">
        <w:rPr>
          <w:rFonts w:ascii="Times New Roman" w:eastAsia="Times New Roman" w:hAnsi="Times New Roman" w:cs="Times New Roman"/>
          <w:lang w:val="sq-AL"/>
        </w:rPr>
        <w:t>29</w:t>
      </w:r>
      <w:r w:rsidRPr="004A238F">
        <w:rPr>
          <w:rFonts w:ascii="Times New Roman" w:eastAsia="Times New Roman" w:hAnsi="Times New Roman" w:cs="Times New Roman"/>
          <w:lang w:val="sq-AL"/>
        </w:rPr>
        <w:t>.</w:t>
      </w:r>
      <w:r w:rsidRPr="004A238F">
        <w:rPr>
          <w:rFonts w:ascii="Times New Roman" w:eastAsia="Times New Roman" w:hAnsi="Times New Roman" w:cs="Times New Roman"/>
          <w:spacing w:val="-5"/>
          <w:lang w:val="sq-AL"/>
        </w:rPr>
        <w:t xml:space="preserve"> </w:t>
      </w:r>
      <w:r w:rsidRPr="004A238F">
        <w:rPr>
          <w:rFonts w:ascii="Times New Roman" w:eastAsia="Times New Roman" w:hAnsi="Times New Roman" w:cs="Times New Roman"/>
          <w:lang w:val="sq-AL"/>
        </w:rPr>
        <w:t>Ndryshimet</w:t>
      </w:r>
      <w:r w:rsidRPr="004A238F">
        <w:rPr>
          <w:rFonts w:ascii="Times New Roman" w:eastAsia="Times New Roman" w:hAnsi="Times New Roman" w:cs="Times New Roman"/>
          <w:spacing w:val="-5"/>
          <w:lang w:val="sq-AL"/>
        </w:rPr>
        <w:t xml:space="preserve"> </w:t>
      </w:r>
      <w:r w:rsidRPr="004A238F">
        <w:rPr>
          <w:rFonts w:ascii="Times New Roman" w:eastAsia="Times New Roman" w:hAnsi="Times New Roman" w:cs="Times New Roman"/>
          <w:lang w:val="sq-AL"/>
        </w:rPr>
        <w:t>në</w:t>
      </w:r>
      <w:r w:rsidRPr="004A238F">
        <w:rPr>
          <w:rFonts w:ascii="Times New Roman" w:eastAsia="Times New Roman" w:hAnsi="Times New Roman" w:cs="Times New Roman"/>
          <w:spacing w:val="-4"/>
          <w:lang w:val="sq-AL"/>
        </w:rPr>
        <w:t xml:space="preserve"> </w:t>
      </w:r>
      <w:r w:rsidRPr="004A238F">
        <w:rPr>
          <w:rFonts w:ascii="Times New Roman" w:eastAsia="Times New Roman" w:hAnsi="Times New Roman" w:cs="Times New Roman"/>
          <w:lang w:val="sq-AL"/>
        </w:rPr>
        <w:t>profilet</w:t>
      </w:r>
      <w:r w:rsidRPr="004A238F">
        <w:rPr>
          <w:rFonts w:ascii="Times New Roman" w:eastAsia="Times New Roman" w:hAnsi="Times New Roman" w:cs="Times New Roman"/>
          <w:spacing w:val="-5"/>
          <w:lang w:val="sq-AL"/>
        </w:rPr>
        <w:t xml:space="preserve"> </w:t>
      </w:r>
      <w:r w:rsidRPr="004A238F">
        <w:rPr>
          <w:rFonts w:ascii="Times New Roman" w:eastAsia="Times New Roman" w:hAnsi="Times New Roman" w:cs="Times New Roman"/>
          <w:lang w:val="sq-AL"/>
        </w:rPr>
        <w:t>e</w:t>
      </w:r>
      <w:r w:rsidRPr="004A238F">
        <w:rPr>
          <w:rFonts w:ascii="Times New Roman" w:eastAsia="Times New Roman" w:hAnsi="Times New Roman" w:cs="Times New Roman"/>
          <w:spacing w:val="-5"/>
          <w:lang w:val="sq-AL"/>
        </w:rPr>
        <w:t xml:space="preserve"> </w:t>
      </w:r>
      <w:r w:rsidRPr="004A238F">
        <w:rPr>
          <w:rFonts w:ascii="Times New Roman" w:eastAsia="Times New Roman" w:hAnsi="Times New Roman" w:cs="Times New Roman"/>
          <w:lang w:val="sq-AL"/>
        </w:rPr>
        <w:t>monitorimit</w:t>
      </w:r>
      <w:r w:rsidRPr="004A238F">
        <w:rPr>
          <w:rFonts w:ascii="Times New Roman" w:eastAsia="Times New Roman" w:hAnsi="Times New Roman" w:cs="Times New Roman"/>
          <w:spacing w:val="-5"/>
          <w:lang w:val="sq-AL"/>
        </w:rPr>
        <w:t xml:space="preserve"> </w:t>
      </w:r>
      <w:r w:rsidRPr="004A238F">
        <w:rPr>
          <w:rFonts w:ascii="Times New Roman" w:eastAsia="Times New Roman" w:hAnsi="Times New Roman" w:cs="Times New Roman"/>
          <w:lang w:val="sq-AL"/>
        </w:rPr>
        <w:t>në</w:t>
      </w:r>
      <w:r w:rsidRPr="004A238F">
        <w:rPr>
          <w:rFonts w:ascii="Times New Roman" w:eastAsia="Times New Roman" w:hAnsi="Times New Roman" w:cs="Times New Roman"/>
          <w:spacing w:val="-2"/>
          <w:lang w:val="sq-AL"/>
        </w:rPr>
        <w:t xml:space="preserve"> </w:t>
      </w:r>
      <w:r w:rsidRPr="004A238F">
        <w:rPr>
          <w:rFonts w:ascii="Times New Roman" w:eastAsia="Times New Roman" w:hAnsi="Times New Roman" w:cs="Times New Roman"/>
          <w:lang w:val="sq-AL"/>
        </w:rPr>
        <w:t>degët</w:t>
      </w:r>
      <w:r w:rsidRPr="004A238F">
        <w:rPr>
          <w:rFonts w:ascii="Times New Roman" w:eastAsia="Times New Roman" w:hAnsi="Times New Roman" w:cs="Times New Roman"/>
          <w:spacing w:val="-5"/>
          <w:lang w:val="sq-AL"/>
        </w:rPr>
        <w:t xml:space="preserve"> </w:t>
      </w:r>
      <w:r w:rsidRPr="004A238F">
        <w:rPr>
          <w:rFonts w:ascii="Times New Roman" w:eastAsia="Times New Roman" w:hAnsi="Times New Roman" w:cs="Times New Roman"/>
          <w:lang w:val="sq-AL"/>
        </w:rPr>
        <w:t>e</w:t>
      </w:r>
      <w:r w:rsidRPr="004A238F">
        <w:rPr>
          <w:rFonts w:ascii="Times New Roman" w:eastAsia="Times New Roman" w:hAnsi="Times New Roman" w:cs="Times New Roman"/>
          <w:spacing w:val="-6"/>
          <w:lang w:val="sq-AL"/>
        </w:rPr>
        <w:t xml:space="preserve"> </w:t>
      </w:r>
      <w:r w:rsidRPr="004A238F">
        <w:rPr>
          <w:rFonts w:ascii="Times New Roman" w:eastAsia="Times New Roman" w:hAnsi="Times New Roman" w:cs="Times New Roman"/>
          <w:lang w:val="sq-AL"/>
        </w:rPr>
        <w:t>lumit</w:t>
      </w:r>
      <w:r w:rsidRPr="004A238F">
        <w:rPr>
          <w:rFonts w:ascii="Times New Roman" w:eastAsia="Times New Roman" w:hAnsi="Times New Roman" w:cs="Times New Roman"/>
          <w:spacing w:val="-4"/>
          <w:lang w:val="sq-AL"/>
        </w:rPr>
        <w:t xml:space="preserve"> </w:t>
      </w:r>
      <w:r w:rsidRPr="004A238F">
        <w:rPr>
          <w:rFonts w:ascii="Times New Roman" w:eastAsia="Times New Roman" w:hAnsi="Times New Roman" w:cs="Times New Roman"/>
          <w:spacing w:val="-2"/>
          <w:lang w:val="sq-AL"/>
        </w:rPr>
        <w:t>Ishëm</w:t>
      </w:r>
      <w:r w:rsidR="00E615C2">
        <w:rPr>
          <w:rFonts w:ascii="Times New Roman" w:eastAsia="Times New Roman" w:hAnsi="Times New Roman" w:cs="Times New Roman"/>
          <w:spacing w:val="-2"/>
          <w:lang w:val="sq-AL"/>
        </w:rPr>
        <w:t>.</w:t>
      </w:r>
    </w:p>
    <w:p w:rsidR="004B6ACF" w:rsidRPr="004B6ACF" w:rsidRDefault="00E1087F" w:rsidP="004B6ACF">
      <w:pPr>
        <w:widowControl w:val="0"/>
        <w:tabs>
          <w:tab w:val="left" w:pos="9360"/>
        </w:tabs>
        <w:autoSpaceDE w:val="0"/>
        <w:autoSpaceDN w:val="0"/>
        <w:spacing w:before="271" w:after="0" w:line="240" w:lineRule="auto"/>
        <w:jc w:val="both"/>
        <w:rPr>
          <w:rFonts w:ascii="Times New Roman" w:eastAsia="Times New Roman" w:hAnsi="Times New Roman" w:cs="Times New Roman"/>
          <w:sz w:val="24"/>
          <w:szCs w:val="24"/>
          <w:lang w:val="sq-AL"/>
        </w:rPr>
      </w:pPr>
      <w:r w:rsidRPr="00E1087F">
        <w:rPr>
          <w:rFonts w:ascii="Arial" w:eastAsia="Times New Roman" w:hAnsi="Times New Roman" w:cs="Times New Roman"/>
          <w:noProof/>
          <w:sz w:val="20"/>
        </w:rPr>
        <mc:AlternateContent>
          <mc:Choice Requires="wpg">
            <w:drawing>
              <wp:inline distT="0" distB="0" distL="0" distR="0" wp14:anchorId="7A2B594E" wp14:editId="6C0E0469">
                <wp:extent cx="5943600" cy="1997349"/>
                <wp:effectExtent l="0" t="0" r="0" b="3175"/>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997349"/>
                          <a:chOff x="0" y="0"/>
                          <a:chExt cx="6154420" cy="2068195"/>
                        </a:xfrm>
                      </wpg:grpSpPr>
                      <pic:pic xmlns:pic="http://schemas.openxmlformats.org/drawingml/2006/picture">
                        <pic:nvPicPr>
                          <pic:cNvPr id="300" name="Image 53"/>
                          <pic:cNvPicPr/>
                        </pic:nvPicPr>
                        <pic:blipFill>
                          <a:blip r:embed="rId163" cstate="print"/>
                          <a:stretch>
                            <a:fillRect/>
                          </a:stretch>
                        </pic:blipFill>
                        <pic:spPr>
                          <a:xfrm>
                            <a:off x="19811" y="19811"/>
                            <a:ext cx="6114287" cy="2028444"/>
                          </a:xfrm>
                          <a:prstGeom prst="rect">
                            <a:avLst/>
                          </a:prstGeom>
                        </pic:spPr>
                      </pic:pic>
                      <wps:wsp>
                        <wps:cNvPr id="301" name="Graphic 54"/>
                        <wps:cNvSpPr/>
                        <wps:spPr>
                          <a:xfrm>
                            <a:off x="9905" y="9905"/>
                            <a:ext cx="6134100" cy="2048510"/>
                          </a:xfrm>
                          <a:custGeom>
                            <a:avLst/>
                            <a:gdLst/>
                            <a:ahLst/>
                            <a:cxnLst/>
                            <a:rect l="l" t="t" r="r" b="b"/>
                            <a:pathLst>
                              <a:path w="6134100" h="2048510">
                                <a:moveTo>
                                  <a:pt x="0" y="2048255"/>
                                </a:moveTo>
                                <a:lnTo>
                                  <a:pt x="6134100" y="2048255"/>
                                </a:lnTo>
                                <a:lnTo>
                                  <a:pt x="6134100" y="0"/>
                                </a:lnTo>
                                <a:lnTo>
                                  <a:pt x="0" y="0"/>
                                </a:lnTo>
                                <a:lnTo>
                                  <a:pt x="0" y="2048255"/>
                                </a:lnTo>
                                <a:close/>
                              </a:path>
                            </a:pathLst>
                          </a:custGeom>
                          <a:ln w="19811">
                            <a:solidFill>
                              <a:srgbClr val="9BBA58"/>
                            </a:solidFill>
                            <a:prstDash val="solid"/>
                          </a:ln>
                        </wps:spPr>
                        <wps:bodyPr wrap="square" lIns="0" tIns="0" rIns="0" bIns="0" rtlCol="0">
                          <a:prstTxWarp prst="textNoShape">
                            <a:avLst/>
                          </a:prstTxWarp>
                          <a:noAutofit/>
                        </wps:bodyPr>
                      </wps:wsp>
                    </wpg:wgp>
                  </a:graphicData>
                </a:graphic>
              </wp:inline>
            </w:drawing>
          </mc:Choice>
          <mc:Fallback>
            <w:pict>
              <v:group w14:anchorId="61E23C47" id="Group 299" o:spid="_x0000_s1026" style="width:468pt;height:157.25pt;mso-position-horizontal-relative:char;mso-position-vertical-relative:line" coordsize="61544,206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">
                <v:shape id="Image 53" o:spid="_x0000_s1027" type="#_x0000_t75" style="position:absolute;left:198;top:198;width:61142;height:20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">
                  <v:imagedata r:id="rId164" o:title=""/>
                </v:shape>
                <v:shape id="Graphic 54" o:spid="_x0000_s1028" style="position:absolute;left:99;top:99;width:61341;height:20485;visibility:visible;mso-wrap-style:square;v-text-anchor:top" coordsize="6134100,204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" path="m,2048255r6134100,l6134100,,,,,2048255xe" filled="f" strokecolor="#9bba58" strokeweight=".55031mm">
                  <v:path arrowok="t"/>
                </v:shape>
                <w10:anchorlock/>
              </v:group>
            </w:pict>
          </mc:Fallback>
        </mc:AlternateContent>
      </w:r>
    </w:p>
    <w:p w:rsidR="004A238F" w:rsidRDefault="004A238F" w:rsidP="004B6ACF">
      <w:pPr>
        <w:tabs>
          <w:tab w:val="left" w:pos="9360"/>
        </w:tabs>
        <w:spacing w:after="200" w:line="276" w:lineRule="auto"/>
        <w:rPr>
          <w:rFonts w:ascii="Times New Roman" w:eastAsia="Times New Roman" w:hAnsi="Times New Roman" w:cs="Times New Roman"/>
          <w:lang w:val="sq-AL"/>
        </w:rPr>
      </w:pPr>
    </w:p>
    <w:p w:rsidR="00A94861" w:rsidRDefault="004A238F" w:rsidP="004B6ACF">
      <w:pPr>
        <w:tabs>
          <w:tab w:val="left" w:pos="9360"/>
        </w:tabs>
        <w:spacing w:after="200" w:line="276" w:lineRule="auto"/>
        <w:rPr>
          <w:rFonts w:ascii="Times New Roman" w:eastAsia="Times New Roman" w:hAnsi="Times New Roman" w:cs="Times New Roman"/>
          <w:sz w:val="24"/>
          <w:szCs w:val="24"/>
          <w:lang w:val="sq-AL"/>
        </w:rPr>
      </w:pPr>
      <w:r w:rsidRPr="004A238F">
        <w:rPr>
          <w:rFonts w:ascii="Times New Roman" w:eastAsia="Times New Roman" w:hAnsi="Times New Roman" w:cs="Times New Roman"/>
          <w:sz w:val="24"/>
          <w:szCs w:val="24"/>
          <w:lang w:val="sq-AL"/>
        </w:rPr>
        <w:t>Nga matjet e kryera në profilet e monitorimit në rrjedhën e lumit Ishëm dhe nga vrojtimet e bëra në shtratin e tij për periudhën 2021-2025 janë evidentuar problemet e mëposhtme</w:t>
      </w:r>
      <w:r>
        <w:rPr>
          <w:rFonts w:ascii="Times New Roman" w:eastAsia="Times New Roman" w:hAnsi="Times New Roman" w:cs="Times New Roman"/>
          <w:sz w:val="24"/>
          <w:szCs w:val="24"/>
          <w:lang w:val="sq-AL"/>
        </w:rPr>
        <w:t>.</w:t>
      </w:r>
    </w:p>
    <w:p w:rsidR="004A238F" w:rsidRPr="004A238F" w:rsidRDefault="004A238F" w:rsidP="00807975">
      <w:pPr>
        <w:pStyle w:val="ListParagraph"/>
        <w:widowControl w:val="0"/>
        <w:numPr>
          <w:ilvl w:val="0"/>
          <w:numId w:val="89"/>
        </w:numPr>
        <w:tabs>
          <w:tab w:val="left" w:pos="1299"/>
        </w:tabs>
        <w:autoSpaceDE w:val="0"/>
        <w:autoSpaceDN w:val="0"/>
        <w:spacing w:before="211" w:after="0" w:line="237" w:lineRule="auto"/>
        <w:rPr>
          <w:rFonts w:ascii="Arial" w:eastAsia="Times New Roman" w:hAnsi="Arial" w:cs="Times New Roman"/>
          <w:sz w:val="24"/>
          <w:lang w:val="sq-AL"/>
        </w:rPr>
      </w:pPr>
      <w:r w:rsidRPr="004A238F">
        <w:rPr>
          <w:rFonts w:ascii="Times New Roman" w:eastAsia="Times New Roman" w:hAnsi="Times New Roman" w:cs="Times New Roman"/>
          <w:sz w:val="24"/>
          <w:lang w:val="sq-AL"/>
        </w:rPr>
        <w:t>Vijimësi</w:t>
      </w:r>
      <w:r w:rsidR="00024039">
        <w:rPr>
          <w:rFonts w:ascii="Times New Roman" w:eastAsia="Times New Roman" w:hAnsi="Times New Roman" w:cs="Times New Roman"/>
          <w:sz w:val="24"/>
          <w:lang w:val="sq-AL"/>
        </w:rPr>
        <w:t>a</w:t>
      </w:r>
      <w:r w:rsidRPr="004A238F">
        <w:rPr>
          <w:rFonts w:ascii="Times New Roman" w:eastAsia="Times New Roman" w:hAnsi="Times New Roman" w:cs="Times New Roman"/>
          <w:spacing w:val="36"/>
          <w:sz w:val="24"/>
          <w:lang w:val="sq-AL"/>
        </w:rPr>
        <w:t xml:space="preserve"> </w:t>
      </w:r>
      <w:r w:rsidRPr="004A238F">
        <w:rPr>
          <w:rFonts w:ascii="Times New Roman" w:eastAsia="Times New Roman" w:hAnsi="Times New Roman" w:cs="Times New Roman"/>
          <w:sz w:val="24"/>
          <w:lang w:val="sq-AL"/>
        </w:rPr>
        <w:t>e</w:t>
      </w:r>
      <w:r w:rsidRPr="004A238F">
        <w:rPr>
          <w:rFonts w:ascii="Times New Roman" w:eastAsia="Times New Roman" w:hAnsi="Times New Roman" w:cs="Times New Roman"/>
          <w:spacing w:val="35"/>
          <w:sz w:val="24"/>
          <w:lang w:val="sq-AL"/>
        </w:rPr>
        <w:t xml:space="preserve"> </w:t>
      </w:r>
      <w:r w:rsidRPr="004A238F">
        <w:rPr>
          <w:rFonts w:ascii="Times New Roman" w:eastAsia="Times New Roman" w:hAnsi="Times New Roman" w:cs="Times New Roman"/>
          <w:sz w:val="24"/>
          <w:lang w:val="sq-AL"/>
        </w:rPr>
        <w:t>shfrytëzimit</w:t>
      </w:r>
      <w:r w:rsidRPr="004A238F">
        <w:rPr>
          <w:rFonts w:ascii="Times New Roman" w:eastAsia="Times New Roman" w:hAnsi="Times New Roman" w:cs="Times New Roman"/>
          <w:spacing w:val="36"/>
          <w:sz w:val="24"/>
          <w:lang w:val="sq-AL"/>
        </w:rPr>
        <w:t xml:space="preserve"> </w:t>
      </w:r>
      <w:r w:rsidRPr="004A238F">
        <w:rPr>
          <w:rFonts w:ascii="Times New Roman" w:eastAsia="Times New Roman" w:hAnsi="Times New Roman" w:cs="Times New Roman"/>
          <w:sz w:val="24"/>
          <w:lang w:val="sq-AL"/>
        </w:rPr>
        <w:t>të</w:t>
      </w:r>
      <w:r w:rsidRPr="004A238F">
        <w:rPr>
          <w:rFonts w:ascii="Times New Roman" w:eastAsia="Times New Roman" w:hAnsi="Times New Roman" w:cs="Times New Roman"/>
          <w:spacing w:val="39"/>
          <w:sz w:val="24"/>
          <w:lang w:val="sq-AL"/>
        </w:rPr>
        <w:t xml:space="preserve"> </w:t>
      </w:r>
      <w:r w:rsidRPr="004A238F">
        <w:rPr>
          <w:rFonts w:ascii="Times New Roman" w:eastAsia="Times New Roman" w:hAnsi="Times New Roman" w:cs="Times New Roman"/>
          <w:sz w:val="24"/>
          <w:lang w:val="sq-AL"/>
        </w:rPr>
        <w:t>inerteve,</w:t>
      </w:r>
      <w:r w:rsidRPr="004A238F">
        <w:rPr>
          <w:rFonts w:ascii="Times New Roman" w:eastAsia="Times New Roman" w:hAnsi="Times New Roman" w:cs="Times New Roman"/>
          <w:spacing w:val="38"/>
          <w:sz w:val="24"/>
          <w:lang w:val="sq-AL"/>
        </w:rPr>
        <w:t xml:space="preserve"> </w:t>
      </w:r>
      <w:r w:rsidRPr="004A238F">
        <w:rPr>
          <w:rFonts w:ascii="Times New Roman" w:eastAsia="Times New Roman" w:hAnsi="Times New Roman" w:cs="Times New Roman"/>
          <w:sz w:val="24"/>
          <w:lang w:val="sq-AL"/>
        </w:rPr>
        <w:t>për</w:t>
      </w:r>
      <w:r w:rsidRPr="004A238F">
        <w:rPr>
          <w:rFonts w:ascii="Times New Roman" w:eastAsia="Times New Roman" w:hAnsi="Times New Roman" w:cs="Times New Roman"/>
          <w:spacing w:val="37"/>
          <w:sz w:val="24"/>
          <w:lang w:val="sq-AL"/>
        </w:rPr>
        <w:t xml:space="preserve"> </w:t>
      </w:r>
      <w:r w:rsidRPr="004A238F">
        <w:rPr>
          <w:rFonts w:ascii="Times New Roman" w:eastAsia="Times New Roman" w:hAnsi="Times New Roman" w:cs="Times New Roman"/>
          <w:sz w:val="24"/>
          <w:lang w:val="sq-AL"/>
        </w:rPr>
        <w:t>pasojë</w:t>
      </w:r>
      <w:r w:rsidRPr="004A238F">
        <w:rPr>
          <w:rFonts w:ascii="Times New Roman" w:eastAsia="Times New Roman" w:hAnsi="Times New Roman" w:cs="Times New Roman"/>
          <w:spacing w:val="38"/>
          <w:sz w:val="24"/>
          <w:lang w:val="sq-AL"/>
        </w:rPr>
        <w:t xml:space="preserve"> </w:t>
      </w:r>
      <w:r w:rsidRPr="004A238F">
        <w:rPr>
          <w:rFonts w:ascii="Times New Roman" w:eastAsia="Times New Roman" w:hAnsi="Times New Roman" w:cs="Times New Roman"/>
          <w:sz w:val="24"/>
          <w:lang w:val="sq-AL"/>
        </w:rPr>
        <w:t>ulje</w:t>
      </w:r>
      <w:r w:rsidRPr="004A238F">
        <w:rPr>
          <w:rFonts w:ascii="Times New Roman" w:eastAsia="Times New Roman" w:hAnsi="Times New Roman" w:cs="Times New Roman"/>
          <w:spacing w:val="35"/>
          <w:sz w:val="24"/>
          <w:lang w:val="sq-AL"/>
        </w:rPr>
        <w:t xml:space="preserve"> </w:t>
      </w:r>
      <w:r w:rsidRPr="004A238F">
        <w:rPr>
          <w:rFonts w:ascii="Times New Roman" w:eastAsia="Times New Roman" w:hAnsi="Times New Roman" w:cs="Times New Roman"/>
          <w:sz w:val="24"/>
          <w:lang w:val="sq-AL"/>
        </w:rPr>
        <w:t>e</w:t>
      </w:r>
      <w:r w:rsidRPr="004A238F">
        <w:rPr>
          <w:rFonts w:ascii="Times New Roman" w:eastAsia="Times New Roman" w:hAnsi="Times New Roman" w:cs="Times New Roman"/>
          <w:spacing w:val="35"/>
          <w:sz w:val="24"/>
          <w:lang w:val="sq-AL"/>
        </w:rPr>
        <w:t xml:space="preserve"> </w:t>
      </w:r>
      <w:r w:rsidRPr="004A238F">
        <w:rPr>
          <w:rFonts w:ascii="Times New Roman" w:eastAsia="Times New Roman" w:hAnsi="Times New Roman" w:cs="Times New Roman"/>
          <w:sz w:val="24"/>
          <w:lang w:val="sq-AL"/>
        </w:rPr>
        <w:t>shtratit</w:t>
      </w:r>
      <w:r w:rsidRPr="004A238F">
        <w:rPr>
          <w:rFonts w:ascii="Times New Roman" w:eastAsia="Times New Roman" w:hAnsi="Times New Roman" w:cs="Times New Roman"/>
          <w:spacing w:val="38"/>
          <w:sz w:val="24"/>
          <w:lang w:val="sq-AL"/>
        </w:rPr>
        <w:t xml:space="preserve"> </w:t>
      </w:r>
      <w:r w:rsidRPr="004A238F">
        <w:rPr>
          <w:rFonts w:ascii="Times New Roman" w:eastAsia="Times New Roman" w:hAnsi="Times New Roman" w:cs="Times New Roman"/>
          <w:sz w:val="24"/>
          <w:lang w:val="sq-AL"/>
        </w:rPr>
        <w:t>në</w:t>
      </w:r>
      <w:r w:rsidRPr="004A238F">
        <w:rPr>
          <w:rFonts w:ascii="Times New Roman" w:eastAsia="Times New Roman" w:hAnsi="Times New Roman" w:cs="Times New Roman"/>
          <w:spacing w:val="35"/>
          <w:sz w:val="24"/>
          <w:lang w:val="sq-AL"/>
        </w:rPr>
        <w:t xml:space="preserve"> </w:t>
      </w:r>
      <w:r w:rsidRPr="004A238F">
        <w:rPr>
          <w:rFonts w:ascii="Times New Roman" w:eastAsia="Times New Roman" w:hAnsi="Times New Roman" w:cs="Times New Roman"/>
          <w:sz w:val="24"/>
          <w:lang w:val="sq-AL"/>
        </w:rPr>
        <w:t>zona</w:t>
      </w:r>
      <w:r w:rsidRPr="004A238F">
        <w:rPr>
          <w:rFonts w:ascii="Times New Roman" w:eastAsia="Times New Roman" w:hAnsi="Times New Roman" w:cs="Times New Roman"/>
          <w:spacing w:val="37"/>
          <w:sz w:val="24"/>
          <w:lang w:val="sq-AL"/>
        </w:rPr>
        <w:t xml:space="preserve"> </w:t>
      </w:r>
      <w:r w:rsidRPr="004A238F">
        <w:rPr>
          <w:rFonts w:ascii="Times New Roman" w:eastAsia="Times New Roman" w:hAnsi="Times New Roman" w:cs="Times New Roman"/>
          <w:sz w:val="24"/>
          <w:lang w:val="sq-AL"/>
        </w:rPr>
        <w:t>të</w:t>
      </w:r>
      <w:r w:rsidRPr="004A238F">
        <w:rPr>
          <w:rFonts w:ascii="Times New Roman" w:eastAsia="Times New Roman" w:hAnsi="Times New Roman" w:cs="Times New Roman"/>
          <w:spacing w:val="35"/>
          <w:sz w:val="24"/>
          <w:lang w:val="sq-AL"/>
        </w:rPr>
        <w:t xml:space="preserve"> </w:t>
      </w:r>
      <w:r w:rsidRPr="004A238F">
        <w:rPr>
          <w:rFonts w:ascii="Times New Roman" w:eastAsia="Times New Roman" w:hAnsi="Times New Roman" w:cs="Times New Roman"/>
          <w:sz w:val="24"/>
          <w:lang w:val="sq-AL"/>
        </w:rPr>
        <w:t>caktuara</w:t>
      </w:r>
      <w:r w:rsidRPr="004A238F">
        <w:rPr>
          <w:rFonts w:ascii="Times New Roman" w:eastAsia="Times New Roman" w:hAnsi="Times New Roman" w:cs="Times New Roman"/>
          <w:spacing w:val="36"/>
          <w:sz w:val="24"/>
          <w:lang w:val="sq-AL"/>
        </w:rPr>
        <w:t xml:space="preserve"> </w:t>
      </w:r>
      <w:r w:rsidRPr="004A238F">
        <w:rPr>
          <w:rFonts w:ascii="Times New Roman" w:eastAsia="Times New Roman" w:hAnsi="Times New Roman" w:cs="Times New Roman"/>
          <w:sz w:val="24"/>
          <w:lang w:val="sq-AL"/>
        </w:rPr>
        <w:t>për</w:t>
      </w:r>
      <w:r w:rsidRPr="004A238F">
        <w:rPr>
          <w:rFonts w:ascii="Times New Roman" w:eastAsia="Times New Roman" w:hAnsi="Times New Roman" w:cs="Times New Roman"/>
          <w:spacing w:val="35"/>
          <w:sz w:val="24"/>
          <w:lang w:val="sq-AL"/>
        </w:rPr>
        <w:t xml:space="preserve"> </w:t>
      </w:r>
      <w:r w:rsidRPr="004A238F">
        <w:rPr>
          <w:rFonts w:ascii="Times New Roman" w:eastAsia="Times New Roman" w:hAnsi="Times New Roman" w:cs="Times New Roman"/>
          <w:sz w:val="24"/>
          <w:lang w:val="sq-AL"/>
        </w:rPr>
        <w:t>shkak</w:t>
      </w:r>
      <w:r w:rsidRPr="004A238F">
        <w:rPr>
          <w:rFonts w:ascii="Times New Roman" w:eastAsia="Times New Roman" w:hAnsi="Times New Roman" w:cs="Times New Roman"/>
          <w:spacing w:val="36"/>
          <w:sz w:val="24"/>
          <w:lang w:val="sq-AL"/>
        </w:rPr>
        <w:t xml:space="preserve"> </w:t>
      </w:r>
      <w:r w:rsidRPr="004A238F">
        <w:rPr>
          <w:rFonts w:ascii="Times New Roman" w:eastAsia="Times New Roman" w:hAnsi="Times New Roman" w:cs="Times New Roman"/>
          <w:sz w:val="24"/>
          <w:lang w:val="sq-AL"/>
        </w:rPr>
        <w:t>të fuqizimit të erozionit fundor në të dy degët e lumit</w:t>
      </w:r>
      <w:r w:rsidR="00E615C2">
        <w:rPr>
          <w:rFonts w:ascii="Times New Roman" w:eastAsia="Times New Roman" w:hAnsi="Times New Roman" w:cs="Times New Roman"/>
          <w:sz w:val="24"/>
          <w:lang w:val="sq-AL"/>
        </w:rPr>
        <w:t>.</w:t>
      </w:r>
      <w:r w:rsidRPr="004A238F">
        <w:rPr>
          <w:rFonts w:ascii="Times New Roman" w:eastAsia="Times New Roman" w:hAnsi="Times New Roman" w:cs="Times New Roman"/>
          <w:sz w:val="24"/>
          <w:lang w:val="sq-AL"/>
        </w:rPr>
        <w:t xml:space="preserve"> </w:t>
      </w:r>
    </w:p>
    <w:p w:rsidR="004A238F" w:rsidRPr="004A238F" w:rsidRDefault="004A238F" w:rsidP="00807975">
      <w:pPr>
        <w:pStyle w:val="ListParagraph"/>
        <w:widowControl w:val="0"/>
        <w:numPr>
          <w:ilvl w:val="0"/>
          <w:numId w:val="89"/>
        </w:numPr>
        <w:tabs>
          <w:tab w:val="left" w:pos="1261"/>
        </w:tabs>
        <w:autoSpaceDE w:val="0"/>
        <w:autoSpaceDN w:val="0"/>
        <w:spacing w:before="3" w:after="0" w:line="240" w:lineRule="auto"/>
        <w:rPr>
          <w:rFonts w:ascii="Arial" w:eastAsia="Times New Roman" w:hAnsi="Arial" w:cs="Times New Roman"/>
          <w:sz w:val="24"/>
          <w:lang w:val="sq-AL"/>
        </w:rPr>
      </w:pPr>
      <w:r w:rsidRPr="004A238F">
        <w:rPr>
          <w:rFonts w:ascii="Times New Roman" w:eastAsia="Times New Roman" w:hAnsi="Times New Roman" w:cs="Times New Roman"/>
          <w:sz w:val="24"/>
          <w:lang w:val="sq-AL"/>
        </w:rPr>
        <w:t>Erozion</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i terracës</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së shtratit</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dhe tokës bujqësore</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thuajse</w:t>
      </w:r>
      <w:r w:rsidRPr="004A238F">
        <w:rPr>
          <w:rFonts w:ascii="Times New Roman" w:eastAsia="Times New Roman" w:hAnsi="Times New Roman" w:cs="Times New Roman"/>
          <w:spacing w:val="-2"/>
          <w:sz w:val="24"/>
          <w:lang w:val="sq-AL"/>
        </w:rPr>
        <w:t xml:space="preserve"> </w:t>
      </w:r>
      <w:r w:rsidRPr="004A238F">
        <w:rPr>
          <w:rFonts w:ascii="Times New Roman" w:eastAsia="Times New Roman" w:hAnsi="Times New Roman" w:cs="Times New Roman"/>
          <w:sz w:val="24"/>
          <w:lang w:val="sq-AL"/>
        </w:rPr>
        <w:t>në</w:t>
      </w:r>
      <w:r w:rsidRPr="004A238F">
        <w:rPr>
          <w:rFonts w:ascii="Times New Roman" w:eastAsia="Times New Roman" w:hAnsi="Times New Roman" w:cs="Times New Roman"/>
          <w:spacing w:val="-2"/>
          <w:sz w:val="24"/>
          <w:lang w:val="sq-AL"/>
        </w:rPr>
        <w:t xml:space="preserve"> </w:t>
      </w:r>
      <w:r w:rsidRPr="004A238F">
        <w:rPr>
          <w:rFonts w:ascii="Times New Roman" w:eastAsia="Times New Roman" w:hAnsi="Times New Roman" w:cs="Times New Roman"/>
          <w:sz w:val="24"/>
          <w:lang w:val="sq-AL"/>
        </w:rPr>
        <w:t>të</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gjithë gjatësinë</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e</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shtratit</w:t>
      </w:r>
      <w:r w:rsidR="00E615C2">
        <w:rPr>
          <w:rFonts w:ascii="Times New Roman" w:eastAsia="Times New Roman" w:hAnsi="Times New Roman" w:cs="Times New Roman"/>
          <w:sz w:val="24"/>
          <w:lang w:val="sq-AL"/>
        </w:rPr>
        <w:t>.</w:t>
      </w:r>
    </w:p>
    <w:p w:rsidR="004A238F" w:rsidRPr="004A238F" w:rsidRDefault="004A238F" w:rsidP="00807975">
      <w:pPr>
        <w:pStyle w:val="ListParagraph"/>
        <w:widowControl w:val="0"/>
        <w:numPr>
          <w:ilvl w:val="0"/>
          <w:numId w:val="89"/>
        </w:numPr>
        <w:tabs>
          <w:tab w:val="left" w:pos="1261"/>
        </w:tabs>
        <w:autoSpaceDE w:val="0"/>
        <w:autoSpaceDN w:val="0"/>
        <w:spacing w:before="1" w:after="0" w:line="277" w:lineRule="exact"/>
        <w:rPr>
          <w:rFonts w:ascii="Arial" w:eastAsia="Times New Roman" w:hAnsi="Arial" w:cs="Times New Roman"/>
          <w:sz w:val="24"/>
          <w:lang w:val="sq-AL"/>
        </w:rPr>
      </w:pPr>
      <w:r w:rsidRPr="004A238F">
        <w:rPr>
          <w:rFonts w:ascii="Times New Roman" w:eastAsia="Times New Roman" w:hAnsi="Times New Roman" w:cs="Times New Roman"/>
          <w:sz w:val="24"/>
          <w:lang w:val="sq-AL"/>
        </w:rPr>
        <w:t>Objekte</w:t>
      </w:r>
      <w:r w:rsidRPr="004A238F">
        <w:rPr>
          <w:rFonts w:ascii="Times New Roman" w:eastAsia="Times New Roman" w:hAnsi="Times New Roman" w:cs="Times New Roman"/>
          <w:spacing w:val="-4"/>
          <w:sz w:val="24"/>
          <w:lang w:val="sq-AL"/>
        </w:rPr>
        <w:t xml:space="preserve"> </w:t>
      </w:r>
      <w:r w:rsidRPr="004A238F">
        <w:rPr>
          <w:rFonts w:ascii="Times New Roman" w:eastAsia="Times New Roman" w:hAnsi="Times New Roman" w:cs="Times New Roman"/>
          <w:sz w:val="24"/>
          <w:lang w:val="sq-AL"/>
        </w:rPr>
        <w:t>inxhinierike</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të</w:t>
      </w:r>
      <w:r w:rsidRPr="004A238F">
        <w:rPr>
          <w:rFonts w:ascii="Times New Roman" w:eastAsia="Times New Roman" w:hAnsi="Times New Roman" w:cs="Times New Roman"/>
          <w:spacing w:val="60"/>
          <w:sz w:val="24"/>
          <w:lang w:val="sq-AL"/>
        </w:rPr>
        <w:t xml:space="preserve"> </w:t>
      </w:r>
      <w:r w:rsidRPr="004A238F">
        <w:rPr>
          <w:rFonts w:ascii="Times New Roman" w:eastAsia="Times New Roman" w:hAnsi="Times New Roman" w:cs="Times New Roman"/>
          <w:sz w:val="24"/>
          <w:lang w:val="sq-AL"/>
        </w:rPr>
        <w:t>dëmtuara</w:t>
      </w:r>
      <w:r w:rsidRPr="004A238F">
        <w:rPr>
          <w:rFonts w:ascii="Times New Roman" w:eastAsia="Times New Roman" w:hAnsi="Times New Roman" w:cs="Times New Roman"/>
          <w:spacing w:val="-2"/>
          <w:sz w:val="24"/>
          <w:lang w:val="sq-AL"/>
        </w:rPr>
        <w:t xml:space="preserve"> </w:t>
      </w:r>
      <w:r w:rsidRPr="004A238F">
        <w:rPr>
          <w:rFonts w:ascii="Times New Roman" w:eastAsia="Times New Roman" w:hAnsi="Times New Roman" w:cs="Times New Roman"/>
          <w:sz w:val="24"/>
          <w:lang w:val="sq-AL"/>
        </w:rPr>
        <w:t>dhe</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të</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tjera</w:t>
      </w:r>
      <w:r w:rsidRPr="004A238F">
        <w:rPr>
          <w:rFonts w:ascii="Times New Roman" w:eastAsia="Times New Roman" w:hAnsi="Times New Roman" w:cs="Times New Roman"/>
          <w:spacing w:val="-2"/>
          <w:sz w:val="24"/>
          <w:lang w:val="sq-AL"/>
        </w:rPr>
        <w:t xml:space="preserve"> </w:t>
      </w:r>
      <w:r w:rsidRPr="004A238F">
        <w:rPr>
          <w:rFonts w:ascii="Times New Roman" w:eastAsia="Times New Roman" w:hAnsi="Times New Roman" w:cs="Times New Roman"/>
          <w:sz w:val="24"/>
          <w:lang w:val="sq-AL"/>
        </w:rPr>
        <w:t>nën rrezik</w:t>
      </w:r>
      <w:r w:rsidRPr="004A238F">
        <w:rPr>
          <w:rFonts w:ascii="Times New Roman" w:eastAsia="Times New Roman" w:hAnsi="Times New Roman" w:cs="Times New Roman"/>
          <w:spacing w:val="3"/>
          <w:sz w:val="24"/>
          <w:lang w:val="sq-AL"/>
        </w:rPr>
        <w:t xml:space="preserve"> </w:t>
      </w:r>
      <w:r w:rsidRPr="004A238F">
        <w:rPr>
          <w:rFonts w:ascii="Times New Roman" w:eastAsia="Times New Roman" w:hAnsi="Times New Roman" w:cs="Times New Roman"/>
          <w:spacing w:val="-2"/>
          <w:sz w:val="24"/>
          <w:lang w:val="sq-AL"/>
        </w:rPr>
        <w:t>potencial.</w:t>
      </w:r>
    </w:p>
    <w:p w:rsidR="004A238F" w:rsidRPr="004A238F" w:rsidRDefault="004A238F" w:rsidP="00807975">
      <w:pPr>
        <w:pStyle w:val="ListParagraph"/>
        <w:widowControl w:val="0"/>
        <w:numPr>
          <w:ilvl w:val="0"/>
          <w:numId w:val="89"/>
        </w:numPr>
        <w:tabs>
          <w:tab w:val="left" w:pos="1261"/>
        </w:tabs>
        <w:autoSpaceDE w:val="0"/>
        <w:autoSpaceDN w:val="0"/>
        <w:spacing w:after="0" w:line="277" w:lineRule="exact"/>
        <w:rPr>
          <w:rFonts w:ascii="Arial" w:eastAsia="Times New Roman" w:hAnsi="Arial" w:cs="Times New Roman"/>
          <w:sz w:val="24"/>
          <w:lang w:val="sq-AL"/>
        </w:rPr>
      </w:pPr>
      <w:r w:rsidRPr="004A238F">
        <w:rPr>
          <w:rFonts w:ascii="Times New Roman" w:eastAsia="Times New Roman" w:hAnsi="Times New Roman" w:cs="Times New Roman"/>
          <w:sz w:val="24"/>
          <w:lang w:val="sq-AL"/>
        </w:rPr>
        <w:t>Ndotje</w:t>
      </w:r>
      <w:r w:rsidRPr="004A238F">
        <w:rPr>
          <w:rFonts w:ascii="Times New Roman" w:eastAsia="Times New Roman" w:hAnsi="Times New Roman" w:cs="Times New Roman"/>
          <w:spacing w:val="-4"/>
          <w:sz w:val="24"/>
          <w:lang w:val="sq-AL"/>
        </w:rPr>
        <w:t xml:space="preserve"> </w:t>
      </w:r>
      <w:r w:rsidRPr="004A238F">
        <w:rPr>
          <w:rFonts w:ascii="Times New Roman" w:eastAsia="Times New Roman" w:hAnsi="Times New Roman" w:cs="Times New Roman"/>
          <w:sz w:val="24"/>
          <w:lang w:val="sq-AL"/>
        </w:rPr>
        <w:t>e</w:t>
      </w:r>
      <w:r w:rsidRPr="004A238F">
        <w:rPr>
          <w:rFonts w:ascii="Times New Roman" w:eastAsia="Times New Roman" w:hAnsi="Times New Roman" w:cs="Times New Roman"/>
          <w:spacing w:val="-3"/>
          <w:sz w:val="24"/>
          <w:lang w:val="sq-AL"/>
        </w:rPr>
        <w:t xml:space="preserve"> </w:t>
      </w:r>
      <w:r w:rsidRPr="004A238F">
        <w:rPr>
          <w:rFonts w:ascii="Times New Roman" w:eastAsia="Times New Roman" w:hAnsi="Times New Roman" w:cs="Times New Roman"/>
          <w:sz w:val="24"/>
          <w:lang w:val="sq-AL"/>
        </w:rPr>
        <w:t>shtratit,</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terracës</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së</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shtratit,</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ujrave rrjedhëse</w:t>
      </w:r>
      <w:r w:rsidRPr="004A238F">
        <w:rPr>
          <w:rFonts w:ascii="Times New Roman" w:eastAsia="Times New Roman" w:hAnsi="Times New Roman" w:cs="Times New Roman"/>
          <w:spacing w:val="-2"/>
          <w:sz w:val="24"/>
          <w:lang w:val="sq-AL"/>
        </w:rPr>
        <w:t xml:space="preserve"> </w:t>
      </w:r>
      <w:r w:rsidRPr="004A238F">
        <w:rPr>
          <w:rFonts w:ascii="Times New Roman" w:eastAsia="Times New Roman" w:hAnsi="Times New Roman" w:cs="Times New Roman"/>
          <w:sz w:val="24"/>
          <w:lang w:val="sq-AL"/>
        </w:rPr>
        <w:t>dhe</w:t>
      </w:r>
      <w:r w:rsidRPr="004A238F">
        <w:rPr>
          <w:rFonts w:ascii="Times New Roman" w:eastAsia="Times New Roman" w:hAnsi="Times New Roman" w:cs="Times New Roman"/>
          <w:spacing w:val="-2"/>
          <w:sz w:val="24"/>
          <w:lang w:val="sq-AL"/>
        </w:rPr>
        <w:t xml:space="preserve"> </w:t>
      </w:r>
      <w:r w:rsidRPr="004A238F">
        <w:rPr>
          <w:rFonts w:ascii="Times New Roman" w:eastAsia="Times New Roman" w:hAnsi="Times New Roman" w:cs="Times New Roman"/>
          <w:sz w:val="24"/>
          <w:lang w:val="sq-AL"/>
        </w:rPr>
        <w:t>vijës</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pacing w:val="-2"/>
          <w:sz w:val="24"/>
          <w:lang w:val="sq-AL"/>
        </w:rPr>
        <w:t>bregore.</w:t>
      </w:r>
    </w:p>
    <w:p w:rsidR="004A238F" w:rsidRPr="004A238F" w:rsidRDefault="004A238F" w:rsidP="00807975">
      <w:pPr>
        <w:pStyle w:val="ListParagraph"/>
        <w:widowControl w:val="0"/>
        <w:numPr>
          <w:ilvl w:val="0"/>
          <w:numId w:val="89"/>
        </w:numPr>
        <w:tabs>
          <w:tab w:val="left" w:pos="1278"/>
        </w:tabs>
        <w:autoSpaceDE w:val="0"/>
        <w:autoSpaceDN w:val="0"/>
        <w:spacing w:after="0" w:line="240" w:lineRule="auto"/>
        <w:rPr>
          <w:rFonts w:ascii="Times New Roman" w:eastAsia="Times New Roman" w:hAnsi="Times New Roman" w:cs="Times New Roman"/>
          <w:spacing w:val="-1"/>
          <w:sz w:val="24"/>
          <w:lang w:val="sq-AL"/>
        </w:rPr>
      </w:pPr>
      <w:r w:rsidRPr="004A238F">
        <w:rPr>
          <w:rFonts w:ascii="Times New Roman" w:eastAsia="Times New Roman" w:hAnsi="Times New Roman" w:cs="Times New Roman"/>
          <w:sz w:val="24"/>
          <w:lang w:val="sq-AL"/>
        </w:rPr>
        <w:t>Kënetizimi</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i</w:t>
      </w:r>
      <w:r w:rsidRPr="004A238F">
        <w:rPr>
          <w:rFonts w:ascii="Times New Roman" w:eastAsia="Times New Roman" w:hAnsi="Times New Roman" w:cs="Times New Roman"/>
          <w:spacing w:val="-2"/>
          <w:sz w:val="24"/>
          <w:lang w:val="sq-AL"/>
        </w:rPr>
        <w:t xml:space="preserve"> </w:t>
      </w:r>
      <w:r w:rsidRPr="004A238F">
        <w:rPr>
          <w:rFonts w:ascii="Times New Roman" w:eastAsia="Times New Roman" w:hAnsi="Times New Roman" w:cs="Times New Roman"/>
          <w:sz w:val="24"/>
          <w:lang w:val="sq-AL"/>
        </w:rPr>
        <w:t>shtratit</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në</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zona</w:t>
      </w:r>
      <w:r w:rsidRPr="004A238F">
        <w:rPr>
          <w:rFonts w:ascii="Times New Roman" w:eastAsia="Times New Roman" w:hAnsi="Times New Roman" w:cs="Times New Roman"/>
          <w:spacing w:val="-2"/>
          <w:sz w:val="24"/>
          <w:lang w:val="sq-AL"/>
        </w:rPr>
        <w:t xml:space="preserve"> </w:t>
      </w:r>
      <w:r w:rsidRPr="004A238F">
        <w:rPr>
          <w:rFonts w:ascii="Times New Roman" w:eastAsia="Times New Roman" w:hAnsi="Times New Roman" w:cs="Times New Roman"/>
          <w:sz w:val="24"/>
          <w:lang w:val="sq-AL"/>
        </w:rPr>
        <w:t>të</w:t>
      </w:r>
      <w:r w:rsidRPr="004A238F">
        <w:rPr>
          <w:rFonts w:ascii="Times New Roman" w:eastAsia="Times New Roman" w:hAnsi="Times New Roman" w:cs="Times New Roman"/>
          <w:spacing w:val="-1"/>
          <w:sz w:val="24"/>
          <w:lang w:val="sq-AL"/>
        </w:rPr>
        <w:t xml:space="preserve"> caktuara</w:t>
      </w:r>
      <w:r w:rsidR="00E615C2">
        <w:rPr>
          <w:rFonts w:ascii="Times New Roman" w:eastAsia="Times New Roman" w:hAnsi="Times New Roman" w:cs="Times New Roman"/>
          <w:spacing w:val="-1"/>
          <w:sz w:val="24"/>
          <w:lang w:val="sq-AL"/>
        </w:rPr>
        <w:t>.</w:t>
      </w:r>
    </w:p>
    <w:p w:rsidR="004A238F" w:rsidRPr="004A238F" w:rsidRDefault="004A238F" w:rsidP="00807975">
      <w:pPr>
        <w:pStyle w:val="ListParagraph"/>
        <w:widowControl w:val="0"/>
        <w:numPr>
          <w:ilvl w:val="0"/>
          <w:numId w:val="89"/>
        </w:numPr>
        <w:tabs>
          <w:tab w:val="left" w:pos="1278"/>
        </w:tabs>
        <w:autoSpaceDE w:val="0"/>
        <w:autoSpaceDN w:val="0"/>
        <w:spacing w:after="0" w:line="240" w:lineRule="auto"/>
        <w:rPr>
          <w:rFonts w:ascii="Times New Roman" w:eastAsia="Times New Roman" w:hAnsi="Times New Roman" w:cs="Times New Roman"/>
          <w:spacing w:val="-1"/>
          <w:sz w:val="24"/>
          <w:lang w:val="sq-AL"/>
        </w:rPr>
      </w:pPr>
      <w:r w:rsidRPr="004A238F">
        <w:rPr>
          <w:rFonts w:ascii="Times New Roman" w:eastAsia="Times New Roman" w:hAnsi="Times New Roman" w:cs="Times New Roman"/>
          <w:sz w:val="24"/>
          <w:lang w:val="sq-AL"/>
        </w:rPr>
        <w:t>Ulje e nivelit të UN në një pjesë të pellgut të Tiranës pranë ndikimit të lumit të Ishmit</w:t>
      </w:r>
      <w:r w:rsidRPr="004A238F">
        <w:rPr>
          <w:rFonts w:ascii="Times New Roman" w:eastAsia="Times New Roman" w:hAnsi="Times New Roman" w:cs="Times New Roman"/>
          <w:spacing w:val="18"/>
          <w:sz w:val="24"/>
          <w:lang w:val="sq-AL"/>
        </w:rPr>
        <w:t xml:space="preserve"> </w:t>
      </w:r>
      <w:r w:rsidRPr="004A238F">
        <w:rPr>
          <w:rFonts w:ascii="Times New Roman" w:eastAsia="Times New Roman" w:hAnsi="Times New Roman" w:cs="Times New Roman"/>
          <w:sz w:val="24"/>
          <w:lang w:val="sq-AL"/>
        </w:rPr>
        <w:t>dhe dalje</w:t>
      </w:r>
      <w:r w:rsidR="00E615C2">
        <w:rPr>
          <w:rFonts w:ascii="Times New Roman" w:eastAsia="Times New Roman" w:hAnsi="Times New Roman" w:cs="Times New Roman"/>
          <w:sz w:val="24"/>
          <w:lang w:val="sq-AL"/>
        </w:rPr>
        <w:t xml:space="preserve"> </w:t>
      </w:r>
      <w:r w:rsidRPr="004A238F">
        <w:rPr>
          <w:rFonts w:ascii="Times New Roman" w:eastAsia="Times New Roman" w:hAnsi="Times New Roman" w:cs="Times New Roman"/>
          <w:sz w:val="24"/>
          <w:lang w:val="sq-AL"/>
        </w:rPr>
        <w:t>jashtë funksionit e një pjese të madhe të puseve të ujit për përdorime të ndryshme.</w:t>
      </w:r>
    </w:p>
    <w:p w:rsidR="004A238F" w:rsidRPr="004A238F" w:rsidRDefault="004A238F" w:rsidP="00807975">
      <w:pPr>
        <w:pStyle w:val="ListParagraph"/>
        <w:widowControl w:val="0"/>
        <w:numPr>
          <w:ilvl w:val="0"/>
          <w:numId w:val="89"/>
        </w:numPr>
        <w:tabs>
          <w:tab w:val="left" w:pos="1286"/>
        </w:tabs>
        <w:autoSpaceDE w:val="0"/>
        <w:autoSpaceDN w:val="0"/>
        <w:spacing w:after="0" w:line="240" w:lineRule="auto"/>
        <w:rPr>
          <w:rFonts w:ascii="Times New Roman" w:eastAsia="Times New Roman" w:hAnsi="Times New Roman" w:cs="Times New Roman"/>
          <w:sz w:val="24"/>
          <w:lang w:val="sq-AL"/>
        </w:rPr>
      </w:pPr>
      <w:r w:rsidRPr="004A238F">
        <w:rPr>
          <w:rFonts w:ascii="Times New Roman" w:eastAsia="Times New Roman" w:hAnsi="Times New Roman" w:cs="Times New Roman"/>
          <w:sz w:val="24"/>
          <w:lang w:val="sq-AL"/>
        </w:rPr>
        <w:t>Frekuencë</w:t>
      </w:r>
      <w:r w:rsidRPr="004A238F">
        <w:rPr>
          <w:rFonts w:ascii="Times New Roman" w:eastAsia="Times New Roman" w:hAnsi="Times New Roman" w:cs="Times New Roman"/>
          <w:spacing w:val="21"/>
          <w:sz w:val="24"/>
          <w:lang w:val="sq-AL"/>
        </w:rPr>
        <w:t xml:space="preserve"> </w:t>
      </w:r>
      <w:r w:rsidRPr="004A238F">
        <w:rPr>
          <w:rFonts w:ascii="Times New Roman" w:eastAsia="Times New Roman" w:hAnsi="Times New Roman" w:cs="Times New Roman"/>
          <w:sz w:val="24"/>
          <w:lang w:val="sq-AL"/>
        </w:rPr>
        <w:t>në rritje</w:t>
      </w:r>
      <w:r w:rsidRPr="004A238F">
        <w:rPr>
          <w:rFonts w:ascii="Times New Roman" w:eastAsia="Times New Roman" w:hAnsi="Times New Roman" w:cs="Times New Roman"/>
          <w:spacing w:val="19"/>
          <w:sz w:val="24"/>
          <w:lang w:val="sq-AL"/>
        </w:rPr>
        <w:t xml:space="preserve"> </w:t>
      </w:r>
      <w:r w:rsidRPr="004A238F">
        <w:rPr>
          <w:rFonts w:ascii="Times New Roman" w:eastAsia="Times New Roman" w:hAnsi="Times New Roman" w:cs="Times New Roman"/>
          <w:sz w:val="24"/>
          <w:lang w:val="sq-AL"/>
        </w:rPr>
        <w:t>e</w:t>
      </w:r>
      <w:r w:rsidRPr="004A238F">
        <w:rPr>
          <w:rFonts w:ascii="Times New Roman" w:eastAsia="Times New Roman" w:hAnsi="Times New Roman" w:cs="Times New Roman"/>
          <w:spacing w:val="24"/>
          <w:sz w:val="24"/>
          <w:lang w:val="sq-AL"/>
        </w:rPr>
        <w:t xml:space="preserve"> </w:t>
      </w:r>
      <w:r w:rsidRPr="004A238F">
        <w:rPr>
          <w:rFonts w:ascii="Times New Roman" w:eastAsia="Times New Roman" w:hAnsi="Times New Roman" w:cs="Times New Roman"/>
          <w:sz w:val="24"/>
          <w:lang w:val="sq-AL"/>
        </w:rPr>
        <w:t>përmbytjeve në rrjedhën</w:t>
      </w:r>
      <w:r w:rsidRPr="004A238F">
        <w:rPr>
          <w:rFonts w:ascii="Times New Roman" w:eastAsia="Times New Roman" w:hAnsi="Times New Roman" w:cs="Times New Roman"/>
          <w:spacing w:val="21"/>
          <w:sz w:val="24"/>
          <w:lang w:val="sq-AL"/>
        </w:rPr>
        <w:t xml:space="preserve"> </w:t>
      </w:r>
      <w:r w:rsidRPr="004A238F">
        <w:rPr>
          <w:rFonts w:ascii="Times New Roman" w:eastAsia="Times New Roman" w:hAnsi="Times New Roman" w:cs="Times New Roman"/>
          <w:sz w:val="24"/>
          <w:lang w:val="sq-AL"/>
        </w:rPr>
        <w:t>e poshtme dhe në</w:t>
      </w:r>
      <w:r w:rsidRPr="004A238F">
        <w:rPr>
          <w:rFonts w:ascii="Times New Roman" w:eastAsia="Times New Roman" w:hAnsi="Times New Roman" w:cs="Times New Roman"/>
          <w:spacing w:val="20"/>
          <w:sz w:val="24"/>
          <w:lang w:val="sq-AL"/>
        </w:rPr>
        <w:t xml:space="preserve"> </w:t>
      </w:r>
      <w:r w:rsidRPr="004A238F">
        <w:rPr>
          <w:rFonts w:ascii="Times New Roman" w:eastAsia="Times New Roman" w:hAnsi="Times New Roman" w:cs="Times New Roman"/>
          <w:sz w:val="24"/>
          <w:lang w:val="sq-AL"/>
        </w:rPr>
        <w:t>pjesë</w:t>
      </w:r>
      <w:r w:rsidRPr="004A238F">
        <w:rPr>
          <w:rFonts w:ascii="Times New Roman" w:eastAsia="Times New Roman" w:hAnsi="Times New Roman" w:cs="Times New Roman"/>
          <w:spacing w:val="20"/>
          <w:sz w:val="24"/>
          <w:lang w:val="sq-AL"/>
        </w:rPr>
        <w:t xml:space="preserve"> </w:t>
      </w:r>
      <w:r w:rsidRPr="004A238F">
        <w:rPr>
          <w:rFonts w:ascii="Times New Roman" w:eastAsia="Times New Roman" w:hAnsi="Times New Roman" w:cs="Times New Roman"/>
          <w:sz w:val="24"/>
          <w:lang w:val="sq-AL"/>
        </w:rPr>
        <w:t>të caktuara</w:t>
      </w:r>
      <w:r w:rsidRPr="004A238F">
        <w:rPr>
          <w:rFonts w:ascii="Times New Roman" w:eastAsia="Times New Roman" w:hAnsi="Times New Roman" w:cs="Times New Roman"/>
          <w:spacing w:val="20"/>
          <w:sz w:val="24"/>
          <w:lang w:val="sq-AL"/>
        </w:rPr>
        <w:t xml:space="preserve"> </w:t>
      </w:r>
      <w:r w:rsidRPr="004A238F">
        <w:rPr>
          <w:rFonts w:ascii="Times New Roman" w:eastAsia="Times New Roman" w:hAnsi="Times New Roman" w:cs="Times New Roman"/>
          <w:sz w:val="24"/>
          <w:lang w:val="sq-AL"/>
        </w:rPr>
        <w:t>të</w:t>
      </w:r>
      <w:r w:rsidRPr="004A238F">
        <w:rPr>
          <w:rFonts w:ascii="Times New Roman" w:eastAsia="Times New Roman" w:hAnsi="Times New Roman" w:cs="Times New Roman"/>
          <w:spacing w:val="21"/>
          <w:sz w:val="24"/>
          <w:lang w:val="sq-AL"/>
        </w:rPr>
        <w:t xml:space="preserve"> </w:t>
      </w:r>
      <w:r w:rsidRPr="004A238F">
        <w:rPr>
          <w:rFonts w:ascii="Times New Roman" w:eastAsia="Times New Roman" w:hAnsi="Times New Roman" w:cs="Times New Roman"/>
          <w:sz w:val="24"/>
          <w:lang w:val="sq-AL"/>
        </w:rPr>
        <w:t>rrjedhës</w:t>
      </w:r>
      <w:r w:rsidRPr="004A238F">
        <w:rPr>
          <w:rFonts w:ascii="Times New Roman" w:eastAsia="Times New Roman" w:hAnsi="Times New Roman" w:cs="Times New Roman"/>
          <w:spacing w:val="21"/>
          <w:sz w:val="24"/>
          <w:lang w:val="sq-AL"/>
        </w:rPr>
        <w:t xml:space="preserve"> </w:t>
      </w:r>
      <w:r w:rsidRPr="004A238F">
        <w:rPr>
          <w:rFonts w:ascii="Times New Roman" w:eastAsia="Times New Roman" w:hAnsi="Times New Roman" w:cs="Times New Roman"/>
          <w:sz w:val="24"/>
          <w:lang w:val="sq-AL"/>
        </w:rPr>
        <w:t>së mesme (Fushë Krujë, Arameras).</w:t>
      </w:r>
    </w:p>
    <w:p w:rsidR="004A238F" w:rsidRPr="004A238F" w:rsidRDefault="004A238F" w:rsidP="00807975">
      <w:pPr>
        <w:pStyle w:val="ListParagraph"/>
        <w:widowControl w:val="0"/>
        <w:numPr>
          <w:ilvl w:val="0"/>
          <w:numId w:val="89"/>
        </w:numPr>
        <w:tabs>
          <w:tab w:val="left" w:pos="1263"/>
        </w:tabs>
        <w:autoSpaceDE w:val="0"/>
        <w:autoSpaceDN w:val="0"/>
        <w:spacing w:after="0" w:line="240" w:lineRule="auto"/>
        <w:rPr>
          <w:rFonts w:ascii="Times New Roman" w:eastAsia="Times New Roman" w:hAnsi="Times New Roman" w:cs="Times New Roman"/>
          <w:sz w:val="24"/>
          <w:lang w:val="sq-AL"/>
        </w:rPr>
      </w:pPr>
      <w:r w:rsidRPr="004A238F">
        <w:rPr>
          <w:rFonts w:ascii="Times New Roman" w:eastAsia="Times New Roman" w:hAnsi="Times New Roman" w:cs="Times New Roman"/>
          <w:sz w:val="24"/>
          <w:lang w:val="sq-AL"/>
        </w:rPr>
        <w:t>Hedhje</w:t>
      </w:r>
      <w:r w:rsidRPr="004A238F">
        <w:rPr>
          <w:rFonts w:ascii="Times New Roman" w:eastAsia="Times New Roman" w:hAnsi="Times New Roman" w:cs="Times New Roman"/>
          <w:spacing w:val="-3"/>
          <w:sz w:val="24"/>
          <w:lang w:val="sq-AL"/>
        </w:rPr>
        <w:t xml:space="preserve"> </w:t>
      </w:r>
      <w:r w:rsidRPr="004A238F">
        <w:rPr>
          <w:rFonts w:ascii="Times New Roman" w:eastAsia="Times New Roman" w:hAnsi="Times New Roman" w:cs="Times New Roman"/>
          <w:sz w:val="24"/>
          <w:lang w:val="sq-AL"/>
        </w:rPr>
        <w:t>e</w:t>
      </w:r>
      <w:r w:rsidRPr="004A238F">
        <w:rPr>
          <w:rFonts w:ascii="Times New Roman" w:eastAsia="Times New Roman" w:hAnsi="Times New Roman" w:cs="Times New Roman"/>
          <w:spacing w:val="-2"/>
          <w:sz w:val="24"/>
          <w:lang w:val="sq-AL"/>
        </w:rPr>
        <w:t xml:space="preserve"> </w:t>
      </w:r>
      <w:r w:rsidRPr="004A238F">
        <w:rPr>
          <w:rFonts w:ascii="Times New Roman" w:eastAsia="Times New Roman" w:hAnsi="Times New Roman" w:cs="Times New Roman"/>
          <w:sz w:val="24"/>
          <w:lang w:val="sq-AL"/>
        </w:rPr>
        <w:t>mbeturinave</w:t>
      </w:r>
      <w:r w:rsidRPr="004A238F">
        <w:rPr>
          <w:rFonts w:ascii="Times New Roman" w:eastAsia="Times New Roman" w:hAnsi="Times New Roman" w:cs="Times New Roman"/>
          <w:spacing w:val="-2"/>
          <w:sz w:val="24"/>
          <w:lang w:val="sq-AL"/>
        </w:rPr>
        <w:t xml:space="preserve"> </w:t>
      </w:r>
      <w:r w:rsidRPr="004A238F">
        <w:rPr>
          <w:rFonts w:ascii="Times New Roman" w:eastAsia="Times New Roman" w:hAnsi="Times New Roman" w:cs="Times New Roman"/>
          <w:sz w:val="24"/>
          <w:lang w:val="sq-AL"/>
        </w:rPr>
        <w:t>inerte</w:t>
      </w:r>
      <w:r w:rsidRPr="004A238F">
        <w:rPr>
          <w:rFonts w:ascii="Times New Roman" w:eastAsia="Times New Roman" w:hAnsi="Times New Roman" w:cs="Times New Roman"/>
          <w:spacing w:val="-3"/>
          <w:sz w:val="24"/>
          <w:lang w:val="sq-AL"/>
        </w:rPr>
        <w:t xml:space="preserve"> </w:t>
      </w:r>
      <w:r w:rsidRPr="004A238F">
        <w:rPr>
          <w:rFonts w:ascii="Times New Roman" w:eastAsia="Times New Roman" w:hAnsi="Times New Roman" w:cs="Times New Roman"/>
          <w:sz w:val="24"/>
          <w:lang w:val="sq-AL"/>
        </w:rPr>
        <w:t>dhe</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urbane</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në</w:t>
      </w:r>
      <w:r w:rsidRPr="004A238F">
        <w:rPr>
          <w:rFonts w:ascii="Times New Roman" w:eastAsia="Times New Roman" w:hAnsi="Times New Roman" w:cs="Times New Roman"/>
          <w:spacing w:val="-2"/>
          <w:sz w:val="24"/>
          <w:lang w:val="sq-AL"/>
        </w:rPr>
        <w:t xml:space="preserve"> </w:t>
      </w:r>
      <w:r w:rsidRPr="004A238F">
        <w:rPr>
          <w:rFonts w:ascii="Times New Roman" w:eastAsia="Times New Roman" w:hAnsi="Times New Roman" w:cs="Times New Roman"/>
          <w:sz w:val="24"/>
          <w:lang w:val="sq-AL"/>
        </w:rPr>
        <w:t>shtretërit dhe</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brigjet</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e</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degëve</w:t>
      </w:r>
      <w:r w:rsidRPr="004A238F">
        <w:rPr>
          <w:rFonts w:ascii="Times New Roman" w:eastAsia="Times New Roman" w:hAnsi="Times New Roman" w:cs="Times New Roman"/>
          <w:spacing w:val="1"/>
          <w:sz w:val="24"/>
          <w:lang w:val="sq-AL"/>
        </w:rPr>
        <w:t xml:space="preserve"> </w:t>
      </w:r>
      <w:r w:rsidRPr="004A238F">
        <w:rPr>
          <w:rFonts w:ascii="Times New Roman" w:eastAsia="Times New Roman" w:hAnsi="Times New Roman" w:cs="Times New Roman"/>
          <w:sz w:val="24"/>
          <w:lang w:val="sq-AL"/>
        </w:rPr>
        <w:t>të</w:t>
      </w:r>
      <w:r w:rsidRPr="004A238F">
        <w:rPr>
          <w:rFonts w:ascii="Times New Roman" w:eastAsia="Times New Roman" w:hAnsi="Times New Roman" w:cs="Times New Roman"/>
          <w:spacing w:val="6"/>
          <w:sz w:val="24"/>
          <w:lang w:val="sq-AL"/>
        </w:rPr>
        <w:t xml:space="preserve"> </w:t>
      </w:r>
      <w:r w:rsidRPr="004A238F">
        <w:rPr>
          <w:rFonts w:ascii="Times New Roman" w:eastAsia="Times New Roman" w:hAnsi="Times New Roman" w:cs="Times New Roman"/>
          <w:spacing w:val="-2"/>
          <w:sz w:val="24"/>
          <w:lang w:val="sq-AL"/>
        </w:rPr>
        <w:t>Ishmit.</w:t>
      </w:r>
    </w:p>
    <w:p w:rsidR="004A238F" w:rsidRPr="004A238F" w:rsidRDefault="004A238F" w:rsidP="004A238F">
      <w:pPr>
        <w:pStyle w:val="ListParagraph"/>
        <w:widowControl w:val="0"/>
        <w:tabs>
          <w:tab w:val="left" w:pos="1263"/>
        </w:tabs>
        <w:autoSpaceDE w:val="0"/>
        <w:autoSpaceDN w:val="0"/>
        <w:spacing w:after="0" w:line="240" w:lineRule="auto"/>
        <w:rPr>
          <w:rFonts w:ascii="Times New Roman" w:eastAsia="Times New Roman" w:hAnsi="Times New Roman" w:cs="Times New Roman"/>
          <w:sz w:val="24"/>
          <w:lang w:val="sq-AL"/>
        </w:rPr>
      </w:pPr>
    </w:p>
    <w:p w:rsidR="004A238F" w:rsidRPr="004A238F" w:rsidRDefault="004A238F" w:rsidP="004A238F">
      <w:pPr>
        <w:widowControl w:val="0"/>
        <w:tabs>
          <w:tab w:val="left" w:pos="1598"/>
        </w:tabs>
        <w:autoSpaceDE w:val="0"/>
        <w:autoSpaceDN w:val="0"/>
        <w:spacing w:after="0" w:line="240" w:lineRule="auto"/>
        <w:outlineLvl w:val="0"/>
        <w:rPr>
          <w:rFonts w:ascii="Times New Roman" w:eastAsia="Times New Roman" w:hAnsi="Times New Roman" w:cs="Times New Roman"/>
          <w:b/>
          <w:bCs/>
          <w:sz w:val="24"/>
          <w:szCs w:val="24"/>
          <w:lang w:val="sq-AL"/>
        </w:rPr>
      </w:pPr>
      <w:r w:rsidRPr="004A238F">
        <w:rPr>
          <w:rFonts w:ascii="Times New Roman" w:eastAsia="Times New Roman" w:hAnsi="Times New Roman" w:cs="Times New Roman"/>
          <w:b/>
          <w:bCs/>
          <w:spacing w:val="-2"/>
          <w:sz w:val="24"/>
          <w:szCs w:val="24"/>
          <w:lang w:val="sq-AL"/>
        </w:rPr>
        <w:t>Rekomandime.</w:t>
      </w:r>
    </w:p>
    <w:p w:rsidR="004A238F" w:rsidRPr="004A238F" w:rsidRDefault="004A238F" w:rsidP="004A238F">
      <w:pPr>
        <w:widowControl w:val="0"/>
        <w:tabs>
          <w:tab w:val="left" w:pos="1263"/>
        </w:tabs>
        <w:autoSpaceDE w:val="0"/>
        <w:autoSpaceDN w:val="0"/>
        <w:spacing w:after="0" w:line="240" w:lineRule="auto"/>
        <w:ind w:left="1263"/>
        <w:jc w:val="both"/>
        <w:rPr>
          <w:rFonts w:ascii="Times New Roman" w:eastAsia="Times New Roman" w:hAnsi="Times New Roman" w:cs="Times New Roman"/>
          <w:sz w:val="24"/>
          <w:lang w:val="sq-AL"/>
        </w:rPr>
      </w:pPr>
      <w:r w:rsidRPr="004A238F">
        <w:rPr>
          <w:rFonts w:ascii="Times New Roman" w:eastAsia="Times New Roman" w:hAnsi="Times New Roman" w:cs="Times New Roman"/>
          <w:spacing w:val="-2"/>
          <w:sz w:val="24"/>
          <w:lang w:val="sq-AL"/>
        </w:rPr>
        <w:t>.</w:t>
      </w:r>
    </w:p>
    <w:p w:rsidR="004A238F" w:rsidRPr="004A238F" w:rsidRDefault="004A238F" w:rsidP="00807975">
      <w:pPr>
        <w:pStyle w:val="ListParagraph"/>
        <w:widowControl w:val="0"/>
        <w:numPr>
          <w:ilvl w:val="0"/>
          <w:numId w:val="90"/>
        </w:numPr>
        <w:tabs>
          <w:tab w:val="left" w:pos="1280"/>
        </w:tabs>
        <w:autoSpaceDE w:val="0"/>
        <w:autoSpaceDN w:val="0"/>
        <w:spacing w:after="0" w:line="240" w:lineRule="auto"/>
        <w:jc w:val="both"/>
        <w:rPr>
          <w:rFonts w:ascii="Times New Roman" w:eastAsia="Times New Roman" w:hAnsi="Times New Roman" w:cs="Times New Roman"/>
          <w:sz w:val="24"/>
          <w:lang w:val="sq-AL"/>
        </w:rPr>
      </w:pPr>
      <w:r w:rsidRPr="004A238F">
        <w:rPr>
          <w:rFonts w:ascii="Times New Roman" w:eastAsia="Times New Roman" w:hAnsi="Times New Roman" w:cs="Times New Roman"/>
          <w:sz w:val="24"/>
          <w:lang w:val="sq-AL"/>
        </w:rPr>
        <w:t>Të ndërtohen vepra tërthor shtratit për të shuar energjinë e rrjedhës sidomos në kohë vërshimesh me qëllim eleminimin e erozionit të mëtejshëm të brigjeve, rehabilitimin e mundshëm të tij në zonat e dëmtuara, mbrojtjen e urave dhe rrugëve automobilistike.</w:t>
      </w:r>
    </w:p>
    <w:p w:rsidR="004A238F" w:rsidRPr="004A238F" w:rsidRDefault="004A238F" w:rsidP="00807975">
      <w:pPr>
        <w:pStyle w:val="ListParagraph"/>
        <w:widowControl w:val="0"/>
        <w:numPr>
          <w:ilvl w:val="0"/>
          <w:numId w:val="90"/>
        </w:numPr>
        <w:tabs>
          <w:tab w:val="left" w:pos="1322"/>
        </w:tabs>
        <w:autoSpaceDE w:val="0"/>
        <w:autoSpaceDN w:val="0"/>
        <w:spacing w:after="0" w:line="240" w:lineRule="auto"/>
        <w:jc w:val="both"/>
        <w:rPr>
          <w:rFonts w:ascii="Times New Roman" w:eastAsia="Times New Roman" w:hAnsi="Times New Roman" w:cs="Times New Roman"/>
          <w:sz w:val="24"/>
          <w:lang w:val="sq-AL"/>
        </w:rPr>
      </w:pPr>
      <w:r w:rsidRPr="004A238F">
        <w:rPr>
          <w:rFonts w:ascii="Times New Roman" w:eastAsia="Times New Roman" w:hAnsi="Times New Roman" w:cs="Times New Roman"/>
          <w:sz w:val="24"/>
          <w:lang w:val="sq-AL"/>
        </w:rPr>
        <w:t xml:space="preserve">Të rehabilitohet shtrati në zonat problematike me qëllim frenimin e veprimtarisë erozive të rrjedhës, përmirësimin vizual dhe estetik të zonës dhe natyralizimin e mundshëm të parametrave të </w:t>
      </w:r>
      <w:r w:rsidRPr="004A238F">
        <w:rPr>
          <w:rFonts w:ascii="Times New Roman" w:eastAsia="Times New Roman" w:hAnsi="Times New Roman" w:cs="Times New Roman"/>
          <w:spacing w:val="-2"/>
          <w:sz w:val="24"/>
          <w:lang w:val="sq-AL"/>
        </w:rPr>
        <w:t>rrjedhës.</w:t>
      </w:r>
    </w:p>
    <w:p w:rsidR="004A238F" w:rsidRDefault="004A238F" w:rsidP="00807975">
      <w:pPr>
        <w:pStyle w:val="ListParagraph"/>
        <w:widowControl w:val="0"/>
        <w:numPr>
          <w:ilvl w:val="0"/>
          <w:numId w:val="90"/>
        </w:numPr>
        <w:tabs>
          <w:tab w:val="left" w:pos="1277"/>
        </w:tabs>
        <w:autoSpaceDE w:val="0"/>
        <w:autoSpaceDN w:val="0"/>
        <w:spacing w:after="0" w:line="240" w:lineRule="auto"/>
        <w:jc w:val="both"/>
        <w:rPr>
          <w:rFonts w:ascii="Times New Roman" w:eastAsia="Times New Roman" w:hAnsi="Times New Roman" w:cs="Times New Roman"/>
          <w:sz w:val="24"/>
          <w:lang w:val="sq-AL"/>
        </w:rPr>
      </w:pPr>
      <w:r w:rsidRPr="004A238F">
        <w:rPr>
          <w:rFonts w:ascii="Times New Roman" w:eastAsia="Times New Roman" w:hAnsi="Times New Roman" w:cs="Times New Roman"/>
          <w:sz w:val="24"/>
          <w:lang w:val="sq-AL"/>
        </w:rPr>
        <w:t>Të ndërpritet hedhja e mbeturinave urbane dhe inerte në brigjet e Ishmit,</w:t>
      </w:r>
      <w:r w:rsidR="00A274DD">
        <w:rPr>
          <w:rFonts w:ascii="Times New Roman" w:eastAsia="Times New Roman" w:hAnsi="Times New Roman" w:cs="Times New Roman"/>
          <w:sz w:val="24"/>
          <w:lang w:val="sq-AL"/>
        </w:rPr>
        <w:t xml:space="preserve"> pastrimi i grykëderdhjes përgjatë lumit Ishëm,</w:t>
      </w:r>
      <w:r w:rsidRPr="004A238F">
        <w:rPr>
          <w:rFonts w:ascii="Times New Roman" w:eastAsia="Times New Roman" w:hAnsi="Times New Roman" w:cs="Times New Roman"/>
          <w:sz w:val="24"/>
          <w:lang w:val="sq-AL"/>
        </w:rPr>
        <w:t xml:space="preserve"> të eleminohet derdhja e ujrave të </w:t>
      </w:r>
      <w:r w:rsidR="00A274DD">
        <w:rPr>
          <w:rFonts w:ascii="Times New Roman" w:eastAsia="Times New Roman" w:hAnsi="Times New Roman" w:cs="Times New Roman"/>
          <w:sz w:val="24"/>
          <w:lang w:val="sq-AL"/>
        </w:rPr>
        <w:t>ndotura</w:t>
      </w:r>
      <w:r w:rsidRPr="004A238F">
        <w:rPr>
          <w:rFonts w:ascii="Times New Roman" w:eastAsia="Times New Roman" w:hAnsi="Times New Roman" w:cs="Times New Roman"/>
          <w:sz w:val="24"/>
          <w:lang w:val="sq-AL"/>
        </w:rPr>
        <w:t xml:space="preserve"> në shtrat si dhe të shihet mundësia për pastrimin dhe sistemimin e tyre. Sasitë e inerteve të imta urbane që merren dhe transportohen lehtësisht nga rrjedhat lumore, përbëjnë një potencial të shtuar për mbathjen e shtratit pranë grykëderdhjeve dhe uljen e kapacitetit përcjellës të kanalit ujor.</w:t>
      </w:r>
    </w:p>
    <w:p w:rsidR="00A94861" w:rsidRDefault="00A94861" w:rsidP="004A238F">
      <w:pPr>
        <w:tabs>
          <w:tab w:val="left" w:pos="9360"/>
        </w:tabs>
        <w:spacing w:after="200" w:line="276" w:lineRule="auto"/>
        <w:rPr>
          <w:rFonts w:ascii="Times New Roman" w:eastAsia="Calibri" w:hAnsi="Times New Roman" w:cs="Times New Roman"/>
          <w:b/>
          <w:sz w:val="24"/>
          <w:szCs w:val="24"/>
          <w:lang w:val="sq-AL"/>
        </w:rPr>
      </w:pPr>
    </w:p>
    <w:p w:rsidR="00E1087F" w:rsidRDefault="006510D0" w:rsidP="004B6ACF">
      <w:pPr>
        <w:tabs>
          <w:tab w:val="left" w:pos="9360"/>
        </w:tabs>
        <w:spacing w:after="200" w:line="276" w:lineRule="auto"/>
        <w:rPr>
          <w:rFonts w:ascii="Times New Roman" w:eastAsia="Calibri" w:hAnsi="Times New Roman" w:cs="Times New Roman"/>
          <w:b/>
          <w:sz w:val="24"/>
          <w:szCs w:val="24"/>
          <w:lang w:val="sq-AL"/>
        </w:rPr>
      </w:pPr>
      <w:r w:rsidRPr="004A238F">
        <w:rPr>
          <w:rFonts w:ascii="Times New Roman" w:eastAsia="Times New Roman" w:hAnsi="Times New Roman" w:cs="Times New Roman"/>
          <w:noProof/>
        </w:rPr>
        <mc:AlternateContent>
          <mc:Choice Requires="wpg">
            <w:drawing>
              <wp:anchor distT="0" distB="0" distL="0" distR="0" simplePos="0" relativeHeight="251694592" behindDoc="0" locked="0" layoutInCell="1" allowOverlap="1" wp14:anchorId="70CC32BE" wp14:editId="64C393F0">
                <wp:simplePos x="0" y="0"/>
                <wp:positionH relativeFrom="page">
                  <wp:posOffset>723900</wp:posOffset>
                </wp:positionH>
                <wp:positionV relativeFrom="paragraph">
                  <wp:posOffset>200025</wp:posOffset>
                </wp:positionV>
                <wp:extent cx="3068955" cy="1981200"/>
                <wp:effectExtent l="0" t="0" r="17145" b="19050"/>
                <wp:wrapNone/>
                <wp:docPr id="302" name="Group 302" descr="C:\LUMENJTE\MONITORIMI I RRJETIT LUMOR TE SHQIPERISE\Lumenjte, ACad+pdf+jpeg\7. Pellgu ujembledhes i Vjoses\Pellgu ujembledhes i Vjoses Mode.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1981200"/>
                          <a:chOff x="0" y="0"/>
                          <a:chExt cx="3447415" cy="3063240"/>
                        </a:xfrm>
                      </wpg:grpSpPr>
                      <pic:pic xmlns:pic="http://schemas.openxmlformats.org/drawingml/2006/picture">
                        <pic:nvPicPr>
                          <pic:cNvPr id="303" name="Image 77" descr="C:\LUMENJTE\MONITORIMI I RRJETIT LUMOR TE SHQIPERISE\Lumenjte, ACad+pdf+jpeg\7. Pellgu ujembledhes i Vjoses\Pellgu ujembledhes i Vjoses Mode.jpg"/>
                          <pic:cNvPicPr/>
                        </pic:nvPicPr>
                        <pic:blipFill>
                          <a:blip r:embed="rId165" cstate="print"/>
                          <a:stretch>
                            <a:fillRect/>
                          </a:stretch>
                        </pic:blipFill>
                        <pic:spPr>
                          <a:xfrm>
                            <a:off x="9144" y="9144"/>
                            <a:ext cx="3429000" cy="3044952"/>
                          </a:xfrm>
                          <a:prstGeom prst="rect">
                            <a:avLst/>
                          </a:prstGeom>
                        </pic:spPr>
                      </pic:pic>
                      <wps:wsp>
                        <wps:cNvPr id="304" name="Graphic 78"/>
                        <wps:cNvSpPr/>
                        <wps:spPr>
                          <a:xfrm>
                            <a:off x="4572" y="4572"/>
                            <a:ext cx="3438525" cy="3054350"/>
                          </a:xfrm>
                          <a:custGeom>
                            <a:avLst/>
                            <a:gdLst/>
                            <a:ahLst/>
                            <a:cxnLst/>
                            <a:rect l="l" t="t" r="r" b="b"/>
                            <a:pathLst>
                              <a:path w="3438525" h="3054350">
                                <a:moveTo>
                                  <a:pt x="0" y="3054096"/>
                                </a:moveTo>
                                <a:lnTo>
                                  <a:pt x="3438144" y="3054096"/>
                                </a:lnTo>
                                <a:lnTo>
                                  <a:pt x="3438144" y="0"/>
                                </a:lnTo>
                                <a:lnTo>
                                  <a:pt x="0" y="0"/>
                                </a:lnTo>
                                <a:lnTo>
                                  <a:pt x="0" y="3054096"/>
                                </a:lnTo>
                                <a:close/>
                              </a:path>
                            </a:pathLst>
                          </a:custGeom>
                          <a:ln w="9144">
                            <a:solidFill>
                              <a:srgbClr val="001F5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9320CD" id="Group 302" o:spid="_x0000_s1026" style="position:absolute;margin-left:57pt;margin-top:15.75pt;width:241.65pt;height:156pt;z-index:251694592;mso-wrap-distance-left:0;mso-wrap-distance-right:0;mso-position-horizontal-relative:page;mso-width-relative:margin;mso-height-relative:margin" coordsize="34474,306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">
                <v:shape id="Image 77" o:spid="_x0000_s1027" type="#_x0000_t75" style="position:absolute;left:91;top:91;width:34290;height:30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">
                  <v:imagedata r:id="rId166" o:title="Pellgu ujembledhes i Vjoses Mode"/>
                </v:shape>
                <v:shape id="Graphic 78" o:spid="_x0000_s1028" style="position:absolute;left:45;top:45;width:34385;height:30544;visibility:visible;mso-wrap-style:square;v-text-anchor:top" coordsize="3438525,305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" path="m,3054096r3438144,l3438144,,,,,3054096xe" filled="f" strokecolor="#001f5f" strokeweight=".72pt">
                  <v:path arrowok="t"/>
                </v:shape>
                <w10:wrap anchorx="page"/>
              </v:group>
            </w:pict>
          </mc:Fallback>
        </mc:AlternateContent>
      </w:r>
      <w:r w:rsidR="004A238F">
        <w:rPr>
          <w:rFonts w:ascii="Times New Roman" w:eastAsia="Times New Roman" w:hAnsi="Times New Roman" w:cs="Times New Roman"/>
          <w:noProof/>
          <w:sz w:val="24"/>
          <w:szCs w:val="24"/>
        </w:rPr>
        <mc:AlternateContent>
          <mc:Choice Requires="wps">
            <w:drawing>
              <wp:anchor distT="0" distB="0" distL="114300" distR="114300" simplePos="0" relativeHeight="251696640" behindDoc="0" locked="0" layoutInCell="1" allowOverlap="1" wp14:anchorId="3E0F5433" wp14:editId="6D1E0596">
                <wp:simplePos x="0" y="0"/>
                <wp:positionH relativeFrom="column">
                  <wp:posOffset>3105150</wp:posOffset>
                </wp:positionH>
                <wp:positionV relativeFrom="paragraph">
                  <wp:posOffset>288925</wp:posOffset>
                </wp:positionV>
                <wp:extent cx="2743200" cy="1847850"/>
                <wp:effectExtent l="0" t="0" r="19050" b="19050"/>
                <wp:wrapNone/>
                <wp:docPr id="305" name="Rectangle 305"/>
                <wp:cNvGraphicFramePr/>
                <a:graphic xmlns:a="http://schemas.openxmlformats.org/drawingml/2006/main">
                  <a:graphicData uri="http://schemas.microsoft.com/office/word/2010/wordprocessingShape">
                    <wps:wsp>
                      <wps:cNvSpPr/>
                      <wps:spPr>
                        <a:xfrm>
                          <a:off x="0" y="0"/>
                          <a:ext cx="2743200" cy="1847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4059F" w:rsidRDefault="0064059F" w:rsidP="004A238F">
                            <w:pPr>
                              <w:jc w:val="both"/>
                            </w:pPr>
                            <w:r w:rsidRPr="004A238F">
                              <w:rPr>
                                <w:rFonts w:ascii="Times New Roman" w:eastAsia="Times New Roman" w:hAnsi="Times New Roman" w:cs="Times New Roman"/>
                                <w:sz w:val="24"/>
                                <w:szCs w:val="24"/>
                                <w:lang w:val="sq-AL"/>
                              </w:rPr>
                              <w:t>Në</w:t>
                            </w:r>
                            <w:r w:rsidRPr="004A238F">
                              <w:rPr>
                                <w:rFonts w:ascii="Times New Roman" w:eastAsia="Times New Roman" w:hAnsi="Times New Roman" w:cs="Times New Roman"/>
                                <w:spacing w:val="-1"/>
                                <w:sz w:val="24"/>
                                <w:szCs w:val="24"/>
                                <w:lang w:val="sq-AL"/>
                              </w:rPr>
                              <w:t xml:space="preserve"> </w:t>
                            </w:r>
                            <w:r w:rsidRPr="004A238F">
                              <w:rPr>
                                <w:rFonts w:ascii="Times New Roman" w:eastAsia="Times New Roman" w:hAnsi="Times New Roman" w:cs="Times New Roman"/>
                                <w:sz w:val="24"/>
                                <w:szCs w:val="24"/>
                                <w:lang w:val="sq-AL"/>
                              </w:rPr>
                              <w:t>ecurinë</w:t>
                            </w:r>
                            <w:r w:rsidRPr="004A238F">
                              <w:rPr>
                                <w:rFonts w:ascii="Times New Roman" w:eastAsia="Times New Roman" w:hAnsi="Times New Roman" w:cs="Times New Roman"/>
                                <w:spacing w:val="-1"/>
                                <w:sz w:val="24"/>
                                <w:szCs w:val="24"/>
                                <w:lang w:val="sq-AL"/>
                              </w:rPr>
                              <w:t xml:space="preserve"> </w:t>
                            </w:r>
                            <w:r w:rsidRPr="004A238F">
                              <w:rPr>
                                <w:rFonts w:ascii="Times New Roman" w:eastAsia="Times New Roman" w:hAnsi="Times New Roman" w:cs="Times New Roman"/>
                                <w:sz w:val="24"/>
                                <w:szCs w:val="24"/>
                                <w:lang w:val="sq-AL"/>
                              </w:rPr>
                              <w:t>e</w:t>
                            </w:r>
                            <w:r w:rsidRPr="004A238F">
                              <w:rPr>
                                <w:rFonts w:ascii="Times New Roman" w:eastAsia="Times New Roman" w:hAnsi="Times New Roman" w:cs="Times New Roman"/>
                                <w:spacing w:val="-2"/>
                                <w:sz w:val="24"/>
                                <w:szCs w:val="24"/>
                                <w:lang w:val="sq-AL"/>
                              </w:rPr>
                              <w:t xml:space="preserve"> </w:t>
                            </w:r>
                            <w:r w:rsidRPr="004A238F">
                              <w:rPr>
                                <w:rFonts w:ascii="Times New Roman" w:eastAsia="Times New Roman" w:hAnsi="Times New Roman" w:cs="Times New Roman"/>
                                <w:sz w:val="24"/>
                                <w:szCs w:val="24"/>
                                <w:lang w:val="sq-AL"/>
                              </w:rPr>
                              <w:t>tyre</w:t>
                            </w:r>
                            <w:r w:rsidRPr="004A238F">
                              <w:rPr>
                                <w:rFonts w:ascii="Times New Roman" w:eastAsia="Times New Roman" w:hAnsi="Times New Roman" w:cs="Times New Roman"/>
                                <w:spacing w:val="-2"/>
                                <w:sz w:val="24"/>
                                <w:szCs w:val="24"/>
                                <w:lang w:val="sq-AL"/>
                              </w:rPr>
                              <w:t xml:space="preserve"> </w:t>
                            </w:r>
                            <w:r w:rsidRPr="004A238F">
                              <w:rPr>
                                <w:rFonts w:ascii="Times New Roman" w:eastAsia="Times New Roman" w:hAnsi="Times New Roman" w:cs="Times New Roman"/>
                                <w:sz w:val="24"/>
                                <w:szCs w:val="24"/>
                                <w:lang w:val="sq-AL"/>
                              </w:rPr>
                              <w:t>të përgjithshme,</w:t>
                            </w:r>
                            <w:r w:rsidRPr="004A238F">
                              <w:rPr>
                                <w:rFonts w:ascii="Times New Roman" w:eastAsia="Times New Roman" w:hAnsi="Times New Roman" w:cs="Times New Roman"/>
                                <w:spacing w:val="-1"/>
                                <w:sz w:val="24"/>
                                <w:szCs w:val="24"/>
                                <w:lang w:val="sq-AL"/>
                              </w:rPr>
                              <w:t xml:space="preserve"> </w:t>
                            </w:r>
                            <w:r w:rsidRPr="004A238F">
                              <w:rPr>
                                <w:rFonts w:ascii="Times New Roman" w:eastAsia="Times New Roman" w:hAnsi="Times New Roman" w:cs="Times New Roman"/>
                                <w:sz w:val="24"/>
                                <w:szCs w:val="24"/>
                                <w:lang w:val="sq-AL"/>
                              </w:rPr>
                              <w:t>janë</w:t>
                            </w:r>
                            <w:r w:rsidRPr="004A238F">
                              <w:rPr>
                                <w:rFonts w:ascii="Times New Roman" w:eastAsia="Times New Roman" w:hAnsi="Times New Roman" w:cs="Times New Roman"/>
                                <w:spacing w:val="-1"/>
                                <w:sz w:val="24"/>
                                <w:szCs w:val="24"/>
                                <w:lang w:val="sq-AL"/>
                              </w:rPr>
                              <w:t xml:space="preserve"> </w:t>
                            </w:r>
                            <w:r w:rsidRPr="004A238F">
                              <w:rPr>
                                <w:rFonts w:ascii="Times New Roman" w:eastAsia="Times New Roman" w:hAnsi="Times New Roman" w:cs="Times New Roman"/>
                                <w:sz w:val="24"/>
                                <w:szCs w:val="24"/>
                                <w:lang w:val="sq-AL"/>
                              </w:rPr>
                              <w:t>nën erozion</w:t>
                            </w:r>
                            <w:r w:rsidRPr="004A238F">
                              <w:rPr>
                                <w:rFonts w:ascii="Times New Roman" w:eastAsia="Times New Roman" w:hAnsi="Times New Roman" w:cs="Times New Roman"/>
                                <w:spacing w:val="-1"/>
                                <w:sz w:val="24"/>
                                <w:szCs w:val="24"/>
                                <w:lang w:val="sq-AL"/>
                              </w:rPr>
                              <w:t xml:space="preserve"> </w:t>
                            </w:r>
                            <w:r w:rsidRPr="004A238F">
                              <w:rPr>
                                <w:rFonts w:ascii="Times New Roman" w:eastAsia="Times New Roman" w:hAnsi="Times New Roman" w:cs="Times New Roman"/>
                                <w:sz w:val="24"/>
                                <w:szCs w:val="24"/>
                                <w:lang w:val="sq-AL"/>
                              </w:rPr>
                              <w:t>dy</w:t>
                            </w:r>
                            <w:r w:rsidRPr="004A238F">
                              <w:rPr>
                                <w:rFonts w:ascii="Times New Roman" w:eastAsia="Times New Roman" w:hAnsi="Times New Roman" w:cs="Times New Roman"/>
                                <w:spacing w:val="-6"/>
                                <w:sz w:val="24"/>
                                <w:szCs w:val="24"/>
                                <w:lang w:val="sq-AL"/>
                              </w:rPr>
                              <w:t xml:space="preserve"> </w:t>
                            </w:r>
                            <w:r w:rsidRPr="004A238F">
                              <w:rPr>
                                <w:rFonts w:ascii="Times New Roman" w:eastAsia="Times New Roman" w:hAnsi="Times New Roman" w:cs="Times New Roman"/>
                                <w:sz w:val="24"/>
                                <w:szCs w:val="24"/>
                                <w:lang w:val="sq-AL"/>
                              </w:rPr>
                              <w:t>nga</w:t>
                            </w:r>
                            <w:r w:rsidRPr="004A238F">
                              <w:rPr>
                                <w:rFonts w:ascii="Times New Roman" w:eastAsia="Times New Roman" w:hAnsi="Times New Roman" w:cs="Times New Roman"/>
                                <w:spacing w:val="-2"/>
                                <w:sz w:val="24"/>
                                <w:szCs w:val="24"/>
                                <w:lang w:val="sq-AL"/>
                              </w:rPr>
                              <w:t xml:space="preserve"> </w:t>
                            </w:r>
                            <w:r w:rsidRPr="004A238F">
                              <w:rPr>
                                <w:rFonts w:ascii="Times New Roman" w:eastAsia="Times New Roman" w:hAnsi="Times New Roman" w:cs="Times New Roman"/>
                                <w:sz w:val="24"/>
                                <w:szCs w:val="24"/>
                                <w:lang w:val="sq-AL"/>
                              </w:rPr>
                              <w:t>profilet</w:t>
                            </w:r>
                            <w:r w:rsidRPr="004A238F">
                              <w:rPr>
                                <w:rFonts w:ascii="Times New Roman" w:eastAsia="Times New Roman" w:hAnsi="Times New Roman" w:cs="Times New Roman"/>
                                <w:spacing w:val="-1"/>
                                <w:sz w:val="24"/>
                                <w:szCs w:val="24"/>
                                <w:lang w:val="sq-AL"/>
                              </w:rPr>
                              <w:t xml:space="preserve"> </w:t>
                            </w:r>
                            <w:r w:rsidRPr="004A238F">
                              <w:rPr>
                                <w:rFonts w:ascii="Times New Roman" w:eastAsia="Times New Roman" w:hAnsi="Times New Roman" w:cs="Times New Roman"/>
                                <w:sz w:val="24"/>
                                <w:szCs w:val="24"/>
                                <w:lang w:val="sq-AL"/>
                              </w:rPr>
                              <w:t xml:space="preserve">në Vjosë, profili i Tepelenës dhe i Memaliajt. Në ekuilibër rezultojnë profilet në Andon Poçi (Drinos), Luadh, Dragot, Poçem dhe Ura e Mifolit. Profilet e tjerë, </w:t>
                            </w:r>
                            <w:r>
                              <w:rPr>
                                <w:rFonts w:ascii="Times New Roman" w:eastAsia="Times New Roman" w:hAnsi="Times New Roman" w:cs="Times New Roman"/>
                                <w:sz w:val="24"/>
                                <w:szCs w:val="24"/>
                                <w:lang w:val="sq-AL"/>
                              </w:rPr>
                              <w:t>kanë treguar tendenca akumulimi.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0F5433" id="Rectangle 305" o:spid="_x0000_s1080" style="position:absolute;margin-left:244.5pt;margin-top:22.75pt;width:3in;height:145.5pt;z-index:251696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" fillcolor="white [3201]" strokecolor="#70ad47 [3209]" strokeweight="1pt">
                <v:textbox>
                  <w:txbxContent>
                    <w:p w:rsidR="0064059F" w:rsidRDefault="0064059F" w:rsidP="004A238F">
                      <w:pPr>
                        <w:jc w:val="both"/>
                      </w:pPr>
                      <w:r w:rsidRPr="004A238F">
                        <w:rPr>
                          <w:rFonts w:ascii="Times New Roman" w:eastAsia="Times New Roman" w:hAnsi="Times New Roman" w:cs="Times New Roman"/>
                          <w:sz w:val="24"/>
                          <w:szCs w:val="24"/>
                          <w:lang w:val="sq-AL"/>
                        </w:rPr>
                        <w:t>Në</w:t>
                      </w:r>
                      <w:r w:rsidRPr="004A238F">
                        <w:rPr>
                          <w:rFonts w:ascii="Times New Roman" w:eastAsia="Times New Roman" w:hAnsi="Times New Roman" w:cs="Times New Roman"/>
                          <w:spacing w:val="-1"/>
                          <w:sz w:val="24"/>
                          <w:szCs w:val="24"/>
                          <w:lang w:val="sq-AL"/>
                        </w:rPr>
                        <w:t xml:space="preserve"> </w:t>
                      </w:r>
                      <w:r w:rsidRPr="004A238F">
                        <w:rPr>
                          <w:rFonts w:ascii="Times New Roman" w:eastAsia="Times New Roman" w:hAnsi="Times New Roman" w:cs="Times New Roman"/>
                          <w:sz w:val="24"/>
                          <w:szCs w:val="24"/>
                          <w:lang w:val="sq-AL"/>
                        </w:rPr>
                        <w:t>ecurinë</w:t>
                      </w:r>
                      <w:r w:rsidRPr="004A238F">
                        <w:rPr>
                          <w:rFonts w:ascii="Times New Roman" w:eastAsia="Times New Roman" w:hAnsi="Times New Roman" w:cs="Times New Roman"/>
                          <w:spacing w:val="-1"/>
                          <w:sz w:val="24"/>
                          <w:szCs w:val="24"/>
                          <w:lang w:val="sq-AL"/>
                        </w:rPr>
                        <w:t xml:space="preserve"> </w:t>
                      </w:r>
                      <w:r w:rsidRPr="004A238F">
                        <w:rPr>
                          <w:rFonts w:ascii="Times New Roman" w:eastAsia="Times New Roman" w:hAnsi="Times New Roman" w:cs="Times New Roman"/>
                          <w:sz w:val="24"/>
                          <w:szCs w:val="24"/>
                          <w:lang w:val="sq-AL"/>
                        </w:rPr>
                        <w:t>e</w:t>
                      </w:r>
                      <w:r w:rsidRPr="004A238F">
                        <w:rPr>
                          <w:rFonts w:ascii="Times New Roman" w:eastAsia="Times New Roman" w:hAnsi="Times New Roman" w:cs="Times New Roman"/>
                          <w:spacing w:val="-2"/>
                          <w:sz w:val="24"/>
                          <w:szCs w:val="24"/>
                          <w:lang w:val="sq-AL"/>
                        </w:rPr>
                        <w:t xml:space="preserve"> </w:t>
                      </w:r>
                      <w:r w:rsidRPr="004A238F">
                        <w:rPr>
                          <w:rFonts w:ascii="Times New Roman" w:eastAsia="Times New Roman" w:hAnsi="Times New Roman" w:cs="Times New Roman"/>
                          <w:sz w:val="24"/>
                          <w:szCs w:val="24"/>
                          <w:lang w:val="sq-AL"/>
                        </w:rPr>
                        <w:t>tyre</w:t>
                      </w:r>
                      <w:r w:rsidRPr="004A238F">
                        <w:rPr>
                          <w:rFonts w:ascii="Times New Roman" w:eastAsia="Times New Roman" w:hAnsi="Times New Roman" w:cs="Times New Roman"/>
                          <w:spacing w:val="-2"/>
                          <w:sz w:val="24"/>
                          <w:szCs w:val="24"/>
                          <w:lang w:val="sq-AL"/>
                        </w:rPr>
                        <w:t xml:space="preserve"> </w:t>
                      </w:r>
                      <w:r w:rsidRPr="004A238F">
                        <w:rPr>
                          <w:rFonts w:ascii="Times New Roman" w:eastAsia="Times New Roman" w:hAnsi="Times New Roman" w:cs="Times New Roman"/>
                          <w:sz w:val="24"/>
                          <w:szCs w:val="24"/>
                          <w:lang w:val="sq-AL"/>
                        </w:rPr>
                        <w:t>të përgjithshme,</w:t>
                      </w:r>
                      <w:r w:rsidRPr="004A238F">
                        <w:rPr>
                          <w:rFonts w:ascii="Times New Roman" w:eastAsia="Times New Roman" w:hAnsi="Times New Roman" w:cs="Times New Roman"/>
                          <w:spacing w:val="-1"/>
                          <w:sz w:val="24"/>
                          <w:szCs w:val="24"/>
                          <w:lang w:val="sq-AL"/>
                        </w:rPr>
                        <w:t xml:space="preserve"> </w:t>
                      </w:r>
                      <w:r w:rsidRPr="004A238F">
                        <w:rPr>
                          <w:rFonts w:ascii="Times New Roman" w:eastAsia="Times New Roman" w:hAnsi="Times New Roman" w:cs="Times New Roman"/>
                          <w:sz w:val="24"/>
                          <w:szCs w:val="24"/>
                          <w:lang w:val="sq-AL"/>
                        </w:rPr>
                        <w:t>janë</w:t>
                      </w:r>
                      <w:r w:rsidRPr="004A238F">
                        <w:rPr>
                          <w:rFonts w:ascii="Times New Roman" w:eastAsia="Times New Roman" w:hAnsi="Times New Roman" w:cs="Times New Roman"/>
                          <w:spacing w:val="-1"/>
                          <w:sz w:val="24"/>
                          <w:szCs w:val="24"/>
                          <w:lang w:val="sq-AL"/>
                        </w:rPr>
                        <w:t xml:space="preserve"> </w:t>
                      </w:r>
                      <w:r w:rsidRPr="004A238F">
                        <w:rPr>
                          <w:rFonts w:ascii="Times New Roman" w:eastAsia="Times New Roman" w:hAnsi="Times New Roman" w:cs="Times New Roman"/>
                          <w:sz w:val="24"/>
                          <w:szCs w:val="24"/>
                          <w:lang w:val="sq-AL"/>
                        </w:rPr>
                        <w:t>nën erozion</w:t>
                      </w:r>
                      <w:r w:rsidRPr="004A238F">
                        <w:rPr>
                          <w:rFonts w:ascii="Times New Roman" w:eastAsia="Times New Roman" w:hAnsi="Times New Roman" w:cs="Times New Roman"/>
                          <w:spacing w:val="-1"/>
                          <w:sz w:val="24"/>
                          <w:szCs w:val="24"/>
                          <w:lang w:val="sq-AL"/>
                        </w:rPr>
                        <w:t xml:space="preserve"> </w:t>
                      </w:r>
                      <w:r w:rsidRPr="004A238F">
                        <w:rPr>
                          <w:rFonts w:ascii="Times New Roman" w:eastAsia="Times New Roman" w:hAnsi="Times New Roman" w:cs="Times New Roman"/>
                          <w:sz w:val="24"/>
                          <w:szCs w:val="24"/>
                          <w:lang w:val="sq-AL"/>
                        </w:rPr>
                        <w:t>dy</w:t>
                      </w:r>
                      <w:r w:rsidRPr="004A238F">
                        <w:rPr>
                          <w:rFonts w:ascii="Times New Roman" w:eastAsia="Times New Roman" w:hAnsi="Times New Roman" w:cs="Times New Roman"/>
                          <w:spacing w:val="-6"/>
                          <w:sz w:val="24"/>
                          <w:szCs w:val="24"/>
                          <w:lang w:val="sq-AL"/>
                        </w:rPr>
                        <w:t xml:space="preserve"> </w:t>
                      </w:r>
                      <w:r w:rsidRPr="004A238F">
                        <w:rPr>
                          <w:rFonts w:ascii="Times New Roman" w:eastAsia="Times New Roman" w:hAnsi="Times New Roman" w:cs="Times New Roman"/>
                          <w:sz w:val="24"/>
                          <w:szCs w:val="24"/>
                          <w:lang w:val="sq-AL"/>
                        </w:rPr>
                        <w:t>nga</w:t>
                      </w:r>
                      <w:r w:rsidRPr="004A238F">
                        <w:rPr>
                          <w:rFonts w:ascii="Times New Roman" w:eastAsia="Times New Roman" w:hAnsi="Times New Roman" w:cs="Times New Roman"/>
                          <w:spacing w:val="-2"/>
                          <w:sz w:val="24"/>
                          <w:szCs w:val="24"/>
                          <w:lang w:val="sq-AL"/>
                        </w:rPr>
                        <w:t xml:space="preserve"> </w:t>
                      </w:r>
                      <w:r w:rsidRPr="004A238F">
                        <w:rPr>
                          <w:rFonts w:ascii="Times New Roman" w:eastAsia="Times New Roman" w:hAnsi="Times New Roman" w:cs="Times New Roman"/>
                          <w:sz w:val="24"/>
                          <w:szCs w:val="24"/>
                          <w:lang w:val="sq-AL"/>
                        </w:rPr>
                        <w:t>profilet</w:t>
                      </w:r>
                      <w:r w:rsidRPr="004A238F">
                        <w:rPr>
                          <w:rFonts w:ascii="Times New Roman" w:eastAsia="Times New Roman" w:hAnsi="Times New Roman" w:cs="Times New Roman"/>
                          <w:spacing w:val="-1"/>
                          <w:sz w:val="24"/>
                          <w:szCs w:val="24"/>
                          <w:lang w:val="sq-AL"/>
                        </w:rPr>
                        <w:t xml:space="preserve"> </w:t>
                      </w:r>
                      <w:r w:rsidRPr="004A238F">
                        <w:rPr>
                          <w:rFonts w:ascii="Times New Roman" w:eastAsia="Times New Roman" w:hAnsi="Times New Roman" w:cs="Times New Roman"/>
                          <w:sz w:val="24"/>
                          <w:szCs w:val="24"/>
                          <w:lang w:val="sq-AL"/>
                        </w:rPr>
                        <w:t xml:space="preserve">në Vjosë, profili i Tepelenës dhe i Memaliajt. Në ekuilibër rezultojnë profilet në Andon Poçi (Drinos), Luadh, Dragot, Poçem dhe Ura e Mifolit. Profilet e tjerë, </w:t>
                      </w:r>
                      <w:r>
                        <w:rPr>
                          <w:rFonts w:ascii="Times New Roman" w:eastAsia="Times New Roman" w:hAnsi="Times New Roman" w:cs="Times New Roman"/>
                          <w:sz w:val="24"/>
                          <w:szCs w:val="24"/>
                          <w:lang w:val="sq-AL"/>
                        </w:rPr>
                        <w:t>kanë treguar tendenca akumulimi.</w:t>
                      </w:r>
                    </w:p>
                  </w:txbxContent>
                </v:textbox>
              </v:rect>
            </w:pict>
          </mc:Fallback>
        </mc:AlternateContent>
      </w:r>
      <w:r w:rsidR="004A238F">
        <w:rPr>
          <w:rFonts w:ascii="Times New Roman" w:eastAsia="Calibri" w:hAnsi="Times New Roman" w:cs="Times New Roman"/>
          <w:b/>
          <w:sz w:val="24"/>
          <w:szCs w:val="24"/>
          <w:lang w:val="sq-AL"/>
        </w:rPr>
        <w:t>Lumi Vjosë</w:t>
      </w:r>
    </w:p>
    <w:p w:rsidR="004A238F" w:rsidRDefault="004A238F" w:rsidP="004B6ACF">
      <w:pPr>
        <w:tabs>
          <w:tab w:val="left" w:pos="9360"/>
        </w:tabs>
        <w:spacing w:after="200" w:line="276" w:lineRule="auto"/>
        <w:rPr>
          <w:rFonts w:ascii="Times New Roman" w:eastAsia="Calibri" w:hAnsi="Times New Roman" w:cs="Times New Roman"/>
          <w:b/>
          <w:sz w:val="24"/>
          <w:szCs w:val="24"/>
          <w:lang w:val="sq-AL"/>
        </w:rPr>
      </w:pPr>
    </w:p>
    <w:p w:rsidR="004A238F" w:rsidRDefault="004A238F" w:rsidP="004B6ACF">
      <w:pPr>
        <w:tabs>
          <w:tab w:val="left" w:pos="9360"/>
        </w:tabs>
        <w:spacing w:after="200" w:line="276" w:lineRule="auto"/>
        <w:rPr>
          <w:rFonts w:ascii="Times New Roman" w:eastAsia="Calibri" w:hAnsi="Times New Roman" w:cs="Times New Roman"/>
          <w:b/>
          <w:sz w:val="24"/>
          <w:szCs w:val="24"/>
          <w:lang w:val="sq-AL"/>
        </w:rPr>
      </w:pPr>
    </w:p>
    <w:p w:rsidR="004A238F" w:rsidRDefault="004A238F" w:rsidP="004B6ACF">
      <w:pPr>
        <w:tabs>
          <w:tab w:val="left" w:pos="9360"/>
        </w:tabs>
        <w:spacing w:after="200" w:line="276" w:lineRule="auto"/>
        <w:rPr>
          <w:rFonts w:ascii="Times New Roman" w:eastAsia="Calibri" w:hAnsi="Times New Roman" w:cs="Times New Roman"/>
          <w:b/>
          <w:sz w:val="24"/>
          <w:szCs w:val="24"/>
          <w:lang w:val="sq-AL"/>
        </w:rPr>
      </w:pPr>
    </w:p>
    <w:p w:rsidR="004A238F" w:rsidRDefault="004A238F" w:rsidP="004B6ACF">
      <w:pPr>
        <w:tabs>
          <w:tab w:val="left" w:pos="9360"/>
        </w:tabs>
        <w:spacing w:after="200" w:line="276" w:lineRule="auto"/>
        <w:rPr>
          <w:rFonts w:ascii="Times New Roman" w:eastAsia="Calibri" w:hAnsi="Times New Roman" w:cs="Times New Roman"/>
          <w:b/>
          <w:sz w:val="24"/>
          <w:szCs w:val="24"/>
          <w:lang w:val="sq-AL"/>
        </w:rPr>
      </w:pPr>
    </w:p>
    <w:p w:rsidR="004A238F" w:rsidRDefault="004A238F" w:rsidP="004B6ACF">
      <w:pPr>
        <w:tabs>
          <w:tab w:val="left" w:pos="9360"/>
        </w:tabs>
        <w:spacing w:after="200" w:line="276" w:lineRule="auto"/>
        <w:rPr>
          <w:rFonts w:ascii="Times New Roman" w:eastAsia="Calibri" w:hAnsi="Times New Roman" w:cs="Times New Roman"/>
          <w:b/>
          <w:sz w:val="24"/>
          <w:szCs w:val="24"/>
          <w:lang w:val="sq-AL"/>
        </w:rPr>
      </w:pPr>
    </w:p>
    <w:p w:rsidR="004A238F" w:rsidRDefault="004A238F" w:rsidP="004B6ACF">
      <w:pPr>
        <w:tabs>
          <w:tab w:val="left" w:pos="9360"/>
        </w:tabs>
        <w:spacing w:after="200" w:line="276" w:lineRule="auto"/>
        <w:rPr>
          <w:rFonts w:ascii="Times New Roman" w:eastAsia="Calibri" w:hAnsi="Times New Roman" w:cs="Times New Roman"/>
          <w:b/>
          <w:sz w:val="24"/>
          <w:szCs w:val="24"/>
          <w:lang w:val="sq-AL"/>
        </w:rPr>
      </w:pPr>
    </w:p>
    <w:p w:rsidR="006510D0" w:rsidRPr="006510D0" w:rsidRDefault="004A238F" w:rsidP="006510D0">
      <w:pPr>
        <w:tabs>
          <w:tab w:val="left" w:pos="9360"/>
        </w:tabs>
        <w:spacing w:after="200" w:line="276" w:lineRule="auto"/>
        <w:rPr>
          <w:rFonts w:ascii="Times New Roman" w:eastAsia="Calibri" w:hAnsi="Times New Roman" w:cs="Times New Roman"/>
          <w:sz w:val="24"/>
          <w:szCs w:val="24"/>
          <w:lang w:val="sq-AL"/>
        </w:rPr>
      </w:pPr>
      <w:r w:rsidRPr="003E5CA2">
        <w:rPr>
          <w:rFonts w:ascii="Times New Roman" w:eastAsia="Calibri" w:hAnsi="Times New Roman" w:cs="Times New Roman"/>
          <w:sz w:val="24"/>
          <w:szCs w:val="24"/>
          <w:lang w:val="sq-AL"/>
        </w:rPr>
        <w:t>Tabela.</w:t>
      </w:r>
      <w:r w:rsidR="00465EBF">
        <w:rPr>
          <w:rFonts w:ascii="Times New Roman" w:eastAsia="Calibri" w:hAnsi="Times New Roman" w:cs="Times New Roman"/>
          <w:sz w:val="24"/>
          <w:szCs w:val="24"/>
          <w:lang w:val="sq-AL"/>
        </w:rPr>
        <w:t xml:space="preserve"> 30</w:t>
      </w:r>
      <w:r>
        <w:rPr>
          <w:rFonts w:ascii="Times New Roman" w:eastAsia="Calibri" w:hAnsi="Times New Roman" w:cs="Times New Roman"/>
          <w:b/>
          <w:sz w:val="24"/>
          <w:szCs w:val="24"/>
          <w:lang w:val="sq-AL"/>
        </w:rPr>
        <w:t xml:space="preserve">  </w:t>
      </w:r>
      <w:r w:rsidR="003E5CA2" w:rsidRPr="003E5CA2">
        <w:rPr>
          <w:rFonts w:ascii="Times New Roman" w:eastAsia="Times New Roman" w:hAnsi="Times New Roman" w:cs="Times New Roman"/>
          <w:sz w:val="24"/>
          <w:szCs w:val="24"/>
          <w:lang w:val="sq-AL"/>
        </w:rPr>
        <w:t>Ndryshimet</w:t>
      </w:r>
      <w:r w:rsidR="003E5CA2" w:rsidRPr="003E5CA2">
        <w:rPr>
          <w:rFonts w:ascii="Times New Roman" w:eastAsia="Times New Roman" w:hAnsi="Times New Roman" w:cs="Times New Roman"/>
          <w:spacing w:val="-5"/>
          <w:sz w:val="24"/>
          <w:szCs w:val="24"/>
          <w:lang w:val="sq-AL"/>
        </w:rPr>
        <w:t xml:space="preserve"> </w:t>
      </w:r>
      <w:r w:rsidR="003E5CA2" w:rsidRPr="003E5CA2">
        <w:rPr>
          <w:rFonts w:ascii="Times New Roman" w:eastAsia="Times New Roman" w:hAnsi="Times New Roman" w:cs="Times New Roman"/>
          <w:sz w:val="24"/>
          <w:szCs w:val="24"/>
          <w:lang w:val="sq-AL"/>
        </w:rPr>
        <w:t>në</w:t>
      </w:r>
      <w:r w:rsidR="003E5CA2" w:rsidRPr="003E5CA2">
        <w:rPr>
          <w:rFonts w:ascii="Times New Roman" w:eastAsia="Times New Roman" w:hAnsi="Times New Roman" w:cs="Times New Roman"/>
          <w:spacing w:val="-3"/>
          <w:sz w:val="24"/>
          <w:szCs w:val="24"/>
          <w:lang w:val="sq-AL"/>
        </w:rPr>
        <w:t xml:space="preserve"> </w:t>
      </w:r>
      <w:r w:rsidR="003E5CA2" w:rsidRPr="003E5CA2">
        <w:rPr>
          <w:rFonts w:ascii="Times New Roman" w:eastAsia="Times New Roman" w:hAnsi="Times New Roman" w:cs="Times New Roman"/>
          <w:sz w:val="24"/>
          <w:szCs w:val="24"/>
          <w:lang w:val="sq-AL"/>
        </w:rPr>
        <w:t>profilet</w:t>
      </w:r>
      <w:r w:rsidR="003E5CA2" w:rsidRPr="003E5CA2">
        <w:rPr>
          <w:rFonts w:ascii="Times New Roman" w:eastAsia="Times New Roman" w:hAnsi="Times New Roman" w:cs="Times New Roman"/>
          <w:spacing w:val="-4"/>
          <w:sz w:val="24"/>
          <w:szCs w:val="24"/>
          <w:lang w:val="sq-AL"/>
        </w:rPr>
        <w:t xml:space="preserve"> </w:t>
      </w:r>
      <w:r w:rsidR="003E5CA2" w:rsidRPr="003E5CA2">
        <w:rPr>
          <w:rFonts w:ascii="Times New Roman" w:eastAsia="Times New Roman" w:hAnsi="Times New Roman" w:cs="Times New Roman"/>
          <w:sz w:val="24"/>
          <w:szCs w:val="24"/>
          <w:lang w:val="sq-AL"/>
        </w:rPr>
        <w:t>e</w:t>
      </w:r>
      <w:r w:rsidR="003E5CA2" w:rsidRPr="003E5CA2">
        <w:rPr>
          <w:rFonts w:ascii="Times New Roman" w:eastAsia="Times New Roman" w:hAnsi="Times New Roman" w:cs="Times New Roman"/>
          <w:spacing w:val="-6"/>
          <w:sz w:val="24"/>
          <w:szCs w:val="24"/>
          <w:lang w:val="sq-AL"/>
        </w:rPr>
        <w:t xml:space="preserve"> </w:t>
      </w:r>
      <w:r w:rsidR="003E5CA2" w:rsidRPr="003E5CA2">
        <w:rPr>
          <w:rFonts w:ascii="Times New Roman" w:eastAsia="Times New Roman" w:hAnsi="Times New Roman" w:cs="Times New Roman"/>
          <w:sz w:val="24"/>
          <w:szCs w:val="24"/>
          <w:lang w:val="sq-AL"/>
        </w:rPr>
        <w:t>monitorimit</w:t>
      </w:r>
      <w:r w:rsidR="003E5CA2" w:rsidRPr="003E5CA2">
        <w:rPr>
          <w:rFonts w:ascii="Times New Roman" w:eastAsia="Times New Roman" w:hAnsi="Times New Roman" w:cs="Times New Roman"/>
          <w:spacing w:val="-4"/>
          <w:sz w:val="24"/>
          <w:szCs w:val="24"/>
          <w:lang w:val="sq-AL"/>
        </w:rPr>
        <w:t xml:space="preserve"> </w:t>
      </w:r>
      <w:r w:rsidR="003E5CA2" w:rsidRPr="003E5CA2">
        <w:rPr>
          <w:rFonts w:ascii="Times New Roman" w:eastAsia="Times New Roman" w:hAnsi="Times New Roman" w:cs="Times New Roman"/>
          <w:sz w:val="24"/>
          <w:szCs w:val="24"/>
          <w:lang w:val="sq-AL"/>
        </w:rPr>
        <w:t>në</w:t>
      </w:r>
      <w:r w:rsidR="003E5CA2" w:rsidRPr="003E5CA2">
        <w:rPr>
          <w:rFonts w:ascii="Times New Roman" w:eastAsia="Times New Roman" w:hAnsi="Times New Roman" w:cs="Times New Roman"/>
          <w:spacing w:val="-5"/>
          <w:sz w:val="24"/>
          <w:szCs w:val="24"/>
          <w:lang w:val="sq-AL"/>
        </w:rPr>
        <w:t xml:space="preserve"> </w:t>
      </w:r>
      <w:r w:rsidR="003E5CA2" w:rsidRPr="003E5CA2">
        <w:rPr>
          <w:rFonts w:ascii="Times New Roman" w:eastAsia="Times New Roman" w:hAnsi="Times New Roman" w:cs="Times New Roman"/>
          <w:sz w:val="24"/>
          <w:szCs w:val="24"/>
          <w:lang w:val="sq-AL"/>
        </w:rPr>
        <w:t>lumi</w:t>
      </w:r>
      <w:r w:rsidR="003E5CA2" w:rsidRPr="003E5CA2">
        <w:rPr>
          <w:rFonts w:ascii="Times New Roman" w:eastAsia="Times New Roman" w:hAnsi="Times New Roman" w:cs="Times New Roman"/>
          <w:spacing w:val="-5"/>
          <w:sz w:val="24"/>
          <w:szCs w:val="24"/>
          <w:lang w:val="sq-AL"/>
        </w:rPr>
        <w:t xml:space="preserve"> </w:t>
      </w:r>
      <w:r w:rsidR="003E5CA2" w:rsidRPr="003E5CA2">
        <w:rPr>
          <w:rFonts w:ascii="Times New Roman" w:eastAsia="Times New Roman" w:hAnsi="Times New Roman" w:cs="Times New Roman"/>
          <w:sz w:val="24"/>
          <w:szCs w:val="24"/>
          <w:lang w:val="sq-AL"/>
        </w:rPr>
        <w:t>e</w:t>
      </w:r>
      <w:r w:rsidR="003E5CA2" w:rsidRPr="003E5CA2">
        <w:rPr>
          <w:rFonts w:ascii="Times New Roman" w:eastAsia="Times New Roman" w:hAnsi="Times New Roman" w:cs="Times New Roman"/>
          <w:spacing w:val="-5"/>
          <w:sz w:val="24"/>
          <w:szCs w:val="24"/>
          <w:lang w:val="sq-AL"/>
        </w:rPr>
        <w:t xml:space="preserve"> </w:t>
      </w:r>
      <w:r w:rsidR="003E5CA2" w:rsidRPr="003E5CA2">
        <w:rPr>
          <w:rFonts w:ascii="Times New Roman" w:eastAsia="Times New Roman" w:hAnsi="Times New Roman" w:cs="Times New Roman"/>
          <w:spacing w:val="-2"/>
          <w:sz w:val="24"/>
          <w:szCs w:val="24"/>
          <w:lang w:val="sq-AL"/>
        </w:rPr>
        <w:t>Vjosës</w:t>
      </w:r>
    </w:p>
    <w:p w:rsidR="003E5CA2" w:rsidRPr="006510D0" w:rsidRDefault="004A238F" w:rsidP="006510D0">
      <w:pPr>
        <w:tabs>
          <w:tab w:val="left" w:pos="9360"/>
        </w:tabs>
        <w:spacing w:after="200" w:line="276" w:lineRule="auto"/>
        <w:rPr>
          <w:rFonts w:ascii="Times New Roman" w:eastAsia="Calibri" w:hAnsi="Times New Roman" w:cs="Times New Roman"/>
          <w:b/>
          <w:sz w:val="24"/>
          <w:szCs w:val="24"/>
          <w:lang w:val="sq-AL"/>
        </w:rPr>
      </w:pPr>
      <w:r w:rsidRPr="004A238F">
        <w:rPr>
          <w:rFonts w:ascii="Arial" w:eastAsia="Times New Roman" w:hAnsi="Arial" w:cs="Times New Roman"/>
          <w:b/>
          <w:noProof/>
          <w:sz w:val="20"/>
        </w:rPr>
        <mc:AlternateContent>
          <mc:Choice Requires="wpg">
            <w:drawing>
              <wp:anchor distT="0" distB="0" distL="0" distR="0" simplePos="0" relativeHeight="251698688" behindDoc="1" locked="0" layoutInCell="1" allowOverlap="1" wp14:anchorId="33C93C43" wp14:editId="4A19980D">
                <wp:simplePos x="0" y="0"/>
                <wp:positionH relativeFrom="page">
                  <wp:posOffset>918845</wp:posOffset>
                </wp:positionH>
                <wp:positionV relativeFrom="paragraph">
                  <wp:posOffset>121285</wp:posOffset>
                </wp:positionV>
                <wp:extent cx="6105525" cy="1960880"/>
                <wp:effectExtent l="0" t="0" r="9525" b="20320"/>
                <wp:wrapTopAndBottom/>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1960880"/>
                          <a:chOff x="0" y="0"/>
                          <a:chExt cx="6105525" cy="1961514"/>
                        </a:xfrm>
                      </wpg:grpSpPr>
                      <pic:pic xmlns:pic="http://schemas.openxmlformats.org/drawingml/2006/picture">
                        <pic:nvPicPr>
                          <pic:cNvPr id="307" name="Image 74"/>
                          <pic:cNvPicPr/>
                        </pic:nvPicPr>
                        <pic:blipFill>
                          <a:blip r:embed="rId167" cstate="print"/>
                          <a:stretch>
                            <a:fillRect/>
                          </a:stretch>
                        </pic:blipFill>
                        <pic:spPr>
                          <a:xfrm>
                            <a:off x="9144" y="9144"/>
                            <a:ext cx="6086856" cy="1943100"/>
                          </a:xfrm>
                          <a:prstGeom prst="rect">
                            <a:avLst/>
                          </a:prstGeom>
                        </pic:spPr>
                      </pic:pic>
                      <wps:wsp>
                        <wps:cNvPr id="308" name="Graphic 75"/>
                        <wps:cNvSpPr/>
                        <wps:spPr>
                          <a:xfrm>
                            <a:off x="4572" y="4572"/>
                            <a:ext cx="6096000" cy="1952625"/>
                          </a:xfrm>
                          <a:custGeom>
                            <a:avLst/>
                            <a:gdLst/>
                            <a:ahLst/>
                            <a:cxnLst/>
                            <a:rect l="l" t="t" r="r" b="b"/>
                            <a:pathLst>
                              <a:path w="6096000" h="1952625">
                                <a:moveTo>
                                  <a:pt x="0" y="1952244"/>
                                </a:moveTo>
                                <a:lnTo>
                                  <a:pt x="6096000" y="1952244"/>
                                </a:lnTo>
                                <a:lnTo>
                                  <a:pt x="6096000" y="0"/>
                                </a:lnTo>
                                <a:lnTo>
                                  <a:pt x="0" y="0"/>
                                </a:lnTo>
                                <a:lnTo>
                                  <a:pt x="0" y="1952244"/>
                                </a:lnTo>
                                <a:close/>
                              </a:path>
                            </a:pathLst>
                          </a:custGeom>
                          <a:ln w="9144">
                            <a:solidFill>
                              <a:srgbClr val="4F6128"/>
                            </a:solidFill>
                            <a:prstDash val="solid"/>
                          </a:ln>
                        </wps:spPr>
                        <wps:bodyPr wrap="square" lIns="0" tIns="0" rIns="0" bIns="0" rtlCol="0">
                          <a:prstTxWarp prst="textNoShape">
                            <a:avLst/>
                          </a:prstTxWarp>
                          <a:noAutofit/>
                        </wps:bodyPr>
                      </wps:wsp>
                    </wpg:wgp>
                  </a:graphicData>
                </a:graphic>
              </wp:anchor>
            </w:drawing>
          </mc:Choice>
          <mc:Fallback>
            <w:pict>
              <v:group w14:anchorId="0F89FFA2" id="Group 306" o:spid="_x0000_s1026" style="position:absolute;margin-left:72.35pt;margin-top:9.55pt;width:480.75pt;height:154.4pt;z-index:-251617792;mso-wrap-distance-left:0;mso-wrap-distance-right:0;mso-position-horizontal-relative:page" coordsize="61055,19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">
                <v:shape id="Image 74" o:spid="_x0000_s1027" type="#_x0000_t75" style="position:absolute;left:91;top:91;width:60869;height:19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">
                  <v:imagedata r:id="rId168" o:title=""/>
                </v:shape>
                <v:shape id="Graphic 75" o:spid="_x0000_s1028" style="position:absolute;left:45;top:45;width:60960;height:19526;visibility:visible;mso-wrap-style:square;v-text-anchor:top" coordsize="6096000,195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" path="m,1952244r6096000,l6096000,,,,,1952244xe" filled="f" strokecolor="#4f6128" strokeweight=".72pt">
                  <v:path arrowok="t"/>
                </v:shape>
                <w10:wrap type="topAndBottom" anchorx="page"/>
              </v:group>
            </w:pict>
          </mc:Fallback>
        </mc:AlternateContent>
      </w:r>
      <w:r w:rsidR="003E5CA2" w:rsidRPr="003E5CA2">
        <w:rPr>
          <w:rFonts w:ascii="Times New Roman" w:eastAsia="Times New Roman" w:hAnsi="Times New Roman" w:cs="Times New Roman"/>
          <w:b/>
          <w:sz w:val="24"/>
          <w:lang w:val="sq-AL"/>
        </w:rPr>
        <w:t>Problematikat e hasura</w:t>
      </w:r>
    </w:p>
    <w:p w:rsidR="003E5CA2" w:rsidRPr="003E5CA2" w:rsidRDefault="003E5CA2" w:rsidP="003E5CA2">
      <w:pPr>
        <w:widowControl w:val="0"/>
        <w:tabs>
          <w:tab w:val="left" w:pos="1289"/>
        </w:tabs>
        <w:autoSpaceDE w:val="0"/>
        <w:autoSpaceDN w:val="0"/>
        <w:spacing w:before="271" w:after="0" w:line="240" w:lineRule="auto"/>
        <w:jc w:val="both"/>
        <w:rPr>
          <w:rFonts w:ascii="Times New Roman" w:eastAsia="Times New Roman" w:hAnsi="Times New Roman" w:cs="Times New Roman"/>
          <w:sz w:val="24"/>
          <w:lang w:val="sq-AL"/>
        </w:rPr>
      </w:pPr>
      <w:r>
        <w:rPr>
          <w:rFonts w:ascii="Times New Roman" w:eastAsia="Times New Roman" w:hAnsi="Times New Roman" w:cs="Times New Roman"/>
          <w:sz w:val="24"/>
          <w:lang w:val="sq-AL"/>
        </w:rPr>
        <w:t>P</w:t>
      </w:r>
      <w:r w:rsidRPr="003E5CA2">
        <w:rPr>
          <w:rFonts w:ascii="Times New Roman" w:eastAsia="Times New Roman" w:hAnsi="Times New Roman" w:cs="Times New Roman"/>
          <w:sz w:val="24"/>
          <w:lang w:val="sq-AL"/>
        </w:rPr>
        <w:t>roblematikat më të mëdha, shfaqen në shtratin e lumit të Drinosit. Lugina e Vjosës ruan ende parametra natyrorë të një lumi deri diku të virgjër, sidomos në rrjedhjen e sipërme të tij, nga Çarshova e deri në bashkimin me lumin e Drinosit dhe nga Memaliaj deri në Poçem.</w:t>
      </w:r>
    </w:p>
    <w:p w:rsidR="003E5CA2" w:rsidRPr="003E5CA2" w:rsidRDefault="003E5CA2" w:rsidP="003E5CA2">
      <w:pPr>
        <w:pStyle w:val="BodyText"/>
        <w:spacing w:before="64"/>
        <w:jc w:val="both"/>
        <w:rPr>
          <w:lang w:val="sq-AL"/>
        </w:rPr>
      </w:pPr>
      <w:r>
        <w:rPr>
          <w:lang w:val="sq-AL"/>
        </w:rPr>
        <w:t>N</w:t>
      </w:r>
      <w:r w:rsidRPr="003E5CA2">
        <w:rPr>
          <w:lang w:val="sq-AL"/>
        </w:rPr>
        <w:t>ë shtratin e lumit Vjosë, mbizotëron proçesi i sedimentimit me përjashtim të dy profileve Tepelenë</w:t>
      </w:r>
      <w:r w:rsidRPr="003E5CA2">
        <w:rPr>
          <w:spacing w:val="-2"/>
          <w:lang w:val="sq-AL"/>
        </w:rPr>
        <w:t xml:space="preserve"> </w:t>
      </w:r>
      <w:r w:rsidRPr="003E5CA2">
        <w:rPr>
          <w:lang w:val="sq-AL"/>
        </w:rPr>
        <w:t>dhe</w:t>
      </w:r>
      <w:r w:rsidRPr="003E5CA2">
        <w:rPr>
          <w:spacing w:val="-1"/>
          <w:lang w:val="sq-AL"/>
        </w:rPr>
        <w:t xml:space="preserve"> </w:t>
      </w:r>
      <w:r w:rsidRPr="003E5CA2">
        <w:rPr>
          <w:lang w:val="sq-AL"/>
        </w:rPr>
        <w:t>Memaliaj. I</w:t>
      </w:r>
      <w:r>
        <w:rPr>
          <w:lang w:val="sq-AL"/>
        </w:rPr>
        <w:t>n</w:t>
      </w:r>
      <w:r w:rsidRPr="003E5CA2">
        <w:rPr>
          <w:lang w:val="sq-AL"/>
        </w:rPr>
        <w:t>tensiteti i shfrytëzimit</w:t>
      </w:r>
      <w:r w:rsidRPr="003E5CA2">
        <w:rPr>
          <w:spacing w:val="40"/>
          <w:lang w:val="sq-AL"/>
        </w:rPr>
        <w:t xml:space="preserve"> </w:t>
      </w:r>
      <w:r w:rsidRPr="003E5CA2">
        <w:rPr>
          <w:lang w:val="sq-AL"/>
        </w:rPr>
        <w:t>të shtratit është</w:t>
      </w:r>
      <w:r w:rsidRPr="003E5CA2">
        <w:rPr>
          <w:spacing w:val="-1"/>
          <w:lang w:val="sq-AL"/>
        </w:rPr>
        <w:t xml:space="preserve"> </w:t>
      </w:r>
      <w:r w:rsidRPr="003E5CA2">
        <w:rPr>
          <w:lang w:val="sq-AL"/>
        </w:rPr>
        <w:t>relativisht i ulët lidhur kjo edhe</w:t>
      </w:r>
      <w:r w:rsidRPr="003E5CA2">
        <w:rPr>
          <w:spacing w:val="40"/>
          <w:lang w:val="sq-AL"/>
        </w:rPr>
        <w:t xml:space="preserve"> </w:t>
      </w:r>
      <w:r w:rsidRPr="003E5CA2">
        <w:rPr>
          <w:lang w:val="sq-AL"/>
        </w:rPr>
        <w:t>me kërkesën</w:t>
      </w:r>
      <w:r w:rsidRPr="003E5CA2">
        <w:rPr>
          <w:spacing w:val="-1"/>
          <w:lang w:val="sq-AL"/>
        </w:rPr>
        <w:t xml:space="preserve"> </w:t>
      </w:r>
      <w:r w:rsidRPr="003E5CA2">
        <w:rPr>
          <w:lang w:val="sq-AL"/>
        </w:rPr>
        <w:t>më</w:t>
      </w:r>
      <w:r w:rsidRPr="003E5CA2">
        <w:rPr>
          <w:spacing w:val="-1"/>
          <w:lang w:val="sq-AL"/>
        </w:rPr>
        <w:t xml:space="preserve"> </w:t>
      </w:r>
      <w:r w:rsidRPr="003E5CA2">
        <w:rPr>
          <w:lang w:val="sq-AL"/>
        </w:rPr>
        <w:t>të</w:t>
      </w:r>
      <w:r w:rsidRPr="003E5CA2">
        <w:rPr>
          <w:spacing w:val="-1"/>
          <w:lang w:val="sq-AL"/>
        </w:rPr>
        <w:t xml:space="preserve"> </w:t>
      </w:r>
      <w:r w:rsidRPr="003E5CA2">
        <w:rPr>
          <w:lang w:val="sq-AL"/>
        </w:rPr>
        <w:t>vogël për</w:t>
      </w:r>
      <w:r w:rsidRPr="003E5CA2">
        <w:rPr>
          <w:spacing w:val="1"/>
          <w:lang w:val="sq-AL"/>
        </w:rPr>
        <w:t xml:space="preserve"> </w:t>
      </w:r>
      <w:r w:rsidRPr="003E5CA2">
        <w:rPr>
          <w:lang w:val="sq-AL"/>
        </w:rPr>
        <w:t>inerte lumore</w:t>
      </w:r>
      <w:r w:rsidRPr="003E5CA2">
        <w:rPr>
          <w:spacing w:val="-2"/>
          <w:lang w:val="sq-AL"/>
        </w:rPr>
        <w:t xml:space="preserve"> </w:t>
      </w:r>
      <w:r w:rsidRPr="003E5CA2">
        <w:rPr>
          <w:lang w:val="sq-AL"/>
        </w:rPr>
        <w:t>në</w:t>
      </w:r>
      <w:r w:rsidRPr="003E5CA2">
        <w:rPr>
          <w:spacing w:val="-1"/>
          <w:lang w:val="sq-AL"/>
        </w:rPr>
        <w:t xml:space="preserve"> </w:t>
      </w:r>
      <w:r w:rsidRPr="003E5CA2">
        <w:rPr>
          <w:lang w:val="sq-AL"/>
        </w:rPr>
        <w:t>zonat ku ky</w:t>
      </w:r>
      <w:r w:rsidRPr="003E5CA2">
        <w:rPr>
          <w:spacing w:val="-5"/>
          <w:lang w:val="sq-AL"/>
        </w:rPr>
        <w:t xml:space="preserve"> </w:t>
      </w:r>
      <w:r w:rsidRPr="003E5CA2">
        <w:rPr>
          <w:lang w:val="sq-AL"/>
        </w:rPr>
        <w:t>lumë</w:t>
      </w:r>
      <w:r w:rsidRPr="003E5CA2">
        <w:rPr>
          <w:spacing w:val="-1"/>
          <w:lang w:val="sq-AL"/>
        </w:rPr>
        <w:t xml:space="preserve"> </w:t>
      </w:r>
      <w:r w:rsidRPr="003E5CA2">
        <w:rPr>
          <w:spacing w:val="-2"/>
          <w:lang w:val="sq-AL"/>
        </w:rPr>
        <w:t>kalon.</w:t>
      </w:r>
    </w:p>
    <w:p w:rsidR="003E5CA2" w:rsidRPr="003E5CA2" w:rsidRDefault="003E5CA2" w:rsidP="003E5CA2">
      <w:pPr>
        <w:widowControl w:val="0"/>
        <w:tabs>
          <w:tab w:val="left" w:pos="1321"/>
        </w:tabs>
        <w:autoSpaceDE w:val="0"/>
        <w:autoSpaceDN w:val="0"/>
        <w:spacing w:after="0" w:line="240" w:lineRule="auto"/>
        <w:jc w:val="both"/>
        <w:rPr>
          <w:rFonts w:ascii="Times New Roman" w:eastAsia="Times New Roman" w:hAnsi="Times New Roman" w:cs="Times New Roman"/>
          <w:sz w:val="24"/>
          <w:lang w:val="sq-AL"/>
        </w:rPr>
      </w:pPr>
      <w:r w:rsidRPr="003E5CA2">
        <w:rPr>
          <w:rFonts w:ascii="Times New Roman" w:eastAsia="Times New Roman" w:hAnsi="Times New Roman" w:cs="Times New Roman"/>
          <w:sz w:val="24"/>
          <w:lang w:val="sq-AL"/>
        </w:rPr>
        <w:t>Erozion</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anësor</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i</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tokës</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bujqësore</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dhe</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i</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brigjeve</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në</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sektorë</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të</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caktuar</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si</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Andon</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Poçi,</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Ura</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e Subashit, Memaliaj, Kashisht</w:t>
      </w:r>
      <w:r w:rsidR="00E615C2">
        <w:rPr>
          <w:rFonts w:ascii="Times New Roman" w:eastAsia="Times New Roman" w:hAnsi="Times New Roman" w:cs="Times New Roman"/>
          <w:sz w:val="24"/>
          <w:lang w:val="sq-AL"/>
        </w:rPr>
        <w:t>.</w:t>
      </w:r>
    </w:p>
    <w:p w:rsidR="003E5CA2" w:rsidRPr="006510D0" w:rsidRDefault="003E5CA2" w:rsidP="006510D0">
      <w:pPr>
        <w:jc w:val="both"/>
        <w:rPr>
          <w:rFonts w:ascii="Times New Roman" w:hAnsi="Times New Roman" w:cs="Times New Roman"/>
          <w:sz w:val="24"/>
          <w:szCs w:val="24"/>
          <w:lang w:val="sq-AL"/>
        </w:rPr>
      </w:pPr>
      <w:r w:rsidRPr="006510D0">
        <w:rPr>
          <w:rFonts w:ascii="Times New Roman" w:hAnsi="Times New Roman" w:cs="Times New Roman"/>
          <w:sz w:val="24"/>
          <w:szCs w:val="24"/>
          <w:lang w:val="sq-AL"/>
        </w:rPr>
        <w:t>Degradim</w:t>
      </w:r>
      <w:r w:rsidRPr="006510D0">
        <w:rPr>
          <w:rFonts w:ascii="Times New Roman" w:hAnsi="Times New Roman" w:cs="Times New Roman"/>
          <w:spacing w:val="-3"/>
          <w:sz w:val="24"/>
          <w:szCs w:val="24"/>
          <w:lang w:val="sq-AL"/>
        </w:rPr>
        <w:t xml:space="preserve"> </w:t>
      </w:r>
      <w:r w:rsidRPr="006510D0">
        <w:rPr>
          <w:rFonts w:ascii="Times New Roman" w:hAnsi="Times New Roman" w:cs="Times New Roman"/>
          <w:sz w:val="24"/>
          <w:szCs w:val="24"/>
          <w:lang w:val="sq-AL"/>
        </w:rPr>
        <w:t>i</w:t>
      </w:r>
      <w:r w:rsidRPr="006510D0">
        <w:rPr>
          <w:rFonts w:ascii="Times New Roman" w:hAnsi="Times New Roman" w:cs="Times New Roman"/>
          <w:spacing w:val="-1"/>
          <w:sz w:val="24"/>
          <w:szCs w:val="24"/>
          <w:lang w:val="sq-AL"/>
        </w:rPr>
        <w:t xml:space="preserve"> </w:t>
      </w:r>
      <w:r w:rsidRPr="006510D0">
        <w:rPr>
          <w:rFonts w:ascii="Times New Roman" w:hAnsi="Times New Roman" w:cs="Times New Roman"/>
          <w:sz w:val="24"/>
          <w:szCs w:val="24"/>
          <w:lang w:val="sq-AL"/>
        </w:rPr>
        <w:t>strukturës</w:t>
      </w:r>
      <w:r w:rsidRPr="006510D0">
        <w:rPr>
          <w:rFonts w:ascii="Times New Roman" w:hAnsi="Times New Roman" w:cs="Times New Roman"/>
          <w:spacing w:val="-2"/>
          <w:sz w:val="24"/>
          <w:szCs w:val="24"/>
          <w:lang w:val="sq-AL"/>
        </w:rPr>
        <w:t xml:space="preserve"> </w:t>
      </w:r>
      <w:r w:rsidRPr="006510D0">
        <w:rPr>
          <w:rFonts w:ascii="Times New Roman" w:hAnsi="Times New Roman" w:cs="Times New Roman"/>
          <w:sz w:val="24"/>
          <w:szCs w:val="24"/>
          <w:lang w:val="sq-AL"/>
        </w:rPr>
        <w:t>së kanalit</w:t>
      </w:r>
      <w:r w:rsidRPr="006510D0">
        <w:rPr>
          <w:rFonts w:ascii="Times New Roman" w:hAnsi="Times New Roman" w:cs="Times New Roman"/>
          <w:spacing w:val="-1"/>
          <w:sz w:val="24"/>
          <w:szCs w:val="24"/>
          <w:lang w:val="sq-AL"/>
        </w:rPr>
        <w:t xml:space="preserve"> </w:t>
      </w:r>
      <w:r w:rsidRPr="006510D0">
        <w:rPr>
          <w:rFonts w:ascii="Times New Roman" w:hAnsi="Times New Roman" w:cs="Times New Roman"/>
          <w:sz w:val="24"/>
          <w:szCs w:val="24"/>
          <w:lang w:val="sq-AL"/>
        </w:rPr>
        <w:t>të</w:t>
      </w:r>
      <w:r w:rsidRPr="006510D0">
        <w:rPr>
          <w:rFonts w:ascii="Times New Roman" w:hAnsi="Times New Roman" w:cs="Times New Roman"/>
          <w:spacing w:val="-2"/>
          <w:sz w:val="24"/>
          <w:szCs w:val="24"/>
          <w:lang w:val="sq-AL"/>
        </w:rPr>
        <w:t xml:space="preserve"> </w:t>
      </w:r>
      <w:r w:rsidRPr="006510D0">
        <w:rPr>
          <w:rFonts w:ascii="Times New Roman" w:hAnsi="Times New Roman" w:cs="Times New Roman"/>
          <w:sz w:val="24"/>
          <w:szCs w:val="24"/>
          <w:lang w:val="sq-AL"/>
        </w:rPr>
        <w:t>rrjedhës</w:t>
      </w:r>
      <w:r w:rsidRPr="006510D0">
        <w:rPr>
          <w:rFonts w:ascii="Times New Roman" w:hAnsi="Times New Roman" w:cs="Times New Roman"/>
          <w:spacing w:val="-1"/>
          <w:sz w:val="24"/>
          <w:szCs w:val="24"/>
          <w:lang w:val="sq-AL"/>
        </w:rPr>
        <w:t xml:space="preserve"> </w:t>
      </w:r>
      <w:r w:rsidRPr="006510D0">
        <w:rPr>
          <w:rFonts w:ascii="Times New Roman" w:hAnsi="Times New Roman" w:cs="Times New Roman"/>
          <w:sz w:val="24"/>
          <w:szCs w:val="24"/>
          <w:lang w:val="sq-AL"/>
        </w:rPr>
        <w:t>në</w:t>
      </w:r>
      <w:r w:rsidRPr="006510D0">
        <w:rPr>
          <w:rFonts w:ascii="Times New Roman" w:hAnsi="Times New Roman" w:cs="Times New Roman"/>
          <w:spacing w:val="-2"/>
          <w:sz w:val="24"/>
          <w:szCs w:val="24"/>
          <w:lang w:val="sq-AL"/>
        </w:rPr>
        <w:t xml:space="preserve"> </w:t>
      </w:r>
      <w:r w:rsidRPr="006510D0">
        <w:rPr>
          <w:rFonts w:ascii="Times New Roman" w:hAnsi="Times New Roman" w:cs="Times New Roman"/>
          <w:sz w:val="24"/>
          <w:szCs w:val="24"/>
          <w:lang w:val="sq-AL"/>
        </w:rPr>
        <w:t>sektorë të</w:t>
      </w:r>
      <w:r w:rsidRPr="006510D0">
        <w:rPr>
          <w:rFonts w:ascii="Times New Roman" w:hAnsi="Times New Roman" w:cs="Times New Roman"/>
          <w:spacing w:val="-1"/>
          <w:sz w:val="24"/>
          <w:szCs w:val="24"/>
          <w:lang w:val="sq-AL"/>
        </w:rPr>
        <w:t xml:space="preserve"> </w:t>
      </w:r>
      <w:r w:rsidRPr="006510D0">
        <w:rPr>
          <w:rFonts w:ascii="Times New Roman" w:hAnsi="Times New Roman" w:cs="Times New Roman"/>
          <w:sz w:val="24"/>
          <w:szCs w:val="24"/>
          <w:lang w:val="sq-AL"/>
        </w:rPr>
        <w:t>caktuar, sidomos</w:t>
      </w:r>
      <w:r w:rsidRPr="006510D0">
        <w:rPr>
          <w:rFonts w:ascii="Times New Roman" w:hAnsi="Times New Roman" w:cs="Times New Roman"/>
          <w:spacing w:val="-1"/>
          <w:sz w:val="24"/>
          <w:szCs w:val="24"/>
          <w:lang w:val="sq-AL"/>
        </w:rPr>
        <w:t xml:space="preserve"> </w:t>
      </w:r>
      <w:r w:rsidRPr="006510D0">
        <w:rPr>
          <w:rFonts w:ascii="Times New Roman" w:hAnsi="Times New Roman" w:cs="Times New Roman"/>
          <w:sz w:val="24"/>
          <w:szCs w:val="24"/>
          <w:lang w:val="sq-AL"/>
        </w:rPr>
        <w:t>në</w:t>
      </w:r>
      <w:r w:rsidRPr="006510D0">
        <w:rPr>
          <w:rFonts w:ascii="Times New Roman" w:hAnsi="Times New Roman" w:cs="Times New Roman"/>
          <w:spacing w:val="-2"/>
          <w:sz w:val="24"/>
          <w:szCs w:val="24"/>
          <w:lang w:val="sq-AL"/>
        </w:rPr>
        <w:t xml:space="preserve"> </w:t>
      </w:r>
      <w:r w:rsidRPr="006510D0">
        <w:rPr>
          <w:rFonts w:ascii="Times New Roman" w:hAnsi="Times New Roman" w:cs="Times New Roman"/>
          <w:sz w:val="24"/>
          <w:szCs w:val="24"/>
          <w:lang w:val="sq-AL"/>
        </w:rPr>
        <w:t xml:space="preserve">lumin </w:t>
      </w:r>
      <w:r w:rsidRPr="006510D0">
        <w:rPr>
          <w:rFonts w:ascii="Times New Roman" w:hAnsi="Times New Roman" w:cs="Times New Roman"/>
          <w:spacing w:val="-2"/>
          <w:sz w:val="24"/>
          <w:szCs w:val="24"/>
          <w:lang w:val="sq-AL"/>
        </w:rPr>
        <w:t>Drinos.</w:t>
      </w:r>
    </w:p>
    <w:p w:rsidR="003E5CA2" w:rsidRPr="006510D0" w:rsidRDefault="003E5CA2" w:rsidP="006510D0">
      <w:pPr>
        <w:jc w:val="both"/>
        <w:rPr>
          <w:rFonts w:ascii="Times New Roman" w:hAnsi="Times New Roman" w:cs="Times New Roman"/>
          <w:sz w:val="24"/>
          <w:szCs w:val="24"/>
          <w:lang w:val="sq-AL"/>
        </w:rPr>
      </w:pPr>
      <w:r w:rsidRPr="006510D0">
        <w:rPr>
          <w:rFonts w:ascii="Times New Roman" w:hAnsi="Times New Roman" w:cs="Times New Roman"/>
          <w:sz w:val="24"/>
          <w:szCs w:val="24"/>
          <w:lang w:val="sq-AL"/>
        </w:rPr>
        <w:t>Zgjerimi i zonës së përmbytjes së terracës së shtratit në lumin e Drinosit e shprehur kjo me shtimin e depozitimeve zhavorrore mbi n</w:t>
      </w:r>
      <w:r w:rsidR="00E615C2" w:rsidRPr="006510D0">
        <w:rPr>
          <w:rFonts w:ascii="Times New Roman" w:hAnsi="Times New Roman" w:cs="Times New Roman"/>
          <w:sz w:val="24"/>
          <w:szCs w:val="24"/>
          <w:lang w:val="sq-AL"/>
        </w:rPr>
        <w:t>ivelin e kësaj terrace</w:t>
      </w:r>
      <w:r w:rsidRPr="006510D0">
        <w:rPr>
          <w:rFonts w:ascii="Times New Roman" w:hAnsi="Times New Roman" w:cs="Times New Roman"/>
          <w:sz w:val="24"/>
          <w:szCs w:val="24"/>
          <w:lang w:val="sq-AL"/>
        </w:rPr>
        <w:t>.</w:t>
      </w:r>
    </w:p>
    <w:p w:rsidR="003E5CA2" w:rsidRPr="003E5CA2" w:rsidRDefault="003E5CA2" w:rsidP="006510D0">
      <w:pPr>
        <w:jc w:val="both"/>
        <w:rPr>
          <w:lang w:val="sq-AL"/>
        </w:rPr>
      </w:pPr>
      <w:r w:rsidRPr="006510D0">
        <w:rPr>
          <w:rFonts w:ascii="Times New Roman" w:hAnsi="Times New Roman" w:cs="Times New Roman"/>
          <w:sz w:val="24"/>
          <w:szCs w:val="24"/>
          <w:lang w:val="sq-AL"/>
        </w:rPr>
        <w:t>Mbathje</w:t>
      </w:r>
      <w:r w:rsidRPr="006510D0">
        <w:rPr>
          <w:rFonts w:ascii="Times New Roman" w:hAnsi="Times New Roman" w:cs="Times New Roman"/>
          <w:spacing w:val="-2"/>
          <w:sz w:val="24"/>
          <w:szCs w:val="24"/>
          <w:lang w:val="sq-AL"/>
        </w:rPr>
        <w:t xml:space="preserve"> </w:t>
      </w:r>
      <w:r w:rsidRPr="006510D0">
        <w:rPr>
          <w:rFonts w:ascii="Times New Roman" w:hAnsi="Times New Roman" w:cs="Times New Roman"/>
          <w:sz w:val="24"/>
          <w:szCs w:val="24"/>
          <w:lang w:val="sq-AL"/>
        </w:rPr>
        <w:t>e</w:t>
      </w:r>
      <w:r w:rsidRPr="006510D0">
        <w:rPr>
          <w:rFonts w:ascii="Times New Roman" w:hAnsi="Times New Roman" w:cs="Times New Roman"/>
          <w:spacing w:val="-2"/>
          <w:sz w:val="24"/>
          <w:szCs w:val="24"/>
          <w:lang w:val="sq-AL"/>
        </w:rPr>
        <w:t xml:space="preserve"> </w:t>
      </w:r>
      <w:r w:rsidRPr="006510D0">
        <w:rPr>
          <w:rFonts w:ascii="Times New Roman" w:hAnsi="Times New Roman" w:cs="Times New Roman"/>
          <w:sz w:val="24"/>
          <w:szCs w:val="24"/>
          <w:lang w:val="sq-AL"/>
        </w:rPr>
        <w:t>shtratit nga Kashishti deri në det me material të imët aluvial  çka shkakton ulje të kapacitetit përcjellës të kanalit të rrjedhës në raste plotash të menjëhershme dhe</w:t>
      </w:r>
      <w:r w:rsidRPr="003E5CA2">
        <w:rPr>
          <w:lang w:val="sq-AL"/>
        </w:rPr>
        <w:t xml:space="preserve"> </w:t>
      </w:r>
      <w:r w:rsidRPr="006510D0">
        <w:rPr>
          <w:rFonts w:ascii="Times New Roman" w:hAnsi="Times New Roman" w:cs="Times New Roman"/>
          <w:sz w:val="24"/>
          <w:szCs w:val="24"/>
          <w:lang w:val="sq-AL"/>
        </w:rPr>
        <w:t>shkaktim të përmbytjes masive të ultësirës pranëbregore.</w:t>
      </w:r>
    </w:p>
    <w:p w:rsidR="003E5CA2" w:rsidRPr="006510D0" w:rsidRDefault="003E5CA2" w:rsidP="006510D0">
      <w:pPr>
        <w:widowControl w:val="0"/>
        <w:tabs>
          <w:tab w:val="left" w:pos="1277"/>
        </w:tabs>
        <w:autoSpaceDE w:val="0"/>
        <w:autoSpaceDN w:val="0"/>
        <w:spacing w:after="0" w:line="240" w:lineRule="auto"/>
        <w:ind w:right="770"/>
        <w:jc w:val="both"/>
        <w:rPr>
          <w:rFonts w:ascii="Times New Roman" w:eastAsia="Times New Roman" w:hAnsi="Times New Roman" w:cs="Times New Roman"/>
          <w:b/>
          <w:bCs/>
          <w:spacing w:val="-2"/>
          <w:sz w:val="24"/>
          <w:szCs w:val="24"/>
          <w:lang w:val="sq-AL"/>
        </w:rPr>
      </w:pPr>
      <w:r w:rsidRPr="006510D0">
        <w:rPr>
          <w:rFonts w:ascii="Times New Roman" w:hAnsi="Times New Roman" w:cs="Times New Roman"/>
          <w:sz w:val="24"/>
          <w:szCs w:val="24"/>
        </w:rPr>
        <w:t xml:space="preserve">Rrezikime dhe prishje të objekteve inxhinjerike, si ura, vepra mbrojtëse dhe argjinatura </w:t>
      </w:r>
      <w:r w:rsidR="006510D0" w:rsidRPr="006510D0">
        <w:rPr>
          <w:rFonts w:ascii="Times New Roman" w:hAnsi="Times New Roman" w:cs="Times New Roman"/>
          <w:sz w:val="24"/>
          <w:szCs w:val="24"/>
        </w:rPr>
        <w:t xml:space="preserve">rrugë </w:t>
      </w:r>
      <w:r w:rsidRPr="006510D0">
        <w:rPr>
          <w:rFonts w:ascii="Times New Roman" w:hAnsi="Times New Roman" w:cs="Times New Roman"/>
          <w:sz w:val="24"/>
          <w:szCs w:val="24"/>
        </w:rPr>
        <w:t xml:space="preserve">automobilistike, </w:t>
      </w:r>
      <w:r w:rsidR="006510D0" w:rsidRPr="006510D0">
        <w:rPr>
          <w:rFonts w:ascii="Times New Roman" w:hAnsi="Times New Roman" w:cs="Times New Roman"/>
          <w:sz w:val="24"/>
          <w:szCs w:val="24"/>
        </w:rPr>
        <w:t xml:space="preserve"> </w:t>
      </w:r>
      <w:r w:rsidRPr="006510D0">
        <w:rPr>
          <w:rFonts w:ascii="Times New Roman" w:hAnsi="Times New Roman" w:cs="Times New Roman"/>
          <w:sz w:val="24"/>
          <w:szCs w:val="24"/>
        </w:rPr>
        <w:t>etj</w:t>
      </w:r>
      <w:r w:rsidRPr="006510D0">
        <w:rPr>
          <w:rFonts w:ascii="Times New Roman" w:eastAsia="Times New Roman" w:hAnsi="Times New Roman" w:cs="Times New Roman"/>
          <w:sz w:val="24"/>
          <w:szCs w:val="24"/>
          <w:lang w:val="sq-AL"/>
        </w:rPr>
        <w:t>.</w:t>
      </w:r>
    </w:p>
    <w:p w:rsidR="003E5CA2" w:rsidRPr="006510D0" w:rsidRDefault="003E5CA2" w:rsidP="003E5CA2">
      <w:pPr>
        <w:widowControl w:val="0"/>
        <w:tabs>
          <w:tab w:val="left" w:pos="1277"/>
        </w:tabs>
        <w:autoSpaceDE w:val="0"/>
        <w:autoSpaceDN w:val="0"/>
        <w:spacing w:after="0" w:line="240" w:lineRule="auto"/>
        <w:ind w:right="770"/>
        <w:jc w:val="both"/>
        <w:rPr>
          <w:rFonts w:ascii="Times New Roman" w:eastAsia="Times New Roman" w:hAnsi="Times New Roman" w:cs="Times New Roman"/>
          <w:sz w:val="24"/>
          <w:szCs w:val="24"/>
          <w:lang w:val="sq-AL"/>
        </w:rPr>
      </w:pPr>
    </w:p>
    <w:p w:rsidR="003E5CA2" w:rsidRPr="003E5CA2" w:rsidRDefault="003E5CA2" w:rsidP="003E5CA2">
      <w:pPr>
        <w:widowControl w:val="0"/>
        <w:tabs>
          <w:tab w:val="left" w:pos="1277"/>
        </w:tabs>
        <w:autoSpaceDE w:val="0"/>
        <w:autoSpaceDN w:val="0"/>
        <w:spacing w:after="0" w:line="240" w:lineRule="auto"/>
        <w:ind w:right="770"/>
        <w:jc w:val="both"/>
        <w:rPr>
          <w:rFonts w:ascii="Times New Roman" w:eastAsia="Times New Roman" w:hAnsi="Times New Roman" w:cs="Times New Roman"/>
          <w:b/>
          <w:sz w:val="24"/>
          <w:szCs w:val="24"/>
          <w:lang w:val="sq-AL"/>
        </w:rPr>
      </w:pPr>
      <w:r w:rsidRPr="003E5CA2">
        <w:rPr>
          <w:rFonts w:ascii="Times New Roman" w:eastAsia="Times New Roman" w:hAnsi="Times New Roman" w:cs="Times New Roman"/>
          <w:b/>
          <w:sz w:val="24"/>
          <w:szCs w:val="24"/>
          <w:lang w:val="sq-AL"/>
        </w:rPr>
        <w:t>Rekomandime</w:t>
      </w:r>
    </w:p>
    <w:p w:rsidR="003E5CA2" w:rsidRDefault="003E5CA2" w:rsidP="003E5CA2">
      <w:pPr>
        <w:widowControl w:val="0"/>
        <w:tabs>
          <w:tab w:val="left" w:pos="1277"/>
        </w:tabs>
        <w:autoSpaceDE w:val="0"/>
        <w:autoSpaceDN w:val="0"/>
        <w:spacing w:after="0" w:line="240" w:lineRule="auto"/>
        <w:ind w:right="770"/>
        <w:jc w:val="both"/>
        <w:rPr>
          <w:rFonts w:ascii="Times New Roman" w:eastAsia="Times New Roman" w:hAnsi="Times New Roman" w:cs="Times New Roman"/>
          <w:sz w:val="24"/>
          <w:szCs w:val="24"/>
          <w:lang w:val="sq-AL"/>
        </w:rPr>
      </w:pPr>
    </w:p>
    <w:p w:rsidR="003E5CA2" w:rsidRPr="003E5CA2" w:rsidRDefault="003E5CA2" w:rsidP="003E5CA2">
      <w:pPr>
        <w:widowControl w:val="0"/>
        <w:tabs>
          <w:tab w:val="left" w:pos="1277"/>
        </w:tabs>
        <w:autoSpaceDE w:val="0"/>
        <w:autoSpaceDN w:val="0"/>
        <w:spacing w:after="0" w:line="240" w:lineRule="auto"/>
        <w:ind w:right="770"/>
        <w:jc w:val="both"/>
        <w:rPr>
          <w:rFonts w:ascii="Times New Roman" w:eastAsia="Times New Roman" w:hAnsi="Times New Roman" w:cs="Times New Roman"/>
          <w:sz w:val="24"/>
          <w:szCs w:val="24"/>
          <w:lang w:val="sq-AL"/>
        </w:rPr>
      </w:pPr>
      <w:r w:rsidRPr="003E5CA2">
        <w:rPr>
          <w:rFonts w:ascii="Times New Roman" w:eastAsia="Times New Roman" w:hAnsi="Times New Roman" w:cs="Times New Roman"/>
          <w:sz w:val="24"/>
          <w:szCs w:val="24"/>
          <w:lang w:val="sq-AL"/>
        </w:rPr>
        <w:t>Për</w:t>
      </w:r>
      <w:r w:rsidRPr="003E5CA2">
        <w:rPr>
          <w:rFonts w:ascii="Times New Roman" w:eastAsia="Times New Roman" w:hAnsi="Times New Roman" w:cs="Times New Roman"/>
          <w:spacing w:val="-3"/>
          <w:sz w:val="24"/>
          <w:szCs w:val="24"/>
          <w:lang w:val="sq-AL"/>
        </w:rPr>
        <w:t xml:space="preserve"> </w:t>
      </w:r>
      <w:r w:rsidRPr="003E5CA2">
        <w:rPr>
          <w:rFonts w:ascii="Times New Roman" w:eastAsia="Times New Roman" w:hAnsi="Times New Roman" w:cs="Times New Roman"/>
          <w:sz w:val="24"/>
          <w:szCs w:val="24"/>
          <w:lang w:val="sq-AL"/>
        </w:rPr>
        <w:t>të</w:t>
      </w:r>
      <w:r w:rsidRPr="003E5CA2">
        <w:rPr>
          <w:rFonts w:ascii="Times New Roman" w:eastAsia="Times New Roman" w:hAnsi="Times New Roman" w:cs="Times New Roman"/>
          <w:spacing w:val="-2"/>
          <w:sz w:val="24"/>
          <w:szCs w:val="24"/>
          <w:lang w:val="sq-AL"/>
        </w:rPr>
        <w:t xml:space="preserve"> </w:t>
      </w:r>
      <w:r w:rsidRPr="003E5CA2">
        <w:rPr>
          <w:rFonts w:ascii="Times New Roman" w:eastAsia="Times New Roman" w:hAnsi="Times New Roman" w:cs="Times New Roman"/>
          <w:sz w:val="24"/>
          <w:szCs w:val="24"/>
          <w:lang w:val="sq-AL"/>
        </w:rPr>
        <w:t>ndaluar</w:t>
      </w:r>
      <w:r w:rsidRPr="003E5CA2">
        <w:rPr>
          <w:rFonts w:ascii="Times New Roman" w:eastAsia="Times New Roman" w:hAnsi="Times New Roman" w:cs="Times New Roman"/>
          <w:spacing w:val="-3"/>
          <w:sz w:val="24"/>
          <w:szCs w:val="24"/>
          <w:lang w:val="sq-AL"/>
        </w:rPr>
        <w:t xml:space="preserve"> </w:t>
      </w:r>
      <w:r w:rsidRPr="003E5CA2">
        <w:rPr>
          <w:rFonts w:ascii="Times New Roman" w:eastAsia="Times New Roman" w:hAnsi="Times New Roman" w:cs="Times New Roman"/>
          <w:sz w:val="24"/>
          <w:szCs w:val="24"/>
          <w:lang w:val="sq-AL"/>
        </w:rPr>
        <w:t>shkatërrimin e</w:t>
      </w:r>
      <w:r w:rsidRPr="003E5CA2">
        <w:rPr>
          <w:rFonts w:ascii="Times New Roman" w:eastAsia="Times New Roman" w:hAnsi="Times New Roman" w:cs="Times New Roman"/>
          <w:spacing w:val="-1"/>
          <w:sz w:val="24"/>
          <w:szCs w:val="24"/>
          <w:lang w:val="sq-AL"/>
        </w:rPr>
        <w:t xml:space="preserve"> </w:t>
      </w:r>
      <w:r w:rsidRPr="003E5CA2">
        <w:rPr>
          <w:rFonts w:ascii="Times New Roman" w:eastAsia="Times New Roman" w:hAnsi="Times New Roman" w:cs="Times New Roman"/>
          <w:sz w:val="24"/>
          <w:szCs w:val="24"/>
          <w:lang w:val="sq-AL"/>
        </w:rPr>
        <w:t>mëtejshëm</w:t>
      </w:r>
      <w:r w:rsidRPr="003E5CA2">
        <w:rPr>
          <w:rFonts w:ascii="Times New Roman" w:eastAsia="Times New Roman" w:hAnsi="Times New Roman" w:cs="Times New Roman"/>
          <w:spacing w:val="-1"/>
          <w:sz w:val="24"/>
          <w:szCs w:val="24"/>
          <w:lang w:val="sq-AL"/>
        </w:rPr>
        <w:t xml:space="preserve"> </w:t>
      </w:r>
      <w:r w:rsidRPr="003E5CA2">
        <w:rPr>
          <w:rFonts w:ascii="Times New Roman" w:eastAsia="Times New Roman" w:hAnsi="Times New Roman" w:cs="Times New Roman"/>
          <w:sz w:val="24"/>
          <w:szCs w:val="24"/>
          <w:lang w:val="sq-AL"/>
        </w:rPr>
        <w:t>të</w:t>
      </w:r>
      <w:r w:rsidRPr="003E5CA2">
        <w:rPr>
          <w:rFonts w:ascii="Times New Roman" w:eastAsia="Times New Roman" w:hAnsi="Times New Roman" w:cs="Times New Roman"/>
          <w:spacing w:val="-2"/>
          <w:sz w:val="24"/>
          <w:szCs w:val="24"/>
          <w:lang w:val="sq-AL"/>
        </w:rPr>
        <w:t xml:space="preserve"> </w:t>
      </w:r>
      <w:r w:rsidRPr="003E5CA2">
        <w:rPr>
          <w:rFonts w:ascii="Times New Roman" w:eastAsia="Times New Roman" w:hAnsi="Times New Roman" w:cs="Times New Roman"/>
          <w:sz w:val="24"/>
          <w:szCs w:val="24"/>
          <w:lang w:val="sq-AL"/>
        </w:rPr>
        <w:t xml:space="preserve">shtratit </w:t>
      </w:r>
      <w:r w:rsidRPr="003E5CA2">
        <w:rPr>
          <w:rFonts w:ascii="Times New Roman" w:eastAsia="Times New Roman" w:hAnsi="Times New Roman" w:cs="Times New Roman"/>
          <w:spacing w:val="-2"/>
          <w:sz w:val="24"/>
          <w:szCs w:val="24"/>
          <w:lang w:val="sq-AL"/>
        </w:rPr>
        <w:t>sugjerojmë:</w:t>
      </w:r>
    </w:p>
    <w:p w:rsidR="003E5CA2" w:rsidRDefault="003E5CA2" w:rsidP="003E5CA2">
      <w:pPr>
        <w:widowControl w:val="0"/>
        <w:autoSpaceDE w:val="0"/>
        <w:autoSpaceDN w:val="0"/>
        <w:spacing w:after="0" w:line="240" w:lineRule="auto"/>
        <w:rPr>
          <w:rFonts w:ascii="Times New Roman" w:eastAsia="Times New Roman" w:hAnsi="Times New Roman" w:cs="Times New Roman"/>
          <w:sz w:val="24"/>
          <w:szCs w:val="24"/>
          <w:lang w:val="sq-AL"/>
        </w:rPr>
      </w:pPr>
    </w:p>
    <w:p w:rsidR="003E5CA2" w:rsidRPr="003E5CA2" w:rsidRDefault="003E5CA2" w:rsidP="003E5CA2">
      <w:pPr>
        <w:widowControl w:val="0"/>
        <w:tabs>
          <w:tab w:val="left" w:pos="1268"/>
        </w:tabs>
        <w:autoSpaceDE w:val="0"/>
        <w:autoSpaceDN w:val="0"/>
        <w:spacing w:after="0" w:line="240" w:lineRule="auto"/>
        <w:jc w:val="both"/>
        <w:rPr>
          <w:rFonts w:ascii="Times New Roman" w:eastAsia="Times New Roman" w:hAnsi="Times New Roman" w:cs="Times New Roman"/>
          <w:b/>
          <w:i/>
          <w:sz w:val="24"/>
          <w:lang w:val="sq-AL"/>
        </w:rPr>
      </w:pPr>
      <w:r w:rsidRPr="003E5CA2">
        <w:rPr>
          <w:rFonts w:ascii="Times New Roman" w:eastAsia="Times New Roman" w:hAnsi="Times New Roman" w:cs="Times New Roman"/>
          <w:sz w:val="24"/>
          <w:lang w:val="sq-AL"/>
        </w:rPr>
        <w:t xml:space="preserve">Një kontroll të rreptë </w:t>
      </w:r>
      <w:r w:rsidRPr="003E5CA2">
        <w:rPr>
          <w:rFonts w:ascii="Times New Roman" w:eastAsia="Times New Roman" w:hAnsi="Times New Roman" w:cs="Times New Roman"/>
          <w:b/>
          <w:sz w:val="24"/>
          <w:lang w:val="sq-AL"/>
        </w:rPr>
        <w:t xml:space="preserve">në menaxhimin shfrytëzimit të inerteve </w:t>
      </w:r>
      <w:r w:rsidRPr="003E5CA2">
        <w:rPr>
          <w:rFonts w:ascii="Times New Roman" w:eastAsia="Times New Roman" w:hAnsi="Times New Roman" w:cs="Times New Roman"/>
          <w:sz w:val="24"/>
          <w:lang w:val="sq-AL"/>
        </w:rPr>
        <w:t xml:space="preserve">në shtratin e lumit Vjosë. </w:t>
      </w:r>
      <w:r w:rsidRPr="003E5CA2">
        <w:rPr>
          <w:rFonts w:ascii="Times New Roman" w:eastAsia="Times New Roman" w:hAnsi="Times New Roman" w:cs="Times New Roman"/>
          <w:b/>
          <w:sz w:val="24"/>
          <w:lang w:val="sq-AL"/>
        </w:rPr>
        <w:t>Ndalim</w:t>
      </w:r>
      <w:r w:rsidRPr="003E5CA2">
        <w:rPr>
          <w:rFonts w:ascii="Times New Roman" w:eastAsia="Times New Roman" w:hAnsi="Times New Roman" w:cs="Times New Roman"/>
          <w:b/>
          <w:spacing w:val="40"/>
          <w:sz w:val="24"/>
          <w:lang w:val="sq-AL"/>
        </w:rPr>
        <w:t xml:space="preserve"> </w:t>
      </w:r>
      <w:r w:rsidRPr="003E5CA2">
        <w:rPr>
          <w:rFonts w:ascii="Times New Roman" w:eastAsia="Times New Roman" w:hAnsi="Times New Roman" w:cs="Times New Roman"/>
          <w:b/>
          <w:sz w:val="24"/>
          <w:lang w:val="sq-AL"/>
        </w:rPr>
        <w:t xml:space="preserve">i menjëhershëm i shfrytëzimit pa kriter të inerteve </w:t>
      </w:r>
      <w:r w:rsidRPr="003E5CA2">
        <w:rPr>
          <w:rFonts w:ascii="Times New Roman" w:eastAsia="Times New Roman" w:hAnsi="Times New Roman" w:cs="Times New Roman"/>
          <w:sz w:val="24"/>
          <w:lang w:val="sq-AL"/>
        </w:rPr>
        <w:t>në</w:t>
      </w:r>
      <w:r w:rsidRPr="003E5CA2">
        <w:rPr>
          <w:rFonts w:ascii="Times New Roman" w:eastAsia="Times New Roman" w:hAnsi="Times New Roman" w:cs="Times New Roman"/>
          <w:spacing w:val="-1"/>
          <w:sz w:val="24"/>
          <w:lang w:val="sq-AL"/>
        </w:rPr>
        <w:t xml:space="preserve"> </w:t>
      </w:r>
      <w:r w:rsidRPr="003E5CA2">
        <w:rPr>
          <w:rFonts w:ascii="Times New Roman" w:eastAsia="Times New Roman" w:hAnsi="Times New Roman" w:cs="Times New Roman"/>
          <w:sz w:val="24"/>
          <w:lang w:val="sq-AL"/>
        </w:rPr>
        <w:t>pjesët e</w:t>
      </w:r>
      <w:r w:rsidRPr="003E5CA2">
        <w:rPr>
          <w:rFonts w:ascii="Times New Roman" w:eastAsia="Times New Roman" w:hAnsi="Times New Roman" w:cs="Times New Roman"/>
          <w:spacing w:val="-1"/>
          <w:sz w:val="24"/>
          <w:lang w:val="sq-AL"/>
        </w:rPr>
        <w:t xml:space="preserve"> </w:t>
      </w:r>
      <w:r w:rsidRPr="003E5CA2">
        <w:rPr>
          <w:rFonts w:ascii="Times New Roman" w:eastAsia="Times New Roman" w:hAnsi="Times New Roman" w:cs="Times New Roman"/>
          <w:sz w:val="24"/>
          <w:lang w:val="sq-AL"/>
        </w:rPr>
        <w:t>mesme</w:t>
      </w:r>
      <w:r w:rsidRPr="003E5CA2">
        <w:rPr>
          <w:rFonts w:ascii="Times New Roman" w:eastAsia="Times New Roman" w:hAnsi="Times New Roman" w:cs="Times New Roman"/>
          <w:spacing w:val="-1"/>
          <w:sz w:val="24"/>
          <w:lang w:val="sq-AL"/>
        </w:rPr>
        <w:t xml:space="preserve"> </w:t>
      </w:r>
      <w:r w:rsidRPr="003E5CA2">
        <w:rPr>
          <w:rFonts w:ascii="Times New Roman" w:eastAsia="Times New Roman" w:hAnsi="Times New Roman" w:cs="Times New Roman"/>
          <w:sz w:val="24"/>
          <w:lang w:val="sq-AL"/>
        </w:rPr>
        <w:t>dhe</w:t>
      </w:r>
      <w:r w:rsidRPr="003E5CA2">
        <w:rPr>
          <w:rFonts w:ascii="Times New Roman" w:eastAsia="Times New Roman" w:hAnsi="Times New Roman" w:cs="Times New Roman"/>
          <w:spacing w:val="-1"/>
          <w:sz w:val="24"/>
          <w:lang w:val="sq-AL"/>
        </w:rPr>
        <w:t xml:space="preserve"> </w:t>
      </w:r>
      <w:r w:rsidRPr="003E5CA2">
        <w:rPr>
          <w:rFonts w:ascii="Times New Roman" w:eastAsia="Times New Roman" w:hAnsi="Times New Roman" w:cs="Times New Roman"/>
          <w:sz w:val="24"/>
          <w:lang w:val="sq-AL"/>
        </w:rPr>
        <w:t>të</w:t>
      </w:r>
      <w:r w:rsidRPr="003E5CA2">
        <w:rPr>
          <w:rFonts w:ascii="Times New Roman" w:eastAsia="Times New Roman" w:hAnsi="Times New Roman" w:cs="Times New Roman"/>
          <w:spacing w:val="-1"/>
          <w:sz w:val="24"/>
          <w:lang w:val="sq-AL"/>
        </w:rPr>
        <w:t xml:space="preserve"> </w:t>
      </w:r>
      <w:r w:rsidRPr="003E5CA2">
        <w:rPr>
          <w:rFonts w:ascii="Times New Roman" w:eastAsia="Times New Roman" w:hAnsi="Times New Roman" w:cs="Times New Roman"/>
          <w:sz w:val="24"/>
          <w:lang w:val="sq-AL"/>
        </w:rPr>
        <w:t>poshtme</w:t>
      </w:r>
      <w:r w:rsidRPr="003E5CA2">
        <w:rPr>
          <w:rFonts w:ascii="Times New Roman" w:eastAsia="Times New Roman" w:hAnsi="Times New Roman" w:cs="Times New Roman"/>
          <w:spacing w:val="-1"/>
          <w:sz w:val="24"/>
          <w:lang w:val="sq-AL"/>
        </w:rPr>
        <w:t xml:space="preserve"> </w:t>
      </w:r>
      <w:r w:rsidRPr="003E5CA2">
        <w:rPr>
          <w:rFonts w:ascii="Times New Roman" w:eastAsia="Times New Roman" w:hAnsi="Times New Roman" w:cs="Times New Roman"/>
          <w:sz w:val="24"/>
          <w:lang w:val="sq-AL"/>
        </w:rPr>
        <w:t>të</w:t>
      </w:r>
      <w:r w:rsidRPr="003E5CA2">
        <w:rPr>
          <w:rFonts w:ascii="Times New Roman" w:eastAsia="Times New Roman" w:hAnsi="Times New Roman" w:cs="Times New Roman"/>
          <w:spacing w:val="-1"/>
          <w:sz w:val="24"/>
          <w:lang w:val="sq-AL"/>
        </w:rPr>
        <w:t xml:space="preserve"> </w:t>
      </w:r>
      <w:r w:rsidRPr="003E5CA2">
        <w:rPr>
          <w:rFonts w:ascii="Times New Roman" w:eastAsia="Times New Roman" w:hAnsi="Times New Roman" w:cs="Times New Roman"/>
          <w:sz w:val="24"/>
          <w:lang w:val="sq-AL"/>
        </w:rPr>
        <w:t>rrjedhës. Orientimin e këtij procesi bazuar në matjet monitoruese të kryera nga Shërbimi Gjeologjik Shqiptar.</w:t>
      </w:r>
    </w:p>
    <w:p w:rsidR="003E5CA2" w:rsidRPr="003E5CA2" w:rsidRDefault="003E5CA2" w:rsidP="003E5CA2">
      <w:pPr>
        <w:widowControl w:val="0"/>
        <w:tabs>
          <w:tab w:val="left" w:pos="1284"/>
        </w:tabs>
        <w:autoSpaceDE w:val="0"/>
        <w:autoSpaceDN w:val="0"/>
        <w:spacing w:after="0" w:line="240" w:lineRule="auto"/>
        <w:jc w:val="both"/>
        <w:rPr>
          <w:rFonts w:ascii="Times New Roman" w:eastAsia="Times New Roman" w:hAnsi="Times New Roman" w:cs="Times New Roman"/>
          <w:sz w:val="24"/>
          <w:lang w:val="sq-AL"/>
        </w:rPr>
      </w:pPr>
      <w:r w:rsidRPr="003E5CA2">
        <w:rPr>
          <w:rFonts w:ascii="Times New Roman" w:eastAsia="Times New Roman" w:hAnsi="Times New Roman" w:cs="Times New Roman"/>
          <w:sz w:val="24"/>
          <w:lang w:val="sq-AL"/>
        </w:rPr>
        <w:lastRenderedPageBreak/>
        <w:t>Të ndërtohen vepra mbrojtëse për të shuar energjinë e rrjedhës sidomos në kohë vërshimesh me qëllim eleminimin e erozionit të mëtejshëm të brigjeve, rehabilitimin e mundshëm të shtratit në</w:t>
      </w:r>
      <w:r w:rsidRPr="003E5CA2">
        <w:rPr>
          <w:rFonts w:ascii="Times New Roman" w:eastAsia="Times New Roman" w:hAnsi="Times New Roman" w:cs="Times New Roman"/>
          <w:spacing w:val="40"/>
          <w:sz w:val="24"/>
          <w:lang w:val="sq-AL"/>
        </w:rPr>
        <w:t xml:space="preserve"> </w:t>
      </w:r>
      <w:r w:rsidRPr="003E5CA2">
        <w:rPr>
          <w:rFonts w:ascii="Times New Roman" w:eastAsia="Times New Roman" w:hAnsi="Times New Roman" w:cs="Times New Roman"/>
          <w:sz w:val="24"/>
          <w:lang w:val="sq-AL"/>
        </w:rPr>
        <w:t>zonat e dëmtuara, mbrojtjen e urave dhe rrugëve automobilistike.</w:t>
      </w:r>
    </w:p>
    <w:p w:rsidR="003E5CA2" w:rsidRPr="003E5CA2" w:rsidRDefault="003E5CA2" w:rsidP="003E5CA2">
      <w:pPr>
        <w:widowControl w:val="0"/>
        <w:tabs>
          <w:tab w:val="left" w:pos="1298"/>
        </w:tabs>
        <w:autoSpaceDE w:val="0"/>
        <w:autoSpaceDN w:val="0"/>
        <w:spacing w:after="0" w:line="240" w:lineRule="auto"/>
        <w:jc w:val="both"/>
        <w:rPr>
          <w:rFonts w:ascii="Times New Roman" w:eastAsia="Times New Roman" w:hAnsi="Times New Roman" w:cs="Times New Roman"/>
          <w:sz w:val="24"/>
          <w:lang w:val="sq-AL"/>
        </w:rPr>
      </w:pPr>
      <w:r w:rsidRPr="003E5CA2">
        <w:rPr>
          <w:rFonts w:ascii="Times New Roman" w:eastAsia="Times New Roman" w:hAnsi="Times New Roman" w:cs="Times New Roman"/>
          <w:sz w:val="24"/>
          <w:lang w:val="sq-AL"/>
        </w:rPr>
        <w:t>Të riparohen veprat e dëmtuara të mbrojtes që janë kryesisht panelet anësore dhe argjinaturat. Panelet e reja anësore në zonat e erozionit anësor të jenë me kënde të tilla që të ulin shpejtësinë e lumit dhe</w:t>
      </w:r>
      <w:r w:rsidR="00E615C2">
        <w:rPr>
          <w:rFonts w:ascii="Times New Roman" w:eastAsia="Times New Roman" w:hAnsi="Times New Roman" w:cs="Times New Roman"/>
          <w:sz w:val="24"/>
          <w:lang w:val="sq-AL"/>
        </w:rPr>
        <w:t xml:space="preserve"> të orientojnë rrjedhën drejt q</w:t>
      </w:r>
      <w:r w:rsidR="00E615C2">
        <w:rPr>
          <w:rFonts w:ascii="Times New Roman" w:hAnsi="Times New Roman"/>
          <w:sz w:val="24"/>
          <w:szCs w:val="24"/>
        </w:rPr>
        <w:t>ë</w:t>
      </w:r>
      <w:r w:rsidRPr="003E5CA2">
        <w:rPr>
          <w:rFonts w:ascii="Times New Roman" w:eastAsia="Times New Roman" w:hAnsi="Times New Roman" w:cs="Times New Roman"/>
          <w:sz w:val="24"/>
          <w:lang w:val="sq-AL"/>
        </w:rPr>
        <w:t>ndrës së shtratit.</w:t>
      </w:r>
    </w:p>
    <w:p w:rsidR="00C522F2" w:rsidRPr="00C522F2" w:rsidRDefault="00C522F2" w:rsidP="00C522F2">
      <w:pPr>
        <w:widowControl w:val="0"/>
        <w:tabs>
          <w:tab w:val="left" w:pos="1265"/>
        </w:tabs>
        <w:autoSpaceDE w:val="0"/>
        <w:autoSpaceDN w:val="0"/>
        <w:spacing w:before="64" w:after="0" w:line="240" w:lineRule="auto"/>
        <w:jc w:val="both"/>
        <w:rPr>
          <w:rFonts w:ascii="Times New Roman" w:eastAsia="Times New Roman" w:hAnsi="Times New Roman" w:cs="Times New Roman"/>
          <w:sz w:val="24"/>
          <w:lang w:val="sq-AL"/>
        </w:rPr>
      </w:pPr>
      <w:r w:rsidRPr="00C522F2">
        <w:rPr>
          <w:rFonts w:ascii="Times New Roman" w:eastAsia="Times New Roman" w:hAnsi="Times New Roman" w:cs="Times New Roman"/>
          <w:sz w:val="24"/>
          <w:lang w:val="sq-AL"/>
        </w:rPr>
        <w:t>Të</w:t>
      </w:r>
      <w:r w:rsidRPr="00C522F2">
        <w:rPr>
          <w:rFonts w:ascii="Times New Roman" w:eastAsia="Times New Roman" w:hAnsi="Times New Roman" w:cs="Times New Roman"/>
          <w:spacing w:val="-4"/>
          <w:sz w:val="24"/>
          <w:lang w:val="sq-AL"/>
        </w:rPr>
        <w:t xml:space="preserve"> </w:t>
      </w:r>
      <w:r w:rsidRPr="00C522F2">
        <w:rPr>
          <w:rFonts w:ascii="Times New Roman" w:eastAsia="Times New Roman" w:hAnsi="Times New Roman" w:cs="Times New Roman"/>
          <w:sz w:val="24"/>
          <w:lang w:val="sq-AL"/>
        </w:rPr>
        <w:t>ndërpritet</w:t>
      </w:r>
      <w:r w:rsidRPr="00C522F2">
        <w:rPr>
          <w:rFonts w:ascii="Times New Roman" w:eastAsia="Times New Roman" w:hAnsi="Times New Roman" w:cs="Times New Roman"/>
          <w:spacing w:val="-2"/>
          <w:sz w:val="24"/>
          <w:lang w:val="sq-AL"/>
        </w:rPr>
        <w:t xml:space="preserve"> </w:t>
      </w:r>
      <w:r w:rsidRPr="00C522F2">
        <w:rPr>
          <w:rFonts w:ascii="Times New Roman" w:eastAsia="Times New Roman" w:hAnsi="Times New Roman" w:cs="Times New Roman"/>
          <w:sz w:val="24"/>
          <w:lang w:val="sq-AL"/>
        </w:rPr>
        <w:t>hedhja</w:t>
      </w:r>
      <w:r w:rsidRPr="00C522F2">
        <w:rPr>
          <w:rFonts w:ascii="Times New Roman" w:eastAsia="Times New Roman" w:hAnsi="Times New Roman" w:cs="Times New Roman"/>
          <w:spacing w:val="-1"/>
          <w:sz w:val="24"/>
          <w:lang w:val="sq-AL"/>
        </w:rPr>
        <w:t xml:space="preserve"> </w:t>
      </w:r>
      <w:r w:rsidRPr="00C522F2">
        <w:rPr>
          <w:rFonts w:ascii="Times New Roman" w:eastAsia="Times New Roman" w:hAnsi="Times New Roman" w:cs="Times New Roman"/>
          <w:sz w:val="24"/>
          <w:lang w:val="sq-AL"/>
        </w:rPr>
        <w:t>e</w:t>
      </w:r>
      <w:r w:rsidRPr="00C522F2">
        <w:rPr>
          <w:rFonts w:ascii="Times New Roman" w:eastAsia="Times New Roman" w:hAnsi="Times New Roman" w:cs="Times New Roman"/>
          <w:spacing w:val="-1"/>
          <w:sz w:val="24"/>
          <w:lang w:val="sq-AL"/>
        </w:rPr>
        <w:t xml:space="preserve"> </w:t>
      </w:r>
      <w:r w:rsidRPr="00C522F2">
        <w:rPr>
          <w:rFonts w:ascii="Times New Roman" w:eastAsia="Times New Roman" w:hAnsi="Times New Roman" w:cs="Times New Roman"/>
          <w:sz w:val="24"/>
          <w:lang w:val="sq-AL"/>
        </w:rPr>
        <w:t>mbeturinave</w:t>
      </w:r>
      <w:r w:rsidRPr="00C522F2">
        <w:rPr>
          <w:rFonts w:ascii="Times New Roman" w:eastAsia="Times New Roman" w:hAnsi="Times New Roman" w:cs="Times New Roman"/>
          <w:spacing w:val="-2"/>
          <w:sz w:val="24"/>
          <w:lang w:val="sq-AL"/>
        </w:rPr>
        <w:t xml:space="preserve"> </w:t>
      </w:r>
      <w:r w:rsidRPr="00C522F2">
        <w:rPr>
          <w:rFonts w:ascii="Times New Roman" w:eastAsia="Times New Roman" w:hAnsi="Times New Roman" w:cs="Times New Roman"/>
          <w:sz w:val="24"/>
          <w:lang w:val="sq-AL"/>
        </w:rPr>
        <w:t>inerte,</w:t>
      </w:r>
      <w:r w:rsidRPr="00C522F2">
        <w:rPr>
          <w:rFonts w:ascii="Times New Roman" w:eastAsia="Times New Roman" w:hAnsi="Times New Roman" w:cs="Times New Roman"/>
          <w:spacing w:val="-2"/>
          <w:sz w:val="24"/>
          <w:lang w:val="sq-AL"/>
        </w:rPr>
        <w:t xml:space="preserve"> </w:t>
      </w:r>
      <w:r w:rsidRPr="00C522F2">
        <w:rPr>
          <w:rFonts w:ascii="Times New Roman" w:eastAsia="Times New Roman" w:hAnsi="Times New Roman" w:cs="Times New Roman"/>
          <w:sz w:val="24"/>
          <w:lang w:val="sq-AL"/>
        </w:rPr>
        <w:t>të</w:t>
      </w:r>
      <w:r w:rsidRPr="00C522F2">
        <w:rPr>
          <w:rFonts w:ascii="Times New Roman" w:eastAsia="Times New Roman" w:hAnsi="Times New Roman" w:cs="Times New Roman"/>
          <w:spacing w:val="-1"/>
          <w:sz w:val="24"/>
          <w:lang w:val="sq-AL"/>
        </w:rPr>
        <w:t xml:space="preserve"> </w:t>
      </w:r>
      <w:r w:rsidRPr="00C522F2">
        <w:rPr>
          <w:rFonts w:ascii="Times New Roman" w:eastAsia="Times New Roman" w:hAnsi="Times New Roman" w:cs="Times New Roman"/>
          <w:sz w:val="24"/>
          <w:lang w:val="sq-AL"/>
        </w:rPr>
        <w:t>eleminohet</w:t>
      </w:r>
      <w:r w:rsidRPr="00C522F2">
        <w:rPr>
          <w:rFonts w:ascii="Times New Roman" w:eastAsia="Times New Roman" w:hAnsi="Times New Roman" w:cs="Times New Roman"/>
          <w:spacing w:val="-2"/>
          <w:sz w:val="24"/>
          <w:lang w:val="sq-AL"/>
        </w:rPr>
        <w:t xml:space="preserve"> </w:t>
      </w:r>
      <w:r w:rsidRPr="00C522F2">
        <w:rPr>
          <w:rFonts w:ascii="Times New Roman" w:eastAsia="Times New Roman" w:hAnsi="Times New Roman" w:cs="Times New Roman"/>
          <w:sz w:val="24"/>
          <w:lang w:val="sq-AL"/>
        </w:rPr>
        <w:t>derdhja</w:t>
      </w:r>
      <w:r w:rsidRPr="00C522F2">
        <w:rPr>
          <w:rFonts w:ascii="Times New Roman" w:eastAsia="Times New Roman" w:hAnsi="Times New Roman" w:cs="Times New Roman"/>
          <w:spacing w:val="-1"/>
          <w:sz w:val="24"/>
          <w:lang w:val="sq-AL"/>
        </w:rPr>
        <w:t xml:space="preserve"> </w:t>
      </w:r>
      <w:r w:rsidRPr="00C522F2">
        <w:rPr>
          <w:rFonts w:ascii="Times New Roman" w:eastAsia="Times New Roman" w:hAnsi="Times New Roman" w:cs="Times New Roman"/>
          <w:sz w:val="24"/>
          <w:lang w:val="sq-AL"/>
        </w:rPr>
        <w:t>e</w:t>
      </w:r>
      <w:r w:rsidRPr="00C522F2">
        <w:rPr>
          <w:rFonts w:ascii="Times New Roman" w:eastAsia="Times New Roman" w:hAnsi="Times New Roman" w:cs="Times New Roman"/>
          <w:spacing w:val="-3"/>
          <w:sz w:val="24"/>
          <w:lang w:val="sq-AL"/>
        </w:rPr>
        <w:t xml:space="preserve"> </w:t>
      </w:r>
      <w:r w:rsidRPr="00C522F2">
        <w:rPr>
          <w:rFonts w:ascii="Times New Roman" w:eastAsia="Times New Roman" w:hAnsi="Times New Roman" w:cs="Times New Roman"/>
          <w:sz w:val="24"/>
          <w:lang w:val="sq-AL"/>
        </w:rPr>
        <w:t>ujrave</w:t>
      </w:r>
      <w:r w:rsidRPr="00C522F2">
        <w:rPr>
          <w:rFonts w:ascii="Times New Roman" w:eastAsia="Times New Roman" w:hAnsi="Times New Roman" w:cs="Times New Roman"/>
          <w:spacing w:val="-1"/>
          <w:sz w:val="24"/>
          <w:lang w:val="sq-AL"/>
        </w:rPr>
        <w:t xml:space="preserve"> </w:t>
      </w:r>
      <w:r w:rsidRPr="00C522F2">
        <w:rPr>
          <w:rFonts w:ascii="Times New Roman" w:eastAsia="Times New Roman" w:hAnsi="Times New Roman" w:cs="Times New Roman"/>
          <w:sz w:val="24"/>
          <w:lang w:val="sq-AL"/>
        </w:rPr>
        <w:t>të</w:t>
      </w:r>
      <w:r w:rsidRPr="00C522F2">
        <w:rPr>
          <w:rFonts w:ascii="Times New Roman" w:eastAsia="Times New Roman" w:hAnsi="Times New Roman" w:cs="Times New Roman"/>
          <w:spacing w:val="-2"/>
          <w:sz w:val="24"/>
          <w:lang w:val="sq-AL"/>
        </w:rPr>
        <w:t xml:space="preserve"> </w:t>
      </w:r>
      <w:r w:rsidR="00A274DD">
        <w:rPr>
          <w:rFonts w:ascii="Times New Roman" w:eastAsia="Times New Roman" w:hAnsi="Times New Roman" w:cs="Times New Roman"/>
          <w:sz w:val="24"/>
          <w:lang w:val="sq-AL"/>
        </w:rPr>
        <w:t>ndotura</w:t>
      </w:r>
      <w:r w:rsidRPr="00C522F2">
        <w:rPr>
          <w:rFonts w:ascii="Times New Roman" w:eastAsia="Times New Roman" w:hAnsi="Times New Roman" w:cs="Times New Roman"/>
          <w:spacing w:val="-3"/>
          <w:sz w:val="24"/>
          <w:lang w:val="sq-AL"/>
        </w:rPr>
        <w:t xml:space="preserve"> </w:t>
      </w:r>
      <w:r w:rsidRPr="00C522F2">
        <w:rPr>
          <w:rFonts w:ascii="Times New Roman" w:eastAsia="Times New Roman" w:hAnsi="Times New Roman" w:cs="Times New Roman"/>
          <w:sz w:val="24"/>
          <w:lang w:val="sq-AL"/>
        </w:rPr>
        <w:t>në</w:t>
      </w:r>
      <w:r w:rsidRPr="00C522F2">
        <w:rPr>
          <w:rFonts w:ascii="Times New Roman" w:eastAsia="Times New Roman" w:hAnsi="Times New Roman" w:cs="Times New Roman"/>
          <w:spacing w:val="-3"/>
          <w:sz w:val="24"/>
          <w:lang w:val="sq-AL"/>
        </w:rPr>
        <w:t xml:space="preserve"> </w:t>
      </w:r>
      <w:r w:rsidRPr="00C522F2">
        <w:rPr>
          <w:rFonts w:ascii="Times New Roman" w:eastAsia="Times New Roman" w:hAnsi="Times New Roman" w:cs="Times New Roman"/>
          <w:sz w:val="24"/>
          <w:lang w:val="sq-AL"/>
        </w:rPr>
        <w:t>shtrat si</w:t>
      </w:r>
      <w:r w:rsidRPr="00C522F2">
        <w:rPr>
          <w:rFonts w:ascii="Times New Roman" w:eastAsia="Times New Roman" w:hAnsi="Times New Roman" w:cs="Times New Roman"/>
          <w:spacing w:val="-2"/>
          <w:sz w:val="24"/>
          <w:lang w:val="sq-AL"/>
        </w:rPr>
        <w:t xml:space="preserve"> </w:t>
      </w:r>
      <w:r w:rsidRPr="00C522F2">
        <w:rPr>
          <w:rFonts w:ascii="Times New Roman" w:eastAsia="Times New Roman" w:hAnsi="Times New Roman" w:cs="Times New Roman"/>
          <w:sz w:val="24"/>
          <w:lang w:val="sq-AL"/>
        </w:rPr>
        <w:t>dhe</w:t>
      </w:r>
      <w:r w:rsidRPr="00C522F2">
        <w:rPr>
          <w:rFonts w:ascii="Times New Roman" w:eastAsia="Times New Roman" w:hAnsi="Times New Roman" w:cs="Times New Roman"/>
          <w:spacing w:val="-1"/>
          <w:sz w:val="24"/>
          <w:lang w:val="sq-AL"/>
        </w:rPr>
        <w:t xml:space="preserve"> </w:t>
      </w:r>
      <w:r w:rsidRPr="00C522F2">
        <w:rPr>
          <w:rFonts w:ascii="Times New Roman" w:eastAsia="Times New Roman" w:hAnsi="Times New Roman" w:cs="Times New Roman"/>
          <w:sz w:val="24"/>
          <w:lang w:val="sq-AL"/>
        </w:rPr>
        <w:t>të shihet mundësia për pastrimin dhe sistemimin e tyre.</w:t>
      </w:r>
    </w:p>
    <w:p w:rsidR="00A94861" w:rsidRPr="002D7C3E" w:rsidRDefault="00A94861" w:rsidP="001E7407">
      <w:pPr>
        <w:spacing w:after="200" w:line="276" w:lineRule="auto"/>
        <w:rPr>
          <w:rFonts w:ascii="Times New Roman" w:eastAsia="Calibri" w:hAnsi="Times New Roman" w:cs="Times New Roman"/>
          <w:b/>
          <w:sz w:val="24"/>
          <w:szCs w:val="24"/>
          <w:lang w:val="sq-AL"/>
        </w:rPr>
      </w:pPr>
    </w:p>
    <w:p w:rsidR="00CA247F" w:rsidRPr="002D7C3E" w:rsidRDefault="00CA247F" w:rsidP="00CA247F">
      <w:pPr>
        <w:spacing w:after="0" w:line="276" w:lineRule="auto"/>
        <w:rPr>
          <w:rFonts w:ascii="Times New Roman" w:eastAsia="Calibri" w:hAnsi="Times New Roman" w:cs="Times New Roman"/>
          <w:b/>
          <w:sz w:val="24"/>
          <w:szCs w:val="24"/>
          <w:lang w:val="da-DK"/>
        </w:rPr>
      </w:pPr>
      <w:r w:rsidRPr="00465EBF">
        <w:rPr>
          <w:rFonts w:ascii="Times New Roman" w:eastAsiaTheme="minorEastAsia" w:hAnsi="Times New Roman" w:cs="Times New Roman"/>
          <w:b/>
          <w:sz w:val="24"/>
          <w:szCs w:val="24"/>
        </w:rPr>
        <w:t>3.1.2</w:t>
      </w:r>
      <w:r>
        <w:rPr>
          <w:rFonts w:ascii="Times New Roman" w:eastAsiaTheme="minorEastAsia" w:hAnsi="Times New Roman" w:cs="Times New Roman"/>
          <w:sz w:val="24"/>
          <w:szCs w:val="24"/>
        </w:rPr>
        <w:t xml:space="preserve"> </w:t>
      </w:r>
      <w:r>
        <w:rPr>
          <w:rFonts w:ascii="Times New Roman" w:eastAsia="Calibri" w:hAnsi="Times New Roman" w:cs="Times New Roman"/>
          <w:b/>
          <w:sz w:val="24"/>
          <w:szCs w:val="24"/>
          <w:lang w:val="da-DK"/>
        </w:rPr>
        <w:t>Cilësia e</w:t>
      </w:r>
      <w:r w:rsidRPr="002D7C3E">
        <w:rPr>
          <w:rFonts w:ascii="Times New Roman" w:eastAsia="Calibri" w:hAnsi="Times New Roman" w:cs="Times New Roman"/>
          <w:b/>
          <w:sz w:val="24"/>
          <w:szCs w:val="24"/>
          <w:lang w:val="da-DK"/>
        </w:rPr>
        <w:t xml:space="preserve"> ujë</w:t>
      </w:r>
      <w:r w:rsidR="00E615C2">
        <w:rPr>
          <w:rFonts w:ascii="Times New Roman" w:eastAsia="Calibri" w:hAnsi="Times New Roman" w:cs="Times New Roman"/>
          <w:b/>
          <w:sz w:val="24"/>
          <w:szCs w:val="24"/>
          <w:lang w:val="da-DK"/>
        </w:rPr>
        <w:t>rave të</w:t>
      </w:r>
      <w:r w:rsidRPr="002D7C3E">
        <w:rPr>
          <w:rFonts w:ascii="Times New Roman" w:eastAsia="Calibri" w:hAnsi="Times New Roman" w:cs="Times New Roman"/>
          <w:b/>
          <w:sz w:val="24"/>
          <w:szCs w:val="24"/>
          <w:lang w:val="da-DK"/>
        </w:rPr>
        <w:t xml:space="preserve"> liqeneve</w:t>
      </w:r>
    </w:p>
    <w:p w:rsidR="007365E6" w:rsidRDefault="002F3F5A" w:rsidP="002D7C3E">
      <w:pPr>
        <w:spacing w:after="100" w:afterAutospacing="1" w:line="240" w:lineRule="auto"/>
        <w:jc w:val="both"/>
        <w:rPr>
          <w:rFonts w:ascii="Times New Roman" w:eastAsiaTheme="minorEastAsia" w:hAnsi="Times New Roman" w:cs="Times New Roman"/>
          <w:sz w:val="24"/>
          <w:szCs w:val="24"/>
        </w:rPr>
      </w:pPr>
      <w:r>
        <w:rPr>
          <w:noProof/>
        </w:rPr>
        <mc:AlternateContent>
          <mc:Choice Requires="wps">
            <w:drawing>
              <wp:anchor distT="0" distB="0" distL="114300" distR="114300" simplePos="0" relativeHeight="251700736" behindDoc="0" locked="0" layoutInCell="1" allowOverlap="1" wp14:anchorId="52EB1006" wp14:editId="1ED2A633">
                <wp:simplePos x="0" y="0"/>
                <wp:positionH relativeFrom="column">
                  <wp:posOffset>3219450</wp:posOffset>
                </wp:positionH>
                <wp:positionV relativeFrom="paragraph">
                  <wp:posOffset>76835</wp:posOffset>
                </wp:positionV>
                <wp:extent cx="2886075" cy="2838450"/>
                <wp:effectExtent l="0" t="0" r="28575" b="19050"/>
                <wp:wrapNone/>
                <wp:docPr id="309" name="Rectangle 309"/>
                <wp:cNvGraphicFramePr/>
                <a:graphic xmlns:a="http://schemas.openxmlformats.org/drawingml/2006/main">
                  <a:graphicData uri="http://schemas.microsoft.com/office/word/2010/wordprocessingShape">
                    <wps:wsp>
                      <wps:cNvSpPr/>
                      <wps:spPr>
                        <a:xfrm>
                          <a:off x="0" y="0"/>
                          <a:ext cx="2886075" cy="28384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4059F" w:rsidRDefault="0064059F" w:rsidP="002F3F5A">
                            <w:pPr>
                              <w:jc w:val="both"/>
                              <w:rPr>
                                <w:rFonts w:ascii="Times New Roman" w:hAnsi="Times New Roman" w:cs="Times New Roman"/>
                                <w:color w:val="0A0A0A"/>
                                <w:sz w:val="24"/>
                                <w:szCs w:val="24"/>
                                <w:shd w:val="clear" w:color="auto" w:fill="FFFFFF"/>
                              </w:rPr>
                            </w:pPr>
                            <w:r w:rsidRPr="002F3F5A">
                              <w:rPr>
                                <w:rFonts w:ascii="Times New Roman" w:hAnsi="Times New Roman" w:cs="Times New Roman"/>
                                <w:color w:val="0A0A0A"/>
                                <w:sz w:val="24"/>
                                <w:szCs w:val="24"/>
                                <w:shd w:val="clear" w:color="auto" w:fill="FFFFFF"/>
                              </w:rPr>
                              <w:t>Liqenet e Shkodrës, Ohrit dhe Prespës </w:t>
                            </w:r>
                            <w:r w:rsidRPr="002F3F5A">
                              <w:rPr>
                                <w:rFonts w:ascii="Times New Roman" w:hAnsi="Times New Roman" w:cs="Times New Roman"/>
                                <w:sz w:val="24"/>
                                <w:szCs w:val="24"/>
                              </w:rPr>
                              <w:t>janë tre pasuri të mëdha natyrore tektonike në Ballkanin Perëndimor, të ndara mes Shqipërisë, Malit të Zi dhe Maqedonisë së Veriut</w:t>
                            </w:r>
                            <w:r w:rsidRPr="002F3F5A">
                              <w:rPr>
                                <w:rFonts w:ascii="Times New Roman" w:hAnsi="Times New Roman" w:cs="Times New Roman"/>
                                <w:color w:val="0A0A0A"/>
                                <w:sz w:val="24"/>
                                <w:szCs w:val="24"/>
                                <w:shd w:val="clear" w:color="auto" w:fill="FFFFFF"/>
                              </w:rPr>
                              <w:t xml:space="preserve">. </w:t>
                            </w:r>
                          </w:p>
                          <w:p w:rsidR="0064059F" w:rsidRDefault="0064059F" w:rsidP="002F3F5A">
                            <w:pPr>
                              <w:spacing w:after="100" w:afterAutospacing="1" w:line="240" w:lineRule="auto"/>
                              <w:jc w:val="both"/>
                              <w:rPr>
                                <w:rFonts w:ascii="Times New Roman" w:hAnsi="Times New Roman" w:cs="Times New Roman"/>
                                <w:color w:val="0A0A0A"/>
                                <w:sz w:val="24"/>
                                <w:szCs w:val="24"/>
                                <w:shd w:val="clear" w:color="auto" w:fill="FFFFFF"/>
                              </w:rPr>
                            </w:pPr>
                            <w:r w:rsidRPr="002F3F5A">
                              <w:rPr>
                                <w:rFonts w:ascii="Times New Roman" w:hAnsi="Times New Roman" w:cs="Times New Roman"/>
                                <w:color w:val="0A0A0A"/>
                                <w:sz w:val="24"/>
                                <w:szCs w:val="24"/>
                                <w:shd w:val="clear" w:color="auto" w:fill="FFFFFF"/>
                              </w:rPr>
                              <w:t>Ato dallohen për vjetërsinë, biodiversitetin e lartë, sipërfaqet e mëdha ujore dhe rëndësinë e madhe turistike e mjedisore për rajonin.</w:t>
                            </w:r>
                          </w:p>
                          <w:p w:rsidR="0064059F" w:rsidRDefault="0064059F" w:rsidP="002F3F5A">
                            <w:pPr>
                              <w:spacing w:after="100" w:afterAutospacing="1" w:line="240" w:lineRule="auto"/>
                              <w:jc w:val="both"/>
                              <w:rPr>
                                <w:rFonts w:ascii="Times New Roman" w:eastAsia="Calibri" w:hAnsi="Times New Roman" w:cs="Times New Roman"/>
                                <w:sz w:val="24"/>
                                <w:szCs w:val="24"/>
                                <w:lang w:val="en-GB"/>
                              </w:rPr>
                            </w:pPr>
                            <w:r w:rsidRPr="002D7C3E">
                              <w:rPr>
                                <w:rFonts w:ascii="Times New Roman" w:eastAsia="Calibri" w:hAnsi="Times New Roman" w:cs="Times New Roman"/>
                                <w:sz w:val="24"/>
                                <w:szCs w:val="24"/>
                                <w:lang w:val="en-GB"/>
                              </w:rPr>
                              <w:t>Për vlerësimin e cilësisë së ujërave të liqeneve bazohemi në vlerat limite të parametrave kimikë të DKU të BE, për pë</w:t>
                            </w:r>
                            <w:r>
                              <w:rPr>
                                <w:rFonts w:ascii="Times New Roman" w:eastAsia="Calibri" w:hAnsi="Times New Roman" w:cs="Times New Roman"/>
                                <w:sz w:val="24"/>
                                <w:szCs w:val="24"/>
                                <w:lang w:val="en-GB"/>
                              </w:rPr>
                              <w:t>rcaktimin e gjendjes së liqenit.</w:t>
                            </w:r>
                          </w:p>
                          <w:p w:rsidR="0064059F" w:rsidRPr="002F3F5A" w:rsidRDefault="0064059F" w:rsidP="002F3F5A">
                            <w:pPr>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B1006" id="Rectangle 309" o:spid="_x0000_s1081" style="position:absolute;left:0;text-align:left;margin-left:253.5pt;margin-top:6.05pt;width:227.25pt;height:223.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" fillcolor="white [3201]" strokecolor="#70ad47 [3209]" strokeweight="1pt">
                <v:textbox>
                  <w:txbxContent>
                    <w:p w:rsidR="0064059F" w:rsidRDefault="0064059F" w:rsidP="002F3F5A">
                      <w:pPr>
                        <w:jc w:val="both"/>
                        <w:rPr>
                          <w:rFonts w:ascii="Times New Roman" w:hAnsi="Times New Roman" w:cs="Times New Roman"/>
                          <w:color w:val="0A0A0A"/>
                          <w:sz w:val="24"/>
                          <w:szCs w:val="24"/>
                          <w:shd w:val="clear" w:color="auto" w:fill="FFFFFF"/>
                        </w:rPr>
                      </w:pPr>
                      <w:r w:rsidRPr="002F3F5A">
                        <w:rPr>
                          <w:rFonts w:ascii="Times New Roman" w:hAnsi="Times New Roman" w:cs="Times New Roman"/>
                          <w:color w:val="0A0A0A"/>
                          <w:sz w:val="24"/>
                          <w:szCs w:val="24"/>
                          <w:shd w:val="clear" w:color="auto" w:fill="FFFFFF"/>
                        </w:rPr>
                        <w:t>Liqenet e Shkodrës, Ohrit dhe Prespës </w:t>
                      </w:r>
                      <w:r w:rsidRPr="002F3F5A">
                        <w:rPr>
                          <w:rFonts w:ascii="Times New Roman" w:hAnsi="Times New Roman" w:cs="Times New Roman"/>
                          <w:sz w:val="24"/>
                          <w:szCs w:val="24"/>
                        </w:rPr>
                        <w:t>janë tre pasuri të mëdha natyrore tektonike në Ballkanin Perëndimor, të ndara mes Shqipërisë, Malit të Zi dhe Maqedonisë së Veriut</w:t>
                      </w:r>
                      <w:r w:rsidRPr="002F3F5A">
                        <w:rPr>
                          <w:rFonts w:ascii="Times New Roman" w:hAnsi="Times New Roman" w:cs="Times New Roman"/>
                          <w:color w:val="0A0A0A"/>
                          <w:sz w:val="24"/>
                          <w:szCs w:val="24"/>
                          <w:shd w:val="clear" w:color="auto" w:fill="FFFFFF"/>
                        </w:rPr>
                        <w:t xml:space="preserve">. </w:t>
                      </w:r>
                    </w:p>
                    <w:p w:rsidR="0064059F" w:rsidRDefault="0064059F" w:rsidP="002F3F5A">
                      <w:pPr>
                        <w:spacing w:after="100" w:afterAutospacing="1" w:line="240" w:lineRule="auto"/>
                        <w:jc w:val="both"/>
                        <w:rPr>
                          <w:rFonts w:ascii="Times New Roman" w:hAnsi="Times New Roman" w:cs="Times New Roman"/>
                          <w:color w:val="0A0A0A"/>
                          <w:sz w:val="24"/>
                          <w:szCs w:val="24"/>
                          <w:shd w:val="clear" w:color="auto" w:fill="FFFFFF"/>
                        </w:rPr>
                      </w:pPr>
                      <w:r w:rsidRPr="002F3F5A">
                        <w:rPr>
                          <w:rFonts w:ascii="Times New Roman" w:hAnsi="Times New Roman" w:cs="Times New Roman"/>
                          <w:color w:val="0A0A0A"/>
                          <w:sz w:val="24"/>
                          <w:szCs w:val="24"/>
                          <w:shd w:val="clear" w:color="auto" w:fill="FFFFFF"/>
                        </w:rPr>
                        <w:t>Ato dallohen për vjetërsinë, biodiversitetin e lartë, sipërfaqet e mëdha ujore dhe rëndësinë e madhe turistike e mjedisore për rajonin.</w:t>
                      </w:r>
                    </w:p>
                    <w:p w:rsidR="0064059F" w:rsidRDefault="0064059F" w:rsidP="002F3F5A">
                      <w:pPr>
                        <w:spacing w:after="100" w:afterAutospacing="1" w:line="240" w:lineRule="auto"/>
                        <w:jc w:val="both"/>
                        <w:rPr>
                          <w:rFonts w:ascii="Times New Roman" w:eastAsia="Calibri" w:hAnsi="Times New Roman" w:cs="Times New Roman"/>
                          <w:sz w:val="24"/>
                          <w:szCs w:val="24"/>
                          <w:lang w:val="en-GB"/>
                        </w:rPr>
                      </w:pPr>
                      <w:r w:rsidRPr="002D7C3E">
                        <w:rPr>
                          <w:rFonts w:ascii="Times New Roman" w:eastAsia="Calibri" w:hAnsi="Times New Roman" w:cs="Times New Roman"/>
                          <w:sz w:val="24"/>
                          <w:szCs w:val="24"/>
                          <w:lang w:val="en-GB"/>
                        </w:rPr>
                        <w:t>Për vlerësimin e cilësisë së ujërave të liqeneve bazohemi në vlerat limite të parametrave kimikë të DKU të BE, për pë</w:t>
                      </w:r>
                      <w:r>
                        <w:rPr>
                          <w:rFonts w:ascii="Times New Roman" w:eastAsia="Calibri" w:hAnsi="Times New Roman" w:cs="Times New Roman"/>
                          <w:sz w:val="24"/>
                          <w:szCs w:val="24"/>
                          <w:lang w:val="en-GB"/>
                        </w:rPr>
                        <w:t>rcaktimin e gjendjes së liqenit.</w:t>
                      </w:r>
                    </w:p>
                    <w:p w:rsidR="0064059F" w:rsidRPr="002F3F5A" w:rsidRDefault="0064059F" w:rsidP="002F3F5A">
                      <w:pPr>
                        <w:jc w:val="both"/>
                        <w:rPr>
                          <w:rFonts w:ascii="Times New Roman" w:hAnsi="Times New Roman" w:cs="Times New Roman"/>
                          <w:sz w:val="24"/>
                          <w:szCs w:val="24"/>
                        </w:rPr>
                      </w:pPr>
                    </w:p>
                  </w:txbxContent>
                </v:textbox>
              </v:rect>
            </w:pict>
          </mc:Fallback>
        </mc:AlternateContent>
      </w:r>
      <w:r w:rsidR="00C55FD0">
        <w:rPr>
          <w:noProof/>
        </w:rPr>
        <w:drawing>
          <wp:inline distT="0" distB="0" distL="0" distR="0" wp14:anchorId="123EBB36" wp14:editId="0BA0C170">
            <wp:extent cx="2609850" cy="3143250"/>
            <wp:effectExtent l="0" t="0" r="0" b="0"/>
            <wp:docPr id="346" name="Picture 34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2609850" cy="3143250"/>
                    </a:xfrm>
                    <a:prstGeom prst="rect">
                      <a:avLst/>
                    </a:prstGeom>
                  </pic:spPr>
                </pic:pic>
              </a:graphicData>
            </a:graphic>
          </wp:inline>
        </w:drawing>
      </w:r>
      <w:r w:rsidR="00C55FD0">
        <w:rPr>
          <w:rFonts w:ascii="Times New Roman" w:eastAsiaTheme="minorEastAsia" w:hAnsi="Times New Roman" w:cs="Times New Roman"/>
          <w:sz w:val="24"/>
          <w:szCs w:val="24"/>
        </w:rPr>
        <w:t xml:space="preserve">  </w:t>
      </w:r>
    </w:p>
    <w:p w:rsidR="006510D0" w:rsidRDefault="006510D0" w:rsidP="00C55FD0">
      <w:pPr>
        <w:spacing w:line="256" w:lineRule="auto"/>
        <w:jc w:val="center"/>
        <w:rPr>
          <w:rFonts w:ascii="Times New Roman" w:hAnsi="Times New Roman" w:cs="Times New Roman"/>
          <w:b/>
          <w:sz w:val="24"/>
          <w:szCs w:val="24"/>
        </w:rPr>
      </w:pPr>
    </w:p>
    <w:p w:rsidR="00C55FD0" w:rsidRPr="00465EBF" w:rsidRDefault="00465EBF" w:rsidP="00C55FD0">
      <w:pPr>
        <w:spacing w:line="256" w:lineRule="auto"/>
        <w:jc w:val="center"/>
        <w:rPr>
          <w:rFonts w:ascii="Times New Roman" w:eastAsia="Calibri" w:hAnsi="Times New Roman" w:cs="Times New Roman"/>
          <w:sz w:val="24"/>
          <w:szCs w:val="24"/>
          <w:lang w:val="sq-AL"/>
        </w:rPr>
      </w:pPr>
      <w:r w:rsidRPr="00465EBF">
        <w:rPr>
          <w:rFonts w:ascii="Times New Roman" w:hAnsi="Times New Roman" w:cs="Times New Roman"/>
          <w:sz w:val="24"/>
          <w:szCs w:val="24"/>
        </w:rPr>
        <w:t xml:space="preserve">Tabela 31 </w:t>
      </w:r>
      <w:r w:rsidR="00C55FD0" w:rsidRPr="00465EBF">
        <w:rPr>
          <w:rFonts w:ascii="Times New Roman" w:hAnsi="Times New Roman" w:cs="Times New Roman"/>
          <w:sz w:val="24"/>
          <w:szCs w:val="24"/>
        </w:rPr>
        <w:t>Vlerat limite të cilësisë së ujërave të liqeneve sipas DKU</w:t>
      </w: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1170"/>
        <w:gridCol w:w="1620"/>
        <w:gridCol w:w="1363"/>
        <w:gridCol w:w="1350"/>
      </w:tblGrid>
      <w:tr w:rsidR="00C55FD0" w:rsidRPr="00C55FD0" w:rsidTr="00C55FD0">
        <w:trPr>
          <w:trHeight w:val="355"/>
        </w:trPr>
        <w:tc>
          <w:tcPr>
            <w:tcW w:w="4315" w:type="dxa"/>
            <w:vMerge w:val="restart"/>
            <w:tcBorders>
              <w:top w:val="single" w:sz="4" w:space="0" w:color="auto"/>
              <w:left w:val="single" w:sz="4" w:space="0" w:color="auto"/>
              <w:bottom w:val="single" w:sz="4" w:space="0" w:color="auto"/>
              <w:right w:val="single" w:sz="4" w:space="0" w:color="auto"/>
            </w:tcBorders>
            <w:noWrap/>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b/>
                <w:bCs/>
                <w:color w:val="000000"/>
                <w:sz w:val="24"/>
                <w:szCs w:val="24"/>
                <w:lang w:val="en-GB" w:eastAsia="ja-JP"/>
              </w:rPr>
              <w:t>Paramet</w:t>
            </w:r>
            <w:r w:rsidRPr="00C55FD0">
              <w:rPr>
                <w:rFonts w:ascii="Times New Roman" w:hAnsi="Times New Roman" w:cs="Times New Roman"/>
                <w:b/>
                <w:bCs/>
                <w:color w:val="000000"/>
                <w:sz w:val="24"/>
                <w:szCs w:val="24"/>
                <w:lang w:val="en-GB" w:eastAsia="ja-JP"/>
              </w:rPr>
              <w:t>rat</w:t>
            </w:r>
          </w:p>
        </w:tc>
        <w:tc>
          <w:tcPr>
            <w:tcW w:w="1170" w:type="dxa"/>
            <w:vMerge w:val="restart"/>
            <w:tcBorders>
              <w:top w:val="single" w:sz="4" w:space="0" w:color="auto"/>
              <w:left w:val="single" w:sz="4" w:space="0" w:color="auto"/>
              <w:bottom w:val="single" w:sz="4" w:space="0" w:color="auto"/>
              <w:right w:val="single" w:sz="4" w:space="0" w:color="auto"/>
            </w:tcBorders>
            <w:noWrap/>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hAnsi="Times New Roman" w:cs="Times New Roman"/>
                <w:b/>
                <w:bCs/>
                <w:color w:val="000000"/>
                <w:sz w:val="24"/>
                <w:szCs w:val="24"/>
                <w:lang w:val="en-GB" w:eastAsia="ja-JP"/>
              </w:rPr>
              <w:t>Njësia matëse</w:t>
            </w:r>
          </w:p>
        </w:tc>
        <w:tc>
          <w:tcPr>
            <w:tcW w:w="4319" w:type="dxa"/>
            <w:gridSpan w:val="3"/>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b/>
                <w:bCs/>
                <w:color w:val="000000"/>
                <w:sz w:val="24"/>
                <w:szCs w:val="24"/>
                <w:lang w:val="en-GB" w:eastAsia="ja-JP"/>
              </w:rPr>
            </w:pPr>
            <w:r w:rsidRPr="00C55FD0">
              <w:rPr>
                <w:rFonts w:ascii="Times New Roman" w:hAnsi="Times New Roman" w:cs="Times New Roman"/>
                <w:b/>
                <w:bCs/>
                <w:color w:val="000000"/>
                <w:sz w:val="24"/>
                <w:szCs w:val="24"/>
                <w:lang w:val="en-GB" w:eastAsia="ja-JP"/>
              </w:rPr>
              <w:t xml:space="preserve">Vlerat limite për përcaktimin e gjendjes </w:t>
            </w:r>
          </w:p>
        </w:tc>
      </w:tr>
      <w:tr w:rsidR="00C55FD0" w:rsidRPr="00C55FD0" w:rsidTr="00C55FD0">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rPr>
                <w:rFonts w:ascii="Times New Roman" w:eastAsia="Calibri" w:hAnsi="Times New Roman" w:cs="Times New Roman"/>
                <w:color w:val="000000"/>
                <w:sz w:val="24"/>
                <w:szCs w:val="24"/>
                <w:lang w:val="en-GB" w:eastAsia="ja-JP"/>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rPr>
                <w:rFonts w:ascii="Times New Roman" w:eastAsia="Calibri" w:hAnsi="Times New Roman" w:cs="Times New Roman"/>
                <w:color w:val="000000"/>
                <w:sz w:val="24"/>
                <w:szCs w:val="24"/>
                <w:lang w:val="en-GB" w:eastAsia="ja-JP"/>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b/>
                <w:bCs/>
                <w:color w:val="000000"/>
                <w:sz w:val="24"/>
                <w:szCs w:val="24"/>
                <w:lang w:val="en-GB" w:eastAsia="ja-JP"/>
              </w:rPr>
            </w:pPr>
            <w:r w:rsidRPr="00C55FD0">
              <w:rPr>
                <w:rFonts w:ascii="Times New Roman" w:hAnsi="Times New Roman" w:cs="Times New Roman"/>
                <w:b/>
                <w:bCs/>
                <w:color w:val="000000"/>
                <w:sz w:val="24"/>
                <w:szCs w:val="24"/>
                <w:lang w:val="en-GB" w:eastAsia="ja-JP"/>
              </w:rPr>
              <w:t>Oligotrofik</w:t>
            </w:r>
          </w:p>
        </w:tc>
        <w:tc>
          <w:tcPr>
            <w:tcW w:w="1349"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b/>
                <w:bCs/>
                <w:color w:val="000000"/>
                <w:sz w:val="24"/>
                <w:szCs w:val="24"/>
                <w:lang w:val="en-GB" w:eastAsia="ja-JP"/>
              </w:rPr>
            </w:pPr>
            <w:r w:rsidRPr="00C55FD0">
              <w:rPr>
                <w:rFonts w:ascii="Times New Roman" w:hAnsi="Times New Roman" w:cs="Times New Roman"/>
                <w:b/>
                <w:bCs/>
                <w:color w:val="000000"/>
                <w:sz w:val="24"/>
                <w:szCs w:val="24"/>
                <w:lang w:val="en-GB" w:eastAsia="ja-JP"/>
              </w:rPr>
              <w:t>Mezotrofik</w:t>
            </w:r>
          </w:p>
        </w:tc>
        <w:tc>
          <w:tcPr>
            <w:tcW w:w="1350"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b/>
                <w:bCs/>
                <w:color w:val="000000"/>
                <w:sz w:val="24"/>
                <w:szCs w:val="24"/>
                <w:lang w:val="en-GB" w:eastAsia="ja-JP"/>
              </w:rPr>
            </w:pPr>
            <w:r w:rsidRPr="00C55FD0">
              <w:rPr>
                <w:rFonts w:ascii="Times New Roman" w:hAnsi="Times New Roman" w:cs="Times New Roman"/>
                <w:b/>
                <w:bCs/>
                <w:color w:val="000000"/>
                <w:sz w:val="24"/>
                <w:szCs w:val="24"/>
                <w:lang w:val="en-GB" w:eastAsia="ja-JP"/>
              </w:rPr>
              <w:t>Eutrofik</w:t>
            </w:r>
          </w:p>
        </w:tc>
      </w:tr>
      <w:tr w:rsidR="00C55FD0" w:rsidRPr="00C55FD0" w:rsidTr="00C55FD0">
        <w:trPr>
          <w:trHeight w:val="300"/>
        </w:trPr>
        <w:tc>
          <w:tcPr>
            <w:tcW w:w="4315"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rPr>
                <w:rFonts w:ascii="Times New Roman" w:eastAsia="Calibri" w:hAnsi="Times New Roman" w:cs="Times New Roman"/>
                <w:b/>
                <w:color w:val="000000"/>
                <w:sz w:val="24"/>
                <w:szCs w:val="24"/>
                <w:lang w:val="en-GB" w:eastAsia="ja-JP"/>
              </w:rPr>
            </w:pPr>
            <w:r w:rsidRPr="00C55FD0">
              <w:rPr>
                <w:rFonts w:ascii="Times New Roman" w:hAnsi="Times New Roman" w:cs="Times New Roman"/>
                <w:b/>
                <w:color w:val="000000"/>
                <w:sz w:val="24"/>
                <w:szCs w:val="24"/>
                <w:lang w:val="en-GB" w:eastAsia="ja-JP"/>
              </w:rPr>
              <w:t>Transparenca</w:t>
            </w:r>
          </w:p>
        </w:tc>
        <w:tc>
          <w:tcPr>
            <w:tcW w:w="1170"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m</w:t>
            </w:r>
          </w:p>
        </w:tc>
        <w:tc>
          <w:tcPr>
            <w:tcW w:w="1620"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40" w:lineRule="auto"/>
              <w:jc w:val="center"/>
              <w:rPr>
                <w:rFonts w:ascii="Times New Roman"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 xml:space="preserve">5-10 </w:t>
            </w:r>
          </w:p>
          <w:p w:rsidR="00C55FD0" w:rsidRPr="00C55FD0" w:rsidRDefault="00C55FD0" w:rsidP="00C55FD0">
            <w:pPr>
              <w:spacing w:after="0" w:line="240" w:lineRule="auto"/>
              <w:jc w:val="center"/>
              <w:rPr>
                <w:rFonts w:ascii="Times New Roman"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(max 15-20)</w:t>
            </w:r>
          </w:p>
        </w:tc>
        <w:tc>
          <w:tcPr>
            <w:tcW w:w="1349"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40" w:lineRule="auto"/>
              <w:jc w:val="center"/>
              <w:rPr>
                <w:rFonts w:ascii="Times New Roman"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 xml:space="preserve">1-2 </w:t>
            </w:r>
          </w:p>
          <w:p w:rsidR="00C55FD0" w:rsidRPr="00C55FD0" w:rsidRDefault="00C55FD0" w:rsidP="00C55FD0">
            <w:pPr>
              <w:spacing w:after="0" w:line="240"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(max.5-10)</w:t>
            </w:r>
          </w:p>
        </w:tc>
        <w:tc>
          <w:tcPr>
            <w:tcW w:w="1350"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40" w:lineRule="auto"/>
              <w:jc w:val="center"/>
              <w:rPr>
                <w:rFonts w:ascii="Times New Roman"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 xml:space="preserve">&lt;1 </w:t>
            </w:r>
          </w:p>
          <w:p w:rsidR="00C55FD0" w:rsidRPr="00C55FD0" w:rsidRDefault="00C55FD0" w:rsidP="00C55FD0">
            <w:pPr>
              <w:spacing w:after="0" w:line="240"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(max 2-3)</w:t>
            </w:r>
          </w:p>
        </w:tc>
      </w:tr>
      <w:tr w:rsidR="00C55FD0" w:rsidRPr="00C55FD0" w:rsidTr="00C55FD0">
        <w:trPr>
          <w:trHeight w:val="300"/>
        </w:trPr>
        <w:tc>
          <w:tcPr>
            <w:tcW w:w="4315"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rPr>
                <w:rFonts w:ascii="Times New Roman" w:eastAsia="Calibri" w:hAnsi="Times New Roman" w:cs="Times New Roman"/>
                <w:b/>
                <w:color w:val="000000"/>
                <w:sz w:val="24"/>
                <w:szCs w:val="24"/>
                <w:lang w:val="en-GB" w:eastAsia="ja-JP"/>
              </w:rPr>
            </w:pPr>
            <w:r w:rsidRPr="00C55FD0">
              <w:rPr>
                <w:rFonts w:ascii="Times New Roman" w:eastAsia="Calibri" w:hAnsi="Times New Roman" w:cs="Times New Roman"/>
                <w:b/>
                <w:color w:val="000000"/>
                <w:sz w:val="24"/>
                <w:szCs w:val="24"/>
                <w:lang w:val="en-GB" w:eastAsia="ja-JP"/>
              </w:rPr>
              <w:t>Nevoja Kimike  për Oksigjen (NKO)</w:t>
            </w:r>
          </w:p>
        </w:tc>
        <w:tc>
          <w:tcPr>
            <w:tcW w:w="1170"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sz w:val="24"/>
                <w:szCs w:val="24"/>
                <w:lang w:val="en-GB" w:eastAsia="ja-JP"/>
              </w:rPr>
            </w:pPr>
            <w:r w:rsidRPr="00C55FD0">
              <w:rPr>
                <w:rFonts w:ascii="Times New Roman" w:eastAsia="Calibri" w:hAnsi="Times New Roman" w:cs="Times New Roman"/>
                <w:sz w:val="24"/>
                <w:szCs w:val="24"/>
                <w:lang w:val="en-GB" w:eastAsia="ja-JP"/>
              </w:rPr>
              <w:t>mg</w:t>
            </w:r>
            <w:r w:rsidRPr="00C55FD0">
              <w:rPr>
                <w:rFonts w:ascii="Times New Roman" w:eastAsia="Calibri" w:hAnsi="Times New Roman" w:cs="Times New Roman"/>
                <w:color w:val="000000"/>
                <w:sz w:val="24"/>
                <w:szCs w:val="24"/>
                <w:lang w:val="en-GB" w:eastAsia="ja-JP"/>
              </w:rPr>
              <w:t xml:space="preserve"> O</w:t>
            </w:r>
            <w:r w:rsidRPr="00C55FD0">
              <w:rPr>
                <w:rFonts w:ascii="Times New Roman" w:eastAsia="Calibri" w:hAnsi="Times New Roman" w:cs="Times New Roman"/>
                <w:color w:val="000000"/>
                <w:sz w:val="24"/>
                <w:szCs w:val="24"/>
                <w:vertAlign w:val="subscript"/>
                <w:lang w:val="en-GB" w:eastAsia="ja-JP"/>
              </w:rPr>
              <w:t>2</w:t>
            </w:r>
            <w:r w:rsidRPr="00C55FD0">
              <w:rPr>
                <w:rFonts w:ascii="Times New Roman" w:eastAsia="Calibri" w:hAnsi="Times New Roman" w:cs="Times New Roman"/>
                <w:sz w:val="24"/>
                <w:szCs w:val="24"/>
                <w:lang w:val="en-GB" w:eastAsia="ja-JP"/>
              </w:rPr>
              <w:t xml:space="preserve"> /l</w:t>
            </w:r>
          </w:p>
        </w:tc>
        <w:tc>
          <w:tcPr>
            <w:tcW w:w="1620"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1-2</w:t>
            </w:r>
          </w:p>
        </w:tc>
        <w:tc>
          <w:tcPr>
            <w:tcW w:w="1349"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8-9</w:t>
            </w:r>
          </w:p>
        </w:tc>
        <w:tc>
          <w:tcPr>
            <w:tcW w:w="1350"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20-65</w:t>
            </w:r>
          </w:p>
        </w:tc>
      </w:tr>
      <w:tr w:rsidR="00C55FD0" w:rsidRPr="00C55FD0" w:rsidTr="00C55FD0">
        <w:trPr>
          <w:trHeight w:val="332"/>
        </w:trPr>
        <w:tc>
          <w:tcPr>
            <w:tcW w:w="4315"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rPr>
                <w:rFonts w:ascii="Times New Roman" w:eastAsia="Calibri" w:hAnsi="Times New Roman" w:cs="Times New Roman"/>
                <w:b/>
                <w:color w:val="000000"/>
                <w:sz w:val="24"/>
                <w:szCs w:val="24"/>
                <w:lang w:val="en-GB" w:eastAsia="ja-JP"/>
              </w:rPr>
            </w:pPr>
            <w:r w:rsidRPr="00C55FD0">
              <w:rPr>
                <w:rFonts w:ascii="Times New Roman" w:eastAsia="Calibri" w:hAnsi="Times New Roman" w:cs="Times New Roman"/>
                <w:b/>
                <w:color w:val="000000"/>
                <w:sz w:val="24"/>
                <w:szCs w:val="24"/>
                <w:lang w:val="en-GB" w:eastAsia="ja-JP"/>
              </w:rPr>
              <w:t>Nevoja Biokimike  për Oksigjen(NBO</w:t>
            </w:r>
            <w:r w:rsidRPr="00C55FD0">
              <w:rPr>
                <w:rFonts w:ascii="Times New Roman" w:eastAsia="Calibri" w:hAnsi="Times New Roman" w:cs="Times New Roman"/>
                <w:b/>
                <w:color w:val="000000"/>
                <w:sz w:val="24"/>
                <w:szCs w:val="24"/>
                <w:vertAlign w:val="subscript"/>
                <w:lang w:val="en-GB" w:eastAsia="ja-JP"/>
              </w:rPr>
              <w:t xml:space="preserve">5 </w:t>
            </w:r>
            <w:r w:rsidRPr="00C55FD0">
              <w:rPr>
                <w:rFonts w:ascii="Times New Roman Bold" w:eastAsia="Calibri" w:hAnsi="Times New Roman Bold" w:cs="Times New Roman"/>
                <w:b/>
                <w:color w:val="000000"/>
                <w:sz w:val="24"/>
                <w:szCs w:val="24"/>
                <w:lang w:val="en-GB" w:eastAsia="ja-JP"/>
              </w:rPr>
              <w:t>)</w:t>
            </w:r>
          </w:p>
        </w:tc>
        <w:tc>
          <w:tcPr>
            <w:tcW w:w="1170"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mg O</w:t>
            </w:r>
            <w:r w:rsidRPr="00C55FD0">
              <w:rPr>
                <w:rFonts w:ascii="Times New Roman" w:eastAsia="Calibri" w:hAnsi="Times New Roman" w:cs="Times New Roman"/>
                <w:color w:val="000000"/>
                <w:sz w:val="24"/>
                <w:szCs w:val="24"/>
                <w:vertAlign w:val="subscript"/>
                <w:lang w:val="en-GB" w:eastAsia="ja-JP"/>
              </w:rPr>
              <w:t>2</w:t>
            </w:r>
            <w:r w:rsidRPr="00C55FD0">
              <w:rPr>
                <w:rFonts w:ascii="Times New Roman" w:eastAsia="Calibri" w:hAnsi="Times New Roman" w:cs="Times New Roman"/>
                <w:color w:val="000000"/>
                <w:sz w:val="24"/>
                <w:szCs w:val="24"/>
                <w:lang w:val="en-GB" w:eastAsia="ja-JP"/>
              </w:rPr>
              <w:t>/l</w:t>
            </w:r>
          </w:p>
        </w:tc>
        <w:tc>
          <w:tcPr>
            <w:tcW w:w="1620"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&lt;3</w:t>
            </w:r>
          </w:p>
        </w:tc>
        <w:tc>
          <w:tcPr>
            <w:tcW w:w="1349"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3-5,5</w:t>
            </w:r>
          </w:p>
        </w:tc>
        <w:tc>
          <w:tcPr>
            <w:tcW w:w="1350"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5,5-14</w:t>
            </w:r>
          </w:p>
        </w:tc>
      </w:tr>
      <w:tr w:rsidR="00C55FD0" w:rsidRPr="00C55FD0" w:rsidTr="00C55FD0">
        <w:trPr>
          <w:trHeight w:val="260"/>
        </w:trPr>
        <w:tc>
          <w:tcPr>
            <w:tcW w:w="4315"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rPr>
                <w:rFonts w:ascii="Times New Roman" w:eastAsia="Calibri" w:hAnsi="Times New Roman" w:cs="Times New Roman"/>
                <w:b/>
                <w:color w:val="000000"/>
                <w:sz w:val="24"/>
                <w:szCs w:val="24"/>
                <w:lang w:val="en-GB" w:eastAsia="ja-JP"/>
              </w:rPr>
            </w:pPr>
            <w:r w:rsidRPr="00C55FD0">
              <w:rPr>
                <w:rFonts w:ascii="Times New Roman" w:eastAsia="Calibri" w:hAnsi="Times New Roman" w:cs="Times New Roman"/>
                <w:b/>
                <w:color w:val="000000"/>
                <w:sz w:val="24"/>
                <w:szCs w:val="24"/>
                <w:lang w:val="en-GB" w:eastAsia="ja-JP"/>
              </w:rPr>
              <w:t>Nitrate  (NO</w:t>
            </w:r>
            <w:r w:rsidRPr="00C55FD0">
              <w:rPr>
                <w:rFonts w:ascii="Times New Roman" w:eastAsia="Calibri" w:hAnsi="Times New Roman" w:cs="Times New Roman"/>
                <w:b/>
                <w:color w:val="000000"/>
                <w:sz w:val="24"/>
                <w:szCs w:val="24"/>
                <w:vertAlign w:val="subscript"/>
                <w:lang w:val="en-GB" w:eastAsia="ja-JP"/>
              </w:rPr>
              <w:t>3</w:t>
            </w:r>
            <w:r w:rsidRPr="00C55FD0">
              <w:rPr>
                <w:rFonts w:ascii="Times New Roman" w:eastAsia="Calibri" w:hAnsi="Times New Roman" w:cs="Times New Roman"/>
                <w:b/>
                <w:color w:val="000000"/>
                <w:sz w:val="24"/>
                <w:szCs w:val="24"/>
                <w:lang w:val="en-GB" w:eastAsia="ja-JP"/>
              </w:rPr>
              <w:t>-N)</w:t>
            </w:r>
          </w:p>
        </w:tc>
        <w:tc>
          <w:tcPr>
            <w:tcW w:w="1170"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 xml:space="preserve">  mg N/l</w:t>
            </w:r>
          </w:p>
        </w:tc>
        <w:tc>
          <w:tcPr>
            <w:tcW w:w="1620"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&lt;1</w:t>
            </w:r>
          </w:p>
        </w:tc>
        <w:tc>
          <w:tcPr>
            <w:tcW w:w="1349"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&lt;1</w:t>
            </w:r>
          </w:p>
        </w:tc>
        <w:tc>
          <w:tcPr>
            <w:tcW w:w="1350"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&gt;2</w:t>
            </w:r>
          </w:p>
        </w:tc>
      </w:tr>
      <w:tr w:rsidR="00C55FD0" w:rsidRPr="00C55FD0" w:rsidTr="00C55FD0">
        <w:trPr>
          <w:trHeight w:val="332"/>
        </w:trPr>
        <w:tc>
          <w:tcPr>
            <w:tcW w:w="4315"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40" w:lineRule="auto"/>
              <w:rPr>
                <w:rFonts w:ascii="Times New Roman" w:hAnsi="Times New Roman" w:cs="Times New Roman"/>
                <w:b/>
                <w:color w:val="000000"/>
                <w:sz w:val="24"/>
                <w:szCs w:val="24"/>
                <w:lang w:val="en-GB" w:eastAsia="ja-JP"/>
              </w:rPr>
            </w:pPr>
            <w:r w:rsidRPr="00C55FD0">
              <w:rPr>
                <w:rFonts w:ascii="Times New Roman" w:hAnsi="Times New Roman" w:cs="Times New Roman"/>
                <w:b/>
                <w:color w:val="000000"/>
                <w:sz w:val="24"/>
                <w:szCs w:val="24"/>
                <w:lang w:val="en-GB" w:eastAsia="ja-JP"/>
              </w:rPr>
              <w:t>Fosfor total (P- total )</w:t>
            </w:r>
          </w:p>
        </w:tc>
        <w:tc>
          <w:tcPr>
            <w:tcW w:w="1170" w:type="dxa"/>
            <w:tcBorders>
              <w:top w:val="single" w:sz="4" w:space="0" w:color="auto"/>
              <w:left w:val="single" w:sz="4" w:space="0" w:color="auto"/>
              <w:bottom w:val="single" w:sz="4" w:space="0" w:color="auto"/>
              <w:right w:val="single" w:sz="4" w:space="0" w:color="auto"/>
            </w:tcBorders>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µg P/l</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4-10</w:t>
            </w:r>
          </w:p>
        </w:tc>
        <w:tc>
          <w:tcPr>
            <w:tcW w:w="1349" w:type="dxa"/>
            <w:tcBorders>
              <w:top w:val="single" w:sz="4" w:space="0" w:color="auto"/>
              <w:left w:val="single" w:sz="4" w:space="0" w:color="auto"/>
              <w:bottom w:val="single" w:sz="4" w:space="0" w:color="auto"/>
              <w:right w:val="single" w:sz="4" w:space="0" w:color="auto"/>
            </w:tcBorders>
            <w:noWrap/>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10-35</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C55FD0" w:rsidRPr="00C55FD0" w:rsidRDefault="00C55FD0" w:rsidP="00C55FD0">
            <w:pPr>
              <w:spacing w:after="0" w:line="256" w:lineRule="auto"/>
              <w:jc w:val="center"/>
              <w:rPr>
                <w:rFonts w:ascii="Times New Roman" w:eastAsia="Calibri" w:hAnsi="Times New Roman" w:cs="Times New Roman"/>
                <w:color w:val="000000"/>
                <w:sz w:val="24"/>
                <w:szCs w:val="24"/>
                <w:lang w:val="en-GB" w:eastAsia="ja-JP"/>
              </w:rPr>
            </w:pPr>
            <w:r w:rsidRPr="00C55FD0">
              <w:rPr>
                <w:rFonts w:ascii="Times New Roman" w:eastAsia="Calibri" w:hAnsi="Times New Roman" w:cs="Times New Roman"/>
                <w:color w:val="000000"/>
                <w:sz w:val="24"/>
                <w:szCs w:val="24"/>
                <w:lang w:val="en-GB" w:eastAsia="ja-JP"/>
              </w:rPr>
              <w:t>35-100</w:t>
            </w:r>
          </w:p>
        </w:tc>
      </w:tr>
    </w:tbl>
    <w:p w:rsidR="00C55FD0" w:rsidRDefault="00C55FD0" w:rsidP="002D7C3E">
      <w:pPr>
        <w:spacing w:after="100" w:afterAutospacing="1" w:line="240" w:lineRule="auto"/>
        <w:jc w:val="both"/>
        <w:rPr>
          <w:rFonts w:ascii="Times New Roman" w:eastAsia="Calibri" w:hAnsi="Times New Roman" w:cs="Times New Roman"/>
          <w:sz w:val="24"/>
          <w:szCs w:val="24"/>
          <w:lang w:val="en-GB"/>
        </w:rPr>
      </w:pPr>
    </w:p>
    <w:p w:rsidR="00465EBF" w:rsidRPr="002D7C3E" w:rsidRDefault="00465EBF" w:rsidP="002D7C3E">
      <w:pPr>
        <w:spacing w:after="100" w:afterAutospacing="1" w:line="240" w:lineRule="auto"/>
        <w:jc w:val="both"/>
        <w:rPr>
          <w:rFonts w:ascii="Times New Roman" w:eastAsia="Calibri" w:hAnsi="Times New Roman" w:cs="Times New Roman"/>
          <w:sz w:val="24"/>
          <w:szCs w:val="24"/>
          <w:lang w:val="en-GB"/>
        </w:rPr>
      </w:pPr>
    </w:p>
    <w:p w:rsidR="002D7C3E" w:rsidRPr="002D7C3E" w:rsidRDefault="002D7C3E" w:rsidP="004D460A">
      <w:pPr>
        <w:numPr>
          <w:ilvl w:val="0"/>
          <w:numId w:val="20"/>
        </w:numPr>
        <w:spacing w:after="0" w:line="276" w:lineRule="auto"/>
        <w:contextualSpacing/>
        <w:rPr>
          <w:rFonts w:ascii="Times New Roman" w:eastAsia="Calibri" w:hAnsi="Times New Roman" w:cs="Times New Roman"/>
          <w:b/>
          <w:i/>
          <w:sz w:val="24"/>
          <w:szCs w:val="24"/>
          <w:lang w:val="da-DK"/>
        </w:rPr>
      </w:pPr>
      <w:bookmarkStart w:id="16" w:name="_Hlk175050266"/>
      <w:r w:rsidRPr="002D7C3E">
        <w:rPr>
          <w:rFonts w:ascii="Times New Roman" w:eastAsia="Calibri" w:hAnsi="Times New Roman" w:cs="Times New Roman"/>
          <w:b/>
          <w:i/>
          <w:sz w:val="24"/>
          <w:szCs w:val="24"/>
          <w:lang w:val="da-DK"/>
        </w:rPr>
        <w:t>Liqeni i Shkodrës</w:t>
      </w:r>
    </w:p>
    <w:p w:rsidR="002D7C3E" w:rsidRPr="002D7C3E" w:rsidRDefault="002D7C3E" w:rsidP="002D7C3E">
      <w:pPr>
        <w:spacing w:after="0" w:line="276" w:lineRule="auto"/>
        <w:rPr>
          <w:rFonts w:ascii="Times New Roman" w:eastAsia="Calibri" w:hAnsi="Times New Roman" w:cs="Times New Roman"/>
          <w:b/>
          <w:sz w:val="24"/>
          <w:szCs w:val="24"/>
          <w:lang w:val="da-DK"/>
        </w:rPr>
      </w:pPr>
    </w:p>
    <w:p w:rsidR="002D7C3E" w:rsidRPr="002D7C3E" w:rsidRDefault="002D7C3E" w:rsidP="002D7C3E">
      <w:pPr>
        <w:spacing w:after="0" w:line="276" w:lineRule="auto"/>
        <w:rPr>
          <w:rFonts w:ascii="Times New Roman" w:eastAsia="Calibri" w:hAnsi="Times New Roman" w:cs="Times New Roman"/>
          <w:sz w:val="24"/>
          <w:szCs w:val="24"/>
          <w:lang w:val="da-DK"/>
        </w:rPr>
      </w:pPr>
      <w:r w:rsidRPr="002D7C3E">
        <w:rPr>
          <w:rFonts w:ascii="Times New Roman" w:eastAsia="Calibri" w:hAnsi="Times New Roman" w:cs="Times New Roman"/>
          <w:sz w:val="24"/>
          <w:szCs w:val="24"/>
          <w:lang w:val="da-DK"/>
        </w:rPr>
        <w:t>Monitorimi i Liqenit t</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da-DK"/>
        </w:rPr>
        <w:t xml:space="preserve"> Shkodr</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da-DK"/>
        </w:rPr>
        <w:t>s realizohet n</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da-DK"/>
        </w:rPr>
        <w:t xml:space="preserve"> tre stacione n</w:t>
      </w:r>
      <w:r w:rsidRPr="002D7C3E">
        <w:rPr>
          <w:rFonts w:ascii="Times New Roman" w:eastAsia="Calibri" w:hAnsi="Times New Roman" w:cs="Times New Roman"/>
          <w:sz w:val="24"/>
          <w:szCs w:val="24"/>
          <w:lang w:val="en-GB"/>
        </w:rPr>
        <w:t>ë Koplik (Stërbec), Shirokë dhe Zogaj</w:t>
      </w:r>
      <w:r w:rsidRPr="002D7C3E">
        <w:rPr>
          <w:rFonts w:ascii="Times New Roman" w:eastAsia="Calibri" w:hAnsi="Times New Roman" w:cs="Times New Roman"/>
          <w:sz w:val="24"/>
          <w:szCs w:val="24"/>
          <w:lang w:val="da-DK"/>
        </w:rPr>
        <w:t>, ku n</w:t>
      </w:r>
      <w:r w:rsidRPr="002D7C3E">
        <w:rPr>
          <w:rFonts w:ascii="Times New Roman" w:eastAsia="Calibri" w:hAnsi="Times New Roman" w:cs="Times New Roman"/>
          <w:sz w:val="24"/>
          <w:szCs w:val="24"/>
          <w:lang w:val="en-GB"/>
        </w:rPr>
        <w:t xml:space="preserve">ë </w:t>
      </w:r>
      <w:r w:rsidRPr="002D7C3E">
        <w:rPr>
          <w:rFonts w:ascii="Times New Roman" w:eastAsia="Calibri" w:hAnsi="Times New Roman" w:cs="Times New Roman"/>
          <w:sz w:val="24"/>
          <w:szCs w:val="24"/>
          <w:lang w:val="da-DK"/>
        </w:rPr>
        <w:t>çdo pik</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da-DK"/>
        </w:rPr>
        <w:t xml:space="preserve"> monitorimi jan</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da-DK"/>
        </w:rPr>
        <w:t xml:space="preserve"> kampionuar mostra në 2 thell</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da-DK"/>
        </w:rPr>
        <w:t>si t</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da-DK"/>
        </w:rPr>
        <w:t xml:space="preserve"> ndryshme: 0 m dhe 10</w:t>
      </w:r>
      <w:r w:rsidR="00E615C2">
        <w:rPr>
          <w:rFonts w:ascii="Times New Roman" w:eastAsia="Calibri" w:hAnsi="Times New Roman" w:cs="Times New Roman"/>
          <w:sz w:val="24"/>
          <w:szCs w:val="24"/>
          <w:lang w:val="da-DK"/>
        </w:rPr>
        <w:t xml:space="preserve"> </w:t>
      </w:r>
      <w:r w:rsidRPr="002D7C3E">
        <w:rPr>
          <w:rFonts w:ascii="Times New Roman" w:eastAsia="Calibri" w:hAnsi="Times New Roman" w:cs="Times New Roman"/>
          <w:sz w:val="24"/>
          <w:szCs w:val="24"/>
          <w:lang w:val="da-DK"/>
        </w:rPr>
        <w:t xml:space="preserve">m. </w:t>
      </w:r>
    </w:p>
    <w:p w:rsidR="002D7C3E" w:rsidRPr="002D7C3E" w:rsidRDefault="002D7C3E" w:rsidP="002D7C3E">
      <w:pPr>
        <w:spacing w:after="100" w:afterAutospacing="1" w:line="240"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Liqeni i Shkodr</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sq-AL"/>
        </w:rPr>
        <w:t xml:space="preserve">s </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sq-AL"/>
        </w:rPr>
        <w:t>sht</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sq-AL"/>
        </w:rPr>
        <w:t xml:space="preserve"> nj</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sq-AL"/>
        </w:rPr>
        <w:t xml:space="preserve"> liqen me thell</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sq-AL"/>
        </w:rPr>
        <w:t>si relativisht t</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sq-AL"/>
        </w:rPr>
        <w:t xml:space="preserve"> vog</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sq-AL"/>
        </w:rPr>
        <w:t>l, ku mungon fenomeni i shtres</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sq-AL"/>
        </w:rPr>
        <w:t>zimit, p</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sq-AL"/>
        </w:rPr>
        <w:t>rzierjes s</w:t>
      </w:r>
      <w:r w:rsidRPr="002D7C3E">
        <w:rPr>
          <w:rFonts w:ascii="Times New Roman" w:eastAsia="Calibri" w:hAnsi="Times New Roman" w:cs="Times New Roman"/>
          <w:sz w:val="24"/>
          <w:szCs w:val="24"/>
          <w:lang w:val="en-GB"/>
        </w:rPr>
        <w:t>ë</w:t>
      </w:r>
      <w:r w:rsidRPr="002D7C3E">
        <w:rPr>
          <w:rFonts w:ascii="Times New Roman" w:eastAsia="Calibri" w:hAnsi="Times New Roman" w:cs="Times New Roman"/>
          <w:sz w:val="24"/>
          <w:szCs w:val="24"/>
          <w:lang w:val="sq-AL"/>
        </w:rPr>
        <w:t xml:space="preserve"> ujit. </w:t>
      </w:r>
    </w:p>
    <w:bookmarkEnd w:id="16"/>
    <w:p w:rsidR="002D7C3E" w:rsidRPr="002D7C3E" w:rsidRDefault="002D7C3E" w:rsidP="0033538C">
      <w:pPr>
        <w:numPr>
          <w:ilvl w:val="0"/>
          <w:numId w:val="8"/>
        </w:numPr>
        <w:spacing w:after="200" w:line="276" w:lineRule="auto"/>
        <w:contextualSpacing/>
        <w:jc w:val="both"/>
        <w:rPr>
          <w:rFonts w:ascii="Times New Roman" w:eastAsia="Calibri" w:hAnsi="Times New Roman" w:cs="Times New Roman"/>
          <w:sz w:val="24"/>
          <w:szCs w:val="24"/>
          <w:lang w:val="da-DK"/>
        </w:rPr>
      </w:pPr>
      <w:r w:rsidRPr="002D7C3E">
        <w:rPr>
          <w:rFonts w:ascii="Times New Roman" w:eastAsia="Calibri" w:hAnsi="Times New Roman" w:cs="Times New Roman"/>
          <w:sz w:val="24"/>
          <w:szCs w:val="24"/>
          <w:lang w:val="da-DK"/>
        </w:rPr>
        <w:t xml:space="preserve">Transparenca e ujit </w:t>
      </w:r>
    </w:p>
    <w:p w:rsidR="002D7C3E" w:rsidRPr="002D7C3E" w:rsidRDefault="002D7C3E" w:rsidP="002D7C3E">
      <w:pPr>
        <w:spacing w:after="0" w:line="240"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Vlerat mesatare të këtij parametri variojnë nga 1.1 m – 1.5 m duke i klasifikuar ujërat me cilësi mezotrofike.</w:t>
      </w:r>
    </w:p>
    <w:p w:rsidR="002D7C3E" w:rsidRPr="002D7C3E" w:rsidRDefault="002D7C3E" w:rsidP="002D7C3E">
      <w:pPr>
        <w:spacing w:after="0" w:line="240" w:lineRule="auto"/>
        <w:jc w:val="both"/>
        <w:rPr>
          <w:rFonts w:ascii="Times New Roman" w:eastAsia="Calibri" w:hAnsi="Times New Roman" w:cs="Times New Roman"/>
          <w:sz w:val="24"/>
          <w:szCs w:val="24"/>
          <w:lang w:val="sq-AL"/>
        </w:rPr>
      </w:pPr>
    </w:p>
    <w:p w:rsidR="002D7C3E" w:rsidRPr="002D7C3E" w:rsidRDefault="002D7C3E" w:rsidP="002D7C3E">
      <w:pPr>
        <w:spacing w:after="0" w:line="240" w:lineRule="auto"/>
        <w:jc w:val="center"/>
        <w:rPr>
          <w:rFonts w:ascii="Times New Roman" w:eastAsia="Calibri" w:hAnsi="Times New Roman" w:cs="Times New Roman"/>
          <w:sz w:val="24"/>
          <w:szCs w:val="24"/>
          <w:lang w:val="sq-AL"/>
        </w:rPr>
      </w:pPr>
      <w:r w:rsidRPr="002D7C3E">
        <w:rPr>
          <w:rFonts w:ascii="Calibri" w:eastAsia="Calibri" w:hAnsi="Calibri" w:cs="Times New Roman"/>
          <w:noProof/>
        </w:rPr>
        <w:drawing>
          <wp:inline distT="0" distB="0" distL="0" distR="0" wp14:anchorId="3129AFB8" wp14:editId="2746EB01">
            <wp:extent cx="4572000" cy="1895475"/>
            <wp:effectExtent l="0" t="0" r="19050" b="9525"/>
            <wp:docPr id="420"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rsidR="002D7C3E" w:rsidRPr="002D7C3E" w:rsidRDefault="002D7C3E" w:rsidP="002D7C3E">
      <w:pPr>
        <w:spacing w:after="0" w:line="240" w:lineRule="auto"/>
        <w:jc w:val="center"/>
        <w:rPr>
          <w:rFonts w:ascii="Times New Roman" w:eastAsia="Calibri" w:hAnsi="Times New Roman" w:cs="Times New Roman"/>
          <w:sz w:val="24"/>
          <w:szCs w:val="24"/>
          <w:lang w:val="sq-AL"/>
        </w:rPr>
      </w:pPr>
    </w:p>
    <w:p w:rsidR="002D7C3E" w:rsidRPr="002D7C3E" w:rsidRDefault="002D7C3E" w:rsidP="002D7C3E">
      <w:pPr>
        <w:spacing w:after="0" w:line="240" w:lineRule="auto"/>
        <w:jc w:val="both"/>
        <w:rPr>
          <w:rFonts w:ascii="Times New Roman" w:eastAsia="Calibri" w:hAnsi="Times New Roman" w:cs="Times New Roman"/>
          <w:sz w:val="24"/>
          <w:szCs w:val="24"/>
          <w:lang w:val="sq-AL"/>
        </w:rPr>
      </w:pPr>
    </w:p>
    <w:p w:rsidR="002D7C3E" w:rsidRPr="002D7C3E" w:rsidRDefault="002D7C3E" w:rsidP="0033538C">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2D7C3E">
        <w:rPr>
          <w:rFonts w:ascii="Times New Roman" w:eastAsia="Times New Roman" w:hAnsi="Times New Roman" w:cs="Times New Roman"/>
          <w:color w:val="212121"/>
          <w:sz w:val="24"/>
          <w:szCs w:val="24"/>
        </w:rPr>
        <w:t>Nevoja kimike p</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r oksigjen</w:t>
      </w:r>
    </w:p>
    <w:p w:rsidR="002D7C3E" w:rsidRPr="002D7C3E" w:rsidRDefault="002D7C3E" w:rsidP="002D7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p>
    <w:p w:rsidR="00EE7C3A" w:rsidRDefault="002D7C3E" w:rsidP="002D7C3E">
      <w:pPr>
        <w:spacing w:after="200" w:line="276"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Referuar vlerave mesatare të përmbajtjes kimike për oksigjen në të tre stacionet e Liqenit të Shkodrës vlerësojmë se ujërat e liqenit jane të cilësisë oligotrofike me tendencë mezotrofike.</w:t>
      </w:r>
    </w:p>
    <w:p w:rsidR="002D7C3E" w:rsidRPr="002D7C3E" w:rsidRDefault="002D7C3E" w:rsidP="002D7C3E">
      <w:pPr>
        <w:spacing w:after="200" w:line="276"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 xml:space="preserve"> </w:t>
      </w:r>
      <w:r w:rsidR="00EE7C3A" w:rsidRPr="002D7C3E">
        <w:rPr>
          <w:rFonts w:ascii="Calibri" w:eastAsia="Calibri" w:hAnsi="Calibri" w:cs="Times New Roman"/>
          <w:noProof/>
        </w:rPr>
        <w:drawing>
          <wp:inline distT="0" distB="0" distL="0" distR="0" wp14:anchorId="66B251F0" wp14:editId="61FE5674">
            <wp:extent cx="2800350" cy="2171700"/>
            <wp:effectExtent l="0" t="0" r="0" b="0"/>
            <wp:docPr id="421" name="Chart 1">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r w:rsidR="00EE7C3A">
        <w:rPr>
          <w:rFonts w:ascii="Times New Roman" w:eastAsia="Calibri" w:hAnsi="Times New Roman" w:cs="Times New Roman"/>
          <w:sz w:val="24"/>
          <w:szCs w:val="24"/>
          <w:lang w:val="sq-AL"/>
        </w:rPr>
        <w:t xml:space="preserve">   </w:t>
      </w:r>
      <w:r w:rsidR="00EE7C3A" w:rsidRPr="002D7C3E">
        <w:rPr>
          <w:rFonts w:ascii="Calibri" w:eastAsia="Calibri" w:hAnsi="Calibri" w:cs="Times New Roman"/>
          <w:noProof/>
        </w:rPr>
        <w:drawing>
          <wp:inline distT="0" distB="0" distL="0" distR="0" wp14:anchorId="75477A0D" wp14:editId="522243BA">
            <wp:extent cx="2828925" cy="2125980"/>
            <wp:effectExtent l="0" t="0" r="9525" b="7620"/>
            <wp:docPr id="422" name="Chart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rsidR="002D7C3E" w:rsidRPr="002D7C3E" w:rsidRDefault="002D7C3E" w:rsidP="002D7C3E">
      <w:pPr>
        <w:spacing w:after="200" w:line="276" w:lineRule="auto"/>
        <w:jc w:val="center"/>
        <w:rPr>
          <w:rFonts w:ascii="Times New Roman" w:eastAsia="Calibri" w:hAnsi="Times New Roman" w:cs="Times New Roman"/>
          <w:sz w:val="24"/>
          <w:szCs w:val="24"/>
          <w:lang w:val="sq-AL"/>
        </w:rPr>
      </w:pPr>
    </w:p>
    <w:p w:rsidR="002D7C3E" w:rsidRPr="002D7C3E" w:rsidRDefault="002D7C3E" w:rsidP="0033538C">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2D7C3E">
        <w:rPr>
          <w:rFonts w:ascii="Times New Roman" w:eastAsia="Times New Roman" w:hAnsi="Times New Roman" w:cs="Times New Roman"/>
          <w:color w:val="212121"/>
          <w:sz w:val="24"/>
          <w:szCs w:val="24"/>
        </w:rPr>
        <w:t>Nevoja biokimike për oksigjen</w:t>
      </w:r>
    </w:p>
    <w:p w:rsidR="002D7C3E" w:rsidRPr="002D7C3E" w:rsidRDefault="002D7C3E" w:rsidP="002D7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p>
    <w:p w:rsidR="002D7C3E" w:rsidRPr="002D7C3E" w:rsidRDefault="002D7C3E" w:rsidP="002D7C3E">
      <w:pPr>
        <w:spacing w:after="200" w:line="276" w:lineRule="auto"/>
        <w:rPr>
          <w:rFonts w:ascii="Times New Roman" w:eastAsia="Calibri" w:hAnsi="Times New Roman" w:cs="Times New Roman"/>
          <w:sz w:val="24"/>
          <w:szCs w:val="24"/>
          <w:lang w:val="da-DK"/>
        </w:rPr>
      </w:pPr>
      <w:r w:rsidRPr="002D7C3E">
        <w:rPr>
          <w:rFonts w:ascii="Times New Roman" w:eastAsia="Calibri" w:hAnsi="Times New Roman" w:cs="Times New Roman"/>
          <w:sz w:val="24"/>
          <w:szCs w:val="24"/>
          <w:lang w:val="da-DK"/>
        </w:rPr>
        <w:t>Nevoja biokimike 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da-DK"/>
        </w:rPr>
        <w:t>r oksigjen paraqitet me vlera t</w:t>
      </w:r>
      <w:r w:rsidRPr="002D7C3E">
        <w:rPr>
          <w:rFonts w:ascii="Times New Roman" w:eastAsia="Calibri" w:hAnsi="Times New Roman" w:cs="Times New Roman"/>
          <w:color w:val="212121"/>
          <w:sz w:val="24"/>
          <w:szCs w:val="24"/>
        </w:rPr>
        <w:t xml:space="preserve">ë </w:t>
      </w:r>
      <w:r w:rsidRPr="002D7C3E">
        <w:rPr>
          <w:rFonts w:ascii="Times New Roman" w:eastAsia="Calibri" w:hAnsi="Times New Roman" w:cs="Times New Roman"/>
          <w:sz w:val="24"/>
          <w:szCs w:val="24"/>
          <w:lang w:val="da-DK"/>
        </w:rPr>
        <w:t>cilat i  klasifikojn</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da-DK"/>
        </w:rPr>
        <w:t xml:space="preserve"> uj</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da-DK"/>
        </w:rPr>
        <w:t>rat e liqenit n</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da-DK"/>
        </w:rPr>
        <w:t xml:space="preserve"> cil</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da-DK"/>
        </w:rPr>
        <w:t>si oligotrofik në të tre stacionet e monitoruara.</w:t>
      </w:r>
    </w:p>
    <w:p w:rsidR="002D7C3E" w:rsidRDefault="00EE7C3A" w:rsidP="00EE7C3A">
      <w:pPr>
        <w:spacing w:after="200" w:line="276" w:lineRule="auto"/>
        <w:rPr>
          <w:rFonts w:ascii="Times New Roman" w:eastAsia="Calibri" w:hAnsi="Times New Roman" w:cs="Times New Roman"/>
          <w:sz w:val="24"/>
          <w:szCs w:val="24"/>
          <w:lang w:val="da-DK"/>
        </w:rPr>
      </w:pPr>
      <w:r w:rsidRPr="002D7C3E">
        <w:rPr>
          <w:rFonts w:ascii="Courier New" w:eastAsia="Times New Roman" w:hAnsi="Courier New" w:cs="Courier New"/>
          <w:noProof/>
          <w:sz w:val="20"/>
          <w:szCs w:val="20"/>
        </w:rPr>
        <w:drawing>
          <wp:inline distT="0" distB="0" distL="0" distR="0" wp14:anchorId="078D0BEB" wp14:editId="490EE593">
            <wp:extent cx="2724150" cy="2009140"/>
            <wp:effectExtent l="0" t="0" r="0" b="10160"/>
            <wp:docPr id="423" name="Chart 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r>
        <w:rPr>
          <w:rFonts w:ascii="Times New Roman" w:eastAsia="Calibri" w:hAnsi="Times New Roman" w:cs="Times New Roman"/>
          <w:sz w:val="24"/>
          <w:szCs w:val="24"/>
          <w:lang w:val="da-DK"/>
        </w:rPr>
        <w:t xml:space="preserve">  </w:t>
      </w:r>
      <w:r w:rsidRPr="002D7C3E">
        <w:rPr>
          <w:rFonts w:ascii="Calibri" w:eastAsia="Calibri" w:hAnsi="Calibri" w:cs="Times New Roman"/>
          <w:noProof/>
        </w:rPr>
        <w:drawing>
          <wp:inline distT="0" distB="0" distL="0" distR="0" wp14:anchorId="5B8A22E0" wp14:editId="5D68C97C">
            <wp:extent cx="2971800" cy="2021205"/>
            <wp:effectExtent l="0" t="0" r="0" b="17145"/>
            <wp:docPr id="424" name="Chart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rsidR="002D7C3E" w:rsidRPr="001E7407" w:rsidRDefault="00EE7C3A" w:rsidP="00EE7C3A">
      <w:pPr>
        <w:spacing w:after="200" w:line="276" w:lineRule="auto"/>
        <w:ind w:left="360"/>
        <w:rPr>
          <w:rFonts w:ascii="Times New Roman" w:eastAsia="Calibri" w:hAnsi="Times New Roman" w:cs="Times New Roman"/>
          <w:color w:val="212121"/>
          <w:sz w:val="24"/>
          <w:szCs w:val="24"/>
        </w:rPr>
      </w:pPr>
      <w:r>
        <w:rPr>
          <w:rFonts w:ascii="Times New Roman" w:eastAsia="Times New Roman" w:hAnsi="Times New Roman" w:cs="Times New Roman"/>
          <w:color w:val="212121"/>
          <w:sz w:val="24"/>
          <w:szCs w:val="24"/>
        </w:rPr>
        <w:t>V</w:t>
      </w:r>
      <w:r w:rsidRPr="002D7C3E">
        <w:rPr>
          <w:rFonts w:ascii="Times New Roman" w:eastAsia="Times New Roman" w:hAnsi="Times New Roman" w:cs="Times New Roman"/>
          <w:color w:val="212121"/>
          <w:sz w:val="24"/>
          <w:szCs w:val="24"/>
        </w:rPr>
        <w:t xml:space="preserve">lerat mesatare </w:t>
      </w:r>
      <w:r>
        <w:rPr>
          <w:rFonts w:ascii="Times New Roman" w:eastAsia="Times New Roman" w:hAnsi="Times New Roman" w:cs="Times New Roman"/>
          <w:color w:val="212121"/>
          <w:sz w:val="24"/>
          <w:szCs w:val="24"/>
        </w:rPr>
        <w:t>të p</w:t>
      </w:r>
      <w:r w:rsidR="002D7C3E" w:rsidRPr="002D7C3E">
        <w:rPr>
          <w:rFonts w:ascii="Times New Roman" w:eastAsia="Times New Roman" w:hAnsi="Times New Roman" w:cs="Times New Roman"/>
          <w:color w:val="212121"/>
          <w:sz w:val="24"/>
          <w:szCs w:val="24"/>
        </w:rPr>
        <w:t>ërmbajtj</w:t>
      </w:r>
      <w:r>
        <w:rPr>
          <w:rFonts w:ascii="Times New Roman" w:eastAsia="Times New Roman" w:hAnsi="Times New Roman" w:cs="Times New Roman"/>
          <w:color w:val="212121"/>
          <w:sz w:val="24"/>
          <w:szCs w:val="24"/>
        </w:rPr>
        <w:t>es</w:t>
      </w:r>
      <w:r w:rsidR="002D7C3E" w:rsidRPr="002D7C3E">
        <w:rPr>
          <w:rFonts w:ascii="Times New Roman" w:eastAsia="Times New Roman" w:hAnsi="Times New Roman" w:cs="Times New Roman"/>
          <w:color w:val="212121"/>
          <w:sz w:val="24"/>
          <w:szCs w:val="24"/>
        </w:rPr>
        <w:t xml:space="preserve"> </w:t>
      </w:r>
      <w:r>
        <w:rPr>
          <w:rFonts w:ascii="Times New Roman" w:eastAsia="Times New Roman" w:hAnsi="Times New Roman" w:cs="Times New Roman"/>
          <w:color w:val="212121"/>
          <w:sz w:val="24"/>
          <w:szCs w:val="24"/>
        </w:rPr>
        <w:t>së</w:t>
      </w:r>
      <w:r w:rsidR="002D7C3E" w:rsidRPr="002D7C3E">
        <w:rPr>
          <w:rFonts w:ascii="Times New Roman" w:eastAsia="Times New Roman" w:hAnsi="Times New Roman" w:cs="Times New Roman"/>
          <w:color w:val="212121"/>
          <w:sz w:val="24"/>
          <w:szCs w:val="24"/>
        </w:rPr>
        <w:t xml:space="preserve"> </w:t>
      </w:r>
      <w:r>
        <w:rPr>
          <w:rFonts w:ascii="Times New Roman" w:eastAsia="Times New Roman" w:hAnsi="Times New Roman" w:cs="Times New Roman"/>
          <w:color w:val="212121"/>
          <w:sz w:val="24"/>
          <w:szCs w:val="24"/>
        </w:rPr>
        <w:t xml:space="preserve">nitrateve </w:t>
      </w:r>
      <w:r w:rsidR="002D7C3E" w:rsidRPr="002D7C3E">
        <w:rPr>
          <w:rFonts w:ascii="Times New Roman" w:eastAsia="Times New Roman" w:hAnsi="Times New Roman" w:cs="Times New Roman"/>
          <w:color w:val="212121"/>
          <w:sz w:val="24"/>
          <w:szCs w:val="24"/>
        </w:rPr>
        <w:t>rezulto</w:t>
      </w:r>
      <w:r>
        <w:rPr>
          <w:rFonts w:ascii="Times New Roman" w:eastAsia="Times New Roman" w:hAnsi="Times New Roman" w:cs="Times New Roman"/>
          <w:color w:val="212121"/>
          <w:sz w:val="24"/>
          <w:szCs w:val="24"/>
        </w:rPr>
        <w:t>j</w:t>
      </w:r>
      <w:r w:rsidR="002D7C3E" w:rsidRPr="002D7C3E">
        <w:rPr>
          <w:rFonts w:ascii="Times New Roman" w:eastAsia="Times New Roman" w:hAnsi="Times New Roman" w:cs="Times New Roman"/>
          <w:color w:val="212121"/>
          <w:sz w:val="24"/>
          <w:szCs w:val="24"/>
        </w:rPr>
        <w:t>n</w:t>
      </w:r>
      <w:r>
        <w:rPr>
          <w:rFonts w:ascii="Times New Roman" w:eastAsia="Times New Roman" w:hAnsi="Times New Roman" w:cs="Times New Roman"/>
          <w:color w:val="212121"/>
          <w:sz w:val="24"/>
          <w:szCs w:val="24"/>
        </w:rPr>
        <w:t>ë</w:t>
      </w:r>
      <w:r w:rsidR="002D7C3E" w:rsidRPr="002D7C3E">
        <w:rPr>
          <w:rFonts w:ascii="Times New Roman" w:eastAsia="Times New Roman" w:hAnsi="Times New Roman" w:cs="Times New Roman"/>
          <w:color w:val="212121"/>
          <w:sz w:val="24"/>
          <w:szCs w:val="24"/>
        </w:rPr>
        <w:t xml:space="preserve"> </w:t>
      </w:r>
      <w:r w:rsidRPr="002D7C3E">
        <w:rPr>
          <w:rFonts w:ascii="Times New Roman" w:eastAsia="Times New Roman" w:hAnsi="Times New Roman" w:cs="Times New Roman"/>
          <w:color w:val="212121"/>
          <w:sz w:val="24"/>
          <w:szCs w:val="24"/>
        </w:rPr>
        <w:t>&lt; 1 mgN/</w:t>
      </w:r>
      <w:r>
        <w:rPr>
          <w:rFonts w:ascii="Times New Roman" w:eastAsia="Times New Roman" w:hAnsi="Times New Roman" w:cs="Times New Roman"/>
          <w:color w:val="212121"/>
          <w:sz w:val="24"/>
          <w:szCs w:val="24"/>
        </w:rPr>
        <w:t xml:space="preserve">l  dhe </w:t>
      </w:r>
      <w:r w:rsidR="002D7C3E" w:rsidRPr="002D7C3E">
        <w:rPr>
          <w:rFonts w:ascii="Times New Roman" w:eastAsia="Times New Roman" w:hAnsi="Times New Roman" w:cs="Times New Roman"/>
          <w:color w:val="212121"/>
          <w:sz w:val="24"/>
          <w:szCs w:val="24"/>
        </w:rPr>
        <w:t xml:space="preserve"> plot</w:t>
      </w:r>
      <w:r>
        <w:rPr>
          <w:rFonts w:ascii="Times New Roman" w:eastAsia="Times New Roman" w:hAnsi="Times New Roman" w:cs="Times New Roman"/>
          <w:color w:val="212121"/>
          <w:sz w:val="24"/>
          <w:szCs w:val="24"/>
        </w:rPr>
        <w:t>ë</w:t>
      </w:r>
      <w:r w:rsidR="002D7C3E" w:rsidRPr="002D7C3E">
        <w:rPr>
          <w:rFonts w:ascii="Times New Roman" w:eastAsia="Times New Roman" w:hAnsi="Times New Roman" w:cs="Times New Roman"/>
          <w:color w:val="212121"/>
          <w:sz w:val="24"/>
          <w:szCs w:val="24"/>
        </w:rPr>
        <w:t>so</w:t>
      </w:r>
      <w:r>
        <w:rPr>
          <w:rFonts w:ascii="Times New Roman" w:eastAsia="Times New Roman" w:hAnsi="Times New Roman" w:cs="Times New Roman"/>
          <w:color w:val="212121"/>
          <w:sz w:val="24"/>
          <w:szCs w:val="24"/>
        </w:rPr>
        <w:t>n</w:t>
      </w:r>
      <w:r w:rsidR="002D7C3E" w:rsidRPr="002D7C3E">
        <w:rPr>
          <w:rFonts w:ascii="Times New Roman" w:eastAsia="Times New Roman" w:hAnsi="Times New Roman" w:cs="Times New Roman"/>
          <w:color w:val="212121"/>
          <w:sz w:val="24"/>
          <w:szCs w:val="24"/>
        </w:rPr>
        <w:t xml:space="preserve"> kushtet për cilësi oligotrofike</w:t>
      </w:r>
      <w:r>
        <w:rPr>
          <w:rFonts w:ascii="Times New Roman" w:eastAsia="Times New Roman" w:hAnsi="Times New Roman" w:cs="Times New Roman"/>
          <w:color w:val="212121"/>
          <w:sz w:val="24"/>
          <w:szCs w:val="24"/>
        </w:rPr>
        <w:t xml:space="preserve">. Po ashtu edhe </w:t>
      </w:r>
      <w:r>
        <w:rPr>
          <w:rFonts w:ascii="Times New Roman" w:eastAsia="Calibri" w:hAnsi="Times New Roman" w:cs="Times New Roman"/>
          <w:color w:val="212121"/>
          <w:sz w:val="24"/>
          <w:szCs w:val="24"/>
        </w:rPr>
        <w:t>p</w:t>
      </w:r>
      <w:r w:rsidRPr="002D7C3E">
        <w:rPr>
          <w:rFonts w:ascii="Times New Roman" w:eastAsia="Calibri" w:hAnsi="Times New Roman" w:cs="Times New Roman"/>
          <w:color w:val="212121"/>
          <w:sz w:val="24"/>
          <w:szCs w:val="24"/>
        </w:rPr>
        <w:t xml:space="preserve">ërmbajtja mesatare e fosforit total plotëson kushtet për cilësi oligotrofike. </w:t>
      </w:r>
    </w:p>
    <w:p w:rsidR="002D7C3E" w:rsidRPr="002D7C3E" w:rsidRDefault="002D7C3E" w:rsidP="0033538C">
      <w:pPr>
        <w:numPr>
          <w:ilvl w:val="0"/>
          <w:numId w:val="8"/>
        </w:numPr>
        <w:spacing w:after="0" w:line="240" w:lineRule="auto"/>
        <w:contextualSpacing/>
        <w:jc w:val="both"/>
        <w:rPr>
          <w:rFonts w:ascii="Times New Roman" w:eastAsia="Calibri" w:hAnsi="Times New Roman" w:cs="Times New Roman"/>
          <w:bCs/>
          <w:i/>
          <w:sz w:val="24"/>
          <w:szCs w:val="24"/>
          <w:lang w:val="sq-AL"/>
        </w:rPr>
      </w:pPr>
      <w:bookmarkStart w:id="17" w:name="_Hlk175050303"/>
      <w:r w:rsidRPr="002D7C3E">
        <w:rPr>
          <w:rFonts w:ascii="Times New Roman" w:eastAsia="Calibri" w:hAnsi="Times New Roman" w:cs="Times New Roman"/>
          <w:bCs/>
          <w:i/>
          <w:sz w:val="24"/>
          <w:szCs w:val="24"/>
          <w:lang w:val="sq-AL"/>
        </w:rPr>
        <w:t>Përmbajtja e TOC</w:t>
      </w:r>
    </w:p>
    <w:p w:rsidR="002D7C3E" w:rsidRPr="002D7C3E" w:rsidRDefault="002D7C3E" w:rsidP="002D7C3E">
      <w:pPr>
        <w:spacing w:after="0" w:line="240" w:lineRule="auto"/>
        <w:jc w:val="both"/>
        <w:rPr>
          <w:rFonts w:ascii="Times New Roman" w:eastAsia="Calibri" w:hAnsi="Times New Roman" w:cs="Times New Roman"/>
          <w:bCs/>
          <w:i/>
          <w:sz w:val="24"/>
          <w:szCs w:val="24"/>
          <w:lang w:val="sq-AL"/>
        </w:rPr>
      </w:pPr>
    </w:p>
    <w:p w:rsidR="002D7C3E" w:rsidRPr="002D7C3E" w:rsidRDefault="002D7C3E" w:rsidP="00EE7C3A">
      <w:pPr>
        <w:spacing w:after="0" w:line="240" w:lineRule="auto"/>
        <w:jc w:val="both"/>
        <w:rPr>
          <w:rFonts w:ascii="Times New Roman" w:eastAsia="Calibri" w:hAnsi="Times New Roman" w:cs="Times New Roman"/>
          <w:bCs/>
          <w:iCs/>
          <w:sz w:val="24"/>
          <w:szCs w:val="24"/>
          <w:lang w:val="sq-AL"/>
        </w:rPr>
      </w:pPr>
      <w:r w:rsidRPr="002D7C3E">
        <w:rPr>
          <w:rFonts w:ascii="Times New Roman" w:eastAsia="Calibri" w:hAnsi="Times New Roman" w:cs="Times New Roman"/>
          <w:bCs/>
          <w:iCs/>
          <w:sz w:val="24"/>
          <w:szCs w:val="24"/>
          <w:lang w:val="sq-AL"/>
        </w:rPr>
        <w:t>Përmbajtja e karbonit organik total (TOC) është vlerësuar nën normë për të gjitha stacionet.</w:t>
      </w:r>
    </w:p>
    <w:p w:rsidR="00EE7C3A" w:rsidRDefault="00EE7C3A" w:rsidP="00EE7C3A">
      <w:pPr>
        <w:spacing w:after="0" w:line="240" w:lineRule="auto"/>
        <w:jc w:val="both"/>
        <w:rPr>
          <w:rFonts w:ascii="Times New Roman" w:eastAsia="Calibri" w:hAnsi="Times New Roman" w:cs="Times New Roman"/>
          <w:b/>
          <w:i/>
          <w:sz w:val="24"/>
          <w:szCs w:val="24"/>
          <w:lang w:val="sq-AL"/>
        </w:rPr>
      </w:pPr>
    </w:p>
    <w:p w:rsidR="002D7C3E" w:rsidRDefault="002D7C3E" w:rsidP="00EE7C3A">
      <w:pPr>
        <w:spacing w:after="0" w:line="240" w:lineRule="auto"/>
        <w:jc w:val="both"/>
        <w:rPr>
          <w:rFonts w:ascii="Times New Roman" w:eastAsia="Calibri" w:hAnsi="Times New Roman" w:cs="Times New Roman"/>
          <w:b/>
          <w:i/>
          <w:sz w:val="24"/>
          <w:szCs w:val="24"/>
          <w:lang w:val="sq-AL"/>
        </w:rPr>
      </w:pPr>
      <w:r w:rsidRPr="002D7C3E">
        <w:rPr>
          <w:rFonts w:ascii="Times New Roman" w:eastAsia="Calibri" w:hAnsi="Times New Roman" w:cs="Times New Roman"/>
          <w:b/>
          <w:i/>
          <w:sz w:val="24"/>
          <w:szCs w:val="24"/>
          <w:lang w:val="sq-AL"/>
        </w:rPr>
        <w:t>Duke u nisur nga vlerat e transparencës, të nevojës kimike për oksigjen, nevojës biokimike për oksig</w:t>
      </w:r>
      <w:r w:rsidR="00724719">
        <w:rPr>
          <w:rFonts w:ascii="Times New Roman" w:eastAsia="Calibri" w:hAnsi="Times New Roman" w:cs="Times New Roman"/>
          <w:b/>
          <w:i/>
          <w:sz w:val="24"/>
          <w:szCs w:val="24"/>
          <w:lang w:val="sq-AL"/>
        </w:rPr>
        <w:t>jen dhe përmbajtjes së fosforit</w:t>
      </w:r>
      <w:r w:rsidRPr="002D7C3E">
        <w:rPr>
          <w:rFonts w:ascii="Times New Roman" w:eastAsia="Calibri" w:hAnsi="Times New Roman" w:cs="Times New Roman"/>
          <w:b/>
          <w:i/>
          <w:sz w:val="24"/>
          <w:szCs w:val="24"/>
          <w:lang w:val="sq-AL"/>
        </w:rPr>
        <w:t xml:space="preserve"> rezulton </w:t>
      </w:r>
      <w:r w:rsidR="00724719">
        <w:rPr>
          <w:rFonts w:ascii="Times New Roman" w:eastAsia="Calibri" w:hAnsi="Times New Roman" w:cs="Times New Roman"/>
          <w:b/>
          <w:i/>
          <w:sz w:val="24"/>
          <w:szCs w:val="24"/>
          <w:lang w:val="sq-AL"/>
        </w:rPr>
        <w:t>se ujërat e liqenit të Shkodrës</w:t>
      </w:r>
      <w:r w:rsidRPr="002D7C3E">
        <w:rPr>
          <w:rFonts w:ascii="Times New Roman" w:eastAsia="Calibri" w:hAnsi="Times New Roman" w:cs="Times New Roman"/>
          <w:b/>
          <w:i/>
          <w:sz w:val="24"/>
          <w:szCs w:val="24"/>
          <w:lang w:val="sq-AL"/>
        </w:rPr>
        <w:t xml:space="preserve"> janë të cilësisë oligotrofike me tendencë mezotrofike.</w:t>
      </w:r>
    </w:p>
    <w:p w:rsidR="00FF3A69" w:rsidRDefault="00FF3A69" w:rsidP="00EE7C3A">
      <w:pPr>
        <w:spacing w:after="0" w:line="240" w:lineRule="auto"/>
        <w:jc w:val="both"/>
        <w:rPr>
          <w:rFonts w:ascii="Times New Roman" w:eastAsia="Calibri" w:hAnsi="Times New Roman" w:cs="Times New Roman"/>
          <w:b/>
          <w:i/>
          <w:sz w:val="24"/>
          <w:szCs w:val="24"/>
          <w:lang w:val="sq-AL"/>
        </w:rPr>
      </w:pPr>
    </w:p>
    <w:p w:rsidR="00EE7C3A" w:rsidRPr="002D7C3E" w:rsidRDefault="00EE7C3A" w:rsidP="00EE7C3A">
      <w:pPr>
        <w:spacing w:after="0" w:line="240" w:lineRule="auto"/>
        <w:jc w:val="both"/>
        <w:rPr>
          <w:rFonts w:ascii="Times New Roman" w:eastAsia="Calibri" w:hAnsi="Times New Roman" w:cs="Times New Roman"/>
          <w:b/>
          <w:i/>
          <w:sz w:val="24"/>
          <w:szCs w:val="24"/>
          <w:lang w:val="sq-AL"/>
        </w:rPr>
      </w:pPr>
    </w:p>
    <w:bookmarkEnd w:id="17"/>
    <w:p w:rsidR="002D7C3E" w:rsidRPr="002D7C3E" w:rsidRDefault="002D7C3E" w:rsidP="00EE7C3A">
      <w:pPr>
        <w:numPr>
          <w:ilvl w:val="0"/>
          <w:numId w:val="19"/>
        </w:numPr>
        <w:spacing w:after="0" w:line="240" w:lineRule="auto"/>
        <w:contextualSpacing/>
        <w:rPr>
          <w:rFonts w:ascii="Times New Roman" w:eastAsia="Calibri" w:hAnsi="Times New Roman" w:cs="Times New Roman"/>
          <w:b/>
          <w:i/>
          <w:sz w:val="24"/>
          <w:szCs w:val="24"/>
          <w:lang w:val="da-DK"/>
        </w:rPr>
      </w:pPr>
      <w:r w:rsidRPr="002D7C3E">
        <w:rPr>
          <w:rFonts w:ascii="Times New Roman" w:eastAsia="Calibri" w:hAnsi="Times New Roman" w:cs="Times New Roman"/>
          <w:b/>
          <w:i/>
          <w:sz w:val="24"/>
          <w:szCs w:val="24"/>
          <w:lang w:val="da-DK"/>
        </w:rPr>
        <w:t>Liqeni i Ohrit</w:t>
      </w:r>
    </w:p>
    <w:p w:rsidR="002D7C3E" w:rsidRDefault="00724719" w:rsidP="00EE7C3A">
      <w:pPr>
        <w:spacing w:after="0" w:line="240" w:lineRule="auto"/>
        <w:jc w:val="both"/>
        <w:rPr>
          <w:rFonts w:ascii="Times New Roman" w:eastAsia="Calibri" w:hAnsi="Times New Roman" w:cs="Times New Roman"/>
          <w:sz w:val="24"/>
          <w:szCs w:val="24"/>
          <w:lang w:val="da-DK"/>
        </w:rPr>
      </w:pPr>
      <w:r>
        <w:rPr>
          <w:rFonts w:ascii="Times New Roman" w:eastAsia="Calibri" w:hAnsi="Times New Roman" w:cs="Times New Roman"/>
          <w:sz w:val="24"/>
          <w:szCs w:val="24"/>
          <w:lang w:val="da-DK"/>
        </w:rPr>
        <w:t xml:space="preserve">Monitorimi i Liqenit të Ohrit është realizuar në </w:t>
      </w:r>
      <w:r w:rsidR="002D7C3E" w:rsidRPr="002D7C3E">
        <w:rPr>
          <w:rFonts w:ascii="Times New Roman" w:eastAsia="Calibri" w:hAnsi="Times New Roman" w:cs="Times New Roman"/>
          <w:sz w:val="24"/>
          <w:szCs w:val="24"/>
          <w:lang w:val="da-DK"/>
        </w:rPr>
        <w:t xml:space="preserve">dy pika, ku stacioni i parë është stacion reference në thellësi 150 metra, dhe mostrat merren në 8 thellësi nga sipërfaqja deri në fund të liqenit e përkatësisht </w:t>
      </w:r>
      <w:r w:rsidR="002D7C3E" w:rsidRPr="002D7C3E">
        <w:rPr>
          <w:rFonts w:ascii="Times New Roman" w:eastAsia="Calibri" w:hAnsi="Times New Roman" w:cs="Times New Roman"/>
          <w:sz w:val="24"/>
          <w:szCs w:val="24"/>
          <w:lang w:val="it-IT"/>
        </w:rPr>
        <w:t>0, 20, 40, 60, 80, 100, 120, 150 m</w:t>
      </w:r>
      <w:r w:rsidR="002D7C3E" w:rsidRPr="002D7C3E">
        <w:rPr>
          <w:rFonts w:ascii="Times New Roman" w:eastAsia="Calibri" w:hAnsi="Times New Roman" w:cs="Times New Roman"/>
          <w:sz w:val="24"/>
          <w:szCs w:val="24"/>
          <w:lang w:val="fr-FR"/>
        </w:rPr>
        <w:t xml:space="preserve">, </w:t>
      </w:r>
      <w:r w:rsidR="002D7C3E" w:rsidRPr="002D7C3E">
        <w:rPr>
          <w:rFonts w:ascii="Times New Roman" w:eastAsia="Calibri" w:hAnsi="Times New Roman" w:cs="Times New Roman"/>
          <w:sz w:val="24"/>
          <w:szCs w:val="24"/>
          <w:lang w:val="da-DK"/>
        </w:rPr>
        <w:t xml:space="preserve">kurse stacioni nr.2 është 200 m nga bregu, përballë qytetit, në thellësi mbi 5 metra. </w:t>
      </w:r>
    </w:p>
    <w:p w:rsidR="00EE7C3A" w:rsidRPr="002D7C3E" w:rsidRDefault="00EE7C3A" w:rsidP="00EE7C3A">
      <w:pPr>
        <w:spacing w:after="0" w:line="240" w:lineRule="auto"/>
        <w:jc w:val="both"/>
        <w:rPr>
          <w:rFonts w:ascii="Times New Roman" w:eastAsia="Calibri" w:hAnsi="Times New Roman" w:cs="Times New Roman"/>
          <w:sz w:val="24"/>
          <w:szCs w:val="24"/>
          <w:lang w:val="da-DK"/>
        </w:rPr>
      </w:pPr>
    </w:p>
    <w:p w:rsidR="002D7C3E" w:rsidRPr="002D7C3E" w:rsidRDefault="002D7C3E" w:rsidP="0033538C">
      <w:pPr>
        <w:numPr>
          <w:ilvl w:val="0"/>
          <w:numId w:val="8"/>
        </w:numPr>
        <w:spacing w:after="200" w:line="276" w:lineRule="auto"/>
        <w:contextualSpacing/>
        <w:jc w:val="both"/>
        <w:rPr>
          <w:rFonts w:ascii="Times New Roman" w:eastAsia="Calibri" w:hAnsi="Times New Roman" w:cs="Times New Roman"/>
          <w:sz w:val="24"/>
          <w:szCs w:val="24"/>
          <w:lang w:val="da-DK"/>
        </w:rPr>
      </w:pPr>
      <w:r w:rsidRPr="002D7C3E">
        <w:rPr>
          <w:rFonts w:ascii="Times New Roman" w:eastAsia="Calibri" w:hAnsi="Times New Roman" w:cs="Times New Roman"/>
          <w:sz w:val="24"/>
          <w:szCs w:val="24"/>
          <w:lang w:val="da-DK"/>
        </w:rPr>
        <w:t xml:space="preserve">Transparenca e ujit </w:t>
      </w:r>
    </w:p>
    <w:p w:rsidR="002D7C3E" w:rsidRPr="002D7C3E" w:rsidRDefault="002D7C3E" w:rsidP="00EE7C3A">
      <w:pPr>
        <w:spacing w:after="0" w:line="240"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Transparenca e matur n</w:t>
      </w:r>
      <w:r w:rsidRPr="002D7C3E">
        <w:rPr>
          <w:rFonts w:ascii="Times New Roman" w:eastAsia="Calibri" w:hAnsi="Times New Roman" w:cs="Times New Roman"/>
          <w:sz w:val="24"/>
          <w:szCs w:val="24"/>
          <w:lang w:val="da-DK"/>
        </w:rPr>
        <w:t xml:space="preserve">ë </w:t>
      </w:r>
      <w:r w:rsidRPr="002D7C3E">
        <w:rPr>
          <w:rFonts w:ascii="Times New Roman" w:eastAsia="Calibri" w:hAnsi="Times New Roman" w:cs="Times New Roman"/>
          <w:sz w:val="24"/>
          <w:szCs w:val="24"/>
          <w:lang w:val="sq-AL"/>
        </w:rPr>
        <w:t>stacionin e referenc</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s ka nj</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vler</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mesatare 5m i cili </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sht</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nj</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tregues i oligotrofis</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s</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k</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tij liqeni, nd</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rsa n</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stacionin litoral transparenca </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sht</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n</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vler</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n 4.2 m.</w:t>
      </w:r>
    </w:p>
    <w:p w:rsidR="002D7C3E" w:rsidRPr="002D7C3E" w:rsidRDefault="002D7C3E" w:rsidP="00EE7C3A">
      <w:pPr>
        <w:spacing w:after="0" w:line="276"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Ujërat e liqenit jan</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t</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ngopura me oksigjen me vlera q</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variojn</w:t>
      </w:r>
      <w:r w:rsidRPr="002D7C3E">
        <w:rPr>
          <w:rFonts w:ascii="Times New Roman" w:eastAsia="Calibri" w:hAnsi="Times New Roman" w:cs="Times New Roman"/>
          <w:sz w:val="24"/>
          <w:szCs w:val="24"/>
          <w:lang w:val="da-DK"/>
        </w:rPr>
        <w:t>ë 8</w:t>
      </w:r>
      <w:r w:rsidRPr="002D7C3E">
        <w:rPr>
          <w:rFonts w:ascii="Times New Roman" w:eastAsia="Calibri" w:hAnsi="Times New Roman" w:cs="Times New Roman"/>
          <w:sz w:val="24"/>
          <w:szCs w:val="24"/>
          <w:lang w:val="sq-AL"/>
        </w:rPr>
        <w:t xml:space="preserve"> – 11.6 mgO/l. </w:t>
      </w:r>
    </w:p>
    <w:p w:rsidR="002D7C3E" w:rsidRPr="002D7C3E" w:rsidRDefault="002D7C3E" w:rsidP="00EE7C3A">
      <w:pPr>
        <w:spacing w:after="200" w:line="276" w:lineRule="auto"/>
        <w:jc w:val="both"/>
        <w:rPr>
          <w:rFonts w:ascii="Times New Roman" w:eastAsia="Calibri" w:hAnsi="Times New Roman" w:cs="Times New Roman"/>
          <w:sz w:val="24"/>
          <w:szCs w:val="24"/>
        </w:rPr>
      </w:pPr>
      <w:r w:rsidRPr="002D7C3E">
        <w:rPr>
          <w:rFonts w:ascii="Times New Roman" w:eastAsia="Calibri" w:hAnsi="Times New Roman" w:cs="Times New Roman"/>
          <w:sz w:val="24"/>
          <w:szCs w:val="24"/>
        </w:rPr>
        <w:t>Liqeni i Ohrit për parametrin e transparencës paraqet gjendje oligotrofike n</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rPr>
        <w:t xml:space="preserve"> stacionin e referenc</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rPr>
        <w:t xml:space="preserve">s dhe oligotrofike me tendencë mezotrofike në stacionin litoral. </w:t>
      </w:r>
    </w:p>
    <w:p w:rsidR="002D7C3E" w:rsidRPr="00FF3A69" w:rsidRDefault="002D7C3E" w:rsidP="00465EBF">
      <w:pPr>
        <w:spacing w:after="200" w:line="276" w:lineRule="auto"/>
        <w:rPr>
          <w:rFonts w:ascii="Times New Roman" w:eastAsia="Calibri" w:hAnsi="Times New Roman" w:cs="Times New Roman"/>
          <w:sz w:val="24"/>
          <w:szCs w:val="24"/>
        </w:rPr>
      </w:pPr>
      <w:r w:rsidRPr="002D7C3E">
        <w:rPr>
          <w:rFonts w:ascii="Calibri" w:eastAsia="Calibri" w:hAnsi="Calibri" w:cs="Times New Roman"/>
          <w:noProof/>
        </w:rPr>
        <w:lastRenderedPageBreak/>
        <w:drawing>
          <wp:inline distT="0" distB="0" distL="0" distR="0" wp14:anchorId="18067949" wp14:editId="4B6793D3">
            <wp:extent cx="2628900" cy="1895475"/>
            <wp:effectExtent l="0" t="0" r="0" b="9525"/>
            <wp:docPr id="425" name="Chart 1">
              <a:extLst xmlns:a="http://schemas.openxmlformats.org/drawingml/2006/main">
                <a:ext uri="{FF2B5EF4-FFF2-40B4-BE49-F238E27FC236}">
                  <a16:creationId xmlns:a16="http://schemas.microsoft.com/office/drawing/2014/main" id="{7EF36204-FB63-5EB7-09F6-8CCBCCAFB4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r w:rsidR="00465EBF">
        <w:rPr>
          <w:rFonts w:ascii="Times New Roman" w:eastAsia="Calibri" w:hAnsi="Times New Roman" w:cs="Times New Roman"/>
          <w:sz w:val="24"/>
          <w:szCs w:val="24"/>
        </w:rPr>
        <w:t xml:space="preserve"> </w:t>
      </w:r>
      <w:r w:rsidR="00465EBF" w:rsidRPr="002D7C3E">
        <w:rPr>
          <w:rFonts w:ascii="Calibri" w:eastAsia="Calibri" w:hAnsi="Calibri" w:cs="Times New Roman"/>
          <w:noProof/>
        </w:rPr>
        <w:drawing>
          <wp:inline distT="0" distB="0" distL="0" distR="0" wp14:anchorId="5F9EE93B" wp14:editId="6E6665A1">
            <wp:extent cx="2962275" cy="1885950"/>
            <wp:effectExtent l="0" t="0" r="9525" b="0"/>
            <wp:docPr id="426" name="Chart 1">
              <a:extLst xmlns:a="http://schemas.openxmlformats.org/drawingml/2006/main">
                <a:ext uri="{FF2B5EF4-FFF2-40B4-BE49-F238E27FC236}">
                  <a16:creationId xmlns:a16="http://schemas.microsoft.com/office/drawing/2014/main" id="{3A8D1E8A-01B2-F816-4D93-A615ADE82C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rsidR="002D7C3E" w:rsidRPr="00FF3A69" w:rsidRDefault="002D7C3E" w:rsidP="00FF3A69">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2D7C3E">
        <w:rPr>
          <w:rFonts w:ascii="Times New Roman" w:eastAsia="Times New Roman" w:hAnsi="Times New Roman" w:cs="Times New Roman"/>
          <w:color w:val="212121"/>
          <w:sz w:val="24"/>
          <w:szCs w:val="24"/>
        </w:rPr>
        <w:t>Nevoja kimike p</w:t>
      </w:r>
      <w:r w:rsidRPr="002D7C3E">
        <w:rPr>
          <w:rFonts w:ascii="Times New Roman" w:eastAsia="Times New Roman" w:hAnsi="Times New Roman" w:cs="Times New Roman"/>
          <w:sz w:val="24"/>
          <w:szCs w:val="24"/>
          <w:lang w:val="da-DK"/>
        </w:rPr>
        <w:t>ë</w:t>
      </w:r>
      <w:r w:rsidRPr="002D7C3E">
        <w:rPr>
          <w:rFonts w:ascii="Times New Roman" w:eastAsia="Times New Roman" w:hAnsi="Times New Roman" w:cs="Times New Roman"/>
          <w:color w:val="212121"/>
          <w:sz w:val="24"/>
          <w:szCs w:val="24"/>
        </w:rPr>
        <w:t>r oksigjen</w:t>
      </w:r>
      <w:r w:rsidR="00465EBF">
        <w:rPr>
          <w:rFonts w:ascii="Times New Roman" w:eastAsia="Times New Roman" w:hAnsi="Times New Roman" w:cs="Times New Roman"/>
          <w:color w:val="212121"/>
          <w:sz w:val="24"/>
          <w:szCs w:val="24"/>
        </w:rPr>
        <w:t xml:space="preserve"> (NKO)</w:t>
      </w:r>
    </w:p>
    <w:p w:rsidR="002D7C3E" w:rsidRPr="002D7C3E" w:rsidRDefault="002D7C3E" w:rsidP="00465EBF">
      <w:pPr>
        <w:spacing w:after="200" w:line="276"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P</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rmbajtja e nevoj</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s  kimike p</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r oksigjen n</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stacionin e referenc</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s paraqet vler</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n 4 mg/l, nd</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rsa n</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stacionin litoral n</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vler</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n 9 mg/l duke e klasifikuar me cil</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si mezotrofike.</w:t>
      </w:r>
    </w:p>
    <w:p w:rsidR="002D7C3E" w:rsidRPr="00FF3A69" w:rsidRDefault="002D7C3E" w:rsidP="002D7C3E">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2D7C3E">
        <w:rPr>
          <w:rFonts w:ascii="Times New Roman" w:eastAsia="Times New Roman" w:hAnsi="Times New Roman" w:cs="Times New Roman"/>
          <w:color w:val="212121"/>
          <w:sz w:val="24"/>
          <w:szCs w:val="24"/>
        </w:rPr>
        <w:t>Nevoja biokimike p</w:t>
      </w:r>
      <w:r w:rsidRPr="002D7C3E">
        <w:rPr>
          <w:rFonts w:ascii="Times New Roman" w:eastAsia="Times New Roman" w:hAnsi="Times New Roman" w:cs="Times New Roman"/>
          <w:sz w:val="24"/>
          <w:szCs w:val="24"/>
          <w:lang w:val="da-DK"/>
        </w:rPr>
        <w:t>ë</w:t>
      </w:r>
      <w:r w:rsidRPr="002D7C3E">
        <w:rPr>
          <w:rFonts w:ascii="Times New Roman" w:eastAsia="Times New Roman" w:hAnsi="Times New Roman" w:cs="Times New Roman"/>
          <w:color w:val="212121"/>
          <w:sz w:val="24"/>
          <w:szCs w:val="24"/>
        </w:rPr>
        <w:t>r oksigjen</w:t>
      </w:r>
    </w:p>
    <w:p w:rsidR="002D7C3E" w:rsidRPr="002D7C3E" w:rsidRDefault="002D7C3E" w:rsidP="002D7C3E">
      <w:pPr>
        <w:spacing w:after="200" w:line="276" w:lineRule="auto"/>
        <w:rPr>
          <w:rFonts w:ascii="Times New Roman" w:eastAsia="Calibri" w:hAnsi="Times New Roman" w:cs="Times New Roman"/>
          <w:sz w:val="24"/>
          <w:szCs w:val="24"/>
          <w:lang w:val="da-DK"/>
        </w:rPr>
      </w:pPr>
      <w:r w:rsidRPr="002D7C3E">
        <w:rPr>
          <w:rFonts w:ascii="Times New Roman" w:eastAsia="Calibri" w:hAnsi="Times New Roman" w:cs="Times New Roman"/>
          <w:sz w:val="24"/>
          <w:szCs w:val="24"/>
          <w:lang w:val="da-DK"/>
        </w:rPr>
        <w:t>Përmbajtja e nevojës biokimike për oksigjen për stacionin e referencës është në vlerën 3mgO/l, ndërsa në stacionin litoral është 5mg/l duke e vlerësuar në cilësi mezotrofike.</w:t>
      </w:r>
    </w:p>
    <w:p w:rsidR="00FF3A69" w:rsidRPr="002D7C3E" w:rsidRDefault="002D7C3E" w:rsidP="00465EBF">
      <w:pPr>
        <w:spacing w:after="200" w:line="276" w:lineRule="auto"/>
        <w:rPr>
          <w:rFonts w:ascii="Times New Roman" w:eastAsia="Calibri" w:hAnsi="Times New Roman" w:cs="Times New Roman"/>
          <w:sz w:val="24"/>
          <w:szCs w:val="24"/>
          <w:lang w:val="da-DK"/>
        </w:rPr>
      </w:pPr>
      <w:r w:rsidRPr="002D7C3E">
        <w:rPr>
          <w:rFonts w:ascii="Calibri" w:eastAsia="Calibri" w:hAnsi="Calibri" w:cs="Times New Roman"/>
          <w:noProof/>
        </w:rPr>
        <w:drawing>
          <wp:inline distT="0" distB="0" distL="0" distR="0" wp14:anchorId="6955D296" wp14:editId="1C7CC380">
            <wp:extent cx="2962275" cy="2038350"/>
            <wp:effectExtent l="0" t="0" r="9525" b="0"/>
            <wp:docPr id="427" name="Chart 1">
              <a:extLst xmlns:a="http://schemas.openxmlformats.org/drawingml/2006/main">
                <a:ext uri="{FF2B5EF4-FFF2-40B4-BE49-F238E27FC236}">
                  <a16:creationId xmlns:a16="http://schemas.microsoft.com/office/drawing/2014/main" id="{84301D9A-A7BC-5CEF-CD21-63A4FB1242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r w:rsidR="00465EBF">
        <w:rPr>
          <w:rFonts w:ascii="Times New Roman" w:eastAsia="Calibri" w:hAnsi="Times New Roman" w:cs="Times New Roman"/>
          <w:sz w:val="24"/>
          <w:szCs w:val="24"/>
          <w:lang w:val="da-DK"/>
        </w:rPr>
        <w:t xml:space="preserve">  </w:t>
      </w:r>
      <w:r w:rsidR="00465EBF" w:rsidRPr="002D7C3E">
        <w:rPr>
          <w:rFonts w:ascii="Courier New" w:eastAsia="Times New Roman" w:hAnsi="Courier New" w:cs="Courier New"/>
          <w:noProof/>
          <w:sz w:val="20"/>
          <w:szCs w:val="20"/>
        </w:rPr>
        <w:drawing>
          <wp:inline distT="0" distB="0" distL="0" distR="0" wp14:anchorId="7964B467" wp14:editId="2769C862">
            <wp:extent cx="2657475" cy="2000250"/>
            <wp:effectExtent l="0" t="0" r="9525" b="0"/>
            <wp:docPr id="428" name="Chart 1">
              <a:extLst xmlns:a="http://schemas.openxmlformats.org/drawingml/2006/main">
                <a:ext uri="{FF2B5EF4-FFF2-40B4-BE49-F238E27FC236}">
                  <a16:creationId xmlns:a16="http://schemas.microsoft.com/office/drawing/2014/main" id="{90BB4874-7C49-50EE-DE60-DD2BF7256A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rsidR="002D7C3E" w:rsidRPr="002D7C3E" w:rsidRDefault="002D7C3E" w:rsidP="0033538C">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2D7C3E">
        <w:rPr>
          <w:rFonts w:ascii="Times New Roman" w:eastAsia="Times New Roman" w:hAnsi="Times New Roman" w:cs="Times New Roman"/>
          <w:color w:val="212121"/>
          <w:sz w:val="24"/>
          <w:szCs w:val="24"/>
        </w:rPr>
        <w:t>P</w:t>
      </w:r>
      <w:r w:rsidRPr="002D7C3E">
        <w:rPr>
          <w:rFonts w:ascii="Times New Roman" w:eastAsia="Times New Roman" w:hAnsi="Times New Roman" w:cs="Times New Roman"/>
          <w:sz w:val="24"/>
          <w:szCs w:val="24"/>
          <w:lang w:val="da-DK"/>
        </w:rPr>
        <w:t>ë</w:t>
      </w:r>
      <w:r w:rsidRPr="002D7C3E">
        <w:rPr>
          <w:rFonts w:ascii="Times New Roman" w:eastAsia="Times New Roman" w:hAnsi="Times New Roman" w:cs="Times New Roman"/>
          <w:color w:val="212121"/>
          <w:sz w:val="24"/>
          <w:szCs w:val="24"/>
        </w:rPr>
        <w:t>rmbajtja e nitrateve</w:t>
      </w:r>
    </w:p>
    <w:p w:rsidR="002D7C3E" w:rsidRPr="002D7C3E" w:rsidRDefault="002D7C3E" w:rsidP="002D7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2D7C3E">
        <w:rPr>
          <w:rFonts w:ascii="Times New Roman" w:eastAsia="Times New Roman" w:hAnsi="Times New Roman" w:cs="Times New Roman"/>
          <w:color w:val="212121"/>
          <w:sz w:val="24"/>
          <w:szCs w:val="24"/>
        </w:rPr>
        <w:t>Ky paramet</w:t>
      </w:r>
      <w:r w:rsidRPr="002D7C3E">
        <w:rPr>
          <w:rFonts w:ascii="Times New Roman" w:eastAsia="Times New Roman" w:hAnsi="Times New Roman" w:cs="Times New Roman"/>
          <w:sz w:val="24"/>
          <w:szCs w:val="24"/>
          <w:lang w:val="da-DK"/>
        </w:rPr>
        <w:t>ë</w:t>
      </w:r>
      <w:r w:rsidRPr="002D7C3E">
        <w:rPr>
          <w:rFonts w:ascii="Times New Roman" w:eastAsia="Times New Roman" w:hAnsi="Times New Roman" w:cs="Times New Roman"/>
          <w:color w:val="212121"/>
          <w:sz w:val="24"/>
          <w:szCs w:val="24"/>
        </w:rPr>
        <w:t>r rezulton t</w:t>
      </w:r>
      <w:r w:rsidRPr="002D7C3E">
        <w:rPr>
          <w:rFonts w:ascii="Times New Roman" w:eastAsia="Times New Roman" w:hAnsi="Times New Roman" w:cs="Times New Roman"/>
          <w:sz w:val="24"/>
          <w:szCs w:val="24"/>
          <w:lang w:val="da-DK"/>
        </w:rPr>
        <w:t>ë</w:t>
      </w:r>
      <w:r w:rsidRPr="002D7C3E">
        <w:rPr>
          <w:rFonts w:ascii="Times New Roman" w:eastAsia="Times New Roman" w:hAnsi="Times New Roman" w:cs="Times New Roman"/>
          <w:color w:val="212121"/>
          <w:sz w:val="24"/>
          <w:szCs w:val="24"/>
        </w:rPr>
        <w:t xml:space="preserve"> plot</w:t>
      </w:r>
      <w:r w:rsidRPr="002D7C3E">
        <w:rPr>
          <w:rFonts w:ascii="Times New Roman" w:eastAsia="Times New Roman" w:hAnsi="Times New Roman" w:cs="Times New Roman"/>
          <w:sz w:val="24"/>
          <w:szCs w:val="24"/>
          <w:lang w:val="da-DK"/>
        </w:rPr>
        <w:t>ë</w:t>
      </w:r>
      <w:r w:rsidRPr="002D7C3E">
        <w:rPr>
          <w:rFonts w:ascii="Times New Roman" w:eastAsia="Times New Roman" w:hAnsi="Times New Roman" w:cs="Times New Roman"/>
          <w:color w:val="212121"/>
          <w:sz w:val="24"/>
          <w:szCs w:val="24"/>
        </w:rPr>
        <w:t>soj</w:t>
      </w:r>
      <w:r w:rsidRPr="002D7C3E">
        <w:rPr>
          <w:rFonts w:ascii="Times New Roman" w:eastAsia="Times New Roman" w:hAnsi="Times New Roman" w:cs="Times New Roman"/>
          <w:sz w:val="24"/>
          <w:szCs w:val="24"/>
          <w:lang w:val="da-DK"/>
        </w:rPr>
        <w:t>ë</w:t>
      </w:r>
      <w:r w:rsidRPr="002D7C3E">
        <w:rPr>
          <w:rFonts w:ascii="Times New Roman" w:eastAsia="Times New Roman" w:hAnsi="Times New Roman" w:cs="Times New Roman"/>
          <w:color w:val="212121"/>
          <w:sz w:val="24"/>
          <w:szCs w:val="24"/>
        </w:rPr>
        <w:t xml:space="preserve"> kushtet p</w:t>
      </w:r>
      <w:r w:rsidRPr="002D7C3E">
        <w:rPr>
          <w:rFonts w:ascii="Times New Roman" w:eastAsia="Times New Roman" w:hAnsi="Times New Roman" w:cs="Times New Roman"/>
          <w:sz w:val="24"/>
          <w:szCs w:val="24"/>
          <w:lang w:val="da-DK"/>
        </w:rPr>
        <w:t>ë</w:t>
      </w:r>
      <w:r w:rsidRPr="002D7C3E">
        <w:rPr>
          <w:rFonts w:ascii="Times New Roman" w:eastAsia="Times New Roman" w:hAnsi="Times New Roman" w:cs="Times New Roman"/>
          <w:color w:val="212121"/>
          <w:sz w:val="24"/>
          <w:szCs w:val="24"/>
        </w:rPr>
        <w:t>r cil</w:t>
      </w:r>
      <w:r w:rsidRPr="002D7C3E">
        <w:rPr>
          <w:rFonts w:ascii="Times New Roman" w:eastAsia="Times New Roman" w:hAnsi="Times New Roman" w:cs="Times New Roman"/>
          <w:sz w:val="24"/>
          <w:szCs w:val="24"/>
          <w:lang w:val="da-DK"/>
        </w:rPr>
        <w:t>ë</w:t>
      </w:r>
      <w:r w:rsidRPr="002D7C3E">
        <w:rPr>
          <w:rFonts w:ascii="Times New Roman" w:eastAsia="Times New Roman" w:hAnsi="Times New Roman" w:cs="Times New Roman"/>
          <w:color w:val="212121"/>
          <w:sz w:val="24"/>
          <w:szCs w:val="24"/>
        </w:rPr>
        <w:t>si oligotrofike p</w:t>
      </w:r>
      <w:r w:rsidRPr="002D7C3E">
        <w:rPr>
          <w:rFonts w:ascii="Times New Roman" w:eastAsia="Times New Roman" w:hAnsi="Times New Roman" w:cs="Times New Roman"/>
          <w:sz w:val="24"/>
          <w:szCs w:val="24"/>
          <w:lang w:val="da-DK"/>
        </w:rPr>
        <w:t>ë</w:t>
      </w:r>
      <w:r w:rsidRPr="002D7C3E">
        <w:rPr>
          <w:rFonts w:ascii="Times New Roman" w:eastAsia="Times New Roman" w:hAnsi="Times New Roman" w:cs="Times New Roman"/>
          <w:color w:val="212121"/>
          <w:sz w:val="24"/>
          <w:szCs w:val="24"/>
        </w:rPr>
        <w:t>r stacionin e referenc</w:t>
      </w:r>
      <w:r w:rsidRPr="002D7C3E">
        <w:rPr>
          <w:rFonts w:ascii="Times New Roman" w:eastAsia="Times New Roman" w:hAnsi="Times New Roman" w:cs="Times New Roman"/>
          <w:sz w:val="24"/>
          <w:szCs w:val="24"/>
          <w:lang w:val="da-DK"/>
        </w:rPr>
        <w:t>ë</w:t>
      </w:r>
      <w:r w:rsidRPr="002D7C3E">
        <w:rPr>
          <w:rFonts w:ascii="Times New Roman" w:eastAsia="Times New Roman" w:hAnsi="Times New Roman" w:cs="Times New Roman"/>
          <w:color w:val="212121"/>
          <w:sz w:val="24"/>
          <w:szCs w:val="24"/>
        </w:rPr>
        <w:t>s edhe  në stacionin litoral ku është vlerësuar përmbajtje e nitrateve nën vlerën 1mgN/l.</w:t>
      </w:r>
    </w:p>
    <w:p w:rsidR="002D7C3E" w:rsidRPr="002D7C3E" w:rsidRDefault="002D7C3E" w:rsidP="002D7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p>
    <w:p w:rsidR="002D7C3E" w:rsidRPr="002D7C3E" w:rsidRDefault="00465EBF" w:rsidP="006510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2D7C3E">
        <w:rPr>
          <w:rFonts w:ascii="Calibri" w:eastAsia="Calibri" w:hAnsi="Calibri" w:cs="Times New Roman"/>
          <w:noProof/>
        </w:rPr>
        <w:drawing>
          <wp:inline distT="0" distB="0" distL="0" distR="0" wp14:anchorId="20391FE9" wp14:editId="4A89EBFC">
            <wp:extent cx="2952750" cy="1685925"/>
            <wp:effectExtent l="0" t="0" r="0" b="9525"/>
            <wp:docPr id="429" name="Chart 1">
              <a:extLst xmlns:a="http://schemas.openxmlformats.org/drawingml/2006/main">
                <a:ext uri="{FF2B5EF4-FFF2-40B4-BE49-F238E27FC236}">
                  <a16:creationId xmlns:a16="http://schemas.microsoft.com/office/drawing/2014/main" id="{DBFE16D2-641B-8B01-AC2B-FE0AB6D127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r>
        <w:rPr>
          <w:rFonts w:ascii="Times New Roman" w:eastAsia="Times New Roman" w:hAnsi="Times New Roman" w:cs="Times New Roman"/>
          <w:noProof/>
          <w:color w:val="212121"/>
          <w:sz w:val="24"/>
          <w:szCs w:val="24"/>
        </w:rPr>
        <mc:AlternateContent>
          <mc:Choice Requires="wps">
            <w:drawing>
              <wp:anchor distT="0" distB="0" distL="114300" distR="114300" simplePos="0" relativeHeight="251704832" behindDoc="0" locked="0" layoutInCell="1" allowOverlap="1" wp14:anchorId="282F012F" wp14:editId="2E4D2B5C">
                <wp:simplePos x="0" y="0"/>
                <wp:positionH relativeFrom="column">
                  <wp:posOffset>3590925</wp:posOffset>
                </wp:positionH>
                <wp:positionV relativeFrom="paragraph">
                  <wp:posOffset>58420</wp:posOffset>
                </wp:positionV>
                <wp:extent cx="2305050" cy="1428750"/>
                <wp:effectExtent l="0" t="0" r="19050" b="19050"/>
                <wp:wrapNone/>
                <wp:docPr id="60" name="Rectangle 60"/>
                <wp:cNvGraphicFramePr/>
                <a:graphic xmlns:a="http://schemas.openxmlformats.org/drawingml/2006/main">
                  <a:graphicData uri="http://schemas.microsoft.com/office/word/2010/wordprocessingShape">
                    <wps:wsp>
                      <wps:cNvSpPr/>
                      <wps:spPr>
                        <a:xfrm>
                          <a:off x="0" y="0"/>
                          <a:ext cx="2305050" cy="14287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4059F" w:rsidRPr="002D7C3E" w:rsidRDefault="0064059F" w:rsidP="00465EBF">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2D7C3E">
                              <w:rPr>
                                <w:rFonts w:ascii="Times New Roman" w:eastAsia="Times New Roman" w:hAnsi="Times New Roman" w:cs="Times New Roman"/>
                                <w:color w:val="212121"/>
                                <w:sz w:val="24"/>
                                <w:szCs w:val="24"/>
                              </w:rPr>
                              <w:t>P</w:t>
                            </w:r>
                            <w:r w:rsidRPr="002D7C3E">
                              <w:rPr>
                                <w:rFonts w:ascii="Times New Roman" w:eastAsia="Times New Roman" w:hAnsi="Times New Roman" w:cs="Times New Roman"/>
                                <w:sz w:val="24"/>
                                <w:szCs w:val="24"/>
                                <w:lang w:val="da-DK"/>
                              </w:rPr>
                              <w:t>ë</w:t>
                            </w:r>
                            <w:r w:rsidRPr="002D7C3E">
                              <w:rPr>
                                <w:rFonts w:ascii="Times New Roman" w:eastAsia="Times New Roman" w:hAnsi="Times New Roman" w:cs="Times New Roman"/>
                                <w:color w:val="212121"/>
                                <w:sz w:val="24"/>
                                <w:szCs w:val="24"/>
                              </w:rPr>
                              <w:t>rmbajtja e fosforit total</w:t>
                            </w:r>
                          </w:p>
                          <w:p w:rsidR="0064059F" w:rsidRPr="002D7C3E" w:rsidRDefault="0064059F" w:rsidP="00465EBF">
                            <w:pPr>
                              <w:spacing w:after="0" w:line="276" w:lineRule="auto"/>
                              <w:rPr>
                                <w:rFonts w:ascii="Times New Roman" w:eastAsia="Calibri" w:hAnsi="Times New Roman" w:cs="Times New Roman"/>
                                <w:sz w:val="24"/>
                                <w:szCs w:val="24"/>
                                <w:lang w:val="sq-AL"/>
                              </w:rPr>
                            </w:pPr>
                          </w:p>
                          <w:p w:rsidR="0064059F" w:rsidRPr="002D7C3E" w:rsidRDefault="0064059F" w:rsidP="00465EBF">
                            <w:pPr>
                              <w:spacing w:after="0" w:line="276"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Vlera mesatare e p</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rmbajtjes s</w:t>
                            </w:r>
                            <w:r w:rsidRPr="002D7C3E">
                              <w:rPr>
                                <w:rFonts w:ascii="Times New Roman" w:eastAsia="Calibri" w:hAnsi="Times New Roman" w:cs="Times New Roman"/>
                                <w:sz w:val="24"/>
                                <w:szCs w:val="24"/>
                                <w:lang w:val="da-DK"/>
                              </w:rPr>
                              <w:t xml:space="preserve">ë </w:t>
                            </w:r>
                            <w:r w:rsidRPr="002D7C3E">
                              <w:rPr>
                                <w:rFonts w:ascii="Times New Roman" w:eastAsia="Calibri" w:hAnsi="Times New Roman" w:cs="Times New Roman"/>
                                <w:sz w:val="24"/>
                                <w:szCs w:val="24"/>
                                <w:lang w:val="sq-AL"/>
                              </w:rPr>
                              <w:t>fosforit total n</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të dy stacionet është e ulët duke i klasifikuar stacionet në cil</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si oligotrofike.</w:t>
                            </w:r>
                          </w:p>
                          <w:p w:rsidR="0064059F" w:rsidRDefault="0064059F" w:rsidP="00465E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F012F" id="Rectangle 60" o:spid="_x0000_s1082" style="position:absolute;margin-left:282.75pt;margin-top:4.6pt;width:181.5pt;height:11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" fillcolor="white [3201]" strokecolor="#70ad47 [3209]" strokeweight="1pt">
                <v:textbox>
                  <w:txbxContent>
                    <w:p w:rsidR="0064059F" w:rsidRPr="002D7C3E" w:rsidRDefault="0064059F" w:rsidP="00465EBF">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2D7C3E">
                        <w:rPr>
                          <w:rFonts w:ascii="Times New Roman" w:eastAsia="Times New Roman" w:hAnsi="Times New Roman" w:cs="Times New Roman"/>
                          <w:color w:val="212121"/>
                          <w:sz w:val="24"/>
                          <w:szCs w:val="24"/>
                        </w:rPr>
                        <w:t>P</w:t>
                      </w:r>
                      <w:r w:rsidRPr="002D7C3E">
                        <w:rPr>
                          <w:rFonts w:ascii="Times New Roman" w:eastAsia="Times New Roman" w:hAnsi="Times New Roman" w:cs="Times New Roman"/>
                          <w:sz w:val="24"/>
                          <w:szCs w:val="24"/>
                          <w:lang w:val="da-DK"/>
                        </w:rPr>
                        <w:t>ë</w:t>
                      </w:r>
                      <w:r w:rsidRPr="002D7C3E">
                        <w:rPr>
                          <w:rFonts w:ascii="Times New Roman" w:eastAsia="Times New Roman" w:hAnsi="Times New Roman" w:cs="Times New Roman"/>
                          <w:color w:val="212121"/>
                          <w:sz w:val="24"/>
                          <w:szCs w:val="24"/>
                        </w:rPr>
                        <w:t>rmbajtja e fosforit total</w:t>
                      </w:r>
                    </w:p>
                    <w:p w:rsidR="0064059F" w:rsidRPr="002D7C3E" w:rsidRDefault="0064059F" w:rsidP="00465EBF">
                      <w:pPr>
                        <w:spacing w:after="0" w:line="276" w:lineRule="auto"/>
                        <w:rPr>
                          <w:rFonts w:ascii="Times New Roman" w:eastAsia="Calibri" w:hAnsi="Times New Roman" w:cs="Times New Roman"/>
                          <w:sz w:val="24"/>
                          <w:szCs w:val="24"/>
                          <w:lang w:val="sq-AL"/>
                        </w:rPr>
                      </w:pPr>
                    </w:p>
                    <w:p w:rsidR="0064059F" w:rsidRPr="002D7C3E" w:rsidRDefault="0064059F" w:rsidP="00465EBF">
                      <w:pPr>
                        <w:spacing w:after="0" w:line="276"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Vlera mesatare e p</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rmbajtjes s</w:t>
                      </w:r>
                      <w:r w:rsidRPr="002D7C3E">
                        <w:rPr>
                          <w:rFonts w:ascii="Times New Roman" w:eastAsia="Calibri" w:hAnsi="Times New Roman" w:cs="Times New Roman"/>
                          <w:sz w:val="24"/>
                          <w:szCs w:val="24"/>
                          <w:lang w:val="da-DK"/>
                        </w:rPr>
                        <w:t xml:space="preserve">ë </w:t>
                      </w:r>
                      <w:r w:rsidRPr="002D7C3E">
                        <w:rPr>
                          <w:rFonts w:ascii="Times New Roman" w:eastAsia="Calibri" w:hAnsi="Times New Roman" w:cs="Times New Roman"/>
                          <w:sz w:val="24"/>
                          <w:szCs w:val="24"/>
                          <w:lang w:val="sq-AL"/>
                        </w:rPr>
                        <w:t>fosforit total n</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 xml:space="preserve"> të dy stacionet është e ulët duke i klasifikuar stacionet në cil</w:t>
                      </w:r>
                      <w:r w:rsidRPr="002D7C3E">
                        <w:rPr>
                          <w:rFonts w:ascii="Times New Roman" w:eastAsia="Calibri" w:hAnsi="Times New Roman" w:cs="Times New Roman"/>
                          <w:sz w:val="24"/>
                          <w:szCs w:val="24"/>
                          <w:lang w:val="da-DK"/>
                        </w:rPr>
                        <w:t>ë</w:t>
                      </w:r>
                      <w:r w:rsidRPr="002D7C3E">
                        <w:rPr>
                          <w:rFonts w:ascii="Times New Roman" w:eastAsia="Calibri" w:hAnsi="Times New Roman" w:cs="Times New Roman"/>
                          <w:sz w:val="24"/>
                          <w:szCs w:val="24"/>
                          <w:lang w:val="sq-AL"/>
                        </w:rPr>
                        <w:t>si oligotrofike.</w:t>
                      </w:r>
                    </w:p>
                    <w:p w:rsidR="0064059F" w:rsidRDefault="0064059F" w:rsidP="00465EBF">
                      <w:pPr>
                        <w:jc w:val="center"/>
                      </w:pPr>
                    </w:p>
                  </w:txbxContent>
                </v:textbox>
              </v:rect>
            </w:pict>
          </mc:Fallback>
        </mc:AlternateContent>
      </w:r>
    </w:p>
    <w:p w:rsidR="002D7C3E" w:rsidRPr="002D7C3E" w:rsidRDefault="002D7C3E" w:rsidP="002D7C3E">
      <w:pPr>
        <w:spacing w:after="0" w:line="276" w:lineRule="auto"/>
        <w:rPr>
          <w:rFonts w:ascii="Times New Roman" w:eastAsia="Calibri" w:hAnsi="Times New Roman" w:cs="Times New Roman"/>
          <w:color w:val="212121"/>
          <w:sz w:val="24"/>
          <w:szCs w:val="24"/>
        </w:rPr>
      </w:pPr>
    </w:p>
    <w:p w:rsidR="002D7C3E" w:rsidRPr="00465EBF" w:rsidRDefault="002D7C3E" w:rsidP="0033538C">
      <w:pPr>
        <w:numPr>
          <w:ilvl w:val="0"/>
          <w:numId w:val="8"/>
        </w:numPr>
        <w:spacing w:after="0" w:line="240" w:lineRule="auto"/>
        <w:contextualSpacing/>
        <w:jc w:val="both"/>
        <w:rPr>
          <w:rFonts w:ascii="Times New Roman" w:eastAsia="Calibri" w:hAnsi="Times New Roman" w:cs="Times New Roman"/>
          <w:bCs/>
          <w:sz w:val="24"/>
          <w:szCs w:val="24"/>
          <w:lang w:val="sq-AL"/>
        </w:rPr>
      </w:pPr>
      <w:r w:rsidRPr="00465EBF">
        <w:rPr>
          <w:rFonts w:ascii="Times New Roman" w:eastAsia="Calibri" w:hAnsi="Times New Roman" w:cs="Times New Roman"/>
          <w:bCs/>
          <w:sz w:val="24"/>
          <w:szCs w:val="24"/>
          <w:lang w:val="sq-AL"/>
        </w:rPr>
        <w:t>Përmbajtja e TOC</w:t>
      </w:r>
    </w:p>
    <w:p w:rsidR="002D7C3E" w:rsidRPr="002D7C3E" w:rsidRDefault="002D7C3E" w:rsidP="002D7C3E">
      <w:pPr>
        <w:spacing w:after="0" w:line="240" w:lineRule="auto"/>
        <w:jc w:val="both"/>
        <w:rPr>
          <w:rFonts w:ascii="Times New Roman" w:eastAsia="Calibri" w:hAnsi="Times New Roman" w:cs="Times New Roman"/>
          <w:bCs/>
          <w:i/>
          <w:sz w:val="24"/>
          <w:szCs w:val="24"/>
          <w:lang w:val="sq-AL"/>
        </w:rPr>
      </w:pPr>
    </w:p>
    <w:p w:rsidR="002D7C3E" w:rsidRPr="002D7C3E" w:rsidRDefault="002D7C3E" w:rsidP="002D7C3E">
      <w:pPr>
        <w:spacing w:after="0" w:line="240" w:lineRule="auto"/>
        <w:jc w:val="both"/>
        <w:rPr>
          <w:rFonts w:ascii="Times New Roman" w:eastAsia="Calibri" w:hAnsi="Times New Roman" w:cs="Times New Roman"/>
          <w:bCs/>
          <w:iCs/>
          <w:sz w:val="24"/>
          <w:szCs w:val="24"/>
          <w:lang w:val="sq-AL"/>
        </w:rPr>
      </w:pPr>
      <w:r w:rsidRPr="002D7C3E">
        <w:rPr>
          <w:rFonts w:ascii="Times New Roman" w:eastAsia="Calibri" w:hAnsi="Times New Roman" w:cs="Times New Roman"/>
          <w:bCs/>
          <w:iCs/>
          <w:sz w:val="24"/>
          <w:szCs w:val="24"/>
          <w:lang w:val="sq-AL"/>
        </w:rPr>
        <w:t>Përmbajtja e karbonit organik total (TOC) është vlerësuar nën normë për të gjitha stacionet.</w:t>
      </w:r>
    </w:p>
    <w:p w:rsidR="002D7C3E" w:rsidRPr="002D7C3E" w:rsidRDefault="002D7C3E" w:rsidP="002D7C3E">
      <w:pPr>
        <w:spacing w:after="200" w:line="276" w:lineRule="auto"/>
        <w:jc w:val="both"/>
        <w:rPr>
          <w:rFonts w:ascii="Times New Roman" w:eastAsia="Calibri" w:hAnsi="Times New Roman" w:cs="Times New Roman"/>
          <w:b/>
          <w:i/>
          <w:color w:val="212121"/>
          <w:sz w:val="24"/>
          <w:szCs w:val="24"/>
        </w:rPr>
      </w:pPr>
    </w:p>
    <w:p w:rsidR="002D7C3E" w:rsidRPr="002D7C3E" w:rsidRDefault="002D7C3E" w:rsidP="002D7C3E">
      <w:pPr>
        <w:spacing w:after="200" w:line="276" w:lineRule="auto"/>
        <w:jc w:val="both"/>
        <w:rPr>
          <w:rFonts w:ascii="Times New Roman" w:eastAsia="Calibri" w:hAnsi="Times New Roman" w:cs="Times New Roman"/>
          <w:b/>
          <w:i/>
          <w:color w:val="212121"/>
          <w:sz w:val="24"/>
          <w:szCs w:val="24"/>
        </w:rPr>
      </w:pPr>
      <w:r w:rsidRPr="002D7C3E">
        <w:rPr>
          <w:rFonts w:ascii="Times New Roman" w:eastAsia="Calibri" w:hAnsi="Times New Roman" w:cs="Times New Roman"/>
          <w:b/>
          <w:i/>
          <w:color w:val="212121"/>
          <w:sz w:val="24"/>
          <w:szCs w:val="24"/>
        </w:rPr>
        <w:t>Duke vlerësuar të gjithë parametrat e monitoruar vlerësojmë ci</w:t>
      </w:r>
      <w:r w:rsidRPr="00724719">
        <w:rPr>
          <w:rFonts w:ascii="Times New Roman" w:eastAsia="Calibri" w:hAnsi="Times New Roman" w:cs="Times New Roman"/>
          <w:b/>
          <w:i/>
          <w:color w:val="212121"/>
          <w:sz w:val="24"/>
          <w:szCs w:val="24"/>
        </w:rPr>
        <w:t>l</w:t>
      </w:r>
      <w:r w:rsidR="00724719" w:rsidRPr="00724719">
        <w:rPr>
          <w:rFonts w:ascii="Times New Roman" w:hAnsi="Times New Roman"/>
          <w:b/>
          <w:i/>
          <w:sz w:val="24"/>
          <w:szCs w:val="24"/>
        </w:rPr>
        <w:t>ë</w:t>
      </w:r>
      <w:r w:rsidRPr="002D7C3E">
        <w:rPr>
          <w:rFonts w:ascii="Times New Roman" w:eastAsia="Calibri" w:hAnsi="Times New Roman" w:cs="Times New Roman"/>
          <w:b/>
          <w:i/>
          <w:color w:val="212121"/>
          <w:sz w:val="24"/>
          <w:szCs w:val="24"/>
        </w:rPr>
        <w:t xml:space="preserve">sinë e Liqenit të Ohrit oligotrofike me tendencë mezotrofike. </w:t>
      </w:r>
    </w:p>
    <w:p w:rsidR="00FF3A69" w:rsidRPr="002D7C3E" w:rsidRDefault="00FF3A69" w:rsidP="002D7C3E">
      <w:pPr>
        <w:spacing w:after="200" w:line="276" w:lineRule="auto"/>
        <w:ind w:left="720"/>
        <w:contextualSpacing/>
        <w:jc w:val="both"/>
        <w:rPr>
          <w:rFonts w:ascii="Times New Roman" w:eastAsia="Calibri" w:hAnsi="Times New Roman" w:cs="Times New Roman"/>
          <w:b/>
          <w:i/>
          <w:color w:val="212121"/>
          <w:sz w:val="24"/>
          <w:szCs w:val="24"/>
        </w:rPr>
      </w:pPr>
    </w:p>
    <w:p w:rsidR="002D7C3E" w:rsidRPr="002D7C3E" w:rsidRDefault="002D7C3E" w:rsidP="004D460A">
      <w:pPr>
        <w:numPr>
          <w:ilvl w:val="0"/>
          <w:numId w:val="19"/>
        </w:numPr>
        <w:spacing w:after="200" w:line="276" w:lineRule="auto"/>
        <w:contextualSpacing/>
        <w:jc w:val="both"/>
        <w:rPr>
          <w:rFonts w:ascii="Times New Roman" w:eastAsia="Calibri" w:hAnsi="Times New Roman" w:cs="Times New Roman"/>
          <w:b/>
          <w:i/>
          <w:color w:val="212121"/>
          <w:sz w:val="24"/>
          <w:szCs w:val="24"/>
        </w:rPr>
      </w:pPr>
      <w:r w:rsidRPr="002D7C3E">
        <w:rPr>
          <w:rFonts w:ascii="Times New Roman" w:eastAsia="Calibri" w:hAnsi="Times New Roman" w:cs="Times New Roman"/>
          <w:b/>
          <w:i/>
          <w:color w:val="212121"/>
          <w:sz w:val="24"/>
          <w:szCs w:val="24"/>
        </w:rPr>
        <w:t>Tributarët (Lumi i Pogradecit, Lumi Vërdovë, Lumi Tushemisht)</w:t>
      </w:r>
    </w:p>
    <w:p w:rsidR="002D7C3E" w:rsidRPr="002D7C3E" w:rsidRDefault="002D7C3E" w:rsidP="002D7C3E">
      <w:pPr>
        <w:spacing w:after="200" w:line="276" w:lineRule="auto"/>
        <w:jc w:val="both"/>
        <w:rPr>
          <w:rFonts w:ascii="Times New Roman" w:eastAsia="Calibri" w:hAnsi="Times New Roman" w:cs="Times New Roman"/>
          <w:color w:val="212121"/>
          <w:sz w:val="24"/>
          <w:szCs w:val="24"/>
        </w:rPr>
      </w:pPr>
      <w:r w:rsidRPr="002D7C3E">
        <w:rPr>
          <w:rFonts w:ascii="Times New Roman" w:eastAsia="Calibri" w:hAnsi="Times New Roman" w:cs="Times New Roman"/>
          <w:color w:val="212121"/>
          <w:sz w:val="24"/>
          <w:szCs w:val="24"/>
        </w:rPr>
        <w:t>Pjesë e programit të monitorimit janë edhe tributarët të cilët derdhen në liqen, ku patjetër edhe cilësia e tyre ndikon në cilësinë e liqenit të Ohrit.</w:t>
      </w:r>
    </w:p>
    <w:p w:rsidR="002D7C3E" w:rsidRPr="002D7C3E" w:rsidRDefault="002D7C3E" w:rsidP="004D460A">
      <w:pPr>
        <w:numPr>
          <w:ilvl w:val="0"/>
          <w:numId w:val="18"/>
        </w:numPr>
        <w:spacing w:after="0" w:line="240" w:lineRule="auto"/>
        <w:contextualSpacing/>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Temperaturat mesatare t</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 xml:space="preserve"> uj</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rave variojn</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 xml:space="preserve"> n</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 xml:space="preserve"> 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rputhje me ndryshimet sezonale</w:t>
      </w:r>
      <w:r w:rsidRPr="002D7C3E">
        <w:rPr>
          <w:rFonts w:ascii="Times New Roman" w:eastAsia="Calibri" w:hAnsi="Times New Roman" w:cs="Times New Roman"/>
          <w:bCs/>
          <w:sz w:val="24"/>
          <w:szCs w:val="24"/>
          <w:lang w:val="sq-AL"/>
        </w:rPr>
        <w:t>.</w:t>
      </w:r>
    </w:p>
    <w:p w:rsidR="002D7C3E" w:rsidRPr="002D7C3E" w:rsidRDefault="002D7C3E" w:rsidP="004D460A">
      <w:pPr>
        <w:numPr>
          <w:ilvl w:val="0"/>
          <w:numId w:val="18"/>
        </w:numPr>
        <w:spacing w:after="0" w:line="240" w:lineRule="auto"/>
        <w:contextualSpacing/>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Uj</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rat e k</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tyre tre lumenjve vler</w:t>
      </w:r>
      <w:r w:rsidRPr="002D7C3E">
        <w:rPr>
          <w:rFonts w:ascii="Times New Roman" w:eastAsia="Calibri" w:hAnsi="Times New Roman" w:cs="Times New Roman"/>
          <w:color w:val="212121"/>
          <w:sz w:val="24"/>
          <w:szCs w:val="24"/>
        </w:rPr>
        <w:t>ë</w:t>
      </w:r>
      <w:r w:rsidR="00724719">
        <w:rPr>
          <w:rFonts w:ascii="Times New Roman" w:eastAsia="Calibri" w:hAnsi="Times New Roman" w:cs="Times New Roman"/>
          <w:sz w:val="24"/>
          <w:szCs w:val="24"/>
          <w:lang w:val="sq-AL"/>
        </w:rPr>
        <w:t xml:space="preserve">sohen </w:t>
      </w:r>
      <w:r w:rsidR="00756EE0">
        <w:rPr>
          <w:rFonts w:ascii="Times New Roman" w:eastAsia="Calibri" w:hAnsi="Times New Roman" w:cs="Times New Roman"/>
          <w:sz w:val="24"/>
          <w:szCs w:val="24"/>
          <w:lang w:val="sq-AL"/>
        </w:rPr>
        <w:t>alkaline</w:t>
      </w:r>
      <w:r w:rsidRPr="002D7C3E">
        <w:rPr>
          <w:rFonts w:ascii="Times New Roman" w:eastAsia="Calibri" w:hAnsi="Times New Roman" w:cs="Times New Roman"/>
          <w:sz w:val="24"/>
          <w:szCs w:val="24"/>
          <w:lang w:val="sq-AL"/>
        </w:rPr>
        <w:t xml:space="preserve"> me pH &gt; 6.5, me vlera q</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 xml:space="preserve"> variojn</w:t>
      </w:r>
      <w:r w:rsidRPr="002D7C3E">
        <w:rPr>
          <w:rFonts w:ascii="Times New Roman" w:eastAsia="Calibri" w:hAnsi="Times New Roman" w:cs="Times New Roman"/>
          <w:color w:val="212121"/>
          <w:sz w:val="24"/>
          <w:szCs w:val="24"/>
        </w:rPr>
        <w:t xml:space="preserve">ë </w:t>
      </w:r>
      <w:r w:rsidRPr="002D7C3E">
        <w:rPr>
          <w:rFonts w:ascii="Times New Roman" w:eastAsia="Calibri" w:hAnsi="Times New Roman" w:cs="Times New Roman"/>
          <w:sz w:val="24"/>
          <w:szCs w:val="24"/>
          <w:lang w:val="sq-AL"/>
        </w:rPr>
        <w:t>nga 7.33 – 8.55.</w:t>
      </w:r>
    </w:p>
    <w:p w:rsidR="002D7C3E" w:rsidRPr="002D7C3E" w:rsidRDefault="002D7C3E" w:rsidP="002D7C3E">
      <w:pPr>
        <w:spacing w:after="0" w:line="240" w:lineRule="auto"/>
        <w:jc w:val="both"/>
        <w:rPr>
          <w:rFonts w:ascii="Times New Roman" w:eastAsia="Calibri" w:hAnsi="Times New Roman" w:cs="Times New Roman"/>
          <w:sz w:val="24"/>
          <w:szCs w:val="24"/>
          <w:highlight w:val="yellow"/>
          <w:lang w:val="sq-AL"/>
        </w:rPr>
      </w:pPr>
    </w:p>
    <w:p w:rsidR="002D7C3E" w:rsidRPr="002D7C3E" w:rsidRDefault="002D7C3E" w:rsidP="004D460A">
      <w:pPr>
        <w:numPr>
          <w:ilvl w:val="0"/>
          <w:numId w:val="23"/>
        </w:numPr>
        <w:spacing w:after="0" w:line="240" w:lineRule="auto"/>
        <w:contextualSpacing/>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Oksigjeni i tretur</w:t>
      </w:r>
    </w:p>
    <w:p w:rsidR="002D7C3E" w:rsidRPr="002D7C3E" w:rsidRDefault="002D7C3E" w:rsidP="002D7C3E">
      <w:pPr>
        <w:spacing w:after="0" w:line="240" w:lineRule="auto"/>
        <w:jc w:val="both"/>
        <w:rPr>
          <w:rFonts w:ascii="Times New Roman" w:eastAsia="Calibri" w:hAnsi="Times New Roman" w:cs="Times New Roman"/>
          <w:sz w:val="24"/>
          <w:szCs w:val="24"/>
          <w:lang w:val="sq-AL"/>
        </w:rPr>
      </w:pPr>
    </w:p>
    <w:p w:rsidR="002D7C3E" w:rsidRPr="002D7C3E" w:rsidRDefault="002D7C3E" w:rsidP="002D7C3E">
      <w:pPr>
        <w:spacing w:after="0" w:line="240"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Grafiku i mëposhtëm paraqet vlerat mesatare të ekspeditave të realizuara, ku vlerësojmë se të gjitha stacionet janë të ngopura me oksigjen me vlera &gt; 7 (Klasa I – Gjendje e lartë).</w:t>
      </w:r>
    </w:p>
    <w:p w:rsidR="002D7C3E" w:rsidRPr="002D7C3E" w:rsidRDefault="002D7C3E" w:rsidP="002D7C3E">
      <w:pPr>
        <w:spacing w:after="0" w:line="240" w:lineRule="auto"/>
        <w:jc w:val="both"/>
        <w:rPr>
          <w:rFonts w:ascii="Times New Roman" w:eastAsia="Calibri" w:hAnsi="Times New Roman" w:cs="Times New Roman"/>
          <w:sz w:val="24"/>
          <w:szCs w:val="24"/>
          <w:lang w:val="sq-AL"/>
        </w:rPr>
      </w:pPr>
    </w:p>
    <w:p w:rsidR="002D7C3E" w:rsidRPr="002D7C3E" w:rsidRDefault="002D7C3E" w:rsidP="00465EBF">
      <w:pPr>
        <w:spacing w:after="0" w:line="240" w:lineRule="auto"/>
        <w:rPr>
          <w:rFonts w:ascii="Times New Roman" w:eastAsia="Calibri" w:hAnsi="Times New Roman" w:cs="Times New Roman"/>
          <w:sz w:val="24"/>
          <w:szCs w:val="24"/>
          <w:lang w:val="sq-AL"/>
        </w:rPr>
      </w:pPr>
      <w:r w:rsidRPr="002D7C3E">
        <w:rPr>
          <w:rFonts w:ascii="Calibri" w:eastAsia="Calibri" w:hAnsi="Calibri" w:cs="Times New Roman"/>
          <w:noProof/>
        </w:rPr>
        <w:drawing>
          <wp:inline distT="0" distB="0" distL="0" distR="0" wp14:anchorId="6185469B" wp14:editId="50F28E83">
            <wp:extent cx="2876550" cy="2124075"/>
            <wp:effectExtent l="0" t="0" r="0" b="9525"/>
            <wp:docPr id="430" name="Chart 1">
              <a:extLst xmlns:a="http://schemas.openxmlformats.org/drawingml/2006/main">
                <a:ext uri="{FF2B5EF4-FFF2-40B4-BE49-F238E27FC236}">
                  <a16:creationId xmlns:a16="http://schemas.microsoft.com/office/drawing/2014/main" id="{F8B9B573-D348-4D12-1363-90EF3FB871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r w:rsidR="00465EBF">
        <w:rPr>
          <w:rFonts w:ascii="Times New Roman" w:eastAsia="Calibri" w:hAnsi="Times New Roman" w:cs="Times New Roman"/>
          <w:sz w:val="24"/>
          <w:szCs w:val="24"/>
          <w:lang w:val="sq-AL"/>
        </w:rPr>
        <w:t xml:space="preserve">   </w:t>
      </w:r>
      <w:r w:rsidR="00465EBF" w:rsidRPr="002D7C3E">
        <w:rPr>
          <w:rFonts w:ascii="Calibri" w:eastAsia="Calibri" w:hAnsi="Calibri" w:cs="Times New Roman"/>
          <w:noProof/>
        </w:rPr>
        <w:drawing>
          <wp:inline distT="0" distB="0" distL="0" distR="0" wp14:anchorId="04520824" wp14:editId="5A0F0AAB">
            <wp:extent cx="2762250" cy="2038350"/>
            <wp:effectExtent l="0" t="0" r="0" b="0"/>
            <wp:docPr id="431" name="Chart 1">
              <a:extLst xmlns:a="http://schemas.openxmlformats.org/drawingml/2006/main">
                <a:ext uri="{FF2B5EF4-FFF2-40B4-BE49-F238E27FC236}">
                  <a16:creationId xmlns:a16="http://schemas.microsoft.com/office/drawing/2014/main" id="{EAE8ECE9-1471-2478-FE94-EC251012B0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rsidR="002D7C3E" w:rsidRPr="002D7C3E" w:rsidRDefault="002D7C3E" w:rsidP="002D7C3E">
      <w:pPr>
        <w:spacing w:after="0" w:line="240" w:lineRule="auto"/>
        <w:ind w:left="720"/>
        <w:contextualSpacing/>
        <w:jc w:val="both"/>
        <w:rPr>
          <w:rFonts w:ascii="Times New Roman" w:eastAsia="Calibri" w:hAnsi="Times New Roman" w:cs="Times New Roman"/>
          <w:sz w:val="24"/>
          <w:szCs w:val="24"/>
          <w:lang w:val="sq-AL"/>
        </w:rPr>
      </w:pPr>
    </w:p>
    <w:p w:rsidR="002D7C3E" w:rsidRPr="002D7C3E" w:rsidRDefault="002D7C3E" w:rsidP="0033538C">
      <w:pPr>
        <w:numPr>
          <w:ilvl w:val="0"/>
          <w:numId w:val="8"/>
        </w:numPr>
        <w:spacing w:after="0" w:line="240" w:lineRule="auto"/>
        <w:contextualSpacing/>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Nevoja Biokimike 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r oksigjen</w:t>
      </w:r>
    </w:p>
    <w:p w:rsidR="002D7C3E" w:rsidRPr="002D7C3E" w:rsidRDefault="002D7C3E" w:rsidP="002D7C3E">
      <w:pPr>
        <w:spacing w:after="0" w:line="240"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Nevoja Biokimike 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 xml:space="preserve">r oksigjen </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sht</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 xml:space="preserve"> nj</w:t>
      </w:r>
      <w:r w:rsidRPr="002D7C3E">
        <w:rPr>
          <w:rFonts w:ascii="Times New Roman" w:eastAsia="Calibri" w:hAnsi="Times New Roman" w:cs="Times New Roman"/>
          <w:color w:val="212121"/>
          <w:sz w:val="24"/>
          <w:szCs w:val="24"/>
        </w:rPr>
        <w:t xml:space="preserve">ë </w:t>
      </w:r>
      <w:r w:rsidRPr="002D7C3E">
        <w:rPr>
          <w:rFonts w:ascii="Times New Roman" w:eastAsia="Calibri" w:hAnsi="Times New Roman" w:cs="Times New Roman"/>
          <w:sz w:val="24"/>
          <w:szCs w:val="24"/>
          <w:lang w:val="sq-AL"/>
        </w:rPr>
        <w:t>tregues i r</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nd</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sish</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m 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r vler</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simin e ndotjes.</w:t>
      </w:r>
    </w:p>
    <w:p w:rsidR="002D7C3E" w:rsidRPr="002D7C3E" w:rsidRDefault="002D7C3E" w:rsidP="002D7C3E">
      <w:pPr>
        <w:spacing w:after="0" w:line="240" w:lineRule="auto"/>
        <w:jc w:val="both"/>
        <w:rPr>
          <w:rFonts w:ascii="Times New Roman" w:eastAsia="Calibri" w:hAnsi="Times New Roman" w:cs="Times New Roman"/>
          <w:bCs/>
          <w:sz w:val="24"/>
          <w:szCs w:val="24"/>
          <w:lang w:val="fi-FI"/>
        </w:rPr>
      </w:pPr>
      <w:r w:rsidRPr="002D7C3E">
        <w:rPr>
          <w:rFonts w:ascii="Times New Roman" w:eastAsia="Calibri" w:hAnsi="Times New Roman" w:cs="Times New Roman"/>
          <w:sz w:val="24"/>
          <w:szCs w:val="24"/>
          <w:lang w:val="sq-AL"/>
        </w:rPr>
        <w:t>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rmbajtja më e lartë është vlerësuar në Lumin e Verdov</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s duke u klasifikuar n</w:t>
      </w:r>
      <w:r w:rsidRPr="002D7C3E">
        <w:rPr>
          <w:rFonts w:ascii="Times New Roman" w:eastAsia="Calibri" w:hAnsi="Times New Roman" w:cs="Times New Roman"/>
          <w:color w:val="212121"/>
          <w:sz w:val="24"/>
          <w:szCs w:val="24"/>
        </w:rPr>
        <w:t xml:space="preserve">ë </w:t>
      </w:r>
      <w:r w:rsidRPr="002D7C3E">
        <w:rPr>
          <w:rFonts w:ascii="Times New Roman" w:eastAsia="Calibri" w:hAnsi="Times New Roman" w:cs="Times New Roman"/>
          <w:sz w:val="24"/>
          <w:szCs w:val="24"/>
          <w:lang w:val="sq-AL"/>
        </w:rPr>
        <w:t>Klas</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n IV – Gjendje e varfër.</w:t>
      </w:r>
    </w:p>
    <w:p w:rsidR="00FF3A69" w:rsidRPr="002D7C3E" w:rsidRDefault="00FF3A69" w:rsidP="006510D0">
      <w:pPr>
        <w:spacing w:after="0" w:line="240" w:lineRule="auto"/>
        <w:contextualSpacing/>
        <w:rPr>
          <w:rFonts w:ascii="Times New Roman" w:eastAsia="Calibri" w:hAnsi="Times New Roman" w:cs="Times New Roman"/>
          <w:b/>
          <w:sz w:val="24"/>
          <w:szCs w:val="24"/>
          <w:lang w:val="sq-AL"/>
        </w:rPr>
      </w:pPr>
    </w:p>
    <w:p w:rsidR="002D7C3E" w:rsidRPr="002D7C3E" w:rsidRDefault="002D7C3E" w:rsidP="0033538C">
      <w:pPr>
        <w:numPr>
          <w:ilvl w:val="0"/>
          <w:numId w:val="8"/>
        </w:numPr>
        <w:spacing w:after="0" w:line="240" w:lineRule="auto"/>
        <w:contextualSpacing/>
        <w:rPr>
          <w:rFonts w:ascii="Times New Roman" w:eastAsia="Calibri" w:hAnsi="Times New Roman" w:cs="Times New Roman"/>
          <w:b/>
          <w:sz w:val="24"/>
          <w:szCs w:val="24"/>
          <w:lang w:val="sq-AL"/>
        </w:rPr>
      </w:pPr>
      <w:r w:rsidRPr="002D7C3E">
        <w:rPr>
          <w:rFonts w:ascii="Times New Roman" w:eastAsia="Calibri" w:hAnsi="Times New Roman" w:cs="Times New Roman"/>
          <w:sz w:val="24"/>
          <w:szCs w:val="24"/>
          <w:lang w:val="sq-AL"/>
        </w:rPr>
        <w:t>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sq-AL"/>
        </w:rPr>
        <w:t>rmbajtja e amonjakut</w:t>
      </w:r>
    </w:p>
    <w:p w:rsidR="002D7C3E" w:rsidRPr="002D7C3E" w:rsidRDefault="002D7C3E" w:rsidP="002D7C3E">
      <w:pPr>
        <w:spacing w:after="0" w:line="240" w:lineRule="auto"/>
        <w:jc w:val="both"/>
        <w:rPr>
          <w:rFonts w:ascii="Times New Roman" w:eastAsia="Calibri" w:hAnsi="Times New Roman" w:cs="Times New Roman"/>
          <w:bCs/>
          <w:sz w:val="24"/>
          <w:szCs w:val="24"/>
          <w:lang w:val="fi-FI"/>
        </w:rPr>
      </w:pPr>
      <w:r w:rsidRPr="002D7C3E">
        <w:rPr>
          <w:rFonts w:ascii="Times New Roman" w:eastAsia="Calibri" w:hAnsi="Times New Roman" w:cs="Times New Roman"/>
          <w:bCs/>
          <w:sz w:val="24"/>
          <w:szCs w:val="24"/>
          <w:lang w:val="fi-FI"/>
        </w:rPr>
        <w:t>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rcaktimi i 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rmbajtjes s</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 xml:space="preserve"> amonjakut </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sht</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 xml:space="preserve"> paramet</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r kryesor i klasifikimit n</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 xml:space="preserve"> klasa t</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 xml:space="preserve"> cil</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sis</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 xml:space="preserve"> s</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 xml:space="preserve"> uj</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 xml:space="preserve">rave sipas DKU. </w:t>
      </w:r>
    </w:p>
    <w:p w:rsidR="002D7C3E" w:rsidRPr="002D7C3E" w:rsidRDefault="002D7C3E" w:rsidP="00F1390A">
      <w:pPr>
        <w:spacing w:after="0" w:line="240" w:lineRule="auto"/>
        <w:jc w:val="both"/>
        <w:rPr>
          <w:rFonts w:ascii="Times New Roman" w:eastAsia="Calibri" w:hAnsi="Times New Roman" w:cs="Times New Roman"/>
          <w:bCs/>
          <w:sz w:val="24"/>
          <w:szCs w:val="24"/>
          <w:lang w:val="fi-FI"/>
        </w:rPr>
      </w:pPr>
      <w:r w:rsidRPr="002D7C3E">
        <w:rPr>
          <w:rFonts w:ascii="Times New Roman" w:eastAsia="Calibri" w:hAnsi="Times New Roman" w:cs="Times New Roman"/>
          <w:bCs/>
          <w:sz w:val="24"/>
          <w:szCs w:val="24"/>
          <w:lang w:val="fi-FI"/>
        </w:rPr>
        <w:t>Referuar vlerave mesatare në të tre stacionet plot</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sohen kushtet 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r uj</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 xml:space="preserve">ra me </w:t>
      </w:r>
      <w:r w:rsidR="00756EE0">
        <w:rPr>
          <w:rFonts w:ascii="Times New Roman" w:eastAsia="Calibri" w:hAnsi="Times New Roman" w:cs="Times New Roman"/>
          <w:color w:val="212121"/>
          <w:sz w:val="24"/>
          <w:szCs w:val="24"/>
        </w:rPr>
        <w:t>Kl II-</w:t>
      </w:r>
      <w:r w:rsidR="00756EE0">
        <w:rPr>
          <w:rFonts w:ascii="Times New Roman" w:eastAsia="Calibri" w:hAnsi="Times New Roman" w:cs="Times New Roman"/>
          <w:bCs/>
          <w:sz w:val="24"/>
          <w:szCs w:val="24"/>
          <w:lang w:val="fi-FI"/>
        </w:rPr>
        <w:t xml:space="preserve">Gjendje </w:t>
      </w:r>
      <w:r w:rsidRPr="002D7C3E">
        <w:rPr>
          <w:rFonts w:ascii="Times New Roman" w:eastAsia="Calibri" w:hAnsi="Times New Roman" w:cs="Times New Roman"/>
          <w:bCs/>
          <w:sz w:val="24"/>
          <w:szCs w:val="24"/>
          <w:lang w:val="fi-FI"/>
        </w:rPr>
        <w:t xml:space="preserve"> </w:t>
      </w:r>
      <w:r w:rsidR="00756EE0">
        <w:rPr>
          <w:rFonts w:ascii="Times New Roman" w:eastAsia="Calibri" w:hAnsi="Times New Roman" w:cs="Times New Roman"/>
          <w:bCs/>
          <w:sz w:val="24"/>
          <w:szCs w:val="24"/>
          <w:lang w:val="fi-FI"/>
        </w:rPr>
        <w:t>mire</w:t>
      </w:r>
      <w:r w:rsidR="00756EE0">
        <w:rPr>
          <w:rFonts w:ascii="Times New Roman" w:eastAsia="Calibri" w:hAnsi="Times New Roman" w:cs="Times New Roman"/>
          <w:color w:val="212121"/>
          <w:sz w:val="24"/>
          <w:szCs w:val="24"/>
        </w:rPr>
        <w:t>.</w:t>
      </w:r>
    </w:p>
    <w:p w:rsidR="002D7C3E" w:rsidRPr="002D7C3E" w:rsidRDefault="002D7C3E" w:rsidP="002D7C3E">
      <w:pPr>
        <w:spacing w:after="0" w:line="240" w:lineRule="auto"/>
        <w:ind w:left="720"/>
        <w:contextualSpacing/>
        <w:jc w:val="both"/>
        <w:rPr>
          <w:rFonts w:ascii="Times New Roman" w:eastAsia="Calibri" w:hAnsi="Times New Roman" w:cs="Times New Roman"/>
          <w:bCs/>
          <w:sz w:val="24"/>
          <w:szCs w:val="24"/>
          <w:lang w:val="fi-FI"/>
        </w:rPr>
      </w:pPr>
    </w:p>
    <w:p w:rsidR="002D7C3E" w:rsidRPr="002D7C3E" w:rsidRDefault="002D7C3E" w:rsidP="00903995">
      <w:pPr>
        <w:spacing w:after="0" w:line="240" w:lineRule="auto"/>
        <w:contextualSpacing/>
        <w:rPr>
          <w:rFonts w:ascii="Times New Roman" w:eastAsia="Calibri" w:hAnsi="Times New Roman" w:cs="Times New Roman"/>
          <w:bCs/>
          <w:sz w:val="24"/>
          <w:szCs w:val="24"/>
          <w:lang w:val="fi-FI"/>
        </w:rPr>
      </w:pPr>
      <w:r w:rsidRPr="002D7C3E">
        <w:rPr>
          <w:rFonts w:ascii="Calibri" w:eastAsia="Calibri" w:hAnsi="Calibri" w:cs="Times New Roman"/>
          <w:noProof/>
        </w:rPr>
        <w:drawing>
          <wp:inline distT="0" distB="0" distL="0" distR="0" wp14:anchorId="0E1927CD" wp14:editId="7618A99A">
            <wp:extent cx="2895600" cy="2000250"/>
            <wp:effectExtent l="0" t="0" r="0" b="0"/>
            <wp:docPr id="432" name="Chart 1">
              <a:extLst xmlns:a="http://schemas.openxmlformats.org/drawingml/2006/main">
                <a:ext uri="{FF2B5EF4-FFF2-40B4-BE49-F238E27FC236}">
                  <a16:creationId xmlns:a16="http://schemas.microsoft.com/office/drawing/2014/main" id="{C63F65C4-474B-4B04-C259-D3BA7FF62B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r w:rsidR="00903995">
        <w:rPr>
          <w:rFonts w:ascii="Times New Roman" w:eastAsia="Calibri" w:hAnsi="Times New Roman" w:cs="Times New Roman"/>
          <w:bCs/>
          <w:sz w:val="24"/>
          <w:szCs w:val="24"/>
          <w:lang w:val="fi-FI"/>
        </w:rPr>
        <w:t xml:space="preserve">  </w:t>
      </w:r>
      <w:r w:rsidR="00903995" w:rsidRPr="002D7C3E">
        <w:rPr>
          <w:rFonts w:ascii="Calibri" w:eastAsia="Calibri" w:hAnsi="Calibri" w:cs="Times New Roman"/>
          <w:noProof/>
        </w:rPr>
        <w:drawing>
          <wp:inline distT="0" distB="0" distL="0" distR="0" wp14:anchorId="2B2F79C0" wp14:editId="575E7784">
            <wp:extent cx="2924175" cy="2000250"/>
            <wp:effectExtent l="0" t="0" r="9525" b="0"/>
            <wp:docPr id="433" name="Chart 1">
              <a:extLst xmlns:a="http://schemas.openxmlformats.org/drawingml/2006/main">
                <a:ext uri="{FF2B5EF4-FFF2-40B4-BE49-F238E27FC236}">
                  <a16:creationId xmlns:a16="http://schemas.microsoft.com/office/drawing/2014/main" id="{D89E7DF9-5013-A02E-93A4-92447B2264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rsidR="002D7C3E" w:rsidRPr="002D7C3E" w:rsidRDefault="002D7C3E" w:rsidP="002D7C3E">
      <w:pPr>
        <w:spacing w:after="0" w:line="240" w:lineRule="auto"/>
        <w:ind w:left="720"/>
        <w:contextualSpacing/>
        <w:jc w:val="both"/>
        <w:rPr>
          <w:rFonts w:ascii="Times New Roman" w:eastAsia="Calibri" w:hAnsi="Times New Roman" w:cs="Times New Roman"/>
          <w:bCs/>
          <w:sz w:val="24"/>
          <w:szCs w:val="24"/>
          <w:lang w:val="fi-FI"/>
        </w:rPr>
      </w:pPr>
    </w:p>
    <w:p w:rsidR="002D7C3E" w:rsidRPr="002D7C3E" w:rsidRDefault="002D7C3E"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2D7C3E">
        <w:rPr>
          <w:rFonts w:ascii="Times New Roman" w:eastAsia="Calibri" w:hAnsi="Times New Roman" w:cs="Times New Roman"/>
          <w:bCs/>
          <w:sz w:val="24"/>
          <w:szCs w:val="24"/>
          <w:lang w:val="fi-FI"/>
        </w:rPr>
        <w:t>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rmbajtja e nitriteve</w:t>
      </w:r>
    </w:p>
    <w:p w:rsidR="002D7C3E" w:rsidRPr="002D7C3E" w:rsidRDefault="002D7C3E" w:rsidP="002D7C3E">
      <w:pPr>
        <w:spacing w:after="0" w:line="240" w:lineRule="auto"/>
        <w:jc w:val="both"/>
        <w:rPr>
          <w:rFonts w:ascii="Times New Roman" w:eastAsia="Calibri" w:hAnsi="Times New Roman" w:cs="Times New Roman"/>
          <w:bCs/>
          <w:sz w:val="24"/>
          <w:szCs w:val="24"/>
          <w:lang w:val="fi-FI"/>
        </w:rPr>
      </w:pPr>
    </w:p>
    <w:p w:rsidR="002D7C3E" w:rsidRPr="002D7C3E" w:rsidRDefault="002D7C3E" w:rsidP="002D7C3E">
      <w:pPr>
        <w:spacing w:after="0" w:line="240" w:lineRule="auto"/>
        <w:jc w:val="both"/>
        <w:rPr>
          <w:rFonts w:ascii="Times New Roman" w:eastAsia="Calibri" w:hAnsi="Times New Roman" w:cs="Times New Roman"/>
          <w:bCs/>
          <w:sz w:val="24"/>
          <w:szCs w:val="24"/>
          <w:lang w:val="fi-FI"/>
        </w:rPr>
      </w:pPr>
      <w:r w:rsidRPr="002D7C3E">
        <w:rPr>
          <w:rFonts w:ascii="Times New Roman" w:eastAsia="Calibri" w:hAnsi="Times New Roman" w:cs="Times New Roman"/>
          <w:bCs/>
          <w:sz w:val="24"/>
          <w:szCs w:val="24"/>
          <w:lang w:val="fi-FI"/>
        </w:rPr>
        <w:t>Referuar vlerave mesatare t</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 xml:space="preserve"> monitorimit, n</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 xml:space="preserve"> t</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 xml:space="preserve"> tre stacionet e monitoruara ka 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rmbajtje t</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 xml:space="preserve"> ulët të nitriteve. </w:t>
      </w:r>
    </w:p>
    <w:p w:rsidR="001E7407" w:rsidRPr="002D7C3E" w:rsidRDefault="001E7407" w:rsidP="00903995">
      <w:pPr>
        <w:spacing w:after="0" w:line="240" w:lineRule="auto"/>
        <w:contextualSpacing/>
        <w:jc w:val="both"/>
        <w:rPr>
          <w:rFonts w:ascii="Times New Roman" w:eastAsia="Calibri" w:hAnsi="Times New Roman" w:cs="Times New Roman"/>
          <w:bCs/>
          <w:sz w:val="24"/>
          <w:szCs w:val="24"/>
          <w:lang w:val="fi-FI"/>
        </w:rPr>
      </w:pPr>
    </w:p>
    <w:p w:rsidR="002D7C3E" w:rsidRPr="002D7C3E" w:rsidRDefault="002D7C3E"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2D7C3E">
        <w:rPr>
          <w:rFonts w:ascii="Times New Roman" w:eastAsia="Calibri" w:hAnsi="Times New Roman" w:cs="Times New Roman"/>
          <w:bCs/>
          <w:sz w:val="24"/>
          <w:szCs w:val="24"/>
          <w:lang w:val="fi-FI"/>
        </w:rPr>
        <w:t>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rmbajtja e nitrateve</w:t>
      </w:r>
    </w:p>
    <w:p w:rsidR="002D7C3E" w:rsidRPr="002D7C3E" w:rsidRDefault="002D7C3E" w:rsidP="002D7C3E">
      <w:pPr>
        <w:spacing w:after="0" w:line="240" w:lineRule="auto"/>
        <w:ind w:left="720"/>
        <w:contextualSpacing/>
        <w:jc w:val="both"/>
        <w:rPr>
          <w:rFonts w:ascii="Times New Roman" w:eastAsia="Calibri" w:hAnsi="Times New Roman" w:cs="Times New Roman"/>
          <w:bCs/>
          <w:sz w:val="24"/>
          <w:szCs w:val="24"/>
          <w:lang w:val="fi-FI"/>
        </w:rPr>
      </w:pPr>
    </w:p>
    <w:p w:rsidR="002D7C3E" w:rsidRPr="002D7C3E" w:rsidRDefault="002D7C3E" w:rsidP="002D7C3E">
      <w:pPr>
        <w:spacing w:after="0" w:line="276" w:lineRule="auto"/>
        <w:jc w:val="both"/>
        <w:rPr>
          <w:rFonts w:ascii="Times New Roman" w:eastAsia="Calibri" w:hAnsi="Times New Roman" w:cs="Times New Roman"/>
          <w:sz w:val="24"/>
          <w:szCs w:val="24"/>
          <w:lang w:val="fi-FI"/>
        </w:rPr>
      </w:pPr>
      <w:r w:rsidRPr="002D7C3E">
        <w:rPr>
          <w:rFonts w:ascii="Times New Roman" w:eastAsia="Calibri" w:hAnsi="Times New Roman" w:cs="Times New Roman"/>
          <w:sz w:val="24"/>
          <w:szCs w:val="24"/>
          <w:lang w:val="fi-FI"/>
        </w:rPr>
        <w:t>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fi-FI"/>
        </w:rPr>
        <w:t>rmbajtja e nitrateve 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fi-FI"/>
        </w:rPr>
        <w:t>r t</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fi-FI"/>
        </w:rPr>
        <w:t xml:space="preserve"> tre stacionet e kampionimit rezulton t</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fi-FI"/>
        </w:rPr>
        <w:t xml:space="preserve"> jet</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fi-FI"/>
        </w:rPr>
        <w:t xml:space="preserve"> brenda norm</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sz w:val="24"/>
          <w:szCs w:val="24"/>
          <w:lang w:val="fi-FI"/>
        </w:rPr>
        <w:t>s s</w:t>
      </w:r>
      <w:r w:rsidRPr="002D7C3E">
        <w:rPr>
          <w:rFonts w:ascii="Times New Roman" w:eastAsia="Calibri" w:hAnsi="Times New Roman" w:cs="Times New Roman"/>
          <w:color w:val="212121"/>
          <w:sz w:val="24"/>
          <w:szCs w:val="24"/>
        </w:rPr>
        <w:t xml:space="preserve">ë </w:t>
      </w:r>
      <w:r w:rsidRPr="002D7C3E">
        <w:rPr>
          <w:rFonts w:ascii="Times New Roman" w:eastAsia="Calibri" w:hAnsi="Times New Roman" w:cs="Times New Roman"/>
          <w:sz w:val="24"/>
          <w:szCs w:val="24"/>
          <w:lang w:val="fi-FI"/>
        </w:rPr>
        <w:t xml:space="preserve">lejuar.  </w:t>
      </w:r>
    </w:p>
    <w:p w:rsidR="002D7C3E" w:rsidRPr="002D7C3E" w:rsidRDefault="002D7C3E" w:rsidP="002D7C3E">
      <w:pPr>
        <w:spacing w:after="0" w:line="276" w:lineRule="auto"/>
        <w:jc w:val="both"/>
        <w:rPr>
          <w:rFonts w:ascii="Times New Roman" w:eastAsia="Calibri" w:hAnsi="Times New Roman" w:cs="Times New Roman"/>
          <w:color w:val="000000"/>
          <w:sz w:val="24"/>
          <w:szCs w:val="24"/>
        </w:rPr>
      </w:pPr>
      <w:r w:rsidRPr="002D7C3E">
        <w:rPr>
          <w:rFonts w:ascii="Times New Roman" w:eastAsia="Calibri" w:hAnsi="Times New Roman" w:cs="Times New Roman"/>
          <w:color w:val="000000"/>
          <w:sz w:val="24"/>
          <w:szCs w:val="24"/>
        </w:rPr>
        <w:t>Prania e nitrateve n</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color w:val="000000"/>
          <w:sz w:val="24"/>
          <w:szCs w:val="24"/>
        </w:rPr>
        <w:t xml:space="preserve"> uj</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color w:val="000000"/>
          <w:sz w:val="24"/>
          <w:szCs w:val="24"/>
        </w:rPr>
        <w:t>rat e lumenjve vjen kryesisht nga 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color w:val="000000"/>
          <w:sz w:val="24"/>
          <w:szCs w:val="24"/>
        </w:rPr>
        <w:t>rdorimi i plehrave kimike n</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color w:val="000000"/>
          <w:sz w:val="24"/>
          <w:szCs w:val="24"/>
        </w:rPr>
        <w:t xml:space="preserve"> bujq</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color w:val="000000"/>
          <w:sz w:val="24"/>
          <w:szCs w:val="24"/>
        </w:rPr>
        <w:t>si n</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color w:val="000000"/>
          <w:sz w:val="24"/>
          <w:szCs w:val="24"/>
        </w:rPr>
        <w:t xml:space="preserve"> tokat rreth zon</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color w:val="000000"/>
          <w:sz w:val="24"/>
          <w:szCs w:val="24"/>
        </w:rPr>
        <w:t>s s</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color w:val="000000"/>
          <w:sz w:val="24"/>
          <w:szCs w:val="24"/>
        </w:rPr>
        <w:t xml:space="preserve"> kampionimit. </w:t>
      </w:r>
    </w:p>
    <w:p w:rsidR="002D7C3E" w:rsidRPr="002D7C3E" w:rsidRDefault="002D7C3E" w:rsidP="002D7C3E">
      <w:pPr>
        <w:spacing w:after="0" w:line="276" w:lineRule="auto"/>
        <w:jc w:val="center"/>
        <w:rPr>
          <w:rFonts w:ascii="Times New Roman" w:eastAsia="Calibri" w:hAnsi="Times New Roman" w:cs="Times New Roman"/>
          <w:color w:val="000000"/>
          <w:sz w:val="24"/>
          <w:szCs w:val="24"/>
        </w:rPr>
      </w:pPr>
    </w:p>
    <w:p w:rsidR="002D7C3E" w:rsidRPr="002D7C3E" w:rsidRDefault="002D7C3E" w:rsidP="00903995">
      <w:pPr>
        <w:spacing w:after="0" w:line="276" w:lineRule="auto"/>
        <w:rPr>
          <w:rFonts w:ascii="Times New Roman" w:eastAsia="Calibri" w:hAnsi="Times New Roman" w:cs="Times New Roman"/>
          <w:color w:val="000000"/>
          <w:sz w:val="24"/>
          <w:szCs w:val="24"/>
        </w:rPr>
      </w:pPr>
      <w:r w:rsidRPr="002D7C3E">
        <w:rPr>
          <w:rFonts w:ascii="Calibri" w:eastAsia="Calibri" w:hAnsi="Calibri" w:cs="Times New Roman"/>
          <w:noProof/>
        </w:rPr>
        <w:drawing>
          <wp:inline distT="0" distB="0" distL="0" distR="0" wp14:anchorId="5E1BE8B4" wp14:editId="6FBB34DA">
            <wp:extent cx="2857500" cy="2038350"/>
            <wp:effectExtent l="0" t="0" r="0" b="0"/>
            <wp:docPr id="434" name="Chart 1">
              <a:extLst xmlns:a="http://schemas.openxmlformats.org/drawingml/2006/main">
                <a:ext uri="{FF2B5EF4-FFF2-40B4-BE49-F238E27FC236}">
                  <a16:creationId xmlns:a16="http://schemas.microsoft.com/office/drawing/2014/main" id="{BDA6267D-6224-6D77-8AC8-CCE4EF89B8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r w:rsidR="00903995">
        <w:rPr>
          <w:rFonts w:ascii="Times New Roman" w:eastAsia="Calibri" w:hAnsi="Times New Roman" w:cs="Times New Roman"/>
          <w:color w:val="000000"/>
          <w:sz w:val="24"/>
          <w:szCs w:val="24"/>
        </w:rPr>
        <w:t xml:space="preserve">    </w:t>
      </w:r>
      <w:r w:rsidR="00903995" w:rsidRPr="002D7C3E">
        <w:rPr>
          <w:rFonts w:ascii="Calibri" w:eastAsia="Calibri" w:hAnsi="Calibri" w:cs="Times New Roman"/>
          <w:noProof/>
        </w:rPr>
        <w:drawing>
          <wp:inline distT="0" distB="0" distL="0" distR="0" wp14:anchorId="7BE78BDF" wp14:editId="7CEDF3CD">
            <wp:extent cx="2876550" cy="2043430"/>
            <wp:effectExtent l="0" t="0" r="0" b="13970"/>
            <wp:docPr id="435" name="Chart 1">
              <a:extLst xmlns:a="http://schemas.openxmlformats.org/drawingml/2006/main">
                <a:ext uri="{FF2B5EF4-FFF2-40B4-BE49-F238E27FC236}">
                  <a16:creationId xmlns:a16="http://schemas.microsoft.com/office/drawing/2014/main" id="{AF5658FD-12CB-BE26-C29B-A15BC5BDC3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rsidR="002D7C3E" w:rsidRPr="002D7C3E" w:rsidRDefault="002D7C3E" w:rsidP="002D7C3E">
      <w:pPr>
        <w:spacing w:after="0" w:line="240" w:lineRule="auto"/>
        <w:jc w:val="both"/>
        <w:rPr>
          <w:rFonts w:ascii="Times New Roman" w:eastAsia="Calibri" w:hAnsi="Times New Roman" w:cs="Times New Roman"/>
          <w:bCs/>
          <w:sz w:val="24"/>
          <w:szCs w:val="24"/>
          <w:lang w:val="fi-FI"/>
        </w:rPr>
      </w:pPr>
    </w:p>
    <w:p w:rsidR="002D7C3E" w:rsidRPr="002D7C3E" w:rsidRDefault="002D7C3E"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2D7C3E">
        <w:rPr>
          <w:rFonts w:ascii="Times New Roman" w:eastAsia="Calibri" w:hAnsi="Times New Roman" w:cs="Times New Roman"/>
          <w:bCs/>
          <w:sz w:val="24"/>
          <w:szCs w:val="24"/>
          <w:lang w:val="fi-FI"/>
        </w:rPr>
        <w:t>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rmbajtja e fosforit</w:t>
      </w:r>
    </w:p>
    <w:p w:rsidR="002D7C3E" w:rsidRPr="002D7C3E" w:rsidRDefault="002D7C3E" w:rsidP="002D7C3E">
      <w:pPr>
        <w:spacing w:after="0" w:line="240" w:lineRule="auto"/>
        <w:jc w:val="both"/>
        <w:rPr>
          <w:rFonts w:ascii="Times New Roman" w:eastAsia="Calibri" w:hAnsi="Times New Roman" w:cs="Times New Roman"/>
          <w:bCs/>
          <w:sz w:val="24"/>
          <w:szCs w:val="24"/>
          <w:lang w:val="fi-FI"/>
        </w:rPr>
      </w:pPr>
    </w:p>
    <w:p w:rsidR="002D7C3E" w:rsidRPr="002D7C3E" w:rsidRDefault="002D7C3E" w:rsidP="002D7C3E">
      <w:pPr>
        <w:spacing w:after="0" w:line="240" w:lineRule="auto"/>
        <w:jc w:val="both"/>
        <w:rPr>
          <w:rFonts w:ascii="Times New Roman" w:eastAsia="Calibri" w:hAnsi="Times New Roman" w:cs="Times New Roman"/>
          <w:bCs/>
          <w:sz w:val="24"/>
          <w:szCs w:val="24"/>
          <w:lang w:val="fi-FI"/>
        </w:rPr>
      </w:pPr>
      <w:r w:rsidRPr="002D7C3E">
        <w:rPr>
          <w:rFonts w:ascii="Times New Roman" w:eastAsia="Calibri" w:hAnsi="Times New Roman" w:cs="Times New Roman"/>
          <w:bCs/>
          <w:sz w:val="24"/>
          <w:szCs w:val="24"/>
          <w:lang w:val="fi-FI"/>
        </w:rPr>
        <w:t>Referuar rezultateve mesatare t</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 xml:space="preserve"> monitorimit 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r 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rmbajtjen e fosforit, Lumi i Pogradecit dhe Tushemishtit klasifikohen n</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 xml:space="preserve"> Klas</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n I – Gjendje e lart</w:t>
      </w:r>
      <w:r w:rsidRPr="002D7C3E">
        <w:rPr>
          <w:rFonts w:ascii="Times New Roman" w:eastAsia="Calibri" w:hAnsi="Times New Roman" w:cs="Times New Roman"/>
          <w:color w:val="212121"/>
          <w:sz w:val="24"/>
          <w:szCs w:val="24"/>
        </w:rPr>
        <w:t>ë, ndërsa</w:t>
      </w:r>
      <w:r w:rsidRPr="002D7C3E">
        <w:rPr>
          <w:rFonts w:ascii="Times New Roman" w:eastAsia="Calibri" w:hAnsi="Times New Roman" w:cs="Times New Roman"/>
          <w:bCs/>
          <w:sz w:val="24"/>
          <w:szCs w:val="24"/>
          <w:lang w:val="fi-FI"/>
        </w:rPr>
        <w:t xml:space="preserve"> Lumi i V</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rdov</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s klasifikohet n</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 xml:space="preserve"> Klas</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n II – Gjendje e mirë.</w:t>
      </w:r>
    </w:p>
    <w:p w:rsidR="002D7C3E" w:rsidRPr="002D7C3E" w:rsidRDefault="002D7C3E" w:rsidP="002D7C3E">
      <w:pPr>
        <w:spacing w:after="0" w:line="240" w:lineRule="auto"/>
        <w:jc w:val="both"/>
        <w:rPr>
          <w:rFonts w:ascii="Times New Roman" w:eastAsia="Calibri" w:hAnsi="Times New Roman" w:cs="Times New Roman"/>
          <w:bCs/>
          <w:sz w:val="24"/>
          <w:szCs w:val="24"/>
          <w:lang w:val="fi-FI"/>
        </w:rPr>
      </w:pPr>
    </w:p>
    <w:p w:rsidR="002D7C3E" w:rsidRPr="002D7C3E" w:rsidRDefault="002D7C3E" w:rsidP="002D7C3E">
      <w:pPr>
        <w:spacing w:after="0" w:line="240" w:lineRule="auto"/>
        <w:jc w:val="center"/>
        <w:rPr>
          <w:rFonts w:ascii="Times New Roman" w:eastAsia="Calibri" w:hAnsi="Times New Roman" w:cs="Times New Roman"/>
          <w:bCs/>
          <w:sz w:val="24"/>
          <w:szCs w:val="24"/>
          <w:lang w:val="fi-FI"/>
        </w:rPr>
      </w:pPr>
    </w:p>
    <w:p w:rsidR="002D7C3E" w:rsidRPr="002D7C3E" w:rsidRDefault="002D7C3E" w:rsidP="002D7C3E">
      <w:pPr>
        <w:spacing w:after="0" w:line="240" w:lineRule="auto"/>
        <w:jc w:val="center"/>
        <w:rPr>
          <w:rFonts w:ascii="Times New Roman" w:eastAsia="Calibri" w:hAnsi="Times New Roman" w:cs="Times New Roman"/>
          <w:bCs/>
          <w:sz w:val="24"/>
          <w:szCs w:val="24"/>
          <w:lang w:val="fi-FI"/>
        </w:rPr>
      </w:pPr>
    </w:p>
    <w:p w:rsidR="002D7C3E" w:rsidRPr="002D7C3E" w:rsidRDefault="002D7C3E" w:rsidP="002D7C3E">
      <w:pPr>
        <w:spacing w:after="0" w:line="240" w:lineRule="auto"/>
        <w:jc w:val="both"/>
        <w:rPr>
          <w:rFonts w:ascii="Times New Roman" w:eastAsia="Calibri" w:hAnsi="Times New Roman" w:cs="Times New Roman"/>
          <w:bCs/>
          <w:sz w:val="24"/>
          <w:szCs w:val="24"/>
          <w:lang w:val="fi-FI"/>
        </w:rPr>
      </w:pPr>
    </w:p>
    <w:p w:rsidR="002D7C3E" w:rsidRPr="002D7C3E" w:rsidRDefault="002D7C3E" w:rsidP="0033538C">
      <w:pPr>
        <w:numPr>
          <w:ilvl w:val="0"/>
          <w:numId w:val="8"/>
        </w:numPr>
        <w:spacing w:after="0" w:line="240" w:lineRule="auto"/>
        <w:contextualSpacing/>
        <w:jc w:val="both"/>
        <w:rPr>
          <w:rFonts w:ascii="Times New Roman" w:eastAsia="Calibri" w:hAnsi="Times New Roman" w:cs="Times New Roman"/>
          <w:bCs/>
          <w:sz w:val="24"/>
          <w:szCs w:val="24"/>
          <w:lang w:val="fi-FI"/>
        </w:rPr>
      </w:pPr>
      <w:r w:rsidRPr="002D7C3E">
        <w:rPr>
          <w:rFonts w:ascii="Times New Roman" w:eastAsia="Calibri" w:hAnsi="Times New Roman" w:cs="Times New Roman"/>
          <w:bCs/>
          <w:sz w:val="24"/>
          <w:szCs w:val="24"/>
          <w:lang w:val="fi-FI"/>
        </w:rPr>
        <w:t>P</w:t>
      </w:r>
      <w:r w:rsidRPr="002D7C3E">
        <w:rPr>
          <w:rFonts w:ascii="Times New Roman" w:eastAsia="Calibri" w:hAnsi="Times New Roman" w:cs="Times New Roman"/>
          <w:color w:val="212121"/>
          <w:sz w:val="24"/>
          <w:szCs w:val="24"/>
        </w:rPr>
        <w:t>ë</w:t>
      </w:r>
      <w:r w:rsidRPr="002D7C3E">
        <w:rPr>
          <w:rFonts w:ascii="Times New Roman" w:eastAsia="Calibri" w:hAnsi="Times New Roman" w:cs="Times New Roman"/>
          <w:bCs/>
          <w:sz w:val="24"/>
          <w:szCs w:val="24"/>
          <w:lang w:val="fi-FI"/>
        </w:rPr>
        <w:t>rmbajtja e fosforit total</w:t>
      </w:r>
    </w:p>
    <w:p w:rsidR="002D7C3E" w:rsidRPr="002D7C3E" w:rsidRDefault="002D7C3E" w:rsidP="002D7C3E">
      <w:pPr>
        <w:spacing w:after="0" w:line="240" w:lineRule="auto"/>
        <w:jc w:val="both"/>
        <w:rPr>
          <w:rFonts w:ascii="Times New Roman" w:eastAsia="Calibri" w:hAnsi="Times New Roman" w:cs="Times New Roman"/>
          <w:bCs/>
          <w:sz w:val="24"/>
          <w:szCs w:val="24"/>
          <w:lang w:val="fi-FI"/>
        </w:rPr>
      </w:pPr>
    </w:p>
    <w:p w:rsidR="002D7C3E" w:rsidRPr="002D7C3E" w:rsidRDefault="00724719" w:rsidP="002D7C3E">
      <w:pPr>
        <w:spacing w:after="0" w:line="240" w:lineRule="auto"/>
        <w:jc w:val="both"/>
        <w:rPr>
          <w:rFonts w:ascii="Times New Roman" w:eastAsia="Calibri" w:hAnsi="Times New Roman" w:cs="Times New Roman"/>
          <w:bCs/>
          <w:sz w:val="24"/>
          <w:szCs w:val="24"/>
          <w:lang w:val="fi-FI"/>
        </w:rPr>
      </w:pPr>
      <w:r>
        <w:rPr>
          <w:rFonts w:ascii="Times New Roman" w:eastAsia="Calibri" w:hAnsi="Times New Roman" w:cs="Times New Roman"/>
          <w:bCs/>
          <w:sz w:val="24"/>
          <w:szCs w:val="24"/>
          <w:lang w:val="fi-FI"/>
        </w:rPr>
        <w:t>Referuar rezultateve mesatare</w:t>
      </w:r>
      <w:r w:rsidR="002D7C3E" w:rsidRPr="002D7C3E">
        <w:rPr>
          <w:rFonts w:ascii="Times New Roman" w:eastAsia="Calibri" w:hAnsi="Times New Roman" w:cs="Times New Roman"/>
          <w:bCs/>
          <w:sz w:val="24"/>
          <w:szCs w:val="24"/>
          <w:lang w:val="fi-FI"/>
        </w:rPr>
        <w:t xml:space="preserve"> t</w:t>
      </w:r>
      <w:r>
        <w:rPr>
          <w:rFonts w:ascii="Times New Roman" w:eastAsia="Calibri" w:hAnsi="Times New Roman" w:cs="Times New Roman"/>
          <w:color w:val="212121"/>
          <w:sz w:val="24"/>
          <w:szCs w:val="24"/>
        </w:rPr>
        <w:t>ë</w:t>
      </w:r>
      <w:r w:rsidR="002D7C3E" w:rsidRPr="002D7C3E">
        <w:rPr>
          <w:rFonts w:ascii="Times New Roman" w:eastAsia="Calibri" w:hAnsi="Times New Roman" w:cs="Times New Roman"/>
          <w:bCs/>
          <w:sz w:val="24"/>
          <w:szCs w:val="24"/>
          <w:lang w:val="fi-FI"/>
        </w:rPr>
        <w:t xml:space="preserve"> monitorimit p</w:t>
      </w:r>
      <w:r w:rsidR="002D7C3E" w:rsidRPr="002D7C3E">
        <w:rPr>
          <w:rFonts w:ascii="Times New Roman" w:eastAsia="Calibri" w:hAnsi="Times New Roman" w:cs="Times New Roman"/>
          <w:color w:val="212121"/>
          <w:sz w:val="24"/>
          <w:szCs w:val="24"/>
        </w:rPr>
        <w:t>ë</w:t>
      </w:r>
      <w:r w:rsidR="002D7C3E" w:rsidRPr="002D7C3E">
        <w:rPr>
          <w:rFonts w:ascii="Times New Roman" w:eastAsia="Calibri" w:hAnsi="Times New Roman" w:cs="Times New Roman"/>
          <w:bCs/>
          <w:sz w:val="24"/>
          <w:szCs w:val="24"/>
          <w:lang w:val="fi-FI"/>
        </w:rPr>
        <w:t>r p</w:t>
      </w:r>
      <w:r w:rsidR="002D7C3E" w:rsidRPr="002D7C3E">
        <w:rPr>
          <w:rFonts w:ascii="Times New Roman" w:eastAsia="Calibri" w:hAnsi="Times New Roman" w:cs="Times New Roman"/>
          <w:color w:val="212121"/>
          <w:sz w:val="24"/>
          <w:szCs w:val="24"/>
        </w:rPr>
        <w:t>ë</w:t>
      </w:r>
      <w:r w:rsidR="002D7C3E" w:rsidRPr="002D7C3E">
        <w:rPr>
          <w:rFonts w:ascii="Times New Roman" w:eastAsia="Calibri" w:hAnsi="Times New Roman" w:cs="Times New Roman"/>
          <w:bCs/>
          <w:sz w:val="24"/>
          <w:szCs w:val="24"/>
          <w:lang w:val="fi-FI"/>
        </w:rPr>
        <w:t>rmbajtjen e fosforit total n</w:t>
      </w:r>
      <w:r w:rsidR="002D7C3E" w:rsidRPr="002D7C3E">
        <w:rPr>
          <w:rFonts w:ascii="Times New Roman" w:eastAsia="Calibri" w:hAnsi="Times New Roman" w:cs="Times New Roman"/>
          <w:color w:val="212121"/>
          <w:sz w:val="24"/>
          <w:szCs w:val="24"/>
        </w:rPr>
        <w:t>ë</w:t>
      </w:r>
      <w:r w:rsidR="002D7C3E" w:rsidRPr="002D7C3E">
        <w:rPr>
          <w:rFonts w:ascii="Times New Roman" w:eastAsia="Calibri" w:hAnsi="Times New Roman" w:cs="Times New Roman"/>
          <w:bCs/>
          <w:sz w:val="24"/>
          <w:szCs w:val="24"/>
          <w:lang w:val="fi-FI"/>
        </w:rPr>
        <w:t xml:space="preserve"> stacionet Lum</w:t>
      </w:r>
      <w:r>
        <w:rPr>
          <w:rFonts w:ascii="Times New Roman" w:eastAsia="Calibri" w:hAnsi="Times New Roman" w:cs="Times New Roman"/>
          <w:bCs/>
          <w:sz w:val="24"/>
          <w:szCs w:val="24"/>
          <w:lang w:val="fi-FI"/>
        </w:rPr>
        <w:t>i i Pogradecit dhe Tushemishtit</w:t>
      </w:r>
      <w:r w:rsidR="002D7C3E" w:rsidRPr="002D7C3E">
        <w:rPr>
          <w:rFonts w:ascii="Times New Roman" w:eastAsia="Calibri" w:hAnsi="Times New Roman" w:cs="Times New Roman"/>
          <w:bCs/>
          <w:sz w:val="24"/>
          <w:szCs w:val="24"/>
          <w:lang w:val="fi-FI"/>
        </w:rPr>
        <w:t xml:space="preserve"> klasifikohen n</w:t>
      </w:r>
      <w:r w:rsidR="002D7C3E" w:rsidRPr="002D7C3E">
        <w:rPr>
          <w:rFonts w:ascii="Times New Roman" w:eastAsia="Calibri" w:hAnsi="Times New Roman" w:cs="Times New Roman"/>
          <w:color w:val="212121"/>
          <w:sz w:val="24"/>
          <w:szCs w:val="24"/>
        </w:rPr>
        <w:t>ë</w:t>
      </w:r>
      <w:r w:rsidR="002D7C3E" w:rsidRPr="002D7C3E">
        <w:rPr>
          <w:rFonts w:ascii="Times New Roman" w:eastAsia="Calibri" w:hAnsi="Times New Roman" w:cs="Times New Roman"/>
          <w:bCs/>
          <w:sz w:val="24"/>
          <w:szCs w:val="24"/>
          <w:lang w:val="fi-FI"/>
        </w:rPr>
        <w:t xml:space="preserve"> Klasën I – Gjendje e lartë dhe Lumi i V</w:t>
      </w:r>
      <w:r w:rsidR="002D7C3E" w:rsidRPr="002D7C3E">
        <w:rPr>
          <w:rFonts w:ascii="Times New Roman" w:eastAsia="Calibri" w:hAnsi="Times New Roman" w:cs="Times New Roman"/>
          <w:color w:val="212121"/>
          <w:sz w:val="24"/>
          <w:szCs w:val="24"/>
        </w:rPr>
        <w:t>ë</w:t>
      </w:r>
      <w:r w:rsidR="002D7C3E" w:rsidRPr="002D7C3E">
        <w:rPr>
          <w:rFonts w:ascii="Times New Roman" w:eastAsia="Calibri" w:hAnsi="Times New Roman" w:cs="Times New Roman"/>
          <w:bCs/>
          <w:sz w:val="24"/>
          <w:szCs w:val="24"/>
          <w:lang w:val="fi-FI"/>
        </w:rPr>
        <w:t>rdov</w:t>
      </w:r>
      <w:r w:rsidR="002D7C3E" w:rsidRPr="002D7C3E">
        <w:rPr>
          <w:rFonts w:ascii="Times New Roman" w:eastAsia="Calibri" w:hAnsi="Times New Roman" w:cs="Times New Roman"/>
          <w:color w:val="212121"/>
          <w:sz w:val="24"/>
          <w:szCs w:val="24"/>
        </w:rPr>
        <w:t>ë</w:t>
      </w:r>
      <w:r w:rsidR="002D7C3E" w:rsidRPr="002D7C3E">
        <w:rPr>
          <w:rFonts w:ascii="Times New Roman" w:eastAsia="Calibri" w:hAnsi="Times New Roman" w:cs="Times New Roman"/>
          <w:bCs/>
          <w:sz w:val="24"/>
          <w:szCs w:val="24"/>
          <w:lang w:val="fi-FI"/>
        </w:rPr>
        <w:t>s n</w:t>
      </w:r>
      <w:r w:rsidR="002D7C3E" w:rsidRPr="002D7C3E">
        <w:rPr>
          <w:rFonts w:ascii="Times New Roman" w:eastAsia="Calibri" w:hAnsi="Times New Roman" w:cs="Times New Roman"/>
          <w:color w:val="212121"/>
          <w:sz w:val="24"/>
          <w:szCs w:val="24"/>
        </w:rPr>
        <w:t>ë</w:t>
      </w:r>
      <w:r w:rsidR="002D7C3E" w:rsidRPr="002D7C3E">
        <w:rPr>
          <w:rFonts w:ascii="Times New Roman" w:eastAsia="Calibri" w:hAnsi="Times New Roman" w:cs="Times New Roman"/>
          <w:bCs/>
          <w:sz w:val="24"/>
          <w:szCs w:val="24"/>
          <w:lang w:val="fi-FI"/>
        </w:rPr>
        <w:t xml:space="preserve"> Klasën II - Gjendje e mirë.</w:t>
      </w:r>
    </w:p>
    <w:p w:rsidR="002D7C3E" w:rsidRPr="002D7C3E" w:rsidRDefault="002D7C3E" w:rsidP="002D7C3E">
      <w:pPr>
        <w:spacing w:after="0" w:line="240" w:lineRule="auto"/>
        <w:jc w:val="center"/>
        <w:rPr>
          <w:rFonts w:ascii="Times New Roman" w:eastAsia="Calibri" w:hAnsi="Times New Roman" w:cs="Times New Roman"/>
          <w:bCs/>
          <w:sz w:val="24"/>
          <w:szCs w:val="24"/>
          <w:lang w:val="fi-FI"/>
        </w:rPr>
      </w:pPr>
    </w:p>
    <w:p w:rsidR="002D7C3E" w:rsidRPr="002D7C3E" w:rsidRDefault="002D7C3E" w:rsidP="002D7C3E">
      <w:pPr>
        <w:spacing w:after="0" w:line="240" w:lineRule="auto"/>
        <w:jc w:val="center"/>
        <w:rPr>
          <w:rFonts w:ascii="Times New Roman" w:eastAsia="Calibri" w:hAnsi="Times New Roman" w:cs="Times New Roman"/>
          <w:bCs/>
          <w:sz w:val="24"/>
          <w:szCs w:val="24"/>
          <w:lang w:val="fi-FI"/>
        </w:rPr>
      </w:pPr>
      <w:r w:rsidRPr="002D7C3E">
        <w:rPr>
          <w:rFonts w:ascii="Calibri" w:eastAsia="Calibri" w:hAnsi="Calibri" w:cs="Times New Roman"/>
          <w:noProof/>
        </w:rPr>
        <w:drawing>
          <wp:inline distT="0" distB="0" distL="0" distR="0" wp14:anchorId="4FAF012C" wp14:editId="07CCDF03">
            <wp:extent cx="4572000" cy="1760561"/>
            <wp:effectExtent l="0" t="0" r="19050" b="11430"/>
            <wp:docPr id="436" name="Chart 1">
              <a:extLst xmlns:a="http://schemas.openxmlformats.org/drawingml/2006/main">
                <a:ext uri="{FF2B5EF4-FFF2-40B4-BE49-F238E27FC236}">
                  <a16:creationId xmlns:a16="http://schemas.microsoft.com/office/drawing/2014/main" id="{E705EA74-F080-211F-8438-F2BE465BE5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rsidR="002D7C3E" w:rsidRPr="002D7C3E" w:rsidRDefault="002D7C3E" w:rsidP="002D7C3E">
      <w:pPr>
        <w:spacing w:after="0" w:line="240" w:lineRule="auto"/>
        <w:jc w:val="center"/>
        <w:rPr>
          <w:rFonts w:ascii="Times New Roman" w:eastAsia="Calibri" w:hAnsi="Times New Roman" w:cs="Times New Roman"/>
          <w:bCs/>
          <w:sz w:val="24"/>
          <w:szCs w:val="24"/>
          <w:lang w:val="fi-FI"/>
        </w:rPr>
      </w:pPr>
    </w:p>
    <w:p w:rsidR="002D7C3E" w:rsidRPr="002D7C3E" w:rsidRDefault="002D7C3E" w:rsidP="002D7C3E">
      <w:pPr>
        <w:spacing w:after="0" w:line="276" w:lineRule="auto"/>
        <w:rPr>
          <w:rFonts w:ascii="Times New Roman" w:eastAsia="Calibri" w:hAnsi="Times New Roman" w:cs="Times New Roman"/>
          <w:b/>
          <w:sz w:val="24"/>
          <w:szCs w:val="24"/>
        </w:rPr>
      </w:pPr>
    </w:p>
    <w:p w:rsidR="002D7C3E" w:rsidRPr="002D7C3E" w:rsidRDefault="002D7C3E" w:rsidP="002D7C3E">
      <w:pPr>
        <w:spacing w:after="0" w:line="276" w:lineRule="auto"/>
        <w:rPr>
          <w:rFonts w:ascii="Times New Roman" w:eastAsia="Calibri" w:hAnsi="Times New Roman" w:cs="Times New Roman"/>
          <w:b/>
          <w:sz w:val="24"/>
          <w:szCs w:val="24"/>
          <w:u w:val="single"/>
        </w:rPr>
      </w:pPr>
      <w:r w:rsidRPr="002D7C3E">
        <w:rPr>
          <w:rFonts w:ascii="Times New Roman" w:eastAsia="Calibri" w:hAnsi="Times New Roman" w:cs="Times New Roman"/>
          <w:b/>
          <w:sz w:val="24"/>
          <w:szCs w:val="24"/>
          <w:u w:val="single"/>
        </w:rPr>
        <w:t>Tributarët</w:t>
      </w:r>
    </w:p>
    <w:p w:rsidR="002D7C3E" w:rsidRPr="002D7C3E" w:rsidRDefault="002D7C3E" w:rsidP="004D460A">
      <w:pPr>
        <w:numPr>
          <w:ilvl w:val="0"/>
          <w:numId w:val="22"/>
        </w:numPr>
        <w:spacing w:after="0" w:line="276" w:lineRule="auto"/>
        <w:contextualSpacing/>
        <w:rPr>
          <w:rFonts w:ascii="Times New Roman" w:eastAsia="Calibri" w:hAnsi="Times New Roman" w:cs="Times New Roman"/>
          <w:b/>
          <w:sz w:val="24"/>
          <w:szCs w:val="24"/>
        </w:rPr>
      </w:pPr>
      <w:r w:rsidRPr="002D7C3E">
        <w:rPr>
          <w:rFonts w:ascii="Times New Roman" w:eastAsia="Calibri" w:hAnsi="Times New Roman" w:cs="Times New Roman"/>
          <w:b/>
          <w:sz w:val="24"/>
          <w:szCs w:val="24"/>
        </w:rPr>
        <w:t>Lumi i Pogradecit</w:t>
      </w:r>
    </w:p>
    <w:p w:rsidR="002D7C3E" w:rsidRPr="002D7C3E" w:rsidRDefault="002D7C3E" w:rsidP="002D7C3E">
      <w:pPr>
        <w:spacing w:after="0" w:line="276" w:lineRule="auto"/>
        <w:rPr>
          <w:rFonts w:ascii="Times New Roman" w:eastAsia="Calibri" w:hAnsi="Times New Roman" w:cs="Times New Roman"/>
          <w:b/>
          <w:sz w:val="24"/>
          <w:szCs w:val="24"/>
        </w:rPr>
      </w:pPr>
    </w:p>
    <w:tbl>
      <w:tblPr>
        <w:tblStyle w:val="TableGrid5"/>
        <w:tblW w:w="0" w:type="auto"/>
        <w:tblLayout w:type="fixed"/>
        <w:tblLook w:val="04A0" w:firstRow="1" w:lastRow="0" w:firstColumn="1" w:lastColumn="0" w:noHBand="0" w:noVBand="1"/>
      </w:tblPr>
      <w:tblGrid>
        <w:gridCol w:w="558"/>
        <w:gridCol w:w="1890"/>
        <w:gridCol w:w="2340"/>
        <w:gridCol w:w="1260"/>
        <w:gridCol w:w="3330"/>
      </w:tblGrid>
      <w:tr w:rsidR="002D7C3E" w:rsidRPr="002D7C3E" w:rsidTr="002D7C3E">
        <w:tc>
          <w:tcPr>
            <w:tcW w:w="55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Nr.</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Parametri</w:t>
            </w:r>
          </w:p>
        </w:tc>
        <w:tc>
          <w:tcPr>
            <w:tcW w:w="234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Vlera mesatare vjetore</w:t>
            </w:r>
          </w:p>
        </w:tc>
        <w:tc>
          <w:tcPr>
            <w:tcW w:w="12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Norma</w:t>
            </w:r>
          </w:p>
        </w:tc>
        <w:tc>
          <w:tcPr>
            <w:tcW w:w="333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Klasifikimi</w:t>
            </w:r>
          </w:p>
        </w:tc>
      </w:tr>
      <w:tr w:rsidR="002D7C3E" w:rsidRPr="002D7C3E" w:rsidTr="002D7C3E">
        <w:tc>
          <w:tcPr>
            <w:tcW w:w="55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1.</w:t>
            </w:r>
          </w:p>
        </w:tc>
        <w:tc>
          <w:tcPr>
            <w:tcW w:w="1890" w:type="dxa"/>
          </w:tcPr>
          <w:p w:rsidR="002D7C3E" w:rsidRPr="002D7C3E" w:rsidRDefault="002D7C3E" w:rsidP="002D7C3E">
            <w:pPr>
              <w:rPr>
                <w:rFonts w:ascii="Times New Roman" w:eastAsia="Calibri" w:hAnsi="Times New Roman" w:cs="Times New Roman"/>
                <w:b/>
                <w:vertAlign w:val="subscript"/>
              </w:rPr>
            </w:pPr>
            <w:r w:rsidRPr="002D7C3E">
              <w:rPr>
                <w:rFonts w:ascii="Times New Roman" w:eastAsia="Calibri" w:hAnsi="Times New Roman" w:cs="Times New Roman"/>
                <w:b/>
              </w:rPr>
              <w:t>NBO</w:t>
            </w:r>
            <w:r w:rsidRPr="002D7C3E">
              <w:rPr>
                <w:rFonts w:ascii="Times New Roman" w:eastAsia="Calibri" w:hAnsi="Times New Roman" w:cs="Times New Roman"/>
                <w:b/>
                <w:vertAlign w:val="subscript"/>
              </w:rPr>
              <w:t>5</w:t>
            </w:r>
          </w:p>
          <w:p w:rsidR="002D7C3E" w:rsidRPr="002D7C3E" w:rsidRDefault="002D7C3E" w:rsidP="002D7C3E">
            <w:pPr>
              <w:rPr>
                <w:rFonts w:ascii="Times New Roman" w:eastAsia="Calibri" w:hAnsi="Times New Roman" w:cs="Times New Roman"/>
                <w:b/>
              </w:rPr>
            </w:pPr>
          </w:p>
        </w:tc>
        <w:tc>
          <w:tcPr>
            <w:tcW w:w="234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3 mg/l</w:t>
            </w:r>
          </w:p>
        </w:tc>
        <w:tc>
          <w:tcPr>
            <w:tcW w:w="12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7</w:t>
            </w:r>
          </w:p>
        </w:tc>
        <w:tc>
          <w:tcPr>
            <w:tcW w:w="333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mir</w:t>
            </w:r>
            <w:r w:rsidRPr="002D7C3E">
              <w:rPr>
                <w:rFonts w:ascii="Times New Roman" w:eastAsia="Calibri" w:hAnsi="Times New Roman" w:cs="Times New Roman"/>
                <w:b/>
                <w:color w:val="212121"/>
              </w:rPr>
              <w:t>ë</w:t>
            </w:r>
            <w:r w:rsidRPr="002D7C3E">
              <w:rPr>
                <w:rFonts w:ascii="Times New Roman" w:eastAsia="Calibri" w:hAnsi="Times New Roman" w:cs="Times New Roman"/>
                <w:b/>
              </w:rPr>
              <w:t xml:space="preserve"> – Klasa II</w:t>
            </w:r>
          </w:p>
        </w:tc>
      </w:tr>
      <w:tr w:rsidR="002D7C3E" w:rsidRPr="002D7C3E" w:rsidTr="002D7C3E">
        <w:tc>
          <w:tcPr>
            <w:tcW w:w="55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2.</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 xml:space="preserve"> Përmbajtja e amonjakut</w:t>
            </w:r>
          </w:p>
        </w:tc>
        <w:tc>
          <w:tcPr>
            <w:tcW w:w="234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0.022 mg/l</w:t>
            </w:r>
          </w:p>
        </w:tc>
        <w:tc>
          <w:tcPr>
            <w:tcW w:w="12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0.6</w:t>
            </w:r>
          </w:p>
        </w:tc>
        <w:tc>
          <w:tcPr>
            <w:tcW w:w="333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lart</w:t>
            </w:r>
            <w:r w:rsidRPr="002D7C3E">
              <w:rPr>
                <w:rFonts w:ascii="Times New Roman" w:eastAsia="Calibri" w:hAnsi="Times New Roman" w:cs="Times New Roman"/>
                <w:b/>
                <w:color w:val="212121"/>
              </w:rPr>
              <w:t>ë</w:t>
            </w:r>
            <w:r w:rsidRPr="002D7C3E">
              <w:rPr>
                <w:rFonts w:ascii="Times New Roman" w:eastAsia="Calibri" w:hAnsi="Times New Roman" w:cs="Times New Roman"/>
                <w:b/>
              </w:rPr>
              <w:t xml:space="preserve"> – Klasa I</w:t>
            </w:r>
          </w:p>
        </w:tc>
      </w:tr>
      <w:tr w:rsidR="002D7C3E" w:rsidRPr="002D7C3E" w:rsidTr="002D7C3E">
        <w:tc>
          <w:tcPr>
            <w:tcW w:w="55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3.</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Përmbajtja e nitriteve</w:t>
            </w:r>
          </w:p>
        </w:tc>
        <w:tc>
          <w:tcPr>
            <w:tcW w:w="234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 xml:space="preserve"> 0.0021 mg/l</w:t>
            </w:r>
          </w:p>
        </w:tc>
        <w:tc>
          <w:tcPr>
            <w:tcW w:w="12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0.12</w:t>
            </w:r>
          </w:p>
        </w:tc>
        <w:tc>
          <w:tcPr>
            <w:tcW w:w="333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lart</w:t>
            </w:r>
            <w:r w:rsidRPr="002D7C3E">
              <w:rPr>
                <w:rFonts w:ascii="Times New Roman" w:eastAsia="Calibri" w:hAnsi="Times New Roman" w:cs="Times New Roman"/>
                <w:b/>
                <w:color w:val="212121"/>
              </w:rPr>
              <w:t>ë</w:t>
            </w:r>
            <w:r w:rsidRPr="002D7C3E">
              <w:rPr>
                <w:rFonts w:ascii="Times New Roman" w:eastAsia="Calibri" w:hAnsi="Times New Roman" w:cs="Times New Roman"/>
                <w:b/>
              </w:rPr>
              <w:t xml:space="preserve"> – Klasa I</w:t>
            </w:r>
          </w:p>
        </w:tc>
      </w:tr>
      <w:tr w:rsidR="002D7C3E" w:rsidRPr="002D7C3E" w:rsidTr="002D7C3E">
        <w:tc>
          <w:tcPr>
            <w:tcW w:w="55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4.</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Përmbajtja e nitrateve</w:t>
            </w:r>
          </w:p>
        </w:tc>
        <w:tc>
          <w:tcPr>
            <w:tcW w:w="234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1.25 mg/l</w:t>
            </w:r>
          </w:p>
        </w:tc>
        <w:tc>
          <w:tcPr>
            <w:tcW w:w="12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4</w:t>
            </w:r>
          </w:p>
        </w:tc>
        <w:tc>
          <w:tcPr>
            <w:tcW w:w="333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mir</w:t>
            </w:r>
            <w:r w:rsidRPr="002D7C3E">
              <w:rPr>
                <w:rFonts w:ascii="Times New Roman" w:eastAsia="Calibri" w:hAnsi="Times New Roman" w:cs="Times New Roman"/>
                <w:b/>
                <w:color w:val="212121"/>
              </w:rPr>
              <w:t>ë</w:t>
            </w:r>
            <w:r w:rsidRPr="002D7C3E">
              <w:rPr>
                <w:rFonts w:ascii="Times New Roman" w:eastAsia="Calibri" w:hAnsi="Times New Roman" w:cs="Times New Roman"/>
                <w:b/>
              </w:rPr>
              <w:t xml:space="preserve"> – Klasa II</w:t>
            </w:r>
          </w:p>
        </w:tc>
      </w:tr>
      <w:tr w:rsidR="002D7C3E" w:rsidRPr="002D7C3E" w:rsidTr="002D7C3E">
        <w:tc>
          <w:tcPr>
            <w:tcW w:w="55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5.</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Përmbajtja e orto - fosfateve</w:t>
            </w:r>
          </w:p>
        </w:tc>
        <w:tc>
          <w:tcPr>
            <w:tcW w:w="234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0.022 mg/l</w:t>
            </w:r>
          </w:p>
        </w:tc>
        <w:tc>
          <w:tcPr>
            <w:tcW w:w="12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0.2</w:t>
            </w:r>
          </w:p>
        </w:tc>
        <w:tc>
          <w:tcPr>
            <w:tcW w:w="333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lart</w:t>
            </w:r>
            <w:r w:rsidRPr="002D7C3E">
              <w:rPr>
                <w:rFonts w:ascii="Times New Roman" w:eastAsia="Calibri" w:hAnsi="Times New Roman" w:cs="Times New Roman"/>
                <w:b/>
                <w:color w:val="212121"/>
              </w:rPr>
              <w:t>ë</w:t>
            </w:r>
            <w:r w:rsidRPr="002D7C3E">
              <w:rPr>
                <w:rFonts w:ascii="Times New Roman" w:eastAsia="Calibri" w:hAnsi="Times New Roman" w:cs="Times New Roman"/>
                <w:b/>
              </w:rPr>
              <w:t xml:space="preserve"> – Klasa I</w:t>
            </w:r>
          </w:p>
        </w:tc>
      </w:tr>
      <w:tr w:rsidR="002D7C3E" w:rsidRPr="002D7C3E" w:rsidTr="002D7C3E">
        <w:tc>
          <w:tcPr>
            <w:tcW w:w="55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6.</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Përmbajtja e fosforit total</w:t>
            </w:r>
          </w:p>
        </w:tc>
        <w:tc>
          <w:tcPr>
            <w:tcW w:w="234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0.027 mg/l</w:t>
            </w:r>
          </w:p>
        </w:tc>
        <w:tc>
          <w:tcPr>
            <w:tcW w:w="12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0.4</w:t>
            </w:r>
          </w:p>
        </w:tc>
        <w:tc>
          <w:tcPr>
            <w:tcW w:w="333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lartë – Klasa I</w:t>
            </w:r>
          </w:p>
        </w:tc>
      </w:tr>
    </w:tbl>
    <w:p w:rsidR="002D7C3E" w:rsidRPr="002D7C3E" w:rsidRDefault="002D7C3E" w:rsidP="002D7C3E">
      <w:pPr>
        <w:spacing w:after="200" w:line="276" w:lineRule="auto"/>
        <w:ind w:left="720"/>
        <w:contextualSpacing/>
        <w:rPr>
          <w:rFonts w:ascii="Times New Roman" w:eastAsia="Calibri" w:hAnsi="Times New Roman" w:cs="Times New Roman"/>
          <w:b/>
          <w:sz w:val="24"/>
          <w:szCs w:val="24"/>
        </w:rPr>
      </w:pPr>
    </w:p>
    <w:p w:rsidR="002D7C3E" w:rsidRPr="002D7C3E" w:rsidRDefault="002D7C3E" w:rsidP="004D460A">
      <w:pPr>
        <w:numPr>
          <w:ilvl w:val="0"/>
          <w:numId w:val="22"/>
        </w:numPr>
        <w:spacing w:after="200" w:line="276" w:lineRule="auto"/>
        <w:contextualSpacing/>
        <w:rPr>
          <w:rFonts w:ascii="Times New Roman" w:eastAsia="Calibri" w:hAnsi="Times New Roman" w:cs="Times New Roman"/>
          <w:b/>
          <w:sz w:val="24"/>
          <w:szCs w:val="24"/>
        </w:rPr>
      </w:pPr>
      <w:r w:rsidRPr="002D7C3E">
        <w:rPr>
          <w:rFonts w:ascii="Times New Roman" w:eastAsia="Calibri" w:hAnsi="Times New Roman" w:cs="Times New Roman"/>
          <w:b/>
          <w:sz w:val="24"/>
          <w:szCs w:val="24"/>
        </w:rPr>
        <w:t>Lumi Vërdovë</w:t>
      </w:r>
    </w:p>
    <w:tbl>
      <w:tblPr>
        <w:tblStyle w:val="TableGrid5"/>
        <w:tblW w:w="9648" w:type="dxa"/>
        <w:tblLayout w:type="fixed"/>
        <w:tblLook w:val="04A0" w:firstRow="1" w:lastRow="0" w:firstColumn="1" w:lastColumn="0" w:noHBand="0" w:noVBand="1"/>
      </w:tblPr>
      <w:tblGrid>
        <w:gridCol w:w="558"/>
        <w:gridCol w:w="1890"/>
        <w:gridCol w:w="1980"/>
        <w:gridCol w:w="1350"/>
        <w:gridCol w:w="3870"/>
      </w:tblGrid>
      <w:tr w:rsidR="002D7C3E" w:rsidRPr="002D7C3E" w:rsidTr="002D7C3E">
        <w:tc>
          <w:tcPr>
            <w:tcW w:w="55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Nr.</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Parametri</w:t>
            </w:r>
          </w:p>
        </w:tc>
        <w:tc>
          <w:tcPr>
            <w:tcW w:w="198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Vlera mesatare vjetore</w:t>
            </w:r>
          </w:p>
        </w:tc>
        <w:tc>
          <w:tcPr>
            <w:tcW w:w="135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Norma</w:t>
            </w:r>
          </w:p>
        </w:tc>
        <w:tc>
          <w:tcPr>
            <w:tcW w:w="387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Klasifikimi</w:t>
            </w:r>
          </w:p>
        </w:tc>
      </w:tr>
      <w:tr w:rsidR="002D7C3E" w:rsidRPr="002D7C3E" w:rsidTr="002D7C3E">
        <w:tc>
          <w:tcPr>
            <w:tcW w:w="55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1.</w:t>
            </w:r>
          </w:p>
        </w:tc>
        <w:tc>
          <w:tcPr>
            <w:tcW w:w="1890" w:type="dxa"/>
          </w:tcPr>
          <w:p w:rsidR="002D7C3E" w:rsidRPr="002D7C3E" w:rsidRDefault="002D7C3E" w:rsidP="002D7C3E">
            <w:pPr>
              <w:rPr>
                <w:rFonts w:ascii="Times New Roman" w:eastAsia="Calibri" w:hAnsi="Times New Roman" w:cs="Times New Roman"/>
                <w:b/>
                <w:vertAlign w:val="subscript"/>
              </w:rPr>
            </w:pPr>
            <w:r w:rsidRPr="002D7C3E">
              <w:rPr>
                <w:rFonts w:ascii="Times New Roman" w:eastAsia="Calibri" w:hAnsi="Times New Roman" w:cs="Times New Roman"/>
                <w:b/>
              </w:rPr>
              <w:t>NBO</w:t>
            </w:r>
            <w:r w:rsidRPr="002D7C3E">
              <w:rPr>
                <w:rFonts w:ascii="Times New Roman" w:eastAsia="Calibri" w:hAnsi="Times New Roman" w:cs="Times New Roman"/>
                <w:b/>
                <w:vertAlign w:val="subscript"/>
              </w:rPr>
              <w:t>5</w:t>
            </w:r>
          </w:p>
          <w:p w:rsidR="002D7C3E" w:rsidRPr="002D7C3E" w:rsidRDefault="002D7C3E" w:rsidP="002D7C3E">
            <w:pPr>
              <w:rPr>
                <w:rFonts w:ascii="Times New Roman" w:eastAsia="Calibri" w:hAnsi="Times New Roman" w:cs="Times New Roman"/>
                <w:b/>
              </w:rPr>
            </w:pPr>
          </w:p>
        </w:tc>
        <w:tc>
          <w:tcPr>
            <w:tcW w:w="198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11 mg/l</w:t>
            </w:r>
          </w:p>
        </w:tc>
        <w:tc>
          <w:tcPr>
            <w:tcW w:w="135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7</w:t>
            </w:r>
          </w:p>
        </w:tc>
        <w:tc>
          <w:tcPr>
            <w:tcW w:w="387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varfër – Klasa IV</w:t>
            </w:r>
          </w:p>
        </w:tc>
      </w:tr>
      <w:tr w:rsidR="002D7C3E" w:rsidRPr="002D7C3E" w:rsidTr="002D7C3E">
        <w:tc>
          <w:tcPr>
            <w:tcW w:w="55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2.</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Përmbajtja e amonjakut</w:t>
            </w:r>
          </w:p>
        </w:tc>
        <w:tc>
          <w:tcPr>
            <w:tcW w:w="198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 xml:space="preserve"> 0.051 mg/l</w:t>
            </w:r>
          </w:p>
        </w:tc>
        <w:tc>
          <w:tcPr>
            <w:tcW w:w="135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0.6</w:t>
            </w:r>
          </w:p>
        </w:tc>
        <w:tc>
          <w:tcPr>
            <w:tcW w:w="387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mirë – Klasa II</w:t>
            </w:r>
          </w:p>
        </w:tc>
      </w:tr>
      <w:tr w:rsidR="002D7C3E" w:rsidRPr="002D7C3E" w:rsidTr="002D7C3E">
        <w:tc>
          <w:tcPr>
            <w:tcW w:w="55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3.</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Përmbajtja e nitriteve</w:t>
            </w:r>
          </w:p>
        </w:tc>
        <w:tc>
          <w:tcPr>
            <w:tcW w:w="198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 xml:space="preserve"> 0.0059 mg/l</w:t>
            </w:r>
          </w:p>
        </w:tc>
        <w:tc>
          <w:tcPr>
            <w:tcW w:w="135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0.12</w:t>
            </w:r>
          </w:p>
        </w:tc>
        <w:tc>
          <w:tcPr>
            <w:tcW w:w="387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lart</w:t>
            </w:r>
            <w:r w:rsidRPr="002D7C3E">
              <w:rPr>
                <w:rFonts w:ascii="Times New Roman" w:eastAsia="Calibri" w:hAnsi="Times New Roman" w:cs="Times New Roman"/>
                <w:b/>
                <w:color w:val="212121"/>
              </w:rPr>
              <w:t>ë</w:t>
            </w:r>
            <w:r w:rsidRPr="002D7C3E">
              <w:rPr>
                <w:rFonts w:ascii="Times New Roman" w:eastAsia="Calibri" w:hAnsi="Times New Roman" w:cs="Times New Roman"/>
                <w:b/>
              </w:rPr>
              <w:t xml:space="preserve"> – Klasa I</w:t>
            </w:r>
          </w:p>
        </w:tc>
      </w:tr>
      <w:tr w:rsidR="002D7C3E" w:rsidRPr="002D7C3E" w:rsidTr="002D7C3E">
        <w:tc>
          <w:tcPr>
            <w:tcW w:w="55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lastRenderedPageBreak/>
              <w:t>4.</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Përmbajtja e nitrateve</w:t>
            </w:r>
          </w:p>
        </w:tc>
        <w:tc>
          <w:tcPr>
            <w:tcW w:w="198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1.18 mg/l</w:t>
            </w:r>
          </w:p>
        </w:tc>
        <w:tc>
          <w:tcPr>
            <w:tcW w:w="135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4</w:t>
            </w:r>
          </w:p>
        </w:tc>
        <w:tc>
          <w:tcPr>
            <w:tcW w:w="387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mirë – Klasa II</w:t>
            </w:r>
          </w:p>
        </w:tc>
      </w:tr>
      <w:tr w:rsidR="002D7C3E" w:rsidRPr="002D7C3E" w:rsidTr="002D7C3E">
        <w:tc>
          <w:tcPr>
            <w:tcW w:w="55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5.</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Përmbajtja e orto - fosfateve</w:t>
            </w:r>
          </w:p>
        </w:tc>
        <w:tc>
          <w:tcPr>
            <w:tcW w:w="198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 xml:space="preserve"> 0.1 mg/l</w:t>
            </w:r>
          </w:p>
        </w:tc>
        <w:tc>
          <w:tcPr>
            <w:tcW w:w="135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0.2</w:t>
            </w:r>
          </w:p>
        </w:tc>
        <w:tc>
          <w:tcPr>
            <w:tcW w:w="387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mirë – Klasa II</w:t>
            </w:r>
          </w:p>
        </w:tc>
      </w:tr>
      <w:tr w:rsidR="002D7C3E" w:rsidRPr="002D7C3E" w:rsidTr="002D7C3E">
        <w:tc>
          <w:tcPr>
            <w:tcW w:w="55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6.</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Përmbajtja e fosforit total</w:t>
            </w:r>
          </w:p>
        </w:tc>
        <w:tc>
          <w:tcPr>
            <w:tcW w:w="198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0.13 mg/l</w:t>
            </w:r>
          </w:p>
        </w:tc>
        <w:tc>
          <w:tcPr>
            <w:tcW w:w="135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0.4</w:t>
            </w:r>
          </w:p>
        </w:tc>
        <w:tc>
          <w:tcPr>
            <w:tcW w:w="387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mirë – Klasa II</w:t>
            </w:r>
          </w:p>
        </w:tc>
      </w:tr>
    </w:tbl>
    <w:p w:rsidR="00903995" w:rsidRDefault="00903995" w:rsidP="00903995">
      <w:pPr>
        <w:spacing w:after="0" w:line="240" w:lineRule="auto"/>
        <w:jc w:val="both"/>
        <w:rPr>
          <w:rFonts w:ascii="Times New Roman" w:eastAsia="Calibri" w:hAnsi="Times New Roman" w:cs="Times New Roman"/>
          <w:sz w:val="24"/>
          <w:szCs w:val="24"/>
        </w:rPr>
      </w:pPr>
    </w:p>
    <w:p w:rsidR="002D7C3E" w:rsidRDefault="002D7C3E" w:rsidP="00903995">
      <w:pPr>
        <w:spacing w:after="0" w:line="240" w:lineRule="auto"/>
        <w:jc w:val="both"/>
        <w:rPr>
          <w:rFonts w:ascii="Times New Roman" w:eastAsia="Calibri" w:hAnsi="Times New Roman" w:cs="Times New Roman"/>
          <w:sz w:val="24"/>
          <w:szCs w:val="24"/>
        </w:rPr>
      </w:pPr>
      <w:r w:rsidRPr="002D7C3E">
        <w:rPr>
          <w:rFonts w:ascii="Times New Roman" w:eastAsia="Calibri" w:hAnsi="Times New Roman" w:cs="Times New Roman"/>
          <w:sz w:val="24"/>
          <w:szCs w:val="24"/>
        </w:rPr>
        <w:t xml:space="preserve">Lumi i Vërdovës referuar gjithë parametrave të mësipërm klasifikohet në një lumë me cilësi të varfër ku vlerësohet përmbajtje e lëndëve organike pasi parametri Nevoja Biokimike për </w:t>
      </w:r>
      <w:r w:rsidR="00903995">
        <w:rPr>
          <w:rFonts w:ascii="Times New Roman" w:eastAsia="Calibri" w:hAnsi="Times New Roman" w:cs="Times New Roman"/>
          <w:sz w:val="24"/>
          <w:szCs w:val="24"/>
        </w:rPr>
        <w:t>O</w:t>
      </w:r>
      <w:r w:rsidRPr="002D7C3E">
        <w:rPr>
          <w:rFonts w:ascii="Times New Roman" w:eastAsia="Calibri" w:hAnsi="Times New Roman" w:cs="Times New Roman"/>
          <w:sz w:val="24"/>
          <w:szCs w:val="24"/>
        </w:rPr>
        <w:t xml:space="preserve">ksigjen është mbi normë. </w:t>
      </w:r>
    </w:p>
    <w:p w:rsidR="00903995" w:rsidRPr="002D7C3E" w:rsidRDefault="00903995" w:rsidP="00903995">
      <w:pPr>
        <w:spacing w:after="0" w:line="240" w:lineRule="auto"/>
        <w:jc w:val="both"/>
        <w:rPr>
          <w:rFonts w:ascii="Times New Roman" w:eastAsia="Calibri" w:hAnsi="Times New Roman" w:cs="Times New Roman"/>
          <w:sz w:val="24"/>
          <w:szCs w:val="24"/>
        </w:rPr>
      </w:pPr>
    </w:p>
    <w:p w:rsidR="002D7C3E" w:rsidRPr="002D7C3E" w:rsidRDefault="00903995" w:rsidP="002D7C3E">
      <w:pPr>
        <w:spacing w:after="20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w:t>
      </w:r>
      <w:r w:rsidR="002D7C3E" w:rsidRPr="002D7C3E">
        <w:rPr>
          <w:rFonts w:ascii="Times New Roman" w:eastAsia="Calibri" w:hAnsi="Times New Roman" w:cs="Times New Roman"/>
          <w:b/>
          <w:sz w:val="24"/>
          <w:szCs w:val="24"/>
        </w:rPr>
        <w:t>Lumi Tushemishtit</w:t>
      </w:r>
    </w:p>
    <w:tbl>
      <w:tblPr>
        <w:tblStyle w:val="TableGrid5"/>
        <w:tblW w:w="0" w:type="auto"/>
        <w:tblLayout w:type="fixed"/>
        <w:tblLook w:val="04A0" w:firstRow="1" w:lastRow="0" w:firstColumn="1" w:lastColumn="0" w:noHBand="0" w:noVBand="1"/>
      </w:tblPr>
      <w:tblGrid>
        <w:gridCol w:w="648"/>
        <w:gridCol w:w="2250"/>
        <w:gridCol w:w="1890"/>
        <w:gridCol w:w="1260"/>
        <w:gridCol w:w="3060"/>
      </w:tblGrid>
      <w:tr w:rsidR="002D7C3E" w:rsidRPr="002D7C3E" w:rsidTr="002D7C3E">
        <w:tc>
          <w:tcPr>
            <w:tcW w:w="64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Nr.</w:t>
            </w:r>
          </w:p>
        </w:tc>
        <w:tc>
          <w:tcPr>
            <w:tcW w:w="225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Parametri</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Vlera mesatare vjetore</w:t>
            </w:r>
          </w:p>
        </w:tc>
        <w:tc>
          <w:tcPr>
            <w:tcW w:w="12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Norma</w:t>
            </w:r>
          </w:p>
        </w:tc>
        <w:tc>
          <w:tcPr>
            <w:tcW w:w="30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Klasifikimi</w:t>
            </w:r>
          </w:p>
        </w:tc>
      </w:tr>
      <w:tr w:rsidR="002D7C3E" w:rsidRPr="002D7C3E" w:rsidTr="002D7C3E">
        <w:tc>
          <w:tcPr>
            <w:tcW w:w="64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1.</w:t>
            </w:r>
          </w:p>
        </w:tc>
        <w:tc>
          <w:tcPr>
            <w:tcW w:w="2250" w:type="dxa"/>
          </w:tcPr>
          <w:p w:rsidR="002D7C3E" w:rsidRPr="002D7C3E" w:rsidRDefault="002D7C3E" w:rsidP="002D7C3E">
            <w:pPr>
              <w:rPr>
                <w:rFonts w:ascii="Times New Roman" w:eastAsia="Calibri" w:hAnsi="Times New Roman" w:cs="Times New Roman"/>
                <w:b/>
                <w:vertAlign w:val="subscript"/>
              </w:rPr>
            </w:pPr>
            <w:r w:rsidRPr="002D7C3E">
              <w:rPr>
                <w:rFonts w:ascii="Times New Roman" w:eastAsia="Calibri" w:hAnsi="Times New Roman" w:cs="Times New Roman"/>
                <w:b/>
              </w:rPr>
              <w:t>NBO</w:t>
            </w:r>
            <w:r w:rsidRPr="002D7C3E">
              <w:rPr>
                <w:rFonts w:ascii="Times New Roman" w:eastAsia="Calibri" w:hAnsi="Times New Roman" w:cs="Times New Roman"/>
                <w:b/>
                <w:vertAlign w:val="subscript"/>
              </w:rPr>
              <w:t>5</w:t>
            </w:r>
          </w:p>
          <w:p w:rsidR="002D7C3E" w:rsidRPr="002D7C3E" w:rsidRDefault="002D7C3E" w:rsidP="002D7C3E">
            <w:pPr>
              <w:rPr>
                <w:rFonts w:ascii="Times New Roman" w:eastAsia="Calibri" w:hAnsi="Times New Roman" w:cs="Times New Roman"/>
                <w:b/>
              </w:rPr>
            </w:pP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 xml:space="preserve"> 1.6 mg/l</w:t>
            </w:r>
          </w:p>
        </w:tc>
        <w:tc>
          <w:tcPr>
            <w:tcW w:w="12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7</w:t>
            </w:r>
          </w:p>
        </w:tc>
        <w:tc>
          <w:tcPr>
            <w:tcW w:w="30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lartë – Klasa I</w:t>
            </w:r>
          </w:p>
        </w:tc>
      </w:tr>
      <w:tr w:rsidR="002D7C3E" w:rsidRPr="002D7C3E" w:rsidTr="002D7C3E">
        <w:tc>
          <w:tcPr>
            <w:tcW w:w="64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2.</w:t>
            </w:r>
          </w:p>
        </w:tc>
        <w:tc>
          <w:tcPr>
            <w:tcW w:w="225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Përmbajtja e amonjakut</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0.027 mg/l</w:t>
            </w:r>
          </w:p>
        </w:tc>
        <w:tc>
          <w:tcPr>
            <w:tcW w:w="12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0.6</w:t>
            </w:r>
          </w:p>
        </w:tc>
        <w:tc>
          <w:tcPr>
            <w:tcW w:w="30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lartë – Klasa I</w:t>
            </w:r>
          </w:p>
        </w:tc>
      </w:tr>
      <w:tr w:rsidR="002D7C3E" w:rsidRPr="002D7C3E" w:rsidTr="002D7C3E">
        <w:tc>
          <w:tcPr>
            <w:tcW w:w="64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3.</w:t>
            </w:r>
          </w:p>
        </w:tc>
        <w:tc>
          <w:tcPr>
            <w:tcW w:w="225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Përmbajtja e nitriteve</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0.0016 mg/l</w:t>
            </w:r>
          </w:p>
        </w:tc>
        <w:tc>
          <w:tcPr>
            <w:tcW w:w="12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0.12</w:t>
            </w:r>
          </w:p>
        </w:tc>
        <w:tc>
          <w:tcPr>
            <w:tcW w:w="30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lartë – Klasa I</w:t>
            </w:r>
          </w:p>
        </w:tc>
      </w:tr>
      <w:tr w:rsidR="002D7C3E" w:rsidRPr="002D7C3E" w:rsidTr="002D7C3E">
        <w:tc>
          <w:tcPr>
            <w:tcW w:w="64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4.</w:t>
            </w:r>
          </w:p>
        </w:tc>
        <w:tc>
          <w:tcPr>
            <w:tcW w:w="225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Përmbajtja e nitrateve</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0.3 mg/l</w:t>
            </w:r>
          </w:p>
        </w:tc>
        <w:tc>
          <w:tcPr>
            <w:tcW w:w="12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4</w:t>
            </w:r>
          </w:p>
        </w:tc>
        <w:tc>
          <w:tcPr>
            <w:tcW w:w="30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lartë – Klasa I</w:t>
            </w:r>
          </w:p>
        </w:tc>
      </w:tr>
      <w:tr w:rsidR="002D7C3E" w:rsidRPr="002D7C3E" w:rsidTr="002D7C3E">
        <w:tc>
          <w:tcPr>
            <w:tcW w:w="64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5.</w:t>
            </w:r>
          </w:p>
        </w:tc>
        <w:tc>
          <w:tcPr>
            <w:tcW w:w="225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Përmbajtja e orto - fosfateve</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0.008 mg/l</w:t>
            </w:r>
          </w:p>
        </w:tc>
        <w:tc>
          <w:tcPr>
            <w:tcW w:w="12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0.2</w:t>
            </w:r>
          </w:p>
        </w:tc>
        <w:tc>
          <w:tcPr>
            <w:tcW w:w="30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lartë – Klasa I</w:t>
            </w:r>
          </w:p>
        </w:tc>
      </w:tr>
      <w:tr w:rsidR="002D7C3E" w:rsidRPr="002D7C3E" w:rsidTr="002D7C3E">
        <w:tc>
          <w:tcPr>
            <w:tcW w:w="648"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6.</w:t>
            </w:r>
          </w:p>
        </w:tc>
        <w:tc>
          <w:tcPr>
            <w:tcW w:w="225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Përmbajtja e fosforit total</w:t>
            </w:r>
          </w:p>
        </w:tc>
        <w:tc>
          <w:tcPr>
            <w:tcW w:w="189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0.011 mg/l</w:t>
            </w:r>
          </w:p>
        </w:tc>
        <w:tc>
          <w:tcPr>
            <w:tcW w:w="12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&lt; 0.4</w:t>
            </w:r>
          </w:p>
        </w:tc>
        <w:tc>
          <w:tcPr>
            <w:tcW w:w="3060" w:type="dxa"/>
          </w:tcPr>
          <w:p w:rsidR="002D7C3E" w:rsidRPr="002D7C3E" w:rsidRDefault="002D7C3E" w:rsidP="002D7C3E">
            <w:pPr>
              <w:rPr>
                <w:rFonts w:ascii="Times New Roman" w:eastAsia="Calibri" w:hAnsi="Times New Roman" w:cs="Times New Roman"/>
                <w:b/>
              </w:rPr>
            </w:pPr>
            <w:r w:rsidRPr="002D7C3E">
              <w:rPr>
                <w:rFonts w:ascii="Times New Roman" w:eastAsia="Calibri" w:hAnsi="Times New Roman" w:cs="Times New Roman"/>
                <w:b/>
              </w:rPr>
              <w:t>Gjendje e lartë – Klasa I</w:t>
            </w:r>
          </w:p>
        </w:tc>
      </w:tr>
    </w:tbl>
    <w:p w:rsidR="002D7C3E" w:rsidRPr="002D7C3E" w:rsidRDefault="002D7C3E" w:rsidP="002D7C3E">
      <w:pPr>
        <w:spacing w:after="0" w:line="240" w:lineRule="auto"/>
        <w:jc w:val="both"/>
        <w:rPr>
          <w:rFonts w:ascii="Times New Roman" w:eastAsia="Calibri" w:hAnsi="Times New Roman" w:cs="Times New Roman"/>
          <w:bCs/>
          <w:sz w:val="24"/>
          <w:szCs w:val="24"/>
          <w:lang w:val="fi-FI"/>
        </w:rPr>
      </w:pPr>
    </w:p>
    <w:p w:rsidR="002D7C3E" w:rsidRDefault="002D7C3E" w:rsidP="002D7C3E">
      <w:pPr>
        <w:spacing w:after="200" w:line="240"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Lumi i Tushemishtit referuar parametrave t</w:t>
      </w:r>
      <w:r w:rsidRPr="002D7C3E">
        <w:rPr>
          <w:rFonts w:ascii="Times New Roman" w:eastAsia="Calibri" w:hAnsi="Times New Roman" w:cs="Times New Roman"/>
          <w:sz w:val="24"/>
          <w:szCs w:val="24"/>
        </w:rPr>
        <w:t>ë</w:t>
      </w:r>
      <w:r w:rsidRPr="002D7C3E">
        <w:rPr>
          <w:rFonts w:ascii="Times New Roman" w:eastAsia="Calibri" w:hAnsi="Times New Roman" w:cs="Times New Roman"/>
          <w:sz w:val="24"/>
          <w:szCs w:val="24"/>
          <w:lang w:val="sq-AL"/>
        </w:rPr>
        <w:t xml:space="preserve"> statusit kimik vler</w:t>
      </w:r>
      <w:r w:rsidRPr="002D7C3E">
        <w:rPr>
          <w:rFonts w:ascii="Times New Roman" w:eastAsia="Calibri" w:hAnsi="Times New Roman" w:cs="Times New Roman"/>
          <w:sz w:val="24"/>
          <w:szCs w:val="24"/>
        </w:rPr>
        <w:t>ë</w:t>
      </w:r>
      <w:r w:rsidRPr="002D7C3E">
        <w:rPr>
          <w:rFonts w:ascii="Times New Roman" w:eastAsia="Calibri" w:hAnsi="Times New Roman" w:cs="Times New Roman"/>
          <w:sz w:val="24"/>
          <w:szCs w:val="24"/>
          <w:lang w:val="sq-AL"/>
        </w:rPr>
        <w:t>sohet n</w:t>
      </w:r>
      <w:r w:rsidRPr="002D7C3E">
        <w:rPr>
          <w:rFonts w:ascii="Times New Roman" w:eastAsia="Calibri" w:hAnsi="Times New Roman" w:cs="Times New Roman"/>
          <w:sz w:val="24"/>
          <w:szCs w:val="24"/>
        </w:rPr>
        <w:t>ë</w:t>
      </w:r>
      <w:r w:rsidRPr="002D7C3E">
        <w:rPr>
          <w:rFonts w:ascii="Times New Roman" w:eastAsia="Calibri" w:hAnsi="Times New Roman" w:cs="Times New Roman"/>
          <w:sz w:val="24"/>
          <w:szCs w:val="24"/>
          <w:lang w:val="sq-AL"/>
        </w:rPr>
        <w:t xml:space="preserve"> uj</w:t>
      </w:r>
      <w:r w:rsidRPr="002D7C3E">
        <w:rPr>
          <w:rFonts w:ascii="Times New Roman" w:eastAsia="Calibri" w:hAnsi="Times New Roman" w:cs="Times New Roman"/>
          <w:sz w:val="24"/>
          <w:szCs w:val="24"/>
        </w:rPr>
        <w:t>ë</w:t>
      </w:r>
      <w:r w:rsidRPr="002D7C3E">
        <w:rPr>
          <w:rFonts w:ascii="Times New Roman" w:eastAsia="Calibri" w:hAnsi="Times New Roman" w:cs="Times New Roman"/>
          <w:sz w:val="24"/>
          <w:szCs w:val="24"/>
          <w:lang w:val="sq-AL"/>
        </w:rPr>
        <w:t>ra me cil</w:t>
      </w:r>
      <w:r w:rsidRPr="002D7C3E">
        <w:rPr>
          <w:rFonts w:ascii="Times New Roman" w:eastAsia="Calibri" w:hAnsi="Times New Roman" w:cs="Times New Roman"/>
          <w:sz w:val="24"/>
          <w:szCs w:val="24"/>
        </w:rPr>
        <w:t>ë</w:t>
      </w:r>
      <w:r w:rsidRPr="002D7C3E">
        <w:rPr>
          <w:rFonts w:ascii="Times New Roman" w:eastAsia="Calibri" w:hAnsi="Times New Roman" w:cs="Times New Roman"/>
          <w:sz w:val="24"/>
          <w:szCs w:val="24"/>
          <w:lang w:val="sq-AL"/>
        </w:rPr>
        <w:t>si t</w:t>
      </w:r>
      <w:r w:rsidRPr="002D7C3E">
        <w:rPr>
          <w:rFonts w:ascii="Times New Roman" w:eastAsia="Calibri" w:hAnsi="Times New Roman" w:cs="Times New Roman"/>
          <w:sz w:val="24"/>
          <w:szCs w:val="24"/>
        </w:rPr>
        <w:t>ë</w:t>
      </w:r>
      <w:r w:rsidRPr="002D7C3E">
        <w:rPr>
          <w:rFonts w:ascii="Times New Roman" w:eastAsia="Calibri" w:hAnsi="Times New Roman" w:cs="Times New Roman"/>
          <w:sz w:val="24"/>
          <w:szCs w:val="24"/>
          <w:lang w:val="sq-AL"/>
        </w:rPr>
        <w:t xml:space="preserve"> lart</w:t>
      </w:r>
      <w:r w:rsidRPr="002D7C3E">
        <w:rPr>
          <w:rFonts w:ascii="Times New Roman" w:eastAsia="Calibri" w:hAnsi="Times New Roman" w:cs="Times New Roman"/>
          <w:sz w:val="24"/>
          <w:szCs w:val="24"/>
        </w:rPr>
        <w:t>ë</w:t>
      </w:r>
      <w:r w:rsidRPr="002D7C3E">
        <w:rPr>
          <w:rFonts w:ascii="Times New Roman" w:eastAsia="Calibri" w:hAnsi="Times New Roman" w:cs="Times New Roman"/>
          <w:sz w:val="24"/>
          <w:szCs w:val="24"/>
          <w:lang w:val="sq-AL"/>
        </w:rPr>
        <w:t xml:space="preserve"> n</w:t>
      </w:r>
      <w:r w:rsidRPr="002D7C3E">
        <w:rPr>
          <w:rFonts w:ascii="Times New Roman" w:eastAsia="Calibri" w:hAnsi="Times New Roman" w:cs="Times New Roman"/>
          <w:sz w:val="24"/>
          <w:szCs w:val="24"/>
        </w:rPr>
        <w:t>ë</w:t>
      </w:r>
      <w:r w:rsidRPr="002D7C3E">
        <w:rPr>
          <w:rFonts w:ascii="Times New Roman" w:eastAsia="Calibri" w:hAnsi="Times New Roman" w:cs="Times New Roman"/>
          <w:sz w:val="24"/>
          <w:szCs w:val="24"/>
          <w:lang w:val="sq-AL"/>
        </w:rPr>
        <w:t xml:space="preserve"> Klas</w:t>
      </w:r>
      <w:r w:rsidRPr="002D7C3E">
        <w:rPr>
          <w:rFonts w:ascii="Times New Roman" w:eastAsia="Calibri" w:hAnsi="Times New Roman" w:cs="Times New Roman"/>
          <w:sz w:val="24"/>
          <w:szCs w:val="24"/>
        </w:rPr>
        <w:t>ë</w:t>
      </w:r>
      <w:r w:rsidRPr="002D7C3E">
        <w:rPr>
          <w:rFonts w:ascii="Times New Roman" w:eastAsia="Calibri" w:hAnsi="Times New Roman" w:cs="Times New Roman"/>
          <w:sz w:val="24"/>
          <w:szCs w:val="24"/>
          <w:lang w:val="sq-AL"/>
        </w:rPr>
        <w:t>n I.</w:t>
      </w:r>
    </w:p>
    <w:p w:rsidR="00643754" w:rsidRDefault="00124A5A" w:rsidP="00124A5A">
      <w:pPr>
        <w:spacing w:after="200" w:line="240" w:lineRule="auto"/>
        <w:jc w:val="center"/>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Tabela </w:t>
      </w:r>
      <w:r w:rsidR="00903995">
        <w:rPr>
          <w:rFonts w:ascii="Times New Roman" w:eastAsia="Calibri" w:hAnsi="Times New Roman" w:cs="Times New Roman"/>
          <w:sz w:val="24"/>
          <w:szCs w:val="24"/>
          <w:lang w:val="sq-AL"/>
        </w:rPr>
        <w:t>32</w:t>
      </w:r>
      <w:r>
        <w:rPr>
          <w:rFonts w:ascii="Times New Roman" w:eastAsia="Calibri" w:hAnsi="Times New Roman" w:cs="Times New Roman"/>
          <w:sz w:val="24"/>
          <w:szCs w:val="24"/>
          <w:lang w:val="sq-AL"/>
        </w:rPr>
        <w:t xml:space="preserve">. </w:t>
      </w:r>
      <w:r w:rsidR="00643754">
        <w:rPr>
          <w:rFonts w:ascii="Times New Roman" w:eastAsia="Calibri" w:hAnsi="Times New Roman" w:cs="Times New Roman"/>
          <w:sz w:val="24"/>
          <w:szCs w:val="24"/>
          <w:lang w:val="sq-AL"/>
        </w:rPr>
        <w:t>Tendenca e cilësisë të tributarëve</w:t>
      </w:r>
    </w:p>
    <w:tbl>
      <w:tblPr>
        <w:tblStyle w:val="TableGrid26"/>
        <w:tblW w:w="9625" w:type="dxa"/>
        <w:tblLook w:val="04A0" w:firstRow="1" w:lastRow="0" w:firstColumn="1" w:lastColumn="0" w:noHBand="0" w:noVBand="1"/>
      </w:tblPr>
      <w:tblGrid>
        <w:gridCol w:w="895"/>
        <w:gridCol w:w="2610"/>
        <w:gridCol w:w="3060"/>
        <w:gridCol w:w="3060"/>
      </w:tblGrid>
      <w:tr w:rsidR="00643754" w:rsidRPr="00643754" w:rsidTr="00643754">
        <w:tc>
          <w:tcPr>
            <w:tcW w:w="895" w:type="dxa"/>
            <w:tcBorders>
              <w:top w:val="double" w:sz="4" w:space="0" w:color="4BACC6"/>
              <w:left w:val="double" w:sz="4" w:space="0" w:color="4BACC6"/>
              <w:bottom w:val="single" w:sz="4" w:space="0" w:color="auto"/>
              <w:right w:val="double" w:sz="4" w:space="0" w:color="4BACC6"/>
            </w:tcBorders>
            <w:hideMark/>
          </w:tcPr>
          <w:p w:rsidR="00643754" w:rsidRPr="00643754" w:rsidRDefault="00643754" w:rsidP="00643754">
            <w:pPr>
              <w:jc w:val="center"/>
              <w:rPr>
                <w:rFonts w:ascii="Times New Roman" w:hAnsi="Times New Roman"/>
                <w:b/>
              </w:rPr>
            </w:pPr>
            <w:r w:rsidRPr="00643754">
              <w:rPr>
                <w:rFonts w:ascii="Times New Roman" w:hAnsi="Times New Roman"/>
                <w:b/>
              </w:rPr>
              <w:t>Viti</w:t>
            </w:r>
          </w:p>
        </w:tc>
        <w:tc>
          <w:tcPr>
            <w:tcW w:w="2610" w:type="dxa"/>
            <w:tcBorders>
              <w:top w:val="double" w:sz="4" w:space="0" w:color="4BACC6"/>
              <w:left w:val="double" w:sz="4" w:space="0" w:color="4BACC6"/>
              <w:bottom w:val="single" w:sz="4" w:space="0" w:color="auto"/>
              <w:right w:val="double" w:sz="4" w:space="0" w:color="4BACC6"/>
            </w:tcBorders>
          </w:tcPr>
          <w:p w:rsidR="00643754" w:rsidRPr="00643754" w:rsidRDefault="00643754" w:rsidP="00643754">
            <w:pPr>
              <w:jc w:val="center"/>
              <w:rPr>
                <w:rFonts w:ascii="Times New Roman" w:hAnsi="Times New Roman"/>
                <w:b/>
              </w:rPr>
            </w:pPr>
            <w:r w:rsidRPr="00643754">
              <w:rPr>
                <w:rFonts w:ascii="Times New Roman" w:hAnsi="Times New Roman"/>
                <w:b/>
              </w:rPr>
              <w:t>Lumi i Pogradecit</w:t>
            </w:r>
          </w:p>
          <w:p w:rsidR="00643754" w:rsidRPr="00643754" w:rsidRDefault="00643754" w:rsidP="00643754">
            <w:pPr>
              <w:jc w:val="center"/>
              <w:rPr>
                <w:rFonts w:ascii="Times New Roman" w:hAnsi="Times New Roman"/>
                <w:b/>
              </w:rPr>
            </w:pPr>
          </w:p>
        </w:tc>
        <w:tc>
          <w:tcPr>
            <w:tcW w:w="3060" w:type="dxa"/>
            <w:tcBorders>
              <w:top w:val="double" w:sz="4" w:space="0" w:color="4BACC6"/>
              <w:left w:val="double" w:sz="4" w:space="0" w:color="4BACC6"/>
              <w:bottom w:val="single" w:sz="4" w:space="0" w:color="auto"/>
              <w:right w:val="double" w:sz="4" w:space="0" w:color="4BACC6"/>
            </w:tcBorders>
            <w:hideMark/>
          </w:tcPr>
          <w:p w:rsidR="00643754" w:rsidRPr="00643754" w:rsidRDefault="00643754" w:rsidP="00643754">
            <w:pPr>
              <w:jc w:val="center"/>
              <w:rPr>
                <w:rFonts w:ascii="Times New Roman" w:hAnsi="Times New Roman"/>
                <w:b/>
              </w:rPr>
            </w:pPr>
            <w:r w:rsidRPr="00643754">
              <w:rPr>
                <w:rFonts w:ascii="Times New Roman" w:hAnsi="Times New Roman"/>
                <w:b/>
              </w:rPr>
              <w:t>Lumi i Vërdovës</w:t>
            </w:r>
          </w:p>
        </w:tc>
        <w:tc>
          <w:tcPr>
            <w:tcW w:w="3060" w:type="dxa"/>
            <w:tcBorders>
              <w:top w:val="double" w:sz="4" w:space="0" w:color="4BACC6"/>
              <w:left w:val="double" w:sz="4" w:space="0" w:color="4BACC6"/>
              <w:bottom w:val="single" w:sz="4" w:space="0" w:color="auto"/>
              <w:right w:val="double" w:sz="4" w:space="0" w:color="4BACC6"/>
            </w:tcBorders>
            <w:hideMark/>
          </w:tcPr>
          <w:p w:rsidR="00643754" w:rsidRPr="00643754" w:rsidRDefault="00643754" w:rsidP="00643754">
            <w:pPr>
              <w:jc w:val="center"/>
              <w:rPr>
                <w:rFonts w:ascii="Times New Roman" w:hAnsi="Times New Roman"/>
                <w:b/>
              </w:rPr>
            </w:pPr>
            <w:r w:rsidRPr="00643754">
              <w:rPr>
                <w:rFonts w:ascii="Times New Roman" w:hAnsi="Times New Roman"/>
                <w:b/>
              </w:rPr>
              <w:t>Lumi i Tushemishtit</w:t>
            </w:r>
          </w:p>
        </w:tc>
      </w:tr>
      <w:tr w:rsidR="00643754" w:rsidRPr="00643754" w:rsidTr="00643754">
        <w:tc>
          <w:tcPr>
            <w:tcW w:w="895" w:type="dxa"/>
            <w:tcBorders>
              <w:top w:val="single" w:sz="4" w:space="0" w:color="auto"/>
              <w:left w:val="double" w:sz="4" w:space="0" w:color="4BACC6"/>
              <w:bottom w:val="double" w:sz="4" w:space="0" w:color="4BACC6"/>
              <w:right w:val="double" w:sz="4" w:space="0" w:color="4BACC6"/>
            </w:tcBorders>
            <w:hideMark/>
          </w:tcPr>
          <w:p w:rsidR="00643754" w:rsidRPr="00643754" w:rsidRDefault="00643754" w:rsidP="00643754">
            <w:pPr>
              <w:jc w:val="both"/>
              <w:rPr>
                <w:rFonts w:ascii="Times New Roman" w:hAnsi="Times New Roman"/>
                <w:b/>
              </w:rPr>
            </w:pPr>
            <w:r w:rsidRPr="00643754">
              <w:rPr>
                <w:rFonts w:ascii="Times New Roman" w:hAnsi="Times New Roman"/>
                <w:b/>
              </w:rPr>
              <w:t>2018</w:t>
            </w:r>
          </w:p>
        </w:tc>
        <w:tc>
          <w:tcPr>
            <w:tcW w:w="2610" w:type="dxa"/>
            <w:tcBorders>
              <w:top w:val="single" w:sz="4" w:space="0" w:color="auto"/>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pPr>
              <w:jc w:val="both"/>
              <w:rPr>
                <w:rFonts w:ascii="Times New Roman" w:hAnsi="Times New Roman"/>
              </w:rPr>
            </w:pPr>
            <w:r w:rsidRPr="00643754">
              <w:rPr>
                <w:rFonts w:ascii="Times New Roman" w:hAnsi="Times New Roman"/>
              </w:rPr>
              <w:t>Klasa II- Gjendje e mirë</w:t>
            </w:r>
          </w:p>
        </w:tc>
        <w:tc>
          <w:tcPr>
            <w:tcW w:w="3060" w:type="dxa"/>
            <w:tcBorders>
              <w:top w:val="single" w:sz="4" w:space="0" w:color="auto"/>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pPr>
              <w:jc w:val="both"/>
              <w:rPr>
                <w:rFonts w:ascii="Times New Roman" w:hAnsi="Times New Roman"/>
              </w:rPr>
            </w:pPr>
            <w:r w:rsidRPr="00643754">
              <w:rPr>
                <w:rFonts w:ascii="Times New Roman" w:hAnsi="Times New Roman"/>
              </w:rPr>
              <w:t>Klasa V- Gjendje e keqe</w:t>
            </w:r>
          </w:p>
        </w:tc>
        <w:tc>
          <w:tcPr>
            <w:tcW w:w="3060" w:type="dxa"/>
            <w:tcBorders>
              <w:top w:val="single" w:sz="4" w:space="0" w:color="auto"/>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pPr>
              <w:jc w:val="both"/>
              <w:rPr>
                <w:rFonts w:ascii="Times New Roman" w:hAnsi="Times New Roman"/>
              </w:rPr>
            </w:pPr>
            <w:r w:rsidRPr="00643754">
              <w:rPr>
                <w:rFonts w:ascii="Times New Roman" w:hAnsi="Times New Roman"/>
              </w:rPr>
              <w:t>Klasa II- Gjendje e mirë</w:t>
            </w:r>
          </w:p>
        </w:tc>
      </w:tr>
      <w:tr w:rsidR="00643754" w:rsidRPr="00643754" w:rsidTr="00643754">
        <w:tc>
          <w:tcPr>
            <w:tcW w:w="895" w:type="dxa"/>
            <w:tcBorders>
              <w:top w:val="double" w:sz="4" w:space="0" w:color="4BACC6"/>
              <w:left w:val="double" w:sz="4" w:space="0" w:color="4BACC6"/>
              <w:bottom w:val="double" w:sz="4" w:space="0" w:color="4BACC6"/>
              <w:right w:val="double" w:sz="4" w:space="0" w:color="4BACC6"/>
            </w:tcBorders>
            <w:hideMark/>
          </w:tcPr>
          <w:p w:rsidR="00643754" w:rsidRPr="00643754" w:rsidRDefault="00643754" w:rsidP="00643754">
            <w:pPr>
              <w:jc w:val="both"/>
              <w:rPr>
                <w:rFonts w:ascii="Times New Roman" w:hAnsi="Times New Roman"/>
                <w:b/>
              </w:rPr>
            </w:pPr>
            <w:r w:rsidRPr="00643754">
              <w:rPr>
                <w:rFonts w:ascii="Times New Roman" w:hAnsi="Times New Roman"/>
                <w:b/>
              </w:rPr>
              <w:t>2019</w:t>
            </w:r>
          </w:p>
        </w:tc>
        <w:tc>
          <w:tcPr>
            <w:tcW w:w="261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r w:rsidRPr="00643754">
              <w:rPr>
                <w:rFonts w:ascii="Times New Roman" w:hAnsi="Times New Roman"/>
              </w:rPr>
              <w:t>Klasa II- Gjendje e mirë</w:t>
            </w:r>
          </w:p>
        </w:tc>
        <w:tc>
          <w:tcPr>
            <w:tcW w:w="306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r w:rsidRPr="00643754">
              <w:rPr>
                <w:rFonts w:ascii="Times New Roman" w:hAnsi="Times New Roman"/>
              </w:rPr>
              <w:t>Klasa V- Gjendje e keqe</w:t>
            </w:r>
          </w:p>
        </w:tc>
        <w:tc>
          <w:tcPr>
            <w:tcW w:w="306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r w:rsidRPr="00643754">
              <w:rPr>
                <w:rFonts w:ascii="Times New Roman" w:hAnsi="Times New Roman"/>
              </w:rPr>
              <w:t>Klasa II- Gjendje e mirë</w:t>
            </w:r>
          </w:p>
        </w:tc>
      </w:tr>
      <w:tr w:rsidR="00643754" w:rsidRPr="00643754" w:rsidTr="00643754">
        <w:tc>
          <w:tcPr>
            <w:tcW w:w="895" w:type="dxa"/>
            <w:tcBorders>
              <w:top w:val="double" w:sz="4" w:space="0" w:color="4BACC6"/>
              <w:left w:val="double" w:sz="4" w:space="0" w:color="4BACC6"/>
              <w:bottom w:val="double" w:sz="4" w:space="0" w:color="4BACC6"/>
              <w:right w:val="double" w:sz="4" w:space="0" w:color="4BACC6"/>
            </w:tcBorders>
            <w:hideMark/>
          </w:tcPr>
          <w:p w:rsidR="00643754" w:rsidRPr="00643754" w:rsidRDefault="00643754" w:rsidP="00643754">
            <w:pPr>
              <w:jc w:val="both"/>
              <w:rPr>
                <w:rFonts w:ascii="Times New Roman" w:hAnsi="Times New Roman"/>
                <w:b/>
              </w:rPr>
            </w:pPr>
            <w:r w:rsidRPr="00643754">
              <w:rPr>
                <w:rFonts w:ascii="Times New Roman" w:hAnsi="Times New Roman"/>
                <w:b/>
              </w:rPr>
              <w:t>2020</w:t>
            </w:r>
          </w:p>
        </w:tc>
        <w:tc>
          <w:tcPr>
            <w:tcW w:w="261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r w:rsidRPr="00643754">
              <w:rPr>
                <w:rFonts w:ascii="Times New Roman" w:hAnsi="Times New Roman"/>
              </w:rPr>
              <w:t>Klasa II- Gjendje e mirë</w:t>
            </w:r>
          </w:p>
        </w:tc>
        <w:tc>
          <w:tcPr>
            <w:tcW w:w="306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r w:rsidRPr="00643754">
              <w:rPr>
                <w:rFonts w:ascii="Times New Roman" w:hAnsi="Times New Roman"/>
              </w:rPr>
              <w:t>Klasa V- Gjendje e keqe</w:t>
            </w:r>
          </w:p>
        </w:tc>
        <w:tc>
          <w:tcPr>
            <w:tcW w:w="306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pPr>
              <w:jc w:val="both"/>
              <w:rPr>
                <w:rFonts w:ascii="Times New Roman" w:hAnsi="Times New Roman"/>
              </w:rPr>
            </w:pPr>
            <w:r w:rsidRPr="00643754">
              <w:rPr>
                <w:rFonts w:ascii="Times New Roman" w:hAnsi="Times New Roman"/>
              </w:rPr>
              <w:t>Klasa I - Gjendje e lartë</w:t>
            </w:r>
          </w:p>
        </w:tc>
      </w:tr>
      <w:tr w:rsidR="00643754" w:rsidRPr="00643754" w:rsidTr="00643754">
        <w:tc>
          <w:tcPr>
            <w:tcW w:w="895" w:type="dxa"/>
            <w:tcBorders>
              <w:top w:val="double" w:sz="4" w:space="0" w:color="4BACC6"/>
              <w:left w:val="double" w:sz="4" w:space="0" w:color="4BACC6"/>
              <w:bottom w:val="double" w:sz="4" w:space="0" w:color="4BACC6"/>
              <w:right w:val="double" w:sz="4" w:space="0" w:color="4BACC6"/>
            </w:tcBorders>
            <w:hideMark/>
          </w:tcPr>
          <w:p w:rsidR="00643754" w:rsidRPr="00643754" w:rsidRDefault="00643754" w:rsidP="00643754">
            <w:pPr>
              <w:jc w:val="both"/>
              <w:rPr>
                <w:rFonts w:ascii="Times New Roman" w:hAnsi="Times New Roman"/>
                <w:b/>
              </w:rPr>
            </w:pPr>
            <w:r w:rsidRPr="00643754">
              <w:rPr>
                <w:rFonts w:ascii="Times New Roman" w:hAnsi="Times New Roman"/>
                <w:b/>
              </w:rPr>
              <w:t>2021</w:t>
            </w:r>
          </w:p>
        </w:tc>
        <w:tc>
          <w:tcPr>
            <w:tcW w:w="261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pPr>
              <w:jc w:val="both"/>
              <w:rPr>
                <w:rFonts w:ascii="Times New Roman" w:hAnsi="Times New Roman"/>
              </w:rPr>
            </w:pPr>
            <w:r w:rsidRPr="00643754">
              <w:rPr>
                <w:rFonts w:ascii="Times New Roman" w:hAnsi="Times New Roman"/>
              </w:rPr>
              <w:t>Klasa I - Gjendje e lartë</w:t>
            </w:r>
          </w:p>
        </w:tc>
        <w:tc>
          <w:tcPr>
            <w:tcW w:w="306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pPr>
              <w:rPr>
                <w:rFonts w:ascii="Times New Roman" w:hAnsi="Times New Roman"/>
              </w:rPr>
            </w:pPr>
            <w:r w:rsidRPr="00643754">
              <w:rPr>
                <w:rFonts w:ascii="Times New Roman" w:hAnsi="Times New Roman"/>
              </w:rPr>
              <w:t>Klasa V- Gjendje e keqe</w:t>
            </w:r>
          </w:p>
        </w:tc>
        <w:tc>
          <w:tcPr>
            <w:tcW w:w="306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pPr>
              <w:jc w:val="both"/>
              <w:rPr>
                <w:rFonts w:ascii="Times New Roman" w:hAnsi="Times New Roman"/>
              </w:rPr>
            </w:pPr>
            <w:r w:rsidRPr="00643754">
              <w:rPr>
                <w:rFonts w:ascii="Times New Roman" w:hAnsi="Times New Roman"/>
              </w:rPr>
              <w:t>Klasa I - Gjendje e lartë</w:t>
            </w:r>
          </w:p>
        </w:tc>
      </w:tr>
      <w:tr w:rsidR="00643754" w:rsidRPr="00643754" w:rsidTr="00643754">
        <w:tc>
          <w:tcPr>
            <w:tcW w:w="895" w:type="dxa"/>
            <w:tcBorders>
              <w:top w:val="double" w:sz="4" w:space="0" w:color="4BACC6"/>
              <w:left w:val="double" w:sz="4" w:space="0" w:color="4BACC6"/>
              <w:bottom w:val="double" w:sz="4" w:space="0" w:color="4BACC6"/>
              <w:right w:val="double" w:sz="4" w:space="0" w:color="4BACC6"/>
            </w:tcBorders>
            <w:hideMark/>
          </w:tcPr>
          <w:p w:rsidR="00643754" w:rsidRPr="00643754" w:rsidRDefault="00643754" w:rsidP="00643754">
            <w:pPr>
              <w:jc w:val="both"/>
              <w:rPr>
                <w:rFonts w:ascii="Times New Roman" w:hAnsi="Times New Roman"/>
                <w:b/>
              </w:rPr>
            </w:pPr>
            <w:r w:rsidRPr="00643754">
              <w:rPr>
                <w:rFonts w:ascii="Times New Roman" w:hAnsi="Times New Roman"/>
                <w:b/>
              </w:rPr>
              <w:t>2022</w:t>
            </w:r>
          </w:p>
        </w:tc>
        <w:tc>
          <w:tcPr>
            <w:tcW w:w="261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pPr>
              <w:jc w:val="both"/>
              <w:rPr>
                <w:rFonts w:ascii="Times New Roman" w:hAnsi="Times New Roman"/>
              </w:rPr>
            </w:pPr>
            <w:r w:rsidRPr="00643754">
              <w:rPr>
                <w:rFonts w:ascii="Times New Roman" w:hAnsi="Times New Roman"/>
              </w:rPr>
              <w:t>Klasa II-Gjendje e mirë</w:t>
            </w:r>
          </w:p>
        </w:tc>
        <w:tc>
          <w:tcPr>
            <w:tcW w:w="306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pPr>
              <w:keepNext/>
              <w:keepLines/>
              <w:outlineLvl w:val="0"/>
              <w:rPr>
                <w:rFonts w:ascii="Times New Roman" w:hAnsi="Times New Roman"/>
                <w:bCs/>
                <w:color w:val="365F91"/>
              </w:rPr>
            </w:pPr>
            <w:r w:rsidRPr="00643754">
              <w:rPr>
                <w:rFonts w:ascii="Times New Roman" w:hAnsi="Times New Roman"/>
              </w:rPr>
              <w:t>Klasa IV</w:t>
            </w:r>
            <w:r w:rsidRPr="00643754">
              <w:rPr>
                <w:rFonts w:ascii="Times New Roman" w:hAnsi="Times New Roman"/>
                <w:bCs/>
              </w:rPr>
              <w:t>-Gjendje e varfër</w:t>
            </w:r>
          </w:p>
        </w:tc>
        <w:tc>
          <w:tcPr>
            <w:tcW w:w="306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pPr>
              <w:jc w:val="both"/>
              <w:rPr>
                <w:rFonts w:ascii="Times New Roman" w:hAnsi="Times New Roman"/>
              </w:rPr>
            </w:pPr>
            <w:r w:rsidRPr="00643754">
              <w:rPr>
                <w:rFonts w:ascii="Times New Roman" w:hAnsi="Times New Roman"/>
              </w:rPr>
              <w:t>Klasa II- Gjendje e mirë</w:t>
            </w:r>
          </w:p>
        </w:tc>
      </w:tr>
      <w:tr w:rsidR="00643754" w:rsidRPr="00643754" w:rsidTr="00643754">
        <w:tc>
          <w:tcPr>
            <w:tcW w:w="895" w:type="dxa"/>
            <w:tcBorders>
              <w:top w:val="double" w:sz="4" w:space="0" w:color="4BACC6"/>
              <w:left w:val="double" w:sz="4" w:space="0" w:color="4BACC6"/>
              <w:bottom w:val="double" w:sz="4" w:space="0" w:color="4BACC6"/>
              <w:right w:val="double" w:sz="4" w:space="0" w:color="4BACC6"/>
            </w:tcBorders>
            <w:hideMark/>
          </w:tcPr>
          <w:p w:rsidR="00643754" w:rsidRPr="00643754" w:rsidRDefault="00643754" w:rsidP="00643754">
            <w:pPr>
              <w:jc w:val="both"/>
              <w:rPr>
                <w:rFonts w:ascii="Times New Roman" w:hAnsi="Times New Roman"/>
                <w:b/>
              </w:rPr>
            </w:pPr>
            <w:r w:rsidRPr="00643754">
              <w:rPr>
                <w:rFonts w:ascii="Times New Roman" w:hAnsi="Times New Roman"/>
                <w:b/>
              </w:rPr>
              <w:t>2023</w:t>
            </w:r>
          </w:p>
        </w:tc>
        <w:tc>
          <w:tcPr>
            <w:tcW w:w="261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pPr>
              <w:jc w:val="both"/>
              <w:rPr>
                <w:rFonts w:ascii="Times New Roman" w:hAnsi="Times New Roman"/>
              </w:rPr>
            </w:pPr>
            <w:r w:rsidRPr="00643754">
              <w:rPr>
                <w:rFonts w:ascii="Times New Roman" w:hAnsi="Times New Roman"/>
              </w:rPr>
              <w:t>Klasa II-Gjendje e mirë</w:t>
            </w:r>
          </w:p>
        </w:tc>
        <w:tc>
          <w:tcPr>
            <w:tcW w:w="306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pPr>
              <w:keepNext/>
              <w:keepLines/>
              <w:outlineLvl w:val="0"/>
              <w:rPr>
                <w:rFonts w:ascii="Times New Roman" w:hAnsi="Times New Roman"/>
              </w:rPr>
            </w:pPr>
            <w:r w:rsidRPr="00643754">
              <w:rPr>
                <w:rFonts w:ascii="Times New Roman" w:hAnsi="Times New Roman"/>
              </w:rPr>
              <w:t>Klasa III- Gjendje e moderuar</w:t>
            </w:r>
          </w:p>
        </w:tc>
        <w:tc>
          <w:tcPr>
            <w:tcW w:w="306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pPr>
              <w:jc w:val="both"/>
              <w:rPr>
                <w:rFonts w:ascii="Times New Roman" w:hAnsi="Times New Roman"/>
              </w:rPr>
            </w:pPr>
            <w:r w:rsidRPr="00643754">
              <w:rPr>
                <w:rFonts w:ascii="Times New Roman" w:hAnsi="Times New Roman"/>
              </w:rPr>
              <w:t>Klasa I - Gjendje e lartë</w:t>
            </w:r>
          </w:p>
        </w:tc>
      </w:tr>
      <w:tr w:rsidR="00643754" w:rsidRPr="00643754" w:rsidTr="00643754">
        <w:tc>
          <w:tcPr>
            <w:tcW w:w="895" w:type="dxa"/>
            <w:tcBorders>
              <w:top w:val="double" w:sz="4" w:space="0" w:color="4BACC6"/>
              <w:left w:val="double" w:sz="4" w:space="0" w:color="4BACC6"/>
              <w:bottom w:val="double" w:sz="4" w:space="0" w:color="4BACC6"/>
              <w:right w:val="double" w:sz="4" w:space="0" w:color="4BACC6"/>
            </w:tcBorders>
            <w:hideMark/>
          </w:tcPr>
          <w:p w:rsidR="00643754" w:rsidRPr="00643754" w:rsidRDefault="00643754" w:rsidP="00643754">
            <w:pPr>
              <w:jc w:val="both"/>
              <w:rPr>
                <w:rFonts w:ascii="Times New Roman" w:hAnsi="Times New Roman"/>
                <w:b/>
              </w:rPr>
            </w:pPr>
            <w:r w:rsidRPr="00643754">
              <w:rPr>
                <w:rFonts w:ascii="Times New Roman" w:hAnsi="Times New Roman"/>
                <w:b/>
              </w:rPr>
              <w:t>2024</w:t>
            </w:r>
          </w:p>
        </w:tc>
        <w:tc>
          <w:tcPr>
            <w:tcW w:w="261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pPr>
              <w:jc w:val="both"/>
              <w:rPr>
                <w:rFonts w:ascii="Times New Roman" w:hAnsi="Times New Roman"/>
              </w:rPr>
            </w:pPr>
            <w:r w:rsidRPr="00643754">
              <w:rPr>
                <w:rFonts w:ascii="Times New Roman" w:hAnsi="Times New Roman"/>
              </w:rPr>
              <w:t>Klasa II-Gjendje e mirë</w:t>
            </w:r>
          </w:p>
        </w:tc>
        <w:tc>
          <w:tcPr>
            <w:tcW w:w="306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pPr>
              <w:keepNext/>
              <w:keepLines/>
              <w:outlineLvl w:val="0"/>
              <w:rPr>
                <w:rFonts w:ascii="Times New Roman" w:hAnsi="Times New Roman"/>
              </w:rPr>
            </w:pPr>
            <w:r w:rsidRPr="00643754">
              <w:rPr>
                <w:rFonts w:ascii="Times New Roman" w:hAnsi="Times New Roman"/>
              </w:rPr>
              <w:t>Klasa III- Gjendje e moderuar</w:t>
            </w:r>
          </w:p>
        </w:tc>
        <w:tc>
          <w:tcPr>
            <w:tcW w:w="3060" w:type="dxa"/>
            <w:tcBorders>
              <w:top w:val="double" w:sz="4" w:space="0" w:color="4BACC6"/>
              <w:left w:val="double" w:sz="4" w:space="0" w:color="4BACC6"/>
              <w:bottom w:val="double" w:sz="4" w:space="0" w:color="4BACC6"/>
              <w:right w:val="double" w:sz="4" w:space="0" w:color="4BACC6"/>
            </w:tcBorders>
            <w:shd w:val="clear" w:color="auto" w:fill="FFFFFF" w:themeFill="background1"/>
            <w:hideMark/>
          </w:tcPr>
          <w:p w:rsidR="00643754" w:rsidRPr="00643754" w:rsidRDefault="00643754" w:rsidP="00643754">
            <w:pPr>
              <w:jc w:val="both"/>
              <w:rPr>
                <w:rFonts w:ascii="Times New Roman" w:hAnsi="Times New Roman"/>
              </w:rPr>
            </w:pPr>
            <w:r w:rsidRPr="00643754">
              <w:rPr>
                <w:rFonts w:ascii="Times New Roman" w:hAnsi="Times New Roman"/>
              </w:rPr>
              <w:t>Klasa II- Gjendje e mirë</w:t>
            </w:r>
          </w:p>
        </w:tc>
      </w:tr>
      <w:tr w:rsidR="00643754" w:rsidRPr="00643754" w:rsidTr="00643754">
        <w:tc>
          <w:tcPr>
            <w:tcW w:w="895" w:type="dxa"/>
            <w:tcBorders>
              <w:top w:val="double" w:sz="4" w:space="0" w:color="4BACC6"/>
              <w:left w:val="double" w:sz="4" w:space="0" w:color="4BACC6"/>
              <w:bottom w:val="double" w:sz="4" w:space="0" w:color="4BACC6"/>
              <w:right w:val="double" w:sz="4" w:space="0" w:color="4BACC6"/>
            </w:tcBorders>
          </w:tcPr>
          <w:p w:rsidR="00643754" w:rsidRPr="00643754" w:rsidRDefault="00643754" w:rsidP="00643754">
            <w:pPr>
              <w:jc w:val="both"/>
              <w:rPr>
                <w:rFonts w:ascii="Times New Roman" w:hAnsi="Times New Roman"/>
                <w:b/>
              </w:rPr>
            </w:pPr>
            <w:r>
              <w:rPr>
                <w:rFonts w:ascii="Times New Roman" w:hAnsi="Times New Roman"/>
                <w:b/>
              </w:rPr>
              <w:t>2025</w:t>
            </w:r>
          </w:p>
        </w:tc>
        <w:tc>
          <w:tcPr>
            <w:tcW w:w="2610" w:type="dxa"/>
            <w:tcBorders>
              <w:top w:val="double" w:sz="4" w:space="0" w:color="4BACC6"/>
              <w:left w:val="double" w:sz="4" w:space="0" w:color="4BACC6"/>
              <w:bottom w:val="double" w:sz="4" w:space="0" w:color="4BACC6"/>
              <w:right w:val="double" w:sz="4" w:space="0" w:color="4BACC6"/>
            </w:tcBorders>
            <w:shd w:val="clear" w:color="auto" w:fill="FFFFFF" w:themeFill="background1"/>
          </w:tcPr>
          <w:p w:rsidR="00643754" w:rsidRPr="00643754" w:rsidRDefault="00643754" w:rsidP="00643754">
            <w:pPr>
              <w:jc w:val="both"/>
              <w:rPr>
                <w:rFonts w:ascii="Times New Roman" w:hAnsi="Times New Roman"/>
              </w:rPr>
            </w:pPr>
            <w:r w:rsidRPr="00643754">
              <w:rPr>
                <w:rFonts w:ascii="Times New Roman" w:hAnsi="Times New Roman"/>
              </w:rPr>
              <w:t>Klasa II-Gjendje e mirë</w:t>
            </w:r>
          </w:p>
        </w:tc>
        <w:tc>
          <w:tcPr>
            <w:tcW w:w="3060" w:type="dxa"/>
            <w:tcBorders>
              <w:top w:val="double" w:sz="4" w:space="0" w:color="4BACC6"/>
              <w:left w:val="double" w:sz="4" w:space="0" w:color="4BACC6"/>
              <w:bottom w:val="double" w:sz="4" w:space="0" w:color="4BACC6"/>
              <w:right w:val="double" w:sz="4" w:space="0" w:color="4BACC6"/>
            </w:tcBorders>
            <w:shd w:val="clear" w:color="auto" w:fill="FFFFFF" w:themeFill="background1"/>
          </w:tcPr>
          <w:p w:rsidR="00643754" w:rsidRPr="00643754" w:rsidRDefault="00643754" w:rsidP="00643754">
            <w:pPr>
              <w:keepNext/>
              <w:keepLines/>
              <w:outlineLvl w:val="0"/>
              <w:rPr>
                <w:rFonts w:ascii="Times New Roman" w:hAnsi="Times New Roman"/>
              </w:rPr>
            </w:pPr>
            <w:r w:rsidRPr="00643754">
              <w:rPr>
                <w:rFonts w:ascii="Times New Roman" w:hAnsi="Times New Roman"/>
              </w:rPr>
              <w:t>Klasa IV</w:t>
            </w:r>
            <w:r w:rsidRPr="00643754">
              <w:rPr>
                <w:rFonts w:ascii="Times New Roman" w:hAnsi="Times New Roman"/>
                <w:bCs/>
              </w:rPr>
              <w:t>-Gjendje e varfër</w:t>
            </w:r>
          </w:p>
        </w:tc>
        <w:tc>
          <w:tcPr>
            <w:tcW w:w="3060" w:type="dxa"/>
            <w:tcBorders>
              <w:top w:val="double" w:sz="4" w:space="0" w:color="4BACC6"/>
              <w:left w:val="double" w:sz="4" w:space="0" w:color="4BACC6"/>
              <w:bottom w:val="double" w:sz="4" w:space="0" w:color="4BACC6"/>
              <w:right w:val="double" w:sz="4" w:space="0" w:color="4BACC6"/>
            </w:tcBorders>
            <w:shd w:val="clear" w:color="auto" w:fill="FFFFFF" w:themeFill="background1"/>
          </w:tcPr>
          <w:p w:rsidR="00643754" w:rsidRPr="00643754" w:rsidRDefault="00643754" w:rsidP="00643754">
            <w:pPr>
              <w:jc w:val="both"/>
              <w:rPr>
                <w:rFonts w:ascii="Times New Roman" w:hAnsi="Times New Roman"/>
              </w:rPr>
            </w:pPr>
            <w:r w:rsidRPr="00643754">
              <w:rPr>
                <w:rFonts w:ascii="Times New Roman" w:hAnsi="Times New Roman"/>
              </w:rPr>
              <w:t>Klasa I - Gjendje e lartë</w:t>
            </w:r>
          </w:p>
        </w:tc>
      </w:tr>
    </w:tbl>
    <w:p w:rsidR="00643754" w:rsidRDefault="00643754" w:rsidP="002D7C3E">
      <w:pPr>
        <w:spacing w:after="200" w:line="240" w:lineRule="auto"/>
        <w:jc w:val="both"/>
        <w:rPr>
          <w:rFonts w:ascii="Times New Roman" w:eastAsia="Calibri" w:hAnsi="Times New Roman" w:cs="Times New Roman"/>
          <w:sz w:val="24"/>
          <w:szCs w:val="24"/>
          <w:lang w:val="sq-AL"/>
        </w:rPr>
      </w:pPr>
    </w:p>
    <w:p w:rsidR="00903995" w:rsidRPr="002D7C3E" w:rsidRDefault="00903995" w:rsidP="002D7C3E">
      <w:pPr>
        <w:spacing w:after="200" w:line="240" w:lineRule="auto"/>
        <w:jc w:val="both"/>
        <w:rPr>
          <w:rFonts w:ascii="Times New Roman" w:eastAsia="Calibri" w:hAnsi="Times New Roman" w:cs="Times New Roman"/>
          <w:sz w:val="24"/>
          <w:szCs w:val="24"/>
          <w:lang w:val="sq-AL"/>
        </w:rPr>
      </w:pPr>
    </w:p>
    <w:p w:rsidR="002D7C3E" w:rsidRPr="002D7C3E" w:rsidRDefault="002D7C3E" w:rsidP="004D460A">
      <w:pPr>
        <w:numPr>
          <w:ilvl w:val="0"/>
          <w:numId w:val="21"/>
        </w:numPr>
        <w:spacing w:after="200" w:line="240" w:lineRule="auto"/>
        <w:contextualSpacing/>
        <w:jc w:val="both"/>
        <w:rPr>
          <w:rFonts w:ascii="Times New Roman" w:eastAsia="Calibri" w:hAnsi="Times New Roman" w:cs="Times New Roman"/>
          <w:b/>
          <w:i/>
          <w:sz w:val="24"/>
          <w:szCs w:val="24"/>
          <w:lang w:val="sq-AL"/>
        </w:rPr>
      </w:pPr>
      <w:r w:rsidRPr="002D7C3E">
        <w:rPr>
          <w:rFonts w:ascii="Times New Roman" w:eastAsia="Calibri" w:hAnsi="Times New Roman" w:cs="Times New Roman"/>
          <w:b/>
          <w:i/>
          <w:sz w:val="24"/>
          <w:szCs w:val="24"/>
          <w:lang w:val="sq-AL"/>
        </w:rPr>
        <w:lastRenderedPageBreak/>
        <w:t>Liqeni i Prespës</w:t>
      </w:r>
    </w:p>
    <w:p w:rsidR="002D7C3E" w:rsidRPr="00643754" w:rsidRDefault="002D7C3E" w:rsidP="00807975">
      <w:pPr>
        <w:pStyle w:val="ListParagraph"/>
        <w:numPr>
          <w:ilvl w:val="0"/>
          <w:numId w:val="74"/>
        </w:numPr>
        <w:spacing w:after="200" w:line="240" w:lineRule="auto"/>
        <w:ind w:left="990" w:hanging="180"/>
        <w:jc w:val="both"/>
        <w:rPr>
          <w:rFonts w:ascii="Times New Roman" w:eastAsia="Calibri" w:hAnsi="Times New Roman" w:cs="Times New Roman"/>
          <w:b/>
          <w:i/>
          <w:sz w:val="24"/>
          <w:szCs w:val="24"/>
          <w:lang w:val="sq-AL"/>
        </w:rPr>
      </w:pPr>
      <w:r w:rsidRPr="00643754">
        <w:rPr>
          <w:rFonts w:ascii="Times New Roman" w:eastAsia="Calibri" w:hAnsi="Times New Roman" w:cs="Times New Roman"/>
          <w:b/>
          <w:i/>
          <w:sz w:val="24"/>
          <w:szCs w:val="24"/>
          <w:lang w:val="sq-AL"/>
        </w:rPr>
        <w:t>Liqeni Prespa e Vogël</w:t>
      </w:r>
    </w:p>
    <w:p w:rsidR="002D7C3E" w:rsidRPr="002D7C3E" w:rsidRDefault="002D7C3E" w:rsidP="00903995">
      <w:pPr>
        <w:spacing w:after="0" w:line="240" w:lineRule="auto"/>
        <w:jc w:val="both"/>
        <w:rPr>
          <w:rFonts w:ascii="Times New Roman" w:eastAsia="Calibri" w:hAnsi="Times New Roman" w:cs="Times New Roman"/>
          <w:sz w:val="24"/>
          <w:szCs w:val="24"/>
          <w:lang w:val="da-DK"/>
        </w:rPr>
      </w:pPr>
      <w:r w:rsidRPr="002D7C3E">
        <w:rPr>
          <w:rFonts w:ascii="Times New Roman" w:eastAsia="Calibri" w:hAnsi="Times New Roman" w:cs="Times New Roman"/>
          <w:sz w:val="24"/>
          <w:szCs w:val="24"/>
          <w:lang w:val="da-DK"/>
        </w:rPr>
        <w:t>Monitorimi i Liqenit të Prespës së Madhe realizohet në tre pika kampionimi përkatësisht në Goricë, Liqenas dhe Gollomboç dhe monitorimi i Prespës së Vogël realizohet në një pikë kampionimi.</w:t>
      </w:r>
    </w:p>
    <w:p w:rsidR="002D7C3E" w:rsidRPr="002D7C3E" w:rsidRDefault="002D7C3E" w:rsidP="00903995">
      <w:pPr>
        <w:spacing w:after="0" w:line="240" w:lineRule="auto"/>
        <w:jc w:val="both"/>
        <w:rPr>
          <w:rFonts w:ascii="Times New Roman" w:eastAsia="Calibri" w:hAnsi="Times New Roman" w:cs="Times New Roman"/>
          <w:sz w:val="24"/>
          <w:szCs w:val="24"/>
          <w:lang w:val="da-DK"/>
        </w:rPr>
      </w:pPr>
    </w:p>
    <w:p w:rsidR="002D7C3E" w:rsidRPr="002D7C3E" w:rsidRDefault="002D7C3E" w:rsidP="00903995">
      <w:pPr>
        <w:numPr>
          <w:ilvl w:val="0"/>
          <w:numId w:val="8"/>
        </w:numPr>
        <w:spacing w:after="0" w:line="240" w:lineRule="auto"/>
        <w:contextualSpacing/>
        <w:jc w:val="both"/>
        <w:rPr>
          <w:rFonts w:ascii="Times New Roman" w:eastAsia="Calibri" w:hAnsi="Times New Roman" w:cs="Times New Roman"/>
          <w:sz w:val="24"/>
          <w:szCs w:val="24"/>
          <w:lang w:val="da-DK"/>
        </w:rPr>
      </w:pPr>
      <w:r w:rsidRPr="002D7C3E">
        <w:rPr>
          <w:rFonts w:ascii="Times New Roman" w:eastAsia="Calibri" w:hAnsi="Times New Roman" w:cs="Times New Roman"/>
          <w:sz w:val="24"/>
          <w:szCs w:val="24"/>
          <w:lang w:val="da-DK"/>
        </w:rPr>
        <w:t xml:space="preserve">Transparenca e ujit </w:t>
      </w:r>
    </w:p>
    <w:p w:rsidR="002D7C3E" w:rsidRPr="002D7C3E" w:rsidRDefault="002D7C3E" w:rsidP="00903995">
      <w:pPr>
        <w:spacing w:after="0" w:line="240" w:lineRule="auto"/>
        <w:ind w:left="720"/>
        <w:contextualSpacing/>
        <w:jc w:val="both"/>
        <w:rPr>
          <w:rFonts w:ascii="Times New Roman" w:eastAsia="Calibri" w:hAnsi="Times New Roman" w:cs="Times New Roman"/>
          <w:sz w:val="24"/>
          <w:szCs w:val="24"/>
          <w:lang w:val="da-DK"/>
        </w:rPr>
      </w:pPr>
    </w:p>
    <w:p w:rsidR="002D7C3E" w:rsidRPr="002D7C3E" w:rsidRDefault="002D7C3E" w:rsidP="00903995">
      <w:pPr>
        <w:spacing w:after="0" w:line="240"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 xml:space="preserve">Vlera mesatare e transparencës për ujërat e liqenit të Prespës së Madhe janë 1.6 m duke e klasifikuar me cilësi mezotrofike dhe në Prespën e Vogël vlera e transparencës është 0.31 m.  </w:t>
      </w:r>
    </w:p>
    <w:p w:rsidR="002D7C3E" w:rsidRPr="002D7C3E" w:rsidRDefault="00903995" w:rsidP="00903995">
      <w:pPr>
        <w:spacing w:after="200" w:line="276"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sidR="002D7C3E" w:rsidRPr="002D7C3E">
        <w:rPr>
          <w:rFonts w:ascii="Calibri" w:eastAsia="Calibri" w:hAnsi="Calibri" w:cs="Times New Roman"/>
          <w:noProof/>
        </w:rPr>
        <w:drawing>
          <wp:inline distT="0" distB="0" distL="0" distR="0" wp14:anchorId="59942A63" wp14:editId="242B0FED">
            <wp:extent cx="4371975" cy="1905000"/>
            <wp:effectExtent l="0" t="0" r="9525" b="0"/>
            <wp:docPr id="437"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r>
        <w:rPr>
          <w:rFonts w:ascii="Times New Roman" w:eastAsia="Calibri" w:hAnsi="Times New Roman" w:cs="Times New Roman"/>
          <w:sz w:val="24"/>
          <w:szCs w:val="24"/>
          <w:lang w:val="sq-AL"/>
        </w:rPr>
        <w:t xml:space="preserve">    </w:t>
      </w:r>
    </w:p>
    <w:p w:rsidR="002D7C3E" w:rsidRPr="00FF3A69" w:rsidRDefault="002D7C3E" w:rsidP="002D7C3E">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2D7C3E">
        <w:rPr>
          <w:rFonts w:ascii="Times New Roman" w:eastAsia="Times New Roman" w:hAnsi="Times New Roman" w:cs="Times New Roman"/>
          <w:color w:val="212121"/>
          <w:sz w:val="24"/>
          <w:szCs w:val="24"/>
        </w:rPr>
        <w:t>Nevoja kimike p</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r oksigjen</w:t>
      </w:r>
    </w:p>
    <w:p w:rsidR="002D7C3E" w:rsidRPr="002D7C3E" w:rsidRDefault="002D7C3E" w:rsidP="002D7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2D7C3E">
        <w:rPr>
          <w:rFonts w:ascii="Times New Roman" w:eastAsia="Times New Roman" w:hAnsi="Times New Roman" w:cs="Times New Roman"/>
          <w:color w:val="212121"/>
          <w:sz w:val="24"/>
          <w:szCs w:val="24"/>
        </w:rPr>
        <w:t>N</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 xml:space="preserve"> t</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 xml:space="preserve"> tre stacionet e monitorimit t</w:t>
      </w:r>
      <w:r w:rsidRPr="002D7C3E">
        <w:rPr>
          <w:rFonts w:ascii="Times New Roman" w:eastAsia="Times New Roman" w:hAnsi="Times New Roman" w:cs="Times New Roman"/>
          <w:sz w:val="24"/>
          <w:szCs w:val="24"/>
          <w:lang w:val="sq-AL"/>
        </w:rPr>
        <w:t xml:space="preserve">ë </w:t>
      </w:r>
      <w:r w:rsidRPr="002D7C3E">
        <w:rPr>
          <w:rFonts w:ascii="Times New Roman" w:eastAsia="Times New Roman" w:hAnsi="Times New Roman" w:cs="Times New Roman"/>
          <w:color w:val="212121"/>
          <w:sz w:val="24"/>
          <w:szCs w:val="24"/>
        </w:rPr>
        <w:t>cil</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sis</w:t>
      </w:r>
      <w:r w:rsidRPr="002D7C3E">
        <w:rPr>
          <w:rFonts w:ascii="Times New Roman" w:eastAsia="Times New Roman" w:hAnsi="Times New Roman" w:cs="Times New Roman"/>
          <w:sz w:val="24"/>
          <w:szCs w:val="24"/>
          <w:lang w:val="sq-AL"/>
        </w:rPr>
        <w:t xml:space="preserve">ë </w:t>
      </w:r>
      <w:r w:rsidRPr="002D7C3E">
        <w:rPr>
          <w:rFonts w:ascii="Times New Roman" w:eastAsia="Times New Roman" w:hAnsi="Times New Roman" w:cs="Times New Roman"/>
          <w:color w:val="212121"/>
          <w:sz w:val="24"/>
          <w:szCs w:val="24"/>
        </w:rPr>
        <w:t>s</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 xml:space="preserve"> uj</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rave t</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 xml:space="preserve"> Liqenit t</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 xml:space="preserve"> Presp</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s s</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 xml:space="preserve"> Madhe kemi një klasifikim në cilësi mezotrofike të ujërave, ndërsa Presp</w:t>
      </w:r>
      <w:r w:rsidRPr="002D7C3E">
        <w:rPr>
          <w:rFonts w:ascii="Times New Roman" w:eastAsia="Times New Roman" w:hAnsi="Times New Roman" w:cs="Times New Roman"/>
          <w:sz w:val="24"/>
          <w:szCs w:val="24"/>
          <w:lang w:val="sq-AL"/>
        </w:rPr>
        <w:t xml:space="preserve">a e </w:t>
      </w:r>
      <w:r w:rsidRPr="002D7C3E">
        <w:rPr>
          <w:rFonts w:ascii="Times New Roman" w:eastAsia="Times New Roman" w:hAnsi="Times New Roman" w:cs="Times New Roman"/>
          <w:color w:val="212121"/>
          <w:sz w:val="24"/>
          <w:szCs w:val="24"/>
        </w:rPr>
        <w:t>Vog</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 xml:space="preserve">l klasifikohet në cilësi eutrofike. </w:t>
      </w:r>
    </w:p>
    <w:p w:rsidR="002D7C3E" w:rsidRPr="002D7C3E" w:rsidRDefault="002D7C3E" w:rsidP="002D7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p>
    <w:p w:rsidR="002D7C3E" w:rsidRPr="002D7C3E" w:rsidRDefault="002D7C3E" w:rsidP="002D7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rPr>
      </w:pPr>
      <w:r w:rsidRPr="002D7C3E">
        <w:rPr>
          <w:rFonts w:ascii="Courier New" w:eastAsia="Times New Roman" w:hAnsi="Courier New" w:cs="Courier New"/>
          <w:noProof/>
          <w:sz w:val="20"/>
          <w:szCs w:val="20"/>
        </w:rPr>
        <w:drawing>
          <wp:inline distT="0" distB="0" distL="0" distR="0" wp14:anchorId="230EC985" wp14:editId="0955C5AB">
            <wp:extent cx="4238625" cy="1914525"/>
            <wp:effectExtent l="0" t="0" r="9525" b="9525"/>
            <wp:docPr id="438" name="Chart 1">
              <a:extLst xmlns:a="http://schemas.openxmlformats.org/drawingml/2006/main">
                <a:ext uri="{FF2B5EF4-FFF2-40B4-BE49-F238E27FC236}">
                  <a16:creationId xmlns:a16="http://schemas.microsoft.com/office/drawing/2014/main" id="{5C0F0B5B-AA8B-8086-0FE1-1B01C866F5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rsidR="002D7C3E" w:rsidRPr="002D7C3E" w:rsidRDefault="002D7C3E" w:rsidP="002D7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p>
    <w:p w:rsidR="002D7C3E" w:rsidRPr="002D7C3E" w:rsidRDefault="002D7C3E" w:rsidP="002D7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p>
    <w:p w:rsidR="002D7C3E" w:rsidRPr="00FF3A69" w:rsidRDefault="002D7C3E" w:rsidP="002D7C3E">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2D7C3E">
        <w:rPr>
          <w:rFonts w:ascii="Times New Roman" w:eastAsia="Times New Roman" w:hAnsi="Times New Roman" w:cs="Times New Roman"/>
          <w:color w:val="212121"/>
          <w:sz w:val="24"/>
          <w:szCs w:val="24"/>
        </w:rPr>
        <w:t>Nevoja biokimike p</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r oksigjen</w:t>
      </w:r>
    </w:p>
    <w:p w:rsidR="002D7C3E" w:rsidRPr="002D7C3E" w:rsidRDefault="002D7C3E" w:rsidP="002D7C3E">
      <w:pPr>
        <w:spacing w:after="200" w:line="276" w:lineRule="auto"/>
        <w:rPr>
          <w:rFonts w:ascii="Times New Roman" w:eastAsia="Calibri" w:hAnsi="Times New Roman" w:cs="Times New Roman"/>
          <w:sz w:val="24"/>
          <w:szCs w:val="24"/>
          <w:lang w:val="da-DK"/>
        </w:rPr>
      </w:pPr>
      <w:r w:rsidRPr="002D7C3E">
        <w:rPr>
          <w:rFonts w:ascii="Times New Roman" w:eastAsia="Calibri" w:hAnsi="Times New Roman" w:cs="Times New Roman"/>
          <w:sz w:val="24"/>
          <w:szCs w:val="24"/>
          <w:lang w:val="da-DK"/>
        </w:rPr>
        <w:t>P</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lang w:val="da-DK"/>
        </w:rPr>
        <w:t>rsa i p</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lang w:val="da-DK"/>
        </w:rPr>
        <w:t>rket nevoj</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lang w:val="da-DK"/>
        </w:rPr>
        <w:t>s biokimike p</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lang w:val="da-DK"/>
        </w:rPr>
        <w:t>r oksigjen Prespa e Madhe ka cilësi mezotrofike dhe Prespa e Vog</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lang w:val="da-DK"/>
        </w:rPr>
        <w:t>l ka cilësi eutrofike.</w:t>
      </w:r>
    </w:p>
    <w:p w:rsidR="002D7C3E" w:rsidRPr="002D7C3E" w:rsidRDefault="002D7C3E" w:rsidP="002D7C3E">
      <w:pPr>
        <w:spacing w:after="200" w:line="276" w:lineRule="auto"/>
        <w:jc w:val="center"/>
        <w:rPr>
          <w:rFonts w:ascii="Times New Roman" w:eastAsia="Calibri" w:hAnsi="Times New Roman" w:cs="Times New Roman"/>
          <w:sz w:val="24"/>
          <w:szCs w:val="24"/>
          <w:lang w:val="da-DK"/>
        </w:rPr>
      </w:pPr>
      <w:r w:rsidRPr="002D7C3E">
        <w:rPr>
          <w:rFonts w:ascii="Calibri" w:eastAsia="Calibri" w:hAnsi="Calibri" w:cs="Times New Roman"/>
          <w:noProof/>
        </w:rPr>
        <w:lastRenderedPageBreak/>
        <w:drawing>
          <wp:inline distT="0" distB="0" distL="0" distR="0" wp14:anchorId="3A8CD623" wp14:editId="47FFCC37">
            <wp:extent cx="4572000" cy="2088107"/>
            <wp:effectExtent l="0" t="0" r="19050" b="26670"/>
            <wp:docPr id="439" name="Chart 1">
              <a:extLst xmlns:a="http://schemas.openxmlformats.org/drawingml/2006/main">
                <a:ext uri="{FF2B5EF4-FFF2-40B4-BE49-F238E27FC236}">
                  <a16:creationId xmlns:a16="http://schemas.microsoft.com/office/drawing/2014/main" id="{A6A7DB3F-98DD-9D17-395A-D23347B06F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rsidR="002D7C3E" w:rsidRPr="002D7C3E" w:rsidRDefault="002D7C3E" w:rsidP="0033538C">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2D7C3E">
        <w:rPr>
          <w:rFonts w:ascii="Times New Roman" w:eastAsia="Times New Roman" w:hAnsi="Times New Roman" w:cs="Times New Roman"/>
          <w:color w:val="212121"/>
          <w:sz w:val="24"/>
          <w:szCs w:val="24"/>
        </w:rPr>
        <w:t>P</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rmbajtja e nitrateve</w:t>
      </w:r>
    </w:p>
    <w:p w:rsidR="002D7C3E" w:rsidRPr="002D7C3E" w:rsidRDefault="002D7C3E" w:rsidP="002D7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p>
    <w:p w:rsidR="002D7C3E" w:rsidRPr="002D7C3E" w:rsidRDefault="002D7C3E" w:rsidP="002D7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2D7C3E">
        <w:rPr>
          <w:rFonts w:ascii="Times New Roman" w:eastAsia="Times New Roman" w:hAnsi="Times New Roman" w:cs="Times New Roman"/>
          <w:color w:val="212121"/>
          <w:sz w:val="24"/>
          <w:szCs w:val="24"/>
        </w:rPr>
        <w:t>Ky paramet</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 xml:space="preserve">r </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sht</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 xml:space="preserve"> vler</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suar brenda norm</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s s</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 xml:space="preserve"> lejuar &lt; 1mg/l p</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r të gjitha stacionet.</w:t>
      </w:r>
    </w:p>
    <w:p w:rsidR="002D7C3E" w:rsidRPr="002D7C3E" w:rsidRDefault="002D7C3E" w:rsidP="002D7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p>
    <w:p w:rsidR="002D7C3E" w:rsidRPr="002D7C3E" w:rsidRDefault="002D7C3E" w:rsidP="002D7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rPr>
      </w:pPr>
      <w:r w:rsidRPr="002D7C3E">
        <w:rPr>
          <w:rFonts w:ascii="Courier New" w:eastAsia="Times New Roman" w:hAnsi="Courier New" w:cs="Courier New"/>
          <w:noProof/>
          <w:sz w:val="20"/>
          <w:szCs w:val="20"/>
        </w:rPr>
        <w:drawing>
          <wp:inline distT="0" distB="0" distL="0" distR="0" wp14:anchorId="3B4A291B" wp14:editId="2717C375">
            <wp:extent cx="4544695" cy="1924050"/>
            <wp:effectExtent l="0" t="0" r="8255" b="0"/>
            <wp:docPr id="440" name="Chart 1">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p w:rsidR="002D7C3E" w:rsidRPr="002D7C3E" w:rsidRDefault="002D7C3E" w:rsidP="002D7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rPr>
          <w:rFonts w:ascii="Times New Roman" w:eastAsia="Times New Roman" w:hAnsi="Times New Roman" w:cs="Times New Roman"/>
          <w:color w:val="212121"/>
          <w:sz w:val="24"/>
          <w:szCs w:val="24"/>
        </w:rPr>
      </w:pPr>
    </w:p>
    <w:p w:rsidR="002D7C3E" w:rsidRPr="002D7C3E" w:rsidRDefault="002D7C3E" w:rsidP="0033538C">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2D7C3E">
        <w:rPr>
          <w:rFonts w:ascii="Times New Roman" w:eastAsia="Times New Roman" w:hAnsi="Times New Roman" w:cs="Times New Roman"/>
          <w:color w:val="212121"/>
          <w:sz w:val="24"/>
          <w:szCs w:val="24"/>
        </w:rPr>
        <w:t>P</w:t>
      </w:r>
      <w:r w:rsidRPr="002D7C3E">
        <w:rPr>
          <w:rFonts w:ascii="Times New Roman" w:eastAsia="Times New Roman" w:hAnsi="Times New Roman" w:cs="Times New Roman"/>
          <w:sz w:val="24"/>
          <w:szCs w:val="24"/>
          <w:lang w:val="sq-AL"/>
        </w:rPr>
        <w:t>ë</w:t>
      </w:r>
      <w:r w:rsidRPr="002D7C3E">
        <w:rPr>
          <w:rFonts w:ascii="Times New Roman" w:eastAsia="Times New Roman" w:hAnsi="Times New Roman" w:cs="Times New Roman"/>
          <w:color w:val="212121"/>
          <w:sz w:val="24"/>
          <w:szCs w:val="24"/>
        </w:rPr>
        <w:t>rmbajtja e fosforit total</w:t>
      </w:r>
    </w:p>
    <w:p w:rsidR="002D7C3E" w:rsidRPr="002D7C3E" w:rsidRDefault="002D7C3E" w:rsidP="002D7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color w:val="212121"/>
          <w:sz w:val="24"/>
          <w:szCs w:val="24"/>
        </w:rPr>
      </w:pPr>
    </w:p>
    <w:p w:rsidR="002D7C3E" w:rsidRPr="002D7C3E" w:rsidRDefault="002D7C3E" w:rsidP="002D7C3E">
      <w:pPr>
        <w:spacing w:after="200" w:line="276" w:lineRule="auto"/>
        <w:rPr>
          <w:rFonts w:ascii="Times New Roman" w:eastAsia="Calibri" w:hAnsi="Times New Roman" w:cs="Times New Roman"/>
          <w:color w:val="212121"/>
          <w:sz w:val="24"/>
          <w:szCs w:val="24"/>
        </w:rPr>
      </w:pPr>
      <w:r w:rsidRPr="002D7C3E">
        <w:rPr>
          <w:rFonts w:ascii="Times New Roman" w:eastAsia="Calibri" w:hAnsi="Times New Roman" w:cs="Times New Roman"/>
          <w:color w:val="212121"/>
          <w:sz w:val="24"/>
          <w:szCs w:val="24"/>
        </w:rPr>
        <w:t>Referuar p</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color w:val="212121"/>
          <w:sz w:val="24"/>
          <w:szCs w:val="24"/>
        </w:rPr>
        <w:t>rmbajtjes mesatare t</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color w:val="212121"/>
          <w:sz w:val="24"/>
          <w:szCs w:val="24"/>
        </w:rPr>
        <w:t xml:space="preserve"> fosforit total është vlerësuar se të dy liqenet kanë cilësi  mezotrofike.</w:t>
      </w:r>
    </w:p>
    <w:p w:rsidR="002D7C3E" w:rsidRPr="002D7C3E" w:rsidRDefault="002D7C3E" w:rsidP="002D7C3E">
      <w:pPr>
        <w:spacing w:after="200" w:line="276" w:lineRule="auto"/>
        <w:jc w:val="center"/>
        <w:rPr>
          <w:rFonts w:ascii="Times New Roman" w:eastAsia="Calibri" w:hAnsi="Times New Roman" w:cs="Times New Roman"/>
          <w:color w:val="212121"/>
          <w:sz w:val="24"/>
          <w:szCs w:val="24"/>
        </w:rPr>
      </w:pPr>
      <w:r w:rsidRPr="002D7C3E">
        <w:rPr>
          <w:rFonts w:ascii="Calibri" w:eastAsia="Calibri" w:hAnsi="Calibri" w:cs="Times New Roman"/>
          <w:noProof/>
        </w:rPr>
        <w:drawing>
          <wp:inline distT="0" distB="0" distL="0" distR="0" wp14:anchorId="55B22064" wp14:editId="2D9181B5">
            <wp:extent cx="4572000" cy="1828800"/>
            <wp:effectExtent l="0" t="0" r="0" b="0"/>
            <wp:docPr id="441" name="Chart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rsidR="00F1390A" w:rsidRDefault="00F1390A" w:rsidP="002D7C3E">
      <w:pPr>
        <w:spacing w:after="200" w:line="276" w:lineRule="auto"/>
        <w:jc w:val="both"/>
        <w:rPr>
          <w:rFonts w:ascii="Times New Roman" w:eastAsia="Calibri" w:hAnsi="Times New Roman" w:cs="Times New Roman"/>
          <w:b/>
          <w:i/>
          <w:sz w:val="24"/>
          <w:szCs w:val="24"/>
          <w:lang w:val="sq-AL"/>
        </w:rPr>
      </w:pPr>
    </w:p>
    <w:p w:rsidR="002D7C3E" w:rsidRPr="002D7C3E" w:rsidRDefault="002D7C3E" w:rsidP="002D7C3E">
      <w:pPr>
        <w:spacing w:after="200" w:line="276" w:lineRule="auto"/>
        <w:jc w:val="both"/>
        <w:rPr>
          <w:rFonts w:ascii="Times New Roman" w:eastAsia="Calibri" w:hAnsi="Times New Roman" w:cs="Times New Roman"/>
          <w:b/>
          <w:i/>
          <w:sz w:val="24"/>
          <w:szCs w:val="24"/>
          <w:lang w:val="sq-AL"/>
        </w:rPr>
      </w:pPr>
      <w:r w:rsidRPr="002D7C3E">
        <w:rPr>
          <w:rFonts w:ascii="Times New Roman" w:eastAsia="Calibri" w:hAnsi="Times New Roman" w:cs="Times New Roman"/>
          <w:b/>
          <w:i/>
          <w:sz w:val="24"/>
          <w:szCs w:val="24"/>
          <w:lang w:val="sq-AL"/>
        </w:rPr>
        <w:t>Duke u nisur nga vlerësimi i të gjithë parametrave bazë të mësipërm, vlerësojmë se ujërat e Liqenit të Prespës së Madhe janë të cilësisë mezotrofike, ndërsa ujërat e Prespës së Vogël të cilësisë eutrofike.</w:t>
      </w:r>
    </w:p>
    <w:p w:rsidR="001E7407" w:rsidRPr="00643754" w:rsidRDefault="00322D6E" w:rsidP="00807975">
      <w:pPr>
        <w:pStyle w:val="ListParagraph"/>
        <w:numPr>
          <w:ilvl w:val="0"/>
          <w:numId w:val="75"/>
        </w:numPr>
        <w:spacing w:after="120" w:line="276" w:lineRule="auto"/>
        <w:jc w:val="both"/>
        <w:rPr>
          <w:rFonts w:ascii="Times New Roman" w:eastAsia="Calibri" w:hAnsi="Times New Roman" w:cs="Times New Roman"/>
          <w:b/>
          <w:sz w:val="24"/>
          <w:szCs w:val="24"/>
          <w:lang w:val="sq-AL"/>
        </w:rPr>
      </w:pPr>
      <w:r w:rsidRPr="00643754">
        <w:rPr>
          <w:rFonts w:ascii="Times New Roman" w:eastAsia="Calibri" w:hAnsi="Times New Roman" w:cs="Times New Roman"/>
          <w:b/>
          <w:sz w:val="24"/>
          <w:szCs w:val="24"/>
          <w:lang w:val="sq-AL"/>
        </w:rPr>
        <w:t>Tendenca në vite.</w:t>
      </w:r>
    </w:p>
    <w:p w:rsidR="00322D6E" w:rsidRDefault="00322D6E" w:rsidP="001E7407">
      <w:pPr>
        <w:spacing w:after="120" w:line="276" w:lineRule="auto"/>
        <w:contextualSpacing/>
        <w:jc w:val="both"/>
        <w:rPr>
          <w:rFonts w:ascii="Times New Roman" w:eastAsia="Calibri" w:hAnsi="Times New Roman" w:cs="Times New Roman"/>
          <w:sz w:val="24"/>
          <w:szCs w:val="24"/>
          <w:lang w:val="sq-AL"/>
        </w:rPr>
      </w:pPr>
    </w:p>
    <w:tbl>
      <w:tblPr>
        <w:tblStyle w:val="TableGrid11"/>
        <w:tblW w:w="0" w:type="auto"/>
        <w:tblLook w:val="04A0" w:firstRow="1" w:lastRow="0" w:firstColumn="1" w:lastColumn="0" w:noHBand="0" w:noVBand="1"/>
      </w:tblPr>
      <w:tblGrid>
        <w:gridCol w:w="2784"/>
        <w:gridCol w:w="1890"/>
        <w:gridCol w:w="2338"/>
        <w:gridCol w:w="2338"/>
      </w:tblGrid>
      <w:tr w:rsidR="00D75C1A" w:rsidRPr="00322D6E" w:rsidTr="00D75C1A">
        <w:tc>
          <w:tcPr>
            <w:tcW w:w="2784" w:type="dxa"/>
            <w:tcBorders>
              <w:top w:val="single" w:sz="4" w:space="0" w:color="auto"/>
              <w:left w:val="single" w:sz="4" w:space="0" w:color="auto"/>
              <w:bottom w:val="single" w:sz="4" w:space="0" w:color="auto"/>
              <w:right w:val="single" w:sz="4" w:space="0" w:color="auto"/>
            </w:tcBorders>
          </w:tcPr>
          <w:p w:rsidR="00D75C1A" w:rsidRPr="00322D6E" w:rsidRDefault="00D75C1A" w:rsidP="00322D6E">
            <w:pPr>
              <w:spacing w:line="276" w:lineRule="auto"/>
              <w:jc w:val="both"/>
              <w:rPr>
                <w:rFonts w:ascii="Times New Roman" w:eastAsia="Times New Roman" w:hAnsi="Times New Roman"/>
                <w:sz w:val="24"/>
                <w:szCs w:val="24"/>
                <w:lang w:val="sq-AL"/>
              </w:rPr>
            </w:pPr>
          </w:p>
        </w:tc>
        <w:tc>
          <w:tcPr>
            <w:tcW w:w="1890" w:type="dxa"/>
            <w:tcBorders>
              <w:top w:val="single" w:sz="4" w:space="0" w:color="auto"/>
              <w:left w:val="single" w:sz="4" w:space="0" w:color="auto"/>
              <w:bottom w:val="single" w:sz="4" w:space="0" w:color="auto"/>
              <w:right w:val="single" w:sz="4" w:space="0" w:color="auto"/>
            </w:tcBorders>
            <w:hideMark/>
          </w:tcPr>
          <w:p w:rsidR="00D75C1A" w:rsidRPr="00322D6E" w:rsidRDefault="00D75C1A" w:rsidP="00322D6E">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2023</w:t>
            </w:r>
          </w:p>
        </w:tc>
        <w:tc>
          <w:tcPr>
            <w:tcW w:w="2338" w:type="dxa"/>
            <w:tcBorders>
              <w:top w:val="single" w:sz="4" w:space="0" w:color="auto"/>
              <w:left w:val="single" w:sz="4" w:space="0" w:color="auto"/>
              <w:bottom w:val="single" w:sz="4" w:space="0" w:color="auto"/>
              <w:right w:val="single" w:sz="4" w:space="0" w:color="auto"/>
            </w:tcBorders>
            <w:hideMark/>
          </w:tcPr>
          <w:p w:rsidR="00D75C1A" w:rsidRPr="00322D6E" w:rsidRDefault="00D75C1A" w:rsidP="00322D6E">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2024</w:t>
            </w:r>
          </w:p>
        </w:tc>
        <w:tc>
          <w:tcPr>
            <w:tcW w:w="2338" w:type="dxa"/>
            <w:tcBorders>
              <w:top w:val="single" w:sz="4" w:space="0" w:color="auto"/>
              <w:left w:val="single" w:sz="4" w:space="0" w:color="auto"/>
              <w:bottom w:val="single" w:sz="4" w:space="0" w:color="auto"/>
              <w:right w:val="single" w:sz="4" w:space="0" w:color="auto"/>
            </w:tcBorders>
          </w:tcPr>
          <w:p w:rsidR="00D75C1A" w:rsidRPr="00322D6E" w:rsidRDefault="00D75C1A" w:rsidP="00322D6E">
            <w:pPr>
              <w:spacing w:line="276" w:lineRule="auto"/>
              <w:jc w:val="both"/>
              <w:rPr>
                <w:rFonts w:ascii="Times New Roman" w:eastAsia="Times New Roman" w:hAnsi="Times New Roman"/>
                <w:sz w:val="24"/>
                <w:szCs w:val="24"/>
                <w:lang w:val="sq-AL"/>
              </w:rPr>
            </w:pPr>
            <w:r>
              <w:rPr>
                <w:rFonts w:ascii="Times New Roman" w:eastAsia="Times New Roman" w:hAnsi="Times New Roman"/>
                <w:sz w:val="24"/>
                <w:szCs w:val="24"/>
                <w:lang w:val="sq-AL"/>
              </w:rPr>
              <w:t>2025</w:t>
            </w:r>
          </w:p>
        </w:tc>
      </w:tr>
      <w:tr w:rsidR="00D75C1A" w:rsidRPr="00322D6E" w:rsidTr="00D75C1A">
        <w:tc>
          <w:tcPr>
            <w:tcW w:w="2784" w:type="dxa"/>
            <w:tcBorders>
              <w:top w:val="single" w:sz="4" w:space="0" w:color="auto"/>
              <w:left w:val="single" w:sz="4" w:space="0" w:color="auto"/>
              <w:bottom w:val="single" w:sz="4" w:space="0" w:color="auto"/>
              <w:right w:val="single" w:sz="4" w:space="0" w:color="auto"/>
            </w:tcBorders>
            <w:hideMark/>
          </w:tcPr>
          <w:p w:rsidR="00D75C1A" w:rsidRPr="00322D6E" w:rsidRDefault="00D75C1A" w:rsidP="00322D6E">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 xml:space="preserve">Liqeni i Shkodres </w:t>
            </w:r>
          </w:p>
        </w:tc>
        <w:tc>
          <w:tcPr>
            <w:tcW w:w="1890" w:type="dxa"/>
            <w:tcBorders>
              <w:top w:val="single" w:sz="4" w:space="0" w:color="auto"/>
              <w:left w:val="single" w:sz="4" w:space="0" w:color="auto"/>
              <w:bottom w:val="single" w:sz="4" w:space="0" w:color="auto"/>
              <w:right w:val="single" w:sz="4" w:space="0" w:color="auto"/>
            </w:tcBorders>
            <w:hideMark/>
          </w:tcPr>
          <w:p w:rsidR="00D75C1A" w:rsidRPr="00322D6E" w:rsidRDefault="00D75C1A" w:rsidP="00322D6E">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Mezotrofik</w:t>
            </w:r>
          </w:p>
        </w:tc>
        <w:tc>
          <w:tcPr>
            <w:tcW w:w="2338" w:type="dxa"/>
            <w:tcBorders>
              <w:top w:val="single" w:sz="4" w:space="0" w:color="auto"/>
              <w:left w:val="single" w:sz="4" w:space="0" w:color="auto"/>
              <w:bottom w:val="single" w:sz="4" w:space="0" w:color="auto"/>
              <w:right w:val="single" w:sz="4" w:space="0" w:color="auto"/>
            </w:tcBorders>
            <w:hideMark/>
          </w:tcPr>
          <w:p w:rsidR="00D75C1A" w:rsidRPr="00322D6E" w:rsidRDefault="00D75C1A" w:rsidP="00322D6E">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Mezotrofik</w:t>
            </w:r>
          </w:p>
        </w:tc>
        <w:tc>
          <w:tcPr>
            <w:tcW w:w="2338" w:type="dxa"/>
            <w:tcBorders>
              <w:top w:val="single" w:sz="4" w:space="0" w:color="auto"/>
              <w:left w:val="single" w:sz="4" w:space="0" w:color="auto"/>
              <w:bottom w:val="single" w:sz="4" w:space="0" w:color="auto"/>
              <w:right w:val="single" w:sz="4" w:space="0" w:color="auto"/>
            </w:tcBorders>
          </w:tcPr>
          <w:p w:rsidR="00D75C1A" w:rsidRPr="00322D6E" w:rsidRDefault="00D75C1A" w:rsidP="00322D6E">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Oligotrofik</w:t>
            </w:r>
          </w:p>
        </w:tc>
      </w:tr>
      <w:tr w:rsidR="00D75C1A" w:rsidRPr="00322D6E" w:rsidTr="00D75C1A">
        <w:tc>
          <w:tcPr>
            <w:tcW w:w="2784" w:type="dxa"/>
            <w:tcBorders>
              <w:top w:val="single" w:sz="4" w:space="0" w:color="auto"/>
              <w:left w:val="single" w:sz="4" w:space="0" w:color="auto"/>
              <w:bottom w:val="single" w:sz="4" w:space="0" w:color="auto"/>
              <w:right w:val="single" w:sz="4" w:space="0" w:color="auto"/>
            </w:tcBorders>
            <w:hideMark/>
          </w:tcPr>
          <w:p w:rsidR="00D75C1A" w:rsidRPr="00322D6E" w:rsidRDefault="00D75C1A" w:rsidP="00322D6E">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Liqeni i Ohrit</w:t>
            </w:r>
          </w:p>
        </w:tc>
        <w:tc>
          <w:tcPr>
            <w:tcW w:w="1890" w:type="dxa"/>
            <w:tcBorders>
              <w:top w:val="single" w:sz="4" w:space="0" w:color="auto"/>
              <w:left w:val="single" w:sz="4" w:space="0" w:color="auto"/>
              <w:bottom w:val="single" w:sz="4" w:space="0" w:color="auto"/>
              <w:right w:val="single" w:sz="4" w:space="0" w:color="auto"/>
            </w:tcBorders>
            <w:hideMark/>
          </w:tcPr>
          <w:p w:rsidR="00D75C1A" w:rsidRPr="00322D6E" w:rsidRDefault="00D75C1A" w:rsidP="00322D6E">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Mezotrofik</w:t>
            </w:r>
          </w:p>
        </w:tc>
        <w:tc>
          <w:tcPr>
            <w:tcW w:w="2338" w:type="dxa"/>
            <w:tcBorders>
              <w:top w:val="single" w:sz="4" w:space="0" w:color="auto"/>
              <w:left w:val="single" w:sz="4" w:space="0" w:color="auto"/>
              <w:bottom w:val="single" w:sz="4" w:space="0" w:color="auto"/>
              <w:right w:val="single" w:sz="4" w:space="0" w:color="auto"/>
            </w:tcBorders>
            <w:hideMark/>
          </w:tcPr>
          <w:p w:rsidR="00D75C1A" w:rsidRPr="00322D6E" w:rsidRDefault="00D75C1A" w:rsidP="00322D6E">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Oligotrofik</w:t>
            </w:r>
          </w:p>
        </w:tc>
        <w:tc>
          <w:tcPr>
            <w:tcW w:w="2338" w:type="dxa"/>
            <w:tcBorders>
              <w:top w:val="single" w:sz="4" w:space="0" w:color="auto"/>
              <w:left w:val="single" w:sz="4" w:space="0" w:color="auto"/>
              <w:bottom w:val="single" w:sz="4" w:space="0" w:color="auto"/>
              <w:right w:val="single" w:sz="4" w:space="0" w:color="auto"/>
            </w:tcBorders>
          </w:tcPr>
          <w:p w:rsidR="00D75C1A" w:rsidRPr="00322D6E" w:rsidRDefault="00D75C1A" w:rsidP="00322D6E">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Oligotrofik</w:t>
            </w:r>
          </w:p>
        </w:tc>
      </w:tr>
      <w:tr w:rsidR="00D75C1A" w:rsidRPr="00322D6E" w:rsidTr="00D75C1A">
        <w:tc>
          <w:tcPr>
            <w:tcW w:w="2784" w:type="dxa"/>
            <w:tcBorders>
              <w:top w:val="single" w:sz="4" w:space="0" w:color="auto"/>
              <w:left w:val="single" w:sz="4" w:space="0" w:color="auto"/>
              <w:bottom w:val="single" w:sz="4" w:space="0" w:color="auto"/>
              <w:right w:val="single" w:sz="4" w:space="0" w:color="auto"/>
            </w:tcBorders>
            <w:hideMark/>
          </w:tcPr>
          <w:p w:rsidR="00D75C1A" w:rsidRPr="00322D6E" w:rsidRDefault="00D75C1A" w:rsidP="00D75C1A">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 xml:space="preserve">Liqeni Prespë e Madhe </w:t>
            </w:r>
          </w:p>
        </w:tc>
        <w:tc>
          <w:tcPr>
            <w:tcW w:w="1890" w:type="dxa"/>
            <w:tcBorders>
              <w:top w:val="single" w:sz="4" w:space="0" w:color="auto"/>
              <w:left w:val="single" w:sz="4" w:space="0" w:color="auto"/>
              <w:bottom w:val="single" w:sz="4" w:space="0" w:color="auto"/>
              <w:right w:val="single" w:sz="4" w:space="0" w:color="auto"/>
            </w:tcBorders>
            <w:hideMark/>
          </w:tcPr>
          <w:p w:rsidR="00D75C1A" w:rsidRPr="00322D6E" w:rsidRDefault="00D75C1A" w:rsidP="00D75C1A">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 xml:space="preserve">Mezotrofik </w:t>
            </w:r>
          </w:p>
        </w:tc>
        <w:tc>
          <w:tcPr>
            <w:tcW w:w="2338" w:type="dxa"/>
            <w:tcBorders>
              <w:top w:val="single" w:sz="4" w:space="0" w:color="auto"/>
              <w:left w:val="single" w:sz="4" w:space="0" w:color="auto"/>
              <w:bottom w:val="single" w:sz="4" w:space="0" w:color="auto"/>
              <w:right w:val="single" w:sz="4" w:space="0" w:color="auto"/>
            </w:tcBorders>
            <w:hideMark/>
          </w:tcPr>
          <w:p w:rsidR="00D75C1A" w:rsidRPr="00322D6E" w:rsidRDefault="00D75C1A" w:rsidP="00D75C1A">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 xml:space="preserve">Mezotrofik </w:t>
            </w:r>
          </w:p>
        </w:tc>
        <w:tc>
          <w:tcPr>
            <w:tcW w:w="2338" w:type="dxa"/>
            <w:tcBorders>
              <w:top w:val="single" w:sz="4" w:space="0" w:color="auto"/>
              <w:left w:val="single" w:sz="4" w:space="0" w:color="auto"/>
              <w:bottom w:val="single" w:sz="4" w:space="0" w:color="auto"/>
              <w:right w:val="single" w:sz="4" w:space="0" w:color="auto"/>
            </w:tcBorders>
          </w:tcPr>
          <w:p w:rsidR="00D75C1A" w:rsidRPr="00322D6E" w:rsidRDefault="00D75C1A" w:rsidP="00D75C1A">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 xml:space="preserve">Mezotrofik </w:t>
            </w:r>
          </w:p>
        </w:tc>
      </w:tr>
      <w:tr w:rsidR="00D75C1A" w:rsidRPr="00322D6E" w:rsidTr="00D75C1A">
        <w:tc>
          <w:tcPr>
            <w:tcW w:w="2784" w:type="dxa"/>
            <w:tcBorders>
              <w:top w:val="single" w:sz="4" w:space="0" w:color="auto"/>
              <w:left w:val="single" w:sz="4" w:space="0" w:color="auto"/>
              <w:bottom w:val="single" w:sz="4" w:space="0" w:color="auto"/>
              <w:right w:val="single" w:sz="4" w:space="0" w:color="auto"/>
            </w:tcBorders>
            <w:hideMark/>
          </w:tcPr>
          <w:p w:rsidR="00D75C1A" w:rsidRPr="00322D6E" w:rsidRDefault="00D75C1A" w:rsidP="00D75C1A">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Liqeni Prespë e Vogël</w:t>
            </w:r>
          </w:p>
        </w:tc>
        <w:tc>
          <w:tcPr>
            <w:tcW w:w="1890" w:type="dxa"/>
            <w:tcBorders>
              <w:top w:val="single" w:sz="4" w:space="0" w:color="auto"/>
              <w:left w:val="single" w:sz="4" w:space="0" w:color="auto"/>
              <w:bottom w:val="single" w:sz="4" w:space="0" w:color="auto"/>
              <w:right w:val="single" w:sz="4" w:space="0" w:color="auto"/>
            </w:tcBorders>
            <w:hideMark/>
          </w:tcPr>
          <w:p w:rsidR="00D75C1A" w:rsidRPr="00322D6E" w:rsidRDefault="00D75C1A" w:rsidP="00D75C1A">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Eutrofik</w:t>
            </w:r>
          </w:p>
        </w:tc>
        <w:tc>
          <w:tcPr>
            <w:tcW w:w="2338" w:type="dxa"/>
            <w:tcBorders>
              <w:top w:val="single" w:sz="4" w:space="0" w:color="auto"/>
              <w:left w:val="single" w:sz="4" w:space="0" w:color="auto"/>
              <w:bottom w:val="single" w:sz="4" w:space="0" w:color="auto"/>
              <w:right w:val="single" w:sz="4" w:space="0" w:color="auto"/>
            </w:tcBorders>
            <w:hideMark/>
          </w:tcPr>
          <w:p w:rsidR="00D75C1A" w:rsidRPr="00322D6E" w:rsidRDefault="00D75C1A" w:rsidP="00D75C1A">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Eutrofik</w:t>
            </w:r>
          </w:p>
        </w:tc>
        <w:tc>
          <w:tcPr>
            <w:tcW w:w="2338" w:type="dxa"/>
            <w:tcBorders>
              <w:top w:val="single" w:sz="4" w:space="0" w:color="auto"/>
              <w:left w:val="single" w:sz="4" w:space="0" w:color="auto"/>
              <w:bottom w:val="single" w:sz="4" w:space="0" w:color="auto"/>
              <w:right w:val="single" w:sz="4" w:space="0" w:color="auto"/>
            </w:tcBorders>
          </w:tcPr>
          <w:p w:rsidR="00D75C1A" w:rsidRPr="00322D6E" w:rsidRDefault="00D75C1A" w:rsidP="00D75C1A">
            <w:pPr>
              <w:spacing w:line="276" w:lineRule="auto"/>
              <w:jc w:val="both"/>
              <w:rPr>
                <w:rFonts w:ascii="Times New Roman" w:eastAsia="Times New Roman" w:hAnsi="Times New Roman"/>
                <w:sz w:val="24"/>
                <w:szCs w:val="24"/>
                <w:lang w:val="sq-AL"/>
              </w:rPr>
            </w:pPr>
            <w:r w:rsidRPr="00322D6E">
              <w:rPr>
                <w:rFonts w:ascii="Times New Roman" w:eastAsia="Times New Roman" w:hAnsi="Times New Roman"/>
                <w:sz w:val="24"/>
                <w:szCs w:val="24"/>
                <w:lang w:val="sq-AL"/>
              </w:rPr>
              <w:t>Eutrofik</w:t>
            </w:r>
          </w:p>
        </w:tc>
      </w:tr>
    </w:tbl>
    <w:p w:rsidR="00322D6E" w:rsidRDefault="00322D6E" w:rsidP="001E7407">
      <w:pPr>
        <w:spacing w:after="120" w:line="276" w:lineRule="auto"/>
        <w:contextualSpacing/>
        <w:jc w:val="both"/>
        <w:rPr>
          <w:rFonts w:ascii="Times New Roman" w:eastAsia="Calibri" w:hAnsi="Times New Roman" w:cs="Times New Roman"/>
          <w:sz w:val="24"/>
          <w:szCs w:val="24"/>
          <w:lang w:val="sq-AL"/>
        </w:rPr>
      </w:pPr>
    </w:p>
    <w:p w:rsidR="002D7C3E" w:rsidRPr="00E91FC2" w:rsidRDefault="001E7407" w:rsidP="001E7407">
      <w:pPr>
        <w:spacing w:after="120" w:line="276" w:lineRule="auto"/>
        <w:contextualSpacing/>
        <w:jc w:val="both"/>
        <w:rPr>
          <w:rFonts w:ascii="Times New Roman" w:eastAsia="Calibri" w:hAnsi="Times New Roman" w:cs="Times New Roman"/>
          <w:b/>
          <w:sz w:val="24"/>
          <w:szCs w:val="24"/>
          <w:lang w:val="sq-AL"/>
        </w:rPr>
      </w:pPr>
      <w:r w:rsidRPr="00E91FC2">
        <w:rPr>
          <w:rFonts w:ascii="Times New Roman" w:eastAsia="Calibri" w:hAnsi="Times New Roman" w:cs="Times New Roman"/>
          <w:b/>
          <w:sz w:val="24"/>
          <w:szCs w:val="24"/>
          <w:lang w:val="sq-AL"/>
        </w:rPr>
        <w:t>3.2</w:t>
      </w:r>
      <w:r w:rsidR="00643754" w:rsidRPr="00E91FC2">
        <w:rPr>
          <w:rFonts w:ascii="Times New Roman" w:eastAsia="Calibri" w:hAnsi="Times New Roman" w:cs="Times New Roman"/>
          <w:b/>
          <w:sz w:val="24"/>
          <w:szCs w:val="24"/>
          <w:lang w:val="sq-AL"/>
        </w:rPr>
        <w:t xml:space="preserve"> </w:t>
      </w:r>
      <w:r w:rsidR="002D7C3E" w:rsidRPr="00E91FC2">
        <w:rPr>
          <w:rFonts w:ascii="Times New Roman" w:eastAsia="Calibri" w:hAnsi="Times New Roman" w:cs="Times New Roman"/>
          <w:b/>
          <w:sz w:val="24"/>
          <w:szCs w:val="24"/>
          <w:lang w:val="sq-AL"/>
        </w:rPr>
        <w:t xml:space="preserve">Konkluzione </w:t>
      </w:r>
    </w:p>
    <w:p w:rsidR="001E7407" w:rsidRPr="002D7C3E" w:rsidRDefault="001E7407" w:rsidP="001E7407">
      <w:pPr>
        <w:spacing w:after="120" w:line="276" w:lineRule="auto"/>
        <w:contextualSpacing/>
        <w:jc w:val="both"/>
        <w:rPr>
          <w:rFonts w:ascii="Times New Roman" w:eastAsia="Calibri" w:hAnsi="Times New Roman" w:cs="Times New Roman"/>
          <w:sz w:val="24"/>
          <w:szCs w:val="24"/>
          <w:lang w:val="sq-AL"/>
        </w:rPr>
      </w:pPr>
    </w:p>
    <w:p w:rsidR="002D7C3E" w:rsidRPr="002D7C3E" w:rsidRDefault="002D7C3E" w:rsidP="002D7C3E">
      <w:pPr>
        <w:spacing w:after="120" w:line="276"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Duke vlerësuar të dhënat e marra nga eksped</w:t>
      </w:r>
      <w:r w:rsidR="00EB5F20">
        <w:rPr>
          <w:rFonts w:ascii="Times New Roman" w:eastAsia="Calibri" w:hAnsi="Times New Roman" w:cs="Times New Roman"/>
          <w:sz w:val="24"/>
          <w:szCs w:val="24"/>
          <w:lang w:val="sq-AL"/>
        </w:rPr>
        <w:t>itat e kryera,</w:t>
      </w:r>
      <w:r w:rsidRPr="002D7C3E">
        <w:rPr>
          <w:rFonts w:ascii="Times New Roman" w:eastAsia="Calibri" w:hAnsi="Times New Roman" w:cs="Times New Roman"/>
          <w:sz w:val="24"/>
          <w:szCs w:val="24"/>
          <w:lang w:val="sq-AL"/>
        </w:rPr>
        <w:t xml:space="preserve"> në rrjedhën e sipërme ujërat janë të një cilësie shumë të mirë por duke zbritur afër zonave urbane vihet re një impakt shumë i lartë i shkarkimeve që shkojnë direkt në lumë pa asnjë lloj trajtimi paraprak si pasojë e shkarkimeve urbane, industriale e bujqësore duke ndikuar në cilësinë e ujërave sipërfaqësore.</w:t>
      </w:r>
    </w:p>
    <w:p w:rsidR="002D7C3E" w:rsidRPr="002D7C3E" w:rsidRDefault="002D7C3E" w:rsidP="002D7C3E">
      <w:pPr>
        <w:spacing w:after="0" w:line="276"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Lumenjtë më të ndotur në</w:t>
      </w:r>
      <w:r w:rsidR="00EB5F20">
        <w:rPr>
          <w:rFonts w:ascii="Times New Roman" w:eastAsia="Calibri" w:hAnsi="Times New Roman" w:cs="Times New Roman"/>
          <w:sz w:val="24"/>
          <w:szCs w:val="24"/>
          <w:lang w:val="sq-AL"/>
        </w:rPr>
        <w:t xml:space="preserve"> Shqipëri janë Lumi i Tiranës,</w:t>
      </w:r>
      <w:r w:rsidRPr="002D7C3E">
        <w:rPr>
          <w:rFonts w:ascii="Times New Roman" w:eastAsia="Calibri" w:hAnsi="Times New Roman" w:cs="Times New Roman"/>
          <w:sz w:val="24"/>
          <w:szCs w:val="24"/>
          <w:lang w:val="sq-AL"/>
        </w:rPr>
        <w:t xml:space="preserve"> stacionet e monitorimit më të ndotura Ura – Kthesa e Kamzës, Lanabregas dhe Yrshek – Ish Dogana, Lumi Ishëm me të tre stacionet e monitorimit Ura Rinas, Ura e Gjolës dhe Ura Salmer dhe në Lumin Erzen – Ura e Beshirit.</w:t>
      </w:r>
    </w:p>
    <w:p w:rsidR="002D7C3E" w:rsidRPr="002D7C3E" w:rsidRDefault="002D7C3E" w:rsidP="002D7C3E">
      <w:pPr>
        <w:spacing w:after="120" w:line="276"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Ndërsa në Basenin e Semanit, Lumi Gjanica i klasifikuar në Klasën V – Gjendje e keqe.</w:t>
      </w:r>
    </w:p>
    <w:p w:rsidR="002D7C3E" w:rsidRPr="002D7C3E" w:rsidRDefault="002D7C3E" w:rsidP="002D7C3E">
      <w:pPr>
        <w:spacing w:after="120" w:line="276" w:lineRule="auto"/>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Ky vlerësim i situatës së lumenjve kryesorë të Shqipërisë ka impaktin e vet në cilësinë e ujërave nëntokësore, në cilësinë e deteve dhe në ekosistemet ujore dhe përmirësimi i tyre lidhet me këto faktorë:</w:t>
      </w:r>
    </w:p>
    <w:p w:rsidR="002D7C3E" w:rsidRPr="002D7C3E" w:rsidRDefault="002D7C3E" w:rsidP="004D460A">
      <w:pPr>
        <w:numPr>
          <w:ilvl w:val="0"/>
          <w:numId w:val="24"/>
        </w:numPr>
        <w:spacing w:after="120" w:line="276" w:lineRule="auto"/>
        <w:contextualSpacing/>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Shfrytëzimi i inerteve pa kriter në zona të caktuara</w:t>
      </w:r>
    </w:p>
    <w:p w:rsidR="002D7C3E" w:rsidRPr="002D7C3E" w:rsidRDefault="002D7C3E" w:rsidP="004D460A">
      <w:pPr>
        <w:numPr>
          <w:ilvl w:val="0"/>
          <w:numId w:val="24"/>
        </w:numPr>
        <w:spacing w:after="120" w:line="276" w:lineRule="auto"/>
        <w:contextualSpacing/>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Mënjanimi i shkarkimeve urbane</w:t>
      </w:r>
    </w:p>
    <w:p w:rsidR="002D7C3E" w:rsidRPr="002D7C3E" w:rsidRDefault="002D7C3E" w:rsidP="004D460A">
      <w:pPr>
        <w:numPr>
          <w:ilvl w:val="0"/>
          <w:numId w:val="24"/>
        </w:numPr>
        <w:spacing w:after="120" w:line="276" w:lineRule="auto"/>
        <w:contextualSpacing/>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 xml:space="preserve">Ndërtimi i impianteve të trajtimit të ujërave të </w:t>
      </w:r>
      <w:r w:rsidR="00756EE0">
        <w:rPr>
          <w:rFonts w:ascii="Times New Roman" w:eastAsia="Calibri" w:hAnsi="Times New Roman" w:cs="Times New Roman"/>
          <w:sz w:val="24"/>
          <w:szCs w:val="24"/>
          <w:lang w:val="sq-AL"/>
        </w:rPr>
        <w:t>ndotura urbane</w:t>
      </w:r>
    </w:p>
    <w:p w:rsidR="002D7C3E" w:rsidRPr="002D7C3E" w:rsidRDefault="002D7C3E" w:rsidP="004D460A">
      <w:pPr>
        <w:numPr>
          <w:ilvl w:val="0"/>
          <w:numId w:val="24"/>
        </w:numPr>
        <w:spacing w:after="120" w:line="276" w:lineRule="auto"/>
        <w:contextualSpacing/>
        <w:jc w:val="both"/>
        <w:rPr>
          <w:rFonts w:ascii="Times New Roman" w:eastAsia="Calibri" w:hAnsi="Times New Roman" w:cs="Times New Roman"/>
          <w:sz w:val="24"/>
          <w:szCs w:val="24"/>
          <w:lang w:val="sq-AL"/>
        </w:rPr>
      </w:pPr>
      <w:r w:rsidRPr="002D7C3E">
        <w:rPr>
          <w:rFonts w:ascii="Times New Roman" w:eastAsia="Calibri" w:hAnsi="Times New Roman" w:cs="Times New Roman"/>
          <w:sz w:val="24"/>
          <w:szCs w:val="24"/>
          <w:lang w:val="sq-AL"/>
        </w:rPr>
        <w:t>Ndërgjegjësimi i qytetarëve për mos-përdorimin e lumenjve si vend-depozitime</w:t>
      </w:r>
    </w:p>
    <w:p w:rsidR="002D7C3E" w:rsidRDefault="002D7C3E" w:rsidP="002D7C3E">
      <w:pPr>
        <w:spacing w:after="120" w:line="276" w:lineRule="auto"/>
        <w:ind w:left="720"/>
        <w:contextualSpacing/>
        <w:jc w:val="both"/>
        <w:rPr>
          <w:rFonts w:ascii="Times New Roman" w:eastAsia="Calibri" w:hAnsi="Times New Roman" w:cs="Times New Roman"/>
          <w:sz w:val="24"/>
          <w:szCs w:val="24"/>
          <w:lang w:val="sq-AL"/>
        </w:rPr>
      </w:pPr>
    </w:p>
    <w:p w:rsidR="00643754" w:rsidRDefault="00643754" w:rsidP="00643754">
      <w:pPr>
        <w:spacing w:after="120" w:line="276" w:lineRule="auto"/>
        <w:contextualSpacing/>
        <w:jc w:val="both"/>
        <w:rPr>
          <w:rFonts w:ascii="Times New Roman" w:eastAsia="Calibri" w:hAnsi="Times New Roman" w:cs="Times New Roman"/>
          <w:sz w:val="24"/>
          <w:szCs w:val="24"/>
        </w:rPr>
      </w:pPr>
      <w:r w:rsidRPr="002D7C3E">
        <w:rPr>
          <w:rFonts w:ascii="Times New Roman" w:eastAsia="Calibri" w:hAnsi="Times New Roman" w:cs="Times New Roman"/>
          <w:sz w:val="24"/>
          <w:szCs w:val="24"/>
        </w:rPr>
        <w:t>Lumi i Vërdovës referuar gjithë parametrave të mësipërm klasifikohet në një lumë me cilësi të varfër</w:t>
      </w:r>
      <w:r>
        <w:rPr>
          <w:rFonts w:ascii="Times New Roman" w:eastAsia="Calibri" w:hAnsi="Times New Roman" w:cs="Times New Roman"/>
          <w:sz w:val="24"/>
          <w:szCs w:val="24"/>
        </w:rPr>
        <w:t>. Ujërat e Lumit të Pogradecit klasifikohen me cilësi të mirë ndërsa ujërat e  lumit Tushemisht vlerësohen me cilësi të lartë.</w:t>
      </w:r>
    </w:p>
    <w:p w:rsidR="00C553B0" w:rsidRPr="00FF3A69" w:rsidRDefault="00C553B0" w:rsidP="00FF3A69">
      <w:pPr>
        <w:spacing w:after="200" w:line="276" w:lineRule="auto"/>
        <w:jc w:val="both"/>
        <w:rPr>
          <w:rFonts w:ascii="Times New Roman" w:eastAsia="Calibri" w:hAnsi="Times New Roman" w:cs="Times New Roman"/>
          <w:color w:val="212121"/>
          <w:sz w:val="24"/>
          <w:szCs w:val="24"/>
        </w:rPr>
      </w:pPr>
      <w:r w:rsidRPr="00C553B0">
        <w:rPr>
          <w:rFonts w:ascii="Times New Roman" w:eastAsia="Calibri" w:hAnsi="Times New Roman" w:cs="Times New Roman"/>
          <w:sz w:val="24"/>
          <w:szCs w:val="24"/>
        </w:rPr>
        <w:t xml:space="preserve">Ujërat e </w:t>
      </w:r>
      <w:r w:rsidRPr="00C553B0">
        <w:rPr>
          <w:rFonts w:ascii="Times New Roman" w:eastAsia="Calibri" w:hAnsi="Times New Roman" w:cs="Times New Roman"/>
          <w:color w:val="212121"/>
          <w:sz w:val="24"/>
          <w:szCs w:val="24"/>
        </w:rPr>
        <w:t xml:space="preserve"> Liqenit të Ohrit  dhe të Shkodrës vlerësohen me cilësi oligotrofike me tendencë mezotrofike. </w:t>
      </w:r>
      <w:r>
        <w:rPr>
          <w:rFonts w:ascii="Times New Roman" w:eastAsia="Calibri" w:hAnsi="Times New Roman" w:cs="Times New Roman"/>
          <w:color w:val="212121"/>
          <w:sz w:val="24"/>
          <w:szCs w:val="24"/>
        </w:rPr>
        <w:t xml:space="preserve">Cilësia e ujërave të </w:t>
      </w:r>
      <w:r w:rsidR="00643754">
        <w:rPr>
          <w:rFonts w:ascii="Times New Roman" w:eastAsia="Calibri" w:hAnsi="Times New Roman" w:cs="Times New Roman"/>
          <w:sz w:val="24"/>
          <w:szCs w:val="24"/>
        </w:rPr>
        <w:t>Liqeni</w:t>
      </w:r>
      <w:r>
        <w:rPr>
          <w:rFonts w:ascii="Times New Roman" w:eastAsia="Calibri" w:hAnsi="Times New Roman" w:cs="Times New Roman"/>
          <w:sz w:val="24"/>
          <w:szCs w:val="24"/>
        </w:rPr>
        <w:t>t</w:t>
      </w:r>
      <w:r w:rsidR="0064375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të </w:t>
      </w:r>
      <w:r w:rsidR="00643754">
        <w:rPr>
          <w:rFonts w:ascii="Times New Roman" w:eastAsia="Calibri" w:hAnsi="Times New Roman" w:cs="Times New Roman"/>
          <w:sz w:val="24"/>
          <w:szCs w:val="24"/>
        </w:rPr>
        <w:t xml:space="preserve"> Presp</w:t>
      </w:r>
      <w:r>
        <w:rPr>
          <w:rFonts w:ascii="Times New Roman" w:eastAsia="Calibri" w:hAnsi="Times New Roman" w:cs="Times New Roman"/>
          <w:sz w:val="24"/>
          <w:szCs w:val="24"/>
        </w:rPr>
        <w:t>ës së Madhe i përket kategorisë mezotrofik ndërsa ujërat e Prespës së Vogël vijojnë të jenë me cilësi eutrofike.</w:t>
      </w:r>
      <w:r w:rsidR="00643754">
        <w:rPr>
          <w:rFonts w:ascii="Times New Roman" w:eastAsia="Calibri" w:hAnsi="Times New Roman" w:cs="Times New Roman"/>
          <w:sz w:val="24"/>
          <w:szCs w:val="24"/>
        </w:rPr>
        <w:t xml:space="preserve"> </w:t>
      </w:r>
    </w:p>
    <w:p w:rsidR="00C553B0" w:rsidRPr="002D7C3E" w:rsidRDefault="00C553B0" w:rsidP="002D7C3E">
      <w:pPr>
        <w:spacing w:after="120" w:line="276" w:lineRule="auto"/>
        <w:ind w:left="720"/>
        <w:contextualSpacing/>
        <w:jc w:val="both"/>
        <w:rPr>
          <w:rFonts w:ascii="Times New Roman" w:eastAsia="Calibri" w:hAnsi="Times New Roman" w:cs="Times New Roman"/>
          <w:sz w:val="24"/>
          <w:szCs w:val="24"/>
          <w:lang w:val="sq-AL"/>
        </w:rPr>
      </w:pPr>
    </w:p>
    <w:p w:rsidR="002D7C3E" w:rsidRPr="001E7407" w:rsidRDefault="002D7C3E" w:rsidP="004D460A">
      <w:pPr>
        <w:pStyle w:val="ListParagraph"/>
        <w:numPr>
          <w:ilvl w:val="1"/>
          <w:numId w:val="26"/>
        </w:numPr>
        <w:spacing w:after="120" w:line="276" w:lineRule="auto"/>
        <w:jc w:val="both"/>
        <w:rPr>
          <w:rFonts w:ascii="Times New Roman" w:eastAsia="Calibri" w:hAnsi="Times New Roman" w:cs="Times New Roman"/>
          <w:b/>
          <w:sz w:val="24"/>
          <w:szCs w:val="24"/>
          <w:lang w:val="sq-AL"/>
        </w:rPr>
      </w:pPr>
      <w:r w:rsidRPr="001E7407">
        <w:rPr>
          <w:rFonts w:ascii="Times New Roman" w:eastAsia="Calibri" w:hAnsi="Times New Roman" w:cs="Times New Roman"/>
          <w:b/>
          <w:sz w:val="24"/>
          <w:szCs w:val="24"/>
          <w:lang w:val="sq-AL"/>
        </w:rPr>
        <w:t>Rekomandime</w:t>
      </w:r>
    </w:p>
    <w:p w:rsidR="002D7C3E" w:rsidRPr="00D51CBA" w:rsidRDefault="00D51CBA" w:rsidP="00D51CBA">
      <w:pPr>
        <w:spacing w:after="120" w:line="276" w:lineRule="auto"/>
        <w:contextualSpacing/>
        <w:jc w:val="both"/>
        <w:rPr>
          <w:rFonts w:ascii="Times New Roman" w:eastAsia="Calibri" w:hAnsi="Times New Roman" w:cs="Times New Roman"/>
          <w:b/>
          <w:sz w:val="24"/>
          <w:szCs w:val="24"/>
          <w:lang w:val="sq-AL"/>
        </w:rPr>
      </w:pPr>
      <w:r w:rsidRPr="00D51CBA">
        <w:rPr>
          <w:rFonts w:ascii="Times New Roman" w:eastAsia="Calibri" w:hAnsi="Times New Roman" w:cs="Times New Roman"/>
          <w:b/>
          <w:sz w:val="24"/>
          <w:szCs w:val="24"/>
          <w:lang w:val="sq-AL"/>
        </w:rPr>
        <w:t xml:space="preserve">Lumenjtë </w:t>
      </w:r>
      <w:r>
        <w:rPr>
          <w:rFonts w:ascii="Times New Roman" w:eastAsia="Calibri" w:hAnsi="Times New Roman" w:cs="Times New Roman"/>
          <w:b/>
          <w:sz w:val="24"/>
          <w:szCs w:val="24"/>
          <w:lang w:val="sq-AL"/>
        </w:rPr>
        <w:t>dhe liqene</w:t>
      </w:r>
    </w:p>
    <w:p w:rsidR="00D51CBA" w:rsidRPr="002D7C3E" w:rsidRDefault="00D51CBA" w:rsidP="002D7C3E">
      <w:pPr>
        <w:spacing w:after="120" w:line="276" w:lineRule="auto"/>
        <w:ind w:left="720"/>
        <w:contextualSpacing/>
        <w:jc w:val="both"/>
        <w:rPr>
          <w:rFonts w:ascii="Times New Roman" w:eastAsia="Calibri" w:hAnsi="Times New Roman" w:cs="Times New Roman"/>
          <w:sz w:val="24"/>
          <w:szCs w:val="24"/>
          <w:lang w:val="sq-AL"/>
        </w:rPr>
      </w:pPr>
    </w:p>
    <w:p w:rsidR="00D51CBA" w:rsidRPr="00D51CBA" w:rsidRDefault="002D7C3E" w:rsidP="004D460A">
      <w:pPr>
        <w:numPr>
          <w:ilvl w:val="0"/>
          <w:numId w:val="17"/>
        </w:numPr>
        <w:spacing w:after="240" w:line="240" w:lineRule="auto"/>
        <w:contextualSpacing/>
        <w:jc w:val="both"/>
        <w:rPr>
          <w:rFonts w:ascii="Times New Roman" w:eastAsia="Calibri" w:hAnsi="Times New Roman" w:cs="Times New Roman"/>
          <w:sz w:val="24"/>
          <w:szCs w:val="24"/>
        </w:rPr>
      </w:pPr>
      <w:r w:rsidRPr="00D51CBA">
        <w:rPr>
          <w:rFonts w:ascii="Times New Roman" w:eastAsia="Calibri" w:hAnsi="Times New Roman" w:cs="Times New Roman"/>
          <w:sz w:val="24"/>
          <w:szCs w:val="24"/>
          <w:lang w:val="sq-AL"/>
        </w:rPr>
        <w:t xml:space="preserve">Rekomandojmë marrjen e masave nga organet e Pushtetit Vendor apo edhe në nivel Kombëtar për të minimizuar shkaktarët e ndotësve pasi impakti kryesor janë shkarkimet urbane dhe ato industriale të cilat derdhen direkt në lumenj, liqene </w:t>
      </w:r>
      <w:r w:rsidR="00D51CBA">
        <w:rPr>
          <w:rFonts w:ascii="Times New Roman" w:eastAsia="Calibri" w:hAnsi="Times New Roman" w:cs="Times New Roman"/>
          <w:sz w:val="24"/>
          <w:szCs w:val="24"/>
          <w:lang w:val="sq-AL"/>
        </w:rPr>
        <w:t>.</w:t>
      </w:r>
    </w:p>
    <w:p w:rsidR="002D7C3E" w:rsidRPr="00D51CBA" w:rsidRDefault="002D7C3E" w:rsidP="004D460A">
      <w:pPr>
        <w:numPr>
          <w:ilvl w:val="0"/>
          <w:numId w:val="17"/>
        </w:numPr>
        <w:spacing w:after="240" w:line="240" w:lineRule="auto"/>
        <w:contextualSpacing/>
        <w:jc w:val="both"/>
        <w:rPr>
          <w:rFonts w:ascii="Times New Roman" w:eastAsia="Calibri" w:hAnsi="Times New Roman" w:cs="Times New Roman"/>
          <w:sz w:val="24"/>
          <w:szCs w:val="24"/>
        </w:rPr>
      </w:pPr>
      <w:r w:rsidRPr="00D51CBA">
        <w:rPr>
          <w:rFonts w:ascii="Times New Roman" w:eastAsia="Calibri" w:hAnsi="Times New Roman" w:cs="Times New Roman"/>
          <w:sz w:val="24"/>
          <w:szCs w:val="24"/>
        </w:rPr>
        <w:t>P</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rmir</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simi i situat</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s mjedisore t</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 xml:space="preserve"> uj</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rave sip</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rfaq</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sore k</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rkon realizimin e investimeve n</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 xml:space="preserve"> trajtimin t</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 xml:space="preserve"> shkarkimeve t</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 xml:space="preserve"> l</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ng</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ta urbane, sidomos n</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 xml:space="preserve"> Tiran</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 Fier e n</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 xml:space="preserve"> qytetet e m</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dha t</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 xml:space="preserve"> zon</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s bregdetare pasi gjendja dhe cil</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sia e tyre vazhdon t</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 xml:space="preserve"> jet</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 xml:space="preserve"> n</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 xml:space="preserve"> t</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 xml:space="preserve"> nj</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jt</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n situat</w:t>
      </w:r>
      <w:r w:rsidRPr="00D51CBA">
        <w:rPr>
          <w:rFonts w:ascii="Times New Roman" w:eastAsia="Calibri" w:hAnsi="Times New Roman" w:cs="Times New Roman"/>
          <w:sz w:val="24"/>
          <w:szCs w:val="24"/>
          <w:lang w:val="sq-AL"/>
        </w:rPr>
        <w:t>ë</w:t>
      </w:r>
      <w:r w:rsidRPr="00D51CBA">
        <w:rPr>
          <w:rFonts w:ascii="Times New Roman" w:eastAsia="Calibri" w:hAnsi="Times New Roman" w:cs="Times New Roman"/>
          <w:sz w:val="24"/>
          <w:szCs w:val="24"/>
        </w:rPr>
        <w:t>.</w:t>
      </w:r>
    </w:p>
    <w:p w:rsidR="00D51CBA" w:rsidRPr="00D67F76" w:rsidRDefault="002D7C3E" w:rsidP="004D460A">
      <w:pPr>
        <w:numPr>
          <w:ilvl w:val="0"/>
          <w:numId w:val="17"/>
        </w:numPr>
        <w:spacing w:after="120" w:line="240" w:lineRule="auto"/>
        <w:contextualSpacing/>
        <w:jc w:val="both"/>
        <w:rPr>
          <w:rFonts w:ascii="Times New Roman" w:eastAsia="Calibri" w:hAnsi="Times New Roman" w:cs="Times New Roman"/>
          <w:sz w:val="24"/>
          <w:szCs w:val="24"/>
        </w:rPr>
      </w:pPr>
      <w:r w:rsidRPr="002D7C3E">
        <w:rPr>
          <w:rFonts w:ascii="Times New Roman" w:eastAsia="Calibri" w:hAnsi="Times New Roman" w:cs="Times New Roman"/>
          <w:sz w:val="24"/>
          <w:szCs w:val="24"/>
        </w:rPr>
        <w:t>T</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 xml:space="preserve"> respektohen standartet e p</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rcaktuara nga Legjislacioni Shqiptar p</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r shkarkimet e l</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ng</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ta nga subjektet prodhuese n</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 xml:space="preserve"> uj</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rat prit</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s sip</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rfaq</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sor</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 Nga ana tjet</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r kontrolli i vazhduesh</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m n</w:t>
      </w:r>
      <w:r w:rsidRPr="002D7C3E">
        <w:rPr>
          <w:rFonts w:ascii="Times New Roman" w:eastAsia="Calibri" w:hAnsi="Times New Roman" w:cs="Times New Roman"/>
          <w:sz w:val="24"/>
          <w:szCs w:val="24"/>
          <w:lang w:val="sq-AL"/>
        </w:rPr>
        <w:t xml:space="preserve">ë </w:t>
      </w:r>
      <w:r w:rsidRPr="002D7C3E">
        <w:rPr>
          <w:rFonts w:ascii="Times New Roman" w:eastAsia="Calibri" w:hAnsi="Times New Roman" w:cs="Times New Roman"/>
          <w:sz w:val="24"/>
          <w:szCs w:val="24"/>
        </w:rPr>
        <w:t>zbatimin e ligjit do t</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 xml:space="preserve"> luante nj</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 xml:space="preserve"> rol t</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 xml:space="preserve"> r</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nd</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sish</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m n</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 xml:space="preserve"> k</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t</w:t>
      </w:r>
      <w:r w:rsidRPr="002D7C3E">
        <w:rPr>
          <w:rFonts w:ascii="Times New Roman" w:eastAsia="Calibri" w:hAnsi="Times New Roman" w:cs="Times New Roman"/>
          <w:sz w:val="24"/>
          <w:szCs w:val="24"/>
          <w:lang w:val="sq-AL"/>
        </w:rPr>
        <w:t>ë</w:t>
      </w:r>
      <w:r w:rsidRPr="002D7C3E">
        <w:rPr>
          <w:rFonts w:ascii="Times New Roman" w:eastAsia="Calibri" w:hAnsi="Times New Roman" w:cs="Times New Roman"/>
          <w:sz w:val="24"/>
          <w:szCs w:val="24"/>
        </w:rPr>
        <w:t xml:space="preserve"> drejtim. </w:t>
      </w:r>
    </w:p>
    <w:p w:rsidR="00D51CBA" w:rsidRPr="000F37C2" w:rsidRDefault="00D51CBA" w:rsidP="00807975">
      <w:pPr>
        <w:pStyle w:val="ListParagraph"/>
        <w:numPr>
          <w:ilvl w:val="0"/>
          <w:numId w:val="77"/>
        </w:numPr>
        <w:jc w:val="both"/>
        <w:rPr>
          <w:rFonts w:ascii="Times New Roman" w:hAnsi="Times New Roman" w:cs="Times New Roman"/>
          <w:sz w:val="24"/>
          <w:szCs w:val="24"/>
          <w:lang w:val="sq-AL"/>
        </w:rPr>
      </w:pPr>
      <w:r w:rsidRPr="000F37C2">
        <w:rPr>
          <w:rFonts w:ascii="Times New Roman" w:hAnsi="Times New Roman" w:cs="Times New Roman"/>
          <w:sz w:val="24"/>
          <w:szCs w:val="24"/>
          <w:lang w:val="sq-AL"/>
        </w:rPr>
        <w:t xml:space="preserve">Monitorim i vazhdueshëm i ujërave të lumenjve </w:t>
      </w:r>
      <w:r w:rsidR="000F37C2" w:rsidRPr="000F37C2">
        <w:rPr>
          <w:rFonts w:ascii="Times New Roman" w:hAnsi="Times New Roman" w:cs="Times New Roman"/>
          <w:sz w:val="24"/>
          <w:szCs w:val="24"/>
          <w:lang w:val="sq-AL"/>
        </w:rPr>
        <w:t xml:space="preserve"> për radioaktivitetin </w:t>
      </w:r>
      <w:r w:rsidRPr="000F37C2">
        <w:rPr>
          <w:rFonts w:ascii="Times New Roman" w:hAnsi="Times New Roman" w:cs="Times New Roman"/>
          <w:sz w:val="24"/>
          <w:szCs w:val="24"/>
          <w:lang w:val="sq-AL"/>
        </w:rPr>
        <w:t>në të gjitha pikat e përcaktuara dhe caktimi i pikave të tjera për të monitoruar më mirë të gjithë vendin tonë</w:t>
      </w:r>
      <w:r w:rsidR="000F37C2" w:rsidRPr="000F37C2">
        <w:rPr>
          <w:rFonts w:ascii="Times New Roman" w:hAnsi="Times New Roman" w:cs="Times New Roman"/>
          <w:sz w:val="24"/>
          <w:szCs w:val="24"/>
          <w:lang w:val="sq-AL"/>
        </w:rPr>
        <w:t>.</w:t>
      </w:r>
    </w:p>
    <w:p w:rsidR="00D51CBA" w:rsidRPr="000F37C2" w:rsidRDefault="00D51CBA" w:rsidP="00807975">
      <w:pPr>
        <w:pStyle w:val="ListParagraph"/>
        <w:numPr>
          <w:ilvl w:val="0"/>
          <w:numId w:val="77"/>
        </w:numPr>
        <w:jc w:val="both"/>
        <w:rPr>
          <w:rFonts w:ascii="Times New Roman" w:hAnsi="Times New Roman" w:cs="Times New Roman"/>
          <w:sz w:val="24"/>
          <w:szCs w:val="24"/>
          <w:lang w:val="sq-AL"/>
        </w:rPr>
      </w:pPr>
      <w:r w:rsidRPr="000F37C2">
        <w:rPr>
          <w:rFonts w:ascii="Times New Roman" w:hAnsi="Times New Roman" w:cs="Times New Roman"/>
          <w:sz w:val="24"/>
          <w:szCs w:val="24"/>
          <w:lang w:val="sq-AL"/>
        </w:rPr>
        <w:t>Kontrolli i vazhdueshëm i gjendjes mjedisore të ndotjes radioaktive të ujërave sipërfaqësore në përputhje me Programin Kombëtar të Monitorimit të Mjedisit.</w:t>
      </w:r>
    </w:p>
    <w:p w:rsidR="00D51CBA" w:rsidRPr="000F37C2" w:rsidRDefault="00D51CBA" w:rsidP="00807975">
      <w:pPr>
        <w:pStyle w:val="ListParagraph"/>
        <w:numPr>
          <w:ilvl w:val="0"/>
          <w:numId w:val="77"/>
        </w:numPr>
        <w:jc w:val="both"/>
        <w:rPr>
          <w:rFonts w:ascii="Times New Roman" w:hAnsi="Times New Roman" w:cs="Times New Roman"/>
          <w:sz w:val="24"/>
          <w:szCs w:val="24"/>
          <w:lang w:val="sq-AL"/>
        </w:rPr>
      </w:pPr>
      <w:r w:rsidRPr="000F37C2">
        <w:rPr>
          <w:rFonts w:ascii="Times New Roman" w:hAnsi="Times New Roman" w:cs="Times New Roman"/>
          <w:sz w:val="24"/>
          <w:szCs w:val="24"/>
          <w:lang w:val="sq-AL"/>
        </w:rPr>
        <w:t>Rekomandojmë monitorimin e vazhdueshëm të precipitimeve atmosferike pasi ata janë një nga treguesit e rëndësishëm të ndotjes radioaktive që vjen nga ajri.</w:t>
      </w:r>
    </w:p>
    <w:p w:rsidR="00D51CBA" w:rsidRDefault="00D51CBA" w:rsidP="000F37C2">
      <w:pPr>
        <w:tabs>
          <w:tab w:val="left" w:pos="9000"/>
        </w:tabs>
        <w:spacing w:after="200" w:line="288" w:lineRule="auto"/>
        <w:jc w:val="both"/>
        <w:rPr>
          <w:rFonts w:ascii="Times New Roman" w:eastAsiaTheme="minorEastAsia" w:hAnsi="Times New Roman" w:cs="Times New Roman"/>
          <w:sz w:val="24"/>
          <w:szCs w:val="24"/>
        </w:rPr>
      </w:pPr>
    </w:p>
    <w:p w:rsidR="00FA6218" w:rsidRPr="000F37C2" w:rsidRDefault="00D51CBA" w:rsidP="000F37C2">
      <w:pPr>
        <w:spacing w:after="200" w:line="288" w:lineRule="auto"/>
        <w:rPr>
          <w:rFonts w:ascii="Times New Roman" w:eastAsiaTheme="minorEastAsia" w:hAnsi="Times New Roman" w:cs="Times New Roman"/>
          <w:b/>
          <w:sz w:val="24"/>
          <w:szCs w:val="24"/>
        </w:rPr>
      </w:pPr>
      <w:r w:rsidRPr="000F37C2">
        <w:rPr>
          <w:rFonts w:ascii="Times New Roman" w:eastAsiaTheme="minorEastAsia" w:hAnsi="Times New Roman" w:cs="Times New Roman"/>
          <w:b/>
          <w:sz w:val="24"/>
          <w:szCs w:val="24"/>
        </w:rPr>
        <w:t xml:space="preserve">Prurjet ujore </w:t>
      </w:r>
    </w:p>
    <w:p w:rsidR="00FA6218" w:rsidRDefault="00AC6EA7" w:rsidP="00807975">
      <w:pPr>
        <w:pStyle w:val="ListParagraph"/>
        <w:numPr>
          <w:ilvl w:val="0"/>
          <w:numId w:val="76"/>
        </w:numPr>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Kryerja e </w:t>
      </w:r>
      <w:r w:rsidR="00D10692">
        <w:rPr>
          <w:rFonts w:ascii="Times New Roman" w:eastAsia="Times New Roman" w:hAnsi="Times New Roman" w:cs="Times New Roman"/>
          <w:sz w:val="24"/>
          <w:szCs w:val="24"/>
          <w:lang w:val="sq-AL"/>
        </w:rPr>
        <w:t>monitorimit të prurjeve sipas s</w:t>
      </w:r>
      <w:r>
        <w:rPr>
          <w:rFonts w:ascii="Times New Roman" w:eastAsia="Times New Roman" w:hAnsi="Times New Roman" w:cs="Times New Roman"/>
          <w:sz w:val="24"/>
          <w:szCs w:val="24"/>
          <w:lang w:val="sq-AL"/>
        </w:rPr>
        <w:t>tacioneve në PKMM</w:t>
      </w:r>
      <w:r w:rsidR="00FA6218" w:rsidRPr="000F37C2">
        <w:rPr>
          <w:rFonts w:ascii="Times New Roman" w:eastAsia="Times New Roman" w:hAnsi="Times New Roman" w:cs="Times New Roman"/>
          <w:sz w:val="24"/>
          <w:szCs w:val="24"/>
          <w:lang w:val="sq-AL"/>
        </w:rPr>
        <w:t>. Kjo do t’i shërbejë nxjerrjes së të dhënave krahasuese dhe dhënies së rekomandimeve përkatëse të lidhura me to.</w:t>
      </w:r>
    </w:p>
    <w:p w:rsidR="00AC6EA7" w:rsidRPr="000F37C2" w:rsidRDefault="00AC6EA7" w:rsidP="00807975">
      <w:pPr>
        <w:pStyle w:val="ListParagraph"/>
        <w:numPr>
          <w:ilvl w:val="0"/>
          <w:numId w:val="76"/>
        </w:numPr>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Shtimi i stacioneve të reja sipas  kërkesave të legjislacionit, Planeve të Menaxhimit të Baseneve Lumore.</w:t>
      </w:r>
    </w:p>
    <w:p w:rsidR="00AC6EA7" w:rsidRPr="00AC6EA7" w:rsidRDefault="00FA6218" w:rsidP="00AC6EA7">
      <w:pPr>
        <w:pStyle w:val="ListParagraph"/>
        <w:numPr>
          <w:ilvl w:val="0"/>
          <w:numId w:val="76"/>
        </w:numPr>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val="sq-AL"/>
        </w:rPr>
      </w:pPr>
      <w:r w:rsidRPr="000F37C2">
        <w:rPr>
          <w:rFonts w:ascii="Times New Roman" w:eastAsia="Times New Roman" w:hAnsi="Times New Roman" w:cs="Times New Roman"/>
          <w:sz w:val="24"/>
          <w:szCs w:val="24"/>
          <w:lang w:val="sq-AL"/>
        </w:rPr>
        <w:t>Të kryhen matjet edhe në stacionet e tjera ekzistente në lumenj të tjerë pasi kjo do t’i shërbente rritjes së shkallës së informacionit për të gjithë lumenjtë.</w:t>
      </w:r>
    </w:p>
    <w:p w:rsidR="00AC6EA7" w:rsidRPr="000F37C2" w:rsidRDefault="00AC6EA7" w:rsidP="00807975">
      <w:pPr>
        <w:pStyle w:val="ListParagraph"/>
        <w:numPr>
          <w:ilvl w:val="0"/>
          <w:numId w:val="76"/>
        </w:numPr>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M</w:t>
      </w:r>
      <w:r w:rsidRPr="00D15B63">
        <w:rPr>
          <w:rFonts w:ascii="Times New Roman" w:eastAsia="Times New Roman" w:hAnsi="Times New Roman" w:cs="Times New Roman"/>
          <w:sz w:val="24"/>
          <w:szCs w:val="24"/>
          <w:lang w:val="sq-AL"/>
        </w:rPr>
        <w:t>arrjen e masave për mbrojtjen nga erozioni lumor, mbrojtjen e objekteve inxhinierike të rrezikuara në shtrat të lumit nga energjia e rrjedhës, mbrojtjen e tokave bujqësore dhe ndërtimeve të popullatës nga rreziku i përmbytjeve, etj</w:t>
      </w:r>
    </w:p>
    <w:p w:rsidR="00D51CBA" w:rsidRDefault="00D51CBA" w:rsidP="0005229A">
      <w:pPr>
        <w:spacing w:after="200" w:line="288" w:lineRule="auto"/>
        <w:rPr>
          <w:rFonts w:ascii="Times New Roman" w:eastAsiaTheme="minorEastAsia" w:hAnsi="Times New Roman" w:cs="Times New Roman"/>
          <w:sz w:val="24"/>
          <w:szCs w:val="24"/>
        </w:rPr>
      </w:pPr>
    </w:p>
    <w:p w:rsidR="00D51CBA" w:rsidRDefault="00D51CBA" w:rsidP="0005229A">
      <w:pPr>
        <w:spacing w:after="200" w:line="288" w:lineRule="auto"/>
        <w:rPr>
          <w:rFonts w:ascii="Times New Roman" w:eastAsiaTheme="minorEastAsia" w:hAnsi="Times New Roman" w:cs="Times New Roman"/>
          <w:sz w:val="24"/>
          <w:szCs w:val="24"/>
        </w:rPr>
      </w:pPr>
    </w:p>
    <w:p w:rsidR="00D51CBA" w:rsidRDefault="00D51CBA" w:rsidP="0005229A">
      <w:pPr>
        <w:spacing w:after="200" w:line="288" w:lineRule="auto"/>
        <w:rPr>
          <w:rFonts w:ascii="Times New Roman" w:eastAsiaTheme="minorEastAsia" w:hAnsi="Times New Roman" w:cs="Times New Roman"/>
          <w:sz w:val="24"/>
          <w:szCs w:val="24"/>
        </w:rPr>
      </w:pPr>
    </w:p>
    <w:p w:rsidR="0005229A" w:rsidRDefault="0005229A" w:rsidP="0005229A">
      <w:pPr>
        <w:spacing w:after="200" w:line="288" w:lineRule="auto"/>
        <w:rPr>
          <w:rFonts w:ascii="Times New Roman" w:eastAsiaTheme="minorEastAsia" w:hAnsi="Times New Roman" w:cs="Times New Roman"/>
          <w:sz w:val="24"/>
          <w:szCs w:val="24"/>
        </w:rPr>
      </w:pPr>
    </w:p>
    <w:p w:rsidR="0005229A" w:rsidRDefault="0005229A" w:rsidP="0005229A">
      <w:pPr>
        <w:spacing w:after="200" w:line="288" w:lineRule="auto"/>
        <w:rPr>
          <w:rFonts w:ascii="Times New Roman" w:eastAsiaTheme="minorEastAsia" w:hAnsi="Times New Roman" w:cs="Times New Roman"/>
          <w:sz w:val="24"/>
          <w:szCs w:val="24"/>
        </w:rPr>
      </w:pPr>
    </w:p>
    <w:p w:rsidR="0005229A" w:rsidRDefault="0005229A" w:rsidP="0005229A">
      <w:pPr>
        <w:spacing w:after="200" w:line="288" w:lineRule="auto"/>
        <w:rPr>
          <w:rFonts w:ascii="Times New Roman" w:eastAsiaTheme="minorEastAsia" w:hAnsi="Times New Roman" w:cs="Times New Roman"/>
          <w:sz w:val="24"/>
          <w:szCs w:val="24"/>
        </w:rPr>
      </w:pPr>
    </w:p>
    <w:p w:rsidR="0005229A" w:rsidRDefault="0005229A" w:rsidP="0005229A">
      <w:pPr>
        <w:spacing w:after="200" w:line="288" w:lineRule="auto"/>
        <w:rPr>
          <w:rFonts w:ascii="Times New Roman" w:eastAsiaTheme="minorEastAsia" w:hAnsi="Times New Roman" w:cs="Times New Roman"/>
          <w:sz w:val="24"/>
          <w:szCs w:val="24"/>
        </w:rPr>
      </w:pPr>
    </w:p>
    <w:p w:rsidR="0005229A" w:rsidRDefault="0005229A" w:rsidP="0005229A">
      <w:pPr>
        <w:spacing w:after="200" w:line="288" w:lineRule="auto"/>
        <w:rPr>
          <w:rFonts w:ascii="Times New Roman" w:eastAsiaTheme="minorEastAsia" w:hAnsi="Times New Roman" w:cs="Times New Roman"/>
          <w:sz w:val="24"/>
          <w:szCs w:val="24"/>
        </w:rPr>
      </w:pPr>
    </w:p>
    <w:p w:rsidR="0005229A" w:rsidRDefault="0005229A" w:rsidP="0005229A">
      <w:pPr>
        <w:spacing w:after="200" w:line="288" w:lineRule="auto"/>
        <w:rPr>
          <w:rFonts w:ascii="Times New Roman" w:eastAsiaTheme="minorEastAsia" w:hAnsi="Times New Roman" w:cs="Times New Roman"/>
          <w:sz w:val="24"/>
          <w:szCs w:val="24"/>
        </w:rPr>
      </w:pPr>
    </w:p>
    <w:p w:rsidR="0005229A" w:rsidRDefault="0005229A" w:rsidP="0005229A">
      <w:pPr>
        <w:spacing w:after="200" w:line="288" w:lineRule="auto"/>
        <w:rPr>
          <w:rFonts w:ascii="Times New Roman" w:eastAsiaTheme="minorEastAsia" w:hAnsi="Times New Roman" w:cs="Times New Roman"/>
          <w:sz w:val="24"/>
          <w:szCs w:val="24"/>
        </w:rPr>
      </w:pPr>
    </w:p>
    <w:p w:rsidR="0005229A" w:rsidRDefault="0005229A" w:rsidP="0005229A">
      <w:pPr>
        <w:spacing w:after="200" w:line="288" w:lineRule="auto"/>
        <w:rPr>
          <w:rFonts w:ascii="Times New Roman" w:eastAsiaTheme="minorEastAsia" w:hAnsi="Times New Roman" w:cs="Times New Roman"/>
          <w:sz w:val="24"/>
          <w:szCs w:val="24"/>
        </w:rPr>
      </w:pPr>
    </w:p>
    <w:p w:rsidR="000F37C2" w:rsidRDefault="000F37C2" w:rsidP="0005229A">
      <w:pPr>
        <w:spacing w:after="200" w:line="288" w:lineRule="auto"/>
        <w:rPr>
          <w:rFonts w:ascii="Times New Roman" w:eastAsiaTheme="minorEastAsia" w:hAnsi="Times New Roman" w:cs="Times New Roman"/>
          <w:sz w:val="24"/>
          <w:szCs w:val="24"/>
        </w:rPr>
      </w:pPr>
    </w:p>
    <w:p w:rsidR="00C55FD0" w:rsidRPr="00CA247F" w:rsidRDefault="00C55FD0" w:rsidP="000F37C2">
      <w:pPr>
        <w:spacing w:after="200" w:line="288" w:lineRule="auto"/>
        <w:jc w:val="center"/>
        <w:rPr>
          <w:rFonts w:ascii="Times New Roman" w:eastAsiaTheme="minorEastAsia" w:hAnsi="Times New Roman" w:cs="Times New Roman"/>
          <w:b/>
          <w:sz w:val="24"/>
          <w:szCs w:val="24"/>
        </w:rPr>
      </w:pPr>
      <w:r w:rsidRPr="00CA247F">
        <w:rPr>
          <w:rFonts w:ascii="Times New Roman" w:eastAsiaTheme="minorEastAsia" w:hAnsi="Times New Roman" w:cs="Times New Roman"/>
          <w:b/>
          <w:sz w:val="24"/>
          <w:szCs w:val="24"/>
        </w:rPr>
        <w:t>KAPITULLI  4</w:t>
      </w:r>
    </w:p>
    <w:p w:rsidR="00C55FD0" w:rsidRPr="00CA247F" w:rsidRDefault="00C55FD0" w:rsidP="000F37C2">
      <w:pPr>
        <w:spacing w:after="200" w:line="288" w:lineRule="auto"/>
        <w:jc w:val="center"/>
        <w:rPr>
          <w:rFonts w:ascii="Times New Roman" w:eastAsiaTheme="minorEastAsia" w:hAnsi="Times New Roman" w:cs="Times New Roman"/>
          <w:b/>
          <w:sz w:val="24"/>
          <w:szCs w:val="24"/>
        </w:rPr>
      </w:pPr>
      <w:r w:rsidRPr="00CA247F">
        <w:rPr>
          <w:rFonts w:ascii="Times New Roman" w:eastAsiaTheme="minorEastAsia" w:hAnsi="Times New Roman" w:cs="Times New Roman"/>
          <w:b/>
          <w:sz w:val="24"/>
          <w:szCs w:val="24"/>
        </w:rPr>
        <w:t>UJËRAT N</w:t>
      </w:r>
      <w:r>
        <w:rPr>
          <w:rFonts w:ascii="Times New Roman" w:eastAsiaTheme="minorEastAsia" w:hAnsi="Times New Roman" w:cs="Times New Roman"/>
          <w:b/>
          <w:sz w:val="24"/>
          <w:szCs w:val="24"/>
        </w:rPr>
        <w:t>Ë</w:t>
      </w:r>
      <w:r w:rsidRPr="00CA247F">
        <w:rPr>
          <w:rFonts w:ascii="Times New Roman" w:eastAsiaTheme="minorEastAsia" w:hAnsi="Times New Roman" w:cs="Times New Roman"/>
          <w:b/>
          <w:sz w:val="24"/>
          <w:szCs w:val="24"/>
        </w:rPr>
        <w:t>NTOKËSORE</w:t>
      </w:r>
    </w:p>
    <w:p w:rsidR="00C55FD0" w:rsidRDefault="00C55FD0" w:rsidP="0005229A">
      <w:pPr>
        <w:spacing w:after="200" w:line="288" w:lineRule="auto"/>
        <w:rPr>
          <w:rFonts w:ascii="Times New Roman" w:eastAsiaTheme="minorEastAsia" w:hAnsi="Times New Roman" w:cs="Times New Roman"/>
          <w:sz w:val="24"/>
          <w:szCs w:val="24"/>
        </w:rPr>
      </w:pPr>
    </w:p>
    <w:p w:rsidR="005E4492" w:rsidRDefault="005E4492" w:rsidP="0005229A">
      <w:pPr>
        <w:spacing w:after="200" w:line="288" w:lineRule="auto"/>
        <w:rPr>
          <w:rFonts w:ascii="Times New Roman" w:eastAsiaTheme="minorEastAsia" w:hAnsi="Times New Roman" w:cs="Times New Roman"/>
          <w:sz w:val="24"/>
          <w:szCs w:val="24"/>
        </w:rPr>
      </w:pPr>
      <w:r>
        <w:rPr>
          <w:noProof/>
        </w:rPr>
        <w:t xml:space="preserve">             </w:t>
      </w:r>
      <w:r>
        <w:rPr>
          <w:noProof/>
        </w:rPr>
        <w:drawing>
          <wp:inline distT="0" distB="0" distL="0" distR="0" wp14:anchorId="611FCAC6" wp14:editId="37CCD2BE">
            <wp:extent cx="5429250" cy="3038475"/>
            <wp:effectExtent l="0" t="0" r="0" b="9525"/>
            <wp:docPr id="314" name="Picture 314" descr="Përse shfrytëzojmë ujërat nëntokësore, ndërsa lumenjtë 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ërse shfrytëzojmë ujërat nëntokësore, ndërsa lumenjtë na ..."/>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429250" cy="3038475"/>
                    </a:xfrm>
                    <a:prstGeom prst="rect">
                      <a:avLst/>
                    </a:prstGeom>
                    <a:noFill/>
                    <a:ln>
                      <a:noFill/>
                    </a:ln>
                  </pic:spPr>
                </pic:pic>
              </a:graphicData>
            </a:graphic>
          </wp:inline>
        </w:drawing>
      </w:r>
    </w:p>
    <w:p w:rsidR="00C55FD0" w:rsidRDefault="00C55FD0" w:rsidP="0005229A">
      <w:pPr>
        <w:spacing w:after="200" w:line="288" w:lineRule="auto"/>
        <w:rPr>
          <w:rFonts w:ascii="Times New Roman" w:eastAsiaTheme="minorEastAsia" w:hAnsi="Times New Roman" w:cs="Times New Roman"/>
          <w:sz w:val="24"/>
          <w:szCs w:val="24"/>
        </w:rPr>
      </w:pPr>
    </w:p>
    <w:p w:rsidR="00C55FD0" w:rsidRDefault="00C55FD0" w:rsidP="0005229A">
      <w:pPr>
        <w:spacing w:after="200" w:line="288" w:lineRule="auto"/>
        <w:rPr>
          <w:rFonts w:ascii="Times New Roman" w:eastAsiaTheme="minorEastAsia" w:hAnsi="Times New Roman" w:cs="Times New Roman"/>
          <w:sz w:val="24"/>
          <w:szCs w:val="24"/>
        </w:rPr>
      </w:pPr>
    </w:p>
    <w:p w:rsidR="00903995" w:rsidRDefault="00903995" w:rsidP="0005229A">
      <w:pPr>
        <w:spacing w:after="200" w:line="288" w:lineRule="auto"/>
        <w:rPr>
          <w:rFonts w:ascii="Times New Roman" w:eastAsiaTheme="minorEastAsia" w:hAnsi="Times New Roman" w:cs="Times New Roman"/>
          <w:sz w:val="24"/>
          <w:szCs w:val="24"/>
        </w:rPr>
      </w:pPr>
    </w:p>
    <w:p w:rsidR="00F1390A" w:rsidRDefault="00F1390A" w:rsidP="000F37C2">
      <w:pPr>
        <w:spacing w:after="200" w:line="288" w:lineRule="auto"/>
        <w:jc w:val="center"/>
        <w:rPr>
          <w:rFonts w:ascii="Times New Roman" w:eastAsiaTheme="minorEastAsia" w:hAnsi="Times New Roman" w:cs="Times New Roman"/>
          <w:b/>
          <w:sz w:val="24"/>
          <w:szCs w:val="24"/>
        </w:rPr>
      </w:pPr>
    </w:p>
    <w:p w:rsidR="0047684C" w:rsidRPr="00CA247F" w:rsidRDefault="00CA247F" w:rsidP="000F37C2">
      <w:pPr>
        <w:spacing w:after="200" w:line="288" w:lineRule="auto"/>
        <w:jc w:val="center"/>
        <w:rPr>
          <w:rFonts w:ascii="Times New Roman" w:eastAsiaTheme="minorEastAsia" w:hAnsi="Times New Roman" w:cs="Times New Roman"/>
          <w:b/>
          <w:sz w:val="24"/>
          <w:szCs w:val="24"/>
        </w:rPr>
      </w:pPr>
      <w:r w:rsidRPr="00CA247F">
        <w:rPr>
          <w:rFonts w:ascii="Times New Roman" w:eastAsiaTheme="minorEastAsia" w:hAnsi="Times New Roman" w:cs="Times New Roman"/>
          <w:b/>
          <w:sz w:val="24"/>
          <w:szCs w:val="24"/>
        </w:rPr>
        <w:lastRenderedPageBreak/>
        <w:t>Kapitulli  4</w:t>
      </w:r>
    </w:p>
    <w:p w:rsidR="00CA247F" w:rsidRDefault="00CA247F" w:rsidP="000F37C2">
      <w:pPr>
        <w:spacing w:after="200" w:line="288" w:lineRule="auto"/>
        <w:jc w:val="center"/>
        <w:rPr>
          <w:rFonts w:ascii="Times New Roman" w:eastAsiaTheme="minorEastAsia" w:hAnsi="Times New Roman" w:cs="Times New Roman"/>
          <w:b/>
          <w:sz w:val="24"/>
          <w:szCs w:val="24"/>
        </w:rPr>
      </w:pPr>
      <w:r w:rsidRPr="00CA247F">
        <w:rPr>
          <w:rFonts w:ascii="Times New Roman" w:eastAsiaTheme="minorEastAsia" w:hAnsi="Times New Roman" w:cs="Times New Roman"/>
          <w:b/>
          <w:sz w:val="24"/>
          <w:szCs w:val="24"/>
        </w:rPr>
        <w:t>Ujërat n</w:t>
      </w:r>
      <w:r w:rsidR="00FF3A69">
        <w:rPr>
          <w:rFonts w:ascii="Times New Roman" w:eastAsiaTheme="minorEastAsia" w:hAnsi="Times New Roman" w:cs="Times New Roman"/>
          <w:b/>
          <w:sz w:val="24"/>
          <w:szCs w:val="24"/>
        </w:rPr>
        <w:t>ë</w:t>
      </w:r>
      <w:r w:rsidRPr="00CA247F">
        <w:rPr>
          <w:rFonts w:ascii="Times New Roman" w:eastAsiaTheme="minorEastAsia" w:hAnsi="Times New Roman" w:cs="Times New Roman"/>
          <w:b/>
          <w:sz w:val="24"/>
          <w:szCs w:val="24"/>
        </w:rPr>
        <w:t>ntokësore</w:t>
      </w:r>
    </w:p>
    <w:p w:rsidR="000F37C2" w:rsidRPr="00CA247F" w:rsidRDefault="000F37C2" w:rsidP="00903995">
      <w:pPr>
        <w:spacing w:after="200" w:line="288" w:lineRule="auto"/>
        <w:rPr>
          <w:rFonts w:ascii="Times New Roman" w:eastAsiaTheme="minorEastAsia" w:hAnsi="Times New Roman" w:cs="Times New Roman"/>
          <w:b/>
          <w:sz w:val="24"/>
          <w:szCs w:val="24"/>
        </w:rPr>
      </w:pPr>
    </w:p>
    <w:p w:rsidR="00CA247F" w:rsidRPr="0031065A" w:rsidRDefault="0031065A" w:rsidP="0005229A">
      <w:pPr>
        <w:spacing w:after="200" w:line="288" w:lineRule="auto"/>
        <w:rPr>
          <w:rFonts w:ascii="Times New Roman" w:eastAsiaTheme="minorEastAsia" w:hAnsi="Times New Roman" w:cs="Times New Roman"/>
          <w:b/>
          <w:sz w:val="24"/>
          <w:szCs w:val="24"/>
        </w:rPr>
      </w:pPr>
      <w:r w:rsidRPr="0031065A">
        <w:rPr>
          <w:rFonts w:ascii="Times New Roman" w:eastAsiaTheme="minorEastAsia" w:hAnsi="Times New Roman" w:cs="Times New Roman"/>
          <w:b/>
          <w:sz w:val="24"/>
          <w:szCs w:val="24"/>
        </w:rPr>
        <w:t>4.1 Rëndësia e monitorimit</w:t>
      </w:r>
    </w:p>
    <w:p w:rsidR="00357322" w:rsidRDefault="00357322" w:rsidP="00357322">
      <w:pPr>
        <w:spacing w:after="120" w:line="240" w:lineRule="auto"/>
        <w:jc w:val="both"/>
        <w:rPr>
          <w:rFonts w:ascii="Times New Roman" w:eastAsia="Times New Roman" w:hAnsi="Times New Roman" w:cs="Times New Roman"/>
          <w:sz w:val="24"/>
          <w:szCs w:val="24"/>
        </w:rPr>
      </w:pPr>
      <w:r w:rsidRPr="00357322">
        <w:rPr>
          <w:rFonts w:ascii="Times New Roman" w:eastAsia="Times New Roman" w:hAnsi="Times New Roman" w:cs="Times New Roman"/>
          <w:sz w:val="24"/>
          <w:szCs w:val="24"/>
        </w:rPr>
        <w:t>Monitorimi i ujërave nëntokësore siguron informacion të vazhdueshëm, të besueshëm dhe të krahasueshëm mbi gjendjen, dinamikën dhe cilësinë e akuiferëve, duke mundësuar ndërhyrje të shpejta dhe planifikim afatgjatë. Rëndësia e tij qëndron në disa aspekte kryesore:</w:t>
      </w:r>
    </w:p>
    <w:p w:rsidR="00903995" w:rsidRPr="00357322" w:rsidRDefault="00903995" w:rsidP="00357322">
      <w:pPr>
        <w:spacing w:after="120" w:line="240" w:lineRule="auto"/>
        <w:jc w:val="both"/>
        <w:rPr>
          <w:rFonts w:ascii="Times New Roman" w:eastAsia="Times New Roman" w:hAnsi="Times New Roman" w:cs="Times New Roman"/>
          <w:sz w:val="24"/>
          <w:szCs w:val="24"/>
        </w:rPr>
      </w:pPr>
    </w:p>
    <w:p w:rsidR="00357322" w:rsidRPr="00357322" w:rsidRDefault="00357322" w:rsidP="00807975">
      <w:pPr>
        <w:numPr>
          <w:ilvl w:val="0"/>
          <w:numId w:val="51"/>
        </w:numPr>
        <w:spacing w:after="0" w:line="240" w:lineRule="auto"/>
        <w:ind w:left="284" w:hanging="284"/>
        <w:jc w:val="both"/>
        <w:rPr>
          <w:rFonts w:ascii="Times New Roman" w:eastAsia="Times New Roman" w:hAnsi="Times New Roman" w:cs="Times New Roman"/>
          <w:sz w:val="24"/>
          <w:szCs w:val="24"/>
        </w:rPr>
      </w:pPr>
      <w:r w:rsidRPr="00357322">
        <w:rPr>
          <w:rFonts w:ascii="Times New Roman" w:eastAsia="Times New Roman" w:hAnsi="Times New Roman" w:cs="Times New Roman"/>
          <w:b/>
          <w:bCs/>
          <w:sz w:val="24"/>
          <w:szCs w:val="24"/>
        </w:rPr>
        <w:t>Identifikimi i ndryshimeve në nivele dhe prurje</w:t>
      </w:r>
    </w:p>
    <w:p w:rsidR="00357322" w:rsidRPr="00357322" w:rsidRDefault="00357322" w:rsidP="00357322">
      <w:pPr>
        <w:spacing w:after="0" w:line="276" w:lineRule="auto"/>
        <w:jc w:val="both"/>
        <w:rPr>
          <w:rFonts w:ascii="Times New Roman" w:eastAsia="Times New Roman" w:hAnsi="Times New Roman" w:cs="Times New Roman"/>
          <w:sz w:val="24"/>
        </w:rPr>
      </w:pPr>
      <w:r w:rsidRPr="00357322">
        <w:rPr>
          <w:rFonts w:ascii="Times New Roman" w:eastAsia="Times New Roman" w:hAnsi="Times New Roman" w:cs="Times New Roman"/>
          <w:sz w:val="24"/>
        </w:rPr>
        <w:t xml:space="preserve">Matjet periodike të niveleve statike dhe dinamike lejojnë identifikimin e uljeve progresive të nivelit, shenjave të mbishfrytëzimit, si dhe ndryshimeve në regjimin hidrodinamik të akuiferëve. </w:t>
      </w:r>
      <w:r w:rsidRPr="00357322">
        <w:rPr>
          <w:rFonts w:ascii="Times New Roman" w:eastAsia="Times New Roman" w:hAnsi="Times New Roman" w:cs="Times New Roman"/>
          <w:i/>
          <w:sz w:val="24"/>
        </w:rPr>
        <w:t>Këto të dhëna janë thelbësore për vlerësimin e bilancit ujor dhe kapacitetit real të furnizimit.</w:t>
      </w:r>
    </w:p>
    <w:p w:rsidR="00357322" w:rsidRPr="00357322" w:rsidRDefault="00357322" w:rsidP="00357322">
      <w:pPr>
        <w:spacing w:before="120" w:after="0" w:line="240" w:lineRule="auto"/>
        <w:rPr>
          <w:rFonts w:ascii="Times New Roman" w:eastAsia="Times New Roman" w:hAnsi="Times New Roman" w:cs="Times New Roman"/>
          <w:sz w:val="24"/>
          <w:szCs w:val="24"/>
        </w:rPr>
      </w:pPr>
      <w:r w:rsidRPr="00357322">
        <w:rPr>
          <w:rFonts w:ascii="Times New Roman" w:eastAsia="Times New Roman" w:hAnsi="Times New Roman" w:cs="Times New Roman"/>
          <w:sz w:val="24"/>
          <w:szCs w:val="24"/>
        </w:rPr>
        <w:t xml:space="preserve">b) </w:t>
      </w:r>
      <w:r w:rsidRPr="00357322">
        <w:rPr>
          <w:rFonts w:ascii="Times New Roman" w:eastAsia="Times New Roman" w:hAnsi="Times New Roman" w:cs="Times New Roman"/>
          <w:b/>
          <w:bCs/>
          <w:sz w:val="24"/>
          <w:szCs w:val="24"/>
        </w:rPr>
        <w:t>Zbulimi i ndotjeve të fshehta</w:t>
      </w:r>
    </w:p>
    <w:p w:rsidR="00357322" w:rsidRPr="00357322" w:rsidRDefault="00357322" w:rsidP="00357322">
      <w:pPr>
        <w:spacing w:before="120" w:after="0" w:line="240" w:lineRule="auto"/>
        <w:jc w:val="both"/>
        <w:rPr>
          <w:rFonts w:ascii="Times New Roman" w:eastAsia="Times New Roman" w:hAnsi="Times New Roman" w:cs="Times New Roman"/>
          <w:sz w:val="24"/>
          <w:szCs w:val="24"/>
        </w:rPr>
      </w:pPr>
      <w:r w:rsidRPr="00357322">
        <w:rPr>
          <w:rFonts w:ascii="Times New Roman" w:eastAsia="Times New Roman" w:hAnsi="Times New Roman" w:cs="Times New Roman"/>
          <w:sz w:val="24"/>
          <w:szCs w:val="24"/>
        </w:rPr>
        <w:t xml:space="preserve">Ujërat nëntokësore mund të ndoten pa shenja të dukshme në sipërfaqe. Monitorimi sistematik mundëson identifikimin e ndotjeve nga nitrate, pesticide, aktivitetet bujqësore dhe industriale, infiltrimet nga ujërat e ndotura, si dhe nga ngjarje emergjente. </w:t>
      </w:r>
    </w:p>
    <w:p w:rsidR="00357322" w:rsidRPr="00357322" w:rsidRDefault="00357322" w:rsidP="00357322">
      <w:pPr>
        <w:spacing w:before="120" w:after="0" w:line="240" w:lineRule="auto"/>
        <w:jc w:val="both"/>
        <w:rPr>
          <w:rFonts w:ascii="Times New Roman" w:eastAsia="Times New Roman" w:hAnsi="Times New Roman" w:cs="Times New Roman"/>
          <w:sz w:val="24"/>
          <w:szCs w:val="24"/>
        </w:rPr>
      </w:pPr>
      <w:r w:rsidRPr="00357322">
        <w:rPr>
          <w:rFonts w:ascii="Times New Roman" w:eastAsia="Times New Roman" w:hAnsi="Times New Roman" w:cs="Times New Roman"/>
          <w:sz w:val="24"/>
          <w:szCs w:val="24"/>
        </w:rPr>
        <w:t>Ky informacion krijon bazën për marrjen e masave të menjëhershme në mbrojtje të konsumatorëve dhe ekosistemeve të lidhura.</w:t>
      </w:r>
    </w:p>
    <w:p w:rsidR="00357322" w:rsidRPr="00357322" w:rsidRDefault="00357322" w:rsidP="00357322">
      <w:pPr>
        <w:spacing w:before="120" w:after="0" w:line="240" w:lineRule="auto"/>
        <w:rPr>
          <w:rFonts w:ascii="Times New Roman" w:eastAsia="Times New Roman" w:hAnsi="Times New Roman" w:cs="Times New Roman"/>
          <w:sz w:val="24"/>
          <w:szCs w:val="24"/>
        </w:rPr>
      </w:pPr>
      <w:r w:rsidRPr="00357322">
        <w:rPr>
          <w:rFonts w:ascii="Times New Roman" w:eastAsia="Times New Roman" w:hAnsi="Times New Roman" w:cs="Times New Roman"/>
          <w:sz w:val="24"/>
          <w:szCs w:val="24"/>
        </w:rPr>
        <w:t xml:space="preserve">c) </w:t>
      </w:r>
      <w:r w:rsidRPr="00357322">
        <w:rPr>
          <w:rFonts w:ascii="Times New Roman" w:eastAsia="Times New Roman" w:hAnsi="Times New Roman" w:cs="Times New Roman"/>
          <w:b/>
          <w:bCs/>
          <w:sz w:val="24"/>
          <w:szCs w:val="24"/>
        </w:rPr>
        <w:t>Mbrojtja e burimeve strategjike të ujit të pijshëm</w:t>
      </w:r>
    </w:p>
    <w:p w:rsidR="00357322" w:rsidRPr="00357322" w:rsidRDefault="00357322" w:rsidP="00357322">
      <w:pPr>
        <w:spacing w:after="0" w:line="240" w:lineRule="auto"/>
        <w:jc w:val="both"/>
        <w:rPr>
          <w:rFonts w:ascii="Times New Roman" w:eastAsia="Times New Roman" w:hAnsi="Times New Roman" w:cs="Times New Roman"/>
          <w:sz w:val="24"/>
          <w:szCs w:val="24"/>
        </w:rPr>
      </w:pPr>
      <w:r w:rsidRPr="00357322">
        <w:rPr>
          <w:rFonts w:ascii="Times New Roman" w:eastAsia="Times New Roman" w:hAnsi="Times New Roman" w:cs="Times New Roman"/>
          <w:sz w:val="24"/>
          <w:szCs w:val="24"/>
        </w:rPr>
        <w:t>Monitorimi shërben si sistem sinjalizimi i hershëm për ndotjet apo ndryshimet negative pranë zonave të mbrojtura, stacioneve të pompimit, kaptazheve dhe puseve të furnizimit publik me ujë të pijshëm.</w:t>
      </w:r>
    </w:p>
    <w:p w:rsidR="00357322" w:rsidRPr="00357322" w:rsidRDefault="00357322" w:rsidP="00357322">
      <w:pPr>
        <w:spacing w:before="120" w:after="0" w:line="240" w:lineRule="auto"/>
        <w:rPr>
          <w:rFonts w:ascii="Times New Roman" w:eastAsia="Times New Roman" w:hAnsi="Times New Roman" w:cs="Times New Roman"/>
          <w:sz w:val="24"/>
          <w:szCs w:val="24"/>
        </w:rPr>
      </w:pPr>
      <w:r w:rsidRPr="00357322">
        <w:rPr>
          <w:rFonts w:ascii="Times New Roman" w:eastAsia="Times New Roman" w:hAnsi="Times New Roman" w:cs="Times New Roman"/>
          <w:sz w:val="24"/>
          <w:szCs w:val="24"/>
        </w:rPr>
        <w:t xml:space="preserve">d) </w:t>
      </w:r>
      <w:r w:rsidRPr="00357322">
        <w:rPr>
          <w:rFonts w:ascii="Times New Roman" w:eastAsia="Times New Roman" w:hAnsi="Times New Roman" w:cs="Times New Roman"/>
          <w:b/>
          <w:bCs/>
          <w:sz w:val="24"/>
          <w:szCs w:val="24"/>
        </w:rPr>
        <w:t>Parandalimi i degradimit të pakthyeshëm të akuiferëve</w:t>
      </w:r>
    </w:p>
    <w:p w:rsidR="00357322" w:rsidRPr="00357322" w:rsidRDefault="00357322" w:rsidP="00357322">
      <w:pPr>
        <w:spacing w:after="0" w:line="240" w:lineRule="auto"/>
        <w:jc w:val="both"/>
        <w:rPr>
          <w:rFonts w:ascii="Times New Roman" w:eastAsia="Times New Roman" w:hAnsi="Times New Roman" w:cs="Times New Roman"/>
          <w:sz w:val="24"/>
          <w:szCs w:val="24"/>
        </w:rPr>
      </w:pPr>
      <w:r w:rsidRPr="00357322">
        <w:rPr>
          <w:rFonts w:ascii="Times New Roman" w:eastAsia="Times New Roman" w:hAnsi="Times New Roman" w:cs="Times New Roman"/>
          <w:sz w:val="24"/>
          <w:szCs w:val="24"/>
        </w:rPr>
        <w:t>Mbishfrytëzimi i ujërave nëntokësore mund të çojë në ulje të ndjeshme të niveleve, intruzion detar në zonat bregdetare dhe humbje të kapacitetit natyror të akuiferëve. Monitorimi i vazhdueshëm ndihmon në parashikimin e këtyre proceseve dhe në marrjen e masave parandaluese për të shmangur dëmtime të pakthyeshme.</w:t>
      </w:r>
    </w:p>
    <w:p w:rsidR="00357322" w:rsidRPr="00357322" w:rsidRDefault="00357322" w:rsidP="00357322">
      <w:pPr>
        <w:spacing w:before="120" w:after="0" w:line="240" w:lineRule="auto"/>
        <w:rPr>
          <w:rFonts w:ascii="Times New Roman" w:eastAsia="Times New Roman" w:hAnsi="Times New Roman" w:cs="Times New Roman"/>
          <w:sz w:val="24"/>
          <w:szCs w:val="24"/>
        </w:rPr>
      </w:pPr>
      <w:r w:rsidRPr="00357322">
        <w:rPr>
          <w:rFonts w:ascii="Times New Roman" w:eastAsia="Times New Roman" w:hAnsi="Times New Roman" w:cs="Times New Roman"/>
          <w:sz w:val="24"/>
          <w:szCs w:val="24"/>
        </w:rPr>
        <w:t xml:space="preserve">e) </w:t>
      </w:r>
      <w:r w:rsidRPr="00357322">
        <w:rPr>
          <w:rFonts w:ascii="Times New Roman" w:eastAsia="Times New Roman" w:hAnsi="Times New Roman" w:cs="Times New Roman"/>
          <w:b/>
          <w:bCs/>
          <w:sz w:val="24"/>
          <w:szCs w:val="24"/>
        </w:rPr>
        <w:t>Sigurimi i të dhënave për planifikim të qëndrueshëm</w:t>
      </w:r>
    </w:p>
    <w:p w:rsidR="0005229A" w:rsidRDefault="00357322" w:rsidP="00F1390A">
      <w:pPr>
        <w:spacing w:after="0" w:line="240" w:lineRule="auto"/>
        <w:jc w:val="both"/>
        <w:rPr>
          <w:rFonts w:ascii="Times New Roman" w:eastAsia="Times New Roman" w:hAnsi="Times New Roman" w:cs="Times New Roman"/>
          <w:sz w:val="24"/>
          <w:szCs w:val="24"/>
        </w:rPr>
      </w:pPr>
      <w:r w:rsidRPr="00357322">
        <w:rPr>
          <w:rFonts w:ascii="Times New Roman" w:eastAsia="Times New Roman" w:hAnsi="Times New Roman" w:cs="Times New Roman"/>
          <w:sz w:val="24"/>
          <w:szCs w:val="24"/>
        </w:rPr>
        <w:t xml:space="preserve">Seritë kohore të krijuara nga monitorimi ofrojnë informacion mbi trendet afatgjata hidrodinamike dhe hidrokimike, të domosdoshme për hartimin e planeve të menaxhimit të baseneve </w:t>
      </w:r>
      <w:r w:rsidR="00894388">
        <w:rPr>
          <w:rFonts w:ascii="Times New Roman" w:eastAsia="Times New Roman" w:hAnsi="Times New Roman" w:cs="Times New Roman"/>
          <w:sz w:val="24"/>
          <w:szCs w:val="24"/>
        </w:rPr>
        <w:t>lumore</w:t>
      </w:r>
      <w:r w:rsidRPr="00357322">
        <w:rPr>
          <w:rFonts w:ascii="Times New Roman" w:eastAsia="Times New Roman" w:hAnsi="Times New Roman" w:cs="Times New Roman"/>
          <w:sz w:val="24"/>
          <w:szCs w:val="24"/>
        </w:rPr>
        <w:t>, vlerësimin e riskut, analizën e ndikimeve klimatike dhe formulimin e politikave kombëtare për f</w:t>
      </w:r>
      <w:r w:rsidR="00F1390A">
        <w:rPr>
          <w:rFonts w:ascii="Times New Roman" w:eastAsia="Times New Roman" w:hAnsi="Times New Roman" w:cs="Times New Roman"/>
          <w:sz w:val="24"/>
          <w:szCs w:val="24"/>
        </w:rPr>
        <w:t>urnizimin e qëndrueshëm me ujë.</w:t>
      </w:r>
    </w:p>
    <w:p w:rsidR="00903995" w:rsidRDefault="00903995" w:rsidP="00F1390A">
      <w:pPr>
        <w:spacing w:after="0" w:line="240" w:lineRule="auto"/>
        <w:jc w:val="both"/>
        <w:rPr>
          <w:rFonts w:ascii="Times New Roman" w:eastAsia="Times New Roman" w:hAnsi="Times New Roman" w:cs="Times New Roman"/>
          <w:sz w:val="24"/>
          <w:szCs w:val="24"/>
        </w:rPr>
      </w:pPr>
    </w:p>
    <w:p w:rsidR="00903995" w:rsidRDefault="00903995" w:rsidP="00F1390A">
      <w:pPr>
        <w:spacing w:after="0" w:line="240" w:lineRule="auto"/>
        <w:jc w:val="both"/>
        <w:rPr>
          <w:rFonts w:ascii="Times New Roman" w:eastAsia="Times New Roman" w:hAnsi="Times New Roman" w:cs="Times New Roman"/>
          <w:sz w:val="24"/>
          <w:szCs w:val="24"/>
        </w:rPr>
      </w:pPr>
    </w:p>
    <w:p w:rsidR="00903995" w:rsidRDefault="00903995" w:rsidP="00F1390A">
      <w:pPr>
        <w:spacing w:after="0" w:line="240" w:lineRule="auto"/>
        <w:jc w:val="both"/>
        <w:rPr>
          <w:rFonts w:ascii="Times New Roman" w:eastAsia="Times New Roman" w:hAnsi="Times New Roman" w:cs="Times New Roman"/>
          <w:sz w:val="24"/>
          <w:szCs w:val="24"/>
        </w:rPr>
      </w:pPr>
    </w:p>
    <w:p w:rsidR="00903995" w:rsidRDefault="00903995" w:rsidP="00F1390A">
      <w:pPr>
        <w:spacing w:after="0" w:line="240" w:lineRule="auto"/>
        <w:jc w:val="both"/>
        <w:rPr>
          <w:rFonts w:ascii="Times New Roman" w:eastAsia="Times New Roman" w:hAnsi="Times New Roman" w:cs="Times New Roman"/>
          <w:sz w:val="24"/>
          <w:szCs w:val="24"/>
        </w:rPr>
      </w:pPr>
    </w:p>
    <w:p w:rsidR="00903995" w:rsidRDefault="00903995" w:rsidP="00F1390A">
      <w:pPr>
        <w:spacing w:after="0" w:line="240" w:lineRule="auto"/>
        <w:jc w:val="both"/>
        <w:rPr>
          <w:rFonts w:ascii="Times New Roman" w:eastAsia="Times New Roman" w:hAnsi="Times New Roman" w:cs="Times New Roman"/>
          <w:sz w:val="24"/>
          <w:szCs w:val="24"/>
        </w:rPr>
      </w:pPr>
    </w:p>
    <w:p w:rsidR="00903995" w:rsidRDefault="00903995" w:rsidP="00F1390A">
      <w:pPr>
        <w:spacing w:after="0" w:line="240" w:lineRule="auto"/>
        <w:jc w:val="both"/>
        <w:rPr>
          <w:rFonts w:ascii="Times New Roman" w:eastAsia="Times New Roman" w:hAnsi="Times New Roman" w:cs="Times New Roman"/>
          <w:sz w:val="24"/>
          <w:szCs w:val="24"/>
        </w:rPr>
      </w:pPr>
    </w:p>
    <w:p w:rsidR="00F1390A" w:rsidRPr="00F1390A" w:rsidRDefault="00F1390A" w:rsidP="00F1390A">
      <w:pPr>
        <w:spacing w:after="0" w:line="240" w:lineRule="auto"/>
        <w:jc w:val="both"/>
        <w:rPr>
          <w:rFonts w:ascii="Times New Roman" w:eastAsia="Times New Roman" w:hAnsi="Times New Roman" w:cs="Times New Roman"/>
          <w:sz w:val="24"/>
          <w:szCs w:val="24"/>
        </w:rPr>
      </w:pPr>
    </w:p>
    <w:p w:rsidR="00CA247F" w:rsidRPr="0031065A" w:rsidRDefault="0031065A" w:rsidP="004D460A">
      <w:pPr>
        <w:pStyle w:val="ListParagraph"/>
        <w:numPr>
          <w:ilvl w:val="1"/>
          <w:numId w:val="24"/>
        </w:numPr>
        <w:spacing w:after="200" w:line="288" w:lineRule="auto"/>
        <w:rPr>
          <w:rFonts w:ascii="Times New Roman" w:eastAsiaTheme="minorEastAsia" w:hAnsi="Times New Roman" w:cs="Times New Roman"/>
          <w:b/>
          <w:sz w:val="24"/>
          <w:szCs w:val="24"/>
        </w:rPr>
      </w:pPr>
      <w:r w:rsidRPr="0031065A">
        <w:rPr>
          <w:rFonts w:ascii="Times New Roman" w:eastAsiaTheme="minorEastAsia" w:hAnsi="Times New Roman" w:cs="Times New Roman"/>
          <w:b/>
          <w:sz w:val="24"/>
          <w:szCs w:val="24"/>
        </w:rPr>
        <w:t>Vlerësimi i gjendjes</w:t>
      </w:r>
    </w:p>
    <w:p w:rsidR="0031065A" w:rsidRPr="0031065A" w:rsidRDefault="0031065A" w:rsidP="0031065A">
      <w:pPr>
        <w:keepNext/>
        <w:spacing w:before="120" w:after="60" w:line="240" w:lineRule="auto"/>
        <w:jc w:val="both"/>
        <w:outlineLvl w:val="0"/>
        <w:rPr>
          <w:rFonts w:ascii="Times New Roman" w:eastAsia="Times New Roman" w:hAnsi="Times New Roman" w:cs="Times New Roman"/>
          <w:b/>
          <w:bCs/>
          <w:i/>
          <w:kern w:val="32"/>
          <w:sz w:val="24"/>
          <w:szCs w:val="24"/>
        </w:rPr>
      </w:pPr>
      <w:bookmarkStart w:id="18" w:name="_Toc223000351"/>
      <w:r>
        <w:rPr>
          <w:rFonts w:ascii="Times New Roman" w:eastAsia="Times New Roman" w:hAnsi="Times New Roman" w:cs="Times New Roman"/>
          <w:b/>
          <w:bCs/>
          <w:kern w:val="32"/>
          <w:sz w:val="24"/>
          <w:szCs w:val="24"/>
        </w:rPr>
        <w:t>4.2.1 B</w:t>
      </w:r>
      <w:r w:rsidR="00AC6EA7">
        <w:rPr>
          <w:rFonts w:ascii="Times New Roman" w:eastAsia="Times New Roman" w:hAnsi="Times New Roman" w:cs="Times New Roman"/>
          <w:b/>
          <w:bCs/>
          <w:kern w:val="32"/>
          <w:sz w:val="24"/>
          <w:szCs w:val="24"/>
        </w:rPr>
        <w:t>aseni i</w:t>
      </w:r>
      <w:r w:rsidRPr="0031065A">
        <w:rPr>
          <w:rFonts w:ascii="Times New Roman" w:eastAsia="Times New Roman" w:hAnsi="Times New Roman" w:cs="Times New Roman"/>
          <w:b/>
          <w:bCs/>
          <w:kern w:val="32"/>
          <w:sz w:val="24"/>
          <w:szCs w:val="24"/>
        </w:rPr>
        <w:t xml:space="preserve"> Drinit</w:t>
      </w:r>
      <w:bookmarkEnd w:id="18"/>
    </w:p>
    <w:p w:rsidR="0031065A" w:rsidRPr="0031065A" w:rsidRDefault="0031065A" w:rsidP="0031065A">
      <w:pPr>
        <w:spacing w:after="0" w:line="276" w:lineRule="auto"/>
        <w:jc w:val="both"/>
        <w:rPr>
          <w:rFonts w:ascii="Times New Roman" w:hAnsi="Times New Roman" w:cs="Times New Roman"/>
          <w:sz w:val="24"/>
        </w:rPr>
      </w:pPr>
      <w:r w:rsidRPr="0031065A">
        <w:rPr>
          <w:rFonts w:ascii="Times New Roman" w:hAnsi="Times New Roman" w:cs="Times New Roman"/>
          <w:sz w:val="24"/>
          <w:szCs w:val="24"/>
          <w:lang w:val="sq-AL"/>
        </w:rPr>
        <w:t xml:space="preserve">Monitorimi hidrodinamik dhe hidrokimik i ujërave nëntokësore (UN) në akuiferët e basenit të Drinit është kryer dy herë në vit. </w:t>
      </w:r>
    </w:p>
    <w:p w:rsidR="0031065A" w:rsidRDefault="0031065A" w:rsidP="0031065A">
      <w:pPr>
        <w:spacing w:after="0" w:line="276" w:lineRule="auto"/>
        <w:jc w:val="both"/>
        <w:rPr>
          <w:rFonts w:ascii="Times New Roman" w:hAnsi="Times New Roman" w:cs="Times New Roman"/>
          <w:bCs/>
          <w:iCs/>
          <w:sz w:val="24"/>
          <w:szCs w:val="24"/>
          <w:lang w:val="sq-AL"/>
        </w:rPr>
      </w:pPr>
    </w:p>
    <w:p w:rsidR="0031065A" w:rsidRPr="0031065A" w:rsidRDefault="0031065A" w:rsidP="00807975">
      <w:pPr>
        <w:pStyle w:val="ListParagraph"/>
        <w:numPr>
          <w:ilvl w:val="0"/>
          <w:numId w:val="54"/>
        </w:numPr>
        <w:spacing w:after="0" w:line="276" w:lineRule="auto"/>
        <w:jc w:val="both"/>
        <w:rPr>
          <w:rFonts w:ascii="Times New Roman" w:hAnsi="Times New Roman" w:cs="Times New Roman"/>
          <w:sz w:val="24"/>
          <w:szCs w:val="24"/>
          <w:lang w:val="sq-AL"/>
        </w:rPr>
      </w:pPr>
      <w:r w:rsidRPr="0031065A">
        <w:rPr>
          <w:rFonts w:ascii="Times New Roman" w:hAnsi="Times New Roman" w:cs="Times New Roman"/>
          <w:b/>
          <w:bCs/>
          <w:i/>
          <w:iCs/>
          <w:sz w:val="24"/>
          <w:szCs w:val="24"/>
          <w:lang w:val="sq-AL"/>
        </w:rPr>
        <w:t>Sasia e përgjithshme e ujit që shfryt</w:t>
      </w:r>
      <w:r w:rsidRPr="0031065A">
        <w:rPr>
          <w:rFonts w:ascii="Times New Roman" w:hAnsi="Times New Roman" w:cs="Times New Roman"/>
          <w:b/>
          <w:i/>
          <w:sz w:val="24"/>
          <w:szCs w:val="24"/>
          <w:lang w:val="sq-AL"/>
        </w:rPr>
        <w:t>ë</w:t>
      </w:r>
      <w:r w:rsidRPr="0031065A">
        <w:rPr>
          <w:rFonts w:ascii="Times New Roman" w:hAnsi="Times New Roman" w:cs="Times New Roman"/>
          <w:b/>
          <w:bCs/>
          <w:i/>
          <w:iCs/>
          <w:sz w:val="24"/>
          <w:szCs w:val="24"/>
          <w:lang w:val="sq-AL"/>
        </w:rPr>
        <w:t>zohet nga a</w:t>
      </w:r>
      <w:r w:rsidRPr="0031065A">
        <w:rPr>
          <w:rFonts w:ascii="Times New Roman" w:hAnsi="Times New Roman" w:cs="Times New Roman"/>
          <w:b/>
          <w:i/>
          <w:sz w:val="24"/>
          <w:szCs w:val="24"/>
          <w:lang w:val="sq-AL"/>
        </w:rPr>
        <w:t>kuiferi i Mbishkodrës</w:t>
      </w:r>
      <w:r w:rsidRPr="0031065A">
        <w:rPr>
          <w:rFonts w:ascii="Times New Roman" w:hAnsi="Times New Roman" w:cs="Times New Roman"/>
          <w:sz w:val="24"/>
          <w:szCs w:val="24"/>
          <w:lang w:val="sq-AL"/>
        </w:rPr>
        <w:t>.</w:t>
      </w:r>
    </w:p>
    <w:p w:rsidR="0031065A" w:rsidRPr="0031065A" w:rsidRDefault="0031065A" w:rsidP="0031065A">
      <w:pPr>
        <w:spacing w:after="0" w:line="276" w:lineRule="auto"/>
        <w:jc w:val="both"/>
        <w:rPr>
          <w:rFonts w:ascii="Times New Roman" w:hAnsi="Times New Roman" w:cs="Times New Roman"/>
          <w:sz w:val="24"/>
          <w:szCs w:val="24"/>
          <w:lang w:val="sq-AL"/>
        </w:rPr>
      </w:pPr>
      <w:r w:rsidRPr="0031065A">
        <w:rPr>
          <w:rFonts w:ascii="Times New Roman" w:hAnsi="Times New Roman" w:cs="Times New Roman"/>
          <w:sz w:val="24"/>
          <w:szCs w:val="24"/>
          <w:lang w:val="sq-AL"/>
        </w:rPr>
        <w:t xml:space="preserve">Qyteti i Shkodrës furnizohet me ujë nga zona e Dobraçit me anë të shpimeve hidrogjeologjike dhe konkretisht: </w:t>
      </w:r>
    </w:p>
    <w:p w:rsidR="0031065A" w:rsidRPr="0031065A" w:rsidRDefault="0031065A" w:rsidP="00807975">
      <w:pPr>
        <w:numPr>
          <w:ilvl w:val="0"/>
          <w:numId w:val="52"/>
        </w:numPr>
        <w:spacing w:after="0" w:line="276" w:lineRule="auto"/>
        <w:jc w:val="both"/>
        <w:rPr>
          <w:rFonts w:ascii="Times New Roman" w:hAnsi="Times New Roman" w:cs="Times New Roman"/>
          <w:bCs/>
          <w:iCs/>
          <w:sz w:val="24"/>
          <w:szCs w:val="24"/>
          <w:lang w:val="sq-AL"/>
        </w:rPr>
      </w:pPr>
      <w:r w:rsidRPr="0031065A">
        <w:rPr>
          <w:rFonts w:ascii="Times New Roman" w:hAnsi="Times New Roman" w:cs="Times New Roman"/>
          <w:bCs/>
          <w:iCs/>
          <w:sz w:val="24"/>
          <w:szCs w:val="24"/>
          <w:lang w:val="sq-AL"/>
        </w:rPr>
        <w:t>Nga stacioni i pomp</w:t>
      </w:r>
      <w:r w:rsidR="00CF1326">
        <w:rPr>
          <w:rFonts w:ascii="Times New Roman" w:hAnsi="Times New Roman" w:cs="Times New Roman"/>
          <w:bCs/>
          <w:iCs/>
          <w:sz w:val="24"/>
          <w:szCs w:val="24"/>
          <w:lang w:val="sq-AL"/>
        </w:rPr>
        <w:t>imit Dobraç merret sasia e ujit</w:t>
      </w:r>
      <w:r w:rsidRPr="0031065A">
        <w:rPr>
          <w:rFonts w:ascii="Times New Roman" w:hAnsi="Times New Roman" w:cs="Times New Roman"/>
          <w:bCs/>
          <w:iCs/>
          <w:sz w:val="24"/>
          <w:szCs w:val="24"/>
          <w:lang w:val="sq-AL"/>
        </w:rPr>
        <w:t xml:space="preserve"> Q</w:t>
      </w:r>
      <w:r w:rsidR="00CF1326">
        <w:rPr>
          <w:rFonts w:ascii="Times New Roman" w:hAnsi="Times New Roman" w:cs="Times New Roman"/>
          <w:bCs/>
          <w:iCs/>
          <w:sz w:val="24"/>
          <w:szCs w:val="24"/>
          <w:lang w:val="sq-AL"/>
        </w:rPr>
        <w:t xml:space="preserve"> </w:t>
      </w:r>
      <w:r w:rsidRPr="0031065A">
        <w:rPr>
          <w:rFonts w:ascii="Times New Roman" w:hAnsi="Times New Roman" w:cs="Times New Roman"/>
          <w:bCs/>
          <w:iCs/>
          <w:sz w:val="24"/>
          <w:szCs w:val="24"/>
          <w:lang w:val="sq-AL"/>
        </w:rPr>
        <w:t>=</w:t>
      </w:r>
      <w:r w:rsidR="00CF1326">
        <w:rPr>
          <w:rFonts w:ascii="Times New Roman" w:hAnsi="Times New Roman" w:cs="Times New Roman"/>
          <w:bCs/>
          <w:iCs/>
          <w:sz w:val="24"/>
          <w:szCs w:val="24"/>
          <w:lang w:val="sq-AL"/>
        </w:rPr>
        <w:t xml:space="preserve"> </w:t>
      </w:r>
      <w:r w:rsidRPr="0031065A">
        <w:rPr>
          <w:rFonts w:ascii="Times New Roman" w:hAnsi="Times New Roman" w:cs="Times New Roman"/>
          <w:bCs/>
          <w:iCs/>
          <w:sz w:val="24"/>
          <w:szCs w:val="24"/>
          <w:lang w:val="sq-AL"/>
        </w:rPr>
        <w:t>800-1100 l/sek.</w:t>
      </w:r>
    </w:p>
    <w:p w:rsidR="0031065A" w:rsidRPr="0031065A" w:rsidRDefault="0031065A" w:rsidP="0031065A">
      <w:pPr>
        <w:spacing w:after="0" w:line="276" w:lineRule="auto"/>
        <w:jc w:val="both"/>
        <w:rPr>
          <w:rFonts w:ascii="Times New Roman" w:hAnsi="Times New Roman" w:cs="Times New Roman"/>
          <w:bCs/>
          <w:iCs/>
          <w:sz w:val="24"/>
          <w:szCs w:val="24"/>
          <w:lang w:val="sq-AL"/>
        </w:rPr>
      </w:pPr>
      <w:r w:rsidRPr="0031065A">
        <w:rPr>
          <w:rFonts w:ascii="Times New Roman" w:hAnsi="Times New Roman" w:cs="Times New Roman"/>
          <w:bCs/>
          <w:iCs/>
          <w:sz w:val="24"/>
          <w:szCs w:val="24"/>
          <w:lang w:val="sq-AL"/>
        </w:rPr>
        <w:t>Shpime të tjera që shfrytëzohen për furnizimin me ujë të popullsisë së disa fshatrave të Shkodrës janë:</w:t>
      </w:r>
    </w:p>
    <w:p w:rsidR="0031065A" w:rsidRPr="0031065A" w:rsidRDefault="0031065A" w:rsidP="00807975">
      <w:pPr>
        <w:numPr>
          <w:ilvl w:val="0"/>
          <w:numId w:val="53"/>
        </w:numPr>
        <w:spacing w:after="0" w:line="276" w:lineRule="auto"/>
        <w:jc w:val="both"/>
        <w:rPr>
          <w:rFonts w:ascii="Times New Roman" w:hAnsi="Times New Roman" w:cs="Times New Roman"/>
          <w:bCs/>
          <w:iCs/>
          <w:sz w:val="24"/>
          <w:szCs w:val="24"/>
          <w:lang w:val="sq-AL"/>
        </w:rPr>
      </w:pPr>
      <w:r w:rsidRPr="0031065A">
        <w:rPr>
          <w:rFonts w:ascii="Times New Roman" w:hAnsi="Times New Roman" w:cs="Times New Roman"/>
          <w:bCs/>
          <w:iCs/>
          <w:sz w:val="24"/>
          <w:szCs w:val="24"/>
          <w:lang w:val="sq-AL"/>
        </w:rPr>
        <w:t>Stacioni i pompimit të Bërdicës me prurje Q</w:t>
      </w:r>
      <w:r w:rsidR="00CF1326">
        <w:rPr>
          <w:rFonts w:ascii="Times New Roman" w:hAnsi="Times New Roman" w:cs="Times New Roman"/>
          <w:bCs/>
          <w:iCs/>
          <w:sz w:val="24"/>
          <w:szCs w:val="24"/>
          <w:lang w:val="sq-AL"/>
        </w:rPr>
        <w:t xml:space="preserve"> </w:t>
      </w:r>
      <w:r w:rsidRPr="0031065A">
        <w:rPr>
          <w:rFonts w:ascii="Times New Roman" w:hAnsi="Times New Roman" w:cs="Times New Roman"/>
          <w:bCs/>
          <w:iCs/>
          <w:sz w:val="24"/>
          <w:szCs w:val="24"/>
          <w:lang w:val="sq-AL"/>
        </w:rPr>
        <w:t>=</w:t>
      </w:r>
      <w:r w:rsidR="00CF1326">
        <w:rPr>
          <w:rFonts w:ascii="Times New Roman" w:hAnsi="Times New Roman" w:cs="Times New Roman"/>
          <w:bCs/>
          <w:iCs/>
          <w:sz w:val="24"/>
          <w:szCs w:val="24"/>
          <w:lang w:val="sq-AL"/>
        </w:rPr>
        <w:t xml:space="preserve"> </w:t>
      </w:r>
      <w:r w:rsidRPr="0031065A">
        <w:rPr>
          <w:rFonts w:ascii="Times New Roman" w:hAnsi="Times New Roman" w:cs="Times New Roman"/>
          <w:bCs/>
          <w:iCs/>
          <w:sz w:val="24"/>
          <w:szCs w:val="24"/>
          <w:lang w:val="sq-AL"/>
        </w:rPr>
        <w:t>100 l/sek, 2 shpime.</w:t>
      </w:r>
    </w:p>
    <w:p w:rsidR="0031065A" w:rsidRPr="0031065A" w:rsidRDefault="0031065A" w:rsidP="00807975">
      <w:pPr>
        <w:numPr>
          <w:ilvl w:val="0"/>
          <w:numId w:val="53"/>
        </w:numPr>
        <w:spacing w:after="0" w:line="276" w:lineRule="auto"/>
        <w:jc w:val="both"/>
        <w:rPr>
          <w:rFonts w:ascii="Times New Roman" w:hAnsi="Times New Roman" w:cs="Times New Roman"/>
          <w:bCs/>
          <w:iCs/>
          <w:sz w:val="24"/>
          <w:szCs w:val="24"/>
          <w:lang w:val="sq-AL"/>
        </w:rPr>
      </w:pPr>
      <w:r w:rsidRPr="0031065A">
        <w:rPr>
          <w:rFonts w:ascii="Times New Roman" w:hAnsi="Times New Roman" w:cs="Times New Roman"/>
          <w:bCs/>
          <w:iCs/>
          <w:sz w:val="24"/>
          <w:szCs w:val="24"/>
          <w:lang w:val="sq-AL"/>
        </w:rPr>
        <w:t>Stacioni i pompimit të Bahçall</w:t>
      </w:r>
      <w:r w:rsidRPr="0031065A">
        <w:rPr>
          <w:rFonts w:ascii="Times New Roman" w:hAnsi="Times New Roman" w:cs="Times New Roman"/>
          <w:sz w:val="24"/>
          <w:szCs w:val="24"/>
          <w:lang w:val="sq-AL"/>
        </w:rPr>
        <w:t>ë</w:t>
      </w:r>
      <w:r w:rsidRPr="0031065A">
        <w:rPr>
          <w:rFonts w:ascii="Times New Roman" w:hAnsi="Times New Roman" w:cs="Times New Roman"/>
          <w:bCs/>
          <w:iCs/>
          <w:sz w:val="24"/>
          <w:szCs w:val="24"/>
          <w:lang w:val="sq-AL"/>
        </w:rPr>
        <w:t>kut me prurje Q</w:t>
      </w:r>
      <w:r w:rsidR="00CF1326">
        <w:rPr>
          <w:rFonts w:ascii="Times New Roman" w:hAnsi="Times New Roman" w:cs="Times New Roman"/>
          <w:bCs/>
          <w:iCs/>
          <w:sz w:val="24"/>
          <w:szCs w:val="24"/>
          <w:lang w:val="sq-AL"/>
        </w:rPr>
        <w:t xml:space="preserve"> </w:t>
      </w:r>
      <w:r w:rsidRPr="0031065A">
        <w:rPr>
          <w:rFonts w:ascii="Times New Roman" w:hAnsi="Times New Roman" w:cs="Times New Roman"/>
          <w:bCs/>
          <w:iCs/>
          <w:sz w:val="24"/>
          <w:szCs w:val="24"/>
          <w:lang w:val="sq-AL"/>
        </w:rPr>
        <w:t>= 100 l/sek.</w:t>
      </w:r>
    </w:p>
    <w:p w:rsidR="0031065A" w:rsidRPr="0031065A" w:rsidRDefault="0031065A" w:rsidP="00807975">
      <w:pPr>
        <w:numPr>
          <w:ilvl w:val="0"/>
          <w:numId w:val="53"/>
        </w:numPr>
        <w:spacing w:after="0" w:line="276" w:lineRule="auto"/>
        <w:jc w:val="both"/>
        <w:rPr>
          <w:rFonts w:ascii="Times New Roman" w:hAnsi="Times New Roman" w:cs="Times New Roman"/>
          <w:bCs/>
          <w:iCs/>
          <w:sz w:val="24"/>
          <w:szCs w:val="24"/>
          <w:lang w:val="sq-AL"/>
        </w:rPr>
      </w:pPr>
      <w:r w:rsidRPr="0031065A">
        <w:rPr>
          <w:rFonts w:ascii="Times New Roman" w:hAnsi="Times New Roman" w:cs="Times New Roman"/>
          <w:bCs/>
          <w:iCs/>
          <w:sz w:val="24"/>
          <w:szCs w:val="24"/>
          <w:lang w:val="sq-AL"/>
        </w:rPr>
        <w:t>Stacioni i pompimit të Dajçit-Bunës me prurje Q</w:t>
      </w:r>
      <w:r w:rsidR="00CF1326">
        <w:rPr>
          <w:rFonts w:ascii="Times New Roman" w:hAnsi="Times New Roman" w:cs="Times New Roman"/>
          <w:bCs/>
          <w:iCs/>
          <w:sz w:val="24"/>
          <w:szCs w:val="24"/>
          <w:lang w:val="sq-AL"/>
        </w:rPr>
        <w:t xml:space="preserve"> </w:t>
      </w:r>
      <w:r w:rsidRPr="0031065A">
        <w:rPr>
          <w:rFonts w:ascii="Times New Roman" w:hAnsi="Times New Roman" w:cs="Times New Roman"/>
          <w:bCs/>
          <w:iCs/>
          <w:sz w:val="24"/>
          <w:szCs w:val="24"/>
          <w:lang w:val="sq-AL"/>
        </w:rPr>
        <w:t>= 11 l/sek</w:t>
      </w:r>
    </w:p>
    <w:p w:rsidR="0031065A" w:rsidRPr="0031065A" w:rsidRDefault="0031065A" w:rsidP="00807975">
      <w:pPr>
        <w:numPr>
          <w:ilvl w:val="0"/>
          <w:numId w:val="53"/>
        </w:numPr>
        <w:spacing w:after="0" w:line="276" w:lineRule="auto"/>
        <w:jc w:val="both"/>
        <w:rPr>
          <w:rFonts w:ascii="Times New Roman" w:hAnsi="Times New Roman" w:cs="Times New Roman"/>
          <w:bCs/>
          <w:iCs/>
          <w:sz w:val="24"/>
          <w:szCs w:val="24"/>
          <w:lang w:val="sq-AL"/>
        </w:rPr>
      </w:pPr>
      <w:r w:rsidRPr="0031065A">
        <w:rPr>
          <w:rFonts w:ascii="Times New Roman" w:hAnsi="Times New Roman" w:cs="Times New Roman"/>
          <w:bCs/>
          <w:iCs/>
          <w:sz w:val="24"/>
          <w:szCs w:val="24"/>
          <w:lang w:val="sq-AL"/>
        </w:rPr>
        <w:t>Shpime të tjerë me prurje Q</w:t>
      </w:r>
      <w:r w:rsidR="00CF1326">
        <w:rPr>
          <w:rFonts w:ascii="Times New Roman" w:hAnsi="Times New Roman" w:cs="Times New Roman"/>
          <w:bCs/>
          <w:iCs/>
          <w:sz w:val="24"/>
          <w:szCs w:val="24"/>
          <w:lang w:val="sq-AL"/>
        </w:rPr>
        <w:t xml:space="preserve"> </w:t>
      </w:r>
      <w:r w:rsidRPr="0031065A">
        <w:rPr>
          <w:rFonts w:ascii="Times New Roman" w:hAnsi="Times New Roman" w:cs="Times New Roman"/>
          <w:bCs/>
          <w:iCs/>
          <w:sz w:val="24"/>
          <w:szCs w:val="24"/>
          <w:lang w:val="sq-AL"/>
        </w:rPr>
        <w:t>= 80-100 l/sek</w:t>
      </w:r>
    </w:p>
    <w:p w:rsidR="0031065A" w:rsidRPr="0031065A" w:rsidRDefault="0031065A" w:rsidP="00807975">
      <w:pPr>
        <w:numPr>
          <w:ilvl w:val="0"/>
          <w:numId w:val="53"/>
        </w:numPr>
        <w:spacing w:after="0" w:line="240" w:lineRule="auto"/>
        <w:jc w:val="both"/>
        <w:rPr>
          <w:rFonts w:ascii="Times New Roman" w:hAnsi="Times New Roman" w:cs="Times New Roman"/>
          <w:bCs/>
          <w:iCs/>
          <w:sz w:val="24"/>
          <w:szCs w:val="24"/>
          <w:lang w:val="sq-AL"/>
        </w:rPr>
      </w:pPr>
      <w:r w:rsidRPr="0031065A">
        <w:rPr>
          <w:rFonts w:ascii="Times New Roman" w:hAnsi="Times New Roman" w:cs="Times New Roman"/>
          <w:bCs/>
          <w:iCs/>
          <w:sz w:val="24"/>
          <w:szCs w:val="24"/>
          <w:lang w:val="sq-AL"/>
        </w:rPr>
        <w:t>Sasia e përgjithshme e ujit që shfrytëzohet nga akuiferi i MbiShkodr</w:t>
      </w:r>
      <w:r w:rsidRPr="0031065A">
        <w:rPr>
          <w:rFonts w:ascii="Times New Roman" w:hAnsi="Times New Roman" w:cs="Times New Roman"/>
          <w:sz w:val="24"/>
          <w:szCs w:val="24"/>
          <w:lang w:val="sq-AL"/>
        </w:rPr>
        <w:t>ë</w:t>
      </w:r>
      <w:r w:rsidRPr="0031065A">
        <w:rPr>
          <w:rFonts w:ascii="Times New Roman" w:hAnsi="Times New Roman" w:cs="Times New Roman"/>
          <w:bCs/>
          <w:iCs/>
          <w:sz w:val="24"/>
          <w:szCs w:val="24"/>
          <w:lang w:val="sq-AL"/>
        </w:rPr>
        <w:t>s është  rreth 1200-1300 l/s, sasi kjo që ka një rritje të lehtë krahasuar me vitet e mëparshme.</w:t>
      </w:r>
    </w:p>
    <w:p w:rsidR="0031065A" w:rsidRPr="0031065A" w:rsidRDefault="0031065A" w:rsidP="00807975">
      <w:pPr>
        <w:numPr>
          <w:ilvl w:val="0"/>
          <w:numId w:val="53"/>
        </w:numPr>
        <w:spacing w:after="0" w:line="276" w:lineRule="auto"/>
        <w:jc w:val="both"/>
        <w:rPr>
          <w:rFonts w:ascii="Times New Roman" w:hAnsi="Times New Roman" w:cs="Times New Roman"/>
          <w:bCs/>
          <w:iCs/>
          <w:sz w:val="24"/>
          <w:szCs w:val="24"/>
          <w:lang w:val="sq-AL"/>
        </w:rPr>
      </w:pPr>
      <w:r w:rsidRPr="0031065A">
        <w:rPr>
          <w:rFonts w:ascii="Times New Roman" w:hAnsi="Times New Roman" w:cs="Times New Roman"/>
          <w:bCs/>
          <w:iCs/>
          <w:sz w:val="24"/>
          <w:szCs w:val="24"/>
          <w:lang w:val="sq-AL"/>
        </w:rPr>
        <w:t>Koefiçienti i shfrytëzimit të akuiferit kuaternar zhavorror varion K = 0.33-0.5.</w:t>
      </w:r>
    </w:p>
    <w:p w:rsidR="0031065A" w:rsidRPr="0031065A" w:rsidRDefault="0031065A" w:rsidP="00807975">
      <w:pPr>
        <w:numPr>
          <w:ilvl w:val="0"/>
          <w:numId w:val="53"/>
        </w:numPr>
        <w:spacing w:after="0" w:line="276" w:lineRule="auto"/>
        <w:jc w:val="both"/>
        <w:rPr>
          <w:rFonts w:ascii="Times New Roman" w:hAnsi="Times New Roman" w:cs="Times New Roman"/>
          <w:bCs/>
          <w:iCs/>
          <w:sz w:val="24"/>
          <w:szCs w:val="24"/>
          <w:lang w:val="sq-AL"/>
        </w:rPr>
      </w:pPr>
      <w:r w:rsidRPr="0031065A">
        <w:rPr>
          <w:rFonts w:ascii="Times New Roman" w:hAnsi="Times New Roman" w:cs="Times New Roman"/>
          <w:bCs/>
          <w:iCs/>
          <w:sz w:val="24"/>
          <w:szCs w:val="24"/>
          <w:lang w:val="sq-AL"/>
        </w:rPr>
        <w:t>Stacioni i pompimit të Velipojës me prurje Q</w:t>
      </w:r>
      <w:r w:rsidR="00CF1326">
        <w:rPr>
          <w:rFonts w:ascii="Times New Roman" w:hAnsi="Times New Roman" w:cs="Times New Roman"/>
          <w:bCs/>
          <w:iCs/>
          <w:sz w:val="24"/>
          <w:szCs w:val="24"/>
          <w:lang w:val="sq-AL"/>
        </w:rPr>
        <w:t xml:space="preserve"> </w:t>
      </w:r>
      <w:r w:rsidRPr="0031065A">
        <w:rPr>
          <w:rFonts w:ascii="Times New Roman" w:hAnsi="Times New Roman" w:cs="Times New Roman"/>
          <w:bCs/>
          <w:iCs/>
          <w:sz w:val="24"/>
          <w:szCs w:val="24"/>
          <w:lang w:val="sq-AL"/>
        </w:rPr>
        <w:t>= 200 – 300 l/sek</w:t>
      </w:r>
    </w:p>
    <w:p w:rsidR="0031065A" w:rsidRPr="0031065A" w:rsidRDefault="0031065A" w:rsidP="00807975">
      <w:pPr>
        <w:numPr>
          <w:ilvl w:val="0"/>
          <w:numId w:val="53"/>
        </w:numPr>
        <w:spacing w:after="0" w:line="276" w:lineRule="auto"/>
        <w:jc w:val="both"/>
        <w:rPr>
          <w:rFonts w:ascii="Times New Roman" w:hAnsi="Times New Roman" w:cs="Times New Roman"/>
          <w:bCs/>
          <w:iCs/>
          <w:sz w:val="24"/>
          <w:szCs w:val="24"/>
          <w:lang w:val="sq-AL"/>
        </w:rPr>
      </w:pPr>
      <w:r w:rsidRPr="0031065A">
        <w:rPr>
          <w:rFonts w:ascii="Times New Roman" w:hAnsi="Times New Roman" w:cs="Times New Roman"/>
          <w:bCs/>
          <w:iCs/>
          <w:sz w:val="24"/>
          <w:szCs w:val="24"/>
          <w:lang w:val="sq-AL"/>
        </w:rPr>
        <w:t>Sasia e përgjithshme e ujit që shfrytëzohet nga akuiferi i Nënshkodr</w:t>
      </w:r>
      <w:r w:rsidRPr="0031065A">
        <w:rPr>
          <w:rFonts w:ascii="Times New Roman" w:hAnsi="Times New Roman" w:cs="Times New Roman"/>
          <w:sz w:val="24"/>
          <w:szCs w:val="24"/>
          <w:lang w:val="sq-AL"/>
        </w:rPr>
        <w:t>ë</w:t>
      </w:r>
      <w:r w:rsidRPr="0031065A">
        <w:rPr>
          <w:rFonts w:ascii="Times New Roman" w:hAnsi="Times New Roman" w:cs="Times New Roman"/>
          <w:bCs/>
          <w:iCs/>
          <w:sz w:val="24"/>
          <w:szCs w:val="24"/>
          <w:lang w:val="sq-AL"/>
        </w:rPr>
        <w:t xml:space="preserve">s është rreth </w:t>
      </w:r>
      <w:r w:rsidRPr="0031065A">
        <w:rPr>
          <w:rFonts w:ascii="Times New Roman" w:hAnsi="Times New Roman" w:cs="Times New Roman"/>
          <w:sz w:val="24"/>
          <w:szCs w:val="24"/>
          <w:lang w:val="sq-AL"/>
        </w:rPr>
        <w:t xml:space="preserve">Q = 500 – 800 l/s </w:t>
      </w:r>
      <w:r w:rsidRPr="0031065A">
        <w:rPr>
          <w:rFonts w:ascii="Times New Roman" w:hAnsi="Times New Roman" w:cs="Times New Roman"/>
          <w:bCs/>
          <w:iCs/>
          <w:sz w:val="24"/>
          <w:szCs w:val="24"/>
          <w:lang w:val="sq-AL"/>
        </w:rPr>
        <w:t>sasi kjo me një rritje të lehtë krahasuar me vitet e mëparshme.</w:t>
      </w:r>
    </w:p>
    <w:p w:rsidR="0031065A" w:rsidRPr="0031065A" w:rsidRDefault="0031065A" w:rsidP="00807975">
      <w:pPr>
        <w:numPr>
          <w:ilvl w:val="0"/>
          <w:numId w:val="53"/>
        </w:numPr>
        <w:spacing w:after="0" w:line="276" w:lineRule="auto"/>
        <w:jc w:val="both"/>
        <w:rPr>
          <w:rFonts w:ascii="Times New Roman" w:hAnsi="Times New Roman" w:cs="Times New Roman"/>
          <w:sz w:val="24"/>
          <w:szCs w:val="24"/>
          <w:lang w:val="sq-AL"/>
        </w:rPr>
      </w:pPr>
      <w:r w:rsidRPr="0031065A">
        <w:rPr>
          <w:rFonts w:ascii="Times New Roman" w:hAnsi="Times New Roman" w:cs="Times New Roman"/>
          <w:sz w:val="24"/>
          <w:szCs w:val="24"/>
          <w:lang w:val="sq-AL"/>
        </w:rPr>
        <w:t xml:space="preserve">Koefiçenti i shfrytëzimit K = 0.3 – 0.4. </w:t>
      </w:r>
    </w:p>
    <w:p w:rsidR="0031065A" w:rsidRPr="0031065A" w:rsidRDefault="0031065A" w:rsidP="0031065A">
      <w:pPr>
        <w:spacing w:after="0" w:line="276" w:lineRule="auto"/>
        <w:jc w:val="both"/>
        <w:rPr>
          <w:rFonts w:ascii="Times New Roman" w:hAnsi="Times New Roman" w:cs="Times New Roman"/>
          <w:sz w:val="24"/>
          <w:szCs w:val="24"/>
          <w:lang w:val="sq-AL"/>
        </w:rPr>
      </w:pPr>
    </w:p>
    <w:p w:rsidR="0031065A" w:rsidRPr="0031065A" w:rsidRDefault="0031065A" w:rsidP="0031065A">
      <w:pPr>
        <w:spacing w:after="0" w:line="276" w:lineRule="auto"/>
        <w:jc w:val="both"/>
        <w:rPr>
          <w:rFonts w:ascii="Times New Roman" w:hAnsi="Times New Roman" w:cs="Times New Roman"/>
          <w:bCs/>
          <w:iCs/>
          <w:sz w:val="24"/>
          <w:szCs w:val="24"/>
          <w:lang w:val="sq-AL"/>
        </w:rPr>
      </w:pPr>
      <w:r w:rsidRPr="0031065A">
        <w:rPr>
          <w:rFonts w:ascii="Times New Roman" w:hAnsi="Times New Roman" w:cs="Times New Roman"/>
          <w:b/>
          <w:iCs/>
          <w:sz w:val="24"/>
          <w:szCs w:val="24"/>
          <w:lang w:val="sq-AL"/>
        </w:rPr>
        <w:t>Për zonën e Tropojës:</w:t>
      </w:r>
    </w:p>
    <w:p w:rsidR="0031065A" w:rsidRPr="0031065A" w:rsidRDefault="0031065A" w:rsidP="0031065A">
      <w:pPr>
        <w:spacing w:after="0" w:line="276" w:lineRule="auto"/>
        <w:jc w:val="both"/>
        <w:rPr>
          <w:rFonts w:ascii="Times New Roman" w:hAnsi="Times New Roman" w:cs="Times New Roman"/>
          <w:bCs/>
          <w:iCs/>
          <w:sz w:val="24"/>
          <w:szCs w:val="24"/>
          <w:lang w:val="sq-AL"/>
        </w:rPr>
      </w:pPr>
      <w:r w:rsidRPr="0031065A">
        <w:rPr>
          <w:rFonts w:ascii="Times New Roman" w:hAnsi="Times New Roman" w:cs="Times New Roman"/>
          <w:bCs/>
          <w:iCs/>
          <w:sz w:val="24"/>
          <w:szCs w:val="24"/>
          <w:lang w:val="sq-AL"/>
        </w:rPr>
        <w:t>Në qytetin e Bajram Currit, furnizimi me ujë të pijshëm bëhet nga burimi Quku i Dunishës ku merret rreth 100 l/sek për qytetin dhe fshatrat për rreth.</w:t>
      </w:r>
    </w:p>
    <w:p w:rsidR="0031065A" w:rsidRPr="0031065A" w:rsidRDefault="0031065A" w:rsidP="0031065A">
      <w:pPr>
        <w:spacing w:before="120" w:after="0" w:line="276" w:lineRule="auto"/>
        <w:jc w:val="both"/>
        <w:rPr>
          <w:rFonts w:ascii="Times New Roman" w:hAnsi="Times New Roman" w:cs="Times New Roman"/>
          <w:b/>
          <w:iCs/>
          <w:sz w:val="24"/>
          <w:szCs w:val="24"/>
          <w:lang w:val="sq-AL"/>
        </w:rPr>
      </w:pPr>
      <w:r w:rsidRPr="0031065A">
        <w:rPr>
          <w:rFonts w:ascii="Times New Roman" w:hAnsi="Times New Roman" w:cs="Times New Roman"/>
          <w:b/>
          <w:iCs/>
          <w:sz w:val="24"/>
          <w:szCs w:val="24"/>
          <w:lang w:val="sq-AL"/>
        </w:rPr>
        <w:t xml:space="preserve">Për Pogradecin: </w:t>
      </w:r>
    </w:p>
    <w:p w:rsidR="0031065A" w:rsidRPr="0031065A" w:rsidRDefault="0031065A" w:rsidP="0031065A">
      <w:pPr>
        <w:spacing w:after="0" w:line="276" w:lineRule="auto"/>
        <w:jc w:val="both"/>
        <w:rPr>
          <w:rFonts w:ascii="Times New Roman" w:hAnsi="Times New Roman" w:cs="Times New Roman"/>
          <w:sz w:val="24"/>
          <w:szCs w:val="24"/>
          <w:lang w:val="sq-AL"/>
        </w:rPr>
      </w:pPr>
      <w:r w:rsidRPr="0031065A">
        <w:rPr>
          <w:rFonts w:ascii="Times New Roman" w:hAnsi="Times New Roman" w:cs="Times New Roman"/>
          <w:bCs/>
          <w:iCs/>
          <w:sz w:val="24"/>
          <w:szCs w:val="24"/>
          <w:lang w:val="sq-AL"/>
        </w:rPr>
        <w:t>Për qytetin e Pogradecit furnizimi me ujë të pijshëm bëhet nga burimet e Tushemishtit, ku merret një sasi uji rreth 200 l/sek si dhe nga burimi i Linit, Pogradec merret një sasi uji rreth 20 l/s për doganën, 20 l/s p</w:t>
      </w:r>
      <w:r w:rsidRPr="0031065A">
        <w:rPr>
          <w:rFonts w:ascii="Times New Roman" w:hAnsi="Times New Roman" w:cs="Times New Roman"/>
          <w:sz w:val="24"/>
          <w:szCs w:val="24"/>
          <w:lang w:val="sq-AL"/>
        </w:rPr>
        <w:t>ë</w:t>
      </w:r>
      <w:r w:rsidRPr="0031065A">
        <w:rPr>
          <w:rFonts w:ascii="Times New Roman" w:hAnsi="Times New Roman" w:cs="Times New Roman"/>
          <w:bCs/>
          <w:iCs/>
          <w:sz w:val="24"/>
          <w:szCs w:val="24"/>
          <w:lang w:val="sq-AL"/>
        </w:rPr>
        <w:t>r fshatin Lin, 80 l/sek merret p</w:t>
      </w:r>
      <w:r w:rsidRPr="0031065A">
        <w:rPr>
          <w:rFonts w:ascii="Times New Roman" w:hAnsi="Times New Roman" w:cs="Times New Roman"/>
          <w:sz w:val="24"/>
          <w:szCs w:val="24"/>
          <w:lang w:val="sq-AL"/>
        </w:rPr>
        <w:t>ë</w:t>
      </w:r>
      <w:r w:rsidRPr="0031065A">
        <w:rPr>
          <w:rFonts w:ascii="Times New Roman" w:hAnsi="Times New Roman" w:cs="Times New Roman"/>
          <w:bCs/>
          <w:iCs/>
          <w:sz w:val="24"/>
          <w:szCs w:val="24"/>
          <w:lang w:val="sq-AL"/>
        </w:rPr>
        <w:t>r rezervatin e peshkut.</w:t>
      </w:r>
      <w:r w:rsidRPr="0031065A">
        <w:rPr>
          <w:rFonts w:ascii="Times New Roman" w:hAnsi="Times New Roman" w:cs="Times New Roman"/>
          <w:sz w:val="24"/>
          <w:szCs w:val="24"/>
          <w:lang w:val="sq-AL"/>
        </w:rPr>
        <w:t xml:space="preserve">Gjithsej Q= 320 l/s </w:t>
      </w:r>
    </w:p>
    <w:p w:rsidR="0031065A" w:rsidRPr="0031065A" w:rsidRDefault="0031065A" w:rsidP="0031065A">
      <w:pPr>
        <w:spacing w:before="120" w:after="0" w:line="276" w:lineRule="auto"/>
        <w:jc w:val="both"/>
        <w:rPr>
          <w:rFonts w:ascii="Times New Roman" w:hAnsi="Times New Roman" w:cs="Times New Roman"/>
          <w:b/>
          <w:sz w:val="24"/>
          <w:szCs w:val="24"/>
          <w:lang w:val="sq-AL"/>
        </w:rPr>
      </w:pPr>
      <w:r w:rsidRPr="0031065A">
        <w:rPr>
          <w:rFonts w:ascii="Times New Roman" w:hAnsi="Times New Roman" w:cs="Times New Roman"/>
          <w:b/>
          <w:sz w:val="24"/>
          <w:szCs w:val="24"/>
          <w:lang w:val="sq-AL"/>
        </w:rPr>
        <w:t>Për zonën e Kukësit:</w:t>
      </w:r>
    </w:p>
    <w:p w:rsidR="0031065A" w:rsidRPr="0031065A" w:rsidRDefault="0031065A" w:rsidP="0031065A">
      <w:pPr>
        <w:spacing w:after="0" w:line="276" w:lineRule="auto"/>
        <w:jc w:val="both"/>
        <w:rPr>
          <w:rFonts w:ascii="Times New Roman" w:hAnsi="Times New Roman" w:cs="Times New Roman"/>
          <w:sz w:val="24"/>
          <w:szCs w:val="24"/>
          <w:lang w:val="sq-AL"/>
        </w:rPr>
      </w:pPr>
      <w:r w:rsidRPr="0031065A">
        <w:rPr>
          <w:rFonts w:ascii="Times New Roman" w:hAnsi="Times New Roman" w:cs="Times New Roman"/>
          <w:sz w:val="24"/>
          <w:szCs w:val="24"/>
          <w:lang w:val="sq-AL"/>
        </w:rPr>
        <w:t xml:space="preserve">Për furnizimi me ujë të pijshëm të qytetit të Kukësit përdoret Gurra e Kolosianit me sasi </w:t>
      </w:r>
    </w:p>
    <w:p w:rsidR="0031065A" w:rsidRPr="0031065A" w:rsidRDefault="0031065A" w:rsidP="0031065A">
      <w:pPr>
        <w:spacing w:after="0" w:line="276" w:lineRule="auto"/>
        <w:jc w:val="both"/>
        <w:rPr>
          <w:rFonts w:ascii="Times New Roman" w:hAnsi="Times New Roman" w:cs="Times New Roman"/>
          <w:sz w:val="24"/>
          <w:szCs w:val="24"/>
          <w:lang w:val="sq-AL"/>
        </w:rPr>
      </w:pPr>
      <w:r w:rsidRPr="0031065A">
        <w:rPr>
          <w:rFonts w:ascii="Times New Roman" w:hAnsi="Times New Roman" w:cs="Times New Roman"/>
          <w:sz w:val="24"/>
          <w:szCs w:val="24"/>
          <w:lang w:val="sq-AL"/>
        </w:rPr>
        <w:t>Q</w:t>
      </w:r>
      <w:r w:rsidR="00CF1326">
        <w:rPr>
          <w:rFonts w:ascii="Times New Roman" w:hAnsi="Times New Roman" w:cs="Times New Roman"/>
          <w:sz w:val="24"/>
          <w:szCs w:val="24"/>
          <w:lang w:val="sq-AL"/>
        </w:rPr>
        <w:t xml:space="preserve"> </w:t>
      </w:r>
      <w:r w:rsidRPr="0031065A">
        <w:rPr>
          <w:rFonts w:ascii="Times New Roman" w:hAnsi="Times New Roman" w:cs="Times New Roman"/>
          <w:sz w:val="24"/>
          <w:szCs w:val="24"/>
          <w:lang w:val="sq-AL"/>
        </w:rPr>
        <w:t>= 100 l/sek si dhe burimet e Lojmeve me prurje Q</w:t>
      </w:r>
      <w:r w:rsidR="00CF1326">
        <w:rPr>
          <w:rFonts w:ascii="Times New Roman" w:hAnsi="Times New Roman" w:cs="Times New Roman"/>
          <w:sz w:val="24"/>
          <w:szCs w:val="24"/>
          <w:lang w:val="sq-AL"/>
        </w:rPr>
        <w:t xml:space="preserve"> </w:t>
      </w:r>
      <w:r w:rsidRPr="0031065A">
        <w:rPr>
          <w:rFonts w:ascii="Times New Roman" w:hAnsi="Times New Roman" w:cs="Times New Roman"/>
          <w:sz w:val="24"/>
          <w:szCs w:val="24"/>
          <w:lang w:val="sq-AL"/>
        </w:rPr>
        <w:t>=50-100 l/s.</w:t>
      </w:r>
    </w:p>
    <w:p w:rsidR="0031065A" w:rsidRPr="0031065A" w:rsidRDefault="0031065A" w:rsidP="0031065A">
      <w:pPr>
        <w:spacing w:before="120" w:after="0" w:line="276" w:lineRule="auto"/>
        <w:jc w:val="both"/>
        <w:rPr>
          <w:rFonts w:ascii="Times New Roman" w:hAnsi="Times New Roman" w:cs="Times New Roman"/>
          <w:sz w:val="24"/>
          <w:szCs w:val="24"/>
          <w:lang w:val="sq-AL"/>
        </w:rPr>
      </w:pPr>
      <w:r w:rsidRPr="0031065A">
        <w:rPr>
          <w:rFonts w:ascii="Times New Roman" w:hAnsi="Times New Roman" w:cs="Times New Roman"/>
          <w:b/>
          <w:sz w:val="24"/>
          <w:szCs w:val="24"/>
          <w:lang w:val="sq-AL"/>
        </w:rPr>
        <w:t>Për qytetin e Krumës</w:t>
      </w:r>
    </w:p>
    <w:p w:rsidR="0031065A" w:rsidRDefault="0031065A" w:rsidP="00F1390A">
      <w:pPr>
        <w:spacing w:after="0" w:line="276" w:lineRule="auto"/>
        <w:jc w:val="both"/>
        <w:rPr>
          <w:rFonts w:ascii="Times New Roman" w:hAnsi="Times New Roman" w:cs="Times New Roman"/>
          <w:sz w:val="24"/>
          <w:szCs w:val="24"/>
          <w:lang w:val="sq-AL"/>
        </w:rPr>
      </w:pPr>
      <w:r w:rsidRPr="0031065A">
        <w:rPr>
          <w:rFonts w:ascii="Times New Roman" w:hAnsi="Times New Roman" w:cs="Times New Roman"/>
          <w:sz w:val="24"/>
          <w:szCs w:val="24"/>
          <w:lang w:val="sq-AL"/>
        </w:rPr>
        <w:t>Për furnizimin me ujë të pijshëm përdoret burimi Gurra e Krumës me sasi Q</w:t>
      </w:r>
      <w:r w:rsidR="00CF1326">
        <w:rPr>
          <w:rFonts w:ascii="Times New Roman" w:hAnsi="Times New Roman" w:cs="Times New Roman"/>
          <w:sz w:val="24"/>
          <w:szCs w:val="24"/>
          <w:lang w:val="sq-AL"/>
        </w:rPr>
        <w:t xml:space="preserve"> </w:t>
      </w:r>
      <w:bookmarkStart w:id="19" w:name="_Toc125188018"/>
      <w:r w:rsidR="00F1390A">
        <w:rPr>
          <w:rFonts w:ascii="Times New Roman" w:hAnsi="Times New Roman" w:cs="Times New Roman"/>
          <w:sz w:val="24"/>
          <w:szCs w:val="24"/>
          <w:lang w:val="sq-AL"/>
        </w:rPr>
        <w:t>= 100 l/sek.</w:t>
      </w:r>
    </w:p>
    <w:p w:rsidR="00F1390A" w:rsidRDefault="00F1390A" w:rsidP="00F1390A">
      <w:pPr>
        <w:spacing w:after="0" w:line="276" w:lineRule="auto"/>
        <w:jc w:val="both"/>
        <w:rPr>
          <w:rFonts w:ascii="Times New Roman" w:hAnsi="Times New Roman" w:cs="Times New Roman"/>
          <w:sz w:val="24"/>
          <w:szCs w:val="24"/>
          <w:lang w:val="sq-AL"/>
        </w:rPr>
      </w:pPr>
    </w:p>
    <w:p w:rsidR="00903995" w:rsidRPr="00F1390A" w:rsidRDefault="00903995" w:rsidP="00F1390A">
      <w:pPr>
        <w:spacing w:after="0" w:line="276" w:lineRule="auto"/>
        <w:jc w:val="both"/>
        <w:rPr>
          <w:rFonts w:ascii="Times New Roman" w:hAnsi="Times New Roman" w:cs="Times New Roman"/>
          <w:sz w:val="24"/>
          <w:szCs w:val="24"/>
          <w:lang w:val="sq-AL"/>
        </w:rPr>
      </w:pPr>
    </w:p>
    <w:p w:rsidR="0031065A" w:rsidRPr="0031065A" w:rsidRDefault="0031065A" w:rsidP="00807975">
      <w:pPr>
        <w:pStyle w:val="ListParagraph"/>
        <w:numPr>
          <w:ilvl w:val="0"/>
          <w:numId w:val="55"/>
        </w:numPr>
        <w:spacing w:after="200" w:line="276" w:lineRule="auto"/>
        <w:jc w:val="both"/>
        <w:rPr>
          <w:rFonts w:ascii="Times New Roman" w:hAnsi="Times New Roman" w:cs="Times New Roman"/>
          <w:b/>
          <w:sz w:val="24"/>
          <w:lang w:val="sq-AL"/>
        </w:rPr>
      </w:pPr>
      <w:r w:rsidRPr="0031065A">
        <w:rPr>
          <w:rFonts w:ascii="Times New Roman" w:hAnsi="Times New Roman" w:cs="Times New Roman"/>
          <w:b/>
          <w:sz w:val="24"/>
          <w:lang w:val="sq-AL"/>
        </w:rPr>
        <w:lastRenderedPageBreak/>
        <w:t>Monitorimi hidrodinamik</w:t>
      </w:r>
      <w:bookmarkEnd w:id="19"/>
    </w:p>
    <w:p w:rsidR="0031065A" w:rsidRPr="0031065A" w:rsidRDefault="0031065A" w:rsidP="0031065A">
      <w:pPr>
        <w:spacing w:after="200" w:line="276" w:lineRule="auto"/>
        <w:jc w:val="both"/>
        <w:rPr>
          <w:rFonts w:ascii="Times New Roman" w:hAnsi="Times New Roman" w:cs="Times New Roman"/>
          <w:sz w:val="24"/>
          <w:szCs w:val="24"/>
          <w:lang w:val="sq-AL"/>
        </w:rPr>
      </w:pPr>
      <w:r w:rsidRPr="0031065A">
        <w:rPr>
          <w:rFonts w:ascii="Times New Roman" w:hAnsi="Times New Roman" w:cs="Times New Roman"/>
          <w:bCs/>
          <w:iCs/>
          <w:sz w:val="24"/>
          <w:lang w:val="sq-AL"/>
        </w:rPr>
        <w:t xml:space="preserve">Nga kryerja e </w:t>
      </w:r>
      <w:r w:rsidRPr="0031065A">
        <w:rPr>
          <w:rFonts w:ascii="Times New Roman" w:hAnsi="Times New Roman" w:cs="Times New Roman"/>
          <w:sz w:val="24"/>
          <w:szCs w:val="24"/>
          <w:lang w:val="sq-AL"/>
        </w:rPr>
        <w:t xml:space="preserve">monitorimit për vitet  2025, rezulton se amplituda e luhatjes së UN varion nga </w:t>
      </w:r>
      <w:r w:rsidRPr="0031065A">
        <w:rPr>
          <w:rFonts w:ascii="Times New Roman" w:hAnsi="Times New Roman" w:cs="Times New Roman"/>
          <w:bCs/>
          <w:iCs/>
          <w:sz w:val="24"/>
          <w:lang w:val="sq-AL"/>
        </w:rPr>
        <w:t>A = 1.73-2.9-1.5-0.5</w:t>
      </w:r>
    </w:p>
    <w:p w:rsidR="0031065A" w:rsidRDefault="0031065A" w:rsidP="0031065A">
      <w:pPr>
        <w:spacing w:after="200" w:line="276" w:lineRule="auto"/>
        <w:jc w:val="both"/>
        <w:rPr>
          <w:rFonts w:ascii="Times New Roman" w:hAnsi="Times New Roman" w:cs="Times New Roman"/>
          <w:sz w:val="24"/>
          <w:lang w:val="fr-FR"/>
        </w:rPr>
      </w:pPr>
      <w:r w:rsidRPr="0031065A">
        <w:rPr>
          <w:rFonts w:ascii="Times New Roman" w:hAnsi="Times New Roman" w:cs="Times New Roman"/>
          <w:sz w:val="24"/>
          <w:lang w:val="sq-AL"/>
        </w:rPr>
        <w:t>Në</w:t>
      </w:r>
      <w:r w:rsidRPr="0031065A">
        <w:rPr>
          <w:rFonts w:ascii="Times New Roman" w:hAnsi="Times New Roman" w:cs="Times New Roman"/>
          <w:sz w:val="24"/>
          <w:lang w:val="fr-FR"/>
        </w:rPr>
        <w:t xml:space="preserve"> 1 pus monitorimi n</w:t>
      </w:r>
      <w:r w:rsidRPr="0031065A">
        <w:rPr>
          <w:rFonts w:ascii="Times New Roman" w:hAnsi="Times New Roman" w:cs="Times New Roman"/>
          <w:sz w:val="24"/>
          <w:lang w:val="sq-AL"/>
        </w:rPr>
        <w:t>ë</w:t>
      </w:r>
      <w:r w:rsidRPr="0031065A">
        <w:rPr>
          <w:rFonts w:ascii="Times New Roman" w:hAnsi="Times New Roman" w:cs="Times New Roman"/>
          <w:sz w:val="24"/>
          <w:lang w:val="fr-FR"/>
        </w:rPr>
        <w:t xml:space="preserve"> akuifer poroz dhe konkretisht, pusi nr.1 në Dobraç - Shkodër, monitorimi hidrodinamik </w:t>
      </w:r>
      <w:r w:rsidRPr="0031065A">
        <w:rPr>
          <w:rFonts w:ascii="Times New Roman" w:hAnsi="Times New Roman" w:cs="Times New Roman"/>
          <w:sz w:val="24"/>
          <w:lang w:val="sq-AL"/>
        </w:rPr>
        <w:t>ë</w:t>
      </w:r>
      <w:r w:rsidRPr="0031065A">
        <w:rPr>
          <w:rFonts w:ascii="Times New Roman" w:hAnsi="Times New Roman" w:cs="Times New Roman"/>
          <w:sz w:val="24"/>
          <w:lang w:val="fr-FR"/>
        </w:rPr>
        <w:t>sht</w:t>
      </w:r>
      <w:r w:rsidRPr="0031065A">
        <w:rPr>
          <w:rFonts w:ascii="Times New Roman" w:hAnsi="Times New Roman" w:cs="Times New Roman"/>
          <w:sz w:val="24"/>
          <w:lang w:val="sq-AL"/>
        </w:rPr>
        <w:t>ë</w:t>
      </w:r>
      <w:r w:rsidRPr="0031065A">
        <w:rPr>
          <w:rFonts w:ascii="Times New Roman" w:hAnsi="Times New Roman" w:cs="Times New Roman"/>
          <w:sz w:val="24"/>
          <w:lang w:val="fr-FR"/>
        </w:rPr>
        <w:t xml:space="preserve"> realizuar n</w:t>
      </w:r>
      <w:r w:rsidRPr="0031065A">
        <w:rPr>
          <w:rFonts w:ascii="Times New Roman" w:hAnsi="Times New Roman" w:cs="Times New Roman"/>
          <w:sz w:val="24"/>
          <w:lang w:val="sq-AL"/>
        </w:rPr>
        <w:t>ë</w:t>
      </w:r>
      <w:r w:rsidRPr="0031065A">
        <w:rPr>
          <w:rFonts w:ascii="Times New Roman" w:hAnsi="Times New Roman" w:cs="Times New Roman"/>
          <w:sz w:val="24"/>
          <w:lang w:val="fr-FR"/>
        </w:rPr>
        <w:t>p</w:t>
      </w:r>
      <w:r w:rsidRPr="0031065A">
        <w:rPr>
          <w:rFonts w:ascii="Times New Roman" w:hAnsi="Times New Roman" w:cs="Times New Roman"/>
          <w:sz w:val="24"/>
          <w:lang w:val="sq-AL"/>
        </w:rPr>
        <w:t>ë</w:t>
      </w:r>
      <w:r w:rsidRPr="0031065A">
        <w:rPr>
          <w:rFonts w:ascii="Times New Roman" w:hAnsi="Times New Roman" w:cs="Times New Roman"/>
          <w:sz w:val="24"/>
          <w:lang w:val="fr-FR"/>
        </w:rPr>
        <w:t>rmjet aparaturave vet</w:t>
      </w:r>
      <w:r w:rsidRPr="0031065A">
        <w:rPr>
          <w:rFonts w:ascii="Times New Roman" w:hAnsi="Times New Roman" w:cs="Times New Roman"/>
          <w:sz w:val="24"/>
          <w:lang w:val="sq-AL"/>
        </w:rPr>
        <w:t>ë</w:t>
      </w:r>
      <w:r w:rsidRPr="0031065A">
        <w:rPr>
          <w:rFonts w:ascii="Times New Roman" w:hAnsi="Times New Roman" w:cs="Times New Roman"/>
          <w:sz w:val="24"/>
          <w:lang w:val="fr-FR"/>
        </w:rPr>
        <w:t>rregjistruese, t</w:t>
      </w:r>
      <w:r w:rsidRPr="0031065A">
        <w:rPr>
          <w:rFonts w:ascii="Times New Roman" w:hAnsi="Times New Roman" w:cs="Times New Roman"/>
          <w:sz w:val="24"/>
          <w:lang w:val="sq-AL"/>
        </w:rPr>
        <w:t>ë</w:t>
      </w:r>
      <w:r w:rsidRPr="0031065A">
        <w:rPr>
          <w:rFonts w:ascii="Times New Roman" w:hAnsi="Times New Roman" w:cs="Times New Roman"/>
          <w:sz w:val="24"/>
          <w:lang w:val="fr-FR"/>
        </w:rPr>
        <w:t xml:space="preserve"> dh</w:t>
      </w:r>
      <w:r w:rsidRPr="0031065A">
        <w:rPr>
          <w:rFonts w:ascii="Times New Roman" w:hAnsi="Times New Roman" w:cs="Times New Roman"/>
          <w:sz w:val="24"/>
          <w:lang w:val="sq-AL"/>
        </w:rPr>
        <w:t>ë</w:t>
      </w:r>
      <w:r w:rsidRPr="0031065A">
        <w:rPr>
          <w:rFonts w:ascii="Times New Roman" w:hAnsi="Times New Roman" w:cs="Times New Roman"/>
          <w:sz w:val="24"/>
          <w:lang w:val="fr-FR"/>
        </w:rPr>
        <w:t>na t</w:t>
      </w:r>
      <w:r w:rsidRPr="0031065A">
        <w:rPr>
          <w:rFonts w:ascii="Times New Roman" w:hAnsi="Times New Roman" w:cs="Times New Roman"/>
          <w:sz w:val="24"/>
          <w:lang w:val="sq-AL"/>
        </w:rPr>
        <w:t>ë</w:t>
      </w:r>
      <w:r w:rsidRPr="0031065A">
        <w:rPr>
          <w:rFonts w:ascii="Times New Roman" w:hAnsi="Times New Roman" w:cs="Times New Roman"/>
          <w:sz w:val="24"/>
          <w:lang w:val="fr-FR"/>
        </w:rPr>
        <w:t xml:space="preserve"> cilat jepen çdo 1-2 orë. </w:t>
      </w:r>
    </w:p>
    <w:p w:rsidR="0031065A" w:rsidRPr="00E91FC2" w:rsidRDefault="00124A5A" w:rsidP="0031065A">
      <w:pPr>
        <w:spacing w:after="102"/>
        <w:ind w:left="-5" w:right="51"/>
        <w:jc w:val="both"/>
        <w:rPr>
          <w:rFonts w:ascii="Times New Roman" w:hAnsi="Times New Roman" w:cs="Times New Roman"/>
        </w:rPr>
      </w:pPr>
      <w:r>
        <w:rPr>
          <w:b/>
          <w:i/>
          <w:color w:val="000000" w:themeColor="text1"/>
          <w:sz w:val="20"/>
          <w:szCs w:val="24"/>
        </w:rPr>
        <w:t xml:space="preserve">  </w:t>
      </w:r>
      <w:r w:rsidRPr="00E91FC2">
        <w:rPr>
          <w:rFonts w:ascii="Times New Roman" w:hAnsi="Times New Roman" w:cs="Times New Roman"/>
          <w:color w:val="000000" w:themeColor="text1"/>
        </w:rPr>
        <w:t xml:space="preserve">Tabela. </w:t>
      </w:r>
      <w:r w:rsidR="00903995">
        <w:rPr>
          <w:rFonts w:ascii="Times New Roman" w:hAnsi="Times New Roman" w:cs="Times New Roman"/>
          <w:color w:val="000000" w:themeColor="text1"/>
        </w:rPr>
        <w:t>33</w:t>
      </w:r>
      <w:r w:rsidRPr="00E91FC2">
        <w:rPr>
          <w:rFonts w:ascii="Times New Roman" w:hAnsi="Times New Roman" w:cs="Times New Roman"/>
          <w:color w:val="000000" w:themeColor="text1"/>
        </w:rPr>
        <w:t xml:space="preserve"> </w:t>
      </w:r>
      <w:r w:rsidR="00E91FC2">
        <w:rPr>
          <w:rFonts w:ascii="Times New Roman" w:hAnsi="Times New Roman" w:cs="Times New Roman"/>
          <w:color w:val="000000" w:themeColor="text1"/>
        </w:rPr>
        <w:t>Vlerat maksimale</w:t>
      </w:r>
      <w:r w:rsidR="0031065A" w:rsidRPr="00E91FC2">
        <w:rPr>
          <w:rFonts w:ascii="Times New Roman" w:hAnsi="Times New Roman" w:cs="Times New Roman"/>
          <w:color w:val="000000" w:themeColor="text1"/>
        </w:rPr>
        <w:t>, min</w:t>
      </w:r>
      <w:r w:rsidR="00E91FC2">
        <w:rPr>
          <w:rFonts w:ascii="Times New Roman" w:hAnsi="Times New Roman" w:cs="Times New Roman"/>
          <w:color w:val="000000" w:themeColor="text1"/>
        </w:rPr>
        <w:t>imale</w:t>
      </w:r>
      <w:r w:rsidR="0031065A" w:rsidRPr="00E91FC2">
        <w:rPr>
          <w:rFonts w:ascii="Times New Roman" w:hAnsi="Times New Roman" w:cs="Times New Roman"/>
          <w:color w:val="000000" w:themeColor="text1"/>
        </w:rPr>
        <w:t xml:space="preserve"> dhe amplituda të niveleve të UN, baseni i Drinit</w:t>
      </w:r>
    </w:p>
    <w:tbl>
      <w:tblPr>
        <w:tblW w:w="7425" w:type="dxa"/>
        <w:tblInd w:w="98" w:type="dxa"/>
        <w:tblLook w:val="04A0" w:firstRow="1" w:lastRow="0" w:firstColumn="1" w:lastColumn="0" w:noHBand="0" w:noVBand="1"/>
      </w:tblPr>
      <w:tblGrid>
        <w:gridCol w:w="960"/>
        <w:gridCol w:w="1380"/>
        <w:gridCol w:w="1180"/>
        <w:gridCol w:w="1200"/>
        <w:gridCol w:w="805"/>
        <w:gridCol w:w="1900"/>
      </w:tblGrid>
      <w:tr w:rsidR="0031065A" w:rsidRPr="00E91FC2" w:rsidTr="0031065A">
        <w:trPr>
          <w:trHeight w:val="300"/>
        </w:trPr>
        <w:tc>
          <w:tcPr>
            <w:tcW w:w="960" w:type="dxa"/>
            <w:tcBorders>
              <w:top w:val="single" w:sz="8" w:space="0" w:color="auto"/>
              <w:left w:val="single" w:sz="8" w:space="0" w:color="auto"/>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Viti</w:t>
            </w:r>
          </w:p>
        </w:tc>
        <w:tc>
          <w:tcPr>
            <w:tcW w:w="1380" w:type="dxa"/>
            <w:tcBorders>
              <w:top w:val="single" w:sz="8" w:space="0" w:color="auto"/>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Koha e matjes</w:t>
            </w:r>
          </w:p>
        </w:tc>
        <w:tc>
          <w:tcPr>
            <w:tcW w:w="1180" w:type="dxa"/>
            <w:tcBorders>
              <w:top w:val="single" w:sz="8" w:space="0" w:color="auto"/>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Shtoj i Vjetër</w:t>
            </w:r>
          </w:p>
        </w:tc>
        <w:tc>
          <w:tcPr>
            <w:tcW w:w="1200" w:type="dxa"/>
            <w:tcBorders>
              <w:top w:val="single" w:sz="8" w:space="0" w:color="auto"/>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Grude Fushë</w:t>
            </w:r>
          </w:p>
        </w:tc>
        <w:tc>
          <w:tcPr>
            <w:tcW w:w="805" w:type="dxa"/>
            <w:tcBorders>
              <w:top w:val="single" w:sz="8" w:space="0" w:color="auto"/>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Dobraç</w:t>
            </w:r>
          </w:p>
        </w:tc>
        <w:tc>
          <w:tcPr>
            <w:tcW w:w="1900" w:type="dxa"/>
            <w:tcBorders>
              <w:top w:val="single" w:sz="8" w:space="0" w:color="auto"/>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Stacioni Blinisht</w:t>
            </w:r>
          </w:p>
        </w:tc>
      </w:tr>
      <w:tr w:rsidR="0031065A" w:rsidRPr="00E91FC2" w:rsidTr="0031065A">
        <w:trPr>
          <w:trHeight w:val="300"/>
        </w:trPr>
        <w:tc>
          <w:tcPr>
            <w:tcW w:w="960" w:type="dxa"/>
            <w:vMerge w:val="restart"/>
            <w:tcBorders>
              <w:top w:val="nil"/>
              <w:left w:val="single" w:sz="8" w:space="0" w:color="auto"/>
              <w:bottom w:val="single" w:sz="8" w:space="0" w:color="000000"/>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Viti 2025</w:t>
            </w:r>
          </w:p>
        </w:tc>
        <w:tc>
          <w:tcPr>
            <w:tcW w:w="1380" w:type="dxa"/>
            <w:tcBorders>
              <w:top w:val="nil"/>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Mars 2025</w:t>
            </w:r>
          </w:p>
        </w:tc>
        <w:tc>
          <w:tcPr>
            <w:tcW w:w="1180" w:type="dxa"/>
            <w:tcBorders>
              <w:top w:val="nil"/>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-15</w:t>
            </w:r>
          </w:p>
        </w:tc>
        <w:tc>
          <w:tcPr>
            <w:tcW w:w="1200" w:type="dxa"/>
            <w:tcBorders>
              <w:top w:val="nil"/>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-16.4</w:t>
            </w:r>
          </w:p>
        </w:tc>
        <w:tc>
          <w:tcPr>
            <w:tcW w:w="805" w:type="dxa"/>
            <w:tcBorders>
              <w:top w:val="nil"/>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-1.3</w:t>
            </w:r>
          </w:p>
        </w:tc>
        <w:tc>
          <w:tcPr>
            <w:tcW w:w="1900" w:type="dxa"/>
            <w:tcBorders>
              <w:top w:val="nil"/>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-0.4</w:t>
            </w:r>
          </w:p>
        </w:tc>
      </w:tr>
      <w:tr w:rsidR="0031065A" w:rsidRPr="00E91FC2" w:rsidTr="0031065A">
        <w:trPr>
          <w:trHeight w:val="300"/>
        </w:trPr>
        <w:tc>
          <w:tcPr>
            <w:tcW w:w="0" w:type="auto"/>
            <w:vMerge/>
            <w:tcBorders>
              <w:top w:val="nil"/>
              <w:left w:val="single" w:sz="8" w:space="0" w:color="auto"/>
              <w:bottom w:val="single" w:sz="8" w:space="0" w:color="000000"/>
              <w:right w:val="single" w:sz="8" w:space="0" w:color="auto"/>
            </w:tcBorders>
            <w:vAlign w:val="center"/>
            <w:hideMark/>
          </w:tcPr>
          <w:p w:rsidR="0031065A" w:rsidRPr="00E91FC2" w:rsidRDefault="0031065A">
            <w:pPr>
              <w:spacing w:after="0" w:line="240" w:lineRule="auto"/>
              <w:rPr>
                <w:rFonts w:ascii="Times New Roman" w:eastAsia="Times New Roman" w:hAnsi="Times New Roman" w:cs="Times New Roman"/>
                <w:color w:val="000000"/>
                <w:sz w:val="20"/>
                <w:szCs w:val="20"/>
              </w:rPr>
            </w:pPr>
          </w:p>
        </w:tc>
        <w:tc>
          <w:tcPr>
            <w:tcW w:w="1380" w:type="dxa"/>
            <w:tcBorders>
              <w:top w:val="nil"/>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Shtator 2025</w:t>
            </w:r>
          </w:p>
        </w:tc>
        <w:tc>
          <w:tcPr>
            <w:tcW w:w="1180" w:type="dxa"/>
            <w:tcBorders>
              <w:top w:val="nil"/>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-16.73</w:t>
            </w:r>
          </w:p>
        </w:tc>
        <w:tc>
          <w:tcPr>
            <w:tcW w:w="1200" w:type="dxa"/>
            <w:tcBorders>
              <w:top w:val="nil"/>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-19.3</w:t>
            </w:r>
          </w:p>
        </w:tc>
        <w:tc>
          <w:tcPr>
            <w:tcW w:w="805" w:type="dxa"/>
            <w:tcBorders>
              <w:top w:val="nil"/>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-2.8</w:t>
            </w:r>
          </w:p>
        </w:tc>
        <w:tc>
          <w:tcPr>
            <w:tcW w:w="1900" w:type="dxa"/>
            <w:tcBorders>
              <w:top w:val="nil"/>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-0.9</w:t>
            </w:r>
          </w:p>
        </w:tc>
      </w:tr>
      <w:tr w:rsidR="0031065A" w:rsidRPr="00E91FC2" w:rsidTr="0031065A">
        <w:trPr>
          <w:trHeight w:val="300"/>
        </w:trPr>
        <w:tc>
          <w:tcPr>
            <w:tcW w:w="960" w:type="dxa"/>
            <w:tcBorders>
              <w:top w:val="nil"/>
              <w:left w:val="single" w:sz="8" w:space="0" w:color="auto"/>
              <w:bottom w:val="single" w:sz="8" w:space="0" w:color="000000"/>
              <w:right w:val="single" w:sz="8" w:space="0" w:color="auto"/>
            </w:tcBorders>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A (m)</w:t>
            </w:r>
          </w:p>
        </w:tc>
        <w:tc>
          <w:tcPr>
            <w:tcW w:w="1380" w:type="dxa"/>
            <w:tcBorders>
              <w:top w:val="nil"/>
              <w:left w:val="nil"/>
              <w:bottom w:val="single" w:sz="8" w:space="0" w:color="auto"/>
              <w:right w:val="single" w:sz="8" w:space="0" w:color="auto"/>
            </w:tcBorders>
            <w:noWrap/>
            <w:vAlign w:val="center"/>
            <w:hideMark/>
          </w:tcPr>
          <w:p w:rsidR="0031065A" w:rsidRPr="00E91FC2" w:rsidRDefault="0031065A">
            <w:pPr>
              <w:rPr>
                <w:rFonts w:ascii="Times New Roman" w:eastAsia="Times New Roman" w:hAnsi="Times New Roman" w:cs="Times New Roman"/>
                <w:color w:val="000000"/>
                <w:sz w:val="20"/>
                <w:szCs w:val="20"/>
              </w:rPr>
            </w:pPr>
          </w:p>
        </w:tc>
        <w:tc>
          <w:tcPr>
            <w:tcW w:w="1180" w:type="dxa"/>
            <w:tcBorders>
              <w:top w:val="nil"/>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1.73</w:t>
            </w:r>
          </w:p>
        </w:tc>
        <w:tc>
          <w:tcPr>
            <w:tcW w:w="1200" w:type="dxa"/>
            <w:tcBorders>
              <w:top w:val="nil"/>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2.9</w:t>
            </w:r>
          </w:p>
        </w:tc>
        <w:tc>
          <w:tcPr>
            <w:tcW w:w="805" w:type="dxa"/>
            <w:tcBorders>
              <w:top w:val="nil"/>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1.5</w:t>
            </w:r>
          </w:p>
        </w:tc>
        <w:tc>
          <w:tcPr>
            <w:tcW w:w="1900" w:type="dxa"/>
            <w:tcBorders>
              <w:top w:val="nil"/>
              <w:left w:val="nil"/>
              <w:bottom w:val="single" w:sz="8" w:space="0" w:color="auto"/>
              <w:right w:val="single" w:sz="8" w:space="0" w:color="auto"/>
            </w:tcBorders>
            <w:noWrap/>
            <w:vAlign w:val="center"/>
            <w:hideMark/>
          </w:tcPr>
          <w:p w:rsidR="0031065A" w:rsidRPr="00E91FC2" w:rsidRDefault="0031065A">
            <w:pPr>
              <w:spacing w:after="0" w:line="240" w:lineRule="auto"/>
              <w:jc w:val="both"/>
              <w:rPr>
                <w:rFonts w:ascii="Times New Roman" w:eastAsia="Times New Roman" w:hAnsi="Times New Roman" w:cs="Times New Roman"/>
                <w:color w:val="000000"/>
                <w:sz w:val="20"/>
                <w:szCs w:val="20"/>
              </w:rPr>
            </w:pPr>
            <w:r w:rsidRPr="00E91FC2">
              <w:rPr>
                <w:rFonts w:ascii="Times New Roman" w:eastAsia="Times New Roman" w:hAnsi="Times New Roman" w:cs="Times New Roman"/>
                <w:color w:val="000000"/>
                <w:sz w:val="20"/>
                <w:szCs w:val="20"/>
              </w:rPr>
              <w:t>0.5</w:t>
            </w:r>
          </w:p>
        </w:tc>
      </w:tr>
    </w:tbl>
    <w:p w:rsidR="0031065A" w:rsidRDefault="0031065A" w:rsidP="0031065A">
      <w:pPr>
        <w:spacing w:after="0"/>
        <w:jc w:val="both"/>
        <w:rPr>
          <w:b/>
          <w:sz w:val="24"/>
          <w:szCs w:val="24"/>
          <w:lang w:val="sq-AL"/>
        </w:rPr>
      </w:pPr>
    </w:p>
    <w:p w:rsidR="00D75C1A" w:rsidRPr="000F37C2" w:rsidRDefault="00D75C1A" w:rsidP="00D75C1A">
      <w:pPr>
        <w:rPr>
          <w:rFonts w:ascii="Times New Roman" w:hAnsi="Times New Roman" w:cs="Times New Roman"/>
          <w:b/>
          <w:sz w:val="24"/>
          <w:szCs w:val="24"/>
          <w:lang w:val="sq-AL"/>
        </w:rPr>
      </w:pPr>
      <w:r w:rsidRPr="000F37C2">
        <w:rPr>
          <w:rFonts w:ascii="Times New Roman" w:hAnsi="Times New Roman" w:cs="Times New Roman"/>
          <w:b/>
          <w:sz w:val="24"/>
          <w:szCs w:val="24"/>
          <w:lang w:val="sq-AL"/>
        </w:rPr>
        <w:t>Monitorimi hidrokimik për vitin 2025</w:t>
      </w:r>
    </w:p>
    <w:p w:rsidR="00D75C1A" w:rsidRPr="000F37C2" w:rsidRDefault="00D75C1A" w:rsidP="00D75C1A">
      <w:pPr>
        <w:jc w:val="both"/>
        <w:rPr>
          <w:rFonts w:ascii="Times New Roman" w:hAnsi="Times New Roman" w:cs="Times New Roman"/>
          <w:sz w:val="24"/>
          <w:szCs w:val="24"/>
          <w:lang w:val="sq-AL"/>
        </w:rPr>
      </w:pPr>
      <w:bookmarkStart w:id="20" w:name="_Toc220753718"/>
      <w:bookmarkStart w:id="21" w:name="_Toc236768275"/>
      <w:bookmarkStart w:id="22" w:name="_Toc236768237"/>
      <w:bookmarkStart w:id="23" w:name="_Toc214820111"/>
      <w:r w:rsidRPr="000F37C2">
        <w:rPr>
          <w:rFonts w:ascii="Times New Roman" w:hAnsi="Times New Roman" w:cs="Times New Roman"/>
          <w:sz w:val="24"/>
          <w:szCs w:val="24"/>
        </w:rPr>
        <w:t>Në basenin e Drinit</w:t>
      </w:r>
      <w:bookmarkEnd w:id="20"/>
      <w:bookmarkEnd w:id="21"/>
      <w:bookmarkEnd w:id="22"/>
      <w:bookmarkEnd w:id="23"/>
      <w:r w:rsidRPr="000F37C2">
        <w:rPr>
          <w:rFonts w:ascii="Times New Roman" w:hAnsi="Times New Roman" w:cs="Times New Roman"/>
          <w:sz w:val="24"/>
          <w:szCs w:val="24"/>
        </w:rPr>
        <w:t xml:space="preserve"> gjatë vitit 2025 u krye monitorimi hidrokimik në 12 shpime të akuiferit ujëmbajtës zhavoror</w:t>
      </w:r>
      <w:r w:rsidRPr="000F37C2">
        <w:rPr>
          <w:rFonts w:ascii="Times New Roman" w:hAnsi="Times New Roman" w:cs="Times New Roman"/>
          <w:sz w:val="24"/>
          <w:szCs w:val="24"/>
          <w:lang w:val="sq-AL"/>
        </w:rPr>
        <w:t xml:space="preserve"> të Kuaternarit dhe në 3 burime natyrore të akuiferit karbonatik. Ky monitorimi u krye 2 herë në vit me analiza kimike, përkatësisht në muajt Mars dhe Shtator.</w:t>
      </w:r>
    </w:p>
    <w:p w:rsidR="00D75C1A" w:rsidRPr="000F37C2" w:rsidRDefault="00D75C1A" w:rsidP="00D75C1A">
      <w:pPr>
        <w:jc w:val="both"/>
        <w:rPr>
          <w:rFonts w:ascii="Times New Roman" w:hAnsi="Times New Roman" w:cs="Times New Roman"/>
          <w:b/>
          <w:i/>
          <w:sz w:val="24"/>
          <w:szCs w:val="24"/>
          <w:lang w:val="sq-AL"/>
        </w:rPr>
      </w:pPr>
      <w:r w:rsidRPr="000F37C2">
        <w:rPr>
          <w:rFonts w:ascii="Times New Roman" w:hAnsi="Times New Roman" w:cs="Times New Roman"/>
          <w:b/>
          <w:i/>
          <w:sz w:val="24"/>
          <w:szCs w:val="24"/>
        </w:rPr>
        <w:t>Akuiferit</w:t>
      </w:r>
      <w:r w:rsidRPr="000F37C2">
        <w:rPr>
          <w:rFonts w:ascii="Times New Roman" w:hAnsi="Times New Roman" w:cs="Times New Roman"/>
          <w:b/>
          <w:i/>
          <w:sz w:val="24"/>
          <w:szCs w:val="24"/>
          <w:lang w:val="sq-AL"/>
        </w:rPr>
        <w:t xml:space="preserve"> poroz Shkodër – Nënshkodër</w:t>
      </w:r>
    </w:p>
    <w:p w:rsidR="00D75C1A" w:rsidRPr="000F37C2" w:rsidRDefault="00D75C1A" w:rsidP="00D75C1A">
      <w:pPr>
        <w:jc w:val="both"/>
        <w:rPr>
          <w:rFonts w:ascii="Times New Roman" w:hAnsi="Times New Roman" w:cs="Times New Roman"/>
          <w:sz w:val="24"/>
          <w:szCs w:val="24"/>
          <w:lang w:val="sq-AL"/>
        </w:rPr>
      </w:pPr>
      <w:r w:rsidRPr="000F37C2">
        <w:rPr>
          <w:rFonts w:ascii="Times New Roman" w:hAnsi="Times New Roman" w:cs="Times New Roman"/>
          <w:sz w:val="24"/>
          <w:szCs w:val="24"/>
          <w:lang w:val="sq-AL"/>
        </w:rPr>
        <w:t>Monitorimi i cilësisë së UN është kryer në këtë bas</w:t>
      </w:r>
      <w:r w:rsidR="00AC6EA7">
        <w:rPr>
          <w:rFonts w:ascii="Times New Roman" w:hAnsi="Times New Roman" w:cs="Times New Roman"/>
          <w:sz w:val="24"/>
          <w:szCs w:val="24"/>
          <w:lang w:val="sq-AL"/>
        </w:rPr>
        <w:t xml:space="preserve">en sipas rrjetit të monitorimit. </w:t>
      </w:r>
      <w:r w:rsidRPr="000F37C2">
        <w:rPr>
          <w:rFonts w:ascii="Times New Roman" w:hAnsi="Times New Roman" w:cs="Times New Roman"/>
          <w:sz w:val="24"/>
          <w:szCs w:val="24"/>
          <w:lang w:val="sq-AL"/>
        </w:rPr>
        <w:t>Në bazë të këtij monitorimi rezulton që ujërat nëntokësore në përgjithësi janë të mira dhe brenda standartit të ujit të pijshëm. Më poshtë po japim përshkrimin analitik të përmbajtjes së disa elementëve me të rëndësishëm dhe konkretisht:</w:t>
      </w:r>
    </w:p>
    <w:p w:rsidR="00D75C1A" w:rsidRPr="000F37C2" w:rsidRDefault="00D75C1A" w:rsidP="00D75C1A">
      <w:pPr>
        <w:jc w:val="both"/>
        <w:rPr>
          <w:rFonts w:ascii="Times New Roman" w:hAnsi="Times New Roman" w:cs="Times New Roman"/>
          <w:b/>
          <w:sz w:val="24"/>
          <w:szCs w:val="24"/>
          <w:lang w:val="sq-AL"/>
        </w:rPr>
      </w:pPr>
      <w:r w:rsidRPr="000F37C2">
        <w:rPr>
          <w:rFonts w:ascii="Times New Roman" w:hAnsi="Times New Roman" w:cs="Times New Roman"/>
          <w:b/>
          <w:sz w:val="24"/>
          <w:szCs w:val="24"/>
          <w:lang w:val="sq-AL"/>
        </w:rPr>
        <w:t xml:space="preserve">Mineralizimi i përgjithshëm Mp- </w:t>
      </w:r>
      <w:r w:rsidRPr="000F37C2">
        <w:rPr>
          <w:rFonts w:ascii="Times New Roman" w:hAnsi="Times New Roman" w:cs="Times New Roman"/>
          <w:sz w:val="24"/>
          <w:szCs w:val="24"/>
          <w:lang w:val="sq-AL"/>
        </w:rPr>
        <w:t>Mineralizimi i përgjithshëm në monitorimin e vitit 2025 në akuiferin poroz të Shkodër – Nënshkodër, varion nga 234.37 – 678.48 mg/l. Vlerat e Mp janë brenda normës së standardit Shqiptar (VKM 379 dt.25.05.2016). Janë ujëra të ëmbla me mineralizim të përgjithshëm Mp &lt; 1 gr/l. Në stacionin e Dobraçit, që shërben për</w:t>
      </w:r>
      <w:r w:rsidR="00CF1326">
        <w:rPr>
          <w:rFonts w:ascii="Times New Roman" w:hAnsi="Times New Roman" w:cs="Times New Roman"/>
          <w:sz w:val="24"/>
          <w:szCs w:val="24"/>
          <w:lang w:val="sq-AL"/>
        </w:rPr>
        <w:t xml:space="preserve"> furnizimin me ujë të pijshem p</w:t>
      </w:r>
      <w:r w:rsidR="00CF1326" w:rsidRPr="000F37C2">
        <w:rPr>
          <w:rFonts w:ascii="Times New Roman" w:hAnsi="Times New Roman" w:cs="Times New Roman"/>
          <w:sz w:val="24"/>
          <w:szCs w:val="24"/>
          <w:lang w:val="sq-AL"/>
        </w:rPr>
        <w:t>ë</w:t>
      </w:r>
      <w:r w:rsidRPr="000F37C2">
        <w:rPr>
          <w:rFonts w:ascii="Times New Roman" w:hAnsi="Times New Roman" w:cs="Times New Roman"/>
          <w:sz w:val="24"/>
          <w:szCs w:val="24"/>
          <w:lang w:val="sq-AL"/>
        </w:rPr>
        <w:t xml:space="preserve">r qytetin e Shkodrës, Mp luhatet në vlerat 340.73 – 471.81 mg/l. </w:t>
      </w:r>
    </w:p>
    <w:p w:rsidR="00D75C1A" w:rsidRPr="000F37C2" w:rsidRDefault="00D75C1A" w:rsidP="00D75C1A">
      <w:pPr>
        <w:ind w:right="51"/>
        <w:jc w:val="both"/>
        <w:rPr>
          <w:rFonts w:ascii="Times New Roman" w:hAnsi="Times New Roman" w:cs="Times New Roman"/>
          <w:sz w:val="24"/>
          <w:szCs w:val="24"/>
        </w:rPr>
      </w:pPr>
      <w:r w:rsidRPr="000F37C2">
        <w:rPr>
          <w:rFonts w:ascii="Times New Roman" w:hAnsi="Times New Roman" w:cs="Times New Roman"/>
          <w:b/>
          <w:sz w:val="24"/>
          <w:szCs w:val="24"/>
        </w:rPr>
        <w:t>Fortësia e përgjithshme</w:t>
      </w:r>
      <w:r w:rsidRPr="000F37C2">
        <w:rPr>
          <w:rFonts w:ascii="Times New Roman" w:hAnsi="Times New Roman" w:cs="Times New Roman"/>
          <w:sz w:val="24"/>
          <w:szCs w:val="24"/>
        </w:rPr>
        <w:t xml:space="preserve"> (</w:t>
      </w:r>
      <w:r w:rsidRPr="000F37C2">
        <w:rPr>
          <w:rFonts w:ascii="Times New Roman" w:hAnsi="Times New Roman" w:cs="Times New Roman"/>
          <w:b/>
          <w:sz w:val="24"/>
          <w:szCs w:val="24"/>
        </w:rPr>
        <w:t>Fp)</w:t>
      </w:r>
      <w:r w:rsidRPr="000F37C2">
        <w:rPr>
          <w:rFonts w:ascii="Times New Roman" w:hAnsi="Times New Roman" w:cs="Times New Roman"/>
          <w:sz w:val="24"/>
          <w:szCs w:val="24"/>
        </w:rPr>
        <w:t xml:space="preserve">- </w:t>
      </w:r>
      <w:r w:rsidRPr="000F37C2">
        <w:rPr>
          <w:rFonts w:ascii="Times New Roman" w:eastAsia="Times New Roman" w:hAnsi="Times New Roman" w:cs="Times New Roman"/>
          <w:sz w:val="24"/>
          <w:szCs w:val="24"/>
          <w:lang w:val="sq-AL"/>
        </w:rPr>
        <w:t>Në monitorimin e viti 2025 vlerat e fortësisë së përgjithshme varion nga Fp = 6.6 – 23.16</w:t>
      </w:r>
      <w:r w:rsidRPr="000F37C2">
        <w:rPr>
          <w:rFonts w:ascii="Times New Roman" w:eastAsia="Times New Roman" w:hAnsi="Times New Roman" w:cs="Times New Roman"/>
          <w:sz w:val="24"/>
          <w:szCs w:val="24"/>
          <w:vertAlign w:val="superscript"/>
          <w:lang w:val="sq-AL"/>
        </w:rPr>
        <w:t xml:space="preserve">0 </w:t>
      </w:r>
      <w:r w:rsidRPr="000F37C2">
        <w:rPr>
          <w:rFonts w:ascii="Times New Roman" w:eastAsia="Times New Roman" w:hAnsi="Times New Roman" w:cs="Times New Roman"/>
          <w:sz w:val="24"/>
          <w:szCs w:val="24"/>
          <w:lang w:val="sq-AL"/>
        </w:rPr>
        <w:t>gjermane. Në përgjithësi për akuiferin e Shkodër – Nënshkodër, uji është brenda normës së ujit të pijshëm. UN janë të butë në shpimin Hot i Ri, janë me fortësi mesatare në shpimet e tjerë, në Dobraç, St.Velipojë, Kisha e Madhe, etj.</w:t>
      </w:r>
    </w:p>
    <w:p w:rsidR="00D75C1A" w:rsidRPr="000F37C2" w:rsidRDefault="00D75C1A" w:rsidP="00D75C1A">
      <w:pPr>
        <w:jc w:val="both"/>
        <w:rPr>
          <w:rFonts w:ascii="Times New Roman" w:hAnsi="Times New Roman" w:cs="Times New Roman"/>
          <w:sz w:val="24"/>
          <w:szCs w:val="24"/>
          <w:lang w:val="sq-AL"/>
        </w:rPr>
      </w:pPr>
      <w:r w:rsidRPr="000F37C2">
        <w:rPr>
          <w:rFonts w:ascii="Times New Roman" w:hAnsi="Times New Roman" w:cs="Times New Roman"/>
          <w:b/>
          <w:sz w:val="24"/>
          <w:szCs w:val="24"/>
          <w:lang w:val="sq-AL"/>
        </w:rPr>
        <w:t>pH</w:t>
      </w:r>
      <w:r w:rsidRPr="000F37C2">
        <w:rPr>
          <w:rFonts w:ascii="Times New Roman" w:hAnsi="Times New Roman" w:cs="Times New Roman"/>
          <w:sz w:val="24"/>
          <w:szCs w:val="24"/>
          <w:lang w:val="sq-AL"/>
        </w:rPr>
        <w:t xml:space="preserve"> i ujërave nëntokësore për akuiferin e Shkodër</w:t>
      </w:r>
      <w:r w:rsidR="00CF1326">
        <w:rPr>
          <w:rFonts w:ascii="Times New Roman" w:hAnsi="Times New Roman" w:cs="Times New Roman"/>
          <w:sz w:val="24"/>
          <w:szCs w:val="24"/>
          <w:lang w:val="sq-AL"/>
        </w:rPr>
        <w:t xml:space="preserve"> – Nënshkodër,</w:t>
      </w:r>
      <w:r w:rsidRPr="000F37C2">
        <w:rPr>
          <w:rFonts w:ascii="Times New Roman" w:hAnsi="Times New Roman" w:cs="Times New Roman"/>
          <w:sz w:val="24"/>
          <w:szCs w:val="24"/>
          <w:lang w:val="sq-AL"/>
        </w:rPr>
        <w:t xml:space="preserve"> varion nga 6.96–7.78. Sipas normës së lejuar për ujë të pijshëm VKM 379 (25.05.2016), ky tregues është brenda normës (Ph = 6,5 - 9,5). UN janë të tipit alkalinë të </w:t>
      </w:r>
      <w:r w:rsidR="00CF1326">
        <w:rPr>
          <w:rFonts w:ascii="Times New Roman" w:hAnsi="Times New Roman" w:cs="Times New Roman"/>
          <w:sz w:val="24"/>
          <w:szCs w:val="24"/>
          <w:lang w:val="sq-AL"/>
        </w:rPr>
        <w:t>dobët. Nuk vërehen ndryshime të</w:t>
      </w:r>
      <w:r w:rsidRPr="000F37C2">
        <w:rPr>
          <w:rFonts w:ascii="Times New Roman" w:hAnsi="Times New Roman" w:cs="Times New Roman"/>
          <w:sz w:val="24"/>
          <w:szCs w:val="24"/>
          <w:lang w:val="sq-AL"/>
        </w:rPr>
        <w:t xml:space="preserve"> ndjeshme të pH. Në vite ka vetëm ndryshime të vogla stinore.</w:t>
      </w:r>
    </w:p>
    <w:p w:rsidR="00D75C1A" w:rsidRPr="000F37C2" w:rsidRDefault="00D75C1A" w:rsidP="00D75C1A">
      <w:pPr>
        <w:jc w:val="both"/>
        <w:rPr>
          <w:rFonts w:ascii="Times New Roman" w:hAnsi="Times New Roman" w:cs="Times New Roman"/>
          <w:sz w:val="24"/>
          <w:szCs w:val="24"/>
          <w:lang w:val="sq-AL"/>
        </w:rPr>
      </w:pPr>
      <w:r w:rsidRPr="000F37C2">
        <w:rPr>
          <w:rFonts w:ascii="Times New Roman" w:hAnsi="Times New Roman" w:cs="Times New Roman"/>
          <w:sz w:val="24"/>
          <w:szCs w:val="24"/>
          <w:lang w:val="sq-AL"/>
        </w:rPr>
        <w:t xml:space="preserve">- Në bazë të raportit në % ekuivalent të anioneve të forta (d) me kationet e forta (a) dhe të dobëta </w:t>
      </w:r>
      <w:r w:rsidRPr="000F37C2">
        <w:rPr>
          <w:rFonts w:ascii="Times New Roman" w:hAnsi="Times New Roman" w:cs="Times New Roman"/>
          <w:sz w:val="24"/>
          <w:szCs w:val="24"/>
          <w:lang w:val="sq-AL"/>
        </w:rPr>
        <w:lastRenderedPageBreak/>
        <w:t>(b) për vlerësimin e alkalinitetit, uji i këtij akuiferi është i klasës së II, janë ujëra neutrale.</w:t>
      </w:r>
    </w:p>
    <w:p w:rsidR="00D75C1A" w:rsidRPr="000F37C2" w:rsidRDefault="00D75C1A" w:rsidP="00D75C1A">
      <w:pPr>
        <w:spacing w:before="60" w:after="120"/>
        <w:jc w:val="both"/>
        <w:rPr>
          <w:rFonts w:ascii="Times New Roman" w:hAnsi="Times New Roman" w:cs="Times New Roman"/>
          <w:sz w:val="24"/>
          <w:szCs w:val="24"/>
          <w:lang w:val="sq-AL"/>
        </w:rPr>
      </w:pPr>
      <w:r w:rsidRPr="000F37C2">
        <w:rPr>
          <w:rFonts w:ascii="Times New Roman" w:hAnsi="Times New Roman" w:cs="Times New Roman"/>
          <w:b/>
          <w:sz w:val="24"/>
          <w:szCs w:val="24"/>
          <w:lang w:val="sq-AL"/>
        </w:rPr>
        <w:t xml:space="preserve">Përmbajtja e Natriumit Na– </w:t>
      </w:r>
      <w:r w:rsidRPr="000F37C2">
        <w:rPr>
          <w:rFonts w:ascii="Times New Roman" w:hAnsi="Times New Roman" w:cs="Times New Roman"/>
          <w:sz w:val="24"/>
          <w:szCs w:val="24"/>
          <w:lang w:val="sq-AL"/>
        </w:rPr>
        <w:t>Përmbajtja e natriumit gjatë monitorimit të këtij viti, varion  nga 1.07 – 70.24 mg/l. Përmbajta e natriumit është e vogël nën përmbajtjen e rekomanduar. Trendi i përgjithshëm i përmbajtjes së Na është nën 20 mg/l, me përjashtim të stacionit të Blinishtit në Lezhë dhe Dobraç (faza e parë).</w:t>
      </w:r>
    </w:p>
    <w:p w:rsidR="00D75C1A" w:rsidRPr="000F37C2" w:rsidRDefault="00D75C1A" w:rsidP="00D75C1A">
      <w:pPr>
        <w:spacing w:before="60" w:after="120"/>
        <w:jc w:val="both"/>
        <w:rPr>
          <w:rFonts w:ascii="Times New Roman" w:eastAsia="Times New Roman" w:hAnsi="Times New Roman" w:cs="Times New Roman"/>
          <w:sz w:val="24"/>
          <w:szCs w:val="24"/>
          <w:lang w:val="sq-AL"/>
        </w:rPr>
      </w:pPr>
      <w:r w:rsidRPr="000F37C2">
        <w:rPr>
          <w:rFonts w:ascii="Times New Roman" w:eastAsia="Times New Roman" w:hAnsi="Times New Roman" w:cs="Times New Roman"/>
          <w:b/>
          <w:sz w:val="24"/>
          <w:szCs w:val="24"/>
          <w:lang w:val="sq-AL"/>
        </w:rPr>
        <w:t xml:space="preserve">Përmbajtja e Kalciumit Ca– </w:t>
      </w:r>
      <w:r w:rsidRPr="000F37C2">
        <w:rPr>
          <w:rFonts w:ascii="Times New Roman" w:eastAsia="Times New Roman" w:hAnsi="Times New Roman" w:cs="Times New Roman"/>
          <w:sz w:val="24"/>
          <w:szCs w:val="24"/>
          <w:lang w:val="sq-AL"/>
        </w:rPr>
        <w:t>Përmbajtja e kalciumit (Ca), gjatë monitorimit të vitit 2025, varion nga 20.4 – 111.18 mg/l. Krahasuar me standardin e ujit të pijshëm (VKM 379 dt.25.05.2016), përmbajtja e Ca ka qëndrueshmëri.</w:t>
      </w:r>
    </w:p>
    <w:p w:rsidR="00D75C1A" w:rsidRPr="000F37C2" w:rsidRDefault="00D75C1A" w:rsidP="00D75C1A">
      <w:pPr>
        <w:spacing w:before="60" w:after="120"/>
        <w:jc w:val="both"/>
        <w:rPr>
          <w:rFonts w:ascii="Times New Roman" w:eastAsia="Times New Roman" w:hAnsi="Times New Roman" w:cs="Times New Roman"/>
          <w:i/>
          <w:sz w:val="24"/>
          <w:szCs w:val="24"/>
          <w:lang w:val="sq-AL"/>
        </w:rPr>
      </w:pPr>
      <w:r w:rsidRPr="000F37C2">
        <w:rPr>
          <w:rFonts w:ascii="Times New Roman" w:eastAsia="Times New Roman" w:hAnsi="Times New Roman" w:cs="Times New Roman"/>
          <w:b/>
          <w:sz w:val="24"/>
          <w:szCs w:val="24"/>
          <w:lang w:val="sq-AL"/>
        </w:rPr>
        <w:t xml:space="preserve">Përmbajtja e Magnezit Mg - </w:t>
      </w:r>
      <w:r w:rsidRPr="000F37C2">
        <w:rPr>
          <w:rFonts w:ascii="Times New Roman" w:eastAsia="Times New Roman" w:hAnsi="Times New Roman" w:cs="Times New Roman"/>
          <w:sz w:val="24"/>
          <w:szCs w:val="24"/>
          <w:lang w:val="sq-AL"/>
        </w:rPr>
        <w:t xml:space="preserve">Përmbajtja mesatare e magnezit gjatë periudhës së këtij viti, varion 6.08 – 81.41 mg/l. Vetëm në stacionin Dajç ka vlera të Mg mbi normën e lejuar 80.8-81.41 mg/l, krahasuar me standardin e ujit të pijshëm (VKM 379 dt.25.05.2016). </w:t>
      </w:r>
    </w:p>
    <w:p w:rsidR="00D75C1A" w:rsidRPr="00D75C1A" w:rsidRDefault="00D75C1A" w:rsidP="00D75C1A">
      <w:pPr>
        <w:keepNext/>
        <w:spacing w:after="0" w:line="276" w:lineRule="auto"/>
        <w:jc w:val="both"/>
        <w:outlineLvl w:val="5"/>
        <w:rPr>
          <w:rFonts w:ascii="Times New Roman" w:eastAsia="Times New Roman" w:hAnsi="Times New Roman" w:cs="Times New Roman"/>
          <w:bCs/>
          <w:sz w:val="24"/>
          <w:szCs w:val="24"/>
          <w:lang w:val="sq-AL"/>
        </w:rPr>
      </w:pPr>
      <w:r w:rsidRPr="00D75C1A">
        <w:rPr>
          <w:rFonts w:ascii="Times New Roman" w:eastAsia="Times New Roman" w:hAnsi="Times New Roman" w:cs="Times New Roman"/>
          <w:b/>
          <w:bCs/>
          <w:sz w:val="24"/>
          <w:szCs w:val="24"/>
          <w:lang w:val="sq-AL"/>
        </w:rPr>
        <w:t xml:space="preserve">Përmbajtja e Hekurit Fe </w:t>
      </w:r>
      <w:r w:rsidRPr="00D75C1A">
        <w:rPr>
          <w:rFonts w:ascii="Times New Roman" w:eastAsia="Times New Roman" w:hAnsi="Times New Roman" w:cs="Times New Roman"/>
          <w:bCs/>
          <w:sz w:val="24"/>
          <w:szCs w:val="24"/>
          <w:lang w:val="sq-AL"/>
        </w:rPr>
        <w:t xml:space="preserve">– Përmbajtja e hekurit Fe varion në vlera nga 0 - 0.5 mg/l, brenda normës së lejuar </w:t>
      </w:r>
      <w:r w:rsidRPr="00D75C1A">
        <w:rPr>
          <w:rFonts w:ascii="Times New Roman" w:eastAsia="Times New Roman" w:hAnsi="Times New Roman" w:cs="Times New Roman"/>
          <w:sz w:val="24"/>
          <w:szCs w:val="24"/>
          <w:lang w:val="sq-AL"/>
        </w:rPr>
        <w:t>krahasuar me standardin e ujit të pijshëm</w:t>
      </w:r>
      <w:r w:rsidRPr="00D75C1A">
        <w:rPr>
          <w:rFonts w:ascii="Times New Roman" w:eastAsia="Times New Roman" w:hAnsi="Times New Roman" w:cs="Times New Roman"/>
          <w:bCs/>
          <w:sz w:val="24"/>
          <w:szCs w:val="24"/>
          <w:lang w:val="sq-AL"/>
        </w:rPr>
        <w:t>.</w:t>
      </w:r>
    </w:p>
    <w:p w:rsidR="00D75C1A" w:rsidRPr="00D75C1A" w:rsidRDefault="00D75C1A" w:rsidP="00D75C1A">
      <w:pPr>
        <w:spacing w:after="120" w:line="276" w:lineRule="auto"/>
        <w:jc w:val="both"/>
        <w:rPr>
          <w:rFonts w:ascii="Times New Roman" w:eastAsia="Times New Roman" w:hAnsi="Times New Roman" w:cs="Times New Roman"/>
          <w:sz w:val="24"/>
          <w:szCs w:val="24"/>
          <w:lang w:val="sq-AL"/>
        </w:rPr>
      </w:pPr>
      <w:r w:rsidRPr="00D75C1A">
        <w:rPr>
          <w:rFonts w:ascii="Times New Roman" w:eastAsia="Times New Roman" w:hAnsi="Times New Roman" w:cs="Times New Roman"/>
          <w:b/>
          <w:sz w:val="24"/>
          <w:szCs w:val="24"/>
          <w:lang w:val="sq-AL"/>
        </w:rPr>
        <w:t>Përmbajtja e amonjakut NH</w:t>
      </w:r>
      <w:r w:rsidRPr="00D75C1A">
        <w:rPr>
          <w:rFonts w:ascii="Times New Roman" w:eastAsia="Times New Roman" w:hAnsi="Times New Roman" w:cs="Times New Roman"/>
          <w:b/>
          <w:sz w:val="24"/>
          <w:szCs w:val="24"/>
          <w:vertAlign w:val="subscript"/>
          <w:lang w:val="sq-AL"/>
        </w:rPr>
        <w:t>4</w:t>
      </w:r>
      <w:r w:rsidRPr="00D75C1A">
        <w:rPr>
          <w:rFonts w:ascii="Times New Roman" w:eastAsia="Times New Roman" w:hAnsi="Times New Roman" w:cs="Times New Roman"/>
          <w:sz w:val="24"/>
          <w:szCs w:val="24"/>
          <w:lang w:val="sq-AL"/>
        </w:rPr>
        <w:t>– Përmbajtja e amonjakut NH</w:t>
      </w:r>
      <w:r w:rsidRPr="00D75C1A">
        <w:rPr>
          <w:rFonts w:ascii="Times New Roman" w:eastAsia="Times New Roman" w:hAnsi="Times New Roman" w:cs="Times New Roman"/>
          <w:sz w:val="24"/>
          <w:szCs w:val="24"/>
          <w:vertAlign w:val="subscript"/>
          <w:lang w:val="sq-AL"/>
        </w:rPr>
        <w:t>4,</w:t>
      </w:r>
      <w:r w:rsidRPr="00D75C1A">
        <w:rPr>
          <w:rFonts w:ascii="Times New Roman" w:eastAsia="Times New Roman" w:hAnsi="Times New Roman" w:cs="Times New Roman"/>
          <w:sz w:val="24"/>
          <w:szCs w:val="24"/>
          <w:lang w:val="sq-AL"/>
        </w:rPr>
        <w:t xml:space="preserve"> përgjatë këtij viti të monitorimit për akuiferin kuaternarë, ka vlera që variojnë nga 0.01 – 2.09 mg/l. Në pus-shpimin Blinisht vlera e NH</w:t>
      </w:r>
      <w:r w:rsidRPr="00D75C1A">
        <w:rPr>
          <w:rFonts w:ascii="Times New Roman" w:eastAsia="Times New Roman" w:hAnsi="Times New Roman" w:cs="Times New Roman"/>
          <w:sz w:val="24"/>
          <w:szCs w:val="24"/>
          <w:vertAlign w:val="subscript"/>
          <w:lang w:val="sq-AL"/>
        </w:rPr>
        <w:t xml:space="preserve">4 </w:t>
      </w:r>
      <w:r w:rsidRPr="00D75C1A">
        <w:rPr>
          <w:rFonts w:ascii="Times New Roman" w:eastAsia="Times New Roman" w:hAnsi="Times New Roman" w:cs="Times New Roman"/>
          <w:sz w:val="24"/>
          <w:szCs w:val="24"/>
          <w:lang w:val="sq-AL"/>
        </w:rPr>
        <w:t xml:space="preserve">në faza e parë ka ndotje vlera 2.09 mg/l, si rezultat i mosrespektimit të zonave sanitare. </w:t>
      </w:r>
    </w:p>
    <w:p w:rsidR="00D75C1A" w:rsidRPr="00D75C1A" w:rsidRDefault="00D75C1A" w:rsidP="00D75C1A">
      <w:pPr>
        <w:spacing w:after="200" w:line="276" w:lineRule="auto"/>
        <w:jc w:val="both"/>
        <w:rPr>
          <w:rFonts w:ascii="Times New Roman" w:hAnsi="Times New Roman" w:cs="Times New Roman"/>
          <w:sz w:val="24"/>
          <w:lang w:val="sq-AL"/>
        </w:rPr>
      </w:pPr>
      <w:r w:rsidRPr="00D75C1A">
        <w:rPr>
          <w:rFonts w:ascii="Times New Roman" w:hAnsi="Times New Roman" w:cs="Times New Roman"/>
          <w:b/>
          <w:sz w:val="24"/>
          <w:lang w:val="sq-AL"/>
        </w:rPr>
        <w:t>Përmbajtja e Nitrateve NO</w:t>
      </w:r>
      <w:r w:rsidRPr="00D75C1A">
        <w:rPr>
          <w:rFonts w:ascii="Times New Roman" w:hAnsi="Times New Roman" w:cs="Times New Roman"/>
          <w:b/>
          <w:sz w:val="24"/>
          <w:vertAlign w:val="subscript"/>
          <w:lang w:val="sq-AL"/>
        </w:rPr>
        <w:t>3</w:t>
      </w:r>
      <w:r w:rsidRPr="00D75C1A">
        <w:rPr>
          <w:rFonts w:ascii="Times New Roman" w:hAnsi="Times New Roman" w:cs="Times New Roman"/>
          <w:sz w:val="24"/>
          <w:vertAlign w:val="subscript"/>
          <w:lang w:val="sq-AL"/>
        </w:rPr>
        <w:t xml:space="preserve">: </w:t>
      </w:r>
      <w:r w:rsidRPr="00D75C1A">
        <w:rPr>
          <w:rFonts w:ascii="Times New Roman" w:hAnsi="Times New Roman" w:cs="Times New Roman"/>
          <w:b/>
          <w:sz w:val="24"/>
          <w:lang w:val="sq-AL"/>
        </w:rPr>
        <w:t xml:space="preserve">- </w:t>
      </w:r>
      <w:r w:rsidRPr="00D75C1A">
        <w:rPr>
          <w:rFonts w:ascii="Times New Roman" w:hAnsi="Times New Roman" w:cs="Times New Roman"/>
          <w:sz w:val="24"/>
          <w:lang w:val="sq-AL"/>
        </w:rPr>
        <w:t>Përmbajtja mesatare e NO</w:t>
      </w:r>
      <w:r w:rsidRPr="00D75C1A">
        <w:rPr>
          <w:rFonts w:ascii="Times New Roman" w:hAnsi="Times New Roman" w:cs="Times New Roman"/>
          <w:sz w:val="24"/>
          <w:vertAlign w:val="subscript"/>
          <w:lang w:val="sq-AL"/>
        </w:rPr>
        <w:t xml:space="preserve">3 </w:t>
      </w:r>
      <w:r w:rsidRPr="00D75C1A">
        <w:rPr>
          <w:rFonts w:ascii="Times New Roman" w:hAnsi="Times New Roman" w:cs="Times New Roman"/>
          <w:sz w:val="24"/>
          <w:lang w:val="sq-AL"/>
        </w:rPr>
        <w:t>për vitin 2025, varion nga 0.1 – 37.52 mg/l. Në pusin që ndodhet në Grudë-Fushë, Malësi e Madhe (Lokali Brajan), kemi vlerat më të larta të NO</w:t>
      </w:r>
      <w:r w:rsidRPr="00D75C1A">
        <w:rPr>
          <w:rFonts w:ascii="Times New Roman" w:hAnsi="Times New Roman" w:cs="Times New Roman"/>
          <w:sz w:val="24"/>
          <w:vertAlign w:val="subscript"/>
          <w:lang w:val="sq-AL"/>
        </w:rPr>
        <w:t>3</w:t>
      </w:r>
      <w:r w:rsidRPr="00D75C1A">
        <w:rPr>
          <w:rFonts w:ascii="Times New Roman" w:hAnsi="Times New Roman" w:cs="Times New Roman"/>
          <w:sz w:val="24"/>
          <w:lang w:val="sq-AL"/>
        </w:rPr>
        <w:t xml:space="preserve"> të cilat do të ndiqen në vazhdimësi gjatë monitorimeve të viteve të ardhshme. E krahasuar me standardin VKM 379 (25.05.2016), vlera e NO</w:t>
      </w:r>
      <w:r w:rsidRPr="00D75C1A">
        <w:rPr>
          <w:rFonts w:ascii="Times New Roman" w:hAnsi="Times New Roman" w:cs="Times New Roman"/>
          <w:sz w:val="24"/>
          <w:vertAlign w:val="subscript"/>
          <w:lang w:val="sq-AL"/>
        </w:rPr>
        <w:t>3</w:t>
      </w:r>
      <w:r w:rsidRPr="00D75C1A">
        <w:rPr>
          <w:rFonts w:ascii="Times New Roman" w:hAnsi="Times New Roman" w:cs="Times New Roman"/>
          <w:sz w:val="24"/>
          <w:lang w:val="sq-AL"/>
        </w:rPr>
        <w:t xml:space="preserve"> është brenda standardeve të ujit të pijshëm. </w:t>
      </w:r>
    </w:p>
    <w:p w:rsidR="00D75C1A" w:rsidRPr="00D75C1A" w:rsidRDefault="00D75C1A" w:rsidP="00D75C1A">
      <w:pPr>
        <w:keepNext/>
        <w:spacing w:after="0" w:line="276" w:lineRule="auto"/>
        <w:jc w:val="both"/>
        <w:outlineLvl w:val="5"/>
        <w:rPr>
          <w:rFonts w:ascii="Times New Roman" w:eastAsia="Times New Roman" w:hAnsi="Times New Roman" w:cs="Times New Roman"/>
          <w:bCs/>
          <w:sz w:val="24"/>
          <w:szCs w:val="24"/>
          <w:lang w:val="sq-AL"/>
        </w:rPr>
      </w:pPr>
      <w:r w:rsidRPr="00D75C1A">
        <w:rPr>
          <w:rFonts w:ascii="Times New Roman" w:eastAsia="Times New Roman" w:hAnsi="Times New Roman" w:cs="Times New Roman"/>
          <w:b/>
          <w:bCs/>
          <w:sz w:val="24"/>
          <w:szCs w:val="24"/>
          <w:lang w:val="sq-AL"/>
        </w:rPr>
        <w:t>Përmbajtja Nitriteve NO</w:t>
      </w:r>
      <w:r w:rsidRPr="00D75C1A">
        <w:rPr>
          <w:rFonts w:ascii="Times New Roman" w:eastAsia="Times New Roman" w:hAnsi="Times New Roman" w:cs="Times New Roman"/>
          <w:b/>
          <w:bCs/>
          <w:sz w:val="24"/>
          <w:szCs w:val="24"/>
          <w:vertAlign w:val="subscript"/>
          <w:lang w:val="sq-AL"/>
        </w:rPr>
        <w:t>2</w:t>
      </w:r>
      <w:r w:rsidRPr="00D75C1A">
        <w:rPr>
          <w:rFonts w:ascii="Times New Roman" w:eastAsia="Times New Roman" w:hAnsi="Times New Roman" w:cs="Times New Roman"/>
          <w:b/>
          <w:bCs/>
          <w:szCs w:val="24"/>
          <w:lang w:val="sq-AL"/>
        </w:rPr>
        <w:t xml:space="preserve">: - </w:t>
      </w:r>
      <w:r w:rsidRPr="00D75C1A">
        <w:rPr>
          <w:rFonts w:ascii="Times New Roman" w:eastAsia="Times New Roman" w:hAnsi="Times New Roman" w:cs="Times New Roman"/>
          <w:bCs/>
          <w:sz w:val="24"/>
          <w:szCs w:val="24"/>
          <w:lang w:val="sq-AL"/>
        </w:rPr>
        <w:t>Përmbajtja mesatare e NO</w:t>
      </w:r>
      <w:r w:rsidRPr="00D75C1A">
        <w:rPr>
          <w:rFonts w:ascii="Times New Roman" w:eastAsia="Times New Roman" w:hAnsi="Times New Roman" w:cs="Times New Roman"/>
          <w:bCs/>
          <w:sz w:val="24"/>
          <w:szCs w:val="24"/>
          <w:vertAlign w:val="subscript"/>
          <w:lang w:val="sq-AL"/>
        </w:rPr>
        <w:t xml:space="preserve">2 </w:t>
      </w:r>
      <w:r w:rsidRPr="00D75C1A">
        <w:rPr>
          <w:rFonts w:ascii="Times New Roman" w:eastAsia="Times New Roman" w:hAnsi="Times New Roman" w:cs="Times New Roman"/>
          <w:bCs/>
          <w:sz w:val="24"/>
          <w:szCs w:val="24"/>
          <w:lang w:val="sq-AL"/>
        </w:rPr>
        <w:t xml:space="preserve">përgjatë 2025 varion nga 0 – 0.79 mg/l (Blinisht). Përmbajtja e nitriteve në ujë të pijshëm nuk lejohet ndërsa përmbajtja maksimale e lejuar është 0.5 mg/l, sipas VKM 379, (Norma BE është 0.1 mg/l). Nuk ka ndotje masive, ato janë shfaqje sporadike. </w:t>
      </w:r>
    </w:p>
    <w:p w:rsidR="00D75C1A" w:rsidRPr="00D75C1A" w:rsidRDefault="00D75C1A" w:rsidP="00D75C1A">
      <w:pPr>
        <w:spacing w:after="200" w:line="276" w:lineRule="auto"/>
        <w:jc w:val="both"/>
        <w:rPr>
          <w:rFonts w:ascii="Times New Roman" w:hAnsi="Times New Roman" w:cs="Times New Roman"/>
          <w:sz w:val="24"/>
        </w:rPr>
      </w:pPr>
      <w:r w:rsidRPr="00D75C1A">
        <w:rPr>
          <w:rFonts w:ascii="Times New Roman" w:hAnsi="Times New Roman" w:cs="Times New Roman"/>
          <w:b/>
          <w:sz w:val="24"/>
          <w:lang w:val="sq-AL"/>
        </w:rPr>
        <w:t>Përmbajtja e Nitrateve NO</w:t>
      </w:r>
      <w:r w:rsidRPr="00D75C1A">
        <w:rPr>
          <w:rFonts w:ascii="Times New Roman" w:hAnsi="Times New Roman" w:cs="Times New Roman"/>
          <w:b/>
          <w:sz w:val="24"/>
          <w:vertAlign w:val="subscript"/>
          <w:lang w:val="sq-AL"/>
        </w:rPr>
        <w:t>3</w:t>
      </w:r>
      <w:r w:rsidRPr="00D75C1A">
        <w:rPr>
          <w:rFonts w:ascii="Times New Roman" w:hAnsi="Times New Roman" w:cs="Times New Roman"/>
          <w:sz w:val="24"/>
          <w:vertAlign w:val="subscript"/>
          <w:lang w:val="sq-AL"/>
        </w:rPr>
        <w:t>:</w:t>
      </w:r>
      <w:r w:rsidRPr="00D75C1A">
        <w:rPr>
          <w:rFonts w:ascii="Times New Roman" w:hAnsi="Times New Roman" w:cs="Times New Roman"/>
          <w:b/>
          <w:sz w:val="24"/>
          <w:lang w:val="sq-AL"/>
        </w:rPr>
        <w:t xml:space="preserve">- </w:t>
      </w:r>
      <w:r w:rsidRPr="00D75C1A">
        <w:rPr>
          <w:rFonts w:ascii="Times New Roman" w:hAnsi="Times New Roman" w:cs="Times New Roman"/>
          <w:sz w:val="24"/>
          <w:lang w:val="sq-AL"/>
        </w:rPr>
        <w:t>Përmbajtja mesatare e NO</w:t>
      </w:r>
      <w:r w:rsidRPr="00D75C1A">
        <w:rPr>
          <w:rFonts w:ascii="Times New Roman" w:hAnsi="Times New Roman" w:cs="Times New Roman"/>
          <w:sz w:val="24"/>
          <w:vertAlign w:val="subscript"/>
          <w:lang w:val="sq-AL"/>
        </w:rPr>
        <w:t xml:space="preserve">3 </w:t>
      </w:r>
      <w:r w:rsidRPr="00D75C1A">
        <w:rPr>
          <w:rFonts w:ascii="Times New Roman" w:hAnsi="Times New Roman" w:cs="Times New Roman"/>
          <w:sz w:val="24"/>
          <w:lang w:val="sq-AL"/>
        </w:rPr>
        <w:t>për vitet 2020 - 2024, varion nga 0 – 56.84 mg/l. E krahasuar me standardin VKM 379 (25.05.2016), vlera e NO</w:t>
      </w:r>
      <w:r w:rsidRPr="00D75C1A">
        <w:rPr>
          <w:rFonts w:ascii="Times New Roman" w:hAnsi="Times New Roman" w:cs="Times New Roman"/>
          <w:sz w:val="24"/>
          <w:vertAlign w:val="subscript"/>
          <w:lang w:val="sq-AL"/>
        </w:rPr>
        <w:t>3</w:t>
      </w:r>
      <w:r w:rsidRPr="00D75C1A">
        <w:rPr>
          <w:rFonts w:ascii="Times New Roman" w:hAnsi="Times New Roman" w:cs="Times New Roman"/>
          <w:sz w:val="24"/>
          <w:lang w:val="sq-AL"/>
        </w:rPr>
        <w:t xml:space="preserve"> është brenda standarteve të ujit të pijshëm</w:t>
      </w:r>
      <w:r w:rsidR="00CF1326">
        <w:rPr>
          <w:rFonts w:ascii="Times New Roman" w:hAnsi="Times New Roman" w:cs="Times New Roman"/>
          <w:sz w:val="24"/>
          <w:lang w:val="sq-AL"/>
        </w:rPr>
        <w:t>.</w:t>
      </w:r>
    </w:p>
    <w:p w:rsidR="00D75C1A" w:rsidRPr="00D75C1A" w:rsidRDefault="00D75C1A" w:rsidP="00D75C1A">
      <w:pPr>
        <w:spacing w:after="120" w:line="276" w:lineRule="auto"/>
        <w:jc w:val="both"/>
        <w:rPr>
          <w:rFonts w:ascii="Times New Roman" w:hAnsi="Times New Roman" w:cs="Times New Roman"/>
          <w:b/>
          <w:i/>
          <w:sz w:val="24"/>
        </w:rPr>
      </w:pPr>
      <w:r w:rsidRPr="00D75C1A">
        <w:rPr>
          <w:rFonts w:ascii="Times New Roman" w:hAnsi="Times New Roman" w:cs="Times New Roman"/>
          <w:b/>
          <w:i/>
          <w:sz w:val="24"/>
        </w:rPr>
        <w:t xml:space="preserve">Akuiferit Karbonatik </w:t>
      </w:r>
      <w:r w:rsidRPr="00D75C1A">
        <w:rPr>
          <w:rFonts w:ascii="Times New Roman" w:hAnsi="Times New Roman" w:cs="Times New Roman"/>
          <w:b/>
          <w:i/>
          <w:sz w:val="24"/>
          <w:lang w:val="sq-AL"/>
        </w:rPr>
        <w:t>(çarje- karst)</w:t>
      </w:r>
    </w:p>
    <w:p w:rsidR="00D75C1A" w:rsidRPr="00D75C1A" w:rsidRDefault="00D75C1A" w:rsidP="00D75C1A">
      <w:pPr>
        <w:spacing w:after="120" w:line="276" w:lineRule="auto"/>
        <w:jc w:val="both"/>
        <w:rPr>
          <w:rFonts w:ascii="Times New Roman" w:hAnsi="Times New Roman" w:cs="Times New Roman"/>
          <w:sz w:val="24"/>
        </w:rPr>
      </w:pPr>
      <w:r w:rsidRPr="00D75C1A">
        <w:rPr>
          <w:rFonts w:ascii="Times New Roman" w:hAnsi="Times New Roman" w:cs="Times New Roman"/>
          <w:sz w:val="24"/>
        </w:rPr>
        <w:t xml:space="preserve">Monitorimi i cilësisë së UN në akuiferin karbonatik përgjatë vitit </w:t>
      </w:r>
      <w:r w:rsidRPr="00D75C1A">
        <w:rPr>
          <w:rFonts w:ascii="Times New Roman" w:hAnsi="Times New Roman" w:cs="Times New Roman"/>
          <w:sz w:val="24"/>
          <w:lang w:val="sq-AL"/>
        </w:rPr>
        <w:t xml:space="preserve">2025, </w:t>
      </w:r>
      <w:r w:rsidRPr="00D75C1A">
        <w:rPr>
          <w:rFonts w:ascii="Times New Roman" w:hAnsi="Times New Roman" w:cs="Times New Roman"/>
          <w:sz w:val="24"/>
        </w:rPr>
        <w:t xml:space="preserve">është kryer në 2 burime në Shkodër burimi Syri i Sheganit, në Pogradec (Lin dhe Tushemisht), me frekuencë 2 herë në vit. </w:t>
      </w:r>
    </w:p>
    <w:p w:rsidR="00D75C1A" w:rsidRPr="00D75C1A" w:rsidRDefault="00D75C1A" w:rsidP="00D75C1A">
      <w:pPr>
        <w:spacing w:after="120" w:line="276" w:lineRule="auto"/>
        <w:jc w:val="both"/>
        <w:rPr>
          <w:rFonts w:ascii="Times New Roman" w:hAnsi="Times New Roman" w:cs="Times New Roman"/>
          <w:sz w:val="24"/>
        </w:rPr>
      </w:pPr>
      <w:r w:rsidRPr="00D75C1A">
        <w:rPr>
          <w:rFonts w:ascii="Times New Roman" w:hAnsi="Times New Roman" w:cs="Times New Roman"/>
          <w:b/>
          <w:sz w:val="24"/>
        </w:rPr>
        <w:t>pHi ujit</w:t>
      </w:r>
      <w:r w:rsidRPr="00D75C1A">
        <w:rPr>
          <w:rFonts w:ascii="Times New Roman" w:hAnsi="Times New Roman" w:cs="Times New Roman"/>
          <w:sz w:val="24"/>
        </w:rPr>
        <w:t xml:space="preserve">: pH i ujit luhatet në vlerat pH = 7.14 – 7.29. Uji është brenda normës së ujit të pijshëm (norma e pH = 6,5 - 9,5). Sipas vlerës së pH, ujërat e këtij akuiferi janë alkalin të dobët me pH = 7 - 9, në ujë mbizotëron joni hidrokarbonat. </w:t>
      </w:r>
    </w:p>
    <w:p w:rsidR="00D75C1A" w:rsidRPr="00D75C1A" w:rsidRDefault="00D75C1A" w:rsidP="00D75C1A">
      <w:pPr>
        <w:spacing w:after="120" w:line="276" w:lineRule="auto"/>
        <w:jc w:val="both"/>
        <w:rPr>
          <w:rFonts w:ascii="Times New Roman" w:hAnsi="Times New Roman" w:cs="Times New Roman"/>
          <w:sz w:val="24"/>
        </w:rPr>
      </w:pPr>
      <w:r w:rsidRPr="00D75C1A">
        <w:rPr>
          <w:rFonts w:ascii="Times New Roman" w:hAnsi="Times New Roman" w:cs="Times New Roman"/>
          <w:sz w:val="24"/>
        </w:rPr>
        <w:lastRenderedPageBreak/>
        <w:t>Në bazë të raportit në % ekuivalente të anioneve të forta (d) me kationet e forta (a) dhe të dobëta (b) për vlerësimin e alkalinitetit, uji i këtij akuiferi është i klasës së II, pra janë ujëra neutrale, në ujë mbizotëron joni hidrokarbonat.</w:t>
      </w:r>
    </w:p>
    <w:p w:rsidR="00D75C1A" w:rsidRPr="00D75C1A" w:rsidRDefault="00D75C1A" w:rsidP="00D75C1A">
      <w:pPr>
        <w:spacing w:after="120" w:line="276" w:lineRule="auto"/>
        <w:jc w:val="both"/>
        <w:rPr>
          <w:rFonts w:ascii="Times New Roman" w:hAnsi="Times New Roman" w:cs="Times New Roman"/>
          <w:sz w:val="24"/>
        </w:rPr>
      </w:pPr>
      <w:r w:rsidRPr="00D75C1A">
        <w:rPr>
          <w:rFonts w:ascii="Times New Roman" w:hAnsi="Times New Roman" w:cs="Times New Roman"/>
          <w:b/>
          <w:sz w:val="24"/>
        </w:rPr>
        <w:t xml:space="preserve">Fortësia e përgjithshme:- </w:t>
      </w:r>
      <w:r w:rsidRPr="00D75C1A">
        <w:rPr>
          <w:rFonts w:ascii="Times New Roman" w:hAnsi="Times New Roman" w:cs="Times New Roman"/>
          <w:sz w:val="24"/>
        </w:rPr>
        <w:t>Varion në vlera 8.23 – 10.64</w:t>
      </w:r>
      <w:r w:rsidRPr="00D75C1A">
        <w:rPr>
          <w:rFonts w:ascii="Times New Roman" w:hAnsi="Times New Roman" w:cs="Times New Roman"/>
          <w:sz w:val="24"/>
          <w:vertAlign w:val="superscript"/>
        </w:rPr>
        <w:t>0</w:t>
      </w:r>
      <w:r w:rsidR="00CF1326">
        <w:rPr>
          <w:rFonts w:ascii="Times New Roman" w:hAnsi="Times New Roman" w:cs="Times New Roman"/>
          <w:sz w:val="24"/>
          <w:vertAlign w:val="superscript"/>
        </w:rPr>
        <w:t xml:space="preserve"> </w:t>
      </w:r>
      <w:r w:rsidRPr="00D75C1A">
        <w:rPr>
          <w:rFonts w:ascii="Times New Roman" w:hAnsi="Times New Roman" w:cs="Times New Roman"/>
          <w:sz w:val="24"/>
        </w:rPr>
        <w:t>gjermane, ndërsa fortësia e përgjithshme mesatare është Fp</w:t>
      </w:r>
      <w:r w:rsidRPr="00D75C1A">
        <w:rPr>
          <w:rFonts w:ascii="Times New Roman" w:hAnsi="Times New Roman" w:cs="Times New Roman"/>
          <w:sz w:val="24"/>
          <w:vertAlign w:val="subscript"/>
        </w:rPr>
        <w:t>mes</w:t>
      </w:r>
      <w:r w:rsidRPr="00D75C1A">
        <w:rPr>
          <w:rFonts w:ascii="Times New Roman" w:hAnsi="Times New Roman" w:cs="Times New Roman"/>
          <w:sz w:val="24"/>
        </w:rPr>
        <w:t xml:space="preserve"> = 9.4</w:t>
      </w:r>
      <w:r w:rsidRPr="00D75C1A">
        <w:rPr>
          <w:rFonts w:ascii="Times New Roman" w:hAnsi="Times New Roman" w:cs="Times New Roman"/>
          <w:sz w:val="24"/>
          <w:vertAlign w:val="superscript"/>
        </w:rPr>
        <w:t>0</w:t>
      </w:r>
      <w:r w:rsidR="00CF1326">
        <w:rPr>
          <w:rFonts w:ascii="Times New Roman" w:hAnsi="Times New Roman" w:cs="Times New Roman"/>
          <w:sz w:val="24"/>
          <w:vertAlign w:val="superscript"/>
        </w:rPr>
        <w:t xml:space="preserve"> </w:t>
      </w:r>
      <w:r w:rsidRPr="00D75C1A">
        <w:rPr>
          <w:rFonts w:ascii="Times New Roman" w:hAnsi="Times New Roman" w:cs="Times New Roman"/>
          <w:sz w:val="24"/>
        </w:rPr>
        <w:t xml:space="preserve">gjermane. Ndryshimet e Fp janë të vogla të karaktrerit stinor. Ujërat klasifikohen në ujëra me fortësi mesatare. </w:t>
      </w:r>
    </w:p>
    <w:p w:rsidR="00D75C1A" w:rsidRPr="00D75C1A" w:rsidRDefault="00D75C1A" w:rsidP="00D75C1A">
      <w:pPr>
        <w:spacing w:after="120" w:line="276" w:lineRule="auto"/>
        <w:jc w:val="both"/>
        <w:rPr>
          <w:rFonts w:ascii="Times New Roman" w:hAnsi="Times New Roman" w:cs="Times New Roman"/>
          <w:sz w:val="24"/>
          <w:lang w:val="it-IT"/>
        </w:rPr>
      </w:pPr>
      <w:r w:rsidRPr="00D75C1A">
        <w:rPr>
          <w:rFonts w:ascii="Times New Roman" w:hAnsi="Times New Roman" w:cs="Times New Roman"/>
          <w:b/>
          <w:sz w:val="24"/>
          <w:lang w:val="it-IT"/>
        </w:rPr>
        <w:t xml:space="preserve">Mineralizimi i Përgjithëshme Mp- </w:t>
      </w:r>
      <w:r w:rsidRPr="00D75C1A">
        <w:rPr>
          <w:rFonts w:ascii="Times New Roman" w:hAnsi="Times New Roman" w:cs="Times New Roman"/>
          <w:sz w:val="24"/>
          <w:lang w:val="it-IT"/>
        </w:rPr>
        <w:t>varion Mp = 232.11 – 310 mg/l, pra janë ujëra të ëmbla, tipi i ujit është HCO</w:t>
      </w:r>
      <w:r w:rsidRPr="00D75C1A">
        <w:rPr>
          <w:rFonts w:ascii="Times New Roman" w:hAnsi="Times New Roman" w:cs="Times New Roman"/>
          <w:sz w:val="24"/>
          <w:vertAlign w:val="subscript"/>
          <w:lang w:val="it-IT"/>
        </w:rPr>
        <w:t xml:space="preserve">3 </w:t>
      </w:r>
      <w:r w:rsidRPr="00D75C1A">
        <w:rPr>
          <w:rFonts w:ascii="Times New Roman" w:hAnsi="Times New Roman" w:cs="Times New Roman"/>
          <w:sz w:val="24"/>
          <w:lang w:val="it-IT"/>
        </w:rPr>
        <w:t>–Ca.</w:t>
      </w:r>
    </w:p>
    <w:p w:rsidR="00D75C1A" w:rsidRPr="00D75C1A" w:rsidRDefault="00D75C1A" w:rsidP="00D75C1A">
      <w:pPr>
        <w:spacing w:after="200" w:line="276" w:lineRule="auto"/>
        <w:jc w:val="both"/>
        <w:rPr>
          <w:rFonts w:ascii="Times New Roman" w:hAnsi="Times New Roman" w:cs="Times New Roman"/>
          <w:sz w:val="24"/>
          <w:lang w:val="sq-AL"/>
        </w:rPr>
      </w:pPr>
      <w:r w:rsidRPr="00D75C1A">
        <w:rPr>
          <w:rFonts w:ascii="Times New Roman" w:hAnsi="Times New Roman" w:cs="Times New Roman"/>
          <w:b/>
          <w:sz w:val="24"/>
          <w:lang w:val="it-IT"/>
        </w:rPr>
        <w:t>Përmbajtja e Nitriteve NO</w:t>
      </w:r>
      <w:r w:rsidRPr="00D75C1A">
        <w:rPr>
          <w:rFonts w:ascii="Times New Roman" w:hAnsi="Times New Roman" w:cs="Times New Roman"/>
          <w:b/>
          <w:sz w:val="24"/>
          <w:vertAlign w:val="subscript"/>
          <w:lang w:val="it-IT"/>
        </w:rPr>
        <w:t>2</w:t>
      </w:r>
      <w:r w:rsidRPr="00D75C1A">
        <w:rPr>
          <w:rFonts w:ascii="Times New Roman" w:hAnsi="Times New Roman" w:cs="Times New Roman"/>
          <w:sz w:val="24"/>
          <w:lang w:val="it-IT"/>
        </w:rPr>
        <w:t>. Në analizat e kryera nuk vihet re prania e joneve NO</w:t>
      </w:r>
      <w:r w:rsidRPr="00D75C1A">
        <w:rPr>
          <w:rFonts w:ascii="Times New Roman" w:hAnsi="Times New Roman" w:cs="Times New Roman"/>
          <w:sz w:val="24"/>
          <w:vertAlign w:val="subscript"/>
          <w:lang w:val="it-IT"/>
        </w:rPr>
        <w:t>2</w:t>
      </w:r>
      <w:r w:rsidRPr="00D75C1A">
        <w:rPr>
          <w:rFonts w:ascii="Times New Roman" w:hAnsi="Times New Roman" w:cs="Times New Roman"/>
          <w:sz w:val="24"/>
          <w:lang w:val="it-IT"/>
        </w:rPr>
        <w:t>, që tregon për sigurimin e zonave të mbrojtjes sanitare.</w:t>
      </w:r>
      <w:r w:rsidRPr="00D75C1A">
        <w:rPr>
          <w:rFonts w:ascii="Times New Roman" w:hAnsi="Times New Roman" w:cs="Times New Roman"/>
          <w:sz w:val="24"/>
          <w:lang w:val="sq-AL"/>
        </w:rPr>
        <w:t xml:space="preserve">Vlerat e </w:t>
      </w:r>
      <w:r w:rsidRPr="00D75C1A">
        <w:rPr>
          <w:rFonts w:ascii="Times New Roman" w:hAnsi="Times New Roman" w:cs="Times New Roman"/>
          <w:sz w:val="24"/>
          <w:lang w:val="it-IT"/>
        </w:rPr>
        <w:t>NO</w:t>
      </w:r>
      <w:r w:rsidRPr="00D75C1A">
        <w:rPr>
          <w:rFonts w:ascii="Times New Roman" w:hAnsi="Times New Roman" w:cs="Times New Roman"/>
          <w:sz w:val="24"/>
          <w:vertAlign w:val="subscript"/>
          <w:lang w:val="it-IT"/>
        </w:rPr>
        <w:t xml:space="preserve">2 </w:t>
      </w:r>
      <w:r w:rsidRPr="00D75C1A">
        <w:rPr>
          <w:rFonts w:ascii="Times New Roman" w:hAnsi="Times New Roman" w:cs="Times New Roman"/>
          <w:sz w:val="24"/>
          <w:lang w:val="it-IT"/>
        </w:rPr>
        <w:t xml:space="preserve">variojnë nga 0 – 0.01 mg/l, </w:t>
      </w:r>
      <w:r w:rsidRPr="00D75C1A">
        <w:rPr>
          <w:rFonts w:ascii="Times New Roman" w:hAnsi="Times New Roman" w:cs="Times New Roman"/>
          <w:sz w:val="24"/>
          <w:lang w:val="sq-AL"/>
        </w:rPr>
        <w:t>e krahasuar me standardin VKM 379 (25.05.2016), vlera e NO</w:t>
      </w:r>
      <w:r w:rsidRPr="00D75C1A">
        <w:rPr>
          <w:rFonts w:ascii="Times New Roman" w:hAnsi="Times New Roman" w:cs="Times New Roman"/>
          <w:sz w:val="24"/>
          <w:vertAlign w:val="subscript"/>
          <w:lang w:val="sq-AL"/>
        </w:rPr>
        <w:t>2</w:t>
      </w:r>
      <w:r w:rsidRPr="00D75C1A">
        <w:rPr>
          <w:rFonts w:ascii="Times New Roman" w:hAnsi="Times New Roman" w:cs="Times New Roman"/>
          <w:sz w:val="24"/>
          <w:lang w:val="sq-AL"/>
        </w:rPr>
        <w:t xml:space="preserve"> është brenda standardit.</w:t>
      </w:r>
    </w:p>
    <w:p w:rsidR="00D75C1A" w:rsidRPr="00D75C1A" w:rsidRDefault="00D75C1A" w:rsidP="00D75C1A">
      <w:pPr>
        <w:spacing w:after="200" w:line="276" w:lineRule="auto"/>
        <w:jc w:val="both"/>
        <w:rPr>
          <w:rFonts w:ascii="Times New Roman" w:hAnsi="Times New Roman" w:cs="Times New Roman"/>
          <w:sz w:val="24"/>
          <w:lang w:val="sq-AL"/>
        </w:rPr>
      </w:pPr>
      <w:r w:rsidRPr="00D75C1A">
        <w:rPr>
          <w:rFonts w:ascii="Times New Roman" w:hAnsi="Times New Roman" w:cs="Times New Roman"/>
          <w:b/>
          <w:sz w:val="24"/>
          <w:lang w:val="it-IT"/>
        </w:rPr>
        <w:t>Përmbajtja e Nitrateve NO</w:t>
      </w:r>
      <w:r w:rsidRPr="00D75C1A">
        <w:rPr>
          <w:rFonts w:ascii="Times New Roman" w:hAnsi="Times New Roman" w:cs="Times New Roman"/>
          <w:b/>
          <w:sz w:val="24"/>
          <w:vertAlign w:val="subscript"/>
          <w:lang w:val="it-IT"/>
        </w:rPr>
        <w:t>3</w:t>
      </w:r>
      <w:r w:rsidRPr="00D75C1A">
        <w:rPr>
          <w:rFonts w:ascii="Times New Roman" w:hAnsi="Times New Roman" w:cs="Times New Roman"/>
          <w:sz w:val="24"/>
          <w:lang w:val="it-IT"/>
        </w:rPr>
        <w:t>, takohet me përmbajtje të vog</w:t>
      </w:r>
      <w:r w:rsidRPr="00D75C1A">
        <w:rPr>
          <w:rFonts w:ascii="Times New Roman" w:hAnsi="Times New Roman" w:cs="Times New Roman"/>
          <w:sz w:val="24"/>
        </w:rPr>
        <w:t>ë</w:t>
      </w:r>
      <w:r w:rsidRPr="00D75C1A">
        <w:rPr>
          <w:rFonts w:ascii="Times New Roman" w:hAnsi="Times New Roman" w:cs="Times New Roman"/>
          <w:sz w:val="24"/>
          <w:lang w:val="it-IT"/>
        </w:rPr>
        <w:t>l që varion nga 1.21–5.87 mg/l.</w:t>
      </w:r>
    </w:p>
    <w:p w:rsidR="00D75C1A" w:rsidRDefault="00D75C1A" w:rsidP="00D75C1A">
      <w:pPr>
        <w:keepNext/>
        <w:spacing w:before="120" w:after="120" w:line="276" w:lineRule="auto"/>
        <w:jc w:val="both"/>
        <w:outlineLvl w:val="1"/>
        <w:rPr>
          <w:rFonts w:ascii="Times New Roman" w:hAnsi="Times New Roman" w:cs="Times New Roman"/>
          <w:sz w:val="24"/>
          <w:lang w:val="sq-AL"/>
        </w:rPr>
      </w:pPr>
      <w:bookmarkStart w:id="24" w:name="_Toc223000353"/>
    </w:p>
    <w:p w:rsidR="00D75C1A" w:rsidRPr="00D75C1A" w:rsidRDefault="00D75C1A" w:rsidP="00D75C1A">
      <w:pPr>
        <w:keepNext/>
        <w:spacing w:before="120" w:after="120" w:line="276" w:lineRule="auto"/>
        <w:jc w:val="both"/>
        <w:outlineLvl w:val="1"/>
        <w:rPr>
          <w:rFonts w:ascii="Times New Roman" w:eastAsia="Times New Roman" w:hAnsi="Times New Roman" w:cs="Times New Roman"/>
          <w:b/>
          <w:bCs/>
          <w:iCs/>
          <w:sz w:val="24"/>
          <w:szCs w:val="28"/>
        </w:rPr>
      </w:pPr>
      <w:r w:rsidRPr="00D75C1A">
        <w:rPr>
          <w:rFonts w:ascii="Times New Roman" w:eastAsia="Times New Roman" w:hAnsi="Times New Roman" w:cs="Times New Roman"/>
          <w:b/>
          <w:bCs/>
          <w:iCs/>
          <w:sz w:val="24"/>
          <w:szCs w:val="28"/>
        </w:rPr>
        <w:t>Rekomandime për basenin e Drinit</w:t>
      </w:r>
      <w:bookmarkEnd w:id="24"/>
    </w:p>
    <w:p w:rsidR="00D75C1A" w:rsidRPr="00D75C1A" w:rsidRDefault="00D75C1A" w:rsidP="00807975">
      <w:pPr>
        <w:numPr>
          <w:ilvl w:val="0"/>
          <w:numId w:val="56"/>
        </w:numPr>
        <w:spacing w:after="200" w:line="276" w:lineRule="auto"/>
        <w:contextualSpacing/>
        <w:jc w:val="both"/>
        <w:rPr>
          <w:rFonts w:ascii="Times New Roman" w:hAnsi="Times New Roman" w:cs="Times New Roman"/>
          <w:sz w:val="24"/>
          <w:szCs w:val="24"/>
          <w:lang w:val="sq-AL"/>
        </w:rPr>
      </w:pPr>
      <w:r w:rsidRPr="00D75C1A">
        <w:rPr>
          <w:rFonts w:ascii="Times New Roman" w:hAnsi="Times New Roman" w:cs="Times New Roman"/>
          <w:sz w:val="24"/>
          <w:szCs w:val="24"/>
          <w:lang w:val="sq-AL"/>
        </w:rPr>
        <w:t>Të vazhdojë monitorimi i UN në akuiferët e basenit të Drinit, si baseni më i madh dhe i rëndësishëm i vendit tonë.</w:t>
      </w:r>
    </w:p>
    <w:p w:rsidR="00D75C1A" w:rsidRPr="00D75C1A" w:rsidRDefault="00D75C1A" w:rsidP="00807975">
      <w:pPr>
        <w:numPr>
          <w:ilvl w:val="0"/>
          <w:numId w:val="56"/>
        </w:numPr>
        <w:spacing w:after="200" w:line="276" w:lineRule="auto"/>
        <w:contextualSpacing/>
        <w:jc w:val="both"/>
        <w:rPr>
          <w:rFonts w:ascii="Times New Roman" w:hAnsi="Times New Roman" w:cs="Times New Roman"/>
          <w:sz w:val="24"/>
          <w:szCs w:val="24"/>
          <w:lang w:val="sq-AL"/>
        </w:rPr>
      </w:pPr>
      <w:r w:rsidRPr="00D75C1A">
        <w:rPr>
          <w:rFonts w:ascii="Times New Roman" w:hAnsi="Times New Roman" w:cs="Times New Roman"/>
          <w:sz w:val="24"/>
          <w:szCs w:val="24"/>
          <w:lang w:val="sq-AL"/>
        </w:rPr>
        <w:t>Monitorimi i cilësisë së UN rekomandohet të kryhet me frekuencë katër herë në vit në shkëmbinjtë e shkrifët dhe 2 herë në vit në periudhën ujë shumtë dhe ujë pakët në  shkëmbinjtë kompakt.</w:t>
      </w:r>
    </w:p>
    <w:p w:rsidR="00D75C1A" w:rsidRPr="00D75C1A" w:rsidRDefault="00D75C1A" w:rsidP="00807975">
      <w:pPr>
        <w:numPr>
          <w:ilvl w:val="0"/>
          <w:numId w:val="56"/>
        </w:numPr>
        <w:spacing w:after="200" w:line="276" w:lineRule="auto"/>
        <w:contextualSpacing/>
        <w:jc w:val="both"/>
        <w:rPr>
          <w:rFonts w:ascii="Times New Roman" w:hAnsi="Times New Roman" w:cs="Times New Roman"/>
          <w:sz w:val="24"/>
          <w:szCs w:val="24"/>
          <w:lang w:val="sq-AL"/>
        </w:rPr>
      </w:pPr>
      <w:r w:rsidRPr="00D75C1A">
        <w:rPr>
          <w:rFonts w:ascii="Times New Roman" w:hAnsi="Times New Roman" w:cs="Times New Roman"/>
          <w:sz w:val="24"/>
          <w:szCs w:val="24"/>
          <w:lang w:val="sq-AL"/>
        </w:rPr>
        <w:t xml:space="preserve">Kalimi </w:t>
      </w:r>
      <w:r w:rsidR="00CE0530">
        <w:rPr>
          <w:rFonts w:ascii="Times New Roman" w:hAnsi="Times New Roman" w:cs="Times New Roman"/>
          <w:sz w:val="24"/>
          <w:szCs w:val="24"/>
          <w:lang w:val="sq-AL"/>
        </w:rPr>
        <w:t>i domosdoshëm i monitorimit kat</w:t>
      </w:r>
      <w:r w:rsidR="00CE0530" w:rsidRPr="000F37C2">
        <w:rPr>
          <w:rFonts w:ascii="Times New Roman" w:hAnsi="Times New Roman" w:cs="Times New Roman"/>
          <w:sz w:val="24"/>
          <w:szCs w:val="24"/>
          <w:lang w:val="sq-AL"/>
        </w:rPr>
        <w:t>ë</w:t>
      </w:r>
      <w:r w:rsidR="00CE0530">
        <w:rPr>
          <w:rFonts w:ascii="Times New Roman" w:hAnsi="Times New Roman" w:cs="Times New Roman"/>
          <w:sz w:val="24"/>
          <w:szCs w:val="24"/>
          <w:lang w:val="sq-AL"/>
        </w:rPr>
        <w:t>rfazësh për çdo akuifer  poroz</w:t>
      </w:r>
      <w:r w:rsidRPr="00D75C1A">
        <w:rPr>
          <w:rFonts w:ascii="Times New Roman" w:hAnsi="Times New Roman" w:cs="Times New Roman"/>
          <w:sz w:val="24"/>
          <w:szCs w:val="24"/>
          <w:lang w:val="sq-AL"/>
        </w:rPr>
        <w:t xml:space="preserve"> të basenit të Drinit në s</w:t>
      </w:r>
      <w:r w:rsidR="00CE0530">
        <w:rPr>
          <w:rFonts w:ascii="Times New Roman" w:hAnsi="Times New Roman" w:cs="Times New Roman"/>
          <w:sz w:val="24"/>
          <w:szCs w:val="24"/>
          <w:lang w:val="sq-AL"/>
        </w:rPr>
        <w:t>hpimet ekzistuese që furnizojnë</w:t>
      </w:r>
      <w:r w:rsidRPr="00D75C1A">
        <w:rPr>
          <w:rFonts w:ascii="Times New Roman" w:hAnsi="Times New Roman" w:cs="Times New Roman"/>
          <w:sz w:val="24"/>
          <w:szCs w:val="24"/>
          <w:lang w:val="sq-AL"/>
        </w:rPr>
        <w:t xml:space="preserve"> komunitete përka</w:t>
      </w:r>
      <w:r w:rsidR="00CE0530">
        <w:rPr>
          <w:rFonts w:ascii="Times New Roman" w:hAnsi="Times New Roman" w:cs="Times New Roman"/>
          <w:sz w:val="24"/>
          <w:szCs w:val="24"/>
          <w:lang w:val="sq-AL"/>
        </w:rPr>
        <w:t>tëse të zonave me ujë të pishëm</w:t>
      </w:r>
      <w:r w:rsidRPr="00D75C1A">
        <w:rPr>
          <w:rFonts w:ascii="Times New Roman" w:hAnsi="Times New Roman" w:cs="Times New Roman"/>
          <w:sz w:val="24"/>
          <w:szCs w:val="24"/>
          <w:lang w:val="sq-AL"/>
        </w:rPr>
        <w:t xml:space="preserve"> si dhe kryerja e shpimeve të reja monitoruese në akuiferët e këtij baseni për të çuar në standarde skemën e monitorimit jo vetëm cilësor por domosdoshmërisht atë hidrodinamik me qëllim të bërjes së bilancit ujor të pellgut ujëmbajtës të basenit të Drinit.</w:t>
      </w:r>
    </w:p>
    <w:p w:rsidR="00D75C1A" w:rsidRPr="00D75C1A" w:rsidRDefault="00D75C1A" w:rsidP="00807975">
      <w:pPr>
        <w:numPr>
          <w:ilvl w:val="0"/>
          <w:numId w:val="56"/>
        </w:numPr>
        <w:spacing w:after="200" w:line="276" w:lineRule="auto"/>
        <w:contextualSpacing/>
        <w:jc w:val="both"/>
        <w:rPr>
          <w:rFonts w:ascii="Times New Roman" w:hAnsi="Times New Roman" w:cs="Times New Roman"/>
          <w:sz w:val="24"/>
          <w:szCs w:val="24"/>
          <w:lang w:val="sq-AL"/>
        </w:rPr>
      </w:pPr>
      <w:r w:rsidRPr="00D75C1A">
        <w:rPr>
          <w:rFonts w:ascii="Times New Roman" w:hAnsi="Times New Roman" w:cs="Times New Roman"/>
          <w:sz w:val="24"/>
          <w:szCs w:val="24"/>
          <w:lang w:val="sq-AL"/>
        </w:rPr>
        <w:t>Rekomadojmë zbatimin e zonave të rreptësisë dhe mbrojtjes sanitare rreth shpimeve të shfrytëzimit për mbrojtjen e UN nga ndotjet sipërfaqësore, pasi vihet re prania e NO</w:t>
      </w:r>
      <w:r w:rsidRPr="00D75C1A">
        <w:rPr>
          <w:rFonts w:ascii="Times New Roman" w:hAnsi="Times New Roman" w:cs="Times New Roman"/>
          <w:sz w:val="24"/>
          <w:szCs w:val="24"/>
          <w:vertAlign w:val="subscript"/>
          <w:lang w:val="sq-AL"/>
        </w:rPr>
        <w:t>2</w:t>
      </w:r>
      <w:r w:rsidRPr="00D75C1A">
        <w:rPr>
          <w:rFonts w:ascii="Times New Roman" w:hAnsi="Times New Roman" w:cs="Times New Roman"/>
          <w:sz w:val="24"/>
          <w:szCs w:val="24"/>
          <w:lang w:val="sq-AL"/>
        </w:rPr>
        <w:t xml:space="preserve"> dhe e NH</w:t>
      </w:r>
      <w:r w:rsidRPr="00D75C1A">
        <w:rPr>
          <w:rFonts w:ascii="Times New Roman" w:hAnsi="Times New Roman" w:cs="Times New Roman"/>
          <w:sz w:val="24"/>
          <w:szCs w:val="24"/>
          <w:vertAlign w:val="subscript"/>
          <w:lang w:val="sq-AL"/>
        </w:rPr>
        <w:t>4</w:t>
      </w:r>
      <w:r w:rsidRPr="00D75C1A">
        <w:rPr>
          <w:rFonts w:ascii="Times New Roman" w:hAnsi="Times New Roman" w:cs="Times New Roman"/>
          <w:sz w:val="24"/>
          <w:szCs w:val="24"/>
          <w:lang w:val="sq-AL"/>
        </w:rPr>
        <w:t xml:space="preserve"> në disa shpime monitorimi.</w:t>
      </w:r>
    </w:p>
    <w:p w:rsidR="00D75C1A" w:rsidRDefault="00D75C1A" w:rsidP="00807975">
      <w:pPr>
        <w:numPr>
          <w:ilvl w:val="0"/>
          <w:numId w:val="56"/>
        </w:numPr>
        <w:spacing w:after="200" w:line="276" w:lineRule="auto"/>
        <w:contextualSpacing/>
        <w:jc w:val="both"/>
        <w:rPr>
          <w:rFonts w:ascii="Times New Roman" w:hAnsi="Times New Roman" w:cs="Times New Roman"/>
          <w:sz w:val="24"/>
          <w:szCs w:val="24"/>
          <w:lang w:val="sq-AL"/>
        </w:rPr>
      </w:pPr>
      <w:r w:rsidRPr="00D75C1A">
        <w:rPr>
          <w:rFonts w:ascii="Times New Roman" w:hAnsi="Times New Roman" w:cs="Times New Roman"/>
          <w:sz w:val="24"/>
          <w:szCs w:val="24"/>
          <w:lang w:val="sq-AL"/>
        </w:rPr>
        <w:t>Rekomandojmë ndalimin e shfrytëzimit të zhavoreve në shtratin e lumit Drin në zonën e ushqimit të akuiferit Kuaternar për ruajtjen e ekuilibrave hidrodinamike dhe hidrokimike të ushqimit të akuferëve ujëmbajtëse.</w:t>
      </w:r>
      <w:bookmarkStart w:id="25" w:name="_Toc223000354"/>
      <w:bookmarkStart w:id="26" w:name="_Toc125188021"/>
    </w:p>
    <w:p w:rsidR="00D75C1A" w:rsidRDefault="00D75C1A" w:rsidP="00D75C1A">
      <w:pPr>
        <w:spacing w:after="200" w:line="276" w:lineRule="auto"/>
        <w:contextualSpacing/>
        <w:jc w:val="both"/>
        <w:rPr>
          <w:rFonts w:ascii="Times New Roman" w:hAnsi="Times New Roman" w:cs="Times New Roman"/>
          <w:b/>
          <w:bCs/>
          <w:kern w:val="32"/>
          <w:sz w:val="24"/>
          <w:szCs w:val="32"/>
        </w:rPr>
      </w:pPr>
    </w:p>
    <w:p w:rsidR="00DA3FBA" w:rsidRDefault="00DA3FBA" w:rsidP="00D75C1A">
      <w:pPr>
        <w:spacing w:after="200" w:line="276" w:lineRule="auto"/>
        <w:contextualSpacing/>
        <w:jc w:val="both"/>
        <w:rPr>
          <w:rFonts w:ascii="Times New Roman" w:hAnsi="Times New Roman" w:cs="Times New Roman"/>
          <w:b/>
          <w:bCs/>
          <w:kern w:val="32"/>
          <w:sz w:val="24"/>
          <w:szCs w:val="32"/>
        </w:rPr>
      </w:pPr>
    </w:p>
    <w:p w:rsidR="00D75C1A" w:rsidRPr="00D75C1A" w:rsidRDefault="00D75C1A" w:rsidP="00D75C1A">
      <w:pPr>
        <w:spacing w:after="200" w:line="276" w:lineRule="auto"/>
        <w:contextualSpacing/>
        <w:jc w:val="both"/>
        <w:rPr>
          <w:rFonts w:ascii="Times New Roman" w:hAnsi="Times New Roman" w:cs="Times New Roman"/>
          <w:sz w:val="24"/>
          <w:szCs w:val="24"/>
          <w:lang w:val="sq-AL"/>
        </w:rPr>
      </w:pPr>
      <w:r>
        <w:rPr>
          <w:rFonts w:ascii="Times New Roman" w:hAnsi="Times New Roman" w:cs="Times New Roman"/>
          <w:b/>
          <w:bCs/>
          <w:kern w:val="32"/>
          <w:sz w:val="24"/>
          <w:szCs w:val="32"/>
        </w:rPr>
        <w:t>4.2.2 B</w:t>
      </w:r>
      <w:r w:rsidRPr="00D75C1A">
        <w:rPr>
          <w:rFonts w:ascii="Times New Roman" w:hAnsi="Times New Roman" w:cs="Times New Roman"/>
          <w:b/>
          <w:bCs/>
          <w:kern w:val="32"/>
          <w:sz w:val="24"/>
          <w:szCs w:val="32"/>
        </w:rPr>
        <w:t xml:space="preserve">aseni </w:t>
      </w:r>
      <w:r>
        <w:rPr>
          <w:rFonts w:ascii="Times New Roman" w:hAnsi="Times New Roman" w:cs="Times New Roman"/>
          <w:b/>
          <w:bCs/>
          <w:kern w:val="32"/>
          <w:sz w:val="24"/>
          <w:szCs w:val="32"/>
        </w:rPr>
        <w:t>i</w:t>
      </w:r>
      <w:r w:rsidRPr="00D75C1A">
        <w:rPr>
          <w:rFonts w:ascii="Times New Roman" w:hAnsi="Times New Roman" w:cs="Times New Roman"/>
          <w:b/>
          <w:bCs/>
          <w:kern w:val="32"/>
          <w:sz w:val="24"/>
          <w:szCs w:val="32"/>
        </w:rPr>
        <w:t xml:space="preserve"> Matit</w:t>
      </w:r>
      <w:bookmarkEnd w:id="25"/>
      <w:bookmarkEnd w:id="26"/>
    </w:p>
    <w:p w:rsidR="00D75C1A" w:rsidRPr="00D75C1A" w:rsidRDefault="00D75C1A" w:rsidP="00D75C1A">
      <w:pPr>
        <w:spacing w:after="0" w:line="240" w:lineRule="auto"/>
        <w:rPr>
          <w:rFonts w:ascii="Times New Roman" w:eastAsia="Times New Roman" w:hAnsi="Times New Roman" w:cs="Times New Roman"/>
          <w:b/>
          <w:sz w:val="24"/>
          <w:szCs w:val="24"/>
          <w:u w:val="single"/>
          <w:lang w:val="sq-AL"/>
        </w:rPr>
      </w:pPr>
    </w:p>
    <w:p w:rsidR="00D75C1A" w:rsidRPr="00D75C1A" w:rsidRDefault="00D75C1A" w:rsidP="00D75C1A">
      <w:pPr>
        <w:spacing w:after="0" w:line="276" w:lineRule="auto"/>
        <w:jc w:val="both"/>
        <w:rPr>
          <w:rFonts w:ascii="Times New Roman" w:hAnsi="Times New Roman" w:cs="Times New Roman"/>
          <w:sz w:val="24"/>
        </w:rPr>
      </w:pPr>
      <w:r w:rsidRPr="00D75C1A">
        <w:rPr>
          <w:rFonts w:ascii="Times New Roman" w:hAnsi="Times New Roman" w:cs="Times New Roman"/>
          <w:sz w:val="24"/>
          <w:szCs w:val="24"/>
          <w:lang w:val="sq-AL"/>
        </w:rPr>
        <w:t xml:space="preserve">Monitorimi hidrodinamik dhe hidrokimik i ujërave nëntokësore (UN) në akuiferët e basenit të Matit është kryer dy herë në vit. Në basenin e Matit shfrytëzohen rezervat e ujërave nëntokësore, për furnizimin me ujë të pijshëm të qyteteve të Lezhës, Durrës, Laç, Rrëshen, Burrel, etj si dhe </w:t>
      </w:r>
      <w:r w:rsidRPr="00D75C1A">
        <w:rPr>
          <w:rFonts w:ascii="Times New Roman" w:hAnsi="Times New Roman" w:cs="Times New Roman"/>
          <w:sz w:val="24"/>
          <w:szCs w:val="24"/>
          <w:lang w:val="sq-AL"/>
        </w:rPr>
        <w:lastRenderedPageBreak/>
        <w:t xml:space="preserve">fshatrat që i përkasin këtyre bashkive. </w:t>
      </w:r>
    </w:p>
    <w:p w:rsidR="00D75C1A" w:rsidRDefault="00D75C1A" w:rsidP="00D75C1A">
      <w:pPr>
        <w:spacing w:before="120" w:after="0" w:line="276" w:lineRule="auto"/>
        <w:jc w:val="both"/>
        <w:rPr>
          <w:rFonts w:ascii="Times New Roman" w:hAnsi="Times New Roman" w:cs="Times New Roman"/>
          <w:b/>
          <w:sz w:val="24"/>
          <w:szCs w:val="24"/>
          <w:lang w:val="sq-AL"/>
        </w:rPr>
      </w:pPr>
    </w:p>
    <w:p w:rsidR="00D75C1A" w:rsidRPr="00D75C1A" w:rsidRDefault="00D75C1A" w:rsidP="00D75C1A">
      <w:pPr>
        <w:spacing w:before="120" w:after="0" w:line="276" w:lineRule="auto"/>
        <w:jc w:val="both"/>
        <w:rPr>
          <w:rFonts w:ascii="Times New Roman" w:hAnsi="Times New Roman" w:cs="Times New Roman"/>
          <w:b/>
          <w:sz w:val="24"/>
          <w:szCs w:val="24"/>
          <w:lang w:val="sq-AL"/>
        </w:rPr>
      </w:pPr>
      <w:r w:rsidRPr="00D75C1A">
        <w:rPr>
          <w:rFonts w:ascii="Times New Roman" w:hAnsi="Times New Roman" w:cs="Times New Roman"/>
          <w:b/>
          <w:sz w:val="24"/>
          <w:szCs w:val="24"/>
          <w:lang w:val="sq-AL"/>
        </w:rPr>
        <w:t xml:space="preserve">Monitorimi Sasior </w:t>
      </w:r>
    </w:p>
    <w:p w:rsidR="00D75C1A" w:rsidRPr="00D75C1A" w:rsidRDefault="00D75C1A" w:rsidP="00D75C1A">
      <w:pPr>
        <w:spacing w:after="0" w:line="276" w:lineRule="auto"/>
        <w:jc w:val="both"/>
        <w:rPr>
          <w:rFonts w:ascii="Times New Roman" w:hAnsi="Times New Roman" w:cs="Times New Roman"/>
          <w:bCs/>
          <w:sz w:val="24"/>
          <w:szCs w:val="24"/>
          <w:lang w:val="sq-AL"/>
        </w:rPr>
      </w:pPr>
      <w:r w:rsidRPr="00D75C1A">
        <w:rPr>
          <w:rFonts w:ascii="Times New Roman" w:hAnsi="Times New Roman" w:cs="Times New Roman"/>
          <w:sz w:val="24"/>
          <w:szCs w:val="24"/>
        </w:rPr>
        <w:t xml:space="preserve">Në akuiferët e basenit </w:t>
      </w:r>
      <w:r w:rsidRPr="00D75C1A">
        <w:rPr>
          <w:rFonts w:ascii="Times New Roman" w:hAnsi="Times New Roman" w:cs="Times New Roman"/>
          <w:bCs/>
          <w:sz w:val="24"/>
          <w:szCs w:val="24"/>
          <w:lang w:val="sq-AL"/>
        </w:rPr>
        <w:t>Matit, shfrytëzohen rezerva të konsiderueshme të ujërave nëntokësore për furnizimin me ujë të pijshëm të zonave të banuara si qytete ashtu edhe në fshatra të ndryshëm.</w:t>
      </w:r>
      <w:r w:rsidR="00CE0530">
        <w:rPr>
          <w:rFonts w:ascii="Times New Roman" w:hAnsi="Times New Roman" w:cs="Times New Roman"/>
          <w:bCs/>
          <w:sz w:val="24"/>
          <w:szCs w:val="24"/>
          <w:lang w:val="sq-AL"/>
        </w:rPr>
        <w:t xml:space="preserve"> </w:t>
      </w:r>
      <w:r w:rsidRPr="00D75C1A">
        <w:rPr>
          <w:rFonts w:ascii="Times New Roman" w:hAnsi="Times New Roman" w:cs="Times New Roman"/>
          <w:sz w:val="24"/>
          <w:szCs w:val="24"/>
        </w:rPr>
        <w:t>Rezervat që shfrytëzohen nga çdo akuifer ujëmbajtës:</w:t>
      </w:r>
    </w:p>
    <w:p w:rsidR="00D75C1A" w:rsidRDefault="00D75C1A" w:rsidP="00D75C1A">
      <w:pPr>
        <w:tabs>
          <w:tab w:val="left" w:pos="0"/>
        </w:tabs>
        <w:spacing w:after="0" w:line="276" w:lineRule="auto"/>
        <w:rPr>
          <w:rFonts w:ascii="Times New Roman" w:hAnsi="Times New Roman" w:cs="Times New Roman"/>
          <w:b/>
          <w:bCs/>
          <w:iCs/>
          <w:sz w:val="24"/>
          <w:lang w:val="sq-AL"/>
        </w:rPr>
      </w:pPr>
    </w:p>
    <w:p w:rsidR="00D75C1A" w:rsidRPr="00D75C1A" w:rsidRDefault="00D75C1A" w:rsidP="00D75C1A">
      <w:pPr>
        <w:tabs>
          <w:tab w:val="left" w:pos="0"/>
        </w:tabs>
        <w:spacing w:after="0" w:line="276" w:lineRule="auto"/>
        <w:rPr>
          <w:rFonts w:ascii="Times New Roman" w:hAnsi="Times New Roman" w:cs="Times New Roman"/>
          <w:b/>
          <w:bCs/>
          <w:iCs/>
          <w:sz w:val="24"/>
          <w:lang w:val="sq-AL"/>
        </w:rPr>
      </w:pPr>
      <w:r w:rsidRPr="00D75C1A">
        <w:rPr>
          <w:rFonts w:ascii="Times New Roman" w:hAnsi="Times New Roman" w:cs="Times New Roman"/>
          <w:b/>
          <w:bCs/>
          <w:iCs/>
          <w:sz w:val="24"/>
          <w:lang w:val="sq-AL"/>
        </w:rPr>
        <w:t>Në akuiferin poroz të Lezhës :</w:t>
      </w:r>
    </w:p>
    <w:p w:rsidR="00D75C1A" w:rsidRPr="00D75C1A" w:rsidRDefault="00D75C1A" w:rsidP="00807975">
      <w:pPr>
        <w:numPr>
          <w:ilvl w:val="0"/>
          <w:numId w:val="57"/>
        </w:numPr>
        <w:spacing w:after="0" w:line="240" w:lineRule="auto"/>
        <w:jc w:val="both"/>
        <w:rPr>
          <w:rFonts w:ascii="Times New Roman" w:hAnsi="Times New Roman" w:cs="Times New Roman"/>
          <w:bCs/>
          <w:iCs/>
          <w:sz w:val="24"/>
          <w:szCs w:val="24"/>
          <w:lang w:val="sq-AL"/>
        </w:rPr>
      </w:pPr>
      <w:r w:rsidRPr="00D75C1A">
        <w:rPr>
          <w:rFonts w:ascii="Times New Roman" w:hAnsi="Times New Roman" w:cs="Times New Roman"/>
          <w:bCs/>
          <w:iCs/>
          <w:sz w:val="24"/>
          <w:szCs w:val="24"/>
          <w:lang w:val="sq-AL"/>
        </w:rPr>
        <w:t xml:space="preserve">Sasia e përgjithshme e ujit që është shfrytëzuar nga akuiferi i Lezhës për vitin 2025 është </w:t>
      </w:r>
      <w:r w:rsidRPr="00D75C1A">
        <w:rPr>
          <w:rFonts w:ascii="Times New Roman" w:hAnsi="Times New Roman" w:cs="Times New Roman"/>
          <w:iCs/>
          <w:sz w:val="24"/>
          <w:szCs w:val="24"/>
          <w:lang w:val="sq-AL"/>
        </w:rPr>
        <w:t>Q = 900-1100 l/sek,</w:t>
      </w:r>
      <w:r w:rsidRPr="00D75C1A">
        <w:rPr>
          <w:rFonts w:ascii="Times New Roman" w:hAnsi="Times New Roman" w:cs="Times New Roman"/>
          <w:bCs/>
          <w:iCs/>
          <w:sz w:val="24"/>
          <w:szCs w:val="24"/>
          <w:lang w:val="sq-AL"/>
        </w:rPr>
        <w:t xml:space="preserve"> sasi kjo me një rritje të lehtë krahasuar me vitet e mëparshme.</w:t>
      </w:r>
    </w:p>
    <w:p w:rsidR="00D75C1A" w:rsidRPr="00D75C1A" w:rsidRDefault="00D75C1A" w:rsidP="00807975">
      <w:pPr>
        <w:numPr>
          <w:ilvl w:val="0"/>
          <w:numId w:val="57"/>
        </w:numPr>
        <w:tabs>
          <w:tab w:val="left" w:pos="0"/>
        </w:tabs>
        <w:spacing w:after="0" w:line="240" w:lineRule="auto"/>
        <w:jc w:val="both"/>
        <w:rPr>
          <w:rFonts w:ascii="Times New Roman" w:hAnsi="Times New Roman" w:cs="Times New Roman"/>
          <w:iCs/>
          <w:sz w:val="24"/>
          <w:szCs w:val="24"/>
          <w:lang w:val="sq-AL"/>
        </w:rPr>
      </w:pPr>
      <w:r w:rsidRPr="00D75C1A">
        <w:rPr>
          <w:rFonts w:ascii="Times New Roman" w:hAnsi="Times New Roman" w:cs="Times New Roman"/>
          <w:iCs/>
          <w:sz w:val="24"/>
          <w:szCs w:val="24"/>
          <w:lang w:val="sq-AL"/>
        </w:rPr>
        <w:t>Koefiçienti vjetor i shfrytëzimit të akuiferit kuaternar varion K = 0.6 - 0.7.</w:t>
      </w:r>
    </w:p>
    <w:p w:rsidR="00D75C1A" w:rsidRPr="00D75C1A" w:rsidRDefault="00D75C1A" w:rsidP="00D75C1A">
      <w:pPr>
        <w:tabs>
          <w:tab w:val="left" w:pos="0"/>
        </w:tabs>
        <w:spacing w:after="0" w:line="276" w:lineRule="auto"/>
        <w:rPr>
          <w:rFonts w:ascii="Times New Roman" w:hAnsi="Times New Roman" w:cs="Times New Roman"/>
          <w:b/>
          <w:bCs/>
          <w:iCs/>
          <w:sz w:val="24"/>
          <w:lang w:val="sq-AL"/>
        </w:rPr>
      </w:pPr>
    </w:p>
    <w:p w:rsidR="00D75C1A" w:rsidRPr="00D75C1A" w:rsidRDefault="00D75C1A" w:rsidP="00D75C1A">
      <w:pPr>
        <w:tabs>
          <w:tab w:val="left" w:pos="0"/>
        </w:tabs>
        <w:spacing w:after="0" w:line="276" w:lineRule="auto"/>
        <w:rPr>
          <w:rFonts w:ascii="Times New Roman" w:hAnsi="Times New Roman" w:cs="Times New Roman"/>
          <w:b/>
          <w:bCs/>
          <w:iCs/>
          <w:sz w:val="24"/>
          <w:lang w:val="sq-AL"/>
        </w:rPr>
      </w:pPr>
      <w:r w:rsidRPr="00D75C1A">
        <w:rPr>
          <w:rFonts w:ascii="Times New Roman" w:hAnsi="Times New Roman" w:cs="Times New Roman"/>
          <w:b/>
          <w:bCs/>
          <w:iCs/>
          <w:sz w:val="24"/>
          <w:lang w:val="sq-AL"/>
        </w:rPr>
        <w:t>Në  akuiferin poroz Milot - Fushë-Kuqe:</w:t>
      </w:r>
    </w:p>
    <w:p w:rsidR="00D75C1A" w:rsidRPr="00D75C1A" w:rsidRDefault="00D75C1A" w:rsidP="00807975">
      <w:pPr>
        <w:numPr>
          <w:ilvl w:val="0"/>
          <w:numId w:val="58"/>
        </w:numPr>
        <w:tabs>
          <w:tab w:val="left" w:pos="0"/>
        </w:tabs>
        <w:spacing w:after="0" w:line="240" w:lineRule="auto"/>
        <w:jc w:val="both"/>
        <w:rPr>
          <w:rFonts w:ascii="Times New Roman" w:hAnsi="Times New Roman" w:cs="Times New Roman"/>
          <w:iCs/>
          <w:sz w:val="24"/>
          <w:szCs w:val="24"/>
          <w:lang w:val="sq-AL"/>
        </w:rPr>
      </w:pPr>
      <w:r w:rsidRPr="00D75C1A">
        <w:rPr>
          <w:rFonts w:ascii="Times New Roman" w:hAnsi="Times New Roman" w:cs="Times New Roman"/>
          <w:iCs/>
          <w:sz w:val="24"/>
          <w:szCs w:val="24"/>
          <w:lang w:val="sq-AL"/>
        </w:rPr>
        <w:t xml:space="preserve">Sasia e përgjithshme që </w:t>
      </w:r>
      <w:r w:rsidRPr="00D75C1A">
        <w:rPr>
          <w:rFonts w:ascii="Times New Roman" w:hAnsi="Times New Roman" w:cs="Times New Roman"/>
          <w:bCs/>
          <w:iCs/>
          <w:sz w:val="24"/>
          <w:szCs w:val="24"/>
          <w:lang w:val="sq-AL"/>
        </w:rPr>
        <w:t>shfrytëzohet</w:t>
      </w:r>
      <w:r w:rsidRPr="00D75C1A">
        <w:rPr>
          <w:rFonts w:ascii="Times New Roman" w:hAnsi="Times New Roman" w:cs="Times New Roman"/>
          <w:iCs/>
          <w:sz w:val="24"/>
          <w:szCs w:val="24"/>
          <w:lang w:val="sq-AL"/>
        </w:rPr>
        <w:t xml:space="preserve"> nga ky akuifer është </w:t>
      </w:r>
      <w:r w:rsidRPr="00D75C1A">
        <w:rPr>
          <w:rFonts w:ascii="Times New Roman" w:hAnsi="Times New Roman" w:cs="Times New Roman"/>
          <w:bCs/>
          <w:iCs/>
          <w:sz w:val="24"/>
          <w:szCs w:val="24"/>
          <w:lang w:val="sq-AL"/>
        </w:rPr>
        <w:t xml:space="preserve">Q = 1650-1700 l/sek, sasi kjo që është rritur 600 l/s për shtimin e sasisë që furnizon qytetin e Durrësit dhe rrethinat e tij në krahasim me vitet e mëparshme. </w:t>
      </w:r>
    </w:p>
    <w:p w:rsidR="00D75C1A" w:rsidRPr="00D75C1A" w:rsidRDefault="00D75C1A" w:rsidP="00807975">
      <w:pPr>
        <w:numPr>
          <w:ilvl w:val="0"/>
          <w:numId w:val="58"/>
        </w:numPr>
        <w:tabs>
          <w:tab w:val="left" w:pos="0"/>
        </w:tabs>
        <w:spacing w:after="0" w:line="240" w:lineRule="auto"/>
        <w:jc w:val="both"/>
        <w:rPr>
          <w:rFonts w:ascii="Times New Roman" w:hAnsi="Times New Roman" w:cs="Times New Roman"/>
          <w:iCs/>
          <w:sz w:val="24"/>
          <w:szCs w:val="24"/>
          <w:lang w:val="sq-AL"/>
        </w:rPr>
      </w:pPr>
      <w:r w:rsidRPr="00D75C1A">
        <w:rPr>
          <w:rFonts w:ascii="Times New Roman" w:hAnsi="Times New Roman" w:cs="Times New Roman"/>
          <w:iCs/>
          <w:sz w:val="24"/>
          <w:szCs w:val="24"/>
          <w:lang w:val="sq-AL"/>
        </w:rPr>
        <w:t>Koefiçienti vjetor i shfrytëzimit të akuiferit poroz (kuaternar) varion K = 0.8-0.9.</w:t>
      </w:r>
    </w:p>
    <w:p w:rsidR="00D75C1A" w:rsidRDefault="00D75C1A" w:rsidP="00D75C1A">
      <w:pPr>
        <w:autoSpaceDE w:val="0"/>
        <w:autoSpaceDN w:val="0"/>
        <w:adjustRightInd w:val="0"/>
        <w:spacing w:before="120" w:after="60" w:line="276" w:lineRule="auto"/>
        <w:jc w:val="both"/>
        <w:rPr>
          <w:rFonts w:ascii="Times New Roman" w:eastAsia="Calibri" w:hAnsi="Times New Roman" w:cs="Times New Roman"/>
          <w:b/>
          <w:bCs/>
          <w:iCs/>
          <w:color w:val="000000"/>
          <w:sz w:val="24"/>
          <w:szCs w:val="24"/>
          <w:lang w:val="sq-AL"/>
        </w:rPr>
      </w:pPr>
    </w:p>
    <w:p w:rsidR="00D75C1A" w:rsidRPr="00D75C1A" w:rsidRDefault="00D75C1A" w:rsidP="00D75C1A">
      <w:pPr>
        <w:autoSpaceDE w:val="0"/>
        <w:autoSpaceDN w:val="0"/>
        <w:adjustRightInd w:val="0"/>
        <w:spacing w:before="120" w:after="60" w:line="276" w:lineRule="auto"/>
        <w:jc w:val="both"/>
        <w:rPr>
          <w:rFonts w:ascii="Times New Roman" w:eastAsia="Calibri" w:hAnsi="Times New Roman" w:cs="Times New Roman"/>
          <w:color w:val="000000"/>
          <w:sz w:val="24"/>
          <w:szCs w:val="24"/>
          <w:lang w:val="sq-AL"/>
        </w:rPr>
      </w:pPr>
      <w:r w:rsidRPr="00D75C1A">
        <w:rPr>
          <w:rFonts w:ascii="Times New Roman" w:eastAsia="Calibri" w:hAnsi="Times New Roman" w:cs="Times New Roman"/>
          <w:b/>
          <w:bCs/>
          <w:iCs/>
          <w:color w:val="000000"/>
          <w:sz w:val="24"/>
          <w:szCs w:val="24"/>
          <w:lang w:val="sq-AL"/>
        </w:rPr>
        <w:t xml:space="preserve">Monitorimi hidrodinamik (akuiferët porozë Lezhë dhe F.Kuqe). </w:t>
      </w:r>
    </w:p>
    <w:p w:rsidR="00D75C1A" w:rsidRPr="00D75C1A" w:rsidRDefault="00D75C1A" w:rsidP="00D75C1A">
      <w:pPr>
        <w:spacing w:after="200" w:line="276" w:lineRule="auto"/>
        <w:ind w:left="-5" w:right="51"/>
        <w:rPr>
          <w:rFonts w:ascii="Times New Roman" w:hAnsi="Times New Roman" w:cs="Times New Roman"/>
          <w:sz w:val="24"/>
          <w:szCs w:val="24"/>
        </w:rPr>
      </w:pPr>
      <w:r w:rsidRPr="00D75C1A">
        <w:rPr>
          <w:rFonts w:ascii="Times New Roman" w:hAnsi="Times New Roman" w:cs="Times New Roman"/>
          <w:sz w:val="24"/>
          <w:szCs w:val="24"/>
        </w:rPr>
        <w:t xml:space="preserve">Monitorimi hidrodinamik i ujëravë nëntokësorë </w:t>
      </w:r>
      <w:r w:rsidRPr="00D75C1A">
        <w:rPr>
          <w:rFonts w:ascii="Times New Roman" w:hAnsi="Times New Roman" w:cs="Times New Roman"/>
          <w:sz w:val="24"/>
          <w:szCs w:val="24"/>
          <w:lang w:val="sq-AL"/>
        </w:rPr>
        <w:t xml:space="preserve">të basenit të Matit gjatë vitit 2025 në </w:t>
      </w:r>
      <w:r w:rsidRPr="00D75C1A">
        <w:rPr>
          <w:rFonts w:ascii="Times New Roman" w:hAnsi="Times New Roman" w:cs="Times New Roman"/>
          <w:sz w:val="24"/>
          <w:szCs w:val="24"/>
        </w:rPr>
        <w:t>akuiferin</w:t>
      </w:r>
      <w:r w:rsidRPr="00D75C1A">
        <w:rPr>
          <w:rFonts w:ascii="Times New Roman" w:hAnsi="Times New Roman" w:cs="Times New Roman"/>
          <w:b/>
          <w:sz w:val="24"/>
          <w:szCs w:val="24"/>
        </w:rPr>
        <w:t xml:space="preserve"> </w:t>
      </w:r>
      <w:r w:rsidRPr="00D75C1A">
        <w:rPr>
          <w:rFonts w:ascii="Times New Roman" w:hAnsi="Times New Roman" w:cs="Times New Roman"/>
          <w:sz w:val="24"/>
          <w:szCs w:val="24"/>
        </w:rPr>
        <w:t>poroz të Lezhës</w:t>
      </w:r>
      <w:r w:rsidRPr="00D75C1A">
        <w:rPr>
          <w:rFonts w:ascii="Times New Roman" w:hAnsi="Times New Roman" w:cs="Times New Roman"/>
          <w:b/>
          <w:sz w:val="24"/>
          <w:szCs w:val="24"/>
        </w:rPr>
        <w:t>,</w:t>
      </w:r>
      <w:r w:rsidRPr="00D75C1A">
        <w:rPr>
          <w:rFonts w:ascii="Times New Roman" w:hAnsi="Times New Roman" w:cs="Times New Roman"/>
          <w:sz w:val="24"/>
          <w:szCs w:val="24"/>
        </w:rPr>
        <w:t xml:space="preserve"> në shpimin Nr. 87 Shënkoll (pranë Kishës së Shënkollit), ku matjet janë kryer dy herë në vit (Mars, Shtator), njëkohësisht me monitorimin hidrokimik.</w:t>
      </w:r>
      <w:r w:rsidRPr="00D75C1A">
        <w:rPr>
          <w:rFonts w:ascii="Times New Roman" w:hAnsi="Times New Roman" w:cs="Times New Roman"/>
          <w:b/>
          <w:sz w:val="24"/>
          <w:szCs w:val="24"/>
        </w:rPr>
        <w:t xml:space="preserve"> </w:t>
      </w:r>
    </w:p>
    <w:p w:rsidR="00AA3E50" w:rsidRPr="000F37C2" w:rsidRDefault="00AA3E50" w:rsidP="000F37C2">
      <w:pPr>
        <w:ind w:left="-5" w:right="51"/>
        <w:jc w:val="both"/>
        <w:rPr>
          <w:rFonts w:ascii="Times New Roman" w:hAnsi="Times New Roman" w:cs="Times New Roman"/>
          <w:sz w:val="24"/>
          <w:szCs w:val="24"/>
        </w:rPr>
      </w:pPr>
      <w:r w:rsidRPr="000F37C2">
        <w:rPr>
          <w:rFonts w:ascii="Times New Roman" w:hAnsi="Times New Roman" w:cs="Times New Roman"/>
          <w:b/>
          <w:sz w:val="24"/>
          <w:szCs w:val="24"/>
        </w:rPr>
        <w:t>Në akuiferin poroz të Fushë-Kuqes</w:t>
      </w:r>
      <w:r w:rsidRPr="000F37C2">
        <w:rPr>
          <w:rFonts w:ascii="Times New Roman" w:hAnsi="Times New Roman" w:cs="Times New Roman"/>
          <w:sz w:val="24"/>
          <w:szCs w:val="24"/>
        </w:rPr>
        <w:t xml:space="preserve"> monitorimi hidrodinamik për fazen e parë (Mars) vitin 2025 është kryer vetëm në pusin Gorre, Laç, ndërsa për fazen e dytë (shtator) në pamundësi të matjes në pusin Gorre kemi matur në shpimin 21 Fushë-Kuqe. </w:t>
      </w:r>
    </w:p>
    <w:p w:rsidR="00AA3E50" w:rsidRPr="000F37C2" w:rsidRDefault="00AA3E50" w:rsidP="000F37C2">
      <w:pPr>
        <w:spacing w:after="102"/>
        <w:ind w:left="-5" w:right="51"/>
        <w:jc w:val="both"/>
        <w:rPr>
          <w:rFonts w:ascii="Times New Roman" w:hAnsi="Times New Roman" w:cs="Times New Roman"/>
          <w:sz w:val="24"/>
          <w:szCs w:val="24"/>
        </w:rPr>
      </w:pPr>
      <w:r w:rsidRPr="000F37C2">
        <w:rPr>
          <w:rFonts w:ascii="Times New Roman" w:hAnsi="Times New Roman" w:cs="Times New Roman"/>
          <w:b/>
          <w:sz w:val="24"/>
          <w:szCs w:val="24"/>
        </w:rPr>
        <w:t>Në akuiferin kuaternar të Fushë-Milotit</w:t>
      </w:r>
      <w:r w:rsidRPr="000F37C2">
        <w:rPr>
          <w:rFonts w:ascii="Times New Roman" w:hAnsi="Times New Roman" w:cs="Times New Roman"/>
          <w:sz w:val="24"/>
          <w:szCs w:val="24"/>
        </w:rPr>
        <w:t xml:space="preserve"> monitorimi hidrodinamik është kryer në dy shpime: në shpimin afër kompleksit Kasmi te dyja fazat dhe Rrillë fazën e dytë. Në këta akuiferë vëmë re se gjatë vitit 2025 kemi ndryshime të vogla në vlera të nivelit statik. Gjatë muajit Shtator kemi një ulje të konsiderueshme të nivelit në të gjitha pikat e monitorimit hidrodinamik. </w:t>
      </w:r>
    </w:p>
    <w:p w:rsidR="00AA3E50" w:rsidRPr="00E91FC2" w:rsidRDefault="00124A5A" w:rsidP="000F37C2">
      <w:pPr>
        <w:spacing w:after="0"/>
        <w:ind w:left="-6" w:right="51"/>
        <w:jc w:val="both"/>
        <w:rPr>
          <w:rFonts w:ascii="Times New Roman" w:hAnsi="Times New Roman" w:cs="Times New Roman"/>
          <w:sz w:val="24"/>
          <w:szCs w:val="24"/>
        </w:rPr>
      </w:pPr>
      <w:r w:rsidRPr="00E91FC2">
        <w:rPr>
          <w:rFonts w:ascii="Times New Roman" w:hAnsi="Times New Roman" w:cs="Times New Roman"/>
          <w:color w:val="000000" w:themeColor="text1"/>
          <w:sz w:val="24"/>
          <w:szCs w:val="24"/>
        </w:rPr>
        <w:t xml:space="preserve">Tabela </w:t>
      </w:r>
      <w:r w:rsidR="00903995">
        <w:rPr>
          <w:rFonts w:ascii="Times New Roman" w:hAnsi="Times New Roman" w:cs="Times New Roman"/>
          <w:color w:val="000000" w:themeColor="text1"/>
          <w:sz w:val="24"/>
          <w:szCs w:val="24"/>
        </w:rPr>
        <w:t>34</w:t>
      </w:r>
      <w:r w:rsidRPr="00E91FC2">
        <w:rPr>
          <w:rFonts w:ascii="Times New Roman" w:hAnsi="Times New Roman" w:cs="Times New Roman"/>
          <w:color w:val="000000" w:themeColor="text1"/>
          <w:sz w:val="24"/>
          <w:szCs w:val="24"/>
        </w:rPr>
        <w:t xml:space="preserve">. </w:t>
      </w:r>
      <w:r w:rsidR="00E91FC2">
        <w:rPr>
          <w:rFonts w:ascii="Times New Roman" w:hAnsi="Times New Roman" w:cs="Times New Roman"/>
          <w:color w:val="000000" w:themeColor="text1"/>
          <w:sz w:val="24"/>
          <w:szCs w:val="24"/>
        </w:rPr>
        <w:t>Vlerat maksimale</w:t>
      </w:r>
      <w:r w:rsidR="00AA3E50" w:rsidRPr="00E91FC2">
        <w:rPr>
          <w:rFonts w:ascii="Times New Roman" w:hAnsi="Times New Roman" w:cs="Times New Roman"/>
          <w:color w:val="000000" w:themeColor="text1"/>
          <w:sz w:val="24"/>
          <w:szCs w:val="24"/>
        </w:rPr>
        <w:t>, min</w:t>
      </w:r>
      <w:r w:rsidR="00E91FC2">
        <w:rPr>
          <w:rFonts w:ascii="Times New Roman" w:hAnsi="Times New Roman" w:cs="Times New Roman"/>
          <w:color w:val="000000" w:themeColor="text1"/>
          <w:sz w:val="24"/>
          <w:szCs w:val="24"/>
        </w:rPr>
        <w:t>imale</w:t>
      </w:r>
      <w:r w:rsidR="00AA3E50" w:rsidRPr="00E91FC2">
        <w:rPr>
          <w:rFonts w:ascii="Times New Roman" w:hAnsi="Times New Roman" w:cs="Times New Roman"/>
          <w:color w:val="000000" w:themeColor="text1"/>
          <w:sz w:val="24"/>
          <w:szCs w:val="24"/>
        </w:rPr>
        <w:t xml:space="preserve"> dhe amplituda të niveleve të UN, baseni i Matit</w:t>
      </w:r>
    </w:p>
    <w:tbl>
      <w:tblPr>
        <w:tblW w:w="9447" w:type="dxa"/>
        <w:tblInd w:w="93" w:type="dxa"/>
        <w:tblLook w:val="04A0" w:firstRow="1" w:lastRow="0" w:firstColumn="1" w:lastColumn="0" w:noHBand="0" w:noVBand="1"/>
      </w:tblPr>
      <w:tblGrid>
        <w:gridCol w:w="2036"/>
        <w:gridCol w:w="1306"/>
        <w:gridCol w:w="1918"/>
        <w:gridCol w:w="1843"/>
        <w:gridCol w:w="2344"/>
      </w:tblGrid>
      <w:tr w:rsidR="00AA3E50" w:rsidRPr="000F37C2" w:rsidTr="00AA3E50">
        <w:trPr>
          <w:trHeight w:val="1067"/>
        </w:trPr>
        <w:tc>
          <w:tcPr>
            <w:tcW w:w="2036" w:type="dxa"/>
            <w:tcBorders>
              <w:top w:val="single" w:sz="8" w:space="0" w:color="auto"/>
              <w:left w:val="single" w:sz="8" w:space="0" w:color="auto"/>
              <w:bottom w:val="single" w:sz="4" w:space="0" w:color="auto"/>
              <w:right w:val="single" w:sz="4" w:space="0" w:color="auto"/>
            </w:tcBorders>
            <w:shd w:val="clear" w:color="auto" w:fill="FFFFFF"/>
            <w:vAlign w:val="center"/>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Viti/Muaji</w:t>
            </w:r>
          </w:p>
        </w:tc>
        <w:tc>
          <w:tcPr>
            <w:tcW w:w="1306" w:type="dxa"/>
            <w:tcBorders>
              <w:top w:val="single" w:sz="8" w:space="0" w:color="auto"/>
              <w:left w:val="nil"/>
              <w:bottom w:val="single" w:sz="4" w:space="0" w:color="auto"/>
              <w:right w:val="single" w:sz="4" w:space="0" w:color="auto"/>
            </w:tcBorders>
            <w:shd w:val="clear" w:color="auto" w:fill="FFFFFF"/>
            <w:vAlign w:val="center"/>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Kisha e Shenkoll</w:t>
            </w:r>
          </w:p>
        </w:tc>
        <w:tc>
          <w:tcPr>
            <w:tcW w:w="1918" w:type="dxa"/>
            <w:tcBorders>
              <w:top w:val="single" w:sz="8" w:space="0" w:color="auto"/>
              <w:left w:val="nil"/>
              <w:bottom w:val="single" w:sz="4" w:space="0" w:color="auto"/>
              <w:right w:val="single" w:sz="8" w:space="0" w:color="auto"/>
            </w:tcBorders>
            <w:shd w:val="clear" w:color="auto" w:fill="FFFFFF"/>
            <w:vAlign w:val="center"/>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Pusi afer Kompleksit Kasmi</w:t>
            </w:r>
          </w:p>
        </w:tc>
        <w:tc>
          <w:tcPr>
            <w:tcW w:w="1843" w:type="dxa"/>
            <w:tcBorders>
              <w:top w:val="single" w:sz="8" w:space="0" w:color="auto"/>
              <w:left w:val="single" w:sz="4" w:space="0" w:color="auto"/>
              <w:bottom w:val="single" w:sz="4" w:space="0" w:color="auto"/>
              <w:right w:val="single" w:sz="4" w:space="0" w:color="auto"/>
            </w:tcBorders>
            <w:shd w:val="clear" w:color="auto" w:fill="FFFFFF"/>
            <w:vAlign w:val="center"/>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Shpimi 21 F.Kuqe</w:t>
            </w:r>
          </w:p>
        </w:tc>
        <w:tc>
          <w:tcPr>
            <w:tcW w:w="2344" w:type="dxa"/>
            <w:tcBorders>
              <w:top w:val="single" w:sz="8" w:space="0" w:color="auto"/>
              <w:left w:val="nil"/>
              <w:bottom w:val="single" w:sz="4" w:space="0" w:color="auto"/>
              <w:right w:val="single" w:sz="4" w:space="0" w:color="auto"/>
            </w:tcBorders>
            <w:shd w:val="clear" w:color="auto" w:fill="FFFFFF"/>
            <w:vAlign w:val="center"/>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Shpimi Gorre</w:t>
            </w:r>
          </w:p>
        </w:tc>
      </w:tr>
      <w:tr w:rsidR="00AA3E50" w:rsidRPr="000F37C2" w:rsidTr="00AA3E50">
        <w:trPr>
          <w:trHeight w:val="356"/>
        </w:trPr>
        <w:tc>
          <w:tcPr>
            <w:tcW w:w="2036" w:type="dxa"/>
            <w:tcBorders>
              <w:top w:val="nil"/>
              <w:left w:val="single" w:sz="8" w:space="0" w:color="auto"/>
              <w:bottom w:val="single" w:sz="4" w:space="0" w:color="auto"/>
              <w:right w:val="single" w:sz="4" w:space="0" w:color="auto"/>
            </w:tcBorders>
            <w:shd w:val="clear" w:color="auto" w:fill="FFFFFF"/>
            <w:noWrap/>
            <w:vAlign w:val="bottom"/>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Mars 2025</w:t>
            </w:r>
          </w:p>
        </w:tc>
        <w:tc>
          <w:tcPr>
            <w:tcW w:w="1306" w:type="dxa"/>
            <w:tcBorders>
              <w:top w:val="nil"/>
              <w:left w:val="nil"/>
              <w:bottom w:val="single" w:sz="4" w:space="0" w:color="auto"/>
              <w:right w:val="single" w:sz="4" w:space="0" w:color="auto"/>
            </w:tcBorders>
            <w:shd w:val="clear" w:color="auto" w:fill="FFFFFF"/>
            <w:noWrap/>
            <w:vAlign w:val="bottom"/>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-5.2</w:t>
            </w:r>
          </w:p>
        </w:tc>
        <w:tc>
          <w:tcPr>
            <w:tcW w:w="1918" w:type="dxa"/>
            <w:tcBorders>
              <w:top w:val="nil"/>
              <w:left w:val="nil"/>
              <w:bottom w:val="single" w:sz="4" w:space="0" w:color="auto"/>
              <w:right w:val="single" w:sz="8" w:space="0" w:color="auto"/>
            </w:tcBorders>
            <w:shd w:val="clear" w:color="auto" w:fill="FFFFFF"/>
            <w:noWrap/>
            <w:vAlign w:val="bottom"/>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-9.7</w:t>
            </w:r>
          </w:p>
        </w:tc>
        <w:tc>
          <w:tcPr>
            <w:tcW w:w="1843" w:type="dxa"/>
            <w:tcBorders>
              <w:top w:val="nil"/>
              <w:left w:val="single" w:sz="4" w:space="0" w:color="auto"/>
              <w:bottom w:val="single" w:sz="4" w:space="0" w:color="auto"/>
              <w:right w:val="single" w:sz="4" w:space="0" w:color="auto"/>
            </w:tcBorders>
            <w:shd w:val="clear" w:color="auto" w:fill="FFFFFF"/>
            <w:noWrap/>
            <w:vAlign w:val="bottom"/>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-2.5</w:t>
            </w:r>
          </w:p>
        </w:tc>
        <w:tc>
          <w:tcPr>
            <w:tcW w:w="2344" w:type="dxa"/>
            <w:tcBorders>
              <w:top w:val="nil"/>
              <w:left w:val="nil"/>
              <w:bottom w:val="single" w:sz="4" w:space="0" w:color="auto"/>
              <w:right w:val="single" w:sz="4" w:space="0" w:color="auto"/>
            </w:tcBorders>
            <w:shd w:val="clear" w:color="auto" w:fill="FFFFFF"/>
            <w:noWrap/>
            <w:vAlign w:val="bottom"/>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-1.7</w:t>
            </w:r>
          </w:p>
        </w:tc>
      </w:tr>
      <w:tr w:rsidR="00AA3E50" w:rsidRPr="000F37C2" w:rsidTr="00AA3E50">
        <w:trPr>
          <w:trHeight w:val="356"/>
        </w:trPr>
        <w:tc>
          <w:tcPr>
            <w:tcW w:w="2036" w:type="dxa"/>
            <w:tcBorders>
              <w:top w:val="nil"/>
              <w:left w:val="single" w:sz="8" w:space="0" w:color="auto"/>
              <w:bottom w:val="single" w:sz="4" w:space="0" w:color="auto"/>
              <w:right w:val="single" w:sz="4" w:space="0" w:color="auto"/>
            </w:tcBorders>
            <w:shd w:val="clear" w:color="auto" w:fill="FFFFFF"/>
            <w:noWrap/>
            <w:vAlign w:val="bottom"/>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Shtator 2025</w:t>
            </w:r>
          </w:p>
        </w:tc>
        <w:tc>
          <w:tcPr>
            <w:tcW w:w="1306" w:type="dxa"/>
            <w:tcBorders>
              <w:top w:val="nil"/>
              <w:left w:val="nil"/>
              <w:bottom w:val="single" w:sz="4" w:space="0" w:color="auto"/>
              <w:right w:val="single" w:sz="4" w:space="0" w:color="auto"/>
            </w:tcBorders>
            <w:shd w:val="clear" w:color="auto" w:fill="FFFFFF"/>
            <w:noWrap/>
            <w:vAlign w:val="bottom"/>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-5.25</w:t>
            </w:r>
          </w:p>
        </w:tc>
        <w:tc>
          <w:tcPr>
            <w:tcW w:w="1918" w:type="dxa"/>
            <w:tcBorders>
              <w:top w:val="nil"/>
              <w:left w:val="nil"/>
              <w:bottom w:val="single" w:sz="4" w:space="0" w:color="auto"/>
              <w:right w:val="single" w:sz="8" w:space="0" w:color="auto"/>
            </w:tcBorders>
            <w:shd w:val="clear" w:color="auto" w:fill="FFFFFF"/>
            <w:noWrap/>
            <w:vAlign w:val="bottom"/>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-7.5</w:t>
            </w:r>
          </w:p>
        </w:tc>
        <w:tc>
          <w:tcPr>
            <w:tcW w:w="1843" w:type="dxa"/>
            <w:tcBorders>
              <w:top w:val="nil"/>
              <w:left w:val="single" w:sz="4" w:space="0" w:color="auto"/>
              <w:bottom w:val="single" w:sz="4" w:space="0" w:color="auto"/>
              <w:right w:val="single" w:sz="4" w:space="0" w:color="auto"/>
            </w:tcBorders>
            <w:shd w:val="clear" w:color="auto" w:fill="FFFFFF"/>
            <w:noWrap/>
            <w:vAlign w:val="bottom"/>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-2</w:t>
            </w:r>
          </w:p>
        </w:tc>
        <w:tc>
          <w:tcPr>
            <w:tcW w:w="2344" w:type="dxa"/>
            <w:tcBorders>
              <w:top w:val="nil"/>
              <w:left w:val="nil"/>
              <w:bottom w:val="single" w:sz="4" w:space="0" w:color="auto"/>
              <w:right w:val="single" w:sz="4" w:space="0" w:color="auto"/>
            </w:tcBorders>
            <w:shd w:val="clear" w:color="auto" w:fill="FFFFFF"/>
            <w:noWrap/>
            <w:vAlign w:val="bottom"/>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-1.3</w:t>
            </w:r>
          </w:p>
        </w:tc>
      </w:tr>
      <w:tr w:rsidR="00AA3E50" w:rsidRPr="000F37C2" w:rsidTr="00AA3E50">
        <w:trPr>
          <w:trHeight w:val="373"/>
        </w:trPr>
        <w:tc>
          <w:tcPr>
            <w:tcW w:w="2036" w:type="dxa"/>
            <w:tcBorders>
              <w:top w:val="nil"/>
              <w:left w:val="single" w:sz="8" w:space="0" w:color="auto"/>
              <w:bottom w:val="single" w:sz="8" w:space="0" w:color="auto"/>
              <w:right w:val="single" w:sz="4" w:space="0" w:color="auto"/>
            </w:tcBorders>
            <w:shd w:val="clear" w:color="auto" w:fill="FFFFFF"/>
            <w:noWrap/>
            <w:vAlign w:val="bottom"/>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A(m)</w:t>
            </w:r>
          </w:p>
        </w:tc>
        <w:tc>
          <w:tcPr>
            <w:tcW w:w="1306" w:type="dxa"/>
            <w:tcBorders>
              <w:top w:val="nil"/>
              <w:left w:val="nil"/>
              <w:bottom w:val="single" w:sz="8" w:space="0" w:color="auto"/>
              <w:right w:val="single" w:sz="4" w:space="0" w:color="auto"/>
            </w:tcBorders>
            <w:shd w:val="clear" w:color="auto" w:fill="FFFFFF"/>
            <w:noWrap/>
            <w:vAlign w:val="bottom"/>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0.05</w:t>
            </w:r>
          </w:p>
        </w:tc>
        <w:tc>
          <w:tcPr>
            <w:tcW w:w="1918" w:type="dxa"/>
            <w:tcBorders>
              <w:top w:val="nil"/>
              <w:left w:val="nil"/>
              <w:bottom w:val="single" w:sz="8" w:space="0" w:color="auto"/>
              <w:right w:val="single" w:sz="8" w:space="0" w:color="auto"/>
            </w:tcBorders>
            <w:shd w:val="clear" w:color="auto" w:fill="FFFFFF"/>
            <w:noWrap/>
            <w:vAlign w:val="bottom"/>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2.2</w:t>
            </w:r>
          </w:p>
        </w:tc>
        <w:tc>
          <w:tcPr>
            <w:tcW w:w="1843" w:type="dxa"/>
            <w:tcBorders>
              <w:top w:val="nil"/>
              <w:left w:val="single" w:sz="4" w:space="0" w:color="auto"/>
              <w:bottom w:val="single" w:sz="8" w:space="0" w:color="auto"/>
              <w:right w:val="single" w:sz="4" w:space="0" w:color="auto"/>
            </w:tcBorders>
            <w:shd w:val="clear" w:color="auto" w:fill="FFFFFF"/>
            <w:noWrap/>
            <w:vAlign w:val="bottom"/>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0.5</w:t>
            </w:r>
          </w:p>
        </w:tc>
        <w:tc>
          <w:tcPr>
            <w:tcW w:w="2344" w:type="dxa"/>
            <w:tcBorders>
              <w:top w:val="nil"/>
              <w:left w:val="nil"/>
              <w:bottom w:val="single" w:sz="8" w:space="0" w:color="auto"/>
              <w:right w:val="single" w:sz="4" w:space="0" w:color="auto"/>
            </w:tcBorders>
            <w:shd w:val="clear" w:color="auto" w:fill="FFFFFF"/>
            <w:noWrap/>
            <w:vAlign w:val="bottom"/>
            <w:hideMark/>
          </w:tcPr>
          <w:p w:rsidR="00AA3E50" w:rsidRPr="000F37C2" w:rsidRDefault="00AA3E50" w:rsidP="000F37C2">
            <w:pPr>
              <w:spacing w:after="0" w:line="240" w:lineRule="auto"/>
              <w:jc w:val="both"/>
              <w:rPr>
                <w:rFonts w:ascii="Times New Roman" w:hAnsi="Times New Roman" w:cs="Times New Roman"/>
                <w:sz w:val="24"/>
                <w:szCs w:val="24"/>
              </w:rPr>
            </w:pPr>
            <w:r w:rsidRPr="000F37C2">
              <w:rPr>
                <w:rFonts w:ascii="Times New Roman" w:hAnsi="Times New Roman" w:cs="Times New Roman"/>
                <w:sz w:val="24"/>
                <w:szCs w:val="24"/>
              </w:rPr>
              <w:t>0.4</w:t>
            </w:r>
          </w:p>
        </w:tc>
      </w:tr>
    </w:tbl>
    <w:p w:rsidR="00124A5A" w:rsidRDefault="00124A5A" w:rsidP="000F37C2">
      <w:pPr>
        <w:spacing w:after="0"/>
        <w:jc w:val="both"/>
        <w:rPr>
          <w:rFonts w:ascii="Times New Roman" w:hAnsi="Times New Roman" w:cs="Times New Roman"/>
          <w:b/>
          <w:sz w:val="24"/>
          <w:szCs w:val="24"/>
          <w:lang w:val="sq-AL"/>
        </w:rPr>
      </w:pPr>
    </w:p>
    <w:p w:rsidR="00AA3E50" w:rsidRPr="000F37C2" w:rsidRDefault="00AA3E50" w:rsidP="000F37C2">
      <w:pPr>
        <w:spacing w:after="0"/>
        <w:jc w:val="both"/>
        <w:rPr>
          <w:rFonts w:ascii="Times New Roman" w:hAnsi="Times New Roman" w:cs="Times New Roman"/>
          <w:b/>
          <w:sz w:val="24"/>
          <w:szCs w:val="24"/>
          <w:lang w:val="sq-AL"/>
        </w:rPr>
      </w:pPr>
      <w:r w:rsidRPr="000F37C2">
        <w:rPr>
          <w:rFonts w:ascii="Times New Roman" w:hAnsi="Times New Roman" w:cs="Times New Roman"/>
          <w:b/>
          <w:sz w:val="24"/>
          <w:szCs w:val="24"/>
          <w:lang w:val="sq-AL"/>
        </w:rPr>
        <w:lastRenderedPageBreak/>
        <w:t>Monitorimi hidrokimik për vitin 2025</w:t>
      </w:r>
    </w:p>
    <w:p w:rsidR="00AA3E50" w:rsidRPr="000F37C2" w:rsidRDefault="00AA3E50" w:rsidP="000F37C2">
      <w:pPr>
        <w:pStyle w:val="ListParagraph"/>
        <w:tabs>
          <w:tab w:val="left" w:pos="0"/>
        </w:tabs>
        <w:ind w:left="0"/>
        <w:jc w:val="both"/>
        <w:rPr>
          <w:rFonts w:ascii="Times New Roman" w:hAnsi="Times New Roman" w:cs="Times New Roman"/>
          <w:b/>
          <w:bCs/>
          <w:iCs/>
          <w:sz w:val="24"/>
          <w:szCs w:val="24"/>
          <w:lang w:val="sq-AL"/>
        </w:rPr>
      </w:pPr>
    </w:p>
    <w:p w:rsidR="00AA3E50" w:rsidRPr="000F37C2" w:rsidRDefault="00AA3E50" w:rsidP="000F37C2">
      <w:pPr>
        <w:tabs>
          <w:tab w:val="left" w:pos="0"/>
        </w:tabs>
        <w:jc w:val="both"/>
        <w:rPr>
          <w:rFonts w:ascii="Times New Roman" w:hAnsi="Times New Roman" w:cs="Times New Roman"/>
          <w:b/>
          <w:bCs/>
          <w:iCs/>
          <w:sz w:val="24"/>
          <w:szCs w:val="24"/>
          <w:lang w:val="sq-AL"/>
        </w:rPr>
      </w:pPr>
      <w:r w:rsidRPr="000F37C2">
        <w:rPr>
          <w:rFonts w:ascii="Times New Roman" w:hAnsi="Times New Roman" w:cs="Times New Roman"/>
          <w:b/>
          <w:bCs/>
          <w:iCs/>
          <w:sz w:val="24"/>
          <w:szCs w:val="24"/>
          <w:lang w:val="sq-AL"/>
        </w:rPr>
        <w:t>Në akuiferin poroz të Lezhës :</w:t>
      </w:r>
    </w:p>
    <w:p w:rsidR="00AA3E50" w:rsidRPr="000F37C2" w:rsidRDefault="00AA3E50" w:rsidP="000F37C2">
      <w:pPr>
        <w:spacing w:after="0"/>
        <w:jc w:val="both"/>
        <w:rPr>
          <w:rFonts w:ascii="Times New Roman" w:hAnsi="Times New Roman" w:cs="Times New Roman"/>
          <w:sz w:val="24"/>
          <w:szCs w:val="24"/>
          <w:lang w:val="sq-AL"/>
        </w:rPr>
      </w:pPr>
      <w:r w:rsidRPr="000F37C2">
        <w:rPr>
          <w:rFonts w:ascii="Times New Roman" w:hAnsi="Times New Roman" w:cs="Times New Roman"/>
          <w:sz w:val="24"/>
          <w:szCs w:val="24"/>
          <w:lang w:val="sq-AL"/>
        </w:rPr>
        <w:t>Monitorimi i cilësisë së UN është kryer në këtë basen sipas rrjetit të monitorimit të përcaktuar. Më poshtë po japim përshkrimin analitik të p</w:t>
      </w:r>
      <w:r w:rsidR="00CE0530">
        <w:rPr>
          <w:rFonts w:ascii="Times New Roman" w:hAnsi="Times New Roman" w:cs="Times New Roman"/>
          <w:sz w:val="24"/>
          <w:szCs w:val="24"/>
          <w:lang w:val="sq-AL"/>
        </w:rPr>
        <w:t>ërmbajtjes së disa elementëve m</w:t>
      </w:r>
      <w:r w:rsidR="00CE0530" w:rsidRPr="000F37C2">
        <w:rPr>
          <w:rFonts w:ascii="Times New Roman" w:hAnsi="Times New Roman" w:cs="Times New Roman"/>
          <w:sz w:val="24"/>
          <w:szCs w:val="24"/>
          <w:lang w:val="sq-AL"/>
        </w:rPr>
        <w:t>ë</w:t>
      </w:r>
      <w:r w:rsidRPr="000F37C2">
        <w:rPr>
          <w:rFonts w:ascii="Times New Roman" w:hAnsi="Times New Roman" w:cs="Times New Roman"/>
          <w:sz w:val="24"/>
          <w:szCs w:val="24"/>
          <w:lang w:val="sq-AL"/>
        </w:rPr>
        <w:t xml:space="preserve"> të rëndësishëm dhe konkretisht:</w:t>
      </w:r>
    </w:p>
    <w:p w:rsidR="00AA3E50" w:rsidRPr="000F37C2" w:rsidRDefault="00AA3E50" w:rsidP="000F37C2">
      <w:pPr>
        <w:ind w:left="-15" w:right="51"/>
        <w:jc w:val="both"/>
        <w:rPr>
          <w:rFonts w:ascii="Times New Roman" w:hAnsi="Times New Roman" w:cs="Times New Roman"/>
          <w:sz w:val="24"/>
          <w:szCs w:val="24"/>
        </w:rPr>
      </w:pPr>
      <w:r w:rsidRPr="000F37C2">
        <w:rPr>
          <w:rFonts w:ascii="Times New Roman" w:hAnsi="Times New Roman" w:cs="Times New Roman"/>
          <w:b/>
          <w:sz w:val="24"/>
          <w:szCs w:val="24"/>
        </w:rPr>
        <w:t>pH i UN</w:t>
      </w:r>
      <w:r w:rsidRPr="000F37C2">
        <w:rPr>
          <w:rFonts w:ascii="Times New Roman" w:hAnsi="Times New Roman" w:cs="Times New Roman"/>
          <w:sz w:val="24"/>
          <w:szCs w:val="24"/>
        </w:rPr>
        <w:t xml:space="preserve"> – pH i UN në fazat e monitorimit gjatë vitit 2025 varion nga 7.71 – 8.93. Vlera minimale e pH është 7.32 e matur në Shtator 2025 në  St. Milotit , ndërsa vlera maksimale prej 8.55 është po ashtu në shpimin 62 Rrile në muajin Shtator 2025. Sipas normës së lejuar për ujë të pijshëm ky tregues është brenda normës (pH = 6.5 – 9.5). Nuk vërehen ndryshime të ndjeshme të pH, ka vetëm luhatje shumë të lehta stinore. </w:t>
      </w:r>
    </w:p>
    <w:p w:rsidR="00AA3E50" w:rsidRPr="000F37C2" w:rsidRDefault="00AA3E50" w:rsidP="000F37C2">
      <w:pPr>
        <w:ind w:left="-15" w:right="51"/>
        <w:jc w:val="both"/>
        <w:rPr>
          <w:rFonts w:ascii="Times New Roman" w:hAnsi="Times New Roman" w:cs="Times New Roman"/>
          <w:sz w:val="24"/>
          <w:szCs w:val="24"/>
        </w:rPr>
      </w:pPr>
      <w:r w:rsidRPr="000F37C2">
        <w:rPr>
          <w:rFonts w:ascii="Times New Roman" w:hAnsi="Times New Roman" w:cs="Times New Roman"/>
          <w:b/>
          <w:sz w:val="24"/>
          <w:szCs w:val="24"/>
          <w:lang w:val="sq-AL"/>
        </w:rPr>
        <w:t>Fortësia e përgjithshme Fp</w:t>
      </w:r>
      <w:r w:rsidRPr="000F37C2">
        <w:rPr>
          <w:rFonts w:ascii="Times New Roman" w:hAnsi="Times New Roman" w:cs="Times New Roman"/>
          <w:sz w:val="24"/>
          <w:szCs w:val="24"/>
          <w:lang w:val="sq-AL"/>
        </w:rPr>
        <w:t xml:space="preserve"> – </w:t>
      </w:r>
      <w:r w:rsidRPr="000F37C2">
        <w:rPr>
          <w:rFonts w:ascii="Times New Roman" w:hAnsi="Times New Roman" w:cs="Times New Roman"/>
          <w:sz w:val="24"/>
          <w:szCs w:val="24"/>
        </w:rPr>
        <w:t>Fortësia e përgjithshme e UN në fazat e monitorimit për vitin 2025 varion nga 1.26 në 16.24</w:t>
      </w:r>
      <w:r w:rsidRPr="000F37C2">
        <w:rPr>
          <w:rFonts w:ascii="Times New Roman" w:hAnsi="Times New Roman" w:cs="Times New Roman"/>
          <w:sz w:val="24"/>
          <w:szCs w:val="24"/>
          <w:vertAlign w:val="superscript"/>
        </w:rPr>
        <w:t>o</w:t>
      </w:r>
      <w:r w:rsidRPr="000F37C2">
        <w:rPr>
          <w:rFonts w:ascii="Times New Roman" w:hAnsi="Times New Roman" w:cs="Times New Roman"/>
          <w:sz w:val="24"/>
          <w:szCs w:val="24"/>
        </w:rPr>
        <w:t>gj. Siç shihet nga këto parametra Fp është brenda normës maksimale të lejuar pasi norma e ujit të pijshëm për këtë parametër është 10 – 20</w:t>
      </w:r>
      <w:r w:rsidRPr="000F37C2">
        <w:rPr>
          <w:rFonts w:ascii="Times New Roman" w:hAnsi="Times New Roman" w:cs="Times New Roman"/>
          <w:sz w:val="24"/>
          <w:szCs w:val="24"/>
          <w:vertAlign w:val="superscript"/>
        </w:rPr>
        <w:t>o</w:t>
      </w:r>
      <w:r w:rsidRPr="000F37C2">
        <w:rPr>
          <w:rFonts w:ascii="Times New Roman" w:hAnsi="Times New Roman" w:cs="Times New Roman"/>
          <w:sz w:val="24"/>
          <w:szCs w:val="24"/>
        </w:rPr>
        <w:t>gj dhe maksimale e lejuar 25</w:t>
      </w:r>
      <w:r w:rsidRPr="000F37C2">
        <w:rPr>
          <w:rFonts w:ascii="Times New Roman" w:hAnsi="Times New Roman" w:cs="Times New Roman"/>
          <w:sz w:val="24"/>
          <w:szCs w:val="24"/>
          <w:vertAlign w:val="superscript"/>
        </w:rPr>
        <w:t>o</w:t>
      </w:r>
      <w:r w:rsidRPr="000F37C2">
        <w:rPr>
          <w:rFonts w:ascii="Times New Roman" w:hAnsi="Times New Roman" w:cs="Times New Roman"/>
          <w:sz w:val="24"/>
          <w:szCs w:val="24"/>
        </w:rPr>
        <w:t>gjermane sipas VKM 379 dt. 25.05.2016, duke u klasifikuar si ujëra nëntokësore të buta. Stacionet e Barbullonjës dhe Hotelit të Gjuetisë shkon nga 1.26</w:t>
      </w:r>
      <w:r w:rsidR="00CE0530">
        <w:rPr>
          <w:rFonts w:ascii="Times New Roman" w:hAnsi="Times New Roman" w:cs="Times New Roman"/>
          <w:sz w:val="24"/>
          <w:szCs w:val="24"/>
        </w:rPr>
        <w:t xml:space="preserve"> </w:t>
      </w:r>
      <w:r w:rsidRPr="000F37C2">
        <w:rPr>
          <w:rFonts w:ascii="Times New Roman" w:hAnsi="Times New Roman" w:cs="Times New Roman"/>
          <w:sz w:val="24"/>
          <w:szCs w:val="24"/>
        </w:rPr>
        <w:t>-</w:t>
      </w:r>
      <w:r w:rsidR="00CE0530">
        <w:rPr>
          <w:rFonts w:ascii="Times New Roman" w:hAnsi="Times New Roman" w:cs="Times New Roman"/>
          <w:sz w:val="24"/>
          <w:szCs w:val="24"/>
        </w:rPr>
        <w:t xml:space="preserve"> </w:t>
      </w:r>
      <w:r w:rsidRPr="000F37C2">
        <w:rPr>
          <w:rFonts w:ascii="Times New Roman" w:hAnsi="Times New Roman" w:cs="Times New Roman"/>
          <w:sz w:val="24"/>
          <w:szCs w:val="24"/>
        </w:rPr>
        <w:t>3.1</w:t>
      </w:r>
      <w:r w:rsidRPr="000F37C2">
        <w:rPr>
          <w:rFonts w:ascii="Times New Roman" w:hAnsi="Times New Roman" w:cs="Times New Roman"/>
          <w:sz w:val="24"/>
          <w:szCs w:val="24"/>
          <w:vertAlign w:val="superscript"/>
        </w:rPr>
        <w:t xml:space="preserve"> o</w:t>
      </w:r>
      <w:r w:rsidR="00CE0530">
        <w:rPr>
          <w:rFonts w:ascii="Times New Roman" w:hAnsi="Times New Roman" w:cs="Times New Roman"/>
          <w:sz w:val="24"/>
          <w:szCs w:val="24"/>
          <w:vertAlign w:val="superscript"/>
        </w:rPr>
        <w:t xml:space="preserve"> </w:t>
      </w:r>
      <w:r w:rsidRPr="000F37C2">
        <w:rPr>
          <w:rFonts w:ascii="Times New Roman" w:hAnsi="Times New Roman" w:cs="Times New Roman"/>
          <w:sz w:val="24"/>
          <w:szCs w:val="24"/>
        </w:rPr>
        <w:t>gjermane duke u klaifikuar si ujra shum</w:t>
      </w:r>
      <w:r w:rsidR="00CE0530" w:rsidRPr="000F37C2">
        <w:rPr>
          <w:rFonts w:ascii="Times New Roman" w:hAnsi="Times New Roman" w:cs="Times New Roman"/>
          <w:sz w:val="24"/>
          <w:szCs w:val="24"/>
          <w:lang w:val="sq-AL"/>
        </w:rPr>
        <w:t>ë</w:t>
      </w:r>
      <w:r w:rsidRPr="000F37C2">
        <w:rPr>
          <w:rFonts w:ascii="Times New Roman" w:hAnsi="Times New Roman" w:cs="Times New Roman"/>
          <w:sz w:val="24"/>
          <w:szCs w:val="24"/>
        </w:rPr>
        <w:t xml:space="preserve"> të buta. </w:t>
      </w:r>
    </w:p>
    <w:p w:rsidR="00AA3E50" w:rsidRPr="000F37C2" w:rsidRDefault="00AA3E50" w:rsidP="000F37C2">
      <w:pPr>
        <w:ind w:right="51"/>
        <w:jc w:val="both"/>
        <w:rPr>
          <w:rFonts w:ascii="Times New Roman" w:hAnsi="Times New Roman" w:cs="Times New Roman"/>
          <w:sz w:val="24"/>
          <w:szCs w:val="24"/>
        </w:rPr>
      </w:pPr>
      <w:r w:rsidRPr="000F37C2">
        <w:rPr>
          <w:rFonts w:ascii="Times New Roman" w:hAnsi="Times New Roman" w:cs="Times New Roman"/>
          <w:b/>
          <w:sz w:val="24"/>
          <w:szCs w:val="24"/>
        </w:rPr>
        <w:t xml:space="preserve">Mineralizimi i përgjithshëm Mp </w:t>
      </w:r>
      <w:r w:rsidRPr="000F37C2">
        <w:rPr>
          <w:rFonts w:ascii="Times New Roman" w:hAnsi="Times New Roman" w:cs="Times New Roman"/>
          <w:sz w:val="24"/>
          <w:szCs w:val="24"/>
        </w:rPr>
        <w:t>–</w:t>
      </w:r>
      <w:r w:rsidRPr="000F37C2">
        <w:rPr>
          <w:rFonts w:ascii="Times New Roman" w:hAnsi="Times New Roman" w:cs="Times New Roman"/>
          <w:b/>
          <w:sz w:val="24"/>
          <w:szCs w:val="24"/>
        </w:rPr>
        <w:t xml:space="preserve"> </w:t>
      </w:r>
      <w:r w:rsidRPr="000F37C2">
        <w:rPr>
          <w:rFonts w:ascii="Times New Roman" w:hAnsi="Times New Roman" w:cs="Times New Roman"/>
          <w:sz w:val="24"/>
          <w:szCs w:val="24"/>
        </w:rPr>
        <w:t>Mineralizimi i përgjithshëm i UN në dy fazat e monitorimit (Mars Shtator) për vitin 2025 varion nga 256.03–1027.23 mg/l. Mineralizimi i përgjithshëm në të gjitha shpimet e akuiferit të Lezhës për 2025 janë poshtë vlerës 1200 mg/l i cili është kufiri i lejuar sipas VKM Nr.379. Bazuar në të dhënat e mineralizimit të përgjithshëm, ujërat e akuiferit të Lezhës klasifikohen si ujëra të freskëta.</w:t>
      </w:r>
    </w:p>
    <w:p w:rsidR="0031065A" w:rsidRDefault="00AA3E50" w:rsidP="00903995">
      <w:pPr>
        <w:spacing w:after="0" w:line="240" w:lineRule="auto"/>
        <w:jc w:val="both"/>
        <w:rPr>
          <w:rFonts w:ascii="Times New Roman" w:hAnsi="Times New Roman" w:cs="Times New Roman"/>
          <w:sz w:val="24"/>
          <w:szCs w:val="24"/>
        </w:rPr>
      </w:pPr>
      <w:r w:rsidRPr="000F37C2">
        <w:rPr>
          <w:rFonts w:ascii="Times New Roman" w:hAnsi="Times New Roman" w:cs="Times New Roman"/>
          <w:b/>
          <w:sz w:val="24"/>
          <w:szCs w:val="24"/>
        </w:rPr>
        <w:t>Përmbajta e amonjakut (NH</w:t>
      </w:r>
      <w:r w:rsidRPr="000F37C2">
        <w:rPr>
          <w:rFonts w:ascii="Times New Roman" w:hAnsi="Times New Roman" w:cs="Times New Roman"/>
          <w:b/>
          <w:sz w:val="24"/>
          <w:szCs w:val="24"/>
          <w:vertAlign w:val="subscript"/>
        </w:rPr>
        <w:t>4</w:t>
      </w:r>
      <w:r w:rsidRPr="000F37C2">
        <w:rPr>
          <w:rFonts w:ascii="Times New Roman" w:hAnsi="Times New Roman" w:cs="Times New Roman"/>
          <w:b/>
          <w:sz w:val="24"/>
          <w:szCs w:val="24"/>
        </w:rPr>
        <w:t xml:space="preserve">) </w:t>
      </w:r>
      <w:r w:rsidRPr="000F37C2">
        <w:rPr>
          <w:rFonts w:ascii="Times New Roman" w:hAnsi="Times New Roman" w:cs="Times New Roman"/>
          <w:sz w:val="24"/>
          <w:szCs w:val="24"/>
        </w:rPr>
        <w:t>- Përmbajta e amonjakut NH</w:t>
      </w:r>
      <w:r w:rsidRPr="000F37C2">
        <w:rPr>
          <w:rFonts w:ascii="Times New Roman" w:hAnsi="Times New Roman" w:cs="Times New Roman"/>
          <w:sz w:val="24"/>
          <w:szCs w:val="24"/>
          <w:vertAlign w:val="subscript"/>
        </w:rPr>
        <w:t xml:space="preserve">4 </w:t>
      </w:r>
      <w:r w:rsidRPr="000F37C2">
        <w:rPr>
          <w:rFonts w:ascii="Times New Roman" w:hAnsi="Times New Roman" w:cs="Times New Roman"/>
          <w:sz w:val="24"/>
          <w:szCs w:val="24"/>
        </w:rPr>
        <w:t>në dy fazat e monitorimit për vitin 2025 varion nga &lt;0.05 – 0.3 mg/l. Vlerat më</w:t>
      </w:r>
      <w:r w:rsidR="00CE0530">
        <w:rPr>
          <w:rFonts w:ascii="Times New Roman" w:hAnsi="Times New Roman" w:cs="Times New Roman"/>
          <w:sz w:val="24"/>
          <w:szCs w:val="24"/>
        </w:rPr>
        <w:t xml:space="preserve"> të larta janë matur në muajin M</w:t>
      </w:r>
      <w:r w:rsidRPr="000F37C2">
        <w:rPr>
          <w:rFonts w:ascii="Times New Roman" w:hAnsi="Times New Roman" w:cs="Times New Roman"/>
          <w:sz w:val="24"/>
          <w:szCs w:val="24"/>
        </w:rPr>
        <w:t>ars në shpimin H. Gjuetisë. Përmbajtja e amoniakut së bashku me nitritet tregojnë se ndotja është organike dhe qëndrueshme. Mendojmë se kjo ndotje vjen për mosrespektim të zonave sanitare, pasi shtëpitë e banimit ndodhen shumë afër me këto stacione.</w:t>
      </w:r>
    </w:p>
    <w:p w:rsidR="00903995" w:rsidRPr="000F37C2" w:rsidRDefault="00903995" w:rsidP="00903995">
      <w:pPr>
        <w:spacing w:after="0" w:line="240" w:lineRule="auto"/>
        <w:jc w:val="both"/>
        <w:rPr>
          <w:rFonts w:ascii="Times New Roman" w:hAnsi="Times New Roman" w:cs="Times New Roman"/>
          <w:sz w:val="24"/>
          <w:szCs w:val="24"/>
        </w:rPr>
      </w:pPr>
    </w:p>
    <w:p w:rsidR="00903995" w:rsidRDefault="00AA3E50" w:rsidP="00903995">
      <w:pPr>
        <w:spacing w:after="0" w:line="240" w:lineRule="auto"/>
        <w:ind w:left="-5" w:right="51"/>
        <w:jc w:val="both"/>
        <w:rPr>
          <w:rFonts w:ascii="Times New Roman" w:hAnsi="Times New Roman" w:cs="Times New Roman"/>
          <w:sz w:val="24"/>
          <w:szCs w:val="24"/>
        </w:rPr>
      </w:pPr>
      <w:r w:rsidRPr="00AA3E50">
        <w:rPr>
          <w:rFonts w:ascii="Times New Roman" w:hAnsi="Times New Roman" w:cs="Times New Roman"/>
          <w:b/>
          <w:sz w:val="24"/>
          <w:szCs w:val="24"/>
        </w:rPr>
        <w:t>Përmbajtja e Nitrateve - NO</w:t>
      </w:r>
      <w:r w:rsidRPr="00AA3E50">
        <w:rPr>
          <w:rFonts w:ascii="Times New Roman" w:hAnsi="Times New Roman" w:cs="Times New Roman"/>
          <w:b/>
          <w:sz w:val="24"/>
          <w:szCs w:val="24"/>
          <w:vertAlign w:val="subscript"/>
        </w:rPr>
        <w:t>3</w:t>
      </w:r>
      <w:r w:rsidRPr="00AA3E50">
        <w:rPr>
          <w:rFonts w:ascii="Times New Roman" w:hAnsi="Times New Roman" w:cs="Times New Roman"/>
          <w:sz w:val="24"/>
          <w:szCs w:val="24"/>
        </w:rPr>
        <w:t xml:space="preserve">, gjatë periudhës 2025 është prezente në vlera shumë të ulta, ato luhaten min – max 0.1 – 4.56 mg/l. Theksojmë se Standarti </w:t>
      </w:r>
      <w:r w:rsidR="00CE5054">
        <w:rPr>
          <w:rFonts w:ascii="Times New Roman" w:hAnsi="Times New Roman" w:cs="Times New Roman"/>
          <w:sz w:val="24"/>
          <w:szCs w:val="24"/>
        </w:rPr>
        <w:t xml:space="preserve">Shtetëror përcakton si vlerë maksimale </w:t>
      </w:r>
      <w:r w:rsidRPr="00AA3E50">
        <w:rPr>
          <w:rFonts w:ascii="Times New Roman" w:hAnsi="Times New Roman" w:cs="Times New Roman"/>
          <w:sz w:val="24"/>
          <w:szCs w:val="24"/>
        </w:rPr>
        <w:t>të lejuar për NO</w:t>
      </w:r>
      <w:r w:rsidRPr="00AA3E50">
        <w:rPr>
          <w:rFonts w:ascii="Times New Roman" w:hAnsi="Times New Roman" w:cs="Times New Roman"/>
          <w:sz w:val="24"/>
          <w:szCs w:val="24"/>
          <w:vertAlign w:val="subscript"/>
        </w:rPr>
        <w:t>3</w:t>
      </w:r>
      <w:r w:rsidRPr="00AA3E50">
        <w:rPr>
          <w:rFonts w:ascii="Times New Roman" w:hAnsi="Times New Roman" w:cs="Times New Roman"/>
          <w:sz w:val="24"/>
          <w:szCs w:val="24"/>
        </w:rPr>
        <w:t xml:space="preserve"> vlerën 50 mg/l.</w:t>
      </w:r>
    </w:p>
    <w:p w:rsidR="00AA3E50" w:rsidRPr="00AA3E50" w:rsidRDefault="00AA3E50" w:rsidP="00903995">
      <w:pPr>
        <w:spacing w:after="0" w:line="240" w:lineRule="auto"/>
        <w:ind w:left="-5" w:right="51"/>
        <w:jc w:val="both"/>
        <w:rPr>
          <w:rFonts w:ascii="Times New Roman" w:hAnsi="Times New Roman" w:cs="Times New Roman"/>
          <w:b/>
          <w:sz w:val="24"/>
          <w:szCs w:val="24"/>
        </w:rPr>
      </w:pPr>
      <w:r w:rsidRPr="00AA3E50">
        <w:rPr>
          <w:rFonts w:ascii="Times New Roman" w:hAnsi="Times New Roman" w:cs="Times New Roman"/>
          <w:b/>
          <w:sz w:val="24"/>
          <w:szCs w:val="24"/>
        </w:rPr>
        <w:t xml:space="preserve"> </w:t>
      </w:r>
      <w:bookmarkStart w:id="27" w:name="_Toc214555747"/>
    </w:p>
    <w:bookmarkEnd w:id="27"/>
    <w:p w:rsidR="00AA3E50" w:rsidRDefault="00AA3E50" w:rsidP="00903995">
      <w:pPr>
        <w:spacing w:after="0" w:line="240" w:lineRule="auto"/>
        <w:ind w:left="-5" w:right="51"/>
        <w:jc w:val="both"/>
        <w:rPr>
          <w:rFonts w:ascii="Times New Roman" w:hAnsi="Times New Roman" w:cs="Times New Roman"/>
          <w:sz w:val="24"/>
          <w:szCs w:val="24"/>
        </w:rPr>
      </w:pPr>
      <w:r w:rsidRPr="00AA3E50">
        <w:rPr>
          <w:rFonts w:ascii="Times New Roman" w:hAnsi="Times New Roman" w:cs="Times New Roman"/>
          <w:b/>
          <w:sz w:val="24"/>
          <w:szCs w:val="24"/>
        </w:rPr>
        <w:t>Përmbajta e nitriteve (NO</w:t>
      </w:r>
      <w:r w:rsidRPr="00AA3E50">
        <w:rPr>
          <w:rFonts w:ascii="Times New Roman" w:hAnsi="Times New Roman" w:cs="Times New Roman"/>
          <w:b/>
          <w:sz w:val="24"/>
          <w:szCs w:val="24"/>
          <w:vertAlign w:val="subscript"/>
        </w:rPr>
        <w:t>2</w:t>
      </w:r>
      <w:r w:rsidRPr="00AA3E50">
        <w:rPr>
          <w:rFonts w:ascii="Times New Roman" w:hAnsi="Times New Roman" w:cs="Times New Roman"/>
          <w:b/>
          <w:sz w:val="24"/>
          <w:szCs w:val="24"/>
        </w:rPr>
        <w:t xml:space="preserve">) </w:t>
      </w:r>
      <w:r w:rsidRPr="00AA3E50">
        <w:rPr>
          <w:rFonts w:ascii="Times New Roman" w:hAnsi="Times New Roman" w:cs="Times New Roman"/>
          <w:sz w:val="24"/>
          <w:szCs w:val="24"/>
        </w:rPr>
        <w:t>- Përmbajta e nitriteve NO</w:t>
      </w:r>
      <w:r w:rsidRPr="00AA3E50">
        <w:rPr>
          <w:rFonts w:ascii="Times New Roman" w:hAnsi="Times New Roman" w:cs="Times New Roman"/>
          <w:sz w:val="24"/>
          <w:szCs w:val="24"/>
          <w:vertAlign w:val="subscript"/>
        </w:rPr>
        <w:t xml:space="preserve">2 </w:t>
      </w:r>
      <w:r w:rsidRPr="00AA3E50">
        <w:rPr>
          <w:rFonts w:ascii="Times New Roman" w:hAnsi="Times New Roman" w:cs="Times New Roman"/>
          <w:sz w:val="24"/>
          <w:szCs w:val="24"/>
        </w:rPr>
        <w:t>në dy fazat e monitorimit për vitin 2025 është e ulët, vlerat në të gjithë shpimet varion nga 0.01- 0.36 mg/l. Përmbajtja e nitriteve NO</w:t>
      </w:r>
      <w:r w:rsidRPr="00AA3E50">
        <w:rPr>
          <w:rFonts w:ascii="Times New Roman" w:hAnsi="Times New Roman" w:cs="Times New Roman"/>
          <w:sz w:val="24"/>
          <w:szCs w:val="24"/>
          <w:vertAlign w:val="subscript"/>
        </w:rPr>
        <w:t xml:space="preserve">2 </w:t>
      </w:r>
      <w:r w:rsidRPr="00AA3E50">
        <w:rPr>
          <w:rFonts w:ascii="Times New Roman" w:hAnsi="Times New Roman" w:cs="Times New Roman"/>
          <w:sz w:val="24"/>
          <w:szCs w:val="24"/>
        </w:rPr>
        <w:t>në fazat e monitorimit për vitin 2025 varion në vler</w:t>
      </w:r>
      <w:r w:rsidR="00CE0530">
        <w:rPr>
          <w:rFonts w:ascii="Times New Roman" w:hAnsi="Times New Roman" w:cs="Times New Roman"/>
          <w:sz w:val="24"/>
          <w:szCs w:val="24"/>
        </w:rPr>
        <w:t>at 0 –0.36 mg/l dhe në të gjith</w:t>
      </w:r>
      <w:r w:rsidR="00CE0530" w:rsidRPr="000F37C2">
        <w:rPr>
          <w:rFonts w:ascii="Times New Roman" w:hAnsi="Times New Roman" w:cs="Times New Roman"/>
          <w:sz w:val="24"/>
          <w:szCs w:val="24"/>
          <w:lang w:val="sq-AL"/>
        </w:rPr>
        <w:t>ë</w:t>
      </w:r>
      <w:r w:rsidRPr="00AA3E50">
        <w:rPr>
          <w:rFonts w:ascii="Times New Roman" w:hAnsi="Times New Roman" w:cs="Times New Roman"/>
          <w:sz w:val="24"/>
          <w:szCs w:val="24"/>
        </w:rPr>
        <w:t xml:space="preserve"> stacionet është brenda normave të lejuara. </w:t>
      </w:r>
    </w:p>
    <w:p w:rsidR="00903995" w:rsidRPr="00AA3E50" w:rsidRDefault="00903995" w:rsidP="00903995">
      <w:pPr>
        <w:spacing w:after="0" w:line="240" w:lineRule="auto"/>
        <w:ind w:left="-5" w:right="51"/>
        <w:jc w:val="both"/>
        <w:rPr>
          <w:rFonts w:ascii="Times New Roman" w:hAnsi="Times New Roman" w:cs="Times New Roman"/>
          <w:sz w:val="24"/>
          <w:szCs w:val="24"/>
        </w:rPr>
      </w:pPr>
    </w:p>
    <w:p w:rsidR="00AA3E50" w:rsidRDefault="00AA3E50" w:rsidP="00903995">
      <w:pPr>
        <w:spacing w:after="0" w:line="240" w:lineRule="auto"/>
        <w:ind w:right="51"/>
        <w:jc w:val="both"/>
        <w:rPr>
          <w:rFonts w:ascii="Times New Roman" w:hAnsi="Times New Roman" w:cs="Times New Roman"/>
          <w:b/>
          <w:sz w:val="24"/>
          <w:szCs w:val="24"/>
        </w:rPr>
      </w:pPr>
      <w:r w:rsidRPr="00AA3E50">
        <w:rPr>
          <w:rFonts w:ascii="Times New Roman" w:hAnsi="Times New Roman" w:cs="Times New Roman"/>
          <w:b/>
          <w:sz w:val="24"/>
          <w:szCs w:val="24"/>
        </w:rPr>
        <w:t xml:space="preserve">Përmbajtja e Na- </w:t>
      </w:r>
      <w:r w:rsidRPr="00AA3E50">
        <w:rPr>
          <w:rFonts w:ascii="Times New Roman" w:hAnsi="Times New Roman" w:cs="Times New Roman"/>
          <w:sz w:val="24"/>
          <w:szCs w:val="24"/>
        </w:rPr>
        <w:t>Përmbajta e Na</w:t>
      </w:r>
      <w:r w:rsidRPr="00AA3E50">
        <w:rPr>
          <w:rFonts w:ascii="Times New Roman" w:hAnsi="Times New Roman" w:cs="Times New Roman"/>
          <w:sz w:val="24"/>
          <w:szCs w:val="24"/>
          <w:vertAlign w:val="subscript"/>
        </w:rPr>
        <w:t xml:space="preserve"> </w:t>
      </w:r>
      <w:r w:rsidRPr="00AA3E50">
        <w:rPr>
          <w:rFonts w:ascii="Times New Roman" w:hAnsi="Times New Roman" w:cs="Times New Roman"/>
          <w:sz w:val="24"/>
          <w:szCs w:val="24"/>
        </w:rPr>
        <w:t>në dy fazat e monitorimit për vitin 2025 varion nga 5.42 – 294.15 mg/l. Në shpimin e H. Gjuetisë vlerat e Na janë mbi normë dhe luhaten nga 217-227.7mg/l. Të gjitha shpimet e tjera janë brenda normës së lejuar sipas VKM 379.</w:t>
      </w:r>
      <w:r w:rsidRPr="00AA3E50">
        <w:rPr>
          <w:rFonts w:ascii="Times New Roman" w:hAnsi="Times New Roman" w:cs="Times New Roman"/>
          <w:b/>
          <w:sz w:val="24"/>
          <w:szCs w:val="24"/>
        </w:rPr>
        <w:t xml:space="preserve"> </w:t>
      </w:r>
    </w:p>
    <w:p w:rsidR="00903995" w:rsidRPr="00AA3E50" w:rsidRDefault="00903995" w:rsidP="00903995">
      <w:pPr>
        <w:spacing w:after="0" w:line="240" w:lineRule="auto"/>
        <w:ind w:right="51"/>
        <w:jc w:val="both"/>
        <w:rPr>
          <w:rFonts w:ascii="Times New Roman" w:hAnsi="Times New Roman" w:cs="Times New Roman"/>
          <w:b/>
          <w:sz w:val="24"/>
          <w:szCs w:val="24"/>
        </w:rPr>
      </w:pPr>
    </w:p>
    <w:p w:rsidR="00AA3E50" w:rsidRDefault="00AA3E50" w:rsidP="00903995">
      <w:pPr>
        <w:spacing w:after="0" w:line="240" w:lineRule="auto"/>
        <w:ind w:left="-5" w:right="51"/>
        <w:jc w:val="both"/>
        <w:rPr>
          <w:rFonts w:ascii="Times New Roman" w:hAnsi="Times New Roman" w:cs="Times New Roman"/>
          <w:sz w:val="24"/>
          <w:szCs w:val="24"/>
        </w:rPr>
      </w:pPr>
      <w:r w:rsidRPr="00AA3E50">
        <w:rPr>
          <w:rFonts w:ascii="Times New Roman" w:hAnsi="Times New Roman" w:cs="Times New Roman"/>
          <w:b/>
          <w:sz w:val="24"/>
          <w:szCs w:val="24"/>
        </w:rPr>
        <w:lastRenderedPageBreak/>
        <w:t xml:space="preserve">Përmbajtja e Klorit- </w:t>
      </w:r>
      <w:r w:rsidRPr="00AA3E50">
        <w:rPr>
          <w:rFonts w:ascii="Times New Roman" w:hAnsi="Times New Roman" w:cs="Times New Roman"/>
          <w:sz w:val="24"/>
          <w:szCs w:val="24"/>
        </w:rPr>
        <w:t>Përmbajta e Cl</w:t>
      </w:r>
      <w:r w:rsidRPr="00AA3E50">
        <w:rPr>
          <w:rFonts w:ascii="Times New Roman" w:hAnsi="Times New Roman" w:cs="Times New Roman"/>
          <w:sz w:val="24"/>
          <w:szCs w:val="24"/>
          <w:vertAlign w:val="subscript"/>
        </w:rPr>
        <w:t xml:space="preserve"> </w:t>
      </w:r>
      <w:r w:rsidRPr="00AA3E50">
        <w:rPr>
          <w:rFonts w:ascii="Times New Roman" w:hAnsi="Times New Roman" w:cs="Times New Roman"/>
          <w:sz w:val="24"/>
          <w:szCs w:val="24"/>
        </w:rPr>
        <w:t>në dy fazat e monitorimit për vitin 2025 varion nga 7.09– 278.31 mg/l. Gjatë monitorimit vlerat e Cl</w:t>
      </w:r>
      <w:r w:rsidRPr="00AA3E50">
        <w:rPr>
          <w:rFonts w:ascii="Times New Roman" w:hAnsi="Times New Roman" w:cs="Times New Roman"/>
          <w:b/>
          <w:sz w:val="24"/>
          <w:szCs w:val="24"/>
        </w:rPr>
        <w:t xml:space="preserve"> </w:t>
      </w:r>
      <w:r w:rsidRPr="00AA3E50">
        <w:rPr>
          <w:rFonts w:ascii="Times New Roman" w:hAnsi="Times New Roman" w:cs="Times New Roman"/>
          <w:sz w:val="24"/>
          <w:szCs w:val="24"/>
        </w:rPr>
        <w:t xml:space="preserve">në shpimet Barbullojë, St. Pompave Shëngjin 62 Rrillë, 6v Rrillë janë brenda normës së vendosur nga VKM 379 (standarti 250 mg/l). Vlerat më të larta mbi normën e lejuar janë marrë në shpimin H. Gjuetisë ku Cl luhatet 223-278 mg/l. Vlerat e larta të Cl në shpimin H. Gjuetisë tregon se kemi të bëjmë me praninë e fenomenit të intruzionit të ujit të detit. </w:t>
      </w:r>
    </w:p>
    <w:p w:rsidR="00903995" w:rsidRPr="00AA3E50" w:rsidRDefault="00903995" w:rsidP="00903995">
      <w:pPr>
        <w:spacing w:after="0" w:line="240" w:lineRule="auto"/>
        <w:ind w:left="-5" w:right="51"/>
        <w:jc w:val="both"/>
        <w:rPr>
          <w:rFonts w:ascii="Times New Roman" w:hAnsi="Times New Roman" w:cs="Times New Roman"/>
          <w:sz w:val="24"/>
          <w:szCs w:val="24"/>
        </w:rPr>
      </w:pPr>
    </w:p>
    <w:p w:rsidR="00AA3E50" w:rsidRDefault="00AA3E50" w:rsidP="00903995">
      <w:pPr>
        <w:spacing w:after="0" w:line="240" w:lineRule="auto"/>
        <w:ind w:left="-5" w:right="51"/>
        <w:jc w:val="both"/>
        <w:rPr>
          <w:rFonts w:ascii="Times New Roman" w:hAnsi="Times New Roman" w:cs="Times New Roman"/>
          <w:sz w:val="24"/>
          <w:szCs w:val="24"/>
        </w:rPr>
      </w:pPr>
      <w:r w:rsidRPr="00AA3E50">
        <w:rPr>
          <w:rFonts w:ascii="Times New Roman" w:hAnsi="Times New Roman" w:cs="Times New Roman"/>
          <w:b/>
          <w:sz w:val="24"/>
          <w:szCs w:val="24"/>
        </w:rPr>
        <w:t>Përmbajtja e hekurit  Fe</w:t>
      </w:r>
      <w:r w:rsidRPr="00AA3E50">
        <w:rPr>
          <w:rFonts w:ascii="Times New Roman" w:hAnsi="Times New Roman" w:cs="Times New Roman"/>
          <w:b/>
          <w:sz w:val="24"/>
          <w:szCs w:val="24"/>
          <w:vertAlign w:val="superscript"/>
        </w:rPr>
        <w:t>2+3</w:t>
      </w:r>
      <w:r w:rsidRPr="00AA3E50">
        <w:rPr>
          <w:rFonts w:ascii="Times New Roman" w:hAnsi="Times New Roman" w:cs="Times New Roman"/>
          <w:sz w:val="24"/>
          <w:szCs w:val="24"/>
        </w:rPr>
        <w:t>- gjatë periudhës Mars, Shtator 2025 luhatet në kufijtë min – max nga 0 – 0.01 mg/l, sipas normës së lejuar për ujë të pijshëm ky tregues është brenda normës së lejuar nuk është takuar prezencë e Fe. Në të gjitha shpimet përmbajtja e hekurit është brenda normës së lejuar.</w:t>
      </w:r>
    </w:p>
    <w:p w:rsidR="00903995" w:rsidRPr="00AA3E50" w:rsidRDefault="00903995" w:rsidP="00903995">
      <w:pPr>
        <w:spacing w:after="0" w:line="240" w:lineRule="auto"/>
        <w:ind w:left="-5" w:right="51"/>
        <w:jc w:val="both"/>
        <w:rPr>
          <w:rFonts w:ascii="Times New Roman" w:hAnsi="Times New Roman" w:cs="Times New Roman"/>
          <w:sz w:val="24"/>
          <w:szCs w:val="24"/>
        </w:rPr>
      </w:pPr>
    </w:p>
    <w:p w:rsidR="00AA3E50" w:rsidRDefault="00AA3E50" w:rsidP="00903995">
      <w:pPr>
        <w:tabs>
          <w:tab w:val="left" w:pos="0"/>
        </w:tabs>
        <w:spacing w:after="0" w:line="240" w:lineRule="auto"/>
        <w:jc w:val="both"/>
        <w:rPr>
          <w:rFonts w:ascii="Times New Roman" w:hAnsi="Times New Roman" w:cs="Times New Roman"/>
          <w:b/>
          <w:bCs/>
          <w:iCs/>
          <w:sz w:val="24"/>
          <w:szCs w:val="24"/>
          <w:lang w:val="sq-AL"/>
        </w:rPr>
      </w:pPr>
      <w:r w:rsidRPr="00AA3E50">
        <w:rPr>
          <w:rFonts w:ascii="Times New Roman" w:hAnsi="Times New Roman" w:cs="Times New Roman"/>
          <w:b/>
          <w:bCs/>
          <w:iCs/>
          <w:sz w:val="24"/>
          <w:szCs w:val="24"/>
          <w:lang w:val="sq-AL"/>
        </w:rPr>
        <w:t>Në akuiferin poroz të Milot - Fushë-Kuqes:</w:t>
      </w:r>
    </w:p>
    <w:p w:rsidR="00903995" w:rsidRPr="00AA3E50" w:rsidRDefault="00903995" w:rsidP="00903995">
      <w:pPr>
        <w:tabs>
          <w:tab w:val="left" w:pos="0"/>
        </w:tabs>
        <w:spacing w:after="0" w:line="240" w:lineRule="auto"/>
        <w:jc w:val="both"/>
        <w:rPr>
          <w:rFonts w:ascii="Times New Roman" w:hAnsi="Times New Roman" w:cs="Times New Roman"/>
          <w:b/>
          <w:bCs/>
          <w:iCs/>
          <w:sz w:val="24"/>
          <w:szCs w:val="24"/>
          <w:lang w:val="sq-AL"/>
        </w:rPr>
      </w:pPr>
    </w:p>
    <w:p w:rsidR="00AA3E50" w:rsidRDefault="00AA3E50" w:rsidP="00903995">
      <w:pPr>
        <w:tabs>
          <w:tab w:val="left" w:pos="0"/>
        </w:tabs>
        <w:spacing w:after="0" w:line="240" w:lineRule="auto"/>
        <w:jc w:val="both"/>
        <w:rPr>
          <w:rFonts w:ascii="Times New Roman" w:hAnsi="Times New Roman" w:cs="Times New Roman"/>
          <w:sz w:val="24"/>
          <w:lang w:val="sq-AL"/>
        </w:rPr>
      </w:pPr>
      <w:r w:rsidRPr="00AA3E50">
        <w:rPr>
          <w:rFonts w:ascii="Times New Roman" w:hAnsi="Times New Roman" w:cs="Times New Roman"/>
          <w:sz w:val="24"/>
        </w:rPr>
        <w:t>Ujërat nëntokësore të këtij akuiferi në përgjithësi kanë veti të mira fiziko – kimike, janë pa erë, pa ngjyrë, pa shije dhe transparente. Temperatura e ujit luhatet në kufinjtë 15 - 18.5</w:t>
      </w:r>
      <w:r w:rsidRPr="00AA3E50">
        <w:rPr>
          <w:rFonts w:ascii="Times New Roman" w:hAnsi="Times New Roman" w:cs="Times New Roman"/>
          <w:sz w:val="24"/>
          <w:vertAlign w:val="superscript"/>
        </w:rPr>
        <w:t>°</w:t>
      </w:r>
      <w:r w:rsidRPr="00AA3E50">
        <w:rPr>
          <w:rFonts w:ascii="Times New Roman" w:hAnsi="Times New Roman" w:cs="Times New Roman"/>
          <w:sz w:val="24"/>
        </w:rPr>
        <w:t xml:space="preserve">C. Në bazë të rezultateve të analizave kimike na rezulton që uji në këtë akuifer është brenda standartit të ujit të pijshëm, me përjashtim të shpimit 177 dhe 502 Patok. Cilësia e U.N të këtij akuiferi vjen duke u përmirësuar nga perëndimi në lindje. </w:t>
      </w:r>
      <w:r w:rsidRPr="00AA3E50">
        <w:rPr>
          <w:rFonts w:ascii="Times New Roman" w:hAnsi="Times New Roman" w:cs="Times New Roman"/>
          <w:sz w:val="24"/>
          <w:lang w:val="sq-AL"/>
        </w:rPr>
        <w:t>Më poshtë po japim përshkrimin analitik të përmbajtjes së disa elementëve me të rëndësishëm dhe konkretisht:</w:t>
      </w:r>
    </w:p>
    <w:p w:rsidR="00903995" w:rsidRPr="00AA3E50" w:rsidRDefault="00903995" w:rsidP="00903995">
      <w:pPr>
        <w:tabs>
          <w:tab w:val="left" w:pos="0"/>
        </w:tabs>
        <w:spacing w:after="0" w:line="240" w:lineRule="auto"/>
        <w:jc w:val="both"/>
        <w:rPr>
          <w:rFonts w:ascii="Times New Roman" w:hAnsi="Times New Roman" w:cs="Times New Roman"/>
          <w:sz w:val="24"/>
          <w:lang w:val="sq-AL"/>
        </w:rPr>
      </w:pPr>
    </w:p>
    <w:p w:rsidR="00AA3E50" w:rsidRDefault="00903995" w:rsidP="00903995">
      <w:pPr>
        <w:spacing w:after="0" w:line="240" w:lineRule="auto"/>
        <w:ind w:left="-6" w:right="51"/>
        <w:jc w:val="both"/>
        <w:rPr>
          <w:rFonts w:ascii="Times New Roman" w:hAnsi="Times New Roman" w:cs="Times New Roman"/>
          <w:sz w:val="24"/>
          <w:szCs w:val="24"/>
        </w:rPr>
      </w:pPr>
      <w:r>
        <w:rPr>
          <w:rFonts w:ascii="Times New Roman" w:hAnsi="Times New Roman" w:cs="Times New Roman"/>
          <w:b/>
          <w:sz w:val="24"/>
          <w:szCs w:val="24"/>
        </w:rPr>
        <w:t>pH</w:t>
      </w:r>
      <w:r w:rsidR="00AA3E50" w:rsidRPr="00AA3E50">
        <w:rPr>
          <w:rFonts w:ascii="Times New Roman" w:hAnsi="Times New Roman" w:cs="Times New Roman"/>
          <w:b/>
          <w:sz w:val="24"/>
          <w:szCs w:val="24"/>
        </w:rPr>
        <w:t xml:space="preserve"> i ujërave nëntokësore:</w:t>
      </w:r>
      <w:r w:rsidR="00AA3E50" w:rsidRPr="00AA3E50">
        <w:rPr>
          <w:rFonts w:ascii="Times New Roman" w:hAnsi="Times New Roman" w:cs="Times New Roman"/>
          <w:sz w:val="24"/>
          <w:szCs w:val="24"/>
        </w:rPr>
        <w:t xml:space="preserve"> për vitin 2025 varion nga 7.3– 8.22 dhe janë ujëra me alkalinitet të dobët. Gjatë monitorimit të vitit 2025, vlera minimale e pH është 7.3 e matur në Sh</w:t>
      </w:r>
      <w:r w:rsidR="001F64A9">
        <w:rPr>
          <w:rFonts w:ascii="Times New Roman" w:hAnsi="Times New Roman" w:cs="Times New Roman"/>
          <w:sz w:val="24"/>
          <w:szCs w:val="24"/>
        </w:rPr>
        <w:t>tator 2025 në shpimin 176 Milot</w:t>
      </w:r>
      <w:r w:rsidR="00AA3E50" w:rsidRPr="00AA3E50">
        <w:rPr>
          <w:rFonts w:ascii="Times New Roman" w:hAnsi="Times New Roman" w:cs="Times New Roman"/>
          <w:sz w:val="24"/>
          <w:szCs w:val="24"/>
        </w:rPr>
        <w:t xml:space="preserve">, ndërsa vlera maksimale prej 8.22 është në shpimin 177 Patok e matur në muajin shtator 2025. Sipas normës së lejuar për ujë të pijshëm ky tregues është brenda normës </w:t>
      </w:r>
    </w:p>
    <w:p w:rsidR="00903995" w:rsidRPr="00AA3E50" w:rsidRDefault="00903995" w:rsidP="00903995">
      <w:pPr>
        <w:spacing w:after="0" w:line="240" w:lineRule="auto"/>
        <w:ind w:left="-6" w:right="51"/>
        <w:jc w:val="both"/>
        <w:rPr>
          <w:rFonts w:ascii="Times New Roman" w:hAnsi="Times New Roman" w:cs="Times New Roman"/>
          <w:noProof/>
          <w:sz w:val="24"/>
          <w:szCs w:val="24"/>
        </w:rPr>
      </w:pPr>
    </w:p>
    <w:p w:rsidR="00AA3E50" w:rsidRDefault="00AA3E50" w:rsidP="00903995">
      <w:pPr>
        <w:spacing w:after="0" w:line="240" w:lineRule="auto"/>
        <w:ind w:right="51"/>
        <w:jc w:val="both"/>
        <w:rPr>
          <w:rFonts w:ascii="Times New Roman" w:hAnsi="Times New Roman" w:cs="Times New Roman"/>
          <w:sz w:val="24"/>
          <w:szCs w:val="24"/>
        </w:rPr>
      </w:pPr>
      <w:r w:rsidRPr="00AA3E50">
        <w:rPr>
          <w:rFonts w:ascii="Times New Roman" w:hAnsi="Times New Roman" w:cs="Times New Roman"/>
          <w:b/>
          <w:sz w:val="24"/>
          <w:szCs w:val="24"/>
        </w:rPr>
        <w:t>Fortësia e përgjithshme</w:t>
      </w:r>
      <w:r w:rsidRPr="00AA3E50">
        <w:rPr>
          <w:rFonts w:ascii="Times New Roman" w:hAnsi="Times New Roman" w:cs="Times New Roman"/>
          <w:sz w:val="24"/>
          <w:szCs w:val="24"/>
        </w:rPr>
        <w:t xml:space="preserve"> (</w:t>
      </w:r>
      <w:r w:rsidRPr="00AA3E50">
        <w:rPr>
          <w:rFonts w:ascii="Times New Roman" w:hAnsi="Times New Roman" w:cs="Times New Roman"/>
          <w:b/>
          <w:sz w:val="24"/>
          <w:szCs w:val="24"/>
        </w:rPr>
        <w:t>Fp)</w:t>
      </w:r>
      <w:r w:rsidRPr="00AA3E50">
        <w:rPr>
          <w:rFonts w:ascii="Times New Roman" w:hAnsi="Times New Roman" w:cs="Times New Roman"/>
          <w:sz w:val="24"/>
          <w:szCs w:val="24"/>
        </w:rPr>
        <w:t>: Fortësia e përgjithshme e UN në fazat e monitorimit për vitin 2025 varion nga 4.3 në 16.24</w:t>
      </w:r>
      <w:r w:rsidRPr="00AA3E50">
        <w:rPr>
          <w:rFonts w:ascii="Times New Roman" w:hAnsi="Times New Roman" w:cs="Times New Roman"/>
          <w:sz w:val="24"/>
          <w:szCs w:val="24"/>
          <w:vertAlign w:val="superscript"/>
        </w:rPr>
        <w:t>o</w:t>
      </w:r>
      <w:r w:rsidRPr="00AA3E50">
        <w:rPr>
          <w:rFonts w:ascii="Times New Roman" w:hAnsi="Times New Roman" w:cs="Times New Roman"/>
          <w:sz w:val="24"/>
          <w:szCs w:val="24"/>
        </w:rPr>
        <w:t xml:space="preserve">gj duke u klasifikuar si </w:t>
      </w:r>
      <w:r w:rsidRPr="00AA3E50">
        <w:rPr>
          <w:rFonts w:ascii="Times New Roman" w:hAnsi="Times New Roman" w:cs="Times New Roman"/>
          <w:i/>
          <w:sz w:val="24"/>
          <w:szCs w:val="24"/>
        </w:rPr>
        <w:t>ujëra mesatarisht të forta</w:t>
      </w:r>
      <w:r w:rsidRPr="00AA3E50">
        <w:rPr>
          <w:rFonts w:ascii="Times New Roman" w:hAnsi="Times New Roman" w:cs="Times New Roman"/>
          <w:sz w:val="24"/>
          <w:szCs w:val="24"/>
        </w:rPr>
        <w:t xml:space="preserve">. </w:t>
      </w:r>
    </w:p>
    <w:p w:rsidR="00903995" w:rsidRPr="00AA3E50" w:rsidRDefault="00903995" w:rsidP="00903995">
      <w:pPr>
        <w:spacing w:after="0" w:line="240" w:lineRule="auto"/>
        <w:ind w:right="51"/>
        <w:jc w:val="both"/>
        <w:rPr>
          <w:rFonts w:ascii="Times New Roman" w:hAnsi="Times New Roman" w:cs="Times New Roman"/>
          <w:sz w:val="24"/>
          <w:szCs w:val="24"/>
        </w:rPr>
      </w:pPr>
    </w:p>
    <w:p w:rsidR="00AA3E50" w:rsidRDefault="00AA3E50" w:rsidP="00903995">
      <w:pPr>
        <w:tabs>
          <w:tab w:val="left" w:pos="0"/>
        </w:tabs>
        <w:spacing w:after="0" w:line="240" w:lineRule="auto"/>
        <w:jc w:val="both"/>
        <w:rPr>
          <w:rFonts w:ascii="Times New Roman" w:hAnsi="Times New Roman" w:cs="Times New Roman"/>
          <w:sz w:val="24"/>
        </w:rPr>
      </w:pPr>
      <w:r w:rsidRPr="00AA3E50">
        <w:rPr>
          <w:rFonts w:ascii="Times New Roman" w:hAnsi="Times New Roman" w:cs="Times New Roman"/>
          <w:b/>
          <w:sz w:val="24"/>
        </w:rPr>
        <w:t>Mineralizimi i përgjithshëm (Mp):</w:t>
      </w:r>
      <w:r w:rsidRPr="00AA3E50">
        <w:rPr>
          <w:rFonts w:ascii="Times New Roman" w:hAnsi="Times New Roman" w:cs="Times New Roman"/>
          <w:sz w:val="24"/>
        </w:rPr>
        <w:t xml:space="preserve"> Mineralizimi i përgjithshëm i UN në dy fazat e monitorimit për vitin 2025 varion nga 235.71</w:t>
      </w:r>
      <w:r w:rsidR="00FA4D94">
        <w:rPr>
          <w:rFonts w:ascii="Times New Roman" w:hAnsi="Times New Roman" w:cs="Times New Roman"/>
          <w:sz w:val="24"/>
        </w:rPr>
        <w:t xml:space="preserve"> </w:t>
      </w:r>
      <w:r w:rsidRPr="00AA3E50">
        <w:rPr>
          <w:rFonts w:ascii="Times New Roman" w:hAnsi="Times New Roman" w:cs="Times New Roman"/>
          <w:sz w:val="24"/>
        </w:rPr>
        <w:t>– 1027.23 mg/l. Shpimet e Akuiferit të F.Kuqes kanë ujëra të freskëta me mineralizim &lt; 1000 mg/l me përjashtim të shpimit Milot pu</w:t>
      </w:r>
      <w:r w:rsidR="001F64A9">
        <w:rPr>
          <w:rFonts w:ascii="Times New Roman" w:hAnsi="Times New Roman" w:cs="Times New Roman"/>
          <w:sz w:val="24"/>
        </w:rPr>
        <w:t>set e Durrësit ka qënë mbi norm</w:t>
      </w:r>
      <w:r w:rsidR="001F64A9" w:rsidRPr="000F37C2">
        <w:rPr>
          <w:rFonts w:ascii="Times New Roman" w:hAnsi="Times New Roman" w:cs="Times New Roman"/>
          <w:sz w:val="24"/>
          <w:szCs w:val="24"/>
          <w:lang w:val="sq-AL"/>
        </w:rPr>
        <w:t>ë</w:t>
      </w:r>
      <w:r w:rsidRPr="00AA3E50">
        <w:rPr>
          <w:rFonts w:ascii="Times New Roman" w:hAnsi="Times New Roman" w:cs="Times New Roman"/>
          <w:sz w:val="24"/>
        </w:rPr>
        <w:t xml:space="preserve">n e lejuar të vendosura nga VKM 379. </w:t>
      </w:r>
    </w:p>
    <w:p w:rsidR="00903995" w:rsidRPr="00AA3E50" w:rsidRDefault="00903995" w:rsidP="00903995">
      <w:pPr>
        <w:tabs>
          <w:tab w:val="left" w:pos="0"/>
        </w:tabs>
        <w:spacing w:after="0" w:line="240" w:lineRule="auto"/>
        <w:jc w:val="both"/>
        <w:rPr>
          <w:rFonts w:ascii="Times New Roman" w:hAnsi="Times New Roman" w:cs="Times New Roman"/>
          <w:sz w:val="24"/>
        </w:rPr>
      </w:pPr>
    </w:p>
    <w:p w:rsidR="00AA3E50" w:rsidRDefault="00AA3E50" w:rsidP="00903995">
      <w:pPr>
        <w:spacing w:after="0" w:line="240" w:lineRule="auto"/>
        <w:ind w:left="-5" w:right="51"/>
        <w:jc w:val="both"/>
        <w:rPr>
          <w:rFonts w:ascii="Times New Roman" w:hAnsi="Times New Roman" w:cs="Times New Roman"/>
          <w:sz w:val="24"/>
          <w:szCs w:val="24"/>
        </w:rPr>
      </w:pPr>
      <w:r w:rsidRPr="00AA3E50">
        <w:rPr>
          <w:rFonts w:ascii="Times New Roman" w:hAnsi="Times New Roman" w:cs="Times New Roman"/>
          <w:b/>
          <w:sz w:val="24"/>
          <w:szCs w:val="24"/>
        </w:rPr>
        <w:t>Përmbajta e amonjakut (NH</w:t>
      </w:r>
      <w:r w:rsidRPr="00AA3E50">
        <w:rPr>
          <w:rFonts w:ascii="Times New Roman" w:hAnsi="Times New Roman" w:cs="Times New Roman"/>
          <w:b/>
          <w:sz w:val="24"/>
          <w:szCs w:val="24"/>
          <w:vertAlign w:val="subscript"/>
        </w:rPr>
        <w:t>4</w:t>
      </w:r>
      <w:r w:rsidRPr="00AA3E50">
        <w:rPr>
          <w:rFonts w:ascii="Times New Roman" w:hAnsi="Times New Roman" w:cs="Times New Roman"/>
          <w:b/>
          <w:sz w:val="24"/>
          <w:szCs w:val="24"/>
        </w:rPr>
        <w:t xml:space="preserve">): </w:t>
      </w:r>
      <w:r w:rsidRPr="00AA3E50">
        <w:rPr>
          <w:rFonts w:ascii="Times New Roman" w:hAnsi="Times New Roman" w:cs="Times New Roman"/>
          <w:sz w:val="24"/>
          <w:szCs w:val="24"/>
        </w:rPr>
        <w:t>- Përmbajta e amonjakut NH</w:t>
      </w:r>
      <w:r w:rsidRPr="00AA3E50">
        <w:rPr>
          <w:rFonts w:ascii="Times New Roman" w:hAnsi="Times New Roman" w:cs="Times New Roman"/>
          <w:sz w:val="24"/>
          <w:szCs w:val="24"/>
          <w:vertAlign w:val="subscript"/>
        </w:rPr>
        <w:t xml:space="preserve">4 </w:t>
      </w:r>
      <w:r w:rsidRPr="00AA3E50">
        <w:rPr>
          <w:rFonts w:ascii="Times New Roman" w:hAnsi="Times New Roman" w:cs="Times New Roman"/>
          <w:sz w:val="24"/>
          <w:szCs w:val="24"/>
        </w:rPr>
        <w:t xml:space="preserve">në dy fazat e monitorimit për vitin 2025 varion nga 0.01 – 0.05 mg/l, brenda normës së lejuar. </w:t>
      </w:r>
    </w:p>
    <w:p w:rsidR="00903995" w:rsidRPr="00AA3E50" w:rsidRDefault="00903995" w:rsidP="00903995">
      <w:pPr>
        <w:spacing w:after="0" w:line="240" w:lineRule="auto"/>
        <w:ind w:left="-5" w:right="51"/>
        <w:jc w:val="both"/>
        <w:rPr>
          <w:rFonts w:ascii="Times New Roman" w:hAnsi="Times New Roman" w:cs="Times New Roman"/>
          <w:sz w:val="24"/>
          <w:szCs w:val="24"/>
        </w:rPr>
      </w:pPr>
    </w:p>
    <w:p w:rsidR="00AA3E50" w:rsidRDefault="00AA3E50" w:rsidP="00903995">
      <w:pPr>
        <w:spacing w:after="0" w:line="240" w:lineRule="auto"/>
        <w:ind w:left="-5" w:right="51"/>
        <w:jc w:val="both"/>
        <w:rPr>
          <w:rFonts w:ascii="Times New Roman" w:hAnsi="Times New Roman" w:cs="Times New Roman"/>
          <w:b/>
          <w:sz w:val="24"/>
          <w:szCs w:val="24"/>
        </w:rPr>
      </w:pPr>
      <w:r w:rsidRPr="00AA3E50">
        <w:rPr>
          <w:rFonts w:ascii="Times New Roman" w:hAnsi="Times New Roman" w:cs="Times New Roman"/>
          <w:b/>
          <w:sz w:val="24"/>
          <w:szCs w:val="24"/>
        </w:rPr>
        <w:t>Përmbajtja e Nitrateve - NO</w:t>
      </w:r>
      <w:r w:rsidRPr="00AA3E50">
        <w:rPr>
          <w:rFonts w:ascii="Times New Roman" w:hAnsi="Times New Roman" w:cs="Times New Roman"/>
          <w:b/>
          <w:sz w:val="24"/>
          <w:szCs w:val="24"/>
          <w:vertAlign w:val="subscript"/>
        </w:rPr>
        <w:t>3</w:t>
      </w:r>
      <w:r w:rsidRPr="00AA3E50">
        <w:rPr>
          <w:rFonts w:ascii="Times New Roman" w:hAnsi="Times New Roman" w:cs="Times New Roman"/>
          <w:sz w:val="24"/>
          <w:szCs w:val="24"/>
        </w:rPr>
        <w:t>, gjatë vitit 2025 është prezente në vlera shumë të ulta, ato luhaten min – max 0 – 4.56mg/l. Theksojmë s</w:t>
      </w:r>
      <w:r w:rsidR="00FA4D94" w:rsidRPr="000F37C2">
        <w:rPr>
          <w:rFonts w:ascii="Times New Roman" w:hAnsi="Times New Roman" w:cs="Times New Roman"/>
          <w:sz w:val="24"/>
          <w:szCs w:val="24"/>
          <w:lang w:val="sq-AL"/>
        </w:rPr>
        <w:t>ë</w:t>
      </w:r>
      <w:r w:rsidRPr="00AA3E50">
        <w:rPr>
          <w:rFonts w:ascii="Times New Roman" w:hAnsi="Times New Roman" w:cs="Times New Roman"/>
          <w:sz w:val="24"/>
          <w:szCs w:val="24"/>
        </w:rPr>
        <w:t xml:space="preserve"> Standarti </w:t>
      </w:r>
      <w:r w:rsidR="008B1120">
        <w:rPr>
          <w:rFonts w:ascii="Times New Roman" w:hAnsi="Times New Roman" w:cs="Times New Roman"/>
          <w:sz w:val="24"/>
          <w:szCs w:val="24"/>
        </w:rPr>
        <w:t>Shtetëror përcakton si vlerë maksimale</w:t>
      </w:r>
      <w:r w:rsidRPr="00AA3E50">
        <w:rPr>
          <w:rFonts w:ascii="Times New Roman" w:hAnsi="Times New Roman" w:cs="Times New Roman"/>
          <w:sz w:val="24"/>
          <w:szCs w:val="24"/>
        </w:rPr>
        <w:t xml:space="preserve"> të lejuar për NO</w:t>
      </w:r>
      <w:r w:rsidRPr="00AA3E50">
        <w:rPr>
          <w:rFonts w:ascii="Times New Roman" w:hAnsi="Times New Roman" w:cs="Times New Roman"/>
          <w:sz w:val="24"/>
          <w:szCs w:val="24"/>
          <w:vertAlign w:val="subscript"/>
        </w:rPr>
        <w:t>3</w:t>
      </w:r>
      <w:r w:rsidRPr="00AA3E50">
        <w:rPr>
          <w:rFonts w:ascii="Times New Roman" w:hAnsi="Times New Roman" w:cs="Times New Roman"/>
          <w:sz w:val="24"/>
          <w:szCs w:val="24"/>
        </w:rPr>
        <w:t xml:space="preserve"> vlerën 50 mg/l.</w:t>
      </w:r>
      <w:r w:rsidRPr="00AA3E50">
        <w:rPr>
          <w:rFonts w:ascii="Times New Roman" w:hAnsi="Times New Roman" w:cs="Times New Roman"/>
          <w:b/>
          <w:sz w:val="24"/>
          <w:szCs w:val="24"/>
        </w:rPr>
        <w:t xml:space="preserve"> </w:t>
      </w:r>
      <w:bookmarkStart w:id="28" w:name="_Toc214555754"/>
    </w:p>
    <w:p w:rsidR="00903995" w:rsidRPr="00AA3E50" w:rsidRDefault="00903995" w:rsidP="00903995">
      <w:pPr>
        <w:spacing w:after="0" w:line="240" w:lineRule="auto"/>
        <w:ind w:left="-5" w:right="51"/>
        <w:jc w:val="both"/>
        <w:rPr>
          <w:rFonts w:ascii="Times New Roman" w:hAnsi="Times New Roman" w:cs="Times New Roman"/>
          <w:sz w:val="24"/>
          <w:szCs w:val="24"/>
        </w:rPr>
      </w:pPr>
    </w:p>
    <w:bookmarkEnd w:id="28"/>
    <w:p w:rsidR="00AA3E50" w:rsidRDefault="00AA3E50" w:rsidP="00903995">
      <w:pPr>
        <w:spacing w:after="0" w:line="240" w:lineRule="auto"/>
        <w:jc w:val="both"/>
        <w:rPr>
          <w:rFonts w:ascii="Times New Roman" w:hAnsi="Times New Roman" w:cs="Times New Roman"/>
          <w:sz w:val="24"/>
          <w:szCs w:val="24"/>
        </w:rPr>
      </w:pPr>
      <w:r w:rsidRPr="00AA3E50">
        <w:rPr>
          <w:rFonts w:ascii="Times New Roman" w:hAnsi="Times New Roman" w:cs="Times New Roman"/>
          <w:b/>
          <w:sz w:val="24"/>
          <w:szCs w:val="24"/>
        </w:rPr>
        <w:t>Përmbajta e nitriteve (NO</w:t>
      </w:r>
      <w:r w:rsidRPr="00AA3E50">
        <w:rPr>
          <w:rFonts w:ascii="Times New Roman" w:hAnsi="Times New Roman" w:cs="Times New Roman"/>
          <w:b/>
          <w:sz w:val="24"/>
          <w:szCs w:val="24"/>
          <w:vertAlign w:val="subscript"/>
        </w:rPr>
        <w:t>2</w:t>
      </w:r>
      <w:r w:rsidRPr="00AA3E50">
        <w:rPr>
          <w:rFonts w:ascii="Times New Roman" w:hAnsi="Times New Roman" w:cs="Times New Roman"/>
          <w:b/>
          <w:sz w:val="24"/>
          <w:szCs w:val="24"/>
        </w:rPr>
        <w:t xml:space="preserve">): </w:t>
      </w:r>
      <w:r w:rsidRPr="00AA3E50">
        <w:rPr>
          <w:rFonts w:ascii="Times New Roman" w:hAnsi="Times New Roman" w:cs="Times New Roman"/>
          <w:sz w:val="24"/>
          <w:szCs w:val="24"/>
        </w:rPr>
        <w:t>- Përmbajta e nitriteve NO</w:t>
      </w:r>
      <w:r w:rsidRPr="00AA3E50">
        <w:rPr>
          <w:rFonts w:ascii="Times New Roman" w:hAnsi="Times New Roman" w:cs="Times New Roman"/>
          <w:sz w:val="24"/>
          <w:szCs w:val="24"/>
          <w:vertAlign w:val="subscript"/>
        </w:rPr>
        <w:t xml:space="preserve">2 </w:t>
      </w:r>
      <w:r w:rsidRPr="00AA3E50">
        <w:rPr>
          <w:rFonts w:ascii="Times New Roman" w:hAnsi="Times New Roman" w:cs="Times New Roman"/>
          <w:sz w:val="24"/>
          <w:szCs w:val="24"/>
        </w:rPr>
        <w:t>në dy fazat e monitorimit për vitin 2025 është e ulët vlerat në të gjithë shpimet janë më të vogla se 0.01- 0.02 mg/l. Vërejmë se niveli i ndotjes nga NO</w:t>
      </w:r>
      <w:r w:rsidRPr="00AA3E50">
        <w:rPr>
          <w:rFonts w:ascii="Times New Roman" w:hAnsi="Times New Roman" w:cs="Times New Roman"/>
          <w:sz w:val="24"/>
          <w:szCs w:val="24"/>
          <w:vertAlign w:val="subscript"/>
        </w:rPr>
        <w:t xml:space="preserve">2 </w:t>
      </w:r>
      <w:r w:rsidRPr="00AA3E50">
        <w:rPr>
          <w:rFonts w:ascii="Times New Roman" w:hAnsi="Times New Roman" w:cs="Times New Roman"/>
          <w:sz w:val="24"/>
          <w:szCs w:val="24"/>
        </w:rPr>
        <w:t xml:space="preserve">për të gjitha stacionet e monitorimit është brenda normave të lejuara me përjashtim të shpimin 502 Patok mbi standartin e lejuar. </w:t>
      </w:r>
    </w:p>
    <w:p w:rsidR="00903995" w:rsidRPr="00AA3E50" w:rsidRDefault="00903995" w:rsidP="00903995">
      <w:pPr>
        <w:spacing w:after="0" w:line="240" w:lineRule="auto"/>
        <w:jc w:val="both"/>
        <w:rPr>
          <w:rFonts w:ascii="Times New Roman" w:hAnsi="Times New Roman" w:cs="Times New Roman"/>
          <w:sz w:val="24"/>
          <w:szCs w:val="24"/>
        </w:rPr>
      </w:pPr>
    </w:p>
    <w:p w:rsidR="00AA3E50" w:rsidRDefault="00AA3E50" w:rsidP="00903995">
      <w:pPr>
        <w:spacing w:after="0" w:line="240" w:lineRule="auto"/>
        <w:ind w:right="58"/>
        <w:jc w:val="both"/>
        <w:rPr>
          <w:rFonts w:ascii="Times New Roman" w:hAnsi="Times New Roman" w:cs="Times New Roman"/>
          <w:sz w:val="24"/>
          <w:szCs w:val="24"/>
        </w:rPr>
      </w:pPr>
      <w:r w:rsidRPr="00AA3E50">
        <w:rPr>
          <w:rFonts w:ascii="Times New Roman" w:hAnsi="Times New Roman" w:cs="Times New Roman"/>
          <w:b/>
          <w:sz w:val="24"/>
          <w:szCs w:val="24"/>
        </w:rPr>
        <w:lastRenderedPageBreak/>
        <w:t xml:space="preserve">Përmbajtja e Na- </w:t>
      </w:r>
      <w:r w:rsidRPr="00AA3E50">
        <w:rPr>
          <w:rFonts w:ascii="Times New Roman" w:hAnsi="Times New Roman" w:cs="Times New Roman"/>
          <w:sz w:val="24"/>
          <w:szCs w:val="24"/>
        </w:rPr>
        <w:t>Përmbajta e Na</w:t>
      </w:r>
      <w:r w:rsidRPr="00AA3E50">
        <w:rPr>
          <w:rFonts w:ascii="Times New Roman" w:hAnsi="Times New Roman" w:cs="Times New Roman"/>
          <w:sz w:val="24"/>
          <w:szCs w:val="24"/>
          <w:vertAlign w:val="subscript"/>
        </w:rPr>
        <w:t xml:space="preserve"> </w:t>
      </w:r>
      <w:r w:rsidRPr="00AA3E50">
        <w:rPr>
          <w:rFonts w:ascii="Times New Roman" w:hAnsi="Times New Roman" w:cs="Times New Roman"/>
          <w:sz w:val="24"/>
          <w:szCs w:val="24"/>
        </w:rPr>
        <w:t xml:space="preserve">në dy fazat e monitorimit për vitin 2025 varion nga 5.42 – 294 mg/l. Vihet re se përmbajtja e Na në shpimin 177 Patok është mbi normën e lejuar. Përmbajta e lartë Na lidhet direkt me intruzionin e ujit të detit. </w:t>
      </w:r>
    </w:p>
    <w:p w:rsidR="00903995" w:rsidRPr="00AA3E50" w:rsidRDefault="00903995" w:rsidP="00903995">
      <w:pPr>
        <w:spacing w:after="0" w:line="240" w:lineRule="auto"/>
        <w:ind w:right="58"/>
        <w:jc w:val="both"/>
        <w:rPr>
          <w:rFonts w:ascii="Times New Roman" w:hAnsi="Times New Roman" w:cs="Times New Roman"/>
          <w:sz w:val="24"/>
          <w:szCs w:val="24"/>
        </w:rPr>
      </w:pPr>
    </w:p>
    <w:p w:rsidR="00AA3E50" w:rsidRPr="00AA3E50" w:rsidRDefault="00AA3E50" w:rsidP="00903995">
      <w:pPr>
        <w:spacing w:after="0" w:line="240" w:lineRule="auto"/>
        <w:ind w:right="58"/>
        <w:jc w:val="both"/>
        <w:rPr>
          <w:rFonts w:ascii="Times New Roman" w:hAnsi="Times New Roman" w:cs="Times New Roman"/>
          <w:sz w:val="24"/>
          <w:szCs w:val="24"/>
        </w:rPr>
      </w:pPr>
      <w:r w:rsidRPr="00AA3E50">
        <w:rPr>
          <w:rFonts w:ascii="Times New Roman" w:hAnsi="Times New Roman" w:cs="Times New Roman"/>
          <w:b/>
          <w:sz w:val="24"/>
          <w:szCs w:val="24"/>
        </w:rPr>
        <w:t xml:space="preserve">Përmbajtja e Klorit- </w:t>
      </w:r>
      <w:r w:rsidRPr="00AA3E50">
        <w:rPr>
          <w:rFonts w:ascii="Times New Roman" w:hAnsi="Times New Roman" w:cs="Times New Roman"/>
          <w:sz w:val="24"/>
          <w:szCs w:val="24"/>
        </w:rPr>
        <w:t>Përmbajta e Cl</w:t>
      </w:r>
      <w:r w:rsidRPr="00AA3E50">
        <w:rPr>
          <w:rFonts w:ascii="Times New Roman" w:hAnsi="Times New Roman" w:cs="Times New Roman"/>
          <w:sz w:val="24"/>
          <w:szCs w:val="24"/>
          <w:vertAlign w:val="subscript"/>
        </w:rPr>
        <w:t xml:space="preserve"> </w:t>
      </w:r>
      <w:r w:rsidRPr="00AA3E50">
        <w:rPr>
          <w:rFonts w:ascii="Times New Roman" w:hAnsi="Times New Roman" w:cs="Times New Roman"/>
          <w:sz w:val="24"/>
          <w:szCs w:val="24"/>
        </w:rPr>
        <w:t>në dy fazat e monitorimit për vitin 2025 varion nga 5.32– 456 mg/l. Gjatë monitorimit vlerat e Cl</w:t>
      </w:r>
      <w:r w:rsidRPr="00AA3E50">
        <w:rPr>
          <w:rFonts w:ascii="Times New Roman" w:hAnsi="Times New Roman" w:cs="Times New Roman"/>
          <w:b/>
          <w:sz w:val="24"/>
          <w:szCs w:val="24"/>
        </w:rPr>
        <w:t xml:space="preserve"> </w:t>
      </w:r>
      <w:r w:rsidRPr="00AA3E50">
        <w:rPr>
          <w:rFonts w:ascii="Times New Roman" w:hAnsi="Times New Roman" w:cs="Times New Roman"/>
          <w:sz w:val="24"/>
          <w:szCs w:val="24"/>
        </w:rPr>
        <w:t>në akuiferin e F. Kuqes janë brenda normës. Përjashtim bëjmë vetëm shpimet e Patokut ku vlerat jan</w:t>
      </w:r>
      <w:r w:rsidR="00FA4D94">
        <w:rPr>
          <w:rFonts w:ascii="Times New Roman" w:hAnsi="Times New Roman" w:cs="Times New Roman"/>
          <w:sz w:val="24"/>
          <w:szCs w:val="24"/>
        </w:rPr>
        <w:t>ë mbi normën e lejuar. Vlerat t</w:t>
      </w:r>
      <w:r w:rsidR="00FA4D94" w:rsidRPr="000F37C2">
        <w:rPr>
          <w:rFonts w:ascii="Times New Roman" w:hAnsi="Times New Roman" w:cs="Times New Roman"/>
          <w:sz w:val="24"/>
          <w:szCs w:val="24"/>
          <w:lang w:val="sq-AL"/>
        </w:rPr>
        <w:t>ë</w:t>
      </w:r>
      <w:r w:rsidRPr="00AA3E50">
        <w:rPr>
          <w:rFonts w:ascii="Times New Roman" w:hAnsi="Times New Roman" w:cs="Times New Roman"/>
          <w:sz w:val="24"/>
          <w:szCs w:val="24"/>
        </w:rPr>
        <w:t xml:space="preserve"> Cl dhe Na janë të larta sepse këto janë pikat më ekstremale në drejtim të perëndimit dhe në breg të detit Adriatik. </w:t>
      </w:r>
    </w:p>
    <w:p w:rsidR="00AA3E50" w:rsidRPr="00AA3E50" w:rsidRDefault="00AA3E50" w:rsidP="00AA3E50">
      <w:pPr>
        <w:keepNext/>
        <w:spacing w:before="120" w:after="120" w:line="276" w:lineRule="auto"/>
        <w:jc w:val="both"/>
        <w:outlineLvl w:val="1"/>
        <w:rPr>
          <w:rFonts w:ascii="Times New Roman" w:eastAsia="Times New Roman" w:hAnsi="Times New Roman" w:cs="Times New Roman"/>
          <w:b/>
          <w:bCs/>
          <w:iCs/>
          <w:sz w:val="24"/>
          <w:szCs w:val="28"/>
        </w:rPr>
      </w:pPr>
      <w:bookmarkStart w:id="29" w:name="_Toc223000356"/>
      <w:r w:rsidRPr="00AA3E50">
        <w:rPr>
          <w:rFonts w:ascii="Times New Roman" w:eastAsia="Times New Roman" w:hAnsi="Times New Roman" w:cs="Times New Roman"/>
          <w:b/>
          <w:bCs/>
          <w:iCs/>
          <w:sz w:val="24"/>
          <w:szCs w:val="28"/>
        </w:rPr>
        <w:t>Rekomandime për basenin e Matit:</w:t>
      </w:r>
      <w:bookmarkEnd w:id="29"/>
    </w:p>
    <w:p w:rsidR="00AA3E50" w:rsidRPr="00AA3E50" w:rsidRDefault="00AA3E50" w:rsidP="00807975">
      <w:pPr>
        <w:numPr>
          <w:ilvl w:val="0"/>
          <w:numId w:val="59"/>
        </w:numPr>
        <w:spacing w:after="29" w:line="247" w:lineRule="auto"/>
        <w:ind w:right="51"/>
        <w:jc w:val="both"/>
        <w:rPr>
          <w:rFonts w:ascii="Times New Roman" w:hAnsi="Times New Roman" w:cs="Times New Roman"/>
          <w:sz w:val="24"/>
        </w:rPr>
      </w:pPr>
      <w:r w:rsidRPr="00AA3E50">
        <w:rPr>
          <w:rFonts w:ascii="Times New Roman" w:hAnsi="Times New Roman" w:cs="Times New Roman"/>
          <w:sz w:val="24"/>
        </w:rPr>
        <w:t xml:space="preserve">Të vazhdojë monitorimi i ujërave nëntokësore të akuiferit kuaternar Lezhë, Fushë-Kuqe në tërësi në sektorët me ujëra të freskëta dhe në ato me mineralizim të lartë në mënyrë që të jepen rekomandime të drejta për sasinë e ujërave si dhe shkaqet e ndotjeve. </w:t>
      </w:r>
    </w:p>
    <w:p w:rsidR="00AA3E50" w:rsidRPr="00AA3E50" w:rsidRDefault="00AA3E50" w:rsidP="00807975">
      <w:pPr>
        <w:numPr>
          <w:ilvl w:val="0"/>
          <w:numId w:val="59"/>
        </w:numPr>
        <w:spacing w:after="29" w:line="247" w:lineRule="auto"/>
        <w:ind w:right="51"/>
        <w:jc w:val="both"/>
        <w:rPr>
          <w:rFonts w:ascii="Times New Roman" w:hAnsi="Times New Roman" w:cs="Times New Roman"/>
          <w:sz w:val="24"/>
        </w:rPr>
      </w:pPr>
      <w:r w:rsidRPr="00AA3E50">
        <w:rPr>
          <w:rFonts w:ascii="Times New Roman" w:hAnsi="Times New Roman" w:cs="Times New Roman"/>
          <w:sz w:val="24"/>
        </w:rPr>
        <w:t xml:space="preserve">Të shtohet numri i shpimeve që shërbejnë vetëm për monitorim dhe të vendosen në to sonda multiparametrike për matje niveli të parametrave fiziko-kimik sidomos në zonën e Barbullojës, Shënkollit, Rrilë e Hoteli i gjuetisë. </w:t>
      </w:r>
    </w:p>
    <w:p w:rsidR="00AA3E50" w:rsidRPr="00AA3E50" w:rsidRDefault="00AA3E50" w:rsidP="00807975">
      <w:pPr>
        <w:numPr>
          <w:ilvl w:val="0"/>
          <w:numId w:val="59"/>
        </w:numPr>
        <w:spacing w:after="29" w:line="247" w:lineRule="auto"/>
        <w:ind w:right="51"/>
        <w:jc w:val="both"/>
        <w:rPr>
          <w:rFonts w:ascii="Times New Roman" w:hAnsi="Times New Roman" w:cs="Times New Roman"/>
          <w:sz w:val="24"/>
        </w:rPr>
      </w:pPr>
      <w:r w:rsidRPr="00AA3E50">
        <w:rPr>
          <w:rFonts w:ascii="Times New Roman" w:hAnsi="Times New Roman" w:cs="Times New Roman"/>
          <w:sz w:val="24"/>
        </w:rPr>
        <w:t xml:space="preserve">Në rast pamundësie për të ulur vlerat e elementëve kimike që janë mbi normën e lejuar në stacionet e pompimit, të studiohen mundësi të reja furnizimi me ujë për këto zona. </w:t>
      </w:r>
    </w:p>
    <w:p w:rsidR="00AA3E50" w:rsidRPr="00AA3E50" w:rsidRDefault="00AA3E50" w:rsidP="00807975">
      <w:pPr>
        <w:numPr>
          <w:ilvl w:val="0"/>
          <w:numId w:val="59"/>
        </w:numPr>
        <w:spacing w:after="29" w:line="247" w:lineRule="auto"/>
        <w:ind w:right="51"/>
        <w:jc w:val="both"/>
        <w:rPr>
          <w:rFonts w:ascii="Times New Roman" w:hAnsi="Times New Roman" w:cs="Times New Roman"/>
          <w:sz w:val="24"/>
        </w:rPr>
      </w:pPr>
      <w:r w:rsidRPr="00AA3E50">
        <w:rPr>
          <w:rFonts w:ascii="Times New Roman" w:hAnsi="Times New Roman" w:cs="Times New Roman"/>
          <w:sz w:val="24"/>
        </w:rPr>
        <w:t xml:space="preserve">Marrja e sasive të mëdha të ujit (mbi ato që merren aktualisht) nuk duhet të bëhet pa miratimin e specialistëve (të SH.GJ.SH) sepse do të aktivizonte rrymat e mineralizuara dhe mund të kishim një prishje të cilësisë së ujërave që aktualisht janë të pijshëm. </w:t>
      </w:r>
    </w:p>
    <w:p w:rsidR="00AA3E50" w:rsidRPr="00AA3E50" w:rsidRDefault="00AA3E50" w:rsidP="00807975">
      <w:pPr>
        <w:numPr>
          <w:ilvl w:val="0"/>
          <w:numId w:val="59"/>
        </w:numPr>
        <w:spacing w:after="29" w:line="247" w:lineRule="auto"/>
        <w:ind w:right="51"/>
        <w:jc w:val="both"/>
        <w:rPr>
          <w:rFonts w:ascii="Times New Roman" w:hAnsi="Times New Roman" w:cs="Times New Roman"/>
          <w:sz w:val="24"/>
        </w:rPr>
      </w:pPr>
      <w:r w:rsidRPr="00AA3E50">
        <w:rPr>
          <w:rFonts w:ascii="Times New Roman" w:hAnsi="Times New Roman" w:cs="Times New Roman"/>
          <w:sz w:val="24"/>
        </w:rPr>
        <w:t xml:space="preserve">Monitorimi i cilësisë së UN rekomandohet të kryhet minimalisht për dy periudha kohore: ujëshumtë dhe ujëpaktë për akuiferët karbonatikë dhe ranorë. Akuiferi i ujëmbajtës i zhavoreve të Kuaternarit të monitorohet me frekuencë 4 herë në vit, pra në çdo stinë. </w:t>
      </w:r>
    </w:p>
    <w:p w:rsidR="00AA3E50" w:rsidRPr="00AA3E50" w:rsidRDefault="00AA3E50" w:rsidP="00807975">
      <w:pPr>
        <w:numPr>
          <w:ilvl w:val="0"/>
          <w:numId w:val="59"/>
        </w:numPr>
        <w:spacing w:after="29" w:line="247" w:lineRule="auto"/>
        <w:ind w:right="51"/>
        <w:jc w:val="both"/>
        <w:rPr>
          <w:rFonts w:ascii="Times New Roman" w:hAnsi="Times New Roman" w:cs="Times New Roman"/>
          <w:sz w:val="24"/>
        </w:rPr>
      </w:pPr>
      <w:r w:rsidRPr="00AA3E50">
        <w:rPr>
          <w:rFonts w:ascii="Times New Roman" w:hAnsi="Times New Roman" w:cs="Times New Roman"/>
          <w:sz w:val="24"/>
        </w:rPr>
        <w:t xml:space="preserve">Të vlerësohen përmbajtja e elementëve mbi normë si Na, Cl. </w:t>
      </w:r>
    </w:p>
    <w:p w:rsidR="00AA3E50" w:rsidRPr="00AA3E50" w:rsidRDefault="00AA3E50" w:rsidP="00807975">
      <w:pPr>
        <w:numPr>
          <w:ilvl w:val="0"/>
          <w:numId w:val="59"/>
        </w:numPr>
        <w:spacing w:after="29" w:line="247" w:lineRule="auto"/>
        <w:ind w:right="51"/>
        <w:jc w:val="both"/>
        <w:rPr>
          <w:rFonts w:ascii="Times New Roman" w:hAnsi="Times New Roman" w:cs="Times New Roman"/>
          <w:sz w:val="24"/>
        </w:rPr>
      </w:pPr>
      <w:r w:rsidRPr="00AA3E50">
        <w:rPr>
          <w:rFonts w:ascii="Times New Roman" w:hAnsi="Times New Roman" w:cs="Times New Roman"/>
          <w:sz w:val="24"/>
        </w:rPr>
        <w:t xml:space="preserve">Të plotësohet rrjeti i monitorimit me shpime e burime si dhe me kryerjen e shpimeve të reja për monitorim hidrodinamik. </w:t>
      </w:r>
    </w:p>
    <w:p w:rsidR="00AA3E50" w:rsidRPr="00AA3E50" w:rsidRDefault="00AA3E50" w:rsidP="00807975">
      <w:pPr>
        <w:numPr>
          <w:ilvl w:val="0"/>
          <w:numId w:val="59"/>
        </w:numPr>
        <w:spacing w:after="29" w:line="247" w:lineRule="auto"/>
        <w:ind w:right="51"/>
        <w:jc w:val="both"/>
        <w:rPr>
          <w:rFonts w:ascii="Times New Roman" w:hAnsi="Times New Roman" w:cs="Times New Roman"/>
          <w:sz w:val="24"/>
        </w:rPr>
      </w:pPr>
      <w:r w:rsidRPr="00AA3E50">
        <w:rPr>
          <w:rFonts w:ascii="Times New Roman" w:hAnsi="Times New Roman" w:cs="Times New Roman"/>
          <w:sz w:val="24"/>
        </w:rPr>
        <w:t xml:space="preserve">Zbatimin e zonave të rreptësisë dhe mbrojtjes sanitare rreth shpimeve të shfrytëzimit dhe burimeve për mbrojtjen e UN nga ndotjet sipërfaqësore. </w:t>
      </w:r>
    </w:p>
    <w:p w:rsidR="00AA3E50" w:rsidRPr="00AA3E50" w:rsidRDefault="00AA3E50" w:rsidP="00807975">
      <w:pPr>
        <w:numPr>
          <w:ilvl w:val="0"/>
          <w:numId w:val="59"/>
        </w:numPr>
        <w:spacing w:after="29" w:line="247" w:lineRule="auto"/>
        <w:ind w:right="51"/>
        <w:jc w:val="both"/>
        <w:rPr>
          <w:rFonts w:ascii="Times New Roman" w:hAnsi="Times New Roman" w:cs="Times New Roman"/>
          <w:sz w:val="24"/>
        </w:rPr>
      </w:pPr>
      <w:r w:rsidRPr="00AA3E50">
        <w:rPr>
          <w:rFonts w:ascii="Times New Roman" w:hAnsi="Times New Roman" w:cs="Times New Roman"/>
          <w:sz w:val="24"/>
        </w:rPr>
        <w:t xml:space="preserve">Ndalimin e shfrytëzimit të zhavoreve në shtretërit e lumenjëve (sidomos në Lumin e Matit), për mbrojtjen e shpimeve të shfrytëzimit në taracat lumore, për ruajtjen e ekulibrave hidrodinamikë dhe hidrokimikë të ushqimit të akuferëve ujëmbajtëse. </w:t>
      </w:r>
    </w:p>
    <w:p w:rsidR="00AA3E50" w:rsidRPr="0031065A" w:rsidRDefault="00AA3E50" w:rsidP="00AA3E50">
      <w:pPr>
        <w:spacing w:after="200" w:line="276" w:lineRule="auto"/>
        <w:jc w:val="both"/>
        <w:rPr>
          <w:rFonts w:ascii="Times New Roman" w:hAnsi="Times New Roman" w:cs="Times New Roman"/>
          <w:sz w:val="24"/>
          <w:szCs w:val="24"/>
          <w:lang w:val="sq-AL"/>
        </w:rPr>
      </w:pPr>
    </w:p>
    <w:p w:rsidR="00B86071" w:rsidRPr="00B86071" w:rsidRDefault="00B86071" w:rsidP="00B86071">
      <w:pPr>
        <w:pStyle w:val="Heading1"/>
        <w:keepLines w:val="0"/>
        <w:spacing w:before="120" w:after="60"/>
        <w:rPr>
          <w:rFonts w:ascii="Times New Roman" w:eastAsia="Times New Roman" w:hAnsi="Times New Roman" w:cs="Times New Roman"/>
          <w:b/>
          <w:bCs/>
          <w:i/>
          <w:color w:val="auto"/>
          <w:kern w:val="32"/>
          <w:sz w:val="24"/>
          <w:szCs w:val="24"/>
        </w:rPr>
      </w:pPr>
      <w:r w:rsidRPr="000F37C2">
        <w:rPr>
          <w:rFonts w:ascii="Times New Roman" w:eastAsiaTheme="minorEastAsia" w:hAnsi="Times New Roman" w:cs="Times New Roman"/>
          <w:b/>
          <w:color w:val="auto"/>
          <w:sz w:val="24"/>
          <w:szCs w:val="24"/>
        </w:rPr>
        <w:t>4.2.3</w:t>
      </w:r>
      <w:r w:rsidRPr="000F37C2">
        <w:rPr>
          <w:rFonts w:ascii="Times New Roman" w:eastAsiaTheme="minorEastAsia" w:hAnsi="Times New Roman" w:cs="Times New Roman"/>
          <w:color w:val="auto"/>
          <w:sz w:val="24"/>
          <w:szCs w:val="24"/>
        </w:rPr>
        <w:t xml:space="preserve"> </w:t>
      </w:r>
      <w:bookmarkStart w:id="30" w:name="_Toc223000357"/>
      <w:r>
        <w:rPr>
          <w:rFonts w:ascii="Times New Roman" w:eastAsia="Times New Roman" w:hAnsi="Times New Roman" w:cs="Times New Roman"/>
          <w:b/>
          <w:bCs/>
          <w:color w:val="auto"/>
          <w:kern w:val="32"/>
          <w:sz w:val="24"/>
          <w:szCs w:val="24"/>
        </w:rPr>
        <w:t>B</w:t>
      </w:r>
      <w:r w:rsidRPr="00B86071">
        <w:rPr>
          <w:rFonts w:ascii="Times New Roman" w:eastAsia="Times New Roman" w:hAnsi="Times New Roman" w:cs="Times New Roman"/>
          <w:b/>
          <w:bCs/>
          <w:color w:val="auto"/>
          <w:kern w:val="32"/>
          <w:sz w:val="24"/>
          <w:szCs w:val="24"/>
        </w:rPr>
        <w:t>aseni  Erzen-Ishëm</w:t>
      </w:r>
      <w:bookmarkEnd w:id="30"/>
    </w:p>
    <w:p w:rsidR="00B86071" w:rsidRDefault="00B86071" w:rsidP="00B86071">
      <w:pPr>
        <w:spacing w:after="0" w:line="276" w:lineRule="auto"/>
        <w:jc w:val="both"/>
        <w:rPr>
          <w:rFonts w:ascii="Times New Roman" w:hAnsi="Times New Roman" w:cs="Times New Roman"/>
          <w:bCs/>
          <w:iCs/>
          <w:sz w:val="24"/>
          <w:szCs w:val="24"/>
          <w:lang w:val="sq-AL"/>
        </w:rPr>
      </w:pPr>
    </w:p>
    <w:p w:rsidR="00B86071" w:rsidRPr="00B86071" w:rsidRDefault="00B86071" w:rsidP="00B86071">
      <w:pPr>
        <w:spacing w:after="0" w:line="276" w:lineRule="auto"/>
        <w:jc w:val="both"/>
        <w:rPr>
          <w:rFonts w:ascii="Times New Roman" w:hAnsi="Times New Roman" w:cs="Times New Roman"/>
          <w:bCs/>
          <w:iCs/>
          <w:sz w:val="24"/>
          <w:szCs w:val="24"/>
          <w:lang w:val="sq-AL"/>
        </w:rPr>
      </w:pPr>
      <w:r w:rsidRPr="00B86071">
        <w:rPr>
          <w:rFonts w:ascii="Times New Roman" w:hAnsi="Times New Roman" w:cs="Times New Roman"/>
          <w:bCs/>
          <w:iCs/>
          <w:sz w:val="24"/>
          <w:szCs w:val="24"/>
          <w:lang w:val="sq-AL"/>
        </w:rPr>
        <w:t>Në basenin Erzen – Ishëm shfrytëzohen këto rezerva të UN:</w:t>
      </w:r>
    </w:p>
    <w:p w:rsidR="00B86071" w:rsidRPr="00B86071" w:rsidRDefault="00B86071" w:rsidP="00B86071">
      <w:pPr>
        <w:spacing w:after="0" w:line="276" w:lineRule="auto"/>
        <w:jc w:val="both"/>
        <w:rPr>
          <w:rFonts w:ascii="Times New Roman" w:hAnsi="Times New Roman" w:cs="Times New Roman"/>
          <w:bCs/>
          <w:iCs/>
          <w:sz w:val="24"/>
          <w:szCs w:val="24"/>
          <w:lang w:val="sq-AL"/>
        </w:rPr>
      </w:pPr>
      <w:r w:rsidRPr="00B86071">
        <w:rPr>
          <w:rFonts w:ascii="Times New Roman" w:hAnsi="Times New Roman" w:cs="Times New Roman"/>
          <w:bCs/>
          <w:iCs/>
          <w:sz w:val="24"/>
          <w:szCs w:val="24"/>
          <w:lang w:val="sq-AL"/>
        </w:rPr>
        <w:t xml:space="preserve">       a - Në akuiferin Kuaternar (poroz): </w:t>
      </w:r>
    </w:p>
    <w:p w:rsidR="00B86071" w:rsidRPr="00B86071" w:rsidRDefault="00B86071" w:rsidP="00B86071">
      <w:pPr>
        <w:spacing w:after="0" w:line="276" w:lineRule="auto"/>
        <w:jc w:val="both"/>
        <w:rPr>
          <w:rFonts w:ascii="Times New Roman" w:hAnsi="Times New Roman" w:cs="Times New Roman"/>
          <w:bCs/>
          <w:iCs/>
          <w:sz w:val="24"/>
          <w:szCs w:val="24"/>
          <w:lang w:val="sq-AL"/>
        </w:rPr>
      </w:pPr>
      <w:r w:rsidRPr="00B86071">
        <w:rPr>
          <w:rFonts w:ascii="Times New Roman" w:hAnsi="Times New Roman" w:cs="Times New Roman"/>
          <w:bCs/>
          <w:iCs/>
          <w:sz w:val="24"/>
          <w:szCs w:val="24"/>
          <w:lang w:val="sq-AL"/>
        </w:rPr>
        <w:t>Sasia e përgjithshme e ujit që shfrytëzohet varion Q = 1620 – 2500 l/sek</w:t>
      </w:r>
    </w:p>
    <w:p w:rsidR="00B86071" w:rsidRPr="00B86071" w:rsidRDefault="00B86071" w:rsidP="00B86071">
      <w:pPr>
        <w:spacing w:after="0" w:line="276" w:lineRule="auto"/>
        <w:jc w:val="both"/>
        <w:rPr>
          <w:rFonts w:ascii="Times New Roman" w:hAnsi="Times New Roman" w:cs="Times New Roman"/>
          <w:bCs/>
          <w:iCs/>
          <w:sz w:val="24"/>
          <w:szCs w:val="24"/>
          <w:lang w:val="sq-AL"/>
        </w:rPr>
      </w:pPr>
      <w:r w:rsidRPr="00B86071">
        <w:rPr>
          <w:rFonts w:ascii="Times New Roman" w:hAnsi="Times New Roman" w:cs="Times New Roman"/>
          <w:bCs/>
          <w:iCs/>
          <w:sz w:val="24"/>
          <w:szCs w:val="24"/>
          <w:lang w:val="sq-AL"/>
        </w:rPr>
        <w:t>Koefiçenti vjetor i shfrytëzimit varion K= 0.85 – 0.95</w:t>
      </w:r>
    </w:p>
    <w:p w:rsidR="00B86071" w:rsidRPr="00B86071" w:rsidRDefault="00B86071" w:rsidP="00B86071">
      <w:pPr>
        <w:spacing w:after="0" w:line="276" w:lineRule="auto"/>
        <w:jc w:val="both"/>
        <w:rPr>
          <w:rFonts w:ascii="Times New Roman" w:hAnsi="Times New Roman" w:cs="Times New Roman"/>
          <w:bCs/>
          <w:iCs/>
          <w:sz w:val="24"/>
          <w:szCs w:val="24"/>
          <w:lang w:val="sq-AL"/>
        </w:rPr>
      </w:pPr>
      <w:r w:rsidRPr="00B86071">
        <w:rPr>
          <w:rFonts w:ascii="Times New Roman" w:hAnsi="Times New Roman" w:cs="Times New Roman"/>
          <w:bCs/>
          <w:iCs/>
          <w:sz w:val="24"/>
          <w:szCs w:val="24"/>
          <w:lang w:val="sq-AL"/>
        </w:rPr>
        <w:t xml:space="preserve">       b - Në akuiferin karbonatik: </w:t>
      </w:r>
    </w:p>
    <w:p w:rsidR="00B86071" w:rsidRPr="00B86071" w:rsidRDefault="00B86071" w:rsidP="00B86071">
      <w:pPr>
        <w:spacing w:after="0" w:line="276" w:lineRule="auto"/>
        <w:jc w:val="both"/>
        <w:rPr>
          <w:rFonts w:ascii="Times New Roman" w:hAnsi="Times New Roman" w:cs="Times New Roman"/>
          <w:bCs/>
          <w:iCs/>
          <w:sz w:val="24"/>
          <w:szCs w:val="24"/>
          <w:lang w:val="sq-AL"/>
        </w:rPr>
      </w:pPr>
      <w:r w:rsidRPr="00B86071">
        <w:rPr>
          <w:rFonts w:ascii="Times New Roman" w:hAnsi="Times New Roman" w:cs="Times New Roman"/>
          <w:bCs/>
          <w:iCs/>
          <w:sz w:val="24"/>
          <w:szCs w:val="24"/>
          <w:lang w:val="sq-AL"/>
        </w:rPr>
        <w:t>Sasia e rezervave që shfrytëzohen për ujë të pijshëm arrin në Q = 800 – 1000 l/sek.</w:t>
      </w:r>
    </w:p>
    <w:p w:rsidR="00B86071" w:rsidRPr="00B86071" w:rsidRDefault="00B86071" w:rsidP="00B86071">
      <w:pPr>
        <w:spacing w:after="0" w:line="276" w:lineRule="auto"/>
        <w:jc w:val="both"/>
        <w:rPr>
          <w:rFonts w:ascii="Times New Roman" w:hAnsi="Times New Roman" w:cs="Times New Roman"/>
          <w:bCs/>
          <w:iCs/>
          <w:sz w:val="24"/>
          <w:szCs w:val="24"/>
          <w:lang w:val="sq-AL"/>
        </w:rPr>
      </w:pPr>
      <w:r w:rsidRPr="00B86071">
        <w:rPr>
          <w:rFonts w:ascii="Times New Roman" w:hAnsi="Times New Roman" w:cs="Times New Roman"/>
          <w:bCs/>
          <w:iCs/>
          <w:sz w:val="24"/>
          <w:szCs w:val="24"/>
          <w:lang w:val="sq-AL"/>
        </w:rPr>
        <w:t>Koefiçenti vjetor i shfrytëzimit varion K= 0.45 – 0.6</w:t>
      </w:r>
    </w:p>
    <w:p w:rsidR="00B86071" w:rsidRPr="00B86071" w:rsidRDefault="00B86071" w:rsidP="00B86071">
      <w:pPr>
        <w:spacing w:after="0" w:line="276" w:lineRule="auto"/>
        <w:jc w:val="both"/>
        <w:rPr>
          <w:rFonts w:ascii="Times New Roman" w:hAnsi="Times New Roman" w:cs="Times New Roman"/>
          <w:bCs/>
          <w:iCs/>
          <w:sz w:val="24"/>
          <w:szCs w:val="24"/>
          <w:lang w:val="sq-AL"/>
        </w:rPr>
      </w:pPr>
      <w:r w:rsidRPr="00B86071">
        <w:rPr>
          <w:rFonts w:ascii="Times New Roman" w:hAnsi="Times New Roman" w:cs="Times New Roman"/>
          <w:bCs/>
          <w:iCs/>
          <w:sz w:val="24"/>
          <w:szCs w:val="24"/>
          <w:lang w:val="sq-AL"/>
        </w:rPr>
        <w:lastRenderedPageBreak/>
        <w:t xml:space="preserve">       c  - Në akuiferin ujëmbajtës – formacionet ultrabazike:</w:t>
      </w:r>
    </w:p>
    <w:p w:rsidR="00B86071" w:rsidRPr="00B86071" w:rsidRDefault="00B86071" w:rsidP="00B86071">
      <w:pPr>
        <w:spacing w:after="0" w:line="276" w:lineRule="auto"/>
        <w:jc w:val="both"/>
        <w:rPr>
          <w:rFonts w:ascii="Times New Roman" w:hAnsi="Times New Roman" w:cs="Times New Roman"/>
          <w:bCs/>
          <w:iCs/>
          <w:sz w:val="24"/>
          <w:szCs w:val="24"/>
          <w:lang w:val="sq-AL"/>
        </w:rPr>
      </w:pPr>
      <w:r w:rsidRPr="00B86071">
        <w:rPr>
          <w:rFonts w:ascii="Times New Roman" w:hAnsi="Times New Roman" w:cs="Times New Roman"/>
          <w:bCs/>
          <w:iCs/>
          <w:sz w:val="24"/>
          <w:szCs w:val="24"/>
          <w:lang w:val="sq-AL"/>
        </w:rPr>
        <w:t>Sasia e ujit që shfrytëzohet është: Q = 65 l/sek</w:t>
      </w:r>
    </w:p>
    <w:p w:rsidR="00B86071" w:rsidRPr="00B86071" w:rsidRDefault="00B86071" w:rsidP="00B86071">
      <w:pPr>
        <w:spacing w:after="0" w:line="276" w:lineRule="auto"/>
        <w:jc w:val="both"/>
        <w:rPr>
          <w:rFonts w:ascii="Times New Roman" w:hAnsi="Times New Roman" w:cs="Times New Roman"/>
          <w:bCs/>
          <w:iCs/>
          <w:sz w:val="24"/>
          <w:szCs w:val="24"/>
          <w:lang w:val="sq-AL"/>
        </w:rPr>
      </w:pPr>
      <w:r w:rsidRPr="00B86071">
        <w:rPr>
          <w:rFonts w:ascii="Times New Roman" w:hAnsi="Times New Roman" w:cs="Times New Roman"/>
          <w:bCs/>
          <w:iCs/>
          <w:sz w:val="24"/>
          <w:szCs w:val="24"/>
          <w:lang w:val="sq-AL"/>
        </w:rPr>
        <w:t xml:space="preserve">       d - Në akuiferin ujëmbajtës të ranorëve – konglomerateve.</w:t>
      </w:r>
    </w:p>
    <w:p w:rsidR="00B86071" w:rsidRPr="00B86071" w:rsidRDefault="00B86071" w:rsidP="00B86071">
      <w:pPr>
        <w:spacing w:after="0" w:line="276" w:lineRule="auto"/>
        <w:jc w:val="both"/>
        <w:rPr>
          <w:rFonts w:ascii="Times New Roman" w:hAnsi="Times New Roman" w:cs="Times New Roman"/>
          <w:bCs/>
          <w:iCs/>
          <w:sz w:val="24"/>
          <w:szCs w:val="24"/>
          <w:lang w:val="sq-AL"/>
        </w:rPr>
      </w:pPr>
      <w:r w:rsidRPr="00B86071">
        <w:rPr>
          <w:rFonts w:ascii="Times New Roman" w:hAnsi="Times New Roman" w:cs="Times New Roman"/>
          <w:bCs/>
          <w:iCs/>
          <w:sz w:val="24"/>
          <w:szCs w:val="24"/>
          <w:lang w:val="sq-AL"/>
        </w:rPr>
        <w:t>Sasia e përgjithshme që shfrytëzohet varion Q = 100 – 200 l/sek.</w:t>
      </w:r>
    </w:p>
    <w:p w:rsidR="00B86071" w:rsidRPr="00B86071" w:rsidRDefault="00B86071" w:rsidP="00B86071">
      <w:pPr>
        <w:spacing w:after="200" w:line="276" w:lineRule="auto"/>
        <w:jc w:val="both"/>
        <w:rPr>
          <w:rFonts w:ascii="Times New Roman" w:hAnsi="Times New Roman" w:cs="Times New Roman"/>
          <w:sz w:val="24"/>
          <w:szCs w:val="24"/>
          <w:lang w:val="sq-AL"/>
        </w:rPr>
      </w:pPr>
      <w:r w:rsidRPr="00B86071">
        <w:rPr>
          <w:rFonts w:ascii="Times New Roman" w:hAnsi="Times New Roman" w:cs="Times New Roman"/>
          <w:bCs/>
          <w:iCs/>
          <w:sz w:val="24"/>
          <w:szCs w:val="24"/>
          <w:lang w:val="sq-AL"/>
        </w:rPr>
        <w:t xml:space="preserve">Koefiçenti vjetor i shfrytëzimit të akuiferit varion K= 0.75 – 0.85  </w:t>
      </w:r>
    </w:p>
    <w:p w:rsidR="00B86071" w:rsidRDefault="00B86071" w:rsidP="00B86071">
      <w:pPr>
        <w:spacing w:after="0" w:line="276" w:lineRule="auto"/>
        <w:jc w:val="both"/>
        <w:rPr>
          <w:rFonts w:ascii="Times New Roman" w:hAnsi="Times New Roman" w:cs="Times New Roman"/>
          <w:sz w:val="24"/>
          <w:szCs w:val="24"/>
          <w:lang w:val="sq-AL"/>
        </w:rPr>
      </w:pPr>
      <w:r w:rsidRPr="00B86071">
        <w:rPr>
          <w:rFonts w:ascii="Times New Roman" w:hAnsi="Times New Roman" w:cs="Times New Roman"/>
          <w:b/>
          <w:i/>
          <w:sz w:val="24"/>
          <w:szCs w:val="24"/>
          <w:lang w:val="sq-AL"/>
        </w:rPr>
        <w:t>Ujërat nëntokësore të basenit Erzen – Ishëm</w:t>
      </w:r>
      <w:r w:rsidRPr="00B86071">
        <w:rPr>
          <w:rFonts w:ascii="Times New Roman" w:hAnsi="Times New Roman" w:cs="Times New Roman"/>
          <w:sz w:val="24"/>
          <w:szCs w:val="24"/>
          <w:lang w:val="sq-AL"/>
        </w:rPr>
        <w:t xml:space="preserve"> shfrytëzohen për furnizimin me ujë të qyteteve, fshatrave, industrisë, për vaditje dhe për familje e biznese. Rezervat e shfrytëzimit të grupuara sipas ujësjellësave dhe akuiferëve janë:</w:t>
      </w:r>
    </w:p>
    <w:p w:rsidR="00DA3FBA" w:rsidRPr="00B86071" w:rsidRDefault="00DA3FBA" w:rsidP="00B86071">
      <w:pPr>
        <w:spacing w:after="0" w:line="276" w:lineRule="auto"/>
        <w:jc w:val="both"/>
        <w:rPr>
          <w:rFonts w:ascii="Times New Roman" w:hAnsi="Times New Roman" w:cs="Times New Roman"/>
          <w:sz w:val="24"/>
          <w:szCs w:val="24"/>
          <w:lang w:val="sq-AL"/>
        </w:rPr>
      </w:pPr>
    </w:p>
    <w:p w:rsidR="00B86071" w:rsidRPr="00DA3FBA" w:rsidRDefault="00B86071" w:rsidP="00B86071">
      <w:pPr>
        <w:spacing w:after="0" w:line="276" w:lineRule="auto"/>
        <w:jc w:val="both"/>
        <w:rPr>
          <w:rFonts w:ascii="Times New Roman" w:hAnsi="Times New Roman" w:cs="Times New Roman"/>
          <w:b/>
          <w:sz w:val="24"/>
          <w:szCs w:val="24"/>
          <w:lang w:val="sq-AL"/>
        </w:rPr>
      </w:pPr>
      <w:r w:rsidRPr="00DA3FBA">
        <w:rPr>
          <w:rFonts w:ascii="Times New Roman" w:hAnsi="Times New Roman" w:cs="Times New Roman"/>
          <w:b/>
          <w:sz w:val="24"/>
          <w:szCs w:val="24"/>
          <w:lang w:val="sq-AL"/>
        </w:rPr>
        <w:t>- Akuiferi ujëmbajtës zhavorror Kuaternar Tiranë – Fushë – Krujë:</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Ujësjellësi i Pishinave (Selitë) shfrytëzon katër shpime me Q = 125 – 150 l/sek.</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 xml:space="preserve">Ujësjellësi Unaza e Re (Buka, Pema, K. Shëngjinit, F.Cokollatave) me Q = 100 – 140 l/sek. Vetëm tek Unaza e Re (Buka) shfrytëzohet 1 shpim me prurje Q = 23.1 – 25 l/s. </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Ujësjellësi i Laknasit shfrytëzon 4 shpime me prurje Q = 28.9 – 100 l/sek</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Ujësjellësi i Bërxullit shfrytëzon 6 shpime me prurje Q = 50 – 100 l/sek</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St. Pompave Valias (shpimi 3/97) furnizon fshatin Bërxull – Qendër. Ky stacion ka një shpim me prurje Q = 10 – 13 l/sek.</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Ujësjellësi i Laknasit (për qytetin e Kamzës) shfrytëzohet me prurje Q = 25 – 30 l/sek</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Ujësjellësi i Komunës Kashar shfrytëzohen 4 shpime me prurje Q = 50 – 60 l/sek</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Ujësjellësi i Kamzës (Valias) shfrytëzohen 3 shpime me prurje Q = 100 – 150 l/sek</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Ujësjellësi Ura e Gjolës – Fushë Krujë, shfrytëzohen 8 shpime me prurje Q = 150.4 – 166 l/sek. (Ujësjellës që furnizon Shijakun).</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Ujësjellësi i Fushë – Krujës (shpimi 327) shfrytëzon 4 shpime me Q = 90 – 136 l/sek.</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 xml:space="preserve">Ujësjellësi i fshatit Bubq shfrytëzohet një shpim me Q = 8 – 10 l/sek </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Ujësjellësi i Prezës shfrytëzohet një shpim me Q = 20 l/sek</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Ujësjellësi i Mazhës shfrytëzohen dy shpime me Q = 10 l/sek</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Shpime të Aeroportit Rinas shfrytëzohen shpime me Q = 30 – 50 l/sek</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Ujësjellesi i Vorës shfrytëzohen 2 shpime me Q = 50 – 70 l/sek.</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Ujësjellesi i Fabrikes së Çimentos një shpim i ri me Q = 30 – 40 l/sek.</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 xml:space="preserve">Ujësjellsi i Institutit të Bimëve të Arave Fushë – Krujë (për vaditje) dy shpime Q = 20 l/sek. </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Ujësjellësi i Thumanës shfrytëzohet një shpim me Q = 20 l/sek</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Ujësjellësi i Gramzës shfrytëzohet një shpim me Q = 10 l/sek</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Një numër shpimesh shfrytëzohen nga familje me prurje të përgjithshme Q = 100 l/sek.</w:t>
      </w:r>
    </w:p>
    <w:p w:rsidR="00B86071" w:rsidRP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Ujësjellësi Bërzhite shfrytëzohen Q = 10 l/sek</w:t>
      </w:r>
    </w:p>
    <w:p w:rsidR="00B86071"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Ujësjellësi i Petrelës shfrytëzohet një shpim me prurje Q = 5 l/sek</w:t>
      </w:r>
    </w:p>
    <w:p w:rsidR="00DA3FBA" w:rsidRDefault="00B86071" w:rsidP="00807975">
      <w:pPr>
        <w:numPr>
          <w:ilvl w:val="0"/>
          <w:numId w:val="60"/>
        </w:numPr>
        <w:spacing w:after="0" w:line="240" w:lineRule="auto"/>
        <w:jc w:val="both"/>
        <w:rPr>
          <w:rFonts w:ascii="Times New Roman" w:hAnsi="Times New Roman" w:cs="Times New Roman"/>
          <w:sz w:val="24"/>
          <w:szCs w:val="24"/>
          <w:lang w:val="sq-AL"/>
        </w:rPr>
      </w:pPr>
      <w:r w:rsidRPr="00B86071">
        <w:rPr>
          <w:rFonts w:ascii="Times New Roman" w:eastAsiaTheme="minorEastAsia" w:hAnsi="Times New Roman" w:cs="Times New Roman"/>
          <w:sz w:val="24"/>
          <w:szCs w:val="24"/>
        </w:rPr>
        <w:t>Ujësjellësi i Mulletit shfrytëzohet një shpim me pryrje Q = 10 l/sek</w:t>
      </w:r>
    </w:p>
    <w:p w:rsidR="00DA3FBA" w:rsidRDefault="00B86071" w:rsidP="00807975">
      <w:pPr>
        <w:numPr>
          <w:ilvl w:val="0"/>
          <w:numId w:val="60"/>
        </w:numPr>
        <w:spacing w:after="0" w:line="240" w:lineRule="auto"/>
        <w:jc w:val="both"/>
        <w:rPr>
          <w:rFonts w:ascii="Times New Roman" w:hAnsi="Times New Roman" w:cs="Times New Roman"/>
          <w:sz w:val="24"/>
          <w:szCs w:val="24"/>
          <w:lang w:val="sq-AL"/>
        </w:rPr>
      </w:pPr>
      <w:r w:rsidRPr="00DA3FBA">
        <w:rPr>
          <w:rFonts w:ascii="Times New Roman" w:eastAsiaTheme="minorEastAsia" w:hAnsi="Times New Roman" w:cs="Times New Roman"/>
          <w:sz w:val="24"/>
          <w:szCs w:val="24"/>
        </w:rPr>
        <w:t>Ujësjellësi i Baldushkut shfrytëzohen 2 – 3 shpime me prurje Q = 10 – 12 l/sek</w:t>
      </w:r>
    </w:p>
    <w:p w:rsidR="00DA3FBA" w:rsidRDefault="00B86071" w:rsidP="00807975">
      <w:pPr>
        <w:numPr>
          <w:ilvl w:val="0"/>
          <w:numId w:val="60"/>
        </w:numPr>
        <w:spacing w:after="0" w:line="240" w:lineRule="auto"/>
        <w:jc w:val="both"/>
        <w:rPr>
          <w:rFonts w:ascii="Times New Roman" w:hAnsi="Times New Roman" w:cs="Times New Roman"/>
          <w:sz w:val="24"/>
          <w:szCs w:val="24"/>
          <w:lang w:val="sq-AL"/>
        </w:rPr>
      </w:pPr>
      <w:r w:rsidRPr="00DA3FBA">
        <w:rPr>
          <w:rFonts w:ascii="Times New Roman" w:eastAsiaTheme="minorEastAsia" w:hAnsi="Times New Roman" w:cs="Times New Roman"/>
          <w:sz w:val="24"/>
          <w:szCs w:val="24"/>
        </w:rPr>
        <w:t>Ujësjellësi i Bulticë – Arbanë shfrytëzohet një shpim me prurje Q = 5 l/sek</w:t>
      </w:r>
    </w:p>
    <w:p w:rsidR="00DA3FBA" w:rsidRDefault="00B86071" w:rsidP="00807975">
      <w:pPr>
        <w:numPr>
          <w:ilvl w:val="0"/>
          <w:numId w:val="60"/>
        </w:numPr>
        <w:spacing w:after="0" w:line="240" w:lineRule="auto"/>
        <w:jc w:val="both"/>
        <w:rPr>
          <w:rFonts w:ascii="Times New Roman" w:hAnsi="Times New Roman" w:cs="Times New Roman"/>
          <w:sz w:val="24"/>
          <w:szCs w:val="24"/>
          <w:lang w:val="sq-AL"/>
        </w:rPr>
      </w:pPr>
      <w:r w:rsidRPr="00DA3FBA">
        <w:rPr>
          <w:rFonts w:ascii="Times New Roman" w:eastAsiaTheme="minorEastAsia" w:hAnsi="Times New Roman" w:cs="Times New Roman"/>
          <w:sz w:val="24"/>
          <w:szCs w:val="24"/>
        </w:rPr>
        <w:t>Ujësjellësi i Vaqarit shfrytëzohet një shpim me prurje Q = 8 – 10 l/sek</w:t>
      </w:r>
    </w:p>
    <w:p w:rsidR="00DA3FBA" w:rsidRDefault="00B86071" w:rsidP="00807975">
      <w:pPr>
        <w:numPr>
          <w:ilvl w:val="0"/>
          <w:numId w:val="60"/>
        </w:numPr>
        <w:spacing w:after="0" w:line="240" w:lineRule="auto"/>
        <w:jc w:val="both"/>
        <w:rPr>
          <w:rFonts w:ascii="Times New Roman" w:hAnsi="Times New Roman" w:cs="Times New Roman"/>
          <w:sz w:val="24"/>
          <w:szCs w:val="24"/>
          <w:lang w:val="sq-AL"/>
        </w:rPr>
      </w:pPr>
      <w:r w:rsidRPr="00DA3FBA">
        <w:rPr>
          <w:rFonts w:ascii="Times New Roman" w:eastAsiaTheme="minorEastAsia" w:hAnsi="Times New Roman" w:cs="Times New Roman"/>
          <w:sz w:val="24"/>
          <w:szCs w:val="24"/>
        </w:rPr>
        <w:t>Ujësjellësi i Pezës shfrytëzohen 3shpime me prurje Q = 10 – 12 l/sek</w:t>
      </w:r>
    </w:p>
    <w:p w:rsidR="00DA3FBA" w:rsidRDefault="00B86071" w:rsidP="00807975">
      <w:pPr>
        <w:numPr>
          <w:ilvl w:val="0"/>
          <w:numId w:val="60"/>
        </w:numPr>
        <w:spacing w:after="0" w:line="240" w:lineRule="auto"/>
        <w:jc w:val="both"/>
        <w:rPr>
          <w:rFonts w:ascii="Times New Roman" w:hAnsi="Times New Roman" w:cs="Times New Roman"/>
          <w:sz w:val="24"/>
          <w:szCs w:val="24"/>
          <w:lang w:val="sq-AL"/>
        </w:rPr>
      </w:pPr>
      <w:r w:rsidRPr="00DA3FBA">
        <w:rPr>
          <w:rFonts w:ascii="Times New Roman" w:eastAsiaTheme="minorEastAsia" w:hAnsi="Times New Roman" w:cs="Times New Roman"/>
          <w:sz w:val="24"/>
          <w:szCs w:val="24"/>
        </w:rPr>
        <w:t xml:space="preserve">Ujësjellësi i Ndroqit shfrytëzohet një shpim me prurje Q = 8 – 10 l/sek </w:t>
      </w:r>
    </w:p>
    <w:p w:rsidR="00DA3FBA" w:rsidRDefault="00B86071" w:rsidP="00807975">
      <w:pPr>
        <w:numPr>
          <w:ilvl w:val="0"/>
          <w:numId w:val="60"/>
        </w:numPr>
        <w:spacing w:after="0" w:line="240" w:lineRule="auto"/>
        <w:jc w:val="both"/>
        <w:rPr>
          <w:rFonts w:ascii="Times New Roman" w:hAnsi="Times New Roman" w:cs="Times New Roman"/>
          <w:sz w:val="24"/>
          <w:szCs w:val="24"/>
          <w:lang w:val="sq-AL"/>
        </w:rPr>
      </w:pPr>
      <w:r w:rsidRPr="00DA3FBA">
        <w:rPr>
          <w:rFonts w:ascii="Times New Roman" w:eastAsiaTheme="minorEastAsia" w:hAnsi="Times New Roman" w:cs="Times New Roman"/>
          <w:sz w:val="24"/>
          <w:szCs w:val="24"/>
        </w:rPr>
        <w:t>Ujësjellësi i Romanat – Pinet shfrytëzon 2 shpime me prurje Q = 5 – 8 l/sek</w:t>
      </w:r>
    </w:p>
    <w:p w:rsidR="00DA3FBA" w:rsidRDefault="00B86071" w:rsidP="00807975">
      <w:pPr>
        <w:numPr>
          <w:ilvl w:val="0"/>
          <w:numId w:val="60"/>
        </w:numPr>
        <w:spacing w:after="0" w:line="240" w:lineRule="auto"/>
        <w:jc w:val="both"/>
        <w:rPr>
          <w:rFonts w:ascii="Times New Roman" w:hAnsi="Times New Roman" w:cs="Times New Roman"/>
          <w:sz w:val="24"/>
          <w:szCs w:val="24"/>
          <w:lang w:val="sq-AL"/>
        </w:rPr>
      </w:pPr>
      <w:r w:rsidRPr="00DA3FBA">
        <w:rPr>
          <w:rFonts w:ascii="Times New Roman" w:eastAsiaTheme="minorEastAsia" w:hAnsi="Times New Roman" w:cs="Times New Roman"/>
          <w:sz w:val="24"/>
          <w:szCs w:val="24"/>
        </w:rPr>
        <w:t>Disa shpime shfrytëzohen nga subjekte private me prurje Q = 500 – 1000 l/sek</w:t>
      </w:r>
    </w:p>
    <w:p w:rsidR="00DA3FBA" w:rsidRDefault="00B86071" w:rsidP="00807975">
      <w:pPr>
        <w:numPr>
          <w:ilvl w:val="0"/>
          <w:numId w:val="60"/>
        </w:numPr>
        <w:spacing w:after="0" w:line="240" w:lineRule="auto"/>
        <w:jc w:val="both"/>
        <w:rPr>
          <w:rFonts w:ascii="Times New Roman" w:hAnsi="Times New Roman" w:cs="Times New Roman"/>
          <w:sz w:val="24"/>
          <w:szCs w:val="24"/>
          <w:lang w:val="sq-AL"/>
        </w:rPr>
      </w:pPr>
      <w:r w:rsidRPr="00DA3FBA">
        <w:rPr>
          <w:rFonts w:ascii="Times New Roman" w:eastAsiaTheme="minorEastAsia" w:hAnsi="Times New Roman" w:cs="Times New Roman"/>
          <w:sz w:val="24"/>
          <w:szCs w:val="24"/>
        </w:rPr>
        <w:lastRenderedPageBreak/>
        <w:t>Sasia e përgjithshme që shfrytëzohet është Q = 1620 – 2500 l/sek</w:t>
      </w:r>
    </w:p>
    <w:p w:rsidR="00DA3FBA" w:rsidRDefault="00B86071" w:rsidP="00807975">
      <w:pPr>
        <w:numPr>
          <w:ilvl w:val="0"/>
          <w:numId w:val="60"/>
        </w:numPr>
        <w:spacing w:after="0" w:line="240" w:lineRule="auto"/>
        <w:jc w:val="both"/>
        <w:rPr>
          <w:rFonts w:ascii="Times New Roman" w:hAnsi="Times New Roman" w:cs="Times New Roman"/>
          <w:sz w:val="24"/>
          <w:szCs w:val="24"/>
          <w:lang w:val="sq-AL"/>
        </w:rPr>
      </w:pPr>
      <w:r w:rsidRPr="00DA3FBA">
        <w:rPr>
          <w:rFonts w:ascii="Times New Roman" w:eastAsiaTheme="minorEastAsia" w:hAnsi="Times New Roman" w:cs="Times New Roman"/>
          <w:sz w:val="24"/>
          <w:szCs w:val="24"/>
        </w:rPr>
        <w:t>Koefiçenti vjetor i shfrytëzimit varion K = 0.85 – 0.95</w:t>
      </w:r>
    </w:p>
    <w:p w:rsidR="00DA3FBA" w:rsidRDefault="00B86071" w:rsidP="00807975">
      <w:pPr>
        <w:numPr>
          <w:ilvl w:val="0"/>
          <w:numId w:val="60"/>
        </w:numPr>
        <w:spacing w:after="0" w:line="240" w:lineRule="auto"/>
        <w:jc w:val="both"/>
        <w:rPr>
          <w:rFonts w:ascii="Times New Roman" w:hAnsi="Times New Roman" w:cs="Times New Roman"/>
          <w:sz w:val="24"/>
          <w:szCs w:val="24"/>
          <w:lang w:val="sq-AL"/>
        </w:rPr>
      </w:pPr>
      <w:r w:rsidRPr="00DA3FBA">
        <w:rPr>
          <w:rFonts w:ascii="Times New Roman" w:eastAsiaTheme="minorEastAsia" w:hAnsi="Times New Roman" w:cs="Times New Roman"/>
          <w:sz w:val="24"/>
          <w:szCs w:val="24"/>
        </w:rPr>
        <w:t>Sasia e ujit që shfrytëzohet për ujë të pijshëm është Q = 1600 - 1800 l/sek</w:t>
      </w:r>
    </w:p>
    <w:p w:rsidR="00DA3FBA" w:rsidRDefault="00B86071" w:rsidP="00807975">
      <w:pPr>
        <w:numPr>
          <w:ilvl w:val="0"/>
          <w:numId w:val="60"/>
        </w:numPr>
        <w:spacing w:after="0" w:line="240" w:lineRule="auto"/>
        <w:jc w:val="both"/>
        <w:rPr>
          <w:rFonts w:ascii="Times New Roman" w:hAnsi="Times New Roman" w:cs="Times New Roman"/>
          <w:sz w:val="24"/>
          <w:szCs w:val="24"/>
          <w:lang w:val="sq-AL"/>
        </w:rPr>
      </w:pPr>
      <w:r w:rsidRPr="00DA3FBA">
        <w:rPr>
          <w:rFonts w:ascii="Times New Roman" w:eastAsiaTheme="minorEastAsia" w:hAnsi="Times New Roman" w:cs="Times New Roman"/>
          <w:sz w:val="24"/>
          <w:szCs w:val="24"/>
        </w:rPr>
        <w:t>Sasia e ujit që shfrytëzohet për ujë teknologjik është rreth Q = 250 - 500 l/sek</w:t>
      </w:r>
    </w:p>
    <w:p w:rsidR="00B86071" w:rsidRPr="00DA3FBA" w:rsidRDefault="00B86071" w:rsidP="00807975">
      <w:pPr>
        <w:numPr>
          <w:ilvl w:val="0"/>
          <w:numId w:val="60"/>
        </w:numPr>
        <w:spacing w:after="0" w:line="240" w:lineRule="auto"/>
        <w:jc w:val="both"/>
        <w:rPr>
          <w:rFonts w:ascii="Times New Roman" w:hAnsi="Times New Roman" w:cs="Times New Roman"/>
          <w:sz w:val="24"/>
          <w:szCs w:val="24"/>
          <w:lang w:val="sq-AL"/>
        </w:rPr>
      </w:pPr>
      <w:r w:rsidRPr="00DA3FBA">
        <w:rPr>
          <w:rFonts w:ascii="Times New Roman" w:eastAsiaTheme="minorEastAsia" w:hAnsi="Times New Roman" w:cs="Times New Roman"/>
          <w:sz w:val="24"/>
          <w:szCs w:val="24"/>
        </w:rPr>
        <w:t>Sasia e ujit që shfrytëzohet për vaditje është rreth Q = 150 - 300 l/sek</w:t>
      </w:r>
    </w:p>
    <w:p w:rsidR="00DA3FBA" w:rsidRDefault="00DA3FBA" w:rsidP="00DA3FBA">
      <w:pPr>
        <w:spacing w:after="200" w:line="288" w:lineRule="auto"/>
        <w:rPr>
          <w:rFonts w:ascii="Times New Roman" w:eastAsiaTheme="minorEastAsia" w:hAnsi="Times New Roman" w:cs="Times New Roman"/>
          <w:b/>
          <w:sz w:val="24"/>
          <w:szCs w:val="24"/>
        </w:rPr>
      </w:pPr>
    </w:p>
    <w:p w:rsidR="00B86071" w:rsidRPr="00DA3FBA" w:rsidRDefault="00B86071" w:rsidP="00DA3FBA">
      <w:pPr>
        <w:spacing w:after="200" w:line="288" w:lineRule="auto"/>
        <w:rPr>
          <w:rFonts w:ascii="Times New Roman" w:eastAsiaTheme="minorEastAsia" w:hAnsi="Times New Roman" w:cs="Times New Roman"/>
          <w:b/>
          <w:sz w:val="24"/>
          <w:szCs w:val="24"/>
        </w:rPr>
      </w:pPr>
      <w:r w:rsidRPr="00DA3FBA">
        <w:rPr>
          <w:rFonts w:ascii="Times New Roman" w:eastAsiaTheme="minorEastAsia" w:hAnsi="Times New Roman" w:cs="Times New Roman"/>
          <w:b/>
          <w:sz w:val="24"/>
          <w:szCs w:val="24"/>
        </w:rPr>
        <w:t xml:space="preserve">Akuiferi i karbonatikëve – gëlqerorëve: </w:t>
      </w:r>
    </w:p>
    <w:p w:rsidR="00B86071" w:rsidRPr="00DA3FBA" w:rsidRDefault="00B86071" w:rsidP="00807975">
      <w:pPr>
        <w:pStyle w:val="ListParagraph"/>
        <w:numPr>
          <w:ilvl w:val="0"/>
          <w:numId w:val="124"/>
        </w:numPr>
        <w:spacing w:after="0" w:line="240" w:lineRule="auto"/>
        <w:rPr>
          <w:rFonts w:ascii="Times New Roman" w:eastAsiaTheme="minorEastAsia" w:hAnsi="Times New Roman" w:cs="Times New Roman"/>
          <w:sz w:val="24"/>
          <w:szCs w:val="24"/>
        </w:rPr>
      </w:pPr>
      <w:r w:rsidRPr="00DA3FBA">
        <w:rPr>
          <w:rFonts w:ascii="Times New Roman" w:eastAsiaTheme="minorEastAsia" w:hAnsi="Times New Roman" w:cs="Times New Roman"/>
          <w:sz w:val="24"/>
          <w:szCs w:val="24"/>
        </w:rPr>
        <w:t>Burimi Selitë Q = 200 – 300 l/sek</w:t>
      </w:r>
    </w:p>
    <w:p w:rsidR="00B86071" w:rsidRPr="00DA3FBA" w:rsidRDefault="00B86071" w:rsidP="00807975">
      <w:pPr>
        <w:pStyle w:val="ListParagraph"/>
        <w:numPr>
          <w:ilvl w:val="0"/>
          <w:numId w:val="124"/>
        </w:numPr>
        <w:spacing w:after="0" w:line="240" w:lineRule="auto"/>
        <w:rPr>
          <w:rFonts w:ascii="Times New Roman" w:eastAsiaTheme="minorEastAsia" w:hAnsi="Times New Roman" w:cs="Times New Roman"/>
          <w:sz w:val="24"/>
          <w:szCs w:val="24"/>
        </w:rPr>
      </w:pPr>
      <w:r w:rsidRPr="00DA3FBA">
        <w:rPr>
          <w:rFonts w:ascii="Times New Roman" w:eastAsiaTheme="minorEastAsia" w:hAnsi="Times New Roman" w:cs="Times New Roman"/>
          <w:sz w:val="24"/>
          <w:szCs w:val="24"/>
        </w:rPr>
        <w:t>Burimi i Shënmërisë Q = 350 l/sek</w:t>
      </w:r>
    </w:p>
    <w:p w:rsidR="00B86071" w:rsidRPr="00DA3FBA" w:rsidRDefault="00B86071" w:rsidP="00807975">
      <w:pPr>
        <w:pStyle w:val="ListParagraph"/>
        <w:numPr>
          <w:ilvl w:val="0"/>
          <w:numId w:val="124"/>
        </w:numPr>
        <w:spacing w:after="0" w:line="240" w:lineRule="auto"/>
        <w:rPr>
          <w:rFonts w:ascii="Times New Roman" w:eastAsiaTheme="minorEastAsia" w:hAnsi="Times New Roman" w:cs="Times New Roman"/>
          <w:sz w:val="24"/>
          <w:szCs w:val="24"/>
        </w:rPr>
      </w:pPr>
      <w:r w:rsidRPr="00DA3FBA">
        <w:rPr>
          <w:rFonts w:ascii="Times New Roman" w:eastAsiaTheme="minorEastAsia" w:hAnsi="Times New Roman" w:cs="Times New Roman"/>
          <w:sz w:val="24"/>
          <w:szCs w:val="24"/>
        </w:rPr>
        <w:t>Burimi i Bovillës Q = 200 l/sek</w:t>
      </w:r>
    </w:p>
    <w:p w:rsidR="00B86071" w:rsidRPr="00DA3FBA" w:rsidRDefault="00B86071" w:rsidP="00807975">
      <w:pPr>
        <w:pStyle w:val="ListParagraph"/>
        <w:numPr>
          <w:ilvl w:val="0"/>
          <w:numId w:val="124"/>
        </w:numPr>
        <w:spacing w:after="0" w:line="240" w:lineRule="auto"/>
        <w:rPr>
          <w:rFonts w:ascii="Times New Roman" w:eastAsiaTheme="minorEastAsia" w:hAnsi="Times New Roman" w:cs="Times New Roman"/>
          <w:sz w:val="24"/>
          <w:szCs w:val="24"/>
        </w:rPr>
      </w:pPr>
      <w:r w:rsidRPr="00DA3FBA">
        <w:rPr>
          <w:rFonts w:ascii="Times New Roman" w:eastAsiaTheme="minorEastAsia" w:hAnsi="Times New Roman" w:cs="Times New Roman"/>
          <w:sz w:val="24"/>
          <w:szCs w:val="24"/>
        </w:rPr>
        <w:t>Burimi i Pëllumbasit Q = 500 l/sek (nuk është kaptazhuar)</w:t>
      </w:r>
    </w:p>
    <w:p w:rsidR="00DA3FBA" w:rsidRPr="00DA3FBA" w:rsidRDefault="00B86071" w:rsidP="00807975">
      <w:pPr>
        <w:pStyle w:val="ListParagraph"/>
        <w:numPr>
          <w:ilvl w:val="0"/>
          <w:numId w:val="124"/>
        </w:numPr>
        <w:spacing w:after="0" w:line="240" w:lineRule="auto"/>
        <w:rPr>
          <w:rFonts w:ascii="Times New Roman" w:eastAsiaTheme="minorEastAsia" w:hAnsi="Times New Roman" w:cs="Times New Roman"/>
          <w:sz w:val="24"/>
          <w:szCs w:val="24"/>
        </w:rPr>
      </w:pPr>
      <w:r w:rsidRPr="00DA3FBA">
        <w:rPr>
          <w:rFonts w:ascii="Times New Roman" w:eastAsiaTheme="minorEastAsia" w:hAnsi="Times New Roman" w:cs="Times New Roman"/>
          <w:sz w:val="24"/>
          <w:szCs w:val="24"/>
        </w:rPr>
        <w:t xml:space="preserve">Burime të tjerë Q= 50 – 150 l/sek. </w:t>
      </w:r>
    </w:p>
    <w:p w:rsidR="00DA3FBA" w:rsidRPr="00DA3FBA" w:rsidRDefault="00B86071" w:rsidP="00807975">
      <w:pPr>
        <w:pStyle w:val="ListParagraph"/>
        <w:numPr>
          <w:ilvl w:val="0"/>
          <w:numId w:val="124"/>
        </w:numPr>
        <w:spacing w:after="0" w:line="240" w:lineRule="auto"/>
        <w:rPr>
          <w:rFonts w:ascii="Times New Roman" w:eastAsiaTheme="minorEastAsia" w:hAnsi="Times New Roman" w:cs="Times New Roman"/>
          <w:sz w:val="24"/>
          <w:szCs w:val="24"/>
        </w:rPr>
      </w:pPr>
      <w:r w:rsidRPr="00DA3FBA">
        <w:rPr>
          <w:rFonts w:ascii="Times New Roman" w:eastAsiaTheme="minorEastAsia" w:hAnsi="Times New Roman" w:cs="Times New Roman"/>
          <w:sz w:val="24"/>
          <w:szCs w:val="24"/>
        </w:rPr>
        <w:t>Sasia e rezervave që shfrytëzohen për ujë të pijshëm arrin në Q = 800 - 1000 l/sek.</w:t>
      </w:r>
    </w:p>
    <w:p w:rsidR="00B86071" w:rsidRPr="00DA3FBA" w:rsidRDefault="00B86071" w:rsidP="00807975">
      <w:pPr>
        <w:pStyle w:val="ListParagraph"/>
        <w:numPr>
          <w:ilvl w:val="0"/>
          <w:numId w:val="124"/>
        </w:numPr>
        <w:spacing w:after="0" w:line="240" w:lineRule="auto"/>
        <w:rPr>
          <w:rFonts w:ascii="Times New Roman" w:eastAsiaTheme="minorEastAsia" w:hAnsi="Times New Roman" w:cs="Times New Roman"/>
          <w:sz w:val="24"/>
          <w:szCs w:val="24"/>
        </w:rPr>
      </w:pPr>
      <w:r w:rsidRPr="00DA3FBA">
        <w:rPr>
          <w:rFonts w:ascii="Times New Roman" w:eastAsiaTheme="minorEastAsia" w:hAnsi="Times New Roman" w:cs="Times New Roman"/>
          <w:sz w:val="24"/>
          <w:szCs w:val="24"/>
        </w:rPr>
        <w:t>Koefiçenti vjetor i shfrytëzimit varion K= 0.45 – 0.6</w:t>
      </w:r>
    </w:p>
    <w:p w:rsidR="00D87C5F" w:rsidRDefault="00D87C5F" w:rsidP="00B86071">
      <w:pPr>
        <w:pStyle w:val="ListParagraph"/>
        <w:spacing w:after="200" w:line="288" w:lineRule="auto"/>
        <w:rPr>
          <w:rFonts w:ascii="Times New Roman" w:eastAsiaTheme="minorEastAsia" w:hAnsi="Times New Roman" w:cs="Times New Roman"/>
          <w:sz w:val="24"/>
          <w:szCs w:val="24"/>
        </w:rPr>
      </w:pPr>
    </w:p>
    <w:p w:rsidR="00B86071" w:rsidRPr="00D87C5F" w:rsidRDefault="00B86071" w:rsidP="00807975">
      <w:pPr>
        <w:pStyle w:val="ListParagraph"/>
        <w:numPr>
          <w:ilvl w:val="0"/>
          <w:numId w:val="78"/>
        </w:numPr>
        <w:spacing w:after="200" w:line="288" w:lineRule="auto"/>
        <w:rPr>
          <w:rFonts w:ascii="Times New Roman" w:eastAsiaTheme="minorEastAsia" w:hAnsi="Times New Roman" w:cs="Times New Roman"/>
          <w:b/>
          <w:sz w:val="24"/>
          <w:szCs w:val="24"/>
        </w:rPr>
      </w:pPr>
      <w:r w:rsidRPr="00D87C5F">
        <w:rPr>
          <w:rFonts w:ascii="Times New Roman" w:eastAsiaTheme="minorEastAsia" w:hAnsi="Times New Roman" w:cs="Times New Roman"/>
          <w:b/>
          <w:sz w:val="24"/>
          <w:szCs w:val="24"/>
        </w:rPr>
        <w:t>Monitorimi hidrodinamik</w:t>
      </w:r>
    </w:p>
    <w:p w:rsidR="00B86071" w:rsidRDefault="00B86071" w:rsidP="00D87C5F">
      <w:pPr>
        <w:spacing w:after="200" w:line="288" w:lineRule="auto"/>
        <w:rPr>
          <w:rFonts w:ascii="Times New Roman" w:eastAsiaTheme="minorEastAsia" w:hAnsi="Times New Roman" w:cs="Times New Roman"/>
          <w:sz w:val="24"/>
          <w:szCs w:val="24"/>
        </w:rPr>
      </w:pPr>
      <w:r w:rsidRPr="00D87C5F">
        <w:rPr>
          <w:rFonts w:ascii="Times New Roman" w:eastAsiaTheme="minorEastAsia" w:hAnsi="Times New Roman" w:cs="Times New Roman"/>
          <w:sz w:val="24"/>
          <w:szCs w:val="24"/>
        </w:rPr>
        <w:t>Monitorimi hidrodinamik për vitin 2025 është kryer në akuiferin poroz në 3 shpime: Shpimi 33 Laknas, shpimi 2/97 Rinas dhe shpimi 416 Bilaj (Fushë- Krujë).</w:t>
      </w:r>
      <w:r w:rsidR="00903995">
        <w:rPr>
          <w:rFonts w:ascii="Times New Roman" w:eastAsiaTheme="minorEastAsia" w:hAnsi="Times New Roman" w:cs="Times New Roman"/>
          <w:sz w:val="24"/>
          <w:szCs w:val="24"/>
        </w:rPr>
        <w:t xml:space="preserve"> </w:t>
      </w:r>
      <w:r w:rsidRPr="00D87C5F">
        <w:rPr>
          <w:rFonts w:ascii="Times New Roman" w:eastAsiaTheme="minorEastAsia" w:hAnsi="Times New Roman" w:cs="Times New Roman"/>
          <w:sz w:val="24"/>
          <w:szCs w:val="24"/>
        </w:rPr>
        <w:t>Nga kryerja e monitorimit për vitin 2025, rezulton se amplituda e luhatjes së UN varion nga A = 4.7- 6.57 m sipas akuiferëve.</w:t>
      </w:r>
    </w:p>
    <w:p w:rsidR="00903995" w:rsidRPr="00D87C5F" w:rsidRDefault="00903995" w:rsidP="00D87C5F">
      <w:pPr>
        <w:spacing w:after="200" w:line="288"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Tabela 35. Të dhënat e monitorimit hidrodinamik</w:t>
      </w:r>
    </w:p>
    <w:tbl>
      <w:tblPr>
        <w:tblW w:w="8343" w:type="dxa"/>
        <w:jc w:val="center"/>
        <w:tblLook w:val="04A0" w:firstRow="1" w:lastRow="0" w:firstColumn="1" w:lastColumn="0" w:noHBand="0" w:noVBand="1"/>
      </w:tblPr>
      <w:tblGrid>
        <w:gridCol w:w="2075"/>
        <w:gridCol w:w="1906"/>
        <w:gridCol w:w="1906"/>
        <w:gridCol w:w="2456"/>
      </w:tblGrid>
      <w:tr w:rsidR="00B86071" w:rsidRPr="00B86071" w:rsidTr="00B86071">
        <w:trPr>
          <w:trHeight w:val="669"/>
          <w:jc w:val="center"/>
        </w:trPr>
        <w:tc>
          <w:tcPr>
            <w:tcW w:w="2075" w:type="dxa"/>
            <w:tcBorders>
              <w:top w:val="single" w:sz="4" w:space="0" w:color="auto"/>
              <w:left w:val="single" w:sz="4" w:space="0" w:color="auto"/>
              <w:bottom w:val="single" w:sz="4" w:space="0" w:color="auto"/>
              <w:right w:val="single" w:sz="4" w:space="0" w:color="auto"/>
            </w:tcBorders>
            <w:noWrap/>
            <w:vAlign w:val="center"/>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Muaji</w:t>
            </w:r>
          </w:p>
        </w:tc>
        <w:tc>
          <w:tcPr>
            <w:tcW w:w="1906" w:type="dxa"/>
            <w:tcBorders>
              <w:top w:val="single" w:sz="4" w:space="0" w:color="auto"/>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Shpimi 33 Laknas. Tiranë</w:t>
            </w:r>
          </w:p>
        </w:tc>
        <w:tc>
          <w:tcPr>
            <w:tcW w:w="1906" w:type="dxa"/>
            <w:tcBorders>
              <w:top w:val="single" w:sz="4" w:space="0" w:color="auto"/>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Shpimi 2/97. Rinas.</w:t>
            </w:r>
          </w:p>
        </w:tc>
        <w:tc>
          <w:tcPr>
            <w:tcW w:w="2456" w:type="dxa"/>
            <w:tcBorders>
              <w:top w:val="single" w:sz="4" w:space="0" w:color="auto"/>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Shpimi 416 Bilaj. Fushë - Krujë</w:t>
            </w:r>
          </w:p>
        </w:tc>
      </w:tr>
      <w:tr w:rsidR="00B86071" w:rsidRPr="00B86071" w:rsidTr="00B86071">
        <w:trPr>
          <w:trHeight w:val="334"/>
          <w:jc w:val="center"/>
        </w:trPr>
        <w:tc>
          <w:tcPr>
            <w:tcW w:w="2075" w:type="dxa"/>
            <w:tcBorders>
              <w:top w:val="nil"/>
              <w:left w:val="single" w:sz="4" w:space="0" w:color="auto"/>
              <w:bottom w:val="single" w:sz="4" w:space="0" w:color="auto"/>
              <w:right w:val="single" w:sz="4" w:space="0" w:color="auto"/>
            </w:tcBorders>
            <w:noWrap/>
            <w:vAlign w:val="center"/>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Nivelet (m)</w:t>
            </w:r>
          </w:p>
        </w:tc>
        <w:tc>
          <w:tcPr>
            <w:tcW w:w="190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Niveli statik (Ns)</w:t>
            </w:r>
          </w:p>
        </w:tc>
        <w:tc>
          <w:tcPr>
            <w:tcW w:w="190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Niveli statik (Ns)</w:t>
            </w:r>
          </w:p>
        </w:tc>
        <w:tc>
          <w:tcPr>
            <w:tcW w:w="245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Nivel dinamik  (Nd)</w:t>
            </w:r>
          </w:p>
        </w:tc>
      </w:tr>
      <w:tr w:rsidR="00B86071" w:rsidRPr="00B86071" w:rsidTr="00B86071">
        <w:trPr>
          <w:trHeight w:val="334"/>
          <w:jc w:val="center"/>
        </w:trPr>
        <w:tc>
          <w:tcPr>
            <w:tcW w:w="2075" w:type="dxa"/>
            <w:tcBorders>
              <w:top w:val="nil"/>
              <w:left w:val="single" w:sz="4" w:space="0" w:color="auto"/>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Mars 2025</w:t>
            </w:r>
          </w:p>
        </w:tc>
        <w:tc>
          <w:tcPr>
            <w:tcW w:w="190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-7.2</w:t>
            </w:r>
          </w:p>
        </w:tc>
        <w:tc>
          <w:tcPr>
            <w:tcW w:w="190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-8.4</w:t>
            </w:r>
          </w:p>
        </w:tc>
        <w:tc>
          <w:tcPr>
            <w:tcW w:w="245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-11.9</w:t>
            </w:r>
          </w:p>
        </w:tc>
      </w:tr>
      <w:tr w:rsidR="00B86071" w:rsidRPr="00B86071" w:rsidTr="00B86071">
        <w:trPr>
          <w:trHeight w:val="334"/>
          <w:jc w:val="center"/>
        </w:trPr>
        <w:tc>
          <w:tcPr>
            <w:tcW w:w="2075" w:type="dxa"/>
            <w:tcBorders>
              <w:top w:val="nil"/>
              <w:left w:val="single" w:sz="4" w:space="0" w:color="auto"/>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Tetor 2025</w:t>
            </w:r>
          </w:p>
        </w:tc>
        <w:tc>
          <w:tcPr>
            <w:tcW w:w="190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-11.9</w:t>
            </w:r>
          </w:p>
        </w:tc>
        <w:tc>
          <w:tcPr>
            <w:tcW w:w="190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-13.5</w:t>
            </w:r>
          </w:p>
        </w:tc>
        <w:tc>
          <w:tcPr>
            <w:tcW w:w="245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-18.47</w:t>
            </w:r>
          </w:p>
        </w:tc>
      </w:tr>
      <w:tr w:rsidR="00B86071" w:rsidRPr="00B86071" w:rsidTr="00B86071">
        <w:trPr>
          <w:trHeight w:val="334"/>
          <w:jc w:val="center"/>
        </w:trPr>
        <w:tc>
          <w:tcPr>
            <w:tcW w:w="2075" w:type="dxa"/>
            <w:tcBorders>
              <w:top w:val="nil"/>
              <w:left w:val="single" w:sz="4" w:space="0" w:color="auto"/>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Niveli min (m)</w:t>
            </w:r>
          </w:p>
        </w:tc>
        <w:tc>
          <w:tcPr>
            <w:tcW w:w="190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-11.9</w:t>
            </w:r>
          </w:p>
        </w:tc>
        <w:tc>
          <w:tcPr>
            <w:tcW w:w="190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-13.5</w:t>
            </w:r>
          </w:p>
        </w:tc>
        <w:tc>
          <w:tcPr>
            <w:tcW w:w="245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-18.47</w:t>
            </w:r>
          </w:p>
        </w:tc>
      </w:tr>
      <w:tr w:rsidR="00B86071" w:rsidRPr="00B86071" w:rsidTr="00B86071">
        <w:trPr>
          <w:trHeight w:val="334"/>
          <w:jc w:val="center"/>
        </w:trPr>
        <w:tc>
          <w:tcPr>
            <w:tcW w:w="2075" w:type="dxa"/>
            <w:tcBorders>
              <w:top w:val="nil"/>
              <w:left w:val="single" w:sz="4" w:space="0" w:color="auto"/>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Niveli max (m)</w:t>
            </w:r>
          </w:p>
        </w:tc>
        <w:tc>
          <w:tcPr>
            <w:tcW w:w="190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-7.2</w:t>
            </w:r>
          </w:p>
        </w:tc>
        <w:tc>
          <w:tcPr>
            <w:tcW w:w="190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-8.4</w:t>
            </w:r>
          </w:p>
        </w:tc>
        <w:tc>
          <w:tcPr>
            <w:tcW w:w="245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-11.9</w:t>
            </w:r>
          </w:p>
        </w:tc>
      </w:tr>
      <w:tr w:rsidR="00B86071" w:rsidRPr="00B86071" w:rsidTr="00B86071">
        <w:trPr>
          <w:trHeight w:val="334"/>
          <w:jc w:val="center"/>
        </w:trPr>
        <w:tc>
          <w:tcPr>
            <w:tcW w:w="2075" w:type="dxa"/>
            <w:tcBorders>
              <w:top w:val="nil"/>
              <w:left w:val="single" w:sz="4" w:space="0" w:color="auto"/>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Amplituda (m)</w:t>
            </w:r>
          </w:p>
        </w:tc>
        <w:tc>
          <w:tcPr>
            <w:tcW w:w="190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4.7</w:t>
            </w:r>
          </w:p>
        </w:tc>
        <w:tc>
          <w:tcPr>
            <w:tcW w:w="190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5.1</w:t>
            </w:r>
          </w:p>
        </w:tc>
        <w:tc>
          <w:tcPr>
            <w:tcW w:w="2456" w:type="dxa"/>
            <w:tcBorders>
              <w:top w:val="nil"/>
              <w:left w:val="nil"/>
              <w:bottom w:val="single" w:sz="4" w:space="0" w:color="auto"/>
              <w:right w:val="single" w:sz="4" w:space="0" w:color="auto"/>
            </w:tcBorders>
            <w:noWrap/>
            <w:vAlign w:val="bottom"/>
            <w:hideMark/>
          </w:tcPr>
          <w:p w:rsidR="00B86071" w:rsidRPr="00B86071" w:rsidRDefault="00B86071" w:rsidP="00B86071">
            <w:pPr>
              <w:spacing w:after="0" w:line="240" w:lineRule="auto"/>
              <w:jc w:val="both"/>
              <w:rPr>
                <w:rFonts w:ascii="Times New Roman" w:eastAsia="Times New Roman" w:hAnsi="Times New Roman" w:cs="Times New Roman"/>
                <w:color w:val="000000"/>
                <w:sz w:val="20"/>
              </w:rPr>
            </w:pPr>
            <w:r w:rsidRPr="00B86071">
              <w:rPr>
                <w:rFonts w:ascii="Times New Roman" w:eastAsia="Times New Roman" w:hAnsi="Times New Roman" w:cs="Times New Roman"/>
                <w:color w:val="000000"/>
                <w:sz w:val="20"/>
              </w:rPr>
              <w:t>6.57</w:t>
            </w:r>
          </w:p>
        </w:tc>
      </w:tr>
    </w:tbl>
    <w:p w:rsidR="00B86071" w:rsidRDefault="00B86071" w:rsidP="00B86071">
      <w:pPr>
        <w:pStyle w:val="ListParagraph"/>
        <w:spacing w:after="200" w:line="288" w:lineRule="auto"/>
        <w:rPr>
          <w:rFonts w:ascii="Times New Roman" w:eastAsiaTheme="minorEastAsia" w:hAnsi="Times New Roman" w:cs="Times New Roman"/>
          <w:sz w:val="24"/>
          <w:szCs w:val="24"/>
        </w:rPr>
      </w:pPr>
    </w:p>
    <w:p w:rsidR="00B86071" w:rsidRPr="00D87C5F" w:rsidRDefault="00B86071" w:rsidP="00807975">
      <w:pPr>
        <w:pStyle w:val="ListParagraph"/>
        <w:numPr>
          <w:ilvl w:val="0"/>
          <w:numId w:val="78"/>
        </w:numPr>
        <w:spacing w:after="200" w:line="288" w:lineRule="auto"/>
        <w:rPr>
          <w:rFonts w:ascii="Times New Roman" w:eastAsiaTheme="minorEastAsia" w:hAnsi="Times New Roman" w:cs="Times New Roman"/>
          <w:b/>
          <w:sz w:val="24"/>
          <w:szCs w:val="24"/>
        </w:rPr>
      </w:pPr>
      <w:r w:rsidRPr="00D87C5F">
        <w:rPr>
          <w:rFonts w:ascii="Times New Roman" w:eastAsiaTheme="minorEastAsia" w:hAnsi="Times New Roman" w:cs="Times New Roman"/>
          <w:b/>
          <w:sz w:val="24"/>
          <w:szCs w:val="24"/>
        </w:rPr>
        <w:t>Monitorimi hidrokimik për vitin 2025</w:t>
      </w:r>
    </w:p>
    <w:p w:rsidR="00B86071" w:rsidRPr="00B86071" w:rsidRDefault="00B86071" w:rsidP="00B86071">
      <w:pPr>
        <w:spacing w:after="200" w:line="288" w:lineRule="auto"/>
        <w:rPr>
          <w:rFonts w:ascii="Times New Roman" w:eastAsiaTheme="minorEastAsia" w:hAnsi="Times New Roman" w:cs="Times New Roman"/>
          <w:sz w:val="24"/>
          <w:szCs w:val="24"/>
        </w:rPr>
      </w:pPr>
      <w:r w:rsidRPr="00B86071">
        <w:rPr>
          <w:rFonts w:ascii="Times New Roman" w:eastAsiaTheme="minorEastAsia" w:hAnsi="Times New Roman" w:cs="Times New Roman"/>
          <w:sz w:val="24"/>
          <w:szCs w:val="24"/>
        </w:rPr>
        <w:t xml:space="preserve">Për vlerësimin dhe monitorimin e përbërjes kimike të ujrave nëntokësore të Basenit Erzen – Ishëm gjatë vitit 2025 është monitoruar akuiferi zhavoror i Kuaternarit në 19-20 shpime, dhe akuiferi karbonatik në burimin e Bovillës, me një frekuencë 2 herë në vit. Janë kryer 41 analiza kimike. Standarti i përdorur në interpretimin e analizave kimike është bazuar në VKM 379 (25. 05. 2016). </w:t>
      </w:r>
    </w:p>
    <w:p w:rsidR="00B86071" w:rsidRPr="00B86071" w:rsidRDefault="00B86071" w:rsidP="00B86071">
      <w:pPr>
        <w:pStyle w:val="ListParagraph"/>
        <w:spacing w:after="200" w:line="288" w:lineRule="auto"/>
        <w:rPr>
          <w:rFonts w:ascii="Times New Roman" w:eastAsiaTheme="minorEastAsia" w:hAnsi="Times New Roman" w:cs="Times New Roman"/>
          <w:sz w:val="24"/>
          <w:szCs w:val="24"/>
        </w:rPr>
      </w:pPr>
    </w:p>
    <w:p w:rsidR="00CA247F" w:rsidRPr="00D87C5F" w:rsidRDefault="00B86071" w:rsidP="00D87C5F">
      <w:pPr>
        <w:pStyle w:val="ListParagraph"/>
        <w:spacing w:after="200" w:line="288" w:lineRule="auto"/>
        <w:ind w:left="0"/>
        <w:rPr>
          <w:rFonts w:ascii="Times New Roman" w:eastAsiaTheme="minorEastAsia" w:hAnsi="Times New Roman" w:cs="Times New Roman"/>
          <w:b/>
          <w:sz w:val="24"/>
          <w:szCs w:val="24"/>
          <w:u w:val="single"/>
        </w:rPr>
      </w:pPr>
      <w:r w:rsidRPr="00D87C5F">
        <w:rPr>
          <w:rFonts w:ascii="Times New Roman" w:eastAsiaTheme="minorEastAsia" w:hAnsi="Times New Roman" w:cs="Times New Roman"/>
          <w:b/>
          <w:sz w:val="24"/>
          <w:szCs w:val="24"/>
          <w:u w:val="single"/>
        </w:rPr>
        <w:lastRenderedPageBreak/>
        <w:t>Akuiferi Kuaternar i Tiranës</w:t>
      </w:r>
    </w:p>
    <w:p w:rsidR="00B86071" w:rsidRPr="00B86071" w:rsidRDefault="00B86071" w:rsidP="00B86071">
      <w:pPr>
        <w:spacing w:after="200" w:line="276" w:lineRule="auto"/>
        <w:ind w:left="45"/>
        <w:contextualSpacing/>
        <w:jc w:val="both"/>
        <w:rPr>
          <w:rFonts w:ascii="Times New Roman" w:hAnsi="Times New Roman" w:cs="Times New Roman"/>
          <w:sz w:val="24"/>
          <w:lang w:val="sq-AL"/>
        </w:rPr>
      </w:pPr>
      <w:r w:rsidRPr="00B86071">
        <w:rPr>
          <w:rFonts w:ascii="Times New Roman" w:hAnsi="Times New Roman" w:cs="Times New Roman"/>
          <w:b/>
          <w:sz w:val="24"/>
          <w:lang w:val="sq-AL"/>
        </w:rPr>
        <w:t>pH</w:t>
      </w:r>
      <w:r w:rsidRPr="00B86071">
        <w:rPr>
          <w:rFonts w:ascii="Times New Roman" w:hAnsi="Times New Roman" w:cs="Times New Roman"/>
          <w:sz w:val="24"/>
          <w:lang w:val="sq-AL"/>
        </w:rPr>
        <w:t xml:space="preserve"> i UN në fazat e monitorimit për vitin 2025 varion pH = 6.58 </w:t>
      </w:r>
      <w:r w:rsidR="001A4278">
        <w:rPr>
          <w:rFonts w:ascii="Times New Roman" w:hAnsi="Times New Roman" w:cs="Times New Roman"/>
          <w:sz w:val="24"/>
          <w:lang w:val="sq-AL"/>
        </w:rPr>
        <w:t xml:space="preserve">– 7.18, ky tregues është brenda </w:t>
      </w:r>
      <w:r w:rsidRPr="00B86071">
        <w:rPr>
          <w:rFonts w:ascii="Times New Roman" w:hAnsi="Times New Roman" w:cs="Times New Roman"/>
          <w:sz w:val="24"/>
          <w:lang w:val="sq-AL"/>
        </w:rPr>
        <w:t>normës. Vlera mesatare e pH është pH</w:t>
      </w:r>
      <w:r w:rsidRPr="00B86071">
        <w:rPr>
          <w:rFonts w:ascii="Times New Roman" w:hAnsi="Times New Roman" w:cs="Times New Roman"/>
          <w:sz w:val="24"/>
          <w:vertAlign w:val="subscript"/>
          <w:lang w:val="sq-AL"/>
        </w:rPr>
        <w:t>mes</w:t>
      </w:r>
      <w:r w:rsidRPr="00B86071">
        <w:rPr>
          <w:rFonts w:ascii="Times New Roman" w:hAnsi="Times New Roman" w:cs="Times New Roman"/>
          <w:sz w:val="24"/>
          <w:lang w:val="sq-AL"/>
        </w:rPr>
        <w:t xml:space="preserve"> = 7.18.</w:t>
      </w:r>
    </w:p>
    <w:p w:rsidR="00B86071" w:rsidRPr="00B86071" w:rsidRDefault="00B86071" w:rsidP="00B86071">
      <w:pPr>
        <w:spacing w:after="200" w:line="276" w:lineRule="auto"/>
        <w:ind w:left="45"/>
        <w:contextualSpacing/>
        <w:jc w:val="both"/>
        <w:rPr>
          <w:rFonts w:ascii="Times New Roman" w:hAnsi="Times New Roman" w:cs="Times New Roman"/>
          <w:sz w:val="24"/>
          <w:lang w:val="sq-AL"/>
        </w:rPr>
      </w:pPr>
      <w:r w:rsidRPr="00B86071">
        <w:rPr>
          <w:rFonts w:ascii="Times New Roman" w:hAnsi="Times New Roman" w:cs="Times New Roman"/>
          <w:b/>
          <w:sz w:val="24"/>
          <w:lang w:val="sq-AL"/>
        </w:rPr>
        <w:t>Fortësia e përgjithshme</w:t>
      </w:r>
      <w:r w:rsidRPr="00B86071">
        <w:rPr>
          <w:rFonts w:ascii="Times New Roman" w:hAnsi="Times New Roman" w:cs="Times New Roman"/>
          <w:sz w:val="24"/>
          <w:lang w:val="sq-AL"/>
        </w:rPr>
        <w:t xml:space="preserve"> varion Fp = 16.24 – 29.49</w:t>
      </w:r>
      <w:r w:rsidRPr="00B86071">
        <w:rPr>
          <w:rFonts w:ascii="Times New Roman" w:hAnsi="Times New Roman" w:cs="Times New Roman"/>
          <w:sz w:val="24"/>
          <w:vertAlign w:val="superscript"/>
          <w:lang w:val="sq-AL"/>
        </w:rPr>
        <w:t xml:space="preserve">o </w:t>
      </w:r>
      <w:r w:rsidRPr="00B86071">
        <w:rPr>
          <w:rFonts w:ascii="Times New Roman" w:hAnsi="Times New Roman" w:cs="Times New Roman"/>
          <w:sz w:val="24"/>
          <w:lang w:val="sq-AL"/>
        </w:rPr>
        <w:t>gjermane. Siç shihet nga këto parametra Fp është mbi normën e lejuar, pasi norma e ujit të pijshëm për këtë parametër është 10 – 20</w:t>
      </w:r>
      <w:r w:rsidRPr="00B86071">
        <w:rPr>
          <w:rFonts w:ascii="Times New Roman" w:hAnsi="Times New Roman" w:cs="Times New Roman"/>
          <w:sz w:val="24"/>
          <w:vertAlign w:val="superscript"/>
          <w:lang w:val="sq-AL"/>
        </w:rPr>
        <w:t xml:space="preserve">o </w:t>
      </w:r>
      <w:r w:rsidRPr="00B86071">
        <w:rPr>
          <w:rFonts w:ascii="Times New Roman" w:hAnsi="Times New Roman" w:cs="Times New Roman"/>
          <w:sz w:val="24"/>
          <w:lang w:val="sq-AL"/>
        </w:rPr>
        <w:t>gjermane dhe maksimale e lejuar 25</w:t>
      </w:r>
      <w:r w:rsidRPr="00B86071">
        <w:rPr>
          <w:rFonts w:ascii="Times New Roman" w:hAnsi="Times New Roman" w:cs="Times New Roman"/>
          <w:sz w:val="24"/>
          <w:vertAlign w:val="superscript"/>
          <w:lang w:val="sq-AL"/>
        </w:rPr>
        <w:t xml:space="preserve">o </w:t>
      </w:r>
      <w:r w:rsidRPr="00B86071">
        <w:rPr>
          <w:rFonts w:ascii="Times New Roman" w:hAnsi="Times New Roman" w:cs="Times New Roman"/>
          <w:sz w:val="24"/>
          <w:lang w:val="sq-AL"/>
        </w:rPr>
        <w:t xml:space="preserve">gjermane. </w:t>
      </w:r>
    </w:p>
    <w:p w:rsidR="00B86071" w:rsidRPr="00B86071" w:rsidRDefault="00B86071" w:rsidP="00B86071">
      <w:pPr>
        <w:spacing w:after="200" w:line="276" w:lineRule="auto"/>
        <w:ind w:left="45"/>
        <w:contextualSpacing/>
        <w:jc w:val="both"/>
        <w:rPr>
          <w:rFonts w:ascii="Times New Roman" w:hAnsi="Times New Roman" w:cs="Times New Roman"/>
          <w:sz w:val="24"/>
          <w:lang w:val="sq-AL"/>
        </w:rPr>
      </w:pPr>
      <w:r w:rsidRPr="00B86071">
        <w:rPr>
          <w:rFonts w:ascii="Times New Roman" w:hAnsi="Times New Roman" w:cs="Times New Roman"/>
          <w:b/>
          <w:sz w:val="24"/>
          <w:lang w:val="sq-AL"/>
        </w:rPr>
        <w:t>Mineralizimi i përgjithshëm</w:t>
      </w:r>
      <w:r w:rsidRPr="00B86071">
        <w:rPr>
          <w:rFonts w:ascii="Times New Roman" w:hAnsi="Times New Roman" w:cs="Times New Roman"/>
          <w:sz w:val="24"/>
          <w:lang w:val="sq-AL"/>
        </w:rPr>
        <w:t xml:space="preserve"> </w:t>
      </w:r>
      <w:r w:rsidRPr="00B86071">
        <w:rPr>
          <w:rFonts w:ascii="Times New Roman" w:hAnsi="Times New Roman" w:cs="Times New Roman"/>
          <w:bCs/>
          <w:sz w:val="24"/>
          <w:lang w:val="sq-AL"/>
        </w:rPr>
        <w:t>në fazat e monitorimit varion në vlerat Mp = 600.16– 944.43 mg/l.</w:t>
      </w:r>
    </w:p>
    <w:p w:rsidR="00B86071" w:rsidRPr="00B86071" w:rsidRDefault="00B86071" w:rsidP="00B86071">
      <w:pPr>
        <w:spacing w:after="200" w:line="276" w:lineRule="auto"/>
        <w:ind w:left="45"/>
        <w:contextualSpacing/>
        <w:jc w:val="both"/>
        <w:rPr>
          <w:rFonts w:ascii="Times New Roman" w:hAnsi="Times New Roman" w:cs="Times New Roman"/>
          <w:b/>
          <w:bCs/>
          <w:iCs/>
          <w:sz w:val="24"/>
        </w:rPr>
      </w:pPr>
      <w:r w:rsidRPr="00B86071">
        <w:rPr>
          <w:rFonts w:ascii="Times New Roman" w:hAnsi="Times New Roman" w:cs="Times New Roman"/>
          <w:b/>
          <w:sz w:val="24"/>
          <w:lang w:val="sq-AL"/>
        </w:rPr>
        <w:t>Amonjaku NH</w:t>
      </w:r>
      <w:r w:rsidRPr="00B86071">
        <w:rPr>
          <w:rFonts w:ascii="Times New Roman" w:hAnsi="Times New Roman" w:cs="Times New Roman"/>
          <w:b/>
          <w:sz w:val="24"/>
          <w:vertAlign w:val="subscript"/>
          <w:lang w:val="sq-AL"/>
        </w:rPr>
        <w:t>4</w:t>
      </w:r>
      <w:r w:rsidRPr="00B86071">
        <w:rPr>
          <w:rFonts w:ascii="Times New Roman" w:hAnsi="Times New Roman" w:cs="Times New Roman"/>
          <w:sz w:val="24"/>
          <w:vertAlign w:val="subscript"/>
          <w:lang w:val="sq-AL"/>
        </w:rPr>
        <w:t xml:space="preserve"> </w:t>
      </w:r>
      <w:r w:rsidRPr="00B86071">
        <w:rPr>
          <w:rFonts w:ascii="Times New Roman" w:hAnsi="Times New Roman" w:cs="Times New Roman"/>
          <w:sz w:val="24"/>
          <w:lang w:val="sq-AL"/>
        </w:rPr>
        <w:t>për vitin 2025 varion nga 0.01 – 0.12 mg/l,</w:t>
      </w:r>
      <w:r w:rsidRPr="00B86071">
        <w:rPr>
          <w:rFonts w:ascii="Times New Roman" w:hAnsi="Times New Roman" w:cs="Times New Roman"/>
          <w:b/>
          <w:sz w:val="24"/>
          <w:vertAlign w:val="subscript"/>
          <w:lang w:val="sq-AL"/>
        </w:rPr>
        <w:t xml:space="preserve"> </w:t>
      </w:r>
      <w:r w:rsidRPr="00B86071">
        <w:rPr>
          <w:rFonts w:ascii="Times New Roman" w:hAnsi="Times New Roman" w:cs="Times New Roman"/>
          <w:sz w:val="24"/>
          <w:lang w:val="sq-AL"/>
        </w:rPr>
        <w:t>ku</w:t>
      </w:r>
      <w:r w:rsidRPr="00B86071">
        <w:rPr>
          <w:rFonts w:ascii="Times New Roman" w:hAnsi="Times New Roman" w:cs="Times New Roman"/>
          <w:b/>
          <w:sz w:val="24"/>
          <w:vertAlign w:val="subscript"/>
          <w:lang w:val="sq-AL"/>
        </w:rPr>
        <w:t xml:space="preserve"> </w:t>
      </w:r>
      <w:r w:rsidRPr="00B86071">
        <w:rPr>
          <w:rFonts w:ascii="Times New Roman" w:hAnsi="Times New Roman" w:cs="Times New Roman"/>
          <w:sz w:val="24"/>
          <w:lang w:val="sq-AL"/>
        </w:rPr>
        <w:t>sipas VKM 379 (25. 05. 2016), norma maksimale e lejuar është 0.1 mg/l. Përjashtim bën vetëm 1 shpim ku përmbajtja e amonjakut është mbi normën e lejuar.</w:t>
      </w:r>
    </w:p>
    <w:p w:rsidR="00B86071" w:rsidRPr="00B86071" w:rsidRDefault="00B86071" w:rsidP="00B86071">
      <w:pPr>
        <w:spacing w:after="200" w:line="276" w:lineRule="auto"/>
        <w:ind w:left="45"/>
        <w:contextualSpacing/>
        <w:jc w:val="both"/>
        <w:rPr>
          <w:rFonts w:ascii="Times New Roman" w:hAnsi="Times New Roman" w:cs="Times New Roman"/>
          <w:b/>
          <w:bCs/>
          <w:iCs/>
          <w:sz w:val="24"/>
        </w:rPr>
      </w:pPr>
      <w:r w:rsidRPr="00B86071">
        <w:rPr>
          <w:rFonts w:ascii="Times New Roman" w:hAnsi="Times New Roman" w:cs="Times New Roman"/>
          <w:b/>
          <w:sz w:val="24"/>
          <w:lang w:val="sq-AL"/>
        </w:rPr>
        <w:t>Përmbajtja e nitriteve (NO</w:t>
      </w:r>
      <w:r w:rsidRPr="00B86071">
        <w:rPr>
          <w:rFonts w:ascii="Times New Roman" w:hAnsi="Times New Roman" w:cs="Times New Roman"/>
          <w:b/>
          <w:sz w:val="24"/>
          <w:vertAlign w:val="subscript"/>
          <w:lang w:val="sq-AL"/>
        </w:rPr>
        <w:t>2</w:t>
      </w:r>
      <w:r w:rsidRPr="00B86071">
        <w:rPr>
          <w:rFonts w:ascii="Times New Roman" w:hAnsi="Times New Roman" w:cs="Times New Roman"/>
          <w:b/>
          <w:sz w:val="24"/>
          <w:lang w:val="sq-AL"/>
        </w:rPr>
        <w:t>)</w:t>
      </w:r>
      <w:r w:rsidRPr="00B86071">
        <w:rPr>
          <w:rFonts w:ascii="Times New Roman" w:hAnsi="Times New Roman" w:cs="Times New Roman"/>
          <w:sz w:val="24"/>
          <w:vertAlign w:val="subscript"/>
          <w:lang w:val="sq-AL"/>
        </w:rPr>
        <w:t xml:space="preserve"> </w:t>
      </w:r>
      <w:r w:rsidRPr="00B86071">
        <w:rPr>
          <w:rFonts w:ascii="Times New Roman" w:hAnsi="Times New Roman" w:cs="Times New Roman"/>
          <w:sz w:val="24"/>
          <w:lang w:val="sq-AL"/>
        </w:rPr>
        <w:t>në fazat e monitorimit për vitin 2025  varion në vlerat 0 – 0.24 mg/l dhe është nën përmbajtjen maksimale të lejuar.</w:t>
      </w:r>
    </w:p>
    <w:p w:rsidR="00B86071" w:rsidRPr="00B86071" w:rsidRDefault="00B86071" w:rsidP="00B86071">
      <w:pPr>
        <w:spacing w:after="200" w:line="276" w:lineRule="auto"/>
        <w:ind w:left="45"/>
        <w:contextualSpacing/>
        <w:jc w:val="both"/>
        <w:rPr>
          <w:rFonts w:ascii="Times New Roman" w:hAnsi="Times New Roman" w:cs="Times New Roman"/>
          <w:b/>
          <w:bCs/>
          <w:iCs/>
          <w:sz w:val="24"/>
        </w:rPr>
      </w:pPr>
      <w:r w:rsidRPr="00B86071">
        <w:rPr>
          <w:rFonts w:ascii="Times New Roman" w:hAnsi="Times New Roman" w:cs="Times New Roman"/>
          <w:b/>
          <w:sz w:val="24"/>
          <w:lang w:val="sq-AL"/>
        </w:rPr>
        <w:t>Përmbajtja e nitrateve (NO</w:t>
      </w:r>
      <w:r w:rsidRPr="00B86071">
        <w:rPr>
          <w:rFonts w:ascii="Times New Roman" w:hAnsi="Times New Roman" w:cs="Times New Roman"/>
          <w:b/>
          <w:sz w:val="24"/>
          <w:vertAlign w:val="subscript"/>
          <w:lang w:val="sq-AL"/>
        </w:rPr>
        <w:t>3</w:t>
      </w:r>
      <w:r w:rsidRPr="00B86071">
        <w:rPr>
          <w:rFonts w:ascii="Times New Roman" w:hAnsi="Times New Roman" w:cs="Times New Roman"/>
          <w:b/>
          <w:sz w:val="24"/>
          <w:lang w:val="sq-AL"/>
        </w:rPr>
        <w:t>)</w:t>
      </w:r>
      <w:r w:rsidRPr="00B86071">
        <w:rPr>
          <w:rFonts w:ascii="Times New Roman" w:hAnsi="Times New Roman" w:cs="Times New Roman"/>
          <w:sz w:val="24"/>
          <w:lang w:val="sq-AL"/>
        </w:rPr>
        <w:t xml:space="preserve"> në fazat e monitorimit për vitin 2025 në të gjitha analizat e shpimeve varion nga 5 – 46 mg/l, përmbajtja është nën normën e rekomanduar në të gjithë shpimet. </w:t>
      </w:r>
    </w:p>
    <w:p w:rsidR="00D87C5F" w:rsidRDefault="00D87C5F" w:rsidP="00B86071">
      <w:pPr>
        <w:spacing w:after="0" w:line="276" w:lineRule="auto"/>
        <w:jc w:val="both"/>
        <w:rPr>
          <w:rFonts w:ascii="Times New Roman" w:hAnsi="Times New Roman" w:cs="Times New Roman"/>
          <w:b/>
          <w:i/>
          <w:sz w:val="24"/>
          <w:szCs w:val="24"/>
        </w:rPr>
      </w:pPr>
    </w:p>
    <w:p w:rsidR="00B86071" w:rsidRPr="00D87C5F" w:rsidRDefault="008B1120" w:rsidP="00B86071">
      <w:pPr>
        <w:spacing w:after="0"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Akuiferi </w:t>
      </w:r>
      <w:r w:rsidR="00B86071" w:rsidRPr="00D87C5F">
        <w:rPr>
          <w:rFonts w:ascii="Times New Roman" w:hAnsi="Times New Roman" w:cs="Times New Roman"/>
          <w:b/>
          <w:sz w:val="24"/>
          <w:szCs w:val="24"/>
          <w:u w:val="single"/>
          <w:lang w:val="sq-AL"/>
        </w:rPr>
        <w:t>Kuaternar Fushë – Krujë</w:t>
      </w:r>
    </w:p>
    <w:p w:rsidR="00B86071" w:rsidRPr="00B86071" w:rsidRDefault="00B86071" w:rsidP="00B86071">
      <w:pPr>
        <w:spacing w:after="200" w:line="276" w:lineRule="auto"/>
        <w:ind w:left="45"/>
        <w:contextualSpacing/>
        <w:jc w:val="both"/>
        <w:rPr>
          <w:rFonts w:ascii="Times New Roman" w:hAnsi="Times New Roman" w:cs="Times New Roman"/>
          <w:sz w:val="24"/>
          <w:lang w:val="sq-AL"/>
        </w:rPr>
      </w:pPr>
      <w:r w:rsidRPr="00B86071">
        <w:rPr>
          <w:rFonts w:ascii="Times New Roman" w:hAnsi="Times New Roman" w:cs="Times New Roman"/>
          <w:b/>
          <w:sz w:val="24"/>
          <w:lang w:val="sq-AL"/>
        </w:rPr>
        <w:t xml:space="preserve">pH </w:t>
      </w:r>
      <w:r w:rsidRPr="00B86071">
        <w:rPr>
          <w:rFonts w:ascii="Times New Roman" w:hAnsi="Times New Roman" w:cs="Times New Roman"/>
          <w:sz w:val="24"/>
          <w:lang w:val="sq-AL"/>
        </w:rPr>
        <w:t>në fazat e monitorimit varion nga 6.92 - 7.4. Sipas normës së lejuar për ujë të pijshëm ky tregues është brenda normës.</w:t>
      </w:r>
    </w:p>
    <w:p w:rsidR="00B86071" w:rsidRPr="00B86071" w:rsidRDefault="00B86071" w:rsidP="00B86071">
      <w:pPr>
        <w:spacing w:after="200" w:line="276" w:lineRule="auto"/>
        <w:ind w:left="45"/>
        <w:contextualSpacing/>
        <w:jc w:val="both"/>
        <w:rPr>
          <w:rFonts w:ascii="Times New Roman" w:hAnsi="Times New Roman" w:cs="Times New Roman"/>
          <w:sz w:val="24"/>
          <w:lang w:val="sq-AL"/>
        </w:rPr>
      </w:pPr>
      <w:r w:rsidRPr="00B86071">
        <w:rPr>
          <w:rFonts w:ascii="Times New Roman" w:hAnsi="Times New Roman" w:cs="Times New Roman"/>
          <w:b/>
          <w:sz w:val="24"/>
          <w:lang w:val="sq-AL"/>
        </w:rPr>
        <w:t>Fortësia e përgjithshme</w:t>
      </w:r>
      <w:r w:rsidRPr="00B86071">
        <w:rPr>
          <w:rFonts w:ascii="Times New Roman" w:hAnsi="Times New Roman" w:cs="Times New Roman"/>
          <w:sz w:val="24"/>
          <w:lang w:val="sq-AL"/>
        </w:rPr>
        <w:t xml:space="preserve"> e UN varion Fp = 21.52 – 28.09</w:t>
      </w:r>
      <w:r w:rsidRPr="00B86071">
        <w:rPr>
          <w:rFonts w:ascii="Times New Roman" w:hAnsi="Times New Roman" w:cs="Times New Roman"/>
          <w:sz w:val="24"/>
          <w:vertAlign w:val="superscript"/>
          <w:lang w:val="sq-AL"/>
        </w:rPr>
        <w:t xml:space="preserve">o  </w:t>
      </w:r>
      <w:r w:rsidRPr="00B86071">
        <w:rPr>
          <w:rFonts w:ascii="Times New Roman" w:hAnsi="Times New Roman" w:cs="Times New Roman"/>
          <w:sz w:val="24"/>
          <w:lang w:val="sq-AL"/>
        </w:rPr>
        <w:t>gjermane. Siç shihet nga këto parametra Fp është mbi normën e lejuar.</w:t>
      </w:r>
    </w:p>
    <w:p w:rsidR="00B86071" w:rsidRPr="00B86071" w:rsidRDefault="00B86071" w:rsidP="00B86071">
      <w:pPr>
        <w:spacing w:after="200" w:line="276" w:lineRule="auto"/>
        <w:ind w:left="45"/>
        <w:contextualSpacing/>
        <w:jc w:val="both"/>
        <w:rPr>
          <w:rFonts w:ascii="Times New Roman" w:hAnsi="Times New Roman" w:cs="Times New Roman"/>
          <w:sz w:val="24"/>
          <w:lang w:val="sq-AL"/>
        </w:rPr>
      </w:pPr>
      <w:r w:rsidRPr="00B86071">
        <w:rPr>
          <w:rFonts w:ascii="Times New Roman" w:hAnsi="Times New Roman" w:cs="Times New Roman"/>
          <w:b/>
          <w:sz w:val="24"/>
          <w:lang w:val="sq-AL"/>
        </w:rPr>
        <w:t>Mineralizimi i përgjithshëm</w:t>
      </w:r>
      <w:r w:rsidRPr="00B86071">
        <w:rPr>
          <w:rFonts w:ascii="Times New Roman" w:hAnsi="Times New Roman" w:cs="Times New Roman"/>
          <w:sz w:val="24"/>
          <w:lang w:val="sq-AL"/>
        </w:rPr>
        <w:t xml:space="preserve"> është brenda normës së lejuar dhe varion nga Mp = 654.58– 808.46 mg/l. Nuk ka tendencë rritje të Mp.</w:t>
      </w:r>
    </w:p>
    <w:p w:rsidR="00B86071" w:rsidRPr="00B86071" w:rsidRDefault="00B86071" w:rsidP="00B86071">
      <w:pPr>
        <w:spacing w:after="200" w:line="276" w:lineRule="auto"/>
        <w:ind w:left="45"/>
        <w:contextualSpacing/>
        <w:jc w:val="both"/>
        <w:rPr>
          <w:rFonts w:ascii="Times New Roman" w:hAnsi="Times New Roman" w:cs="Times New Roman"/>
          <w:sz w:val="24"/>
          <w:lang w:val="sq-AL"/>
        </w:rPr>
      </w:pPr>
      <w:r w:rsidRPr="00B86071">
        <w:rPr>
          <w:rFonts w:ascii="Times New Roman" w:hAnsi="Times New Roman" w:cs="Times New Roman"/>
          <w:b/>
          <w:sz w:val="24"/>
          <w:lang w:val="sq-AL"/>
        </w:rPr>
        <w:t>Amonjaku NH</w:t>
      </w:r>
      <w:r w:rsidRPr="00B86071">
        <w:rPr>
          <w:rFonts w:ascii="Times New Roman" w:hAnsi="Times New Roman" w:cs="Times New Roman"/>
          <w:b/>
          <w:sz w:val="24"/>
          <w:vertAlign w:val="subscript"/>
          <w:lang w:val="sq-AL"/>
        </w:rPr>
        <w:t>4</w:t>
      </w:r>
      <w:r w:rsidRPr="00B86071">
        <w:rPr>
          <w:rFonts w:ascii="Times New Roman" w:hAnsi="Times New Roman" w:cs="Times New Roman"/>
          <w:sz w:val="24"/>
          <w:vertAlign w:val="subscript"/>
          <w:lang w:val="sq-AL"/>
        </w:rPr>
        <w:t xml:space="preserve"> </w:t>
      </w:r>
      <w:r w:rsidRPr="00B86071">
        <w:rPr>
          <w:rFonts w:ascii="Times New Roman" w:hAnsi="Times New Roman" w:cs="Times New Roman"/>
          <w:sz w:val="24"/>
          <w:lang w:val="sq-AL"/>
        </w:rPr>
        <w:t>për vitin 2025 varion nga 0 – 0.035 mg/l. Vlera më e lartë e amonjakut është takuar në shpimin 2/97 Rinas gjatë fazës së parë të monitorimit.</w:t>
      </w:r>
    </w:p>
    <w:p w:rsidR="00B86071" w:rsidRPr="00B86071" w:rsidRDefault="00B86071" w:rsidP="00B86071">
      <w:pPr>
        <w:spacing w:after="200" w:line="276" w:lineRule="auto"/>
        <w:ind w:left="45"/>
        <w:contextualSpacing/>
        <w:jc w:val="both"/>
        <w:rPr>
          <w:rFonts w:ascii="Times New Roman" w:hAnsi="Times New Roman" w:cs="Times New Roman"/>
          <w:sz w:val="24"/>
          <w:lang w:val="sq-AL"/>
        </w:rPr>
      </w:pPr>
      <w:r w:rsidRPr="00B86071">
        <w:rPr>
          <w:rFonts w:ascii="Times New Roman" w:hAnsi="Times New Roman" w:cs="Times New Roman"/>
          <w:b/>
          <w:sz w:val="24"/>
          <w:lang w:val="sq-AL"/>
        </w:rPr>
        <w:t>Përmbajtja Nitriteve e NO</w:t>
      </w:r>
      <w:r w:rsidRPr="00B86071">
        <w:rPr>
          <w:rFonts w:ascii="Times New Roman" w:hAnsi="Times New Roman" w:cs="Times New Roman"/>
          <w:b/>
          <w:sz w:val="24"/>
          <w:vertAlign w:val="subscript"/>
          <w:lang w:val="sq-AL"/>
        </w:rPr>
        <w:t>2</w:t>
      </w:r>
      <w:r w:rsidRPr="00B86071">
        <w:rPr>
          <w:rFonts w:ascii="Times New Roman" w:hAnsi="Times New Roman" w:cs="Times New Roman"/>
          <w:sz w:val="24"/>
          <w:lang w:val="sq-AL"/>
        </w:rPr>
        <w:t xml:space="preserve"> për vitin 2025 varion në vlerat nga 0 – 0.58 mg/l</w:t>
      </w:r>
      <w:r w:rsidRPr="00B86071">
        <w:rPr>
          <w:rFonts w:ascii="Times New Roman" w:hAnsi="Times New Roman" w:cs="Times New Roman"/>
          <w:b/>
          <w:sz w:val="24"/>
          <w:vertAlign w:val="subscript"/>
          <w:lang w:val="sq-AL"/>
        </w:rPr>
        <w:t xml:space="preserve"> </w:t>
      </w:r>
      <w:r w:rsidRPr="00B86071">
        <w:rPr>
          <w:rFonts w:ascii="Times New Roman" w:hAnsi="Times New Roman" w:cs="Times New Roman"/>
          <w:sz w:val="24"/>
          <w:lang w:val="sq-AL"/>
        </w:rPr>
        <w:t>dhe sipas normës së lejuar për ujë të pijshëm ky tregues është brenda normës.</w:t>
      </w:r>
    </w:p>
    <w:p w:rsidR="00B86071" w:rsidRPr="00B86071" w:rsidRDefault="00B86071" w:rsidP="00B86071">
      <w:pPr>
        <w:spacing w:after="200" w:line="276" w:lineRule="auto"/>
        <w:ind w:left="45"/>
        <w:contextualSpacing/>
        <w:jc w:val="both"/>
        <w:rPr>
          <w:rFonts w:ascii="Times New Roman" w:hAnsi="Times New Roman" w:cs="Times New Roman"/>
          <w:sz w:val="24"/>
          <w:lang w:val="sq-AL"/>
        </w:rPr>
      </w:pPr>
      <w:r w:rsidRPr="00B86071">
        <w:rPr>
          <w:rFonts w:ascii="Times New Roman" w:hAnsi="Times New Roman" w:cs="Times New Roman"/>
          <w:b/>
          <w:sz w:val="24"/>
          <w:lang w:val="sq-AL"/>
        </w:rPr>
        <w:t>Përmbajtja Nitrateve (NO</w:t>
      </w:r>
      <w:r w:rsidRPr="00B86071">
        <w:rPr>
          <w:rFonts w:ascii="Times New Roman" w:hAnsi="Times New Roman" w:cs="Times New Roman"/>
          <w:b/>
          <w:sz w:val="24"/>
          <w:vertAlign w:val="subscript"/>
          <w:lang w:val="sq-AL"/>
        </w:rPr>
        <w:t>3</w:t>
      </w:r>
      <w:r w:rsidRPr="00B86071">
        <w:rPr>
          <w:rFonts w:ascii="Times New Roman" w:hAnsi="Times New Roman" w:cs="Times New Roman"/>
          <w:b/>
          <w:sz w:val="24"/>
          <w:lang w:val="sq-AL"/>
        </w:rPr>
        <w:t>)</w:t>
      </w:r>
      <w:r w:rsidRPr="00B86071">
        <w:rPr>
          <w:rFonts w:ascii="Times New Roman" w:hAnsi="Times New Roman" w:cs="Times New Roman"/>
          <w:sz w:val="24"/>
          <w:lang w:val="sq-AL"/>
        </w:rPr>
        <w:t xml:space="preserve"> për vitin rezulton 0 – 27.83 mg/l. Kjo përmbajtje tregon për burim ndotje të largët</w:t>
      </w:r>
    </w:p>
    <w:p w:rsidR="00B86071" w:rsidRPr="00B86071" w:rsidRDefault="00B86071" w:rsidP="00B86071">
      <w:pPr>
        <w:spacing w:after="200" w:line="276" w:lineRule="auto"/>
        <w:jc w:val="both"/>
        <w:rPr>
          <w:rFonts w:ascii="Times New Roman" w:hAnsi="Times New Roman" w:cs="Times New Roman"/>
          <w:sz w:val="24"/>
          <w:szCs w:val="24"/>
          <w:lang w:val="sq-AL"/>
        </w:rPr>
      </w:pPr>
    </w:p>
    <w:p w:rsidR="00B86071" w:rsidRPr="00D87C5F" w:rsidRDefault="00B86071" w:rsidP="00B86071">
      <w:pPr>
        <w:spacing w:after="0" w:line="276" w:lineRule="auto"/>
        <w:ind w:left="45"/>
        <w:jc w:val="both"/>
        <w:rPr>
          <w:rFonts w:ascii="Times New Roman" w:hAnsi="Times New Roman" w:cs="Times New Roman"/>
          <w:b/>
          <w:sz w:val="24"/>
          <w:szCs w:val="24"/>
          <w:u w:val="single"/>
          <w:lang w:val="sq-AL"/>
        </w:rPr>
      </w:pPr>
      <w:r w:rsidRPr="00D87C5F">
        <w:rPr>
          <w:rFonts w:ascii="Times New Roman" w:hAnsi="Times New Roman" w:cs="Times New Roman"/>
          <w:b/>
          <w:sz w:val="24"/>
          <w:szCs w:val="24"/>
          <w:u w:val="single"/>
        </w:rPr>
        <w:t xml:space="preserve">Akuiferit </w:t>
      </w:r>
      <w:r w:rsidRPr="00D87C5F">
        <w:rPr>
          <w:rFonts w:ascii="Times New Roman" w:hAnsi="Times New Roman" w:cs="Times New Roman"/>
          <w:b/>
          <w:sz w:val="24"/>
          <w:szCs w:val="24"/>
          <w:u w:val="single"/>
          <w:lang w:val="sq-AL"/>
        </w:rPr>
        <w:t>Kuaternar i lumi Erzen</w:t>
      </w:r>
    </w:p>
    <w:p w:rsidR="00B86071" w:rsidRPr="00B86071" w:rsidRDefault="00B86071" w:rsidP="00B86071">
      <w:pPr>
        <w:spacing w:after="200" w:line="276" w:lineRule="auto"/>
        <w:ind w:left="45"/>
        <w:contextualSpacing/>
        <w:jc w:val="both"/>
        <w:rPr>
          <w:rFonts w:ascii="Times New Roman" w:hAnsi="Times New Roman" w:cs="Times New Roman"/>
          <w:sz w:val="24"/>
          <w:lang w:val="sq-AL"/>
        </w:rPr>
      </w:pPr>
      <w:r w:rsidRPr="00B86071">
        <w:rPr>
          <w:rFonts w:ascii="Times New Roman" w:hAnsi="Times New Roman" w:cs="Times New Roman"/>
          <w:b/>
          <w:sz w:val="24"/>
          <w:lang w:val="sq-AL"/>
        </w:rPr>
        <w:t>pH</w:t>
      </w:r>
      <w:r w:rsidRPr="00B86071">
        <w:rPr>
          <w:rFonts w:ascii="Times New Roman" w:hAnsi="Times New Roman" w:cs="Times New Roman"/>
          <w:sz w:val="24"/>
          <w:lang w:val="sq-AL"/>
        </w:rPr>
        <w:t xml:space="preserve"> i UN në fazat e monitorimit për vitin 2025 varion pH = 6.45 – 7.22 nuk vërehen ndryshime të ndjeshme. Sipas normës së lejuar për ujë të pijshëm ky tregues është brenda normës. </w:t>
      </w:r>
    </w:p>
    <w:p w:rsidR="00B86071" w:rsidRPr="00B86071" w:rsidRDefault="00B86071" w:rsidP="00B86071">
      <w:pPr>
        <w:spacing w:after="200" w:line="276" w:lineRule="auto"/>
        <w:ind w:left="45"/>
        <w:contextualSpacing/>
        <w:jc w:val="both"/>
        <w:rPr>
          <w:rFonts w:ascii="Times New Roman" w:hAnsi="Times New Roman" w:cs="Times New Roman"/>
          <w:sz w:val="24"/>
          <w:lang w:val="sq-AL"/>
        </w:rPr>
      </w:pPr>
      <w:r w:rsidRPr="00B86071">
        <w:rPr>
          <w:rFonts w:ascii="Times New Roman" w:hAnsi="Times New Roman" w:cs="Times New Roman"/>
          <w:b/>
          <w:sz w:val="24"/>
          <w:lang w:val="sq-AL"/>
        </w:rPr>
        <w:t xml:space="preserve">Mineralizimi i përgjithshëm: </w:t>
      </w:r>
      <w:r w:rsidRPr="00B86071">
        <w:rPr>
          <w:rFonts w:ascii="Times New Roman" w:hAnsi="Times New Roman" w:cs="Times New Roman"/>
          <w:sz w:val="24"/>
          <w:lang w:val="sq-AL"/>
        </w:rPr>
        <w:t>gjatë vitit 2025 varion në vlerat Mp = 548.74– 946.16 mg/l.</w:t>
      </w:r>
      <w:r w:rsidRPr="00B86071">
        <w:rPr>
          <w:rFonts w:ascii="Times New Roman" w:hAnsi="Times New Roman" w:cs="Times New Roman"/>
          <w:b/>
          <w:sz w:val="24"/>
          <w:lang w:val="sq-AL"/>
        </w:rPr>
        <w:t xml:space="preserve"> </w:t>
      </w:r>
      <w:r w:rsidRPr="00B86071">
        <w:rPr>
          <w:rFonts w:ascii="Times New Roman" w:hAnsi="Times New Roman" w:cs="Times New Roman"/>
          <w:sz w:val="24"/>
          <w:lang w:val="sq-AL"/>
        </w:rPr>
        <w:t xml:space="preserve">Duke e krahasuar me normën për ujë të pijshëm UN të këtij akuiferi janë brenda normës së lejuar. </w:t>
      </w:r>
    </w:p>
    <w:p w:rsidR="00B86071" w:rsidRPr="00B86071" w:rsidRDefault="00B86071" w:rsidP="00B86071">
      <w:pPr>
        <w:spacing w:after="200" w:line="276" w:lineRule="auto"/>
        <w:ind w:left="45"/>
        <w:contextualSpacing/>
        <w:jc w:val="both"/>
        <w:rPr>
          <w:rFonts w:ascii="Times New Roman" w:hAnsi="Times New Roman" w:cs="Times New Roman"/>
          <w:sz w:val="24"/>
          <w:lang w:val="sq-AL"/>
        </w:rPr>
      </w:pPr>
      <w:r w:rsidRPr="00B86071">
        <w:rPr>
          <w:rFonts w:ascii="Times New Roman" w:hAnsi="Times New Roman" w:cs="Times New Roman"/>
          <w:b/>
          <w:sz w:val="24"/>
          <w:lang w:val="sq-AL"/>
        </w:rPr>
        <w:t xml:space="preserve">Përmbajtja e hekurit Fe </w:t>
      </w:r>
      <w:r w:rsidRPr="00B86071">
        <w:rPr>
          <w:rFonts w:ascii="Times New Roman" w:hAnsi="Times New Roman" w:cs="Times New Roman"/>
          <w:b/>
          <w:sz w:val="24"/>
          <w:vertAlign w:val="superscript"/>
          <w:lang w:val="sq-AL"/>
        </w:rPr>
        <w:t>2+3</w:t>
      </w:r>
      <w:r w:rsidRPr="00B86071">
        <w:rPr>
          <w:rFonts w:ascii="Times New Roman" w:hAnsi="Times New Roman" w:cs="Times New Roman"/>
          <w:b/>
          <w:sz w:val="24"/>
          <w:lang w:val="sq-AL"/>
        </w:rPr>
        <w:t xml:space="preserve"> </w:t>
      </w:r>
      <w:r w:rsidRPr="00B86071">
        <w:rPr>
          <w:rFonts w:ascii="Times New Roman" w:hAnsi="Times New Roman" w:cs="Times New Roman"/>
          <w:sz w:val="24"/>
          <w:lang w:val="sq-AL"/>
        </w:rPr>
        <w:t>gjatë vitit 2025 në të dyja fazat e monitorimit ka rezultuar brenda normës së lejuar me përjashtim të stacionit të pompimit Ndroq.</w:t>
      </w:r>
    </w:p>
    <w:p w:rsidR="00B86071" w:rsidRPr="00B86071" w:rsidRDefault="00B86071" w:rsidP="00B86071">
      <w:pPr>
        <w:spacing w:after="200" w:line="276" w:lineRule="auto"/>
        <w:ind w:left="45"/>
        <w:contextualSpacing/>
        <w:jc w:val="both"/>
        <w:rPr>
          <w:rFonts w:ascii="Times New Roman" w:hAnsi="Times New Roman" w:cs="Times New Roman"/>
          <w:sz w:val="24"/>
          <w:lang w:val="sq-AL"/>
        </w:rPr>
      </w:pPr>
      <w:r w:rsidRPr="00B86071">
        <w:rPr>
          <w:rFonts w:ascii="Times New Roman" w:hAnsi="Times New Roman" w:cs="Times New Roman"/>
          <w:b/>
          <w:sz w:val="24"/>
          <w:lang w:val="sq-AL"/>
        </w:rPr>
        <w:lastRenderedPageBreak/>
        <w:t>Amonjaku NH</w:t>
      </w:r>
      <w:r w:rsidRPr="00B86071">
        <w:rPr>
          <w:rFonts w:ascii="Times New Roman" w:hAnsi="Times New Roman" w:cs="Times New Roman"/>
          <w:b/>
          <w:sz w:val="24"/>
          <w:vertAlign w:val="subscript"/>
          <w:lang w:val="sq-AL"/>
        </w:rPr>
        <w:t>4</w:t>
      </w:r>
      <w:r w:rsidRPr="00B86071">
        <w:rPr>
          <w:rFonts w:ascii="Times New Roman" w:hAnsi="Times New Roman" w:cs="Times New Roman"/>
          <w:sz w:val="24"/>
          <w:vertAlign w:val="subscript"/>
          <w:lang w:val="sq-AL"/>
        </w:rPr>
        <w:t xml:space="preserve"> </w:t>
      </w:r>
      <w:r w:rsidRPr="00B86071">
        <w:rPr>
          <w:rFonts w:ascii="Times New Roman" w:hAnsi="Times New Roman" w:cs="Times New Roman"/>
          <w:sz w:val="24"/>
          <w:lang w:val="sq-AL"/>
        </w:rPr>
        <w:t>për vitin 2025 varion nga 0.01 – 0.69 mg/l, mbi normën e lejuar për ujë të pijshëm.</w:t>
      </w:r>
    </w:p>
    <w:p w:rsidR="00B86071" w:rsidRPr="00B86071" w:rsidRDefault="00B86071" w:rsidP="00B86071">
      <w:pPr>
        <w:spacing w:after="200" w:line="276" w:lineRule="auto"/>
        <w:ind w:left="45"/>
        <w:contextualSpacing/>
        <w:jc w:val="both"/>
        <w:rPr>
          <w:rFonts w:ascii="Times New Roman" w:hAnsi="Times New Roman" w:cs="Times New Roman"/>
          <w:sz w:val="24"/>
          <w:lang w:val="sq-AL"/>
        </w:rPr>
      </w:pPr>
      <w:r w:rsidRPr="00B86071">
        <w:rPr>
          <w:rFonts w:ascii="Times New Roman" w:hAnsi="Times New Roman" w:cs="Times New Roman"/>
          <w:b/>
          <w:sz w:val="24"/>
          <w:lang w:val="sq-AL"/>
        </w:rPr>
        <w:t>Përmbajtja Nitriteve e NO</w:t>
      </w:r>
      <w:r w:rsidRPr="00B86071">
        <w:rPr>
          <w:rFonts w:ascii="Times New Roman" w:hAnsi="Times New Roman" w:cs="Times New Roman"/>
          <w:b/>
          <w:sz w:val="24"/>
          <w:vertAlign w:val="subscript"/>
          <w:lang w:val="sq-AL"/>
        </w:rPr>
        <w:t>2</w:t>
      </w:r>
      <w:r w:rsidRPr="00B86071">
        <w:rPr>
          <w:rFonts w:ascii="Times New Roman" w:hAnsi="Times New Roman" w:cs="Times New Roman"/>
          <w:sz w:val="24"/>
          <w:lang w:val="sq-AL"/>
        </w:rPr>
        <w:t xml:space="preserve"> takohet në të tre shpimet dhe varion në vlerat 0 – 0.024 mg/l me përjashtim të stacionit të pompimit Ndroq ku vetëm në fazën e dytë të monitorimit nitritet kanë rezultuar 0.038.</w:t>
      </w:r>
    </w:p>
    <w:p w:rsidR="00B86071" w:rsidRPr="00B86071" w:rsidRDefault="00B86071" w:rsidP="00B86071">
      <w:pPr>
        <w:spacing w:after="240" w:line="276" w:lineRule="auto"/>
        <w:ind w:left="45"/>
        <w:contextualSpacing/>
        <w:jc w:val="both"/>
        <w:rPr>
          <w:rFonts w:ascii="Times New Roman" w:hAnsi="Times New Roman" w:cs="Times New Roman"/>
          <w:sz w:val="24"/>
          <w:lang w:val="sq-AL"/>
        </w:rPr>
      </w:pPr>
      <w:r w:rsidRPr="00B86071">
        <w:rPr>
          <w:rFonts w:ascii="Times New Roman" w:hAnsi="Times New Roman" w:cs="Times New Roman"/>
          <w:b/>
          <w:sz w:val="24"/>
          <w:lang w:val="sq-AL"/>
        </w:rPr>
        <w:t>Përmbajtja Nitrateve NO</w:t>
      </w:r>
      <w:r w:rsidRPr="00B86071">
        <w:rPr>
          <w:rFonts w:ascii="Times New Roman" w:hAnsi="Times New Roman" w:cs="Times New Roman"/>
          <w:b/>
          <w:sz w:val="24"/>
          <w:vertAlign w:val="subscript"/>
          <w:lang w:val="sq-AL"/>
        </w:rPr>
        <w:t>3</w:t>
      </w:r>
      <w:r w:rsidRPr="00B86071">
        <w:rPr>
          <w:rFonts w:ascii="Times New Roman" w:hAnsi="Times New Roman" w:cs="Times New Roman"/>
          <w:b/>
          <w:sz w:val="24"/>
          <w:lang w:val="sq-AL"/>
        </w:rPr>
        <w:t xml:space="preserve"> </w:t>
      </w:r>
      <w:r w:rsidRPr="00B86071">
        <w:rPr>
          <w:rFonts w:ascii="Times New Roman" w:hAnsi="Times New Roman" w:cs="Times New Roman"/>
          <w:sz w:val="24"/>
          <w:lang w:val="sq-AL"/>
        </w:rPr>
        <w:t>për vitin 2025 rezulton 0.4 – 16.57 mg/l, ky tregues është brenda normës.</w:t>
      </w:r>
    </w:p>
    <w:p w:rsidR="00B86071" w:rsidRDefault="00B86071" w:rsidP="00B86071">
      <w:pPr>
        <w:spacing w:after="200" w:line="288" w:lineRule="auto"/>
        <w:rPr>
          <w:rFonts w:ascii="Times New Roman" w:hAnsi="Times New Roman" w:cs="Times New Roman"/>
          <w:b/>
          <w:i/>
          <w:sz w:val="24"/>
          <w:szCs w:val="24"/>
        </w:rPr>
      </w:pPr>
    </w:p>
    <w:p w:rsidR="00D87C5F" w:rsidRDefault="00B86071" w:rsidP="00D87C5F">
      <w:pPr>
        <w:spacing w:after="200" w:line="288" w:lineRule="auto"/>
        <w:rPr>
          <w:rFonts w:ascii="Times New Roman" w:eastAsiaTheme="minorEastAsia" w:hAnsi="Times New Roman" w:cs="Times New Roman"/>
          <w:sz w:val="24"/>
          <w:szCs w:val="24"/>
          <w:u w:val="single"/>
        </w:rPr>
      </w:pPr>
      <w:r w:rsidRPr="00D87C5F">
        <w:rPr>
          <w:rFonts w:ascii="Times New Roman" w:hAnsi="Times New Roman" w:cs="Times New Roman"/>
          <w:b/>
          <w:sz w:val="24"/>
          <w:szCs w:val="24"/>
          <w:u w:val="single"/>
        </w:rPr>
        <w:t>Akuiferit Karbonatik</w:t>
      </w:r>
    </w:p>
    <w:p w:rsidR="00B86071" w:rsidRPr="00903995" w:rsidRDefault="00B86071" w:rsidP="00903995">
      <w:pPr>
        <w:spacing w:after="200" w:line="288" w:lineRule="auto"/>
        <w:jc w:val="both"/>
        <w:rPr>
          <w:rFonts w:ascii="Times New Roman" w:eastAsiaTheme="minorEastAsia" w:hAnsi="Times New Roman" w:cs="Times New Roman"/>
          <w:sz w:val="24"/>
          <w:szCs w:val="24"/>
          <w:u w:val="single"/>
        </w:rPr>
      </w:pPr>
      <w:r w:rsidRPr="00B86071">
        <w:rPr>
          <w:rFonts w:ascii="Times New Roman" w:hAnsi="Times New Roman" w:cs="Times New Roman"/>
          <w:sz w:val="24"/>
          <w:szCs w:val="24"/>
        </w:rPr>
        <w:t xml:space="preserve">Monitorimi i cilësisë së UN në akuiferin karbonatik për vitin 2025 është kryer vetëm në burim e Bovillës. Ujrat nëntokësore të akuiferit karbonatik - gëlqerore të burimit të Bovillës të monitoruar ka veti të mira fiziko - kimike. Gjithë treguesit e përbërjes kimike plotësojnë normën e lejuar </w:t>
      </w:r>
      <w:r w:rsidRPr="00B86071">
        <w:rPr>
          <w:rFonts w:ascii="Times New Roman" w:hAnsi="Times New Roman" w:cs="Times New Roman"/>
          <w:sz w:val="24"/>
          <w:szCs w:val="24"/>
          <w:lang w:val="sq-AL"/>
        </w:rPr>
        <w:t>(sipas VKM 379 (25. 05. 2016)</w:t>
      </w:r>
      <w:r w:rsidRPr="00B86071">
        <w:rPr>
          <w:rFonts w:ascii="Times New Roman" w:hAnsi="Times New Roman" w:cs="Times New Roman"/>
          <w:sz w:val="24"/>
          <w:szCs w:val="24"/>
        </w:rPr>
        <w:t xml:space="preserve"> për ujë të pijshëm. Burimi Bovillës ka tregues shumë të mirë të gjithë elementeve të përbërjes kimike. Ndryshimet në fazat e monitorimit dhe janë të vogla.</w:t>
      </w:r>
    </w:p>
    <w:p w:rsidR="00B86071" w:rsidRPr="00B86071" w:rsidRDefault="00B86071" w:rsidP="00B86071">
      <w:pPr>
        <w:keepNext/>
        <w:spacing w:before="120" w:after="120" w:line="276" w:lineRule="auto"/>
        <w:jc w:val="both"/>
        <w:outlineLvl w:val="1"/>
        <w:rPr>
          <w:rFonts w:ascii="Times New Roman" w:eastAsia="Times New Roman" w:hAnsi="Times New Roman" w:cs="Times New Roman"/>
          <w:b/>
          <w:bCs/>
          <w:iCs/>
          <w:sz w:val="24"/>
          <w:szCs w:val="28"/>
          <w:lang w:val="sq-AL"/>
        </w:rPr>
      </w:pPr>
      <w:bookmarkStart w:id="31" w:name="_Toc223000359"/>
      <w:r w:rsidRPr="00B86071">
        <w:rPr>
          <w:rFonts w:ascii="Times New Roman" w:eastAsia="Times New Roman" w:hAnsi="Times New Roman" w:cs="Times New Roman"/>
          <w:b/>
          <w:bCs/>
          <w:iCs/>
          <w:sz w:val="24"/>
          <w:szCs w:val="28"/>
        </w:rPr>
        <w:t>Rekomandime për basenin Erzen-Ishëm:</w:t>
      </w:r>
      <w:bookmarkEnd w:id="31"/>
    </w:p>
    <w:p w:rsidR="00B86071" w:rsidRPr="00B86071" w:rsidRDefault="00B86071" w:rsidP="00807975">
      <w:pPr>
        <w:numPr>
          <w:ilvl w:val="0"/>
          <w:numId w:val="61"/>
        </w:numPr>
        <w:spacing w:after="120" w:line="276"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Zbutjen e fortësisë së përgjithshme brenda PML të lejuar për ujë të pijshëm për Stacionet e pompimit të ujësjellësave si: St.Pompimi Bërxull shpimi nr.47, St. Pompimit Laknas shpimi nr.6 dhe 8 Laknas (shinat e trenit), St. Pomp Valias - Rinas (St.Kamëz), St. Pompimit Gramëz shpimi 1N, St. Fushë-Krujë shpimit 327 dhe St.Pompimit Ndroq.</w:t>
      </w:r>
    </w:p>
    <w:p w:rsidR="00B86071" w:rsidRPr="00B86071" w:rsidRDefault="00B86071" w:rsidP="00807975">
      <w:pPr>
        <w:numPr>
          <w:ilvl w:val="0"/>
          <w:numId w:val="61"/>
        </w:numPr>
        <w:spacing w:after="120" w:line="276" w:lineRule="auto"/>
        <w:jc w:val="both"/>
        <w:rPr>
          <w:rFonts w:ascii="Times New Roman" w:hAnsi="Times New Roman" w:cs="Times New Roman"/>
          <w:sz w:val="24"/>
          <w:szCs w:val="24"/>
          <w:lang w:val="sq-AL"/>
        </w:rPr>
      </w:pPr>
      <w:r w:rsidRPr="00B86071">
        <w:rPr>
          <w:rFonts w:ascii="Times New Roman" w:hAnsi="Times New Roman" w:cs="Times New Roman"/>
          <w:sz w:val="24"/>
          <w:lang w:val="sq-AL"/>
        </w:rPr>
        <w:t xml:space="preserve">Zbatimin e zonave të rreptësisë dhe mbrojtjes sanitare rreth shpimeve të shfrytëzimit dhe burimeve për mbrojtjen e UN nga ndotjet sipërfaqësore. </w:t>
      </w:r>
    </w:p>
    <w:p w:rsidR="00B86071" w:rsidRDefault="00B86071" w:rsidP="00807975">
      <w:pPr>
        <w:numPr>
          <w:ilvl w:val="0"/>
          <w:numId w:val="61"/>
        </w:numPr>
        <w:spacing w:after="120" w:line="276"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Të monitorohen sasitë që shfrytëzohen nga subjektet dhe personat privatë në zonën në afërsi të stacionit të pompimit  St. Pompimit Laknas.</w:t>
      </w:r>
    </w:p>
    <w:p w:rsidR="00CA247F" w:rsidRPr="00B86071" w:rsidRDefault="00B86071" w:rsidP="00807975">
      <w:pPr>
        <w:numPr>
          <w:ilvl w:val="0"/>
          <w:numId w:val="61"/>
        </w:numPr>
        <w:spacing w:after="120" w:line="276"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Ndalimin e shfrytëzimit të zhavorreve në shtretërit e lumenjve për mbrojtjen e shpimeve të shfrytëzimit në taracat lumore, për ruajtjen e ekuilibrave hidrodinamike e hidrokimike të ushqimit të akuiferëve ujëmbajtës.</w:t>
      </w:r>
    </w:p>
    <w:p w:rsidR="00D87C5F" w:rsidRDefault="00D87C5F" w:rsidP="0005229A">
      <w:pPr>
        <w:spacing w:after="200" w:line="288" w:lineRule="auto"/>
        <w:rPr>
          <w:rFonts w:ascii="Times New Roman" w:eastAsiaTheme="minorEastAsia" w:hAnsi="Times New Roman" w:cs="Times New Roman"/>
          <w:sz w:val="24"/>
          <w:szCs w:val="24"/>
        </w:rPr>
      </w:pPr>
    </w:p>
    <w:p w:rsidR="00CA247F" w:rsidRPr="00D87C5F" w:rsidRDefault="00B86071" w:rsidP="0005229A">
      <w:pPr>
        <w:spacing w:after="200" w:line="288" w:lineRule="auto"/>
        <w:rPr>
          <w:rFonts w:ascii="Times New Roman" w:eastAsiaTheme="minorEastAsia" w:hAnsi="Times New Roman" w:cs="Times New Roman"/>
          <w:b/>
          <w:sz w:val="24"/>
          <w:szCs w:val="24"/>
        </w:rPr>
      </w:pPr>
      <w:r w:rsidRPr="00D87C5F">
        <w:rPr>
          <w:rFonts w:ascii="Times New Roman" w:eastAsiaTheme="minorEastAsia" w:hAnsi="Times New Roman" w:cs="Times New Roman"/>
          <w:b/>
          <w:sz w:val="24"/>
          <w:szCs w:val="24"/>
        </w:rPr>
        <w:t>4.2.4 Baseni Shkumbin</w:t>
      </w:r>
    </w:p>
    <w:p w:rsidR="00B86071" w:rsidRPr="00B86071" w:rsidRDefault="00B86071" w:rsidP="00B86071">
      <w:pPr>
        <w:spacing w:after="200" w:line="276" w:lineRule="auto"/>
        <w:jc w:val="both"/>
        <w:rPr>
          <w:rFonts w:ascii="Times New Roman" w:hAnsi="Times New Roman" w:cs="Times New Roman"/>
          <w:sz w:val="24"/>
          <w:szCs w:val="24"/>
          <w:lang w:val="it-IT"/>
        </w:rPr>
      </w:pPr>
      <w:r w:rsidRPr="00B86071">
        <w:rPr>
          <w:rFonts w:ascii="Times New Roman" w:hAnsi="Times New Roman" w:cs="Times New Roman"/>
          <w:color w:val="000000"/>
          <w:sz w:val="24"/>
          <w:szCs w:val="24"/>
          <w:lang w:val="sq-AL"/>
        </w:rPr>
        <w:t xml:space="preserve">Në basenin e Shkumbinit  shfrytëzohen rreth </w:t>
      </w:r>
      <w:r w:rsidRPr="00B86071">
        <w:rPr>
          <w:rFonts w:ascii="Times New Roman" w:hAnsi="Times New Roman" w:cs="Times New Roman"/>
          <w:color w:val="000000"/>
          <w:sz w:val="24"/>
          <w:lang w:val="sq-AL" w:eastAsia="ja-JP"/>
        </w:rPr>
        <w:t>2126 – 2564</w:t>
      </w:r>
      <w:r w:rsidRPr="00B86071">
        <w:rPr>
          <w:rFonts w:ascii="Times New Roman" w:hAnsi="Times New Roman" w:cs="Times New Roman"/>
          <w:b/>
          <w:color w:val="000000"/>
          <w:sz w:val="24"/>
          <w:lang w:val="sq-AL" w:eastAsia="ja-JP"/>
        </w:rPr>
        <w:t xml:space="preserve"> </w:t>
      </w:r>
      <w:r w:rsidRPr="00B86071">
        <w:rPr>
          <w:rFonts w:ascii="Times New Roman" w:hAnsi="Times New Roman" w:cs="Times New Roman"/>
          <w:color w:val="000000"/>
          <w:sz w:val="24"/>
          <w:szCs w:val="24"/>
          <w:lang w:val="sq-AL"/>
        </w:rPr>
        <w:t xml:space="preserve">l/sek. </w:t>
      </w:r>
      <w:r w:rsidRPr="00B86071">
        <w:rPr>
          <w:rFonts w:ascii="Times New Roman" w:hAnsi="Times New Roman" w:cs="Times New Roman"/>
          <w:sz w:val="24"/>
          <w:szCs w:val="24"/>
          <w:lang w:val="it-IT"/>
        </w:rPr>
        <w:t>Rezervat që shfrytëzohen për çdo akuifer janë më të vogla se ato që rekomandohen për shfrytëzim, që do të thotë se ka rezerva të lira të pashfrytëzuara që mund të përdoren për furnizimin me ujë të popullsisë, në rast nevoje.</w:t>
      </w:r>
    </w:p>
    <w:p w:rsidR="00B86071" w:rsidRPr="00B86071" w:rsidRDefault="00B86071" w:rsidP="00B86071">
      <w:pPr>
        <w:tabs>
          <w:tab w:val="left" w:pos="90"/>
        </w:tabs>
        <w:spacing w:after="0" w:line="240" w:lineRule="auto"/>
        <w:jc w:val="both"/>
        <w:rPr>
          <w:rFonts w:ascii="Times New Roman" w:hAnsi="Times New Roman" w:cs="Times New Roman"/>
          <w:color w:val="000000"/>
          <w:sz w:val="24"/>
          <w:szCs w:val="24"/>
          <w:lang w:val="sq-AL"/>
        </w:rPr>
      </w:pPr>
      <w:r w:rsidRPr="00B86071">
        <w:rPr>
          <w:rFonts w:ascii="Times New Roman" w:hAnsi="Times New Roman" w:cs="Times New Roman"/>
          <w:sz w:val="24"/>
          <w:szCs w:val="24"/>
          <w:lang w:val="sq-AL"/>
        </w:rPr>
        <w:t>Rezervat që shfrytëzohen nga çdo akuifer ujëmbajtës</w:t>
      </w:r>
      <w:r w:rsidRPr="00B86071">
        <w:rPr>
          <w:rFonts w:ascii="Times New Roman" w:hAnsi="Times New Roman" w:cs="Times New Roman"/>
          <w:color w:val="000000"/>
          <w:sz w:val="24"/>
          <w:szCs w:val="24"/>
          <w:lang w:val="sq-AL"/>
        </w:rPr>
        <w:t xml:space="preserve"> janë si më poshtë:</w:t>
      </w:r>
    </w:p>
    <w:p w:rsidR="00B86071" w:rsidRPr="00B86071" w:rsidRDefault="00B86071" w:rsidP="00807975">
      <w:pPr>
        <w:numPr>
          <w:ilvl w:val="0"/>
          <w:numId w:val="62"/>
        </w:numPr>
        <w:spacing w:before="120" w:after="120" w:line="240" w:lineRule="auto"/>
        <w:jc w:val="both"/>
        <w:rPr>
          <w:rFonts w:ascii="Times New Roman" w:hAnsi="Times New Roman" w:cs="Times New Roman"/>
          <w:sz w:val="24"/>
          <w:szCs w:val="24"/>
          <w:lang w:val="it-IT"/>
        </w:rPr>
      </w:pPr>
      <w:r w:rsidRPr="00B86071">
        <w:rPr>
          <w:rFonts w:ascii="Times New Roman" w:hAnsi="Times New Roman" w:cs="Times New Roman"/>
          <w:sz w:val="24"/>
          <w:szCs w:val="24"/>
          <w:lang w:val="it-IT"/>
        </w:rPr>
        <w:lastRenderedPageBreak/>
        <w:t>Akuiferi  kuaternar  i fushës së Elbasanit Q = 700 - 1250 l/sek  K = 0.25 – 0.3</w:t>
      </w:r>
    </w:p>
    <w:p w:rsidR="00B86071" w:rsidRPr="00B86071" w:rsidRDefault="00B86071" w:rsidP="00807975">
      <w:pPr>
        <w:numPr>
          <w:ilvl w:val="0"/>
          <w:numId w:val="62"/>
        </w:numPr>
        <w:spacing w:before="120" w:after="120" w:line="240" w:lineRule="auto"/>
        <w:jc w:val="both"/>
        <w:rPr>
          <w:rFonts w:ascii="Times New Roman" w:hAnsi="Times New Roman" w:cs="Times New Roman"/>
          <w:sz w:val="24"/>
          <w:szCs w:val="24"/>
          <w:lang w:val="it-IT"/>
        </w:rPr>
      </w:pPr>
      <w:r w:rsidRPr="00B86071">
        <w:rPr>
          <w:rFonts w:ascii="Times New Roman" w:hAnsi="Times New Roman" w:cs="Times New Roman"/>
          <w:sz w:val="24"/>
          <w:szCs w:val="24"/>
          <w:lang w:val="it-IT"/>
        </w:rPr>
        <w:t>Akuiferi kuaternar i Peqin Rrogozhinë Q = 100 - 200 l/sek         K = 0. 25 – 0.3</w:t>
      </w:r>
    </w:p>
    <w:p w:rsidR="00B86071" w:rsidRPr="00B86071" w:rsidRDefault="00B86071" w:rsidP="00807975">
      <w:pPr>
        <w:numPr>
          <w:ilvl w:val="0"/>
          <w:numId w:val="62"/>
        </w:numPr>
        <w:spacing w:before="120" w:after="120" w:line="240" w:lineRule="auto"/>
        <w:jc w:val="both"/>
        <w:rPr>
          <w:rFonts w:ascii="Times New Roman" w:hAnsi="Times New Roman" w:cs="Times New Roman"/>
          <w:sz w:val="24"/>
          <w:szCs w:val="24"/>
          <w:lang w:val="it-IT"/>
        </w:rPr>
      </w:pPr>
      <w:r w:rsidRPr="00B86071">
        <w:rPr>
          <w:rFonts w:ascii="Times New Roman" w:hAnsi="Times New Roman" w:cs="Times New Roman"/>
          <w:sz w:val="24"/>
          <w:szCs w:val="24"/>
          <w:lang w:val="it-IT"/>
        </w:rPr>
        <w:t>Akuiferin kuaternar të Lushnjës Çermë-Konjat Q = 650 - 700 l/sek   K = 0.95 – 1</w:t>
      </w:r>
    </w:p>
    <w:p w:rsidR="00B86071" w:rsidRPr="00B86071" w:rsidRDefault="00B86071" w:rsidP="00807975">
      <w:pPr>
        <w:numPr>
          <w:ilvl w:val="0"/>
          <w:numId w:val="62"/>
        </w:numPr>
        <w:spacing w:before="120" w:after="120" w:line="240" w:lineRule="auto"/>
        <w:jc w:val="both"/>
        <w:rPr>
          <w:rFonts w:ascii="Times New Roman" w:hAnsi="Times New Roman" w:cs="Times New Roman"/>
          <w:sz w:val="24"/>
          <w:szCs w:val="24"/>
          <w:lang w:val="it-IT"/>
        </w:rPr>
      </w:pPr>
      <w:r w:rsidRPr="00B86071">
        <w:rPr>
          <w:rFonts w:ascii="Times New Roman" w:hAnsi="Times New Roman" w:cs="Times New Roman"/>
          <w:sz w:val="24"/>
          <w:szCs w:val="24"/>
          <w:lang w:val="it-IT"/>
        </w:rPr>
        <w:t>Akuiferi karbonatik Q = 350 l/sek          K = 0.4 – 0.6</w:t>
      </w:r>
    </w:p>
    <w:p w:rsidR="00D87C5F" w:rsidRDefault="00D87C5F" w:rsidP="00B86071">
      <w:pPr>
        <w:spacing w:before="120" w:after="60" w:line="276" w:lineRule="auto"/>
        <w:jc w:val="both"/>
        <w:rPr>
          <w:rFonts w:ascii="Times New Roman" w:hAnsi="Times New Roman" w:cs="Times New Roman"/>
          <w:b/>
          <w:sz w:val="24"/>
          <w:szCs w:val="24"/>
          <w:lang w:val="sq-AL"/>
        </w:rPr>
      </w:pPr>
    </w:p>
    <w:p w:rsidR="00B86071" w:rsidRPr="00D87C5F" w:rsidRDefault="00B86071" w:rsidP="00B72496">
      <w:pPr>
        <w:pStyle w:val="ListParagraph"/>
        <w:numPr>
          <w:ilvl w:val="0"/>
          <w:numId w:val="79"/>
        </w:numPr>
        <w:spacing w:after="0" w:line="240" w:lineRule="auto"/>
        <w:jc w:val="both"/>
        <w:rPr>
          <w:rFonts w:ascii="Times New Roman" w:hAnsi="Times New Roman" w:cs="Times New Roman"/>
          <w:b/>
          <w:sz w:val="24"/>
          <w:szCs w:val="24"/>
          <w:lang w:val="sq-AL"/>
        </w:rPr>
      </w:pPr>
      <w:r w:rsidRPr="00D87C5F">
        <w:rPr>
          <w:rFonts w:ascii="Times New Roman" w:hAnsi="Times New Roman" w:cs="Times New Roman"/>
          <w:b/>
          <w:sz w:val="24"/>
          <w:szCs w:val="24"/>
          <w:lang w:val="sq-AL"/>
        </w:rPr>
        <w:t>Monitorimi hidrodinamik</w:t>
      </w:r>
    </w:p>
    <w:p w:rsidR="00B86071" w:rsidRPr="00B86071" w:rsidRDefault="00B86071" w:rsidP="00B72496">
      <w:pPr>
        <w:spacing w:after="0" w:line="240" w:lineRule="auto"/>
        <w:rPr>
          <w:rFonts w:ascii="Times New Roman" w:hAnsi="Times New Roman" w:cs="Times New Roman"/>
          <w:sz w:val="24"/>
          <w:szCs w:val="24"/>
          <w:lang w:val="sq-AL"/>
        </w:rPr>
      </w:pPr>
      <w:r w:rsidRPr="00B86071">
        <w:rPr>
          <w:rFonts w:ascii="Times New Roman" w:hAnsi="Times New Roman" w:cs="Times New Roman"/>
          <w:sz w:val="24"/>
          <w:szCs w:val="24"/>
          <w:lang w:val="sq-AL"/>
        </w:rPr>
        <w:t>Nivelet e ujërave nëntokësore në akuiferët porozë të Lushnjës (</w:t>
      </w:r>
      <w:r w:rsidRPr="00B86071">
        <w:rPr>
          <w:rFonts w:ascii="Times New Roman" w:hAnsi="Times New Roman" w:cs="Times New Roman"/>
          <w:bCs/>
          <w:iCs/>
          <w:color w:val="000000"/>
          <w:sz w:val="24"/>
          <w:szCs w:val="24"/>
          <w:lang w:val="sq-AL"/>
        </w:rPr>
        <w:t>Çermë-Konjat)</w:t>
      </w:r>
      <w:r w:rsidRPr="00B86071">
        <w:rPr>
          <w:rFonts w:ascii="Times New Roman" w:hAnsi="Times New Roman" w:cs="Times New Roman"/>
          <w:sz w:val="24"/>
          <w:szCs w:val="24"/>
          <w:lang w:val="sq-AL"/>
        </w:rPr>
        <w:t xml:space="preserve"> dhe Elbasanit.</w:t>
      </w:r>
    </w:p>
    <w:p w:rsidR="00B86071" w:rsidRPr="00B86071" w:rsidRDefault="00B86071" w:rsidP="00B72496">
      <w:pPr>
        <w:spacing w:after="0" w:line="240" w:lineRule="auto"/>
        <w:jc w:val="both"/>
        <w:rPr>
          <w:rFonts w:ascii="Times New Roman" w:hAnsi="Times New Roman" w:cs="Times New Roman"/>
          <w:sz w:val="24"/>
          <w:szCs w:val="24"/>
          <w:lang w:val="sq-AL"/>
        </w:rPr>
      </w:pPr>
      <w:r w:rsidRPr="00B86071">
        <w:rPr>
          <w:rFonts w:ascii="Times New Roman" w:hAnsi="Times New Roman" w:cs="Times New Roman"/>
          <w:bCs/>
          <w:sz w:val="24"/>
          <w:szCs w:val="24"/>
          <w:lang w:val="sq-AL"/>
        </w:rPr>
        <w:t>Monitorimi i nivelit të ujrave nëntokësore gjatë vitit 2025 është kryer në akuiferin poroz të Elbasanit është kryer në shpimin 10 A-Vidhas, në akuiferin kuaternar Çermë-Konjat në shpimet 281-Çermë dhe në shpimin St qëndror –Konjat.</w:t>
      </w:r>
      <w:r w:rsidRPr="00B86071">
        <w:rPr>
          <w:rFonts w:ascii="Times New Roman" w:hAnsi="Times New Roman" w:cs="Times New Roman"/>
          <w:sz w:val="24"/>
          <w:szCs w:val="24"/>
          <w:lang w:val="sq-AL"/>
        </w:rPr>
        <w:t>Luhatja e nivelit të ujrave nëntokësore lidhet me ndryshimet stinore dhe me ndryshimet për efekt shfrytëzimi.</w:t>
      </w:r>
    </w:p>
    <w:p w:rsidR="00B86071" w:rsidRDefault="00B86071" w:rsidP="00B72496">
      <w:pPr>
        <w:spacing w:after="0" w:line="240" w:lineRule="auto"/>
        <w:jc w:val="both"/>
        <w:rPr>
          <w:rFonts w:ascii="Times New Roman" w:hAnsi="Times New Roman" w:cs="Times New Roman"/>
          <w:bCs/>
          <w:iCs/>
          <w:sz w:val="24"/>
          <w:lang w:val="sq-AL"/>
        </w:rPr>
      </w:pPr>
      <w:r w:rsidRPr="00B86071">
        <w:rPr>
          <w:rFonts w:ascii="Times New Roman" w:hAnsi="Times New Roman" w:cs="Times New Roman"/>
          <w:bCs/>
          <w:iCs/>
          <w:sz w:val="24"/>
          <w:lang w:val="sq-AL"/>
        </w:rPr>
        <w:t>Nga kryerja e këtij monitorimi në këta akuifer ujëmbajtës për vitin 2025, rezulton se a</w:t>
      </w:r>
      <w:r w:rsidRPr="00B86071">
        <w:rPr>
          <w:rFonts w:ascii="Times New Roman" w:hAnsi="Times New Roman" w:cs="Times New Roman"/>
          <w:sz w:val="24"/>
          <w:lang w:val="sq-AL"/>
        </w:rPr>
        <w:t xml:space="preserve">mplituda e luhatjes së UN varion nga </w:t>
      </w:r>
      <w:r w:rsidRPr="00B86071">
        <w:rPr>
          <w:rFonts w:ascii="Times New Roman" w:hAnsi="Times New Roman" w:cs="Times New Roman"/>
          <w:b/>
          <w:bCs/>
          <w:iCs/>
          <w:sz w:val="24"/>
          <w:lang w:val="sq-AL"/>
        </w:rPr>
        <w:t>A =2.2-0.2m</w:t>
      </w:r>
      <w:r w:rsidRPr="00B86071">
        <w:rPr>
          <w:rFonts w:ascii="Times New Roman" w:hAnsi="Times New Roman" w:cs="Times New Roman"/>
          <w:bCs/>
          <w:iCs/>
          <w:sz w:val="24"/>
          <w:lang w:val="sq-AL"/>
        </w:rPr>
        <w:t xml:space="preserve">. </w:t>
      </w:r>
    </w:p>
    <w:p w:rsidR="00B72496" w:rsidRPr="00B86071" w:rsidRDefault="00B72496" w:rsidP="00B72496">
      <w:pPr>
        <w:spacing w:after="0" w:line="240" w:lineRule="auto"/>
        <w:jc w:val="both"/>
        <w:rPr>
          <w:rFonts w:ascii="Times New Roman" w:hAnsi="Times New Roman" w:cs="Times New Roman"/>
          <w:bCs/>
          <w:iCs/>
          <w:sz w:val="24"/>
          <w:lang w:val="sq-AL"/>
        </w:rPr>
      </w:pPr>
    </w:p>
    <w:tbl>
      <w:tblPr>
        <w:tblpPr w:leftFromText="180" w:rightFromText="180" w:vertAnchor="text" w:horzAnchor="margin" w:tblpY="671"/>
        <w:tblW w:w="9330" w:type="dxa"/>
        <w:tblLayout w:type="fixed"/>
        <w:tblCellMar>
          <w:left w:w="30" w:type="dxa"/>
          <w:right w:w="30" w:type="dxa"/>
        </w:tblCellMar>
        <w:tblLook w:val="04A0" w:firstRow="1" w:lastRow="0" w:firstColumn="1" w:lastColumn="0" w:noHBand="0" w:noVBand="1"/>
      </w:tblPr>
      <w:tblGrid>
        <w:gridCol w:w="2265"/>
        <w:gridCol w:w="2119"/>
        <w:gridCol w:w="2146"/>
        <w:gridCol w:w="2800"/>
      </w:tblGrid>
      <w:tr w:rsidR="00B72496" w:rsidRPr="00B86071" w:rsidTr="00B72496">
        <w:trPr>
          <w:trHeight w:hRule="exact" w:val="953"/>
        </w:trPr>
        <w:tc>
          <w:tcPr>
            <w:tcW w:w="2265" w:type="dxa"/>
            <w:tcBorders>
              <w:top w:val="single" w:sz="6" w:space="0" w:color="auto"/>
              <w:left w:val="single" w:sz="6" w:space="0" w:color="auto"/>
              <w:bottom w:val="single" w:sz="6" w:space="0" w:color="auto"/>
              <w:right w:val="single" w:sz="6" w:space="0" w:color="auto"/>
            </w:tcBorders>
            <w:vAlign w:val="bottom"/>
            <w:hideMark/>
          </w:tcPr>
          <w:p w:rsidR="00B72496" w:rsidRPr="00B86071" w:rsidRDefault="00B72496" w:rsidP="00B72496">
            <w:pPr>
              <w:spacing w:after="200" w:line="276" w:lineRule="auto"/>
              <w:jc w:val="center"/>
              <w:rPr>
                <w:rFonts w:ascii="Times New Roman" w:hAnsi="Times New Roman" w:cs="Times New Roman"/>
                <w:b/>
                <w:color w:val="000000"/>
                <w:sz w:val="20"/>
                <w:szCs w:val="20"/>
              </w:rPr>
            </w:pPr>
            <w:r w:rsidRPr="00B86071">
              <w:rPr>
                <w:rFonts w:ascii="Times New Roman" w:hAnsi="Times New Roman" w:cs="Times New Roman"/>
                <w:b/>
                <w:color w:val="000000"/>
                <w:sz w:val="20"/>
                <w:szCs w:val="20"/>
              </w:rPr>
              <w:t>Koha e matjeve</w:t>
            </w:r>
          </w:p>
        </w:tc>
        <w:tc>
          <w:tcPr>
            <w:tcW w:w="2119" w:type="dxa"/>
            <w:tcBorders>
              <w:top w:val="single" w:sz="6" w:space="0" w:color="auto"/>
              <w:left w:val="single" w:sz="6" w:space="0" w:color="auto"/>
              <w:bottom w:val="single" w:sz="6" w:space="0" w:color="auto"/>
              <w:right w:val="single" w:sz="6" w:space="0" w:color="auto"/>
            </w:tcBorders>
            <w:vAlign w:val="bottom"/>
            <w:hideMark/>
          </w:tcPr>
          <w:p w:rsidR="00B72496" w:rsidRPr="00B86071" w:rsidRDefault="00B72496" w:rsidP="00B72496">
            <w:pPr>
              <w:spacing w:after="200" w:line="276" w:lineRule="auto"/>
              <w:jc w:val="center"/>
              <w:rPr>
                <w:rFonts w:ascii="Times New Roman" w:hAnsi="Times New Roman" w:cs="Times New Roman"/>
                <w:b/>
                <w:color w:val="000000"/>
                <w:sz w:val="20"/>
                <w:szCs w:val="20"/>
              </w:rPr>
            </w:pPr>
            <w:r w:rsidRPr="00B86071">
              <w:rPr>
                <w:rFonts w:ascii="Times New Roman" w:hAnsi="Times New Roman" w:cs="Times New Roman"/>
                <w:b/>
                <w:color w:val="000000"/>
                <w:sz w:val="20"/>
                <w:szCs w:val="20"/>
              </w:rPr>
              <w:t>Shpimi10A-Vidhas</w:t>
            </w:r>
          </w:p>
        </w:tc>
        <w:tc>
          <w:tcPr>
            <w:tcW w:w="2146" w:type="dxa"/>
            <w:tcBorders>
              <w:top w:val="single" w:sz="6" w:space="0" w:color="auto"/>
              <w:left w:val="single" w:sz="6" w:space="0" w:color="auto"/>
              <w:bottom w:val="single" w:sz="6" w:space="0" w:color="auto"/>
              <w:right w:val="single" w:sz="6" w:space="0" w:color="auto"/>
            </w:tcBorders>
            <w:vAlign w:val="bottom"/>
            <w:hideMark/>
          </w:tcPr>
          <w:p w:rsidR="00B72496" w:rsidRPr="00B86071" w:rsidRDefault="00B72496" w:rsidP="00B72496">
            <w:pPr>
              <w:spacing w:after="200" w:line="276" w:lineRule="auto"/>
              <w:jc w:val="center"/>
              <w:rPr>
                <w:rFonts w:ascii="Times New Roman" w:hAnsi="Times New Roman" w:cs="Times New Roman"/>
                <w:b/>
                <w:color w:val="000000"/>
                <w:sz w:val="20"/>
                <w:szCs w:val="20"/>
              </w:rPr>
            </w:pPr>
            <w:r w:rsidRPr="00B86071">
              <w:rPr>
                <w:rFonts w:ascii="Times New Roman" w:hAnsi="Times New Roman" w:cs="Times New Roman"/>
                <w:b/>
                <w:color w:val="000000"/>
                <w:sz w:val="20"/>
                <w:szCs w:val="20"/>
              </w:rPr>
              <w:t>Shpimi -281,Çermë</w:t>
            </w:r>
          </w:p>
        </w:tc>
        <w:tc>
          <w:tcPr>
            <w:tcW w:w="2800" w:type="dxa"/>
            <w:tcBorders>
              <w:top w:val="single" w:sz="6" w:space="0" w:color="auto"/>
              <w:left w:val="single" w:sz="6" w:space="0" w:color="auto"/>
              <w:bottom w:val="single" w:sz="6" w:space="0" w:color="auto"/>
              <w:right w:val="single" w:sz="6" w:space="0" w:color="auto"/>
            </w:tcBorders>
            <w:vAlign w:val="bottom"/>
            <w:hideMark/>
          </w:tcPr>
          <w:p w:rsidR="00B72496" w:rsidRPr="00B86071" w:rsidRDefault="00B72496" w:rsidP="00B72496">
            <w:pPr>
              <w:spacing w:after="200" w:line="276" w:lineRule="auto"/>
              <w:jc w:val="center"/>
              <w:rPr>
                <w:rFonts w:ascii="Times New Roman" w:hAnsi="Times New Roman" w:cs="Times New Roman"/>
                <w:b/>
                <w:color w:val="000000"/>
                <w:sz w:val="20"/>
                <w:szCs w:val="20"/>
              </w:rPr>
            </w:pPr>
            <w:r w:rsidRPr="00B86071">
              <w:rPr>
                <w:rFonts w:ascii="Times New Roman" w:hAnsi="Times New Roman" w:cs="Times New Roman"/>
                <w:b/>
                <w:color w:val="000000"/>
                <w:sz w:val="20"/>
                <w:szCs w:val="20"/>
              </w:rPr>
              <w:t>St qëndror - Konjat</w:t>
            </w:r>
          </w:p>
        </w:tc>
      </w:tr>
      <w:tr w:rsidR="00B72496" w:rsidRPr="00B86071" w:rsidTr="00B72496">
        <w:trPr>
          <w:trHeight w:hRule="exact" w:val="234"/>
        </w:trPr>
        <w:tc>
          <w:tcPr>
            <w:tcW w:w="2265" w:type="dxa"/>
            <w:tcBorders>
              <w:top w:val="single" w:sz="6" w:space="0" w:color="auto"/>
              <w:left w:val="single" w:sz="6" w:space="0" w:color="auto"/>
              <w:bottom w:val="single" w:sz="6" w:space="0" w:color="auto"/>
              <w:right w:val="single" w:sz="6" w:space="0" w:color="auto"/>
            </w:tcBorders>
            <w:vAlign w:val="bottom"/>
            <w:hideMark/>
          </w:tcPr>
          <w:p w:rsidR="00B72496" w:rsidRPr="00B86071" w:rsidRDefault="00B72496"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Mars 2025</w:t>
            </w:r>
          </w:p>
        </w:tc>
        <w:tc>
          <w:tcPr>
            <w:tcW w:w="2119" w:type="dxa"/>
            <w:tcBorders>
              <w:top w:val="single" w:sz="6" w:space="0" w:color="auto"/>
              <w:left w:val="single" w:sz="6" w:space="0" w:color="auto"/>
              <w:bottom w:val="single" w:sz="6" w:space="0" w:color="auto"/>
              <w:right w:val="single" w:sz="6" w:space="0" w:color="auto"/>
            </w:tcBorders>
            <w:vAlign w:val="bottom"/>
            <w:hideMark/>
          </w:tcPr>
          <w:p w:rsidR="00B72496" w:rsidRPr="00B86071" w:rsidRDefault="00B72496" w:rsidP="00B72496">
            <w:pPr>
              <w:spacing w:after="200" w:line="276" w:lineRule="auto"/>
              <w:rPr>
                <w:rFonts w:ascii="Times New Roman" w:hAnsi="Times New Roman" w:cs="Times New Roman"/>
                <w:color w:val="000000"/>
                <w:sz w:val="20"/>
                <w:szCs w:val="20"/>
              </w:rPr>
            </w:pPr>
            <w:r w:rsidRPr="00B86071">
              <w:rPr>
                <w:rFonts w:ascii="Times New Roman" w:hAnsi="Times New Roman" w:cs="Times New Roman"/>
                <w:color w:val="000000"/>
                <w:sz w:val="20"/>
                <w:szCs w:val="20"/>
              </w:rPr>
              <w:t>-6.5</w:t>
            </w:r>
          </w:p>
        </w:tc>
        <w:tc>
          <w:tcPr>
            <w:tcW w:w="2146" w:type="dxa"/>
            <w:tcBorders>
              <w:top w:val="single" w:sz="6" w:space="0" w:color="auto"/>
              <w:left w:val="single" w:sz="6" w:space="0" w:color="auto"/>
              <w:bottom w:val="single" w:sz="6" w:space="0" w:color="auto"/>
              <w:right w:val="single" w:sz="6" w:space="0" w:color="auto"/>
            </w:tcBorders>
            <w:vAlign w:val="bottom"/>
            <w:hideMark/>
          </w:tcPr>
          <w:p w:rsidR="00B72496" w:rsidRPr="00B86071" w:rsidRDefault="00B72496"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-9.6</w:t>
            </w:r>
          </w:p>
        </w:tc>
        <w:tc>
          <w:tcPr>
            <w:tcW w:w="2800" w:type="dxa"/>
            <w:tcBorders>
              <w:top w:val="single" w:sz="6" w:space="0" w:color="auto"/>
              <w:left w:val="single" w:sz="6" w:space="0" w:color="auto"/>
              <w:bottom w:val="single" w:sz="6" w:space="0" w:color="auto"/>
              <w:right w:val="single" w:sz="6" w:space="0" w:color="auto"/>
            </w:tcBorders>
            <w:vAlign w:val="bottom"/>
            <w:hideMark/>
          </w:tcPr>
          <w:p w:rsidR="00B72496" w:rsidRPr="00B86071" w:rsidRDefault="00B72496"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-4.8</w:t>
            </w:r>
          </w:p>
        </w:tc>
      </w:tr>
      <w:tr w:rsidR="00B72496" w:rsidRPr="00B86071" w:rsidTr="00B72496">
        <w:trPr>
          <w:trHeight w:hRule="exact" w:val="234"/>
        </w:trPr>
        <w:tc>
          <w:tcPr>
            <w:tcW w:w="2265" w:type="dxa"/>
            <w:tcBorders>
              <w:top w:val="single" w:sz="6" w:space="0" w:color="auto"/>
              <w:left w:val="single" w:sz="6" w:space="0" w:color="auto"/>
              <w:bottom w:val="single" w:sz="6" w:space="0" w:color="auto"/>
              <w:right w:val="single" w:sz="6" w:space="0" w:color="auto"/>
            </w:tcBorders>
            <w:vAlign w:val="bottom"/>
            <w:hideMark/>
          </w:tcPr>
          <w:p w:rsidR="00B72496" w:rsidRPr="00B86071" w:rsidRDefault="00B72496"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Tetor 2025</w:t>
            </w:r>
          </w:p>
        </w:tc>
        <w:tc>
          <w:tcPr>
            <w:tcW w:w="2119" w:type="dxa"/>
            <w:tcBorders>
              <w:top w:val="single" w:sz="6" w:space="0" w:color="auto"/>
              <w:left w:val="single" w:sz="6" w:space="0" w:color="auto"/>
              <w:bottom w:val="single" w:sz="6" w:space="0" w:color="auto"/>
              <w:right w:val="single" w:sz="6" w:space="0" w:color="auto"/>
            </w:tcBorders>
            <w:vAlign w:val="bottom"/>
            <w:hideMark/>
          </w:tcPr>
          <w:p w:rsidR="00B72496" w:rsidRPr="00B86071" w:rsidRDefault="00B72496"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-6.7</w:t>
            </w:r>
          </w:p>
        </w:tc>
        <w:tc>
          <w:tcPr>
            <w:tcW w:w="2146" w:type="dxa"/>
            <w:tcBorders>
              <w:top w:val="single" w:sz="6" w:space="0" w:color="auto"/>
              <w:left w:val="single" w:sz="6" w:space="0" w:color="auto"/>
              <w:bottom w:val="single" w:sz="6" w:space="0" w:color="auto"/>
              <w:right w:val="single" w:sz="6" w:space="0" w:color="auto"/>
            </w:tcBorders>
            <w:vAlign w:val="bottom"/>
            <w:hideMark/>
          </w:tcPr>
          <w:p w:rsidR="00B72496" w:rsidRPr="00B86071" w:rsidRDefault="00B72496"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-11.8</w:t>
            </w:r>
          </w:p>
        </w:tc>
        <w:tc>
          <w:tcPr>
            <w:tcW w:w="2800" w:type="dxa"/>
            <w:tcBorders>
              <w:top w:val="single" w:sz="6" w:space="0" w:color="auto"/>
              <w:left w:val="single" w:sz="6" w:space="0" w:color="auto"/>
              <w:bottom w:val="single" w:sz="6" w:space="0" w:color="auto"/>
              <w:right w:val="single" w:sz="6" w:space="0" w:color="auto"/>
            </w:tcBorders>
            <w:vAlign w:val="bottom"/>
            <w:hideMark/>
          </w:tcPr>
          <w:p w:rsidR="00B72496" w:rsidRPr="00B86071" w:rsidRDefault="00B72496"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-5.38</w:t>
            </w:r>
          </w:p>
        </w:tc>
      </w:tr>
      <w:tr w:rsidR="00B72496" w:rsidRPr="00B86071" w:rsidTr="00B72496">
        <w:trPr>
          <w:trHeight w:hRule="exact" w:val="234"/>
        </w:trPr>
        <w:tc>
          <w:tcPr>
            <w:tcW w:w="2265" w:type="dxa"/>
            <w:tcBorders>
              <w:top w:val="single" w:sz="6" w:space="0" w:color="auto"/>
              <w:left w:val="single" w:sz="6" w:space="0" w:color="auto"/>
              <w:bottom w:val="single" w:sz="6" w:space="0" w:color="auto"/>
              <w:right w:val="single" w:sz="6" w:space="0" w:color="auto"/>
            </w:tcBorders>
            <w:hideMark/>
          </w:tcPr>
          <w:p w:rsidR="00B72496" w:rsidRPr="00B86071" w:rsidRDefault="00B72496" w:rsidP="00B72496">
            <w:pPr>
              <w:autoSpaceDE w:val="0"/>
              <w:autoSpaceDN w:val="0"/>
              <w:adjustRightInd w:val="0"/>
              <w:spacing w:after="200" w:line="276" w:lineRule="auto"/>
              <w:jc w:val="center"/>
              <w:rPr>
                <w:rFonts w:ascii="Times New Roman" w:eastAsia="Calibri" w:hAnsi="Times New Roman" w:cs="Times New Roman"/>
                <w:b/>
                <w:bCs/>
                <w:color w:val="000000"/>
                <w:sz w:val="20"/>
                <w:szCs w:val="20"/>
              </w:rPr>
            </w:pPr>
            <w:r w:rsidRPr="00B86071">
              <w:rPr>
                <w:rFonts w:ascii="Times New Roman" w:eastAsia="Calibri" w:hAnsi="Times New Roman" w:cs="Times New Roman"/>
                <w:b/>
                <w:bCs/>
                <w:color w:val="000000"/>
                <w:sz w:val="20"/>
                <w:szCs w:val="20"/>
              </w:rPr>
              <w:t>Amplituda</w:t>
            </w:r>
          </w:p>
        </w:tc>
        <w:tc>
          <w:tcPr>
            <w:tcW w:w="2119" w:type="dxa"/>
            <w:tcBorders>
              <w:top w:val="single" w:sz="6" w:space="0" w:color="auto"/>
              <w:left w:val="single" w:sz="6" w:space="0" w:color="auto"/>
              <w:bottom w:val="single" w:sz="6" w:space="0" w:color="auto"/>
              <w:right w:val="single" w:sz="6" w:space="0" w:color="auto"/>
            </w:tcBorders>
            <w:hideMark/>
          </w:tcPr>
          <w:p w:rsidR="00B72496" w:rsidRPr="00B86071" w:rsidRDefault="00B72496" w:rsidP="00B72496">
            <w:pPr>
              <w:autoSpaceDE w:val="0"/>
              <w:autoSpaceDN w:val="0"/>
              <w:adjustRightInd w:val="0"/>
              <w:spacing w:after="200" w:line="276" w:lineRule="auto"/>
              <w:jc w:val="center"/>
              <w:rPr>
                <w:rFonts w:ascii="Times New Roman" w:eastAsia="Calibri" w:hAnsi="Times New Roman" w:cs="Times New Roman"/>
                <w:b/>
                <w:bCs/>
                <w:color w:val="000000"/>
                <w:sz w:val="20"/>
                <w:szCs w:val="20"/>
              </w:rPr>
            </w:pPr>
            <w:r w:rsidRPr="00B86071">
              <w:rPr>
                <w:rFonts w:ascii="Times New Roman" w:eastAsia="Calibri" w:hAnsi="Times New Roman" w:cs="Times New Roman"/>
                <w:b/>
                <w:bCs/>
                <w:color w:val="000000"/>
                <w:sz w:val="20"/>
                <w:szCs w:val="20"/>
              </w:rPr>
              <w:t>+0.2</w:t>
            </w:r>
          </w:p>
        </w:tc>
        <w:tc>
          <w:tcPr>
            <w:tcW w:w="2146" w:type="dxa"/>
            <w:tcBorders>
              <w:top w:val="single" w:sz="6" w:space="0" w:color="auto"/>
              <w:left w:val="single" w:sz="6" w:space="0" w:color="auto"/>
              <w:bottom w:val="single" w:sz="6" w:space="0" w:color="auto"/>
              <w:right w:val="single" w:sz="6" w:space="0" w:color="auto"/>
            </w:tcBorders>
            <w:hideMark/>
          </w:tcPr>
          <w:p w:rsidR="00B72496" w:rsidRPr="00B86071" w:rsidRDefault="00B72496" w:rsidP="00B72496">
            <w:pPr>
              <w:autoSpaceDE w:val="0"/>
              <w:autoSpaceDN w:val="0"/>
              <w:adjustRightInd w:val="0"/>
              <w:spacing w:after="200" w:line="276" w:lineRule="auto"/>
              <w:jc w:val="center"/>
              <w:rPr>
                <w:rFonts w:ascii="Times New Roman" w:eastAsia="Calibri" w:hAnsi="Times New Roman" w:cs="Times New Roman"/>
                <w:b/>
                <w:bCs/>
                <w:color w:val="000000"/>
                <w:sz w:val="20"/>
                <w:szCs w:val="20"/>
              </w:rPr>
            </w:pPr>
            <w:r w:rsidRPr="00B86071">
              <w:rPr>
                <w:rFonts w:ascii="Times New Roman" w:eastAsia="Calibri" w:hAnsi="Times New Roman" w:cs="Times New Roman"/>
                <w:b/>
                <w:bCs/>
                <w:color w:val="000000"/>
                <w:sz w:val="20"/>
                <w:szCs w:val="20"/>
              </w:rPr>
              <w:t>+2.2</w:t>
            </w:r>
          </w:p>
        </w:tc>
        <w:tc>
          <w:tcPr>
            <w:tcW w:w="2800" w:type="dxa"/>
            <w:tcBorders>
              <w:top w:val="single" w:sz="6" w:space="0" w:color="auto"/>
              <w:left w:val="single" w:sz="6" w:space="0" w:color="auto"/>
              <w:bottom w:val="single" w:sz="6" w:space="0" w:color="auto"/>
              <w:right w:val="single" w:sz="6" w:space="0" w:color="auto"/>
            </w:tcBorders>
            <w:hideMark/>
          </w:tcPr>
          <w:p w:rsidR="00B72496" w:rsidRPr="00B86071" w:rsidRDefault="00B72496" w:rsidP="00B72496">
            <w:pPr>
              <w:autoSpaceDE w:val="0"/>
              <w:autoSpaceDN w:val="0"/>
              <w:adjustRightInd w:val="0"/>
              <w:spacing w:after="200" w:line="276" w:lineRule="auto"/>
              <w:jc w:val="center"/>
              <w:rPr>
                <w:rFonts w:ascii="Times New Roman" w:eastAsia="Calibri" w:hAnsi="Times New Roman" w:cs="Times New Roman"/>
                <w:b/>
                <w:bCs/>
                <w:color w:val="000000"/>
                <w:sz w:val="20"/>
                <w:szCs w:val="20"/>
              </w:rPr>
            </w:pPr>
            <w:r w:rsidRPr="00B86071">
              <w:rPr>
                <w:rFonts w:ascii="Times New Roman" w:eastAsia="Calibri" w:hAnsi="Times New Roman" w:cs="Times New Roman"/>
                <w:b/>
                <w:bCs/>
                <w:color w:val="000000"/>
                <w:sz w:val="20"/>
                <w:szCs w:val="20"/>
              </w:rPr>
              <w:t>0.58</w:t>
            </w:r>
          </w:p>
        </w:tc>
      </w:tr>
    </w:tbl>
    <w:p w:rsidR="00B86071" w:rsidRPr="00B86071" w:rsidRDefault="00B72496" w:rsidP="00B86071">
      <w:pPr>
        <w:spacing w:after="200" w:line="276" w:lineRule="auto"/>
        <w:jc w:val="both"/>
        <w:rPr>
          <w:rFonts w:ascii="Times New Roman" w:hAnsi="Times New Roman" w:cs="Times New Roman"/>
          <w:bCs/>
          <w:iCs/>
          <w:sz w:val="24"/>
          <w:lang w:val="sq-AL"/>
        </w:rPr>
      </w:pPr>
      <w:r>
        <w:rPr>
          <w:rFonts w:ascii="Times New Roman" w:hAnsi="Times New Roman" w:cs="Times New Roman"/>
          <w:bCs/>
          <w:iCs/>
          <w:sz w:val="24"/>
          <w:lang w:val="sq-AL"/>
        </w:rPr>
        <w:t xml:space="preserve">               Tabela 36. </w:t>
      </w:r>
      <w:r w:rsidR="00B86071" w:rsidRPr="00B86071">
        <w:rPr>
          <w:rFonts w:ascii="Times New Roman" w:hAnsi="Times New Roman" w:cs="Times New Roman"/>
          <w:bCs/>
          <w:iCs/>
          <w:sz w:val="24"/>
          <w:lang w:val="sq-AL"/>
        </w:rPr>
        <w:t>Të dhënat e monitoruara në akuiferin e Shkumbinit:</w:t>
      </w:r>
    </w:p>
    <w:p w:rsidR="00B72496" w:rsidRDefault="00B72496" w:rsidP="00B86071">
      <w:pPr>
        <w:spacing w:after="200" w:line="276" w:lineRule="auto"/>
        <w:jc w:val="both"/>
        <w:rPr>
          <w:rFonts w:ascii="Times New Roman" w:eastAsiaTheme="minorEastAsia" w:hAnsi="Times New Roman" w:cs="Times New Roman"/>
          <w:sz w:val="24"/>
          <w:szCs w:val="24"/>
        </w:rPr>
      </w:pPr>
    </w:p>
    <w:p w:rsidR="00B86071" w:rsidRPr="00B86071" w:rsidRDefault="00B86071" w:rsidP="00B86071">
      <w:pPr>
        <w:spacing w:after="200" w:line="276" w:lineRule="auto"/>
        <w:jc w:val="both"/>
        <w:rPr>
          <w:rFonts w:ascii="Times New Roman" w:hAnsi="Times New Roman" w:cs="Times New Roman"/>
          <w:sz w:val="24"/>
          <w:lang w:val="sq-AL"/>
        </w:rPr>
      </w:pPr>
      <w:r w:rsidRPr="00B86071">
        <w:rPr>
          <w:rFonts w:ascii="Times New Roman" w:hAnsi="Times New Roman" w:cs="Times New Roman"/>
          <w:sz w:val="24"/>
          <w:lang w:val="sq-AL"/>
        </w:rPr>
        <w:t>Ndryshimet stinore që kanë të bëjnë me kushtet klimatike gjatë vitit shprehen me ngritjen e nivelit të UN në muajin Shkurt–Mars dhe uljen e vazhdueshme të nivelit gjatë gjithë verës deri në Shtator.</w:t>
      </w:r>
    </w:p>
    <w:p w:rsidR="00B86071" w:rsidRPr="00D87C5F" w:rsidRDefault="00B86071" w:rsidP="00807975">
      <w:pPr>
        <w:pStyle w:val="ListParagraph"/>
        <w:numPr>
          <w:ilvl w:val="0"/>
          <w:numId w:val="80"/>
        </w:numPr>
        <w:spacing w:before="120" w:after="60" w:line="276" w:lineRule="auto"/>
        <w:rPr>
          <w:rFonts w:ascii="Times New Roman" w:hAnsi="Times New Roman" w:cs="Times New Roman"/>
          <w:b/>
          <w:sz w:val="24"/>
          <w:szCs w:val="24"/>
          <w:lang w:val="sq-AL"/>
        </w:rPr>
      </w:pPr>
      <w:r w:rsidRPr="00D87C5F">
        <w:rPr>
          <w:rFonts w:ascii="Times New Roman" w:hAnsi="Times New Roman" w:cs="Times New Roman"/>
          <w:b/>
          <w:sz w:val="24"/>
          <w:szCs w:val="24"/>
          <w:lang w:val="sq-AL"/>
        </w:rPr>
        <w:t>Monitorimi hidrokimik</w:t>
      </w:r>
    </w:p>
    <w:p w:rsidR="00B86071" w:rsidRPr="00B86071" w:rsidRDefault="00B86071" w:rsidP="00B86071">
      <w:pPr>
        <w:spacing w:before="120" w:after="60" w:line="276" w:lineRule="auto"/>
        <w:jc w:val="both"/>
        <w:rPr>
          <w:rFonts w:ascii="Times New Roman" w:hAnsi="Times New Roman" w:cs="Times New Roman"/>
          <w:b/>
          <w:sz w:val="24"/>
          <w:szCs w:val="24"/>
          <w:lang w:val="sq-AL"/>
        </w:rPr>
      </w:pPr>
      <w:r w:rsidRPr="00B86071">
        <w:rPr>
          <w:rFonts w:ascii="Times New Roman" w:hAnsi="Times New Roman" w:cs="Times New Roman"/>
          <w:sz w:val="24"/>
          <w:szCs w:val="24"/>
          <w:lang w:val="sq-AL"/>
        </w:rPr>
        <w:t>Ujërat nëntokësore të këtij baseni në përgjithësi kanë veti fiziko- kimike të mira. Ato përdoren për furnizimin me ujë të pijshëm të popullsisë dhe bizneseve. Shfaqja e përmbajtjes së NO</w:t>
      </w:r>
      <w:r w:rsidRPr="00B86071">
        <w:rPr>
          <w:rFonts w:ascii="Times New Roman" w:hAnsi="Times New Roman" w:cs="Times New Roman"/>
          <w:sz w:val="24"/>
          <w:szCs w:val="24"/>
          <w:vertAlign w:val="subscript"/>
          <w:lang w:val="sq-AL"/>
        </w:rPr>
        <w:t>2</w:t>
      </w:r>
      <w:r w:rsidRPr="00B86071">
        <w:rPr>
          <w:rFonts w:ascii="Times New Roman" w:hAnsi="Times New Roman" w:cs="Times New Roman"/>
          <w:sz w:val="24"/>
          <w:szCs w:val="24"/>
          <w:lang w:val="sq-AL"/>
        </w:rPr>
        <w:t>, NO</w:t>
      </w:r>
      <w:r w:rsidRPr="00B86071">
        <w:rPr>
          <w:rFonts w:ascii="Times New Roman" w:hAnsi="Times New Roman" w:cs="Times New Roman"/>
          <w:sz w:val="24"/>
          <w:szCs w:val="24"/>
          <w:vertAlign w:val="subscript"/>
          <w:lang w:val="sq-AL"/>
        </w:rPr>
        <w:t>3</w:t>
      </w:r>
      <w:r w:rsidRPr="00B86071">
        <w:rPr>
          <w:rFonts w:ascii="Times New Roman" w:hAnsi="Times New Roman" w:cs="Times New Roman"/>
          <w:sz w:val="24"/>
          <w:szCs w:val="24"/>
          <w:lang w:val="sq-AL"/>
        </w:rPr>
        <w:t xml:space="preserve"> dhe NH</w:t>
      </w:r>
      <w:r w:rsidRPr="00B86071">
        <w:rPr>
          <w:rFonts w:ascii="Times New Roman" w:hAnsi="Times New Roman" w:cs="Times New Roman"/>
          <w:sz w:val="24"/>
          <w:szCs w:val="24"/>
          <w:vertAlign w:val="subscript"/>
          <w:lang w:val="sq-AL"/>
        </w:rPr>
        <w:t>4</w:t>
      </w:r>
      <w:r w:rsidRPr="00B86071">
        <w:rPr>
          <w:rFonts w:ascii="Times New Roman" w:hAnsi="Times New Roman" w:cs="Times New Roman"/>
          <w:sz w:val="24"/>
          <w:szCs w:val="24"/>
          <w:lang w:val="sq-AL"/>
        </w:rPr>
        <w:t xml:space="preserve"> lidhet me mos zbatimin e zonave të rreptësisë dhe mbrojtjes sanitare të shpimeve.</w:t>
      </w:r>
    </w:p>
    <w:p w:rsidR="00B86071" w:rsidRPr="00B86071" w:rsidRDefault="00B86071" w:rsidP="00B86071">
      <w:pPr>
        <w:tabs>
          <w:tab w:val="left" w:pos="90"/>
        </w:tabs>
        <w:spacing w:after="0" w:line="276" w:lineRule="auto"/>
        <w:jc w:val="both"/>
        <w:rPr>
          <w:rFonts w:ascii="Times New Roman" w:hAnsi="Times New Roman" w:cs="Times New Roman"/>
          <w:b/>
          <w:i/>
          <w:color w:val="000000"/>
          <w:sz w:val="24"/>
          <w:szCs w:val="24"/>
          <w:lang w:val="sq-AL"/>
        </w:rPr>
      </w:pPr>
      <w:r w:rsidRPr="00B86071">
        <w:rPr>
          <w:rFonts w:ascii="Times New Roman" w:hAnsi="Times New Roman" w:cs="Times New Roman"/>
          <w:b/>
          <w:i/>
          <w:color w:val="000000"/>
          <w:sz w:val="24"/>
          <w:szCs w:val="24"/>
          <w:lang w:val="sq-AL"/>
        </w:rPr>
        <w:t xml:space="preserve">Në akuiferin karbonatik: </w:t>
      </w:r>
    </w:p>
    <w:p w:rsidR="00B86071" w:rsidRPr="00B86071" w:rsidRDefault="00B86071" w:rsidP="00D87C5F">
      <w:pPr>
        <w:tabs>
          <w:tab w:val="left" w:pos="90"/>
        </w:tabs>
        <w:spacing w:after="0" w:line="240" w:lineRule="auto"/>
        <w:ind w:left="360"/>
        <w:rPr>
          <w:rFonts w:ascii="Times New Roman" w:hAnsi="Times New Roman" w:cs="Times New Roman"/>
          <w:color w:val="000000"/>
          <w:sz w:val="24"/>
          <w:lang w:val="sq-AL"/>
        </w:rPr>
      </w:pPr>
      <w:r w:rsidRPr="00B86071">
        <w:rPr>
          <w:rFonts w:ascii="Times New Roman" w:hAnsi="Times New Roman" w:cs="Times New Roman"/>
          <w:b/>
          <w:color w:val="000000"/>
          <w:sz w:val="24"/>
          <w:lang w:val="sq-AL"/>
        </w:rPr>
        <w:t>T</w:t>
      </w:r>
      <w:r w:rsidRPr="00B86071">
        <w:rPr>
          <w:rFonts w:ascii="Times New Roman" w:hAnsi="Times New Roman" w:cs="Times New Roman"/>
          <w:color w:val="000000"/>
          <w:sz w:val="24"/>
          <w:lang w:val="sq-AL"/>
        </w:rPr>
        <w:t xml:space="preserve"> varion ne vlera 9 – 15</w:t>
      </w:r>
      <w:r w:rsidRPr="00B86071">
        <w:rPr>
          <w:rFonts w:ascii="Times New Roman" w:hAnsi="Times New Roman" w:cs="Times New Roman"/>
          <w:color w:val="000000"/>
          <w:sz w:val="24"/>
          <w:vertAlign w:val="superscript"/>
          <w:lang w:val="sq-AL"/>
        </w:rPr>
        <w:t>o</w:t>
      </w:r>
      <w:r w:rsidRPr="00B86071">
        <w:rPr>
          <w:rFonts w:ascii="Times New Roman" w:hAnsi="Times New Roman" w:cs="Times New Roman"/>
          <w:color w:val="000000"/>
          <w:sz w:val="24"/>
          <w:lang w:val="sq-AL"/>
        </w:rPr>
        <w:t>C</w:t>
      </w:r>
    </w:p>
    <w:p w:rsidR="00B86071" w:rsidRPr="00B86071" w:rsidRDefault="00B86071" w:rsidP="00D87C5F">
      <w:pPr>
        <w:tabs>
          <w:tab w:val="left" w:pos="90"/>
        </w:tabs>
        <w:spacing w:after="0" w:line="240" w:lineRule="auto"/>
        <w:ind w:left="360"/>
        <w:rPr>
          <w:rFonts w:ascii="Times New Roman" w:hAnsi="Times New Roman" w:cs="Times New Roman"/>
          <w:color w:val="000000"/>
          <w:sz w:val="24"/>
          <w:lang w:val="sq-AL"/>
        </w:rPr>
      </w:pPr>
      <w:r w:rsidRPr="00B86071">
        <w:rPr>
          <w:rFonts w:ascii="Times New Roman" w:hAnsi="Times New Roman" w:cs="Times New Roman"/>
          <w:b/>
          <w:color w:val="000000"/>
          <w:sz w:val="24"/>
          <w:lang w:val="sq-AL"/>
        </w:rPr>
        <w:t>pH</w:t>
      </w:r>
      <w:r w:rsidRPr="00B86071">
        <w:rPr>
          <w:rFonts w:ascii="Times New Roman" w:hAnsi="Times New Roman" w:cs="Times New Roman"/>
          <w:color w:val="000000"/>
          <w:sz w:val="24"/>
          <w:lang w:val="sq-AL"/>
        </w:rPr>
        <w:t xml:space="preserve"> varion në vlera 7.24 – 8.02, janë ujëra alkalinë të dobëta</w:t>
      </w:r>
    </w:p>
    <w:p w:rsidR="00B86071" w:rsidRPr="00B86071" w:rsidRDefault="00B86071" w:rsidP="00D87C5F">
      <w:pPr>
        <w:spacing w:after="0" w:line="240" w:lineRule="auto"/>
        <w:ind w:left="360"/>
        <w:rPr>
          <w:rFonts w:ascii="Times New Roman" w:hAnsi="Times New Roman" w:cs="Times New Roman"/>
          <w:sz w:val="24"/>
          <w:lang w:val="sq-AL"/>
        </w:rPr>
      </w:pPr>
      <w:r w:rsidRPr="00B86071">
        <w:rPr>
          <w:rFonts w:ascii="Times New Roman" w:hAnsi="Times New Roman" w:cs="Times New Roman"/>
          <w:b/>
          <w:sz w:val="24"/>
          <w:lang w:val="sq-AL"/>
        </w:rPr>
        <w:t>Fp</w:t>
      </w:r>
      <w:r w:rsidRPr="00B86071">
        <w:rPr>
          <w:rFonts w:ascii="Times New Roman" w:hAnsi="Times New Roman" w:cs="Times New Roman"/>
          <w:sz w:val="24"/>
          <w:lang w:val="sq-AL"/>
        </w:rPr>
        <w:t xml:space="preserve"> varion nga Fp = 9.52 - 10.92</w:t>
      </w:r>
      <w:r w:rsidRPr="00B86071">
        <w:rPr>
          <w:rFonts w:ascii="Times New Roman" w:hAnsi="Times New Roman" w:cs="Times New Roman"/>
          <w:sz w:val="24"/>
          <w:vertAlign w:val="superscript"/>
          <w:lang w:val="sq-AL"/>
        </w:rPr>
        <w:t>o</w:t>
      </w:r>
      <w:r w:rsidRPr="00B86071">
        <w:rPr>
          <w:rFonts w:ascii="Times New Roman" w:hAnsi="Times New Roman" w:cs="Times New Roman"/>
          <w:sz w:val="24"/>
          <w:lang w:val="sq-AL"/>
        </w:rPr>
        <w:t xml:space="preserve"> gjermane, pra janë ujëra mesatarisht të forta</w:t>
      </w:r>
    </w:p>
    <w:p w:rsidR="00B86071" w:rsidRPr="00B86071" w:rsidRDefault="00B86071" w:rsidP="00D87C5F">
      <w:pPr>
        <w:spacing w:after="0" w:line="240" w:lineRule="auto"/>
        <w:ind w:left="360"/>
        <w:rPr>
          <w:rFonts w:ascii="Times New Roman" w:hAnsi="Times New Roman" w:cs="Times New Roman"/>
          <w:color w:val="000000"/>
          <w:sz w:val="24"/>
          <w:lang w:val="sq-AL"/>
        </w:rPr>
      </w:pPr>
      <w:r w:rsidRPr="00B86071">
        <w:rPr>
          <w:rFonts w:ascii="Times New Roman" w:hAnsi="Times New Roman" w:cs="Times New Roman"/>
          <w:b/>
          <w:sz w:val="24"/>
          <w:lang w:val="sq-AL"/>
        </w:rPr>
        <w:t>Mp</w:t>
      </w:r>
      <w:r w:rsidRPr="00B86071">
        <w:rPr>
          <w:rFonts w:ascii="Times New Roman" w:hAnsi="Times New Roman" w:cs="Times New Roman"/>
          <w:sz w:val="24"/>
          <w:lang w:val="sq-AL"/>
        </w:rPr>
        <w:t xml:space="preserve">  shkon nga 283.61 - 312.21 mg/l, pra janë ujëra të ëmbla, tipi i ujit është HCO</w:t>
      </w:r>
      <w:r w:rsidRPr="00B86071">
        <w:rPr>
          <w:rFonts w:ascii="Times New Roman" w:hAnsi="Times New Roman" w:cs="Times New Roman"/>
          <w:sz w:val="24"/>
          <w:vertAlign w:val="subscript"/>
          <w:lang w:val="sq-AL"/>
        </w:rPr>
        <w:t>3</w:t>
      </w:r>
      <w:r w:rsidRPr="00B86071">
        <w:rPr>
          <w:rFonts w:ascii="Times New Roman" w:hAnsi="Times New Roman" w:cs="Times New Roman"/>
          <w:sz w:val="24"/>
          <w:lang w:val="sq-AL"/>
        </w:rPr>
        <w:t xml:space="preserve"> - Ca</w:t>
      </w:r>
    </w:p>
    <w:p w:rsidR="00B86071" w:rsidRPr="00B86071" w:rsidRDefault="00B86071" w:rsidP="00D87C5F">
      <w:pPr>
        <w:spacing w:after="0" w:line="240" w:lineRule="auto"/>
        <w:ind w:left="360"/>
        <w:rPr>
          <w:rFonts w:ascii="Times New Roman" w:hAnsi="Times New Roman" w:cs="Times New Roman"/>
          <w:color w:val="000000"/>
          <w:sz w:val="24"/>
          <w:lang w:val="sq-AL"/>
        </w:rPr>
      </w:pPr>
      <w:r w:rsidRPr="00B86071">
        <w:rPr>
          <w:rFonts w:ascii="Times New Roman" w:hAnsi="Times New Roman" w:cs="Times New Roman"/>
          <w:b/>
          <w:sz w:val="24"/>
          <w:lang w:val="sq-AL"/>
        </w:rPr>
        <w:t>NH</w:t>
      </w:r>
      <w:r w:rsidRPr="00B86071">
        <w:rPr>
          <w:rFonts w:ascii="Times New Roman" w:hAnsi="Times New Roman" w:cs="Times New Roman"/>
          <w:b/>
          <w:sz w:val="24"/>
          <w:vertAlign w:val="subscript"/>
          <w:lang w:val="sq-AL"/>
        </w:rPr>
        <w:t>4</w:t>
      </w:r>
      <w:r w:rsidRPr="00B86071">
        <w:rPr>
          <w:rFonts w:ascii="Times New Roman" w:hAnsi="Times New Roman" w:cs="Times New Roman"/>
          <w:b/>
          <w:sz w:val="24"/>
          <w:lang w:val="sq-AL"/>
        </w:rPr>
        <w:t xml:space="preserve"> </w:t>
      </w:r>
      <w:r w:rsidRPr="00B86071">
        <w:rPr>
          <w:rFonts w:ascii="Times New Roman" w:hAnsi="Times New Roman" w:cs="Times New Roman"/>
          <w:sz w:val="24"/>
          <w:lang w:val="sq-AL"/>
        </w:rPr>
        <w:t>dhe</w:t>
      </w:r>
      <w:r w:rsidRPr="00B86071">
        <w:rPr>
          <w:rFonts w:ascii="Times New Roman" w:hAnsi="Times New Roman" w:cs="Times New Roman"/>
          <w:b/>
          <w:sz w:val="24"/>
          <w:lang w:val="sq-AL"/>
        </w:rPr>
        <w:t xml:space="preserve"> NO</w:t>
      </w:r>
      <w:r w:rsidRPr="00B86071">
        <w:rPr>
          <w:rFonts w:ascii="Times New Roman" w:hAnsi="Times New Roman" w:cs="Times New Roman"/>
          <w:b/>
          <w:sz w:val="24"/>
          <w:vertAlign w:val="subscript"/>
          <w:lang w:val="sq-AL"/>
        </w:rPr>
        <w:t>2</w:t>
      </w:r>
      <w:r w:rsidRPr="00B86071">
        <w:rPr>
          <w:rFonts w:ascii="Times New Roman" w:hAnsi="Times New Roman" w:cs="Times New Roman"/>
          <w:sz w:val="24"/>
          <w:lang w:val="sq-AL"/>
        </w:rPr>
        <w:t xml:space="preserve"> </w:t>
      </w:r>
      <w:r w:rsidR="008B1120">
        <w:rPr>
          <w:rFonts w:ascii="Times New Roman" w:hAnsi="Times New Roman" w:cs="Times New Roman"/>
          <w:sz w:val="24"/>
          <w:lang w:val="sq-AL"/>
        </w:rPr>
        <w:t xml:space="preserve">, </w:t>
      </w:r>
      <w:r w:rsidRPr="00B86071">
        <w:rPr>
          <w:rFonts w:ascii="Times New Roman" w:hAnsi="Times New Roman" w:cs="Times New Roman"/>
          <w:sz w:val="24"/>
          <w:lang w:val="sq-AL"/>
        </w:rPr>
        <w:t>nuk</w:t>
      </w:r>
      <w:r w:rsidR="008B1120">
        <w:rPr>
          <w:rFonts w:ascii="Times New Roman" w:hAnsi="Times New Roman" w:cs="Times New Roman"/>
          <w:sz w:val="24"/>
          <w:lang w:val="sq-AL"/>
        </w:rPr>
        <w:t xml:space="preserve"> kanë përmbajtje të tyre</w:t>
      </w:r>
    </w:p>
    <w:p w:rsidR="00B86071" w:rsidRPr="00B86071" w:rsidRDefault="00B86071" w:rsidP="00B86071">
      <w:pPr>
        <w:spacing w:before="240" w:after="60" w:line="276" w:lineRule="auto"/>
        <w:jc w:val="both"/>
        <w:rPr>
          <w:rFonts w:ascii="Times New Roman" w:hAnsi="Times New Roman" w:cs="Times New Roman"/>
          <w:b/>
          <w:i/>
          <w:color w:val="000000"/>
          <w:sz w:val="24"/>
          <w:szCs w:val="24"/>
          <w:lang w:val="sq-AL"/>
        </w:rPr>
      </w:pPr>
      <w:r w:rsidRPr="00B86071">
        <w:rPr>
          <w:rFonts w:ascii="Times New Roman" w:hAnsi="Times New Roman" w:cs="Times New Roman"/>
          <w:b/>
          <w:i/>
          <w:color w:val="000000"/>
          <w:sz w:val="24"/>
          <w:szCs w:val="24"/>
          <w:lang w:val="sq-AL"/>
        </w:rPr>
        <w:t>Në akuiferin kuaternar të Elbasanit</w:t>
      </w:r>
    </w:p>
    <w:p w:rsidR="00B86071" w:rsidRPr="00B86071" w:rsidRDefault="00B86071" w:rsidP="00D87C5F">
      <w:pPr>
        <w:tabs>
          <w:tab w:val="left" w:pos="90"/>
        </w:tabs>
        <w:spacing w:after="0" w:line="240" w:lineRule="auto"/>
        <w:ind w:left="446"/>
        <w:jc w:val="both"/>
        <w:rPr>
          <w:rFonts w:ascii="Times New Roman" w:hAnsi="Times New Roman" w:cs="Times New Roman"/>
          <w:color w:val="000000"/>
          <w:sz w:val="24"/>
          <w:lang w:val="sq-AL"/>
        </w:rPr>
      </w:pPr>
      <w:r w:rsidRPr="00B86071">
        <w:rPr>
          <w:rFonts w:ascii="Times New Roman" w:hAnsi="Times New Roman" w:cs="Times New Roman"/>
          <w:b/>
          <w:color w:val="000000"/>
          <w:sz w:val="24"/>
          <w:lang w:val="sq-AL"/>
        </w:rPr>
        <w:t xml:space="preserve">T </w:t>
      </w:r>
      <w:r w:rsidRPr="00B86071">
        <w:rPr>
          <w:rFonts w:ascii="Times New Roman" w:hAnsi="Times New Roman" w:cs="Times New Roman"/>
          <w:color w:val="000000"/>
          <w:sz w:val="24"/>
          <w:lang w:val="sq-AL"/>
        </w:rPr>
        <w:t>= 14 – 17</w:t>
      </w:r>
      <w:r w:rsidRPr="00B86071">
        <w:rPr>
          <w:rFonts w:ascii="Times New Roman" w:hAnsi="Times New Roman" w:cs="Times New Roman"/>
          <w:color w:val="000000"/>
          <w:sz w:val="24"/>
          <w:vertAlign w:val="superscript"/>
          <w:lang w:val="sq-AL"/>
        </w:rPr>
        <w:t>o</w:t>
      </w:r>
      <w:r w:rsidRPr="00B86071">
        <w:rPr>
          <w:rFonts w:ascii="Times New Roman" w:hAnsi="Times New Roman" w:cs="Times New Roman"/>
          <w:color w:val="000000"/>
          <w:sz w:val="24"/>
          <w:lang w:val="sq-AL"/>
        </w:rPr>
        <w:t>C</w:t>
      </w:r>
    </w:p>
    <w:p w:rsidR="00B86071" w:rsidRPr="00B86071" w:rsidRDefault="00B86071" w:rsidP="00D87C5F">
      <w:pPr>
        <w:tabs>
          <w:tab w:val="left" w:pos="90"/>
        </w:tabs>
        <w:spacing w:after="0" w:line="240" w:lineRule="auto"/>
        <w:ind w:left="446"/>
        <w:jc w:val="both"/>
        <w:rPr>
          <w:rFonts w:ascii="Times New Roman" w:hAnsi="Times New Roman" w:cs="Times New Roman"/>
          <w:color w:val="000000"/>
          <w:sz w:val="24"/>
          <w:lang w:val="sq-AL"/>
        </w:rPr>
      </w:pPr>
      <w:r w:rsidRPr="00B86071">
        <w:rPr>
          <w:rFonts w:ascii="Times New Roman" w:hAnsi="Times New Roman" w:cs="Times New Roman"/>
          <w:b/>
          <w:color w:val="000000"/>
          <w:sz w:val="24"/>
          <w:lang w:val="sq-AL"/>
        </w:rPr>
        <w:t xml:space="preserve">pH </w:t>
      </w:r>
      <w:r w:rsidRPr="00B86071">
        <w:rPr>
          <w:rFonts w:ascii="Times New Roman" w:hAnsi="Times New Roman" w:cs="Times New Roman"/>
          <w:color w:val="000000"/>
          <w:sz w:val="24"/>
          <w:lang w:val="sq-AL"/>
        </w:rPr>
        <w:t>= 7.02-7.86, janë ujëra alkalinë të dobëta</w:t>
      </w:r>
    </w:p>
    <w:p w:rsidR="00B86071" w:rsidRPr="00B86071" w:rsidRDefault="00B86071" w:rsidP="00D87C5F">
      <w:pPr>
        <w:spacing w:after="0" w:line="240" w:lineRule="auto"/>
        <w:ind w:left="446"/>
        <w:jc w:val="both"/>
        <w:rPr>
          <w:rFonts w:ascii="Times New Roman" w:hAnsi="Times New Roman" w:cs="Times New Roman"/>
          <w:sz w:val="24"/>
          <w:lang w:val="sq-AL"/>
        </w:rPr>
      </w:pPr>
      <w:r w:rsidRPr="00B86071">
        <w:rPr>
          <w:rFonts w:ascii="Times New Roman" w:hAnsi="Times New Roman" w:cs="Times New Roman"/>
          <w:b/>
          <w:sz w:val="24"/>
          <w:lang w:val="sq-AL"/>
        </w:rPr>
        <w:lastRenderedPageBreak/>
        <w:t>Fp</w:t>
      </w:r>
      <w:r w:rsidRPr="00B86071">
        <w:rPr>
          <w:rFonts w:ascii="Times New Roman" w:hAnsi="Times New Roman" w:cs="Times New Roman"/>
          <w:sz w:val="24"/>
          <w:lang w:val="sq-AL"/>
        </w:rPr>
        <w:t xml:space="preserve"> varion nga 10.92 – 14.22</w:t>
      </w:r>
      <w:r w:rsidRPr="00B86071">
        <w:rPr>
          <w:rFonts w:ascii="Times New Roman" w:hAnsi="Times New Roman" w:cs="Times New Roman"/>
          <w:sz w:val="24"/>
          <w:vertAlign w:val="superscript"/>
          <w:lang w:val="sq-AL"/>
        </w:rPr>
        <w:t>o</w:t>
      </w:r>
      <w:r w:rsidRPr="00B86071">
        <w:rPr>
          <w:rFonts w:ascii="Times New Roman" w:hAnsi="Times New Roman" w:cs="Times New Roman"/>
          <w:sz w:val="24"/>
          <w:lang w:val="sq-AL"/>
        </w:rPr>
        <w:t xml:space="preserve"> gjermane Krastat, 16.51-18.61</w:t>
      </w:r>
      <w:r w:rsidRPr="00B86071">
        <w:rPr>
          <w:rFonts w:ascii="Times New Roman" w:hAnsi="Times New Roman" w:cs="Times New Roman"/>
          <w:sz w:val="24"/>
          <w:vertAlign w:val="superscript"/>
          <w:lang w:val="sq-AL"/>
        </w:rPr>
        <w:t xml:space="preserve"> o</w:t>
      </w:r>
      <w:r w:rsidRPr="00B86071">
        <w:rPr>
          <w:rFonts w:ascii="Times New Roman" w:hAnsi="Times New Roman" w:cs="Times New Roman"/>
          <w:sz w:val="24"/>
          <w:lang w:val="sq-AL"/>
        </w:rPr>
        <w:t xml:space="preserve"> gjermane në Cërriku, pra janë ujëra mesatarisht të forta. Në Vidhas - Muriqan, </w:t>
      </w:r>
      <w:r w:rsidRPr="00B86071">
        <w:rPr>
          <w:rFonts w:ascii="Times New Roman" w:hAnsi="Times New Roman" w:cs="Times New Roman"/>
          <w:b/>
          <w:sz w:val="24"/>
          <w:lang w:val="sq-AL"/>
        </w:rPr>
        <w:t>Fp</w:t>
      </w:r>
      <w:r w:rsidRPr="00B86071">
        <w:rPr>
          <w:rFonts w:ascii="Times New Roman" w:hAnsi="Times New Roman" w:cs="Times New Roman"/>
          <w:sz w:val="24"/>
          <w:lang w:val="sq-AL"/>
        </w:rPr>
        <w:t xml:space="preserve"> varion nga 24.77 - 29.52</w:t>
      </w:r>
      <w:r w:rsidRPr="00B86071">
        <w:rPr>
          <w:rFonts w:ascii="Times New Roman" w:hAnsi="Times New Roman" w:cs="Times New Roman"/>
          <w:sz w:val="24"/>
          <w:vertAlign w:val="superscript"/>
          <w:lang w:val="sq-AL"/>
        </w:rPr>
        <w:t xml:space="preserve">o </w:t>
      </w:r>
      <w:r w:rsidRPr="00B86071">
        <w:rPr>
          <w:rFonts w:ascii="Times New Roman" w:hAnsi="Times New Roman" w:cs="Times New Roman"/>
          <w:sz w:val="24"/>
          <w:lang w:val="sq-AL"/>
        </w:rPr>
        <w:t>gjermane, janë ujëra shumë të forta.</w:t>
      </w:r>
    </w:p>
    <w:p w:rsidR="00B86071" w:rsidRPr="00B86071" w:rsidRDefault="00B86071" w:rsidP="00D87C5F">
      <w:pPr>
        <w:spacing w:after="0" w:line="240" w:lineRule="auto"/>
        <w:ind w:left="446"/>
        <w:jc w:val="both"/>
        <w:rPr>
          <w:rFonts w:ascii="Times New Roman" w:hAnsi="Times New Roman" w:cs="Times New Roman"/>
          <w:color w:val="000000"/>
          <w:sz w:val="24"/>
          <w:lang w:val="sq-AL"/>
        </w:rPr>
      </w:pPr>
      <w:r w:rsidRPr="00B86071">
        <w:rPr>
          <w:rFonts w:ascii="Times New Roman" w:hAnsi="Times New Roman" w:cs="Times New Roman"/>
          <w:b/>
          <w:sz w:val="24"/>
          <w:lang w:val="sq-AL"/>
        </w:rPr>
        <w:t>Mp</w:t>
      </w:r>
      <w:r w:rsidRPr="00B86071">
        <w:rPr>
          <w:rFonts w:ascii="Times New Roman" w:hAnsi="Times New Roman" w:cs="Times New Roman"/>
          <w:sz w:val="24"/>
          <w:lang w:val="sq-AL"/>
        </w:rPr>
        <w:t xml:space="preserve"> shkon nga 303.22 – 391.24 mg/l, në Krastë dhe vjen e rritet në Vidhas dhe Muriqan në vlerat 763.48-848.95 mg/l, kurse në Cërrik zbret në 464.46-524.08 mg/l, pra janë ujëra të ëmbla dhe të freskëta, tipi i ujit është HCO</w:t>
      </w:r>
      <w:r w:rsidRPr="00B86071">
        <w:rPr>
          <w:rFonts w:ascii="Times New Roman" w:hAnsi="Times New Roman" w:cs="Times New Roman"/>
          <w:sz w:val="24"/>
          <w:vertAlign w:val="subscript"/>
          <w:lang w:val="sq-AL"/>
        </w:rPr>
        <w:t>3</w:t>
      </w:r>
      <w:r w:rsidRPr="00B86071">
        <w:rPr>
          <w:rFonts w:ascii="Times New Roman" w:hAnsi="Times New Roman" w:cs="Times New Roman"/>
          <w:sz w:val="24"/>
          <w:lang w:val="sq-AL"/>
        </w:rPr>
        <w:t xml:space="preserve"> – Mg – Ca. </w:t>
      </w:r>
    </w:p>
    <w:p w:rsidR="00B86071" w:rsidRPr="00B86071" w:rsidRDefault="00B86071" w:rsidP="00D87C5F">
      <w:pPr>
        <w:spacing w:after="0" w:line="240" w:lineRule="auto"/>
        <w:ind w:left="446"/>
        <w:jc w:val="both"/>
        <w:rPr>
          <w:rFonts w:ascii="Times New Roman" w:hAnsi="Times New Roman" w:cs="Times New Roman"/>
          <w:color w:val="000000"/>
          <w:sz w:val="24"/>
          <w:lang w:val="sq-AL"/>
        </w:rPr>
      </w:pPr>
      <w:r w:rsidRPr="00B86071">
        <w:rPr>
          <w:rFonts w:ascii="Times New Roman" w:hAnsi="Times New Roman" w:cs="Times New Roman"/>
          <w:b/>
          <w:sz w:val="24"/>
          <w:lang w:val="sq-AL"/>
        </w:rPr>
        <w:t>NH</w:t>
      </w:r>
      <w:r w:rsidRPr="00B86071">
        <w:rPr>
          <w:rFonts w:ascii="Times New Roman" w:hAnsi="Times New Roman" w:cs="Times New Roman"/>
          <w:b/>
          <w:sz w:val="24"/>
          <w:vertAlign w:val="subscript"/>
          <w:lang w:val="sq-AL"/>
        </w:rPr>
        <w:t>4</w:t>
      </w:r>
      <w:r w:rsidRPr="00B86071">
        <w:rPr>
          <w:rFonts w:ascii="Times New Roman" w:hAnsi="Times New Roman" w:cs="Times New Roman"/>
          <w:b/>
          <w:sz w:val="24"/>
          <w:lang w:val="sq-AL"/>
        </w:rPr>
        <w:t xml:space="preserve"> </w:t>
      </w:r>
      <w:r w:rsidRPr="00B86071">
        <w:rPr>
          <w:rFonts w:ascii="Times New Roman" w:hAnsi="Times New Roman" w:cs="Times New Roman"/>
          <w:sz w:val="24"/>
          <w:lang w:val="sq-AL"/>
        </w:rPr>
        <w:t>dhe</w:t>
      </w:r>
      <w:r w:rsidRPr="00B86071">
        <w:rPr>
          <w:rFonts w:ascii="Times New Roman" w:hAnsi="Times New Roman" w:cs="Times New Roman"/>
          <w:b/>
          <w:sz w:val="24"/>
          <w:lang w:val="sq-AL"/>
        </w:rPr>
        <w:t xml:space="preserve"> NO</w:t>
      </w:r>
      <w:r w:rsidRPr="00B86071">
        <w:rPr>
          <w:rFonts w:ascii="Times New Roman" w:hAnsi="Times New Roman" w:cs="Times New Roman"/>
          <w:b/>
          <w:sz w:val="24"/>
          <w:vertAlign w:val="subscript"/>
          <w:lang w:val="sq-AL"/>
        </w:rPr>
        <w:t>2</w:t>
      </w:r>
      <w:r w:rsidRPr="00B86071">
        <w:rPr>
          <w:rFonts w:ascii="Times New Roman" w:hAnsi="Times New Roman" w:cs="Times New Roman"/>
          <w:sz w:val="24"/>
          <w:lang w:val="sq-AL"/>
        </w:rPr>
        <w:t xml:space="preserve"> janë në vlera të ulta brenda parametrave.</w:t>
      </w:r>
    </w:p>
    <w:p w:rsidR="00B86071" w:rsidRPr="00B86071" w:rsidRDefault="00B86071" w:rsidP="00B86071">
      <w:pPr>
        <w:spacing w:before="120" w:after="60" w:line="276" w:lineRule="auto"/>
        <w:jc w:val="both"/>
        <w:rPr>
          <w:rFonts w:ascii="Times New Roman" w:hAnsi="Times New Roman" w:cs="Times New Roman"/>
          <w:b/>
          <w:i/>
          <w:color w:val="000000"/>
          <w:sz w:val="24"/>
          <w:szCs w:val="24"/>
          <w:lang w:val="sq-AL"/>
        </w:rPr>
      </w:pPr>
      <w:r w:rsidRPr="00B86071">
        <w:rPr>
          <w:rFonts w:ascii="Times New Roman" w:hAnsi="Times New Roman" w:cs="Times New Roman"/>
          <w:b/>
          <w:i/>
          <w:color w:val="000000"/>
          <w:sz w:val="24"/>
          <w:szCs w:val="24"/>
          <w:lang w:val="sq-AL"/>
        </w:rPr>
        <w:t>Në akuiferin kuaternar  të Peqin-Rrogozhinës</w:t>
      </w:r>
    </w:p>
    <w:p w:rsidR="00B86071" w:rsidRPr="00B86071" w:rsidRDefault="00B86071" w:rsidP="00D87C5F">
      <w:pPr>
        <w:tabs>
          <w:tab w:val="left" w:pos="90"/>
        </w:tabs>
        <w:spacing w:after="0" w:line="240" w:lineRule="auto"/>
        <w:ind w:left="446"/>
        <w:jc w:val="both"/>
        <w:rPr>
          <w:rFonts w:ascii="Times New Roman" w:hAnsi="Times New Roman" w:cs="Times New Roman"/>
          <w:color w:val="000000"/>
          <w:sz w:val="24"/>
          <w:lang w:val="sq-AL"/>
        </w:rPr>
      </w:pPr>
      <w:r w:rsidRPr="00B86071">
        <w:rPr>
          <w:rFonts w:ascii="Times New Roman" w:hAnsi="Times New Roman" w:cs="Times New Roman"/>
          <w:b/>
          <w:color w:val="000000"/>
          <w:sz w:val="24"/>
          <w:lang w:val="sq-AL"/>
        </w:rPr>
        <w:t>T</w:t>
      </w:r>
      <w:r w:rsidRPr="00B86071">
        <w:rPr>
          <w:rFonts w:ascii="Times New Roman" w:hAnsi="Times New Roman" w:cs="Times New Roman"/>
          <w:color w:val="000000"/>
          <w:sz w:val="24"/>
          <w:lang w:val="sq-AL"/>
        </w:rPr>
        <w:t xml:space="preserve"> varion në vlera 15 - 17</w:t>
      </w:r>
      <w:r w:rsidRPr="00B86071">
        <w:rPr>
          <w:rFonts w:ascii="Times New Roman" w:hAnsi="Times New Roman" w:cs="Times New Roman"/>
          <w:color w:val="000000"/>
          <w:sz w:val="24"/>
          <w:vertAlign w:val="superscript"/>
          <w:lang w:val="sq-AL"/>
        </w:rPr>
        <w:t>o</w:t>
      </w:r>
      <w:r w:rsidRPr="00B86071">
        <w:rPr>
          <w:rFonts w:ascii="Times New Roman" w:hAnsi="Times New Roman" w:cs="Times New Roman"/>
          <w:color w:val="000000"/>
          <w:sz w:val="24"/>
          <w:lang w:val="sq-AL"/>
        </w:rPr>
        <w:t>C</w:t>
      </w:r>
    </w:p>
    <w:p w:rsidR="00B86071" w:rsidRPr="00B86071" w:rsidRDefault="00B86071" w:rsidP="00D87C5F">
      <w:pPr>
        <w:tabs>
          <w:tab w:val="left" w:pos="90"/>
        </w:tabs>
        <w:spacing w:after="0" w:line="240" w:lineRule="auto"/>
        <w:ind w:left="446"/>
        <w:jc w:val="both"/>
        <w:rPr>
          <w:rFonts w:ascii="Times New Roman" w:hAnsi="Times New Roman" w:cs="Times New Roman"/>
          <w:color w:val="000000"/>
          <w:sz w:val="24"/>
          <w:lang w:val="sq-AL"/>
        </w:rPr>
      </w:pPr>
      <w:r w:rsidRPr="00B86071">
        <w:rPr>
          <w:rFonts w:ascii="Times New Roman" w:hAnsi="Times New Roman" w:cs="Times New Roman"/>
          <w:b/>
          <w:color w:val="000000"/>
          <w:sz w:val="24"/>
          <w:lang w:val="sq-AL"/>
        </w:rPr>
        <w:t>pH</w:t>
      </w:r>
      <w:r w:rsidRPr="00B86071">
        <w:rPr>
          <w:rFonts w:ascii="Times New Roman" w:hAnsi="Times New Roman" w:cs="Times New Roman"/>
          <w:color w:val="000000"/>
          <w:sz w:val="24"/>
          <w:lang w:val="sq-AL"/>
        </w:rPr>
        <w:t xml:space="preserve"> varion në vlera 7.24- 7.79 janë ujëra alkalinë të dobëta.</w:t>
      </w:r>
    </w:p>
    <w:p w:rsidR="00B86071" w:rsidRPr="00B86071" w:rsidRDefault="00B86071" w:rsidP="00D87C5F">
      <w:pPr>
        <w:spacing w:after="0" w:line="240" w:lineRule="auto"/>
        <w:ind w:left="446"/>
        <w:jc w:val="both"/>
        <w:rPr>
          <w:rFonts w:ascii="Times New Roman" w:hAnsi="Times New Roman" w:cs="Times New Roman"/>
          <w:sz w:val="24"/>
          <w:lang w:val="sq-AL"/>
        </w:rPr>
      </w:pPr>
      <w:r w:rsidRPr="00B86071">
        <w:rPr>
          <w:rFonts w:ascii="Times New Roman" w:hAnsi="Times New Roman" w:cs="Times New Roman"/>
          <w:b/>
          <w:sz w:val="24"/>
          <w:lang w:val="sq-AL"/>
        </w:rPr>
        <w:t>Fp</w:t>
      </w:r>
      <w:r w:rsidRPr="00B86071">
        <w:rPr>
          <w:rFonts w:ascii="Times New Roman" w:hAnsi="Times New Roman" w:cs="Times New Roman"/>
          <w:sz w:val="24"/>
          <w:lang w:val="sq-AL"/>
        </w:rPr>
        <w:t xml:space="preserve"> varion nga 29.11 - 30.51</w:t>
      </w:r>
      <w:r w:rsidRPr="00B86071">
        <w:rPr>
          <w:rFonts w:ascii="Times New Roman" w:hAnsi="Times New Roman" w:cs="Times New Roman"/>
          <w:sz w:val="24"/>
          <w:vertAlign w:val="superscript"/>
          <w:lang w:val="sq-AL"/>
        </w:rPr>
        <w:t>o</w:t>
      </w:r>
      <w:r w:rsidRPr="00B86071">
        <w:rPr>
          <w:rFonts w:ascii="Times New Roman" w:hAnsi="Times New Roman" w:cs="Times New Roman"/>
          <w:sz w:val="24"/>
          <w:lang w:val="sq-AL"/>
        </w:rPr>
        <w:t xml:space="preserve"> gjermane janë ujëra shumë të forta.</w:t>
      </w:r>
    </w:p>
    <w:p w:rsidR="00B86071" w:rsidRPr="00B86071" w:rsidRDefault="00B86071" w:rsidP="00D87C5F">
      <w:pPr>
        <w:spacing w:after="0" w:line="240" w:lineRule="auto"/>
        <w:ind w:left="446"/>
        <w:jc w:val="both"/>
        <w:rPr>
          <w:rFonts w:ascii="Times New Roman" w:hAnsi="Times New Roman" w:cs="Times New Roman"/>
          <w:color w:val="000000"/>
          <w:sz w:val="24"/>
          <w:lang w:val="sq-AL"/>
        </w:rPr>
      </w:pPr>
      <w:r w:rsidRPr="00B86071">
        <w:rPr>
          <w:rFonts w:ascii="Times New Roman" w:hAnsi="Times New Roman" w:cs="Times New Roman"/>
          <w:b/>
          <w:sz w:val="24"/>
          <w:lang w:val="sq-AL"/>
        </w:rPr>
        <w:t>Mp</w:t>
      </w:r>
      <w:r w:rsidRPr="00B86071">
        <w:rPr>
          <w:rFonts w:ascii="Times New Roman" w:hAnsi="Times New Roman" w:cs="Times New Roman"/>
          <w:sz w:val="24"/>
          <w:lang w:val="sq-AL"/>
        </w:rPr>
        <w:t xml:space="preserve"> shkon nga 704.32 – 879.57 mg/l, pra janë ujëra të freskëta, tipi i ujit është HCO</w:t>
      </w:r>
      <w:r w:rsidRPr="00B86071">
        <w:rPr>
          <w:rFonts w:ascii="Times New Roman" w:hAnsi="Times New Roman" w:cs="Times New Roman"/>
          <w:sz w:val="24"/>
          <w:vertAlign w:val="subscript"/>
          <w:lang w:val="sq-AL"/>
        </w:rPr>
        <w:t>3</w:t>
      </w:r>
      <w:r w:rsidRPr="00B86071">
        <w:rPr>
          <w:rFonts w:ascii="Times New Roman" w:hAnsi="Times New Roman" w:cs="Times New Roman"/>
          <w:sz w:val="24"/>
          <w:lang w:val="sq-AL"/>
        </w:rPr>
        <w:t xml:space="preserve"> –Mg – Ca. </w:t>
      </w:r>
    </w:p>
    <w:p w:rsidR="00B86071" w:rsidRPr="00B86071" w:rsidRDefault="00B86071" w:rsidP="00D87C5F">
      <w:pPr>
        <w:spacing w:after="0" w:line="240" w:lineRule="auto"/>
        <w:ind w:left="446"/>
        <w:jc w:val="both"/>
        <w:rPr>
          <w:rFonts w:ascii="Times New Roman" w:hAnsi="Times New Roman" w:cs="Times New Roman"/>
          <w:color w:val="000000"/>
          <w:sz w:val="24"/>
          <w:lang w:val="sq-AL"/>
        </w:rPr>
      </w:pPr>
      <w:r w:rsidRPr="00B86071">
        <w:rPr>
          <w:rFonts w:ascii="Times New Roman" w:hAnsi="Times New Roman" w:cs="Times New Roman"/>
          <w:b/>
          <w:sz w:val="24"/>
          <w:lang w:val="sq-AL"/>
        </w:rPr>
        <w:t>NH</w:t>
      </w:r>
      <w:r w:rsidRPr="00B86071">
        <w:rPr>
          <w:rFonts w:ascii="Times New Roman" w:hAnsi="Times New Roman" w:cs="Times New Roman"/>
          <w:b/>
          <w:sz w:val="24"/>
          <w:vertAlign w:val="subscript"/>
          <w:lang w:val="sq-AL"/>
        </w:rPr>
        <w:t>4</w:t>
      </w:r>
      <w:r w:rsidRPr="00B86071">
        <w:rPr>
          <w:rFonts w:ascii="Times New Roman" w:hAnsi="Times New Roman" w:cs="Times New Roman"/>
          <w:b/>
          <w:sz w:val="24"/>
          <w:lang w:val="sq-AL"/>
        </w:rPr>
        <w:t xml:space="preserve"> </w:t>
      </w:r>
      <w:r w:rsidRPr="00B86071">
        <w:rPr>
          <w:rFonts w:ascii="Times New Roman" w:hAnsi="Times New Roman" w:cs="Times New Roman"/>
          <w:sz w:val="24"/>
          <w:lang w:val="sq-AL"/>
        </w:rPr>
        <w:t>amonjaku është në vlera të ulta nga 0.02 deri 0.28 mg/l. Konstatohet ndotje lokale gjatë periudhës ujëshumtë.</w:t>
      </w:r>
    </w:p>
    <w:p w:rsidR="00B86071" w:rsidRPr="00B86071" w:rsidRDefault="00B86071" w:rsidP="00B86071">
      <w:pPr>
        <w:tabs>
          <w:tab w:val="left" w:pos="90"/>
        </w:tabs>
        <w:spacing w:before="120" w:after="60" w:line="276" w:lineRule="auto"/>
        <w:jc w:val="both"/>
        <w:rPr>
          <w:rFonts w:ascii="Times New Roman" w:hAnsi="Times New Roman" w:cs="Times New Roman"/>
          <w:b/>
          <w:i/>
          <w:color w:val="000000"/>
          <w:sz w:val="24"/>
          <w:szCs w:val="24"/>
          <w:lang w:val="sq-AL"/>
        </w:rPr>
      </w:pPr>
      <w:r w:rsidRPr="00B86071">
        <w:rPr>
          <w:rFonts w:ascii="Times New Roman" w:hAnsi="Times New Roman" w:cs="Times New Roman"/>
          <w:b/>
          <w:bCs/>
          <w:i/>
          <w:sz w:val="24"/>
          <w:szCs w:val="24"/>
          <w:lang w:val="sq-AL"/>
        </w:rPr>
        <w:t>Në akuiferin kuaternar të zonës së Lushnjës (Çermë - Konjat).</w:t>
      </w:r>
    </w:p>
    <w:p w:rsidR="00B86071" w:rsidRPr="00B86071" w:rsidRDefault="00B86071" w:rsidP="00D87C5F">
      <w:pPr>
        <w:tabs>
          <w:tab w:val="left" w:pos="284"/>
        </w:tabs>
        <w:spacing w:after="0" w:line="240" w:lineRule="auto"/>
        <w:ind w:left="360"/>
        <w:jc w:val="both"/>
        <w:rPr>
          <w:rFonts w:ascii="Times New Roman" w:hAnsi="Times New Roman" w:cs="Times New Roman"/>
          <w:color w:val="000000"/>
          <w:sz w:val="24"/>
          <w:lang w:val="sq-AL"/>
        </w:rPr>
      </w:pPr>
      <w:r w:rsidRPr="00B86071">
        <w:rPr>
          <w:rFonts w:ascii="Times New Roman" w:hAnsi="Times New Roman" w:cs="Times New Roman"/>
          <w:b/>
          <w:color w:val="000000"/>
          <w:sz w:val="24"/>
          <w:lang w:val="sq-AL"/>
        </w:rPr>
        <w:t>T</w:t>
      </w:r>
      <w:r w:rsidRPr="00B86071">
        <w:rPr>
          <w:rFonts w:ascii="Times New Roman" w:hAnsi="Times New Roman" w:cs="Times New Roman"/>
          <w:color w:val="000000"/>
          <w:sz w:val="24"/>
          <w:lang w:val="sq-AL"/>
        </w:rPr>
        <w:t xml:space="preserve"> varion në vlerat 14 – 17</w:t>
      </w:r>
      <w:r w:rsidRPr="00B86071">
        <w:rPr>
          <w:rFonts w:ascii="Times New Roman" w:hAnsi="Times New Roman" w:cs="Times New Roman"/>
          <w:color w:val="000000"/>
          <w:sz w:val="24"/>
          <w:vertAlign w:val="superscript"/>
          <w:lang w:val="sq-AL"/>
        </w:rPr>
        <w:t>o</w:t>
      </w:r>
      <w:r w:rsidRPr="00B86071">
        <w:rPr>
          <w:rFonts w:ascii="Times New Roman" w:hAnsi="Times New Roman" w:cs="Times New Roman"/>
          <w:color w:val="000000"/>
          <w:sz w:val="24"/>
          <w:lang w:val="sq-AL"/>
        </w:rPr>
        <w:t>C.</w:t>
      </w:r>
    </w:p>
    <w:p w:rsidR="00B86071" w:rsidRPr="00B86071" w:rsidRDefault="008B1120" w:rsidP="00D87C5F">
      <w:pPr>
        <w:tabs>
          <w:tab w:val="left" w:pos="284"/>
        </w:tabs>
        <w:spacing w:after="0" w:line="240" w:lineRule="auto"/>
        <w:ind w:left="360"/>
        <w:jc w:val="both"/>
        <w:rPr>
          <w:rFonts w:ascii="Times New Roman" w:hAnsi="Times New Roman" w:cs="Times New Roman"/>
          <w:sz w:val="24"/>
          <w:lang w:val="sq-AL"/>
        </w:rPr>
      </w:pPr>
      <w:r>
        <w:rPr>
          <w:rFonts w:ascii="Times New Roman" w:hAnsi="Times New Roman" w:cs="Times New Roman"/>
          <w:b/>
          <w:sz w:val="24"/>
          <w:lang w:val="sq-AL"/>
        </w:rPr>
        <w:t>pH</w:t>
      </w:r>
      <w:r w:rsidR="00B86071" w:rsidRPr="00B86071">
        <w:rPr>
          <w:rFonts w:ascii="Times New Roman" w:hAnsi="Times New Roman" w:cs="Times New Roman"/>
          <w:b/>
          <w:sz w:val="24"/>
          <w:lang w:val="sq-AL"/>
        </w:rPr>
        <w:t xml:space="preserve"> </w:t>
      </w:r>
      <w:r w:rsidR="00B86071" w:rsidRPr="00B86071">
        <w:rPr>
          <w:rFonts w:ascii="Times New Roman" w:hAnsi="Times New Roman" w:cs="Times New Roman"/>
          <w:sz w:val="24"/>
          <w:lang w:val="sq-AL"/>
        </w:rPr>
        <w:t>i UN varion nga 7.35 - 8.39, sipas normës së lejuar për ujë të pijshëm ky tregues është brënda normës (norma e ph = 6.5 – 9.5), pra janë ujëra alkaline të dobta deri alkalinë.</w:t>
      </w:r>
    </w:p>
    <w:p w:rsidR="00B86071" w:rsidRPr="00B86071" w:rsidRDefault="00B86071" w:rsidP="00D87C5F">
      <w:pPr>
        <w:tabs>
          <w:tab w:val="left" w:pos="284"/>
        </w:tabs>
        <w:spacing w:after="0" w:line="240" w:lineRule="auto"/>
        <w:ind w:left="360"/>
        <w:jc w:val="both"/>
        <w:rPr>
          <w:rFonts w:ascii="Times New Roman" w:hAnsi="Times New Roman" w:cs="Times New Roman"/>
          <w:sz w:val="24"/>
          <w:lang w:val="sq-AL"/>
        </w:rPr>
      </w:pPr>
      <w:r w:rsidRPr="00B86071">
        <w:rPr>
          <w:rFonts w:ascii="Times New Roman" w:hAnsi="Times New Roman" w:cs="Times New Roman"/>
          <w:b/>
          <w:sz w:val="24"/>
          <w:lang w:val="sq-AL"/>
        </w:rPr>
        <w:t>Fp</w:t>
      </w:r>
      <w:r w:rsidRPr="00B86071">
        <w:rPr>
          <w:rFonts w:ascii="Times New Roman" w:hAnsi="Times New Roman" w:cs="Times New Roman"/>
          <w:sz w:val="24"/>
          <w:lang w:val="sq-AL"/>
        </w:rPr>
        <w:t xml:space="preserve"> varion nga 12 - 14.97</w:t>
      </w:r>
      <w:r w:rsidRPr="00B86071">
        <w:rPr>
          <w:rFonts w:ascii="Times New Roman" w:hAnsi="Times New Roman" w:cs="Times New Roman"/>
          <w:sz w:val="24"/>
          <w:vertAlign w:val="superscript"/>
          <w:lang w:val="sq-AL"/>
        </w:rPr>
        <w:t>o</w:t>
      </w:r>
      <w:r w:rsidRPr="00B86071">
        <w:rPr>
          <w:rFonts w:ascii="Times New Roman" w:hAnsi="Times New Roman" w:cs="Times New Roman"/>
          <w:sz w:val="24"/>
          <w:lang w:val="sq-AL"/>
        </w:rPr>
        <w:t xml:space="preserve"> gjermane në stacionin e Divjakës, pra janë ujëra mesatarisht të forta. Në stacionet Konjatit fortësia varion në vlera 20.02 – 38.34</w:t>
      </w:r>
      <w:r w:rsidRPr="00B86071">
        <w:rPr>
          <w:rFonts w:ascii="Times New Roman" w:hAnsi="Times New Roman" w:cs="Times New Roman"/>
          <w:sz w:val="24"/>
          <w:vertAlign w:val="superscript"/>
          <w:lang w:val="sq-AL"/>
        </w:rPr>
        <w:t>o</w:t>
      </w:r>
      <w:r w:rsidRPr="00B86071">
        <w:rPr>
          <w:rFonts w:ascii="Times New Roman" w:hAnsi="Times New Roman" w:cs="Times New Roman"/>
          <w:sz w:val="24"/>
          <w:lang w:val="sq-AL"/>
        </w:rPr>
        <w:t xml:space="preserve"> gjermane  pra janë ujëra të forta deri shumë të forta. Në stacionet Çermë fortësia varion në vlera 16.97-29.27</w:t>
      </w:r>
      <w:r w:rsidRPr="00B86071">
        <w:rPr>
          <w:rFonts w:ascii="Times New Roman" w:hAnsi="Times New Roman" w:cs="Times New Roman"/>
          <w:sz w:val="24"/>
          <w:vertAlign w:val="superscript"/>
          <w:lang w:val="sq-AL"/>
        </w:rPr>
        <w:t>o</w:t>
      </w:r>
      <w:r w:rsidRPr="00B86071">
        <w:rPr>
          <w:rFonts w:ascii="Times New Roman" w:hAnsi="Times New Roman" w:cs="Times New Roman"/>
          <w:sz w:val="24"/>
          <w:lang w:val="sq-AL"/>
        </w:rPr>
        <w:t xml:space="preserve"> gjermane  pra janë ujëra të forta deri shumë të forta. Fortësia e ujit të këtij akuiferi ulet drejt perëndimit dhe jugut, pasi ulet përmbajtja e kalciumit dhe magnezit.</w:t>
      </w:r>
    </w:p>
    <w:p w:rsidR="00B86071" w:rsidRPr="00B86071" w:rsidRDefault="00B86071" w:rsidP="00D87C5F">
      <w:pPr>
        <w:spacing w:after="0" w:line="240" w:lineRule="auto"/>
        <w:ind w:left="360"/>
        <w:jc w:val="both"/>
        <w:rPr>
          <w:rFonts w:ascii="Times New Roman" w:hAnsi="Times New Roman" w:cs="Times New Roman"/>
          <w:color w:val="000000"/>
          <w:sz w:val="24"/>
          <w:lang w:val="sq-AL"/>
        </w:rPr>
      </w:pPr>
      <w:r w:rsidRPr="00B86071">
        <w:rPr>
          <w:rFonts w:ascii="Times New Roman" w:hAnsi="Times New Roman" w:cs="Times New Roman"/>
          <w:b/>
          <w:sz w:val="24"/>
          <w:lang w:val="sq-AL"/>
        </w:rPr>
        <w:t>Mp</w:t>
      </w:r>
      <w:r w:rsidRPr="00B86071">
        <w:rPr>
          <w:rFonts w:ascii="Times New Roman" w:hAnsi="Times New Roman" w:cs="Times New Roman"/>
          <w:sz w:val="24"/>
          <w:lang w:val="sq-AL"/>
        </w:rPr>
        <w:t xml:space="preserve"> shkon nga 402.89 – 1281.2 mg/l, pra janë ujëra të ëmbla deri të freskëta, tipi i ujit është HCO</w:t>
      </w:r>
      <w:r w:rsidRPr="00B86071">
        <w:rPr>
          <w:rFonts w:ascii="Times New Roman" w:hAnsi="Times New Roman" w:cs="Times New Roman"/>
          <w:sz w:val="24"/>
          <w:vertAlign w:val="subscript"/>
          <w:lang w:val="sq-AL"/>
        </w:rPr>
        <w:t>3</w:t>
      </w:r>
      <w:r w:rsidRPr="00B86071">
        <w:rPr>
          <w:rFonts w:ascii="Times New Roman" w:hAnsi="Times New Roman" w:cs="Times New Roman"/>
          <w:sz w:val="24"/>
          <w:lang w:val="sq-AL"/>
        </w:rPr>
        <w:t xml:space="preserve"> – Mg – Ca, edhe mineralizimi ulet drejt perëndimit. </w:t>
      </w:r>
    </w:p>
    <w:p w:rsidR="00B86071" w:rsidRPr="00B86071" w:rsidRDefault="00B86071" w:rsidP="00D87C5F">
      <w:pPr>
        <w:spacing w:after="0" w:line="240" w:lineRule="auto"/>
        <w:ind w:left="360"/>
        <w:jc w:val="both"/>
        <w:rPr>
          <w:rFonts w:ascii="Times New Roman" w:hAnsi="Times New Roman" w:cs="Times New Roman"/>
          <w:color w:val="000000"/>
          <w:sz w:val="24"/>
          <w:lang w:val="sq-AL"/>
        </w:rPr>
      </w:pPr>
      <w:r w:rsidRPr="00B86071">
        <w:rPr>
          <w:rFonts w:ascii="Times New Roman" w:hAnsi="Times New Roman" w:cs="Times New Roman"/>
          <w:b/>
          <w:sz w:val="24"/>
          <w:lang w:val="sq-AL"/>
        </w:rPr>
        <w:t>NO</w:t>
      </w:r>
      <w:r w:rsidRPr="00B86071">
        <w:rPr>
          <w:rFonts w:ascii="Times New Roman" w:hAnsi="Times New Roman" w:cs="Times New Roman"/>
          <w:b/>
          <w:sz w:val="24"/>
          <w:vertAlign w:val="subscript"/>
          <w:lang w:val="sq-AL"/>
        </w:rPr>
        <w:t>2</w:t>
      </w:r>
      <w:r w:rsidRPr="00B86071">
        <w:rPr>
          <w:rFonts w:ascii="Times New Roman" w:hAnsi="Times New Roman" w:cs="Times New Roman"/>
          <w:b/>
          <w:sz w:val="24"/>
          <w:lang w:val="sq-AL"/>
        </w:rPr>
        <w:t xml:space="preserve"> </w:t>
      </w:r>
      <w:r w:rsidRPr="00B86071">
        <w:rPr>
          <w:rFonts w:ascii="Times New Roman" w:hAnsi="Times New Roman" w:cs="Times New Roman"/>
          <w:sz w:val="24"/>
          <w:lang w:val="sq-AL"/>
        </w:rPr>
        <w:t xml:space="preserve">kanë vlera që shkojnë nga 0.01 – 0.28 mg/l. </w:t>
      </w:r>
    </w:p>
    <w:p w:rsidR="00B86071" w:rsidRPr="00B86071" w:rsidRDefault="00B86071" w:rsidP="00D87C5F">
      <w:pPr>
        <w:spacing w:after="0" w:line="240" w:lineRule="auto"/>
        <w:ind w:left="360"/>
        <w:jc w:val="both"/>
        <w:rPr>
          <w:rFonts w:ascii="Times New Roman" w:hAnsi="Times New Roman" w:cs="Times New Roman"/>
          <w:color w:val="000000"/>
          <w:sz w:val="24"/>
          <w:lang w:val="sq-AL"/>
        </w:rPr>
      </w:pPr>
      <w:r w:rsidRPr="00B86071">
        <w:rPr>
          <w:rFonts w:ascii="Times New Roman" w:hAnsi="Times New Roman" w:cs="Times New Roman"/>
          <w:b/>
          <w:sz w:val="24"/>
          <w:lang w:val="sq-AL"/>
        </w:rPr>
        <w:t>NH</w:t>
      </w:r>
      <w:r w:rsidRPr="00B86071">
        <w:rPr>
          <w:rFonts w:ascii="Times New Roman" w:hAnsi="Times New Roman" w:cs="Times New Roman"/>
          <w:b/>
          <w:sz w:val="24"/>
          <w:vertAlign w:val="subscript"/>
          <w:lang w:val="sq-AL"/>
        </w:rPr>
        <w:t>4</w:t>
      </w:r>
      <w:r w:rsidRPr="00B86071">
        <w:rPr>
          <w:rFonts w:ascii="Times New Roman" w:hAnsi="Times New Roman" w:cs="Times New Roman"/>
          <w:b/>
          <w:sz w:val="24"/>
          <w:lang w:val="sq-AL"/>
        </w:rPr>
        <w:t xml:space="preserve"> </w:t>
      </w:r>
      <w:r w:rsidRPr="00B86071">
        <w:rPr>
          <w:rFonts w:ascii="Times New Roman" w:hAnsi="Times New Roman" w:cs="Times New Roman"/>
          <w:sz w:val="24"/>
          <w:lang w:val="sq-AL"/>
        </w:rPr>
        <w:t xml:space="preserve">është në vlera të ulta 0. 005 – 0.15- 0.91 mg/l Konjat. </w:t>
      </w:r>
    </w:p>
    <w:p w:rsidR="00DA3FBA" w:rsidRDefault="00DA3FBA" w:rsidP="00DA3FBA">
      <w:pPr>
        <w:spacing w:after="200" w:line="276" w:lineRule="auto"/>
        <w:jc w:val="both"/>
        <w:rPr>
          <w:rFonts w:ascii="Times New Roman" w:hAnsi="Times New Roman" w:cs="Times New Roman"/>
          <w:sz w:val="24"/>
          <w:lang w:val="sq-AL"/>
        </w:rPr>
      </w:pPr>
    </w:p>
    <w:p w:rsidR="00D87C5F" w:rsidRPr="00DA3FBA" w:rsidRDefault="00B86071" w:rsidP="00DA3FBA">
      <w:pPr>
        <w:spacing w:after="200" w:line="276" w:lineRule="auto"/>
        <w:jc w:val="both"/>
        <w:rPr>
          <w:rFonts w:ascii="Times New Roman" w:hAnsi="Times New Roman" w:cs="Times New Roman"/>
          <w:color w:val="000000"/>
          <w:sz w:val="24"/>
          <w:lang w:val="sq-AL"/>
        </w:rPr>
      </w:pPr>
      <w:r w:rsidRPr="00B86071">
        <w:rPr>
          <w:rFonts w:ascii="Times New Roman" w:hAnsi="Times New Roman" w:cs="Times New Roman"/>
          <w:sz w:val="24"/>
          <w:lang w:val="sq-AL"/>
        </w:rPr>
        <w:t xml:space="preserve">Në Konjat konstatohet ndotje e qëndrueshme gjë e cila duhet parë nëse vjen nga shtresa apo kanali që kalon afër. </w:t>
      </w:r>
    </w:p>
    <w:p w:rsidR="00B86071" w:rsidRPr="00B86071" w:rsidRDefault="00B86071" w:rsidP="00B86071">
      <w:pPr>
        <w:spacing w:before="120" w:after="60" w:line="276" w:lineRule="auto"/>
        <w:jc w:val="both"/>
        <w:rPr>
          <w:rFonts w:ascii="Times New Roman" w:hAnsi="Times New Roman" w:cs="Times New Roman"/>
          <w:b/>
          <w:i/>
          <w:color w:val="000000"/>
          <w:sz w:val="24"/>
          <w:szCs w:val="24"/>
          <w:lang w:val="sq-AL"/>
        </w:rPr>
      </w:pPr>
      <w:r w:rsidRPr="00B86071">
        <w:rPr>
          <w:rFonts w:ascii="Times New Roman" w:hAnsi="Times New Roman" w:cs="Times New Roman"/>
          <w:b/>
          <w:i/>
          <w:color w:val="000000"/>
          <w:sz w:val="24"/>
          <w:szCs w:val="24"/>
          <w:lang w:val="sq-AL"/>
        </w:rPr>
        <w:t xml:space="preserve">Në akuiferin Konglomeratiko-Ranorë </w:t>
      </w:r>
    </w:p>
    <w:p w:rsidR="00B86071" w:rsidRPr="00B86071" w:rsidRDefault="00B86071" w:rsidP="00D87C5F">
      <w:pPr>
        <w:tabs>
          <w:tab w:val="left" w:pos="90"/>
        </w:tabs>
        <w:spacing w:after="0" w:line="240" w:lineRule="auto"/>
        <w:ind w:left="450"/>
        <w:jc w:val="both"/>
        <w:rPr>
          <w:rFonts w:ascii="Times New Roman" w:hAnsi="Times New Roman" w:cs="Times New Roman"/>
          <w:color w:val="000000"/>
          <w:sz w:val="24"/>
          <w:lang w:val="sq-AL"/>
        </w:rPr>
      </w:pPr>
      <w:r w:rsidRPr="00B86071">
        <w:rPr>
          <w:rFonts w:ascii="Times New Roman" w:hAnsi="Times New Roman" w:cs="Times New Roman"/>
          <w:b/>
          <w:color w:val="000000"/>
          <w:sz w:val="24"/>
          <w:lang w:val="sq-AL"/>
        </w:rPr>
        <w:t>T</w:t>
      </w:r>
      <w:r w:rsidRPr="00B86071">
        <w:rPr>
          <w:rFonts w:ascii="Times New Roman" w:hAnsi="Times New Roman" w:cs="Times New Roman"/>
          <w:color w:val="000000"/>
          <w:sz w:val="24"/>
          <w:lang w:val="sq-AL"/>
        </w:rPr>
        <w:t xml:space="preserve"> varion ne vlera 13 – 17</w:t>
      </w:r>
      <w:r w:rsidRPr="00B86071">
        <w:rPr>
          <w:rFonts w:ascii="Times New Roman" w:hAnsi="Times New Roman" w:cs="Times New Roman"/>
          <w:color w:val="000000"/>
          <w:sz w:val="24"/>
          <w:vertAlign w:val="superscript"/>
          <w:lang w:val="sq-AL"/>
        </w:rPr>
        <w:t>o</w:t>
      </w:r>
      <w:r w:rsidRPr="00B86071">
        <w:rPr>
          <w:rFonts w:ascii="Times New Roman" w:hAnsi="Times New Roman" w:cs="Times New Roman"/>
          <w:color w:val="000000"/>
          <w:sz w:val="24"/>
          <w:lang w:val="sq-AL"/>
        </w:rPr>
        <w:t>C</w:t>
      </w:r>
    </w:p>
    <w:p w:rsidR="00B86071" w:rsidRPr="00B86071" w:rsidRDefault="00B86071" w:rsidP="00D87C5F">
      <w:pPr>
        <w:tabs>
          <w:tab w:val="left" w:pos="90"/>
        </w:tabs>
        <w:spacing w:after="0" w:line="240" w:lineRule="auto"/>
        <w:ind w:left="450"/>
        <w:jc w:val="both"/>
        <w:rPr>
          <w:rFonts w:ascii="Times New Roman" w:hAnsi="Times New Roman" w:cs="Times New Roman"/>
          <w:color w:val="000000"/>
          <w:sz w:val="24"/>
          <w:lang w:val="sq-AL"/>
        </w:rPr>
      </w:pPr>
      <w:r w:rsidRPr="00B86071">
        <w:rPr>
          <w:rFonts w:ascii="Times New Roman" w:hAnsi="Times New Roman" w:cs="Times New Roman"/>
          <w:b/>
          <w:color w:val="000000"/>
          <w:sz w:val="24"/>
          <w:lang w:val="sq-AL"/>
        </w:rPr>
        <w:t>pH</w:t>
      </w:r>
      <w:r w:rsidRPr="00B86071">
        <w:rPr>
          <w:rFonts w:ascii="Times New Roman" w:hAnsi="Times New Roman" w:cs="Times New Roman"/>
          <w:color w:val="000000"/>
          <w:sz w:val="24"/>
          <w:lang w:val="sq-AL"/>
        </w:rPr>
        <w:t xml:space="preserve"> varion në vlera</w:t>
      </w:r>
      <w:r w:rsidRPr="00B86071">
        <w:rPr>
          <w:rFonts w:ascii="Times New Roman" w:hAnsi="Times New Roman" w:cs="Times New Roman"/>
          <w:sz w:val="24"/>
          <w:lang w:val="sq-AL"/>
        </w:rPr>
        <w:t xml:space="preserve"> 7.09 – 8.15</w:t>
      </w:r>
      <w:r w:rsidRPr="00B86071">
        <w:rPr>
          <w:rFonts w:ascii="Times New Roman" w:hAnsi="Times New Roman" w:cs="Times New Roman"/>
          <w:color w:val="000000"/>
          <w:sz w:val="24"/>
          <w:lang w:val="sq-AL"/>
        </w:rPr>
        <w:t>, janë ujëra alkalinë të dobëta</w:t>
      </w:r>
    </w:p>
    <w:p w:rsidR="00B86071" w:rsidRPr="00B86071" w:rsidRDefault="00B86071" w:rsidP="00D87C5F">
      <w:pPr>
        <w:spacing w:after="0" w:line="240" w:lineRule="auto"/>
        <w:ind w:left="450"/>
        <w:jc w:val="both"/>
        <w:rPr>
          <w:rFonts w:ascii="Times New Roman" w:hAnsi="Times New Roman" w:cs="Times New Roman"/>
          <w:sz w:val="24"/>
          <w:lang w:val="sq-AL"/>
        </w:rPr>
      </w:pPr>
      <w:r w:rsidRPr="00B86071">
        <w:rPr>
          <w:rFonts w:ascii="Times New Roman" w:hAnsi="Times New Roman" w:cs="Times New Roman"/>
          <w:b/>
          <w:sz w:val="24"/>
          <w:lang w:val="sq-AL"/>
        </w:rPr>
        <w:t>Fp</w:t>
      </w:r>
      <w:r w:rsidRPr="00B86071">
        <w:rPr>
          <w:rFonts w:ascii="Times New Roman" w:hAnsi="Times New Roman" w:cs="Times New Roman"/>
          <w:sz w:val="24"/>
          <w:lang w:val="sq-AL"/>
        </w:rPr>
        <w:t xml:space="preserve"> varion nga 25.05 - 29.95</w:t>
      </w:r>
      <w:r w:rsidRPr="00B86071">
        <w:rPr>
          <w:rFonts w:ascii="Times New Roman" w:hAnsi="Times New Roman" w:cs="Times New Roman"/>
          <w:sz w:val="24"/>
          <w:vertAlign w:val="superscript"/>
          <w:lang w:val="sq-AL"/>
        </w:rPr>
        <w:t>o</w:t>
      </w:r>
      <w:r w:rsidRPr="00B86071">
        <w:rPr>
          <w:rFonts w:ascii="Times New Roman" w:hAnsi="Times New Roman" w:cs="Times New Roman"/>
          <w:sz w:val="24"/>
          <w:lang w:val="sq-AL"/>
        </w:rPr>
        <w:t xml:space="preserve"> gjermane, janë ujëra shum të forta.</w:t>
      </w:r>
    </w:p>
    <w:p w:rsidR="00B86071" w:rsidRPr="00B86071" w:rsidRDefault="00B86071" w:rsidP="00D87C5F">
      <w:pPr>
        <w:spacing w:after="0" w:line="240" w:lineRule="auto"/>
        <w:ind w:left="450"/>
        <w:jc w:val="both"/>
        <w:rPr>
          <w:rFonts w:ascii="Times New Roman" w:hAnsi="Times New Roman" w:cs="Times New Roman"/>
          <w:color w:val="000000"/>
          <w:sz w:val="24"/>
          <w:lang w:val="sq-AL"/>
        </w:rPr>
      </w:pPr>
      <w:r w:rsidRPr="00B86071">
        <w:rPr>
          <w:rFonts w:ascii="Times New Roman" w:hAnsi="Times New Roman" w:cs="Times New Roman"/>
          <w:b/>
          <w:sz w:val="24"/>
          <w:lang w:val="sq-AL"/>
        </w:rPr>
        <w:t>Mp</w:t>
      </w:r>
      <w:r w:rsidRPr="00B86071">
        <w:rPr>
          <w:rFonts w:ascii="Times New Roman" w:hAnsi="Times New Roman" w:cs="Times New Roman"/>
          <w:sz w:val="24"/>
          <w:lang w:val="sq-AL"/>
        </w:rPr>
        <w:t xml:space="preserve"> shkon nga 685.3 – 876.2 mg/l, pra janë ujëra të freskëta, tipi i ujit është HCO</w:t>
      </w:r>
      <w:r w:rsidRPr="00B86071">
        <w:rPr>
          <w:rFonts w:ascii="Times New Roman" w:hAnsi="Times New Roman" w:cs="Times New Roman"/>
          <w:sz w:val="24"/>
          <w:vertAlign w:val="subscript"/>
          <w:lang w:val="sq-AL"/>
        </w:rPr>
        <w:t>3</w:t>
      </w:r>
      <w:r w:rsidRPr="00B86071">
        <w:rPr>
          <w:rFonts w:ascii="Times New Roman" w:hAnsi="Times New Roman" w:cs="Times New Roman"/>
          <w:sz w:val="24"/>
          <w:lang w:val="sq-AL"/>
        </w:rPr>
        <w:t xml:space="preserve"> – Mg – Ca </w:t>
      </w:r>
    </w:p>
    <w:p w:rsidR="00B86071" w:rsidRPr="00B86071" w:rsidRDefault="00B86071" w:rsidP="00D87C5F">
      <w:pPr>
        <w:spacing w:after="0" w:line="240" w:lineRule="auto"/>
        <w:ind w:left="450"/>
        <w:jc w:val="both"/>
        <w:rPr>
          <w:rFonts w:ascii="Times New Roman" w:hAnsi="Times New Roman" w:cs="Times New Roman"/>
          <w:color w:val="000000"/>
          <w:sz w:val="24"/>
          <w:lang w:val="sq-AL"/>
        </w:rPr>
      </w:pPr>
      <w:r w:rsidRPr="00B86071">
        <w:rPr>
          <w:rFonts w:ascii="Times New Roman" w:hAnsi="Times New Roman" w:cs="Times New Roman"/>
          <w:b/>
          <w:sz w:val="24"/>
          <w:lang w:val="sq-AL"/>
        </w:rPr>
        <w:t>NH</w:t>
      </w:r>
      <w:r w:rsidRPr="00B86071">
        <w:rPr>
          <w:rFonts w:ascii="Times New Roman" w:hAnsi="Times New Roman" w:cs="Times New Roman"/>
          <w:b/>
          <w:sz w:val="24"/>
          <w:vertAlign w:val="subscript"/>
          <w:lang w:val="sq-AL"/>
        </w:rPr>
        <w:t>4</w:t>
      </w:r>
      <w:r w:rsidRPr="00B86071">
        <w:rPr>
          <w:rFonts w:ascii="Times New Roman" w:hAnsi="Times New Roman" w:cs="Times New Roman"/>
          <w:b/>
          <w:sz w:val="24"/>
          <w:lang w:val="sq-AL"/>
        </w:rPr>
        <w:t xml:space="preserve"> </w:t>
      </w:r>
      <w:r w:rsidRPr="00B86071">
        <w:rPr>
          <w:rFonts w:ascii="Times New Roman" w:hAnsi="Times New Roman" w:cs="Times New Roman"/>
          <w:sz w:val="24"/>
          <w:lang w:val="sq-AL"/>
        </w:rPr>
        <w:t>janë në vlera të ulta 0.00 – 0.21 por shfaqen ndotje në periudha ujëshumtë.</w:t>
      </w:r>
    </w:p>
    <w:p w:rsidR="00B86071" w:rsidRPr="00B86071" w:rsidRDefault="00B86071" w:rsidP="00D87C5F">
      <w:pPr>
        <w:spacing w:after="0" w:line="240" w:lineRule="auto"/>
        <w:ind w:left="450"/>
        <w:jc w:val="both"/>
        <w:rPr>
          <w:rFonts w:ascii="Times New Roman" w:hAnsi="Times New Roman" w:cs="Times New Roman"/>
          <w:color w:val="000000"/>
          <w:sz w:val="24"/>
          <w:lang w:val="sq-AL"/>
        </w:rPr>
      </w:pPr>
      <w:r w:rsidRPr="00B86071">
        <w:rPr>
          <w:rFonts w:ascii="Times New Roman" w:hAnsi="Times New Roman" w:cs="Times New Roman"/>
          <w:b/>
          <w:sz w:val="24"/>
          <w:lang w:val="sq-AL"/>
        </w:rPr>
        <w:t xml:space="preserve">Fe </w:t>
      </w:r>
      <w:r w:rsidRPr="00B86071">
        <w:rPr>
          <w:rFonts w:ascii="Times New Roman" w:hAnsi="Times New Roman" w:cs="Times New Roman"/>
          <w:sz w:val="24"/>
          <w:lang w:val="sq-AL"/>
        </w:rPr>
        <w:t>shkon</w:t>
      </w:r>
      <w:r w:rsidRPr="00B86071">
        <w:rPr>
          <w:rFonts w:ascii="Times New Roman" w:hAnsi="Times New Roman" w:cs="Times New Roman"/>
          <w:color w:val="000000"/>
          <w:sz w:val="24"/>
          <w:lang w:val="sq-AL"/>
        </w:rPr>
        <w:t xml:space="preserve"> deri në vlera 0.005 - 0.037 mg/l, vlera të cilat janë të pranu</w:t>
      </w:r>
      <w:r w:rsidR="008B1120">
        <w:rPr>
          <w:rFonts w:ascii="Times New Roman" w:hAnsi="Times New Roman" w:cs="Times New Roman"/>
          <w:color w:val="000000"/>
          <w:sz w:val="24"/>
          <w:lang w:val="sq-AL"/>
        </w:rPr>
        <w:t>e</w:t>
      </w:r>
      <w:r w:rsidRPr="00B86071">
        <w:rPr>
          <w:rFonts w:ascii="Times New Roman" w:hAnsi="Times New Roman" w:cs="Times New Roman"/>
          <w:color w:val="000000"/>
          <w:sz w:val="24"/>
          <w:lang w:val="sq-AL"/>
        </w:rPr>
        <w:t>shme për këtë lloj akuiferi.</w:t>
      </w:r>
    </w:p>
    <w:p w:rsidR="00B86071" w:rsidRPr="00B86071" w:rsidRDefault="00B86071" w:rsidP="00D87C5F">
      <w:pPr>
        <w:spacing w:after="0" w:line="240" w:lineRule="auto"/>
        <w:ind w:left="810"/>
        <w:jc w:val="both"/>
        <w:rPr>
          <w:rFonts w:ascii="Times New Roman" w:hAnsi="Times New Roman" w:cs="Times New Roman"/>
          <w:color w:val="000000"/>
          <w:sz w:val="24"/>
          <w:szCs w:val="24"/>
          <w:lang w:val="sq-AL"/>
        </w:rPr>
      </w:pPr>
    </w:p>
    <w:p w:rsidR="00B86071" w:rsidRPr="00B86071" w:rsidRDefault="00B86071" w:rsidP="00B86071">
      <w:pPr>
        <w:keepNext/>
        <w:spacing w:before="120" w:after="120" w:line="276" w:lineRule="auto"/>
        <w:jc w:val="both"/>
        <w:outlineLvl w:val="1"/>
        <w:rPr>
          <w:rFonts w:ascii="Times New Roman" w:eastAsia="Times New Roman" w:hAnsi="Times New Roman" w:cs="Times New Roman"/>
          <w:b/>
          <w:bCs/>
          <w:iCs/>
          <w:sz w:val="24"/>
          <w:szCs w:val="28"/>
          <w:lang w:val="sq-AL"/>
        </w:rPr>
      </w:pPr>
      <w:bookmarkStart w:id="32" w:name="_Toc223000362"/>
      <w:bookmarkStart w:id="33" w:name="_Toc125188028"/>
      <w:r w:rsidRPr="00B86071">
        <w:rPr>
          <w:rFonts w:ascii="Times New Roman" w:eastAsia="Times New Roman" w:hAnsi="Times New Roman" w:cs="Times New Roman"/>
          <w:b/>
          <w:bCs/>
          <w:iCs/>
          <w:sz w:val="24"/>
          <w:szCs w:val="28"/>
        </w:rPr>
        <w:lastRenderedPageBreak/>
        <w:t>Rekomandime për basenin e Shkumbinit</w:t>
      </w:r>
      <w:bookmarkEnd w:id="32"/>
      <w:bookmarkEnd w:id="33"/>
    </w:p>
    <w:p w:rsidR="00B86071" w:rsidRPr="00B86071" w:rsidRDefault="00B86071" w:rsidP="00807975">
      <w:pPr>
        <w:numPr>
          <w:ilvl w:val="0"/>
          <w:numId w:val="63"/>
        </w:numPr>
        <w:tabs>
          <w:tab w:val="left" w:pos="90"/>
        </w:tabs>
        <w:autoSpaceDN w:val="0"/>
        <w:spacing w:after="0" w:line="276"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Stacionet e pompimit të ujësjellësave; Vidhas fshat, Peqin dhe Rrogozhinë, Çermë pusi 286, 2 puse të Konjatit kanë fortësinë e përgjithshme mbi PML të lejuar për ujë të pijshëm, prandaj rekomandohet zbutja e këtij uji deri në parametrat e lejuar të ujit të pijshëm.</w:t>
      </w:r>
    </w:p>
    <w:p w:rsidR="00B86071" w:rsidRPr="00B86071" w:rsidRDefault="00B86071" w:rsidP="00807975">
      <w:pPr>
        <w:numPr>
          <w:ilvl w:val="0"/>
          <w:numId w:val="63"/>
        </w:numPr>
        <w:tabs>
          <w:tab w:val="left" w:pos="90"/>
        </w:tabs>
        <w:spacing w:after="0" w:line="276" w:lineRule="auto"/>
        <w:jc w:val="both"/>
        <w:rPr>
          <w:rFonts w:ascii="Times New Roman" w:hAnsi="Times New Roman" w:cs="Times New Roman"/>
          <w:color w:val="000000"/>
          <w:sz w:val="24"/>
          <w:szCs w:val="24"/>
          <w:lang w:val="sq-AL"/>
        </w:rPr>
      </w:pPr>
      <w:r w:rsidRPr="00B86071">
        <w:rPr>
          <w:rFonts w:ascii="Times New Roman" w:hAnsi="Times New Roman" w:cs="Times New Roman"/>
          <w:bCs/>
          <w:color w:val="000000"/>
          <w:sz w:val="24"/>
          <w:szCs w:val="24"/>
          <w:lang w:val="sq-AL"/>
        </w:rPr>
        <w:t>Të përcaktohen zonat sanitare dhe të zbatohen zonat e rreptësisë sanitare për të gjithë shpimet e shfrytëzimit. Të zbatohet me korrektësi zona e mbrojtjes sanitare për zonat Krastë e Vogël, Krastë e Madhe, Konjat, pusi 2V Çermë, etj, për të garantuar parametrat kimik dhe bakteriologjik të ujit të pijshëm.</w:t>
      </w:r>
    </w:p>
    <w:p w:rsidR="00B86071" w:rsidRPr="00B86071" w:rsidRDefault="00B86071" w:rsidP="00807975">
      <w:pPr>
        <w:numPr>
          <w:ilvl w:val="0"/>
          <w:numId w:val="63"/>
        </w:numPr>
        <w:spacing w:after="0" w:line="276"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 xml:space="preserve">Ujësjellësat e këtij akuiferi të funksionojnë si ujësjellës i centralizuar, duke furnizuar me ujë të pijshëm së pari Lushnjën dhe Divjakën pastaj Kavajën dhe Golemin, ose të ulet shfrytëzimi i ujit në stacionin e Çermës nga 300 – 350  l/s në maksimumi 200 l/s në mënyrë që të përmirësohen sadopak kushtet në stacionin e Konjatit. </w:t>
      </w:r>
    </w:p>
    <w:p w:rsidR="00B86071" w:rsidRPr="00B86071" w:rsidRDefault="00B86071" w:rsidP="00807975">
      <w:pPr>
        <w:numPr>
          <w:ilvl w:val="0"/>
          <w:numId w:val="63"/>
        </w:numPr>
        <w:tabs>
          <w:tab w:val="left" w:pos="90"/>
        </w:tabs>
        <w:spacing w:after="0" w:line="276" w:lineRule="auto"/>
        <w:jc w:val="both"/>
        <w:rPr>
          <w:rFonts w:ascii="Times New Roman" w:hAnsi="Times New Roman" w:cs="Times New Roman"/>
          <w:bCs/>
          <w:color w:val="000000"/>
          <w:sz w:val="24"/>
          <w:szCs w:val="24"/>
          <w:lang w:val="sq-AL"/>
        </w:rPr>
      </w:pPr>
      <w:r w:rsidRPr="00B86071">
        <w:rPr>
          <w:rFonts w:ascii="Times New Roman" w:hAnsi="Times New Roman" w:cs="Times New Roman"/>
          <w:bCs/>
          <w:color w:val="000000"/>
          <w:sz w:val="24"/>
          <w:szCs w:val="24"/>
          <w:lang w:val="sq-AL"/>
        </w:rPr>
        <w:t>Të sistemohen kanalete shkarkimit të ujërave të përziera që kalon pranë stacioneve të Konjatit dhe pusit 281 Çermë, pasi vërehet prezenca e amonjakut (NH</w:t>
      </w:r>
      <w:r w:rsidRPr="00B86071">
        <w:rPr>
          <w:rFonts w:ascii="Times New Roman" w:hAnsi="Times New Roman" w:cs="Times New Roman"/>
          <w:bCs/>
          <w:color w:val="000000"/>
          <w:sz w:val="24"/>
          <w:szCs w:val="24"/>
          <w:vertAlign w:val="subscript"/>
          <w:lang w:val="sq-AL"/>
        </w:rPr>
        <w:t>4</w:t>
      </w:r>
      <w:r w:rsidRPr="00B86071">
        <w:rPr>
          <w:rFonts w:ascii="Times New Roman" w:hAnsi="Times New Roman" w:cs="Times New Roman"/>
          <w:bCs/>
          <w:color w:val="000000"/>
          <w:sz w:val="24"/>
          <w:szCs w:val="24"/>
          <w:lang w:val="sq-AL"/>
        </w:rPr>
        <w:t>) në mënyrë të vahdueshme mbi parametrat maksimalë</w:t>
      </w:r>
      <w:r w:rsidR="008B1120">
        <w:rPr>
          <w:rFonts w:ascii="Times New Roman" w:hAnsi="Times New Roman" w:cs="Times New Roman"/>
          <w:bCs/>
          <w:color w:val="000000"/>
          <w:sz w:val="24"/>
          <w:szCs w:val="24"/>
          <w:lang w:val="sq-AL"/>
        </w:rPr>
        <w:t xml:space="preserve"> </w:t>
      </w:r>
      <w:r w:rsidRPr="00B86071">
        <w:rPr>
          <w:rFonts w:ascii="Times New Roman" w:hAnsi="Times New Roman" w:cs="Times New Roman"/>
          <w:bCs/>
          <w:color w:val="000000"/>
          <w:sz w:val="24"/>
          <w:szCs w:val="24"/>
          <w:lang w:val="sq-AL"/>
        </w:rPr>
        <w:t>të lejuar (PML) të ujit të pijshëm.</w:t>
      </w:r>
    </w:p>
    <w:p w:rsidR="00B86071" w:rsidRPr="00B86071" w:rsidRDefault="00B86071" w:rsidP="00807975">
      <w:pPr>
        <w:numPr>
          <w:ilvl w:val="0"/>
          <w:numId w:val="64"/>
        </w:numPr>
        <w:tabs>
          <w:tab w:val="left" w:pos="90"/>
        </w:tabs>
        <w:spacing w:after="0" w:line="276" w:lineRule="auto"/>
        <w:jc w:val="both"/>
        <w:rPr>
          <w:rFonts w:ascii="Times New Roman" w:hAnsi="Times New Roman" w:cs="Times New Roman"/>
          <w:color w:val="000000"/>
          <w:sz w:val="24"/>
          <w:szCs w:val="24"/>
          <w:lang w:val="sq-AL"/>
        </w:rPr>
      </w:pPr>
      <w:r w:rsidRPr="00B86071">
        <w:rPr>
          <w:rFonts w:ascii="Times New Roman" w:hAnsi="Times New Roman" w:cs="Times New Roman"/>
          <w:sz w:val="24"/>
          <w:szCs w:val="24"/>
          <w:lang w:val="sq-AL"/>
        </w:rPr>
        <w:t>Ndalimin e shfrytëzimit të zhavorreve në shtratin e lumit Shkumbin për mbrojtjen e shpimeve të shfrytëzimit në tarracat lumore dhe ruajtjen e ekuilibrave hidrodinamikë e hidrokimikë të ushqimit të akuiferëve ujëmbajtës.</w:t>
      </w:r>
    </w:p>
    <w:p w:rsidR="00B86071" w:rsidRPr="00B86071" w:rsidRDefault="00B86071" w:rsidP="00807975">
      <w:pPr>
        <w:numPr>
          <w:ilvl w:val="0"/>
          <w:numId w:val="64"/>
        </w:numPr>
        <w:tabs>
          <w:tab w:val="left" w:pos="90"/>
        </w:tabs>
        <w:spacing w:after="0" w:line="276" w:lineRule="auto"/>
        <w:jc w:val="both"/>
        <w:rPr>
          <w:rFonts w:ascii="Times New Roman" w:hAnsi="Times New Roman" w:cs="Times New Roman"/>
          <w:color w:val="000000"/>
          <w:sz w:val="24"/>
          <w:szCs w:val="24"/>
          <w:lang w:val="sq-AL"/>
        </w:rPr>
      </w:pPr>
      <w:r w:rsidRPr="00B86071">
        <w:rPr>
          <w:rFonts w:ascii="Times New Roman" w:hAnsi="Times New Roman" w:cs="Times New Roman"/>
          <w:color w:val="000000"/>
          <w:sz w:val="24"/>
          <w:szCs w:val="24"/>
          <w:lang w:val="sq-AL"/>
        </w:rPr>
        <w:t>Kryerjen e një monitorim</w:t>
      </w:r>
      <w:r w:rsidR="008B1120">
        <w:rPr>
          <w:rFonts w:ascii="Times New Roman" w:hAnsi="Times New Roman" w:cs="Times New Roman"/>
          <w:color w:val="000000"/>
          <w:sz w:val="24"/>
          <w:szCs w:val="24"/>
          <w:lang w:val="sq-AL"/>
        </w:rPr>
        <w:t>i</w:t>
      </w:r>
      <w:r w:rsidRPr="00B86071">
        <w:rPr>
          <w:rFonts w:ascii="Times New Roman" w:hAnsi="Times New Roman" w:cs="Times New Roman"/>
          <w:color w:val="000000"/>
          <w:sz w:val="24"/>
          <w:szCs w:val="24"/>
          <w:lang w:val="sq-AL"/>
        </w:rPr>
        <w:t xml:space="preserve"> të vazhdueshëm të shpimeve të stacionit të pompimit të Konjatit dhe të Çermës. Rritja e shfrytëzimit në akuiferin poroz të Çermës  me anë të 6 puseve të rinj dublim i puseve egzistues ka çuar përkeqësimin e parametrave fiziko-kimik të puseve të stacionit Konjat.</w:t>
      </w:r>
    </w:p>
    <w:p w:rsidR="00B86071" w:rsidRPr="00B86071" w:rsidRDefault="00B86071" w:rsidP="00807975">
      <w:pPr>
        <w:numPr>
          <w:ilvl w:val="0"/>
          <w:numId w:val="64"/>
        </w:numPr>
        <w:tabs>
          <w:tab w:val="left" w:pos="90"/>
        </w:tabs>
        <w:spacing w:after="0" w:line="276" w:lineRule="auto"/>
        <w:jc w:val="both"/>
        <w:rPr>
          <w:rFonts w:ascii="Times New Roman" w:hAnsi="Times New Roman" w:cs="Times New Roman"/>
          <w:color w:val="000000"/>
          <w:sz w:val="24"/>
          <w:szCs w:val="24"/>
          <w:lang w:val="sq-AL"/>
        </w:rPr>
      </w:pPr>
      <w:r w:rsidRPr="00B86071">
        <w:rPr>
          <w:rFonts w:ascii="Times New Roman" w:hAnsi="Times New Roman" w:cs="Times New Roman"/>
          <w:bCs/>
          <w:color w:val="000000"/>
          <w:sz w:val="24"/>
          <w:szCs w:val="24"/>
          <w:lang w:val="sq-AL"/>
        </w:rPr>
        <w:t>Të ndalohet hedhja e mbeturinave në lumin Shkumbin pasi puset në shfrytëzim janë afër zonës së ushqimit dhe ndotja e ujit të lumit mund të shkaktojë ndotje edhe në puset që shfrytëzohen.</w:t>
      </w:r>
    </w:p>
    <w:p w:rsidR="00B86071" w:rsidRDefault="00B86071" w:rsidP="0005229A">
      <w:pPr>
        <w:spacing w:after="200" w:line="288" w:lineRule="auto"/>
        <w:rPr>
          <w:rFonts w:ascii="Times New Roman" w:eastAsiaTheme="minorEastAsia" w:hAnsi="Times New Roman" w:cs="Times New Roman"/>
          <w:sz w:val="24"/>
          <w:szCs w:val="24"/>
        </w:rPr>
      </w:pPr>
    </w:p>
    <w:p w:rsidR="00CA247F" w:rsidRPr="00B86071" w:rsidRDefault="00B86071" w:rsidP="0005229A">
      <w:pPr>
        <w:spacing w:after="200" w:line="288" w:lineRule="auto"/>
        <w:rPr>
          <w:rFonts w:ascii="Times New Roman" w:eastAsiaTheme="minorEastAsia" w:hAnsi="Times New Roman" w:cs="Times New Roman"/>
          <w:b/>
          <w:sz w:val="24"/>
          <w:szCs w:val="24"/>
        </w:rPr>
      </w:pPr>
      <w:r w:rsidRPr="00B86071">
        <w:rPr>
          <w:rFonts w:ascii="Times New Roman" w:eastAsiaTheme="minorEastAsia" w:hAnsi="Times New Roman" w:cs="Times New Roman"/>
          <w:b/>
          <w:sz w:val="24"/>
          <w:szCs w:val="24"/>
        </w:rPr>
        <w:t>4.2.5  Baseni Seman</w:t>
      </w:r>
    </w:p>
    <w:p w:rsidR="00B86071" w:rsidRPr="00B86071" w:rsidRDefault="00B86071" w:rsidP="00B86071">
      <w:pPr>
        <w:spacing w:after="0" w:line="276" w:lineRule="auto"/>
        <w:jc w:val="both"/>
        <w:rPr>
          <w:rFonts w:ascii="Times New Roman" w:hAnsi="Times New Roman" w:cs="Times New Roman"/>
          <w:sz w:val="24"/>
          <w:szCs w:val="24"/>
          <w:lang w:val="en-CA"/>
        </w:rPr>
      </w:pPr>
      <w:r w:rsidRPr="00B86071">
        <w:rPr>
          <w:rFonts w:ascii="Times New Roman" w:hAnsi="Times New Roman" w:cs="Times New Roman"/>
          <w:sz w:val="24"/>
          <w:szCs w:val="24"/>
          <w:lang w:val="en-CA"/>
        </w:rPr>
        <w:t>Në akuiferët e basenit të Semanit, shfrytëzohen rezerva të konsiderueshme të ujërave nëntokësore për furnizimin me ujë të pijshëm të zonave të banuara si qytete ashtu edhe fshatra të ndryshme.</w:t>
      </w:r>
    </w:p>
    <w:p w:rsidR="00B86071" w:rsidRPr="00B86071" w:rsidRDefault="00B86071" w:rsidP="00B86071">
      <w:pPr>
        <w:spacing w:after="200" w:line="276" w:lineRule="auto"/>
        <w:jc w:val="both"/>
        <w:rPr>
          <w:rFonts w:ascii="Times New Roman" w:hAnsi="Times New Roman" w:cs="Times New Roman"/>
          <w:sz w:val="24"/>
          <w:szCs w:val="24"/>
        </w:rPr>
      </w:pPr>
      <w:r w:rsidRPr="00B86071">
        <w:rPr>
          <w:rFonts w:ascii="Times New Roman" w:hAnsi="Times New Roman" w:cs="Times New Roman"/>
          <w:sz w:val="24"/>
          <w:szCs w:val="24"/>
        </w:rPr>
        <w:t>Monitorimi i ujërave nëntokësore në basenin e Semanit, për vitin 2025, u krye në akuiferin poroz të Korçës, në akuiferin karbonatik dhe në akuiferin magmatikë (shpimi pranë H. Xhorxhos Korçë).</w:t>
      </w:r>
    </w:p>
    <w:p w:rsidR="00B86071" w:rsidRPr="00D87C5F" w:rsidRDefault="00B86071" w:rsidP="00807975">
      <w:pPr>
        <w:pStyle w:val="ListParagraph"/>
        <w:numPr>
          <w:ilvl w:val="0"/>
          <w:numId w:val="81"/>
        </w:numPr>
        <w:spacing w:before="120" w:after="60" w:line="276" w:lineRule="auto"/>
        <w:jc w:val="both"/>
        <w:rPr>
          <w:rFonts w:ascii="Times New Roman" w:hAnsi="Times New Roman" w:cs="Times New Roman"/>
          <w:b/>
          <w:i/>
          <w:sz w:val="24"/>
          <w:szCs w:val="24"/>
        </w:rPr>
      </w:pPr>
      <w:r w:rsidRPr="00D87C5F">
        <w:rPr>
          <w:rFonts w:ascii="Times New Roman" w:hAnsi="Times New Roman" w:cs="Times New Roman"/>
          <w:b/>
          <w:i/>
          <w:sz w:val="24"/>
          <w:szCs w:val="24"/>
        </w:rPr>
        <w:t>Monitorimi Sasior</w:t>
      </w:r>
    </w:p>
    <w:p w:rsidR="00B86071" w:rsidRPr="00B86071" w:rsidRDefault="00B86071" w:rsidP="00B86071">
      <w:pPr>
        <w:spacing w:after="200" w:line="276" w:lineRule="auto"/>
        <w:jc w:val="both"/>
        <w:rPr>
          <w:rFonts w:ascii="Times New Roman" w:hAnsi="Times New Roman" w:cs="Times New Roman"/>
          <w:sz w:val="24"/>
          <w:szCs w:val="24"/>
        </w:rPr>
      </w:pPr>
      <w:r w:rsidRPr="00B86071">
        <w:rPr>
          <w:rFonts w:ascii="Times New Roman" w:hAnsi="Times New Roman" w:cs="Times New Roman"/>
          <w:sz w:val="24"/>
          <w:szCs w:val="24"/>
        </w:rPr>
        <w:t xml:space="preserve">Në akuiferët e basenit të Semanit, shfrytëzohen rezerva të konsiderueshme të ujërave nëntokësore për furnizimin me ujë të pijshëm të zonave të banuara si qytete ashtu edhe në fshatra </w:t>
      </w:r>
      <w:r w:rsidRPr="00B86071">
        <w:rPr>
          <w:rFonts w:ascii="Times New Roman" w:hAnsi="Times New Roman" w:cs="Times New Roman"/>
          <w:sz w:val="24"/>
          <w:szCs w:val="24"/>
        </w:rPr>
        <w:lastRenderedPageBreak/>
        <w:t>të ndryshëm.</w:t>
      </w:r>
    </w:p>
    <w:p w:rsidR="00B86071" w:rsidRPr="00B86071" w:rsidRDefault="00B86071" w:rsidP="00B86071">
      <w:pPr>
        <w:spacing w:after="200" w:line="276" w:lineRule="auto"/>
        <w:jc w:val="both"/>
        <w:rPr>
          <w:rFonts w:ascii="Times New Roman" w:hAnsi="Times New Roman" w:cs="Times New Roman"/>
          <w:sz w:val="24"/>
          <w:szCs w:val="24"/>
        </w:rPr>
      </w:pPr>
      <w:r w:rsidRPr="00B86071">
        <w:rPr>
          <w:rFonts w:ascii="Times New Roman" w:hAnsi="Times New Roman" w:cs="Times New Roman"/>
          <w:sz w:val="24"/>
          <w:szCs w:val="24"/>
        </w:rPr>
        <w:t>Rezervat që shfrytëzohen nga çdo akuifer ujëmbajtës:</w:t>
      </w:r>
    </w:p>
    <w:p w:rsidR="00B86071" w:rsidRPr="00B86071" w:rsidRDefault="00B86071" w:rsidP="00807975">
      <w:pPr>
        <w:numPr>
          <w:ilvl w:val="0"/>
          <w:numId w:val="65"/>
        </w:numPr>
        <w:spacing w:after="0" w:line="240" w:lineRule="auto"/>
        <w:jc w:val="both"/>
        <w:rPr>
          <w:rFonts w:ascii="Times New Roman" w:hAnsi="Times New Roman" w:cs="Times New Roman"/>
          <w:sz w:val="24"/>
          <w:szCs w:val="24"/>
        </w:rPr>
      </w:pPr>
      <w:r w:rsidRPr="00B86071">
        <w:rPr>
          <w:rFonts w:ascii="Times New Roman" w:hAnsi="Times New Roman" w:cs="Times New Roman"/>
          <w:sz w:val="24"/>
          <w:szCs w:val="24"/>
        </w:rPr>
        <w:t xml:space="preserve">Akuiferi kuaternar i Korçës </w:t>
      </w:r>
      <w:r w:rsidRPr="00B86071">
        <w:rPr>
          <w:rFonts w:ascii="Times New Roman" w:hAnsi="Times New Roman" w:cs="Times New Roman"/>
          <w:sz w:val="24"/>
          <w:szCs w:val="24"/>
        </w:rPr>
        <w:tab/>
        <w:t>Q = 500 - 550 l/sek      K = 0.65 – 0.75</w:t>
      </w:r>
    </w:p>
    <w:p w:rsidR="00B86071" w:rsidRPr="00B86071" w:rsidRDefault="00B86071" w:rsidP="00807975">
      <w:pPr>
        <w:numPr>
          <w:ilvl w:val="0"/>
          <w:numId w:val="65"/>
        </w:numPr>
        <w:spacing w:after="0" w:line="240" w:lineRule="auto"/>
        <w:jc w:val="both"/>
        <w:rPr>
          <w:rFonts w:ascii="Times New Roman" w:hAnsi="Times New Roman" w:cs="Times New Roman"/>
          <w:sz w:val="24"/>
          <w:szCs w:val="24"/>
        </w:rPr>
      </w:pPr>
      <w:r w:rsidRPr="00B86071">
        <w:rPr>
          <w:rFonts w:ascii="Times New Roman" w:hAnsi="Times New Roman" w:cs="Times New Roman"/>
          <w:sz w:val="24"/>
          <w:szCs w:val="24"/>
        </w:rPr>
        <w:t xml:space="preserve">Akuiferi kuaternar i Beratit </w:t>
      </w:r>
      <w:r w:rsidRPr="00B86071">
        <w:rPr>
          <w:rFonts w:ascii="Times New Roman" w:hAnsi="Times New Roman" w:cs="Times New Roman"/>
          <w:sz w:val="24"/>
          <w:szCs w:val="24"/>
        </w:rPr>
        <w:tab/>
        <w:t>Q = 500 - 590 l/sek      K = 0. 65 – 0.75</w:t>
      </w:r>
    </w:p>
    <w:p w:rsidR="00B86071" w:rsidRPr="00B86071" w:rsidRDefault="00B86071" w:rsidP="00807975">
      <w:pPr>
        <w:numPr>
          <w:ilvl w:val="0"/>
          <w:numId w:val="65"/>
        </w:numPr>
        <w:spacing w:after="0" w:line="240" w:lineRule="auto"/>
        <w:jc w:val="both"/>
        <w:rPr>
          <w:rFonts w:ascii="Times New Roman" w:hAnsi="Times New Roman" w:cs="Times New Roman"/>
          <w:sz w:val="24"/>
          <w:szCs w:val="24"/>
        </w:rPr>
      </w:pPr>
      <w:r w:rsidRPr="00B86071">
        <w:rPr>
          <w:rFonts w:ascii="Times New Roman" w:hAnsi="Times New Roman" w:cs="Times New Roman"/>
          <w:sz w:val="24"/>
          <w:szCs w:val="24"/>
        </w:rPr>
        <w:t xml:space="preserve">Akuiferi karbonatik          </w:t>
      </w:r>
      <w:r w:rsidRPr="00B86071">
        <w:rPr>
          <w:rFonts w:ascii="Times New Roman" w:hAnsi="Times New Roman" w:cs="Times New Roman"/>
          <w:sz w:val="24"/>
          <w:szCs w:val="24"/>
        </w:rPr>
        <w:tab/>
      </w:r>
      <w:r w:rsidRPr="00B86071">
        <w:rPr>
          <w:rFonts w:ascii="Times New Roman" w:hAnsi="Times New Roman" w:cs="Times New Roman"/>
          <w:sz w:val="24"/>
          <w:szCs w:val="24"/>
        </w:rPr>
        <w:tab/>
        <w:t>Q = 360 - 530 l/sek      K = 0.3 – 0.5</w:t>
      </w:r>
    </w:p>
    <w:p w:rsidR="00B86071" w:rsidRPr="00B86071" w:rsidRDefault="00B86071" w:rsidP="00807975">
      <w:pPr>
        <w:numPr>
          <w:ilvl w:val="0"/>
          <w:numId w:val="65"/>
        </w:numPr>
        <w:spacing w:after="0" w:line="240" w:lineRule="auto"/>
        <w:jc w:val="both"/>
        <w:rPr>
          <w:rFonts w:ascii="Times New Roman" w:hAnsi="Times New Roman" w:cs="Times New Roman"/>
          <w:sz w:val="24"/>
          <w:szCs w:val="24"/>
        </w:rPr>
      </w:pPr>
      <w:r w:rsidRPr="00B86071">
        <w:rPr>
          <w:rFonts w:ascii="Times New Roman" w:hAnsi="Times New Roman" w:cs="Times New Roman"/>
          <w:sz w:val="24"/>
          <w:szCs w:val="24"/>
        </w:rPr>
        <w:t xml:space="preserve">Akuiferi magmatik           </w:t>
      </w:r>
      <w:r w:rsidRPr="00B86071">
        <w:rPr>
          <w:rFonts w:ascii="Times New Roman" w:hAnsi="Times New Roman" w:cs="Times New Roman"/>
          <w:sz w:val="24"/>
          <w:szCs w:val="24"/>
        </w:rPr>
        <w:tab/>
      </w:r>
      <w:r w:rsidRPr="00B86071">
        <w:rPr>
          <w:rFonts w:ascii="Times New Roman" w:hAnsi="Times New Roman" w:cs="Times New Roman"/>
          <w:sz w:val="24"/>
          <w:szCs w:val="24"/>
        </w:rPr>
        <w:tab/>
        <w:t>Q = 20 - 30 l/sek          K = 0.3 – 0.5</w:t>
      </w:r>
    </w:p>
    <w:p w:rsidR="00B86071" w:rsidRPr="00B86071" w:rsidRDefault="00B86071" w:rsidP="00B86071">
      <w:pPr>
        <w:spacing w:after="200" w:line="276" w:lineRule="auto"/>
        <w:jc w:val="both"/>
        <w:rPr>
          <w:rFonts w:ascii="Times New Roman" w:hAnsi="Times New Roman" w:cs="Times New Roman"/>
          <w:sz w:val="24"/>
          <w:szCs w:val="24"/>
        </w:rPr>
      </w:pPr>
      <w:r w:rsidRPr="00B86071">
        <w:rPr>
          <w:rFonts w:ascii="Times New Roman" w:hAnsi="Times New Roman" w:cs="Times New Roman"/>
          <w:sz w:val="24"/>
          <w:szCs w:val="24"/>
        </w:rPr>
        <w:t>Rezervat që shfrytëzohen për çdo akuifer janë më të vogla se ato që rekomandohen për shfrytëzim, që do të thotë se ka rezerva të lira të pashfrytëzuara që mund të përdoren për furnizimin me ujë të popullsisë, në rast nevoje.</w:t>
      </w:r>
    </w:p>
    <w:p w:rsidR="00B86071" w:rsidRPr="00D87C5F" w:rsidRDefault="00B86071" w:rsidP="00807975">
      <w:pPr>
        <w:pStyle w:val="ListParagraph"/>
        <w:numPr>
          <w:ilvl w:val="0"/>
          <w:numId w:val="81"/>
        </w:numPr>
        <w:spacing w:before="120" w:after="60" w:line="276" w:lineRule="auto"/>
        <w:jc w:val="both"/>
        <w:rPr>
          <w:rFonts w:ascii="Times New Roman" w:hAnsi="Times New Roman" w:cs="Times New Roman"/>
          <w:b/>
          <w:i/>
          <w:sz w:val="24"/>
          <w:szCs w:val="24"/>
        </w:rPr>
      </w:pPr>
      <w:r w:rsidRPr="00D87C5F">
        <w:rPr>
          <w:rFonts w:ascii="Times New Roman" w:hAnsi="Times New Roman" w:cs="Times New Roman"/>
          <w:b/>
          <w:i/>
          <w:sz w:val="24"/>
          <w:szCs w:val="24"/>
        </w:rPr>
        <w:t xml:space="preserve">Monitorimi hidrodinamik </w:t>
      </w:r>
    </w:p>
    <w:p w:rsidR="00B86071" w:rsidRPr="00B86071" w:rsidRDefault="00B86071" w:rsidP="00B72496">
      <w:pPr>
        <w:spacing w:after="0" w:line="240" w:lineRule="auto"/>
        <w:jc w:val="both"/>
        <w:rPr>
          <w:rFonts w:ascii="Times New Roman" w:hAnsi="Times New Roman" w:cs="Times New Roman"/>
          <w:sz w:val="24"/>
          <w:szCs w:val="24"/>
          <w:lang w:val="sq-AL"/>
        </w:rPr>
      </w:pPr>
      <w:r w:rsidRPr="00B86071">
        <w:rPr>
          <w:rFonts w:ascii="Times New Roman" w:hAnsi="Times New Roman" w:cs="Times New Roman"/>
          <w:bCs/>
          <w:sz w:val="24"/>
          <w:szCs w:val="24"/>
          <w:lang w:val="sq-AL"/>
        </w:rPr>
        <w:t>Monitorimi i nivelit të ujërave nëntokësore gjatë vitit 2025 është kryer në akuiferin poroz të Korcës është kryer në shpimet e Pendavinjës, Ravonikut, Zëmblakut dhe stacioni i Bulgarecit.</w:t>
      </w:r>
      <w:r w:rsidRPr="00B86071">
        <w:rPr>
          <w:rFonts w:ascii="Times New Roman" w:hAnsi="Times New Roman" w:cs="Times New Roman"/>
          <w:sz w:val="24"/>
          <w:szCs w:val="24"/>
          <w:lang w:val="sq-AL"/>
        </w:rPr>
        <w:t xml:space="preserve"> Ujërat nëntokësore të akuiferit poroz Korçë janë me presion deri me vetëderdhje në sipërfaqe.</w:t>
      </w:r>
    </w:p>
    <w:p w:rsidR="00B86071" w:rsidRPr="00B86071" w:rsidRDefault="00B86071" w:rsidP="00B72496">
      <w:pPr>
        <w:spacing w:after="0" w:line="240" w:lineRule="auto"/>
        <w:jc w:val="both"/>
        <w:rPr>
          <w:rFonts w:ascii="Times New Roman" w:hAnsi="Times New Roman" w:cs="Times New Roman"/>
          <w:sz w:val="24"/>
          <w:szCs w:val="24"/>
          <w:lang w:val="sq-AL"/>
        </w:rPr>
      </w:pPr>
      <w:r w:rsidRPr="00B86071">
        <w:rPr>
          <w:rFonts w:ascii="Times New Roman" w:hAnsi="Times New Roman" w:cs="Times New Roman"/>
          <w:sz w:val="24"/>
          <w:szCs w:val="24"/>
          <w:lang w:val="sq-AL"/>
        </w:rPr>
        <w:t xml:space="preserve">Monitorimi hidrodinamik i ujrave nëntokësore të këtij akuiferi është kryer në shpimete </w:t>
      </w:r>
      <w:r w:rsidRPr="00B86071">
        <w:rPr>
          <w:rFonts w:ascii="Times New Roman" w:hAnsi="Times New Roman" w:cs="Times New Roman"/>
          <w:bCs/>
          <w:sz w:val="24"/>
          <w:szCs w:val="24"/>
          <w:lang w:val="sq-AL"/>
        </w:rPr>
        <w:t>Pendavinjës, Ravonikut, Zëmblakut dhe stacioni i Bulgarecit</w:t>
      </w:r>
      <w:r w:rsidRPr="00B86071">
        <w:rPr>
          <w:rFonts w:ascii="Times New Roman" w:hAnsi="Times New Roman" w:cs="Times New Roman"/>
          <w:sz w:val="24"/>
          <w:szCs w:val="24"/>
          <w:lang w:val="sq-AL"/>
        </w:rPr>
        <w:t xml:space="preserve"> i cili është shpim me vetëderdhje, por gjatë gjithë kohës është në shfrytëzim. Luhatja e nivelit të ujrave nëntokësore lidhet me ndryshimet stinore dhe me ndryshimet për efekt shfrytëzimi.</w:t>
      </w:r>
    </w:p>
    <w:p w:rsidR="00B86071" w:rsidRPr="00B86071" w:rsidRDefault="00B86071" w:rsidP="00B86071">
      <w:pPr>
        <w:spacing w:after="0" w:line="276" w:lineRule="auto"/>
        <w:jc w:val="both"/>
        <w:rPr>
          <w:rFonts w:ascii="Times New Roman" w:hAnsi="Times New Roman" w:cs="Times New Roman"/>
          <w:sz w:val="24"/>
          <w:szCs w:val="24"/>
        </w:rPr>
      </w:pPr>
    </w:p>
    <w:tbl>
      <w:tblPr>
        <w:tblpPr w:leftFromText="180" w:rightFromText="180" w:vertAnchor="text" w:horzAnchor="margin" w:tblpXSpec="center" w:tblpY="1376"/>
        <w:tblW w:w="5355" w:type="dxa"/>
        <w:tblLayout w:type="fixed"/>
        <w:tblCellMar>
          <w:left w:w="30" w:type="dxa"/>
          <w:right w:w="30" w:type="dxa"/>
        </w:tblCellMar>
        <w:tblLook w:val="04A0" w:firstRow="1" w:lastRow="0" w:firstColumn="1" w:lastColumn="0" w:noHBand="0" w:noVBand="1"/>
      </w:tblPr>
      <w:tblGrid>
        <w:gridCol w:w="1413"/>
        <w:gridCol w:w="882"/>
        <w:gridCol w:w="990"/>
        <w:gridCol w:w="990"/>
        <w:gridCol w:w="1080"/>
      </w:tblGrid>
      <w:tr w:rsidR="00FF3A69" w:rsidRPr="00B86071" w:rsidTr="00B72496">
        <w:trPr>
          <w:trHeight w:hRule="exact" w:val="312"/>
        </w:trPr>
        <w:tc>
          <w:tcPr>
            <w:tcW w:w="1413" w:type="dxa"/>
            <w:tcBorders>
              <w:top w:val="single" w:sz="6" w:space="0" w:color="auto"/>
              <w:left w:val="single" w:sz="6" w:space="0" w:color="auto"/>
              <w:bottom w:val="single" w:sz="6" w:space="0" w:color="auto"/>
              <w:right w:val="single" w:sz="6" w:space="0" w:color="auto"/>
            </w:tcBorders>
            <w:vAlign w:val="bottom"/>
            <w:hideMark/>
          </w:tcPr>
          <w:p w:rsidR="00FF3A69" w:rsidRPr="00B86071" w:rsidRDefault="00FF3A69"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Koha e matjeve</w:t>
            </w:r>
          </w:p>
        </w:tc>
        <w:tc>
          <w:tcPr>
            <w:tcW w:w="882" w:type="dxa"/>
            <w:tcBorders>
              <w:top w:val="single" w:sz="6" w:space="0" w:color="auto"/>
              <w:left w:val="single" w:sz="6" w:space="0" w:color="auto"/>
              <w:bottom w:val="single" w:sz="6" w:space="0" w:color="auto"/>
              <w:right w:val="single" w:sz="6" w:space="0" w:color="auto"/>
            </w:tcBorders>
            <w:vAlign w:val="bottom"/>
            <w:hideMark/>
          </w:tcPr>
          <w:p w:rsidR="00FF3A69" w:rsidRPr="00B86071" w:rsidRDefault="00FF3A69"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Bulgarec</w:t>
            </w:r>
          </w:p>
        </w:tc>
        <w:tc>
          <w:tcPr>
            <w:tcW w:w="990" w:type="dxa"/>
            <w:tcBorders>
              <w:top w:val="single" w:sz="6" w:space="0" w:color="auto"/>
              <w:left w:val="single" w:sz="6" w:space="0" w:color="auto"/>
              <w:bottom w:val="single" w:sz="6" w:space="0" w:color="auto"/>
              <w:right w:val="single" w:sz="6" w:space="0" w:color="auto"/>
            </w:tcBorders>
            <w:vAlign w:val="bottom"/>
            <w:hideMark/>
          </w:tcPr>
          <w:p w:rsidR="00FF3A69" w:rsidRPr="00B86071" w:rsidRDefault="00FF3A69"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Pendavinj</w:t>
            </w:r>
          </w:p>
        </w:tc>
        <w:tc>
          <w:tcPr>
            <w:tcW w:w="990" w:type="dxa"/>
            <w:tcBorders>
              <w:top w:val="single" w:sz="6" w:space="0" w:color="auto"/>
              <w:left w:val="single" w:sz="6" w:space="0" w:color="auto"/>
              <w:bottom w:val="single" w:sz="6" w:space="0" w:color="auto"/>
              <w:right w:val="single" w:sz="6" w:space="0" w:color="auto"/>
            </w:tcBorders>
            <w:vAlign w:val="bottom"/>
            <w:hideMark/>
          </w:tcPr>
          <w:p w:rsidR="00FF3A69" w:rsidRPr="00B86071" w:rsidRDefault="00FF3A69"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Zemblak</w:t>
            </w:r>
          </w:p>
        </w:tc>
        <w:tc>
          <w:tcPr>
            <w:tcW w:w="1080" w:type="dxa"/>
            <w:tcBorders>
              <w:top w:val="single" w:sz="6" w:space="0" w:color="auto"/>
              <w:left w:val="single" w:sz="6" w:space="0" w:color="auto"/>
              <w:bottom w:val="single" w:sz="6" w:space="0" w:color="auto"/>
              <w:right w:val="single" w:sz="6" w:space="0" w:color="auto"/>
            </w:tcBorders>
            <w:vAlign w:val="bottom"/>
            <w:hideMark/>
          </w:tcPr>
          <w:p w:rsidR="00FF3A69" w:rsidRPr="00B86071" w:rsidRDefault="00FF3A69"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Ravonik</w:t>
            </w:r>
          </w:p>
        </w:tc>
      </w:tr>
      <w:tr w:rsidR="00FF3A69" w:rsidRPr="00B86071" w:rsidTr="00B72496">
        <w:trPr>
          <w:trHeight w:hRule="exact" w:val="312"/>
        </w:trPr>
        <w:tc>
          <w:tcPr>
            <w:tcW w:w="1413" w:type="dxa"/>
            <w:tcBorders>
              <w:top w:val="single" w:sz="6" w:space="0" w:color="auto"/>
              <w:left w:val="single" w:sz="6" w:space="0" w:color="auto"/>
              <w:bottom w:val="single" w:sz="6" w:space="0" w:color="auto"/>
              <w:right w:val="single" w:sz="6" w:space="0" w:color="auto"/>
            </w:tcBorders>
            <w:vAlign w:val="bottom"/>
            <w:hideMark/>
          </w:tcPr>
          <w:p w:rsidR="00FF3A69" w:rsidRPr="00B86071" w:rsidRDefault="00FF3A69"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Mars 2025</w:t>
            </w:r>
          </w:p>
        </w:tc>
        <w:tc>
          <w:tcPr>
            <w:tcW w:w="882" w:type="dxa"/>
            <w:tcBorders>
              <w:top w:val="single" w:sz="6" w:space="0" w:color="auto"/>
              <w:left w:val="single" w:sz="6" w:space="0" w:color="auto"/>
              <w:bottom w:val="single" w:sz="6" w:space="0" w:color="auto"/>
              <w:right w:val="single" w:sz="6" w:space="0" w:color="auto"/>
            </w:tcBorders>
            <w:vAlign w:val="bottom"/>
            <w:hideMark/>
          </w:tcPr>
          <w:p w:rsidR="00FF3A69" w:rsidRPr="00B86071" w:rsidRDefault="00FF3A69"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+0.45</w:t>
            </w:r>
          </w:p>
        </w:tc>
        <w:tc>
          <w:tcPr>
            <w:tcW w:w="990" w:type="dxa"/>
            <w:tcBorders>
              <w:top w:val="single" w:sz="6" w:space="0" w:color="auto"/>
              <w:left w:val="single" w:sz="6" w:space="0" w:color="auto"/>
              <w:bottom w:val="single" w:sz="6" w:space="0" w:color="auto"/>
              <w:right w:val="single" w:sz="6" w:space="0" w:color="auto"/>
            </w:tcBorders>
            <w:vAlign w:val="bottom"/>
            <w:hideMark/>
          </w:tcPr>
          <w:p w:rsidR="00FF3A69" w:rsidRPr="00B86071" w:rsidRDefault="00FF3A69"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-2</w:t>
            </w:r>
          </w:p>
        </w:tc>
        <w:tc>
          <w:tcPr>
            <w:tcW w:w="990" w:type="dxa"/>
            <w:tcBorders>
              <w:top w:val="single" w:sz="6" w:space="0" w:color="auto"/>
              <w:left w:val="single" w:sz="6" w:space="0" w:color="auto"/>
              <w:bottom w:val="single" w:sz="6" w:space="0" w:color="auto"/>
              <w:right w:val="single" w:sz="6" w:space="0" w:color="auto"/>
            </w:tcBorders>
            <w:vAlign w:val="bottom"/>
            <w:hideMark/>
          </w:tcPr>
          <w:p w:rsidR="00FF3A69" w:rsidRPr="00B86071" w:rsidRDefault="00FF3A69"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-3.8</w:t>
            </w:r>
          </w:p>
        </w:tc>
        <w:tc>
          <w:tcPr>
            <w:tcW w:w="1080" w:type="dxa"/>
            <w:tcBorders>
              <w:top w:val="single" w:sz="6" w:space="0" w:color="auto"/>
              <w:left w:val="single" w:sz="6" w:space="0" w:color="auto"/>
              <w:bottom w:val="single" w:sz="6" w:space="0" w:color="auto"/>
              <w:right w:val="single" w:sz="6" w:space="0" w:color="auto"/>
            </w:tcBorders>
            <w:vAlign w:val="bottom"/>
            <w:hideMark/>
          </w:tcPr>
          <w:p w:rsidR="00FF3A69" w:rsidRPr="00B86071" w:rsidRDefault="00FF3A69"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-1.6</w:t>
            </w:r>
          </w:p>
        </w:tc>
      </w:tr>
      <w:tr w:rsidR="00FF3A69" w:rsidRPr="00B86071" w:rsidTr="00B72496">
        <w:trPr>
          <w:trHeight w:hRule="exact" w:val="312"/>
        </w:trPr>
        <w:tc>
          <w:tcPr>
            <w:tcW w:w="1413" w:type="dxa"/>
            <w:tcBorders>
              <w:top w:val="single" w:sz="6" w:space="0" w:color="auto"/>
              <w:left w:val="single" w:sz="6" w:space="0" w:color="auto"/>
              <w:bottom w:val="single" w:sz="6" w:space="0" w:color="auto"/>
              <w:right w:val="single" w:sz="6" w:space="0" w:color="auto"/>
            </w:tcBorders>
            <w:vAlign w:val="bottom"/>
            <w:hideMark/>
          </w:tcPr>
          <w:p w:rsidR="00FF3A69" w:rsidRPr="00B86071" w:rsidRDefault="00FF3A69"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Gusht 2025</w:t>
            </w:r>
          </w:p>
        </w:tc>
        <w:tc>
          <w:tcPr>
            <w:tcW w:w="882" w:type="dxa"/>
            <w:tcBorders>
              <w:top w:val="single" w:sz="6" w:space="0" w:color="auto"/>
              <w:left w:val="single" w:sz="6" w:space="0" w:color="auto"/>
              <w:bottom w:val="single" w:sz="6" w:space="0" w:color="auto"/>
              <w:right w:val="single" w:sz="6" w:space="0" w:color="auto"/>
            </w:tcBorders>
            <w:vAlign w:val="bottom"/>
            <w:hideMark/>
          </w:tcPr>
          <w:p w:rsidR="00FF3A69" w:rsidRPr="00B86071" w:rsidRDefault="00FF3A69"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+0.6</w:t>
            </w:r>
          </w:p>
        </w:tc>
        <w:tc>
          <w:tcPr>
            <w:tcW w:w="990" w:type="dxa"/>
            <w:tcBorders>
              <w:top w:val="single" w:sz="6" w:space="0" w:color="auto"/>
              <w:left w:val="single" w:sz="6" w:space="0" w:color="auto"/>
              <w:bottom w:val="single" w:sz="6" w:space="0" w:color="auto"/>
              <w:right w:val="single" w:sz="6" w:space="0" w:color="auto"/>
            </w:tcBorders>
            <w:vAlign w:val="bottom"/>
            <w:hideMark/>
          </w:tcPr>
          <w:p w:rsidR="00FF3A69" w:rsidRPr="00B86071" w:rsidRDefault="00FF3A69"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-2.7</w:t>
            </w:r>
          </w:p>
        </w:tc>
        <w:tc>
          <w:tcPr>
            <w:tcW w:w="990" w:type="dxa"/>
            <w:tcBorders>
              <w:top w:val="single" w:sz="6" w:space="0" w:color="auto"/>
              <w:left w:val="single" w:sz="6" w:space="0" w:color="auto"/>
              <w:bottom w:val="single" w:sz="6" w:space="0" w:color="auto"/>
              <w:right w:val="single" w:sz="6" w:space="0" w:color="auto"/>
            </w:tcBorders>
            <w:vAlign w:val="bottom"/>
            <w:hideMark/>
          </w:tcPr>
          <w:p w:rsidR="00FF3A69" w:rsidRPr="00B86071" w:rsidRDefault="00FF3A69"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-4.6</w:t>
            </w:r>
          </w:p>
        </w:tc>
        <w:tc>
          <w:tcPr>
            <w:tcW w:w="1080" w:type="dxa"/>
            <w:tcBorders>
              <w:top w:val="single" w:sz="6" w:space="0" w:color="auto"/>
              <w:left w:val="single" w:sz="6" w:space="0" w:color="auto"/>
              <w:bottom w:val="single" w:sz="6" w:space="0" w:color="auto"/>
              <w:right w:val="single" w:sz="6" w:space="0" w:color="auto"/>
            </w:tcBorders>
            <w:vAlign w:val="bottom"/>
            <w:hideMark/>
          </w:tcPr>
          <w:p w:rsidR="00FF3A69" w:rsidRPr="00B86071" w:rsidRDefault="00FF3A69" w:rsidP="00B72496">
            <w:pPr>
              <w:spacing w:after="200" w:line="276" w:lineRule="auto"/>
              <w:jc w:val="center"/>
              <w:rPr>
                <w:rFonts w:ascii="Times New Roman" w:hAnsi="Times New Roman" w:cs="Times New Roman"/>
                <w:color w:val="000000"/>
                <w:sz w:val="20"/>
                <w:szCs w:val="20"/>
              </w:rPr>
            </w:pPr>
            <w:r w:rsidRPr="00B86071">
              <w:rPr>
                <w:rFonts w:ascii="Times New Roman" w:hAnsi="Times New Roman" w:cs="Times New Roman"/>
                <w:color w:val="000000"/>
                <w:sz w:val="20"/>
                <w:szCs w:val="20"/>
              </w:rPr>
              <w:t>-3</w:t>
            </w:r>
          </w:p>
        </w:tc>
      </w:tr>
      <w:tr w:rsidR="00FF3A69" w:rsidRPr="00B86071" w:rsidTr="00B72496">
        <w:trPr>
          <w:trHeight w:hRule="exact" w:val="312"/>
        </w:trPr>
        <w:tc>
          <w:tcPr>
            <w:tcW w:w="1413" w:type="dxa"/>
            <w:tcBorders>
              <w:top w:val="single" w:sz="6" w:space="0" w:color="auto"/>
              <w:left w:val="single" w:sz="6" w:space="0" w:color="auto"/>
              <w:bottom w:val="single" w:sz="6" w:space="0" w:color="auto"/>
              <w:right w:val="single" w:sz="6" w:space="0" w:color="auto"/>
            </w:tcBorders>
            <w:hideMark/>
          </w:tcPr>
          <w:p w:rsidR="00FF3A69" w:rsidRPr="00B86071" w:rsidRDefault="00FF3A69" w:rsidP="00B72496">
            <w:pPr>
              <w:autoSpaceDE w:val="0"/>
              <w:autoSpaceDN w:val="0"/>
              <w:adjustRightInd w:val="0"/>
              <w:spacing w:after="200" w:line="276" w:lineRule="auto"/>
              <w:jc w:val="center"/>
              <w:rPr>
                <w:rFonts w:ascii="Times New Roman" w:eastAsia="Calibri" w:hAnsi="Times New Roman" w:cs="Times New Roman"/>
                <w:b/>
                <w:bCs/>
                <w:color w:val="000000"/>
                <w:sz w:val="20"/>
                <w:szCs w:val="20"/>
              </w:rPr>
            </w:pPr>
            <w:r w:rsidRPr="00B86071">
              <w:rPr>
                <w:rFonts w:ascii="Times New Roman" w:eastAsia="Calibri" w:hAnsi="Times New Roman" w:cs="Times New Roman"/>
                <w:b/>
                <w:bCs/>
                <w:color w:val="000000"/>
                <w:sz w:val="20"/>
                <w:szCs w:val="20"/>
              </w:rPr>
              <w:t>Amplituda</w:t>
            </w:r>
          </w:p>
        </w:tc>
        <w:tc>
          <w:tcPr>
            <w:tcW w:w="882" w:type="dxa"/>
            <w:tcBorders>
              <w:top w:val="single" w:sz="6" w:space="0" w:color="auto"/>
              <w:left w:val="single" w:sz="6" w:space="0" w:color="auto"/>
              <w:bottom w:val="single" w:sz="6" w:space="0" w:color="auto"/>
              <w:right w:val="single" w:sz="6" w:space="0" w:color="auto"/>
            </w:tcBorders>
            <w:hideMark/>
          </w:tcPr>
          <w:p w:rsidR="00FF3A69" w:rsidRPr="00B86071" w:rsidRDefault="00FF3A69" w:rsidP="00B72496">
            <w:pPr>
              <w:autoSpaceDE w:val="0"/>
              <w:autoSpaceDN w:val="0"/>
              <w:adjustRightInd w:val="0"/>
              <w:spacing w:after="200" w:line="276" w:lineRule="auto"/>
              <w:jc w:val="center"/>
              <w:rPr>
                <w:rFonts w:ascii="Times New Roman" w:eastAsia="Calibri" w:hAnsi="Times New Roman" w:cs="Times New Roman"/>
                <w:b/>
                <w:bCs/>
                <w:color w:val="000000"/>
                <w:sz w:val="20"/>
                <w:szCs w:val="20"/>
              </w:rPr>
            </w:pPr>
            <w:r w:rsidRPr="00B86071">
              <w:rPr>
                <w:rFonts w:ascii="Times New Roman" w:eastAsia="Calibri" w:hAnsi="Times New Roman" w:cs="Times New Roman"/>
                <w:b/>
                <w:bCs/>
                <w:color w:val="000000"/>
                <w:sz w:val="20"/>
                <w:szCs w:val="20"/>
              </w:rPr>
              <w:t>+0.15</w:t>
            </w:r>
          </w:p>
        </w:tc>
        <w:tc>
          <w:tcPr>
            <w:tcW w:w="990" w:type="dxa"/>
            <w:tcBorders>
              <w:top w:val="single" w:sz="6" w:space="0" w:color="auto"/>
              <w:left w:val="single" w:sz="6" w:space="0" w:color="auto"/>
              <w:bottom w:val="single" w:sz="6" w:space="0" w:color="auto"/>
              <w:right w:val="single" w:sz="6" w:space="0" w:color="auto"/>
            </w:tcBorders>
            <w:hideMark/>
          </w:tcPr>
          <w:p w:rsidR="00FF3A69" w:rsidRPr="00B86071" w:rsidRDefault="00FF3A69" w:rsidP="00B72496">
            <w:pPr>
              <w:autoSpaceDE w:val="0"/>
              <w:autoSpaceDN w:val="0"/>
              <w:adjustRightInd w:val="0"/>
              <w:spacing w:after="200" w:line="276" w:lineRule="auto"/>
              <w:jc w:val="center"/>
              <w:rPr>
                <w:rFonts w:ascii="Times New Roman" w:eastAsia="Calibri" w:hAnsi="Times New Roman" w:cs="Times New Roman"/>
                <w:b/>
                <w:bCs/>
                <w:color w:val="000000"/>
                <w:sz w:val="20"/>
                <w:szCs w:val="20"/>
              </w:rPr>
            </w:pPr>
            <w:r w:rsidRPr="00B86071">
              <w:rPr>
                <w:rFonts w:ascii="Times New Roman" w:eastAsia="Calibri" w:hAnsi="Times New Roman" w:cs="Times New Roman"/>
                <w:b/>
                <w:bCs/>
                <w:color w:val="000000"/>
                <w:sz w:val="20"/>
                <w:szCs w:val="20"/>
              </w:rPr>
              <w:t>0.7</w:t>
            </w:r>
          </w:p>
        </w:tc>
        <w:tc>
          <w:tcPr>
            <w:tcW w:w="990" w:type="dxa"/>
            <w:tcBorders>
              <w:top w:val="single" w:sz="6" w:space="0" w:color="auto"/>
              <w:left w:val="single" w:sz="6" w:space="0" w:color="auto"/>
              <w:bottom w:val="single" w:sz="6" w:space="0" w:color="auto"/>
              <w:right w:val="single" w:sz="6" w:space="0" w:color="auto"/>
            </w:tcBorders>
            <w:hideMark/>
          </w:tcPr>
          <w:p w:rsidR="00FF3A69" w:rsidRPr="00B86071" w:rsidRDefault="00FF3A69" w:rsidP="00B72496">
            <w:pPr>
              <w:autoSpaceDE w:val="0"/>
              <w:autoSpaceDN w:val="0"/>
              <w:adjustRightInd w:val="0"/>
              <w:spacing w:after="200" w:line="276" w:lineRule="auto"/>
              <w:jc w:val="center"/>
              <w:rPr>
                <w:rFonts w:ascii="Times New Roman" w:eastAsia="Calibri" w:hAnsi="Times New Roman" w:cs="Times New Roman"/>
                <w:b/>
                <w:bCs/>
                <w:color w:val="000000"/>
                <w:sz w:val="20"/>
                <w:szCs w:val="20"/>
              </w:rPr>
            </w:pPr>
            <w:r w:rsidRPr="00B86071">
              <w:rPr>
                <w:rFonts w:ascii="Times New Roman" w:eastAsia="Calibri" w:hAnsi="Times New Roman" w:cs="Times New Roman"/>
                <w:b/>
                <w:bCs/>
                <w:color w:val="000000"/>
                <w:sz w:val="20"/>
                <w:szCs w:val="20"/>
              </w:rPr>
              <w:t>0.8</w:t>
            </w:r>
          </w:p>
        </w:tc>
        <w:tc>
          <w:tcPr>
            <w:tcW w:w="1080" w:type="dxa"/>
            <w:tcBorders>
              <w:top w:val="single" w:sz="6" w:space="0" w:color="auto"/>
              <w:left w:val="single" w:sz="6" w:space="0" w:color="auto"/>
              <w:bottom w:val="single" w:sz="6" w:space="0" w:color="auto"/>
              <w:right w:val="single" w:sz="6" w:space="0" w:color="auto"/>
            </w:tcBorders>
            <w:hideMark/>
          </w:tcPr>
          <w:p w:rsidR="00FF3A69" w:rsidRPr="00B86071" w:rsidRDefault="00FF3A69" w:rsidP="00B72496">
            <w:pPr>
              <w:autoSpaceDE w:val="0"/>
              <w:autoSpaceDN w:val="0"/>
              <w:adjustRightInd w:val="0"/>
              <w:spacing w:after="200" w:line="276" w:lineRule="auto"/>
              <w:jc w:val="center"/>
              <w:rPr>
                <w:rFonts w:ascii="Times New Roman" w:eastAsia="Calibri" w:hAnsi="Times New Roman" w:cs="Times New Roman"/>
                <w:b/>
                <w:bCs/>
                <w:color w:val="000000"/>
                <w:sz w:val="20"/>
                <w:szCs w:val="20"/>
              </w:rPr>
            </w:pPr>
            <w:r w:rsidRPr="00B86071">
              <w:rPr>
                <w:rFonts w:ascii="Times New Roman" w:eastAsia="Calibri" w:hAnsi="Times New Roman" w:cs="Times New Roman"/>
                <w:b/>
                <w:bCs/>
                <w:color w:val="000000"/>
                <w:sz w:val="20"/>
                <w:szCs w:val="20"/>
              </w:rPr>
              <w:t>1.4</w:t>
            </w:r>
          </w:p>
        </w:tc>
      </w:tr>
    </w:tbl>
    <w:p w:rsidR="00DA3FBA" w:rsidRDefault="00B86071" w:rsidP="00B86071">
      <w:pPr>
        <w:spacing w:after="200" w:line="276" w:lineRule="auto"/>
        <w:jc w:val="both"/>
        <w:rPr>
          <w:rFonts w:ascii="Times New Roman" w:hAnsi="Times New Roman" w:cs="Times New Roman"/>
          <w:bCs/>
          <w:iCs/>
          <w:sz w:val="24"/>
          <w:lang w:val="sq-AL"/>
        </w:rPr>
      </w:pPr>
      <w:r w:rsidRPr="00B86071">
        <w:rPr>
          <w:rFonts w:ascii="Times New Roman" w:hAnsi="Times New Roman" w:cs="Times New Roman"/>
          <w:bCs/>
          <w:iCs/>
          <w:sz w:val="24"/>
          <w:lang w:val="sq-AL"/>
        </w:rPr>
        <w:t>Nga kryerja e këtij monitorimi në këta</w:t>
      </w:r>
      <w:r w:rsidR="008B1120">
        <w:rPr>
          <w:rFonts w:ascii="Times New Roman" w:hAnsi="Times New Roman" w:cs="Times New Roman"/>
          <w:bCs/>
          <w:iCs/>
          <w:sz w:val="24"/>
          <w:lang w:val="sq-AL"/>
        </w:rPr>
        <w:t xml:space="preserve"> </w:t>
      </w:r>
      <w:r w:rsidRPr="00B86071">
        <w:rPr>
          <w:rFonts w:ascii="Times New Roman" w:hAnsi="Times New Roman" w:cs="Times New Roman"/>
          <w:bCs/>
          <w:iCs/>
          <w:sz w:val="24"/>
          <w:lang w:val="sq-AL"/>
        </w:rPr>
        <w:t>akuifer</w:t>
      </w:r>
      <w:r w:rsidR="008B1120">
        <w:rPr>
          <w:rFonts w:ascii="Times New Roman" w:hAnsi="Times New Roman" w:cs="Times New Roman"/>
          <w:bCs/>
          <w:iCs/>
          <w:sz w:val="24"/>
          <w:lang w:val="sq-AL"/>
        </w:rPr>
        <w:t>ë</w:t>
      </w:r>
      <w:r w:rsidRPr="00B86071">
        <w:rPr>
          <w:rFonts w:ascii="Times New Roman" w:hAnsi="Times New Roman" w:cs="Times New Roman"/>
          <w:bCs/>
          <w:iCs/>
          <w:sz w:val="24"/>
          <w:lang w:val="sq-AL"/>
        </w:rPr>
        <w:t xml:space="preserve"> ujëmbajtës për vitin 2025, rezulton se a</w:t>
      </w:r>
      <w:r w:rsidRPr="00B86071">
        <w:rPr>
          <w:rFonts w:ascii="Times New Roman" w:hAnsi="Times New Roman" w:cs="Times New Roman"/>
          <w:sz w:val="24"/>
          <w:lang w:val="sq-AL"/>
        </w:rPr>
        <w:t xml:space="preserve">mplituda e luhatjes së UN varion nga </w:t>
      </w:r>
      <w:r w:rsidRPr="00B86071">
        <w:rPr>
          <w:rFonts w:ascii="Times New Roman" w:hAnsi="Times New Roman" w:cs="Times New Roman"/>
          <w:b/>
          <w:bCs/>
          <w:iCs/>
          <w:sz w:val="24"/>
          <w:lang w:val="sq-AL"/>
        </w:rPr>
        <w:t>A =1.4-0.7m</w:t>
      </w:r>
      <w:r w:rsidRPr="00B86071">
        <w:rPr>
          <w:rFonts w:ascii="Times New Roman" w:hAnsi="Times New Roman" w:cs="Times New Roman"/>
          <w:bCs/>
          <w:iCs/>
          <w:sz w:val="24"/>
          <w:lang w:val="sq-AL"/>
        </w:rPr>
        <w:t>.</w:t>
      </w:r>
    </w:p>
    <w:p w:rsidR="00B72496" w:rsidRDefault="00B72496" w:rsidP="00B86071">
      <w:pPr>
        <w:spacing w:after="200" w:line="276" w:lineRule="auto"/>
        <w:jc w:val="both"/>
        <w:rPr>
          <w:rFonts w:ascii="Times New Roman" w:hAnsi="Times New Roman" w:cs="Times New Roman"/>
          <w:bCs/>
          <w:iCs/>
          <w:sz w:val="24"/>
          <w:lang w:val="sq-AL"/>
        </w:rPr>
      </w:pPr>
      <w:r>
        <w:rPr>
          <w:rFonts w:ascii="Times New Roman" w:hAnsi="Times New Roman" w:cs="Times New Roman"/>
          <w:bCs/>
          <w:iCs/>
          <w:sz w:val="24"/>
          <w:lang w:val="sq-AL"/>
        </w:rPr>
        <w:t xml:space="preserve">                          Tabela 37. Të dhënat e monitorimit hidrodinamik, 2025</w:t>
      </w:r>
    </w:p>
    <w:p w:rsidR="00B72496" w:rsidRPr="00B86071" w:rsidRDefault="00B72496" w:rsidP="00B86071">
      <w:pPr>
        <w:spacing w:after="200" w:line="276" w:lineRule="auto"/>
        <w:jc w:val="both"/>
        <w:rPr>
          <w:rFonts w:ascii="Times New Roman" w:hAnsi="Times New Roman" w:cs="Times New Roman"/>
          <w:bCs/>
          <w:iCs/>
          <w:sz w:val="24"/>
          <w:lang w:val="sq-AL"/>
        </w:rPr>
      </w:pPr>
    </w:p>
    <w:p w:rsidR="00CA247F" w:rsidRDefault="00CA247F" w:rsidP="0005229A">
      <w:pPr>
        <w:spacing w:after="200" w:line="288" w:lineRule="auto"/>
        <w:rPr>
          <w:rFonts w:ascii="Times New Roman" w:eastAsiaTheme="minorEastAsia" w:hAnsi="Times New Roman" w:cs="Times New Roman"/>
          <w:sz w:val="24"/>
          <w:szCs w:val="24"/>
        </w:rPr>
      </w:pPr>
    </w:p>
    <w:p w:rsidR="00CA247F" w:rsidRDefault="00CA247F" w:rsidP="0005229A">
      <w:pPr>
        <w:spacing w:after="200" w:line="288" w:lineRule="auto"/>
        <w:rPr>
          <w:rFonts w:ascii="Times New Roman" w:eastAsiaTheme="minorEastAsia" w:hAnsi="Times New Roman" w:cs="Times New Roman"/>
          <w:sz w:val="24"/>
          <w:szCs w:val="24"/>
        </w:rPr>
      </w:pPr>
    </w:p>
    <w:p w:rsidR="0036740A" w:rsidRDefault="0036740A" w:rsidP="00B72496">
      <w:pPr>
        <w:spacing w:after="0" w:line="240" w:lineRule="auto"/>
        <w:jc w:val="both"/>
        <w:rPr>
          <w:rFonts w:ascii="Times New Roman" w:hAnsi="Times New Roman" w:cs="Times New Roman"/>
          <w:sz w:val="24"/>
          <w:lang w:val="sq-AL"/>
        </w:rPr>
      </w:pPr>
      <w:r w:rsidRPr="0036740A">
        <w:rPr>
          <w:rFonts w:ascii="Times New Roman" w:hAnsi="Times New Roman" w:cs="Times New Roman"/>
          <w:sz w:val="24"/>
          <w:lang w:val="sq-AL"/>
        </w:rPr>
        <w:t>Ndryshimet stinore që kanë të bëjnë me kushtet klimatike gjatë vitit shprehen me ngritjen e nivelit të UN në muajin Shkurt–Mars dhe uljen e vazhdueshme të nivelit gjatë gjithë verës deri në Shtator.</w:t>
      </w:r>
    </w:p>
    <w:p w:rsidR="00B72496" w:rsidRPr="0036740A" w:rsidRDefault="00B72496" w:rsidP="00B72496">
      <w:pPr>
        <w:spacing w:after="0" w:line="240" w:lineRule="auto"/>
        <w:jc w:val="both"/>
        <w:rPr>
          <w:rFonts w:ascii="Times New Roman" w:hAnsi="Times New Roman" w:cs="Times New Roman"/>
          <w:sz w:val="24"/>
          <w:lang w:val="sq-AL"/>
        </w:rPr>
      </w:pPr>
    </w:p>
    <w:p w:rsidR="0036740A" w:rsidRPr="00D87C5F" w:rsidRDefault="0036740A" w:rsidP="00B72496">
      <w:pPr>
        <w:pStyle w:val="ListParagraph"/>
        <w:numPr>
          <w:ilvl w:val="0"/>
          <w:numId w:val="81"/>
        </w:numPr>
        <w:spacing w:after="0" w:line="240" w:lineRule="auto"/>
        <w:jc w:val="both"/>
        <w:rPr>
          <w:rFonts w:ascii="Times New Roman" w:hAnsi="Times New Roman" w:cs="Times New Roman"/>
          <w:b/>
          <w:i/>
          <w:sz w:val="24"/>
          <w:szCs w:val="24"/>
        </w:rPr>
      </w:pPr>
      <w:r w:rsidRPr="00D87C5F">
        <w:rPr>
          <w:rFonts w:ascii="Times New Roman" w:hAnsi="Times New Roman" w:cs="Times New Roman"/>
          <w:b/>
          <w:i/>
          <w:sz w:val="24"/>
          <w:szCs w:val="24"/>
        </w:rPr>
        <w:t>Monitorimi hidrokimik</w:t>
      </w:r>
    </w:p>
    <w:p w:rsidR="0036740A" w:rsidRPr="0036740A" w:rsidRDefault="0036740A" w:rsidP="00B72496">
      <w:pPr>
        <w:spacing w:after="0" w:line="240" w:lineRule="auto"/>
        <w:jc w:val="both"/>
        <w:rPr>
          <w:rFonts w:ascii="Times New Roman" w:hAnsi="Times New Roman" w:cs="Times New Roman"/>
          <w:sz w:val="24"/>
          <w:lang w:val="sq-AL"/>
        </w:rPr>
      </w:pPr>
      <w:r w:rsidRPr="0036740A">
        <w:rPr>
          <w:rFonts w:ascii="Times New Roman" w:hAnsi="Times New Roman" w:cs="Times New Roman"/>
          <w:sz w:val="24"/>
          <w:lang w:val="sq-AL"/>
        </w:rPr>
        <w:t xml:space="preserve">Për vlerësimin dhe monitorimin e përbërjes kimike të ujërave nëntokësore të Basenit Seman për vitin 2025 janë monitoruar 12 shpime në akuiferin poroz të Kuaternarit, në akuiferin me çarje 1shpim, dhe në akuiferin karbonatik dhe magmatik me 1shpim, me një frekuencë 2 herë </w:t>
      </w:r>
      <w:r w:rsidR="008B1120">
        <w:rPr>
          <w:rFonts w:ascii="Times New Roman" w:hAnsi="Times New Roman" w:cs="Times New Roman"/>
          <w:sz w:val="24"/>
          <w:lang w:val="sq-AL"/>
        </w:rPr>
        <w:t>në vit (ujëshumtë dhe ujëpaktë).</w:t>
      </w:r>
    </w:p>
    <w:p w:rsidR="0036740A" w:rsidRDefault="0036740A" w:rsidP="00B72496">
      <w:pPr>
        <w:spacing w:after="0" w:line="240" w:lineRule="auto"/>
        <w:jc w:val="both"/>
        <w:rPr>
          <w:rFonts w:ascii="Times New Roman" w:hAnsi="Times New Roman" w:cs="Times New Roman"/>
          <w:sz w:val="24"/>
          <w:lang w:val="sq-AL"/>
        </w:rPr>
      </w:pPr>
      <w:r w:rsidRPr="0036740A">
        <w:rPr>
          <w:rFonts w:ascii="Times New Roman" w:hAnsi="Times New Roman" w:cs="Times New Roman"/>
          <w:sz w:val="24"/>
          <w:lang w:val="sq-AL"/>
        </w:rPr>
        <w:t>Për monitorimin e cilësisë së UN të këtij akuiferi u kryen 21 analiza kimike të plota. UN të këtij akuiferi kanë veti fiziko – kimike të mira, ato janë pa erë, pa ngjyrë, pa shije, transparentë. Rezultatet e analizave po i pasqy</w:t>
      </w:r>
      <w:r w:rsidR="00B72496">
        <w:rPr>
          <w:rFonts w:ascii="Times New Roman" w:hAnsi="Times New Roman" w:cs="Times New Roman"/>
          <w:sz w:val="24"/>
          <w:lang w:val="sq-AL"/>
        </w:rPr>
        <w:t>r</w:t>
      </w:r>
      <w:r w:rsidRPr="0036740A">
        <w:rPr>
          <w:rFonts w:ascii="Times New Roman" w:hAnsi="Times New Roman" w:cs="Times New Roman"/>
          <w:sz w:val="24"/>
          <w:lang w:val="sq-AL"/>
        </w:rPr>
        <w:t xml:space="preserve">ojmë më poshtë: </w:t>
      </w:r>
    </w:p>
    <w:p w:rsidR="00B72496" w:rsidRPr="0036740A" w:rsidRDefault="00B72496" w:rsidP="00B72496">
      <w:pPr>
        <w:spacing w:after="0" w:line="240" w:lineRule="auto"/>
        <w:jc w:val="both"/>
        <w:rPr>
          <w:rFonts w:ascii="Times New Roman" w:hAnsi="Times New Roman" w:cs="Times New Roman"/>
          <w:sz w:val="24"/>
          <w:lang w:val="sq-AL"/>
        </w:rPr>
      </w:pPr>
    </w:p>
    <w:p w:rsidR="0036740A" w:rsidRPr="00D87C5F" w:rsidRDefault="0036740A" w:rsidP="00D87C5F">
      <w:pPr>
        <w:spacing w:before="120" w:after="120" w:line="240" w:lineRule="auto"/>
        <w:jc w:val="both"/>
        <w:rPr>
          <w:rFonts w:ascii="Times New Roman" w:hAnsi="Times New Roman" w:cs="Times New Roman"/>
          <w:b/>
          <w:bCs/>
          <w:i/>
          <w:iCs/>
          <w:sz w:val="24"/>
          <w:szCs w:val="24"/>
          <w:u w:val="single"/>
          <w:lang w:val="fr-FR"/>
        </w:rPr>
      </w:pPr>
      <w:r w:rsidRPr="00D87C5F">
        <w:rPr>
          <w:rFonts w:ascii="Times New Roman" w:hAnsi="Times New Roman" w:cs="Times New Roman"/>
          <w:b/>
          <w:bCs/>
          <w:i/>
          <w:iCs/>
          <w:sz w:val="24"/>
          <w:szCs w:val="24"/>
          <w:u w:val="single"/>
          <w:lang w:val="fr-FR"/>
        </w:rPr>
        <w:lastRenderedPageBreak/>
        <w:t>Akuiferi Kuaternar i Korçës</w:t>
      </w:r>
    </w:p>
    <w:p w:rsidR="0036740A" w:rsidRDefault="0036740A" w:rsidP="00B72496">
      <w:pPr>
        <w:spacing w:after="0" w:line="240" w:lineRule="auto"/>
        <w:jc w:val="both"/>
        <w:rPr>
          <w:rFonts w:ascii="Times New Roman" w:hAnsi="Times New Roman" w:cs="Times New Roman"/>
          <w:sz w:val="24"/>
        </w:rPr>
      </w:pPr>
      <w:r w:rsidRPr="0036740A">
        <w:rPr>
          <w:rFonts w:ascii="Times New Roman" w:hAnsi="Times New Roman" w:cs="Times New Roman"/>
          <w:b/>
          <w:sz w:val="24"/>
          <w:lang w:val="sq-AL"/>
        </w:rPr>
        <w:t>pH i UN</w:t>
      </w:r>
      <w:r w:rsidRPr="0036740A">
        <w:rPr>
          <w:rFonts w:ascii="Times New Roman" w:hAnsi="Times New Roman" w:cs="Times New Roman"/>
          <w:sz w:val="24"/>
          <w:lang w:val="sq-AL"/>
        </w:rPr>
        <w:t>–</w:t>
      </w:r>
      <w:r w:rsidRPr="0036740A">
        <w:rPr>
          <w:rFonts w:ascii="Times New Roman" w:hAnsi="Times New Roman" w:cs="Times New Roman"/>
          <w:sz w:val="24"/>
        </w:rPr>
        <w:t xml:space="preserve">Gjatë fazave të monitorimit të vitit 2025, vlerat e pH-së kanë varionuar nga </w:t>
      </w:r>
      <w:r w:rsidRPr="0036740A">
        <w:rPr>
          <w:rFonts w:ascii="Times New Roman" w:hAnsi="Times New Roman" w:cs="Times New Roman"/>
          <w:bCs/>
          <w:sz w:val="24"/>
        </w:rPr>
        <w:t>6.68 deri në 7.8</w:t>
      </w:r>
      <w:r w:rsidRPr="0036740A">
        <w:rPr>
          <w:rFonts w:ascii="Times New Roman" w:hAnsi="Times New Roman" w:cs="Times New Roman"/>
          <w:sz w:val="24"/>
        </w:rPr>
        <w:t xml:space="preserve">. Vlera minimale është regjistruar në stacionin Zvirinë (6.68) gjatë muajit gusht, ndërsa vlera maksimale 7.80 është konstatuar në shpimin I/1 Tërnova, po në periudhën e verës sipas VKM nr. 379, datë 25.05.2016, kufijtë e lejueshëm për pH në ujin e pijshëm janë 6.5 – 9.5, prandaj të gjitha vlerat e matura gjatë vitit 2025 janë brenda normës së lejuar. </w:t>
      </w:r>
    </w:p>
    <w:p w:rsidR="00B72496" w:rsidRPr="0036740A" w:rsidRDefault="00B72496" w:rsidP="00B72496">
      <w:pPr>
        <w:spacing w:after="0" w:line="240" w:lineRule="auto"/>
        <w:jc w:val="both"/>
        <w:rPr>
          <w:rFonts w:ascii="Times New Roman" w:hAnsi="Times New Roman" w:cs="Times New Roman"/>
          <w:sz w:val="24"/>
        </w:rPr>
      </w:pPr>
    </w:p>
    <w:p w:rsidR="0036740A" w:rsidRDefault="0036740A" w:rsidP="00B72496">
      <w:pPr>
        <w:spacing w:after="0" w:line="240" w:lineRule="auto"/>
        <w:jc w:val="both"/>
        <w:rPr>
          <w:rFonts w:ascii="Times New Roman" w:hAnsi="Times New Roman" w:cs="Times New Roman"/>
          <w:sz w:val="24"/>
        </w:rPr>
      </w:pPr>
      <w:r w:rsidRPr="0036740A">
        <w:rPr>
          <w:rFonts w:ascii="Times New Roman" w:hAnsi="Times New Roman" w:cs="Times New Roman"/>
          <w:b/>
          <w:sz w:val="24"/>
          <w:lang w:val="sq-AL"/>
        </w:rPr>
        <w:t>Fortësia e përgjithshme</w:t>
      </w:r>
      <w:r w:rsidRPr="0036740A">
        <w:rPr>
          <w:rFonts w:ascii="Times New Roman" w:hAnsi="Times New Roman" w:cs="Times New Roman"/>
          <w:sz w:val="24"/>
          <w:lang w:val="sq-AL"/>
        </w:rPr>
        <w:t xml:space="preserve"> (</w:t>
      </w:r>
      <w:r w:rsidRPr="0036740A">
        <w:rPr>
          <w:rFonts w:ascii="Times New Roman" w:hAnsi="Times New Roman" w:cs="Times New Roman"/>
          <w:b/>
          <w:sz w:val="24"/>
          <w:lang w:val="sq-AL"/>
        </w:rPr>
        <w:t>Fp)</w:t>
      </w:r>
      <w:r w:rsidRPr="0036740A">
        <w:rPr>
          <w:rFonts w:ascii="Times New Roman" w:hAnsi="Times New Roman" w:cs="Times New Roman"/>
          <w:sz w:val="24"/>
          <w:lang w:val="sq-AL"/>
        </w:rPr>
        <w:t xml:space="preserve">: - Fortësia e përgjithshme e ujërave nëntokësore (Fp) gjatë vitit 2025 varion nga 7.60 – 23.10 </w:t>
      </w:r>
      <w:r w:rsidRPr="0036740A">
        <w:rPr>
          <w:rFonts w:ascii="Times New Roman" w:hAnsi="Times New Roman" w:cs="Times New Roman"/>
          <w:sz w:val="24"/>
        </w:rPr>
        <w:t>°dH</w:t>
      </w:r>
      <w:r w:rsidRPr="0036740A">
        <w:rPr>
          <w:rFonts w:ascii="Times New Roman" w:hAnsi="Times New Roman" w:cs="Times New Roman"/>
          <w:sz w:val="24"/>
          <w:lang w:val="sq-AL"/>
        </w:rPr>
        <w:t>. Vlera minimale e Fp është 7.6 në shpimin Libonik në muajin Mars 2025, ndërsa vlera maksimale prej 23.10 është në shpimin Zvirinë në muajin Shtator2025. Sipas VKM nr. 379, datë 25.05.2016, kufijtë e rekomanduar për ujin e pijshëm janë 10-20</w:t>
      </w:r>
      <w:r w:rsidRPr="0036740A">
        <w:rPr>
          <w:rFonts w:ascii="Times New Roman" w:hAnsi="Times New Roman" w:cs="Times New Roman"/>
          <w:sz w:val="24"/>
        </w:rPr>
        <w:t>°dH</w:t>
      </w:r>
      <w:r w:rsidRPr="0036740A">
        <w:rPr>
          <w:rFonts w:ascii="Times New Roman" w:hAnsi="Times New Roman" w:cs="Times New Roman"/>
          <w:sz w:val="24"/>
          <w:lang w:val="sq-AL"/>
        </w:rPr>
        <w:t xml:space="preserve">, me vlerë maksimale të lejuar 25 </w:t>
      </w:r>
      <w:r w:rsidRPr="0036740A">
        <w:rPr>
          <w:rFonts w:ascii="Times New Roman" w:hAnsi="Times New Roman" w:cs="Times New Roman"/>
          <w:sz w:val="24"/>
        </w:rPr>
        <w:t>°dH.</w:t>
      </w:r>
    </w:p>
    <w:p w:rsidR="00B72496" w:rsidRPr="0036740A" w:rsidRDefault="00B72496" w:rsidP="00B72496">
      <w:pPr>
        <w:spacing w:after="0" w:line="240" w:lineRule="auto"/>
        <w:jc w:val="both"/>
        <w:rPr>
          <w:rFonts w:ascii="Times New Roman" w:hAnsi="Times New Roman" w:cs="Times New Roman"/>
          <w:sz w:val="24"/>
        </w:rPr>
      </w:pPr>
    </w:p>
    <w:p w:rsidR="0036740A" w:rsidRPr="0036740A" w:rsidRDefault="0036740A" w:rsidP="00B72496">
      <w:pPr>
        <w:keepNext/>
        <w:spacing w:after="0" w:line="240" w:lineRule="auto"/>
        <w:jc w:val="both"/>
        <w:outlineLvl w:val="5"/>
        <w:rPr>
          <w:rFonts w:ascii="Times New Roman" w:eastAsia="Times New Roman" w:hAnsi="Times New Roman" w:cs="Times New Roman"/>
          <w:b/>
          <w:bCs/>
          <w:sz w:val="20"/>
          <w:szCs w:val="24"/>
          <w:lang w:val="sq-AL"/>
        </w:rPr>
      </w:pPr>
      <w:r w:rsidRPr="0036740A">
        <w:rPr>
          <w:rFonts w:ascii="Times New Roman" w:eastAsia="Times New Roman" w:hAnsi="Times New Roman" w:cs="Times New Roman"/>
          <w:b/>
          <w:bCs/>
          <w:sz w:val="24"/>
          <w:szCs w:val="24"/>
          <w:lang w:val="sq-AL"/>
        </w:rPr>
        <w:t>Mineralizimi i përgjithshëm (Mp): -</w:t>
      </w:r>
      <w:r w:rsidRPr="0036740A">
        <w:rPr>
          <w:rFonts w:ascii="Times New Roman" w:eastAsia="Times New Roman" w:hAnsi="Times New Roman" w:cs="Times New Roman"/>
          <w:bCs/>
          <w:sz w:val="24"/>
          <w:szCs w:val="24"/>
        </w:rPr>
        <w:t xml:space="preserve">Mineralizimi i përgjithshëm (Mp) i ujërave nëntokësore gjatë </w:t>
      </w:r>
      <w:r w:rsidRPr="0036740A">
        <w:rPr>
          <w:rFonts w:ascii="Times New Roman" w:eastAsia="Times New Roman" w:hAnsi="Times New Roman" w:cs="Times New Roman"/>
          <w:sz w:val="24"/>
          <w:szCs w:val="24"/>
        </w:rPr>
        <w:t>vitit 2025</w:t>
      </w:r>
      <w:r w:rsidRPr="0036740A">
        <w:rPr>
          <w:rFonts w:ascii="Times New Roman" w:eastAsia="Times New Roman" w:hAnsi="Times New Roman" w:cs="Times New Roman"/>
          <w:bCs/>
          <w:sz w:val="24"/>
          <w:szCs w:val="24"/>
        </w:rPr>
        <w:t xml:space="preserve"> varion nga </w:t>
      </w:r>
      <w:r w:rsidRPr="0036740A">
        <w:rPr>
          <w:rFonts w:ascii="Times New Roman" w:eastAsia="Times New Roman" w:hAnsi="Times New Roman" w:cs="Times New Roman"/>
          <w:sz w:val="24"/>
          <w:szCs w:val="24"/>
        </w:rPr>
        <w:t>362.51 – 670.69 mg/l</w:t>
      </w:r>
      <w:r w:rsidRPr="0036740A">
        <w:rPr>
          <w:rFonts w:ascii="Times New Roman" w:eastAsia="Times New Roman" w:hAnsi="Times New Roman" w:cs="Times New Roman"/>
          <w:bCs/>
          <w:sz w:val="24"/>
          <w:szCs w:val="24"/>
        </w:rPr>
        <w:t xml:space="preserve">. Vlera minimale është regjistruar në </w:t>
      </w:r>
      <w:r w:rsidRPr="0036740A">
        <w:rPr>
          <w:rFonts w:ascii="Times New Roman" w:eastAsia="Times New Roman" w:hAnsi="Times New Roman" w:cs="Times New Roman"/>
          <w:sz w:val="24"/>
          <w:szCs w:val="24"/>
        </w:rPr>
        <w:t>shpimin Libonik (362.51 mg/l)</w:t>
      </w:r>
      <w:r w:rsidRPr="0036740A">
        <w:rPr>
          <w:rFonts w:ascii="Times New Roman" w:eastAsia="Times New Roman" w:hAnsi="Times New Roman" w:cs="Times New Roman"/>
          <w:bCs/>
          <w:sz w:val="24"/>
          <w:szCs w:val="24"/>
        </w:rPr>
        <w:t xml:space="preserve">, ndërsa </w:t>
      </w:r>
      <w:r w:rsidRPr="0036740A">
        <w:rPr>
          <w:rFonts w:ascii="Times New Roman" w:eastAsia="Times New Roman" w:hAnsi="Times New Roman" w:cs="Times New Roman"/>
          <w:sz w:val="24"/>
          <w:szCs w:val="24"/>
        </w:rPr>
        <w:t>vlera maksimale 670.69 mg/l</w:t>
      </w:r>
      <w:r w:rsidRPr="0036740A">
        <w:rPr>
          <w:rFonts w:ascii="Times New Roman" w:eastAsia="Times New Roman" w:hAnsi="Times New Roman" w:cs="Times New Roman"/>
          <w:bCs/>
          <w:sz w:val="24"/>
          <w:szCs w:val="24"/>
        </w:rPr>
        <w:t xml:space="preserve"> është konstatuar në </w:t>
      </w:r>
      <w:r w:rsidRPr="0036740A">
        <w:rPr>
          <w:rFonts w:ascii="Times New Roman" w:eastAsia="Times New Roman" w:hAnsi="Times New Roman" w:cs="Times New Roman"/>
          <w:sz w:val="24"/>
          <w:szCs w:val="24"/>
        </w:rPr>
        <w:t>shpimin Zvirinë (Gusht 2025)</w:t>
      </w:r>
      <w:r w:rsidRPr="0036740A">
        <w:rPr>
          <w:rFonts w:ascii="Times New Roman" w:eastAsia="Times New Roman" w:hAnsi="Times New Roman" w:cs="Times New Roman"/>
          <w:bCs/>
          <w:sz w:val="24"/>
          <w:szCs w:val="24"/>
        </w:rPr>
        <w:t xml:space="preserve"> duke u klasifikuar si ujra të freskët. </w:t>
      </w:r>
      <w:r w:rsidRPr="0036740A">
        <w:rPr>
          <w:rFonts w:ascii="Times New Roman" w:eastAsia="Times New Roman" w:hAnsi="Times New Roman" w:cs="Times New Roman"/>
          <w:bCs/>
          <w:sz w:val="24"/>
          <w:szCs w:val="24"/>
          <w:lang w:val="sq-AL"/>
        </w:rPr>
        <w:t>Ujëra me mineralizim të ulët (&lt; 500 mg/l) në stacionet e monitorimit të Libonik, Bulgarec, Turan, Ravonik dhe në Ujëra me mineralizim mesatar (500 – 1000  mg/l) në stacionet e Sheqeras, Zvirinë, Tërnova, Lavdar, Pojan). Ujrat nëntokësore në stacionin e p</w:t>
      </w:r>
      <w:r w:rsidR="008B1120">
        <w:rPr>
          <w:rFonts w:ascii="Times New Roman" w:eastAsia="Times New Roman" w:hAnsi="Times New Roman" w:cs="Times New Roman"/>
          <w:bCs/>
          <w:sz w:val="24"/>
          <w:szCs w:val="24"/>
          <w:lang w:val="sq-AL"/>
        </w:rPr>
        <w:t>ompimit Turan janë të tipit HCO</w:t>
      </w:r>
      <w:r w:rsidR="008B1120" w:rsidRPr="008B1120">
        <w:rPr>
          <w:rFonts w:ascii="Times New Roman" w:eastAsia="Times New Roman" w:hAnsi="Times New Roman" w:cs="Times New Roman"/>
          <w:bCs/>
          <w:sz w:val="24"/>
          <w:szCs w:val="24"/>
          <w:vertAlign w:val="subscript"/>
          <w:lang w:val="sq-AL"/>
        </w:rPr>
        <w:t>3</w:t>
      </w:r>
      <w:r w:rsidRPr="0036740A">
        <w:rPr>
          <w:rFonts w:ascii="Times New Roman" w:eastAsia="Times New Roman" w:hAnsi="Times New Roman" w:cs="Times New Roman"/>
          <w:bCs/>
          <w:sz w:val="24"/>
          <w:szCs w:val="24"/>
          <w:lang w:val="sq-AL"/>
        </w:rPr>
        <w:t xml:space="preserve">–Ca–Mg. </w:t>
      </w:r>
      <w:r w:rsidRPr="0036740A">
        <w:rPr>
          <w:rFonts w:ascii="Times New Roman" w:eastAsia="Times New Roman" w:hAnsi="Times New Roman" w:cs="Times New Roman"/>
          <w:bCs/>
          <w:sz w:val="24"/>
          <w:szCs w:val="24"/>
        </w:rPr>
        <w:t xml:space="preserve">Sipas </w:t>
      </w:r>
      <w:r w:rsidR="008B1120">
        <w:rPr>
          <w:rFonts w:ascii="Times New Roman" w:eastAsia="Times New Roman" w:hAnsi="Times New Roman" w:cs="Times New Roman"/>
          <w:bCs/>
          <w:sz w:val="24"/>
          <w:szCs w:val="24"/>
        </w:rPr>
        <w:t>V</w:t>
      </w:r>
      <w:r w:rsidRPr="0036740A">
        <w:rPr>
          <w:rFonts w:ascii="Times New Roman" w:eastAsia="Times New Roman" w:hAnsi="Times New Roman" w:cs="Times New Roman"/>
          <w:bCs/>
          <w:sz w:val="24"/>
          <w:szCs w:val="24"/>
        </w:rPr>
        <w:t>KM nr. 379, datë 25.05.2016, kufiri i pranueshëm për ujërat e pijshëm është ≤1200 mg/l, prandaj të gjitha vlerat e regjistruara në vitin 2025 janë brenda normës së lejuar.</w:t>
      </w:r>
    </w:p>
    <w:p w:rsidR="00D87C5F" w:rsidRDefault="00D87C5F" w:rsidP="00B72496">
      <w:pPr>
        <w:spacing w:after="0" w:line="240" w:lineRule="auto"/>
        <w:rPr>
          <w:rFonts w:ascii="Times New Roman" w:hAnsi="Times New Roman" w:cs="Times New Roman"/>
          <w:b/>
          <w:sz w:val="24"/>
          <w:szCs w:val="18"/>
          <w:lang w:val="sq-AL"/>
        </w:rPr>
      </w:pPr>
    </w:p>
    <w:p w:rsidR="0036740A" w:rsidRDefault="0036740A" w:rsidP="00B72496">
      <w:pPr>
        <w:spacing w:after="0" w:line="240" w:lineRule="auto"/>
        <w:jc w:val="both"/>
        <w:rPr>
          <w:rFonts w:ascii="Times New Roman" w:hAnsi="Times New Roman" w:cs="Times New Roman"/>
          <w:sz w:val="24"/>
          <w:szCs w:val="18"/>
        </w:rPr>
      </w:pPr>
      <w:r w:rsidRPr="0036740A">
        <w:rPr>
          <w:rFonts w:ascii="Times New Roman" w:hAnsi="Times New Roman" w:cs="Times New Roman"/>
          <w:b/>
          <w:sz w:val="24"/>
          <w:szCs w:val="18"/>
          <w:lang w:val="sq-AL"/>
        </w:rPr>
        <w:t>Përmbajta e amonjakut (NH</w:t>
      </w:r>
      <w:r w:rsidRPr="0036740A">
        <w:rPr>
          <w:rFonts w:ascii="Times New Roman" w:hAnsi="Times New Roman" w:cs="Times New Roman"/>
          <w:b/>
          <w:sz w:val="24"/>
          <w:szCs w:val="18"/>
          <w:vertAlign w:val="subscript"/>
          <w:lang w:val="sq-AL"/>
        </w:rPr>
        <w:t>4</w:t>
      </w:r>
      <w:r w:rsidRPr="0036740A">
        <w:rPr>
          <w:rFonts w:ascii="Times New Roman" w:hAnsi="Times New Roman" w:cs="Times New Roman"/>
          <w:b/>
          <w:sz w:val="24"/>
          <w:szCs w:val="18"/>
          <w:lang w:val="sq-AL"/>
        </w:rPr>
        <w:t xml:space="preserve">): </w:t>
      </w:r>
      <w:r w:rsidRPr="0036740A">
        <w:rPr>
          <w:rFonts w:ascii="Times New Roman" w:hAnsi="Times New Roman" w:cs="Times New Roman"/>
          <w:sz w:val="24"/>
          <w:szCs w:val="18"/>
          <w:lang w:val="sq-AL"/>
        </w:rPr>
        <w:t>- Përmbajta e amonjakut NH</w:t>
      </w:r>
      <w:r w:rsidRPr="0036740A">
        <w:rPr>
          <w:rFonts w:ascii="Times New Roman" w:hAnsi="Times New Roman" w:cs="Times New Roman"/>
          <w:sz w:val="24"/>
          <w:szCs w:val="18"/>
          <w:vertAlign w:val="subscript"/>
          <w:lang w:val="sq-AL"/>
        </w:rPr>
        <w:t xml:space="preserve">4 </w:t>
      </w:r>
      <w:r w:rsidRPr="0036740A">
        <w:rPr>
          <w:rFonts w:ascii="Times New Roman" w:hAnsi="Times New Roman" w:cs="Times New Roman"/>
          <w:sz w:val="24"/>
          <w:szCs w:val="18"/>
        </w:rPr>
        <w:t xml:space="preserve">në ujërat nëntokësore të fushës së </w:t>
      </w:r>
      <w:r w:rsidRPr="0036740A">
        <w:rPr>
          <w:rFonts w:ascii="Times New Roman" w:hAnsi="Times New Roman" w:cs="Times New Roman"/>
          <w:bCs/>
          <w:sz w:val="24"/>
          <w:szCs w:val="18"/>
        </w:rPr>
        <w:t>Korçës</w:t>
      </w:r>
      <w:r w:rsidRPr="0036740A">
        <w:rPr>
          <w:rFonts w:ascii="Times New Roman" w:hAnsi="Times New Roman" w:cs="Times New Roman"/>
          <w:sz w:val="24"/>
          <w:szCs w:val="18"/>
        </w:rPr>
        <w:t xml:space="preserve"> gjatë vitit </w:t>
      </w:r>
      <w:r w:rsidRPr="0036740A">
        <w:rPr>
          <w:rFonts w:ascii="Times New Roman" w:hAnsi="Times New Roman" w:cs="Times New Roman"/>
          <w:bCs/>
          <w:sz w:val="24"/>
          <w:szCs w:val="18"/>
        </w:rPr>
        <w:t>2025</w:t>
      </w:r>
      <w:r w:rsidRPr="0036740A">
        <w:rPr>
          <w:rFonts w:ascii="Times New Roman" w:hAnsi="Times New Roman" w:cs="Times New Roman"/>
          <w:sz w:val="24"/>
          <w:szCs w:val="18"/>
        </w:rPr>
        <w:t xml:space="preserve"> varion nga </w:t>
      </w:r>
      <w:r w:rsidRPr="0036740A">
        <w:rPr>
          <w:rFonts w:ascii="Times New Roman" w:hAnsi="Times New Roman" w:cs="Times New Roman"/>
          <w:bCs/>
          <w:sz w:val="24"/>
          <w:szCs w:val="18"/>
        </w:rPr>
        <w:t>0.00 – 1.91  mg/l</w:t>
      </w:r>
      <w:r w:rsidRPr="0036740A">
        <w:rPr>
          <w:rFonts w:ascii="Times New Roman" w:hAnsi="Times New Roman" w:cs="Times New Roman"/>
          <w:sz w:val="24"/>
          <w:szCs w:val="18"/>
        </w:rPr>
        <w:t xml:space="preserve">. Vlera minimale 0.00 mg/l është regjistruar në shumicën e stacioneve (Zvirinë, Turan, Lavdar, Sovjan), ndërsa vlera maksimale 1.91 mg/l është konstatuar në shpimin Pojan gjatë muajit gusht 2025. </w:t>
      </w:r>
      <w:r w:rsidRPr="0036740A">
        <w:rPr>
          <w:rFonts w:ascii="Times New Roman" w:hAnsi="Times New Roman" w:cs="Times New Roman"/>
          <w:sz w:val="24"/>
        </w:rPr>
        <w:t>Në fazën e parë të monitorimit (Mars), disa stacione kanë paraqitur vlera mbi kufirin e lejuar (Libonik 0.54 mg/l dhe Pojan 1.91mg/l), ndërsa në fazën</w:t>
      </w:r>
      <w:r w:rsidR="008B1120">
        <w:rPr>
          <w:rFonts w:ascii="Times New Roman" w:hAnsi="Times New Roman" w:cs="Times New Roman"/>
          <w:sz w:val="24"/>
        </w:rPr>
        <w:t xml:space="preserve"> e dytë (Gusht) përmbajtja e NH</w:t>
      </w:r>
      <w:r w:rsidR="008B1120" w:rsidRPr="008B1120">
        <w:rPr>
          <w:rFonts w:ascii="Times New Roman" w:hAnsi="Times New Roman" w:cs="Times New Roman"/>
          <w:sz w:val="24"/>
          <w:vertAlign w:val="subscript"/>
        </w:rPr>
        <w:t>4</w:t>
      </w:r>
      <w:r w:rsidRPr="0036740A">
        <w:rPr>
          <w:rFonts w:ascii="Times New Roman" w:hAnsi="Times New Roman" w:cs="Times New Roman"/>
          <w:sz w:val="24"/>
        </w:rPr>
        <w:t xml:space="preserve"> është ulur ndjeshëm, duke u afruar drejt zeros në të gjitha pikat e rrjetit monitorues. </w:t>
      </w:r>
      <w:r w:rsidRPr="0036740A">
        <w:rPr>
          <w:rFonts w:ascii="Times New Roman" w:hAnsi="Times New Roman" w:cs="Times New Roman"/>
          <w:sz w:val="24"/>
          <w:szCs w:val="18"/>
          <w:lang w:val="sq-AL"/>
        </w:rPr>
        <w:t>Stacionet e Sheqerasit, Bulgarecit dhe Turanit duhen mbajtur nën monitorim të vazhdueshëm pasi janë shpime që shfrytëzohen për furnizimin me ujë të qytetit të Korçës dhe fshatrave përreth</w:t>
      </w:r>
      <w:r w:rsidRPr="0036740A">
        <w:rPr>
          <w:rFonts w:ascii="Times New Roman" w:hAnsi="Times New Roman" w:cs="Times New Roman"/>
          <w:sz w:val="24"/>
          <w:szCs w:val="18"/>
        </w:rPr>
        <w:t>.</w:t>
      </w:r>
    </w:p>
    <w:p w:rsidR="00B72496" w:rsidRPr="00D87C5F" w:rsidRDefault="00B72496" w:rsidP="00B72496">
      <w:pPr>
        <w:spacing w:after="0" w:line="240" w:lineRule="auto"/>
        <w:jc w:val="both"/>
        <w:rPr>
          <w:rFonts w:ascii="Times New Roman" w:eastAsiaTheme="minorEastAsia" w:hAnsi="Times New Roman" w:cs="Times New Roman"/>
          <w:sz w:val="24"/>
          <w:szCs w:val="24"/>
        </w:rPr>
      </w:pPr>
    </w:p>
    <w:p w:rsidR="0036740A" w:rsidRDefault="0036740A" w:rsidP="00B72496">
      <w:pPr>
        <w:spacing w:after="0" w:line="240" w:lineRule="auto"/>
        <w:jc w:val="both"/>
        <w:rPr>
          <w:rFonts w:ascii="Times New Roman" w:hAnsi="Times New Roman" w:cs="Times New Roman"/>
          <w:sz w:val="24"/>
        </w:rPr>
      </w:pPr>
      <w:r w:rsidRPr="0036740A">
        <w:rPr>
          <w:rFonts w:ascii="Times New Roman" w:hAnsi="Times New Roman" w:cs="Times New Roman"/>
          <w:b/>
          <w:sz w:val="24"/>
          <w:lang w:val="sq-AL"/>
        </w:rPr>
        <w:t>Përmbajta e nitriteve (NO</w:t>
      </w:r>
      <w:r w:rsidRPr="0036740A">
        <w:rPr>
          <w:rFonts w:ascii="Times New Roman" w:hAnsi="Times New Roman" w:cs="Times New Roman"/>
          <w:b/>
          <w:sz w:val="24"/>
          <w:vertAlign w:val="subscript"/>
          <w:lang w:val="sq-AL"/>
        </w:rPr>
        <w:t>2</w:t>
      </w:r>
      <w:r w:rsidRPr="0036740A">
        <w:rPr>
          <w:rFonts w:ascii="Times New Roman" w:hAnsi="Times New Roman" w:cs="Times New Roman"/>
          <w:b/>
          <w:sz w:val="24"/>
          <w:lang w:val="sq-AL"/>
        </w:rPr>
        <w:t xml:space="preserve">): </w:t>
      </w:r>
      <w:r w:rsidRPr="0036740A">
        <w:rPr>
          <w:rFonts w:ascii="Times New Roman" w:hAnsi="Times New Roman" w:cs="Times New Roman"/>
          <w:sz w:val="24"/>
          <w:lang w:val="sq-AL"/>
        </w:rPr>
        <w:t>- Përmbajtja e nitriteve NO</w:t>
      </w:r>
      <w:r w:rsidRPr="0036740A">
        <w:rPr>
          <w:rFonts w:ascii="Times New Roman" w:hAnsi="Times New Roman" w:cs="Times New Roman"/>
          <w:sz w:val="24"/>
          <w:vertAlign w:val="subscript"/>
          <w:lang w:val="sq-AL"/>
        </w:rPr>
        <w:t xml:space="preserve">2 </w:t>
      </w:r>
      <w:r w:rsidRPr="0036740A">
        <w:rPr>
          <w:rFonts w:ascii="Times New Roman" w:hAnsi="Times New Roman" w:cs="Times New Roman"/>
          <w:sz w:val="24"/>
        </w:rPr>
        <w:t>në ujërat nëntokësore të fushës së Korçës gjatë vitit 2025 rezulton shumë e ulët, duke varion nga 0.00 – 0.03  mg/l.</w:t>
      </w:r>
      <w:r w:rsidRPr="0036740A">
        <w:rPr>
          <w:rFonts w:ascii="Times New Roman" w:hAnsi="Times New Roman" w:cs="Times New Roman"/>
          <w:sz w:val="24"/>
          <w:lang w:val="sq-AL"/>
        </w:rPr>
        <w:t>, sipas normës së lejuar për ujë të pijshëm ky tregues është brenda standartit, është nën përmbajtjen maksimale të lejuar</w:t>
      </w:r>
      <w:r w:rsidR="008B1120">
        <w:rPr>
          <w:rFonts w:ascii="Times New Roman" w:hAnsi="Times New Roman" w:cs="Times New Roman"/>
          <w:sz w:val="24"/>
          <w:lang w:val="sq-AL"/>
        </w:rPr>
        <w:t xml:space="preserve"> 0.5 </w:t>
      </w:r>
      <w:r w:rsidRPr="0036740A">
        <w:rPr>
          <w:rFonts w:ascii="Times New Roman" w:hAnsi="Times New Roman" w:cs="Times New Roman"/>
          <w:sz w:val="24"/>
          <w:lang w:val="sq-AL"/>
        </w:rPr>
        <w:t xml:space="preserve">mg/l, sipas VKM 379. </w:t>
      </w:r>
      <w:r w:rsidRPr="0036740A">
        <w:rPr>
          <w:rFonts w:ascii="Times New Roman" w:hAnsi="Times New Roman" w:cs="Times New Roman"/>
          <w:sz w:val="24"/>
        </w:rPr>
        <w:t xml:space="preserve">Të gjitha vlerat e regjistruara gjatë vitit 2025 janë shumë më të ulëta se kufiri i lejuar ky është tregues i mirë i cilësisë dhe gjendjes kimike të ujërave të akuiferit. </w:t>
      </w:r>
    </w:p>
    <w:p w:rsidR="00B72496" w:rsidRPr="0036740A" w:rsidRDefault="00B72496" w:rsidP="00B72496">
      <w:pPr>
        <w:spacing w:after="0" w:line="240" w:lineRule="auto"/>
        <w:jc w:val="both"/>
        <w:rPr>
          <w:rFonts w:ascii="Times New Roman" w:hAnsi="Times New Roman" w:cs="Times New Roman"/>
          <w:sz w:val="24"/>
          <w:szCs w:val="18"/>
        </w:rPr>
      </w:pPr>
    </w:p>
    <w:p w:rsidR="0036740A" w:rsidRDefault="0036740A" w:rsidP="00B72496">
      <w:pPr>
        <w:spacing w:after="0" w:line="240" w:lineRule="auto"/>
        <w:jc w:val="both"/>
        <w:rPr>
          <w:rFonts w:ascii="Times New Roman" w:hAnsi="Times New Roman" w:cs="Times New Roman"/>
          <w:sz w:val="24"/>
          <w:szCs w:val="18"/>
          <w:lang w:val="sq-AL"/>
        </w:rPr>
      </w:pPr>
      <w:r w:rsidRPr="0036740A">
        <w:rPr>
          <w:rFonts w:ascii="Times New Roman" w:hAnsi="Times New Roman" w:cs="Times New Roman"/>
          <w:b/>
          <w:sz w:val="24"/>
          <w:szCs w:val="18"/>
          <w:lang w:val="sq-AL"/>
        </w:rPr>
        <w:t>Përmbajta e</w:t>
      </w:r>
      <w:r w:rsidR="008B1120">
        <w:rPr>
          <w:rFonts w:ascii="Times New Roman" w:hAnsi="Times New Roman" w:cs="Times New Roman"/>
          <w:b/>
          <w:sz w:val="24"/>
          <w:szCs w:val="18"/>
          <w:lang w:val="sq-AL"/>
        </w:rPr>
        <w:t xml:space="preserve"> </w:t>
      </w:r>
      <w:r w:rsidRPr="0036740A">
        <w:rPr>
          <w:rFonts w:ascii="Times New Roman" w:hAnsi="Times New Roman" w:cs="Times New Roman"/>
          <w:b/>
          <w:sz w:val="24"/>
          <w:szCs w:val="18"/>
          <w:lang w:val="sq-AL"/>
        </w:rPr>
        <w:t>nitrateve (NO</w:t>
      </w:r>
      <w:r w:rsidRPr="0036740A">
        <w:rPr>
          <w:rFonts w:ascii="Times New Roman" w:hAnsi="Times New Roman" w:cs="Times New Roman"/>
          <w:b/>
          <w:sz w:val="24"/>
          <w:szCs w:val="18"/>
          <w:vertAlign w:val="subscript"/>
          <w:lang w:val="sq-AL"/>
        </w:rPr>
        <w:t>3</w:t>
      </w:r>
      <w:r w:rsidRPr="0036740A">
        <w:rPr>
          <w:rFonts w:ascii="Times New Roman" w:hAnsi="Times New Roman" w:cs="Times New Roman"/>
          <w:b/>
          <w:sz w:val="24"/>
          <w:szCs w:val="18"/>
          <w:lang w:val="sq-AL"/>
        </w:rPr>
        <w:t>)</w:t>
      </w:r>
      <w:r w:rsidRPr="0036740A">
        <w:rPr>
          <w:rFonts w:ascii="Times New Roman" w:hAnsi="Times New Roman" w:cs="Times New Roman"/>
          <w:sz w:val="24"/>
          <w:szCs w:val="18"/>
          <w:lang w:val="sq-AL"/>
        </w:rPr>
        <w:t>: - Përmbajtja e nitrateve në fazat e monitorimit për vitin 2025  në të gjitha shpimet varion nga 0.0 – 36.60  mg/l.</w:t>
      </w:r>
      <w:r w:rsidRPr="0036740A">
        <w:rPr>
          <w:rFonts w:ascii="Times New Roman" w:hAnsi="Times New Roman" w:cs="Times New Roman"/>
          <w:sz w:val="24"/>
        </w:rPr>
        <w:t>Sipas VKM nr. 379, datë 25.05.2016, kufiri maksimal i lejuar për ujërat e pijshëm për këtë parametër është 50 mg/l dhe të gjitha vlerat e regjistruara gjatë vitit 2025 janë brenda kufijve të lejuar, duke treguar se ujërat nëntokësore të zonës kanë cilësi të mirë dhe nuk paraqesin ndotje. Vlera më e madhe e përmbajtjes së nitrateve janë konstatuar në shpimin Zvirinë 36.60 mg/l gjatë muajit gusht 2025 si dhe Shpimin I. Tërova.</w:t>
      </w:r>
      <w:r w:rsidRPr="0036740A">
        <w:rPr>
          <w:rFonts w:ascii="Times New Roman" w:hAnsi="Times New Roman" w:cs="Times New Roman"/>
          <w:sz w:val="24"/>
          <w:szCs w:val="18"/>
          <w:lang w:val="sq-AL"/>
        </w:rPr>
        <w:t xml:space="preserve"> </w:t>
      </w:r>
      <w:r w:rsidRPr="0036740A">
        <w:rPr>
          <w:rFonts w:ascii="Times New Roman" w:hAnsi="Times New Roman" w:cs="Times New Roman"/>
          <w:sz w:val="24"/>
          <w:szCs w:val="18"/>
          <w:lang w:val="sq-AL"/>
        </w:rPr>
        <w:lastRenderedPageBreak/>
        <w:t>Kjo përmbajtje shkaktohet nga plehërimi, pasi shpimi ndodhet në bazën prodhuese të Universitetit Bujqësor të Korçës.</w:t>
      </w:r>
    </w:p>
    <w:p w:rsidR="00B72496" w:rsidRPr="0036740A" w:rsidRDefault="00B72496" w:rsidP="00B72496">
      <w:pPr>
        <w:spacing w:after="0" w:line="240" w:lineRule="auto"/>
        <w:jc w:val="both"/>
        <w:rPr>
          <w:rFonts w:ascii="Times New Roman" w:hAnsi="Times New Roman" w:cs="Times New Roman"/>
          <w:sz w:val="24"/>
          <w:szCs w:val="18"/>
          <w:lang w:val="sq-AL"/>
        </w:rPr>
      </w:pPr>
    </w:p>
    <w:p w:rsidR="0036740A" w:rsidRPr="0036740A" w:rsidRDefault="0036740A" w:rsidP="00B72496">
      <w:pPr>
        <w:spacing w:after="0" w:line="240" w:lineRule="auto"/>
        <w:jc w:val="both"/>
        <w:rPr>
          <w:rFonts w:ascii="Times New Roman" w:hAnsi="Times New Roman" w:cs="Times New Roman"/>
          <w:sz w:val="24"/>
          <w:szCs w:val="18"/>
          <w:lang w:val="sq-AL"/>
        </w:rPr>
      </w:pPr>
      <w:r w:rsidRPr="0036740A">
        <w:rPr>
          <w:rFonts w:ascii="Times New Roman" w:hAnsi="Times New Roman" w:cs="Times New Roman"/>
          <w:b/>
          <w:iCs/>
          <w:sz w:val="24"/>
          <w:szCs w:val="18"/>
          <w:lang w:val="sq-AL"/>
        </w:rPr>
        <w:t>Përmbajtja e hekurit – Fe</w:t>
      </w:r>
      <w:r w:rsidRPr="0036740A">
        <w:rPr>
          <w:rFonts w:ascii="Times New Roman" w:hAnsi="Times New Roman" w:cs="Times New Roman"/>
          <w:b/>
          <w:iCs/>
          <w:sz w:val="24"/>
          <w:szCs w:val="18"/>
          <w:vertAlign w:val="superscript"/>
          <w:lang w:val="sq-AL"/>
        </w:rPr>
        <w:t xml:space="preserve">2+3 </w:t>
      </w:r>
      <w:r w:rsidRPr="0036740A">
        <w:rPr>
          <w:rFonts w:ascii="Times New Roman" w:hAnsi="Times New Roman" w:cs="Times New Roman"/>
          <w:sz w:val="24"/>
          <w:szCs w:val="18"/>
          <w:lang w:val="sq-AL"/>
        </w:rPr>
        <w:t>në fazat e monitorimit gjatë vitit 2025 v</w:t>
      </w:r>
      <w:r w:rsidRPr="0036740A">
        <w:rPr>
          <w:rFonts w:ascii="Times New Roman" w:hAnsi="Times New Roman" w:cs="Times New Roman"/>
          <w:sz w:val="24"/>
        </w:rPr>
        <w:t>arion nga 0.00 – 0.04 mg/l.</w:t>
      </w:r>
      <w:r w:rsidR="008B1120">
        <w:rPr>
          <w:rFonts w:ascii="Times New Roman" w:hAnsi="Times New Roman" w:cs="Times New Roman"/>
          <w:sz w:val="24"/>
        </w:rPr>
        <w:t xml:space="preserve"> </w:t>
      </w:r>
      <w:r w:rsidRPr="0036740A">
        <w:rPr>
          <w:rFonts w:ascii="Times New Roman" w:hAnsi="Times New Roman" w:cs="Times New Roman"/>
          <w:sz w:val="24"/>
        </w:rPr>
        <w:t xml:space="preserve">Vlera minimale 0.00 mg/l është regjistruar në shumicën e stacioneve, ndërsa vlera maksimale 0.04 mg/l është konstatuar në disa pika të izoluara gjatë fazës së dytë të monitorimit në shpimët e Pojanit, Zvirinës dhe të Sheqerasit. Sipas VKM nr. 379, datë 25.05.2016, kufiri maksimal i lejuar për ujërat e pijshëm për këtë parametër është 0.30 mg/l. </w:t>
      </w:r>
    </w:p>
    <w:p w:rsidR="0036740A" w:rsidRPr="0036740A" w:rsidRDefault="0036740A" w:rsidP="00B72496">
      <w:pPr>
        <w:spacing w:after="0" w:line="240" w:lineRule="auto"/>
        <w:jc w:val="both"/>
        <w:rPr>
          <w:rFonts w:ascii="Times New Roman" w:hAnsi="Times New Roman" w:cs="Times New Roman"/>
          <w:b/>
          <w:sz w:val="24"/>
          <w:szCs w:val="24"/>
          <w:lang w:val="sq-AL"/>
        </w:rPr>
      </w:pPr>
    </w:p>
    <w:p w:rsidR="0036740A" w:rsidRPr="00D87C5F" w:rsidRDefault="0036740A" w:rsidP="00D87C5F">
      <w:pPr>
        <w:spacing w:before="120" w:after="60" w:line="240" w:lineRule="auto"/>
        <w:jc w:val="both"/>
        <w:rPr>
          <w:rFonts w:ascii="Times New Roman" w:hAnsi="Times New Roman" w:cs="Times New Roman"/>
          <w:b/>
          <w:bCs/>
          <w:iCs/>
          <w:sz w:val="24"/>
          <w:szCs w:val="24"/>
          <w:u w:val="single"/>
        </w:rPr>
      </w:pPr>
      <w:r w:rsidRPr="00D87C5F">
        <w:rPr>
          <w:rFonts w:ascii="Times New Roman" w:hAnsi="Times New Roman" w:cs="Times New Roman"/>
          <w:b/>
          <w:bCs/>
          <w:iCs/>
          <w:sz w:val="24"/>
          <w:szCs w:val="24"/>
          <w:u w:val="single"/>
        </w:rPr>
        <w:t>Akuiferi magmatik</w:t>
      </w:r>
    </w:p>
    <w:p w:rsidR="0036740A" w:rsidRPr="0036740A" w:rsidRDefault="0036740A" w:rsidP="0036740A">
      <w:pPr>
        <w:spacing w:after="200" w:line="276" w:lineRule="auto"/>
        <w:rPr>
          <w:rFonts w:ascii="Times New Roman" w:hAnsi="Times New Roman" w:cs="Times New Roman"/>
          <w:sz w:val="24"/>
          <w:szCs w:val="24"/>
        </w:rPr>
      </w:pPr>
      <w:r w:rsidRPr="0036740A">
        <w:rPr>
          <w:rFonts w:ascii="Times New Roman" w:hAnsi="Times New Roman" w:cs="Times New Roman"/>
          <w:sz w:val="24"/>
          <w:szCs w:val="18"/>
          <w:lang w:val="sq-AL"/>
        </w:rPr>
        <w:t>Për monitorimin e cilësisë së UN të këtij akuiferi janë kryer analiza kimike të plota në burimin e H. Xhorxho. Bazuar në këto analizë</w:t>
      </w:r>
      <w:r w:rsidRPr="0036740A">
        <w:rPr>
          <w:rFonts w:ascii="Times New Roman" w:hAnsi="Times New Roman" w:cs="Times New Roman"/>
          <w:sz w:val="24"/>
          <w:szCs w:val="24"/>
          <w:lang w:val="sq-AL"/>
        </w:rPr>
        <w:t xml:space="preserve"> </w:t>
      </w:r>
      <w:r w:rsidRPr="0036740A">
        <w:rPr>
          <w:rFonts w:ascii="Times New Roman" w:hAnsi="Times New Roman" w:cs="Times New Roman"/>
          <w:sz w:val="24"/>
          <w:szCs w:val="24"/>
        </w:rPr>
        <w:t>përbërja kimike e ujërave të këtij akuiferi është e mirë.</w:t>
      </w:r>
    </w:p>
    <w:p w:rsidR="0036740A" w:rsidRPr="0036740A" w:rsidRDefault="00B45173" w:rsidP="0036740A">
      <w:pPr>
        <w:spacing w:after="200" w:line="276" w:lineRule="auto"/>
        <w:jc w:val="both"/>
        <w:rPr>
          <w:rFonts w:ascii="Times New Roman" w:hAnsi="Times New Roman" w:cs="Times New Roman"/>
          <w:sz w:val="24"/>
          <w:szCs w:val="18"/>
          <w:lang w:val="sq-AL"/>
        </w:rPr>
      </w:pPr>
      <w:r>
        <w:rPr>
          <w:rFonts w:ascii="Times New Roman" w:hAnsi="Times New Roman" w:cs="Times New Roman"/>
          <w:b/>
          <w:sz w:val="24"/>
          <w:szCs w:val="18"/>
          <w:lang w:val="sq-AL"/>
        </w:rPr>
        <w:t>p</w:t>
      </w:r>
      <w:r w:rsidR="0036740A" w:rsidRPr="0036740A">
        <w:rPr>
          <w:rFonts w:ascii="Times New Roman" w:hAnsi="Times New Roman" w:cs="Times New Roman"/>
          <w:b/>
          <w:sz w:val="24"/>
          <w:szCs w:val="18"/>
          <w:lang w:val="sq-AL"/>
        </w:rPr>
        <w:t>H i UN</w:t>
      </w:r>
      <w:r w:rsidR="0036740A" w:rsidRPr="0036740A">
        <w:rPr>
          <w:rFonts w:ascii="Times New Roman" w:hAnsi="Times New Roman" w:cs="Times New Roman"/>
          <w:sz w:val="24"/>
          <w:szCs w:val="18"/>
          <w:lang w:val="sq-AL"/>
        </w:rPr>
        <w:t xml:space="preserve"> - gjatë vitit 2025</w:t>
      </w:r>
      <w:r w:rsidR="0036740A" w:rsidRPr="0036740A">
        <w:rPr>
          <w:rFonts w:ascii="Times New Roman" w:hAnsi="Times New Roman" w:cs="Times New Roman"/>
          <w:sz w:val="24"/>
          <w:lang w:val="sq-AL"/>
        </w:rPr>
        <w:t>pH i UN në fazat e monitorimitvarion nga 7.22 – 6.96</w:t>
      </w:r>
      <w:r w:rsidR="0036740A" w:rsidRPr="0036740A">
        <w:rPr>
          <w:rFonts w:ascii="Times New Roman" w:hAnsi="Times New Roman" w:cs="Times New Roman"/>
          <w:sz w:val="24"/>
          <w:szCs w:val="18"/>
          <w:lang w:val="sq-AL"/>
        </w:rPr>
        <w:t>. Sipas normës së lejuar për ujë të pijshëm ky tregues është brenda normës së lejuar (pH = 6,5 - 9,5).</w:t>
      </w:r>
    </w:p>
    <w:p w:rsidR="0036740A" w:rsidRPr="0036740A" w:rsidRDefault="0036740A" w:rsidP="0036740A">
      <w:pPr>
        <w:spacing w:after="200" w:line="276" w:lineRule="auto"/>
        <w:jc w:val="both"/>
        <w:rPr>
          <w:rFonts w:ascii="Times New Roman" w:hAnsi="Times New Roman" w:cs="Times New Roman"/>
          <w:sz w:val="24"/>
          <w:szCs w:val="18"/>
          <w:lang w:val="sq-AL"/>
        </w:rPr>
      </w:pPr>
      <w:r w:rsidRPr="0036740A">
        <w:rPr>
          <w:rFonts w:ascii="Times New Roman" w:hAnsi="Times New Roman" w:cs="Times New Roman"/>
          <w:b/>
          <w:sz w:val="24"/>
          <w:szCs w:val="18"/>
          <w:lang w:val="sq-AL"/>
        </w:rPr>
        <w:t xml:space="preserve">Mineralizimi i përgjithshëm Mp </w:t>
      </w:r>
      <w:r w:rsidRPr="0036740A">
        <w:rPr>
          <w:rFonts w:ascii="Times New Roman" w:hAnsi="Times New Roman" w:cs="Times New Roman"/>
          <w:sz w:val="24"/>
          <w:szCs w:val="18"/>
          <w:lang w:val="sq-AL"/>
        </w:rPr>
        <w:t xml:space="preserve">–Mp gjate vitit 2025 varion nga 544.9-585.63 mg/l. </w:t>
      </w:r>
      <w:r w:rsidRPr="0036740A">
        <w:rPr>
          <w:rFonts w:ascii="Times New Roman" w:hAnsi="Times New Roman" w:cs="Times New Roman"/>
          <w:sz w:val="24"/>
        </w:rPr>
        <w:t>Vlerat e vitit 2025 janë shumë më të ulëta se kufiri i lejuar dhe tregojnë se ujërat e monitoruara kanë mineralizim të ulët deri mesatar.</w:t>
      </w:r>
    </w:p>
    <w:p w:rsidR="0036740A" w:rsidRPr="0036740A" w:rsidRDefault="0036740A" w:rsidP="0036740A">
      <w:pPr>
        <w:spacing w:after="200" w:line="276" w:lineRule="auto"/>
        <w:jc w:val="both"/>
        <w:rPr>
          <w:rFonts w:ascii="Times New Roman" w:hAnsi="Times New Roman" w:cs="Times New Roman"/>
          <w:sz w:val="24"/>
          <w:lang w:val="sq-AL"/>
        </w:rPr>
      </w:pPr>
      <w:r w:rsidRPr="0036740A">
        <w:rPr>
          <w:rFonts w:ascii="Times New Roman" w:hAnsi="Times New Roman" w:cs="Times New Roman"/>
          <w:b/>
          <w:sz w:val="24"/>
          <w:lang w:val="sq-AL"/>
        </w:rPr>
        <w:t>Fortësia e P</w:t>
      </w:r>
      <w:r w:rsidRPr="0036740A">
        <w:rPr>
          <w:rFonts w:ascii="Times New Roman" w:hAnsi="Times New Roman" w:cs="Times New Roman"/>
          <w:sz w:val="24"/>
          <w:lang w:val="sq-AL"/>
        </w:rPr>
        <w:t>ë</w:t>
      </w:r>
      <w:r w:rsidRPr="0036740A">
        <w:rPr>
          <w:rFonts w:ascii="Times New Roman" w:hAnsi="Times New Roman" w:cs="Times New Roman"/>
          <w:b/>
          <w:sz w:val="24"/>
          <w:lang w:val="sq-AL"/>
        </w:rPr>
        <w:t>rgjithshme Fp</w:t>
      </w:r>
      <w:r w:rsidRPr="0036740A">
        <w:rPr>
          <w:rFonts w:ascii="Times New Roman" w:hAnsi="Times New Roman" w:cs="Times New Roman"/>
          <w:sz w:val="24"/>
          <w:lang w:val="sq-AL"/>
        </w:rPr>
        <w:t xml:space="preserve"> - Fortësia e përgjithshme e UN në fazat e monitorimit për vitin 2025 varion Fp = 18.83-19.52 </w:t>
      </w:r>
      <w:r w:rsidRPr="0036740A">
        <w:rPr>
          <w:rFonts w:ascii="Times New Roman" w:hAnsi="Times New Roman" w:cs="Times New Roman"/>
          <w:sz w:val="24"/>
          <w:vertAlign w:val="superscript"/>
          <w:lang w:val="sq-AL"/>
        </w:rPr>
        <w:t xml:space="preserve">o </w:t>
      </w:r>
      <w:r w:rsidRPr="0036740A">
        <w:rPr>
          <w:rFonts w:ascii="Times New Roman" w:hAnsi="Times New Roman" w:cs="Times New Roman"/>
          <w:sz w:val="24"/>
          <w:lang w:val="sq-AL"/>
        </w:rPr>
        <w:t xml:space="preserve">gjermane duke u klasifikuar si ujëra të forta. Fortësia e ujrave në këtë akuifer është tregues brenda normës së lejuar sipas VKM 379 (25. 05. 2016). </w:t>
      </w:r>
    </w:p>
    <w:p w:rsidR="0036740A" w:rsidRPr="0036740A" w:rsidRDefault="0036740A" w:rsidP="0036740A">
      <w:pPr>
        <w:spacing w:before="120" w:after="200" w:line="276" w:lineRule="auto"/>
        <w:jc w:val="both"/>
        <w:rPr>
          <w:rFonts w:ascii="Times New Roman" w:hAnsi="Times New Roman" w:cs="Times New Roman"/>
          <w:sz w:val="24"/>
          <w:szCs w:val="18"/>
          <w:lang w:val="sq-AL"/>
        </w:rPr>
      </w:pPr>
      <w:r w:rsidRPr="0036740A">
        <w:rPr>
          <w:rFonts w:ascii="Times New Roman" w:hAnsi="Times New Roman" w:cs="Times New Roman"/>
          <w:b/>
          <w:iCs/>
          <w:sz w:val="24"/>
          <w:szCs w:val="18"/>
          <w:lang w:val="sq-AL"/>
        </w:rPr>
        <w:t>Përmbajtja e hekurit – Fe</w:t>
      </w:r>
      <w:r w:rsidRPr="0036740A">
        <w:rPr>
          <w:rFonts w:ascii="Times New Roman" w:hAnsi="Times New Roman" w:cs="Times New Roman"/>
          <w:b/>
          <w:iCs/>
          <w:sz w:val="24"/>
          <w:szCs w:val="18"/>
          <w:vertAlign w:val="superscript"/>
          <w:lang w:val="sq-AL"/>
        </w:rPr>
        <w:t>2+3</w:t>
      </w:r>
      <w:r w:rsidRPr="0036740A">
        <w:rPr>
          <w:rFonts w:ascii="Times New Roman" w:hAnsi="Times New Roman" w:cs="Times New Roman"/>
          <w:sz w:val="24"/>
          <w:szCs w:val="18"/>
          <w:lang w:val="sq-AL"/>
        </w:rPr>
        <w:t>, gjatë monitorimit të vitit 2025 në këtë akuifer janë 0 mg/l, sipas normës së lejuar për ujë të pijshëm ky tregues është brenda normës së lejuar.</w:t>
      </w:r>
    </w:p>
    <w:p w:rsidR="0036740A" w:rsidRPr="0036740A" w:rsidRDefault="0036740A" w:rsidP="0036740A">
      <w:pPr>
        <w:spacing w:before="120" w:after="200" w:line="276" w:lineRule="auto"/>
        <w:jc w:val="both"/>
        <w:rPr>
          <w:rFonts w:ascii="Times New Roman" w:hAnsi="Times New Roman" w:cs="Times New Roman"/>
          <w:sz w:val="24"/>
          <w:szCs w:val="18"/>
          <w:lang w:val="sq-AL"/>
        </w:rPr>
      </w:pPr>
      <w:r w:rsidRPr="0036740A">
        <w:rPr>
          <w:rFonts w:ascii="Times New Roman" w:hAnsi="Times New Roman" w:cs="Times New Roman"/>
          <w:b/>
          <w:iCs/>
          <w:sz w:val="24"/>
          <w:szCs w:val="18"/>
          <w:lang w:val="sq-AL"/>
        </w:rPr>
        <w:t>Përmbajtja e nitriteve - NO</w:t>
      </w:r>
      <w:r w:rsidRPr="0036740A">
        <w:rPr>
          <w:rFonts w:ascii="Times New Roman" w:hAnsi="Times New Roman" w:cs="Times New Roman"/>
          <w:b/>
          <w:iCs/>
          <w:sz w:val="24"/>
          <w:szCs w:val="18"/>
          <w:vertAlign w:val="subscript"/>
          <w:lang w:val="sq-AL"/>
        </w:rPr>
        <w:t>2</w:t>
      </w:r>
      <w:r w:rsidRPr="0036740A">
        <w:rPr>
          <w:rFonts w:ascii="Times New Roman" w:hAnsi="Times New Roman" w:cs="Times New Roman"/>
          <w:sz w:val="24"/>
          <w:szCs w:val="18"/>
          <w:lang w:val="sq-AL"/>
        </w:rPr>
        <w:t xml:space="preserve">, gjatë monitorimit të vitit 2025 është takuar përmbajtje e nitriteve në kampionet e marra në vlerë 0.01 – 0.008 mg/l. Standarti Shtetëror i përcaktuar në VKM 379 (25. </w:t>
      </w:r>
      <w:r w:rsidR="00620CA5">
        <w:rPr>
          <w:rFonts w:ascii="Times New Roman" w:hAnsi="Times New Roman" w:cs="Times New Roman"/>
          <w:sz w:val="24"/>
          <w:szCs w:val="18"/>
          <w:lang w:val="sq-AL"/>
        </w:rPr>
        <w:t>05. 2016) përcakton si vlerë maksimale</w:t>
      </w:r>
      <w:r w:rsidRPr="0036740A">
        <w:rPr>
          <w:rFonts w:ascii="Times New Roman" w:hAnsi="Times New Roman" w:cs="Times New Roman"/>
          <w:sz w:val="24"/>
          <w:szCs w:val="18"/>
          <w:lang w:val="sq-AL"/>
        </w:rPr>
        <w:t xml:space="preserve"> të lejuar për NO</w:t>
      </w:r>
      <w:r w:rsidRPr="0036740A">
        <w:rPr>
          <w:rFonts w:ascii="Times New Roman" w:hAnsi="Times New Roman" w:cs="Times New Roman"/>
          <w:sz w:val="24"/>
          <w:szCs w:val="18"/>
          <w:vertAlign w:val="subscript"/>
          <w:lang w:val="sq-AL"/>
        </w:rPr>
        <w:t>2</w:t>
      </w:r>
      <w:r w:rsidRPr="0036740A">
        <w:rPr>
          <w:rFonts w:ascii="Times New Roman" w:hAnsi="Times New Roman" w:cs="Times New Roman"/>
          <w:sz w:val="24"/>
          <w:szCs w:val="18"/>
          <w:lang w:val="sq-AL"/>
        </w:rPr>
        <w:t xml:space="preserve"> vlerën 0.5 mg/l. </w:t>
      </w:r>
    </w:p>
    <w:p w:rsidR="0036740A" w:rsidRPr="0036740A" w:rsidRDefault="0036740A" w:rsidP="0036740A">
      <w:pPr>
        <w:spacing w:before="120" w:after="200" w:line="276" w:lineRule="auto"/>
        <w:jc w:val="both"/>
        <w:rPr>
          <w:rFonts w:ascii="Times New Roman" w:hAnsi="Times New Roman" w:cs="Times New Roman"/>
          <w:sz w:val="24"/>
          <w:szCs w:val="18"/>
          <w:lang w:val="sq-AL"/>
        </w:rPr>
      </w:pPr>
      <w:r w:rsidRPr="0036740A">
        <w:rPr>
          <w:rFonts w:ascii="Times New Roman" w:hAnsi="Times New Roman" w:cs="Times New Roman"/>
          <w:b/>
          <w:iCs/>
          <w:sz w:val="24"/>
          <w:szCs w:val="18"/>
          <w:lang w:val="sq-AL"/>
        </w:rPr>
        <w:t>Përmbajtja e Nitrateve - NO</w:t>
      </w:r>
      <w:r w:rsidRPr="0036740A">
        <w:rPr>
          <w:rFonts w:ascii="Times New Roman" w:hAnsi="Times New Roman" w:cs="Times New Roman"/>
          <w:b/>
          <w:iCs/>
          <w:sz w:val="24"/>
          <w:szCs w:val="18"/>
          <w:vertAlign w:val="subscript"/>
          <w:lang w:val="sq-AL"/>
        </w:rPr>
        <w:t>3</w:t>
      </w:r>
      <w:r w:rsidRPr="0036740A">
        <w:rPr>
          <w:rFonts w:ascii="Times New Roman" w:hAnsi="Times New Roman" w:cs="Times New Roman"/>
          <w:sz w:val="24"/>
          <w:szCs w:val="18"/>
          <w:lang w:val="sq-AL"/>
        </w:rPr>
        <w:t xml:space="preserve">, gjatë monitorimit të vitit 2025 është prezente në vlera shumë të ulta, ato luhaten min – max 1.66 – 2.59 mg/l. Theksojmë se Standarti Shtetëror përcakton si vlerë </w:t>
      </w:r>
      <w:r w:rsidR="00620CA5">
        <w:rPr>
          <w:rFonts w:ascii="Times New Roman" w:hAnsi="Times New Roman" w:cs="Times New Roman"/>
          <w:sz w:val="24"/>
          <w:szCs w:val="18"/>
          <w:lang w:val="sq-AL"/>
        </w:rPr>
        <w:t>maksimale</w:t>
      </w:r>
      <w:r w:rsidR="00620CA5" w:rsidRPr="0036740A">
        <w:rPr>
          <w:rFonts w:ascii="Times New Roman" w:hAnsi="Times New Roman" w:cs="Times New Roman"/>
          <w:sz w:val="24"/>
          <w:szCs w:val="18"/>
          <w:lang w:val="sq-AL"/>
        </w:rPr>
        <w:t xml:space="preserve"> t</w:t>
      </w:r>
      <w:r w:rsidRPr="0036740A">
        <w:rPr>
          <w:rFonts w:ascii="Times New Roman" w:hAnsi="Times New Roman" w:cs="Times New Roman"/>
          <w:sz w:val="24"/>
          <w:szCs w:val="18"/>
          <w:lang w:val="sq-AL"/>
        </w:rPr>
        <w:t>të lejuar për NO</w:t>
      </w:r>
      <w:r w:rsidRPr="0036740A">
        <w:rPr>
          <w:rFonts w:ascii="Times New Roman" w:hAnsi="Times New Roman" w:cs="Times New Roman"/>
          <w:sz w:val="24"/>
          <w:szCs w:val="18"/>
          <w:vertAlign w:val="subscript"/>
          <w:lang w:val="sq-AL"/>
        </w:rPr>
        <w:t>3</w:t>
      </w:r>
      <w:r w:rsidRPr="0036740A">
        <w:rPr>
          <w:rFonts w:ascii="Times New Roman" w:hAnsi="Times New Roman" w:cs="Times New Roman"/>
          <w:sz w:val="24"/>
          <w:szCs w:val="18"/>
          <w:lang w:val="sq-AL"/>
        </w:rPr>
        <w:t xml:space="preserve"> vlerën 50 mg/l.</w:t>
      </w:r>
    </w:p>
    <w:p w:rsidR="0036740A" w:rsidRPr="0036740A" w:rsidRDefault="0036740A" w:rsidP="0036740A">
      <w:pPr>
        <w:spacing w:before="120" w:after="200" w:line="276" w:lineRule="auto"/>
        <w:jc w:val="both"/>
        <w:rPr>
          <w:rFonts w:ascii="Times New Roman" w:hAnsi="Times New Roman" w:cs="Times New Roman"/>
          <w:sz w:val="24"/>
          <w:szCs w:val="18"/>
          <w:lang w:val="sq-AL"/>
        </w:rPr>
      </w:pPr>
      <w:r w:rsidRPr="0036740A">
        <w:rPr>
          <w:rFonts w:ascii="Times New Roman" w:hAnsi="Times New Roman" w:cs="Times New Roman"/>
          <w:b/>
          <w:iCs/>
          <w:sz w:val="24"/>
          <w:szCs w:val="18"/>
          <w:lang w:val="sq-AL"/>
        </w:rPr>
        <w:t>Përmbajtja e amoniakut NH</w:t>
      </w:r>
      <w:r w:rsidRPr="0036740A">
        <w:rPr>
          <w:rFonts w:ascii="Times New Roman" w:hAnsi="Times New Roman" w:cs="Times New Roman"/>
          <w:b/>
          <w:iCs/>
          <w:sz w:val="24"/>
          <w:szCs w:val="18"/>
          <w:vertAlign w:val="subscript"/>
          <w:lang w:val="sq-AL"/>
        </w:rPr>
        <w:t>4</w:t>
      </w:r>
      <w:r w:rsidRPr="0036740A">
        <w:rPr>
          <w:rFonts w:ascii="Times New Roman" w:hAnsi="Times New Roman" w:cs="Times New Roman"/>
          <w:sz w:val="24"/>
          <w:szCs w:val="18"/>
          <w:lang w:val="sq-AL"/>
        </w:rPr>
        <w:t xml:space="preserve">, gjatë monitorimit të vitit 2025 është takuar në vlera shumë të ulta. Vlerat janë brenda standartit të lejuar, ato luhaten min – max 0.0 – 0.05 mg/l. Theksojmë se Standarti Shtetëror përcakton si vlerë </w:t>
      </w:r>
      <w:r w:rsidR="00620CA5">
        <w:rPr>
          <w:rFonts w:ascii="Times New Roman" w:hAnsi="Times New Roman" w:cs="Times New Roman"/>
          <w:sz w:val="24"/>
          <w:szCs w:val="18"/>
          <w:lang w:val="sq-AL"/>
        </w:rPr>
        <w:t xml:space="preserve">maksimale </w:t>
      </w:r>
      <w:r w:rsidRPr="0036740A">
        <w:rPr>
          <w:rFonts w:ascii="Times New Roman" w:hAnsi="Times New Roman" w:cs="Times New Roman"/>
          <w:sz w:val="24"/>
          <w:szCs w:val="18"/>
          <w:lang w:val="sq-AL"/>
        </w:rPr>
        <w:t xml:space="preserve"> të lejuar për </w:t>
      </w:r>
      <w:r w:rsidRPr="0036740A">
        <w:rPr>
          <w:rFonts w:ascii="Times New Roman" w:hAnsi="Times New Roman" w:cs="Times New Roman"/>
          <w:i/>
          <w:iCs/>
          <w:sz w:val="24"/>
          <w:szCs w:val="18"/>
          <w:lang w:val="sq-AL"/>
        </w:rPr>
        <w:t>NH</w:t>
      </w:r>
      <w:r w:rsidRPr="0036740A">
        <w:rPr>
          <w:rFonts w:ascii="Times New Roman" w:hAnsi="Times New Roman" w:cs="Times New Roman"/>
          <w:i/>
          <w:iCs/>
          <w:sz w:val="24"/>
          <w:szCs w:val="18"/>
          <w:vertAlign w:val="subscript"/>
          <w:lang w:val="sq-AL"/>
        </w:rPr>
        <w:t>4</w:t>
      </w:r>
      <w:r w:rsidRPr="0036740A">
        <w:rPr>
          <w:rFonts w:ascii="Times New Roman" w:hAnsi="Times New Roman" w:cs="Times New Roman"/>
          <w:sz w:val="24"/>
          <w:szCs w:val="18"/>
          <w:lang w:val="sq-AL"/>
        </w:rPr>
        <w:t xml:space="preserve"> vlerën 0.5 mg/l. </w:t>
      </w:r>
    </w:p>
    <w:p w:rsidR="0036740A" w:rsidRPr="00D87C5F" w:rsidRDefault="0036740A" w:rsidP="00D87C5F">
      <w:pPr>
        <w:spacing w:before="120" w:after="120" w:line="240" w:lineRule="auto"/>
        <w:jc w:val="both"/>
        <w:rPr>
          <w:rFonts w:ascii="Times New Roman" w:hAnsi="Times New Roman" w:cs="Times New Roman"/>
          <w:b/>
          <w:bCs/>
          <w:i/>
          <w:iCs/>
          <w:sz w:val="24"/>
          <w:szCs w:val="24"/>
          <w:u w:val="single"/>
        </w:rPr>
      </w:pPr>
      <w:r w:rsidRPr="00D87C5F">
        <w:rPr>
          <w:rFonts w:ascii="Times New Roman" w:hAnsi="Times New Roman" w:cs="Times New Roman"/>
          <w:b/>
          <w:bCs/>
          <w:i/>
          <w:iCs/>
          <w:sz w:val="24"/>
          <w:szCs w:val="24"/>
          <w:u w:val="single"/>
        </w:rPr>
        <w:t>Akuiferi Karbonatik</w:t>
      </w:r>
    </w:p>
    <w:p w:rsidR="0036740A" w:rsidRPr="0036740A" w:rsidRDefault="0036740A" w:rsidP="0036740A">
      <w:pPr>
        <w:spacing w:after="200" w:line="276" w:lineRule="auto"/>
        <w:rPr>
          <w:rFonts w:ascii="Times New Roman" w:hAnsi="Times New Roman" w:cs="Times New Roman"/>
          <w:sz w:val="24"/>
          <w:szCs w:val="24"/>
        </w:rPr>
      </w:pPr>
      <w:r w:rsidRPr="0036740A">
        <w:rPr>
          <w:rFonts w:ascii="Times New Roman" w:hAnsi="Times New Roman" w:cs="Times New Roman"/>
          <w:sz w:val="24"/>
          <w:szCs w:val="18"/>
          <w:lang w:val="sq-AL"/>
        </w:rPr>
        <w:t>Për monitorimin e cilësisë së UN të këtij akuiferi janë kryer analiza kimike të plota në burimin e Mançurishtit. Bazuar në këto analizë</w:t>
      </w:r>
      <w:r w:rsidRPr="0036740A">
        <w:rPr>
          <w:rFonts w:ascii="Times New Roman" w:hAnsi="Times New Roman" w:cs="Times New Roman"/>
          <w:sz w:val="24"/>
          <w:szCs w:val="24"/>
          <w:lang w:val="sq-AL"/>
        </w:rPr>
        <w:t xml:space="preserve"> </w:t>
      </w:r>
      <w:r w:rsidRPr="0036740A">
        <w:rPr>
          <w:rFonts w:ascii="Times New Roman" w:hAnsi="Times New Roman" w:cs="Times New Roman"/>
          <w:sz w:val="24"/>
          <w:szCs w:val="24"/>
        </w:rPr>
        <w:t>përbërja kimike e ujërave të këtij akuiferi është e mirë.</w:t>
      </w:r>
    </w:p>
    <w:p w:rsidR="0036740A" w:rsidRPr="0036740A" w:rsidRDefault="0036740A" w:rsidP="0036740A">
      <w:pPr>
        <w:spacing w:after="200" w:line="276" w:lineRule="auto"/>
        <w:jc w:val="both"/>
        <w:rPr>
          <w:rFonts w:ascii="Times New Roman" w:hAnsi="Times New Roman" w:cs="Times New Roman"/>
          <w:sz w:val="24"/>
          <w:szCs w:val="18"/>
          <w:lang w:val="sq-AL"/>
        </w:rPr>
      </w:pPr>
      <w:r w:rsidRPr="0036740A">
        <w:rPr>
          <w:rFonts w:ascii="Times New Roman" w:hAnsi="Times New Roman" w:cs="Times New Roman"/>
          <w:b/>
          <w:sz w:val="24"/>
          <w:szCs w:val="18"/>
          <w:lang w:val="sq-AL"/>
        </w:rPr>
        <w:t>pH i UN</w:t>
      </w:r>
      <w:r w:rsidRPr="0036740A">
        <w:rPr>
          <w:rFonts w:ascii="Times New Roman" w:hAnsi="Times New Roman" w:cs="Times New Roman"/>
          <w:sz w:val="24"/>
          <w:szCs w:val="18"/>
          <w:lang w:val="sq-AL"/>
        </w:rPr>
        <w:t xml:space="preserve"> - gjatë vitit 2025</w:t>
      </w:r>
      <w:r w:rsidRPr="0036740A">
        <w:rPr>
          <w:rFonts w:ascii="Times New Roman" w:hAnsi="Times New Roman" w:cs="Times New Roman"/>
          <w:sz w:val="24"/>
          <w:lang w:val="sq-AL"/>
        </w:rPr>
        <w:t>pH i UN në fazat e monitorimitvarion nga 6.8 – 6.97</w:t>
      </w:r>
      <w:r w:rsidRPr="0036740A">
        <w:rPr>
          <w:rFonts w:ascii="Times New Roman" w:hAnsi="Times New Roman" w:cs="Times New Roman"/>
          <w:sz w:val="24"/>
          <w:szCs w:val="18"/>
          <w:lang w:val="sq-AL"/>
        </w:rPr>
        <w:t xml:space="preserve">. dhe sipas normës </w:t>
      </w:r>
      <w:r w:rsidRPr="0036740A">
        <w:rPr>
          <w:rFonts w:ascii="Times New Roman" w:hAnsi="Times New Roman" w:cs="Times New Roman"/>
          <w:sz w:val="24"/>
          <w:szCs w:val="18"/>
          <w:lang w:val="sq-AL"/>
        </w:rPr>
        <w:lastRenderedPageBreak/>
        <w:t xml:space="preserve">së lejuar për ujë të pijshëm ky tregues është brenda normës së lejuar (pH = 6,5 - 9,5). </w:t>
      </w:r>
    </w:p>
    <w:p w:rsidR="0036740A" w:rsidRPr="0036740A" w:rsidRDefault="0036740A" w:rsidP="0036740A">
      <w:pPr>
        <w:spacing w:after="200" w:line="276" w:lineRule="auto"/>
        <w:jc w:val="both"/>
        <w:rPr>
          <w:rFonts w:ascii="Times New Roman" w:hAnsi="Times New Roman" w:cs="Times New Roman"/>
          <w:sz w:val="24"/>
          <w:szCs w:val="18"/>
          <w:lang w:val="sq-AL"/>
        </w:rPr>
      </w:pPr>
      <w:r w:rsidRPr="0036740A">
        <w:rPr>
          <w:rFonts w:ascii="Times New Roman" w:hAnsi="Times New Roman" w:cs="Times New Roman"/>
          <w:b/>
          <w:sz w:val="24"/>
          <w:szCs w:val="18"/>
          <w:lang w:val="sq-AL"/>
        </w:rPr>
        <w:t xml:space="preserve">Mineralizimi i përgjithshëm Mp </w:t>
      </w:r>
      <w:r w:rsidRPr="0036740A">
        <w:rPr>
          <w:rFonts w:ascii="Times New Roman" w:hAnsi="Times New Roman" w:cs="Times New Roman"/>
          <w:sz w:val="24"/>
          <w:szCs w:val="18"/>
          <w:lang w:val="sq-AL"/>
        </w:rPr>
        <w:t>–gjatë monitorimit të vitit 2025 varion nga 489.79-507.33 mg/lduke u klasifikuar si ujëra të freskëta. Mineralizimi i përgjithshëm është paraqitur grafikisht në fig.13 nuk ka rritje, ai është pothuajse konstant.</w:t>
      </w:r>
    </w:p>
    <w:p w:rsidR="0036740A" w:rsidRPr="0036740A" w:rsidRDefault="0036740A" w:rsidP="0036740A">
      <w:pPr>
        <w:spacing w:before="240" w:after="200" w:line="276" w:lineRule="auto"/>
        <w:jc w:val="both"/>
        <w:rPr>
          <w:rFonts w:ascii="Times New Roman" w:hAnsi="Times New Roman" w:cs="Times New Roman"/>
          <w:sz w:val="24"/>
          <w:lang w:val="sq-AL"/>
        </w:rPr>
      </w:pPr>
      <w:r w:rsidRPr="0036740A">
        <w:rPr>
          <w:rFonts w:ascii="Times New Roman" w:hAnsi="Times New Roman" w:cs="Times New Roman"/>
          <w:b/>
          <w:sz w:val="24"/>
          <w:lang w:val="sq-AL"/>
        </w:rPr>
        <w:t>Fortësia e P</w:t>
      </w:r>
      <w:r w:rsidRPr="0036740A">
        <w:rPr>
          <w:rFonts w:ascii="Times New Roman" w:hAnsi="Times New Roman" w:cs="Times New Roman"/>
          <w:sz w:val="24"/>
          <w:lang w:val="sq-AL"/>
        </w:rPr>
        <w:t>ë</w:t>
      </w:r>
      <w:r w:rsidRPr="0036740A">
        <w:rPr>
          <w:rFonts w:ascii="Times New Roman" w:hAnsi="Times New Roman" w:cs="Times New Roman"/>
          <w:b/>
          <w:sz w:val="24"/>
          <w:lang w:val="sq-AL"/>
        </w:rPr>
        <w:t>rgjithshme Fp</w:t>
      </w:r>
      <w:r w:rsidRPr="0036740A">
        <w:rPr>
          <w:rFonts w:ascii="Times New Roman" w:hAnsi="Times New Roman" w:cs="Times New Roman"/>
          <w:sz w:val="24"/>
          <w:lang w:val="sq-AL"/>
        </w:rPr>
        <w:t xml:space="preserve"> - Fortësia e përgjithshme e UN </w:t>
      </w:r>
      <w:r w:rsidRPr="0036740A">
        <w:rPr>
          <w:rFonts w:ascii="Times New Roman" w:hAnsi="Times New Roman" w:cs="Times New Roman"/>
          <w:sz w:val="24"/>
          <w:szCs w:val="18"/>
          <w:lang w:val="sq-AL"/>
        </w:rPr>
        <w:t xml:space="preserve">gjatë monitorimit të vitit 2025 </w:t>
      </w:r>
      <w:r w:rsidRPr="0036740A">
        <w:rPr>
          <w:rFonts w:ascii="Times New Roman" w:hAnsi="Times New Roman" w:cs="Times New Roman"/>
          <w:sz w:val="24"/>
          <w:lang w:val="sq-AL"/>
        </w:rPr>
        <w:t>varion Fp = 17.34-16.34</w:t>
      </w:r>
      <w:r w:rsidRPr="0036740A">
        <w:rPr>
          <w:rFonts w:ascii="Times New Roman" w:hAnsi="Times New Roman" w:cs="Times New Roman"/>
          <w:sz w:val="24"/>
          <w:vertAlign w:val="superscript"/>
          <w:lang w:val="sq-AL"/>
        </w:rPr>
        <w:t xml:space="preserve">o </w:t>
      </w:r>
      <w:r w:rsidRPr="0036740A">
        <w:rPr>
          <w:rFonts w:ascii="Times New Roman" w:hAnsi="Times New Roman" w:cs="Times New Roman"/>
          <w:sz w:val="24"/>
          <w:lang w:val="sq-AL"/>
        </w:rPr>
        <w:t xml:space="preserve">gjermane duke u klasifikuar si ujëra të forta. </w:t>
      </w:r>
    </w:p>
    <w:p w:rsidR="0036740A" w:rsidRPr="0036740A" w:rsidRDefault="0036740A" w:rsidP="0036740A">
      <w:pPr>
        <w:spacing w:before="120" w:after="200" w:line="276" w:lineRule="auto"/>
        <w:jc w:val="both"/>
        <w:rPr>
          <w:rFonts w:ascii="Times New Roman" w:hAnsi="Times New Roman" w:cs="Times New Roman"/>
          <w:sz w:val="24"/>
          <w:szCs w:val="18"/>
          <w:lang w:val="sq-AL"/>
        </w:rPr>
      </w:pPr>
      <w:r w:rsidRPr="0036740A">
        <w:rPr>
          <w:rFonts w:ascii="Times New Roman" w:hAnsi="Times New Roman" w:cs="Times New Roman"/>
          <w:b/>
          <w:iCs/>
          <w:sz w:val="24"/>
          <w:szCs w:val="18"/>
          <w:lang w:val="sq-AL"/>
        </w:rPr>
        <w:t>Përmbajtja e hekurit – Fe</w:t>
      </w:r>
      <w:r w:rsidRPr="0036740A">
        <w:rPr>
          <w:rFonts w:ascii="Times New Roman" w:hAnsi="Times New Roman" w:cs="Times New Roman"/>
          <w:b/>
          <w:iCs/>
          <w:sz w:val="24"/>
          <w:szCs w:val="18"/>
          <w:vertAlign w:val="superscript"/>
          <w:lang w:val="sq-AL"/>
        </w:rPr>
        <w:t>2+3</w:t>
      </w:r>
      <w:r w:rsidRPr="0036740A">
        <w:rPr>
          <w:rFonts w:ascii="Times New Roman" w:hAnsi="Times New Roman" w:cs="Times New Roman"/>
          <w:sz w:val="24"/>
          <w:szCs w:val="18"/>
          <w:lang w:val="sq-AL"/>
        </w:rPr>
        <w:t>, gjatë monitorimit të vitit 2025 në këtë akuifer janë 0 mg/l, sipas normës së lejuar për ujë të pijshëm ky tregues është brenda normës së lejuar.</w:t>
      </w:r>
    </w:p>
    <w:p w:rsidR="0036740A" w:rsidRPr="0036740A" w:rsidRDefault="0036740A" w:rsidP="0036740A">
      <w:pPr>
        <w:spacing w:before="120" w:after="200" w:line="276" w:lineRule="auto"/>
        <w:jc w:val="both"/>
        <w:rPr>
          <w:rFonts w:ascii="Times New Roman" w:hAnsi="Times New Roman" w:cs="Times New Roman"/>
          <w:sz w:val="24"/>
          <w:szCs w:val="18"/>
          <w:lang w:val="sq-AL"/>
        </w:rPr>
      </w:pPr>
      <w:r w:rsidRPr="0036740A">
        <w:rPr>
          <w:rFonts w:ascii="Times New Roman" w:hAnsi="Times New Roman" w:cs="Times New Roman"/>
          <w:b/>
          <w:iCs/>
          <w:sz w:val="24"/>
          <w:szCs w:val="18"/>
          <w:lang w:val="sq-AL"/>
        </w:rPr>
        <w:t>Përmbajtja e nitriteve - NO</w:t>
      </w:r>
      <w:r w:rsidRPr="0036740A">
        <w:rPr>
          <w:rFonts w:ascii="Times New Roman" w:hAnsi="Times New Roman" w:cs="Times New Roman"/>
          <w:b/>
          <w:iCs/>
          <w:sz w:val="24"/>
          <w:szCs w:val="18"/>
          <w:vertAlign w:val="subscript"/>
          <w:lang w:val="sq-AL"/>
        </w:rPr>
        <w:t>2</w:t>
      </w:r>
      <w:r w:rsidRPr="0036740A">
        <w:rPr>
          <w:rFonts w:ascii="Times New Roman" w:hAnsi="Times New Roman" w:cs="Times New Roman"/>
          <w:sz w:val="24"/>
          <w:szCs w:val="18"/>
          <w:lang w:val="sq-AL"/>
        </w:rPr>
        <w:t xml:space="preserve">, gjatë monitorimit të vitit 2025 janë 0.00 – 0.01 mg/l. Standarti Shtetëror i përcaktuar në VKM 379 (25. 05. 2016) përcakton si vlerë </w:t>
      </w:r>
      <w:r w:rsidR="00620CA5">
        <w:rPr>
          <w:rFonts w:ascii="Times New Roman" w:hAnsi="Times New Roman" w:cs="Times New Roman"/>
          <w:sz w:val="24"/>
          <w:szCs w:val="18"/>
          <w:lang w:val="sq-AL"/>
        </w:rPr>
        <w:t xml:space="preserve">maksimale </w:t>
      </w:r>
      <w:r w:rsidRPr="0036740A">
        <w:rPr>
          <w:rFonts w:ascii="Times New Roman" w:hAnsi="Times New Roman" w:cs="Times New Roman"/>
          <w:sz w:val="24"/>
          <w:szCs w:val="18"/>
          <w:lang w:val="sq-AL"/>
        </w:rPr>
        <w:t xml:space="preserve"> të lejuar për NO</w:t>
      </w:r>
      <w:r w:rsidRPr="0036740A">
        <w:rPr>
          <w:rFonts w:ascii="Times New Roman" w:hAnsi="Times New Roman" w:cs="Times New Roman"/>
          <w:sz w:val="24"/>
          <w:szCs w:val="18"/>
          <w:vertAlign w:val="subscript"/>
          <w:lang w:val="sq-AL"/>
        </w:rPr>
        <w:t>2</w:t>
      </w:r>
      <w:r w:rsidRPr="0036740A">
        <w:rPr>
          <w:rFonts w:ascii="Times New Roman" w:hAnsi="Times New Roman" w:cs="Times New Roman"/>
          <w:sz w:val="24"/>
          <w:szCs w:val="18"/>
          <w:lang w:val="sq-AL"/>
        </w:rPr>
        <w:t xml:space="preserve"> vlerën 0.5 mg/l. </w:t>
      </w:r>
    </w:p>
    <w:p w:rsidR="0036740A" w:rsidRPr="0036740A" w:rsidRDefault="0036740A" w:rsidP="0036740A">
      <w:pPr>
        <w:spacing w:before="120" w:after="200" w:line="276" w:lineRule="auto"/>
        <w:jc w:val="both"/>
        <w:rPr>
          <w:rFonts w:ascii="Times New Roman" w:hAnsi="Times New Roman" w:cs="Times New Roman"/>
          <w:sz w:val="24"/>
          <w:szCs w:val="18"/>
          <w:lang w:val="sq-AL"/>
        </w:rPr>
      </w:pPr>
      <w:r w:rsidRPr="0036740A">
        <w:rPr>
          <w:rFonts w:ascii="Times New Roman" w:hAnsi="Times New Roman" w:cs="Times New Roman"/>
          <w:b/>
          <w:iCs/>
          <w:sz w:val="24"/>
          <w:szCs w:val="18"/>
          <w:lang w:val="sq-AL"/>
        </w:rPr>
        <w:t>Përmbajtja e Nitrateve - NO</w:t>
      </w:r>
      <w:r w:rsidRPr="0036740A">
        <w:rPr>
          <w:rFonts w:ascii="Times New Roman" w:hAnsi="Times New Roman" w:cs="Times New Roman"/>
          <w:b/>
          <w:iCs/>
          <w:sz w:val="24"/>
          <w:szCs w:val="18"/>
          <w:vertAlign w:val="subscript"/>
          <w:lang w:val="sq-AL"/>
        </w:rPr>
        <w:t>3</w:t>
      </w:r>
      <w:r w:rsidRPr="0036740A">
        <w:rPr>
          <w:rFonts w:ascii="Times New Roman" w:hAnsi="Times New Roman" w:cs="Times New Roman"/>
          <w:sz w:val="24"/>
          <w:szCs w:val="18"/>
          <w:lang w:val="sq-AL"/>
        </w:rPr>
        <w:t xml:space="preserve">, gjatë monitorimit të vitit 2025 luhaten min – max 0.02 – 1.54 mg/l. Standarti Shtetëror përcakton si vlerë </w:t>
      </w:r>
      <w:r w:rsidR="00620CA5">
        <w:rPr>
          <w:rFonts w:ascii="Times New Roman" w:hAnsi="Times New Roman" w:cs="Times New Roman"/>
          <w:sz w:val="24"/>
          <w:szCs w:val="18"/>
          <w:lang w:val="sq-AL"/>
        </w:rPr>
        <w:t xml:space="preserve">maksimale </w:t>
      </w:r>
      <w:r w:rsidRPr="0036740A">
        <w:rPr>
          <w:rFonts w:ascii="Times New Roman" w:hAnsi="Times New Roman" w:cs="Times New Roman"/>
          <w:sz w:val="24"/>
          <w:szCs w:val="18"/>
          <w:lang w:val="sq-AL"/>
        </w:rPr>
        <w:t xml:space="preserve"> të lejuar për NO</w:t>
      </w:r>
      <w:r w:rsidRPr="0036740A">
        <w:rPr>
          <w:rFonts w:ascii="Times New Roman" w:hAnsi="Times New Roman" w:cs="Times New Roman"/>
          <w:sz w:val="24"/>
          <w:szCs w:val="18"/>
          <w:vertAlign w:val="subscript"/>
          <w:lang w:val="sq-AL"/>
        </w:rPr>
        <w:t>3</w:t>
      </w:r>
      <w:r w:rsidRPr="0036740A">
        <w:rPr>
          <w:rFonts w:ascii="Times New Roman" w:hAnsi="Times New Roman" w:cs="Times New Roman"/>
          <w:sz w:val="24"/>
          <w:szCs w:val="18"/>
          <w:lang w:val="sq-AL"/>
        </w:rPr>
        <w:t xml:space="preserve"> vlerën 50 mg/l.</w:t>
      </w:r>
    </w:p>
    <w:p w:rsidR="0036740A" w:rsidRPr="0036740A" w:rsidRDefault="0036740A" w:rsidP="0036740A">
      <w:pPr>
        <w:spacing w:before="120" w:after="200" w:line="276" w:lineRule="auto"/>
        <w:jc w:val="both"/>
        <w:rPr>
          <w:rFonts w:ascii="Times New Roman" w:hAnsi="Times New Roman" w:cs="Times New Roman"/>
          <w:sz w:val="24"/>
          <w:szCs w:val="18"/>
          <w:lang w:val="sq-AL"/>
        </w:rPr>
      </w:pPr>
      <w:r w:rsidRPr="0036740A">
        <w:rPr>
          <w:rFonts w:ascii="Times New Roman" w:hAnsi="Times New Roman" w:cs="Times New Roman"/>
          <w:b/>
          <w:iCs/>
          <w:sz w:val="24"/>
          <w:szCs w:val="18"/>
          <w:lang w:val="sq-AL"/>
        </w:rPr>
        <w:t>Përmbajtja e amoniakut NH</w:t>
      </w:r>
      <w:r w:rsidRPr="0036740A">
        <w:rPr>
          <w:rFonts w:ascii="Times New Roman" w:hAnsi="Times New Roman" w:cs="Times New Roman"/>
          <w:b/>
          <w:i/>
          <w:iCs/>
          <w:sz w:val="24"/>
          <w:szCs w:val="18"/>
          <w:vertAlign w:val="subscript"/>
          <w:lang w:val="sq-AL"/>
        </w:rPr>
        <w:t>4</w:t>
      </w:r>
      <w:r w:rsidRPr="0036740A">
        <w:rPr>
          <w:rFonts w:ascii="Times New Roman" w:hAnsi="Times New Roman" w:cs="Times New Roman"/>
          <w:sz w:val="24"/>
          <w:szCs w:val="18"/>
          <w:lang w:val="sq-AL"/>
        </w:rPr>
        <w:t xml:space="preserve">, gjatë monitorimit të vitit 2025 është takuar në vlera shumë të ulta dhe janë brenda standartit të lejuar, ato luhaten min – max 0.0 – 0.05 mg/l. Standarti Shtetëror përcakton si vlerë </w:t>
      </w:r>
      <w:r w:rsidR="00620CA5">
        <w:rPr>
          <w:rFonts w:ascii="Times New Roman" w:hAnsi="Times New Roman" w:cs="Times New Roman"/>
          <w:sz w:val="24"/>
          <w:szCs w:val="18"/>
          <w:lang w:val="sq-AL"/>
        </w:rPr>
        <w:t>maksimale</w:t>
      </w:r>
      <w:r w:rsidR="00620CA5" w:rsidRPr="0036740A">
        <w:rPr>
          <w:rFonts w:ascii="Times New Roman" w:hAnsi="Times New Roman" w:cs="Times New Roman"/>
          <w:sz w:val="24"/>
          <w:szCs w:val="18"/>
          <w:lang w:val="sq-AL"/>
        </w:rPr>
        <w:t xml:space="preserve"> t</w:t>
      </w:r>
      <w:r w:rsidRPr="0036740A">
        <w:rPr>
          <w:rFonts w:ascii="Times New Roman" w:hAnsi="Times New Roman" w:cs="Times New Roman"/>
          <w:sz w:val="24"/>
          <w:szCs w:val="18"/>
          <w:lang w:val="sq-AL"/>
        </w:rPr>
        <w:t xml:space="preserve">të lejuar për </w:t>
      </w:r>
      <w:r w:rsidRPr="0036740A">
        <w:rPr>
          <w:rFonts w:ascii="Times New Roman" w:hAnsi="Times New Roman" w:cs="Times New Roman"/>
          <w:i/>
          <w:iCs/>
          <w:sz w:val="24"/>
          <w:szCs w:val="18"/>
          <w:lang w:val="sq-AL"/>
        </w:rPr>
        <w:t>NH</w:t>
      </w:r>
      <w:r w:rsidRPr="0036740A">
        <w:rPr>
          <w:rFonts w:ascii="Times New Roman" w:hAnsi="Times New Roman" w:cs="Times New Roman"/>
          <w:i/>
          <w:iCs/>
          <w:sz w:val="24"/>
          <w:szCs w:val="18"/>
          <w:vertAlign w:val="subscript"/>
          <w:lang w:val="sq-AL"/>
        </w:rPr>
        <w:t>4</w:t>
      </w:r>
      <w:r w:rsidRPr="0036740A">
        <w:rPr>
          <w:rFonts w:ascii="Times New Roman" w:hAnsi="Times New Roman" w:cs="Times New Roman"/>
          <w:sz w:val="24"/>
          <w:szCs w:val="18"/>
          <w:lang w:val="sq-AL"/>
        </w:rPr>
        <w:t xml:space="preserve"> vlerën 0.5 mg/l. </w:t>
      </w:r>
    </w:p>
    <w:p w:rsidR="0036740A" w:rsidRDefault="0036740A" w:rsidP="00D87C5F">
      <w:pPr>
        <w:spacing w:before="120" w:after="0" w:line="276" w:lineRule="auto"/>
        <w:jc w:val="both"/>
        <w:rPr>
          <w:rFonts w:ascii="Times New Roman" w:hAnsi="Times New Roman" w:cs="Times New Roman"/>
          <w:sz w:val="24"/>
          <w:szCs w:val="24"/>
          <w:lang w:val="sq-AL"/>
        </w:rPr>
      </w:pPr>
    </w:p>
    <w:p w:rsidR="0036740A" w:rsidRPr="00D87C5F" w:rsidRDefault="0036740A" w:rsidP="00D87C5F">
      <w:pPr>
        <w:spacing w:before="120" w:after="0" w:line="276" w:lineRule="auto"/>
        <w:jc w:val="both"/>
        <w:rPr>
          <w:rFonts w:ascii="Times New Roman" w:hAnsi="Times New Roman" w:cs="Times New Roman"/>
          <w:b/>
          <w:sz w:val="24"/>
          <w:szCs w:val="24"/>
          <w:lang w:val="sq-AL"/>
        </w:rPr>
      </w:pPr>
      <w:r w:rsidRPr="00D87C5F">
        <w:rPr>
          <w:rFonts w:ascii="Times New Roman" w:hAnsi="Times New Roman" w:cs="Times New Roman"/>
          <w:b/>
          <w:sz w:val="24"/>
          <w:szCs w:val="24"/>
          <w:lang w:val="sq-AL"/>
        </w:rPr>
        <w:t>Rekomandime për basenin e Semanit</w:t>
      </w:r>
    </w:p>
    <w:p w:rsidR="0036740A" w:rsidRPr="0036740A" w:rsidRDefault="0036740A" w:rsidP="0036740A">
      <w:pPr>
        <w:spacing w:before="120" w:after="0" w:line="276" w:lineRule="auto"/>
        <w:ind w:left="360"/>
        <w:jc w:val="both"/>
        <w:rPr>
          <w:rFonts w:ascii="Times New Roman" w:hAnsi="Times New Roman" w:cs="Times New Roman"/>
          <w:sz w:val="24"/>
          <w:szCs w:val="24"/>
          <w:lang w:val="sq-AL"/>
        </w:rPr>
      </w:pPr>
    </w:p>
    <w:p w:rsidR="0036740A" w:rsidRPr="0036740A" w:rsidRDefault="0036740A" w:rsidP="00807975">
      <w:pPr>
        <w:numPr>
          <w:ilvl w:val="0"/>
          <w:numId w:val="66"/>
        </w:numPr>
        <w:spacing w:before="120" w:after="0" w:line="276" w:lineRule="auto"/>
        <w:jc w:val="both"/>
        <w:rPr>
          <w:rFonts w:ascii="Times New Roman" w:hAnsi="Times New Roman" w:cs="Times New Roman"/>
          <w:sz w:val="24"/>
          <w:szCs w:val="24"/>
          <w:lang w:val="sq-AL"/>
        </w:rPr>
      </w:pPr>
      <w:r w:rsidRPr="0036740A">
        <w:rPr>
          <w:rFonts w:ascii="Times New Roman" w:hAnsi="Times New Roman" w:cs="Times New Roman"/>
          <w:sz w:val="24"/>
          <w:szCs w:val="24"/>
          <w:lang w:val="sq-AL"/>
        </w:rPr>
        <w:t>Monitorimi i cilësisë së U.N.të kryhet në periudhat ujëshumtë dhe ujëpakët, katër herë në vit për akuiferët kuaternar dhe 2 herë në vit për akuiferët karbonatik dhe magmatik.</w:t>
      </w:r>
    </w:p>
    <w:p w:rsidR="0036740A" w:rsidRPr="0036740A" w:rsidRDefault="0036740A" w:rsidP="00807975">
      <w:pPr>
        <w:numPr>
          <w:ilvl w:val="0"/>
          <w:numId w:val="66"/>
        </w:numPr>
        <w:spacing w:before="120" w:after="0" w:line="276" w:lineRule="auto"/>
        <w:jc w:val="both"/>
        <w:rPr>
          <w:rFonts w:ascii="Times New Roman" w:hAnsi="Times New Roman" w:cs="Times New Roman"/>
          <w:sz w:val="24"/>
          <w:szCs w:val="24"/>
          <w:lang w:val="sq-AL"/>
        </w:rPr>
      </w:pPr>
      <w:r w:rsidRPr="0036740A">
        <w:rPr>
          <w:rFonts w:ascii="Times New Roman" w:hAnsi="Times New Roman" w:cs="Times New Roman"/>
          <w:sz w:val="24"/>
          <w:szCs w:val="24"/>
          <w:lang w:val="sq-AL"/>
        </w:rPr>
        <w:t>Të vendoset sondë multi parametrike në akuiferin kuaternar të Korçës, dhe atë të Beratit.</w:t>
      </w:r>
    </w:p>
    <w:p w:rsidR="0036740A" w:rsidRPr="0036740A" w:rsidRDefault="0036740A" w:rsidP="00807975">
      <w:pPr>
        <w:numPr>
          <w:ilvl w:val="0"/>
          <w:numId w:val="66"/>
        </w:numPr>
        <w:spacing w:before="120" w:after="0" w:line="276" w:lineRule="auto"/>
        <w:jc w:val="both"/>
        <w:rPr>
          <w:rFonts w:ascii="Times New Roman" w:hAnsi="Times New Roman" w:cs="Times New Roman"/>
          <w:sz w:val="24"/>
          <w:szCs w:val="24"/>
          <w:lang w:val="sq-AL"/>
        </w:rPr>
      </w:pPr>
      <w:r w:rsidRPr="0036740A">
        <w:rPr>
          <w:rFonts w:ascii="Times New Roman" w:hAnsi="Times New Roman" w:cs="Times New Roman"/>
          <w:sz w:val="24"/>
          <w:szCs w:val="24"/>
          <w:lang w:val="sq-AL"/>
        </w:rPr>
        <w:t>Shpimet në të cilët takohen ndotje të monitorohen 4 herë në vit.</w:t>
      </w:r>
    </w:p>
    <w:p w:rsidR="0036740A" w:rsidRDefault="00620CA5" w:rsidP="00807975">
      <w:pPr>
        <w:numPr>
          <w:ilvl w:val="0"/>
          <w:numId w:val="66"/>
        </w:numPr>
        <w:spacing w:before="120" w:after="0"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R</w:t>
      </w:r>
      <w:r w:rsidR="0036740A" w:rsidRPr="0036740A">
        <w:rPr>
          <w:rFonts w:ascii="Times New Roman" w:hAnsi="Times New Roman" w:cs="Times New Roman"/>
          <w:sz w:val="24"/>
          <w:szCs w:val="24"/>
          <w:lang w:val="sq-AL"/>
        </w:rPr>
        <w:t xml:space="preserve">ekomandojmë </w:t>
      </w:r>
      <w:r>
        <w:rPr>
          <w:rFonts w:ascii="Times New Roman" w:hAnsi="Times New Roman" w:cs="Times New Roman"/>
          <w:sz w:val="24"/>
          <w:szCs w:val="24"/>
          <w:lang w:val="sq-AL"/>
        </w:rPr>
        <w:t>që ndërmarrjet e ujësje</w:t>
      </w:r>
      <w:r w:rsidR="0036740A" w:rsidRPr="0036740A">
        <w:rPr>
          <w:rFonts w:ascii="Times New Roman" w:hAnsi="Times New Roman" w:cs="Times New Roman"/>
          <w:sz w:val="24"/>
          <w:szCs w:val="24"/>
          <w:lang w:val="sq-AL"/>
        </w:rPr>
        <w:t>llësave të marrin masa për përmirësimin e kushteve higjeno – sanitare të stacioneve të shfrytëzimit.</w:t>
      </w:r>
    </w:p>
    <w:p w:rsidR="0036740A" w:rsidRDefault="0036740A" w:rsidP="00807975">
      <w:pPr>
        <w:numPr>
          <w:ilvl w:val="0"/>
          <w:numId w:val="66"/>
        </w:numPr>
        <w:spacing w:before="120" w:after="0" w:line="276" w:lineRule="auto"/>
        <w:jc w:val="both"/>
        <w:rPr>
          <w:rFonts w:ascii="Times New Roman" w:hAnsi="Times New Roman" w:cs="Times New Roman"/>
          <w:sz w:val="24"/>
          <w:szCs w:val="24"/>
          <w:lang w:val="sq-AL"/>
        </w:rPr>
      </w:pPr>
      <w:r w:rsidRPr="0036740A">
        <w:rPr>
          <w:rFonts w:ascii="Times New Roman" w:hAnsi="Times New Roman" w:cs="Times New Roman"/>
          <w:sz w:val="24"/>
          <w:szCs w:val="24"/>
          <w:lang w:val="sq-AL"/>
        </w:rPr>
        <w:t>Të kërkohet zbatimi</w:t>
      </w:r>
      <w:r w:rsidR="00620CA5">
        <w:rPr>
          <w:rFonts w:ascii="Times New Roman" w:hAnsi="Times New Roman" w:cs="Times New Roman"/>
          <w:sz w:val="24"/>
          <w:szCs w:val="24"/>
          <w:lang w:val="sq-AL"/>
        </w:rPr>
        <w:t xml:space="preserve"> i</w:t>
      </w:r>
      <w:r w:rsidRPr="0036740A">
        <w:rPr>
          <w:rFonts w:ascii="Times New Roman" w:hAnsi="Times New Roman" w:cs="Times New Roman"/>
          <w:sz w:val="24"/>
          <w:szCs w:val="24"/>
          <w:lang w:val="sq-AL"/>
        </w:rPr>
        <w:t xml:space="preserve"> rrezes sanitare rreth shpimeve që furnizojnë me ujë qytete e zona të banuara.</w:t>
      </w:r>
    </w:p>
    <w:p w:rsidR="0036740A" w:rsidRPr="0036740A" w:rsidRDefault="0036740A" w:rsidP="00807975">
      <w:pPr>
        <w:numPr>
          <w:ilvl w:val="0"/>
          <w:numId w:val="66"/>
        </w:numPr>
        <w:spacing w:before="120" w:after="0" w:line="276" w:lineRule="auto"/>
        <w:jc w:val="both"/>
        <w:rPr>
          <w:rFonts w:ascii="Times New Roman" w:hAnsi="Times New Roman" w:cs="Times New Roman"/>
          <w:sz w:val="24"/>
          <w:szCs w:val="24"/>
          <w:lang w:val="sq-AL"/>
        </w:rPr>
      </w:pPr>
      <w:r w:rsidRPr="0036740A">
        <w:rPr>
          <w:rFonts w:ascii="Times New Roman" w:hAnsi="Times New Roman" w:cs="Times New Roman"/>
          <w:sz w:val="24"/>
          <w:szCs w:val="24"/>
          <w:lang w:val="sq-AL"/>
        </w:rPr>
        <w:t>Klorinimi i ujit duhet të jetë i vazhdueshëm në stacionet e pompimit si dhe mbajtja nën monitorim të vazhdueshëm.</w:t>
      </w:r>
    </w:p>
    <w:p w:rsidR="00C55FD0" w:rsidRDefault="00C55FD0" w:rsidP="00DA3FBA">
      <w:pPr>
        <w:spacing w:after="200" w:line="288" w:lineRule="auto"/>
        <w:rPr>
          <w:rFonts w:ascii="Times New Roman" w:eastAsiaTheme="minorEastAsia" w:hAnsi="Times New Roman" w:cs="Times New Roman"/>
          <w:b/>
          <w:sz w:val="24"/>
          <w:szCs w:val="24"/>
        </w:rPr>
      </w:pPr>
    </w:p>
    <w:p w:rsidR="00B45173" w:rsidRDefault="00B45173" w:rsidP="00DA3FBA">
      <w:pPr>
        <w:spacing w:after="200" w:line="288" w:lineRule="auto"/>
        <w:rPr>
          <w:rFonts w:ascii="Times New Roman" w:eastAsiaTheme="minorEastAsia" w:hAnsi="Times New Roman" w:cs="Times New Roman"/>
          <w:b/>
          <w:sz w:val="24"/>
          <w:szCs w:val="24"/>
        </w:rPr>
      </w:pPr>
    </w:p>
    <w:p w:rsidR="00C55FD0" w:rsidRDefault="0036740A" w:rsidP="0036740A">
      <w:pPr>
        <w:spacing w:after="200" w:line="288"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4.2.6 Baseni Vjosë</w:t>
      </w:r>
    </w:p>
    <w:p w:rsidR="0036740A" w:rsidRPr="0036740A" w:rsidRDefault="0036740A" w:rsidP="0036740A">
      <w:pPr>
        <w:spacing w:after="0" w:line="276" w:lineRule="auto"/>
        <w:jc w:val="both"/>
        <w:rPr>
          <w:rFonts w:ascii="Times New Roman" w:eastAsia="Calibri" w:hAnsi="Times New Roman" w:cs="Times New Roman"/>
          <w:sz w:val="24"/>
          <w:szCs w:val="24"/>
          <w:lang w:val="fr-FR"/>
        </w:rPr>
      </w:pPr>
      <w:r w:rsidRPr="0036740A">
        <w:rPr>
          <w:rFonts w:ascii="Times New Roman" w:eastAsia="Calibri" w:hAnsi="Times New Roman" w:cs="Times New Roman"/>
          <w:sz w:val="24"/>
          <w:szCs w:val="24"/>
          <w:lang w:val="fr-FR"/>
        </w:rPr>
        <w:t>Gjatë vitit 2025 në akuiferin poroz (Kuaternar) të Vjosës u monitoruan 5 pika ujore dhe konkretisht Një shpim në Novoselë, në Pish Poro, Kafaraj 4E, Kafaraj 3R dhe Kafaraj (Shpimi i Ri). Në akuiferin poroz (Kuaternar) të Drinos u monitoruan 3 pika ujore, shpimi në Buduk, kthesa e Lazaratit dhe shpimi Kakavijë.</w:t>
      </w:r>
    </w:p>
    <w:p w:rsidR="0036740A" w:rsidRPr="0036740A" w:rsidRDefault="0036740A" w:rsidP="0036740A">
      <w:pPr>
        <w:spacing w:after="0" w:line="276" w:lineRule="auto"/>
        <w:jc w:val="both"/>
        <w:rPr>
          <w:rFonts w:ascii="Times New Roman" w:eastAsia="Calibri" w:hAnsi="Times New Roman" w:cs="Times New Roman"/>
          <w:sz w:val="24"/>
          <w:szCs w:val="24"/>
          <w:lang w:val="fr-FR"/>
        </w:rPr>
      </w:pPr>
      <w:r w:rsidRPr="0036740A">
        <w:rPr>
          <w:rFonts w:ascii="Times New Roman" w:eastAsia="Calibri" w:hAnsi="Times New Roman" w:cs="Times New Roman"/>
          <w:sz w:val="24"/>
          <w:szCs w:val="24"/>
          <w:lang w:val="fr-FR"/>
        </w:rPr>
        <w:t>Në akuiferin karstik (karbonatik) monitorimi është kryer në burimin e Ujit të Ftohtë - Tepelenë.</w:t>
      </w:r>
    </w:p>
    <w:p w:rsidR="0036740A" w:rsidRPr="0036740A" w:rsidRDefault="0036740A" w:rsidP="0036740A">
      <w:pPr>
        <w:spacing w:before="240" w:after="60" w:line="276" w:lineRule="auto"/>
        <w:jc w:val="both"/>
        <w:rPr>
          <w:rFonts w:ascii="Times New Roman" w:eastAsia="Calibri" w:hAnsi="Times New Roman" w:cs="Times New Roman"/>
          <w:b/>
          <w:sz w:val="24"/>
          <w:szCs w:val="24"/>
          <w:lang w:val="it-IT"/>
        </w:rPr>
      </w:pPr>
      <w:r w:rsidRPr="0036740A">
        <w:rPr>
          <w:rFonts w:ascii="Times New Roman" w:eastAsia="Calibri" w:hAnsi="Times New Roman" w:cs="Times New Roman"/>
          <w:b/>
          <w:sz w:val="24"/>
          <w:szCs w:val="24"/>
          <w:lang w:val="it-IT"/>
        </w:rPr>
        <w:t>Monitorimin sasior</w:t>
      </w:r>
    </w:p>
    <w:p w:rsidR="0036740A" w:rsidRPr="0036740A" w:rsidRDefault="0036740A" w:rsidP="0036740A">
      <w:pPr>
        <w:spacing w:before="120" w:after="120" w:line="240" w:lineRule="auto"/>
        <w:jc w:val="both"/>
        <w:rPr>
          <w:rFonts w:ascii="Times New Roman" w:eastAsia="Calibri" w:hAnsi="Times New Roman" w:cs="Times New Roman"/>
          <w:sz w:val="24"/>
          <w:szCs w:val="24"/>
          <w:lang w:val="it-IT"/>
        </w:rPr>
      </w:pPr>
      <w:r w:rsidRPr="0036740A">
        <w:rPr>
          <w:rFonts w:ascii="Times New Roman" w:eastAsia="Calibri" w:hAnsi="Times New Roman" w:cs="Times New Roman"/>
          <w:sz w:val="24"/>
          <w:szCs w:val="24"/>
          <w:lang w:val="it-IT"/>
        </w:rPr>
        <w:t>Në këtë akuifer, shfrytëzohen rezerva të konsiderueshme të ujërave nëntokësore për furnizimin me ujë të pijshëm të zonave të banuara si qytete ashtu edhe në fshatra të ndryshëm.</w:t>
      </w:r>
    </w:p>
    <w:p w:rsidR="0036740A" w:rsidRPr="0036740A" w:rsidRDefault="0036740A" w:rsidP="0036740A">
      <w:pPr>
        <w:spacing w:before="240" w:after="60" w:line="276" w:lineRule="auto"/>
        <w:jc w:val="both"/>
        <w:rPr>
          <w:rFonts w:ascii="Times New Roman" w:eastAsia="Calibri" w:hAnsi="Times New Roman" w:cs="Times New Roman"/>
          <w:b/>
          <w:sz w:val="24"/>
          <w:szCs w:val="24"/>
          <w:lang w:val="it-IT"/>
        </w:rPr>
      </w:pPr>
      <w:r w:rsidRPr="0036740A">
        <w:rPr>
          <w:rFonts w:ascii="Times New Roman" w:eastAsia="Calibri" w:hAnsi="Times New Roman" w:cs="Times New Roman"/>
          <w:b/>
          <w:sz w:val="24"/>
          <w:szCs w:val="24"/>
          <w:lang w:val="it-IT"/>
        </w:rPr>
        <w:t>Rezervat që shfrytëzohen nga çdo akuifer ujëmbajtës:</w:t>
      </w:r>
    </w:p>
    <w:p w:rsidR="0036740A" w:rsidRPr="0036740A" w:rsidRDefault="0036740A" w:rsidP="0036740A">
      <w:pPr>
        <w:spacing w:before="120" w:after="60" w:line="276" w:lineRule="auto"/>
        <w:jc w:val="both"/>
        <w:rPr>
          <w:rFonts w:ascii="Times New Roman" w:eastAsia="Calibri" w:hAnsi="Times New Roman" w:cs="Times New Roman"/>
          <w:b/>
          <w:i/>
          <w:sz w:val="24"/>
          <w:szCs w:val="24"/>
        </w:rPr>
      </w:pPr>
      <w:r w:rsidRPr="0036740A">
        <w:rPr>
          <w:rFonts w:ascii="Times New Roman" w:eastAsia="Calibri" w:hAnsi="Times New Roman" w:cs="Times New Roman"/>
          <w:b/>
          <w:i/>
          <w:sz w:val="24"/>
          <w:szCs w:val="24"/>
        </w:rPr>
        <w:t>Në fushën e lumit Vjosa kemi këtë shfrytëzim sipas stacioneve:</w:t>
      </w:r>
    </w:p>
    <w:p w:rsidR="0036740A" w:rsidRPr="0036740A" w:rsidRDefault="0036740A" w:rsidP="00807975">
      <w:pPr>
        <w:numPr>
          <w:ilvl w:val="0"/>
          <w:numId w:val="67"/>
        </w:numPr>
        <w:spacing w:after="0" w:line="276" w:lineRule="auto"/>
        <w:ind w:left="284" w:hanging="284"/>
        <w:jc w:val="both"/>
        <w:rPr>
          <w:rFonts w:ascii="Times New Roman" w:eastAsia="Calibri" w:hAnsi="Times New Roman" w:cs="Times New Roman"/>
          <w:sz w:val="24"/>
          <w:szCs w:val="24"/>
          <w:lang w:val="it-IT"/>
        </w:rPr>
      </w:pPr>
      <w:r w:rsidRPr="0036740A">
        <w:rPr>
          <w:rFonts w:ascii="Times New Roman" w:eastAsia="Calibri" w:hAnsi="Times New Roman" w:cs="Times New Roman"/>
          <w:sz w:val="24"/>
          <w:szCs w:val="24"/>
          <w:lang w:val="it-IT"/>
        </w:rPr>
        <w:t xml:space="preserve">Stacioni i pompimit Kafaraj </w:t>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t>Q = 600 - 900 l/s</w:t>
      </w:r>
    </w:p>
    <w:p w:rsidR="0036740A" w:rsidRPr="0036740A" w:rsidRDefault="0036740A" w:rsidP="00807975">
      <w:pPr>
        <w:numPr>
          <w:ilvl w:val="0"/>
          <w:numId w:val="67"/>
        </w:numPr>
        <w:spacing w:after="0" w:line="276" w:lineRule="auto"/>
        <w:ind w:left="284" w:hanging="284"/>
        <w:jc w:val="both"/>
        <w:rPr>
          <w:rFonts w:ascii="Times New Roman" w:eastAsia="Calibri" w:hAnsi="Times New Roman" w:cs="Times New Roman"/>
          <w:sz w:val="24"/>
          <w:szCs w:val="24"/>
          <w:lang w:val="it-IT"/>
        </w:rPr>
      </w:pPr>
      <w:r w:rsidRPr="0036740A">
        <w:rPr>
          <w:rFonts w:ascii="Times New Roman" w:eastAsia="Calibri" w:hAnsi="Times New Roman" w:cs="Times New Roman"/>
          <w:sz w:val="24"/>
          <w:szCs w:val="24"/>
          <w:lang w:val="it-IT"/>
        </w:rPr>
        <w:t xml:space="preserve">Stacioni i pompimit Novoselë </w:t>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t>Q = 300 l/s</w:t>
      </w:r>
    </w:p>
    <w:p w:rsidR="0036740A" w:rsidRPr="0036740A" w:rsidRDefault="0036740A" w:rsidP="00807975">
      <w:pPr>
        <w:numPr>
          <w:ilvl w:val="0"/>
          <w:numId w:val="67"/>
        </w:numPr>
        <w:spacing w:after="0" w:line="276" w:lineRule="auto"/>
        <w:ind w:left="284" w:hanging="284"/>
        <w:jc w:val="both"/>
        <w:rPr>
          <w:rFonts w:ascii="Times New Roman" w:eastAsia="Calibri" w:hAnsi="Times New Roman" w:cs="Times New Roman"/>
          <w:sz w:val="24"/>
          <w:szCs w:val="24"/>
          <w:lang w:val="it-IT"/>
        </w:rPr>
      </w:pPr>
      <w:r w:rsidRPr="0036740A">
        <w:rPr>
          <w:rFonts w:ascii="Times New Roman" w:eastAsia="Calibri" w:hAnsi="Times New Roman" w:cs="Times New Roman"/>
          <w:sz w:val="24"/>
          <w:szCs w:val="24"/>
          <w:lang w:val="it-IT"/>
        </w:rPr>
        <w:t xml:space="preserve">Nga stacionet lokale të pompimit shfrytëzohen </w:t>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t>Q = 60 l/s</w:t>
      </w:r>
    </w:p>
    <w:p w:rsidR="0036740A" w:rsidRPr="0036740A" w:rsidRDefault="0036740A" w:rsidP="00807975">
      <w:pPr>
        <w:numPr>
          <w:ilvl w:val="0"/>
          <w:numId w:val="67"/>
        </w:numPr>
        <w:spacing w:after="0" w:line="276" w:lineRule="auto"/>
        <w:ind w:left="284" w:hanging="284"/>
        <w:jc w:val="both"/>
        <w:rPr>
          <w:rFonts w:ascii="Times New Roman" w:eastAsia="Calibri" w:hAnsi="Times New Roman" w:cs="Times New Roman"/>
          <w:sz w:val="24"/>
          <w:szCs w:val="24"/>
          <w:lang w:val="it-IT"/>
        </w:rPr>
      </w:pPr>
      <w:r w:rsidRPr="0036740A">
        <w:rPr>
          <w:rFonts w:ascii="Times New Roman" w:eastAsia="Calibri" w:hAnsi="Times New Roman" w:cs="Times New Roman"/>
          <w:sz w:val="24"/>
          <w:szCs w:val="24"/>
          <w:lang w:val="it-IT"/>
        </w:rPr>
        <w:t xml:space="preserve">Shpime të tjera </w:t>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t>Q = 100 l/s</w:t>
      </w:r>
    </w:p>
    <w:p w:rsidR="0036740A" w:rsidRPr="0036740A" w:rsidRDefault="0036740A" w:rsidP="00807975">
      <w:pPr>
        <w:numPr>
          <w:ilvl w:val="0"/>
          <w:numId w:val="67"/>
        </w:numPr>
        <w:spacing w:after="0" w:line="276" w:lineRule="auto"/>
        <w:ind w:left="284" w:hanging="284"/>
        <w:jc w:val="both"/>
        <w:rPr>
          <w:rFonts w:ascii="Times New Roman" w:eastAsia="Calibri" w:hAnsi="Times New Roman" w:cs="Times New Roman"/>
          <w:sz w:val="24"/>
          <w:szCs w:val="24"/>
          <w:lang w:val="it-IT"/>
        </w:rPr>
      </w:pPr>
      <w:r w:rsidRPr="0036740A">
        <w:rPr>
          <w:rFonts w:ascii="Times New Roman" w:eastAsia="Calibri" w:hAnsi="Times New Roman" w:cs="Times New Roman"/>
          <w:sz w:val="24"/>
          <w:szCs w:val="24"/>
          <w:lang w:val="it-IT"/>
        </w:rPr>
        <w:t xml:space="preserve">Shpime private rreth </w:t>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t>Q = 200 l/sek</w:t>
      </w:r>
    </w:p>
    <w:p w:rsidR="0036740A" w:rsidRPr="0036740A" w:rsidRDefault="0036740A" w:rsidP="00807975">
      <w:pPr>
        <w:numPr>
          <w:ilvl w:val="0"/>
          <w:numId w:val="67"/>
        </w:numPr>
        <w:spacing w:after="0" w:line="276" w:lineRule="auto"/>
        <w:ind w:left="284" w:hanging="284"/>
        <w:jc w:val="both"/>
        <w:rPr>
          <w:rFonts w:ascii="Times New Roman" w:eastAsia="Calibri" w:hAnsi="Times New Roman" w:cs="Times New Roman"/>
          <w:sz w:val="24"/>
          <w:szCs w:val="24"/>
          <w:lang w:val="it-IT"/>
        </w:rPr>
      </w:pPr>
      <w:r w:rsidRPr="0036740A">
        <w:rPr>
          <w:rFonts w:ascii="Times New Roman" w:eastAsia="Calibri" w:hAnsi="Times New Roman" w:cs="Times New Roman"/>
          <w:sz w:val="24"/>
          <w:szCs w:val="24"/>
          <w:lang w:val="it-IT"/>
        </w:rPr>
        <w:t xml:space="preserve">Rezerva  që shfrytëzohen në fushën e Vjosës </w:t>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t>Q =1480 l/sek</w:t>
      </w:r>
    </w:p>
    <w:p w:rsidR="0036740A" w:rsidRPr="0036740A" w:rsidRDefault="0036740A" w:rsidP="00807975">
      <w:pPr>
        <w:numPr>
          <w:ilvl w:val="0"/>
          <w:numId w:val="67"/>
        </w:numPr>
        <w:spacing w:after="0" w:line="276" w:lineRule="auto"/>
        <w:ind w:left="284" w:hanging="284"/>
        <w:jc w:val="both"/>
        <w:rPr>
          <w:rFonts w:ascii="Times New Roman" w:eastAsia="Calibri" w:hAnsi="Times New Roman" w:cs="Times New Roman"/>
          <w:sz w:val="24"/>
          <w:szCs w:val="24"/>
          <w:lang w:val="it-IT"/>
        </w:rPr>
      </w:pPr>
      <w:r w:rsidRPr="0036740A">
        <w:rPr>
          <w:rFonts w:ascii="Times New Roman" w:eastAsia="Calibri" w:hAnsi="Times New Roman" w:cs="Times New Roman"/>
          <w:sz w:val="24"/>
          <w:szCs w:val="24"/>
          <w:lang w:val="it-IT"/>
        </w:rPr>
        <w:t xml:space="preserve">Koefiçienti i shfrytëzimit në këtë akuifer varion </w:t>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t>K = 0.65 - 0.7</w:t>
      </w:r>
    </w:p>
    <w:p w:rsidR="0036740A" w:rsidRDefault="0036740A" w:rsidP="0036740A">
      <w:pPr>
        <w:spacing w:before="120" w:after="60" w:line="276" w:lineRule="auto"/>
        <w:jc w:val="both"/>
        <w:rPr>
          <w:rFonts w:ascii="Times New Roman" w:eastAsia="Calibri" w:hAnsi="Times New Roman" w:cs="Times New Roman"/>
          <w:b/>
          <w:i/>
          <w:sz w:val="24"/>
          <w:szCs w:val="24"/>
        </w:rPr>
      </w:pPr>
    </w:p>
    <w:p w:rsidR="0036740A" w:rsidRPr="0036740A" w:rsidRDefault="0036740A" w:rsidP="0036740A">
      <w:pPr>
        <w:spacing w:before="120" w:after="60" w:line="276" w:lineRule="auto"/>
        <w:jc w:val="both"/>
        <w:rPr>
          <w:rFonts w:ascii="Times New Roman" w:eastAsia="Calibri" w:hAnsi="Times New Roman" w:cs="Times New Roman"/>
          <w:sz w:val="24"/>
          <w:szCs w:val="24"/>
        </w:rPr>
      </w:pPr>
      <w:r w:rsidRPr="0036740A">
        <w:rPr>
          <w:rFonts w:ascii="Times New Roman" w:eastAsia="Calibri" w:hAnsi="Times New Roman" w:cs="Times New Roman"/>
          <w:b/>
          <w:i/>
          <w:sz w:val="24"/>
          <w:szCs w:val="24"/>
        </w:rPr>
        <w:t>Në fushën e lumit Drinos kemi këtë shfrytëzim sipas stacioneve:</w:t>
      </w:r>
    </w:p>
    <w:p w:rsidR="0036740A" w:rsidRPr="0036740A" w:rsidRDefault="0036740A" w:rsidP="00807975">
      <w:pPr>
        <w:numPr>
          <w:ilvl w:val="0"/>
          <w:numId w:val="67"/>
        </w:numPr>
        <w:spacing w:after="0" w:line="276" w:lineRule="auto"/>
        <w:ind w:left="284" w:hanging="284"/>
        <w:jc w:val="both"/>
        <w:rPr>
          <w:rFonts w:ascii="Times New Roman" w:eastAsia="Calibri" w:hAnsi="Times New Roman" w:cs="Times New Roman"/>
          <w:sz w:val="24"/>
          <w:szCs w:val="24"/>
          <w:lang w:val="it-IT"/>
        </w:rPr>
      </w:pPr>
      <w:r w:rsidRPr="0036740A">
        <w:rPr>
          <w:rFonts w:ascii="Times New Roman" w:eastAsia="Calibri" w:hAnsi="Times New Roman" w:cs="Times New Roman"/>
          <w:sz w:val="24"/>
          <w:szCs w:val="24"/>
          <w:lang w:val="it-IT"/>
        </w:rPr>
        <w:t xml:space="preserve">Stacioni i pompimit Buduk </w:t>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t>Q = 100 l/sek</w:t>
      </w:r>
    </w:p>
    <w:p w:rsidR="0036740A" w:rsidRPr="0036740A" w:rsidRDefault="0036740A" w:rsidP="00807975">
      <w:pPr>
        <w:numPr>
          <w:ilvl w:val="0"/>
          <w:numId w:val="67"/>
        </w:numPr>
        <w:spacing w:after="0" w:line="276" w:lineRule="auto"/>
        <w:ind w:left="284" w:hanging="284"/>
        <w:jc w:val="both"/>
        <w:rPr>
          <w:rFonts w:ascii="Times New Roman" w:eastAsia="Calibri" w:hAnsi="Times New Roman" w:cs="Times New Roman"/>
          <w:sz w:val="24"/>
          <w:szCs w:val="24"/>
          <w:lang w:val="it-IT"/>
        </w:rPr>
      </w:pPr>
      <w:r w:rsidRPr="0036740A">
        <w:rPr>
          <w:rFonts w:ascii="Times New Roman" w:eastAsia="Calibri" w:hAnsi="Times New Roman" w:cs="Times New Roman"/>
          <w:sz w:val="24"/>
          <w:szCs w:val="24"/>
          <w:lang w:val="it-IT"/>
        </w:rPr>
        <w:t xml:space="preserve">Stacioni i pompimit Lazarat e Derviçan </w:t>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t>Q = 30 l/sek</w:t>
      </w:r>
    </w:p>
    <w:p w:rsidR="0036740A" w:rsidRPr="0036740A" w:rsidRDefault="0036740A" w:rsidP="00807975">
      <w:pPr>
        <w:numPr>
          <w:ilvl w:val="0"/>
          <w:numId w:val="67"/>
        </w:numPr>
        <w:spacing w:after="0" w:line="276" w:lineRule="auto"/>
        <w:ind w:left="284" w:hanging="284"/>
        <w:jc w:val="both"/>
        <w:rPr>
          <w:rFonts w:ascii="Times New Roman" w:eastAsia="Calibri" w:hAnsi="Times New Roman" w:cs="Times New Roman"/>
          <w:sz w:val="24"/>
          <w:szCs w:val="24"/>
          <w:lang w:val="it-IT"/>
        </w:rPr>
      </w:pPr>
      <w:r w:rsidRPr="0036740A">
        <w:rPr>
          <w:rFonts w:ascii="Times New Roman" w:eastAsia="Calibri" w:hAnsi="Times New Roman" w:cs="Times New Roman"/>
          <w:sz w:val="24"/>
          <w:szCs w:val="24"/>
          <w:lang w:val="it-IT"/>
        </w:rPr>
        <w:t xml:space="preserve">Shpime të tjera </w:t>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t>Q =10-20l/sek.</w:t>
      </w:r>
    </w:p>
    <w:p w:rsidR="0036740A" w:rsidRPr="0036740A" w:rsidRDefault="0036740A" w:rsidP="00807975">
      <w:pPr>
        <w:numPr>
          <w:ilvl w:val="0"/>
          <w:numId w:val="67"/>
        </w:numPr>
        <w:spacing w:after="0" w:line="276" w:lineRule="auto"/>
        <w:ind w:left="284" w:hanging="284"/>
        <w:jc w:val="both"/>
        <w:rPr>
          <w:rFonts w:ascii="Times New Roman" w:eastAsia="Calibri" w:hAnsi="Times New Roman" w:cs="Times New Roman"/>
          <w:sz w:val="24"/>
          <w:szCs w:val="24"/>
        </w:rPr>
      </w:pPr>
      <w:r w:rsidRPr="0036740A">
        <w:rPr>
          <w:rFonts w:ascii="Times New Roman" w:eastAsia="Calibri" w:hAnsi="Times New Roman" w:cs="Times New Roman"/>
          <w:sz w:val="24"/>
          <w:szCs w:val="24"/>
          <w:lang w:val="it-IT"/>
        </w:rPr>
        <w:t>Rezerva  që shfrytëzohen në lugin</w:t>
      </w:r>
      <w:r w:rsidRPr="0036740A">
        <w:rPr>
          <w:rFonts w:ascii="Times New Roman" w:eastAsia="Calibri" w:hAnsi="Times New Roman" w:cs="Times New Roman"/>
          <w:bCs/>
          <w:iCs/>
          <w:color w:val="000000"/>
          <w:sz w:val="24"/>
          <w:szCs w:val="24"/>
          <w:lang w:val="it-IT"/>
        </w:rPr>
        <w:t>ë</w:t>
      </w:r>
      <w:r w:rsidRPr="0036740A">
        <w:rPr>
          <w:rFonts w:ascii="Times New Roman" w:eastAsia="Calibri" w:hAnsi="Times New Roman" w:cs="Times New Roman"/>
          <w:sz w:val="24"/>
          <w:szCs w:val="24"/>
          <w:lang w:val="it-IT"/>
        </w:rPr>
        <w:t xml:space="preserve">n e Drinosit </w:t>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lang w:val="it-IT"/>
        </w:rPr>
        <w:tab/>
      </w:r>
      <w:r w:rsidRPr="0036740A">
        <w:rPr>
          <w:rFonts w:ascii="Times New Roman" w:eastAsia="Calibri" w:hAnsi="Times New Roman" w:cs="Times New Roman"/>
          <w:sz w:val="24"/>
          <w:szCs w:val="24"/>
        </w:rPr>
        <w:t>Q = 145  l/s</w:t>
      </w:r>
    </w:p>
    <w:p w:rsidR="0036740A" w:rsidRPr="0036740A" w:rsidRDefault="0036740A" w:rsidP="00807975">
      <w:pPr>
        <w:numPr>
          <w:ilvl w:val="0"/>
          <w:numId w:val="67"/>
        </w:numPr>
        <w:spacing w:after="0" w:line="276" w:lineRule="auto"/>
        <w:ind w:left="284" w:hanging="284"/>
        <w:jc w:val="both"/>
        <w:rPr>
          <w:rFonts w:ascii="Times New Roman" w:eastAsia="Calibri" w:hAnsi="Times New Roman" w:cs="Times New Roman"/>
          <w:sz w:val="24"/>
          <w:szCs w:val="24"/>
        </w:rPr>
      </w:pPr>
      <w:r w:rsidRPr="0036740A">
        <w:rPr>
          <w:rFonts w:ascii="Times New Roman" w:eastAsia="Calibri" w:hAnsi="Times New Roman" w:cs="Times New Roman"/>
          <w:sz w:val="24"/>
          <w:szCs w:val="24"/>
        </w:rPr>
        <w:t xml:space="preserve">Koefiçienti i shfrytëzimit të pellgut varion </w:t>
      </w:r>
      <w:r w:rsidRPr="0036740A">
        <w:rPr>
          <w:rFonts w:ascii="Times New Roman" w:eastAsia="Calibri" w:hAnsi="Times New Roman" w:cs="Times New Roman"/>
          <w:sz w:val="24"/>
          <w:szCs w:val="24"/>
        </w:rPr>
        <w:tab/>
      </w:r>
      <w:r w:rsidRPr="0036740A">
        <w:rPr>
          <w:rFonts w:ascii="Times New Roman" w:eastAsia="Calibri" w:hAnsi="Times New Roman" w:cs="Times New Roman"/>
          <w:sz w:val="24"/>
          <w:szCs w:val="24"/>
        </w:rPr>
        <w:tab/>
      </w:r>
      <w:r w:rsidRPr="0036740A">
        <w:rPr>
          <w:rFonts w:ascii="Times New Roman" w:eastAsia="Calibri" w:hAnsi="Times New Roman" w:cs="Times New Roman"/>
          <w:sz w:val="24"/>
          <w:szCs w:val="24"/>
        </w:rPr>
        <w:tab/>
        <w:t>K = 0.3 – 0.35.</w:t>
      </w:r>
    </w:p>
    <w:p w:rsidR="0036740A" w:rsidRPr="0036740A" w:rsidRDefault="0036740A" w:rsidP="0036740A">
      <w:pPr>
        <w:spacing w:after="0" w:line="276" w:lineRule="auto"/>
        <w:jc w:val="both"/>
        <w:rPr>
          <w:rFonts w:ascii="Times New Roman" w:eastAsia="Calibri" w:hAnsi="Times New Roman" w:cs="Times New Roman"/>
          <w:sz w:val="24"/>
          <w:szCs w:val="24"/>
        </w:rPr>
      </w:pPr>
    </w:p>
    <w:p w:rsidR="0036740A" w:rsidRPr="0036740A" w:rsidRDefault="0036740A" w:rsidP="0036740A">
      <w:pPr>
        <w:spacing w:after="0" w:line="276" w:lineRule="auto"/>
        <w:jc w:val="both"/>
        <w:rPr>
          <w:rFonts w:ascii="Times New Roman" w:hAnsi="Times New Roman" w:cs="Times New Roman"/>
          <w:sz w:val="24"/>
          <w:szCs w:val="24"/>
          <w:lang w:val="it-IT"/>
        </w:rPr>
      </w:pPr>
      <w:r w:rsidRPr="0036740A">
        <w:rPr>
          <w:rFonts w:ascii="Times New Roman" w:hAnsi="Times New Roman" w:cs="Times New Roman"/>
          <w:sz w:val="24"/>
          <w:szCs w:val="24"/>
          <w:lang w:val="it-IT"/>
        </w:rPr>
        <w:t>Vlerësimet për monitorimet sasiore tregojnë se akuifer</w:t>
      </w:r>
      <w:r w:rsidRPr="0036740A">
        <w:rPr>
          <w:rFonts w:ascii="Times New Roman" w:hAnsi="Times New Roman" w:cs="Times New Roman"/>
          <w:sz w:val="24"/>
        </w:rPr>
        <w:t>ë</w:t>
      </w:r>
      <w:r w:rsidRPr="0036740A">
        <w:rPr>
          <w:rFonts w:ascii="Times New Roman" w:hAnsi="Times New Roman" w:cs="Times New Roman"/>
          <w:sz w:val="24"/>
          <w:szCs w:val="24"/>
          <w:lang w:val="it-IT"/>
        </w:rPr>
        <w:t xml:space="preserve">t nuk janë nën presionin e mbishfrytëzimit të rezervave ujore të tyre, koefiçentët e shfrytëzimit në akuiferin e Vjosës variojnë nga 0.65 - 0.7 dhe në akuiferin e Drinosit nga 0.3 - 0.35. </w:t>
      </w:r>
    </w:p>
    <w:p w:rsidR="0036740A" w:rsidRPr="0036740A" w:rsidRDefault="0036740A" w:rsidP="0036740A">
      <w:pPr>
        <w:spacing w:after="0" w:line="276" w:lineRule="auto"/>
        <w:jc w:val="both"/>
        <w:rPr>
          <w:rFonts w:ascii="Times New Roman" w:hAnsi="Times New Roman" w:cs="Times New Roman"/>
          <w:sz w:val="24"/>
          <w:szCs w:val="24"/>
          <w:lang w:val="it-IT"/>
        </w:rPr>
      </w:pPr>
    </w:p>
    <w:p w:rsidR="0036740A" w:rsidRPr="00D87C5F" w:rsidRDefault="0036740A" w:rsidP="00807975">
      <w:pPr>
        <w:pStyle w:val="ListParagraph"/>
        <w:numPr>
          <w:ilvl w:val="0"/>
          <w:numId w:val="81"/>
        </w:numPr>
        <w:spacing w:before="120" w:after="60" w:line="276" w:lineRule="auto"/>
        <w:jc w:val="both"/>
        <w:rPr>
          <w:rFonts w:ascii="Times New Roman" w:hAnsi="Times New Roman" w:cs="Times New Roman"/>
          <w:b/>
          <w:sz w:val="24"/>
          <w:szCs w:val="24"/>
          <w:lang w:val="it-IT"/>
        </w:rPr>
      </w:pPr>
      <w:r w:rsidRPr="00D87C5F">
        <w:rPr>
          <w:rFonts w:ascii="Times New Roman" w:hAnsi="Times New Roman" w:cs="Times New Roman"/>
          <w:b/>
          <w:sz w:val="24"/>
          <w:szCs w:val="24"/>
          <w:lang w:val="it-IT"/>
        </w:rPr>
        <w:t xml:space="preserve">Monitorimi hidrodinamik: </w:t>
      </w:r>
    </w:p>
    <w:p w:rsidR="00C55FD0" w:rsidRPr="00B45173" w:rsidRDefault="0036740A" w:rsidP="00B45173">
      <w:pPr>
        <w:spacing w:after="0" w:line="276" w:lineRule="auto"/>
        <w:jc w:val="both"/>
        <w:rPr>
          <w:rFonts w:ascii="Times New Roman" w:hAnsi="Times New Roman" w:cs="Times New Roman"/>
          <w:sz w:val="24"/>
          <w:lang w:val="it-IT"/>
        </w:rPr>
      </w:pPr>
      <w:r w:rsidRPr="0036740A">
        <w:rPr>
          <w:rFonts w:ascii="Times New Roman" w:hAnsi="Times New Roman" w:cs="Times New Roman"/>
          <w:sz w:val="24"/>
          <w:lang w:val="it-IT"/>
        </w:rPr>
        <w:t xml:space="preserve">Monitorimi hidrodinamik i ujërave nëntokësorë </w:t>
      </w:r>
      <w:r w:rsidRPr="0036740A">
        <w:rPr>
          <w:rFonts w:ascii="Times New Roman" w:hAnsi="Times New Roman" w:cs="Times New Roman"/>
          <w:sz w:val="24"/>
          <w:lang w:val="sq-AL"/>
        </w:rPr>
        <w:t>të akuiferëve poroz Vjosa dhe Drinos  gjatë viti 2025 është kryer në shpimet Lazarat, Dropull, Kakavi, Novoselë,Kafaraj 3/96 dhe Kafaraj Pusi i Ri.</w:t>
      </w:r>
      <w:r>
        <w:rPr>
          <w:rFonts w:ascii="Times New Roman" w:hAnsi="Times New Roman" w:cs="Times New Roman"/>
          <w:sz w:val="24"/>
          <w:lang w:val="it-IT"/>
        </w:rPr>
        <w:t xml:space="preserve"> </w:t>
      </w:r>
      <w:r w:rsidRPr="0036740A">
        <w:rPr>
          <w:rFonts w:ascii="Times New Roman" w:hAnsi="Times New Roman" w:cs="Times New Roman"/>
          <w:bCs/>
          <w:iCs/>
          <w:sz w:val="24"/>
          <w:lang w:val="sq-AL"/>
        </w:rPr>
        <w:t xml:space="preserve">Nga kryerja e këtij </w:t>
      </w:r>
      <w:r w:rsidRPr="0036740A">
        <w:rPr>
          <w:rFonts w:ascii="Times New Roman" w:hAnsi="Times New Roman" w:cs="Times New Roman"/>
          <w:sz w:val="24"/>
          <w:lang w:val="sq-AL"/>
        </w:rPr>
        <w:t xml:space="preserve">monitorimi në këta akuifer ujëmbajtës për vitin 2025, rezulton se amplituda e luhatjes së UN varion nga A = 0.35 – 5.5 m. </w:t>
      </w:r>
    </w:p>
    <w:p w:rsidR="0036740A" w:rsidRPr="0036740A" w:rsidRDefault="0036740A" w:rsidP="0036740A">
      <w:pPr>
        <w:spacing w:before="120" w:after="60" w:line="276" w:lineRule="auto"/>
        <w:jc w:val="both"/>
        <w:rPr>
          <w:rFonts w:ascii="Times New Roman" w:eastAsia="Calibri" w:hAnsi="Times New Roman" w:cs="Times New Roman"/>
          <w:b/>
          <w:i/>
          <w:sz w:val="24"/>
          <w:szCs w:val="24"/>
          <w:lang w:val="it-IT"/>
        </w:rPr>
      </w:pPr>
      <w:r w:rsidRPr="0036740A">
        <w:rPr>
          <w:rFonts w:ascii="Times New Roman" w:eastAsia="Calibri" w:hAnsi="Times New Roman" w:cs="Times New Roman"/>
          <w:b/>
          <w:i/>
          <w:sz w:val="24"/>
          <w:szCs w:val="24"/>
          <w:lang w:val="it-IT"/>
        </w:rPr>
        <w:lastRenderedPageBreak/>
        <w:t>Monitorimi hidrokimik dhe vetitë fiziko-kimike të ujërave nëntokësore:</w:t>
      </w:r>
    </w:p>
    <w:p w:rsidR="0036740A" w:rsidRPr="0036740A" w:rsidRDefault="0036740A" w:rsidP="0036740A">
      <w:pPr>
        <w:spacing w:after="200" w:line="276" w:lineRule="auto"/>
        <w:jc w:val="both"/>
        <w:rPr>
          <w:rFonts w:ascii="Times New Roman" w:hAnsi="Times New Roman" w:cs="Times New Roman"/>
          <w:sz w:val="24"/>
        </w:rPr>
      </w:pPr>
      <w:r w:rsidRPr="0036740A">
        <w:rPr>
          <w:rFonts w:ascii="Times New Roman" w:hAnsi="Times New Roman" w:cs="Times New Roman"/>
          <w:sz w:val="24"/>
        </w:rPr>
        <w:t>Monitorimi i cilësisë së UN në akuiferët poroz (Kuaternare) të Vjosës dhe Drinosit është kryer në është kryer në stacionet si: Buduk, Kthesa e Lazaratit, stacioni Dropull, Kafaraj 4E, Kafaraj 3R, stacioni Varri i Bobit, Novoselë, Pish-Poro.</w:t>
      </w:r>
    </w:p>
    <w:p w:rsidR="0036740A" w:rsidRPr="0036740A" w:rsidRDefault="0036740A" w:rsidP="0036740A">
      <w:pPr>
        <w:spacing w:after="200" w:line="276" w:lineRule="auto"/>
        <w:jc w:val="both"/>
        <w:rPr>
          <w:rFonts w:ascii="Times New Roman" w:hAnsi="Times New Roman" w:cs="Times New Roman"/>
          <w:sz w:val="24"/>
        </w:rPr>
      </w:pPr>
      <w:r w:rsidRPr="0036740A">
        <w:rPr>
          <w:rFonts w:ascii="Times New Roman" w:hAnsi="Times New Roman" w:cs="Times New Roman"/>
          <w:sz w:val="24"/>
          <w:lang w:val="sq-AL"/>
        </w:rPr>
        <w:t xml:space="preserve">Për monitorimin e cilësisë së UN të këtij akuiferi u kryen 15 analiza kimike të plota. UN të këtij akuiferi kanë veti fiziko – kimike të mira, ato janë pa erë, pa ngjyrë, pa shije, transparentë. Rezultatet e analizave </w:t>
      </w:r>
      <w:r w:rsidR="00620CA5">
        <w:rPr>
          <w:rFonts w:ascii="Times New Roman" w:hAnsi="Times New Roman" w:cs="Times New Roman"/>
          <w:sz w:val="24"/>
          <w:lang w:val="sq-AL"/>
        </w:rPr>
        <w:t>paraqiten si më</w:t>
      </w:r>
      <w:r w:rsidRPr="0036740A">
        <w:rPr>
          <w:rFonts w:ascii="Times New Roman" w:hAnsi="Times New Roman" w:cs="Times New Roman"/>
          <w:sz w:val="24"/>
          <w:lang w:val="sq-AL"/>
        </w:rPr>
        <w:t xml:space="preserve">poshtë: </w:t>
      </w:r>
    </w:p>
    <w:p w:rsidR="0036740A" w:rsidRPr="0036740A" w:rsidRDefault="0036740A" w:rsidP="0036740A">
      <w:pPr>
        <w:spacing w:after="200" w:line="276" w:lineRule="auto"/>
        <w:jc w:val="both"/>
        <w:rPr>
          <w:rFonts w:ascii="Times New Roman" w:hAnsi="Times New Roman" w:cs="Times New Roman"/>
          <w:b/>
          <w:sz w:val="24"/>
        </w:rPr>
      </w:pPr>
      <w:r w:rsidRPr="0036740A">
        <w:rPr>
          <w:rFonts w:ascii="Times New Roman" w:hAnsi="Times New Roman" w:cs="Times New Roman"/>
          <w:b/>
          <w:sz w:val="24"/>
          <w:lang w:val="sq-AL"/>
        </w:rPr>
        <w:t>pH i UN</w:t>
      </w:r>
      <w:r w:rsidRPr="0036740A">
        <w:rPr>
          <w:rFonts w:ascii="Times New Roman" w:hAnsi="Times New Roman" w:cs="Times New Roman"/>
          <w:sz w:val="24"/>
          <w:lang w:val="sq-AL"/>
        </w:rPr>
        <w:t>–</w:t>
      </w:r>
      <w:r w:rsidRPr="0036740A">
        <w:rPr>
          <w:rFonts w:ascii="Times New Roman" w:hAnsi="Times New Roman" w:cs="Times New Roman"/>
          <w:sz w:val="24"/>
        </w:rPr>
        <w:t xml:space="preserve">Gjatë fazave të monitorimit të vitit 2025, vlerat e pH-së kanë varionuar nga </w:t>
      </w:r>
      <w:r w:rsidRPr="0036740A">
        <w:rPr>
          <w:rFonts w:ascii="Times New Roman" w:hAnsi="Times New Roman" w:cs="Times New Roman"/>
          <w:bCs/>
          <w:sz w:val="24"/>
        </w:rPr>
        <w:t xml:space="preserve">6.93 deri në 7.8 dhe janë </w:t>
      </w:r>
      <w:r w:rsidRPr="0036740A">
        <w:rPr>
          <w:rFonts w:ascii="Times New Roman" w:hAnsi="Times New Roman" w:cs="Times New Roman"/>
          <w:sz w:val="24"/>
        </w:rPr>
        <w:t>janë brenda normës së lejuar për ujë të pishëm krahasuar me normat e VKM 379 (25.05.2016).</w:t>
      </w:r>
    </w:p>
    <w:p w:rsidR="0036740A" w:rsidRPr="0036740A" w:rsidRDefault="0036740A" w:rsidP="0036740A">
      <w:pPr>
        <w:spacing w:after="200" w:line="276" w:lineRule="auto"/>
        <w:jc w:val="both"/>
        <w:rPr>
          <w:rFonts w:ascii="Times New Roman" w:hAnsi="Times New Roman" w:cs="Times New Roman"/>
          <w:b/>
          <w:sz w:val="24"/>
        </w:rPr>
      </w:pPr>
      <w:r w:rsidRPr="0036740A">
        <w:rPr>
          <w:rFonts w:ascii="Times New Roman" w:hAnsi="Times New Roman" w:cs="Times New Roman"/>
          <w:b/>
          <w:sz w:val="24"/>
          <w:lang w:val="sq-AL"/>
        </w:rPr>
        <w:t>Fortësia e përgjithshme Fp</w:t>
      </w:r>
      <w:r w:rsidRPr="0036740A">
        <w:rPr>
          <w:rFonts w:ascii="Times New Roman" w:hAnsi="Times New Roman" w:cs="Times New Roman"/>
          <w:sz w:val="24"/>
          <w:lang w:val="sq-AL"/>
        </w:rPr>
        <w:t xml:space="preserve"> </w:t>
      </w:r>
      <w:r w:rsidRPr="0036740A">
        <w:rPr>
          <w:rFonts w:ascii="Times New Roman" w:hAnsi="Times New Roman" w:cs="Times New Roman"/>
          <w:sz w:val="24"/>
        </w:rPr>
        <w:t>– Në akuiferin e Vjosës, fortësia e përgjithshme e UN në fazat e monitorimit për vitin 2025, varion nga Fp = 15.1-38.5 gradë gjermane. Në shpimet në Kafaraj fortësia e ujit varion nga 25.7 – 29</w:t>
      </w:r>
      <w:r w:rsidRPr="0036740A">
        <w:rPr>
          <w:rFonts w:ascii="Times New Roman" w:hAnsi="Times New Roman" w:cs="Times New Roman"/>
          <w:sz w:val="24"/>
          <w:vertAlign w:val="superscript"/>
        </w:rPr>
        <w:t>0</w:t>
      </w:r>
      <w:r w:rsidRPr="0036740A">
        <w:rPr>
          <w:rFonts w:ascii="Times New Roman" w:hAnsi="Times New Roman" w:cs="Times New Roman"/>
          <w:sz w:val="24"/>
        </w:rPr>
        <w:t xml:space="preserve"> gjermane dhe shpimi Pish Poro fortësia e ujit varion nga 36.4- 38.5 gradë gjermane, pra fortësia paraqet me vlera më të larta se norma maksimale të lejuar nga VKM 379 (25.05.2016). Norma e ujit të pijshëm është 10 - 20 gradë gjermane dhe maksimale e lejuar 25 gradë gjermane sipas VKM 379 (25.05.2016).</w:t>
      </w:r>
    </w:p>
    <w:p w:rsidR="0036740A" w:rsidRPr="0036740A" w:rsidRDefault="0036740A" w:rsidP="0036740A">
      <w:pPr>
        <w:spacing w:after="200" w:line="276" w:lineRule="auto"/>
        <w:jc w:val="both"/>
        <w:rPr>
          <w:rFonts w:ascii="Times New Roman" w:hAnsi="Times New Roman" w:cs="Times New Roman"/>
          <w:b/>
          <w:sz w:val="24"/>
          <w:lang w:val="it-IT"/>
        </w:rPr>
      </w:pPr>
      <w:r w:rsidRPr="0036740A">
        <w:rPr>
          <w:rFonts w:ascii="Times New Roman" w:hAnsi="Times New Roman" w:cs="Times New Roman"/>
          <w:b/>
          <w:sz w:val="24"/>
          <w:lang w:val="it-IT"/>
        </w:rPr>
        <w:t xml:space="preserve">Mineralizimi i përgjithshëm Mp </w:t>
      </w:r>
      <w:r w:rsidRPr="0036740A">
        <w:rPr>
          <w:rFonts w:ascii="Times New Roman" w:hAnsi="Times New Roman" w:cs="Times New Roman"/>
          <w:sz w:val="24"/>
          <w:lang w:val="it-IT"/>
        </w:rPr>
        <w:t xml:space="preserve">- </w:t>
      </w:r>
      <w:r w:rsidRPr="0036740A">
        <w:rPr>
          <w:rFonts w:ascii="Times New Roman" w:hAnsi="Times New Roman" w:cs="Times New Roman"/>
          <w:sz w:val="24"/>
        </w:rPr>
        <w:t xml:space="preserve">Mineralizimi i përgjithshëm (Mp) i ujërave nëntokësore gjatë </w:t>
      </w:r>
      <w:r w:rsidRPr="0036740A">
        <w:rPr>
          <w:rFonts w:ascii="Times New Roman" w:hAnsi="Times New Roman" w:cs="Times New Roman"/>
          <w:bCs/>
          <w:sz w:val="24"/>
        </w:rPr>
        <w:t>vitit 2025</w:t>
      </w:r>
      <w:r w:rsidRPr="0036740A">
        <w:rPr>
          <w:rFonts w:ascii="Times New Roman" w:hAnsi="Times New Roman" w:cs="Times New Roman"/>
          <w:sz w:val="24"/>
        </w:rPr>
        <w:t xml:space="preserve"> varion nga</w:t>
      </w:r>
      <w:r w:rsidRPr="0036740A">
        <w:rPr>
          <w:rFonts w:ascii="Times New Roman" w:hAnsi="Times New Roman" w:cs="Times New Roman"/>
          <w:b/>
          <w:sz w:val="24"/>
        </w:rPr>
        <w:t xml:space="preserve">  </w:t>
      </w:r>
      <w:r w:rsidRPr="0036740A">
        <w:rPr>
          <w:rFonts w:ascii="Times New Roman" w:hAnsi="Times New Roman" w:cs="Times New Roman"/>
          <w:sz w:val="24"/>
          <w:lang w:val="it-IT"/>
        </w:rPr>
        <w:t>nga 449 deri në 1060.31 m</w:t>
      </w:r>
      <w:r w:rsidRPr="0036740A">
        <w:rPr>
          <w:rFonts w:ascii="Times New Roman" w:hAnsi="Times New Roman" w:cs="Times New Roman"/>
          <w:spacing w:val="-2"/>
          <w:sz w:val="24"/>
          <w:lang w:val="it-IT"/>
        </w:rPr>
        <w:t>g</w:t>
      </w:r>
      <w:r w:rsidRPr="0036740A">
        <w:rPr>
          <w:rFonts w:ascii="Times New Roman" w:hAnsi="Times New Roman" w:cs="Times New Roman"/>
          <w:sz w:val="24"/>
          <w:lang w:val="it-IT"/>
        </w:rPr>
        <w:t>/</w:t>
      </w:r>
      <w:r w:rsidRPr="0036740A">
        <w:rPr>
          <w:rFonts w:ascii="Times New Roman" w:hAnsi="Times New Roman" w:cs="Times New Roman"/>
          <w:spacing w:val="1"/>
          <w:sz w:val="24"/>
          <w:lang w:val="it-IT"/>
        </w:rPr>
        <w:t>l</w:t>
      </w:r>
      <w:r w:rsidRPr="0036740A">
        <w:rPr>
          <w:rFonts w:ascii="Times New Roman" w:hAnsi="Times New Roman" w:cs="Times New Roman"/>
          <w:sz w:val="24"/>
          <w:lang w:val="it-IT"/>
        </w:rPr>
        <w:t>, duke</w:t>
      </w:r>
      <w:r w:rsidRPr="0036740A">
        <w:rPr>
          <w:rFonts w:ascii="Times New Roman" w:hAnsi="Times New Roman" w:cs="Times New Roman"/>
          <w:spacing w:val="-1"/>
          <w:sz w:val="24"/>
          <w:lang w:val="it-IT"/>
        </w:rPr>
        <w:t xml:space="preserve"> </w:t>
      </w:r>
      <w:r w:rsidRPr="0036740A">
        <w:rPr>
          <w:rFonts w:ascii="Times New Roman" w:hAnsi="Times New Roman" w:cs="Times New Roman"/>
          <w:sz w:val="24"/>
          <w:lang w:val="it-IT"/>
        </w:rPr>
        <w:t>u klas</w:t>
      </w:r>
      <w:r w:rsidRPr="0036740A">
        <w:rPr>
          <w:rFonts w:ascii="Times New Roman" w:hAnsi="Times New Roman" w:cs="Times New Roman"/>
          <w:spacing w:val="2"/>
          <w:sz w:val="24"/>
          <w:lang w:val="it-IT"/>
        </w:rPr>
        <w:t>i</w:t>
      </w:r>
      <w:r w:rsidRPr="0036740A">
        <w:rPr>
          <w:rFonts w:ascii="Times New Roman" w:hAnsi="Times New Roman" w:cs="Times New Roman"/>
          <w:sz w:val="24"/>
          <w:lang w:val="it-IT"/>
        </w:rPr>
        <w:t>fiku</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r si ujëra</w:t>
      </w:r>
      <w:r w:rsidRPr="0036740A">
        <w:rPr>
          <w:rFonts w:ascii="Times New Roman" w:hAnsi="Times New Roman" w:cs="Times New Roman"/>
          <w:spacing w:val="-1"/>
          <w:sz w:val="24"/>
          <w:lang w:val="it-IT"/>
        </w:rPr>
        <w:t xml:space="preserve"> </w:t>
      </w:r>
      <w:r w:rsidRPr="0036740A">
        <w:rPr>
          <w:rFonts w:ascii="Times New Roman" w:hAnsi="Times New Roman" w:cs="Times New Roman"/>
          <w:sz w:val="24"/>
          <w:lang w:val="it-IT"/>
        </w:rPr>
        <w:t>të</w:t>
      </w:r>
      <w:r w:rsidRPr="0036740A">
        <w:rPr>
          <w:rFonts w:ascii="Times New Roman" w:hAnsi="Times New Roman" w:cs="Times New Roman"/>
          <w:spacing w:val="2"/>
          <w:sz w:val="24"/>
          <w:lang w:val="it-IT"/>
        </w:rPr>
        <w:t xml:space="preserve"> </w:t>
      </w:r>
      <w:r w:rsidRPr="0036740A">
        <w:rPr>
          <w:rFonts w:ascii="Times New Roman" w:hAnsi="Times New Roman" w:cs="Times New Roman"/>
          <w:spacing w:val="-1"/>
          <w:sz w:val="24"/>
          <w:lang w:val="it-IT"/>
        </w:rPr>
        <w:t>freskët</w:t>
      </w:r>
      <w:r w:rsidRPr="0036740A">
        <w:rPr>
          <w:rFonts w:ascii="Times New Roman" w:hAnsi="Times New Roman" w:cs="Times New Roman"/>
          <w:sz w:val="24"/>
          <w:lang w:val="it-IT"/>
        </w:rPr>
        <w:t xml:space="preserve"> Min</w:t>
      </w:r>
      <w:r w:rsidRPr="0036740A">
        <w:rPr>
          <w:rFonts w:ascii="Times New Roman" w:hAnsi="Times New Roman" w:cs="Times New Roman"/>
          <w:spacing w:val="-1"/>
          <w:sz w:val="24"/>
          <w:lang w:val="it-IT"/>
        </w:rPr>
        <w:t>e</w:t>
      </w:r>
      <w:r w:rsidRPr="0036740A">
        <w:rPr>
          <w:rFonts w:ascii="Times New Roman" w:hAnsi="Times New Roman" w:cs="Times New Roman"/>
          <w:spacing w:val="1"/>
          <w:sz w:val="24"/>
          <w:lang w:val="it-IT"/>
        </w:rPr>
        <w:t>r</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l</w:t>
      </w:r>
      <w:r w:rsidRPr="0036740A">
        <w:rPr>
          <w:rFonts w:ascii="Times New Roman" w:hAnsi="Times New Roman" w:cs="Times New Roman"/>
          <w:spacing w:val="1"/>
          <w:sz w:val="24"/>
          <w:lang w:val="it-IT"/>
        </w:rPr>
        <w:t>iz</w:t>
      </w:r>
      <w:r w:rsidRPr="0036740A">
        <w:rPr>
          <w:rFonts w:ascii="Times New Roman" w:hAnsi="Times New Roman" w:cs="Times New Roman"/>
          <w:spacing w:val="-2"/>
          <w:sz w:val="24"/>
          <w:lang w:val="it-IT"/>
        </w:rPr>
        <w:t>i</w:t>
      </w:r>
      <w:r w:rsidRPr="0036740A">
        <w:rPr>
          <w:rFonts w:ascii="Times New Roman" w:hAnsi="Times New Roman" w:cs="Times New Roman"/>
          <w:sz w:val="24"/>
          <w:lang w:val="it-IT"/>
        </w:rPr>
        <w:t>mi</w:t>
      </w:r>
      <w:r w:rsidRPr="0036740A">
        <w:rPr>
          <w:rFonts w:ascii="Times New Roman" w:hAnsi="Times New Roman" w:cs="Times New Roman"/>
          <w:spacing w:val="1"/>
          <w:sz w:val="24"/>
          <w:lang w:val="it-IT"/>
        </w:rPr>
        <w:t xml:space="preserve"> </w:t>
      </w:r>
      <w:r w:rsidRPr="0036740A">
        <w:rPr>
          <w:rFonts w:ascii="Times New Roman" w:hAnsi="Times New Roman" w:cs="Times New Roman"/>
          <w:sz w:val="24"/>
          <w:lang w:val="it-IT"/>
        </w:rPr>
        <w:t>i</w:t>
      </w:r>
      <w:r w:rsidRPr="0036740A">
        <w:rPr>
          <w:rFonts w:ascii="Times New Roman" w:hAnsi="Times New Roman" w:cs="Times New Roman"/>
          <w:spacing w:val="1"/>
          <w:sz w:val="24"/>
          <w:lang w:val="it-IT"/>
        </w:rPr>
        <w:t xml:space="preserve"> </w:t>
      </w:r>
      <w:r w:rsidRPr="0036740A">
        <w:rPr>
          <w:rFonts w:ascii="Times New Roman" w:hAnsi="Times New Roman" w:cs="Times New Roman"/>
          <w:sz w:val="24"/>
          <w:lang w:val="it-IT"/>
        </w:rPr>
        <w:t>p</w:t>
      </w:r>
      <w:r w:rsidRPr="0036740A">
        <w:rPr>
          <w:rFonts w:ascii="Times New Roman" w:hAnsi="Times New Roman" w:cs="Times New Roman"/>
          <w:spacing w:val="-1"/>
          <w:sz w:val="24"/>
          <w:lang w:val="it-IT"/>
        </w:rPr>
        <w:t>ë</w:t>
      </w:r>
      <w:r w:rsidRPr="0036740A">
        <w:rPr>
          <w:rFonts w:ascii="Times New Roman" w:hAnsi="Times New Roman" w:cs="Times New Roman"/>
          <w:spacing w:val="1"/>
          <w:sz w:val="24"/>
          <w:lang w:val="it-IT"/>
        </w:rPr>
        <w:t>r</w:t>
      </w:r>
      <w:r w:rsidRPr="0036740A">
        <w:rPr>
          <w:rFonts w:ascii="Times New Roman" w:hAnsi="Times New Roman" w:cs="Times New Roman"/>
          <w:spacing w:val="-2"/>
          <w:sz w:val="24"/>
          <w:lang w:val="it-IT"/>
        </w:rPr>
        <w:t>g</w:t>
      </w:r>
      <w:r w:rsidRPr="0036740A">
        <w:rPr>
          <w:rFonts w:ascii="Times New Roman" w:hAnsi="Times New Roman" w:cs="Times New Roman"/>
          <w:sz w:val="24"/>
          <w:lang w:val="it-IT"/>
        </w:rPr>
        <w:t>j</w:t>
      </w:r>
      <w:r w:rsidRPr="0036740A">
        <w:rPr>
          <w:rFonts w:ascii="Times New Roman" w:hAnsi="Times New Roman" w:cs="Times New Roman"/>
          <w:spacing w:val="1"/>
          <w:sz w:val="24"/>
          <w:lang w:val="it-IT"/>
        </w:rPr>
        <w:t>i</w:t>
      </w:r>
      <w:r w:rsidRPr="0036740A">
        <w:rPr>
          <w:rFonts w:ascii="Times New Roman" w:hAnsi="Times New Roman" w:cs="Times New Roman"/>
          <w:sz w:val="24"/>
          <w:lang w:val="it-IT"/>
        </w:rPr>
        <w:t>thshëm</w:t>
      </w:r>
      <w:r w:rsidRPr="0036740A">
        <w:rPr>
          <w:rFonts w:ascii="Times New Roman" w:hAnsi="Times New Roman" w:cs="Times New Roman"/>
          <w:spacing w:val="1"/>
          <w:sz w:val="24"/>
          <w:lang w:val="it-IT"/>
        </w:rPr>
        <w:t xml:space="preserve"> </w:t>
      </w:r>
      <w:r w:rsidRPr="0036740A">
        <w:rPr>
          <w:rFonts w:ascii="Times New Roman" w:hAnsi="Times New Roman" w:cs="Times New Roman"/>
          <w:sz w:val="24"/>
          <w:lang w:val="it-IT"/>
        </w:rPr>
        <w:t>në</w:t>
      </w:r>
      <w:r w:rsidRPr="0036740A">
        <w:rPr>
          <w:rFonts w:ascii="Times New Roman" w:hAnsi="Times New Roman" w:cs="Times New Roman"/>
          <w:spacing w:val="2"/>
          <w:sz w:val="24"/>
          <w:lang w:val="it-IT"/>
        </w:rPr>
        <w:t xml:space="preserve"> të dyja </w:t>
      </w:r>
      <w:r w:rsidRPr="0036740A">
        <w:rPr>
          <w:rFonts w:ascii="Times New Roman" w:hAnsi="Times New Roman" w:cs="Times New Roman"/>
          <w:sz w:val="24"/>
          <w:lang w:val="it-IT"/>
        </w:rPr>
        <w:t>f</w:t>
      </w:r>
      <w:r w:rsidRPr="0036740A">
        <w:rPr>
          <w:rFonts w:ascii="Times New Roman" w:hAnsi="Times New Roman" w:cs="Times New Roman"/>
          <w:spacing w:val="-2"/>
          <w:sz w:val="24"/>
          <w:lang w:val="it-IT"/>
        </w:rPr>
        <w:t>a</w:t>
      </w:r>
      <w:r w:rsidRPr="0036740A">
        <w:rPr>
          <w:rFonts w:ascii="Times New Roman" w:hAnsi="Times New Roman" w:cs="Times New Roman"/>
          <w:spacing w:val="4"/>
          <w:sz w:val="24"/>
          <w:lang w:val="it-IT"/>
        </w:rPr>
        <w:t>z</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t</w:t>
      </w:r>
      <w:r w:rsidRPr="0036740A">
        <w:rPr>
          <w:rFonts w:ascii="Times New Roman" w:hAnsi="Times New Roman" w:cs="Times New Roman"/>
          <w:spacing w:val="1"/>
          <w:sz w:val="24"/>
          <w:lang w:val="it-IT"/>
        </w:rPr>
        <w:t xml:space="preserve"> </w:t>
      </w:r>
      <w:r w:rsidRPr="0036740A">
        <w:rPr>
          <w:rFonts w:ascii="Times New Roman" w:hAnsi="Times New Roman" w:cs="Times New Roman"/>
          <w:sz w:val="24"/>
          <w:lang w:val="it-IT"/>
        </w:rPr>
        <w:t>e mon</w:t>
      </w:r>
      <w:r w:rsidRPr="0036740A">
        <w:rPr>
          <w:rFonts w:ascii="Times New Roman" w:hAnsi="Times New Roman" w:cs="Times New Roman"/>
          <w:spacing w:val="1"/>
          <w:sz w:val="24"/>
          <w:lang w:val="it-IT"/>
        </w:rPr>
        <w:t>i</w:t>
      </w:r>
      <w:r w:rsidRPr="0036740A">
        <w:rPr>
          <w:rFonts w:ascii="Times New Roman" w:hAnsi="Times New Roman" w:cs="Times New Roman"/>
          <w:sz w:val="24"/>
          <w:lang w:val="it-IT"/>
        </w:rPr>
        <w:t>torimit</w:t>
      </w:r>
      <w:r w:rsidRPr="0036740A">
        <w:rPr>
          <w:rFonts w:ascii="Times New Roman" w:hAnsi="Times New Roman" w:cs="Times New Roman"/>
          <w:spacing w:val="1"/>
          <w:sz w:val="24"/>
          <w:lang w:val="it-IT"/>
        </w:rPr>
        <w:t xml:space="preserve"> gjatë vitin 2025 </w:t>
      </w:r>
      <w:r w:rsidRPr="0036740A">
        <w:rPr>
          <w:rFonts w:ascii="Times New Roman" w:hAnsi="Times New Roman" w:cs="Times New Roman"/>
          <w:sz w:val="24"/>
          <w:lang w:val="it-IT"/>
        </w:rPr>
        <w:t>është</w:t>
      </w:r>
      <w:r w:rsidRPr="0036740A">
        <w:rPr>
          <w:rFonts w:ascii="Times New Roman" w:hAnsi="Times New Roman" w:cs="Times New Roman"/>
          <w:spacing w:val="-1"/>
          <w:sz w:val="24"/>
          <w:lang w:val="it-IT"/>
        </w:rPr>
        <w:t xml:space="preserve"> </w:t>
      </w:r>
      <w:r w:rsidRPr="0036740A">
        <w:rPr>
          <w:rFonts w:ascii="Times New Roman" w:hAnsi="Times New Roman" w:cs="Times New Roman"/>
          <w:spacing w:val="2"/>
          <w:sz w:val="24"/>
          <w:lang w:val="it-IT"/>
        </w:rPr>
        <w:t>b</w:t>
      </w:r>
      <w:r w:rsidRPr="0036740A">
        <w:rPr>
          <w:rFonts w:ascii="Times New Roman" w:hAnsi="Times New Roman" w:cs="Times New Roman"/>
          <w:sz w:val="24"/>
          <w:lang w:val="it-IT"/>
        </w:rPr>
        <w:t>r</w:t>
      </w:r>
      <w:r w:rsidRPr="0036740A">
        <w:rPr>
          <w:rFonts w:ascii="Times New Roman" w:hAnsi="Times New Roman" w:cs="Times New Roman"/>
          <w:spacing w:val="-2"/>
          <w:sz w:val="24"/>
          <w:lang w:val="it-IT"/>
        </w:rPr>
        <w:t>e</w:t>
      </w:r>
      <w:r w:rsidRPr="0036740A">
        <w:rPr>
          <w:rFonts w:ascii="Times New Roman" w:hAnsi="Times New Roman" w:cs="Times New Roman"/>
          <w:sz w:val="24"/>
          <w:lang w:val="it-IT"/>
        </w:rPr>
        <w:t>nda norm</w:t>
      </w:r>
      <w:r w:rsidRPr="0036740A">
        <w:rPr>
          <w:rFonts w:ascii="Times New Roman" w:hAnsi="Times New Roman" w:cs="Times New Roman"/>
          <w:spacing w:val="-1"/>
          <w:sz w:val="24"/>
          <w:lang w:val="it-IT"/>
        </w:rPr>
        <w:t>ë</w:t>
      </w:r>
      <w:r w:rsidRPr="0036740A">
        <w:rPr>
          <w:rFonts w:ascii="Times New Roman" w:hAnsi="Times New Roman" w:cs="Times New Roman"/>
          <w:sz w:val="24"/>
          <w:lang w:val="it-IT"/>
        </w:rPr>
        <w:t>s</w:t>
      </w:r>
      <w:r w:rsidRPr="0036740A">
        <w:rPr>
          <w:rFonts w:ascii="Times New Roman" w:hAnsi="Times New Roman" w:cs="Times New Roman"/>
          <w:spacing w:val="1"/>
          <w:sz w:val="24"/>
          <w:lang w:val="it-IT"/>
        </w:rPr>
        <w:t xml:space="preserve"> </w:t>
      </w:r>
      <w:r w:rsidRPr="0036740A">
        <w:rPr>
          <w:rFonts w:ascii="Times New Roman" w:hAnsi="Times New Roman" w:cs="Times New Roman"/>
          <w:sz w:val="24"/>
          <w:lang w:val="it-IT"/>
        </w:rPr>
        <w:t>së</w:t>
      </w:r>
      <w:r w:rsidRPr="0036740A">
        <w:rPr>
          <w:rFonts w:ascii="Times New Roman" w:hAnsi="Times New Roman" w:cs="Times New Roman"/>
          <w:spacing w:val="2"/>
          <w:sz w:val="24"/>
          <w:lang w:val="it-IT"/>
        </w:rPr>
        <w:t xml:space="preserve"> </w:t>
      </w:r>
      <w:r w:rsidRPr="0036740A">
        <w:rPr>
          <w:rFonts w:ascii="Times New Roman" w:hAnsi="Times New Roman" w:cs="Times New Roman"/>
          <w:sz w:val="24"/>
          <w:lang w:val="it-IT"/>
        </w:rPr>
        <w:t>leju</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r ku përjashtim bën shpimi në Pish - Poro ku në të dyja fazat e monitorimit, vlerat e Mp janë mbi normën e lejuar për ujë të pijshëm. VKM 379 (25.05.2016) përcakton si vlerë ma</w:t>
      </w:r>
      <w:r w:rsidR="00620CA5">
        <w:rPr>
          <w:rFonts w:ascii="Times New Roman" w:hAnsi="Times New Roman" w:cs="Times New Roman"/>
          <w:sz w:val="24"/>
          <w:lang w:val="it-IT"/>
        </w:rPr>
        <w:t>ksimale</w:t>
      </w:r>
      <w:r w:rsidRPr="0036740A">
        <w:rPr>
          <w:rFonts w:ascii="Times New Roman" w:hAnsi="Times New Roman" w:cs="Times New Roman"/>
          <w:sz w:val="24"/>
          <w:lang w:val="it-IT"/>
        </w:rPr>
        <w:t xml:space="preserve"> të lejuar për Mp=1200 mg/l. </w:t>
      </w:r>
    </w:p>
    <w:p w:rsidR="00620CA5" w:rsidRDefault="0036740A" w:rsidP="0036740A">
      <w:pPr>
        <w:spacing w:after="200" w:line="276" w:lineRule="auto"/>
        <w:jc w:val="both"/>
        <w:rPr>
          <w:rFonts w:ascii="Times New Roman" w:hAnsi="Times New Roman" w:cs="Times New Roman"/>
          <w:sz w:val="24"/>
        </w:rPr>
      </w:pPr>
      <w:r w:rsidRPr="0036740A">
        <w:rPr>
          <w:rFonts w:ascii="Times New Roman" w:hAnsi="Times New Roman" w:cs="Times New Roman"/>
          <w:b/>
          <w:spacing w:val="-3"/>
          <w:sz w:val="24"/>
          <w:lang w:val="sq-AL"/>
        </w:rPr>
        <w:t>P</w:t>
      </w:r>
      <w:r w:rsidRPr="0036740A">
        <w:rPr>
          <w:rFonts w:ascii="Times New Roman" w:hAnsi="Times New Roman" w:cs="Times New Roman"/>
          <w:b/>
          <w:spacing w:val="1"/>
          <w:sz w:val="24"/>
          <w:lang w:val="sq-AL"/>
        </w:rPr>
        <w:t>ër</w:t>
      </w:r>
      <w:r w:rsidRPr="0036740A">
        <w:rPr>
          <w:rFonts w:ascii="Times New Roman" w:hAnsi="Times New Roman" w:cs="Times New Roman"/>
          <w:b/>
          <w:spacing w:val="-3"/>
          <w:sz w:val="24"/>
          <w:lang w:val="sq-AL"/>
        </w:rPr>
        <w:t>m</w:t>
      </w:r>
      <w:r w:rsidRPr="0036740A">
        <w:rPr>
          <w:rFonts w:ascii="Times New Roman" w:hAnsi="Times New Roman" w:cs="Times New Roman"/>
          <w:b/>
          <w:spacing w:val="1"/>
          <w:sz w:val="24"/>
          <w:lang w:val="sq-AL"/>
        </w:rPr>
        <w:t>b</w:t>
      </w:r>
      <w:r w:rsidRPr="0036740A">
        <w:rPr>
          <w:rFonts w:ascii="Times New Roman" w:hAnsi="Times New Roman" w:cs="Times New Roman"/>
          <w:b/>
          <w:sz w:val="24"/>
          <w:lang w:val="sq-AL"/>
        </w:rPr>
        <w:t>a</w:t>
      </w:r>
      <w:r w:rsidRPr="0036740A">
        <w:rPr>
          <w:rFonts w:ascii="Times New Roman" w:hAnsi="Times New Roman" w:cs="Times New Roman"/>
          <w:b/>
          <w:spacing w:val="-1"/>
          <w:sz w:val="24"/>
          <w:lang w:val="sq-AL"/>
        </w:rPr>
        <w:t>j</w:t>
      </w:r>
      <w:r w:rsidRPr="0036740A">
        <w:rPr>
          <w:rFonts w:ascii="Times New Roman" w:hAnsi="Times New Roman" w:cs="Times New Roman"/>
          <w:b/>
          <w:spacing w:val="1"/>
          <w:sz w:val="24"/>
          <w:lang w:val="sq-AL"/>
        </w:rPr>
        <w:t>t</w:t>
      </w:r>
      <w:r w:rsidRPr="0036740A">
        <w:rPr>
          <w:rFonts w:ascii="Times New Roman" w:hAnsi="Times New Roman" w:cs="Times New Roman"/>
          <w:b/>
          <w:sz w:val="24"/>
          <w:lang w:val="sq-AL"/>
        </w:rPr>
        <w:t>ja</w:t>
      </w:r>
      <w:r w:rsidRPr="0036740A">
        <w:rPr>
          <w:rFonts w:ascii="Times New Roman" w:hAnsi="Times New Roman" w:cs="Times New Roman"/>
          <w:b/>
          <w:spacing w:val="1"/>
          <w:sz w:val="24"/>
          <w:lang w:val="sq-AL"/>
        </w:rPr>
        <w:t xml:space="preserve"> </w:t>
      </w:r>
      <w:r w:rsidRPr="0036740A">
        <w:rPr>
          <w:rFonts w:ascii="Times New Roman" w:hAnsi="Times New Roman" w:cs="Times New Roman"/>
          <w:b/>
          <w:sz w:val="24"/>
          <w:lang w:val="sq-AL"/>
        </w:rPr>
        <w:t xml:space="preserve">e </w:t>
      </w:r>
      <w:r w:rsidRPr="0036740A">
        <w:rPr>
          <w:rFonts w:ascii="Times New Roman" w:hAnsi="Times New Roman" w:cs="Times New Roman"/>
          <w:b/>
          <w:spacing w:val="2"/>
          <w:sz w:val="24"/>
          <w:lang w:val="sq-AL"/>
        </w:rPr>
        <w:t>a</w:t>
      </w:r>
      <w:r w:rsidRPr="0036740A">
        <w:rPr>
          <w:rFonts w:ascii="Times New Roman" w:hAnsi="Times New Roman" w:cs="Times New Roman"/>
          <w:b/>
          <w:spacing w:val="-3"/>
          <w:sz w:val="24"/>
          <w:lang w:val="sq-AL"/>
        </w:rPr>
        <w:t>m</w:t>
      </w:r>
      <w:r w:rsidRPr="0036740A">
        <w:rPr>
          <w:rFonts w:ascii="Times New Roman" w:hAnsi="Times New Roman" w:cs="Times New Roman"/>
          <w:b/>
          <w:sz w:val="24"/>
          <w:lang w:val="sq-AL"/>
        </w:rPr>
        <w:t>o</w:t>
      </w:r>
      <w:r w:rsidRPr="0036740A">
        <w:rPr>
          <w:rFonts w:ascii="Times New Roman" w:hAnsi="Times New Roman" w:cs="Times New Roman"/>
          <w:b/>
          <w:spacing w:val="1"/>
          <w:sz w:val="24"/>
          <w:lang w:val="sq-AL"/>
        </w:rPr>
        <w:t>n</w:t>
      </w:r>
      <w:r w:rsidRPr="0036740A">
        <w:rPr>
          <w:rFonts w:ascii="Times New Roman" w:hAnsi="Times New Roman" w:cs="Times New Roman"/>
          <w:b/>
          <w:sz w:val="24"/>
          <w:lang w:val="sq-AL"/>
        </w:rPr>
        <w:t>jak</w:t>
      </w:r>
      <w:r w:rsidRPr="0036740A">
        <w:rPr>
          <w:rFonts w:ascii="Times New Roman" w:hAnsi="Times New Roman" w:cs="Times New Roman"/>
          <w:b/>
          <w:spacing w:val="1"/>
          <w:sz w:val="24"/>
          <w:lang w:val="sq-AL"/>
        </w:rPr>
        <w:t>u</w:t>
      </w:r>
      <w:r w:rsidRPr="0036740A">
        <w:rPr>
          <w:rFonts w:ascii="Times New Roman" w:hAnsi="Times New Roman" w:cs="Times New Roman"/>
          <w:b/>
          <w:sz w:val="24"/>
          <w:lang w:val="sq-AL"/>
        </w:rPr>
        <w:t xml:space="preserve">t </w:t>
      </w:r>
      <w:r w:rsidRPr="0036740A">
        <w:rPr>
          <w:rFonts w:ascii="Times New Roman" w:hAnsi="Times New Roman" w:cs="Times New Roman"/>
          <w:b/>
          <w:spacing w:val="-1"/>
          <w:sz w:val="24"/>
          <w:lang w:val="sq-AL"/>
        </w:rPr>
        <w:t>(</w:t>
      </w:r>
      <w:r w:rsidRPr="0036740A">
        <w:rPr>
          <w:rFonts w:ascii="Times New Roman" w:hAnsi="Times New Roman" w:cs="Times New Roman"/>
          <w:b/>
          <w:sz w:val="24"/>
          <w:lang w:val="sq-AL"/>
        </w:rPr>
        <w:t>N</w:t>
      </w:r>
      <w:r w:rsidRPr="0036740A">
        <w:rPr>
          <w:rFonts w:ascii="Times New Roman" w:hAnsi="Times New Roman" w:cs="Times New Roman"/>
          <w:b/>
          <w:spacing w:val="1"/>
          <w:sz w:val="24"/>
          <w:lang w:val="sq-AL"/>
        </w:rPr>
        <w:t>H</w:t>
      </w:r>
      <w:r w:rsidRPr="0036740A">
        <w:rPr>
          <w:rFonts w:ascii="Times New Roman" w:hAnsi="Times New Roman" w:cs="Times New Roman"/>
          <w:b/>
          <w:spacing w:val="1"/>
          <w:position w:val="-3"/>
          <w:sz w:val="24"/>
          <w:lang w:val="sq-AL"/>
        </w:rPr>
        <w:t>4</w:t>
      </w:r>
      <w:r w:rsidRPr="0036740A">
        <w:rPr>
          <w:rFonts w:ascii="Times New Roman" w:hAnsi="Times New Roman" w:cs="Times New Roman"/>
          <w:b/>
          <w:spacing w:val="-1"/>
          <w:sz w:val="24"/>
          <w:lang w:val="sq-AL"/>
        </w:rPr>
        <w:t>)</w:t>
      </w:r>
      <w:r w:rsidRPr="0036740A">
        <w:rPr>
          <w:rFonts w:ascii="Times New Roman" w:hAnsi="Times New Roman" w:cs="Times New Roman"/>
          <w:b/>
          <w:sz w:val="24"/>
          <w:lang w:val="sq-AL"/>
        </w:rPr>
        <w:t>:</w:t>
      </w:r>
      <w:r w:rsidRPr="0036740A">
        <w:rPr>
          <w:rFonts w:ascii="Times New Roman" w:hAnsi="Times New Roman" w:cs="Times New Roman"/>
          <w:sz w:val="24"/>
          <w:lang w:val="sq-AL"/>
        </w:rPr>
        <w:t xml:space="preserve"> </w:t>
      </w:r>
      <w:r w:rsidRPr="0036740A">
        <w:rPr>
          <w:rFonts w:ascii="Times New Roman" w:hAnsi="Times New Roman" w:cs="Times New Roman"/>
          <w:b/>
          <w:spacing w:val="-3"/>
          <w:sz w:val="24"/>
          <w:lang w:val="it-IT"/>
        </w:rPr>
        <w:t>P</w:t>
      </w:r>
      <w:r w:rsidRPr="0036740A">
        <w:rPr>
          <w:rFonts w:ascii="Times New Roman" w:hAnsi="Times New Roman" w:cs="Times New Roman"/>
          <w:b/>
          <w:spacing w:val="1"/>
          <w:sz w:val="24"/>
          <w:lang w:val="it-IT"/>
        </w:rPr>
        <w:t>ër</w:t>
      </w:r>
      <w:r w:rsidRPr="0036740A">
        <w:rPr>
          <w:rFonts w:ascii="Times New Roman" w:hAnsi="Times New Roman" w:cs="Times New Roman"/>
          <w:b/>
          <w:spacing w:val="-3"/>
          <w:sz w:val="24"/>
          <w:lang w:val="it-IT"/>
        </w:rPr>
        <w:t>m</w:t>
      </w:r>
      <w:r w:rsidRPr="0036740A">
        <w:rPr>
          <w:rFonts w:ascii="Times New Roman" w:hAnsi="Times New Roman" w:cs="Times New Roman"/>
          <w:b/>
          <w:spacing w:val="1"/>
          <w:sz w:val="24"/>
          <w:lang w:val="it-IT"/>
        </w:rPr>
        <w:t>b</w:t>
      </w:r>
      <w:r w:rsidRPr="0036740A">
        <w:rPr>
          <w:rFonts w:ascii="Times New Roman" w:hAnsi="Times New Roman" w:cs="Times New Roman"/>
          <w:b/>
          <w:sz w:val="24"/>
          <w:lang w:val="it-IT"/>
        </w:rPr>
        <w:t>a</w:t>
      </w:r>
      <w:r w:rsidRPr="0036740A">
        <w:rPr>
          <w:rFonts w:ascii="Times New Roman" w:hAnsi="Times New Roman" w:cs="Times New Roman"/>
          <w:b/>
          <w:spacing w:val="-1"/>
          <w:sz w:val="24"/>
          <w:lang w:val="it-IT"/>
        </w:rPr>
        <w:t>j</w:t>
      </w:r>
      <w:r w:rsidRPr="0036740A">
        <w:rPr>
          <w:rFonts w:ascii="Times New Roman" w:hAnsi="Times New Roman" w:cs="Times New Roman"/>
          <w:b/>
          <w:spacing w:val="1"/>
          <w:sz w:val="24"/>
          <w:lang w:val="it-IT"/>
        </w:rPr>
        <w:t>t</w:t>
      </w:r>
      <w:r w:rsidRPr="0036740A">
        <w:rPr>
          <w:rFonts w:ascii="Times New Roman" w:hAnsi="Times New Roman" w:cs="Times New Roman"/>
          <w:b/>
          <w:sz w:val="24"/>
          <w:lang w:val="it-IT"/>
        </w:rPr>
        <w:t>ja</w:t>
      </w:r>
      <w:r w:rsidRPr="0036740A">
        <w:rPr>
          <w:rFonts w:ascii="Times New Roman" w:hAnsi="Times New Roman" w:cs="Times New Roman"/>
          <w:b/>
          <w:spacing w:val="1"/>
          <w:sz w:val="24"/>
          <w:lang w:val="it-IT"/>
        </w:rPr>
        <w:t xml:space="preserve"> </w:t>
      </w:r>
      <w:r w:rsidRPr="0036740A">
        <w:rPr>
          <w:rFonts w:ascii="Times New Roman" w:hAnsi="Times New Roman" w:cs="Times New Roman"/>
          <w:b/>
          <w:sz w:val="24"/>
          <w:lang w:val="it-IT"/>
        </w:rPr>
        <w:t xml:space="preserve">e </w:t>
      </w:r>
      <w:r w:rsidRPr="0036740A">
        <w:rPr>
          <w:rFonts w:ascii="Times New Roman" w:hAnsi="Times New Roman" w:cs="Times New Roman"/>
          <w:b/>
          <w:spacing w:val="2"/>
          <w:sz w:val="24"/>
          <w:lang w:val="it-IT"/>
        </w:rPr>
        <w:t>a</w:t>
      </w:r>
      <w:r w:rsidRPr="0036740A">
        <w:rPr>
          <w:rFonts w:ascii="Times New Roman" w:hAnsi="Times New Roman" w:cs="Times New Roman"/>
          <w:b/>
          <w:spacing w:val="-3"/>
          <w:sz w:val="24"/>
          <w:lang w:val="it-IT"/>
        </w:rPr>
        <w:t>m</w:t>
      </w:r>
      <w:r w:rsidRPr="0036740A">
        <w:rPr>
          <w:rFonts w:ascii="Times New Roman" w:hAnsi="Times New Roman" w:cs="Times New Roman"/>
          <w:b/>
          <w:sz w:val="24"/>
          <w:lang w:val="it-IT"/>
        </w:rPr>
        <w:t>o</w:t>
      </w:r>
      <w:r w:rsidRPr="0036740A">
        <w:rPr>
          <w:rFonts w:ascii="Times New Roman" w:hAnsi="Times New Roman" w:cs="Times New Roman"/>
          <w:b/>
          <w:spacing w:val="1"/>
          <w:sz w:val="24"/>
          <w:lang w:val="it-IT"/>
        </w:rPr>
        <w:t>n</w:t>
      </w:r>
      <w:r w:rsidRPr="0036740A">
        <w:rPr>
          <w:rFonts w:ascii="Times New Roman" w:hAnsi="Times New Roman" w:cs="Times New Roman"/>
          <w:b/>
          <w:sz w:val="24"/>
          <w:lang w:val="it-IT"/>
        </w:rPr>
        <w:t>jak</w:t>
      </w:r>
      <w:r w:rsidRPr="0036740A">
        <w:rPr>
          <w:rFonts w:ascii="Times New Roman" w:hAnsi="Times New Roman" w:cs="Times New Roman"/>
          <w:b/>
          <w:spacing w:val="1"/>
          <w:sz w:val="24"/>
          <w:lang w:val="it-IT"/>
        </w:rPr>
        <w:t>u</w:t>
      </w:r>
      <w:r w:rsidRPr="0036740A">
        <w:rPr>
          <w:rFonts w:ascii="Times New Roman" w:hAnsi="Times New Roman" w:cs="Times New Roman"/>
          <w:b/>
          <w:sz w:val="24"/>
          <w:lang w:val="it-IT"/>
        </w:rPr>
        <w:t xml:space="preserve">t </w:t>
      </w:r>
      <w:r w:rsidRPr="0036740A">
        <w:rPr>
          <w:rFonts w:ascii="Times New Roman" w:hAnsi="Times New Roman" w:cs="Times New Roman"/>
          <w:b/>
          <w:spacing w:val="-1"/>
          <w:sz w:val="24"/>
          <w:lang w:val="it-IT"/>
        </w:rPr>
        <w:t>(</w:t>
      </w:r>
      <w:r w:rsidRPr="0036740A">
        <w:rPr>
          <w:rFonts w:ascii="Times New Roman" w:hAnsi="Times New Roman" w:cs="Times New Roman"/>
          <w:b/>
          <w:sz w:val="24"/>
          <w:lang w:val="it-IT"/>
        </w:rPr>
        <w:t>N</w:t>
      </w:r>
      <w:r w:rsidRPr="0036740A">
        <w:rPr>
          <w:rFonts w:ascii="Times New Roman" w:hAnsi="Times New Roman" w:cs="Times New Roman"/>
          <w:b/>
          <w:spacing w:val="1"/>
          <w:sz w:val="24"/>
          <w:lang w:val="it-IT"/>
        </w:rPr>
        <w:t>H</w:t>
      </w:r>
      <w:r w:rsidRPr="0036740A">
        <w:rPr>
          <w:rFonts w:ascii="Times New Roman" w:hAnsi="Times New Roman" w:cs="Times New Roman"/>
          <w:b/>
          <w:spacing w:val="1"/>
          <w:position w:val="-3"/>
          <w:sz w:val="16"/>
          <w:szCs w:val="16"/>
          <w:lang w:val="it-IT"/>
        </w:rPr>
        <w:t>4</w:t>
      </w:r>
      <w:r w:rsidRPr="0036740A">
        <w:rPr>
          <w:rFonts w:ascii="Times New Roman" w:hAnsi="Times New Roman" w:cs="Times New Roman"/>
          <w:b/>
          <w:spacing w:val="-1"/>
          <w:sz w:val="24"/>
          <w:lang w:val="it-IT"/>
        </w:rPr>
        <w:t>)</w:t>
      </w:r>
      <w:r w:rsidRPr="0036740A">
        <w:rPr>
          <w:rFonts w:ascii="Times New Roman" w:hAnsi="Times New Roman" w:cs="Times New Roman"/>
          <w:b/>
          <w:sz w:val="24"/>
          <w:lang w:val="it-IT"/>
        </w:rPr>
        <w:t>:</w:t>
      </w:r>
      <w:r w:rsidRPr="0036740A">
        <w:rPr>
          <w:rFonts w:ascii="Times New Roman" w:hAnsi="Times New Roman" w:cs="Times New Roman"/>
          <w:sz w:val="24"/>
          <w:lang w:val="it-IT"/>
        </w:rPr>
        <w:t xml:space="preserve"> </w:t>
      </w:r>
      <w:r w:rsidRPr="0036740A">
        <w:rPr>
          <w:rFonts w:ascii="Times New Roman" w:hAnsi="Times New Roman" w:cs="Times New Roman"/>
          <w:spacing w:val="1"/>
          <w:sz w:val="24"/>
          <w:lang w:val="it-IT"/>
        </w:rPr>
        <w:t>P</w:t>
      </w:r>
      <w:r w:rsidRPr="0036740A">
        <w:rPr>
          <w:rFonts w:ascii="Times New Roman" w:hAnsi="Times New Roman" w:cs="Times New Roman"/>
          <w:spacing w:val="-1"/>
          <w:sz w:val="24"/>
          <w:lang w:val="it-IT"/>
        </w:rPr>
        <w:t>ë</w:t>
      </w:r>
      <w:r w:rsidRPr="0036740A">
        <w:rPr>
          <w:rFonts w:ascii="Times New Roman" w:hAnsi="Times New Roman" w:cs="Times New Roman"/>
          <w:sz w:val="24"/>
          <w:lang w:val="it-IT"/>
        </w:rPr>
        <w:t>rm</w:t>
      </w:r>
      <w:r w:rsidRPr="0036740A">
        <w:rPr>
          <w:rFonts w:ascii="Times New Roman" w:hAnsi="Times New Roman" w:cs="Times New Roman"/>
          <w:spacing w:val="2"/>
          <w:sz w:val="24"/>
          <w:lang w:val="it-IT"/>
        </w:rPr>
        <w:t>b</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j</w:t>
      </w:r>
      <w:r w:rsidRPr="0036740A">
        <w:rPr>
          <w:rFonts w:ascii="Times New Roman" w:hAnsi="Times New Roman" w:cs="Times New Roman"/>
          <w:spacing w:val="1"/>
          <w:sz w:val="24"/>
          <w:lang w:val="it-IT"/>
        </w:rPr>
        <w:t>t</w:t>
      </w:r>
      <w:r w:rsidRPr="0036740A">
        <w:rPr>
          <w:rFonts w:ascii="Times New Roman" w:hAnsi="Times New Roman" w:cs="Times New Roman"/>
          <w:sz w:val="24"/>
          <w:lang w:val="it-IT"/>
        </w:rPr>
        <w:t>ja e</w:t>
      </w:r>
      <w:r w:rsidRPr="0036740A">
        <w:rPr>
          <w:rFonts w:ascii="Times New Roman" w:hAnsi="Times New Roman" w:cs="Times New Roman"/>
          <w:spacing w:val="1"/>
          <w:sz w:val="24"/>
          <w:lang w:val="it-IT"/>
        </w:rPr>
        <w:t xml:space="preserve"> a</w:t>
      </w:r>
      <w:r w:rsidRPr="0036740A">
        <w:rPr>
          <w:rFonts w:ascii="Times New Roman" w:hAnsi="Times New Roman" w:cs="Times New Roman"/>
          <w:sz w:val="24"/>
          <w:lang w:val="it-IT"/>
        </w:rPr>
        <w:t>mon</w:t>
      </w:r>
      <w:r w:rsidRPr="0036740A">
        <w:rPr>
          <w:rFonts w:ascii="Times New Roman" w:hAnsi="Times New Roman" w:cs="Times New Roman"/>
          <w:spacing w:val="1"/>
          <w:sz w:val="24"/>
          <w:lang w:val="it-IT"/>
        </w:rPr>
        <w:t>j</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kut NH</w:t>
      </w:r>
      <w:r w:rsidRPr="0036740A">
        <w:rPr>
          <w:rFonts w:ascii="Times New Roman" w:hAnsi="Times New Roman" w:cs="Times New Roman"/>
          <w:position w:val="-3"/>
          <w:sz w:val="16"/>
          <w:szCs w:val="16"/>
          <w:lang w:val="it-IT"/>
        </w:rPr>
        <w:t xml:space="preserve">4 </w:t>
      </w:r>
      <w:r w:rsidRPr="0036740A">
        <w:rPr>
          <w:rFonts w:ascii="Times New Roman" w:hAnsi="Times New Roman" w:cs="Times New Roman"/>
          <w:sz w:val="24"/>
          <w:lang w:val="it-IT"/>
        </w:rPr>
        <w:t>në akuiferin Kuaternar të Vjosës, në përgjithësi takohet brenda standartit të lejuar dhe varion në vlerat nga 0.005-0.1mg/l, ku</w:t>
      </w:r>
      <w:r w:rsidRPr="0036740A">
        <w:rPr>
          <w:rFonts w:ascii="Times New Roman" w:hAnsi="Times New Roman" w:cs="Times New Roman"/>
          <w:spacing w:val="19"/>
          <w:sz w:val="24"/>
          <w:lang w:val="it-IT"/>
        </w:rPr>
        <w:t xml:space="preserve"> </w:t>
      </w:r>
      <w:r w:rsidRPr="0036740A">
        <w:rPr>
          <w:rFonts w:ascii="Times New Roman" w:hAnsi="Times New Roman" w:cs="Times New Roman"/>
          <w:sz w:val="24"/>
          <w:lang w:val="it-IT"/>
        </w:rPr>
        <w:t>sipas</w:t>
      </w:r>
      <w:r w:rsidRPr="0036740A">
        <w:rPr>
          <w:rFonts w:ascii="Times New Roman" w:hAnsi="Times New Roman" w:cs="Times New Roman"/>
          <w:spacing w:val="19"/>
          <w:sz w:val="24"/>
          <w:lang w:val="it-IT"/>
        </w:rPr>
        <w:t xml:space="preserve"> </w:t>
      </w:r>
      <w:r w:rsidRPr="0036740A">
        <w:rPr>
          <w:rFonts w:ascii="Times New Roman" w:hAnsi="Times New Roman" w:cs="Times New Roman"/>
          <w:sz w:val="24"/>
          <w:lang w:val="it-IT"/>
        </w:rPr>
        <w:t>VKM</w:t>
      </w:r>
      <w:r w:rsidRPr="0036740A">
        <w:rPr>
          <w:rFonts w:ascii="Times New Roman" w:hAnsi="Times New Roman" w:cs="Times New Roman"/>
          <w:spacing w:val="22"/>
          <w:sz w:val="24"/>
          <w:lang w:val="it-IT"/>
        </w:rPr>
        <w:t xml:space="preserve"> </w:t>
      </w:r>
      <w:r w:rsidRPr="0036740A">
        <w:rPr>
          <w:rFonts w:ascii="Times New Roman" w:hAnsi="Times New Roman" w:cs="Times New Roman"/>
          <w:sz w:val="24"/>
          <w:lang w:val="it-IT"/>
        </w:rPr>
        <w:t>(no</w:t>
      </w:r>
      <w:r w:rsidRPr="0036740A">
        <w:rPr>
          <w:rFonts w:ascii="Times New Roman" w:hAnsi="Times New Roman" w:cs="Times New Roman"/>
          <w:spacing w:val="-1"/>
          <w:sz w:val="24"/>
          <w:lang w:val="it-IT"/>
        </w:rPr>
        <w:t>r</w:t>
      </w:r>
      <w:r w:rsidRPr="0036740A">
        <w:rPr>
          <w:rFonts w:ascii="Times New Roman" w:hAnsi="Times New Roman" w:cs="Times New Roman"/>
          <w:sz w:val="24"/>
          <w:lang w:val="it-IT"/>
        </w:rPr>
        <w:t>ma</w:t>
      </w:r>
      <w:r w:rsidRPr="0036740A">
        <w:rPr>
          <w:rFonts w:ascii="Times New Roman" w:hAnsi="Times New Roman" w:cs="Times New Roman"/>
          <w:spacing w:val="19"/>
          <w:sz w:val="24"/>
          <w:lang w:val="it-IT"/>
        </w:rPr>
        <w:t xml:space="preserve"> </w:t>
      </w:r>
      <w:r w:rsidRPr="0036740A">
        <w:rPr>
          <w:rFonts w:ascii="Times New Roman" w:hAnsi="Times New Roman" w:cs="Times New Roman"/>
          <w:sz w:val="24"/>
          <w:lang w:val="it-IT"/>
        </w:rPr>
        <w:t>V</w:t>
      </w:r>
      <w:r w:rsidRPr="0036740A">
        <w:rPr>
          <w:rFonts w:ascii="Times New Roman" w:hAnsi="Times New Roman" w:cs="Times New Roman"/>
          <w:spacing w:val="-1"/>
          <w:sz w:val="24"/>
          <w:lang w:val="it-IT"/>
        </w:rPr>
        <w:t>K</w:t>
      </w:r>
      <w:r w:rsidRPr="0036740A">
        <w:rPr>
          <w:rFonts w:ascii="Times New Roman" w:hAnsi="Times New Roman" w:cs="Times New Roman"/>
          <w:sz w:val="24"/>
          <w:lang w:val="it-IT"/>
        </w:rPr>
        <w:t>M</w:t>
      </w:r>
      <w:r w:rsidRPr="0036740A">
        <w:rPr>
          <w:rFonts w:ascii="Times New Roman" w:hAnsi="Times New Roman" w:cs="Times New Roman"/>
          <w:spacing w:val="19"/>
          <w:sz w:val="24"/>
          <w:lang w:val="it-IT"/>
        </w:rPr>
        <w:t xml:space="preserve"> </w:t>
      </w:r>
      <w:r w:rsidRPr="0036740A">
        <w:rPr>
          <w:rFonts w:ascii="Times New Roman" w:hAnsi="Times New Roman" w:cs="Times New Roman"/>
          <w:sz w:val="24"/>
          <w:lang w:val="it-IT"/>
        </w:rPr>
        <w:t>379</w:t>
      </w:r>
      <w:r w:rsidRPr="0036740A">
        <w:rPr>
          <w:rFonts w:ascii="Times New Roman" w:hAnsi="Times New Roman" w:cs="Times New Roman"/>
          <w:spacing w:val="21"/>
          <w:sz w:val="24"/>
          <w:lang w:val="it-IT"/>
        </w:rPr>
        <w:t xml:space="preserve"> </w:t>
      </w:r>
      <w:r w:rsidRPr="0036740A">
        <w:rPr>
          <w:rFonts w:ascii="Times New Roman" w:hAnsi="Times New Roman" w:cs="Times New Roman"/>
          <w:sz w:val="24"/>
          <w:lang w:val="it-IT"/>
        </w:rPr>
        <w:t>(25.</w:t>
      </w:r>
      <w:r w:rsidRPr="0036740A">
        <w:rPr>
          <w:rFonts w:ascii="Times New Roman" w:hAnsi="Times New Roman" w:cs="Times New Roman"/>
          <w:spacing w:val="20"/>
          <w:sz w:val="24"/>
          <w:lang w:val="it-IT"/>
        </w:rPr>
        <w:t xml:space="preserve"> </w:t>
      </w:r>
      <w:r w:rsidRPr="0036740A">
        <w:rPr>
          <w:rFonts w:ascii="Times New Roman" w:hAnsi="Times New Roman" w:cs="Times New Roman"/>
          <w:sz w:val="24"/>
          <w:lang w:val="it-IT"/>
        </w:rPr>
        <w:t>05.</w:t>
      </w:r>
      <w:r w:rsidRPr="0036740A">
        <w:rPr>
          <w:rFonts w:ascii="Times New Roman" w:hAnsi="Times New Roman" w:cs="Times New Roman"/>
          <w:spacing w:val="19"/>
          <w:sz w:val="24"/>
          <w:lang w:val="it-IT"/>
        </w:rPr>
        <w:t xml:space="preserve"> </w:t>
      </w:r>
      <w:r w:rsidRPr="0036740A">
        <w:rPr>
          <w:rFonts w:ascii="Times New Roman" w:hAnsi="Times New Roman" w:cs="Times New Roman"/>
          <w:sz w:val="24"/>
          <w:lang w:val="it-IT"/>
        </w:rPr>
        <w:t xml:space="preserve">2016). Në shpimin në Novoselë në fazën e pare të monitorimit dhe në shpimin në Pish Poro në fazën e dytë të monitorimit vlerat e amoniakut takohen mbi normën maksimale të lejuar. </w:t>
      </w:r>
    </w:p>
    <w:p w:rsidR="0036740A" w:rsidRPr="0036740A" w:rsidRDefault="0036740A" w:rsidP="0036740A">
      <w:pPr>
        <w:spacing w:after="200" w:line="276" w:lineRule="auto"/>
        <w:jc w:val="both"/>
        <w:rPr>
          <w:rFonts w:ascii="Times New Roman" w:hAnsi="Times New Roman" w:cs="Times New Roman"/>
          <w:sz w:val="24"/>
          <w:lang w:val="pt-BR"/>
        </w:rPr>
      </w:pPr>
      <w:r w:rsidRPr="0036740A">
        <w:rPr>
          <w:rFonts w:ascii="Times New Roman" w:hAnsi="Times New Roman" w:cs="Times New Roman"/>
          <w:b/>
          <w:spacing w:val="-3"/>
          <w:sz w:val="24"/>
          <w:lang w:val="pt-BR"/>
        </w:rPr>
        <w:t>P</w:t>
      </w:r>
      <w:r w:rsidRPr="0036740A">
        <w:rPr>
          <w:rFonts w:ascii="Times New Roman" w:hAnsi="Times New Roman" w:cs="Times New Roman"/>
          <w:b/>
          <w:spacing w:val="1"/>
          <w:sz w:val="24"/>
          <w:lang w:val="pt-BR"/>
        </w:rPr>
        <w:t>ër</w:t>
      </w:r>
      <w:r w:rsidRPr="0036740A">
        <w:rPr>
          <w:rFonts w:ascii="Times New Roman" w:hAnsi="Times New Roman" w:cs="Times New Roman"/>
          <w:b/>
          <w:spacing w:val="-3"/>
          <w:sz w:val="24"/>
          <w:lang w:val="pt-BR"/>
        </w:rPr>
        <w:t>m</w:t>
      </w:r>
      <w:r w:rsidRPr="0036740A">
        <w:rPr>
          <w:rFonts w:ascii="Times New Roman" w:hAnsi="Times New Roman" w:cs="Times New Roman"/>
          <w:b/>
          <w:spacing w:val="1"/>
          <w:sz w:val="24"/>
          <w:lang w:val="pt-BR"/>
        </w:rPr>
        <w:t>b</w:t>
      </w:r>
      <w:r w:rsidRPr="0036740A">
        <w:rPr>
          <w:rFonts w:ascii="Times New Roman" w:hAnsi="Times New Roman" w:cs="Times New Roman"/>
          <w:b/>
          <w:sz w:val="24"/>
          <w:lang w:val="pt-BR"/>
        </w:rPr>
        <w:t>a</w:t>
      </w:r>
      <w:r w:rsidRPr="0036740A">
        <w:rPr>
          <w:rFonts w:ascii="Times New Roman" w:hAnsi="Times New Roman" w:cs="Times New Roman"/>
          <w:b/>
          <w:spacing w:val="-1"/>
          <w:sz w:val="24"/>
          <w:lang w:val="pt-BR"/>
        </w:rPr>
        <w:t>j</w:t>
      </w:r>
      <w:r w:rsidRPr="0036740A">
        <w:rPr>
          <w:rFonts w:ascii="Times New Roman" w:hAnsi="Times New Roman" w:cs="Times New Roman"/>
          <w:b/>
          <w:sz w:val="24"/>
          <w:lang w:val="pt-BR"/>
        </w:rPr>
        <w:t>ta</w:t>
      </w:r>
      <w:r w:rsidRPr="0036740A">
        <w:rPr>
          <w:rFonts w:ascii="Times New Roman" w:hAnsi="Times New Roman" w:cs="Times New Roman"/>
          <w:b/>
          <w:spacing w:val="3"/>
          <w:sz w:val="24"/>
          <w:lang w:val="pt-BR"/>
        </w:rPr>
        <w:t xml:space="preserve"> </w:t>
      </w:r>
      <w:r w:rsidRPr="0036740A">
        <w:rPr>
          <w:rFonts w:ascii="Times New Roman" w:hAnsi="Times New Roman" w:cs="Times New Roman"/>
          <w:b/>
          <w:sz w:val="24"/>
          <w:lang w:val="pt-BR"/>
        </w:rPr>
        <w:t>e</w:t>
      </w:r>
      <w:r w:rsidRPr="0036740A">
        <w:rPr>
          <w:rFonts w:ascii="Times New Roman" w:hAnsi="Times New Roman" w:cs="Times New Roman"/>
          <w:b/>
          <w:spacing w:val="1"/>
          <w:sz w:val="24"/>
          <w:lang w:val="pt-BR"/>
        </w:rPr>
        <w:t xml:space="preserve"> n</w:t>
      </w:r>
      <w:r w:rsidRPr="0036740A">
        <w:rPr>
          <w:rFonts w:ascii="Times New Roman" w:hAnsi="Times New Roman" w:cs="Times New Roman"/>
          <w:b/>
          <w:sz w:val="24"/>
          <w:lang w:val="pt-BR"/>
        </w:rPr>
        <w:t>it</w:t>
      </w:r>
      <w:r w:rsidRPr="0036740A">
        <w:rPr>
          <w:rFonts w:ascii="Times New Roman" w:hAnsi="Times New Roman" w:cs="Times New Roman"/>
          <w:b/>
          <w:spacing w:val="-1"/>
          <w:sz w:val="24"/>
          <w:lang w:val="pt-BR"/>
        </w:rPr>
        <w:t>r</w:t>
      </w:r>
      <w:r w:rsidRPr="0036740A">
        <w:rPr>
          <w:rFonts w:ascii="Times New Roman" w:hAnsi="Times New Roman" w:cs="Times New Roman"/>
          <w:b/>
          <w:sz w:val="24"/>
          <w:lang w:val="pt-BR"/>
        </w:rPr>
        <w:t>it</w:t>
      </w:r>
      <w:r w:rsidRPr="0036740A">
        <w:rPr>
          <w:rFonts w:ascii="Times New Roman" w:hAnsi="Times New Roman" w:cs="Times New Roman"/>
          <w:b/>
          <w:spacing w:val="-1"/>
          <w:sz w:val="24"/>
          <w:lang w:val="pt-BR"/>
        </w:rPr>
        <w:t>e</w:t>
      </w:r>
      <w:r w:rsidRPr="0036740A">
        <w:rPr>
          <w:rFonts w:ascii="Times New Roman" w:hAnsi="Times New Roman" w:cs="Times New Roman"/>
          <w:b/>
          <w:spacing w:val="2"/>
          <w:sz w:val="24"/>
          <w:lang w:val="pt-BR"/>
        </w:rPr>
        <w:t>v</w:t>
      </w:r>
      <w:r w:rsidRPr="0036740A">
        <w:rPr>
          <w:rFonts w:ascii="Times New Roman" w:hAnsi="Times New Roman" w:cs="Times New Roman"/>
          <w:b/>
          <w:sz w:val="24"/>
          <w:lang w:val="pt-BR"/>
        </w:rPr>
        <w:t xml:space="preserve">e </w:t>
      </w:r>
      <w:r w:rsidRPr="0036740A">
        <w:rPr>
          <w:rFonts w:ascii="Times New Roman" w:hAnsi="Times New Roman" w:cs="Times New Roman"/>
          <w:b/>
          <w:spacing w:val="1"/>
          <w:sz w:val="24"/>
          <w:lang w:val="pt-BR"/>
        </w:rPr>
        <w:t>(</w:t>
      </w:r>
      <w:r w:rsidRPr="0036740A">
        <w:rPr>
          <w:rFonts w:ascii="Times New Roman" w:hAnsi="Times New Roman" w:cs="Times New Roman"/>
          <w:b/>
          <w:sz w:val="24"/>
          <w:lang w:val="pt-BR"/>
        </w:rPr>
        <w:t>N</w:t>
      </w:r>
      <w:r w:rsidRPr="0036740A">
        <w:rPr>
          <w:rFonts w:ascii="Times New Roman" w:hAnsi="Times New Roman" w:cs="Times New Roman"/>
          <w:b/>
          <w:spacing w:val="1"/>
          <w:sz w:val="24"/>
          <w:lang w:val="pt-BR"/>
        </w:rPr>
        <w:t>O</w:t>
      </w:r>
      <w:r w:rsidRPr="0036740A">
        <w:rPr>
          <w:rFonts w:ascii="Times New Roman" w:hAnsi="Times New Roman" w:cs="Times New Roman"/>
          <w:b/>
          <w:spacing w:val="1"/>
          <w:position w:val="-3"/>
          <w:sz w:val="24"/>
          <w:lang w:val="pt-BR"/>
        </w:rPr>
        <w:t>2</w:t>
      </w:r>
      <w:r w:rsidRPr="0036740A">
        <w:rPr>
          <w:rFonts w:ascii="Times New Roman" w:hAnsi="Times New Roman" w:cs="Times New Roman"/>
          <w:b/>
          <w:spacing w:val="-1"/>
          <w:sz w:val="24"/>
          <w:lang w:val="pt-BR"/>
        </w:rPr>
        <w:t>)</w:t>
      </w:r>
      <w:r w:rsidRPr="0036740A">
        <w:rPr>
          <w:rFonts w:ascii="Times New Roman" w:hAnsi="Times New Roman" w:cs="Times New Roman"/>
          <w:b/>
          <w:sz w:val="24"/>
          <w:lang w:val="pt-BR"/>
        </w:rPr>
        <w:t xml:space="preserve">: </w:t>
      </w:r>
      <w:r w:rsidRPr="0036740A">
        <w:rPr>
          <w:rFonts w:ascii="Times New Roman" w:hAnsi="Times New Roman" w:cs="Times New Roman"/>
          <w:spacing w:val="1"/>
          <w:sz w:val="24"/>
          <w:lang w:val="pt-BR"/>
        </w:rPr>
        <w:t xml:space="preserve">Vlerat </w:t>
      </w:r>
      <w:r w:rsidRPr="0036740A">
        <w:rPr>
          <w:rFonts w:ascii="Times New Roman" w:hAnsi="Times New Roman" w:cs="Times New Roman"/>
          <w:sz w:val="24"/>
          <w:lang w:val="pt-BR"/>
        </w:rPr>
        <w:t>e</w:t>
      </w:r>
      <w:r w:rsidRPr="0036740A">
        <w:rPr>
          <w:rFonts w:ascii="Times New Roman" w:hAnsi="Times New Roman" w:cs="Times New Roman"/>
          <w:spacing w:val="1"/>
          <w:sz w:val="24"/>
          <w:lang w:val="pt-BR"/>
        </w:rPr>
        <w:t xml:space="preserve"> </w:t>
      </w:r>
      <w:r w:rsidRPr="0036740A">
        <w:rPr>
          <w:rFonts w:ascii="Times New Roman" w:hAnsi="Times New Roman" w:cs="Times New Roman"/>
          <w:sz w:val="24"/>
          <w:lang w:val="pt-BR"/>
        </w:rPr>
        <w:t>ni</w:t>
      </w:r>
      <w:r w:rsidRPr="0036740A">
        <w:rPr>
          <w:rFonts w:ascii="Times New Roman" w:hAnsi="Times New Roman" w:cs="Times New Roman"/>
          <w:spacing w:val="1"/>
          <w:sz w:val="24"/>
          <w:lang w:val="pt-BR"/>
        </w:rPr>
        <w:t>tr</w:t>
      </w:r>
      <w:r w:rsidRPr="0036740A">
        <w:rPr>
          <w:rFonts w:ascii="Times New Roman" w:hAnsi="Times New Roman" w:cs="Times New Roman"/>
          <w:sz w:val="24"/>
          <w:lang w:val="pt-BR"/>
        </w:rPr>
        <w:t>i</w:t>
      </w:r>
      <w:r w:rsidRPr="0036740A">
        <w:rPr>
          <w:rFonts w:ascii="Times New Roman" w:hAnsi="Times New Roman" w:cs="Times New Roman"/>
          <w:spacing w:val="1"/>
          <w:sz w:val="24"/>
          <w:lang w:val="pt-BR"/>
        </w:rPr>
        <w:t>t</w:t>
      </w:r>
      <w:r w:rsidRPr="0036740A">
        <w:rPr>
          <w:rFonts w:ascii="Times New Roman" w:hAnsi="Times New Roman" w:cs="Times New Roman"/>
          <w:spacing w:val="-1"/>
          <w:sz w:val="24"/>
          <w:lang w:val="pt-BR"/>
        </w:rPr>
        <w:t>e</w:t>
      </w:r>
      <w:r w:rsidRPr="0036740A">
        <w:rPr>
          <w:rFonts w:ascii="Times New Roman" w:hAnsi="Times New Roman" w:cs="Times New Roman"/>
          <w:sz w:val="24"/>
          <w:lang w:val="pt-BR"/>
        </w:rPr>
        <w:t>ve NO</w:t>
      </w:r>
      <w:r w:rsidRPr="0036740A">
        <w:rPr>
          <w:rFonts w:ascii="Times New Roman" w:hAnsi="Times New Roman" w:cs="Times New Roman"/>
          <w:position w:val="-3"/>
          <w:sz w:val="24"/>
          <w:lang w:val="pt-BR"/>
        </w:rPr>
        <w:t>2</w:t>
      </w:r>
      <w:r w:rsidRPr="0036740A">
        <w:rPr>
          <w:rFonts w:ascii="Times New Roman" w:hAnsi="Times New Roman" w:cs="Times New Roman"/>
          <w:spacing w:val="3"/>
          <w:position w:val="-3"/>
          <w:sz w:val="24"/>
          <w:lang w:val="pt-BR"/>
        </w:rPr>
        <w:t xml:space="preserve"> </w:t>
      </w:r>
      <w:r w:rsidRPr="0036740A">
        <w:rPr>
          <w:rFonts w:ascii="Times New Roman" w:hAnsi="Times New Roman" w:cs="Times New Roman"/>
          <w:sz w:val="24"/>
          <w:lang w:val="pt-BR"/>
        </w:rPr>
        <w:t>në dy f</w:t>
      </w:r>
      <w:r w:rsidRPr="0036740A">
        <w:rPr>
          <w:rFonts w:ascii="Times New Roman" w:hAnsi="Times New Roman" w:cs="Times New Roman"/>
          <w:spacing w:val="-2"/>
          <w:sz w:val="24"/>
          <w:lang w:val="pt-BR"/>
        </w:rPr>
        <w:t>a</w:t>
      </w:r>
      <w:r w:rsidRPr="0036740A">
        <w:rPr>
          <w:rFonts w:ascii="Times New Roman" w:hAnsi="Times New Roman" w:cs="Times New Roman"/>
          <w:spacing w:val="1"/>
          <w:sz w:val="24"/>
          <w:lang w:val="pt-BR"/>
        </w:rPr>
        <w:t>z</w:t>
      </w:r>
      <w:r w:rsidRPr="0036740A">
        <w:rPr>
          <w:rFonts w:ascii="Times New Roman" w:hAnsi="Times New Roman" w:cs="Times New Roman"/>
          <w:spacing w:val="-1"/>
          <w:sz w:val="24"/>
          <w:lang w:val="pt-BR"/>
        </w:rPr>
        <w:t>a</w:t>
      </w:r>
      <w:r w:rsidRPr="0036740A">
        <w:rPr>
          <w:rFonts w:ascii="Times New Roman" w:hAnsi="Times New Roman" w:cs="Times New Roman"/>
          <w:sz w:val="24"/>
          <w:lang w:val="pt-BR"/>
        </w:rPr>
        <w:t>t</w:t>
      </w:r>
      <w:r w:rsidRPr="0036740A">
        <w:rPr>
          <w:rFonts w:ascii="Times New Roman" w:hAnsi="Times New Roman" w:cs="Times New Roman"/>
          <w:spacing w:val="1"/>
          <w:sz w:val="24"/>
          <w:lang w:val="pt-BR"/>
        </w:rPr>
        <w:t xml:space="preserve"> </w:t>
      </w:r>
      <w:r w:rsidRPr="0036740A">
        <w:rPr>
          <w:rFonts w:ascii="Times New Roman" w:hAnsi="Times New Roman" w:cs="Times New Roman"/>
          <w:sz w:val="24"/>
          <w:lang w:val="pt-BR"/>
        </w:rPr>
        <w:t>e mo</w:t>
      </w:r>
      <w:r w:rsidRPr="0036740A">
        <w:rPr>
          <w:rFonts w:ascii="Times New Roman" w:hAnsi="Times New Roman" w:cs="Times New Roman"/>
          <w:spacing w:val="3"/>
          <w:sz w:val="24"/>
          <w:lang w:val="pt-BR"/>
        </w:rPr>
        <w:t>n</w:t>
      </w:r>
      <w:r w:rsidRPr="0036740A">
        <w:rPr>
          <w:rFonts w:ascii="Times New Roman" w:hAnsi="Times New Roman" w:cs="Times New Roman"/>
          <w:sz w:val="24"/>
          <w:lang w:val="pt-BR"/>
        </w:rPr>
        <w:t>i</w:t>
      </w:r>
      <w:r w:rsidRPr="0036740A">
        <w:rPr>
          <w:rFonts w:ascii="Times New Roman" w:hAnsi="Times New Roman" w:cs="Times New Roman"/>
          <w:spacing w:val="1"/>
          <w:sz w:val="24"/>
          <w:lang w:val="pt-BR"/>
        </w:rPr>
        <w:t>t</w:t>
      </w:r>
      <w:r w:rsidRPr="0036740A">
        <w:rPr>
          <w:rFonts w:ascii="Times New Roman" w:hAnsi="Times New Roman" w:cs="Times New Roman"/>
          <w:sz w:val="24"/>
          <w:lang w:val="pt-BR"/>
        </w:rPr>
        <w:t>o</w:t>
      </w:r>
      <w:r w:rsidRPr="0036740A">
        <w:rPr>
          <w:rFonts w:ascii="Times New Roman" w:hAnsi="Times New Roman" w:cs="Times New Roman"/>
          <w:spacing w:val="-1"/>
          <w:sz w:val="24"/>
          <w:lang w:val="pt-BR"/>
        </w:rPr>
        <w:t>r</w:t>
      </w:r>
      <w:r w:rsidRPr="0036740A">
        <w:rPr>
          <w:rFonts w:ascii="Times New Roman" w:hAnsi="Times New Roman" w:cs="Times New Roman"/>
          <w:sz w:val="24"/>
          <w:lang w:val="pt-BR"/>
        </w:rPr>
        <w:t>i</w:t>
      </w:r>
      <w:r w:rsidRPr="0036740A">
        <w:rPr>
          <w:rFonts w:ascii="Times New Roman" w:hAnsi="Times New Roman" w:cs="Times New Roman"/>
          <w:spacing w:val="1"/>
          <w:sz w:val="24"/>
          <w:lang w:val="pt-BR"/>
        </w:rPr>
        <w:t>m</w:t>
      </w:r>
      <w:r w:rsidRPr="0036740A">
        <w:rPr>
          <w:rFonts w:ascii="Times New Roman" w:hAnsi="Times New Roman" w:cs="Times New Roman"/>
          <w:sz w:val="24"/>
          <w:lang w:val="pt-BR"/>
        </w:rPr>
        <w:t>it</w:t>
      </w:r>
      <w:r w:rsidRPr="0036740A">
        <w:rPr>
          <w:rFonts w:ascii="Times New Roman" w:hAnsi="Times New Roman" w:cs="Times New Roman"/>
          <w:spacing w:val="2"/>
          <w:sz w:val="24"/>
          <w:lang w:val="pt-BR"/>
        </w:rPr>
        <w:t xml:space="preserve"> </w:t>
      </w:r>
      <w:r w:rsidRPr="0036740A">
        <w:rPr>
          <w:rFonts w:ascii="Times New Roman" w:hAnsi="Times New Roman" w:cs="Times New Roman"/>
          <w:sz w:val="24"/>
          <w:lang w:val="pt-BR"/>
        </w:rPr>
        <w:t>p</w:t>
      </w:r>
      <w:r w:rsidRPr="0036740A">
        <w:rPr>
          <w:rFonts w:ascii="Times New Roman" w:hAnsi="Times New Roman" w:cs="Times New Roman"/>
          <w:spacing w:val="-1"/>
          <w:sz w:val="24"/>
          <w:lang w:val="pt-BR"/>
        </w:rPr>
        <w:t>ë</w:t>
      </w:r>
      <w:r w:rsidRPr="0036740A">
        <w:rPr>
          <w:rFonts w:ascii="Times New Roman" w:hAnsi="Times New Roman" w:cs="Times New Roman"/>
          <w:sz w:val="24"/>
          <w:lang w:val="pt-BR"/>
        </w:rPr>
        <w:t>r vi</w:t>
      </w:r>
      <w:r w:rsidRPr="0036740A">
        <w:rPr>
          <w:rFonts w:ascii="Times New Roman" w:hAnsi="Times New Roman" w:cs="Times New Roman"/>
          <w:spacing w:val="4"/>
          <w:sz w:val="24"/>
          <w:lang w:val="pt-BR"/>
        </w:rPr>
        <w:t>t</w:t>
      </w:r>
      <w:r w:rsidRPr="0036740A">
        <w:rPr>
          <w:rFonts w:ascii="Times New Roman" w:hAnsi="Times New Roman" w:cs="Times New Roman"/>
          <w:sz w:val="24"/>
          <w:lang w:val="pt-BR"/>
        </w:rPr>
        <w:t>in 2025</w:t>
      </w:r>
      <w:r w:rsidRPr="0036740A">
        <w:rPr>
          <w:rFonts w:ascii="Times New Roman" w:hAnsi="Times New Roman" w:cs="Times New Roman"/>
          <w:spacing w:val="1"/>
          <w:sz w:val="24"/>
          <w:lang w:val="pt-BR"/>
        </w:rPr>
        <w:t xml:space="preserve"> </w:t>
      </w:r>
      <w:r w:rsidRPr="0036740A">
        <w:rPr>
          <w:rFonts w:ascii="Times New Roman" w:hAnsi="Times New Roman" w:cs="Times New Roman"/>
          <w:sz w:val="24"/>
          <w:lang w:val="pt-BR"/>
        </w:rPr>
        <w:t xml:space="preserve">në  shpimet e akuiferit Kuaternar të Vjosës varion nga 0.005-1.74 mg/l. </w:t>
      </w:r>
      <w:r w:rsidRPr="0036740A">
        <w:rPr>
          <w:rFonts w:ascii="Times New Roman" w:hAnsi="Times New Roman" w:cs="Times New Roman"/>
          <w:spacing w:val="1"/>
          <w:sz w:val="24"/>
          <w:lang w:val="it-IT"/>
        </w:rPr>
        <w:t>P</w:t>
      </w:r>
      <w:r w:rsidRPr="0036740A">
        <w:rPr>
          <w:rFonts w:ascii="Times New Roman" w:hAnsi="Times New Roman" w:cs="Times New Roman"/>
          <w:spacing w:val="-1"/>
          <w:sz w:val="24"/>
          <w:lang w:val="it-IT"/>
        </w:rPr>
        <w:t>ë</w:t>
      </w:r>
      <w:r w:rsidRPr="0036740A">
        <w:rPr>
          <w:rFonts w:ascii="Times New Roman" w:hAnsi="Times New Roman" w:cs="Times New Roman"/>
          <w:sz w:val="24"/>
          <w:lang w:val="it-IT"/>
        </w:rPr>
        <w:t>rmb</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j</w:t>
      </w:r>
      <w:r w:rsidRPr="0036740A">
        <w:rPr>
          <w:rFonts w:ascii="Times New Roman" w:hAnsi="Times New Roman" w:cs="Times New Roman"/>
          <w:spacing w:val="1"/>
          <w:sz w:val="24"/>
          <w:lang w:val="it-IT"/>
        </w:rPr>
        <w:t>t</w:t>
      </w:r>
      <w:r w:rsidRPr="0036740A">
        <w:rPr>
          <w:rFonts w:ascii="Times New Roman" w:hAnsi="Times New Roman" w:cs="Times New Roman"/>
          <w:sz w:val="24"/>
          <w:lang w:val="it-IT"/>
        </w:rPr>
        <w:t>ja</w:t>
      </w:r>
      <w:r w:rsidRPr="0036740A">
        <w:rPr>
          <w:rFonts w:ascii="Times New Roman" w:hAnsi="Times New Roman" w:cs="Times New Roman"/>
          <w:spacing w:val="38"/>
          <w:sz w:val="24"/>
          <w:lang w:val="it-IT"/>
        </w:rPr>
        <w:t xml:space="preserve"> e </w:t>
      </w:r>
      <w:r w:rsidRPr="0036740A">
        <w:rPr>
          <w:rFonts w:ascii="Times New Roman" w:hAnsi="Times New Roman" w:cs="Times New Roman"/>
          <w:sz w:val="24"/>
          <w:lang w:val="it-IT"/>
        </w:rPr>
        <w:t>nitriteve mbi</w:t>
      </w:r>
      <w:r w:rsidRPr="0036740A">
        <w:rPr>
          <w:rFonts w:ascii="Times New Roman" w:hAnsi="Times New Roman" w:cs="Times New Roman"/>
          <w:spacing w:val="39"/>
          <w:sz w:val="24"/>
          <w:lang w:val="it-IT"/>
        </w:rPr>
        <w:t xml:space="preserve"> </w:t>
      </w:r>
      <w:r w:rsidRPr="0036740A">
        <w:rPr>
          <w:rFonts w:ascii="Times New Roman" w:hAnsi="Times New Roman" w:cs="Times New Roman"/>
          <w:sz w:val="24"/>
          <w:lang w:val="it-IT"/>
        </w:rPr>
        <w:t>normë</w:t>
      </w:r>
      <w:r w:rsidRPr="0036740A">
        <w:rPr>
          <w:rFonts w:ascii="Times New Roman" w:hAnsi="Times New Roman" w:cs="Times New Roman"/>
          <w:spacing w:val="39"/>
          <w:sz w:val="24"/>
          <w:lang w:val="it-IT"/>
        </w:rPr>
        <w:t xml:space="preserve"> </w:t>
      </w:r>
      <w:r w:rsidRPr="0036740A">
        <w:rPr>
          <w:rFonts w:ascii="Times New Roman" w:hAnsi="Times New Roman" w:cs="Times New Roman"/>
          <w:spacing w:val="1"/>
          <w:sz w:val="24"/>
          <w:lang w:val="it-IT"/>
        </w:rPr>
        <w:t>ë</w:t>
      </w:r>
      <w:r w:rsidRPr="0036740A">
        <w:rPr>
          <w:rFonts w:ascii="Times New Roman" w:hAnsi="Times New Roman" w:cs="Times New Roman"/>
          <w:sz w:val="24"/>
          <w:lang w:val="it-IT"/>
        </w:rPr>
        <w:t>shtë</w:t>
      </w:r>
      <w:r w:rsidRPr="0036740A">
        <w:rPr>
          <w:rFonts w:ascii="Times New Roman" w:hAnsi="Times New Roman" w:cs="Times New Roman"/>
          <w:spacing w:val="38"/>
          <w:sz w:val="24"/>
          <w:lang w:val="it-IT"/>
        </w:rPr>
        <w:t xml:space="preserve"> </w:t>
      </w:r>
      <w:r w:rsidRPr="0036740A">
        <w:rPr>
          <w:rFonts w:ascii="Times New Roman" w:hAnsi="Times New Roman" w:cs="Times New Roman"/>
          <w:sz w:val="24"/>
          <w:lang w:val="it-IT"/>
        </w:rPr>
        <w:t>taku</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r</w:t>
      </w:r>
      <w:r w:rsidRPr="0036740A">
        <w:rPr>
          <w:rFonts w:ascii="Times New Roman" w:hAnsi="Times New Roman" w:cs="Times New Roman"/>
          <w:spacing w:val="43"/>
          <w:sz w:val="24"/>
          <w:lang w:val="it-IT"/>
        </w:rPr>
        <w:t xml:space="preserve"> </w:t>
      </w:r>
      <w:r w:rsidRPr="0036740A">
        <w:rPr>
          <w:rFonts w:ascii="Times New Roman" w:hAnsi="Times New Roman" w:cs="Times New Roman"/>
          <w:spacing w:val="2"/>
          <w:sz w:val="24"/>
          <w:lang w:val="it-IT"/>
        </w:rPr>
        <w:t>n</w:t>
      </w:r>
      <w:r w:rsidRPr="0036740A">
        <w:rPr>
          <w:rFonts w:ascii="Times New Roman" w:hAnsi="Times New Roman" w:cs="Times New Roman"/>
          <w:sz w:val="24"/>
          <w:lang w:val="it-IT"/>
        </w:rPr>
        <w:t>ë</w:t>
      </w:r>
      <w:r w:rsidRPr="0036740A">
        <w:rPr>
          <w:rFonts w:ascii="Times New Roman" w:hAnsi="Times New Roman" w:cs="Times New Roman"/>
          <w:spacing w:val="37"/>
          <w:sz w:val="24"/>
          <w:lang w:val="it-IT"/>
        </w:rPr>
        <w:t xml:space="preserve"> </w:t>
      </w:r>
      <w:r w:rsidRPr="0036740A">
        <w:rPr>
          <w:rFonts w:ascii="Times New Roman" w:hAnsi="Times New Roman" w:cs="Times New Roman"/>
          <w:sz w:val="24"/>
          <w:lang w:val="it-IT"/>
        </w:rPr>
        <w:t>s</w:t>
      </w:r>
      <w:r w:rsidRPr="0036740A">
        <w:rPr>
          <w:rFonts w:ascii="Times New Roman" w:hAnsi="Times New Roman" w:cs="Times New Roman"/>
          <w:spacing w:val="2"/>
          <w:sz w:val="24"/>
          <w:lang w:val="it-IT"/>
        </w:rPr>
        <w:t>h</w:t>
      </w:r>
      <w:r w:rsidRPr="0036740A">
        <w:rPr>
          <w:rFonts w:ascii="Times New Roman" w:hAnsi="Times New Roman" w:cs="Times New Roman"/>
          <w:sz w:val="24"/>
          <w:lang w:val="it-IT"/>
        </w:rPr>
        <w:t>pi</w:t>
      </w:r>
      <w:r w:rsidRPr="0036740A">
        <w:rPr>
          <w:rFonts w:ascii="Times New Roman" w:hAnsi="Times New Roman" w:cs="Times New Roman"/>
          <w:spacing w:val="1"/>
          <w:sz w:val="24"/>
          <w:lang w:val="it-IT"/>
        </w:rPr>
        <w:t>m</w:t>
      </w:r>
      <w:r w:rsidRPr="0036740A">
        <w:rPr>
          <w:rFonts w:ascii="Times New Roman" w:hAnsi="Times New Roman" w:cs="Times New Roman"/>
          <w:sz w:val="24"/>
          <w:lang w:val="it-IT"/>
        </w:rPr>
        <w:t>in Pish Poro në të dyja fazat e monitorimit, ku nitritet takohen në vlera 1.51-5.97mg/l. Normat e larta të nitriteve lidhen me mos zbatimin e zonave të mbrojtjes sanitare.</w:t>
      </w:r>
    </w:p>
    <w:p w:rsidR="0036740A" w:rsidRPr="0036740A" w:rsidRDefault="0036740A" w:rsidP="0036740A">
      <w:pPr>
        <w:spacing w:after="200" w:line="276" w:lineRule="auto"/>
        <w:jc w:val="both"/>
        <w:rPr>
          <w:rFonts w:ascii="Times New Roman" w:hAnsi="Times New Roman" w:cs="Times New Roman"/>
          <w:sz w:val="24"/>
          <w:lang w:val="it-IT"/>
        </w:rPr>
      </w:pPr>
      <w:r w:rsidRPr="0036740A">
        <w:rPr>
          <w:rFonts w:ascii="Times New Roman" w:hAnsi="Times New Roman" w:cs="Times New Roman"/>
          <w:b/>
          <w:spacing w:val="-3"/>
          <w:sz w:val="24"/>
          <w:lang w:val="it-IT"/>
        </w:rPr>
        <w:t>P</w:t>
      </w:r>
      <w:r w:rsidRPr="0036740A">
        <w:rPr>
          <w:rFonts w:ascii="Times New Roman" w:hAnsi="Times New Roman" w:cs="Times New Roman"/>
          <w:b/>
          <w:spacing w:val="1"/>
          <w:sz w:val="24"/>
          <w:lang w:val="it-IT"/>
        </w:rPr>
        <w:t>ër</w:t>
      </w:r>
      <w:r w:rsidRPr="0036740A">
        <w:rPr>
          <w:rFonts w:ascii="Times New Roman" w:hAnsi="Times New Roman" w:cs="Times New Roman"/>
          <w:b/>
          <w:spacing w:val="-3"/>
          <w:sz w:val="24"/>
          <w:lang w:val="it-IT"/>
        </w:rPr>
        <w:t>m</w:t>
      </w:r>
      <w:r w:rsidRPr="0036740A">
        <w:rPr>
          <w:rFonts w:ascii="Times New Roman" w:hAnsi="Times New Roman" w:cs="Times New Roman"/>
          <w:b/>
          <w:spacing w:val="1"/>
          <w:sz w:val="24"/>
          <w:lang w:val="it-IT"/>
        </w:rPr>
        <w:t>b</w:t>
      </w:r>
      <w:r w:rsidRPr="0036740A">
        <w:rPr>
          <w:rFonts w:ascii="Times New Roman" w:hAnsi="Times New Roman" w:cs="Times New Roman"/>
          <w:b/>
          <w:sz w:val="24"/>
          <w:lang w:val="it-IT"/>
        </w:rPr>
        <w:t>a</w:t>
      </w:r>
      <w:r w:rsidRPr="0036740A">
        <w:rPr>
          <w:rFonts w:ascii="Times New Roman" w:hAnsi="Times New Roman" w:cs="Times New Roman"/>
          <w:b/>
          <w:spacing w:val="-1"/>
          <w:sz w:val="24"/>
          <w:lang w:val="it-IT"/>
        </w:rPr>
        <w:t>j</w:t>
      </w:r>
      <w:r w:rsidRPr="0036740A">
        <w:rPr>
          <w:rFonts w:ascii="Times New Roman" w:hAnsi="Times New Roman" w:cs="Times New Roman"/>
          <w:b/>
          <w:sz w:val="24"/>
          <w:lang w:val="it-IT"/>
        </w:rPr>
        <w:t>ta</w:t>
      </w:r>
      <w:r w:rsidRPr="0036740A">
        <w:rPr>
          <w:rFonts w:ascii="Times New Roman" w:hAnsi="Times New Roman" w:cs="Times New Roman"/>
          <w:b/>
          <w:spacing w:val="3"/>
          <w:sz w:val="24"/>
          <w:lang w:val="it-IT"/>
        </w:rPr>
        <w:t xml:space="preserve"> </w:t>
      </w:r>
      <w:r w:rsidRPr="0036740A">
        <w:rPr>
          <w:rFonts w:ascii="Times New Roman" w:hAnsi="Times New Roman" w:cs="Times New Roman"/>
          <w:b/>
          <w:sz w:val="24"/>
          <w:lang w:val="it-IT"/>
        </w:rPr>
        <w:t>e</w:t>
      </w:r>
      <w:r w:rsidRPr="0036740A">
        <w:rPr>
          <w:rFonts w:ascii="Times New Roman" w:hAnsi="Times New Roman" w:cs="Times New Roman"/>
          <w:b/>
          <w:spacing w:val="1"/>
          <w:sz w:val="24"/>
          <w:lang w:val="it-IT"/>
        </w:rPr>
        <w:t xml:space="preserve"> nitrateve</w:t>
      </w:r>
      <w:r w:rsidRPr="0036740A">
        <w:rPr>
          <w:rFonts w:ascii="Times New Roman" w:hAnsi="Times New Roman" w:cs="Times New Roman"/>
          <w:b/>
          <w:sz w:val="24"/>
          <w:lang w:val="it-IT"/>
        </w:rPr>
        <w:t xml:space="preserve"> </w:t>
      </w:r>
      <w:r w:rsidRPr="0036740A">
        <w:rPr>
          <w:rFonts w:ascii="Times New Roman" w:hAnsi="Times New Roman" w:cs="Times New Roman"/>
          <w:b/>
          <w:spacing w:val="1"/>
          <w:sz w:val="24"/>
          <w:lang w:val="it-IT"/>
        </w:rPr>
        <w:t>(</w:t>
      </w:r>
      <w:r w:rsidRPr="0036740A">
        <w:rPr>
          <w:rFonts w:ascii="Times New Roman" w:hAnsi="Times New Roman" w:cs="Times New Roman"/>
          <w:b/>
          <w:sz w:val="24"/>
          <w:lang w:val="it-IT"/>
        </w:rPr>
        <w:t>N</w:t>
      </w:r>
      <w:r w:rsidRPr="0036740A">
        <w:rPr>
          <w:rFonts w:ascii="Times New Roman" w:hAnsi="Times New Roman" w:cs="Times New Roman"/>
          <w:b/>
          <w:spacing w:val="1"/>
          <w:sz w:val="24"/>
          <w:lang w:val="it-IT"/>
        </w:rPr>
        <w:t>O</w:t>
      </w:r>
      <w:r w:rsidRPr="0036740A">
        <w:rPr>
          <w:rFonts w:ascii="Times New Roman" w:hAnsi="Times New Roman" w:cs="Times New Roman"/>
          <w:b/>
          <w:spacing w:val="1"/>
          <w:position w:val="-3"/>
          <w:sz w:val="24"/>
          <w:lang w:val="it-IT"/>
        </w:rPr>
        <w:t>3</w:t>
      </w:r>
      <w:r w:rsidRPr="0036740A">
        <w:rPr>
          <w:rFonts w:ascii="Times New Roman" w:hAnsi="Times New Roman" w:cs="Times New Roman"/>
          <w:b/>
          <w:spacing w:val="-1"/>
          <w:sz w:val="24"/>
          <w:lang w:val="it-IT"/>
        </w:rPr>
        <w:t>)</w:t>
      </w:r>
      <w:r w:rsidRPr="0036740A">
        <w:rPr>
          <w:rFonts w:ascii="Times New Roman" w:hAnsi="Times New Roman" w:cs="Times New Roman"/>
          <w:b/>
          <w:sz w:val="24"/>
          <w:lang w:val="it-IT"/>
        </w:rPr>
        <w:t xml:space="preserve">: </w:t>
      </w:r>
      <w:r w:rsidRPr="0036740A">
        <w:rPr>
          <w:rFonts w:ascii="Times New Roman" w:hAnsi="Times New Roman" w:cs="Times New Roman"/>
          <w:spacing w:val="1"/>
          <w:sz w:val="24"/>
          <w:lang w:val="pt-BR"/>
        </w:rPr>
        <w:t xml:space="preserve">Vlerat </w:t>
      </w:r>
      <w:r w:rsidRPr="0036740A">
        <w:rPr>
          <w:rFonts w:ascii="Times New Roman" w:hAnsi="Times New Roman" w:cs="Times New Roman"/>
          <w:sz w:val="24"/>
          <w:lang w:val="pt-BR"/>
        </w:rPr>
        <w:t>e</w:t>
      </w:r>
      <w:r w:rsidRPr="0036740A">
        <w:rPr>
          <w:rFonts w:ascii="Times New Roman" w:hAnsi="Times New Roman" w:cs="Times New Roman"/>
          <w:spacing w:val="1"/>
          <w:sz w:val="24"/>
          <w:lang w:val="pt-BR"/>
        </w:rPr>
        <w:t xml:space="preserve"> </w:t>
      </w:r>
      <w:r w:rsidRPr="0036740A">
        <w:rPr>
          <w:rFonts w:ascii="Times New Roman" w:hAnsi="Times New Roman" w:cs="Times New Roman"/>
          <w:sz w:val="24"/>
          <w:lang w:val="pt-BR"/>
        </w:rPr>
        <w:t>ni</w:t>
      </w:r>
      <w:r w:rsidRPr="0036740A">
        <w:rPr>
          <w:rFonts w:ascii="Times New Roman" w:hAnsi="Times New Roman" w:cs="Times New Roman"/>
          <w:spacing w:val="1"/>
          <w:sz w:val="24"/>
          <w:lang w:val="pt-BR"/>
        </w:rPr>
        <w:t>tr</w:t>
      </w:r>
      <w:r w:rsidRPr="0036740A">
        <w:rPr>
          <w:rFonts w:ascii="Times New Roman" w:hAnsi="Times New Roman" w:cs="Times New Roman"/>
          <w:sz w:val="24"/>
          <w:lang w:val="pt-BR"/>
        </w:rPr>
        <w:t>i</w:t>
      </w:r>
      <w:r w:rsidRPr="0036740A">
        <w:rPr>
          <w:rFonts w:ascii="Times New Roman" w:hAnsi="Times New Roman" w:cs="Times New Roman"/>
          <w:spacing w:val="1"/>
          <w:sz w:val="24"/>
          <w:lang w:val="pt-BR"/>
        </w:rPr>
        <w:t>t</w:t>
      </w:r>
      <w:r w:rsidRPr="0036740A">
        <w:rPr>
          <w:rFonts w:ascii="Times New Roman" w:hAnsi="Times New Roman" w:cs="Times New Roman"/>
          <w:spacing w:val="-1"/>
          <w:sz w:val="24"/>
          <w:lang w:val="pt-BR"/>
        </w:rPr>
        <w:t>e</w:t>
      </w:r>
      <w:r w:rsidRPr="0036740A">
        <w:rPr>
          <w:rFonts w:ascii="Times New Roman" w:hAnsi="Times New Roman" w:cs="Times New Roman"/>
          <w:sz w:val="24"/>
          <w:lang w:val="pt-BR"/>
        </w:rPr>
        <w:t>ve NO</w:t>
      </w:r>
      <w:r w:rsidRPr="0036740A">
        <w:rPr>
          <w:rFonts w:ascii="Times New Roman" w:hAnsi="Times New Roman" w:cs="Times New Roman"/>
          <w:position w:val="-3"/>
          <w:sz w:val="24"/>
          <w:lang w:val="pt-BR"/>
        </w:rPr>
        <w:t>2</w:t>
      </w:r>
      <w:r w:rsidRPr="0036740A">
        <w:rPr>
          <w:rFonts w:ascii="Times New Roman" w:hAnsi="Times New Roman" w:cs="Times New Roman"/>
          <w:spacing w:val="3"/>
          <w:position w:val="-3"/>
          <w:sz w:val="24"/>
          <w:lang w:val="pt-BR"/>
        </w:rPr>
        <w:t xml:space="preserve"> </w:t>
      </w:r>
      <w:r w:rsidRPr="0036740A">
        <w:rPr>
          <w:rFonts w:ascii="Times New Roman" w:hAnsi="Times New Roman" w:cs="Times New Roman"/>
          <w:sz w:val="24"/>
          <w:lang w:val="pt-BR"/>
        </w:rPr>
        <w:t>në dy f</w:t>
      </w:r>
      <w:r w:rsidRPr="0036740A">
        <w:rPr>
          <w:rFonts w:ascii="Times New Roman" w:hAnsi="Times New Roman" w:cs="Times New Roman"/>
          <w:spacing w:val="-2"/>
          <w:sz w:val="24"/>
          <w:lang w:val="pt-BR"/>
        </w:rPr>
        <w:t>a</w:t>
      </w:r>
      <w:r w:rsidRPr="0036740A">
        <w:rPr>
          <w:rFonts w:ascii="Times New Roman" w:hAnsi="Times New Roman" w:cs="Times New Roman"/>
          <w:spacing w:val="1"/>
          <w:sz w:val="24"/>
          <w:lang w:val="pt-BR"/>
        </w:rPr>
        <w:t>z</w:t>
      </w:r>
      <w:r w:rsidRPr="0036740A">
        <w:rPr>
          <w:rFonts w:ascii="Times New Roman" w:hAnsi="Times New Roman" w:cs="Times New Roman"/>
          <w:spacing w:val="-1"/>
          <w:sz w:val="24"/>
          <w:lang w:val="pt-BR"/>
        </w:rPr>
        <w:t>a</w:t>
      </w:r>
      <w:r w:rsidRPr="0036740A">
        <w:rPr>
          <w:rFonts w:ascii="Times New Roman" w:hAnsi="Times New Roman" w:cs="Times New Roman"/>
          <w:sz w:val="24"/>
          <w:lang w:val="pt-BR"/>
        </w:rPr>
        <w:t>t</w:t>
      </w:r>
      <w:r w:rsidRPr="0036740A">
        <w:rPr>
          <w:rFonts w:ascii="Times New Roman" w:hAnsi="Times New Roman" w:cs="Times New Roman"/>
          <w:spacing w:val="1"/>
          <w:sz w:val="24"/>
          <w:lang w:val="pt-BR"/>
        </w:rPr>
        <w:t xml:space="preserve"> </w:t>
      </w:r>
      <w:r w:rsidRPr="0036740A">
        <w:rPr>
          <w:rFonts w:ascii="Times New Roman" w:hAnsi="Times New Roman" w:cs="Times New Roman"/>
          <w:sz w:val="24"/>
          <w:lang w:val="pt-BR"/>
        </w:rPr>
        <w:t>e mo</w:t>
      </w:r>
      <w:r w:rsidRPr="0036740A">
        <w:rPr>
          <w:rFonts w:ascii="Times New Roman" w:hAnsi="Times New Roman" w:cs="Times New Roman"/>
          <w:spacing w:val="3"/>
          <w:sz w:val="24"/>
          <w:lang w:val="pt-BR"/>
        </w:rPr>
        <w:t>n</w:t>
      </w:r>
      <w:r w:rsidRPr="0036740A">
        <w:rPr>
          <w:rFonts w:ascii="Times New Roman" w:hAnsi="Times New Roman" w:cs="Times New Roman"/>
          <w:sz w:val="24"/>
          <w:lang w:val="pt-BR"/>
        </w:rPr>
        <w:t>i</w:t>
      </w:r>
      <w:r w:rsidRPr="0036740A">
        <w:rPr>
          <w:rFonts w:ascii="Times New Roman" w:hAnsi="Times New Roman" w:cs="Times New Roman"/>
          <w:spacing w:val="1"/>
          <w:sz w:val="24"/>
          <w:lang w:val="pt-BR"/>
        </w:rPr>
        <w:t>t</w:t>
      </w:r>
      <w:r w:rsidRPr="0036740A">
        <w:rPr>
          <w:rFonts w:ascii="Times New Roman" w:hAnsi="Times New Roman" w:cs="Times New Roman"/>
          <w:sz w:val="24"/>
          <w:lang w:val="pt-BR"/>
        </w:rPr>
        <w:t>o</w:t>
      </w:r>
      <w:r w:rsidRPr="0036740A">
        <w:rPr>
          <w:rFonts w:ascii="Times New Roman" w:hAnsi="Times New Roman" w:cs="Times New Roman"/>
          <w:spacing w:val="-1"/>
          <w:sz w:val="24"/>
          <w:lang w:val="pt-BR"/>
        </w:rPr>
        <w:t>r</w:t>
      </w:r>
      <w:r w:rsidRPr="0036740A">
        <w:rPr>
          <w:rFonts w:ascii="Times New Roman" w:hAnsi="Times New Roman" w:cs="Times New Roman"/>
          <w:sz w:val="24"/>
          <w:lang w:val="pt-BR"/>
        </w:rPr>
        <w:t>i</w:t>
      </w:r>
      <w:r w:rsidRPr="0036740A">
        <w:rPr>
          <w:rFonts w:ascii="Times New Roman" w:hAnsi="Times New Roman" w:cs="Times New Roman"/>
          <w:spacing w:val="1"/>
          <w:sz w:val="24"/>
          <w:lang w:val="pt-BR"/>
        </w:rPr>
        <w:t>m</w:t>
      </w:r>
      <w:r w:rsidRPr="0036740A">
        <w:rPr>
          <w:rFonts w:ascii="Times New Roman" w:hAnsi="Times New Roman" w:cs="Times New Roman"/>
          <w:sz w:val="24"/>
          <w:lang w:val="pt-BR"/>
        </w:rPr>
        <w:t>it</w:t>
      </w:r>
      <w:r w:rsidRPr="0036740A">
        <w:rPr>
          <w:rFonts w:ascii="Times New Roman" w:hAnsi="Times New Roman" w:cs="Times New Roman"/>
          <w:spacing w:val="2"/>
          <w:sz w:val="24"/>
          <w:lang w:val="pt-BR"/>
        </w:rPr>
        <w:t xml:space="preserve"> </w:t>
      </w:r>
      <w:r w:rsidRPr="0036740A">
        <w:rPr>
          <w:rFonts w:ascii="Times New Roman" w:hAnsi="Times New Roman" w:cs="Times New Roman"/>
          <w:sz w:val="24"/>
          <w:lang w:val="pt-BR"/>
        </w:rPr>
        <w:t>p</w:t>
      </w:r>
      <w:r w:rsidRPr="0036740A">
        <w:rPr>
          <w:rFonts w:ascii="Times New Roman" w:hAnsi="Times New Roman" w:cs="Times New Roman"/>
          <w:spacing w:val="-1"/>
          <w:sz w:val="24"/>
          <w:lang w:val="pt-BR"/>
        </w:rPr>
        <w:t>ë</w:t>
      </w:r>
      <w:r w:rsidRPr="0036740A">
        <w:rPr>
          <w:rFonts w:ascii="Times New Roman" w:hAnsi="Times New Roman" w:cs="Times New Roman"/>
          <w:sz w:val="24"/>
          <w:lang w:val="pt-BR"/>
        </w:rPr>
        <w:t>r vi</w:t>
      </w:r>
      <w:r w:rsidRPr="0036740A">
        <w:rPr>
          <w:rFonts w:ascii="Times New Roman" w:hAnsi="Times New Roman" w:cs="Times New Roman"/>
          <w:spacing w:val="4"/>
          <w:sz w:val="24"/>
          <w:lang w:val="pt-BR"/>
        </w:rPr>
        <w:t>t</w:t>
      </w:r>
      <w:r w:rsidRPr="0036740A">
        <w:rPr>
          <w:rFonts w:ascii="Times New Roman" w:hAnsi="Times New Roman" w:cs="Times New Roman"/>
          <w:sz w:val="24"/>
          <w:lang w:val="pt-BR"/>
        </w:rPr>
        <w:t>in 2025</w:t>
      </w:r>
      <w:r w:rsidRPr="0036740A">
        <w:rPr>
          <w:rFonts w:ascii="Times New Roman" w:hAnsi="Times New Roman" w:cs="Times New Roman"/>
          <w:spacing w:val="1"/>
          <w:sz w:val="24"/>
          <w:lang w:val="pt-BR"/>
        </w:rPr>
        <w:t xml:space="preserve"> </w:t>
      </w:r>
      <w:r w:rsidRPr="0036740A">
        <w:rPr>
          <w:rFonts w:ascii="Times New Roman" w:hAnsi="Times New Roman" w:cs="Times New Roman"/>
          <w:sz w:val="24"/>
          <w:lang w:val="pt-BR"/>
        </w:rPr>
        <w:t>në  shpimet e akuiferit Kuaternar të Vjosës varion nga 0.03-20.09  mg/l</w:t>
      </w:r>
      <w:r w:rsidRPr="0036740A">
        <w:rPr>
          <w:rFonts w:ascii="Times New Roman" w:hAnsi="Times New Roman" w:cs="Times New Roman"/>
          <w:sz w:val="24"/>
          <w:lang w:val="it-IT"/>
        </w:rPr>
        <w:t xml:space="preserve"> dhe</w:t>
      </w:r>
      <w:r w:rsidRPr="0036740A">
        <w:rPr>
          <w:rFonts w:ascii="Times New Roman" w:hAnsi="Times New Roman" w:cs="Times New Roman"/>
          <w:spacing w:val="4"/>
          <w:sz w:val="24"/>
          <w:lang w:val="it-IT"/>
        </w:rPr>
        <w:t xml:space="preserve"> </w:t>
      </w:r>
      <w:r w:rsidRPr="0036740A">
        <w:rPr>
          <w:rFonts w:ascii="Times New Roman" w:hAnsi="Times New Roman" w:cs="Times New Roman"/>
          <w:sz w:val="24"/>
          <w:lang w:val="it-IT"/>
        </w:rPr>
        <w:t>sipas</w:t>
      </w:r>
      <w:r w:rsidRPr="0036740A">
        <w:rPr>
          <w:rFonts w:ascii="Times New Roman" w:hAnsi="Times New Roman" w:cs="Times New Roman"/>
          <w:spacing w:val="5"/>
          <w:sz w:val="24"/>
          <w:lang w:val="it-IT"/>
        </w:rPr>
        <w:t xml:space="preserve"> </w:t>
      </w:r>
      <w:r w:rsidRPr="0036740A">
        <w:rPr>
          <w:rFonts w:ascii="Times New Roman" w:hAnsi="Times New Roman" w:cs="Times New Roman"/>
          <w:sz w:val="24"/>
          <w:lang w:val="it-IT"/>
        </w:rPr>
        <w:t>norm</w:t>
      </w:r>
      <w:r w:rsidRPr="0036740A">
        <w:rPr>
          <w:rFonts w:ascii="Times New Roman" w:hAnsi="Times New Roman" w:cs="Times New Roman"/>
          <w:spacing w:val="1"/>
          <w:sz w:val="24"/>
          <w:lang w:val="it-IT"/>
        </w:rPr>
        <w:t>ë</w:t>
      </w:r>
      <w:r w:rsidRPr="0036740A">
        <w:rPr>
          <w:rFonts w:ascii="Times New Roman" w:hAnsi="Times New Roman" w:cs="Times New Roman"/>
          <w:sz w:val="24"/>
          <w:lang w:val="it-IT"/>
        </w:rPr>
        <w:t>s</w:t>
      </w:r>
      <w:r w:rsidRPr="0036740A">
        <w:rPr>
          <w:rFonts w:ascii="Times New Roman" w:hAnsi="Times New Roman" w:cs="Times New Roman"/>
          <w:spacing w:val="5"/>
          <w:sz w:val="24"/>
          <w:lang w:val="it-IT"/>
        </w:rPr>
        <w:t xml:space="preserve"> </w:t>
      </w:r>
      <w:r w:rsidRPr="0036740A">
        <w:rPr>
          <w:rFonts w:ascii="Times New Roman" w:hAnsi="Times New Roman" w:cs="Times New Roman"/>
          <w:sz w:val="24"/>
          <w:lang w:val="it-IT"/>
        </w:rPr>
        <w:t>së</w:t>
      </w:r>
      <w:r w:rsidRPr="0036740A">
        <w:rPr>
          <w:rFonts w:ascii="Times New Roman" w:hAnsi="Times New Roman" w:cs="Times New Roman"/>
          <w:spacing w:val="4"/>
          <w:sz w:val="24"/>
          <w:lang w:val="it-IT"/>
        </w:rPr>
        <w:t xml:space="preserve"> </w:t>
      </w:r>
      <w:r w:rsidRPr="0036740A">
        <w:rPr>
          <w:rFonts w:ascii="Times New Roman" w:hAnsi="Times New Roman" w:cs="Times New Roman"/>
          <w:sz w:val="24"/>
          <w:lang w:val="it-IT"/>
        </w:rPr>
        <w:t>leju</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r</w:t>
      </w:r>
      <w:r w:rsidRPr="0036740A">
        <w:rPr>
          <w:rFonts w:ascii="Times New Roman" w:hAnsi="Times New Roman" w:cs="Times New Roman"/>
          <w:spacing w:val="4"/>
          <w:sz w:val="24"/>
          <w:lang w:val="it-IT"/>
        </w:rPr>
        <w:t xml:space="preserve"> </w:t>
      </w:r>
      <w:r w:rsidRPr="0036740A">
        <w:rPr>
          <w:rFonts w:ascii="Times New Roman" w:hAnsi="Times New Roman" w:cs="Times New Roman"/>
          <w:sz w:val="24"/>
          <w:lang w:val="it-IT"/>
        </w:rPr>
        <w:t>p</w:t>
      </w:r>
      <w:r w:rsidRPr="0036740A">
        <w:rPr>
          <w:rFonts w:ascii="Times New Roman" w:hAnsi="Times New Roman" w:cs="Times New Roman"/>
          <w:spacing w:val="-1"/>
          <w:sz w:val="24"/>
          <w:lang w:val="it-IT"/>
        </w:rPr>
        <w:t>ë</w:t>
      </w:r>
      <w:r w:rsidRPr="0036740A">
        <w:rPr>
          <w:rFonts w:ascii="Times New Roman" w:hAnsi="Times New Roman" w:cs="Times New Roman"/>
          <w:sz w:val="24"/>
          <w:lang w:val="it-IT"/>
        </w:rPr>
        <w:t>r</w:t>
      </w:r>
      <w:r w:rsidRPr="0036740A">
        <w:rPr>
          <w:rFonts w:ascii="Times New Roman" w:hAnsi="Times New Roman" w:cs="Times New Roman"/>
          <w:spacing w:val="4"/>
          <w:sz w:val="24"/>
          <w:lang w:val="it-IT"/>
        </w:rPr>
        <w:t xml:space="preserve"> </w:t>
      </w:r>
      <w:r w:rsidRPr="0036740A">
        <w:rPr>
          <w:rFonts w:ascii="Times New Roman" w:hAnsi="Times New Roman" w:cs="Times New Roman"/>
          <w:sz w:val="24"/>
          <w:lang w:val="it-IT"/>
        </w:rPr>
        <w:t>ujë</w:t>
      </w:r>
      <w:r w:rsidRPr="0036740A">
        <w:rPr>
          <w:rFonts w:ascii="Times New Roman" w:hAnsi="Times New Roman" w:cs="Times New Roman"/>
          <w:spacing w:val="4"/>
          <w:sz w:val="24"/>
          <w:lang w:val="it-IT"/>
        </w:rPr>
        <w:t xml:space="preserve"> </w:t>
      </w:r>
      <w:r w:rsidRPr="0036740A">
        <w:rPr>
          <w:rFonts w:ascii="Times New Roman" w:hAnsi="Times New Roman" w:cs="Times New Roman"/>
          <w:sz w:val="24"/>
          <w:lang w:val="it-IT"/>
        </w:rPr>
        <w:t>të</w:t>
      </w:r>
      <w:r w:rsidRPr="0036740A">
        <w:rPr>
          <w:rFonts w:ascii="Times New Roman" w:hAnsi="Times New Roman" w:cs="Times New Roman"/>
          <w:spacing w:val="4"/>
          <w:sz w:val="24"/>
          <w:lang w:val="it-IT"/>
        </w:rPr>
        <w:t xml:space="preserve"> </w:t>
      </w:r>
      <w:r w:rsidRPr="0036740A">
        <w:rPr>
          <w:rFonts w:ascii="Times New Roman" w:hAnsi="Times New Roman" w:cs="Times New Roman"/>
          <w:sz w:val="24"/>
          <w:lang w:val="it-IT"/>
        </w:rPr>
        <w:t>pi</w:t>
      </w:r>
      <w:r w:rsidRPr="0036740A">
        <w:rPr>
          <w:rFonts w:ascii="Times New Roman" w:hAnsi="Times New Roman" w:cs="Times New Roman"/>
          <w:spacing w:val="3"/>
          <w:sz w:val="24"/>
          <w:lang w:val="it-IT"/>
        </w:rPr>
        <w:t>j</w:t>
      </w:r>
      <w:r w:rsidRPr="0036740A">
        <w:rPr>
          <w:rFonts w:ascii="Times New Roman" w:hAnsi="Times New Roman" w:cs="Times New Roman"/>
          <w:sz w:val="24"/>
          <w:lang w:val="it-IT"/>
        </w:rPr>
        <w:t>shëm</w:t>
      </w:r>
      <w:r w:rsidRPr="0036740A">
        <w:rPr>
          <w:rFonts w:ascii="Times New Roman" w:hAnsi="Times New Roman" w:cs="Times New Roman"/>
          <w:spacing w:val="5"/>
          <w:sz w:val="24"/>
          <w:lang w:val="it-IT"/>
        </w:rPr>
        <w:t xml:space="preserve"> </w:t>
      </w:r>
      <w:r w:rsidRPr="0036740A">
        <w:rPr>
          <w:rFonts w:ascii="Times New Roman" w:hAnsi="Times New Roman" w:cs="Times New Roman"/>
          <w:spacing w:val="2"/>
          <w:sz w:val="24"/>
          <w:lang w:val="it-IT"/>
        </w:rPr>
        <w:t>k</w:t>
      </w:r>
      <w:r w:rsidRPr="0036740A">
        <w:rPr>
          <w:rFonts w:ascii="Times New Roman" w:hAnsi="Times New Roman" w:cs="Times New Roman"/>
          <w:sz w:val="24"/>
          <w:lang w:val="it-IT"/>
        </w:rPr>
        <w:t>y tr</w:t>
      </w:r>
      <w:r w:rsidRPr="0036740A">
        <w:rPr>
          <w:rFonts w:ascii="Times New Roman" w:hAnsi="Times New Roman" w:cs="Times New Roman"/>
          <w:spacing w:val="1"/>
          <w:sz w:val="24"/>
          <w:lang w:val="it-IT"/>
        </w:rPr>
        <w:t>e</w:t>
      </w:r>
      <w:r w:rsidRPr="0036740A">
        <w:rPr>
          <w:rFonts w:ascii="Times New Roman" w:hAnsi="Times New Roman" w:cs="Times New Roman"/>
          <w:spacing w:val="-2"/>
          <w:sz w:val="24"/>
          <w:lang w:val="it-IT"/>
        </w:rPr>
        <w:t>g</w:t>
      </w:r>
      <w:r w:rsidRPr="0036740A">
        <w:rPr>
          <w:rFonts w:ascii="Times New Roman" w:hAnsi="Times New Roman" w:cs="Times New Roman"/>
          <w:spacing w:val="2"/>
          <w:sz w:val="24"/>
          <w:lang w:val="it-IT"/>
        </w:rPr>
        <w:t>u</w:t>
      </w:r>
      <w:r w:rsidRPr="0036740A">
        <w:rPr>
          <w:rFonts w:ascii="Times New Roman" w:hAnsi="Times New Roman" w:cs="Times New Roman"/>
          <w:spacing w:val="-1"/>
          <w:sz w:val="24"/>
          <w:lang w:val="it-IT"/>
        </w:rPr>
        <w:t>e</w:t>
      </w:r>
      <w:r w:rsidRPr="0036740A">
        <w:rPr>
          <w:rFonts w:ascii="Times New Roman" w:hAnsi="Times New Roman" w:cs="Times New Roman"/>
          <w:sz w:val="24"/>
          <w:lang w:val="it-IT"/>
        </w:rPr>
        <w:t>s</w:t>
      </w:r>
      <w:r w:rsidRPr="0036740A">
        <w:rPr>
          <w:rFonts w:ascii="Times New Roman" w:hAnsi="Times New Roman" w:cs="Times New Roman"/>
          <w:spacing w:val="5"/>
          <w:sz w:val="24"/>
          <w:lang w:val="it-IT"/>
        </w:rPr>
        <w:t xml:space="preserve">, </w:t>
      </w:r>
      <w:r w:rsidRPr="0036740A">
        <w:rPr>
          <w:rFonts w:ascii="Times New Roman" w:hAnsi="Times New Roman" w:cs="Times New Roman"/>
          <w:spacing w:val="-1"/>
          <w:sz w:val="24"/>
          <w:lang w:val="it-IT"/>
        </w:rPr>
        <w:t>ë</w:t>
      </w:r>
      <w:r w:rsidRPr="0036740A">
        <w:rPr>
          <w:rFonts w:ascii="Times New Roman" w:hAnsi="Times New Roman" w:cs="Times New Roman"/>
          <w:sz w:val="24"/>
          <w:lang w:val="it-IT"/>
        </w:rPr>
        <w:t>shtë n</w:t>
      </w:r>
      <w:r w:rsidRPr="0036740A">
        <w:rPr>
          <w:rFonts w:ascii="Times New Roman" w:hAnsi="Times New Roman" w:cs="Times New Roman"/>
          <w:spacing w:val="1"/>
          <w:sz w:val="24"/>
          <w:lang w:val="it-IT"/>
        </w:rPr>
        <w:t>ë</w:t>
      </w:r>
      <w:r w:rsidRPr="0036740A">
        <w:rPr>
          <w:rFonts w:ascii="Times New Roman" w:hAnsi="Times New Roman" w:cs="Times New Roman"/>
          <w:sz w:val="24"/>
          <w:lang w:val="it-IT"/>
        </w:rPr>
        <w:t>n</w:t>
      </w:r>
      <w:r w:rsidRPr="0036740A">
        <w:rPr>
          <w:rFonts w:ascii="Times New Roman" w:hAnsi="Times New Roman" w:cs="Times New Roman"/>
          <w:spacing w:val="1"/>
          <w:sz w:val="24"/>
          <w:lang w:val="it-IT"/>
        </w:rPr>
        <w:t xml:space="preserve"> </w:t>
      </w:r>
      <w:r w:rsidRPr="0036740A">
        <w:rPr>
          <w:rFonts w:ascii="Times New Roman" w:hAnsi="Times New Roman" w:cs="Times New Roman"/>
          <w:sz w:val="24"/>
          <w:lang w:val="it-IT"/>
        </w:rPr>
        <w:t xml:space="preserve">vlerën </w:t>
      </w:r>
      <w:r w:rsidRPr="0036740A">
        <w:rPr>
          <w:rFonts w:ascii="Times New Roman" w:hAnsi="Times New Roman" w:cs="Times New Roman"/>
          <w:spacing w:val="3"/>
          <w:sz w:val="24"/>
          <w:lang w:val="it-IT"/>
        </w:rPr>
        <w:t>m</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ksi</w:t>
      </w:r>
      <w:r w:rsidRPr="0036740A">
        <w:rPr>
          <w:rFonts w:ascii="Times New Roman" w:hAnsi="Times New Roman" w:cs="Times New Roman"/>
          <w:spacing w:val="1"/>
          <w:sz w:val="24"/>
          <w:lang w:val="it-IT"/>
        </w:rPr>
        <w:t>m</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le të lej</w:t>
      </w:r>
      <w:r w:rsidRPr="0036740A">
        <w:rPr>
          <w:rFonts w:ascii="Times New Roman" w:hAnsi="Times New Roman" w:cs="Times New Roman"/>
          <w:spacing w:val="2"/>
          <w:sz w:val="24"/>
          <w:lang w:val="it-IT"/>
        </w:rPr>
        <w:t>u</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r</w:t>
      </w:r>
      <w:r w:rsidRPr="0036740A">
        <w:rPr>
          <w:rFonts w:ascii="Times New Roman" w:hAnsi="Times New Roman" w:cs="Times New Roman"/>
          <w:spacing w:val="4"/>
          <w:sz w:val="24"/>
          <w:lang w:val="it-IT"/>
        </w:rPr>
        <w:t xml:space="preserve"> </w:t>
      </w:r>
      <w:r w:rsidRPr="0036740A">
        <w:rPr>
          <w:rFonts w:ascii="Times New Roman" w:hAnsi="Times New Roman" w:cs="Times New Roman"/>
          <w:sz w:val="24"/>
          <w:lang w:val="it-IT"/>
        </w:rPr>
        <w:t>ku</w:t>
      </w:r>
      <w:r w:rsidRPr="0036740A">
        <w:rPr>
          <w:rFonts w:ascii="Times New Roman" w:hAnsi="Times New Roman" w:cs="Times New Roman"/>
          <w:spacing w:val="3"/>
          <w:sz w:val="24"/>
          <w:lang w:val="it-IT"/>
        </w:rPr>
        <w:t xml:space="preserve"> </w:t>
      </w:r>
      <w:r w:rsidRPr="0036740A">
        <w:rPr>
          <w:rFonts w:ascii="Times New Roman" w:hAnsi="Times New Roman" w:cs="Times New Roman"/>
          <w:sz w:val="24"/>
          <w:lang w:val="it-IT"/>
        </w:rPr>
        <w:t>sipas</w:t>
      </w:r>
      <w:r w:rsidRPr="0036740A">
        <w:rPr>
          <w:rFonts w:ascii="Times New Roman" w:hAnsi="Times New Roman" w:cs="Times New Roman"/>
          <w:spacing w:val="1"/>
          <w:sz w:val="24"/>
          <w:lang w:val="it-IT"/>
        </w:rPr>
        <w:t xml:space="preserve"> </w:t>
      </w:r>
      <w:r w:rsidRPr="0036740A">
        <w:rPr>
          <w:rFonts w:ascii="Times New Roman" w:hAnsi="Times New Roman" w:cs="Times New Roman"/>
          <w:spacing w:val="2"/>
          <w:sz w:val="24"/>
          <w:lang w:val="it-IT"/>
        </w:rPr>
        <w:t>VK</w:t>
      </w:r>
      <w:r w:rsidRPr="0036740A">
        <w:rPr>
          <w:rFonts w:ascii="Times New Roman" w:hAnsi="Times New Roman" w:cs="Times New Roman"/>
          <w:sz w:val="24"/>
          <w:lang w:val="it-IT"/>
        </w:rPr>
        <w:t>M</w:t>
      </w:r>
      <w:r w:rsidRPr="0036740A">
        <w:rPr>
          <w:rFonts w:ascii="Times New Roman" w:hAnsi="Times New Roman" w:cs="Times New Roman"/>
          <w:spacing w:val="2"/>
          <w:sz w:val="24"/>
          <w:lang w:val="it-IT"/>
        </w:rPr>
        <w:t xml:space="preserve"> </w:t>
      </w:r>
      <w:r w:rsidRPr="0036740A">
        <w:rPr>
          <w:rFonts w:ascii="Times New Roman" w:hAnsi="Times New Roman" w:cs="Times New Roman"/>
          <w:sz w:val="24"/>
          <w:lang w:val="it-IT"/>
        </w:rPr>
        <w:t>379</w:t>
      </w:r>
      <w:r w:rsidRPr="0036740A">
        <w:rPr>
          <w:rFonts w:ascii="Times New Roman" w:hAnsi="Times New Roman" w:cs="Times New Roman"/>
          <w:spacing w:val="1"/>
          <w:sz w:val="24"/>
          <w:lang w:val="it-IT"/>
        </w:rPr>
        <w:t xml:space="preserve"> </w:t>
      </w:r>
      <w:r w:rsidRPr="0036740A">
        <w:rPr>
          <w:rFonts w:ascii="Times New Roman" w:hAnsi="Times New Roman" w:cs="Times New Roman"/>
          <w:sz w:val="24"/>
          <w:lang w:val="it-IT"/>
        </w:rPr>
        <w:lastRenderedPageBreak/>
        <w:t>(25.05.2016</w:t>
      </w:r>
      <w:r w:rsidRPr="0036740A">
        <w:rPr>
          <w:rFonts w:ascii="Times New Roman" w:hAnsi="Times New Roman" w:cs="Times New Roman"/>
          <w:spacing w:val="1"/>
          <w:sz w:val="24"/>
          <w:lang w:val="it-IT"/>
        </w:rPr>
        <w:t>)</w:t>
      </w:r>
      <w:r w:rsidRPr="0036740A">
        <w:rPr>
          <w:rFonts w:ascii="Times New Roman" w:hAnsi="Times New Roman" w:cs="Times New Roman"/>
          <w:sz w:val="24"/>
          <w:lang w:val="it-IT"/>
        </w:rPr>
        <w:t>, p</w:t>
      </w:r>
      <w:r w:rsidRPr="0036740A">
        <w:rPr>
          <w:rFonts w:ascii="Times New Roman" w:hAnsi="Times New Roman" w:cs="Times New Roman"/>
          <w:spacing w:val="-1"/>
          <w:sz w:val="24"/>
          <w:lang w:val="it-IT"/>
        </w:rPr>
        <w:t>ë</w:t>
      </w:r>
      <w:r w:rsidRPr="0036740A">
        <w:rPr>
          <w:rFonts w:ascii="Times New Roman" w:hAnsi="Times New Roman" w:cs="Times New Roman"/>
          <w:sz w:val="24"/>
          <w:lang w:val="it-IT"/>
        </w:rPr>
        <w:t>rmb</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j</w:t>
      </w:r>
      <w:r w:rsidRPr="0036740A">
        <w:rPr>
          <w:rFonts w:ascii="Times New Roman" w:hAnsi="Times New Roman" w:cs="Times New Roman"/>
          <w:spacing w:val="1"/>
          <w:sz w:val="24"/>
          <w:lang w:val="it-IT"/>
        </w:rPr>
        <w:t>t</w:t>
      </w:r>
      <w:r w:rsidRPr="0036740A">
        <w:rPr>
          <w:rFonts w:ascii="Times New Roman" w:hAnsi="Times New Roman" w:cs="Times New Roman"/>
          <w:sz w:val="24"/>
          <w:lang w:val="it-IT"/>
        </w:rPr>
        <w:t>ja m</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ksi</w:t>
      </w:r>
      <w:r w:rsidRPr="0036740A">
        <w:rPr>
          <w:rFonts w:ascii="Times New Roman" w:hAnsi="Times New Roman" w:cs="Times New Roman"/>
          <w:spacing w:val="1"/>
          <w:sz w:val="24"/>
          <w:lang w:val="it-IT"/>
        </w:rPr>
        <w:t>m</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le e</w:t>
      </w:r>
      <w:r w:rsidRPr="0036740A">
        <w:rPr>
          <w:rFonts w:ascii="Times New Roman" w:hAnsi="Times New Roman" w:cs="Times New Roman"/>
          <w:spacing w:val="-1"/>
          <w:sz w:val="24"/>
          <w:lang w:val="it-IT"/>
        </w:rPr>
        <w:t xml:space="preserve"> </w:t>
      </w:r>
      <w:r w:rsidRPr="0036740A">
        <w:rPr>
          <w:rFonts w:ascii="Times New Roman" w:hAnsi="Times New Roman" w:cs="Times New Roman"/>
          <w:spacing w:val="3"/>
          <w:sz w:val="24"/>
          <w:lang w:val="it-IT"/>
        </w:rPr>
        <w:t>l</w:t>
      </w:r>
      <w:r w:rsidRPr="0036740A">
        <w:rPr>
          <w:rFonts w:ascii="Times New Roman" w:hAnsi="Times New Roman" w:cs="Times New Roman"/>
          <w:spacing w:val="-1"/>
          <w:sz w:val="24"/>
          <w:lang w:val="it-IT"/>
        </w:rPr>
        <w:t>e</w:t>
      </w:r>
      <w:r w:rsidRPr="0036740A">
        <w:rPr>
          <w:rFonts w:ascii="Times New Roman" w:hAnsi="Times New Roman" w:cs="Times New Roman"/>
          <w:sz w:val="24"/>
          <w:lang w:val="it-IT"/>
        </w:rPr>
        <w:t>juar</w:t>
      </w:r>
      <w:r w:rsidRPr="0036740A">
        <w:rPr>
          <w:rFonts w:ascii="Times New Roman" w:hAnsi="Times New Roman" w:cs="Times New Roman"/>
          <w:spacing w:val="-1"/>
          <w:sz w:val="24"/>
          <w:lang w:val="it-IT"/>
        </w:rPr>
        <w:t xml:space="preserve"> </w:t>
      </w:r>
      <w:r w:rsidRPr="0036740A">
        <w:rPr>
          <w:rFonts w:ascii="Times New Roman" w:hAnsi="Times New Roman" w:cs="Times New Roman"/>
          <w:sz w:val="24"/>
          <w:lang w:val="it-IT"/>
        </w:rPr>
        <w:t xml:space="preserve">50  </w:t>
      </w:r>
      <w:r w:rsidRPr="0036740A">
        <w:rPr>
          <w:rFonts w:ascii="Times New Roman" w:hAnsi="Times New Roman" w:cs="Times New Roman"/>
          <w:spacing w:val="3"/>
          <w:sz w:val="24"/>
          <w:lang w:val="it-IT"/>
        </w:rPr>
        <w:t>m</w:t>
      </w:r>
      <w:r w:rsidRPr="0036740A">
        <w:rPr>
          <w:rFonts w:ascii="Times New Roman" w:hAnsi="Times New Roman" w:cs="Times New Roman"/>
          <w:spacing w:val="-2"/>
          <w:sz w:val="24"/>
          <w:lang w:val="it-IT"/>
        </w:rPr>
        <w:t>g</w:t>
      </w:r>
      <w:r w:rsidRPr="0036740A">
        <w:rPr>
          <w:rFonts w:ascii="Times New Roman" w:hAnsi="Times New Roman" w:cs="Times New Roman"/>
          <w:sz w:val="24"/>
          <w:lang w:val="it-IT"/>
        </w:rPr>
        <w:t>/</w:t>
      </w:r>
      <w:r w:rsidRPr="0036740A">
        <w:rPr>
          <w:rFonts w:ascii="Times New Roman" w:hAnsi="Times New Roman" w:cs="Times New Roman"/>
          <w:spacing w:val="1"/>
          <w:sz w:val="24"/>
          <w:lang w:val="it-IT"/>
        </w:rPr>
        <w:t>l</w:t>
      </w:r>
      <w:r w:rsidRPr="0036740A">
        <w:rPr>
          <w:rFonts w:ascii="Times New Roman" w:hAnsi="Times New Roman" w:cs="Times New Roman"/>
          <w:sz w:val="24"/>
          <w:lang w:val="it-IT"/>
        </w:rPr>
        <w:t>.</w:t>
      </w:r>
    </w:p>
    <w:p w:rsidR="0036740A" w:rsidRPr="0036740A" w:rsidRDefault="0036740A" w:rsidP="0036740A">
      <w:pPr>
        <w:spacing w:before="240" w:after="200" w:line="276" w:lineRule="auto"/>
        <w:jc w:val="both"/>
        <w:rPr>
          <w:rFonts w:ascii="Times New Roman" w:hAnsi="Times New Roman" w:cs="Times New Roman"/>
          <w:sz w:val="24"/>
          <w:lang w:val="it-IT"/>
        </w:rPr>
      </w:pPr>
      <w:r w:rsidRPr="0036740A">
        <w:rPr>
          <w:rFonts w:ascii="Times New Roman" w:hAnsi="Times New Roman" w:cs="Times New Roman"/>
          <w:b/>
          <w:sz w:val="24"/>
        </w:rPr>
        <w:t>Përmbajtja e Natriumit Na</w:t>
      </w:r>
      <w:r w:rsidRPr="0036740A">
        <w:rPr>
          <w:rFonts w:ascii="Times New Roman" w:hAnsi="Times New Roman" w:cs="Times New Roman"/>
          <w:sz w:val="24"/>
        </w:rPr>
        <w:t xml:space="preserve"> – </w:t>
      </w:r>
      <w:r w:rsidRPr="0036740A">
        <w:rPr>
          <w:rFonts w:ascii="Times New Roman" w:hAnsi="Times New Roman" w:cs="Times New Roman"/>
          <w:sz w:val="24"/>
          <w:lang w:val="it-IT"/>
        </w:rPr>
        <w:t>Në akuiferin e Vjosës, vlerat e Na në</w:t>
      </w:r>
      <w:r w:rsidRPr="0036740A">
        <w:rPr>
          <w:rFonts w:ascii="Times New Roman" w:hAnsi="Times New Roman" w:cs="Times New Roman"/>
          <w:spacing w:val="2"/>
          <w:sz w:val="24"/>
          <w:lang w:val="it-IT"/>
        </w:rPr>
        <w:t xml:space="preserve"> të dyja </w:t>
      </w:r>
      <w:r w:rsidRPr="0036740A">
        <w:rPr>
          <w:rFonts w:ascii="Times New Roman" w:hAnsi="Times New Roman" w:cs="Times New Roman"/>
          <w:sz w:val="24"/>
          <w:lang w:val="it-IT"/>
        </w:rPr>
        <w:t>f</w:t>
      </w:r>
      <w:r w:rsidRPr="0036740A">
        <w:rPr>
          <w:rFonts w:ascii="Times New Roman" w:hAnsi="Times New Roman" w:cs="Times New Roman"/>
          <w:spacing w:val="-2"/>
          <w:sz w:val="24"/>
          <w:lang w:val="it-IT"/>
        </w:rPr>
        <w:t>a</w:t>
      </w:r>
      <w:r w:rsidRPr="0036740A">
        <w:rPr>
          <w:rFonts w:ascii="Times New Roman" w:hAnsi="Times New Roman" w:cs="Times New Roman"/>
          <w:spacing w:val="4"/>
          <w:sz w:val="24"/>
          <w:lang w:val="it-IT"/>
        </w:rPr>
        <w:t>z</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t</w:t>
      </w:r>
      <w:r w:rsidRPr="0036740A">
        <w:rPr>
          <w:rFonts w:ascii="Times New Roman" w:hAnsi="Times New Roman" w:cs="Times New Roman"/>
          <w:spacing w:val="1"/>
          <w:sz w:val="24"/>
          <w:lang w:val="it-IT"/>
        </w:rPr>
        <w:t xml:space="preserve"> </w:t>
      </w:r>
      <w:r w:rsidRPr="0036740A">
        <w:rPr>
          <w:rFonts w:ascii="Times New Roman" w:hAnsi="Times New Roman" w:cs="Times New Roman"/>
          <w:sz w:val="24"/>
          <w:lang w:val="it-IT"/>
        </w:rPr>
        <w:t>e mon</w:t>
      </w:r>
      <w:r w:rsidRPr="0036740A">
        <w:rPr>
          <w:rFonts w:ascii="Times New Roman" w:hAnsi="Times New Roman" w:cs="Times New Roman"/>
          <w:spacing w:val="1"/>
          <w:sz w:val="24"/>
          <w:lang w:val="it-IT"/>
        </w:rPr>
        <w:t>i</w:t>
      </w:r>
      <w:r w:rsidRPr="0036740A">
        <w:rPr>
          <w:rFonts w:ascii="Times New Roman" w:hAnsi="Times New Roman" w:cs="Times New Roman"/>
          <w:sz w:val="24"/>
          <w:lang w:val="it-IT"/>
        </w:rPr>
        <w:t>torimit</w:t>
      </w:r>
      <w:r w:rsidRPr="0036740A">
        <w:rPr>
          <w:rFonts w:ascii="Times New Roman" w:hAnsi="Times New Roman" w:cs="Times New Roman"/>
          <w:spacing w:val="1"/>
          <w:sz w:val="24"/>
          <w:lang w:val="it-IT"/>
        </w:rPr>
        <w:t xml:space="preserve"> gjatë vitit 2025 </w:t>
      </w:r>
      <w:r w:rsidRPr="0036740A">
        <w:rPr>
          <w:rFonts w:ascii="Times New Roman" w:hAnsi="Times New Roman" w:cs="Times New Roman"/>
          <w:sz w:val="24"/>
          <w:lang w:val="it-IT"/>
        </w:rPr>
        <w:t>janë</w:t>
      </w:r>
      <w:r w:rsidRPr="0036740A">
        <w:rPr>
          <w:rFonts w:ascii="Times New Roman" w:hAnsi="Times New Roman" w:cs="Times New Roman"/>
          <w:spacing w:val="-1"/>
          <w:sz w:val="24"/>
          <w:lang w:val="it-IT"/>
        </w:rPr>
        <w:t xml:space="preserve"> </w:t>
      </w:r>
      <w:r w:rsidRPr="0036740A">
        <w:rPr>
          <w:rFonts w:ascii="Times New Roman" w:hAnsi="Times New Roman" w:cs="Times New Roman"/>
          <w:spacing w:val="2"/>
          <w:sz w:val="24"/>
          <w:lang w:val="it-IT"/>
        </w:rPr>
        <w:t>b</w:t>
      </w:r>
      <w:r w:rsidRPr="0036740A">
        <w:rPr>
          <w:rFonts w:ascii="Times New Roman" w:hAnsi="Times New Roman" w:cs="Times New Roman"/>
          <w:sz w:val="24"/>
          <w:lang w:val="it-IT"/>
        </w:rPr>
        <w:t>r</w:t>
      </w:r>
      <w:r w:rsidRPr="0036740A">
        <w:rPr>
          <w:rFonts w:ascii="Times New Roman" w:hAnsi="Times New Roman" w:cs="Times New Roman"/>
          <w:spacing w:val="-2"/>
          <w:sz w:val="24"/>
          <w:lang w:val="it-IT"/>
        </w:rPr>
        <w:t>e</w:t>
      </w:r>
      <w:r w:rsidRPr="0036740A">
        <w:rPr>
          <w:rFonts w:ascii="Times New Roman" w:hAnsi="Times New Roman" w:cs="Times New Roman"/>
          <w:sz w:val="24"/>
          <w:lang w:val="it-IT"/>
        </w:rPr>
        <w:t>nda norm</w:t>
      </w:r>
      <w:r w:rsidRPr="0036740A">
        <w:rPr>
          <w:rFonts w:ascii="Times New Roman" w:hAnsi="Times New Roman" w:cs="Times New Roman"/>
          <w:spacing w:val="-1"/>
          <w:sz w:val="24"/>
          <w:lang w:val="it-IT"/>
        </w:rPr>
        <w:t>ë</w:t>
      </w:r>
      <w:r w:rsidRPr="0036740A">
        <w:rPr>
          <w:rFonts w:ascii="Times New Roman" w:hAnsi="Times New Roman" w:cs="Times New Roman"/>
          <w:sz w:val="24"/>
          <w:lang w:val="it-IT"/>
        </w:rPr>
        <w:t>s</w:t>
      </w:r>
      <w:r w:rsidRPr="0036740A">
        <w:rPr>
          <w:rFonts w:ascii="Times New Roman" w:hAnsi="Times New Roman" w:cs="Times New Roman"/>
          <w:spacing w:val="1"/>
          <w:sz w:val="24"/>
          <w:lang w:val="it-IT"/>
        </w:rPr>
        <w:t xml:space="preserve"> </w:t>
      </w:r>
      <w:r w:rsidRPr="0036740A">
        <w:rPr>
          <w:rFonts w:ascii="Times New Roman" w:hAnsi="Times New Roman" w:cs="Times New Roman"/>
          <w:sz w:val="24"/>
          <w:lang w:val="it-IT"/>
        </w:rPr>
        <w:t>së</w:t>
      </w:r>
      <w:r w:rsidRPr="0036740A">
        <w:rPr>
          <w:rFonts w:ascii="Times New Roman" w:hAnsi="Times New Roman" w:cs="Times New Roman"/>
          <w:spacing w:val="2"/>
          <w:sz w:val="24"/>
          <w:lang w:val="it-IT"/>
        </w:rPr>
        <w:t xml:space="preserve"> </w:t>
      </w:r>
      <w:r w:rsidRPr="0036740A">
        <w:rPr>
          <w:rFonts w:ascii="Times New Roman" w:hAnsi="Times New Roman" w:cs="Times New Roman"/>
          <w:sz w:val="24"/>
          <w:lang w:val="it-IT"/>
        </w:rPr>
        <w:t>leju</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r dhe</w:t>
      </w:r>
      <w:r w:rsidRPr="0036740A">
        <w:rPr>
          <w:rFonts w:ascii="Times New Roman" w:hAnsi="Times New Roman" w:cs="Times New Roman"/>
          <w:spacing w:val="6"/>
          <w:sz w:val="24"/>
          <w:lang w:val="it-IT"/>
        </w:rPr>
        <w:t xml:space="preserve"> v</w:t>
      </w:r>
      <w:r w:rsidRPr="0036740A">
        <w:rPr>
          <w:rFonts w:ascii="Times New Roman" w:hAnsi="Times New Roman" w:cs="Times New Roman"/>
          <w:spacing w:val="-1"/>
          <w:sz w:val="24"/>
          <w:lang w:val="it-IT"/>
        </w:rPr>
        <w:t>a</w:t>
      </w:r>
      <w:r w:rsidRPr="0036740A">
        <w:rPr>
          <w:rFonts w:ascii="Times New Roman" w:hAnsi="Times New Roman" w:cs="Times New Roman"/>
          <w:sz w:val="24"/>
          <w:lang w:val="it-IT"/>
        </w:rPr>
        <w:t>riojnë nga 20.2-115.65mg/l. Përjashtim bën shpimi në Pish - Poro ku vlerat e Na në të dyja fazat e monitorimit janë mbi normën e lejuar.</w:t>
      </w:r>
    </w:p>
    <w:p w:rsidR="0036740A" w:rsidRPr="00B35E26" w:rsidRDefault="0036740A" w:rsidP="0036740A">
      <w:pPr>
        <w:jc w:val="both"/>
        <w:rPr>
          <w:rFonts w:ascii="Times New Roman" w:hAnsi="Times New Roman" w:cs="Times New Roman"/>
          <w:sz w:val="24"/>
          <w:szCs w:val="24"/>
          <w:lang w:val="it-IT"/>
        </w:rPr>
      </w:pPr>
      <w:r w:rsidRPr="00B35E26">
        <w:rPr>
          <w:rFonts w:ascii="Times New Roman" w:hAnsi="Times New Roman" w:cs="Times New Roman"/>
          <w:b/>
          <w:spacing w:val="-3"/>
          <w:sz w:val="24"/>
          <w:szCs w:val="24"/>
          <w:lang w:val="it-IT"/>
        </w:rPr>
        <w:t>P</w:t>
      </w:r>
      <w:r w:rsidRPr="00B35E26">
        <w:rPr>
          <w:rFonts w:ascii="Times New Roman" w:hAnsi="Times New Roman" w:cs="Times New Roman"/>
          <w:b/>
          <w:spacing w:val="1"/>
          <w:sz w:val="24"/>
          <w:szCs w:val="24"/>
          <w:lang w:val="it-IT"/>
        </w:rPr>
        <w:t>ër</w:t>
      </w:r>
      <w:r w:rsidRPr="00B35E26">
        <w:rPr>
          <w:rFonts w:ascii="Times New Roman" w:hAnsi="Times New Roman" w:cs="Times New Roman"/>
          <w:b/>
          <w:spacing w:val="-3"/>
          <w:sz w:val="24"/>
          <w:szCs w:val="24"/>
          <w:lang w:val="it-IT"/>
        </w:rPr>
        <w:t>m</w:t>
      </w:r>
      <w:r w:rsidRPr="00B35E26">
        <w:rPr>
          <w:rFonts w:ascii="Times New Roman" w:hAnsi="Times New Roman" w:cs="Times New Roman"/>
          <w:b/>
          <w:spacing w:val="1"/>
          <w:sz w:val="24"/>
          <w:szCs w:val="24"/>
          <w:lang w:val="it-IT"/>
        </w:rPr>
        <w:t>b</w:t>
      </w:r>
      <w:r w:rsidRPr="00B35E26">
        <w:rPr>
          <w:rFonts w:ascii="Times New Roman" w:hAnsi="Times New Roman" w:cs="Times New Roman"/>
          <w:b/>
          <w:sz w:val="24"/>
          <w:szCs w:val="24"/>
          <w:lang w:val="it-IT"/>
        </w:rPr>
        <w:t>a</w:t>
      </w:r>
      <w:r w:rsidRPr="00B35E26">
        <w:rPr>
          <w:rFonts w:ascii="Times New Roman" w:hAnsi="Times New Roman" w:cs="Times New Roman"/>
          <w:b/>
          <w:spacing w:val="-1"/>
          <w:sz w:val="24"/>
          <w:szCs w:val="24"/>
          <w:lang w:val="it-IT"/>
        </w:rPr>
        <w:t>j</w:t>
      </w:r>
      <w:r w:rsidRPr="00B35E26">
        <w:rPr>
          <w:rFonts w:ascii="Times New Roman" w:hAnsi="Times New Roman" w:cs="Times New Roman"/>
          <w:b/>
          <w:sz w:val="24"/>
          <w:szCs w:val="24"/>
          <w:lang w:val="it-IT"/>
        </w:rPr>
        <w:t>ta</w:t>
      </w:r>
      <w:r w:rsidRPr="00B35E26">
        <w:rPr>
          <w:rFonts w:ascii="Times New Roman" w:hAnsi="Times New Roman" w:cs="Times New Roman"/>
          <w:b/>
          <w:spacing w:val="3"/>
          <w:sz w:val="24"/>
          <w:szCs w:val="24"/>
          <w:lang w:val="it-IT"/>
        </w:rPr>
        <w:t xml:space="preserve"> </w:t>
      </w:r>
      <w:r w:rsidRPr="00B35E26">
        <w:rPr>
          <w:rFonts w:ascii="Times New Roman" w:hAnsi="Times New Roman" w:cs="Times New Roman"/>
          <w:b/>
          <w:sz w:val="24"/>
          <w:szCs w:val="24"/>
          <w:lang w:val="it-IT"/>
        </w:rPr>
        <w:t xml:space="preserve">e Klorit (Cl): </w:t>
      </w:r>
      <w:r w:rsidRPr="00B35E26">
        <w:rPr>
          <w:rFonts w:ascii="Times New Roman" w:hAnsi="Times New Roman" w:cs="Times New Roman"/>
          <w:spacing w:val="1"/>
          <w:sz w:val="24"/>
          <w:szCs w:val="24"/>
          <w:lang w:val="it-IT"/>
        </w:rPr>
        <w:t>P</w:t>
      </w:r>
      <w:r w:rsidRPr="00B35E26">
        <w:rPr>
          <w:rFonts w:ascii="Times New Roman" w:hAnsi="Times New Roman" w:cs="Times New Roman"/>
          <w:spacing w:val="-1"/>
          <w:sz w:val="24"/>
          <w:szCs w:val="24"/>
          <w:lang w:val="it-IT"/>
        </w:rPr>
        <w:t>ë</w:t>
      </w:r>
      <w:r w:rsidRPr="00B35E26">
        <w:rPr>
          <w:rFonts w:ascii="Times New Roman" w:hAnsi="Times New Roman" w:cs="Times New Roman"/>
          <w:sz w:val="24"/>
          <w:szCs w:val="24"/>
          <w:lang w:val="it-IT"/>
        </w:rPr>
        <w:t>rmb</w:t>
      </w:r>
      <w:r w:rsidRPr="00B35E26">
        <w:rPr>
          <w:rFonts w:ascii="Times New Roman" w:hAnsi="Times New Roman" w:cs="Times New Roman"/>
          <w:spacing w:val="-1"/>
          <w:sz w:val="24"/>
          <w:szCs w:val="24"/>
          <w:lang w:val="it-IT"/>
        </w:rPr>
        <w:t>a</w:t>
      </w:r>
      <w:r w:rsidRPr="00B35E26">
        <w:rPr>
          <w:rFonts w:ascii="Times New Roman" w:hAnsi="Times New Roman" w:cs="Times New Roman"/>
          <w:sz w:val="24"/>
          <w:szCs w:val="24"/>
          <w:lang w:val="it-IT"/>
        </w:rPr>
        <w:t>j</w:t>
      </w:r>
      <w:r w:rsidRPr="00B35E26">
        <w:rPr>
          <w:rFonts w:ascii="Times New Roman" w:hAnsi="Times New Roman" w:cs="Times New Roman"/>
          <w:spacing w:val="1"/>
          <w:sz w:val="24"/>
          <w:szCs w:val="24"/>
          <w:lang w:val="it-IT"/>
        </w:rPr>
        <w:t>t</w:t>
      </w:r>
      <w:r w:rsidRPr="00B35E26">
        <w:rPr>
          <w:rFonts w:ascii="Times New Roman" w:hAnsi="Times New Roman" w:cs="Times New Roman"/>
          <w:sz w:val="24"/>
          <w:szCs w:val="24"/>
          <w:lang w:val="it-IT"/>
        </w:rPr>
        <w:t>ja e klorit</w:t>
      </w:r>
      <w:r w:rsidRPr="00B35E26">
        <w:rPr>
          <w:rFonts w:ascii="Times New Roman" w:hAnsi="Times New Roman" w:cs="Times New Roman"/>
          <w:sz w:val="24"/>
          <w:szCs w:val="24"/>
          <w:vertAlign w:val="subscript"/>
          <w:lang w:val="it-IT"/>
        </w:rPr>
        <w:t xml:space="preserve"> </w:t>
      </w:r>
      <w:r w:rsidRPr="00B35E26">
        <w:rPr>
          <w:rFonts w:ascii="Times New Roman" w:hAnsi="Times New Roman" w:cs="Times New Roman"/>
          <w:sz w:val="24"/>
          <w:szCs w:val="24"/>
          <w:lang w:val="it-IT"/>
        </w:rPr>
        <w:t xml:space="preserve">në akuiferin Kuaternar të Vjosës për vitin 2025  në të gjitha shpimet e monitoruar është është nën vlerën e lejuar 250 mg/l, nga VKM 379. Përjashtim  bën shpimi në Pish – Poro, ku vlerat e Cl takohen mbi vlerën maksimale të lejuar dhe variojnë në vlerat nga 983.82-1081.3mg/l. </w:t>
      </w:r>
    </w:p>
    <w:p w:rsidR="0036740A" w:rsidRDefault="0036740A" w:rsidP="0036740A">
      <w:pPr>
        <w:spacing w:after="0" w:line="240" w:lineRule="auto"/>
        <w:rPr>
          <w:rFonts w:eastAsia="Times New Roman"/>
          <w:b/>
          <w:bCs/>
          <w:iCs/>
          <w:szCs w:val="28"/>
        </w:rPr>
      </w:pPr>
      <w:bookmarkStart w:id="34" w:name="_Toc125188030"/>
    </w:p>
    <w:p w:rsidR="0036740A" w:rsidRPr="00D87C5F" w:rsidRDefault="0036740A" w:rsidP="0036740A">
      <w:pPr>
        <w:pStyle w:val="Heading2"/>
        <w:rPr>
          <w:rFonts w:ascii="Times New Roman" w:hAnsi="Times New Roman" w:cs="Times New Roman"/>
          <w:b/>
          <w:color w:val="auto"/>
          <w:sz w:val="24"/>
          <w:szCs w:val="24"/>
        </w:rPr>
      </w:pPr>
      <w:bookmarkStart w:id="35" w:name="_Toc223000368"/>
      <w:r w:rsidRPr="00D87C5F">
        <w:rPr>
          <w:rFonts w:ascii="Times New Roman" w:hAnsi="Times New Roman" w:cs="Times New Roman"/>
          <w:b/>
          <w:color w:val="auto"/>
          <w:sz w:val="24"/>
          <w:szCs w:val="24"/>
        </w:rPr>
        <w:t>Rekomandime për basenin e Vjosës</w:t>
      </w:r>
      <w:bookmarkEnd w:id="34"/>
      <w:bookmarkEnd w:id="35"/>
    </w:p>
    <w:p w:rsidR="0036740A" w:rsidRPr="0036740A" w:rsidRDefault="0036740A" w:rsidP="0036740A"/>
    <w:p w:rsidR="0036740A" w:rsidRPr="0036740A" w:rsidRDefault="0036740A" w:rsidP="00807975">
      <w:pPr>
        <w:pStyle w:val="ListParagraph"/>
        <w:numPr>
          <w:ilvl w:val="0"/>
          <w:numId w:val="68"/>
        </w:numPr>
        <w:spacing w:after="200" w:line="240" w:lineRule="auto"/>
        <w:jc w:val="both"/>
        <w:rPr>
          <w:rFonts w:ascii="Times New Roman" w:hAnsi="Times New Roman" w:cs="Times New Roman"/>
          <w:sz w:val="24"/>
          <w:szCs w:val="24"/>
          <w:lang w:val="sq-AL"/>
        </w:rPr>
      </w:pPr>
      <w:r w:rsidRPr="0036740A">
        <w:rPr>
          <w:rFonts w:ascii="Times New Roman" w:hAnsi="Times New Roman" w:cs="Times New Roman"/>
          <w:sz w:val="24"/>
          <w:szCs w:val="24"/>
          <w:lang w:val="sq-AL"/>
        </w:rPr>
        <w:t xml:space="preserve">Stacioni i pompave të Pish Poros të mos përdoret për furnizimin me ujë të pijshëm të popullsisë, pasi uji i tij nuk plotëson standardin për ujë të pijshëm. Furnizimi me ujë të pijshëm i fshatrave Poro, Pish Poro, Darëzezë, Qarri, etj të bëhet nga ujësjellësi i Kafarajt. </w:t>
      </w:r>
    </w:p>
    <w:p w:rsidR="0036740A" w:rsidRPr="0036740A" w:rsidRDefault="0036740A" w:rsidP="00807975">
      <w:pPr>
        <w:pStyle w:val="ListParagraph"/>
        <w:numPr>
          <w:ilvl w:val="0"/>
          <w:numId w:val="68"/>
        </w:numPr>
        <w:spacing w:after="200" w:line="240" w:lineRule="auto"/>
        <w:jc w:val="both"/>
        <w:rPr>
          <w:rFonts w:ascii="Times New Roman" w:hAnsi="Times New Roman" w:cs="Times New Roman"/>
          <w:sz w:val="24"/>
          <w:szCs w:val="24"/>
          <w:lang w:val="sq-AL"/>
        </w:rPr>
      </w:pPr>
      <w:r w:rsidRPr="0036740A">
        <w:rPr>
          <w:rFonts w:ascii="Times New Roman" w:hAnsi="Times New Roman" w:cs="Times New Roman"/>
          <w:sz w:val="24"/>
          <w:szCs w:val="24"/>
          <w:lang w:val="sq-AL"/>
        </w:rPr>
        <w:t xml:space="preserve">Të zbatohen zonat e rreptësisë sanitare </w:t>
      </w:r>
      <w:r w:rsidRPr="0036740A">
        <w:rPr>
          <w:rFonts w:ascii="Times New Roman" w:hAnsi="Times New Roman" w:cs="Times New Roman"/>
          <w:bCs/>
          <w:color w:val="000000"/>
          <w:sz w:val="24"/>
          <w:szCs w:val="24"/>
          <w:lang w:val="sq-AL"/>
        </w:rPr>
        <w:t xml:space="preserve">për të gjithë shpimet e shfrytëzimit, </w:t>
      </w:r>
      <w:r w:rsidRPr="0036740A">
        <w:rPr>
          <w:rFonts w:ascii="Times New Roman" w:hAnsi="Times New Roman" w:cs="Times New Roman"/>
          <w:sz w:val="24"/>
          <w:szCs w:val="24"/>
          <w:lang w:val="sq-AL"/>
        </w:rPr>
        <w:t>për mbrojtjen e UN nga ndotjet sipërfaqësore, pasi vihet re prania e NO</w:t>
      </w:r>
      <w:r w:rsidRPr="0036740A">
        <w:rPr>
          <w:rFonts w:ascii="Times New Roman" w:hAnsi="Times New Roman" w:cs="Times New Roman"/>
          <w:sz w:val="24"/>
          <w:szCs w:val="24"/>
          <w:vertAlign w:val="subscript"/>
          <w:lang w:val="sq-AL"/>
        </w:rPr>
        <w:t>2</w:t>
      </w:r>
      <w:r w:rsidRPr="0036740A">
        <w:rPr>
          <w:rFonts w:ascii="Times New Roman" w:hAnsi="Times New Roman" w:cs="Times New Roman"/>
          <w:sz w:val="24"/>
          <w:szCs w:val="24"/>
          <w:lang w:val="sq-AL"/>
        </w:rPr>
        <w:t xml:space="preserve"> dhe e NH</w:t>
      </w:r>
      <w:r w:rsidRPr="0036740A">
        <w:rPr>
          <w:rFonts w:ascii="Times New Roman" w:hAnsi="Times New Roman" w:cs="Times New Roman"/>
          <w:sz w:val="24"/>
          <w:szCs w:val="24"/>
          <w:vertAlign w:val="subscript"/>
          <w:lang w:val="sq-AL"/>
        </w:rPr>
        <w:t>4</w:t>
      </w:r>
      <w:r w:rsidRPr="0036740A">
        <w:rPr>
          <w:rFonts w:ascii="Times New Roman" w:hAnsi="Times New Roman" w:cs="Times New Roman"/>
          <w:sz w:val="24"/>
          <w:szCs w:val="24"/>
          <w:lang w:val="sq-AL"/>
        </w:rPr>
        <w:t xml:space="preserve"> në disa shpime monitorimi.</w:t>
      </w:r>
    </w:p>
    <w:p w:rsidR="0036740A" w:rsidRPr="0036740A" w:rsidRDefault="0036740A" w:rsidP="00807975">
      <w:pPr>
        <w:pStyle w:val="ListParagraph"/>
        <w:numPr>
          <w:ilvl w:val="0"/>
          <w:numId w:val="68"/>
        </w:numPr>
        <w:spacing w:after="200" w:line="240" w:lineRule="auto"/>
        <w:jc w:val="both"/>
        <w:rPr>
          <w:rFonts w:ascii="Times New Roman" w:hAnsi="Times New Roman" w:cs="Times New Roman"/>
          <w:sz w:val="24"/>
          <w:szCs w:val="24"/>
          <w:lang w:val="sq-AL"/>
        </w:rPr>
      </w:pPr>
      <w:r w:rsidRPr="0036740A">
        <w:rPr>
          <w:rFonts w:ascii="Times New Roman" w:hAnsi="Times New Roman" w:cs="Times New Roman"/>
          <w:sz w:val="24"/>
          <w:szCs w:val="24"/>
          <w:lang w:val="sq-AL"/>
        </w:rPr>
        <w:t>Rekomandojmë ndalimin e shfrytëzimit të zhavorreve në shtratin e lumenjve Vjosë dhe Drinos në zonën e ushqimit të akuiferëve kuaternar për ruajtjen e ekuilibrave hidrodinamikë dhe hidrokimike të ushqimit të akuferëve ujëmbajtëse.</w:t>
      </w:r>
    </w:p>
    <w:p w:rsidR="0036740A" w:rsidRPr="0036740A" w:rsidRDefault="0036740A" w:rsidP="00807975">
      <w:pPr>
        <w:pStyle w:val="ListParagraph"/>
        <w:numPr>
          <w:ilvl w:val="0"/>
          <w:numId w:val="68"/>
        </w:numPr>
        <w:tabs>
          <w:tab w:val="left" w:pos="90"/>
        </w:tabs>
        <w:spacing w:after="0" w:line="240" w:lineRule="auto"/>
        <w:contextualSpacing w:val="0"/>
        <w:jc w:val="both"/>
        <w:rPr>
          <w:rFonts w:ascii="Times New Roman" w:hAnsi="Times New Roman" w:cs="Times New Roman"/>
          <w:color w:val="000000"/>
          <w:sz w:val="24"/>
          <w:szCs w:val="24"/>
          <w:lang w:val="sq-AL"/>
        </w:rPr>
      </w:pPr>
      <w:r w:rsidRPr="0036740A">
        <w:rPr>
          <w:rFonts w:ascii="Times New Roman" w:hAnsi="Times New Roman" w:cs="Times New Roman"/>
          <w:bCs/>
          <w:color w:val="000000"/>
          <w:sz w:val="24"/>
          <w:szCs w:val="24"/>
          <w:lang w:val="sq-AL"/>
        </w:rPr>
        <w:t>T</w:t>
      </w:r>
      <w:r w:rsidRPr="0036740A">
        <w:rPr>
          <w:rFonts w:ascii="Times New Roman" w:hAnsi="Times New Roman" w:cs="Times New Roman"/>
          <w:bCs/>
          <w:iCs/>
          <w:color w:val="000000"/>
          <w:sz w:val="24"/>
          <w:szCs w:val="24"/>
          <w:lang w:val="sq-AL"/>
        </w:rPr>
        <w:t>ë</w:t>
      </w:r>
      <w:r w:rsidRPr="0036740A">
        <w:rPr>
          <w:rFonts w:ascii="Times New Roman" w:hAnsi="Times New Roman" w:cs="Times New Roman"/>
          <w:bCs/>
          <w:color w:val="000000"/>
          <w:sz w:val="24"/>
          <w:szCs w:val="24"/>
          <w:lang w:val="sq-AL"/>
        </w:rPr>
        <w:t xml:space="preserve"> ndalohet hedhja e mbeturinave në formacionet gëlqerore (karbonatike), lumenj dhe përrenj. Ato shkaktojnë ndotje të UN të akuifereve, pasi filtrimi dhe infiltrimi është shumë i madh dhe depërtimi i ndotësit është shumë i shpejtë. </w:t>
      </w:r>
    </w:p>
    <w:p w:rsidR="0036740A" w:rsidRPr="0036740A" w:rsidRDefault="0036740A" w:rsidP="00807975">
      <w:pPr>
        <w:pStyle w:val="BodyText"/>
        <w:numPr>
          <w:ilvl w:val="0"/>
          <w:numId w:val="68"/>
        </w:numPr>
        <w:tabs>
          <w:tab w:val="left" w:pos="90"/>
        </w:tabs>
        <w:spacing w:after="0"/>
        <w:jc w:val="both"/>
        <w:rPr>
          <w:color w:val="000000"/>
          <w:lang w:val="sq-AL"/>
        </w:rPr>
      </w:pPr>
      <w:r w:rsidRPr="0036740A">
        <w:rPr>
          <w:lang w:val="sq-AL"/>
        </w:rPr>
        <w:t>Të informohen dhe t’u rekomandohet organeve të pushtetit qëndror dhe atyre lokale Vlorë, Fier, Gjirokastër për marrjen e masave të mënjanimit të infiltimit të ujërave të ndotura urbane, që shkarkohen  mbi zonën e drenimit të UN në zonën e burimit Uji i Ftohtë – Tepelenë dhe të shpimeve në Kafaraj, Novoselë, Buduk, Pish Poro,etj.</w:t>
      </w:r>
    </w:p>
    <w:p w:rsidR="0036740A" w:rsidRPr="0036740A" w:rsidRDefault="0036740A" w:rsidP="00807975">
      <w:pPr>
        <w:pStyle w:val="BodyText"/>
        <w:numPr>
          <w:ilvl w:val="0"/>
          <w:numId w:val="68"/>
        </w:numPr>
        <w:tabs>
          <w:tab w:val="left" w:pos="90"/>
        </w:tabs>
        <w:spacing w:after="0"/>
        <w:jc w:val="both"/>
        <w:rPr>
          <w:color w:val="000000"/>
          <w:lang w:val="sq-AL"/>
        </w:rPr>
      </w:pPr>
      <w:r w:rsidRPr="0036740A">
        <w:rPr>
          <w:color w:val="000000"/>
          <w:lang w:val="sq-AL"/>
        </w:rPr>
        <w:t>Rritja e rezervave të shfrytëzimit në akuiferin e Vjosës dhe Drinos duhet të bëhet vet</w:t>
      </w:r>
      <w:r w:rsidRPr="0036740A">
        <w:rPr>
          <w:bCs/>
          <w:iCs/>
          <w:color w:val="000000"/>
          <w:lang w:val="sq-AL"/>
        </w:rPr>
        <w:t>ë</w:t>
      </w:r>
      <w:r w:rsidRPr="0036740A">
        <w:rPr>
          <w:color w:val="000000"/>
          <w:lang w:val="sq-AL"/>
        </w:rPr>
        <w:t>m nga specialistë hidrogjeologë të SH.GJ.SH, pasi rritja e shfrytëzimit të ujërave në m</w:t>
      </w:r>
      <w:r w:rsidRPr="0036740A">
        <w:rPr>
          <w:bCs/>
          <w:iCs/>
          <w:color w:val="000000"/>
          <w:lang w:val="sq-AL"/>
        </w:rPr>
        <w:t>ë</w:t>
      </w:r>
      <w:r w:rsidRPr="0036740A">
        <w:rPr>
          <w:color w:val="000000"/>
          <w:lang w:val="sq-AL"/>
        </w:rPr>
        <w:t>nyrë jo profesionale mund të shkaktojë prishjen e cilësisë së ujërave të stacioneve të këtyre akuiferëve.</w:t>
      </w:r>
    </w:p>
    <w:p w:rsidR="00C55FD0" w:rsidRDefault="00C55FD0" w:rsidP="0005229A">
      <w:pPr>
        <w:spacing w:after="200" w:line="288" w:lineRule="auto"/>
        <w:jc w:val="center"/>
        <w:rPr>
          <w:rFonts w:ascii="Times New Roman" w:eastAsiaTheme="minorEastAsia" w:hAnsi="Times New Roman" w:cs="Times New Roman"/>
          <w:b/>
          <w:sz w:val="24"/>
          <w:szCs w:val="24"/>
        </w:rPr>
      </w:pPr>
    </w:p>
    <w:p w:rsidR="00C55FD0" w:rsidRDefault="0036740A" w:rsidP="0036740A">
      <w:pPr>
        <w:spacing w:after="200" w:line="288"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4.2.7 </w:t>
      </w:r>
      <w:r>
        <w:rPr>
          <w:rFonts w:ascii="Times New Roman" w:eastAsia="Times New Roman" w:hAnsi="Times New Roman" w:cs="Times New Roman"/>
          <w:b/>
          <w:bCs/>
          <w:iCs/>
          <w:sz w:val="24"/>
          <w:szCs w:val="28"/>
          <w:lang w:val="sq-AL"/>
        </w:rPr>
        <w:t>B</w:t>
      </w:r>
      <w:r w:rsidRPr="0036740A">
        <w:rPr>
          <w:rFonts w:ascii="Times New Roman" w:eastAsia="Times New Roman" w:hAnsi="Times New Roman" w:cs="Times New Roman"/>
          <w:b/>
          <w:bCs/>
          <w:iCs/>
          <w:sz w:val="24"/>
          <w:szCs w:val="28"/>
          <w:lang w:val="sq-AL"/>
        </w:rPr>
        <w:t xml:space="preserve">aseni </w:t>
      </w:r>
      <w:r>
        <w:rPr>
          <w:rFonts w:ascii="Times New Roman" w:eastAsia="Times New Roman" w:hAnsi="Times New Roman" w:cs="Times New Roman"/>
          <w:b/>
          <w:bCs/>
          <w:iCs/>
          <w:sz w:val="24"/>
          <w:szCs w:val="28"/>
          <w:lang w:val="sq-AL"/>
        </w:rPr>
        <w:t>i</w:t>
      </w:r>
      <w:r w:rsidRPr="0036740A">
        <w:rPr>
          <w:rFonts w:ascii="Times New Roman" w:eastAsia="Times New Roman" w:hAnsi="Times New Roman" w:cs="Times New Roman"/>
          <w:b/>
          <w:bCs/>
          <w:iCs/>
          <w:sz w:val="24"/>
          <w:szCs w:val="28"/>
          <w:lang w:val="sq-AL"/>
        </w:rPr>
        <w:t xml:space="preserve"> Zonës Jonike</w:t>
      </w:r>
    </w:p>
    <w:p w:rsidR="0036740A" w:rsidRPr="0036740A" w:rsidRDefault="0036740A" w:rsidP="0036740A">
      <w:pPr>
        <w:spacing w:before="240" w:after="60" w:line="276" w:lineRule="auto"/>
        <w:jc w:val="both"/>
        <w:rPr>
          <w:rFonts w:ascii="Times New Roman" w:eastAsia="Calibri" w:hAnsi="Times New Roman" w:cs="Times New Roman"/>
          <w:b/>
          <w:sz w:val="24"/>
          <w:szCs w:val="24"/>
          <w:lang w:val="it-IT"/>
        </w:rPr>
      </w:pPr>
      <w:r w:rsidRPr="0036740A">
        <w:rPr>
          <w:rFonts w:ascii="Times New Roman" w:eastAsia="Calibri" w:hAnsi="Times New Roman" w:cs="Times New Roman"/>
          <w:b/>
          <w:sz w:val="24"/>
          <w:szCs w:val="24"/>
          <w:lang w:val="it-IT"/>
        </w:rPr>
        <w:t>Monitorimin sasior</w:t>
      </w:r>
    </w:p>
    <w:p w:rsidR="0036740A" w:rsidRPr="0036740A" w:rsidRDefault="0036740A" w:rsidP="0036740A">
      <w:pPr>
        <w:spacing w:after="0" w:line="276" w:lineRule="auto"/>
        <w:jc w:val="both"/>
        <w:rPr>
          <w:rFonts w:ascii="Times New Roman" w:eastAsia="Times New Roman" w:hAnsi="Times New Roman" w:cs="Times New Roman"/>
          <w:sz w:val="24"/>
          <w:szCs w:val="24"/>
          <w:lang w:val="sq-AL"/>
        </w:rPr>
      </w:pPr>
      <w:r w:rsidRPr="0036740A">
        <w:rPr>
          <w:rFonts w:ascii="Times New Roman" w:eastAsia="Times New Roman" w:hAnsi="Times New Roman" w:cs="Times New Roman"/>
          <w:sz w:val="24"/>
          <w:szCs w:val="24"/>
          <w:lang w:val="sq-AL"/>
        </w:rPr>
        <w:t>Vlerësimi i ujërave nëntokësore që shfrytëzohet për furnizim me ujë të pijshëm është bërë mbështetur në të dhënat e marra nga stacionet e pompimit dhe vëzhgimet e kryera nga shfrytëzimi i puseve hidrogjeologjike të kryer nga privatët. Për vlerësimin e resurseve të shfrytëzimit jemi mbështetur edhe në studimet e kryera ndër vite. Këto vlerësime janë bërë për të gjithë akuiferët që monitorohen:</w:t>
      </w:r>
    </w:p>
    <w:p w:rsidR="0036740A" w:rsidRPr="0036740A" w:rsidRDefault="0036740A" w:rsidP="0036740A">
      <w:pPr>
        <w:spacing w:after="0" w:line="276" w:lineRule="auto"/>
        <w:jc w:val="both"/>
        <w:rPr>
          <w:rFonts w:ascii="Times New Roman" w:eastAsia="Times New Roman" w:hAnsi="Times New Roman" w:cs="Times New Roman"/>
          <w:sz w:val="24"/>
          <w:szCs w:val="24"/>
          <w:lang w:val="sq-AL"/>
        </w:rPr>
      </w:pPr>
      <w:r w:rsidRPr="0036740A">
        <w:rPr>
          <w:rFonts w:ascii="Times New Roman" w:eastAsia="Times New Roman" w:hAnsi="Times New Roman" w:cs="Times New Roman"/>
          <w:b/>
          <w:bCs/>
          <w:i/>
          <w:iCs/>
          <w:sz w:val="24"/>
          <w:szCs w:val="24"/>
          <w:lang w:val="sq-AL"/>
        </w:rPr>
        <w:lastRenderedPageBreak/>
        <w:t>Në akuiferin Kuaternar të Vurgut</w:t>
      </w:r>
      <w:r w:rsidRPr="0036740A">
        <w:rPr>
          <w:rFonts w:ascii="Times New Roman" w:eastAsia="Times New Roman" w:hAnsi="Times New Roman" w:cs="Times New Roman"/>
          <w:sz w:val="24"/>
          <w:szCs w:val="24"/>
          <w:lang w:val="sq-AL"/>
        </w:rPr>
        <w:t xml:space="preserve"> shfrytëzohen për furnizim të përqëndruar me ujë të pijshëm të komunitetit nëpërmjet puseve hidrogjeologjike sasitë e ujit nëntokësor në vijim:</w:t>
      </w:r>
    </w:p>
    <w:p w:rsidR="0036740A" w:rsidRPr="0036740A" w:rsidRDefault="0036740A" w:rsidP="00807975">
      <w:pPr>
        <w:numPr>
          <w:ilvl w:val="0"/>
          <w:numId w:val="69"/>
        </w:numPr>
        <w:tabs>
          <w:tab w:val="left" w:pos="720"/>
        </w:tabs>
        <w:spacing w:after="0" w:line="276" w:lineRule="auto"/>
        <w:jc w:val="both"/>
        <w:rPr>
          <w:rFonts w:ascii="Times New Roman" w:eastAsia="Batang" w:hAnsi="Times New Roman" w:cs="Times New Roman"/>
          <w:sz w:val="24"/>
          <w:szCs w:val="24"/>
          <w:lang w:val="sq-AL"/>
        </w:rPr>
      </w:pPr>
      <w:r w:rsidRPr="0036740A">
        <w:rPr>
          <w:rFonts w:ascii="Times New Roman" w:eastAsia="Batang" w:hAnsi="Times New Roman" w:cs="Times New Roman"/>
          <w:sz w:val="24"/>
          <w:szCs w:val="24"/>
          <w:lang w:val="sq-AL"/>
        </w:rPr>
        <w:t>Për furnizimin e qytetit të Sarandës ......................   205 l/sek</w:t>
      </w:r>
    </w:p>
    <w:p w:rsidR="0036740A" w:rsidRPr="0036740A" w:rsidRDefault="0036740A" w:rsidP="00807975">
      <w:pPr>
        <w:numPr>
          <w:ilvl w:val="0"/>
          <w:numId w:val="69"/>
        </w:numPr>
        <w:tabs>
          <w:tab w:val="left" w:pos="720"/>
        </w:tabs>
        <w:spacing w:after="0" w:line="276" w:lineRule="auto"/>
        <w:jc w:val="both"/>
        <w:rPr>
          <w:rFonts w:ascii="Times New Roman" w:eastAsia="Batang" w:hAnsi="Times New Roman" w:cs="Times New Roman"/>
          <w:sz w:val="24"/>
          <w:szCs w:val="24"/>
          <w:lang w:val="sq-AL"/>
        </w:rPr>
      </w:pPr>
      <w:r w:rsidRPr="0036740A">
        <w:rPr>
          <w:rFonts w:ascii="Times New Roman" w:eastAsia="Batang" w:hAnsi="Times New Roman" w:cs="Times New Roman"/>
          <w:sz w:val="24"/>
          <w:szCs w:val="24"/>
          <w:lang w:val="sq-AL"/>
        </w:rPr>
        <w:t>Për furnizimin e fshatit Karahaxh    .......................   10 l/sek</w:t>
      </w:r>
    </w:p>
    <w:p w:rsidR="0036740A" w:rsidRDefault="0036740A" w:rsidP="00807975">
      <w:pPr>
        <w:pStyle w:val="ListBullet"/>
        <w:numPr>
          <w:ilvl w:val="0"/>
          <w:numId w:val="69"/>
        </w:numPr>
        <w:tabs>
          <w:tab w:val="left" w:pos="720"/>
        </w:tabs>
        <w:spacing w:line="276" w:lineRule="auto"/>
        <w:rPr>
          <w:sz w:val="24"/>
          <w:szCs w:val="24"/>
          <w:lang w:val="sq-AL"/>
        </w:rPr>
      </w:pPr>
      <w:r>
        <w:rPr>
          <w:sz w:val="24"/>
          <w:szCs w:val="24"/>
          <w:lang w:val="sq-AL"/>
        </w:rPr>
        <w:t>Për furnizimin e  fshatit Bregas   .............................   5 l/sek</w:t>
      </w:r>
    </w:p>
    <w:p w:rsidR="0036740A" w:rsidRDefault="0036740A" w:rsidP="00807975">
      <w:pPr>
        <w:pStyle w:val="ListBullet"/>
        <w:numPr>
          <w:ilvl w:val="0"/>
          <w:numId w:val="69"/>
        </w:numPr>
        <w:tabs>
          <w:tab w:val="left" w:pos="720"/>
        </w:tabs>
        <w:spacing w:line="276" w:lineRule="auto"/>
        <w:rPr>
          <w:sz w:val="24"/>
          <w:szCs w:val="24"/>
          <w:lang w:val="sq-AL"/>
        </w:rPr>
      </w:pPr>
      <w:r>
        <w:rPr>
          <w:sz w:val="24"/>
          <w:szCs w:val="24"/>
          <w:lang w:val="sq-AL"/>
        </w:rPr>
        <w:t>Për furnizimin e fshatit Finiq  ....................................10 l/sek</w:t>
      </w:r>
    </w:p>
    <w:p w:rsidR="0036740A" w:rsidRDefault="0036740A" w:rsidP="00807975">
      <w:pPr>
        <w:pStyle w:val="ListBullet"/>
        <w:numPr>
          <w:ilvl w:val="0"/>
          <w:numId w:val="69"/>
        </w:numPr>
        <w:tabs>
          <w:tab w:val="left" w:pos="720"/>
        </w:tabs>
        <w:spacing w:line="276" w:lineRule="auto"/>
        <w:rPr>
          <w:sz w:val="24"/>
          <w:szCs w:val="24"/>
          <w:lang w:val="sq-AL"/>
        </w:rPr>
      </w:pPr>
      <w:r>
        <w:rPr>
          <w:sz w:val="24"/>
          <w:szCs w:val="24"/>
          <w:lang w:val="sq-AL"/>
        </w:rPr>
        <w:t>Për furnizim të zonës pranë ish SMT .....................     5 l/sek</w:t>
      </w:r>
    </w:p>
    <w:p w:rsidR="0036740A" w:rsidRDefault="0036740A" w:rsidP="00807975">
      <w:pPr>
        <w:pStyle w:val="ListBullet"/>
        <w:numPr>
          <w:ilvl w:val="0"/>
          <w:numId w:val="69"/>
        </w:numPr>
        <w:tabs>
          <w:tab w:val="left" w:pos="720"/>
        </w:tabs>
        <w:spacing w:line="276" w:lineRule="auto"/>
        <w:rPr>
          <w:sz w:val="24"/>
          <w:szCs w:val="24"/>
          <w:lang w:val="sq-AL"/>
        </w:rPr>
      </w:pPr>
      <w:r>
        <w:rPr>
          <w:sz w:val="24"/>
          <w:szCs w:val="24"/>
          <w:lang w:val="sq-AL"/>
        </w:rPr>
        <w:t>Për furnizimin e Ksamilit ( nga Çuka) .....................   25 l/sek</w:t>
      </w:r>
    </w:p>
    <w:p w:rsidR="0036740A" w:rsidRDefault="0036740A" w:rsidP="0036740A">
      <w:pPr>
        <w:pStyle w:val="BodyText"/>
        <w:spacing w:line="276" w:lineRule="auto"/>
        <w:rPr>
          <w:lang w:val="sq-AL"/>
        </w:rPr>
      </w:pPr>
      <w:r>
        <w:rPr>
          <w:lang w:val="sq-AL"/>
        </w:rPr>
        <w:t xml:space="preserve">Nga vrojtimet fushore të kryera në akuifer rezulton se janë kryer shpime nga privatët(veçanërisht në anën veriore të tij), për përdorim vetiak për furnizim me ujë të pijshëm, vaditje e teknologjik, në sasitë që janë vlerësuar  rreth 25 l/s. </w:t>
      </w:r>
    </w:p>
    <w:p w:rsidR="0036740A" w:rsidRDefault="0036740A" w:rsidP="00B45173">
      <w:pPr>
        <w:pStyle w:val="BodyText"/>
        <w:numPr>
          <w:ilvl w:val="0"/>
          <w:numId w:val="174"/>
        </w:numPr>
        <w:spacing w:after="0"/>
        <w:rPr>
          <w:lang w:val="sq-AL"/>
        </w:rPr>
      </w:pPr>
      <w:r>
        <w:rPr>
          <w:lang w:val="sq-AL"/>
        </w:rPr>
        <w:t xml:space="preserve">Sasia e përgjithshme ujit që shfrytëzohet aktualisht vlerësohet në 285 l/s. </w:t>
      </w:r>
    </w:p>
    <w:p w:rsidR="0036740A" w:rsidRDefault="0036740A" w:rsidP="00B45173">
      <w:pPr>
        <w:pStyle w:val="BodyText"/>
        <w:numPr>
          <w:ilvl w:val="0"/>
          <w:numId w:val="174"/>
        </w:numPr>
        <w:spacing w:after="0"/>
        <w:rPr>
          <w:lang w:val="sq-AL"/>
        </w:rPr>
      </w:pPr>
      <w:r>
        <w:rPr>
          <w:lang w:val="sq-AL"/>
        </w:rPr>
        <w:t>Resurset e shfrytëzueshme  të këtij akuifer rezultojnë rreth 400 l</w:t>
      </w:r>
      <w:r>
        <w:rPr>
          <w:lang w:val="sq-AL"/>
        </w:rPr>
        <w:sym w:font="Symbol" w:char="F02F"/>
      </w:r>
      <w:r>
        <w:rPr>
          <w:lang w:val="sq-AL"/>
        </w:rPr>
        <w:t xml:space="preserve">sek. </w:t>
      </w:r>
    </w:p>
    <w:p w:rsidR="0036740A" w:rsidRDefault="0036740A" w:rsidP="00B45173">
      <w:pPr>
        <w:pStyle w:val="BodyText"/>
        <w:numPr>
          <w:ilvl w:val="0"/>
          <w:numId w:val="174"/>
        </w:numPr>
        <w:spacing w:after="0"/>
        <w:rPr>
          <w:lang w:val="sq-AL"/>
        </w:rPr>
      </w:pPr>
      <w:r>
        <w:rPr>
          <w:lang w:val="sq-AL"/>
        </w:rPr>
        <w:t>Koefiçienti vjetor i shfrytëzimit të këtij akuiferi llogaritet rreth K = 0.71.</w:t>
      </w:r>
    </w:p>
    <w:p w:rsidR="00B45173" w:rsidRDefault="00B45173" w:rsidP="00620CA5">
      <w:pPr>
        <w:pStyle w:val="BodyText"/>
        <w:spacing w:line="276" w:lineRule="auto"/>
        <w:jc w:val="both"/>
        <w:rPr>
          <w:b/>
          <w:bCs/>
          <w:i/>
          <w:iCs/>
          <w:lang w:val="sq-AL"/>
        </w:rPr>
      </w:pPr>
    </w:p>
    <w:p w:rsidR="0036740A" w:rsidRDefault="0036740A" w:rsidP="00B45173">
      <w:pPr>
        <w:pStyle w:val="BodyText"/>
        <w:spacing w:after="0"/>
        <w:jc w:val="both"/>
        <w:rPr>
          <w:lang w:val="sq-AL"/>
        </w:rPr>
      </w:pPr>
      <w:r>
        <w:rPr>
          <w:b/>
          <w:bCs/>
          <w:i/>
          <w:iCs/>
          <w:lang w:val="sq-AL"/>
        </w:rPr>
        <w:t>Në akuiferin Xarrë - Mursi</w:t>
      </w:r>
      <w:r>
        <w:rPr>
          <w:lang w:val="sq-AL"/>
        </w:rPr>
        <w:t xml:space="preserve">  është kryer një pus (keson) ku shfrytëzohen rreth 20 l/s ujë për furnizim me ujë të pijshëm të kësaj komune. Nga ky punim gjithashtu shkarkohet me vetëderdhje një sasi uji nëntokësor prej 7 - 10 l/s që derdhet në liqenin artificial. Në akuifer janë kryer edhe punime hidrogjeologjike nga privatët. Sasia e ujit që shfrytëzohet nga këto punime vlerësohet rreth 10 l/s. Sasia e ujit të shfrytëzuar nga akuiferi është rreth 40 l/s. </w:t>
      </w:r>
    </w:p>
    <w:p w:rsidR="0036740A" w:rsidRDefault="0036740A" w:rsidP="00B45173">
      <w:pPr>
        <w:pStyle w:val="BodyText"/>
        <w:spacing w:after="0"/>
        <w:rPr>
          <w:lang w:val="sq-AL"/>
        </w:rPr>
      </w:pPr>
      <w:r>
        <w:rPr>
          <w:lang w:val="sq-AL"/>
        </w:rPr>
        <w:t xml:space="preserve">Resurset e shfrytëzimit të ujërave nëntokësore në akuifer janë vlerësuar rreth 90 l/s. </w:t>
      </w:r>
    </w:p>
    <w:p w:rsidR="0036740A" w:rsidRDefault="0036740A" w:rsidP="00B45173">
      <w:pPr>
        <w:pStyle w:val="BodyText"/>
        <w:spacing w:after="0"/>
        <w:rPr>
          <w:lang w:val="sq-AL"/>
        </w:rPr>
      </w:pPr>
      <w:r>
        <w:rPr>
          <w:lang w:val="sq-AL"/>
        </w:rPr>
        <w:t>Koefiçienti vjetor i shfrytëzimit të akuiferit llogaritet rreth 0.45.</w:t>
      </w:r>
    </w:p>
    <w:p w:rsidR="0036740A" w:rsidRDefault="0036740A" w:rsidP="0036740A">
      <w:pPr>
        <w:pStyle w:val="BodyText"/>
        <w:spacing w:line="276" w:lineRule="auto"/>
        <w:rPr>
          <w:b/>
          <w:sz w:val="12"/>
          <w:szCs w:val="12"/>
          <w:lang w:val="sq-AL"/>
        </w:rPr>
      </w:pPr>
    </w:p>
    <w:p w:rsidR="0036740A" w:rsidRPr="00D87C5F" w:rsidRDefault="0036740A" w:rsidP="00CE071B">
      <w:pPr>
        <w:spacing w:after="120"/>
        <w:jc w:val="both"/>
        <w:rPr>
          <w:rFonts w:ascii="Times New Roman" w:hAnsi="Times New Roman" w:cs="Times New Roman"/>
          <w:b/>
          <w:sz w:val="24"/>
          <w:szCs w:val="24"/>
          <w:lang w:val="sq-AL"/>
        </w:rPr>
      </w:pPr>
      <w:r w:rsidRPr="00D87C5F">
        <w:rPr>
          <w:rFonts w:ascii="Times New Roman" w:hAnsi="Times New Roman" w:cs="Times New Roman"/>
          <w:b/>
          <w:i/>
          <w:sz w:val="24"/>
          <w:szCs w:val="24"/>
          <w:lang w:val="sq-AL" w:bidi="en-US"/>
        </w:rPr>
        <w:t>Akuiferi i karstik i Tragjasit</w:t>
      </w:r>
      <w:r w:rsidRPr="00D87C5F">
        <w:rPr>
          <w:rFonts w:ascii="Times New Roman" w:hAnsi="Times New Roman" w:cs="Times New Roman"/>
          <w:b/>
          <w:sz w:val="24"/>
          <w:szCs w:val="24"/>
          <w:lang w:val="sq-AL"/>
        </w:rPr>
        <w:t xml:space="preserve"> </w:t>
      </w:r>
    </w:p>
    <w:p w:rsidR="0036740A" w:rsidRPr="00D87C5F" w:rsidRDefault="0036740A" w:rsidP="00CE071B">
      <w:pPr>
        <w:jc w:val="both"/>
        <w:rPr>
          <w:rFonts w:ascii="Times New Roman" w:hAnsi="Times New Roman" w:cs="Times New Roman"/>
          <w:sz w:val="24"/>
          <w:szCs w:val="24"/>
          <w:lang w:val="sq-AL" w:bidi="en-US"/>
        </w:rPr>
      </w:pPr>
      <w:r w:rsidRPr="00D87C5F">
        <w:rPr>
          <w:rFonts w:ascii="Times New Roman" w:hAnsi="Times New Roman" w:cs="Times New Roman"/>
          <w:sz w:val="24"/>
          <w:szCs w:val="24"/>
          <w:lang w:val="sq-AL" w:bidi="en-US"/>
        </w:rPr>
        <w:t>-Burimet e Ujit të Ftohtë me prurje të ndryshme, nga shumë të ulët deri në rreth Q =2 m</w:t>
      </w:r>
      <w:r w:rsidRPr="00D87C5F">
        <w:rPr>
          <w:rFonts w:ascii="Times New Roman" w:hAnsi="Times New Roman" w:cs="Times New Roman"/>
          <w:sz w:val="24"/>
          <w:szCs w:val="24"/>
          <w:vertAlign w:val="superscript"/>
          <w:lang w:val="sq-AL" w:bidi="en-US"/>
        </w:rPr>
        <w:t>3</w:t>
      </w:r>
      <w:r w:rsidRPr="00D87C5F">
        <w:rPr>
          <w:rFonts w:ascii="Times New Roman" w:hAnsi="Times New Roman" w:cs="Times New Roman"/>
          <w:sz w:val="24"/>
          <w:szCs w:val="24"/>
          <w:lang w:val="sq-AL" w:bidi="en-US"/>
        </w:rPr>
        <w:t>/s.</w:t>
      </w:r>
    </w:p>
    <w:p w:rsidR="0036740A" w:rsidRPr="00D87C5F" w:rsidRDefault="0036740A" w:rsidP="00CE071B">
      <w:pPr>
        <w:jc w:val="both"/>
        <w:rPr>
          <w:rFonts w:ascii="Times New Roman" w:hAnsi="Times New Roman" w:cs="Times New Roman"/>
          <w:sz w:val="24"/>
          <w:szCs w:val="24"/>
          <w:lang w:val="sq-AL"/>
        </w:rPr>
      </w:pPr>
      <w:r w:rsidRPr="00D87C5F">
        <w:rPr>
          <w:rFonts w:ascii="Times New Roman" w:hAnsi="Times New Roman" w:cs="Times New Roman"/>
          <w:sz w:val="24"/>
          <w:szCs w:val="24"/>
          <w:lang w:val="sq-AL"/>
        </w:rPr>
        <w:t>“Burimet e Izvorit”, që dalin rrëzë fshatit Tragjas i Vjetër Q = 1800 l/sek.</w:t>
      </w:r>
    </w:p>
    <w:p w:rsidR="0036740A" w:rsidRPr="00D87C5F" w:rsidRDefault="0036740A" w:rsidP="00CE071B">
      <w:pPr>
        <w:spacing w:after="120"/>
        <w:jc w:val="both"/>
        <w:rPr>
          <w:rFonts w:ascii="Times New Roman" w:hAnsi="Times New Roman" w:cs="Times New Roman"/>
          <w:b/>
          <w:i/>
          <w:sz w:val="24"/>
          <w:szCs w:val="24"/>
          <w:lang w:val="sq-AL"/>
        </w:rPr>
      </w:pPr>
      <w:r w:rsidRPr="00D87C5F">
        <w:rPr>
          <w:rFonts w:ascii="Times New Roman" w:hAnsi="Times New Roman" w:cs="Times New Roman"/>
          <w:b/>
          <w:i/>
          <w:color w:val="000000"/>
          <w:sz w:val="24"/>
          <w:szCs w:val="24"/>
          <w:lang w:val="sq-AL"/>
        </w:rPr>
        <w:t>Akuiferi</w:t>
      </w:r>
      <w:r w:rsidRPr="00D87C5F">
        <w:rPr>
          <w:rFonts w:ascii="Times New Roman" w:hAnsi="Times New Roman" w:cs="Times New Roman"/>
          <w:b/>
          <w:i/>
          <w:sz w:val="24"/>
          <w:szCs w:val="24"/>
          <w:lang w:val="sq-AL"/>
        </w:rPr>
        <w:t xml:space="preserve"> karbonatik i Malit të Gjerë</w:t>
      </w:r>
    </w:p>
    <w:p w:rsidR="0036740A" w:rsidRPr="00D87C5F" w:rsidRDefault="0036740A" w:rsidP="00CE071B">
      <w:pPr>
        <w:jc w:val="both"/>
        <w:rPr>
          <w:rFonts w:ascii="Times New Roman" w:hAnsi="Times New Roman" w:cs="Times New Roman"/>
          <w:b/>
          <w:sz w:val="24"/>
          <w:szCs w:val="24"/>
          <w:lang w:val="sq-AL"/>
        </w:rPr>
      </w:pPr>
      <w:r w:rsidRPr="00D87C5F">
        <w:rPr>
          <w:rFonts w:ascii="Times New Roman" w:hAnsi="Times New Roman" w:cs="Times New Roman"/>
          <w:sz w:val="24"/>
          <w:szCs w:val="24"/>
          <w:lang w:val="sq-AL"/>
        </w:rPr>
        <w:t>Burimi më i madh është Syri i Kaltër  me prurje mesatare shumëvjeçare 7.8 m</w:t>
      </w:r>
      <w:r w:rsidRPr="00D87C5F">
        <w:rPr>
          <w:rFonts w:ascii="Times New Roman" w:hAnsi="Times New Roman" w:cs="Times New Roman"/>
          <w:sz w:val="24"/>
          <w:szCs w:val="24"/>
          <w:vertAlign w:val="superscript"/>
          <w:lang w:val="sq-AL"/>
        </w:rPr>
        <w:t>3</w:t>
      </w:r>
      <w:r w:rsidRPr="00D87C5F">
        <w:rPr>
          <w:rFonts w:ascii="Times New Roman" w:hAnsi="Times New Roman" w:cs="Times New Roman"/>
          <w:sz w:val="24"/>
          <w:szCs w:val="24"/>
          <w:lang w:val="sq-AL"/>
        </w:rPr>
        <w:t>/sek.</w:t>
      </w:r>
    </w:p>
    <w:p w:rsidR="0036740A" w:rsidRPr="00D87C5F" w:rsidRDefault="0036740A" w:rsidP="00CE071B">
      <w:pPr>
        <w:jc w:val="both"/>
        <w:rPr>
          <w:rFonts w:ascii="Times New Roman" w:hAnsi="Times New Roman" w:cs="Times New Roman"/>
          <w:sz w:val="24"/>
          <w:szCs w:val="24"/>
          <w:lang w:val="sq-AL"/>
        </w:rPr>
      </w:pPr>
      <w:r w:rsidRPr="00D87C5F">
        <w:rPr>
          <w:rFonts w:ascii="Times New Roman" w:hAnsi="Times New Roman" w:cs="Times New Roman"/>
          <w:b/>
          <w:sz w:val="24"/>
          <w:szCs w:val="24"/>
          <w:lang w:val="sq-AL"/>
        </w:rPr>
        <w:t>Monitorimi hidrodinamik</w:t>
      </w:r>
      <w:r w:rsidRPr="00D87C5F">
        <w:rPr>
          <w:rFonts w:ascii="Times New Roman" w:hAnsi="Times New Roman" w:cs="Times New Roman"/>
          <w:sz w:val="24"/>
          <w:szCs w:val="24"/>
          <w:lang w:val="sq-AL"/>
        </w:rPr>
        <w:t xml:space="preserve"> </w:t>
      </w:r>
    </w:p>
    <w:p w:rsidR="00B45173" w:rsidRDefault="0036740A" w:rsidP="00CE071B">
      <w:pPr>
        <w:jc w:val="both"/>
        <w:rPr>
          <w:rFonts w:ascii="Times New Roman" w:hAnsi="Times New Roman" w:cs="Times New Roman"/>
          <w:sz w:val="24"/>
          <w:szCs w:val="24"/>
          <w:lang w:val="sq-AL"/>
        </w:rPr>
      </w:pPr>
      <w:r w:rsidRPr="00D87C5F">
        <w:rPr>
          <w:rFonts w:ascii="Times New Roman" w:hAnsi="Times New Roman" w:cs="Times New Roman"/>
          <w:sz w:val="24"/>
          <w:szCs w:val="24"/>
          <w:lang w:val="sq-AL"/>
        </w:rPr>
        <w:t>Monitorimi hidrodinamik i ujërave nëntokësore të akuiferit ujëmbajtës kuaternar të Vurgut është kryer në 2 shpime, konkretisht në një nga shpimet e stacionit të pompimit Vrion, që shërben për furnizimin e qytetit të Sarandës me ujë dhe në një shpim në fshatin Karahaxh.  Nivelet e matura në akuiferin kuaternar të Vurgut jepen në tabelën e mëposhtme.</w:t>
      </w:r>
    </w:p>
    <w:p w:rsidR="0036740A" w:rsidRPr="00D87C5F" w:rsidRDefault="00B45173" w:rsidP="00CE071B">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Tabela 37. Të dhënat e monitorimit hidrodinamik në</w:t>
      </w:r>
      <w:r w:rsidRPr="00D87C5F">
        <w:rPr>
          <w:rFonts w:ascii="Times New Roman" w:hAnsi="Times New Roman" w:cs="Times New Roman"/>
          <w:sz w:val="24"/>
          <w:szCs w:val="24"/>
          <w:lang w:val="sq-AL"/>
        </w:rPr>
        <w:t>akuiferin kuaternar të Vurgut</w:t>
      </w:r>
    </w:p>
    <w:tbl>
      <w:tblPr>
        <w:tblW w:w="8429" w:type="dxa"/>
        <w:jc w:val="center"/>
        <w:tblLook w:val="04A0" w:firstRow="1" w:lastRow="0" w:firstColumn="1" w:lastColumn="0" w:noHBand="0" w:noVBand="1"/>
      </w:tblPr>
      <w:tblGrid>
        <w:gridCol w:w="1715"/>
        <w:gridCol w:w="2464"/>
        <w:gridCol w:w="2107"/>
        <w:gridCol w:w="2143"/>
      </w:tblGrid>
      <w:tr w:rsidR="0036740A" w:rsidRPr="0036740A" w:rsidTr="0036740A">
        <w:trPr>
          <w:trHeight w:val="156"/>
          <w:jc w:val="center"/>
        </w:trPr>
        <w:tc>
          <w:tcPr>
            <w:tcW w:w="1715" w:type="dxa"/>
            <w:tcBorders>
              <w:top w:val="single" w:sz="8" w:space="0" w:color="auto"/>
              <w:left w:val="single" w:sz="8" w:space="0" w:color="auto"/>
              <w:bottom w:val="single" w:sz="8" w:space="0" w:color="auto"/>
              <w:right w:val="single" w:sz="8" w:space="0" w:color="auto"/>
            </w:tcBorders>
            <w:noWrap/>
            <w:vAlign w:val="center"/>
            <w:hideMark/>
          </w:tcPr>
          <w:p w:rsidR="0036740A" w:rsidRPr="0036740A" w:rsidRDefault="0036740A" w:rsidP="00B45173">
            <w:pPr>
              <w:spacing w:after="0" w:line="240" w:lineRule="auto"/>
              <w:jc w:val="both"/>
              <w:rPr>
                <w:rFonts w:ascii="Times New Roman" w:eastAsia="Times New Roman" w:hAnsi="Times New Roman" w:cs="Times New Roman"/>
                <w:b/>
                <w:color w:val="000000"/>
                <w:sz w:val="20"/>
                <w:szCs w:val="20"/>
              </w:rPr>
            </w:pPr>
            <w:r w:rsidRPr="0036740A">
              <w:rPr>
                <w:rFonts w:ascii="Times New Roman" w:eastAsia="Times New Roman" w:hAnsi="Times New Roman" w:cs="Times New Roman"/>
                <w:b/>
                <w:color w:val="000000"/>
                <w:sz w:val="20"/>
                <w:szCs w:val="20"/>
              </w:rPr>
              <w:t>Viti</w:t>
            </w:r>
          </w:p>
        </w:tc>
        <w:tc>
          <w:tcPr>
            <w:tcW w:w="2464" w:type="dxa"/>
            <w:tcBorders>
              <w:top w:val="single" w:sz="8" w:space="0" w:color="auto"/>
              <w:left w:val="nil"/>
              <w:bottom w:val="single" w:sz="8" w:space="0" w:color="auto"/>
              <w:right w:val="single" w:sz="8" w:space="0" w:color="auto"/>
            </w:tcBorders>
            <w:noWrap/>
            <w:vAlign w:val="center"/>
            <w:hideMark/>
          </w:tcPr>
          <w:p w:rsidR="0036740A" w:rsidRPr="0036740A" w:rsidRDefault="0036740A" w:rsidP="00B45173">
            <w:pPr>
              <w:spacing w:after="0" w:line="240" w:lineRule="auto"/>
              <w:jc w:val="both"/>
              <w:rPr>
                <w:rFonts w:ascii="Times New Roman" w:eastAsia="Times New Roman" w:hAnsi="Times New Roman" w:cs="Times New Roman"/>
                <w:b/>
                <w:color w:val="000000"/>
                <w:sz w:val="20"/>
                <w:szCs w:val="20"/>
              </w:rPr>
            </w:pPr>
            <w:r w:rsidRPr="0036740A">
              <w:rPr>
                <w:rFonts w:ascii="Times New Roman" w:eastAsia="Times New Roman" w:hAnsi="Times New Roman" w:cs="Times New Roman"/>
                <w:b/>
                <w:color w:val="000000"/>
                <w:sz w:val="20"/>
                <w:szCs w:val="20"/>
              </w:rPr>
              <w:t>Koha e matjes</w:t>
            </w:r>
          </w:p>
        </w:tc>
        <w:tc>
          <w:tcPr>
            <w:tcW w:w="2107" w:type="dxa"/>
            <w:tcBorders>
              <w:top w:val="single" w:sz="8" w:space="0" w:color="auto"/>
              <w:left w:val="nil"/>
              <w:bottom w:val="single" w:sz="8" w:space="0" w:color="auto"/>
              <w:right w:val="single" w:sz="8" w:space="0" w:color="auto"/>
            </w:tcBorders>
            <w:noWrap/>
            <w:vAlign w:val="bottom"/>
            <w:hideMark/>
          </w:tcPr>
          <w:p w:rsidR="0036740A" w:rsidRPr="0036740A" w:rsidRDefault="0036740A" w:rsidP="00B45173">
            <w:pPr>
              <w:spacing w:after="0" w:line="240" w:lineRule="auto"/>
              <w:rPr>
                <w:rFonts w:ascii="Times New Roman" w:hAnsi="Times New Roman" w:cs="Times New Roman"/>
                <w:b/>
                <w:color w:val="000000"/>
                <w:sz w:val="20"/>
                <w:szCs w:val="20"/>
              </w:rPr>
            </w:pPr>
            <w:r w:rsidRPr="0036740A">
              <w:rPr>
                <w:rFonts w:ascii="Times New Roman" w:hAnsi="Times New Roman" w:cs="Times New Roman"/>
                <w:b/>
                <w:color w:val="000000"/>
                <w:sz w:val="20"/>
                <w:szCs w:val="20"/>
              </w:rPr>
              <w:t>shpimi Vrion</w:t>
            </w:r>
          </w:p>
        </w:tc>
        <w:tc>
          <w:tcPr>
            <w:tcW w:w="2143" w:type="dxa"/>
            <w:tcBorders>
              <w:top w:val="single" w:sz="8" w:space="0" w:color="auto"/>
              <w:left w:val="nil"/>
              <w:bottom w:val="single" w:sz="8" w:space="0" w:color="auto"/>
              <w:right w:val="single" w:sz="8" w:space="0" w:color="auto"/>
            </w:tcBorders>
            <w:noWrap/>
            <w:vAlign w:val="bottom"/>
            <w:hideMark/>
          </w:tcPr>
          <w:p w:rsidR="0036740A" w:rsidRPr="0036740A" w:rsidRDefault="0036740A" w:rsidP="00B45173">
            <w:pPr>
              <w:spacing w:after="0" w:line="240" w:lineRule="auto"/>
              <w:rPr>
                <w:rFonts w:ascii="Times New Roman" w:hAnsi="Times New Roman" w:cs="Times New Roman"/>
                <w:b/>
                <w:color w:val="000000"/>
                <w:sz w:val="20"/>
                <w:szCs w:val="20"/>
              </w:rPr>
            </w:pPr>
            <w:r w:rsidRPr="0036740A">
              <w:rPr>
                <w:rFonts w:ascii="Times New Roman" w:hAnsi="Times New Roman" w:cs="Times New Roman"/>
                <w:b/>
                <w:color w:val="000000"/>
                <w:sz w:val="20"/>
                <w:szCs w:val="20"/>
              </w:rPr>
              <w:t>shpimi Karahaxh</w:t>
            </w:r>
          </w:p>
        </w:tc>
      </w:tr>
      <w:tr w:rsidR="0036740A" w:rsidRPr="0036740A" w:rsidTr="0036740A">
        <w:trPr>
          <w:trHeight w:val="156"/>
          <w:jc w:val="center"/>
        </w:trPr>
        <w:tc>
          <w:tcPr>
            <w:tcW w:w="1715" w:type="dxa"/>
            <w:vMerge w:val="restart"/>
            <w:tcBorders>
              <w:top w:val="nil"/>
              <w:left w:val="single" w:sz="8" w:space="0" w:color="auto"/>
              <w:bottom w:val="single" w:sz="8" w:space="0" w:color="000000"/>
              <w:right w:val="single" w:sz="8" w:space="0" w:color="auto"/>
            </w:tcBorders>
            <w:noWrap/>
            <w:vAlign w:val="center"/>
            <w:hideMark/>
          </w:tcPr>
          <w:p w:rsidR="0036740A" w:rsidRPr="0036740A" w:rsidRDefault="0036740A" w:rsidP="00B45173">
            <w:pPr>
              <w:spacing w:after="0" w:line="240" w:lineRule="auto"/>
              <w:jc w:val="both"/>
              <w:rPr>
                <w:rFonts w:ascii="Times New Roman" w:eastAsia="Times New Roman" w:hAnsi="Times New Roman" w:cs="Times New Roman"/>
                <w:b/>
                <w:color w:val="000000"/>
                <w:sz w:val="20"/>
                <w:szCs w:val="20"/>
              </w:rPr>
            </w:pPr>
            <w:r w:rsidRPr="0036740A">
              <w:rPr>
                <w:rFonts w:ascii="Times New Roman" w:eastAsia="Times New Roman" w:hAnsi="Times New Roman" w:cs="Times New Roman"/>
                <w:b/>
                <w:color w:val="000000"/>
                <w:sz w:val="20"/>
                <w:szCs w:val="20"/>
              </w:rPr>
              <w:t>Viti 2025</w:t>
            </w:r>
          </w:p>
        </w:tc>
        <w:tc>
          <w:tcPr>
            <w:tcW w:w="2464" w:type="dxa"/>
            <w:tcBorders>
              <w:top w:val="nil"/>
              <w:left w:val="nil"/>
              <w:bottom w:val="single" w:sz="8" w:space="0" w:color="auto"/>
              <w:right w:val="single" w:sz="8" w:space="0" w:color="auto"/>
            </w:tcBorders>
            <w:noWrap/>
            <w:vAlign w:val="center"/>
            <w:hideMark/>
          </w:tcPr>
          <w:p w:rsidR="0036740A" w:rsidRPr="0036740A" w:rsidRDefault="0036740A" w:rsidP="00B45173">
            <w:pPr>
              <w:spacing w:after="0" w:line="240" w:lineRule="auto"/>
              <w:jc w:val="both"/>
              <w:rPr>
                <w:rFonts w:ascii="Times New Roman" w:eastAsia="Times New Roman" w:hAnsi="Times New Roman" w:cs="Times New Roman"/>
                <w:color w:val="000000"/>
                <w:sz w:val="20"/>
                <w:szCs w:val="20"/>
              </w:rPr>
            </w:pPr>
            <w:r w:rsidRPr="0036740A">
              <w:rPr>
                <w:rFonts w:ascii="Times New Roman" w:eastAsia="Times New Roman" w:hAnsi="Times New Roman" w:cs="Times New Roman"/>
                <w:color w:val="000000"/>
                <w:sz w:val="20"/>
                <w:szCs w:val="20"/>
              </w:rPr>
              <w:t>Prill 2025</w:t>
            </w:r>
          </w:p>
        </w:tc>
        <w:tc>
          <w:tcPr>
            <w:tcW w:w="2107" w:type="dxa"/>
            <w:tcBorders>
              <w:top w:val="nil"/>
              <w:left w:val="nil"/>
              <w:bottom w:val="single" w:sz="8" w:space="0" w:color="auto"/>
              <w:right w:val="single" w:sz="8" w:space="0" w:color="auto"/>
            </w:tcBorders>
            <w:noWrap/>
            <w:vAlign w:val="bottom"/>
            <w:hideMark/>
          </w:tcPr>
          <w:p w:rsidR="0036740A" w:rsidRPr="0036740A" w:rsidRDefault="0036740A" w:rsidP="00B45173">
            <w:pPr>
              <w:spacing w:after="0" w:line="240" w:lineRule="auto"/>
              <w:rPr>
                <w:rFonts w:ascii="Times New Roman" w:hAnsi="Times New Roman" w:cs="Times New Roman"/>
                <w:color w:val="000000"/>
                <w:sz w:val="20"/>
                <w:szCs w:val="20"/>
              </w:rPr>
            </w:pPr>
            <w:r w:rsidRPr="0036740A">
              <w:rPr>
                <w:rFonts w:ascii="Times New Roman" w:hAnsi="Times New Roman" w:cs="Times New Roman"/>
                <w:color w:val="000000"/>
                <w:sz w:val="20"/>
                <w:szCs w:val="20"/>
              </w:rPr>
              <w:t>(Ns) -7</w:t>
            </w:r>
          </w:p>
        </w:tc>
        <w:tc>
          <w:tcPr>
            <w:tcW w:w="2143" w:type="dxa"/>
            <w:tcBorders>
              <w:top w:val="nil"/>
              <w:left w:val="nil"/>
              <w:bottom w:val="single" w:sz="8" w:space="0" w:color="auto"/>
              <w:right w:val="single" w:sz="8" w:space="0" w:color="auto"/>
            </w:tcBorders>
            <w:noWrap/>
            <w:vAlign w:val="bottom"/>
            <w:hideMark/>
          </w:tcPr>
          <w:p w:rsidR="0036740A" w:rsidRPr="0036740A" w:rsidRDefault="0036740A" w:rsidP="00B45173">
            <w:pPr>
              <w:spacing w:after="0" w:line="240" w:lineRule="auto"/>
              <w:rPr>
                <w:rFonts w:ascii="Times New Roman" w:hAnsi="Times New Roman" w:cs="Times New Roman"/>
                <w:color w:val="000000"/>
                <w:sz w:val="20"/>
                <w:szCs w:val="20"/>
              </w:rPr>
            </w:pPr>
            <w:r w:rsidRPr="0036740A">
              <w:rPr>
                <w:rFonts w:ascii="Times New Roman" w:hAnsi="Times New Roman" w:cs="Times New Roman"/>
                <w:color w:val="000000"/>
                <w:sz w:val="20"/>
                <w:szCs w:val="20"/>
              </w:rPr>
              <w:t>-5.8</w:t>
            </w:r>
          </w:p>
        </w:tc>
      </w:tr>
      <w:tr w:rsidR="0036740A" w:rsidRPr="0036740A" w:rsidTr="0036740A">
        <w:trPr>
          <w:trHeight w:val="156"/>
          <w:jc w:val="center"/>
        </w:trPr>
        <w:tc>
          <w:tcPr>
            <w:tcW w:w="0" w:type="auto"/>
            <w:vMerge/>
            <w:tcBorders>
              <w:top w:val="nil"/>
              <w:left w:val="single" w:sz="8" w:space="0" w:color="auto"/>
              <w:bottom w:val="single" w:sz="8" w:space="0" w:color="000000"/>
              <w:right w:val="single" w:sz="8" w:space="0" w:color="auto"/>
            </w:tcBorders>
            <w:vAlign w:val="center"/>
            <w:hideMark/>
          </w:tcPr>
          <w:p w:rsidR="0036740A" w:rsidRPr="0036740A" w:rsidRDefault="0036740A" w:rsidP="00B45173">
            <w:pPr>
              <w:spacing w:after="0" w:line="240" w:lineRule="auto"/>
              <w:rPr>
                <w:rFonts w:ascii="Times New Roman" w:eastAsia="Times New Roman" w:hAnsi="Times New Roman" w:cs="Times New Roman"/>
                <w:b/>
                <w:color w:val="000000"/>
                <w:sz w:val="20"/>
                <w:szCs w:val="20"/>
              </w:rPr>
            </w:pPr>
          </w:p>
        </w:tc>
        <w:tc>
          <w:tcPr>
            <w:tcW w:w="2464" w:type="dxa"/>
            <w:tcBorders>
              <w:top w:val="nil"/>
              <w:left w:val="nil"/>
              <w:bottom w:val="single" w:sz="8" w:space="0" w:color="auto"/>
              <w:right w:val="single" w:sz="8" w:space="0" w:color="auto"/>
            </w:tcBorders>
            <w:noWrap/>
            <w:vAlign w:val="center"/>
            <w:hideMark/>
          </w:tcPr>
          <w:p w:rsidR="0036740A" w:rsidRPr="0036740A" w:rsidRDefault="0036740A" w:rsidP="00B45173">
            <w:pPr>
              <w:spacing w:after="0" w:line="240" w:lineRule="auto"/>
              <w:jc w:val="both"/>
              <w:rPr>
                <w:rFonts w:ascii="Times New Roman" w:eastAsia="Times New Roman" w:hAnsi="Times New Roman" w:cs="Times New Roman"/>
                <w:color w:val="000000"/>
                <w:sz w:val="20"/>
                <w:szCs w:val="20"/>
              </w:rPr>
            </w:pPr>
            <w:r w:rsidRPr="0036740A">
              <w:rPr>
                <w:rFonts w:ascii="Times New Roman" w:eastAsia="Times New Roman" w:hAnsi="Times New Roman" w:cs="Times New Roman"/>
                <w:color w:val="000000"/>
                <w:sz w:val="20"/>
                <w:szCs w:val="20"/>
              </w:rPr>
              <w:t>Shtator 2025</w:t>
            </w:r>
          </w:p>
        </w:tc>
        <w:tc>
          <w:tcPr>
            <w:tcW w:w="2107" w:type="dxa"/>
            <w:tcBorders>
              <w:top w:val="nil"/>
              <w:left w:val="nil"/>
              <w:bottom w:val="single" w:sz="8" w:space="0" w:color="auto"/>
              <w:right w:val="single" w:sz="8" w:space="0" w:color="auto"/>
            </w:tcBorders>
            <w:noWrap/>
            <w:vAlign w:val="bottom"/>
            <w:hideMark/>
          </w:tcPr>
          <w:p w:rsidR="0036740A" w:rsidRPr="0036740A" w:rsidRDefault="0036740A" w:rsidP="00B45173">
            <w:pPr>
              <w:spacing w:after="0" w:line="240" w:lineRule="auto"/>
              <w:rPr>
                <w:rFonts w:ascii="Times New Roman" w:hAnsi="Times New Roman" w:cs="Times New Roman"/>
                <w:color w:val="000000"/>
                <w:sz w:val="20"/>
                <w:szCs w:val="20"/>
              </w:rPr>
            </w:pPr>
            <w:r w:rsidRPr="0036740A">
              <w:rPr>
                <w:rFonts w:ascii="Times New Roman" w:hAnsi="Times New Roman" w:cs="Times New Roman"/>
                <w:color w:val="000000"/>
                <w:sz w:val="20"/>
                <w:szCs w:val="20"/>
              </w:rPr>
              <w:t>-3.8</w:t>
            </w:r>
          </w:p>
        </w:tc>
        <w:tc>
          <w:tcPr>
            <w:tcW w:w="2143" w:type="dxa"/>
            <w:tcBorders>
              <w:top w:val="nil"/>
              <w:left w:val="nil"/>
              <w:bottom w:val="single" w:sz="8" w:space="0" w:color="auto"/>
              <w:right w:val="single" w:sz="8" w:space="0" w:color="auto"/>
            </w:tcBorders>
            <w:noWrap/>
            <w:vAlign w:val="bottom"/>
            <w:hideMark/>
          </w:tcPr>
          <w:p w:rsidR="0036740A" w:rsidRPr="0036740A" w:rsidRDefault="0036740A" w:rsidP="00B45173">
            <w:pPr>
              <w:spacing w:after="0" w:line="240" w:lineRule="auto"/>
              <w:rPr>
                <w:rFonts w:ascii="Times New Roman" w:hAnsi="Times New Roman" w:cs="Times New Roman"/>
                <w:color w:val="000000"/>
                <w:sz w:val="20"/>
                <w:szCs w:val="20"/>
              </w:rPr>
            </w:pPr>
            <w:r w:rsidRPr="0036740A">
              <w:rPr>
                <w:rFonts w:ascii="Times New Roman" w:hAnsi="Times New Roman" w:cs="Times New Roman"/>
                <w:color w:val="000000"/>
                <w:sz w:val="20"/>
                <w:szCs w:val="20"/>
              </w:rPr>
              <w:t>- 5.5</w:t>
            </w:r>
          </w:p>
        </w:tc>
      </w:tr>
      <w:tr w:rsidR="0036740A" w:rsidRPr="0036740A" w:rsidTr="0036740A">
        <w:trPr>
          <w:trHeight w:val="156"/>
          <w:jc w:val="center"/>
        </w:trPr>
        <w:tc>
          <w:tcPr>
            <w:tcW w:w="1715" w:type="dxa"/>
            <w:tcBorders>
              <w:top w:val="nil"/>
              <w:left w:val="single" w:sz="8" w:space="0" w:color="auto"/>
              <w:bottom w:val="single" w:sz="8" w:space="0" w:color="000000"/>
              <w:right w:val="single" w:sz="8" w:space="0" w:color="auto"/>
            </w:tcBorders>
            <w:vAlign w:val="center"/>
            <w:hideMark/>
          </w:tcPr>
          <w:p w:rsidR="0036740A" w:rsidRPr="0036740A" w:rsidRDefault="0036740A" w:rsidP="00B45173">
            <w:pPr>
              <w:spacing w:after="0" w:line="240" w:lineRule="auto"/>
              <w:jc w:val="both"/>
              <w:rPr>
                <w:rFonts w:ascii="Times New Roman" w:eastAsia="Times New Roman" w:hAnsi="Times New Roman" w:cs="Times New Roman"/>
                <w:b/>
                <w:color w:val="000000"/>
                <w:sz w:val="20"/>
                <w:szCs w:val="20"/>
              </w:rPr>
            </w:pPr>
            <w:r w:rsidRPr="0036740A">
              <w:rPr>
                <w:rFonts w:ascii="Times New Roman" w:eastAsia="Times New Roman" w:hAnsi="Times New Roman" w:cs="Times New Roman"/>
                <w:b/>
                <w:color w:val="000000"/>
                <w:sz w:val="20"/>
                <w:szCs w:val="20"/>
              </w:rPr>
              <w:t>A (m)</w:t>
            </w:r>
          </w:p>
        </w:tc>
        <w:tc>
          <w:tcPr>
            <w:tcW w:w="2464" w:type="dxa"/>
            <w:tcBorders>
              <w:top w:val="nil"/>
              <w:left w:val="nil"/>
              <w:bottom w:val="single" w:sz="8" w:space="0" w:color="auto"/>
              <w:right w:val="single" w:sz="8" w:space="0" w:color="auto"/>
            </w:tcBorders>
            <w:noWrap/>
            <w:vAlign w:val="center"/>
            <w:hideMark/>
          </w:tcPr>
          <w:p w:rsidR="0036740A" w:rsidRPr="0036740A" w:rsidRDefault="0036740A" w:rsidP="00B45173">
            <w:pPr>
              <w:spacing w:after="0" w:line="240" w:lineRule="auto"/>
              <w:rPr>
                <w:rFonts w:ascii="Times New Roman" w:eastAsia="Times New Roman" w:hAnsi="Times New Roman" w:cs="Times New Roman"/>
                <w:b/>
                <w:color w:val="000000"/>
                <w:sz w:val="20"/>
                <w:szCs w:val="20"/>
              </w:rPr>
            </w:pPr>
          </w:p>
        </w:tc>
        <w:tc>
          <w:tcPr>
            <w:tcW w:w="2107" w:type="dxa"/>
            <w:tcBorders>
              <w:top w:val="nil"/>
              <w:left w:val="nil"/>
              <w:bottom w:val="single" w:sz="8" w:space="0" w:color="auto"/>
              <w:right w:val="single" w:sz="8" w:space="0" w:color="auto"/>
            </w:tcBorders>
            <w:noWrap/>
            <w:vAlign w:val="bottom"/>
            <w:hideMark/>
          </w:tcPr>
          <w:p w:rsidR="0036740A" w:rsidRPr="0036740A" w:rsidRDefault="0036740A" w:rsidP="00B45173">
            <w:pPr>
              <w:spacing w:after="0" w:line="240" w:lineRule="auto"/>
              <w:rPr>
                <w:rFonts w:ascii="Times New Roman" w:hAnsi="Times New Roman" w:cs="Times New Roman"/>
                <w:color w:val="000000"/>
                <w:sz w:val="20"/>
                <w:szCs w:val="20"/>
              </w:rPr>
            </w:pPr>
            <w:r w:rsidRPr="0036740A">
              <w:rPr>
                <w:rFonts w:ascii="Times New Roman" w:hAnsi="Times New Roman" w:cs="Times New Roman"/>
                <w:b/>
                <w:i/>
                <w:iCs/>
                <w:sz w:val="24"/>
              </w:rPr>
              <w:t>-</w:t>
            </w:r>
          </w:p>
        </w:tc>
        <w:tc>
          <w:tcPr>
            <w:tcW w:w="2143" w:type="dxa"/>
            <w:tcBorders>
              <w:top w:val="nil"/>
              <w:left w:val="nil"/>
              <w:bottom w:val="single" w:sz="8" w:space="0" w:color="auto"/>
              <w:right w:val="single" w:sz="8" w:space="0" w:color="auto"/>
            </w:tcBorders>
            <w:noWrap/>
            <w:vAlign w:val="bottom"/>
            <w:hideMark/>
          </w:tcPr>
          <w:p w:rsidR="0036740A" w:rsidRPr="0036740A" w:rsidRDefault="0036740A" w:rsidP="00B45173">
            <w:pPr>
              <w:spacing w:after="0" w:line="240" w:lineRule="auto"/>
              <w:rPr>
                <w:rFonts w:ascii="Times New Roman" w:hAnsi="Times New Roman" w:cs="Times New Roman"/>
                <w:color w:val="000000"/>
                <w:sz w:val="20"/>
                <w:szCs w:val="20"/>
              </w:rPr>
            </w:pPr>
            <w:r w:rsidRPr="0036740A">
              <w:rPr>
                <w:rFonts w:ascii="Times New Roman" w:hAnsi="Times New Roman" w:cs="Times New Roman"/>
                <w:b/>
                <w:i/>
                <w:iCs/>
                <w:sz w:val="24"/>
              </w:rPr>
              <w:t>0.3 m</w:t>
            </w:r>
          </w:p>
        </w:tc>
      </w:tr>
    </w:tbl>
    <w:p w:rsidR="0036740A" w:rsidRPr="0036740A" w:rsidRDefault="0036740A" w:rsidP="00B45173">
      <w:pPr>
        <w:spacing w:after="0" w:line="240" w:lineRule="auto"/>
        <w:jc w:val="both"/>
        <w:rPr>
          <w:rFonts w:ascii="Times New Roman" w:hAnsi="Times New Roman" w:cs="Times New Roman"/>
          <w:sz w:val="24"/>
          <w:lang w:val="sq-AL"/>
        </w:rPr>
      </w:pPr>
      <w:r w:rsidRPr="0036740A">
        <w:rPr>
          <w:rFonts w:ascii="Times New Roman" w:hAnsi="Times New Roman" w:cs="Times New Roman"/>
          <w:sz w:val="24"/>
          <w:lang w:val="sq-AL"/>
        </w:rPr>
        <w:lastRenderedPageBreak/>
        <w:t xml:space="preserve">Luhatja e nivelit të ujërave nëntokësore lidhet me ndryshimet stinore dhe me ndryshimet për efekt shfrytëzimi. Ndryshimet stinore që kanë të bëjnë me kushtet klimatike gjatë viteve shprehen me ngritjen ose me uljen e niveleve të UN. </w:t>
      </w:r>
    </w:p>
    <w:p w:rsidR="0036740A" w:rsidRPr="0036740A" w:rsidRDefault="0036740A" w:rsidP="00B45173">
      <w:pPr>
        <w:spacing w:after="0" w:line="240" w:lineRule="auto"/>
        <w:jc w:val="both"/>
        <w:rPr>
          <w:rFonts w:ascii="Times New Roman" w:hAnsi="Times New Roman" w:cs="Times New Roman"/>
          <w:sz w:val="24"/>
          <w:lang w:val="sq-AL"/>
        </w:rPr>
      </w:pPr>
      <w:r w:rsidRPr="0036740A">
        <w:rPr>
          <w:rFonts w:ascii="Times New Roman" w:hAnsi="Times New Roman" w:cs="Times New Roman"/>
          <w:sz w:val="24"/>
          <w:lang w:val="sq-AL"/>
        </w:rPr>
        <w:t xml:space="preserve">Gjatë vitit 2025 në zonën Jonike, niveli  maksimal  është takuar në fazën e dytë të monitorimit. Kjo mospërputhje në nivele, vjen si pasojë e reshjeve të cilat filluan që në muajin Gusht, duke pasqyruar rritje të niveleve. </w:t>
      </w:r>
      <w:r w:rsidRPr="0036740A">
        <w:rPr>
          <w:rFonts w:ascii="Times New Roman" w:hAnsi="Times New Roman" w:cs="Times New Roman"/>
          <w:b/>
          <w:sz w:val="24"/>
          <w:lang w:val="sq-AL"/>
        </w:rPr>
        <w:t xml:space="preserve">                   </w:t>
      </w:r>
    </w:p>
    <w:p w:rsidR="0036740A" w:rsidRDefault="0036740A" w:rsidP="00B45173">
      <w:pPr>
        <w:spacing w:after="0" w:line="240" w:lineRule="auto"/>
        <w:jc w:val="both"/>
        <w:rPr>
          <w:rFonts w:ascii="Times New Roman" w:hAnsi="Times New Roman" w:cs="Times New Roman"/>
          <w:sz w:val="24"/>
        </w:rPr>
      </w:pPr>
      <w:r w:rsidRPr="0036740A">
        <w:rPr>
          <w:rFonts w:ascii="Times New Roman" w:hAnsi="Times New Roman" w:cs="Times New Roman"/>
          <w:sz w:val="24"/>
        </w:rPr>
        <w:t>Amplituda për këtë periudhë monitorimi për akuiferin kuaternar të Vurgut shkon në vlerën A = 0.3 m për shpimin në Karahaxh, ndërsa për shpimin në Vrion, nuk mund të japim amplitudë p</w:t>
      </w:r>
      <w:r w:rsidR="00620CA5">
        <w:rPr>
          <w:rFonts w:ascii="Times New Roman" w:hAnsi="Times New Roman" w:cs="Times New Roman"/>
          <w:sz w:val="24"/>
        </w:rPr>
        <w:t>asi në matjet e fazës së parë kemi nivel statik</w:t>
      </w:r>
      <w:r w:rsidRPr="0036740A">
        <w:rPr>
          <w:rFonts w:ascii="Times New Roman" w:hAnsi="Times New Roman" w:cs="Times New Roman"/>
          <w:sz w:val="24"/>
        </w:rPr>
        <w:t xml:space="preserve"> dhe në fazën e dytë nivel dinamik. </w:t>
      </w:r>
    </w:p>
    <w:p w:rsidR="00B45173" w:rsidRPr="0036740A" w:rsidRDefault="00B45173" w:rsidP="00B45173">
      <w:pPr>
        <w:spacing w:after="0" w:line="240" w:lineRule="auto"/>
        <w:jc w:val="both"/>
        <w:rPr>
          <w:rFonts w:ascii="Times New Roman" w:hAnsi="Times New Roman" w:cs="Times New Roman"/>
          <w:sz w:val="12"/>
          <w:szCs w:val="12"/>
          <w:lang w:val="sq-AL"/>
        </w:rPr>
      </w:pPr>
    </w:p>
    <w:p w:rsidR="0036740A" w:rsidRPr="0036740A" w:rsidRDefault="0036740A" w:rsidP="00B45173">
      <w:pPr>
        <w:spacing w:after="0" w:line="240" w:lineRule="auto"/>
        <w:jc w:val="both"/>
        <w:rPr>
          <w:rFonts w:ascii="Times New Roman" w:hAnsi="Times New Roman" w:cs="Times New Roman"/>
          <w:sz w:val="24"/>
          <w:lang w:val="sq-AL"/>
        </w:rPr>
      </w:pPr>
      <w:r w:rsidRPr="0036740A">
        <w:rPr>
          <w:rFonts w:ascii="Times New Roman" w:hAnsi="Times New Roman" w:cs="Times New Roman"/>
          <w:b/>
          <w:i/>
          <w:sz w:val="24"/>
          <w:lang w:val="sq-AL"/>
        </w:rPr>
        <w:t xml:space="preserve">Akuiferi Kuaternar i Vurgut dhe Dukatit </w:t>
      </w:r>
      <w:r w:rsidRPr="0036740A">
        <w:rPr>
          <w:rFonts w:ascii="Times New Roman" w:hAnsi="Times New Roman" w:cs="Times New Roman"/>
          <w:b/>
          <w:sz w:val="24"/>
          <w:lang w:val="sq-AL"/>
        </w:rPr>
        <w:t xml:space="preserve">: </w:t>
      </w:r>
    </w:p>
    <w:p w:rsidR="0036740A" w:rsidRDefault="0036740A" w:rsidP="00B45173">
      <w:pPr>
        <w:spacing w:after="0" w:line="240" w:lineRule="auto"/>
        <w:jc w:val="both"/>
        <w:rPr>
          <w:rFonts w:ascii="Times New Roman" w:hAnsi="Times New Roman" w:cs="Times New Roman"/>
          <w:sz w:val="24"/>
          <w:lang w:val="sq-AL"/>
        </w:rPr>
      </w:pPr>
      <w:r w:rsidRPr="0036740A">
        <w:rPr>
          <w:rFonts w:ascii="Times New Roman" w:hAnsi="Times New Roman" w:cs="Times New Roman"/>
          <w:b/>
          <w:sz w:val="24"/>
          <w:lang w:val="sq-AL"/>
        </w:rPr>
        <w:t>-</w:t>
      </w:r>
      <w:r w:rsidRPr="0036740A">
        <w:rPr>
          <w:rFonts w:ascii="Times New Roman" w:hAnsi="Times New Roman" w:cs="Times New Roman"/>
          <w:sz w:val="24"/>
          <w:lang w:val="sq-AL"/>
        </w:rPr>
        <w:t xml:space="preserve"> Për monitorimin e cilësisë së UN të këtij akuiferi, në vitin 2025 u kryen 12 analiza kimike. UN të akuiferit kuaternar ujëmbajtës të Vurgut janë përdorur e vazhdojnë të përdoren për furnizimin me ujë të pijshëm të qytetit të Sarandës  e fshatrave përreth. UN të këtij akuiferi kanë veti fiziko – kimike të mira, janë pa erë, pa ngjyrë, pa shije, transparente. Rezultatet e analizave për akuiferët kuaternar të Vurgut dhe të Dukatit janë pasqyruar </w:t>
      </w:r>
      <w:r w:rsidR="00865641">
        <w:rPr>
          <w:rFonts w:ascii="Times New Roman" w:hAnsi="Times New Roman" w:cs="Times New Roman"/>
          <w:sz w:val="24"/>
          <w:lang w:val="sq-AL"/>
        </w:rPr>
        <w:t>si vijon:</w:t>
      </w:r>
      <w:r w:rsidRPr="0036740A">
        <w:rPr>
          <w:rFonts w:ascii="Times New Roman" w:hAnsi="Times New Roman" w:cs="Times New Roman"/>
          <w:sz w:val="24"/>
          <w:lang w:val="sq-AL"/>
        </w:rPr>
        <w:t xml:space="preserve"> </w:t>
      </w:r>
    </w:p>
    <w:p w:rsidR="00B45173" w:rsidRPr="0036740A" w:rsidRDefault="00B45173" w:rsidP="00B45173">
      <w:pPr>
        <w:spacing w:after="0" w:line="240" w:lineRule="auto"/>
        <w:jc w:val="both"/>
        <w:rPr>
          <w:rFonts w:ascii="Times New Roman" w:hAnsi="Times New Roman" w:cs="Times New Roman"/>
          <w:sz w:val="24"/>
          <w:lang w:val="sq-AL"/>
        </w:rPr>
      </w:pPr>
    </w:p>
    <w:p w:rsidR="0036740A" w:rsidRPr="0036740A" w:rsidRDefault="0036740A" w:rsidP="00B45173">
      <w:pPr>
        <w:spacing w:after="0" w:line="240" w:lineRule="auto"/>
        <w:jc w:val="both"/>
        <w:rPr>
          <w:rFonts w:ascii="Times New Roman" w:hAnsi="Times New Roman" w:cs="Times New Roman"/>
          <w:sz w:val="24"/>
          <w:lang w:val="sq-AL"/>
        </w:rPr>
      </w:pPr>
      <w:bookmarkStart w:id="36" w:name="_Hlk214710520"/>
      <w:r w:rsidRPr="0036740A">
        <w:rPr>
          <w:rFonts w:ascii="Times New Roman" w:hAnsi="Times New Roman" w:cs="Times New Roman"/>
          <w:b/>
          <w:sz w:val="24"/>
          <w:lang w:val="sq-AL"/>
        </w:rPr>
        <w:t>pH i UN</w:t>
      </w:r>
      <w:r w:rsidRPr="0036740A">
        <w:rPr>
          <w:rFonts w:ascii="Times New Roman" w:hAnsi="Times New Roman" w:cs="Times New Roman"/>
          <w:sz w:val="24"/>
          <w:lang w:val="sq-AL"/>
        </w:rPr>
        <w:t xml:space="preserve"> – në dy fazat e monitorimit për vitin 2025 varion nga 6.82 në 7.26, përkatësisht në shpimet Karahaxh dhe Çukë 2. </w:t>
      </w:r>
      <w:bookmarkEnd w:id="36"/>
      <w:r w:rsidRPr="0036740A">
        <w:rPr>
          <w:rFonts w:ascii="Times New Roman" w:hAnsi="Times New Roman" w:cs="Times New Roman"/>
          <w:sz w:val="24"/>
          <w:lang w:val="sq-AL"/>
        </w:rPr>
        <w:t>Vlera minimale e pH prej 6.82 është takuar në shpimin Karahaxh në fazën e dytë, ndërsa vlera maksimale prej 7.26 është takuar në shpimin Çukë  2, në muajin Prill, faza e parë. Siç shihet parametri pH është brenda normës së lejuar në të gjithë shpimet. Vlera mesatare e pH për vitin 2025 varion 7.0 deri në 7.21. Ndryshimet stinore në vitin 2025 janë të ulëta, ato variojnë nga 0.03 – 0.36.</w:t>
      </w:r>
    </w:p>
    <w:p w:rsidR="0036740A" w:rsidRDefault="0036740A" w:rsidP="00B45173">
      <w:pPr>
        <w:spacing w:after="0" w:line="240" w:lineRule="auto"/>
        <w:jc w:val="both"/>
        <w:rPr>
          <w:rFonts w:ascii="Times New Roman" w:hAnsi="Times New Roman" w:cs="Times New Roman"/>
          <w:sz w:val="24"/>
          <w:lang w:val="sq-AL"/>
        </w:rPr>
      </w:pPr>
      <w:r w:rsidRPr="0036740A">
        <w:rPr>
          <w:rFonts w:ascii="Times New Roman" w:hAnsi="Times New Roman" w:cs="Times New Roman"/>
          <w:sz w:val="24"/>
          <w:lang w:val="sq-AL"/>
        </w:rPr>
        <w:t xml:space="preserve">Sipas normës së lejuar për ujë të pijshëm ky tregues është brenda normës (pH = 6.5 – 9.5). Sipas vlerës së pH (përqëndrimi i jonit të hidrogjenit) janë ujëra të tipit alkalin të dobët. </w:t>
      </w:r>
    </w:p>
    <w:p w:rsidR="00B45173" w:rsidRPr="0036740A" w:rsidRDefault="00B45173" w:rsidP="00B45173">
      <w:pPr>
        <w:spacing w:after="0" w:line="240" w:lineRule="auto"/>
        <w:jc w:val="both"/>
        <w:rPr>
          <w:rFonts w:ascii="Times New Roman" w:hAnsi="Times New Roman" w:cs="Times New Roman"/>
          <w:sz w:val="24"/>
          <w:lang w:val="sq-AL"/>
        </w:rPr>
      </w:pPr>
    </w:p>
    <w:p w:rsidR="0036740A" w:rsidRPr="0036740A" w:rsidRDefault="0036740A" w:rsidP="00B45173">
      <w:pPr>
        <w:spacing w:after="0" w:line="240" w:lineRule="auto"/>
        <w:jc w:val="both"/>
        <w:rPr>
          <w:rFonts w:ascii="Times New Roman" w:hAnsi="Times New Roman" w:cs="Times New Roman"/>
          <w:sz w:val="24"/>
          <w:lang w:val="sq-AL"/>
        </w:rPr>
      </w:pPr>
      <w:bookmarkStart w:id="37" w:name="_Hlk214710535"/>
      <w:r w:rsidRPr="0036740A">
        <w:rPr>
          <w:rFonts w:ascii="Times New Roman" w:hAnsi="Times New Roman" w:cs="Times New Roman"/>
          <w:b/>
          <w:sz w:val="24"/>
          <w:lang w:val="sq-AL"/>
        </w:rPr>
        <w:t>Fortësia e përgjithshme</w:t>
      </w:r>
      <w:r w:rsidRPr="0036740A">
        <w:rPr>
          <w:rFonts w:ascii="Times New Roman" w:hAnsi="Times New Roman" w:cs="Times New Roman"/>
          <w:sz w:val="24"/>
          <w:lang w:val="sq-AL"/>
        </w:rPr>
        <w:t xml:space="preserve"> (</w:t>
      </w:r>
      <w:r w:rsidRPr="0036740A">
        <w:rPr>
          <w:rFonts w:ascii="Times New Roman" w:hAnsi="Times New Roman" w:cs="Times New Roman"/>
          <w:b/>
          <w:sz w:val="24"/>
          <w:lang w:val="sq-AL"/>
        </w:rPr>
        <w:t>Fp)</w:t>
      </w:r>
      <w:r w:rsidRPr="0036740A">
        <w:rPr>
          <w:rFonts w:ascii="Times New Roman" w:hAnsi="Times New Roman" w:cs="Times New Roman"/>
          <w:sz w:val="24"/>
          <w:lang w:val="sq-AL"/>
        </w:rPr>
        <w:t xml:space="preserve"> - Fortësia e përgjithshme e UN në dy fazat e monitorimit për vitin 2025 varion nga 14.2 në 24.44</w:t>
      </w:r>
      <w:r w:rsidRPr="0036740A">
        <w:rPr>
          <w:rFonts w:ascii="Times New Roman" w:hAnsi="Times New Roman" w:cs="Times New Roman"/>
          <w:sz w:val="24"/>
          <w:vertAlign w:val="superscript"/>
          <w:lang w:val="sq-AL"/>
        </w:rPr>
        <w:t xml:space="preserve">o </w:t>
      </w:r>
      <w:r w:rsidRPr="0036740A">
        <w:rPr>
          <w:rFonts w:ascii="Times New Roman" w:hAnsi="Times New Roman" w:cs="Times New Roman"/>
          <w:sz w:val="24"/>
          <w:lang w:val="sq-AL"/>
        </w:rPr>
        <w:t>gj, përkatësisht në shpimet Vrion 2, në fazën e parë dhe  dhe Karahaxh faza e parë.</w:t>
      </w:r>
      <w:bookmarkEnd w:id="37"/>
      <w:r w:rsidRPr="0036740A">
        <w:rPr>
          <w:rFonts w:ascii="Times New Roman" w:hAnsi="Times New Roman" w:cs="Times New Roman"/>
          <w:sz w:val="24"/>
          <w:lang w:val="sq-AL"/>
        </w:rPr>
        <w:t xml:space="preserve">  Siç shihet parametri Fp është brenda normës maksimale të lejuar në të gjithë shpimet me përjashtim të shpimit Karahaxh, norma e ujit të pijshëm për këtë parametër është 10 – 20</w:t>
      </w:r>
      <w:r w:rsidRPr="0036740A">
        <w:rPr>
          <w:rFonts w:ascii="Times New Roman" w:hAnsi="Times New Roman" w:cs="Times New Roman"/>
          <w:sz w:val="24"/>
          <w:vertAlign w:val="superscript"/>
          <w:lang w:val="sq-AL"/>
        </w:rPr>
        <w:t xml:space="preserve">o </w:t>
      </w:r>
      <w:r w:rsidRPr="0036740A">
        <w:rPr>
          <w:rFonts w:ascii="Times New Roman" w:hAnsi="Times New Roman" w:cs="Times New Roman"/>
          <w:sz w:val="24"/>
          <w:lang w:val="sq-AL"/>
        </w:rPr>
        <w:t>gjermane dhe maksimale e lejuar 25</w:t>
      </w:r>
      <w:r w:rsidRPr="0036740A">
        <w:rPr>
          <w:rFonts w:ascii="Times New Roman" w:hAnsi="Times New Roman" w:cs="Times New Roman"/>
          <w:sz w:val="24"/>
          <w:vertAlign w:val="superscript"/>
          <w:lang w:val="sq-AL"/>
        </w:rPr>
        <w:t xml:space="preserve">o </w:t>
      </w:r>
      <w:r w:rsidRPr="0036740A">
        <w:rPr>
          <w:rFonts w:ascii="Times New Roman" w:hAnsi="Times New Roman" w:cs="Times New Roman"/>
          <w:sz w:val="24"/>
          <w:lang w:val="sq-AL"/>
        </w:rPr>
        <w:t>gjermane sipas VKM 379 dt. 25.05.2016. Ujërat e akuiferit të Vurgut dhe Dukatit klasifikohen si uj</w:t>
      </w:r>
      <w:r w:rsidR="00620CA5">
        <w:rPr>
          <w:rFonts w:ascii="Times New Roman" w:hAnsi="Times New Roman" w:cs="Times New Roman"/>
          <w:sz w:val="24"/>
          <w:lang w:val="sq-AL"/>
        </w:rPr>
        <w:t>ë</w:t>
      </w:r>
      <w:r w:rsidRPr="0036740A">
        <w:rPr>
          <w:rFonts w:ascii="Times New Roman" w:hAnsi="Times New Roman" w:cs="Times New Roman"/>
          <w:sz w:val="24"/>
          <w:lang w:val="sq-AL"/>
        </w:rPr>
        <w:t xml:space="preserve">ra mesatarisht të forta. </w:t>
      </w:r>
    </w:p>
    <w:p w:rsidR="0036740A" w:rsidRDefault="0036740A" w:rsidP="00B45173">
      <w:pPr>
        <w:spacing w:after="0" w:line="240" w:lineRule="auto"/>
        <w:jc w:val="both"/>
        <w:rPr>
          <w:rFonts w:ascii="Times New Roman" w:hAnsi="Times New Roman" w:cs="Times New Roman"/>
          <w:sz w:val="24"/>
          <w:lang w:val="sq-AL"/>
        </w:rPr>
      </w:pPr>
      <w:r w:rsidRPr="0036740A">
        <w:rPr>
          <w:rFonts w:ascii="Times New Roman" w:hAnsi="Times New Roman" w:cs="Times New Roman"/>
          <w:sz w:val="24"/>
          <w:lang w:val="sq-AL"/>
        </w:rPr>
        <w:t>Ndryshimet e Fp në fazat e monitorimit në vitin 2025 janë të vogla, ato variojnë nga 0.29 – 1.11</w:t>
      </w:r>
      <w:r w:rsidRPr="0036740A">
        <w:rPr>
          <w:rFonts w:ascii="Times New Roman" w:hAnsi="Times New Roman" w:cs="Times New Roman"/>
          <w:sz w:val="24"/>
          <w:vertAlign w:val="superscript"/>
          <w:lang w:val="sq-AL"/>
        </w:rPr>
        <w:t xml:space="preserve"> o</w:t>
      </w:r>
      <w:r w:rsidRPr="0036740A">
        <w:rPr>
          <w:rFonts w:ascii="Times New Roman" w:hAnsi="Times New Roman" w:cs="Times New Roman"/>
          <w:sz w:val="24"/>
          <w:lang w:val="sq-AL"/>
        </w:rPr>
        <w:t>gj. Luhatjet më të larta vërehen në shpimin Cukë 2. Vlerat mesatare të fortësisë për vitin 2025 variojnë 14.6 – 24.17</w:t>
      </w:r>
      <w:r w:rsidRPr="0036740A">
        <w:rPr>
          <w:rFonts w:ascii="Times New Roman" w:hAnsi="Times New Roman" w:cs="Times New Roman"/>
          <w:sz w:val="24"/>
          <w:vertAlign w:val="superscript"/>
          <w:lang w:val="sq-AL"/>
        </w:rPr>
        <w:t xml:space="preserve"> o</w:t>
      </w:r>
      <w:r w:rsidRPr="0036740A">
        <w:rPr>
          <w:rFonts w:ascii="Times New Roman" w:hAnsi="Times New Roman" w:cs="Times New Roman"/>
          <w:sz w:val="24"/>
          <w:lang w:val="sq-AL"/>
        </w:rPr>
        <w:t xml:space="preserve">gj përkatësisht në shpimet (Vrion 2 dhe Karahaxh).  </w:t>
      </w:r>
    </w:p>
    <w:p w:rsidR="00B45173" w:rsidRPr="0036740A" w:rsidRDefault="00B45173" w:rsidP="00B45173">
      <w:pPr>
        <w:spacing w:after="0" w:line="240" w:lineRule="auto"/>
        <w:jc w:val="both"/>
        <w:rPr>
          <w:rFonts w:ascii="Times New Roman" w:hAnsi="Times New Roman" w:cs="Times New Roman"/>
          <w:sz w:val="24"/>
          <w:lang w:val="sq-AL"/>
        </w:rPr>
      </w:pPr>
    </w:p>
    <w:p w:rsidR="0036740A" w:rsidRPr="00B45173" w:rsidRDefault="0036740A" w:rsidP="00B45173">
      <w:pPr>
        <w:keepNext/>
        <w:spacing w:after="0" w:line="240" w:lineRule="auto"/>
        <w:jc w:val="both"/>
        <w:outlineLvl w:val="5"/>
        <w:rPr>
          <w:rFonts w:ascii="Times New Roman" w:eastAsia="Times New Roman" w:hAnsi="Times New Roman" w:cs="Times New Roman"/>
          <w:bCs/>
          <w:sz w:val="24"/>
          <w:szCs w:val="24"/>
          <w:lang w:val="sq-AL"/>
        </w:rPr>
      </w:pPr>
      <w:bookmarkStart w:id="38" w:name="_Hlk214710549"/>
      <w:r w:rsidRPr="0036740A">
        <w:rPr>
          <w:rFonts w:ascii="Times New Roman" w:eastAsia="Times New Roman" w:hAnsi="Times New Roman" w:cs="Times New Roman"/>
          <w:b/>
          <w:bCs/>
          <w:sz w:val="24"/>
          <w:szCs w:val="24"/>
          <w:lang w:val="sq-AL"/>
        </w:rPr>
        <w:t xml:space="preserve">Mineralizimi i përgjithshëm (Mp)- </w:t>
      </w:r>
      <w:r w:rsidRPr="0036740A">
        <w:rPr>
          <w:rFonts w:ascii="Times New Roman" w:eastAsia="Times New Roman" w:hAnsi="Times New Roman" w:cs="Times New Roman"/>
          <w:bCs/>
          <w:sz w:val="24"/>
          <w:szCs w:val="24"/>
          <w:lang w:val="sq-AL"/>
        </w:rPr>
        <w:t xml:space="preserve">Mineralizimi i përgjithshëm i UN në dy fazat e monitorimit për vitin 2025 varion nga 414.34 – 824.05 mg/l, përkatësisht në shpimet Vrion 2 dhe Karahaxh. </w:t>
      </w:r>
      <w:bookmarkEnd w:id="38"/>
      <w:r w:rsidRPr="0036740A">
        <w:rPr>
          <w:rFonts w:ascii="Times New Roman" w:eastAsia="Times New Roman" w:hAnsi="Times New Roman" w:cs="Times New Roman"/>
          <w:bCs/>
          <w:sz w:val="24"/>
          <w:szCs w:val="24"/>
          <w:lang w:val="sq-AL"/>
        </w:rPr>
        <w:t xml:space="preserve">Luhatjet e mineralizimit të përgjithshëm nga njëra fazë në tjetrën në vitin 2025 variojnë nga 0.97 – 32.13 – 88.9 mg/l në shpimet Çukë 2, Vrion 2 dhe Karahaxh. Vlerat mesatare të mineralizimit të përgjithshëm për vitin 2025 variojnë 414.83 – 779.6 mg/l përkatësisht në shpimet (min Vrion 2 dhe max Karahaxh).  </w:t>
      </w:r>
      <w:r w:rsidRPr="0036740A">
        <w:rPr>
          <w:rFonts w:ascii="Times New Roman" w:hAnsi="Times New Roman" w:cs="Times New Roman"/>
          <w:sz w:val="24"/>
          <w:lang w:val="sq-AL"/>
        </w:rPr>
        <w:t>Mp krahasuar me normën për ujë të pijshëm është brenda normës së lejuar përcaktuar në VKM 379 dt. 25.05.2016 (1000mg/l).  UN të akuiferit Kuaternar të Vurgut janë me M</w:t>
      </w:r>
      <w:r w:rsidRPr="0036740A">
        <w:rPr>
          <w:rFonts w:ascii="Times New Roman" w:hAnsi="Times New Roman" w:cs="Times New Roman"/>
          <w:sz w:val="24"/>
          <w:vertAlign w:val="subscript"/>
          <w:lang w:val="sq-AL"/>
        </w:rPr>
        <w:t>th</w:t>
      </w:r>
      <w:r w:rsidRPr="0036740A">
        <w:rPr>
          <w:rFonts w:ascii="Times New Roman" w:hAnsi="Times New Roman" w:cs="Times New Roman"/>
          <w:sz w:val="24"/>
          <w:lang w:val="sq-AL"/>
        </w:rPr>
        <w:t xml:space="preserve"> nën 1 gr/l, pra  janë ujra të ëmbla, ujra të freskëta. </w:t>
      </w:r>
    </w:p>
    <w:p w:rsidR="00B45173" w:rsidRDefault="00B45173" w:rsidP="0036740A">
      <w:pPr>
        <w:spacing w:after="200" w:line="276" w:lineRule="auto"/>
        <w:jc w:val="both"/>
        <w:rPr>
          <w:rFonts w:ascii="Times New Roman" w:hAnsi="Times New Roman" w:cs="Times New Roman"/>
          <w:b/>
          <w:sz w:val="24"/>
          <w:lang w:val="sq-AL"/>
        </w:rPr>
      </w:pPr>
    </w:p>
    <w:p w:rsidR="00B45173" w:rsidRDefault="00B45173" w:rsidP="0036740A">
      <w:pPr>
        <w:spacing w:after="200" w:line="276" w:lineRule="auto"/>
        <w:jc w:val="both"/>
        <w:rPr>
          <w:rFonts w:ascii="Times New Roman" w:hAnsi="Times New Roman" w:cs="Times New Roman"/>
          <w:b/>
          <w:sz w:val="24"/>
          <w:lang w:val="sq-AL"/>
        </w:rPr>
      </w:pPr>
    </w:p>
    <w:p w:rsidR="0036740A" w:rsidRDefault="0036740A" w:rsidP="00B45173">
      <w:pPr>
        <w:spacing w:after="0" w:line="240" w:lineRule="auto"/>
        <w:jc w:val="both"/>
        <w:rPr>
          <w:rFonts w:ascii="Times New Roman" w:hAnsi="Times New Roman" w:cs="Times New Roman"/>
          <w:sz w:val="24"/>
          <w:lang w:val="sq-AL"/>
        </w:rPr>
      </w:pPr>
      <w:r w:rsidRPr="0036740A">
        <w:rPr>
          <w:rFonts w:ascii="Times New Roman" w:hAnsi="Times New Roman" w:cs="Times New Roman"/>
          <w:b/>
          <w:sz w:val="24"/>
          <w:lang w:val="sq-AL"/>
        </w:rPr>
        <w:t>Përmbajta e amonjakut (NH</w:t>
      </w:r>
      <w:r w:rsidRPr="0036740A">
        <w:rPr>
          <w:rFonts w:ascii="Times New Roman" w:hAnsi="Times New Roman" w:cs="Times New Roman"/>
          <w:b/>
          <w:sz w:val="24"/>
          <w:vertAlign w:val="subscript"/>
          <w:lang w:val="sq-AL"/>
        </w:rPr>
        <w:t>4</w:t>
      </w:r>
      <w:r w:rsidRPr="0036740A">
        <w:rPr>
          <w:rFonts w:ascii="Times New Roman" w:hAnsi="Times New Roman" w:cs="Times New Roman"/>
          <w:b/>
          <w:sz w:val="24"/>
          <w:lang w:val="sq-AL"/>
        </w:rPr>
        <w:t xml:space="preserve">) </w:t>
      </w:r>
      <w:r w:rsidRPr="0036740A">
        <w:rPr>
          <w:rFonts w:ascii="Times New Roman" w:hAnsi="Times New Roman" w:cs="Times New Roman"/>
          <w:sz w:val="24"/>
          <w:lang w:val="sq-AL"/>
        </w:rPr>
        <w:t>- Përmbajta e amonjakut NH</w:t>
      </w:r>
      <w:r w:rsidRPr="0036740A">
        <w:rPr>
          <w:rFonts w:ascii="Times New Roman" w:hAnsi="Times New Roman" w:cs="Times New Roman"/>
          <w:sz w:val="24"/>
          <w:vertAlign w:val="subscript"/>
          <w:lang w:val="sq-AL"/>
        </w:rPr>
        <w:t xml:space="preserve">4  </w:t>
      </w:r>
      <w:r w:rsidRPr="0036740A">
        <w:rPr>
          <w:rFonts w:ascii="Times New Roman" w:hAnsi="Times New Roman" w:cs="Times New Roman"/>
          <w:sz w:val="24"/>
          <w:lang w:val="sq-AL"/>
        </w:rPr>
        <w:t>në dy fazat e monitorimit për vitin 2025 është e ulët, vlerat në të gjithë shpimet variojnë 0.01 – 0.05 mg/l.</w:t>
      </w:r>
      <w:r w:rsidR="00B45173">
        <w:rPr>
          <w:rFonts w:ascii="Times New Roman" w:hAnsi="Times New Roman" w:cs="Times New Roman"/>
          <w:sz w:val="24"/>
          <w:lang w:val="sq-AL"/>
        </w:rPr>
        <w:t xml:space="preserve"> </w:t>
      </w:r>
      <w:r w:rsidRPr="0036740A">
        <w:rPr>
          <w:rFonts w:ascii="Times New Roman" w:hAnsi="Times New Roman" w:cs="Times New Roman"/>
          <w:sz w:val="24"/>
          <w:lang w:val="sq-AL"/>
        </w:rPr>
        <w:t>Luhatje të përmbajtjes së amonjakut NH</w:t>
      </w:r>
      <w:r w:rsidRPr="0036740A">
        <w:rPr>
          <w:rFonts w:ascii="Times New Roman" w:hAnsi="Times New Roman" w:cs="Times New Roman"/>
          <w:sz w:val="24"/>
          <w:vertAlign w:val="subscript"/>
          <w:lang w:val="sq-AL"/>
        </w:rPr>
        <w:t xml:space="preserve">4  </w:t>
      </w:r>
      <w:r w:rsidRPr="0036740A">
        <w:rPr>
          <w:rFonts w:ascii="Times New Roman" w:hAnsi="Times New Roman" w:cs="Times New Roman"/>
          <w:sz w:val="24"/>
          <w:lang w:val="sq-AL"/>
        </w:rPr>
        <w:t>nga njëra fazë në tjetrën në vitin 2025 variojnë nga 0.02 – 0.04. Vlerat mesatare të përmbajtjes së amonjakut për vitin 2025 variojnë 0.03 - 0.05 mg/l në të gjithë shpimet.  Pothuajse të gjithë shpimet paraqesin ndotje në periudha të ndryshme me NH</w:t>
      </w:r>
      <w:r w:rsidRPr="0036740A">
        <w:rPr>
          <w:rFonts w:ascii="Times New Roman" w:hAnsi="Times New Roman" w:cs="Times New Roman"/>
          <w:sz w:val="24"/>
          <w:vertAlign w:val="subscript"/>
          <w:lang w:val="sq-AL"/>
        </w:rPr>
        <w:t xml:space="preserve">4 </w:t>
      </w:r>
      <w:r w:rsidRPr="0036740A">
        <w:rPr>
          <w:rFonts w:ascii="Times New Roman" w:hAnsi="Times New Roman" w:cs="Times New Roman"/>
          <w:sz w:val="24"/>
          <w:lang w:val="sq-AL"/>
        </w:rPr>
        <w:t xml:space="preserve">por vlerat janë brenda normave të lejuara. Këto stacione duhen mbajtur nën monitorim të vazhdueshëm pasi përmbajtja e amoniakut përsëritet. Theksojmë se </w:t>
      </w:r>
      <w:r w:rsidRPr="00620CA5">
        <w:rPr>
          <w:rFonts w:ascii="Times New Roman" w:hAnsi="Times New Roman" w:cs="Times New Roman"/>
          <w:sz w:val="24"/>
          <w:lang w:val="sq-AL"/>
        </w:rPr>
        <w:t xml:space="preserve">Standarti Shtetëror (VKM 379) </w:t>
      </w:r>
      <w:r w:rsidRPr="0036740A">
        <w:rPr>
          <w:rFonts w:ascii="Times New Roman" w:hAnsi="Times New Roman" w:cs="Times New Roman"/>
          <w:sz w:val="24"/>
          <w:lang w:val="sq-AL"/>
        </w:rPr>
        <w:t xml:space="preserve">përcakton si </w:t>
      </w:r>
      <w:r w:rsidR="00620CA5" w:rsidRPr="00620CA5">
        <w:rPr>
          <w:rFonts w:ascii="Times New Roman" w:hAnsi="Times New Roman" w:cs="Times New Roman"/>
          <w:sz w:val="24"/>
          <w:lang w:val="sq-AL"/>
        </w:rPr>
        <w:t>vlerë maksimale</w:t>
      </w:r>
      <w:r w:rsidRPr="00620CA5">
        <w:rPr>
          <w:rFonts w:ascii="Times New Roman" w:hAnsi="Times New Roman" w:cs="Times New Roman"/>
          <w:sz w:val="24"/>
          <w:lang w:val="sq-AL"/>
        </w:rPr>
        <w:t xml:space="preserve"> të lejuar</w:t>
      </w:r>
      <w:r w:rsidRPr="0036740A">
        <w:rPr>
          <w:rFonts w:ascii="Times New Roman" w:hAnsi="Times New Roman" w:cs="Times New Roman"/>
          <w:sz w:val="24"/>
          <w:lang w:val="sq-AL"/>
        </w:rPr>
        <w:t xml:space="preserve"> për </w:t>
      </w:r>
      <w:r w:rsidRPr="00620CA5">
        <w:rPr>
          <w:rFonts w:ascii="Times New Roman" w:hAnsi="Times New Roman" w:cs="Times New Roman"/>
          <w:iCs/>
          <w:sz w:val="24"/>
          <w:lang w:val="sq-AL"/>
        </w:rPr>
        <w:t>NH</w:t>
      </w:r>
      <w:r w:rsidRPr="00620CA5">
        <w:rPr>
          <w:rFonts w:ascii="Times New Roman" w:hAnsi="Times New Roman" w:cs="Times New Roman"/>
          <w:iCs/>
          <w:sz w:val="24"/>
          <w:vertAlign w:val="subscript"/>
          <w:lang w:val="sq-AL"/>
        </w:rPr>
        <w:t>4</w:t>
      </w:r>
      <w:r w:rsidRPr="00620CA5">
        <w:rPr>
          <w:rFonts w:ascii="Times New Roman" w:hAnsi="Times New Roman" w:cs="Times New Roman"/>
          <w:sz w:val="24"/>
          <w:lang w:val="sq-AL"/>
        </w:rPr>
        <w:t xml:space="preserve"> </w:t>
      </w:r>
      <w:r w:rsidRPr="0036740A">
        <w:rPr>
          <w:rFonts w:ascii="Times New Roman" w:hAnsi="Times New Roman" w:cs="Times New Roman"/>
          <w:sz w:val="24"/>
          <w:lang w:val="sq-AL"/>
        </w:rPr>
        <w:t xml:space="preserve">vlerën </w:t>
      </w:r>
      <w:r w:rsidRPr="0036740A">
        <w:rPr>
          <w:rFonts w:ascii="Times New Roman" w:hAnsi="Times New Roman" w:cs="Times New Roman"/>
          <w:b/>
          <w:sz w:val="24"/>
          <w:lang w:val="sq-AL"/>
        </w:rPr>
        <w:t>0.1 mg/l.</w:t>
      </w:r>
      <w:r w:rsidRPr="0036740A">
        <w:rPr>
          <w:rFonts w:ascii="Times New Roman" w:hAnsi="Times New Roman" w:cs="Times New Roman"/>
          <w:sz w:val="24"/>
          <w:lang w:val="sq-AL"/>
        </w:rPr>
        <w:t xml:space="preserve"> Kjo tregon që kemi ndotje të freskët dhe duhen marrë masa për eleminimin e shkaktarëve si dhe klorifikimin e ujit. </w:t>
      </w:r>
    </w:p>
    <w:p w:rsidR="00B45173" w:rsidRPr="00B45173" w:rsidRDefault="00B45173" w:rsidP="00B45173">
      <w:pPr>
        <w:spacing w:after="0" w:line="240" w:lineRule="auto"/>
        <w:jc w:val="both"/>
        <w:rPr>
          <w:rFonts w:ascii="Times New Roman" w:hAnsi="Times New Roman" w:cs="Times New Roman"/>
          <w:sz w:val="24"/>
          <w:lang w:val="sq-AL"/>
        </w:rPr>
      </w:pPr>
    </w:p>
    <w:p w:rsidR="0036740A" w:rsidRPr="0036740A" w:rsidRDefault="0036740A" w:rsidP="00B45173">
      <w:pPr>
        <w:spacing w:after="0" w:line="240" w:lineRule="auto"/>
        <w:jc w:val="both"/>
        <w:rPr>
          <w:rFonts w:ascii="Times New Roman" w:hAnsi="Times New Roman" w:cs="Times New Roman"/>
          <w:sz w:val="24"/>
          <w:lang w:val="sq-AL"/>
        </w:rPr>
      </w:pPr>
      <w:r w:rsidRPr="0036740A">
        <w:rPr>
          <w:rFonts w:ascii="Times New Roman" w:hAnsi="Times New Roman" w:cs="Times New Roman"/>
          <w:b/>
          <w:sz w:val="24"/>
          <w:lang w:val="sq-AL"/>
        </w:rPr>
        <w:t>Përmbajta e nitriteve (NO</w:t>
      </w:r>
      <w:r w:rsidRPr="0036740A">
        <w:rPr>
          <w:rFonts w:ascii="Times New Roman" w:hAnsi="Times New Roman" w:cs="Times New Roman"/>
          <w:b/>
          <w:sz w:val="24"/>
          <w:vertAlign w:val="subscript"/>
          <w:lang w:val="sq-AL"/>
        </w:rPr>
        <w:t>2</w:t>
      </w:r>
      <w:r w:rsidRPr="0036740A">
        <w:rPr>
          <w:rFonts w:ascii="Times New Roman" w:hAnsi="Times New Roman" w:cs="Times New Roman"/>
          <w:b/>
          <w:sz w:val="24"/>
          <w:lang w:val="sq-AL"/>
        </w:rPr>
        <w:t xml:space="preserve">) </w:t>
      </w:r>
      <w:r w:rsidRPr="0036740A">
        <w:rPr>
          <w:rFonts w:ascii="Times New Roman" w:hAnsi="Times New Roman" w:cs="Times New Roman"/>
          <w:sz w:val="24"/>
          <w:lang w:val="sq-AL"/>
        </w:rPr>
        <w:t>- Përmbajta e nitriteve NO</w:t>
      </w:r>
      <w:r w:rsidRPr="0036740A">
        <w:rPr>
          <w:rFonts w:ascii="Times New Roman" w:hAnsi="Times New Roman" w:cs="Times New Roman"/>
          <w:sz w:val="24"/>
          <w:vertAlign w:val="subscript"/>
          <w:lang w:val="sq-AL"/>
        </w:rPr>
        <w:t xml:space="preserve">2 </w:t>
      </w:r>
      <w:r w:rsidRPr="0036740A">
        <w:rPr>
          <w:rFonts w:ascii="Times New Roman" w:hAnsi="Times New Roman" w:cs="Times New Roman"/>
          <w:sz w:val="24"/>
          <w:lang w:val="sq-AL"/>
        </w:rPr>
        <w:t>në dy fazat e monitorimit për vitin 2025 është e ulët vlerat në të gjithë shpimet janë më të vogla se 0.01 mg/l.</w:t>
      </w:r>
    </w:p>
    <w:p w:rsidR="0036740A" w:rsidRPr="0036740A" w:rsidRDefault="0036740A" w:rsidP="00B45173">
      <w:pPr>
        <w:spacing w:after="0" w:line="240" w:lineRule="auto"/>
        <w:jc w:val="both"/>
        <w:rPr>
          <w:rFonts w:ascii="Times New Roman" w:hAnsi="Times New Roman" w:cs="Times New Roman"/>
          <w:sz w:val="24"/>
          <w:lang w:val="sq-AL"/>
        </w:rPr>
      </w:pPr>
      <w:r w:rsidRPr="0036740A">
        <w:rPr>
          <w:rFonts w:ascii="Times New Roman" w:hAnsi="Times New Roman" w:cs="Times New Roman"/>
          <w:sz w:val="24"/>
          <w:lang w:val="sq-AL"/>
        </w:rPr>
        <w:t>Luhatje të përmbajtjes së amonjakut NH</w:t>
      </w:r>
      <w:r w:rsidRPr="0036740A">
        <w:rPr>
          <w:rFonts w:ascii="Times New Roman" w:hAnsi="Times New Roman" w:cs="Times New Roman"/>
          <w:sz w:val="24"/>
          <w:vertAlign w:val="subscript"/>
          <w:lang w:val="sq-AL"/>
        </w:rPr>
        <w:t xml:space="preserve">4  </w:t>
      </w:r>
      <w:r w:rsidRPr="0036740A">
        <w:rPr>
          <w:rFonts w:ascii="Times New Roman" w:hAnsi="Times New Roman" w:cs="Times New Roman"/>
          <w:sz w:val="24"/>
          <w:lang w:val="sq-AL"/>
        </w:rPr>
        <w:t xml:space="preserve">nga njëra fazë në tjetrën në vitin 20254 janë shumë të vogla , luhaten nga 0 – 0.034. Vlerat mesatare të përmbajtjes së amonjakut për vitin 2025 variojnë 0.006 – 0.027 mg/l në të gjithë shpimet.  </w:t>
      </w:r>
    </w:p>
    <w:p w:rsidR="0036740A" w:rsidRDefault="0036740A" w:rsidP="00B45173">
      <w:pPr>
        <w:spacing w:after="0" w:line="240" w:lineRule="auto"/>
        <w:jc w:val="both"/>
        <w:rPr>
          <w:rFonts w:ascii="Times New Roman" w:hAnsi="Times New Roman" w:cs="Times New Roman"/>
          <w:sz w:val="24"/>
          <w:lang w:val="sq-AL"/>
        </w:rPr>
      </w:pPr>
      <w:r w:rsidRPr="0036740A">
        <w:rPr>
          <w:rFonts w:ascii="Times New Roman" w:hAnsi="Times New Roman" w:cs="Times New Roman"/>
          <w:sz w:val="24"/>
          <w:lang w:val="sq-AL"/>
        </w:rPr>
        <w:t xml:space="preserve">Përmbajtja e nitriteve sipas normës së lejuar për ujë të pijshëm ky tregues është brenda normës, është nën përmbajtjen maksimale të lejuar ku sipas VKM 379 dt. 25.05.2016, përmbajtja maksimale e lejuar 0.5 mg/l. </w:t>
      </w:r>
    </w:p>
    <w:p w:rsidR="00B45173" w:rsidRPr="0036740A" w:rsidRDefault="00B45173" w:rsidP="00B45173">
      <w:pPr>
        <w:spacing w:after="0" w:line="240" w:lineRule="auto"/>
        <w:jc w:val="both"/>
        <w:rPr>
          <w:rFonts w:ascii="Times New Roman" w:hAnsi="Times New Roman" w:cs="Times New Roman"/>
          <w:sz w:val="24"/>
          <w:lang w:val="sq-AL"/>
        </w:rPr>
      </w:pPr>
    </w:p>
    <w:p w:rsidR="0036740A" w:rsidRPr="0036740A" w:rsidRDefault="0036740A" w:rsidP="00B45173">
      <w:pPr>
        <w:spacing w:after="0" w:line="240" w:lineRule="auto"/>
        <w:jc w:val="both"/>
        <w:rPr>
          <w:rFonts w:ascii="Times New Roman" w:hAnsi="Times New Roman" w:cs="Times New Roman"/>
          <w:sz w:val="24"/>
          <w:lang w:val="sq-AL"/>
        </w:rPr>
      </w:pPr>
      <w:r w:rsidRPr="0036740A">
        <w:rPr>
          <w:rFonts w:ascii="Times New Roman" w:hAnsi="Times New Roman" w:cs="Times New Roman"/>
          <w:b/>
          <w:iCs/>
          <w:sz w:val="24"/>
          <w:lang w:val="sq-AL"/>
        </w:rPr>
        <w:t>Përmbajtja e hekurit – Fe</w:t>
      </w:r>
      <w:r w:rsidRPr="0036740A">
        <w:rPr>
          <w:rFonts w:ascii="Times New Roman" w:hAnsi="Times New Roman" w:cs="Times New Roman"/>
          <w:b/>
          <w:iCs/>
          <w:sz w:val="24"/>
          <w:vertAlign w:val="superscript"/>
          <w:lang w:val="sq-AL"/>
        </w:rPr>
        <w:t>2+3</w:t>
      </w:r>
      <w:r w:rsidRPr="0036740A">
        <w:rPr>
          <w:rFonts w:ascii="Times New Roman" w:hAnsi="Times New Roman" w:cs="Times New Roman"/>
          <w:b/>
          <w:sz w:val="24"/>
          <w:lang w:val="sq-AL"/>
        </w:rPr>
        <w:t xml:space="preserve">:  </w:t>
      </w:r>
      <w:r w:rsidRPr="0036740A">
        <w:rPr>
          <w:rFonts w:ascii="Times New Roman" w:hAnsi="Times New Roman" w:cs="Times New Roman"/>
          <w:sz w:val="24"/>
          <w:lang w:val="sq-AL"/>
        </w:rPr>
        <w:t>Përmbajtja e hekurit në UN në dy fazat e monitorimit për vitin 2025 varion Fe</w:t>
      </w:r>
      <w:r w:rsidRPr="0036740A">
        <w:rPr>
          <w:rFonts w:ascii="Times New Roman" w:hAnsi="Times New Roman" w:cs="Times New Roman"/>
          <w:sz w:val="24"/>
          <w:vertAlign w:val="subscript"/>
          <w:lang w:val="sq-AL"/>
        </w:rPr>
        <w:t>min – max</w:t>
      </w:r>
      <w:r w:rsidRPr="0036740A">
        <w:rPr>
          <w:rFonts w:ascii="Times New Roman" w:hAnsi="Times New Roman" w:cs="Times New Roman"/>
          <w:sz w:val="24"/>
          <w:lang w:val="sq-AL"/>
        </w:rPr>
        <w:t xml:space="preserve"> = 0 - 0.01 mg/l, takohet pothuajse në të gjithë shpimet. Luhatjet e përmbajtjes së hekurit nga njëra fazë në tjetrën në vitin 2025 variojnë nga 0.0– 0.01 mg/l në shpimet Orikum, Karahaxh. Vlerat mesatare të përmbajtjes së hekurit për vitin 2025 variojnë 0.005 – 0.01mg/l përkatësisht në shpimet (min Vrion 1 dhe max Karahaxh).  </w:t>
      </w:r>
    </w:p>
    <w:p w:rsidR="0036740A" w:rsidRDefault="0036740A" w:rsidP="00B45173">
      <w:pPr>
        <w:spacing w:after="0" w:line="240" w:lineRule="auto"/>
        <w:jc w:val="both"/>
        <w:rPr>
          <w:rFonts w:ascii="Times New Roman" w:hAnsi="Times New Roman" w:cs="Times New Roman"/>
          <w:sz w:val="24"/>
          <w:lang w:val="sq-AL"/>
        </w:rPr>
      </w:pPr>
      <w:r w:rsidRPr="0036740A">
        <w:rPr>
          <w:rFonts w:ascii="Times New Roman" w:hAnsi="Times New Roman" w:cs="Times New Roman"/>
          <w:sz w:val="24"/>
          <w:lang w:val="sq-AL"/>
        </w:rPr>
        <w:t>Hekuri është prezent në të gjithë shpimet në faza të caktuara por p</w:t>
      </w:r>
      <w:r w:rsidRPr="0036740A">
        <w:rPr>
          <w:rFonts w:ascii="Times New Roman" w:hAnsi="Times New Roman" w:cs="Times New Roman"/>
          <w:iCs/>
          <w:sz w:val="24"/>
          <w:lang w:val="sq-AL"/>
        </w:rPr>
        <w:t xml:space="preserve">ërmbajtja e hekurit </w:t>
      </w:r>
      <w:r w:rsidRPr="0036740A">
        <w:rPr>
          <w:rFonts w:ascii="Times New Roman" w:hAnsi="Times New Roman" w:cs="Times New Roman"/>
          <w:sz w:val="24"/>
          <w:lang w:val="sq-AL"/>
        </w:rPr>
        <w:t xml:space="preserve">në të gjithë shpimet nuk i kalon vlerat e rekomanduara te standartit shqiptar përcaktuar në VKM 379 dt. 25.05.2016. Vlerat deri në 0.01 mg/l janë vlerat limite të dedektimit të  metodës laboratorike të përdorur. </w:t>
      </w:r>
    </w:p>
    <w:p w:rsidR="00B45173" w:rsidRPr="0036740A" w:rsidRDefault="00B45173" w:rsidP="00B45173">
      <w:pPr>
        <w:spacing w:after="0" w:line="240" w:lineRule="auto"/>
        <w:jc w:val="both"/>
        <w:rPr>
          <w:rFonts w:ascii="Times New Roman" w:hAnsi="Times New Roman" w:cs="Times New Roman"/>
          <w:sz w:val="20"/>
          <w:szCs w:val="20"/>
          <w:lang w:val="sq-AL"/>
        </w:rPr>
      </w:pPr>
    </w:p>
    <w:p w:rsidR="00677C4D" w:rsidRPr="00677C4D" w:rsidRDefault="0036740A" w:rsidP="00B45173">
      <w:pPr>
        <w:spacing w:after="0" w:line="240" w:lineRule="auto"/>
        <w:jc w:val="both"/>
        <w:rPr>
          <w:rFonts w:ascii="Times New Roman" w:hAnsi="Times New Roman" w:cs="Times New Roman"/>
          <w:sz w:val="24"/>
          <w:lang w:val="sq-AL"/>
        </w:rPr>
      </w:pPr>
      <w:r w:rsidRPr="0036740A">
        <w:rPr>
          <w:rFonts w:ascii="Times New Roman" w:hAnsi="Times New Roman" w:cs="Times New Roman"/>
          <w:b/>
          <w:sz w:val="24"/>
          <w:lang w:val="sq-AL"/>
        </w:rPr>
        <w:t>Përmbajta e nitrateve (NO</w:t>
      </w:r>
      <w:r w:rsidRPr="0036740A">
        <w:rPr>
          <w:rFonts w:ascii="Times New Roman" w:hAnsi="Times New Roman" w:cs="Times New Roman"/>
          <w:b/>
          <w:sz w:val="24"/>
          <w:vertAlign w:val="subscript"/>
          <w:lang w:val="sq-AL"/>
        </w:rPr>
        <w:t>3</w:t>
      </w:r>
      <w:r w:rsidRPr="0036740A">
        <w:rPr>
          <w:rFonts w:ascii="Times New Roman" w:hAnsi="Times New Roman" w:cs="Times New Roman"/>
          <w:b/>
          <w:sz w:val="24"/>
          <w:lang w:val="sq-AL"/>
        </w:rPr>
        <w:t>)</w:t>
      </w:r>
      <w:r w:rsidRPr="0036740A">
        <w:rPr>
          <w:rFonts w:ascii="Times New Roman" w:hAnsi="Times New Roman" w:cs="Times New Roman"/>
          <w:sz w:val="24"/>
          <w:lang w:val="sq-AL"/>
        </w:rPr>
        <w:t xml:space="preserve"> - </w:t>
      </w:r>
      <w:r w:rsidRPr="0036740A">
        <w:rPr>
          <w:rFonts w:ascii="Times New Roman" w:hAnsi="Times New Roman" w:cs="Times New Roman"/>
          <w:b/>
          <w:i/>
          <w:sz w:val="24"/>
          <w:lang w:val="sq-AL"/>
        </w:rPr>
        <w:t>Për vitin 2025</w:t>
      </w:r>
      <w:r w:rsidRPr="0036740A">
        <w:rPr>
          <w:rFonts w:ascii="Times New Roman" w:hAnsi="Times New Roman" w:cs="Times New Roman"/>
          <w:sz w:val="24"/>
          <w:lang w:val="sq-AL"/>
        </w:rPr>
        <w:t xml:space="preserve"> përmbajtja e nitrateve luhatet në vlerat min ÷ max = 2.5 – 21.07 mg/l.  Vlera më e lartë takohet në shpimin Karahaxh ndërsa vlera më e ulët në stacionin Cukë 2, por në raport me normën këto vlera janë shumë të ulëta dhe janë brenda standartit shqiptar. Vihet re luhatje sezonale e vlerave të nitrateve në vlera shumë të ulëta që varionjë nga 0.27 – 6.41 mg/l, ndërsa vlerat mesatare të vitit 2025 luhaten nga 2.68 – 17.865 mg/l.</w:t>
      </w:r>
      <w:r w:rsidR="00B45173">
        <w:rPr>
          <w:rFonts w:ascii="Times New Roman" w:hAnsi="Times New Roman" w:cs="Times New Roman"/>
          <w:sz w:val="24"/>
          <w:lang w:val="sq-AL"/>
        </w:rPr>
        <w:t xml:space="preserve"> </w:t>
      </w:r>
      <w:r w:rsidR="00677C4D" w:rsidRPr="00677C4D">
        <w:rPr>
          <w:rFonts w:ascii="Times New Roman" w:hAnsi="Times New Roman" w:cs="Times New Roman"/>
          <w:sz w:val="24"/>
          <w:lang w:val="sq-AL"/>
        </w:rPr>
        <w:t xml:space="preserve">Vlerat më të larta takohen në shpimet Karahaxh dhe Cukë 2 por në raport me normën këto vlera janë shumë të ulëta dhe janë brenda standartit shqiptar. </w:t>
      </w:r>
    </w:p>
    <w:p w:rsidR="00677C4D" w:rsidRPr="00677C4D" w:rsidRDefault="00677C4D" w:rsidP="00B45173">
      <w:pPr>
        <w:spacing w:after="0" w:line="240" w:lineRule="auto"/>
        <w:jc w:val="both"/>
        <w:rPr>
          <w:rFonts w:ascii="Times New Roman" w:hAnsi="Times New Roman" w:cs="Times New Roman"/>
          <w:b/>
          <w:sz w:val="24"/>
          <w:lang w:val="sq-AL"/>
        </w:rPr>
      </w:pPr>
    </w:p>
    <w:p w:rsidR="00677C4D" w:rsidRPr="00677C4D" w:rsidRDefault="00677C4D" w:rsidP="00677C4D">
      <w:pPr>
        <w:spacing w:after="0" w:line="276" w:lineRule="auto"/>
        <w:jc w:val="both"/>
        <w:rPr>
          <w:rFonts w:ascii="Times New Roman" w:hAnsi="Times New Roman" w:cs="Times New Roman"/>
          <w:sz w:val="24"/>
          <w:lang w:val="sq-AL"/>
        </w:rPr>
      </w:pPr>
      <w:r w:rsidRPr="00677C4D">
        <w:rPr>
          <w:rFonts w:ascii="Times New Roman" w:hAnsi="Times New Roman" w:cs="Times New Roman"/>
          <w:b/>
          <w:sz w:val="24"/>
          <w:lang w:val="sq-AL"/>
        </w:rPr>
        <w:t xml:space="preserve">Akuiferi karbonatik </w:t>
      </w:r>
    </w:p>
    <w:p w:rsidR="00677C4D" w:rsidRPr="00677C4D" w:rsidRDefault="00677C4D" w:rsidP="00677C4D">
      <w:pPr>
        <w:spacing w:after="120" w:line="276" w:lineRule="auto"/>
        <w:jc w:val="both"/>
        <w:rPr>
          <w:rFonts w:ascii="Times New Roman" w:eastAsia="Times New Roman" w:hAnsi="Times New Roman" w:cs="Times New Roman"/>
          <w:sz w:val="24"/>
          <w:szCs w:val="24"/>
          <w:lang w:val="sq-AL"/>
        </w:rPr>
      </w:pPr>
      <w:r w:rsidRPr="00677C4D">
        <w:rPr>
          <w:rFonts w:ascii="Times New Roman" w:eastAsia="Times New Roman" w:hAnsi="Times New Roman" w:cs="Times New Roman"/>
          <w:sz w:val="24"/>
          <w:szCs w:val="24"/>
          <w:lang w:val="sq-AL"/>
        </w:rPr>
        <w:t>Monitorimi i cilësisë së UN në akuiferët kabonatikë të Zonës Jonike është kryer për:</w:t>
      </w:r>
    </w:p>
    <w:p w:rsidR="00677C4D" w:rsidRPr="00677C4D" w:rsidRDefault="00677C4D" w:rsidP="00B45173">
      <w:pPr>
        <w:numPr>
          <w:ilvl w:val="0"/>
          <w:numId w:val="70"/>
        </w:numPr>
        <w:spacing w:after="0" w:line="240" w:lineRule="auto"/>
        <w:jc w:val="both"/>
        <w:rPr>
          <w:rFonts w:ascii="Times New Roman" w:eastAsia="Times New Roman" w:hAnsi="Times New Roman" w:cs="Times New Roman"/>
          <w:sz w:val="24"/>
          <w:szCs w:val="24"/>
          <w:lang w:val="sq-AL"/>
        </w:rPr>
      </w:pPr>
      <w:r w:rsidRPr="00677C4D">
        <w:rPr>
          <w:rFonts w:ascii="Times New Roman" w:eastAsia="Times New Roman" w:hAnsi="Times New Roman" w:cs="Times New Roman"/>
          <w:sz w:val="24"/>
          <w:szCs w:val="24"/>
          <w:lang w:val="sq-AL"/>
        </w:rPr>
        <w:t xml:space="preserve">Akuiferin </w:t>
      </w:r>
      <w:r w:rsidRPr="00677C4D">
        <w:rPr>
          <w:rFonts w:ascii="Times New Roman" w:eastAsia="Times New Roman" w:hAnsi="Times New Roman" w:cs="Times New Roman"/>
          <w:iCs/>
          <w:sz w:val="24"/>
          <w:szCs w:val="24"/>
          <w:lang w:val="sq-AL"/>
        </w:rPr>
        <w:t>karbonatik</w:t>
      </w:r>
      <w:r w:rsidRPr="00677C4D">
        <w:rPr>
          <w:rFonts w:ascii="Times New Roman" w:eastAsia="Times New Roman" w:hAnsi="Times New Roman" w:cs="Times New Roman"/>
          <w:sz w:val="24"/>
          <w:szCs w:val="24"/>
          <w:lang w:val="sq-AL"/>
        </w:rPr>
        <w:t xml:space="preserve"> Saraqin – Miles me burimin(keson) në Xarrë – Mursi</w:t>
      </w:r>
    </w:p>
    <w:p w:rsidR="00677C4D" w:rsidRPr="00677C4D" w:rsidRDefault="00677C4D" w:rsidP="00B45173">
      <w:pPr>
        <w:numPr>
          <w:ilvl w:val="0"/>
          <w:numId w:val="70"/>
        </w:numPr>
        <w:spacing w:after="0" w:line="240" w:lineRule="auto"/>
        <w:jc w:val="both"/>
        <w:rPr>
          <w:rFonts w:ascii="Times New Roman" w:eastAsia="Times New Roman" w:hAnsi="Times New Roman" w:cs="Times New Roman"/>
          <w:sz w:val="24"/>
          <w:szCs w:val="24"/>
          <w:lang w:val="sq-AL"/>
        </w:rPr>
      </w:pPr>
      <w:r w:rsidRPr="00677C4D">
        <w:rPr>
          <w:rFonts w:ascii="Times New Roman" w:eastAsia="Times New Roman" w:hAnsi="Times New Roman" w:cs="Times New Roman"/>
          <w:sz w:val="24"/>
          <w:szCs w:val="24"/>
          <w:lang w:val="sq-AL"/>
        </w:rPr>
        <w:t>Akuiferin karstik të Tragjasit për burimin Uji i Ftohtë Vlorë (dy pika monitorimi tuneli dhe galeria) dhe burimi i Tragjasit.</w:t>
      </w:r>
    </w:p>
    <w:p w:rsidR="00677C4D" w:rsidRPr="00677C4D" w:rsidRDefault="00677C4D" w:rsidP="00B45173">
      <w:pPr>
        <w:numPr>
          <w:ilvl w:val="0"/>
          <w:numId w:val="70"/>
        </w:numPr>
        <w:spacing w:after="0" w:line="240" w:lineRule="auto"/>
        <w:jc w:val="both"/>
        <w:rPr>
          <w:rFonts w:ascii="Times New Roman" w:eastAsia="Times New Roman" w:hAnsi="Times New Roman" w:cs="Times New Roman"/>
          <w:sz w:val="24"/>
          <w:szCs w:val="24"/>
          <w:lang w:val="sq-AL"/>
        </w:rPr>
      </w:pPr>
      <w:r w:rsidRPr="00677C4D">
        <w:rPr>
          <w:rFonts w:ascii="Times New Roman" w:eastAsia="Times New Roman" w:hAnsi="Times New Roman" w:cs="Times New Roman"/>
          <w:sz w:val="24"/>
          <w:szCs w:val="24"/>
          <w:lang w:val="sq-AL"/>
        </w:rPr>
        <w:t>Akuiferin karbonatik të Malit të Gjerë për burimin Syri i Kaltër.</w:t>
      </w:r>
    </w:p>
    <w:p w:rsidR="00677C4D" w:rsidRDefault="00677C4D" w:rsidP="00B45173">
      <w:pPr>
        <w:spacing w:after="0" w:line="240" w:lineRule="auto"/>
        <w:jc w:val="both"/>
        <w:rPr>
          <w:rFonts w:ascii="Times New Roman" w:eastAsia="Times New Roman" w:hAnsi="Times New Roman" w:cs="Times New Roman"/>
          <w:sz w:val="24"/>
          <w:szCs w:val="24"/>
          <w:lang w:val="sq-AL"/>
        </w:rPr>
      </w:pPr>
      <w:r w:rsidRPr="00677C4D">
        <w:rPr>
          <w:rFonts w:ascii="Times New Roman" w:eastAsia="Times New Roman" w:hAnsi="Times New Roman" w:cs="Times New Roman"/>
          <w:sz w:val="24"/>
          <w:szCs w:val="24"/>
          <w:lang w:val="sq-AL"/>
        </w:rPr>
        <w:lastRenderedPageBreak/>
        <w:t xml:space="preserve">Për monitorimin e cilësisë së UN të këtij akuiferi </w:t>
      </w:r>
      <w:r w:rsidR="00620CA5">
        <w:rPr>
          <w:rFonts w:ascii="Times New Roman" w:eastAsia="Times New Roman" w:hAnsi="Times New Roman" w:cs="Times New Roman"/>
          <w:sz w:val="24"/>
          <w:szCs w:val="24"/>
          <w:lang w:val="sq-AL"/>
        </w:rPr>
        <w:t>u kryen analiza kimike të plota</w:t>
      </w:r>
      <w:r w:rsidRPr="00677C4D">
        <w:rPr>
          <w:rFonts w:ascii="Times New Roman" w:eastAsia="Times New Roman" w:hAnsi="Times New Roman" w:cs="Times New Roman"/>
          <w:sz w:val="24"/>
          <w:szCs w:val="24"/>
          <w:lang w:val="sq-AL"/>
        </w:rPr>
        <w:t>. Duke analizuar e krahasuar treguesit kimikë të UN për vitin 2025 vëmë re se ka ndyshime të lehta stinore të cilat po i trajtojme si më poshtë:</w:t>
      </w:r>
    </w:p>
    <w:p w:rsidR="00B45173" w:rsidRPr="00677C4D" w:rsidRDefault="00B45173" w:rsidP="00B45173">
      <w:pPr>
        <w:spacing w:after="0" w:line="240" w:lineRule="auto"/>
        <w:jc w:val="both"/>
        <w:rPr>
          <w:rFonts w:ascii="Times New Roman" w:eastAsia="Times New Roman" w:hAnsi="Times New Roman" w:cs="Times New Roman"/>
          <w:sz w:val="24"/>
          <w:szCs w:val="24"/>
          <w:lang w:val="sq-AL"/>
        </w:rPr>
      </w:pPr>
    </w:p>
    <w:p w:rsidR="00677C4D" w:rsidRPr="00677C4D" w:rsidRDefault="00677C4D" w:rsidP="00B45173">
      <w:pPr>
        <w:spacing w:after="0" w:line="240" w:lineRule="auto"/>
        <w:jc w:val="both"/>
        <w:rPr>
          <w:rFonts w:ascii="Times New Roman" w:hAnsi="Times New Roman" w:cs="Times New Roman"/>
          <w:sz w:val="24"/>
          <w:lang w:val="sq-AL"/>
        </w:rPr>
      </w:pPr>
      <w:r w:rsidRPr="00677C4D">
        <w:rPr>
          <w:rFonts w:ascii="Times New Roman" w:hAnsi="Times New Roman" w:cs="Times New Roman"/>
          <w:b/>
          <w:sz w:val="24"/>
          <w:lang w:val="sq-AL"/>
        </w:rPr>
        <w:t>pH i UN</w:t>
      </w:r>
      <w:r w:rsidRPr="00677C4D">
        <w:rPr>
          <w:rFonts w:ascii="Times New Roman" w:hAnsi="Times New Roman" w:cs="Times New Roman"/>
          <w:sz w:val="24"/>
          <w:lang w:val="sq-AL"/>
        </w:rPr>
        <w:t xml:space="preserve"> – Në dy fazat e monitorimit për vitin 2025 varion nga 7.06 në 7.47, përkatësisht në shpimin Mursi dhe burimin Tragjas. Siç shihet parametri pH është brenda normës së lejuar në të gjithë burimet. Vlera mesatare e pH për vitin 2025 varion 7.095 deri në 7.665. Ndryshimet stinore janë të ulëta, ato variojnë nga 0.01 – 0.17.</w:t>
      </w:r>
    </w:p>
    <w:p w:rsidR="00677C4D" w:rsidRDefault="00677C4D" w:rsidP="00B45173">
      <w:pPr>
        <w:spacing w:after="0" w:line="240" w:lineRule="auto"/>
        <w:jc w:val="both"/>
        <w:rPr>
          <w:rFonts w:ascii="Times New Roman" w:hAnsi="Times New Roman" w:cs="Times New Roman"/>
          <w:sz w:val="24"/>
          <w:lang w:val="sq-AL"/>
        </w:rPr>
      </w:pPr>
      <w:r w:rsidRPr="00677C4D">
        <w:rPr>
          <w:rFonts w:ascii="Times New Roman" w:hAnsi="Times New Roman" w:cs="Times New Roman"/>
          <w:sz w:val="24"/>
          <w:lang w:val="sq-AL"/>
        </w:rPr>
        <w:t xml:space="preserve">Sipas normës së lejuar për ujë të pijshëm ky tregues është brenda normës (pH = 6.5 – 9.5). Sipas vlerës së pH (përqëndrimi i jonit të hidrogjenit) janë ujëra të tipit alkalin të dobët. </w:t>
      </w:r>
    </w:p>
    <w:p w:rsidR="00B45173" w:rsidRPr="00677C4D" w:rsidRDefault="00B45173" w:rsidP="00B45173">
      <w:pPr>
        <w:spacing w:after="0" w:line="240" w:lineRule="auto"/>
        <w:jc w:val="both"/>
        <w:rPr>
          <w:rFonts w:ascii="Times New Roman" w:hAnsi="Times New Roman" w:cs="Times New Roman"/>
          <w:sz w:val="24"/>
          <w:lang w:val="sq-AL"/>
        </w:rPr>
      </w:pPr>
    </w:p>
    <w:p w:rsidR="00677C4D" w:rsidRDefault="00677C4D" w:rsidP="00B45173">
      <w:pPr>
        <w:spacing w:after="0" w:line="240" w:lineRule="auto"/>
        <w:jc w:val="both"/>
        <w:rPr>
          <w:rFonts w:ascii="Times New Roman" w:hAnsi="Times New Roman" w:cs="Times New Roman"/>
          <w:sz w:val="24"/>
          <w:lang w:val="sq-AL"/>
        </w:rPr>
      </w:pPr>
      <w:r w:rsidRPr="00677C4D">
        <w:rPr>
          <w:rFonts w:ascii="Times New Roman" w:hAnsi="Times New Roman" w:cs="Times New Roman"/>
          <w:b/>
          <w:sz w:val="24"/>
          <w:lang w:val="sq-AL"/>
        </w:rPr>
        <w:t>Fortësia e përgjithshme</w:t>
      </w:r>
      <w:r w:rsidRPr="00677C4D">
        <w:rPr>
          <w:rFonts w:ascii="Times New Roman" w:hAnsi="Times New Roman" w:cs="Times New Roman"/>
          <w:sz w:val="24"/>
          <w:lang w:val="sq-AL"/>
        </w:rPr>
        <w:t xml:space="preserve"> (</w:t>
      </w:r>
      <w:r w:rsidRPr="00677C4D">
        <w:rPr>
          <w:rFonts w:ascii="Times New Roman" w:hAnsi="Times New Roman" w:cs="Times New Roman"/>
          <w:b/>
          <w:sz w:val="24"/>
          <w:lang w:val="sq-AL"/>
        </w:rPr>
        <w:t>Fp)</w:t>
      </w:r>
      <w:r w:rsidRPr="00677C4D">
        <w:rPr>
          <w:rFonts w:ascii="Times New Roman" w:hAnsi="Times New Roman" w:cs="Times New Roman"/>
          <w:sz w:val="24"/>
          <w:lang w:val="sq-AL"/>
        </w:rPr>
        <w:t>- Fortësia e përgjithshme e UN në fazat e monitorimit për vitin 2025 varion nga 10.06 në 18.33</w:t>
      </w:r>
      <w:r w:rsidRPr="00677C4D">
        <w:rPr>
          <w:rFonts w:ascii="Times New Roman" w:hAnsi="Times New Roman" w:cs="Times New Roman"/>
          <w:sz w:val="24"/>
          <w:vertAlign w:val="superscript"/>
          <w:lang w:val="sq-AL"/>
        </w:rPr>
        <w:t>o</w:t>
      </w:r>
      <w:r w:rsidRPr="00677C4D">
        <w:rPr>
          <w:rFonts w:ascii="Times New Roman" w:hAnsi="Times New Roman" w:cs="Times New Roman"/>
          <w:sz w:val="24"/>
          <w:lang w:val="sq-AL"/>
        </w:rPr>
        <w:t>gj. Siç shihet nga këto parametra Fp është brenda normës maksimale të lejuar pasi norma e ujit të pijshëm për këtë parametër është 10 – 20</w:t>
      </w:r>
      <w:r w:rsidRPr="00677C4D">
        <w:rPr>
          <w:rFonts w:ascii="Times New Roman" w:hAnsi="Times New Roman" w:cs="Times New Roman"/>
          <w:sz w:val="24"/>
          <w:vertAlign w:val="superscript"/>
          <w:lang w:val="sq-AL"/>
        </w:rPr>
        <w:t>o</w:t>
      </w:r>
      <w:r w:rsidRPr="00677C4D">
        <w:rPr>
          <w:rFonts w:ascii="Times New Roman" w:hAnsi="Times New Roman" w:cs="Times New Roman"/>
          <w:sz w:val="24"/>
          <w:lang w:val="sq-AL"/>
        </w:rPr>
        <w:t>gj dhe maksimale e lejuar 25</w:t>
      </w:r>
      <w:r w:rsidRPr="00677C4D">
        <w:rPr>
          <w:rFonts w:ascii="Times New Roman" w:hAnsi="Times New Roman" w:cs="Times New Roman"/>
          <w:sz w:val="24"/>
          <w:vertAlign w:val="superscript"/>
          <w:lang w:val="sq-AL"/>
        </w:rPr>
        <w:t>o</w:t>
      </w:r>
      <w:r w:rsidRPr="00677C4D">
        <w:rPr>
          <w:rFonts w:ascii="Times New Roman" w:hAnsi="Times New Roman" w:cs="Times New Roman"/>
          <w:sz w:val="24"/>
          <w:lang w:val="sq-AL"/>
        </w:rPr>
        <w:t>gjermane sipas VKM 379 dt. 25.05.2016, duke u klasifikuar si ujra mesatarisht të forta. Ndryshimet e Fp në fazat e monitorimit në vitin 2025 janë të vogla, ato variojnë nga 0.14 – 2.67</w:t>
      </w:r>
      <w:r w:rsidRPr="00677C4D">
        <w:rPr>
          <w:rFonts w:ascii="Times New Roman" w:hAnsi="Times New Roman" w:cs="Times New Roman"/>
          <w:sz w:val="24"/>
          <w:vertAlign w:val="superscript"/>
          <w:lang w:val="sq-AL"/>
        </w:rPr>
        <w:t>o</w:t>
      </w:r>
      <w:r w:rsidRPr="00677C4D">
        <w:rPr>
          <w:rFonts w:ascii="Times New Roman" w:hAnsi="Times New Roman" w:cs="Times New Roman"/>
          <w:sz w:val="24"/>
          <w:lang w:val="sq-AL"/>
        </w:rPr>
        <w:t>gj. Luhatjet më të larta vërehen në burimin Syri i Kaltër. Vlerat mesatare të fortësisë për vitin 2025 variojnë 10.345 – 17. 32</w:t>
      </w:r>
      <w:r w:rsidRPr="00677C4D">
        <w:rPr>
          <w:rFonts w:ascii="Times New Roman" w:hAnsi="Times New Roman" w:cs="Times New Roman"/>
          <w:sz w:val="24"/>
          <w:vertAlign w:val="superscript"/>
          <w:lang w:val="sq-AL"/>
        </w:rPr>
        <w:t>o</w:t>
      </w:r>
      <w:r w:rsidRPr="00677C4D">
        <w:rPr>
          <w:rFonts w:ascii="Times New Roman" w:hAnsi="Times New Roman" w:cs="Times New Roman"/>
          <w:sz w:val="24"/>
          <w:lang w:val="sq-AL"/>
        </w:rPr>
        <w:t xml:space="preserve">gj përkatësisht në burimet në burimi Uji i Ftohtë (galeria) dhe burimi Syri i Kaltër.  </w:t>
      </w:r>
    </w:p>
    <w:p w:rsidR="00B45173" w:rsidRPr="00677C4D" w:rsidRDefault="00B45173" w:rsidP="00B45173">
      <w:pPr>
        <w:spacing w:after="0" w:line="240" w:lineRule="auto"/>
        <w:jc w:val="both"/>
        <w:rPr>
          <w:rFonts w:ascii="Times New Roman" w:hAnsi="Times New Roman" w:cs="Times New Roman"/>
          <w:sz w:val="24"/>
          <w:lang w:val="sq-AL"/>
        </w:rPr>
      </w:pPr>
    </w:p>
    <w:p w:rsidR="00677C4D" w:rsidRPr="00677C4D" w:rsidRDefault="00677C4D" w:rsidP="00B45173">
      <w:pPr>
        <w:spacing w:after="0" w:line="240" w:lineRule="auto"/>
        <w:jc w:val="both"/>
        <w:rPr>
          <w:rFonts w:ascii="Times New Roman" w:hAnsi="Times New Roman" w:cs="Times New Roman"/>
          <w:sz w:val="24"/>
          <w:lang w:val="sq-AL"/>
        </w:rPr>
      </w:pPr>
      <w:r w:rsidRPr="00677C4D">
        <w:rPr>
          <w:rFonts w:ascii="Times New Roman" w:hAnsi="Times New Roman" w:cs="Times New Roman"/>
          <w:b/>
          <w:sz w:val="24"/>
          <w:lang w:val="sq-AL"/>
        </w:rPr>
        <w:t>Mineralizimi i përgjithshëm (Mp)-</w:t>
      </w:r>
      <w:r w:rsidRPr="00677C4D">
        <w:rPr>
          <w:rFonts w:ascii="Times New Roman" w:hAnsi="Times New Roman" w:cs="Times New Roman"/>
          <w:sz w:val="24"/>
          <w:lang w:val="sq-AL"/>
        </w:rPr>
        <w:t xml:space="preserve"> Mineralizimi i përgjithshëm në dy fazat e monitorimit për vitin 2025 luhatet në vlera që variojnë nga 310.83 – 647.49 mg/l. Luhatjet sezonale variojnë në vlera nga 2.85 – 43.88 – 96.3 mg/l, respektivisht ndryshimet më të larta vërehen në </w:t>
      </w:r>
      <w:r w:rsidRPr="00677C4D">
        <w:rPr>
          <w:rFonts w:ascii="Times New Roman" w:hAnsi="Times New Roman" w:cs="Times New Roman"/>
          <w:b/>
          <w:sz w:val="24"/>
          <w:lang w:val="sq-AL"/>
        </w:rPr>
        <w:t>burimin Syri i Kaltër dhe shpimin Mursi</w:t>
      </w:r>
      <w:r w:rsidRPr="00677C4D">
        <w:rPr>
          <w:rFonts w:ascii="Times New Roman" w:hAnsi="Times New Roman" w:cs="Times New Roman"/>
          <w:sz w:val="24"/>
          <w:lang w:val="sq-AL"/>
        </w:rPr>
        <w:t>. Vlerat mesatare të mineralizimit për vitin 2025 variojnë 313.27– 625.35 mg/l përkatësisht në burimet Uji i Ftohtë - Vlorë (galeria) dhe shpimi Mursi.</w:t>
      </w:r>
    </w:p>
    <w:p w:rsidR="00677C4D" w:rsidRDefault="00677C4D" w:rsidP="00854864">
      <w:pPr>
        <w:keepNext/>
        <w:spacing w:after="0" w:line="240" w:lineRule="auto"/>
        <w:jc w:val="both"/>
        <w:outlineLvl w:val="5"/>
        <w:rPr>
          <w:rFonts w:ascii="Times New Roman" w:hAnsi="Times New Roman" w:cs="Times New Roman"/>
          <w:sz w:val="24"/>
          <w:lang w:val="sq-AL"/>
        </w:rPr>
      </w:pPr>
      <w:r w:rsidRPr="00677C4D">
        <w:rPr>
          <w:rFonts w:ascii="Times New Roman" w:eastAsia="Times New Roman" w:hAnsi="Times New Roman" w:cs="Times New Roman"/>
          <w:bCs/>
          <w:sz w:val="24"/>
          <w:szCs w:val="24"/>
          <w:lang w:val="sq-AL"/>
        </w:rPr>
        <w:t>Ky tregues është brenda normës së lejuar, krahasuar me normën për ujë të pijshëm, UN të këtij akuiferi janë brenda normës së lejuar përcaktuar në VKM 379 dt. 25.05.2016 (1000 mg/l)). Nuk vërehet tendencë rritje e Mp, përkundrazi vlerat janë pothuajse konstante, vërehet një luhatje ciklike tipike në burimin Syri i Kaltër.</w:t>
      </w:r>
      <w:r w:rsidRPr="00677C4D">
        <w:rPr>
          <w:rFonts w:ascii="Times New Roman" w:hAnsi="Times New Roman" w:cs="Times New Roman"/>
          <w:sz w:val="24"/>
          <w:lang w:val="sq-AL"/>
        </w:rPr>
        <w:t>UN të akuiferëve karbonatikë janë me M</w:t>
      </w:r>
      <w:r w:rsidRPr="00677C4D">
        <w:rPr>
          <w:rFonts w:ascii="Times New Roman" w:hAnsi="Times New Roman" w:cs="Times New Roman"/>
          <w:sz w:val="24"/>
          <w:vertAlign w:val="subscript"/>
          <w:lang w:val="sq-AL"/>
        </w:rPr>
        <w:t>th</w:t>
      </w:r>
      <w:r w:rsidRPr="00677C4D">
        <w:rPr>
          <w:rFonts w:ascii="Times New Roman" w:hAnsi="Times New Roman" w:cs="Times New Roman"/>
          <w:sz w:val="24"/>
          <w:lang w:val="sq-AL"/>
        </w:rPr>
        <w:t xml:space="preserve"> nën 0.5 gr/l, me përjashtim të stacionit </w:t>
      </w:r>
      <w:r w:rsidRPr="00677C4D">
        <w:rPr>
          <w:rFonts w:ascii="Times New Roman" w:hAnsi="Times New Roman" w:cs="Times New Roman"/>
          <w:b/>
          <w:sz w:val="24"/>
          <w:lang w:val="sq-AL"/>
        </w:rPr>
        <w:t xml:space="preserve">Mursi (keson) </w:t>
      </w:r>
      <w:r w:rsidRPr="00854864">
        <w:rPr>
          <w:rFonts w:ascii="Times New Roman" w:hAnsi="Times New Roman" w:cs="Times New Roman"/>
          <w:sz w:val="24"/>
          <w:lang w:val="sq-AL"/>
        </w:rPr>
        <w:t>ku vlerat e M</w:t>
      </w:r>
      <w:r w:rsidRPr="00854864">
        <w:rPr>
          <w:rFonts w:ascii="Times New Roman" w:hAnsi="Times New Roman" w:cs="Times New Roman"/>
          <w:sz w:val="24"/>
          <w:vertAlign w:val="subscript"/>
          <w:lang w:val="sq-AL"/>
        </w:rPr>
        <w:t>th</w:t>
      </w:r>
      <w:r w:rsidRPr="00854864">
        <w:rPr>
          <w:rFonts w:ascii="Times New Roman" w:hAnsi="Times New Roman" w:cs="Times New Roman"/>
          <w:sz w:val="24"/>
          <w:lang w:val="sq-AL"/>
        </w:rPr>
        <w:t xml:space="preserve"> janë</w:t>
      </w:r>
      <w:r w:rsidRPr="00677C4D">
        <w:rPr>
          <w:rFonts w:ascii="Times New Roman" w:hAnsi="Times New Roman" w:cs="Times New Roman"/>
          <w:sz w:val="24"/>
          <w:lang w:val="sq-AL"/>
        </w:rPr>
        <w:t xml:space="preserve"> mbi 0.5 gr/l pra janë ujra të ëmbla.</w:t>
      </w:r>
    </w:p>
    <w:p w:rsidR="00854864" w:rsidRPr="00854864" w:rsidRDefault="00854864" w:rsidP="00854864">
      <w:pPr>
        <w:keepNext/>
        <w:spacing w:after="0" w:line="240" w:lineRule="auto"/>
        <w:jc w:val="both"/>
        <w:outlineLvl w:val="5"/>
        <w:rPr>
          <w:rFonts w:ascii="Times New Roman" w:eastAsia="Times New Roman" w:hAnsi="Times New Roman" w:cs="Times New Roman"/>
          <w:bCs/>
          <w:sz w:val="24"/>
          <w:szCs w:val="24"/>
          <w:lang w:val="sq-AL"/>
        </w:rPr>
      </w:pPr>
    </w:p>
    <w:p w:rsidR="00677C4D" w:rsidRPr="00677C4D" w:rsidRDefault="00677C4D" w:rsidP="00854864">
      <w:pPr>
        <w:spacing w:after="0" w:line="240" w:lineRule="auto"/>
        <w:jc w:val="both"/>
        <w:rPr>
          <w:rFonts w:ascii="Times New Roman" w:hAnsi="Times New Roman" w:cs="Times New Roman"/>
          <w:sz w:val="24"/>
          <w:lang w:val="sq-AL"/>
        </w:rPr>
      </w:pPr>
      <w:r w:rsidRPr="00677C4D">
        <w:rPr>
          <w:rFonts w:ascii="Times New Roman" w:hAnsi="Times New Roman" w:cs="Times New Roman"/>
          <w:b/>
          <w:sz w:val="24"/>
          <w:lang w:val="sq-AL"/>
        </w:rPr>
        <w:t>Përmbajta e amonjakut (NH</w:t>
      </w:r>
      <w:r w:rsidRPr="00677C4D">
        <w:rPr>
          <w:rFonts w:ascii="Times New Roman" w:hAnsi="Times New Roman" w:cs="Times New Roman"/>
          <w:b/>
          <w:sz w:val="24"/>
          <w:vertAlign w:val="subscript"/>
          <w:lang w:val="sq-AL"/>
        </w:rPr>
        <w:t>4</w:t>
      </w:r>
      <w:r w:rsidRPr="00677C4D">
        <w:rPr>
          <w:rFonts w:ascii="Times New Roman" w:hAnsi="Times New Roman" w:cs="Times New Roman"/>
          <w:b/>
          <w:sz w:val="24"/>
          <w:lang w:val="sq-AL"/>
        </w:rPr>
        <w:t xml:space="preserve">): </w:t>
      </w:r>
      <w:r w:rsidRPr="00677C4D">
        <w:rPr>
          <w:rFonts w:ascii="Times New Roman" w:hAnsi="Times New Roman" w:cs="Times New Roman"/>
          <w:sz w:val="24"/>
          <w:lang w:val="sq-AL"/>
        </w:rPr>
        <w:t>Përmbajta e amonjakut NH</w:t>
      </w:r>
      <w:r w:rsidRPr="00677C4D">
        <w:rPr>
          <w:rFonts w:ascii="Times New Roman" w:hAnsi="Times New Roman" w:cs="Times New Roman"/>
          <w:sz w:val="24"/>
          <w:vertAlign w:val="subscript"/>
          <w:lang w:val="sq-AL"/>
        </w:rPr>
        <w:t xml:space="preserve">4  </w:t>
      </w:r>
      <w:r w:rsidRPr="00677C4D">
        <w:rPr>
          <w:rFonts w:ascii="Times New Roman" w:hAnsi="Times New Roman" w:cs="Times New Roman"/>
          <w:sz w:val="24"/>
          <w:lang w:val="sq-AL"/>
        </w:rPr>
        <w:t>në dy fazat e monitorimit për vitin 2025 është e ulët vlerat në të gjithë shpimet janë më të vogla se 0.05 mg/l, ato variojnë nga 0.02 – 0.005 mg/l, me përjashtim të burimit të Tragjasit që ka vlera deri në 0.14 mg/l, në fazën e parë por që nuk përsëritet në fazën e dytë. Luhatje të përmbajtjes së amonjakut NH</w:t>
      </w:r>
      <w:r w:rsidRPr="00677C4D">
        <w:rPr>
          <w:rFonts w:ascii="Times New Roman" w:hAnsi="Times New Roman" w:cs="Times New Roman"/>
          <w:sz w:val="24"/>
          <w:vertAlign w:val="subscript"/>
          <w:lang w:val="sq-AL"/>
        </w:rPr>
        <w:t xml:space="preserve">4  </w:t>
      </w:r>
      <w:r w:rsidRPr="00677C4D">
        <w:rPr>
          <w:rFonts w:ascii="Times New Roman" w:hAnsi="Times New Roman" w:cs="Times New Roman"/>
          <w:sz w:val="24"/>
          <w:lang w:val="sq-AL"/>
        </w:rPr>
        <w:t>nga njëra fazë në tjetrën janë shumë të ulëta, variojnë nga 0.02 – 0.09 mg/l. Vlerat mesatare të përmbajtjes së amonjakut për vitin 2025 variojnë 0.035 - 0.095 mg/l në të gjithë shpimet.</w:t>
      </w:r>
    </w:p>
    <w:p w:rsidR="00677C4D" w:rsidRDefault="00677C4D" w:rsidP="00854864">
      <w:pPr>
        <w:spacing w:after="0" w:line="240" w:lineRule="auto"/>
        <w:jc w:val="both"/>
        <w:rPr>
          <w:rFonts w:ascii="Times New Roman" w:hAnsi="Times New Roman" w:cs="Times New Roman"/>
          <w:sz w:val="24"/>
          <w:lang w:val="sq-AL"/>
        </w:rPr>
      </w:pPr>
      <w:r w:rsidRPr="00677C4D">
        <w:rPr>
          <w:rFonts w:ascii="Times New Roman" w:hAnsi="Times New Roman" w:cs="Times New Roman"/>
          <w:sz w:val="24"/>
          <w:lang w:val="sq-AL"/>
        </w:rPr>
        <w:t>Sipas standartit shqiptar përcaktuar në VKM 379 dt. 25.05.2016, (norma maksimale e lejuar është 0.1 mg/l).  Sic duket dhe nga grafiku pothuajse të gjithë shpimet paraqesin ndotje me NH</w:t>
      </w:r>
      <w:r w:rsidRPr="00677C4D">
        <w:rPr>
          <w:rFonts w:ascii="Times New Roman" w:hAnsi="Times New Roman" w:cs="Times New Roman"/>
          <w:sz w:val="24"/>
          <w:vertAlign w:val="subscript"/>
          <w:lang w:val="sq-AL"/>
        </w:rPr>
        <w:t xml:space="preserve">4 </w:t>
      </w:r>
      <w:r w:rsidRPr="00677C4D">
        <w:rPr>
          <w:rFonts w:ascii="Times New Roman" w:hAnsi="Times New Roman" w:cs="Times New Roman"/>
          <w:sz w:val="24"/>
          <w:lang w:val="sq-AL"/>
        </w:rPr>
        <w:t xml:space="preserve">por vlerat janë brenda normave të lejuara, me përjashtim të burimit të Tragjasit. Këto burime duhen mbajtur nën monitorim të vazhdueshëm pasi përmbajtja e amoniakut përsëritet. Kjo tregon që kemi ndotje të freskët dhe duhen marrë masa për eleminimin e shkaktarëve. </w:t>
      </w:r>
    </w:p>
    <w:p w:rsidR="00854864" w:rsidRPr="00677C4D" w:rsidRDefault="00854864" w:rsidP="00854864">
      <w:pPr>
        <w:spacing w:after="0" w:line="240" w:lineRule="auto"/>
        <w:jc w:val="both"/>
        <w:rPr>
          <w:rFonts w:ascii="Times New Roman" w:hAnsi="Times New Roman" w:cs="Times New Roman"/>
          <w:sz w:val="24"/>
          <w:lang w:val="sq-AL"/>
        </w:rPr>
      </w:pPr>
    </w:p>
    <w:p w:rsidR="00677C4D" w:rsidRPr="00677C4D" w:rsidRDefault="00677C4D" w:rsidP="00854864">
      <w:pPr>
        <w:spacing w:after="0" w:line="240" w:lineRule="auto"/>
        <w:jc w:val="both"/>
        <w:rPr>
          <w:rFonts w:ascii="Times New Roman" w:hAnsi="Times New Roman" w:cs="Times New Roman"/>
          <w:sz w:val="24"/>
          <w:lang w:val="sq-AL"/>
        </w:rPr>
      </w:pPr>
      <w:r w:rsidRPr="00677C4D">
        <w:rPr>
          <w:rFonts w:ascii="Times New Roman" w:hAnsi="Times New Roman" w:cs="Times New Roman"/>
          <w:b/>
          <w:sz w:val="24"/>
          <w:lang w:val="sq-AL"/>
        </w:rPr>
        <w:t>Përmbajta e nitriteve (NO</w:t>
      </w:r>
      <w:r w:rsidRPr="00677C4D">
        <w:rPr>
          <w:rFonts w:ascii="Times New Roman" w:hAnsi="Times New Roman" w:cs="Times New Roman"/>
          <w:b/>
          <w:sz w:val="24"/>
          <w:vertAlign w:val="subscript"/>
          <w:lang w:val="sq-AL"/>
        </w:rPr>
        <w:t>2</w:t>
      </w:r>
      <w:r w:rsidRPr="00677C4D">
        <w:rPr>
          <w:rFonts w:ascii="Times New Roman" w:hAnsi="Times New Roman" w:cs="Times New Roman"/>
          <w:b/>
          <w:sz w:val="24"/>
          <w:lang w:val="sq-AL"/>
        </w:rPr>
        <w:t xml:space="preserve">) </w:t>
      </w:r>
      <w:r w:rsidRPr="00677C4D">
        <w:rPr>
          <w:rFonts w:ascii="Times New Roman" w:hAnsi="Times New Roman" w:cs="Times New Roman"/>
          <w:sz w:val="24"/>
          <w:lang w:val="sq-AL"/>
        </w:rPr>
        <w:t>- Përmbajta e nitriteve NO</w:t>
      </w:r>
      <w:r w:rsidRPr="00677C4D">
        <w:rPr>
          <w:rFonts w:ascii="Times New Roman" w:hAnsi="Times New Roman" w:cs="Times New Roman"/>
          <w:sz w:val="24"/>
          <w:vertAlign w:val="subscript"/>
          <w:lang w:val="sq-AL"/>
        </w:rPr>
        <w:t xml:space="preserve">2 </w:t>
      </w:r>
      <w:r w:rsidRPr="00677C4D">
        <w:rPr>
          <w:rFonts w:ascii="Times New Roman" w:hAnsi="Times New Roman" w:cs="Times New Roman"/>
          <w:sz w:val="24"/>
          <w:lang w:val="sq-AL"/>
        </w:rPr>
        <w:t>në dy fazat e monitorimit për vitin 2025 është e ulët, vlerat në të gjithë shpimet variojnë nga 0.003 – 0.007 – 0.01mg/l. Luhatje të përmbajtjes së amonjakut NH</w:t>
      </w:r>
      <w:r w:rsidRPr="00677C4D">
        <w:rPr>
          <w:rFonts w:ascii="Times New Roman" w:hAnsi="Times New Roman" w:cs="Times New Roman"/>
          <w:sz w:val="24"/>
          <w:vertAlign w:val="subscript"/>
          <w:lang w:val="sq-AL"/>
        </w:rPr>
        <w:t xml:space="preserve">4  </w:t>
      </w:r>
      <w:r w:rsidRPr="00677C4D">
        <w:rPr>
          <w:rFonts w:ascii="Times New Roman" w:hAnsi="Times New Roman" w:cs="Times New Roman"/>
          <w:sz w:val="24"/>
          <w:lang w:val="sq-AL"/>
        </w:rPr>
        <w:t xml:space="preserve">nga njëra fazë në tjetrën në vitin 2025 janë të ulëta, variojnë nga </w:t>
      </w:r>
      <w:r w:rsidRPr="00677C4D">
        <w:rPr>
          <w:rFonts w:ascii="Times New Roman" w:hAnsi="Times New Roman" w:cs="Times New Roman"/>
          <w:sz w:val="24"/>
          <w:lang w:val="sq-AL"/>
        </w:rPr>
        <w:lastRenderedPageBreak/>
        <w:t xml:space="preserve">0.001 – 0.004. Vlerat mesatare të përmbajtjes së nitriteve për vitin 2025 variojnë 0.0035 – 0.01 mg/l.  </w:t>
      </w:r>
    </w:p>
    <w:p w:rsidR="00854864" w:rsidRDefault="00677C4D" w:rsidP="00854864">
      <w:pPr>
        <w:spacing w:after="0" w:line="240" w:lineRule="auto"/>
        <w:jc w:val="both"/>
        <w:rPr>
          <w:rFonts w:ascii="Times New Roman" w:hAnsi="Times New Roman" w:cs="Times New Roman"/>
          <w:sz w:val="24"/>
          <w:lang w:val="sq-AL"/>
        </w:rPr>
      </w:pPr>
      <w:r w:rsidRPr="00677C4D">
        <w:rPr>
          <w:rFonts w:ascii="Times New Roman" w:hAnsi="Times New Roman" w:cs="Times New Roman"/>
          <w:sz w:val="24"/>
          <w:lang w:val="sq-AL"/>
        </w:rPr>
        <w:t>Përmbajtja e nitriteve në fazat e monitorimit për vitin 2025 sipas normës së lejuar për ujë të pijshëm është brenda normës, nën përmbajtjen maksimale të lejuar ku sipas përcaktimit në VKM 379 dt. 25.05.2016, përmbajtja maksimale e lejuar 0.5 mg/l.</w:t>
      </w:r>
    </w:p>
    <w:p w:rsidR="00677C4D" w:rsidRPr="00677C4D" w:rsidRDefault="00677C4D" w:rsidP="00854864">
      <w:pPr>
        <w:spacing w:after="0" w:line="240" w:lineRule="auto"/>
        <w:jc w:val="both"/>
        <w:rPr>
          <w:rFonts w:ascii="Times New Roman" w:hAnsi="Times New Roman" w:cs="Times New Roman"/>
          <w:sz w:val="24"/>
          <w:lang w:val="sq-AL"/>
        </w:rPr>
      </w:pPr>
      <w:r w:rsidRPr="00677C4D">
        <w:rPr>
          <w:rFonts w:ascii="Times New Roman" w:hAnsi="Times New Roman" w:cs="Times New Roman"/>
          <w:sz w:val="24"/>
          <w:lang w:val="sq-AL"/>
        </w:rPr>
        <w:t xml:space="preserve"> </w:t>
      </w:r>
    </w:p>
    <w:p w:rsidR="00677C4D" w:rsidRDefault="00677C4D" w:rsidP="00854864">
      <w:pPr>
        <w:spacing w:after="0" w:line="240" w:lineRule="auto"/>
        <w:jc w:val="both"/>
        <w:rPr>
          <w:rFonts w:ascii="Times New Roman" w:hAnsi="Times New Roman" w:cs="Times New Roman"/>
          <w:sz w:val="24"/>
          <w:lang w:val="sq-AL"/>
        </w:rPr>
      </w:pPr>
      <w:r w:rsidRPr="00677C4D">
        <w:rPr>
          <w:rFonts w:ascii="Times New Roman" w:hAnsi="Times New Roman" w:cs="Times New Roman"/>
          <w:b/>
          <w:iCs/>
          <w:sz w:val="24"/>
          <w:lang w:val="sq-AL"/>
        </w:rPr>
        <w:t>Përmbajtja e hekurit – Fe</w:t>
      </w:r>
      <w:r w:rsidRPr="00677C4D">
        <w:rPr>
          <w:rFonts w:ascii="Times New Roman" w:hAnsi="Times New Roman" w:cs="Times New Roman"/>
          <w:b/>
          <w:iCs/>
          <w:sz w:val="24"/>
          <w:vertAlign w:val="superscript"/>
          <w:lang w:val="sq-AL"/>
        </w:rPr>
        <w:t>2+3</w:t>
      </w:r>
      <w:r w:rsidRPr="00677C4D">
        <w:rPr>
          <w:rFonts w:ascii="Times New Roman" w:hAnsi="Times New Roman" w:cs="Times New Roman"/>
          <w:b/>
          <w:sz w:val="24"/>
          <w:lang w:val="sq-AL"/>
        </w:rPr>
        <w:t xml:space="preserve">: </w:t>
      </w:r>
      <w:r w:rsidRPr="00677C4D">
        <w:rPr>
          <w:rFonts w:ascii="Times New Roman" w:hAnsi="Times New Roman" w:cs="Times New Roman"/>
          <w:sz w:val="24"/>
          <w:lang w:val="sq-AL"/>
        </w:rPr>
        <w:t>Përmbajtja e hekurit në UN në dy fazat e monitorimit për vitin 2025 varion Fe</w:t>
      </w:r>
      <w:r w:rsidRPr="00677C4D">
        <w:rPr>
          <w:rFonts w:ascii="Times New Roman" w:hAnsi="Times New Roman" w:cs="Times New Roman"/>
          <w:sz w:val="24"/>
          <w:vertAlign w:val="subscript"/>
          <w:lang w:val="sq-AL"/>
        </w:rPr>
        <w:t>min – max</w:t>
      </w:r>
      <w:r w:rsidRPr="00677C4D">
        <w:rPr>
          <w:rFonts w:ascii="Times New Roman" w:hAnsi="Times New Roman" w:cs="Times New Roman"/>
          <w:sz w:val="24"/>
          <w:lang w:val="sq-AL"/>
        </w:rPr>
        <w:t xml:space="preserve"> = 0 - 0.01mg/l, përkatësisht në burimin Syri i Kaltër dhe Uji i Ftohtë Vlorë (galeria). Luhatjet e përmbajtjes së hekurit nga njëra fazë në tjetrën në vitin 2025 variojnë nga 0.0 – 0.01 mg/l. Vlerat mesatare të përmbajtjes së hekurit për vitin 2025 variojnë 0.0 – 0.005 mg/l. Përmbajtja e hekurit në të gjitha fazat e monitorimit për vitin 2025 në shpimet e monitoruara në këtë akuifer është në normën e rekomanduar (norma 0.3 mg/l). Hekuri është prezent në të gjithë burimet në faza të caktuara por jo mbi normën e lejuar. </w:t>
      </w:r>
      <w:r w:rsidRPr="00677C4D">
        <w:rPr>
          <w:rFonts w:ascii="Times New Roman" w:hAnsi="Times New Roman" w:cs="Times New Roman"/>
          <w:iCs/>
          <w:sz w:val="24"/>
          <w:lang w:val="sq-AL"/>
        </w:rPr>
        <w:t xml:space="preserve">Përmbajtja e hekurit </w:t>
      </w:r>
      <w:r w:rsidRPr="00677C4D">
        <w:rPr>
          <w:rFonts w:ascii="Times New Roman" w:hAnsi="Times New Roman" w:cs="Times New Roman"/>
          <w:sz w:val="24"/>
          <w:lang w:val="sq-AL"/>
        </w:rPr>
        <w:t xml:space="preserve">në të gjithë shpimet nuk i kalon vlerat e rekomanduara te standartit shqiptar përcaktuar në VKM 379 dt. 25.05.2016. </w:t>
      </w:r>
    </w:p>
    <w:p w:rsidR="00854864" w:rsidRPr="00677C4D" w:rsidRDefault="00854864" w:rsidP="00854864">
      <w:pPr>
        <w:spacing w:after="0" w:line="240" w:lineRule="auto"/>
        <w:jc w:val="both"/>
        <w:rPr>
          <w:rFonts w:ascii="Times New Roman" w:hAnsi="Times New Roman" w:cs="Times New Roman"/>
          <w:sz w:val="24"/>
          <w:lang w:val="sq-AL"/>
        </w:rPr>
      </w:pPr>
    </w:p>
    <w:p w:rsidR="00677C4D" w:rsidRPr="004658E1" w:rsidRDefault="00677C4D" w:rsidP="00854864">
      <w:pPr>
        <w:spacing w:after="0" w:line="240" w:lineRule="auto"/>
        <w:jc w:val="both"/>
        <w:rPr>
          <w:rFonts w:ascii="Times New Roman" w:hAnsi="Times New Roman" w:cs="Times New Roman"/>
          <w:sz w:val="24"/>
          <w:lang w:val="sq-AL"/>
        </w:rPr>
      </w:pPr>
      <w:r w:rsidRPr="00677C4D">
        <w:rPr>
          <w:rFonts w:ascii="Times New Roman" w:hAnsi="Times New Roman" w:cs="Times New Roman"/>
          <w:b/>
          <w:sz w:val="24"/>
          <w:lang w:val="sq-AL"/>
        </w:rPr>
        <w:t>Përmbajta e nitrateve (NO</w:t>
      </w:r>
      <w:r w:rsidRPr="00677C4D">
        <w:rPr>
          <w:rFonts w:ascii="Times New Roman" w:hAnsi="Times New Roman" w:cs="Times New Roman"/>
          <w:b/>
          <w:sz w:val="24"/>
          <w:vertAlign w:val="subscript"/>
          <w:lang w:val="sq-AL"/>
        </w:rPr>
        <w:t>3</w:t>
      </w:r>
      <w:r w:rsidRPr="00677C4D">
        <w:rPr>
          <w:rFonts w:ascii="Times New Roman" w:hAnsi="Times New Roman" w:cs="Times New Roman"/>
          <w:b/>
          <w:sz w:val="24"/>
          <w:lang w:val="sq-AL"/>
        </w:rPr>
        <w:t>)</w:t>
      </w:r>
      <w:r w:rsidRPr="00677C4D">
        <w:rPr>
          <w:rFonts w:ascii="Times New Roman" w:hAnsi="Times New Roman" w:cs="Times New Roman"/>
          <w:sz w:val="24"/>
          <w:lang w:val="sq-AL"/>
        </w:rPr>
        <w:t>:</w:t>
      </w:r>
      <w:r w:rsidRPr="00677C4D">
        <w:rPr>
          <w:rFonts w:ascii="Times New Roman" w:hAnsi="Times New Roman" w:cs="Times New Roman"/>
          <w:b/>
          <w:i/>
          <w:sz w:val="24"/>
          <w:lang w:val="sq-AL"/>
        </w:rPr>
        <w:t xml:space="preserve"> </w:t>
      </w:r>
      <w:r w:rsidRPr="00677C4D">
        <w:rPr>
          <w:rFonts w:ascii="Times New Roman" w:hAnsi="Times New Roman" w:cs="Times New Roman"/>
          <w:sz w:val="24"/>
          <w:lang w:val="sq-AL"/>
        </w:rPr>
        <w:t>Përmbajtja e nitrateve luhatet në vlerat min ÷ max = 1.42 – 7.68 mg/l.  Vlera më e lartë takohet në Shpimin Mursi ndërsa vlera më e ulët në burimet Uji i Ftohtë (galeria), por në raport me normën këto vlera janë shumë të ulëta dhe janë brenda standartit shqiptar. Vihet re luhatje sezonale e vlerave të nitrateve në vlera shumë të ulëta që variojnë nga 0.23 – 1.51mg/l, ndërsa vlerat mesatare të vitit 2025 luhaten nga 1.535 – 7.105mg/l përkatësisht në burimin Uji i Ftoh</w:t>
      </w:r>
      <w:r w:rsidR="004658E1">
        <w:rPr>
          <w:rFonts w:ascii="Times New Roman" w:hAnsi="Times New Roman" w:cs="Times New Roman"/>
          <w:sz w:val="24"/>
          <w:lang w:val="sq-AL"/>
        </w:rPr>
        <w:t>të (galeria)  dhe shpimi Mursi.</w:t>
      </w:r>
      <w:r w:rsidRPr="004658E1">
        <w:rPr>
          <w:rFonts w:ascii="Times New Roman" w:hAnsi="Times New Roman" w:cs="Times New Roman"/>
          <w:sz w:val="24"/>
          <w:lang w:val="sq-AL"/>
        </w:rPr>
        <w:t xml:space="preserve">Përmbajtja e nitrateve në fazat e monitorimit për vitin 2025 është nën normën e rekomanduar në të gjithë burimet (përmbajtja maksimale e lejuar është 50 mg/l). </w:t>
      </w:r>
    </w:p>
    <w:p w:rsidR="00677C4D" w:rsidRPr="00677C4D" w:rsidRDefault="00677C4D" w:rsidP="00677C4D">
      <w:pPr>
        <w:spacing w:after="0" w:line="240" w:lineRule="auto"/>
        <w:jc w:val="both"/>
        <w:rPr>
          <w:rFonts w:ascii="Times New Roman" w:eastAsia="Times New Roman" w:hAnsi="Times New Roman" w:cs="Times New Roman"/>
          <w:b/>
          <w:sz w:val="24"/>
          <w:szCs w:val="24"/>
          <w:u w:val="single"/>
          <w:lang w:val="sq-AL"/>
        </w:rPr>
      </w:pPr>
    </w:p>
    <w:p w:rsidR="00677C4D" w:rsidRPr="00677C4D" w:rsidRDefault="00677C4D" w:rsidP="00677C4D">
      <w:pPr>
        <w:keepNext/>
        <w:spacing w:before="120" w:after="120" w:line="276" w:lineRule="auto"/>
        <w:jc w:val="both"/>
        <w:outlineLvl w:val="1"/>
        <w:rPr>
          <w:rFonts w:ascii="Times New Roman" w:eastAsia="Times New Roman" w:hAnsi="Times New Roman" w:cs="Times New Roman"/>
          <w:b/>
          <w:bCs/>
          <w:iCs/>
          <w:sz w:val="24"/>
          <w:szCs w:val="28"/>
          <w:u w:val="single"/>
          <w:lang w:val="sq-AL"/>
        </w:rPr>
      </w:pPr>
      <w:bookmarkStart w:id="39" w:name="_Toc223000371"/>
      <w:bookmarkStart w:id="40" w:name="_Toc125188032"/>
      <w:r w:rsidRPr="00677C4D">
        <w:rPr>
          <w:rFonts w:ascii="Times New Roman" w:eastAsia="Times New Roman" w:hAnsi="Times New Roman" w:cs="Times New Roman"/>
          <w:b/>
          <w:bCs/>
          <w:iCs/>
          <w:sz w:val="24"/>
          <w:szCs w:val="28"/>
        </w:rPr>
        <w:t>Rekomandime për basenin Jonik</w:t>
      </w:r>
      <w:bookmarkEnd w:id="39"/>
      <w:bookmarkEnd w:id="40"/>
    </w:p>
    <w:p w:rsidR="0036740A" w:rsidRPr="00677C4D" w:rsidRDefault="00677C4D" w:rsidP="00854864">
      <w:pPr>
        <w:pStyle w:val="ListParagraph"/>
        <w:numPr>
          <w:ilvl w:val="0"/>
          <w:numId w:val="72"/>
        </w:numPr>
        <w:spacing w:after="0" w:line="240" w:lineRule="auto"/>
        <w:jc w:val="both"/>
        <w:rPr>
          <w:rFonts w:ascii="Times New Roman" w:hAnsi="Times New Roman" w:cs="Times New Roman"/>
          <w:sz w:val="24"/>
          <w:lang w:val="sq-AL"/>
        </w:rPr>
      </w:pPr>
      <w:r w:rsidRPr="00677C4D">
        <w:rPr>
          <w:rFonts w:ascii="Times New Roman" w:hAnsi="Times New Roman" w:cs="Times New Roman"/>
          <w:sz w:val="24"/>
          <w:lang w:val="sq-AL"/>
        </w:rPr>
        <w:t>Të vazhdojë monitorimi  hidrokimik dhe hidrodinamik  i UN në zonën Jonike, mbasi ajo është një zonë me perspektivë të madhe për zhvillimin e turizmit</w:t>
      </w:r>
    </w:p>
    <w:p w:rsidR="00677C4D" w:rsidRPr="00677C4D" w:rsidRDefault="00677C4D" w:rsidP="00854864">
      <w:pPr>
        <w:numPr>
          <w:ilvl w:val="0"/>
          <w:numId w:val="71"/>
        </w:numPr>
        <w:spacing w:after="0" w:line="240" w:lineRule="auto"/>
        <w:jc w:val="both"/>
        <w:rPr>
          <w:rFonts w:ascii="Times New Roman" w:eastAsia="Times New Roman" w:hAnsi="Times New Roman" w:cs="Times New Roman"/>
          <w:sz w:val="24"/>
          <w:szCs w:val="24"/>
          <w:lang w:val="sq-AL"/>
        </w:rPr>
      </w:pPr>
      <w:r w:rsidRPr="00677C4D">
        <w:rPr>
          <w:rFonts w:ascii="Times New Roman" w:eastAsia="Times New Roman" w:hAnsi="Times New Roman" w:cs="Times New Roman"/>
          <w:sz w:val="24"/>
          <w:szCs w:val="24"/>
          <w:lang w:val="sq-AL"/>
        </w:rPr>
        <w:t>Monitorimi i cilësisë së UN rekomandohet të kryhet për katër periudha kohore për akuiferët Kuaternare, kurse për akuiferët e tjerë 2 herë në vit.</w:t>
      </w:r>
    </w:p>
    <w:p w:rsidR="00677C4D" w:rsidRPr="00677C4D" w:rsidRDefault="00677C4D" w:rsidP="00854864">
      <w:pPr>
        <w:numPr>
          <w:ilvl w:val="0"/>
          <w:numId w:val="71"/>
        </w:numPr>
        <w:spacing w:after="0" w:line="240" w:lineRule="auto"/>
        <w:jc w:val="both"/>
        <w:rPr>
          <w:rFonts w:ascii="Times New Roman" w:eastAsia="Times New Roman" w:hAnsi="Times New Roman" w:cs="Times New Roman"/>
          <w:sz w:val="24"/>
          <w:szCs w:val="24"/>
          <w:lang w:val="sq-AL"/>
        </w:rPr>
      </w:pPr>
      <w:r w:rsidRPr="00677C4D">
        <w:rPr>
          <w:rFonts w:ascii="Times New Roman" w:eastAsia="Times New Roman" w:hAnsi="Times New Roman" w:cs="Times New Roman"/>
          <w:sz w:val="24"/>
          <w:szCs w:val="24"/>
          <w:lang w:val="sq-AL"/>
        </w:rPr>
        <w:t>Të shtohen stacionet e monitorimit në akuiferin kuaternar të Dukatit, si dhe në masivët karstikë të Tragjasit e Karaburunit, si dhe në akuiferë të tjerë të Zonës Jonike.</w:t>
      </w:r>
    </w:p>
    <w:p w:rsidR="00677C4D" w:rsidRPr="00677C4D" w:rsidRDefault="00677C4D" w:rsidP="00854864">
      <w:pPr>
        <w:numPr>
          <w:ilvl w:val="0"/>
          <w:numId w:val="71"/>
        </w:numPr>
        <w:spacing w:after="0" w:line="240" w:lineRule="auto"/>
        <w:jc w:val="both"/>
        <w:rPr>
          <w:rFonts w:ascii="Times New Roman" w:eastAsia="Times New Roman" w:hAnsi="Times New Roman" w:cs="Times New Roman"/>
          <w:sz w:val="24"/>
          <w:szCs w:val="24"/>
          <w:lang w:val="sq-AL"/>
        </w:rPr>
      </w:pPr>
      <w:r w:rsidRPr="00677C4D">
        <w:rPr>
          <w:rFonts w:ascii="Times New Roman" w:eastAsia="Times New Roman" w:hAnsi="Times New Roman" w:cs="Times New Roman"/>
          <w:sz w:val="24"/>
          <w:szCs w:val="24"/>
          <w:lang w:val="sq-AL"/>
        </w:rPr>
        <w:t xml:space="preserve">Marrjen e masave për mënjanimin e infiltimit të ujërave të ndotura urbane, që shkarkohen mbi zonën e drenimit të UN në zonën e burimeve karstike  Uji i Ftohtë – Vlorë dhe Burimi i Syrit të Kaltër, si dhe të shpimeve në Vrion 1&amp;2 , Çukë 1&amp;2 , Karahaxh  dhe Mursi. </w:t>
      </w:r>
    </w:p>
    <w:p w:rsidR="00677C4D" w:rsidRPr="00677C4D" w:rsidRDefault="00677C4D" w:rsidP="00854864">
      <w:pPr>
        <w:numPr>
          <w:ilvl w:val="0"/>
          <w:numId w:val="71"/>
        </w:numPr>
        <w:spacing w:after="0" w:line="240" w:lineRule="auto"/>
        <w:jc w:val="both"/>
        <w:rPr>
          <w:rFonts w:ascii="Times New Roman" w:eastAsia="Times New Roman" w:hAnsi="Times New Roman" w:cs="Times New Roman"/>
          <w:sz w:val="24"/>
          <w:szCs w:val="24"/>
          <w:lang w:val="sq-AL"/>
        </w:rPr>
      </w:pPr>
      <w:r w:rsidRPr="00677C4D">
        <w:rPr>
          <w:rFonts w:ascii="Times New Roman" w:eastAsia="Times New Roman" w:hAnsi="Times New Roman" w:cs="Times New Roman"/>
          <w:bCs/>
          <w:color w:val="000000"/>
          <w:sz w:val="24"/>
          <w:szCs w:val="24"/>
          <w:lang w:val="sq-AL"/>
        </w:rPr>
        <w:t xml:space="preserve">Të zbatohen zonat e rreptësisë sanitare për të gjithë shpimet e shfrytëzimit dhe burimet, të merren masa për pastrimin e kanaleve kulluese pranë stacioneve. </w:t>
      </w:r>
    </w:p>
    <w:p w:rsidR="00677C4D" w:rsidRPr="00677C4D" w:rsidRDefault="00677C4D" w:rsidP="00854864">
      <w:pPr>
        <w:numPr>
          <w:ilvl w:val="0"/>
          <w:numId w:val="71"/>
        </w:numPr>
        <w:spacing w:after="0" w:line="240" w:lineRule="auto"/>
        <w:jc w:val="both"/>
        <w:rPr>
          <w:rFonts w:ascii="Times New Roman" w:eastAsia="Times New Roman" w:hAnsi="Times New Roman" w:cs="Times New Roman"/>
          <w:sz w:val="24"/>
          <w:szCs w:val="24"/>
          <w:lang w:val="sq-AL"/>
        </w:rPr>
      </w:pPr>
      <w:r w:rsidRPr="00677C4D">
        <w:rPr>
          <w:rFonts w:ascii="Times New Roman" w:eastAsia="Times New Roman" w:hAnsi="Times New Roman" w:cs="Times New Roman"/>
          <w:bCs/>
          <w:color w:val="000000"/>
          <w:sz w:val="24"/>
          <w:szCs w:val="24"/>
          <w:lang w:val="sq-AL"/>
        </w:rPr>
        <w:t>T</w:t>
      </w:r>
      <w:r w:rsidRPr="00677C4D">
        <w:rPr>
          <w:rFonts w:ascii="Times New Roman" w:eastAsia="Times New Roman" w:hAnsi="Times New Roman" w:cs="Times New Roman"/>
          <w:bCs/>
          <w:iCs/>
          <w:color w:val="000000"/>
          <w:sz w:val="24"/>
          <w:szCs w:val="24"/>
          <w:lang w:val="sq-AL"/>
        </w:rPr>
        <w:t>ë</w:t>
      </w:r>
      <w:r w:rsidRPr="00677C4D">
        <w:rPr>
          <w:rFonts w:ascii="Times New Roman" w:eastAsia="Times New Roman" w:hAnsi="Times New Roman" w:cs="Times New Roman"/>
          <w:bCs/>
          <w:color w:val="000000"/>
          <w:sz w:val="24"/>
          <w:szCs w:val="24"/>
          <w:lang w:val="sq-AL"/>
        </w:rPr>
        <w:t xml:space="preserve"> ndalohet hedhja e mbeturinave në akuiferët karbonatikë, lumenj e përrenj. Ato do të shkaktojnë ndotje të ujërave të këtyre akuifereve, pasi filtrimi dhe infiltrimi është shumë i madh dhe depërtimi i ndotësit është shumë i shpejtë. </w:t>
      </w:r>
    </w:p>
    <w:p w:rsidR="00677C4D" w:rsidRPr="00677C4D" w:rsidRDefault="00677C4D" w:rsidP="00854864">
      <w:pPr>
        <w:numPr>
          <w:ilvl w:val="0"/>
          <w:numId w:val="71"/>
        </w:numPr>
        <w:spacing w:after="0" w:line="240" w:lineRule="auto"/>
        <w:jc w:val="both"/>
        <w:rPr>
          <w:rFonts w:ascii="Times New Roman" w:eastAsia="Times New Roman" w:hAnsi="Times New Roman" w:cs="Times New Roman"/>
          <w:sz w:val="24"/>
          <w:szCs w:val="24"/>
          <w:lang w:val="sq-AL"/>
        </w:rPr>
      </w:pPr>
      <w:r w:rsidRPr="00677C4D">
        <w:rPr>
          <w:rFonts w:ascii="Times New Roman" w:eastAsia="Times New Roman" w:hAnsi="Times New Roman" w:cs="Times New Roman"/>
          <w:color w:val="000000"/>
          <w:sz w:val="24"/>
          <w:szCs w:val="24"/>
          <w:lang w:val="sq-AL"/>
        </w:rPr>
        <w:t>Rritja e rezervave të shfrytëzimit në akuiferin e Orikumit, Kalasës dhe Vurgut duhet të bëhet vet</w:t>
      </w:r>
      <w:r w:rsidRPr="00677C4D">
        <w:rPr>
          <w:rFonts w:ascii="Times New Roman" w:eastAsia="Times New Roman" w:hAnsi="Times New Roman" w:cs="Times New Roman"/>
          <w:bCs/>
          <w:iCs/>
          <w:color w:val="000000"/>
          <w:sz w:val="24"/>
          <w:szCs w:val="24"/>
          <w:lang w:val="sq-AL"/>
        </w:rPr>
        <w:t>ë</w:t>
      </w:r>
      <w:r w:rsidRPr="00677C4D">
        <w:rPr>
          <w:rFonts w:ascii="Times New Roman" w:eastAsia="Times New Roman" w:hAnsi="Times New Roman" w:cs="Times New Roman"/>
          <w:color w:val="000000"/>
          <w:sz w:val="24"/>
          <w:szCs w:val="24"/>
          <w:lang w:val="sq-AL"/>
        </w:rPr>
        <w:t>m nga specialistë hidrogjeologë të SH.GJ.SH, pasi rritja e shfrytëzimit të ujërave në m</w:t>
      </w:r>
      <w:r w:rsidRPr="00677C4D">
        <w:rPr>
          <w:rFonts w:ascii="Times New Roman" w:eastAsia="Times New Roman" w:hAnsi="Times New Roman" w:cs="Times New Roman"/>
          <w:bCs/>
          <w:iCs/>
          <w:color w:val="000000"/>
          <w:sz w:val="24"/>
          <w:szCs w:val="24"/>
          <w:lang w:val="sq-AL"/>
        </w:rPr>
        <w:t>ë</w:t>
      </w:r>
      <w:r w:rsidRPr="00677C4D">
        <w:rPr>
          <w:rFonts w:ascii="Times New Roman" w:eastAsia="Times New Roman" w:hAnsi="Times New Roman" w:cs="Times New Roman"/>
          <w:color w:val="000000"/>
          <w:sz w:val="24"/>
          <w:szCs w:val="24"/>
          <w:lang w:val="sq-AL"/>
        </w:rPr>
        <w:t xml:space="preserve">nyrë jo profesionale mund të shkaktojë prishjen e cilësisë së ujërave të stacioneve të këtyre akuiferëve. </w:t>
      </w:r>
    </w:p>
    <w:p w:rsidR="00677C4D" w:rsidRDefault="00677C4D" w:rsidP="00677C4D">
      <w:pPr>
        <w:spacing w:after="200" w:line="288" w:lineRule="auto"/>
        <w:jc w:val="both"/>
        <w:rPr>
          <w:rFonts w:ascii="Times New Roman" w:eastAsiaTheme="minorEastAsia" w:hAnsi="Times New Roman" w:cs="Times New Roman"/>
          <w:b/>
          <w:sz w:val="24"/>
          <w:szCs w:val="24"/>
        </w:rPr>
      </w:pPr>
    </w:p>
    <w:p w:rsidR="0036740A" w:rsidRDefault="0036740A" w:rsidP="0036740A">
      <w:pPr>
        <w:spacing w:after="200" w:line="288" w:lineRule="auto"/>
        <w:jc w:val="both"/>
        <w:rPr>
          <w:rFonts w:ascii="Times New Roman" w:eastAsiaTheme="minorEastAsia" w:hAnsi="Times New Roman" w:cs="Times New Roman"/>
          <w:b/>
          <w:sz w:val="24"/>
          <w:szCs w:val="24"/>
        </w:rPr>
      </w:pPr>
    </w:p>
    <w:p w:rsidR="004658E1" w:rsidRDefault="004658E1" w:rsidP="00854864">
      <w:pPr>
        <w:spacing w:after="200" w:line="288" w:lineRule="auto"/>
        <w:rPr>
          <w:rFonts w:ascii="Times New Roman" w:eastAsiaTheme="minorEastAsia" w:hAnsi="Times New Roman" w:cs="Times New Roman"/>
          <w:b/>
          <w:sz w:val="24"/>
          <w:szCs w:val="24"/>
        </w:rPr>
      </w:pPr>
    </w:p>
    <w:p w:rsidR="00643378" w:rsidRDefault="00643378" w:rsidP="00C55FD0">
      <w:pPr>
        <w:spacing w:after="200" w:line="288" w:lineRule="auto"/>
        <w:jc w:val="center"/>
        <w:rPr>
          <w:rFonts w:ascii="Times New Roman" w:eastAsiaTheme="minorEastAsia" w:hAnsi="Times New Roman" w:cs="Times New Roman"/>
          <w:b/>
          <w:sz w:val="24"/>
          <w:szCs w:val="24"/>
        </w:rPr>
      </w:pPr>
    </w:p>
    <w:p w:rsidR="00643378" w:rsidRDefault="00643378" w:rsidP="00C55FD0">
      <w:pPr>
        <w:spacing w:after="200" w:line="288" w:lineRule="auto"/>
        <w:jc w:val="center"/>
        <w:rPr>
          <w:rFonts w:ascii="Times New Roman" w:eastAsiaTheme="minorEastAsia" w:hAnsi="Times New Roman" w:cs="Times New Roman"/>
          <w:b/>
          <w:sz w:val="24"/>
          <w:szCs w:val="24"/>
        </w:rPr>
      </w:pPr>
    </w:p>
    <w:p w:rsidR="00643378" w:rsidRDefault="00643378" w:rsidP="00C55FD0">
      <w:pPr>
        <w:spacing w:after="200" w:line="288" w:lineRule="auto"/>
        <w:jc w:val="center"/>
        <w:rPr>
          <w:rFonts w:ascii="Times New Roman" w:eastAsiaTheme="minorEastAsia" w:hAnsi="Times New Roman" w:cs="Times New Roman"/>
          <w:b/>
          <w:sz w:val="24"/>
          <w:szCs w:val="24"/>
        </w:rPr>
      </w:pPr>
    </w:p>
    <w:p w:rsidR="00643378" w:rsidRDefault="00643378" w:rsidP="00C55FD0">
      <w:pPr>
        <w:spacing w:after="200" w:line="288" w:lineRule="auto"/>
        <w:jc w:val="center"/>
        <w:rPr>
          <w:rFonts w:ascii="Times New Roman" w:eastAsiaTheme="minorEastAsia" w:hAnsi="Times New Roman" w:cs="Times New Roman"/>
          <w:b/>
          <w:sz w:val="24"/>
          <w:szCs w:val="24"/>
        </w:rPr>
      </w:pPr>
    </w:p>
    <w:p w:rsidR="004658E1" w:rsidRDefault="004658E1" w:rsidP="00C55FD0">
      <w:pPr>
        <w:spacing w:after="200" w:line="288" w:lineRule="auto"/>
        <w:jc w:val="center"/>
        <w:rPr>
          <w:rFonts w:ascii="Times New Roman" w:eastAsiaTheme="minorEastAsia" w:hAnsi="Times New Roman" w:cs="Times New Roman"/>
          <w:b/>
          <w:sz w:val="24"/>
          <w:szCs w:val="24"/>
        </w:rPr>
      </w:pPr>
    </w:p>
    <w:p w:rsidR="00C55FD0" w:rsidRPr="0005229A" w:rsidRDefault="00C55FD0" w:rsidP="00C55FD0">
      <w:pPr>
        <w:spacing w:after="200" w:line="288" w:lineRule="auto"/>
        <w:jc w:val="center"/>
        <w:rPr>
          <w:rFonts w:ascii="Times New Roman" w:eastAsiaTheme="minorEastAsia" w:hAnsi="Times New Roman" w:cs="Times New Roman"/>
          <w:b/>
          <w:sz w:val="24"/>
          <w:szCs w:val="24"/>
        </w:rPr>
      </w:pPr>
      <w:r w:rsidRPr="0005229A">
        <w:rPr>
          <w:rFonts w:ascii="Times New Roman" w:eastAsiaTheme="minorEastAsia" w:hAnsi="Times New Roman" w:cs="Times New Roman"/>
          <w:b/>
          <w:sz w:val="24"/>
          <w:szCs w:val="24"/>
        </w:rPr>
        <w:t>KAPITULLI 5</w:t>
      </w:r>
    </w:p>
    <w:p w:rsidR="00C55FD0" w:rsidRPr="0005229A" w:rsidRDefault="00643378" w:rsidP="00C55FD0">
      <w:pPr>
        <w:spacing w:after="200" w:line="288"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PLAZHET DHE ZONAT</w:t>
      </w:r>
      <w:r w:rsidR="00C55FD0" w:rsidRPr="0005229A">
        <w:rPr>
          <w:rFonts w:ascii="Times New Roman" w:eastAsiaTheme="minorEastAsia" w:hAnsi="Times New Roman" w:cs="Times New Roman"/>
          <w:b/>
          <w:sz w:val="24"/>
          <w:szCs w:val="24"/>
        </w:rPr>
        <w:t xml:space="preserve"> BREGDETAR</w:t>
      </w:r>
      <w:r>
        <w:rPr>
          <w:rFonts w:ascii="Times New Roman" w:eastAsiaTheme="minorEastAsia" w:hAnsi="Times New Roman" w:cs="Times New Roman"/>
          <w:b/>
          <w:sz w:val="24"/>
          <w:szCs w:val="24"/>
        </w:rPr>
        <w:t>E</w:t>
      </w:r>
    </w:p>
    <w:p w:rsidR="00C55FD0" w:rsidRDefault="005E4492" w:rsidP="0005229A">
      <w:pPr>
        <w:spacing w:after="200" w:line="288" w:lineRule="auto"/>
        <w:jc w:val="center"/>
        <w:rPr>
          <w:rFonts w:ascii="Times New Roman" w:eastAsiaTheme="minorEastAsia" w:hAnsi="Times New Roman" w:cs="Times New Roman"/>
          <w:b/>
          <w:sz w:val="24"/>
          <w:szCs w:val="24"/>
        </w:rPr>
      </w:pPr>
      <w:r>
        <w:rPr>
          <w:noProof/>
        </w:rPr>
        <w:drawing>
          <wp:inline distT="0" distB="0" distL="0" distR="0" wp14:anchorId="181E6552" wp14:editId="6121B78E">
            <wp:extent cx="4961467" cy="2790825"/>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974987" cy="2798430"/>
                    </a:xfrm>
                    <a:prstGeom prst="rect">
                      <a:avLst/>
                    </a:prstGeom>
                    <a:noFill/>
                  </pic:spPr>
                </pic:pic>
              </a:graphicData>
            </a:graphic>
          </wp:inline>
        </w:drawing>
      </w:r>
    </w:p>
    <w:p w:rsidR="00C55FD0" w:rsidRDefault="00C55FD0" w:rsidP="0005229A">
      <w:pPr>
        <w:spacing w:after="200" w:line="288" w:lineRule="auto"/>
        <w:jc w:val="center"/>
        <w:rPr>
          <w:rFonts w:ascii="Times New Roman" w:eastAsiaTheme="minorEastAsia" w:hAnsi="Times New Roman" w:cs="Times New Roman"/>
          <w:b/>
          <w:sz w:val="24"/>
          <w:szCs w:val="24"/>
        </w:rPr>
      </w:pPr>
    </w:p>
    <w:p w:rsidR="00C55FD0" w:rsidRDefault="00C55FD0" w:rsidP="0005229A">
      <w:pPr>
        <w:spacing w:after="200" w:line="288" w:lineRule="auto"/>
        <w:jc w:val="center"/>
        <w:rPr>
          <w:rFonts w:ascii="Times New Roman" w:eastAsiaTheme="minorEastAsia" w:hAnsi="Times New Roman" w:cs="Times New Roman"/>
          <w:b/>
          <w:sz w:val="24"/>
          <w:szCs w:val="24"/>
        </w:rPr>
      </w:pPr>
    </w:p>
    <w:p w:rsidR="00C55FD0" w:rsidRDefault="00C55FD0" w:rsidP="0005229A">
      <w:pPr>
        <w:spacing w:after="200" w:line="288" w:lineRule="auto"/>
        <w:jc w:val="center"/>
        <w:rPr>
          <w:rFonts w:ascii="Times New Roman" w:eastAsiaTheme="minorEastAsia" w:hAnsi="Times New Roman" w:cs="Times New Roman"/>
          <w:b/>
          <w:sz w:val="24"/>
          <w:szCs w:val="24"/>
        </w:rPr>
      </w:pPr>
    </w:p>
    <w:p w:rsidR="00865641" w:rsidRDefault="00865641" w:rsidP="0005229A">
      <w:pPr>
        <w:spacing w:after="200" w:line="288" w:lineRule="auto"/>
        <w:jc w:val="center"/>
        <w:rPr>
          <w:rFonts w:ascii="Times New Roman" w:eastAsiaTheme="minorEastAsia" w:hAnsi="Times New Roman" w:cs="Times New Roman"/>
          <w:b/>
          <w:sz w:val="24"/>
          <w:szCs w:val="24"/>
        </w:rPr>
      </w:pPr>
    </w:p>
    <w:p w:rsidR="00643378" w:rsidRDefault="00643378" w:rsidP="005E4492">
      <w:pPr>
        <w:spacing w:after="200" w:line="288" w:lineRule="auto"/>
        <w:rPr>
          <w:rFonts w:ascii="Times New Roman" w:eastAsiaTheme="minorEastAsia" w:hAnsi="Times New Roman" w:cs="Times New Roman"/>
          <w:b/>
          <w:sz w:val="24"/>
          <w:szCs w:val="24"/>
        </w:rPr>
      </w:pPr>
    </w:p>
    <w:p w:rsidR="00643378" w:rsidRDefault="00643378" w:rsidP="00643378">
      <w:pPr>
        <w:spacing w:after="200" w:line="288"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Kapitulli 5</w:t>
      </w:r>
    </w:p>
    <w:p w:rsidR="00C55FD0" w:rsidRDefault="00643378" w:rsidP="00643378">
      <w:pPr>
        <w:spacing w:after="200" w:line="288"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Plazhet dhe zonat</w:t>
      </w:r>
      <w:r w:rsidR="00865641">
        <w:rPr>
          <w:rFonts w:ascii="Times New Roman" w:eastAsiaTheme="minorEastAsia" w:hAnsi="Times New Roman" w:cs="Times New Roman"/>
          <w:b/>
          <w:sz w:val="24"/>
          <w:szCs w:val="24"/>
        </w:rPr>
        <w:t xml:space="preserve"> bregdetar</w:t>
      </w:r>
      <w:r>
        <w:rPr>
          <w:rFonts w:ascii="Times New Roman" w:eastAsiaTheme="minorEastAsia" w:hAnsi="Times New Roman" w:cs="Times New Roman"/>
          <w:b/>
          <w:sz w:val="24"/>
          <w:szCs w:val="24"/>
        </w:rPr>
        <w:t>e</w:t>
      </w:r>
    </w:p>
    <w:p w:rsidR="0005229A" w:rsidRDefault="0005229A" w:rsidP="0005229A">
      <w:pPr>
        <w:spacing w:after="200" w:line="288" w:lineRule="auto"/>
        <w:rPr>
          <w:rFonts w:ascii="Times New Roman" w:eastAsiaTheme="minorEastAsia" w:hAnsi="Times New Roman" w:cs="Times New Roman"/>
          <w:sz w:val="24"/>
          <w:szCs w:val="24"/>
        </w:rPr>
      </w:pPr>
    </w:p>
    <w:p w:rsidR="0005229A" w:rsidRDefault="0005229A" w:rsidP="0005229A">
      <w:pPr>
        <w:spacing w:after="200" w:line="288" w:lineRule="auto"/>
        <w:rPr>
          <w:rFonts w:ascii="Times New Roman" w:eastAsiaTheme="minorEastAsia" w:hAnsi="Times New Roman" w:cs="Times New Roman"/>
          <w:b/>
          <w:sz w:val="24"/>
          <w:szCs w:val="24"/>
        </w:rPr>
      </w:pPr>
      <w:r w:rsidRPr="00322D6E">
        <w:rPr>
          <w:rFonts w:ascii="Times New Roman" w:eastAsiaTheme="minorEastAsia" w:hAnsi="Times New Roman" w:cs="Times New Roman"/>
          <w:b/>
          <w:sz w:val="24"/>
          <w:szCs w:val="24"/>
        </w:rPr>
        <w:t xml:space="preserve">5.1 </w:t>
      </w:r>
      <w:r w:rsidR="00CA247F" w:rsidRPr="00322D6E">
        <w:rPr>
          <w:rFonts w:ascii="Times New Roman" w:eastAsiaTheme="minorEastAsia" w:hAnsi="Times New Roman" w:cs="Times New Roman"/>
          <w:b/>
          <w:sz w:val="24"/>
          <w:szCs w:val="24"/>
        </w:rPr>
        <w:t>Vlerësimi i gjendjes</w:t>
      </w:r>
    </w:p>
    <w:p w:rsidR="00595E57" w:rsidRPr="00595E57" w:rsidRDefault="00595E57" w:rsidP="00595E57">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Vlerësimi</w:t>
      </w:r>
      <w:r w:rsidRPr="0005229A">
        <w:rPr>
          <w:rFonts w:ascii="Times New Roman" w:eastAsiaTheme="minorEastAsia" w:hAnsi="Times New Roman" w:cs="Times New Roman"/>
          <w:sz w:val="24"/>
          <w:szCs w:val="24"/>
        </w:rPr>
        <w:t xml:space="preserve"> mikrobiologjik </w:t>
      </w:r>
      <w:r>
        <w:rPr>
          <w:rFonts w:ascii="Times New Roman" w:eastAsiaTheme="minorEastAsia" w:hAnsi="Times New Roman" w:cs="Times New Roman"/>
          <w:sz w:val="24"/>
          <w:szCs w:val="24"/>
        </w:rPr>
        <w:t>i</w:t>
      </w:r>
      <w:r w:rsidRPr="0005229A">
        <w:rPr>
          <w:rFonts w:ascii="Times New Roman" w:eastAsiaTheme="minorEastAsia" w:hAnsi="Times New Roman" w:cs="Times New Roman"/>
          <w:sz w:val="24"/>
          <w:szCs w:val="24"/>
        </w:rPr>
        <w:t xml:space="preserve"> ujërave bregdetarë të larjes në plazhet e Velipojës, Shëngjinit, Tales, Durrësit, Gjiri i Lalzit, Kavajës, Divjakës, Semanit, Vlorës, Palasës, Dhërmiut, Jalës, Himarës, Qeparoit, Borshit, Ksamilit, Sarandës, Lukovës, Pogradecit dhe Linit, është realizuar në 123 stacione monitorimi. </w:t>
      </w:r>
    </w:p>
    <w:p w:rsidR="00C55FD0" w:rsidRDefault="00322D6E" w:rsidP="00CA247F">
      <w:pPr>
        <w:spacing w:after="200" w:line="288" w:lineRule="auto"/>
        <w:jc w:val="both"/>
        <w:rPr>
          <w:rFonts w:ascii="Times New Roman" w:eastAsiaTheme="minorEastAsia" w:hAnsi="Times New Roman" w:cs="Times New Roman"/>
          <w:sz w:val="24"/>
          <w:szCs w:val="24"/>
        </w:rPr>
      </w:pPr>
      <w:r>
        <w:rPr>
          <w:noProof/>
        </w:rPr>
        <mc:AlternateContent>
          <mc:Choice Requires="wps">
            <w:drawing>
              <wp:anchor distT="0" distB="0" distL="114300" distR="114300" simplePos="0" relativeHeight="251672064" behindDoc="0" locked="0" layoutInCell="1" allowOverlap="1" wp14:anchorId="4229CD60" wp14:editId="58B8C6CC">
                <wp:simplePos x="0" y="0"/>
                <wp:positionH relativeFrom="column">
                  <wp:posOffset>2886075</wp:posOffset>
                </wp:positionH>
                <wp:positionV relativeFrom="paragraph">
                  <wp:posOffset>54610</wp:posOffset>
                </wp:positionV>
                <wp:extent cx="3143250" cy="3133725"/>
                <wp:effectExtent l="0" t="0" r="19050" b="28575"/>
                <wp:wrapNone/>
                <wp:docPr id="349" name="Rectangle 349"/>
                <wp:cNvGraphicFramePr/>
                <a:graphic xmlns:a="http://schemas.openxmlformats.org/drawingml/2006/main">
                  <a:graphicData uri="http://schemas.microsoft.com/office/word/2010/wordprocessingShape">
                    <wps:wsp>
                      <wps:cNvSpPr/>
                      <wps:spPr>
                        <a:xfrm>
                          <a:off x="0" y="0"/>
                          <a:ext cx="3143250" cy="3133725"/>
                        </a:xfrm>
                        <a:prstGeom prst="rect">
                          <a:avLst/>
                        </a:prstGeom>
                      </wps:spPr>
                      <wps:style>
                        <a:lnRef idx="2">
                          <a:schemeClr val="accent6"/>
                        </a:lnRef>
                        <a:fillRef idx="1">
                          <a:schemeClr val="lt1"/>
                        </a:fillRef>
                        <a:effectRef idx="0">
                          <a:schemeClr val="accent6"/>
                        </a:effectRef>
                        <a:fontRef idx="minor">
                          <a:schemeClr val="dk1"/>
                        </a:fontRef>
                      </wps:style>
                      <wps:txbx>
                        <w:txbxContent>
                          <w:p w:rsidR="0064059F" w:rsidRDefault="0064059F" w:rsidP="00322D6E">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Monitorimi është kryer bazuar në rregulloren higjieno-sanitare “Për administrimin e cilësisë së ujërave të larjes”, Vendimin e Këshillit të Ministrave Nr. 797, datë 29.09.2010 si dhe në përshtatje me Direktivën 2006/7/KE, datë 15 Shkurt 2006 “Për administrimin e cilësisë së ujrave të larjes”.</w:t>
                            </w:r>
                          </w:p>
                          <w:p w:rsidR="0064059F" w:rsidRPr="0005229A" w:rsidRDefault="0064059F" w:rsidP="00322D6E">
                            <w:pPr>
                              <w:spacing w:after="0" w:line="240" w:lineRule="auto"/>
                              <w:jc w:val="both"/>
                              <w:rPr>
                                <w:rFonts w:ascii="Times New Roman" w:eastAsiaTheme="minorEastAsia" w:hAnsi="Times New Roman" w:cs="Times New Roman"/>
                                <w:sz w:val="24"/>
                                <w:szCs w:val="24"/>
                              </w:rPr>
                            </w:pPr>
                          </w:p>
                          <w:p w:rsidR="0064059F" w:rsidRPr="0005229A" w:rsidRDefault="0064059F" w:rsidP="00322D6E">
                            <w:pPr>
                              <w:spacing w:after="0" w:line="240" w:lineRule="auto"/>
                              <w:jc w:val="both"/>
                              <w:rPr>
                                <w:rFonts w:ascii="Times New Roman" w:eastAsiaTheme="minorEastAsia" w:hAnsi="Times New Roman" w:cs="Times New Roman"/>
                                <w:sz w:val="24"/>
                                <w:szCs w:val="24"/>
                              </w:rPr>
                            </w:pPr>
                          </w:p>
                          <w:p w:rsidR="0064059F" w:rsidRPr="0005229A" w:rsidRDefault="0064059F" w:rsidP="00595E57">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 xml:space="preserve">Inspektimi higjeno sanitar, u krye për përcaktimin e burimeve të ndotjes në plazhe, përcaktimi i burimeve pikësore ose difuze të ndotjes (shkarkimeve të lëngëta dhe/ose të ujërave të larta, që derdhen direkt ose indirekt në plazhe si dhe pastërtia e plazheve nga mbeturinat urbane apo inerteve). </w:t>
                            </w:r>
                          </w:p>
                          <w:p w:rsidR="0064059F" w:rsidRDefault="0064059F" w:rsidP="00322D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29CD60" id="Rectangle 349" o:spid="_x0000_s1083" style="position:absolute;left:0;text-align:left;margin-left:227.25pt;margin-top:4.3pt;width:247.5pt;height:246.75pt;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" fillcolor="white [3201]" strokecolor="#70ad47 [3209]" strokeweight="1pt">
                <v:textbox>
                  <w:txbxContent>
                    <w:p w:rsidR="0064059F" w:rsidRDefault="0064059F" w:rsidP="00322D6E">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Monitorimi është kryer bazuar në rregulloren higjieno-sanitare “Për administrimin e cilësisë së ujërave të larjes”, Vendimin e Këshillit të Ministrave Nr. 797, datë 29.09.2010 si dhe në përshtatje me Direktivën 2006/7/KE, datë 15 Shkurt 2006 “Për administrimin e cilësisë së ujrave të larjes”.</w:t>
                      </w:r>
                    </w:p>
                    <w:p w:rsidR="0064059F" w:rsidRPr="0005229A" w:rsidRDefault="0064059F" w:rsidP="00322D6E">
                      <w:pPr>
                        <w:spacing w:after="0" w:line="240" w:lineRule="auto"/>
                        <w:jc w:val="both"/>
                        <w:rPr>
                          <w:rFonts w:ascii="Times New Roman" w:eastAsiaTheme="minorEastAsia" w:hAnsi="Times New Roman" w:cs="Times New Roman"/>
                          <w:sz w:val="24"/>
                          <w:szCs w:val="24"/>
                        </w:rPr>
                      </w:pPr>
                    </w:p>
                    <w:p w:rsidR="0064059F" w:rsidRPr="0005229A" w:rsidRDefault="0064059F" w:rsidP="00322D6E">
                      <w:pPr>
                        <w:spacing w:after="0" w:line="240" w:lineRule="auto"/>
                        <w:jc w:val="both"/>
                        <w:rPr>
                          <w:rFonts w:ascii="Times New Roman" w:eastAsiaTheme="minorEastAsia" w:hAnsi="Times New Roman" w:cs="Times New Roman"/>
                          <w:sz w:val="24"/>
                          <w:szCs w:val="24"/>
                        </w:rPr>
                      </w:pPr>
                    </w:p>
                    <w:p w:rsidR="0064059F" w:rsidRPr="0005229A" w:rsidRDefault="0064059F" w:rsidP="00595E57">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 xml:space="preserve">Inspektimi higjeno sanitar, u krye për përcaktimin e burimeve të ndotjes në plazhe, përcaktimi i burimeve pikësore ose difuze të ndotjes (shkarkimeve të lëngëta dhe/ose të ujërave të larta, që derdhen direkt ose indirekt në plazhe si dhe pastërtia e plazheve nga mbeturinat urbane apo inerteve). </w:t>
                      </w:r>
                    </w:p>
                    <w:p w:rsidR="0064059F" w:rsidRDefault="0064059F" w:rsidP="00322D6E">
                      <w:pPr>
                        <w:jc w:val="center"/>
                      </w:pPr>
                    </w:p>
                  </w:txbxContent>
                </v:textbox>
              </v:rect>
            </w:pict>
          </mc:Fallback>
        </mc:AlternateContent>
      </w:r>
      <w:r w:rsidR="00C55FD0">
        <w:rPr>
          <w:noProof/>
        </w:rPr>
        <w:drawing>
          <wp:inline distT="0" distB="0" distL="0" distR="0" wp14:anchorId="43AF61AB" wp14:editId="3A42A3A1">
            <wp:extent cx="2571750" cy="3429000"/>
            <wp:effectExtent l="0" t="0" r="0" b="0"/>
            <wp:docPr id="348" name="Picture 348"/>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2571750" cy="3429000"/>
                    </a:xfrm>
                    <a:prstGeom prst="rect">
                      <a:avLst/>
                    </a:prstGeom>
                  </pic:spPr>
                </pic:pic>
              </a:graphicData>
            </a:graphic>
          </wp:inline>
        </w:drawing>
      </w:r>
      <w:r>
        <w:rPr>
          <w:rFonts w:ascii="Times New Roman" w:eastAsiaTheme="minorEastAsia" w:hAnsi="Times New Roman" w:cs="Times New Roman"/>
          <w:sz w:val="24"/>
          <w:szCs w:val="24"/>
        </w:rPr>
        <w:t xml:space="preserve">  </w:t>
      </w:r>
    </w:p>
    <w:p w:rsidR="0005229A" w:rsidRPr="0005229A" w:rsidRDefault="0005229A" w:rsidP="00322D6E">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Efektet direkte ose indirekte të nutrienteve në mjediset ujore dhe sasia e tyre ndikojnë drejtpërdrejt në cilësinë e ujërave larëse bregdetarë dhe ujërat e tjerë sipërfaqësorë dhe nëntokësorë.</w:t>
      </w:r>
    </w:p>
    <w:p w:rsidR="00595E57" w:rsidRDefault="0005229A" w:rsidP="00322D6E">
      <w:pPr>
        <w:spacing w:after="0" w:line="240" w:lineRule="auto"/>
        <w:jc w:val="both"/>
        <w:rPr>
          <w:rFonts w:eastAsiaTheme="minorEastAsia"/>
          <w:sz w:val="21"/>
          <w:szCs w:val="21"/>
        </w:rPr>
      </w:pPr>
      <w:r w:rsidRPr="0005229A">
        <w:rPr>
          <w:rFonts w:ascii="Times New Roman" w:eastAsiaTheme="minorEastAsia" w:hAnsi="Times New Roman" w:cs="Times New Roman"/>
          <w:sz w:val="24"/>
          <w:szCs w:val="24"/>
        </w:rPr>
        <w:t>Këta nutrientë, sidomos azoti dhe fosfori e kanë origjinën nga aktivitetet antropike të njeriut në tokë ose në ujë. Pjesa më e madhe e ndotësve e kanë origjinën nga aktivitetet në tokë siç është përdorimi i fertilizantëve të ndryshëm dhe/ose shkarkimi i ujërave urbane të pa trajtuara.</w:t>
      </w:r>
      <w:r w:rsidRPr="0005229A">
        <w:rPr>
          <w:rFonts w:eastAsiaTheme="minorEastAsia"/>
          <w:sz w:val="21"/>
          <w:szCs w:val="21"/>
        </w:rPr>
        <w:t xml:space="preserve"> </w:t>
      </w:r>
    </w:p>
    <w:p w:rsidR="00595E57" w:rsidRDefault="00595E57" w:rsidP="00322D6E">
      <w:pPr>
        <w:spacing w:after="0" w:line="240" w:lineRule="auto"/>
        <w:jc w:val="both"/>
        <w:rPr>
          <w:rFonts w:ascii="Times New Roman" w:eastAsiaTheme="minorEastAsia" w:hAnsi="Times New Roman" w:cs="Times New Roman"/>
          <w:sz w:val="24"/>
          <w:szCs w:val="24"/>
        </w:rPr>
      </w:pPr>
    </w:p>
    <w:p w:rsidR="0005229A" w:rsidRDefault="0005229A" w:rsidP="00322D6E">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Ndotja e ujërave shpesh e ka origjinën edhe nga ajri, nga emisionet e aktiviteteve të anijeve dhe trageteve. Këto aktivitete mund të emetojnë sasira të mëdha ndotësish duke favorizuar rritjen e nutrienteve sidomos të azotit dhe të fo</w:t>
      </w:r>
      <w:r w:rsidR="004658E1">
        <w:rPr>
          <w:rFonts w:ascii="Times New Roman" w:eastAsiaTheme="minorEastAsia" w:hAnsi="Times New Roman" w:cs="Times New Roman"/>
          <w:sz w:val="24"/>
          <w:szCs w:val="24"/>
        </w:rPr>
        <w:t>sforit, të cilët ndikojnë drejt</w:t>
      </w:r>
      <w:r w:rsidRPr="0005229A">
        <w:rPr>
          <w:rFonts w:ascii="Times New Roman" w:eastAsiaTheme="minorEastAsia" w:hAnsi="Times New Roman" w:cs="Times New Roman"/>
          <w:sz w:val="24"/>
          <w:szCs w:val="24"/>
        </w:rPr>
        <w:t xml:space="preserve">përsëdrejti në eutrofikimin e sistemeve ujore.  </w:t>
      </w:r>
    </w:p>
    <w:p w:rsidR="00595E57" w:rsidRDefault="00595E57" w:rsidP="00322D6E">
      <w:pPr>
        <w:spacing w:after="0" w:line="240" w:lineRule="auto"/>
        <w:jc w:val="both"/>
        <w:rPr>
          <w:rFonts w:ascii="Times New Roman" w:eastAsiaTheme="minorEastAsia" w:hAnsi="Times New Roman" w:cs="Times New Roman"/>
          <w:sz w:val="24"/>
          <w:szCs w:val="24"/>
        </w:rPr>
      </w:pPr>
    </w:p>
    <w:p w:rsidR="005E4492" w:rsidRDefault="005E4492" w:rsidP="00322D6E">
      <w:pPr>
        <w:spacing w:after="0" w:line="240" w:lineRule="auto"/>
        <w:jc w:val="both"/>
        <w:rPr>
          <w:rFonts w:ascii="Times New Roman" w:eastAsiaTheme="minorEastAsia" w:hAnsi="Times New Roman" w:cs="Times New Roman"/>
          <w:sz w:val="24"/>
          <w:szCs w:val="24"/>
        </w:rPr>
      </w:pPr>
    </w:p>
    <w:p w:rsidR="005E4492" w:rsidRDefault="005E4492" w:rsidP="00322D6E">
      <w:pPr>
        <w:spacing w:after="0" w:line="240" w:lineRule="auto"/>
        <w:jc w:val="both"/>
        <w:rPr>
          <w:rFonts w:ascii="Times New Roman" w:eastAsiaTheme="minorEastAsia" w:hAnsi="Times New Roman" w:cs="Times New Roman"/>
          <w:sz w:val="24"/>
          <w:szCs w:val="24"/>
        </w:rPr>
      </w:pPr>
    </w:p>
    <w:p w:rsidR="0005229A" w:rsidRDefault="0005229A" w:rsidP="00322D6E">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lastRenderedPageBreak/>
        <w:t>Efektet direkte të eutrofikimit nga rritja e sasive të nutrientëve në ujë lidhen me:</w:t>
      </w:r>
    </w:p>
    <w:p w:rsidR="005E4492" w:rsidRPr="0005229A" w:rsidRDefault="005E4492" w:rsidP="00322D6E">
      <w:pPr>
        <w:spacing w:after="0" w:line="240" w:lineRule="auto"/>
        <w:rPr>
          <w:rFonts w:ascii="Times New Roman" w:eastAsiaTheme="minorEastAsia" w:hAnsi="Times New Roman" w:cs="Times New Roman"/>
          <w:sz w:val="24"/>
          <w:szCs w:val="24"/>
        </w:rPr>
      </w:pPr>
    </w:p>
    <w:p w:rsidR="0005229A" w:rsidRPr="0005229A" w:rsidRDefault="0005229A" w:rsidP="00322D6E">
      <w:pPr>
        <w:numPr>
          <w:ilvl w:val="0"/>
          <w:numId w:val="1"/>
        </w:numPr>
        <w:spacing w:after="0" w:line="240" w:lineRule="auto"/>
        <w:contextualSpacing/>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zhvillimin dhe lulëzimin sidomos të algave toksike siç janë algat blu.</w:t>
      </w:r>
    </w:p>
    <w:p w:rsidR="0005229A" w:rsidRPr="0005229A" w:rsidRDefault="0005229A" w:rsidP="004658E1">
      <w:pPr>
        <w:numPr>
          <w:ilvl w:val="0"/>
          <w:numId w:val="1"/>
        </w:numPr>
        <w:spacing w:after="0" w:line="240" w:lineRule="auto"/>
        <w:contextualSpacing/>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asgjësimin e faunës bentonike, peshqit e egër ose intoksikim të molusqeve, të cilët përdoren për njerëzit.</w:t>
      </w:r>
    </w:p>
    <w:p w:rsidR="0005229A" w:rsidRPr="0005229A" w:rsidRDefault="0005229A" w:rsidP="004658E1">
      <w:pPr>
        <w:numPr>
          <w:ilvl w:val="0"/>
          <w:numId w:val="1"/>
        </w:numPr>
        <w:spacing w:after="0" w:line="240" w:lineRule="auto"/>
        <w:contextualSpacing/>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ngjyrimi i ujit, i cili ka edhe një efekt estetik n</w:t>
      </w:r>
      <w:r w:rsidR="004658E1">
        <w:rPr>
          <w:rFonts w:ascii="Times New Roman" w:eastAsiaTheme="minorEastAsia" w:hAnsi="Times New Roman" w:cs="Times New Roman"/>
          <w:sz w:val="24"/>
          <w:szCs w:val="24"/>
        </w:rPr>
        <w:t xml:space="preserve">egativ që shoqërohet në uljen e </w:t>
      </w:r>
      <w:r w:rsidRPr="0005229A">
        <w:rPr>
          <w:rFonts w:ascii="Times New Roman" w:eastAsiaTheme="minorEastAsia" w:hAnsi="Times New Roman" w:cs="Times New Roman"/>
          <w:sz w:val="24"/>
          <w:szCs w:val="24"/>
        </w:rPr>
        <w:t>transparencës së ujit</w:t>
      </w:r>
    </w:p>
    <w:p w:rsidR="0005229A" w:rsidRPr="0005229A" w:rsidRDefault="0005229A" w:rsidP="004658E1">
      <w:pPr>
        <w:numPr>
          <w:ilvl w:val="0"/>
          <w:numId w:val="1"/>
        </w:numPr>
        <w:spacing w:after="0" w:line="240" w:lineRule="auto"/>
        <w:contextualSpacing/>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dekompozimin e pjesës më të madhe të  lëndës organike,e cila  mund të sjellë mungesën e oksigjenit, sidomos në zona ujore me rrjedhje të ulët.</w:t>
      </w:r>
    </w:p>
    <w:p w:rsidR="0005229A" w:rsidRPr="0005229A" w:rsidRDefault="0005229A" w:rsidP="004658E1">
      <w:pPr>
        <w:numPr>
          <w:ilvl w:val="0"/>
          <w:numId w:val="1"/>
        </w:numPr>
        <w:spacing w:after="0" w:line="240" w:lineRule="auto"/>
        <w:contextualSpacing/>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Era e kanaleve të hapura përbën gjithashtu një efekt estetik negativ.</w:t>
      </w:r>
    </w:p>
    <w:p w:rsidR="0005229A" w:rsidRPr="0005229A" w:rsidRDefault="0005229A" w:rsidP="0005229A">
      <w:pPr>
        <w:spacing w:after="200" w:line="288" w:lineRule="auto"/>
        <w:rPr>
          <w:rFonts w:ascii="Times New Roman" w:eastAsiaTheme="minorEastAsia" w:hAnsi="Times New Roman" w:cs="Times New Roman"/>
          <w:sz w:val="24"/>
          <w:szCs w:val="24"/>
        </w:rPr>
      </w:pPr>
    </w:p>
    <w:p w:rsidR="00595E57" w:rsidRDefault="00595E57" w:rsidP="00807975">
      <w:pPr>
        <w:pStyle w:val="ListParagraph"/>
        <w:numPr>
          <w:ilvl w:val="0"/>
          <w:numId w:val="73"/>
        </w:numPr>
        <w:spacing w:after="200" w:line="288" w:lineRule="auto"/>
        <w:rPr>
          <w:rFonts w:ascii="Times New Roman" w:eastAsiaTheme="minorEastAsia" w:hAnsi="Times New Roman" w:cs="Times New Roman"/>
          <w:b/>
          <w:sz w:val="24"/>
          <w:szCs w:val="24"/>
        </w:rPr>
      </w:pPr>
      <w:r w:rsidRPr="00595E57">
        <w:rPr>
          <w:rFonts w:ascii="Times New Roman" w:eastAsiaTheme="minorEastAsia" w:hAnsi="Times New Roman" w:cs="Times New Roman"/>
          <w:b/>
          <w:sz w:val="24"/>
          <w:szCs w:val="24"/>
        </w:rPr>
        <w:t xml:space="preserve">Kategorizimi i </w:t>
      </w:r>
      <w:r w:rsidR="00715C31">
        <w:rPr>
          <w:rFonts w:ascii="Times New Roman" w:eastAsiaTheme="minorEastAsia" w:hAnsi="Times New Roman" w:cs="Times New Roman"/>
          <w:b/>
          <w:sz w:val="24"/>
          <w:szCs w:val="24"/>
        </w:rPr>
        <w:t xml:space="preserve">ujërave larëse të </w:t>
      </w:r>
      <w:r w:rsidRPr="00595E57">
        <w:rPr>
          <w:rFonts w:ascii="Times New Roman" w:eastAsiaTheme="minorEastAsia" w:hAnsi="Times New Roman" w:cs="Times New Roman"/>
          <w:b/>
          <w:sz w:val="24"/>
          <w:szCs w:val="24"/>
        </w:rPr>
        <w:t xml:space="preserve">plazheve </w:t>
      </w:r>
    </w:p>
    <w:p w:rsidR="001E2AD3" w:rsidRDefault="00CE071B" w:rsidP="00124A5A">
      <w:pPr>
        <w:spacing w:after="0" w:line="240" w:lineRule="auto"/>
        <w:jc w:val="both"/>
        <w:rPr>
          <w:rFonts w:ascii="Times New Roman" w:eastAsiaTheme="minorEastAsia" w:hAnsi="Times New Roman" w:cs="Times New Roman"/>
          <w:sz w:val="24"/>
          <w:szCs w:val="24"/>
        </w:rPr>
      </w:pPr>
      <w:r w:rsidRPr="00CE071B">
        <w:rPr>
          <w:rFonts w:ascii="Times New Roman" w:eastAsiaTheme="minorEastAsia" w:hAnsi="Times New Roman" w:cs="Times New Roman"/>
          <w:sz w:val="24"/>
          <w:szCs w:val="24"/>
        </w:rPr>
        <w:t xml:space="preserve">Vlerësimi mikrobiologjik për 2 tregues bakteriologjike, Intestinal Enterococci (IE) dhe Escherichia Coli (E.coli), </w:t>
      </w:r>
      <w:r w:rsidR="00715C31" w:rsidRPr="00CE071B">
        <w:rPr>
          <w:rFonts w:ascii="Times New Roman" w:eastAsiaTheme="minorEastAsia" w:hAnsi="Times New Roman" w:cs="Times New Roman"/>
          <w:sz w:val="24"/>
          <w:szCs w:val="24"/>
        </w:rPr>
        <w:t>për kategorizimin sipas vlerave 90- 95%-tile</w:t>
      </w:r>
      <w:r w:rsidR="00715C31">
        <w:rPr>
          <w:rFonts w:ascii="Times New Roman" w:eastAsiaTheme="minorEastAsia" w:hAnsi="Times New Roman" w:cs="Times New Roman"/>
          <w:sz w:val="24"/>
          <w:szCs w:val="24"/>
        </w:rPr>
        <w:t xml:space="preserve">,  </w:t>
      </w:r>
      <w:r w:rsidRPr="00CE071B">
        <w:rPr>
          <w:rFonts w:ascii="Times New Roman" w:eastAsiaTheme="minorEastAsia" w:hAnsi="Times New Roman" w:cs="Times New Roman"/>
          <w:sz w:val="24"/>
          <w:szCs w:val="24"/>
        </w:rPr>
        <w:t>kryhet bazuar mbi</w:t>
      </w:r>
      <w:r w:rsidR="00245C52">
        <w:rPr>
          <w:rFonts w:ascii="Times New Roman" w:eastAsiaTheme="minorEastAsia" w:hAnsi="Times New Roman" w:cs="Times New Roman"/>
          <w:sz w:val="24"/>
          <w:szCs w:val="24"/>
        </w:rPr>
        <w:t xml:space="preserve"> VKM </w:t>
      </w:r>
      <w:r w:rsidR="00245C52" w:rsidRPr="0005229A">
        <w:rPr>
          <w:rFonts w:ascii="Times New Roman" w:eastAsiaTheme="minorEastAsia" w:hAnsi="Times New Roman" w:cs="Times New Roman"/>
          <w:sz w:val="24"/>
          <w:szCs w:val="24"/>
        </w:rPr>
        <w:t>Nr. 797, datë 29.09.2010</w:t>
      </w:r>
      <w:r w:rsidR="00245C52">
        <w:rPr>
          <w:rFonts w:ascii="Times New Roman" w:eastAsiaTheme="minorEastAsia" w:hAnsi="Times New Roman" w:cs="Times New Roman"/>
          <w:sz w:val="24"/>
          <w:szCs w:val="24"/>
        </w:rPr>
        <w:t>, shtojca II</w:t>
      </w:r>
      <w:r w:rsidR="00715C31">
        <w:rPr>
          <w:rFonts w:ascii="Times New Roman" w:eastAsiaTheme="minorEastAsia" w:hAnsi="Times New Roman" w:cs="Times New Roman"/>
          <w:sz w:val="24"/>
          <w:szCs w:val="24"/>
        </w:rPr>
        <w:t>.</w:t>
      </w:r>
      <w:r w:rsidR="00245C52">
        <w:rPr>
          <w:rFonts w:ascii="Times New Roman" w:eastAsiaTheme="minorEastAsia" w:hAnsi="Times New Roman" w:cs="Times New Roman"/>
          <w:sz w:val="24"/>
          <w:szCs w:val="24"/>
        </w:rPr>
        <w:t xml:space="preserve"> </w:t>
      </w:r>
    </w:p>
    <w:p w:rsidR="00715C31" w:rsidRDefault="00715C31" w:rsidP="00124A5A">
      <w:pPr>
        <w:spacing w:after="0" w:line="240" w:lineRule="auto"/>
        <w:jc w:val="center"/>
        <w:rPr>
          <w:rFonts w:ascii="Times New Roman" w:eastAsiaTheme="minorEastAsia" w:hAnsi="Times New Roman" w:cs="Times New Roman"/>
          <w:sz w:val="24"/>
          <w:szCs w:val="24"/>
        </w:rPr>
      </w:pP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 xml:space="preserve">Referuar rezultateve mikrobiologjike për vitin 2025, plazhet kategorizohen: </w:t>
      </w:r>
    </w:p>
    <w:p w:rsidR="005E4492" w:rsidRPr="005E4492" w:rsidRDefault="0005229A" w:rsidP="005E4492">
      <w:pPr>
        <w:pStyle w:val="ListParagraph"/>
        <w:numPr>
          <w:ilvl w:val="0"/>
          <w:numId w:val="179"/>
        </w:numPr>
        <w:spacing w:after="0" w:line="240" w:lineRule="auto"/>
        <w:jc w:val="both"/>
        <w:rPr>
          <w:rFonts w:ascii="Times New Roman" w:eastAsiaTheme="minorEastAsia" w:hAnsi="Times New Roman" w:cs="Times New Roman"/>
          <w:sz w:val="24"/>
          <w:szCs w:val="24"/>
        </w:rPr>
      </w:pPr>
      <w:r w:rsidRPr="005E4492">
        <w:rPr>
          <w:rFonts w:ascii="Times New Roman" w:eastAsiaTheme="minorEastAsia" w:hAnsi="Times New Roman" w:cs="Times New Roman"/>
          <w:sz w:val="24"/>
          <w:szCs w:val="24"/>
        </w:rPr>
        <w:t xml:space="preserve">(Cilësi e shkëlqyer) 44 pika monitorimi 35.9% e tyre, </w:t>
      </w:r>
    </w:p>
    <w:p w:rsidR="005E4492" w:rsidRPr="005E4492" w:rsidRDefault="0005229A" w:rsidP="005E4492">
      <w:pPr>
        <w:pStyle w:val="ListParagraph"/>
        <w:numPr>
          <w:ilvl w:val="0"/>
          <w:numId w:val="179"/>
        </w:numPr>
        <w:spacing w:after="0" w:line="240" w:lineRule="auto"/>
        <w:jc w:val="both"/>
        <w:rPr>
          <w:rFonts w:ascii="Times New Roman" w:eastAsiaTheme="minorEastAsia" w:hAnsi="Times New Roman" w:cs="Times New Roman"/>
          <w:sz w:val="24"/>
          <w:szCs w:val="24"/>
        </w:rPr>
      </w:pPr>
      <w:r w:rsidRPr="005E4492">
        <w:rPr>
          <w:rFonts w:ascii="Times New Roman" w:eastAsiaTheme="minorEastAsia" w:hAnsi="Times New Roman" w:cs="Times New Roman"/>
          <w:sz w:val="24"/>
          <w:szCs w:val="24"/>
        </w:rPr>
        <w:t>(Cilësi e mirë) 41 pika monitorimi 33.3 % e tyre</w:t>
      </w:r>
      <w:r w:rsidR="005E4492" w:rsidRPr="005E4492">
        <w:rPr>
          <w:rFonts w:ascii="Times New Roman" w:eastAsiaTheme="minorEastAsia" w:hAnsi="Times New Roman" w:cs="Times New Roman"/>
          <w:sz w:val="24"/>
          <w:szCs w:val="24"/>
        </w:rPr>
        <w:t>,</w:t>
      </w:r>
    </w:p>
    <w:p w:rsidR="005E4492" w:rsidRPr="005E4492" w:rsidRDefault="0005229A" w:rsidP="005E4492">
      <w:pPr>
        <w:pStyle w:val="ListParagraph"/>
        <w:numPr>
          <w:ilvl w:val="0"/>
          <w:numId w:val="179"/>
        </w:numPr>
        <w:spacing w:after="0" w:line="240" w:lineRule="auto"/>
        <w:jc w:val="both"/>
        <w:rPr>
          <w:rFonts w:ascii="Times New Roman" w:eastAsiaTheme="minorEastAsia" w:hAnsi="Times New Roman" w:cs="Times New Roman"/>
          <w:sz w:val="24"/>
          <w:szCs w:val="24"/>
        </w:rPr>
      </w:pPr>
      <w:r w:rsidRPr="005E4492">
        <w:rPr>
          <w:rFonts w:ascii="Times New Roman" w:eastAsiaTheme="minorEastAsia" w:hAnsi="Times New Roman" w:cs="Times New Roman"/>
          <w:sz w:val="24"/>
          <w:szCs w:val="24"/>
        </w:rPr>
        <w:t>(Cilësi e mjaftueshme) 16 pika monitorimi 13%  e tyre dhe</w:t>
      </w:r>
      <w:r w:rsidR="005E4492" w:rsidRPr="005E4492">
        <w:rPr>
          <w:rFonts w:ascii="Times New Roman" w:eastAsiaTheme="minorEastAsia" w:hAnsi="Times New Roman" w:cs="Times New Roman"/>
          <w:sz w:val="24"/>
          <w:szCs w:val="24"/>
        </w:rPr>
        <w:t>,</w:t>
      </w:r>
      <w:r w:rsidRPr="005E4492">
        <w:rPr>
          <w:rFonts w:ascii="Times New Roman" w:eastAsiaTheme="minorEastAsia" w:hAnsi="Times New Roman" w:cs="Times New Roman"/>
          <w:sz w:val="24"/>
          <w:szCs w:val="24"/>
        </w:rPr>
        <w:t xml:space="preserve"> </w:t>
      </w:r>
    </w:p>
    <w:p w:rsidR="005E4492" w:rsidRPr="005E4492" w:rsidRDefault="0005229A" w:rsidP="005E4492">
      <w:pPr>
        <w:pStyle w:val="ListParagraph"/>
        <w:numPr>
          <w:ilvl w:val="0"/>
          <w:numId w:val="179"/>
        </w:numPr>
        <w:spacing w:after="0" w:line="240" w:lineRule="auto"/>
        <w:jc w:val="both"/>
        <w:rPr>
          <w:rFonts w:ascii="Times New Roman" w:eastAsiaTheme="minorEastAsia" w:hAnsi="Times New Roman" w:cs="Times New Roman"/>
          <w:sz w:val="24"/>
          <w:szCs w:val="24"/>
        </w:rPr>
      </w:pPr>
      <w:r w:rsidRPr="005E4492">
        <w:rPr>
          <w:rFonts w:ascii="Times New Roman" w:eastAsiaTheme="minorEastAsia" w:hAnsi="Times New Roman" w:cs="Times New Roman"/>
          <w:sz w:val="24"/>
          <w:szCs w:val="24"/>
        </w:rPr>
        <w:t xml:space="preserve">(Cilësi e keqe) 22 pika monitorimi 17.8 % e tyre.  </w:t>
      </w:r>
    </w:p>
    <w:p w:rsidR="005E4492" w:rsidRDefault="005E4492" w:rsidP="005E4492">
      <w:pPr>
        <w:spacing w:after="0" w:line="240" w:lineRule="auto"/>
        <w:jc w:val="both"/>
        <w:rPr>
          <w:rFonts w:ascii="Times New Roman" w:eastAsiaTheme="minorEastAsia" w:hAnsi="Times New Roman" w:cs="Times New Roman"/>
          <w:sz w:val="24"/>
          <w:szCs w:val="24"/>
        </w:rPr>
      </w:pPr>
    </w:p>
    <w:p w:rsidR="005E4492" w:rsidRDefault="005E4492" w:rsidP="005E4492">
      <w:pPr>
        <w:spacing w:after="0" w:line="240" w:lineRule="auto"/>
        <w:jc w:val="both"/>
        <w:rPr>
          <w:rFonts w:ascii="Times New Roman" w:eastAsiaTheme="minorEastAsia" w:hAnsi="Times New Roman" w:cs="Times New Roman"/>
          <w:sz w:val="24"/>
          <w:szCs w:val="24"/>
        </w:rPr>
      </w:pPr>
    </w:p>
    <w:p w:rsidR="0005229A" w:rsidRPr="005E4492" w:rsidRDefault="0005229A" w:rsidP="005E4492">
      <w:pPr>
        <w:spacing w:after="0" w:line="240" w:lineRule="auto"/>
        <w:jc w:val="both"/>
        <w:rPr>
          <w:rFonts w:ascii="Times New Roman" w:eastAsiaTheme="minorEastAsia" w:hAnsi="Times New Roman" w:cs="Times New Roman"/>
          <w:sz w:val="24"/>
          <w:szCs w:val="24"/>
        </w:rPr>
      </w:pPr>
      <w:r w:rsidRPr="005E4492">
        <w:rPr>
          <w:rFonts w:ascii="Times New Roman" w:eastAsiaTheme="minorEastAsia" w:hAnsi="Times New Roman" w:cs="Times New Roman"/>
          <w:sz w:val="24"/>
          <w:szCs w:val="24"/>
        </w:rPr>
        <w:t>Vlerësimi i cilësisë së ujërave bregdetarë të larjes sipas pikave të monitorimit dhe në %</w:t>
      </w:r>
      <w:r w:rsidR="001E2AD3" w:rsidRPr="005E4492">
        <w:rPr>
          <w:rFonts w:ascii="Times New Roman" w:eastAsiaTheme="minorEastAsia" w:hAnsi="Times New Roman" w:cs="Times New Roman"/>
          <w:sz w:val="24"/>
          <w:szCs w:val="24"/>
        </w:rPr>
        <w:t xml:space="preserve"> paraqitet në grafikun më poshtë.</w:t>
      </w:r>
    </w:p>
    <w:p w:rsidR="00124A5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noProof/>
          <w:sz w:val="20"/>
          <w:szCs w:val="20"/>
        </w:rPr>
        <w:drawing>
          <wp:inline distT="0" distB="0" distL="0" distR="0" wp14:anchorId="298C2E68" wp14:editId="01DD1A3C">
            <wp:extent cx="6057900" cy="2619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6057900" cy="2619375"/>
                    </a:xfrm>
                    <a:prstGeom prst="rect">
                      <a:avLst/>
                    </a:prstGeom>
                    <a:noFill/>
                  </pic:spPr>
                </pic:pic>
              </a:graphicData>
            </a:graphic>
          </wp:inline>
        </w:drawing>
      </w: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noProof/>
          <w:sz w:val="20"/>
          <w:szCs w:val="20"/>
        </w:rPr>
        <w:lastRenderedPageBreak/>
        <w:drawing>
          <wp:inline distT="0" distB="0" distL="0" distR="0" wp14:anchorId="1A442A18" wp14:editId="440F9A56">
            <wp:extent cx="5981700" cy="2876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981700" cy="2876550"/>
                    </a:xfrm>
                    <a:prstGeom prst="rect">
                      <a:avLst/>
                    </a:prstGeom>
                    <a:noFill/>
                  </pic:spPr>
                </pic:pic>
              </a:graphicData>
            </a:graphic>
          </wp:inline>
        </w:drawing>
      </w:r>
    </w:p>
    <w:p w:rsidR="009C483D" w:rsidRDefault="009C483D" w:rsidP="009C483D">
      <w:pPr>
        <w:spacing w:after="200" w:line="276" w:lineRule="auto"/>
        <w:contextualSpacing/>
        <w:jc w:val="both"/>
        <w:rPr>
          <w:rFonts w:ascii="Times New Roman" w:eastAsia="Calibri" w:hAnsi="Times New Roman" w:cs="Times New Roman"/>
          <w:sz w:val="24"/>
          <w:szCs w:val="24"/>
        </w:rPr>
      </w:pPr>
      <w:r w:rsidRPr="009C483D">
        <w:rPr>
          <w:rFonts w:ascii="Times New Roman" w:eastAsia="Calibri" w:hAnsi="Times New Roman" w:cs="Times New Roman"/>
          <w:sz w:val="24"/>
          <w:szCs w:val="24"/>
        </w:rPr>
        <w:t xml:space="preserve">Vlerësimi i mësipërm për cilësinë e plazheve i referohet 123 stacioneve të monitoruara për vitin 2025. Agjencia Kombëtare e Mjedisit raporton të dhënat </w:t>
      </w:r>
      <w:r>
        <w:rPr>
          <w:rFonts w:ascii="Times New Roman" w:eastAsia="Calibri" w:hAnsi="Times New Roman" w:cs="Times New Roman"/>
          <w:sz w:val="24"/>
          <w:szCs w:val="24"/>
        </w:rPr>
        <w:t>për ujërat larës në Agjencinë Ev</w:t>
      </w:r>
      <w:r w:rsidRPr="009C483D">
        <w:rPr>
          <w:rFonts w:ascii="Times New Roman" w:eastAsia="Calibri" w:hAnsi="Times New Roman" w:cs="Times New Roman"/>
          <w:sz w:val="24"/>
          <w:szCs w:val="24"/>
        </w:rPr>
        <w:t>ropiane të Mjedisit për 119 stacione sipas raportit për cilësinë e ujërave larëse në sezonin 2025.</w:t>
      </w:r>
      <w:r w:rsidRPr="009C483D">
        <w:t xml:space="preserve"> </w:t>
      </w:r>
      <w:hyperlink r:id="rId197" w:history="1">
        <w:r w:rsidR="00524A94" w:rsidRPr="00474377">
          <w:rPr>
            <w:rStyle w:val="Hyperlink"/>
            <w:rFonts w:ascii="Times New Roman" w:eastAsia="Calibri" w:hAnsi="Times New Roman" w:cs="Times New Roman"/>
            <w:sz w:val="24"/>
            <w:szCs w:val="24"/>
          </w:rPr>
          <w:t>https://tableau-public.discomap.eea.europa.eu/vie</w:t>
        </w:r>
        <w:r w:rsidR="002C4833">
          <w:rPr>
            <w:rStyle w:val="Hyperlink"/>
            <w:rFonts w:ascii="Times New Roman" w:eastAsia="Calibri" w:hAnsi="Times New Roman" w:cs="Times New Roman"/>
            <w:sz w:val="24"/>
            <w:szCs w:val="24"/>
          </w:rPr>
          <w:t>ë</w:t>
        </w:r>
        <w:r w:rsidR="00524A94" w:rsidRPr="00474377">
          <w:rPr>
            <w:rStyle w:val="Hyperlink"/>
            <w:rFonts w:ascii="Times New Roman" w:eastAsia="Calibri" w:hAnsi="Times New Roman" w:cs="Times New Roman"/>
            <w:sz w:val="24"/>
            <w:szCs w:val="24"/>
          </w:rPr>
          <w:t>s/B</w:t>
        </w:r>
        <w:r w:rsidR="002C4833">
          <w:rPr>
            <w:rStyle w:val="Hyperlink"/>
            <w:rFonts w:ascii="Times New Roman" w:eastAsia="Calibri" w:hAnsi="Times New Roman" w:cs="Times New Roman"/>
            <w:sz w:val="24"/>
            <w:szCs w:val="24"/>
          </w:rPr>
          <w:t>Ë</w:t>
        </w:r>
        <w:r w:rsidR="00524A94" w:rsidRPr="00474377">
          <w:rPr>
            <w:rStyle w:val="Hyperlink"/>
            <w:rFonts w:ascii="Times New Roman" w:eastAsia="Calibri" w:hAnsi="Times New Roman" w:cs="Times New Roman"/>
            <w:sz w:val="24"/>
            <w:szCs w:val="24"/>
          </w:rPr>
          <w:t>D_assessment_analysis/1Country</w:t>
        </w:r>
      </w:hyperlink>
    </w:p>
    <w:p w:rsidR="00524A94" w:rsidRDefault="00524A94" w:rsidP="009C483D">
      <w:pPr>
        <w:spacing w:after="200" w:line="276" w:lineRule="auto"/>
        <w:contextualSpacing/>
        <w:jc w:val="both"/>
        <w:rPr>
          <w:rFonts w:ascii="Times New Roman" w:eastAsia="Calibri" w:hAnsi="Times New Roman" w:cs="Times New Roman"/>
          <w:sz w:val="24"/>
          <w:szCs w:val="24"/>
        </w:rPr>
      </w:pPr>
    </w:p>
    <w:p w:rsidR="005E4492" w:rsidRDefault="005E4492" w:rsidP="009C483D">
      <w:pPr>
        <w:spacing w:after="200" w:line="276" w:lineRule="auto"/>
        <w:contextualSpacing/>
        <w:jc w:val="both"/>
        <w:rPr>
          <w:rFonts w:ascii="Times New Roman" w:eastAsia="Calibri" w:hAnsi="Times New Roman" w:cs="Times New Roman"/>
          <w:sz w:val="24"/>
          <w:szCs w:val="24"/>
        </w:rPr>
      </w:pPr>
    </w:p>
    <w:p w:rsidR="005E4492" w:rsidRDefault="005E4492" w:rsidP="009C483D">
      <w:pPr>
        <w:spacing w:after="200" w:line="276" w:lineRule="auto"/>
        <w:contextualSpacing/>
        <w:jc w:val="both"/>
        <w:rPr>
          <w:rFonts w:ascii="Times New Roman" w:eastAsia="Calibri" w:hAnsi="Times New Roman" w:cs="Times New Roman"/>
          <w:sz w:val="24"/>
          <w:szCs w:val="24"/>
        </w:rPr>
      </w:pPr>
    </w:p>
    <w:p w:rsidR="009C483D" w:rsidRDefault="009C483D" w:rsidP="0005229A">
      <w:pPr>
        <w:spacing w:after="200" w:line="288" w:lineRule="auto"/>
        <w:rPr>
          <w:rFonts w:ascii="Times New Roman" w:eastAsiaTheme="minorEastAsia" w:hAnsi="Times New Roman" w:cs="Times New Roman"/>
          <w:sz w:val="24"/>
          <w:szCs w:val="24"/>
        </w:rPr>
      </w:pP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 xml:space="preserve">Tabela </w:t>
      </w:r>
      <w:r w:rsidR="001E2AD3">
        <w:rPr>
          <w:rFonts w:ascii="Times New Roman" w:eastAsiaTheme="minorEastAsia" w:hAnsi="Times New Roman" w:cs="Times New Roman"/>
          <w:sz w:val="24"/>
          <w:szCs w:val="24"/>
        </w:rPr>
        <w:t>3</w:t>
      </w:r>
      <w:r w:rsidR="00715C31">
        <w:rPr>
          <w:rFonts w:ascii="Times New Roman" w:eastAsiaTheme="minorEastAsia" w:hAnsi="Times New Roman" w:cs="Times New Roman"/>
          <w:sz w:val="24"/>
          <w:szCs w:val="24"/>
        </w:rPr>
        <w:t>8</w:t>
      </w:r>
      <w:r w:rsidRPr="0005229A">
        <w:rPr>
          <w:rFonts w:ascii="Times New Roman" w:eastAsiaTheme="minorEastAsia" w:hAnsi="Times New Roman" w:cs="Times New Roman"/>
          <w:sz w:val="24"/>
          <w:szCs w:val="24"/>
        </w:rPr>
        <w:t>. Vlerësimi i cilësisë së ujërave bregdetarë të larjes, kategorizimi për të gjitha stacionet (</w:t>
      </w:r>
      <w:r w:rsidR="002C4833">
        <w:rPr>
          <w:rFonts w:ascii="Times New Roman" w:eastAsiaTheme="minorEastAsia" w:hAnsi="Times New Roman" w:cs="Times New Roman"/>
          <w:sz w:val="24"/>
          <w:szCs w:val="24"/>
        </w:rPr>
        <w:t>Ë</w:t>
      </w:r>
      <w:r w:rsidRPr="0005229A">
        <w:rPr>
          <w:rFonts w:ascii="Times New Roman" w:eastAsiaTheme="minorEastAsia" w:hAnsi="Times New Roman" w:cs="Times New Roman"/>
          <w:sz w:val="24"/>
          <w:szCs w:val="24"/>
        </w:rPr>
        <w:t>HO/UNEP-BE)</w:t>
      </w:r>
      <w:r w:rsidR="001E2AD3">
        <w:rPr>
          <w:rFonts w:ascii="Times New Roman" w:eastAsiaTheme="minorEastAsia" w:hAnsi="Times New Roman" w:cs="Times New Roman"/>
          <w:sz w:val="24"/>
          <w:szCs w:val="24"/>
        </w:rPr>
        <w:t xml:space="preserve"> për vitin 2025.</w:t>
      </w:r>
    </w:p>
    <w:tbl>
      <w:tblPr>
        <w:tblW w:w="9445" w:type="dxa"/>
        <w:jc w:val="center"/>
        <w:tblLayout w:type="fixed"/>
        <w:tblLook w:val="04A0" w:firstRow="1" w:lastRow="0" w:firstColumn="1" w:lastColumn="0" w:noHBand="0" w:noVBand="1"/>
      </w:tblPr>
      <w:tblGrid>
        <w:gridCol w:w="450"/>
        <w:gridCol w:w="366"/>
        <w:gridCol w:w="340"/>
        <w:gridCol w:w="340"/>
        <w:gridCol w:w="458"/>
        <w:gridCol w:w="296"/>
        <w:gridCol w:w="236"/>
        <w:gridCol w:w="388"/>
        <w:gridCol w:w="340"/>
        <w:gridCol w:w="340"/>
        <w:gridCol w:w="359"/>
        <w:gridCol w:w="340"/>
        <w:gridCol w:w="340"/>
        <w:gridCol w:w="340"/>
        <w:gridCol w:w="340"/>
        <w:gridCol w:w="340"/>
        <w:gridCol w:w="340"/>
        <w:gridCol w:w="340"/>
        <w:gridCol w:w="340"/>
        <w:gridCol w:w="340"/>
        <w:gridCol w:w="340"/>
        <w:gridCol w:w="340"/>
        <w:gridCol w:w="340"/>
        <w:gridCol w:w="340"/>
        <w:gridCol w:w="340"/>
        <w:gridCol w:w="772"/>
      </w:tblGrid>
      <w:tr w:rsidR="0005229A" w:rsidRPr="0005229A" w:rsidTr="00527732">
        <w:trPr>
          <w:cantSplit/>
          <w:trHeight w:val="1124"/>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textDirection w:val="tbRl"/>
            <w:hideMark/>
          </w:tcPr>
          <w:p w:rsidR="0005229A" w:rsidRPr="0005229A" w:rsidRDefault="0005229A" w:rsidP="0005229A">
            <w:pPr>
              <w:spacing w:after="0" w:line="240" w:lineRule="auto"/>
              <w:rPr>
                <w:rFonts w:ascii="Times New Roman" w:eastAsiaTheme="minorEastAsia" w:hAnsi="Times New Roman" w:cs="Times New Roman"/>
                <w:b/>
                <w:bCs/>
                <w:sz w:val="24"/>
                <w:szCs w:val="24"/>
                <w:lang w:val="sq-AL"/>
              </w:rPr>
            </w:pPr>
            <w:r w:rsidRPr="0005229A">
              <w:rPr>
                <w:rFonts w:ascii="Times New Roman" w:eastAsiaTheme="minorEastAsia" w:hAnsi="Times New Roman" w:cs="Times New Roman"/>
                <w:b/>
                <w:bCs/>
                <w:sz w:val="24"/>
                <w:szCs w:val="24"/>
                <w:lang w:val="sq-AL"/>
              </w:rPr>
              <w:t>Kategorizimi</w:t>
            </w:r>
          </w:p>
        </w:tc>
        <w:tc>
          <w:tcPr>
            <w:tcW w:w="366"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Velipojë</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Shëngjin</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Tale</w:t>
            </w:r>
          </w:p>
        </w:tc>
        <w:tc>
          <w:tcPr>
            <w:tcW w:w="458"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Durrës</w:t>
            </w:r>
          </w:p>
        </w:tc>
        <w:tc>
          <w:tcPr>
            <w:tcW w:w="296"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Gjri I Lalzit</w:t>
            </w:r>
          </w:p>
        </w:tc>
        <w:tc>
          <w:tcPr>
            <w:tcW w:w="236"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Kavajë</w:t>
            </w:r>
          </w:p>
        </w:tc>
        <w:tc>
          <w:tcPr>
            <w:tcW w:w="388"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Qerret</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Spille</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Seman</w:t>
            </w:r>
          </w:p>
        </w:tc>
        <w:tc>
          <w:tcPr>
            <w:tcW w:w="359"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Divjakë</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Zvërnec</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Vlorë</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Orikum</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Palasë</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Drimadhe</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Dhërmi</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Jalë</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livadhe</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Himarë</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Qeparo</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Borsh</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Lukovë</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Sarandë</w:t>
            </w:r>
          </w:p>
        </w:tc>
        <w:tc>
          <w:tcPr>
            <w:tcW w:w="340"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Ksamil</w:t>
            </w:r>
          </w:p>
        </w:tc>
        <w:tc>
          <w:tcPr>
            <w:tcW w:w="772" w:type="dxa"/>
            <w:tcBorders>
              <w:top w:val="single" w:sz="4" w:space="0" w:color="auto"/>
              <w:left w:val="nil"/>
              <w:bottom w:val="single" w:sz="4" w:space="0" w:color="auto"/>
              <w:right w:val="single" w:sz="4" w:space="0" w:color="auto"/>
            </w:tcBorders>
            <w:shd w:val="clear" w:color="auto" w:fill="auto"/>
            <w:textDirection w:val="tbLrV"/>
            <w:hideMark/>
          </w:tcPr>
          <w:p w:rsidR="0005229A" w:rsidRPr="0005229A" w:rsidRDefault="0005229A" w:rsidP="0005229A">
            <w:pPr>
              <w:spacing w:after="0" w:line="240"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Pogradec</w:t>
            </w:r>
          </w:p>
        </w:tc>
      </w:tr>
      <w:tr w:rsidR="0005229A" w:rsidRPr="0005229A" w:rsidTr="00527732">
        <w:trPr>
          <w:trHeight w:val="302"/>
          <w:jc w:val="center"/>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05229A" w:rsidRPr="0005229A" w:rsidRDefault="0005229A" w:rsidP="0005229A">
            <w:pPr>
              <w:spacing w:after="0" w:line="240" w:lineRule="auto"/>
              <w:rPr>
                <w:rFonts w:ascii="Times New Roman" w:eastAsiaTheme="minorEastAsia" w:hAnsi="Times New Roman" w:cs="Times New Roman"/>
                <w:b/>
                <w:bCs/>
                <w:sz w:val="24"/>
                <w:szCs w:val="24"/>
              </w:rPr>
            </w:pPr>
            <w:r w:rsidRPr="0005229A">
              <w:rPr>
                <w:rFonts w:ascii="Times New Roman" w:eastAsiaTheme="minorEastAsia" w:hAnsi="Times New Roman" w:cs="Times New Roman"/>
                <w:b/>
                <w:bCs/>
                <w:sz w:val="24"/>
                <w:szCs w:val="24"/>
              </w:rPr>
              <w:t>A</w:t>
            </w:r>
          </w:p>
        </w:tc>
        <w:tc>
          <w:tcPr>
            <w:tcW w:w="366"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5</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1</w:t>
            </w:r>
          </w:p>
        </w:tc>
        <w:tc>
          <w:tcPr>
            <w:tcW w:w="458"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3</w:t>
            </w:r>
          </w:p>
        </w:tc>
        <w:tc>
          <w:tcPr>
            <w:tcW w:w="296"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1</w:t>
            </w:r>
          </w:p>
        </w:tc>
        <w:tc>
          <w:tcPr>
            <w:tcW w:w="236"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1</w:t>
            </w:r>
          </w:p>
        </w:tc>
        <w:tc>
          <w:tcPr>
            <w:tcW w:w="388"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3</w:t>
            </w:r>
          </w:p>
        </w:tc>
        <w:tc>
          <w:tcPr>
            <w:tcW w:w="359"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3</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2</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2</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3</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2</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3</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4</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2</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3</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3</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1</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772"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2</w:t>
            </w:r>
          </w:p>
        </w:tc>
      </w:tr>
      <w:tr w:rsidR="0005229A" w:rsidRPr="0005229A" w:rsidTr="00527732">
        <w:trPr>
          <w:trHeight w:val="302"/>
          <w:jc w:val="center"/>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05229A" w:rsidRPr="0005229A" w:rsidRDefault="0005229A" w:rsidP="0005229A">
            <w:pPr>
              <w:spacing w:after="0" w:line="240" w:lineRule="auto"/>
              <w:rPr>
                <w:rFonts w:ascii="Times New Roman" w:eastAsiaTheme="minorEastAsia" w:hAnsi="Times New Roman" w:cs="Times New Roman"/>
                <w:b/>
                <w:bCs/>
                <w:sz w:val="24"/>
                <w:szCs w:val="24"/>
              </w:rPr>
            </w:pPr>
            <w:r w:rsidRPr="0005229A">
              <w:rPr>
                <w:rFonts w:ascii="Times New Roman" w:eastAsiaTheme="minorEastAsia" w:hAnsi="Times New Roman" w:cs="Times New Roman"/>
                <w:b/>
                <w:bCs/>
                <w:sz w:val="24"/>
                <w:szCs w:val="24"/>
              </w:rPr>
              <w:t>B</w:t>
            </w:r>
          </w:p>
        </w:tc>
        <w:tc>
          <w:tcPr>
            <w:tcW w:w="366"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2</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3</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2</w:t>
            </w:r>
          </w:p>
        </w:tc>
        <w:tc>
          <w:tcPr>
            <w:tcW w:w="458"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8</w:t>
            </w:r>
          </w:p>
        </w:tc>
        <w:tc>
          <w:tcPr>
            <w:tcW w:w="296"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4</w:t>
            </w:r>
          </w:p>
        </w:tc>
        <w:tc>
          <w:tcPr>
            <w:tcW w:w="236"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3</w:t>
            </w:r>
          </w:p>
        </w:tc>
        <w:tc>
          <w:tcPr>
            <w:tcW w:w="388"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2</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2</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2</w:t>
            </w:r>
          </w:p>
        </w:tc>
        <w:tc>
          <w:tcPr>
            <w:tcW w:w="359"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3</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3</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3</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3</w:t>
            </w:r>
          </w:p>
        </w:tc>
        <w:tc>
          <w:tcPr>
            <w:tcW w:w="772"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1</w:t>
            </w:r>
          </w:p>
        </w:tc>
      </w:tr>
      <w:tr w:rsidR="0005229A" w:rsidRPr="0005229A" w:rsidTr="00527732">
        <w:trPr>
          <w:trHeight w:val="302"/>
          <w:jc w:val="center"/>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05229A" w:rsidRPr="0005229A" w:rsidRDefault="0005229A" w:rsidP="0005229A">
            <w:pPr>
              <w:spacing w:after="0" w:line="240" w:lineRule="auto"/>
              <w:rPr>
                <w:rFonts w:ascii="Times New Roman" w:eastAsiaTheme="minorEastAsia" w:hAnsi="Times New Roman" w:cs="Times New Roman"/>
                <w:b/>
                <w:bCs/>
                <w:sz w:val="24"/>
                <w:szCs w:val="24"/>
              </w:rPr>
            </w:pPr>
            <w:r w:rsidRPr="0005229A">
              <w:rPr>
                <w:rFonts w:ascii="Times New Roman" w:eastAsiaTheme="minorEastAsia" w:hAnsi="Times New Roman" w:cs="Times New Roman"/>
                <w:b/>
                <w:bCs/>
                <w:sz w:val="24"/>
                <w:szCs w:val="24"/>
              </w:rPr>
              <w:t>C</w:t>
            </w:r>
          </w:p>
        </w:tc>
        <w:tc>
          <w:tcPr>
            <w:tcW w:w="366"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2</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458"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4</w:t>
            </w:r>
          </w:p>
        </w:tc>
        <w:tc>
          <w:tcPr>
            <w:tcW w:w="296"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236"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1</w:t>
            </w:r>
          </w:p>
        </w:tc>
        <w:tc>
          <w:tcPr>
            <w:tcW w:w="388"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1</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2</w:t>
            </w:r>
          </w:p>
        </w:tc>
        <w:tc>
          <w:tcPr>
            <w:tcW w:w="359"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1</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2</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1</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1</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772"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1</w:t>
            </w:r>
          </w:p>
        </w:tc>
      </w:tr>
      <w:tr w:rsidR="0005229A" w:rsidRPr="0005229A" w:rsidTr="00527732">
        <w:trPr>
          <w:trHeight w:val="351"/>
          <w:jc w:val="center"/>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05229A" w:rsidRPr="0005229A" w:rsidRDefault="0005229A" w:rsidP="0005229A">
            <w:pPr>
              <w:spacing w:after="0" w:line="240" w:lineRule="auto"/>
              <w:rPr>
                <w:rFonts w:ascii="Times New Roman" w:eastAsiaTheme="minorEastAsia" w:hAnsi="Times New Roman" w:cs="Times New Roman"/>
                <w:b/>
                <w:bCs/>
                <w:sz w:val="24"/>
                <w:szCs w:val="24"/>
              </w:rPr>
            </w:pPr>
            <w:r w:rsidRPr="0005229A">
              <w:rPr>
                <w:rFonts w:ascii="Times New Roman" w:eastAsiaTheme="minorEastAsia" w:hAnsi="Times New Roman" w:cs="Times New Roman"/>
                <w:b/>
                <w:bCs/>
                <w:sz w:val="24"/>
                <w:szCs w:val="24"/>
              </w:rPr>
              <w:t>D</w:t>
            </w:r>
          </w:p>
        </w:tc>
        <w:tc>
          <w:tcPr>
            <w:tcW w:w="366"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458"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6</w:t>
            </w:r>
          </w:p>
        </w:tc>
        <w:tc>
          <w:tcPr>
            <w:tcW w:w="296"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236"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4</w:t>
            </w:r>
          </w:p>
        </w:tc>
        <w:tc>
          <w:tcPr>
            <w:tcW w:w="388"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1</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59"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2</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1</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3</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1</w:t>
            </w:r>
          </w:p>
        </w:tc>
        <w:tc>
          <w:tcPr>
            <w:tcW w:w="340"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0</w:t>
            </w:r>
          </w:p>
        </w:tc>
        <w:tc>
          <w:tcPr>
            <w:tcW w:w="772" w:type="dxa"/>
            <w:tcBorders>
              <w:top w:val="nil"/>
              <w:left w:val="nil"/>
              <w:bottom w:val="single" w:sz="4" w:space="0" w:color="auto"/>
              <w:right w:val="single" w:sz="4" w:space="0" w:color="auto"/>
            </w:tcBorders>
            <w:shd w:val="clear" w:color="000000" w:fill="FFFFFF"/>
            <w:noWrap/>
            <w:vAlign w:val="bottom"/>
            <w:hideMark/>
          </w:tcPr>
          <w:p w:rsidR="0005229A" w:rsidRPr="0005229A" w:rsidRDefault="0005229A" w:rsidP="0005229A">
            <w:pPr>
              <w:spacing w:after="0" w:line="240" w:lineRule="auto"/>
              <w:jc w:val="center"/>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4</w:t>
            </w:r>
          </w:p>
        </w:tc>
      </w:tr>
    </w:tbl>
    <w:p w:rsidR="0005229A" w:rsidRDefault="0005229A" w:rsidP="0005229A">
      <w:pPr>
        <w:spacing w:after="200" w:line="288" w:lineRule="auto"/>
        <w:rPr>
          <w:rFonts w:ascii="Times New Roman" w:eastAsiaTheme="minorEastAsia" w:hAnsi="Times New Roman" w:cs="Times New Roman"/>
          <w:sz w:val="24"/>
          <w:szCs w:val="24"/>
        </w:rPr>
      </w:pPr>
    </w:p>
    <w:p w:rsidR="009C483D" w:rsidRPr="0005229A" w:rsidRDefault="009C483D" w:rsidP="0005229A">
      <w:pPr>
        <w:spacing w:after="200" w:line="288" w:lineRule="auto"/>
        <w:rPr>
          <w:rFonts w:ascii="Times New Roman" w:eastAsiaTheme="minorEastAsia" w:hAnsi="Times New Roman" w:cs="Times New Roman"/>
          <w:sz w:val="24"/>
          <w:szCs w:val="24"/>
        </w:rPr>
      </w:pP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11648" behindDoc="0" locked="0" layoutInCell="1" allowOverlap="1" wp14:anchorId="25A0A7E4" wp14:editId="1F5596B8">
                <wp:simplePos x="0" y="0"/>
                <wp:positionH relativeFrom="margin">
                  <wp:posOffset>3181350</wp:posOffset>
                </wp:positionH>
                <wp:positionV relativeFrom="paragraph">
                  <wp:posOffset>18415</wp:posOffset>
                </wp:positionV>
                <wp:extent cx="3381375" cy="2800350"/>
                <wp:effectExtent l="19050" t="19050" r="28575" b="38100"/>
                <wp:wrapNone/>
                <wp:docPr id="5" name="Left Arrow 5"/>
                <wp:cNvGraphicFramePr/>
                <a:graphic xmlns:a="http://schemas.openxmlformats.org/drawingml/2006/main">
                  <a:graphicData uri="http://schemas.microsoft.com/office/word/2010/wordprocessingShape">
                    <wps:wsp>
                      <wps:cNvSpPr/>
                      <wps:spPr>
                        <a:xfrm>
                          <a:off x="0" y="0"/>
                          <a:ext cx="3381375" cy="2800350"/>
                        </a:xfrm>
                        <a:prstGeom prst="leftArrow">
                          <a:avLst/>
                        </a:prstGeom>
                        <a:solidFill>
                          <a:sysClr val="window" lastClr="FFFFFF"/>
                        </a:solidFill>
                        <a:ln w="12700" cap="flat" cmpd="sng" algn="ctr">
                          <a:solidFill>
                            <a:srgbClr val="70AD47"/>
                          </a:solidFill>
                          <a:prstDash val="solid"/>
                          <a:miter lim="800000"/>
                        </a:ln>
                        <a:effectLst/>
                      </wps:spPr>
                      <wps:txbx>
                        <w:txbxContent>
                          <w:p w:rsidR="0064059F" w:rsidRPr="006138E0" w:rsidRDefault="0064059F" w:rsidP="0005229A">
                            <w:pPr>
                              <w:rPr>
                                <w:rFonts w:ascii="Times New Roman" w:hAnsi="Times New Roman" w:cs="Times New Roman"/>
                                <w:sz w:val="24"/>
                                <w:szCs w:val="24"/>
                              </w:rPr>
                            </w:pPr>
                            <w:r w:rsidRPr="006138E0">
                              <w:rPr>
                                <w:rFonts w:ascii="Times New Roman" w:hAnsi="Times New Roman" w:cs="Times New Roman"/>
                                <w:sz w:val="24"/>
                                <w:szCs w:val="24"/>
                              </w:rPr>
                              <w:t>Nga rezultatet vlerësohet se, në vitin 2025 ka pasur një përmirësim të ujërave bregdetarë të larjes në krahasim me vitin 2024  me ulje prej 9.02 % të kategorisë D-Cilësi e keqe/Masa të menjëherëshme dhe rritje prej 21.26 % të kategorisë A-Cilësi e shkëlqyer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A0A7E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5" o:spid="_x0000_s1084" type="#_x0000_t66" style="position:absolute;margin-left:250.5pt;margin-top:1.45pt;width:266.25pt;height:220.5pt;z-index:25161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" adj="8944" fillcolor="window" strokecolor="#70ad47" strokeweight="1pt">
                <v:textbox>
                  <w:txbxContent>
                    <w:p w:rsidR="0064059F" w:rsidRPr="006138E0" w:rsidRDefault="0064059F" w:rsidP="0005229A">
                      <w:pPr>
                        <w:rPr>
                          <w:rFonts w:ascii="Times New Roman" w:hAnsi="Times New Roman" w:cs="Times New Roman"/>
                          <w:sz w:val="24"/>
                          <w:szCs w:val="24"/>
                        </w:rPr>
                      </w:pPr>
                      <w:r w:rsidRPr="006138E0">
                        <w:rPr>
                          <w:rFonts w:ascii="Times New Roman" w:hAnsi="Times New Roman" w:cs="Times New Roman"/>
                          <w:sz w:val="24"/>
                          <w:szCs w:val="24"/>
                        </w:rPr>
                        <w:t>Nga rezultatet vlerësohet se, në vitin 2025 ka pasur një përmirësim të ujërave bregdetarë të larjes në krahasim me vitin 2024  me ulje prej 9.02 % të kategorisë D-Cilësi e keqe/Masa të menjëherëshme dhe rritje prej 21.26 % të kategorisë A-Cilësi e shkëlqyer</w:t>
                      </w:r>
                    </w:p>
                  </w:txbxContent>
                </v:textbox>
                <w10:wrap anchorx="margin"/>
              </v:shape>
            </w:pict>
          </mc:Fallback>
        </mc:AlternateContent>
      </w:r>
      <w:r w:rsidRPr="0005229A">
        <w:rPr>
          <w:rFonts w:ascii="Times New Roman" w:eastAsiaTheme="minorEastAsia" w:hAnsi="Times New Roman" w:cs="Times New Roman"/>
          <w:noProof/>
          <w:sz w:val="24"/>
          <w:szCs w:val="24"/>
        </w:rPr>
        <w:drawing>
          <wp:inline distT="0" distB="0" distL="0" distR="0" wp14:anchorId="3183CFDC" wp14:editId="28C9FB8C">
            <wp:extent cx="3810000" cy="2905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810000" cy="2905125"/>
                    </a:xfrm>
                    <a:prstGeom prst="rect">
                      <a:avLst/>
                    </a:prstGeom>
                    <a:noFill/>
                  </pic:spPr>
                </pic:pic>
              </a:graphicData>
            </a:graphic>
          </wp:inline>
        </w:drawing>
      </w:r>
    </w:p>
    <w:p w:rsidR="009C483D" w:rsidRDefault="009C483D" w:rsidP="001E2AD3">
      <w:pPr>
        <w:spacing w:after="0" w:line="240" w:lineRule="auto"/>
        <w:jc w:val="both"/>
        <w:rPr>
          <w:rFonts w:ascii="Times New Roman" w:eastAsiaTheme="minorEastAsia" w:hAnsi="Times New Roman" w:cs="Times New Roman"/>
          <w:sz w:val="24"/>
          <w:szCs w:val="24"/>
        </w:rPr>
      </w:pPr>
    </w:p>
    <w:p w:rsidR="0005229A" w:rsidRDefault="0005229A" w:rsidP="001E2AD3">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Vlerësimi i cilësisë së ujërave bregdetare të larjes sipas kategorive, për periudhën 2018-2025 (e</w:t>
      </w:r>
      <w:r w:rsidR="001E2AD3">
        <w:rPr>
          <w:rFonts w:ascii="Times New Roman" w:eastAsiaTheme="minorEastAsia" w:hAnsi="Times New Roman" w:cs="Times New Roman"/>
          <w:sz w:val="24"/>
          <w:szCs w:val="24"/>
        </w:rPr>
        <w:t xml:space="preserve"> </w:t>
      </w:r>
      <w:r w:rsidRPr="0005229A">
        <w:rPr>
          <w:rFonts w:ascii="Times New Roman" w:eastAsiaTheme="minorEastAsia" w:hAnsi="Times New Roman" w:cs="Times New Roman"/>
          <w:sz w:val="24"/>
          <w:szCs w:val="24"/>
        </w:rPr>
        <w:t>shprehur në %)</w:t>
      </w:r>
      <w:r w:rsidR="001E2AD3">
        <w:rPr>
          <w:rFonts w:ascii="Times New Roman" w:eastAsiaTheme="minorEastAsia" w:hAnsi="Times New Roman" w:cs="Times New Roman"/>
          <w:sz w:val="24"/>
          <w:szCs w:val="24"/>
        </w:rPr>
        <w:t xml:space="preserve"> paraqitet në grafikun në vijim.</w:t>
      </w:r>
    </w:p>
    <w:p w:rsidR="001E2AD3" w:rsidRPr="0005229A" w:rsidRDefault="001E2AD3" w:rsidP="001E2AD3">
      <w:pPr>
        <w:spacing w:after="0" w:line="240" w:lineRule="auto"/>
        <w:jc w:val="both"/>
        <w:rPr>
          <w:rFonts w:ascii="Times New Roman" w:eastAsiaTheme="minorEastAsia" w:hAnsi="Times New Roman" w:cs="Times New Roman"/>
          <w:sz w:val="24"/>
          <w:szCs w:val="24"/>
        </w:rPr>
      </w:pP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noProof/>
          <w:sz w:val="20"/>
          <w:szCs w:val="20"/>
        </w:rPr>
        <w:drawing>
          <wp:inline distT="0" distB="0" distL="0" distR="0" wp14:anchorId="67C3EE6B" wp14:editId="629E606D">
            <wp:extent cx="6254750" cy="2581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254750" cy="2581275"/>
                    </a:xfrm>
                    <a:prstGeom prst="rect">
                      <a:avLst/>
                    </a:prstGeom>
                    <a:noFill/>
                  </pic:spPr>
                </pic:pic>
              </a:graphicData>
            </a:graphic>
          </wp:inline>
        </w:drawing>
      </w: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Referuar rezultateve të vitit 2025 ,numri i stacioneve të kategorisë:</w:t>
      </w: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 xml:space="preserve">1. A- Cilësi e shkëlqyer, për plazhet e monitoruara është më i ulur në krahasim me vitet 2018- 2022 dhe më i lartë se në vitet 2023 e 2024.  </w:t>
      </w: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 xml:space="preserve">2. B- Cilësisë së mirë , është më i lartë në krahasim me vitet 2018 - 2023 por më i ulët se në vitin 2024. </w:t>
      </w: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lastRenderedPageBreak/>
        <w:t xml:space="preserve">3.  C- Cilësisë së mjaftueshme,  është më i lartë në krahasim me vitet 2018-2024. </w:t>
      </w: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 xml:space="preserve">4.  D- Cilësisë e keqe, është më i lartë në krahasim me vitet 2018- 2022 dhe më i ulët se në vitin 2023 e 2024.  </w:t>
      </w:r>
    </w:p>
    <w:p w:rsidR="0005229A" w:rsidRPr="0005229A" w:rsidRDefault="0005229A" w:rsidP="0005229A">
      <w:pPr>
        <w:spacing w:after="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 xml:space="preserve">Tabela </w:t>
      </w:r>
      <w:r w:rsidR="00715C31">
        <w:rPr>
          <w:rFonts w:ascii="Times New Roman" w:eastAsiaTheme="minorEastAsia" w:hAnsi="Times New Roman" w:cs="Times New Roman"/>
          <w:sz w:val="24"/>
          <w:szCs w:val="24"/>
        </w:rPr>
        <w:t>39</w:t>
      </w:r>
      <w:r w:rsidRPr="0005229A">
        <w:rPr>
          <w:rFonts w:ascii="Times New Roman" w:eastAsiaTheme="minorEastAsia" w:hAnsi="Times New Roman" w:cs="Times New Roman"/>
          <w:sz w:val="24"/>
          <w:szCs w:val="24"/>
        </w:rPr>
        <w:t xml:space="preserve">. Vlerësimi i cilësisë së ujërave bregdetare të larjes sipas kategorive, për periudhën </w:t>
      </w:r>
    </w:p>
    <w:p w:rsidR="0005229A" w:rsidRPr="0005229A" w:rsidRDefault="004658E1" w:rsidP="001E2AD3">
      <w:pPr>
        <w:spacing w:after="0" w:line="288"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05229A" w:rsidRPr="0005229A">
        <w:rPr>
          <w:rFonts w:ascii="Times New Roman" w:eastAsiaTheme="minorEastAsia" w:hAnsi="Times New Roman" w:cs="Times New Roman"/>
          <w:sz w:val="24"/>
          <w:szCs w:val="24"/>
        </w:rPr>
        <w:t>2018-2025 (sipas numrit të stacioneve dhe e shprehur në %)</w:t>
      </w:r>
    </w:p>
    <w:tbl>
      <w:tblPr>
        <w:tblpPr w:leftFromText="180" w:rightFromText="180" w:vertAnchor="text" w:horzAnchor="margin" w:tblpXSpec="center" w:tblpY="14"/>
        <w:tblW w:w="10410" w:type="dxa"/>
        <w:tblLook w:val="04A0" w:firstRow="1" w:lastRow="0" w:firstColumn="1" w:lastColumn="0" w:noHBand="0" w:noVBand="1"/>
      </w:tblPr>
      <w:tblGrid>
        <w:gridCol w:w="1471"/>
        <w:gridCol w:w="499"/>
        <w:gridCol w:w="566"/>
        <w:gridCol w:w="516"/>
        <w:gridCol w:w="466"/>
        <w:gridCol w:w="616"/>
        <w:gridCol w:w="612"/>
        <w:gridCol w:w="627"/>
        <w:gridCol w:w="529"/>
        <w:gridCol w:w="539"/>
        <w:gridCol w:w="566"/>
        <w:gridCol w:w="627"/>
        <w:gridCol w:w="566"/>
        <w:gridCol w:w="459"/>
        <w:gridCol w:w="666"/>
        <w:gridCol w:w="713"/>
        <w:gridCol w:w="566"/>
      </w:tblGrid>
      <w:tr w:rsidR="0005229A" w:rsidRPr="0005229A" w:rsidTr="00DD196F">
        <w:trPr>
          <w:trHeight w:val="606"/>
        </w:trPr>
        <w:tc>
          <w:tcPr>
            <w:tcW w:w="1419"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b/>
                <w:bCs/>
                <w:sz w:val="20"/>
                <w:szCs w:val="20"/>
              </w:rPr>
            </w:pPr>
            <w:r w:rsidRPr="0005229A">
              <w:rPr>
                <w:rFonts w:ascii="Times New Roman" w:eastAsia="Times New Roman" w:hAnsi="Times New Roman" w:cs="Times New Roman"/>
                <w:b/>
                <w:bCs/>
                <w:sz w:val="20"/>
                <w:szCs w:val="20"/>
              </w:rPr>
              <w:t>Cilësia</w:t>
            </w:r>
          </w:p>
        </w:tc>
        <w:tc>
          <w:tcPr>
            <w:tcW w:w="1045" w:type="dxa"/>
            <w:gridSpan w:val="2"/>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b/>
                <w:bCs/>
                <w:sz w:val="20"/>
                <w:szCs w:val="20"/>
              </w:rPr>
            </w:pPr>
            <w:r w:rsidRPr="0005229A">
              <w:rPr>
                <w:rFonts w:ascii="Times New Roman" w:eastAsia="Times New Roman" w:hAnsi="Times New Roman" w:cs="Times New Roman"/>
                <w:b/>
                <w:bCs/>
                <w:sz w:val="20"/>
                <w:szCs w:val="20"/>
              </w:rPr>
              <w:t>2018</w:t>
            </w:r>
          </w:p>
        </w:tc>
        <w:tc>
          <w:tcPr>
            <w:tcW w:w="960" w:type="dxa"/>
            <w:gridSpan w:val="2"/>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b/>
                <w:bCs/>
                <w:sz w:val="20"/>
                <w:szCs w:val="20"/>
              </w:rPr>
            </w:pPr>
            <w:r w:rsidRPr="0005229A">
              <w:rPr>
                <w:rFonts w:ascii="Times New Roman" w:eastAsia="Times New Roman" w:hAnsi="Times New Roman" w:cs="Times New Roman"/>
                <w:b/>
                <w:bCs/>
                <w:sz w:val="20"/>
                <w:szCs w:val="20"/>
              </w:rPr>
              <w:t>2019</w:t>
            </w:r>
          </w:p>
        </w:tc>
        <w:tc>
          <w:tcPr>
            <w:tcW w:w="1228" w:type="dxa"/>
            <w:gridSpan w:val="2"/>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b/>
                <w:bCs/>
                <w:sz w:val="20"/>
                <w:szCs w:val="20"/>
              </w:rPr>
            </w:pPr>
            <w:r w:rsidRPr="0005229A">
              <w:rPr>
                <w:rFonts w:ascii="Times New Roman" w:eastAsia="Times New Roman" w:hAnsi="Times New Roman" w:cs="Times New Roman"/>
                <w:b/>
                <w:bCs/>
                <w:sz w:val="20"/>
                <w:szCs w:val="20"/>
              </w:rPr>
              <w:t>2020</w:t>
            </w:r>
          </w:p>
        </w:tc>
        <w:tc>
          <w:tcPr>
            <w:tcW w:w="1156" w:type="dxa"/>
            <w:gridSpan w:val="2"/>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b/>
                <w:bCs/>
                <w:sz w:val="20"/>
                <w:szCs w:val="20"/>
              </w:rPr>
            </w:pPr>
            <w:r w:rsidRPr="0005229A">
              <w:rPr>
                <w:rFonts w:ascii="Times New Roman" w:eastAsia="Times New Roman" w:hAnsi="Times New Roman" w:cs="Times New Roman"/>
                <w:b/>
                <w:bCs/>
                <w:sz w:val="20"/>
                <w:szCs w:val="20"/>
              </w:rPr>
              <w:t>2021</w:t>
            </w:r>
          </w:p>
        </w:tc>
        <w:tc>
          <w:tcPr>
            <w:tcW w:w="1085" w:type="dxa"/>
            <w:gridSpan w:val="2"/>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b/>
                <w:bCs/>
                <w:sz w:val="20"/>
                <w:szCs w:val="20"/>
              </w:rPr>
            </w:pPr>
            <w:r w:rsidRPr="0005229A">
              <w:rPr>
                <w:rFonts w:ascii="Times New Roman" w:eastAsia="Times New Roman" w:hAnsi="Times New Roman" w:cs="Times New Roman"/>
                <w:b/>
                <w:bCs/>
                <w:sz w:val="20"/>
                <w:szCs w:val="20"/>
              </w:rPr>
              <w:t>2022</w:t>
            </w:r>
          </w:p>
        </w:tc>
        <w:tc>
          <w:tcPr>
            <w:tcW w:w="1173" w:type="dxa"/>
            <w:gridSpan w:val="2"/>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b/>
                <w:bCs/>
                <w:sz w:val="20"/>
                <w:szCs w:val="20"/>
              </w:rPr>
            </w:pPr>
            <w:r w:rsidRPr="0005229A">
              <w:rPr>
                <w:rFonts w:ascii="Times New Roman" w:eastAsia="Times New Roman" w:hAnsi="Times New Roman" w:cs="Times New Roman"/>
                <w:b/>
                <w:bCs/>
                <w:sz w:val="20"/>
                <w:szCs w:val="20"/>
              </w:rPr>
              <w:t>2023</w:t>
            </w:r>
          </w:p>
        </w:tc>
        <w:tc>
          <w:tcPr>
            <w:tcW w:w="1085" w:type="dxa"/>
            <w:gridSpan w:val="2"/>
            <w:tcBorders>
              <w:top w:val="single" w:sz="4" w:space="0" w:color="auto"/>
              <w:left w:val="nil"/>
              <w:bottom w:val="single" w:sz="4" w:space="0" w:color="auto"/>
              <w:right w:val="single" w:sz="4" w:space="0" w:color="auto"/>
            </w:tcBorders>
            <w:shd w:val="clear" w:color="000000" w:fill="D9D9D9"/>
            <w:textDirection w:val="btLr"/>
            <w:vAlign w:val="bottom"/>
            <w:hideMark/>
          </w:tcPr>
          <w:p w:rsidR="0005229A" w:rsidRPr="0005229A" w:rsidRDefault="0005229A" w:rsidP="0005229A">
            <w:pPr>
              <w:spacing w:after="0" w:line="240" w:lineRule="auto"/>
              <w:jc w:val="center"/>
              <w:rPr>
                <w:rFonts w:ascii="Times New Roman" w:eastAsia="Times New Roman" w:hAnsi="Times New Roman" w:cs="Times New Roman"/>
                <w:b/>
                <w:bCs/>
                <w:sz w:val="20"/>
                <w:szCs w:val="20"/>
              </w:rPr>
            </w:pPr>
            <w:r w:rsidRPr="0005229A">
              <w:rPr>
                <w:rFonts w:ascii="Times New Roman" w:eastAsia="Times New Roman" w:hAnsi="Times New Roman" w:cs="Times New Roman"/>
                <w:b/>
                <w:bCs/>
                <w:sz w:val="20"/>
                <w:szCs w:val="20"/>
              </w:rPr>
              <w:t>2024</w:t>
            </w:r>
          </w:p>
        </w:tc>
        <w:tc>
          <w:tcPr>
            <w:tcW w:w="1259" w:type="dxa"/>
            <w:gridSpan w:val="2"/>
            <w:tcBorders>
              <w:top w:val="single" w:sz="4" w:space="0" w:color="auto"/>
              <w:left w:val="nil"/>
              <w:bottom w:val="single" w:sz="4" w:space="0" w:color="auto"/>
              <w:right w:val="single" w:sz="4" w:space="0" w:color="auto"/>
            </w:tcBorders>
            <w:shd w:val="clear" w:color="000000" w:fill="D9D9D9"/>
            <w:noWrap/>
            <w:textDirection w:val="btLr"/>
            <w:vAlign w:val="bottom"/>
            <w:hideMark/>
          </w:tcPr>
          <w:p w:rsidR="0005229A" w:rsidRPr="0005229A" w:rsidRDefault="0005229A" w:rsidP="0005229A">
            <w:pPr>
              <w:spacing w:after="0" w:line="240" w:lineRule="auto"/>
              <w:jc w:val="center"/>
              <w:rPr>
                <w:rFonts w:ascii="Times New Roman" w:eastAsia="Times New Roman" w:hAnsi="Times New Roman" w:cs="Times New Roman"/>
                <w:b/>
                <w:bCs/>
                <w:sz w:val="20"/>
                <w:szCs w:val="20"/>
              </w:rPr>
            </w:pPr>
            <w:r w:rsidRPr="0005229A">
              <w:rPr>
                <w:rFonts w:ascii="Times New Roman" w:eastAsia="Times New Roman" w:hAnsi="Times New Roman" w:cs="Times New Roman"/>
                <w:b/>
                <w:bCs/>
                <w:sz w:val="20"/>
                <w:szCs w:val="20"/>
              </w:rPr>
              <w:t>2025</w:t>
            </w:r>
          </w:p>
        </w:tc>
      </w:tr>
      <w:tr w:rsidR="0005229A" w:rsidRPr="0005229A" w:rsidTr="00DD196F">
        <w:trPr>
          <w:trHeight w:val="752"/>
        </w:trPr>
        <w:tc>
          <w:tcPr>
            <w:tcW w:w="1419" w:type="dxa"/>
            <w:tcBorders>
              <w:top w:val="nil"/>
              <w:left w:val="single" w:sz="4" w:space="0" w:color="auto"/>
              <w:bottom w:val="single" w:sz="4" w:space="0" w:color="auto"/>
              <w:right w:val="single" w:sz="4" w:space="0" w:color="auto"/>
            </w:tcBorders>
            <w:shd w:val="clear" w:color="000000" w:fill="D9D9D9"/>
            <w:noWrap/>
            <w:textDirection w:val="btLr"/>
            <w:vAlign w:val="bottom"/>
            <w:hideMark/>
          </w:tcPr>
          <w:p w:rsidR="0005229A" w:rsidRPr="0005229A" w:rsidRDefault="0005229A" w:rsidP="0005229A">
            <w:pPr>
              <w:spacing w:after="0" w:line="240" w:lineRule="auto"/>
              <w:rPr>
                <w:rFonts w:ascii="Times New Roman" w:eastAsia="Times New Roman" w:hAnsi="Times New Roman" w:cs="Times New Roman"/>
                <w:sz w:val="20"/>
                <w:szCs w:val="20"/>
              </w:rPr>
            </w:pPr>
            <w:r w:rsidRPr="0005229A">
              <w:rPr>
                <w:rFonts w:ascii="Times New Roman" w:eastAsia="Times New Roman" w:hAnsi="Times New Roman" w:cs="Times New Roman"/>
                <w:sz w:val="20"/>
                <w:szCs w:val="20"/>
              </w:rPr>
              <w:t> </w:t>
            </w:r>
          </w:p>
        </w:tc>
        <w:tc>
          <w:tcPr>
            <w:tcW w:w="499" w:type="dxa"/>
            <w:tcBorders>
              <w:top w:val="nil"/>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Stacione</w:t>
            </w:r>
          </w:p>
        </w:tc>
        <w:tc>
          <w:tcPr>
            <w:tcW w:w="546" w:type="dxa"/>
            <w:tcBorders>
              <w:top w:val="nil"/>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w:t>
            </w:r>
          </w:p>
        </w:tc>
        <w:tc>
          <w:tcPr>
            <w:tcW w:w="498" w:type="dxa"/>
            <w:tcBorders>
              <w:top w:val="nil"/>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Stacione</w:t>
            </w:r>
          </w:p>
        </w:tc>
        <w:tc>
          <w:tcPr>
            <w:tcW w:w="462" w:type="dxa"/>
            <w:tcBorders>
              <w:top w:val="nil"/>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w:t>
            </w:r>
          </w:p>
        </w:tc>
        <w:tc>
          <w:tcPr>
            <w:tcW w:w="616" w:type="dxa"/>
            <w:tcBorders>
              <w:top w:val="nil"/>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Stacione</w:t>
            </w:r>
          </w:p>
        </w:tc>
        <w:tc>
          <w:tcPr>
            <w:tcW w:w="611" w:type="dxa"/>
            <w:tcBorders>
              <w:top w:val="nil"/>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w:t>
            </w:r>
          </w:p>
        </w:tc>
        <w:tc>
          <w:tcPr>
            <w:tcW w:w="627" w:type="dxa"/>
            <w:tcBorders>
              <w:top w:val="nil"/>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Stacione</w:t>
            </w:r>
          </w:p>
        </w:tc>
        <w:tc>
          <w:tcPr>
            <w:tcW w:w="528" w:type="dxa"/>
            <w:tcBorders>
              <w:top w:val="nil"/>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w:t>
            </w:r>
          </w:p>
        </w:tc>
        <w:tc>
          <w:tcPr>
            <w:tcW w:w="539" w:type="dxa"/>
            <w:tcBorders>
              <w:top w:val="nil"/>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Stacione</w:t>
            </w:r>
          </w:p>
        </w:tc>
        <w:tc>
          <w:tcPr>
            <w:tcW w:w="546" w:type="dxa"/>
            <w:tcBorders>
              <w:top w:val="nil"/>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w:t>
            </w:r>
          </w:p>
        </w:tc>
        <w:tc>
          <w:tcPr>
            <w:tcW w:w="627" w:type="dxa"/>
            <w:tcBorders>
              <w:top w:val="nil"/>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Stacione</w:t>
            </w:r>
          </w:p>
        </w:tc>
        <w:tc>
          <w:tcPr>
            <w:tcW w:w="546" w:type="dxa"/>
            <w:tcBorders>
              <w:top w:val="nil"/>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w:t>
            </w:r>
          </w:p>
        </w:tc>
        <w:tc>
          <w:tcPr>
            <w:tcW w:w="443" w:type="dxa"/>
            <w:tcBorders>
              <w:top w:val="single" w:sz="4" w:space="0" w:color="auto"/>
              <w:left w:val="nil"/>
              <w:bottom w:val="single" w:sz="4" w:space="0" w:color="auto"/>
              <w:right w:val="single" w:sz="4" w:space="0" w:color="auto"/>
            </w:tcBorders>
            <w:shd w:val="clear" w:color="000000" w:fill="D9D9D9"/>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Stacione</w:t>
            </w:r>
          </w:p>
        </w:tc>
        <w:tc>
          <w:tcPr>
            <w:tcW w:w="642" w:type="dxa"/>
            <w:tcBorders>
              <w:top w:val="nil"/>
              <w:left w:val="nil"/>
              <w:bottom w:val="single" w:sz="4" w:space="0" w:color="auto"/>
              <w:right w:val="single" w:sz="4" w:space="0" w:color="auto"/>
            </w:tcBorders>
            <w:shd w:val="clear" w:color="000000" w:fill="D9D9D9"/>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w:t>
            </w:r>
          </w:p>
        </w:tc>
        <w:tc>
          <w:tcPr>
            <w:tcW w:w="713" w:type="dxa"/>
            <w:tcBorders>
              <w:top w:val="nil"/>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Stacione</w:t>
            </w:r>
          </w:p>
        </w:tc>
        <w:tc>
          <w:tcPr>
            <w:tcW w:w="546" w:type="dxa"/>
            <w:tcBorders>
              <w:top w:val="nil"/>
              <w:left w:val="nil"/>
              <w:bottom w:val="single" w:sz="4" w:space="0" w:color="auto"/>
              <w:right w:val="single" w:sz="4" w:space="0" w:color="auto"/>
            </w:tcBorders>
            <w:shd w:val="clear" w:color="000000" w:fill="D9D9D9"/>
            <w:noWrap/>
            <w:textDirection w:val="btLr"/>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w:t>
            </w:r>
          </w:p>
        </w:tc>
      </w:tr>
      <w:tr w:rsidR="0005229A" w:rsidRPr="0005229A" w:rsidTr="00DD196F">
        <w:trPr>
          <w:trHeight w:val="222"/>
        </w:trPr>
        <w:tc>
          <w:tcPr>
            <w:tcW w:w="1419" w:type="dxa"/>
            <w:tcBorders>
              <w:top w:val="nil"/>
              <w:left w:val="single" w:sz="4" w:space="0" w:color="auto"/>
              <w:bottom w:val="single" w:sz="4" w:space="0" w:color="auto"/>
              <w:right w:val="single" w:sz="4" w:space="0" w:color="auto"/>
            </w:tcBorders>
            <w:shd w:val="clear" w:color="000000" w:fill="D9D9D9"/>
            <w:vAlign w:val="center"/>
            <w:hideMark/>
          </w:tcPr>
          <w:p w:rsidR="0005229A" w:rsidRPr="0005229A" w:rsidRDefault="0005229A" w:rsidP="0005229A">
            <w:pPr>
              <w:spacing w:after="0" w:line="240" w:lineRule="auto"/>
              <w:rPr>
                <w:rFonts w:ascii="Times New Roman" w:eastAsia="Times New Roman" w:hAnsi="Times New Roman" w:cs="Times New Roman"/>
                <w:sz w:val="20"/>
                <w:szCs w:val="20"/>
              </w:rPr>
            </w:pPr>
            <w:r w:rsidRPr="0005229A">
              <w:rPr>
                <w:rFonts w:ascii="Times New Roman" w:eastAsia="Times New Roman" w:hAnsi="Times New Roman" w:cs="Times New Roman"/>
                <w:sz w:val="20"/>
                <w:szCs w:val="20"/>
              </w:rPr>
              <w:t>A-Cilësi e shkëlqyer</w:t>
            </w:r>
          </w:p>
          <w:p w:rsidR="0005229A" w:rsidRPr="0005229A" w:rsidRDefault="0005229A" w:rsidP="0005229A">
            <w:pPr>
              <w:spacing w:after="0" w:line="240" w:lineRule="auto"/>
              <w:rPr>
                <w:rFonts w:ascii="Times New Roman" w:eastAsia="Times New Roman" w:hAnsi="Times New Roman" w:cs="Times New Roman"/>
                <w:sz w:val="20"/>
                <w:szCs w:val="20"/>
              </w:rPr>
            </w:pPr>
          </w:p>
        </w:tc>
        <w:tc>
          <w:tcPr>
            <w:tcW w:w="499"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89</w:t>
            </w:r>
          </w:p>
        </w:tc>
        <w:tc>
          <w:tcPr>
            <w:tcW w:w="54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82.4</w:t>
            </w:r>
          </w:p>
        </w:tc>
        <w:tc>
          <w:tcPr>
            <w:tcW w:w="498"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106</w:t>
            </w:r>
          </w:p>
        </w:tc>
        <w:tc>
          <w:tcPr>
            <w:tcW w:w="462"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89</w:t>
            </w:r>
          </w:p>
        </w:tc>
        <w:tc>
          <w:tcPr>
            <w:tcW w:w="61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107</w:t>
            </w:r>
          </w:p>
        </w:tc>
        <w:tc>
          <w:tcPr>
            <w:tcW w:w="611"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89.9</w:t>
            </w:r>
          </w:p>
        </w:tc>
        <w:tc>
          <w:tcPr>
            <w:tcW w:w="627"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60</w:t>
            </w:r>
          </w:p>
        </w:tc>
        <w:tc>
          <w:tcPr>
            <w:tcW w:w="528"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51</w:t>
            </w:r>
          </w:p>
        </w:tc>
        <w:tc>
          <w:tcPr>
            <w:tcW w:w="539"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83</w:t>
            </w:r>
          </w:p>
        </w:tc>
        <w:tc>
          <w:tcPr>
            <w:tcW w:w="54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67.5</w:t>
            </w:r>
          </w:p>
        </w:tc>
        <w:tc>
          <w:tcPr>
            <w:tcW w:w="627"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34</w:t>
            </w:r>
          </w:p>
        </w:tc>
        <w:tc>
          <w:tcPr>
            <w:tcW w:w="54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27.8</w:t>
            </w:r>
          </w:p>
        </w:tc>
        <w:tc>
          <w:tcPr>
            <w:tcW w:w="443" w:type="dxa"/>
            <w:tcBorders>
              <w:top w:val="single" w:sz="4" w:space="0" w:color="auto"/>
              <w:left w:val="nil"/>
              <w:bottom w:val="single" w:sz="4" w:space="0" w:color="auto"/>
              <w:right w:val="single" w:sz="4" w:space="0" w:color="auto"/>
            </w:tcBorders>
            <w:shd w:val="clear" w:color="000000" w:fill="D9D9D9"/>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18</w:t>
            </w:r>
          </w:p>
        </w:tc>
        <w:tc>
          <w:tcPr>
            <w:tcW w:w="642" w:type="dxa"/>
            <w:tcBorders>
              <w:top w:val="nil"/>
              <w:left w:val="nil"/>
              <w:bottom w:val="single" w:sz="4" w:space="0" w:color="auto"/>
              <w:right w:val="single" w:sz="4" w:space="0" w:color="auto"/>
            </w:tcBorders>
            <w:shd w:val="clear" w:color="000000" w:fill="D9D9D9"/>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14.64</w:t>
            </w:r>
          </w:p>
        </w:tc>
        <w:tc>
          <w:tcPr>
            <w:tcW w:w="713"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sz w:val="20"/>
                <w:szCs w:val="20"/>
              </w:rPr>
              <w:t>44</w:t>
            </w:r>
          </w:p>
        </w:tc>
        <w:tc>
          <w:tcPr>
            <w:tcW w:w="54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sz w:val="20"/>
                <w:szCs w:val="20"/>
              </w:rPr>
              <w:t>35.9</w:t>
            </w:r>
          </w:p>
        </w:tc>
      </w:tr>
      <w:tr w:rsidR="0005229A" w:rsidRPr="0005229A" w:rsidTr="00DD196F">
        <w:trPr>
          <w:trHeight w:val="222"/>
        </w:trPr>
        <w:tc>
          <w:tcPr>
            <w:tcW w:w="1419" w:type="dxa"/>
            <w:tcBorders>
              <w:top w:val="nil"/>
              <w:left w:val="single" w:sz="4" w:space="0" w:color="auto"/>
              <w:bottom w:val="single" w:sz="4" w:space="0" w:color="auto"/>
              <w:right w:val="single" w:sz="4" w:space="0" w:color="auto"/>
            </w:tcBorders>
            <w:shd w:val="clear" w:color="000000" w:fill="D9D9D9"/>
            <w:vAlign w:val="center"/>
            <w:hideMark/>
          </w:tcPr>
          <w:p w:rsidR="0005229A" w:rsidRPr="0005229A" w:rsidRDefault="0005229A" w:rsidP="0005229A">
            <w:pPr>
              <w:spacing w:after="0" w:line="240" w:lineRule="auto"/>
              <w:rPr>
                <w:rFonts w:ascii="Times New Roman" w:eastAsia="Times New Roman" w:hAnsi="Times New Roman" w:cs="Times New Roman"/>
                <w:sz w:val="20"/>
                <w:szCs w:val="20"/>
              </w:rPr>
            </w:pPr>
            <w:r w:rsidRPr="0005229A">
              <w:rPr>
                <w:rFonts w:ascii="Times New Roman" w:eastAsia="Times New Roman" w:hAnsi="Times New Roman" w:cs="Times New Roman"/>
                <w:sz w:val="20"/>
                <w:szCs w:val="20"/>
              </w:rPr>
              <w:t>B-Cilësi e mire</w:t>
            </w:r>
          </w:p>
          <w:p w:rsidR="0005229A" w:rsidRPr="0005229A" w:rsidRDefault="0005229A" w:rsidP="0005229A">
            <w:pPr>
              <w:spacing w:after="0" w:line="240" w:lineRule="auto"/>
              <w:rPr>
                <w:rFonts w:ascii="Times New Roman" w:eastAsia="Times New Roman" w:hAnsi="Times New Roman" w:cs="Times New Roman"/>
                <w:sz w:val="20"/>
                <w:szCs w:val="20"/>
              </w:rPr>
            </w:pPr>
          </w:p>
        </w:tc>
        <w:tc>
          <w:tcPr>
            <w:tcW w:w="499"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14</w:t>
            </w:r>
          </w:p>
        </w:tc>
        <w:tc>
          <w:tcPr>
            <w:tcW w:w="54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13</w:t>
            </w:r>
          </w:p>
        </w:tc>
        <w:tc>
          <w:tcPr>
            <w:tcW w:w="498"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3</w:t>
            </w:r>
          </w:p>
        </w:tc>
        <w:tc>
          <w:tcPr>
            <w:tcW w:w="462"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2.5</w:t>
            </w:r>
          </w:p>
        </w:tc>
        <w:tc>
          <w:tcPr>
            <w:tcW w:w="61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6</w:t>
            </w:r>
          </w:p>
        </w:tc>
        <w:tc>
          <w:tcPr>
            <w:tcW w:w="611"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5</w:t>
            </w:r>
          </w:p>
        </w:tc>
        <w:tc>
          <w:tcPr>
            <w:tcW w:w="627"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38</w:t>
            </w:r>
          </w:p>
        </w:tc>
        <w:tc>
          <w:tcPr>
            <w:tcW w:w="528"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32</w:t>
            </w:r>
          </w:p>
        </w:tc>
        <w:tc>
          <w:tcPr>
            <w:tcW w:w="539"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24</w:t>
            </w:r>
          </w:p>
        </w:tc>
        <w:tc>
          <w:tcPr>
            <w:tcW w:w="54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19.5</w:t>
            </w:r>
          </w:p>
        </w:tc>
        <w:tc>
          <w:tcPr>
            <w:tcW w:w="627"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40</w:t>
            </w:r>
          </w:p>
        </w:tc>
        <w:tc>
          <w:tcPr>
            <w:tcW w:w="54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32.5</w:t>
            </w:r>
          </w:p>
        </w:tc>
        <w:tc>
          <w:tcPr>
            <w:tcW w:w="443" w:type="dxa"/>
            <w:tcBorders>
              <w:top w:val="single" w:sz="4" w:space="0" w:color="auto"/>
              <w:left w:val="nil"/>
              <w:bottom w:val="single" w:sz="4" w:space="0" w:color="auto"/>
              <w:right w:val="single" w:sz="4" w:space="0" w:color="auto"/>
            </w:tcBorders>
            <w:shd w:val="clear" w:color="000000" w:fill="D9D9D9"/>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57</w:t>
            </w:r>
          </w:p>
        </w:tc>
        <w:tc>
          <w:tcPr>
            <w:tcW w:w="642" w:type="dxa"/>
            <w:tcBorders>
              <w:top w:val="nil"/>
              <w:left w:val="nil"/>
              <w:bottom w:val="single" w:sz="4" w:space="0" w:color="auto"/>
              <w:right w:val="single" w:sz="4" w:space="0" w:color="auto"/>
            </w:tcBorders>
            <w:shd w:val="clear" w:color="000000" w:fill="D9D9D9"/>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46.35</w:t>
            </w:r>
          </w:p>
        </w:tc>
        <w:tc>
          <w:tcPr>
            <w:tcW w:w="713"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sz w:val="20"/>
                <w:szCs w:val="20"/>
              </w:rPr>
              <w:t>41</w:t>
            </w:r>
          </w:p>
        </w:tc>
        <w:tc>
          <w:tcPr>
            <w:tcW w:w="54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sz w:val="20"/>
                <w:szCs w:val="20"/>
              </w:rPr>
              <w:t>33.3</w:t>
            </w:r>
          </w:p>
        </w:tc>
      </w:tr>
      <w:tr w:rsidR="0005229A" w:rsidRPr="0005229A" w:rsidTr="00DD196F">
        <w:trPr>
          <w:trHeight w:val="222"/>
        </w:trPr>
        <w:tc>
          <w:tcPr>
            <w:tcW w:w="1419" w:type="dxa"/>
            <w:tcBorders>
              <w:top w:val="nil"/>
              <w:left w:val="single" w:sz="4" w:space="0" w:color="auto"/>
              <w:bottom w:val="single" w:sz="4" w:space="0" w:color="auto"/>
              <w:right w:val="single" w:sz="4" w:space="0" w:color="auto"/>
            </w:tcBorders>
            <w:shd w:val="clear" w:color="000000" w:fill="D9D9D9"/>
            <w:vAlign w:val="center"/>
            <w:hideMark/>
          </w:tcPr>
          <w:p w:rsidR="0005229A" w:rsidRPr="0005229A" w:rsidRDefault="0005229A" w:rsidP="0005229A">
            <w:pPr>
              <w:spacing w:after="0" w:line="240" w:lineRule="auto"/>
              <w:rPr>
                <w:rFonts w:ascii="Times New Roman" w:eastAsia="Times New Roman" w:hAnsi="Times New Roman" w:cs="Times New Roman"/>
                <w:sz w:val="20"/>
                <w:szCs w:val="20"/>
              </w:rPr>
            </w:pPr>
            <w:r w:rsidRPr="0005229A">
              <w:rPr>
                <w:rFonts w:ascii="Times New Roman" w:eastAsia="Times New Roman" w:hAnsi="Times New Roman" w:cs="Times New Roman"/>
                <w:sz w:val="20"/>
                <w:szCs w:val="20"/>
              </w:rPr>
              <w:t>C-Cilësi e mjaftueshme</w:t>
            </w:r>
          </w:p>
          <w:p w:rsidR="0005229A" w:rsidRPr="0005229A" w:rsidRDefault="0005229A" w:rsidP="0005229A">
            <w:pPr>
              <w:spacing w:after="0" w:line="240" w:lineRule="auto"/>
              <w:rPr>
                <w:rFonts w:ascii="Times New Roman" w:eastAsia="Times New Roman" w:hAnsi="Times New Roman" w:cs="Times New Roman"/>
                <w:sz w:val="20"/>
                <w:szCs w:val="20"/>
              </w:rPr>
            </w:pPr>
          </w:p>
        </w:tc>
        <w:tc>
          <w:tcPr>
            <w:tcW w:w="499"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1</w:t>
            </w:r>
          </w:p>
        </w:tc>
        <w:tc>
          <w:tcPr>
            <w:tcW w:w="54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0.9</w:t>
            </w:r>
          </w:p>
        </w:tc>
        <w:tc>
          <w:tcPr>
            <w:tcW w:w="498"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7</w:t>
            </w:r>
          </w:p>
        </w:tc>
        <w:tc>
          <w:tcPr>
            <w:tcW w:w="462"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6</w:t>
            </w:r>
          </w:p>
        </w:tc>
        <w:tc>
          <w:tcPr>
            <w:tcW w:w="61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1</w:t>
            </w:r>
          </w:p>
        </w:tc>
        <w:tc>
          <w:tcPr>
            <w:tcW w:w="611"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0.9</w:t>
            </w:r>
          </w:p>
        </w:tc>
        <w:tc>
          <w:tcPr>
            <w:tcW w:w="627"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10</w:t>
            </w:r>
          </w:p>
        </w:tc>
        <w:tc>
          <w:tcPr>
            <w:tcW w:w="528"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8</w:t>
            </w:r>
          </w:p>
        </w:tc>
        <w:tc>
          <w:tcPr>
            <w:tcW w:w="539"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5</w:t>
            </w:r>
          </w:p>
        </w:tc>
        <w:tc>
          <w:tcPr>
            <w:tcW w:w="54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4.1</w:t>
            </w:r>
          </w:p>
        </w:tc>
        <w:tc>
          <w:tcPr>
            <w:tcW w:w="627"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15</w:t>
            </w:r>
          </w:p>
        </w:tc>
        <w:tc>
          <w:tcPr>
            <w:tcW w:w="54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12.1</w:t>
            </w:r>
          </w:p>
        </w:tc>
        <w:tc>
          <w:tcPr>
            <w:tcW w:w="443" w:type="dxa"/>
            <w:tcBorders>
              <w:top w:val="single" w:sz="4" w:space="0" w:color="auto"/>
              <w:left w:val="nil"/>
              <w:bottom w:val="single" w:sz="4" w:space="0" w:color="auto"/>
              <w:right w:val="single" w:sz="4" w:space="0" w:color="auto"/>
            </w:tcBorders>
            <w:shd w:val="clear" w:color="000000" w:fill="D9D9D9"/>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15</w:t>
            </w:r>
          </w:p>
        </w:tc>
        <w:tc>
          <w:tcPr>
            <w:tcW w:w="642" w:type="dxa"/>
            <w:tcBorders>
              <w:top w:val="nil"/>
              <w:left w:val="nil"/>
              <w:bottom w:val="single" w:sz="4" w:space="0" w:color="auto"/>
              <w:right w:val="single" w:sz="4" w:space="0" w:color="auto"/>
            </w:tcBorders>
            <w:shd w:val="clear" w:color="000000" w:fill="D9D9D9"/>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12.19</w:t>
            </w:r>
          </w:p>
        </w:tc>
        <w:tc>
          <w:tcPr>
            <w:tcW w:w="713"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sz w:val="20"/>
                <w:szCs w:val="20"/>
              </w:rPr>
              <w:t>16</w:t>
            </w:r>
          </w:p>
        </w:tc>
        <w:tc>
          <w:tcPr>
            <w:tcW w:w="54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sz w:val="20"/>
                <w:szCs w:val="20"/>
              </w:rPr>
              <w:t>13</w:t>
            </w:r>
          </w:p>
        </w:tc>
      </w:tr>
      <w:tr w:rsidR="0005229A" w:rsidRPr="0005229A" w:rsidTr="00DD196F">
        <w:trPr>
          <w:trHeight w:val="447"/>
        </w:trPr>
        <w:tc>
          <w:tcPr>
            <w:tcW w:w="1419" w:type="dxa"/>
            <w:tcBorders>
              <w:top w:val="nil"/>
              <w:left w:val="single" w:sz="4" w:space="0" w:color="auto"/>
              <w:bottom w:val="single" w:sz="4" w:space="0" w:color="auto"/>
              <w:right w:val="single" w:sz="4" w:space="0" w:color="auto"/>
            </w:tcBorders>
            <w:shd w:val="clear" w:color="000000" w:fill="D9D9D9"/>
            <w:vAlign w:val="center"/>
            <w:hideMark/>
          </w:tcPr>
          <w:p w:rsidR="0005229A" w:rsidRPr="0005229A" w:rsidRDefault="0005229A" w:rsidP="0005229A">
            <w:pPr>
              <w:spacing w:after="0" w:line="240" w:lineRule="auto"/>
              <w:rPr>
                <w:rFonts w:ascii="Times New Roman" w:eastAsia="Times New Roman" w:hAnsi="Times New Roman" w:cs="Times New Roman"/>
                <w:sz w:val="20"/>
                <w:szCs w:val="20"/>
              </w:rPr>
            </w:pPr>
            <w:r w:rsidRPr="0005229A">
              <w:rPr>
                <w:rFonts w:ascii="Times New Roman" w:eastAsia="Times New Roman" w:hAnsi="Times New Roman" w:cs="Times New Roman"/>
                <w:sz w:val="20"/>
                <w:szCs w:val="20"/>
              </w:rPr>
              <w:t>D-Cilësi e keqe/Masa të menjëherëshme</w:t>
            </w:r>
          </w:p>
        </w:tc>
        <w:tc>
          <w:tcPr>
            <w:tcW w:w="499"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4</w:t>
            </w:r>
          </w:p>
        </w:tc>
        <w:tc>
          <w:tcPr>
            <w:tcW w:w="54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3.7</w:t>
            </w:r>
          </w:p>
        </w:tc>
        <w:tc>
          <w:tcPr>
            <w:tcW w:w="498"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3</w:t>
            </w:r>
          </w:p>
        </w:tc>
        <w:tc>
          <w:tcPr>
            <w:tcW w:w="462"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2.5</w:t>
            </w:r>
          </w:p>
        </w:tc>
        <w:tc>
          <w:tcPr>
            <w:tcW w:w="61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5</w:t>
            </w:r>
          </w:p>
        </w:tc>
        <w:tc>
          <w:tcPr>
            <w:tcW w:w="611"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4.2</w:t>
            </w:r>
          </w:p>
        </w:tc>
        <w:tc>
          <w:tcPr>
            <w:tcW w:w="627"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11</w:t>
            </w:r>
          </w:p>
        </w:tc>
        <w:tc>
          <w:tcPr>
            <w:tcW w:w="528"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9</w:t>
            </w:r>
          </w:p>
        </w:tc>
        <w:tc>
          <w:tcPr>
            <w:tcW w:w="539"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11</w:t>
            </w:r>
          </w:p>
        </w:tc>
        <w:tc>
          <w:tcPr>
            <w:tcW w:w="54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8.9</w:t>
            </w:r>
          </w:p>
        </w:tc>
        <w:tc>
          <w:tcPr>
            <w:tcW w:w="627"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34</w:t>
            </w:r>
          </w:p>
        </w:tc>
        <w:tc>
          <w:tcPr>
            <w:tcW w:w="54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27.6</w:t>
            </w:r>
          </w:p>
        </w:tc>
        <w:tc>
          <w:tcPr>
            <w:tcW w:w="443" w:type="dxa"/>
            <w:tcBorders>
              <w:top w:val="single" w:sz="4" w:space="0" w:color="auto"/>
              <w:left w:val="nil"/>
              <w:bottom w:val="single" w:sz="4" w:space="0" w:color="auto"/>
              <w:right w:val="single" w:sz="4" w:space="0" w:color="auto"/>
            </w:tcBorders>
            <w:shd w:val="clear" w:color="000000" w:fill="D9D9D9"/>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33</w:t>
            </w:r>
          </w:p>
        </w:tc>
        <w:tc>
          <w:tcPr>
            <w:tcW w:w="642" w:type="dxa"/>
            <w:tcBorders>
              <w:top w:val="nil"/>
              <w:left w:val="nil"/>
              <w:bottom w:val="single" w:sz="4" w:space="0" w:color="auto"/>
              <w:right w:val="single" w:sz="4" w:space="0" w:color="auto"/>
            </w:tcBorders>
            <w:shd w:val="clear" w:color="000000" w:fill="D9D9D9"/>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color w:val="000000"/>
                <w:sz w:val="20"/>
                <w:szCs w:val="20"/>
              </w:rPr>
              <w:t>26.82</w:t>
            </w:r>
          </w:p>
        </w:tc>
        <w:tc>
          <w:tcPr>
            <w:tcW w:w="713"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sz w:val="20"/>
                <w:szCs w:val="20"/>
              </w:rPr>
              <w:t>22</w:t>
            </w:r>
          </w:p>
        </w:tc>
        <w:tc>
          <w:tcPr>
            <w:tcW w:w="546" w:type="dxa"/>
            <w:tcBorders>
              <w:top w:val="nil"/>
              <w:left w:val="nil"/>
              <w:bottom w:val="single" w:sz="4" w:space="0" w:color="auto"/>
              <w:right w:val="single" w:sz="4" w:space="0" w:color="auto"/>
            </w:tcBorders>
            <w:shd w:val="clear" w:color="000000" w:fill="D9D9D9"/>
            <w:noWrap/>
            <w:vAlign w:val="center"/>
            <w:hideMark/>
          </w:tcPr>
          <w:p w:rsidR="0005229A" w:rsidRPr="0005229A" w:rsidRDefault="0005229A" w:rsidP="0005229A">
            <w:pPr>
              <w:spacing w:after="0" w:line="240" w:lineRule="auto"/>
              <w:jc w:val="center"/>
              <w:rPr>
                <w:rFonts w:ascii="Times New Roman" w:eastAsia="Times New Roman" w:hAnsi="Times New Roman" w:cs="Times New Roman"/>
                <w:sz w:val="20"/>
                <w:szCs w:val="20"/>
              </w:rPr>
            </w:pPr>
            <w:r w:rsidRPr="0005229A">
              <w:rPr>
                <w:rFonts w:ascii="Times New Roman" w:eastAsia="Times New Roman" w:hAnsi="Times New Roman" w:cs="Times New Roman"/>
                <w:sz w:val="20"/>
                <w:szCs w:val="20"/>
              </w:rPr>
              <w:t>17.8</w:t>
            </w:r>
          </w:p>
        </w:tc>
      </w:tr>
    </w:tbl>
    <w:p w:rsidR="004658E1" w:rsidRDefault="004658E1" w:rsidP="001E2AD3">
      <w:pPr>
        <w:spacing w:after="200" w:line="288" w:lineRule="auto"/>
        <w:jc w:val="both"/>
        <w:rPr>
          <w:rFonts w:ascii="Times New Roman" w:eastAsiaTheme="minorEastAsia" w:hAnsi="Times New Roman" w:cs="Times New Roman"/>
          <w:b/>
          <w:sz w:val="24"/>
          <w:szCs w:val="24"/>
        </w:rPr>
      </w:pPr>
    </w:p>
    <w:p w:rsidR="0005229A" w:rsidRPr="003C64EC" w:rsidRDefault="0005229A" w:rsidP="00807975">
      <w:pPr>
        <w:pStyle w:val="ListParagraph"/>
        <w:numPr>
          <w:ilvl w:val="0"/>
          <w:numId w:val="161"/>
        </w:numPr>
        <w:spacing w:after="200" w:line="288" w:lineRule="auto"/>
        <w:jc w:val="both"/>
        <w:rPr>
          <w:rFonts w:ascii="Times New Roman" w:eastAsiaTheme="minorEastAsia" w:hAnsi="Times New Roman" w:cs="Times New Roman"/>
          <w:b/>
          <w:sz w:val="24"/>
          <w:szCs w:val="24"/>
        </w:rPr>
      </w:pPr>
      <w:r w:rsidRPr="003C64EC">
        <w:rPr>
          <w:rFonts w:ascii="Times New Roman" w:eastAsiaTheme="minorEastAsia" w:hAnsi="Times New Roman" w:cs="Times New Roman"/>
          <w:b/>
          <w:sz w:val="24"/>
          <w:szCs w:val="24"/>
        </w:rPr>
        <w:t>Plazhet Velipojë, Shëngjin dhe Tale</w:t>
      </w:r>
    </w:p>
    <w:p w:rsidR="004658E1" w:rsidRDefault="0005229A" w:rsidP="004658E1">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 xml:space="preserve">PLAZHI I VELIPOJËS: Në plazhin e Velipojës ka pasur frekuentim me numër të lartë të pushuesve veçanërisht në muajt Korrik e Gusht. Gjatë serive të para u konstatua se nuk kishte shumë </w:t>
      </w:r>
      <w:r w:rsidR="004658E1">
        <w:rPr>
          <w:rFonts w:ascii="Times New Roman" w:eastAsiaTheme="minorEastAsia" w:hAnsi="Times New Roman" w:cs="Times New Roman"/>
          <w:sz w:val="24"/>
          <w:szCs w:val="24"/>
        </w:rPr>
        <w:t>pushues</w:t>
      </w:r>
      <w:r w:rsidRPr="0005229A">
        <w:rPr>
          <w:rFonts w:ascii="Times New Roman" w:eastAsiaTheme="minorEastAsia" w:hAnsi="Times New Roman" w:cs="Times New Roman"/>
          <w:sz w:val="24"/>
          <w:szCs w:val="24"/>
        </w:rPr>
        <w:t>. Gjatë ekspertizës u konstatua se plazhi i Velipojës në përgjithësi ishte i rregullt, me bregun ranor të sistemuar e të pluguar, me kulla vrojtimi e kosha të mbeturinave prezente, me dushe e dhoma të ndërrimit të veshjeve,</w:t>
      </w:r>
      <w:r w:rsidR="004658E1">
        <w:rPr>
          <w:rFonts w:ascii="Times New Roman" w:eastAsiaTheme="minorEastAsia" w:hAnsi="Times New Roman" w:cs="Times New Roman"/>
          <w:sz w:val="24"/>
          <w:szCs w:val="24"/>
        </w:rPr>
        <w:t xml:space="preserve"> dhe </w:t>
      </w:r>
      <w:r w:rsidRPr="0005229A">
        <w:rPr>
          <w:rFonts w:ascii="Times New Roman" w:eastAsiaTheme="minorEastAsia" w:hAnsi="Times New Roman" w:cs="Times New Roman"/>
          <w:sz w:val="24"/>
          <w:szCs w:val="24"/>
        </w:rPr>
        <w:t xml:space="preserve">me prezencë të tabelave ku janë të afishuara rregullat për zbatim, U vu re se këtë sezon ka pasur shtim të hapësirave të dedikuara për plazhe publike dhe prezencë të </w:t>
      </w:r>
      <w:r w:rsidR="004658E1">
        <w:rPr>
          <w:rFonts w:ascii="Times New Roman" w:eastAsiaTheme="minorEastAsia" w:hAnsi="Times New Roman" w:cs="Times New Roman"/>
          <w:sz w:val="24"/>
          <w:szCs w:val="24"/>
        </w:rPr>
        <w:t>tualeteve</w:t>
      </w:r>
      <w:r w:rsidRPr="0005229A">
        <w:rPr>
          <w:rFonts w:ascii="Times New Roman" w:eastAsiaTheme="minorEastAsia" w:hAnsi="Times New Roman" w:cs="Times New Roman"/>
          <w:sz w:val="24"/>
          <w:szCs w:val="24"/>
        </w:rPr>
        <w:t xml:space="preserve"> publike në brezin ranor. Aktivitetet private kryejnë </w:t>
      </w:r>
      <w:r w:rsidR="004658E1">
        <w:rPr>
          <w:rFonts w:ascii="Times New Roman" w:eastAsiaTheme="minorEastAsia" w:hAnsi="Times New Roman" w:cs="Times New Roman"/>
          <w:sz w:val="24"/>
          <w:szCs w:val="24"/>
        </w:rPr>
        <w:t>veprimtarinë</w:t>
      </w:r>
      <w:r w:rsidRPr="0005229A">
        <w:rPr>
          <w:rFonts w:ascii="Times New Roman" w:eastAsiaTheme="minorEastAsia" w:hAnsi="Times New Roman" w:cs="Times New Roman"/>
          <w:sz w:val="24"/>
          <w:szCs w:val="24"/>
        </w:rPr>
        <w:t xml:space="preserve"> e tyre me plazhe t</w:t>
      </w:r>
      <w:r w:rsidR="004658E1">
        <w:rPr>
          <w:rFonts w:ascii="Times New Roman" w:eastAsiaTheme="minorEastAsia" w:hAnsi="Times New Roman" w:cs="Times New Roman"/>
          <w:sz w:val="24"/>
          <w:szCs w:val="24"/>
        </w:rPr>
        <w:t>ë organizuara e të sistemuara.</w:t>
      </w:r>
    </w:p>
    <w:p w:rsidR="0005229A" w:rsidRPr="0005229A" w:rsidRDefault="0005229A" w:rsidP="004658E1">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 xml:space="preserve"> </w:t>
      </w:r>
    </w:p>
    <w:p w:rsidR="0005229A" w:rsidRPr="0005229A" w:rsidRDefault="0005229A" w:rsidP="0005229A">
      <w:pPr>
        <w:spacing w:after="200" w:line="288" w:lineRule="auto"/>
        <w:rPr>
          <w:rFonts w:ascii="Times New Roman" w:eastAsiaTheme="minorEastAsia" w:hAnsi="Times New Roman" w:cs="Times New Roman"/>
          <w:b/>
          <w:sz w:val="24"/>
          <w:szCs w:val="24"/>
        </w:rPr>
      </w:pPr>
      <w:r w:rsidRPr="0005229A">
        <w:rPr>
          <w:rFonts w:ascii="Times New Roman" w:eastAsiaTheme="minorEastAsia" w:hAnsi="Times New Roman" w:cs="Times New Roman"/>
          <w:sz w:val="24"/>
          <w:szCs w:val="24"/>
        </w:rPr>
        <w:t xml:space="preserve">                  ● </w:t>
      </w:r>
      <w:r w:rsidRPr="0005229A">
        <w:rPr>
          <w:rFonts w:ascii="Times New Roman" w:eastAsiaTheme="minorEastAsia" w:hAnsi="Times New Roman" w:cs="Times New Roman"/>
          <w:b/>
          <w:sz w:val="24"/>
          <w:szCs w:val="24"/>
        </w:rPr>
        <w:t>Plazhi i Velipojës</w:t>
      </w:r>
    </w:p>
    <w:tbl>
      <w:tblPr>
        <w:tblW w:w="0" w:type="auto"/>
        <w:tblInd w:w="48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1026"/>
        <w:gridCol w:w="2242"/>
        <w:gridCol w:w="1163"/>
        <w:gridCol w:w="1090"/>
        <w:gridCol w:w="945"/>
        <w:gridCol w:w="1600"/>
      </w:tblGrid>
      <w:tr w:rsidR="0005229A" w:rsidRPr="0005229A" w:rsidTr="00DD196F">
        <w:trPr>
          <w:trHeight w:val="627"/>
        </w:trPr>
        <w:tc>
          <w:tcPr>
            <w:tcW w:w="1026" w:type="dxa"/>
            <w:tcBorders>
              <w:top w:val="single" w:sz="4" w:space="0" w:color="auto"/>
              <w:bottom w:val="single" w:sz="4" w:space="0" w:color="auto"/>
              <w:right w:val="single" w:sz="4" w:space="0" w:color="auto"/>
            </w:tcBorders>
            <w:shd w:val="clear" w:color="auto" w:fill="DEEAF6"/>
          </w:tcPr>
          <w:p w:rsidR="0005229A" w:rsidRPr="0005229A" w:rsidRDefault="0005229A" w:rsidP="0005229A">
            <w:pPr>
              <w:widowControl w:val="0"/>
              <w:autoSpaceDE w:val="0"/>
              <w:autoSpaceDN w:val="0"/>
              <w:spacing w:before="120" w:after="0" w:line="244" w:lineRule="auto"/>
              <w:ind w:left="86"/>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Nr.</w:t>
            </w:r>
            <w:r w:rsidRPr="0005229A">
              <w:rPr>
                <w:rFonts w:ascii="Times New Roman" w:eastAsia="Times New Roman" w:hAnsi="Times New Roman" w:cs="Times New Roman"/>
                <w:spacing w:val="1"/>
                <w:sz w:val="20"/>
                <w:szCs w:val="20"/>
                <w:lang w:val="sq-AL"/>
              </w:rPr>
              <w:t xml:space="preserve"> </w:t>
            </w:r>
            <w:r w:rsidRPr="0005229A">
              <w:rPr>
                <w:rFonts w:ascii="Times New Roman" w:eastAsia="Times New Roman" w:hAnsi="Times New Roman" w:cs="Times New Roman"/>
                <w:sz w:val="20"/>
                <w:szCs w:val="20"/>
                <w:lang w:val="sq-AL"/>
              </w:rPr>
              <w:t>Stacioneve</w:t>
            </w:r>
          </w:p>
        </w:tc>
        <w:tc>
          <w:tcPr>
            <w:tcW w:w="2242" w:type="dxa"/>
            <w:tcBorders>
              <w:top w:val="single" w:sz="4" w:space="0" w:color="auto"/>
              <w:left w:val="single" w:sz="4" w:space="0" w:color="auto"/>
              <w:bottom w:val="single" w:sz="4" w:space="0" w:color="auto"/>
              <w:right w:val="single" w:sz="4" w:space="0" w:color="auto"/>
            </w:tcBorders>
            <w:shd w:val="clear" w:color="auto" w:fill="DEEAF6"/>
          </w:tcPr>
          <w:p w:rsidR="0005229A" w:rsidRPr="0005229A" w:rsidRDefault="0005229A" w:rsidP="0005229A">
            <w:pPr>
              <w:widowControl w:val="0"/>
              <w:autoSpaceDE w:val="0"/>
              <w:autoSpaceDN w:val="0"/>
              <w:spacing w:before="120" w:after="0" w:line="240" w:lineRule="auto"/>
              <w:ind w:left="74"/>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Vendi</w:t>
            </w:r>
          </w:p>
        </w:tc>
        <w:tc>
          <w:tcPr>
            <w:tcW w:w="1163" w:type="dxa"/>
            <w:tcBorders>
              <w:top w:val="single" w:sz="4" w:space="0" w:color="auto"/>
              <w:left w:val="single" w:sz="4" w:space="0" w:color="auto"/>
              <w:bottom w:val="single" w:sz="4" w:space="0" w:color="auto"/>
              <w:right w:val="single" w:sz="4" w:space="0" w:color="auto"/>
            </w:tcBorders>
            <w:shd w:val="clear" w:color="auto" w:fill="DEEAF6"/>
          </w:tcPr>
          <w:p w:rsidR="0005229A" w:rsidRPr="0005229A" w:rsidRDefault="0005229A" w:rsidP="0005229A">
            <w:pPr>
              <w:widowControl w:val="0"/>
              <w:autoSpaceDE w:val="0"/>
              <w:autoSpaceDN w:val="0"/>
              <w:spacing w:after="0" w:line="210"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FC</w:t>
            </w:r>
            <w:r w:rsidRPr="0005229A">
              <w:rPr>
                <w:rFonts w:ascii="Times New Roman" w:eastAsia="Times New Roman" w:hAnsi="Times New Roman" w:cs="Times New Roman"/>
                <w:spacing w:val="4"/>
                <w:sz w:val="20"/>
                <w:szCs w:val="20"/>
                <w:lang w:val="sq-AL"/>
              </w:rPr>
              <w:t xml:space="preserve"> </w:t>
            </w:r>
            <w:r w:rsidRPr="0005229A">
              <w:rPr>
                <w:rFonts w:ascii="Times New Roman" w:eastAsia="Times New Roman" w:hAnsi="Times New Roman" w:cs="Times New Roman"/>
                <w:sz w:val="20"/>
                <w:szCs w:val="20"/>
                <w:lang w:val="sq-AL"/>
              </w:rPr>
              <w:t>90%</w:t>
            </w:r>
            <w:r w:rsidRPr="0005229A">
              <w:rPr>
                <w:rFonts w:ascii="Times New Roman" w:eastAsia="Times New Roman" w:hAnsi="Times New Roman" w:cs="Times New Roman"/>
                <w:spacing w:val="5"/>
                <w:sz w:val="20"/>
                <w:szCs w:val="20"/>
                <w:lang w:val="sq-AL"/>
              </w:rPr>
              <w:t xml:space="preserve"> </w:t>
            </w:r>
            <w:r w:rsidRPr="0005229A">
              <w:rPr>
                <w:rFonts w:ascii="Times New Roman" w:eastAsia="Times New Roman" w:hAnsi="Times New Roman" w:cs="Times New Roman"/>
                <w:sz w:val="20"/>
                <w:szCs w:val="20"/>
                <w:lang w:val="sq-AL"/>
              </w:rPr>
              <w:t>-</w:t>
            </w:r>
          </w:p>
          <w:p w:rsidR="0005229A" w:rsidRPr="0005229A" w:rsidRDefault="0005229A" w:rsidP="0005229A">
            <w:pPr>
              <w:widowControl w:val="0"/>
              <w:autoSpaceDE w:val="0"/>
              <w:autoSpaceDN w:val="0"/>
              <w:spacing w:before="5" w:after="0" w:line="240" w:lineRule="auto"/>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Norma</w:t>
            </w:r>
            <w:r w:rsidRPr="0005229A">
              <w:rPr>
                <w:rFonts w:ascii="Times New Roman" w:eastAsia="Times New Roman" w:hAnsi="Times New Roman" w:cs="Times New Roman"/>
                <w:spacing w:val="8"/>
                <w:sz w:val="20"/>
                <w:szCs w:val="20"/>
                <w:lang w:val="sq-AL"/>
              </w:rPr>
              <w:t xml:space="preserve"> </w:t>
            </w:r>
            <w:r w:rsidRPr="0005229A">
              <w:rPr>
                <w:rFonts w:ascii="Times New Roman" w:eastAsia="Times New Roman" w:hAnsi="Times New Roman" w:cs="Times New Roman"/>
                <w:sz w:val="20"/>
                <w:szCs w:val="20"/>
                <w:lang w:val="sq-AL"/>
              </w:rPr>
              <w:t>250</w:t>
            </w:r>
          </w:p>
        </w:tc>
        <w:tc>
          <w:tcPr>
            <w:tcW w:w="1090" w:type="dxa"/>
            <w:tcBorders>
              <w:top w:val="single" w:sz="4" w:space="0" w:color="auto"/>
              <w:left w:val="single" w:sz="4" w:space="0" w:color="auto"/>
              <w:bottom w:val="single" w:sz="4" w:space="0" w:color="auto"/>
              <w:right w:val="single" w:sz="4" w:space="0" w:color="auto"/>
            </w:tcBorders>
            <w:shd w:val="clear" w:color="auto" w:fill="DEEAF6"/>
          </w:tcPr>
          <w:p w:rsidR="0005229A" w:rsidRPr="0005229A" w:rsidRDefault="0005229A" w:rsidP="0005229A">
            <w:pPr>
              <w:widowControl w:val="0"/>
              <w:autoSpaceDE w:val="0"/>
              <w:autoSpaceDN w:val="0"/>
              <w:spacing w:after="0" w:line="210"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IE</w:t>
            </w:r>
            <w:r w:rsidRPr="0005229A">
              <w:rPr>
                <w:rFonts w:ascii="Times New Roman" w:eastAsia="Times New Roman" w:hAnsi="Times New Roman" w:cs="Times New Roman"/>
                <w:spacing w:val="3"/>
                <w:sz w:val="20"/>
                <w:szCs w:val="20"/>
                <w:lang w:val="sq-AL"/>
              </w:rPr>
              <w:t xml:space="preserve"> </w:t>
            </w:r>
            <w:r w:rsidRPr="0005229A">
              <w:rPr>
                <w:rFonts w:ascii="Times New Roman" w:eastAsia="Times New Roman" w:hAnsi="Times New Roman" w:cs="Times New Roman"/>
                <w:sz w:val="20"/>
                <w:szCs w:val="20"/>
                <w:lang w:val="sq-AL"/>
              </w:rPr>
              <w:t>95%</w:t>
            </w:r>
            <w:r w:rsidRPr="0005229A">
              <w:rPr>
                <w:rFonts w:ascii="Times New Roman" w:eastAsia="Times New Roman" w:hAnsi="Times New Roman" w:cs="Times New Roman"/>
                <w:spacing w:val="5"/>
                <w:sz w:val="20"/>
                <w:szCs w:val="20"/>
                <w:lang w:val="sq-AL"/>
              </w:rPr>
              <w:t xml:space="preserve"> </w:t>
            </w:r>
            <w:r w:rsidRPr="0005229A">
              <w:rPr>
                <w:rFonts w:ascii="Times New Roman" w:eastAsia="Times New Roman" w:hAnsi="Times New Roman" w:cs="Times New Roman"/>
                <w:sz w:val="20"/>
                <w:szCs w:val="20"/>
                <w:lang w:val="sq-AL"/>
              </w:rPr>
              <w:t>-</w:t>
            </w:r>
          </w:p>
          <w:p w:rsidR="0005229A" w:rsidRPr="0005229A" w:rsidRDefault="0005229A" w:rsidP="0005229A">
            <w:pPr>
              <w:widowControl w:val="0"/>
              <w:autoSpaceDE w:val="0"/>
              <w:autoSpaceDN w:val="0"/>
              <w:spacing w:before="5" w:after="0" w:line="240" w:lineRule="auto"/>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Norma</w:t>
            </w:r>
            <w:r w:rsidRPr="0005229A">
              <w:rPr>
                <w:rFonts w:ascii="Times New Roman" w:eastAsia="Times New Roman" w:hAnsi="Times New Roman" w:cs="Times New Roman"/>
                <w:spacing w:val="8"/>
                <w:sz w:val="20"/>
                <w:szCs w:val="20"/>
                <w:lang w:val="sq-AL"/>
              </w:rPr>
              <w:t xml:space="preserve"> </w:t>
            </w:r>
            <w:r w:rsidRPr="0005229A">
              <w:rPr>
                <w:rFonts w:ascii="Times New Roman" w:eastAsia="Times New Roman" w:hAnsi="Times New Roman" w:cs="Times New Roman"/>
                <w:sz w:val="20"/>
                <w:szCs w:val="20"/>
                <w:lang w:val="sq-AL"/>
              </w:rPr>
              <w:t>100</w:t>
            </w:r>
          </w:p>
        </w:tc>
        <w:tc>
          <w:tcPr>
            <w:tcW w:w="945" w:type="dxa"/>
            <w:tcBorders>
              <w:top w:val="single" w:sz="4" w:space="0" w:color="auto"/>
              <w:left w:val="single" w:sz="4" w:space="0" w:color="auto"/>
              <w:bottom w:val="single" w:sz="4" w:space="0" w:color="auto"/>
              <w:right w:val="single" w:sz="4" w:space="0" w:color="auto"/>
            </w:tcBorders>
            <w:shd w:val="clear" w:color="auto" w:fill="DEEAF6"/>
          </w:tcPr>
          <w:p w:rsidR="0005229A" w:rsidRPr="0005229A" w:rsidRDefault="0005229A" w:rsidP="0005229A">
            <w:pPr>
              <w:widowControl w:val="0"/>
              <w:autoSpaceDE w:val="0"/>
              <w:autoSpaceDN w:val="0"/>
              <w:spacing w:after="0" w:line="210" w:lineRule="exact"/>
              <w:ind w:left="74"/>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Kategoria</w:t>
            </w:r>
          </w:p>
        </w:tc>
        <w:tc>
          <w:tcPr>
            <w:tcW w:w="1600" w:type="dxa"/>
            <w:tcBorders>
              <w:top w:val="single" w:sz="4" w:space="0" w:color="auto"/>
              <w:left w:val="single" w:sz="4" w:space="0" w:color="auto"/>
              <w:bottom w:val="single" w:sz="4" w:space="0" w:color="auto"/>
            </w:tcBorders>
            <w:shd w:val="clear" w:color="auto" w:fill="DEEAF6"/>
          </w:tcPr>
          <w:p w:rsidR="0005229A" w:rsidRPr="0005229A" w:rsidRDefault="0005229A" w:rsidP="0005229A">
            <w:pPr>
              <w:widowControl w:val="0"/>
              <w:autoSpaceDE w:val="0"/>
              <w:autoSpaceDN w:val="0"/>
              <w:spacing w:after="0" w:line="244" w:lineRule="auto"/>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Përqindja</w:t>
            </w:r>
            <w:r w:rsidRPr="0005229A">
              <w:rPr>
                <w:rFonts w:ascii="Times New Roman" w:eastAsia="Times New Roman" w:hAnsi="Times New Roman" w:cs="Times New Roman"/>
                <w:spacing w:val="4"/>
                <w:sz w:val="20"/>
                <w:szCs w:val="20"/>
                <w:lang w:val="sq-AL"/>
              </w:rPr>
              <w:t xml:space="preserve"> </w:t>
            </w:r>
            <w:r w:rsidRPr="0005229A">
              <w:rPr>
                <w:rFonts w:ascii="Times New Roman" w:eastAsia="Times New Roman" w:hAnsi="Times New Roman" w:cs="Times New Roman"/>
                <w:sz w:val="20"/>
                <w:szCs w:val="20"/>
                <w:lang w:val="sq-AL"/>
              </w:rPr>
              <w:t>e</w:t>
            </w:r>
            <w:r w:rsidRPr="0005229A">
              <w:rPr>
                <w:rFonts w:ascii="Times New Roman" w:eastAsia="Times New Roman" w:hAnsi="Times New Roman" w:cs="Times New Roman"/>
                <w:spacing w:val="1"/>
                <w:sz w:val="20"/>
                <w:szCs w:val="20"/>
                <w:lang w:val="sq-AL"/>
              </w:rPr>
              <w:t xml:space="preserve"> </w:t>
            </w:r>
            <w:r w:rsidRPr="0005229A">
              <w:rPr>
                <w:rFonts w:ascii="Times New Roman" w:eastAsia="Times New Roman" w:hAnsi="Times New Roman" w:cs="Times New Roman"/>
                <w:sz w:val="20"/>
                <w:szCs w:val="20"/>
                <w:lang w:val="sq-AL"/>
              </w:rPr>
              <w:t>stacioneve</w:t>
            </w:r>
            <w:r w:rsidRPr="0005229A">
              <w:rPr>
                <w:rFonts w:ascii="Times New Roman" w:eastAsia="Times New Roman" w:hAnsi="Times New Roman" w:cs="Times New Roman"/>
                <w:spacing w:val="3"/>
                <w:sz w:val="20"/>
                <w:szCs w:val="20"/>
                <w:lang w:val="sq-AL"/>
              </w:rPr>
              <w:t xml:space="preserve"> </w:t>
            </w:r>
            <w:r w:rsidRPr="0005229A">
              <w:rPr>
                <w:rFonts w:ascii="Times New Roman" w:eastAsia="Times New Roman" w:hAnsi="Times New Roman" w:cs="Times New Roman"/>
                <w:sz w:val="20"/>
                <w:szCs w:val="20"/>
                <w:lang w:val="sq-AL"/>
              </w:rPr>
              <w:t>%</w:t>
            </w:r>
          </w:p>
        </w:tc>
      </w:tr>
      <w:tr w:rsidR="0005229A" w:rsidRPr="0005229A" w:rsidTr="00DD196F">
        <w:trPr>
          <w:trHeight w:val="240"/>
        </w:trPr>
        <w:tc>
          <w:tcPr>
            <w:tcW w:w="1026" w:type="dxa"/>
            <w:tcBorders>
              <w:top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10" w:lineRule="exact"/>
              <w:ind w:left="86"/>
              <w:rPr>
                <w:rFonts w:ascii="Times New Roman" w:eastAsia="Times New Roman" w:hAnsi="Times New Roman" w:cs="Times New Roman"/>
                <w:sz w:val="20"/>
                <w:szCs w:val="20"/>
                <w:lang w:val="sq-AL"/>
              </w:rPr>
            </w:pPr>
            <w:r w:rsidRPr="0005229A">
              <w:rPr>
                <w:rFonts w:ascii="Times New Roman" w:eastAsia="Times New Roman" w:hAnsi="Times New Roman" w:cs="Times New Roman"/>
                <w:w w:val="102"/>
                <w:sz w:val="20"/>
                <w:szCs w:val="20"/>
                <w:lang w:val="sq-AL"/>
              </w:rPr>
              <w:t>1</w:t>
            </w:r>
          </w:p>
        </w:tc>
        <w:tc>
          <w:tcPr>
            <w:tcW w:w="2242"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49" w:after="0" w:line="199" w:lineRule="exact"/>
              <w:ind w:left="74"/>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B-R</w:t>
            </w:r>
            <w:r w:rsidRPr="0005229A">
              <w:rPr>
                <w:rFonts w:ascii="Times New Roman" w:eastAsia="Times New Roman" w:hAnsi="Times New Roman" w:cs="Times New Roman"/>
                <w:spacing w:val="8"/>
                <w:sz w:val="20"/>
                <w:szCs w:val="20"/>
                <w:lang w:val="sq-AL"/>
              </w:rPr>
              <w:t xml:space="preserve"> </w:t>
            </w:r>
            <w:r w:rsidRPr="0005229A">
              <w:rPr>
                <w:rFonts w:ascii="Times New Roman" w:eastAsia="Times New Roman" w:hAnsi="Times New Roman" w:cs="Times New Roman"/>
                <w:sz w:val="20"/>
                <w:szCs w:val="20"/>
                <w:lang w:val="sq-AL"/>
              </w:rPr>
              <w:t>Belavista</w:t>
            </w:r>
          </w:p>
        </w:tc>
        <w:tc>
          <w:tcPr>
            <w:tcW w:w="116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10"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103</w:t>
            </w:r>
          </w:p>
        </w:tc>
        <w:tc>
          <w:tcPr>
            <w:tcW w:w="109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10"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88</w:t>
            </w:r>
          </w:p>
        </w:tc>
        <w:tc>
          <w:tcPr>
            <w:tcW w:w="945"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A</w:t>
            </w:r>
          </w:p>
        </w:tc>
        <w:tc>
          <w:tcPr>
            <w:tcW w:w="1600" w:type="dxa"/>
            <w:vMerge w:val="restart"/>
            <w:tcBorders>
              <w:top w:val="single" w:sz="4" w:space="0" w:color="auto"/>
              <w:left w:val="single" w:sz="4" w:space="0" w:color="auto"/>
            </w:tcBorders>
          </w:tcPr>
          <w:p w:rsidR="0005229A" w:rsidRPr="0005229A" w:rsidRDefault="0005229A" w:rsidP="0005229A">
            <w:pPr>
              <w:widowControl w:val="0"/>
              <w:autoSpaceDE w:val="0"/>
              <w:autoSpaceDN w:val="0"/>
              <w:spacing w:after="0" w:line="244" w:lineRule="auto"/>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71%</w:t>
            </w:r>
            <w:r w:rsidRPr="0005229A">
              <w:rPr>
                <w:rFonts w:ascii="Times New Roman" w:eastAsia="Times New Roman" w:hAnsi="Times New Roman" w:cs="Times New Roman"/>
                <w:spacing w:val="4"/>
                <w:sz w:val="20"/>
                <w:szCs w:val="20"/>
                <w:lang w:val="sq-AL"/>
              </w:rPr>
              <w:t xml:space="preserve"> </w:t>
            </w:r>
            <w:r w:rsidRPr="0005229A">
              <w:rPr>
                <w:rFonts w:ascii="Times New Roman" w:eastAsia="Times New Roman" w:hAnsi="Times New Roman" w:cs="Times New Roman"/>
                <w:sz w:val="20"/>
                <w:szCs w:val="20"/>
                <w:lang w:val="sq-AL"/>
              </w:rPr>
              <w:t>,</w:t>
            </w:r>
            <w:r w:rsidRPr="0005229A">
              <w:rPr>
                <w:rFonts w:ascii="Times New Roman" w:eastAsia="Times New Roman" w:hAnsi="Times New Roman" w:cs="Times New Roman"/>
                <w:spacing w:val="4"/>
                <w:sz w:val="20"/>
                <w:szCs w:val="20"/>
                <w:lang w:val="sq-AL"/>
              </w:rPr>
              <w:t xml:space="preserve"> </w:t>
            </w:r>
            <w:r w:rsidRPr="0005229A">
              <w:rPr>
                <w:rFonts w:ascii="Times New Roman" w:eastAsia="Times New Roman" w:hAnsi="Times New Roman" w:cs="Times New Roman"/>
                <w:sz w:val="20"/>
                <w:szCs w:val="20"/>
                <w:lang w:val="sq-AL"/>
              </w:rPr>
              <w:t>A-cilësi</w:t>
            </w:r>
            <w:r w:rsidRPr="0005229A">
              <w:rPr>
                <w:rFonts w:ascii="Times New Roman" w:eastAsia="Times New Roman" w:hAnsi="Times New Roman" w:cs="Times New Roman"/>
                <w:spacing w:val="4"/>
                <w:sz w:val="20"/>
                <w:szCs w:val="20"/>
                <w:lang w:val="sq-AL"/>
              </w:rPr>
              <w:t xml:space="preserve"> </w:t>
            </w:r>
            <w:r w:rsidRPr="0005229A">
              <w:rPr>
                <w:rFonts w:ascii="Times New Roman" w:eastAsia="Times New Roman" w:hAnsi="Times New Roman" w:cs="Times New Roman"/>
                <w:sz w:val="20"/>
                <w:szCs w:val="20"/>
                <w:lang w:val="sq-AL"/>
              </w:rPr>
              <w:t>e</w:t>
            </w:r>
            <w:r w:rsidRPr="0005229A">
              <w:rPr>
                <w:rFonts w:ascii="Times New Roman" w:eastAsia="Times New Roman" w:hAnsi="Times New Roman" w:cs="Times New Roman"/>
                <w:spacing w:val="-45"/>
                <w:sz w:val="20"/>
                <w:szCs w:val="20"/>
                <w:lang w:val="sq-AL"/>
              </w:rPr>
              <w:t xml:space="preserve"> </w:t>
            </w:r>
            <w:r w:rsidRPr="0005229A">
              <w:rPr>
                <w:rFonts w:ascii="Times New Roman" w:eastAsia="Times New Roman" w:hAnsi="Times New Roman" w:cs="Times New Roman"/>
                <w:sz w:val="20"/>
                <w:szCs w:val="20"/>
                <w:lang w:val="sq-AL"/>
              </w:rPr>
              <w:t>shkëlqyer</w:t>
            </w:r>
          </w:p>
          <w:p w:rsidR="0005229A" w:rsidRPr="0005229A" w:rsidRDefault="0005229A" w:rsidP="0005229A">
            <w:pPr>
              <w:widowControl w:val="0"/>
              <w:autoSpaceDE w:val="0"/>
              <w:autoSpaceDN w:val="0"/>
              <w:spacing w:before="8" w:after="0" w:line="240" w:lineRule="auto"/>
              <w:rPr>
                <w:rFonts w:ascii="Times New Roman" w:eastAsia="Times New Roman" w:hAnsi="Times New Roman" w:cs="Times New Roman"/>
                <w:b/>
                <w:i/>
                <w:sz w:val="20"/>
                <w:szCs w:val="20"/>
                <w:lang w:val="sq-AL"/>
              </w:rPr>
            </w:pPr>
          </w:p>
          <w:p w:rsidR="0005229A" w:rsidRPr="0005229A" w:rsidRDefault="0005229A" w:rsidP="0005229A">
            <w:pPr>
              <w:widowControl w:val="0"/>
              <w:autoSpaceDE w:val="0"/>
              <w:autoSpaceDN w:val="0"/>
              <w:spacing w:after="0" w:line="244" w:lineRule="auto"/>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29%,</w:t>
            </w:r>
            <w:r w:rsidRPr="0005229A">
              <w:rPr>
                <w:rFonts w:ascii="Times New Roman" w:eastAsia="Times New Roman" w:hAnsi="Times New Roman" w:cs="Times New Roman"/>
                <w:spacing w:val="3"/>
                <w:sz w:val="20"/>
                <w:szCs w:val="20"/>
                <w:lang w:val="sq-AL"/>
              </w:rPr>
              <w:t xml:space="preserve"> </w:t>
            </w:r>
            <w:r w:rsidRPr="0005229A">
              <w:rPr>
                <w:rFonts w:ascii="Times New Roman" w:eastAsia="Times New Roman" w:hAnsi="Times New Roman" w:cs="Times New Roman"/>
                <w:sz w:val="20"/>
                <w:szCs w:val="20"/>
                <w:lang w:val="sq-AL"/>
              </w:rPr>
              <w:t>B-</w:t>
            </w:r>
            <w:r w:rsidRPr="0005229A">
              <w:rPr>
                <w:rFonts w:ascii="Times New Roman" w:eastAsia="Times New Roman" w:hAnsi="Times New Roman" w:cs="Times New Roman"/>
                <w:spacing w:val="3"/>
                <w:sz w:val="20"/>
                <w:szCs w:val="20"/>
                <w:lang w:val="sq-AL"/>
              </w:rPr>
              <w:t xml:space="preserve"> </w:t>
            </w:r>
            <w:r w:rsidRPr="0005229A">
              <w:rPr>
                <w:rFonts w:ascii="Times New Roman" w:eastAsia="Times New Roman" w:hAnsi="Times New Roman" w:cs="Times New Roman"/>
                <w:sz w:val="20"/>
                <w:szCs w:val="20"/>
                <w:lang w:val="sq-AL"/>
              </w:rPr>
              <w:t>cilësi</w:t>
            </w:r>
            <w:r w:rsidRPr="0005229A">
              <w:rPr>
                <w:rFonts w:ascii="Times New Roman" w:eastAsia="Times New Roman" w:hAnsi="Times New Roman" w:cs="Times New Roman"/>
                <w:spacing w:val="3"/>
                <w:sz w:val="20"/>
                <w:szCs w:val="20"/>
                <w:lang w:val="sq-AL"/>
              </w:rPr>
              <w:t xml:space="preserve"> </w:t>
            </w:r>
            <w:r w:rsidRPr="0005229A">
              <w:rPr>
                <w:rFonts w:ascii="Times New Roman" w:eastAsia="Times New Roman" w:hAnsi="Times New Roman" w:cs="Times New Roman"/>
                <w:sz w:val="20"/>
                <w:szCs w:val="20"/>
                <w:lang w:val="sq-AL"/>
              </w:rPr>
              <w:t>e</w:t>
            </w:r>
            <w:r w:rsidRPr="0005229A">
              <w:rPr>
                <w:rFonts w:ascii="Times New Roman" w:eastAsia="Times New Roman" w:hAnsi="Times New Roman" w:cs="Times New Roman"/>
                <w:spacing w:val="-44"/>
                <w:sz w:val="20"/>
                <w:szCs w:val="20"/>
                <w:lang w:val="sq-AL"/>
              </w:rPr>
              <w:t xml:space="preserve"> </w:t>
            </w:r>
            <w:r w:rsidRPr="0005229A">
              <w:rPr>
                <w:rFonts w:ascii="Times New Roman" w:eastAsia="Times New Roman" w:hAnsi="Times New Roman" w:cs="Times New Roman"/>
                <w:sz w:val="20"/>
                <w:szCs w:val="20"/>
                <w:lang w:val="sq-AL"/>
              </w:rPr>
              <w:t>mirë</w:t>
            </w:r>
          </w:p>
          <w:p w:rsidR="0005229A" w:rsidRPr="0005229A" w:rsidRDefault="0005229A" w:rsidP="0005229A">
            <w:pPr>
              <w:widowControl w:val="0"/>
              <w:autoSpaceDE w:val="0"/>
              <w:autoSpaceDN w:val="0"/>
              <w:spacing w:before="2" w:after="0" w:line="244" w:lineRule="auto"/>
              <w:ind w:left="75"/>
              <w:rPr>
                <w:rFonts w:ascii="Times New Roman" w:eastAsia="Times New Roman" w:hAnsi="Times New Roman" w:cs="Times New Roman"/>
                <w:sz w:val="20"/>
                <w:szCs w:val="20"/>
                <w:lang w:val="sq-AL"/>
              </w:rPr>
            </w:pPr>
          </w:p>
        </w:tc>
      </w:tr>
      <w:tr w:rsidR="0005229A" w:rsidRPr="0005229A" w:rsidTr="00DD196F">
        <w:trPr>
          <w:trHeight w:val="195"/>
        </w:trPr>
        <w:tc>
          <w:tcPr>
            <w:tcW w:w="1026" w:type="dxa"/>
            <w:tcBorders>
              <w:top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86"/>
              <w:rPr>
                <w:rFonts w:ascii="Times New Roman" w:eastAsia="Times New Roman" w:hAnsi="Times New Roman" w:cs="Times New Roman"/>
                <w:sz w:val="20"/>
                <w:szCs w:val="20"/>
                <w:lang w:val="sq-AL"/>
              </w:rPr>
            </w:pPr>
            <w:r w:rsidRPr="0005229A">
              <w:rPr>
                <w:rFonts w:ascii="Times New Roman" w:eastAsia="Times New Roman" w:hAnsi="Times New Roman" w:cs="Times New Roman"/>
                <w:w w:val="102"/>
                <w:sz w:val="20"/>
                <w:szCs w:val="20"/>
                <w:lang w:val="sq-AL"/>
              </w:rPr>
              <w:t>2</w:t>
            </w:r>
          </w:p>
        </w:tc>
        <w:tc>
          <w:tcPr>
            <w:tcW w:w="2242"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4"/>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Hotel</w:t>
            </w:r>
            <w:r w:rsidRPr="0005229A">
              <w:rPr>
                <w:rFonts w:ascii="Times New Roman" w:eastAsia="Times New Roman" w:hAnsi="Times New Roman" w:cs="Times New Roman"/>
                <w:spacing w:val="9"/>
                <w:sz w:val="20"/>
                <w:szCs w:val="20"/>
                <w:lang w:val="sq-AL"/>
              </w:rPr>
              <w:t xml:space="preserve"> </w:t>
            </w:r>
            <w:r w:rsidRPr="0005229A">
              <w:rPr>
                <w:rFonts w:ascii="Times New Roman" w:eastAsia="Times New Roman" w:hAnsi="Times New Roman" w:cs="Times New Roman"/>
                <w:sz w:val="20"/>
                <w:szCs w:val="20"/>
                <w:lang w:val="sq-AL"/>
              </w:rPr>
              <w:t>Adriatik</w:t>
            </w:r>
          </w:p>
        </w:tc>
        <w:tc>
          <w:tcPr>
            <w:tcW w:w="116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91</w:t>
            </w:r>
          </w:p>
        </w:tc>
        <w:tc>
          <w:tcPr>
            <w:tcW w:w="109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96</w:t>
            </w:r>
          </w:p>
        </w:tc>
        <w:tc>
          <w:tcPr>
            <w:tcW w:w="945"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A</w:t>
            </w:r>
          </w:p>
        </w:tc>
        <w:tc>
          <w:tcPr>
            <w:tcW w:w="1600" w:type="dxa"/>
            <w:vMerge/>
            <w:tcBorders>
              <w:lef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0"/>
                <w:szCs w:val="20"/>
                <w:lang w:val="sq-AL"/>
              </w:rPr>
            </w:pPr>
          </w:p>
        </w:tc>
      </w:tr>
      <w:tr w:rsidR="0005229A" w:rsidRPr="0005229A" w:rsidTr="00DD196F">
        <w:trPr>
          <w:trHeight w:val="195"/>
        </w:trPr>
        <w:tc>
          <w:tcPr>
            <w:tcW w:w="1026" w:type="dxa"/>
            <w:tcBorders>
              <w:top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86"/>
              <w:rPr>
                <w:rFonts w:ascii="Times New Roman" w:eastAsia="Times New Roman" w:hAnsi="Times New Roman" w:cs="Times New Roman"/>
                <w:sz w:val="20"/>
                <w:szCs w:val="20"/>
                <w:lang w:val="sq-AL"/>
              </w:rPr>
            </w:pPr>
            <w:r w:rsidRPr="0005229A">
              <w:rPr>
                <w:rFonts w:ascii="Times New Roman" w:eastAsia="Times New Roman" w:hAnsi="Times New Roman" w:cs="Times New Roman"/>
                <w:w w:val="102"/>
                <w:sz w:val="20"/>
                <w:szCs w:val="20"/>
                <w:lang w:val="sq-AL"/>
              </w:rPr>
              <w:t>3</w:t>
            </w:r>
          </w:p>
        </w:tc>
        <w:tc>
          <w:tcPr>
            <w:tcW w:w="2242"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4"/>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B-R</w:t>
            </w:r>
            <w:r w:rsidRPr="0005229A">
              <w:rPr>
                <w:rFonts w:ascii="Times New Roman" w:eastAsia="Times New Roman" w:hAnsi="Times New Roman" w:cs="Times New Roman"/>
                <w:spacing w:val="7"/>
                <w:sz w:val="20"/>
                <w:szCs w:val="20"/>
                <w:lang w:val="sq-AL"/>
              </w:rPr>
              <w:t xml:space="preserve"> </w:t>
            </w:r>
            <w:r w:rsidRPr="0005229A">
              <w:rPr>
                <w:rFonts w:ascii="Times New Roman" w:eastAsia="Times New Roman" w:hAnsi="Times New Roman" w:cs="Times New Roman"/>
                <w:sz w:val="20"/>
                <w:szCs w:val="20"/>
                <w:lang w:val="sq-AL"/>
              </w:rPr>
              <w:t>Fantazia</w:t>
            </w:r>
          </w:p>
        </w:tc>
        <w:tc>
          <w:tcPr>
            <w:tcW w:w="116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181</w:t>
            </w:r>
          </w:p>
        </w:tc>
        <w:tc>
          <w:tcPr>
            <w:tcW w:w="109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103</w:t>
            </w:r>
          </w:p>
        </w:tc>
        <w:tc>
          <w:tcPr>
            <w:tcW w:w="945"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600" w:type="dxa"/>
            <w:vMerge/>
            <w:tcBorders>
              <w:lef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0"/>
                <w:szCs w:val="20"/>
                <w:lang w:val="sq-AL"/>
              </w:rPr>
            </w:pPr>
          </w:p>
        </w:tc>
      </w:tr>
      <w:tr w:rsidR="0005229A" w:rsidRPr="0005229A" w:rsidTr="00DD196F">
        <w:trPr>
          <w:trHeight w:val="195"/>
        </w:trPr>
        <w:tc>
          <w:tcPr>
            <w:tcW w:w="1026" w:type="dxa"/>
            <w:tcBorders>
              <w:top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86"/>
              <w:rPr>
                <w:rFonts w:ascii="Times New Roman" w:eastAsia="Times New Roman" w:hAnsi="Times New Roman" w:cs="Times New Roman"/>
                <w:sz w:val="20"/>
                <w:szCs w:val="20"/>
                <w:lang w:val="sq-AL"/>
              </w:rPr>
            </w:pPr>
            <w:r w:rsidRPr="0005229A">
              <w:rPr>
                <w:rFonts w:ascii="Times New Roman" w:eastAsia="Times New Roman" w:hAnsi="Times New Roman" w:cs="Times New Roman"/>
                <w:w w:val="102"/>
                <w:sz w:val="20"/>
                <w:szCs w:val="20"/>
                <w:lang w:val="sq-AL"/>
              </w:rPr>
              <w:t>4</w:t>
            </w:r>
          </w:p>
        </w:tc>
        <w:tc>
          <w:tcPr>
            <w:tcW w:w="2242"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4"/>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Hyrja</w:t>
            </w:r>
            <w:r w:rsidRPr="0005229A">
              <w:rPr>
                <w:rFonts w:ascii="Times New Roman" w:eastAsia="Times New Roman" w:hAnsi="Times New Roman" w:cs="Times New Roman"/>
                <w:spacing w:val="8"/>
                <w:sz w:val="20"/>
                <w:szCs w:val="20"/>
                <w:lang w:val="sq-AL"/>
              </w:rPr>
              <w:t xml:space="preserve"> </w:t>
            </w:r>
            <w:r w:rsidRPr="0005229A">
              <w:rPr>
                <w:rFonts w:ascii="Times New Roman" w:eastAsia="Times New Roman" w:hAnsi="Times New Roman" w:cs="Times New Roman"/>
                <w:sz w:val="20"/>
                <w:szCs w:val="20"/>
                <w:lang w:val="sq-AL"/>
              </w:rPr>
              <w:t>Plazh</w:t>
            </w:r>
          </w:p>
        </w:tc>
        <w:tc>
          <w:tcPr>
            <w:tcW w:w="116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84</w:t>
            </w:r>
          </w:p>
        </w:tc>
        <w:tc>
          <w:tcPr>
            <w:tcW w:w="109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85</w:t>
            </w:r>
          </w:p>
        </w:tc>
        <w:tc>
          <w:tcPr>
            <w:tcW w:w="945"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A</w:t>
            </w:r>
          </w:p>
        </w:tc>
        <w:tc>
          <w:tcPr>
            <w:tcW w:w="1600" w:type="dxa"/>
            <w:vMerge/>
            <w:tcBorders>
              <w:lef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0"/>
                <w:szCs w:val="20"/>
                <w:lang w:val="sq-AL"/>
              </w:rPr>
            </w:pPr>
          </w:p>
        </w:tc>
      </w:tr>
      <w:tr w:rsidR="0005229A" w:rsidRPr="0005229A" w:rsidTr="00DD196F">
        <w:trPr>
          <w:trHeight w:val="195"/>
        </w:trPr>
        <w:tc>
          <w:tcPr>
            <w:tcW w:w="1026" w:type="dxa"/>
            <w:tcBorders>
              <w:top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86"/>
              <w:rPr>
                <w:rFonts w:ascii="Times New Roman" w:eastAsia="Times New Roman" w:hAnsi="Times New Roman" w:cs="Times New Roman"/>
                <w:sz w:val="20"/>
                <w:szCs w:val="20"/>
                <w:lang w:val="sq-AL"/>
              </w:rPr>
            </w:pPr>
            <w:r w:rsidRPr="0005229A">
              <w:rPr>
                <w:rFonts w:ascii="Times New Roman" w:eastAsia="Times New Roman" w:hAnsi="Times New Roman" w:cs="Times New Roman"/>
                <w:w w:val="102"/>
                <w:sz w:val="20"/>
                <w:szCs w:val="20"/>
                <w:lang w:val="sq-AL"/>
              </w:rPr>
              <w:t>5</w:t>
            </w:r>
          </w:p>
        </w:tc>
        <w:tc>
          <w:tcPr>
            <w:tcW w:w="2242"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4"/>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Pallatet</w:t>
            </w:r>
            <w:r w:rsidRPr="0005229A">
              <w:rPr>
                <w:rFonts w:ascii="Times New Roman" w:eastAsia="Times New Roman" w:hAnsi="Times New Roman" w:cs="Times New Roman"/>
                <w:spacing w:val="6"/>
                <w:sz w:val="20"/>
                <w:szCs w:val="20"/>
                <w:lang w:val="sq-AL"/>
              </w:rPr>
              <w:t xml:space="preserve"> </w:t>
            </w:r>
            <w:r w:rsidRPr="0005229A">
              <w:rPr>
                <w:rFonts w:ascii="Times New Roman" w:eastAsia="Times New Roman" w:hAnsi="Times New Roman" w:cs="Times New Roman"/>
                <w:sz w:val="20"/>
                <w:szCs w:val="20"/>
                <w:lang w:val="sq-AL"/>
              </w:rPr>
              <w:t>e</w:t>
            </w:r>
            <w:r w:rsidRPr="0005229A">
              <w:rPr>
                <w:rFonts w:ascii="Times New Roman" w:eastAsia="Times New Roman" w:hAnsi="Times New Roman" w:cs="Times New Roman"/>
                <w:spacing w:val="7"/>
                <w:sz w:val="20"/>
                <w:szCs w:val="20"/>
                <w:lang w:val="sq-AL"/>
              </w:rPr>
              <w:t xml:space="preserve"> </w:t>
            </w:r>
            <w:r w:rsidRPr="0005229A">
              <w:rPr>
                <w:rFonts w:ascii="Times New Roman" w:eastAsia="Times New Roman" w:hAnsi="Times New Roman" w:cs="Times New Roman"/>
                <w:sz w:val="20"/>
                <w:szCs w:val="20"/>
                <w:lang w:val="sq-AL"/>
              </w:rPr>
              <w:t>Reja</w:t>
            </w:r>
          </w:p>
        </w:tc>
        <w:tc>
          <w:tcPr>
            <w:tcW w:w="116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133</w:t>
            </w:r>
          </w:p>
        </w:tc>
        <w:tc>
          <w:tcPr>
            <w:tcW w:w="109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120</w:t>
            </w:r>
          </w:p>
        </w:tc>
        <w:tc>
          <w:tcPr>
            <w:tcW w:w="945"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600" w:type="dxa"/>
            <w:vMerge/>
            <w:tcBorders>
              <w:lef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0"/>
                <w:szCs w:val="20"/>
                <w:lang w:val="sq-AL"/>
              </w:rPr>
            </w:pPr>
          </w:p>
        </w:tc>
      </w:tr>
      <w:tr w:rsidR="0005229A" w:rsidRPr="0005229A" w:rsidTr="00DD196F">
        <w:trPr>
          <w:trHeight w:val="195"/>
        </w:trPr>
        <w:tc>
          <w:tcPr>
            <w:tcW w:w="1026" w:type="dxa"/>
            <w:tcBorders>
              <w:top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86"/>
              <w:rPr>
                <w:rFonts w:ascii="Times New Roman" w:eastAsia="Times New Roman" w:hAnsi="Times New Roman" w:cs="Times New Roman"/>
                <w:sz w:val="20"/>
                <w:szCs w:val="20"/>
                <w:lang w:val="sq-AL"/>
              </w:rPr>
            </w:pPr>
            <w:r w:rsidRPr="0005229A">
              <w:rPr>
                <w:rFonts w:ascii="Times New Roman" w:eastAsia="Times New Roman" w:hAnsi="Times New Roman" w:cs="Times New Roman"/>
                <w:w w:val="102"/>
                <w:sz w:val="20"/>
                <w:szCs w:val="20"/>
                <w:lang w:val="sq-AL"/>
              </w:rPr>
              <w:t>6</w:t>
            </w:r>
          </w:p>
        </w:tc>
        <w:tc>
          <w:tcPr>
            <w:tcW w:w="2242"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4"/>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Dolce</w:t>
            </w:r>
            <w:r w:rsidRPr="0005229A">
              <w:rPr>
                <w:rFonts w:ascii="Times New Roman" w:eastAsia="Times New Roman" w:hAnsi="Times New Roman" w:cs="Times New Roman"/>
                <w:spacing w:val="7"/>
                <w:sz w:val="20"/>
                <w:szCs w:val="20"/>
                <w:lang w:val="sq-AL"/>
              </w:rPr>
              <w:t xml:space="preserve"> </w:t>
            </w:r>
            <w:r w:rsidRPr="0005229A">
              <w:rPr>
                <w:rFonts w:ascii="Times New Roman" w:eastAsia="Times New Roman" w:hAnsi="Times New Roman" w:cs="Times New Roman"/>
                <w:sz w:val="20"/>
                <w:szCs w:val="20"/>
                <w:lang w:val="sq-AL"/>
              </w:rPr>
              <w:t>Vita</w:t>
            </w:r>
          </w:p>
        </w:tc>
        <w:tc>
          <w:tcPr>
            <w:tcW w:w="116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92</w:t>
            </w:r>
          </w:p>
        </w:tc>
        <w:tc>
          <w:tcPr>
            <w:tcW w:w="109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73</w:t>
            </w:r>
          </w:p>
        </w:tc>
        <w:tc>
          <w:tcPr>
            <w:tcW w:w="945"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A</w:t>
            </w:r>
          </w:p>
        </w:tc>
        <w:tc>
          <w:tcPr>
            <w:tcW w:w="1600" w:type="dxa"/>
            <w:vMerge/>
            <w:tcBorders>
              <w:lef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0"/>
                <w:szCs w:val="20"/>
                <w:lang w:val="sq-AL"/>
              </w:rPr>
            </w:pPr>
          </w:p>
        </w:tc>
      </w:tr>
      <w:tr w:rsidR="0005229A" w:rsidRPr="0005229A" w:rsidTr="00DD196F">
        <w:trPr>
          <w:trHeight w:val="211"/>
        </w:trPr>
        <w:tc>
          <w:tcPr>
            <w:tcW w:w="1026" w:type="dxa"/>
            <w:tcBorders>
              <w:top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16" w:lineRule="exact"/>
              <w:ind w:left="86"/>
              <w:rPr>
                <w:rFonts w:ascii="Times New Roman" w:eastAsia="Times New Roman" w:hAnsi="Times New Roman" w:cs="Times New Roman"/>
                <w:sz w:val="20"/>
                <w:szCs w:val="20"/>
                <w:lang w:val="sq-AL"/>
              </w:rPr>
            </w:pPr>
            <w:r w:rsidRPr="0005229A">
              <w:rPr>
                <w:rFonts w:ascii="Times New Roman" w:eastAsia="Times New Roman" w:hAnsi="Times New Roman" w:cs="Times New Roman"/>
                <w:w w:val="102"/>
                <w:sz w:val="20"/>
                <w:szCs w:val="20"/>
                <w:lang w:val="sq-AL"/>
              </w:rPr>
              <w:t>7</w:t>
            </w:r>
          </w:p>
        </w:tc>
        <w:tc>
          <w:tcPr>
            <w:tcW w:w="2242"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8" w:after="0" w:line="207" w:lineRule="exact"/>
              <w:ind w:left="74"/>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Pranë</w:t>
            </w:r>
            <w:r w:rsidRPr="0005229A">
              <w:rPr>
                <w:rFonts w:ascii="Times New Roman" w:eastAsia="Times New Roman" w:hAnsi="Times New Roman" w:cs="Times New Roman"/>
                <w:spacing w:val="10"/>
                <w:sz w:val="20"/>
                <w:szCs w:val="20"/>
                <w:lang w:val="sq-AL"/>
              </w:rPr>
              <w:t xml:space="preserve"> </w:t>
            </w:r>
            <w:r w:rsidRPr="0005229A">
              <w:rPr>
                <w:rFonts w:ascii="Times New Roman" w:eastAsia="Times New Roman" w:hAnsi="Times New Roman" w:cs="Times New Roman"/>
                <w:sz w:val="20"/>
                <w:szCs w:val="20"/>
                <w:lang w:val="sq-AL"/>
              </w:rPr>
              <w:t>Lagunës</w:t>
            </w:r>
            <w:r w:rsidRPr="0005229A">
              <w:rPr>
                <w:rFonts w:ascii="Times New Roman" w:eastAsia="Times New Roman" w:hAnsi="Times New Roman" w:cs="Times New Roman"/>
                <w:spacing w:val="10"/>
                <w:sz w:val="20"/>
                <w:szCs w:val="20"/>
                <w:lang w:val="sq-AL"/>
              </w:rPr>
              <w:t xml:space="preserve"> </w:t>
            </w:r>
            <w:r w:rsidRPr="0005229A">
              <w:rPr>
                <w:rFonts w:ascii="Times New Roman" w:eastAsia="Times New Roman" w:hAnsi="Times New Roman" w:cs="Times New Roman"/>
                <w:sz w:val="20"/>
                <w:szCs w:val="20"/>
                <w:lang w:val="sq-AL"/>
              </w:rPr>
              <w:t>Vilunit</w:t>
            </w:r>
          </w:p>
        </w:tc>
        <w:tc>
          <w:tcPr>
            <w:tcW w:w="116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16"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93</w:t>
            </w:r>
          </w:p>
        </w:tc>
        <w:tc>
          <w:tcPr>
            <w:tcW w:w="109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16"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81</w:t>
            </w:r>
          </w:p>
        </w:tc>
        <w:tc>
          <w:tcPr>
            <w:tcW w:w="945"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A</w:t>
            </w:r>
          </w:p>
        </w:tc>
        <w:tc>
          <w:tcPr>
            <w:tcW w:w="1600" w:type="dxa"/>
            <w:vMerge/>
            <w:tcBorders>
              <w:lef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0"/>
                <w:szCs w:val="20"/>
                <w:lang w:val="sq-AL"/>
              </w:rPr>
            </w:pPr>
          </w:p>
        </w:tc>
      </w:tr>
    </w:tbl>
    <w:p w:rsidR="0005229A" w:rsidRPr="0005229A" w:rsidRDefault="0005229A" w:rsidP="004658E1">
      <w:pPr>
        <w:spacing w:after="200" w:line="288" w:lineRule="auto"/>
        <w:jc w:val="both"/>
        <w:rPr>
          <w:rFonts w:ascii="Times New Roman" w:eastAsiaTheme="minorEastAsia" w:hAnsi="Times New Roman" w:cs="Times New Roman"/>
          <w:noProof/>
          <w:sz w:val="24"/>
          <w:szCs w:val="24"/>
        </w:rPr>
      </w:pPr>
      <w:r w:rsidRPr="0005229A">
        <w:rPr>
          <w:rFonts w:ascii="Times New Roman" w:eastAsiaTheme="minorEastAsia" w:hAnsi="Times New Roman" w:cs="Times New Roman"/>
          <w:noProof/>
          <w:sz w:val="24"/>
          <w:szCs w:val="24"/>
        </w:rPr>
        <w:t xml:space="preserve">Në plazhin e Velipojës 5 pika monitorimi janë të kategorisë A-cilësi e shkëlqyer dhe 2 të kategorisë B-cilësi e mirë. </w:t>
      </w:r>
    </w:p>
    <w:p w:rsidR="0005229A" w:rsidRPr="0005229A" w:rsidRDefault="0005229A" w:rsidP="0005229A">
      <w:pPr>
        <w:spacing w:after="200" w:line="288" w:lineRule="auto"/>
        <w:rPr>
          <w:rFonts w:ascii="Times New Roman" w:eastAsiaTheme="minorEastAsia" w:hAnsi="Times New Roman" w:cs="Times New Roman"/>
          <w:noProof/>
          <w:sz w:val="24"/>
          <w:szCs w:val="24"/>
        </w:rPr>
      </w:pPr>
      <w:r w:rsidRPr="0005229A">
        <w:rPr>
          <w:rFonts w:ascii="Times New Roman" w:eastAsiaTheme="minorEastAsia" w:hAnsi="Times New Roman" w:cs="Times New Roman"/>
          <w:noProof/>
          <w:sz w:val="20"/>
          <w:szCs w:val="20"/>
        </w:rPr>
        <w:lastRenderedPageBreak/>
        <w:drawing>
          <wp:inline distT="0" distB="0" distL="0" distR="0" wp14:anchorId="70E62277" wp14:editId="47C52C83">
            <wp:extent cx="2895600" cy="27527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895600" cy="2752725"/>
                    </a:xfrm>
                    <a:prstGeom prst="rect">
                      <a:avLst/>
                    </a:prstGeom>
                    <a:noFill/>
                  </pic:spPr>
                </pic:pic>
              </a:graphicData>
            </a:graphic>
          </wp:inline>
        </w:drawing>
      </w:r>
      <w:r w:rsidRPr="0005229A">
        <w:rPr>
          <w:rFonts w:ascii="Times New Roman" w:eastAsiaTheme="minorEastAsia" w:hAnsi="Times New Roman" w:cs="Times New Roman"/>
          <w:noProof/>
          <w:sz w:val="24"/>
          <w:szCs w:val="24"/>
        </w:rPr>
        <w:drawing>
          <wp:inline distT="0" distB="0" distL="0" distR="0" wp14:anchorId="72496C09" wp14:editId="05C29C4B">
            <wp:extent cx="3000375" cy="27146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000375" cy="2714625"/>
                    </a:xfrm>
                    <a:prstGeom prst="rect">
                      <a:avLst/>
                    </a:prstGeom>
                    <a:noFill/>
                  </pic:spPr>
                </pic:pic>
              </a:graphicData>
            </a:graphic>
          </wp:inline>
        </w:drawing>
      </w:r>
    </w:p>
    <w:p w:rsidR="0005229A" w:rsidRDefault="0005229A" w:rsidP="001E2AD3">
      <w:pPr>
        <w:spacing w:after="0" w:line="240" w:lineRule="auto"/>
        <w:jc w:val="both"/>
        <w:rPr>
          <w:rFonts w:ascii="Times New Roman" w:eastAsiaTheme="minorEastAsia" w:hAnsi="Times New Roman" w:cs="Times New Roman"/>
          <w:noProof/>
          <w:sz w:val="24"/>
          <w:szCs w:val="24"/>
        </w:rPr>
      </w:pPr>
      <w:r w:rsidRPr="0005229A">
        <w:rPr>
          <w:rFonts w:ascii="Times New Roman" w:eastAsiaTheme="minorEastAsia" w:hAnsi="Times New Roman" w:cs="Times New Roman"/>
          <w:noProof/>
          <w:sz w:val="24"/>
          <w:szCs w:val="24"/>
        </w:rPr>
        <w:t xml:space="preserve">PLAZHI I SHËNGJINIT: Në plazhin e Shëngjinit ka pasur frekuentim me numër të lartë të pushuesve veçanërisht në muajt Korrik e Gusht në pikat e mostrimit 1, 2, 3, 4.  Gjatë ekspertizës u konstatua se plazhi i Shëngjinit në përgjithësi ishte i rregullt me bregun ranor të sistemuar e të pluguar, me kulla vrojtimi e kosha të mbeturinave prezente, me dushe e dhoma të ndërrimit të veshjeve, me prezencë të tabelave ku janë të afishuara rregullat për zbatim. U vu re se këtë sezon ka pasur shtim të hapësirave të dedikuara për </w:t>
      </w:r>
      <w:r w:rsidR="004658E1">
        <w:rPr>
          <w:rFonts w:ascii="Times New Roman" w:eastAsiaTheme="minorEastAsia" w:hAnsi="Times New Roman" w:cs="Times New Roman"/>
          <w:noProof/>
          <w:sz w:val="24"/>
          <w:szCs w:val="24"/>
        </w:rPr>
        <w:t>plazhe publike dhe prezencë të tualeteve</w:t>
      </w:r>
      <w:r w:rsidRPr="0005229A">
        <w:rPr>
          <w:rFonts w:ascii="Times New Roman" w:eastAsiaTheme="minorEastAsia" w:hAnsi="Times New Roman" w:cs="Times New Roman"/>
          <w:noProof/>
          <w:sz w:val="24"/>
          <w:szCs w:val="24"/>
        </w:rPr>
        <w:t xml:space="preserve"> publike në brezin ranor. Aktivitetet private kryejnë aktivitetin e tyre me plazhe të organizuara e të sistemuara. Në asnjë stacion mostrimi në plazhin e Shëngjinit nuk u vërejt prani e ujërave sipërfaqësore. U vërejt angazhim i Bashkisë Lezhë edhe në plazhet publik</w:t>
      </w:r>
      <w:r w:rsidR="004658E1">
        <w:rPr>
          <w:rFonts w:ascii="Times New Roman" w:eastAsiaTheme="minorEastAsia" w:hAnsi="Times New Roman" w:cs="Times New Roman"/>
          <w:noProof/>
          <w:sz w:val="24"/>
          <w:szCs w:val="24"/>
        </w:rPr>
        <w:t>e në pastrimin dhe plugimin e rë</w:t>
      </w:r>
      <w:r w:rsidRPr="0005229A">
        <w:rPr>
          <w:rFonts w:ascii="Times New Roman" w:eastAsiaTheme="minorEastAsia" w:hAnsi="Times New Roman" w:cs="Times New Roman"/>
          <w:noProof/>
          <w:sz w:val="24"/>
          <w:szCs w:val="24"/>
        </w:rPr>
        <w:t>rës.</w:t>
      </w:r>
    </w:p>
    <w:p w:rsidR="001E2AD3" w:rsidRPr="0005229A" w:rsidRDefault="001E2AD3" w:rsidP="001E2AD3">
      <w:pPr>
        <w:spacing w:after="0" w:line="240" w:lineRule="auto"/>
        <w:jc w:val="both"/>
        <w:rPr>
          <w:rFonts w:ascii="Times New Roman" w:eastAsiaTheme="minorEastAsia" w:hAnsi="Times New Roman" w:cs="Times New Roman"/>
          <w:noProof/>
          <w:sz w:val="24"/>
          <w:szCs w:val="24"/>
        </w:rPr>
      </w:pPr>
    </w:p>
    <w:p w:rsidR="0005229A" w:rsidRPr="0005229A" w:rsidRDefault="0005229A" w:rsidP="0005229A">
      <w:pPr>
        <w:spacing w:after="200" w:line="288" w:lineRule="auto"/>
        <w:rPr>
          <w:rFonts w:ascii="Times New Roman" w:eastAsiaTheme="minorEastAsia" w:hAnsi="Times New Roman" w:cs="Times New Roman"/>
          <w:b/>
          <w:noProof/>
          <w:sz w:val="24"/>
          <w:szCs w:val="24"/>
        </w:rPr>
      </w:pPr>
      <w:r w:rsidRPr="0005229A">
        <w:rPr>
          <w:rFonts w:ascii="Times New Roman" w:eastAsiaTheme="minorEastAsia" w:hAnsi="Times New Roman" w:cs="Times New Roman"/>
          <w:b/>
          <w:noProof/>
          <w:sz w:val="24"/>
          <w:szCs w:val="24"/>
        </w:rPr>
        <w:t xml:space="preserve">                               ●Plazhi i Shëngjinit</w:t>
      </w:r>
    </w:p>
    <w:tbl>
      <w:tblPr>
        <w:tblW w:w="0" w:type="auto"/>
        <w:tblInd w:w="406" w:type="dxa"/>
        <w:tblLayout w:type="fixed"/>
        <w:tblCellMar>
          <w:left w:w="0" w:type="dxa"/>
          <w:right w:w="0" w:type="dxa"/>
        </w:tblCellMar>
        <w:tblLook w:val="01E0" w:firstRow="1" w:lastRow="1" w:firstColumn="1" w:lastColumn="1" w:noHBand="0" w:noVBand="0"/>
      </w:tblPr>
      <w:tblGrid>
        <w:gridCol w:w="1061"/>
        <w:gridCol w:w="1606"/>
        <w:gridCol w:w="1191"/>
        <w:gridCol w:w="1135"/>
        <w:gridCol w:w="1117"/>
        <w:gridCol w:w="1895"/>
      </w:tblGrid>
      <w:tr w:rsidR="0005229A" w:rsidRPr="0005229A" w:rsidTr="00DD196F">
        <w:trPr>
          <w:trHeight w:val="457"/>
        </w:trPr>
        <w:tc>
          <w:tcPr>
            <w:tcW w:w="1061"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before="7" w:after="0" w:line="240" w:lineRule="auto"/>
              <w:ind w:left="65" w:right="59"/>
              <w:jc w:val="center"/>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Nr.</w:t>
            </w:r>
          </w:p>
          <w:p w:rsidR="0005229A" w:rsidRPr="0005229A" w:rsidRDefault="0005229A" w:rsidP="0005229A">
            <w:pPr>
              <w:widowControl w:val="0"/>
              <w:autoSpaceDE w:val="0"/>
              <w:autoSpaceDN w:val="0"/>
              <w:spacing w:before="5" w:after="0" w:line="207" w:lineRule="exact"/>
              <w:ind w:left="66" w:right="59"/>
              <w:jc w:val="center"/>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Stacioneve</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before="7" w:after="0" w:line="240" w:lineRule="auto"/>
              <w:ind w:left="528" w:right="522"/>
              <w:jc w:val="center"/>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Vendi</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before="1" w:after="0" w:line="240" w:lineRule="auto"/>
              <w:ind w:left="178"/>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FC</w:t>
            </w:r>
            <w:r w:rsidRPr="0005229A">
              <w:rPr>
                <w:rFonts w:ascii="Times New Roman" w:eastAsia="Times New Roman" w:hAnsi="Times New Roman" w:cs="Times New Roman"/>
                <w:b/>
                <w:spacing w:val="4"/>
                <w:sz w:val="20"/>
                <w:szCs w:val="20"/>
                <w:lang w:val="sq-AL"/>
              </w:rPr>
              <w:t xml:space="preserve"> </w:t>
            </w:r>
            <w:r w:rsidRPr="0005229A">
              <w:rPr>
                <w:rFonts w:ascii="Times New Roman" w:eastAsia="Times New Roman" w:hAnsi="Times New Roman" w:cs="Times New Roman"/>
                <w:b/>
                <w:sz w:val="20"/>
                <w:szCs w:val="20"/>
                <w:lang w:val="sq-AL"/>
              </w:rPr>
              <w:t>90%</w:t>
            </w:r>
            <w:r w:rsidRPr="0005229A">
              <w:rPr>
                <w:rFonts w:ascii="Times New Roman" w:eastAsia="Times New Roman" w:hAnsi="Times New Roman" w:cs="Times New Roman"/>
                <w:b/>
                <w:spacing w:val="4"/>
                <w:sz w:val="20"/>
                <w:szCs w:val="20"/>
                <w:lang w:val="sq-AL"/>
              </w:rPr>
              <w:t xml:space="preserve"> </w:t>
            </w:r>
            <w:r w:rsidRPr="0005229A">
              <w:rPr>
                <w:rFonts w:ascii="Times New Roman" w:eastAsia="Times New Roman" w:hAnsi="Times New Roman" w:cs="Times New Roman"/>
                <w:b/>
                <w:sz w:val="20"/>
                <w:szCs w:val="20"/>
                <w:lang w:val="sq-AL"/>
              </w:rPr>
              <w:t>-</w:t>
            </w:r>
          </w:p>
          <w:p w:rsidR="0005229A" w:rsidRPr="0005229A" w:rsidRDefault="0005229A" w:rsidP="0005229A">
            <w:pPr>
              <w:widowControl w:val="0"/>
              <w:autoSpaceDE w:val="0"/>
              <w:autoSpaceDN w:val="0"/>
              <w:spacing w:before="5" w:after="0" w:line="214" w:lineRule="exact"/>
              <w:ind w:left="122"/>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Norma</w:t>
            </w:r>
            <w:r w:rsidRPr="0005229A">
              <w:rPr>
                <w:rFonts w:ascii="Times New Roman" w:eastAsia="Times New Roman" w:hAnsi="Times New Roman" w:cs="Times New Roman"/>
                <w:b/>
                <w:spacing w:val="8"/>
                <w:sz w:val="20"/>
                <w:szCs w:val="20"/>
                <w:lang w:val="sq-AL"/>
              </w:rPr>
              <w:t xml:space="preserve"> </w:t>
            </w:r>
            <w:r w:rsidRPr="0005229A">
              <w:rPr>
                <w:rFonts w:ascii="Times New Roman" w:eastAsia="Times New Roman" w:hAnsi="Times New Roman" w:cs="Times New Roman"/>
                <w:b/>
                <w:sz w:val="20"/>
                <w:szCs w:val="20"/>
                <w:lang w:val="sq-AL"/>
              </w:rPr>
              <w:t>250</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before="1" w:after="0" w:line="240" w:lineRule="auto"/>
              <w:ind w:left="177"/>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IE</w:t>
            </w:r>
            <w:r w:rsidRPr="0005229A">
              <w:rPr>
                <w:rFonts w:ascii="Times New Roman" w:eastAsia="Times New Roman" w:hAnsi="Times New Roman" w:cs="Times New Roman"/>
                <w:b/>
                <w:spacing w:val="4"/>
                <w:sz w:val="20"/>
                <w:szCs w:val="20"/>
                <w:lang w:val="sq-AL"/>
              </w:rPr>
              <w:t xml:space="preserve"> </w:t>
            </w:r>
            <w:r w:rsidRPr="0005229A">
              <w:rPr>
                <w:rFonts w:ascii="Times New Roman" w:eastAsia="Times New Roman" w:hAnsi="Times New Roman" w:cs="Times New Roman"/>
                <w:b/>
                <w:sz w:val="20"/>
                <w:szCs w:val="20"/>
                <w:lang w:val="sq-AL"/>
              </w:rPr>
              <w:t>95%</w:t>
            </w:r>
            <w:r w:rsidRPr="0005229A">
              <w:rPr>
                <w:rFonts w:ascii="Times New Roman" w:eastAsia="Times New Roman" w:hAnsi="Times New Roman" w:cs="Times New Roman"/>
                <w:b/>
                <w:spacing w:val="3"/>
                <w:sz w:val="20"/>
                <w:szCs w:val="20"/>
                <w:lang w:val="sq-AL"/>
              </w:rPr>
              <w:t xml:space="preserve"> </w:t>
            </w:r>
            <w:r w:rsidRPr="0005229A">
              <w:rPr>
                <w:rFonts w:ascii="Times New Roman" w:eastAsia="Times New Roman" w:hAnsi="Times New Roman" w:cs="Times New Roman"/>
                <w:b/>
                <w:sz w:val="20"/>
                <w:szCs w:val="20"/>
                <w:lang w:val="sq-AL"/>
              </w:rPr>
              <w:t>-</w:t>
            </w:r>
          </w:p>
          <w:p w:rsidR="0005229A" w:rsidRPr="0005229A" w:rsidRDefault="0005229A" w:rsidP="0005229A">
            <w:pPr>
              <w:widowControl w:val="0"/>
              <w:autoSpaceDE w:val="0"/>
              <w:autoSpaceDN w:val="0"/>
              <w:spacing w:before="5" w:after="0" w:line="214" w:lineRule="exact"/>
              <w:ind w:left="93"/>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Norma</w:t>
            </w:r>
            <w:r w:rsidRPr="0005229A">
              <w:rPr>
                <w:rFonts w:ascii="Times New Roman" w:eastAsia="Times New Roman" w:hAnsi="Times New Roman" w:cs="Times New Roman"/>
                <w:b/>
                <w:spacing w:val="8"/>
                <w:sz w:val="20"/>
                <w:szCs w:val="20"/>
                <w:lang w:val="sq-AL"/>
              </w:rPr>
              <w:t xml:space="preserve"> </w:t>
            </w:r>
            <w:r w:rsidRPr="0005229A">
              <w:rPr>
                <w:rFonts w:ascii="Times New Roman" w:eastAsia="Times New Roman" w:hAnsi="Times New Roman" w:cs="Times New Roman"/>
                <w:b/>
                <w:sz w:val="20"/>
                <w:szCs w:val="20"/>
                <w:lang w:val="sq-AL"/>
              </w:rPr>
              <w:t>100</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before="1" w:after="0" w:line="240" w:lineRule="auto"/>
              <w:ind w:left="128"/>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Kategoria</w:t>
            </w:r>
          </w:p>
        </w:tc>
        <w:tc>
          <w:tcPr>
            <w:tcW w:w="1895" w:type="dxa"/>
            <w:tcBorders>
              <w:top w:val="single" w:sz="4" w:space="0" w:color="auto"/>
              <w:left w:val="single" w:sz="4" w:space="0" w:color="auto"/>
              <w:bottom w:val="single" w:sz="4" w:space="0" w:color="000000"/>
              <w:right w:val="single" w:sz="4" w:space="0" w:color="auto"/>
            </w:tcBorders>
            <w:shd w:val="clear" w:color="auto" w:fill="D9D9D9"/>
          </w:tcPr>
          <w:p w:rsidR="0005229A" w:rsidRPr="0005229A" w:rsidRDefault="0005229A" w:rsidP="0005229A">
            <w:pPr>
              <w:widowControl w:val="0"/>
              <w:autoSpaceDE w:val="0"/>
              <w:autoSpaceDN w:val="0"/>
              <w:spacing w:before="1" w:after="0" w:line="240" w:lineRule="auto"/>
              <w:ind w:left="450"/>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Përqindja</w:t>
            </w:r>
            <w:r w:rsidRPr="0005229A">
              <w:rPr>
                <w:rFonts w:ascii="Times New Roman" w:eastAsia="Times New Roman" w:hAnsi="Times New Roman" w:cs="Times New Roman"/>
                <w:b/>
                <w:spacing w:val="8"/>
                <w:sz w:val="20"/>
                <w:szCs w:val="20"/>
                <w:lang w:val="sq-AL"/>
              </w:rPr>
              <w:t xml:space="preserve"> </w:t>
            </w:r>
            <w:r w:rsidRPr="0005229A">
              <w:rPr>
                <w:rFonts w:ascii="Times New Roman" w:eastAsia="Times New Roman" w:hAnsi="Times New Roman" w:cs="Times New Roman"/>
                <w:b/>
                <w:sz w:val="20"/>
                <w:szCs w:val="20"/>
                <w:lang w:val="sq-AL"/>
              </w:rPr>
              <w:t>e</w:t>
            </w:r>
          </w:p>
          <w:p w:rsidR="0005229A" w:rsidRPr="0005229A" w:rsidRDefault="0005229A" w:rsidP="0005229A">
            <w:pPr>
              <w:widowControl w:val="0"/>
              <w:autoSpaceDE w:val="0"/>
              <w:autoSpaceDN w:val="0"/>
              <w:spacing w:before="5" w:after="0" w:line="214" w:lineRule="exact"/>
              <w:ind w:left="385"/>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stacioneve</w:t>
            </w:r>
            <w:r w:rsidRPr="0005229A">
              <w:rPr>
                <w:rFonts w:ascii="Times New Roman" w:eastAsia="Times New Roman" w:hAnsi="Times New Roman" w:cs="Times New Roman"/>
                <w:b/>
                <w:spacing w:val="9"/>
                <w:sz w:val="20"/>
                <w:szCs w:val="20"/>
                <w:lang w:val="sq-AL"/>
              </w:rPr>
              <w:t xml:space="preserve"> </w:t>
            </w:r>
            <w:r w:rsidRPr="0005229A">
              <w:rPr>
                <w:rFonts w:ascii="Times New Roman" w:eastAsia="Times New Roman" w:hAnsi="Times New Roman" w:cs="Times New Roman"/>
                <w:b/>
                <w:sz w:val="20"/>
                <w:szCs w:val="20"/>
                <w:lang w:val="sq-AL"/>
              </w:rPr>
              <w:t>%</w:t>
            </w:r>
          </w:p>
        </w:tc>
      </w:tr>
      <w:tr w:rsidR="0005229A" w:rsidRPr="0005229A" w:rsidTr="00DD196F">
        <w:trPr>
          <w:trHeight w:val="212"/>
        </w:trPr>
        <w:tc>
          <w:tcPr>
            <w:tcW w:w="1061"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before="1" w:after="0" w:line="191" w:lineRule="exact"/>
              <w:ind w:left="7"/>
              <w:jc w:val="center"/>
              <w:rPr>
                <w:rFonts w:ascii="Times New Roman" w:eastAsia="Times New Roman" w:hAnsi="Times New Roman" w:cs="Times New Roman"/>
                <w:sz w:val="20"/>
                <w:szCs w:val="20"/>
                <w:lang w:val="sq-AL"/>
              </w:rPr>
            </w:pPr>
            <w:r w:rsidRPr="0005229A">
              <w:rPr>
                <w:rFonts w:ascii="Times New Roman" w:eastAsia="Times New Roman" w:hAnsi="Times New Roman" w:cs="Times New Roman"/>
                <w:w w:val="102"/>
                <w:sz w:val="20"/>
                <w:szCs w:val="20"/>
                <w:lang w:val="sq-AL"/>
              </w:rPr>
              <w:t>1</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before="1" w:after="0" w:line="191" w:lineRule="exact"/>
              <w:ind w:left="76"/>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Ish</w:t>
            </w:r>
            <w:r w:rsidRPr="0005229A">
              <w:rPr>
                <w:rFonts w:ascii="Times New Roman" w:eastAsia="Times New Roman" w:hAnsi="Times New Roman" w:cs="Times New Roman"/>
                <w:spacing w:val="8"/>
                <w:sz w:val="20"/>
                <w:szCs w:val="20"/>
                <w:lang w:val="sq-AL"/>
              </w:rPr>
              <w:t xml:space="preserve"> </w:t>
            </w:r>
            <w:r w:rsidRPr="0005229A">
              <w:rPr>
                <w:rFonts w:ascii="Times New Roman" w:eastAsia="Times New Roman" w:hAnsi="Times New Roman" w:cs="Times New Roman"/>
                <w:sz w:val="20"/>
                <w:szCs w:val="20"/>
                <w:lang w:val="sq-AL"/>
              </w:rPr>
              <w:t>kabinat</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before="1" w:after="0" w:line="191"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120</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before="1" w:after="0" w:line="191"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140</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spacing w:after="120" w:line="240" w:lineRule="auto"/>
              <w:jc w:val="center"/>
              <w:rPr>
                <w:rFonts w:ascii="Times New Roman" w:eastAsiaTheme="minorEastAsia" w:hAnsi="Times New Roman"/>
                <w:bCs/>
                <w:sz w:val="20"/>
                <w:szCs w:val="20"/>
              </w:rPr>
            </w:pPr>
            <w:r w:rsidRPr="0005229A">
              <w:rPr>
                <w:rFonts w:ascii="Times New Roman" w:eastAsiaTheme="minorEastAsia" w:hAnsi="Times New Roman"/>
                <w:bCs/>
                <w:sz w:val="20"/>
                <w:szCs w:val="20"/>
              </w:rPr>
              <w:t>B</w:t>
            </w:r>
          </w:p>
        </w:tc>
        <w:tc>
          <w:tcPr>
            <w:tcW w:w="1895" w:type="dxa"/>
            <w:vMerge w:val="restart"/>
            <w:tcBorders>
              <w:top w:val="single" w:sz="4" w:space="0" w:color="000000"/>
              <w:left w:val="single" w:sz="4" w:space="0" w:color="auto"/>
              <w:right w:val="single" w:sz="4" w:space="0" w:color="auto"/>
            </w:tcBorders>
          </w:tcPr>
          <w:p w:rsidR="0005229A" w:rsidRPr="0005229A" w:rsidRDefault="0005229A" w:rsidP="0005229A">
            <w:pPr>
              <w:widowControl w:val="0"/>
              <w:autoSpaceDE w:val="0"/>
              <w:autoSpaceDN w:val="0"/>
              <w:spacing w:before="1" w:after="0" w:line="244" w:lineRule="auto"/>
              <w:ind w:left="74"/>
              <w:rPr>
                <w:rFonts w:ascii="Times New Roman" w:eastAsia="Times New Roman" w:hAnsi="Times New Roman" w:cs="Times New Roman"/>
                <w:spacing w:val="-45"/>
                <w:sz w:val="20"/>
                <w:szCs w:val="20"/>
                <w:lang w:val="sq-AL"/>
              </w:rPr>
            </w:pPr>
            <w:r w:rsidRPr="0005229A">
              <w:rPr>
                <w:rFonts w:ascii="Times New Roman" w:eastAsia="Times New Roman" w:hAnsi="Times New Roman" w:cs="Times New Roman"/>
                <w:sz w:val="20"/>
                <w:szCs w:val="20"/>
                <w:lang w:val="sq-AL"/>
              </w:rPr>
              <w:t>60%</w:t>
            </w:r>
            <w:r w:rsidRPr="0005229A">
              <w:rPr>
                <w:rFonts w:ascii="Times New Roman" w:eastAsia="Times New Roman" w:hAnsi="Times New Roman" w:cs="Times New Roman"/>
                <w:spacing w:val="4"/>
                <w:sz w:val="20"/>
                <w:szCs w:val="20"/>
                <w:lang w:val="sq-AL"/>
              </w:rPr>
              <w:t xml:space="preserve"> </w:t>
            </w:r>
            <w:r w:rsidRPr="0005229A">
              <w:rPr>
                <w:rFonts w:ascii="Times New Roman" w:eastAsia="Times New Roman" w:hAnsi="Times New Roman" w:cs="Times New Roman"/>
                <w:sz w:val="20"/>
                <w:szCs w:val="20"/>
                <w:lang w:val="sq-AL"/>
              </w:rPr>
              <w:t>,</w:t>
            </w:r>
            <w:r w:rsidRPr="0005229A">
              <w:rPr>
                <w:rFonts w:ascii="Times New Roman" w:eastAsia="Times New Roman" w:hAnsi="Times New Roman" w:cs="Times New Roman"/>
                <w:spacing w:val="4"/>
                <w:sz w:val="20"/>
                <w:szCs w:val="20"/>
                <w:lang w:val="sq-AL"/>
              </w:rPr>
              <w:t xml:space="preserve"> </w:t>
            </w:r>
            <w:r w:rsidRPr="0005229A">
              <w:rPr>
                <w:rFonts w:ascii="Times New Roman" w:eastAsia="Times New Roman" w:hAnsi="Times New Roman" w:cs="Times New Roman"/>
                <w:sz w:val="20"/>
                <w:szCs w:val="20"/>
                <w:lang w:val="sq-AL"/>
              </w:rPr>
              <w:t>B-cilësi</w:t>
            </w:r>
            <w:r w:rsidRPr="0005229A">
              <w:rPr>
                <w:rFonts w:ascii="Times New Roman" w:eastAsia="Times New Roman" w:hAnsi="Times New Roman" w:cs="Times New Roman"/>
                <w:spacing w:val="5"/>
                <w:sz w:val="20"/>
                <w:szCs w:val="20"/>
                <w:lang w:val="sq-AL"/>
              </w:rPr>
              <w:t xml:space="preserve"> </w:t>
            </w:r>
            <w:r w:rsidRPr="0005229A">
              <w:rPr>
                <w:rFonts w:ascii="Times New Roman" w:eastAsia="Times New Roman" w:hAnsi="Times New Roman" w:cs="Times New Roman"/>
                <w:sz w:val="20"/>
                <w:szCs w:val="20"/>
                <w:lang w:val="sq-AL"/>
              </w:rPr>
              <w:t>e</w:t>
            </w:r>
            <w:r w:rsidRPr="0005229A">
              <w:rPr>
                <w:rFonts w:ascii="Times New Roman" w:eastAsia="Times New Roman" w:hAnsi="Times New Roman" w:cs="Times New Roman"/>
                <w:spacing w:val="4"/>
                <w:sz w:val="20"/>
                <w:szCs w:val="20"/>
                <w:lang w:val="sq-AL"/>
              </w:rPr>
              <w:t xml:space="preserve"> </w:t>
            </w:r>
            <w:r w:rsidRPr="0005229A">
              <w:rPr>
                <w:rFonts w:ascii="Times New Roman" w:eastAsia="Times New Roman" w:hAnsi="Times New Roman" w:cs="Times New Roman"/>
                <w:sz w:val="20"/>
                <w:szCs w:val="20"/>
                <w:lang w:val="sq-AL"/>
              </w:rPr>
              <w:t>mirë</w:t>
            </w:r>
            <w:r w:rsidRPr="0005229A">
              <w:rPr>
                <w:rFonts w:ascii="Times New Roman" w:eastAsia="Times New Roman" w:hAnsi="Times New Roman" w:cs="Times New Roman"/>
                <w:spacing w:val="-45"/>
                <w:sz w:val="20"/>
                <w:szCs w:val="20"/>
                <w:lang w:val="sq-AL"/>
              </w:rPr>
              <w:t xml:space="preserve"> </w:t>
            </w:r>
          </w:p>
          <w:p w:rsidR="0005229A" w:rsidRPr="0005229A" w:rsidRDefault="0005229A" w:rsidP="0005229A">
            <w:pPr>
              <w:widowControl w:val="0"/>
              <w:autoSpaceDE w:val="0"/>
              <w:autoSpaceDN w:val="0"/>
              <w:spacing w:before="1" w:after="0" w:line="244" w:lineRule="auto"/>
              <w:ind w:left="74"/>
              <w:rPr>
                <w:rFonts w:ascii="Times New Roman" w:eastAsia="Times New Roman" w:hAnsi="Times New Roman" w:cs="Times New Roman"/>
                <w:spacing w:val="-45"/>
                <w:sz w:val="20"/>
                <w:szCs w:val="20"/>
                <w:lang w:val="sq-AL"/>
              </w:rPr>
            </w:pPr>
          </w:p>
          <w:p w:rsidR="0005229A" w:rsidRPr="0005229A" w:rsidRDefault="0005229A" w:rsidP="0005229A">
            <w:pPr>
              <w:widowControl w:val="0"/>
              <w:autoSpaceDE w:val="0"/>
              <w:autoSpaceDN w:val="0"/>
              <w:spacing w:before="1" w:after="0" w:line="244" w:lineRule="auto"/>
              <w:ind w:left="74"/>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40%</w:t>
            </w:r>
            <w:r w:rsidRPr="0005229A">
              <w:rPr>
                <w:rFonts w:ascii="Times New Roman" w:eastAsia="Times New Roman" w:hAnsi="Times New Roman" w:cs="Times New Roman"/>
                <w:spacing w:val="2"/>
                <w:sz w:val="20"/>
                <w:szCs w:val="20"/>
                <w:lang w:val="sq-AL"/>
              </w:rPr>
              <w:t xml:space="preserve"> </w:t>
            </w:r>
            <w:r w:rsidRPr="0005229A">
              <w:rPr>
                <w:rFonts w:ascii="Times New Roman" w:eastAsia="Times New Roman" w:hAnsi="Times New Roman" w:cs="Times New Roman"/>
                <w:sz w:val="20"/>
                <w:szCs w:val="20"/>
                <w:lang w:val="sq-AL"/>
              </w:rPr>
              <w:t>,</w:t>
            </w:r>
            <w:r w:rsidRPr="0005229A">
              <w:rPr>
                <w:rFonts w:ascii="Times New Roman" w:eastAsia="Times New Roman" w:hAnsi="Times New Roman" w:cs="Times New Roman"/>
                <w:spacing w:val="3"/>
                <w:sz w:val="20"/>
                <w:szCs w:val="20"/>
                <w:lang w:val="sq-AL"/>
              </w:rPr>
              <w:t xml:space="preserve"> </w:t>
            </w:r>
            <w:r w:rsidRPr="0005229A">
              <w:rPr>
                <w:rFonts w:ascii="Times New Roman" w:eastAsia="Times New Roman" w:hAnsi="Times New Roman" w:cs="Times New Roman"/>
                <w:sz w:val="20"/>
                <w:szCs w:val="20"/>
                <w:lang w:val="sq-AL"/>
              </w:rPr>
              <w:t>C-cilësi</w:t>
            </w:r>
            <w:r w:rsidRPr="0005229A">
              <w:rPr>
                <w:rFonts w:ascii="Times New Roman" w:eastAsia="Times New Roman" w:hAnsi="Times New Roman" w:cs="Times New Roman"/>
                <w:spacing w:val="3"/>
                <w:sz w:val="20"/>
                <w:szCs w:val="20"/>
                <w:lang w:val="sq-AL"/>
              </w:rPr>
              <w:t xml:space="preserve"> </w:t>
            </w:r>
            <w:r w:rsidRPr="0005229A">
              <w:rPr>
                <w:rFonts w:ascii="Times New Roman" w:eastAsia="Times New Roman" w:hAnsi="Times New Roman" w:cs="Times New Roman"/>
                <w:sz w:val="20"/>
                <w:szCs w:val="20"/>
                <w:lang w:val="sq-AL"/>
              </w:rPr>
              <w:t>e</w:t>
            </w:r>
            <w:r w:rsidRPr="0005229A">
              <w:rPr>
                <w:rFonts w:ascii="Times New Roman" w:eastAsia="Times New Roman" w:hAnsi="Times New Roman" w:cs="Times New Roman"/>
                <w:spacing w:val="1"/>
                <w:sz w:val="20"/>
                <w:szCs w:val="20"/>
                <w:lang w:val="sq-AL"/>
              </w:rPr>
              <w:t xml:space="preserve"> </w:t>
            </w:r>
            <w:r w:rsidRPr="0005229A">
              <w:rPr>
                <w:rFonts w:ascii="Times New Roman" w:eastAsia="Times New Roman" w:hAnsi="Times New Roman" w:cs="Times New Roman"/>
                <w:sz w:val="20"/>
                <w:szCs w:val="20"/>
                <w:lang w:val="sq-AL"/>
              </w:rPr>
              <w:t>mjaftueshme</w:t>
            </w:r>
          </w:p>
          <w:p w:rsidR="0005229A" w:rsidRPr="0005229A" w:rsidRDefault="0005229A" w:rsidP="0005229A">
            <w:pPr>
              <w:widowControl w:val="0"/>
              <w:autoSpaceDE w:val="0"/>
              <w:autoSpaceDN w:val="0"/>
              <w:spacing w:before="2" w:after="0" w:line="240" w:lineRule="auto"/>
              <w:ind w:left="74"/>
              <w:rPr>
                <w:rFonts w:ascii="Times New Roman" w:eastAsia="Times New Roman" w:hAnsi="Times New Roman" w:cs="Times New Roman"/>
                <w:sz w:val="20"/>
                <w:szCs w:val="20"/>
                <w:lang w:val="sq-AL"/>
              </w:rPr>
            </w:pPr>
          </w:p>
        </w:tc>
      </w:tr>
      <w:tr w:rsidR="0005229A" w:rsidRPr="0005229A" w:rsidTr="00DD196F">
        <w:trPr>
          <w:trHeight w:val="201"/>
        </w:trPr>
        <w:tc>
          <w:tcPr>
            <w:tcW w:w="1061"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after="0" w:line="181" w:lineRule="exact"/>
              <w:ind w:left="7"/>
              <w:jc w:val="center"/>
              <w:rPr>
                <w:rFonts w:ascii="Times New Roman" w:eastAsia="Times New Roman" w:hAnsi="Times New Roman" w:cs="Times New Roman"/>
                <w:sz w:val="20"/>
                <w:szCs w:val="20"/>
                <w:lang w:val="sq-AL"/>
              </w:rPr>
            </w:pPr>
            <w:r w:rsidRPr="0005229A">
              <w:rPr>
                <w:rFonts w:ascii="Times New Roman" w:eastAsia="Times New Roman" w:hAnsi="Times New Roman" w:cs="Times New Roman"/>
                <w:w w:val="102"/>
                <w:sz w:val="20"/>
                <w:szCs w:val="20"/>
                <w:lang w:val="sq-AL"/>
              </w:rPr>
              <w:t>2</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Hotel</w:t>
            </w:r>
            <w:r w:rsidRPr="0005229A">
              <w:rPr>
                <w:rFonts w:ascii="Times New Roman" w:eastAsia="Times New Roman" w:hAnsi="Times New Roman" w:cs="Times New Roman"/>
                <w:spacing w:val="9"/>
                <w:sz w:val="20"/>
                <w:szCs w:val="20"/>
                <w:lang w:val="sq-AL"/>
              </w:rPr>
              <w:t xml:space="preserve"> </w:t>
            </w:r>
            <w:r w:rsidRPr="0005229A">
              <w:rPr>
                <w:rFonts w:ascii="Times New Roman" w:eastAsia="Times New Roman" w:hAnsi="Times New Roman" w:cs="Times New Roman"/>
                <w:sz w:val="20"/>
                <w:szCs w:val="20"/>
                <w:lang w:val="sq-AL"/>
              </w:rPr>
              <w:t>"Doro"</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after="0" w:line="181"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124</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after="0" w:line="181"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141</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spacing w:after="120" w:line="240" w:lineRule="auto"/>
              <w:jc w:val="center"/>
              <w:rPr>
                <w:rFonts w:ascii="Times New Roman" w:eastAsiaTheme="minorEastAsia" w:hAnsi="Times New Roman"/>
                <w:bCs/>
                <w:sz w:val="20"/>
                <w:szCs w:val="20"/>
              </w:rPr>
            </w:pPr>
            <w:r w:rsidRPr="0005229A">
              <w:rPr>
                <w:rFonts w:ascii="Times New Roman" w:eastAsiaTheme="minorEastAsia" w:hAnsi="Times New Roman"/>
                <w:bCs/>
                <w:sz w:val="20"/>
                <w:szCs w:val="20"/>
              </w:rPr>
              <w:t>B</w:t>
            </w:r>
          </w:p>
        </w:tc>
        <w:tc>
          <w:tcPr>
            <w:tcW w:w="1895"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0"/>
                <w:szCs w:val="20"/>
                <w:lang w:val="sq-AL"/>
              </w:rPr>
            </w:pPr>
          </w:p>
        </w:tc>
      </w:tr>
      <w:tr w:rsidR="0005229A" w:rsidRPr="0005229A" w:rsidTr="00DD196F">
        <w:trPr>
          <w:trHeight w:val="201"/>
        </w:trPr>
        <w:tc>
          <w:tcPr>
            <w:tcW w:w="1061"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after="0" w:line="181" w:lineRule="exact"/>
              <w:ind w:left="7"/>
              <w:jc w:val="center"/>
              <w:rPr>
                <w:rFonts w:ascii="Times New Roman" w:eastAsia="Times New Roman" w:hAnsi="Times New Roman" w:cs="Times New Roman"/>
                <w:sz w:val="20"/>
                <w:szCs w:val="20"/>
                <w:lang w:val="sq-AL"/>
              </w:rPr>
            </w:pPr>
            <w:r w:rsidRPr="0005229A">
              <w:rPr>
                <w:rFonts w:ascii="Times New Roman" w:eastAsia="Times New Roman" w:hAnsi="Times New Roman" w:cs="Times New Roman"/>
                <w:w w:val="102"/>
                <w:sz w:val="20"/>
                <w:szCs w:val="20"/>
                <w:lang w:val="sq-AL"/>
              </w:rPr>
              <w:t>3</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Hotel</w:t>
            </w:r>
            <w:r w:rsidRPr="0005229A">
              <w:rPr>
                <w:rFonts w:ascii="Times New Roman" w:eastAsia="Times New Roman" w:hAnsi="Times New Roman" w:cs="Times New Roman"/>
                <w:spacing w:val="10"/>
                <w:sz w:val="20"/>
                <w:szCs w:val="20"/>
                <w:lang w:val="sq-AL"/>
              </w:rPr>
              <w:t xml:space="preserve"> </w:t>
            </w:r>
            <w:r w:rsidRPr="0005229A">
              <w:rPr>
                <w:rFonts w:ascii="Times New Roman" w:eastAsia="Times New Roman" w:hAnsi="Times New Roman" w:cs="Times New Roman"/>
                <w:sz w:val="20"/>
                <w:szCs w:val="20"/>
                <w:lang w:val="sq-AL"/>
              </w:rPr>
              <w:t>"Kristian"</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after="0" w:line="181"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134</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after="0" w:line="181"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173</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spacing w:after="120" w:line="240" w:lineRule="auto"/>
              <w:jc w:val="center"/>
              <w:rPr>
                <w:rFonts w:ascii="Times New Roman" w:eastAsiaTheme="minorEastAsia" w:hAnsi="Times New Roman"/>
                <w:bCs/>
                <w:sz w:val="20"/>
                <w:szCs w:val="20"/>
              </w:rPr>
            </w:pPr>
            <w:r w:rsidRPr="0005229A">
              <w:rPr>
                <w:rFonts w:ascii="Times New Roman" w:eastAsiaTheme="minorEastAsia" w:hAnsi="Times New Roman"/>
                <w:bCs/>
                <w:sz w:val="20"/>
                <w:szCs w:val="20"/>
              </w:rPr>
              <w:t>B</w:t>
            </w:r>
          </w:p>
        </w:tc>
        <w:tc>
          <w:tcPr>
            <w:tcW w:w="1895"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0"/>
                <w:szCs w:val="20"/>
                <w:lang w:val="sq-AL"/>
              </w:rPr>
            </w:pPr>
          </w:p>
        </w:tc>
      </w:tr>
      <w:tr w:rsidR="0005229A" w:rsidRPr="0005229A" w:rsidTr="00DD196F">
        <w:trPr>
          <w:trHeight w:val="202"/>
        </w:trPr>
        <w:tc>
          <w:tcPr>
            <w:tcW w:w="1061"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after="0" w:line="182" w:lineRule="exact"/>
              <w:ind w:left="7"/>
              <w:jc w:val="center"/>
              <w:rPr>
                <w:rFonts w:ascii="Times New Roman" w:eastAsia="Times New Roman" w:hAnsi="Times New Roman" w:cs="Times New Roman"/>
                <w:sz w:val="20"/>
                <w:szCs w:val="20"/>
                <w:lang w:val="sq-AL"/>
              </w:rPr>
            </w:pPr>
            <w:r w:rsidRPr="0005229A">
              <w:rPr>
                <w:rFonts w:ascii="Times New Roman" w:eastAsia="Times New Roman" w:hAnsi="Times New Roman" w:cs="Times New Roman"/>
                <w:w w:val="102"/>
                <w:sz w:val="20"/>
                <w:szCs w:val="20"/>
                <w:lang w:val="sq-AL"/>
              </w:rPr>
              <w:t>4</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after="0" w:line="182" w:lineRule="exact"/>
              <w:ind w:left="76"/>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B-R</w:t>
            </w:r>
            <w:r w:rsidRPr="0005229A">
              <w:rPr>
                <w:rFonts w:ascii="Times New Roman" w:eastAsia="Times New Roman" w:hAnsi="Times New Roman" w:cs="Times New Roman"/>
                <w:spacing w:val="7"/>
                <w:sz w:val="20"/>
                <w:szCs w:val="20"/>
                <w:lang w:val="sq-AL"/>
              </w:rPr>
              <w:t xml:space="preserve"> </w:t>
            </w:r>
            <w:r w:rsidRPr="0005229A">
              <w:rPr>
                <w:rFonts w:ascii="Times New Roman" w:eastAsia="Times New Roman" w:hAnsi="Times New Roman" w:cs="Times New Roman"/>
                <w:sz w:val="20"/>
                <w:szCs w:val="20"/>
                <w:lang w:val="sq-AL"/>
              </w:rPr>
              <w:t>Gjahtari</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after="0" w:line="182"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159</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after="0" w:line="182"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236</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spacing w:after="120" w:line="240" w:lineRule="auto"/>
              <w:jc w:val="center"/>
              <w:rPr>
                <w:rFonts w:ascii="Times New Roman" w:eastAsiaTheme="minorEastAsia" w:hAnsi="Times New Roman"/>
                <w:bCs/>
                <w:sz w:val="20"/>
                <w:szCs w:val="20"/>
              </w:rPr>
            </w:pPr>
            <w:r w:rsidRPr="0005229A">
              <w:rPr>
                <w:rFonts w:ascii="Times New Roman" w:eastAsiaTheme="minorEastAsia" w:hAnsi="Times New Roman"/>
                <w:bCs/>
                <w:sz w:val="20"/>
                <w:szCs w:val="20"/>
              </w:rPr>
              <w:t>C</w:t>
            </w:r>
          </w:p>
        </w:tc>
        <w:tc>
          <w:tcPr>
            <w:tcW w:w="1895"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0"/>
                <w:szCs w:val="20"/>
                <w:lang w:val="sq-AL"/>
              </w:rPr>
            </w:pPr>
          </w:p>
        </w:tc>
      </w:tr>
      <w:tr w:rsidR="0005229A" w:rsidRPr="0005229A" w:rsidTr="00DD196F">
        <w:trPr>
          <w:trHeight w:val="209"/>
        </w:trPr>
        <w:tc>
          <w:tcPr>
            <w:tcW w:w="1061"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after="0" w:line="190" w:lineRule="exact"/>
              <w:ind w:left="7"/>
              <w:jc w:val="center"/>
              <w:rPr>
                <w:rFonts w:ascii="Times New Roman" w:eastAsia="Times New Roman" w:hAnsi="Times New Roman" w:cs="Times New Roman"/>
                <w:sz w:val="20"/>
                <w:szCs w:val="20"/>
                <w:lang w:val="sq-AL"/>
              </w:rPr>
            </w:pPr>
            <w:r w:rsidRPr="0005229A">
              <w:rPr>
                <w:rFonts w:ascii="Times New Roman" w:eastAsia="Times New Roman" w:hAnsi="Times New Roman" w:cs="Times New Roman"/>
                <w:w w:val="102"/>
                <w:sz w:val="20"/>
                <w:szCs w:val="20"/>
                <w:lang w:val="sq-AL"/>
              </w:rPr>
              <w:t>5</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after="0" w:line="190" w:lineRule="exact"/>
              <w:ind w:left="76"/>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Kune</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after="0" w:line="190"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172</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widowControl w:val="0"/>
              <w:autoSpaceDE w:val="0"/>
              <w:autoSpaceDN w:val="0"/>
              <w:spacing w:after="0" w:line="190"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271</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spacing w:after="120" w:line="240" w:lineRule="auto"/>
              <w:jc w:val="center"/>
              <w:rPr>
                <w:rFonts w:ascii="Times New Roman" w:eastAsiaTheme="minorEastAsia" w:hAnsi="Times New Roman"/>
                <w:bCs/>
                <w:sz w:val="20"/>
                <w:szCs w:val="20"/>
              </w:rPr>
            </w:pPr>
            <w:r w:rsidRPr="0005229A">
              <w:rPr>
                <w:rFonts w:ascii="Times New Roman" w:eastAsiaTheme="minorEastAsia" w:hAnsi="Times New Roman"/>
                <w:bCs/>
                <w:sz w:val="20"/>
                <w:szCs w:val="20"/>
              </w:rPr>
              <w:t>C</w:t>
            </w:r>
          </w:p>
        </w:tc>
        <w:tc>
          <w:tcPr>
            <w:tcW w:w="1895" w:type="dxa"/>
            <w:vMerge/>
            <w:tcBorders>
              <w:top w:val="nil"/>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0"/>
                <w:szCs w:val="20"/>
                <w:lang w:val="sq-AL"/>
              </w:rPr>
            </w:pPr>
          </w:p>
        </w:tc>
      </w:tr>
    </w:tbl>
    <w:p w:rsidR="001E2AD3" w:rsidRDefault="001E2AD3" w:rsidP="001E2AD3">
      <w:pPr>
        <w:spacing w:after="0" w:line="240" w:lineRule="auto"/>
        <w:jc w:val="both"/>
        <w:rPr>
          <w:rFonts w:ascii="Times New Roman" w:eastAsiaTheme="minorEastAsia" w:hAnsi="Times New Roman" w:cs="Times New Roman"/>
          <w:sz w:val="24"/>
          <w:szCs w:val="24"/>
        </w:rPr>
      </w:pPr>
    </w:p>
    <w:p w:rsidR="0005229A" w:rsidRDefault="004658E1" w:rsidP="001E2AD3">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Në plazhin e Shë</w:t>
      </w:r>
      <w:r w:rsidR="0005229A" w:rsidRPr="0005229A">
        <w:rPr>
          <w:rFonts w:ascii="Times New Roman" w:eastAsiaTheme="minorEastAsia" w:hAnsi="Times New Roman" w:cs="Times New Roman"/>
          <w:sz w:val="24"/>
          <w:szCs w:val="24"/>
        </w:rPr>
        <w:t>ngjinit 3 pika monitorimi janë</w:t>
      </w:r>
      <w:r>
        <w:rPr>
          <w:rFonts w:ascii="Times New Roman" w:eastAsiaTheme="minorEastAsia" w:hAnsi="Times New Roman" w:cs="Times New Roman"/>
          <w:sz w:val="24"/>
          <w:szCs w:val="24"/>
        </w:rPr>
        <w:t xml:space="preserve"> të kategorisë   B-cilësi e mirë dhe 2 pika të</w:t>
      </w:r>
      <w:r w:rsidR="0005229A" w:rsidRPr="0005229A">
        <w:rPr>
          <w:rFonts w:ascii="Times New Roman" w:eastAsiaTheme="minorEastAsia" w:hAnsi="Times New Roman" w:cs="Times New Roman"/>
          <w:sz w:val="24"/>
          <w:szCs w:val="24"/>
        </w:rPr>
        <w:t xml:space="preserve"> kategorisë C-Cilësi e mjaftueshme</w:t>
      </w:r>
      <w:r w:rsidR="001E2AD3">
        <w:rPr>
          <w:rFonts w:ascii="Times New Roman" w:eastAsiaTheme="minorEastAsia" w:hAnsi="Times New Roman" w:cs="Times New Roman"/>
          <w:sz w:val="24"/>
          <w:szCs w:val="24"/>
        </w:rPr>
        <w:t>.</w:t>
      </w:r>
    </w:p>
    <w:p w:rsidR="001E2AD3" w:rsidRPr="0005229A" w:rsidRDefault="001E2AD3" w:rsidP="001E2AD3">
      <w:pPr>
        <w:spacing w:after="0" w:line="240" w:lineRule="auto"/>
        <w:jc w:val="both"/>
        <w:rPr>
          <w:rFonts w:ascii="Times New Roman" w:eastAsiaTheme="minorEastAsia" w:hAnsi="Times New Roman" w:cs="Times New Roman"/>
          <w:sz w:val="24"/>
          <w:szCs w:val="24"/>
        </w:rPr>
      </w:pPr>
    </w:p>
    <w:p w:rsidR="0005229A" w:rsidRPr="0005229A" w:rsidRDefault="0005229A" w:rsidP="0005229A">
      <w:pPr>
        <w:spacing w:after="200" w:line="288" w:lineRule="auto"/>
        <w:rPr>
          <w:rFonts w:eastAsiaTheme="minorEastAsia"/>
          <w:sz w:val="21"/>
          <w:szCs w:val="21"/>
        </w:rPr>
      </w:pPr>
      <w:r w:rsidRPr="0005229A">
        <w:rPr>
          <w:rFonts w:eastAsiaTheme="minorEastAsia"/>
          <w:noProof/>
          <w:sz w:val="21"/>
          <w:szCs w:val="21"/>
        </w:rPr>
        <w:lastRenderedPageBreak/>
        <mc:AlternateContent>
          <mc:Choice Requires="wps">
            <w:drawing>
              <wp:anchor distT="0" distB="0" distL="114300" distR="114300" simplePos="0" relativeHeight="251613696" behindDoc="0" locked="0" layoutInCell="1" allowOverlap="1" wp14:anchorId="15F2A8DD" wp14:editId="1944E1EE">
                <wp:simplePos x="0" y="0"/>
                <wp:positionH relativeFrom="column">
                  <wp:posOffset>2800350</wp:posOffset>
                </wp:positionH>
                <wp:positionV relativeFrom="paragraph">
                  <wp:posOffset>13969</wp:posOffset>
                </wp:positionV>
                <wp:extent cx="3528695" cy="2352675"/>
                <wp:effectExtent l="0" t="0" r="14605" b="28575"/>
                <wp:wrapNone/>
                <wp:docPr id="17" name="Rectangle 17"/>
                <wp:cNvGraphicFramePr/>
                <a:graphic xmlns:a="http://schemas.openxmlformats.org/drawingml/2006/main">
                  <a:graphicData uri="http://schemas.microsoft.com/office/word/2010/wordprocessingShape">
                    <wps:wsp>
                      <wps:cNvSpPr/>
                      <wps:spPr>
                        <a:xfrm>
                          <a:off x="0" y="0"/>
                          <a:ext cx="3528695" cy="2352675"/>
                        </a:xfrm>
                        <a:prstGeom prst="rect">
                          <a:avLst/>
                        </a:prstGeom>
                        <a:solidFill>
                          <a:sysClr val="window" lastClr="FFFFFF"/>
                        </a:solidFill>
                        <a:ln w="12700" cap="flat" cmpd="sng" algn="ctr">
                          <a:solidFill>
                            <a:srgbClr val="70AD47"/>
                          </a:solidFill>
                          <a:prstDash val="solid"/>
                          <a:miter lim="800000"/>
                        </a:ln>
                        <a:effectLst/>
                      </wps:spPr>
                      <wps:txbx>
                        <w:txbxContent>
                          <w:p w:rsidR="0064059F" w:rsidRPr="009A3805" w:rsidRDefault="0064059F" w:rsidP="0005229A">
                            <w:pPr>
                              <w:spacing w:after="0"/>
                              <w:jc w:val="both"/>
                              <w:rPr>
                                <w:rFonts w:ascii="Times New Roman" w:hAnsi="Times New Roman" w:cs="Times New Roman"/>
                                <w:sz w:val="20"/>
                                <w:szCs w:val="20"/>
                              </w:rPr>
                            </w:pPr>
                            <w:r w:rsidRPr="009A3805">
                              <w:rPr>
                                <w:sz w:val="20"/>
                                <w:szCs w:val="20"/>
                              </w:rPr>
                              <w:t xml:space="preserve"> </w:t>
                            </w:r>
                            <w:r w:rsidRPr="009A3805">
                              <w:rPr>
                                <w:rFonts w:ascii="Times New Roman" w:hAnsi="Times New Roman" w:cs="Times New Roman"/>
                                <w:sz w:val="20"/>
                                <w:szCs w:val="20"/>
                              </w:rPr>
                              <w:t xml:space="preserve">Për Plazhin e Shëngjinit për vitin 2025, numri i stacioneve që i përkasin kategorisë </w:t>
                            </w:r>
                          </w:p>
                          <w:p w:rsidR="0064059F" w:rsidRPr="009A3805" w:rsidRDefault="0064059F" w:rsidP="0005229A">
                            <w:pPr>
                              <w:spacing w:after="0"/>
                              <w:jc w:val="both"/>
                              <w:rPr>
                                <w:rFonts w:ascii="Times New Roman" w:hAnsi="Times New Roman" w:cs="Times New Roman"/>
                                <w:sz w:val="20"/>
                                <w:szCs w:val="20"/>
                              </w:rPr>
                            </w:pPr>
                            <w:r w:rsidRPr="009A3805">
                              <w:rPr>
                                <w:rFonts w:ascii="Times New Roman" w:hAnsi="Times New Roman" w:cs="Times New Roman"/>
                                <w:sz w:val="20"/>
                                <w:szCs w:val="20"/>
                              </w:rPr>
                              <w:t>A-Cilësi e shkëlqyer e ujërave është më i ulët se vitet 2018-2022 dhe i barabartë me vitet 2023, 2024</w:t>
                            </w:r>
                          </w:p>
                          <w:p w:rsidR="0064059F" w:rsidRPr="009A3805" w:rsidRDefault="0064059F" w:rsidP="0005229A">
                            <w:pPr>
                              <w:spacing w:after="0"/>
                              <w:jc w:val="both"/>
                              <w:rPr>
                                <w:rFonts w:ascii="Times New Roman" w:hAnsi="Times New Roman" w:cs="Times New Roman"/>
                                <w:sz w:val="20"/>
                                <w:szCs w:val="20"/>
                              </w:rPr>
                            </w:pPr>
                            <w:r w:rsidRPr="009A3805">
                              <w:rPr>
                                <w:rFonts w:ascii="Times New Roman" w:hAnsi="Times New Roman" w:cs="Times New Roman"/>
                                <w:sz w:val="20"/>
                                <w:szCs w:val="20"/>
                              </w:rPr>
                              <w:t xml:space="preserve">B-Cilësisë së mirë të ujërave, për vitin 2025 është e barabartë me vitin 2021 dhe 2024 dhe është më i lartë në krahasim me vitin 2018- 2023  </w:t>
                            </w:r>
                          </w:p>
                          <w:p w:rsidR="0064059F" w:rsidRPr="009A3805" w:rsidRDefault="0064059F" w:rsidP="0005229A">
                            <w:pPr>
                              <w:spacing w:after="0"/>
                              <w:jc w:val="both"/>
                              <w:rPr>
                                <w:rFonts w:ascii="Times New Roman" w:hAnsi="Times New Roman" w:cs="Times New Roman"/>
                                <w:sz w:val="20"/>
                                <w:szCs w:val="20"/>
                              </w:rPr>
                            </w:pPr>
                            <w:r w:rsidRPr="009A3805">
                              <w:rPr>
                                <w:rFonts w:ascii="Times New Roman" w:hAnsi="Times New Roman" w:cs="Times New Roman"/>
                                <w:sz w:val="20"/>
                                <w:szCs w:val="20"/>
                              </w:rPr>
                              <w:t xml:space="preserve">C-Cilësisë së mjaftueshme të ujërave për vitin 2025 është më i lartë në krahasim me vitet 2018- 2023 dhe i barabartë me vitin 2024. </w:t>
                            </w:r>
                          </w:p>
                          <w:p w:rsidR="0064059F" w:rsidRPr="009A3805" w:rsidRDefault="0064059F" w:rsidP="0005229A">
                            <w:pPr>
                              <w:spacing w:after="0"/>
                              <w:jc w:val="both"/>
                              <w:rPr>
                                <w:rFonts w:ascii="Times New Roman" w:hAnsi="Times New Roman" w:cs="Times New Roman"/>
                                <w:sz w:val="20"/>
                                <w:szCs w:val="20"/>
                              </w:rPr>
                            </w:pPr>
                            <w:r w:rsidRPr="009A3805">
                              <w:rPr>
                                <w:rFonts w:ascii="Times New Roman" w:hAnsi="Times New Roman" w:cs="Times New Roman"/>
                                <w:sz w:val="20"/>
                                <w:szCs w:val="20"/>
                              </w:rPr>
                              <w:t>D-Cilësisë së keqe të ujërave, për vitin 2025 është më i ulët në krahasim me vitin 2023 dhe i barabartë në krahasim me vitet 2018-2022dhe  2024 në vlerën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2A8DD" id="Rectangle 17" o:spid="_x0000_s1085" style="position:absolute;margin-left:220.5pt;margin-top:1.1pt;width:277.85pt;height:185.2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" fillcolor="window" strokecolor="#70ad47" strokeweight="1pt">
                <v:textbox>
                  <w:txbxContent>
                    <w:p w:rsidR="0064059F" w:rsidRPr="009A3805" w:rsidRDefault="0064059F" w:rsidP="0005229A">
                      <w:pPr>
                        <w:spacing w:after="0"/>
                        <w:jc w:val="both"/>
                        <w:rPr>
                          <w:rFonts w:ascii="Times New Roman" w:hAnsi="Times New Roman" w:cs="Times New Roman"/>
                          <w:sz w:val="20"/>
                          <w:szCs w:val="20"/>
                        </w:rPr>
                      </w:pPr>
                      <w:r w:rsidRPr="009A3805">
                        <w:rPr>
                          <w:sz w:val="20"/>
                          <w:szCs w:val="20"/>
                        </w:rPr>
                        <w:t xml:space="preserve"> </w:t>
                      </w:r>
                      <w:r w:rsidRPr="009A3805">
                        <w:rPr>
                          <w:rFonts w:ascii="Times New Roman" w:hAnsi="Times New Roman" w:cs="Times New Roman"/>
                          <w:sz w:val="20"/>
                          <w:szCs w:val="20"/>
                        </w:rPr>
                        <w:t xml:space="preserve">Për Plazhin e Shëngjinit për vitin 2025, numri i stacioneve që i përkasin kategorisë </w:t>
                      </w:r>
                    </w:p>
                    <w:p w:rsidR="0064059F" w:rsidRPr="009A3805" w:rsidRDefault="0064059F" w:rsidP="0005229A">
                      <w:pPr>
                        <w:spacing w:after="0"/>
                        <w:jc w:val="both"/>
                        <w:rPr>
                          <w:rFonts w:ascii="Times New Roman" w:hAnsi="Times New Roman" w:cs="Times New Roman"/>
                          <w:sz w:val="20"/>
                          <w:szCs w:val="20"/>
                        </w:rPr>
                      </w:pPr>
                      <w:r w:rsidRPr="009A3805">
                        <w:rPr>
                          <w:rFonts w:ascii="Times New Roman" w:hAnsi="Times New Roman" w:cs="Times New Roman"/>
                          <w:sz w:val="20"/>
                          <w:szCs w:val="20"/>
                        </w:rPr>
                        <w:t>A-Cilësi e shkëlqyer e ujërave është më i ulët se vitet 2018-2022 dhe i barabartë me vitet 2023, 2024</w:t>
                      </w:r>
                    </w:p>
                    <w:p w:rsidR="0064059F" w:rsidRPr="009A3805" w:rsidRDefault="0064059F" w:rsidP="0005229A">
                      <w:pPr>
                        <w:spacing w:after="0"/>
                        <w:jc w:val="both"/>
                        <w:rPr>
                          <w:rFonts w:ascii="Times New Roman" w:hAnsi="Times New Roman" w:cs="Times New Roman"/>
                          <w:sz w:val="20"/>
                          <w:szCs w:val="20"/>
                        </w:rPr>
                      </w:pPr>
                      <w:r w:rsidRPr="009A3805">
                        <w:rPr>
                          <w:rFonts w:ascii="Times New Roman" w:hAnsi="Times New Roman" w:cs="Times New Roman"/>
                          <w:sz w:val="20"/>
                          <w:szCs w:val="20"/>
                        </w:rPr>
                        <w:t xml:space="preserve">B-Cilësisë së mirë të ujërave, për vitin 2025 është e barabartë me vitin 2021 dhe 2024 dhe është më i lartë në krahasim me vitin 2018- 2023  </w:t>
                      </w:r>
                    </w:p>
                    <w:p w:rsidR="0064059F" w:rsidRPr="009A3805" w:rsidRDefault="0064059F" w:rsidP="0005229A">
                      <w:pPr>
                        <w:spacing w:after="0"/>
                        <w:jc w:val="both"/>
                        <w:rPr>
                          <w:rFonts w:ascii="Times New Roman" w:hAnsi="Times New Roman" w:cs="Times New Roman"/>
                          <w:sz w:val="20"/>
                          <w:szCs w:val="20"/>
                        </w:rPr>
                      </w:pPr>
                      <w:r w:rsidRPr="009A3805">
                        <w:rPr>
                          <w:rFonts w:ascii="Times New Roman" w:hAnsi="Times New Roman" w:cs="Times New Roman"/>
                          <w:sz w:val="20"/>
                          <w:szCs w:val="20"/>
                        </w:rPr>
                        <w:t xml:space="preserve">C-Cilësisë së mjaftueshme të ujërave për vitin 2025 është më i lartë në krahasim me vitet 2018- 2023 dhe i barabartë me vitin 2024. </w:t>
                      </w:r>
                    </w:p>
                    <w:p w:rsidR="0064059F" w:rsidRPr="009A3805" w:rsidRDefault="0064059F" w:rsidP="0005229A">
                      <w:pPr>
                        <w:spacing w:after="0"/>
                        <w:jc w:val="both"/>
                        <w:rPr>
                          <w:rFonts w:ascii="Times New Roman" w:hAnsi="Times New Roman" w:cs="Times New Roman"/>
                          <w:sz w:val="20"/>
                          <w:szCs w:val="20"/>
                        </w:rPr>
                      </w:pPr>
                      <w:r w:rsidRPr="009A3805">
                        <w:rPr>
                          <w:rFonts w:ascii="Times New Roman" w:hAnsi="Times New Roman" w:cs="Times New Roman"/>
                          <w:sz w:val="20"/>
                          <w:szCs w:val="20"/>
                        </w:rPr>
                        <w:t>D-Cilësisë së keqe të ujërave, për vitin 2025 është më i ulët në krahasim me vitin 2023 dhe i barabartë në krahasim me vitet 2018-2022dhe  2024 në vlerën 0%.</w:t>
                      </w:r>
                    </w:p>
                  </w:txbxContent>
                </v:textbox>
              </v:rect>
            </w:pict>
          </mc:Fallback>
        </mc:AlternateContent>
      </w:r>
      <w:r w:rsidRPr="0005229A">
        <w:rPr>
          <w:rFonts w:eastAsiaTheme="minorEastAsia"/>
          <w:noProof/>
          <w:sz w:val="21"/>
          <w:szCs w:val="21"/>
        </w:rPr>
        <w:drawing>
          <wp:inline distT="0" distB="0" distL="0" distR="0" wp14:anchorId="029C316B" wp14:editId="3D209410">
            <wp:extent cx="2762250" cy="2362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762250" cy="2362200"/>
                    </a:xfrm>
                    <a:prstGeom prst="rect">
                      <a:avLst/>
                    </a:prstGeom>
                    <a:noFill/>
                  </pic:spPr>
                </pic:pic>
              </a:graphicData>
            </a:graphic>
          </wp:inline>
        </w:drawing>
      </w:r>
    </w:p>
    <w:p w:rsidR="001E2AD3" w:rsidRDefault="0005229A" w:rsidP="001E2AD3">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 xml:space="preserve">PLAZHI I TALES: Gjatë sezonit turistik të këtij viti u konstatua shtim i numrit të frekuentuesve të plazhit të Tales. Gjatë vëzhgimit u konstatua se plazhi i Tales në përgjithësi ishte i rregullt. Këtë sezon ka pasur shtim të hapësirave të dedikuara për plazhe publike dhe prezencë të </w:t>
      </w:r>
      <w:r w:rsidR="004658E1">
        <w:rPr>
          <w:rFonts w:ascii="Times New Roman" w:eastAsiaTheme="minorEastAsia" w:hAnsi="Times New Roman" w:cs="Times New Roman"/>
          <w:sz w:val="24"/>
          <w:szCs w:val="24"/>
        </w:rPr>
        <w:t>tualeteve</w:t>
      </w:r>
      <w:r w:rsidRPr="0005229A">
        <w:rPr>
          <w:rFonts w:ascii="Times New Roman" w:eastAsiaTheme="minorEastAsia" w:hAnsi="Times New Roman" w:cs="Times New Roman"/>
          <w:sz w:val="24"/>
          <w:szCs w:val="24"/>
        </w:rPr>
        <w:t xml:space="preserve"> publike në brezin ranor. </w:t>
      </w:r>
      <w:r w:rsidR="004658E1">
        <w:rPr>
          <w:rFonts w:ascii="Times New Roman" w:eastAsiaTheme="minorEastAsia" w:hAnsi="Times New Roman" w:cs="Times New Roman"/>
          <w:sz w:val="24"/>
          <w:szCs w:val="24"/>
        </w:rPr>
        <w:t>Subjektet</w:t>
      </w:r>
      <w:r w:rsidRPr="0005229A">
        <w:rPr>
          <w:rFonts w:ascii="Times New Roman" w:eastAsiaTheme="minorEastAsia" w:hAnsi="Times New Roman" w:cs="Times New Roman"/>
          <w:sz w:val="24"/>
          <w:szCs w:val="24"/>
        </w:rPr>
        <w:t xml:space="preserve"> private kryejnë aktivitetin e tyre me plazhe të organizuara e të sistemuara. U vërejt angazhim i Bashkisë Lezhë edhe në plazhet publike të shtuara në këtë sezon. U konstatua pastrimi dhe plugimi i rerës, prezencë të koshave të mbeturinave, dusheve dhe dhomave të ndërrimit, prezencë e afishimit të rregullave për zbatim nga pushuesit. Gjatë muajit Korrik, Gusht u konstatua shtim i numrit të frekuentuesve të plazheve. Në Tale ndodhet kanali i madh me ujëra sipërfaqësorë, në zonën majtas pikës 3 të monitorimit, që derdhet në det majtas hyrjes qëndrore</w:t>
      </w:r>
      <w:r w:rsidRPr="0005229A">
        <w:rPr>
          <w:rFonts w:eastAsiaTheme="minorEastAsia"/>
          <w:sz w:val="21"/>
          <w:szCs w:val="21"/>
        </w:rPr>
        <w:t>.</w:t>
      </w:r>
    </w:p>
    <w:p w:rsidR="0005229A" w:rsidRPr="0005229A" w:rsidRDefault="0005229A" w:rsidP="001E2AD3">
      <w:pPr>
        <w:spacing w:after="200" w:line="288" w:lineRule="auto"/>
        <w:jc w:val="both"/>
        <w:rPr>
          <w:rFonts w:ascii="Times New Roman" w:eastAsiaTheme="minorEastAsia" w:hAnsi="Times New Roman" w:cs="Times New Roman"/>
          <w:sz w:val="24"/>
          <w:szCs w:val="24"/>
        </w:rPr>
      </w:pPr>
      <w:r w:rsidRPr="0005229A">
        <w:rPr>
          <w:rFonts w:eastAsiaTheme="minorEastAsia"/>
          <w:sz w:val="21"/>
          <w:szCs w:val="21"/>
        </w:rPr>
        <w:br w:type="textWrapping" w:clear="all"/>
      </w:r>
      <w:r w:rsidRPr="0005229A">
        <w:rPr>
          <w:rFonts w:ascii="Times New Roman" w:eastAsiaTheme="minorEastAsia" w:hAnsi="Times New Roman" w:cs="Times New Roman"/>
          <w:sz w:val="24"/>
          <w:szCs w:val="24"/>
        </w:rPr>
        <w:t xml:space="preserve">                         </w:t>
      </w:r>
      <w:r w:rsidRPr="0005229A">
        <w:rPr>
          <w:rFonts w:ascii="Times New Roman" w:eastAsiaTheme="minorEastAsia" w:hAnsi="Times New Roman" w:cs="Times New Roman"/>
          <w:b/>
          <w:sz w:val="24"/>
          <w:szCs w:val="24"/>
        </w:rPr>
        <w:t>●Plazhi i Tales</w:t>
      </w:r>
    </w:p>
    <w:tbl>
      <w:tblPr>
        <w:tblW w:w="0" w:type="auto"/>
        <w:tblInd w:w="388" w:type="dxa"/>
        <w:tblLayout w:type="fixed"/>
        <w:tblCellMar>
          <w:left w:w="0" w:type="dxa"/>
          <w:right w:w="0" w:type="dxa"/>
        </w:tblCellMar>
        <w:tblLook w:val="01E0" w:firstRow="1" w:lastRow="1" w:firstColumn="1" w:lastColumn="1" w:noHBand="0" w:noVBand="0"/>
      </w:tblPr>
      <w:tblGrid>
        <w:gridCol w:w="1103"/>
        <w:gridCol w:w="2013"/>
        <w:gridCol w:w="1135"/>
        <w:gridCol w:w="1183"/>
        <w:gridCol w:w="1077"/>
        <w:gridCol w:w="1431"/>
      </w:tblGrid>
      <w:tr w:rsidR="0005229A" w:rsidRPr="0005229A" w:rsidTr="00DD196F">
        <w:trPr>
          <w:trHeight w:val="529"/>
        </w:trPr>
        <w:tc>
          <w:tcPr>
            <w:tcW w:w="1103" w:type="dxa"/>
            <w:tcBorders>
              <w:top w:val="single" w:sz="4" w:space="0" w:color="auto"/>
              <w:left w:val="single" w:sz="4" w:space="0" w:color="auto"/>
              <w:bottom w:val="single" w:sz="4" w:space="0" w:color="auto"/>
              <w:right w:val="single" w:sz="4" w:space="0" w:color="auto"/>
            </w:tcBorders>
            <w:shd w:val="clear" w:color="auto" w:fill="E1EED9"/>
          </w:tcPr>
          <w:p w:rsidR="0005229A" w:rsidRPr="0005229A" w:rsidRDefault="0005229A" w:rsidP="0005229A">
            <w:pPr>
              <w:widowControl w:val="0"/>
              <w:autoSpaceDE w:val="0"/>
              <w:autoSpaceDN w:val="0"/>
              <w:spacing w:before="75" w:after="0" w:line="240" w:lineRule="auto"/>
              <w:ind w:left="91" w:right="82"/>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Nr.</w:t>
            </w:r>
          </w:p>
          <w:p w:rsidR="0005229A" w:rsidRPr="0005229A" w:rsidRDefault="0005229A" w:rsidP="0005229A">
            <w:pPr>
              <w:widowControl w:val="0"/>
              <w:autoSpaceDE w:val="0"/>
              <w:autoSpaceDN w:val="0"/>
              <w:spacing w:before="5" w:after="0" w:line="240" w:lineRule="auto"/>
              <w:ind w:left="91" w:right="82"/>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Stacioneve</w:t>
            </w:r>
          </w:p>
        </w:tc>
        <w:tc>
          <w:tcPr>
            <w:tcW w:w="2013" w:type="dxa"/>
            <w:tcBorders>
              <w:top w:val="single" w:sz="4" w:space="0" w:color="auto"/>
              <w:left w:val="single" w:sz="4" w:space="0" w:color="auto"/>
              <w:bottom w:val="single" w:sz="4" w:space="0" w:color="auto"/>
              <w:right w:val="single" w:sz="4" w:space="0" w:color="auto"/>
            </w:tcBorders>
            <w:shd w:val="clear" w:color="auto" w:fill="E1EED9"/>
          </w:tcPr>
          <w:p w:rsidR="0005229A" w:rsidRPr="0005229A" w:rsidRDefault="0005229A" w:rsidP="0005229A">
            <w:pPr>
              <w:widowControl w:val="0"/>
              <w:autoSpaceDE w:val="0"/>
              <w:autoSpaceDN w:val="0"/>
              <w:spacing w:before="187" w:after="0" w:line="240" w:lineRule="auto"/>
              <w:ind w:left="736" w:right="732"/>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Vendi</w:t>
            </w:r>
          </w:p>
        </w:tc>
        <w:tc>
          <w:tcPr>
            <w:tcW w:w="1135" w:type="dxa"/>
            <w:tcBorders>
              <w:top w:val="single" w:sz="4" w:space="0" w:color="auto"/>
              <w:left w:val="single" w:sz="4" w:space="0" w:color="auto"/>
              <w:bottom w:val="single" w:sz="4" w:space="0" w:color="auto"/>
              <w:right w:val="single" w:sz="4" w:space="0" w:color="auto"/>
            </w:tcBorders>
            <w:shd w:val="clear" w:color="auto" w:fill="E1EED9"/>
          </w:tcPr>
          <w:p w:rsidR="0005229A" w:rsidRPr="0005229A" w:rsidRDefault="0005229A" w:rsidP="0005229A">
            <w:pPr>
              <w:widowControl w:val="0"/>
              <w:autoSpaceDE w:val="0"/>
              <w:autoSpaceDN w:val="0"/>
              <w:spacing w:after="0" w:line="212" w:lineRule="exact"/>
              <w:ind w:left="161"/>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FC</w:t>
            </w:r>
            <w:r w:rsidRPr="0005229A">
              <w:rPr>
                <w:rFonts w:ascii="Times New Roman" w:eastAsia="Times New Roman" w:hAnsi="Times New Roman" w:cs="Times New Roman"/>
                <w:b/>
                <w:spacing w:val="-2"/>
                <w:sz w:val="19"/>
                <w:lang w:val="sq-AL"/>
              </w:rPr>
              <w:t xml:space="preserve"> </w:t>
            </w:r>
            <w:r w:rsidRPr="0005229A">
              <w:rPr>
                <w:rFonts w:ascii="Times New Roman" w:eastAsia="Times New Roman" w:hAnsi="Times New Roman" w:cs="Times New Roman"/>
                <w:b/>
                <w:sz w:val="19"/>
                <w:lang w:val="sq-AL"/>
              </w:rPr>
              <w:t>90%</w:t>
            </w:r>
            <w:r w:rsidRPr="0005229A">
              <w:rPr>
                <w:rFonts w:ascii="Times New Roman" w:eastAsia="Times New Roman" w:hAnsi="Times New Roman" w:cs="Times New Roman"/>
                <w:b/>
                <w:spacing w:val="-1"/>
                <w:sz w:val="19"/>
                <w:lang w:val="sq-AL"/>
              </w:rPr>
              <w:t xml:space="preserve"> </w:t>
            </w:r>
            <w:r w:rsidRPr="0005229A">
              <w:rPr>
                <w:rFonts w:ascii="Times New Roman" w:eastAsia="Times New Roman" w:hAnsi="Times New Roman" w:cs="Times New Roman"/>
                <w:b/>
                <w:sz w:val="19"/>
                <w:lang w:val="sq-AL"/>
              </w:rPr>
              <w:t>-</w:t>
            </w:r>
          </w:p>
          <w:p w:rsidR="0005229A" w:rsidRPr="0005229A" w:rsidRDefault="0005229A" w:rsidP="0005229A">
            <w:pPr>
              <w:widowControl w:val="0"/>
              <w:autoSpaceDE w:val="0"/>
              <w:autoSpaceDN w:val="0"/>
              <w:spacing w:before="5" w:after="0" w:line="240" w:lineRule="auto"/>
              <w:ind w:left="105"/>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Norma</w:t>
            </w:r>
            <w:r w:rsidRPr="0005229A">
              <w:rPr>
                <w:rFonts w:ascii="Times New Roman" w:eastAsia="Times New Roman" w:hAnsi="Times New Roman" w:cs="Times New Roman"/>
                <w:b/>
                <w:spacing w:val="-1"/>
                <w:sz w:val="19"/>
                <w:lang w:val="sq-AL"/>
              </w:rPr>
              <w:t xml:space="preserve"> </w:t>
            </w:r>
            <w:r w:rsidRPr="0005229A">
              <w:rPr>
                <w:rFonts w:ascii="Times New Roman" w:eastAsia="Times New Roman" w:hAnsi="Times New Roman" w:cs="Times New Roman"/>
                <w:b/>
                <w:sz w:val="19"/>
                <w:lang w:val="sq-AL"/>
              </w:rPr>
              <w:t>250</w:t>
            </w:r>
          </w:p>
        </w:tc>
        <w:tc>
          <w:tcPr>
            <w:tcW w:w="1183" w:type="dxa"/>
            <w:tcBorders>
              <w:top w:val="single" w:sz="4" w:space="0" w:color="auto"/>
              <w:left w:val="single" w:sz="4" w:space="0" w:color="auto"/>
              <w:bottom w:val="single" w:sz="4" w:space="0" w:color="auto"/>
              <w:right w:val="single" w:sz="4" w:space="0" w:color="auto"/>
            </w:tcBorders>
            <w:shd w:val="clear" w:color="auto" w:fill="E1EED9"/>
          </w:tcPr>
          <w:p w:rsidR="0005229A" w:rsidRPr="0005229A" w:rsidRDefault="0005229A" w:rsidP="0005229A">
            <w:pPr>
              <w:widowControl w:val="0"/>
              <w:autoSpaceDE w:val="0"/>
              <w:autoSpaceDN w:val="0"/>
              <w:spacing w:after="0" w:line="212" w:lineRule="exact"/>
              <w:ind w:left="211"/>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IE</w:t>
            </w:r>
            <w:r w:rsidRPr="0005229A">
              <w:rPr>
                <w:rFonts w:ascii="Times New Roman" w:eastAsia="Times New Roman" w:hAnsi="Times New Roman" w:cs="Times New Roman"/>
                <w:b/>
                <w:spacing w:val="-1"/>
                <w:sz w:val="19"/>
                <w:lang w:val="sq-AL"/>
              </w:rPr>
              <w:t xml:space="preserve"> </w:t>
            </w:r>
            <w:r w:rsidRPr="0005229A">
              <w:rPr>
                <w:rFonts w:ascii="Times New Roman" w:eastAsia="Times New Roman" w:hAnsi="Times New Roman" w:cs="Times New Roman"/>
                <w:b/>
                <w:sz w:val="19"/>
                <w:lang w:val="sq-AL"/>
              </w:rPr>
              <w:t>95%</w:t>
            </w:r>
            <w:r w:rsidRPr="0005229A">
              <w:rPr>
                <w:rFonts w:ascii="Times New Roman" w:eastAsia="Times New Roman" w:hAnsi="Times New Roman" w:cs="Times New Roman"/>
                <w:b/>
                <w:spacing w:val="-2"/>
                <w:sz w:val="19"/>
                <w:lang w:val="sq-AL"/>
              </w:rPr>
              <w:t xml:space="preserve"> </w:t>
            </w:r>
            <w:r w:rsidRPr="0005229A">
              <w:rPr>
                <w:rFonts w:ascii="Times New Roman" w:eastAsia="Times New Roman" w:hAnsi="Times New Roman" w:cs="Times New Roman"/>
                <w:b/>
                <w:sz w:val="19"/>
                <w:lang w:val="sq-AL"/>
              </w:rPr>
              <w:t>-</w:t>
            </w:r>
          </w:p>
          <w:p w:rsidR="0005229A" w:rsidRPr="0005229A" w:rsidRDefault="0005229A" w:rsidP="0005229A">
            <w:pPr>
              <w:widowControl w:val="0"/>
              <w:autoSpaceDE w:val="0"/>
              <w:autoSpaceDN w:val="0"/>
              <w:spacing w:before="5" w:after="0" w:line="240" w:lineRule="auto"/>
              <w:ind w:left="129"/>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Norma</w:t>
            </w:r>
            <w:r w:rsidRPr="0005229A">
              <w:rPr>
                <w:rFonts w:ascii="Times New Roman" w:eastAsia="Times New Roman" w:hAnsi="Times New Roman" w:cs="Times New Roman"/>
                <w:b/>
                <w:spacing w:val="-1"/>
                <w:sz w:val="19"/>
                <w:lang w:val="sq-AL"/>
              </w:rPr>
              <w:t xml:space="preserve"> </w:t>
            </w:r>
            <w:r w:rsidRPr="0005229A">
              <w:rPr>
                <w:rFonts w:ascii="Times New Roman" w:eastAsia="Times New Roman" w:hAnsi="Times New Roman" w:cs="Times New Roman"/>
                <w:b/>
                <w:sz w:val="19"/>
                <w:lang w:val="sq-AL"/>
              </w:rPr>
              <w:t>100</w:t>
            </w:r>
          </w:p>
        </w:tc>
        <w:tc>
          <w:tcPr>
            <w:tcW w:w="1077" w:type="dxa"/>
            <w:tcBorders>
              <w:top w:val="single" w:sz="4" w:space="0" w:color="auto"/>
              <w:left w:val="single" w:sz="4" w:space="0" w:color="auto"/>
              <w:bottom w:val="single" w:sz="4" w:space="0" w:color="auto"/>
              <w:right w:val="single" w:sz="4" w:space="0" w:color="auto"/>
            </w:tcBorders>
            <w:shd w:val="clear" w:color="auto" w:fill="E1EED9"/>
          </w:tcPr>
          <w:p w:rsidR="0005229A" w:rsidRPr="0005229A" w:rsidRDefault="0005229A" w:rsidP="0005229A">
            <w:pPr>
              <w:widowControl w:val="0"/>
              <w:autoSpaceDE w:val="0"/>
              <w:autoSpaceDN w:val="0"/>
              <w:spacing w:after="0" w:line="212" w:lineRule="exact"/>
              <w:ind w:left="121"/>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Kategoria</w:t>
            </w:r>
          </w:p>
        </w:tc>
        <w:tc>
          <w:tcPr>
            <w:tcW w:w="1431" w:type="dxa"/>
            <w:tcBorders>
              <w:top w:val="single" w:sz="4" w:space="0" w:color="auto"/>
              <w:left w:val="single" w:sz="4" w:space="0" w:color="auto"/>
              <w:bottom w:val="single" w:sz="4" w:space="0" w:color="000000"/>
              <w:right w:val="single" w:sz="4" w:space="0" w:color="auto"/>
            </w:tcBorders>
            <w:shd w:val="clear" w:color="auto" w:fill="E1EED9"/>
          </w:tcPr>
          <w:p w:rsidR="0005229A" w:rsidRPr="0005229A" w:rsidRDefault="0005229A" w:rsidP="0005229A">
            <w:pPr>
              <w:widowControl w:val="0"/>
              <w:autoSpaceDE w:val="0"/>
              <w:autoSpaceDN w:val="0"/>
              <w:spacing w:after="0" w:line="244" w:lineRule="auto"/>
              <w:ind w:left="169" w:right="160" w:firstLine="63"/>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Përqindja e</w:t>
            </w:r>
            <w:r w:rsidRPr="0005229A">
              <w:rPr>
                <w:rFonts w:ascii="Times New Roman" w:eastAsia="Times New Roman" w:hAnsi="Times New Roman" w:cs="Times New Roman"/>
                <w:b/>
                <w:spacing w:val="1"/>
                <w:sz w:val="19"/>
                <w:lang w:val="sq-AL"/>
              </w:rPr>
              <w:t xml:space="preserve"> </w:t>
            </w:r>
            <w:r w:rsidRPr="0005229A">
              <w:rPr>
                <w:rFonts w:ascii="Times New Roman" w:eastAsia="Times New Roman" w:hAnsi="Times New Roman" w:cs="Times New Roman"/>
                <w:b/>
                <w:sz w:val="19"/>
                <w:lang w:val="sq-AL"/>
              </w:rPr>
              <w:t>stacioneve</w:t>
            </w:r>
            <w:r w:rsidRPr="0005229A">
              <w:rPr>
                <w:rFonts w:ascii="Times New Roman" w:eastAsia="Times New Roman" w:hAnsi="Times New Roman" w:cs="Times New Roman"/>
                <w:b/>
                <w:spacing w:val="-11"/>
                <w:sz w:val="19"/>
                <w:lang w:val="sq-AL"/>
              </w:rPr>
              <w:t xml:space="preserve"> </w:t>
            </w:r>
            <w:r w:rsidRPr="0005229A">
              <w:rPr>
                <w:rFonts w:ascii="Times New Roman" w:eastAsia="Times New Roman" w:hAnsi="Times New Roman" w:cs="Times New Roman"/>
                <w:b/>
                <w:sz w:val="19"/>
                <w:lang w:val="sq-AL"/>
              </w:rPr>
              <w:t>%</w:t>
            </w:r>
          </w:p>
        </w:tc>
      </w:tr>
      <w:tr w:rsidR="0005229A" w:rsidRPr="0005229A" w:rsidTr="00DD196F">
        <w:trPr>
          <w:trHeight w:val="384"/>
        </w:trPr>
        <w:tc>
          <w:tcPr>
            <w:tcW w:w="110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113" w:after="0" w:line="240" w:lineRule="auto"/>
              <w:ind w:left="49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w:t>
            </w:r>
          </w:p>
        </w:tc>
        <w:tc>
          <w:tcPr>
            <w:tcW w:w="201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24" w:lineRule="exact"/>
              <w:ind w:left="74" w:right="422"/>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Hyrja qendrore,</w:t>
            </w:r>
            <w:r w:rsidRPr="0005229A">
              <w:rPr>
                <w:rFonts w:ascii="Times New Roman" w:eastAsia="Times New Roman" w:hAnsi="Times New Roman" w:cs="Times New Roman"/>
                <w:spacing w:val="1"/>
                <w:sz w:val="19"/>
                <w:lang w:val="sq-AL"/>
              </w:rPr>
              <w:t xml:space="preserve"> </w:t>
            </w:r>
            <w:r w:rsidRPr="0005229A">
              <w:rPr>
                <w:rFonts w:ascii="Times New Roman" w:eastAsia="Times New Roman" w:hAnsi="Times New Roman" w:cs="Times New Roman"/>
                <w:sz w:val="19"/>
                <w:lang w:val="sq-AL"/>
              </w:rPr>
              <w:t>djathtas,</w:t>
            </w:r>
            <w:r w:rsidRPr="0005229A">
              <w:rPr>
                <w:rFonts w:ascii="Times New Roman" w:eastAsia="Times New Roman" w:hAnsi="Times New Roman" w:cs="Times New Roman"/>
                <w:spacing w:val="-7"/>
                <w:sz w:val="19"/>
                <w:lang w:val="sq-AL"/>
              </w:rPr>
              <w:t xml:space="preserve"> </w:t>
            </w:r>
            <w:r w:rsidRPr="0005229A">
              <w:rPr>
                <w:rFonts w:ascii="Times New Roman" w:eastAsia="Times New Roman" w:hAnsi="Times New Roman" w:cs="Times New Roman"/>
                <w:sz w:val="19"/>
                <w:lang w:val="sq-AL"/>
              </w:rPr>
              <w:t>tek</w:t>
            </w:r>
            <w:r w:rsidRPr="0005229A">
              <w:rPr>
                <w:rFonts w:ascii="Times New Roman" w:eastAsia="Times New Roman" w:hAnsi="Times New Roman" w:cs="Times New Roman"/>
                <w:spacing w:val="-8"/>
                <w:sz w:val="19"/>
                <w:lang w:val="sq-AL"/>
              </w:rPr>
              <w:t xml:space="preserve"> </w:t>
            </w:r>
            <w:r w:rsidRPr="0005229A">
              <w:rPr>
                <w:rFonts w:ascii="Times New Roman" w:eastAsia="Times New Roman" w:hAnsi="Times New Roman" w:cs="Times New Roman"/>
                <w:sz w:val="19"/>
                <w:lang w:val="sq-AL"/>
              </w:rPr>
              <w:t>Palmat</w:t>
            </w:r>
          </w:p>
        </w:tc>
        <w:tc>
          <w:tcPr>
            <w:tcW w:w="1135"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1" w:after="0" w:line="240" w:lineRule="auto"/>
              <w:ind w:left="72"/>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115</w:t>
            </w:r>
          </w:p>
        </w:tc>
        <w:tc>
          <w:tcPr>
            <w:tcW w:w="118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1" w:after="0" w:line="240" w:lineRule="auto"/>
              <w:ind w:left="71"/>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118</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12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431" w:type="dxa"/>
            <w:vMerge w:val="restart"/>
            <w:tcBorders>
              <w:top w:val="single" w:sz="4" w:space="0" w:color="000000"/>
              <w:left w:val="single" w:sz="4" w:space="0" w:color="auto"/>
              <w:right w:val="single" w:sz="4" w:space="0" w:color="auto"/>
            </w:tcBorders>
          </w:tcPr>
          <w:p w:rsidR="0005229A" w:rsidRPr="0005229A" w:rsidRDefault="0005229A" w:rsidP="0005229A">
            <w:pPr>
              <w:widowControl w:val="0"/>
              <w:autoSpaceDE w:val="0"/>
              <w:autoSpaceDN w:val="0"/>
              <w:spacing w:before="1" w:after="0" w:line="240" w:lineRule="auto"/>
              <w:ind w:left="72"/>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33% A -Cilësi e shkëlqyer</w:t>
            </w:r>
          </w:p>
          <w:p w:rsidR="0005229A" w:rsidRPr="0005229A" w:rsidRDefault="0005229A" w:rsidP="0005229A">
            <w:pPr>
              <w:widowControl w:val="0"/>
              <w:autoSpaceDE w:val="0"/>
              <w:autoSpaceDN w:val="0"/>
              <w:spacing w:before="1" w:after="0" w:line="240" w:lineRule="auto"/>
              <w:ind w:left="72"/>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67 %,</w:t>
            </w:r>
          </w:p>
          <w:p w:rsidR="0005229A" w:rsidRPr="0005229A" w:rsidRDefault="0005229A" w:rsidP="0005229A">
            <w:pPr>
              <w:widowControl w:val="0"/>
              <w:autoSpaceDE w:val="0"/>
              <w:autoSpaceDN w:val="0"/>
              <w:spacing w:before="5" w:after="0" w:line="240" w:lineRule="auto"/>
              <w:ind w:left="72"/>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B-Cilësi</w:t>
            </w:r>
            <w:r w:rsidRPr="0005229A">
              <w:rPr>
                <w:rFonts w:ascii="Times New Roman" w:eastAsia="Times New Roman" w:hAnsi="Times New Roman" w:cs="Times New Roman"/>
                <w:spacing w:val="-2"/>
                <w:sz w:val="19"/>
                <w:lang w:val="sq-AL"/>
              </w:rPr>
              <w:t xml:space="preserve"> </w:t>
            </w:r>
            <w:r w:rsidRPr="0005229A">
              <w:rPr>
                <w:rFonts w:ascii="Times New Roman" w:eastAsia="Times New Roman" w:hAnsi="Times New Roman" w:cs="Times New Roman"/>
                <w:sz w:val="19"/>
                <w:lang w:val="sq-AL"/>
              </w:rPr>
              <w:t>e</w:t>
            </w:r>
            <w:r w:rsidRPr="0005229A">
              <w:rPr>
                <w:rFonts w:ascii="Times New Roman" w:eastAsia="Times New Roman" w:hAnsi="Times New Roman" w:cs="Times New Roman"/>
                <w:spacing w:val="-1"/>
                <w:sz w:val="19"/>
                <w:lang w:val="sq-AL"/>
              </w:rPr>
              <w:t xml:space="preserve"> </w:t>
            </w:r>
            <w:r w:rsidRPr="0005229A">
              <w:rPr>
                <w:rFonts w:ascii="Times New Roman" w:eastAsia="Times New Roman" w:hAnsi="Times New Roman" w:cs="Times New Roman"/>
                <w:sz w:val="19"/>
                <w:lang w:val="sq-AL"/>
              </w:rPr>
              <w:t>mirë</w:t>
            </w:r>
          </w:p>
          <w:p w:rsidR="0005229A" w:rsidRPr="0005229A" w:rsidRDefault="0005229A" w:rsidP="0005229A">
            <w:pPr>
              <w:widowControl w:val="0"/>
              <w:autoSpaceDE w:val="0"/>
              <w:autoSpaceDN w:val="0"/>
              <w:spacing w:before="9" w:after="0" w:line="240" w:lineRule="auto"/>
              <w:rPr>
                <w:rFonts w:ascii="Times New Roman" w:eastAsia="Times New Roman" w:hAnsi="Times New Roman" w:cs="Times New Roman"/>
                <w:b/>
                <w:i/>
                <w:sz w:val="19"/>
                <w:lang w:val="sq-AL"/>
              </w:rPr>
            </w:pPr>
          </w:p>
          <w:p w:rsidR="0005229A" w:rsidRPr="0005229A" w:rsidRDefault="0005229A" w:rsidP="0005229A">
            <w:pPr>
              <w:widowControl w:val="0"/>
              <w:autoSpaceDE w:val="0"/>
              <w:autoSpaceDN w:val="0"/>
              <w:spacing w:before="1" w:after="0" w:line="244" w:lineRule="auto"/>
              <w:ind w:left="72" w:right="120"/>
              <w:rPr>
                <w:rFonts w:ascii="Times New Roman" w:eastAsia="Times New Roman" w:hAnsi="Times New Roman" w:cs="Times New Roman"/>
                <w:sz w:val="19"/>
                <w:lang w:val="sq-AL"/>
              </w:rPr>
            </w:pPr>
          </w:p>
        </w:tc>
      </w:tr>
      <w:tr w:rsidR="0005229A" w:rsidRPr="0005229A" w:rsidTr="00DD196F">
        <w:trPr>
          <w:trHeight w:val="364"/>
        </w:trPr>
        <w:tc>
          <w:tcPr>
            <w:tcW w:w="110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89" w:after="0" w:line="240" w:lineRule="auto"/>
              <w:ind w:left="49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w:t>
            </w:r>
          </w:p>
        </w:tc>
        <w:tc>
          <w:tcPr>
            <w:tcW w:w="201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6" w:lineRule="exact"/>
              <w:ind w:left="74"/>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Në qendër të</w:t>
            </w:r>
            <w:r w:rsidRPr="0005229A">
              <w:rPr>
                <w:rFonts w:ascii="Times New Roman" w:eastAsia="Times New Roman" w:hAnsi="Times New Roman" w:cs="Times New Roman"/>
                <w:spacing w:val="-1"/>
                <w:sz w:val="19"/>
                <w:lang w:val="sq-AL"/>
              </w:rPr>
              <w:t xml:space="preserve"> </w:t>
            </w:r>
            <w:r w:rsidRPr="0005229A">
              <w:rPr>
                <w:rFonts w:ascii="Times New Roman" w:eastAsia="Times New Roman" w:hAnsi="Times New Roman" w:cs="Times New Roman"/>
                <w:sz w:val="19"/>
                <w:lang w:val="sq-AL"/>
              </w:rPr>
              <w:t>hyrjes,</w:t>
            </w:r>
            <w:r w:rsidRPr="0005229A">
              <w:rPr>
                <w:rFonts w:ascii="Times New Roman" w:eastAsia="Times New Roman" w:hAnsi="Times New Roman" w:cs="Times New Roman"/>
                <w:spacing w:val="-1"/>
                <w:sz w:val="19"/>
                <w:lang w:val="sq-AL"/>
              </w:rPr>
              <w:t xml:space="preserve"> </w:t>
            </w:r>
            <w:r w:rsidRPr="0005229A">
              <w:rPr>
                <w:rFonts w:ascii="Times New Roman" w:eastAsia="Times New Roman" w:hAnsi="Times New Roman" w:cs="Times New Roman"/>
                <w:sz w:val="19"/>
                <w:lang w:val="sq-AL"/>
              </w:rPr>
              <w:t>tek</w:t>
            </w:r>
          </w:p>
          <w:p w:rsidR="0005229A" w:rsidRPr="0005229A" w:rsidRDefault="0005229A" w:rsidP="0005229A">
            <w:pPr>
              <w:widowControl w:val="0"/>
              <w:autoSpaceDE w:val="0"/>
              <w:autoSpaceDN w:val="0"/>
              <w:spacing w:before="5" w:after="0" w:line="191" w:lineRule="exact"/>
              <w:ind w:left="74"/>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Antena</w:t>
            </w:r>
          </w:p>
        </w:tc>
        <w:tc>
          <w:tcPr>
            <w:tcW w:w="1135"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6" w:lineRule="exact"/>
              <w:ind w:left="72"/>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102</w:t>
            </w:r>
          </w:p>
        </w:tc>
        <w:tc>
          <w:tcPr>
            <w:tcW w:w="118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6" w:lineRule="exact"/>
              <w:ind w:left="71"/>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85</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12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A</w:t>
            </w:r>
          </w:p>
        </w:tc>
        <w:tc>
          <w:tcPr>
            <w:tcW w:w="1431"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389"/>
        </w:trPr>
        <w:tc>
          <w:tcPr>
            <w:tcW w:w="110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102" w:after="0" w:line="240" w:lineRule="auto"/>
              <w:ind w:left="49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3</w:t>
            </w:r>
          </w:p>
        </w:tc>
        <w:tc>
          <w:tcPr>
            <w:tcW w:w="201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09" w:lineRule="exact"/>
              <w:ind w:left="74"/>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Majtas</w:t>
            </w:r>
            <w:r w:rsidRPr="0005229A">
              <w:rPr>
                <w:rFonts w:ascii="Times New Roman" w:eastAsia="Times New Roman" w:hAnsi="Times New Roman" w:cs="Times New Roman"/>
                <w:spacing w:val="-1"/>
                <w:sz w:val="19"/>
                <w:lang w:val="sq-AL"/>
              </w:rPr>
              <w:t xml:space="preserve"> </w:t>
            </w:r>
            <w:r w:rsidRPr="0005229A">
              <w:rPr>
                <w:rFonts w:ascii="Times New Roman" w:eastAsia="Times New Roman" w:hAnsi="Times New Roman" w:cs="Times New Roman"/>
                <w:sz w:val="19"/>
                <w:lang w:val="sq-AL"/>
              </w:rPr>
              <w:t>hyrjes qendrore,</w:t>
            </w:r>
          </w:p>
          <w:p w:rsidR="0005229A" w:rsidRPr="0005229A" w:rsidRDefault="0005229A" w:rsidP="0005229A">
            <w:pPr>
              <w:widowControl w:val="0"/>
              <w:autoSpaceDE w:val="0"/>
              <w:autoSpaceDN w:val="0"/>
              <w:spacing w:before="5" w:after="0" w:line="207" w:lineRule="exact"/>
              <w:ind w:left="74"/>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Bar-Restorant</w:t>
            </w:r>
            <w:r w:rsidRPr="0005229A">
              <w:rPr>
                <w:rFonts w:ascii="Times New Roman" w:eastAsia="Times New Roman" w:hAnsi="Times New Roman" w:cs="Times New Roman"/>
                <w:spacing w:val="-2"/>
                <w:sz w:val="19"/>
                <w:lang w:val="sq-AL"/>
              </w:rPr>
              <w:t xml:space="preserve"> </w:t>
            </w:r>
            <w:r w:rsidRPr="0005229A">
              <w:rPr>
                <w:rFonts w:ascii="Times New Roman" w:eastAsia="Times New Roman" w:hAnsi="Times New Roman" w:cs="Times New Roman"/>
                <w:sz w:val="19"/>
                <w:lang w:val="sq-AL"/>
              </w:rPr>
              <w:t>USA</w:t>
            </w:r>
          </w:p>
        </w:tc>
        <w:tc>
          <w:tcPr>
            <w:tcW w:w="1135"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09" w:lineRule="exact"/>
              <w:ind w:left="72"/>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107</w:t>
            </w:r>
          </w:p>
        </w:tc>
        <w:tc>
          <w:tcPr>
            <w:tcW w:w="118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09" w:lineRule="exact"/>
              <w:ind w:left="71"/>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135</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12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431" w:type="dxa"/>
            <w:vMerge/>
            <w:tcBorders>
              <w:top w:val="nil"/>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bl>
    <w:p w:rsidR="0005229A" w:rsidRPr="0005229A" w:rsidRDefault="0005229A" w:rsidP="0005229A">
      <w:pPr>
        <w:spacing w:after="200" w:line="288" w:lineRule="auto"/>
        <w:rPr>
          <w:rFonts w:eastAsiaTheme="minorEastAsia"/>
          <w:sz w:val="21"/>
          <w:szCs w:val="21"/>
        </w:rPr>
      </w:pP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Në plazhin e Tales kemi 1 stacion te kategorise A - Cilësi e shkël</w:t>
      </w:r>
      <w:r w:rsidR="004658E1">
        <w:rPr>
          <w:rFonts w:ascii="Times New Roman" w:eastAsiaTheme="minorEastAsia" w:hAnsi="Times New Roman" w:cs="Times New Roman"/>
          <w:sz w:val="24"/>
          <w:szCs w:val="24"/>
        </w:rPr>
        <w:t>qyer e ujërave dhe 2 stacione të kategorisë B-Cilësi e mirë</w:t>
      </w:r>
      <w:r w:rsidRPr="0005229A">
        <w:rPr>
          <w:rFonts w:ascii="Times New Roman" w:eastAsiaTheme="minorEastAsia" w:hAnsi="Times New Roman" w:cs="Times New Roman"/>
          <w:sz w:val="24"/>
          <w:szCs w:val="24"/>
        </w:rPr>
        <w:t xml:space="preserve"> e ujërave</w:t>
      </w:r>
    </w:p>
    <w:p w:rsidR="003C64EC" w:rsidRDefault="0005229A" w:rsidP="001E2AD3">
      <w:pPr>
        <w:spacing w:after="200" w:line="288" w:lineRule="auto"/>
        <w:rPr>
          <w:rFonts w:eastAsiaTheme="minorEastAsia"/>
          <w:sz w:val="21"/>
          <w:szCs w:val="21"/>
        </w:rPr>
      </w:pPr>
      <w:r w:rsidRPr="0005229A">
        <w:rPr>
          <w:rFonts w:eastAsiaTheme="minorEastAsia"/>
          <w:noProof/>
          <w:sz w:val="21"/>
          <w:szCs w:val="21"/>
        </w:rPr>
        <w:lastRenderedPageBreak/>
        <mc:AlternateContent>
          <mc:Choice Requires="wps">
            <w:drawing>
              <wp:anchor distT="0" distB="0" distL="114300" distR="114300" simplePos="0" relativeHeight="251615744" behindDoc="0" locked="0" layoutInCell="1" allowOverlap="1" wp14:anchorId="25DCFA84" wp14:editId="2983561F">
                <wp:simplePos x="0" y="0"/>
                <wp:positionH relativeFrom="margin">
                  <wp:align>right</wp:align>
                </wp:positionH>
                <wp:positionV relativeFrom="paragraph">
                  <wp:posOffset>11431</wp:posOffset>
                </wp:positionV>
                <wp:extent cx="3028950" cy="25336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3028950" cy="2533650"/>
                        </a:xfrm>
                        <a:prstGeom prst="rect">
                          <a:avLst/>
                        </a:prstGeom>
                        <a:solidFill>
                          <a:sysClr val="window" lastClr="FFFFFF"/>
                        </a:solidFill>
                        <a:ln w="12700" cap="flat" cmpd="sng" algn="ctr">
                          <a:solidFill>
                            <a:srgbClr val="70AD47"/>
                          </a:solidFill>
                          <a:prstDash val="solid"/>
                          <a:miter lim="800000"/>
                        </a:ln>
                        <a:effectLst/>
                      </wps:spPr>
                      <wps:txbx>
                        <w:txbxContent>
                          <w:p w:rsidR="0064059F" w:rsidRPr="0013012F" w:rsidRDefault="0064059F" w:rsidP="0005229A">
                            <w:pPr>
                              <w:rPr>
                                <w:rFonts w:ascii="Times New Roman" w:hAnsi="Times New Roman" w:cs="Times New Roman"/>
                                <w:sz w:val="20"/>
                                <w:szCs w:val="20"/>
                              </w:rPr>
                            </w:pPr>
                            <w:r w:rsidRPr="0013012F">
                              <w:rPr>
                                <w:rFonts w:ascii="Times New Roman" w:hAnsi="Times New Roman" w:cs="Times New Roman"/>
                                <w:sz w:val="20"/>
                                <w:szCs w:val="20"/>
                              </w:rPr>
                              <w:t>Në plazhin e Tales kemi 1 stacion te kategorise A - Cilësi e shkëlqyer e ujërave dhe 2 stacione te kategorise B-Cilësi e mire e ujërave</w:t>
                            </w:r>
                          </w:p>
                          <w:p w:rsidR="0064059F" w:rsidRPr="00C85324" w:rsidRDefault="0064059F" w:rsidP="0005229A">
                            <w:pPr>
                              <w:spacing w:after="0"/>
                              <w:jc w:val="both"/>
                              <w:rPr>
                                <w:rFonts w:ascii="Times New Roman" w:hAnsi="Times New Roman" w:cs="Times New Roman"/>
                                <w:sz w:val="20"/>
                                <w:szCs w:val="20"/>
                              </w:rPr>
                            </w:pPr>
                            <w:r w:rsidRPr="00C85324">
                              <w:rPr>
                                <w:rFonts w:ascii="Times New Roman" w:hAnsi="Times New Roman" w:cs="Times New Roman"/>
                                <w:sz w:val="20"/>
                                <w:szCs w:val="20"/>
                              </w:rPr>
                              <w:t>Për Plazhin e Tales  për vitin 2025, kemi rritje të stacioneve  të kategorisë A-Cilësi e shkëlqyer, krahasuar me  2023, 2024 dhe zvogëlim në vitet 2020-2022</w:t>
                            </w:r>
                          </w:p>
                          <w:p w:rsidR="0064059F" w:rsidRPr="00C85324" w:rsidRDefault="0064059F" w:rsidP="0005229A">
                            <w:pPr>
                              <w:spacing w:after="0"/>
                              <w:jc w:val="both"/>
                              <w:rPr>
                                <w:rFonts w:ascii="Times New Roman" w:hAnsi="Times New Roman" w:cs="Times New Roman"/>
                                <w:sz w:val="20"/>
                                <w:szCs w:val="20"/>
                              </w:rPr>
                            </w:pPr>
                            <w:r w:rsidRPr="00C85324">
                              <w:rPr>
                                <w:rFonts w:ascii="Times New Roman" w:hAnsi="Times New Roman" w:cs="Times New Roman"/>
                                <w:sz w:val="20"/>
                                <w:szCs w:val="20"/>
                              </w:rPr>
                              <w:t xml:space="preserve">Kemi tendencë në rritje të stacioneve të kategorisë B-Cilësisë së mirë të ujërave, në vitet 2020-2024 </w:t>
                            </w:r>
                          </w:p>
                          <w:p w:rsidR="0064059F" w:rsidRPr="00C85324" w:rsidRDefault="0064059F" w:rsidP="0005229A">
                            <w:pPr>
                              <w:spacing w:after="0"/>
                              <w:jc w:val="both"/>
                              <w:rPr>
                                <w:rFonts w:ascii="Times New Roman" w:hAnsi="Times New Roman" w:cs="Times New Roman"/>
                                <w:sz w:val="20"/>
                                <w:szCs w:val="20"/>
                              </w:rPr>
                            </w:pPr>
                            <w:r w:rsidRPr="00C85324">
                              <w:rPr>
                                <w:rFonts w:ascii="Times New Roman" w:hAnsi="Times New Roman" w:cs="Times New Roman"/>
                                <w:sz w:val="20"/>
                                <w:szCs w:val="20"/>
                              </w:rPr>
                              <w:t xml:space="preserve">Kemi zvogëlim të stacioneve të kategorisë C-Cilësisë së mjaftueshme, krahasuar me vitet 2023- 2024 dhe i barabartë me vitet 2020-2022. </w:t>
                            </w:r>
                          </w:p>
                          <w:p w:rsidR="0064059F" w:rsidRPr="00C85324" w:rsidRDefault="0064059F" w:rsidP="0005229A">
                            <w:pPr>
                              <w:jc w:val="both"/>
                              <w:rPr>
                                <w:rFonts w:ascii="Times New Roman" w:hAnsi="Times New Roman" w:cs="Times New Roman"/>
                                <w:sz w:val="20"/>
                                <w:szCs w:val="20"/>
                              </w:rPr>
                            </w:pPr>
                            <w:r w:rsidRPr="00C85324">
                              <w:rPr>
                                <w:rFonts w:ascii="Times New Roman" w:hAnsi="Times New Roman" w:cs="Times New Roman"/>
                                <w:sz w:val="20"/>
                                <w:szCs w:val="20"/>
                              </w:rPr>
                              <w:t>Nuk kemi stacione të kategorisë D-Cilësisë së keqe të ujërave, në vitet 2020-2025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CFA84" id="Rectangle 22" o:spid="_x0000_s1086" style="position:absolute;margin-left:187.3pt;margin-top:.9pt;width:238.5pt;height:199.5pt;z-index:251615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" fillcolor="window" strokecolor="#70ad47" strokeweight="1pt">
                <v:textbox>
                  <w:txbxContent>
                    <w:p w:rsidR="0064059F" w:rsidRPr="0013012F" w:rsidRDefault="0064059F" w:rsidP="0005229A">
                      <w:pPr>
                        <w:rPr>
                          <w:rFonts w:ascii="Times New Roman" w:hAnsi="Times New Roman" w:cs="Times New Roman"/>
                          <w:sz w:val="20"/>
                          <w:szCs w:val="20"/>
                        </w:rPr>
                      </w:pPr>
                      <w:r w:rsidRPr="0013012F">
                        <w:rPr>
                          <w:rFonts w:ascii="Times New Roman" w:hAnsi="Times New Roman" w:cs="Times New Roman"/>
                          <w:sz w:val="20"/>
                          <w:szCs w:val="20"/>
                        </w:rPr>
                        <w:t>Në plazhin e Tales kemi 1 stacion te kategorise A - Cilësi e shkëlqyer e ujërave dhe 2 stacione te kategorise B-Cilësi e mire e ujërave</w:t>
                      </w:r>
                    </w:p>
                    <w:p w:rsidR="0064059F" w:rsidRPr="00C85324" w:rsidRDefault="0064059F" w:rsidP="0005229A">
                      <w:pPr>
                        <w:spacing w:after="0"/>
                        <w:jc w:val="both"/>
                        <w:rPr>
                          <w:rFonts w:ascii="Times New Roman" w:hAnsi="Times New Roman" w:cs="Times New Roman"/>
                          <w:sz w:val="20"/>
                          <w:szCs w:val="20"/>
                        </w:rPr>
                      </w:pPr>
                      <w:r w:rsidRPr="00C85324">
                        <w:rPr>
                          <w:rFonts w:ascii="Times New Roman" w:hAnsi="Times New Roman" w:cs="Times New Roman"/>
                          <w:sz w:val="20"/>
                          <w:szCs w:val="20"/>
                        </w:rPr>
                        <w:t>Për Plazhin e Tales  për vitin 2025, kemi rritje të stacioneve  të kategorisë A-Cilësi e shkëlqyer, krahasuar me  2023, 2024 dhe zvogëlim në vitet 2020-2022</w:t>
                      </w:r>
                    </w:p>
                    <w:p w:rsidR="0064059F" w:rsidRPr="00C85324" w:rsidRDefault="0064059F" w:rsidP="0005229A">
                      <w:pPr>
                        <w:spacing w:after="0"/>
                        <w:jc w:val="both"/>
                        <w:rPr>
                          <w:rFonts w:ascii="Times New Roman" w:hAnsi="Times New Roman" w:cs="Times New Roman"/>
                          <w:sz w:val="20"/>
                          <w:szCs w:val="20"/>
                        </w:rPr>
                      </w:pPr>
                      <w:r w:rsidRPr="00C85324">
                        <w:rPr>
                          <w:rFonts w:ascii="Times New Roman" w:hAnsi="Times New Roman" w:cs="Times New Roman"/>
                          <w:sz w:val="20"/>
                          <w:szCs w:val="20"/>
                        </w:rPr>
                        <w:t xml:space="preserve">Kemi tendencë në rritje të stacioneve të kategorisë B-Cilësisë së mirë të ujërave, në vitet 2020-2024 </w:t>
                      </w:r>
                    </w:p>
                    <w:p w:rsidR="0064059F" w:rsidRPr="00C85324" w:rsidRDefault="0064059F" w:rsidP="0005229A">
                      <w:pPr>
                        <w:spacing w:after="0"/>
                        <w:jc w:val="both"/>
                        <w:rPr>
                          <w:rFonts w:ascii="Times New Roman" w:hAnsi="Times New Roman" w:cs="Times New Roman"/>
                          <w:sz w:val="20"/>
                          <w:szCs w:val="20"/>
                        </w:rPr>
                      </w:pPr>
                      <w:r w:rsidRPr="00C85324">
                        <w:rPr>
                          <w:rFonts w:ascii="Times New Roman" w:hAnsi="Times New Roman" w:cs="Times New Roman"/>
                          <w:sz w:val="20"/>
                          <w:szCs w:val="20"/>
                        </w:rPr>
                        <w:t xml:space="preserve">Kemi zvogëlim të stacioneve të kategorisë C-Cilësisë së mjaftueshme, krahasuar me vitet 2023- 2024 dhe i barabartë me vitet 2020-2022. </w:t>
                      </w:r>
                    </w:p>
                    <w:p w:rsidR="0064059F" w:rsidRPr="00C85324" w:rsidRDefault="0064059F" w:rsidP="0005229A">
                      <w:pPr>
                        <w:jc w:val="both"/>
                        <w:rPr>
                          <w:rFonts w:ascii="Times New Roman" w:hAnsi="Times New Roman" w:cs="Times New Roman"/>
                          <w:sz w:val="20"/>
                          <w:szCs w:val="20"/>
                        </w:rPr>
                      </w:pPr>
                      <w:r w:rsidRPr="00C85324">
                        <w:rPr>
                          <w:rFonts w:ascii="Times New Roman" w:hAnsi="Times New Roman" w:cs="Times New Roman"/>
                          <w:sz w:val="20"/>
                          <w:szCs w:val="20"/>
                        </w:rPr>
                        <w:t>Nuk kemi stacione të kategorisë D-Cilësisë së keqe të ujërave, në vitet 2020-2025</w:t>
                      </w:r>
                    </w:p>
                  </w:txbxContent>
                </v:textbox>
                <w10:wrap anchorx="margin"/>
              </v:rect>
            </w:pict>
          </mc:Fallback>
        </mc:AlternateContent>
      </w:r>
      <w:r w:rsidRPr="0005229A">
        <w:rPr>
          <w:rFonts w:eastAsiaTheme="minorEastAsia"/>
          <w:noProof/>
          <w:sz w:val="21"/>
          <w:szCs w:val="21"/>
        </w:rPr>
        <w:drawing>
          <wp:inline distT="0" distB="0" distL="0" distR="0" wp14:anchorId="2E8BB7A2" wp14:editId="4110898F">
            <wp:extent cx="2840990" cy="25730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840990" cy="2573020"/>
                    </a:xfrm>
                    <a:prstGeom prst="rect">
                      <a:avLst/>
                    </a:prstGeom>
                    <a:noFill/>
                  </pic:spPr>
                </pic:pic>
              </a:graphicData>
            </a:graphic>
          </wp:inline>
        </w:drawing>
      </w:r>
    </w:p>
    <w:p w:rsidR="001E2AD3" w:rsidRPr="003C64EC" w:rsidRDefault="0005229A" w:rsidP="00807975">
      <w:pPr>
        <w:pStyle w:val="ListParagraph"/>
        <w:numPr>
          <w:ilvl w:val="0"/>
          <w:numId w:val="162"/>
        </w:numPr>
        <w:spacing w:after="200" w:line="288" w:lineRule="auto"/>
        <w:rPr>
          <w:rFonts w:eastAsiaTheme="minorEastAsia"/>
          <w:sz w:val="21"/>
          <w:szCs w:val="21"/>
        </w:rPr>
      </w:pPr>
      <w:r w:rsidRPr="003C64EC">
        <w:rPr>
          <w:rFonts w:ascii="Times New Roman" w:eastAsiaTheme="minorEastAsia" w:hAnsi="Times New Roman" w:cs="Times New Roman"/>
          <w:b/>
          <w:sz w:val="24"/>
          <w:szCs w:val="24"/>
        </w:rPr>
        <w:t>Plazhet e Durrësit dhe Gjirit të Lalzit</w:t>
      </w:r>
    </w:p>
    <w:p w:rsidR="0005229A" w:rsidRPr="0005229A" w:rsidRDefault="0005229A" w:rsidP="00DA3FBA">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 xml:space="preserve">PLAZHET E DURRËSIT: Në plazhet e Durrësit ka pasur një frekuentim me numër të lartë të pushuesve veçanërisht në muajt Korrik e Gusht. Pika e monitorimit 15 që përfaqëson zonën pas kanalit (Plepa), vazhdon të jetë problematike me vlera të larta të ndotjes. Në këtë zonë u konstatua prani e shkarkimeve të ujërave urbane të pa trajtuara, me erë të rëndë. Përgjithësisht në plazhet e Durrësit gjatë monitorimit u konstatua prezencë e koshave të mbeturinave, dusheve, dhoma të ndërrimit të veshjeve, kullave të vrojtimit, prezencë e afishimit të rregullave për zbatim nga pushuesit.  U vërejt angazhim i strukturave akomoduese private me grumbullim të mbetjeve në brezin ranor, me plugim të zonës dhe sistemim të shezlongëve. Në brezin ranor nuk kishte prani të nyjeve higjeno sanitare. Frekuentuesit e këtyre plazheve shfrytëzojnë ambientet e strukturave akomoduese.  Në disa zona konstatohen mbeturina leshterike të dalë nga deti të palarguara veçanërisht zona Currila1 dhe Currila 2. </w:t>
      </w:r>
    </w:p>
    <w:p w:rsidR="0005229A" w:rsidRPr="0005229A" w:rsidRDefault="0005229A" w:rsidP="0005229A">
      <w:pPr>
        <w:spacing w:after="200" w:line="288" w:lineRule="auto"/>
        <w:rPr>
          <w:rFonts w:eastAsiaTheme="minorEastAsia"/>
          <w:sz w:val="21"/>
          <w:szCs w:val="21"/>
        </w:rPr>
      </w:pPr>
      <w:r w:rsidRPr="0005229A">
        <w:rPr>
          <w:rFonts w:eastAsiaTheme="minorEastAsia"/>
          <w:sz w:val="21"/>
          <w:szCs w:val="21"/>
        </w:rPr>
        <w:t xml:space="preserve">                          </w:t>
      </w:r>
    </w:p>
    <w:p w:rsidR="0005229A" w:rsidRPr="0005229A" w:rsidRDefault="0005229A" w:rsidP="0005229A">
      <w:pPr>
        <w:spacing w:after="200" w:line="288" w:lineRule="auto"/>
        <w:rPr>
          <w:rFonts w:ascii="Times New Roman" w:eastAsiaTheme="minorEastAsia" w:hAnsi="Times New Roman" w:cs="Times New Roman"/>
          <w:b/>
          <w:sz w:val="24"/>
          <w:szCs w:val="24"/>
        </w:rPr>
      </w:pPr>
      <w:r w:rsidRPr="0005229A">
        <w:rPr>
          <w:rFonts w:eastAsiaTheme="minorEastAsia"/>
          <w:sz w:val="24"/>
          <w:szCs w:val="24"/>
        </w:rPr>
        <w:t xml:space="preserve">                                    </w:t>
      </w:r>
      <w:r w:rsidRPr="0005229A">
        <w:rPr>
          <w:rFonts w:ascii="Times New Roman" w:eastAsiaTheme="minorEastAsia" w:hAnsi="Times New Roman" w:cs="Times New Roman"/>
          <w:b/>
          <w:sz w:val="24"/>
          <w:szCs w:val="24"/>
        </w:rPr>
        <w:t>● Plazhi i Durr</w:t>
      </w:r>
      <w:r w:rsidR="00DA3FBA">
        <w:rPr>
          <w:rFonts w:ascii="Times New Roman" w:eastAsiaTheme="minorEastAsia" w:hAnsi="Times New Roman" w:cs="Times New Roman"/>
          <w:b/>
          <w:sz w:val="24"/>
          <w:szCs w:val="24"/>
        </w:rPr>
        <w:t>ë</w:t>
      </w:r>
      <w:r w:rsidRPr="0005229A">
        <w:rPr>
          <w:rFonts w:ascii="Times New Roman" w:eastAsiaTheme="minorEastAsia" w:hAnsi="Times New Roman" w:cs="Times New Roman"/>
          <w:b/>
          <w:sz w:val="24"/>
          <w:szCs w:val="24"/>
        </w:rPr>
        <w:t>sit</w:t>
      </w:r>
    </w:p>
    <w:tbl>
      <w:tblPr>
        <w:tblW w:w="0" w:type="auto"/>
        <w:tblInd w:w="494" w:type="dxa"/>
        <w:tblLayout w:type="fixed"/>
        <w:tblCellMar>
          <w:left w:w="0" w:type="dxa"/>
          <w:right w:w="0" w:type="dxa"/>
        </w:tblCellMar>
        <w:tblLook w:val="01E0" w:firstRow="1" w:lastRow="1" w:firstColumn="1" w:lastColumn="1" w:noHBand="0" w:noVBand="0"/>
      </w:tblPr>
      <w:tblGrid>
        <w:gridCol w:w="1116"/>
        <w:gridCol w:w="2018"/>
        <w:gridCol w:w="1269"/>
        <w:gridCol w:w="1418"/>
        <w:gridCol w:w="1048"/>
        <w:gridCol w:w="1224"/>
      </w:tblGrid>
      <w:tr w:rsidR="0005229A" w:rsidRPr="0005229A" w:rsidTr="00DD196F">
        <w:trPr>
          <w:trHeight w:val="769"/>
        </w:trPr>
        <w:tc>
          <w:tcPr>
            <w:tcW w:w="1116" w:type="dxa"/>
            <w:tcBorders>
              <w:top w:val="single" w:sz="4" w:space="0" w:color="auto"/>
              <w:left w:val="single" w:sz="4" w:space="0" w:color="auto"/>
              <w:bottom w:val="single" w:sz="4" w:space="0" w:color="auto"/>
              <w:right w:val="single" w:sz="4" w:space="0" w:color="auto"/>
            </w:tcBorders>
            <w:shd w:val="clear" w:color="auto" w:fill="EEE0EC"/>
          </w:tcPr>
          <w:p w:rsidR="0005229A" w:rsidRPr="0005229A" w:rsidRDefault="0005229A" w:rsidP="0005229A">
            <w:pPr>
              <w:widowControl w:val="0"/>
              <w:autoSpaceDE w:val="0"/>
              <w:autoSpaceDN w:val="0"/>
              <w:spacing w:before="112" w:after="0" w:line="240" w:lineRule="auto"/>
              <w:ind w:left="77" w:right="71"/>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Nr.</w:t>
            </w:r>
          </w:p>
          <w:p w:rsidR="0005229A" w:rsidRPr="0005229A" w:rsidRDefault="0005229A" w:rsidP="0005229A">
            <w:pPr>
              <w:widowControl w:val="0"/>
              <w:autoSpaceDE w:val="0"/>
              <w:autoSpaceDN w:val="0"/>
              <w:spacing w:before="5" w:after="0" w:line="240" w:lineRule="auto"/>
              <w:ind w:left="78" w:right="71"/>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Stacioneve</w:t>
            </w:r>
          </w:p>
        </w:tc>
        <w:tc>
          <w:tcPr>
            <w:tcW w:w="2018" w:type="dxa"/>
            <w:tcBorders>
              <w:top w:val="single" w:sz="4" w:space="0" w:color="auto"/>
              <w:left w:val="single" w:sz="4" w:space="0" w:color="auto"/>
              <w:bottom w:val="single" w:sz="4" w:space="0" w:color="auto"/>
              <w:right w:val="single" w:sz="4" w:space="0" w:color="auto"/>
            </w:tcBorders>
            <w:shd w:val="clear" w:color="auto" w:fill="EEE0EC"/>
          </w:tcPr>
          <w:p w:rsidR="0005229A" w:rsidRPr="0005229A" w:rsidRDefault="0005229A" w:rsidP="0005229A">
            <w:pPr>
              <w:widowControl w:val="0"/>
              <w:autoSpaceDE w:val="0"/>
              <w:autoSpaceDN w:val="0"/>
              <w:spacing w:before="5" w:after="0" w:line="240" w:lineRule="auto"/>
              <w:rPr>
                <w:rFonts w:ascii="Times New Roman" w:eastAsia="Times New Roman" w:hAnsi="Times New Roman" w:cs="Times New Roman"/>
                <w:b/>
                <w:i/>
                <w:sz w:val="19"/>
                <w:lang w:val="sq-AL"/>
              </w:rPr>
            </w:pPr>
          </w:p>
          <w:p w:rsidR="0005229A" w:rsidRPr="0005229A" w:rsidRDefault="0005229A" w:rsidP="0005229A">
            <w:pPr>
              <w:widowControl w:val="0"/>
              <w:autoSpaceDE w:val="0"/>
              <w:autoSpaceDN w:val="0"/>
              <w:spacing w:before="1" w:after="0" w:line="240" w:lineRule="auto"/>
              <w:ind w:left="707" w:right="700"/>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Vendi</w:t>
            </w:r>
          </w:p>
        </w:tc>
        <w:tc>
          <w:tcPr>
            <w:tcW w:w="1269" w:type="dxa"/>
            <w:tcBorders>
              <w:top w:val="single" w:sz="4" w:space="0" w:color="auto"/>
              <w:left w:val="single" w:sz="4" w:space="0" w:color="auto"/>
              <w:bottom w:val="single" w:sz="4" w:space="0" w:color="auto"/>
              <w:right w:val="single" w:sz="4" w:space="0" w:color="auto"/>
            </w:tcBorders>
            <w:shd w:val="clear" w:color="auto" w:fill="EEE0EC"/>
          </w:tcPr>
          <w:p w:rsidR="0005229A" w:rsidRPr="0005229A" w:rsidRDefault="0005229A" w:rsidP="0005229A">
            <w:pPr>
              <w:widowControl w:val="0"/>
              <w:autoSpaceDE w:val="0"/>
              <w:autoSpaceDN w:val="0"/>
              <w:spacing w:before="1" w:after="0" w:line="240" w:lineRule="auto"/>
              <w:ind w:left="201"/>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FC</w:t>
            </w:r>
            <w:r w:rsidRPr="0005229A">
              <w:rPr>
                <w:rFonts w:ascii="Times New Roman" w:eastAsia="Times New Roman" w:hAnsi="Times New Roman" w:cs="Times New Roman"/>
                <w:b/>
                <w:spacing w:val="4"/>
                <w:sz w:val="19"/>
                <w:lang w:val="sq-AL"/>
              </w:rPr>
              <w:t xml:space="preserve"> </w:t>
            </w:r>
            <w:r w:rsidRPr="0005229A">
              <w:rPr>
                <w:rFonts w:ascii="Times New Roman" w:eastAsia="Times New Roman" w:hAnsi="Times New Roman" w:cs="Times New Roman"/>
                <w:b/>
                <w:sz w:val="19"/>
                <w:lang w:val="sq-AL"/>
              </w:rPr>
              <w:t>90%</w:t>
            </w:r>
            <w:r w:rsidRPr="0005229A">
              <w:rPr>
                <w:rFonts w:ascii="Times New Roman" w:eastAsia="Times New Roman" w:hAnsi="Times New Roman" w:cs="Times New Roman"/>
                <w:b/>
                <w:spacing w:val="4"/>
                <w:sz w:val="19"/>
                <w:lang w:val="sq-AL"/>
              </w:rPr>
              <w:t xml:space="preserve"> </w:t>
            </w:r>
            <w:r w:rsidRPr="0005229A">
              <w:rPr>
                <w:rFonts w:ascii="Times New Roman" w:eastAsia="Times New Roman" w:hAnsi="Times New Roman" w:cs="Times New Roman"/>
                <w:b/>
                <w:sz w:val="19"/>
                <w:lang w:val="sq-AL"/>
              </w:rPr>
              <w:t>-</w:t>
            </w:r>
          </w:p>
          <w:p w:rsidR="0005229A" w:rsidRPr="0005229A" w:rsidRDefault="0005229A" w:rsidP="0005229A">
            <w:pPr>
              <w:widowControl w:val="0"/>
              <w:autoSpaceDE w:val="0"/>
              <w:autoSpaceDN w:val="0"/>
              <w:spacing w:before="5" w:after="0" w:line="240" w:lineRule="auto"/>
              <w:ind w:left="145"/>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Norma</w:t>
            </w:r>
            <w:r w:rsidRPr="0005229A">
              <w:rPr>
                <w:rFonts w:ascii="Times New Roman" w:eastAsia="Times New Roman" w:hAnsi="Times New Roman" w:cs="Times New Roman"/>
                <w:b/>
                <w:spacing w:val="8"/>
                <w:sz w:val="19"/>
                <w:lang w:val="sq-AL"/>
              </w:rPr>
              <w:t xml:space="preserve"> </w:t>
            </w:r>
            <w:r w:rsidRPr="0005229A">
              <w:rPr>
                <w:rFonts w:ascii="Times New Roman" w:eastAsia="Times New Roman" w:hAnsi="Times New Roman" w:cs="Times New Roman"/>
                <w:b/>
                <w:sz w:val="19"/>
                <w:lang w:val="sq-AL"/>
              </w:rPr>
              <w:t>250</w:t>
            </w:r>
          </w:p>
        </w:tc>
        <w:tc>
          <w:tcPr>
            <w:tcW w:w="1418" w:type="dxa"/>
            <w:tcBorders>
              <w:top w:val="single" w:sz="4" w:space="0" w:color="auto"/>
              <w:left w:val="single" w:sz="4" w:space="0" w:color="auto"/>
              <w:bottom w:val="single" w:sz="4" w:space="0" w:color="auto"/>
              <w:right w:val="single" w:sz="4" w:space="0" w:color="auto"/>
            </w:tcBorders>
            <w:shd w:val="clear" w:color="auto" w:fill="EEE0EC"/>
          </w:tcPr>
          <w:p w:rsidR="0005229A" w:rsidRPr="0005229A" w:rsidRDefault="0005229A" w:rsidP="0005229A">
            <w:pPr>
              <w:widowControl w:val="0"/>
              <w:autoSpaceDE w:val="0"/>
              <w:autoSpaceDN w:val="0"/>
              <w:spacing w:before="1" w:after="0" w:line="240" w:lineRule="auto"/>
              <w:ind w:left="301"/>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IE</w:t>
            </w:r>
            <w:r w:rsidRPr="0005229A">
              <w:rPr>
                <w:rFonts w:ascii="Times New Roman" w:eastAsia="Times New Roman" w:hAnsi="Times New Roman" w:cs="Times New Roman"/>
                <w:b/>
                <w:spacing w:val="4"/>
                <w:sz w:val="19"/>
                <w:lang w:val="sq-AL"/>
              </w:rPr>
              <w:t xml:space="preserve"> </w:t>
            </w:r>
            <w:r w:rsidRPr="0005229A">
              <w:rPr>
                <w:rFonts w:ascii="Times New Roman" w:eastAsia="Times New Roman" w:hAnsi="Times New Roman" w:cs="Times New Roman"/>
                <w:b/>
                <w:sz w:val="19"/>
                <w:lang w:val="sq-AL"/>
              </w:rPr>
              <w:t>95%</w:t>
            </w:r>
            <w:r w:rsidRPr="0005229A">
              <w:rPr>
                <w:rFonts w:ascii="Times New Roman" w:eastAsia="Times New Roman" w:hAnsi="Times New Roman" w:cs="Times New Roman"/>
                <w:b/>
                <w:spacing w:val="3"/>
                <w:sz w:val="19"/>
                <w:lang w:val="sq-AL"/>
              </w:rPr>
              <w:t xml:space="preserve"> </w:t>
            </w:r>
            <w:r w:rsidRPr="0005229A">
              <w:rPr>
                <w:rFonts w:ascii="Times New Roman" w:eastAsia="Times New Roman" w:hAnsi="Times New Roman" w:cs="Times New Roman"/>
                <w:b/>
                <w:sz w:val="19"/>
                <w:lang w:val="sq-AL"/>
              </w:rPr>
              <w:t>-</w:t>
            </w:r>
          </w:p>
          <w:p w:rsidR="0005229A" w:rsidRPr="0005229A" w:rsidRDefault="0005229A" w:rsidP="0005229A">
            <w:pPr>
              <w:widowControl w:val="0"/>
              <w:autoSpaceDE w:val="0"/>
              <w:autoSpaceDN w:val="0"/>
              <w:spacing w:before="5" w:after="0" w:line="240" w:lineRule="auto"/>
              <w:ind w:left="217"/>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Norma</w:t>
            </w:r>
            <w:r w:rsidRPr="0005229A">
              <w:rPr>
                <w:rFonts w:ascii="Times New Roman" w:eastAsia="Times New Roman" w:hAnsi="Times New Roman" w:cs="Times New Roman"/>
                <w:b/>
                <w:spacing w:val="8"/>
                <w:sz w:val="19"/>
                <w:lang w:val="sq-AL"/>
              </w:rPr>
              <w:t xml:space="preserve"> </w:t>
            </w:r>
            <w:r w:rsidRPr="0005229A">
              <w:rPr>
                <w:rFonts w:ascii="Times New Roman" w:eastAsia="Times New Roman" w:hAnsi="Times New Roman" w:cs="Times New Roman"/>
                <w:b/>
                <w:sz w:val="19"/>
                <w:lang w:val="sq-AL"/>
              </w:rPr>
              <w:t>100</w:t>
            </w:r>
          </w:p>
        </w:tc>
        <w:tc>
          <w:tcPr>
            <w:tcW w:w="1048" w:type="dxa"/>
            <w:tcBorders>
              <w:top w:val="single" w:sz="4" w:space="0" w:color="auto"/>
              <w:left w:val="single" w:sz="4" w:space="0" w:color="auto"/>
              <w:bottom w:val="single" w:sz="4" w:space="0" w:color="auto"/>
              <w:right w:val="single" w:sz="4" w:space="0" w:color="auto"/>
            </w:tcBorders>
            <w:shd w:val="clear" w:color="auto" w:fill="EEE0EC"/>
          </w:tcPr>
          <w:p w:rsidR="0005229A" w:rsidRPr="0005229A" w:rsidRDefault="0005229A" w:rsidP="0005229A">
            <w:pPr>
              <w:widowControl w:val="0"/>
              <w:autoSpaceDE w:val="0"/>
              <w:autoSpaceDN w:val="0"/>
              <w:spacing w:before="1" w:after="0" w:line="240" w:lineRule="auto"/>
              <w:ind w:left="83"/>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Kategoria</w:t>
            </w:r>
          </w:p>
        </w:tc>
        <w:tc>
          <w:tcPr>
            <w:tcW w:w="1224" w:type="dxa"/>
            <w:tcBorders>
              <w:top w:val="single" w:sz="4" w:space="0" w:color="auto"/>
              <w:left w:val="single" w:sz="4" w:space="0" w:color="auto"/>
              <w:right w:val="single" w:sz="4" w:space="0" w:color="auto"/>
            </w:tcBorders>
            <w:shd w:val="clear" w:color="auto" w:fill="EEE0EC"/>
          </w:tcPr>
          <w:p w:rsidR="0005229A" w:rsidRPr="0005229A" w:rsidRDefault="0005229A" w:rsidP="0005229A">
            <w:pPr>
              <w:widowControl w:val="0"/>
              <w:autoSpaceDE w:val="0"/>
              <w:autoSpaceDN w:val="0"/>
              <w:spacing w:before="1" w:after="0" w:line="244" w:lineRule="auto"/>
              <w:ind w:left="102" w:right="90"/>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Përqindja</w:t>
            </w:r>
            <w:r w:rsidRPr="0005229A">
              <w:rPr>
                <w:rFonts w:ascii="Times New Roman" w:eastAsia="Times New Roman" w:hAnsi="Times New Roman" w:cs="Times New Roman"/>
                <w:b/>
                <w:spacing w:val="3"/>
                <w:sz w:val="19"/>
                <w:lang w:val="sq-AL"/>
              </w:rPr>
              <w:t xml:space="preserve"> </w:t>
            </w:r>
            <w:r w:rsidRPr="0005229A">
              <w:rPr>
                <w:rFonts w:ascii="Times New Roman" w:eastAsia="Times New Roman" w:hAnsi="Times New Roman" w:cs="Times New Roman"/>
                <w:b/>
                <w:sz w:val="19"/>
                <w:lang w:val="sq-AL"/>
              </w:rPr>
              <w:t>e</w:t>
            </w:r>
            <w:r w:rsidRPr="0005229A">
              <w:rPr>
                <w:rFonts w:ascii="Times New Roman" w:eastAsia="Times New Roman" w:hAnsi="Times New Roman" w:cs="Times New Roman"/>
                <w:b/>
                <w:spacing w:val="-45"/>
                <w:sz w:val="19"/>
                <w:lang w:val="sq-AL"/>
              </w:rPr>
              <w:t xml:space="preserve"> </w:t>
            </w:r>
            <w:r w:rsidRPr="0005229A">
              <w:rPr>
                <w:rFonts w:ascii="Times New Roman" w:eastAsia="Times New Roman" w:hAnsi="Times New Roman" w:cs="Times New Roman"/>
                <w:b/>
                <w:sz w:val="19"/>
                <w:lang w:val="sq-AL"/>
              </w:rPr>
              <w:t>stacioneve</w:t>
            </w:r>
          </w:p>
          <w:p w:rsidR="0005229A" w:rsidRPr="0005229A" w:rsidRDefault="0005229A" w:rsidP="0005229A">
            <w:pPr>
              <w:widowControl w:val="0"/>
              <w:autoSpaceDE w:val="0"/>
              <w:autoSpaceDN w:val="0"/>
              <w:spacing w:before="1" w:after="0" w:line="197" w:lineRule="exact"/>
              <w:ind w:left="8"/>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w w:val="102"/>
                <w:sz w:val="19"/>
                <w:lang w:val="sq-AL"/>
              </w:rPr>
              <w:t>%</w:t>
            </w:r>
          </w:p>
        </w:tc>
      </w:tr>
      <w:tr w:rsidR="0005229A" w:rsidRPr="0005229A" w:rsidTr="00DD196F">
        <w:trPr>
          <w:trHeight w:val="242"/>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0"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1</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0"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Plazhi</w:t>
            </w:r>
            <w:r w:rsidRPr="0005229A">
              <w:rPr>
                <w:rFonts w:ascii="Times New Roman" w:eastAsia="Times New Roman" w:hAnsi="Times New Roman" w:cs="Times New Roman"/>
                <w:spacing w:val="7"/>
                <w:sz w:val="19"/>
                <w:lang w:val="sq-AL"/>
              </w:rPr>
              <w:t xml:space="preserve"> </w:t>
            </w:r>
            <w:r w:rsidRPr="0005229A">
              <w:rPr>
                <w:rFonts w:ascii="Times New Roman" w:eastAsia="Times New Roman" w:hAnsi="Times New Roman" w:cs="Times New Roman"/>
                <w:sz w:val="19"/>
                <w:lang w:val="sq-AL"/>
              </w:rPr>
              <w:t>Currila</w:t>
            </w:r>
            <w:r w:rsidRPr="0005229A">
              <w:rPr>
                <w:rFonts w:ascii="Times New Roman" w:eastAsia="Times New Roman" w:hAnsi="Times New Roman" w:cs="Times New Roman"/>
                <w:spacing w:val="7"/>
                <w:sz w:val="19"/>
                <w:lang w:val="sq-AL"/>
              </w:rPr>
              <w:t xml:space="preserve"> </w:t>
            </w:r>
            <w:r w:rsidRPr="0005229A">
              <w:rPr>
                <w:rFonts w:ascii="Times New Roman" w:eastAsia="Times New Roman" w:hAnsi="Times New Roman" w:cs="Times New Roman"/>
                <w:sz w:val="19"/>
                <w:lang w:val="sq-AL"/>
              </w:rPr>
              <w:t>1</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0"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113</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0"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115</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224" w:type="dxa"/>
            <w:vMerge w:val="restart"/>
            <w:tcBorders>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b/>
                <w:i/>
                <w:lang w:val="sq-AL"/>
              </w:rPr>
            </w:pPr>
          </w:p>
          <w:p w:rsidR="0005229A" w:rsidRPr="0005229A" w:rsidRDefault="0005229A" w:rsidP="0005229A">
            <w:pPr>
              <w:widowControl w:val="0"/>
              <w:autoSpaceDE w:val="0"/>
              <w:autoSpaceDN w:val="0"/>
              <w:spacing w:after="0" w:line="240" w:lineRule="auto"/>
              <w:jc w:val="center"/>
              <w:rPr>
                <w:rFonts w:ascii="Times New Roman" w:eastAsia="Times New Roman" w:hAnsi="Times New Roman" w:cs="Times New Roman"/>
                <w:lang w:val="sq-AL"/>
              </w:rPr>
            </w:pPr>
            <w:r w:rsidRPr="0005229A">
              <w:rPr>
                <w:rFonts w:ascii="Times New Roman" w:eastAsia="Times New Roman" w:hAnsi="Times New Roman" w:cs="Times New Roman"/>
                <w:lang w:val="sq-AL"/>
              </w:rPr>
              <w:t>14% A-cilësi e shkëlqyer</w:t>
            </w:r>
          </w:p>
          <w:p w:rsidR="0005229A" w:rsidRPr="0005229A" w:rsidRDefault="0005229A" w:rsidP="0005229A">
            <w:pPr>
              <w:widowControl w:val="0"/>
              <w:autoSpaceDE w:val="0"/>
              <w:autoSpaceDN w:val="0"/>
              <w:spacing w:after="0" w:line="240" w:lineRule="auto"/>
              <w:rPr>
                <w:rFonts w:ascii="Times New Roman" w:eastAsia="Times New Roman" w:hAnsi="Times New Roman" w:cs="Times New Roman"/>
                <w:b/>
                <w:i/>
                <w:lang w:val="sq-AL"/>
              </w:rPr>
            </w:pPr>
          </w:p>
          <w:p w:rsidR="0005229A" w:rsidRPr="0005229A" w:rsidRDefault="0005229A" w:rsidP="0005229A">
            <w:pPr>
              <w:widowControl w:val="0"/>
              <w:autoSpaceDE w:val="0"/>
              <w:autoSpaceDN w:val="0"/>
              <w:spacing w:before="133" w:after="0" w:line="240" w:lineRule="auto"/>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38%,</w:t>
            </w:r>
            <w:r w:rsidRPr="0005229A">
              <w:rPr>
                <w:rFonts w:ascii="Times New Roman" w:eastAsia="Times New Roman" w:hAnsi="Times New Roman" w:cs="Times New Roman"/>
                <w:spacing w:val="7"/>
                <w:sz w:val="19"/>
                <w:lang w:val="sq-AL"/>
              </w:rPr>
              <w:t xml:space="preserve"> </w:t>
            </w:r>
            <w:r w:rsidRPr="0005229A">
              <w:rPr>
                <w:rFonts w:ascii="Times New Roman" w:eastAsia="Times New Roman" w:hAnsi="Times New Roman" w:cs="Times New Roman"/>
                <w:sz w:val="19"/>
                <w:lang w:val="sq-AL"/>
              </w:rPr>
              <w:t>B-</w:t>
            </w:r>
          </w:p>
          <w:p w:rsidR="0005229A" w:rsidRPr="0005229A" w:rsidRDefault="0005229A" w:rsidP="0005229A">
            <w:pPr>
              <w:widowControl w:val="0"/>
              <w:autoSpaceDE w:val="0"/>
              <w:autoSpaceDN w:val="0"/>
              <w:spacing w:before="5" w:after="0" w:line="240" w:lineRule="auto"/>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Cilësi</w:t>
            </w:r>
            <w:r w:rsidRPr="0005229A">
              <w:rPr>
                <w:rFonts w:ascii="Times New Roman" w:eastAsia="Times New Roman" w:hAnsi="Times New Roman" w:cs="Times New Roman"/>
                <w:spacing w:val="4"/>
                <w:sz w:val="19"/>
                <w:lang w:val="sq-AL"/>
              </w:rPr>
              <w:t xml:space="preserve"> </w:t>
            </w:r>
            <w:r w:rsidRPr="0005229A">
              <w:rPr>
                <w:rFonts w:ascii="Times New Roman" w:eastAsia="Times New Roman" w:hAnsi="Times New Roman" w:cs="Times New Roman"/>
                <w:sz w:val="19"/>
                <w:lang w:val="sq-AL"/>
              </w:rPr>
              <w:t>e</w:t>
            </w:r>
            <w:r w:rsidRPr="0005229A">
              <w:rPr>
                <w:rFonts w:ascii="Times New Roman" w:eastAsia="Times New Roman" w:hAnsi="Times New Roman" w:cs="Times New Roman"/>
                <w:spacing w:val="7"/>
                <w:sz w:val="19"/>
                <w:lang w:val="sq-AL"/>
              </w:rPr>
              <w:t xml:space="preserve"> </w:t>
            </w:r>
            <w:r w:rsidRPr="0005229A">
              <w:rPr>
                <w:rFonts w:ascii="Times New Roman" w:eastAsia="Times New Roman" w:hAnsi="Times New Roman" w:cs="Times New Roman"/>
                <w:sz w:val="19"/>
                <w:lang w:val="sq-AL"/>
              </w:rPr>
              <w:t>mirë</w:t>
            </w:r>
          </w:p>
          <w:p w:rsidR="0005229A" w:rsidRPr="0005229A" w:rsidRDefault="0005229A" w:rsidP="0005229A">
            <w:pPr>
              <w:widowControl w:val="0"/>
              <w:autoSpaceDE w:val="0"/>
              <w:autoSpaceDN w:val="0"/>
              <w:spacing w:after="0" w:line="240" w:lineRule="auto"/>
              <w:rPr>
                <w:rFonts w:ascii="Times New Roman" w:eastAsia="Times New Roman" w:hAnsi="Times New Roman" w:cs="Times New Roman"/>
                <w:b/>
                <w:i/>
                <w:lang w:val="sq-AL"/>
              </w:rPr>
            </w:pPr>
          </w:p>
          <w:p w:rsidR="0005229A" w:rsidRPr="0005229A" w:rsidRDefault="0005229A" w:rsidP="0005229A">
            <w:pPr>
              <w:widowControl w:val="0"/>
              <w:autoSpaceDE w:val="0"/>
              <w:autoSpaceDN w:val="0"/>
              <w:spacing w:before="3" w:after="0" w:line="240" w:lineRule="auto"/>
              <w:rPr>
                <w:rFonts w:ascii="Times New Roman" w:eastAsia="Times New Roman" w:hAnsi="Times New Roman" w:cs="Times New Roman"/>
                <w:b/>
                <w:i/>
                <w:sz w:val="17"/>
                <w:lang w:val="sq-AL"/>
              </w:rPr>
            </w:pPr>
          </w:p>
          <w:p w:rsidR="0005229A" w:rsidRPr="0005229A" w:rsidRDefault="0005229A" w:rsidP="0005229A">
            <w:pPr>
              <w:widowControl w:val="0"/>
              <w:autoSpaceDE w:val="0"/>
              <w:autoSpaceDN w:val="0"/>
              <w:spacing w:before="1" w:after="0" w:line="240" w:lineRule="auto"/>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19%,</w:t>
            </w:r>
            <w:r w:rsidRPr="0005229A">
              <w:rPr>
                <w:rFonts w:ascii="Times New Roman" w:eastAsia="Times New Roman" w:hAnsi="Times New Roman" w:cs="Times New Roman"/>
                <w:spacing w:val="6"/>
                <w:sz w:val="19"/>
                <w:lang w:val="sq-AL"/>
              </w:rPr>
              <w:t xml:space="preserve"> </w:t>
            </w:r>
            <w:r w:rsidRPr="0005229A">
              <w:rPr>
                <w:rFonts w:ascii="Times New Roman" w:eastAsia="Times New Roman" w:hAnsi="Times New Roman" w:cs="Times New Roman"/>
                <w:sz w:val="19"/>
                <w:lang w:val="sq-AL"/>
              </w:rPr>
              <w:t>C-</w:t>
            </w:r>
          </w:p>
          <w:p w:rsidR="0005229A" w:rsidRPr="0005229A" w:rsidRDefault="0005229A" w:rsidP="0005229A">
            <w:pPr>
              <w:widowControl w:val="0"/>
              <w:autoSpaceDE w:val="0"/>
              <w:autoSpaceDN w:val="0"/>
              <w:spacing w:before="4" w:after="0" w:line="244" w:lineRule="auto"/>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Cilësi</w:t>
            </w:r>
            <w:r w:rsidRPr="0005229A">
              <w:rPr>
                <w:rFonts w:ascii="Times New Roman" w:eastAsia="Times New Roman" w:hAnsi="Times New Roman" w:cs="Times New Roman"/>
                <w:spacing w:val="1"/>
                <w:sz w:val="19"/>
                <w:lang w:val="sq-AL"/>
              </w:rPr>
              <w:t xml:space="preserve"> </w:t>
            </w:r>
            <w:r w:rsidRPr="0005229A">
              <w:rPr>
                <w:rFonts w:ascii="Times New Roman" w:eastAsia="Times New Roman" w:hAnsi="Times New Roman" w:cs="Times New Roman"/>
                <w:sz w:val="19"/>
                <w:lang w:val="sq-AL"/>
              </w:rPr>
              <w:t>e</w:t>
            </w:r>
            <w:r w:rsidRPr="0005229A">
              <w:rPr>
                <w:rFonts w:ascii="Times New Roman" w:eastAsia="Times New Roman" w:hAnsi="Times New Roman" w:cs="Times New Roman"/>
                <w:spacing w:val="1"/>
                <w:sz w:val="19"/>
                <w:lang w:val="sq-AL"/>
              </w:rPr>
              <w:t xml:space="preserve"> </w:t>
            </w:r>
            <w:r w:rsidRPr="0005229A">
              <w:rPr>
                <w:rFonts w:ascii="Times New Roman" w:eastAsia="Times New Roman" w:hAnsi="Times New Roman" w:cs="Times New Roman"/>
                <w:sz w:val="19"/>
                <w:lang w:val="sq-AL"/>
              </w:rPr>
              <w:t>mjaftueshme</w:t>
            </w:r>
          </w:p>
          <w:p w:rsidR="0005229A" w:rsidRPr="0005229A" w:rsidRDefault="0005229A" w:rsidP="0005229A">
            <w:pPr>
              <w:widowControl w:val="0"/>
              <w:autoSpaceDE w:val="0"/>
              <w:autoSpaceDN w:val="0"/>
              <w:spacing w:after="0" w:line="240" w:lineRule="auto"/>
              <w:rPr>
                <w:rFonts w:ascii="Times New Roman" w:eastAsia="Times New Roman" w:hAnsi="Times New Roman" w:cs="Times New Roman"/>
                <w:b/>
                <w:i/>
                <w:lang w:val="sq-AL"/>
              </w:rPr>
            </w:pPr>
          </w:p>
          <w:p w:rsidR="0005229A" w:rsidRPr="0005229A" w:rsidRDefault="0005229A" w:rsidP="0005229A">
            <w:pPr>
              <w:widowControl w:val="0"/>
              <w:autoSpaceDE w:val="0"/>
              <w:autoSpaceDN w:val="0"/>
              <w:spacing w:before="195" w:after="0" w:line="240" w:lineRule="auto"/>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29%,</w:t>
            </w:r>
            <w:r w:rsidRPr="0005229A">
              <w:rPr>
                <w:rFonts w:ascii="Times New Roman" w:eastAsia="Times New Roman" w:hAnsi="Times New Roman" w:cs="Times New Roman"/>
                <w:spacing w:val="6"/>
                <w:sz w:val="19"/>
                <w:lang w:val="sq-AL"/>
              </w:rPr>
              <w:t xml:space="preserve"> </w:t>
            </w:r>
            <w:r w:rsidRPr="0005229A">
              <w:rPr>
                <w:rFonts w:ascii="Times New Roman" w:eastAsia="Times New Roman" w:hAnsi="Times New Roman" w:cs="Times New Roman"/>
                <w:sz w:val="19"/>
                <w:lang w:val="sq-AL"/>
              </w:rPr>
              <w:t>D-</w:t>
            </w:r>
          </w:p>
          <w:p w:rsidR="0005229A" w:rsidRPr="0005229A" w:rsidRDefault="0005229A" w:rsidP="0005229A">
            <w:pPr>
              <w:widowControl w:val="0"/>
              <w:autoSpaceDE w:val="0"/>
              <w:autoSpaceDN w:val="0"/>
              <w:spacing w:before="5" w:after="0" w:line="244" w:lineRule="auto"/>
              <w:ind w:left="76" w:right="61"/>
              <w:rPr>
                <w:rFonts w:ascii="Times New Roman" w:eastAsia="Times New Roman" w:hAnsi="Times New Roman" w:cs="Times New Roman"/>
                <w:sz w:val="16"/>
                <w:lang w:val="sq-AL"/>
              </w:rPr>
            </w:pPr>
            <w:r w:rsidRPr="0005229A">
              <w:rPr>
                <w:rFonts w:ascii="Times New Roman" w:eastAsia="Times New Roman" w:hAnsi="Times New Roman" w:cs="Times New Roman"/>
                <w:sz w:val="19"/>
                <w:lang w:val="sq-AL"/>
              </w:rPr>
              <w:t>Cilësi</w:t>
            </w:r>
            <w:r w:rsidRPr="0005229A">
              <w:rPr>
                <w:rFonts w:ascii="Times New Roman" w:eastAsia="Times New Roman" w:hAnsi="Times New Roman" w:cs="Times New Roman"/>
                <w:spacing w:val="1"/>
                <w:sz w:val="19"/>
                <w:lang w:val="sq-AL"/>
              </w:rPr>
              <w:t xml:space="preserve"> </w:t>
            </w:r>
            <w:r w:rsidRPr="0005229A">
              <w:rPr>
                <w:rFonts w:ascii="Times New Roman" w:eastAsia="Times New Roman" w:hAnsi="Times New Roman" w:cs="Times New Roman"/>
                <w:sz w:val="19"/>
                <w:lang w:val="sq-AL"/>
              </w:rPr>
              <w:t>e</w:t>
            </w:r>
            <w:r w:rsidRPr="0005229A">
              <w:rPr>
                <w:rFonts w:ascii="Times New Roman" w:eastAsia="Times New Roman" w:hAnsi="Times New Roman" w:cs="Times New Roman"/>
                <w:spacing w:val="1"/>
                <w:sz w:val="19"/>
                <w:lang w:val="sq-AL"/>
              </w:rPr>
              <w:t xml:space="preserve"> </w:t>
            </w:r>
            <w:r w:rsidRPr="0005229A">
              <w:rPr>
                <w:rFonts w:ascii="Times New Roman" w:eastAsia="Times New Roman" w:hAnsi="Times New Roman" w:cs="Times New Roman"/>
                <w:sz w:val="19"/>
                <w:lang w:val="sq-AL"/>
              </w:rPr>
              <w:t>keqe</w:t>
            </w:r>
            <w:r w:rsidRPr="0005229A">
              <w:rPr>
                <w:rFonts w:ascii="Times New Roman" w:eastAsia="Times New Roman" w:hAnsi="Times New Roman" w:cs="Times New Roman"/>
                <w:sz w:val="16"/>
                <w:lang w:val="sq-AL"/>
              </w:rPr>
              <w:t>/Masa</w:t>
            </w:r>
            <w:r w:rsidRPr="0005229A">
              <w:rPr>
                <w:rFonts w:ascii="Times New Roman" w:eastAsia="Times New Roman" w:hAnsi="Times New Roman" w:cs="Times New Roman"/>
                <w:spacing w:val="3"/>
                <w:sz w:val="16"/>
                <w:lang w:val="sq-AL"/>
              </w:rPr>
              <w:t xml:space="preserve"> </w:t>
            </w:r>
            <w:r w:rsidRPr="0005229A">
              <w:rPr>
                <w:rFonts w:ascii="Times New Roman" w:eastAsia="Times New Roman" w:hAnsi="Times New Roman" w:cs="Times New Roman"/>
                <w:sz w:val="16"/>
                <w:lang w:val="sq-AL"/>
              </w:rPr>
              <w:t>të</w:t>
            </w:r>
            <w:r w:rsidRPr="0005229A">
              <w:rPr>
                <w:rFonts w:ascii="Times New Roman" w:eastAsia="Times New Roman" w:hAnsi="Times New Roman" w:cs="Times New Roman"/>
                <w:spacing w:val="1"/>
                <w:sz w:val="16"/>
                <w:lang w:val="sq-AL"/>
              </w:rPr>
              <w:t xml:space="preserve"> </w:t>
            </w:r>
            <w:r w:rsidRPr="0005229A">
              <w:rPr>
                <w:rFonts w:ascii="Times New Roman" w:eastAsia="Times New Roman" w:hAnsi="Times New Roman" w:cs="Times New Roman"/>
                <w:sz w:val="16"/>
                <w:lang w:val="sq-AL"/>
              </w:rPr>
              <w:t>menjëherëshme</w:t>
            </w:r>
          </w:p>
        </w:tc>
      </w:tr>
      <w:tr w:rsidR="0005229A" w:rsidRPr="0005229A" w:rsidTr="00DD196F">
        <w:trPr>
          <w:trHeight w:val="241"/>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9"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2</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9"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Plazhi</w:t>
            </w:r>
            <w:r w:rsidRPr="0005229A">
              <w:rPr>
                <w:rFonts w:ascii="Times New Roman" w:eastAsia="Times New Roman" w:hAnsi="Times New Roman" w:cs="Times New Roman"/>
                <w:spacing w:val="7"/>
                <w:sz w:val="19"/>
                <w:lang w:val="sq-AL"/>
              </w:rPr>
              <w:t xml:space="preserve"> </w:t>
            </w:r>
            <w:r w:rsidRPr="0005229A">
              <w:rPr>
                <w:rFonts w:ascii="Times New Roman" w:eastAsia="Times New Roman" w:hAnsi="Times New Roman" w:cs="Times New Roman"/>
                <w:sz w:val="19"/>
                <w:lang w:val="sq-AL"/>
              </w:rPr>
              <w:t>Currila</w:t>
            </w:r>
            <w:r w:rsidRPr="0005229A">
              <w:rPr>
                <w:rFonts w:ascii="Times New Roman" w:eastAsia="Times New Roman" w:hAnsi="Times New Roman" w:cs="Times New Roman"/>
                <w:spacing w:val="7"/>
                <w:sz w:val="19"/>
                <w:lang w:val="sq-AL"/>
              </w:rPr>
              <w:t xml:space="preserve"> </w:t>
            </w:r>
            <w:r w:rsidRPr="0005229A">
              <w:rPr>
                <w:rFonts w:ascii="Times New Roman" w:eastAsia="Times New Roman" w:hAnsi="Times New Roman" w:cs="Times New Roman"/>
                <w:sz w:val="19"/>
                <w:lang w:val="sq-AL"/>
              </w:rPr>
              <w:t>2</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9"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117</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9"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75</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A</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41"/>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9"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3</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9"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Plazhi</w:t>
            </w:r>
            <w:r w:rsidRPr="0005229A">
              <w:rPr>
                <w:rFonts w:ascii="Times New Roman" w:eastAsia="Times New Roman" w:hAnsi="Times New Roman" w:cs="Times New Roman"/>
                <w:spacing w:val="8"/>
                <w:sz w:val="19"/>
                <w:lang w:val="sq-AL"/>
              </w:rPr>
              <w:t xml:space="preserve"> </w:t>
            </w:r>
            <w:r w:rsidRPr="0005229A">
              <w:rPr>
                <w:rFonts w:ascii="Times New Roman" w:eastAsia="Times New Roman" w:hAnsi="Times New Roman" w:cs="Times New Roman"/>
                <w:sz w:val="19"/>
                <w:lang w:val="sq-AL"/>
              </w:rPr>
              <w:t>Zhiron</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9"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1741</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9"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3980</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D</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33"/>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4</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Ura</w:t>
            </w:r>
            <w:r w:rsidRPr="0005229A">
              <w:rPr>
                <w:rFonts w:ascii="Times New Roman" w:eastAsia="Times New Roman" w:hAnsi="Times New Roman" w:cs="Times New Roman"/>
                <w:spacing w:val="6"/>
                <w:sz w:val="19"/>
                <w:lang w:val="sq-AL"/>
              </w:rPr>
              <w:t xml:space="preserve"> </w:t>
            </w:r>
            <w:r w:rsidRPr="0005229A">
              <w:rPr>
                <w:rFonts w:ascii="Times New Roman" w:eastAsia="Times New Roman" w:hAnsi="Times New Roman" w:cs="Times New Roman"/>
                <w:sz w:val="19"/>
                <w:lang w:val="sq-AL"/>
              </w:rPr>
              <w:t>e</w:t>
            </w:r>
            <w:r w:rsidRPr="0005229A">
              <w:rPr>
                <w:rFonts w:ascii="Times New Roman" w:eastAsia="Times New Roman" w:hAnsi="Times New Roman" w:cs="Times New Roman"/>
                <w:spacing w:val="7"/>
                <w:sz w:val="19"/>
                <w:lang w:val="sq-AL"/>
              </w:rPr>
              <w:t xml:space="preserve"> </w:t>
            </w:r>
            <w:r w:rsidRPr="0005229A">
              <w:rPr>
                <w:rFonts w:ascii="Times New Roman" w:eastAsia="Times New Roman" w:hAnsi="Times New Roman" w:cs="Times New Roman"/>
                <w:sz w:val="19"/>
                <w:lang w:val="sq-AL"/>
              </w:rPr>
              <w:t>Dajlanit</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101</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103</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34"/>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5</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Plazhi</w:t>
            </w:r>
            <w:r w:rsidRPr="0005229A">
              <w:rPr>
                <w:rFonts w:ascii="Times New Roman" w:eastAsia="Times New Roman" w:hAnsi="Times New Roman" w:cs="Times New Roman"/>
                <w:spacing w:val="10"/>
                <w:sz w:val="19"/>
                <w:lang w:val="sq-AL"/>
              </w:rPr>
              <w:t xml:space="preserve"> </w:t>
            </w:r>
            <w:r w:rsidRPr="0005229A">
              <w:rPr>
                <w:rFonts w:ascii="Times New Roman" w:eastAsia="Times New Roman" w:hAnsi="Times New Roman" w:cs="Times New Roman"/>
                <w:sz w:val="19"/>
                <w:lang w:val="sq-AL"/>
              </w:rPr>
              <w:t>Filadelfia</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186</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201</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C</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33"/>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6</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Plazhi</w:t>
            </w:r>
            <w:r w:rsidRPr="0005229A">
              <w:rPr>
                <w:rFonts w:ascii="Times New Roman" w:eastAsia="Times New Roman" w:hAnsi="Times New Roman" w:cs="Times New Roman"/>
                <w:spacing w:val="8"/>
                <w:sz w:val="19"/>
                <w:lang w:val="sq-AL"/>
              </w:rPr>
              <w:t xml:space="preserve"> </w:t>
            </w:r>
            <w:r w:rsidRPr="0005229A">
              <w:rPr>
                <w:rFonts w:ascii="Times New Roman" w:eastAsia="Times New Roman" w:hAnsi="Times New Roman" w:cs="Times New Roman"/>
                <w:sz w:val="19"/>
                <w:lang w:val="sq-AL"/>
              </w:rPr>
              <w:t>Teuta</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168</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147</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bottom"/>
          </w:tcPr>
          <w:p w:rsidR="0005229A" w:rsidRPr="0005229A" w:rsidRDefault="0005229A" w:rsidP="0005229A">
            <w:pPr>
              <w:spacing w:after="0" w:line="240" w:lineRule="auto"/>
              <w:jc w:val="center"/>
              <w:rPr>
                <w:rFonts w:ascii="Times New Roman" w:eastAsiaTheme="minorEastAsia" w:hAnsi="Times New Roman"/>
                <w:sz w:val="20"/>
                <w:szCs w:val="20"/>
                <w:lang w:val="fr-FR"/>
              </w:rPr>
            </w:pPr>
            <w:r w:rsidRPr="0005229A">
              <w:rPr>
                <w:rFonts w:ascii="Times New Roman" w:eastAsiaTheme="minorEastAsia" w:hAnsi="Times New Roman"/>
                <w:sz w:val="20"/>
                <w:szCs w:val="20"/>
                <w:lang w:val="fr-FR"/>
              </w:rPr>
              <w:t>B</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33"/>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7</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Plazhi</w:t>
            </w:r>
            <w:r w:rsidRPr="0005229A">
              <w:rPr>
                <w:rFonts w:ascii="Times New Roman" w:eastAsia="Times New Roman" w:hAnsi="Times New Roman" w:cs="Times New Roman"/>
                <w:spacing w:val="9"/>
                <w:sz w:val="19"/>
                <w:lang w:val="sq-AL"/>
              </w:rPr>
              <w:t xml:space="preserve"> </w:t>
            </w:r>
            <w:r w:rsidRPr="0005229A">
              <w:rPr>
                <w:rFonts w:ascii="Times New Roman" w:eastAsia="Times New Roman" w:hAnsi="Times New Roman" w:cs="Times New Roman"/>
                <w:sz w:val="19"/>
                <w:lang w:val="sq-AL"/>
              </w:rPr>
              <w:t>Gostivar</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140</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143</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33"/>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8</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Apollonia</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204</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265</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D</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41"/>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9"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9</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9"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Hekurudha</w:t>
            </w:r>
            <w:r w:rsidRPr="0005229A">
              <w:rPr>
                <w:rFonts w:ascii="Times New Roman" w:eastAsia="Times New Roman" w:hAnsi="Times New Roman" w:cs="Times New Roman"/>
                <w:spacing w:val="13"/>
                <w:sz w:val="19"/>
                <w:lang w:val="sq-AL"/>
              </w:rPr>
              <w:t xml:space="preserve"> </w:t>
            </w:r>
            <w:r w:rsidRPr="0005229A">
              <w:rPr>
                <w:rFonts w:ascii="Times New Roman" w:eastAsia="Times New Roman" w:hAnsi="Times New Roman" w:cs="Times New Roman"/>
                <w:sz w:val="19"/>
                <w:lang w:val="sq-AL"/>
              </w:rPr>
              <w:t>(Policia)</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9"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146</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9"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197</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34"/>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78" w:right="71"/>
              <w:jc w:val="center"/>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10</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Hotel</w:t>
            </w:r>
            <w:r w:rsidRPr="0005229A">
              <w:rPr>
                <w:rFonts w:ascii="Times New Roman" w:eastAsia="Times New Roman" w:hAnsi="Times New Roman" w:cs="Times New Roman"/>
                <w:spacing w:val="9"/>
                <w:sz w:val="19"/>
                <w:lang w:val="sq-AL"/>
              </w:rPr>
              <w:t xml:space="preserve"> </w:t>
            </w:r>
            <w:r w:rsidRPr="0005229A">
              <w:rPr>
                <w:rFonts w:ascii="Times New Roman" w:eastAsia="Times New Roman" w:hAnsi="Times New Roman" w:cs="Times New Roman"/>
                <w:sz w:val="19"/>
                <w:lang w:val="sq-AL"/>
              </w:rPr>
              <w:t>Adriatik</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97</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76</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A</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33"/>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8" w:right="71"/>
              <w:jc w:val="center"/>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11</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Plazhi</w:t>
            </w:r>
            <w:r w:rsidRPr="0005229A">
              <w:rPr>
                <w:rFonts w:ascii="Times New Roman" w:eastAsia="Times New Roman" w:hAnsi="Times New Roman" w:cs="Times New Roman"/>
                <w:spacing w:val="8"/>
                <w:sz w:val="19"/>
                <w:lang w:val="sq-AL"/>
              </w:rPr>
              <w:t xml:space="preserve"> </w:t>
            </w:r>
            <w:r w:rsidRPr="0005229A">
              <w:rPr>
                <w:rFonts w:ascii="Times New Roman" w:eastAsia="Times New Roman" w:hAnsi="Times New Roman" w:cs="Times New Roman"/>
                <w:sz w:val="19"/>
                <w:lang w:val="sq-AL"/>
              </w:rPr>
              <w:t>Iliria</w:t>
            </w:r>
            <w:r w:rsidRPr="0005229A">
              <w:rPr>
                <w:rFonts w:ascii="Times New Roman" w:eastAsia="Times New Roman" w:hAnsi="Times New Roman" w:cs="Times New Roman"/>
                <w:spacing w:val="8"/>
                <w:sz w:val="19"/>
                <w:lang w:val="sq-AL"/>
              </w:rPr>
              <w:t xml:space="preserve"> </w:t>
            </w:r>
            <w:r w:rsidRPr="0005229A">
              <w:rPr>
                <w:rFonts w:ascii="Times New Roman" w:eastAsia="Times New Roman" w:hAnsi="Times New Roman" w:cs="Times New Roman"/>
                <w:sz w:val="19"/>
                <w:lang w:val="sq-AL"/>
              </w:rPr>
              <w:t>(pista)</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126</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147</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33"/>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8" w:right="71"/>
              <w:jc w:val="center"/>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12</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Iliria</w:t>
            </w:r>
            <w:r w:rsidRPr="0005229A">
              <w:rPr>
                <w:rFonts w:ascii="Times New Roman" w:eastAsia="Times New Roman" w:hAnsi="Times New Roman" w:cs="Times New Roman"/>
                <w:spacing w:val="9"/>
                <w:sz w:val="19"/>
                <w:lang w:val="sq-AL"/>
              </w:rPr>
              <w:t xml:space="preserve"> </w:t>
            </w:r>
            <w:r w:rsidRPr="0005229A">
              <w:rPr>
                <w:rFonts w:ascii="Times New Roman" w:eastAsia="Times New Roman" w:hAnsi="Times New Roman" w:cs="Times New Roman"/>
                <w:sz w:val="19"/>
                <w:lang w:val="sq-AL"/>
              </w:rPr>
              <w:t>pranë</w:t>
            </w:r>
            <w:r w:rsidRPr="0005229A">
              <w:rPr>
                <w:rFonts w:ascii="Times New Roman" w:eastAsia="Times New Roman" w:hAnsi="Times New Roman" w:cs="Times New Roman"/>
                <w:spacing w:val="8"/>
                <w:sz w:val="19"/>
                <w:lang w:val="sq-AL"/>
              </w:rPr>
              <w:t xml:space="preserve"> </w:t>
            </w:r>
            <w:r w:rsidRPr="0005229A">
              <w:rPr>
                <w:rFonts w:ascii="Times New Roman" w:eastAsia="Times New Roman" w:hAnsi="Times New Roman" w:cs="Times New Roman"/>
                <w:sz w:val="19"/>
                <w:lang w:val="sq-AL"/>
              </w:rPr>
              <w:t>Bllokut</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119</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81</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lang w:val="fr-FR"/>
              </w:rPr>
            </w:pPr>
            <w:r w:rsidRPr="0005229A">
              <w:rPr>
                <w:rFonts w:ascii="Times New Roman" w:eastAsiaTheme="minorEastAsia" w:hAnsi="Times New Roman"/>
                <w:sz w:val="20"/>
                <w:szCs w:val="20"/>
                <w:lang w:val="fr-FR"/>
              </w:rPr>
              <w:t>A</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34"/>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78" w:right="71"/>
              <w:jc w:val="center"/>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lastRenderedPageBreak/>
              <w:t>13</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Ministria</w:t>
            </w:r>
            <w:r w:rsidRPr="0005229A">
              <w:rPr>
                <w:rFonts w:ascii="Times New Roman" w:eastAsia="Times New Roman" w:hAnsi="Times New Roman" w:cs="Times New Roman"/>
                <w:spacing w:val="8"/>
                <w:sz w:val="19"/>
                <w:lang w:val="sq-AL"/>
              </w:rPr>
              <w:t xml:space="preserve"> </w:t>
            </w:r>
            <w:r w:rsidRPr="0005229A">
              <w:rPr>
                <w:rFonts w:ascii="Times New Roman" w:eastAsia="Times New Roman" w:hAnsi="Times New Roman" w:cs="Times New Roman"/>
                <w:sz w:val="19"/>
                <w:lang w:val="sq-AL"/>
              </w:rPr>
              <w:t>e</w:t>
            </w:r>
            <w:r w:rsidRPr="0005229A">
              <w:rPr>
                <w:rFonts w:ascii="Times New Roman" w:eastAsia="Times New Roman" w:hAnsi="Times New Roman" w:cs="Times New Roman"/>
                <w:spacing w:val="8"/>
                <w:sz w:val="19"/>
                <w:lang w:val="sq-AL"/>
              </w:rPr>
              <w:t xml:space="preserve"> </w:t>
            </w:r>
            <w:r w:rsidRPr="0005229A">
              <w:rPr>
                <w:rFonts w:ascii="Times New Roman" w:eastAsia="Times New Roman" w:hAnsi="Times New Roman" w:cs="Times New Roman"/>
                <w:sz w:val="19"/>
                <w:lang w:val="sq-AL"/>
              </w:rPr>
              <w:t>Rendit</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106</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117</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33"/>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8" w:right="71"/>
              <w:jc w:val="center"/>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14</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Kompleksi</w:t>
            </w:r>
            <w:r w:rsidRPr="0005229A">
              <w:rPr>
                <w:rFonts w:ascii="Times New Roman" w:eastAsia="Times New Roman" w:hAnsi="Times New Roman" w:cs="Times New Roman"/>
                <w:spacing w:val="13"/>
                <w:sz w:val="19"/>
                <w:lang w:val="sq-AL"/>
              </w:rPr>
              <w:t xml:space="preserve"> </w:t>
            </w:r>
            <w:r w:rsidRPr="0005229A">
              <w:rPr>
                <w:rFonts w:ascii="Times New Roman" w:eastAsia="Times New Roman" w:hAnsi="Times New Roman" w:cs="Times New Roman"/>
                <w:sz w:val="19"/>
                <w:lang w:val="sq-AL"/>
              </w:rPr>
              <w:t>Tropikal</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247</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346</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D</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57"/>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1" w:after="0" w:line="202" w:lineRule="exact"/>
              <w:ind w:left="78" w:right="71"/>
              <w:jc w:val="center"/>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15</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1" w:after="0" w:line="202"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Pas</w:t>
            </w:r>
            <w:r w:rsidRPr="0005229A">
              <w:rPr>
                <w:rFonts w:ascii="Times New Roman" w:eastAsia="Times New Roman" w:hAnsi="Times New Roman" w:cs="Times New Roman"/>
                <w:spacing w:val="8"/>
                <w:sz w:val="19"/>
                <w:lang w:val="sq-AL"/>
              </w:rPr>
              <w:t xml:space="preserve"> </w:t>
            </w:r>
            <w:r w:rsidRPr="0005229A">
              <w:rPr>
                <w:rFonts w:ascii="Times New Roman" w:eastAsia="Times New Roman" w:hAnsi="Times New Roman" w:cs="Times New Roman"/>
                <w:sz w:val="19"/>
                <w:lang w:val="sq-AL"/>
              </w:rPr>
              <w:t>kanalit</w:t>
            </w:r>
            <w:r w:rsidRPr="0005229A">
              <w:rPr>
                <w:rFonts w:ascii="Times New Roman" w:eastAsia="Times New Roman" w:hAnsi="Times New Roman" w:cs="Times New Roman"/>
                <w:spacing w:val="9"/>
                <w:sz w:val="19"/>
                <w:lang w:val="sq-AL"/>
              </w:rPr>
              <w:t xml:space="preserve"> </w:t>
            </w:r>
            <w:r w:rsidRPr="0005229A">
              <w:rPr>
                <w:rFonts w:ascii="Times New Roman" w:eastAsia="Times New Roman" w:hAnsi="Times New Roman" w:cs="Times New Roman"/>
                <w:sz w:val="19"/>
                <w:lang w:val="sq-AL"/>
              </w:rPr>
              <w:t>(Plepa)</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03"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3559</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03"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3795</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D</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33"/>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8" w:right="71"/>
              <w:jc w:val="center"/>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16</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Shkëmbi</w:t>
            </w:r>
            <w:r w:rsidRPr="0005229A">
              <w:rPr>
                <w:rFonts w:ascii="Times New Roman" w:eastAsia="Times New Roman" w:hAnsi="Times New Roman" w:cs="Times New Roman"/>
                <w:spacing w:val="8"/>
                <w:sz w:val="19"/>
                <w:lang w:val="sq-AL"/>
              </w:rPr>
              <w:t xml:space="preserve"> </w:t>
            </w:r>
            <w:r w:rsidRPr="0005229A">
              <w:rPr>
                <w:rFonts w:ascii="Times New Roman" w:eastAsia="Times New Roman" w:hAnsi="Times New Roman" w:cs="Times New Roman"/>
                <w:sz w:val="19"/>
                <w:lang w:val="sq-AL"/>
              </w:rPr>
              <w:t>i</w:t>
            </w:r>
            <w:r w:rsidRPr="0005229A">
              <w:rPr>
                <w:rFonts w:ascii="Times New Roman" w:eastAsia="Times New Roman" w:hAnsi="Times New Roman" w:cs="Times New Roman"/>
                <w:spacing w:val="9"/>
                <w:sz w:val="19"/>
                <w:lang w:val="sq-AL"/>
              </w:rPr>
              <w:t xml:space="preserve"> </w:t>
            </w:r>
            <w:r w:rsidRPr="0005229A">
              <w:rPr>
                <w:rFonts w:ascii="Times New Roman" w:eastAsia="Times New Roman" w:hAnsi="Times New Roman" w:cs="Times New Roman"/>
                <w:sz w:val="19"/>
                <w:lang w:val="sq-AL"/>
              </w:rPr>
              <w:t>Kavajës</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228</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336</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D</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33"/>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8" w:right="71"/>
              <w:jc w:val="center"/>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17</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Bar</w:t>
            </w:r>
            <w:r w:rsidRPr="0005229A">
              <w:rPr>
                <w:rFonts w:ascii="Times New Roman" w:eastAsia="Times New Roman" w:hAnsi="Times New Roman" w:cs="Times New Roman"/>
                <w:spacing w:val="7"/>
                <w:sz w:val="19"/>
                <w:lang w:val="sq-AL"/>
              </w:rPr>
              <w:t xml:space="preserve"> </w:t>
            </w:r>
            <w:r w:rsidRPr="0005229A">
              <w:rPr>
                <w:rFonts w:ascii="Times New Roman" w:eastAsia="Times New Roman" w:hAnsi="Times New Roman" w:cs="Times New Roman"/>
                <w:sz w:val="19"/>
                <w:lang w:val="sq-AL"/>
              </w:rPr>
              <w:t>Hotel</w:t>
            </w:r>
            <w:r w:rsidRPr="0005229A">
              <w:rPr>
                <w:rFonts w:ascii="Times New Roman" w:eastAsia="Times New Roman" w:hAnsi="Times New Roman" w:cs="Times New Roman"/>
                <w:spacing w:val="7"/>
                <w:sz w:val="19"/>
                <w:lang w:val="sq-AL"/>
              </w:rPr>
              <w:t xml:space="preserve"> </w:t>
            </w:r>
            <w:r w:rsidRPr="0005229A">
              <w:rPr>
                <w:rFonts w:ascii="Times New Roman" w:eastAsia="Times New Roman" w:hAnsi="Times New Roman" w:cs="Times New Roman"/>
                <w:sz w:val="19"/>
                <w:lang w:val="sq-AL"/>
              </w:rPr>
              <w:t>Hoti</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153</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285</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C</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34"/>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78" w:right="71"/>
              <w:jc w:val="center"/>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18</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Plazhi</w:t>
            </w:r>
            <w:r w:rsidRPr="0005229A">
              <w:rPr>
                <w:rFonts w:ascii="Times New Roman" w:eastAsia="Times New Roman" w:hAnsi="Times New Roman" w:cs="Times New Roman"/>
                <w:spacing w:val="9"/>
                <w:sz w:val="19"/>
                <w:lang w:val="sq-AL"/>
              </w:rPr>
              <w:t xml:space="preserve"> </w:t>
            </w:r>
            <w:r w:rsidRPr="0005229A">
              <w:rPr>
                <w:rFonts w:ascii="Times New Roman" w:eastAsia="Times New Roman" w:hAnsi="Times New Roman" w:cs="Times New Roman"/>
                <w:sz w:val="19"/>
                <w:lang w:val="sq-AL"/>
              </w:rPr>
              <w:t>Benilva</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136</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220</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C</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33"/>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8" w:right="71"/>
              <w:jc w:val="center"/>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19</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Plazhi,</w:t>
            </w:r>
            <w:r w:rsidRPr="0005229A">
              <w:rPr>
                <w:rFonts w:ascii="Times New Roman" w:eastAsia="Times New Roman" w:hAnsi="Times New Roman" w:cs="Times New Roman"/>
                <w:spacing w:val="8"/>
                <w:sz w:val="19"/>
                <w:lang w:val="sq-AL"/>
              </w:rPr>
              <w:t xml:space="preserve"> </w:t>
            </w:r>
            <w:r w:rsidRPr="0005229A">
              <w:rPr>
                <w:rFonts w:ascii="Times New Roman" w:eastAsia="Times New Roman" w:hAnsi="Times New Roman" w:cs="Times New Roman"/>
                <w:sz w:val="19"/>
                <w:lang w:val="sq-AL"/>
              </w:rPr>
              <w:t>Hotel</w:t>
            </w:r>
            <w:r w:rsidRPr="0005229A">
              <w:rPr>
                <w:rFonts w:ascii="Times New Roman" w:eastAsia="Times New Roman" w:hAnsi="Times New Roman" w:cs="Times New Roman"/>
                <w:spacing w:val="9"/>
                <w:sz w:val="19"/>
                <w:lang w:val="sq-AL"/>
              </w:rPr>
              <w:t xml:space="preserve"> </w:t>
            </w:r>
            <w:r w:rsidRPr="0005229A">
              <w:rPr>
                <w:rFonts w:ascii="Times New Roman" w:eastAsia="Times New Roman" w:hAnsi="Times New Roman" w:cs="Times New Roman"/>
                <w:sz w:val="19"/>
                <w:lang w:val="sq-AL"/>
              </w:rPr>
              <w:t>Andi</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116</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209</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C</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33"/>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8" w:right="71"/>
              <w:jc w:val="center"/>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20</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Hotel</w:t>
            </w:r>
            <w:r w:rsidRPr="0005229A">
              <w:rPr>
                <w:rFonts w:ascii="Times New Roman" w:eastAsia="Times New Roman" w:hAnsi="Times New Roman" w:cs="Times New Roman"/>
                <w:spacing w:val="7"/>
                <w:sz w:val="19"/>
                <w:lang w:val="sq-AL"/>
              </w:rPr>
              <w:t xml:space="preserve"> </w:t>
            </w:r>
            <w:r w:rsidRPr="0005229A">
              <w:rPr>
                <w:rFonts w:ascii="Times New Roman" w:eastAsia="Times New Roman" w:hAnsi="Times New Roman" w:cs="Times New Roman"/>
                <w:sz w:val="19"/>
                <w:lang w:val="sq-AL"/>
              </w:rPr>
              <w:t>Xixa</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150</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178</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224"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51"/>
        </w:trPr>
        <w:tc>
          <w:tcPr>
            <w:tcW w:w="11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8" w:right="71"/>
              <w:jc w:val="center"/>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21</w:t>
            </w:r>
          </w:p>
        </w:tc>
        <w:tc>
          <w:tcPr>
            <w:tcW w:w="20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Kompleksi</w:t>
            </w:r>
            <w:r w:rsidRPr="0005229A">
              <w:rPr>
                <w:rFonts w:ascii="Times New Roman" w:eastAsia="Times New Roman" w:hAnsi="Times New Roman" w:cs="Times New Roman"/>
                <w:spacing w:val="14"/>
                <w:sz w:val="19"/>
                <w:lang w:val="sq-AL"/>
              </w:rPr>
              <w:t xml:space="preserve"> </w:t>
            </w:r>
            <w:r w:rsidRPr="0005229A">
              <w:rPr>
                <w:rFonts w:ascii="Times New Roman" w:eastAsia="Times New Roman" w:hAnsi="Times New Roman" w:cs="Times New Roman"/>
                <w:sz w:val="19"/>
                <w:lang w:val="sq-AL"/>
              </w:rPr>
              <w:t>Xhardino</w:t>
            </w:r>
          </w:p>
        </w:tc>
        <w:tc>
          <w:tcPr>
            <w:tcW w:w="1269"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252</w:t>
            </w:r>
          </w:p>
        </w:tc>
        <w:tc>
          <w:tcPr>
            <w:tcW w:w="141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262</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D</w:t>
            </w:r>
          </w:p>
        </w:tc>
        <w:tc>
          <w:tcPr>
            <w:tcW w:w="1224" w:type="dxa"/>
            <w:vMerge/>
            <w:tcBorders>
              <w:top w:val="nil"/>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bl>
    <w:p w:rsidR="0005229A" w:rsidRPr="0005229A" w:rsidRDefault="0005229A" w:rsidP="0005229A">
      <w:pPr>
        <w:spacing w:after="200" w:line="288" w:lineRule="auto"/>
        <w:rPr>
          <w:rFonts w:ascii="Times New Roman" w:eastAsiaTheme="minorEastAsia" w:hAnsi="Times New Roman" w:cs="Times New Roman"/>
          <w:sz w:val="24"/>
          <w:szCs w:val="24"/>
        </w:rPr>
      </w:pP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noProof/>
          <w:sz w:val="24"/>
          <w:szCs w:val="24"/>
        </w:rPr>
        <mc:AlternateContent>
          <mc:Choice Requires="wps">
            <w:drawing>
              <wp:anchor distT="0" distB="0" distL="114300" distR="114300" simplePos="0" relativeHeight="251630080" behindDoc="0" locked="0" layoutInCell="1" allowOverlap="1" wp14:anchorId="327A0645" wp14:editId="0E4F5E4F">
                <wp:simplePos x="0" y="0"/>
                <wp:positionH relativeFrom="column">
                  <wp:posOffset>3267075</wp:posOffset>
                </wp:positionH>
                <wp:positionV relativeFrom="paragraph">
                  <wp:posOffset>-2540</wp:posOffset>
                </wp:positionV>
                <wp:extent cx="3057525" cy="2428875"/>
                <wp:effectExtent l="0" t="0" r="28575" b="28575"/>
                <wp:wrapNone/>
                <wp:docPr id="52" name="Rectangle 52"/>
                <wp:cNvGraphicFramePr/>
                <a:graphic xmlns:a="http://schemas.openxmlformats.org/drawingml/2006/main">
                  <a:graphicData uri="http://schemas.microsoft.com/office/word/2010/wordprocessingShape">
                    <wps:wsp>
                      <wps:cNvSpPr/>
                      <wps:spPr>
                        <a:xfrm>
                          <a:off x="0" y="0"/>
                          <a:ext cx="3057525" cy="2428875"/>
                        </a:xfrm>
                        <a:prstGeom prst="rect">
                          <a:avLst/>
                        </a:prstGeom>
                        <a:solidFill>
                          <a:sysClr val="window" lastClr="FFFFFF"/>
                        </a:solidFill>
                        <a:ln w="12700" cap="flat" cmpd="sng" algn="ctr">
                          <a:solidFill>
                            <a:srgbClr val="70AD47"/>
                          </a:solidFill>
                          <a:prstDash val="solid"/>
                          <a:miter lim="800000"/>
                        </a:ln>
                        <a:effectLst/>
                      </wps:spPr>
                      <wps:txbx>
                        <w:txbxContent>
                          <w:p w:rsidR="0064059F" w:rsidRPr="000F6838" w:rsidRDefault="0064059F" w:rsidP="0005229A">
                            <w:pPr>
                              <w:rPr>
                                <w:rFonts w:ascii="Times New Roman" w:hAnsi="Times New Roman" w:cs="Times New Roman"/>
                                <w:sz w:val="24"/>
                                <w:szCs w:val="24"/>
                              </w:rPr>
                            </w:pPr>
                            <w:r w:rsidRPr="000F6838">
                              <w:rPr>
                                <w:rFonts w:ascii="Times New Roman" w:hAnsi="Times New Roman" w:cs="Times New Roman"/>
                                <w:sz w:val="24"/>
                                <w:szCs w:val="24"/>
                              </w:rPr>
                              <w:t xml:space="preserve">Sipas rezultateve mikrobiologjike, plazhet e Durrësit vlerësohen: Në kategorinë A- Cilësi e shkëlqyer e ujërave (3 pika). Në kategorinë B- Cilësi e  mirë e ujërave (8 pika). Në kategorinë C- Cilësi e mjaftueshme e ujërave (4 pika) dhe në kategorinë D-Cilësi e keqe vlerësohen (6 pika).Përqindjen më të lartë e zë kategoria B-Cilësi e mirë 38%  por edhe kategoria D-Cilësi e keqe/Masa të menjëherëshme paraqitet në 29% me prani të pikave problematike 3, 15, 16, 21.    </w:t>
                            </w:r>
                          </w:p>
                          <w:p w:rsidR="0064059F" w:rsidRDefault="0064059F" w:rsidP="000522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7A0645" id="Rectangle 52" o:spid="_x0000_s1087" style="position:absolute;margin-left:257.25pt;margin-top:-.2pt;width:240.75pt;height:191.25pt;z-index:251630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" fillcolor="window" strokecolor="#70ad47" strokeweight="1pt">
                <v:textbox>
                  <w:txbxContent>
                    <w:p w:rsidR="0064059F" w:rsidRPr="000F6838" w:rsidRDefault="0064059F" w:rsidP="0005229A">
                      <w:pPr>
                        <w:rPr>
                          <w:rFonts w:ascii="Times New Roman" w:hAnsi="Times New Roman" w:cs="Times New Roman"/>
                          <w:sz w:val="24"/>
                          <w:szCs w:val="24"/>
                        </w:rPr>
                      </w:pPr>
                      <w:r w:rsidRPr="000F6838">
                        <w:rPr>
                          <w:rFonts w:ascii="Times New Roman" w:hAnsi="Times New Roman" w:cs="Times New Roman"/>
                          <w:sz w:val="24"/>
                          <w:szCs w:val="24"/>
                        </w:rPr>
                        <w:t xml:space="preserve">Sipas rezultateve mikrobiologjike, plazhet e Durrësit vlerësohen: Në kategorinë A- Cilësi e shkëlqyer e ujërave (3 pika). Në kategorinë B- Cilësi e  mirë e ujërave (8 pika). Në kategorinë C- Cilësi e mjaftueshme e ujërave (4 pika) dhe në kategorinë D-Cilësi e keqe vlerësohen (6 pika).Përqindjen më të lartë e zë kategoria B-Cilësi e mirë 38%  por edhe kategoria D-Cilësi e keqe/Masa të menjëherëshme paraqitet në 29% me prani të pikave problematike 3, 15, 16, 21.    </w:t>
                      </w:r>
                    </w:p>
                    <w:p w:rsidR="0064059F" w:rsidRDefault="0064059F" w:rsidP="0005229A">
                      <w:pPr>
                        <w:jc w:val="center"/>
                      </w:pPr>
                    </w:p>
                  </w:txbxContent>
                </v:textbox>
              </v:rect>
            </w:pict>
          </mc:Fallback>
        </mc:AlternateContent>
      </w:r>
      <w:r w:rsidRPr="0005229A">
        <w:rPr>
          <w:rFonts w:ascii="Times New Roman" w:eastAsiaTheme="minorEastAsia" w:hAnsi="Times New Roman" w:cs="Times New Roman"/>
          <w:noProof/>
          <w:sz w:val="24"/>
          <w:szCs w:val="24"/>
        </w:rPr>
        <w:drawing>
          <wp:inline distT="0" distB="0" distL="0" distR="0" wp14:anchorId="15E1BCFE" wp14:editId="101C09E8">
            <wp:extent cx="3114675" cy="24479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114675" cy="2447925"/>
                    </a:xfrm>
                    <a:prstGeom prst="rect">
                      <a:avLst/>
                    </a:prstGeom>
                    <a:noFill/>
                  </pic:spPr>
                </pic:pic>
              </a:graphicData>
            </a:graphic>
          </wp:inline>
        </w:drawing>
      </w:r>
    </w:p>
    <w:p w:rsidR="0005229A" w:rsidRDefault="0005229A" w:rsidP="003C64EC">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PLAZHET E GJIRIT TË LALZIT: Në vijën bregdetare të plazhit të Gjirit të Lalzit përgjithësisht u konstatua pastërti e rërës, plazh i sistemuar, prani e koshave të mbeturinave, prezencë e kullave të vrojtimit, dusheve dhe dhomave të ndërrimit, prezencë e afishimit të rregullave për zbatim nga pushuesit. Gjatë muajve Korrik e Gusht u konstatua shtim i numrit të frekuentuesve të plazheve. U vërejt angazhim i strukturave akomoduese private në pastrim e grumbullim të mbetjeve në brezin ranor, në plugim të zonës ranore dhe/ose në sistemim të shezllonëve. Kepi i Rodonit u konstatua prani të koshave dhe të nyjeve sanitare, ndërsa pjesa ranore e pluguar dhe e sistemuar. Fshati Turistik Lura u konstatua prani e vendeve të zhveshjes dhe dusheve, prani e koshave të mbetjeve.  Në brezin ranor nuk kishte prani të nyjeve sanitare, pasi frekuentuesit e këtyre plazheve shfrytëzojnë ambjentet e strukturave akomoduese. Plazhi Publik pas Lurës në bregun ranor nuk kishte prani të nyjeve sanitare. pasi frekuentuesit e këtyre plazheve shfrytëzojnë ambjentet e strukturave akomoduese. Alioma ishte pa prani të nyjeve sanitare, dhomave të zhveshjes. Gjiri Lalzit (Fshati Turistik Lura 3) ishte pa prani t</w:t>
      </w:r>
      <w:r w:rsidR="003C64EC">
        <w:rPr>
          <w:rFonts w:ascii="Times New Roman" w:eastAsiaTheme="minorEastAsia" w:hAnsi="Times New Roman" w:cs="Times New Roman"/>
          <w:sz w:val="24"/>
          <w:szCs w:val="24"/>
        </w:rPr>
        <w:t>ë nyjeve sanitare, me shkurre në</w:t>
      </w:r>
      <w:r w:rsidRPr="0005229A">
        <w:rPr>
          <w:rFonts w:ascii="Times New Roman" w:eastAsiaTheme="minorEastAsia" w:hAnsi="Times New Roman" w:cs="Times New Roman"/>
          <w:sz w:val="24"/>
          <w:szCs w:val="24"/>
        </w:rPr>
        <w:t xml:space="preserve"> brezin ranor.</w:t>
      </w:r>
    </w:p>
    <w:p w:rsidR="003C64EC" w:rsidRPr="0005229A" w:rsidRDefault="003C64EC" w:rsidP="003C64EC">
      <w:pPr>
        <w:spacing w:after="0" w:line="240" w:lineRule="auto"/>
        <w:jc w:val="both"/>
        <w:rPr>
          <w:rFonts w:ascii="Times New Roman" w:eastAsiaTheme="minorEastAsia" w:hAnsi="Times New Roman" w:cs="Times New Roman"/>
          <w:sz w:val="24"/>
          <w:szCs w:val="24"/>
        </w:rPr>
      </w:pPr>
    </w:p>
    <w:p w:rsidR="0005229A" w:rsidRPr="0005229A" w:rsidRDefault="003C64EC" w:rsidP="0005229A">
      <w:pPr>
        <w:spacing w:after="200" w:line="288"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●Plazhi i</w:t>
      </w:r>
      <w:r w:rsidR="0005229A" w:rsidRPr="0005229A">
        <w:rPr>
          <w:rFonts w:ascii="Times New Roman" w:eastAsiaTheme="minorEastAsia" w:hAnsi="Times New Roman" w:cs="Times New Roman"/>
          <w:b/>
          <w:sz w:val="24"/>
          <w:szCs w:val="24"/>
        </w:rPr>
        <w:t xml:space="preserve"> Gjirit të Lalzit</w:t>
      </w:r>
    </w:p>
    <w:tbl>
      <w:tblPr>
        <w:tblW w:w="0" w:type="auto"/>
        <w:tblInd w:w="289" w:type="dxa"/>
        <w:tblLayout w:type="fixed"/>
        <w:tblCellMar>
          <w:left w:w="0" w:type="dxa"/>
          <w:right w:w="0" w:type="dxa"/>
        </w:tblCellMar>
        <w:tblLook w:val="01E0" w:firstRow="1" w:lastRow="1" w:firstColumn="1" w:lastColumn="1" w:noHBand="0" w:noVBand="0"/>
      </w:tblPr>
      <w:tblGrid>
        <w:gridCol w:w="1053"/>
        <w:gridCol w:w="2863"/>
        <w:gridCol w:w="1136"/>
        <w:gridCol w:w="1136"/>
        <w:gridCol w:w="994"/>
        <w:gridCol w:w="1349"/>
      </w:tblGrid>
      <w:tr w:rsidR="0005229A" w:rsidRPr="0005229A" w:rsidTr="00DD196F">
        <w:trPr>
          <w:trHeight w:val="614"/>
        </w:trPr>
        <w:tc>
          <w:tcPr>
            <w:tcW w:w="1053" w:type="dxa"/>
            <w:tcBorders>
              <w:top w:val="single" w:sz="4" w:space="0" w:color="auto"/>
              <w:left w:val="single" w:sz="4" w:space="0" w:color="auto"/>
              <w:bottom w:val="single" w:sz="4" w:space="0" w:color="auto"/>
              <w:right w:val="single" w:sz="4" w:space="0" w:color="auto"/>
            </w:tcBorders>
            <w:shd w:val="clear" w:color="auto" w:fill="D9E1F3"/>
          </w:tcPr>
          <w:p w:rsidR="0005229A" w:rsidRPr="0005229A" w:rsidRDefault="0005229A" w:rsidP="0005229A">
            <w:pPr>
              <w:widowControl w:val="0"/>
              <w:autoSpaceDE w:val="0"/>
              <w:autoSpaceDN w:val="0"/>
              <w:spacing w:before="41" w:after="0" w:line="240" w:lineRule="auto"/>
              <w:ind w:left="35" w:right="30"/>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Nr.</w:t>
            </w:r>
          </w:p>
          <w:p w:rsidR="0005229A" w:rsidRPr="0005229A" w:rsidRDefault="0005229A" w:rsidP="0005229A">
            <w:pPr>
              <w:widowControl w:val="0"/>
              <w:autoSpaceDE w:val="0"/>
              <w:autoSpaceDN w:val="0"/>
              <w:spacing w:before="5" w:after="0" w:line="240" w:lineRule="auto"/>
              <w:ind w:left="36" w:right="30"/>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Stacioneve</w:t>
            </w:r>
          </w:p>
        </w:tc>
        <w:tc>
          <w:tcPr>
            <w:tcW w:w="2863" w:type="dxa"/>
            <w:tcBorders>
              <w:top w:val="single" w:sz="4" w:space="0" w:color="auto"/>
              <w:left w:val="single" w:sz="4" w:space="0" w:color="auto"/>
              <w:bottom w:val="single" w:sz="4" w:space="0" w:color="auto"/>
              <w:right w:val="single" w:sz="4" w:space="0" w:color="auto"/>
            </w:tcBorders>
            <w:shd w:val="clear" w:color="auto" w:fill="D9E1F3"/>
          </w:tcPr>
          <w:p w:rsidR="0005229A" w:rsidRPr="0005229A" w:rsidRDefault="0005229A" w:rsidP="0005229A">
            <w:pPr>
              <w:widowControl w:val="0"/>
              <w:autoSpaceDE w:val="0"/>
              <w:autoSpaceDN w:val="0"/>
              <w:spacing w:before="153" w:after="0" w:line="240" w:lineRule="auto"/>
              <w:ind w:left="1087" w:right="1081"/>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Vendi</w:t>
            </w:r>
          </w:p>
        </w:tc>
        <w:tc>
          <w:tcPr>
            <w:tcW w:w="1136" w:type="dxa"/>
            <w:tcBorders>
              <w:top w:val="single" w:sz="4" w:space="0" w:color="auto"/>
              <w:left w:val="single" w:sz="4" w:space="0" w:color="auto"/>
              <w:bottom w:val="single" w:sz="4" w:space="0" w:color="auto"/>
              <w:right w:val="single" w:sz="4" w:space="0" w:color="auto"/>
            </w:tcBorders>
            <w:shd w:val="clear" w:color="auto" w:fill="D9E1F3"/>
          </w:tcPr>
          <w:p w:rsidR="0005229A" w:rsidRPr="0005229A" w:rsidRDefault="0005229A" w:rsidP="0005229A">
            <w:pPr>
              <w:widowControl w:val="0"/>
              <w:autoSpaceDE w:val="0"/>
              <w:autoSpaceDN w:val="0"/>
              <w:spacing w:after="0" w:line="212" w:lineRule="exact"/>
              <w:ind w:left="153"/>
              <w:rPr>
                <w:rFonts w:ascii="Times New Roman" w:eastAsia="Times New Roman" w:hAnsi="Times New Roman" w:cs="Times New Roman"/>
                <w:b/>
                <w:sz w:val="19"/>
                <w:lang w:val="sq-AL"/>
              </w:rPr>
            </w:pPr>
            <w:r w:rsidRPr="0005229A">
              <w:rPr>
                <w:rFonts w:ascii="Times New Roman" w:eastAsia="Times New Roman" w:hAnsi="Times New Roman" w:cs="Times New Roman"/>
                <w:b/>
                <w:w w:val="95"/>
                <w:sz w:val="19"/>
                <w:lang w:val="sq-AL"/>
              </w:rPr>
              <w:t>FC</w:t>
            </w:r>
            <w:r w:rsidRPr="0005229A">
              <w:rPr>
                <w:rFonts w:ascii="Times New Roman" w:eastAsia="Times New Roman" w:hAnsi="Times New Roman" w:cs="Times New Roman"/>
                <w:b/>
                <w:spacing w:val="-2"/>
                <w:w w:val="95"/>
                <w:sz w:val="19"/>
                <w:lang w:val="sq-AL"/>
              </w:rPr>
              <w:t xml:space="preserve"> </w:t>
            </w:r>
            <w:r w:rsidRPr="0005229A">
              <w:rPr>
                <w:rFonts w:ascii="Times New Roman" w:eastAsia="Times New Roman" w:hAnsi="Times New Roman" w:cs="Times New Roman"/>
                <w:b/>
                <w:w w:val="95"/>
                <w:sz w:val="19"/>
                <w:lang w:val="sq-AL"/>
              </w:rPr>
              <w:t>90%</w:t>
            </w:r>
            <w:r w:rsidRPr="0005229A">
              <w:rPr>
                <w:rFonts w:ascii="Times New Roman" w:eastAsia="Times New Roman" w:hAnsi="Times New Roman" w:cs="Times New Roman"/>
                <w:b/>
                <w:spacing w:val="-2"/>
                <w:w w:val="95"/>
                <w:sz w:val="19"/>
                <w:lang w:val="sq-AL"/>
              </w:rPr>
              <w:t xml:space="preserve"> </w:t>
            </w:r>
            <w:r w:rsidRPr="0005229A">
              <w:rPr>
                <w:rFonts w:ascii="Times New Roman" w:eastAsia="Times New Roman" w:hAnsi="Times New Roman" w:cs="Times New Roman"/>
                <w:b/>
                <w:w w:val="95"/>
                <w:sz w:val="19"/>
                <w:lang w:val="sq-AL"/>
              </w:rPr>
              <w:t>-</w:t>
            </w:r>
          </w:p>
          <w:p w:rsidR="0005229A" w:rsidRPr="0005229A" w:rsidRDefault="0005229A" w:rsidP="0005229A">
            <w:pPr>
              <w:widowControl w:val="0"/>
              <w:autoSpaceDE w:val="0"/>
              <w:autoSpaceDN w:val="0"/>
              <w:spacing w:before="5" w:after="0" w:line="240" w:lineRule="auto"/>
              <w:ind w:left="101"/>
              <w:rPr>
                <w:rFonts w:ascii="Times New Roman" w:eastAsia="Times New Roman" w:hAnsi="Times New Roman" w:cs="Times New Roman"/>
                <w:b/>
                <w:sz w:val="19"/>
                <w:lang w:val="sq-AL"/>
              </w:rPr>
            </w:pPr>
            <w:r w:rsidRPr="0005229A">
              <w:rPr>
                <w:rFonts w:ascii="Times New Roman" w:eastAsia="Times New Roman" w:hAnsi="Times New Roman" w:cs="Times New Roman"/>
                <w:b/>
                <w:w w:val="95"/>
                <w:sz w:val="19"/>
                <w:lang w:val="sq-AL"/>
              </w:rPr>
              <w:t>Norma</w:t>
            </w:r>
            <w:r w:rsidRPr="0005229A">
              <w:rPr>
                <w:rFonts w:ascii="Times New Roman" w:eastAsia="Times New Roman" w:hAnsi="Times New Roman" w:cs="Times New Roman"/>
                <w:b/>
                <w:spacing w:val="-2"/>
                <w:w w:val="95"/>
                <w:sz w:val="19"/>
                <w:lang w:val="sq-AL"/>
              </w:rPr>
              <w:t xml:space="preserve"> </w:t>
            </w:r>
            <w:r w:rsidRPr="0005229A">
              <w:rPr>
                <w:rFonts w:ascii="Times New Roman" w:eastAsia="Times New Roman" w:hAnsi="Times New Roman" w:cs="Times New Roman"/>
                <w:b/>
                <w:w w:val="95"/>
                <w:sz w:val="19"/>
                <w:lang w:val="sq-AL"/>
              </w:rPr>
              <w:t>250</w:t>
            </w:r>
          </w:p>
        </w:tc>
        <w:tc>
          <w:tcPr>
            <w:tcW w:w="1136" w:type="dxa"/>
            <w:tcBorders>
              <w:top w:val="single" w:sz="4" w:space="0" w:color="auto"/>
              <w:left w:val="single" w:sz="4" w:space="0" w:color="auto"/>
              <w:bottom w:val="single" w:sz="4" w:space="0" w:color="auto"/>
              <w:right w:val="single" w:sz="4" w:space="0" w:color="auto"/>
            </w:tcBorders>
            <w:shd w:val="clear" w:color="auto" w:fill="D9E1F3"/>
          </w:tcPr>
          <w:p w:rsidR="0005229A" w:rsidRPr="0005229A" w:rsidRDefault="0005229A" w:rsidP="0005229A">
            <w:pPr>
              <w:widowControl w:val="0"/>
              <w:autoSpaceDE w:val="0"/>
              <w:autoSpaceDN w:val="0"/>
              <w:spacing w:after="0" w:line="212" w:lineRule="exact"/>
              <w:ind w:left="178"/>
              <w:rPr>
                <w:rFonts w:ascii="Times New Roman" w:eastAsia="Times New Roman" w:hAnsi="Times New Roman" w:cs="Times New Roman"/>
                <w:b/>
                <w:sz w:val="19"/>
                <w:lang w:val="sq-AL"/>
              </w:rPr>
            </w:pPr>
            <w:r w:rsidRPr="0005229A">
              <w:rPr>
                <w:rFonts w:ascii="Times New Roman" w:eastAsia="Times New Roman" w:hAnsi="Times New Roman" w:cs="Times New Roman"/>
                <w:b/>
                <w:w w:val="95"/>
                <w:sz w:val="19"/>
                <w:lang w:val="sq-AL"/>
              </w:rPr>
              <w:t>IE</w:t>
            </w:r>
            <w:r w:rsidRPr="0005229A">
              <w:rPr>
                <w:rFonts w:ascii="Times New Roman" w:eastAsia="Times New Roman" w:hAnsi="Times New Roman" w:cs="Times New Roman"/>
                <w:b/>
                <w:spacing w:val="-2"/>
                <w:w w:val="95"/>
                <w:sz w:val="19"/>
                <w:lang w:val="sq-AL"/>
              </w:rPr>
              <w:t xml:space="preserve"> </w:t>
            </w:r>
            <w:r w:rsidRPr="0005229A">
              <w:rPr>
                <w:rFonts w:ascii="Times New Roman" w:eastAsia="Times New Roman" w:hAnsi="Times New Roman" w:cs="Times New Roman"/>
                <w:b/>
                <w:w w:val="95"/>
                <w:sz w:val="19"/>
                <w:lang w:val="sq-AL"/>
              </w:rPr>
              <w:t>95%</w:t>
            </w:r>
            <w:r w:rsidRPr="0005229A">
              <w:rPr>
                <w:rFonts w:ascii="Times New Roman" w:eastAsia="Times New Roman" w:hAnsi="Times New Roman" w:cs="Times New Roman"/>
                <w:b/>
                <w:spacing w:val="-3"/>
                <w:w w:val="95"/>
                <w:sz w:val="19"/>
                <w:lang w:val="sq-AL"/>
              </w:rPr>
              <w:t xml:space="preserve"> </w:t>
            </w:r>
            <w:r w:rsidRPr="0005229A">
              <w:rPr>
                <w:rFonts w:ascii="Times New Roman" w:eastAsia="Times New Roman" w:hAnsi="Times New Roman" w:cs="Times New Roman"/>
                <w:b/>
                <w:w w:val="95"/>
                <w:sz w:val="19"/>
                <w:lang w:val="sq-AL"/>
              </w:rPr>
              <w:t>-</w:t>
            </w:r>
          </w:p>
          <w:p w:rsidR="0005229A" w:rsidRPr="0005229A" w:rsidRDefault="0005229A" w:rsidP="0005229A">
            <w:pPr>
              <w:widowControl w:val="0"/>
              <w:autoSpaceDE w:val="0"/>
              <w:autoSpaceDN w:val="0"/>
              <w:spacing w:before="5" w:after="0" w:line="240" w:lineRule="auto"/>
              <w:ind w:left="100"/>
              <w:rPr>
                <w:rFonts w:ascii="Times New Roman" w:eastAsia="Times New Roman" w:hAnsi="Times New Roman" w:cs="Times New Roman"/>
                <w:b/>
                <w:sz w:val="19"/>
                <w:lang w:val="sq-AL"/>
              </w:rPr>
            </w:pPr>
            <w:r w:rsidRPr="0005229A">
              <w:rPr>
                <w:rFonts w:ascii="Times New Roman" w:eastAsia="Times New Roman" w:hAnsi="Times New Roman" w:cs="Times New Roman"/>
                <w:b/>
                <w:w w:val="95"/>
                <w:sz w:val="19"/>
                <w:lang w:val="sq-AL"/>
              </w:rPr>
              <w:t>Norma</w:t>
            </w:r>
            <w:r w:rsidRPr="0005229A">
              <w:rPr>
                <w:rFonts w:ascii="Times New Roman" w:eastAsia="Times New Roman" w:hAnsi="Times New Roman" w:cs="Times New Roman"/>
                <w:b/>
                <w:spacing w:val="-2"/>
                <w:w w:val="95"/>
                <w:sz w:val="19"/>
                <w:lang w:val="sq-AL"/>
              </w:rPr>
              <w:t xml:space="preserve"> </w:t>
            </w:r>
            <w:r w:rsidRPr="0005229A">
              <w:rPr>
                <w:rFonts w:ascii="Times New Roman" w:eastAsia="Times New Roman" w:hAnsi="Times New Roman" w:cs="Times New Roman"/>
                <w:b/>
                <w:w w:val="95"/>
                <w:sz w:val="19"/>
                <w:lang w:val="sq-AL"/>
              </w:rPr>
              <w:t>100</w:t>
            </w:r>
          </w:p>
        </w:tc>
        <w:tc>
          <w:tcPr>
            <w:tcW w:w="994" w:type="dxa"/>
            <w:tcBorders>
              <w:top w:val="single" w:sz="4" w:space="0" w:color="auto"/>
              <w:left w:val="single" w:sz="4" w:space="0" w:color="auto"/>
              <w:bottom w:val="single" w:sz="4" w:space="0" w:color="auto"/>
              <w:right w:val="single" w:sz="4" w:space="0" w:color="auto"/>
            </w:tcBorders>
            <w:shd w:val="clear" w:color="auto" w:fill="D9E1F3"/>
          </w:tcPr>
          <w:p w:rsidR="0005229A" w:rsidRPr="0005229A" w:rsidRDefault="0005229A" w:rsidP="0005229A">
            <w:pPr>
              <w:widowControl w:val="0"/>
              <w:autoSpaceDE w:val="0"/>
              <w:autoSpaceDN w:val="0"/>
              <w:spacing w:after="0" w:line="212" w:lineRule="exact"/>
              <w:ind w:left="75"/>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Kategoria</w:t>
            </w:r>
          </w:p>
        </w:tc>
        <w:tc>
          <w:tcPr>
            <w:tcW w:w="1349" w:type="dxa"/>
            <w:tcBorders>
              <w:top w:val="single" w:sz="4" w:space="0" w:color="auto"/>
              <w:left w:val="single" w:sz="4" w:space="0" w:color="auto"/>
              <w:right w:val="single" w:sz="4" w:space="0" w:color="auto"/>
            </w:tcBorders>
            <w:shd w:val="clear" w:color="auto" w:fill="D9E1F3"/>
          </w:tcPr>
          <w:p w:rsidR="0005229A" w:rsidRPr="0005229A" w:rsidRDefault="0005229A" w:rsidP="0005229A">
            <w:pPr>
              <w:widowControl w:val="0"/>
              <w:autoSpaceDE w:val="0"/>
              <w:autoSpaceDN w:val="0"/>
              <w:spacing w:after="0" w:line="244" w:lineRule="auto"/>
              <w:ind w:left="120" w:right="113" w:firstLine="60"/>
              <w:rPr>
                <w:rFonts w:ascii="Times New Roman" w:eastAsia="Times New Roman" w:hAnsi="Times New Roman" w:cs="Times New Roman"/>
                <w:b/>
                <w:sz w:val="19"/>
                <w:lang w:val="sq-AL"/>
              </w:rPr>
            </w:pPr>
            <w:r w:rsidRPr="0005229A">
              <w:rPr>
                <w:rFonts w:ascii="Times New Roman" w:eastAsia="Times New Roman" w:hAnsi="Times New Roman" w:cs="Times New Roman"/>
                <w:b/>
                <w:w w:val="95"/>
                <w:sz w:val="19"/>
                <w:lang w:val="sq-AL"/>
              </w:rPr>
              <w:t>Përqindja e</w:t>
            </w:r>
            <w:r w:rsidRPr="0005229A">
              <w:rPr>
                <w:rFonts w:ascii="Times New Roman" w:eastAsia="Times New Roman" w:hAnsi="Times New Roman" w:cs="Times New Roman"/>
                <w:b/>
                <w:spacing w:val="1"/>
                <w:w w:val="95"/>
                <w:sz w:val="19"/>
                <w:lang w:val="sq-AL"/>
              </w:rPr>
              <w:t xml:space="preserve"> </w:t>
            </w:r>
            <w:r w:rsidRPr="0005229A">
              <w:rPr>
                <w:rFonts w:ascii="Times New Roman" w:eastAsia="Times New Roman" w:hAnsi="Times New Roman" w:cs="Times New Roman"/>
                <w:b/>
                <w:spacing w:val="-1"/>
                <w:w w:val="95"/>
                <w:sz w:val="19"/>
                <w:lang w:val="sq-AL"/>
              </w:rPr>
              <w:t>stacioneve</w:t>
            </w:r>
            <w:r w:rsidRPr="0005229A">
              <w:rPr>
                <w:rFonts w:ascii="Times New Roman" w:eastAsia="Times New Roman" w:hAnsi="Times New Roman" w:cs="Times New Roman"/>
                <w:b/>
                <w:spacing w:val="-7"/>
                <w:w w:val="95"/>
                <w:sz w:val="19"/>
                <w:lang w:val="sq-AL"/>
              </w:rPr>
              <w:t xml:space="preserve"> </w:t>
            </w:r>
            <w:r w:rsidRPr="0005229A">
              <w:rPr>
                <w:rFonts w:ascii="Times New Roman" w:eastAsia="Times New Roman" w:hAnsi="Times New Roman" w:cs="Times New Roman"/>
                <w:b/>
                <w:w w:val="95"/>
                <w:sz w:val="19"/>
                <w:lang w:val="sq-AL"/>
              </w:rPr>
              <w:t>%</w:t>
            </w:r>
          </w:p>
        </w:tc>
      </w:tr>
      <w:tr w:rsidR="0005229A" w:rsidRPr="0005229A" w:rsidTr="00DD196F">
        <w:trPr>
          <w:trHeight w:val="332"/>
        </w:trPr>
        <w:tc>
          <w:tcPr>
            <w:tcW w:w="105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444"/>
              <w:rPr>
                <w:rFonts w:ascii="Times New Roman" w:eastAsia="Times New Roman" w:hAnsi="Times New Roman" w:cs="Times New Roman"/>
                <w:sz w:val="19"/>
                <w:lang w:val="sq-AL"/>
              </w:rPr>
            </w:pPr>
            <w:r w:rsidRPr="0005229A">
              <w:rPr>
                <w:rFonts w:ascii="Times New Roman" w:eastAsia="Times New Roman" w:hAnsi="Times New Roman" w:cs="Times New Roman"/>
                <w:w w:val="94"/>
                <w:sz w:val="19"/>
                <w:lang w:val="sq-AL"/>
              </w:rPr>
              <w:t>1</w:t>
            </w:r>
          </w:p>
        </w:tc>
        <w:tc>
          <w:tcPr>
            <w:tcW w:w="286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69"/>
              <w:rPr>
                <w:rFonts w:ascii="Times New Roman" w:eastAsia="Times New Roman" w:hAnsi="Times New Roman" w:cs="Times New Roman"/>
                <w:sz w:val="19"/>
                <w:lang w:val="sq-AL"/>
              </w:rPr>
            </w:pPr>
            <w:r w:rsidRPr="0005229A">
              <w:rPr>
                <w:rFonts w:ascii="Times New Roman" w:eastAsia="Times New Roman" w:hAnsi="Times New Roman" w:cs="Times New Roman"/>
                <w:w w:val="95"/>
                <w:sz w:val="19"/>
                <w:lang w:val="sq-AL"/>
              </w:rPr>
              <w:t>Kepi</w:t>
            </w:r>
            <w:r w:rsidRPr="0005229A">
              <w:rPr>
                <w:rFonts w:ascii="Times New Roman" w:eastAsia="Times New Roman" w:hAnsi="Times New Roman" w:cs="Times New Roman"/>
                <w:spacing w:val="-2"/>
                <w:w w:val="95"/>
                <w:sz w:val="19"/>
                <w:lang w:val="sq-AL"/>
              </w:rPr>
              <w:t xml:space="preserve"> </w:t>
            </w:r>
            <w:r w:rsidRPr="0005229A">
              <w:rPr>
                <w:rFonts w:ascii="Times New Roman" w:eastAsia="Times New Roman" w:hAnsi="Times New Roman" w:cs="Times New Roman"/>
                <w:w w:val="95"/>
                <w:sz w:val="19"/>
                <w:lang w:val="sq-AL"/>
              </w:rPr>
              <w:t>i</w:t>
            </w:r>
            <w:r w:rsidRPr="0005229A">
              <w:rPr>
                <w:rFonts w:ascii="Times New Roman" w:eastAsia="Times New Roman" w:hAnsi="Times New Roman" w:cs="Times New Roman"/>
                <w:spacing w:val="-2"/>
                <w:w w:val="95"/>
                <w:sz w:val="19"/>
                <w:lang w:val="sq-AL"/>
              </w:rPr>
              <w:t xml:space="preserve"> </w:t>
            </w:r>
            <w:r w:rsidRPr="0005229A">
              <w:rPr>
                <w:rFonts w:ascii="Times New Roman" w:eastAsia="Times New Roman" w:hAnsi="Times New Roman" w:cs="Times New Roman"/>
                <w:w w:val="95"/>
                <w:sz w:val="19"/>
                <w:lang w:val="sq-AL"/>
              </w:rPr>
              <w:t>Rodonit</w:t>
            </w:r>
          </w:p>
        </w:tc>
        <w:tc>
          <w:tcPr>
            <w:tcW w:w="113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69"/>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126</w:t>
            </w:r>
          </w:p>
        </w:tc>
        <w:tc>
          <w:tcPr>
            <w:tcW w:w="113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69"/>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155</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349" w:type="dxa"/>
            <w:vMerge w:val="restart"/>
            <w:tcBorders>
              <w:left w:val="single" w:sz="4" w:space="0" w:color="auto"/>
              <w:right w:val="single" w:sz="4" w:space="0" w:color="auto"/>
            </w:tcBorders>
          </w:tcPr>
          <w:p w:rsidR="0005229A" w:rsidRPr="0005229A" w:rsidRDefault="0005229A" w:rsidP="0005229A">
            <w:pPr>
              <w:widowControl w:val="0"/>
              <w:autoSpaceDE w:val="0"/>
              <w:autoSpaceDN w:val="0"/>
              <w:spacing w:after="0" w:line="244" w:lineRule="auto"/>
              <w:ind w:left="68" w:right="104"/>
              <w:rPr>
                <w:rFonts w:ascii="Times New Roman" w:eastAsia="Times New Roman" w:hAnsi="Times New Roman" w:cs="Times New Roman"/>
                <w:sz w:val="19"/>
                <w:lang w:val="sq-AL"/>
              </w:rPr>
            </w:pPr>
            <w:r w:rsidRPr="0005229A">
              <w:rPr>
                <w:rFonts w:ascii="Times New Roman" w:eastAsia="Times New Roman" w:hAnsi="Times New Roman" w:cs="Times New Roman"/>
                <w:w w:val="95"/>
                <w:sz w:val="19"/>
                <w:lang w:val="sq-AL"/>
              </w:rPr>
              <w:t>20%,</w:t>
            </w:r>
            <w:r w:rsidRPr="0005229A">
              <w:rPr>
                <w:rFonts w:ascii="Times New Roman" w:eastAsia="Times New Roman" w:hAnsi="Times New Roman" w:cs="Times New Roman"/>
                <w:spacing w:val="-8"/>
                <w:w w:val="95"/>
                <w:sz w:val="19"/>
                <w:lang w:val="sq-AL"/>
              </w:rPr>
              <w:t xml:space="preserve"> </w:t>
            </w:r>
            <w:r w:rsidRPr="0005229A">
              <w:rPr>
                <w:rFonts w:ascii="Times New Roman" w:eastAsia="Times New Roman" w:hAnsi="Times New Roman" w:cs="Times New Roman"/>
                <w:w w:val="95"/>
                <w:sz w:val="19"/>
                <w:lang w:val="sq-AL"/>
              </w:rPr>
              <w:t>A-</w:t>
            </w:r>
            <w:r w:rsidRPr="0005229A">
              <w:rPr>
                <w:rFonts w:ascii="Times New Roman" w:eastAsia="Times New Roman" w:hAnsi="Times New Roman" w:cs="Times New Roman"/>
                <w:spacing w:val="-8"/>
                <w:w w:val="95"/>
                <w:sz w:val="19"/>
                <w:lang w:val="sq-AL"/>
              </w:rPr>
              <w:t xml:space="preserve"> </w:t>
            </w:r>
            <w:r w:rsidRPr="0005229A">
              <w:rPr>
                <w:rFonts w:ascii="Times New Roman" w:eastAsia="Times New Roman" w:hAnsi="Times New Roman" w:cs="Times New Roman"/>
                <w:w w:val="95"/>
                <w:sz w:val="19"/>
                <w:lang w:val="sq-AL"/>
              </w:rPr>
              <w:t>Cilësi</w:t>
            </w:r>
            <w:r w:rsidRPr="0005229A">
              <w:rPr>
                <w:rFonts w:ascii="Times New Roman" w:eastAsia="Times New Roman" w:hAnsi="Times New Roman" w:cs="Times New Roman"/>
                <w:spacing w:val="-42"/>
                <w:w w:val="95"/>
                <w:sz w:val="19"/>
                <w:lang w:val="sq-AL"/>
              </w:rPr>
              <w:t xml:space="preserve"> </w:t>
            </w:r>
            <w:r w:rsidRPr="0005229A">
              <w:rPr>
                <w:rFonts w:ascii="Times New Roman" w:eastAsia="Times New Roman" w:hAnsi="Times New Roman" w:cs="Times New Roman"/>
                <w:sz w:val="19"/>
                <w:lang w:val="sq-AL"/>
              </w:rPr>
              <w:t>e</w:t>
            </w:r>
            <w:r w:rsidRPr="0005229A">
              <w:rPr>
                <w:rFonts w:ascii="Times New Roman" w:eastAsia="Times New Roman" w:hAnsi="Times New Roman" w:cs="Times New Roman"/>
                <w:spacing w:val="-10"/>
                <w:sz w:val="19"/>
                <w:lang w:val="sq-AL"/>
              </w:rPr>
              <w:t xml:space="preserve"> </w:t>
            </w:r>
            <w:r w:rsidRPr="0005229A">
              <w:rPr>
                <w:rFonts w:ascii="Times New Roman" w:eastAsia="Times New Roman" w:hAnsi="Times New Roman" w:cs="Times New Roman"/>
                <w:sz w:val="19"/>
                <w:lang w:val="sq-AL"/>
              </w:rPr>
              <w:lastRenderedPageBreak/>
              <w:t>shkëlqyer</w:t>
            </w:r>
          </w:p>
          <w:p w:rsidR="0005229A" w:rsidRPr="0005229A" w:rsidRDefault="0005229A" w:rsidP="0005229A">
            <w:pPr>
              <w:widowControl w:val="0"/>
              <w:autoSpaceDE w:val="0"/>
              <w:autoSpaceDN w:val="0"/>
              <w:spacing w:before="8" w:after="0" w:line="240" w:lineRule="auto"/>
              <w:rPr>
                <w:rFonts w:ascii="Times New Roman" w:eastAsia="Times New Roman" w:hAnsi="Times New Roman" w:cs="Times New Roman"/>
                <w:b/>
                <w:sz w:val="18"/>
                <w:lang w:val="sq-AL"/>
              </w:rPr>
            </w:pPr>
          </w:p>
          <w:p w:rsidR="0005229A" w:rsidRPr="0005229A" w:rsidRDefault="0005229A" w:rsidP="0005229A">
            <w:pPr>
              <w:widowControl w:val="0"/>
              <w:autoSpaceDE w:val="0"/>
              <w:autoSpaceDN w:val="0"/>
              <w:spacing w:after="0" w:line="244" w:lineRule="auto"/>
              <w:ind w:left="68" w:right="156"/>
              <w:rPr>
                <w:rFonts w:ascii="Times New Roman" w:eastAsia="Times New Roman" w:hAnsi="Times New Roman" w:cs="Times New Roman"/>
                <w:sz w:val="19"/>
                <w:lang w:val="sq-AL"/>
              </w:rPr>
            </w:pPr>
            <w:r w:rsidRPr="0005229A">
              <w:rPr>
                <w:rFonts w:ascii="Times New Roman" w:eastAsia="Times New Roman" w:hAnsi="Times New Roman" w:cs="Times New Roman"/>
                <w:spacing w:val="-1"/>
                <w:w w:val="95"/>
                <w:sz w:val="19"/>
                <w:lang w:val="sq-AL"/>
              </w:rPr>
              <w:t>80%, B-Cilësi</w:t>
            </w:r>
            <w:r w:rsidRPr="0005229A">
              <w:rPr>
                <w:rFonts w:ascii="Times New Roman" w:eastAsia="Times New Roman" w:hAnsi="Times New Roman" w:cs="Times New Roman"/>
                <w:spacing w:val="-43"/>
                <w:w w:val="95"/>
                <w:sz w:val="19"/>
                <w:lang w:val="sq-AL"/>
              </w:rPr>
              <w:t xml:space="preserve"> </w:t>
            </w:r>
            <w:r w:rsidRPr="0005229A">
              <w:rPr>
                <w:rFonts w:ascii="Times New Roman" w:eastAsia="Times New Roman" w:hAnsi="Times New Roman" w:cs="Times New Roman"/>
                <w:sz w:val="19"/>
                <w:lang w:val="sq-AL"/>
              </w:rPr>
              <w:t>e</w:t>
            </w:r>
            <w:r w:rsidRPr="0005229A">
              <w:rPr>
                <w:rFonts w:ascii="Times New Roman" w:eastAsia="Times New Roman" w:hAnsi="Times New Roman" w:cs="Times New Roman"/>
                <w:spacing w:val="-5"/>
                <w:sz w:val="19"/>
                <w:lang w:val="sq-AL"/>
              </w:rPr>
              <w:t xml:space="preserve"> </w:t>
            </w:r>
            <w:r w:rsidRPr="0005229A">
              <w:rPr>
                <w:rFonts w:ascii="Times New Roman" w:eastAsia="Times New Roman" w:hAnsi="Times New Roman" w:cs="Times New Roman"/>
                <w:sz w:val="19"/>
                <w:lang w:val="sq-AL"/>
              </w:rPr>
              <w:t>mirë</w:t>
            </w:r>
          </w:p>
        </w:tc>
      </w:tr>
      <w:tr w:rsidR="0005229A" w:rsidRPr="0005229A" w:rsidTr="00DD196F">
        <w:trPr>
          <w:trHeight w:val="399"/>
        </w:trPr>
        <w:tc>
          <w:tcPr>
            <w:tcW w:w="105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444"/>
              <w:rPr>
                <w:rFonts w:ascii="Times New Roman" w:eastAsia="Times New Roman" w:hAnsi="Times New Roman" w:cs="Times New Roman"/>
                <w:sz w:val="19"/>
                <w:lang w:val="sq-AL"/>
              </w:rPr>
            </w:pPr>
            <w:r w:rsidRPr="0005229A">
              <w:rPr>
                <w:rFonts w:ascii="Times New Roman" w:eastAsia="Times New Roman" w:hAnsi="Times New Roman" w:cs="Times New Roman"/>
                <w:w w:val="94"/>
                <w:sz w:val="19"/>
                <w:lang w:val="sq-AL"/>
              </w:rPr>
              <w:lastRenderedPageBreak/>
              <w:t>2</w:t>
            </w:r>
          </w:p>
        </w:tc>
        <w:tc>
          <w:tcPr>
            <w:tcW w:w="286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69"/>
              <w:rPr>
                <w:rFonts w:ascii="Times New Roman" w:eastAsia="Times New Roman" w:hAnsi="Times New Roman" w:cs="Times New Roman"/>
                <w:sz w:val="19"/>
                <w:lang w:val="sq-AL"/>
              </w:rPr>
            </w:pPr>
            <w:r w:rsidRPr="0005229A">
              <w:rPr>
                <w:rFonts w:ascii="Times New Roman" w:eastAsia="Times New Roman" w:hAnsi="Times New Roman" w:cs="Times New Roman"/>
                <w:w w:val="95"/>
                <w:sz w:val="19"/>
                <w:lang w:val="sq-AL"/>
              </w:rPr>
              <w:t>Fshati</w:t>
            </w:r>
            <w:r w:rsidRPr="0005229A">
              <w:rPr>
                <w:rFonts w:ascii="Times New Roman" w:eastAsia="Times New Roman" w:hAnsi="Times New Roman" w:cs="Times New Roman"/>
                <w:spacing w:val="-3"/>
                <w:w w:val="95"/>
                <w:sz w:val="19"/>
                <w:lang w:val="sq-AL"/>
              </w:rPr>
              <w:t xml:space="preserve"> </w:t>
            </w:r>
            <w:r w:rsidRPr="0005229A">
              <w:rPr>
                <w:rFonts w:ascii="Times New Roman" w:eastAsia="Times New Roman" w:hAnsi="Times New Roman" w:cs="Times New Roman"/>
                <w:w w:val="95"/>
                <w:sz w:val="19"/>
                <w:lang w:val="sq-AL"/>
              </w:rPr>
              <w:t>Turistik</w:t>
            </w:r>
            <w:r w:rsidRPr="0005229A">
              <w:rPr>
                <w:rFonts w:ascii="Times New Roman" w:eastAsia="Times New Roman" w:hAnsi="Times New Roman" w:cs="Times New Roman"/>
                <w:spacing w:val="-3"/>
                <w:w w:val="95"/>
                <w:sz w:val="19"/>
                <w:lang w:val="sq-AL"/>
              </w:rPr>
              <w:t xml:space="preserve"> </w:t>
            </w:r>
            <w:r w:rsidRPr="0005229A">
              <w:rPr>
                <w:rFonts w:ascii="Times New Roman" w:eastAsia="Times New Roman" w:hAnsi="Times New Roman" w:cs="Times New Roman"/>
                <w:w w:val="95"/>
                <w:sz w:val="19"/>
                <w:lang w:val="sq-AL"/>
              </w:rPr>
              <w:t>Lura</w:t>
            </w:r>
          </w:p>
        </w:tc>
        <w:tc>
          <w:tcPr>
            <w:tcW w:w="113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69"/>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108</w:t>
            </w:r>
          </w:p>
        </w:tc>
        <w:tc>
          <w:tcPr>
            <w:tcW w:w="113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2" w:lineRule="exact"/>
              <w:ind w:left="69"/>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137</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349"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296"/>
        </w:trPr>
        <w:tc>
          <w:tcPr>
            <w:tcW w:w="105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444"/>
              <w:rPr>
                <w:rFonts w:ascii="Times New Roman" w:eastAsia="Times New Roman" w:hAnsi="Times New Roman" w:cs="Times New Roman"/>
                <w:sz w:val="19"/>
                <w:lang w:val="sq-AL"/>
              </w:rPr>
            </w:pPr>
            <w:r w:rsidRPr="0005229A">
              <w:rPr>
                <w:rFonts w:ascii="Times New Roman" w:eastAsia="Times New Roman" w:hAnsi="Times New Roman" w:cs="Times New Roman"/>
                <w:w w:val="94"/>
                <w:sz w:val="19"/>
                <w:lang w:val="sq-AL"/>
              </w:rPr>
              <w:t>3</w:t>
            </w:r>
          </w:p>
        </w:tc>
        <w:tc>
          <w:tcPr>
            <w:tcW w:w="286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69"/>
              <w:rPr>
                <w:rFonts w:ascii="Times New Roman" w:eastAsia="Times New Roman" w:hAnsi="Times New Roman" w:cs="Times New Roman"/>
                <w:sz w:val="19"/>
                <w:lang w:val="sq-AL"/>
              </w:rPr>
            </w:pPr>
            <w:r w:rsidRPr="0005229A">
              <w:rPr>
                <w:rFonts w:ascii="Times New Roman" w:eastAsia="Times New Roman" w:hAnsi="Times New Roman" w:cs="Times New Roman"/>
                <w:w w:val="95"/>
                <w:sz w:val="19"/>
                <w:lang w:val="sq-AL"/>
              </w:rPr>
              <w:t>Plazhi</w:t>
            </w:r>
            <w:r w:rsidRPr="0005229A">
              <w:rPr>
                <w:rFonts w:ascii="Times New Roman" w:eastAsia="Times New Roman" w:hAnsi="Times New Roman" w:cs="Times New Roman"/>
                <w:spacing w:val="-3"/>
                <w:w w:val="95"/>
                <w:sz w:val="19"/>
                <w:lang w:val="sq-AL"/>
              </w:rPr>
              <w:t xml:space="preserve"> </w:t>
            </w:r>
            <w:r w:rsidRPr="0005229A">
              <w:rPr>
                <w:rFonts w:ascii="Times New Roman" w:eastAsia="Times New Roman" w:hAnsi="Times New Roman" w:cs="Times New Roman"/>
                <w:w w:val="95"/>
                <w:sz w:val="19"/>
                <w:lang w:val="sq-AL"/>
              </w:rPr>
              <w:t>Publik</w:t>
            </w:r>
            <w:r w:rsidRPr="0005229A">
              <w:rPr>
                <w:rFonts w:ascii="Times New Roman" w:eastAsia="Times New Roman" w:hAnsi="Times New Roman" w:cs="Times New Roman"/>
                <w:spacing w:val="-3"/>
                <w:w w:val="95"/>
                <w:sz w:val="19"/>
                <w:lang w:val="sq-AL"/>
              </w:rPr>
              <w:t xml:space="preserve"> </w:t>
            </w:r>
            <w:r w:rsidRPr="0005229A">
              <w:rPr>
                <w:rFonts w:ascii="Times New Roman" w:eastAsia="Times New Roman" w:hAnsi="Times New Roman" w:cs="Times New Roman"/>
                <w:w w:val="95"/>
                <w:sz w:val="19"/>
                <w:lang w:val="sq-AL"/>
              </w:rPr>
              <w:t>pas</w:t>
            </w:r>
            <w:r w:rsidRPr="0005229A">
              <w:rPr>
                <w:rFonts w:ascii="Times New Roman" w:eastAsia="Times New Roman" w:hAnsi="Times New Roman" w:cs="Times New Roman"/>
                <w:spacing w:val="-2"/>
                <w:w w:val="95"/>
                <w:sz w:val="19"/>
                <w:lang w:val="sq-AL"/>
              </w:rPr>
              <w:t xml:space="preserve"> </w:t>
            </w:r>
            <w:r w:rsidRPr="0005229A">
              <w:rPr>
                <w:rFonts w:ascii="Times New Roman" w:eastAsia="Times New Roman" w:hAnsi="Times New Roman" w:cs="Times New Roman"/>
                <w:w w:val="95"/>
                <w:sz w:val="19"/>
                <w:lang w:val="sq-AL"/>
              </w:rPr>
              <w:t>Lurës</w:t>
            </w:r>
          </w:p>
        </w:tc>
        <w:tc>
          <w:tcPr>
            <w:tcW w:w="113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69"/>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130</w:t>
            </w:r>
          </w:p>
        </w:tc>
        <w:tc>
          <w:tcPr>
            <w:tcW w:w="113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69"/>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133</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349"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399"/>
        </w:trPr>
        <w:tc>
          <w:tcPr>
            <w:tcW w:w="105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102" w:after="0" w:line="240" w:lineRule="auto"/>
              <w:ind w:left="444"/>
              <w:rPr>
                <w:rFonts w:ascii="Times New Roman" w:eastAsia="Times New Roman" w:hAnsi="Times New Roman" w:cs="Times New Roman"/>
                <w:sz w:val="19"/>
                <w:lang w:val="sq-AL"/>
              </w:rPr>
            </w:pPr>
            <w:r w:rsidRPr="0005229A">
              <w:rPr>
                <w:rFonts w:ascii="Times New Roman" w:eastAsia="Times New Roman" w:hAnsi="Times New Roman" w:cs="Times New Roman"/>
                <w:w w:val="94"/>
                <w:sz w:val="19"/>
                <w:lang w:val="sq-AL"/>
              </w:rPr>
              <w:t>4</w:t>
            </w:r>
          </w:p>
        </w:tc>
        <w:tc>
          <w:tcPr>
            <w:tcW w:w="286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102" w:after="0" w:line="240" w:lineRule="auto"/>
              <w:ind w:left="69"/>
              <w:rPr>
                <w:rFonts w:ascii="Times New Roman" w:eastAsia="Times New Roman" w:hAnsi="Times New Roman" w:cs="Times New Roman"/>
                <w:sz w:val="19"/>
                <w:lang w:val="sq-AL"/>
              </w:rPr>
            </w:pPr>
            <w:r w:rsidRPr="0005229A">
              <w:rPr>
                <w:rFonts w:ascii="Times New Roman" w:eastAsia="Times New Roman" w:hAnsi="Times New Roman" w:cs="Times New Roman"/>
                <w:w w:val="95"/>
                <w:sz w:val="19"/>
                <w:lang w:val="sq-AL"/>
              </w:rPr>
              <w:t>Gjiri</w:t>
            </w:r>
            <w:r w:rsidRPr="0005229A">
              <w:rPr>
                <w:rFonts w:ascii="Times New Roman" w:eastAsia="Times New Roman" w:hAnsi="Times New Roman" w:cs="Times New Roman"/>
                <w:spacing w:val="-4"/>
                <w:w w:val="95"/>
                <w:sz w:val="19"/>
                <w:lang w:val="sq-AL"/>
              </w:rPr>
              <w:t xml:space="preserve"> </w:t>
            </w:r>
            <w:r w:rsidRPr="0005229A">
              <w:rPr>
                <w:rFonts w:ascii="Times New Roman" w:eastAsia="Times New Roman" w:hAnsi="Times New Roman" w:cs="Times New Roman"/>
                <w:w w:val="95"/>
                <w:sz w:val="19"/>
                <w:lang w:val="sq-AL"/>
              </w:rPr>
              <w:t>Lalzit</w:t>
            </w:r>
            <w:r w:rsidRPr="0005229A">
              <w:rPr>
                <w:rFonts w:ascii="Times New Roman" w:eastAsia="Times New Roman" w:hAnsi="Times New Roman" w:cs="Times New Roman"/>
                <w:spacing w:val="38"/>
                <w:w w:val="95"/>
                <w:sz w:val="19"/>
                <w:lang w:val="sq-AL"/>
              </w:rPr>
              <w:t xml:space="preserve"> </w:t>
            </w:r>
            <w:r w:rsidRPr="0005229A">
              <w:rPr>
                <w:rFonts w:ascii="Times New Roman" w:eastAsia="Times New Roman" w:hAnsi="Times New Roman" w:cs="Times New Roman"/>
                <w:w w:val="95"/>
                <w:sz w:val="19"/>
                <w:lang w:val="sq-AL"/>
              </w:rPr>
              <w:t>(Kompleksi</w:t>
            </w:r>
            <w:r w:rsidRPr="0005229A">
              <w:rPr>
                <w:rFonts w:ascii="Times New Roman" w:eastAsia="Times New Roman" w:hAnsi="Times New Roman" w:cs="Times New Roman"/>
                <w:spacing w:val="-3"/>
                <w:w w:val="95"/>
                <w:sz w:val="19"/>
                <w:lang w:val="sq-AL"/>
              </w:rPr>
              <w:t xml:space="preserve"> </w:t>
            </w:r>
            <w:r w:rsidRPr="0005229A">
              <w:rPr>
                <w:rFonts w:ascii="Times New Roman" w:eastAsia="Times New Roman" w:hAnsi="Times New Roman" w:cs="Times New Roman"/>
                <w:w w:val="95"/>
                <w:sz w:val="19"/>
                <w:lang w:val="sq-AL"/>
              </w:rPr>
              <w:t>Alioma)</w:t>
            </w:r>
          </w:p>
        </w:tc>
        <w:tc>
          <w:tcPr>
            <w:tcW w:w="113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09" w:lineRule="exact"/>
              <w:ind w:left="69"/>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158</w:t>
            </w:r>
          </w:p>
        </w:tc>
        <w:tc>
          <w:tcPr>
            <w:tcW w:w="113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09" w:lineRule="exact"/>
              <w:ind w:left="69"/>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76</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A</w:t>
            </w:r>
          </w:p>
        </w:tc>
        <w:tc>
          <w:tcPr>
            <w:tcW w:w="1349"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399"/>
        </w:trPr>
        <w:tc>
          <w:tcPr>
            <w:tcW w:w="105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444"/>
              <w:rPr>
                <w:rFonts w:ascii="Times New Roman" w:eastAsia="Times New Roman" w:hAnsi="Times New Roman" w:cs="Times New Roman"/>
                <w:sz w:val="19"/>
                <w:lang w:val="sq-AL"/>
              </w:rPr>
            </w:pPr>
            <w:r w:rsidRPr="0005229A">
              <w:rPr>
                <w:rFonts w:ascii="Times New Roman" w:eastAsia="Times New Roman" w:hAnsi="Times New Roman" w:cs="Times New Roman"/>
                <w:w w:val="94"/>
                <w:sz w:val="19"/>
                <w:lang w:val="sq-AL"/>
              </w:rPr>
              <w:t>5</w:t>
            </w:r>
          </w:p>
        </w:tc>
        <w:tc>
          <w:tcPr>
            <w:tcW w:w="286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69"/>
              <w:rPr>
                <w:rFonts w:ascii="Times New Roman" w:eastAsia="Times New Roman" w:hAnsi="Times New Roman" w:cs="Times New Roman"/>
                <w:sz w:val="19"/>
                <w:lang w:val="sq-AL"/>
              </w:rPr>
            </w:pPr>
            <w:r w:rsidRPr="0005229A">
              <w:rPr>
                <w:rFonts w:ascii="Times New Roman" w:eastAsia="Times New Roman" w:hAnsi="Times New Roman" w:cs="Times New Roman"/>
                <w:w w:val="95"/>
                <w:sz w:val="19"/>
                <w:lang w:val="sq-AL"/>
              </w:rPr>
              <w:t>Gjiri</w:t>
            </w:r>
            <w:r w:rsidRPr="0005229A">
              <w:rPr>
                <w:rFonts w:ascii="Times New Roman" w:eastAsia="Times New Roman" w:hAnsi="Times New Roman" w:cs="Times New Roman"/>
                <w:spacing w:val="-3"/>
                <w:w w:val="95"/>
                <w:sz w:val="19"/>
                <w:lang w:val="sq-AL"/>
              </w:rPr>
              <w:t xml:space="preserve"> </w:t>
            </w:r>
            <w:r w:rsidRPr="0005229A">
              <w:rPr>
                <w:rFonts w:ascii="Times New Roman" w:eastAsia="Times New Roman" w:hAnsi="Times New Roman" w:cs="Times New Roman"/>
                <w:w w:val="95"/>
                <w:sz w:val="19"/>
                <w:lang w:val="sq-AL"/>
              </w:rPr>
              <w:t>Lalzit</w:t>
            </w:r>
            <w:r w:rsidRPr="0005229A">
              <w:rPr>
                <w:rFonts w:ascii="Times New Roman" w:eastAsia="Times New Roman" w:hAnsi="Times New Roman" w:cs="Times New Roman"/>
                <w:spacing w:val="-3"/>
                <w:w w:val="95"/>
                <w:sz w:val="19"/>
                <w:lang w:val="sq-AL"/>
              </w:rPr>
              <w:t xml:space="preserve"> </w:t>
            </w:r>
            <w:r w:rsidRPr="0005229A">
              <w:rPr>
                <w:rFonts w:ascii="Times New Roman" w:eastAsia="Times New Roman" w:hAnsi="Times New Roman" w:cs="Times New Roman"/>
                <w:w w:val="95"/>
                <w:sz w:val="19"/>
                <w:lang w:val="sq-AL"/>
              </w:rPr>
              <w:t>(Fshati</w:t>
            </w:r>
            <w:r w:rsidRPr="0005229A">
              <w:rPr>
                <w:rFonts w:ascii="Times New Roman" w:eastAsia="Times New Roman" w:hAnsi="Times New Roman" w:cs="Times New Roman"/>
                <w:spacing w:val="-3"/>
                <w:w w:val="95"/>
                <w:sz w:val="19"/>
                <w:lang w:val="sq-AL"/>
              </w:rPr>
              <w:t xml:space="preserve"> </w:t>
            </w:r>
            <w:r w:rsidRPr="0005229A">
              <w:rPr>
                <w:rFonts w:ascii="Times New Roman" w:eastAsia="Times New Roman" w:hAnsi="Times New Roman" w:cs="Times New Roman"/>
                <w:w w:val="95"/>
                <w:sz w:val="19"/>
                <w:lang w:val="sq-AL"/>
              </w:rPr>
              <w:t>Turistik</w:t>
            </w:r>
            <w:r w:rsidRPr="0005229A">
              <w:rPr>
                <w:rFonts w:ascii="Times New Roman" w:eastAsia="Times New Roman" w:hAnsi="Times New Roman" w:cs="Times New Roman"/>
                <w:spacing w:val="-3"/>
                <w:w w:val="95"/>
                <w:sz w:val="19"/>
                <w:lang w:val="sq-AL"/>
              </w:rPr>
              <w:t xml:space="preserve"> </w:t>
            </w:r>
            <w:r w:rsidRPr="0005229A">
              <w:rPr>
                <w:rFonts w:ascii="Times New Roman" w:eastAsia="Times New Roman" w:hAnsi="Times New Roman" w:cs="Times New Roman"/>
                <w:w w:val="95"/>
                <w:sz w:val="19"/>
                <w:lang w:val="sq-AL"/>
              </w:rPr>
              <w:t>Lura</w:t>
            </w:r>
            <w:r w:rsidRPr="0005229A">
              <w:rPr>
                <w:rFonts w:ascii="Times New Roman" w:eastAsia="Times New Roman" w:hAnsi="Times New Roman" w:cs="Times New Roman"/>
                <w:spacing w:val="-3"/>
                <w:w w:val="95"/>
                <w:sz w:val="19"/>
                <w:lang w:val="sq-AL"/>
              </w:rPr>
              <w:t xml:space="preserve"> </w:t>
            </w:r>
            <w:r w:rsidRPr="0005229A">
              <w:rPr>
                <w:rFonts w:ascii="Times New Roman" w:eastAsia="Times New Roman" w:hAnsi="Times New Roman" w:cs="Times New Roman"/>
                <w:w w:val="95"/>
                <w:sz w:val="19"/>
                <w:lang w:val="sq-AL"/>
              </w:rPr>
              <w:t>3)</w:t>
            </w:r>
          </w:p>
        </w:tc>
        <w:tc>
          <w:tcPr>
            <w:tcW w:w="113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69"/>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112</w:t>
            </w:r>
          </w:p>
        </w:tc>
        <w:tc>
          <w:tcPr>
            <w:tcW w:w="113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69"/>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106</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349" w:type="dxa"/>
            <w:vMerge/>
            <w:tcBorders>
              <w:top w:val="nil"/>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bl>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Sipas rezultateve mikrobiologjike, plazhet e Gjirit të Lalzit vlerësohen: Në kategorinë A- Cilësi e shkëlqyer e ujërave (1 pikë). Në kategorinë B- Cilësi e  mirë e ujërave (4 pika).</w:t>
      </w: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noProof/>
          <w:sz w:val="24"/>
          <w:szCs w:val="24"/>
        </w:rPr>
        <mc:AlternateContent>
          <mc:Choice Requires="wps">
            <w:drawing>
              <wp:anchor distT="0" distB="0" distL="114300" distR="114300" simplePos="0" relativeHeight="251617792" behindDoc="0" locked="0" layoutInCell="1" allowOverlap="1" wp14:anchorId="1EB4D483" wp14:editId="1A496728">
                <wp:simplePos x="0" y="0"/>
                <wp:positionH relativeFrom="column">
                  <wp:posOffset>3324225</wp:posOffset>
                </wp:positionH>
                <wp:positionV relativeFrom="paragraph">
                  <wp:posOffset>36194</wp:posOffset>
                </wp:positionV>
                <wp:extent cx="3257550" cy="24098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3257550" cy="2409825"/>
                        </a:xfrm>
                        <a:prstGeom prst="rect">
                          <a:avLst/>
                        </a:prstGeom>
                        <a:solidFill>
                          <a:sysClr val="window" lastClr="FFFFFF"/>
                        </a:solidFill>
                        <a:ln w="12700" cap="flat" cmpd="sng" algn="ctr">
                          <a:solidFill>
                            <a:srgbClr val="70AD47"/>
                          </a:solidFill>
                          <a:prstDash val="solid"/>
                          <a:miter lim="800000"/>
                        </a:ln>
                        <a:effectLst/>
                      </wps:spPr>
                      <wps:txbx>
                        <w:txbxContent>
                          <w:p w:rsidR="0064059F" w:rsidRPr="00983914" w:rsidRDefault="0064059F" w:rsidP="0005229A">
                            <w:pPr>
                              <w:jc w:val="both"/>
                              <w:rPr>
                                <w:rFonts w:ascii="Times New Roman" w:hAnsi="Times New Roman" w:cs="Times New Roman"/>
                                <w:sz w:val="20"/>
                                <w:szCs w:val="20"/>
                              </w:rPr>
                            </w:pPr>
                            <w:r w:rsidRPr="00983914">
                              <w:rPr>
                                <w:rFonts w:ascii="Times New Roman" w:hAnsi="Times New Roman" w:cs="Times New Roman"/>
                                <w:sz w:val="20"/>
                                <w:szCs w:val="20"/>
                              </w:rPr>
                              <w:t>Për Plazhin e Gjirit te Lalzit  për vitin 2025, kemi rritje të stacioneve  të kategorisë A-Cilësi e shkëlqyer, krahasuar 2024 dhe zvogëlim në vitet 2020-2023</w:t>
                            </w:r>
                          </w:p>
                          <w:p w:rsidR="0064059F" w:rsidRPr="00983914" w:rsidRDefault="0064059F" w:rsidP="0005229A">
                            <w:pPr>
                              <w:jc w:val="both"/>
                              <w:rPr>
                                <w:rFonts w:ascii="Times New Roman" w:hAnsi="Times New Roman" w:cs="Times New Roman"/>
                                <w:sz w:val="20"/>
                                <w:szCs w:val="20"/>
                              </w:rPr>
                            </w:pPr>
                            <w:r w:rsidRPr="00983914">
                              <w:rPr>
                                <w:rFonts w:ascii="Times New Roman" w:hAnsi="Times New Roman" w:cs="Times New Roman"/>
                                <w:sz w:val="20"/>
                                <w:szCs w:val="20"/>
                              </w:rPr>
                              <w:t xml:space="preserve">Kemi tendencë në rritje të stacioneve të kategorisë B-Cilësisë së mirë të ujërave, në vitet 2020-2024 </w:t>
                            </w:r>
                          </w:p>
                          <w:p w:rsidR="0064059F" w:rsidRPr="00983914" w:rsidRDefault="0064059F" w:rsidP="0005229A">
                            <w:pPr>
                              <w:jc w:val="both"/>
                              <w:rPr>
                                <w:rFonts w:ascii="Times New Roman" w:hAnsi="Times New Roman" w:cs="Times New Roman"/>
                                <w:sz w:val="20"/>
                                <w:szCs w:val="20"/>
                              </w:rPr>
                            </w:pPr>
                            <w:r w:rsidRPr="00983914">
                              <w:rPr>
                                <w:rFonts w:ascii="Times New Roman" w:hAnsi="Times New Roman" w:cs="Times New Roman"/>
                                <w:sz w:val="20"/>
                                <w:szCs w:val="20"/>
                              </w:rPr>
                              <w:t xml:space="preserve">Kemi zvogëlim të stacioneve të kategorisë C-Cilësisë së mjaftueshme, krahasuar me vitet 2024 dhe i barabartë me vitet 2020-2023. </w:t>
                            </w:r>
                          </w:p>
                          <w:p w:rsidR="0064059F" w:rsidRPr="00983914" w:rsidRDefault="0064059F" w:rsidP="0005229A">
                            <w:pPr>
                              <w:jc w:val="both"/>
                              <w:rPr>
                                <w:rFonts w:ascii="Times New Roman" w:hAnsi="Times New Roman" w:cs="Times New Roman"/>
                                <w:sz w:val="20"/>
                                <w:szCs w:val="20"/>
                              </w:rPr>
                            </w:pPr>
                            <w:r w:rsidRPr="00983914">
                              <w:rPr>
                                <w:rFonts w:ascii="Times New Roman" w:hAnsi="Times New Roman" w:cs="Times New Roman"/>
                                <w:sz w:val="20"/>
                                <w:szCs w:val="20"/>
                              </w:rPr>
                              <w:t>Nuk kemi stacione të kategorisë D-Cilësisë së keqe të ujërave, në vitet 2020-2025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B4D483" id="Rectangle 8" o:spid="_x0000_s1088" style="position:absolute;margin-left:261.75pt;margin-top:2.85pt;width:256.5pt;height:189.75pt;z-index:251617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" fillcolor="window" strokecolor="#70ad47" strokeweight="1pt">
                <v:textbox>
                  <w:txbxContent>
                    <w:p w:rsidR="0064059F" w:rsidRPr="00983914" w:rsidRDefault="0064059F" w:rsidP="0005229A">
                      <w:pPr>
                        <w:jc w:val="both"/>
                        <w:rPr>
                          <w:rFonts w:ascii="Times New Roman" w:hAnsi="Times New Roman" w:cs="Times New Roman"/>
                          <w:sz w:val="20"/>
                          <w:szCs w:val="20"/>
                        </w:rPr>
                      </w:pPr>
                      <w:r w:rsidRPr="00983914">
                        <w:rPr>
                          <w:rFonts w:ascii="Times New Roman" w:hAnsi="Times New Roman" w:cs="Times New Roman"/>
                          <w:sz w:val="20"/>
                          <w:szCs w:val="20"/>
                        </w:rPr>
                        <w:t>Për Plazhin e Gjirit te Lalzit  për vitin 2025, kemi rritje të stacioneve  të kategorisë A-Cilësi e shkëlqyer, krahasuar 2024 dhe zvogëlim në vitet 2020-2023</w:t>
                      </w:r>
                    </w:p>
                    <w:p w:rsidR="0064059F" w:rsidRPr="00983914" w:rsidRDefault="0064059F" w:rsidP="0005229A">
                      <w:pPr>
                        <w:jc w:val="both"/>
                        <w:rPr>
                          <w:rFonts w:ascii="Times New Roman" w:hAnsi="Times New Roman" w:cs="Times New Roman"/>
                          <w:sz w:val="20"/>
                          <w:szCs w:val="20"/>
                        </w:rPr>
                      </w:pPr>
                      <w:r w:rsidRPr="00983914">
                        <w:rPr>
                          <w:rFonts w:ascii="Times New Roman" w:hAnsi="Times New Roman" w:cs="Times New Roman"/>
                          <w:sz w:val="20"/>
                          <w:szCs w:val="20"/>
                        </w:rPr>
                        <w:t xml:space="preserve">Kemi tendencë në rritje të stacioneve të kategorisë B-Cilësisë së mirë të ujërave, në vitet 2020-2024 </w:t>
                      </w:r>
                    </w:p>
                    <w:p w:rsidR="0064059F" w:rsidRPr="00983914" w:rsidRDefault="0064059F" w:rsidP="0005229A">
                      <w:pPr>
                        <w:jc w:val="both"/>
                        <w:rPr>
                          <w:rFonts w:ascii="Times New Roman" w:hAnsi="Times New Roman" w:cs="Times New Roman"/>
                          <w:sz w:val="20"/>
                          <w:szCs w:val="20"/>
                        </w:rPr>
                      </w:pPr>
                      <w:r w:rsidRPr="00983914">
                        <w:rPr>
                          <w:rFonts w:ascii="Times New Roman" w:hAnsi="Times New Roman" w:cs="Times New Roman"/>
                          <w:sz w:val="20"/>
                          <w:szCs w:val="20"/>
                        </w:rPr>
                        <w:t xml:space="preserve">Kemi zvogëlim të stacioneve të kategorisë C-Cilësisë së mjaftueshme, krahasuar me vitet 2024 dhe i barabartë me vitet 2020-2023. </w:t>
                      </w:r>
                    </w:p>
                    <w:p w:rsidR="0064059F" w:rsidRPr="00983914" w:rsidRDefault="0064059F" w:rsidP="0005229A">
                      <w:pPr>
                        <w:jc w:val="both"/>
                        <w:rPr>
                          <w:rFonts w:ascii="Times New Roman" w:hAnsi="Times New Roman" w:cs="Times New Roman"/>
                          <w:sz w:val="20"/>
                          <w:szCs w:val="20"/>
                        </w:rPr>
                      </w:pPr>
                      <w:r w:rsidRPr="00983914">
                        <w:rPr>
                          <w:rFonts w:ascii="Times New Roman" w:hAnsi="Times New Roman" w:cs="Times New Roman"/>
                          <w:sz w:val="20"/>
                          <w:szCs w:val="20"/>
                        </w:rPr>
                        <w:t>Nuk kemi stacione të kategorisë D-Cilësisë së keqe të ujërave, në vitet 2020-2025</w:t>
                      </w:r>
                    </w:p>
                  </w:txbxContent>
                </v:textbox>
              </v:rect>
            </w:pict>
          </mc:Fallback>
        </mc:AlternateContent>
      </w:r>
      <w:r w:rsidRPr="0005229A">
        <w:rPr>
          <w:rFonts w:ascii="Times New Roman" w:eastAsiaTheme="minorEastAsia" w:hAnsi="Times New Roman" w:cs="Times New Roman"/>
          <w:noProof/>
          <w:sz w:val="24"/>
          <w:szCs w:val="24"/>
        </w:rPr>
        <w:drawing>
          <wp:inline distT="0" distB="0" distL="0" distR="0" wp14:anchorId="0D071A8A" wp14:editId="6491CBAA">
            <wp:extent cx="3005455" cy="2238375"/>
            <wp:effectExtent l="0" t="0" r="444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005455" cy="2238375"/>
                    </a:xfrm>
                    <a:prstGeom prst="rect">
                      <a:avLst/>
                    </a:prstGeom>
                    <a:noFill/>
                  </pic:spPr>
                </pic:pic>
              </a:graphicData>
            </a:graphic>
          </wp:inline>
        </w:drawing>
      </w:r>
    </w:p>
    <w:p w:rsidR="0005229A" w:rsidRPr="0005229A" w:rsidRDefault="0005229A" w:rsidP="0005229A">
      <w:pPr>
        <w:spacing w:after="200" w:line="288" w:lineRule="auto"/>
        <w:rPr>
          <w:rFonts w:ascii="Times New Roman" w:eastAsiaTheme="minorEastAsia" w:hAnsi="Times New Roman" w:cs="Times New Roman"/>
          <w:b/>
          <w:sz w:val="24"/>
          <w:szCs w:val="24"/>
        </w:rPr>
      </w:pPr>
    </w:p>
    <w:p w:rsidR="0005229A" w:rsidRPr="003C64EC" w:rsidRDefault="0005229A" w:rsidP="00807975">
      <w:pPr>
        <w:pStyle w:val="ListParagraph"/>
        <w:numPr>
          <w:ilvl w:val="0"/>
          <w:numId w:val="163"/>
        </w:numPr>
        <w:spacing w:after="200" w:line="288" w:lineRule="auto"/>
        <w:rPr>
          <w:rFonts w:ascii="Times New Roman" w:eastAsiaTheme="minorEastAsia" w:hAnsi="Times New Roman" w:cs="Times New Roman"/>
          <w:b/>
          <w:sz w:val="24"/>
          <w:szCs w:val="24"/>
        </w:rPr>
      </w:pPr>
      <w:r w:rsidRPr="003C64EC">
        <w:rPr>
          <w:rFonts w:ascii="Times New Roman" w:eastAsiaTheme="minorEastAsia" w:hAnsi="Times New Roman" w:cs="Times New Roman"/>
          <w:b/>
          <w:sz w:val="24"/>
          <w:szCs w:val="24"/>
        </w:rPr>
        <w:t>Plazhet e Kavajës (Golem, Qerret dhe Spille)</w:t>
      </w:r>
    </w:p>
    <w:p w:rsidR="003C64EC" w:rsidRDefault="0005229A" w:rsidP="003C64EC">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 xml:space="preserve">PLAZHI I KAVAJËS: Në plazhet e Kavajës në seritë e para të sezonit numri i banjatorëve ishte shumë i ulët por në muajt Korrik e Gusht ky numër ishte me fluks të shtuar. Nga ekspertiza higjeno-sanitar u konstatua se ishin bërë ndarje me gurë në det që krijonin gjire të vegjël duke favorizuar pirgje të mëdha me leshterikë përgjatë bregut duke krijuar problematikë në disa pjesë të vijës bregdetare. Përgjatë bregut të detit nga pika 4 Vapori i mbytur dhe pikës 5 kompleksi Fafa ishte një shtresë e trashë prej leshterikësh. Në pikën 4, kanali pas Grintit, pranë Vaporit të mbytur, ka pasur një kanal të derdhjes së ujërave të pa trajtuara në det të hapur gjatë gjithë serive. Në pikën 7, zonën e Mak Albania në seritë e para kishte kanal të derdhjes së ujërave të pa trajtuara në det, por më pas ky kanal ishte i mbuluar dhe u konstatua një grumbull mbeturinash në bregun ranor. Në Pikën 8, që përfaqëson zonën Lokali Reshatit, ndodhet kanali i madh që derdhet në det. Në pikën 6 piceri Argjendi vihet re një grumbull i madh leshterikësh dhe grumbull papastërtish. Në pikën 3 Kosmira nuk kishte kanale të dukshme në sipërfaqe por u vunë re grumbuj gurësh në formën e kanalit. </w:t>
      </w:r>
    </w:p>
    <w:p w:rsidR="003C64EC" w:rsidRDefault="0005229A" w:rsidP="003C64EC">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 xml:space="preserve">Në përgjithësi nga ekspertiza higjeno-sanitar u konstatua se në plazhin e Kavajës gjatë bregut në përgjithësi rëra ishte e pluguar, me kulla vrojtimi e kosha të mbeturinave prezente, me dushe e dhoma të ndërrimit të veshjeve. Procesi i pastrimit dhe sistemimit të plazheve nga subjektet private ishte present. Gjithashtu u konstatua prezencë e afishimit të rregullave për zbatim nga pushuesit. Nevojat sanitare për tualete pushuesit i përmbushin pranë subjekteve private për shkak të pozicionimit të këtyre plazheve pranë subjekteve.    </w:t>
      </w:r>
    </w:p>
    <w:p w:rsidR="0005229A" w:rsidRPr="0005229A" w:rsidRDefault="0005229A" w:rsidP="003C64EC">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 xml:space="preserve">  </w:t>
      </w:r>
    </w:p>
    <w:p w:rsidR="0005229A" w:rsidRPr="0005229A" w:rsidRDefault="0005229A" w:rsidP="0005229A">
      <w:pPr>
        <w:spacing w:after="200" w:line="288" w:lineRule="auto"/>
        <w:rPr>
          <w:rFonts w:ascii="Times New Roman" w:eastAsiaTheme="minorEastAsia" w:hAnsi="Times New Roman" w:cs="Times New Roman"/>
          <w:b/>
          <w:sz w:val="24"/>
          <w:szCs w:val="24"/>
        </w:rPr>
      </w:pPr>
      <w:r w:rsidRPr="0005229A">
        <w:rPr>
          <w:rFonts w:ascii="Times New Roman" w:eastAsiaTheme="minorEastAsia" w:hAnsi="Times New Roman" w:cs="Times New Roman"/>
          <w:b/>
          <w:sz w:val="24"/>
          <w:szCs w:val="24"/>
        </w:rPr>
        <w:lastRenderedPageBreak/>
        <w:t xml:space="preserve">                       ●Plazhi i Kavajës</w:t>
      </w:r>
    </w:p>
    <w:tbl>
      <w:tblPr>
        <w:tblW w:w="9161" w:type="dxa"/>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2"/>
        <w:gridCol w:w="2128"/>
        <w:gridCol w:w="1288"/>
        <w:gridCol w:w="1289"/>
        <w:gridCol w:w="1295"/>
        <w:gridCol w:w="1959"/>
      </w:tblGrid>
      <w:tr w:rsidR="0005229A" w:rsidRPr="0005229A" w:rsidTr="00DD196F">
        <w:trPr>
          <w:trHeight w:val="943"/>
        </w:trPr>
        <w:tc>
          <w:tcPr>
            <w:tcW w:w="1202" w:type="dxa"/>
            <w:shd w:val="clear" w:color="auto" w:fill="E1EED9"/>
          </w:tcPr>
          <w:p w:rsidR="0005229A" w:rsidRPr="0005229A" w:rsidRDefault="0005229A" w:rsidP="0005229A">
            <w:pPr>
              <w:widowControl w:val="0"/>
              <w:autoSpaceDE w:val="0"/>
              <w:autoSpaceDN w:val="0"/>
              <w:spacing w:before="113" w:after="0" w:line="240" w:lineRule="auto"/>
              <w:ind w:left="75" w:right="69"/>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Nr.</w:t>
            </w:r>
          </w:p>
          <w:p w:rsidR="0005229A" w:rsidRPr="0005229A" w:rsidRDefault="0005229A" w:rsidP="0005229A">
            <w:pPr>
              <w:widowControl w:val="0"/>
              <w:autoSpaceDE w:val="0"/>
              <w:autoSpaceDN w:val="0"/>
              <w:spacing w:before="5" w:after="0" w:line="240" w:lineRule="auto"/>
              <w:ind w:left="76" w:right="69"/>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Stacioneve</w:t>
            </w:r>
          </w:p>
        </w:tc>
        <w:tc>
          <w:tcPr>
            <w:tcW w:w="2129" w:type="dxa"/>
            <w:shd w:val="clear" w:color="auto" w:fill="E1EED9"/>
          </w:tcPr>
          <w:p w:rsidR="0005229A" w:rsidRPr="0005229A" w:rsidRDefault="0005229A" w:rsidP="0005229A">
            <w:pPr>
              <w:widowControl w:val="0"/>
              <w:autoSpaceDE w:val="0"/>
              <w:autoSpaceDN w:val="0"/>
              <w:spacing w:before="6" w:after="0" w:line="240" w:lineRule="auto"/>
              <w:rPr>
                <w:rFonts w:ascii="Times New Roman" w:eastAsia="Times New Roman" w:hAnsi="Times New Roman" w:cs="Times New Roman"/>
                <w:b/>
                <w:sz w:val="19"/>
                <w:lang w:val="sq-AL"/>
              </w:rPr>
            </w:pPr>
          </w:p>
          <w:p w:rsidR="0005229A" w:rsidRPr="0005229A" w:rsidRDefault="0005229A" w:rsidP="0005229A">
            <w:pPr>
              <w:widowControl w:val="0"/>
              <w:autoSpaceDE w:val="0"/>
              <w:autoSpaceDN w:val="0"/>
              <w:spacing w:after="0" w:line="240" w:lineRule="auto"/>
              <w:ind w:left="673" w:right="667"/>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Vendi</w:t>
            </w:r>
          </w:p>
        </w:tc>
        <w:tc>
          <w:tcPr>
            <w:tcW w:w="1289" w:type="dxa"/>
            <w:shd w:val="clear" w:color="auto" w:fill="E1EED9"/>
          </w:tcPr>
          <w:p w:rsidR="0005229A" w:rsidRPr="0005229A" w:rsidRDefault="0005229A" w:rsidP="0005229A">
            <w:pPr>
              <w:widowControl w:val="0"/>
              <w:autoSpaceDE w:val="0"/>
              <w:autoSpaceDN w:val="0"/>
              <w:spacing w:before="3" w:after="0" w:line="240" w:lineRule="auto"/>
              <w:ind w:left="160"/>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FC</w:t>
            </w:r>
            <w:r w:rsidRPr="0005229A">
              <w:rPr>
                <w:rFonts w:ascii="Times New Roman" w:eastAsia="Times New Roman" w:hAnsi="Times New Roman" w:cs="Times New Roman"/>
                <w:b/>
                <w:spacing w:val="4"/>
                <w:sz w:val="19"/>
                <w:lang w:val="sq-AL"/>
              </w:rPr>
              <w:t xml:space="preserve"> </w:t>
            </w:r>
            <w:r w:rsidRPr="0005229A">
              <w:rPr>
                <w:rFonts w:ascii="Times New Roman" w:eastAsia="Times New Roman" w:hAnsi="Times New Roman" w:cs="Times New Roman"/>
                <w:b/>
                <w:sz w:val="19"/>
                <w:lang w:val="sq-AL"/>
              </w:rPr>
              <w:t>90%</w:t>
            </w:r>
            <w:r w:rsidRPr="0005229A">
              <w:rPr>
                <w:rFonts w:ascii="Times New Roman" w:eastAsia="Times New Roman" w:hAnsi="Times New Roman" w:cs="Times New Roman"/>
                <w:b/>
                <w:spacing w:val="4"/>
                <w:sz w:val="19"/>
                <w:lang w:val="sq-AL"/>
              </w:rPr>
              <w:t xml:space="preserve"> </w:t>
            </w:r>
            <w:r w:rsidRPr="0005229A">
              <w:rPr>
                <w:rFonts w:ascii="Times New Roman" w:eastAsia="Times New Roman" w:hAnsi="Times New Roman" w:cs="Times New Roman"/>
                <w:b/>
                <w:sz w:val="19"/>
                <w:lang w:val="sq-AL"/>
              </w:rPr>
              <w:t>-</w:t>
            </w:r>
          </w:p>
          <w:p w:rsidR="0005229A" w:rsidRPr="0005229A" w:rsidRDefault="0005229A" w:rsidP="0005229A">
            <w:pPr>
              <w:widowControl w:val="0"/>
              <w:autoSpaceDE w:val="0"/>
              <w:autoSpaceDN w:val="0"/>
              <w:spacing w:before="5" w:after="0" w:line="240" w:lineRule="auto"/>
              <w:ind w:left="103"/>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Norma</w:t>
            </w:r>
            <w:r w:rsidRPr="0005229A">
              <w:rPr>
                <w:rFonts w:ascii="Times New Roman" w:eastAsia="Times New Roman" w:hAnsi="Times New Roman" w:cs="Times New Roman"/>
                <w:b/>
                <w:spacing w:val="8"/>
                <w:sz w:val="19"/>
                <w:lang w:val="sq-AL"/>
              </w:rPr>
              <w:t xml:space="preserve"> </w:t>
            </w:r>
            <w:r w:rsidRPr="0005229A">
              <w:rPr>
                <w:rFonts w:ascii="Times New Roman" w:eastAsia="Times New Roman" w:hAnsi="Times New Roman" w:cs="Times New Roman"/>
                <w:b/>
                <w:sz w:val="19"/>
                <w:lang w:val="sq-AL"/>
              </w:rPr>
              <w:t>250</w:t>
            </w:r>
          </w:p>
        </w:tc>
        <w:tc>
          <w:tcPr>
            <w:tcW w:w="1285" w:type="dxa"/>
            <w:shd w:val="clear" w:color="auto" w:fill="E1EED9"/>
          </w:tcPr>
          <w:p w:rsidR="0005229A" w:rsidRPr="0005229A" w:rsidRDefault="0005229A" w:rsidP="0005229A">
            <w:pPr>
              <w:widowControl w:val="0"/>
              <w:autoSpaceDE w:val="0"/>
              <w:autoSpaceDN w:val="0"/>
              <w:spacing w:before="3" w:after="0" w:line="240" w:lineRule="auto"/>
              <w:ind w:left="188"/>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IE</w:t>
            </w:r>
            <w:r w:rsidRPr="0005229A">
              <w:rPr>
                <w:rFonts w:ascii="Times New Roman" w:eastAsia="Times New Roman" w:hAnsi="Times New Roman" w:cs="Times New Roman"/>
                <w:b/>
                <w:spacing w:val="4"/>
                <w:sz w:val="19"/>
                <w:lang w:val="sq-AL"/>
              </w:rPr>
              <w:t xml:space="preserve"> </w:t>
            </w:r>
            <w:r w:rsidRPr="0005229A">
              <w:rPr>
                <w:rFonts w:ascii="Times New Roman" w:eastAsia="Times New Roman" w:hAnsi="Times New Roman" w:cs="Times New Roman"/>
                <w:b/>
                <w:sz w:val="19"/>
                <w:lang w:val="sq-AL"/>
              </w:rPr>
              <w:t>95%</w:t>
            </w:r>
            <w:r w:rsidRPr="0005229A">
              <w:rPr>
                <w:rFonts w:ascii="Times New Roman" w:eastAsia="Times New Roman" w:hAnsi="Times New Roman" w:cs="Times New Roman"/>
                <w:b/>
                <w:spacing w:val="3"/>
                <w:sz w:val="19"/>
                <w:lang w:val="sq-AL"/>
              </w:rPr>
              <w:t xml:space="preserve"> </w:t>
            </w:r>
            <w:r w:rsidRPr="0005229A">
              <w:rPr>
                <w:rFonts w:ascii="Times New Roman" w:eastAsia="Times New Roman" w:hAnsi="Times New Roman" w:cs="Times New Roman"/>
                <w:b/>
                <w:sz w:val="19"/>
                <w:lang w:val="sq-AL"/>
              </w:rPr>
              <w:t>-</w:t>
            </w:r>
          </w:p>
          <w:p w:rsidR="0005229A" w:rsidRPr="0005229A" w:rsidRDefault="0005229A" w:rsidP="0005229A">
            <w:pPr>
              <w:widowControl w:val="0"/>
              <w:autoSpaceDE w:val="0"/>
              <w:autoSpaceDN w:val="0"/>
              <w:spacing w:before="5" w:after="0" w:line="240" w:lineRule="auto"/>
              <w:ind w:left="103"/>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Norma</w:t>
            </w:r>
            <w:r w:rsidRPr="0005229A">
              <w:rPr>
                <w:rFonts w:ascii="Times New Roman" w:eastAsia="Times New Roman" w:hAnsi="Times New Roman" w:cs="Times New Roman"/>
                <w:b/>
                <w:spacing w:val="8"/>
                <w:sz w:val="19"/>
                <w:lang w:val="sq-AL"/>
              </w:rPr>
              <w:t xml:space="preserve"> </w:t>
            </w:r>
            <w:r w:rsidRPr="0005229A">
              <w:rPr>
                <w:rFonts w:ascii="Times New Roman" w:eastAsia="Times New Roman" w:hAnsi="Times New Roman" w:cs="Times New Roman"/>
                <w:b/>
                <w:sz w:val="19"/>
                <w:lang w:val="sq-AL"/>
              </w:rPr>
              <w:t>100</w:t>
            </w:r>
          </w:p>
        </w:tc>
        <w:tc>
          <w:tcPr>
            <w:tcW w:w="1296" w:type="dxa"/>
            <w:tcBorders>
              <w:bottom w:val="single" w:sz="4" w:space="0" w:color="auto"/>
            </w:tcBorders>
            <w:shd w:val="clear" w:color="auto" w:fill="E1EED9"/>
          </w:tcPr>
          <w:p w:rsidR="0005229A" w:rsidRPr="0005229A" w:rsidRDefault="0005229A" w:rsidP="0005229A">
            <w:pPr>
              <w:widowControl w:val="0"/>
              <w:autoSpaceDE w:val="0"/>
              <w:autoSpaceDN w:val="0"/>
              <w:spacing w:before="3" w:after="0" w:line="240" w:lineRule="auto"/>
              <w:ind w:left="153"/>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Kategoria</w:t>
            </w:r>
          </w:p>
        </w:tc>
        <w:tc>
          <w:tcPr>
            <w:tcW w:w="1960" w:type="dxa"/>
            <w:shd w:val="clear" w:color="auto" w:fill="E1EED9"/>
          </w:tcPr>
          <w:p w:rsidR="0005229A" w:rsidRPr="0005229A" w:rsidRDefault="0005229A" w:rsidP="0005229A">
            <w:pPr>
              <w:widowControl w:val="0"/>
              <w:autoSpaceDE w:val="0"/>
              <w:autoSpaceDN w:val="0"/>
              <w:spacing w:before="3" w:after="0" w:line="244" w:lineRule="auto"/>
              <w:ind w:left="312" w:firstLine="65"/>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Përqindja</w:t>
            </w:r>
            <w:r w:rsidRPr="0005229A">
              <w:rPr>
                <w:rFonts w:ascii="Times New Roman" w:eastAsia="Times New Roman" w:hAnsi="Times New Roman" w:cs="Times New Roman"/>
                <w:b/>
                <w:spacing w:val="7"/>
                <w:sz w:val="19"/>
                <w:lang w:val="sq-AL"/>
              </w:rPr>
              <w:t xml:space="preserve"> </w:t>
            </w:r>
            <w:r w:rsidRPr="0005229A">
              <w:rPr>
                <w:rFonts w:ascii="Times New Roman" w:eastAsia="Times New Roman" w:hAnsi="Times New Roman" w:cs="Times New Roman"/>
                <w:b/>
                <w:sz w:val="19"/>
                <w:lang w:val="sq-AL"/>
              </w:rPr>
              <w:t>e</w:t>
            </w:r>
            <w:r w:rsidRPr="0005229A">
              <w:rPr>
                <w:rFonts w:ascii="Times New Roman" w:eastAsia="Times New Roman" w:hAnsi="Times New Roman" w:cs="Times New Roman"/>
                <w:b/>
                <w:spacing w:val="1"/>
                <w:sz w:val="19"/>
                <w:lang w:val="sq-AL"/>
              </w:rPr>
              <w:t xml:space="preserve"> </w:t>
            </w:r>
            <w:r w:rsidRPr="0005229A">
              <w:rPr>
                <w:rFonts w:ascii="Times New Roman" w:eastAsia="Times New Roman" w:hAnsi="Times New Roman" w:cs="Times New Roman"/>
                <w:b/>
                <w:sz w:val="19"/>
                <w:lang w:val="sq-AL"/>
              </w:rPr>
              <w:t>stacioneve</w:t>
            </w:r>
            <w:r w:rsidRPr="0005229A">
              <w:rPr>
                <w:rFonts w:ascii="Times New Roman" w:eastAsia="Times New Roman" w:hAnsi="Times New Roman" w:cs="Times New Roman"/>
                <w:b/>
                <w:spacing w:val="5"/>
                <w:sz w:val="19"/>
                <w:lang w:val="sq-AL"/>
              </w:rPr>
              <w:t xml:space="preserve"> </w:t>
            </w:r>
            <w:r w:rsidRPr="0005229A">
              <w:rPr>
                <w:rFonts w:ascii="Times New Roman" w:eastAsia="Times New Roman" w:hAnsi="Times New Roman" w:cs="Times New Roman"/>
                <w:b/>
                <w:sz w:val="19"/>
                <w:lang w:val="sq-AL"/>
              </w:rPr>
              <w:t>%</w:t>
            </w:r>
          </w:p>
        </w:tc>
      </w:tr>
      <w:tr w:rsidR="0005229A" w:rsidRPr="0005229A" w:rsidTr="00DD196F">
        <w:trPr>
          <w:trHeight w:val="481"/>
        </w:trPr>
        <w:tc>
          <w:tcPr>
            <w:tcW w:w="1202" w:type="dxa"/>
          </w:tcPr>
          <w:p w:rsidR="0005229A" w:rsidRPr="0005229A" w:rsidRDefault="0005229A" w:rsidP="0005229A">
            <w:pPr>
              <w:widowControl w:val="0"/>
              <w:autoSpaceDE w:val="0"/>
              <w:autoSpaceDN w:val="0"/>
              <w:spacing w:before="60" w:after="0" w:line="240" w:lineRule="auto"/>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1</w:t>
            </w:r>
          </w:p>
        </w:tc>
        <w:tc>
          <w:tcPr>
            <w:tcW w:w="2129" w:type="dxa"/>
          </w:tcPr>
          <w:p w:rsidR="0005229A" w:rsidRPr="0005229A" w:rsidRDefault="0005229A" w:rsidP="0005229A">
            <w:pPr>
              <w:widowControl w:val="0"/>
              <w:autoSpaceDE w:val="0"/>
              <w:autoSpaceDN w:val="0"/>
              <w:spacing w:before="60" w:after="0" w:line="240" w:lineRule="auto"/>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Majami</w:t>
            </w:r>
          </w:p>
        </w:tc>
        <w:tc>
          <w:tcPr>
            <w:tcW w:w="1289" w:type="dxa"/>
          </w:tcPr>
          <w:p w:rsidR="0005229A" w:rsidRPr="0005229A" w:rsidRDefault="0005229A" w:rsidP="0005229A">
            <w:pPr>
              <w:widowControl w:val="0"/>
              <w:autoSpaceDE w:val="0"/>
              <w:autoSpaceDN w:val="0"/>
              <w:spacing w:after="0" w:line="183" w:lineRule="exact"/>
              <w:ind w:left="84"/>
              <w:rPr>
                <w:rFonts w:ascii="Times New Roman" w:eastAsia="Times New Roman" w:hAnsi="Times New Roman" w:cs="Times New Roman"/>
                <w:sz w:val="16"/>
                <w:lang w:val="sq-AL"/>
              </w:rPr>
            </w:pPr>
            <w:r w:rsidRPr="0005229A">
              <w:rPr>
                <w:rFonts w:ascii="Times New Roman" w:eastAsia="Times New Roman" w:hAnsi="Times New Roman" w:cs="Times New Roman"/>
                <w:sz w:val="16"/>
                <w:lang w:val="sq-AL"/>
              </w:rPr>
              <w:t>272</w:t>
            </w:r>
          </w:p>
        </w:tc>
        <w:tc>
          <w:tcPr>
            <w:tcW w:w="1285" w:type="dxa"/>
            <w:tcBorders>
              <w:right w:val="single" w:sz="4" w:space="0" w:color="auto"/>
            </w:tcBorders>
          </w:tcPr>
          <w:p w:rsidR="0005229A" w:rsidRPr="0005229A" w:rsidRDefault="0005229A" w:rsidP="0005229A">
            <w:pPr>
              <w:widowControl w:val="0"/>
              <w:autoSpaceDE w:val="0"/>
              <w:autoSpaceDN w:val="0"/>
              <w:spacing w:before="5" w:after="0" w:line="240" w:lineRule="auto"/>
              <w:ind w:left="85"/>
              <w:rPr>
                <w:rFonts w:ascii="Times New Roman" w:eastAsia="Times New Roman" w:hAnsi="Times New Roman" w:cs="Times New Roman"/>
                <w:sz w:val="17"/>
                <w:lang w:val="sq-AL"/>
              </w:rPr>
            </w:pPr>
            <w:r w:rsidRPr="0005229A">
              <w:rPr>
                <w:rFonts w:ascii="Times New Roman" w:eastAsia="Times New Roman" w:hAnsi="Times New Roman" w:cs="Times New Roman"/>
                <w:sz w:val="17"/>
                <w:lang w:val="sq-AL"/>
              </w:rPr>
              <w:t>291</w:t>
            </w:r>
          </w:p>
        </w:tc>
        <w:tc>
          <w:tcPr>
            <w:tcW w:w="1296" w:type="dxa"/>
            <w:shd w:val="clear" w:color="auto" w:fill="FFFFFF" w:themeFill="background1"/>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D</w:t>
            </w:r>
          </w:p>
        </w:tc>
        <w:tc>
          <w:tcPr>
            <w:tcW w:w="1960" w:type="dxa"/>
            <w:vMerge w:val="restart"/>
            <w:tcBorders>
              <w:lef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0"/>
                <w:szCs w:val="20"/>
                <w:lang w:val="sq-AL"/>
              </w:rPr>
            </w:pPr>
            <w:r w:rsidRPr="0005229A">
              <w:rPr>
                <w:rFonts w:ascii="Times New Roman" w:eastAsia="Times New Roman" w:hAnsi="Times New Roman" w:cs="Times New Roman"/>
                <w:b/>
                <w:lang w:val="sq-AL"/>
              </w:rPr>
              <w:t xml:space="preserve"> </w:t>
            </w:r>
            <w:r w:rsidRPr="0005229A">
              <w:rPr>
                <w:rFonts w:ascii="Times New Roman" w:eastAsia="Times New Roman" w:hAnsi="Times New Roman" w:cs="Times New Roman"/>
                <w:sz w:val="20"/>
                <w:szCs w:val="20"/>
                <w:lang w:val="sq-AL"/>
              </w:rPr>
              <w:t>11%, A- Cilësi e shkëlqyer</w:t>
            </w:r>
          </w:p>
          <w:p w:rsidR="0005229A" w:rsidRPr="0005229A" w:rsidRDefault="0005229A" w:rsidP="0005229A">
            <w:pPr>
              <w:widowControl w:val="0"/>
              <w:autoSpaceDE w:val="0"/>
              <w:autoSpaceDN w:val="0"/>
              <w:spacing w:before="195" w:after="0" w:line="244" w:lineRule="auto"/>
              <w:ind w:left="83"/>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34 %,</w:t>
            </w:r>
            <w:r w:rsidRPr="0005229A">
              <w:rPr>
                <w:rFonts w:ascii="Times New Roman" w:eastAsia="Times New Roman" w:hAnsi="Times New Roman" w:cs="Times New Roman"/>
                <w:spacing w:val="6"/>
                <w:sz w:val="19"/>
                <w:lang w:val="sq-AL"/>
              </w:rPr>
              <w:t xml:space="preserve"> </w:t>
            </w:r>
            <w:r w:rsidRPr="0005229A">
              <w:rPr>
                <w:rFonts w:ascii="Times New Roman" w:eastAsia="Times New Roman" w:hAnsi="Times New Roman" w:cs="Times New Roman"/>
                <w:sz w:val="19"/>
                <w:lang w:val="sq-AL"/>
              </w:rPr>
              <w:t>B-Cilësi</w:t>
            </w:r>
            <w:r w:rsidRPr="0005229A">
              <w:rPr>
                <w:rFonts w:ascii="Times New Roman" w:eastAsia="Times New Roman" w:hAnsi="Times New Roman" w:cs="Times New Roman"/>
                <w:spacing w:val="5"/>
                <w:sz w:val="19"/>
                <w:lang w:val="sq-AL"/>
              </w:rPr>
              <w:t xml:space="preserve"> </w:t>
            </w:r>
            <w:r w:rsidRPr="0005229A">
              <w:rPr>
                <w:rFonts w:ascii="Times New Roman" w:eastAsia="Times New Roman" w:hAnsi="Times New Roman" w:cs="Times New Roman"/>
                <w:sz w:val="19"/>
                <w:lang w:val="sq-AL"/>
              </w:rPr>
              <w:t>e</w:t>
            </w:r>
            <w:r w:rsidRPr="0005229A">
              <w:rPr>
                <w:rFonts w:ascii="Times New Roman" w:eastAsia="Times New Roman" w:hAnsi="Times New Roman" w:cs="Times New Roman"/>
                <w:spacing w:val="-44"/>
                <w:sz w:val="19"/>
                <w:lang w:val="sq-AL"/>
              </w:rPr>
              <w:t xml:space="preserve"> </w:t>
            </w:r>
            <w:r w:rsidRPr="0005229A">
              <w:rPr>
                <w:rFonts w:ascii="Times New Roman" w:eastAsia="Times New Roman" w:hAnsi="Times New Roman" w:cs="Times New Roman"/>
                <w:sz w:val="19"/>
                <w:lang w:val="sq-AL"/>
              </w:rPr>
              <w:t>mirë</w:t>
            </w:r>
          </w:p>
          <w:p w:rsidR="0005229A" w:rsidRPr="0005229A" w:rsidRDefault="0005229A" w:rsidP="0005229A">
            <w:pPr>
              <w:widowControl w:val="0"/>
              <w:autoSpaceDE w:val="0"/>
              <w:autoSpaceDN w:val="0"/>
              <w:spacing w:before="195" w:after="0" w:line="244" w:lineRule="auto"/>
              <w:ind w:left="83"/>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11%, Cilësi e mjaftueshme</w:t>
            </w:r>
          </w:p>
          <w:p w:rsidR="0005229A" w:rsidRPr="0005229A" w:rsidRDefault="0005229A" w:rsidP="0005229A">
            <w:pPr>
              <w:widowControl w:val="0"/>
              <w:autoSpaceDE w:val="0"/>
              <w:autoSpaceDN w:val="0"/>
              <w:spacing w:before="10" w:after="0" w:line="240" w:lineRule="auto"/>
              <w:rPr>
                <w:rFonts w:ascii="Times New Roman" w:eastAsia="Times New Roman" w:hAnsi="Times New Roman" w:cs="Times New Roman"/>
                <w:b/>
                <w:sz w:val="19"/>
                <w:lang w:val="sq-AL"/>
              </w:rPr>
            </w:pPr>
          </w:p>
          <w:p w:rsidR="0005229A" w:rsidRPr="0005229A" w:rsidRDefault="0005229A" w:rsidP="0005229A">
            <w:pPr>
              <w:widowControl w:val="0"/>
              <w:autoSpaceDE w:val="0"/>
              <w:autoSpaceDN w:val="0"/>
              <w:spacing w:after="0" w:line="252" w:lineRule="auto"/>
              <w:ind w:left="83" w:right="313"/>
              <w:rPr>
                <w:rFonts w:ascii="Times New Roman" w:eastAsia="Times New Roman" w:hAnsi="Times New Roman" w:cs="Times New Roman"/>
                <w:sz w:val="17"/>
                <w:lang w:val="sq-AL"/>
              </w:rPr>
            </w:pPr>
            <w:r w:rsidRPr="0005229A">
              <w:rPr>
                <w:rFonts w:ascii="Times New Roman" w:eastAsia="Times New Roman" w:hAnsi="Times New Roman" w:cs="Times New Roman"/>
                <w:w w:val="105"/>
                <w:sz w:val="17"/>
                <w:lang w:val="sq-AL"/>
              </w:rPr>
              <w:t>44 %,</w:t>
            </w:r>
            <w:r w:rsidRPr="0005229A">
              <w:rPr>
                <w:rFonts w:ascii="Times New Roman" w:eastAsia="Times New Roman" w:hAnsi="Times New Roman" w:cs="Times New Roman"/>
                <w:spacing w:val="-6"/>
                <w:w w:val="105"/>
                <w:sz w:val="17"/>
                <w:lang w:val="sq-AL"/>
              </w:rPr>
              <w:t xml:space="preserve"> </w:t>
            </w:r>
            <w:r w:rsidRPr="0005229A">
              <w:rPr>
                <w:rFonts w:ascii="Times New Roman" w:eastAsia="Times New Roman" w:hAnsi="Times New Roman" w:cs="Times New Roman"/>
                <w:w w:val="105"/>
                <w:sz w:val="17"/>
                <w:lang w:val="sq-AL"/>
              </w:rPr>
              <w:t>D</w:t>
            </w:r>
            <w:r w:rsidRPr="0005229A">
              <w:rPr>
                <w:rFonts w:ascii="Times New Roman" w:eastAsia="Times New Roman" w:hAnsi="Times New Roman" w:cs="Times New Roman"/>
                <w:spacing w:val="-7"/>
                <w:w w:val="105"/>
                <w:sz w:val="17"/>
                <w:lang w:val="sq-AL"/>
              </w:rPr>
              <w:t xml:space="preserve"> </w:t>
            </w:r>
            <w:r w:rsidRPr="0005229A">
              <w:rPr>
                <w:rFonts w:ascii="Times New Roman" w:eastAsia="Times New Roman" w:hAnsi="Times New Roman" w:cs="Times New Roman"/>
                <w:w w:val="105"/>
                <w:sz w:val="17"/>
                <w:lang w:val="sq-AL"/>
              </w:rPr>
              <w:t>-Cilësi</w:t>
            </w:r>
            <w:r w:rsidRPr="0005229A">
              <w:rPr>
                <w:rFonts w:ascii="Times New Roman" w:eastAsia="Times New Roman" w:hAnsi="Times New Roman" w:cs="Times New Roman"/>
                <w:spacing w:val="-6"/>
                <w:w w:val="105"/>
                <w:sz w:val="17"/>
                <w:lang w:val="sq-AL"/>
              </w:rPr>
              <w:t xml:space="preserve"> </w:t>
            </w:r>
            <w:r w:rsidRPr="0005229A">
              <w:rPr>
                <w:rFonts w:ascii="Times New Roman" w:eastAsia="Times New Roman" w:hAnsi="Times New Roman" w:cs="Times New Roman"/>
                <w:w w:val="105"/>
                <w:sz w:val="17"/>
                <w:lang w:val="sq-AL"/>
              </w:rPr>
              <w:t>e</w:t>
            </w:r>
            <w:r w:rsidRPr="0005229A">
              <w:rPr>
                <w:rFonts w:ascii="Times New Roman" w:eastAsia="Times New Roman" w:hAnsi="Times New Roman" w:cs="Times New Roman"/>
                <w:spacing w:val="-41"/>
                <w:w w:val="105"/>
                <w:sz w:val="17"/>
                <w:lang w:val="sq-AL"/>
              </w:rPr>
              <w:t xml:space="preserve"> </w:t>
            </w:r>
            <w:r w:rsidRPr="0005229A">
              <w:rPr>
                <w:rFonts w:ascii="Times New Roman" w:eastAsia="Times New Roman" w:hAnsi="Times New Roman" w:cs="Times New Roman"/>
                <w:w w:val="105"/>
                <w:sz w:val="17"/>
                <w:lang w:val="sq-AL"/>
              </w:rPr>
              <w:t>keqe/ Masa të</w:t>
            </w:r>
            <w:r w:rsidRPr="0005229A">
              <w:rPr>
                <w:rFonts w:ascii="Times New Roman" w:eastAsia="Times New Roman" w:hAnsi="Times New Roman" w:cs="Times New Roman"/>
                <w:spacing w:val="1"/>
                <w:w w:val="105"/>
                <w:sz w:val="17"/>
                <w:lang w:val="sq-AL"/>
              </w:rPr>
              <w:t xml:space="preserve"> </w:t>
            </w:r>
            <w:r w:rsidRPr="0005229A">
              <w:rPr>
                <w:rFonts w:ascii="Times New Roman" w:eastAsia="Times New Roman" w:hAnsi="Times New Roman" w:cs="Times New Roman"/>
                <w:w w:val="105"/>
                <w:sz w:val="17"/>
                <w:lang w:val="sq-AL"/>
              </w:rPr>
              <w:t>menjëherëshme</w:t>
            </w:r>
          </w:p>
        </w:tc>
      </w:tr>
      <w:tr w:rsidR="0005229A" w:rsidRPr="0005229A" w:rsidTr="00DD196F">
        <w:trPr>
          <w:trHeight w:val="314"/>
        </w:trPr>
        <w:tc>
          <w:tcPr>
            <w:tcW w:w="1202" w:type="dxa"/>
          </w:tcPr>
          <w:p w:rsidR="0005229A" w:rsidRPr="0005229A" w:rsidRDefault="0005229A" w:rsidP="0005229A">
            <w:pPr>
              <w:widowControl w:val="0"/>
              <w:autoSpaceDE w:val="0"/>
              <w:autoSpaceDN w:val="0"/>
              <w:spacing w:before="1" w:after="0" w:line="201"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2</w:t>
            </w:r>
          </w:p>
        </w:tc>
        <w:tc>
          <w:tcPr>
            <w:tcW w:w="2129" w:type="dxa"/>
          </w:tcPr>
          <w:p w:rsidR="0005229A" w:rsidRPr="0005229A" w:rsidRDefault="0005229A" w:rsidP="0005229A">
            <w:pPr>
              <w:widowControl w:val="0"/>
              <w:autoSpaceDE w:val="0"/>
              <w:autoSpaceDN w:val="0"/>
              <w:spacing w:before="1" w:after="0" w:line="201"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Vjena</w:t>
            </w:r>
          </w:p>
        </w:tc>
        <w:tc>
          <w:tcPr>
            <w:tcW w:w="1289" w:type="dxa"/>
          </w:tcPr>
          <w:p w:rsidR="0005229A" w:rsidRPr="0005229A" w:rsidRDefault="0005229A" w:rsidP="0005229A">
            <w:pPr>
              <w:widowControl w:val="0"/>
              <w:autoSpaceDE w:val="0"/>
              <w:autoSpaceDN w:val="0"/>
              <w:spacing w:before="5" w:after="0" w:line="240" w:lineRule="auto"/>
              <w:ind w:left="84"/>
              <w:rPr>
                <w:rFonts w:ascii="Times New Roman" w:eastAsia="Times New Roman" w:hAnsi="Times New Roman" w:cs="Times New Roman"/>
                <w:sz w:val="17"/>
                <w:lang w:val="sq-AL"/>
              </w:rPr>
            </w:pPr>
            <w:r w:rsidRPr="0005229A">
              <w:rPr>
                <w:rFonts w:ascii="Times New Roman" w:eastAsia="Times New Roman" w:hAnsi="Times New Roman" w:cs="Times New Roman"/>
                <w:sz w:val="17"/>
                <w:lang w:val="sq-AL"/>
              </w:rPr>
              <w:t>222</w:t>
            </w:r>
          </w:p>
        </w:tc>
        <w:tc>
          <w:tcPr>
            <w:tcW w:w="1285" w:type="dxa"/>
            <w:tcBorders>
              <w:right w:val="single" w:sz="4" w:space="0" w:color="auto"/>
            </w:tcBorders>
          </w:tcPr>
          <w:p w:rsidR="0005229A" w:rsidRPr="0005229A" w:rsidRDefault="0005229A" w:rsidP="0005229A">
            <w:pPr>
              <w:widowControl w:val="0"/>
              <w:autoSpaceDE w:val="0"/>
              <w:autoSpaceDN w:val="0"/>
              <w:spacing w:before="5" w:after="0" w:line="240" w:lineRule="auto"/>
              <w:ind w:left="85"/>
              <w:rPr>
                <w:rFonts w:ascii="Times New Roman" w:eastAsia="Times New Roman" w:hAnsi="Times New Roman" w:cs="Times New Roman"/>
                <w:sz w:val="17"/>
                <w:lang w:val="sq-AL"/>
              </w:rPr>
            </w:pPr>
            <w:r w:rsidRPr="0005229A">
              <w:rPr>
                <w:rFonts w:ascii="Times New Roman" w:eastAsia="Times New Roman" w:hAnsi="Times New Roman" w:cs="Times New Roman"/>
                <w:sz w:val="17"/>
                <w:lang w:val="sq-AL"/>
              </w:rPr>
              <w:t>146</w:t>
            </w:r>
          </w:p>
        </w:tc>
        <w:tc>
          <w:tcPr>
            <w:tcW w:w="1296" w:type="dxa"/>
            <w:shd w:val="clear" w:color="auto" w:fill="FFFFFF" w:themeFill="background1"/>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960" w:type="dxa"/>
            <w:vMerge/>
            <w:tcBorders>
              <w:top w:val="nil"/>
              <w:lef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323"/>
        </w:trPr>
        <w:tc>
          <w:tcPr>
            <w:tcW w:w="1202" w:type="dxa"/>
          </w:tcPr>
          <w:p w:rsidR="0005229A" w:rsidRPr="0005229A" w:rsidRDefault="0005229A" w:rsidP="0005229A">
            <w:pPr>
              <w:widowControl w:val="0"/>
              <w:autoSpaceDE w:val="0"/>
              <w:autoSpaceDN w:val="0"/>
              <w:spacing w:before="4" w:after="0" w:line="205"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3</w:t>
            </w:r>
          </w:p>
        </w:tc>
        <w:tc>
          <w:tcPr>
            <w:tcW w:w="2129" w:type="dxa"/>
          </w:tcPr>
          <w:p w:rsidR="0005229A" w:rsidRPr="0005229A" w:rsidRDefault="0005229A" w:rsidP="0005229A">
            <w:pPr>
              <w:widowControl w:val="0"/>
              <w:autoSpaceDE w:val="0"/>
              <w:autoSpaceDN w:val="0"/>
              <w:spacing w:before="4" w:after="0" w:line="205"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Golem-Kosmira</w:t>
            </w:r>
          </w:p>
        </w:tc>
        <w:tc>
          <w:tcPr>
            <w:tcW w:w="1289" w:type="dxa"/>
          </w:tcPr>
          <w:p w:rsidR="0005229A" w:rsidRPr="0005229A" w:rsidRDefault="0005229A" w:rsidP="0005229A">
            <w:pPr>
              <w:widowControl w:val="0"/>
              <w:autoSpaceDE w:val="0"/>
              <w:autoSpaceDN w:val="0"/>
              <w:spacing w:before="4" w:after="0" w:line="240" w:lineRule="auto"/>
              <w:ind w:left="84"/>
              <w:rPr>
                <w:rFonts w:ascii="Times New Roman" w:eastAsia="Times New Roman" w:hAnsi="Times New Roman" w:cs="Times New Roman"/>
                <w:sz w:val="17"/>
                <w:lang w:val="sq-AL"/>
              </w:rPr>
            </w:pPr>
            <w:r w:rsidRPr="0005229A">
              <w:rPr>
                <w:rFonts w:ascii="Times New Roman" w:eastAsia="Times New Roman" w:hAnsi="Times New Roman" w:cs="Times New Roman"/>
                <w:sz w:val="17"/>
                <w:lang w:val="sq-AL"/>
              </w:rPr>
              <w:t>418</w:t>
            </w:r>
          </w:p>
        </w:tc>
        <w:tc>
          <w:tcPr>
            <w:tcW w:w="1285" w:type="dxa"/>
            <w:tcBorders>
              <w:bottom w:val="single" w:sz="4" w:space="0" w:color="auto"/>
              <w:right w:val="single" w:sz="4" w:space="0" w:color="auto"/>
            </w:tcBorders>
          </w:tcPr>
          <w:p w:rsidR="0005229A" w:rsidRPr="0005229A" w:rsidRDefault="0005229A" w:rsidP="0005229A">
            <w:pPr>
              <w:widowControl w:val="0"/>
              <w:autoSpaceDE w:val="0"/>
              <w:autoSpaceDN w:val="0"/>
              <w:spacing w:before="4" w:after="0" w:line="240" w:lineRule="auto"/>
              <w:ind w:left="85"/>
              <w:rPr>
                <w:rFonts w:ascii="Times New Roman" w:eastAsia="Times New Roman" w:hAnsi="Times New Roman" w:cs="Times New Roman"/>
                <w:sz w:val="17"/>
                <w:lang w:val="sq-AL"/>
              </w:rPr>
            </w:pPr>
            <w:r w:rsidRPr="0005229A">
              <w:rPr>
                <w:rFonts w:ascii="Times New Roman" w:eastAsia="Times New Roman" w:hAnsi="Times New Roman" w:cs="Times New Roman"/>
                <w:sz w:val="17"/>
                <w:lang w:val="sq-AL"/>
              </w:rPr>
              <w:t>268</w:t>
            </w:r>
          </w:p>
        </w:tc>
        <w:tc>
          <w:tcPr>
            <w:tcW w:w="1296" w:type="dxa"/>
            <w:shd w:val="clear" w:color="auto" w:fill="FFFFFF" w:themeFill="background1"/>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D</w:t>
            </w:r>
          </w:p>
        </w:tc>
        <w:tc>
          <w:tcPr>
            <w:tcW w:w="1960" w:type="dxa"/>
            <w:vMerge/>
            <w:tcBorders>
              <w:top w:val="nil"/>
              <w:lef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312"/>
        </w:trPr>
        <w:tc>
          <w:tcPr>
            <w:tcW w:w="1202" w:type="dxa"/>
          </w:tcPr>
          <w:p w:rsidR="0005229A" w:rsidRPr="0005229A" w:rsidRDefault="0005229A" w:rsidP="0005229A">
            <w:pPr>
              <w:widowControl w:val="0"/>
              <w:autoSpaceDE w:val="0"/>
              <w:autoSpaceDN w:val="0"/>
              <w:spacing w:after="0" w:line="201"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4</w:t>
            </w:r>
          </w:p>
        </w:tc>
        <w:tc>
          <w:tcPr>
            <w:tcW w:w="2129" w:type="dxa"/>
            <w:tcBorders>
              <w:bottom w:val="single" w:sz="4" w:space="0" w:color="000000"/>
              <w:right w:val="single" w:sz="4" w:space="0" w:color="auto"/>
            </w:tcBorders>
          </w:tcPr>
          <w:p w:rsidR="0005229A" w:rsidRPr="0005229A" w:rsidRDefault="0005229A" w:rsidP="0005229A">
            <w:pPr>
              <w:widowControl w:val="0"/>
              <w:autoSpaceDE w:val="0"/>
              <w:autoSpaceDN w:val="0"/>
              <w:spacing w:after="0" w:line="201"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Vapori</w:t>
            </w:r>
            <w:r w:rsidRPr="0005229A">
              <w:rPr>
                <w:rFonts w:ascii="Times New Roman" w:eastAsia="Times New Roman" w:hAnsi="Times New Roman" w:cs="Times New Roman"/>
                <w:spacing w:val="10"/>
                <w:sz w:val="19"/>
                <w:lang w:val="sq-AL"/>
              </w:rPr>
              <w:t xml:space="preserve"> </w:t>
            </w:r>
            <w:r w:rsidRPr="0005229A">
              <w:rPr>
                <w:rFonts w:ascii="Times New Roman" w:eastAsia="Times New Roman" w:hAnsi="Times New Roman" w:cs="Times New Roman"/>
                <w:sz w:val="19"/>
                <w:lang w:val="sq-AL"/>
              </w:rPr>
              <w:t>mbytur</w:t>
            </w:r>
          </w:p>
        </w:tc>
        <w:tc>
          <w:tcPr>
            <w:tcW w:w="1289" w:type="dxa"/>
            <w:tcBorders>
              <w:left w:val="single" w:sz="4" w:space="0" w:color="auto"/>
              <w:bottom w:val="single" w:sz="4" w:space="0" w:color="000000"/>
              <w:right w:val="single" w:sz="4" w:space="0" w:color="auto"/>
            </w:tcBorders>
          </w:tcPr>
          <w:p w:rsidR="0005229A" w:rsidRPr="0005229A" w:rsidRDefault="0005229A" w:rsidP="0005229A">
            <w:pPr>
              <w:widowControl w:val="0"/>
              <w:autoSpaceDE w:val="0"/>
              <w:autoSpaceDN w:val="0"/>
              <w:spacing w:before="4" w:after="0" w:line="240" w:lineRule="auto"/>
              <w:ind w:left="84"/>
              <w:rPr>
                <w:rFonts w:ascii="Times New Roman" w:eastAsia="Times New Roman" w:hAnsi="Times New Roman" w:cs="Times New Roman"/>
                <w:sz w:val="17"/>
                <w:lang w:val="sq-AL"/>
              </w:rPr>
            </w:pPr>
            <w:r w:rsidRPr="0005229A">
              <w:rPr>
                <w:rFonts w:ascii="Times New Roman" w:eastAsia="Times New Roman" w:hAnsi="Times New Roman" w:cs="Times New Roman"/>
                <w:sz w:val="17"/>
                <w:lang w:val="sq-AL"/>
              </w:rPr>
              <w:t>385</w:t>
            </w:r>
          </w:p>
        </w:tc>
        <w:tc>
          <w:tcPr>
            <w:tcW w:w="1285" w:type="dxa"/>
            <w:tcBorders>
              <w:top w:val="single" w:sz="4" w:space="0" w:color="auto"/>
              <w:left w:val="single" w:sz="4" w:space="0" w:color="auto"/>
              <w:bottom w:val="single" w:sz="4" w:space="0" w:color="000000"/>
              <w:right w:val="single" w:sz="4" w:space="0" w:color="auto"/>
            </w:tcBorders>
          </w:tcPr>
          <w:p w:rsidR="0005229A" w:rsidRPr="0005229A" w:rsidRDefault="0005229A" w:rsidP="0005229A">
            <w:pPr>
              <w:widowControl w:val="0"/>
              <w:autoSpaceDE w:val="0"/>
              <w:autoSpaceDN w:val="0"/>
              <w:spacing w:before="4" w:after="0" w:line="240" w:lineRule="auto"/>
              <w:ind w:left="85"/>
              <w:rPr>
                <w:rFonts w:ascii="Times New Roman" w:eastAsia="Times New Roman" w:hAnsi="Times New Roman" w:cs="Times New Roman"/>
                <w:sz w:val="17"/>
                <w:lang w:val="sq-AL"/>
              </w:rPr>
            </w:pPr>
            <w:r w:rsidRPr="0005229A">
              <w:rPr>
                <w:rFonts w:ascii="Times New Roman" w:eastAsia="Times New Roman" w:hAnsi="Times New Roman" w:cs="Times New Roman"/>
                <w:sz w:val="17"/>
                <w:lang w:val="sq-AL"/>
              </w:rPr>
              <w:t>324</w:t>
            </w:r>
          </w:p>
        </w:tc>
        <w:tc>
          <w:tcPr>
            <w:tcW w:w="1296" w:type="dxa"/>
            <w:tcBorders>
              <w:bottom w:val="single" w:sz="4" w:space="0" w:color="000000"/>
            </w:tcBorders>
            <w:shd w:val="clear" w:color="auto" w:fill="FFFFFF" w:themeFill="background1"/>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D</w:t>
            </w:r>
          </w:p>
        </w:tc>
        <w:tc>
          <w:tcPr>
            <w:tcW w:w="1960" w:type="dxa"/>
            <w:vMerge/>
            <w:tcBorders>
              <w:top w:val="nil"/>
              <w:lef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cantSplit/>
          <w:trHeight w:val="440"/>
        </w:trPr>
        <w:tc>
          <w:tcPr>
            <w:tcW w:w="1202" w:type="dxa"/>
          </w:tcPr>
          <w:p w:rsidR="0005229A" w:rsidRPr="0005229A" w:rsidRDefault="0005229A" w:rsidP="0005229A">
            <w:pPr>
              <w:widowControl w:val="0"/>
              <w:autoSpaceDE w:val="0"/>
              <w:autoSpaceDN w:val="0"/>
              <w:spacing w:before="112" w:after="0" w:line="240" w:lineRule="auto"/>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5</w:t>
            </w:r>
          </w:p>
        </w:tc>
        <w:tc>
          <w:tcPr>
            <w:tcW w:w="2129" w:type="dxa"/>
            <w:tcBorders>
              <w:right w:val="single" w:sz="4" w:space="0" w:color="auto"/>
            </w:tcBorders>
          </w:tcPr>
          <w:p w:rsidR="0005229A" w:rsidRPr="0005229A" w:rsidRDefault="0005229A" w:rsidP="0005229A">
            <w:pPr>
              <w:widowControl w:val="0"/>
              <w:autoSpaceDE w:val="0"/>
              <w:autoSpaceDN w:val="0"/>
              <w:spacing w:after="0" w:line="199"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Kompleksi</w:t>
            </w:r>
            <w:r w:rsidRPr="0005229A">
              <w:rPr>
                <w:rFonts w:ascii="Times New Roman" w:eastAsia="Times New Roman" w:hAnsi="Times New Roman" w:cs="Times New Roman"/>
                <w:spacing w:val="11"/>
                <w:sz w:val="19"/>
                <w:lang w:val="sq-AL"/>
              </w:rPr>
              <w:t xml:space="preserve"> </w:t>
            </w:r>
            <w:r w:rsidRPr="0005229A">
              <w:rPr>
                <w:rFonts w:ascii="Times New Roman" w:eastAsia="Times New Roman" w:hAnsi="Times New Roman" w:cs="Times New Roman"/>
                <w:sz w:val="19"/>
                <w:lang w:val="sq-AL"/>
              </w:rPr>
              <w:t>FAFA (ish</w:t>
            </w:r>
            <w:r w:rsidRPr="0005229A">
              <w:rPr>
                <w:rFonts w:ascii="Times New Roman" w:eastAsia="Times New Roman" w:hAnsi="Times New Roman" w:cs="Times New Roman"/>
                <w:spacing w:val="8"/>
                <w:sz w:val="19"/>
                <w:lang w:val="sq-AL"/>
              </w:rPr>
              <w:t xml:space="preserve"> </w:t>
            </w:r>
            <w:r w:rsidRPr="0005229A">
              <w:rPr>
                <w:rFonts w:ascii="Times New Roman" w:eastAsia="Times New Roman" w:hAnsi="Times New Roman" w:cs="Times New Roman"/>
                <w:sz w:val="19"/>
                <w:lang w:val="sq-AL"/>
              </w:rPr>
              <w:t>Piceri</w:t>
            </w:r>
            <w:r w:rsidRPr="0005229A">
              <w:rPr>
                <w:rFonts w:ascii="Times New Roman" w:eastAsia="Times New Roman" w:hAnsi="Times New Roman" w:cs="Times New Roman"/>
                <w:spacing w:val="9"/>
                <w:sz w:val="19"/>
                <w:lang w:val="sq-AL"/>
              </w:rPr>
              <w:t xml:space="preserve"> </w:t>
            </w:r>
            <w:r w:rsidRPr="0005229A">
              <w:rPr>
                <w:rFonts w:ascii="Times New Roman" w:eastAsia="Times New Roman" w:hAnsi="Times New Roman" w:cs="Times New Roman"/>
                <w:sz w:val="19"/>
                <w:lang w:val="sq-AL"/>
              </w:rPr>
              <w:t xml:space="preserve">Jurgen)  </w:t>
            </w:r>
          </w:p>
        </w:tc>
        <w:tc>
          <w:tcPr>
            <w:tcW w:w="1289" w:type="dxa"/>
            <w:tcBorders>
              <w:right w:val="single" w:sz="4" w:space="0" w:color="auto"/>
            </w:tcBorders>
          </w:tcPr>
          <w:p w:rsidR="0005229A" w:rsidRPr="0005229A" w:rsidRDefault="0005229A" w:rsidP="0005229A">
            <w:pPr>
              <w:spacing w:after="200" w:line="288" w:lineRule="auto"/>
              <w:rPr>
                <w:rFonts w:ascii="Times New Roman" w:eastAsiaTheme="minorEastAsia" w:hAnsi="Times New Roman"/>
                <w:sz w:val="20"/>
                <w:szCs w:val="20"/>
              </w:rPr>
            </w:pPr>
            <w:r w:rsidRPr="0005229A">
              <w:rPr>
                <w:rFonts w:ascii="Times New Roman" w:eastAsiaTheme="minorEastAsia" w:hAnsi="Times New Roman"/>
                <w:sz w:val="20"/>
                <w:szCs w:val="20"/>
              </w:rPr>
              <w:t xml:space="preserve"> 177</w:t>
            </w:r>
          </w:p>
          <w:p w:rsidR="0005229A" w:rsidRPr="0005229A" w:rsidRDefault="0005229A" w:rsidP="0005229A">
            <w:pPr>
              <w:spacing w:after="0" w:line="240" w:lineRule="auto"/>
              <w:rPr>
                <w:rFonts w:ascii="Times New Roman" w:eastAsiaTheme="minorEastAsia" w:hAnsi="Times New Roman"/>
                <w:sz w:val="20"/>
                <w:szCs w:val="20"/>
              </w:rPr>
            </w:pPr>
          </w:p>
        </w:tc>
        <w:tc>
          <w:tcPr>
            <w:tcW w:w="1290" w:type="dxa"/>
            <w:tcBorders>
              <w:right w:val="single" w:sz="4" w:space="0" w:color="auto"/>
            </w:tcBorders>
          </w:tcPr>
          <w:p w:rsidR="0005229A" w:rsidRPr="0005229A" w:rsidRDefault="0005229A" w:rsidP="0005229A">
            <w:pPr>
              <w:spacing w:after="200" w:line="288" w:lineRule="auto"/>
              <w:rPr>
                <w:rFonts w:ascii="Times New Roman" w:eastAsiaTheme="minorEastAsia" w:hAnsi="Times New Roman"/>
                <w:sz w:val="20"/>
                <w:szCs w:val="20"/>
              </w:rPr>
            </w:pPr>
            <w:r w:rsidRPr="0005229A">
              <w:rPr>
                <w:rFonts w:ascii="Times New Roman" w:eastAsiaTheme="minorEastAsia" w:hAnsi="Times New Roman"/>
                <w:sz w:val="20"/>
                <w:szCs w:val="20"/>
              </w:rPr>
              <w:t xml:space="preserve"> 211</w:t>
            </w:r>
          </w:p>
          <w:p w:rsidR="0005229A" w:rsidRPr="0005229A" w:rsidRDefault="0005229A" w:rsidP="0005229A">
            <w:pPr>
              <w:spacing w:after="0" w:line="240" w:lineRule="auto"/>
              <w:rPr>
                <w:rFonts w:ascii="Times New Roman" w:eastAsiaTheme="minorEastAsia" w:hAnsi="Times New Roman"/>
                <w:sz w:val="20"/>
                <w:szCs w:val="20"/>
              </w:rPr>
            </w:pPr>
          </w:p>
        </w:tc>
        <w:tc>
          <w:tcPr>
            <w:tcW w:w="1291" w:type="dxa"/>
            <w:tcBorders>
              <w:right w:val="single" w:sz="4" w:space="0" w:color="auto"/>
            </w:tcBorders>
          </w:tcPr>
          <w:p w:rsidR="0005229A" w:rsidRPr="0005229A" w:rsidRDefault="0005229A" w:rsidP="0005229A">
            <w:pPr>
              <w:spacing w:after="200" w:line="288" w:lineRule="auto"/>
              <w:rPr>
                <w:rFonts w:ascii="Times New Roman" w:eastAsiaTheme="minorEastAsia" w:hAnsi="Times New Roman"/>
                <w:sz w:val="20"/>
                <w:szCs w:val="20"/>
              </w:rPr>
            </w:pPr>
            <w:r w:rsidRPr="0005229A">
              <w:rPr>
                <w:rFonts w:ascii="Times New Roman" w:eastAsiaTheme="minorEastAsia" w:hAnsi="Times New Roman"/>
                <w:sz w:val="20"/>
                <w:szCs w:val="20"/>
              </w:rPr>
              <w:t xml:space="preserve">           C</w:t>
            </w:r>
          </w:p>
          <w:p w:rsidR="0005229A" w:rsidRPr="0005229A" w:rsidRDefault="0005229A" w:rsidP="0005229A">
            <w:pPr>
              <w:spacing w:after="0" w:line="240" w:lineRule="auto"/>
              <w:rPr>
                <w:rFonts w:ascii="Times New Roman" w:eastAsiaTheme="minorEastAsia" w:hAnsi="Times New Roman"/>
                <w:sz w:val="20"/>
                <w:szCs w:val="20"/>
              </w:rPr>
            </w:pPr>
          </w:p>
        </w:tc>
        <w:tc>
          <w:tcPr>
            <w:tcW w:w="1960" w:type="dxa"/>
            <w:vMerge/>
            <w:tcBorders>
              <w:top w:val="nil"/>
              <w:lef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312"/>
        </w:trPr>
        <w:tc>
          <w:tcPr>
            <w:tcW w:w="1202" w:type="dxa"/>
          </w:tcPr>
          <w:p w:rsidR="0005229A" w:rsidRPr="0005229A" w:rsidRDefault="0005229A" w:rsidP="0005229A">
            <w:pPr>
              <w:widowControl w:val="0"/>
              <w:autoSpaceDE w:val="0"/>
              <w:autoSpaceDN w:val="0"/>
              <w:spacing w:after="0" w:line="201"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6</w:t>
            </w:r>
          </w:p>
        </w:tc>
        <w:tc>
          <w:tcPr>
            <w:tcW w:w="2129" w:type="dxa"/>
          </w:tcPr>
          <w:p w:rsidR="0005229A" w:rsidRPr="0005229A" w:rsidRDefault="0005229A" w:rsidP="0005229A">
            <w:pPr>
              <w:widowControl w:val="0"/>
              <w:autoSpaceDE w:val="0"/>
              <w:autoSpaceDN w:val="0"/>
              <w:spacing w:after="0" w:line="201"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Piceri</w:t>
            </w:r>
            <w:r w:rsidRPr="0005229A">
              <w:rPr>
                <w:rFonts w:ascii="Times New Roman" w:eastAsia="Times New Roman" w:hAnsi="Times New Roman" w:cs="Times New Roman"/>
                <w:spacing w:val="10"/>
                <w:sz w:val="19"/>
                <w:lang w:val="sq-AL"/>
              </w:rPr>
              <w:t xml:space="preserve"> </w:t>
            </w:r>
            <w:r w:rsidRPr="0005229A">
              <w:rPr>
                <w:rFonts w:ascii="Times New Roman" w:eastAsia="Times New Roman" w:hAnsi="Times New Roman" w:cs="Times New Roman"/>
                <w:sz w:val="19"/>
                <w:lang w:val="sq-AL"/>
              </w:rPr>
              <w:t>Argjëndi</w:t>
            </w:r>
          </w:p>
        </w:tc>
        <w:tc>
          <w:tcPr>
            <w:tcW w:w="1289" w:type="dxa"/>
          </w:tcPr>
          <w:p w:rsidR="0005229A" w:rsidRPr="0005229A" w:rsidRDefault="0005229A" w:rsidP="0005229A">
            <w:pPr>
              <w:widowControl w:val="0"/>
              <w:autoSpaceDE w:val="0"/>
              <w:autoSpaceDN w:val="0"/>
              <w:spacing w:before="4" w:after="0" w:line="240" w:lineRule="auto"/>
              <w:ind w:left="84"/>
              <w:rPr>
                <w:rFonts w:ascii="Times New Roman" w:eastAsia="Times New Roman" w:hAnsi="Times New Roman" w:cs="Times New Roman"/>
                <w:sz w:val="17"/>
                <w:lang w:val="sq-AL"/>
              </w:rPr>
            </w:pPr>
            <w:r w:rsidRPr="0005229A">
              <w:rPr>
                <w:rFonts w:ascii="Times New Roman" w:eastAsia="Times New Roman" w:hAnsi="Times New Roman" w:cs="Times New Roman"/>
                <w:sz w:val="17"/>
                <w:lang w:val="sq-AL"/>
              </w:rPr>
              <w:t>158</w:t>
            </w:r>
          </w:p>
        </w:tc>
        <w:tc>
          <w:tcPr>
            <w:tcW w:w="1285" w:type="dxa"/>
            <w:tcBorders>
              <w:top w:val="single" w:sz="4" w:space="0" w:color="auto"/>
              <w:right w:val="single" w:sz="4" w:space="0" w:color="auto"/>
            </w:tcBorders>
          </w:tcPr>
          <w:p w:rsidR="0005229A" w:rsidRPr="0005229A" w:rsidRDefault="0005229A" w:rsidP="0005229A">
            <w:pPr>
              <w:widowControl w:val="0"/>
              <w:autoSpaceDE w:val="0"/>
              <w:autoSpaceDN w:val="0"/>
              <w:spacing w:before="4" w:after="0" w:line="240" w:lineRule="auto"/>
              <w:ind w:left="85"/>
              <w:rPr>
                <w:rFonts w:ascii="Times New Roman" w:eastAsia="Times New Roman" w:hAnsi="Times New Roman" w:cs="Times New Roman"/>
                <w:sz w:val="17"/>
                <w:lang w:val="sq-AL"/>
              </w:rPr>
            </w:pPr>
            <w:r w:rsidRPr="0005229A">
              <w:rPr>
                <w:rFonts w:ascii="Times New Roman" w:eastAsia="Times New Roman" w:hAnsi="Times New Roman" w:cs="Times New Roman"/>
                <w:sz w:val="17"/>
                <w:lang w:val="sq-AL"/>
              </w:rPr>
              <w:t>215</w:t>
            </w:r>
          </w:p>
        </w:tc>
        <w:tc>
          <w:tcPr>
            <w:tcW w:w="1296" w:type="dxa"/>
            <w:shd w:val="clear" w:color="auto" w:fill="FFFFFF" w:themeFill="background1"/>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A</w:t>
            </w:r>
          </w:p>
        </w:tc>
        <w:tc>
          <w:tcPr>
            <w:tcW w:w="1960" w:type="dxa"/>
            <w:vMerge/>
            <w:tcBorders>
              <w:top w:val="nil"/>
              <w:lef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314"/>
        </w:trPr>
        <w:tc>
          <w:tcPr>
            <w:tcW w:w="1202" w:type="dxa"/>
          </w:tcPr>
          <w:p w:rsidR="0005229A" w:rsidRPr="0005229A" w:rsidRDefault="0005229A" w:rsidP="0005229A">
            <w:pPr>
              <w:widowControl w:val="0"/>
              <w:autoSpaceDE w:val="0"/>
              <w:autoSpaceDN w:val="0"/>
              <w:spacing w:before="1" w:after="0" w:line="201"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7</w:t>
            </w:r>
          </w:p>
        </w:tc>
        <w:tc>
          <w:tcPr>
            <w:tcW w:w="2129" w:type="dxa"/>
          </w:tcPr>
          <w:p w:rsidR="0005229A" w:rsidRPr="0005229A" w:rsidRDefault="0005229A" w:rsidP="0005229A">
            <w:pPr>
              <w:widowControl w:val="0"/>
              <w:autoSpaceDE w:val="0"/>
              <w:autoSpaceDN w:val="0"/>
              <w:spacing w:before="1" w:after="0" w:line="201"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Mak</w:t>
            </w:r>
            <w:r w:rsidRPr="0005229A">
              <w:rPr>
                <w:rFonts w:ascii="Times New Roman" w:eastAsia="Times New Roman" w:hAnsi="Times New Roman" w:cs="Times New Roman"/>
                <w:spacing w:val="9"/>
                <w:sz w:val="19"/>
                <w:lang w:val="sq-AL"/>
              </w:rPr>
              <w:t xml:space="preserve"> </w:t>
            </w:r>
            <w:r w:rsidRPr="0005229A">
              <w:rPr>
                <w:rFonts w:ascii="Times New Roman" w:eastAsia="Times New Roman" w:hAnsi="Times New Roman" w:cs="Times New Roman"/>
                <w:sz w:val="19"/>
                <w:lang w:val="sq-AL"/>
              </w:rPr>
              <w:t>Albania</w:t>
            </w:r>
          </w:p>
        </w:tc>
        <w:tc>
          <w:tcPr>
            <w:tcW w:w="1289" w:type="dxa"/>
          </w:tcPr>
          <w:p w:rsidR="0005229A" w:rsidRPr="0005229A" w:rsidRDefault="0005229A" w:rsidP="0005229A">
            <w:pPr>
              <w:widowControl w:val="0"/>
              <w:autoSpaceDE w:val="0"/>
              <w:autoSpaceDN w:val="0"/>
              <w:spacing w:before="5" w:after="0" w:line="240" w:lineRule="auto"/>
              <w:ind w:left="84"/>
              <w:rPr>
                <w:rFonts w:ascii="Times New Roman" w:eastAsia="Times New Roman" w:hAnsi="Times New Roman" w:cs="Times New Roman"/>
                <w:sz w:val="17"/>
                <w:lang w:val="sq-AL"/>
              </w:rPr>
            </w:pPr>
            <w:r w:rsidRPr="0005229A">
              <w:rPr>
                <w:rFonts w:ascii="Times New Roman" w:eastAsia="Times New Roman" w:hAnsi="Times New Roman" w:cs="Times New Roman"/>
                <w:sz w:val="17"/>
                <w:lang w:val="sq-AL"/>
              </w:rPr>
              <w:t>223</w:t>
            </w:r>
          </w:p>
        </w:tc>
        <w:tc>
          <w:tcPr>
            <w:tcW w:w="1285" w:type="dxa"/>
            <w:tcBorders>
              <w:right w:val="single" w:sz="4" w:space="0" w:color="auto"/>
            </w:tcBorders>
          </w:tcPr>
          <w:p w:rsidR="0005229A" w:rsidRPr="0005229A" w:rsidRDefault="0005229A" w:rsidP="0005229A">
            <w:pPr>
              <w:widowControl w:val="0"/>
              <w:autoSpaceDE w:val="0"/>
              <w:autoSpaceDN w:val="0"/>
              <w:spacing w:before="5" w:after="0" w:line="240" w:lineRule="auto"/>
              <w:ind w:left="85"/>
              <w:rPr>
                <w:rFonts w:ascii="Times New Roman" w:eastAsia="Times New Roman" w:hAnsi="Times New Roman" w:cs="Times New Roman"/>
                <w:sz w:val="17"/>
                <w:lang w:val="sq-AL"/>
              </w:rPr>
            </w:pPr>
            <w:r w:rsidRPr="0005229A">
              <w:rPr>
                <w:rFonts w:ascii="Times New Roman" w:eastAsia="Times New Roman" w:hAnsi="Times New Roman" w:cs="Times New Roman"/>
                <w:sz w:val="17"/>
                <w:lang w:val="sq-AL"/>
              </w:rPr>
              <w:t>150</w:t>
            </w:r>
          </w:p>
        </w:tc>
        <w:tc>
          <w:tcPr>
            <w:tcW w:w="1296" w:type="dxa"/>
            <w:shd w:val="clear" w:color="auto" w:fill="FFFFFF" w:themeFill="background1"/>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D</w:t>
            </w:r>
          </w:p>
        </w:tc>
        <w:tc>
          <w:tcPr>
            <w:tcW w:w="1960" w:type="dxa"/>
            <w:vMerge/>
            <w:tcBorders>
              <w:top w:val="nil"/>
              <w:lef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312"/>
        </w:trPr>
        <w:tc>
          <w:tcPr>
            <w:tcW w:w="1202" w:type="dxa"/>
          </w:tcPr>
          <w:p w:rsidR="0005229A" w:rsidRPr="0005229A" w:rsidRDefault="0005229A" w:rsidP="0005229A">
            <w:pPr>
              <w:widowControl w:val="0"/>
              <w:autoSpaceDE w:val="0"/>
              <w:autoSpaceDN w:val="0"/>
              <w:spacing w:after="0" w:line="201"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8</w:t>
            </w:r>
          </w:p>
        </w:tc>
        <w:tc>
          <w:tcPr>
            <w:tcW w:w="2129" w:type="dxa"/>
          </w:tcPr>
          <w:p w:rsidR="0005229A" w:rsidRPr="0005229A" w:rsidRDefault="0005229A" w:rsidP="0005229A">
            <w:pPr>
              <w:widowControl w:val="0"/>
              <w:autoSpaceDE w:val="0"/>
              <w:autoSpaceDN w:val="0"/>
              <w:spacing w:after="0" w:line="201"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Lokali</w:t>
            </w:r>
            <w:r w:rsidRPr="0005229A">
              <w:rPr>
                <w:rFonts w:ascii="Times New Roman" w:eastAsia="Times New Roman" w:hAnsi="Times New Roman" w:cs="Times New Roman"/>
                <w:spacing w:val="10"/>
                <w:sz w:val="19"/>
                <w:lang w:val="sq-AL"/>
              </w:rPr>
              <w:t xml:space="preserve"> </w:t>
            </w:r>
            <w:r w:rsidRPr="0005229A">
              <w:rPr>
                <w:rFonts w:ascii="Times New Roman" w:eastAsia="Times New Roman" w:hAnsi="Times New Roman" w:cs="Times New Roman"/>
                <w:sz w:val="19"/>
                <w:lang w:val="sq-AL"/>
              </w:rPr>
              <w:t>Reshatit</w:t>
            </w:r>
          </w:p>
        </w:tc>
        <w:tc>
          <w:tcPr>
            <w:tcW w:w="1289" w:type="dxa"/>
          </w:tcPr>
          <w:p w:rsidR="0005229A" w:rsidRPr="0005229A" w:rsidRDefault="0005229A" w:rsidP="0005229A">
            <w:pPr>
              <w:widowControl w:val="0"/>
              <w:autoSpaceDE w:val="0"/>
              <w:autoSpaceDN w:val="0"/>
              <w:spacing w:before="4" w:after="0" w:line="240" w:lineRule="auto"/>
              <w:ind w:left="84"/>
              <w:rPr>
                <w:rFonts w:ascii="Times New Roman" w:eastAsia="Times New Roman" w:hAnsi="Times New Roman" w:cs="Times New Roman"/>
                <w:sz w:val="17"/>
                <w:lang w:val="sq-AL"/>
              </w:rPr>
            </w:pPr>
            <w:r w:rsidRPr="0005229A">
              <w:rPr>
                <w:rFonts w:ascii="Times New Roman" w:eastAsia="Times New Roman" w:hAnsi="Times New Roman" w:cs="Times New Roman"/>
                <w:sz w:val="17"/>
                <w:lang w:val="sq-AL"/>
              </w:rPr>
              <w:t>273</w:t>
            </w:r>
          </w:p>
        </w:tc>
        <w:tc>
          <w:tcPr>
            <w:tcW w:w="1285" w:type="dxa"/>
            <w:tcBorders>
              <w:right w:val="single" w:sz="4" w:space="0" w:color="auto"/>
            </w:tcBorders>
          </w:tcPr>
          <w:p w:rsidR="0005229A" w:rsidRPr="0005229A" w:rsidRDefault="0005229A" w:rsidP="0005229A">
            <w:pPr>
              <w:widowControl w:val="0"/>
              <w:autoSpaceDE w:val="0"/>
              <w:autoSpaceDN w:val="0"/>
              <w:spacing w:before="4" w:after="0" w:line="240" w:lineRule="auto"/>
              <w:ind w:left="85"/>
              <w:rPr>
                <w:rFonts w:ascii="Times New Roman" w:eastAsia="Times New Roman" w:hAnsi="Times New Roman" w:cs="Times New Roman"/>
                <w:sz w:val="17"/>
                <w:lang w:val="sq-AL"/>
              </w:rPr>
            </w:pPr>
            <w:r w:rsidRPr="0005229A">
              <w:rPr>
                <w:rFonts w:ascii="Times New Roman" w:eastAsia="Times New Roman" w:hAnsi="Times New Roman" w:cs="Times New Roman"/>
                <w:sz w:val="17"/>
                <w:lang w:val="sq-AL"/>
              </w:rPr>
              <w:t>173</w:t>
            </w:r>
          </w:p>
        </w:tc>
        <w:tc>
          <w:tcPr>
            <w:tcW w:w="1296" w:type="dxa"/>
            <w:shd w:val="clear" w:color="auto" w:fill="FFFFFF" w:themeFill="background1"/>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960" w:type="dxa"/>
            <w:vMerge/>
            <w:tcBorders>
              <w:top w:val="nil"/>
              <w:lef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323"/>
        </w:trPr>
        <w:tc>
          <w:tcPr>
            <w:tcW w:w="1202" w:type="dxa"/>
          </w:tcPr>
          <w:p w:rsidR="0005229A" w:rsidRPr="0005229A" w:rsidRDefault="0005229A" w:rsidP="0005229A">
            <w:pPr>
              <w:widowControl w:val="0"/>
              <w:autoSpaceDE w:val="0"/>
              <w:autoSpaceDN w:val="0"/>
              <w:spacing w:before="4" w:after="0" w:line="205"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9</w:t>
            </w:r>
          </w:p>
        </w:tc>
        <w:tc>
          <w:tcPr>
            <w:tcW w:w="2129" w:type="dxa"/>
          </w:tcPr>
          <w:p w:rsidR="0005229A" w:rsidRPr="0005229A" w:rsidRDefault="0005229A" w:rsidP="0005229A">
            <w:pPr>
              <w:widowControl w:val="0"/>
              <w:autoSpaceDE w:val="0"/>
              <w:autoSpaceDN w:val="0"/>
              <w:spacing w:before="4" w:after="0" w:line="205"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Bunkeri</w:t>
            </w:r>
            <w:r w:rsidRPr="0005229A">
              <w:rPr>
                <w:rFonts w:ascii="Times New Roman" w:eastAsia="Times New Roman" w:hAnsi="Times New Roman" w:cs="Times New Roman"/>
                <w:spacing w:val="8"/>
                <w:sz w:val="19"/>
                <w:lang w:val="sq-AL"/>
              </w:rPr>
              <w:t xml:space="preserve"> </w:t>
            </w:r>
            <w:r w:rsidRPr="0005229A">
              <w:rPr>
                <w:rFonts w:ascii="Times New Roman" w:eastAsia="Times New Roman" w:hAnsi="Times New Roman" w:cs="Times New Roman"/>
                <w:sz w:val="19"/>
                <w:lang w:val="sq-AL"/>
              </w:rPr>
              <w:t>i</w:t>
            </w:r>
            <w:r w:rsidRPr="0005229A">
              <w:rPr>
                <w:rFonts w:ascii="Times New Roman" w:eastAsia="Times New Roman" w:hAnsi="Times New Roman" w:cs="Times New Roman"/>
                <w:spacing w:val="8"/>
                <w:sz w:val="19"/>
                <w:lang w:val="sq-AL"/>
              </w:rPr>
              <w:t xml:space="preserve"> </w:t>
            </w:r>
            <w:r w:rsidRPr="0005229A">
              <w:rPr>
                <w:rFonts w:ascii="Times New Roman" w:eastAsia="Times New Roman" w:hAnsi="Times New Roman" w:cs="Times New Roman"/>
                <w:sz w:val="19"/>
                <w:lang w:val="sq-AL"/>
              </w:rPr>
              <w:t>Bardhë</w:t>
            </w:r>
          </w:p>
        </w:tc>
        <w:tc>
          <w:tcPr>
            <w:tcW w:w="1289" w:type="dxa"/>
          </w:tcPr>
          <w:p w:rsidR="0005229A" w:rsidRPr="0005229A" w:rsidRDefault="0005229A" w:rsidP="0005229A">
            <w:pPr>
              <w:widowControl w:val="0"/>
              <w:autoSpaceDE w:val="0"/>
              <w:autoSpaceDN w:val="0"/>
              <w:spacing w:before="4" w:after="0" w:line="240" w:lineRule="auto"/>
              <w:ind w:left="84"/>
              <w:rPr>
                <w:rFonts w:ascii="Times New Roman" w:eastAsia="Times New Roman" w:hAnsi="Times New Roman" w:cs="Times New Roman"/>
                <w:sz w:val="17"/>
                <w:lang w:val="sq-AL"/>
              </w:rPr>
            </w:pPr>
            <w:r w:rsidRPr="0005229A">
              <w:rPr>
                <w:rFonts w:ascii="Times New Roman" w:eastAsia="Times New Roman" w:hAnsi="Times New Roman" w:cs="Times New Roman"/>
                <w:sz w:val="17"/>
                <w:lang w:val="sq-AL"/>
              </w:rPr>
              <w:t>214</w:t>
            </w:r>
          </w:p>
        </w:tc>
        <w:tc>
          <w:tcPr>
            <w:tcW w:w="1285" w:type="dxa"/>
            <w:tcBorders>
              <w:right w:val="single" w:sz="4" w:space="0" w:color="auto"/>
            </w:tcBorders>
          </w:tcPr>
          <w:p w:rsidR="0005229A" w:rsidRPr="0005229A" w:rsidRDefault="0005229A" w:rsidP="0005229A">
            <w:pPr>
              <w:widowControl w:val="0"/>
              <w:autoSpaceDE w:val="0"/>
              <w:autoSpaceDN w:val="0"/>
              <w:spacing w:before="4" w:after="0" w:line="240" w:lineRule="auto"/>
              <w:ind w:left="85"/>
              <w:rPr>
                <w:rFonts w:ascii="Times New Roman" w:eastAsia="Times New Roman" w:hAnsi="Times New Roman" w:cs="Times New Roman"/>
                <w:sz w:val="17"/>
                <w:lang w:val="sq-AL"/>
              </w:rPr>
            </w:pPr>
          </w:p>
        </w:tc>
        <w:tc>
          <w:tcPr>
            <w:tcW w:w="1296" w:type="dxa"/>
            <w:shd w:val="clear" w:color="auto" w:fill="FFFFFF" w:themeFill="background1"/>
            <w:vAlign w:val="bottom"/>
          </w:tcPr>
          <w:p w:rsidR="0005229A" w:rsidRPr="0005229A" w:rsidRDefault="0005229A" w:rsidP="0005229A">
            <w:pPr>
              <w:spacing w:after="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960" w:type="dxa"/>
            <w:vMerge/>
            <w:tcBorders>
              <w:top w:val="nil"/>
              <w:lef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bl>
    <w:p w:rsidR="0005229A" w:rsidRPr="0005229A" w:rsidRDefault="0005229A" w:rsidP="0005229A">
      <w:pPr>
        <w:spacing w:after="200" w:line="288" w:lineRule="auto"/>
        <w:rPr>
          <w:rFonts w:ascii="Times New Roman" w:eastAsiaTheme="minorEastAsia" w:hAnsi="Times New Roman" w:cs="Times New Roman"/>
          <w:sz w:val="24"/>
          <w:szCs w:val="24"/>
        </w:rPr>
      </w:pP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noProof/>
          <w:sz w:val="24"/>
          <w:szCs w:val="24"/>
        </w:rPr>
        <mc:AlternateContent>
          <mc:Choice Requires="wps">
            <w:drawing>
              <wp:anchor distT="0" distB="0" distL="114300" distR="114300" simplePos="0" relativeHeight="251619840" behindDoc="0" locked="0" layoutInCell="1" allowOverlap="1" wp14:anchorId="483F270D" wp14:editId="39CA05F3">
                <wp:simplePos x="0" y="0"/>
                <wp:positionH relativeFrom="column">
                  <wp:posOffset>3276600</wp:posOffset>
                </wp:positionH>
                <wp:positionV relativeFrom="paragraph">
                  <wp:posOffset>15240</wp:posOffset>
                </wp:positionV>
                <wp:extent cx="3228975" cy="288607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3228975" cy="2886075"/>
                        </a:xfrm>
                        <a:prstGeom prst="rect">
                          <a:avLst/>
                        </a:prstGeom>
                        <a:solidFill>
                          <a:sysClr val="window" lastClr="FFFFFF"/>
                        </a:solidFill>
                        <a:ln w="12700" cap="flat" cmpd="sng" algn="ctr">
                          <a:solidFill>
                            <a:srgbClr val="70AD47"/>
                          </a:solidFill>
                          <a:prstDash val="solid"/>
                          <a:miter lim="800000"/>
                        </a:ln>
                        <a:effectLst/>
                      </wps:spPr>
                      <wps:txbx>
                        <w:txbxContent>
                          <w:p w:rsidR="0064059F" w:rsidRPr="00C0384F" w:rsidRDefault="0064059F" w:rsidP="0005229A">
                            <w:pPr>
                              <w:spacing w:after="0"/>
                              <w:jc w:val="both"/>
                              <w:rPr>
                                <w:rFonts w:ascii="Times New Roman" w:hAnsi="Times New Roman" w:cs="Times New Roman"/>
                                <w:sz w:val="20"/>
                                <w:szCs w:val="20"/>
                              </w:rPr>
                            </w:pPr>
                            <w:r w:rsidRPr="00C0384F">
                              <w:rPr>
                                <w:rFonts w:ascii="Times New Roman" w:hAnsi="Times New Roman" w:cs="Times New Roman"/>
                                <w:sz w:val="20"/>
                                <w:szCs w:val="20"/>
                              </w:rPr>
                              <w:t xml:space="preserve">Për plazhin e Kavajës, numri stacioneve të monitorimit që i përkasin kategorisë </w:t>
                            </w:r>
                          </w:p>
                          <w:p w:rsidR="0064059F" w:rsidRPr="00C0384F" w:rsidRDefault="0064059F" w:rsidP="0005229A">
                            <w:pPr>
                              <w:spacing w:after="0"/>
                              <w:jc w:val="both"/>
                              <w:rPr>
                                <w:rFonts w:ascii="Times New Roman" w:hAnsi="Times New Roman" w:cs="Times New Roman"/>
                                <w:sz w:val="20"/>
                                <w:szCs w:val="20"/>
                              </w:rPr>
                            </w:pPr>
                            <w:r w:rsidRPr="00C0384F">
                              <w:rPr>
                                <w:rFonts w:ascii="Times New Roman" w:hAnsi="Times New Roman" w:cs="Times New Roman"/>
                                <w:sz w:val="20"/>
                                <w:szCs w:val="20"/>
                              </w:rPr>
                              <w:t xml:space="preserve">A-Cilësi e shkëlqyer e ujërave për vitin 2025 është më i ulët në krahasim me vitet 2018-, 2022,2024 dhe është me i lartë në krahasim me vitet 2021 dhe 2023.  </w:t>
                            </w:r>
                          </w:p>
                          <w:p w:rsidR="0064059F" w:rsidRPr="00C0384F" w:rsidRDefault="0064059F" w:rsidP="0005229A">
                            <w:pPr>
                              <w:spacing w:after="0"/>
                              <w:jc w:val="both"/>
                              <w:rPr>
                                <w:rFonts w:ascii="Times New Roman" w:hAnsi="Times New Roman" w:cs="Times New Roman"/>
                                <w:sz w:val="20"/>
                                <w:szCs w:val="20"/>
                              </w:rPr>
                            </w:pPr>
                            <w:r w:rsidRPr="00C0384F">
                              <w:rPr>
                                <w:rFonts w:ascii="Times New Roman" w:hAnsi="Times New Roman" w:cs="Times New Roman"/>
                                <w:sz w:val="20"/>
                                <w:szCs w:val="20"/>
                              </w:rPr>
                              <w:t xml:space="preserve">B – Cilësia e mirë e ujërave për vitin 2025 është më i ulët  në krahasim me vitin 2021, 2023 dhe është më i lartë në krahasim me vitet  2018- 2020, 2022, 2024. </w:t>
                            </w:r>
                          </w:p>
                          <w:p w:rsidR="0064059F" w:rsidRPr="00C0384F" w:rsidRDefault="0064059F" w:rsidP="0005229A">
                            <w:pPr>
                              <w:spacing w:after="0"/>
                              <w:jc w:val="both"/>
                              <w:rPr>
                                <w:rFonts w:ascii="Times New Roman" w:hAnsi="Times New Roman" w:cs="Times New Roman"/>
                                <w:sz w:val="20"/>
                                <w:szCs w:val="20"/>
                              </w:rPr>
                            </w:pPr>
                            <w:r w:rsidRPr="00C0384F">
                              <w:rPr>
                                <w:rFonts w:ascii="Times New Roman" w:hAnsi="Times New Roman" w:cs="Times New Roman"/>
                                <w:sz w:val="20"/>
                                <w:szCs w:val="20"/>
                              </w:rPr>
                              <w:t xml:space="preserve">C – Cilësia e mjaftueshme e ujërave, për vitin 2025 është e më e lartë në krahasim me 2018-, 2020, 2022-2023 dhe është ulur në krahasim me vitin 2021, 2024. </w:t>
                            </w:r>
                          </w:p>
                          <w:p w:rsidR="0064059F" w:rsidRPr="00C0384F" w:rsidRDefault="0064059F" w:rsidP="0005229A">
                            <w:pPr>
                              <w:spacing w:after="0"/>
                              <w:jc w:val="both"/>
                              <w:rPr>
                                <w:rFonts w:ascii="Times New Roman" w:hAnsi="Times New Roman" w:cs="Times New Roman"/>
                                <w:sz w:val="20"/>
                                <w:szCs w:val="20"/>
                              </w:rPr>
                            </w:pPr>
                            <w:r w:rsidRPr="00C0384F">
                              <w:rPr>
                                <w:rFonts w:ascii="Times New Roman" w:hAnsi="Times New Roman" w:cs="Times New Roman"/>
                                <w:sz w:val="20"/>
                                <w:szCs w:val="20"/>
                              </w:rPr>
                              <w:t>D- Cilësia  keqe/ Masa të menjëherëshme, për vitin</w:t>
                            </w:r>
                            <w:r>
                              <w:t xml:space="preserve"> </w:t>
                            </w:r>
                            <w:r w:rsidRPr="00C0384F">
                              <w:rPr>
                                <w:rFonts w:ascii="Times New Roman" w:hAnsi="Times New Roman" w:cs="Times New Roman"/>
                                <w:sz w:val="20"/>
                                <w:szCs w:val="20"/>
                              </w:rPr>
                              <w:t>2025 është më i lartë në krahasim me vitet 2018-2022 dhe më</w:t>
                            </w:r>
                            <w:r>
                              <w:rPr>
                                <w:rFonts w:ascii="Times New Roman" w:hAnsi="Times New Roman" w:cs="Times New Roman"/>
                                <w:sz w:val="20"/>
                                <w:szCs w:val="20"/>
                              </w:rPr>
                              <w:t xml:space="preserve"> i</w:t>
                            </w:r>
                            <w:r w:rsidRPr="00C0384F">
                              <w:rPr>
                                <w:rFonts w:ascii="Times New Roman" w:hAnsi="Times New Roman" w:cs="Times New Roman"/>
                                <w:sz w:val="20"/>
                                <w:szCs w:val="20"/>
                              </w:rPr>
                              <w:t xml:space="preserve"> ulët  nëkrahasim me vitin 2023,2024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3F270D" id="Rectangle 20" o:spid="_x0000_s1089" style="position:absolute;margin-left:258pt;margin-top:1.2pt;width:254.25pt;height:227.25pt;z-index:25161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" fillcolor="window" strokecolor="#70ad47" strokeweight="1pt">
                <v:textbox>
                  <w:txbxContent>
                    <w:p w:rsidR="0064059F" w:rsidRPr="00C0384F" w:rsidRDefault="0064059F" w:rsidP="0005229A">
                      <w:pPr>
                        <w:spacing w:after="0"/>
                        <w:jc w:val="both"/>
                        <w:rPr>
                          <w:rFonts w:ascii="Times New Roman" w:hAnsi="Times New Roman" w:cs="Times New Roman"/>
                          <w:sz w:val="20"/>
                          <w:szCs w:val="20"/>
                        </w:rPr>
                      </w:pPr>
                      <w:r w:rsidRPr="00C0384F">
                        <w:rPr>
                          <w:rFonts w:ascii="Times New Roman" w:hAnsi="Times New Roman" w:cs="Times New Roman"/>
                          <w:sz w:val="20"/>
                          <w:szCs w:val="20"/>
                        </w:rPr>
                        <w:t xml:space="preserve">Për plazhin e Kavajës, numri stacioneve të monitorimit që i përkasin kategorisë </w:t>
                      </w:r>
                    </w:p>
                    <w:p w:rsidR="0064059F" w:rsidRPr="00C0384F" w:rsidRDefault="0064059F" w:rsidP="0005229A">
                      <w:pPr>
                        <w:spacing w:after="0"/>
                        <w:jc w:val="both"/>
                        <w:rPr>
                          <w:rFonts w:ascii="Times New Roman" w:hAnsi="Times New Roman" w:cs="Times New Roman"/>
                          <w:sz w:val="20"/>
                          <w:szCs w:val="20"/>
                        </w:rPr>
                      </w:pPr>
                      <w:r w:rsidRPr="00C0384F">
                        <w:rPr>
                          <w:rFonts w:ascii="Times New Roman" w:hAnsi="Times New Roman" w:cs="Times New Roman"/>
                          <w:sz w:val="20"/>
                          <w:szCs w:val="20"/>
                        </w:rPr>
                        <w:t xml:space="preserve">A-Cilësi e shkëlqyer e ujërave për vitin 2025 është më i ulët në krahasim me vitet 2018-, 2022,2024 dhe është me i lartë në krahasim me vitet 2021 dhe 2023.  </w:t>
                      </w:r>
                    </w:p>
                    <w:p w:rsidR="0064059F" w:rsidRPr="00C0384F" w:rsidRDefault="0064059F" w:rsidP="0005229A">
                      <w:pPr>
                        <w:spacing w:after="0"/>
                        <w:jc w:val="both"/>
                        <w:rPr>
                          <w:rFonts w:ascii="Times New Roman" w:hAnsi="Times New Roman" w:cs="Times New Roman"/>
                          <w:sz w:val="20"/>
                          <w:szCs w:val="20"/>
                        </w:rPr>
                      </w:pPr>
                      <w:r w:rsidRPr="00C0384F">
                        <w:rPr>
                          <w:rFonts w:ascii="Times New Roman" w:hAnsi="Times New Roman" w:cs="Times New Roman"/>
                          <w:sz w:val="20"/>
                          <w:szCs w:val="20"/>
                        </w:rPr>
                        <w:t xml:space="preserve">B – Cilësia e mirë e ujërave për vitin 2025 është më i ulët  në krahasim me vitin 2021, 2023 dhe është më i lartë në krahasim me vitet  2018- 2020, 2022, 2024. </w:t>
                      </w:r>
                    </w:p>
                    <w:p w:rsidR="0064059F" w:rsidRPr="00C0384F" w:rsidRDefault="0064059F" w:rsidP="0005229A">
                      <w:pPr>
                        <w:spacing w:after="0"/>
                        <w:jc w:val="both"/>
                        <w:rPr>
                          <w:rFonts w:ascii="Times New Roman" w:hAnsi="Times New Roman" w:cs="Times New Roman"/>
                          <w:sz w:val="20"/>
                          <w:szCs w:val="20"/>
                        </w:rPr>
                      </w:pPr>
                      <w:r w:rsidRPr="00C0384F">
                        <w:rPr>
                          <w:rFonts w:ascii="Times New Roman" w:hAnsi="Times New Roman" w:cs="Times New Roman"/>
                          <w:sz w:val="20"/>
                          <w:szCs w:val="20"/>
                        </w:rPr>
                        <w:t xml:space="preserve">C – Cilësia e mjaftueshme e ujërave, për vitin 2025 është e më e lartë në krahasim me 2018-, 2020, 2022-2023 dhe është ulur në krahasim me vitin 2021, 2024. </w:t>
                      </w:r>
                    </w:p>
                    <w:p w:rsidR="0064059F" w:rsidRPr="00C0384F" w:rsidRDefault="0064059F" w:rsidP="0005229A">
                      <w:pPr>
                        <w:spacing w:after="0"/>
                        <w:jc w:val="both"/>
                        <w:rPr>
                          <w:rFonts w:ascii="Times New Roman" w:hAnsi="Times New Roman" w:cs="Times New Roman"/>
                          <w:sz w:val="20"/>
                          <w:szCs w:val="20"/>
                        </w:rPr>
                      </w:pPr>
                      <w:r w:rsidRPr="00C0384F">
                        <w:rPr>
                          <w:rFonts w:ascii="Times New Roman" w:hAnsi="Times New Roman" w:cs="Times New Roman"/>
                          <w:sz w:val="20"/>
                          <w:szCs w:val="20"/>
                        </w:rPr>
                        <w:t>D- Cilësia  keqe/ Masa të menjëherëshme, për vitin</w:t>
                      </w:r>
                      <w:r>
                        <w:t xml:space="preserve"> </w:t>
                      </w:r>
                      <w:r w:rsidRPr="00C0384F">
                        <w:rPr>
                          <w:rFonts w:ascii="Times New Roman" w:hAnsi="Times New Roman" w:cs="Times New Roman"/>
                          <w:sz w:val="20"/>
                          <w:szCs w:val="20"/>
                        </w:rPr>
                        <w:t>2025 është më i lartë në krahasim me vitet 2018-2022 dhe më</w:t>
                      </w:r>
                      <w:r>
                        <w:rPr>
                          <w:rFonts w:ascii="Times New Roman" w:hAnsi="Times New Roman" w:cs="Times New Roman"/>
                          <w:sz w:val="20"/>
                          <w:szCs w:val="20"/>
                        </w:rPr>
                        <w:t xml:space="preserve"> i</w:t>
                      </w:r>
                      <w:r w:rsidRPr="00C0384F">
                        <w:rPr>
                          <w:rFonts w:ascii="Times New Roman" w:hAnsi="Times New Roman" w:cs="Times New Roman"/>
                          <w:sz w:val="20"/>
                          <w:szCs w:val="20"/>
                        </w:rPr>
                        <w:t xml:space="preserve"> ulët  nëkrahasim me vitin 2023,2024</w:t>
                      </w:r>
                    </w:p>
                  </w:txbxContent>
                </v:textbox>
              </v:rect>
            </w:pict>
          </mc:Fallback>
        </mc:AlternateContent>
      </w:r>
      <w:r w:rsidRPr="0005229A">
        <w:rPr>
          <w:rFonts w:ascii="Times New Roman" w:eastAsiaTheme="minorEastAsia" w:hAnsi="Times New Roman" w:cs="Times New Roman"/>
          <w:noProof/>
          <w:sz w:val="24"/>
          <w:szCs w:val="24"/>
        </w:rPr>
        <w:drawing>
          <wp:inline distT="0" distB="0" distL="0" distR="0" wp14:anchorId="16530828" wp14:editId="0A6CA7F2">
            <wp:extent cx="3091180" cy="293243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091180" cy="2932430"/>
                    </a:xfrm>
                    <a:prstGeom prst="rect">
                      <a:avLst/>
                    </a:prstGeom>
                    <a:noFill/>
                  </pic:spPr>
                </pic:pic>
              </a:graphicData>
            </a:graphic>
          </wp:inline>
        </w:drawing>
      </w:r>
    </w:p>
    <w:p w:rsidR="0005229A" w:rsidRDefault="0005229A" w:rsidP="003C64EC">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PLAZHI I QERRETIT:  Në plazhin Qerret, plazhet ishin të pastra e të sistemuara. Plazhi në përgjithësi ishte i sistemuar me dhoma ndërrimi veshje në disa zona. Nuk u vunë re grumbullime të mbeturinave në vijën bregdetare, rëra e pluguar, me dushe, kosha të mbeturinave, brezi ranor i pastër pa grumbuj leshterikësh.  Gjithashtu u konstatua prezencë e afishimit të rregullave për zbatim nga pushuesit. U konstatua kanali i madh i Qerretit i cili shkaktonte erë të rëndë në mjedis e cila ndjehej kur futesh në rrugën kryesore. Nevojat sanitare për tualete pushuesit i përmbushin pranë subjekteve private për shkak të pozicionimit të këtyre plazheve pranë subjekteve.</w:t>
      </w:r>
    </w:p>
    <w:p w:rsidR="003C64EC" w:rsidRPr="0005229A" w:rsidRDefault="003C64EC" w:rsidP="003C64EC">
      <w:pPr>
        <w:spacing w:after="0" w:line="240" w:lineRule="auto"/>
        <w:jc w:val="both"/>
        <w:rPr>
          <w:rFonts w:ascii="Times New Roman" w:eastAsiaTheme="minorEastAsia" w:hAnsi="Times New Roman" w:cs="Times New Roman"/>
          <w:sz w:val="24"/>
          <w:szCs w:val="24"/>
        </w:rPr>
      </w:pPr>
    </w:p>
    <w:p w:rsidR="0005229A" w:rsidRPr="0005229A" w:rsidRDefault="0005229A" w:rsidP="0005229A">
      <w:pPr>
        <w:spacing w:after="200" w:line="288" w:lineRule="auto"/>
        <w:rPr>
          <w:rFonts w:ascii="Times New Roman" w:eastAsiaTheme="minorEastAsia" w:hAnsi="Times New Roman" w:cs="Times New Roman"/>
          <w:b/>
          <w:sz w:val="24"/>
          <w:szCs w:val="24"/>
        </w:rPr>
      </w:pPr>
      <w:r w:rsidRPr="0005229A">
        <w:rPr>
          <w:rFonts w:ascii="Times New Roman" w:eastAsiaTheme="minorEastAsia" w:hAnsi="Times New Roman" w:cs="Times New Roman"/>
          <w:b/>
          <w:sz w:val="24"/>
          <w:szCs w:val="24"/>
        </w:rPr>
        <w:lastRenderedPageBreak/>
        <w:t xml:space="preserve">                        ●Plazhi i Qerretit</w:t>
      </w:r>
    </w:p>
    <w:tbl>
      <w:tblPr>
        <w:tblW w:w="9063"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4"/>
        <w:gridCol w:w="2490"/>
        <w:gridCol w:w="1317"/>
        <w:gridCol w:w="1311"/>
        <w:gridCol w:w="1187"/>
        <w:gridCol w:w="1524"/>
      </w:tblGrid>
      <w:tr w:rsidR="0005229A" w:rsidRPr="0005229A" w:rsidTr="00DD196F">
        <w:trPr>
          <w:trHeight w:val="927"/>
        </w:trPr>
        <w:tc>
          <w:tcPr>
            <w:tcW w:w="1234" w:type="dxa"/>
            <w:shd w:val="clear" w:color="auto" w:fill="D4DCE3"/>
          </w:tcPr>
          <w:p w:rsidR="0005229A" w:rsidRPr="0005229A" w:rsidRDefault="0005229A" w:rsidP="0005229A">
            <w:pPr>
              <w:widowControl w:val="0"/>
              <w:autoSpaceDE w:val="0"/>
              <w:autoSpaceDN w:val="0"/>
              <w:spacing w:before="50" w:after="0" w:line="240" w:lineRule="auto"/>
              <w:ind w:left="75" w:right="69"/>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Nr.</w:t>
            </w:r>
          </w:p>
          <w:p w:rsidR="0005229A" w:rsidRPr="0005229A" w:rsidRDefault="0005229A" w:rsidP="0005229A">
            <w:pPr>
              <w:widowControl w:val="0"/>
              <w:autoSpaceDE w:val="0"/>
              <w:autoSpaceDN w:val="0"/>
              <w:spacing w:before="5" w:after="0" w:line="240" w:lineRule="auto"/>
              <w:ind w:left="76" w:right="69"/>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Stacioneve</w:t>
            </w:r>
          </w:p>
        </w:tc>
        <w:tc>
          <w:tcPr>
            <w:tcW w:w="2490" w:type="dxa"/>
            <w:shd w:val="clear" w:color="auto" w:fill="D4DCE3"/>
          </w:tcPr>
          <w:p w:rsidR="0005229A" w:rsidRPr="0005229A" w:rsidRDefault="0005229A" w:rsidP="0005229A">
            <w:pPr>
              <w:widowControl w:val="0"/>
              <w:autoSpaceDE w:val="0"/>
              <w:autoSpaceDN w:val="0"/>
              <w:spacing w:before="162" w:after="0" w:line="240" w:lineRule="auto"/>
              <w:ind w:left="804" w:right="801"/>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Vendi</w:t>
            </w:r>
          </w:p>
        </w:tc>
        <w:tc>
          <w:tcPr>
            <w:tcW w:w="1317" w:type="dxa"/>
            <w:shd w:val="clear" w:color="auto" w:fill="D4DCE3"/>
          </w:tcPr>
          <w:p w:rsidR="0005229A" w:rsidRPr="0005229A" w:rsidRDefault="0005229A" w:rsidP="0005229A">
            <w:pPr>
              <w:widowControl w:val="0"/>
              <w:autoSpaceDE w:val="0"/>
              <w:autoSpaceDN w:val="0"/>
              <w:spacing w:before="2" w:after="0" w:line="240" w:lineRule="auto"/>
              <w:ind w:left="159"/>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FC</w:t>
            </w:r>
            <w:r w:rsidRPr="0005229A">
              <w:rPr>
                <w:rFonts w:ascii="Times New Roman" w:eastAsia="Times New Roman" w:hAnsi="Times New Roman" w:cs="Times New Roman"/>
                <w:b/>
                <w:spacing w:val="4"/>
                <w:sz w:val="19"/>
                <w:lang w:val="sq-AL"/>
              </w:rPr>
              <w:t xml:space="preserve"> </w:t>
            </w:r>
            <w:r w:rsidRPr="0005229A">
              <w:rPr>
                <w:rFonts w:ascii="Times New Roman" w:eastAsia="Times New Roman" w:hAnsi="Times New Roman" w:cs="Times New Roman"/>
                <w:b/>
                <w:sz w:val="19"/>
                <w:lang w:val="sq-AL"/>
              </w:rPr>
              <w:t>90%</w:t>
            </w:r>
            <w:r w:rsidRPr="0005229A">
              <w:rPr>
                <w:rFonts w:ascii="Times New Roman" w:eastAsia="Times New Roman" w:hAnsi="Times New Roman" w:cs="Times New Roman"/>
                <w:b/>
                <w:spacing w:val="4"/>
                <w:sz w:val="19"/>
                <w:lang w:val="sq-AL"/>
              </w:rPr>
              <w:t xml:space="preserve"> </w:t>
            </w:r>
            <w:r w:rsidRPr="0005229A">
              <w:rPr>
                <w:rFonts w:ascii="Times New Roman" w:eastAsia="Times New Roman" w:hAnsi="Times New Roman" w:cs="Times New Roman"/>
                <w:b/>
                <w:sz w:val="19"/>
                <w:lang w:val="sq-AL"/>
              </w:rPr>
              <w:t>-</w:t>
            </w:r>
          </w:p>
          <w:p w:rsidR="0005229A" w:rsidRPr="0005229A" w:rsidRDefault="0005229A" w:rsidP="0005229A">
            <w:pPr>
              <w:widowControl w:val="0"/>
              <w:autoSpaceDE w:val="0"/>
              <w:autoSpaceDN w:val="0"/>
              <w:spacing w:before="5" w:after="0" w:line="240" w:lineRule="auto"/>
              <w:ind w:left="102"/>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Norma</w:t>
            </w:r>
            <w:r w:rsidRPr="0005229A">
              <w:rPr>
                <w:rFonts w:ascii="Times New Roman" w:eastAsia="Times New Roman" w:hAnsi="Times New Roman" w:cs="Times New Roman"/>
                <w:b/>
                <w:spacing w:val="8"/>
                <w:sz w:val="19"/>
                <w:lang w:val="sq-AL"/>
              </w:rPr>
              <w:t xml:space="preserve"> </w:t>
            </w:r>
            <w:r w:rsidRPr="0005229A">
              <w:rPr>
                <w:rFonts w:ascii="Times New Roman" w:eastAsia="Times New Roman" w:hAnsi="Times New Roman" w:cs="Times New Roman"/>
                <w:b/>
                <w:sz w:val="19"/>
                <w:lang w:val="sq-AL"/>
              </w:rPr>
              <w:t>250</w:t>
            </w:r>
          </w:p>
        </w:tc>
        <w:tc>
          <w:tcPr>
            <w:tcW w:w="1311" w:type="dxa"/>
            <w:shd w:val="clear" w:color="auto" w:fill="D4DCE3"/>
          </w:tcPr>
          <w:p w:rsidR="0005229A" w:rsidRPr="0005229A" w:rsidRDefault="0005229A" w:rsidP="0005229A">
            <w:pPr>
              <w:widowControl w:val="0"/>
              <w:autoSpaceDE w:val="0"/>
              <w:autoSpaceDN w:val="0"/>
              <w:spacing w:before="2" w:after="0" w:line="240" w:lineRule="auto"/>
              <w:ind w:left="183"/>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IE</w:t>
            </w:r>
            <w:r w:rsidRPr="0005229A">
              <w:rPr>
                <w:rFonts w:ascii="Times New Roman" w:eastAsia="Times New Roman" w:hAnsi="Times New Roman" w:cs="Times New Roman"/>
                <w:b/>
                <w:spacing w:val="4"/>
                <w:sz w:val="19"/>
                <w:lang w:val="sq-AL"/>
              </w:rPr>
              <w:t xml:space="preserve"> </w:t>
            </w:r>
            <w:r w:rsidRPr="0005229A">
              <w:rPr>
                <w:rFonts w:ascii="Times New Roman" w:eastAsia="Times New Roman" w:hAnsi="Times New Roman" w:cs="Times New Roman"/>
                <w:b/>
                <w:sz w:val="19"/>
                <w:lang w:val="sq-AL"/>
              </w:rPr>
              <w:t>95%</w:t>
            </w:r>
            <w:r w:rsidRPr="0005229A">
              <w:rPr>
                <w:rFonts w:ascii="Times New Roman" w:eastAsia="Times New Roman" w:hAnsi="Times New Roman" w:cs="Times New Roman"/>
                <w:b/>
                <w:spacing w:val="3"/>
                <w:sz w:val="19"/>
                <w:lang w:val="sq-AL"/>
              </w:rPr>
              <w:t xml:space="preserve"> </w:t>
            </w:r>
            <w:r w:rsidRPr="0005229A">
              <w:rPr>
                <w:rFonts w:ascii="Times New Roman" w:eastAsia="Times New Roman" w:hAnsi="Times New Roman" w:cs="Times New Roman"/>
                <w:b/>
                <w:sz w:val="19"/>
                <w:lang w:val="sq-AL"/>
              </w:rPr>
              <w:t>-</w:t>
            </w:r>
          </w:p>
          <w:p w:rsidR="0005229A" w:rsidRPr="0005229A" w:rsidRDefault="0005229A" w:rsidP="0005229A">
            <w:pPr>
              <w:widowControl w:val="0"/>
              <w:autoSpaceDE w:val="0"/>
              <w:autoSpaceDN w:val="0"/>
              <w:spacing w:before="5" w:after="0" w:line="240" w:lineRule="auto"/>
              <w:ind w:left="99"/>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Norma</w:t>
            </w:r>
            <w:r w:rsidRPr="0005229A">
              <w:rPr>
                <w:rFonts w:ascii="Times New Roman" w:eastAsia="Times New Roman" w:hAnsi="Times New Roman" w:cs="Times New Roman"/>
                <w:b/>
                <w:spacing w:val="8"/>
                <w:sz w:val="19"/>
                <w:lang w:val="sq-AL"/>
              </w:rPr>
              <w:t xml:space="preserve"> </w:t>
            </w:r>
            <w:r w:rsidRPr="0005229A">
              <w:rPr>
                <w:rFonts w:ascii="Times New Roman" w:eastAsia="Times New Roman" w:hAnsi="Times New Roman" w:cs="Times New Roman"/>
                <w:b/>
                <w:sz w:val="19"/>
                <w:lang w:val="sq-AL"/>
              </w:rPr>
              <w:t>100</w:t>
            </w:r>
          </w:p>
        </w:tc>
        <w:tc>
          <w:tcPr>
            <w:tcW w:w="1187" w:type="dxa"/>
            <w:shd w:val="clear" w:color="auto" w:fill="D4DCE3"/>
          </w:tcPr>
          <w:p w:rsidR="0005229A" w:rsidRPr="0005229A" w:rsidRDefault="0005229A" w:rsidP="0005229A">
            <w:pPr>
              <w:widowControl w:val="0"/>
              <w:autoSpaceDE w:val="0"/>
              <w:autoSpaceDN w:val="0"/>
              <w:spacing w:before="2" w:after="0" w:line="240" w:lineRule="auto"/>
              <w:ind w:left="91"/>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Kategoria</w:t>
            </w:r>
          </w:p>
        </w:tc>
        <w:tc>
          <w:tcPr>
            <w:tcW w:w="1524" w:type="dxa"/>
            <w:shd w:val="clear" w:color="auto" w:fill="D4DCE3"/>
          </w:tcPr>
          <w:p w:rsidR="0005229A" w:rsidRPr="0005229A" w:rsidRDefault="0005229A" w:rsidP="0005229A">
            <w:pPr>
              <w:widowControl w:val="0"/>
              <w:autoSpaceDE w:val="0"/>
              <w:autoSpaceDN w:val="0"/>
              <w:spacing w:before="2" w:after="0" w:line="244" w:lineRule="auto"/>
              <w:ind w:left="103" w:firstLine="65"/>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Përqindja</w:t>
            </w:r>
            <w:r w:rsidRPr="0005229A">
              <w:rPr>
                <w:rFonts w:ascii="Times New Roman" w:eastAsia="Times New Roman" w:hAnsi="Times New Roman" w:cs="Times New Roman"/>
                <w:b/>
                <w:spacing w:val="7"/>
                <w:sz w:val="19"/>
                <w:lang w:val="sq-AL"/>
              </w:rPr>
              <w:t xml:space="preserve"> </w:t>
            </w:r>
            <w:r w:rsidRPr="0005229A">
              <w:rPr>
                <w:rFonts w:ascii="Times New Roman" w:eastAsia="Times New Roman" w:hAnsi="Times New Roman" w:cs="Times New Roman"/>
                <w:b/>
                <w:sz w:val="19"/>
                <w:lang w:val="sq-AL"/>
              </w:rPr>
              <w:t>e</w:t>
            </w:r>
            <w:r w:rsidRPr="0005229A">
              <w:rPr>
                <w:rFonts w:ascii="Times New Roman" w:eastAsia="Times New Roman" w:hAnsi="Times New Roman" w:cs="Times New Roman"/>
                <w:b/>
                <w:spacing w:val="1"/>
                <w:sz w:val="19"/>
                <w:lang w:val="sq-AL"/>
              </w:rPr>
              <w:t xml:space="preserve"> </w:t>
            </w:r>
            <w:r w:rsidRPr="0005229A">
              <w:rPr>
                <w:rFonts w:ascii="Times New Roman" w:eastAsia="Times New Roman" w:hAnsi="Times New Roman" w:cs="Times New Roman"/>
                <w:b/>
                <w:sz w:val="19"/>
                <w:lang w:val="sq-AL"/>
              </w:rPr>
              <w:t>stacioneve</w:t>
            </w:r>
            <w:r w:rsidRPr="0005229A">
              <w:rPr>
                <w:rFonts w:ascii="Times New Roman" w:eastAsia="Times New Roman" w:hAnsi="Times New Roman" w:cs="Times New Roman"/>
                <w:b/>
                <w:spacing w:val="5"/>
                <w:sz w:val="19"/>
                <w:lang w:val="sq-AL"/>
              </w:rPr>
              <w:t xml:space="preserve"> </w:t>
            </w:r>
            <w:r w:rsidRPr="0005229A">
              <w:rPr>
                <w:rFonts w:ascii="Times New Roman" w:eastAsia="Times New Roman" w:hAnsi="Times New Roman" w:cs="Times New Roman"/>
                <w:b/>
                <w:sz w:val="19"/>
                <w:lang w:val="sq-AL"/>
              </w:rPr>
              <w:t>%</w:t>
            </w:r>
          </w:p>
        </w:tc>
      </w:tr>
      <w:tr w:rsidR="0005229A" w:rsidRPr="0005229A" w:rsidTr="00DD196F">
        <w:trPr>
          <w:trHeight w:val="380"/>
        </w:trPr>
        <w:tc>
          <w:tcPr>
            <w:tcW w:w="1234" w:type="dxa"/>
          </w:tcPr>
          <w:p w:rsidR="0005229A" w:rsidRPr="0005229A" w:rsidRDefault="0005229A" w:rsidP="0005229A">
            <w:pPr>
              <w:widowControl w:val="0"/>
              <w:autoSpaceDE w:val="0"/>
              <w:autoSpaceDN w:val="0"/>
              <w:spacing w:before="1" w:after="0" w:line="201"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1</w:t>
            </w:r>
          </w:p>
        </w:tc>
        <w:tc>
          <w:tcPr>
            <w:tcW w:w="2490" w:type="dxa"/>
          </w:tcPr>
          <w:p w:rsidR="0005229A" w:rsidRPr="0005229A" w:rsidRDefault="0005229A" w:rsidP="0005229A">
            <w:pPr>
              <w:widowControl w:val="0"/>
              <w:autoSpaceDE w:val="0"/>
              <w:autoSpaceDN w:val="0"/>
              <w:spacing w:before="1" w:after="0" w:line="201"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Qerret,</w:t>
            </w:r>
            <w:r w:rsidRPr="0005229A">
              <w:rPr>
                <w:rFonts w:ascii="Times New Roman" w:eastAsia="Times New Roman" w:hAnsi="Times New Roman" w:cs="Times New Roman"/>
                <w:spacing w:val="7"/>
                <w:sz w:val="19"/>
                <w:lang w:val="sq-AL"/>
              </w:rPr>
              <w:t xml:space="preserve"> </w:t>
            </w:r>
            <w:r w:rsidRPr="0005229A">
              <w:rPr>
                <w:rFonts w:ascii="Times New Roman" w:eastAsia="Times New Roman" w:hAnsi="Times New Roman" w:cs="Times New Roman"/>
                <w:sz w:val="19"/>
                <w:lang w:val="sq-AL"/>
              </w:rPr>
              <w:t>Ish</w:t>
            </w:r>
            <w:r w:rsidRPr="0005229A">
              <w:rPr>
                <w:rFonts w:ascii="Times New Roman" w:eastAsia="Times New Roman" w:hAnsi="Times New Roman" w:cs="Times New Roman"/>
                <w:spacing w:val="9"/>
                <w:sz w:val="19"/>
                <w:lang w:val="sq-AL"/>
              </w:rPr>
              <w:t xml:space="preserve"> </w:t>
            </w:r>
            <w:r w:rsidRPr="0005229A">
              <w:rPr>
                <w:rFonts w:ascii="Times New Roman" w:eastAsia="Times New Roman" w:hAnsi="Times New Roman" w:cs="Times New Roman"/>
                <w:sz w:val="19"/>
                <w:lang w:val="sq-AL"/>
              </w:rPr>
              <w:t>Fusha</w:t>
            </w:r>
            <w:r w:rsidRPr="0005229A">
              <w:rPr>
                <w:rFonts w:ascii="Times New Roman" w:eastAsia="Times New Roman" w:hAnsi="Times New Roman" w:cs="Times New Roman"/>
                <w:spacing w:val="9"/>
                <w:sz w:val="19"/>
                <w:lang w:val="sq-AL"/>
              </w:rPr>
              <w:t xml:space="preserve"> </w:t>
            </w:r>
            <w:r w:rsidRPr="0005229A">
              <w:rPr>
                <w:rFonts w:ascii="Times New Roman" w:eastAsia="Times New Roman" w:hAnsi="Times New Roman" w:cs="Times New Roman"/>
                <w:sz w:val="19"/>
                <w:lang w:val="sq-AL"/>
              </w:rPr>
              <w:t>Sportit</w:t>
            </w:r>
          </w:p>
        </w:tc>
        <w:tc>
          <w:tcPr>
            <w:tcW w:w="1317" w:type="dxa"/>
          </w:tcPr>
          <w:p w:rsidR="0005229A" w:rsidRPr="0005229A" w:rsidRDefault="0005229A" w:rsidP="0005229A">
            <w:pPr>
              <w:widowControl w:val="0"/>
              <w:autoSpaceDE w:val="0"/>
              <w:autoSpaceDN w:val="0"/>
              <w:spacing w:before="1" w:after="0" w:line="201"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160</w:t>
            </w:r>
          </w:p>
        </w:tc>
        <w:tc>
          <w:tcPr>
            <w:tcW w:w="1311" w:type="dxa"/>
          </w:tcPr>
          <w:p w:rsidR="0005229A" w:rsidRPr="0005229A" w:rsidRDefault="0005229A" w:rsidP="0005229A">
            <w:pPr>
              <w:widowControl w:val="0"/>
              <w:autoSpaceDE w:val="0"/>
              <w:autoSpaceDN w:val="0"/>
              <w:spacing w:before="1" w:after="0" w:line="201"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151</w:t>
            </w:r>
          </w:p>
        </w:tc>
        <w:tc>
          <w:tcPr>
            <w:tcW w:w="1187" w:type="dxa"/>
            <w:shd w:val="clear" w:color="auto" w:fill="auto"/>
          </w:tcPr>
          <w:p w:rsidR="0005229A" w:rsidRPr="0005229A" w:rsidRDefault="0005229A" w:rsidP="0005229A">
            <w:pPr>
              <w:spacing w:after="12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524" w:type="dxa"/>
            <w:vMerge w:val="restart"/>
          </w:tcPr>
          <w:p w:rsidR="0005229A" w:rsidRPr="0005229A" w:rsidRDefault="0005229A" w:rsidP="0005229A">
            <w:pPr>
              <w:widowControl w:val="0"/>
              <w:autoSpaceDE w:val="0"/>
              <w:autoSpaceDN w:val="0"/>
              <w:spacing w:before="1" w:after="0" w:line="240" w:lineRule="auto"/>
              <w:ind w:left="83"/>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67%,B-Cilësi e mirë</w:t>
            </w:r>
          </w:p>
          <w:p w:rsidR="0005229A" w:rsidRPr="0005229A" w:rsidRDefault="0005229A" w:rsidP="0005229A">
            <w:pPr>
              <w:widowControl w:val="0"/>
              <w:autoSpaceDE w:val="0"/>
              <w:autoSpaceDN w:val="0"/>
              <w:spacing w:before="1" w:after="0" w:line="240" w:lineRule="auto"/>
              <w:ind w:left="83"/>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33 %,</w:t>
            </w:r>
            <w:r w:rsidRPr="0005229A">
              <w:rPr>
                <w:rFonts w:ascii="Times New Roman" w:eastAsia="Times New Roman" w:hAnsi="Times New Roman" w:cs="Times New Roman"/>
                <w:spacing w:val="7"/>
                <w:sz w:val="19"/>
                <w:lang w:val="sq-AL"/>
              </w:rPr>
              <w:t xml:space="preserve"> </w:t>
            </w:r>
            <w:r w:rsidRPr="0005229A">
              <w:rPr>
                <w:rFonts w:ascii="Times New Roman" w:eastAsia="Times New Roman" w:hAnsi="Times New Roman" w:cs="Times New Roman"/>
                <w:sz w:val="19"/>
                <w:lang w:val="sq-AL"/>
              </w:rPr>
              <w:t>D-</w:t>
            </w:r>
          </w:p>
          <w:p w:rsidR="0005229A" w:rsidRPr="0005229A" w:rsidRDefault="0005229A" w:rsidP="0005229A">
            <w:pPr>
              <w:widowControl w:val="0"/>
              <w:autoSpaceDE w:val="0"/>
              <w:autoSpaceDN w:val="0"/>
              <w:spacing w:before="5" w:after="0" w:line="249" w:lineRule="auto"/>
              <w:ind w:left="83" w:right="89"/>
              <w:rPr>
                <w:rFonts w:ascii="Times New Roman" w:eastAsia="Times New Roman" w:hAnsi="Times New Roman" w:cs="Times New Roman"/>
                <w:sz w:val="17"/>
                <w:lang w:val="sq-AL"/>
              </w:rPr>
            </w:pPr>
            <w:r w:rsidRPr="0005229A">
              <w:rPr>
                <w:rFonts w:ascii="Times New Roman" w:eastAsia="Times New Roman" w:hAnsi="Times New Roman" w:cs="Times New Roman"/>
                <w:w w:val="105"/>
                <w:sz w:val="19"/>
                <w:lang w:val="sq-AL"/>
              </w:rPr>
              <w:t>Cilësi e keqe/</w:t>
            </w:r>
            <w:r w:rsidRPr="0005229A">
              <w:rPr>
                <w:rFonts w:ascii="Times New Roman" w:eastAsia="Times New Roman" w:hAnsi="Times New Roman" w:cs="Times New Roman"/>
                <w:spacing w:val="-47"/>
                <w:w w:val="105"/>
                <w:sz w:val="19"/>
                <w:lang w:val="sq-AL"/>
              </w:rPr>
              <w:t xml:space="preserve"> </w:t>
            </w:r>
            <w:r w:rsidRPr="0005229A">
              <w:rPr>
                <w:rFonts w:ascii="Times New Roman" w:eastAsia="Times New Roman" w:hAnsi="Times New Roman" w:cs="Times New Roman"/>
                <w:w w:val="105"/>
                <w:sz w:val="17"/>
                <w:lang w:val="sq-AL"/>
              </w:rPr>
              <w:t>Masa të</w:t>
            </w:r>
            <w:r w:rsidRPr="0005229A">
              <w:rPr>
                <w:rFonts w:ascii="Times New Roman" w:eastAsia="Times New Roman" w:hAnsi="Times New Roman" w:cs="Times New Roman"/>
                <w:spacing w:val="1"/>
                <w:w w:val="105"/>
                <w:sz w:val="17"/>
                <w:lang w:val="sq-AL"/>
              </w:rPr>
              <w:t xml:space="preserve"> </w:t>
            </w:r>
            <w:r w:rsidRPr="0005229A">
              <w:rPr>
                <w:rFonts w:ascii="Times New Roman" w:eastAsia="Times New Roman" w:hAnsi="Times New Roman" w:cs="Times New Roman"/>
                <w:spacing w:val="-1"/>
                <w:w w:val="105"/>
                <w:sz w:val="17"/>
                <w:lang w:val="sq-AL"/>
              </w:rPr>
              <w:t>menjëherëshme</w:t>
            </w:r>
          </w:p>
        </w:tc>
      </w:tr>
      <w:tr w:rsidR="0005229A" w:rsidRPr="0005229A" w:rsidTr="00DD196F">
        <w:trPr>
          <w:trHeight w:val="378"/>
        </w:trPr>
        <w:tc>
          <w:tcPr>
            <w:tcW w:w="1234" w:type="dxa"/>
          </w:tcPr>
          <w:p w:rsidR="0005229A" w:rsidRPr="0005229A" w:rsidRDefault="0005229A" w:rsidP="0005229A">
            <w:pPr>
              <w:widowControl w:val="0"/>
              <w:autoSpaceDE w:val="0"/>
              <w:autoSpaceDN w:val="0"/>
              <w:spacing w:after="0" w:line="201" w:lineRule="exact"/>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2</w:t>
            </w:r>
          </w:p>
        </w:tc>
        <w:tc>
          <w:tcPr>
            <w:tcW w:w="2490" w:type="dxa"/>
          </w:tcPr>
          <w:p w:rsidR="0005229A" w:rsidRPr="0005229A" w:rsidRDefault="0005229A" w:rsidP="0005229A">
            <w:pPr>
              <w:widowControl w:val="0"/>
              <w:autoSpaceDE w:val="0"/>
              <w:autoSpaceDN w:val="0"/>
              <w:spacing w:after="0" w:line="201"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Kompleksi</w:t>
            </w:r>
            <w:r w:rsidRPr="0005229A">
              <w:rPr>
                <w:rFonts w:ascii="Times New Roman" w:eastAsia="Times New Roman" w:hAnsi="Times New Roman" w:cs="Times New Roman"/>
                <w:spacing w:val="13"/>
                <w:sz w:val="19"/>
                <w:lang w:val="sq-AL"/>
              </w:rPr>
              <w:t xml:space="preserve"> </w:t>
            </w:r>
            <w:r w:rsidRPr="0005229A">
              <w:rPr>
                <w:rFonts w:ascii="Times New Roman" w:eastAsia="Times New Roman" w:hAnsi="Times New Roman" w:cs="Times New Roman"/>
                <w:sz w:val="19"/>
                <w:lang w:val="sq-AL"/>
              </w:rPr>
              <w:t>Belavista</w:t>
            </w:r>
          </w:p>
        </w:tc>
        <w:tc>
          <w:tcPr>
            <w:tcW w:w="1317" w:type="dxa"/>
          </w:tcPr>
          <w:p w:rsidR="0005229A" w:rsidRPr="0005229A" w:rsidRDefault="0005229A" w:rsidP="0005229A">
            <w:pPr>
              <w:widowControl w:val="0"/>
              <w:autoSpaceDE w:val="0"/>
              <w:autoSpaceDN w:val="0"/>
              <w:spacing w:after="0" w:line="201"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174</w:t>
            </w:r>
          </w:p>
        </w:tc>
        <w:tc>
          <w:tcPr>
            <w:tcW w:w="1311" w:type="dxa"/>
          </w:tcPr>
          <w:p w:rsidR="0005229A" w:rsidRPr="0005229A" w:rsidRDefault="0005229A" w:rsidP="0005229A">
            <w:pPr>
              <w:widowControl w:val="0"/>
              <w:autoSpaceDE w:val="0"/>
              <w:autoSpaceDN w:val="0"/>
              <w:spacing w:after="0" w:line="201"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150</w:t>
            </w:r>
          </w:p>
        </w:tc>
        <w:tc>
          <w:tcPr>
            <w:tcW w:w="1187" w:type="dxa"/>
            <w:shd w:val="clear" w:color="auto" w:fill="auto"/>
          </w:tcPr>
          <w:p w:rsidR="0005229A" w:rsidRPr="0005229A" w:rsidRDefault="0005229A" w:rsidP="0005229A">
            <w:pPr>
              <w:spacing w:after="12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524" w:type="dxa"/>
            <w:vMerge/>
            <w:tcBorders>
              <w:top w:val="nil"/>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762"/>
        </w:trPr>
        <w:tc>
          <w:tcPr>
            <w:tcW w:w="1234" w:type="dxa"/>
          </w:tcPr>
          <w:p w:rsidR="0005229A" w:rsidRPr="0005229A" w:rsidRDefault="0005229A" w:rsidP="0005229A">
            <w:pPr>
              <w:widowControl w:val="0"/>
              <w:autoSpaceDE w:val="0"/>
              <w:autoSpaceDN w:val="0"/>
              <w:spacing w:before="112" w:after="0" w:line="240" w:lineRule="auto"/>
              <w:ind w:left="7"/>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3</w:t>
            </w:r>
          </w:p>
        </w:tc>
        <w:tc>
          <w:tcPr>
            <w:tcW w:w="2490" w:type="dxa"/>
          </w:tcPr>
          <w:p w:rsidR="0005229A" w:rsidRPr="0005229A" w:rsidRDefault="0005229A" w:rsidP="0005229A">
            <w:pPr>
              <w:widowControl w:val="0"/>
              <w:autoSpaceDE w:val="0"/>
              <w:autoSpaceDN w:val="0"/>
              <w:spacing w:after="0" w:line="240" w:lineRule="auto"/>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Qerret,</w:t>
            </w:r>
            <w:r w:rsidRPr="0005229A">
              <w:rPr>
                <w:rFonts w:ascii="Times New Roman" w:eastAsia="Times New Roman" w:hAnsi="Times New Roman" w:cs="Times New Roman"/>
                <w:spacing w:val="10"/>
                <w:sz w:val="19"/>
                <w:lang w:val="sq-AL"/>
              </w:rPr>
              <w:t xml:space="preserve"> </w:t>
            </w:r>
            <w:r w:rsidRPr="0005229A">
              <w:rPr>
                <w:rFonts w:ascii="Times New Roman" w:eastAsia="Times New Roman" w:hAnsi="Times New Roman" w:cs="Times New Roman"/>
                <w:sz w:val="19"/>
                <w:lang w:val="sq-AL"/>
              </w:rPr>
              <w:t>Bar-Kafe</w:t>
            </w:r>
          </w:p>
          <w:p w:rsidR="0005229A" w:rsidRPr="0005229A" w:rsidRDefault="0005229A" w:rsidP="0005229A">
            <w:pPr>
              <w:widowControl w:val="0"/>
              <w:autoSpaceDE w:val="0"/>
              <w:autoSpaceDN w:val="0"/>
              <w:spacing w:before="5" w:after="0" w:line="202"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Holliday</w:t>
            </w:r>
          </w:p>
        </w:tc>
        <w:tc>
          <w:tcPr>
            <w:tcW w:w="1317" w:type="dxa"/>
          </w:tcPr>
          <w:p w:rsidR="0005229A" w:rsidRPr="0005229A" w:rsidRDefault="0005229A" w:rsidP="0005229A">
            <w:pPr>
              <w:widowControl w:val="0"/>
              <w:autoSpaceDE w:val="0"/>
              <w:autoSpaceDN w:val="0"/>
              <w:spacing w:after="0" w:line="240" w:lineRule="auto"/>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233</w:t>
            </w:r>
          </w:p>
        </w:tc>
        <w:tc>
          <w:tcPr>
            <w:tcW w:w="1311" w:type="dxa"/>
          </w:tcPr>
          <w:p w:rsidR="0005229A" w:rsidRPr="0005229A" w:rsidRDefault="0005229A" w:rsidP="0005229A">
            <w:pPr>
              <w:widowControl w:val="0"/>
              <w:autoSpaceDE w:val="0"/>
              <w:autoSpaceDN w:val="0"/>
              <w:spacing w:after="0" w:line="240" w:lineRule="auto"/>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208</w:t>
            </w:r>
          </w:p>
        </w:tc>
        <w:tc>
          <w:tcPr>
            <w:tcW w:w="1187" w:type="dxa"/>
            <w:shd w:val="clear" w:color="auto" w:fill="auto"/>
          </w:tcPr>
          <w:p w:rsidR="0005229A" w:rsidRPr="0005229A" w:rsidRDefault="0005229A" w:rsidP="0005229A">
            <w:pPr>
              <w:spacing w:after="12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D</w:t>
            </w:r>
          </w:p>
        </w:tc>
        <w:tc>
          <w:tcPr>
            <w:tcW w:w="1524" w:type="dxa"/>
            <w:vMerge/>
            <w:tcBorders>
              <w:top w:val="nil"/>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bl>
    <w:p w:rsidR="0005229A" w:rsidRPr="0005229A" w:rsidRDefault="0005229A" w:rsidP="0005229A">
      <w:pPr>
        <w:spacing w:after="200" w:line="288" w:lineRule="auto"/>
        <w:rPr>
          <w:rFonts w:ascii="Times New Roman" w:eastAsiaTheme="minorEastAsia" w:hAnsi="Times New Roman" w:cs="Times New Roman"/>
          <w:sz w:val="24"/>
          <w:szCs w:val="24"/>
        </w:rPr>
      </w:pP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noProof/>
          <w:sz w:val="24"/>
          <w:szCs w:val="24"/>
        </w:rPr>
        <mc:AlternateContent>
          <mc:Choice Requires="wps">
            <w:drawing>
              <wp:anchor distT="0" distB="0" distL="114300" distR="114300" simplePos="0" relativeHeight="251621888" behindDoc="0" locked="0" layoutInCell="1" allowOverlap="1" wp14:anchorId="0573B859" wp14:editId="4373E21C">
                <wp:simplePos x="0" y="0"/>
                <wp:positionH relativeFrom="column">
                  <wp:posOffset>3086100</wp:posOffset>
                </wp:positionH>
                <wp:positionV relativeFrom="paragraph">
                  <wp:posOffset>38101</wp:posOffset>
                </wp:positionV>
                <wp:extent cx="3209925" cy="236220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3209925" cy="2362200"/>
                        </a:xfrm>
                        <a:prstGeom prst="rect">
                          <a:avLst/>
                        </a:prstGeom>
                        <a:solidFill>
                          <a:sysClr val="window" lastClr="FFFFFF"/>
                        </a:solidFill>
                        <a:ln w="12700" cap="flat" cmpd="sng" algn="ctr">
                          <a:solidFill>
                            <a:srgbClr val="70AD47"/>
                          </a:solidFill>
                          <a:prstDash val="solid"/>
                          <a:miter lim="800000"/>
                        </a:ln>
                        <a:effectLst/>
                      </wps:spPr>
                      <wps:txbx>
                        <w:txbxContent>
                          <w:p w:rsidR="0064059F" w:rsidRPr="000F6838" w:rsidRDefault="0064059F" w:rsidP="003C64EC">
                            <w:pPr>
                              <w:jc w:val="both"/>
                              <w:rPr>
                                <w:rFonts w:ascii="Times New Roman" w:hAnsi="Times New Roman" w:cs="Times New Roman"/>
                                <w:sz w:val="24"/>
                                <w:szCs w:val="24"/>
                              </w:rPr>
                            </w:pPr>
                            <w:r w:rsidRPr="000F6838">
                              <w:rPr>
                                <w:rFonts w:ascii="Times New Roman" w:hAnsi="Times New Roman" w:cs="Times New Roman"/>
                                <w:sz w:val="24"/>
                                <w:szCs w:val="24"/>
                              </w:rPr>
                              <w:t>Për plazhin e Qerretit , nuk kemi plazhe te kategorise A dhe  C.</w:t>
                            </w:r>
                          </w:p>
                          <w:p w:rsidR="0064059F" w:rsidRPr="000F6838" w:rsidRDefault="0064059F" w:rsidP="003C64EC">
                            <w:pPr>
                              <w:jc w:val="both"/>
                              <w:rPr>
                                <w:rFonts w:ascii="Times New Roman" w:hAnsi="Times New Roman" w:cs="Times New Roman"/>
                                <w:sz w:val="24"/>
                                <w:szCs w:val="24"/>
                              </w:rPr>
                            </w:pPr>
                            <w:r w:rsidRPr="000F6838">
                              <w:rPr>
                                <w:rFonts w:ascii="Times New Roman" w:hAnsi="Times New Roman" w:cs="Times New Roman"/>
                                <w:sz w:val="24"/>
                                <w:szCs w:val="24"/>
                              </w:rPr>
                              <w:t>Numri stacioneve të monitorimit që i përkasin kategorisë</w:t>
                            </w:r>
                            <w:r>
                              <w:rPr>
                                <w:rFonts w:ascii="Times New Roman" w:hAnsi="Times New Roman" w:cs="Times New Roman"/>
                                <w:sz w:val="24"/>
                                <w:szCs w:val="24"/>
                              </w:rPr>
                              <w:t>:</w:t>
                            </w:r>
                            <w:r w:rsidRPr="000F6838">
                              <w:rPr>
                                <w:rFonts w:ascii="Times New Roman" w:hAnsi="Times New Roman" w:cs="Times New Roman"/>
                                <w:sz w:val="24"/>
                                <w:szCs w:val="24"/>
                              </w:rPr>
                              <w:t xml:space="preserve">  </w:t>
                            </w:r>
                          </w:p>
                          <w:p w:rsidR="0064059F" w:rsidRPr="000F6838" w:rsidRDefault="0064059F" w:rsidP="0005229A">
                            <w:pPr>
                              <w:rPr>
                                <w:rFonts w:ascii="Times New Roman" w:hAnsi="Times New Roman" w:cs="Times New Roman"/>
                                <w:sz w:val="24"/>
                                <w:szCs w:val="24"/>
                              </w:rPr>
                            </w:pPr>
                            <w:r w:rsidRPr="000F6838">
                              <w:rPr>
                                <w:rFonts w:ascii="Times New Roman" w:hAnsi="Times New Roman" w:cs="Times New Roman"/>
                                <w:sz w:val="24"/>
                                <w:szCs w:val="24"/>
                              </w:rPr>
                              <w:t>B – Cilësia e mirë e ujërave për vitin 2025 është më  i lartë në krahasim me vitet  2024. Vitet e tjera nuk ka plazhe të kësaj kategorie.</w:t>
                            </w:r>
                          </w:p>
                          <w:p w:rsidR="0064059F" w:rsidRPr="000F6838" w:rsidRDefault="0064059F" w:rsidP="0005229A">
                            <w:pPr>
                              <w:rPr>
                                <w:rFonts w:ascii="Times New Roman" w:hAnsi="Times New Roman" w:cs="Times New Roman"/>
                                <w:sz w:val="24"/>
                                <w:szCs w:val="24"/>
                              </w:rPr>
                            </w:pPr>
                            <w:r w:rsidRPr="000F6838">
                              <w:rPr>
                                <w:rFonts w:ascii="Times New Roman" w:hAnsi="Times New Roman" w:cs="Times New Roman"/>
                                <w:sz w:val="24"/>
                                <w:szCs w:val="24"/>
                              </w:rPr>
                              <w:t>D- Cilësia  keqe</w:t>
                            </w:r>
                            <w:r>
                              <w:rPr>
                                <w:rFonts w:ascii="Times New Roman" w:hAnsi="Times New Roman" w:cs="Times New Roman"/>
                                <w:sz w:val="24"/>
                                <w:szCs w:val="24"/>
                              </w:rPr>
                              <w:t>/ Masa të menjëherëshme, numri i</w:t>
                            </w:r>
                            <w:r w:rsidRPr="000F6838">
                              <w:rPr>
                                <w:rFonts w:ascii="Times New Roman" w:hAnsi="Times New Roman" w:cs="Times New Roman"/>
                                <w:sz w:val="24"/>
                                <w:szCs w:val="24"/>
                              </w:rPr>
                              <w:t xml:space="preserve"> stacioneve  për vitin 2025 ës</w:t>
                            </w:r>
                            <w:r>
                              <w:rPr>
                                <w:rFonts w:ascii="Times New Roman" w:hAnsi="Times New Roman" w:cs="Times New Roman"/>
                                <w:sz w:val="24"/>
                                <w:szCs w:val="24"/>
                              </w:rPr>
                              <w:t>htë më i ulët se viti 2023 dhe i</w:t>
                            </w:r>
                            <w:r w:rsidRPr="000F6838">
                              <w:rPr>
                                <w:rFonts w:ascii="Times New Roman" w:hAnsi="Times New Roman" w:cs="Times New Roman"/>
                                <w:sz w:val="24"/>
                                <w:szCs w:val="24"/>
                              </w:rPr>
                              <w:t xml:space="preserve"> barabartë  me vitin 2024.</w:t>
                            </w:r>
                          </w:p>
                          <w:p w:rsidR="0064059F" w:rsidRDefault="0064059F" w:rsidP="000522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73B859" id="Rectangle 31" o:spid="_x0000_s1090" style="position:absolute;margin-left:243pt;margin-top:3pt;width:252.75pt;height:186pt;z-index:251621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" fillcolor="window" strokecolor="#70ad47" strokeweight="1pt">
                <v:textbox>
                  <w:txbxContent>
                    <w:p w:rsidR="0064059F" w:rsidRPr="000F6838" w:rsidRDefault="0064059F" w:rsidP="003C64EC">
                      <w:pPr>
                        <w:jc w:val="both"/>
                        <w:rPr>
                          <w:rFonts w:ascii="Times New Roman" w:hAnsi="Times New Roman" w:cs="Times New Roman"/>
                          <w:sz w:val="24"/>
                          <w:szCs w:val="24"/>
                        </w:rPr>
                      </w:pPr>
                      <w:r w:rsidRPr="000F6838">
                        <w:rPr>
                          <w:rFonts w:ascii="Times New Roman" w:hAnsi="Times New Roman" w:cs="Times New Roman"/>
                          <w:sz w:val="24"/>
                          <w:szCs w:val="24"/>
                        </w:rPr>
                        <w:t>Për plazhin e Qerretit , nuk kemi plazhe te kategorise A dhe  C.</w:t>
                      </w:r>
                    </w:p>
                    <w:p w:rsidR="0064059F" w:rsidRPr="000F6838" w:rsidRDefault="0064059F" w:rsidP="003C64EC">
                      <w:pPr>
                        <w:jc w:val="both"/>
                        <w:rPr>
                          <w:rFonts w:ascii="Times New Roman" w:hAnsi="Times New Roman" w:cs="Times New Roman"/>
                          <w:sz w:val="24"/>
                          <w:szCs w:val="24"/>
                        </w:rPr>
                      </w:pPr>
                      <w:r w:rsidRPr="000F6838">
                        <w:rPr>
                          <w:rFonts w:ascii="Times New Roman" w:hAnsi="Times New Roman" w:cs="Times New Roman"/>
                          <w:sz w:val="24"/>
                          <w:szCs w:val="24"/>
                        </w:rPr>
                        <w:t>Numri stacioneve të monitorimit që i përkasin kategorisë</w:t>
                      </w:r>
                      <w:r>
                        <w:rPr>
                          <w:rFonts w:ascii="Times New Roman" w:hAnsi="Times New Roman" w:cs="Times New Roman"/>
                          <w:sz w:val="24"/>
                          <w:szCs w:val="24"/>
                        </w:rPr>
                        <w:t>:</w:t>
                      </w:r>
                      <w:r w:rsidRPr="000F6838">
                        <w:rPr>
                          <w:rFonts w:ascii="Times New Roman" w:hAnsi="Times New Roman" w:cs="Times New Roman"/>
                          <w:sz w:val="24"/>
                          <w:szCs w:val="24"/>
                        </w:rPr>
                        <w:t xml:space="preserve">  </w:t>
                      </w:r>
                    </w:p>
                    <w:p w:rsidR="0064059F" w:rsidRPr="000F6838" w:rsidRDefault="0064059F" w:rsidP="0005229A">
                      <w:pPr>
                        <w:rPr>
                          <w:rFonts w:ascii="Times New Roman" w:hAnsi="Times New Roman" w:cs="Times New Roman"/>
                          <w:sz w:val="24"/>
                          <w:szCs w:val="24"/>
                        </w:rPr>
                      </w:pPr>
                      <w:r w:rsidRPr="000F6838">
                        <w:rPr>
                          <w:rFonts w:ascii="Times New Roman" w:hAnsi="Times New Roman" w:cs="Times New Roman"/>
                          <w:sz w:val="24"/>
                          <w:szCs w:val="24"/>
                        </w:rPr>
                        <w:t>B – Cilësia e mirë e ujërave për vitin 2025 është më  i lartë në krahasim me vitet  2024. Vitet e tjera nuk ka plazhe të kësaj kategorie.</w:t>
                      </w:r>
                    </w:p>
                    <w:p w:rsidR="0064059F" w:rsidRPr="000F6838" w:rsidRDefault="0064059F" w:rsidP="0005229A">
                      <w:pPr>
                        <w:rPr>
                          <w:rFonts w:ascii="Times New Roman" w:hAnsi="Times New Roman" w:cs="Times New Roman"/>
                          <w:sz w:val="24"/>
                          <w:szCs w:val="24"/>
                        </w:rPr>
                      </w:pPr>
                      <w:r w:rsidRPr="000F6838">
                        <w:rPr>
                          <w:rFonts w:ascii="Times New Roman" w:hAnsi="Times New Roman" w:cs="Times New Roman"/>
                          <w:sz w:val="24"/>
                          <w:szCs w:val="24"/>
                        </w:rPr>
                        <w:t>D- Cilësia  keqe</w:t>
                      </w:r>
                      <w:r>
                        <w:rPr>
                          <w:rFonts w:ascii="Times New Roman" w:hAnsi="Times New Roman" w:cs="Times New Roman"/>
                          <w:sz w:val="24"/>
                          <w:szCs w:val="24"/>
                        </w:rPr>
                        <w:t>/ Masa të menjëherëshme, numri i</w:t>
                      </w:r>
                      <w:r w:rsidRPr="000F6838">
                        <w:rPr>
                          <w:rFonts w:ascii="Times New Roman" w:hAnsi="Times New Roman" w:cs="Times New Roman"/>
                          <w:sz w:val="24"/>
                          <w:szCs w:val="24"/>
                        </w:rPr>
                        <w:t xml:space="preserve"> stacioneve  për vitin 2025 ës</w:t>
                      </w:r>
                      <w:r>
                        <w:rPr>
                          <w:rFonts w:ascii="Times New Roman" w:hAnsi="Times New Roman" w:cs="Times New Roman"/>
                          <w:sz w:val="24"/>
                          <w:szCs w:val="24"/>
                        </w:rPr>
                        <w:t>htë më i ulët se viti 2023 dhe i</w:t>
                      </w:r>
                      <w:r w:rsidRPr="000F6838">
                        <w:rPr>
                          <w:rFonts w:ascii="Times New Roman" w:hAnsi="Times New Roman" w:cs="Times New Roman"/>
                          <w:sz w:val="24"/>
                          <w:szCs w:val="24"/>
                        </w:rPr>
                        <w:t xml:space="preserve"> barabartë  me vitin 2024.</w:t>
                      </w:r>
                    </w:p>
                    <w:p w:rsidR="0064059F" w:rsidRDefault="0064059F" w:rsidP="0005229A">
                      <w:pPr>
                        <w:jc w:val="center"/>
                      </w:pPr>
                    </w:p>
                  </w:txbxContent>
                </v:textbox>
              </v:rect>
            </w:pict>
          </mc:Fallback>
        </mc:AlternateContent>
      </w:r>
      <w:r w:rsidRPr="0005229A">
        <w:rPr>
          <w:rFonts w:ascii="Times New Roman" w:eastAsiaTheme="minorEastAsia" w:hAnsi="Times New Roman" w:cs="Times New Roman"/>
          <w:noProof/>
          <w:sz w:val="24"/>
          <w:szCs w:val="24"/>
        </w:rPr>
        <w:drawing>
          <wp:inline distT="0" distB="0" distL="0" distR="0" wp14:anchorId="4FB6135A" wp14:editId="171152F7">
            <wp:extent cx="2822575" cy="24574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822575" cy="2457450"/>
                    </a:xfrm>
                    <a:prstGeom prst="rect">
                      <a:avLst/>
                    </a:prstGeom>
                    <a:noFill/>
                  </pic:spPr>
                </pic:pic>
              </a:graphicData>
            </a:graphic>
          </wp:inline>
        </w:drawing>
      </w:r>
    </w:p>
    <w:p w:rsidR="0005229A" w:rsidRDefault="0005229A" w:rsidP="001E2AD3">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PLAZHI I SPILLESË: Plazhi në përgjithësi ishte i sistemuar me dhoma ndërrimi veshje në disa zona dhe kosha mbeturinash në brezin ranor. Nuk u vunë re grumbullime të mbeturinave në vijën bregdetare, rëra ishte e pluguar, me dushe, brezi ranor i pastër pa grumbuj leshterikësh.  Gjithashtu u konstatua prezencë e afishimit të rregullave për zbatim nga pushuesit.</w:t>
      </w:r>
    </w:p>
    <w:p w:rsidR="001E2AD3" w:rsidRPr="0005229A" w:rsidRDefault="001E2AD3" w:rsidP="001E2AD3">
      <w:pPr>
        <w:spacing w:after="0" w:line="240" w:lineRule="auto"/>
        <w:jc w:val="both"/>
        <w:rPr>
          <w:rFonts w:ascii="Times New Roman" w:eastAsiaTheme="minorEastAsia" w:hAnsi="Times New Roman" w:cs="Times New Roman"/>
          <w:sz w:val="24"/>
          <w:szCs w:val="24"/>
        </w:rPr>
      </w:pPr>
    </w:p>
    <w:p w:rsidR="0005229A" w:rsidRPr="0005229A" w:rsidRDefault="0005229A" w:rsidP="0005229A">
      <w:pPr>
        <w:spacing w:after="200" w:line="288" w:lineRule="auto"/>
        <w:rPr>
          <w:rFonts w:ascii="Times New Roman" w:eastAsiaTheme="minorEastAsia" w:hAnsi="Times New Roman" w:cs="Times New Roman"/>
          <w:b/>
          <w:sz w:val="24"/>
          <w:szCs w:val="24"/>
        </w:rPr>
      </w:pPr>
      <w:r w:rsidRPr="0005229A">
        <w:rPr>
          <w:rFonts w:ascii="Times New Roman" w:eastAsiaTheme="minorEastAsia" w:hAnsi="Times New Roman" w:cs="Times New Roman"/>
          <w:sz w:val="24"/>
          <w:szCs w:val="24"/>
        </w:rPr>
        <w:t xml:space="preserve">                            </w:t>
      </w:r>
      <w:r w:rsidRPr="0005229A">
        <w:rPr>
          <w:rFonts w:ascii="Times New Roman" w:eastAsiaTheme="minorEastAsia" w:hAnsi="Times New Roman" w:cs="Times New Roman"/>
          <w:b/>
          <w:sz w:val="24"/>
          <w:szCs w:val="24"/>
        </w:rPr>
        <w:t>●Plazhi i Spillesë</w:t>
      </w:r>
    </w:p>
    <w:tbl>
      <w:tblPr>
        <w:tblW w:w="0" w:type="auto"/>
        <w:tblInd w:w="619" w:type="dxa"/>
        <w:tblLayout w:type="fixed"/>
        <w:tblCellMar>
          <w:left w:w="0" w:type="dxa"/>
          <w:right w:w="0" w:type="dxa"/>
        </w:tblCellMar>
        <w:tblLook w:val="01E0" w:firstRow="1" w:lastRow="1" w:firstColumn="1" w:lastColumn="1" w:noHBand="0" w:noVBand="0"/>
      </w:tblPr>
      <w:tblGrid>
        <w:gridCol w:w="1162"/>
        <w:gridCol w:w="2031"/>
        <w:gridCol w:w="1254"/>
        <w:gridCol w:w="1187"/>
        <w:gridCol w:w="1109"/>
        <w:gridCol w:w="1562"/>
      </w:tblGrid>
      <w:tr w:rsidR="0005229A" w:rsidRPr="0005229A" w:rsidTr="00DD196F">
        <w:trPr>
          <w:trHeight w:val="740"/>
        </w:trPr>
        <w:tc>
          <w:tcPr>
            <w:tcW w:w="1162" w:type="dxa"/>
            <w:tcBorders>
              <w:top w:val="single" w:sz="4" w:space="0" w:color="auto"/>
              <w:left w:val="single" w:sz="4" w:space="0" w:color="auto"/>
              <w:bottom w:val="single" w:sz="4" w:space="0" w:color="000000"/>
              <w:right w:val="single" w:sz="4" w:space="0" w:color="000000"/>
            </w:tcBorders>
            <w:shd w:val="clear" w:color="auto" w:fill="FAE3D4"/>
          </w:tcPr>
          <w:p w:rsidR="0005229A" w:rsidRPr="0005229A" w:rsidRDefault="0005229A" w:rsidP="0005229A">
            <w:pPr>
              <w:widowControl w:val="0"/>
              <w:autoSpaceDE w:val="0"/>
              <w:autoSpaceDN w:val="0"/>
              <w:spacing w:before="112" w:after="0" w:line="240" w:lineRule="auto"/>
              <w:ind w:left="66" w:right="67"/>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Nr.</w:t>
            </w:r>
          </w:p>
          <w:p w:rsidR="0005229A" w:rsidRPr="0005229A" w:rsidRDefault="0005229A" w:rsidP="0005229A">
            <w:pPr>
              <w:widowControl w:val="0"/>
              <w:autoSpaceDE w:val="0"/>
              <w:autoSpaceDN w:val="0"/>
              <w:spacing w:before="5" w:after="0" w:line="240" w:lineRule="auto"/>
              <w:ind w:left="67" w:right="67"/>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Stacioneve</w:t>
            </w:r>
          </w:p>
        </w:tc>
        <w:tc>
          <w:tcPr>
            <w:tcW w:w="2031" w:type="dxa"/>
            <w:tcBorders>
              <w:top w:val="single" w:sz="4" w:space="0" w:color="auto"/>
              <w:left w:val="single" w:sz="4" w:space="0" w:color="000000"/>
              <w:bottom w:val="single" w:sz="4" w:space="0" w:color="000000"/>
              <w:right w:val="single" w:sz="4" w:space="0" w:color="000000"/>
            </w:tcBorders>
            <w:shd w:val="clear" w:color="auto" w:fill="FAE3D4"/>
          </w:tcPr>
          <w:p w:rsidR="0005229A" w:rsidRPr="0005229A" w:rsidRDefault="0005229A" w:rsidP="0005229A">
            <w:pPr>
              <w:widowControl w:val="0"/>
              <w:autoSpaceDE w:val="0"/>
              <w:autoSpaceDN w:val="0"/>
              <w:spacing w:before="5" w:after="0" w:line="240" w:lineRule="auto"/>
              <w:rPr>
                <w:rFonts w:ascii="Times New Roman" w:eastAsia="Times New Roman" w:hAnsi="Times New Roman" w:cs="Times New Roman"/>
                <w:b/>
                <w:sz w:val="19"/>
                <w:lang w:val="sq-AL"/>
              </w:rPr>
            </w:pPr>
          </w:p>
          <w:p w:rsidR="0005229A" w:rsidRPr="0005229A" w:rsidRDefault="0005229A" w:rsidP="0005229A">
            <w:pPr>
              <w:widowControl w:val="0"/>
              <w:autoSpaceDE w:val="0"/>
              <w:autoSpaceDN w:val="0"/>
              <w:spacing w:before="1" w:after="0" w:line="240" w:lineRule="auto"/>
              <w:ind w:left="661" w:right="656"/>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Vendi</w:t>
            </w:r>
          </w:p>
        </w:tc>
        <w:tc>
          <w:tcPr>
            <w:tcW w:w="1254" w:type="dxa"/>
            <w:tcBorders>
              <w:top w:val="single" w:sz="4" w:space="0" w:color="auto"/>
              <w:left w:val="single" w:sz="4" w:space="0" w:color="000000"/>
              <w:bottom w:val="single" w:sz="4" w:space="0" w:color="000000"/>
              <w:right w:val="single" w:sz="4" w:space="0" w:color="000000"/>
            </w:tcBorders>
            <w:shd w:val="clear" w:color="auto" w:fill="FAE3D4"/>
          </w:tcPr>
          <w:p w:rsidR="0005229A" w:rsidRPr="0005229A" w:rsidRDefault="0005229A" w:rsidP="0005229A">
            <w:pPr>
              <w:widowControl w:val="0"/>
              <w:autoSpaceDE w:val="0"/>
              <w:autoSpaceDN w:val="0"/>
              <w:spacing w:before="1" w:after="0" w:line="240" w:lineRule="auto"/>
              <w:ind w:left="164"/>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FC</w:t>
            </w:r>
            <w:r w:rsidRPr="0005229A">
              <w:rPr>
                <w:rFonts w:ascii="Times New Roman" w:eastAsia="Times New Roman" w:hAnsi="Times New Roman" w:cs="Times New Roman"/>
                <w:b/>
                <w:spacing w:val="4"/>
                <w:sz w:val="19"/>
                <w:lang w:val="sq-AL"/>
              </w:rPr>
              <w:t xml:space="preserve"> </w:t>
            </w:r>
            <w:r w:rsidRPr="0005229A">
              <w:rPr>
                <w:rFonts w:ascii="Times New Roman" w:eastAsia="Times New Roman" w:hAnsi="Times New Roman" w:cs="Times New Roman"/>
                <w:b/>
                <w:sz w:val="19"/>
                <w:lang w:val="sq-AL"/>
              </w:rPr>
              <w:t>90%</w:t>
            </w:r>
            <w:r w:rsidRPr="0005229A">
              <w:rPr>
                <w:rFonts w:ascii="Times New Roman" w:eastAsia="Times New Roman" w:hAnsi="Times New Roman" w:cs="Times New Roman"/>
                <w:b/>
                <w:spacing w:val="4"/>
                <w:sz w:val="19"/>
                <w:lang w:val="sq-AL"/>
              </w:rPr>
              <w:t xml:space="preserve"> </w:t>
            </w:r>
            <w:r w:rsidRPr="0005229A">
              <w:rPr>
                <w:rFonts w:ascii="Times New Roman" w:eastAsia="Times New Roman" w:hAnsi="Times New Roman" w:cs="Times New Roman"/>
                <w:b/>
                <w:sz w:val="19"/>
                <w:lang w:val="sq-AL"/>
              </w:rPr>
              <w:t>-</w:t>
            </w:r>
          </w:p>
          <w:p w:rsidR="0005229A" w:rsidRPr="0005229A" w:rsidRDefault="0005229A" w:rsidP="0005229A">
            <w:pPr>
              <w:widowControl w:val="0"/>
              <w:autoSpaceDE w:val="0"/>
              <w:autoSpaceDN w:val="0"/>
              <w:spacing w:before="5" w:after="0" w:line="240" w:lineRule="auto"/>
              <w:ind w:left="108"/>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Norma</w:t>
            </w:r>
            <w:r w:rsidRPr="0005229A">
              <w:rPr>
                <w:rFonts w:ascii="Times New Roman" w:eastAsia="Times New Roman" w:hAnsi="Times New Roman" w:cs="Times New Roman"/>
                <w:b/>
                <w:spacing w:val="8"/>
                <w:sz w:val="19"/>
                <w:lang w:val="sq-AL"/>
              </w:rPr>
              <w:t xml:space="preserve"> </w:t>
            </w:r>
            <w:r w:rsidRPr="0005229A">
              <w:rPr>
                <w:rFonts w:ascii="Times New Roman" w:eastAsia="Times New Roman" w:hAnsi="Times New Roman" w:cs="Times New Roman"/>
                <w:b/>
                <w:sz w:val="19"/>
                <w:lang w:val="sq-AL"/>
              </w:rPr>
              <w:t>250</w:t>
            </w:r>
          </w:p>
        </w:tc>
        <w:tc>
          <w:tcPr>
            <w:tcW w:w="1187" w:type="dxa"/>
            <w:tcBorders>
              <w:top w:val="single" w:sz="4" w:space="0" w:color="auto"/>
              <w:left w:val="single" w:sz="4" w:space="0" w:color="000000"/>
              <w:bottom w:val="single" w:sz="4" w:space="0" w:color="000000"/>
              <w:right w:val="single" w:sz="4" w:space="0" w:color="000000"/>
            </w:tcBorders>
            <w:shd w:val="clear" w:color="auto" w:fill="FAE3D4"/>
          </w:tcPr>
          <w:p w:rsidR="0005229A" w:rsidRPr="0005229A" w:rsidRDefault="0005229A" w:rsidP="0005229A">
            <w:pPr>
              <w:widowControl w:val="0"/>
              <w:autoSpaceDE w:val="0"/>
              <w:autoSpaceDN w:val="0"/>
              <w:spacing w:before="1" w:after="0" w:line="240" w:lineRule="auto"/>
              <w:ind w:left="145" w:right="143"/>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IE</w:t>
            </w:r>
            <w:r w:rsidRPr="0005229A">
              <w:rPr>
                <w:rFonts w:ascii="Times New Roman" w:eastAsia="Times New Roman" w:hAnsi="Times New Roman" w:cs="Times New Roman"/>
                <w:b/>
                <w:spacing w:val="4"/>
                <w:sz w:val="19"/>
                <w:lang w:val="sq-AL"/>
              </w:rPr>
              <w:t xml:space="preserve"> </w:t>
            </w:r>
            <w:r w:rsidRPr="0005229A">
              <w:rPr>
                <w:rFonts w:ascii="Times New Roman" w:eastAsia="Times New Roman" w:hAnsi="Times New Roman" w:cs="Times New Roman"/>
                <w:b/>
                <w:sz w:val="19"/>
                <w:lang w:val="sq-AL"/>
              </w:rPr>
              <w:t>95%</w:t>
            </w:r>
            <w:r w:rsidRPr="0005229A">
              <w:rPr>
                <w:rFonts w:ascii="Times New Roman" w:eastAsia="Times New Roman" w:hAnsi="Times New Roman" w:cs="Times New Roman"/>
                <w:b/>
                <w:spacing w:val="3"/>
                <w:sz w:val="19"/>
                <w:lang w:val="sq-AL"/>
              </w:rPr>
              <w:t xml:space="preserve"> </w:t>
            </w:r>
            <w:r w:rsidRPr="0005229A">
              <w:rPr>
                <w:rFonts w:ascii="Times New Roman" w:eastAsia="Times New Roman" w:hAnsi="Times New Roman" w:cs="Times New Roman"/>
                <w:b/>
                <w:sz w:val="19"/>
                <w:lang w:val="sq-AL"/>
              </w:rPr>
              <w:t>-</w:t>
            </w:r>
          </w:p>
          <w:p w:rsidR="0005229A" w:rsidRPr="0005229A" w:rsidRDefault="0005229A" w:rsidP="0005229A">
            <w:pPr>
              <w:widowControl w:val="0"/>
              <w:autoSpaceDE w:val="0"/>
              <w:autoSpaceDN w:val="0"/>
              <w:spacing w:after="0" w:line="220" w:lineRule="atLeast"/>
              <w:ind w:left="145" w:right="141"/>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Norma</w:t>
            </w:r>
            <w:r w:rsidRPr="0005229A">
              <w:rPr>
                <w:rFonts w:ascii="Times New Roman" w:eastAsia="Times New Roman" w:hAnsi="Times New Roman" w:cs="Times New Roman"/>
                <w:b/>
                <w:spacing w:val="-45"/>
                <w:sz w:val="19"/>
                <w:lang w:val="sq-AL"/>
              </w:rPr>
              <w:t xml:space="preserve"> </w:t>
            </w:r>
            <w:r w:rsidRPr="0005229A">
              <w:rPr>
                <w:rFonts w:ascii="Times New Roman" w:eastAsia="Times New Roman" w:hAnsi="Times New Roman" w:cs="Times New Roman"/>
                <w:b/>
                <w:sz w:val="19"/>
                <w:lang w:val="sq-AL"/>
              </w:rPr>
              <w:t>100</w:t>
            </w:r>
          </w:p>
        </w:tc>
        <w:tc>
          <w:tcPr>
            <w:tcW w:w="1109" w:type="dxa"/>
            <w:tcBorders>
              <w:top w:val="single" w:sz="4" w:space="0" w:color="auto"/>
              <w:left w:val="single" w:sz="4" w:space="0" w:color="000000"/>
              <w:bottom w:val="single" w:sz="4" w:space="0" w:color="auto"/>
              <w:right w:val="single" w:sz="4" w:space="0" w:color="000000"/>
            </w:tcBorders>
            <w:shd w:val="clear" w:color="auto" w:fill="FAE3D4"/>
          </w:tcPr>
          <w:p w:rsidR="0005229A" w:rsidRPr="0005229A" w:rsidRDefault="0005229A" w:rsidP="0005229A">
            <w:pPr>
              <w:widowControl w:val="0"/>
              <w:autoSpaceDE w:val="0"/>
              <w:autoSpaceDN w:val="0"/>
              <w:spacing w:before="1" w:after="0" w:line="240" w:lineRule="auto"/>
              <w:ind w:left="85"/>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Kategoria</w:t>
            </w:r>
          </w:p>
        </w:tc>
        <w:tc>
          <w:tcPr>
            <w:tcW w:w="1562" w:type="dxa"/>
            <w:tcBorders>
              <w:top w:val="single" w:sz="4" w:space="0" w:color="auto"/>
              <w:left w:val="single" w:sz="4" w:space="0" w:color="000000"/>
              <w:bottom w:val="single" w:sz="4" w:space="0" w:color="000000"/>
              <w:right w:val="single" w:sz="4" w:space="0" w:color="auto"/>
            </w:tcBorders>
            <w:shd w:val="clear" w:color="auto" w:fill="FAE3D4"/>
          </w:tcPr>
          <w:p w:rsidR="0005229A" w:rsidRPr="0005229A" w:rsidRDefault="0005229A" w:rsidP="0005229A">
            <w:pPr>
              <w:widowControl w:val="0"/>
              <w:autoSpaceDE w:val="0"/>
              <w:autoSpaceDN w:val="0"/>
              <w:spacing w:before="1" w:after="0" w:line="244" w:lineRule="auto"/>
              <w:ind w:left="160" w:right="121" w:firstLine="65"/>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Përqindja</w:t>
            </w:r>
            <w:r w:rsidRPr="0005229A">
              <w:rPr>
                <w:rFonts w:ascii="Times New Roman" w:eastAsia="Times New Roman" w:hAnsi="Times New Roman" w:cs="Times New Roman"/>
                <w:b/>
                <w:spacing w:val="7"/>
                <w:sz w:val="19"/>
                <w:lang w:val="sq-AL"/>
              </w:rPr>
              <w:t xml:space="preserve"> </w:t>
            </w:r>
            <w:r w:rsidRPr="0005229A">
              <w:rPr>
                <w:rFonts w:ascii="Times New Roman" w:eastAsia="Times New Roman" w:hAnsi="Times New Roman" w:cs="Times New Roman"/>
                <w:b/>
                <w:sz w:val="19"/>
                <w:lang w:val="sq-AL"/>
              </w:rPr>
              <w:t>e</w:t>
            </w:r>
            <w:r w:rsidRPr="0005229A">
              <w:rPr>
                <w:rFonts w:ascii="Times New Roman" w:eastAsia="Times New Roman" w:hAnsi="Times New Roman" w:cs="Times New Roman"/>
                <w:b/>
                <w:spacing w:val="1"/>
                <w:sz w:val="19"/>
                <w:lang w:val="sq-AL"/>
              </w:rPr>
              <w:t xml:space="preserve"> </w:t>
            </w:r>
            <w:r w:rsidRPr="0005229A">
              <w:rPr>
                <w:rFonts w:ascii="Times New Roman" w:eastAsia="Times New Roman" w:hAnsi="Times New Roman" w:cs="Times New Roman"/>
                <w:b/>
                <w:sz w:val="19"/>
                <w:lang w:val="sq-AL"/>
              </w:rPr>
              <w:t>stacioneve</w:t>
            </w:r>
            <w:r w:rsidRPr="0005229A">
              <w:rPr>
                <w:rFonts w:ascii="Times New Roman" w:eastAsia="Times New Roman" w:hAnsi="Times New Roman" w:cs="Times New Roman"/>
                <w:b/>
                <w:spacing w:val="5"/>
                <w:sz w:val="19"/>
                <w:lang w:val="sq-AL"/>
              </w:rPr>
              <w:t xml:space="preserve"> </w:t>
            </w:r>
            <w:r w:rsidRPr="0005229A">
              <w:rPr>
                <w:rFonts w:ascii="Times New Roman" w:eastAsia="Times New Roman" w:hAnsi="Times New Roman" w:cs="Times New Roman"/>
                <w:b/>
                <w:sz w:val="19"/>
                <w:lang w:val="sq-AL"/>
              </w:rPr>
              <w:t>%</w:t>
            </w:r>
          </w:p>
        </w:tc>
      </w:tr>
      <w:tr w:rsidR="0005229A" w:rsidRPr="0005229A" w:rsidTr="00DD196F">
        <w:trPr>
          <w:trHeight w:val="482"/>
        </w:trPr>
        <w:tc>
          <w:tcPr>
            <w:tcW w:w="1162" w:type="dxa"/>
            <w:tcBorders>
              <w:top w:val="single" w:sz="4" w:space="0" w:color="000000"/>
              <w:left w:val="single" w:sz="4" w:space="0" w:color="auto"/>
              <w:bottom w:val="single" w:sz="4" w:space="0" w:color="000000"/>
              <w:right w:val="single" w:sz="4" w:space="0" w:color="000000"/>
            </w:tcBorders>
          </w:tcPr>
          <w:p w:rsidR="0005229A" w:rsidRPr="0005229A" w:rsidRDefault="0005229A" w:rsidP="0005229A">
            <w:pPr>
              <w:widowControl w:val="0"/>
              <w:autoSpaceDE w:val="0"/>
              <w:autoSpaceDN w:val="0"/>
              <w:spacing w:before="112" w:after="0" w:line="240" w:lineRule="auto"/>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1</w:t>
            </w:r>
          </w:p>
        </w:tc>
        <w:tc>
          <w:tcPr>
            <w:tcW w:w="2031" w:type="dxa"/>
            <w:tcBorders>
              <w:top w:val="single" w:sz="4" w:space="0" w:color="000000"/>
              <w:left w:val="single" w:sz="4" w:space="0" w:color="000000"/>
              <w:bottom w:val="single" w:sz="4" w:space="0" w:color="000000"/>
              <w:right w:val="single" w:sz="4" w:space="0" w:color="000000"/>
            </w:tcBorders>
          </w:tcPr>
          <w:p w:rsidR="0005229A" w:rsidRPr="0005229A" w:rsidRDefault="0005229A" w:rsidP="0005229A">
            <w:pPr>
              <w:widowControl w:val="0"/>
              <w:autoSpaceDE w:val="0"/>
              <w:autoSpaceDN w:val="0"/>
              <w:spacing w:after="0" w:line="240" w:lineRule="auto"/>
              <w:ind w:left="8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Spille</w:t>
            </w:r>
            <w:r w:rsidRPr="0005229A">
              <w:rPr>
                <w:rFonts w:ascii="Times New Roman" w:eastAsia="Times New Roman" w:hAnsi="Times New Roman" w:cs="Times New Roman"/>
                <w:spacing w:val="9"/>
                <w:sz w:val="19"/>
                <w:lang w:val="sq-AL"/>
              </w:rPr>
              <w:t xml:space="preserve"> </w:t>
            </w:r>
            <w:r w:rsidRPr="0005229A">
              <w:rPr>
                <w:rFonts w:ascii="Times New Roman" w:eastAsia="Times New Roman" w:hAnsi="Times New Roman" w:cs="Times New Roman"/>
                <w:sz w:val="19"/>
                <w:lang w:val="sq-AL"/>
              </w:rPr>
              <w:t>Djathtas,</w:t>
            </w:r>
            <w:r w:rsidRPr="0005229A">
              <w:rPr>
                <w:rFonts w:ascii="Times New Roman" w:eastAsia="Times New Roman" w:hAnsi="Times New Roman" w:cs="Times New Roman"/>
                <w:spacing w:val="9"/>
                <w:sz w:val="19"/>
                <w:lang w:val="sq-AL"/>
              </w:rPr>
              <w:t xml:space="preserve"> </w:t>
            </w:r>
            <w:r w:rsidRPr="0005229A">
              <w:rPr>
                <w:rFonts w:ascii="Times New Roman" w:eastAsia="Times New Roman" w:hAnsi="Times New Roman" w:cs="Times New Roman"/>
                <w:sz w:val="19"/>
                <w:lang w:val="sq-AL"/>
              </w:rPr>
              <w:t>Bar-</w:t>
            </w:r>
          </w:p>
          <w:p w:rsidR="0005229A" w:rsidRPr="0005229A" w:rsidRDefault="0005229A" w:rsidP="0005229A">
            <w:pPr>
              <w:widowControl w:val="0"/>
              <w:autoSpaceDE w:val="0"/>
              <w:autoSpaceDN w:val="0"/>
              <w:spacing w:before="5" w:after="0" w:line="191" w:lineRule="exact"/>
              <w:ind w:left="8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Restorant</w:t>
            </w:r>
            <w:r w:rsidRPr="0005229A">
              <w:rPr>
                <w:rFonts w:ascii="Times New Roman" w:eastAsia="Times New Roman" w:hAnsi="Times New Roman" w:cs="Times New Roman"/>
                <w:spacing w:val="11"/>
                <w:sz w:val="19"/>
                <w:lang w:val="sq-AL"/>
              </w:rPr>
              <w:t xml:space="preserve"> </w:t>
            </w:r>
            <w:r w:rsidRPr="0005229A">
              <w:rPr>
                <w:rFonts w:ascii="Times New Roman" w:eastAsia="Times New Roman" w:hAnsi="Times New Roman" w:cs="Times New Roman"/>
                <w:sz w:val="19"/>
                <w:lang w:val="sq-AL"/>
              </w:rPr>
              <w:t>Martini</w:t>
            </w:r>
          </w:p>
        </w:tc>
        <w:tc>
          <w:tcPr>
            <w:tcW w:w="1254" w:type="dxa"/>
            <w:tcBorders>
              <w:top w:val="single" w:sz="4" w:space="0" w:color="000000"/>
              <w:left w:val="single" w:sz="4" w:space="0" w:color="000000"/>
              <w:bottom w:val="single" w:sz="4" w:space="0" w:color="000000"/>
              <w:right w:val="single" w:sz="4" w:space="0" w:color="000000"/>
            </w:tcBorders>
          </w:tcPr>
          <w:p w:rsidR="0005229A" w:rsidRPr="0005229A" w:rsidRDefault="0005229A" w:rsidP="0005229A">
            <w:pPr>
              <w:widowControl w:val="0"/>
              <w:autoSpaceDE w:val="0"/>
              <w:autoSpaceDN w:val="0"/>
              <w:spacing w:after="0" w:line="240" w:lineRule="auto"/>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86</w:t>
            </w:r>
          </w:p>
        </w:tc>
        <w:tc>
          <w:tcPr>
            <w:tcW w:w="1187" w:type="dxa"/>
            <w:tcBorders>
              <w:top w:val="single" w:sz="4" w:space="0" w:color="000000"/>
              <w:left w:val="single" w:sz="4" w:space="0" w:color="000000"/>
              <w:bottom w:val="single" w:sz="4" w:space="0" w:color="000000"/>
              <w:right w:val="single" w:sz="4" w:space="0" w:color="auto"/>
            </w:tcBorders>
          </w:tcPr>
          <w:p w:rsidR="0005229A" w:rsidRPr="0005229A" w:rsidRDefault="0005229A" w:rsidP="0005229A">
            <w:pPr>
              <w:widowControl w:val="0"/>
              <w:autoSpaceDE w:val="0"/>
              <w:autoSpaceDN w:val="0"/>
              <w:spacing w:after="0" w:line="240" w:lineRule="auto"/>
              <w:ind w:left="84"/>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195</w:t>
            </w:r>
          </w:p>
        </w:tc>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spacing w:after="12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562" w:type="dxa"/>
            <w:vMerge w:val="restart"/>
            <w:tcBorders>
              <w:top w:val="single" w:sz="4" w:space="0" w:color="000000"/>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b/>
                <w:sz w:val="20"/>
                <w:lang w:val="sq-AL"/>
              </w:rPr>
            </w:pPr>
          </w:p>
          <w:p w:rsidR="0005229A" w:rsidRPr="0005229A" w:rsidRDefault="0005229A" w:rsidP="0005229A">
            <w:pPr>
              <w:widowControl w:val="0"/>
              <w:autoSpaceDE w:val="0"/>
              <w:autoSpaceDN w:val="0"/>
              <w:spacing w:before="10" w:after="0" w:line="240" w:lineRule="auto"/>
              <w:rPr>
                <w:rFonts w:ascii="Times New Roman" w:eastAsia="Times New Roman" w:hAnsi="Times New Roman" w:cs="Times New Roman"/>
                <w:b/>
                <w:sz w:val="18"/>
                <w:lang w:val="sq-AL"/>
              </w:rPr>
            </w:pPr>
          </w:p>
          <w:p w:rsidR="0005229A" w:rsidRPr="0005229A" w:rsidRDefault="0005229A" w:rsidP="0005229A">
            <w:pPr>
              <w:widowControl w:val="0"/>
              <w:autoSpaceDE w:val="0"/>
              <w:autoSpaceDN w:val="0"/>
              <w:spacing w:after="0" w:line="249" w:lineRule="auto"/>
              <w:ind w:left="82" w:right="121" w:hanging="1"/>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67%. B-Cilësi e mirë</w:t>
            </w:r>
          </w:p>
          <w:p w:rsidR="0005229A" w:rsidRPr="0005229A" w:rsidRDefault="0005229A" w:rsidP="0005229A">
            <w:pPr>
              <w:widowControl w:val="0"/>
              <w:autoSpaceDE w:val="0"/>
              <w:autoSpaceDN w:val="0"/>
              <w:spacing w:after="0" w:line="249" w:lineRule="auto"/>
              <w:ind w:left="82" w:right="121" w:hanging="1"/>
              <w:rPr>
                <w:rFonts w:ascii="Times New Roman" w:eastAsia="Times New Roman" w:hAnsi="Times New Roman" w:cs="Times New Roman"/>
                <w:sz w:val="17"/>
                <w:lang w:val="sq-AL"/>
              </w:rPr>
            </w:pPr>
            <w:r w:rsidRPr="0005229A">
              <w:rPr>
                <w:rFonts w:ascii="Times New Roman" w:eastAsia="Times New Roman" w:hAnsi="Times New Roman" w:cs="Times New Roman"/>
                <w:sz w:val="19"/>
                <w:lang w:val="sq-AL"/>
              </w:rPr>
              <w:t>33 %</w:t>
            </w:r>
            <w:r w:rsidRPr="0005229A">
              <w:rPr>
                <w:rFonts w:ascii="Times New Roman" w:eastAsia="Times New Roman" w:hAnsi="Times New Roman" w:cs="Times New Roman"/>
                <w:spacing w:val="5"/>
                <w:sz w:val="19"/>
                <w:lang w:val="sq-AL"/>
              </w:rPr>
              <w:t xml:space="preserve"> </w:t>
            </w:r>
            <w:r w:rsidRPr="0005229A">
              <w:rPr>
                <w:rFonts w:ascii="Times New Roman" w:eastAsia="Times New Roman" w:hAnsi="Times New Roman" w:cs="Times New Roman"/>
                <w:b/>
                <w:sz w:val="16"/>
                <w:lang w:val="sq-AL"/>
              </w:rPr>
              <w:t>,</w:t>
            </w:r>
            <w:r w:rsidRPr="0005229A">
              <w:rPr>
                <w:rFonts w:ascii="Times New Roman" w:eastAsia="Times New Roman" w:hAnsi="Times New Roman" w:cs="Times New Roman"/>
                <w:b/>
                <w:spacing w:val="11"/>
                <w:sz w:val="16"/>
                <w:lang w:val="sq-AL"/>
              </w:rPr>
              <w:t xml:space="preserve"> </w:t>
            </w:r>
            <w:r w:rsidRPr="0005229A">
              <w:rPr>
                <w:rFonts w:ascii="Times New Roman" w:eastAsia="Times New Roman" w:hAnsi="Times New Roman" w:cs="Times New Roman"/>
                <w:sz w:val="19"/>
                <w:lang w:val="sq-AL"/>
              </w:rPr>
              <w:t>C-</w:t>
            </w:r>
            <w:r w:rsidRPr="0005229A">
              <w:rPr>
                <w:rFonts w:ascii="Times New Roman" w:eastAsia="Times New Roman" w:hAnsi="Times New Roman" w:cs="Times New Roman"/>
                <w:sz w:val="17"/>
                <w:lang w:val="sq-AL"/>
              </w:rPr>
              <w:t xml:space="preserve">Cilësi </w:t>
            </w:r>
            <w:r w:rsidRPr="0005229A">
              <w:rPr>
                <w:rFonts w:ascii="Times New Roman" w:eastAsia="Times New Roman" w:hAnsi="Times New Roman" w:cs="Times New Roman"/>
                <w:spacing w:val="-39"/>
                <w:sz w:val="17"/>
                <w:lang w:val="sq-AL"/>
              </w:rPr>
              <w:t xml:space="preserve"> </w:t>
            </w:r>
            <w:r w:rsidRPr="0005229A">
              <w:rPr>
                <w:rFonts w:ascii="Times New Roman" w:eastAsia="Times New Roman" w:hAnsi="Times New Roman" w:cs="Times New Roman"/>
                <w:w w:val="105"/>
                <w:sz w:val="17"/>
                <w:lang w:val="sq-AL"/>
              </w:rPr>
              <w:t>e mjaftueshme</w:t>
            </w:r>
          </w:p>
        </w:tc>
      </w:tr>
      <w:tr w:rsidR="0005229A" w:rsidRPr="0005229A" w:rsidTr="00DD196F">
        <w:trPr>
          <w:trHeight w:val="471"/>
        </w:trPr>
        <w:tc>
          <w:tcPr>
            <w:tcW w:w="1162" w:type="dxa"/>
            <w:tcBorders>
              <w:top w:val="single" w:sz="4" w:space="0" w:color="000000"/>
              <w:left w:val="single" w:sz="4" w:space="0" w:color="auto"/>
              <w:bottom w:val="single" w:sz="4" w:space="0" w:color="000000"/>
              <w:right w:val="single" w:sz="4" w:space="0" w:color="000000"/>
            </w:tcBorders>
          </w:tcPr>
          <w:p w:rsidR="0005229A" w:rsidRPr="0005229A" w:rsidRDefault="0005229A" w:rsidP="0005229A">
            <w:pPr>
              <w:widowControl w:val="0"/>
              <w:autoSpaceDE w:val="0"/>
              <w:autoSpaceDN w:val="0"/>
              <w:spacing w:before="102" w:after="0" w:line="240" w:lineRule="auto"/>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2</w:t>
            </w:r>
          </w:p>
        </w:tc>
        <w:tc>
          <w:tcPr>
            <w:tcW w:w="2031" w:type="dxa"/>
            <w:tcBorders>
              <w:top w:val="single" w:sz="4" w:space="0" w:color="000000"/>
              <w:left w:val="single" w:sz="4" w:space="0" w:color="000000"/>
              <w:bottom w:val="single" w:sz="4" w:space="0" w:color="000000"/>
              <w:right w:val="single" w:sz="4" w:space="0" w:color="000000"/>
            </w:tcBorders>
          </w:tcPr>
          <w:p w:rsidR="0005229A" w:rsidRPr="0005229A" w:rsidRDefault="0005229A" w:rsidP="0005229A">
            <w:pPr>
              <w:widowControl w:val="0"/>
              <w:autoSpaceDE w:val="0"/>
              <w:autoSpaceDN w:val="0"/>
              <w:spacing w:after="0" w:line="209" w:lineRule="exact"/>
              <w:ind w:left="8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Spille</w:t>
            </w:r>
            <w:r w:rsidRPr="0005229A">
              <w:rPr>
                <w:rFonts w:ascii="Times New Roman" w:eastAsia="Times New Roman" w:hAnsi="Times New Roman" w:cs="Times New Roman"/>
                <w:spacing w:val="9"/>
                <w:sz w:val="19"/>
                <w:lang w:val="sq-AL"/>
              </w:rPr>
              <w:t xml:space="preserve"> </w:t>
            </w:r>
            <w:r w:rsidRPr="0005229A">
              <w:rPr>
                <w:rFonts w:ascii="Times New Roman" w:eastAsia="Times New Roman" w:hAnsi="Times New Roman" w:cs="Times New Roman"/>
                <w:sz w:val="19"/>
                <w:lang w:val="sq-AL"/>
              </w:rPr>
              <w:t>Qendër,</w:t>
            </w:r>
            <w:r w:rsidRPr="0005229A">
              <w:rPr>
                <w:rFonts w:ascii="Times New Roman" w:eastAsia="Times New Roman" w:hAnsi="Times New Roman" w:cs="Times New Roman"/>
                <w:spacing w:val="10"/>
                <w:sz w:val="19"/>
                <w:lang w:val="sq-AL"/>
              </w:rPr>
              <w:t xml:space="preserve"> </w:t>
            </w:r>
            <w:r w:rsidRPr="0005229A">
              <w:rPr>
                <w:rFonts w:ascii="Times New Roman" w:eastAsia="Times New Roman" w:hAnsi="Times New Roman" w:cs="Times New Roman"/>
                <w:sz w:val="19"/>
                <w:lang w:val="sq-AL"/>
              </w:rPr>
              <w:t>Hotel</w:t>
            </w:r>
          </w:p>
          <w:p w:rsidR="0005229A" w:rsidRPr="0005229A" w:rsidRDefault="0005229A" w:rsidP="0005229A">
            <w:pPr>
              <w:widowControl w:val="0"/>
              <w:autoSpaceDE w:val="0"/>
              <w:autoSpaceDN w:val="0"/>
              <w:spacing w:before="5" w:after="0" w:line="191" w:lineRule="exact"/>
              <w:ind w:left="8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Basana</w:t>
            </w:r>
          </w:p>
        </w:tc>
        <w:tc>
          <w:tcPr>
            <w:tcW w:w="1254" w:type="dxa"/>
            <w:tcBorders>
              <w:top w:val="single" w:sz="4" w:space="0" w:color="000000"/>
              <w:left w:val="single" w:sz="4" w:space="0" w:color="000000"/>
              <w:bottom w:val="single" w:sz="4" w:space="0" w:color="000000"/>
              <w:right w:val="single" w:sz="4" w:space="0" w:color="000000"/>
            </w:tcBorders>
          </w:tcPr>
          <w:p w:rsidR="0005229A" w:rsidRPr="0005229A" w:rsidRDefault="0005229A" w:rsidP="0005229A">
            <w:pPr>
              <w:widowControl w:val="0"/>
              <w:autoSpaceDE w:val="0"/>
              <w:autoSpaceDN w:val="0"/>
              <w:spacing w:after="0" w:line="209"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166</w:t>
            </w:r>
          </w:p>
        </w:tc>
        <w:tc>
          <w:tcPr>
            <w:tcW w:w="1187" w:type="dxa"/>
            <w:tcBorders>
              <w:top w:val="single" w:sz="4" w:space="0" w:color="000000"/>
              <w:left w:val="single" w:sz="4" w:space="0" w:color="000000"/>
              <w:bottom w:val="single" w:sz="4" w:space="0" w:color="000000"/>
              <w:right w:val="single" w:sz="4" w:space="0" w:color="auto"/>
            </w:tcBorders>
          </w:tcPr>
          <w:p w:rsidR="0005229A" w:rsidRPr="0005229A" w:rsidRDefault="0005229A" w:rsidP="0005229A">
            <w:pPr>
              <w:widowControl w:val="0"/>
              <w:autoSpaceDE w:val="0"/>
              <w:autoSpaceDN w:val="0"/>
              <w:spacing w:after="0" w:line="209" w:lineRule="exact"/>
              <w:ind w:left="84"/>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207</w:t>
            </w:r>
          </w:p>
        </w:tc>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spacing w:after="12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C</w:t>
            </w:r>
          </w:p>
        </w:tc>
        <w:tc>
          <w:tcPr>
            <w:tcW w:w="1562" w:type="dxa"/>
            <w:vMerge/>
            <w:tcBorders>
              <w:top w:val="nil"/>
              <w:left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482"/>
        </w:trPr>
        <w:tc>
          <w:tcPr>
            <w:tcW w:w="1162" w:type="dxa"/>
            <w:tcBorders>
              <w:top w:val="single" w:sz="4" w:space="0" w:color="000000"/>
              <w:left w:val="single" w:sz="4" w:space="0" w:color="auto"/>
              <w:bottom w:val="single" w:sz="4" w:space="0" w:color="auto"/>
              <w:right w:val="single" w:sz="4" w:space="0" w:color="000000"/>
            </w:tcBorders>
          </w:tcPr>
          <w:p w:rsidR="0005229A" w:rsidRPr="0005229A" w:rsidRDefault="0005229A" w:rsidP="0005229A">
            <w:pPr>
              <w:widowControl w:val="0"/>
              <w:autoSpaceDE w:val="0"/>
              <w:autoSpaceDN w:val="0"/>
              <w:spacing w:before="103" w:after="0" w:line="240" w:lineRule="auto"/>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102"/>
                <w:sz w:val="19"/>
                <w:lang w:val="sq-AL"/>
              </w:rPr>
              <w:t>3</w:t>
            </w:r>
          </w:p>
        </w:tc>
        <w:tc>
          <w:tcPr>
            <w:tcW w:w="2031" w:type="dxa"/>
            <w:tcBorders>
              <w:top w:val="single" w:sz="4" w:space="0" w:color="000000"/>
              <w:left w:val="single" w:sz="4" w:space="0" w:color="000000"/>
              <w:bottom w:val="single" w:sz="4" w:space="0" w:color="auto"/>
              <w:right w:val="single" w:sz="4" w:space="0" w:color="000000"/>
            </w:tcBorders>
          </w:tcPr>
          <w:p w:rsidR="0005229A" w:rsidRPr="0005229A" w:rsidRDefault="0005229A" w:rsidP="0005229A">
            <w:pPr>
              <w:widowControl w:val="0"/>
              <w:autoSpaceDE w:val="0"/>
              <w:autoSpaceDN w:val="0"/>
              <w:spacing w:after="0" w:line="210" w:lineRule="exact"/>
              <w:ind w:left="8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Greth</w:t>
            </w:r>
            <w:r w:rsidRPr="0005229A">
              <w:rPr>
                <w:rFonts w:ascii="Times New Roman" w:eastAsia="Times New Roman" w:hAnsi="Times New Roman" w:cs="Times New Roman"/>
                <w:spacing w:val="10"/>
                <w:sz w:val="19"/>
                <w:lang w:val="sq-AL"/>
              </w:rPr>
              <w:t xml:space="preserve"> </w:t>
            </w:r>
            <w:r w:rsidRPr="0005229A">
              <w:rPr>
                <w:rFonts w:ascii="Times New Roman" w:eastAsia="Times New Roman" w:hAnsi="Times New Roman" w:cs="Times New Roman"/>
                <w:sz w:val="19"/>
                <w:lang w:val="sq-AL"/>
              </w:rPr>
              <w:t>i</w:t>
            </w:r>
            <w:r w:rsidRPr="0005229A">
              <w:rPr>
                <w:rFonts w:ascii="Times New Roman" w:eastAsia="Times New Roman" w:hAnsi="Times New Roman" w:cs="Times New Roman"/>
                <w:spacing w:val="11"/>
                <w:sz w:val="19"/>
                <w:lang w:val="sq-AL"/>
              </w:rPr>
              <w:t xml:space="preserve"> </w:t>
            </w:r>
            <w:r w:rsidRPr="0005229A">
              <w:rPr>
                <w:rFonts w:ascii="Times New Roman" w:eastAsia="Times New Roman" w:hAnsi="Times New Roman" w:cs="Times New Roman"/>
                <w:sz w:val="19"/>
                <w:lang w:val="sq-AL"/>
              </w:rPr>
              <w:t>Mesëm,</w:t>
            </w:r>
          </w:p>
          <w:p w:rsidR="0005229A" w:rsidRPr="0005229A" w:rsidRDefault="0005229A" w:rsidP="0005229A">
            <w:pPr>
              <w:widowControl w:val="0"/>
              <w:autoSpaceDE w:val="0"/>
              <w:autoSpaceDN w:val="0"/>
              <w:spacing w:before="5" w:after="0" w:line="200" w:lineRule="exact"/>
              <w:ind w:left="8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Palmat</w:t>
            </w:r>
            <w:r w:rsidRPr="0005229A">
              <w:rPr>
                <w:rFonts w:ascii="Times New Roman" w:eastAsia="Times New Roman" w:hAnsi="Times New Roman" w:cs="Times New Roman"/>
                <w:spacing w:val="10"/>
                <w:sz w:val="19"/>
                <w:lang w:val="sq-AL"/>
              </w:rPr>
              <w:t xml:space="preserve"> </w:t>
            </w:r>
            <w:r w:rsidRPr="0005229A">
              <w:rPr>
                <w:rFonts w:ascii="Times New Roman" w:eastAsia="Times New Roman" w:hAnsi="Times New Roman" w:cs="Times New Roman"/>
                <w:sz w:val="19"/>
                <w:lang w:val="sq-AL"/>
              </w:rPr>
              <w:t>e</w:t>
            </w:r>
            <w:r w:rsidRPr="0005229A">
              <w:rPr>
                <w:rFonts w:ascii="Times New Roman" w:eastAsia="Times New Roman" w:hAnsi="Times New Roman" w:cs="Times New Roman"/>
                <w:spacing w:val="11"/>
                <w:sz w:val="19"/>
                <w:lang w:val="sq-AL"/>
              </w:rPr>
              <w:t xml:space="preserve"> </w:t>
            </w:r>
            <w:r w:rsidRPr="0005229A">
              <w:rPr>
                <w:rFonts w:ascii="Times New Roman" w:eastAsia="Times New Roman" w:hAnsi="Times New Roman" w:cs="Times New Roman"/>
                <w:sz w:val="19"/>
                <w:lang w:val="sq-AL"/>
              </w:rPr>
              <w:t>fundit</w:t>
            </w:r>
          </w:p>
        </w:tc>
        <w:tc>
          <w:tcPr>
            <w:tcW w:w="1254" w:type="dxa"/>
            <w:tcBorders>
              <w:top w:val="single" w:sz="4" w:space="0" w:color="000000"/>
              <w:left w:val="single" w:sz="4" w:space="0" w:color="000000"/>
              <w:bottom w:val="single" w:sz="4" w:space="0" w:color="auto"/>
              <w:right w:val="single" w:sz="4" w:space="0" w:color="000000"/>
            </w:tcBorders>
          </w:tcPr>
          <w:p w:rsidR="0005229A" w:rsidRPr="0005229A" w:rsidRDefault="0005229A" w:rsidP="0005229A">
            <w:pPr>
              <w:widowControl w:val="0"/>
              <w:autoSpaceDE w:val="0"/>
              <w:autoSpaceDN w:val="0"/>
              <w:spacing w:after="0" w:line="210" w:lineRule="exact"/>
              <w:ind w:left="85"/>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118</w:t>
            </w:r>
          </w:p>
        </w:tc>
        <w:tc>
          <w:tcPr>
            <w:tcW w:w="1187" w:type="dxa"/>
            <w:tcBorders>
              <w:top w:val="single" w:sz="4" w:space="0" w:color="000000"/>
              <w:left w:val="single" w:sz="4" w:space="0" w:color="000000"/>
              <w:bottom w:val="single" w:sz="4" w:space="0" w:color="auto"/>
              <w:right w:val="single" w:sz="4" w:space="0" w:color="auto"/>
            </w:tcBorders>
          </w:tcPr>
          <w:p w:rsidR="0005229A" w:rsidRPr="0005229A" w:rsidRDefault="0005229A" w:rsidP="0005229A">
            <w:pPr>
              <w:widowControl w:val="0"/>
              <w:autoSpaceDE w:val="0"/>
              <w:autoSpaceDN w:val="0"/>
              <w:spacing w:after="0" w:line="210" w:lineRule="exact"/>
              <w:ind w:left="84"/>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102</w:t>
            </w:r>
          </w:p>
        </w:tc>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tcPr>
          <w:p w:rsidR="0005229A" w:rsidRPr="0005229A" w:rsidRDefault="0005229A" w:rsidP="0005229A">
            <w:pPr>
              <w:spacing w:after="12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562" w:type="dxa"/>
            <w:vMerge/>
            <w:tcBorders>
              <w:top w:val="nil"/>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bl>
    <w:p w:rsidR="0005229A" w:rsidRPr="0005229A" w:rsidRDefault="0005229A" w:rsidP="0005229A">
      <w:pPr>
        <w:spacing w:after="200" w:line="288" w:lineRule="auto"/>
        <w:rPr>
          <w:rFonts w:ascii="Times New Roman" w:eastAsiaTheme="minorEastAsia" w:hAnsi="Times New Roman" w:cs="Times New Roman"/>
          <w:sz w:val="24"/>
          <w:szCs w:val="24"/>
        </w:rPr>
      </w:pP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23936" behindDoc="0" locked="0" layoutInCell="1" allowOverlap="1" wp14:anchorId="0EA89D75" wp14:editId="75AD4F2B">
                <wp:simplePos x="0" y="0"/>
                <wp:positionH relativeFrom="column">
                  <wp:posOffset>3219450</wp:posOffset>
                </wp:positionH>
                <wp:positionV relativeFrom="paragraph">
                  <wp:posOffset>14605</wp:posOffset>
                </wp:positionV>
                <wp:extent cx="3086100" cy="228600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3086100" cy="2286000"/>
                        </a:xfrm>
                        <a:prstGeom prst="rect">
                          <a:avLst/>
                        </a:prstGeom>
                        <a:solidFill>
                          <a:sysClr val="window" lastClr="FFFFFF"/>
                        </a:solidFill>
                        <a:ln w="12700" cap="flat" cmpd="sng" algn="ctr">
                          <a:solidFill>
                            <a:srgbClr val="70AD47"/>
                          </a:solidFill>
                          <a:prstDash val="solid"/>
                          <a:miter lim="800000"/>
                        </a:ln>
                        <a:effectLst/>
                      </wps:spPr>
                      <wps:txbx>
                        <w:txbxContent>
                          <w:p w:rsidR="0064059F" w:rsidRPr="007B0CF2" w:rsidRDefault="0064059F" w:rsidP="003C64EC">
                            <w:pPr>
                              <w:jc w:val="both"/>
                              <w:rPr>
                                <w:rFonts w:ascii="Times New Roman" w:hAnsi="Times New Roman" w:cs="Times New Roman"/>
                                <w:sz w:val="20"/>
                                <w:szCs w:val="20"/>
                              </w:rPr>
                            </w:pPr>
                            <w:r w:rsidRPr="007B0CF2">
                              <w:rPr>
                                <w:rFonts w:ascii="Times New Roman" w:hAnsi="Times New Roman" w:cs="Times New Roman"/>
                                <w:sz w:val="20"/>
                                <w:szCs w:val="20"/>
                              </w:rPr>
                              <w:t xml:space="preserve">Për plazhin e </w:t>
                            </w:r>
                            <w:r>
                              <w:rPr>
                                <w:rFonts w:ascii="Times New Roman" w:hAnsi="Times New Roman" w:cs="Times New Roman"/>
                                <w:sz w:val="20"/>
                                <w:szCs w:val="20"/>
                              </w:rPr>
                              <w:t>Spilles</w:t>
                            </w:r>
                            <w:r w:rsidRPr="007B0CF2">
                              <w:rPr>
                                <w:rFonts w:ascii="Times New Roman" w:hAnsi="Times New Roman" w:cs="Times New Roman"/>
                                <w:sz w:val="20"/>
                                <w:szCs w:val="20"/>
                              </w:rPr>
                              <w:t xml:space="preserve"> ,</w:t>
                            </w:r>
                            <w:r>
                              <w:rPr>
                                <w:rFonts w:ascii="Times New Roman" w:hAnsi="Times New Roman" w:cs="Times New Roman"/>
                                <w:sz w:val="20"/>
                                <w:szCs w:val="20"/>
                              </w:rPr>
                              <w:t xml:space="preserve">për vitin 2025 </w:t>
                            </w:r>
                            <w:r w:rsidRPr="007B0CF2">
                              <w:rPr>
                                <w:rFonts w:ascii="Times New Roman" w:hAnsi="Times New Roman" w:cs="Times New Roman"/>
                                <w:sz w:val="20"/>
                                <w:szCs w:val="20"/>
                              </w:rPr>
                              <w:t xml:space="preserve"> nuk kemi plazhe te kategorise A</w:t>
                            </w:r>
                            <w:r>
                              <w:rPr>
                                <w:rFonts w:ascii="Times New Roman" w:hAnsi="Times New Roman" w:cs="Times New Roman"/>
                                <w:sz w:val="20"/>
                                <w:szCs w:val="20"/>
                              </w:rPr>
                              <w:t>-Cilësi e Shkëlqyer</w:t>
                            </w:r>
                            <w:r w:rsidRPr="007B0CF2">
                              <w:rPr>
                                <w:rFonts w:ascii="Times New Roman" w:hAnsi="Times New Roman" w:cs="Times New Roman"/>
                                <w:sz w:val="20"/>
                                <w:szCs w:val="20"/>
                              </w:rPr>
                              <w:t xml:space="preserve"> dhe  </w:t>
                            </w:r>
                            <w:r>
                              <w:rPr>
                                <w:rFonts w:ascii="Times New Roman" w:hAnsi="Times New Roman" w:cs="Times New Roman"/>
                                <w:sz w:val="20"/>
                                <w:szCs w:val="20"/>
                              </w:rPr>
                              <w:t>D–Cilësi e keqe/Masa të menjëherëshme</w:t>
                            </w:r>
                            <w:r w:rsidRPr="007B0CF2">
                              <w:rPr>
                                <w:rFonts w:ascii="Times New Roman" w:hAnsi="Times New Roman" w:cs="Times New Roman"/>
                                <w:sz w:val="20"/>
                                <w:szCs w:val="20"/>
                              </w:rPr>
                              <w:t>.</w:t>
                            </w:r>
                          </w:p>
                          <w:p w:rsidR="0064059F" w:rsidRPr="007B0CF2" w:rsidRDefault="0064059F" w:rsidP="003C64EC">
                            <w:pPr>
                              <w:jc w:val="both"/>
                              <w:rPr>
                                <w:rFonts w:ascii="Times New Roman" w:hAnsi="Times New Roman" w:cs="Times New Roman"/>
                                <w:sz w:val="20"/>
                                <w:szCs w:val="20"/>
                              </w:rPr>
                            </w:pPr>
                            <w:r w:rsidRPr="007B0CF2">
                              <w:rPr>
                                <w:rFonts w:ascii="Times New Roman" w:hAnsi="Times New Roman" w:cs="Times New Roman"/>
                                <w:sz w:val="20"/>
                                <w:szCs w:val="20"/>
                              </w:rPr>
                              <w:t xml:space="preserve">Numri stacioneve të monitorimit që i përkasin kategorisë  </w:t>
                            </w:r>
                          </w:p>
                          <w:p w:rsidR="0064059F" w:rsidRPr="007B0CF2" w:rsidRDefault="0064059F" w:rsidP="003C64EC">
                            <w:pPr>
                              <w:jc w:val="both"/>
                              <w:rPr>
                                <w:rFonts w:ascii="Times New Roman" w:hAnsi="Times New Roman" w:cs="Times New Roman"/>
                                <w:sz w:val="20"/>
                                <w:szCs w:val="20"/>
                              </w:rPr>
                            </w:pPr>
                            <w:r w:rsidRPr="007B0CF2">
                              <w:rPr>
                                <w:rFonts w:ascii="Times New Roman" w:hAnsi="Times New Roman" w:cs="Times New Roman"/>
                                <w:sz w:val="20"/>
                                <w:szCs w:val="20"/>
                              </w:rPr>
                              <w:t xml:space="preserve">B – Cilësia e mirë e ujërave për vitin 2025 është më  i lartë në krahasim me vitet  </w:t>
                            </w:r>
                            <w:r>
                              <w:rPr>
                                <w:rFonts w:ascii="Times New Roman" w:hAnsi="Times New Roman" w:cs="Times New Roman"/>
                                <w:sz w:val="20"/>
                                <w:szCs w:val="20"/>
                              </w:rPr>
                              <w:t xml:space="preserve">2021 dhe </w:t>
                            </w:r>
                            <w:r w:rsidRPr="007B0CF2">
                              <w:rPr>
                                <w:rFonts w:ascii="Times New Roman" w:hAnsi="Times New Roman" w:cs="Times New Roman"/>
                                <w:sz w:val="20"/>
                                <w:szCs w:val="20"/>
                              </w:rPr>
                              <w:t>2024. Vitet e tjera nuk ka plazhe të kësaj kategorie.</w:t>
                            </w:r>
                          </w:p>
                          <w:p w:rsidR="0064059F" w:rsidRPr="007B0CF2" w:rsidRDefault="0064059F" w:rsidP="003C64EC">
                            <w:pPr>
                              <w:jc w:val="both"/>
                              <w:rPr>
                                <w:rFonts w:ascii="Times New Roman" w:hAnsi="Times New Roman" w:cs="Times New Roman"/>
                                <w:sz w:val="20"/>
                                <w:szCs w:val="20"/>
                              </w:rPr>
                            </w:pPr>
                            <w:r>
                              <w:rPr>
                                <w:rFonts w:ascii="Times New Roman" w:hAnsi="Times New Roman" w:cs="Times New Roman"/>
                                <w:sz w:val="20"/>
                                <w:szCs w:val="20"/>
                              </w:rPr>
                              <w:t>C- Cilësi  e mjaftueshme</w:t>
                            </w:r>
                            <w:r w:rsidRPr="007B0CF2">
                              <w:rPr>
                                <w:rFonts w:ascii="Times New Roman" w:hAnsi="Times New Roman" w:cs="Times New Roman"/>
                                <w:sz w:val="20"/>
                                <w:szCs w:val="20"/>
                              </w:rPr>
                              <w:t>, num</w:t>
                            </w:r>
                            <w:r>
                              <w:rPr>
                                <w:rFonts w:ascii="Times New Roman" w:hAnsi="Times New Roman" w:cs="Times New Roman"/>
                                <w:sz w:val="20"/>
                                <w:szCs w:val="20"/>
                              </w:rPr>
                              <w:t xml:space="preserve">ri i stacioneve  për vitin 2025 </w:t>
                            </w:r>
                            <w:r w:rsidRPr="007B0CF2">
                              <w:rPr>
                                <w:rFonts w:ascii="Times New Roman" w:hAnsi="Times New Roman" w:cs="Times New Roman"/>
                                <w:sz w:val="20"/>
                                <w:szCs w:val="20"/>
                              </w:rPr>
                              <w:t>është më i ulët se viti 202</w:t>
                            </w:r>
                            <w:r>
                              <w:rPr>
                                <w:rFonts w:ascii="Times New Roman" w:hAnsi="Times New Roman" w:cs="Times New Roman"/>
                                <w:sz w:val="20"/>
                                <w:szCs w:val="20"/>
                              </w:rPr>
                              <w:t>1 dhe më i lar</w:t>
                            </w:r>
                            <w:r w:rsidRPr="007B0CF2">
                              <w:rPr>
                                <w:rFonts w:ascii="Times New Roman" w:hAnsi="Times New Roman" w:cs="Times New Roman"/>
                                <w:sz w:val="20"/>
                                <w:szCs w:val="20"/>
                              </w:rPr>
                              <w:t xml:space="preserve">të  me </w:t>
                            </w:r>
                            <w:r>
                              <w:rPr>
                                <w:rFonts w:ascii="Times New Roman" w:hAnsi="Times New Roman" w:cs="Times New Roman"/>
                                <w:sz w:val="20"/>
                                <w:szCs w:val="20"/>
                              </w:rPr>
                              <w:t>vitet e tjera.</w:t>
                            </w:r>
                          </w:p>
                          <w:p w:rsidR="0064059F" w:rsidRDefault="0064059F" w:rsidP="000522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89D75" id="Rectangle 30" o:spid="_x0000_s1091" style="position:absolute;margin-left:253.5pt;margin-top:1.15pt;width:243pt;height:180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" fillcolor="window" strokecolor="#70ad47" strokeweight="1pt">
                <v:textbox>
                  <w:txbxContent>
                    <w:p w:rsidR="0064059F" w:rsidRPr="007B0CF2" w:rsidRDefault="0064059F" w:rsidP="003C64EC">
                      <w:pPr>
                        <w:jc w:val="both"/>
                        <w:rPr>
                          <w:rFonts w:ascii="Times New Roman" w:hAnsi="Times New Roman" w:cs="Times New Roman"/>
                          <w:sz w:val="20"/>
                          <w:szCs w:val="20"/>
                        </w:rPr>
                      </w:pPr>
                      <w:r w:rsidRPr="007B0CF2">
                        <w:rPr>
                          <w:rFonts w:ascii="Times New Roman" w:hAnsi="Times New Roman" w:cs="Times New Roman"/>
                          <w:sz w:val="20"/>
                          <w:szCs w:val="20"/>
                        </w:rPr>
                        <w:t xml:space="preserve">Për plazhin e </w:t>
                      </w:r>
                      <w:r>
                        <w:rPr>
                          <w:rFonts w:ascii="Times New Roman" w:hAnsi="Times New Roman" w:cs="Times New Roman"/>
                          <w:sz w:val="20"/>
                          <w:szCs w:val="20"/>
                        </w:rPr>
                        <w:t>Spilles</w:t>
                      </w:r>
                      <w:r w:rsidRPr="007B0CF2">
                        <w:rPr>
                          <w:rFonts w:ascii="Times New Roman" w:hAnsi="Times New Roman" w:cs="Times New Roman"/>
                          <w:sz w:val="20"/>
                          <w:szCs w:val="20"/>
                        </w:rPr>
                        <w:t xml:space="preserve"> ,</w:t>
                      </w:r>
                      <w:r>
                        <w:rPr>
                          <w:rFonts w:ascii="Times New Roman" w:hAnsi="Times New Roman" w:cs="Times New Roman"/>
                          <w:sz w:val="20"/>
                          <w:szCs w:val="20"/>
                        </w:rPr>
                        <w:t xml:space="preserve">për vitin 2025 </w:t>
                      </w:r>
                      <w:r w:rsidRPr="007B0CF2">
                        <w:rPr>
                          <w:rFonts w:ascii="Times New Roman" w:hAnsi="Times New Roman" w:cs="Times New Roman"/>
                          <w:sz w:val="20"/>
                          <w:szCs w:val="20"/>
                        </w:rPr>
                        <w:t xml:space="preserve"> nuk kemi plazhe te kategorise A</w:t>
                      </w:r>
                      <w:r>
                        <w:rPr>
                          <w:rFonts w:ascii="Times New Roman" w:hAnsi="Times New Roman" w:cs="Times New Roman"/>
                          <w:sz w:val="20"/>
                          <w:szCs w:val="20"/>
                        </w:rPr>
                        <w:t>-Cilësi e Shkëlqyer</w:t>
                      </w:r>
                      <w:r w:rsidRPr="007B0CF2">
                        <w:rPr>
                          <w:rFonts w:ascii="Times New Roman" w:hAnsi="Times New Roman" w:cs="Times New Roman"/>
                          <w:sz w:val="20"/>
                          <w:szCs w:val="20"/>
                        </w:rPr>
                        <w:t xml:space="preserve"> dhe  </w:t>
                      </w:r>
                      <w:r>
                        <w:rPr>
                          <w:rFonts w:ascii="Times New Roman" w:hAnsi="Times New Roman" w:cs="Times New Roman"/>
                          <w:sz w:val="20"/>
                          <w:szCs w:val="20"/>
                        </w:rPr>
                        <w:t>D–Cilësi e keqe/Masa të menjëherëshme</w:t>
                      </w:r>
                      <w:r w:rsidRPr="007B0CF2">
                        <w:rPr>
                          <w:rFonts w:ascii="Times New Roman" w:hAnsi="Times New Roman" w:cs="Times New Roman"/>
                          <w:sz w:val="20"/>
                          <w:szCs w:val="20"/>
                        </w:rPr>
                        <w:t>.</w:t>
                      </w:r>
                    </w:p>
                    <w:p w:rsidR="0064059F" w:rsidRPr="007B0CF2" w:rsidRDefault="0064059F" w:rsidP="003C64EC">
                      <w:pPr>
                        <w:jc w:val="both"/>
                        <w:rPr>
                          <w:rFonts w:ascii="Times New Roman" w:hAnsi="Times New Roman" w:cs="Times New Roman"/>
                          <w:sz w:val="20"/>
                          <w:szCs w:val="20"/>
                        </w:rPr>
                      </w:pPr>
                      <w:r w:rsidRPr="007B0CF2">
                        <w:rPr>
                          <w:rFonts w:ascii="Times New Roman" w:hAnsi="Times New Roman" w:cs="Times New Roman"/>
                          <w:sz w:val="20"/>
                          <w:szCs w:val="20"/>
                        </w:rPr>
                        <w:t xml:space="preserve">Numri stacioneve të monitorimit që i përkasin kategorisë  </w:t>
                      </w:r>
                    </w:p>
                    <w:p w:rsidR="0064059F" w:rsidRPr="007B0CF2" w:rsidRDefault="0064059F" w:rsidP="003C64EC">
                      <w:pPr>
                        <w:jc w:val="both"/>
                        <w:rPr>
                          <w:rFonts w:ascii="Times New Roman" w:hAnsi="Times New Roman" w:cs="Times New Roman"/>
                          <w:sz w:val="20"/>
                          <w:szCs w:val="20"/>
                        </w:rPr>
                      </w:pPr>
                      <w:r w:rsidRPr="007B0CF2">
                        <w:rPr>
                          <w:rFonts w:ascii="Times New Roman" w:hAnsi="Times New Roman" w:cs="Times New Roman"/>
                          <w:sz w:val="20"/>
                          <w:szCs w:val="20"/>
                        </w:rPr>
                        <w:t xml:space="preserve">B – Cilësia e mirë e ujërave për vitin 2025 është më  i lartë në krahasim me vitet  </w:t>
                      </w:r>
                      <w:r>
                        <w:rPr>
                          <w:rFonts w:ascii="Times New Roman" w:hAnsi="Times New Roman" w:cs="Times New Roman"/>
                          <w:sz w:val="20"/>
                          <w:szCs w:val="20"/>
                        </w:rPr>
                        <w:t xml:space="preserve">2021 dhe </w:t>
                      </w:r>
                      <w:r w:rsidRPr="007B0CF2">
                        <w:rPr>
                          <w:rFonts w:ascii="Times New Roman" w:hAnsi="Times New Roman" w:cs="Times New Roman"/>
                          <w:sz w:val="20"/>
                          <w:szCs w:val="20"/>
                        </w:rPr>
                        <w:t>2024. Vitet e tjera nuk ka plazhe të kësaj kategorie.</w:t>
                      </w:r>
                    </w:p>
                    <w:p w:rsidR="0064059F" w:rsidRPr="007B0CF2" w:rsidRDefault="0064059F" w:rsidP="003C64EC">
                      <w:pPr>
                        <w:jc w:val="both"/>
                        <w:rPr>
                          <w:rFonts w:ascii="Times New Roman" w:hAnsi="Times New Roman" w:cs="Times New Roman"/>
                          <w:sz w:val="20"/>
                          <w:szCs w:val="20"/>
                        </w:rPr>
                      </w:pPr>
                      <w:r>
                        <w:rPr>
                          <w:rFonts w:ascii="Times New Roman" w:hAnsi="Times New Roman" w:cs="Times New Roman"/>
                          <w:sz w:val="20"/>
                          <w:szCs w:val="20"/>
                        </w:rPr>
                        <w:t>C- Cilësi  e mjaftueshme</w:t>
                      </w:r>
                      <w:r w:rsidRPr="007B0CF2">
                        <w:rPr>
                          <w:rFonts w:ascii="Times New Roman" w:hAnsi="Times New Roman" w:cs="Times New Roman"/>
                          <w:sz w:val="20"/>
                          <w:szCs w:val="20"/>
                        </w:rPr>
                        <w:t>, num</w:t>
                      </w:r>
                      <w:r>
                        <w:rPr>
                          <w:rFonts w:ascii="Times New Roman" w:hAnsi="Times New Roman" w:cs="Times New Roman"/>
                          <w:sz w:val="20"/>
                          <w:szCs w:val="20"/>
                        </w:rPr>
                        <w:t xml:space="preserve">ri i stacioneve  për vitin 2025 </w:t>
                      </w:r>
                      <w:r w:rsidRPr="007B0CF2">
                        <w:rPr>
                          <w:rFonts w:ascii="Times New Roman" w:hAnsi="Times New Roman" w:cs="Times New Roman"/>
                          <w:sz w:val="20"/>
                          <w:szCs w:val="20"/>
                        </w:rPr>
                        <w:t>është më i ulët se viti 202</w:t>
                      </w:r>
                      <w:r>
                        <w:rPr>
                          <w:rFonts w:ascii="Times New Roman" w:hAnsi="Times New Roman" w:cs="Times New Roman"/>
                          <w:sz w:val="20"/>
                          <w:szCs w:val="20"/>
                        </w:rPr>
                        <w:t>1 dhe më i lar</w:t>
                      </w:r>
                      <w:r w:rsidRPr="007B0CF2">
                        <w:rPr>
                          <w:rFonts w:ascii="Times New Roman" w:hAnsi="Times New Roman" w:cs="Times New Roman"/>
                          <w:sz w:val="20"/>
                          <w:szCs w:val="20"/>
                        </w:rPr>
                        <w:t xml:space="preserve">të  me </w:t>
                      </w:r>
                      <w:r>
                        <w:rPr>
                          <w:rFonts w:ascii="Times New Roman" w:hAnsi="Times New Roman" w:cs="Times New Roman"/>
                          <w:sz w:val="20"/>
                          <w:szCs w:val="20"/>
                        </w:rPr>
                        <w:t>vitet e tjera.</w:t>
                      </w:r>
                    </w:p>
                    <w:p w:rsidR="0064059F" w:rsidRDefault="0064059F" w:rsidP="0005229A">
                      <w:pPr>
                        <w:jc w:val="center"/>
                      </w:pPr>
                    </w:p>
                  </w:txbxContent>
                </v:textbox>
              </v:rect>
            </w:pict>
          </mc:Fallback>
        </mc:AlternateContent>
      </w:r>
      <w:r w:rsidRPr="0005229A">
        <w:rPr>
          <w:rFonts w:ascii="Times New Roman" w:eastAsiaTheme="minorEastAsia" w:hAnsi="Times New Roman" w:cs="Times New Roman"/>
          <w:noProof/>
          <w:sz w:val="24"/>
          <w:szCs w:val="24"/>
        </w:rPr>
        <w:drawing>
          <wp:inline distT="0" distB="0" distL="0" distR="0" wp14:anchorId="14C31145" wp14:editId="1A7A4615">
            <wp:extent cx="2867025" cy="22669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867025" cy="2266950"/>
                    </a:xfrm>
                    <a:prstGeom prst="rect">
                      <a:avLst/>
                    </a:prstGeom>
                    <a:noFill/>
                  </pic:spPr>
                </pic:pic>
              </a:graphicData>
            </a:graphic>
          </wp:inline>
        </w:drawing>
      </w:r>
    </w:p>
    <w:p w:rsidR="0005229A" w:rsidRPr="0005229A" w:rsidRDefault="0005229A" w:rsidP="0005229A">
      <w:pPr>
        <w:spacing w:after="200" w:line="288" w:lineRule="auto"/>
        <w:rPr>
          <w:rFonts w:ascii="Times New Roman" w:eastAsiaTheme="minorEastAsia" w:hAnsi="Times New Roman" w:cs="Times New Roman"/>
          <w:sz w:val="24"/>
          <w:szCs w:val="24"/>
        </w:rPr>
      </w:pPr>
    </w:p>
    <w:p w:rsidR="0005229A" w:rsidRPr="003C64EC" w:rsidRDefault="0005229A" w:rsidP="00807975">
      <w:pPr>
        <w:pStyle w:val="ListParagraph"/>
        <w:numPr>
          <w:ilvl w:val="0"/>
          <w:numId w:val="164"/>
        </w:numPr>
        <w:spacing w:after="200" w:line="288" w:lineRule="auto"/>
        <w:rPr>
          <w:rFonts w:ascii="Times New Roman" w:eastAsiaTheme="minorEastAsia" w:hAnsi="Times New Roman" w:cs="Times New Roman"/>
          <w:b/>
          <w:sz w:val="24"/>
          <w:szCs w:val="24"/>
        </w:rPr>
      </w:pPr>
      <w:r w:rsidRPr="003C64EC">
        <w:rPr>
          <w:rFonts w:ascii="Times New Roman" w:eastAsiaTheme="minorEastAsia" w:hAnsi="Times New Roman" w:cs="Times New Roman"/>
          <w:b/>
          <w:sz w:val="24"/>
          <w:szCs w:val="24"/>
        </w:rPr>
        <w:t xml:space="preserve">Plazhet e Semanit dhe i Divjakës: </w:t>
      </w:r>
    </w:p>
    <w:p w:rsidR="0005229A" w:rsidRDefault="0005229A" w:rsidP="003C64EC">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PLAZHI I SEMANIT DHE DARËZEZËS: Plazhi i Semanit dhe Darëzezës në përgjithësi i sistemuar por në pikat 1 dhe 2 Seman papastërti në rërë. Në pikat e tjera rëra e pluguar, me kosha mbeturinash, me dushe. Gjithashtu u konstatua prezencë e afishimit të rregullave për zbatim nga pushuesit. Plazhet publike të pasistemuara. Në përgjithësi nyjet higjeno sanitare e dhomat e ndërrimit të veshjeve primitive. Nevojat sanitare për tualete pushuesit i përmbushin pranë subjekteve private për shkak të pozicionimit të këtyre plazheve pranë subjekteve.</w:t>
      </w:r>
    </w:p>
    <w:p w:rsidR="003C64EC" w:rsidRPr="0005229A" w:rsidRDefault="003C64EC" w:rsidP="003C64EC">
      <w:pPr>
        <w:spacing w:after="0" w:line="240" w:lineRule="auto"/>
        <w:jc w:val="both"/>
        <w:rPr>
          <w:rFonts w:ascii="Times New Roman" w:eastAsiaTheme="minorEastAsia" w:hAnsi="Times New Roman" w:cs="Times New Roman"/>
          <w:sz w:val="24"/>
          <w:szCs w:val="24"/>
        </w:rPr>
      </w:pP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 xml:space="preserve">             ●</w:t>
      </w:r>
      <w:r w:rsidRPr="0005229A">
        <w:rPr>
          <w:rFonts w:ascii="Times New Roman" w:eastAsiaTheme="minorEastAsia" w:hAnsi="Times New Roman" w:cs="Times New Roman"/>
          <w:b/>
          <w:sz w:val="24"/>
          <w:szCs w:val="24"/>
        </w:rPr>
        <w:t xml:space="preserve"> Plazhet e Semanit dhe Darzezës</w:t>
      </w:r>
    </w:p>
    <w:tbl>
      <w:tblPr>
        <w:tblW w:w="9548" w:type="dxa"/>
        <w:tblInd w:w="188" w:type="dxa"/>
        <w:tblLayout w:type="fixed"/>
        <w:tblCellMar>
          <w:left w:w="0" w:type="dxa"/>
          <w:right w:w="0" w:type="dxa"/>
        </w:tblCellMar>
        <w:tblLook w:val="01E0" w:firstRow="1" w:lastRow="1" w:firstColumn="1" w:lastColumn="1" w:noHBand="0" w:noVBand="0"/>
      </w:tblPr>
      <w:tblGrid>
        <w:gridCol w:w="1216"/>
        <w:gridCol w:w="3113"/>
        <w:gridCol w:w="1190"/>
        <w:gridCol w:w="1124"/>
        <w:gridCol w:w="1124"/>
        <w:gridCol w:w="1781"/>
      </w:tblGrid>
      <w:tr w:rsidR="0005229A" w:rsidRPr="0005229A" w:rsidTr="002D7C3E">
        <w:trPr>
          <w:trHeight w:val="626"/>
        </w:trPr>
        <w:tc>
          <w:tcPr>
            <w:tcW w:w="1216" w:type="dxa"/>
            <w:tcBorders>
              <w:top w:val="single" w:sz="4" w:space="0" w:color="auto"/>
              <w:left w:val="single" w:sz="4" w:space="0" w:color="auto"/>
              <w:bottom w:val="single" w:sz="4" w:space="0" w:color="auto"/>
              <w:right w:val="single" w:sz="4" w:space="0" w:color="auto"/>
            </w:tcBorders>
            <w:shd w:val="clear" w:color="auto" w:fill="E1EED9"/>
          </w:tcPr>
          <w:p w:rsidR="0005229A" w:rsidRPr="0005229A" w:rsidRDefault="0005229A" w:rsidP="0005229A">
            <w:pPr>
              <w:widowControl w:val="0"/>
              <w:autoSpaceDE w:val="0"/>
              <w:autoSpaceDN w:val="0"/>
              <w:spacing w:before="41" w:after="0" w:line="240" w:lineRule="auto"/>
              <w:ind w:left="66" w:right="59"/>
              <w:jc w:val="center"/>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Nr.</w:t>
            </w:r>
          </w:p>
          <w:p w:rsidR="0005229A" w:rsidRPr="0005229A" w:rsidRDefault="0005229A" w:rsidP="0005229A">
            <w:pPr>
              <w:widowControl w:val="0"/>
              <w:autoSpaceDE w:val="0"/>
              <w:autoSpaceDN w:val="0"/>
              <w:spacing w:before="5" w:after="0" w:line="240" w:lineRule="auto"/>
              <w:ind w:left="67" w:right="59"/>
              <w:jc w:val="center"/>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Stacioneve</w:t>
            </w:r>
          </w:p>
        </w:tc>
        <w:tc>
          <w:tcPr>
            <w:tcW w:w="3113" w:type="dxa"/>
            <w:tcBorders>
              <w:top w:val="single" w:sz="4" w:space="0" w:color="auto"/>
              <w:left w:val="single" w:sz="4" w:space="0" w:color="auto"/>
              <w:bottom w:val="single" w:sz="4" w:space="0" w:color="auto"/>
              <w:right w:val="single" w:sz="4" w:space="0" w:color="auto"/>
            </w:tcBorders>
            <w:shd w:val="clear" w:color="auto" w:fill="E1EED9"/>
          </w:tcPr>
          <w:p w:rsidR="0005229A" w:rsidRPr="0005229A" w:rsidRDefault="0005229A" w:rsidP="0005229A">
            <w:pPr>
              <w:widowControl w:val="0"/>
              <w:autoSpaceDE w:val="0"/>
              <w:autoSpaceDN w:val="0"/>
              <w:spacing w:before="153" w:after="0" w:line="240" w:lineRule="auto"/>
              <w:ind w:left="1082" w:right="1076"/>
              <w:jc w:val="center"/>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Vendi</w:t>
            </w:r>
          </w:p>
        </w:tc>
        <w:tc>
          <w:tcPr>
            <w:tcW w:w="1190" w:type="dxa"/>
            <w:tcBorders>
              <w:top w:val="single" w:sz="4" w:space="0" w:color="auto"/>
              <w:left w:val="single" w:sz="4" w:space="0" w:color="auto"/>
              <w:bottom w:val="single" w:sz="4" w:space="0" w:color="auto"/>
              <w:right w:val="single" w:sz="4" w:space="0" w:color="auto"/>
            </w:tcBorders>
            <w:shd w:val="clear" w:color="auto" w:fill="E1EED9"/>
          </w:tcPr>
          <w:p w:rsidR="0005229A" w:rsidRPr="0005229A" w:rsidRDefault="0005229A" w:rsidP="0005229A">
            <w:pPr>
              <w:widowControl w:val="0"/>
              <w:autoSpaceDE w:val="0"/>
              <w:autoSpaceDN w:val="0"/>
              <w:spacing w:after="0" w:line="212" w:lineRule="exact"/>
              <w:ind w:left="166"/>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FC</w:t>
            </w:r>
            <w:r w:rsidRPr="0005229A">
              <w:rPr>
                <w:rFonts w:ascii="Times New Roman" w:eastAsia="Times New Roman" w:hAnsi="Times New Roman" w:cs="Times New Roman"/>
                <w:b/>
                <w:spacing w:val="4"/>
                <w:sz w:val="20"/>
                <w:szCs w:val="20"/>
                <w:lang w:val="sq-AL"/>
              </w:rPr>
              <w:t xml:space="preserve"> </w:t>
            </w:r>
            <w:r w:rsidRPr="0005229A">
              <w:rPr>
                <w:rFonts w:ascii="Times New Roman" w:eastAsia="Times New Roman" w:hAnsi="Times New Roman" w:cs="Times New Roman"/>
                <w:b/>
                <w:sz w:val="20"/>
                <w:szCs w:val="20"/>
                <w:lang w:val="sq-AL"/>
              </w:rPr>
              <w:t>90%</w:t>
            </w:r>
            <w:r w:rsidRPr="0005229A">
              <w:rPr>
                <w:rFonts w:ascii="Times New Roman" w:eastAsia="Times New Roman" w:hAnsi="Times New Roman" w:cs="Times New Roman"/>
                <w:b/>
                <w:spacing w:val="4"/>
                <w:sz w:val="20"/>
                <w:szCs w:val="20"/>
                <w:lang w:val="sq-AL"/>
              </w:rPr>
              <w:t xml:space="preserve"> </w:t>
            </w:r>
            <w:r w:rsidRPr="0005229A">
              <w:rPr>
                <w:rFonts w:ascii="Times New Roman" w:eastAsia="Times New Roman" w:hAnsi="Times New Roman" w:cs="Times New Roman"/>
                <w:b/>
                <w:sz w:val="20"/>
                <w:szCs w:val="20"/>
                <w:lang w:val="sq-AL"/>
              </w:rPr>
              <w:t>-</w:t>
            </w:r>
          </w:p>
          <w:p w:rsidR="0005229A" w:rsidRPr="0005229A" w:rsidRDefault="0005229A" w:rsidP="0005229A">
            <w:pPr>
              <w:widowControl w:val="0"/>
              <w:autoSpaceDE w:val="0"/>
              <w:autoSpaceDN w:val="0"/>
              <w:spacing w:before="5" w:after="0" w:line="240" w:lineRule="auto"/>
              <w:ind w:left="109"/>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Norma</w:t>
            </w:r>
            <w:r w:rsidRPr="0005229A">
              <w:rPr>
                <w:rFonts w:ascii="Times New Roman" w:eastAsia="Times New Roman" w:hAnsi="Times New Roman" w:cs="Times New Roman"/>
                <w:b/>
                <w:spacing w:val="8"/>
                <w:sz w:val="20"/>
                <w:szCs w:val="20"/>
                <w:lang w:val="sq-AL"/>
              </w:rPr>
              <w:t xml:space="preserve"> </w:t>
            </w:r>
            <w:r w:rsidRPr="0005229A">
              <w:rPr>
                <w:rFonts w:ascii="Times New Roman" w:eastAsia="Times New Roman" w:hAnsi="Times New Roman" w:cs="Times New Roman"/>
                <w:b/>
                <w:sz w:val="20"/>
                <w:szCs w:val="20"/>
                <w:lang w:val="sq-AL"/>
              </w:rPr>
              <w:t>250</w:t>
            </w:r>
          </w:p>
        </w:tc>
        <w:tc>
          <w:tcPr>
            <w:tcW w:w="1124" w:type="dxa"/>
            <w:tcBorders>
              <w:top w:val="single" w:sz="4" w:space="0" w:color="auto"/>
              <w:left w:val="single" w:sz="4" w:space="0" w:color="auto"/>
              <w:bottom w:val="single" w:sz="4" w:space="0" w:color="auto"/>
              <w:right w:val="single" w:sz="4" w:space="0" w:color="auto"/>
            </w:tcBorders>
            <w:shd w:val="clear" w:color="auto" w:fill="E1EED9"/>
          </w:tcPr>
          <w:p w:rsidR="0005229A" w:rsidRPr="0005229A" w:rsidRDefault="0005229A" w:rsidP="0005229A">
            <w:pPr>
              <w:widowControl w:val="0"/>
              <w:autoSpaceDE w:val="0"/>
              <w:autoSpaceDN w:val="0"/>
              <w:spacing w:after="0" w:line="212" w:lineRule="exact"/>
              <w:ind w:left="167"/>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IE</w:t>
            </w:r>
            <w:r w:rsidRPr="0005229A">
              <w:rPr>
                <w:rFonts w:ascii="Times New Roman" w:eastAsia="Times New Roman" w:hAnsi="Times New Roman" w:cs="Times New Roman"/>
                <w:b/>
                <w:spacing w:val="4"/>
                <w:sz w:val="20"/>
                <w:szCs w:val="20"/>
                <w:lang w:val="sq-AL"/>
              </w:rPr>
              <w:t xml:space="preserve"> </w:t>
            </w:r>
            <w:r w:rsidRPr="0005229A">
              <w:rPr>
                <w:rFonts w:ascii="Times New Roman" w:eastAsia="Times New Roman" w:hAnsi="Times New Roman" w:cs="Times New Roman"/>
                <w:b/>
                <w:sz w:val="20"/>
                <w:szCs w:val="20"/>
                <w:lang w:val="sq-AL"/>
              </w:rPr>
              <w:t>95%</w:t>
            </w:r>
            <w:r w:rsidRPr="0005229A">
              <w:rPr>
                <w:rFonts w:ascii="Times New Roman" w:eastAsia="Times New Roman" w:hAnsi="Times New Roman" w:cs="Times New Roman"/>
                <w:b/>
                <w:spacing w:val="3"/>
                <w:sz w:val="20"/>
                <w:szCs w:val="20"/>
                <w:lang w:val="sq-AL"/>
              </w:rPr>
              <w:t xml:space="preserve"> </w:t>
            </w:r>
            <w:r w:rsidRPr="0005229A">
              <w:rPr>
                <w:rFonts w:ascii="Times New Roman" w:eastAsia="Times New Roman" w:hAnsi="Times New Roman" w:cs="Times New Roman"/>
                <w:b/>
                <w:sz w:val="20"/>
                <w:szCs w:val="20"/>
                <w:lang w:val="sq-AL"/>
              </w:rPr>
              <w:t>-</w:t>
            </w:r>
          </w:p>
          <w:p w:rsidR="0005229A" w:rsidRPr="0005229A" w:rsidRDefault="0005229A" w:rsidP="0005229A">
            <w:pPr>
              <w:widowControl w:val="0"/>
              <w:autoSpaceDE w:val="0"/>
              <w:autoSpaceDN w:val="0"/>
              <w:spacing w:before="5" w:after="0" w:line="240" w:lineRule="auto"/>
              <w:ind w:left="83"/>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Norma</w:t>
            </w:r>
            <w:r w:rsidRPr="0005229A">
              <w:rPr>
                <w:rFonts w:ascii="Times New Roman" w:eastAsia="Times New Roman" w:hAnsi="Times New Roman" w:cs="Times New Roman"/>
                <w:b/>
                <w:spacing w:val="8"/>
                <w:sz w:val="20"/>
                <w:szCs w:val="20"/>
                <w:lang w:val="sq-AL"/>
              </w:rPr>
              <w:t xml:space="preserve"> </w:t>
            </w:r>
            <w:r w:rsidRPr="0005229A">
              <w:rPr>
                <w:rFonts w:ascii="Times New Roman" w:eastAsia="Times New Roman" w:hAnsi="Times New Roman" w:cs="Times New Roman"/>
                <w:b/>
                <w:sz w:val="20"/>
                <w:szCs w:val="20"/>
                <w:lang w:val="sq-AL"/>
              </w:rPr>
              <w:t>100</w:t>
            </w:r>
          </w:p>
        </w:tc>
        <w:tc>
          <w:tcPr>
            <w:tcW w:w="1124" w:type="dxa"/>
            <w:tcBorders>
              <w:top w:val="single" w:sz="4" w:space="0" w:color="auto"/>
              <w:left w:val="single" w:sz="4" w:space="0" w:color="auto"/>
              <w:bottom w:val="single" w:sz="4" w:space="0" w:color="auto"/>
              <w:right w:val="single" w:sz="4" w:space="0" w:color="auto"/>
            </w:tcBorders>
            <w:shd w:val="clear" w:color="auto" w:fill="E1EED9"/>
          </w:tcPr>
          <w:p w:rsidR="0005229A" w:rsidRPr="0005229A" w:rsidRDefault="0005229A" w:rsidP="0005229A">
            <w:pPr>
              <w:widowControl w:val="0"/>
              <w:autoSpaceDE w:val="0"/>
              <w:autoSpaceDN w:val="0"/>
              <w:spacing w:after="0" w:line="212" w:lineRule="exact"/>
              <w:ind w:left="167"/>
              <w:rPr>
                <w:rFonts w:ascii="Times New Roman" w:eastAsia="Times New Roman" w:hAnsi="Times New Roman" w:cs="Times New Roman"/>
                <w:b/>
                <w:sz w:val="20"/>
                <w:szCs w:val="20"/>
                <w:lang w:val="sq-AL"/>
              </w:rPr>
            </w:pPr>
            <w:r w:rsidRPr="0005229A">
              <w:rPr>
                <w:rFonts w:ascii="Times New Roman" w:eastAsia="Times New Roman" w:hAnsi="Times New Roman" w:cs="Times New Roman"/>
                <w:b/>
                <w:sz w:val="20"/>
                <w:szCs w:val="20"/>
                <w:lang w:val="sq-AL"/>
              </w:rPr>
              <w:t>Kategoria</w:t>
            </w:r>
          </w:p>
        </w:tc>
        <w:tc>
          <w:tcPr>
            <w:tcW w:w="1781" w:type="dxa"/>
            <w:tcBorders>
              <w:top w:val="single" w:sz="4" w:space="0" w:color="auto"/>
              <w:left w:val="single" w:sz="4" w:space="0" w:color="auto"/>
              <w:bottom w:val="single" w:sz="4" w:space="0" w:color="auto"/>
              <w:right w:val="single" w:sz="4" w:space="0" w:color="auto"/>
            </w:tcBorders>
            <w:shd w:val="clear" w:color="auto" w:fill="E1EED9"/>
          </w:tcPr>
          <w:p w:rsidR="0005229A" w:rsidRPr="0005229A" w:rsidRDefault="0005229A" w:rsidP="0005229A">
            <w:pPr>
              <w:widowControl w:val="0"/>
              <w:autoSpaceDE w:val="0"/>
              <w:autoSpaceDN w:val="0"/>
              <w:spacing w:after="0" w:line="212" w:lineRule="exact"/>
              <w:ind w:left="167"/>
              <w:rPr>
                <w:rFonts w:ascii="Times New Roman" w:eastAsia="Times New Roman" w:hAnsi="Times New Roman" w:cs="Times New Roman"/>
                <w:b/>
                <w:sz w:val="20"/>
                <w:szCs w:val="20"/>
                <w:lang w:val="sq-AL"/>
              </w:rPr>
            </w:pPr>
          </w:p>
        </w:tc>
      </w:tr>
      <w:tr w:rsidR="0005229A" w:rsidRPr="0005229A" w:rsidTr="002D7C3E">
        <w:trPr>
          <w:trHeight w:val="340"/>
        </w:trPr>
        <w:tc>
          <w:tcPr>
            <w:tcW w:w="12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38" w:after="0" w:line="240" w:lineRule="auto"/>
              <w:ind w:left="6"/>
              <w:jc w:val="center"/>
              <w:rPr>
                <w:rFonts w:ascii="Times New Roman" w:eastAsia="Times New Roman" w:hAnsi="Times New Roman" w:cs="Times New Roman"/>
                <w:sz w:val="20"/>
                <w:szCs w:val="20"/>
                <w:lang w:val="sq-AL"/>
              </w:rPr>
            </w:pPr>
            <w:r w:rsidRPr="0005229A">
              <w:rPr>
                <w:rFonts w:ascii="Times New Roman" w:eastAsia="Times New Roman" w:hAnsi="Times New Roman" w:cs="Times New Roman"/>
                <w:w w:val="102"/>
                <w:sz w:val="20"/>
                <w:szCs w:val="20"/>
                <w:lang w:val="sq-AL"/>
              </w:rPr>
              <w:t>1</w:t>
            </w:r>
          </w:p>
        </w:tc>
        <w:tc>
          <w:tcPr>
            <w:tcW w:w="3113"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0" w:line="240" w:lineRule="auto"/>
              <w:rPr>
                <w:rFonts w:ascii="Times New Roman" w:eastAsiaTheme="minorEastAsia" w:hAnsi="Times New Roman"/>
                <w:sz w:val="20"/>
                <w:szCs w:val="20"/>
              </w:rPr>
            </w:pPr>
            <w:r w:rsidRPr="0005229A">
              <w:rPr>
                <w:rFonts w:ascii="Times New Roman" w:eastAsiaTheme="minorEastAsia" w:hAnsi="Times New Roman"/>
                <w:sz w:val="20"/>
                <w:szCs w:val="20"/>
              </w:rPr>
              <w:t>Hyrja ne plazh, tek Policia, Bunkeri</w:t>
            </w:r>
          </w:p>
        </w:tc>
        <w:tc>
          <w:tcPr>
            <w:tcW w:w="119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424</w:t>
            </w:r>
          </w:p>
        </w:tc>
        <w:tc>
          <w:tcPr>
            <w:tcW w:w="1124"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17"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276</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12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C</w:t>
            </w:r>
          </w:p>
        </w:tc>
        <w:tc>
          <w:tcPr>
            <w:tcW w:w="1781" w:type="dxa"/>
            <w:vMerge w:val="restart"/>
            <w:tcBorders>
              <w:top w:val="single" w:sz="4" w:space="0" w:color="auto"/>
              <w:left w:val="single" w:sz="4" w:space="0" w:color="auto"/>
              <w:right w:val="single" w:sz="4" w:space="0" w:color="auto"/>
            </w:tcBorders>
          </w:tcPr>
          <w:p w:rsidR="0005229A" w:rsidRPr="0005229A" w:rsidRDefault="0005229A" w:rsidP="0005229A">
            <w:pPr>
              <w:widowControl w:val="0"/>
              <w:autoSpaceDE w:val="0"/>
              <w:autoSpaceDN w:val="0"/>
              <w:spacing w:after="0" w:line="217"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43%, A-Cilësi e</w:t>
            </w:r>
          </w:p>
          <w:p w:rsidR="0005229A" w:rsidRPr="0005229A" w:rsidRDefault="0005229A" w:rsidP="0005229A">
            <w:pPr>
              <w:widowControl w:val="0"/>
              <w:autoSpaceDE w:val="0"/>
              <w:autoSpaceDN w:val="0"/>
              <w:spacing w:after="0" w:line="217"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 xml:space="preserve"> Shkëlqyer</w:t>
            </w:r>
          </w:p>
          <w:p w:rsidR="0005229A" w:rsidRPr="0005229A" w:rsidRDefault="0005229A" w:rsidP="0005229A">
            <w:pPr>
              <w:widowControl w:val="0"/>
              <w:autoSpaceDE w:val="0"/>
              <w:autoSpaceDN w:val="0"/>
              <w:spacing w:after="0" w:line="217"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28.5%, Cilësi e mirë</w:t>
            </w:r>
          </w:p>
          <w:p w:rsidR="0005229A" w:rsidRPr="0005229A" w:rsidRDefault="0005229A" w:rsidP="0005229A">
            <w:pPr>
              <w:widowControl w:val="0"/>
              <w:autoSpaceDE w:val="0"/>
              <w:autoSpaceDN w:val="0"/>
              <w:spacing w:after="0" w:line="199"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28.5%, Cilësi e mjaftueshme</w:t>
            </w:r>
          </w:p>
        </w:tc>
      </w:tr>
      <w:tr w:rsidR="0005229A" w:rsidRPr="0005229A" w:rsidTr="002D7C3E">
        <w:trPr>
          <w:trHeight w:val="237"/>
        </w:trPr>
        <w:tc>
          <w:tcPr>
            <w:tcW w:w="12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6"/>
              <w:jc w:val="center"/>
              <w:rPr>
                <w:rFonts w:ascii="Times New Roman" w:eastAsia="Times New Roman" w:hAnsi="Times New Roman" w:cs="Times New Roman"/>
                <w:sz w:val="20"/>
                <w:szCs w:val="20"/>
                <w:lang w:val="sq-AL"/>
              </w:rPr>
            </w:pPr>
            <w:r w:rsidRPr="0005229A">
              <w:rPr>
                <w:rFonts w:ascii="Times New Roman" w:eastAsia="Times New Roman" w:hAnsi="Times New Roman" w:cs="Times New Roman"/>
                <w:w w:val="102"/>
                <w:sz w:val="20"/>
                <w:szCs w:val="20"/>
                <w:lang w:val="sq-AL"/>
              </w:rPr>
              <w:t>2</w:t>
            </w:r>
          </w:p>
        </w:tc>
        <w:tc>
          <w:tcPr>
            <w:tcW w:w="3113" w:type="dxa"/>
            <w:tcBorders>
              <w:top w:val="single" w:sz="4" w:space="0" w:color="auto"/>
              <w:left w:val="single" w:sz="4" w:space="0" w:color="auto"/>
              <w:bottom w:val="single" w:sz="4" w:space="0" w:color="auto"/>
              <w:right w:val="single" w:sz="4" w:space="0" w:color="auto"/>
            </w:tcBorders>
            <w:shd w:val="clear" w:color="auto" w:fill="auto"/>
            <w:vAlign w:val="bottom"/>
          </w:tcPr>
          <w:p w:rsidR="0005229A" w:rsidRPr="0005229A" w:rsidRDefault="0005229A" w:rsidP="0005229A">
            <w:pPr>
              <w:spacing w:after="200" w:line="288" w:lineRule="auto"/>
              <w:rPr>
                <w:rFonts w:ascii="Times New Roman" w:eastAsiaTheme="minorEastAsia" w:hAnsi="Times New Roman"/>
                <w:sz w:val="20"/>
                <w:szCs w:val="20"/>
              </w:rPr>
            </w:pPr>
            <w:r w:rsidRPr="0005229A">
              <w:rPr>
                <w:rFonts w:ascii="Times New Roman" w:eastAsiaTheme="minorEastAsia" w:hAnsi="Times New Roman"/>
                <w:sz w:val="20"/>
                <w:szCs w:val="20"/>
              </w:rPr>
              <w:t>Kulla e Ujit</w:t>
            </w:r>
          </w:p>
        </w:tc>
        <w:tc>
          <w:tcPr>
            <w:tcW w:w="119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293</w:t>
            </w:r>
          </w:p>
        </w:tc>
        <w:tc>
          <w:tcPr>
            <w:tcW w:w="1124"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81"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156</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12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781" w:type="dxa"/>
            <w:vMerge/>
            <w:tcBorders>
              <w:left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75"/>
              <w:rPr>
                <w:rFonts w:ascii="Times New Roman" w:eastAsia="Times New Roman" w:hAnsi="Times New Roman" w:cs="Times New Roman"/>
                <w:sz w:val="20"/>
                <w:szCs w:val="20"/>
                <w:lang w:val="sq-AL"/>
              </w:rPr>
            </w:pPr>
          </w:p>
        </w:tc>
      </w:tr>
      <w:tr w:rsidR="0005229A" w:rsidRPr="0005229A" w:rsidTr="002D7C3E">
        <w:trPr>
          <w:trHeight w:val="257"/>
        </w:trPr>
        <w:tc>
          <w:tcPr>
            <w:tcW w:w="12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6"/>
              <w:jc w:val="center"/>
              <w:rPr>
                <w:rFonts w:ascii="Times New Roman" w:eastAsia="Times New Roman" w:hAnsi="Times New Roman" w:cs="Times New Roman"/>
                <w:sz w:val="20"/>
                <w:szCs w:val="20"/>
                <w:lang w:val="sq-AL"/>
              </w:rPr>
            </w:pPr>
            <w:r w:rsidRPr="0005229A">
              <w:rPr>
                <w:rFonts w:ascii="Times New Roman" w:eastAsia="Times New Roman" w:hAnsi="Times New Roman" w:cs="Times New Roman"/>
                <w:w w:val="102"/>
                <w:sz w:val="20"/>
                <w:szCs w:val="20"/>
                <w:lang w:val="sq-AL"/>
              </w:rPr>
              <w:t>3</w:t>
            </w:r>
          </w:p>
        </w:tc>
        <w:tc>
          <w:tcPr>
            <w:tcW w:w="3113" w:type="dxa"/>
            <w:tcBorders>
              <w:top w:val="single" w:sz="4" w:space="0" w:color="auto"/>
              <w:left w:val="single" w:sz="4" w:space="0" w:color="auto"/>
              <w:bottom w:val="single" w:sz="4" w:space="0" w:color="auto"/>
              <w:right w:val="single" w:sz="4" w:space="0" w:color="auto"/>
            </w:tcBorders>
            <w:shd w:val="clear" w:color="auto" w:fill="auto"/>
            <w:vAlign w:val="bottom"/>
          </w:tcPr>
          <w:p w:rsidR="0005229A" w:rsidRPr="0005229A" w:rsidRDefault="0005229A" w:rsidP="0005229A">
            <w:pPr>
              <w:spacing w:after="200" w:line="288" w:lineRule="auto"/>
              <w:rPr>
                <w:rFonts w:ascii="Times New Roman" w:eastAsiaTheme="minorEastAsia" w:hAnsi="Times New Roman"/>
                <w:sz w:val="20"/>
                <w:szCs w:val="20"/>
              </w:rPr>
            </w:pPr>
            <w:r w:rsidRPr="0005229A">
              <w:rPr>
                <w:rFonts w:ascii="Times New Roman" w:eastAsiaTheme="minorEastAsia" w:hAnsi="Times New Roman"/>
                <w:sz w:val="20"/>
                <w:szCs w:val="20"/>
              </w:rPr>
              <w:t>Plazhi Darzeze</w:t>
            </w:r>
          </w:p>
        </w:tc>
        <w:tc>
          <w:tcPr>
            <w:tcW w:w="119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190</w:t>
            </w:r>
          </w:p>
        </w:tc>
        <w:tc>
          <w:tcPr>
            <w:tcW w:w="1124"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115</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12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B</w:t>
            </w:r>
          </w:p>
        </w:tc>
        <w:tc>
          <w:tcPr>
            <w:tcW w:w="1781" w:type="dxa"/>
            <w:vMerge/>
            <w:tcBorders>
              <w:left w:val="single" w:sz="4" w:space="0" w:color="auto"/>
              <w:bottom w:val="nil"/>
              <w:right w:val="single" w:sz="4" w:space="0" w:color="auto"/>
            </w:tcBorders>
          </w:tcPr>
          <w:p w:rsidR="0005229A" w:rsidRPr="0005229A" w:rsidRDefault="0005229A" w:rsidP="0005229A">
            <w:pPr>
              <w:widowControl w:val="0"/>
              <w:autoSpaceDE w:val="0"/>
              <w:autoSpaceDN w:val="0"/>
              <w:spacing w:after="0" w:line="199" w:lineRule="exact"/>
              <w:ind w:left="75"/>
              <w:rPr>
                <w:rFonts w:ascii="Times New Roman" w:eastAsia="Times New Roman" w:hAnsi="Times New Roman" w:cs="Times New Roman"/>
                <w:sz w:val="20"/>
                <w:szCs w:val="20"/>
                <w:lang w:val="sq-AL"/>
              </w:rPr>
            </w:pPr>
          </w:p>
        </w:tc>
      </w:tr>
      <w:tr w:rsidR="0005229A" w:rsidRPr="0005229A" w:rsidTr="002D7C3E">
        <w:trPr>
          <w:trHeight w:val="347"/>
        </w:trPr>
        <w:tc>
          <w:tcPr>
            <w:tcW w:w="12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6"/>
              <w:jc w:val="center"/>
              <w:rPr>
                <w:rFonts w:ascii="Times New Roman" w:eastAsia="Times New Roman" w:hAnsi="Times New Roman" w:cs="Times New Roman"/>
                <w:w w:val="102"/>
                <w:sz w:val="20"/>
                <w:szCs w:val="20"/>
                <w:lang w:val="sq-AL"/>
              </w:rPr>
            </w:pPr>
            <w:r w:rsidRPr="0005229A">
              <w:rPr>
                <w:rFonts w:ascii="Times New Roman" w:eastAsia="Times New Roman" w:hAnsi="Times New Roman" w:cs="Times New Roman"/>
                <w:w w:val="102"/>
                <w:sz w:val="20"/>
                <w:szCs w:val="20"/>
                <w:lang w:val="sq-AL"/>
              </w:rPr>
              <w:t>4</w:t>
            </w:r>
          </w:p>
        </w:tc>
        <w:tc>
          <w:tcPr>
            <w:tcW w:w="3113" w:type="dxa"/>
            <w:tcBorders>
              <w:top w:val="single" w:sz="4" w:space="0" w:color="auto"/>
              <w:left w:val="single" w:sz="4" w:space="0" w:color="auto"/>
              <w:bottom w:val="single" w:sz="4" w:space="0" w:color="auto"/>
              <w:right w:val="single" w:sz="4" w:space="0" w:color="auto"/>
            </w:tcBorders>
            <w:shd w:val="clear" w:color="auto" w:fill="auto"/>
            <w:vAlign w:val="bottom"/>
          </w:tcPr>
          <w:p w:rsidR="0005229A" w:rsidRPr="0005229A" w:rsidRDefault="0005229A" w:rsidP="0005229A">
            <w:pPr>
              <w:spacing w:after="200" w:line="288" w:lineRule="auto"/>
              <w:jc w:val="both"/>
              <w:rPr>
                <w:rFonts w:ascii="Times New Roman" w:eastAsiaTheme="minorEastAsia" w:hAnsi="Times New Roman"/>
                <w:sz w:val="20"/>
                <w:szCs w:val="20"/>
              </w:rPr>
            </w:pPr>
            <w:r w:rsidRPr="0005229A">
              <w:rPr>
                <w:rFonts w:ascii="Times New Roman" w:eastAsiaTheme="minorEastAsia" w:hAnsi="Times New Roman"/>
                <w:sz w:val="20"/>
                <w:szCs w:val="20"/>
              </w:rPr>
              <w:t>Lokali Gjermanit Seman</w:t>
            </w:r>
          </w:p>
        </w:tc>
        <w:tc>
          <w:tcPr>
            <w:tcW w:w="119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155</w:t>
            </w:r>
          </w:p>
        </w:tc>
        <w:tc>
          <w:tcPr>
            <w:tcW w:w="1124"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62</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12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A</w:t>
            </w:r>
          </w:p>
        </w:tc>
        <w:tc>
          <w:tcPr>
            <w:tcW w:w="1781" w:type="dxa"/>
            <w:tcBorders>
              <w:top w:val="nil"/>
              <w:left w:val="single" w:sz="4" w:space="0" w:color="auto"/>
              <w:bottom w:val="nil"/>
              <w:right w:val="single" w:sz="4" w:space="0" w:color="auto"/>
            </w:tcBorders>
          </w:tcPr>
          <w:p w:rsidR="0005229A" w:rsidRPr="0005229A" w:rsidRDefault="0005229A" w:rsidP="0005229A">
            <w:pPr>
              <w:widowControl w:val="0"/>
              <w:autoSpaceDE w:val="0"/>
              <w:autoSpaceDN w:val="0"/>
              <w:spacing w:after="0" w:line="199" w:lineRule="exact"/>
              <w:ind w:left="75"/>
              <w:rPr>
                <w:rFonts w:ascii="Times New Roman" w:eastAsia="Times New Roman" w:hAnsi="Times New Roman" w:cs="Times New Roman"/>
                <w:sz w:val="20"/>
                <w:szCs w:val="20"/>
                <w:lang w:val="sq-AL"/>
              </w:rPr>
            </w:pPr>
          </w:p>
        </w:tc>
      </w:tr>
      <w:tr w:rsidR="0005229A" w:rsidRPr="0005229A" w:rsidTr="002D7C3E">
        <w:trPr>
          <w:trHeight w:val="194"/>
        </w:trPr>
        <w:tc>
          <w:tcPr>
            <w:tcW w:w="12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6"/>
              <w:jc w:val="center"/>
              <w:rPr>
                <w:rFonts w:ascii="Times New Roman" w:eastAsia="Times New Roman" w:hAnsi="Times New Roman" w:cs="Times New Roman"/>
                <w:w w:val="102"/>
                <w:sz w:val="20"/>
                <w:szCs w:val="20"/>
                <w:lang w:val="sq-AL"/>
              </w:rPr>
            </w:pPr>
            <w:r w:rsidRPr="0005229A">
              <w:rPr>
                <w:rFonts w:ascii="Times New Roman" w:eastAsia="Times New Roman" w:hAnsi="Times New Roman" w:cs="Times New Roman"/>
                <w:w w:val="102"/>
                <w:sz w:val="20"/>
                <w:szCs w:val="20"/>
                <w:lang w:val="sq-AL"/>
              </w:rPr>
              <w:t>5</w:t>
            </w:r>
          </w:p>
        </w:tc>
        <w:tc>
          <w:tcPr>
            <w:tcW w:w="3113" w:type="dxa"/>
            <w:tcBorders>
              <w:top w:val="single" w:sz="4" w:space="0" w:color="auto"/>
              <w:left w:val="single" w:sz="4" w:space="0" w:color="auto"/>
              <w:bottom w:val="single" w:sz="4" w:space="0" w:color="auto"/>
              <w:right w:val="single" w:sz="4" w:space="0" w:color="auto"/>
            </w:tcBorders>
            <w:shd w:val="clear" w:color="auto" w:fill="auto"/>
            <w:vAlign w:val="bottom"/>
          </w:tcPr>
          <w:p w:rsidR="0005229A" w:rsidRPr="0005229A" w:rsidRDefault="0005229A" w:rsidP="0005229A">
            <w:pPr>
              <w:spacing w:after="200" w:line="288" w:lineRule="auto"/>
              <w:jc w:val="both"/>
              <w:rPr>
                <w:rFonts w:ascii="Times New Roman" w:eastAsiaTheme="minorEastAsia" w:hAnsi="Times New Roman"/>
                <w:sz w:val="20"/>
                <w:szCs w:val="20"/>
              </w:rPr>
            </w:pPr>
            <w:r w:rsidRPr="0005229A">
              <w:rPr>
                <w:rFonts w:ascii="Times New Roman" w:eastAsiaTheme="minorEastAsia" w:hAnsi="Times New Roman"/>
                <w:sz w:val="20"/>
                <w:szCs w:val="20"/>
              </w:rPr>
              <w:t>Bar restorant 4 Flamuj Seman</w:t>
            </w:r>
          </w:p>
        </w:tc>
        <w:tc>
          <w:tcPr>
            <w:tcW w:w="119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105</w:t>
            </w:r>
          </w:p>
        </w:tc>
        <w:tc>
          <w:tcPr>
            <w:tcW w:w="1124"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43</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12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A</w:t>
            </w:r>
          </w:p>
        </w:tc>
        <w:tc>
          <w:tcPr>
            <w:tcW w:w="1781" w:type="dxa"/>
            <w:tcBorders>
              <w:top w:val="nil"/>
              <w:left w:val="single" w:sz="4" w:space="0" w:color="auto"/>
              <w:bottom w:val="nil"/>
              <w:right w:val="single" w:sz="4" w:space="0" w:color="auto"/>
            </w:tcBorders>
          </w:tcPr>
          <w:p w:rsidR="0005229A" w:rsidRPr="0005229A" w:rsidRDefault="0005229A" w:rsidP="0005229A">
            <w:pPr>
              <w:widowControl w:val="0"/>
              <w:autoSpaceDE w:val="0"/>
              <w:autoSpaceDN w:val="0"/>
              <w:spacing w:after="0" w:line="199" w:lineRule="exact"/>
              <w:ind w:left="75"/>
              <w:rPr>
                <w:rFonts w:ascii="Times New Roman" w:eastAsia="Times New Roman" w:hAnsi="Times New Roman" w:cs="Times New Roman"/>
                <w:sz w:val="20"/>
                <w:szCs w:val="20"/>
                <w:lang w:val="sq-AL"/>
              </w:rPr>
            </w:pPr>
          </w:p>
        </w:tc>
      </w:tr>
      <w:tr w:rsidR="0005229A" w:rsidRPr="0005229A" w:rsidTr="002D7C3E">
        <w:trPr>
          <w:trHeight w:val="257"/>
        </w:trPr>
        <w:tc>
          <w:tcPr>
            <w:tcW w:w="12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6"/>
              <w:jc w:val="center"/>
              <w:rPr>
                <w:rFonts w:ascii="Times New Roman" w:eastAsia="Times New Roman" w:hAnsi="Times New Roman" w:cs="Times New Roman"/>
                <w:w w:val="102"/>
                <w:sz w:val="20"/>
                <w:szCs w:val="20"/>
                <w:lang w:val="sq-AL"/>
              </w:rPr>
            </w:pPr>
            <w:r w:rsidRPr="0005229A">
              <w:rPr>
                <w:rFonts w:ascii="Times New Roman" w:eastAsia="Times New Roman" w:hAnsi="Times New Roman" w:cs="Times New Roman"/>
                <w:w w:val="102"/>
                <w:sz w:val="20"/>
                <w:szCs w:val="20"/>
                <w:lang w:val="sq-AL"/>
              </w:rPr>
              <w:t>6</w:t>
            </w:r>
          </w:p>
        </w:tc>
        <w:tc>
          <w:tcPr>
            <w:tcW w:w="3113" w:type="dxa"/>
            <w:tcBorders>
              <w:top w:val="single" w:sz="4" w:space="0" w:color="auto"/>
              <w:left w:val="single" w:sz="4" w:space="0" w:color="auto"/>
              <w:bottom w:val="single" w:sz="4" w:space="0" w:color="auto"/>
              <w:right w:val="single" w:sz="4" w:space="0" w:color="auto"/>
            </w:tcBorders>
            <w:shd w:val="clear" w:color="auto" w:fill="auto"/>
            <w:vAlign w:val="bottom"/>
          </w:tcPr>
          <w:p w:rsidR="0005229A" w:rsidRPr="0005229A" w:rsidRDefault="0005229A" w:rsidP="0005229A">
            <w:pPr>
              <w:spacing w:after="200" w:line="288" w:lineRule="auto"/>
              <w:jc w:val="both"/>
              <w:rPr>
                <w:rFonts w:ascii="Times New Roman" w:eastAsiaTheme="minorEastAsia" w:hAnsi="Times New Roman"/>
                <w:sz w:val="20"/>
                <w:szCs w:val="20"/>
              </w:rPr>
            </w:pPr>
            <w:r w:rsidRPr="0005229A">
              <w:rPr>
                <w:rFonts w:ascii="Times New Roman" w:eastAsiaTheme="minorEastAsia" w:hAnsi="Times New Roman"/>
                <w:sz w:val="20"/>
                <w:szCs w:val="20"/>
              </w:rPr>
              <w:t>Lokali Ilir Lani Darzez</w:t>
            </w:r>
          </w:p>
        </w:tc>
        <w:tc>
          <w:tcPr>
            <w:tcW w:w="119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179</w:t>
            </w:r>
          </w:p>
        </w:tc>
        <w:tc>
          <w:tcPr>
            <w:tcW w:w="1124"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217</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12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C</w:t>
            </w:r>
          </w:p>
        </w:tc>
        <w:tc>
          <w:tcPr>
            <w:tcW w:w="1781" w:type="dxa"/>
            <w:vMerge w:val="restart"/>
            <w:tcBorders>
              <w:top w:val="nil"/>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75"/>
              <w:jc w:val="center"/>
              <w:rPr>
                <w:rFonts w:ascii="Times New Roman" w:eastAsia="Times New Roman" w:hAnsi="Times New Roman" w:cs="Times New Roman"/>
                <w:sz w:val="20"/>
                <w:szCs w:val="20"/>
                <w:lang w:val="sq-AL"/>
              </w:rPr>
            </w:pPr>
          </w:p>
        </w:tc>
      </w:tr>
      <w:tr w:rsidR="0005229A" w:rsidRPr="0005229A" w:rsidTr="00DD196F">
        <w:trPr>
          <w:trHeight w:val="257"/>
        </w:trPr>
        <w:tc>
          <w:tcPr>
            <w:tcW w:w="1216"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6"/>
              <w:jc w:val="center"/>
              <w:rPr>
                <w:rFonts w:ascii="Times New Roman" w:eastAsia="Times New Roman" w:hAnsi="Times New Roman" w:cs="Times New Roman"/>
                <w:w w:val="102"/>
                <w:sz w:val="20"/>
                <w:szCs w:val="20"/>
                <w:lang w:val="sq-AL"/>
              </w:rPr>
            </w:pPr>
            <w:r w:rsidRPr="0005229A">
              <w:rPr>
                <w:rFonts w:ascii="Times New Roman" w:eastAsia="Times New Roman" w:hAnsi="Times New Roman" w:cs="Times New Roman"/>
                <w:w w:val="102"/>
                <w:sz w:val="20"/>
                <w:szCs w:val="20"/>
                <w:lang w:val="sq-AL"/>
              </w:rPr>
              <w:t>7</w:t>
            </w:r>
          </w:p>
        </w:tc>
        <w:tc>
          <w:tcPr>
            <w:tcW w:w="3113" w:type="dxa"/>
            <w:tcBorders>
              <w:top w:val="single" w:sz="4" w:space="0" w:color="auto"/>
              <w:left w:val="single" w:sz="4" w:space="0" w:color="auto"/>
              <w:bottom w:val="single" w:sz="4" w:space="0" w:color="auto"/>
              <w:right w:val="single" w:sz="4" w:space="0" w:color="auto"/>
            </w:tcBorders>
            <w:shd w:val="clear" w:color="auto" w:fill="auto"/>
            <w:vAlign w:val="bottom"/>
          </w:tcPr>
          <w:p w:rsidR="0005229A" w:rsidRPr="0005229A" w:rsidRDefault="0005229A" w:rsidP="0005229A">
            <w:pPr>
              <w:spacing w:after="200" w:line="288" w:lineRule="auto"/>
              <w:jc w:val="both"/>
              <w:rPr>
                <w:rFonts w:ascii="Times New Roman" w:eastAsiaTheme="minorEastAsia" w:hAnsi="Times New Roman"/>
                <w:sz w:val="20"/>
                <w:szCs w:val="20"/>
              </w:rPr>
            </w:pPr>
            <w:r w:rsidRPr="0005229A">
              <w:rPr>
                <w:rFonts w:ascii="Times New Roman" w:eastAsiaTheme="minorEastAsia" w:hAnsi="Times New Roman"/>
                <w:sz w:val="20"/>
                <w:szCs w:val="20"/>
              </w:rPr>
              <w:t>Ish reparti ushtarak Pish Poro</w:t>
            </w:r>
          </w:p>
        </w:tc>
        <w:tc>
          <w:tcPr>
            <w:tcW w:w="119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73</w:t>
            </w:r>
          </w:p>
        </w:tc>
        <w:tc>
          <w:tcPr>
            <w:tcW w:w="1124"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9" w:lineRule="exact"/>
              <w:ind w:left="75"/>
              <w:rPr>
                <w:rFonts w:ascii="Times New Roman" w:eastAsia="Times New Roman" w:hAnsi="Times New Roman" w:cs="Times New Roman"/>
                <w:sz w:val="20"/>
                <w:szCs w:val="20"/>
                <w:lang w:val="sq-AL"/>
              </w:rPr>
            </w:pPr>
            <w:r w:rsidRPr="0005229A">
              <w:rPr>
                <w:rFonts w:ascii="Times New Roman" w:eastAsia="Times New Roman" w:hAnsi="Times New Roman" w:cs="Times New Roman"/>
                <w:sz w:val="20"/>
                <w:szCs w:val="20"/>
                <w:lang w:val="sq-AL"/>
              </w:rPr>
              <w:t>74</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05229A" w:rsidRPr="0005229A" w:rsidRDefault="0005229A" w:rsidP="0005229A">
            <w:pPr>
              <w:spacing w:after="120" w:line="240" w:lineRule="auto"/>
              <w:jc w:val="center"/>
              <w:rPr>
                <w:rFonts w:ascii="Times New Roman" w:eastAsiaTheme="minorEastAsia" w:hAnsi="Times New Roman"/>
                <w:sz w:val="20"/>
                <w:szCs w:val="20"/>
              </w:rPr>
            </w:pPr>
            <w:r w:rsidRPr="0005229A">
              <w:rPr>
                <w:rFonts w:ascii="Times New Roman" w:eastAsiaTheme="minorEastAsia" w:hAnsi="Times New Roman"/>
                <w:sz w:val="20"/>
                <w:szCs w:val="20"/>
              </w:rPr>
              <w:t>A</w:t>
            </w:r>
          </w:p>
        </w:tc>
        <w:tc>
          <w:tcPr>
            <w:tcW w:w="1781" w:type="dxa"/>
            <w:vMerge/>
            <w:tcBorders>
              <w:top w:val="single" w:sz="4" w:space="0" w:color="auto"/>
              <w:left w:val="single" w:sz="4" w:space="0" w:color="auto"/>
              <w:bottom w:val="single" w:sz="4" w:space="0" w:color="000000"/>
              <w:right w:val="double" w:sz="2" w:space="0" w:color="4471C4"/>
            </w:tcBorders>
          </w:tcPr>
          <w:p w:rsidR="0005229A" w:rsidRPr="0005229A" w:rsidRDefault="0005229A" w:rsidP="0005229A">
            <w:pPr>
              <w:widowControl w:val="0"/>
              <w:autoSpaceDE w:val="0"/>
              <w:autoSpaceDN w:val="0"/>
              <w:spacing w:after="0" w:line="199" w:lineRule="exact"/>
              <w:ind w:left="75"/>
              <w:rPr>
                <w:rFonts w:ascii="Times New Roman" w:eastAsia="Times New Roman" w:hAnsi="Times New Roman" w:cs="Times New Roman"/>
                <w:sz w:val="20"/>
                <w:szCs w:val="20"/>
                <w:lang w:val="sq-AL"/>
              </w:rPr>
            </w:pPr>
          </w:p>
        </w:tc>
      </w:tr>
    </w:tbl>
    <w:p w:rsidR="00854864" w:rsidRDefault="00854864" w:rsidP="0005229A">
      <w:pPr>
        <w:spacing w:after="200" w:line="288" w:lineRule="auto"/>
        <w:rPr>
          <w:rFonts w:ascii="Times New Roman" w:eastAsiaTheme="minorEastAsia" w:hAnsi="Times New Roman" w:cs="Times New Roman"/>
          <w:sz w:val="24"/>
          <w:szCs w:val="24"/>
        </w:rPr>
      </w:pPr>
    </w:p>
    <w:p w:rsidR="00854864" w:rsidRDefault="00854864" w:rsidP="0005229A">
      <w:pPr>
        <w:spacing w:after="200" w:line="288" w:lineRule="auto"/>
        <w:rPr>
          <w:rFonts w:ascii="Times New Roman" w:eastAsiaTheme="minorEastAsia" w:hAnsi="Times New Roman" w:cs="Times New Roman"/>
          <w:sz w:val="24"/>
          <w:szCs w:val="24"/>
        </w:rPr>
      </w:pP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25984" behindDoc="0" locked="0" layoutInCell="1" allowOverlap="1" wp14:anchorId="5FDF4814" wp14:editId="13DD06CD">
                <wp:simplePos x="0" y="0"/>
                <wp:positionH relativeFrom="column">
                  <wp:posOffset>3038475</wp:posOffset>
                </wp:positionH>
                <wp:positionV relativeFrom="paragraph">
                  <wp:posOffset>336550</wp:posOffset>
                </wp:positionV>
                <wp:extent cx="3133725" cy="2676525"/>
                <wp:effectExtent l="0" t="0" r="28575" b="28575"/>
                <wp:wrapNone/>
                <wp:docPr id="37" name="Rectangle 37"/>
                <wp:cNvGraphicFramePr/>
                <a:graphic xmlns:a="http://schemas.openxmlformats.org/drawingml/2006/main">
                  <a:graphicData uri="http://schemas.microsoft.com/office/word/2010/wordprocessingShape">
                    <wps:wsp>
                      <wps:cNvSpPr/>
                      <wps:spPr>
                        <a:xfrm>
                          <a:off x="0" y="0"/>
                          <a:ext cx="3133725" cy="2676525"/>
                        </a:xfrm>
                        <a:prstGeom prst="rect">
                          <a:avLst/>
                        </a:prstGeom>
                        <a:solidFill>
                          <a:sysClr val="window" lastClr="FFFFFF"/>
                        </a:solidFill>
                        <a:ln w="12700" cap="flat" cmpd="sng" algn="ctr">
                          <a:solidFill>
                            <a:srgbClr val="70AD47"/>
                          </a:solidFill>
                          <a:prstDash val="solid"/>
                          <a:miter lim="800000"/>
                        </a:ln>
                        <a:effectLst/>
                      </wps:spPr>
                      <wps:txbx>
                        <w:txbxContent>
                          <w:p w:rsidR="0064059F" w:rsidRDefault="0064059F" w:rsidP="003C64EC">
                            <w:pPr>
                              <w:jc w:val="both"/>
                              <w:rPr>
                                <w:rFonts w:ascii="Times New Roman" w:hAnsi="Times New Roman" w:cs="Times New Roman"/>
                                <w:sz w:val="20"/>
                                <w:szCs w:val="20"/>
                              </w:rPr>
                            </w:pPr>
                            <w:r w:rsidRPr="007B0CF2">
                              <w:rPr>
                                <w:rFonts w:ascii="Times New Roman" w:hAnsi="Times New Roman" w:cs="Times New Roman"/>
                                <w:sz w:val="20"/>
                                <w:szCs w:val="20"/>
                              </w:rPr>
                              <w:t xml:space="preserve">Për plazhin e </w:t>
                            </w:r>
                            <w:r>
                              <w:rPr>
                                <w:rFonts w:ascii="Times New Roman" w:hAnsi="Times New Roman" w:cs="Times New Roman"/>
                                <w:sz w:val="20"/>
                                <w:szCs w:val="20"/>
                              </w:rPr>
                              <w:t xml:space="preserve">Seman-Darzezë, për vitin 2025  </w:t>
                            </w:r>
                            <w:r w:rsidRPr="007B0CF2">
                              <w:rPr>
                                <w:rFonts w:ascii="Times New Roman" w:hAnsi="Times New Roman" w:cs="Times New Roman"/>
                                <w:sz w:val="20"/>
                                <w:szCs w:val="20"/>
                              </w:rPr>
                              <w:t xml:space="preserve"> </w:t>
                            </w:r>
                            <w:r>
                              <w:rPr>
                                <w:rFonts w:ascii="Times New Roman" w:hAnsi="Times New Roman" w:cs="Times New Roman"/>
                                <w:sz w:val="20"/>
                                <w:szCs w:val="20"/>
                              </w:rPr>
                              <w:t>n</w:t>
                            </w:r>
                            <w:r w:rsidRPr="007B0CF2">
                              <w:rPr>
                                <w:rFonts w:ascii="Times New Roman" w:hAnsi="Times New Roman" w:cs="Times New Roman"/>
                                <w:sz w:val="20"/>
                                <w:szCs w:val="20"/>
                              </w:rPr>
                              <w:t>umri stacioneve të monitorimit që i përkasin kategorisë</w:t>
                            </w:r>
                          </w:p>
                          <w:p w:rsidR="0064059F" w:rsidRDefault="0064059F" w:rsidP="003C64EC">
                            <w:pPr>
                              <w:jc w:val="both"/>
                              <w:rPr>
                                <w:rFonts w:ascii="Times New Roman" w:hAnsi="Times New Roman" w:cs="Times New Roman"/>
                                <w:sz w:val="20"/>
                                <w:szCs w:val="20"/>
                              </w:rPr>
                            </w:pPr>
                            <w:r w:rsidRPr="007B0CF2">
                              <w:rPr>
                                <w:rFonts w:ascii="Times New Roman" w:hAnsi="Times New Roman" w:cs="Times New Roman"/>
                                <w:sz w:val="20"/>
                                <w:szCs w:val="20"/>
                              </w:rPr>
                              <w:t>A</w:t>
                            </w:r>
                            <w:r>
                              <w:rPr>
                                <w:rFonts w:ascii="Times New Roman" w:hAnsi="Times New Roman" w:cs="Times New Roman"/>
                                <w:sz w:val="20"/>
                                <w:szCs w:val="20"/>
                              </w:rPr>
                              <w:t>-Cilësi e Shkëlqyer</w:t>
                            </w:r>
                            <w:r w:rsidRPr="007B0CF2">
                              <w:rPr>
                                <w:rFonts w:ascii="Times New Roman" w:hAnsi="Times New Roman" w:cs="Times New Roman"/>
                                <w:sz w:val="20"/>
                                <w:szCs w:val="20"/>
                              </w:rPr>
                              <w:t xml:space="preserve"> </w:t>
                            </w:r>
                            <w:r>
                              <w:rPr>
                                <w:rFonts w:ascii="Times New Roman" w:hAnsi="Times New Roman" w:cs="Times New Roman"/>
                                <w:sz w:val="20"/>
                                <w:szCs w:val="20"/>
                              </w:rPr>
                              <w:t xml:space="preserve">e </w:t>
                            </w:r>
                            <w:r w:rsidRPr="007B0CF2">
                              <w:rPr>
                                <w:rFonts w:ascii="Times New Roman" w:hAnsi="Times New Roman" w:cs="Times New Roman"/>
                                <w:sz w:val="20"/>
                                <w:szCs w:val="20"/>
                              </w:rPr>
                              <w:t>ujërave</w:t>
                            </w:r>
                            <w:r>
                              <w:rPr>
                                <w:rFonts w:ascii="Times New Roman" w:hAnsi="Times New Roman" w:cs="Times New Roman"/>
                                <w:sz w:val="20"/>
                                <w:szCs w:val="20"/>
                              </w:rPr>
                              <w:t xml:space="preserve"> </w:t>
                            </w:r>
                            <w:r w:rsidRPr="00E94D31">
                              <w:rPr>
                                <w:rFonts w:ascii="Times New Roman" w:hAnsi="Times New Roman" w:cs="Times New Roman"/>
                                <w:sz w:val="20"/>
                                <w:szCs w:val="20"/>
                              </w:rPr>
                              <w:t>është më i ulët</w:t>
                            </w:r>
                            <w:r>
                              <w:rPr>
                                <w:rFonts w:ascii="Times New Roman" w:hAnsi="Times New Roman" w:cs="Times New Roman"/>
                                <w:sz w:val="20"/>
                                <w:szCs w:val="20"/>
                              </w:rPr>
                              <w:t xml:space="preserve"> në krahasim me 2020-</w:t>
                            </w:r>
                            <w:r w:rsidRPr="00E94D31">
                              <w:rPr>
                                <w:rFonts w:ascii="Times New Roman" w:hAnsi="Times New Roman" w:cs="Times New Roman"/>
                                <w:sz w:val="20"/>
                                <w:szCs w:val="20"/>
                              </w:rPr>
                              <w:t xml:space="preserve"> </w:t>
                            </w:r>
                            <w:r>
                              <w:rPr>
                                <w:rFonts w:ascii="Times New Roman" w:hAnsi="Times New Roman" w:cs="Times New Roman"/>
                                <w:sz w:val="20"/>
                                <w:szCs w:val="20"/>
                              </w:rPr>
                              <w:t xml:space="preserve">2022, i barabarte me vitin 2023 dhe më i lartë </w:t>
                            </w:r>
                            <w:r w:rsidRPr="00E94D31">
                              <w:rPr>
                                <w:rFonts w:ascii="Times New Roman" w:hAnsi="Times New Roman" w:cs="Times New Roman"/>
                                <w:sz w:val="20"/>
                                <w:szCs w:val="20"/>
                              </w:rPr>
                              <w:t xml:space="preserve">me </w:t>
                            </w:r>
                            <w:r>
                              <w:rPr>
                                <w:rFonts w:ascii="Times New Roman" w:hAnsi="Times New Roman" w:cs="Times New Roman"/>
                                <w:sz w:val="20"/>
                                <w:szCs w:val="20"/>
                              </w:rPr>
                              <w:t>vitin 2024</w:t>
                            </w:r>
                          </w:p>
                          <w:p w:rsidR="0064059F" w:rsidRPr="007B0CF2" w:rsidRDefault="0064059F" w:rsidP="003C64EC">
                            <w:pPr>
                              <w:jc w:val="both"/>
                              <w:rPr>
                                <w:rFonts w:ascii="Times New Roman" w:hAnsi="Times New Roman" w:cs="Times New Roman"/>
                                <w:sz w:val="20"/>
                                <w:szCs w:val="20"/>
                              </w:rPr>
                            </w:pPr>
                            <w:r w:rsidRPr="007B0CF2">
                              <w:rPr>
                                <w:rFonts w:ascii="Times New Roman" w:hAnsi="Times New Roman" w:cs="Times New Roman"/>
                                <w:sz w:val="20"/>
                                <w:szCs w:val="20"/>
                              </w:rPr>
                              <w:t>B – Cilësia</w:t>
                            </w:r>
                            <w:r>
                              <w:rPr>
                                <w:rFonts w:ascii="Times New Roman" w:hAnsi="Times New Roman" w:cs="Times New Roman"/>
                                <w:sz w:val="20"/>
                                <w:szCs w:val="20"/>
                              </w:rPr>
                              <w:t xml:space="preserve"> e mirë e ujërave është më </w:t>
                            </w:r>
                            <w:r w:rsidRPr="007B0CF2">
                              <w:rPr>
                                <w:rFonts w:ascii="Times New Roman" w:hAnsi="Times New Roman" w:cs="Times New Roman"/>
                                <w:sz w:val="20"/>
                                <w:szCs w:val="20"/>
                              </w:rPr>
                              <w:t xml:space="preserve">i </w:t>
                            </w:r>
                            <w:r>
                              <w:rPr>
                                <w:rFonts w:ascii="Times New Roman" w:hAnsi="Times New Roman" w:cs="Times New Roman"/>
                                <w:sz w:val="20"/>
                                <w:szCs w:val="20"/>
                              </w:rPr>
                              <w:t>lartë në krahasim me vitet 2020-</w:t>
                            </w:r>
                            <w:r w:rsidRPr="007B0CF2">
                              <w:rPr>
                                <w:rFonts w:ascii="Times New Roman" w:hAnsi="Times New Roman" w:cs="Times New Roman"/>
                                <w:sz w:val="20"/>
                                <w:szCs w:val="20"/>
                              </w:rPr>
                              <w:t>202</w:t>
                            </w:r>
                            <w:r>
                              <w:rPr>
                                <w:rFonts w:ascii="Times New Roman" w:hAnsi="Times New Roman" w:cs="Times New Roman"/>
                                <w:sz w:val="20"/>
                                <w:szCs w:val="20"/>
                              </w:rPr>
                              <w:t>2 dhe me i ulët se 2023-2024.</w:t>
                            </w:r>
                          </w:p>
                          <w:p w:rsidR="0064059F" w:rsidRDefault="0064059F" w:rsidP="003C64EC">
                            <w:pPr>
                              <w:jc w:val="both"/>
                              <w:rPr>
                                <w:rFonts w:ascii="Times New Roman" w:hAnsi="Times New Roman" w:cs="Times New Roman"/>
                                <w:sz w:val="20"/>
                                <w:szCs w:val="20"/>
                              </w:rPr>
                            </w:pPr>
                            <w:r>
                              <w:rPr>
                                <w:rFonts w:ascii="Times New Roman" w:hAnsi="Times New Roman" w:cs="Times New Roman"/>
                                <w:sz w:val="20"/>
                                <w:szCs w:val="20"/>
                              </w:rPr>
                              <w:t>C- Cilësi e mjaftueshme</w:t>
                            </w:r>
                            <w:r w:rsidRPr="007B0CF2">
                              <w:rPr>
                                <w:rFonts w:ascii="Times New Roman" w:hAnsi="Times New Roman" w:cs="Times New Roman"/>
                                <w:sz w:val="20"/>
                                <w:szCs w:val="20"/>
                              </w:rPr>
                              <w:t>, num</w:t>
                            </w:r>
                            <w:r>
                              <w:rPr>
                                <w:rFonts w:ascii="Times New Roman" w:hAnsi="Times New Roman" w:cs="Times New Roman"/>
                                <w:sz w:val="20"/>
                                <w:szCs w:val="20"/>
                              </w:rPr>
                              <w:t xml:space="preserve">ri  i stacioneve </w:t>
                            </w:r>
                            <w:r w:rsidRPr="00307B09">
                              <w:rPr>
                                <w:rFonts w:ascii="Times New Roman" w:hAnsi="Times New Roman" w:cs="Times New Roman"/>
                                <w:sz w:val="20"/>
                                <w:szCs w:val="20"/>
                              </w:rPr>
                              <w:t>është më  i lartë në krahasim me vitet  2020-202</w:t>
                            </w:r>
                            <w:r>
                              <w:rPr>
                                <w:rFonts w:ascii="Times New Roman" w:hAnsi="Times New Roman" w:cs="Times New Roman"/>
                                <w:sz w:val="20"/>
                                <w:szCs w:val="20"/>
                              </w:rPr>
                              <w:t>4.</w:t>
                            </w:r>
                            <w:r w:rsidRPr="00307B09">
                              <w:rPr>
                                <w:rFonts w:ascii="Times New Roman" w:hAnsi="Times New Roman" w:cs="Times New Roman"/>
                                <w:sz w:val="20"/>
                                <w:szCs w:val="20"/>
                              </w:rPr>
                              <w:t xml:space="preserve"> </w:t>
                            </w:r>
                          </w:p>
                          <w:p w:rsidR="0064059F" w:rsidRPr="007B0CF2" w:rsidRDefault="0064059F" w:rsidP="003C64EC">
                            <w:pPr>
                              <w:jc w:val="both"/>
                              <w:rPr>
                                <w:rFonts w:ascii="Times New Roman" w:hAnsi="Times New Roman" w:cs="Times New Roman"/>
                                <w:sz w:val="20"/>
                                <w:szCs w:val="20"/>
                              </w:rPr>
                            </w:pPr>
                            <w:r>
                              <w:rPr>
                                <w:rFonts w:ascii="Times New Roman" w:hAnsi="Times New Roman" w:cs="Times New Roman"/>
                                <w:sz w:val="20"/>
                                <w:szCs w:val="20"/>
                              </w:rPr>
                              <w:t>Nuk kami stacione të kategorisë D-Cilësi e keqe /Masa të menjëhershme.</w:t>
                            </w:r>
                          </w:p>
                          <w:p w:rsidR="0064059F" w:rsidRDefault="0064059F" w:rsidP="000522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DF4814" id="Rectangle 37" o:spid="_x0000_s1092" style="position:absolute;margin-left:239.25pt;margin-top:26.5pt;width:246.75pt;height:210.75pt;z-index:251625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" fillcolor="window" strokecolor="#70ad47" strokeweight="1pt">
                <v:textbox>
                  <w:txbxContent>
                    <w:p w:rsidR="0064059F" w:rsidRDefault="0064059F" w:rsidP="003C64EC">
                      <w:pPr>
                        <w:jc w:val="both"/>
                        <w:rPr>
                          <w:rFonts w:ascii="Times New Roman" w:hAnsi="Times New Roman" w:cs="Times New Roman"/>
                          <w:sz w:val="20"/>
                          <w:szCs w:val="20"/>
                        </w:rPr>
                      </w:pPr>
                      <w:r w:rsidRPr="007B0CF2">
                        <w:rPr>
                          <w:rFonts w:ascii="Times New Roman" w:hAnsi="Times New Roman" w:cs="Times New Roman"/>
                          <w:sz w:val="20"/>
                          <w:szCs w:val="20"/>
                        </w:rPr>
                        <w:t xml:space="preserve">Për plazhin e </w:t>
                      </w:r>
                      <w:r>
                        <w:rPr>
                          <w:rFonts w:ascii="Times New Roman" w:hAnsi="Times New Roman" w:cs="Times New Roman"/>
                          <w:sz w:val="20"/>
                          <w:szCs w:val="20"/>
                        </w:rPr>
                        <w:t xml:space="preserve">Seman-Darzezë, për vitin 2025  </w:t>
                      </w:r>
                      <w:r w:rsidRPr="007B0CF2">
                        <w:rPr>
                          <w:rFonts w:ascii="Times New Roman" w:hAnsi="Times New Roman" w:cs="Times New Roman"/>
                          <w:sz w:val="20"/>
                          <w:szCs w:val="20"/>
                        </w:rPr>
                        <w:t xml:space="preserve"> </w:t>
                      </w:r>
                      <w:r>
                        <w:rPr>
                          <w:rFonts w:ascii="Times New Roman" w:hAnsi="Times New Roman" w:cs="Times New Roman"/>
                          <w:sz w:val="20"/>
                          <w:szCs w:val="20"/>
                        </w:rPr>
                        <w:t>n</w:t>
                      </w:r>
                      <w:r w:rsidRPr="007B0CF2">
                        <w:rPr>
                          <w:rFonts w:ascii="Times New Roman" w:hAnsi="Times New Roman" w:cs="Times New Roman"/>
                          <w:sz w:val="20"/>
                          <w:szCs w:val="20"/>
                        </w:rPr>
                        <w:t>umri stacioneve të monitorimit që i përkasin kategorisë</w:t>
                      </w:r>
                    </w:p>
                    <w:p w:rsidR="0064059F" w:rsidRDefault="0064059F" w:rsidP="003C64EC">
                      <w:pPr>
                        <w:jc w:val="both"/>
                        <w:rPr>
                          <w:rFonts w:ascii="Times New Roman" w:hAnsi="Times New Roman" w:cs="Times New Roman"/>
                          <w:sz w:val="20"/>
                          <w:szCs w:val="20"/>
                        </w:rPr>
                      </w:pPr>
                      <w:r w:rsidRPr="007B0CF2">
                        <w:rPr>
                          <w:rFonts w:ascii="Times New Roman" w:hAnsi="Times New Roman" w:cs="Times New Roman"/>
                          <w:sz w:val="20"/>
                          <w:szCs w:val="20"/>
                        </w:rPr>
                        <w:t>A</w:t>
                      </w:r>
                      <w:r>
                        <w:rPr>
                          <w:rFonts w:ascii="Times New Roman" w:hAnsi="Times New Roman" w:cs="Times New Roman"/>
                          <w:sz w:val="20"/>
                          <w:szCs w:val="20"/>
                        </w:rPr>
                        <w:t>-Cilësi e Shkëlqyer</w:t>
                      </w:r>
                      <w:r w:rsidRPr="007B0CF2">
                        <w:rPr>
                          <w:rFonts w:ascii="Times New Roman" w:hAnsi="Times New Roman" w:cs="Times New Roman"/>
                          <w:sz w:val="20"/>
                          <w:szCs w:val="20"/>
                        </w:rPr>
                        <w:t xml:space="preserve"> </w:t>
                      </w:r>
                      <w:r>
                        <w:rPr>
                          <w:rFonts w:ascii="Times New Roman" w:hAnsi="Times New Roman" w:cs="Times New Roman"/>
                          <w:sz w:val="20"/>
                          <w:szCs w:val="20"/>
                        </w:rPr>
                        <w:t xml:space="preserve">e </w:t>
                      </w:r>
                      <w:r w:rsidRPr="007B0CF2">
                        <w:rPr>
                          <w:rFonts w:ascii="Times New Roman" w:hAnsi="Times New Roman" w:cs="Times New Roman"/>
                          <w:sz w:val="20"/>
                          <w:szCs w:val="20"/>
                        </w:rPr>
                        <w:t>ujërave</w:t>
                      </w:r>
                      <w:r>
                        <w:rPr>
                          <w:rFonts w:ascii="Times New Roman" w:hAnsi="Times New Roman" w:cs="Times New Roman"/>
                          <w:sz w:val="20"/>
                          <w:szCs w:val="20"/>
                        </w:rPr>
                        <w:t xml:space="preserve"> </w:t>
                      </w:r>
                      <w:r w:rsidRPr="00E94D31">
                        <w:rPr>
                          <w:rFonts w:ascii="Times New Roman" w:hAnsi="Times New Roman" w:cs="Times New Roman"/>
                          <w:sz w:val="20"/>
                          <w:szCs w:val="20"/>
                        </w:rPr>
                        <w:t>është më i ulët</w:t>
                      </w:r>
                      <w:r>
                        <w:rPr>
                          <w:rFonts w:ascii="Times New Roman" w:hAnsi="Times New Roman" w:cs="Times New Roman"/>
                          <w:sz w:val="20"/>
                          <w:szCs w:val="20"/>
                        </w:rPr>
                        <w:t xml:space="preserve"> në krahasim me 2020-</w:t>
                      </w:r>
                      <w:r w:rsidRPr="00E94D31">
                        <w:rPr>
                          <w:rFonts w:ascii="Times New Roman" w:hAnsi="Times New Roman" w:cs="Times New Roman"/>
                          <w:sz w:val="20"/>
                          <w:szCs w:val="20"/>
                        </w:rPr>
                        <w:t xml:space="preserve"> </w:t>
                      </w:r>
                      <w:r>
                        <w:rPr>
                          <w:rFonts w:ascii="Times New Roman" w:hAnsi="Times New Roman" w:cs="Times New Roman"/>
                          <w:sz w:val="20"/>
                          <w:szCs w:val="20"/>
                        </w:rPr>
                        <w:t xml:space="preserve">2022, i barabarte me vitin 2023 dhe më i lartë </w:t>
                      </w:r>
                      <w:r w:rsidRPr="00E94D31">
                        <w:rPr>
                          <w:rFonts w:ascii="Times New Roman" w:hAnsi="Times New Roman" w:cs="Times New Roman"/>
                          <w:sz w:val="20"/>
                          <w:szCs w:val="20"/>
                        </w:rPr>
                        <w:t xml:space="preserve">me </w:t>
                      </w:r>
                      <w:r>
                        <w:rPr>
                          <w:rFonts w:ascii="Times New Roman" w:hAnsi="Times New Roman" w:cs="Times New Roman"/>
                          <w:sz w:val="20"/>
                          <w:szCs w:val="20"/>
                        </w:rPr>
                        <w:t>vitin 2024</w:t>
                      </w:r>
                    </w:p>
                    <w:p w:rsidR="0064059F" w:rsidRPr="007B0CF2" w:rsidRDefault="0064059F" w:rsidP="003C64EC">
                      <w:pPr>
                        <w:jc w:val="both"/>
                        <w:rPr>
                          <w:rFonts w:ascii="Times New Roman" w:hAnsi="Times New Roman" w:cs="Times New Roman"/>
                          <w:sz w:val="20"/>
                          <w:szCs w:val="20"/>
                        </w:rPr>
                      </w:pPr>
                      <w:r w:rsidRPr="007B0CF2">
                        <w:rPr>
                          <w:rFonts w:ascii="Times New Roman" w:hAnsi="Times New Roman" w:cs="Times New Roman"/>
                          <w:sz w:val="20"/>
                          <w:szCs w:val="20"/>
                        </w:rPr>
                        <w:t>B – Cilësia</w:t>
                      </w:r>
                      <w:r>
                        <w:rPr>
                          <w:rFonts w:ascii="Times New Roman" w:hAnsi="Times New Roman" w:cs="Times New Roman"/>
                          <w:sz w:val="20"/>
                          <w:szCs w:val="20"/>
                        </w:rPr>
                        <w:t xml:space="preserve"> e mirë e ujërave është më </w:t>
                      </w:r>
                      <w:r w:rsidRPr="007B0CF2">
                        <w:rPr>
                          <w:rFonts w:ascii="Times New Roman" w:hAnsi="Times New Roman" w:cs="Times New Roman"/>
                          <w:sz w:val="20"/>
                          <w:szCs w:val="20"/>
                        </w:rPr>
                        <w:t xml:space="preserve">i </w:t>
                      </w:r>
                      <w:r>
                        <w:rPr>
                          <w:rFonts w:ascii="Times New Roman" w:hAnsi="Times New Roman" w:cs="Times New Roman"/>
                          <w:sz w:val="20"/>
                          <w:szCs w:val="20"/>
                        </w:rPr>
                        <w:t>lartë në krahasim me vitet 2020-</w:t>
                      </w:r>
                      <w:r w:rsidRPr="007B0CF2">
                        <w:rPr>
                          <w:rFonts w:ascii="Times New Roman" w:hAnsi="Times New Roman" w:cs="Times New Roman"/>
                          <w:sz w:val="20"/>
                          <w:szCs w:val="20"/>
                        </w:rPr>
                        <w:t>202</w:t>
                      </w:r>
                      <w:r>
                        <w:rPr>
                          <w:rFonts w:ascii="Times New Roman" w:hAnsi="Times New Roman" w:cs="Times New Roman"/>
                          <w:sz w:val="20"/>
                          <w:szCs w:val="20"/>
                        </w:rPr>
                        <w:t>2 dhe me i ulët se 2023-2024.</w:t>
                      </w:r>
                    </w:p>
                    <w:p w:rsidR="0064059F" w:rsidRDefault="0064059F" w:rsidP="003C64EC">
                      <w:pPr>
                        <w:jc w:val="both"/>
                        <w:rPr>
                          <w:rFonts w:ascii="Times New Roman" w:hAnsi="Times New Roman" w:cs="Times New Roman"/>
                          <w:sz w:val="20"/>
                          <w:szCs w:val="20"/>
                        </w:rPr>
                      </w:pPr>
                      <w:r>
                        <w:rPr>
                          <w:rFonts w:ascii="Times New Roman" w:hAnsi="Times New Roman" w:cs="Times New Roman"/>
                          <w:sz w:val="20"/>
                          <w:szCs w:val="20"/>
                        </w:rPr>
                        <w:t>C- Cilësi e mjaftueshme</w:t>
                      </w:r>
                      <w:r w:rsidRPr="007B0CF2">
                        <w:rPr>
                          <w:rFonts w:ascii="Times New Roman" w:hAnsi="Times New Roman" w:cs="Times New Roman"/>
                          <w:sz w:val="20"/>
                          <w:szCs w:val="20"/>
                        </w:rPr>
                        <w:t>, num</w:t>
                      </w:r>
                      <w:r>
                        <w:rPr>
                          <w:rFonts w:ascii="Times New Roman" w:hAnsi="Times New Roman" w:cs="Times New Roman"/>
                          <w:sz w:val="20"/>
                          <w:szCs w:val="20"/>
                        </w:rPr>
                        <w:t xml:space="preserve">ri  i stacioneve </w:t>
                      </w:r>
                      <w:r w:rsidRPr="00307B09">
                        <w:rPr>
                          <w:rFonts w:ascii="Times New Roman" w:hAnsi="Times New Roman" w:cs="Times New Roman"/>
                          <w:sz w:val="20"/>
                          <w:szCs w:val="20"/>
                        </w:rPr>
                        <w:t>është më  i lartë në krahasim me vitet  2020-202</w:t>
                      </w:r>
                      <w:r>
                        <w:rPr>
                          <w:rFonts w:ascii="Times New Roman" w:hAnsi="Times New Roman" w:cs="Times New Roman"/>
                          <w:sz w:val="20"/>
                          <w:szCs w:val="20"/>
                        </w:rPr>
                        <w:t>4.</w:t>
                      </w:r>
                      <w:r w:rsidRPr="00307B09">
                        <w:rPr>
                          <w:rFonts w:ascii="Times New Roman" w:hAnsi="Times New Roman" w:cs="Times New Roman"/>
                          <w:sz w:val="20"/>
                          <w:szCs w:val="20"/>
                        </w:rPr>
                        <w:t xml:space="preserve"> </w:t>
                      </w:r>
                    </w:p>
                    <w:p w:rsidR="0064059F" w:rsidRPr="007B0CF2" w:rsidRDefault="0064059F" w:rsidP="003C64EC">
                      <w:pPr>
                        <w:jc w:val="both"/>
                        <w:rPr>
                          <w:rFonts w:ascii="Times New Roman" w:hAnsi="Times New Roman" w:cs="Times New Roman"/>
                          <w:sz w:val="20"/>
                          <w:szCs w:val="20"/>
                        </w:rPr>
                      </w:pPr>
                      <w:r>
                        <w:rPr>
                          <w:rFonts w:ascii="Times New Roman" w:hAnsi="Times New Roman" w:cs="Times New Roman"/>
                          <w:sz w:val="20"/>
                          <w:szCs w:val="20"/>
                        </w:rPr>
                        <w:t>Nuk kami stacione të kategorisë D-Cilësi e keqe /Masa të menjëhershme.</w:t>
                      </w:r>
                    </w:p>
                    <w:p w:rsidR="0064059F" w:rsidRDefault="0064059F" w:rsidP="0005229A">
                      <w:pPr>
                        <w:jc w:val="center"/>
                      </w:pPr>
                    </w:p>
                  </w:txbxContent>
                </v:textbox>
              </v:rect>
            </w:pict>
          </mc:Fallback>
        </mc:AlternateContent>
      </w:r>
    </w:p>
    <w:p w:rsidR="0005229A"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noProof/>
          <w:sz w:val="24"/>
          <w:szCs w:val="24"/>
        </w:rPr>
        <w:drawing>
          <wp:inline distT="0" distB="0" distL="0" distR="0" wp14:anchorId="215AB0A7" wp14:editId="2F37C9C4">
            <wp:extent cx="2895600" cy="26949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895600" cy="2694940"/>
                    </a:xfrm>
                    <a:prstGeom prst="rect">
                      <a:avLst/>
                    </a:prstGeom>
                    <a:noFill/>
                  </pic:spPr>
                </pic:pic>
              </a:graphicData>
            </a:graphic>
          </wp:inline>
        </w:drawing>
      </w:r>
    </w:p>
    <w:p w:rsidR="003C64EC" w:rsidRDefault="003C64EC" w:rsidP="00014E30">
      <w:pPr>
        <w:spacing w:after="200" w:line="288" w:lineRule="auto"/>
        <w:jc w:val="both"/>
        <w:rPr>
          <w:rFonts w:ascii="Times New Roman" w:eastAsiaTheme="minorEastAsia" w:hAnsi="Times New Roman" w:cs="Times New Roman"/>
          <w:sz w:val="24"/>
          <w:szCs w:val="24"/>
        </w:rPr>
      </w:pPr>
    </w:p>
    <w:p w:rsidR="0005229A" w:rsidRDefault="0005229A" w:rsidP="003C64EC">
      <w:pPr>
        <w:spacing w:after="0" w:line="240" w:lineRule="auto"/>
        <w:jc w:val="both"/>
        <w:rPr>
          <w:rFonts w:ascii="Times New Roman" w:eastAsiaTheme="minorEastAsia" w:hAnsi="Times New Roman" w:cs="Times New Roman"/>
          <w:sz w:val="24"/>
          <w:szCs w:val="24"/>
        </w:rPr>
      </w:pPr>
      <w:r w:rsidRPr="0005229A">
        <w:rPr>
          <w:rFonts w:ascii="Times New Roman" w:eastAsiaTheme="minorEastAsia" w:hAnsi="Times New Roman" w:cs="Times New Roman"/>
          <w:sz w:val="24"/>
          <w:szCs w:val="24"/>
        </w:rPr>
        <w:t>PLAZHI I DIVJAKËS: Në plazhin e Divjakës nuk u konstatuan kanale të hapura që derdhen drejtpërdrejt në det. Në vijën bregdetare të plazhit përgjithësisht u konstatua pastërti e rërës, plazh i sistemuar, prani e koshave të mbeturinave, prezencë e kullave të vrojtimit, dusheve dhe dhomave të ndërrimit, prezencë e afishimit të rregullave për zbatim nga pushuesit. Plazhet publike të pa sistemuara. Vijojnë të jenë prezent grumbullime të theksuara të leshterikëve në brezin e rërës midis pikës 1 dhe 2 ku gjerësia dhe gjatësia e bregut me leshterikë zë një sipërfaqe të konsiderueshme të bregut.  Në të gjitha seritë u konstatua një grumbull i madh leshterikësh pranë pikës 2 të monitorimit. Nevojat sanitare për tualete pushuesit i përmbushin pranë subjekteve private për shkak të pozicionimit të këtyre plazheve pranë subjekteve. Në përgjithësi nyjet higjeno sanitare e dhomat e ndërrimit të veshjeve janë jo të rregullta.</w:t>
      </w:r>
    </w:p>
    <w:p w:rsidR="003C64EC" w:rsidRPr="0005229A" w:rsidRDefault="003C64EC" w:rsidP="003C64EC">
      <w:pPr>
        <w:spacing w:after="0" w:line="240" w:lineRule="auto"/>
        <w:jc w:val="both"/>
        <w:rPr>
          <w:rFonts w:ascii="Times New Roman" w:eastAsiaTheme="minorEastAsia" w:hAnsi="Times New Roman" w:cs="Times New Roman"/>
          <w:sz w:val="24"/>
          <w:szCs w:val="24"/>
        </w:rPr>
      </w:pPr>
    </w:p>
    <w:p w:rsidR="0005229A" w:rsidRPr="0005229A" w:rsidRDefault="0005229A" w:rsidP="0005229A">
      <w:pPr>
        <w:spacing w:after="200" w:line="288" w:lineRule="auto"/>
        <w:rPr>
          <w:rFonts w:ascii="Times New Roman" w:eastAsiaTheme="minorEastAsia" w:hAnsi="Times New Roman" w:cs="Times New Roman"/>
          <w:b/>
          <w:sz w:val="24"/>
          <w:szCs w:val="24"/>
        </w:rPr>
      </w:pPr>
      <w:r w:rsidRPr="0005229A">
        <w:rPr>
          <w:rFonts w:ascii="Times New Roman" w:eastAsiaTheme="minorEastAsia" w:hAnsi="Times New Roman" w:cs="Times New Roman"/>
          <w:sz w:val="24"/>
          <w:szCs w:val="24"/>
        </w:rPr>
        <w:t xml:space="preserve">                     </w:t>
      </w:r>
      <w:r w:rsidRPr="0005229A">
        <w:rPr>
          <w:rFonts w:ascii="Times New Roman" w:eastAsiaTheme="minorEastAsia" w:hAnsi="Times New Roman" w:cs="Times New Roman"/>
          <w:b/>
          <w:sz w:val="24"/>
          <w:szCs w:val="24"/>
        </w:rPr>
        <w:t xml:space="preserve">  ●Plazh</w:t>
      </w:r>
      <w:r w:rsidR="003C64EC">
        <w:rPr>
          <w:rFonts w:ascii="Times New Roman" w:eastAsiaTheme="minorEastAsia" w:hAnsi="Times New Roman" w:cs="Times New Roman"/>
          <w:b/>
          <w:sz w:val="24"/>
          <w:szCs w:val="24"/>
        </w:rPr>
        <w:t>i  i Divjakë</w:t>
      </w:r>
      <w:r w:rsidRPr="0005229A">
        <w:rPr>
          <w:rFonts w:ascii="Times New Roman" w:eastAsiaTheme="minorEastAsia" w:hAnsi="Times New Roman" w:cs="Times New Roman"/>
          <w:b/>
          <w:sz w:val="24"/>
          <w:szCs w:val="24"/>
        </w:rPr>
        <w:t>s</w:t>
      </w:r>
    </w:p>
    <w:tbl>
      <w:tblPr>
        <w:tblW w:w="0" w:type="auto"/>
        <w:tblInd w:w="267" w:type="dxa"/>
        <w:tblLayout w:type="fixed"/>
        <w:tblCellMar>
          <w:left w:w="0" w:type="dxa"/>
          <w:right w:w="0" w:type="dxa"/>
        </w:tblCellMar>
        <w:tblLook w:val="01E0" w:firstRow="1" w:lastRow="1" w:firstColumn="1" w:lastColumn="1" w:noHBand="0" w:noVBand="0"/>
      </w:tblPr>
      <w:tblGrid>
        <w:gridCol w:w="1030"/>
        <w:gridCol w:w="2840"/>
        <w:gridCol w:w="1038"/>
        <w:gridCol w:w="1038"/>
        <w:gridCol w:w="1133"/>
        <w:gridCol w:w="1794"/>
      </w:tblGrid>
      <w:tr w:rsidR="0005229A" w:rsidRPr="0005229A" w:rsidTr="00DD196F">
        <w:trPr>
          <w:trHeight w:val="854"/>
        </w:trPr>
        <w:tc>
          <w:tcPr>
            <w:tcW w:w="1030" w:type="dxa"/>
            <w:tcBorders>
              <w:top w:val="single" w:sz="4" w:space="0" w:color="auto"/>
              <w:left w:val="single" w:sz="4" w:space="0" w:color="auto"/>
              <w:bottom w:val="single" w:sz="4" w:space="0" w:color="auto"/>
              <w:right w:val="single" w:sz="4" w:space="0" w:color="auto"/>
            </w:tcBorders>
            <w:shd w:val="clear" w:color="auto" w:fill="E1EED9"/>
          </w:tcPr>
          <w:p w:rsidR="0005229A" w:rsidRPr="0005229A" w:rsidRDefault="0005229A" w:rsidP="0005229A">
            <w:pPr>
              <w:widowControl w:val="0"/>
              <w:autoSpaceDE w:val="0"/>
              <w:autoSpaceDN w:val="0"/>
              <w:spacing w:before="41" w:after="0" w:line="240" w:lineRule="auto"/>
              <w:ind w:left="26" w:right="19"/>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Nr.</w:t>
            </w:r>
          </w:p>
          <w:p w:rsidR="0005229A" w:rsidRPr="0005229A" w:rsidRDefault="0005229A" w:rsidP="0005229A">
            <w:pPr>
              <w:widowControl w:val="0"/>
              <w:autoSpaceDE w:val="0"/>
              <w:autoSpaceDN w:val="0"/>
              <w:spacing w:before="5" w:after="0" w:line="240" w:lineRule="auto"/>
              <w:ind w:left="27" w:right="19"/>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Stacioneve</w:t>
            </w:r>
          </w:p>
        </w:tc>
        <w:tc>
          <w:tcPr>
            <w:tcW w:w="2840" w:type="dxa"/>
            <w:tcBorders>
              <w:top w:val="single" w:sz="4" w:space="0" w:color="auto"/>
              <w:left w:val="single" w:sz="4" w:space="0" w:color="auto"/>
              <w:bottom w:val="single" w:sz="4" w:space="0" w:color="auto"/>
              <w:right w:val="single" w:sz="4" w:space="0" w:color="auto"/>
            </w:tcBorders>
            <w:shd w:val="clear" w:color="auto" w:fill="E1EED9"/>
          </w:tcPr>
          <w:p w:rsidR="0005229A" w:rsidRPr="0005229A" w:rsidRDefault="0005229A" w:rsidP="0005229A">
            <w:pPr>
              <w:widowControl w:val="0"/>
              <w:autoSpaceDE w:val="0"/>
              <w:autoSpaceDN w:val="0"/>
              <w:spacing w:before="153" w:after="0" w:line="240" w:lineRule="auto"/>
              <w:ind w:left="802" w:right="788"/>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sz w:val="19"/>
                <w:lang w:val="sq-AL"/>
              </w:rPr>
              <w:t>Vendi</w:t>
            </w:r>
          </w:p>
        </w:tc>
        <w:tc>
          <w:tcPr>
            <w:tcW w:w="1038" w:type="dxa"/>
            <w:tcBorders>
              <w:top w:val="single" w:sz="4" w:space="0" w:color="auto"/>
              <w:left w:val="single" w:sz="4" w:space="0" w:color="auto"/>
              <w:bottom w:val="single" w:sz="4" w:space="0" w:color="auto"/>
              <w:right w:val="single" w:sz="4" w:space="0" w:color="auto"/>
            </w:tcBorders>
            <w:shd w:val="clear" w:color="auto" w:fill="E1EED9"/>
          </w:tcPr>
          <w:p w:rsidR="0005229A" w:rsidRPr="0005229A" w:rsidRDefault="0005229A" w:rsidP="0005229A">
            <w:pPr>
              <w:widowControl w:val="0"/>
              <w:autoSpaceDE w:val="0"/>
              <w:autoSpaceDN w:val="0"/>
              <w:spacing w:after="0" w:line="212" w:lineRule="exact"/>
              <w:ind w:left="144"/>
              <w:rPr>
                <w:rFonts w:ascii="Times New Roman" w:eastAsia="Times New Roman" w:hAnsi="Times New Roman" w:cs="Times New Roman"/>
                <w:b/>
                <w:sz w:val="19"/>
                <w:lang w:val="sq-AL"/>
              </w:rPr>
            </w:pPr>
            <w:r w:rsidRPr="0005229A">
              <w:rPr>
                <w:rFonts w:ascii="Times New Roman" w:eastAsia="Times New Roman" w:hAnsi="Times New Roman" w:cs="Times New Roman"/>
                <w:b/>
                <w:w w:val="95"/>
                <w:sz w:val="19"/>
                <w:lang w:val="sq-AL"/>
              </w:rPr>
              <w:t>FC</w:t>
            </w:r>
            <w:r w:rsidRPr="0005229A">
              <w:rPr>
                <w:rFonts w:ascii="Times New Roman" w:eastAsia="Times New Roman" w:hAnsi="Times New Roman" w:cs="Times New Roman"/>
                <w:b/>
                <w:spacing w:val="-2"/>
                <w:w w:val="95"/>
                <w:sz w:val="19"/>
                <w:lang w:val="sq-AL"/>
              </w:rPr>
              <w:t xml:space="preserve"> </w:t>
            </w:r>
            <w:r w:rsidRPr="0005229A">
              <w:rPr>
                <w:rFonts w:ascii="Times New Roman" w:eastAsia="Times New Roman" w:hAnsi="Times New Roman" w:cs="Times New Roman"/>
                <w:b/>
                <w:w w:val="95"/>
                <w:sz w:val="19"/>
                <w:lang w:val="sq-AL"/>
              </w:rPr>
              <w:t>90%</w:t>
            </w:r>
            <w:r w:rsidRPr="0005229A">
              <w:rPr>
                <w:rFonts w:ascii="Times New Roman" w:eastAsia="Times New Roman" w:hAnsi="Times New Roman" w:cs="Times New Roman"/>
                <w:b/>
                <w:spacing w:val="-2"/>
                <w:w w:val="95"/>
                <w:sz w:val="19"/>
                <w:lang w:val="sq-AL"/>
              </w:rPr>
              <w:t xml:space="preserve"> </w:t>
            </w:r>
            <w:r w:rsidRPr="0005229A">
              <w:rPr>
                <w:rFonts w:ascii="Times New Roman" w:eastAsia="Times New Roman" w:hAnsi="Times New Roman" w:cs="Times New Roman"/>
                <w:b/>
                <w:w w:val="95"/>
                <w:sz w:val="19"/>
                <w:lang w:val="sq-AL"/>
              </w:rPr>
              <w:t>-</w:t>
            </w:r>
          </w:p>
          <w:p w:rsidR="0005229A" w:rsidRPr="0005229A" w:rsidRDefault="0005229A" w:rsidP="0005229A">
            <w:pPr>
              <w:widowControl w:val="0"/>
              <w:autoSpaceDE w:val="0"/>
              <w:autoSpaceDN w:val="0"/>
              <w:spacing w:before="5" w:after="0" w:line="240" w:lineRule="auto"/>
              <w:ind w:left="92"/>
              <w:rPr>
                <w:rFonts w:ascii="Times New Roman" w:eastAsia="Times New Roman" w:hAnsi="Times New Roman" w:cs="Times New Roman"/>
                <w:b/>
                <w:sz w:val="19"/>
                <w:lang w:val="sq-AL"/>
              </w:rPr>
            </w:pPr>
            <w:r w:rsidRPr="0005229A">
              <w:rPr>
                <w:rFonts w:ascii="Times New Roman" w:eastAsia="Times New Roman" w:hAnsi="Times New Roman" w:cs="Times New Roman"/>
                <w:b/>
                <w:w w:val="95"/>
                <w:sz w:val="19"/>
                <w:lang w:val="sq-AL"/>
              </w:rPr>
              <w:t>Norma</w:t>
            </w:r>
            <w:r w:rsidRPr="0005229A">
              <w:rPr>
                <w:rFonts w:ascii="Times New Roman" w:eastAsia="Times New Roman" w:hAnsi="Times New Roman" w:cs="Times New Roman"/>
                <w:b/>
                <w:spacing w:val="-2"/>
                <w:w w:val="95"/>
                <w:sz w:val="19"/>
                <w:lang w:val="sq-AL"/>
              </w:rPr>
              <w:t xml:space="preserve"> </w:t>
            </w:r>
            <w:r w:rsidRPr="0005229A">
              <w:rPr>
                <w:rFonts w:ascii="Times New Roman" w:eastAsia="Times New Roman" w:hAnsi="Times New Roman" w:cs="Times New Roman"/>
                <w:b/>
                <w:w w:val="95"/>
                <w:sz w:val="19"/>
                <w:lang w:val="sq-AL"/>
              </w:rPr>
              <w:t>250</w:t>
            </w:r>
          </w:p>
        </w:tc>
        <w:tc>
          <w:tcPr>
            <w:tcW w:w="1038" w:type="dxa"/>
            <w:tcBorders>
              <w:top w:val="single" w:sz="4" w:space="0" w:color="auto"/>
              <w:left w:val="single" w:sz="4" w:space="0" w:color="auto"/>
              <w:bottom w:val="single" w:sz="4" w:space="0" w:color="auto"/>
              <w:right w:val="single" w:sz="4" w:space="0" w:color="auto"/>
            </w:tcBorders>
            <w:shd w:val="clear" w:color="auto" w:fill="E1EED9"/>
          </w:tcPr>
          <w:p w:rsidR="0005229A" w:rsidRPr="0005229A" w:rsidRDefault="0005229A" w:rsidP="0005229A">
            <w:pPr>
              <w:widowControl w:val="0"/>
              <w:autoSpaceDE w:val="0"/>
              <w:autoSpaceDN w:val="0"/>
              <w:spacing w:after="0" w:line="212" w:lineRule="exact"/>
              <w:ind w:left="197"/>
              <w:rPr>
                <w:rFonts w:ascii="Times New Roman" w:eastAsia="Times New Roman" w:hAnsi="Times New Roman" w:cs="Times New Roman"/>
                <w:b/>
                <w:sz w:val="19"/>
                <w:lang w:val="sq-AL"/>
              </w:rPr>
            </w:pPr>
            <w:r w:rsidRPr="0005229A">
              <w:rPr>
                <w:rFonts w:ascii="Times New Roman" w:eastAsia="Times New Roman" w:hAnsi="Times New Roman" w:cs="Times New Roman"/>
                <w:b/>
                <w:w w:val="95"/>
                <w:sz w:val="19"/>
                <w:lang w:val="sq-AL"/>
              </w:rPr>
              <w:t>IE</w:t>
            </w:r>
            <w:r w:rsidRPr="0005229A">
              <w:rPr>
                <w:rFonts w:ascii="Times New Roman" w:eastAsia="Times New Roman" w:hAnsi="Times New Roman" w:cs="Times New Roman"/>
                <w:b/>
                <w:spacing w:val="-2"/>
                <w:w w:val="95"/>
                <w:sz w:val="19"/>
                <w:lang w:val="sq-AL"/>
              </w:rPr>
              <w:t xml:space="preserve"> </w:t>
            </w:r>
            <w:r w:rsidRPr="0005229A">
              <w:rPr>
                <w:rFonts w:ascii="Times New Roman" w:eastAsia="Times New Roman" w:hAnsi="Times New Roman" w:cs="Times New Roman"/>
                <w:b/>
                <w:w w:val="95"/>
                <w:sz w:val="19"/>
                <w:lang w:val="sq-AL"/>
              </w:rPr>
              <w:t>95%</w:t>
            </w:r>
            <w:r w:rsidRPr="0005229A">
              <w:rPr>
                <w:rFonts w:ascii="Times New Roman" w:eastAsia="Times New Roman" w:hAnsi="Times New Roman" w:cs="Times New Roman"/>
                <w:b/>
                <w:spacing w:val="-3"/>
                <w:w w:val="95"/>
                <w:sz w:val="19"/>
                <w:lang w:val="sq-AL"/>
              </w:rPr>
              <w:t xml:space="preserve"> </w:t>
            </w:r>
            <w:r w:rsidRPr="0005229A">
              <w:rPr>
                <w:rFonts w:ascii="Times New Roman" w:eastAsia="Times New Roman" w:hAnsi="Times New Roman" w:cs="Times New Roman"/>
                <w:b/>
                <w:w w:val="95"/>
                <w:sz w:val="19"/>
                <w:lang w:val="sq-AL"/>
              </w:rPr>
              <w:t>-</w:t>
            </w:r>
          </w:p>
          <w:p w:rsidR="0005229A" w:rsidRPr="0005229A" w:rsidRDefault="0005229A" w:rsidP="0005229A">
            <w:pPr>
              <w:widowControl w:val="0"/>
              <w:autoSpaceDE w:val="0"/>
              <w:autoSpaceDN w:val="0"/>
              <w:spacing w:before="5" w:after="0" w:line="240" w:lineRule="auto"/>
              <w:ind w:left="118"/>
              <w:rPr>
                <w:rFonts w:ascii="Times New Roman" w:eastAsia="Times New Roman" w:hAnsi="Times New Roman" w:cs="Times New Roman"/>
                <w:b/>
                <w:sz w:val="19"/>
                <w:lang w:val="sq-AL"/>
              </w:rPr>
            </w:pPr>
            <w:r w:rsidRPr="0005229A">
              <w:rPr>
                <w:rFonts w:ascii="Times New Roman" w:eastAsia="Times New Roman" w:hAnsi="Times New Roman" w:cs="Times New Roman"/>
                <w:b/>
                <w:w w:val="95"/>
                <w:sz w:val="19"/>
                <w:lang w:val="sq-AL"/>
              </w:rPr>
              <w:t>Norma</w:t>
            </w:r>
            <w:r w:rsidRPr="0005229A">
              <w:rPr>
                <w:rFonts w:ascii="Times New Roman" w:eastAsia="Times New Roman" w:hAnsi="Times New Roman" w:cs="Times New Roman"/>
                <w:b/>
                <w:spacing w:val="-2"/>
                <w:w w:val="95"/>
                <w:sz w:val="19"/>
                <w:lang w:val="sq-AL"/>
              </w:rPr>
              <w:t xml:space="preserve"> </w:t>
            </w:r>
            <w:r w:rsidRPr="0005229A">
              <w:rPr>
                <w:rFonts w:ascii="Times New Roman" w:eastAsia="Times New Roman" w:hAnsi="Times New Roman" w:cs="Times New Roman"/>
                <w:b/>
                <w:w w:val="95"/>
                <w:sz w:val="19"/>
                <w:lang w:val="sq-AL"/>
              </w:rPr>
              <w:t>100</w:t>
            </w:r>
          </w:p>
        </w:tc>
        <w:tc>
          <w:tcPr>
            <w:tcW w:w="1133" w:type="dxa"/>
            <w:tcBorders>
              <w:top w:val="single" w:sz="4" w:space="0" w:color="auto"/>
              <w:left w:val="single" w:sz="4" w:space="0" w:color="auto"/>
              <w:bottom w:val="single" w:sz="4" w:space="0" w:color="auto"/>
              <w:right w:val="single" w:sz="4" w:space="0" w:color="auto"/>
            </w:tcBorders>
            <w:shd w:val="clear" w:color="auto" w:fill="E1EED9"/>
          </w:tcPr>
          <w:p w:rsidR="0005229A" w:rsidRPr="0005229A" w:rsidRDefault="0005229A" w:rsidP="0005229A">
            <w:pPr>
              <w:widowControl w:val="0"/>
              <w:autoSpaceDE w:val="0"/>
              <w:autoSpaceDN w:val="0"/>
              <w:spacing w:after="0" w:line="212" w:lineRule="exact"/>
              <w:ind w:left="71"/>
              <w:rPr>
                <w:rFonts w:ascii="Times New Roman" w:eastAsia="Times New Roman" w:hAnsi="Times New Roman" w:cs="Times New Roman"/>
                <w:b/>
                <w:sz w:val="19"/>
                <w:lang w:val="sq-AL"/>
              </w:rPr>
            </w:pPr>
            <w:r w:rsidRPr="0005229A">
              <w:rPr>
                <w:rFonts w:ascii="Times New Roman" w:eastAsia="Times New Roman" w:hAnsi="Times New Roman" w:cs="Times New Roman"/>
                <w:b/>
                <w:spacing w:val="-1"/>
                <w:sz w:val="19"/>
                <w:lang w:val="sq-AL"/>
              </w:rPr>
              <w:t>Kategoria</w:t>
            </w:r>
          </w:p>
        </w:tc>
        <w:tc>
          <w:tcPr>
            <w:tcW w:w="1794" w:type="dxa"/>
            <w:tcBorders>
              <w:top w:val="single" w:sz="4" w:space="0" w:color="auto"/>
              <w:left w:val="single" w:sz="4" w:space="0" w:color="auto"/>
              <w:right w:val="single" w:sz="4" w:space="0" w:color="auto"/>
            </w:tcBorders>
            <w:shd w:val="clear" w:color="auto" w:fill="E1EED9"/>
          </w:tcPr>
          <w:p w:rsidR="0005229A" w:rsidRPr="0005229A" w:rsidRDefault="0005229A" w:rsidP="0005229A">
            <w:pPr>
              <w:widowControl w:val="0"/>
              <w:autoSpaceDE w:val="0"/>
              <w:autoSpaceDN w:val="0"/>
              <w:spacing w:after="0" w:line="212" w:lineRule="exact"/>
              <w:ind w:left="71" w:right="59"/>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w w:val="95"/>
                <w:sz w:val="19"/>
                <w:lang w:val="sq-AL"/>
              </w:rPr>
              <w:t>Përqindja</w:t>
            </w:r>
            <w:r w:rsidRPr="0005229A">
              <w:rPr>
                <w:rFonts w:ascii="Times New Roman" w:eastAsia="Times New Roman" w:hAnsi="Times New Roman" w:cs="Times New Roman"/>
                <w:b/>
                <w:spacing w:val="-4"/>
                <w:w w:val="95"/>
                <w:sz w:val="19"/>
                <w:lang w:val="sq-AL"/>
              </w:rPr>
              <w:t xml:space="preserve"> </w:t>
            </w:r>
            <w:r w:rsidRPr="0005229A">
              <w:rPr>
                <w:rFonts w:ascii="Times New Roman" w:eastAsia="Times New Roman" w:hAnsi="Times New Roman" w:cs="Times New Roman"/>
                <w:b/>
                <w:w w:val="95"/>
                <w:sz w:val="19"/>
                <w:lang w:val="sq-AL"/>
              </w:rPr>
              <w:t>e</w:t>
            </w:r>
            <w:r w:rsidRPr="0005229A">
              <w:rPr>
                <w:rFonts w:ascii="Times New Roman" w:eastAsia="Times New Roman" w:hAnsi="Times New Roman" w:cs="Times New Roman"/>
                <w:b/>
                <w:spacing w:val="-4"/>
                <w:w w:val="95"/>
                <w:sz w:val="19"/>
                <w:lang w:val="sq-AL"/>
              </w:rPr>
              <w:t xml:space="preserve"> </w:t>
            </w:r>
            <w:r w:rsidRPr="0005229A">
              <w:rPr>
                <w:rFonts w:ascii="Times New Roman" w:eastAsia="Times New Roman" w:hAnsi="Times New Roman" w:cs="Times New Roman"/>
                <w:b/>
                <w:w w:val="95"/>
                <w:sz w:val="19"/>
                <w:lang w:val="sq-AL"/>
              </w:rPr>
              <w:t>stacioneve</w:t>
            </w:r>
          </w:p>
          <w:p w:rsidR="0005229A" w:rsidRPr="0005229A" w:rsidRDefault="0005229A" w:rsidP="0005229A">
            <w:pPr>
              <w:widowControl w:val="0"/>
              <w:autoSpaceDE w:val="0"/>
              <w:autoSpaceDN w:val="0"/>
              <w:spacing w:before="5" w:after="0" w:line="240" w:lineRule="auto"/>
              <w:ind w:left="13"/>
              <w:jc w:val="center"/>
              <w:rPr>
                <w:rFonts w:ascii="Times New Roman" w:eastAsia="Times New Roman" w:hAnsi="Times New Roman" w:cs="Times New Roman"/>
                <w:b/>
                <w:sz w:val="19"/>
                <w:lang w:val="sq-AL"/>
              </w:rPr>
            </w:pPr>
            <w:r w:rsidRPr="0005229A">
              <w:rPr>
                <w:rFonts w:ascii="Times New Roman" w:eastAsia="Times New Roman" w:hAnsi="Times New Roman" w:cs="Times New Roman"/>
                <w:b/>
                <w:w w:val="94"/>
                <w:sz w:val="19"/>
                <w:lang w:val="sq-AL"/>
              </w:rPr>
              <w:t>%</w:t>
            </w:r>
          </w:p>
        </w:tc>
      </w:tr>
      <w:tr w:rsidR="0005229A" w:rsidRPr="0005229A" w:rsidTr="00DD196F">
        <w:trPr>
          <w:trHeight w:val="349"/>
        </w:trPr>
        <w:tc>
          <w:tcPr>
            <w:tcW w:w="103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8"/>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94"/>
                <w:sz w:val="19"/>
                <w:lang w:val="sq-AL"/>
              </w:rPr>
              <w:t>1</w:t>
            </w:r>
          </w:p>
        </w:tc>
        <w:tc>
          <w:tcPr>
            <w:tcW w:w="284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0"/>
              <w:rPr>
                <w:rFonts w:ascii="Times New Roman" w:eastAsia="Times New Roman" w:hAnsi="Times New Roman" w:cs="Times New Roman"/>
                <w:sz w:val="19"/>
                <w:lang w:val="sq-AL"/>
              </w:rPr>
            </w:pPr>
            <w:r w:rsidRPr="0005229A">
              <w:rPr>
                <w:rFonts w:ascii="Times New Roman" w:eastAsia="Times New Roman" w:hAnsi="Times New Roman" w:cs="Times New Roman"/>
                <w:w w:val="95"/>
                <w:sz w:val="19"/>
                <w:lang w:val="sq-AL"/>
              </w:rPr>
              <w:t>Hyrja</w:t>
            </w:r>
            <w:r w:rsidRPr="0005229A">
              <w:rPr>
                <w:rFonts w:ascii="Times New Roman" w:eastAsia="Times New Roman" w:hAnsi="Times New Roman" w:cs="Times New Roman"/>
                <w:spacing w:val="-3"/>
                <w:w w:val="95"/>
                <w:sz w:val="19"/>
                <w:lang w:val="sq-AL"/>
              </w:rPr>
              <w:t xml:space="preserve"> </w:t>
            </w:r>
            <w:r w:rsidRPr="0005229A">
              <w:rPr>
                <w:rFonts w:ascii="Times New Roman" w:eastAsia="Times New Roman" w:hAnsi="Times New Roman" w:cs="Times New Roman"/>
                <w:w w:val="95"/>
                <w:sz w:val="19"/>
                <w:lang w:val="sq-AL"/>
              </w:rPr>
              <w:t>në</w:t>
            </w:r>
            <w:r w:rsidRPr="0005229A">
              <w:rPr>
                <w:rFonts w:ascii="Times New Roman" w:eastAsia="Times New Roman" w:hAnsi="Times New Roman" w:cs="Times New Roman"/>
                <w:spacing w:val="-2"/>
                <w:w w:val="95"/>
                <w:sz w:val="19"/>
                <w:lang w:val="sq-AL"/>
              </w:rPr>
              <w:t xml:space="preserve"> </w:t>
            </w:r>
            <w:r w:rsidRPr="0005229A">
              <w:rPr>
                <w:rFonts w:ascii="Times New Roman" w:eastAsia="Times New Roman" w:hAnsi="Times New Roman" w:cs="Times New Roman"/>
                <w:w w:val="95"/>
                <w:sz w:val="19"/>
                <w:lang w:val="sq-AL"/>
              </w:rPr>
              <w:t>plazh,</w:t>
            </w:r>
            <w:r w:rsidRPr="0005229A">
              <w:rPr>
                <w:rFonts w:ascii="Times New Roman" w:eastAsia="Times New Roman" w:hAnsi="Times New Roman" w:cs="Times New Roman"/>
                <w:spacing w:val="-3"/>
                <w:w w:val="95"/>
                <w:sz w:val="19"/>
                <w:lang w:val="sq-AL"/>
              </w:rPr>
              <w:t xml:space="preserve"> </w:t>
            </w:r>
            <w:r w:rsidRPr="0005229A">
              <w:rPr>
                <w:rFonts w:ascii="Times New Roman" w:eastAsia="Times New Roman" w:hAnsi="Times New Roman" w:cs="Times New Roman"/>
                <w:w w:val="95"/>
                <w:sz w:val="19"/>
                <w:lang w:val="sq-AL"/>
              </w:rPr>
              <w:t>tek</w:t>
            </w:r>
            <w:r w:rsidRPr="0005229A">
              <w:rPr>
                <w:rFonts w:ascii="Times New Roman" w:eastAsia="Times New Roman" w:hAnsi="Times New Roman" w:cs="Times New Roman"/>
                <w:spacing w:val="-2"/>
                <w:w w:val="95"/>
                <w:sz w:val="19"/>
                <w:lang w:val="sq-AL"/>
              </w:rPr>
              <w:t xml:space="preserve"> </w:t>
            </w:r>
            <w:r w:rsidRPr="0005229A">
              <w:rPr>
                <w:rFonts w:ascii="Times New Roman" w:eastAsia="Times New Roman" w:hAnsi="Times New Roman" w:cs="Times New Roman"/>
                <w:w w:val="95"/>
                <w:sz w:val="19"/>
                <w:lang w:val="sq-AL"/>
              </w:rPr>
              <w:t>Policia</w:t>
            </w:r>
          </w:p>
        </w:tc>
        <w:tc>
          <w:tcPr>
            <w:tcW w:w="103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7"/>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162</w:t>
            </w:r>
          </w:p>
        </w:tc>
        <w:tc>
          <w:tcPr>
            <w:tcW w:w="103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0"/>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453</w:t>
            </w:r>
          </w:p>
        </w:tc>
        <w:tc>
          <w:tcPr>
            <w:tcW w:w="113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1"/>
              <w:rPr>
                <w:rFonts w:ascii="Times New Roman" w:eastAsia="Times New Roman" w:hAnsi="Times New Roman" w:cs="Times New Roman"/>
                <w:sz w:val="19"/>
                <w:lang w:val="sq-AL"/>
              </w:rPr>
            </w:pPr>
            <w:r w:rsidRPr="0005229A">
              <w:rPr>
                <w:rFonts w:ascii="Times New Roman" w:eastAsia="Times New Roman" w:hAnsi="Times New Roman" w:cs="Times New Roman"/>
                <w:w w:val="94"/>
                <w:sz w:val="19"/>
                <w:lang w:val="sq-AL"/>
              </w:rPr>
              <w:t>D</w:t>
            </w:r>
          </w:p>
        </w:tc>
        <w:tc>
          <w:tcPr>
            <w:tcW w:w="1794" w:type="dxa"/>
            <w:vMerge w:val="restart"/>
            <w:tcBorders>
              <w:left w:val="single" w:sz="4" w:space="0" w:color="auto"/>
              <w:right w:val="single" w:sz="4" w:space="0" w:color="auto"/>
            </w:tcBorders>
          </w:tcPr>
          <w:p w:rsidR="0005229A" w:rsidRPr="0005229A" w:rsidRDefault="0005229A" w:rsidP="0005229A">
            <w:pPr>
              <w:widowControl w:val="0"/>
              <w:autoSpaceDE w:val="0"/>
              <w:autoSpaceDN w:val="0"/>
              <w:spacing w:after="0" w:line="244" w:lineRule="auto"/>
              <w:ind w:left="71" w:right="166"/>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33 %</w:t>
            </w:r>
            <w:r w:rsidRPr="0005229A">
              <w:rPr>
                <w:rFonts w:ascii="Times New Roman" w:eastAsia="Times New Roman" w:hAnsi="Times New Roman" w:cs="Times New Roman"/>
                <w:spacing w:val="-9"/>
                <w:sz w:val="19"/>
                <w:lang w:val="sq-AL"/>
              </w:rPr>
              <w:t xml:space="preserve"> </w:t>
            </w:r>
            <w:r w:rsidRPr="0005229A">
              <w:rPr>
                <w:rFonts w:ascii="Times New Roman" w:eastAsia="Times New Roman" w:hAnsi="Times New Roman" w:cs="Times New Roman"/>
                <w:sz w:val="19"/>
                <w:lang w:val="sq-AL"/>
              </w:rPr>
              <w:t>C-</w:t>
            </w:r>
            <w:r w:rsidRPr="0005229A">
              <w:rPr>
                <w:rFonts w:ascii="Times New Roman" w:eastAsia="Times New Roman" w:hAnsi="Times New Roman" w:cs="Times New Roman"/>
                <w:spacing w:val="-9"/>
                <w:sz w:val="19"/>
                <w:lang w:val="sq-AL"/>
              </w:rPr>
              <w:t xml:space="preserve"> </w:t>
            </w:r>
            <w:r w:rsidRPr="0005229A">
              <w:rPr>
                <w:rFonts w:ascii="Times New Roman" w:eastAsia="Times New Roman" w:hAnsi="Times New Roman" w:cs="Times New Roman"/>
                <w:sz w:val="19"/>
                <w:lang w:val="sq-AL"/>
              </w:rPr>
              <w:t>Cilësi</w:t>
            </w:r>
            <w:r w:rsidRPr="0005229A">
              <w:rPr>
                <w:rFonts w:ascii="Times New Roman" w:eastAsia="Times New Roman" w:hAnsi="Times New Roman" w:cs="Times New Roman"/>
                <w:spacing w:val="-8"/>
                <w:sz w:val="19"/>
                <w:lang w:val="sq-AL"/>
              </w:rPr>
              <w:t xml:space="preserve"> </w:t>
            </w:r>
            <w:r w:rsidRPr="0005229A">
              <w:rPr>
                <w:rFonts w:ascii="Times New Roman" w:eastAsia="Times New Roman" w:hAnsi="Times New Roman" w:cs="Times New Roman"/>
                <w:sz w:val="19"/>
                <w:lang w:val="sq-AL"/>
              </w:rPr>
              <w:t>e</w:t>
            </w:r>
          </w:p>
          <w:p w:rsidR="0005229A" w:rsidRPr="0005229A" w:rsidRDefault="0005229A" w:rsidP="0005229A">
            <w:pPr>
              <w:widowControl w:val="0"/>
              <w:autoSpaceDE w:val="0"/>
              <w:autoSpaceDN w:val="0"/>
              <w:spacing w:before="1" w:after="0" w:line="200" w:lineRule="exact"/>
              <w:ind w:left="71"/>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Mjaftueshme</w:t>
            </w:r>
          </w:p>
          <w:p w:rsidR="0005229A" w:rsidRPr="0005229A" w:rsidRDefault="0005229A" w:rsidP="0005229A">
            <w:pPr>
              <w:widowControl w:val="0"/>
              <w:autoSpaceDE w:val="0"/>
              <w:autoSpaceDN w:val="0"/>
              <w:spacing w:before="1" w:after="0" w:line="200" w:lineRule="exact"/>
              <w:ind w:left="71"/>
              <w:rPr>
                <w:rFonts w:ascii="Times New Roman" w:eastAsia="Times New Roman" w:hAnsi="Times New Roman" w:cs="Times New Roman"/>
                <w:sz w:val="19"/>
                <w:lang w:val="sq-AL"/>
              </w:rPr>
            </w:pPr>
          </w:p>
          <w:p w:rsidR="0005229A" w:rsidRPr="0005229A" w:rsidRDefault="0005229A" w:rsidP="0005229A">
            <w:pPr>
              <w:widowControl w:val="0"/>
              <w:autoSpaceDE w:val="0"/>
              <w:autoSpaceDN w:val="0"/>
              <w:spacing w:before="1" w:after="0" w:line="200" w:lineRule="exact"/>
              <w:ind w:left="71"/>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67%, D-Cilësi e keqe/Masa të menjëhershme</w:t>
            </w:r>
          </w:p>
        </w:tc>
      </w:tr>
      <w:tr w:rsidR="0005229A" w:rsidRPr="0005229A" w:rsidTr="00DD196F">
        <w:trPr>
          <w:trHeight w:val="349"/>
        </w:trPr>
        <w:tc>
          <w:tcPr>
            <w:tcW w:w="103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8"/>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94"/>
                <w:sz w:val="19"/>
                <w:lang w:val="sq-AL"/>
              </w:rPr>
              <w:t>2</w:t>
            </w:r>
          </w:p>
        </w:tc>
        <w:tc>
          <w:tcPr>
            <w:tcW w:w="284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0"/>
              <w:rPr>
                <w:rFonts w:ascii="Times New Roman" w:eastAsia="Times New Roman" w:hAnsi="Times New Roman" w:cs="Times New Roman"/>
                <w:sz w:val="19"/>
                <w:lang w:val="sq-AL"/>
              </w:rPr>
            </w:pPr>
            <w:r w:rsidRPr="0005229A">
              <w:rPr>
                <w:rFonts w:ascii="Times New Roman" w:eastAsia="Times New Roman" w:hAnsi="Times New Roman" w:cs="Times New Roman"/>
                <w:w w:val="95"/>
                <w:sz w:val="19"/>
                <w:lang w:val="sq-AL"/>
              </w:rPr>
              <w:t>Hyrja</w:t>
            </w:r>
            <w:r w:rsidRPr="0005229A">
              <w:rPr>
                <w:rFonts w:ascii="Times New Roman" w:eastAsia="Times New Roman" w:hAnsi="Times New Roman" w:cs="Times New Roman"/>
                <w:spacing w:val="-3"/>
                <w:w w:val="95"/>
                <w:sz w:val="19"/>
                <w:lang w:val="sq-AL"/>
              </w:rPr>
              <w:t xml:space="preserve"> </w:t>
            </w:r>
            <w:r w:rsidRPr="0005229A">
              <w:rPr>
                <w:rFonts w:ascii="Times New Roman" w:eastAsia="Times New Roman" w:hAnsi="Times New Roman" w:cs="Times New Roman"/>
                <w:w w:val="95"/>
                <w:sz w:val="19"/>
                <w:lang w:val="sq-AL"/>
              </w:rPr>
              <w:t>kryesore</w:t>
            </w:r>
            <w:r w:rsidRPr="0005229A">
              <w:rPr>
                <w:rFonts w:ascii="Times New Roman" w:eastAsia="Times New Roman" w:hAnsi="Times New Roman" w:cs="Times New Roman"/>
                <w:spacing w:val="-2"/>
                <w:w w:val="95"/>
                <w:sz w:val="19"/>
                <w:lang w:val="sq-AL"/>
              </w:rPr>
              <w:t xml:space="preserve"> </w:t>
            </w:r>
            <w:r w:rsidRPr="0005229A">
              <w:rPr>
                <w:rFonts w:ascii="Times New Roman" w:eastAsia="Times New Roman" w:hAnsi="Times New Roman" w:cs="Times New Roman"/>
                <w:w w:val="95"/>
                <w:sz w:val="19"/>
                <w:lang w:val="sq-AL"/>
              </w:rPr>
              <w:t>në</w:t>
            </w:r>
            <w:r w:rsidRPr="0005229A">
              <w:rPr>
                <w:rFonts w:ascii="Times New Roman" w:eastAsia="Times New Roman" w:hAnsi="Times New Roman" w:cs="Times New Roman"/>
                <w:spacing w:val="-2"/>
                <w:w w:val="95"/>
                <w:sz w:val="19"/>
                <w:lang w:val="sq-AL"/>
              </w:rPr>
              <w:t xml:space="preserve"> </w:t>
            </w:r>
            <w:r w:rsidRPr="0005229A">
              <w:rPr>
                <w:rFonts w:ascii="Times New Roman" w:eastAsia="Times New Roman" w:hAnsi="Times New Roman" w:cs="Times New Roman"/>
                <w:w w:val="95"/>
                <w:sz w:val="19"/>
                <w:lang w:val="sq-AL"/>
              </w:rPr>
              <w:t>plazh</w:t>
            </w:r>
          </w:p>
        </w:tc>
        <w:tc>
          <w:tcPr>
            <w:tcW w:w="103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7"/>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185</w:t>
            </w:r>
          </w:p>
        </w:tc>
        <w:tc>
          <w:tcPr>
            <w:tcW w:w="103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0"/>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316</w:t>
            </w:r>
          </w:p>
        </w:tc>
        <w:tc>
          <w:tcPr>
            <w:tcW w:w="113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198" w:lineRule="exact"/>
              <w:ind w:left="71"/>
              <w:rPr>
                <w:rFonts w:ascii="Times New Roman" w:eastAsia="Times New Roman" w:hAnsi="Times New Roman" w:cs="Times New Roman"/>
                <w:sz w:val="19"/>
                <w:lang w:val="sq-AL"/>
              </w:rPr>
            </w:pPr>
            <w:r w:rsidRPr="0005229A">
              <w:rPr>
                <w:rFonts w:ascii="Times New Roman" w:eastAsia="Times New Roman" w:hAnsi="Times New Roman" w:cs="Times New Roman"/>
                <w:w w:val="94"/>
                <w:sz w:val="19"/>
                <w:lang w:val="sq-AL"/>
              </w:rPr>
              <w:t>D</w:t>
            </w:r>
          </w:p>
        </w:tc>
        <w:tc>
          <w:tcPr>
            <w:tcW w:w="1794" w:type="dxa"/>
            <w:vMerge/>
            <w:tcBorders>
              <w:top w:val="nil"/>
              <w:left w:val="single" w:sz="4" w:space="0" w:color="auto"/>
              <w:bottom w:val="single" w:sz="4" w:space="0" w:color="000000"/>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r w:rsidR="0005229A" w:rsidRPr="0005229A" w:rsidTr="00DD196F">
        <w:trPr>
          <w:trHeight w:val="593"/>
        </w:trPr>
        <w:tc>
          <w:tcPr>
            <w:tcW w:w="103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2" w:after="0" w:line="240" w:lineRule="auto"/>
              <w:rPr>
                <w:rFonts w:ascii="Times New Roman" w:eastAsia="Times New Roman" w:hAnsi="Times New Roman" w:cs="Times New Roman"/>
                <w:b/>
                <w:sz w:val="17"/>
                <w:lang w:val="sq-AL"/>
              </w:rPr>
            </w:pPr>
          </w:p>
          <w:p w:rsidR="0005229A" w:rsidRPr="0005229A" w:rsidRDefault="0005229A" w:rsidP="0005229A">
            <w:pPr>
              <w:widowControl w:val="0"/>
              <w:autoSpaceDE w:val="0"/>
              <w:autoSpaceDN w:val="0"/>
              <w:spacing w:after="0" w:line="240" w:lineRule="auto"/>
              <w:ind w:left="8"/>
              <w:jc w:val="center"/>
              <w:rPr>
                <w:rFonts w:ascii="Times New Roman" w:eastAsia="Times New Roman" w:hAnsi="Times New Roman" w:cs="Times New Roman"/>
                <w:sz w:val="19"/>
                <w:lang w:val="sq-AL"/>
              </w:rPr>
            </w:pPr>
            <w:r w:rsidRPr="0005229A">
              <w:rPr>
                <w:rFonts w:ascii="Times New Roman" w:eastAsia="Times New Roman" w:hAnsi="Times New Roman" w:cs="Times New Roman"/>
                <w:w w:val="94"/>
                <w:sz w:val="19"/>
                <w:lang w:val="sq-AL"/>
              </w:rPr>
              <w:t>3</w:t>
            </w:r>
          </w:p>
        </w:tc>
        <w:tc>
          <w:tcPr>
            <w:tcW w:w="2840"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86" w:after="0" w:line="244" w:lineRule="auto"/>
              <w:ind w:left="70" w:right="351"/>
              <w:rPr>
                <w:rFonts w:ascii="Times New Roman" w:eastAsia="Times New Roman" w:hAnsi="Times New Roman" w:cs="Times New Roman"/>
                <w:sz w:val="19"/>
                <w:lang w:val="sq-AL"/>
              </w:rPr>
            </w:pPr>
            <w:r w:rsidRPr="0005229A">
              <w:rPr>
                <w:rFonts w:ascii="Times New Roman" w:eastAsia="Times New Roman" w:hAnsi="Times New Roman" w:cs="Times New Roman"/>
                <w:w w:val="95"/>
                <w:sz w:val="19"/>
                <w:lang w:val="sq-AL"/>
              </w:rPr>
              <w:t>1000</w:t>
            </w:r>
            <w:r w:rsidRPr="0005229A">
              <w:rPr>
                <w:rFonts w:ascii="Times New Roman" w:eastAsia="Times New Roman" w:hAnsi="Times New Roman" w:cs="Times New Roman"/>
                <w:spacing w:val="-4"/>
                <w:w w:val="95"/>
                <w:sz w:val="19"/>
                <w:lang w:val="sq-AL"/>
              </w:rPr>
              <w:t xml:space="preserve"> </w:t>
            </w:r>
            <w:r w:rsidRPr="0005229A">
              <w:rPr>
                <w:rFonts w:ascii="Times New Roman" w:eastAsia="Times New Roman" w:hAnsi="Times New Roman" w:cs="Times New Roman"/>
                <w:w w:val="95"/>
                <w:sz w:val="19"/>
                <w:lang w:val="sq-AL"/>
              </w:rPr>
              <w:t>m</w:t>
            </w:r>
            <w:r w:rsidRPr="0005229A">
              <w:rPr>
                <w:rFonts w:ascii="Times New Roman" w:eastAsia="Times New Roman" w:hAnsi="Times New Roman" w:cs="Times New Roman"/>
                <w:spacing w:val="-6"/>
                <w:w w:val="95"/>
                <w:sz w:val="19"/>
                <w:lang w:val="sq-AL"/>
              </w:rPr>
              <w:t xml:space="preserve"> </w:t>
            </w:r>
            <w:r w:rsidRPr="0005229A">
              <w:rPr>
                <w:rFonts w:ascii="Times New Roman" w:eastAsia="Times New Roman" w:hAnsi="Times New Roman" w:cs="Times New Roman"/>
                <w:w w:val="95"/>
                <w:sz w:val="19"/>
                <w:lang w:val="sq-AL"/>
              </w:rPr>
              <w:t>larg</w:t>
            </w:r>
            <w:r w:rsidRPr="0005229A">
              <w:rPr>
                <w:rFonts w:ascii="Times New Roman" w:eastAsia="Times New Roman" w:hAnsi="Times New Roman" w:cs="Times New Roman"/>
                <w:spacing w:val="-5"/>
                <w:w w:val="95"/>
                <w:sz w:val="19"/>
                <w:lang w:val="sq-AL"/>
              </w:rPr>
              <w:t xml:space="preserve"> </w:t>
            </w:r>
            <w:r w:rsidRPr="0005229A">
              <w:rPr>
                <w:rFonts w:ascii="Times New Roman" w:eastAsia="Times New Roman" w:hAnsi="Times New Roman" w:cs="Times New Roman"/>
                <w:w w:val="95"/>
                <w:sz w:val="19"/>
                <w:lang w:val="sq-AL"/>
              </w:rPr>
              <w:t>dhe</w:t>
            </w:r>
            <w:r w:rsidRPr="0005229A">
              <w:rPr>
                <w:rFonts w:ascii="Times New Roman" w:eastAsia="Times New Roman" w:hAnsi="Times New Roman" w:cs="Times New Roman"/>
                <w:spacing w:val="-5"/>
                <w:w w:val="95"/>
                <w:sz w:val="19"/>
                <w:lang w:val="sq-AL"/>
              </w:rPr>
              <w:t xml:space="preserve"> </w:t>
            </w:r>
            <w:r w:rsidRPr="0005229A">
              <w:rPr>
                <w:rFonts w:ascii="Times New Roman" w:eastAsia="Times New Roman" w:hAnsi="Times New Roman" w:cs="Times New Roman"/>
                <w:w w:val="95"/>
                <w:sz w:val="19"/>
                <w:lang w:val="sq-AL"/>
              </w:rPr>
              <w:t>majtas</w:t>
            </w:r>
            <w:r w:rsidRPr="0005229A">
              <w:rPr>
                <w:rFonts w:ascii="Times New Roman" w:eastAsia="Times New Roman" w:hAnsi="Times New Roman" w:cs="Times New Roman"/>
                <w:spacing w:val="-42"/>
                <w:w w:val="95"/>
                <w:sz w:val="19"/>
                <w:lang w:val="sq-AL"/>
              </w:rPr>
              <w:t xml:space="preserve"> </w:t>
            </w:r>
            <w:r w:rsidRPr="0005229A">
              <w:rPr>
                <w:rFonts w:ascii="Times New Roman" w:eastAsia="Times New Roman" w:hAnsi="Times New Roman" w:cs="Times New Roman"/>
                <w:sz w:val="19"/>
                <w:lang w:val="sq-AL"/>
              </w:rPr>
              <w:t>pikës</w:t>
            </w:r>
            <w:r w:rsidRPr="0005229A">
              <w:rPr>
                <w:rFonts w:ascii="Times New Roman" w:eastAsia="Times New Roman" w:hAnsi="Times New Roman" w:cs="Times New Roman"/>
                <w:spacing w:val="-4"/>
                <w:sz w:val="19"/>
                <w:lang w:val="sq-AL"/>
              </w:rPr>
              <w:t xml:space="preserve"> </w:t>
            </w:r>
            <w:r w:rsidRPr="0005229A">
              <w:rPr>
                <w:rFonts w:ascii="Times New Roman" w:eastAsia="Times New Roman" w:hAnsi="Times New Roman" w:cs="Times New Roman"/>
                <w:sz w:val="19"/>
                <w:lang w:val="sq-AL"/>
              </w:rPr>
              <w:t>2</w:t>
            </w:r>
          </w:p>
        </w:tc>
        <w:tc>
          <w:tcPr>
            <w:tcW w:w="103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144" w:after="0" w:line="200" w:lineRule="exact"/>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178</w:t>
            </w:r>
          </w:p>
        </w:tc>
        <w:tc>
          <w:tcPr>
            <w:tcW w:w="1038"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144" w:after="0" w:line="200" w:lineRule="exact"/>
              <w:ind w:left="70"/>
              <w:rPr>
                <w:rFonts w:ascii="Times New Roman" w:eastAsia="Times New Roman" w:hAnsi="Times New Roman" w:cs="Times New Roman"/>
                <w:sz w:val="19"/>
                <w:lang w:val="sq-AL"/>
              </w:rPr>
            </w:pPr>
            <w:r w:rsidRPr="0005229A">
              <w:rPr>
                <w:rFonts w:ascii="Times New Roman" w:eastAsia="Times New Roman" w:hAnsi="Times New Roman" w:cs="Times New Roman"/>
                <w:sz w:val="19"/>
                <w:lang w:val="sq-AL"/>
              </w:rPr>
              <w:t>211</w:t>
            </w:r>
          </w:p>
        </w:tc>
        <w:tc>
          <w:tcPr>
            <w:tcW w:w="1133" w:type="dxa"/>
            <w:tcBorders>
              <w:top w:val="single" w:sz="4" w:space="0" w:color="auto"/>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before="1" w:after="0" w:line="240" w:lineRule="auto"/>
              <w:rPr>
                <w:rFonts w:ascii="Times New Roman" w:eastAsia="Times New Roman" w:hAnsi="Times New Roman" w:cs="Times New Roman"/>
                <w:sz w:val="19"/>
                <w:lang w:val="sq-AL"/>
              </w:rPr>
            </w:pPr>
            <w:r w:rsidRPr="0005229A">
              <w:rPr>
                <w:rFonts w:ascii="Times New Roman" w:eastAsia="Times New Roman" w:hAnsi="Times New Roman" w:cs="Times New Roman"/>
                <w:b/>
                <w:sz w:val="19"/>
                <w:lang w:val="sq-AL"/>
              </w:rPr>
              <w:t xml:space="preserve">  C</w:t>
            </w:r>
          </w:p>
        </w:tc>
        <w:tc>
          <w:tcPr>
            <w:tcW w:w="1794" w:type="dxa"/>
            <w:vMerge/>
            <w:tcBorders>
              <w:top w:val="nil"/>
              <w:left w:val="single" w:sz="4" w:space="0" w:color="auto"/>
              <w:bottom w:val="single" w:sz="4" w:space="0" w:color="auto"/>
              <w:right w:val="single" w:sz="4" w:space="0" w:color="auto"/>
            </w:tcBorders>
          </w:tcPr>
          <w:p w:rsidR="0005229A" w:rsidRPr="0005229A" w:rsidRDefault="0005229A" w:rsidP="0005229A">
            <w:pPr>
              <w:widowControl w:val="0"/>
              <w:autoSpaceDE w:val="0"/>
              <w:autoSpaceDN w:val="0"/>
              <w:spacing w:after="0" w:line="240" w:lineRule="auto"/>
              <w:rPr>
                <w:rFonts w:ascii="Times New Roman" w:eastAsia="Times New Roman" w:hAnsi="Times New Roman" w:cs="Times New Roman"/>
                <w:sz w:val="2"/>
                <w:szCs w:val="2"/>
                <w:lang w:val="sq-AL"/>
              </w:rPr>
            </w:pPr>
          </w:p>
        </w:tc>
      </w:tr>
    </w:tbl>
    <w:p w:rsidR="0005229A" w:rsidRPr="0005229A" w:rsidRDefault="0005229A" w:rsidP="0005229A">
      <w:pPr>
        <w:spacing w:after="200" w:line="288" w:lineRule="auto"/>
        <w:rPr>
          <w:rFonts w:ascii="Times New Roman" w:eastAsiaTheme="minorEastAsia" w:hAnsi="Times New Roman" w:cs="Times New Roman"/>
          <w:sz w:val="24"/>
          <w:szCs w:val="24"/>
        </w:rPr>
      </w:pPr>
    </w:p>
    <w:p w:rsidR="001E2AD3" w:rsidRPr="0005229A" w:rsidRDefault="0005229A" w:rsidP="0005229A">
      <w:pPr>
        <w:spacing w:after="200" w:line="288" w:lineRule="auto"/>
        <w:rPr>
          <w:rFonts w:ascii="Times New Roman" w:eastAsiaTheme="minorEastAsia" w:hAnsi="Times New Roman" w:cs="Times New Roman"/>
          <w:sz w:val="24"/>
          <w:szCs w:val="24"/>
        </w:rPr>
      </w:pPr>
      <w:r w:rsidRPr="0005229A">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28032" behindDoc="0" locked="0" layoutInCell="1" allowOverlap="1" wp14:anchorId="0A44288B" wp14:editId="73D402C8">
                <wp:simplePos x="0" y="0"/>
                <wp:positionH relativeFrom="column">
                  <wp:posOffset>3314700</wp:posOffset>
                </wp:positionH>
                <wp:positionV relativeFrom="paragraph">
                  <wp:posOffset>15240</wp:posOffset>
                </wp:positionV>
                <wp:extent cx="3048000" cy="2657475"/>
                <wp:effectExtent l="0" t="0" r="19050" b="28575"/>
                <wp:wrapNone/>
                <wp:docPr id="41" name="Rectangle 41"/>
                <wp:cNvGraphicFramePr/>
                <a:graphic xmlns:a="http://schemas.openxmlformats.org/drawingml/2006/main">
                  <a:graphicData uri="http://schemas.microsoft.com/office/word/2010/wordprocessingShape">
                    <wps:wsp>
                      <wps:cNvSpPr/>
                      <wps:spPr>
                        <a:xfrm>
                          <a:off x="0" y="0"/>
                          <a:ext cx="3048000" cy="2657475"/>
                        </a:xfrm>
                        <a:prstGeom prst="rect">
                          <a:avLst/>
                        </a:prstGeom>
                        <a:solidFill>
                          <a:sysClr val="window" lastClr="FFFFFF"/>
                        </a:solidFill>
                        <a:ln w="12700" cap="flat" cmpd="sng" algn="ctr">
                          <a:solidFill>
                            <a:srgbClr val="70AD47"/>
                          </a:solidFill>
                          <a:prstDash val="solid"/>
                          <a:miter lim="800000"/>
                        </a:ln>
                        <a:effectLst/>
                      </wps:spPr>
                      <wps:txbx>
                        <w:txbxContent>
                          <w:p w:rsidR="0064059F" w:rsidRPr="009C4AAB" w:rsidRDefault="0064059F" w:rsidP="0005229A">
                            <w:pPr>
                              <w:rPr>
                                <w:rFonts w:ascii="Times New Roman" w:hAnsi="Times New Roman" w:cs="Times New Roman"/>
                                <w:sz w:val="24"/>
                                <w:szCs w:val="24"/>
                              </w:rPr>
                            </w:pPr>
                            <w:r w:rsidRPr="009C4AAB">
                              <w:rPr>
                                <w:rFonts w:ascii="Times New Roman" w:hAnsi="Times New Roman" w:cs="Times New Roman"/>
                                <w:sz w:val="24"/>
                                <w:szCs w:val="24"/>
                              </w:rPr>
                              <w:t>Për plazhin e Divjakës  ,për vitin 2025   numri stacioneve të monitorimit që i përkasin kategorisë</w:t>
                            </w:r>
                          </w:p>
                          <w:p w:rsidR="0064059F" w:rsidRPr="009C4AAB" w:rsidRDefault="0064059F" w:rsidP="0005229A">
                            <w:pPr>
                              <w:spacing w:after="0"/>
                              <w:rPr>
                                <w:rFonts w:ascii="Times New Roman" w:hAnsi="Times New Roman" w:cs="Times New Roman"/>
                                <w:sz w:val="24"/>
                                <w:szCs w:val="24"/>
                              </w:rPr>
                            </w:pPr>
                            <w:r w:rsidRPr="009C4AAB">
                              <w:rPr>
                                <w:rFonts w:ascii="Times New Roman" w:hAnsi="Times New Roman" w:cs="Times New Roman"/>
                                <w:sz w:val="24"/>
                                <w:szCs w:val="24"/>
                              </w:rPr>
                              <w:t xml:space="preserve">Nuk ka stacione te kategorisë A-Cilësi e Shkëlqyer e ujërave dhe B-Cilësia e mirë e ujërave </w:t>
                            </w:r>
                          </w:p>
                          <w:p w:rsidR="0064059F" w:rsidRPr="009C4AAB" w:rsidRDefault="0064059F" w:rsidP="0005229A">
                            <w:pPr>
                              <w:spacing w:after="0"/>
                              <w:rPr>
                                <w:rFonts w:ascii="Times New Roman" w:hAnsi="Times New Roman" w:cs="Times New Roman"/>
                                <w:sz w:val="24"/>
                                <w:szCs w:val="24"/>
                              </w:rPr>
                            </w:pPr>
                            <w:r w:rsidRPr="009C4AAB">
                              <w:rPr>
                                <w:rFonts w:ascii="Times New Roman" w:hAnsi="Times New Roman" w:cs="Times New Roman"/>
                                <w:sz w:val="24"/>
                                <w:szCs w:val="24"/>
                              </w:rPr>
                              <w:t xml:space="preserve"> </w:t>
                            </w:r>
                          </w:p>
                          <w:p w:rsidR="0064059F" w:rsidRPr="009C4AAB" w:rsidRDefault="0064059F" w:rsidP="0005229A">
                            <w:pPr>
                              <w:spacing w:after="0"/>
                              <w:rPr>
                                <w:rFonts w:ascii="Times New Roman" w:hAnsi="Times New Roman" w:cs="Times New Roman"/>
                                <w:sz w:val="24"/>
                                <w:szCs w:val="24"/>
                              </w:rPr>
                            </w:pPr>
                            <w:r w:rsidRPr="009C4AAB">
                              <w:rPr>
                                <w:rFonts w:ascii="Times New Roman" w:hAnsi="Times New Roman" w:cs="Times New Roman"/>
                                <w:sz w:val="24"/>
                                <w:szCs w:val="24"/>
                              </w:rPr>
                              <w:t>Kemi rritje të numrit të stacioneve të kategorisë C- Cilësi  e mjaftueshme, dhe D-Cilësi e keqe /Masa të menjëherëshme. nga 0% në2024 në 33% dhe 67%  ne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44288B" id="Rectangle 41" o:spid="_x0000_s1093" style="position:absolute;margin-left:261pt;margin-top:1.2pt;width:240pt;height:209.25pt;z-index:25162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" fillcolor="window" strokecolor="#70ad47" strokeweight="1pt">
                <v:textbox>
                  <w:txbxContent>
                    <w:p w:rsidR="0064059F" w:rsidRPr="009C4AAB" w:rsidRDefault="0064059F" w:rsidP="0005229A">
                      <w:pPr>
                        <w:rPr>
                          <w:rFonts w:ascii="Times New Roman" w:hAnsi="Times New Roman" w:cs="Times New Roman"/>
                          <w:sz w:val="24"/>
                          <w:szCs w:val="24"/>
                        </w:rPr>
                      </w:pPr>
                      <w:r w:rsidRPr="009C4AAB">
                        <w:rPr>
                          <w:rFonts w:ascii="Times New Roman" w:hAnsi="Times New Roman" w:cs="Times New Roman"/>
                          <w:sz w:val="24"/>
                          <w:szCs w:val="24"/>
                        </w:rPr>
                        <w:t>Për plazhin e Divjakës  ,për vitin 2025   numri stacioneve të monitorimit që i përkasin kategorisë</w:t>
                      </w:r>
                    </w:p>
                    <w:p w:rsidR="0064059F" w:rsidRPr="009C4AAB" w:rsidRDefault="0064059F" w:rsidP="0005229A">
                      <w:pPr>
                        <w:spacing w:after="0"/>
                        <w:rPr>
                          <w:rFonts w:ascii="Times New Roman" w:hAnsi="Times New Roman" w:cs="Times New Roman"/>
                          <w:sz w:val="24"/>
                          <w:szCs w:val="24"/>
                        </w:rPr>
                      </w:pPr>
                      <w:r w:rsidRPr="009C4AAB">
                        <w:rPr>
                          <w:rFonts w:ascii="Times New Roman" w:hAnsi="Times New Roman" w:cs="Times New Roman"/>
                          <w:sz w:val="24"/>
                          <w:szCs w:val="24"/>
                        </w:rPr>
                        <w:t xml:space="preserve">Nuk ka stacione te kategorisë A-Cilësi e Shkëlqyer e ujërave dhe B-Cilësia e mirë e ujërave </w:t>
                      </w:r>
                    </w:p>
                    <w:p w:rsidR="0064059F" w:rsidRPr="009C4AAB" w:rsidRDefault="0064059F" w:rsidP="0005229A">
                      <w:pPr>
                        <w:spacing w:after="0"/>
                        <w:rPr>
                          <w:rFonts w:ascii="Times New Roman" w:hAnsi="Times New Roman" w:cs="Times New Roman"/>
                          <w:sz w:val="24"/>
                          <w:szCs w:val="24"/>
                        </w:rPr>
                      </w:pPr>
                      <w:r w:rsidRPr="009C4AAB">
                        <w:rPr>
                          <w:rFonts w:ascii="Times New Roman" w:hAnsi="Times New Roman" w:cs="Times New Roman"/>
                          <w:sz w:val="24"/>
                          <w:szCs w:val="24"/>
                        </w:rPr>
                        <w:t xml:space="preserve"> </w:t>
                      </w:r>
                    </w:p>
                    <w:p w:rsidR="0064059F" w:rsidRPr="009C4AAB" w:rsidRDefault="0064059F" w:rsidP="0005229A">
                      <w:pPr>
                        <w:spacing w:after="0"/>
                        <w:rPr>
                          <w:rFonts w:ascii="Times New Roman" w:hAnsi="Times New Roman" w:cs="Times New Roman"/>
                          <w:sz w:val="24"/>
                          <w:szCs w:val="24"/>
                        </w:rPr>
                      </w:pPr>
                      <w:r w:rsidRPr="009C4AAB">
                        <w:rPr>
                          <w:rFonts w:ascii="Times New Roman" w:hAnsi="Times New Roman" w:cs="Times New Roman"/>
                          <w:sz w:val="24"/>
                          <w:szCs w:val="24"/>
                        </w:rPr>
                        <w:t>Kemi rritje të numrit të stacioneve të kategorisë C- Cilësi  e mjaftueshme, dhe D-Cilësi e keqe /Masa të menjëherëshme. nga 0% në2024 në 33% dhe 67%  ne 2025</w:t>
                      </w:r>
                    </w:p>
                  </w:txbxContent>
                </v:textbox>
              </v:rect>
            </w:pict>
          </mc:Fallback>
        </mc:AlternateContent>
      </w:r>
      <w:r w:rsidRPr="0005229A">
        <w:rPr>
          <w:rFonts w:ascii="Times New Roman" w:eastAsiaTheme="minorEastAsia" w:hAnsi="Times New Roman" w:cs="Times New Roman"/>
          <w:noProof/>
          <w:sz w:val="24"/>
          <w:szCs w:val="24"/>
        </w:rPr>
        <w:drawing>
          <wp:inline distT="0" distB="0" distL="0" distR="0" wp14:anchorId="277BABE4" wp14:editId="4E7E1F9F">
            <wp:extent cx="3011805" cy="27559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011805" cy="2755900"/>
                    </a:xfrm>
                    <a:prstGeom prst="rect">
                      <a:avLst/>
                    </a:prstGeom>
                    <a:noFill/>
                  </pic:spPr>
                </pic:pic>
              </a:graphicData>
            </a:graphic>
          </wp:inline>
        </w:drawing>
      </w:r>
    </w:p>
    <w:p w:rsidR="00DD196F" w:rsidRPr="0017692F" w:rsidRDefault="00DD196F" w:rsidP="00807975">
      <w:pPr>
        <w:pStyle w:val="ListParagraph"/>
        <w:numPr>
          <w:ilvl w:val="0"/>
          <w:numId w:val="165"/>
        </w:numPr>
        <w:rPr>
          <w:rFonts w:ascii="Times New Roman" w:eastAsiaTheme="minorEastAsia" w:hAnsi="Times New Roman" w:cs="Times New Roman"/>
          <w:b/>
          <w:sz w:val="24"/>
          <w:szCs w:val="24"/>
        </w:rPr>
      </w:pPr>
      <w:r w:rsidRPr="0017692F">
        <w:rPr>
          <w:rFonts w:ascii="Times New Roman" w:eastAsiaTheme="minorEastAsia" w:hAnsi="Times New Roman" w:cs="Times New Roman"/>
          <w:b/>
          <w:sz w:val="24"/>
          <w:szCs w:val="24"/>
        </w:rPr>
        <w:t>Plazhet e Vlorës, Zvërnecit dhe Orikumit.</w:t>
      </w:r>
    </w:p>
    <w:p w:rsidR="00DD196F" w:rsidRDefault="00DD196F" w:rsidP="0017692F">
      <w:pPr>
        <w:spacing w:after="0" w:line="240" w:lineRule="auto"/>
        <w:jc w:val="both"/>
        <w:rPr>
          <w:rFonts w:ascii="Times New Roman" w:eastAsiaTheme="minorEastAsia" w:hAnsi="Times New Roman" w:cs="Times New Roman"/>
          <w:sz w:val="24"/>
          <w:szCs w:val="24"/>
        </w:rPr>
      </w:pPr>
      <w:r w:rsidRPr="00DD196F">
        <w:rPr>
          <w:rFonts w:ascii="Times New Roman" w:eastAsiaTheme="minorEastAsia" w:hAnsi="Times New Roman" w:cs="Times New Roman"/>
          <w:sz w:val="24"/>
          <w:szCs w:val="24"/>
        </w:rPr>
        <w:t xml:space="preserve">PLAZHI I ZVËRNECIT: Gjatë ekspertizës higjeno-sanitare në plazhet e Zvërnecit nuk vërehen kanale të hapura që derdhin ujëra në det.  Para hyrjes në zonën e triportit e cila nuk është pikë monitorimi, ndodhet kanali i madh që derdhet në det.  Përgjithësisht në të gjitha plazhet që administrohen nga subjekte private u konstatuan kushte të mira, me dushe, kosha mbeturinash dhe prezencë e kullave të vrojtimit. Gjithashtu u konstatua prezencë e afishimit të rregullave për zbatim nga pushuesit. Brezi ranor i pluguar dhe i pastër në përgjithësi. Gjatë muajit Korrik e Gusht u konstatua shtim i numrit të frekuentuesve të plazheve. Frekuentuesit e plazheve shfrytëzojnë tualetet e subjekteve private që ushtojnë aktivitetin në brezin ranor. </w:t>
      </w:r>
    </w:p>
    <w:p w:rsidR="0017692F" w:rsidRPr="00DD196F" w:rsidRDefault="0017692F" w:rsidP="0017692F">
      <w:pPr>
        <w:spacing w:after="0" w:line="240" w:lineRule="auto"/>
        <w:jc w:val="both"/>
        <w:rPr>
          <w:rFonts w:ascii="Times New Roman" w:eastAsiaTheme="minorEastAsia" w:hAnsi="Times New Roman" w:cs="Times New Roman"/>
          <w:sz w:val="24"/>
          <w:szCs w:val="24"/>
        </w:rPr>
      </w:pPr>
    </w:p>
    <w:p w:rsidR="00DD196F" w:rsidRPr="00DD196F" w:rsidRDefault="00DD196F" w:rsidP="00DD196F">
      <w:pPr>
        <w:spacing w:after="200" w:line="288" w:lineRule="auto"/>
        <w:rPr>
          <w:rFonts w:ascii="Times New Roman" w:eastAsiaTheme="minorEastAsia" w:hAnsi="Times New Roman" w:cs="Times New Roman"/>
          <w:b/>
          <w:sz w:val="24"/>
          <w:szCs w:val="24"/>
        </w:rPr>
      </w:pPr>
      <w:r w:rsidRPr="00DD196F">
        <w:rPr>
          <w:rFonts w:ascii="Times New Roman" w:eastAsiaTheme="minorEastAsia" w:hAnsi="Times New Roman" w:cs="Times New Roman"/>
          <w:sz w:val="24"/>
          <w:szCs w:val="24"/>
        </w:rPr>
        <w:t xml:space="preserve">                   </w:t>
      </w:r>
      <w:r w:rsidR="0017692F">
        <w:rPr>
          <w:rFonts w:ascii="Times New Roman" w:eastAsiaTheme="minorEastAsia" w:hAnsi="Times New Roman" w:cs="Times New Roman"/>
          <w:b/>
          <w:sz w:val="24"/>
          <w:szCs w:val="24"/>
        </w:rPr>
        <w:t xml:space="preserve"> ● Plazhi i</w:t>
      </w:r>
      <w:r w:rsidRPr="00DD196F">
        <w:rPr>
          <w:rFonts w:ascii="Times New Roman" w:eastAsiaTheme="minorEastAsia" w:hAnsi="Times New Roman" w:cs="Times New Roman"/>
          <w:b/>
          <w:sz w:val="24"/>
          <w:szCs w:val="24"/>
        </w:rPr>
        <w:t xml:space="preserve"> Zvërnecit </w:t>
      </w:r>
    </w:p>
    <w:tbl>
      <w:tblPr>
        <w:tblW w:w="0" w:type="auto"/>
        <w:tblInd w:w="188" w:type="dxa"/>
        <w:tblLayout w:type="fixed"/>
        <w:tblCellMar>
          <w:left w:w="0" w:type="dxa"/>
          <w:right w:w="0" w:type="dxa"/>
        </w:tblCellMar>
        <w:tblLook w:val="01E0" w:firstRow="1" w:lastRow="1" w:firstColumn="1" w:lastColumn="1" w:noHBand="0" w:noVBand="0"/>
      </w:tblPr>
      <w:tblGrid>
        <w:gridCol w:w="1093"/>
        <w:gridCol w:w="2796"/>
        <w:gridCol w:w="1200"/>
        <w:gridCol w:w="1147"/>
        <w:gridCol w:w="1036"/>
        <w:gridCol w:w="1419"/>
      </w:tblGrid>
      <w:tr w:rsidR="00DD196F" w:rsidRPr="00DD196F" w:rsidTr="00DD196F">
        <w:trPr>
          <w:trHeight w:val="722"/>
        </w:trPr>
        <w:tc>
          <w:tcPr>
            <w:tcW w:w="1093" w:type="dxa"/>
            <w:tcBorders>
              <w:top w:val="single" w:sz="4" w:space="0" w:color="auto"/>
              <w:left w:val="single" w:sz="4" w:space="0" w:color="auto"/>
              <w:bottom w:val="single" w:sz="4" w:space="0" w:color="auto"/>
              <w:right w:val="single" w:sz="4" w:space="0" w:color="auto"/>
            </w:tcBorders>
            <w:shd w:val="clear" w:color="auto" w:fill="E1EED9"/>
          </w:tcPr>
          <w:p w:rsidR="00DD196F" w:rsidRPr="00DD196F" w:rsidRDefault="00DD196F" w:rsidP="00DD196F">
            <w:pPr>
              <w:widowControl w:val="0"/>
              <w:autoSpaceDE w:val="0"/>
              <w:autoSpaceDN w:val="0"/>
              <w:spacing w:before="41" w:after="0" w:line="240" w:lineRule="auto"/>
              <w:ind w:left="66" w:right="59"/>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Nr.</w:t>
            </w:r>
          </w:p>
          <w:p w:rsidR="00DD196F" w:rsidRPr="00DD196F" w:rsidRDefault="00DD196F" w:rsidP="00DD196F">
            <w:pPr>
              <w:widowControl w:val="0"/>
              <w:autoSpaceDE w:val="0"/>
              <w:autoSpaceDN w:val="0"/>
              <w:spacing w:before="5" w:after="0" w:line="240" w:lineRule="auto"/>
              <w:ind w:left="67" w:right="59"/>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p>
        </w:tc>
        <w:tc>
          <w:tcPr>
            <w:tcW w:w="2796" w:type="dxa"/>
            <w:tcBorders>
              <w:top w:val="single" w:sz="4" w:space="0" w:color="auto"/>
              <w:left w:val="single" w:sz="4" w:space="0" w:color="auto"/>
              <w:bottom w:val="single" w:sz="4" w:space="0" w:color="auto"/>
              <w:right w:val="single" w:sz="4" w:space="0" w:color="auto"/>
            </w:tcBorders>
            <w:shd w:val="clear" w:color="auto" w:fill="E1EED9"/>
          </w:tcPr>
          <w:p w:rsidR="00DD196F" w:rsidRPr="00DD196F" w:rsidRDefault="00DD196F" w:rsidP="00DD196F">
            <w:pPr>
              <w:widowControl w:val="0"/>
              <w:autoSpaceDE w:val="0"/>
              <w:autoSpaceDN w:val="0"/>
              <w:spacing w:before="153" w:after="0" w:line="240" w:lineRule="auto"/>
              <w:ind w:left="1082" w:right="1076"/>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Vendi</w:t>
            </w:r>
          </w:p>
        </w:tc>
        <w:tc>
          <w:tcPr>
            <w:tcW w:w="1200" w:type="dxa"/>
            <w:tcBorders>
              <w:top w:val="single" w:sz="4" w:space="0" w:color="auto"/>
              <w:left w:val="single" w:sz="4" w:space="0" w:color="auto"/>
              <w:bottom w:val="single" w:sz="4" w:space="0" w:color="auto"/>
              <w:right w:val="single" w:sz="4" w:space="0" w:color="auto"/>
            </w:tcBorders>
            <w:shd w:val="clear" w:color="auto" w:fill="E1EED9"/>
          </w:tcPr>
          <w:p w:rsidR="00DD196F" w:rsidRPr="00DD196F" w:rsidRDefault="00DD196F" w:rsidP="00DD196F">
            <w:pPr>
              <w:widowControl w:val="0"/>
              <w:autoSpaceDE w:val="0"/>
              <w:autoSpaceDN w:val="0"/>
              <w:spacing w:after="0" w:line="212" w:lineRule="exact"/>
              <w:ind w:left="166"/>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FC</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90%</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240" w:lineRule="auto"/>
              <w:ind w:left="109"/>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250</w:t>
            </w:r>
          </w:p>
        </w:tc>
        <w:tc>
          <w:tcPr>
            <w:tcW w:w="1147" w:type="dxa"/>
            <w:tcBorders>
              <w:top w:val="single" w:sz="4" w:space="0" w:color="auto"/>
              <w:left w:val="single" w:sz="4" w:space="0" w:color="auto"/>
              <w:bottom w:val="single" w:sz="4" w:space="0" w:color="auto"/>
              <w:right w:val="single" w:sz="4" w:space="0" w:color="auto"/>
            </w:tcBorders>
            <w:shd w:val="clear" w:color="auto" w:fill="E1EED9"/>
          </w:tcPr>
          <w:p w:rsidR="00DD196F" w:rsidRPr="00DD196F" w:rsidRDefault="00DD196F" w:rsidP="00DD196F">
            <w:pPr>
              <w:widowControl w:val="0"/>
              <w:autoSpaceDE w:val="0"/>
              <w:autoSpaceDN w:val="0"/>
              <w:spacing w:after="0" w:line="212" w:lineRule="exact"/>
              <w:ind w:left="167"/>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IE</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95%</w:t>
            </w:r>
            <w:r w:rsidRPr="00DD196F">
              <w:rPr>
                <w:rFonts w:ascii="Times New Roman" w:eastAsia="Times New Roman" w:hAnsi="Times New Roman" w:cs="Times New Roman"/>
                <w:b/>
                <w:spacing w:val="3"/>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240" w:lineRule="auto"/>
              <w:ind w:left="83"/>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100</w:t>
            </w:r>
          </w:p>
        </w:tc>
        <w:tc>
          <w:tcPr>
            <w:tcW w:w="1036" w:type="dxa"/>
            <w:tcBorders>
              <w:top w:val="single" w:sz="4" w:space="0" w:color="auto"/>
              <w:left w:val="single" w:sz="4" w:space="0" w:color="auto"/>
              <w:bottom w:val="single" w:sz="4" w:space="0" w:color="auto"/>
              <w:right w:val="single" w:sz="4" w:space="0" w:color="auto"/>
            </w:tcBorders>
            <w:shd w:val="clear" w:color="auto" w:fill="E1EED9"/>
          </w:tcPr>
          <w:p w:rsidR="00DD196F" w:rsidRPr="00DD196F" w:rsidRDefault="00DD196F" w:rsidP="00DD196F">
            <w:pPr>
              <w:widowControl w:val="0"/>
              <w:autoSpaceDE w:val="0"/>
              <w:autoSpaceDN w:val="0"/>
              <w:spacing w:after="0" w:line="212" w:lineRule="exact"/>
              <w:ind w:left="74"/>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Kategoria</w:t>
            </w:r>
          </w:p>
        </w:tc>
        <w:tc>
          <w:tcPr>
            <w:tcW w:w="1419" w:type="dxa"/>
            <w:tcBorders>
              <w:top w:val="single" w:sz="4" w:space="0" w:color="auto"/>
              <w:left w:val="single" w:sz="4" w:space="0" w:color="auto"/>
              <w:right w:val="single" w:sz="4" w:space="0" w:color="auto"/>
            </w:tcBorders>
            <w:shd w:val="clear" w:color="auto" w:fill="E1EED9"/>
          </w:tcPr>
          <w:p w:rsidR="00DD196F" w:rsidRPr="00DD196F" w:rsidRDefault="00DD196F" w:rsidP="00DD196F">
            <w:pPr>
              <w:widowControl w:val="0"/>
              <w:autoSpaceDE w:val="0"/>
              <w:autoSpaceDN w:val="0"/>
              <w:spacing w:after="0" w:line="244" w:lineRule="auto"/>
              <w:ind w:left="127" w:right="70" w:firstLine="65"/>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Përqindja</w:t>
            </w:r>
            <w:r w:rsidRPr="00DD196F">
              <w:rPr>
                <w:rFonts w:ascii="Times New Roman" w:eastAsia="Times New Roman" w:hAnsi="Times New Roman" w:cs="Times New Roman"/>
                <w:b/>
                <w:spacing w:val="7"/>
                <w:sz w:val="19"/>
                <w:lang w:val="sq-AL"/>
              </w:rPr>
              <w:t xml:space="preserve"> </w:t>
            </w:r>
            <w:r w:rsidRPr="00DD196F">
              <w:rPr>
                <w:rFonts w:ascii="Times New Roman" w:eastAsia="Times New Roman" w:hAnsi="Times New Roman" w:cs="Times New Roman"/>
                <w:b/>
                <w:sz w:val="19"/>
                <w:lang w:val="sq-AL"/>
              </w:rPr>
              <w:t>e</w:t>
            </w:r>
            <w:r w:rsidRPr="00DD196F">
              <w:rPr>
                <w:rFonts w:ascii="Times New Roman" w:eastAsia="Times New Roman" w:hAnsi="Times New Roman" w:cs="Times New Roman"/>
                <w:b/>
                <w:spacing w:val="1"/>
                <w:sz w:val="19"/>
                <w:lang w:val="sq-AL"/>
              </w:rPr>
              <w:t xml:space="preserve"> </w:t>
            </w:r>
            <w:r w:rsidRPr="00DD196F">
              <w:rPr>
                <w:rFonts w:ascii="Times New Roman" w:eastAsia="Times New Roman" w:hAnsi="Times New Roman" w:cs="Times New Roman"/>
                <w:b/>
                <w:sz w:val="19"/>
                <w:lang w:val="sq-AL"/>
              </w:rPr>
              <w:t>stacioneve</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w:t>
            </w:r>
          </w:p>
        </w:tc>
      </w:tr>
      <w:tr w:rsidR="00DD196F" w:rsidRPr="00DD196F" w:rsidTr="00DD196F">
        <w:trPr>
          <w:trHeight w:val="393"/>
        </w:trPr>
        <w:tc>
          <w:tcPr>
            <w:tcW w:w="1093" w:type="dxa"/>
            <w:tcBorders>
              <w:top w:val="single" w:sz="4" w:space="0" w:color="auto"/>
              <w:left w:val="single" w:sz="4" w:space="0" w:color="auto"/>
              <w:bottom w:val="single" w:sz="4" w:space="0" w:color="auto"/>
              <w:right w:val="single" w:sz="4" w:space="0" w:color="auto"/>
            </w:tcBorders>
          </w:tcPr>
          <w:p w:rsidR="00DD196F" w:rsidRPr="00DD196F" w:rsidRDefault="00DD196F" w:rsidP="00DD196F">
            <w:pPr>
              <w:widowControl w:val="0"/>
              <w:autoSpaceDE w:val="0"/>
              <w:autoSpaceDN w:val="0"/>
              <w:spacing w:before="38" w:after="0" w:line="240" w:lineRule="auto"/>
              <w:ind w:left="6"/>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1</w:t>
            </w:r>
          </w:p>
        </w:tc>
        <w:tc>
          <w:tcPr>
            <w:tcW w:w="2796" w:type="dxa"/>
            <w:tcBorders>
              <w:top w:val="single" w:sz="4" w:space="0" w:color="auto"/>
              <w:left w:val="single" w:sz="4" w:space="0" w:color="auto"/>
              <w:bottom w:val="single" w:sz="4" w:space="0" w:color="auto"/>
              <w:right w:val="single" w:sz="4" w:space="0" w:color="auto"/>
            </w:tcBorders>
          </w:tcPr>
          <w:p w:rsidR="00DD196F" w:rsidRPr="00DD196F" w:rsidRDefault="00DD196F" w:rsidP="00DD196F">
            <w:pPr>
              <w:widowControl w:val="0"/>
              <w:autoSpaceDE w:val="0"/>
              <w:autoSpaceDN w:val="0"/>
              <w:spacing w:before="38" w:after="0" w:line="240" w:lineRule="auto"/>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Para</w:t>
            </w:r>
            <w:r w:rsidRPr="00DD196F">
              <w:rPr>
                <w:rFonts w:ascii="Times New Roman" w:eastAsia="Times New Roman" w:hAnsi="Times New Roman" w:cs="Times New Roman"/>
                <w:spacing w:val="11"/>
                <w:sz w:val="19"/>
                <w:lang w:val="sq-AL"/>
              </w:rPr>
              <w:t xml:space="preserve"> </w:t>
            </w:r>
            <w:r w:rsidRPr="00DD196F">
              <w:rPr>
                <w:rFonts w:ascii="Times New Roman" w:eastAsia="Times New Roman" w:hAnsi="Times New Roman" w:cs="Times New Roman"/>
                <w:sz w:val="19"/>
                <w:lang w:val="sq-AL"/>
              </w:rPr>
              <w:t>Xhemalit</w:t>
            </w:r>
            <w:r w:rsidRPr="00DD196F">
              <w:rPr>
                <w:rFonts w:ascii="Times New Roman" w:eastAsia="Times New Roman" w:hAnsi="Times New Roman" w:cs="Times New Roman"/>
                <w:spacing w:val="10"/>
                <w:sz w:val="19"/>
                <w:lang w:val="sq-AL"/>
              </w:rPr>
              <w:t xml:space="preserve"> </w:t>
            </w:r>
            <w:r w:rsidRPr="00DD196F">
              <w:rPr>
                <w:rFonts w:ascii="Times New Roman" w:eastAsia="Times New Roman" w:hAnsi="Times New Roman" w:cs="Times New Roman"/>
                <w:sz w:val="19"/>
                <w:lang w:val="sq-AL"/>
              </w:rPr>
              <w:t>(djathtas)</w:t>
            </w:r>
          </w:p>
        </w:tc>
        <w:tc>
          <w:tcPr>
            <w:tcW w:w="1200" w:type="dxa"/>
            <w:tcBorders>
              <w:top w:val="single" w:sz="4" w:space="0" w:color="auto"/>
              <w:left w:val="single" w:sz="4" w:space="0" w:color="auto"/>
              <w:bottom w:val="single" w:sz="4" w:space="0" w:color="auto"/>
              <w:right w:val="single" w:sz="4" w:space="0" w:color="auto"/>
            </w:tcBorders>
          </w:tcPr>
          <w:p w:rsidR="00DD196F" w:rsidRPr="00DD196F" w:rsidRDefault="00DD196F" w:rsidP="00DD196F">
            <w:pPr>
              <w:widowControl w:val="0"/>
              <w:autoSpaceDE w:val="0"/>
              <w:autoSpaceDN w:val="0"/>
              <w:spacing w:after="0" w:line="181" w:lineRule="exact"/>
              <w:ind w:left="75"/>
              <w:rPr>
                <w:rFonts w:ascii="Times New Roman" w:eastAsia="Times New Roman" w:hAnsi="Times New Roman" w:cs="Times New Roman"/>
                <w:sz w:val="16"/>
                <w:lang w:val="sq-AL"/>
              </w:rPr>
            </w:pPr>
            <w:r w:rsidRPr="00DD196F">
              <w:rPr>
                <w:rFonts w:ascii="Times New Roman" w:eastAsia="Times New Roman" w:hAnsi="Times New Roman" w:cs="Times New Roman"/>
                <w:sz w:val="16"/>
                <w:lang w:val="sq-AL"/>
              </w:rPr>
              <w:t>128</w:t>
            </w:r>
          </w:p>
        </w:tc>
        <w:tc>
          <w:tcPr>
            <w:tcW w:w="1147" w:type="dxa"/>
            <w:tcBorders>
              <w:top w:val="single" w:sz="4" w:space="0" w:color="auto"/>
              <w:left w:val="single" w:sz="4" w:space="0" w:color="auto"/>
              <w:bottom w:val="single" w:sz="4" w:space="0" w:color="auto"/>
              <w:right w:val="single" w:sz="4" w:space="0" w:color="auto"/>
            </w:tcBorders>
          </w:tcPr>
          <w:p w:rsidR="00DD196F" w:rsidRPr="00DD196F" w:rsidRDefault="00DD196F" w:rsidP="00DD196F">
            <w:pPr>
              <w:widowControl w:val="0"/>
              <w:autoSpaceDE w:val="0"/>
              <w:autoSpaceDN w:val="0"/>
              <w:spacing w:after="0" w:line="217"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244</w:t>
            </w:r>
          </w:p>
        </w:tc>
        <w:tc>
          <w:tcPr>
            <w:tcW w:w="1036" w:type="dxa"/>
            <w:tcBorders>
              <w:top w:val="single" w:sz="4" w:space="0" w:color="auto"/>
              <w:left w:val="single" w:sz="4" w:space="0" w:color="auto"/>
              <w:bottom w:val="single" w:sz="4" w:space="0" w:color="auto"/>
              <w:right w:val="single" w:sz="4" w:space="0" w:color="auto"/>
            </w:tcBorders>
            <w:shd w:val="clear" w:color="auto" w:fill="FFFFFF" w:themeFill="background1"/>
          </w:tcPr>
          <w:p w:rsidR="00DD196F" w:rsidRPr="00DD196F" w:rsidRDefault="00DD196F" w:rsidP="00DD196F">
            <w:pPr>
              <w:spacing w:after="12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C</w:t>
            </w:r>
          </w:p>
        </w:tc>
        <w:tc>
          <w:tcPr>
            <w:tcW w:w="1419" w:type="dxa"/>
            <w:vMerge w:val="restart"/>
            <w:tcBorders>
              <w:left w:val="single" w:sz="4" w:space="0" w:color="auto"/>
              <w:right w:val="single" w:sz="4" w:space="0" w:color="auto"/>
            </w:tcBorders>
          </w:tcPr>
          <w:p w:rsidR="00DD196F" w:rsidRPr="00DD196F" w:rsidRDefault="00DD196F" w:rsidP="00DD196F">
            <w:pPr>
              <w:widowControl w:val="0"/>
              <w:autoSpaceDE w:val="0"/>
              <w:autoSpaceDN w:val="0"/>
              <w:spacing w:before="3" w:after="0" w:line="240" w:lineRule="auto"/>
              <w:rPr>
                <w:rFonts w:ascii="Times New Roman" w:eastAsia="Times New Roman" w:hAnsi="Times New Roman" w:cs="Times New Roman"/>
                <w:b/>
                <w:sz w:val="19"/>
                <w:lang w:val="sq-AL"/>
              </w:rPr>
            </w:pPr>
          </w:p>
          <w:p w:rsidR="00DD196F" w:rsidRPr="00DD196F" w:rsidRDefault="00DD196F" w:rsidP="00DD196F">
            <w:pPr>
              <w:widowControl w:val="0"/>
              <w:autoSpaceDE w:val="0"/>
              <w:autoSpaceDN w:val="0"/>
              <w:spacing w:after="0" w:line="244" w:lineRule="auto"/>
              <w:ind w:left="71" w:right="16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67 %</w:t>
            </w:r>
            <w:r w:rsidRPr="00DD196F">
              <w:rPr>
                <w:rFonts w:ascii="Times New Roman" w:eastAsia="Times New Roman" w:hAnsi="Times New Roman" w:cs="Times New Roman"/>
                <w:spacing w:val="-9"/>
                <w:sz w:val="19"/>
                <w:lang w:val="sq-AL"/>
              </w:rPr>
              <w:t xml:space="preserve"> </w:t>
            </w:r>
            <w:r w:rsidRPr="00DD196F">
              <w:rPr>
                <w:rFonts w:ascii="Times New Roman" w:eastAsia="Times New Roman" w:hAnsi="Times New Roman" w:cs="Times New Roman"/>
                <w:sz w:val="19"/>
                <w:lang w:val="sq-AL"/>
              </w:rPr>
              <w:t>C-</w:t>
            </w:r>
            <w:r w:rsidRPr="00DD196F">
              <w:rPr>
                <w:rFonts w:ascii="Times New Roman" w:eastAsia="Times New Roman" w:hAnsi="Times New Roman" w:cs="Times New Roman"/>
                <w:spacing w:val="-9"/>
                <w:sz w:val="19"/>
                <w:lang w:val="sq-AL"/>
              </w:rPr>
              <w:t xml:space="preserve"> </w:t>
            </w:r>
            <w:r w:rsidRPr="00DD196F">
              <w:rPr>
                <w:rFonts w:ascii="Times New Roman" w:eastAsia="Times New Roman" w:hAnsi="Times New Roman" w:cs="Times New Roman"/>
                <w:sz w:val="19"/>
                <w:lang w:val="sq-AL"/>
              </w:rPr>
              <w:t>Cilësi</w:t>
            </w:r>
            <w:r w:rsidRPr="00DD196F">
              <w:rPr>
                <w:rFonts w:ascii="Times New Roman" w:eastAsia="Times New Roman" w:hAnsi="Times New Roman" w:cs="Times New Roman"/>
                <w:spacing w:val="-8"/>
                <w:sz w:val="19"/>
                <w:lang w:val="sq-AL"/>
              </w:rPr>
              <w:t xml:space="preserve"> </w:t>
            </w:r>
            <w:r w:rsidRPr="00DD196F">
              <w:rPr>
                <w:rFonts w:ascii="Times New Roman" w:eastAsia="Times New Roman" w:hAnsi="Times New Roman" w:cs="Times New Roman"/>
                <w:sz w:val="19"/>
                <w:lang w:val="sq-AL"/>
              </w:rPr>
              <w:t>e Mjaftueshme</w:t>
            </w:r>
          </w:p>
          <w:p w:rsidR="00DD196F" w:rsidRPr="00DD196F" w:rsidRDefault="00DD196F" w:rsidP="00DD196F">
            <w:pPr>
              <w:widowControl w:val="0"/>
              <w:autoSpaceDE w:val="0"/>
              <w:autoSpaceDN w:val="0"/>
              <w:spacing w:before="1" w:after="0" w:line="200" w:lineRule="exact"/>
              <w:ind w:left="71"/>
              <w:rPr>
                <w:rFonts w:ascii="Times New Roman" w:eastAsia="Times New Roman" w:hAnsi="Times New Roman" w:cs="Times New Roman"/>
                <w:sz w:val="19"/>
                <w:lang w:val="sq-AL"/>
              </w:rPr>
            </w:pPr>
          </w:p>
          <w:p w:rsidR="00DD196F" w:rsidRPr="00DD196F" w:rsidRDefault="00DD196F" w:rsidP="00DD196F">
            <w:pPr>
              <w:widowControl w:val="0"/>
              <w:autoSpaceDE w:val="0"/>
              <w:autoSpaceDN w:val="0"/>
              <w:spacing w:before="1" w:after="0" w:line="244" w:lineRule="auto"/>
              <w:ind w:left="73" w:right="70"/>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33%, D-Cilësi e keqe/Masa të menjëhershme</w:t>
            </w:r>
          </w:p>
        </w:tc>
      </w:tr>
      <w:tr w:rsidR="00DD196F" w:rsidRPr="00DD196F" w:rsidTr="00DD196F">
        <w:trPr>
          <w:trHeight w:val="273"/>
        </w:trPr>
        <w:tc>
          <w:tcPr>
            <w:tcW w:w="1093" w:type="dxa"/>
            <w:tcBorders>
              <w:top w:val="single" w:sz="4" w:space="0" w:color="auto"/>
              <w:left w:val="single" w:sz="4" w:space="0" w:color="auto"/>
              <w:bottom w:val="single" w:sz="4" w:space="0" w:color="auto"/>
              <w:right w:val="single" w:sz="4" w:space="0" w:color="auto"/>
            </w:tcBorders>
          </w:tcPr>
          <w:p w:rsidR="00DD196F" w:rsidRPr="00DD196F" w:rsidRDefault="00DD196F" w:rsidP="00DD196F">
            <w:pPr>
              <w:widowControl w:val="0"/>
              <w:autoSpaceDE w:val="0"/>
              <w:autoSpaceDN w:val="0"/>
              <w:spacing w:after="0" w:line="181" w:lineRule="exact"/>
              <w:ind w:left="6"/>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2</w:t>
            </w:r>
          </w:p>
        </w:tc>
        <w:tc>
          <w:tcPr>
            <w:tcW w:w="2796" w:type="dxa"/>
            <w:tcBorders>
              <w:top w:val="single" w:sz="4" w:space="0" w:color="auto"/>
              <w:left w:val="single" w:sz="4" w:space="0" w:color="auto"/>
              <w:bottom w:val="single" w:sz="4" w:space="0" w:color="auto"/>
              <w:right w:val="single" w:sz="4" w:space="0" w:color="auto"/>
            </w:tcBorders>
          </w:tcPr>
          <w:p w:rsidR="00DD196F" w:rsidRPr="00DD196F" w:rsidRDefault="00DD196F" w:rsidP="00DD196F">
            <w:pPr>
              <w:widowControl w:val="0"/>
              <w:autoSpaceDE w:val="0"/>
              <w:autoSpaceDN w:val="0"/>
              <w:spacing w:after="0" w:line="181"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Bar-Restorant</w:t>
            </w:r>
            <w:r w:rsidRPr="00DD196F">
              <w:rPr>
                <w:rFonts w:ascii="Times New Roman" w:eastAsia="Times New Roman" w:hAnsi="Times New Roman" w:cs="Times New Roman"/>
                <w:spacing w:val="9"/>
                <w:sz w:val="19"/>
                <w:lang w:val="sq-AL"/>
              </w:rPr>
              <w:t xml:space="preserve"> </w:t>
            </w:r>
            <w:r w:rsidRPr="00DD196F">
              <w:rPr>
                <w:rFonts w:ascii="Times New Roman" w:eastAsia="Times New Roman" w:hAnsi="Times New Roman" w:cs="Times New Roman"/>
                <w:sz w:val="19"/>
                <w:lang w:val="sq-AL"/>
              </w:rPr>
              <w:t>Olsi</w:t>
            </w:r>
            <w:r w:rsidRPr="00DD196F">
              <w:rPr>
                <w:rFonts w:ascii="Times New Roman" w:eastAsia="Times New Roman" w:hAnsi="Times New Roman" w:cs="Times New Roman"/>
                <w:spacing w:val="10"/>
                <w:sz w:val="19"/>
                <w:lang w:val="sq-AL"/>
              </w:rPr>
              <w:t xml:space="preserve"> </w:t>
            </w:r>
            <w:r w:rsidRPr="00DD196F">
              <w:rPr>
                <w:rFonts w:ascii="Times New Roman" w:eastAsia="Times New Roman" w:hAnsi="Times New Roman" w:cs="Times New Roman"/>
                <w:sz w:val="19"/>
                <w:lang w:val="sq-AL"/>
              </w:rPr>
              <w:t>(në</w:t>
            </w:r>
            <w:r w:rsidRPr="00DD196F">
              <w:rPr>
                <w:rFonts w:ascii="Times New Roman" w:eastAsia="Times New Roman" w:hAnsi="Times New Roman" w:cs="Times New Roman"/>
                <w:spacing w:val="8"/>
                <w:sz w:val="19"/>
                <w:lang w:val="sq-AL"/>
              </w:rPr>
              <w:t xml:space="preserve"> </w:t>
            </w:r>
            <w:r w:rsidRPr="00DD196F">
              <w:rPr>
                <w:rFonts w:ascii="Times New Roman" w:eastAsia="Times New Roman" w:hAnsi="Times New Roman" w:cs="Times New Roman"/>
                <w:sz w:val="19"/>
                <w:lang w:val="sq-AL"/>
              </w:rPr>
              <w:t>mes)</w:t>
            </w:r>
          </w:p>
        </w:tc>
        <w:tc>
          <w:tcPr>
            <w:tcW w:w="1200" w:type="dxa"/>
            <w:tcBorders>
              <w:top w:val="single" w:sz="4" w:space="0" w:color="auto"/>
              <w:left w:val="single" w:sz="4" w:space="0" w:color="auto"/>
              <w:bottom w:val="single" w:sz="4" w:space="0" w:color="auto"/>
              <w:right w:val="single" w:sz="4" w:space="0" w:color="auto"/>
            </w:tcBorders>
          </w:tcPr>
          <w:p w:rsidR="00DD196F" w:rsidRPr="00DD196F" w:rsidRDefault="00DD196F" w:rsidP="00DD196F">
            <w:pPr>
              <w:widowControl w:val="0"/>
              <w:autoSpaceDE w:val="0"/>
              <w:autoSpaceDN w:val="0"/>
              <w:spacing w:after="0" w:line="181"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117</w:t>
            </w:r>
          </w:p>
        </w:tc>
        <w:tc>
          <w:tcPr>
            <w:tcW w:w="1147" w:type="dxa"/>
            <w:tcBorders>
              <w:top w:val="single" w:sz="4" w:space="0" w:color="auto"/>
              <w:left w:val="single" w:sz="4" w:space="0" w:color="auto"/>
              <w:bottom w:val="single" w:sz="4" w:space="0" w:color="auto"/>
              <w:right w:val="single" w:sz="4" w:space="0" w:color="auto"/>
            </w:tcBorders>
          </w:tcPr>
          <w:p w:rsidR="00DD196F" w:rsidRPr="00DD196F" w:rsidRDefault="00DD196F" w:rsidP="00DD196F">
            <w:pPr>
              <w:widowControl w:val="0"/>
              <w:autoSpaceDE w:val="0"/>
              <w:autoSpaceDN w:val="0"/>
              <w:spacing w:after="0" w:line="181"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251</w:t>
            </w:r>
          </w:p>
        </w:tc>
        <w:tc>
          <w:tcPr>
            <w:tcW w:w="1036" w:type="dxa"/>
            <w:tcBorders>
              <w:top w:val="single" w:sz="4" w:space="0" w:color="auto"/>
              <w:left w:val="single" w:sz="4" w:space="0" w:color="auto"/>
              <w:bottom w:val="single" w:sz="4" w:space="0" w:color="auto"/>
              <w:right w:val="single" w:sz="4" w:space="0" w:color="auto"/>
            </w:tcBorders>
            <w:shd w:val="clear" w:color="auto" w:fill="FFFFFF" w:themeFill="background1"/>
          </w:tcPr>
          <w:p w:rsidR="00DD196F" w:rsidRPr="00DD196F" w:rsidRDefault="00DD196F" w:rsidP="00DD196F">
            <w:pPr>
              <w:spacing w:after="12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C</w:t>
            </w:r>
          </w:p>
        </w:tc>
        <w:tc>
          <w:tcPr>
            <w:tcW w:w="1419" w:type="dxa"/>
            <w:vMerge/>
            <w:tcBorders>
              <w:top w:val="nil"/>
              <w:left w:val="single" w:sz="4" w:space="0" w:color="auto"/>
              <w:right w:val="single" w:sz="4" w:space="0" w:color="auto"/>
            </w:tcBorders>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DD196F" w:rsidRPr="00DD196F" w:rsidTr="00DD196F">
        <w:trPr>
          <w:trHeight w:val="297"/>
        </w:trPr>
        <w:tc>
          <w:tcPr>
            <w:tcW w:w="1093" w:type="dxa"/>
            <w:tcBorders>
              <w:top w:val="single" w:sz="4" w:space="0" w:color="auto"/>
              <w:left w:val="single" w:sz="4" w:space="0" w:color="auto"/>
              <w:bottom w:val="single" w:sz="4" w:space="0" w:color="auto"/>
              <w:right w:val="single" w:sz="4" w:space="0" w:color="auto"/>
            </w:tcBorders>
          </w:tcPr>
          <w:p w:rsidR="00DD196F" w:rsidRPr="00DD196F" w:rsidRDefault="00DD196F" w:rsidP="00DD196F">
            <w:pPr>
              <w:widowControl w:val="0"/>
              <w:autoSpaceDE w:val="0"/>
              <w:autoSpaceDN w:val="0"/>
              <w:spacing w:after="0" w:line="199" w:lineRule="exact"/>
              <w:ind w:left="6"/>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3</w:t>
            </w:r>
          </w:p>
        </w:tc>
        <w:tc>
          <w:tcPr>
            <w:tcW w:w="2796" w:type="dxa"/>
            <w:tcBorders>
              <w:top w:val="single" w:sz="4" w:space="0" w:color="auto"/>
              <w:left w:val="single" w:sz="4" w:space="0" w:color="auto"/>
              <w:bottom w:val="single" w:sz="4" w:space="0" w:color="auto"/>
              <w:right w:val="single" w:sz="4" w:space="0" w:color="auto"/>
            </w:tcBorders>
          </w:tcPr>
          <w:p w:rsidR="00DD196F" w:rsidRPr="00DD196F" w:rsidRDefault="00DD196F" w:rsidP="00DD196F">
            <w:pPr>
              <w:widowControl w:val="0"/>
              <w:autoSpaceDE w:val="0"/>
              <w:autoSpaceDN w:val="0"/>
              <w:spacing w:after="0" w:line="19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Bar-Restorant</w:t>
            </w:r>
            <w:r w:rsidRPr="00DD196F">
              <w:rPr>
                <w:rFonts w:ascii="Times New Roman" w:eastAsia="Times New Roman" w:hAnsi="Times New Roman" w:cs="Times New Roman"/>
                <w:spacing w:val="14"/>
                <w:sz w:val="19"/>
                <w:lang w:val="sq-AL"/>
              </w:rPr>
              <w:t xml:space="preserve"> </w:t>
            </w:r>
            <w:r w:rsidRPr="00DD196F">
              <w:rPr>
                <w:rFonts w:ascii="Times New Roman" w:eastAsia="Times New Roman" w:hAnsi="Times New Roman" w:cs="Times New Roman"/>
                <w:sz w:val="19"/>
                <w:lang w:val="sq-AL"/>
              </w:rPr>
              <w:t>Kapiteni</w:t>
            </w:r>
            <w:r w:rsidRPr="00DD196F">
              <w:rPr>
                <w:rFonts w:ascii="Times New Roman" w:eastAsia="Times New Roman" w:hAnsi="Times New Roman" w:cs="Times New Roman"/>
                <w:spacing w:val="14"/>
                <w:sz w:val="19"/>
                <w:lang w:val="sq-AL"/>
              </w:rPr>
              <w:t xml:space="preserve"> </w:t>
            </w:r>
            <w:r w:rsidRPr="00DD196F">
              <w:rPr>
                <w:rFonts w:ascii="Times New Roman" w:eastAsia="Times New Roman" w:hAnsi="Times New Roman" w:cs="Times New Roman"/>
                <w:sz w:val="19"/>
                <w:lang w:val="sq-AL"/>
              </w:rPr>
              <w:t>(majtas)</w:t>
            </w:r>
          </w:p>
        </w:tc>
        <w:tc>
          <w:tcPr>
            <w:tcW w:w="1200" w:type="dxa"/>
            <w:tcBorders>
              <w:top w:val="single" w:sz="4" w:space="0" w:color="auto"/>
              <w:left w:val="single" w:sz="4" w:space="0" w:color="auto"/>
              <w:bottom w:val="single" w:sz="4" w:space="0" w:color="auto"/>
              <w:right w:val="single" w:sz="4" w:space="0" w:color="auto"/>
            </w:tcBorders>
          </w:tcPr>
          <w:p w:rsidR="00DD196F" w:rsidRPr="00DD196F" w:rsidRDefault="00DD196F" w:rsidP="00DD196F">
            <w:pPr>
              <w:widowControl w:val="0"/>
              <w:autoSpaceDE w:val="0"/>
              <w:autoSpaceDN w:val="0"/>
              <w:spacing w:after="0" w:line="19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144</w:t>
            </w:r>
          </w:p>
        </w:tc>
        <w:tc>
          <w:tcPr>
            <w:tcW w:w="1147" w:type="dxa"/>
            <w:tcBorders>
              <w:top w:val="single" w:sz="4" w:space="0" w:color="auto"/>
              <w:left w:val="single" w:sz="4" w:space="0" w:color="auto"/>
              <w:bottom w:val="single" w:sz="4" w:space="0" w:color="auto"/>
              <w:right w:val="single" w:sz="4" w:space="0" w:color="auto"/>
            </w:tcBorders>
          </w:tcPr>
          <w:p w:rsidR="00DD196F" w:rsidRPr="00DD196F" w:rsidRDefault="00DD196F" w:rsidP="00DD196F">
            <w:pPr>
              <w:widowControl w:val="0"/>
              <w:autoSpaceDE w:val="0"/>
              <w:autoSpaceDN w:val="0"/>
              <w:spacing w:after="0" w:line="19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369</w:t>
            </w:r>
          </w:p>
        </w:tc>
        <w:tc>
          <w:tcPr>
            <w:tcW w:w="1036" w:type="dxa"/>
            <w:tcBorders>
              <w:top w:val="single" w:sz="4" w:space="0" w:color="auto"/>
              <w:left w:val="single" w:sz="4" w:space="0" w:color="auto"/>
              <w:bottom w:val="single" w:sz="4" w:space="0" w:color="auto"/>
              <w:right w:val="single" w:sz="4" w:space="0" w:color="auto"/>
            </w:tcBorders>
            <w:shd w:val="clear" w:color="auto" w:fill="FFFFFF" w:themeFill="background1"/>
          </w:tcPr>
          <w:p w:rsidR="00DD196F" w:rsidRPr="00DD196F" w:rsidRDefault="00DD196F" w:rsidP="00DD196F">
            <w:pPr>
              <w:spacing w:after="12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D</w:t>
            </w:r>
          </w:p>
        </w:tc>
        <w:tc>
          <w:tcPr>
            <w:tcW w:w="1419" w:type="dxa"/>
            <w:vMerge/>
            <w:tcBorders>
              <w:top w:val="nil"/>
              <w:left w:val="single" w:sz="4" w:space="0" w:color="auto"/>
              <w:bottom w:val="single" w:sz="4" w:space="0" w:color="auto"/>
              <w:right w:val="single" w:sz="4" w:space="0" w:color="auto"/>
            </w:tcBorders>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bl>
    <w:p w:rsidR="00DD196F" w:rsidRPr="00DD196F" w:rsidRDefault="00DD196F" w:rsidP="00DD196F">
      <w:pPr>
        <w:spacing w:after="200" w:line="288" w:lineRule="auto"/>
        <w:rPr>
          <w:rFonts w:ascii="Times New Roman" w:eastAsiaTheme="minorEastAsia" w:hAnsi="Times New Roman" w:cs="Times New Roman"/>
          <w:sz w:val="24"/>
          <w:szCs w:val="24"/>
        </w:rPr>
      </w:pPr>
    </w:p>
    <w:p w:rsidR="00DD196F" w:rsidRPr="00DD196F" w:rsidRDefault="00D8485A" w:rsidP="00DD196F">
      <w:pPr>
        <w:spacing w:after="200" w:line="288" w:lineRule="auto"/>
        <w:rPr>
          <w:rFonts w:ascii="Times New Roman" w:eastAsiaTheme="minorEastAsia" w:hAnsi="Times New Roman" w:cs="Times New Roman"/>
          <w:sz w:val="24"/>
          <w:szCs w:val="24"/>
        </w:rPr>
      </w:pPr>
      <w:r w:rsidRPr="00DD196F">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32128" behindDoc="0" locked="0" layoutInCell="1" allowOverlap="1" wp14:anchorId="578FEFC7" wp14:editId="47EE770A">
                <wp:simplePos x="0" y="0"/>
                <wp:positionH relativeFrom="column">
                  <wp:posOffset>3038475</wp:posOffset>
                </wp:positionH>
                <wp:positionV relativeFrom="paragraph">
                  <wp:posOffset>360680</wp:posOffset>
                </wp:positionV>
                <wp:extent cx="3076575" cy="2085975"/>
                <wp:effectExtent l="0" t="0" r="28575" b="28575"/>
                <wp:wrapNone/>
                <wp:docPr id="33" name="Rectangle 33"/>
                <wp:cNvGraphicFramePr/>
                <a:graphic xmlns:a="http://schemas.openxmlformats.org/drawingml/2006/main">
                  <a:graphicData uri="http://schemas.microsoft.com/office/word/2010/wordprocessingShape">
                    <wps:wsp>
                      <wps:cNvSpPr/>
                      <wps:spPr>
                        <a:xfrm>
                          <a:off x="0" y="0"/>
                          <a:ext cx="3076575" cy="2085975"/>
                        </a:xfrm>
                        <a:prstGeom prst="rect">
                          <a:avLst/>
                        </a:prstGeom>
                        <a:solidFill>
                          <a:sysClr val="window" lastClr="FFFFFF"/>
                        </a:solidFill>
                        <a:ln w="12700" cap="flat" cmpd="sng" algn="ctr">
                          <a:solidFill>
                            <a:srgbClr val="70AD47"/>
                          </a:solidFill>
                          <a:prstDash val="solid"/>
                          <a:miter lim="800000"/>
                        </a:ln>
                        <a:effectLst/>
                      </wps:spPr>
                      <wps:txbx>
                        <w:txbxContent>
                          <w:p w:rsidR="0064059F" w:rsidRPr="00D26C48" w:rsidRDefault="0064059F" w:rsidP="0017692F">
                            <w:pPr>
                              <w:jc w:val="both"/>
                              <w:rPr>
                                <w:rFonts w:ascii="Times New Roman" w:hAnsi="Times New Roman" w:cs="Times New Roman"/>
                                <w:sz w:val="24"/>
                                <w:szCs w:val="24"/>
                              </w:rPr>
                            </w:pPr>
                            <w:r>
                              <w:rPr>
                                <w:rFonts w:ascii="Times New Roman" w:hAnsi="Times New Roman" w:cs="Times New Roman"/>
                                <w:sz w:val="24"/>
                                <w:szCs w:val="24"/>
                              </w:rPr>
                              <w:t>Për plazhin e Divjakës</w:t>
                            </w:r>
                            <w:r w:rsidRPr="00D26C48">
                              <w:rPr>
                                <w:rFonts w:ascii="Times New Roman" w:hAnsi="Times New Roman" w:cs="Times New Roman"/>
                                <w:sz w:val="24"/>
                                <w:szCs w:val="24"/>
                              </w:rPr>
                              <w:t>,</w:t>
                            </w:r>
                            <w:r>
                              <w:rPr>
                                <w:rFonts w:ascii="Times New Roman" w:hAnsi="Times New Roman" w:cs="Times New Roman"/>
                                <w:sz w:val="24"/>
                                <w:szCs w:val="24"/>
                              </w:rPr>
                              <w:t xml:space="preserve"> </w:t>
                            </w:r>
                            <w:r w:rsidRPr="00D26C48">
                              <w:rPr>
                                <w:rFonts w:ascii="Times New Roman" w:hAnsi="Times New Roman" w:cs="Times New Roman"/>
                                <w:sz w:val="24"/>
                                <w:szCs w:val="24"/>
                              </w:rPr>
                              <w:t>për vitin 2025   nuk kemi sta</w:t>
                            </w:r>
                            <w:r>
                              <w:rPr>
                                <w:rFonts w:ascii="Times New Roman" w:hAnsi="Times New Roman" w:cs="Times New Roman"/>
                                <w:sz w:val="24"/>
                                <w:szCs w:val="24"/>
                              </w:rPr>
                              <w:t>cione të kategorisë A-Cilësi e s</w:t>
                            </w:r>
                            <w:r w:rsidRPr="00D26C48">
                              <w:rPr>
                                <w:rFonts w:ascii="Times New Roman" w:hAnsi="Times New Roman" w:cs="Times New Roman"/>
                                <w:sz w:val="24"/>
                                <w:szCs w:val="24"/>
                              </w:rPr>
                              <w:t>hkëlqyer e ujërave dhe B-Cilësia e mirë e ujërave.</w:t>
                            </w:r>
                          </w:p>
                          <w:p w:rsidR="0064059F" w:rsidRPr="00D26C48" w:rsidRDefault="0064059F" w:rsidP="0017692F">
                            <w:pPr>
                              <w:jc w:val="both"/>
                              <w:rPr>
                                <w:sz w:val="24"/>
                                <w:szCs w:val="24"/>
                              </w:rPr>
                            </w:pPr>
                            <w:r w:rsidRPr="00D26C48">
                              <w:rPr>
                                <w:rFonts w:ascii="Times New Roman" w:hAnsi="Times New Roman" w:cs="Times New Roman"/>
                                <w:sz w:val="24"/>
                                <w:szCs w:val="24"/>
                              </w:rPr>
                              <w:t>Kemi rritje të numrit të stacioneve C-Cilësi e mjaftueshme dhe D-Cil</w:t>
                            </w:r>
                            <w:r>
                              <w:rPr>
                                <w:rFonts w:ascii="Times New Roman" w:hAnsi="Times New Roman" w:cs="Times New Roman"/>
                                <w:sz w:val="24"/>
                                <w:szCs w:val="24"/>
                              </w:rPr>
                              <w:t>ësi e keqe/Masa te mjenjë</w:t>
                            </w:r>
                            <w:r w:rsidRPr="00D26C48">
                              <w:rPr>
                                <w:rFonts w:ascii="Times New Roman" w:hAnsi="Times New Roman" w:cs="Times New Roman"/>
                                <w:sz w:val="24"/>
                                <w:szCs w:val="24"/>
                              </w:rPr>
                              <w:t xml:space="preserve">hershme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8FEFC7" id="Rectangle 33" o:spid="_x0000_s1094" style="position:absolute;margin-left:239.25pt;margin-top:28.4pt;width:242.25pt;height:164.25pt;z-index:25163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" fillcolor="window" strokecolor="#70ad47" strokeweight="1pt">
                <v:textbox>
                  <w:txbxContent>
                    <w:p w:rsidR="0064059F" w:rsidRPr="00D26C48" w:rsidRDefault="0064059F" w:rsidP="0017692F">
                      <w:pPr>
                        <w:jc w:val="both"/>
                        <w:rPr>
                          <w:rFonts w:ascii="Times New Roman" w:hAnsi="Times New Roman" w:cs="Times New Roman"/>
                          <w:sz w:val="24"/>
                          <w:szCs w:val="24"/>
                        </w:rPr>
                      </w:pPr>
                      <w:r>
                        <w:rPr>
                          <w:rFonts w:ascii="Times New Roman" w:hAnsi="Times New Roman" w:cs="Times New Roman"/>
                          <w:sz w:val="24"/>
                          <w:szCs w:val="24"/>
                        </w:rPr>
                        <w:t>Për plazhin e Divjakës</w:t>
                      </w:r>
                      <w:r w:rsidRPr="00D26C48">
                        <w:rPr>
                          <w:rFonts w:ascii="Times New Roman" w:hAnsi="Times New Roman" w:cs="Times New Roman"/>
                          <w:sz w:val="24"/>
                          <w:szCs w:val="24"/>
                        </w:rPr>
                        <w:t>,</w:t>
                      </w:r>
                      <w:r>
                        <w:rPr>
                          <w:rFonts w:ascii="Times New Roman" w:hAnsi="Times New Roman" w:cs="Times New Roman"/>
                          <w:sz w:val="24"/>
                          <w:szCs w:val="24"/>
                        </w:rPr>
                        <w:t xml:space="preserve"> </w:t>
                      </w:r>
                      <w:r w:rsidRPr="00D26C48">
                        <w:rPr>
                          <w:rFonts w:ascii="Times New Roman" w:hAnsi="Times New Roman" w:cs="Times New Roman"/>
                          <w:sz w:val="24"/>
                          <w:szCs w:val="24"/>
                        </w:rPr>
                        <w:t>për vitin 2025   nuk kemi sta</w:t>
                      </w:r>
                      <w:r>
                        <w:rPr>
                          <w:rFonts w:ascii="Times New Roman" w:hAnsi="Times New Roman" w:cs="Times New Roman"/>
                          <w:sz w:val="24"/>
                          <w:szCs w:val="24"/>
                        </w:rPr>
                        <w:t>cione të kategorisë A-Cilësi e s</w:t>
                      </w:r>
                      <w:r w:rsidRPr="00D26C48">
                        <w:rPr>
                          <w:rFonts w:ascii="Times New Roman" w:hAnsi="Times New Roman" w:cs="Times New Roman"/>
                          <w:sz w:val="24"/>
                          <w:szCs w:val="24"/>
                        </w:rPr>
                        <w:t>hkëlqyer e ujërave dhe B-Cilësia e mirë e ujërave.</w:t>
                      </w:r>
                    </w:p>
                    <w:p w:rsidR="0064059F" w:rsidRPr="00D26C48" w:rsidRDefault="0064059F" w:rsidP="0017692F">
                      <w:pPr>
                        <w:jc w:val="both"/>
                        <w:rPr>
                          <w:sz w:val="24"/>
                          <w:szCs w:val="24"/>
                        </w:rPr>
                      </w:pPr>
                      <w:r w:rsidRPr="00D26C48">
                        <w:rPr>
                          <w:rFonts w:ascii="Times New Roman" w:hAnsi="Times New Roman" w:cs="Times New Roman"/>
                          <w:sz w:val="24"/>
                          <w:szCs w:val="24"/>
                        </w:rPr>
                        <w:t>Kemi rritje të numrit të stacioneve C-Cilësi e mjaftueshme dhe D-Cil</w:t>
                      </w:r>
                      <w:r>
                        <w:rPr>
                          <w:rFonts w:ascii="Times New Roman" w:hAnsi="Times New Roman" w:cs="Times New Roman"/>
                          <w:sz w:val="24"/>
                          <w:szCs w:val="24"/>
                        </w:rPr>
                        <w:t>ësi e keqe/Masa te mjenjë</w:t>
                      </w:r>
                      <w:r w:rsidRPr="00D26C48">
                        <w:rPr>
                          <w:rFonts w:ascii="Times New Roman" w:hAnsi="Times New Roman" w:cs="Times New Roman"/>
                          <w:sz w:val="24"/>
                          <w:szCs w:val="24"/>
                        </w:rPr>
                        <w:t xml:space="preserve">hershme . </w:t>
                      </w:r>
                    </w:p>
                  </w:txbxContent>
                </v:textbox>
              </v:rect>
            </w:pict>
          </mc:Fallback>
        </mc:AlternateContent>
      </w:r>
      <w:r w:rsidR="00DD196F" w:rsidRPr="00DD196F">
        <w:rPr>
          <w:rFonts w:ascii="Times New Roman" w:eastAsiaTheme="minorEastAsia" w:hAnsi="Times New Roman" w:cs="Times New Roman"/>
          <w:noProof/>
          <w:sz w:val="24"/>
          <w:szCs w:val="24"/>
        </w:rPr>
        <w:drawing>
          <wp:inline distT="0" distB="0" distL="0" distR="0" wp14:anchorId="22599AFE" wp14:editId="629BCC60">
            <wp:extent cx="2962275" cy="252412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962275" cy="2524125"/>
                    </a:xfrm>
                    <a:prstGeom prst="rect">
                      <a:avLst/>
                    </a:prstGeom>
                    <a:noFill/>
                  </pic:spPr>
                </pic:pic>
              </a:graphicData>
            </a:graphic>
          </wp:inline>
        </w:drawing>
      </w:r>
    </w:p>
    <w:p w:rsidR="00014E30" w:rsidRDefault="00DD196F" w:rsidP="001E2AD3">
      <w:pPr>
        <w:spacing w:after="0" w:line="240" w:lineRule="auto"/>
        <w:jc w:val="both"/>
        <w:rPr>
          <w:rFonts w:ascii="Times New Roman" w:eastAsia="Times New Roman" w:hAnsi="Times New Roman" w:cs="Times New Roman"/>
          <w:sz w:val="24"/>
          <w:szCs w:val="24"/>
          <w:lang w:val="sq-AL"/>
        </w:rPr>
      </w:pPr>
      <w:r w:rsidRPr="00DD196F">
        <w:rPr>
          <w:rFonts w:ascii="Times New Roman" w:eastAsia="Calibri" w:hAnsi="Times New Roman" w:cs="Times New Roman"/>
          <w:sz w:val="24"/>
          <w:szCs w:val="24"/>
          <w:lang w:val="sq-AL"/>
        </w:rPr>
        <w:t>PLAZHI I VLORËS:</w:t>
      </w:r>
      <w:r w:rsidRPr="00DD196F">
        <w:rPr>
          <w:rFonts w:ascii="Times New Roman" w:eastAsia="Times New Roman" w:hAnsi="Times New Roman" w:cs="Times New Roman"/>
          <w:sz w:val="24"/>
          <w:szCs w:val="24"/>
          <w:lang w:val="sq-AL"/>
        </w:rPr>
        <w:t xml:space="preserve"> Gjatë ekspertizës higjeno-sanitare në plazhet e Vlorës u konstatua se në muajin Korrik e Gusht kishte fluks më të shtuar pushuesish. </w:t>
      </w:r>
      <w:r w:rsidRPr="00DD196F">
        <w:rPr>
          <w:rFonts w:ascii="Times New Roman" w:eastAsia="Calibri" w:hAnsi="Times New Roman" w:cs="Times New Roman"/>
          <w:sz w:val="24"/>
          <w:szCs w:val="24"/>
          <w:lang w:val="it-IT"/>
        </w:rPr>
        <w:t xml:space="preserve">Në plazhin e </w:t>
      </w:r>
      <w:r w:rsidRPr="00DD196F">
        <w:rPr>
          <w:rFonts w:ascii="Times New Roman" w:eastAsia="Times New Roman" w:hAnsi="Times New Roman" w:cs="Times New Roman"/>
          <w:sz w:val="24"/>
          <w:szCs w:val="24"/>
          <w:lang w:val="it-IT"/>
        </w:rPr>
        <w:t xml:space="preserve">Vjetër Kampi pionierëve dhe </w:t>
      </w:r>
      <w:r w:rsidRPr="00DD196F">
        <w:rPr>
          <w:rFonts w:ascii="Times New Roman" w:eastAsia="Times New Roman" w:hAnsi="Times New Roman" w:cs="Times New Roman"/>
          <w:sz w:val="24"/>
          <w:szCs w:val="24"/>
          <w:lang w:val="fi-FI"/>
        </w:rPr>
        <w:t>Kabinat</w:t>
      </w:r>
      <w:r w:rsidRPr="00DD196F">
        <w:rPr>
          <w:rFonts w:ascii="Times New Roman" w:eastAsia="Calibri" w:hAnsi="Times New Roman" w:cs="Times New Roman"/>
          <w:sz w:val="24"/>
          <w:szCs w:val="24"/>
          <w:lang w:val="sq-AL"/>
        </w:rPr>
        <w:t xml:space="preserve"> nuk kishte mbeturina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brezin ranor, konstatohen pak leshterik</w:t>
      </w:r>
      <w:r w:rsidRPr="00DD196F">
        <w:rPr>
          <w:rFonts w:ascii="Times New Roman" w:eastAsia="Calibri" w:hAnsi="Times New Roman" w:cs="Times New Roman"/>
          <w:sz w:val="24"/>
          <w:szCs w:val="24"/>
          <w:lang w:val="it-IT"/>
        </w:rPr>
        <w:t>ë</w:t>
      </w:r>
      <w:r w:rsidRPr="00DD196F">
        <w:rPr>
          <w:rFonts w:ascii="Times New Roman" w:eastAsia="Calibri" w:hAnsi="Times New Roman" w:cs="Times New Roman"/>
          <w:sz w:val="24"/>
          <w:szCs w:val="24"/>
          <w:lang w:val="sq-AL"/>
        </w:rPr>
        <w:t xml:space="preserve"> n</w:t>
      </w:r>
      <w:r w:rsidRPr="00DD196F">
        <w:rPr>
          <w:rFonts w:ascii="Times New Roman" w:eastAsia="Calibri" w:hAnsi="Times New Roman" w:cs="Times New Roman"/>
          <w:sz w:val="24"/>
          <w:szCs w:val="24"/>
          <w:lang w:val="it-IT"/>
        </w:rPr>
        <w:t>ë</w:t>
      </w:r>
      <w:r w:rsidRPr="00DD196F">
        <w:rPr>
          <w:rFonts w:ascii="Times New Roman" w:eastAsia="Calibri" w:hAnsi="Times New Roman" w:cs="Times New Roman"/>
          <w:sz w:val="24"/>
          <w:szCs w:val="24"/>
          <w:lang w:val="sq-AL"/>
        </w:rPr>
        <w:t xml:space="preserve"> breg. Sip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rfaqja pran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ish nd</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rtesave te plazhi i pioner</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ve </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sht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e mbuluar me shkurre. K</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vit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pik</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n 2 </w:t>
      </w:r>
      <w:r w:rsidRPr="00DD196F">
        <w:rPr>
          <w:rFonts w:ascii="Times New Roman" w:eastAsia="Times New Roman" w:hAnsi="Times New Roman" w:cs="Times New Roman"/>
          <w:sz w:val="24"/>
          <w:szCs w:val="24"/>
          <w:lang w:val="fi-FI"/>
        </w:rPr>
        <w:t>Kabinat</w:t>
      </w:r>
      <w:r w:rsidRPr="00DD196F">
        <w:rPr>
          <w:rFonts w:ascii="Times New Roman" w:eastAsia="Calibri" w:hAnsi="Times New Roman" w:cs="Times New Roman"/>
          <w:sz w:val="24"/>
          <w:szCs w:val="24"/>
          <w:lang w:val="sq-AL"/>
        </w:rPr>
        <w:t xml:space="preserve"> </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sht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pastruar mjedisi prej shkurreve. Nuk konstatohen kanale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hapura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k</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to dy pika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plazhit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vjet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pik</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n q</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rfaq</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son plazhin Shkolla e Marin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s ndodhet kanali i 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rhersh</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m i cili </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sht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mbuluar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gjysm</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n e gjat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sis</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s</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tij por mbas k</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saj pjese ka duksh</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m dalje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uj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rave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sip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rfaqe dhe derdhje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kanalit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det, nuk ndihet er</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e r</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nd</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nga kanali.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k</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zon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ndodhen dy tubacione q</w:t>
      </w:r>
      <w:r w:rsidRPr="00DD196F">
        <w:rPr>
          <w:rFonts w:ascii="Times New Roman" w:eastAsia="Times New Roman" w:hAnsi="Times New Roman" w:cs="Times New Roman"/>
          <w:sz w:val="24"/>
          <w:szCs w:val="24"/>
          <w:lang w:val="it-IT"/>
        </w:rPr>
        <w:t xml:space="preserve">ë </w:t>
      </w:r>
      <w:r w:rsidRPr="00DD196F">
        <w:rPr>
          <w:rFonts w:ascii="Times New Roman" w:eastAsia="Calibri" w:hAnsi="Times New Roman" w:cs="Times New Roman"/>
          <w:sz w:val="24"/>
          <w:szCs w:val="24"/>
          <w:lang w:val="sq-AL"/>
        </w:rPr>
        <w:t>futen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det. Nj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tjet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 kanal i madh i hapur d</w:t>
      </w:r>
      <w:r w:rsidRPr="00DD196F">
        <w:rPr>
          <w:rFonts w:ascii="Times New Roman" w:eastAsia="Times New Roman" w:hAnsi="Times New Roman" w:cs="Times New Roman"/>
          <w:sz w:val="24"/>
          <w:szCs w:val="24"/>
          <w:lang w:val="it-IT"/>
        </w:rPr>
        <w:t>e</w:t>
      </w:r>
      <w:r w:rsidRPr="00DD196F">
        <w:rPr>
          <w:rFonts w:ascii="Times New Roman" w:eastAsia="Calibri" w:hAnsi="Times New Roman" w:cs="Times New Roman"/>
          <w:sz w:val="24"/>
          <w:szCs w:val="24"/>
          <w:lang w:val="sq-AL"/>
        </w:rPr>
        <w:t>rdh drejtp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rdrejt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det uj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rat e ndotura dhe 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rhap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mjedisin perreth arom</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r</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nd</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zon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n pran</w:t>
      </w:r>
      <w:r w:rsidRPr="00DD196F">
        <w:rPr>
          <w:rFonts w:ascii="Times New Roman" w:eastAsia="Times New Roman" w:hAnsi="Times New Roman" w:cs="Times New Roman"/>
          <w:sz w:val="24"/>
          <w:szCs w:val="24"/>
          <w:lang w:val="it-IT"/>
        </w:rPr>
        <w:t xml:space="preserve">ë </w:t>
      </w:r>
      <w:r w:rsidRPr="00DD196F">
        <w:rPr>
          <w:rFonts w:ascii="Times New Roman" w:eastAsia="Calibri" w:hAnsi="Times New Roman" w:cs="Times New Roman"/>
          <w:sz w:val="24"/>
          <w:szCs w:val="24"/>
          <w:lang w:val="sq-AL"/>
        </w:rPr>
        <w:t>Burger-King. Vijon bregu majtas me nj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grumbull gur</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sh sikur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kishin mbuluar posht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tyre nj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kanal. Vijon bregu me nj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zon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me past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rti e sistemim.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majt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saj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zon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n e plazhit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ri duke u afruar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Sunset ndodhet nj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tjet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 kanal i hapur q</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derdh uj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ra drejtp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rdrejt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det por nuk ndihet arom</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e r</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nd</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pik</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n e monitorimit Bojo, pran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saj ndodhet kanal i hapur q</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derdhet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det, </w:t>
      </w:r>
      <w:r w:rsidRPr="00DD196F">
        <w:rPr>
          <w:rFonts w:ascii="Times New Roman" w:eastAsia="Times New Roman" w:hAnsi="Times New Roman" w:cs="Times New Roman"/>
          <w:sz w:val="24"/>
          <w:szCs w:val="24"/>
          <w:lang w:val="it-IT"/>
        </w:rPr>
        <w:t xml:space="preserve">është </w:t>
      </w:r>
      <w:r w:rsidRPr="00DD196F">
        <w:rPr>
          <w:rFonts w:ascii="Times New Roman" w:eastAsia="Calibri" w:hAnsi="Times New Roman" w:cs="Times New Roman"/>
          <w:sz w:val="24"/>
          <w:szCs w:val="24"/>
          <w:lang w:val="sq-AL"/>
        </w:rPr>
        <w:t>nd</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rtuar nj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pist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q</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futet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det. 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rgjat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bregut 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rgjith</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sisht u konstatuan, dhomat e nderrimit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veshjeve, koshat e mbeturinave, dushet, kullat e vrojtimit, </w:t>
      </w:r>
      <w:r w:rsidRPr="00DD196F">
        <w:rPr>
          <w:rFonts w:ascii="Times New Roman" w:eastAsia="Calibri" w:hAnsi="Times New Roman" w:cs="Times New Roman"/>
          <w:noProof/>
          <w:sz w:val="24"/>
          <w:szCs w:val="24"/>
          <w:lang w:val="sq-AL"/>
        </w:rPr>
        <w:t>prezenc</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noProof/>
          <w:sz w:val="24"/>
          <w:szCs w:val="24"/>
          <w:lang w:val="sq-AL"/>
        </w:rPr>
        <w:t xml:space="preserve"> e afishimit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noProof/>
          <w:sz w:val="24"/>
          <w:szCs w:val="24"/>
          <w:lang w:val="sq-AL"/>
        </w:rPr>
        <w:t xml:space="preserve"> rregullave 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noProof/>
          <w:sz w:val="24"/>
          <w:szCs w:val="24"/>
          <w:lang w:val="sq-AL"/>
        </w:rPr>
        <w:t>r zbatim nga pushuesit.</w:t>
      </w:r>
      <w:r w:rsidRPr="00DD196F">
        <w:rPr>
          <w:rFonts w:ascii="Calibri" w:eastAsia="Calibri" w:hAnsi="Calibri" w:cs="Times New Roman"/>
          <w:noProof/>
          <w:lang w:val="sq-AL"/>
        </w:rPr>
        <w:t xml:space="preserve"> </w:t>
      </w:r>
      <w:r w:rsidRPr="00DD196F">
        <w:rPr>
          <w:rFonts w:ascii="Times New Roman" w:eastAsia="Times New Roman" w:hAnsi="Times New Roman" w:cs="Times New Roman"/>
          <w:sz w:val="24"/>
          <w:szCs w:val="24"/>
          <w:lang w:val="sq-AL"/>
        </w:rPr>
        <w:t>Brezi ranor ishte i pluguar dhe i pastër në përgjithësi.</w:t>
      </w:r>
    </w:p>
    <w:p w:rsidR="001E2AD3" w:rsidRPr="00DD196F" w:rsidRDefault="001E2AD3" w:rsidP="001E2AD3">
      <w:pPr>
        <w:spacing w:after="0" w:line="240" w:lineRule="auto"/>
        <w:jc w:val="both"/>
        <w:rPr>
          <w:rFonts w:ascii="Times New Roman" w:eastAsia="Times New Roman" w:hAnsi="Times New Roman" w:cs="Times New Roman"/>
          <w:sz w:val="24"/>
          <w:szCs w:val="24"/>
          <w:lang w:val="sq-AL"/>
        </w:rPr>
      </w:pPr>
    </w:p>
    <w:p w:rsidR="00DD196F" w:rsidRPr="001E2AD3" w:rsidRDefault="00DD196F" w:rsidP="00DD196F">
      <w:pPr>
        <w:spacing w:after="200" w:line="288" w:lineRule="auto"/>
        <w:rPr>
          <w:rFonts w:ascii="Times New Roman" w:eastAsiaTheme="minorEastAsia" w:hAnsi="Times New Roman" w:cs="Times New Roman"/>
          <w:b/>
          <w:sz w:val="24"/>
          <w:szCs w:val="24"/>
        </w:rPr>
      </w:pPr>
      <w:r w:rsidRPr="00DD196F">
        <w:rPr>
          <w:rFonts w:ascii="Times New Roman" w:eastAsiaTheme="minorEastAsia" w:hAnsi="Times New Roman" w:cs="Times New Roman"/>
          <w:sz w:val="24"/>
          <w:szCs w:val="24"/>
        </w:rPr>
        <w:t xml:space="preserve">                      ● </w:t>
      </w:r>
      <w:r w:rsidRPr="001E2AD3">
        <w:rPr>
          <w:rFonts w:ascii="Times New Roman" w:eastAsiaTheme="minorEastAsia" w:hAnsi="Times New Roman" w:cs="Times New Roman"/>
          <w:b/>
          <w:sz w:val="24"/>
          <w:szCs w:val="24"/>
        </w:rPr>
        <w:t xml:space="preserve">Plazhi </w:t>
      </w:r>
      <w:r w:rsidR="001E2AD3">
        <w:rPr>
          <w:rFonts w:ascii="Times New Roman" w:eastAsiaTheme="minorEastAsia" w:hAnsi="Times New Roman" w:cs="Times New Roman"/>
          <w:b/>
          <w:sz w:val="24"/>
          <w:szCs w:val="24"/>
        </w:rPr>
        <w:t>i</w:t>
      </w:r>
      <w:r w:rsidRPr="001E2AD3">
        <w:rPr>
          <w:rFonts w:ascii="Times New Roman" w:eastAsiaTheme="minorEastAsia" w:hAnsi="Times New Roman" w:cs="Times New Roman"/>
          <w:b/>
          <w:sz w:val="24"/>
          <w:szCs w:val="24"/>
        </w:rPr>
        <w:t xml:space="preserve"> Vlorës</w:t>
      </w:r>
    </w:p>
    <w:tbl>
      <w:tblPr>
        <w:tblW w:w="0" w:type="auto"/>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63"/>
        <w:gridCol w:w="2310"/>
        <w:gridCol w:w="1269"/>
        <w:gridCol w:w="1269"/>
        <w:gridCol w:w="1104"/>
        <w:gridCol w:w="1905"/>
      </w:tblGrid>
      <w:tr w:rsidR="00DD196F" w:rsidRPr="00DD196F" w:rsidTr="002D7C3E">
        <w:trPr>
          <w:trHeight w:val="614"/>
        </w:trPr>
        <w:tc>
          <w:tcPr>
            <w:tcW w:w="1163" w:type="dxa"/>
            <w:shd w:val="clear" w:color="auto" w:fill="FFF1CC"/>
          </w:tcPr>
          <w:p w:rsidR="00DD196F" w:rsidRPr="00DD196F" w:rsidRDefault="00DD196F" w:rsidP="00DD196F">
            <w:pPr>
              <w:widowControl w:val="0"/>
              <w:autoSpaceDE w:val="0"/>
              <w:autoSpaceDN w:val="0"/>
              <w:spacing w:before="41" w:after="0" w:line="240" w:lineRule="auto"/>
              <w:ind w:left="65" w:right="58"/>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Nr.</w:t>
            </w:r>
          </w:p>
          <w:p w:rsidR="00DD196F" w:rsidRPr="00DD196F" w:rsidRDefault="00DD196F" w:rsidP="00DD196F">
            <w:pPr>
              <w:widowControl w:val="0"/>
              <w:autoSpaceDE w:val="0"/>
              <w:autoSpaceDN w:val="0"/>
              <w:spacing w:before="5" w:after="0" w:line="240" w:lineRule="auto"/>
              <w:ind w:left="66" w:right="58"/>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p>
        </w:tc>
        <w:tc>
          <w:tcPr>
            <w:tcW w:w="2310" w:type="dxa"/>
            <w:shd w:val="clear" w:color="auto" w:fill="FFF1CC"/>
          </w:tcPr>
          <w:p w:rsidR="00DD196F" w:rsidRPr="00DD196F" w:rsidRDefault="00DD196F" w:rsidP="00DD196F">
            <w:pPr>
              <w:widowControl w:val="0"/>
              <w:autoSpaceDE w:val="0"/>
              <w:autoSpaceDN w:val="0"/>
              <w:spacing w:before="153" w:after="0" w:line="240" w:lineRule="auto"/>
              <w:ind w:left="779" w:right="780"/>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Vendi</w:t>
            </w:r>
          </w:p>
        </w:tc>
        <w:tc>
          <w:tcPr>
            <w:tcW w:w="1269" w:type="dxa"/>
            <w:shd w:val="clear" w:color="auto" w:fill="FFF1CC"/>
          </w:tcPr>
          <w:p w:rsidR="00DD196F" w:rsidRPr="00DD196F" w:rsidRDefault="00DD196F" w:rsidP="00DD196F">
            <w:pPr>
              <w:widowControl w:val="0"/>
              <w:autoSpaceDE w:val="0"/>
              <w:autoSpaceDN w:val="0"/>
              <w:spacing w:after="0" w:line="212" w:lineRule="exact"/>
              <w:ind w:left="171"/>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FC</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90%</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240" w:lineRule="auto"/>
              <w:ind w:left="115"/>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250</w:t>
            </w:r>
          </w:p>
        </w:tc>
        <w:tc>
          <w:tcPr>
            <w:tcW w:w="1269" w:type="dxa"/>
            <w:shd w:val="clear" w:color="auto" w:fill="FFF1CC"/>
          </w:tcPr>
          <w:p w:rsidR="00DD196F" w:rsidRPr="00DD196F" w:rsidRDefault="00DD196F" w:rsidP="00DD196F">
            <w:pPr>
              <w:widowControl w:val="0"/>
              <w:autoSpaceDE w:val="0"/>
              <w:autoSpaceDN w:val="0"/>
              <w:spacing w:after="0" w:line="212" w:lineRule="exact"/>
              <w:ind w:left="198"/>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IE</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95%</w:t>
            </w:r>
            <w:r w:rsidRPr="00DD196F">
              <w:rPr>
                <w:rFonts w:ascii="Times New Roman" w:eastAsia="Times New Roman" w:hAnsi="Times New Roman" w:cs="Times New Roman"/>
                <w:b/>
                <w:spacing w:val="3"/>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240" w:lineRule="auto"/>
              <w:ind w:left="114"/>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100</w:t>
            </w:r>
          </w:p>
        </w:tc>
        <w:tc>
          <w:tcPr>
            <w:tcW w:w="1104" w:type="dxa"/>
            <w:shd w:val="clear" w:color="auto" w:fill="FFF1CC"/>
          </w:tcPr>
          <w:p w:rsidR="00DD196F" w:rsidRPr="00DD196F" w:rsidRDefault="00DD196F" w:rsidP="00DD196F">
            <w:pPr>
              <w:widowControl w:val="0"/>
              <w:autoSpaceDE w:val="0"/>
              <w:autoSpaceDN w:val="0"/>
              <w:spacing w:after="0" w:line="212" w:lineRule="exact"/>
              <w:ind w:left="85"/>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Kategoria</w:t>
            </w:r>
          </w:p>
        </w:tc>
        <w:tc>
          <w:tcPr>
            <w:tcW w:w="1905" w:type="dxa"/>
            <w:shd w:val="clear" w:color="auto" w:fill="FFF1CC"/>
          </w:tcPr>
          <w:p w:rsidR="00DD196F" w:rsidRPr="00DD196F" w:rsidRDefault="00DD196F" w:rsidP="00DD196F">
            <w:pPr>
              <w:widowControl w:val="0"/>
              <w:autoSpaceDE w:val="0"/>
              <w:autoSpaceDN w:val="0"/>
              <w:spacing w:after="0" w:line="244" w:lineRule="auto"/>
              <w:ind w:left="309" w:right="130" w:firstLine="65"/>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Përqindja</w:t>
            </w:r>
            <w:r w:rsidRPr="00DD196F">
              <w:rPr>
                <w:rFonts w:ascii="Times New Roman" w:eastAsia="Times New Roman" w:hAnsi="Times New Roman" w:cs="Times New Roman"/>
                <w:b/>
                <w:spacing w:val="7"/>
                <w:sz w:val="19"/>
                <w:lang w:val="sq-AL"/>
              </w:rPr>
              <w:t xml:space="preserve"> </w:t>
            </w:r>
            <w:r w:rsidRPr="00DD196F">
              <w:rPr>
                <w:rFonts w:ascii="Times New Roman" w:eastAsia="Times New Roman" w:hAnsi="Times New Roman" w:cs="Times New Roman"/>
                <w:b/>
                <w:sz w:val="19"/>
                <w:lang w:val="sq-AL"/>
              </w:rPr>
              <w:t>e</w:t>
            </w:r>
            <w:r w:rsidRPr="00DD196F">
              <w:rPr>
                <w:rFonts w:ascii="Times New Roman" w:eastAsia="Times New Roman" w:hAnsi="Times New Roman" w:cs="Times New Roman"/>
                <w:b/>
                <w:spacing w:val="1"/>
                <w:sz w:val="19"/>
                <w:lang w:val="sq-AL"/>
              </w:rPr>
              <w:t xml:space="preserve"> </w:t>
            </w:r>
            <w:r w:rsidRPr="00DD196F">
              <w:rPr>
                <w:rFonts w:ascii="Times New Roman" w:eastAsia="Times New Roman" w:hAnsi="Times New Roman" w:cs="Times New Roman"/>
                <w:b/>
                <w:sz w:val="19"/>
                <w:lang w:val="sq-AL"/>
              </w:rPr>
              <w:t>stacioneve</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w:t>
            </w:r>
          </w:p>
        </w:tc>
      </w:tr>
      <w:tr w:rsidR="00DD196F" w:rsidRPr="00DD196F" w:rsidTr="002D7C3E">
        <w:trPr>
          <w:trHeight w:val="503"/>
        </w:trPr>
        <w:tc>
          <w:tcPr>
            <w:tcW w:w="1163" w:type="dxa"/>
          </w:tcPr>
          <w:p w:rsidR="00DD196F" w:rsidRPr="00DD196F" w:rsidRDefault="00DD196F" w:rsidP="00DD196F">
            <w:pPr>
              <w:widowControl w:val="0"/>
              <w:autoSpaceDE w:val="0"/>
              <w:autoSpaceDN w:val="0"/>
              <w:spacing w:before="103" w:after="0" w:line="240" w:lineRule="auto"/>
              <w:ind w:left="470"/>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1</w:t>
            </w:r>
          </w:p>
        </w:tc>
        <w:tc>
          <w:tcPr>
            <w:tcW w:w="2310" w:type="dxa"/>
          </w:tcPr>
          <w:p w:rsidR="00DD196F" w:rsidRPr="00DD196F" w:rsidRDefault="00DD196F" w:rsidP="00DD196F">
            <w:pPr>
              <w:widowControl w:val="0"/>
              <w:autoSpaceDE w:val="0"/>
              <w:autoSpaceDN w:val="0"/>
              <w:spacing w:after="0" w:line="210"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Plazhi</w:t>
            </w:r>
            <w:r w:rsidRPr="00DD196F">
              <w:rPr>
                <w:rFonts w:ascii="Times New Roman" w:eastAsia="Times New Roman" w:hAnsi="Times New Roman" w:cs="Times New Roman"/>
                <w:spacing w:val="5"/>
                <w:sz w:val="19"/>
                <w:lang w:val="sq-AL"/>
              </w:rPr>
              <w:t xml:space="preserve"> </w:t>
            </w:r>
            <w:r w:rsidRPr="00DD196F">
              <w:rPr>
                <w:rFonts w:ascii="Times New Roman" w:eastAsia="Times New Roman" w:hAnsi="Times New Roman" w:cs="Times New Roman"/>
                <w:sz w:val="19"/>
                <w:lang w:val="sq-AL"/>
              </w:rPr>
              <w:t>i</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Vjetër,</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Kampi</w:t>
            </w:r>
            <w:r w:rsidRPr="00DD196F">
              <w:rPr>
                <w:rFonts w:ascii="Times New Roman" w:eastAsia="Times New Roman" w:hAnsi="Times New Roman" w:cs="Times New Roman"/>
                <w:spacing w:val="6"/>
                <w:sz w:val="19"/>
                <w:lang w:val="sq-AL"/>
              </w:rPr>
              <w:t xml:space="preserve"> </w:t>
            </w:r>
            <w:r w:rsidRPr="00DD196F">
              <w:rPr>
                <w:rFonts w:ascii="Times New Roman" w:eastAsia="Times New Roman" w:hAnsi="Times New Roman" w:cs="Times New Roman"/>
                <w:sz w:val="19"/>
                <w:lang w:val="sq-AL"/>
              </w:rPr>
              <w:t>i</w:t>
            </w:r>
          </w:p>
          <w:p w:rsidR="00DD196F" w:rsidRPr="00DD196F" w:rsidRDefault="00DD196F" w:rsidP="00DD196F">
            <w:pPr>
              <w:widowControl w:val="0"/>
              <w:autoSpaceDE w:val="0"/>
              <w:autoSpaceDN w:val="0"/>
              <w:spacing w:before="5" w:after="0" w:line="206"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Pionierëve</w:t>
            </w:r>
          </w:p>
        </w:tc>
        <w:tc>
          <w:tcPr>
            <w:tcW w:w="1269" w:type="dxa"/>
          </w:tcPr>
          <w:p w:rsidR="00DD196F" w:rsidRPr="00DD196F" w:rsidRDefault="00DD196F" w:rsidP="00DD196F">
            <w:pPr>
              <w:widowControl w:val="0"/>
              <w:autoSpaceDE w:val="0"/>
              <w:autoSpaceDN w:val="0"/>
              <w:spacing w:after="0" w:line="206"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297</w:t>
            </w:r>
          </w:p>
        </w:tc>
        <w:tc>
          <w:tcPr>
            <w:tcW w:w="1269" w:type="dxa"/>
          </w:tcPr>
          <w:p w:rsidR="00DD196F" w:rsidRPr="00DD196F" w:rsidRDefault="00DD196F" w:rsidP="00DD196F">
            <w:pPr>
              <w:widowControl w:val="0"/>
              <w:autoSpaceDE w:val="0"/>
              <w:autoSpaceDN w:val="0"/>
              <w:spacing w:after="0" w:line="206"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208</w:t>
            </w:r>
          </w:p>
        </w:tc>
        <w:tc>
          <w:tcPr>
            <w:tcW w:w="1104" w:type="dxa"/>
            <w:shd w:val="clear" w:color="auto" w:fill="FFFFFF" w:themeFill="background1"/>
            <w:vAlign w:val="bottom"/>
          </w:tcPr>
          <w:p w:rsidR="00DD196F" w:rsidRPr="00DD196F" w:rsidRDefault="00DD196F" w:rsidP="00DD196F">
            <w:pPr>
              <w:spacing w:after="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C</w:t>
            </w:r>
          </w:p>
        </w:tc>
        <w:tc>
          <w:tcPr>
            <w:tcW w:w="1905" w:type="dxa"/>
            <w:vMerge w:val="restart"/>
          </w:tcPr>
          <w:p w:rsidR="00DD196F" w:rsidRPr="00DD196F" w:rsidRDefault="00DD196F" w:rsidP="00DD196F">
            <w:pPr>
              <w:widowControl w:val="0"/>
              <w:autoSpaceDE w:val="0"/>
              <w:autoSpaceDN w:val="0"/>
              <w:spacing w:after="0" w:line="244" w:lineRule="auto"/>
              <w:ind w:left="75" w:right="130"/>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30</w:t>
            </w:r>
            <w:r w:rsidRPr="00DD196F">
              <w:rPr>
                <w:rFonts w:ascii="Times New Roman" w:eastAsia="Times New Roman" w:hAnsi="Times New Roman" w:cs="Times New Roman"/>
                <w:spacing w:val="6"/>
                <w:sz w:val="19"/>
                <w:lang w:val="sq-AL"/>
              </w:rPr>
              <w:t xml:space="preserve"> </w:t>
            </w:r>
            <w:r w:rsidRPr="00DD196F">
              <w:rPr>
                <w:rFonts w:ascii="Times New Roman" w:eastAsia="Times New Roman" w:hAnsi="Times New Roman" w:cs="Times New Roman"/>
                <w:sz w:val="19"/>
                <w:lang w:val="sq-AL"/>
              </w:rPr>
              <w:t>%</w:t>
            </w:r>
            <w:r w:rsidRPr="00DD196F">
              <w:rPr>
                <w:rFonts w:ascii="Times New Roman" w:eastAsia="Times New Roman" w:hAnsi="Times New Roman" w:cs="Times New Roman"/>
                <w:spacing w:val="2"/>
                <w:sz w:val="19"/>
                <w:lang w:val="sq-AL"/>
              </w:rPr>
              <w:t xml:space="preserve"> </w:t>
            </w:r>
            <w:r w:rsidRPr="00DD196F">
              <w:rPr>
                <w:rFonts w:ascii="Times New Roman" w:eastAsia="Times New Roman" w:hAnsi="Times New Roman" w:cs="Times New Roman"/>
                <w:sz w:val="19"/>
                <w:lang w:val="sq-AL"/>
              </w:rPr>
              <w:t>A-</w:t>
            </w:r>
            <w:r w:rsidRPr="00DD196F">
              <w:rPr>
                <w:rFonts w:ascii="Times New Roman" w:eastAsia="Times New Roman" w:hAnsi="Times New Roman" w:cs="Times New Roman"/>
                <w:spacing w:val="3"/>
                <w:sz w:val="19"/>
                <w:lang w:val="sq-AL"/>
              </w:rPr>
              <w:t xml:space="preserve"> </w:t>
            </w:r>
            <w:r w:rsidRPr="00DD196F">
              <w:rPr>
                <w:rFonts w:ascii="Times New Roman" w:eastAsia="Times New Roman" w:hAnsi="Times New Roman" w:cs="Times New Roman"/>
                <w:sz w:val="19"/>
                <w:lang w:val="sq-AL"/>
              </w:rPr>
              <w:t>Cilësi</w:t>
            </w:r>
            <w:r w:rsidRPr="00DD196F">
              <w:rPr>
                <w:rFonts w:ascii="Times New Roman" w:eastAsia="Times New Roman" w:hAnsi="Times New Roman" w:cs="Times New Roman"/>
                <w:spacing w:val="3"/>
                <w:sz w:val="19"/>
                <w:lang w:val="sq-AL"/>
              </w:rPr>
              <w:t xml:space="preserve"> </w:t>
            </w:r>
            <w:r w:rsidRPr="00DD196F">
              <w:rPr>
                <w:rFonts w:ascii="Times New Roman" w:eastAsia="Times New Roman" w:hAnsi="Times New Roman" w:cs="Times New Roman"/>
                <w:sz w:val="19"/>
                <w:lang w:val="sq-AL"/>
              </w:rPr>
              <w:t>e</w:t>
            </w:r>
            <w:r w:rsidRPr="00DD196F">
              <w:rPr>
                <w:rFonts w:ascii="Times New Roman" w:eastAsia="Times New Roman" w:hAnsi="Times New Roman" w:cs="Times New Roman"/>
                <w:spacing w:val="-45"/>
                <w:sz w:val="19"/>
                <w:lang w:val="sq-AL"/>
              </w:rPr>
              <w:t xml:space="preserve"> </w:t>
            </w:r>
            <w:r w:rsidRPr="00DD196F">
              <w:rPr>
                <w:rFonts w:ascii="Times New Roman" w:eastAsia="Times New Roman" w:hAnsi="Times New Roman" w:cs="Times New Roman"/>
                <w:sz w:val="19"/>
                <w:lang w:val="sq-AL"/>
              </w:rPr>
              <w:t>shkëlqyer</w:t>
            </w:r>
          </w:p>
          <w:p w:rsidR="00DD196F" w:rsidRPr="00DD196F" w:rsidRDefault="00DD196F" w:rsidP="00DD196F">
            <w:pPr>
              <w:widowControl w:val="0"/>
              <w:autoSpaceDE w:val="0"/>
              <w:autoSpaceDN w:val="0"/>
              <w:spacing w:before="8" w:after="0" w:line="240" w:lineRule="auto"/>
              <w:rPr>
                <w:rFonts w:ascii="Times New Roman" w:eastAsia="Times New Roman" w:hAnsi="Times New Roman" w:cs="Times New Roman"/>
                <w:b/>
                <w:sz w:val="18"/>
                <w:lang w:val="sq-AL"/>
              </w:rPr>
            </w:pPr>
          </w:p>
          <w:p w:rsidR="00DD196F" w:rsidRPr="00DD196F" w:rsidRDefault="00DD196F" w:rsidP="00DD196F">
            <w:pPr>
              <w:widowControl w:val="0"/>
              <w:autoSpaceDE w:val="0"/>
              <w:autoSpaceDN w:val="0"/>
              <w:spacing w:after="0" w:line="244" w:lineRule="auto"/>
              <w:ind w:left="75" w:right="130"/>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30%</w:t>
            </w:r>
            <w:r w:rsidRPr="00DD196F">
              <w:rPr>
                <w:rFonts w:ascii="Times New Roman" w:eastAsia="Times New Roman" w:hAnsi="Times New Roman" w:cs="Times New Roman"/>
                <w:spacing w:val="8"/>
                <w:sz w:val="19"/>
                <w:lang w:val="sq-AL"/>
              </w:rPr>
              <w:t xml:space="preserve"> </w:t>
            </w:r>
            <w:r w:rsidRPr="00DD196F">
              <w:rPr>
                <w:rFonts w:ascii="Times New Roman" w:eastAsia="Times New Roman" w:hAnsi="Times New Roman" w:cs="Times New Roman"/>
                <w:sz w:val="19"/>
                <w:lang w:val="sq-AL"/>
              </w:rPr>
              <w:t>B-Cilësi</w:t>
            </w:r>
            <w:r w:rsidRPr="00DD196F">
              <w:rPr>
                <w:rFonts w:ascii="Times New Roman" w:eastAsia="Times New Roman" w:hAnsi="Times New Roman" w:cs="Times New Roman"/>
                <w:spacing w:val="3"/>
                <w:sz w:val="19"/>
                <w:lang w:val="sq-AL"/>
              </w:rPr>
              <w:t xml:space="preserve"> </w:t>
            </w:r>
            <w:r w:rsidRPr="00DD196F">
              <w:rPr>
                <w:rFonts w:ascii="Times New Roman" w:eastAsia="Times New Roman" w:hAnsi="Times New Roman" w:cs="Times New Roman"/>
                <w:sz w:val="19"/>
                <w:lang w:val="sq-AL"/>
              </w:rPr>
              <w:t>e</w:t>
            </w:r>
            <w:r w:rsidRPr="00DD196F">
              <w:rPr>
                <w:rFonts w:ascii="Times New Roman" w:eastAsia="Times New Roman" w:hAnsi="Times New Roman" w:cs="Times New Roman"/>
                <w:spacing w:val="-45"/>
                <w:sz w:val="19"/>
                <w:lang w:val="sq-AL"/>
              </w:rPr>
              <w:t xml:space="preserve"> </w:t>
            </w:r>
            <w:r w:rsidRPr="00DD196F">
              <w:rPr>
                <w:rFonts w:ascii="Times New Roman" w:eastAsia="Times New Roman" w:hAnsi="Times New Roman" w:cs="Times New Roman"/>
                <w:sz w:val="19"/>
                <w:lang w:val="sq-AL"/>
              </w:rPr>
              <w:t>mirë</w:t>
            </w:r>
          </w:p>
          <w:p w:rsidR="00DD196F" w:rsidRPr="00DD196F" w:rsidRDefault="00DD196F" w:rsidP="00DD196F">
            <w:pPr>
              <w:widowControl w:val="0"/>
              <w:autoSpaceDE w:val="0"/>
              <w:autoSpaceDN w:val="0"/>
              <w:spacing w:before="6" w:after="0" w:line="240" w:lineRule="auto"/>
              <w:rPr>
                <w:rFonts w:ascii="Times New Roman" w:eastAsia="Times New Roman" w:hAnsi="Times New Roman" w:cs="Times New Roman"/>
                <w:b/>
                <w:sz w:val="19"/>
                <w:lang w:val="sq-AL"/>
              </w:rPr>
            </w:pPr>
          </w:p>
          <w:p w:rsidR="00DD196F" w:rsidRPr="00DD196F" w:rsidRDefault="00DD196F" w:rsidP="00DD196F">
            <w:pPr>
              <w:widowControl w:val="0"/>
              <w:autoSpaceDE w:val="0"/>
              <w:autoSpaceDN w:val="0"/>
              <w:spacing w:after="0" w:line="244" w:lineRule="auto"/>
              <w:ind w:left="75" w:right="130"/>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10</w:t>
            </w:r>
            <w:r w:rsidRPr="00DD196F">
              <w:rPr>
                <w:rFonts w:ascii="Times New Roman" w:eastAsia="Times New Roman" w:hAnsi="Times New Roman" w:cs="Times New Roman"/>
                <w:spacing w:val="2"/>
                <w:sz w:val="19"/>
                <w:lang w:val="sq-AL"/>
              </w:rPr>
              <w:t xml:space="preserve"> </w:t>
            </w:r>
            <w:r w:rsidRPr="00DD196F">
              <w:rPr>
                <w:rFonts w:ascii="Times New Roman" w:eastAsia="Times New Roman" w:hAnsi="Times New Roman" w:cs="Times New Roman"/>
                <w:sz w:val="19"/>
                <w:lang w:val="sq-AL"/>
              </w:rPr>
              <w:t>%</w:t>
            </w:r>
            <w:r w:rsidRPr="00DD196F">
              <w:rPr>
                <w:rFonts w:ascii="Times New Roman" w:eastAsia="Times New Roman" w:hAnsi="Times New Roman" w:cs="Times New Roman"/>
                <w:spacing w:val="3"/>
                <w:sz w:val="19"/>
                <w:lang w:val="sq-AL"/>
              </w:rPr>
              <w:t xml:space="preserve"> </w:t>
            </w:r>
            <w:r w:rsidRPr="00DD196F">
              <w:rPr>
                <w:rFonts w:ascii="Times New Roman" w:eastAsia="Times New Roman" w:hAnsi="Times New Roman" w:cs="Times New Roman"/>
                <w:sz w:val="19"/>
                <w:lang w:val="sq-AL"/>
              </w:rPr>
              <w:t>C-</w:t>
            </w:r>
            <w:r w:rsidRPr="00DD196F">
              <w:rPr>
                <w:rFonts w:ascii="Times New Roman" w:eastAsia="Times New Roman" w:hAnsi="Times New Roman" w:cs="Times New Roman"/>
                <w:spacing w:val="3"/>
                <w:sz w:val="19"/>
                <w:lang w:val="sq-AL"/>
              </w:rPr>
              <w:t xml:space="preserve"> </w:t>
            </w:r>
            <w:r w:rsidRPr="00DD196F">
              <w:rPr>
                <w:rFonts w:ascii="Times New Roman" w:eastAsia="Times New Roman" w:hAnsi="Times New Roman" w:cs="Times New Roman"/>
                <w:sz w:val="19"/>
                <w:lang w:val="sq-AL"/>
              </w:rPr>
              <w:t>Cilësi</w:t>
            </w:r>
            <w:r w:rsidRPr="00DD196F">
              <w:rPr>
                <w:rFonts w:ascii="Times New Roman" w:eastAsia="Times New Roman" w:hAnsi="Times New Roman" w:cs="Times New Roman"/>
                <w:spacing w:val="3"/>
                <w:sz w:val="19"/>
                <w:lang w:val="sq-AL"/>
              </w:rPr>
              <w:t xml:space="preserve"> </w:t>
            </w:r>
            <w:r w:rsidRPr="00DD196F">
              <w:rPr>
                <w:rFonts w:ascii="Times New Roman" w:eastAsia="Times New Roman" w:hAnsi="Times New Roman" w:cs="Times New Roman"/>
                <w:sz w:val="19"/>
                <w:lang w:val="sq-AL"/>
              </w:rPr>
              <w:t>e</w:t>
            </w:r>
            <w:r w:rsidRPr="00DD196F">
              <w:rPr>
                <w:rFonts w:ascii="Times New Roman" w:eastAsia="Times New Roman" w:hAnsi="Times New Roman" w:cs="Times New Roman"/>
                <w:spacing w:val="-45"/>
                <w:sz w:val="19"/>
                <w:lang w:val="sq-AL"/>
              </w:rPr>
              <w:t xml:space="preserve"> </w:t>
            </w:r>
            <w:r w:rsidRPr="00DD196F">
              <w:rPr>
                <w:rFonts w:ascii="Times New Roman" w:eastAsia="Times New Roman" w:hAnsi="Times New Roman" w:cs="Times New Roman"/>
                <w:sz w:val="19"/>
                <w:lang w:val="sq-AL"/>
              </w:rPr>
              <w:t>mjaftueshme</w:t>
            </w:r>
          </w:p>
          <w:p w:rsidR="00DD196F" w:rsidRPr="00DD196F" w:rsidRDefault="00DD196F" w:rsidP="00DD196F">
            <w:pPr>
              <w:widowControl w:val="0"/>
              <w:autoSpaceDE w:val="0"/>
              <w:autoSpaceDN w:val="0"/>
              <w:spacing w:before="5" w:after="0" w:line="240" w:lineRule="auto"/>
              <w:rPr>
                <w:rFonts w:ascii="Times New Roman" w:eastAsia="Times New Roman" w:hAnsi="Times New Roman" w:cs="Times New Roman"/>
                <w:b/>
                <w:sz w:val="19"/>
                <w:lang w:val="sq-AL"/>
              </w:rPr>
            </w:pPr>
          </w:p>
          <w:p w:rsidR="00DD196F" w:rsidRPr="00DD196F" w:rsidRDefault="00DD196F" w:rsidP="00DD196F">
            <w:pPr>
              <w:widowControl w:val="0"/>
              <w:autoSpaceDE w:val="0"/>
              <w:autoSpaceDN w:val="0"/>
              <w:spacing w:before="1" w:after="0" w:line="247" w:lineRule="auto"/>
              <w:ind w:left="75" w:right="376"/>
              <w:rPr>
                <w:rFonts w:ascii="Times New Roman" w:eastAsia="Times New Roman" w:hAnsi="Times New Roman" w:cs="Times New Roman"/>
                <w:sz w:val="17"/>
                <w:lang w:val="sq-AL"/>
              </w:rPr>
            </w:pPr>
            <w:r w:rsidRPr="00DD196F">
              <w:rPr>
                <w:rFonts w:ascii="Times New Roman" w:eastAsia="Times New Roman" w:hAnsi="Times New Roman" w:cs="Times New Roman"/>
                <w:spacing w:val="-1"/>
                <w:w w:val="105"/>
                <w:sz w:val="19"/>
                <w:lang w:val="sq-AL"/>
              </w:rPr>
              <w:t>30%</w:t>
            </w:r>
            <w:r w:rsidRPr="00DD196F">
              <w:rPr>
                <w:rFonts w:ascii="Times New Roman" w:eastAsia="Times New Roman" w:hAnsi="Times New Roman" w:cs="Times New Roman"/>
                <w:spacing w:val="27"/>
                <w:w w:val="105"/>
                <w:sz w:val="19"/>
                <w:lang w:val="sq-AL"/>
              </w:rPr>
              <w:t xml:space="preserve"> </w:t>
            </w:r>
            <w:r w:rsidRPr="00DD196F">
              <w:rPr>
                <w:rFonts w:ascii="Times New Roman" w:eastAsia="Times New Roman" w:hAnsi="Times New Roman" w:cs="Times New Roman"/>
                <w:spacing w:val="-1"/>
                <w:w w:val="105"/>
                <w:sz w:val="19"/>
                <w:lang w:val="sq-AL"/>
              </w:rPr>
              <w:t>D-Cilësi</w:t>
            </w:r>
            <w:r w:rsidRPr="00DD196F">
              <w:rPr>
                <w:rFonts w:ascii="Times New Roman" w:eastAsia="Times New Roman" w:hAnsi="Times New Roman" w:cs="Times New Roman"/>
                <w:spacing w:val="-11"/>
                <w:w w:val="105"/>
                <w:sz w:val="19"/>
                <w:lang w:val="sq-AL"/>
              </w:rPr>
              <w:t xml:space="preserve"> </w:t>
            </w:r>
            <w:r w:rsidRPr="00DD196F">
              <w:rPr>
                <w:rFonts w:ascii="Times New Roman" w:eastAsia="Times New Roman" w:hAnsi="Times New Roman" w:cs="Times New Roman"/>
                <w:spacing w:val="-1"/>
                <w:w w:val="105"/>
                <w:sz w:val="19"/>
                <w:lang w:val="sq-AL"/>
              </w:rPr>
              <w:t>e</w:t>
            </w:r>
            <w:r w:rsidRPr="00DD196F">
              <w:rPr>
                <w:rFonts w:ascii="Times New Roman" w:eastAsia="Times New Roman" w:hAnsi="Times New Roman" w:cs="Times New Roman"/>
                <w:spacing w:val="-47"/>
                <w:w w:val="105"/>
                <w:sz w:val="19"/>
                <w:lang w:val="sq-AL"/>
              </w:rPr>
              <w:t xml:space="preserve"> </w:t>
            </w:r>
            <w:r w:rsidRPr="00DD196F">
              <w:rPr>
                <w:rFonts w:ascii="Times New Roman" w:eastAsia="Times New Roman" w:hAnsi="Times New Roman" w:cs="Times New Roman"/>
                <w:w w:val="105"/>
                <w:sz w:val="19"/>
                <w:lang w:val="sq-AL"/>
              </w:rPr>
              <w:lastRenderedPageBreak/>
              <w:t>keqe</w:t>
            </w:r>
            <w:r w:rsidRPr="00DD196F">
              <w:rPr>
                <w:rFonts w:ascii="Times New Roman" w:eastAsia="Times New Roman" w:hAnsi="Times New Roman" w:cs="Times New Roman"/>
                <w:w w:val="105"/>
                <w:sz w:val="16"/>
                <w:lang w:val="sq-AL"/>
              </w:rPr>
              <w:t>/</w:t>
            </w:r>
            <w:r w:rsidRPr="00DD196F">
              <w:rPr>
                <w:rFonts w:ascii="Times New Roman" w:eastAsia="Times New Roman" w:hAnsi="Times New Roman" w:cs="Times New Roman"/>
                <w:w w:val="105"/>
                <w:sz w:val="17"/>
                <w:lang w:val="sq-AL"/>
              </w:rPr>
              <w:t>Masa të</w:t>
            </w:r>
            <w:r w:rsidRPr="00DD196F">
              <w:rPr>
                <w:rFonts w:ascii="Times New Roman" w:eastAsia="Times New Roman" w:hAnsi="Times New Roman" w:cs="Times New Roman"/>
                <w:spacing w:val="1"/>
                <w:w w:val="105"/>
                <w:sz w:val="17"/>
                <w:lang w:val="sq-AL"/>
              </w:rPr>
              <w:t xml:space="preserve"> </w:t>
            </w:r>
            <w:r w:rsidRPr="00DD196F">
              <w:rPr>
                <w:rFonts w:ascii="Times New Roman" w:eastAsia="Times New Roman" w:hAnsi="Times New Roman" w:cs="Times New Roman"/>
                <w:w w:val="105"/>
                <w:sz w:val="17"/>
                <w:lang w:val="sq-AL"/>
              </w:rPr>
              <w:t>menjëherëshme</w:t>
            </w:r>
          </w:p>
        </w:tc>
      </w:tr>
      <w:tr w:rsidR="00DD196F" w:rsidRPr="00DD196F" w:rsidTr="002D7C3E">
        <w:trPr>
          <w:trHeight w:val="298"/>
        </w:trPr>
        <w:tc>
          <w:tcPr>
            <w:tcW w:w="1163" w:type="dxa"/>
          </w:tcPr>
          <w:p w:rsidR="00DD196F" w:rsidRPr="00DD196F" w:rsidRDefault="00DD196F" w:rsidP="00DD196F">
            <w:pPr>
              <w:widowControl w:val="0"/>
              <w:autoSpaceDE w:val="0"/>
              <w:autoSpaceDN w:val="0"/>
              <w:spacing w:before="12" w:after="0" w:line="240" w:lineRule="auto"/>
              <w:ind w:left="470"/>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2</w:t>
            </w:r>
          </w:p>
        </w:tc>
        <w:tc>
          <w:tcPr>
            <w:tcW w:w="2310" w:type="dxa"/>
          </w:tcPr>
          <w:p w:rsidR="00DD196F" w:rsidRPr="00DD196F" w:rsidRDefault="00DD196F" w:rsidP="00DD196F">
            <w:pPr>
              <w:widowControl w:val="0"/>
              <w:autoSpaceDE w:val="0"/>
              <w:autoSpaceDN w:val="0"/>
              <w:spacing w:before="12" w:after="0" w:line="240" w:lineRule="auto"/>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Plazhi</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i</w:t>
            </w:r>
            <w:r w:rsidRPr="00DD196F">
              <w:rPr>
                <w:rFonts w:ascii="Times New Roman" w:eastAsia="Times New Roman" w:hAnsi="Times New Roman" w:cs="Times New Roman"/>
                <w:spacing w:val="8"/>
                <w:sz w:val="19"/>
                <w:lang w:val="sq-AL"/>
              </w:rPr>
              <w:t xml:space="preserve"> </w:t>
            </w:r>
            <w:r w:rsidRPr="00DD196F">
              <w:rPr>
                <w:rFonts w:ascii="Times New Roman" w:eastAsia="Times New Roman" w:hAnsi="Times New Roman" w:cs="Times New Roman"/>
                <w:sz w:val="19"/>
                <w:lang w:val="sq-AL"/>
              </w:rPr>
              <w:t>Vjetër,</w:t>
            </w:r>
            <w:r w:rsidRPr="00DD196F">
              <w:rPr>
                <w:rFonts w:ascii="Times New Roman" w:eastAsia="Times New Roman" w:hAnsi="Times New Roman" w:cs="Times New Roman"/>
                <w:spacing w:val="9"/>
                <w:sz w:val="19"/>
                <w:lang w:val="sq-AL"/>
              </w:rPr>
              <w:t xml:space="preserve"> </w:t>
            </w:r>
            <w:r w:rsidRPr="00DD196F">
              <w:rPr>
                <w:rFonts w:ascii="Times New Roman" w:eastAsia="Times New Roman" w:hAnsi="Times New Roman" w:cs="Times New Roman"/>
                <w:sz w:val="19"/>
                <w:lang w:val="sq-AL"/>
              </w:rPr>
              <w:t>Kabinat</w:t>
            </w:r>
          </w:p>
        </w:tc>
        <w:tc>
          <w:tcPr>
            <w:tcW w:w="1269" w:type="dxa"/>
          </w:tcPr>
          <w:p w:rsidR="00DD196F" w:rsidRPr="00DD196F" w:rsidRDefault="00DD196F" w:rsidP="00DD196F">
            <w:pPr>
              <w:widowControl w:val="0"/>
              <w:autoSpaceDE w:val="0"/>
              <w:autoSpaceDN w:val="0"/>
              <w:spacing w:before="35" w:after="0" w:line="206"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230</w:t>
            </w:r>
          </w:p>
        </w:tc>
        <w:tc>
          <w:tcPr>
            <w:tcW w:w="1269" w:type="dxa"/>
          </w:tcPr>
          <w:p w:rsidR="00DD196F" w:rsidRPr="00DD196F" w:rsidRDefault="00DD196F" w:rsidP="00DD196F">
            <w:pPr>
              <w:widowControl w:val="0"/>
              <w:autoSpaceDE w:val="0"/>
              <w:autoSpaceDN w:val="0"/>
              <w:spacing w:before="35" w:after="0" w:line="206"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184</w:t>
            </w:r>
          </w:p>
        </w:tc>
        <w:tc>
          <w:tcPr>
            <w:tcW w:w="1104" w:type="dxa"/>
            <w:shd w:val="clear" w:color="auto" w:fill="FFFFFF" w:themeFill="background1"/>
            <w:vAlign w:val="bottom"/>
          </w:tcPr>
          <w:p w:rsidR="00DD196F" w:rsidRPr="00DD196F" w:rsidRDefault="00DD196F" w:rsidP="00DD196F">
            <w:pPr>
              <w:spacing w:after="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B</w:t>
            </w:r>
          </w:p>
        </w:tc>
        <w:tc>
          <w:tcPr>
            <w:tcW w:w="1905"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DD196F" w:rsidRPr="00DD196F" w:rsidTr="002D7C3E">
        <w:trPr>
          <w:trHeight w:val="247"/>
        </w:trPr>
        <w:tc>
          <w:tcPr>
            <w:tcW w:w="1163" w:type="dxa"/>
          </w:tcPr>
          <w:p w:rsidR="00DD196F" w:rsidRPr="00DD196F" w:rsidRDefault="00DD196F" w:rsidP="00DD196F">
            <w:pPr>
              <w:widowControl w:val="0"/>
              <w:autoSpaceDE w:val="0"/>
              <w:autoSpaceDN w:val="0"/>
              <w:spacing w:after="0" w:line="198" w:lineRule="exact"/>
              <w:ind w:left="470"/>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3</w:t>
            </w:r>
          </w:p>
        </w:tc>
        <w:tc>
          <w:tcPr>
            <w:tcW w:w="2310" w:type="dxa"/>
          </w:tcPr>
          <w:p w:rsidR="00DD196F" w:rsidRPr="00DD196F" w:rsidRDefault="00DD196F" w:rsidP="00DD196F">
            <w:pPr>
              <w:widowControl w:val="0"/>
              <w:autoSpaceDE w:val="0"/>
              <w:autoSpaceDN w:val="0"/>
              <w:spacing w:after="0" w:line="198"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Shkolla</w:t>
            </w:r>
            <w:r w:rsidRPr="00DD196F">
              <w:rPr>
                <w:rFonts w:ascii="Times New Roman" w:eastAsia="Times New Roman" w:hAnsi="Times New Roman" w:cs="Times New Roman"/>
                <w:spacing w:val="9"/>
                <w:sz w:val="19"/>
                <w:lang w:val="sq-AL"/>
              </w:rPr>
              <w:t xml:space="preserve"> </w:t>
            </w:r>
            <w:r w:rsidRPr="00DD196F">
              <w:rPr>
                <w:rFonts w:ascii="Times New Roman" w:eastAsia="Times New Roman" w:hAnsi="Times New Roman" w:cs="Times New Roman"/>
                <w:sz w:val="19"/>
                <w:lang w:val="sq-AL"/>
              </w:rPr>
              <w:t>e</w:t>
            </w:r>
            <w:r w:rsidRPr="00DD196F">
              <w:rPr>
                <w:rFonts w:ascii="Times New Roman" w:eastAsia="Times New Roman" w:hAnsi="Times New Roman" w:cs="Times New Roman"/>
                <w:spacing w:val="9"/>
                <w:sz w:val="19"/>
                <w:lang w:val="sq-AL"/>
              </w:rPr>
              <w:t xml:space="preserve"> </w:t>
            </w:r>
            <w:r w:rsidRPr="00DD196F">
              <w:rPr>
                <w:rFonts w:ascii="Times New Roman" w:eastAsia="Times New Roman" w:hAnsi="Times New Roman" w:cs="Times New Roman"/>
                <w:sz w:val="19"/>
                <w:lang w:val="sq-AL"/>
              </w:rPr>
              <w:t>Marinës</w:t>
            </w:r>
          </w:p>
        </w:tc>
        <w:tc>
          <w:tcPr>
            <w:tcW w:w="1269"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4093</w:t>
            </w:r>
          </w:p>
        </w:tc>
        <w:tc>
          <w:tcPr>
            <w:tcW w:w="1269"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2458</w:t>
            </w:r>
          </w:p>
        </w:tc>
        <w:tc>
          <w:tcPr>
            <w:tcW w:w="1104" w:type="dxa"/>
            <w:shd w:val="clear" w:color="auto" w:fill="FFFFFF" w:themeFill="background1"/>
            <w:vAlign w:val="bottom"/>
          </w:tcPr>
          <w:p w:rsidR="00DD196F" w:rsidRPr="00DD196F" w:rsidRDefault="00DD196F" w:rsidP="00DD196F">
            <w:pPr>
              <w:spacing w:after="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D</w:t>
            </w:r>
          </w:p>
        </w:tc>
        <w:tc>
          <w:tcPr>
            <w:tcW w:w="1905"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DD196F" w:rsidRPr="00DD196F" w:rsidTr="002D7C3E">
        <w:trPr>
          <w:trHeight w:val="247"/>
        </w:trPr>
        <w:tc>
          <w:tcPr>
            <w:tcW w:w="1163" w:type="dxa"/>
          </w:tcPr>
          <w:p w:rsidR="00DD196F" w:rsidRPr="00DD196F" w:rsidRDefault="00DD196F" w:rsidP="00DD196F">
            <w:pPr>
              <w:widowControl w:val="0"/>
              <w:autoSpaceDE w:val="0"/>
              <w:autoSpaceDN w:val="0"/>
              <w:spacing w:after="0" w:line="198" w:lineRule="exact"/>
              <w:ind w:left="470"/>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4</w:t>
            </w:r>
          </w:p>
        </w:tc>
        <w:tc>
          <w:tcPr>
            <w:tcW w:w="2310" w:type="dxa"/>
          </w:tcPr>
          <w:p w:rsidR="00DD196F" w:rsidRPr="00DD196F" w:rsidRDefault="00DD196F" w:rsidP="00DD196F">
            <w:pPr>
              <w:widowControl w:val="0"/>
              <w:autoSpaceDE w:val="0"/>
              <w:autoSpaceDN w:val="0"/>
              <w:spacing w:after="0" w:line="198"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Plazhi</w:t>
            </w:r>
            <w:r w:rsidRPr="00DD196F">
              <w:rPr>
                <w:rFonts w:ascii="Times New Roman" w:eastAsia="Times New Roman" w:hAnsi="Times New Roman" w:cs="Times New Roman"/>
                <w:spacing w:val="4"/>
                <w:sz w:val="19"/>
                <w:lang w:val="sq-AL"/>
              </w:rPr>
              <w:t xml:space="preserve"> </w:t>
            </w:r>
            <w:r w:rsidRPr="00DD196F">
              <w:rPr>
                <w:rFonts w:ascii="Times New Roman" w:eastAsia="Times New Roman" w:hAnsi="Times New Roman" w:cs="Times New Roman"/>
                <w:sz w:val="19"/>
                <w:lang w:val="sq-AL"/>
              </w:rPr>
              <w:t>i</w:t>
            </w:r>
            <w:r w:rsidRPr="00DD196F">
              <w:rPr>
                <w:rFonts w:ascii="Times New Roman" w:eastAsia="Times New Roman" w:hAnsi="Times New Roman" w:cs="Times New Roman"/>
                <w:spacing w:val="5"/>
                <w:sz w:val="19"/>
                <w:lang w:val="sq-AL"/>
              </w:rPr>
              <w:t xml:space="preserve"> </w:t>
            </w:r>
            <w:r w:rsidRPr="00DD196F">
              <w:rPr>
                <w:rFonts w:ascii="Times New Roman" w:eastAsia="Times New Roman" w:hAnsi="Times New Roman" w:cs="Times New Roman"/>
                <w:sz w:val="19"/>
                <w:lang w:val="sq-AL"/>
              </w:rPr>
              <w:t>Ri</w:t>
            </w:r>
          </w:p>
        </w:tc>
        <w:tc>
          <w:tcPr>
            <w:tcW w:w="1269"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690</w:t>
            </w:r>
          </w:p>
        </w:tc>
        <w:tc>
          <w:tcPr>
            <w:tcW w:w="1269"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632</w:t>
            </w:r>
          </w:p>
        </w:tc>
        <w:tc>
          <w:tcPr>
            <w:tcW w:w="1104" w:type="dxa"/>
            <w:shd w:val="clear" w:color="auto" w:fill="FFFFFF" w:themeFill="background1"/>
            <w:vAlign w:val="bottom"/>
          </w:tcPr>
          <w:p w:rsidR="00DD196F" w:rsidRPr="00DD196F" w:rsidRDefault="00DD196F" w:rsidP="00DD196F">
            <w:pPr>
              <w:spacing w:after="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D</w:t>
            </w:r>
          </w:p>
        </w:tc>
        <w:tc>
          <w:tcPr>
            <w:tcW w:w="1905"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DD196F" w:rsidRPr="00DD196F" w:rsidTr="002D7C3E">
        <w:trPr>
          <w:trHeight w:val="247"/>
        </w:trPr>
        <w:tc>
          <w:tcPr>
            <w:tcW w:w="1163" w:type="dxa"/>
          </w:tcPr>
          <w:p w:rsidR="00DD196F" w:rsidRPr="00DD196F" w:rsidRDefault="00DD196F" w:rsidP="00DD196F">
            <w:pPr>
              <w:widowControl w:val="0"/>
              <w:autoSpaceDE w:val="0"/>
              <w:autoSpaceDN w:val="0"/>
              <w:spacing w:after="0" w:line="198" w:lineRule="exact"/>
              <w:ind w:left="470"/>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5</w:t>
            </w:r>
          </w:p>
        </w:tc>
        <w:tc>
          <w:tcPr>
            <w:tcW w:w="2310" w:type="dxa"/>
          </w:tcPr>
          <w:p w:rsidR="00DD196F" w:rsidRPr="00DD196F" w:rsidRDefault="00DD196F" w:rsidP="00DD196F">
            <w:pPr>
              <w:widowControl w:val="0"/>
              <w:autoSpaceDE w:val="0"/>
              <w:autoSpaceDN w:val="0"/>
              <w:spacing w:after="0" w:line="198"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Ish</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Vilat,</w:t>
            </w:r>
            <w:r w:rsidRPr="00DD196F">
              <w:rPr>
                <w:rFonts w:ascii="Times New Roman" w:eastAsia="Times New Roman" w:hAnsi="Times New Roman" w:cs="Times New Roman"/>
                <w:spacing w:val="8"/>
                <w:sz w:val="19"/>
                <w:lang w:val="sq-AL"/>
              </w:rPr>
              <w:t xml:space="preserve"> </w:t>
            </w:r>
            <w:r w:rsidRPr="00DD196F">
              <w:rPr>
                <w:rFonts w:ascii="Times New Roman" w:eastAsia="Times New Roman" w:hAnsi="Times New Roman" w:cs="Times New Roman"/>
                <w:sz w:val="19"/>
                <w:lang w:val="sq-AL"/>
              </w:rPr>
              <w:t>Blloku</w:t>
            </w:r>
          </w:p>
        </w:tc>
        <w:tc>
          <w:tcPr>
            <w:tcW w:w="1269"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98</w:t>
            </w:r>
          </w:p>
        </w:tc>
        <w:tc>
          <w:tcPr>
            <w:tcW w:w="1269"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60</w:t>
            </w:r>
          </w:p>
        </w:tc>
        <w:tc>
          <w:tcPr>
            <w:tcW w:w="1104" w:type="dxa"/>
            <w:shd w:val="clear" w:color="auto" w:fill="FFFFFF" w:themeFill="background1"/>
            <w:vAlign w:val="bottom"/>
          </w:tcPr>
          <w:p w:rsidR="00DD196F" w:rsidRPr="00DD196F" w:rsidRDefault="00DD196F" w:rsidP="00DD196F">
            <w:pPr>
              <w:spacing w:after="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A</w:t>
            </w:r>
          </w:p>
        </w:tc>
        <w:tc>
          <w:tcPr>
            <w:tcW w:w="1905"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DD196F" w:rsidRPr="00DD196F" w:rsidTr="002D7C3E">
        <w:trPr>
          <w:trHeight w:val="247"/>
        </w:trPr>
        <w:tc>
          <w:tcPr>
            <w:tcW w:w="1163" w:type="dxa"/>
          </w:tcPr>
          <w:p w:rsidR="00DD196F" w:rsidRPr="00DD196F" w:rsidRDefault="00DD196F" w:rsidP="00DD196F">
            <w:pPr>
              <w:widowControl w:val="0"/>
              <w:autoSpaceDE w:val="0"/>
              <w:autoSpaceDN w:val="0"/>
              <w:spacing w:after="0" w:line="198" w:lineRule="exact"/>
              <w:ind w:left="470"/>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6</w:t>
            </w:r>
          </w:p>
        </w:tc>
        <w:tc>
          <w:tcPr>
            <w:tcW w:w="2310" w:type="dxa"/>
          </w:tcPr>
          <w:p w:rsidR="00DD196F" w:rsidRPr="00DD196F" w:rsidRDefault="00DD196F" w:rsidP="00DD196F">
            <w:pPr>
              <w:widowControl w:val="0"/>
              <w:autoSpaceDE w:val="0"/>
              <w:autoSpaceDN w:val="0"/>
              <w:spacing w:after="0" w:line="198"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Jonufer</w:t>
            </w:r>
          </w:p>
        </w:tc>
        <w:tc>
          <w:tcPr>
            <w:tcW w:w="1269"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148</w:t>
            </w:r>
          </w:p>
        </w:tc>
        <w:tc>
          <w:tcPr>
            <w:tcW w:w="1269"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118</w:t>
            </w:r>
          </w:p>
        </w:tc>
        <w:tc>
          <w:tcPr>
            <w:tcW w:w="1104" w:type="dxa"/>
            <w:shd w:val="clear" w:color="auto" w:fill="FFFFFF" w:themeFill="background1"/>
            <w:vAlign w:val="bottom"/>
          </w:tcPr>
          <w:p w:rsidR="00DD196F" w:rsidRPr="00DD196F" w:rsidRDefault="00DD196F" w:rsidP="00DD196F">
            <w:pPr>
              <w:spacing w:after="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B</w:t>
            </w:r>
          </w:p>
        </w:tc>
        <w:tc>
          <w:tcPr>
            <w:tcW w:w="1905"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DD196F" w:rsidRPr="00DD196F" w:rsidTr="002D7C3E">
        <w:trPr>
          <w:trHeight w:val="247"/>
        </w:trPr>
        <w:tc>
          <w:tcPr>
            <w:tcW w:w="1163" w:type="dxa"/>
          </w:tcPr>
          <w:p w:rsidR="00DD196F" w:rsidRPr="00DD196F" w:rsidRDefault="00DD196F" w:rsidP="00DD196F">
            <w:pPr>
              <w:widowControl w:val="0"/>
              <w:autoSpaceDE w:val="0"/>
              <w:autoSpaceDN w:val="0"/>
              <w:spacing w:after="0" w:line="198" w:lineRule="exact"/>
              <w:ind w:left="470"/>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7</w:t>
            </w:r>
          </w:p>
        </w:tc>
        <w:tc>
          <w:tcPr>
            <w:tcW w:w="2310" w:type="dxa"/>
          </w:tcPr>
          <w:p w:rsidR="00DD196F" w:rsidRPr="00DD196F" w:rsidRDefault="00DD196F" w:rsidP="00DD196F">
            <w:pPr>
              <w:widowControl w:val="0"/>
              <w:autoSpaceDE w:val="0"/>
              <w:autoSpaceDN w:val="0"/>
              <w:spacing w:after="0" w:line="198"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Plazhi</w:t>
            </w:r>
            <w:r w:rsidRPr="00DD196F">
              <w:rPr>
                <w:rFonts w:ascii="Times New Roman" w:eastAsia="Times New Roman" w:hAnsi="Times New Roman" w:cs="Times New Roman"/>
                <w:spacing w:val="10"/>
                <w:sz w:val="19"/>
                <w:lang w:val="sq-AL"/>
              </w:rPr>
              <w:t xml:space="preserve"> </w:t>
            </w:r>
            <w:r w:rsidRPr="00DD196F">
              <w:rPr>
                <w:rFonts w:ascii="Times New Roman" w:eastAsia="Times New Roman" w:hAnsi="Times New Roman" w:cs="Times New Roman"/>
                <w:sz w:val="19"/>
                <w:lang w:val="sq-AL"/>
              </w:rPr>
              <w:t>Paradisë</w:t>
            </w:r>
          </w:p>
        </w:tc>
        <w:tc>
          <w:tcPr>
            <w:tcW w:w="1269"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77</w:t>
            </w:r>
          </w:p>
        </w:tc>
        <w:tc>
          <w:tcPr>
            <w:tcW w:w="1269"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35</w:t>
            </w:r>
          </w:p>
        </w:tc>
        <w:tc>
          <w:tcPr>
            <w:tcW w:w="1104" w:type="dxa"/>
            <w:shd w:val="clear" w:color="auto" w:fill="FFFFFF" w:themeFill="background1"/>
            <w:vAlign w:val="bottom"/>
          </w:tcPr>
          <w:p w:rsidR="00DD196F" w:rsidRPr="00DD196F" w:rsidRDefault="00DD196F" w:rsidP="00DD196F">
            <w:pPr>
              <w:spacing w:after="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A</w:t>
            </w:r>
          </w:p>
        </w:tc>
        <w:tc>
          <w:tcPr>
            <w:tcW w:w="1905"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DD196F" w:rsidRPr="00DD196F" w:rsidTr="002D7C3E">
        <w:trPr>
          <w:trHeight w:val="246"/>
        </w:trPr>
        <w:tc>
          <w:tcPr>
            <w:tcW w:w="1163" w:type="dxa"/>
          </w:tcPr>
          <w:p w:rsidR="00DD196F" w:rsidRPr="00DD196F" w:rsidRDefault="00DD196F" w:rsidP="00DD196F">
            <w:pPr>
              <w:widowControl w:val="0"/>
              <w:autoSpaceDE w:val="0"/>
              <w:autoSpaceDN w:val="0"/>
              <w:spacing w:after="0" w:line="197" w:lineRule="exact"/>
              <w:ind w:left="470"/>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lastRenderedPageBreak/>
              <w:t>8</w:t>
            </w:r>
          </w:p>
        </w:tc>
        <w:tc>
          <w:tcPr>
            <w:tcW w:w="2310" w:type="dxa"/>
          </w:tcPr>
          <w:p w:rsidR="00DD196F" w:rsidRPr="00DD196F" w:rsidRDefault="00DD196F" w:rsidP="00DD196F">
            <w:pPr>
              <w:widowControl w:val="0"/>
              <w:autoSpaceDE w:val="0"/>
              <w:autoSpaceDN w:val="0"/>
              <w:spacing w:after="0" w:line="197"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Plazhi</w:t>
            </w:r>
            <w:r w:rsidRPr="00DD196F">
              <w:rPr>
                <w:rFonts w:ascii="Times New Roman" w:eastAsia="Times New Roman" w:hAnsi="Times New Roman" w:cs="Times New Roman"/>
                <w:spacing w:val="8"/>
                <w:sz w:val="19"/>
                <w:lang w:val="sq-AL"/>
              </w:rPr>
              <w:t xml:space="preserve"> </w:t>
            </w:r>
            <w:r w:rsidRPr="00DD196F">
              <w:rPr>
                <w:rFonts w:ascii="Times New Roman" w:eastAsia="Times New Roman" w:hAnsi="Times New Roman" w:cs="Times New Roman"/>
                <w:sz w:val="19"/>
                <w:lang w:val="sq-AL"/>
              </w:rPr>
              <w:t>Lame</w:t>
            </w:r>
            <w:r w:rsidRPr="00DD196F">
              <w:rPr>
                <w:rFonts w:ascii="Times New Roman" w:eastAsia="Times New Roman" w:hAnsi="Times New Roman" w:cs="Times New Roman"/>
                <w:spacing w:val="9"/>
                <w:sz w:val="19"/>
                <w:lang w:val="sq-AL"/>
              </w:rPr>
              <w:t xml:space="preserve"> </w:t>
            </w:r>
            <w:r w:rsidRPr="00DD196F">
              <w:rPr>
                <w:rFonts w:ascii="Times New Roman" w:eastAsia="Times New Roman" w:hAnsi="Times New Roman" w:cs="Times New Roman"/>
                <w:sz w:val="19"/>
                <w:lang w:val="sq-AL"/>
              </w:rPr>
              <w:t>Borshi</w:t>
            </w:r>
          </w:p>
        </w:tc>
        <w:tc>
          <w:tcPr>
            <w:tcW w:w="1269" w:type="dxa"/>
          </w:tcPr>
          <w:p w:rsidR="00DD196F" w:rsidRPr="00DD196F" w:rsidRDefault="00DD196F" w:rsidP="00DD196F">
            <w:pPr>
              <w:widowControl w:val="0"/>
              <w:autoSpaceDE w:val="0"/>
              <w:autoSpaceDN w:val="0"/>
              <w:spacing w:after="0" w:line="197"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53</w:t>
            </w:r>
          </w:p>
        </w:tc>
        <w:tc>
          <w:tcPr>
            <w:tcW w:w="1269" w:type="dxa"/>
          </w:tcPr>
          <w:p w:rsidR="00DD196F" w:rsidRPr="00DD196F" w:rsidRDefault="00DD196F" w:rsidP="00DD196F">
            <w:pPr>
              <w:widowControl w:val="0"/>
              <w:autoSpaceDE w:val="0"/>
              <w:autoSpaceDN w:val="0"/>
              <w:spacing w:after="0" w:line="197"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33</w:t>
            </w:r>
          </w:p>
        </w:tc>
        <w:tc>
          <w:tcPr>
            <w:tcW w:w="1104" w:type="dxa"/>
            <w:shd w:val="clear" w:color="auto" w:fill="FFFFFF" w:themeFill="background1"/>
            <w:vAlign w:val="bottom"/>
          </w:tcPr>
          <w:p w:rsidR="00DD196F" w:rsidRPr="00DD196F" w:rsidRDefault="00DD196F" w:rsidP="00DD196F">
            <w:pPr>
              <w:spacing w:after="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A</w:t>
            </w:r>
          </w:p>
        </w:tc>
        <w:tc>
          <w:tcPr>
            <w:tcW w:w="1905"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DD196F" w:rsidRPr="00DD196F" w:rsidTr="002D7C3E">
        <w:trPr>
          <w:trHeight w:val="247"/>
        </w:trPr>
        <w:tc>
          <w:tcPr>
            <w:tcW w:w="1163" w:type="dxa"/>
          </w:tcPr>
          <w:p w:rsidR="00DD196F" w:rsidRPr="00DD196F" w:rsidRDefault="00DD196F" w:rsidP="00DD196F">
            <w:pPr>
              <w:widowControl w:val="0"/>
              <w:autoSpaceDE w:val="0"/>
              <w:autoSpaceDN w:val="0"/>
              <w:spacing w:after="0" w:line="198" w:lineRule="exact"/>
              <w:ind w:left="470"/>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9</w:t>
            </w:r>
          </w:p>
        </w:tc>
        <w:tc>
          <w:tcPr>
            <w:tcW w:w="2310" w:type="dxa"/>
          </w:tcPr>
          <w:p w:rsidR="00DD196F" w:rsidRPr="00DD196F" w:rsidRDefault="00DD196F" w:rsidP="00DD196F">
            <w:pPr>
              <w:widowControl w:val="0"/>
              <w:autoSpaceDE w:val="0"/>
              <w:autoSpaceDN w:val="0"/>
              <w:spacing w:after="0" w:line="198"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Radhimë,</w:t>
            </w:r>
            <w:r w:rsidRPr="00DD196F">
              <w:rPr>
                <w:rFonts w:ascii="Times New Roman" w:eastAsia="Times New Roman" w:hAnsi="Times New Roman" w:cs="Times New Roman"/>
                <w:spacing w:val="10"/>
                <w:sz w:val="19"/>
                <w:lang w:val="sq-AL"/>
              </w:rPr>
              <w:t xml:space="preserve"> </w:t>
            </w:r>
            <w:r w:rsidRPr="00DD196F">
              <w:rPr>
                <w:rFonts w:ascii="Times New Roman" w:eastAsia="Times New Roman" w:hAnsi="Times New Roman" w:cs="Times New Roman"/>
                <w:sz w:val="19"/>
                <w:lang w:val="sq-AL"/>
              </w:rPr>
              <w:t>Hotel</w:t>
            </w:r>
            <w:r w:rsidRPr="00DD196F">
              <w:rPr>
                <w:rFonts w:ascii="Times New Roman" w:eastAsia="Times New Roman" w:hAnsi="Times New Roman" w:cs="Times New Roman"/>
                <w:spacing w:val="11"/>
                <w:sz w:val="19"/>
                <w:lang w:val="sq-AL"/>
              </w:rPr>
              <w:t xml:space="preserve"> </w:t>
            </w:r>
            <w:r w:rsidRPr="00DD196F">
              <w:rPr>
                <w:rFonts w:ascii="Times New Roman" w:eastAsia="Times New Roman" w:hAnsi="Times New Roman" w:cs="Times New Roman"/>
                <w:sz w:val="19"/>
                <w:lang w:val="sq-AL"/>
              </w:rPr>
              <w:t>Grand</w:t>
            </w:r>
          </w:p>
        </w:tc>
        <w:tc>
          <w:tcPr>
            <w:tcW w:w="1269"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74</w:t>
            </w:r>
          </w:p>
        </w:tc>
        <w:tc>
          <w:tcPr>
            <w:tcW w:w="1269"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125</w:t>
            </w:r>
          </w:p>
        </w:tc>
        <w:tc>
          <w:tcPr>
            <w:tcW w:w="1104" w:type="dxa"/>
            <w:shd w:val="clear" w:color="auto" w:fill="FFFFFF" w:themeFill="background1"/>
            <w:vAlign w:val="bottom"/>
          </w:tcPr>
          <w:p w:rsidR="00DD196F" w:rsidRPr="00DD196F" w:rsidRDefault="00DD196F" w:rsidP="00DD196F">
            <w:pPr>
              <w:spacing w:after="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B</w:t>
            </w:r>
          </w:p>
        </w:tc>
        <w:tc>
          <w:tcPr>
            <w:tcW w:w="1905"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DD196F" w:rsidRPr="00DD196F" w:rsidTr="002D7C3E">
        <w:trPr>
          <w:trHeight w:val="248"/>
        </w:trPr>
        <w:tc>
          <w:tcPr>
            <w:tcW w:w="1163" w:type="dxa"/>
          </w:tcPr>
          <w:p w:rsidR="00DD196F" w:rsidRPr="00DD196F" w:rsidRDefault="00DD196F" w:rsidP="00DD196F">
            <w:pPr>
              <w:widowControl w:val="0"/>
              <w:autoSpaceDE w:val="0"/>
              <w:autoSpaceDN w:val="0"/>
              <w:spacing w:after="0" w:line="199" w:lineRule="exact"/>
              <w:ind w:left="422"/>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10</w:t>
            </w:r>
          </w:p>
        </w:tc>
        <w:tc>
          <w:tcPr>
            <w:tcW w:w="2310" w:type="dxa"/>
          </w:tcPr>
          <w:p w:rsidR="00DD196F" w:rsidRPr="00DD196F" w:rsidRDefault="00DD196F" w:rsidP="00DD196F">
            <w:pPr>
              <w:widowControl w:val="0"/>
              <w:autoSpaceDE w:val="0"/>
              <w:autoSpaceDN w:val="0"/>
              <w:spacing w:after="0" w:line="199"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Lokali</w:t>
            </w:r>
            <w:r w:rsidRPr="00DD196F">
              <w:rPr>
                <w:rFonts w:ascii="Times New Roman" w:eastAsia="Times New Roman" w:hAnsi="Times New Roman" w:cs="Times New Roman"/>
                <w:spacing w:val="6"/>
                <w:sz w:val="19"/>
                <w:lang w:val="sq-AL"/>
              </w:rPr>
              <w:t xml:space="preserve"> </w:t>
            </w:r>
            <w:r w:rsidRPr="00DD196F">
              <w:rPr>
                <w:rFonts w:ascii="Times New Roman" w:eastAsia="Times New Roman" w:hAnsi="Times New Roman" w:cs="Times New Roman"/>
                <w:sz w:val="19"/>
                <w:lang w:val="sq-AL"/>
              </w:rPr>
              <w:t>Boja</w:t>
            </w:r>
            <w:r w:rsidRPr="00DD196F">
              <w:rPr>
                <w:rFonts w:ascii="Times New Roman" w:eastAsia="Times New Roman" w:hAnsi="Times New Roman" w:cs="Times New Roman"/>
                <w:spacing w:val="6"/>
                <w:sz w:val="19"/>
                <w:lang w:val="sq-AL"/>
              </w:rPr>
              <w:t xml:space="preserve"> </w:t>
            </w:r>
            <w:r w:rsidRPr="00DD196F">
              <w:rPr>
                <w:rFonts w:ascii="Times New Roman" w:eastAsia="Times New Roman" w:hAnsi="Times New Roman" w:cs="Times New Roman"/>
                <w:sz w:val="19"/>
                <w:lang w:val="sq-AL"/>
              </w:rPr>
              <w:t>1</w:t>
            </w:r>
          </w:p>
        </w:tc>
        <w:tc>
          <w:tcPr>
            <w:tcW w:w="1269" w:type="dxa"/>
          </w:tcPr>
          <w:p w:rsidR="00DD196F" w:rsidRPr="00DD196F" w:rsidRDefault="00DD196F" w:rsidP="00DD196F">
            <w:pPr>
              <w:widowControl w:val="0"/>
              <w:autoSpaceDE w:val="0"/>
              <w:autoSpaceDN w:val="0"/>
              <w:spacing w:after="0" w:line="19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176</w:t>
            </w:r>
          </w:p>
        </w:tc>
        <w:tc>
          <w:tcPr>
            <w:tcW w:w="1269" w:type="dxa"/>
          </w:tcPr>
          <w:p w:rsidR="00DD196F" w:rsidRPr="00DD196F" w:rsidRDefault="00DD196F" w:rsidP="00DD196F">
            <w:pPr>
              <w:widowControl w:val="0"/>
              <w:autoSpaceDE w:val="0"/>
              <w:autoSpaceDN w:val="0"/>
              <w:spacing w:after="0" w:line="19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313</w:t>
            </w:r>
          </w:p>
        </w:tc>
        <w:tc>
          <w:tcPr>
            <w:tcW w:w="1104" w:type="dxa"/>
            <w:shd w:val="clear" w:color="auto" w:fill="FFFFFF" w:themeFill="background1"/>
            <w:vAlign w:val="bottom"/>
          </w:tcPr>
          <w:p w:rsidR="00DD196F" w:rsidRPr="00DD196F" w:rsidRDefault="00DD196F" w:rsidP="00DD196F">
            <w:pPr>
              <w:spacing w:after="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D</w:t>
            </w:r>
          </w:p>
        </w:tc>
        <w:tc>
          <w:tcPr>
            <w:tcW w:w="1905"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bl>
    <w:p w:rsidR="00DD196F" w:rsidRPr="00DD196F" w:rsidRDefault="00DD196F" w:rsidP="00DD196F">
      <w:pPr>
        <w:spacing w:after="200" w:line="288" w:lineRule="auto"/>
        <w:rPr>
          <w:rFonts w:ascii="Times New Roman" w:eastAsiaTheme="minorEastAsia" w:hAnsi="Times New Roman" w:cs="Times New Roman"/>
          <w:sz w:val="24"/>
          <w:szCs w:val="24"/>
        </w:rPr>
      </w:pPr>
    </w:p>
    <w:p w:rsidR="00DD196F" w:rsidRPr="00DD196F" w:rsidRDefault="00DD196F" w:rsidP="00DD196F">
      <w:pPr>
        <w:spacing w:after="200" w:line="288" w:lineRule="auto"/>
        <w:rPr>
          <w:rFonts w:ascii="Times New Roman" w:eastAsiaTheme="minorEastAsia" w:hAnsi="Times New Roman" w:cs="Times New Roman"/>
          <w:sz w:val="24"/>
          <w:szCs w:val="24"/>
        </w:rPr>
      </w:pPr>
      <w:r w:rsidRPr="00DD196F">
        <w:rPr>
          <w:rFonts w:ascii="Times New Roman" w:eastAsiaTheme="minorEastAsia" w:hAnsi="Times New Roman" w:cs="Times New Roman"/>
          <w:noProof/>
          <w:sz w:val="24"/>
          <w:szCs w:val="24"/>
        </w:rPr>
        <mc:AlternateContent>
          <mc:Choice Requires="wps">
            <w:drawing>
              <wp:anchor distT="0" distB="0" distL="114300" distR="114300" simplePos="0" relativeHeight="251634176" behindDoc="0" locked="0" layoutInCell="1" allowOverlap="1" wp14:anchorId="0DFC715E" wp14:editId="2895EB9B">
                <wp:simplePos x="0" y="0"/>
                <wp:positionH relativeFrom="column">
                  <wp:posOffset>3000375</wp:posOffset>
                </wp:positionH>
                <wp:positionV relativeFrom="paragraph">
                  <wp:posOffset>15241</wp:posOffset>
                </wp:positionV>
                <wp:extent cx="3086100" cy="2533650"/>
                <wp:effectExtent l="0" t="0" r="19050" b="19050"/>
                <wp:wrapNone/>
                <wp:docPr id="44" name="Rectangle 44"/>
                <wp:cNvGraphicFramePr/>
                <a:graphic xmlns:a="http://schemas.openxmlformats.org/drawingml/2006/main">
                  <a:graphicData uri="http://schemas.microsoft.com/office/word/2010/wordprocessingShape">
                    <wps:wsp>
                      <wps:cNvSpPr/>
                      <wps:spPr>
                        <a:xfrm>
                          <a:off x="0" y="0"/>
                          <a:ext cx="3086100" cy="2533650"/>
                        </a:xfrm>
                        <a:prstGeom prst="rect">
                          <a:avLst/>
                        </a:prstGeom>
                        <a:solidFill>
                          <a:sysClr val="window" lastClr="FFFFFF"/>
                        </a:solidFill>
                        <a:ln w="12700" cap="flat" cmpd="sng" algn="ctr">
                          <a:solidFill>
                            <a:srgbClr val="70AD47"/>
                          </a:solidFill>
                          <a:prstDash val="solid"/>
                          <a:miter lim="800000"/>
                        </a:ln>
                        <a:effectLst/>
                      </wps:spPr>
                      <wps:txbx>
                        <w:txbxContent>
                          <w:p w:rsidR="0064059F" w:rsidRPr="008B535C" w:rsidRDefault="0064059F" w:rsidP="0017692F">
                            <w:pPr>
                              <w:jc w:val="both"/>
                              <w:rPr>
                                <w:rFonts w:ascii="Times New Roman" w:hAnsi="Times New Roman" w:cs="Times New Roman"/>
                                <w:sz w:val="24"/>
                                <w:szCs w:val="24"/>
                              </w:rPr>
                            </w:pPr>
                            <w:r w:rsidRPr="008B535C">
                              <w:rPr>
                                <w:rFonts w:ascii="Times New Roman" w:hAnsi="Times New Roman" w:cs="Times New Roman"/>
                                <w:sz w:val="24"/>
                                <w:szCs w:val="24"/>
                              </w:rPr>
                              <w:t>Për plazhin e Vlorë, për vitin 2025 kemi rritje të numrit të sta</w:t>
                            </w:r>
                            <w:r>
                              <w:rPr>
                                <w:rFonts w:ascii="Times New Roman" w:hAnsi="Times New Roman" w:cs="Times New Roman"/>
                                <w:sz w:val="24"/>
                                <w:szCs w:val="24"/>
                              </w:rPr>
                              <w:t>cione të kategorisë A-Cilësi e s</w:t>
                            </w:r>
                            <w:r w:rsidRPr="008B535C">
                              <w:rPr>
                                <w:rFonts w:ascii="Times New Roman" w:hAnsi="Times New Roman" w:cs="Times New Roman"/>
                                <w:sz w:val="24"/>
                                <w:szCs w:val="24"/>
                              </w:rPr>
                              <w:t>hkëlqyer e ujërave krahasuar me vitin 2024 , të barabarte me vitin 2023 dhe ulje krahasuar me 2020-2022. Kemi rritje të stacioneve të kategorisë B</w:t>
                            </w:r>
                            <w:r>
                              <w:rPr>
                                <w:rFonts w:ascii="Times New Roman" w:hAnsi="Times New Roman" w:cs="Times New Roman"/>
                                <w:sz w:val="24"/>
                                <w:szCs w:val="24"/>
                              </w:rPr>
                              <w:t>,</w:t>
                            </w:r>
                            <w:r w:rsidRPr="008B535C">
                              <w:rPr>
                                <w:rFonts w:ascii="Times New Roman" w:hAnsi="Times New Roman" w:cs="Times New Roman"/>
                                <w:sz w:val="24"/>
                                <w:szCs w:val="24"/>
                              </w:rPr>
                              <w:t xml:space="preserve"> krahasuar me 2021-2024 dhe e barabartë me 2020.</w:t>
                            </w:r>
                            <w:r>
                              <w:rPr>
                                <w:rFonts w:ascii="Times New Roman" w:hAnsi="Times New Roman" w:cs="Times New Roman"/>
                                <w:sz w:val="24"/>
                                <w:szCs w:val="24"/>
                              </w:rPr>
                              <w:t xml:space="preserve"> </w:t>
                            </w:r>
                            <w:r w:rsidRPr="008B535C">
                              <w:rPr>
                                <w:rFonts w:ascii="Times New Roman" w:hAnsi="Times New Roman" w:cs="Times New Roman"/>
                                <w:sz w:val="24"/>
                                <w:szCs w:val="24"/>
                              </w:rPr>
                              <w:t>Kemi ulje  të nu</w:t>
                            </w:r>
                            <w:r>
                              <w:rPr>
                                <w:rFonts w:ascii="Times New Roman" w:hAnsi="Times New Roman" w:cs="Times New Roman"/>
                                <w:sz w:val="24"/>
                                <w:szCs w:val="24"/>
                              </w:rPr>
                              <w:t>mrit të stacioneve të kategoris</w:t>
                            </w:r>
                            <w:r w:rsidRPr="008B535C">
                              <w:rPr>
                                <w:rFonts w:ascii="Times New Roman" w:hAnsi="Times New Roman" w:cs="Times New Roman"/>
                                <w:sz w:val="24"/>
                                <w:szCs w:val="24"/>
                              </w:rPr>
                              <w:t>ë</w:t>
                            </w:r>
                            <w:r>
                              <w:rPr>
                                <w:rFonts w:ascii="Times New Roman" w:hAnsi="Times New Roman" w:cs="Times New Roman"/>
                                <w:sz w:val="24"/>
                                <w:szCs w:val="24"/>
                              </w:rPr>
                              <w:t xml:space="preserve"> </w:t>
                            </w:r>
                            <w:r w:rsidRPr="008B535C">
                              <w:rPr>
                                <w:rFonts w:ascii="Times New Roman" w:hAnsi="Times New Roman" w:cs="Times New Roman"/>
                                <w:sz w:val="24"/>
                                <w:szCs w:val="24"/>
                              </w:rPr>
                              <w:t>C-Cilësi e mjaftueshme dhe D-Cilësi e keqe/Masa te menjëhershme krahasuar me vitet 2023-2024</w:t>
                            </w:r>
                          </w:p>
                          <w:p w:rsidR="0064059F" w:rsidRDefault="0064059F" w:rsidP="00DD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FC715E" id="Rectangle 44" o:spid="_x0000_s1095" style="position:absolute;margin-left:236.25pt;margin-top:1.2pt;width:243pt;height:199.5pt;z-index:251634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" fillcolor="window" strokecolor="#70ad47" strokeweight="1pt">
                <v:textbox>
                  <w:txbxContent>
                    <w:p w:rsidR="0064059F" w:rsidRPr="008B535C" w:rsidRDefault="0064059F" w:rsidP="0017692F">
                      <w:pPr>
                        <w:jc w:val="both"/>
                        <w:rPr>
                          <w:rFonts w:ascii="Times New Roman" w:hAnsi="Times New Roman" w:cs="Times New Roman"/>
                          <w:sz w:val="24"/>
                          <w:szCs w:val="24"/>
                        </w:rPr>
                      </w:pPr>
                      <w:r w:rsidRPr="008B535C">
                        <w:rPr>
                          <w:rFonts w:ascii="Times New Roman" w:hAnsi="Times New Roman" w:cs="Times New Roman"/>
                          <w:sz w:val="24"/>
                          <w:szCs w:val="24"/>
                        </w:rPr>
                        <w:t>Për plazhin e Vlorë, për vitin 2025 kemi rritje të numrit të sta</w:t>
                      </w:r>
                      <w:r>
                        <w:rPr>
                          <w:rFonts w:ascii="Times New Roman" w:hAnsi="Times New Roman" w:cs="Times New Roman"/>
                          <w:sz w:val="24"/>
                          <w:szCs w:val="24"/>
                        </w:rPr>
                        <w:t>cione të kategorisë A-Cilësi e s</w:t>
                      </w:r>
                      <w:r w:rsidRPr="008B535C">
                        <w:rPr>
                          <w:rFonts w:ascii="Times New Roman" w:hAnsi="Times New Roman" w:cs="Times New Roman"/>
                          <w:sz w:val="24"/>
                          <w:szCs w:val="24"/>
                        </w:rPr>
                        <w:t>hkëlqyer e ujërave krahasuar me vitin 2024 , të barabarte me vitin 2023 dhe ulje krahasuar me 2020-2022. Kemi rritje të stacioneve të kategorisë B</w:t>
                      </w:r>
                      <w:r>
                        <w:rPr>
                          <w:rFonts w:ascii="Times New Roman" w:hAnsi="Times New Roman" w:cs="Times New Roman"/>
                          <w:sz w:val="24"/>
                          <w:szCs w:val="24"/>
                        </w:rPr>
                        <w:t>,</w:t>
                      </w:r>
                      <w:r w:rsidRPr="008B535C">
                        <w:rPr>
                          <w:rFonts w:ascii="Times New Roman" w:hAnsi="Times New Roman" w:cs="Times New Roman"/>
                          <w:sz w:val="24"/>
                          <w:szCs w:val="24"/>
                        </w:rPr>
                        <w:t xml:space="preserve"> krahasuar me 2021-2024 dhe e barabartë me 2020.</w:t>
                      </w:r>
                      <w:r>
                        <w:rPr>
                          <w:rFonts w:ascii="Times New Roman" w:hAnsi="Times New Roman" w:cs="Times New Roman"/>
                          <w:sz w:val="24"/>
                          <w:szCs w:val="24"/>
                        </w:rPr>
                        <w:t xml:space="preserve"> </w:t>
                      </w:r>
                      <w:r w:rsidRPr="008B535C">
                        <w:rPr>
                          <w:rFonts w:ascii="Times New Roman" w:hAnsi="Times New Roman" w:cs="Times New Roman"/>
                          <w:sz w:val="24"/>
                          <w:szCs w:val="24"/>
                        </w:rPr>
                        <w:t>Kemi ulje  të nu</w:t>
                      </w:r>
                      <w:r>
                        <w:rPr>
                          <w:rFonts w:ascii="Times New Roman" w:hAnsi="Times New Roman" w:cs="Times New Roman"/>
                          <w:sz w:val="24"/>
                          <w:szCs w:val="24"/>
                        </w:rPr>
                        <w:t>mrit të stacioneve të kategoris</w:t>
                      </w:r>
                      <w:r w:rsidRPr="008B535C">
                        <w:rPr>
                          <w:rFonts w:ascii="Times New Roman" w:hAnsi="Times New Roman" w:cs="Times New Roman"/>
                          <w:sz w:val="24"/>
                          <w:szCs w:val="24"/>
                        </w:rPr>
                        <w:t>ë</w:t>
                      </w:r>
                      <w:r>
                        <w:rPr>
                          <w:rFonts w:ascii="Times New Roman" w:hAnsi="Times New Roman" w:cs="Times New Roman"/>
                          <w:sz w:val="24"/>
                          <w:szCs w:val="24"/>
                        </w:rPr>
                        <w:t xml:space="preserve"> </w:t>
                      </w:r>
                      <w:r w:rsidRPr="008B535C">
                        <w:rPr>
                          <w:rFonts w:ascii="Times New Roman" w:hAnsi="Times New Roman" w:cs="Times New Roman"/>
                          <w:sz w:val="24"/>
                          <w:szCs w:val="24"/>
                        </w:rPr>
                        <w:t>C-Cilësi e mjaftueshme dhe D-Cilësi e keqe/Masa te menjëhershme krahasuar me vitet 2023-2024</w:t>
                      </w:r>
                    </w:p>
                    <w:p w:rsidR="0064059F" w:rsidRDefault="0064059F" w:rsidP="00DD196F">
                      <w:pPr>
                        <w:jc w:val="center"/>
                      </w:pPr>
                    </w:p>
                  </w:txbxContent>
                </v:textbox>
              </v:rect>
            </w:pict>
          </mc:Fallback>
        </mc:AlternateContent>
      </w:r>
      <w:r w:rsidRPr="00DD196F">
        <w:rPr>
          <w:rFonts w:ascii="Times New Roman" w:eastAsiaTheme="minorEastAsia" w:hAnsi="Times New Roman" w:cs="Times New Roman"/>
          <w:noProof/>
          <w:sz w:val="24"/>
          <w:szCs w:val="24"/>
        </w:rPr>
        <w:drawing>
          <wp:inline distT="0" distB="0" distL="0" distR="0" wp14:anchorId="1A7C6597" wp14:editId="315201E3">
            <wp:extent cx="2707005" cy="251206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707005" cy="2512060"/>
                    </a:xfrm>
                    <a:prstGeom prst="rect">
                      <a:avLst/>
                    </a:prstGeom>
                    <a:noFill/>
                  </pic:spPr>
                </pic:pic>
              </a:graphicData>
            </a:graphic>
          </wp:inline>
        </w:drawing>
      </w:r>
    </w:p>
    <w:p w:rsidR="0017692F" w:rsidRDefault="0017692F" w:rsidP="00DD196F">
      <w:pPr>
        <w:spacing w:after="0" w:line="276" w:lineRule="auto"/>
        <w:jc w:val="both"/>
        <w:rPr>
          <w:rFonts w:ascii="Times New Roman" w:eastAsia="Calibri" w:hAnsi="Times New Roman" w:cs="Times New Roman"/>
          <w:sz w:val="24"/>
          <w:szCs w:val="24"/>
          <w:lang w:val="sq-AL"/>
        </w:rPr>
      </w:pPr>
    </w:p>
    <w:p w:rsidR="00014E30" w:rsidRDefault="00DD196F" w:rsidP="0017692F">
      <w:pPr>
        <w:spacing w:after="0" w:line="240" w:lineRule="auto"/>
        <w:jc w:val="both"/>
        <w:rPr>
          <w:rFonts w:ascii="Times New Roman" w:eastAsia="Times New Roman" w:hAnsi="Times New Roman" w:cs="Times New Roman"/>
          <w:noProof/>
          <w:sz w:val="24"/>
          <w:szCs w:val="24"/>
          <w:lang w:val="sq-AL"/>
        </w:rPr>
      </w:pPr>
      <w:r w:rsidRPr="00DD196F">
        <w:rPr>
          <w:rFonts w:ascii="Times New Roman" w:eastAsia="Calibri" w:hAnsi="Times New Roman" w:cs="Times New Roman"/>
          <w:sz w:val="24"/>
          <w:szCs w:val="24"/>
          <w:lang w:val="sq-AL"/>
        </w:rPr>
        <w:t>PLAZHI I ORIKUMIT</w:t>
      </w:r>
      <w:r w:rsidRPr="00DD196F">
        <w:rPr>
          <w:rFonts w:ascii="Times New Roman" w:eastAsia="Calibri" w:hAnsi="Times New Roman" w:cs="Times New Roman"/>
          <w:b/>
          <w:sz w:val="24"/>
          <w:szCs w:val="24"/>
          <w:lang w:val="sq-AL"/>
        </w:rPr>
        <w:t>:</w:t>
      </w:r>
      <w:r w:rsidRPr="00DD196F">
        <w:rPr>
          <w:rFonts w:ascii="Times New Roman" w:eastAsia="Times New Roman" w:hAnsi="Times New Roman" w:cs="Times New Roman"/>
          <w:color w:val="FF0000"/>
          <w:sz w:val="24"/>
          <w:szCs w:val="24"/>
          <w:lang w:val="sq-AL"/>
        </w:rPr>
        <w:t xml:space="preserve"> </w:t>
      </w:r>
      <w:r w:rsidRPr="00DD196F">
        <w:rPr>
          <w:rFonts w:ascii="Times New Roman" w:eastAsia="Times New Roman" w:hAnsi="Times New Roman" w:cs="Times New Roman"/>
          <w:sz w:val="24"/>
          <w:szCs w:val="24"/>
          <w:lang w:val="sq-AL"/>
        </w:rPr>
        <w:t xml:space="preserve">Gjatë ekspertizës higjeno-sanitare në plazhet e Orikumit u konstatua se në muajin Korrik e Gusht kishte fluks më të shtuar pushuesish. </w:t>
      </w:r>
      <w:r w:rsidRPr="00DD196F">
        <w:rPr>
          <w:rFonts w:ascii="Times New Roman" w:eastAsia="Calibri" w:hAnsi="Times New Roman" w:cs="Times New Roman"/>
          <w:sz w:val="24"/>
          <w:szCs w:val="24"/>
          <w:lang w:val="sq-AL"/>
        </w:rPr>
        <w:t>Plazhet n</w:t>
      </w:r>
      <w:r w:rsidRPr="00DD196F">
        <w:rPr>
          <w:rFonts w:ascii="Times New Roman" w:eastAsia="Times New Roman" w:hAnsi="Times New Roman" w:cs="Times New Roman"/>
          <w:sz w:val="24"/>
          <w:szCs w:val="24"/>
        </w:rPr>
        <w:t>ë</w:t>
      </w:r>
      <w:r w:rsidRPr="00DD196F">
        <w:rPr>
          <w:rFonts w:ascii="Times New Roman" w:eastAsia="Calibri" w:hAnsi="Times New Roman" w:cs="Times New Roman"/>
          <w:sz w:val="24"/>
          <w:szCs w:val="24"/>
          <w:lang w:val="sq-AL"/>
        </w:rPr>
        <w:t xml:space="preserve"> 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rgjith</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si jan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t</w:t>
      </w:r>
      <w:r w:rsidRPr="00DD196F">
        <w:rPr>
          <w:rFonts w:ascii="Times New Roman" w:eastAsia="Times New Roman" w:hAnsi="Times New Roman" w:cs="Times New Roman"/>
          <w:sz w:val="24"/>
          <w:szCs w:val="24"/>
        </w:rPr>
        <w:t>ë</w:t>
      </w:r>
      <w:r w:rsidRPr="00DD196F">
        <w:rPr>
          <w:rFonts w:ascii="Times New Roman" w:eastAsia="Calibri" w:hAnsi="Times New Roman" w:cs="Times New Roman"/>
          <w:sz w:val="24"/>
          <w:szCs w:val="24"/>
          <w:lang w:val="sq-AL"/>
        </w:rPr>
        <w:t xml:space="preserve"> sistemuar. </w:t>
      </w:r>
      <w:r w:rsidRPr="00DD196F">
        <w:rPr>
          <w:rFonts w:ascii="Times New Roman" w:eastAsia="Times New Roman" w:hAnsi="Times New Roman" w:cs="Times New Roman"/>
          <w:sz w:val="24"/>
          <w:szCs w:val="24"/>
          <w:lang w:val="sq-AL"/>
        </w:rPr>
        <w:t>P</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sq-AL"/>
        </w:rPr>
        <w:t>rgjith</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sq-AL"/>
        </w:rPr>
        <w:t xml:space="preserve">sisht u konstatua prezenca e </w:t>
      </w:r>
      <w:r w:rsidRPr="00DD196F">
        <w:rPr>
          <w:rFonts w:ascii="Times New Roman" w:eastAsia="Calibri" w:hAnsi="Times New Roman" w:cs="Times New Roman"/>
          <w:sz w:val="24"/>
          <w:szCs w:val="24"/>
          <w:lang w:val="sq-AL"/>
        </w:rPr>
        <w:t xml:space="preserve">dusheve, </w:t>
      </w:r>
      <w:r w:rsidRPr="00DD196F">
        <w:rPr>
          <w:rFonts w:ascii="Times New Roman" w:eastAsia="Times New Roman" w:hAnsi="Times New Roman" w:cs="Times New Roman"/>
          <w:sz w:val="24"/>
          <w:szCs w:val="24"/>
          <w:lang w:val="sq-AL"/>
        </w:rPr>
        <w:t>koshave t</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sq-AL"/>
        </w:rPr>
        <w:t xml:space="preserve"> mbeturinave dhe kullave të vrojtimit dhe </w:t>
      </w:r>
      <w:r w:rsidRPr="00DD196F">
        <w:rPr>
          <w:rFonts w:ascii="Times New Roman" w:eastAsia="Calibri" w:hAnsi="Times New Roman" w:cs="Times New Roman"/>
          <w:noProof/>
          <w:sz w:val="24"/>
          <w:szCs w:val="24"/>
          <w:lang w:val="sq-AL"/>
        </w:rPr>
        <w:t>prezenc</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noProof/>
          <w:sz w:val="24"/>
          <w:szCs w:val="24"/>
          <w:lang w:val="sq-AL"/>
        </w:rPr>
        <w:t xml:space="preserve"> e afishimit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noProof/>
          <w:sz w:val="24"/>
          <w:szCs w:val="24"/>
          <w:lang w:val="sq-AL"/>
        </w:rPr>
        <w:t xml:space="preserve"> rregullave 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noProof/>
          <w:sz w:val="24"/>
          <w:szCs w:val="24"/>
          <w:lang w:val="sq-AL"/>
        </w:rPr>
        <w:t>r zbatim nga pushuesit.</w:t>
      </w:r>
      <w:r w:rsidRPr="00DD196F">
        <w:rPr>
          <w:rFonts w:ascii="Calibri" w:eastAsia="Calibri" w:hAnsi="Calibri" w:cs="Times New Roman"/>
          <w:noProof/>
          <w:sz w:val="24"/>
          <w:szCs w:val="24"/>
          <w:lang w:val="sq-AL"/>
        </w:rPr>
        <w:t xml:space="preserve"> </w:t>
      </w:r>
      <w:r w:rsidRPr="00DD196F">
        <w:rPr>
          <w:rFonts w:ascii="Times New Roman" w:eastAsia="Times New Roman" w:hAnsi="Times New Roman" w:cs="Times New Roman"/>
          <w:sz w:val="24"/>
          <w:szCs w:val="24"/>
          <w:lang w:val="sq-AL"/>
        </w:rPr>
        <w:t>N</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sq-AL"/>
        </w:rPr>
        <w:t xml:space="preserve"> disa zona prezenc</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sq-AL"/>
        </w:rPr>
        <w:t xml:space="preserve"> t</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sq-AL"/>
        </w:rPr>
        <w:t xml:space="preserve"> leshterik</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sq-AL"/>
        </w:rPr>
        <w:t>ve n</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sq-AL"/>
        </w:rPr>
        <w:t xml:space="preserve"> breg. </w:t>
      </w:r>
      <w:r w:rsidRPr="00DD196F">
        <w:rPr>
          <w:rFonts w:ascii="Times New Roman" w:eastAsia="Times New Roman" w:hAnsi="Times New Roman" w:cs="Times New Roman"/>
          <w:sz w:val="24"/>
          <w:szCs w:val="24"/>
          <w:lang w:val="hr-HR"/>
        </w:rPr>
        <w:t>Pothuajse n</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 xml:space="preserve"> mes t</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 xml:space="preserve"> vij</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s bregdetare t</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 xml:space="preserve"> plazhit t</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 xml:space="preserve"> Orikumit derdhet nj</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 xml:space="preserve"> kanal i madh me uj</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ra sip</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rfaq</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sor</w:t>
      </w:r>
      <w:r w:rsidRPr="00DD196F">
        <w:rPr>
          <w:rFonts w:ascii="Times New Roman" w:eastAsia="Times New Roman" w:hAnsi="Times New Roman" w:cs="Times New Roman"/>
          <w:sz w:val="24"/>
          <w:szCs w:val="24"/>
          <w:lang w:val="fi-FI"/>
        </w:rPr>
        <w:t xml:space="preserve">ë. </w:t>
      </w:r>
      <w:r w:rsidRPr="00DD196F">
        <w:rPr>
          <w:rFonts w:ascii="Times New Roman" w:eastAsia="Times New Roman" w:hAnsi="Times New Roman" w:cs="Times New Roman"/>
          <w:noProof/>
          <w:sz w:val="24"/>
          <w:szCs w:val="24"/>
          <w:lang w:val="sq-AL"/>
        </w:rPr>
        <w:t xml:space="preserve">Nevojat sanitare për tualete pushuesit i përmbushin pranë subjekteve private për shkak të pozicionimit të këtyre plazheve pranë subjekteve. </w:t>
      </w:r>
    </w:p>
    <w:p w:rsidR="00014E30" w:rsidRPr="00DD196F" w:rsidRDefault="00014E30" w:rsidP="00DD196F">
      <w:pPr>
        <w:spacing w:after="0" w:line="276" w:lineRule="auto"/>
        <w:jc w:val="both"/>
        <w:rPr>
          <w:rFonts w:ascii="Times New Roman" w:eastAsia="Times New Roman" w:hAnsi="Times New Roman" w:cs="Times New Roman"/>
          <w:sz w:val="24"/>
          <w:szCs w:val="24"/>
          <w:lang w:val="sq-AL"/>
        </w:rPr>
      </w:pPr>
    </w:p>
    <w:p w:rsidR="00DD196F" w:rsidRPr="00DD196F" w:rsidRDefault="0017692F" w:rsidP="00DD196F">
      <w:pPr>
        <w:spacing w:after="200" w:line="288"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●Plazhi i</w:t>
      </w:r>
      <w:r w:rsidR="00DD196F" w:rsidRPr="00DD196F">
        <w:rPr>
          <w:rFonts w:ascii="Times New Roman" w:eastAsiaTheme="minorEastAsia" w:hAnsi="Times New Roman" w:cs="Times New Roman"/>
          <w:sz w:val="24"/>
          <w:szCs w:val="24"/>
        </w:rPr>
        <w:t xml:space="preserve"> Orikumit</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28"/>
        <w:gridCol w:w="2538"/>
        <w:gridCol w:w="1190"/>
        <w:gridCol w:w="1267"/>
        <w:gridCol w:w="1267"/>
        <w:gridCol w:w="1090"/>
        <w:gridCol w:w="1489"/>
      </w:tblGrid>
      <w:tr w:rsidR="00854864" w:rsidTr="00854864">
        <w:trPr>
          <w:trHeight w:val="725"/>
        </w:trPr>
        <w:tc>
          <w:tcPr>
            <w:tcW w:w="1328" w:type="dxa"/>
            <w:shd w:val="clear" w:color="auto" w:fill="E1EED9"/>
          </w:tcPr>
          <w:p w:rsidR="00854864" w:rsidRPr="00DD196F" w:rsidRDefault="00854864" w:rsidP="00DD196F">
            <w:pPr>
              <w:widowControl w:val="0"/>
              <w:autoSpaceDE w:val="0"/>
              <w:autoSpaceDN w:val="0"/>
              <w:spacing w:before="41" w:after="0" w:line="240" w:lineRule="auto"/>
              <w:ind w:left="149" w:right="151"/>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Nr.</w:t>
            </w:r>
          </w:p>
          <w:p w:rsidR="00854864" w:rsidRPr="00DD196F" w:rsidRDefault="00854864" w:rsidP="00DD196F">
            <w:pPr>
              <w:widowControl w:val="0"/>
              <w:autoSpaceDE w:val="0"/>
              <w:autoSpaceDN w:val="0"/>
              <w:spacing w:before="4" w:after="0" w:line="240" w:lineRule="auto"/>
              <w:ind w:left="150" w:right="151"/>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p>
        </w:tc>
        <w:tc>
          <w:tcPr>
            <w:tcW w:w="2538" w:type="dxa"/>
            <w:shd w:val="clear" w:color="auto" w:fill="E1EED9"/>
          </w:tcPr>
          <w:p w:rsidR="00854864" w:rsidRPr="00DD196F" w:rsidRDefault="00854864" w:rsidP="00DD196F">
            <w:pPr>
              <w:widowControl w:val="0"/>
              <w:autoSpaceDE w:val="0"/>
              <w:autoSpaceDN w:val="0"/>
              <w:spacing w:before="153" w:after="0" w:line="240" w:lineRule="auto"/>
              <w:ind w:left="907" w:right="891"/>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Vendi</w:t>
            </w:r>
          </w:p>
        </w:tc>
        <w:tc>
          <w:tcPr>
            <w:tcW w:w="1190" w:type="dxa"/>
            <w:shd w:val="clear" w:color="auto" w:fill="E1EED9"/>
          </w:tcPr>
          <w:p w:rsidR="00854864" w:rsidRPr="00DD196F" w:rsidRDefault="00854864" w:rsidP="00DD196F">
            <w:pPr>
              <w:widowControl w:val="0"/>
              <w:autoSpaceDE w:val="0"/>
              <w:autoSpaceDN w:val="0"/>
              <w:spacing w:after="0" w:line="212" w:lineRule="exact"/>
              <w:ind w:left="133"/>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FC</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90%</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w:t>
            </w:r>
          </w:p>
          <w:p w:rsidR="00854864" w:rsidRPr="00DD196F" w:rsidRDefault="00854864" w:rsidP="00DD196F">
            <w:pPr>
              <w:widowControl w:val="0"/>
              <w:autoSpaceDE w:val="0"/>
              <w:autoSpaceDN w:val="0"/>
              <w:spacing w:before="4" w:after="0" w:line="240" w:lineRule="auto"/>
              <w:ind w:left="76"/>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250</w:t>
            </w:r>
          </w:p>
        </w:tc>
        <w:tc>
          <w:tcPr>
            <w:tcW w:w="1267" w:type="dxa"/>
            <w:shd w:val="clear" w:color="auto" w:fill="E1EED9"/>
          </w:tcPr>
          <w:p w:rsidR="00854864" w:rsidRPr="00DD196F" w:rsidRDefault="00854864" w:rsidP="00DD196F">
            <w:pPr>
              <w:widowControl w:val="0"/>
              <w:autoSpaceDE w:val="0"/>
              <w:autoSpaceDN w:val="0"/>
              <w:spacing w:after="0" w:line="212" w:lineRule="exact"/>
              <w:ind w:left="194"/>
              <w:rPr>
                <w:rFonts w:ascii="Times New Roman" w:eastAsia="Times New Roman" w:hAnsi="Times New Roman" w:cs="Times New Roman"/>
                <w:b/>
                <w:sz w:val="19"/>
                <w:lang w:val="sq-AL"/>
              </w:rPr>
            </w:pPr>
          </w:p>
        </w:tc>
        <w:tc>
          <w:tcPr>
            <w:tcW w:w="1267" w:type="dxa"/>
            <w:shd w:val="clear" w:color="auto" w:fill="E1EED9"/>
          </w:tcPr>
          <w:p w:rsidR="00854864" w:rsidRPr="00DD196F" w:rsidRDefault="00854864" w:rsidP="00DD196F">
            <w:pPr>
              <w:widowControl w:val="0"/>
              <w:autoSpaceDE w:val="0"/>
              <w:autoSpaceDN w:val="0"/>
              <w:spacing w:after="0" w:line="212" w:lineRule="exact"/>
              <w:ind w:left="194"/>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IE</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95%</w:t>
            </w:r>
            <w:r w:rsidRPr="00DD196F">
              <w:rPr>
                <w:rFonts w:ascii="Times New Roman" w:eastAsia="Times New Roman" w:hAnsi="Times New Roman" w:cs="Times New Roman"/>
                <w:b/>
                <w:spacing w:val="3"/>
                <w:sz w:val="19"/>
                <w:lang w:val="sq-AL"/>
              </w:rPr>
              <w:t xml:space="preserve"> </w:t>
            </w:r>
            <w:r w:rsidRPr="00DD196F">
              <w:rPr>
                <w:rFonts w:ascii="Times New Roman" w:eastAsia="Times New Roman" w:hAnsi="Times New Roman" w:cs="Times New Roman"/>
                <w:b/>
                <w:sz w:val="19"/>
                <w:lang w:val="sq-AL"/>
              </w:rPr>
              <w:t>-</w:t>
            </w:r>
          </w:p>
          <w:p w:rsidR="00854864" w:rsidRPr="00DD196F" w:rsidRDefault="00854864" w:rsidP="00DD196F">
            <w:pPr>
              <w:widowControl w:val="0"/>
              <w:autoSpaceDE w:val="0"/>
              <w:autoSpaceDN w:val="0"/>
              <w:spacing w:before="4" w:after="0" w:line="240" w:lineRule="auto"/>
              <w:ind w:left="110"/>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100</w:t>
            </w:r>
          </w:p>
        </w:tc>
        <w:tc>
          <w:tcPr>
            <w:tcW w:w="1090" w:type="dxa"/>
            <w:shd w:val="clear" w:color="auto" w:fill="E1EED9"/>
          </w:tcPr>
          <w:p w:rsidR="00854864" w:rsidRPr="00DD196F" w:rsidRDefault="00854864" w:rsidP="00DD196F">
            <w:pPr>
              <w:widowControl w:val="0"/>
              <w:autoSpaceDE w:val="0"/>
              <w:autoSpaceDN w:val="0"/>
              <w:spacing w:after="0" w:line="212" w:lineRule="exact"/>
              <w:ind w:left="74"/>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Kategoria</w:t>
            </w:r>
          </w:p>
        </w:tc>
        <w:tc>
          <w:tcPr>
            <w:tcW w:w="1489" w:type="dxa"/>
            <w:shd w:val="clear" w:color="auto" w:fill="E1EED9"/>
          </w:tcPr>
          <w:p w:rsidR="00854864" w:rsidRPr="00DD196F" w:rsidRDefault="00854864" w:rsidP="00DD196F">
            <w:pPr>
              <w:widowControl w:val="0"/>
              <w:autoSpaceDE w:val="0"/>
              <w:autoSpaceDN w:val="0"/>
              <w:spacing w:after="0" w:line="244" w:lineRule="auto"/>
              <w:ind w:left="125" w:firstLine="65"/>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Përqindja</w:t>
            </w:r>
            <w:r w:rsidRPr="00DD196F">
              <w:rPr>
                <w:rFonts w:ascii="Times New Roman" w:eastAsia="Times New Roman" w:hAnsi="Times New Roman" w:cs="Times New Roman"/>
                <w:b/>
                <w:spacing w:val="7"/>
                <w:sz w:val="19"/>
                <w:lang w:val="sq-AL"/>
              </w:rPr>
              <w:t xml:space="preserve"> </w:t>
            </w:r>
            <w:r w:rsidRPr="00DD196F">
              <w:rPr>
                <w:rFonts w:ascii="Times New Roman" w:eastAsia="Times New Roman" w:hAnsi="Times New Roman" w:cs="Times New Roman"/>
                <w:b/>
                <w:sz w:val="19"/>
                <w:lang w:val="sq-AL"/>
              </w:rPr>
              <w:t>e</w:t>
            </w:r>
            <w:r w:rsidRPr="00DD196F">
              <w:rPr>
                <w:rFonts w:ascii="Times New Roman" w:eastAsia="Times New Roman" w:hAnsi="Times New Roman" w:cs="Times New Roman"/>
                <w:b/>
                <w:spacing w:val="1"/>
                <w:sz w:val="19"/>
                <w:lang w:val="sq-AL"/>
              </w:rPr>
              <w:t xml:space="preserve"> </w:t>
            </w:r>
            <w:r w:rsidRPr="00DD196F">
              <w:rPr>
                <w:rFonts w:ascii="Times New Roman" w:eastAsia="Times New Roman" w:hAnsi="Times New Roman" w:cs="Times New Roman"/>
                <w:b/>
                <w:sz w:val="19"/>
                <w:lang w:val="sq-AL"/>
              </w:rPr>
              <w:t>stacioneve</w:t>
            </w:r>
            <w:r w:rsidRPr="00DD196F">
              <w:rPr>
                <w:rFonts w:ascii="Times New Roman" w:eastAsia="Times New Roman" w:hAnsi="Times New Roman" w:cs="Times New Roman"/>
                <w:b/>
                <w:spacing w:val="5"/>
                <w:sz w:val="19"/>
                <w:lang w:val="sq-AL"/>
              </w:rPr>
              <w:t xml:space="preserve"> </w:t>
            </w:r>
            <w:r w:rsidRPr="00DD196F">
              <w:rPr>
                <w:rFonts w:ascii="Times New Roman" w:eastAsia="Times New Roman" w:hAnsi="Times New Roman" w:cs="Times New Roman"/>
                <w:b/>
                <w:sz w:val="19"/>
                <w:lang w:val="sq-AL"/>
              </w:rPr>
              <w:t>%</w:t>
            </w:r>
          </w:p>
        </w:tc>
      </w:tr>
      <w:tr w:rsidR="00854864" w:rsidTr="00854864">
        <w:trPr>
          <w:trHeight w:val="380"/>
        </w:trPr>
        <w:tc>
          <w:tcPr>
            <w:tcW w:w="1328" w:type="dxa"/>
          </w:tcPr>
          <w:p w:rsidR="00854864" w:rsidRPr="00DD196F" w:rsidRDefault="00854864" w:rsidP="00DD196F">
            <w:pPr>
              <w:widowControl w:val="0"/>
              <w:autoSpaceDE w:val="0"/>
              <w:autoSpaceDN w:val="0"/>
              <w:spacing w:before="32" w:after="0" w:line="240" w:lineRule="auto"/>
              <w:ind w:right="1"/>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1</w:t>
            </w:r>
          </w:p>
        </w:tc>
        <w:tc>
          <w:tcPr>
            <w:tcW w:w="2538" w:type="dxa"/>
          </w:tcPr>
          <w:p w:rsidR="00854864" w:rsidRPr="00DD196F" w:rsidRDefault="00854864" w:rsidP="00DD196F">
            <w:pPr>
              <w:widowControl w:val="0"/>
              <w:autoSpaceDE w:val="0"/>
              <w:autoSpaceDN w:val="0"/>
              <w:spacing w:before="32" w:after="0" w:line="240" w:lineRule="auto"/>
              <w:ind w:left="8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Kompleksi</w:t>
            </w:r>
            <w:r w:rsidRPr="00DD196F">
              <w:rPr>
                <w:rFonts w:ascii="Times New Roman" w:eastAsia="Times New Roman" w:hAnsi="Times New Roman" w:cs="Times New Roman"/>
                <w:spacing w:val="13"/>
                <w:sz w:val="19"/>
                <w:lang w:val="sq-AL"/>
              </w:rPr>
              <w:t xml:space="preserve"> </w:t>
            </w:r>
            <w:r w:rsidRPr="00DD196F">
              <w:rPr>
                <w:rFonts w:ascii="Times New Roman" w:eastAsia="Times New Roman" w:hAnsi="Times New Roman" w:cs="Times New Roman"/>
                <w:sz w:val="19"/>
                <w:lang w:val="sq-AL"/>
              </w:rPr>
              <w:t>Orikum</w:t>
            </w:r>
          </w:p>
        </w:tc>
        <w:tc>
          <w:tcPr>
            <w:tcW w:w="1190" w:type="dxa"/>
          </w:tcPr>
          <w:p w:rsidR="00854864" w:rsidRPr="00DD196F" w:rsidRDefault="00854864" w:rsidP="00DD196F">
            <w:pPr>
              <w:widowControl w:val="0"/>
              <w:autoSpaceDE w:val="0"/>
              <w:autoSpaceDN w:val="0"/>
              <w:spacing w:after="0" w:line="210"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177</w:t>
            </w:r>
          </w:p>
        </w:tc>
        <w:tc>
          <w:tcPr>
            <w:tcW w:w="1267" w:type="dxa"/>
          </w:tcPr>
          <w:p w:rsidR="00854864" w:rsidRPr="00DD196F" w:rsidRDefault="00854864" w:rsidP="00DD196F">
            <w:pPr>
              <w:widowControl w:val="0"/>
              <w:autoSpaceDE w:val="0"/>
              <w:autoSpaceDN w:val="0"/>
              <w:spacing w:after="0" w:line="210" w:lineRule="exact"/>
              <w:ind w:left="75"/>
              <w:rPr>
                <w:rFonts w:ascii="Times New Roman" w:eastAsia="Times New Roman" w:hAnsi="Times New Roman" w:cs="Times New Roman"/>
                <w:sz w:val="19"/>
                <w:lang w:val="sq-AL"/>
              </w:rPr>
            </w:pPr>
          </w:p>
        </w:tc>
        <w:tc>
          <w:tcPr>
            <w:tcW w:w="1267" w:type="dxa"/>
          </w:tcPr>
          <w:p w:rsidR="00854864" w:rsidRPr="00DD196F" w:rsidRDefault="00854864" w:rsidP="00DD196F">
            <w:pPr>
              <w:widowControl w:val="0"/>
              <w:autoSpaceDE w:val="0"/>
              <w:autoSpaceDN w:val="0"/>
              <w:spacing w:after="0" w:line="210"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158</w:t>
            </w:r>
          </w:p>
        </w:tc>
        <w:tc>
          <w:tcPr>
            <w:tcW w:w="1090" w:type="dxa"/>
          </w:tcPr>
          <w:p w:rsidR="00854864" w:rsidRPr="00DD196F" w:rsidRDefault="00854864" w:rsidP="00DD196F">
            <w:pPr>
              <w:widowControl w:val="0"/>
              <w:autoSpaceDE w:val="0"/>
              <w:autoSpaceDN w:val="0"/>
              <w:spacing w:after="0" w:line="210"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B</w:t>
            </w:r>
          </w:p>
        </w:tc>
        <w:tc>
          <w:tcPr>
            <w:tcW w:w="1489" w:type="dxa"/>
            <w:vMerge w:val="restart"/>
          </w:tcPr>
          <w:p w:rsidR="00854864" w:rsidRPr="00DD196F" w:rsidRDefault="00854864" w:rsidP="00DD196F">
            <w:pPr>
              <w:widowControl w:val="0"/>
              <w:autoSpaceDE w:val="0"/>
              <w:autoSpaceDN w:val="0"/>
              <w:spacing w:after="0" w:line="244" w:lineRule="auto"/>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 xml:space="preserve"> </w:t>
            </w:r>
          </w:p>
          <w:p w:rsidR="00854864" w:rsidRPr="00DD196F" w:rsidRDefault="00854864" w:rsidP="00DD196F">
            <w:pPr>
              <w:widowControl w:val="0"/>
              <w:autoSpaceDE w:val="0"/>
              <w:autoSpaceDN w:val="0"/>
              <w:spacing w:after="0" w:line="244" w:lineRule="auto"/>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100%</w:t>
            </w:r>
            <w:r w:rsidRPr="00DD196F">
              <w:rPr>
                <w:rFonts w:ascii="Times New Roman" w:eastAsia="Times New Roman" w:hAnsi="Times New Roman" w:cs="Times New Roman"/>
                <w:spacing w:val="3"/>
                <w:sz w:val="19"/>
                <w:lang w:val="sq-AL"/>
              </w:rPr>
              <w:t xml:space="preserve"> </w:t>
            </w:r>
            <w:r w:rsidRPr="00DD196F">
              <w:rPr>
                <w:rFonts w:ascii="Times New Roman" w:eastAsia="Times New Roman" w:hAnsi="Times New Roman" w:cs="Times New Roman"/>
                <w:sz w:val="19"/>
                <w:lang w:val="sq-AL"/>
              </w:rPr>
              <w:t>B-Cilësi</w:t>
            </w:r>
            <w:r w:rsidRPr="00DD196F">
              <w:rPr>
                <w:rFonts w:ascii="Times New Roman" w:eastAsia="Times New Roman" w:hAnsi="Times New Roman" w:cs="Times New Roman"/>
                <w:spacing w:val="4"/>
                <w:sz w:val="19"/>
                <w:lang w:val="sq-AL"/>
              </w:rPr>
              <w:t xml:space="preserve"> </w:t>
            </w:r>
            <w:r w:rsidRPr="00DD196F">
              <w:rPr>
                <w:rFonts w:ascii="Times New Roman" w:eastAsia="Times New Roman" w:hAnsi="Times New Roman" w:cs="Times New Roman"/>
                <w:sz w:val="19"/>
                <w:lang w:val="sq-AL"/>
              </w:rPr>
              <w:t>e</w:t>
            </w:r>
            <w:r w:rsidRPr="00DD196F">
              <w:rPr>
                <w:rFonts w:ascii="Times New Roman" w:eastAsia="Times New Roman" w:hAnsi="Times New Roman" w:cs="Times New Roman"/>
                <w:spacing w:val="-44"/>
                <w:sz w:val="19"/>
                <w:lang w:val="sq-AL"/>
              </w:rPr>
              <w:t xml:space="preserve"> </w:t>
            </w:r>
            <w:r w:rsidRPr="00DD196F">
              <w:rPr>
                <w:rFonts w:ascii="Times New Roman" w:eastAsia="Times New Roman" w:hAnsi="Times New Roman" w:cs="Times New Roman"/>
                <w:sz w:val="19"/>
                <w:lang w:val="sq-AL"/>
              </w:rPr>
              <w:t>mirë</w:t>
            </w:r>
          </w:p>
          <w:p w:rsidR="00854864" w:rsidRPr="00DD196F" w:rsidRDefault="00854864" w:rsidP="00DD196F">
            <w:pPr>
              <w:widowControl w:val="0"/>
              <w:autoSpaceDE w:val="0"/>
              <w:autoSpaceDN w:val="0"/>
              <w:spacing w:after="0" w:line="249" w:lineRule="auto"/>
              <w:ind w:left="74" w:right="127"/>
              <w:rPr>
                <w:rFonts w:ascii="Times New Roman" w:eastAsia="Times New Roman" w:hAnsi="Times New Roman" w:cs="Times New Roman"/>
                <w:sz w:val="17"/>
                <w:lang w:val="sq-AL"/>
              </w:rPr>
            </w:pPr>
          </w:p>
        </w:tc>
      </w:tr>
      <w:tr w:rsidR="00854864" w:rsidTr="00854864">
        <w:trPr>
          <w:trHeight w:val="320"/>
        </w:trPr>
        <w:tc>
          <w:tcPr>
            <w:tcW w:w="1328" w:type="dxa"/>
          </w:tcPr>
          <w:p w:rsidR="00854864" w:rsidRPr="00DD196F" w:rsidRDefault="00854864" w:rsidP="00DD196F">
            <w:pPr>
              <w:widowControl w:val="0"/>
              <w:autoSpaceDE w:val="0"/>
              <w:autoSpaceDN w:val="0"/>
              <w:spacing w:before="8" w:after="0" w:line="208" w:lineRule="exact"/>
              <w:ind w:right="1"/>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2</w:t>
            </w:r>
          </w:p>
        </w:tc>
        <w:tc>
          <w:tcPr>
            <w:tcW w:w="2538" w:type="dxa"/>
          </w:tcPr>
          <w:p w:rsidR="00854864" w:rsidRPr="00DD196F" w:rsidRDefault="00854864" w:rsidP="00DD196F">
            <w:pPr>
              <w:widowControl w:val="0"/>
              <w:autoSpaceDE w:val="0"/>
              <w:autoSpaceDN w:val="0"/>
              <w:spacing w:before="8" w:after="0" w:line="208" w:lineRule="exact"/>
              <w:ind w:left="8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Bar-</w:t>
            </w:r>
            <w:r w:rsidRPr="00DD196F">
              <w:rPr>
                <w:rFonts w:ascii="Times New Roman" w:eastAsia="Times New Roman" w:hAnsi="Times New Roman" w:cs="Times New Roman"/>
                <w:spacing w:val="12"/>
                <w:sz w:val="19"/>
                <w:lang w:val="sq-AL"/>
              </w:rPr>
              <w:t xml:space="preserve"> </w:t>
            </w:r>
            <w:r w:rsidRPr="00DD196F">
              <w:rPr>
                <w:rFonts w:ascii="Times New Roman" w:eastAsia="Times New Roman" w:hAnsi="Times New Roman" w:cs="Times New Roman"/>
                <w:sz w:val="19"/>
                <w:lang w:val="sq-AL"/>
              </w:rPr>
              <w:t>Restorant</w:t>
            </w:r>
            <w:r w:rsidRPr="00DD196F">
              <w:rPr>
                <w:rFonts w:ascii="Times New Roman" w:eastAsia="Times New Roman" w:hAnsi="Times New Roman" w:cs="Times New Roman"/>
                <w:spacing w:val="11"/>
                <w:sz w:val="19"/>
                <w:lang w:val="sq-AL"/>
              </w:rPr>
              <w:t xml:space="preserve"> </w:t>
            </w:r>
            <w:r w:rsidRPr="00DD196F">
              <w:rPr>
                <w:rFonts w:ascii="Times New Roman" w:eastAsia="Times New Roman" w:hAnsi="Times New Roman" w:cs="Times New Roman"/>
                <w:sz w:val="19"/>
                <w:lang w:val="sq-AL"/>
              </w:rPr>
              <w:t>Aleksandër</w:t>
            </w:r>
          </w:p>
        </w:tc>
        <w:tc>
          <w:tcPr>
            <w:tcW w:w="1190" w:type="dxa"/>
          </w:tcPr>
          <w:p w:rsidR="00854864" w:rsidRPr="00DD196F" w:rsidRDefault="00854864" w:rsidP="00DD196F">
            <w:pPr>
              <w:widowControl w:val="0"/>
              <w:autoSpaceDE w:val="0"/>
              <w:autoSpaceDN w:val="0"/>
              <w:spacing w:after="0" w:line="20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130</w:t>
            </w:r>
          </w:p>
        </w:tc>
        <w:tc>
          <w:tcPr>
            <w:tcW w:w="1267" w:type="dxa"/>
          </w:tcPr>
          <w:p w:rsidR="00854864" w:rsidRPr="00DD196F" w:rsidRDefault="00854864" w:rsidP="00DD196F">
            <w:pPr>
              <w:widowControl w:val="0"/>
              <w:autoSpaceDE w:val="0"/>
              <w:autoSpaceDN w:val="0"/>
              <w:spacing w:after="0" w:line="209" w:lineRule="exact"/>
              <w:ind w:left="75"/>
              <w:rPr>
                <w:rFonts w:ascii="Times New Roman" w:eastAsia="Times New Roman" w:hAnsi="Times New Roman" w:cs="Times New Roman"/>
                <w:sz w:val="19"/>
                <w:lang w:val="sq-AL"/>
              </w:rPr>
            </w:pPr>
          </w:p>
        </w:tc>
        <w:tc>
          <w:tcPr>
            <w:tcW w:w="1267" w:type="dxa"/>
          </w:tcPr>
          <w:p w:rsidR="00854864" w:rsidRPr="00DD196F" w:rsidRDefault="00854864" w:rsidP="00DD196F">
            <w:pPr>
              <w:widowControl w:val="0"/>
              <w:autoSpaceDE w:val="0"/>
              <w:autoSpaceDN w:val="0"/>
              <w:spacing w:after="0" w:line="20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176</w:t>
            </w:r>
          </w:p>
        </w:tc>
        <w:tc>
          <w:tcPr>
            <w:tcW w:w="1090" w:type="dxa"/>
          </w:tcPr>
          <w:p w:rsidR="00854864" w:rsidRPr="00DD196F" w:rsidRDefault="00854864" w:rsidP="00DD196F">
            <w:pPr>
              <w:widowControl w:val="0"/>
              <w:autoSpaceDE w:val="0"/>
              <w:autoSpaceDN w:val="0"/>
              <w:spacing w:after="0" w:line="209"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B</w:t>
            </w:r>
          </w:p>
        </w:tc>
        <w:tc>
          <w:tcPr>
            <w:tcW w:w="1489" w:type="dxa"/>
            <w:vMerge/>
          </w:tcPr>
          <w:p w:rsidR="00854864" w:rsidRPr="00DD196F" w:rsidRDefault="00854864"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854864" w:rsidTr="00854864">
        <w:trPr>
          <w:trHeight w:val="473"/>
        </w:trPr>
        <w:tc>
          <w:tcPr>
            <w:tcW w:w="1328" w:type="dxa"/>
          </w:tcPr>
          <w:p w:rsidR="00854864" w:rsidRPr="00DD196F" w:rsidRDefault="00854864" w:rsidP="00DD196F">
            <w:pPr>
              <w:widowControl w:val="0"/>
              <w:autoSpaceDE w:val="0"/>
              <w:autoSpaceDN w:val="0"/>
              <w:spacing w:before="57" w:after="0" w:line="240" w:lineRule="auto"/>
              <w:ind w:right="1"/>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3</w:t>
            </w:r>
          </w:p>
        </w:tc>
        <w:tc>
          <w:tcPr>
            <w:tcW w:w="2538" w:type="dxa"/>
          </w:tcPr>
          <w:p w:rsidR="00854864" w:rsidRPr="00DD196F" w:rsidRDefault="00854864" w:rsidP="00DD196F">
            <w:pPr>
              <w:widowControl w:val="0"/>
              <w:autoSpaceDE w:val="0"/>
              <w:autoSpaceDN w:val="0"/>
              <w:spacing w:before="57" w:after="0" w:line="240" w:lineRule="auto"/>
              <w:ind w:left="8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Para</w:t>
            </w:r>
            <w:r w:rsidRPr="00DD196F">
              <w:rPr>
                <w:rFonts w:ascii="Times New Roman" w:eastAsia="Times New Roman" w:hAnsi="Times New Roman" w:cs="Times New Roman"/>
                <w:spacing w:val="11"/>
                <w:sz w:val="19"/>
                <w:lang w:val="sq-AL"/>
              </w:rPr>
              <w:t xml:space="preserve"> </w:t>
            </w:r>
            <w:r w:rsidRPr="00DD196F">
              <w:rPr>
                <w:rFonts w:ascii="Times New Roman" w:eastAsia="Times New Roman" w:hAnsi="Times New Roman" w:cs="Times New Roman"/>
                <w:sz w:val="19"/>
                <w:lang w:val="sq-AL"/>
              </w:rPr>
              <w:t>Repartit</w:t>
            </w:r>
            <w:r w:rsidRPr="00DD196F">
              <w:rPr>
                <w:rFonts w:ascii="Times New Roman" w:eastAsia="Times New Roman" w:hAnsi="Times New Roman" w:cs="Times New Roman"/>
                <w:spacing w:val="11"/>
                <w:sz w:val="19"/>
                <w:lang w:val="sq-AL"/>
              </w:rPr>
              <w:t xml:space="preserve"> </w:t>
            </w:r>
            <w:r w:rsidRPr="00DD196F">
              <w:rPr>
                <w:rFonts w:ascii="Times New Roman" w:eastAsia="Times New Roman" w:hAnsi="Times New Roman" w:cs="Times New Roman"/>
                <w:sz w:val="19"/>
                <w:lang w:val="sq-AL"/>
              </w:rPr>
              <w:t>Pashaliman</w:t>
            </w:r>
          </w:p>
        </w:tc>
        <w:tc>
          <w:tcPr>
            <w:tcW w:w="1190" w:type="dxa"/>
          </w:tcPr>
          <w:p w:rsidR="00854864" w:rsidRPr="00DD196F" w:rsidRDefault="00854864" w:rsidP="00DD196F">
            <w:pPr>
              <w:widowControl w:val="0"/>
              <w:autoSpaceDE w:val="0"/>
              <w:autoSpaceDN w:val="0"/>
              <w:spacing w:after="0" w:line="20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70</w:t>
            </w:r>
          </w:p>
        </w:tc>
        <w:tc>
          <w:tcPr>
            <w:tcW w:w="1267" w:type="dxa"/>
          </w:tcPr>
          <w:p w:rsidR="00854864" w:rsidRPr="00DD196F" w:rsidRDefault="00854864" w:rsidP="00DD196F">
            <w:pPr>
              <w:widowControl w:val="0"/>
              <w:autoSpaceDE w:val="0"/>
              <w:autoSpaceDN w:val="0"/>
              <w:spacing w:after="0" w:line="209" w:lineRule="exact"/>
              <w:ind w:left="75"/>
              <w:rPr>
                <w:rFonts w:ascii="Times New Roman" w:eastAsia="Times New Roman" w:hAnsi="Times New Roman" w:cs="Times New Roman"/>
                <w:sz w:val="19"/>
                <w:lang w:val="sq-AL"/>
              </w:rPr>
            </w:pPr>
          </w:p>
        </w:tc>
        <w:tc>
          <w:tcPr>
            <w:tcW w:w="1267" w:type="dxa"/>
          </w:tcPr>
          <w:p w:rsidR="00854864" w:rsidRPr="00DD196F" w:rsidRDefault="00854864" w:rsidP="00DD196F">
            <w:pPr>
              <w:widowControl w:val="0"/>
              <w:autoSpaceDE w:val="0"/>
              <w:autoSpaceDN w:val="0"/>
              <w:spacing w:after="0" w:line="20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174</w:t>
            </w:r>
          </w:p>
        </w:tc>
        <w:tc>
          <w:tcPr>
            <w:tcW w:w="1090" w:type="dxa"/>
          </w:tcPr>
          <w:p w:rsidR="00854864" w:rsidRPr="00DD196F" w:rsidRDefault="00854864" w:rsidP="00DD196F">
            <w:pPr>
              <w:widowControl w:val="0"/>
              <w:autoSpaceDE w:val="0"/>
              <w:autoSpaceDN w:val="0"/>
              <w:spacing w:after="0" w:line="209"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B</w:t>
            </w:r>
          </w:p>
        </w:tc>
        <w:tc>
          <w:tcPr>
            <w:tcW w:w="1489" w:type="dxa"/>
            <w:vMerge/>
          </w:tcPr>
          <w:p w:rsidR="00854864" w:rsidRPr="00DD196F" w:rsidRDefault="00854864"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bl>
    <w:p w:rsidR="00DD196F" w:rsidRPr="00DD196F" w:rsidRDefault="00DD196F" w:rsidP="00DD196F">
      <w:pPr>
        <w:spacing w:after="200" w:line="288" w:lineRule="auto"/>
        <w:rPr>
          <w:rFonts w:ascii="Times New Roman" w:eastAsiaTheme="minorEastAsia" w:hAnsi="Times New Roman" w:cs="Times New Roman"/>
          <w:sz w:val="24"/>
          <w:szCs w:val="24"/>
        </w:rPr>
      </w:pPr>
    </w:p>
    <w:p w:rsidR="00DD196F" w:rsidRDefault="00DD196F" w:rsidP="00DD196F">
      <w:pPr>
        <w:spacing w:after="200" w:line="288" w:lineRule="auto"/>
        <w:rPr>
          <w:rFonts w:ascii="Times New Roman" w:eastAsiaTheme="minorEastAsia" w:hAnsi="Times New Roman" w:cs="Times New Roman"/>
          <w:sz w:val="24"/>
          <w:szCs w:val="24"/>
        </w:rPr>
      </w:pPr>
      <w:r w:rsidRPr="00DD196F">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36224" behindDoc="0" locked="0" layoutInCell="1" allowOverlap="1" wp14:anchorId="321F2580" wp14:editId="6FEE76A4">
                <wp:simplePos x="0" y="0"/>
                <wp:positionH relativeFrom="column">
                  <wp:posOffset>3314700</wp:posOffset>
                </wp:positionH>
                <wp:positionV relativeFrom="paragraph">
                  <wp:posOffset>7621</wp:posOffset>
                </wp:positionV>
                <wp:extent cx="3143250" cy="1612900"/>
                <wp:effectExtent l="0" t="0" r="19050" b="25400"/>
                <wp:wrapNone/>
                <wp:docPr id="51" name="Rectangle 51"/>
                <wp:cNvGraphicFramePr/>
                <a:graphic xmlns:a="http://schemas.openxmlformats.org/drawingml/2006/main">
                  <a:graphicData uri="http://schemas.microsoft.com/office/word/2010/wordprocessingShape">
                    <wps:wsp>
                      <wps:cNvSpPr/>
                      <wps:spPr>
                        <a:xfrm>
                          <a:off x="0" y="0"/>
                          <a:ext cx="3143250" cy="1612900"/>
                        </a:xfrm>
                        <a:prstGeom prst="rect">
                          <a:avLst/>
                        </a:prstGeom>
                        <a:solidFill>
                          <a:sysClr val="window" lastClr="FFFFFF"/>
                        </a:solidFill>
                        <a:ln w="12700" cap="flat" cmpd="sng" algn="ctr">
                          <a:solidFill>
                            <a:srgbClr val="70AD47"/>
                          </a:solidFill>
                          <a:prstDash val="solid"/>
                          <a:miter lim="800000"/>
                        </a:ln>
                        <a:effectLst/>
                      </wps:spPr>
                      <wps:txbx>
                        <w:txbxContent>
                          <w:p w:rsidR="0064059F" w:rsidRDefault="0064059F" w:rsidP="0017692F">
                            <w:pPr>
                              <w:jc w:val="both"/>
                              <w:rPr>
                                <w:rFonts w:ascii="Times New Roman" w:hAnsi="Times New Roman" w:cs="Times New Roman"/>
                                <w:sz w:val="24"/>
                                <w:szCs w:val="24"/>
                              </w:rPr>
                            </w:pPr>
                            <w:r w:rsidRPr="00702F13">
                              <w:rPr>
                                <w:rFonts w:ascii="Times New Roman" w:hAnsi="Times New Roman" w:cs="Times New Roman"/>
                                <w:sz w:val="24"/>
                                <w:szCs w:val="24"/>
                              </w:rPr>
                              <w:t xml:space="preserve">Për plazhin e </w:t>
                            </w:r>
                            <w:r>
                              <w:rPr>
                                <w:rFonts w:ascii="Times New Roman" w:hAnsi="Times New Roman" w:cs="Times New Roman"/>
                                <w:sz w:val="24"/>
                                <w:szCs w:val="24"/>
                              </w:rPr>
                              <w:t>Orikumit</w:t>
                            </w:r>
                            <w:r w:rsidRPr="00702F13">
                              <w:rPr>
                                <w:rFonts w:ascii="Times New Roman" w:hAnsi="Times New Roman" w:cs="Times New Roman"/>
                                <w:sz w:val="24"/>
                                <w:szCs w:val="24"/>
                              </w:rPr>
                              <w:t xml:space="preserve">, për vitin 2025 </w:t>
                            </w:r>
                            <w:r>
                              <w:rPr>
                                <w:rFonts w:ascii="Times New Roman" w:hAnsi="Times New Roman" w:cs="Times New Roman"/>
                                <w:sz w:val="24"/>
                                <w:szCs w:val="24"/>
                              </w:rPr>
                              <w:t>nuk kemi stacione të kategorisë A-Cilësi e shkëlqyer, të kategorisë C- Cilësi e mjaftueshme dhe D- Cilësi e keqe.Masa te menjëhershme.</w:t>
                            </w:r>
                          </w:p>
                          <w:p w:rsidR="0064059F" w:rsidRPr="00647F53" w:rsidRDefault="0064059F" w:rsidP="0017692F">
                            <w:pPr>
                              <w:jc w:val="both"/>
                              <w:rPr>
                                <w:rFonts w:ascii="Times New Roman" w:hAnsi="Times New Roman" w:cs="Times New Roman"/>
                                <w:sz w:val="24"/>
                                <w:szCs w:val="24"/>
                              </w:rPr>
                            </w:pPr>
                            <w:r>
                              <w:rPr>
                                <w:rFonts w:ascii="Times New Roman" w:hAnsi="Times New Roman" w:cs="Times New Roman"/>
                                <w:sz w:val="24"/>
                                <w:szCs w:val="24"/>
                              </w:rPr>
                              <w:t xml:space="preserve">Kemi  rritje të numrit të stacioneve të kategorisë B- Cilësi e mire krahasuar me vitet 2020-2024.  </w:t>
                            </w:r>
                            <w:r>
                              <w:rPr>
                                <w:rFonts w:ascii="Times New Roman" w:hAnsi="Times New Roman" w:cs="Times New Roman"/>
                                <w:sz w:val="24"/>
                                <w:szCs w:val="24"/>
                              </w:rPr>
                              <w:br w:type="textWrapping" w:clear="all"/>
                            </w:r>
                          </w:p>
                          <w:p w:rsidR="0064059F" w:rsidRPr="00647F53" w:rsidRDefault="0064059F" w:rsidP="00DD196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64059F" w:rsidRDefault="0064059F" w:rsidP="00DD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1F2580" id="Rectangle 51" o:spid="_x0000_s1096" style="position:absolute;margin-left:261pt;margin-top:.6pt;width:247.5pt;height:127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" fillcolor="window" strokecolor="#70ad47" strokeweight="1pt">
                <v:textbox>
                  <w:txbxContent>
                    <w:p w:rsidR="0064059F" w:rsidRDefault="0064059F" w:rsidP="0017692F">
                      <w:pPr>
                        <w:jc w:val="both"/>
                        <w:rPr>
                          <w:rFonts w:ascii="Times New Roman" w:hAnsi="Times New Roman" w:cs="Times New Roman"/>
                          <w:sz w:val="24"/>
                          <w:szCs w:val="24"/>
                        </w:rPr>
                      </w:pPr>
                      <w:r w:rsidRPr="00702F13">
                        <w:rPr>
                          <w:rFonts w:ascii="Times New Roman" w:hAnsi="Times New Roman" w:cs="Times New Roman"/>
                          <w:sz w:val="24"/>
                          <w:szCs w:val="24"/>
                        </w:rPr>
                        <w:t xml:space="preserve">Për plazhin e </w:t>
                      </w:r>
                      <w:r>
                        <w:rPr>
                          <w:rFonts w:ascii="Times New Roman" w:hAnsi="Times New Roman" w:cs="Times New Roman"/>
                          <w:sz w:val="24"/>
                          <w:szCs w:val="24"/>
                        </w:rPr>
                        <w:t>Orikumit</w:t>
                      </w:r>
                      <w:r w:rsidRPr="00702F13">
                        <w:rPr>
                          <w:rFonts w:ascii="Times New Roman" w:hAnsi="Times New Roman" w:cs="Times New Roman"/>
                          <w:sz w:val="24"/>
                          <w:szCs w:val="24"/>
                        </w:rPr>
                        <w:t xml:space="preserve">, për vitin 2025 </w:t>
                      </w:r>
                      <w:r>
                        <w:rPr>
                          <w:rFonts w:ascii="Times New Roman" w:hAnsi="Times New Roman" w:cs="Times New Roman"/>
                          <w:sz w:val="24"/>
                          <w:szCs w:val="24"/>
                        </w:rPr>
                        <w:t>nuk kemi stacione të kategorisë A-Cilësi e shkëlqyer, të kategorisë C- Cilësi e mjaftueshme dhe D- Cilësi e keqe.Masa te menjëhershme.</w:t>
                      </w:r>
                    </w:p>
                    <w:p w:rsidR="0064059F" w:rsidRPr="00647F53" w:rsidRDefault="0064059F" w:rsidP="0017692F">
                      <w:pPr>
                        <w:jc w:val="both"/>
                        <w:rPr>
                          <w:rFonts w:ascii="Times New Roman" w:hAnsi="Times New Roman" w:cs="Times New Roman"/>
                          <w:sz w:val="24"/>
                          <w:szCs w:val="24"/>
                        </w:rPr>
                      </w:pPr>
                      <w:r>
                        <w:rPr>
                          <w:rFonts w:ascii="Times New Roman" w:hAnsi="Times New Roman" w:cs="Times New Roman"/>
                          <w:sz w:val="24"/>
                          <w:szCs w:val="24"/>
                        </w:rPr>
                        <w:t xml:space="preserve">Kemi  rritje të numrit të stacioneve të kategorisë B- Cilësi e mire krahasuar me vitet 2020-2024.  </w:t>
                      </w:r>
                      <w:r>
                        <w:rPr>
                          <w:rFonts w:ascii="Times New Roman" w:hAnsi="Times New Roman" w:cs="Times New Roman"/>
                          <w:sz w:val="24"/>
                          <w:szCs w:val="24"/>
                        </w:rPr>
                        <w:br w:type="textWrapping" w:clear="all"/>
                      </w:r>
                    </w:p>
                    <w:p w:rsidR="0064059F" w:rsidRPr="00647F53" w:rsidRDefault="0064059F" w:rsidP="00DD196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64059F" w:rsidRDefault="0064059F" w:rsidP="00DD196F">
                      <w:pPr>
                        <w:jc w:val="center"/>
                      </w:pPr>
                    </w:p>
                  </w:txbxContent>
                </v:textbox>
              </v:rect>
            </w:pict>
          </mc:Fallback>
        </mc:AlternateContent>
      </w:r>
      <w:r w:rsidRPr="00DD196F">
        <w:rPr>
          <w:rFonts w:ascii="Times New Roman" w:eastAsiaTheme="minorEastAsia" w:hAnsi="Times New Roman" w:cs="Times New Roman"/>
          <w:noProof/>
          <w:sz w:val="24"/>
          <w:szCs w:val="24"/>
        </w:rPr>
        <w:drawing>
          <wp:inline distT="0" distB="0" distL="0" distR="0" wp14:anchorId="2A4A54EF" wp14:editId="00A9291F">
            <wp:extent cx="2840990" cy="22098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840990" cy="2209800"/>
                    </a:xfrm>
                    <a:prstGeom prst="rect">
                      <a:avLst/>
                    </a:prstGeom>
                    <a:noFill/>
                  </pic:spPr>
                </pic:pic>
              </a:graphicData>
            </a:graphic>
          </wp:inline>
        </w:drawing>
      </w:r>
      <w:r w:rsidRPr="00DD196F">
        <w:rPr>
          <w:rFonts w:ascii="Times New Roman" w:eastAsiaTheme="minorEastAsia" w:hAnsi="Times New Roman" w:cs="Times New Roman"/>
          <w:sz w:val="24"/>
          <w:szCs w:val="24"/>
        </w:rPr>
        <w:t xml:space="preserve"> </w:t>
      </w:r>
    </w:p>
    <w:p w:rsidR="00854864" w:rsidRDefault="00854864" w:rsidP="00DD196F">
      <w:pPr>
        <w:spacing w:after="200" w:line="288" w:lineRule="auto"/>
        <w:rPr>
          <w:rFonts w:ascii="Times New Roman" w:eastAsiaTheme="minorEastAsia" w:hAnsi="Times New Roman" w:cs="Times New Roman"/>
          <w:sz w:val="24"/>
          <w:szCs w:val="24"/>
        </w:rPr>
      </w:pPr>
    </w:p>
    <w:p w:rsidR="00854864" w:rsidRPr="00DD196F" w:rsidRDefault="00854864" w:rsidP="00DD196F">
      <w:pPr>
        <w:spacing w:after="200" w:line="288" w:lineRule="auto"/>
        <w:rPr>
          <w:rFonts w:ascii="Times New Roman" w:eastAsiaTheme="minorEastAsia" w:hAnsi="Times New Roman" w:cs="Times New Roman"/>
          <w:sz w:val="24"/>
          <w:szCs w:val="24"/>
        </w:rPr>
      </w:pPr>
    </w:p>
    <w:p w:rsidR="00DD196F" w:rsidRPr="0017692F" w:rsidRDefault="00DD196F" w:rsidP="00807975">
      <w:pPr>
        <w:pStyle w:val="ListParagraph"/>
        <w:numPr>
          <w:ilvl w:val="0"/>
          <w:numId w:val="166"/>
        </w:numPr>
        <w:spacing w:after="200" w:line="288" w:lineRule="auto"/>
        <w:jc w:val="both"/>
        <w:rPr>
          <w:rFonts w:ascii="Times New Roman" w:eastAsiaTheme="minorEastAsia" w:hAnsi="Times New Roman" w:cs="Times New Roman"/>
          <w:b/>
          <w:sz w:val="24"/>
          <w:szCs w:val="24"/>
        </w:rPr>
      </w:pPr>
      <w:r w:rsidRPr="0017692F">
        <w:rPr>
          <w:rFonts w:ascii="Times New Roman" w:eastAsiaTheme="minorEastAsia" w:hAnsi="Times New Roman" w:cs="Times New Roman"/>
          <w:b/>
          <w:sz w:val="24"/>
          <w:szCs w:val="24"/>
        </w:rPr>
        <w:t>PLAZHET E PALASËS, DRIMADHES, DHËRMIUT, JALËS, LIVADHES, HIMARËS, QEPAROIT, BORSHIT, LUKOVËS, SARANDËS DHE KSAMILIT:</w:t>
      </w:r>
    </w:p>
    <w:p w:rsidR="00DD196F" w:rsidRPr="00DD196F" w:rsidRDefault="00DD196F" w:rsidP="0017692F">
      <w:pPr>
        <w:spacing w:after="0" w:line="240" w:lineRule="auto"/>
        <w:jc w:val="both"/>
        <w:rPr>
          <w:rFonts w:ascii="Times New Roman" w:eastAsiaTheme="minorEastAsia" w:hAnsi="Times New Roman" w:cs="Times New Roman"/>
          <w:sz w:val="24"/>
          <w:szCs w:val="24"/>
        </w:rPr>
      </w:pPr>
      <w:r w:rsidRPr="00DD196F">
        <w:rPr>
          <w:rFonts w:ascii="Times New Roman" w:eastAsiaTheme="minorEastAsia" w:hAnsi="Times New Roman" w:cs="Times New Roman"/>
          <w:sz w:val="24"/>
          <w:szCs w:val="24"/>
        </w:rPr>
        <w:t>Referuar rezultateve të analizave mikrobiologjike vlerësohen të kategorisë A -Cilësi e shkëlqyer në të gjitha pikat e</w:t>
      </w:r>
      <w:r w:rsidR="0017692F">
        <w:rPr>
          <w:rFonts w:ascii="Times New Roman" w:eastAsiaTheme="minorEastAsia" w:hAnsi="Times New Roman" w:cs="Times New Roman"/>
          <w:sz w:val="24"/>
          <w:szCs w:val="24"/>
        </w:rPr>
        <w:t xml:space="preserve"> monitorimit në plazhet e Palasës,</w:t>
      </w:r>
      <w:r w:rsidRPr="00DD196F">
        <w:rPr>
          <w:rFonts w:ascii="Times New Roman" w:eastAsiaTheme="minorEastAsia" w:hAnsi="Times New Roman" w:cs="Times New Roman"/>
          <w:sz w:val="24"/>
          <w:szCs w:val="24"/>
        </w:rPr>
        <w:t xml:space="preserve"> </w:t>
      </w:r>
      <w:r w:rsidR="0017692F">
        <w:rPr>
          <w:rFonts w:ascii="Times New Roman" w:eastAsiaTheme="minorEastAsia" w:hAnsi="Times New Roman" w:cs="Times New Roman"/>
          <w:sz w:val="24"/>
          <w:szCs w:val="24"/>
        </w:rPr>
        <w:t>Drimadhes,</w:t>
      </w:r>
      <w:r w:rsidRPr="00DD196F">
        <w:rPr>
          <w:rFonts w:ascii="Times New Roman" w:eastAsiaTheme="minorEastAsia" w:hAnsi="Times New Roman" w:cs="Times New Roman"/>
          <w:sz w:val="24"/>
          <w:szCs w:val="24"/>
        </w:rPr>
        <w:t xml:space="preserve"> </w:t>
      </w:r>
      <w:r w:rsidR="0017692F">
        <w:rPr>
          <w:rFonts w:ascii="Times New Roman" w:eastAsiaTheme="minorEastAsia" w:hAnsi="Times New Roman" w:cs="Times New Roman"/>
          <w:sz w:val="24"/>
          <w:szCs w:val="24"/>
        </w:rPr>
        <w:t>Dhërmiut,</w:t>
      </w:r>
      <w:r w:rsidRPr="00DD196F">
        <w:rPr>
          <w:rFonts w:ascii="Times New Roman" w:eastAsiaTheme="minorEastAsia" w:hAnsi="Times New Roman" w:cs="Times New Roman"/>
          <w:sz w:val="24"/>
          <w:szCs w:val="24"/>
        </w:rPr>
        <w:t xml:space="preserve"> </w:t>
      </w:r>
      <w:r w:rsidR="0017692F">
        <w:rPr>
          <w:rFonts w:ascii="Times New Roman" w:eastAsiaTheme="minorEastAsia" w:hAnsi="Times New Roman" w:cs="Times New Roman"/>
          <w:sz w:val="24"/>
          <w:szCs w:val="24"/>
        </w:rPr>
        <w:t>Jalës,</w:t>
      </w:r>
      <w:r w:rsidRPr="00DD196F">
        <w:rPr>
          <w:rFonts w:ascii="Times New Roman" w:eastAsiaTheme="minorEastAsia" w:hAnsi="Times New Roman" w:cs="Times New Roman"/>
          <w:sz w:val="24"/>
          <w:szCs w:val="24"/>
        </w:rPr>
        <w:t xml:space="preserve"> </w:t>
      </w:r>
      <w:r w:rsidR="0017692F">
        <w:rPr>
          <w:rFonts w:ascii="Times New Roman" w:eastAsiaTheme="minorEastAsia" w:hAnsi="Times New Roman" w:cs="Times New Roman"/>
          <w:sz w:val="24"/>
          <w:szCs w:val="24"/>
        </w:rPr>
        <w:t>Livadhes,</w:t>
      </w:r>
      <w:r w:rsidRPr="00DD196F">
        <w:rPr>
          <w:rFonts w:ascii="Times New Roman" w:eastAsiaTheme="minorEastAsia" w:hAnsi="Times New Roman" w:cs="Times New Roman"/>
          <w:sz w:val="24"/>
          <w:szCs w:val="24"/>
        </w:rPr>
        <w:t xml:space="preserve"> </w:t>
      </w:r>
      <w:r w:rsidR="0017692F">
        <w:rPr>
          <w:rFonts w:ascii="Times New Roman" w:eastAsiaTheme="minorEastAsia" w:hAnsi="Times New Roman" w:cs="Times New Roman"/>
          <w:sz w:val="24"/>
          <w:szCs w:val="24"/>
        </w:rPr>
        <w:t>Himarës,</w:t>
      </w:r>
      <w:r w:rsidRPr="00DD196F">
        <w:rPr>
          <w:rFonts w:ascii="Times New Roman" w:eastAsiaTheme="minorEastAsia" w:hAnsi="Times New Roman" w:cs="Times New Roman"/>
          <w:sz w:val="24"/>
          <w:szCs w:val="24"/>
        </w:rPr>
        <w:t xml:space="preserve"> </w:t>
      </w:r>
      <w:r w:rsidR="0017692F">
        <w:rPr>
          <w:rFonts w:ascii="Times New Roman" w:eastAsiaTheme="minorEastAsia" w:hAnsi="Times New Roman" w:cs="Times New Roman"/>
          <w:sz w:val="24"/>
          <w:szCs w:val="24"/>
        </w:rPr>
        <w:t>Qeparoit, Borshit,</w:t>
      </w:r>
      <w:r w:rsidRPr="00DD196F">
        <w:rPr>
          <w:rFonts w:ascii="Times New Roman" w:eastAsiaTheme="minorEastAsia" w:hAnsi="Times New Roman" w:cs="Times New Roman"/>
          <w:sz w:val="24"/>
          <w:szCs w:val="24"/>
        </w:rPr>
        <w:t xml:space="preserve"> Lukovës. Në përgjithësi në këto plazhe konstatohet prezencë e kullave të vrojtimit, dusheve, koshave të mbeturinave, dhomave të veshjeve, bregu i pastër e i rregullt dhe afishe me rregulla për pushuesit.</w:t>
      </w:r>
    </w:p>
    <w:p w:rsidR="00D8485A" w:rsidRDefault="00D8485A" w:rsidP="00014E30">
      <w:pPr>
        <w:spacing w:after="200" w:line="288" w:lineRule="auto"/>
        <w:jc w:val="both"/>
        <w:rPr>
          <w:rFonts w:ascii="Times New Roman" w:eastAsiaTheme="minorEastAsia" w:hAnsi="Times New Roman" w:cs="Times New Roman"/>
          <w:sz w:val="24"/>
          <w:szCs w:val="24"/>
        </w:rPr>
      </w:pPr>
    </w:p>
    <w:p w:rsidR="00DD196F" w:rsidRDefault="00DD196F" w:rsidP="0017692F">
      <w:pPr>
        <w:spacing w:after="0" w:line="240" w:lineRule="auto"/>
        <w:jc w:val="both"/>
        <w:rPr>
          <w:rFonts w:ascii="Times New Roman" w:eastAsiaTheme="minorEastAsia" w:hAnsi="Times New Roman" w:cs="Times New Roman"/>
          <w:sz w:val="24"/>
          <w:szCs w:val="24"/>
        </w:rPr>
      </w:pPr>
      <w:r w:rsidRPr="00DD196F">
        <w:rPr>
          <w:rFonts w:ascii="Times New Roman" w:eastAsiaTheme="minorEastAsia" w:hAnsi="Times New Roman" w:cs="Times New Roman"/>
          <w:sz w:val="24"/>
          <w:szCs w:val="24"/>
        </w:rPr>
        <w:t>PLAZHI I PALASËS: Gjatë inspektimit higjeno sanitar u konstatua se plazhet që administrohen nga privatët kanë krijuar kushte të përshtatshme për pushuesit. Brezi bregdetar i pastruar, i sistemuar me kosha mbeturinash, dushe, kulla vrojtimi dhe afishim i rregullave për zbatim nga frekuentuesit e plazheve. Gjatë muajve Korrik e Gusht u konstatua shtim i numrit të frekuentuesve të plazheve. Për shkak të pozicionimit të këtyre plazheve pranë subjekteve private, nevojat sanitare për tualete përmbushen në këto subjekte.</w:t>
      </w:r>
    </w:p>
    <w:p w:rsidR="00014E30" w:rsidRPr="00DD196F" w:rsidRDefault="00014E30" w:rsidP="00014E30">
      <w:pPr>
        <w:spacing w:after="200" w:line="288" w:lineRule="auto"/>
        <w:jc w:val="both"/>
        <w:rPr>
          <w:rFonts w:ascii="Times New Roman" w:eastAsiaTheme="minorEastAsia" w:hAnsi="Times New Roman" w:cs="Times New Roman"/>
          <w:sz w:val="24"/>
          <w:szCs w:val="24"/>
        </w:rPr>
      </w:pPr>
    </w:p>
    <w:p w:rsidR="00DD196F" w:rsidRPr="00DD196F" w:rsidRDefault="00DD196F" w:rsidP="00DD196F">
      <w:pPr>
        <w:spacing w:after="200" w:line="288" w:lineRule="auto"/>
        <w:rPr>
          <w:rFonts w:ascii="Times New Roman" w:eastAsiaTheme="minorEastAsia" w:hAnsi="Times New Roman" w:cs="Times New Roman"/>
          <w:b/>
          <w:sz w:val="24"/>
          <w:szCs w:val="24"/>
        </w:rPr>
      </w:pPr>
      <w:r w:rsidRPr="00DD196F">
        <w:rPr>
          <w:rFonts w:ascii="Times New Roman" w:eastAsiaTheme="minorEastAsia" w:hAnsi="Times New Roman" w:cs="Times New Roman"/>
          <w:sz w:val="24"/>
          <w:szCs w:val="24"/>
        </w:rPr>
        <w:t xml:space="preserve">           ● </w:t>
      </w:r>
      <w:r w:rsidRPr="00DD196F">
        <w:rPr>
          <w:rFonts w:ascii="Times New Roman" w:eastAsiaTheme="minorEastAsia" w:hAnsi="Times New Roman" w:cs="Times New Roman"/>
          <w:b/>
          <w:sz w:val="24"/>
          <w:szCs w:val="24"/>
        </w:rPr>
        <w:t>Plazhi i Palasës</w:t>
      </w:r>
    </w:p>
    <w:tbl>
      <w:tblPr>
        <w:tblW w:w="0" w:type="auto"/>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22"/>
        <w:gridCol w:w="1719"/>
        <w:gridCol w:w="1236"/>
        <w:gridCol w:w="1236"/>
        <w:gridCol w:w="1080"/>
        <w:gridCol w:w="2006"/>
      </w:tblGrid>
      <w:tr w:rsidR="00E95EB4" w:rsidTr="00854864">
        <w:trPr>
          <w:trHeight w:val="617"/>
        </w:trPr>
        <w:tc>
          <w:tcPr>
            <w:tcW w:w="1122" w:type="dxa"/>
            <w:shd w:val="clear" w:color="auto" w:fill="D9D9D9"/>
          </w:tcPr>
          <w:p w:rsidR="00DD196F" w:rsidRPr="00DD196F" w:rsidRDefault="00DD196F" w:rsidP="00DD196F">
            <w:pPr>
              <w:widowControl w:val="0"/>
              <w:autoSpaceDE w:val="0"/>
              <w:autoSpaceDN w:val="0"/>
              <w:spacing w:before="1" w:after="0" w:line="240" w:lineRule="auto"/>
              <w:ind w:left="65" w:right="58"/>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Nr.</w:t>
            </w:r>
          </w:p>
          <w:p w:rsidR="00DD196F" w:rsidRPr="00DD196F" w:rsidRDefault="00DD196F" w:rsidP="00DD196F">
            <w:pPr>
              <w:widowControl w:val="0"/>
              <w:autoSpaceDE w:val="0"/>
              <w:autoSpaceDN w:val="0"/>
              <w:spacing w:before="5" w:after="0" w:line="197" w:lineRule="exact"/>
              <w:ind w:left="66" w:right="58"/>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p>
        </w:tc>
        <w:tc>
          <w:tcPr>
            <w:tcW w:w="1719" w:type="dxa"/>
            <w:shd w:val="clear" w:color="auto" w:fill="D9D9D9"/>
          </w:tcPr>
          <w:p w:rsidR="00DD196F" w:rsidRPr="00DD196F" w:rsidRDefault="00DD196F" w:rsidP="00DD196F">
            <w:pPr>
              <w:widowControl w:val="0"/>
              <w:autoSpaceDE w:val="0"/>
              <w:autoSpaceDN w:val="0"/>
              <w:spacing w:before="112" w:after="0" w:line="240" w:lineRule="auto"/>
              <w:ind w:left="63" w:right="57"/>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Vendi</w:t>
            </w:r>
          </w:p>
        </w:tc>
        <w:tc>
          <w:tcPr>
            <w:tcW w:w="1236" w:type="dxa"/>
            <w:shd w:val="clear" w:color="auto" w:fill="D9D9D9"/>
          </w:tcPr>
          <w:p w:rsidR="00DD196F" w:rsidRPr="00DD196F" w:rsidRDefault="00DD196F" w:rsidP="00DD196F">
            <w:pPr>
              <w:widowControl w:val="0"/>
              <w:autoSpaceDE w:val="0"/>
              <w:autoSpaceDN w:val="0"/>
              <w:spacing w:before="1" w:after="0" w:line="240" w:lineRule="auto"/>
              <w:ind w:left="166"/>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FC</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90%</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197" w:lineRule="exact"/>
              <w:ind w:left="110"/>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250</w:t>
            </w:r>
          </w:p>
        </w:tc>
        <w:tc>
          <w:tcPr>
            <w:tcW w:w="1236" w:type="dxa"/>
            <w:shd w:val="clear" w:color="auto" w:fill="D9D9D9"/>
          </w:tcPr>
          <w:p w:rsidR="00DD196F" w:rsidRPr="00DD196F" w:rsidRDefault="00DD196F" w:rsidP="00DD196F">
            <w:pPr>
              <w:widowControl w:val="0"/>
              <w:autoSpaceDE w:val="0"/>
              <w:autoSpaceDN w:val="0"/>
              <w:spacing w:before="1" w:after="0" w:line="240" w:lineRule="auto"/>
              <w:ind w:left="193"/>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IE</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95%</w:t>
            </w:r>
            <w:r w:rsidRPr="00DD196F">
              <w:rPr>
                <w:rFonts w:ascii="Times New Roman" w:eastAsia="Times New Roman" w:hAnsi="Times New Roman" w:cs="Times New Roman"/>
                <w:b/>
                <w:spacing w:val="3"/>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197" w:lineRule="exact"/>
              <w:ind w:left="109"/>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100</w:t>
            </w:r>
          </w:p>
        </w:tc>
        <w:tc>
          <w:tcPr>
            <w:tcW w:w="1080" w:type="dxa"/>
            <w:shd w:val="clear" w:color="auto" w:fill="D9D9D9"/>
          </w:tcPr>
          <w:p w:rsidR="00DD196F" w:rsidRPr="00DD196F" w:rsidRDefault="00DD196F" w:rsidP="00DD196F">
            <w:pPr>
              <w:widowControl w:val="0"/>
              <w:autoSpaceDE w:val="0"/>
              <w:autoSpaceDN w:val="0"/>
              <w:spacing w:before="1" w:after="0" w:line="240" w:lineRule="auto"/>
              <w:ind w:left="82"/>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Kategoria</w:t>
            </w:r>
          </w:p>
        </w:tc>
        <w:tc>
          <w:tcPr>
            <w:tcW w:w="2006" w:type="dxa"/>
            <w:shd w:val="clear" w:color="auto" w:fill="D9D9D9"/>
          </w:tcPr>
          <w:p w:rsidR="00DD196F" w:rsidRPr="00DD196F" w:rsidRDefault="00DD196F" w:rsidP="00DD196F">
            <w:pPr>
              <w:widowControl w:val="0"/>
              <w:autoSpaceDE w:val="0"/>
              <w:autoSpaceDN w:val="0"/>
              <w:spacing w:before="1" w:after="0" w:line="240" w:lineRule="auto"/>
              <w:ind w:left="452"/>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Përqindja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e</w:t>
            </w:r>
          </w:p>
          <w:p w:rsidR="00DD196F" w:rsidRPr="00DD196F" w:rsidRDefault="00DD196F" w:rsidP="00DD196F">
            <w:pPr>
              <w:widowControl w:val="0"/>
              <w:autoSpaceDE w:val="0"/>
              <w:autoSpaceDN w:val="0"/>
              <w:spacing w:before="5" w:after="0" w:line="197" w:lineRule="exact"/>
              <w:ind w:left="386"/>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r w:rsidRPr="00DD196F">
              <w:rPr>
                <w:rFonts w:ascii="Times New Roman" w:eastAsia="Times New Roman" w:hAnsi="Times New Roman" w:cs="Times New Roman"/>
                <w:b/>
                <w:spacing w:val="9"/>
                <w:sz w:val="19"/>
                <w:lang w:val="sq-AL"/>
              </w:rPr>
              <w:t xml:space="preserve"> </w:t>
            </w:r>
            <w:r w:rsidRPr="00DD196F">
              <w:rPr>
                <w:rFonts w:ascii="Times New Roman" w:eastAsia="Times New Roman" w:hAnsi="Times New Roman" w:cs="Times New Roman"/>
                <w:b/>
                <w:sz w:val="19"/>
                <w:lang w:val="sq-AL"/>
              </w:rPr>
              <w:t>%</w:t>
            </w:r>
          </w:p>
        </w:tc>
      </w:tr>
      <w:tr w:rsidR="00E95EB4" w:rsidTr="00854864">
        <w:trPr>
          <w:trHeight w:val="417"/>
        </w:trPr>
        <w:tc>
          <w:tcPr>
            <w:tcW w:w="1122" w:type="dxa"/>
          </w:tcPr>
          <w:p w:rsidR="00DD196F" w:rsidRPr="00DD196F" w:rsidRDefault="00DD196F" w:rsidP="00DD196F">
            <w:pPr>
              <w:widowControl w:val="0"/>
              <w:autoSpaceDE w:val="0"/>
              <w:autoSpaceDN w:val="0"/>
              <w:spacing w:before="39" w:after="0" w:line="240" w:lineRule="auto"/>
              <w:ind w:left="8"/>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1</w:t>
            </w:r>
          </w:p>
        </w:tc>
        <w:tc>
          <w:tcPr>
            <w:tcW w:w="1719" w:type="dxa"/>
          </w:tcPr>
          <w:p w:rsidR="00DD196F" w:rsidRPr="00DD196F" w:rsidRDefault="00DD196F" w:rsidP="00DD196F">
            <w:pPr>
              <w:widowControl w:val="0"/>
              <w:autoSpaceDE w:val="0"/>
              <w:autoSpaceDN w:val="0"/>
              <w:spacing w:before="39" w:after="0" w:line="240" w:lineRule="auto"/>
              <w:ind w:left="63" w:right="147"/>
              <w:jc w:val="center"/>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Plazhi</w:t>
            </w:r>
            <w:r w:rsidRPr="00DD196F">
              <w:rPr>
                <w:rFonts w:ascii="Times New Roman" w:eastAsia="Times New Roman" w:hAnsi="Times New Roman" w:cs="Times New Roman"/>
                <w:spacing w:val="5"/>
                <w:sz w:val="19"/>
                <w:lang w:val="sq-AL"/>
              </w:rPr>
              <w:t xml:space="preserve"> </w:t>
            </w:r>
            <w:r w:rsidRPr="00DD196F">
              <w:rPr>
                <w:rFonts w:ascii="Times New Roman" w:eastAsia="Times New Roman" w:hAnsi="Times New Roman" w:cs="Times New Roman"/>
                <w:sz w:val="19"/>
                <w:lang w:val="sq-AL"/>
              </w:rPr>
              <w:t>i</w:t>
            </w:r>
            <w:r w:rsidRPr="00DD196F">
              <w:rPr>
                <w:rFonts w:ascii="Times New Roman" w:eastAsia="Times New Roman" w:hAnsi="Times New Roman" w:cs="Times New Roman"/>
                <w:spacing w:val="6"/>
                <w:sz w:val="19"/>
                <w:lang w:val="sq-AL"/>
              </w:rPr>
              <w:t xml:space="preserve"> </w:t>
            </w:r>
            <w:r w:rsidRPr="00DD196F">
              <w:rPr>
                <w:rFonts w:ascii="Times New Roman" w:eastAsia="Times New Roman" w:hAnsi="Times New Roman" w:cs="Times New Roman"/>
                <w:sz w:val="19"/>
                <w:lang w:val="sq-AL"/>
              </w:rPr>
              <w:t>Palasës</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1</w:t>
            </w:r>
          </w:p>
        </w:tc>
        <w:tc>
          <w:tcPr>
            <w:tcW w:w="1236" w:type="dxa"/>
          </w:tcPr>
          <w:p w:rsidR="00DD196F" w:rsidRPr="00DD196F" w:rsidRDefault="00DD196F" w:rsidP="00DD196F">
            <w:pPr>
              <w:widowControl w:val="0"/>
              <w:autoSpaceDE w:val="0"/>
              <w:autoSpaceDN w:val="0"/>
              <w:spacing w:after="0" w:line="217"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40</w:t>
            </w:r>
          </w:p>
        </w:tc>
        <w:tc>
          <w:tcPr>
            <w:tcW w:w="1236" w:type="dxa"/>
          </w:tcPr>
          <w:p w:rsidR="00DD196F" w:rsidRPr="00DD196F" w:rsidRDefault="00DD196F" w:rsidP="00DD196F">
            <w:pPr>
              <w:widowControl w:val="0"/>
              <w:autoSpaceDE w:val="0"/>
              <w:autoSpaceDN w:val="0"/>
              <w:spacing w:after="0" w:line="217"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4</w:t>
            </w:r>
          </w:p>
        </w:tc>
        <w:tc>
          <w:tcPr>
            <w:tcW w:w="1080" w:type="dxa"/>
          </w:tcPr>
          <w:p w:rsidR="00DD196F" w:rsidRPr="00DD196F" w:rsidRDefault="00DD196F" w:rsidP="00DD196F">
            <w:pPr>
              <w:widowControl w:val="0"/>
              <w:autoSpaceDE w:val="0"/>
              <w:autoSpaceDN w:val="0"/>
              <w:spacing w:after="0" w:line="217"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2006" w:type="dxa"/>
            <w:vMerge w:val="restart"/>
          </w:tcPr>
          <w:p w:rsidR="00DD196F" w:rsidRPr="00DD196F" w:rsidRDefault="00DD196F" w:rsidP="00DD196F">
            <w:pPr>
              <w:widowControl w:val="0"/>
              <w:autoSpaceDE w:val="0"/>
              <w:autoSpaceDN w:val="0"/>
              <w:spacing w:after="0" w:line="244" w:lineRule="auto"/>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100%</w:t>
            </w:r>
            <w:r w:rsidRPr="00DD196F">
              <w:rPr>
                <w:rFonts w:ascii="Times New Roman" w:eastAsia="Times New Roman" w:hAnsi="Times New Roman" w:cs="Times New Roman"/>
                <w:spacing w:val="8"/>
                <w:sz w:val="19"/>
                <w:lang w:val="sq-AL"/>
              </w:rPr>
              <w:t xml:space="preserve"> </w:t>
            </w:r>
            <w:r w:rsidRPr="00DD196F">
              <w:rPr>
                <w:rFonts w:ascii="Times New Roman" w:eastAsia="Times New Roman" w:hAnsi="Times New Roman" w:cs="Times New Roman"/>
                <w:sz w:val="19"/>
                <w:lang w:val="sq-AL"/>
              </w:rPr>
              <w:t>A-</w:t>
            </w:r>
            <w:r w:rsidRPr="00DD196F">
              <w:rPr>
                <w:rFonts w:ascii="Times New Roman" w:eastAsia="Times New Roman" w:hAnsi="Times New Roman" w:cs="Times New Roman"/>
                <w:spacing w:val="3"/>
                <w:sz w:val="19"/>
                <w:lang w:val="sq-AL"/>
              </w:rPr>
              <w:t xml:space="preserve"> </w:t>
            </w:r>
            <w:r w:rsidRPr="00DD196F">
              <w:rPr>
                <w:rFonts w:ascii="Times New Roman" w:eastAsia="Times New Roman" w:hAnsi="Times New Roman" w:cs="Times New Roman"/>
                <w:sz w:val="19"/>
                <w:lang w:val="sq-AL"/>
              </w:rPr>
              <w:t>Cilësi</w:t>
            </w:r>
            <w:r w:rsidRPr="00DD196F">
              <w:rPr>
                <w:rFonts w:ascii="Times New Roman" w:eastAsia="Times New Roman" w:hAnsi="Times New Roman" w:cs="Times New Roman"/>
                <w:spacing w:val="2"/>
                <w:sz w:val="19"/>
                <w:lang w:val="sq-AL"/>
              </w:rPr>
              <w:t xml:space="preserve"> </w:t>
            </w:r>
            <w:r w:rsidRPr="00DD196F">
              <w:rPr>
                <w:rFonts w:ascii="Times New Roman" w:eastAsia="Times New Roman" w:hAnsi="Times New Roman" w:cs="Times New Roman"/>
                <w:sz w:val="19"/>
                <w:lang w:val="sq-AL"/>
              </w:rPr>
              <w:t>e</w:t>
            </w:r>
            <w:r w:rsidRPr="00DD196F">
              <w:rPr>
                <w:rFonts w:ascii="Times New Roman" w:eastAsia="Times New Roman" w:hAnsi="Times New Roman" w:cs="Times New Roman"/>
                <w:spacing w:val="-45"/>
                <w:sz w:val="19"/>
                <w:lang w:val="sq-AL"/>
              </w:rPr>
              <w:t xml:space="preserve"> </w:t>
            </w:r>
            <w:r w:rsidRPr="00DD196F">
              <w:rPr>
                <w:rFonts w:ascii="Times New Roman" w:eastAsia="Times New Roman" w:hAnsi="Times New Roman" w:cs="Times New Roman"/>
                <w:sz w:val="19"/>
                <w:lang w:val="sq-AL"/>
              </w:rPr>
              <w:t>shkëlqyer</w:t>
            </w:r>
          </w:p>
        </w:tc>
      </w:tr>
      <w:tr w:rsidR="00E95EB4" w:rsidTr="00854864">
        <w:trPr>
          <w:trHeight w:val="304"/>
        </w:trPr>
        <w:tc>
          <w:tcPr>
            <w:tcW w:w="1122" w:type="dxa"/>
          </w:tcPr>
          <w:p w:rsidR="00DD196F" w:rsidRPr="00DD196F" w:rsidRDefault="00DD196F" w:rsidP="00DD196F">
            <w:pPr>
              <w:widowControl w:val="0"/>
              <w:autoSpaceDE w:val="0"/>
              <w:autoSpaceDN w:val="0"/>
              <w:spacing w:after="0" w:line="199" w:lineRule="exact"/>
              <w:ind w:left="8"/>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2</w:t>
            </w:r>
          </w:p>
        </w:tc>
        <w:tc>
          <w:tcPr>
            <w:tcW w:w="1719" w:type="dxa"/>
          </w:tcPr>
          <w:p w:rsidR="00DD196F" w:rsidRPr="00DD196F" w:rsidRDefault="00DD196F" w:rsidP="00DD196F">
            <w:pPr>
              <w:widowControl w:val="0"/>
              <w:autoSpaceDE w:val="0"/>
              <w:autoSpaceDN w:val="0"/>
              <w:spacing w:after="0" w:line="199" w:lineRule="exact"/>
              <w:ind w:left="63" w:right="147"/>
              <w:jc w:val="center"/>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Plazhi</w:t>
            </w:r>
            <w:r w:rsidRPr="00DD196F">
              <w:rPr>
                <w:rFonts w:ascii="Times New Roman" w:eastAsia="Times New Roman" w:hAnsi="Times New Roman" w:cs="Times New Roman"/>
                <w:spacing w:val="5"/>
                <w:sz w:val="19"/>
                <w:lang w:val="sq-AL"/>
              </w:rPr>
              <w:t xml:space="preserve"> </w:t>
            </w:r>
            <w:r w:rsidRPr="00DD196F">
              <w:rPr>
                <w:rFonts w:ascii="Times New Roman" w:eastAsia="Times New Roman" w:hAnsi="Times New Roman" w:cs="Times New Roman"/>
                <w:sz w:val="19"/>
                <w:lang w:val="sq-AL"/>
              </w:rPr>
              <w:t>i</w:t>
            </w:r>
            <w:r w:rsidRPr="00DD196F">
              <w:rPr>
                <w:rFonts w:ascii="Times New Roman" w:eastAsia="Times New Roman" w:hAnsi="Times New Roman" w:cs="Times New Roman"/>
                <w:spacing w:val="6"/>
                <w:sz w:val="19"/>
                <w:lang w:val="sq-AL"/>
              </w:rPr>
              <w:t xml:space="preserve"> </w:t>
            </w:r>
            <w:r w:rsidRPr="00DD196F">
              <w:rPr>
                <w:rFonts w:ascii="Times New Roman" w:eastAsia="Times New Roman" w:hAnsi="Times New Roman" w:cs="Times New Roman"/>
                <w:sz w:val="19"/>
                <w:lang w:val="sq-AL"/>
              </w:rPr>
              <w:t>Palasës</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2</w:t>
            </w:r>
          </w:p>
        </w:tc>
        <w:tc>
          <w:tcPr>
            <w:tcW w:w="1236" w:type="dxa"/>
          </w:tcPr>
          <w:p w:rsidR="00DD196F" w:rsidRPr="00DD196F" w:rsidRDefault="00DD196F" w:rsidP="00DD196F">
            <w:pPr>
              <w:widowControl w:val="0"/>
              <w:autoSpaceDE w:val="0"/>
              <w:autoSpaceDN w:val="0"/>
              <w:spacing w:after="0" w:line="199"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34</w:t>
            </w:r>
          </w:p>
        </w:tc>
        <w:tc>
          <w:tcPr>
            <w:tcW w:w="1236" w:type="dxa"/>
          </w:tcPr>
          <w:p w:rsidR="00DD196F" w:rsidRPr="00DD196F" w:rsidRDefault="00DD196F" w:rsidP="00DD196F">
            <w:pPr>
              <w:widowControl w:val="0"/>
              <w:autoSpaceDE w:val="0"/>
              <w:autoSpaceDN w:val="0"/>
              <w:spacing w:after="0" w:line="19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3</w:t>
            </w:r>
          </w:p>
        </w:tc>
        <w:tc>
          <w:tcPr>
            <w:tcW w:w="1080" w:type="dxa"/>
          </w:tcPr>
          <w:p w:rsidR="00DD196F" w:rsidRPr="00DD196F" w:rsidRDefault="00DD196F" w:rsidP="00DD196F">
            <w:pPr>
              <w:widowControl w:val="0"/>
              <w:autoSpaceDE w:val="0"/>
              <w:autoSpaceDN w:val="0"/>
              <w:spacing w:after="0" w:line="19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2006"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bl>
    <w:p w:rsidR="00DD196F" w:rsidRPr="00DD196F" w:rsidRDefault="00DD196F" w:rsidP="00DD196F">
      <w:pPr>
        <w:spacing w:after="200" w:line="288" w:lineRule="auto"/>
        <w:rPr>
          <w:rFonts w:ascii="Times New Roman" w:eastAsiaTheme="minorEastAsia" w:hAnsi="Times New Roman" w:cs="Times New Roman"/>
          <w:noProof/>
          <w:sz w:val="24"/>
          <w:szCs w:val="24"/>
        </w:rPr>
      </w:pPr>
    </w:p>
    <w:p w:rsidR="0017692F" w:rsidRDefault="00DD196F" w:rsidP="00DD196F">
      <w:pPr>
        <w:spacing w:after="200" w:line="288" w:lineRule="auto"/>
        <w:rPr>
          <w:rFonts w:ascii="Times New Roman" w:eastAsiaTheme="minorEastAsia" w:hAnsi="Times New Roman" w:cs="Times New Roman"/>
          <w:sz w:val="24"/>
          <w:szCs w:val="24"/>
        </w:rPr>
      </w:pPr>
      <w:r w:rsidRPr="00DD196F">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38272" behindDoc="0" locked="0" layoutInCell="1" allowOverlap="1" wp14:anchorId="749B4AFF" wp14:editId="04991672">
                <wp:simplePos x="0" y="0"/>
                <wp:positionH relativeFrom="column">
                  <wp:posOffset>2990851</wp:posOffset>
                </wp:positionH>
                <wp:positionV relativeFrom="paragraph">
                  <wp:posOffset>15240</wp:posOffset>
                </wp:positionV>
                <wp:extent cx="3295650" cy="2447925"/>
                <wp:effectExtent l="19050" t="19050" r="19050" b="47625"/>
                <wp:wrapNone/>
                <wp:docPr id="34" name="Left Arrow 34"/>
                <wp:cNvGraphicFramePr/>
                <a:graphic xmlns:a="http://schemas.openxmlformats.org/drawingml/2006/main">
                  <a:graphicData uri="http://schemas.microsoft.com/office/word/2010/wordprocessingShape">
                    <wps:wsp>
                      <wps:cNvSpPr/>
                      <wps:spPr>
                        <a:xfrm>
                          <a:off x="0" y="0"/>
                          <a:ext cx="3295650" cy="2447925"/>
                        </a:xfrm>
                        <a:prstGeom prst="leftArrow">
                          <a:avLst/>
                        </a:prstGeom>
                        <a:solidFill>
                          <a:sysClr val="window" lastClr="FFFFFF"/>
                        </a:solidFill>
                        <a:ln w="12700" cap="flat" cmpd="sng" algn="ctr">
                          <a:solidFill>
                            <a:srgbClr val="70AD47"/>
                          </a:solidFill>
                          <a:prstDash val="solid"/>
                          <a:miter lim="800000"/>
                        </a:ln>
                        <a:effectLst/>
                      </wps:spPr>
                      <wps:txbx>
                        <w:txbxContent>
                          <w:p w:rsidR="0064059F" w:rsidRDefault="0064059F" w:rsidP="0017692F">
                            <w:pPr>
                              <w:jc w:val="both"/>
                            </w:pPr>
                            <w:r>
                              <w:rPr>
                                <w:rFonts w:ascii="Times New Roman" w:hAnsi="Times New Roman" w:cs="Times New Roman"/>
                                <w:sz w:val="24"/>
                                <w:szCs w:val="24"/>
                              </w:rPr>
                              <w:t>Plazhi</w:t>
                            </w:r>
                            <w:r w:rsidRPr="00702F13">
                              <w:rPr>
                                <w:rFonts w:ascii="Times New Roman" w:hAnsi="Times New Roman" w:cs="Times New Roman"/>
                                <w:sz w:val="24"/>
                                <w:szCs w:val="24"/>
                              </w:rPr>
                              <w:t xml:space="preserve"> </w:t>
                            </w:r>
                            <w:r>
                              <w:rPr>
                                <w:rFonts w:ascii="Times New Roman" w:hAnsi="Times New Roman" w:cs="Times New Roman"/>
                                <w:sz w:val="24"/>
                                <w:szCs w:val="24"/>
                              </w:rPr>
                              <w:t>i</w:t>
                            </w:r>
                            <w:r w:rsidRPr="00702F13">
                              <w:rPr>
                                <w:rFonts w:ascii="Times New Roman" w:hAnsi="Times New Roman" w:cs="Times New Roman"/>
                                <w:sz w:val="24"/>
                                <w:szCs w:val="24"/>
                              </w:rPr>
                              <w:t xml:space="preserve"> </w:t>
                            </w:r>
                            <w:r>
                              <w:rPr>
                                <w:rFonts w:ascii="Times New Roman" w:hAnsi="Times New Roman" w:cs="Times New Roman"/>
                                <w:sz w:val="24"/>
                                <w:szCs w:val="24"/>
                              </w:rPr>
                              <w:t xml:space="preserve">Palasës </w:t>
                            </w:r>
                            <w:r w:rsidRPr="00702F13">
                              <w:rPr>
                                <w:rFonts w:ascii="Times New Roman" w:hAnsi="Times New Roman" w:cs="Times New Roman"/>
                                <w:sz w:val="24"/>
                                <w:szCs w:val="24"/>
                              </w:rPr>
                              <w:t xml:space="preserve"> për vitin 2025 </w:t>
                            </w:r>
                            <w:r>
                              <w:rPr>
                                <w:rFonts w:ascii="Times New Roman" w:hAnsi="Times New Roman" w:cs="Times New Roman"/>
                                <w:sz w:val="24"/>
                                <w:szCs w:val="24"/>
                              </w:rPr>
                              <w:t xml:space="preserve">kategorizohet A-Cilësi e shkëlqyer e ujërave të larjes, Gjithashtu dhe në periudhën  2020-2024 , cilësia e ujrave të larjes është e shkëlqyer.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B4AFF" id="Left Arrow 34" o:spid="_x0000_s1097" type="#_x0000_t66" style="position:absolute;margin-left:235.5pt;margin-top:1.2pt;width:259.5pt;height:192.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" adj="8022" fillcolor="window" strokecolor="#70ad47" strokeweight="1pt">
                <v:textbox>
                  <w:txbxContent>
                    <w:p w:rsidR="0064059F" w:rsidRDefault="0064059F" w:rsidP="0017692F">
                      <w:pPr>
                        <w:jc w:val="both"/>
                      </w:pPr>
                      <w:r>
                        <w:rPr>
                          <w:rFonts w:ascii="Times New Roman" w:hAnsi="Times New Roman" w:cs="Times New Roman"/>
                          <w:sz w:val="24"/>
                          <w:szCs w:val="24"/>
                        </w:rPr>
                        <w:t>Plazhi</w:t>
                      </w:r>
                      <w:r w:rsidRPr="00702F13">
                        <w:rPr>
                          <w:rFonts w:ascii="Times New Roman" w:hAnsi="Times New Roman" w:cs="Times New Roman"/>
                          <w:sz w:val="24"/>
                          <w:szCs w:val="24"/>
                        </w:rPr>
                        <w:t xml:space="preserve"> </w:t>
                      </w:r>
                      <w:r>
                        <w:rPr>
                          <w:rFonts w:ascii="Times New Roman" w:hAnsi="Times New Roman" w:cs="Times New Roman"/>
                          <w:sz w:val="24"/>
                          <w:szCs w:val="24"/>
                        </w:rPr>
                        <w:t>i</w:t>
                      </w:r>
                      <w:r w:rsidRPr="00702F13">
                        <w:rPr>
                          <w:rFonts w:ascii="Times New Roman" w:hAnsi="Times New Roman" w:cs="Times New Roman"/>
                          <w:sz w:val="24"/>
                          <w:szCs w:val="24"/>
                        </w:rPr>
                        <w:t xml:space="preserve"> </w:t>
                      </w:r>
                      <w:r>
                        <w:rPr>
                          <w:rFonts w:ascii="Times New Roman" w:hAnsi="Times New Roman" w:cs="Times New Roman"/>
                          <w:sz w:val="24"/>
                          <w:szCs w:val="24"/>
                        </w:rPr>
                        <w:t xml:space="preserve">Palasës </w:t>
                      </w:r>
                      <w:r w:rsidRPr="00702F13">
                        <w:rPr>
                          <w:rFonts w:ascii="Times New Roman" w:hAnsi="Times New Roman" w:cs="Times New Roman"/>
                          <w:sz w:val="24"/>
                          <w:szCs w:val="24"/>
                        </w:rPr>
                        <w:t xml:space="preserve"> për vitin 2025 </w:t>
                      </w:r>
                      <w:r>
                        <w:rPr>
                          <w:rFonts w:ascii="Times New Roman" w:hAnsi="Times New Roman" w:cs="Times New Roman"/>
                          <w:sz w:val="24"/>
                          <w:szCs w:val="24"/>
                        </w:rPr>
                        <w:t xml:space="preserve">kategorizohet A-Cilësi e shkëlqyer e ujërave të larjes, Gjithashtu dhe në periudhën  2020-2024 , cilësia e ujrave të larjes është e shkëlqyer.  </w:t>
                      </w:r>
                    </w:p>
                  </w:txbxContent>
                </v:textbox>
              </v:shape>
            </w:pict>
          </mc:Fallback>
        </mc:AlternateContent>
      </w:r>
      <w:r w:rsidRPr="00DD196F">
        <w:rPr>
          <w:rFonts w:ascii="Times New Roman" w:eastAsiaTheme="minorEastAsia" w:hAnsi="Times New Roman" w:cs="Times New Roman"/>
          <w:noProof/>
          <w:sz w:val="24"/>
          <w:szCs w:val="24"/>
        </w:rPr>
        <w:drawing>
          <wp:inline distT="0" distB="0" distL="0" distR="0" wp14:anchorId="7FFED160" wp14:editId="6DB35864">
            <wp:extent cx="2905125" cy="2647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905125" cy="2647950"/>
                    </a:xfrm>
                    <a:prstGeom prst="rect">
                      <a:avLst/>
                    </a:prstGeom>
                    <a:noFill/>
                  </pic:spPr>
                </pic:pic>
              </a:graphicData>
            </a:graphic>
          </wp:inline>
        </w:drawing>
      </w:r>
    </w:p>
    <w:p w:rsidR="00B26656" w:rsidRDefault="00DD196F" w:rsidP="0072391F">
      <w:pPr>
        <w:spacing w:after="0" w:line="240" w:lineRule="auto"/>
        <w:jc w:val="both"/>
        <w:rPr>
          <w:rFonts w:ascii="Times New Roman" w:eastAsiaTheme="minorEastAsia" w:hAnsi="Times New Roman" w:cs="Times New Roman"/>
          <w:sz w:val="24"/>
          <w:szCs w:val="24"/>
        </w:rPr>
      </w:pPr>
      <w:r w:rsidRPr="00DD196F">
        <w:rPr>
          <w:rFonts w:ascii="Times New Roman" w:eastAsiaTheme="minorEastAsia" w:hAnsi="Times New Roman" w:cs="Times New Roman"/>
          <w:sz w:val="24"/>
          <w:szCs w:val="24"/>
        </w:rPr>
        <w:t xml:space="preserve">PLAZHET E DRIMADHES: Gjatë inspektimit higjeno sanitar në stacionet e monitorimit përgjithësisht u konstatuan kushte të mira. Brezi bregdetar i pastruar, i sistemuar me kosha mbeturinash, dushe, kulla vrojtimi dhe afishimi i rregullave për zbatim nga frekuentuesit e plazheve. Gjatë muajve Korrik e Gusht u konstatua shtim i numrit të frekuentuesve të plazheve. Frekuentuesit e këtyre plazheve shfrytëzojnë tualetet e strukturave akomoduese. </w:t>
      </w:r>
    </w:p>
    <w:p w:rsidR="0072391F" w:rsidRPr="00D8485A" w:rsidRDefault="0072391F" w:rsidP="0072391F">
      <w:pPr>
        <w:spacing w:after="0" w:line="240" w:lineRule="auto"/>
        <w:jc w:val="both"/>
        <w:rPr>
          <w:rFonts w:ascii="Times New Roman" w:eastAsiaTheme="minorEastAsia" w:hAnsi="Times New Roman" w:cs="Times New Roman"/>
          <w:sz w:val="24"/>
          <w:szCs w:val="24"/>
        </w:rPr>
      </w:pPr>
    </w:p>
    <w:p w:rsidR="00DD196F" w:rsidRPr="00B26656" w:rsidRDefault="00B26656" w:rsidP="00807975">
      <w:pPr>
        <w:pStyle w:val="ListParagraph"/>
        <w:numPr>
          <w:ilvl w:val="0"/>
          <w:numId w:val="82"/>
        </w:numPr>
        <w:spacing w:after="200" w:line="288" w:lineRule="auto"/>
        <w:rPr>
          <w:rFonts w:ascii="Times New Roman" w:eastAsiaTheme="minorEastAsia" w:hAnsi="Times New Roman" w:cs="Times New Roman"/>
          <w:b/>
          <w:sz w:val="24"/>
          <w:szCs w:val="24"/>
        </w:rPr>
      </w:pPr>
      <w:r w:rsidRPr="00B26656">
        <w:rPr>
          <w:rFonts w:ascii="Times New Roman" w:eastAsiaTheme="minorEastAsia" w:hAnsi="Times New Roman" w:cs="Times New Roman"/>
          <w:b/>
          <w:sz w:val="24"/>
          <w:szCs w:val="24"/>
        </w:rPr>
        <w:t>Plazhi i Drimadhes</w:t>
      </w:r>
    </w:p>
    <w:tbl>
      <w:tblPr>
        <w:tblW w:w="0" w:type="auto"/>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5"/>
        <w:gridCol w:w="1740"/>
        <w:gridCol w:w="1251"/>
        <w:gridCol w:w="1251"/>
        <w:gridCol w:w="1093"/>
        <w:gridCol w:w="2030"/>
      </w:tblGrid>
      <w:tr w:rsidR="00E95EB4" w:rsidTr="00854864">
        <w:trPr>
          <w:trHeight w:val="749"/>
        </w:trPr>
        <w:tc>
          <w:tcPr>
            <w:tcW w:w="1135" w:type="dxa"/>
            <w:shd w:val="clear" w:color="auto" w:fill="D9D9D9"/>
          </w:tcPr>
          <w:p w:rsidR="00DD196F" w:rsidRPr="00DD196F" w:rsidRDefault="00DD196F" w:rsidP="00DD196F">
            <w:pPr>
              <w:widowControl w:val="0"/>
              <w:autoSpaceDE w:val="0"/>
              <w:autoSpaceDN w:val="0"/>
              <w:spacing w:before="1" w:after="0" w:line="240" w:lineRule="auto"/>
              <w:ind w:left="65" w:right="58"/>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Nr.</w:t>
            </w:r>
          </w:p>
          <w:p w:rsidR="00DD196F" w:rsidRPr="00DD196F" w:rsidRDefault="00DD196F" w:rsidP="00DD196F">
            <w:pPr>
              <w:widowControl w:val="0"/>
              <w:autoSpaceDE w:val="0"/>
              <w:autoSpaceDN w:val="0"/>
              <w:spacing w:before="5" w:after="0" w:line="197" w:lineRule="exact"/>
              <w:ind w:left="66" w:right="58"/>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p>
        </w:tc>
        <w:tc>
          <w:tcPr>
            <w:tcW w:w="1740" w:type="dxa"/>
            <w:shd w:val="clear" w:color="auto" w:fill="D9D9D9"/>
          </w:tcPr>
          <w:p w:rsidR="00DD196F" w:rsidRPr="00DD196F" w:rsidRDefault="00DD196F" w:rsidP="00DD196F">
            <w:pPr>
              <w:widowControl w:val="0"/>
              <w:autoSpaceDE w:val="0"/>
              <w:autoSpaceDN w:val="0"/>
              <w:spacing w:before="112" w:after="0" w:line="240" w:lineRule="auto"/>
              <w:ind w:left="63" w:right="57"/>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Vendi</w:t>
            </w:r>
          </w:p>
        </w:tc>
        <w:tc>
          <w:tcPr>
            <w:tcW w:w="1251" w:type="dxa"/>
            <w:shd w:val="clear" w:color="auto" w:fill="D9D9D9"/>
          </w:tcPr>
          <w:p w:rsidR="00DD196F" w:rsidRPr="00DD196F" w:rsidRDefault="00DD196F" w:rsidP="00DD196F">
            <w:pPr>
              <w:widowControl w:val="0"/>
              <w:autoSpaceDE w:val="0"/>
              <w:autoSpaceDN w:val="0"/>
              <w:spacing w:before="1" w:after="0" w:line="240" w:lineRule="auto"/>
              <w:ind w:left="166"/>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FC</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90%</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197" w:lineRule="exact"/>
              <w:ind w:left="110"/>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250</w:t>
            </w:r>
          </w:p>
        </w:tc>
        <w:tc>
          <w:tcPr>
            <w:tcW w:w="1251" w:type="dxa"/>
            <w:shd w:val="clear" w:color="auto" w:fill="D9D9D9"/>
          </w:tcPr>
          <w:p w:rsidR="00DD196F" w:rsidRPr="00DD196F" w:rsidRDefault="00DD196F" w:rsidP="00DD196F">
            <w:pPr>
              <w:widowControl w:val="0"/>
              <w:autoSpaceDE w:val="0"/>
              <w:autoSpaceDN w:val="0"/>
              <w:spacing w:before="1" w:after="0" w:line="240" w:lineRule="auto"/>
              <w:ind w:left="193"/>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IE</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95%</w:t>
            </w:r>
            <w:r w:rsidRPr="00DD196F">
              <w:rPr>
                <w:rFonts w:ascii="Times New Roman" w:eastAsia="Times New Roman" w:hAnsi="Times New Roman" w:cs="Times New Roman"/>
                <w:b/>
                <w:spacing w:val="3"/>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197" w:lineRule="exact"/>
              <w:ind w:left="109"/>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100</w:t>
            </w:r>
          </w:p>
        </w:tc>
        <w:tc>
          <w:tcPr>
            <w:tcW w:w="1093" w:type="dxa"/>
            <w:shd w:val="clear" w:color="auto" w:fill="D9D9D9"/>
          </w:tcPr>
          <w:p w:rsidR="00DD196F" w:rsidRPr="00DD196F" w:rsidRDefault="00DD196F" w:rsidP="00DD196F">
            <w:pPr>
              <w:widowControl w:val="0"/>
              <w:autoSpaceDE w:val="0"/>
              <w:autoSpaceDN w:val="0"/>
              <w:spacing w:before="1" w:after="0" w:line="240" w:lineRule="auto"/>
              <w:ind w:left="82"/>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Kategoria</w:t>
            </w:r>
          </w:p>
        </w:tc>
        <w:tc>
          <w:tcPr>
            <w:tcW w:w="2030" w:type="dxa"/>
            <w:shd w:val="clear" w:color="auto" w:fill="D9D9D9"/>
          </w:tcPr>
          <w:p w:rsidR="00DD196F" w:rsidRPr="00DD196F" w:rsidRDefault="00DD196F" w:rsidP="00DD196F">
            <w:pPr>
              <w:widowControl w:val="0"/>
              <w:autoSpaceDE w:val="0"/>
              <w:autoSpaceDN w:val="0"/>
              <w:spacing w:before="1" w:after="0" w:line="240" w:lineRule="auto"/>
              <w:ind w:left="452"/>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Përqindja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e</w:t>
            </w:r>
          </w:p>
          <w:p w:rsidR="00DD196F" w:rsidRPr="00DD196F" w:rsidRDefault="00DD196F" w:rsidP="00DD196F">
            <w:pPr>
              <w:widowControl w:val="0"/>
              <w:autoSpaceDE w:val="0"/>
              <w:autoSpaceDN w:val="0"/>
              <w:spacing w:before="5" w:after="0" w:line="197" w:lineRule="exact"/>
              <w:ind w:left="386"/>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r w:rsidRPr="00DD196F">
              <w:rPr>
                <w:rFonts w:ascii="Times New Roman" w:eastAsia="Times New Roman" w:hAnsi="Times New Roman" w:cs="Times New Roman"/>
                <w:b/>
                <w:spacing w:val="9"/>
                <w:sz w:val="19"/>
                <w:lang w:val="sq-AL"/>
              </w:rPr>
              <w:t xml:space="preserve"> </w:t>
            </w:r>
            <w:r w:rsidRPr="00DD196F">
              <w:rPr>
                <w:rFonts w:ascii="Times New Roman" w:eastAsia="Times New Roman" w:hAnsi="Times New Roman" w:cs="Times New Roman"/>
                <w:b/>
                <w:sz w:val="19"/>
                <w:lang w:val="sq-AL"/>
              </w:rPr>
              <w:t>%</w:t>
            </w:r>
          </w:p>
        </w:tc>
      </w:tr>
      <w:tr w:rsidR="00E95EB4" w:rsidTr="00854864">
        <w:trPr>
          <w:trHeight w:val="506"/>
        </w:trPr>
        <w:tc>
          <w:tcPr>
            <w:tcW w:w="1135" w:type="dxa"/>
          </w:tcPr>
          <w:p w:rsidR="00DD196F" w:rsidRPr="00DD196F" w:rsidRDefault="00DD196F" w:rsidP="00DD196F">
            <w:pPr>
              <w:widowControl w:val="0"/>
              <w:autoSpaceDE w:val="0"/>
              <w:autoSpaceDN w:val="0"/>
              <w:spacing w:before="39" w:after="0" w:line="240" w:lineRule="auto"/>
              <w:ind w:left="8"/>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1</w:t>
            </w:r>
          </w:p>
        </w:tc>
        <w:tc>
          <w:tcPr>
            <w:tcW w:w="1740" w:type="dxa"/>
          </w:tcPr>
          <w:p w:rsidR="00DD196F" w:rsidRPr="00DD196F" w:rsidRDefault="00DD196F" w:rsidP="00DD196F">
            <w:pPr>
              <w:widowControl w:val="0"/>
              <w:autoSpaceDE w:val="0"/>
              <w:autoSpaceDN w:val="0"/>
              <w:spacing w:before="39" w:after="0" w:line="240" w:lineRule="auto"/>
              <w:ind w:left="63" w:right="147"/>
              <w:jc w:val="center"/>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 xml:space="preserve">Drimadhe </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1</w:t>
            </w:r>
          </w:p>
        </w:tc>
        <w:tc>
          <w:tcPr>
            <w:tcW w:w="1251" w:type="dxa"/>
          </w:tcPr>
          <w:p w:rsidR="00DD196F" w:rsidRPr="00DD196F" w:rsidRDefault="00DD196F" w:rsidP="00DD196F">
            <w:pPr>
              <w:widowControl w:val="0"/>
              <w:autoSpaceDE w:val="0"/>
              <w:autoSpaceDN w:val="0"/>
              <w:spacing w:after="0" w:line="217"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49</w:t>
            </w:r>
          </w:p>
        </w:tc>
        <w:tc>
          <w:tcPr>
            <w:tcW w:w="1251" w:type="dxa"/>
          </w:tcPr>
          <w:p w:rsidR="00DD196F" w:rsidRPr="00DD196F" w:rsidRDefault="00DD196F" w:rsidP="00DD196F">
            <w:pPr>
              <w:widowControl w:val="0"/>
              <w:autoSpaceDE w:val="0"/>
              <w:autoSpaceDN w:val="0"/>
              <w:spacing w:after="0" w:line="217"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79</w:t>
            </w:r>
          </w:p>
        </w:tc>
        <w:tc>
          <w:tcPr>
            <w:tcW w:w="1093" w:type="dxa"/>
          </w:tcPr>
          <w:p w:rsidR="00DD196F" w:rsidRPr="00DD196F" w:rsidRDefault="00DD196F" w:rsidP="00DD196F">
            <w:pPr>
              <w:widowControl w:val="0"/>
              <w:autoSpaceDE w:val="0"/>
              <w:autoSpaceDN w:val="0"/>
              <w:spacing w:after="0" w:line="217"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2030" w:type="dxa"/>
            <w:vMerge w:val="restart"/>
          </w:tcPr>
          <w:p w:rsidR="00DD196F" w:rsidRPr="00DD196F" w:rsidRDefault="00DD196F" w:rsidP="00DD196F">
            <w:pPr>
              <w:widowControl w:val="0"/>
              <w:autoSpaceDE w:val="0"/>
              <w:autoSpaceDN w:val="0"/>
              <w:spacing w:after="0" w:line="244" w:lineRule="auto"/>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100%</w:t>
            </w:r>
            <w:r w:rsidRPr="00DD196F">
              <w:rPr>
                <w:rFonts w:ascii="Times New Roman" w:eastAsia="Times New Roman" w:hAnsi="Times New Roman" w:cs="Times New Roman"/>
                <w:spacing w:val="8"/>
                <w:sz w:val="19"/>
                <w:lang w:val="sq-AL"/>
              </w:rPr>
              <w:t xml:space="preserve"> </w:t>
            </w:r>
            <w:r w:rsidRPr="00DD196F">
              <w:rPr>
                <w:rFonts w:ascii="Times New Roman" w:eastAsia="Times New Roman" w:hAnsi="Times New Roman" w:cs="Times New Roman"/>
                <w:sz w:val="19"/>
                <w:lang w:val="sq-AL"/>
              </w:rPr>
              <w:t>A-</w:t>
            </w:r>
            <w:r w:rsidRPr="00DD196F">
              <w:rPr>
                <w:rFonts w:ascii="Times New Roman" w:eastAsia="Times New Roman" w:hAnsi="Times New Roman" w:cs="Times New Roman"/>
                <w:spacing w:val="3"/>
                <w:sz w:val="19"/>
                <w:lang w:val="sq-AL"/>
              </w:rPr>
              <w:t xml:space="preserve"> </w:t>
            </w:r>
            <w:r w:rsidRPr="00DD196F">
              <w:rPr>
                <w:rFonts w:ascii="Times New Roman" w:eastAsia="Times New Roman" w:hAnsi="Times New Roman" w:cs="Times New Roman"/>
                <w:sz w:val="19"/>
                <w:lang w:val="sq-AL"/>
              </w:rPr>
              <w:t>Cilësi</w:t>
            </w:r>
            <w:r w:rsidRPr="00DD196F">
              <w:rPr>
                <w:rFonts w:ascii="Times New Roman" w:eastAsia="Times New Roman" w:hAnsi="Times New Roman" w:cs="Times New Roman"/>
                <w:spacing w:val="2"/>
                <w:sz w:val="19"/>
                <w:lang w:val="sq-AL"/>
              </w:rPr>
              <w:t xml:space="preserve"> </w:t>
            </w:r>
            <w:r w:rsidRPr="00DD196F">
              <w:rPr>
                <w:rFonts w:ascii="Times New Roman" w:eastAsia="Times New Roman" w:hAnsi="Times New Roman" w:cs="Times New Roman"/>
                <w:sz w:val="19"/>
                <w:lang w:val="sq-AL"/>
              </w:rPr>
              <w:t>e</w:t>
            </w:r>
            <w:r w:rsidRPr="00DD196F">
              <w:rPr>
                <w:rFonts w:ascii="Times New Roman" w:eastAsia="Times New Roman" w:hAnsi="Times New Roman" w:cs="Times New Roman"/>
                <w:spacing w:val="-45"/>
                <w:sz w:val="19"/>
                <w:lang w:val="sq-AL"/>
              </w:rPr>
              <w:t xml:space="preserve"> </w:t>
            </w:r>
            <w:r w:rsidRPr="00DD196F">
              <w:rPr>
                <w:rFonts w:ascii="Times New Roman" w:eastAsia="Times New Roman" w:hAnsi="Times New Roman" w:cs="Times New Roman"/>
                <w:sz w:val="19"/>
                <w:lang w:val="sq-AL"/>
              </w:rPr>
              <w:t>shkëlqyer</w:t>
            </w:r>
          </w:p>
        </w:tc>
      </w:tr>
      <w:tr w:rsidR="00E95EB4" w:rsidTr="00854864">
        <w:trPr>
          <w:trHeight w:val="369"/>
        </w:trPr>
        <w:tc>
          <w:tcPr>
            <w:tcW w:w="1135" w:type="dxa"/>
          </w:tcPr>
          <w:p w:rsidR="00DD196F" w:rsidRPr="00DD196F" w:rsidRDefault="00DD196F" w:rsidP="00DD196F">
            <w:pPr>
              <w:widowControl w:val="0"/>
              <w:autoSpaceDE w:val="0"/>
              <w:autoSpaceDN w:val="0"/>
              <w:spacing w:after="0" w:line="199" w:lineRule="exact"/>
              <w:ind w:left="8"/>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2</w:t>
            </w:r>
          </w:p>
        </w:tc>
        <w:tc>
          <w:tcPr>
            <w:tcW w:w="1740" w:type="dxa"/>
          </w:tcPr>
          <w:p w:rsidR="00DD196F" w:rsidRPr="00DD196F" w:rsidRDefault="00DD196F" w:rsidP="00DD196F">
            <w:pPr>
              <w:widowControl w:val="0"/>
              <w:autoSpaceDE w:val="0"/>
              <w:autoSpaceDN w:val="0"/>
              <w:spacing w:after="0" w:line="199" w:lineRule="exact"/>
              <w:ind w:left="63" w:right="147"/>
              <w:jc w:val="center"/>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 xml:space="preserve">Drimadhe </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2</w:t>
            </w:r>
          </w:p>
        </w:tc>
        <w:tc>
          <w:tcPr>
            <w:tcW w:w="1251" w:type="dxa"/>
          </w:tcPr>
          <w:p w:rsidR="00DD196F" w:rsidRPr="00DD196F" w:rsidRDefault="00DD196F" w:rsidP="00DD196F">
            <w:pPr>
              <w:widowControl w:val="0"/>
              <w:autoSpaceDE w:val="0"/>
              <w:autoSpaceDN w:val="0"/>
              <w:spacing w:after="0" w:line="199"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52</w:t>
            </w:r>
          </w:p>
        </w:tc>
        <w:tc>
          <w:tcPr>
            <w:tcW w:w="1251" w:type="dxa"/>
          </w:tcPr>
          <w:p w:rsidR="00DD196F" w:rsidRPr="00DD196F" w:rsidRDefault="00DD196F" w:rsidP="00DD196F">
            <w:pPr>
              <w:widowControl w:val="0"/>
              <w:autoSpaceDE w:val="0"/>
              <w:autoSpaceDN w:val="0"/>
              <w:spacing w:after="0" w:line="19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71</w:t>
            </w:r>
          </w:p>
        </w:tc>
        <w:tc>
          <w:tcPr>
            <w:tcW w:w="1093" w:type="dxa"/>
          </w:tcPr>
          <w:p w:rsidR="00DD196F" w:rsidRPr="00DD196F" w:rsidRDefault="00DD196F" w:rsidP="00DD196F">
            <w:pPr>
              <w:widowControl w:val="0"/>
              <w:autoSpaceDE w:val="0"/>
              <w:autoSpaceDN w:val="0"/>
              <w:spacing w:after="0" w:line="19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2030"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bl>
    <w:p w:rsidR="00DD196F" w:rsidRPr="00DD196F" w:rsidRDefault="00DD196F" w:rsidP="00854864">
      <w:pPr>
        <w:spacing w:after="0" w:line="240" w:lineRule="auto"/>
        <w:rPr>
          <w:rFonts w:ascii="Times New Roman" w:eastAsiaTheme="minorEastAsia" w:hAnsi="Times New Roman" w:cs="Times New Roman"/>
          <w:sz w:val="24"/>
          <w:szCs w:val="24"/>
        </w:rPr>
      </w:pPr>
      <w:r w:rsidRPr="00DD196F">
        <w:rPr>
          <w:rFonts w:ascii="Times New Roman" w:eastAsiaTheme="minorEastAsia" w:hAnsi="Times New Roman" w:cs="Times New Roman"/>
          <w:sz w:val="24"/>
          <w:szCs w:val="24"/>
        </w:rPr>
        <w:t>Referuar rezultateve të analizave bakteriologjike këto plazhe vlerësohen në kategorinë A- Cilësi e shkëlqyer e ujërave në të gjitha pikat e monitorimit.</w:t>
      </w:r>
    </w:p>
    <w:p w:rsidR="00DD196F" w:rsidRPr="00DD196F" w:rsidRDefault="00DD196F" w:rsidP="00DD196F">
      <w:pPr>
        <w:spacing w:after="0" w:line="288" w:lineRule="auto"/>
        <w:rPr>
          <w:rFonts w:ascii="Times New Roman" w:eastAsiaTheme="minorEastAsia" w:hAnsi="Times New Roman" w:cs="Times New Roman"/>
          <w:sz w:val="24"/>
          <w:szCs w:val="24"/>
        </w:rPr>
      </w:pPr>
    </w:p>
    <w:p w:rsidR="00DD196F" w:rsidRPr="00DD196F" w:rsidRDefault="00D8485A" w:rsidP="00DD196F">
      <w:pPr>
        <w:spacing w:after="200" w:line="288" w:lineRule="auto"/>
        <w:rPr>
          <w:rFonts w:ascii="Times New Roman" w:eastAsiaTheme="minorEastAsia" w:hAnsi="Times New Roman" w:cs="Times New Roman"/>
          <w:sz w:val="24"/>
          <w:szCs w:val="24"/>
        </w:rPr>
      </w:pPr>
      <w:r w:rsidRPr="00DD196F">
        <w:rPr>
          <w:rFonts w:ascii="Times New Roman" w:eastAsiaTheme="minorEastAsia" w:hAnsi="Times New Roman" w:cs="Times New Roman"/>
          <w:noProof/>
          <w:sz w:val="24"/>
          <w:szCs w:val="24"/>
        </w:rPr>
        <mc:AlternateContent>
          <mc:Choice Requires="wps">
            <w:drawing>
              <wp:anchor distT="0" distB="0" distL="114300" distR="114300" simplePos="0" relativeHeight="251652608" behindDoc="0" locked="0" layoutInCell="1" allowOverlap="1" wp14:anchorId="1452F296" wp14:editId="4D311A84">
                <wp:simplePos x="0" y="0"/>
                <wp:positionH relativeFrom="column">
                  <wp:posOffset>3381375</wp:posOffset>
                </wp:positionH>
                <wp:positionV relativeFrom="paragraph">
                  <wp:posOffset>12700</wp:posOffset>
                </wp:positionV>
                <wp:extent cx="2714625" cy="1838325"/>
                <wp:effectExtent l="0" t="0" r="28575" b="28575"/>
                <wp:wrapNone/>
                <wp:docPr id="53" name="Rectangle 53"/>
                <wp:cNvGraphicFramePr/>
                <a:graphic xmlns:a="http://schemas.openxmlformats.org/drawingml/2006/main">
                  <a:graphicData uri="http://schemas.microsoft.com/office/word/2010/wordprocessingShape">
                    <wps:wsp>
                      <wps:cNvSpPr/>
                      <wps:spPr>
                        <a:xfrm>
                          <a:off x="0" y="0"/>
                          <a:ext cx="2714625" cy="1838325"/>
                        </a:xfrm>
                        <a:prstGeom prst="rect">
                          <a:avLst/>
                        </a:prstGeom>
                        <a:solidFill>
                          <a:sysClr val="window" lastClr="FFFFFF"/>
                        </a:solidFill>
                        <a:ln w="12700" cap="flat" cmpd="sng" algn="ctr">
                          <a:solidFill>
                            <a:srgbClr val="70AD47"/>
                          </a:solidFill>
                          <a:prstDash val="solid"/>
                          <a:miter lim="800000"/>
                        </a:ln>
                        <a:effectLst/>
                      </wps:spPr>
                      <wps:txbx>
                        <w:txbxContent>
                          <w:p w:rsidR="0064059F" w:rsidRDefault="0064059F" w:rsidP="0072391F">
                            <w:pPr>
                              <w:spacing w:after="0"/>
                              <w:jc w:val="both"/>
                              <w:rPr>
                                <w:rFonts w:ascii="Times New Roman" w:hAnsi="Times New Roman" w:cs="Times New Roman"/>
                                <w:sz w:val="24"/>
                                <w:szCs w:val="24"/>
                              </w:rPr>
                            </w:pPr>
                            <w:r>
                              <w:rPr>
                                <w:rFonts w:ascii="Times New Roman" w:hAnsi="Times New Roman" w:cs="Times New Roman"/>
                                <w:sz w:val="24"/>
                                <w:szCs w:val="24"/>
                              </w:rPr>
                              <w:t>Krahasuar me vitin 2024 kemi përmirësim të cilësisë së ujrave të larjes të kategorisë A-Cilësi ë shkëlqyer, nuk kemi stacione të kategorisë  B-cilësi e mirë. Krahasuar me vitet 2020-2023 cilësia e ujërave është e njëjtë .</w:t>
                            </w:r>
                          </w:p>
                          <w:p w:rsidR="0064059F" w:rsidRDefault="0064059F" w:rsidP="0072391F">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52F296" id="Rectangle 53" o:spid="_x0000_s1098" style="position:absolute;margin-left:266.25pt;margin-top:1pt;width:213.75pt;height:14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" fillcolor="window" strokecolor="#70ad47" strokeweight="1pt">
                <v:textbox>
                  <w:txbxContent>
                    <w:p w:rsidR="0064059F" w:rsidRDefault="0064059F" w:rsidP="0072391F">
                      <w:pPr>
                        <w:spacing w:after="0"/>
                        <w:jc w:val="both"/>
                        <w:rPr>
                          <w:rFonts w:ascii="Times New Roman" w:hAnsi="Times New Roman" w:cs="Times New Roman"/>
                          <w:sz w:val="24"/>
                          <w:szCs w:val="24"/>
                        </w:rPr>
                      </w:pPr>
                      <w:r>
                        <w:rPr>
                          <w:rFonts w:ascii="Times New Roman" w:hAnsi="Times New Roman" w:cs="Times New Roman"/>
                          <w:sz w:val="24"/>
                          <w:szCs w:val="24"/>
                        </w:rPr>
                        <w:t>Krahasuar me vitin 2024 kemi përmirësim të cilësisë së ujrave të larjes të kategorisë A-Cilësi ë shkëlqyer, nuk kemi stacione të kategorisë  B-cilësi e mirë. Krahasuar me vitet 2020-2023 cilësia e ujërave është e njëjtë .</w:t>
                      </w:r>
                    </w:p>
                    <w:p w:rsidR="0064059F" w:rsidRDefault="0064059F" w:rsidP="0072391F">
                      <w:pPr>
                        <w:jc w:val="both"/>
                      </w:pPr>
                    </w:p>
                  </w:txbxContent>
                </v:textbox>
              </v:rect>
            </w:pict>
          </mc:Fallback>
        </mc:AlternateContent>
      </w:r>
      <w:r w:rsidR="00DD196F" w:rsidRPr="00DD196F">
        <w:rPr>
          <w:rFonts w:ascii="Times New Roman" w:eastAsiaTheme="minorEastAsia" w:hAnsi="Times New Roman" w:cs="Times New Roman"/>
          <w:noProof/>
          <w:sz w:val="24"/>
          <w:szCs w:val="24"/>
        </w:rPr>
        <w:drawing>
          <wp:inline distT="0" distB="0" distL="0" distR="0" wp14:anchorId="6FD3125E" wp14:editId="0F7486E1">
            <wp:extent cx="3152140" cy="2038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166233" cy="2047463"/>
                    </a:xfrm>
                    <a:prstGeom prst="rect">
                      <a:avLst/>
                    </a:prstGeom>
                    <a:noFill/>
                  </pic:spPr>
                </pic:pic>
              </a:graphicData>
            </a:graphic>
          </wp:inline>
        </w:drawing>
      </w:r>
    </w:p>
    <w:p w:rsidR="0072391F" w:rsidRDefault="0072391F" w:rsidP="00B26656">
      <w:pPr>
        <w:spacing w:after="0" w:line="240" w:lineRule="auto"/>
        <w:jc w:val="both"/>
        <w:rPr>
          <w:rFonts w:ascii="Times New Roman" w:eastAsia="Times New Roman" w:hAnsi="Times New Roman" w:cs="Times New Roman"/>
          <w:sz w:val="24"/>
          <w:szCs w:val="24"/>
          <w:lang w:val="it-IT"/>
        </w:rPr>
      </w:pPr>
    </w:p>
    <w:p w:rsidR="0072391F" w:rsidRDefault="00DD196F" w:rsidP="00B26656">
      <w:pPr>
        <w:spacing w:after="0" w:line="240" w:lineRule="auto"/>
        <w:jc w:val="both"/>
        <w:rPr>
          <w:rFonts w:ascii="Times New Roman" w:eastAsia="Times New Roman" w:hAnsi="Times New Roman" w:cs="Times New Roman"/>
          <w:sz w:val="24"/>
          <w:szCs w:val="24"/>
          <w:lang w:val="it-IT"/>
        </w:rPr>
      </w:pPr>
      <w:r w:rsidRPr="00DD196F">
        <w:rPr>
          <w:rFonts w:ascii="Times New Roman" w:eastAsia="Times New Roman" w:hAnsi="Times New Roman" w:cs="Times New Roman"/>
          <w:sz w:val="24"/>
          <w:szCs w:val="24"/>
          <w:lang w:val="it-IT"/>
        </w:rPr>
        <w:t xml:space="preserve">PLAZHET E </w:t>
      </w:r>
      <w:r w:rsidRPr="00DD196F">
        <w:rPr>
          <w:rFonts w:ascii="Times New Roman" w:eastAsia="Times New Roman" w:hAnsi="Times New Roman" w:cs="Times New Roman"/>
          <w:sz w:val="24"/>
          <w:szCs w:val="24"/>
          <w:lang w:val="sq-AL"/>
        </w:rPr>
        <w:t>DHËRMIUT</w:t>
      </w:r>
      <w:r w:rsidRPr="0072391F">
        <w:rPr>
          <w:rFonts w:ascii="Times New Roman" w:eastAsia="Times New Roman" w:hAnsi="Times New Roman" w:cs="Times New Roman"/>
          <w:b/>
          <w:sz w:val="24"/>
          <w:szCs w:val="24"/>
          <w:lang w:val="sq-AL"/>
        </w:rPr>
        <w:t>:</w:t>
      </w:r>
      <w:r w:rsidRPr="00DD196F">
        <w:rPr>
          <w:rFonts w:ascii="Times New Roman" w:eastAsia="Times New Roman" w:hAnsi="Times New Roman" w:cs="Times New Roman"/>
          <w:b/>
          <w:sz w:val="24"/>
          <w:szCs w:val="24"/>
          <w:lang w:val="sq-AL"/>
        </w:rPr>
        <w:t xml:space="preserve"> </w:t>
      </w:r>
      <w:r w:rsidRPr="00DD196F">
        <w:rPr>
          <w:rFonts w:ascii="Times New Roman" w:eastAsia="Times New Roman" w:hAnsi="Times New Roman" w:cs="Times New Roman"/>
          <w:sz w:val="24"/>
          <w:szCs w:val="24"/>
          <w:lang w:val="it-IT"/>
        </w:rPr>
        <w:t xml:space="preserve">Gjatë inspektimit higjeno sanitar </w:t>
      </w:r>
      <w:r w:rsidRPr="00DD196F">
        <w:rPr>
          <w:rFonts w:ascii="Times New Roman" w:eastAsia="Times New Roman" w:hAnsi="Times New Roman" w:cs="Times New Roman"/>
          <w:sz w:val="24"/>
          <w:szCs w:val="24"/>
          <w:lang w:val="sq-AL"/>
        </w:rPr>
        <w:t xml:space="preserve">në stacionet e monitorimit në Dhërmi përgjithësisht </w:t>
      </w:r>
      <w:r w:rsidRPr="00DD196F">
        <w:rPr>
          <w:rFonts w:ascii="Times New Roman" w:eastAsia="Calibri" w:hAnsi="Times New Roman" w:cs="Times New Roman"/>
          <w:sz w:val="24"/>
          <w:szCs w:val="24"/>
          <w:lang w:val="sq-AL"/>
        </w:rPr>
        <w:t xml:space="preserve">u konstatuan kushte të mira. </w:t>
      </w:r>
      <w:r w:rsidRPr="00DD196F">
        <w:rPr>
          <w:rFonts w:ascii="Times New Roman" w:eastAsia="Times New Roman" w:hAnsi="Times New Roman" w:cs="Times New Roman"/>
          <w:sz w:val="24"/>
          <w:szCs w:val="24"/>
          <w:lang w:val="sq-AL"/>
        </w:rPr>
        <w:t xml:space="preserve">Brezi bregdetar i pastruar, i sistemuar me kosha mbeturinash, dushe, kulla vrojtimi, dhoma për ndërrimin e veshjeve </w:t>
      </w:r>
      <w:r w:rsidRPr="00DD196F">
        <w:rPr>
          <w:rFonts w:ascii="Times New Roman" w:eastAsia="Calibri" w:hAnsi="Times New Roman" w:cs="Times New Roman"/>
          <w:sz w:val="24"/>
          <w:szCs w:val="24"/>
          <w:lang w:val="sq-AL"/>
        </w:rPr>
        <w:t>dhe afishimi i rregullave p</w:t>
      </w:r>
      <w:r w:rsidRPr="00DD196F">
        <w:rPr>
          <w:rFonts w:ascii="Times New Roman" w:eastAsia="Times New Roman" w:hAnsi="Times New Roman" w:cs="Times New Roman"/>
          <w:sz w:val="24"/>
          <w:szCs w:val="24"/>
          <w:lang w:val="sq-AL"/>
        </w:rPr>
        <w:t>ë</w:t>
      </w:r>
      <w:r w:rsidRPr="00DD196F">
        <w:rPr>
          <w:rFonts w:ascii="Times New Roman" w:eastAsia="Calibri" w:hAnsi="Times New Roman" w:cs="Times New Roman"/>
          <w:sz w:val="24"/>
          <w:szCs w:val="24"/>
          <w:lang w:val="sq-AL"/>
        </w:rPr>
        <w:t>r zbatim nga frekuentuesit e plazheve</w:t>
      </w:r>
      <w:r w:rsidRPr="00DD196F">
        <w:rPr>
          <w:rFonts w:ascii="Times New Roman" w:eastAsia="Times New Roman" w:hAnsi="Times New Roman" w:cs="Times New Roman"/>
          <w:sz w:val="24"/>
          <w:szCs w:val="24"/>
          <w:lang w:val="it-IT"/>
        </w:rPr>
        <w:t xml:space="preserve">. </w:t>
      </w:r>
    </w:p>
    <w:p w:rsidR="0072391F" w:rsidRDefault="0072391F" w:rsidP="00B26656">
      <w:pPr>
        <w:spacing w:after="0" w:line="240" w:lineRule="auto"/>
        <w:jc w:val="both"/>
        <w:rPr>
          <w:rFonts w:ascii="Times New Roman" w:eastAsia="Times New Roman" w:hAnsi="Times New Roman" w:cs="Times New Roman"/>
          <w:sz w:val="24"/>
          <w:szCs w:val="24"/>
          <w:lang w:val="it-IT"/>
        </w:rPr>
      </w:pPr>
    </w:p>
    <w:p w:rsidR="00DD196F" w:rsidRDefault="00DD196F" w:rsidP="00B26656">
      <w:pPr>
        <w:spacing w:after="0" w:line="240" w:lineRule="auto"/>
        <w:jc w:val="both"/>
        <w:rPr>
          <w:rFonts w:ascii="Times New Roman" w:eastAsia="Times New Roman" w:hAnsi="Times New Roman" w:cs="Times New Roman"/>
          <w:sz w:val="24"/>
          <w:szCs w:val="24"/>
        </w:rPr>
      </w:pPr>
      <w:r w:rsidRPr="00DD196F">
        <w:rPr>
          <w:rFonts w:ascii="Times New Roman" w:eastAsia="Times New Roman" w:hAnsi="Times New Roman" w:cs="Times New Roman"/>
          <w:sz w:val="24"/>
          <w:szCs w:val="24"/>
          <w:lang w:val="it-IT"/>
        </w:rPr>
        <w:t xml:space="preserve">Brezi ranor </w:t>
      </w:r>
      <w:r w:rsidR="0072391F">
        <w:rPr>
          <w:rFonts w:ascii="Times New Roman" w:eastAsia="Times New Roman" w:hAnsi="Times New Roman" w:cs="Times New Roman"/>
          <w:sz w:val="24"/>
          <w:szCs w:val="24"/>
          <w:lang w:val="it-IT"/>
        </w:rPr>
        <w:t xml:space="preserve">është </w:t>
      </w:r>
      <w:r w:rsidRPr="00DD196F">
        <w:rPr>
          <w:rFonts w:ascii="Times New Roman" w:eastAsia="Times New Roman" w:hAnsi="Times New Roman" w:cs="Times New Roman"/>
          <w:sz w:val="24"/>
          <w:szCs w:val="24"/>
          <w:lang w:val="it-IT"/>
        </w:rPr>
        <w:t>pa prani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nyjeve higjeno sanitare. Frekuentuesit e k</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tyre plazheve shfryt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zojn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ambientet e strukturave akomoduese. Gjat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muajve Korrik e Gusht u konstatua shtim i numrit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frekuentuesve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plazheve. </w:t>
      </w:r>
      <w:r w:rsidRPr="00DD196F">
        <w:rPr>
          <w:rFonts w:ascii="Times New Roman" w:eastAsia="Times New Roman" w:hAnsi="Times New Roman" w:cs="Times New Roman"/>
          <w:sz w:val="24"/>
          <w:szCs w:val="24"/>
        </w:rPr>
        <w:t>Në mes, kanalet e pjesës së shkrimit DH</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rPr>
        <w:t xml:space="preserve">RMI janë mbuluar me gurë pra nuk ka kanale të hapura që derdhin ujërat drejtpërdrejt në det. U konstatuan kushte relativisht të mira në plazhet publike. </w:t>
      </w:r>
    </w:p>
    <w:p w:rsidR="00B26656" w:rsidRPr="00DD196F" w:rsidRDefault="00B26656" w:rsidP="00B26656">
      <w:pPr>
        <w:spacing w:after="0" w:line="240" w:lineRule="auto"/>
        <w:jc w:val="both"/>
        <w:rPr>
          <w:rFonts w:ascii="Times New Roman" w:eastAsia="Times New Roman" w:hAnsi="Times New Roman" w:cs="Times New Roman"/>
          <w:sz w:val="24"/>
          <w:szCs w:val="24"/>
        </w:rPr>
      </w:pPr>
    </w:p>
    <w:p w:rsidR="00DD196F" w:rsidRPr="00DD196F" w:rsidRDefault="00DD196F" w:rsidP="00DD196F">
      <w:pPr>
        <w:spacing w:after="200" w:line="288" w:lineRule="auto"/>
        <w:rPr>
          <w:rFonts w:ascii="Times New Roman" w:eastAsia="Times New Roman" w:hAnsi="Times New Roman" w:cs="Times New Roman"/>
          <w:b/>
          <w:sz w:val="24"/>
          <w:szCs w:val="24"/>
          <w:lang w:val="sq-AL"/>
        </w:rPr>
      </w:pPr>
      <w:r w:rsidRPr="00DD196F">
        <w:rPr>
          <w:rFonts w:ascii="Times New Roman" w:eastAsia="Times New Roman" w:hAnsi="Times New Roman" w:cs="Times New Roman"/>
          <w:b/>
          <w:sz w:val="24"/>
          <w:szCs w:val="24"/>
          <w:lang w:val="sq-AL"/>
        </w:rPr>
        <w:t xml:space="preserve">                        ● Plazhi i Dhërmiut</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58"/>
        <w:gridCol w:w="1745"/>
        <w:gridCol w:w="1383"/>
        <w:gridCol w:w="1513"/>
        <w:gridCol w:w="1115"/>
        <w:gridCol w:w="1911"/>
      </w:tblGrid>
      <w:tr w:rsidR="00E95EB4" w:rsidTr="00854864">
        <w:trPr>
          <w:trHeight w:val="635"/>
        </w:trPr>
        <w:tc>
          <w:tcPr>
            <w:tcW w:w="1158" w:type="dxa"/>
            <w:shd w:val="clear" w:color="auto" w:fill="DEEAF6"/>
          </w:tcPr>
          <w:p w:rsidR="00DD196F" w:rsidRPr="00DD196F" w:rsidRDefault="00DD196F" w:rsidP="00DD196F">
            <w:pPr>
              <w:widowControl w:val="0"/>
              <w:autoSpaceDE w:val="0"/>
              <w:autoSpaceDN w:val="0"/>
              <w:spacing w:before="1" w:after="0" w:line="240" w:lineRule="auto"/>
              <w:ind w:left="65" w:right="58"/>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Nr.</w:t>
            </w:r>
          </w:p>
          <w:p w:rsidR="00DD196F" w:rsidRPr="00DD196F" w:rsidRDefault="00DD196F" w:rsidP="00DD196F">
            <w:pPr>
              <w:widowControl w:val="0"/>
              <w:autoSpaceDE w:val="0"/>
              <w:autoSpaceDN w:val="0"/>
              <w:spacing w:before="5" w:after="0" w:line="197" w:lineRule="exact"/>
              <w:ind w:left="66" w:right="58"/>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p>
        </w:tc>
        <w:tc>
          <w:tcPr>
            <w:tcW w:w="1745" w:type="dxa"/>
            <w:shd w:val="clear" w:color="auto" w:fill="DEEAF6"/>
          </w:tcPr>
          <w:p w:rsidR="00DD196F" w:rsidRPr="00DD196F" w:rsidRDefault="00DD196F" w:rsidP="00DD196F">
            <w:pPr>
              <w:widowControl w:val="0"/>
              <w:autoSpaceDE w:val="0"/>
              <w:autoSpaceDN w:val="0"/>
              <w:spacing w:before="112" w:after="0" w:line="240" w:lineRule="auto"/>
              <w:ind w:right="398"/>
              <w:jc w:val="right"/>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Vendi</w:t>
            </w:r>
          </w:p>
        </w:tc>
        <w:tc>
          <w:tcPr>
            <w:tcW w:w="1383" w:type="dxa"/>
            <w:shd w:val="clear" w:color="auto" w:fill="DEEAF6"/>
          </w:tcPr>
          <w:p w:rsidR="00DD196F" w:rsidRPr="00DD196F" w:rsidRDefault="00DD196F" w:rsidP="00DD196F">
            <w:pPr>
              <w:widowControl w:val="0"/>
              <w:autoSpaceDE w:val="0"/>
              <w:autoSpaceDN w:val="0"/>
              <w:spacing w:before="1" w:after="0" w:line="240" w:lineRule="auto"/>
              <w:ind w:left="348"/>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FC</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90%</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197" w:lineRule="exact"/>
              <w:ind w:left="291"/>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250</w:t>
            </w:r>
          </w:p>
        </w:tc>
        <w:tc>
          <w:tcPr>
            <w:tcW w:w="1513" w:type="dxa"/>
            <w:shd w:val="clear" w:color="auto" w:fill="DEEAF6"/>
          </w:tcPr>
          <w:p w:rsidR="00DD196F" w:rsidRPr="00DD196F" w:rsidRDefault="00DD196F" w:rsidP="00DD196F">
            <w:pPr>
              <w:widowControl w:val="0"/>
              <w:autoSpaceDE w:val="0"/>
              <w:autoSpaceDN w:val="0"/>
              <w:spacing w:before="1" w:after="0" w:line="240" w:lineRule="auto"/>
              <w:ind w:left="302"/>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IE</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95%</w:t>
            </w:r>
            <w:r w:rsidRPr="00DD196F">
              <w:rPr>
                <w:rFonts w:ascii="Times New Roman" w:eastAsia="Times New Roman" w:hAnsi="Times New Roman" w:cs="Times New Roman"/>
                <w:b/>
                <w:spacing w:val="3"/>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197" w:lineRule="exact"/>
              <w:ind w:left="218"/>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100</w:t>
            </w:r>
          </w:p>
        </w:tc>
        <w:tc>
          <w:tcPr>
            <w:tcW w:w="1115" w:type="dxa"/>
            <w:shd w:val="clear" w:color="auto" w:fill="DEEAF6"/>
          </w:tcPr>
          <w:p w:rsidR="00DD196F" w:rsidRPr="00DD196F" w:rsidRDefault="00DD196F" w:rsidP="00DD196F">
            <w:pPr>
              <w:widowControl w:val="0"/>
              <w:autoSpaceDE w:val="0"/>
              <w:autoSpaceDN w:val="0"/>
              <w:spacing w:before="1" w:after="0" w:line="240" w:lineRule="auto"/>
              <w:ind w:left="82"/>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Kategoria</w:t>
            </w:r>
          </w:p>
        </w:tc>
        <w:tc>
          <w:tcPr>
            <w:tcW w:w="1911" w:type="dxa"/>
            <w:shd w:val="clear" w:color="auto" w:fill="DEEAF6"/>
          </w:tcPr>
          <w:p w:rsidR="00DD196F" w:rsidRPr="00DD196F" w:rsidRDefault="00DD196F" w:rsidP="00DD196F">
            <w:pPr>
              <w:widowControl w:val="0"/>
              <w:autoSpaceDE w:val="0"/>
              <w:autoSpaceDN w:val="0"/>
              <w:spacing w:before="1" w:after="0" w:line="240" w:lineRule="auto"/>
              <w:ind w:left="379"/>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Përqindja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e</w:t>
            </w:r>
          </w:p>
          <w:p w:rsidR="00DD196F" w:rsidRPr="00DD196F" w:rsidRDefault="00DD196F" w:rsidP="00DD196F">
            <w:pPr>
              <w:widowControl w:val="0"/>
              <w:autoSpaceDE w:val="0"/>
              <w:autoSpaceDN w:val="0"/>
              <w:spacing w:before="5" w:after="0" w:line="197" w:lineRule="exact"/>
              <w:ind w:left="314"/>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r w:rsidRPr="00DD196F">
              <w:rPr>
                <w:rFonts w:ascii="Times New Roman" w:eastAsia="Times New Roman" w:hAnsi="Times New Roman" w:cs="Times New Roman"/>
                <w:b/>
                <w:spacing w:val="9"/>
                <w:sz w:val="19"/>
                <w:lang w:val="sq-AL"/>
              </w:rPr>
              <w:t xml:space="preserve"> </w:t>
            </w:r>
            <w:r w:rsidRPr="00DD196F">
              <w:rPr>
                <w:rFonts w:ascii="Times New Roman" w:eastAsia="Times New Roman" w:hAnsi="Times New Roman" w:cs="Times New Roman"/>
                <w:b/>
                <w:sz w:val="19"/>
                <w:lang w:val="sq-AL"/>
              </w:rPr>
              <w:t>%</w:t>
            </w:r>
          </w:p>
        </w:tc>
      </w:tr>
      <w:tr w:rsidR="00E95EB4" w:rsidTr="00854864">
        <w:trPr>
          <w:trHeight w:val="363"/>
        </w:trPr>
        <w:tc>
          <w:tcPr>
            <w:tcW w:w="1158" w:type="dxa"/>
          </w:tcPr>
          <w:p w:rsidR="00DD196F" w:rsidRPr="00DD196F" w:rsidRDefault="00DD196F" w:rsidP="00DD196F">
            <w:pPr>
              <w:widowControl w:val="0"/>
              <w:autoSpaceDE w:val="0"/>
              <w:autoSpaceDN w:val="0"/>
              <w:spacing w:before="20" w:after="0" w:line="213" w:lineRule="exact"/>
              <w:ind w:left="8"/>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1</w:t>
            </w:r>
          </w:p>
        </w:tc>
        <w:tc>
          <w:tcPr>
            <w:tcW w:w="1745" w:type="dxa"/>
            <w:shd w:val="clear" w:color="auto" w:fill="auto"/>
          </w:tcPr>
          <w:p w:rsidR="00DD196F" w:rsidRPr="00DD196F" w:rsidRDefault="00DD196F" w:rsidP="00DD196F">
            <w:pPr>
              <w:spacing w:after="0" w:line="240" w:lineRule="auto"/>
              <w:jc w:val="both"/>
              <w:rPr>
                <w:rFonts w:ascii="Times New Roman" w:eastAsiaTheme="minorEastAsia" w:hAnsi="Times New Roman"/>
                <w:sz w:val="20"/>
                <w:szCs w:val="20"/>
                <w:lang w:val="pt-BR"/>
              </w:rPr>
            </w:pPr>
            <w:r w:rsidRPr="00DD196F">
              <w:rPr>
                <w:rFonts w:ascii="Times New Roman" w:eastAsiaTheme="minorEastAsia" w:hAnsi="Times New Roman"/>
                <w:sz w:val="20"/>
                <w:szCs w:val="20"/>
                <w:lang w:val="pt-BR"/>
              </w:rPr>
              <w:t>Plazhi te Lisi</w:t>
            </w:r>
          </w:p>
        </w:tc>
        <w:tc>
          <w:tcPr>
            <w:tcW w:w="1383" w:type="dxa"/>
          </w:tcPr>
          <w:p w:rsidR="00DD196F" w:rsidRPr="00DD196F" w:rsidRDefault="00DD196F" w:rsidP="00DD196F">
            <w:pPr>
              <w:widowControl w:val="0"/>
              <w:autoSpaceDE w:val="0"/>
              <w:autoSpaceDN w:val="0"/>
              <w:spacing w:after="0" w:line="217"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71</w:t>
            </w:r>
          </w:p>
        </w:tc>
        <w:tc>
          <w:tcPr>
            <w:tcW w:w="1513" w:type="dxa"/>
          </w:tcPr>
          <w:p w:rsidR="00DD196F" w:rsidRPr="00DD196F" w:rsidRDefault="00DD196F" w:rsidP="00DD196F">
            <w:pPr>
              <w:widowControl w:val="0"/>
              <w:autoSpaceDE w:val="0"/>
              <w:autoSpaceDN w:val="0"/>
              <w:spacing w:after="0" w:line="217"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59</w:t>
            </w:r>
          </w:p>
        </w:tc>
        <w:tc>
          <w:tcPr>
            <w:tcW w:w="1115" w:type="dxa"/>
          </w:tcPr>
          <w:p w:rsidR="00DD196F" w:rsidRPr="00DD196F" w:rsidRDefault="00DD196F" w:rsidP="00DD196F">
            <w:pPr>
              <w:widowControl w:val="0"/>
              <w:autoSpaceDE w:val="0"/>
              <w:autoSpaceDN w:val="0"/>
              <w:spacing w:after="0" w:line="217"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911" w:type="dxa"/>
            <w:vMerge w:val="restart"/>
          </w:tcPr>
          <w:p w:rsidR="00DD196F" w:rsidRPr="00DD196F" w:rsidRDefault="00DD196F" w:rsidP="00DD196F">
            <w:pPr>
              <w:widowControl w:val="0"/>
              <w:autoSpaceDE w:val="0"/>
              <w:autoSpaceDN w:val="0"/>
              <w:spacing w:before="3" w:after="0" w:line="240" w:lineRule="auto"/>
              <w:rPr>
                <w:rFonts w:ascii="Times New Roman" w:eastAsia="Times New Roman" w:hAnsi="Times New Roman" w:cs="Times New Roman"/>
                <w:b/>
                <w:sz w:val="19"/>
                <w:lang w:val="sq-AL"/>
              </w:rPr>
            </w:pPr>
          </w:p>
          <w:p w:rsidR="00DD196F" w:rsidRPr="00DD196F" w:rsidRDefault="00DD196F" w:rsidP="00DD196F">
            <w:pPr>
              <w:widowControl w:val="0"/>
              <w:autoSpaceDE w:val="0"/>
              <w:autoSpaceDN w:val="0"/>
              <w:spacing w:before="1" w:after="0" w:line="244" w:lineRule="auto"/>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100%</w:t>
            </w:r>
            <w:r w:rsidRPr="00DD196F">
              <w:rPr>
                <w:rFonts w:ascii="Times New Roman" w:eastAsia="Times New Roman" w:hAnsi="Times New Roman" w:cs="Times New Roman"/>
                <w:spacing w:val="3"/>
                <w:sz w:val="19"/>
                <w:lang w:val="sq-AL"/>
              </w:rPr>
              <w:t xml:space="preserve"> </w:t>
            </w:r>
            <w:r w:rsidRPr="00DD196F">
              <w:rPr>
                <w:rFonts w:ascii="Times New Roman" w:eastAsia="Times New Roman" w:hAnsi="Times New Roman" w:cs="Times New Roman"/>
                <w:sz w:val="19"/>
                <w:lang w:val="sq-AL"/>
              </w:rPr>
              <w:t>A-</w:t>
            </w:r>
            <w:r w:rsidRPr="00DD196F">
              <w:rPr>
                <w:rFonts w:ascii="Times New Roman" w:eastAsia="Times New Roman" w:hAnsi="Times New Roman" w:cs="Times New Roman"/>
                <w:spacing w:val="4"/>
                <w:sz w:val="19"/>
                <w:lang w:val="sq-AL"/>
              </w:rPr>
              <w:t xml:space="preserve"> </w:t>
            </w:r>
            <w:r w:rsidRPr="00DD196F">
              <w:rPr>
                <w:rFonts w:ascii="Times New Roman" w:eastAsia="Times New Roman" w:hAnsi="Times New Roman" w:cs="Times New Roman"/>
                <w:sz w:val="19"/>
                <w:lang w:val="sq-AL"/>
              </w:rPr>
              <w:t>Cilësi</w:t>
            </w:r>
            <w:r w:rsidRPr="00DD196F">
              <w:rPr>
                <w:rFonts w:ascii="Times New Roman" w:eastAsia="Times New Roman" w:hAnsi="Times New Roman" w:cs="Times New Roman"/>
                <w:spacing w:val="4"/>
                <w:sz w:val="19"/>
                <w:lang w:val="sq-AL"/>
              </w:rPr>
              <w:t xml:space="preserve"> </w:t>
            </w:r>
            <w:r w:rsidRPr="00DD196F">
              <w:rPr>
                <w:rFonts w:ascii="Times New Roman" w:eastAsia="Times New Roman" w:hAnsi="Times New Roman" w:cs="Times New Roman"/>
                <w:sz w:val="19"/>
                <w:lang w:val="sq-AL"/>
              </w:rPr>
              <w:t>e</w:t>
            </w:r>
            <w:r w:rsidRPr="00DD196F">
              <w:rPr>
                <w:rFonts w:ascii="Times New Roman" w:eastAsia="Times New Roman" w:hAnsi="Times New Roman" w:cs="Times New Roman"/>
                <w:spacing w:val="-44"/>
                <w:sz w:val="19"/>
                <w:lang w:val="sq-AL"/>
              </w:rPr>
              <w:t xml:space="preserve"> </w:t>
            </w:r>
            <w:r w:rsidRPr="00DD196F">
              <w:rPr>
                <w:rFonts w:ascii="Times New Roman" w:eastAsia="Times New Roman" w:hAnsi="Times New Roman" w:cs="Times New Roman"/>
                <w:sz w:val="19"/>
                <w:lang w:val="sq-AL"/>
              </w:rPr>
              <w:t>shkëlqyer</w:t>
            </w:r>
          </w:p>
        </w:tc>
      </w:tr>
      <w:tr w:rsidR="00E95EB4" w:rsidTr="00854864">
        <w:trPr>
          <w:trHeight w:val="322"/>
        </w:trPr>
        <w:tc>
          <w:tcPr>
            <w:tcW w:w="1158" w:type="dxa"/>
          </w:tcPr>
          <w:p w:rsidR="00DD196F" w:rsidRPr="00DD196F" w:rsidRDefault="00DD196F" w:rsidP="00DD196F">
            <w:pPr>
              <w:widowControl w:val="0"/>
              <w:autoSpaceDE w:val="0"/>
              <w:autoSpaceDN w:val="0"/>
              <w:spacing w:before="2" w:after="0" w:line="203" w:lineRule="exact"/>
              <w:ind w:left="8"/>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2</w:t>
            </w:r>
          </w:p>
        </w:tc>
        <w:tc>
          <w:tcPr>
            <w:tcW w:w="1745" w:type="dxa"/>
            <w:shd w:val="clear" w:color="auto" w:fill="auto"/>
          </w:tcPr>
          <w:p w:rsidR="00DD196F" w:rsidRPr="00DD196F" w:rsidRDefault="00DD196F" w:rsidP="00DD196F">
            <w:pPr>
              <w:spacing w:after="0" w:line="240" w:lineRule="auto"/>
              <w:jc w:val="both"/>
              <w:rPr>
                <w:rFonts w:ascii="Times New Roman" w:eastAsiaTheme="minorEastAsia" w:hAnsi="Times New Roman"/>
                <w:sz w:val="20"/>
                <w:szCs w:val="20"/>
                <w:lang w:val="pt-BR"/>
              </w:rPr>
            </w:pPr>
            <w:r w:rsidRPr="00DD196F">
              <w:rPr>
                <w:rFonts w:ascii="Times New Roman" w:eastAsiaTheme="minorEastAsia" w:hAnsi="Times New Roman"/>
                <w:sz w:val="20"/>
                <w:szCs w:val="20"/>
                <w:lang w:val="pt-BR"/>
              </w:rPr>
              <w:t>Hotel Anastasia</w:t>
            </w:r>
          </w:p>
        </w:tc>
        <w:tc>
          <w:tcPr>
            <w:tcW w:w="1383" w:type="dxa"/>
          </w:tcPr>
          <w:p w:rsidR="00DD196F" w:rsidRPr="00DD196F" w:rsidRDefault="00DD196F" w:rsidP="00DD196F">
            <w:pPr>
              <w:widowControl w:val="0"/>
              <w:autoSpaceDE w:val="0"/>
              <w:autoSpaceDN w:val="0"/>
              <w:spacing w:after="0" w:line="204"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95</w:t>
            </w:r>
          </w:p>
        </w:tc>
        <w:tc>
          <w:tcPr>
            <w:tcW w:w="1513" w:type="dxa"/>
          </w:tcPr>
          <w:p w:rsidR="00DD196F" w:rsidRPr="00DD196F" w:rsidRDefault="00DD196F" w:rsidP="00DD196F">
            <w:pPr>
              <w:widowControl w:val="0"/>
              <w:autoSpaceDE w:val="0"/>
              <w:autoSpaceDN w:val="0"/>
              <w:spacing w:after="0" w:line="204"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91</w:t>
            </w:r>
          </w:p>
        </w:tc>
        <w:tc>
          <w:tcPr>
            <w:tcW w:w="1115" w:type="dxa"/>
          </w:tcPr>
          <w:p w:rsidR="00DD196F" w:rsidRPr="00DD196F" w:rsidRDefault="00DD196F" w:rsidP="00DD196F">
            <w:pPr>
              <w:widowControl w:val="0"/>
              <w:autoSpaceDE w:val="0"/>
              <w:autoSpaceDN w:val="0"/>
              <w:spacing w:after="0" w:line="204"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911"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E95EB4" w:rsidTr="00854864">
        <w:trPr>
          <w:trHeight w:val="301"/>
        </w:trPr>
        <w:tc>
          <w:tcPr>
            <w:tcW w:w="1158" w:type="dxa"/>
          </w:tcPr>
          <w:p w:rsidR="00DD196F" w:rsidRPr="00DD196F" w:rsidRDefault="00DD196F" w:rsidP="00DD196F">
            <w:pPr>
              <w:widowControl w:val="0"/>
              <w:autoSpaceDE w:val="0"/>
              <w:autoSpaceDN w:val="0"/>
              <w:spacing w:after="0" w:line="190" w:lineRule="exact"/>
              <w:ind w:left="8"/>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3</w:t>
            </w:r>
          </w:p>
        </w:tc>
        <w:tc>
          <w:tcPr>
            <w:tcW w:w="1745" w:type="dxa"/>
            <w:shd w:val="clear" w:color="auto" w:fill="auto"/>
          </w:tcPr>
          <w:p w:rsidR="00DD196F" w:rsidRPr="00DD196F" w:rsidRDefault="00DD196F" w:rsidP="00DD196F">
            <w:pPr>
              <w:spacing w:after="0" w:line="240" w:lineRule="auto"/>
              <w:jc w:val="both"/>
              <w:rPr>
                <w:rFonts w:ascii="Times New Roman" w:eastAsiaTheme="minorEastAsia" w:hAnsi="Times New Roman"/>
                <w:sz w:val="20"/>
                <w:szCs w:val="20"/>
                <w:lang w:val="pt-BR"/>
              </w:rPr>
            </w:pPr>
            <w:r w:rsidRPr="00DD196F">
              <w:rPr>
                <w:rFonts w:ascii="Times New Roman" w:eastAsiaTheme="minorEastAsia" w:hAnsi="Times New Roman"/>
                <w:sz w:val="20"/>
                <w:szCs w:val="20"/>
                <w:lang w:val="pt-BR"/>
              </w:rPr>
              <w:t>Kampi i Punetoreve</w:t>
            </w:r>
          </w:p>
        </w:tc>
        <w:tc>
          <w:tcPr>
            <w:tcW w:w="1383" w:type="dxa"/>
          </w:tcPr>
          <w:p w:rsidR="00DD196F" w:rsidRPr="00DD196F" w:rsidRDefault="00DD196F" w:rsidP="00DD196F">
            <w:pPr>
              <w:widowControl w:val="0"/>
              <w:autoSpaceDE w:val="0"/>
              <w:autoSpaceDN w:val="0"/>
              <w:spacing w:after="0" w:line="190"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91</w:t>
            </w:r>
          </w:p>
        </w:tc>
        <w:tc>
          <w:tcPr>
            <w:tcW w:w="1513" w:type="dxa"/>
          </w:tcPr>
          <w:p w:rsidR="00DD196F" w:rsidRPr="00DD196F" w:rsidRDefault="00DD196F" w:rsidP="00DD196F">
            <w:pPr>
              <w:widowControl w:val="0"/>
              <w:autoSpaceDE w:val="0"/>
              <w:autoSpaceDN w:val="0"/>
              <w:spacing w:after="0" w:line="190"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51</w:t>
            </w:r>
          </w:p>
        </w:tc>
        <w:tc>
          <w:tcPr>
            <w:tcW w:w="1115" w:type="dxa"/>
          </w:tcPr>
          <w:p w:rsidR="00DD196F" w:rsidRPr="00DD196F" w:rsidRDefault="00DD196F" w:rsidP="00DD196F">
            <w:pPr>
              <w:widowControl w:val="0"/>
              <w:autoSpaceDE w:val="0"/>
              <w:autoSpaceDN w:val="0"/>
              <w:spacing w:after="0" w:line="190"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911"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bl>
    <w:p w:rsidR="00DD196F" w:rsidRPr="00DD196F" w:rsidRDefault="00DD196F" w:rsidP="00DD196F">
      <w:pPr>
        <w:widowControl w:val="0"/>
        <w:autoSpaceDE w:val="0"/>
        <w:autoSpaceDN w:val="0"/>
        <w:spacing w:before="10" w:after="0" w:line="240" w:lineRule="auto"/>
        <w:rPr>
          <w:rFonts w:ascii="Times New Roman" w:eastAsia="Times New Roman" w:hAnsi="Times New Roman" w:cs="Times New Roman"/>
          <w:b/>
          <w:sz w:val="11"/>
          <w:szCs w:val="18"/>
          <w:lang w:val="sq-AL"/>
        </w:rPr>
      </w:pPr>
    </w:p>
    <w:p w:rsidR="00DD196F" w:rsidRPr="00DD196F" w:rsidRDefault="00DD196F" w:rsidP="00DD196F">
      <w:pPr>
        <w:spacing w:after="200" w:line="288" w:lineRule="auto"/>
        <w:rPr>
          <w:rFonts w:ascii="Times New Roman" w:eastAsiaTheme="minorEastAsia" w:hAnsi="Times New Roman" w:cs="Times New Roman"/>
          <w:sz w:val="24"/>
          <w:szCs w:val="24"/>
        </w:rPr>
      </w:pPr>
      <w:r w:rsidRPr="00DD196F">
        <w:rPr>
          <w:rFonts w:ascii="Times New Roman" w:eastAsiaTheme="minorEastAsia" w:hAnsi="Times New Roman" w:cs="Times New Roman"/>
          <w:sz w:val="24"/>
          <w:szCs w:val="24"/>
        </w:rPr>
        <w:t>Referuar rezultateve të analizave bakteriologjike këto plazhe vlerësohen në kategorinë A- Cilësi e shkëlqyer e ujërave në të gjitha pikat e monitorimit</w:t>
      </w:r>
    </w:p>
    <w:p w:rsidR="00DD196F" w:rsidRPr="00DD196F" w:rsidRDefault="00DD196F" w:rsidP="00DD196F">
      <w:pPr>
        <w:spacing w:after="200" w:line="288" w:lineRule="auto"/>
        <w:rPr>
          <w:rFonts w:ascii="Times New Roman" w:eastAsiaTheme="minorEastAsia" w:hAnsi="Times New Roman" w:cs="Times New Roman"/>
          <w:sz w:val="24"/>
          <w:szCs w:val="24"/>
        </w:rPr>
      </w:pPr>
      <w:r w:rsidRPr="00DD196F">
        <w:rPr>
          <w:rFonts w:ascii="Times New Roman" w:eastAsiaTheme="minorEastAsia" w:hAnsi="Times New Roman" w:cs="Times New Roman"/>
          <w:noProof/>
          <w:sz w:val="24"/>
          <w:szCs w:val="24"/>
        </w:rPr>
        <mc:AlternateContent>
          <mc:Choice Requires="wps">
            <w:drawing>
              <wp:anchor distT="0" distB="0" distL="114300" distR="114300" simplePos="0" relativeHeight="251640320" behindDoc="0" locked="0" layoutInCell="1" allowOverlap="1" wp14:anchorId="04671A6B" wp14:editId="026D2296">
                <wp:simplePos x="0" y="0"/>
                <wp:positionH relativeFrom="column">
                  <wp:posOffset>3133725</wp:posOffset>
                </wp:positionH>
                <wp:positionV relativeFrom="paragraph">
                  <wp:posOffset>33655</wp:posOffset>
                </wp:positionV>
                <wp:extent cx="3133725" cy="2200275"/>
                <wp:effectExtent l="0" t="0" r="28575" b="28575"/>
                <wp:wrapNone/>
                <wp:docPr id="39" name="Rectangle 39"/>
                <wp:cNvGraphicFramePr/>
                <a:graphic xmlns:a="http://schemas.openxmlformats.org/drawingml/2006/main">
                  <a:graphicData uri="http://schemas.microsoft.com/office/word/2010/wordprocessingShape">
                    <wps:wsp>
                      <wps:cNvSpPr/>
                      <wps:spPr>
                        <a:xfrm>
                          <a:off x="0" y="0"/>
                          <a:ext cx="3133725" cy="2200275"/>
                        </a:xfrm>
                        <a:prstGeom prst="rect">
                          <a:avLst/>
                        </a:prstGeom>
                        <a:solidFill>
                          <a:sysClr val="window" lastClr="FFFFFF"/>
                        </a:solidFill>
                        <a:ln w="12700" cap="flat" cmpd="sng" algn="ctr">
                          <a:solidFill>
                            <a:srgbClr val="70AD47"/>
                          </a:solidFill>
                          <a:prstDash val="solid"/>
                          <a:miter lim="800000"/>
                        </a:ln>
                        <a:effectLst/>
                      </wps:spPr>
                      <wps:txbx>
                        <w:txbxContent>
                          <w:p w:rsidR="0064059F" w:rsidRDefault="0064059F" w:rsidP="00DD196F">
                            <w:pPr>
                              <w:jc w:val="both"/>
                            </w:pPr>
                            <w:r w:rsidRPr="00F21789">
                              <w:rPr>
                                <w:rFonts w:ascii="Times New Roman" w:eastAsia="Times New Roman" w:hAnsi="Times New Roman" w:cs="Times New Roman"/>
                                <w:sz w:val="24"/>
                                <w:szCs w:val="24"/>
                                <w:lang w:val="fr-FR"/>
                              </w:rPr>
                              <w:t>Për plazhin e Dhërmiut për vitin 2025, cilësia e ujërave që i përket kategorisë A- Cilësi e shkëlqyer e ujërave ka vlera më të larta se në vitet 2023 dhe 2024 dhe v</w:t>
                            </w:r>
                            <w:r>
                              <w:rPr>
                                <w:rFonts w:ascii="Times New Roman" w:eastAsia="Times New Roman" w:hAnsi="Times New Roman" w:cs="Times New Roman"/>
                                <w:sz w:val="24"/>
                                <w:szCs w:val="24"/>
                                <w:lang w:val="fr-FR"/>
                              </w:rPr>
                              <w:t>lera të barabarta me vitet 2018-</w:t>
                            </w:r>
                            <w:r w:rsidRPr="00F21789">
                              <w:rPr>
                                <w:rFonts w:ascii="Times New Roman" w:eastAsia="Times New Roman" w:hAnsi="Times New Roman" w:cs="Times New Roman"/>
                                <w:sz w:val="24"/>
                                <w:szCs w:val="24"/>
                                <w:lang w:val="fr-FR"/>
                              </w:rPr>
                              <w:t>2022 në vlerën 100%.</w:t>
                            </w:r>
                            <w:r w:rsidRPr="00F21789">
                              <w:rPr>
                                <w:rFonts w:ascii="Times New Roman" w:eastAsia="Times New Roman" w:hAnsi="Times New Roman" w:cs="Times New Roman"/>
                                <w:noProof/>
                                <w:sz w:val="24"/>
                                <w:szCs w:val="24"/>
                                <w:lang w:val="it-IT"/>
                              </w:rPr>
                              <w:t xml:space="preserve"> Numri i stacioneve të </w:t>
                            </w:r>
                            <w:r w:rsidRPr="00F21789">
                              <w:rPr>
                                <w:rFonts w:ascii="Times New Roman" w:eastAsia="Times New Roman" w:hAnsi="Times New Roman" w:cs="Times New Roman"/>
                                <w:noProof/>
                                <w:sz w:val="24"/>
                                <w:szCs w:val="24"/>
                                <w:lang w:val="sq-AL"/>
                              </w:rPr>
                              <w:t>kategorisë B- C</w:t>
                            </w:r>
                            <w:r w:rsidRPr="00F21789">
                              <w:rPr>
                                <w:rFonts w:ascii="Times New Roman" w:eastAsia="Times New Roman" w:hAnsi="Times New Roman" w:cs="Times New Roman"/>
                                <w:noProof/>
                                <w:sz w:val="24"/>
                                <w:szCs w:val="24"/>
                                <w:lang w:val="it-IT"/>
                              </w:rPr>
                              <w:t>ilësisë së mirë të uj</w:t>
                            </w:r>
                            <w:r w:rsidRPr="00F21789">
                              <w:rPr>
                                <w:rFonts w:ascii="Times New Roman" w:eastAsia="Times New Roman" w:hAnsi="Times New Roman" w:cs="Times New Roman"/>
                                <w:sz w:val="24"/>
                                <w:szCs w:val="24"/>
                                <w:lang w:val="sq-AL"/>
                              </w:rPr>
                              <w:t>ë</w:t>
                            </w:r>
                            <w:r w:rsidRPr="00F21789">
                              <w:rPr>
                                <w:rFonts w:ascii="Times New Roman" w:eastAsia="Times New Roman" w:hAnsi="Times New Roman" w:cs="Times New Roman"/>
                                <w:noProof/>
                                <w:sz w:val="24"/>
                                <w:szCs w:val="24"/>
                                <w:lang w:val="it-IT"/>
                              </w:rPr>
                              <w:t>rave, për vitin 2025 janë n</w:t>
                            </w:r>
                            <w:r w:rsidRPr="00F21789">
                              <w:rPr>
                                <w:rFonts w:ascii="Times New Roman" w:eastAsia="Times New Roman" w:hAnsi="Times New Roman" w:cs="Times New Roman"/>
                                <w:sz w:val="24"/>
                                <w:szCs w:val="24"/>
                                <w:lang w:val="sq-AL"/>
                              </w:rPr>
                              <w:t>ë</w:t>
                            </w:r>
                            <w:r w:rsidRPr="00F21789">
                              <w:rPr>
                                <w:rFonts w:ascii="Times New Roman" w:eastAsia="Times New Roman" w:hAnsi="Times New Roman" w:cs="Times New Roman"/>
                                <w:noProof/>
                                <w:sz w:val="24"/>
                                <w:szCs w:val="24"/>
                                <w:lang w:val="it-IT"/>
                              </w:rPr>
                              <w:t xml:space="preserve"> vl</w:t>
                            </w:r>
                            <w:r>
                              <w:rPr>
                                <w:rFonts w:ascii="Times New Roman" w:eastAsia="Times New Roman" w:hAnsi="Times New Roman" w:cs="Times New Roman"/>
                                <w:noProof/>
                                <w:sz w:val="24"/>
                                <w:szCs w:val="24"/>
                                <w:lang w:val="it-IT"/>
                              </w:rPr>
                              <w:t>era te barabarta me vitet 2018-</w:t>
                            </w:r>
                            <w:r w:rsidRPr="00F21789">
                              <w:rPr>
                                <w:rFonts w:ascii="Times New Roman" w:eastAsia="Times New Roman" w:hAnsi="Times New Roman" w:cs="Times New Roman"/>
                                <w:noProof/>
                                <w:sz w:val="24"/>
                                <w:szCs w:val="24"/>
                                <w:lang w:val="it-IT"/>
                              </w:rPr>
                              <w:t xml:space="preserve"> 2022 dhe n</w:t>
                            </w:r>
                            <w:r w:rsidRPr="00F21789">
                              <w:rPr>
                                <w:rFonts w:ascii="Times New Roman" w:eastAsia="Times New Roman" w:hAnsi="Times New Roman" w:cs="Times New Roman"/>
                                <w:sz w:val="24"/>
                                <w:szCs w:val="24"/>
                                <w:lang w:val="sq-AL"/>
                              </w:rPr>
                              <w:t>ë</w:t>
                            </w:r>
                            <w:r w:rsidRPr="00F21789">
                              <w:rPr>
                                <w:rFonts w:ascii="Times New Roman" w:eastAsia="Times New Roman" w:hAnsi="Times New Roman" w:cs="Times New Roman"/>
                                <w:noProof/>
                                <w:sz w:val="24"/>
                                <w:szCs w:val="24"/>
                                <w:lang w:val="it-IT"/>
                              </w:rPr>
                              <w:t xml:space="preserve"> vlera m</w:t>
                            </w:r>
                            <w:r w:rsidRPr="00F21789">
                              <w:rPr>
                                <w:rFonts w:ascii="Times New Roman" w:eastAsia="Times New Roman" w:hAnsi="Times New Roman" w:cs="Times New Roman"/>
                                <w:sz w:val="24"/>
                                <w:szCs w:val="24"/>
                                <w:lang w:val="sq-AL"/>
                              </w:rPr>
                              <w:t>ë</w:t>
                            </w:r>
                            <w:r w:rsidRPr="00F21789">
                              <w:rPr>
                                <w:rFonts w:ascii="Times New Roman" w:eastAsia="Times New Roman" w:hAnsi="Times New Roman" w:cs="Times New Roman"/>
                                <w:noProof/>
                                <w:sz w:val="24"/>
                                <w:szCs w:val="24"/>
                                <w:lang w:val="it-IT"/>
                              </w:rPr>
                              <w:t xml:space="preserve"> t</w:t>
                            </w:r>
                            <w:r w:rsidRPr="00F21789">
                              <w:rPr>
                                <w:rFonts w:ascii="Times New Roman" w:eastAsia="Times New Roman" w:hAnsi="Times New Roman" w:cs="Times New Roman"/>
                                <w:sz w:val="24"/>
                                <w:szCs w:val="24"/>
                                <w:lang w:val="sq-AL"/>
                              </w:rPr>
                              <w:t>ë ulëta krahasuar me vitet 2023, 2024</w:t>
                            </w:r>
                            <w:r>
                              <w:rPr>
                                <w:rFonts w:ascii="Times New Roman" w:eastAsia="Times New Roman" w:hAnsi="Times New Roman" w:cs="Times New Roman"/>
                                <w:sz w:val="24"/>
                                <w:szCs w:val="24"/>
                                <w:lang w:val="sq-AL"/>
                              </w:rPr>
                              <w:t>. Nuk kemi stacione të kategorisë C dhe D në vitet 2020-2025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671A6B" id="Rectangle 39" o:spid="_x0000_s1099" style="position:absolute;margin-left:246.75pt;margin-top:2.65pt;width:246.75pt;height:173.25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" fillcolor="window" strokecolor="#70ad47" strokeweight="1pt">
                <v:textbox>
                  <w:txbxContent>
                    <w:p w:rsidR="0064059F" w:rsidRDefault="0064059F" w:rsidP="00DD196F">
                      <w:pPr>
                        <w:jc w:val="both"/>
                      </w:pPr>
                      <w:r w:rsidRPr="00F21789">
                        <w:rPr>
                          <w:rFonts w:ascii="Times New Roman" w:eastAsia="Times New Roman" w:hAnsi="Times New Roman" w:cs="Times New Roman"/>
                          <w:sz w:val="24"/>
                          <w:szCs w:val="24"/>
                          <w:lang w:val="fr-FR"/>
                        </w:rPr>
                        <w:t>Për plazhin e Dhërmiut për vitin 2025, cilësia e ujërave që i përket kategorisë A- Cilësi e shkëlqyer e ujërave ka vlera më të larta se në vitet 2023 dhe 2024 dhe v</w:t>
                      </w:r>
                      <w:r>
                        <w:rPr>
                          <w:rFonts w:ascii="Times New Roman" w:eastAsia="Times New Roman" w:hAnsi="Times New Roman" w:cs="Times New Roman"/>
                          <w:sz w:val="24"/>
                          <w:szCs w:val="24"/>
                          <w:lang w:val="fr-FR"/>
                        </w:rPr>
                        <w:t>lera të barabarta me vitet 2018-</w:t>
                      </w:r>
                      <w:r w:rsidRPr="00F21789">
                        <w:rPr>
                          <w:rFonts w:ascii="Times New Roman" w:eastAsia="Times New Roman" w:hAnsi="Times New Roman" w:cs="Times New Roman"/>
                          <w:sz w:val="24"/>
                          <w:szCs w:val="24"/>
                          <w:lang w:val="fr-FR"/>
                        </w:rPr>
                        <w:t>2022 në vlerën 100%.</w:t>
                      </w:r>
                      <w:r w:rsidRPr="00F21789">
                        <w:rPr>
                          <w:rFonts w:ascii="Times New Roman" w:eastAsia="Times New Roman" w:hAnsi="Times New Roman" w:cs="Times New Roman"/>
                          <w:noProof/>
                          <w:sz w:val="24"/>
                          <w:szCs w:val="24"/>
                          <w:lang w:val="it-IT"/>
                        </w:rPr>
                        <w:t xml:space="preserve"> Numri i stacioneve të </w:t>
                      </w:r>
                      <w:r w:rsidRPr="00F21789">
                        <w:rPr>
                          <w:rFonts w:ascii="Times New Roman" w:eastAsia="Times New Roman" w:hAnsi="Times New Roman" w:cs="Times New Roman"/>
                          <w:noProof/>
                          <w:sz w:val="24"/>
                          <w:szCs w:val="24"/>
                          <w:lang w:val="sq-AL"/>
                        </w:rPr>
                        <w:t>kategorisë B- C</w:t>
                      </w:r>
                      <w:r w:rsidRPr="00F21789">
                        <w:rPr>
                          <w:rFonts w:ascii="Times New Roman" w:eastAsia="Times New Roman" w:hAnsi="Times New Roman" w:cs="Times New Roman"/>
                          <w:noProof/>
                          <w:sz w:val="24"/>
                          <w:szCs w:val="24"/>
                          <w:lang w:val="it-IT"/>
                        </w:rPr>
                        <w:t>ilësisë së mirë të uj</w:t>
                      </w:r>
                      <w:r w:rsidRPr="00F21789">
                        <w:rPr>
                          <w:rFonts w:ascii="Times New Roman" w:eastAsia="Times New Roman" w:hAnsi="Times New Roman" w:cs="Times New Roman"/>
                          <w:sz w:val="24"/>
                          <w:szCs w:val="24"/>
                          <w:lang w:val="sq-AL"/>
                        </w:rPr>
                        <w:t>ë</w:t>
                      </w:r>
                      <w:r w:rsidRPr="00F21789">
                        <w:rPr>
                          <w:rFonts w:ascii="Times New Roman" w:eastAsia="Times New Roman" w:hAnsi="Times New Roman" w:cs="Times New Roman"/>
                          <w:noProof/>
                          <w:sz w:val="24"/>
                          <w:szCs w:val="24"/>
                          <w:lang w:val="it-IT"/>
                        </w:rPr>
                        <w:t>rave, për vitin 2025 janë n</w:t>
                      </w:r>
                      <w:r w:rsidRPr="00F21789">
                        <w:rPr>
                          <w:rFonts w:ascii="Times New Roman" w:eastAsia="Times New Roman" w:hAnsi="Times New Roman" w:cs="Times New Roman"/>
                          <w:sz w:val="24"/>
                          <w:szCs w:val="24"/>
                          <w:lang w:val="sq-AL"/>
                        </w:rPr>
                        <w:t>ë</w:t>
                      </w:r>
                      <w:r w:rsidRPr="00F21789">
                        <w:rPr>
                          <w:rFonts w:ascii="Times New Roman" w:eastAsia="Times New Roman" w:hAnsi="Times New Roman" w:cs="Times New Roman"/>
                          <w:noProof/>
                          <w:sz w:val="24"/>
                          <w:szCs w:val="24"/>
                          <w:lang w:val="it-IT"/>
                        </w:rPr>
                        <w:t xml:space="preserve"> vl</w:t>
                      </w:r>
                      <w:r>
                        <w:rPr>
                          <w:rFonts w:ascii="Times New Roman" w:eastAsia="Times New Roman" w:hAnsi="Times New Roman" w:cs="Times New Roman"/>
                          <w:noProof/>
                          <w:sz w:val="24"/>
                          <w:szCs w:val="24"/>
                          <w:lang w:val="it-IT"/>
                        </w:rPr>
                        <w:t>era te barabarta me vitet 2018-</w:t>
                      </w:r>
                      <w:r w:rsidRPr="00F21789">
                        <w:rPr>
                          <w:rFonts w:ascii="Times New Roman" w:eastAsia="Times New Roman" w:hAnsi="Times New Roman" w:cs="Times New Roman"/>
                          <w:noProof/>
                          <w:sz w:val="24"/>
                          <w:szCs w:val="24"/>
                          <w:lang w:val="it-IT"/>
                        </w:rPr>
                        <w:t xml:space="preserve"> 2022 dhe n</w:t>
                      </w:r>
                      <w:r w:rsidRPr="00F21789">
                        <w:rPr>
                          <w:rFonts w:ascii="Times New Roman" w:eastAsia="Times New Roman" w:hAnsi="Times New Roman" w:cs="Times New Roman"/>
                          <w:sz w:val="24"/>
                          <w:szCs w:val="24"/>
                          <w:lang w:val="sq-AL"/>
                        </w:rPr>
                        <w:t>ë</w:t>
                      </w:r>
                      <w:r w:rsidRPr="00F21789">
                        <w:rPr>
                          <w:rFonts w:ascii="Times New Roman" w:eastAsia="Times New Roman" w:hAnsi="Times New Roman" w:cs="Times New Roman"/>
                          <w:noProof/>
                          <w:sz w:val="24"/>
                          <w:szCs w:val="24"/>
                          <w:lang w:val="it-IT"/>
                        </w:rPr>
                        <w:t xml:space="preserve"> vlera m</w:t>
                      </w:r>
                      <w:r w:rsidRPr="00F21789">
                        <w:rPr>
                          <w:rFonts w:ascii="Times New Roman" w:eastAsia="Times New Roman" w:hAnsi="Times New Roman" w:cs="Times New Roman"/>
                          <w:sz w:val="24"/>
                          <w:szCs w:val="24"/>
                          <w:lang w:val="sq-AL"/>
                        </w:rPr>
                        <w:t>ë</w:t>
                      </w:r>
                      <w:r w:rsidRPr="00F21789">
                        <w:rPr>
                          <w:rFonts w:ascii="Times New Roman" w:eastAsia="Times New Roman" w:hAnsi="Times New Roman" w:cs="Times New Roman"/>
                          <w:noProof/>
                          <w:sz w:val="24"/>
                          <w:szCs w:val="24"/>
                          <w:lang w:val="it-IT"/>
                        </w:rPr>
                        <w:t xml:space="preserve"> t</w:t>
                      </w:r>
                      <w:r w:rsidRPr="00F21789">
                        <w:rPr>
                          <w:rFonts w:ascii="Times New Roman" w:eastAsia="Times New Roman" w:hAnsi="Times New Roman" w:cs="Times New Roman"/>
                          <w:sz w:val="24"/>
                          <w:szCs w:val="24"/>
                          <w:lang w:val="sq-AL"/>
                        </w:rPr>
                        <w:t>ë ulëta krahasuar me vitet 2023, 2024</w:t>
                      </w:r>
                      <w:r>
                        <w:rPr>
                          <w:rFonts w:ascii="Times New Roman" w:eastAsia="Times New Roman" w:hAnsi="Times New Roman" w:cs="Times New Roman"/>
                          <w:sz w:val="24"/>
                          <w:szCs w:val="24"/>
                          <w:lang w:val="sq-AL"/>
                        </w:rPr>
                        <w:t>. Nuk kemi stacione të kategorisë C dhe D në vitet 2020-2025</w:t>
                      </w:r>
                    </w:p>
                  </w:txbxContent>
                </v:textbox>
              </v:rect>
            </w:pict>
          </mc:Fallback>
        </mc:AlternateContent>
      </w:r>
      <w:r w:rsidRPr="00DD196F">
        <w:rPr>
          <w:rFonts w:ascii="Times New Roman" w:eastAsiaTheme="minorEastAsia" w:hAnsi="Times New Roman" w:cs="Times New Roman"/>
          <w:noProof/>
          <w:sz w:val="24"/>
          <w:szCs w:val="24"/>
        </w:rPr>
        <w:drawing>
          <wp:inline distT="0" distB="0" distL="0" distR="0" wp14:anchorId="2FD4924F" wp14:editId="08FDB4ED">
            <wp:extent cx="2865120" cy="2209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865120" cy="2209800"/>
                    </a:xfrm>
                    <a:prstGeom prst="rect">
                      <a:avLst/>
                    </a:prstGeom>
                    <a:noFill/>
                  </pic:spPr>
                </pic:pic>
              </a:graphicData>
            </a:graphic>
          </wp:inline>
        </w:drawing>
      </w:r>
    </w:p>
    <w:p w:rsidR="00DD196F" w:rsidRDefault="00DD196F" w:rsidP="0072391F">
      <w:pPr>
        <w:spacing w:after="0" w:line="240" w:lineRule="auto"/>
        <w:jc w:val="both"/>
        <w:rPr>
          <w:rFonts w:ascii="Times New Roman" w:eastAsia="Times New Roman" w:hAnsi="Times New Roman" w:cs="Times New Roman"/>
          <w:sz w:val="24"/>
          <w:szCs w:val="24"/>
        </w:rPr>
      </w:pPr>
      <w:r w:rsidRPr="00DD196F">
        <w:rPr>
          <w:rFonts w:ascii="Times New Roman" w:eastAsia="Times New Roman" w:hAnsi="Times New Roman" w:cs="Times New Roman"/>
          <w:sz w:val="24"/>
          <w:szCs w:val="24"/>
          <w:lang w:val="sq-AL"/>
        </w:rPr>
        <w:t>PLAZHI I JALËS</w:t>
      </w:r>
      <w:r w:rsidRPr="0072391F">
        <w:rPr>
          <w:rFonts w:ascii="Times New Roman" w:eastAsia="Times New Roman" w:hAnsi="Times New Roman" w:cs="Times New Roman"/>
          <w:b/>
          <w:sz w:val="24"/>
          <w:szCs w:val="24"/>
          <w:lang w:val="sq-AL"/>
        </w:rPr>
        <w:t>:</w:t>
      </w:r>
      <w:r w:rsidRPr="00DD196F">
        <w:rPr>
          <w:rFonts w:ascii="Times New Roman" w:eastAsia="Times New Roman" w:hAnsi="Times New Roman" w:cs="Times New Roman"/>
          <w:b/>
          <w:sz w:val="24"/>
          <w:szCs w:val="24"/>
          <w:lang w:val="sq-AL"/>
        </w:rPr>
        <w:t xml:space="preserve"> </w:t>
      </w:r>
      <w:r w:rsidRPr="00DD196F">
        <w:rPr>
          <w:rFonts w:ascii="Times New Roman" w:eastAsia="Times New Roman" w:hAnsi="Times New Roman" w:cs="Times New Roman"/>
          <w:sz w:val="24"/>
          <w:szCs w:val="24"/>
          <w:lang w:val="it-IT"/>
        </w:rPr>
        <w:t xml:space="preserve">Gjatë inspektimit higjeno sanitar </w:t>
      </w:r>
      <w:r w:rsidRPr="00DD196F">
        <w:rPr>
          <w:rFonts w:ascii="Times New Roman" w:eastAsia="Times New Roman" w:hAnsi="Times New Roman" w:cs="Times New Roman"/>
          <w:sz w:val="24"/>
          <w:szCs w:val="24"/>
          <w:lang w:val="sq-AL"/>
        </w:rPr>
        <w:t xml:space="preserve">në stacionet e monitorimit </w:t>
      </w:r>
      <w:r w:rsidRPr="00DD196F">
        <w:rPr>
          <w:rFonts w:ascii="Times New Roman" w:eastAsia="Calibri" w:hAnsi="Times New Roman" w:cs="Times New Roman"/>
          <w:sz w:val="24"/>
          <w:szCs w:val="24"/>
          <w:lang w:val="sq-AL"/>
        </w:rPr>
        <w:t>u konstatuan kushte të mira dhe afishimi i rregullave p</w:t>
      </w:r>
      <w:r w:rsidRPr="00DD196F">
        <w:rPr>
          <w:rFonts w:ascii="Times New Roman" w:eastAsia="Times New Roman" w:hAnsi="Times New Roman" w:cs="Times New Roman"/>
          <w:sz w:val="24"/>
          <w:szCs w:val="24"/>
          <w:lang w:val="sq-AL"/>
        </w:rPr>
        <w:t>ë</w:t>
      </w:r>
      <w:r w:rsidRPr="00DD196F">
        <w:rPr>
          <w:rFonts w:ascii="Times New Roman" w:eastAsia="Calibri" w:hAnsi="Times New Roman" w:cs="Times New Roman"/>
          <w:sz w:val="24"/>
          <w:szCs w:val="24"/>
          <w:lang w:val="sq-AL"/>
        </w:rPr>
        <w:t>r zbatim nga frekuentuesit e plazheve.</w:t>
      </w:r>
      <w:r w:rsidRPr="00DD196F">
        <w:rPr>
          <w:rFonts w:ascii="Times New Roman" w:eastAsia="Times New Roman" w:hAnsi="Times New Roman" w:cs="Times New Roman"/>
          <w:sz w:val="24"/>
          <w:szCs w:val="24"/>
          <w:lang w:val="sq-AL"/>
        </w:rPr>
        <w:t xml:space="preserve"> Brezi bregdetar i pastruar, i sistemuar me kosha mbeturinash, dushe, kulla vrojtimi. </w:t>
      </w:r>
      <w:r w:rsidRPr="00DD196F">
        <w:rPr>
          <w:rFonts w:ascii="Times New Roman" w:eastAsia="Times New Roman" w:hAnsi="Times New Roman" w:cs="Times New Roman"/>
          <w:sz w:val="24"/>
          <w:szCs w:val="24"/>
        </w:rPr>
        <w:t>Për shkak të pozicionimit të këtyre plazheve pranë subjekteve private, nevojat sanitare për tualete përmbushen në këto subjekte</w:t>
      </w:r>
      <w:r w:rsidRPr="00DD196F">
        <w:rPr>
          <w:rFonts w:ascii="Times New Roman" w:eastAsia="Times New Roman" w:hAnsi="Times New Roman" w:cs="Times New Roman"/>
          <w:sz w:val="24"/>
          <w:szCs w:val="24"/>
          <w:lang w:val="sq-AL"/>
        </w:rPr>
        <w:t xml:space="preserve">. </w:t>
      </w:r>
      <w:r w:rsidRPr="00DD196F">
        <w:rPr>
          <w:rFonts w:ascii="Times New Roman" w:eastAsia="Times New Roman" w:hAnsi="Times New Roman" w:cs="Times New Roman"/>
          <w:sz w:val="24"/>
          <w:szCs w:val="24"/>
          <w:lang w:val="it-IT"/>
        </w:rPr>
        <w:t>Gjat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muajve Korrik e Gusht u konstatua shtim i numrit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frekuentuesve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plazheve. </w:t>
      </w:r>
      <w:r w:rsidRPr="00DD196F">
        <w:rPr>
          <w:rFonts w:ascii="Times New Roman" w:eastAsia="Times New Roman" w:hAnsi="Times New Roman" w:cs="Times New Roman"/>
          <w:sz w:val="24"/>
          <w:szCs w:val="24"/>
        </w:rPr>
        <w:t xml:space="preserve">U konstatuan kushte relativisht të mira në plazhet publike. </w:t>
      </w:r>
    </w:p>
    <w:p w:rsidR="00854864" w:rsidRDefault="00854864" w:rsidP="0072391F">
      <w:pPr>
        <w:spacing w:after="0" w:line="240" w:lineRule="auto"/>
        <w:jc w:val="both"/>
        <w:rPr>
          <w:rFonts w:ascii="Times New Roman" w:eastAsia="Times New Roman" w:hAnsi="Times New Roman" w:cs="Times New Roman"/>
          <w:sz w:val="24"/>
          <w:szCs w:val="24"/>
        </w:rPr>
      </w:pPr>
    </w:p>
    <w:p w:rsidR="0072391F" w:rsidRPr="00D8485A" w:rsidRDefault="0072391F" w:rsidP="0072391F">
      <w:pPr>
        <w:spacing w:after="0" w:line="240" w:lineRule="auto"/>
        <w:jc w:val="both"/>
        <w:rPr>
          <w:rFonts w:ascii="Times New Roman" w:eastAsia="Times New Roman" w:hAnsi="Times New Roman" w:cs="Times New Roman"/>
          <w:sz w:val="24"/>
          <w:szCs w:val="24"/>
        </w:rPr>
      </w:pPr>
    </w:p>
    <w:p w:rsidR="00DD196F" w:rsidRPr="00DD196F" w:rsidRDefault="00DD196F" w:rsidP="00DD196F">
      <w:pPr>
        <w:spacing w:after="200" w:line="276" w:lineRule="auto"/>
        <w:rPr>
          <w:rFonts w:ascii="Times New Roman" w:eastAsia="Times New Roman" w:hAnsi="Times New Roman" w:cs="Times New Roman"/>
          <w:b/>
          <w:lang w:val="it-IT"/>
        </w:rPr>
      </w:pPr>
      <w:r w:rsidRPr="00DD196F">
        <w:rPr>
          <w:rFonts w:ascii="Times New Roman" w:eastAsia="Times New Roman" w:hAnsi="Times New Roman" w:cs="Times New Roman"/>
        </w:rPr>
        <w:lastRenderedPageBreak/>
        <w:t xml:space="preserve">                             </w:t>
      </w:r>
      <w:r w:rsidRPr="00DD196F">
        <w:rPr>
          <w:rFonts w:ascii="Times New Roman" w:eastAsia="Times New Roman" w:hAnsi="Times New Roman" w:cs="Times New Roman"/>
          <w:b/>
        </w:rPr>
        <w:t xml:space="preserve">● </w:t>
      </w:r>
      <w:r w:rsidRPr="00DD196F">
        <w:rPr>
          <w:rFonts w:ascii="Times New Roman" w:eastAsia="Times New Roman" w:hAnsi="Times New Roman" w:cs="Times New Roman"/>
          <w:b/>
          <w:lang w:val="it-IT"/>
        </w:rPr>
        <w:t xml:space="preserve">Plazhi i </w:t>
      </w:r>
      <w:r w:rsidRPr="00DD196F">
        <w:rPr>
          <w:rFonts w:ascii="Times New Roman" w:eastAsia="Times New Roman" w:hAnsi="Times New Roman" w:cs="Times New Roman"/>
          <w:b/>
        </w:rPr>
        <w:t>Jalës</w:t>
      </w:r>
    </w:p>
    <w:tbl>
      <w:tblPr>
        <w:tblW w:w="0" w:type="auto"/>
        <w:tblInd w:w="370" w:type="dxa"/>
        <w:tblLayout w:type="fixed"/>
        <w:tblCellMar>
          <w:left w:w="0" w:type="dxa"/>
          <w:right w:w="0" w:type="dxa"/>
        </w:tblCellMar>
        <w:tblLook w:val="01E0" w:firstRow="1" w:lastRow="1" w:firstColumn="1" w:lastColumn="1" w:noHBand="0" w:noVBand="0"/>
      </w:tblPr>
      <w:tblGrid>
        <w:gridCol w:w="1120"/>
        <w:gridCol w:w="1869"/>
        <w:gridCol w:w="1232"/>
        <w:gridCol w:w="1308"/>
        <w:gridCol w:w="1077"/>
        <w:gridCol w:w="1925"/>
      </w:tblGrid>
      <w:tr w:rsidR="00E95EB4" w:rsidTr="00DD196F">
        <w:trPr>
          <w:trHeight w:val="785"/>
        </w:trPr>
        <w:tc>
          <w:tcPr>
            <w:tcW w:w="1120" w:type="dxa"/>
            <w:shd w:val="clear" w:color="auto" w:fill="D4DCE3"/>
          </w:tcPr>
          <w:p w:rsidR="00DD196F" w:rsidRPr="00DD196F" w:rsidRDefault="00DD196F" w:rsidP="00DD196F">
            <w:pPr>
              <w:widowControl w:val="0"/>
              <w:autoSpaceDE w:val="0"/>
              <w:autoSpaceDN w:val="0"/>
              <w:spacing w:before="1" w:after="0" w:line="240" w:lineRule="auto"/>
              <w:ind w:left="65" w:right="58"/>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Nr.</w:t>
            </w:r>
          </w:p>
          <w:p w:rsidR="00DD196F" w:rsidRPr="00DD196F" w:rsidRDefault="00DD196F" w:rsidP="00DD196F">
            <w:pPr>
              <w:widowControl w:val="0"/>
              <w:autoSpaceDE w:val="0"/>
              <w:autoSpaceDN w:val="0"/>
              <w:spacing w:before="5" w:after="0" w:line="197" w:lineRule="exact"/>
              <w:ind w:left="66" w:right="58"/>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p>
        </w:tc>
        <w:tc>
          <w:tcPr>
            <w:tcW w:w="1869" w:type="dxa"/>
            <w:shd w:val="clear" w:color="auto" w:fill="D4DCE3"/>
          </w:tcPr>
          <w:p w:rsidR="00DD196F" w:rsidRPr="00DD196F" w:rsidRDefault="00DD196F" w:rsidP="00DD196F">
            <w:pPr>
              <w:widowControl w:val="0"/>
              <w:autoSpaceDE w:val="0"/>
              <w:autoSpaceDN w:val="0"/>
              <w:spacing w:before="112" w:after="0" w:line="240" w:lineRule="auto"/>
              <w:ind w:left="609" w:right="603"/>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Vendi</w:t>
            </w:r>
          </w:p>
        </w:tc>
        <w:tc>
          <w:tcPr>
            <w:tcW w:w="1232" w:type="dxa"/>
            <w:shd w:val="clear" w:color="auto" w:fill="D4DCE3"/>
          </w:tcPr>
          <w:p w:rsidR="00DD196F" w:rsidRPr="00DD196F" w:rsidRDefault="00DD196F" w:rsidP="00DD196F">
            <w:pPr>
              <w:widowControl w:val="0"/>
              <w:autoSpaceDE w:val="0"/>
              <w:autoSpaceDN w:val="0"/>
              <w:spacing w:before="1" w:after="0" w:line="240" w:lineRule="auto"/>
              <w:ind w:left="166"/>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FC</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90%</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197" w:lineRule="exact"/>
              <w:ind w:left="109"/>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250</w:t>
            </w:r>
          </w:p>
        </w:tc>
        <w:tc>
          <w:tcPr>
            <w:tcW w:w="1308" w:type="dxa"/>
            <w:shd w:val="clear" w:color="auto" w:fill="D4DCE3"/>
          </w:tcPr>
          <w:p w:rsidR="00DD196F" w:rsidRPr="00DD196F" w:rsidRDefault="00DD196F" w:rsidP="00DD196F">
            <w:pPr>
              <w:widowControl w:val="0"/>
              <w:autoSpaceDE w:val="0"/>
              <w:autoSpaceDN w:val="0"/>
              <w:spacing w:before="1" w:after="0" w:line="240" w:lineRule="auto"/>
              <w:ind w:left="229"/>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IE</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95%</w:t>
            </w:r>
            <w:r w:rsidRPr="00DD196F">
              <w:rPr>
                <w:rFonts w:ascii="Times New Roman" w:eastAsia="Times New Roman" w:hAnsi="Times New Roman" w:cs="Times New Roman"/>
                <w:b/>
                <w:spacing w:val="3"/>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197" w:lineRule="exact"/>
              <w:ind w:left="145"/>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100</w:t>
            </w:r>
          </w:p>
        </w:tc>
        <w:tc>
          <w:tcPr>
            <w:tcW w:w="1077" w:type="dxa"/>
            <w:shd w:val="clear" w:color="auto" w:fill="D4DCE3"/>
          </w:tcPr>
          <w:p w:rsidR="00DD196F" w:rsidRPr="00DD196F" w:rsidRDefault="00DD196F" w:rsidP="00DD196F">
            <w:pPr>
              <w:widowControl w:val="0"/>
              <w:autoSpaceDE w:val="0"/>
              <w:autoSpaceDN w:val="0"/>
              <w:spacing w:before="1" w:after="0" w:line="240" w:lineRule="auto"/>
              <w:ind w:left="81"/>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Kategoria</w:t>
            </w:r>
          </w:p>
        </w:tc>
        <w:tc>
          <w:tcPr>
            <w:tcW w:w="1925" w:type="dxa"/>
            <w:shd w:val="clear" w:color="auto" w:fill="D4DCE3"/>
          </w:tcPr>
          <w:p w:rsidR="00DD196F" w:rsidRPr="00DD196F" w:rsidRDefault="00DD196F" w:rsidP="00DD196F">
            <w:pPr>
              <w:widowControl w:val="0"/>
              <w:autoSpaceDE w:val="0"/>
              <w:autoSpaceDN w:val="0"/>
              <w:spacing w:before="1" w:after="0" w:line="240" w:lineRule="auto"/>
              <w:ind w:left="414"/>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Përqindja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e</w:t>
            </w:r>
          </w:p>
          <w:p w:rsidR="00DD196F" w:rsidRPr="00DD196F" w:rsidRDefault="00DD196F" w:rsidP="00DD196F">
            <w:pPr>
              <w:widowControl w:val="0"/>
              <w:autoSpaceDE w:val="0"/>
              <w:autoSpaceDN w:val="0"/>
              <w:spacing w:before="5" w:after="0" w:line="197" w:lineRule="exact"/>
              <w:ind w:left="349"/>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r w:rsidRPr="00DD196F">
              <w:rPr>
                <w:rFonts w:ascii="Times New Roman" w:eastAsia="Times New Roman" w:hAnsi="Times New Roman" w:cs="Times New Roman"/>
                <w:b/>
                <w:spacing w:val="9"/>
                <w:sz w:val="19"/>
                <w:lang w:val="sq-AL"/>
              </w:rPr>
              <w:t xml:space="preserve"> </w:t>
            </w:r>
            <w:r w:rsidRPr="00DD196F">
              <w:rPr>
                <w:rFonts w:ascii="Times New Roman" w:eastAsia="Times New Roman" w:hAnsi="Times New Roman" w:cs="Times New Roman"/>
                <w:b/>
                <w:sz w:val="19"/>
                <w:lang w:val="sq-AL"/>
              </w:rPr>
              <w:t>%</w:t>
            </w:r>
          </w:p>
        </w:tc>
      </w:tr>
      <w:tr w:rsidR="00E95EB4" w:rsidTr="00DD196F">
        <w:trPr>
          <w:trHeight w:val="389"/>
        </w:trPr>
        <w:tc>
          <w:tcPr>
            <w:tcW w:w="1120" w:type="dxa"/>
          </w:tcPr>
          <w:p w:rsidR="00DD196F" w:rsidRPr="00DD196F" w:rsidRDefault="00DD196F" w:rsidP="00DD196F">
            <w:pPr>
              <w:widowControl w:val="0"/>
              <w:autoSpaceDE w:val="0"/>
              <w:autoSpaceDN w:val="0"/>
              <w:spacing w:after="0" w:line="200" w:lineRule="exact"/>
              <w:ind w:left="8"/>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1</w:t>
            </w:r>
          </w:p>
        </w:tc>
        <w:tc>
          <w:tcPr>
            <w:tcW w:w="1869" w:type="dxa"/>
          </w:tcPr>
          <w:p w:rsidR="00DD196F" w:rsidRPr="00DD196F" w:rsidRDefault="00DD196F" w:rsidP="00DD196F">
            <w:pPr>
              <w:widowControl w:val="0"/>
              <w:autoSpaceDE w:val="0"/>
              <w:autoSpaceDN w:val="0"/>
              <w:spacing w:after="0" w:line="200"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pacing w:val="9"/>
                <w:sz w:val="19"/>
                <w:lang w:val="sq-AL"/>
              </w:rPr>
              <w:t xml:space="preserve"> </w:t>
            </w:r>
            <w:r w:rsidRPr="00DD196F">
              <w:rPr>
                <w:rFonts w:ascii="Times New Roman" w:eastAsia="Times New Roman" w:hAnsi="Times New Roman" w:cs="Times New Roman"/>
                <w:sz w:val="19"/>
                <w:lang w:val="sq-AL"/>
              </w:rPr>
              <w:t>Jalë</w:t>
            </w:r>
            <w:r w:rsidRPr="00DD196F">
              <w:rPr>
                <w:rFonts w:ascii="Times New Roman" w:eastAsia="Times New Roman" w:hAnsi="Times New Roman" w:cs="Times New Roman"/>
                <w:spacing w:val="8"/>
                <w:sz w:val="19"/>
                <w:lang w:val="sq-AL"/>
              </w:rPr>
              <w:t xml:space="preserve"> </w:t>
            </w:r>
            <w:r w:rsidRPr="00DD196F">
              <w:rPr>
                <w:rFonts w:ascii="Times New Roman" w:eastAsia="Times New Roman" w:hAnsi="Times New Roman" w:cs="Times New Roman"/>
                <w:sz w:val="19"/>
                <w:lang w:val="sq-AL"/>
              </w:rPr>
              <w:t>Djathtas</w:t>
            </w:r>
          </w:p>
        </w:tc>
        <w:tc>
          <w:tcPr>
            <w:tcW w:w="1232" w:type="dxa"/>
          </w:tcPr>
          <w:p w:rsidR="00DD196F" w:rsidRPr="00DD196F" w:rsidRDefault="00DD196F" w:rsidP="00DD196F">
            <w:pPr>
              <w:widowControl w:val="0"/>
              <w:autoSpaceDE w:val="0"/>
              <w:autoSpaceDN w:val="0"/>
              <w:spacing w:after="0" w:line="200"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96</w:t>
            </w:r>
          </w:p>
        </w:tc>
        <w:tc>
          <w:tcPr>
            <w:tcW w:w="1308" w:type="dxa"/>
          </w:tcPr>
          <w:p w:rsidR="00DD196F" w:rsidRPr="00DD196F" w:rsidRDefault="00DD196F" w:rsidP="00DD196F">
            <w:pPr>
              <w:widowControl w:val="0"/>
              <w:autoSpaceDE w:val="0"/>
              <w:autoSpaceDN w:val="0"/>
              <w:spacing w:after="0" w:line="200"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72</w:t>
            </w:r>
          </w:p>
        </w:tc>
        <w:tc>
          <w:tcPr>
            <w:tcW w:w="1077" w:type="dxa"/>
          </w:tcPr>
          <w:p w:rsidR="00DD196F" w:rsidRPr="00DD196F" w:rsidRDefault="00DD196F" w:rsidP="00DD196F">
            <w:pPr>
              <w:widowControl w:val="0"/>
              <w:autoSpaceDE w:val="0"/>
              <w:autoSpaceDN w:val="0"/>
              <w:spacing w:after="0" w:line="200"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925" w:type="dxa"/>
            <w:vMerge w:val="restart"/>
          </w:tcPr>
          <w:p w:rsidR="00DD196F" w:rsidRPr="00DD196F" w:rsidRDefault="00DD196F" w:rsidP="00DD196F">
            <w:pPr>
              <w:widowControl w:val="0"/>
              <w:autoSpaceDE w:val="0"/>
              <w:autoSpaceDN w:val="0"/>
              <w:spacing w:after="0" w:line="217"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100%</w:t>
            </w:r>
            <w:r w:rsidRPr="00DD196F">
              <w:rPr>
                <w:rFonts w:ascii="Times New Roman" w:eastAsia="Times New Roman" w:hAnsi="Times New Roman" w:cs="Times New Roman"/>
                <w:spacing w:val="6"/>
                <w:sz w:val="19"/>
                <w:lang w:val="sq-AL"/>
              </w:rPr>
              <w:t xml:space="preserve"> </w:t>
            </w:r>
            <w:r w:rsidRPr="00DD196F">
              <w:rPr>
                <w:rFonts w:ascii="Times New Roman" w:eastAsia="Times New Roman" w:hAnsi="Times New Roman" w:cs="Times New Roman"/>
                <w:sz w:val="19"/>
                <w:lang w:val="sq-AL"/>
              </w:rPr>
              <w:t>A-</w:t>
            </w:r>
            <w:r w:rsidRPr="00DD196F">
              <w:rPr>
                <w:rFonts w:ascii="Times New Roman" w:eastAsia="Times New Roman" w:hAnsi="Times New Roman" w:cs="Times New Roman"/>
                <w:spacing w:val="6"/>
                <w:sz w:val="19"/>
                <w:lang w:val="sq-AL"/>
              </w:rPr>
              <w:t xml:space="preserve"> </w:t>
            </w:r>
            <w:r w:rsidRPr="00DD196F">
              <w:rPr>
                <w:rFonts w:ascii="Times New Roman" w:eastAsia="Times New Roman" w:hAnsi="Times New Roman" w:cs="Times New Roman"/>
                <w:sz w:val="19"/>
                <w:lang w:val="sq-AL"/>
              </w:rPr>
              <w:t>Cilësi</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e</w:t>
            </w:r>
          </w:p>
          <w:p w:rsidR="00DD196F" w:rsidRPr="00DD196F" w:rsidRDefault="00DD196F" w:rsidP="00DD196F">
            <w:pPr>
              <w:widowControl w:val="0"/>
              <w:autoSpaceDE w:val="0"/>
              <w:autoSpaceDN w:val="0"/>
              <w:spacing w:before="5" w:after="0" w:line="209"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shkëlqyer</w:t>
            </w:r>
          </w:p>
        </w:tc>
      </w:tr>
      <w:tr w:rsidR="00E95EB4" w:rsidTr="00DD196F">
        <w:trPr>
          <w:trHeight w:val="393"/>
        </w:trPr>
        <w:tc>
          <w:tcPr>
            <w:tcW w:w="1120" w:type="dxa"/>
            <w:tcBorders>
              <w:top w:val="single" w:sz="4" w:space="0" w:color="000000"/>
              <w:bottom w:val="single" w:sz="4" w:space="0" w:color="000000"/>
            </w:tcBorders>
          </w:tcPr>
          <w:p w:rsidR="00DD196F" w:rsidRPr="00DD196F" w:rsidRDefault="00DD196F" w:rsidP="00DD196F">
            <w:pPr>
              <w:widowControl w:val="0"/>
              <w:autoSpaceDE w:val="0"/>
              <w:autoSpaceDN w:val="0"/>
              <w:spacing w:after="0" w:line="201" w:lineRule="exact"/>
              <w:ind w:left="8"/>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2</w:t>
            </w:r>
          </w:p>
        </w:tc>
        <w:tc>
          <w:tcPr>
            <w:tcW w:w="1869" w:type="dxa"/>
            <w:tcBorders>
              <w:top w:val="single" w:sz="4" w:space="0" w:color="000000"/>
              <w:bottom w:val="single" w:sz="4" w:space="0" w:color="000000"/>
            </w:tcBorders>
          </w:tcPr>
          <w:p w:rsidR="00DD196F" w:rsidRPr="00DD196F" w:rsidRDefault="00DD196F" w:rsidP="00DD196F">
            <w:pPr>
              <w:widowControl w:val="0"/>
              <w:autoSpaceDE w:val="0"/>
              <w:autoSpaceDN w:val="0"/>
              <w:spacing w:after="0" w:line="201"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pacing w:val="8"/>
                <w:sz w:val="19"/>
                <w:lang w:val="sq-AL"/>
              </w:rPr>
              <w:t xml:space="preserve"> </w:t>
            </w:r>
            <w:r w:rsidRPr="00DD196F">
              <w:rPr>
                <w:rFonts w:ascii="Times New Roman" w:eastAsia="Times New Roman" w:hAnsi="Times New Roman" w:cs="Times New Roman"/>
                <w:sz w:val="19"/>
                <w:lang w:val="sq-AL"/>
              </w:rPr>
              <w:t>Jalë</w:t>
            </w:r>
            <w:r w:rsidRPr="00DD196F">
              <w:rPr>
                <w:rFonts w:ascii="Times New Roman" w:eastAsia="Times New Roman" w:hAnsi="Times New Roman" w:cs="Times New Roman"/>
                <w:spacing w:val="8"/>
                <w:sz w:val="19"/>
                <w:lang w:val="sq-AL"/>
              </w:rPr>
              <w:t xml:space="preserve"> </w:t>
            </w:r>
            <w:r w:rsidRPr="00DD196F">
              <w:rPr>
                <w:rFonts w:ascii="Times New Roman" w:eastAsia="Times New Roman" w:hAnsi="Times New Roman" w:cs="Times New Roman"/>
                <w:sz w:val="19"/>
                <w:lang w:val="sq-AL"/>
              </w:rPr>
              <w:t>Majtas</w:t>
            </w:r>
          </w:p>
        </w:tc>
        <w:tc>
          <w:tcPr>
            <w:tcW w:w="1232" w:type="dxa"/>
            <w:tcBorders>
              <w:top w:val="single" w:sz="4" w:space="0" w:color="000000"/>
              <w:bottom w:val="single" w:sz="4" w:space="0" w:color="000000"/>
            </w:tcBorders>
          </w:tcPr>
          <w:p w:rsidR="00DD196F" w:rsidRPr="00DD196F" w:rsidRDefault="00DD196F" w:rsidP="00DD196F">
            <w:pPr>
              <w:widowControl w:val="0"/>
              <w:autoSpaceDE w:val="0"/>
              <w:autoSpaceDN w:val="0"/>
              <w:spacing w:after="0" w:line="201"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138</w:t>
            </w:r>
          </w:p>
        </w:tc>
        <w:tc>
          <w:tcPr>
            <w:tcW w:w="1308" w:type="dxa"/>
            <w:tcBorders>
              <w:top w:val="single" w:sz="4" w:space="0" w:color="000000"/>
              <w:bottom w:val="single" w:sz="4" w:space="0" w:color="000000"/>
            </w:tcBorders>
          </w:tcPr>
          <w:p w:rsidR="00DD196F" w:rsidRPr="00DD196F" w:rsidRDefault="00DD196F" w:rsidP="00DD196F">
            <w:pPr>
              <w:widowControl w:val="0"/>
              <w:autoSpaceDE w:val="0"/>
              <w:autoSpaceDN w:val="0"/>
              <w:spacing w:after="0" w:line="201"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74</w:t>
            </w:r>
          </w:p>
        </w:tc>
        <w:tc>
          <w:tcPr>
            <w:tcW w:w="1077" w:type="dxa"/>
            <w:tcBorders>
              <w:top w:val="single" w:sz="4" w:space="0" w:color="000000"/>
              <w:bottom w:val="single" w:sz="4" w:space="0" w:color="000000"/>
            </w:tcBorders>
          </w:tcPr>
          <w:p w:rsidR="00DD196F" w:rsidRPr="00DD196F" w:rsidRDefault="00DD196F" w:rsidP="00DD196F">
            <w:pPr>
              <w:widowControl w:val="0"/>
              <w:autoSpaceDE w:val="0"/>
              <w:autoSpaceDN w:val="0"/>
              <w:spacing w:after="0" w:line="201"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925" w:type="dxa"/>
            <w:vMerge/>
            <w:tcBorders>
              <w:top w:val="nil"/>
              <w:bottom w:val="single" w:sz="4" w:space="0" w:color="000000"/>
            </w:tcBorders>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bl>
    <w:p w:rsidR="0072391F" w:rsidRDefault="0072391F" w:rsidP="00DD196F">
      <w:pPr>
        <w:spacing w:line="276" w:lineRule="auto"/>
        <w:jc w:val="both"/>
        <w:rPr>
          <w:rFonts w:ascii="Times New Roman" w:eastAsia="Times New Roman" w:hAnsi="Times New Roman" w:cs="Times New Roman"/>
          <w:noProof/>
          <w:sz w:val="24"/>
          <w:szCs w:val="24"/>
          <w:lang w:val="sq-AL"/>
        </w:rPr>
      </w:pPr>
    </w:p>
    <w:p w:rsidR="00DD196F" w:rsidRPr="00DD196F" w:rsidRDefault="00DD196F" w:rsidP="00DD196F">
      <w:pPr>
        <w:spacing w:line="276" w:lineRule="auto"/>
        <w:jc w:val="both"/>
        <w:rPr>
          <w:rFonts w:ascii="Times New Roman" w:eastAsia="Calibri" w:hAnsi="Times New Roman" w:cs="Times New Roman"/>
          <w:sz w:val="24"/>
          <w:szCs w:val="24"/>
          <w:lang w:val="sq-AL"/>
        </w:rPr>
      </w:pPr>
      <w:r w:rsidRPr="00DD196F">
        <w:rPr>
          <w:rFonts w:ascii="Times New Roman" w:eastAsia="Times New Roman" w:hAnsi="Times New Roman" w:cs="Times New Roman"/>
          <w:noProof/>
          <w:sz w:val="24"/>
          <w:szCs w:val="24"/>
          <w:lang w:val="sq-AL"/>
        </w:rPr>
        <w:t>Referuar</w:t>
      </w:r>
      <w:r w:rsidRPr="00DD196F">
        <w:rPr>
          <w:rFonts w:ascii="Times New Roman" w:eastAsia="Times New Roman" w:hAnsi="Times New Roman" w:cs="Times New Roman"/>
          <w:sz w:val="24"/>
          <w:szCs w:val="24"/>
          <w:lang w:val="it-IT"/>
        </w:rPr>
        <w:t xml:space="preserve"> rezultateve </w:t>
      </w:r>
      <w:r w:rsidRPr="00DD196F">
        <w:rPr>
          <w:rFonts w:ascii="Times New Roman" w:eastAsia="Calibri" w:hAnsi="Times New Roman" w:cs="Times New Roman"/>
          <w:sz w:val="24"/>
          <w:szCs w:val="24"/>
          <w:lang w:val="it-IT"/>
        </w:rPr>
        <w:t xml:space="preserve">të analizave </w:t>
      </w:r>
      <w:r w:rsidRPr="00DD196F">
        <w:rPr>
          <w:rFonts w:ascii="Times New Roman" w:eastAsia="Times New Roman" w:hAnsi="Times New Roman" w:cs="Times New Roman"/>
          <w:sz w:val="24"/>
          <w:szCs w:val="24"/>
          <w:lang w:val="it-IT"/>
        </w:rPr>
        <w:t xml:space="preserve">bakteriologjike </w:t>
      </w:r>
      <w:r w:rsidRPr="00DD196F">
        <w:rPr>
          <w:rFonts w:ascii="Times New Roman" w:eastAsia="Times New Roman" w:hAnsi="Times New Roman" w:cs="Times New Roman"/>
          <w:sz w:val="24"/>
          <w:szCs w:val="24"/>
          <w:lang w:val="sq-AL"/>
        </w:rPr>
        <w:t>këto plazhe vlerësohen në kategorinë A</w:t>
      </w:r>
      <w:r w:rsidRPr="00DD196F">
        <w:rPr>
          <w:rFonts w:ascii="Times New Roman" w:eastAsia="Times New Roman" w:hAnsi="Times New Roman" w:cs="Times New Roman"/>
          <w:sz w:val="24"/>
          <w:szCs w:val="24"/>
          <w:lang w:val="hr-HR"/>
        </w:rPr>
        <w:t xml:space="preserve">- </w:t>
      </w:r>
      <w:r w:rsidRPr="00DD196F">
        <w:rPr>
          <w:rFonts w:ascii="Times New Roman" w:eastAsia="Times New Roman" w:hAnsi="Times New Roman" w:cs="Times New Roman"/>
          <w:sz w:val="24"/>
          <w:szCs w:val="24"/>
          <w:lang w:val="sq-AL"/>
        </w:rPr>
        <w:t>Cil</w:t>
      </w:r>
      <w:r w:rsidRPr="00DD196F">
        <w:rPr>
          <w:rFonts w:ascii="Times New Roman" w:eastAsia="Times New Roman" w:hAnsi="Times New Roman" w:cs="Times New Roman"/>
          <w:sz w:val="24"/>
          <w:szCs w:val="24"/>
          <w:lang w:val="hr-HR"/>
        </w:rPr>
        <w:t>ë</w:t>
      </w:r>
      <w:r w:rsidRPr="00DD196F">
        <w:rPr>
          <w:rFonts w:ascii="Times New Roman" w:eastAsia="Times New Roman" w:hAnsi="Times New Roman" w:cs="Times New Roman"/>
          <w:sz w:val="24"/>
          <w:szCs w:val="24"/>
          <w:lang w:val="sq-AL"/>
        </w:rPr>
        <w:t>si</w:t>
      </w:r>
      <w:r w:rsidRPr="00DD196F">
        <w:rPr>
          <w:rFonts w:ascii="Times New Roman" w:eastAsia="Times New Roman" w:hAnsi="Times New Roman" w:cs="Times New Roman"/>
          <w:sz w:val="24"/>
          <w:szCs w:val="24"/>
          <w:lang w:val="hr-HR"/>
        </w:rPr>
        <w:t xml:space="preserve"> </w:t>
      </w:r>
      <w:r w:rsidRPr="00DD196F">
        <w:rPr>
          <w:rFonts w:ascii="Times New Roman" w:eastAsia="Times New Roman" w:hAnsi="Times New Roman" w:cs="Times New Roman"/>
          <w:sz w:val="24"/>
          <w:szCs w:val="24"/>
          <w:lang w:val="sq-AL"/>
        </w:rPr>
        <w:t>e shk</w:t>
      </w:r>
      <w:r w:rsidRPr="00DD196F">
        <w:rPr>
          <w:rFonts w:ascii="Times New Roman" w:eastAsia="Times New Roman" w:hAnsi="Times New Roman" w:cs="Times New Roman"/>
          <w:sz w:val="24"/>
          <w:szCs w:val="24"/>
          <w:lang w:val="hr-HR"/>
        </w:rPr>
        <w:t>ë</w:t>
      </w:r>
      <w:r w:rsidRPr="00DD196F">
        <w:rPr>
          <w:rFonts w:ascii="Times New Roman" w:eastAsia="Times New Roman" w:hAnsi="Times New Roman" w:cs="Times New Roman"/>
          <w:sz w:val="24"/>
          <w:szCs w:val="24"/>
          <w:lang w:val="sq-AL"/>
        </w:rPr>
        <w:t>lqyer e</w:t>
      </w:r>
      <w:r w:rsidRPr="00DD196F">
        <w:rPr>
          <w:rFonts w:ascii="Times New Roman" w:eastAsia="Times New Roman" w:hAnsi="Times New Roman" w:cs="Times New Roman"/>
          <w:sz w:val="24"/>
          <w:szCs w:val="24"/>
          <w:lang w:val="hr-HR"/>
        </w:rPr>
        <w:t xml:space="preserve"> </w:t>
      </w:r>
      <w:r w:rsidRPr="00DD196F">
        <w:rPr>
          <w:rFonts w:ascii="Times New Roman" w:eastAsia="Times New Roman" w:hAnsi="Times New Roman" w:cs="Times New Roman"/>
          <w:sz w:val="24"/>
          <w:szCs w:val="24"/>
          <w:lang w:val="sq-AL"/>
        </w:rPr>
        <w:t>uj</w:t>
      </w:r>
      <w:r w:rsidRPr="00DD196F">
        <w:rPr>
          <w:rFonts w:ascii="Times New Roman" w:eastAsia="Times New Roman" w:hAnsi="Times New Roman" w:cs="Times New Roman"/>
          <w:sz w:val="24"/>
          <w:szCs w:val="24"/>
          <w:lang w:val="hr-HR"/>
        </w:rPr>
        <w:t>ë</w:t>
      </w:r>
      <w:r w:rsidRPr="00DD196F">
        <w:rPr>
          <w:rFonts w:ascii="Times New Roman" w:eastAsia="Times New Roman" w:hAnsi="Times New Roman" w:cs="Times New Roman"/>
          <w:sz w:val="24"/>
          <w:szCs w:val="24"/>
          <w:lang w:val="sq-AL"/>
        </w:rPr>
        <w:t>rave n</w:t>
      </w:r>
      <w:r w:rsidRPr="00DD196F">
        <w:rPr>
          <w:rFonts w:ascii="Times New Roman" w:eastAsia="Times New Roman" w:hAnsi="Times New Roman" w:cs="Times New Roman"/>
          <w:sz w:val="24"/>
          <w:szCs w:val="24"/>
          <w:lang w:val="hr-HR"/>
        </w:rPr>
        <w:t>ë</w:t>
      </w:r>
      <w:r w:rsidRPr="00DD196F">
        <w:rPr>
          <w:rFonts w:ascii="Times New Roman" w:eastAsia="Times New Roman" w:hAnsi="Times New Roman" w:cs="Times New Roman"/>
          <w:sz w:val="24"/>
          <w:szCs w:val="24"/>
          <w:lang w:val="sq-AL"/>
        </w:rPr>
        <w:t xml:space="preserve"> t</w:t>
      </w:r>
      <w:r w:rsidRPr="00DD196F">
        <w:rPr>
          <w:rFonts w:ascii="Times New Roman" w:eastAsia="Times New Roman" w:hAnsi="Times New Roman" w:cs="Times New Roman"/>
          <w:sz w:val="24"/>
          <w:szCs w:val="24"/>
          <w:lang w:val="hr-HR"/>
        </w:rPr>
        <w:t>ë</w:t>
      </w:r>
      <w:r w:rsidRPr="00DD196F">
        <w:rPr>
          <w:rFonts w:ascii="Times New Roman" w:eastAsia="Times New Roman" w:hAnsi="Times New Roman" w:cs="Times New Roman"/>
          <w:sz w:val="24"/>
          <w:szCs w:val="24"/>
          <w:lang w:val="sq-AL"/>
        </w:rPr>
        <w:t xml:space="preserve"> gjitha pikat  e monitorimit.</w:t>
      </w:r>
    </w:p>
    <w:p w:rsidR="00DD196F" w:rsidRPr="00DD196F" w:rsidRDefault="00DD196F" w:rsidP="00DD196F">
      <w:pPr>
        <w:spacing w:after="200" w:line="288" w:lineRule="auto"/>
        <w:rPr>
          <w:rFonts w:ascii="Times New Roman" w:eastAsiaTheme="minorEastAsia" w:hAnsi="Times New Roman" w:cs="Times New Roman"/>
          <w:sz w:val="24"/>
          <w:szCs w:val="24"/>
        </w:rPr>
      </w:pPr>
      <w:r w:rsidRPr="00DD196F">
        <w:rPr>
          <w:rFonts w:ascii="Times New Roman" w:eastAsiaTheme="minorEastAsia" w:hAnsi="Times New Roman" w:cs="Times New Roman"/>
          <w:noProof/>
          <w:sz w:val="24"/>
          <w:szCs w:val="24"/>
        </w:rPr>
        <mc:AlternateContent>
          <mc:Choice Requires="wps">
            <w:drawing>
              <wp:anchor distT="0" distB="0" distL="114300" distR="114300" simplePos="0" relativeHeight="251654656" behindDoc="0" locked="0" layoutInCell="1" allowOverlap="1" wp14:anchorId="08129283" wp14:editId="4B8B57B9">
                <wp:simplePos x="0" y="0"/>
                <wp:positionH relativeFrom="column">
                  <wp:posOffset>3000375</wp:posOffset>
                </wp:positionH>
                <wp:positionV relativeFrom="paragraph">
                  <wp:posOffset>28574</wp:posOffset>
                </wp:positionV>
                <wp:extent cx="3409950" cy="2314575"/>
                <wp:effectExtent l="19050" t="19050" r="19050" b="47625"/>
                <wp:wrapNone/>
                <wp:docPr id="54" name="Left Arrow 54"/>
                <wp:cNvGraphicFramePr/>
                <a:graphic xmlns:a="http://schemas.openxmlformats.org/drawingml/2006/main">
                  <a:graphicData uri="http://schemas.microsoft.com/office/word/2010/wordprocessingShape">
                    <wps:wsp>
                      <wps:cNvSpPr/>
                      <wps:spPr>
                        <a:xfrm>
                          <a:off x="0" y="0"/>
                          <a:ext cx="3409950" cy="2314575"/>
                        </a:xfrm>
                        <a:prstGeom prst="leftArrow">
                          <a:avLst/>
                        </a:prstGeom>
                        <a:solidFill>
                          <a:sysClr val="window" lastClr="FFFFFF"/>
                        </a:solidFill>
                        <a:ln w="12700" cap="flat" cmpd="sng" algn="ctr">
                          <a:solidFill>
                            <a:srgbClr val="70AD47"/>
                          </a:solidFill>
                          <a:prstDash val="solid"/>
                          <a:miter lim="800000"/>
                        </a:ln>
                        <a:effectLst/>
                      </wps:spPr>
                      <wps:txbx>
                        <w:txbxContent>
                          <w:p w:rsidR="0064059F" w:rsidRDefault="0064059F" w:rsidP="0072391F">
                            <w:pPr>
                              <w:jc w:val="both"/>
                              <w:rPr>
                                <w:rFonts w:ascii="Times New Roman" w:hAnsi="Times New Roman" w:cs="Times New Roman"/>
                                <w:sz w:val="24"/>
                                <w:szCs w:val="24"/>
                              </w:rPr>
                            </w:pPr>
                            <w:r w:rsidRPr="00F21789">
                              <w:rPr>
                                <w:rFonts w:ascii="Times New Roman" w:hAnsi="Times New Roman" w:cs="Times New Roman"/>
                                <w:sz w:val="24"/>
                                <w:szCs w:val="24"/>
                              </w:rPr>
                              <w:t xml:space="preserve">Për plazhin e </w:t>
                            </w:r>
                            <w:r>
                              <w:rPr>
                                <w:rFonts w:ascii="Times New Roman" w:hAnsi="Times New Roman" w:cs="Times New Roman"/>
                                <w:sz w:val="24"/>
                                <w:szCs w:val="24"/>
                              </w:rPr>
                              <w:t>Jalës</w:t>
                            </w:r>
                            <w:r w:rsidRPr="00F21789">
                              <w:rPr>
                                <w:rFonts w:ascii="Times New Roman" w:hAnsi="Times New Roman" w:cs="Times New Roman"/>
                                <w:sz w:val="24"/>
                                <w:szCs w:val="24"/>
                              </w:rPr>
                              <w:t xml:space="preserve"> për </w:t>
                            </w:r>
                            <w:r>
                              <w:rPr>
                                <w:rFonts w:ascii="Times New Roman" w:hAnsi="Times New Roman" w:cs="Times New Roman"/>
                                <w:sz w:val="24"/>
                                <w:szCs w:val="24"/>
                              </w:rPr>
                              <w:t xml:space="preserve">vitin 2025, cilësia e ujërave </w:t>
                            </w:r>
                            <w:r w:rsidRPr="00F21789">
                              <w:rPr>
                                <w:rFonts w:ascii="Times New Roman" w:hAnsi="Times New Roman" w:cs="Times New Roman"/>
                                <w:sz w:val="24"/>
                                <w:szCs w:val="24"/>
                              </w:rPr>
                              <w:t xml:space="preserve"> i përket kategorisë A- Cilësi e shkëlqyer e ujërave</w:t>
                            </w:r>
                            <w:r>
                              <w:rPr>
                                <w:rFonts w:ascii="Times New Roman" w:hAnsi="Times New Roman" w:cs="Times New Roman"/>
                                <w:sz w:val="24"/>
                                <w:szCs w:val="24"/>
                              </w:rPr>
                              <w:t xml:space="preserve"> , krahasuar me vitet 2020-2025 cilësia është e njëjtë.</w:t>
                            </w:r>
                          </w:p>
                          <w:p w:rsidR="0064059F" w:rsidRDefault="0064059F" w:rsidP="00DD196F">
                            <w:pPr>
                              <w:ind w:firstLine="720"/>
                              <w:rPr>
                                <w:rFonts w:ascii="Times New Roman" w:hAnsi="Times New Roman" w:cs="Times New Roman"/>
                                <w:sz w:val="24"/>
                                <w:szCs w:val="24"/>
                              </w:rPr>
                            </w:pPr>
                          </w:p>
                          <w:p w:rsidR="0064059F" w:rsidRDefault="0064059F" w:rsidP="00DD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8129283" id="Left Arrow 54" o:spid="_x0000_s1100" type="#_x0000_t66" style="position:absolute;margin-left:236.25pt;margin-top:2.25pt;width:268.5pt;height:182.2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" adj="7331" fillcolor="window" strokecolor="#70ad47" strokeweight="1pt">
                <v:textbox>
                  <w:txbxContent>
                    <w:p w:rsidR="0064059F" w:rsidRDefault="0064059F" w:rsidP="0072391F">
                      <w:pPr>
                        <w:jc w:val="both"/>
                        <w:rPr>
                          <w:rFonts w:ascii="Times New Roman" w:hAnsi="Times New Roman" w:cs="Times New Roman"/>
                          <w:sz w:val="24"/>
                          <w:szCs w:val="24"/>
                        </w:rPr>
                      </w:pPr>
                      <w:r w:rsidRPr="00F21789">
                        <w:rPr>
                          <w:rFonts w:ascii="Times New Roman" w:hAnsi="Times New Roman" w:cs="Times New Roman"/>
                          <w:sz w:val="24"/>
                          <w:szCs w:val="24"/>
                        </w:rPr>
                        <w:t xml:space="preserve">Për plazhin e </w:t>
                      </w:r>
                      <w:r>
                        <w:rPr>
                          <w:rFonts w:ascii="Times New Roman" w:hAnsi="Times New Roman" w:cs="Times New Roman"/>
                          <w:sz w:val="24"/>
                          <w:szCs w:val="24"/>
                        </w:rPr>
                        <w:t>Jalës</w:t>
                      </w:r>
                      <w:r w:rsidRPr="00F21789">
                        <w:rPr>
                          <w:rFonts w:ascii="Times New Roman" w:hAnsi="Times New Roman" w:cs="Times New Roman"/>
                          <w:sz w:val="24"/>
                          <w:szCs w:val="24"/>
                        </w:rPr>
                        <w:t xml:space="preserve"> për </w:t>
                      </w:r>
                      <w:r>
                        <w:rPr>
                          <w:rFonts w:ascii="Times New Roman" w:hAnsi="Times New Roman" w:cs="Times New Roman"/>
                          <w:sz w:val="24"/>
                          <w:szCs w:val="24"/>
                        </w:rPr>
                        <w:t xml:space="preserve">vitin 2025, cilësia e ujërave </w:t>
                      </w:r>
                      <w:r w:rsidRPr="00F21789">
                        <w:rPr>
                          <w:rFonts w:ascii="Times New Roman" w:hAnsi="Times New Roman" w:cs="Times New Roman"/>
                          <w:sz w:val="24"/>
                          <w:szCs w:val="24"/>
                        </w:rPr>
                        <w:t xml:space="preserve"> i përket kategorisë A- Cilësi e shkëlqyer e ujërave</w:t>
                      </w:r>
                      <w:r>
                        <w:rPr>
                          <w:rFonts w:ascii="Times New Roman" w:hAnsi="Times New Roman" w:cs="Times New Roman"/>
                          <w:sz w:val="24"/>
                          <w:szCs w:val="24"/>
                        </w:rPr>
                        <w:t xml:space="preserve"> , krahasuar me vitet 2020-2025 cilësia është e njëjtë.</w:t>
                      </w:r>
                    </w:p>
                    <w:p w:rsidR="0064059F" w:rsidRDefault="0064059F" w:rsidP="00DD196F">
                      <w:pPr>
                        <w:ind w:firstLine="720"/>
                        <w:rPr>
                          <w:rFonts w:ascii="Times New Roman" w:hAnsi="Times New Roman" w:cs="Times New Roman"/>
                          <w:sz w:val="24"/>
                          <w:szCs w:val="24"/>
                        </w:rPr>
                      </w:pPr>
                    </w:p>
                    <w:p w:rsidR="0064059F" w:rsidRDefault="0064059F" w:rsidP="00DD196F">
                      <w:pPr>
                        <w:jc w:val="center"/>
                      </w:pPr>
                    </w:p>
                  </w:txbxContent>
                </v:textbox>
              </v:shape>
            </w:pict>
          </mc:Fallback>
        </mc:AlternateContent>
      </w:r>
      <w:r w:rsidRPr="00DD196F">
        <w:rPr>
          <w:rFonts w:ascii="Times New Roman" w:eastAsiaTheme="minorEastAsia" w:hAnsi="Times New Roman" w:cs="Times New Roman"/>
          <w:noProof/>
          <w:sz w:val="24"/>
          <w:szCs w:val="24"/>
        </w:rPr>
        <w:drawing>
          <wp:inline distT="0" distB="0" distL="0" distR="0" wp14:anchorId="3BB12D86" wp14:editId="172C34F0">
            <wp:extent cx="2737485" cy="222885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737485" cy="2228850"/>
                    </a:xfrm>
                    <a:prstGeom prst="rect">
                      <a:avLst/>
                    </a:prstGeom>
                    <a:noFill/>
                  </pic:spPr>
                </pic:pic>
              </a:graphicData>
            </a:graphic>
          </wp:inline>
        </w:drawing>
      </w:r>
    </w:p>
    <w:p w:rsidR="0072391F" w:rsidRDefault="0072391F" w:rsidP="00D8485A">
      <w:pPr>
        <w:spacing w:after="0" w:line="240" w:lineRule="auto"/>
        <w:jc w:val="both"/>
        <w:rPr>
          <w:rFonts w:ascii="Times New Roman" w:eastAsia="Times New Roman" w:hAnsi="Times New Roman" w:cs="Times New Roman"/>
          <w:sz w:val="24"/>
          <w:szCs w:val="24"/>
          <w:lang w:val="it-IT"/>
        </w:rPr>
      </w:pPr>
    </w:p>
    <w:p w:rsidR="00DD196F" w:rsidRDefault="00DD196F" w:rsidP="00D8485A">
      <w:pPr>
        <w:spacing w:after="0" w:line="240" w:lineRule="auto"/>
        <w:jc w:val="both"/>
        <w:rPr>
          <w:rFonts w:ascii="Times New Roman" w:eastAsia="Times New Roman" w:hAnsi="Times New Roman" w:cs="Times New Roman"/>
          <w:sz w:val="24"/>
          <w:szCs w:val="24"/>
          <w:lang w:val="it-IT"/>
        </w:rPr>
      </w:pPr>
      <w:r w:rsidRPr="00DD196F">
        <w:rPr>
          <w:rFonts w:ascii="Times New Roman" w:eastAsia="Times New Roman" w:hAnsi="Times New Roman" w:cs="Times New Roman"/>
          <w:sz w:val="24"/>
          <w:szCs w:val="24"/>
          <w:lang w:val="it-IT"/>
        </w:rPr>
        <w:t>PLAZHI I LIVADHES</w:t>
      </w:r>
      <w:r w:rsidRPr="0072391F">
        <w:rPr>
          <w:rFonts w:ascii="Times New Roman" w:eastAsia="Times New Roman" w:hAnsi="Times New Roman" w:cs="Times New Roman"/>
          <w:b/>
          <w:sz w:val="24"/>
          <w:szCs w:val="24"/>
          <w:lang w:val="it-IT"/>
        </w:rPr>
        <w:t>:</w:t>
      </w:r>
      <w:r w:rsidRPr="00DD196F">
        <w:rPr>
          <w:rFonts w:ascii="Times New Roman" w:eastAsia="Times New Roman" w:hAnsi="Times New Roman" w:cs="Times New Roman"/>
          <w:b/>
          <w:sz w:val="24"/>
          <w:szCs w:val="24"/>
          <w:lang w:val="it-IT"/>
        </w:rPr>
        <w:t xml:space="preserve"> </w:t>
      </w:r>
      <w:r w:rsidRPr="00DD196F">
        <w:rPr>
          <w:rFonts w:ascii="Times New Roman" w:eastAsia="Times New Roman" w:hAnsi="Times New Roman" w:cs="Times New Roman"/>
          <w:sz w:val="24"/>
          <w:szCs w:val="24"/>
          <w:lang w:val="it-IT"/>
        </w:rPr>
        <w:t xml:space="preserve">Gjatë inspektimit higjeno sanitar </w:t>
      </w:r>
      <w:r w:rsidRPr="00DD196F">
        <w:rPr>
          <w:rFonts w:ascii="Times New Roman" w:eastAsia="Times New Roman" w:hAnsi="Times New Roman" w:cs="Times New Roman"/>
          <w:sz w:val="24"/>
          <w:szCs w:val="24"/>
          <w:lang w:val="sq-AL"/>
        </w:rPr>
        <w:t xml:space="preserve">në stacionet e monitorimit përgjithësisht </w:t>
      </w:r>
      <w:r w:rsidRPr="00DD196F">
        <w:rPr>
          <w:rFonts w:ascii="Times New Roman" w:eastAsia="Calibri" w:hAnsi="Times New Roman" w:cs="Times New Roman"/>
          <w:sz w:val="24"/>
          <w:szCs w:val="24"/>
          <w:lang w:val="sq-AL"/>
        </w:rPr>
        <w:t xml:space="preserve">u konstatuan plazhe te sistemuara. </w:t>
      </w:r>
      <w:r w:rsidRPr="00DD196F">
        <w:rPr>
          <w:rFonts w:ascii="Times New Roman" w:eastAsia="Times New Roman" w:hAnsi="Times New Roman" w:cs="Times New Roman"/>
          <w:sz w:val="24"/>
          <w:szCs w:val="24"/>
          <w:lang w:val="sq-AL"/>
        </w:rPr>
        <w:t>Brezi bregdetar i pastruar, me kosha mbeturinash, dushe, kulla vrojtimi dhoma për ndërrimin e veshjeve</w:t>
      </w:r>
      <w:r w:rsidRPr="00DD196F">
        <w:rPr>
          <w:rFonts w:ascii="Times New Roman" w:eastAsia="Calibri" w:hAnsi="Times New Roman" w:cs="Times New Roman"/>
          <w:sz w:val="24"/>
          <w:szCs w:val="24"/>
          <w:lang w:val="sq-AL"/>
        </w:rPr>
        <w:t xml:space="preserve"> dhe afishimi i rregullave p</w:t>
      </w:r>
      <w:r w:rsidRPr="00DD196F">
        <w:rPr>
          <w:rFonts w:ascii="Times New Roman" w:eastAsia="Times New Roman" w:hAnsi="Times New Roman" w:cs="Times New Roman"/>
          <w:sz w:val="24"/>
          <w:szCs w:val="24"/>
          <w:lang w:val="sq-AL"/>
        </w:rPr>
        <w:t>ë</w:t>
      </w:r>
      <w:r w:rsidRPr="00DD196F">
        <w:rPr>
          <w:rFonts w:ascii="Times New Roman" w:eastAsia="Calibri" w:hAnsi="Times New Roman" w:cs="Times New Roman"/>
          <w:sz w:val="24"/>
          <w:szCs w:val="24"/>
          <w:lang w:val="sq-AL"/>
        </w:rPr>
        <w:t xml:space="preserve">r zbatim nga frekuentuesit e plazheve. </w:t>
      </w:r>
      <w:r w:rsidRPr="00DD196F">
        <w:rPr>
          <w:rFonts w:ascii="Times New Roman" w:eastAsia="Times New Roman" w:hAnsi="Times New Roman" w:cs="Times New Roman"/>
          <w:sz w:val="24"/>
          <w:szCs w:val="24"/>
        </w:rPr>
        <w:t>Për shkak të pozicionimit të këtyre plazheve pranë subjekteve private, nevojat sanitare për tualete përmbushen në këto subjekte</w:t>
      </w:r>
      <w:r w:rsidRPr="00DD196F">
        <w:rPr>
          <w:rFonts w:ascii="Times New Roman" w:eastAsia="Times New Roman" w:hAnsi="Times New Roman" w:cs="Times New Roman"/>
          <w:sz w:val="24"/>
          <w:szCs w:val="24"/>
          <w:lang w:val="sq-AL"/>
        </w:rPr>
        <w:t>.</w:t>
      </w:r>
      <w:r w:rsidRPr="00DD196F">
        <w:rPr>
          <w:rFonts w:ascii="Times New Roman" w:eastAsia="Times New Roman" w:hAnsi="Times New Roman" w:cs="Times New Roman"/>
          <w:sz w:val="24"/>
          <w:szCs w:val="24"/>
          <w:lang w:val="it-IT"/>
        </w:rPr>
        <w:t xml:space="preserve"> Gjat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muajve Korrik e Gusht u konstatua shtim i numrit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frekuentuesve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plazheve. </w:t>
      </w:r>
    </w:p>
    <w:p w:rsidR="00D8485A" w:rsidRPr="00DD196F" w:rsidRDefault="00D8485A" w:rsidP="00D8485A">
      <w:pPr>
        <w:spacing w:after="0" w:line="240" w:lineRule="auto"/>
        <w:jc w:val="both"/>
        <w:rPr>
          <w:rFonts w:ascii="Times New Roman" w:eastAsia="Times New Roman" w:hAnsi="Times New Roman" w:cs="Times New Roman"/>
          <w:sz w:val="24"/>
          <w:szCs w:val="24"/>
        </w:rPr>
      </w:pPr>
    </w:p>
    <w:p w:rsidR="00DD196F" w:rsidRPr="00DD196F" w:rsidRDefault="00DD196F" w:rsidP="00DD196F">
      <w:pPr>
        <w:spacing w:line="276" w:lineRule="auto"/>
        <w:jc w:val="both"/>
        <w:rPr>
          <w:rFonts w:ascii="Times New Roman" w:eastAsia="Calibri" w:hAnsi="Times New Roman" w:cs="Times New Roman"/>
          <w:b/>
          <w:sz w:val="24"/>
          <w:szCs w:val="24"/>
          <w:lang w:val="sq-AL"/>
        </w:rPr>
      </w:pPr>
      <w:r w:rsidRPr="00DD196F">
        <w:rPr>
          <w:rFonts w:ascii="Times New Roman" w:eastAsia="Calibri" w:hAnsi="Times New Roman" w:cs="Times New Roman"/>
          <w:sz w:val="24"/>
          <w:szCs w:val="24"/>
          <w:lang w:val="sq-AL"/>
        </w:rPr>
        <w:t xml:space="preserve">                    </w:t>
      </w:r>
      <w:r w:rsidRPr="00DD196F">
        <w:rPr>
          <w:rFonts w:ascii="Times New Roman" w:eastAsia="Calibri" w:hAnsi="Times New Roman" w:cs="Times New Roman"/>
          <w:b/>
          <w:sz w:val="24"/>
          <w:szCs w:val="24"/>
          <w:lang w:val="sq-AL"/>
        </w:rPr>
        <w:t>● Plazhi i Livadhes</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1"/>
        <w:gridCol w:w="1383"/>
        <w:gridCol w:w="1589"/>
        <w:gridCol w:w="1437"/>
        <w:gridCol w:w="1059"/>
        <w:gridCol w:w="1815"/>
      </w:tblGrid>
      <w:tr w:rsidR="00E95EB4" w:rsidTr="00854864">
        <w:trPr>
          <w:trHeight w:val="552"/>
        </w:trPr>
        <w:tc>
          <w:tcPr>
            <w:tcW w:w="1101" w:type="dxa"/>
            <w:shd w:val="clear" w:color="auto" w:fill="DEEAF6"/>
          </w:tcPr>
          <w:p w:rsidR="00DD196F" w:rsidRPr="00DD196F" w:rsidRDefault="00DD196F" w:rsidP="00DD196F">
            <w:pPr>
              <w:widowControl w:val="0"/>
              <w:autoSpaceDE w:val="0"/>
              <w:autoSpaceDN w:val="0"/>
              <w:spacing w:before="1" w:after="0" w:line="240" w:lineRule="auto"/>
              <w:ind w:left="65" w:right="58"/>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Nr.</w:t>
            </w:r>
          </w:p>
          <w:p w:rsidR="00DD196F" w:rsidRPr="00DD196F" w:rsidRDefault="00DD196F" w:rsidP="00DD196F">
            <w:pPr>
              <w:widowControl w:val="0"/>
              <w:autoSpaceDE w:val="0"/>
              <w:autoSpaceDN w:val="0"/>
              <w:spacing w:before="5" w:after="0" w:line="197" w:lineRule="exact"/>
              <w:ind w:left="66" w:right="58"/>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p>
        </w:tc>
        <w:tc>
          <w:tcPr>
            <w:tcW w:w="1383" w:type="dxa"/>
            <w:shd w:val="clear" w:color="auto" w:fill="DEEAF6"/>
          </w:tcPr>
          <w:p w:rsidR="00DD196F" w:rsidRPr="00DD196F" w:rsidRDefault="00DD196F" w:rsidP="00DD196F">
            <w:pPr>
              <w:widowControl w:val="0"/>
              <w:autoSpaceDE w:val="0"/>
              <w:autoSpaceDN w:val="0"/>
              <w:spacing w:before="112" w:after="0" w:line="240" w:lineRule="auto"/>
              <w:ind w:right="398"/>
              <w:jc w:val="right"/>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Vendi</w:t>
            </w:r>
          </w:p>
        </w:tc>
        <w:tc>
          <w:tcPr>
            <w:tcW w:w="1589" w:type="dxa"/>
            <w:shd w:val="clear" w:color="auto" w:fill="DEEAF6"/>
          </w:tcPr>
          <w:p w:rsidR="00DD196F" w:rsidRPr="00DD196F" w:rsidRDefault="00DD196F" w:rsidP="00DD196F">
            <w:pPr>
              <w:widowControl w:val="0"/>
              <w:autoSpaceDE w:val="0"/>
              <w:autoSpaceDN w:val="0"/>
              <w:spacing w:before="1" w:after="0" w:line="240" w:lineRule="auto"/>
              <w:ind w:left="348"/>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FC</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90%</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197" w:lineRule="exact"/>
              <w:ind w:left="291"/>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250</w:t>
            </w:r>
          </w:p>
        </w:tc>
        <w:tc>
          <w:tcPr>
            <w:tcW w:w="1437" w:type="dxa"/>
            <w:shd w:val="clear" w:color="auto" w:fill="DEEAF6"/>
          </w:tcPr>
          <w:p w:rsidR="00DD196F" w:rsidRPr="00DD196F" w:rsidRDefault="00DD196F" w:rsidP="00DD196F">
            <w:pPr>
              <w:widowControl w:val="0"/>
              <w:autoSpaceDE w:val="0"/>
              <w:autoSpaceDN w:val="0"/>
              <w:spacing w:before="1" w:after="0" w:line="240" w:lineRule="auto"/>
              <w:ind w:left="302"/>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IE</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95%</w:t>
            </w:r>
            <w:r w:rsidRPr="00DD196F">
              <w:rPr>
                <w:rFonts w:ascii="Times New Roman" w:eastAsia="Times New Roman" w:hAnsi="Times New Roman" w:cs="Times New Roman"/>
                <w:b/>
                <w:spacing w:val="3"/>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197" w:lineRule="exact"/>
              <w:ind w:left="218"/>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100</w:t>
            </w:r>
          </w:p>
        </w:tc>
        <w:tc>
          <w:tcPr>
            <w:tcW w:w="1059" w:type="dxa"/>
            <w:shd w:val="clear" w:color="auto" w:fill="DEEAF6"/>
          </w:tcPr>
          <w:p w:rsidR="00DD196F" w:rsidRPr="00DD196F" w:rsidRDefault="00DD196F" w:rsidP="00DD196F">
            <w:pPr>
              <w:widowControl w:val="0"/>
              <w:autoSpaceDE w:val="0"/>
              <w:autoSpaceDN w:val="0"/>
              <w:spacing w:before="1" w:after="0" w:line="240" w:lineRule="auto"/>
              <w:ind w:left="82"/>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Kategoria</w:t>
            </w:r>
          </w:p>
        </w:tc>
        <w:tc>
          <w:tcPr>
            <w:tcW w:w="1815" w:type="dxa"/>
            <w:shd w:val="clear" w:color="auto" w:fill="DEEAF6"/>
          </w:tcPr>
          <w:p w:rsidR="00DD196F" w:rsidRPr="00DD196F" w:rsidRDefault="00DD196F" w:rsidP="00DD196F">
            <w:pPr>
              <w:widowControl w:val="0"/>
              <w:autoSpaceDE w:val="0"/>
              <w:autoSpaceDN w:val="0"/>
              <w:spacing w:before="1" w:after="0" w:line="240" w:lineRule="auto"/>
              <w:ind w:left="379"/>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Përqindja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e</w:t>
            </w:r>
          </w:p>
          <w:p w:rsidR="00DD196F" w:rsidRPr="00DD196F" w:rsidRDefault="00DD196F" w:rsidP="00DD196F">
            <w:pPr>
              <w:widowControl w:val="0"/>
              <w:autoSpaceDE w:val="0"/>
              <w:autoSpaceDN w:val="0"/>
              <w:spacing w:before="5" w:after="0" w:line="197" w:lineRule="exact"/>
              <w:ind w:left="314"/>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r w:rsidRPr="00DD196F">
              <w:rPr>
                <w:rFonts w:ascii="Times New Roman" w:eastAsia="Times New Roman" w:hAnsi="Times New Roman" w:cs="Times New Roman"/>
                <w:b/>
                <w:spacing w:val="9"/>
                <w:sz w:val="19"/>
                <w:lang w:val="sq-AL"/>
              </w:rPr>
              <w:t xml:space="preserve"> </w:t>
            </w:r>
            <w:r w:rsidRPr="00DD196F">
              <w:rPr>
                <w:rFonts w:ascii="Times New Roman" w:eastAsia="Times New Roman" w:hAnsi="Times New Roman" w:cs="Times New Roman"/>
                <w:b/>
                <w:sz w:val="19"/>
                <w:lang w:val="sq-AL"/>
              </w:rPr>
              <w:t>%</w:t>
            </w:r>
          </w:p>
        </w:tc>
      </w:tr>
      <w:tr w:rsidR="00E95EB4" w:rsidTr="00854864">
        <w:trPr>
          <w:trHeight w:val="316"/>
        </w:trPr>
        <w:tc>
          <w:tcPr>
            <w:tcW w:w="1101" w:type="dxa"/>
          </w:tcPr>
          <w:p w:rsidR="00DD196F" w:rsidRPr="00DD196F" w:rsidRDefault="00DD196F" w:rsidP="00DD196F">
            <w:pPr>
              <w:widowControl w:val="0"/>
              <w:autoSpaceDE w:val="0"/>
              <w:autoSpaceDN w:val="0"/>
              <w:spacing w:before="20" w:after="0" w:line="213" w:lineRule="exact"/>
              <w:ind w:left="8"/>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1</w:t>
            </w:r>
          </w:p>
        </w:tc>
        <w:tc>
          <w:tcPr>
            <w:tcW w:w="1383" w:type="dxa"/>
          </w:tcPr>
          <w:p w:rsidR="00DD196F" w:rsidRPr="00DD196F" w:rsidRDefault="00DD196F" w:rsidP="00DD196F">
            <w:pPr>
              <w:widowControl w:val="0"/>
              <w:autoSpaceDE w:val="0"/>
              <w:autoSpaceDN w:val="0"/>
              <w:spacing w:before="20" w:after="0" w:line="213" w:lineRule="exact"/>
              <w:ind w:right="441"/>
              <w:jc w:val="right"/>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Livadhe</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1</w:t>
            </w:r>
          </w:p>
        </w:tc>
        <w:tc>
          <w:tcPr>
            <w:tcW w:w="1589" w:type="dxa"/>
          </w:tcPr>
          <w:p w:rsidR="00DD196F" w:rsidRPr="00DD196F" w:rsidRDefault="00DD196F" w:rsidP="00DD196F">
            <w:pPr>
              <w:widowControl w:val="0"/>
              <w:autoSpaceDE w:val="0"/>
              <w:autoSpaceDN w:val="0"/>
              <w:spacing w:after="0" w:line="217"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54</w:t>
            </w:r>
          </w:p>
        </w:tc>
        <w:tc>
          <w:tcPr>
            <w:tcW w:w="1437" w:type="dxa"/>
          </w:tcPr>
          <w:p w:rsidR="00DD196F" w:rsidRPr="00DD196F" w:rsidRDefault="00DD196F" w:rsidP="00DD196F">
            <w:pPr>
              <w:widowControl w:val="0"/>
              <w:autoSpaceDE w:val="0"/>
              <w:autoSpaceDN w:val="0"/>
              <w:spacing w:after="0" w:line="217"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70</w:t>
            </w:r>
          </w:p>
        </w:tc>
        <w:tc>
          <w:tcPr>
            <w:tcW w:w="1059" w:type="dxa"/>
          </w:tcPr>
          <w:p w:rsidR="00DD196F" w:rsidRPr="00DD196F" w:rsidRDefault="00DD196F" w:rsidP="00DD196F">
            <w:pPr>
              <w:widowControl w:val="0"/>
              <w:autoSpaceDE w:val="0"/>
              <w:autoSpaceDN w:val="0"/>
              <w:spacing w:after="0" w:line="217"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815" w:type="dxa"/>
            <w:vMerge w:val="restart"/>
          </w:tcPr>
          <w:p w:rsidR="00DD196F" w:rsidRPr="00DD196F" w:rsidRDefault="00DD196F" w:rsidP="00DD196F">
            <w:pPr>
              <w:widowControl w:val="0"/>
              <w:autoSpaceDE w:val="0"/>
              <w:autoSpaceDN w:val="0"/>
              <w:spacing w:before="3" w:after="0" w:line="240" w:lineRule="auto"/>
              <w:rPr>
                <w:rFonts w:ascii="Times New Roman" w:eastAsia="Times New Roman" w:hAnsi="Times New Roman" w:cs="Times New Roman"/>
                <w:b/>
                <w:sz w:val="19"/>
                <w:lang w:val="sq-AL"/>
              </w:rPr>
            </w:pPr>
          </w:p>
          <w:p w:rsidR="00DD196F" w:rsidRPr="00DD196F" w:rsidRDefault="00DD196F" w:rsidP="00DD196F">
            <w:pPr>
              <w:widowControl w:val="0"/>
              <w:autoSpaceDE w:val="0"/>
              <w:autoSpaceDN w:val="0"/>
              <w:spacing w:before="1" w:after="0" w:line="244" w:lineRule="auto"/>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100%</w:t>
            </w:r>
            <w:r w:rsidRPr="00DD196F">
              <w:rPr>
                <w:rFonts w:ascii="Times New Roman" w:eastAsia="Times New Roman" w:hAnsi="Times New Roman" w:cs="Times New Roman"/>
                <w:spacing w:val="3"/>
                <w:sz w:val="19"/>
                <w:lang w:val="sq-AL"/>
              </w:rPr>
              <w:t xml:space="preserve"> </w:t>
            </w:r>
            <w:r w:rsidRPr="00DD196F">
              <w:rPr>
                <w:rFonts w:ascii="Times New Roman" w:eastAsia="Times New Roman" w:hAnsi="Times New Roman" w:cs="Times New Roman"/>
                <w:sz w:val="19"/>
                <w:lang w:val="sq-AL"/>
              </w:rPr>
              <w:t>A-</w:t>
            </w:r>
            <w:r w:rsidRPr="00DD196F">
              <w:rPr>
                <w:rFonts w:ascii="Times New Roman" w:eastAsia="Times New Roman" w:hAnsi="Times New Roman" w:cs="Times New Roman"/>
                <w:spacing w:val="4"/>
                <w:sz w:val="19"/>
                <w:lang w:val="sq-AL"/>
              </w:rPr>
              <w:t xml:space="preserve"> </w:t>
            </w:r>
            <w:r w:rsidRPr="00DD196F">
              <w:rPr>
                <w:rFonts w:ascii="Times New Roman" w:eastAsia="Times New Roman" w:hAnsi="Times New Roman" w:cs="Times New Roman"/>
                <w:sz w:val="19"/>
                <w:lang w:val="sq-AL"/>
              </w:rPr>
              <w:t>Cilësi</w:t>
            </w:r>
            <w:r w:rsidRPr="00DD196F">
              <w:rPr>
                <w:rFonts w:ascii="Times New Roman" w:eastAsia="Times New Roman" w:hAnsi="Times New Roman" w:cs="Times New Roman"/>
                <w:spacing w:val="4"/>
                <w:sz w:val="19"/>
                <w:lang w:val="sq-AL"/>
              </w:rPr>
              <w:t xml:space="preserve"> </w:t>
            </w:r>
            <w:r w:rsidRPr="00DD196F">
              <w:rPr>
                <w:rFonts w:ascii="Times New Roman" w:eastAsia="Times New Roman" w:hAnsi="Times New Roman" w:cs="Times New Roman"/>
                <w:sz w:val="19"/>
                <w:lang w:val="sq-AL"/>
              </w:rPr>
              <w:t>e</w:t>
            </w:r>
            <w:r w:rsidRPr="00DD196F">
              <w:rPr>
                <w:rFonts w:ascii="Times New Roman" w:eastAsia="Times New Roman" w:hAnsi="Times New Roman" w:cs="Times New Roman"/>
                <w:spacing w:val="-44"/>
                <w:sz w:val="19"/>
                <w:lang w:val="sq-AL"/>
              </w:rPr>
              <w:t xml:space="preserve"> </w:t>
            </w:r>
            <w:r w:rsidRPr="00DD196F">
              <w:rPr>
                <w:rFonts w:ascii="Times New Roman" w:eastAsia="Times New Roman" w:hAnsi="Times New Roman" w:cs="Times New Roman"/>
                <w:sz w:val="19"/>
                <w:lang w:val="sq-AL"/>
              </w:rPr>
              <w:t>shkëlqyer</w:t>
            </w:r>
          </w:p>
        </w:tc>
      </w:tr>
      <w:tr w:rsidR="00E95EB4" w:rsidTr="00854864">
        <w:trPr>
          <w:trHeight w:val="280"/>
        </w:trPr>
        <w:tc>
          <w:tcPr>
            <w:tcW w:w="1101" w:type="dxa"/>
          </w:tcPr>
          <w:p w:rsidR="00DD196F" w:rsidRPr="00DD196F" w:rsidRDefault="00DD196F" w:rsidP="00DD196F">
            <w:pPr>
              <w:widowControl w:val="0"/>
              <w:autoSpaceDE w:val="0"/>
              <w:autoSpaceDN w:val="0"/>
              <w:spacing w:before="2" w:after="0" w:line="203" w:lineRule="exact"/>
              <w:ind w:left="8"/>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2</w:t>
            </w:r>
          </w:p>
        </w:tc>
        <w:tc>
          <w:tcPr>
            <w:tcW w:w="1383" w:type="dxa"/>
          </w:tcPr>
          <w:p w:rsidR="00DD196F" w:rsidRPr="00DD196F" w:rsidRDefault="00DD196F" w:rsidP="00DD196F">
            <w:pPr>
              <w:widowControl w:val="0"/>
              <w:autoSpaceDE w:val="0"/>
              <w:autoSpaceDN w:val="0"/>
              <w:spacing w:before="2" w:after="0" w:line="203" w:lineRule="exact"/>
              <w:ind w:right="441"/>
              <w:jc w:val="right"/>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Livadhe</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2</w:t>
            </w:r>
          </w:p>
        </w:tc>
        <w:tc>
          <w:tcPr>
            <w:tcW w:w="1589" w:type="dxa"/>
          </w:tcPr>
          <w:p w:rsidR="00DD196F" w:rsidRPr="00DD196F" w:rsidRDefault="00DD196F" w:rsidP="00DD196F">
            <w:pPr>
              <w:widowControl w:val="0"/>
              <w:autoSpaceDE w:val="0"/>
              <w:autoSpaceDN w:val="0"/>
              <w:spacing w:after="0" w:line="204"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102</w:t>
            </w:r>
          </w:p>
        </w:tc>
        <w:tc>
          <w:tcPr>
            <w:tcW w:w="1437" w:type="dxa"/>
          </w:tcPr>
          <w:p w:rsidR="00DD196F" w:rsidRPr="00DD196F" w:rsidRDefault="00DD196F" w:rsidP="00DD196F">
            <w:pPr>
              <w:widowControl w:val="0"/>
              <w:autoSpaceDE w:val="0"/>
              <w:autoSpaceDN w:val="0"/>
              <w:spacing w:after="0" w:line="204"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59</w:t>
            </w:r>
          </w:p>
        </w:tc>
        <w:tc>
          <w:tcPr>
            <w:tcW w:w="1059" w:type="dxa"/>
          </w:tcPr>
          <w:p w:rsidR="00DD196F" w:rsidRPr="00DD196F" w:rsidRDefault="00DD196F" w:rsidP="00DD196F">
            <w:pPr>
              <w:widowControl w:val="0"/>
              <w:autoSpaceDE w:val="0"/>
              <w:autoSpaceDN w:val="0"/>
              <w:spacing w:after="0" w:line="204"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815"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E95EB4" w:rsidTr="00854864">
        <w:trPr>
          <w:trHeight w:val="261"/>
        </w:trPr>
        <w:tc>
          <w:tcPr>
            <w:tcW w:w="1101" w:type="dxa"/>
          </w:tcPr>
          <w:p w:rsidR="00DD196F" w:rsidRPr="00DD196F" w:rsidRDefault="00DD196F" w:rsidP="00DD196F">
            <w:pPr>
              <w:widowControl w:val="0"/>
              <w:autoSpaceDE w:val="0"/>
              <w:autoSpaceDN w:val="0"/>
              <w:spacing w:after="0" w:line="190" w:lineRule="exact"/>
              <w:ind w:left="8"/>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3</w:t>
            </w:r>
          </w:p>
        </w:tc>
        <w:tc>
          <w:tcPr>
            <w:tcW w:w="1383" w:type="dxa"/>
          </w:tcPr>
          <w:p w:rsidR="00DD196F" w:rsidRPr="00DD196F" w:rsidRDefault="00DD196F" w:rsidP="00DD196F">
            <w:pPr>
              <w:widowControl w:val="0"/>
              <w:autoSpaceDE w:val="0"/>
              <w:autoSpaceDN w:val="0"/>
              <w:spacing w:after="0" w:line="190" w:lineRule="exact"/>
              <w:ind w:right="441"/>
              <w:jc w:val="right"/>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Livadhe</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3</w:t>
            </w:r>
          </w:p>
        </w:tc>
        <w:tc>
          <w:tcPr>
            <w:tcW w:w="1589" w:type="dxa"/>
          </w:tcPr>
          <w:p w:rsidR="00DD196F" w:rsidRPr="00DD196F" w:rsidRDefault="00DD196F" w:rsidP="00DD196F">
            <w:pPr>
              <w:widowControl w:val="0"/>
              <w:autoSpaceDE w:val="0"/>
              <w:autoSpaceDN w:val="0"/>
              <w:spacing w:after="0" w:line="190"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145</w:t>
            </w:r>
          </w:p>
        </w:tc>
        <w:tc>
          <w:tcPr>
            <w:tcW w:w="1437" w:type="dxa"/>
          </w:tcPr>
          <w:p w:rsidR="00DD196F" w:rsidRPr="00DD196F" w:rsidRDefault="00DD196F" w:rsidP="00DD196F">
            <w:pPr>
              <w:widowControl w:val="0"/>
              <w:autoSpaceDE w:val="0"/>
              <w:autoSpaceDN w:val="0"/>
              <w:spacing w:after="0" w:line="190"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55</w:t>
            </w:r>
          </w:p>
        </w:tc>
        <w:tc>
          <w:tcPr>
            <w:tcW w:w="1059" w:type="dxa"/>
          </w:tcPr>
          <w:p w:rsidR="00DD196F" w:rsidRPr="00DD196F" w:rsidRDefault="00DD196F" w:rsidP="00DD196F">
            <w:pPr>
              <w:widowControl w:val="0"/>
              <w:autoSpaceDE w:val="0"/>
              <w:autoSpaceDN w:val="0"/>
              <w:spacing w:after="0" w:line="190"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815"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bl>
    <w:p w:rsidR="00DD196F" w:rsidRPr="00DD196F" w:rsidRDefault="00DD196F" w:rsidP="00DD196F">
      <w:pPr>
        <w:spacing w:after="200" w:line="288" w:lineRule="auto"/>
        <w:rPr>
          <w:rFonts w:ascii="Times New Roman" w:eastAsiaTheme="minorEastAsia" w:hAnsi="Times New Roman" w:cs="Times New Roman"/>
          <w:sz w:val="24"/>
          <w:szCs w:val="24"/>
        </w:rPr>
      </w:pPr>
    </w:p>
    <w:p w:rsidR="00DD196F" w:rsidRPr="00DD196F" w:rsidRDefault="00DD196F" w:rsidP="00DD196F">
      <w:pPr>
        <w:spacing w:after="200" w:line="288" w:lineRule="auto"/>
        <w:rPr>
          <w:rFonts w:ascii="Times New Roman" w:eastAsiaTheme="minorEastAsia" w:hAnsi="Times New Roman" w:cs="Times New Roman"/>
          <w:sz w:val="24"/>
          <w:szCs w:val="24"/>
        </w:rPr>
      </w:pPr>
      <w:r w:rsidRPr="00DD196F">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56704" behindDoc="0" locked="0" layoutInCell="1" allowOverlap="1" wp14:anchorId="15F7AB10" wp14:editId="596A506A">
                <wp:simplePos x="0" y="0"/>
                <wp:positionH relativeFrom="column">
                  <wp:posOffset>3308350</wp:posOffset>
                </wp:positionH>
                <wp:positionV relativeFrom="paragraph">
                  <wp:posOffset>172720</wp:posOffset>
                </wp:positionV>
                <wp:extent cx="2901950" cy="1676400"/>
                <wp:effectExtent l="0" t="0" r="12700" b="19050"/>
                <wp:wrapNone/>
                <wp:docPr id="55" name="Rectangle 55"/>
                <wp:cNvGraphicFramePr/>
                <a:graphic xmlns:a="http://schemas.openxmlformats.org/drawingml/2006/main">
                  <a:graphicData uri="http://schemas.microsoft.com/office/word/2010/wordprocessingShape">
                    <wps:wsp>
                      <wps:cNvSpPr/>
                      <wps:spPr>
                        <a:xfrm>
                          <a:off x="0" y="0"/>
                          <a:ext cx="2901950" cy="1676400"/>
                        </a:xfrm>
                        <a:prstGeom prst="rect">
                          <a:avLst/>
                        </a:prstGeom>
                        <a:solidFill>
                          <a:sysClr val="window" lastClr="FFFFFF"/>
                        </a:solidFill>
                        <a:ln w="12700" cap="flat" cmpd="sng" algn="ctr">
                          <a:solidFill>
                            <a:srgbClr val="70AD47"/>
                          </a:solidFill>
                          <a:prstDash val="solid"/>
                          <a:miter lim="800000"/>
                        </a:ln>
                        <a:effectLst/>
                      </wps:spPr>
                      <wps:txbx>
                        <w:txbxContent>
                          <w:p w:rsidR="0064059F" w:rsidRPr="000A261E" w:rsidRDefault="0064059F" w:rsidP="00DD196F">
                            <w:pPr>
                              <w:spacing w:line="276" w:lineRule="auto"/>
                              <w:jc w:val="both"/>
                              <w:rPr>
                                <w:rFonts w:ascii="Times New Roman" w:eastAsia="Calibri" w:hAnsi="Times New Roman" w:cs="Times New Roman"/>
                                <w:sz w:val="24"/>
                                <w:szCs w:val="24"/>
                                <w:lang w:val="sq-AL"/>
                              </w:rPr>
                            </w:pPr>
                            <w:r w:rsidRPr="000A261E">
                              <w:rPr>
                                <w:rFonts w:ascii="Times New Roman" w:eastAsia="Times New Roman" w:hAnsi="Times New Roman" w:cs="Times New Roman"/>
                                <w:noProof/>
                                <w:sz w:val="24"/>
                                <w:szCs w:val="24"/>
                                <w:lang w:val="sq-AL"/>
                              </w:rPr>
                              <w:t>Referuar</w:t>
                            </w:r>
                            <w:r w:rsidRPr="000A261E">
                              <w:rPr>
                                <w:rFonts w:ascii="Times New Roman" w:eastAsia="Times New Roman" w:hAnsi="Times New Roman" w:cs="Times New Roman"/>
                                <w:sz w:val="24"/>
                                <w:szCs w:val="24"/>
                                <w:lang w:val="it-IT"/>
                              </w:rPr>
                              <w:t xml:space="preserve"> rezultateve </w:t>
                            </w:r>
                            <w:r w:rsidRPr="000A261E">
                              <w:rPr>
                                <w:rFonts w:ascii="Times New Roman" w:eastAsia="Calibri" w:hAnsi="Times New Roman" w:cs="Times New Roman"/>
                                <w:sz w:val="24"/>
                                <w:szCs w:val="24"/>
                                <w:lang w:val="it-IT"/>
                              </w:rPr>
                              <w:t xml:space="preserve">të analizave </w:t>
                            </w:r>
                            <w:r w:rsidRPr="000A261E">
                              <w:rPr>
                                <w:rFonts w:ascii="Times New Roman" w:eastAsia="Times New Roman" w:hAnsi="Times New Roman" w:cs="Times New Roman"/>
                                <w:sz w:val="24"/>
                                <w:szCs w:val="24"/>
                                <w:lang w:val="it-IT"/>
                              </w:rPr>
                              <w:t xml:space="preserve">bakteriologjike </w:t>
                            </w:r>
                            <w:r>
                              <w:rPr>
                                <w:rFonts w:ascii="Times New Roman" w:eastAsia="Times New Roman" w:hAnsi="Times New Roman" w:cs="Times New Roman"/>
                                <w:sz w:val="24"/>
                                <w:szCs w:val="24"/>
                                <w:lang w:val="it-IT"/>
                              </w:rPr>
                              <w:t xml:space="preserve">për vitin 2025 </w:t>
                            </w:r>
                            <w:r w:rsidRPr="000A261E">
                              <w:rPr>
                                <w:rFonts w:ascii="Times New Roman" w:eastAsia="Times New Roman" w:hAnsi="Times New Roman" w:cs="Times New Roman"/>
                                <w:sz w:val="24"/>
                                <w:szCs w:val="24"/>
                                <w:lang w:val="sq-AL"/>
                              </w:rPr>
                              <w:t>këto plazhe vlerësohen në kategorinë A</w:t>
                            </w:r>
                            <w:r w:rsidRPr="000A261E">
                              <w:rPr>
                                <w:rFonts w:ascii="Times New Roman" w:eastAsia="Times New Roman" w:hAnsi="Times New Roman" w:cs="Times New Roman"/>
                                <w:sz w:val="24"/>
                                <w:szCs w:val="24"/>
                                <w:lang w:val="hr-HR"/>
                              </w:rPr>
                              <w:t xml:space="preserve">- </w:t>
                            </w:r>
                            <w:r w:rsidRPr="000A261E">
                              <w:rPr>
                                <w:rFonts w:ascii="Times New Roman" w:eastAsia="Times New Roman" w:hAnsi="Times New Roman" w:cs="Times New Roman"/>
                                <w:sz w:val="24"/>
                                <w:szCs w:val="24"/>
                                <w:lang w:val="sq-AL"/>
                              </w:rPr>
                              <w:t>Cil</w:t>
                            </w:r>
                            <w:r w:rsidRPr="000A261E">
                              <w:rPr>
                                <w:rFonts w:ascii="Times New Roman" w:eastAsia="Times New Roman" w:hAnsi="Times New Roman" w:cs="Times New Roman"/>
                                <w:sz w:val="24"/>
                                <w:szCs w:val="24"/>
                                <w:lang w:val="hr-HR"/>
                              </w:rPr>
                              <w:t>ë</w:t>
                            </w:r>
                            <w:r w:rsidRPr="000A261E">
                              <w:rPr>
                                <w:rFonts w:ascii="Times New Roman" w:eastAsia="Times New Roman" w:hAnsi="Times New Roman" w:cs="Times New Roman"/>
                                <w:sz w:val="24"/>
                                <w:szCs w:val="24"/>
                                <w:lang w:val="sq-AL"/>
                              </w:rPr>
                              <w:t>si</w:t>
                            </w:r>
                            <w:r w:rsidRPr="000A261E">
                              <w:rPr>
                                <w:rFonts w:ascii="Times New Roman" w:eastAsia="Times New Roman" w:hAnsi="Times New Roman" w:cs="Times New Roman"/>
                                <w:sz w:val="24"/>
                                <w:szCs w:val="24"/>
                                <w:lang w:val="hr-HR"/>
                              </w:rPr>
                              <w:t xml:space="preserve"> </w:t>
                            </w:r>
                            <w:r w:rsidRPr="000A261E">
                              <w:rPr>
                                <w:rFonts w:ascii="Times New Roman" w:eastAsia="Times New Roman" w:hAnsi="Times New Roman" w:cs="Times New Roman"/>
                                <w:sz w:val="24"/>
                                <w:szCs w:val="24"/>
                                <w:lang w:val="sq-AL"/>
                              </w:rPr>
                              <w:t>e shk</w:t>
                            </w:r>
                            <w:r w:rsidRPr="000A261E">
                              <w:rPr>
                                <w:rFonts w:ascii="Times New Roman" w:eastAsia="Times New Roman" w:hAnsi="Times New Roman" w:cs="Times New Roman"/>
                                <w:sz w:val="24"/>
                                <w:szCs w:val="24"/>
                                <w:lang w:val="hr-HR"/>
                              </w:rPr>
                              <w:t>ë</w:t>
                            </w:r>
                            <w:r w:rsidRPr="000A261E">
                              <w:rPr>
                                <w:rFonts w:ascii="Times New Roman" w:eastAsia="Times New Roman" w:hAnsi="Times New Roman" w:cs="Times New Roman"/>
                                <w:sz w:val="24"/>
                                <w:szCs w:val="24"/>
                                <w:lang w:val="sq-AL"/>
                              </w:rPr>
                              <w:t>lqyer e</w:t>
                            </w:r>
                            <w:r w:rsidRPr="000A261E">
                              <w:rPr>
                                <w:rFonts w:ascii="Times New Roman" w:eastAsia="Times New Roman" w:hAnsi="Times New Roman" w:cs="Times New Roman"/>
                                <w:sz w:val="24"/>
                                <w:szCs w:val="24"/>
                                <w:lang w:val="hr-HR"/>
                              </w:rPr>
                              <w:t xml:space="preserve"> </w:t>
                            </w:r>
                            <w:r w:rsidRPr="000A261E">
                              <w:rPr>
                                <w:rFonts w:ascii="Times New Roman" w:eastAsia="Times New Roman" w:hAnsi="Times New Roman" w:cs="Times New Roman"/>
                                <w:sz w:val="24"/>
                                <w:szCs w:val="24"/>
                                <w:lang w:val="sq-AL"/>
                              </w:rPr>
                              <w:t>uj</w:t>
                            </w:r>
                            <w:r w:rsidRPr="000A261E">
                              <w:rPr>
                                <w:rFonts w:ascii="Times New Roman" w:eastAsia="Times New Roman" w:hAnsi="Times New Roman" w:cs="Times New Roman"/>
                                <w:sz w:val="24"/>
                                <w:szCs w:val="24"/>
                                <w:lang w:val="hr-HR"/>
                              </w:rPr>
                              <w:t>ë</w:t>
                            </w:r>
                            <w:r w:rsidRPr="000A261E">
                              <w:rPr>
                                <w:rFonts w:ascii="Times New Roman" w:eastAsia="Times New Roman" w:hAnsi="Times New Roman" w:cs="Times New Roman"/>
                                <w:sz w:val="24"/>
                                <w:szCs w:val="24"/>
                                <w:lang w:val="sq-AL"/>
                              </w:rPr>
                              <w:t>rave n</w:t>
                            </w:r>
                            <w:r w:rsidRPr="000A261E">
                              <w:rPr>
                                <w:rFonts w:ascii="Times New Roman" w:eastAsia="Times New Roman" w:hAnsi="Times New Roman" w:cs="Times New Roman"/>
                                <w:sz w:val="24"/>
                                <w:szCs w:val="24"/>
                                <w:lang w:val="hr-HR"/>
                              </w:rPr>
                              <w:t>ë</w:t>
                            </w:r>
                            <w:r w:rsidRPr="000A261E">
                              <w:rPr>
                                <w:rFonts w:ascii="Times New Roman" w:eastAsia="Times New Roman" w:hAnsi="Times New Roman" w:cs="Times New Roman"/>
                                <w:sz w:val="24"/>
                                <w:szCs w:val="24"/>
                                <w:lang w:val="sq-AL"/>
                              </w:rPr>
                              <w:t xml:space="preserve"> t</w:t>
                            </w:r>
                            <w:r w:rsidRPr="000A261E">
                              <w:rPr>
                                <w:rFonts w:ascii="Times New Roman" w:eastAsia="Times New Roman" w:hAnsi="Times New Roman" w:cs="Times New Roman"/>
                                <w:sz w:val="24"/>
                                <w:szCs w:val="24"/>
                                <w:lang w:val="hr-HR"/>
                              </w:rPr>
                              <w:t>ë</w:t>
                            </w:r>
                            <w:r w:rsidRPr="000A261E">
                              <w:rPr>
                                <w:rFonts w:ascii="Times New Roman" w:eastAsia="Times New Roman" w:hAnsi="Times New Roman" w:cs="Times New Roman"/>
                                <w:sz w:val="24"/>
                                <w:szCs w:val="24"/>
                                <w:lang w:val="sq-AL"/>
                              </w:rPr>
                              <w:t xml:space="preserve"> gjitha pikat  e monitorimit.</w:t>
                            </w:r>
                          </w:p>
                          <w:p w:rsidR="0064059F" w:rsidRDefault="0064059F" w:rsidP="00DD196F">
                            <w:pPr>
                              <w:rPr>
                                <w:rFonts w:ascii="Times New Roman" w:hAnsi="Times New Roman" w:cs="Times New Roman"/>
                                <w:sz w:val="24"/>
                                <w:szCs w:val="24"/>
                              </w:rPr>
                            </w:pPr>
                            <w:r>
                              <w:rPr>
                                <w:rFonts w:ascii="Times New Roman" w:hAnsi="Times New Roman" w:cs="Times New Roman"/>
                                <w:sz w:val="24"/>
                                <w:szCs w:val="24"/>
                              </w:rPr>
                              <w:t>Krahasuar me vitet 2020-2025 cilësia është e njëjtë.</w:t>
                            </w:r>
                          </w:p>
                          <w:p w:rsidR="0064059F" w:rsidRDefault="0064059F" w:rsidP="00DD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7AB10" id="Rectangle 55" o:spid="_x0000_s1101" style="position:absolute;margin-left:260.5pt;margin-top:13.6pt;width:228.5pt;height:1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" fillcolor="window" strokecolor="#70ad47" strokeweight="1pt">
                <v:textbox>
                  <w:txbxContent>
                    <w:p w:rsidR="0064059F" w:rsidRPr="000A261E" w:rsidRDefault="0064059F" w:rsidP="00DD196F">
                      <w:pPr>
                        <w:spacing w:line="276" w:lineRule="auto"/>
                        <w:jc w:val="both"/>
                        <w:rPr>
                          <w:rFonts w:ascii="Times New Roman" w:eastAsia="Calibri" w:hAnsi="Times New Roman" w:cs="Times New Roman"/>
                          <w:sz w:val="24"/>
                          <w:szCs w:val="24"/>
                          <w:lang w:val="sq-AL"/>
                        </w:rPr>
                      </w:pPr>
                      <w:r w:rsidRPr="000A261E">
                        <w:rPr>
                          <w:rFonts w:ascii="Times New Roman" w:eastAsia="Times New Roman" w:hAnsi="Times New Roman" w:cs="Times New Roman"/>
                          <w:noProof/>
                          <w:sz w:val="24"/>
                          <w:szCs w:val="24"/>
                          <w:lang w:val="sq-AL"/>
                        </w:rPr>
                        <w:t>Referuar</w:t>
                      </w:r>
                      <w:r w:rsidRPr="000A261E">
                        <w:rPr>
                          <w:rFonts w:ascii="Times New Roman" w:eastAsia="Times New Roman" w:hAnsi="Times New Roman" w:cs="Times New Roman"/>
                          <w:sz w:val="24"/>
                          <w:szCs w:val="24"/>
                          <w:lang w:val="it-IT"/>
                        </w:rPr>
                        <w:t xml:space="preserve"> rezultateve </w:t>
                      </w:r>
                      <w:r w:rsidRPr="000A261E">
                        <w:rPr>
                          <w:rFonts w:ascii="Times New Roman" w:eastAsia="Calibri" w:hAnsi="Times New Roman" w:cs="Times New Roman"/>
                          <w:sz w:val="24"/>
                          <w:szCs w:val="24"/>
                          <w:lang w:val="it-IT"/>
                        </w:rPr>
                        <w:t xml:space="preserve">të analizave </w:t>
                      </w:r>
                      <w:r w:rsidRPr="000A261E">
                        <w:rPr>
                          <w:rFonts w:ascii="Times New Roman" w:eastAsia="Times New Roman" w:hAnsi="Times New Roman" w:cs="Times New Roman"/>
                          <w:sz w:val="24"/>
                          <w:szCs w:val="24"/>
                          <w:lang w:val="it-IT"/>
                        </w:rPr>
                        <w:t xml:space="preserve">bakteriologjike </w:t>
                      </w:r>
                      <w:r>
                        <w:rPr>
                          <w:rFonts w:ascii="Times New Roman" w:eastAsia="Times New Roman" w:hAnsi="Times New Roman" w:cs="Times New Roman"/>
                          <w:sz w:val="24"/>
                          <w:szCs w:val="24"/>
                          <w:lang w:val="it-IT"/>
                        </w:rPr>
                        <w:t xml:space="preserve">për vitin 2025 </w:t>
                      </w:r>
                      <w:r w:rsidRPr="000A261E">
                        <w:rPr>
                          <w:rFonts w:ascii="Times New Roman" w:eastAsia="Times New Roman" w:hAnsi="Times New Roman" w:cs="Times New Roman"/>
                          <w:sz w:val="24"/>
                          <w:szCs w:val="24"/>
                          <w:lang w:val="sq-AL"/>
                        </w:rPr>
                        <w:t>këto plazhe vlerësohen në kategorinë A</w:t>
                      </w:r>
                      <w:r w:rsidRPr="000A261E">
                        <w:rPr>
                          <w:rFonts w:ascii="Times New Roman" w:eastAsia="Times New Roman" w:hAnsi="Times New Roman" w:cs="Times New Roman"/>
                          <w:sz w:val="24"/>
                          <w:szCs w:val="24"/>
                          <w:lang w:val="hr-HR"/>
                        </w:rPr>
                        <w:t xml:space="preserve">- </w:t>
                      </w:r>
                      <w:r w:rsidRPr="000A261E">
                        <w:rPr>
                          <w:rFonts w:ascii="Times New Roman" w:eastAsia="Times New Roman" w:hAnsi="Times New Roman" w:cs="Times New Roman"/>
                          <w:sz w:val="24"/>
                          <w:szCs w:val="24"/>
                          <w:lang w:val="sq-AL"/>
                        </w:rPr>
                        <w:t>Cil</w:t>
                      </w:r>
                      <w:r w:rsidRPr="000A261E">
                        <w:rPr>
                          <w:rFonts w:ascii="Times New Roman" w:eastAsia="Times New Roman" w:hAnsi="Times New Roman" w:cs="Times New Roman"/>
                          <w:sz w:val="24"/>
                          <w:szCs w:val="24"/>
                          <w:lang w:val="hr-HR"/>
                        </w:rPr>
                        <w:t>ë</w:t>
                      </w:r>
                      <w:r w:rsidRPr="000A261E">
                        <w:rPr>
                          <w:rFonts w:ascii="Times New Roman" w:eastAsia="Times New Roman" w:hAnsi="Times New Roman" w:cs="Times New Roman"/>
                          <w:sz w:val="24"/>
                          <w:szCs w:val="24"/>
                          <w:lang w:val="sq-AL"/>
                        </w:rPr>
                        <w:t>si</w:t>
                      </w:r>
                      <w:r w:rsidRPr="000A261E">
                        <w:rPr>
                          <w:rFonts w:ascii="Times New Roman" w:eastAsia="Times New Roman" w:hAnsi="Times New Roman" w:cs="Times New Roman"/>
                          <w:sz w:val="24"/>
                          <w:szCs w:val="24"/>
                          <w:lang w:val="hr-HR"/>
                        </w:rPr>
                        <w:t xml:space="preserve"> </w:t>
                      </w:r>
                      <w:r w:rsidRPr="000A261E">
                        <w:rPr>
                          <w:rFonts w:ascii="Times New Roman" w:eastAsia="Times New Roman" w:hAnsi="Times New Roman" w:cs="Times New Roman"/>
                          <w:sz w:val="24"/>
                          <w:szCs w:val="24"/>
                          <w:lang w:val="sq-AL"/>
                        </w:rPr>
                        <w:t>e shk</w:t>
                      </w:r>
                      <w:r w:rsidRPr="000A261E">
                        <w:rPr>
                          <w:rFonts w:ascii="Times New Roman" w:eastAsia="Times New Roman" w:hAnsi="Times New Roman" w:cs="Times New Roman"/>
                          <w:sz w:val="24"/>
                          <w:szCs w:val="24"/>
                          <w:lang w:val="hr-HR"/>
                        </w:rPr>
                        <w:t>ë</w:t>
                      </w:r>
                      <w:r w:rsidRPr="000A261E">
                        <w:rPr>
                          <w:rFonts w:ascii="Times New Roman" w:eastAsia="Times New Roman" w:hAnsi="Times New Roman" w:cs="Times New Roman"/>
                          <w:sz w:val="24"/>
                          <w:szCs w:val="24"/>
                          <w:lang w:val="sq-AL"/>
                        </w:rPr>
                        <w:t>lqyer e</w:t>
                      </w:r>
                      <w:r w:rsidRPr="000A261E">
                        <w:rPr>
                          <w:rFonts w:ascii="Times New Roman" w:eastAsia="Times New Roman" w:hAnsi="Times New Roman" w:cs="Times New Roman"/>
                          <w:sz w:val="24"/>
                          <w:szCs w:val="24"/>
                          <w:lang w:val="hr-HR"/>
                        </w:rPr>
                        <w:t xml:space="preserve"> </w:t>
                      </w:r>
                      <w:r w:rsidRPr="000A261E">
                        <w:rPr>
                          <w:rFonts w:ascii="Times New Roman" w:eastAsia="Times New Roman" w:hAnsi="Times New Roman" w:cs="Times New Roman"/>
                          <w:sz w:val="24"/>
                          <w:szCs w:val="24"/>
                          <w:lang w:val="sq-AL"/>
                        </w:rPr>
                        <w:t>uj</w:t>
                      </w:r>
                      <w:r w:rsidRPr="000A261E">
                        <w:rPr>
                          <w:rFonts w:ascii="Times New Roman" w:eastAsia="Times New Roman" w:hAnsi="Times New Roman" w:cs="Times New Roman"/>
                          <w:sz w:val="24"/>
                          <w:szCs w:val="24"/>
                          <w:lang w:val="hr-HR"/>
                        </w:rPr>
                        <w:t>ë</w:t>
                      </w:r>
                      <w:r w:rsidRPr="000A261E">
                        <w:rPr>
                          <w:rFonts w:ascii="Times New Roman" w:eastAsia="Times New Roman" w:hAnsi="Times New Roman" w:cs="Times New Roman"/>
                          <w:sz w:val="24"/>
                          <w:szCs w:val="24"/>
                          <w:lang w:val="sq-AL"/>
                        </w:rPr>
                        <w:t>rave n</w:t>
                      </w:r>
                      <w:r w:rsidRPr="000A261E">
                        <w:rPr>
                          <w:rFonts w:ascii="Times New Roman" w:eastAsia="Times New Roman" w:hAnsi="Times New Roman" w:cs="Times New Roman"/>
                          <w:sz w:val="24"/>
                          <w:szCs w:val="24"/>
                          <w:lang w:val="hr-HR"/>
                        </w:rPr>
                        <w:t>ë</w:t>
                      </w:r>
                      <w:r w:rsidRPr="000A261E">
                        <w:rPr>
                          <w:rFonts w:ascii="Times New Roman" w:eastAsia="Times New Roman" w:hAnsi="Times New Roman" w:cs="Times New Roman"/>
                          <w:sz w:val="24"/>
                          <w:szCs w:val="24"/>
                          <w:lang w:val="sq-AL"/>
                        </w:rPr>
                        <w:t xml:space="preserve"> t</w:t>
                      </w:r>
                      <w:r w:rsidRPr="000A261E">
                        <w:rPr>
                          <w:rFonts w:ascii="Times New Roman" w:eastAsia="Times New Roman" w:hAnsi="Times New Roman" w:cs="Times New Roman"/>
                          <w:sz w:val="24"/>
                          <w:szCs w:val="24"/>
                          <w:lang w:val="hr-HR"/>
                        </w:rPr>
                        <w:t>ë</w:t>
                      </w:r>
                      <w:r w:rsidRPr="000A261E">
                        <w:rPr>
                          <w:rFonts w:ascii="Times New Roman" w:eastAsia="Times New Roman" w:hAnsi="Times New Roman" w:cs="Times New Roman"/>
                          <w:sz w:val="24"/>
                          <w:szCs w:val="24"/>
                          <w:lang w:val="sq-AL"/>
                        </w:rPr>
                        <w:t xml:space="preserve"> gjitha pikat  e monitorimit.</w:t>
                      </w:r>
                    </w:p>
                    <w:p w:rsidR="0064059F" w:rsidRDefault="0064059F" w:rsidP="00DD196F">
                      <w:pPr>
                        <w:rPr>
                          <w:rFonts w:ascii="Times New Roman" w:hAnsi="Times New Roman" w:cs="Times New Roman"/>
                          <w:sz w:val="24"/>
                          <w:szCs w:val="24"/>
                        </w:rPr>
                      </w:pPr>
                      <w:r>
                        <w:rPr>
                          <w:rFonts w:ascii="Times New Roman" w:hAnsi="Times New Roman" w:cs="Times New Roman"/>
                          <w:sz w:val="24"/>
                          <w:szCs w:val="24"/>
                        </w:rPr>
                        <w:t>Krahasuar me vitet 2020-2025 cilësia është e njëjtë.</w:t>
                      </w:r>
                    </w:p>
                    <w:p w:rsidR="0064059F" w:rsidRDefault="0064059F" w:rsidP="00DD196F">
                      <w:pPr>
                        <w:jc w:val="center"/>
                      </w:pPr>
                    </w:p>
                  </w:txbxContent>
                </v:textbox>
              </v:rect>
            </w:pict>
          </mc:Fallback>
        </mc:AlternateContent>
      </w:r>
      <w:r w:rsidRPr="00DD196F">
        <w:rPr>
          <w:rFonts w:ascii="Times New Roman" w:eastAsiaTheme="minorEastAsia" w:hAnsi="Times New Roman" w:cs="Times New Roman"/>
          <w:noProof/>
          <w:sz w:val="24"/>
          <w:szCs w:val="24"/>
        </w:rPr>
        <w:drawing>
          <wp:inline distT="0" distB="0" distL="0" distR="0" wp14:anchorId="5E9BD6E9" wp14:editId="1B9091C5">
            <wp:extent cx="3069590" cy="22764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076885" cy="2281885"/>
                    </a:xfrm>
                    <a:prstGeom prst="rect">
                      <a:avLst/>
                    </a:prstGeom>
                    <a:noFill/>
                  </pic:spPr>
                </pic:pic>
              </a:graphicData>
            </a:graphic>
          </wp:inline>
        </w:drawing>
      </w:r>
    </w:p>
    <w:p w:rsidR="005212BA" w:rsidRPr="00DD196F" w:rsidRDefault="00DD196F" w:rsidP="00D8485A">
      <w:pPr>
        <w:spacing w:after="0" w:line="240" w:lineRule="auto"/>
        <w:jc w:val="both"/>
        <w:rPr>
          <w:rFonts w:ascii="Times New Roman" w:eastAsia="Times New Roman" w:hAnsi="Times New Roman" w:cs="Times New Roman"/>
          <w:sz w:val="24"/>
          <w:szCs w:val="24"/>
        </w:rPr>
      </w:pPr>
      <w:r w:rsidRPr="00DD196F">
        <w:rPr>
          <w:rFonts w:ascii="Times New Roman" w:eastAsia="Times New Roman" w:hAnsi="Times New Roman" w:cs="Times New Roman"/>
          <w:sz w:val="24"/>
          <w:szCs w:val="24"/>
          <w:lang w:val="it-IT"/>
        </w:rPr>
        <w:t>PLAZHI I HIMARËS:</w:t>
      </w:r>
      <w:r w:rsidRPr="00DD196F">
        <w:rPr>
          <w:rFonts w:ascii="Times New Roman" w:eastAsia="Times New Roman" w:hAnsi="Times New Roman" w:cs="Times New Roman"/>
          <w:b/>
          <w:sz w:val="24"/>
          <w:szCs w:val="24"/>
          <w:lang w:val="it-IT"/>
        </w:rPr>
        <w:t xml:space="preserve"> </w:t>
      </w:r>
      <w:r w:rsidRPr="00DD196F">
        <w:rPr>
          <w:rFonts w:ascii="Times New Roman" w:eastAsia="Times New Roman" w:hAnsi="Times New Roman" w:cs="Times New Roman"/>
          <w:sz w:val="24"/>
          <w:szCs w:val="24"/>
          <w:lang w:val="it-IT"/>
        </w:rPr>
        <w:t xml:space="preserve">Gjatë inspektimit higjeno sanitar </w:t>
      </w:r>
      <w:r w:rsidRPr="00DD196F">
        <w:rPr>
          <w:rFonts w:ascii="Times New Roman" w:eastAsia="Times New Roman" w:hAnsi="Times New Roman" w:cs="Times New Roman"/>
          <w:sz w:val="24"/>
          <w:szCs w:val="24"/>
          <w:lang w:val="sq-AL"/>
        </w:rPr>
        <w:t xml:space="preserve">në stacionet e monitorimit </w:t>
      </w:r>
      <w:r w:rsidRPr="00DD196F">
        <w:rPr>
          <w:rFonts w:ascii="Times New Roman" w:eastAsia="Calibri" w:hAnsi="Times New Roman" w:cs="Times New Roman"/>
          <w:sz w:val="24"/>
          <w:szCs w:val="24"/>
          <w:lang w:val="sq-AL"/>
        </w:rPr>
        <w:t xml:space="preserve">u konstatuan </w:t>
      </w:r>
      <w:r w:rsidRPr="00DD196F">
        <w:rPr>
          <w:rFonts w:ascii="Times New Roman" w:eastAsia="Times New Roman" w:hAnsi="Times New Roman" w:cs="Times New Roman"/>
          <w:sz w:val="24"/>
          <w:szCs w:val="24"/>
          <w:lang w:val="sq-AL"/>
        </w:rPr>
        <w:t xml:space="preserve">përgjithësisht </w:t>
      </w:r>
      <w:r w:rsidRPr="00DD196F">
        <w:rPr>
          <w:rFonts w:ascii="Times New Roman" w:eastAsia="Calibri" w:hAnsi="Times New Roman" w:cs="Times New Roman"/>
          <w:sz w:val="24"/>
          <w:szCs w:val="24"/>
          <w:lang w:val="sq-AL"/>
        </w:rPr>
        <w:t>kushte të mira.</w:t>
      </w:r>
      <w:r w:rsidRPr="00DD196F">
        <w:rPr>
          <w:rFonts w:ascii="Times New Roman" w:eastAsia="Times New Roman" w:hAnsi="Times New Roman" w:cs="Times New Roman"/>
          <w:sz w:val="24"/>
          <w:szCs w:val="24"/>
          <w:lang w:val="sq-AL"/>
        </w:rPr>
        <w:t xml:space="preserve"> </w:t>
      </w:r>
      <w:r w:rsidRPr="00DD196F">
        <w:rPr>
          <w:rFonts w:ascii="Times New Roman" w:eastAsia="Times New Roman" w:hAnsi="Times New Roman" w:cs="Times New Roman"/>
          <w:sz w:val="24"/>
          <w:szCs w:val="24"/>
          <w:lang w:val="it-IT"/>
        </w:rPr>
        <w:t>Gjat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muajve Korrik e Gusht u konstatua shtim i numrit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frekuentuesve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plazheve. </w:t>
      </w:r>
      <w:r w:rsidRPr="00DD196F">
        <w:rPr>
          <w:rFonts w:ascii="Times New Roman" w:eastAsia="Times New Roman" w:hAnsi="Times New Roman" w:cs="Times New Roman"/>
          <w:sz w:val="24"/>
          <w:szCs w:val="24"/>
          <w:lang w:val="sq-AL"/>
        </w:rPr>
        <w:t>Brezi bregdetar</w:t>
      </w:r>
      <w:r w:rsidR="0072391F">
        <w:rPr>
          <w:rFonts w:ascii="Times New Roman" w:eastAsia="Times New Roman" w:hAnsi="Times New Roman" w:cs="Times New Roman"/>
          <w:sz w:val="24"/>
          <w:szCs w:val="24"/>
          <w:lang w:val="sq-AL"/>
        </w:rPr>
        <w:t xml:space="preserve"> paraqitet</w:t>
      </w:r>
      <w:r w:rsidRPr="00DD196F">
        <w:rPr>
          <w:rFonts w:ascii="Times New Roman" w:eastAsia="Times New Roman" w:hAnsi="Times New Roman" w:cs="Times New Roman"/>
          <w:sz w:val="24"/>
          <w:szCs w:val="24"/>
          <w:lang w:val="sq-AL"/>
        </w:rPr>
        <w:t xml:space="preserve"> i pastruar, i sistemuar me kosha mbeturinash, dushe, kulla vrojtimi, dhoma për ndërrimin e veshjeve</w:t>
      </w:r>
      <w:r w:rsidRPr="00DD196F">
        <w:rPr>
          <w:rFonts w:ascii="Times New Roman" w:eastAsia="Calibri" w:hAnsi="Times New Roman" w:cs="Times New Roman"/>
          <w:sz w:val="24"/>
          <w:szCs w:val="24"/>
          <w:lang w:val="sq-AL"/>
        </w:rPr>
        <w:t xml:space="preserve"> dhe afishimi i rregullave p</w:t>
      </w:r>
      <w:r w:rsidRPr="00DD196F">
        <w:rPr>
          <w:rFonts w:ascii="Times New Roman" w:eastAsia="Times New Roman" w:hAnsi="Times New Roman" w:cs="Times New Roman"/>
          <w:sz w:val="24"/>
          <w:szCs w:val="24"/>
          <w:lang w:val="sq-AL"/>
        </w:rPr>
        <w:t>ë</w:t>
      </w:r>
      <w:r w:rsidRPr="00DD196F">
        <w:rPr>
          <w:rFonts w:ascii="Times New Roman" w:eastAsia="Calibri" w:hAnsi="Times New Roman" w:cs="Times New Roman"/>
          <w:sz w:val="24"/>
          <w:szCs w:val="24"/>
          <w:lang w:val="sq-AL"/>
        </w:rPr>
        <w:t>r zbatim nga frekuentuesit e plazheve.</w:t>
      </w:r>
      <w:r w:rsidRPr="00DD196F">
        <w:rPr>
          <w:rFonts w:ascii="Times New Roman" w:eastAsia="Times New Roman" w:hAnsi="Times New Roman" w:cs="Times New Roman"/>
          <w:sz w:val="24"/>
          <w:szCs w:val="24"/>
        </w:rPr>
        <w:t xml:space="preserve"> </w:t>
      </w:r>
      <w:r w:rsidR="0072391F">
        <w:rPr>
          <w:rFonts w:ascii="Times New Roman" w:eastAsia="Times New Roman" w:hAnsi="Times New Roman" w:cs="Times New Roman"/>
          <w:sz w:val="24"/>
          <w:szCs w:val="24"/>
        </w:rPr>
        <w:t xml:space="preserve">Plazhet </w:t>
      </w:r>
      <w:r w:rsidR="00F8650C">
        <w:rPr>
          <w:rFonts w:ascii="Times New Roman" w:eastAsia="Times New Roman" w:hAnsi="Times New Roman" w:cs="Times New Roman"/>
          <w:sz w:val="24"/>
          <w:szCs w:val="24"/>
        </w:rPr>
        <w:t>ndodhen</w:t>
      </w:r>
      <w:r w:rsidRPr="00DD196F">
        <w:rPr>
          <w:rFonts w:ascii="Times New Roman" w:eastAsia="Times New Roman" w:hAnsi="Times New Roman" w:cs="Times New Roman"/>
          <w:sz w:val="24"/>
          <w:szCs w:val="24"/>
        </w:rPr>
        <w:t xml:space="preserve"> p</w:t>
      </w:r>
      <w:r w:rsidR="00F8650C">
        <w:rPr>
          <w:rFonts w:ascii="Times New Roman" w:eastAsia="Times New Roman" w:hAnsi="Times New Roman" w:cs="Times New Roman"/>
          <w:sz w:val="24"/>
          <w:szCs w:val="24"/>
        </w:rPr>
        <w:t xml:space="preserve">ranë subjekteve private dhe </w:t>
      </w:r>
      <w:r w:rsidRPr="00DD196F">
        <w:rPr>
          <w:rFonts w:ascii="Times New Roman" w:eastAsia="Times New Roman" w:hAnsi="Times New Roman" w:cs="Times New Roman"/>
          <w:sz w:val="24"/>
          <w:szCs w:val="24"/>
        </w:rPr>
        <w:t>nevojat sanitare për tualete përmbushen në këto subjekte</w:t>
      </w:r>
      <w:r w:rsidR="00F8650C">
        <w:rPr>
          <w:rFonts w:ascii="Times New Roman" w:eastAsia="Times New Roman" w:hAnsi="Times New Roman" w:cs="Times New Roman"/>
          <w:sz w:val="24"/>
          <w:szCs w:val="24"/>
          <w:lang w:val="sq-AL"/>
        </w:rPr>
        <w:t xml:space="preserve">. </w:t>
      </w:r>
      <w:r w:rsidRPr="00DD196F">
        <w:rPr>
          <w:rFonts w:ascii="Times New Roman" w:eastAsia="Times New Roman" w:hAnsi="Times New Roman" w:cs="Times New Roman"/>
          <w:sz w:val="24"/>
          <w:szCs w:val="24"/>
        </w:rPr>
        <w:t xml:space="preserve">U konstatuan kushte relativisht të mira në plazhet publike. </w:t>
      </w:r>
    </w:p>
    <w:p w:rsidR="00DD196F" w:rsidRPr="00D8485A" w:rsidRDefault="00DD196F" w:rsidP="00DD196F">
      <w:pPr>
        <w:spacing w:line="276" w:lineRule="auto"/>
        <w:jc w:val="both"/>
        <w:rPr>
          <w:rFonts w:ascii="Times New Roman" w:eastAsia="Calibri" w:hAnsi="Times New Roman" w:cs="Times New Roman"/>
          <w:b/>
          <w:sz w:val="24"/>
          <w:szCs w:val="24"/>
          <w:lang w:val="sq-AL"/>
        </w:rPr>
      </w:pPr>
      <w:r w:rsidRPr="00DD196F">
        <w:rPr>
          <w:rFonts w:ascii="Times New Roman" w:eastAsia="Calibri" w:hAnsi="Times New Roman" w:cs="Times New Roman"/>
          <w:sz w:val="24"/>
          <w:szCs w:val="24"/>
          <w:lang w:val="sq-AL"/>
        </w:rPr>
        <w:t xml:space="preserve">                     ● </w:t>
      </w:r>
      <w:r w:rsidRPr="00D8485A">
        <w:rPr>
          <w:rFonts w:ascii="Times New Roman" w:eastAsia="Calibri" w:hAnsi="Times New Roman" w:cs="Times New Roman"/>
          <w:b/>
          <w:sz w:val="24"/>
          <w:szCs w:val="24"/>
          <w:lang w:val="sq-AL"/>
        </w:rPr>
        <w:t>Plazhi i Himarës</w:t>
      </w:r>
    </w:p>
    <w:tbl>
      <w:tblPr>
        <w:tblW w:w="0" w:type="auto"/>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45"/>
        <w:gridCol w:w="2224"/>
        <w:gridCol w:w="1257"/>
        <w:gridCol w:w="1495"/>
        <w:gridCol w:w="1180"/>
        <w:gridCol w:w="1501"/>
      </w:tblGrid>
      <w:tr w:rsidR="00E95EB4" w:rsidTr="00854864">
        <w:trPr>
          <w:trHeight w:val="673"/>
        </w:trPr>
        <w:tc>
          <w:tcPr>
            <w:tcW w:w="1145" w:type="dxa"/>
            <w:shd w:val="clear" w:color="auto" w:fill="E1EED9"/>
          </w:tcPr>
          <w:p w:rsidR="00DD196F" w:rsidRPr="00DD196F" w:rsidRDefault="00DD196F" w:rsidP="00DD196F">
            <w:pPr>
              <w:widowControl w:val="0"/>
              <w:autoSpaceDE w:val="0"/>
              <w:autoSpaceDN w:val="0"/>
              <w:spacing w:after="0" w:line="212" w:lineRule="exact"/>
              <w:ind w:left="65" w:right="59"/>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Nr.</w:t>
            </w:r>
          </w:p>
          <w:p w:rsidR="00DD196F" w:rsidRPr="00DD196F" w:rsidRDefault="00DD196F" w:rsidP="00DD196F">
            <w:pPr>
              <w:widowControl w:val="0"/>
              <w:autoSpaceDE w:val="0"/>
              <w:autoSpaceDN w:val="0"/>
              <w:spacing w:before="5" w:after="0" w:line="205" w:lineRule="exact"/>
              <w:ind w:left="66" w:right="59"/>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p>
        </w:tc>
        <w:tc>
          <w:tcPr>
            <w:tcW w:w="2224" w:type="dxa"/>
            <w:shd w:val="clear" w:color="auto" w:fill="E1EED9"/>
          </w:tcPr>
          <w:p w:rsidR="00DD196F" w:rsidRPr="00DD196F" w:rsidRDefault="00DD196F" w:rsidP="00DD196F">
            <w:pPr>
              <w:widowControl w:val="0"/>
              <w:autoSpaceDE w:val="0"/>
              <w:autoSpaceDN w:val="0"/>
              <w:spacing w:before="105" w:after="0" w:line="240" w:lineRule="auto"/>
              <w:ind w:left="675" w:right="670"/>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Vendi</w:t>
            </w:r>
          </w:p>
        </w:tc>
        <w:tc>
          <w:tcPr>
            <w:tcW w:w="1257" w:type="dxa"/>
            <w:shd w:val="clear" w:color="auto" w:fill="E1EED9"/>
          </w:tcPr>
          <w:p w:rsidR="00DD196F" w:rsidRPr="00DD196F" w:rsidRDefault="00DD196F" w:rsidP="00DD196F">
            <w:pPr>
              <w:widowControl w:val="0"/>
              <w:autoSpaceDE w:val="0"/>
              <w:autoSpaceDN w:val="0"/>
              <w:spacing w:after="0" w:line="212" w:lineRule="exact"/>
              <w:ind w:left="165"/>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FC</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90%</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205" w:lineRule="exact"/>
              <w:ind w:left="109"/>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250</w:t>
            </w:r>
          </w:p>
        </w:tc>
        <w:tc>
          <w:tcPr>
            <w:tcW w:w="1495" w:type="dxa"/>
            <w:shd w:val="clear" w:color="auto" w:fill="E1EED9"/>
          </w:tcPr>
          <w:p w:rsidR="00DD196F" w:rsidRPr="00DD196F" w:rsidRDefault="00DD196F" w:rsidP="00DD196F">
            <w:pPr>
              <w:widowControl w:val="0"/>
              <w:autoSpaceDE w:val="0"/>
              <w:autoSpaceDN w:val="0"/>
              <w:spacing w:after="0" w:line="212" w:lineRule="exact"/>
              <w:ind w:left="302"/>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IE</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95%</w:t>
            </w:r>
            <w:r w:rsidRPr="00DD196F">
              <w:rPr>
                <w:rFonts w:ascii="Times New Roman" w:eastAsia="Times New Roman" w:hAnsi="Times New Roman" w:cs="Times New Roman"/>
                <w:b/>
                <w:spacing w:val="3"/>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205" w:lineRule="exact"/>
              <w:ind w:left="217"/>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100</w:t>
            </w:r>
          </w:p>
        </w:tc>
        <w:tc>
          <w:tcPr>
            <w:tcW w:w="1180" w:type="dxa"/>
            <w:shd w:val="clear" w:color="auto" w:fill="E1EED9"/>
          </w:tcPr>
          <w:p w:rsidR="00DD196F" w:rsidRPr="00DD196F" w:rsidRDefault="00DD196F" w:rsidP="00DD196F">
            <w:pPr>
              <w:widowControl w:val="0"/>
              <w:autoSpaceDE w:val="0"/>
              <w:autoSpaceDN w:val="0"/>
              <w:spacing w:after="0" w:line="212" w:lineRule="exact"/>
              <w:ind w:left="116"/>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Kategoria</w:t>
            </w:r>
          </w:p>
        </w:tc>
        <w:tc>
          <w:tcPr>
            <w:tcW w:w="1501" w:type="dxa"/>
            <w:shd w:val="clear" w:color="auto" w:fill="E1EED9"/>
          </w:tcPr>
          <w:p w:rsidR="00DD196F" w:rsidRPr="00DD196F" w:rsidRDefault="00DD196F" w:rsidP="00DD196F">
            <w:pPr>
              <w:widowControl w:val="0"/>
              <w:autoSpaceDE w:val="0"/>
              <w:autoSpaceDN w:val="0"/>
              <w:spacing w:after="0" w:line="212" w:lineRule="exact"/>
              <w:ind w:left="147"/>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Përqindja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e</w:t>
            </w:r>
          </w:p>
          <w:p w:rsidR="00DD196F" w:rsidRPr="00DD196F" w:rsidRDefault="00DD196F" w:rsidP="00DD196F">
            <w:pPr>
              <w:widowControl w:val="0"/>
              <w:autoSpaceDE w:val="0"/>
              <w:autoSpaceDN w:val="0"/>
              <w:spacing w:before="5" w:after="0" w:line="205" w:lineRule="exact"/>
              <w:ind w:left="82"/>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r w:rsidRPr="00DD196F">
              <w:rPr>
                <w:rFonts w:ascii="Times New Roman" w:eastAsia="Times New Roman" w:hAnsi="Times New Roman" w:cs="Times New Roman"/>
                <w:b/>
                <w:spacing w:val="9"/>
                <w:sz w:val="19"/>
                <w:lang w:val="sq-AL"/>
              </w:rPr>
              <w:t xml:space="preserve"> </w:t>
            </w:r>
            <w:r w:rsidRPr="00DD196F">
              <w:rPr>
                <w:rFonts w:ascii="Times New Roman" w:eastAsia="Times New Roman" w:hAnsi="Times New Roman" w:cs="Times New Roman"/>
                <w:b/>
                <w:sz w:val="19"/>
                <w:lang w:val="sq-AL"/>
              </w:rPr>
              <w:t>%</w:t>
            </w:r>
          </w:p>
        </w:tc>
      </w:tr>
      <w:tr w:rsidR="00E95EB4" w:rsidTr="00854864">
        <w:trPr>
          <w:trHeight w:val="330"/>
        </w:trPr>
        <w:tc>
          <w:tcPr>
            <w:tcW w:w="1145" w:type="dxa"/>
          </w:tcPr>
          <w:p w:rsidR="00DD196F" w:rsidRPr="00DD196F" w:rsidRDefault="00DD196F" w:rsidP="00DD196F">
            <w:pPr>
              <w:widowControl w:val="0"/>
              <w:autoSpaceDE w:val="0"/>
              <w:autoSpaceDN w:val="0"/>
              <w:spacing w:after="0" w:line="198" w:lineRule="exact"/>
              <w:ind w:left="7"/>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1</w:t>
            </w:r>
          </w:p>
        </w:tc>
        <w:tc>
          <w:tcPr>
            <w:tcW w:w="2224" w:type="dxa"/>
          </w:tcPr>
          <w:p w:rsidR="00DD196F" w:rsidRPr="00DD196F" w:rsidRDefault="00DD196F" w:rsidP="00DD196F">
            <w:pPr>
              <w:widowControl w:val="0"/>
              <w:autoSpaceDE w:val="0"/>
              <w:autoSpaceDN w:val="0"/>
              <w:spacing w:after="0" w:line="198"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Himarë</w:t>
            </w:r>
            <w:r w:rsidRPr="00DD196F">
              <w:rPr>
                <w:rFonts w:ascii="Times New Roman" w:eastAsia="Times New Roman" w:hAnsi="Times New Roman" w:cs="Times New Roman"/>
                <w:spacing w:val="9"/>
                <w:sz w:val="19"/>
                <w:lang w:val="sq-AL"/>
              </w:rPr>
              <w:t xml:space="preserve"> </w:t>
            </w:r>
            <w:r w:rsidRPr="00DD196F">
              <w:rPr>
                <w:rFonts w:ascii="Times New Roman" w:eastAsia="Times New Roman" w:hAnsi="Times New Roman" w:cs="Times New Roman"/>
                <w:sz w:val="19"/>
                <w:lang w:val="sq-AL"/>
              </w:rPr>
              <w:t>qendër</w:t>
            </w:r>
          </w:p>
        </w:tc>
        <w:tc>
          <w:tcPr>
            <w:tcW w:w="1257"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89</w:t>
            </w:r>
          </w:p>
        </w:tc>
        <w:tc>
          <w:tcPr>
            <w:tcW w:w="1495" w:type="dxa"/>
          </w:tcPr>
          <w:p w:rsidR="00DD196F" w:rsidRPr="00DD196F" w:rsidRDefault="00DD196F" w:rsidP="00DD196F">
            <w:pPr>
              <w:widowControl w:val="0"/>
              <w:autoSpaceDE w:val="0"/>
              <w:autoSpaceDN w:val="0"/>
              <w:spacing w:after="0" w:line="198"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59</w:t>
            </w:r>
          </w:p>
        </w:tc>
        <w:tc>
          <w:tcPr>
            <w:tcW w:w="1180" w:type="dxa"/>
          </w:tcPr>
          <w:p w:rsidR="00DD196F" w:rsidRPr="00DD196F" w:rsidRDefault="00DD196F" w:rsidP="00DD196F">
            <w:pPr>
              <w:widowControl w:val="0"/>
              <w:autoSpaceDE w:val="0"/>
              <w:autoSpaceDN w:val="0"/>
              <w:spacing w:after="0" w:line="198" w:lineRule="exact"/>
              <w:ind w:left="73"/>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501" w:type="dxa"/>
            <w:vMerge w:val="restart"/>
          </w:tcPr>
          <w:p w:rsidR="00DD196F" w:rsidRPr="00DD196F" w:rsidRDefault="00DD196F" w:rsidP="00DD196F">
            <w:pPr>
              <w:widowControl w:val="0"/>
              <w:autoSpaceDE w:val="0"/>
              <w:autoSpaceDN w:val="0"/>
              <w:spacing w:after="0" w:line="244" w:lineRule="auto"/>
              <w:ind w:left="72" w:right="80"/>
              <w:rPr>
                <w:rFonts w:ascii="Times New Roman" w:eastAsia="Times New Roman" w:hAnsi="Times New Roman" w:cs="Times New Roman"/>
                <w:sz w:val="19"/>
                <w:lang w:val="sq-AL"/>
              </w:rPr>
            </w:pPr>
          </w:p>
          <w:p w:rsidR="00DD196F" w:rsidRPr="00DD196F" w:rsidRDefault="00DD196F" w:rsidP="00DD196F">
            <w:pPr>
              <w:widowControl w:val="0"/>
              <w:autoSpaceDE w:val="0"/>
              <w:autoSpaceDN w:val="0"/>
              <w:spacing w:after="0" w:line="244" w:lineRule="auto"/>
              <w:ind w:left="72" w:right="80"/>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100%</w:t>
            </w:r>
            <w:r w:rsidRPr="00DD196F">
              <w:rPr>
                <w:rFonts w:ascii="Times New Roman" w:eastAsia="Times New Roman" w:hAnsi="Times New Roman" w:cs="Times New Roman"/>
                <w:spacing w:val="4"/>
                <w:sz w:val="19"/>
                <w:lang w:val="sq-AL"/>
              </w:rPr>
              <w:t xml:space="preserve"> </w:t>
            </w:r>
            <w:r w:rsidRPr="00DD196F">
              <w:rPr>
                <w:rFonts w:ascii="Times New Roman" w:eastAsia="Times New Roman" w:hAnsi="Times New Roman" w:cs="Times New Roman"/>
                <w:sz w:val="19"/>
                <w:lang w:val="sq-AL"/>
              </w:rPr>
              <w:t>A-Cilësi</w:t>
            </w:r>
            <w:r w:rsidRPr="00DD196F">
              <w:rPr>
                <w:rFonts w:ascii="Times New Roman" w:eastAsia="Times New Roman" w:hAnsi="Times New Roman" w:cs="Times New Roman"/>
                <w:spacing w:val="-44"/>
                <w:sz w:val="19"/>
                <w:lang w:val="sq-AL"/>
              </w:rPr>
              <w:t xml:space="preserve"> </w:t>
            </w:r>
            <w:r w:rsidR="00F8650C">
              <w:rPr>
                <w:rFonts w:ascii="Times New Roman" w:eastAsia="Times New Roman" w:hAnsi="Times New Roman" w:cs="Times New Roman"/>
                <w:spacing w:val="-44"/>
                <w:sz w:val="19"/>
                <w:lang w:val="sq-AL"/>
              </w:rPr>
              <w:t xml:space="preserve"> </w:t>
            </w:r>
            <w:r w:rsidRPr="00DD196F">
              <w:rPr>
                <w:rFonts w:ascii="Times New Roman" w:eastAsia="Times New Roman" w:hAnsi="Times New Roman" w:cs="Times New Roman"/>
                <w:sz w:val="19"/>
                <w:lang w:val="sq-AL"/>
              </w:rPr>
              <w:t>e</w:t>
            </w:r>
            <w:r w:rsidRPr="00DD196F">
              <w:rPr>
                <w:rFonts w:ascii="Times New Roman" w:eastAsia="Times New Roman" w:hAnsi="Times New Roman" w:cs="Times New Roman"/>
                <w:spacing w:val="5"/>
                <w:sz w:val="19"/>
                <w:lang w:val="sq-AL"/>
              </w:rPr>
              <w:t xml:space="preserve"> </w:t>
            </w:r>
            <w:r w:rsidR="00F8650C">
              <w:rPr>
                <w:rFonts w:ascii="Times New Roman" w:eastAsia="Times New Roman" w:hAnsi="Times New Roman" w:cs="Times New Roman"/>
                <w:sz w:val="19"/>
                <w:lang w:val="sq-AL"/>
              </w:rPr>
              <w:t>s</w:t>
            </w:r>
            <w:r w:rsidRPr="00DD196F">
              <w:rPr>
                <w:rFonts w:ascii="Times New Roman" w:eastAsia="Times New Roman" w:hAnsi="Times New Roman" w:cs="Times New Roman"/>
                <w:sz w:val="19"/>
                <w:lang w:val="sq-AL"/>
              </w:rPr>
              <w:t>hkëlqyer</w:t>
            </w:r>
            <w:r w:rsidRPr="00DD196F">
              <w:rPr>
                <w:rFonts w:ascii="Times New Roman" w:eastAsia="Times New Roman" w:hAnsi="Times New Roman" w:cs="Times New Roman"/>
                <w:spacing w:val="1"/>
                <w:sz w:val="19"/>
                <w:lang w:val="sq-AL"/>
              </w:rPr>
              <w:t xml:space="preserve"> </w:t>
            </w:r>
          </w:p>
        </w:tc>
      </w:tr>
      <w:tr w:rsidR="00E95EB4" w:rsidTr="00854864">
        <w:trPr>
          <w:trHeight w:val="330"/>
        </w:trPr>
        <w:tc>
          <w:tcPr>
            <w:tcW w:w="1145" w:type="dxa"/>
          </w:tcPr>
          <w:p w:rsidR="00DD196F" w:rsidRPr="00DD196F" w:rsidRDefault="00DD196F" w:rsidP="00DD196F">
            <w:pPr>
              <w:widowControl w:val="0"/>
              <w:autoSpaceDE w:val="0"/>
              <w:autoSpaceDN w:val="0"/>
              <w:spacing w:after="0" w:line="198" w:lineRule="exact"/>
              <w:ind w:left="7"/>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2</w:t>
            </w:r>
          </w:p>
        </w:tc>
        <w:tc>
          <w:tcPr>
            <w:tcW w:w="2224" w:type="dxa"/>
          </w:tcPr>
          <w:p w:rsidR="00DD196F" w:rsidRPr="00DD196F" w:rsidRDefault="00DD196F" w:rsidP="00DD196F">
            <w:pPr>
              <w:widowControl w:val="0"/>
              <w:autoSpaceDE w:val="0"/>
              <w:autoSpaceDN w:val="0"/>
              <w:spacing w:after="0" w:line="198"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Pas</w:t>
            </w:r>
            <w:r w:rsidRPr="00DD196F">
              <w:rPr>
                <w:rFonts w:ascii="Times New Roman" w:eastAsia="Times New Roman" w:hAnsi="Times New Roman" w:cs="Times New Roman"/>
                <w:spacing w:val="8"/>
                <w:sz w:val="19"/>
                <w:lang w:val="sq-AL"/>
              </w:rPr>
              <w:t xml:space="preserve"> </w:t>
            </w:r>
            <w:r w:rsidRPr="00DD196F">
              <w:rPr>
                <w:rFonts w:ascii="Times New Roman" w:eastAsia="Times New Roman" w:hAnsi="Times New Roman" w:cs="Times New Roman"/>
                <w:sz w:val="19"/>
                <w:lang w:val="sq-AL"/>
              </w:rPr>
              <w:t>Shkëmbit</w:t>
            </w:r>
          </w:p>
        </w:tc>
        <w:tc>
          <w:tcPr>
            <w:tcW w:w="1257"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87</w:t>
            </w:r>
          </w:p>
        </w:tc>
        <w:tc>
          <w:tcPr>
            <w:tcW w:w="1495" w:type="dxa"/>
          </w:tcPr>
          <w:p w:rsidR="00DD196F" w:rsidRPr="00DD196F" w:rsidRDefault="00DD196F" w:rsidP="00DD196F">
            <w:pPr>
              <w:widowControl w:val="0"/>
              <w:autoSpaceDE w:val="0"/>
              <w:autoSpaceDN w:val="0"/>
              <w:spacing w:after="0" w:line="198"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51</w:t>
            </w:r>
          </w:p>
        </w:tc>
        <w:tc>
          <w:tcPr>
            <w:tcW w:w="1180" w:type="dxa"/>
          </w:tcPr>
          <w:p w:rsidR="00DD196F" w:rsidRPr="00DD196F" w:rsidRDefault="00DD196F" w:rsidP="00DD196F">
            <w:pPr>
              <w:widowControl w:val="0"/>
              <w:autoSpaceDE w:val="0"/>
              <w:autoSpaceDN w:val="0"/>
              <w:spacing w:after="0" w:line="198" w:lineRule="exact"/>
              <w:ind w:left="73"/>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501"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E95EB4" w:rsidTr="00854864">
        <w:trPr>
          <w:trHeight w:val="330"/>
        </w:trPr>
        <w:tc>
          <w:tcPr>
            <w:tcW w:w="1145" w:type="dxa"/>
          </w:tcPr>
          <w:p w:rsidR="00DD196F" w:rsidRPr="00DD196F" w:rsidRDefault="00DD196F" w:rsidP="00DD196F">
            <w:pPr>
              <w:widowControl w:val="0"/>
              <w:autoSpaceDE w:val="0"/>
              <w:autoSpaceDN w:val="0"/>
              <w:spacing w:after="0" w:line="198" w:lineRule="exact"/>
              <w:ind w:left="7"/>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3</w:t>
            </w:r>
          </w:p>
        </w:tc>
        <w:tc>
          <w:tcPr>
            <w:tcW w:w="2224" w:type="dxa"/>
          </w:tcPr>
          <w:p w:rsidR="00DD196F" w:rsidRPr="00DD196F" w:rsidRDefault="00DD196F" w:rsidP="00DD196F">
            <w:pPr>
              <w:widowControl w:val="0"/>
              <w:autoSpaceDE w:val="0"/>
              <w:autoSpaceDN w:val="0"/>
              <w:spacing w:after="0" w:line="198"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Potam</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Alqi</w:t>
            </w:r>
          </w:p>
        </w:tc>
        <w:tc>
          <w:tcPr>
            <w:tcW w:w="1257"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77</w:t>
            </w:r>
          </w:p>
        </w:tc>
        <w:tc>
          <w:tcPr>
            <w:tcW w:w="1495" w:type="dxa"/>
          </w:tcPr>
          <w:p w:rsidR="00DD196F" w:rsidRPr="00DD196F" w:rsidRDefault="00DD196F" w:rsidP="00DD196F">
            <w:pPr>
              <w:widowControl w:val="0"/>
              <w:autoSpaceDE w:val="0"/>
              <w:autoSpaceDN w:val="0"/>
              <w:spacing w:after="0" w:line="198"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51</w:t>
            </w:r>
          </w:p>
        </w:tc>
        <w:tc>
          <w:tcPr>
            <w:tcW w:w="1180" w:type="dxa"/>
          </w:tcPr>
          <w:p w:rsidR="00DD196F" w:rsidRPr="00DD196F" w:rsidRDefault="00DD196F" w:rsidP="00DD196F">
            <w:pPr>
              <w:widowControl w:val="0"/>
              <w:autoSpaceDE w:val="0"/>
              <w:autoSpaceDN w:val="0"/>
              <w:spacing w:after="0" w:line="198" w:lineRule="exact"/>
              <w:ind w:left="73"/>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501"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E95EB4" w:rsidTr="00854864">
        <w:trPr>
          <w:trHeight w:val="331"/>
        </w:trPr>
        <w:tc>
          <w:tcPr>
            <w:tcW w:w="1145" w:type="dxa"/>
          </w:tcPr>
          <w:p w:rsidR="00DD196F" w:rsidRPr="00DD196F" w:rsidRDefault="00DD196F" w:rsidP="00DD196F">
            <w:pPr>
              <w:widowControl w:val="0"/>
              <w:autoSpaceDE w:val="0"/>
              <w:autoSpaceDN w:val="0"/>
              <w:spacing w:after="0" w:line="199" w:lineRule="exact"/>
              <w:ind w:left="7"/>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4</w:t>
            </w:r>
          </w:p>
        </w:tc>
        <w:tc>
          <w:tcPr>
            <w:tcW w:w="2224" w:type="dxa"/>
          </w:tcPr>
          <w:p w:rsidR="00DD196F" w:rsidRPr="00DD196F" w:rsidRDefault="00DD196F" w:rsidP="00DD196F">
            <w:pPr>
              <w:widowControl w:val="0"/>
              <w:autoSpaceDE w:val="0"/>
              <w:autoSpaceDN w:val="0"/>
              <w:spacing w:after="0" w:line="199"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Hotel</w:t>
            </w:r>
            <w:r w:rsidRPr="00DD196F">
              <w:rPr>
                <w:rFonts w:ascii="Times New Roman" w:eastAsia="Times New Roman" w:hAnsi="Times New Roman" w:cs="Times New Roman"/>
                <w:spacing w:val="9"/>
                <w:sz w:val="19"/>
                <w:lang w:val="sq-AL"/>
              </w:rPr>
              <w:t xml:space="preserve"> </w:t>
            </w:r>
            <w:r w:rsidRPr="00DD196F">
              <w:rPr>
                <w:rFonts w:ascii="Times New Roman" w:eastAsia="Times New Roman" w:hAnsi="Times New Roman" w:cs="Times New Roman"/>
                <w:sz w:val="19"/>
                <w:lang w:val="sq-AL"/>
              </w:rPr>
              <w:t>Likoka</w:t>
            </w:r>
          </w:p>
        </w:tc>
        <w:tc>
          <w:tcPr>
            <w:tcW w:w="1257" w:type="dxa"/>
          </w:tcPr>
          <w:p w:rsidR="00DD196F" w:rsidRPr="00DD196F" w:rsidRDefault="00DD196F" w:rsidP="00DD196F">
            <w:pPr>
              <w:widowControl w:val="0"/>
              <w:autoSpaceDE w:val="0"/>
              <w:autoSpaceDN w:val="0"/>
              <w:spacing w:after="0" w:line="19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67</w:t>
            </w:r>
          </w:p>
        </w:tc>
        <w:tc>
          <w:tcPr>
            <w:tcW w:w="1495" w:type="dxa"/>
          </w:tcPr>
          <w:p w:rsidR="00DD196F" w:rsidRPr="00DD196F" w:rsidRDefault="00DD196F" w:rsidP="00DD196F">
            <w:pPr>
              <w:widowControl w:val="0"/>
              <w:autoSpaceDE w:val="0"/>
              <w:autoSpaceDN w:val="0"/>
              <w:spacing w:after="0" w:line="199"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46</w:t>
            </w:r>
          </w:p>
        </w:tc>
        <w:tc>
          <w:tcPr>
            <w:tcW w:w="1180" w:type="dxa"/>
          </w:tcPr>
          <w:p w:rsidR="00DD196F" w:rsidRPr="00DD196F" w:rsidRDefault="00DD196F" w:rsidP="00DD196F">
            <w:pPr>
              <w:widowControl w:val="0"/>
              <w:autoSpaceDE w:val="0"/>
              <w:autoSpaceDN w:val="0"/>
              <w:spacing w:after="0" w:line="199" w:lineRule="exact"/>
              <w:ind w:left="73"/>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501"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bl>
    <w:p w:rsidR="00DD196F" w:rsidRPr="00DD196F" w:rsidRDefault="00DD196F" w:rsidP="00DD196F">
      <w:pPr>
        <w:spacing w:line="276" w:lineRule="auto"/>
        <w:jc w:val="both"/>
        <w:rPr>
          <w:rFonts w:ascii="Times New Roman" w:eastAsia="Times New Roman" w:hAnsi="Times New Roman" w:cs="Times New Roman"/>
          <w:noProof/>
          <w:sz w:val="24"/>
          <w:szCs w:val="24"/>
          <w:lang w:val="sq-AL"/>
        </w:rPr>
      </w:pPr>
    </w:p>
    <w:p w:rsidR="00DD196F" w:rsidRPr="00DD196F" w:rsidRDefault="00DD196F" w:rsidP="00DD196F">
      <w:pPr>
        <w:spacing w:after="200" w:line="288" w:lineRule="auto"/>
        <w:rPr>
          <w:rFonts w:ascii="Times New Roman" w:eastAsiaTheme="minorEastAsia" w:hAnsi="Times New Roman" w:cs="Times New Roman"/>
          <w:sz w:val="24"/>
          <w:szCs w:val="24"/>
        </w:rPr>
      </w:pPr>
      <w:r w:rsidRPr="00DD196F">
        <w:rPr>
          <w:rFonts w:ascii="Times New Roman" w:eastAsiaTheme="minorEastAsia" w:hAnsi="Times New Roman" w:cs="Times New Roman"/>
          <w:noProof/>
          <w:sz w:val="24"/>
          <w:szCs w:val="24"/>
        </w:rPr>
        <mc:AlternateContent>
          <mc:Choice Requires="wps">
            <w:drawing>
              <wp:anchor distT="0" distB="0" distL="114300" distR="114300" simplePos="0" relativeHeight="251658752" behindDoc="0" locked="0" layoutInCell="1" allowOverlap="1" wp14:anchorId="14350657" wp14:editId="5140EDEE">
                <wp:simplePos x="0" y="0"/>
                <wp:positionH relativeFrom="column">
                  <wp:posOffset>2781300</wp:posOffset>
                </wp:positionH>
                <wp:positionV relativeFrom="paragraph">
                  <wp:posOffset>123825</wp:posOffset>
                </wp:positionV>
                <wp:extent cx="3779520" cy="2009775"/>
                <wp:effectExtent l="19050" t="19050" r="11430" b="47625"/>
                <wp:wrapNone/>
                <wp:docPr id="56" name="Left Arrow 56"/>
                <wp:cNvGraphicFramePr/>
                <a:graphic xmlns:a="http://schemas.openxmlformats.org/drawingml/2006/main">
                  <a:graphicData uri="http://schemas.microsoft.com/office/word/2010/wordprocessingShape">
                    <wps:wsp>
                      <wps:cNvSpPr/>
                      <wps:spPr>
                        <a:xfrm>
                          <a:off x="0" y="0"/>
                          <a:ext cx="3779520" cy="2009775"/>
                        </a:xfrm>
                        <a:prstGeom prst="leftArrow">
                          <a:avLst/>
                        </a:prstGeom>
                        <a:solidFill>
                          <a:sysClr val="window" lastClr="FFFFFF"/>
                        </a:solidFill>
                        <a:ln w="12700" cap="flat" cmpd="sng" algn="ctr">
                          <a:solidFill>
                            <a:srgbClr val="70AD47"/>
                          </a:solidFill>
                          <a:prstDash val="solid"/>
                          <a:miter lim="800000"/>
                        </a:ln>
                        <a:effectLst/>
                      </wps:spPr>
                      <wps:txbx>
                        <w:txbxContent>
                          <w:p w:rsidR="0064059F" w:rsidRPr="00854864" w:rsidRDefault="0064059F" w:rsidP="00854864">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noProof/>
                                <w:sz w:val="24"/>
                                <w:szCs w:val="24"/>
                                <w:lang w:val="sq-AL"/>
                              </w:rPr>
                              <w:t>R</w:t>
                            </w:r>
                            <w:r w:rsidRPr="001A5ECD">
                              <w:rPr>
                                <w:rFonts w:ascii="Times New Roman" w:eastAsia="Times New Roman" w:hAnsi="Times New Roman" w:cs="Times New Roman"/>
                                <w:noProof/>
                                <w:sz w:val="24"/>
                                <w:szCs w:val="24"/>
                                <w:lang w:val="sq-AL"/>
                              </w:rPr>
                              <w:t>eferuar</w:t>
                            </w:r>
                            <w:r w:rsidRPr="001A5ECD">
                              <w:rPr>
                                <w:rFonts w:ascii="Times New Roman" w:eastAsia="Times New Roman" w:hAnsi="Times New Roman" w:cs="Times New Roman"/>
                                <w:sz w:val="24"/>
                                <w:szCs w:val="24"/>
                                <w:lang w:val="it-IT"/>
                              </w:rPr>
                              <w:t xml:space="preserve"> rezultateve </w:t>
                            </w:r>
                            <w:r w:rsidRPr="001A5ECD">
                              <w:rPr>
                                <w:rFonts w:ascii="Times New Roman" w:eastAsia="Calibri" w:hAnsi="Times New Roman" w:cs="Times New Roman"/>
                                <w:sz w:val="24"/>
                                <w:szCs w:val="24"/>
                                <w:lang w:val="it-IT"/>
                              </w:rPr>
                              <w:t xml:space="preserve">të analizave </w:t>
                            </w:r>
                            <w:r w:rsidRPr="001A5ECD">
                              <w:rPr>
                                <w:rFonts w:ascii="Times New Roman" w:eastAsia="Times New Roman" w:hAnsi="Times New Roman" w:cs="Times New Roman"/>
                                <w:sz w:val="24"/>
                                <w:szCs w:val="24"/>
                                <w:lang w:val="it-IT"/>
                              </w:rPr>
                              <w:t xml:space="preserve">bakteriologjike </w:t>
                            </w:r>
                            <w:r w:rsidRPr="001A5ECD">
                              <w:rPr>
                                <w:rFonts w:ascii="Times New Roman" w:eastAsia="Times New Roman" w:hAnsi="Times New Roman" w:cs="Times New Roman"/>
                                <w:sz w:val="24"/>
                                <w:szCs w:val="24"/>
                                <w:lang w:val="sq-AL"/>
                              </w:rPr>
                              <w:t>këto plazhe vlerësohen në kategorinë A</w:t>
                            </w:r>
                            <w:r w:rsidRPr="001A5ECD">
                              <w:rPr>
                                <w:rFonts w:ascii="Times New Roman" w:eastAsia="Times New Roman" w:hAnsi="Times New Roman" w:cs="Times New Roman"/>
                                <w:sz w:val="24"/>
                                <w:szCs w:val="24"/>
                                <w:lang w:val="hr-HR"/>
                              </w:rPr>
                              <w:t xml:space="preserve">- </w:t>
                            </w:r>
                            <w:r w:rsidRPr="001A5ECD">
                              <w:rPr>
                                <w:rFonts w:ascii="Times New Roman" w:eastAsia="Times New Roman" w:hAnsi="Times New Roman" w:cs="Times New Roman"/>
                                <w:sz w:val="24"/>
                                <w:szCs w:val="24"/>
                                <w:lang w:val="sq-AL"/>
                              </w:rPr>
                              <w:t>Cil</w:t>
                            </w:r>
                            <w:r w:rsidRPr="001A5ECD">
                              <w:rPr>
                                <w:rFonts w:ascii="Times New Roman" w:eastAsia="Times New Roman" w:hAnsi="Times New Roman" w:cs="Times New Roman"/>
                                <w:sz w:val="24"/>
                                <w:szCs w:val="24"/>
                                <w:lang w:val="hr-HR"/>
                              </w:rPr>
                              <w:t>ë</w:t>
                            </w:r>
                            <w:r w:rsidRPr="001A5ECD">
                              <w:rPr>
                                <w:rFonts w:ascii="Times New Roman" w:eastAsia="Times New Roman" w:hAnsi="Times New Roman" w:cs="Times New Roman"/>
                                <w:sz w:val="24"/>
                                <w:szCs w:val="24"/>
                                <w:lang w:val="sq-AL"/>
                              </w:rPr>
                              <w:t>si</w:t>
                            </w:r>
                            <w:r w:rsidRPr="001A5ECD">
                              <w:rPr>
                                <w:rFonts w:ascii="Times New Roman" w:eastAsia="Times New Roman" w:hAnsi="Times New Roman" w:cs="Times New Roman"/>
                                <w:sz w:val="24"/>
                                <w:szCs w:val="24"/>
                                <w:lang w:val="hr-HR"/>
                              </w:rPr>
                              <w:t xml:space="preserve"> </w:t>
                            </w:r>
                            <w:r w:rsidRPr="001A5ECD">
                              <w:rPr>
                                <w:rFonts w:ascii="Times New Roman" w:eastAsia="Times New Roman" w:hAnsi="Times New Roman" w:cs="Times New Roman"/>
                                <w:sz w:val="24"/>
                                <w:szCs w:val="24"/>
                                <w:lang w:val="sq-AL"/>
                              </w:rPr>
                              <w:t>e shk</w:t>
                            </w:r>
                            <w:r w:rsidRPr="001A5ECD">
                              <w:rPr>
                                <w:rFonts w:ascii="Times New Roman" w:eastAsia="Times New Roman" w:hAnsi="Times New Roman" w:cs="Times New Roman"/>
                                <w:sz w:val="24"/>
                                <w:szCs w:val="24"/>
                                <w:lang w:val="hr-HR"/>
                              </w:rPr>
                              <w:t>ë</w:t>
                            </w:r>
                            <w:r w:rsidRPr="001A5ECD">
                              <w:rPr>
                                <w:rFonts w:ascii="Times New Roman" w:eastAsia="Times New Roman" w:hAnsi="Times New Roman" w:cs="Times New Roman"/>
                                <w:sz w:val="24"/>
                                <w:szCs w:val="24"/>
                                <w:lang w:val="sq-AL"/>
                              </w:rPr>
                              <w:t>lqyer e</w:t>
                            </w:r>
                            <w:r w:rsidRPr="001A5ECD">
                              <w:rPr>
                                <w:rFonts w:ascii="Times New Roman" w:eastAsia="Times New Roman" w:hAnsi="Times New Roman" w:cs="Times New Roman"/>
                                <w:sz w:val="24"/>
                                <w:szCs w:val="24"/>
                                <w:lang w:val="hr-HR"/>
                              </w:rPr>
                              <w:t xml:space="preserve"> </w:t>
                            </w:r>
                            <w:r w:rsidRPr="001A5ECD">
                              <w:rPr>
                                <w:rFonts w:ascii="Times New Roman" w:eastAsia="Times New Roman" w:hAnsi="Times New Roman" w:cs="Times New Roman"/>
                                <w:sz w:val="24"/>
                                <w:szCs w:val="24"/>
                                <w:lang w:val="sq-AL"/>
                              </w:rPr>
                              <w:t>uj</w:t>
                            </w:r>
                            <w:r w:rsidRPr="001A5ECD">
                              <w:rPr>
                                <w:rFonts w:ascii="Times New Roman" w:eastAsia="Times New Roman" w:hAnsi="Times New Roman" w:cs="Times New Roman"/>
                                <w:sz w:val="24"/>
                                <w:szCs w:val="24"/>
                                <w:lang w:val="hr-HR"/>
                              </w:rPr>
                              <w:t>ë</w:t>
                            </w:r>
                            <w:r w:rsidRPr="001A5ECD">
                              <w:rPr>
                                <w:rFonts w:ascii="Times New Roman" w:eastAsia="Times New Roman" w:hAnsi="Times New Roman" w:cs="Times New Roman"/>
                                <w:sz w:val="24"/>
                                <w:szCs w:val="24"/>
                                <w:lang w:val="sq-AL"/>
                              </w:rPr>
                              <w:t>rave n</w:t>
                            </w:r>
                            <w:r w:rsidRPr="001A5ECD">
                              <w:rPr>
                                <w:rFonts w:ascii="Times New Roman" w:eastAsia="Times New Roman" w:hAnsi="Times New Roman" w:cs="Times New Roman"/>
                                <w:sz w:val="24"/>
                                <w:szCs w:val="24"/>
                                <w:lang w:val="hr-HR"/>
                              </w:rPr>
                              <w:t>ë</w:t>
                            </w:r>
                            <w:r w:rsidRPr="001A5ECD">
                              <w:rPr>
                                <w:rFonts w:ascii="Times New Roman" w:eastAsia="Times New Roman" w:hAnsi="Times New Roman" w:cs="Times New Roman"/>
                                <w:sz w:val="24"/>
                                <w:szCs w:val="24"/>
                                <w:lang w:val="sq-AL"/>
                              </w:rPr>
                              <w:t xml:space="preserve"> t</w:t>
                            </w:r>
                            <w:r w:rsidRPr="001A5ECD">
                              <w:rPr>
                                <w:rFonts w:ascii="Times New Roman" w:eastAsia="Times New Roman" w:hAnsi="Times New Roman" w:cs="Times New Roman"/>
                                <w:sz w:val="24"/>
                                <w:szCs w:val="24"/>
                                <w:lang w:val="hr-HR"/>
                              </w:rPr>
                              <w:t>ë</w:t>
                            </w:r>
                            <w:r w:rsidRPr="001A5ECD">
                              <w:rPr>
                                <w:rFonts w:ascii="Times New Roman" w:eastAsia="Times New Roman" w:hAnsi="Times New Roman" w:cs="Times New Roman"/>
                                <w:sz w:val="24"/>
                                <w:szCs w:val="24"/>
                                <w:lang w:val="sq-AL"/>
                              </w:rPr>
                              <w:t xml:space="preserve"> gjitha pikat  e monitorimit.</w:t>
                            </w:r>
                            <w:r>
                              <w:rPr>
                                <w:rFonts w:ascii="Times New Roman" w:hAnsi="Times New Roman" w:cs="Times New Roman"/>
                                <w:sz w:val="24"/>
                                <w:szCs w:val="24"/>
                              </w:rPr>
                              <w:t>Kemi përmirësim të cilësisë së ujërave të larjes krahasuar me vitet 2021-202.</w:t>
                            </w:r>
                          </w:p>
                          <w:p w:rsidR="0064059F" w:rsidRDefault="0064059F" w:rsidP="00DD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50657" id="Left Arrow 56" o:spid="_x0000_s1102" type="#_x0000_t66" style="position:absolute;margin-left:219pt;margin-top:9.75pt;width:297.6pt;height:15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" adj="5743" fillcolor="window" strokecolor="#70ad47" strokeweight="1pt">
                <v:textbox>
                  <w:txbxContent>
                    <w:p w:rsidR="0064059F" w:rsidRPr="00854864" w:rsidRDefault="0064059F" w:rsidP="00854864">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noProof/>
                          <w:sz w:val="24"/>
                          <w:szCs w:val="24"/>
                          <w:lang w:val="sq-AL"/>
                        </w:rPr>
                        <w:t>R</w:t>
                      </w:r>
                      <w:r w:rsidRPr="001A5ECD">
                        <w:rPr>
                          <w:rFonts w:ascii="Times New Roman" w:eastAsia="Times New Roman" w:hAnsi="Times New Roman" w:cs="Times New Roman"/>
                          <w:noProof/>
                          <w:sz w:val="24"/>
                          <w:szCs w:val="24"/>
                          <w:lang w:val="sq-AL"/>
                        </w:rPr>
                        <w:t>eferuar</w:t>
                      </w:r>
                      <w:r w:rsidRPr="001A5ECD">
                        <w:rPr>
                          <w:rFonts w:ascii="Times New Roman" w:eastAsia="Times New Roman" w:hAnsi="Times New Roman" w:cs="Times New Roman"/>
                          <w:sz w:val="24"/>
                          <w:szCs w:val="24"/>
                          <w:lang w:val="it-IT"/>
                        </w:rPr>
                        <w:t xml:space="preserve"> rezultateve </w:t>
                      </w:r>
                      <w:r w:rsidRPr="001A5ECD">
                        <w:rPr>
                          <w:rFonts w:ascii="Times New Roman" w:eastAsia="Calibri" w:hAnsi="Times New Roman" w:cs="Times New Roman"/>
                          <w:sz w:val="24"/>
                          <w:szCs w:val="24"/>
                          <w:lang w:val="it-IT"/>
                        </w:rPr>
                        <w:t xml:space="preserve">të analizave </w:t>
                      </w:r>
                      <w:r w:rsidRPr="001A5ECD">
                        <w:rPr>
                          <w:rFonts w:ascii="Times New Roman" w:eastAsia="Times New Roman" w:hAnsi="Times New Roman" w:cs="Times New Roman"/>
                          <w:sz w:val="24"/>
                          <w:szCs w:val="24"/>
                          <w:lang w:val="it-IT"/>
                        </w:rPr>
                        <w:t xml:space="preserve">bakteriologjike </w:t>
                      </w:r>
                      <w:r w:rsidRPr="001A5ECD">
                        <w:rPr>
                          <w:rFonts w:ascii="Times New Roman" w:eastAsia="Times New Roman" w:hAnsi="Times New Roman" w:cs="Times New Roman"/>
                          <w:sz w:val="24"/>
                          <w:szCs w:val="24"/>
                          <w:lang w:val="sq-AL"/>
                        </w:rPr>
                        <w:t>këto plazhe vlerësohen në kategorinë A</w:t>
                      </w:r>
                      <w:r w:rsidRPr="001A5ECD">
                        <w:rPr>
                          <w:rFonts w:ascii="Times New Roman" w:eastAsia="Times New Roman" w:hAnsi="Times New Roman" w:cs="Times New Roman"/>
                          <w:sz w:val="24"/>
                          <w:szCs w:val="24"/>
                          <w:lang w:val="hr-HR"/>
                        </w:rPr>
                        <w:t xml:space="preserve">- </w:t>
                      </w:r>
                      <w:r w:rsidRPr="001A5ECD">
                        <w:rPr>
                          <w:rFonts w:ascii="Times New Roman" w:eastAsia="Times New Roman" w:hAnsi="Times New Roman" w:cs="Times New Roman"/>
                          <w:sz w:val="24"/>
                          <w:szCs w:val="24"/>
                          <w:lang w:val="sq-AL"/>
                        </w:rPr>
                        <w:t>Cil</w:t>
                      </w:r>
                      <w:r w:rsidRPr="001A5ECD">
                        <w:rPr>
                          <w:rFonts w:ascii="Times New Roman" w:eastAsia="Times New Roman" w:hAnsi="Times New Roman" w:cs="Times New Roman"/>
                          <w:sz w:val="24"/>
                          <w:szCs w:val="24"/>
                          <w:lang w:val="hr-HR"/>
                        </w:rPr>
                        <w:t>ë</w:t>
                      </w:r>
                      <w:r w:rsidRPr="001A5ECD">
                        <w:rPr>
                          <w:rFonts w:ascii="Times New Roman" w:eastAsia="Times New Roman" w:hAnsi="Times New Roman" w:cs="Times New Roman"/>
                          <w:sz w:val="24"/>
                          <w:szCs w:val="24"/>
                          <w:lang w:val="sq-AL"/>
                        </w:rPr>
                        <w:t>si</w:t>
                      </w:r>
                      <w:r w:rsidRPr="001A5ECD">
                        <w:rPr>
                          <w:rFonts w:ascii="Times New Roman" w:eastAsia="Times New Roman" w:hAnsi="Times New Roman" w:cs="Times New Roman"/>
                          <w:sz w:val="24"/>
                          <w:szCs w:val="24"/>
                          <w:lang w:val="hr-HR"/>
                        </w:rPr>
                        <w:t xml:space="preserve"> </w:t>
                      </w:r>
                      <w:r w:rsidRPr="001A5ECD">
                        <w:rPr>
                          <w:rFonts w:ascii="Times New Roman" w:eastAsia="Times New Roman" w:hAnsi="Times New Roman" w:cs="Times New Roman"/>
                          <w:sz w:val="24"/>
                          <w:szCs w:val="24"/>
                          <w:lang w:val="sq-AL"/>
                        </w:rPr>
                        <w:t>e shk</w:t>
                      </w:r>
                      <w:r w:rsidRPr="001A5ECD">
                        <w:rPr>
                          <w:rFonts w:ascii="Times New Roman" w:eastAsia="Times New Roman" w:hAnsi="Times New Roman" w:cs="Times New Roman"/>
                          <w:sz w:val="24"/>
                          <w:szCs w:val="24"/>
                          <w:lang w:val="hr-HR"/>
                        </w:rPr>
                        <w:t>ë</w:t>
                      </w:r>
                      <w:r w:rsidRPr="001A5ECD">
                        <w:rPr>
                          <w:rFonts w:ascii="Times New Roman" w:eastAsia="Times New Roman" w:hAnsi="Times New Roman" w:cs="Times New Roman"/>
                          <w:sz w:val="24"/>
                          <w:szCs w:val="24"/>
                          <w:lang w:val="sq-AL"/>
                        </w:rPr>
                        <w:t>lqyer e</w:t>
                      </w:r>
                      <w:r w:rsidRPr="001A5ECD">
                        <w:rPr>
                          <w:rFonts w:ascii="Times New Roman" w:eastAsia="Times New Roman" w:hAnsi="Times New Roman" w:cs="Times New Roman"/>
                          <w:sz w:val="24"/>
                          <w:szCs w:val="24"/>
                          <w:lang w:val="hr-HR"/>
                        </w:rPr>
                        <w:t xml:space="preserve"> </w:t>
                      </w:r>
                      <w:r w:rsidRPr="001A5ECD">
                        <w:rPr>
                          <w:rFonts w:ascii="Times New Roman" w:eastAsia="Times New Roman" w:hAnsi="Times New Roman" w:cs="Times New Roman"/>
                          <w:sz w:val="24"/>
                          <w:szCs w:val="24"/>
                          <w:lang w:val="sq-AL"/>
                        </w:rPr>
                        <w:t>uj</w:t>
                      </w:r>
                      <w:r w:rsidRPr="001A5ECD">
                        <w:rPr>
                          <w:rFonts w:ascii="Times New Roman" w:eastAsia="Times New Roman" w:hAnsi="Times New Roman" w:cs="Times New Roman"/>
                          <w:sz w:val="24"/>
                          <w:szCs w:val="24"/>
                          <w:lang w:val="hr-HR"/>
                        </w:rPr>
                        <w:t>ë</w:t>
                      </w:r>
                      <w:r w:rsidRPr="001A5ECD">
                        <w:rPr>
                          <w:rFonts w:ascii="Times New Roman" w:eastAsia="Times New Roman" w:hAnsi="Times New Roman" w:cs="Times New Roman"/>
                          <w:sz w:val="24"/>
                          <w:szCs w:val="24"/>
                          <w:lang w:val="sq-AL"/>
                        </w:rPr>
                        <w:t>rave n</w:t>
                      </w:r>
                      <w:r w:rsidRPr="001A5ECD">
                        <w:rPr>
                          <w:rFonts w:ascii="Times New Roman" w:eastAsia="Times New Roman" w:hAnsi="Times New Roman" w:cs="Times New Roman"/>
                          <w:sz w:val="24"/>
                          <w:szCs w:val="24"/>
                          <w:lang w:val="hr-HR"/>
                        </w:rPr>
                        <w:t>ë</w:t>
                      </w:r>
                      <w:r w:rsidRPr="001A5ECD">
                        <w:rPr>
                          <w:rFonts w:ascii="Times New Roman" w:eastAsia="Times New Roman" w:hAnsi="Times New Roman" w:cs="Times New Roman"/>
                          <w:sz w:val="24"/>
                          <w:szCs w:val="24"/>
                          <w:lang w:val="sq-AL"/>
                        </w:rPr>
                        <w:t xml:space="preserve"> t</w:t>
                      </w:r>
                      <w:r w:rsidRPr="001A5ECD">
                        <w:rPr>
                          <w:rFonts w:ascii="Times New Roman" w:eastAsia="Times New Roman" w:hAnsi="Times New Roman" w:cs="Times New Roman"/>
                          <w:sz w:val="24"/>
                          <w:szCs w:val="24"/>
                          <w:lang w:val="hr-HR"/>
                        </w:rPr>
                        <w:t>ë</w:t>
                      </w:r>
                      <w:r w:rsidRPr="001A5ECD">
                        <w:rPr>
                          <w:rFonts w:ascii="Times New Roman" w:eastAsia="Times New Roman" w:hAnsi="Times New Roman" w:cs="Times New Roman"/>
                          <w:sz w:val="24"/>
                          <w:szCs w:val="24"/>
                          <w:lang w:val="sq-AL"/>
                        </w:rPr>
                        <w:t xml:space="preserve"> gjitha pikat  e monitorimit.</w:t>
                      </w:r>
                      <w:r>
                        <w:rPr>
                          <w:rFonts w:ascii="Times New Roman" w:hAnsi="Times New Roman" w:cs="Times New Roman"/>
                          <w:sz w:val="24"/>
                          <w:szCs w:val="24"/>
                        </w:rPr>
                        <w:t>Kemi përmirësim të cilësisë së ujërave të larjes krahasuar me vitet 2021-202.</w:t>
                      </w:r>
                    </w:p>
                    <w:p w:rsidR="0064059F" w:rsidRDefault="0064059F" w:rsidP="00DD196F">
                      <w:pPr>
                        <w:jc w:val="center"/>
                      </w:pPr>
                    </w:p>
                  </w:txbxContent>
                </v:textbox>
              </v:shape>
            </w:pict>
          </mc:Fallback>
        </mc:AlternateContent>
      </w:r>
      <w:r w:rsidRPr="00DD196F">
        <w:rPr>
          <w:rFonts w:ascii="Times New Roman" w:eastAsiaTheme="minorEastAsia" w:hAnsi="Times New Roman" w:cs="Times New Roman"/>
          <w:noProof/>
          <w:sz w:val="24"/>
          <w:szCs w:val="24"/>
        </w:rPr>
        <w:drawing>
          <wp:inline distT="0" distB="0" distL="0" distR="0" wp14:anchorId="42F49163" wp14:editId="3B7A5935">
            <wp:extent cx="2780030" cy="2228850"/>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780030" cy="2228850"/>
                    </a:xfrm>
                    <a:prstGeom prst="rect">
                      <a:avLst/>
                    </a:prstGeom>
                    <a:noFill/>
                  </pic:spPr>
                </pic:pic>
              </a:graphicData>
            </a:graphic>
          </wp:inline>
        </w:drawing>
      </w:r>
    </w:p>
    <w:p w:rsidR="00DD196F" w:rsidRPr="00DD196F" w:rsidRDefault="00DD196F" w:rsidP="00F8650C">
      <w:pPr>
        <w:spacing w:after="0" w:line="240" w:lineRule="auto"/>
        <w:jc w:val="both"/>
        <w:rPr>
          <w:rFonts w:ascii="Times New Roman" w:eastAsia="Times New Roman" w:hAnsi="Times New Roman" w:cs="Times New Roman"/>
          <w:sz w:val="24"/>
          <w:szCs w:val="24"/>
          <w:lang w:val="sq-AL"/>
        </w:rPr>
      </w:pPr>
      <w:r w:rsidRPr="00DD196F">
        <w:rPr>
          <w:rFonts w:ascii="Times New Roman" w:eastAsia="Times New Roman" w:hAnsi="Times New Roman" w:cs="Times New Roman"/>
          <w:noProof/>
          <w:sz w:val="24"/>
          <w:szCs w:val="24"/>
          <w:lang w:val="it-IT"/>
        </w:rPr>
        <w:lastRenderedPageBreak/>
        <w:t>PLAZHI I QEPAROIT:</w:t>
      </w:r>
      <w:r w:rsidRPr="00DD196F">
        <w:rPr>
          <w:rFonts w:ascii="Times New Roman" w:eastAsia="Times New Roman" w:hAnsi="Times New Roman" w:cs="Times New Roman"/>
          <w:noProof/>
          <w:sz w:val="24"/>
          <w:szCs w:val="24"/>
          <w:u w:val="single"/>
          <w:lang w:val="it-IT"/>
        </w:rPr>
        <w:t xml:space="preserve"> </w:t>
      </w:r>
      <w:r w:rsidRPr="00DD196F">
        <w:rPr>
          <w:rFonts w:ascii="Times New Roman" w:eastAsia="Times New Roman" w:hAnsi="Times New Roman" w:cs="Times New Roman"/>
          <w:sz w:val="24"/>
          <w:szCs w:val="24"/>
          <w:lang w:val="it-IT"/>
        </w:rPr>
        <w:t xml:space="preserve">Gjatë inspektimit higjeno sanitar </w:t>
      </w:r>
      <w:r w:rsidRPr="00DD196F">
        <w:rPr>
          <w:rFonts w:ascii="Times New Roman" w:eastAsia="Calibri" w:hAnsi="Times New Roman" w:cs="Times New Roman"/>
          <w:sz w:val="24"/>
          <w:szCs w:val="24"/>
          <w:lang w:val="sq-AL"/>
        </w:rPr>
        <w:t xml:space="preserve">në përgjithësi u konstatuan kushte të mira. </w:t>
      </w:r>
      <w:r w:rsidRPr="00DD196F">
        <w:rPr>
          <w:rFonts w:ascii="Times New Roman" w:eastAsia="Times New Roman" w:hAnsi="Times New Roman" w:cs="Times New Roman"/>
          <w:sz w:val="24"/>
          <w:szCs w:val="24"/>
          <w:lang w:val="sq-AL"/>
        </w:rPr>
        <w:t xml:space="preserve">Brezi bregdetar i pastruar, i sistemuar me kosha mbeturinash, dushe, kulla vrojtimi </w:t>
      </w:r>
      <w:r w:rsidRPr="00DD196F">
        <w:rPr>
          <w:rFonts w:ascii="Times New Roman" w:eastAsia="Calibri" w:hAnsi="Times New Roman" w:cs="Times New Roman"/>
          <w:sz w:val="24"/>
          <w:szCs w:val="24"/>
          <w:lang w:val="sq-AL"/>
        </w:rPr>
        <w:t>dhe afishimi i rregullave p</w:t>
      </w:r>
      <w:r w:rsidRPr="00DD196F">
        <w:rPr>
          <w:rFonts w:ascii="Times New Roman" w:eastAsia="Times New Roman" w:hAnsi="Times New Roman" w:cs="Times New Roman"/>
          <w:sz w:val="24"/>
          <w:szCs w:val="24"/>
          <w:lang w:val="sq-AL"/>
        </w:rPr>
        <w:t>ë</w:t>
      </w:r>
      <w:r w:rsidRPr="00DD196F">
        <w:rPr>
          <w:rFonts w:ascii="Times New Roman" w:eastAsia="Calibri" w:hAnsi="Times New Roman" w:cs="Times New Roman"/>
          <w:sz w:val="24"/>
          <w:szCs w:val="24"/>
          <w:lang w:val="sq-AL"/>
        </w:rPr>
        <w:t xml:space="preserve">r zbatim nga frekuentuesit e plazheve. </w:t>
      </w:r>
      <w:r w:rsidRPr="00DD196F">
        <w:rPr>
          <w:rFonts w:ascii="Times New Roman" w:eastAsia="Times New Roman" w:hAnsi="Times New Roman" w:cs="Times New Roman"/>
          <w:sz w:val="24"/>
          <w:szCs w:val="24"/>
        </w:rPr>
        <w:t>Kushte relativisht të mira në plazhet publike. Për shkak të pozicionimit të këtyre plazheve pranë subjekteve private, nevojat sanitare për tualete përmbushen në këto subjekte</w:t>
      </w:r>
      <w:r w:rsidRPr="00DD196F">
        <w:rPr>
          <w:rFonts w:ascii="Times New Roman" w:eastAsia="Times New Roman" w:hAnsi="Times New Roman" w:cs="Times New Roman"/>
          <w:sz w:val="24"/>
          <w:szCs w:val="24"/>
          <w:lang w:val="sq-AL"/>
        </w:rPr>
        <w:t>.</w:t>
      </w:r>
    </w:p>
    <w:p w:rsidR="00DD196F" w:rsidRPr="00DD196F" w:rsidRDefault="00DD196F" w:rsidP="00DD196F">
      <w:pPr>
        <w:spacing w:line="276" w:lineRule="auto"/>
        <w:jc w:val="both"/>
        <w:rPr>
          <w:rFonts w:ascii="Times New Roman" w:eastAsia="Times New Roman" w:hAnsi="Times New Roman" w:cs="Times New Roman"/>
          <w:sz w:val="24"/>
          <w:szCs w:val="24"/>
          <w:lang w:val="sq-AL"/>
        </w:rPr>
      </w:pPr>
      <w:r w:rsidRPr="00DD196F">
        <w:rPr>
          <w:rFonts w:ascii="Times New Roman" w:eastAsia="Times New Roman" w:hAnsi="Times New Roman" w:cs="Times New Roman"/>
          <w:sz w:val="24"/>
          <w:szCs w:val="24"/>
          <w:lang w:val="sq-AL"/>
        </w:rPr>
        <w:t xml:space="preserve">     </w:t>
      </w:r>
    </w:p>
    <w:p w:rsidR="00DD196F" w:rsidRPr="00DD196F" w:rsidRDefault="00DD196F" w:rsidP="00DD196F">
      <w:pPr>
        <w:spacing w:line="276" w:lineRule="auto"/>
        <w:jc w:val="both"/>
        <w:rPr>
          <w:rFonts w:ascii="Times New Roman" w:eastAsia="Times New Roman" w:hAnsi="Times New Roman" w:cs="Times New Roman"/>
          <w:b/>
          <w:sz w:val="24"/>
          <w:szCs w:val="24"/>
          <w:lang w:val="sq-AL"/>
        </w:rPr>
      </w:pPr>
      <w:r w:rsidRPr="00DD196F">
        <w:rPr>
          <w:rFonts w:ascii="Times New Roman" w:eastAsia="Times New Roman" w:hAnsi="Times New Roman" w:cs="Times New Roman"/>
          <w:sz w:val="24"/>
          <w:szCs w:val="24"/>
          <w:lang w:val="sq-AL"/>
        </w:rPr>
        <w:t xml:space="preserve">                               </w:t>
      </w:r>
      <w:r w:rsidRPr="00DD196F">
        <w:rPr>
          <w:rFonts w:ascii="Times New Roman" w:eastAsia="Times New Roman" w:hAnsi="Times New Roman" w:cs="Times New Roman"/>
          <w:b/>
          <w:sz w:val="24"/>
          <w:szCs w:val="24"/>
          <w:lang w:val="sq-AL"/>
        </w:rPr>
        <w:t xml:space="preserve"> ● Plazhi i Qeparoit</w:t>
      </w:r>
    </w:p>
    <w:tbl>
      <w:tblPr>
        <w:tblW w:w="0" w:type="auto"/>
        <w:tblInd w:w="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11"/>
        <w:gridCol w:w="1700"/>
        <w:gridCol w:w="1222"/>
        <w:gridCol w:w="1222"/>
        <w:gridCol w:w="1145"/>
        <w:gridCol w:w="1679"/>
      </w:tblGrid>
      <w:tr w:rsidR="00E95EB4" w:rsidTr="00854864">
        <w:trPr>
          <w:trHeight w:val="871"/>
        </w:trPr>
        <w:tc>
          <w:tcPr>
            <w:tcW w:w="1111" w:type="dxa"/>
            <w:shd w:val="clear" w:color="auto" w:fill="BEBEBE"/>
          </w:tcPr>
          <w:p w:rsidR="00DD196F" w:rsidRPr="00DD196F" w:rsidRDefault="00DD196F" w:rsidP="00DD196F">
            <w:pPr>
              <w:widowControl w:val="0"/>
              <w:autoSpaceDE w:val="0"/>
              <w:autoSpaceDN w:val="0"/>
              <w:spacing w:before="49" w:after="0" w:line="240" w:lineRule="auto"/>
              <w:ind w:left="65" w:right="59"/>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Nr.</w:t>
            </w:r>
          </w:p>
          <w:p w:rsidR="00DD196F" w:rsidRPr="00DD196F" w:rsidRDefault="00DD196F" w:rsidP="00DD196F">
            <w:pPr>
              <w:widowControl w:val="0"/>
              <w:autoSpaceDE w:val="0"/>
              <w:autoSpaceDN w:val="0"/>
              <w:spacing w:before="5" w:after="0" w:line="240" w:lineRule="auto"/>
              <w:ind w:left="66" w:right="59"/>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p>
        </w:tc>
        <w:tc>
          <w:tcPr>
            <w:tcW w:w="1700" w:type="dxa"/>
            <w:shd w:val="clear" w:color="auto" w:fill="BEBEBE"/>
          </w:tcPr>
          <w:p w:rsidR="00DD196F" w:rsidRPr="00DD196F" w:rsidRDefault="00DD196F" w:rsidP="00DD196F">
            <w:pPr>
              <w:widowControl w:val="0"/>
              <w:autoSpaceDE w:val="0"/>
              <w:autoSpaceDN w:val="0"/>
              <w:spacing w:before="161" w:after="0" w:line="240" w:lineRule="auto"/>
              <w:ind w:left="63" w:right="59"/>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Vendi</w:t>
            </w:r>
          </w:p>
        </w:tc>
        <w:tc>
          <w:tcPr>
            <w:tcW w:w="1222" w:type="dxa"/>
            <w:shd w:val="clear" w:color="auto" w:fill="BEBEBE"/>
          </w:tcPr>
          <w:p w:rsidR="00DD196F" w:rsidRPr="00DD196F" w:rsidRDefault="00DD196F" w:rsidP="00DD196F">
            <w:pPr>
              <w:widowControl w:val="0"/>
              <w:autoSpaceDE w:val="0"/>
              <w:autoSpaceDN w:val="0"/>
              <w:spacing w:before="1" w:after="0" w:line="240" w:lineRule="auto"/>
              <w:ind w:left="165"/>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FC</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90%</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240" w:lineRule="auto"/>
              <w:ind w:left="109"/>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250</w:t>
            </w:r>
          </w:p>
        </w:tc>
        <w:tc>
          <w:tcPr>
            <w:tcW w:w="1222" w:type="dxa"/>
            <w:shd w:val="clear" w:color="auto" w:fill="BEBEBE"/>
          </w:tcPr>
          <w:p w:rsidR="00DD196F" w:rsidRPr="00DD196F" w:rsidRDefault="00DD196F" w:rsidP="00DD196F">
            <w:pPr>
              <w:widowControl w:val="0"/>
              <w:autoSpaceDE w:val="0"/>
              <w:autoSpaceDN w:val="0"/>
              <w:spacing w:before="1" w:after="0" w:line="240" w:lineRule="auto"/>
              <w:ind w:left="192"/>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IE</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95%</w:t>
            </w:r>
            <w:r w:rsidRPr="00DD196F">
              <w:rPr>
                <w:rFonts w:ascii="Times New Roman" w:eastAsia="Times New Roman" w:hAnsi="Times New Roman" w:cs="Times New Roman"/>
                <w:b/>
                <w:spacing w:val="3"/>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240" w:lineRule="auto"/>
              <w:ind w:left="108"/>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100</w:t>
            </w:r>
          </w:p>
        </w:tc>
        <w:tc>
          <w:tcPr>
            <w:tcW w:w="1145" w:type="dxa"/>
            <w:shd w:val="clear" w:color="auto" w:fill="BEBEBE"/>
          </w:tcPr>
          <w:p w:rsidR="00DD196F" w:rsidRPr="00DD196F" w:rsidRDefault="00DD196F" w:rsidP="00DD196F">
            <w:pPr>
              <w:widowControl w:val="0"/>
              <w:autoSpaceDE w:val="0"/>
              <w:autoSpaceDN w:val="0"/>
              <w:spacing w:before="1" w:after="0" w:line="240" w:lineRule="auto"/>
              <w:ind w:left="117"/>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Kategoria</w:t>
            </w:r>
          </w:p>
        </w:tc>
        <w:tc>
          <w:tcPr>
            <w:tcW w:w="1679" w:type="dxa"/>
            <w:shd w:val="clear" w:color="auto" w:fill="BEBEBE"/>
          </w:tcPr>
          <w:p w:rsidR="00DD196F" w:rsidRPr="00DD196F" w:rsidRDefault="00DD196F" w:rsidP="00DD196F">
            <w:pPr>
              <w:widowControl w:val="0"/>
              <w:autoSpaceDE w:val="0"/>
              <w:autoSpaceDN w:val="0"/>
              <w:spacing w:before="1" w:after="0" w:line="244" w:lineRule="auto"/>
              <w:ind w:left="240" w:firstLine="65"/>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Përqindja</w:t>
            </w:r>
            <w:r w:rsidRPr="00DD196F">
              <w:rPr>
                <w:rFonts w:ascii="Times New Roman" w:eastAsia="Times New Roman" w:hAnsi="Times New Roman" w:cs="Times New Roman"/>
                <w:b/>
                <w:spacing w:val="7"/>
                <w:sz w:val="19"/>
                <w:lang w:val="sq-AL"/>
              </w:rPr>
              <w:t xml:space="preserve"> </w:t>
            </w:r>
            <w:r w:rsidRPr="00DD196F">
              <w:rPr>
                <w:rFonts w:ascii="Times New Roman" w:eastAsia="Times New Roman" w:hAnsi="Times New Roman" w:cs="Times New Roman"/>
                <w:b/>
                <w:sz w:val="19"/>
                <w:lang w:val="sq-AL"/>
              </w:rPr>
              <w:t>e</w:t>
            </w:r>
            <w:r w:rsidRPr="00DD196F">
              <w:rPr>
                <w:rFonts w:ascii="Times New Roman" w:eastAsia="Times New Roman" w:hAnsi="Times New Roman" w:cs="Times New Roman"/>
                <w:b/>
                <w:spacing w:val="1"/>
                <w:sz w:val="19"/>
                <w:lang w:val="sq-AL"/>
              </w:rPr>
              <w:t xml:space="preserve"> </w:t>
            </w:r>
            <w:r w:rsidRPr="00DD196F">
              <w:rPr>
                <w:rFonts w:ascii="Times New Roman" w:eastAsia="Times New Roman" w:hAnsi="Times New Roman" w:cs="Times New Roman"/>
                <w:b/>
                <w:sz w:val="19"/>
                <w:lang w:val="sq-AL"/>
              </w:rPr>
              <w:t>stacioneve</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w:t>
            </w:r>
          </w:p>
        </w:tc>
      </w:tr>
      <w:tr w:rsidR="00E95EB4" w:rsidTr="00854864">
        <w:trPr>
          <w:trHeight w:val="353"/>
        </w:trPr>
        <w:tc>
          <w:tcPr>
            <w:tcW w:w="1111" w:type="dxa"/>
          </w:tcPr>
          <w:p w:rsidR="00DD196F" w:rsidRPr="00DD196F" w:rsidRDefault="00DD196F" w:rsidP="00DD196F">
            <w:pPr>
              <w:widowControl w:val="0"/>
              <w:autoSpaceDE w:val="0"/>
              <w:autoSpaceDN w:val="0"/>
              <w:spacing w:after="0" w:line="200" w:lineRule="exact"/>
              <w:ind w:left="7"/>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1</w:t>
            </w:r>
          </w:p>
        </w:tc>
        <w:tc>
          <w:tcPr>
            <w:tcW w:w="1700" w:type="dxa"/>
          </w:tcPr>
          <w:p w:rsidR="00DD196F" w:rsidRPr="00DD196F" w:rsidRDefault="00DD196F" w:rsidP="00DD196F">
            <w:pPr>
              <w:widowControl w:val="0"/>
              <w:autoSpaceDE w:val="0"/>
              <w:autoSpaceDN w:val="0"/>
              <w:spacing w:after="0" w:line="200"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Qeparo</w:t>
            </w:r>
            <w:r w:rsidRPr="00DD196F">
              <w:rPr>
                <w:rFonts w:ascii="Times New Roman" w:eastAsia="Times New Roman" w:hAnsi="Times New Roman" w:cs="Times New Roman"/>
                <w:spacing w:val="9"/>
                <w:sz w:val="19"/>
                <w:lang w:val="sq-AL"/>
              </w:rPr>
              <w:t xml:space="preserve"> </w:t>
            </w:r>
            <w:r w:rsidRPr="00DD196F">
              <w:rPr>
                <w:rFonts w:ascii="Times New Roman" w:eastAsia="Times New Roman" w:hAnsi="Times New Roman" w:cs="Times New Roman"/>
                <w:sz w:val="19"/>
                <w:lang w:val="sq-AL"/>
              </w:rPr>
              <w:t>majtas</w:t>
            </w:r>
          </w:p>
        </w:tc>
        <w:tc>
          <w:tcPr>
            <w:tcW w:w="1222" w:type="dxa"/>
          </w:tcPr>
          <w:p w:rsidR="00DD196F" w:rsidRPr="00DD196F" w:rsidRDefault="00DD196F" w:rsidP="00DD196F">
            <w:pPr>
              <w:widowControl w:val="0"/>
              <w:autoSpaceDE w:val="0"/>
              <w:autoSpaceDN w:val="0"/>
              <w:spacing w:after="0" w:line="200"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72</w:t>
            </w:r>
          </w:p>
        </w:tc>
        <w:tc>
          <w:tcPr>
            <w:tcW w:w="1222" w:type="dxa"/>
          </w:tcPr>
          <w:p w:rsidR="00DD196F" w:rsidRPr="00DD196F" w:rsidRDefault="00DD196F" w:rsidP="00DD196F">
            <w:pPr>
              <w:widowControl w:val="0"/>
              <w:autoSpaceDE w:val="0"/>
              <w:autoSpaceDN w:val="0"/>
              <w:spacing w:after="0" w:line="200"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85</w:t>
            </w:r>
          </w:p>
        </w:tc>
        <w:tc>
          <w:tcPr>
            <w:tcW w:w="1145" w:type="dxa"/>
          </w:tcPr>
          <w:p w:rsidR="00DD196F" w:rsidRPr="00DD196F" w:rsidRDefault="00DD196F" w:rsidP="00DD196F">
            <w:pPr>
              <w:widowControl w:val="0"/>
              <w:autoSpaceDE w:val="0"/>
              <w:autoSpaceDN w:val="0"/>
              <w:spacing w:after="0" w:line="200"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679" w:type="dxa"/>
            <w:vMerge w:val="restart"/>
          </w:tcPr>
          <w:p w:rsidR="00DD196F" w:rsidRPr="00DD196F" w:rsidRDefault="00DD196F" w:rsidP="00DD196F">
            <w:pPr>
              <w:widowControl w:val="0"/>
              <w:autoSpaceDE w:val="0"/>
              <w:autoSpaceDN w:val="0"/>
              <w:spacing w:after="0" w:line="217" w:lineRule="exact"/>
              <w:ind w:left="74"/>
              <w:rPr>
                <w:rFonts w:ascii="Times New Roman" w:eastAsia="Times New Roman" w:hAnsi="Times New Roman" w:cs="Times New Roman"/>
                <w:sz w:val="19"/>
                <w:lang w:val="sq-AL"/>
              </w:rPr>
            </w:pPr>
          </w:p>
          <w:p w:rsidR="00DD196F" w:rsidRPr="00DD196F" w:rsidRDefault="00DD196F" w:rsidP="00DD196F">
            <w:pPr>
              <w:widowControl w:val="0"/>
              <w:autoSpaceDE w:val="0"/>
              <w:autoSpaceDN w:val="0"/>
              <w:spacing w:after="0" w:line="217"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100%</w:t>
            </w:r>
            <w:r w:rsidRPr="00DD196F">
              <w:rPr>
                <w:rFonts w:ascii="Times New Roman" w:eastAsia="Times New Roman" w:hAnsi="Times New Roman" w:cs="Times New Roman"/>
                <w:spacing w:val="6"/>
                <w:sz w:val="19"/>
                <w:lang w:val="sq-AL"/>
              </w:rPr>
              <w:t xml:space="preserve"> </w:t>
            </w:r>
            <w:r w:rsidRPr="00DD196F">
              <w:rPr>
                <w:rFonts w:ascii="Times New Roman" w:eastAsia="Times New Roman" w:hAnsi="Times New Roman" w:cs="Times New Roman"/>
                <w:sz w:val="19"/>
                <w:lang w:val="sq-AL"/>
              </w:rPr>
              <w:t>A-</w:t>
            </w:r>
            <w:r w:rsidRPr="00DD196F">
              <w:rPr>
                <w:rFonts w:ascii="Times New Roman" w:eastAsia="Times New Roman" w:hAnsi="Times New Roman" w:cs="Times New Roman"/>
                <w:spacing w:val="6"/>
                <w:sz w:val="19"/>
                <w:lang w:val="sq-AL"/>
              </w:rPr>
              <w:t xml:space="preserve"> </w:t>
            </w:r>
            <w:r w:rsidRPr="00DD196F">
              <w:rPr>
                <w:rFonts w:ascii="Times New Roman" w:eastAsia="Times New Roman" w:hAnsi="Times New Roman" w:cs="Times New Roman"/>
                <w:sz w:val="19"/>
                <w:lang w:val="sq-AL"/>
              </w:rPr>
              <w:t>Cilësi</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e</w:t>
            </w:r>
          </w:p>
          <w:p w:rsidR="00DD196F" w:rsidRPr="00DD196F" w:rsidRDefault="00DD196F" w:rsidP="00DD196F">
            <w:pPr>
              <w:widowControl w:val="0"/>
              <w:autoSpaceDE w:val="0"/>
              <w:autoSpaceDN w:val="0"/>
              <w:spacing w:before="5" w:after="0" w:line="210"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shkëlqyer</w:t>
            </w:r>
          </w:p>
        </w:tc>
      </w:tr>
      <w:tr w:rsidR="00E95EB4" w:rsidTr="00854864">
        <w:trPr>
          <w:trHeight w:val="359"/>
        </w:trPr>
        <w:tc>
          <w:tcPr>
            <w:tcW w:w="1111" w:type="dxa"/>
          </w:tcPr>
          <w:p w:rsidR="00DD196F" w:rsidRPr="00DD196F" w:rsidRDefault="00DD196F" w:rsidP="00DD196F">
            <w:pPr>
              <w:widowControl w:val="0"/>
              <w:autoSpaceDE w:val="0"/>
              <w:autoSpaceDN w:val="0"/>
              <w:spacing w:after="0" w:line="202" w:lineRule="exact"/>
              <w:ind w:left="7"/>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2</w:t>
            </w:r>
          </w:p>
        </w:tc>
        <w:tc>
          <w:tcPr>
            <w:tcW w:w="1700" w:type="dxa"/>
          </w:tcPr>
          <w:p w:rsidR="00DD196F" w:rsidRPr="00DD196F" w:rsidRDefault="00DD196F" w:rsidP="00DD196F">
            <w:pPr>
              <w:widowControl w:val="0"/>
              <w:autoSpaceDE w:val="0"/>
              <w:autoSpaceDN w:val="0"/>
              <w:spacing w:after="0" w:line="202"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Qeparo</w:t>
            </w:r>
            <w:r w:rsidRPr="00DD196F">
              <w:rPr>
                <w:rFonts w:ascii="Times New Roman" w:eastAsia="Times New Roman" w:hAnsi="Times New Roman" w:cs="Times New Roman"/>
                <w:spacing w:val="10"/>
                <w:sz w:val="19"/>
                <w:lang w:val="sq-AL"/>
              </w:rPr>
              <w:t xml:space="preserve"> </w:t>
            </w:r>
            <w:r w:rsidRPr="00DD196F">
              <w:rPr>
                <w:rFonts w:ascii="Times New Roman" w:eastAsia="Times New Roman" w:hAnsi="Times New Roman" w:cs="Times New Roman"/>
                <w:sz w:val="19"/>
                <w:lang w:val="sq-AL"/>
              </w:rPr>
              <w:t>djathtas</w:t>
            </w:r>
          </w:p>
        </w:tc>
        <w:tc>
          <w:tcPr>
            <w:tcW w:w="1222" w:type="dxa"/>
          </w:tcPr>
          <w:p w:rsidR="00DD196F" w:rsidRPr="00DD196F" w:rsidRDefault="00DD196F" w:rsidP="00DD196F">
            <w:pPr>
              <w:widowControl w:val="0"/>
              <w:autoSpaceDE w:val="0"/>
              <w:autoSpaceDN w:val="0"/>
              <w:spacing w:after="0" w:line="202"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85</w:t>
            </w:r>
          </w:p>
        </w:tc>
        <w:tc>
          <w:tcPr>
            <w:tcW w:w="1222" w:type="dxa"/>
          </w:tcPr>
          <w:p w:rsidR="00DD196F" w:rsidRPr="00DD196F" w:rsidRDefault="00DD196F" w:rsidP="00DD196F">
            <w:pPr>
              <w:widowControl w:val="0"/>
              <w:autoSpaceDE w:val="0"/>
              <w:autoSpaceDN w:val="0"/>
              <w:spacing w:after="0" w:line="202"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72</w:t>
            </w:r>
          </w:p>
        </w:tc>
        <w:tc>
          <w:tcPr>
            <w:tcW w:w="1145" w:type="dxa"/>
          </w:tcPr>
          <w:p w:rsidR="00DD196F" w:rsidRPr="00DD196F" w:rsidRDefault="00DD196F" w:rsidP="00DD196F">
            <w:pPr>
              <w:widowControl w:val="0"/>
              <w:autoSpaceDE w:val="0"/>
              <w:autoSpaceDN w:val="0"/>
              <w:spacing w:after="0" w:line="202"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679"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bl>
    <w:p w:rsidR="00DD196F" w:rsidRPr="00DD196F" w:rsidRDefault="00DD196F" w:rsidP="00DD196F">
      <w:pPr>
        <w:spacing w:after="200" w:line="288" w:lineRule="auto"/>
        <w:rPr>
          <w:rFonts w:ascii="Times New Roman" w:eastAsiaTheme="minorEastAsia" w:hAnsi="Times New Roman" w:cs="Times New Roman"/>
          <w:sz w:val="24"/>
          <w:szCs w:val="24"/>
        </w:rPr>
      </w:pPr>
    </w:p>
    <w:p w:rsidR="00DD196F" w:rsidRPr="00DD196F" w:rsidRDefault="00DD196F" w:rsidP="00DD196F">
      <w:pPr>
        <w:spacing w:after="200" w:line="288" w:lineRule="auto"/>
        <w:rPr>
          <w:rFonts w:ascii="Times New Roman" w:eastAsiaTheme="minorEastAsia" w:hAnsi="Times New Roman" w:cs="Times New Roman"/>
          <w:sz w:val="24"/>
          <w:szCs w:val="24"/>
        </w:rPr>
      </w:pPr>
      <w:r w:rsidRPr="00DD196F">
        <w:rPr>
          <w:rFonts w:ascii="Times New Roman" w:eastAsiaTheme="minorEastAsia" w:hAnsi="Times New Roman" w:cs="Times New Roman"/>
          <w:noProof/>
          <w:sz w:val="24"/>
          <w:szCs w:val="24"/>
        </w:rPr>
        <mc:AlternateContent>
          <mc:Choice Requires="wps">
            <w:drawing>
              <wp:anchor distT="0" distB="0" distL="114300" distR="114300" simplePos="0" relativeHeight="251660800" behindDoc="0" locked="0" layoutInCell="1" allowOverlap="1" wp14:anchorId="5FBD22B7" wp14:editId="75E9A5DC">
                <wp:simplePos x="0" y="0"/>
                <wp:positionH relativeFrom="column">
                  <wp:posOffset>3251200</wp:posOffset>
                </wp:positionH>
                <wp:positionV relativeFrom="paragraph">
                  <wp:posOffset>44451</wp:posOffset>
                </wp:positionV>
                <wp:extent cx="2771775" cy="2406650"/>
                <wp:effectExtent l="0" t="0" r="28575" b="12700"/>
                <wp:wrapNone/>
                <wp:docPr id="57" name="Rectangle 57"/>
                <wp:cNvGraphicFramePr/>
                <a:graphic xmlns:a="http://schemas.openxmlformats.org/drawingml/2006/main">
                  <a:graphicData uri="http://schemas.microsoft.com/office/word/2010/wordprocessingShape">
                    <wps:wsp>
                      <wps:cNvSpPr/>
                      <wps:spPr>
                        <a:xfrm>
                          <a:off x="0" y="0"/>
                          <a:ext cx="2771775" cy="2406650"/>
                        </a:xfrm>
                        <a:prstGeom prst="rect">
                          <a:avLst/>
                        </a:prstGeom>
                        <a:solidFill>
                          <a:sysClr val="window" lastClr="FFFFFF"/>
                        </a:solidFill>
                        <a:ln w="12700" cap="flat" cmpd="sng" algn="ctr">
                          <a:solidFill>
                            <a:srgbClr val="70AD47"/>
                          </a:solidFill>
                          <a:prstDash val="solid"/>
                          <a:miter lim="800000"/>
                        </a:ln>
                        <a:effectLst/>
                      </wps:spPr>
                      <wps:txbx>
                        <w:txbxContent>
                          <w:p w:rsidR="0064059F" w:rsidRDefault="0064059F" w:rsidP="00F8650C">
                            <w:pPr>
                              <w:spacing w:after="0" w:line="240" w:lineRule="auto"/>
                              <w:jc w:val="both"/>
                              <w:rPr>
                                <w:rFonts w:ascii="Times New Roman" w:eastAsia="Times New Roman" w:hAnsi="Times New Roman" w:cs="Times New Roman"/>
                                <w:noProof/>
                                <w:sz w:val="24"/>
                                <w:szCs w:val="24"/>
                                <w:lang w:val="it-IT"/>
                              </w:rPr>
                            </w:pPr>
                            <w:r>
                              <w:rPr>
                                <w:rFonts w:ascii="Times New Roman" w:eastAsia="Times New Roman" w:hAnsi="Times New Roman" w:cs="Times New Roman"/>
                                <w:sz w:val="24"/>
                                <w:szCs w:val="24"/>
                                <w:lang w:val="sq-AL"/>
                              </w:rPr>
                              <w:t>K</w:t>
                            </w:r>
                            <w:r w:rsidRPr="00394E7F">
                              <w:rPr>
                                <w:rFonts w:ascii="Times New Roman" w:eastAsia="Times New Roman" w:hAnsi="Times New Roman" w:cs="Times New Roman"/>
                                <w:sz w:val="24"/>
                                <w:szCs w:val="24"/>
                                <w:lang w:val="sq-AL"/>
                              </w:rPr>
                              <w:t>ëto plazhe vlerësohen në kategorinë A</w:t>
                            </w:r>
                            <w:r w:rsidRPr="00394E7F">
                              <w:rPr>
                                <w:rFonts w:ascii="Times New Roman" w:eastAsia="Times New Roman" w:hAnsi="Times New Roman" w:cs="Times New Roman"/>
                                <w:sz w:val="24"/>
                                <w:szCs w:val="24"/>
                                <w:lang w:val="hr-HR"/>
                              </w:rPr>
                              <w:t xml:space="preserve">- </w:t>
                            </w:r>
                            <w:r w:rsidRPr="00394E7F">
                              <w:rPr>
                                <w:rFonts w:ascii="Times New Roman" w:eastAsia="Times New Roman" w:hAnsi="Times New Roman" w:cs="Times New Roman"/>
                                <w:sz w:val="24"/>
                                <w:szCs w:val="24"/>
                                <w:lang w:val="sq-AL"/>
                              </w:rPr>
                              <w:t>Cil</w:t>
                            </w:r>
                            <w:r w:rsidRPr="00394E7F">
                              <w:rPr>
                                <w:rFonts w:ascii="Times New Roman" w:eastAsia="Times New Roman" w:hAnsi="Times New Roman" w:cs="Times New Roman"/>
                                <w:sz w:val="24"/>
                                <w:szCs w:val="24"/>
                                <w:lang w:val="hr-HR"/>
                              </w:rPr>
                              <w:t>ë</w:t>
                            </w:r>
                            <w:r w:rsidRPr="00394E7F">
                              <w:rPr>
                                <w:rFonts w:ascii="Times New Roman" w:eastAsia="Times New Roman" w:hAnsi="Times New Roman" w:cs="Times New Roman"/>
                                <w:sz w:val="24"/>
                                <w:szCs w:val="24"/>
                                <w:lang w:val="sq-AL"/>
                              </w:rPr>
                              <w:t>si</w:t>
                            </w:r>
                            <w:r w:rsidRPr="00394E7F">
                              <w:rPr>
                                <w:rFonts w:ascii="Times New Roman" w:eastAsia="Times New Roman" w:hAnsi="Times New Roman" w:cs="Times New Roman"/>
                                <w:sz w:val="24"/>
                                <w:szCs w:val="24"/>
                                <w:lang w:val="hr-HR"/>
                              </w:rPr>
                              <w:t xml:space="preserve"> </w:t>
                            </w:r>
                            <w:r w:rsidRPr="00394E7F">
                              <w:rPr>
                                <w:rFonts w:ascii="Times New Roman" w:eastAsia="Times New Roman" w:hAnsi="Times New Roman" w:cs="Times New Roman"/>
                                <w:sz w:val="24"/>
                                <w:szCs w:val="24"/>
                                <w:lang w:val="sq-AL"/>
                              </w:rPr>
                              <w:t>e shk</w:t>
                            </w:r>
                            <w:r w:rsidRPr="00394E7F">
                              <w:rPr>
                                <w:rFonts w:ascii="Times New Roman" w:eastAsia="Times New Roman" w:hAnsi="Times New Roman" w:cs="Times New Roman"/>
                                <w:sz w:val="24"/>
                                <w:szCs w:val="24"/>
                                <w:lang w:val="hr-HR"/>
                              </w:rPr>
                              <w:t>ë</w:t>
                            </w:r>
                            <w:r w:rsidRPr="00394E7F">
                              <w:rPr>
                                <w:rFonts w:ascii="Times New Roman" w:eastAsia="Times New Roman" w:hAnsi="Times New Roman" w:cs="Times New Roman"/>
                                <w:sz w:val="24"/>
                                <w:szCs w:val="24"/>
                                <w:lang w:val="sq-AL"/>
                              </w:rPr>
                              <w:t>lqyer e</w:t>
                            </w:r>
                            <w:r w:rsidRPr="00394E7F">
                              <w:rPr>
                                <w:rFonts w:ascii="Times New Roman" w:eastAsia="Times New Roman" w:hAnsi="Times New Roman" w:cs="Times New Roman"/>
                                <w:sz w:val="24"/>
                                <w:szCs w:val="24"/>
                                <w:lang w:val="hr-HR"/>
                              </w:rPr>
                              <w:t xml:space="preserve"> </w:t>
                            </w:r>
                            <w:r w:rsidRPr="00394E7F">
                              <w:rPr>
                                <w:rFonts w:ascii="Times New Roman" w:eastAsia="Times New Roman" w:hAnsi="Times New Roman" w:cs="Times New Roman"/>
                                <w:sz w:val="24"/>
                                <w:szCs w:val="24"/>
                                <w:lang w:val="sq-AL"/>
                              </w:rPr>
                              <w:t>uj</w:t>
                            </w:r>
                            <w:r w:rsidRPr="00394E7F">
                              <w:rPr>
                                <w:rFonts w:ascii="Times New Roman" w:eastAsia="Times New Roman" w:hAnsi="Times New Roman" w:cs="Times New Roman"/>
                                <w:sz w:val="24"/>
                                <w:szCs w:val="24"/>
                                <w:lang w:val="hr-HR"/>
                              </w:rPr>
                              <w:t>ë</w:t>
                            </w:r>
                            <w:r w:rsidRPr="00394E7F">
                              <w:rPr>
                                <w:rFonts w:ascii="Times New Roman" w:eastAsia="Times New Roman" w:hAnsi="Times New Roman" w:cs="Times New Roman"/>
                                <w:sz w:val="24"/>
                                <w:szCs w:val="24"/>
                                <w:lang w:val="sq-AL"/>
                              </w:rPr>
                              <w:t>rave n</w:t>
                            </w:r>
                            <w:r w:rsidRPr="00394E7F">
                              <w:rPr>
                                <w:rFonts w:ascii="Times New Roman" w:eastAsia="Times New Roman" w:hAnsi="Times New Roman" w:cs="Times New Roman"/>
                                <w:sz w:val="24"/>
                                <w:szCs w:val="24"/>
                                <w:lang w:val="hr-HR"/>
                              </w:rPr>
                              <w:t>ë</w:t>
                            </w:r>
                            <w:r w:rsidRPr="00394E7F">
                              <w:rPr>
                                <w:rFonts w:ascii="Times New Roman" w:eastAsia="Times New Roman" w:hAnsi="Times New Roman" w:cs="Times New Roman"/>
                                <w:sz w:val="24"/>
                                <w:szCs w:val="24"/>
                                <w:lang w:val="sq-AL"/>
                              </w:rPr>
                              <w:t xml:space="preserve"> t</w:t>
                            </w:r>
                            <w:r w:rsidRPr="00394E7F">
                              <w:rPr>
                                <w:rFonts w:ascii="Times New Roman" w:eastAsia="Times New Roman" w:hAnsi="Times New Roman" w:cs="Times New Roman"/>
                                <w:sz w:val="24"/>
                                <w:szCs w:val="24"/>
                                <w:lang w:val="hr-HR"/>
                              </w:rPr>
                              <w:t>ë</w:t>
                            </w:r>
                            <w:r w:rsidRPr="00394E7F">
                              <w:rPr>
                                <w:rFonts w:ascii="Times New Roman" w:eastAsia="Times New Roman" w:hAnsi="Times New Roman" w:cs="Times New Roman"/>
                                <w:sz w:val="24"/>
                                <w:szCs w:val="24"/>
                                <w:lang w:val="sq-AL"/>
                              </w:rPr>
                              <w:t xml:space="preserve"> gjitha pikat  e monitorimit.</w:t>
                            </w:r>
                            <w:r>
                              <w:rPr>
                                <w:rFonts w:ascii="Times New Roman" w:eastAsia="Times New Roman" w:hAnsi="Times New Roman" w:cs="Times New Roman"/>
                                <w:sz w:val="24"/>
                                <w:szCs w:val="24"/>
                                <w:lang w:val="sq-AL"/>
                              </w:rPr>
                              <w:t xml:space="preserve"> Nuk kemi stacione të kategorisë B</w:t>
                            </w:r>
                            <w:r>
                              <w:rPr>
                                <w:rFonts w:ascii="Times New Roman" w:eastAsia="Times New Roman" w:hAnsi="Times New Roman" w:cs="Times New Roman"/>
                                <w:noProof/>
                                <w:sz w:val="24"/>
                                <w:szCs w:val="24"/>
                                <w:lang w:val="it-IT"/>
                              </w:rPr>
                              <w:t>-Cilësi</w:t>
                            </w:r>
                            <w:r w:rsidRPr="0003275B">
                              <w:rPr>
                                <w:rFonts w:ascii="Times New Roman" w:eastAsia="Times New Roman" w:hAnsi="Times New Roman" w:cs="Times New Roman"/>
                                <w:noProof/>
                                <w:sz w:val="24"/>
                                <w:szCs w:val="24"/>
                                <w:lang w:val="it-IT"/>
                              </w:rPr>
                              <w:t xml:space="preserve"> e mir</w:t>
                            </w:r>
                            <w:r w:rsidRPr="0003275B">
                              <w:rPr>
                                <w:rFonts w:ascii="Times New Roman" w:eastAsia="Times New Roman" w:hAnsi="Times New Roman" w:cs="Times New Roman"/>
                                <w:bCs/>
                                <w:sz w:val="24"/>
                                <w:szCs w:val="24"/>
                                <w:lang w:val="sq-AL"/>
                              </w:rPr>
                              <w:t>ë</w:t>
                            </w:r>
                            <w:r>
                              <w:rPr>
                                <w:rFonts w:ascii="Times New Roman" w:eastAsia="Times New Roman" w:hAnsi="Times New Roman" w:cs="Times New Roman"/>
                                <w:bCs/>
                                <w:sz w:val="24"/>
                                <w:szCs w:val="24"/>
                                <w:lang w:val="sq-AL"/>
                              </w:rPr>
                              <w:t>,</w:t>
                            </w:r>
                            <w:r>
                              <w:rPr>
                                <w:rFonts w:ascii="Times New Roman" w:eastAsia="Times New Roman" w:hAnsi="Times New Roman" w:cs="Times New Roman"/>
                                <w:noProof/>
                                <w:sz w:val="24"/>
                                <w:szCs w:val="24"/>
                                <w:lang w:val="it-IT"/>
                              </w:rPr>
                              <w:t xml:space="preserve"> C- Cilësi e</w:t>
                            </w:r>
                            <w:r w:rsidRPr="0003275B">
                              <w:rPr>
                                <w:rFonts w:ascii="Times New Roman" w:eastAsia="Times New Roman" w:hAnsi="Times New Roman" w:cs="Times New Roman"/>
                                <w:noProof/>
                                <w:sz w:val="24"/>
                                <w:szCs w:val="24"/>
                                <w:lang w:val="it-IT"/>
                              </w:rPr>
                              <w:t xml:space="preserve"> mjaftueshme</w:t>
                            </w:r>
                            <w:r>
                              <w:rPr>
                                <w:rFonts w:ascii="Times New Roman" w:eastAsia="Times New Roman" w:hAnsi="Times New Roman" w:cs="Times New Roman"/>
                                <w:noProof/>
                                <w:sz w:val="24"/>
                                <w:szCs w:val="24"/>
                                <w:lang w:val="it-IT"/>
                              </w:rPr>
                              <w:t xml:space="preserve"> dhe D- Cilësi e keqe të ujërave.</w:t>
                            </w:r>
                          </w:p>
                          <w:p w:rsidR="0064059F" w:rsidRDefault="0064059F" w:rsidP="00F8650C">
                            <w:pPr>
                              <w:spacing w:after="0" w:line="240" w:lineRule="auto"/>
                              <w:jc w:val="both"/>
                              <w:rPr>
                                <w:rFonts w:ascii="Times New Roman" w:eastAsia="Times New Roman" w:hAnsi="Times New Roman" w:cs="Times New Roman"/>
                                <w:noProof/>
                                <w:sz w:val="24"/>
                                <w:szCs w:val="24"/>
                                <w:lang w:val="it-IT"/>
                              </w:rPr>
                            </w:pPr>
                            <w:r>
                              <w:rPr>
                                <w:rFonts w:ascii="Times New Roman" w:eastAsia="Times New Roman" w:hAnsi="Times New Roman" w:cs="Times New Roman"/>
                                <w:noProof/>
                                <w:sz w:val="24"/>
                                <w:szCs w:val="24"/>
                                <w:lang w:val="it-IT"/>
                              </w:rPr>
                              <w:t xml:space="preserve"> </w:t>
                            </w:r>
                          </w:p>
                          <w:p w:rsidR="0064059F" w:rsidRPr="00524355" w:rsidRDefault="0064059F" w:rsidP="00F8650C">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Kemi përmirësim në stacionet e kategorive B-</w:t>
                            </w:r>
                            <w:r>
                              <w:rPr>
                                <w:rFonts w:ascii="Times New Roman" w:eastAsia="Times New Roman" w:hAnsi="Times New Roman" w:cs="Times New Roman"/>
                                <w:noProof/>
                                <w:sz w:val="24"/>
                                <w:szCs w:val="24"/>
                                <w:lang w:val="it-IT"/>
                              </w:rPr>
                              <w:t xml:space="preserve"> Cilësi</w:t>
                            </w:r>
                            <w:r w:rsidRPr="0003275B">
                              <w:rPr>
                                <w:rFonts w:ascii="Times New Roman" w:eastAsia="Times New Roman" w:hAnsi="Times New Roman" w:cs="Times New Roman"/>
                                <w:noProof/>
                                <w:sz w:val="24"/>
                                <w:szCs w:val="24"/>
                                <w:lang w:val="it-IT"/>
                              </w:rPr>
                              <w:t xml:space="preserve"> e mir</w:t>
                            </w:r>
                            <w:r w:rsidRPr="0003275B">
                              <w:rPr>
                                <w:rFonts w:ascii="Times New Roman" w:eastAsia="Times New Roman" w:hAnsi="Times New Roman" w:cs="Times New Roman"/>
                                <w:bCs/>
                                <w:sz w:val="24"/>
                                <w:szCs w:val="24"/>
                                <w:lang w:val="sq-AL"/>
                              </w:rPr>
                              <w:t>ë</w:t>
                            </w:r>
                            <w:r>
                              <w:rPr>
                                <w:rFonts w:ascii="Times New Roman" w:eastAsia="Times New Roman" w:hAnsi="Times New Roman" w:cs="Times New Roman"/>
                                <w:bCs/>
                                <w:sz w:val="24"/>
                                <w:szCs w:val="24"/>
                                <w:lang w:val="sq-AL"/>
                              </w:rPr>
                              <w:t>,</w:t>
                            </w:r>
                            <w:r w:rsidRPr="0003275B">
                              <w:rPr>
                                <w:rFonts w:ascii="Times New Roman" w:eastAsia="Times New Roman" w:hAnsi="Times New Roman" w:cs="Times New Roman"/>
                                <w:noProof/>
                                <w:sz w:val="24"/>
                                <w:szCs w:val="24"/>
                                <w:lang w:val="it-IT"/>
                              </w:rPr>
                              <w:t xml:space="preserve"> C- Cilësisë së mjaftueshme</w:t>
                            </w:r>
                            <w:r>
                              <w:rPr>
                                <w:rFonts w:ascii="Times New Roman" w:eastAsia="Times New Roman" w:hAnsi="Times New Roman" w:cs="Times New Roman"/>
                                <w:noProof/>
                                <w:sz w:val="24"/>
                                <w:szCs w:val="24"/>
                                <w:lang w:val="it-IT"/>
                              </w:rPr>
                              <w:t xml:space="preserve"> dhe D- Cilësisë së keqe të ujërave krahasuar me vitet 2023-2024</w:t>
                            </w:r>
                          </w:p>
                          <w:p w:rsidR="0064059F" w:rsidRDefault="0064059F" w:rsidP="00DD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BD22B7" id="Rectangle 57" o:spid="_x0000_s1103" style="position:absolute;margin-left:256pt;margin-top:3.5pt;width:218.25pt;height:189.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" fillcolor="window" strokecolor="#70ad47" strokeweight="1pt">
                <v:textbox>
                  <w:txbxContent>
                    <w:p w:rsidR="0064059F" w:rsidRDefault="0064059F" w:rsidP="00F8650C">
                      <w:pPr>
                        <w:spacing w:after="0" w:line="240" w:lineRule="auto"/>
                        <w:jc w:val="both"/>
                        <w:rPr>
                          <w:rFonts w:ascii="Times New Roman" w:eastAsia="Times New Roman" w:hAnsi="Times New Roman" w:cs="Times New Roman"/>
                          <w:noProof/>
                          <w:sz w:val="24"/>
                          <w:szCs w:val="24"/>
                          <w:lang w:val="it-IT"/>
                        </w:rPr>
                      </w:pPr>
                      <w:r>
                        <w:rPr>
                          <w:rFonts w:ascii="Times New Roman" w:eastAsia="Times New Roman" w:hAnsi="Times New Roman" w:cs="Times New Roman"/>
                          <w:sz w:val="24"/>
                          <w:szCs w:val="24"/>
                          <w:lang w:val="sq-AL"/>
                        </w:rPr>
                        <w:t>K</w:t>
                      </w:r>
                      <w:r w:rsidRPr="00394E7F">
                        <w:rPr>
                          <w:rFonts w:ascii="Times New Roman" w:eastAsia="Times New Roman" w:hAnsi="Times New Roman" w:cs="Times New Roman"/>
                          <w:sz w:val="24"/>
                          <w:szCs w:val="24"/>
                          <w:lang w:val="sq-AL"/>
                        </w:rPr>
                        <w:t>ëto plazhe vlerësohen në kategorinë A</w:t>
                      </w:r>
                      <w:r w:rsidRPr="00394E7F">
                        <w:rPr>
                          <w:rFonts w:ascii="Times New Roman" w:eastAsia="Times New Roman" w:hAnsi="Times New Roman" w:cs="Times New Roman"/>
                          <w:sz w:val="24"/>
                          <w:szCs w:val="24"/>
                          <w:lang w:val="hr-HR"/>
                        </w:rPr>
                        <w:t xml:space="preserve">- </w:t>
                      </w:r>
                      <w:r w:rsidRPr="00394E7F">
                        <w:rPr>
                          <w:rFonts w:ascii="Times New Roman" w:eastAsia="Times New Roman" w:hAnsi="Times New Roman" w:cs="Times New Roman"/>
                          <w:sz w:val="24"/>
                          <w:szCs w:val="24"/>
                          <w:lang w:val="sq-AL"/>
                        </w:rPr>
                        <w:t>Cil</w:t>
                      </w:r>
                      <w:r w:rsidRPr="00394E7F">
                        <w:rPr>
                          <w:rFonts w:ascii="Times New Roman" w:eastAsia="Times New Roman" w:hAnsi="Times New Roman" w:cs="Times New Roman"/>
                          <w:sz w:val="24"/>
                          <w:szCs w:val="24"/>
                          <w:lang w:val="hr-HR"/>
                        </w:rPr>
                        <w:t>ë</w:t>
                      </w:r>
                      <w:r w:rsidRPr="00394E7F">
                        <w:rPr>
                          <w:rFonts w:ascii="Times New Roman" w:eastAsia="Times New Roman" w:hAnsi="Times New Roman" w:cs="Times New Roman"/>
                          <w:sz w:val="24"/>
                          <w:szCs w:val="24"/>
                          <w:lang w:val="sq-AL"/>
                        </w:rPr>
                        <w:t>si</w:t>
                      </w:r>
                      <w:r w:rsidRPr="00394E7F">
                        <w:rPr>
                          <w:rFonts w:ascii="Times New Roman" w:eastAsia="Times New Roman" w:hAnsi="Times New Roman" w:cs="Times New Roman"/>
                          <w:sz w:val="24"/>
                          <w:szCs w:val="24"/>
                          <w:lang w:val="hr-HR"/>
                        </w:rPr>
                        <w:t xml:space="preserve"> </w:t>
                      </w:r>
                      <w:r w:rsidRPr="00394E7F">
                        <w:rPr>
                          <w:rFonts w:ascii="Times New Roman" w:eastAsia="Times New Roman" w:hAnsi="Times New Roman" w:cs="Times New Roman"/>
                          <w:sz w:val="24"/>
                          <w:szCs w:val="24"/>
                          <w:lang w:val="sq-AL"/>
                        </w:rPr>
                        <w:t>e shk</w:t>
                      </w:r>
                      <w:r w:rsidRPr="00394E7F">
                        <w:rPr>
                          <w:rFonts w:ascii="Times New Roman" w:eastAsia="Times New Roman" w:hAnsi="Times New Roman" w:cs="Times New Roman"/>
                          <w:sz w:val="24"/>
                          <w:szCs w:val="24"/>
                          <w:lang w:val="hr-HR"/>
                        </w:rPr>
                        <w:t>ë</w:t>
                      </w:r>
                      <w:r w:rsidRPr="00394E7F">
                        <w:rPr>
                          <w:rFonts w:ascii="Times New Roman" w:eastAsia="Times New Roman" w:hAnsi="Times New Roman" w:cs="Times New Roman"/>
                          <w:sz w:val="24"/>
                          <w:szCs w:val="24"/>
                          <w:lang w:val="sq-AL"/>
                        </w:rPr>
                        <w:t>lqyer e</w:t>
                      </w:r>
                      <w:r w:rsidRPr="00394E7F">
                        <w:rPr>
                          <w:rFonts w:ascii="Times New Roman" w:eastAsia="Times New Roman" w:hAnsi="Times New Roman" w:cs="Times New Roman"/>
                          <w:sz w:val="24"/>
                          <w:szCs w:val="24"/>
                          <w:lang w:val="hr-HR"/>
                        </w:rPr>
                        <w:t xml:space="preserve"> </w:t>
                      </w:r>
                      <w:r w:rsidRPr="00394E7F">
                        <w:rPr>
                          <w:rFonts w:ascii="Times New Roman" w:eastAsia="Times New Roman" w:hAnsi="Times New Roman" w:cs="Times New Roman"/>
                          <w:sz w:val="24"/>
                          <w:szCs w:val="24"/>
                          <w:lang w:val="sq-AL"/>
                        </w:rPr>
                        <w:t>uj</w:t>
                      </w:r>
                      <w:r w:rsidRPr="00394E7F">
                        <w:rPr>
                          <w:rFonts w:ascii="Times New Roman" w:eastAsia="Times New Roman" w:hAnsi="Times New Roman" w:cs="Times New Roman"/>
                          <w:sz w:val="24"/>
                          <w:szCs w:val="24"/>
                          <w:lang w:val="hr-HR"/>
                        </w:rPr>
                        <w:t>ë</w:t>
                      </w:r>
                      <w:r w:rsidRPr="00394E7F">
                        <w:rPr>
                          <w:rFonts w:ascii="Times New Roman" w:eastAsia="Times New Roman" w:hAnsi="Times New Roman" w:cs="Times New Roman"/>
                          <w:sz w:val="24"/>
                          <w:szCs w:val="24"/>
                          <w:lang w:val="sq-AL"/>
                        </w:rPr>
                        <w:t>rave n</w:t>
                      </w:r>
                      <w:r w:rsidRPr="00394E7F">
                        <w:rPr>
                          <w:rFonts w:ascii="Times New Roman" w:eastAsia="Times New Roman" w:hAnsi="Times New Roman" w:cs="Times New Roman"/>
                          <w:sz w:val="24"/>
                          <w:szCs w:val="24"/>
                          <w:lang w:val="hr-HR"/>
                        </w:rPr>
                        <w:t>ë</w:t>
                      </w:r>
                      <w:r w:rsidRPr="00394E7F">
                        <w:rPr>
                          <w:rFonts w:ascii="Times New Roman" w:eastAsia="Times New Roman" w:hAnsi="Times New Roman" w:cs="Times New Roman"/>
                          <w:sz w:val="24"/>
                          <w:szCs w:val="24"/>
                          <w:lang w:val="sq-AL"/>
                        </w:rPr>
                        <w:t xml:space="preserve"> t</w:t>
                      </w:r>
                      <w:r w:rsidRPr="00394E7F">
                        <w:rPr>
                          <w:rFonts w:ascii="Times New Roman" w:eastAsia="Times New Roman" w:hAnsi="Times New Roman" w:cs="Times New Roman"/>
                          <w:sz w:val="24"/>
                          <w:szCs w:val="24"/>
                          <w:lang w:val="hr-HR"/>
                        </w:rPr>
                        <w:t>ë</w:t>
                      </w:r>
                      <w:r w:rsidRPr="00394E7F">
                        <w:rPr>
                          <w:rFonts w:ascii="Times New Roman" w:eastAsia="Times New Roman" w:hAnsi="Times New Roman" w:cs="Times New Roman"/>
                          <w:sz w:val="24"/>
                          <w:szCs w:val="24"/>
                          <w:lang w:val="sq-AL"/>
                        </w:rPr>
                        <w:t xml:space="preserve"> gjitha pikat  e monitorimit.</w:t>
                      </w:r>
                      <w:r>
                        <w:rPr>
                          <w:rFonts w:ascii="Times New Roman" w:eastAsia="Times New Roman" w:hAnsi="Times New Roman" w:cs="Times New Roman"/>
                          <w:sz w:val="24"/>
                          <w:szCs w:val="24"/>
                          <w:lang w:val="sq-AL"/>
                        </w:rPr>
                        <w:t xml:space="preserve"> Nuk kemi stacione të kategorisë B</w:t>
                      </w:r>
                      <w:r>
                        <w:rPr>
                          <w:rFonts w:ascii="Times New Roman" w:eastAsia="Times New Roman" w:hAnsi="Times New Roman" w:cs="Times New Roman"/>
                          <w:noProof/>
                          <w:sz w:val="24"/>
                          <w:szCs w:val="24"/>
                          <w:lang w:val="it-IT"/>
                        </w:rPr>
                        <w:t>-Cilësi</w:t>
                      </w:r>
                      <w:r w:rsidRPr="0003275B">
                        <w:rPr>
                          <w:rFonts w:ascii="Times New Roman" w:eastAsia="Times New Roman" w:hAnsi="Times New Roman" w:cs="Times New Roman"/>
                          <w:noProof/>
                          <w:sz w:val="24"/>
                          <w:szCs w:val="24"/>
                          <w:lang w:val="it-IT"/>
                        </w:rPr>
                        <w:t xml:space="preserve"> e mir</w:t>
                      </w:r>
                      <w:r w:rsidRPr="0003275B">
                        <w:rPr>
                          <w:rFonts w:ascii="Times New Roman" w:eastAsia="Times New Roman" w:hAnsi="Times New Roman" w:cs="Times New Roman"/>
                          <w:bCs/>
                          <w:sz w:val="24"/>
                          <w:szCs w:val="24"/>
                          <w:lang w:val="sq-AL"/>
                        </w:rPr>
                        <w:t>ë</w:t>
                      </w:r>
                      <w:r>
                        <w:rPr>
                          <w:rFonts w:ascii="Times New Roman" w:eastAsia="Times New Roman" w:hAnsi="Times New Roman" w:cs="Times New Roman"/>
                          <w:bCs/>
                          <w:sz w:val="24"/>
                          <w:szCs w:val="24"/>
                          <w:lang w:val="sq-AL"/>
                        </w:rPr>
                        <w:t>,</w:t>
                      </w:r>
                      <w:r>
                        <w:rPr>
                          <w:rFonts w:ascii="Times New Roman" w:eastAsia="Times New Roman" w:hAnsi="Times New Roman" w:cs="Times New Roman"/>
                          <w:noProof/>
                          <w:sz w:val="24"/>
                          <w:szCs w:val="24"/>
                          <w:lang w:val="it-IT"/>
                        </w:rPr>
                        <w:t xml:space="preserve"> C- Cilësi e</w:t>
                      </w:r>
                      <w:r w:rsidRPr="0003275B">
                        <w:rPr>
                          <w:rFonts w:ascii="Times New Roman" w:eastAsia="Times New Roman" w:hAnsi="Times New Roman" w:cs="Times New Roman"/>
                          <w:noProof/>
                          <w:sz w:val="24"/>
                          <w:szCs w:val="24"/>
                          <w:lang w:val="it-IT"/>
                        </w:rPr>
                        <w:t xml:space="preserve"> mjaftueshme</w:t>
                      </w:r>
                      <w:r>
                        <w:rPr>
                          <w:rFonts w:ascii="Times New Roman" w:eastAsia="Times New Roman" w:hAnsi="Times New Roman" w:cs="Times New Roman"/>
                          <w:noProof/>
                          <w:sz w:val="24"/>
                          <w:szCs w:val="24"/>
                          <w:lang w:val="it-IT"/>
                        </w:rPr>
                        <w:t xml:space="preserve"> dhe D- Cilësi e keqe të ujërave.</w:t>
                      </w:r>
                    </w:p>
                    <w:p w:rsidR="0064059F" w:rsidRDefault="0064059F" w:rsidP="00F8650C">
                      <w:pPr>
                        <w:spacing w:after="0" w:line="240" w:lineRule="auto"/>
                        <w:jc w:val="both"/>
                        <w:rPr>
                          <w:rFonts w:ascii="Times New Roman" w:eastAsia="Times New Roman" w:hAnsi="Times New Roman" w:cs="Times New Roman"/>
                          <w:noProof/>
                          <w:sz w:val="24"/>
                          <w:szCs w:val="24"/>
                          <w:lang w:val="it-IT"/>
                        </w:rPr>
                      </w:pPr>
                      <w:r>
                        <w:rPr>
                          <w:rFonts w:ascii="Times New Roman" w:eastAsia="Times New Roman" w:hAnsi="Times New Roman" w:cs="Times New Roman"/>
                          <w:noProof/>
                          <w:sz w:val="24"/>
                          <w:szCs w:val="24"/>
                          <w:lang w:val="it-IT"/>
                        </w:rPr>
                        <w:t xml:space="preserve"> </w:t>
                      </w:r>
                    </w:p>
                    <w:p w:rsidR="0064059F" w:rsidRPr="00524355" w:rsidRDefault="0064059F" w:rsidP="00F8650C">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Kemi përmirësim në stacionet e kategorive B-</w:t>
                      </w:r>
                      <w:r>
                        <w:rPr>
                          <w:rFonts w:ascii="Times New Roman" w:eastAsia="Times New Roman" w:hAnsi="Times New Roman" w:cs="Times New Roman"/>
                          <w:noProof/>
                          <w:sz w:val="24"/>
                          <w:szCs w:val="24"/>
                          <w:lang w:val="it-IT"/>
                        </w:rPr>
                        <w:t xml:space="preserve"> Cilësi</w:t>
                      </w:r>
                      <w:r w:rsidRPr="0003275B">
                        <w:rPr>
                          <w:rFonts w:ascii="Times New Roman" w:eastAsia="Times New Roman" w:hAnsi="Times New Roman" w:cs="Times New Roman"/>
                          <w:noProof/>
                          <w:sz w:val="24"/>
                          <w:szCs w:val="24"/>
                          <w:lang w:val="it-IT"/>
                        </w:rPr>
                        <w:t xml:space="preserve"> e mir</w:t>
                      </w:r>
                      <w:r w:rsidRPr="0003275B">
                        <w:rPr>
                          <w:rFonts w:ascii="Times New Roman" w:eastAsia="Times New Roman" w:hAnsi="Times New Roman" w:cs="Times New Roman"/>
                          <w:bCs/>
                          <w:sz w:val="24"/>
                          <w:szCs w:val="24"/>
                          <w:lang w:val="sq-AL"/>
                        </w:rPr>
                        <w:t>ë</w:t>
                      </w:r>
                      <w:r>
                        <w:rPr>
                          <w:rFonts w:ascii="Times New Roman" w:eastAsia="Times New Roman" w:hAnsi="Times New Roman" w:cs="Times New Roman"/>
                          <w:bCs/>
                          <w:sz w:val="24"/>
                          <w:szCs w:val="24"/>
                          <w:lang w:val="sq-AL"/>
                        </w:rPr>
                        <w:t>,</w:t>
                      </w:r>
                      <w:r w:rsidRPr="0003275B">
                        <w:rPr>
                          <w:rFonts w:ascii="Times New Roman" w:eastAsia="Times New Roman" w:hAnsi="Times New Roman" w:cs="Times New Roman"/>
                          <w:noProof/>
                          <w:sz w:val="24"/>
                          <w:szCs w:val="24"/>
                          <w:lang w:val="it-IT"/>
                        </w:rPr>
                        <w:t xml:space="preserve"> C- Cilësisë së mjaftueshme</w:t>
                      </w:r>
                      <w:r>
                        <w:rPr>
                          <w:rFonts w:ascii="Times New Roman" w:eastAsia="Times New Roman" w:hAnsi="Times New Roman" w:cs="Times New Roman"/>
                          <w:noProof/>
                          <w:sz w:val="24"/>
                          <w:szCs w:val="24"/>
                          <w:lang w:val="it-IT"/>
                        </w:rPr>
                        <w:t xml:space="preserve"> dhe D- Cilësisë së keqe të ujërave krahasuar me vitet 2023-2024</w:t>
                      </w:r>
                    </w:p>
                    <w:p w:rsidR="0064059F" w:rsidRDefault="0064059F" w:rsidP="00DD196F">
                      <w:pPr>
                        <w:jc w:val="center"/>
                      </w:pPr>
                    </w:p>
                  </w:txbxContent>
                </v:textbox>
              </v:rect>
            </w:pict>
          </mc:Fallback>
        </mc:AlternateContent>
      </w:r>
      <w:r w:rsidRPr="00DD196F">
        <w:rPr>
          <w:rFonts w:ascii="Times New Roman" w:eastAsiaTheme="minorEastAsia" w:hAnsi="Times New Roman" w:cs="Times New Roman"/>
          <w:noProof/>
          <w:sz w:val="24"/>
          <w:szCs w:val="24"/>
        </w:rPr>
        <w:drawing>
          <wp:inline distT="0" distB="0" distL="0" distR="0" wp14:anchorId="1F8CF1E5" wp14:editId="7D28932A">
            <wp:extent cx="2943225" cy="25146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943225" cy="2514600"/>
                    </a:xfrm>
                    <a:prstGeom prst="rect">
                      <a:avLst/>
                    </a:prstGeom>
                    <a:noFill/>
                  </pic:spPr>
                </pic:pic>
              </a:graphicData>
            </a:graphic>
          </wp:inline>
        </w:drawing>
      </w:r>
    </w:p>
    <w:p w:rsidR="00F8650C" w:rsidRDefault="00DD196F" w:rsidP="00F8650C">
      <w:pPr>
        <w:spacing w:after="0" w:line="240" w:lineRule="auto"/>
        <w:jc w:val="both"/>
        <w:rPr>
          <w:rFonts w:ascii="Times New Roman" w:eastAsia="Times New Roman" w:hAnsi="Times New Roman" w:cs="Times New Roman"/>
          <w:sz w:val="24"/>
          <w:szCs w:val="24"/>
          <w:lang w:val="sq-AL"/>
        </w:rPr>
      </w:pPr>
      <w:r w:rsidRPr="00DD196F">
        <w:rPr>
          <w:rFonts w:ascii="Times New Roman" w:eastAsia="Times New Roman" w:hAnsi="Times New Roman" w:cs="Times New Roman"/>
          <w:sz w:val="24"/>
          <w:szCs w:val="24"/>
          <w:lang w:val="sq-AL"/>
        </w:rPr>
        <w:t>PLAZHI I BORSHIT</w:t>
      </w:r>
      <w:r w:rsidRPr="00F8650C">
        <w:rPr>
          <w:rFonts w:ascii="Times New Roman" w:eastAsia="Times New Roman" w:hAnsi="Times New Roman" w:cs="Times New Roman"/>
          <w:b/>
          <w:sz w:val="24"/>
          <w:szCs w:val="24"/>
          <w:lang w:val="sq-AL"/>
        </w:rPr>
        <w:t>:</w:t>
      </w:r>
      <w:r w:rsidRPr="00DD196F">
        <w:rPr>
          <w:rFonts w:ascii="Times New Roman" w:eastAsia="Times New Roman" w:hAnsi="Times New Roman" w:cs="Times New Roman"/>
          <w:sz w:val="24"/>
          <w:szCs w:val="24"/>
          <w:lang w:val="sq-AL"/>
        </w:rPr>
        <w:t xml:space="preserve"> </w:t>
      </w:r>
      <w:r w:rsidRPr="00DD196F">
        <w:rPr>
          <w:rFonts w:ascii="Times New Roman" w:eastAsia="Calibri" w:hAnsi="Times New Roman" w:cs="Times New Roman"/>
          <w:noProof/>
          <w:sz w:val="24"/>
          <w:szCs w:val="24"/>
          <w:lang w:val="sq-AL"/>
        </w:rPr>
        <w:t xml:space="preserve">Plazhet e Borshit përgjithësisht, ato që administrohen nga privatët, kishin krijuar kushte të përshtatshme me </w:t>
      </w:r>
      <w:r w:rsidRPr="00DD196F">
        <w:rPr>
          <w:rFonts w:ascii="Times New Roman" w:eastAsia="Times New Roman" w:hAnsi="Times New Roman" w:cs="Times New Roman"/>
          <w:sz w:val="24"/>
          <w:szCs w:val="24"/>
          <w:lang w:val="sq-AL"/>
        </w:rPr>
        <w:t>prezenc</w:t>
      </w:r>
      <w:r w:rsidRPr="00DD196F">
        <w:rPr>
          <w:rFonts w:ascii="Times New Roman" w:eastAsia="Calibri" w:hAnsi="Times New Roman" w:cs="Times New Roman"/>
          <w:noProof/>
          <w:sz w:val="24"/>
          <w:szCs w:val="24"/>
          <w:lang w:val="sq-AL"/>
        </w:rPr>
        <w:t>ë</w:t>
      </w:r>
      <w:r w:rsidRPr="00DD196F">
        <w:rPr>
          <w:rFonts w:ascii="Times New Roman" w:eastAsia="Times New Roman" w:hAnsi="Times New Roman" w:cs="Times New Roman"/>
          <w:sz w:val="24"/>
          <w:szCs w:val="24"/>
          <w:lang w:val="sq-AL"/>
        </w:rPr>
        <w:t xml:space="preserve"> t</w:t>
      </w:r>
      <w:r w:rsidRPr="00DD196F">
        <w:rPr>
          <w:rFonts w:ascii="Times New Roman" w:eastAsia="Calibri" w:hAnsi="Times New Roman" w:cs="Times New Roman"/>
          <w:noProof/>
          <w:sz w:val="24"/>
          <w:szCs w:val="24"/>
          <w:lang w:val="sq-AL"/>
        </w:rPr>
        <w:t>ë</w:t>
      </w:r>
      <w:r w:rsidRPr="00DD196F">
        <w:rPr>
          <w:rFonts w:ascii="Times New Roman" w:eastAsia="Times New Roman" w:hAnsi="Times New Roman" w:cs="Times New Roman"/>
          <w:sz w:val="24"/>
          <w:szCs w:val="24"/>
          <w:lang w:val="sq-AL"/>
        </w:rPr>
        <w:t xml:space="preserve"> dusheve, koshave t</w:t>
      </w:r>
      <w:r w:rsidRPr="00DD196F">
        <w:rPr>
          <w:rFonts w:ascii="Times New Roman" w:eastAsia="Calibri" w:hAnsi="Times New Roman" w:cs="Times New Roman"/>
          <w:noProof/>
          <w:sz w:val="24"/>
          <w:szCs w:val="24"/>
          <w:lang w:val="sq-AL"/>
        </w:rPr>
        <w:t>ë</w:t>
      </w:r>
      <w:r w:rsidRPr="00DD196F">
        <w:rPr>
          <w:rFonts w:ascii="Times New Roman" w:eastAsia="Times New Roman" w:hAnsi="Times New Roman" w:cs="Times New Roman"/>
          <w:sz w:val="24"/>
          <w:szCs w:val="24"/>
          <w:lang w:val="sq-AL"/>
        </w:rPr>
        <w:t xml:space="preserve"> mbeturinave, dhoma për ndërrimin e veshjeve</w:t>
      </w:r>
      <w:r w:rsidRPr="00DD196F">
        <w:rPr>
          <w:rFonts w:ascii="Times New Roman" w:eastAsia="Calibri" w:hAnsi="Times New Roman" w:cs="Times New Roman"/>
          <w:sz w:val="24"/>
          <w:szCs w:val="24"/>
          <w:lang w:val="sq-AL"/>
        </w:rPr>
        <w:t>, kulla vrojtimi dhe afishimi i rregullave p</w:t>
      </w:r>
      <w:r w:rsidRPr="00DD196F">
        <w:rPr>
          <w:rFonts w:ascii="Times New Roman" w:eastAsia="Times New Roman" w:hAnsi="Times New Roman" w:cs="Times New Roman"/>
          <w:sz w:val="24"/>
          <w:szCs w:val="24"/>
          <w:lang w:val="sq-AL"/>
        </w:rPr>
        <w:t>ë</w:t>
      </w:r>
      <w:r w:rsidRPr="00DD196F">
        <w:rPr>
          <w:rFonts w:ascii="Times New Roman" w:eastAsia="Calibri" w:hAnsi="Times New Roman" w:cs="Times New Roman"/>
          <w:sz w:val="24"/>
          <w:szCs w:val="24"/>
          <w:lang w:val="sq-AL"/>
        </w:rPr>
        <w:t xml:space="preserve">r zbatim nga frekuentuesit e plazheve. </w:t>
      </w:r>
      <w:r w:rsidRPr="00DD196F">
        <w:rPr>
          <w:rFonts w:ascii="Times New Roman" w:eastAsia="Times New Roman" w:hAnsi="Times New Roman" w:cs="Times New Roman"/>
          <w:sz w:val="24"/>
          <w:szCs w:val="24"/>
          <w:lang w:val="sq-AL"/>
        </w:rPr>
        <w:t>Në plazhin e Borshit konstatohet derdhja në det e kanaleve më ujëra sipërfaqësore. Kanali kryesor në mes tani është mbushur me zhavor dhe nuk derdhet direkt në det. Nga pika e parë e monitorimit djathtas e deri në dr</w:t>
      </w:r>
      <w:r w:rsidR="00F8650C">
        <w:rPr>
          <w:rFonts w:ascii="Times New Roman" w:eastAsia="Times New Roman" w:hAnsi="Times New Roman" w:cs="Times New Roman"/>
          <w:sz w:val="24"/>
          <w:szCs w:val="24"/>
          <w:lang w:val="sq-AL"/>
        </w:rPr>
        <w:t>ejtim me rrugën kryesore (hyrja</w:t>
      </w:r>
      <w:r w:rsidRPr="00DD196F">
        <w:rPr>
          <w:rFonts w:ascii="Times New Roman" w:eastAsia="Times New Roman" w:hAnsi="Times New Roman" w:cs="Times New Roman"/>
          <w:sz w:val="24"/>
          <w:szCs w:val="24"/>
          <w:lang w:val="sq-AL"/>
        </w:rPr>
        <w:t xml:space="preserve">) ndodhen 3 kanale të hapura që derdhen direkt në det. </w:t>
      </w:r>
    </w:p>
    <w:p w:rsidR="00DD196F" w:rsidRPr="00DD196F" w:rsidRDefault="00DD196F" w:rsidP="00F8650C">
      <w:pPr>
        <w:spacing w:after="0" w:line="240" w:lineRule="auto"/>
        <w:jc w:val="both"/>
        <w:rPr>
          <w:rFonts w:ascii="Times New Roman" w:eastAsia="Times New Roman" w:hAnsi="Times New Roman" w:cs="Times New Roman"/>
          <w:sz w:val="24"/>
          <w:szCs w:val="24"/>
          <w:lang w:val="sq-AL"/>
        </w:rPr>
      </w:pPr>
      <w:r w:rsidRPr="00DD196F">
        <w:rPr>
          <w:rFonts w:ascii="Times New Roman" w:eastAsia="Times New Roman" w:hAnsi="Times New Roman" w:cs="Times New Roman"/>
          <w:sz w:val="24"/>
          <w:szCs w:val="24"/>
          <w:lang w:val="sq-AL"/>
        </w:rPr>
        <w:t xml:space="preserve">Në fund majtas u </w:t>
      </w:r>
      <w:r w:rsidRPr="00DD196F">
        <w:rPr>
          <w:rFonts w:ascii="Times New Roman" w:eastAsia="Times New Roman" w:hAnsi="Times New Roman" w:cs="Times New Roman"/>
          <w:sz w:val="24"/>
          <w:szCs w:val="24"/>
        </w:rPr>
        <w:t>konstatua n</w:t>
      </w:r>
      <w:r w:rsidRPr="00DD196F">
        <w:rPr>
          <w:rFonts w:ascii="Times New Roman" w:eastAsia="Times New Roman" w:hAnsi="Times New Roman" w:cs="Times New Roman"/>
          <w:sz w:val="24"/>
          <w:szCs w:val="24"/>
          <w:lang w:val="sq-AL"/>
        </w:rPr>
        <w:t>ë</w:t>
      </w:r>
      <w:r w:rsidRPr="00DD196F">
        <w:rPr>
          <w:rFonts w:ascii="Times New Roman" w:eastAsia="Times New Roman" w:hAnsi="Times New Roman" w:cs="Times New Roman"/>
          <w:sz w:val="24"/>
          <w:szCs w:val="24"/>
        </w:rPr>
        <w:t xml:space="preserve"> serit</w:t>
      </w:r>
      <w:r w:rsidRPr="00DD196F">
        <w:rPr>
          <w:rFonts w:ascii="Times New Roman" w:eastAsia="Times New Roman" w:hAnsi="Times New Roman" w:cs="Times New Roman"/>
          <w:sz w:val="24"/>
          <w:szCs w:val="24"/>
          <w:lang w:val="sq-AL"/>
        </w:rPr>
        <w:t>ë</w:t>
      </w:r>
      <w:r w:rsidRPr="00DD196F">
        <w:rPr>
          <w:rFonts w:ascii="Times New Roman" w:eastAsia="Times New Roman" w:hAnsi="Times New Roman" w:cs="Times New Roman"/>
          <w:sz w:val="24"/>
          <w:szCs w:val="24"/>
        </w:rPr>
        <w:t xml:space="preserve"> e para</w:t>
      </w:r>
      <w:r w:rsidRPr="00DD196F">
        <w:rPr>
          <w:rFonts w:ascii="Times New Roman" w:eastAsia="Times New Roman" w:hAnsi="Times New Roman" w:cs="Times New Roman"/>
          <w:sz w:val="24"/>
          <w:szCs w:val="24"/>
          <w:lang w:val="sq-AL"/>
        </w:rPr>
        <w:t xml:space="preserve"> një tub i madh që shkon në det, </w:t>
      </w:r>
      <w:r w:rsidRPr="00DD196F">
        <w:rPr>
          <w:rFonts w:ascii="Times New Roman" w:eastAsia="Times New Roman" w:hAnsi="Times New Roman" w:cs="Times New Roman"/>
          <w:sz w:val="24"/>
          <w:szCs w:val="24"/>
        </w:rPr>
        <w:t>kanali më ujëra sipërfaqësorë ngjitur majtas me restorant Jurgen, kanali deri në gjysmën e tij ishte i mbuluar pastaj derdhen ujërat në sipërfaqe deri në det, pa erë të rëndë në mjedis</w:t>
      </w:r>
      <w:r w:rsidR="00F8650C">
        <w:rPr>
          <w:rFonts w:ascii="Times New Roman" w:eastAsia="Times New Roman" w:hAnsi="Times New Roman" w:cs="Times New Roman"/>
          <w:sz w:val="24"/>
          <w:szCs w:val="24"/>
        </w:rPr>
        <w:t>,</w:t>
      </w:r>
      <w:r w:rsidRPr="00DD196F">
        <w:rPr>
          <w:rFonts w:ascii="Times New Roman" w:eastAsia="Times New Roman" w:hAnsi="Times New Roman" w:cs="Times New Roman"/>
          <w:sz w:val="24"/>
          <w:szCs w:val="24"/>
        </w:rPr>
        <w:t xml:space="preserve"> i cili u mbulua në seritë e mëvonshme. Për shkak të pozicionimit të këtyre plazheve pranë subjekteve private, nevojat sanitare për tualete përmbushen në këto subjekte</w:t>
      </w:r>
      <w:r w:rsidRPr="00DD196F">
        <w:rPr>
          <w:rFonts w:ascii="Times New Roman" w:eastAsia="Times New Roman" w:hAnsi="Times New Roman" w:cs="Times New Roman"/>
          <w:sz w:val="24"/>
          <w:szCs w:val="24"/>
          <w:lang w:val="sq-AL"/>
        </w:rPr>
        <w:t xml:space="preserve">. </w:t>
      </w:r>
      <w:r w:rsidRPr="00DD196F">
        <w:rPr>
          <w:rFonts w:ascii="Times New Roman" w:eastAsia="Times New Roman" w:hAnsi="Times New Roman" w:cs="Times New Roman"/>
          <w:sz w:val="24"/>
          <w:szCs w:val="24"/>
          <w:lang w:val="it-IT"/>
        </w:rPr>
        <w:t>Gjat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muajve Korrik e Gusht u konstatua shtim i numrit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frekuentuesve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plazheve. </w:t>
      </w:r>
      <w:r w:rsidRPr="00DD196F">
        <w:rPr>
          <w:rFonts w:ascii="Times New Roman" w:eastAsia="Times New Roman" w:hAnsi="Times New Roman" w:cs="Times New Roman"/>
          <w:noProof/>
          <w:sz w:val="24"/>
          <w:szCs w:val="24"/>
          <w:lang w:val="sq-AL"/>
        </w:rPr>
        <w:t>Referuar</w:t>
      </w:r>
      <w:r w:rsidRPr="00DD196F">
        <w:rPr>
          <w:rFonts w:ascii="Times New Roman" w:eastAsia="Times New Roman" w:hAnsi="Times New Roman" w:cs="Times New Roman"/>
          <w:sz w:val="24"/>
          <w:szCs w:val="24"/>
          <w:lang w:val="it-IT"/>
        </w:rPr>
        <w:t xml:space="preserve"> rezultateve </w:t>
      </w:r>
      <w:r w:rsidRPr="00DD196F">
        <w:rPr>
          <w:rFonts w:ascii="Times New Roman" w:eastAsia="Calibri" w:hAnsi="Times New Roman" w:cs="Times New Roman"/>
          <w:sz w:val="24"/>
          <w:szCs w:val="24"/>
          <w:lang w:val="it-IT"/>
        </w:rPr>
        <w:t xml:space="preserve">të analizave </w:t>
      </w:r>
      <w:r w:rsidRPr="00DD196F">
        <w:rPr>
          <w:rFonts w:ascii="Times New Roman" w:eastAsia="Times New Roman" w:hAnsi="Times New Roman" w:cs="Times New Roman"/>
          <w:sz w:val="24"/>
          <w:szCs w:val="24"/>
          <w:lang w:val="it-IT"/>
        </w:rPr>
        <w:t xml:space="preserve">bakteriologjike </w:t>
      </w:r>
      <w:r w:rsidRPr="00DD196F">
        <w:rPr>
          <w:rFonts w:ascii="Times New Roman" w:eastAsia="Times New Roman" w:hAnsi="Times New Roman" w:cs="Times New Roman"/>
          <w:sz w:val="24"/>
          <w:szCs w:val="24"/>
          <w:lang w:val="sq-AL"/>
        </w:rPr>
        <w:t>këto plazhe vlerësohen në kategorinë A</w:t>
      </w:r>
      <w:r w:rsidRPr="00DD196F">
        <w:rPr>
          <w:rFonts w:ascii="Times New Roman" w:eastAsia="Times New Roman" w:hAnsi="Times New Roman" w:cs="Times New Roman"/>
          <w:sz w:val="24"/>
          <w:szCs w:val="24"/>
          <w:lang w:val="hr-HR"/>
        </w:rPr>
        <w:t xml:space="preserve">- </w:t>
      </w:r>
      <w:r w:rsidRPr="00DD196F">
        <w:rPr>
          <w:rFonts w:ascii="Times New Roman" w:eastAsia="Times New Roman" w:hAnsi="Times New Roman" w:cs="Times New Roman"/>
          <w:sz w:val="24"/>
          <w:szCs w:val="24"/>
          <w:lang w:val="sq-AL"/>
        </w:rPr>
        <w:t>Cil</w:t>
      </w:r>
      <w:r w:rsidRPr="00DD196F">
        <w:rPr>
          <w:rFonts w:ascii="Times New Roman" w:eastAsia="Times New Roman" w:hAnsi="Times New Roman" w:cs="Times New Roman"/>
          <w:sz w:val="24"/>
          <w:szCs w:val="24"/>
          <w:lang w:val="hr-HR"/>
        </w:rPr>
        <w:t>ë</w:t>
      </w:r>
      <w:r w:rsidRPr="00DD196F">
        <w:rPr>
          <w:rFonts w:ascii="Times New Roman" w:eastAsia="Times New Roman" w:hAnsi="Times New Roman" w:cs="Times New Roman"/>
          <w:sz w:val="24"/>
          <w:szCs w:val="24"/>
          <w:lang w:val="sq-AL"/>
        </w:rPr>
        <w:t>si</w:t>
      </w:r>
      <w:r w:rsidRPr="00DD196F">
        <w:rPr>
          <w:rFonts w:ascii="Times New Roman" w:eastAsia="Times New Roman" w:hAnsi="Times New Roman" w:cs="Times New Roman"/>
          <w:sz w:val="24"/>
          <w:szCs w:val="24"/>
          <w:lang w:val="hr-HR"/>
        </w:rPr>
        <w:t xml:space="preserve"> </w:t>
      </w:r>
      <w:r w:rsidRPr="00DD196F">
        <w:rPr>
          <w:rFonts w:ascii="Times New Roman" w:eastAsia="Times New Roman" w:hAnsi="Times New Roman" w:cs="Times New Roman"/>
          <w:sz w:val="24"/>
          <w:szCs w:val="24"/>
          <w:lang w:val="sq-AL"/>
        </w:rPr>
        <w:t>e shk</w:t>
      </w:r>
      <w:r w:rsidRPr="00DD196F">
        <w:rPr>
          <w:rFonts w:ascii="Times New Roman" w:eastAsia="Times New Roman" w:hAnsi="Times New Roman" w:cs="Times New Roman"/>
          <w:sz w:val="24"/>
          <w:szCs w:val="24"/>
          <w:lang w:val="hr-HR"/>
        </w:rPr>
        <w:t>ë</w:t>
      </w:r>
      <w:r w:rsidRPr="00DD196F">
        <w:rPr>
          <w:rFonts w:ascii="Times New Roman" w:eastAsia="Times New Roman" w:hAnsi="Times New Roman" w:cs="Times New Roman"/>
          <w:sz w:val="24"/>
          <w:szCs w:val="24"/>
          <w:lang w:val="sq-AL"/>
        </w:rPr>
        <w:t>lqyer e</w:t>
      </w:r>
      <w:r w:rsidRPr="00DD196F">
        <w:rPr>
          <w:rFonts w:ascii="Times New Roman" w:eastAsia="Times New Roman" w:hAnsi="Times New Roman" w:cs="Times New Roman"/>
          <w:sz w:val="24"/>
          <w:szCs w:val="24"/>
          <w:lang w:val="hr-HR"/>
        </w:rPr>
        <w:t xml:space="preserve"> </w:t>
      </w:r>
      <w:r w:rsidRPr="00DD196F">
        <w:rPr>
          <w:rFonts w:ascii="Times New Roman" w:eastAsia="Times New Roman" w:hAnsi="Times New Roman" w:cs="Times New Roman"/>
          <w:sz w:val="24"/>
          <w:szCs w:val="24"/>
          <w:lang w:val="sq-AL"/>
        </w:rPr>
        <w:t>uj</w:t>
      </w:r>
      <w:r w:rsidRPr="00DD196F">
        <w:rPr>
          <w:rFonts w:ascii="Times New Roman" w:eastAsia="Times New Roman" w:hAnsi="Times New Roman" w:cs="Times New Roman"/>
          <w:sz w:val="24"/>
          <w:szCs w:val="24"/>
          <w:lang w:val="hr-HR"/>
        </w:rPr>
        <w:t>ë</w:t>
      </w:r>
      <w:r w:rsidRPr="00DD196F">
        <w:rPr>
          <w:rFonts w:ascii="Times New Roman" w:eastAsia="Times New Roman" w:hAnsi="Times New Roman" w:cs="Times New Roman"/>
          <w:sz w:val="24"/>
          <w:szCs w:val="24"/>
          <w:lang w:val="sq-AL"/>
        </w:rPr>
        <w:t>rave n</w:t>
      </w:r>
      <w:r w:rsidRPr="00DD196F">
        <w:rPr>
          <w:rFonts w:ascii="Times New Roman" w:eastAsia="Times New Roman" w:hAnsi="Times New Roman" w:cs="Times New Roman"/>
          <w:sz w:val="24"/>
          <w:szCs w:val="24"/>
          <w:lang w:val="hr-HR"/>
        </w:rPr>
        <w:t>ë</w:t>
      </w:r>
      <w:r w:rsidRPr="00DD196F">
        <w:rPr>
          <w:rFonts w:ascii="Times New Roman" w:eastAsia="Times New Roman" w:hAnsi="Times New Roman" w:cs="Times New Roman"/>
          <w:sz w:val="24"/>
          <w:szCs w:val="24"/>
          <w:lang w:val="sq-AL"/>
        </w:rPr>
        <w:t xml:space="preserve"> t</w:t>
      </w:r>
      <w:r w:rsidRPr="00DD196F">
        <w:rPr>
          <w:rFonts w:ascii="Times New Roman" w:eastAsia="Times New Roman" w:hAnsi="Times New Roman" w:cs="Times New Roman"/>
          <w:sz w:val="24"/>
          <w:szCs w:val="24"/>
          <w:lang w:val="hr-HR"/>
        </w:rPr>
        <w:t>ë</w:t>
      </w:r>
      <w:r w:rsidRPr="00DD196F">
        <w:rPr>
          <w:rFonts w:ascii="Times New Roman" w:eastAsia="Times New Roman" w:hAnsi="Times New Roman" w:cs="Times New Roman"/>
          <w:sz w:val="24"/>
          <w:szCs w:val="24"/>
          <w:lang w:val="sq-AL"/>
        </w:rPr>
        <w:t xml:space="preserve"> gjitha pikat  e monitorimit</w:t>
      </w:r>
    </w:p>
    <w:p w:rsidR="00DD196F" w:rsidRPr="00DD196F" w:rsidRDefault="00DD196F" w:rsidP="00DD196F">
      <w:pPr>
        <w:spacing w:line="276" w:lineRule="auto"/>
        <w:jc w:val="both"/>
        <w:rPr>
          <w:rFonts w:ascii="Times New Roman" w:eastAsia="Times New Roman" w:hAnsi="Times New Roman" w:cs="Times New Roman"/>
          <w:sz w:val="24"/>
          <w:szCs w:val="24"/>
        </w:rPr>
      </w:pPr>
      <w:r w:rsidRPr="00DD196F">
        <w:rPr>
          <w:rFonts w:ascii="Times New Roman" w:eastAsia="Times New Roman" w:hAnsi="Times New Roman" w:cs="Times New Roman"/>
          <w:sz w:val="24"/>
          <w:szCs w:val="24"/>
        </w:rPr>
        <w:lastRenderedPageBreak/>
        <w:t xml:space="preserve">         </w:t>
      </w:r>
    </w:p>
    <w:p w:rsidR="00DD196F" w:rsidRPr="00DD196F" w:rsidRDefault="00DD196F" w:rsidP="00DD196F">
      <w:pPr>
        <w:spacing w:line="276" w:lineRule="auto"/>
        <w:jc w:val="both"/>
        <w:rPr>
          <w:rFonts w:ascii="Times New Roman" w:eastAsia="Times New Roman" w:hAnsi="Times New Roman" w:cs="Times New Roman"/>
          <w:sz w:val="24"/>
          <w:szCs w:val="24"/>
        </w:rPr>
      </w:pPr>
      <w:r w:rsidRPr="00DD196F">
        <w:rPr>
          <w:rFonts w:ascii="Times New Roman" w:eastAsia="Times New Roman" w:hAnsi="Times New Roman" w:cs="Times New Roman"/>
          <w:sz w:val="24"/>
          <w:szCs w:val="24"/>
        </w:rPr>
        <w:t xml:space="preserve">                             ● Plazhi i Borshit</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64"/>
        <w:gridCol w:w="2554"/>
        <w:gridCol w:w="1241"/>
        <w:gridCol w:w="1323"/>
        <w:gridCol w:w="1106"/>
        <w:gridCol w:w="1484"/>
      </w:tblGrid>
      <w:tr w:rsidR="00E95EB4" w:rsidTr="00854864">
        <w:trPr>
          <w:trHeight w:val="661"/>
        </w:trPr>
        <w:tc>
          <w:tcPr>
            <w:tcW w:w="1164" w:type="dxa"/>
            <w:shd w:val="clear" w:color="auto" w:fill="DEEAF6"/>
          </w:tcPr>
          <w:p w:rsidR="00DD196F" w:rsidRPr="00DD196F" w:rsidRDefault="00DD196F" w:rsidP="00DD196F">
            <w:pPr>
              <w:widowControl w:val="0"/>
              <w:autoSpaceDE w:val="0"/>
              <w:autoSpaceDN w:val="0"/>
              <w:spacing w:after="0" w:line="212" w:lineRule="exact"/>
              <w:ind w:left="65" w:right="58"/>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Nr.</w:t>
            </w:r>
          </w:p>
          <w:p w:rsidR="00DD196F" w:rsidRPr="00DD196F" w:rsidRDefault="00DD196F" w:rsidP="00DD196F">
            <w:pPr>
              <w:widowControl w:val="0"/>
              <w:autoSpaceDE w:val="0"/>
              <w:autoSpaceDN w:val="0"/>
              <w:spacing w:before="5" w:after="0" w:line="197" w:lineRule="exact"/>
              <w:ind w:left="66" w:right="58"/>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p>
        </w:tc>
        <w:tc>
          <w:tcPr>
            <w:tcW w:w="2554" w:type="dxa"/>
            <w:shd w:val="clear" w:color="auto" w:fill="DEEAF6"/>
          </w:tcPr>
          <w:p w:rsidR="00DD196F" w:rsidRPr="00DD196F" w:rsidRDefault="00DD196F" w:rsidP="00DD196F">
            <w:pPr>
              <w:widowControl w:val="0"/>
              <w:autoSpaceDE w:val="0"/>
              <w:autoSpaceDN w:val="0"/>
              <w:spacing w:before="105" w:after="0" w:line="240" w:lineRule="auto"/>
              <w:ind w:left="886" w:right="882"/>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Vendi</w:t>
            </w:r>
          </w:p>
        </w:tc>
        <w:tc>
          <w:tcPr>
            <w:tcW w:w="1241" w:type="dxa"/>
            <w:shd w:val="clear" w:color="auto" w:fill="DEEAF6"/>
          </w:tcPr>
          <w:p w:rsidR="00DD196F" w:rsidRPr="00DD196F" w:rsidRDefault="00DD196F" w:rsidP="00DD196F">
            <w:pPr>
              <w:widowControl w:val="0"/>
              <w:autoSpaceDE w:val="0"/>
              <w:autoSpaceDN w:val="0"/>
              <w:spacing w:after="0" w:line="212" w:lineRule="exact"/>
              <w:ind w:left="147"/>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FC</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90%</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197" w:lineRule="exact"/>
              <w:ind w:left="90"/>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250</w:t>
            </w:r>
          </w:p>
        </w:tc>
        <w:tc>
          <w:tcPr>
            <w:tcW w:w="1323" w:type="dxa"/>
            <w:shd w:val="clear" w:color="auto" w:fill="DEEAF6"/>
          </w:tcPr>
          <w:p w:rsidR="00DD196F" w:rsidRPr="00DD196F" w:rsidRDefault="00DD196F" w:rsidP="00DD196F">
            <w:pPr>
              <w:widowControl w:val="0"/>
              <w:autoSpaceDE w:val="0"/>
              <w:autoSpaceDN w:val="0"/>
              <w:spacing w:after="0" w:line="212" w:lineRule="exact"/>
              <w:ind w:left="211"/>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IE</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95%</w:t>
            </w:r>
            <w:r w:rsidRPr="00DD196F">
              <w:rPr>
                <w:rFonts w:ascii="Times New Roman" w:eastAsia="Times New Roman" w:hAnsi="Times New Roman" w:cs="Times New Roman"/>
                <w:b/>
                <w:spacing w:val="3"/>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197" w:lineRule="exact"/>
              <w:ind w:left="126"/>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100</w:t>
            </w:r>
          </w:p>
        </w:tc>
        <w:tc>
          <w:tcPr>
            <w:tcW w:w="1106" w:type="dxa"/>
            <w:shd w:val="clear" w:color="auto" w:fill="DEEAF6"/>
          </w:tcPr>
          <w:p w:rsidR="00DD196F" w:rsidRPr="00DD196F" w:rsidRDefault="00DD196F" w:rsidP="00DD196F">
            <w:pPr>
              <w:widowControl w:val="0"/>
              <w:autoSpaceDE w:val="0"/>
              <w:autoSpaceDN w:val="0"/>
              <w:spacing w:after="0" w:line="212" w:lineRule="exact"/>
              <w:ind w:left="74"/>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Kategoria</w:t>
            </w:r>
          </w:p>
        </w:tc>
        <w:tc>
          <w:tcPr>
            <w:tcW w:w="1484" w:type="dxa"/>
            <w:shd w:val="clear" w:color="auto" w:fill="DEEAF6"/>
          </w:tcPr>
          <w:p w:rsidR="00DD196F" w:rsidRPr="00DD196F" w:rsidRDefault="00DD196F" w:rsidP="00DD196F">
            <w:pPr>
              <w:widowControl w:val="0"/>
              <w:autoSpaceDE w:val="0"/>
              <w:autoSpaceDN w:val="0"/>
              <w:spacing w:after="0" w:line="212" w:lineRule="exact"/>
              <w:ind w:left="178"/>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Përqindja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e</w:t>
            </w:r>
          </w:p>
          <w:p w:rsidR="00DD196F" w:rsidRPr="00DD196F" w:rsidRDefault="00DD196F" w:rsidP="00DD196F">
            <w:pPr>
              <w:widowControl w:val="0"/>
              <w:autoSpaceDE w:val="0"/>
              <w:autoSpaceDN w:val="0"/>
              <w:spacing w:before="5" w:after="0" w:line="197" w:lineRule="exact"/>
              <w:ind w:left="113"/>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r w:rsidRPr="00DD196F">
              <w:rPr>
                <w:rFonts w:ascii="Times New Roman" w:eastAsia="Times New Roman" w:hAnsi="Times New Roman" w:cs="Times New Roman"/>
                <w:b/>
                <w:spacing w:val="9"/>
                <w:sz w:val="19"/>
                <w:lang w:val="sq-AL"/>
              </w:rPr>
              <w:t xml:space="preserve"> </w:t>
            </w:r>
            <w:r w:rsidRPr="00DD196F">
              <w:rPr>
                <w:rFonts w:ascii="Times New Roman" w:eastAsia="Times New Roman" w:hAnsi="Times New Roman" w:cs="Times New Roman"/>
                <w:b/>
                <w:sz w:val="19"/>
                <w:lang w:val="sq-AL"/>
              </w:rPr>
              <w:t>%</w:t>
            </w:r>
          </w:p>
        </w:tc>
      </w:tr>
      <w:tr w:rsidR="00E95EB4" w:rsidTr="00854864">
        <w:trPr>
          <w:trHeight w:val="319"/>
        </w:trPr>
        <w:tc>
          <w:tcPr>
            <w:tcW w:w="1164" w:type="dxa"/>
          </w:tcPr>
          <w:p w:rsidR="00DD196F" w:rsidRPr="00DD196F" w:rsidRDefault="00DD196F" w:rsidP="00DD196F">
            <w:pPr>
              <w:widowControl w:val="0"/>
              <w:autoSpaceDE w:val="0"/>
              <w:autoSpaceDN w:val="0"/>
              <w:spacing w:after="0" w:line="190" w:lineRule="exact"/>
              <w:ind w:left="8"/>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1</w:t>
            </w:r>
          </w:p>
        </w:tc>
        <w:tc>
          <w:tcPr>
            <w:tcW w:w="2554" w:type="dxa"/>
          </w:tcPr>
          <w:p w:rsidR="00DD196F" w:rsidRPr="00DD196F" w:rsidRDefault="00DD196F" w:rsidP="00DD196F">
            <w:pPr>
              <w:widowControl w:val="0"/>
              <w:autoSpaceDE w:val="0"/>
              <w:autoSpaceDN w:val="0"/>
              <w:spacing w:after="0" w:line="190"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Borshi</w:t>
            </w:r>
            <w:r w:rsidRPr="00DD196F">
              <w:rPr>
                <w:rFonts w:ascii="Times New Roman" w:eastAsia="Times New Roman" w:hAnsi="Times New Roman" w:cs="Times New Roman"/>
                <w:spacing w:val="10"/>
                <w:sz w:val="19"/>
                <w:lang w:val="sq-AL"/>
              </w:rPr>
              <w:t xml:space="preserve"> </w:t>
            </w:r>
            <w:r w:rsidRPr="00DD196F">
              <w:rPr>
                <w:rFonts w:ascii="Times New Roman" w:eastAsia="Times New Roman" w:hAnsi="Times New Roman" w:cs="Times New Roman"/>
                <w:sz w:val="19"/>
                <w:lang w:val="sq-AL"/>
              </w:rPr>
              <w:t>Djathtas</w:t>
            </w:r>
          </w:p>
        </w:tc>
        <w:tc>
          <w:tcPr>
            <w:tcW w:w="1241" w:type="dxa"/>
          </w:tcPr>
          <w:p w:rsidR="00DD196F" w:rsidRPr="00DD196F" w:rsidRDefault="00DD196F" w:rsidP="00DD196F">
            <w:pPr>
              <w:widowControl w:val="0"/>
              <w:autoSpaceDE w:val="0"/>
              <w:autoSpaceDN w:val="0"/>
              <w:spacing w:after="0" w:line="190"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82</w:t>
            </w:r>
          </w:p>
        </w:tc>
        <w:tc>
          <w:tcPr>
            <w:tcW w:w="1323" w:type="dxa"/>
          </w:tcPr>
          <w:p w:rsidR="00DD196F" w:rsidRPr="00DD196F" w:rsidRDefault="00DD196F" w:rsidP="00DD196F">
            <w:pPr>
              <w:widowControl w:val="0"/>
              <w:autoSpaceDE w:val="0"/>
              <w:autoSpaceDN w:val="0"/>
              <w:spacing w:after="0" w:line="190"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62</w:t>
            </w:r>
          </w:p>
        </w:tc>
        <w:tc>
          <w:tcPr>
            <w:tcW w:w="1106" w:type="dxa"/>
          </w:tcPr>
          <w:p w:rsidR="00DD196F" w:rsidRPr="00DD196F" w:rsidRDefault="00DD196F" w:rsidP="00DD196F">
            <w:pPr>
              <w:widowControl w:val="0"/>
              <w:autoSpaceDE w:val="0"/>
              <w:autoSpaceDN w:val="0"/>
              <w:spacing w:after="0" w:line="190"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484" w:type="dxa"/>
            <w:vMerge w:val="restart"/>
          </w:tcPr>
          <w:p w:rsidR="00DD196F" w:rsidRPr="00DD196F" w:rsidRDefault="00DD196F" w:rsidP="00DD196F">
            <w:pPr>
              <w:widowControl w:val="0"/>
              <w:autoSpaceDE w:val="0"/>
              <w:autoSpaceDN w:val="0"/>
              <w:spacing w:after="0" w:line="244" w:lineRule="auto"/>
              <w:ind w:left="72"/>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100%-</w:t>
            </w:r>
            <w:r w:rsidRPr="00DD196F">
              <w:rPr>
                <w:rFonts w:ascii="Times New Roman" w:eastAsia="Times New Roman" w:hAnsi="Times New Roman" w:cs="Times New Roman"/>
                <w:spacing w:val="3"/>
                <w:sz w:val="19"/>
                <w:lang w:val="sq-AL"/>
              </w:rPr>
              <w:t xml:space="preserve"> </w:t>
            </w:r>
            <w:r w:rsidRPr="00DD196F">
              <w:rPr>
                <w:rFonts w:ascii="Times New Roman" w:eastAsia="Times New Roman" w:hAnsi="Times New Roman" w:cs="Times New Roman"/>
                <w:sz w:val="19"/>
                <w:lang w:val="sq-AL"/>
              </w:rPr>
              <w:t>Cilësi</w:t>
            </w:r>
            <w:r w:rsidRPr="00DD196F">
              <w:rPr>
                <w:rFonts w:ascii="Times New Roman" w:eastAsia="Times New Roman" w:hAnsi="Times New Roman" w:cs="Times New Roman"/>
                <w:spacing w:val="4"/>
                <w:sz w:val="19"/>
                <w:lang w:val="sq-AL"/>
              </w:rPr>
              <w:t xml:space="preserve"> </w:t>
            </w:r>
            <w:r w:rsidRPr="00DD196F">
              <w:rPr>
                <w:rFonts w:ascii="Times New Roman" w:eastAsia="Times New Roman" w:hAnsi="Times New Roman" w:cs="Times New Roman"/>
                <w:sz w:val="19"/>
                <w:lang w:val="sq-AL"/>
              </w:rPr>
              <w:t>e</w:t>
            </w:r>
            <w:r w:rsidRPr="00DD196F">
              <w:rPr>
                <w:rFonts w:ascii="Times New Roman" w:eastAsia="Times New Roman" w:hAnsi="Times New Roman" w:cs="Times New Roman"/>
                <w:spacing w:val="-44"/>
                <w:sz w:val="19"/>
                <w:lang w:val="sq-AL"/>
              </w:rPr>
              <w:t xml:space="preserve"> </w:t>
            </w:r>
            <w:r w:rsidRPr="00DD196F">
              <w:rPr>
                <w:rFonts w:ascii="Times New Roman" w:eastAsia="Times New Roman" w:hAnsi="Times New Roman" w:cs="Times New Roman"/>
                <w:sz w:val="19"/>
                <w:lang w:val="sq-AL"/>
              </w:rPr>
              <w:t>shkëlqyer</w:t>
            </w:r>
          </w:p>
        </w:tc>
      </w:tr>
      <w:tr w:rsidR="00E95EB4" w:rsidTr="00854864">
        <w:trPr>
          <w:trHeight w:val="306"/>
        </w:trPr>
        <w:tc>
          <w:tcPr>
            <w:tcW w:w="1164" w:type="dxa"/>
          </w:tcPr>
          <w:p w:rsidR="00DD196F" w:rsidRPr="00DD196F" w:rsidRDefault="00DD196F" w:rsidP="00DD196F">
            <w:pPr>
              <w:widowControl w:val="0"/>
              <w:autoSpaceDE w:val="0"/>
              <w:autoSpaceDN w:val="0"/>
              <w:spacing w:after="0" w:line="181" w:lineRule="exact"/>
              <w:ind w:left="8"/>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2</w:t>
            </w:r>
          </w:p>
        </w:tc>
        <w:tc>
          <w:tcPr>
            <w:tcW w:w="2554" w:type="dxa"/>
          </w:tcPr>
          <w:p w:rsidR="00DD196F" w:rsidRPr="00DD196F" w:rsidRDefault="00DD196F" w:rsidP="00DD196F">
            <w:pPr>
              <w:widowControl w:val="0"/>
              <w:autoSpaceDE w:val="0"/>
              <w:autoSpaceDN w:val="0"/>
              <w:spacing w:after="0" w:line="181"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Borshi</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në</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mes</w:t>
            </w:r>
          </w:p>
        </w:tc>
        <w:tc>
          <w:tcPr>
            <w:tcW w:w="1241" w:type="dxa"/>
          </w:tcPr>
          <w:p w:rsidR="00DD196F" w:rsidRPr="00DD196F" w:rsidRDefault="00DD196F" w:rsidP="00DD196F">
            <w:pPr>
              <w:widowControl w:val="0"/>
              <w:autoSpaceDE w:val="0"/>
              <w:autoSpaceDN w:val="0"/>
              <w:spacing w:after="0" w:line="181"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69</w:t>
            </w:r>
          </w:p>
        </w:tc>
        <w:tc>
          <w:tcPr>
            <w:tcW w:w="1323" w:type="dxa"/>
          </w:tcPr>
          <w:p w:rsidR="00DD196F" w:rsidRPr="00DD196F" w:rsidRDefault="00DD196F" w:rsidP="00DD196F">
            <w:pPr>
              <w:widowControl w:val="0"/>
              <w:autoSpaceDE w:val="0"/>
              <w:autoSpaceDN w:val="0"/>
              <w:spacing w:after="0" w:line="181"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61</w:t>
            </w:r>
          </w:p>
        </w:tc>
        <w:tc>
          <w:tcPr>
            <w:tcW w:w="1106" w:type="dxa"/>
          </w:tcPr>
          <w:p w:rsidR="00DD196F" w:rsidRPr="00DD196F" w:rsidRDefault="00DD196F" w:rsidP="00DD196F">
            <w:pPr>
              <w:widowControl w:val="0"/>
              <w:autoSpaceDE w:val="0"/>
              <w:autoSpaceDN w:val="0"/>
              <w:spacing w:after="0" w:line="181"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484"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E95EB4" w:rsidTr="00854864">
        <w:trPr>
          <w:trHeight w:val="333"/>
        </w:trPr>
        <w:tc>
          <w:tcPr>
            <w:tcW w:w="1164" w:type="dxa"/>
          </w:tcPr>
          <w:p w:rsidR="00DD196F" w:rsidRPr="00DD196F" w:rsidRDefault="00DD196F" w:rsidP="00DD196F">
            <w:pPr>
              <w:widowControl w:val="0"/>
              <w:autoSpaceDE w:val="0"/>
              <w:autoSpaceDN w:val="0"/>
              <w:spacing w:after="0" w:line="199" w:lineRule="exact"/>
              <w:ind w:left="8"/>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3</w:t>
            </w:r>
          </w:p>
        </w:tc>
        <w:tc>
          <w:tcPr>
            <w:tcW w:w="2554" w:type="dxa"/>
          </w:tcPr>
          <w:p w:rsidR="00DD196F" w:rsidRPr="00DD196F" w:rsidRDefault="00DD196F" w:rsidP="00DD196F">
            <w:pPr>
              <w:widowControl w:val="0"/>
              <w:autoSpaceDE w:val="0"/>
              <w:autoSpaceDN w:val="0"/>
              <w:spacing w:after="0" w:line="199" w:lineRule="exact"/>
              <w:ind w:left="76"/>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Borshi</w:t>
            </w:r>
            <w:r w:rsidRPr="00DD196F">
              <w:rPr>
                <w:rFonts w:ascii="Times New Roman" w:eastAsia="Times New Roman" w:hAnsi="Times New Roman" w:cs="Times New Roman"/>
                <w:spacing w:val="9"/>
                <w:sz w:val="19"/>
                <w:lang w:val="sq-AL"/>
              </w:rPr>
              <w:t xml:space="preserve"> </w:t>
            </w:r>
            <w:r w:rsidRPr="00DD196F">
              <w:rPr>
                <w:rFonts w:ascii="Times New Roman" w:eastAsia="Times New Roman" w:hAnsi="Times New Roman" w:cs="Times New Roman"/>
                <w:sz w:val="19"/>
                <w:lang w:val="sq-AL"/>
              </w:rPr>
              <w:t>Majtas</w:t>
            </w:r>
          </w:p>
        </w:tc>
        <w:tc>
          <w:tcPr>
            <w:tcW w:w="1241" w:type="dxa"/>
          </w:tcPr>
          <w:p w:rsidR="00DD196F" w:rsidRPr="00DD196F" w:rsidRDefault="00DD196F" w:rsidP="00DD196F">
            <w:pPr>
              <w:widowControl w:val="0"/>
              <w:autoSpaceDE w:val="0"/>
              <w:autoSpaceDN w:val="0"/>
              <w:spacing w:after="0" w:line="19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63</w:t>
            </w:r>
          </w:p>
        </w:tc>
        <w:tc>
          <w:tcPr>
            <w:tcW w:w="1323" w:type="dxa"/>
          </w:tcPr>
          <w:p w:rsidR="00DD196F" w:rsidRPr="00DD196F" w:rsidRDefault="00DD196F" w:rsidP="00DD196F">
            <w:pPr>
              <w:widowControl w:val="0"/>
              <w:autoSpaceDE w:val="0"/>
              <w:autoSpaceDN w:val="0"/>
              <w:spacing w:after="0" w:line="199"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88</w:t>
            </w:r>
          </w:p>
        </w:tc>
        <w:tc>
          <w:tcPr>
            <w:tcW w:w="1106" w:type="dxa"/>
          </w:tcPr>
          <w:p w:rsidR="00DD196F" w:rsidRPr="00DD196F" w:rsidRDefault="00DD196F" w:rsidP="00DD196F">
            <w:pPr>
              <w:widowControl w:val="0"/>
              <w:autoSpaceDE w:val="0"/>
              <w:autoSpaceDN w:val="0"/>
              <w:spacing w:after="0" w:line="199" w:lineRule="exact"/>
              <w:ind w:left="74"/>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A</w:t>
            </w:r>
          </w:p>
        </w:tc>
        <w:tc>
          <w:tcPr>
            <w:tcW w:w="1484"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bl>
    <w:p w:rsidR="00DD196F" w:rsidRPr="00DD196F" w:rsidRDefault="00DD196F" w:rsidP="00DD196F">
      <w:pPr>
        <w:spacing w:after="200" w:line="288" w:lineRule="auto"/>
        <w:rPr>
          <w:rFonts w:ascii="Times New Roman" w:eastAsiaTheme="minorEastAsia" w:hAnsi="Times New Roman" w:cs="Times New Roman"/>
          <w:sz w:val="24"/>
          <w:szCs w:val="24"/>
        </w:rPr>
      </w:pPr>
    </w:p>
    <w:p w:rsidR="00A579C7" w:rsidRPr="00A579C7" w:rsidRDefault="00A579C7" w:rsidP="00A579C7">
      <w:pPr>
        <w:spacing w:after="0" w:line="240" w:lineRule="auto"/>
        <w:jc w:val="both"/>
        <w:rPr>
          <w:rFonts w:ascii="Times New Roman" w:eastAsiaTheme="minorEastAsia" w:hAnsi="Times New Roman" w:cs="Times New Roman"/>
          <w:sz w:val="24"/>
          <w:szCs w:val="24"/>
        </w:rPr>
      </w:pPr>
      <w:r w:rsidRPr="00DD196F">
        <w:rPr>
          <w:rFonts w:ascii="Times New Roman" w:eastAsiaTheme="minorEastAsia" w:hAnsi="Times New Roman" w:cs="Times New Roman"/>
          <w:noProof/>
          <w:sz w:val="24"/>
          <w:szCs w:val="24"/>
        </w:rPr>
        <mc:AlternateContent>
          <mc:Choice Requires="wps">
            <w:drawing>
              <wp:anchor distT="0" distB="0" distL="114300" distR="114300" simplePos="0" relativeHeight="251644416" behindDoc="0" locked="0" layoutInCell="1" allowOverlap="1" wp14:anchorId="18A29C36" wp14:editId="314F70F3">
                <wp:simplePos x="0" y="0"/>
                <wp:positionH relativeFrom="column">
                  <wp:posOffset>241300</wp:posOffset>
                </wp:positionH>
                <wp:positionV relativeFrom="paragraph">
                  <wp:posOffset>6350</wp:posOffset>
                </wp:positionV>
                <wp:extent cx="3057525" cy="2590800"/>
                <wp:effectExtent l="0" t="0" r="28575" b="19050"/>
                <wp:wrapNone/>
                <wp:docPr id="42" name="Rectangle 42"/>
                <wp:cNvGraphicFramePr/>
                <a:graphic xmlns:a="http://schemas.openxmlformats.org/drawingml/2006/main">
                  <a:graphicData uri="http://schemas.microsoft.com/office/word/2010/wordprocessingShape">
                    <wps:wsp>
                      <wps:cNvSpPr/>
                      <wps:spPr>
                        <a:xfrm>
                          <a:off x="0" y="0"/>
                          <a:ext cx="3057525" cy="2590800"/>
                        </a:xfrm>
                        <a:prstGeom prst="rect">
                          <a:avLst/>
                        </a:prstGeom>
                        <a:solidFill>
                          <a:sysClr val="window" lastClr="FFFFFF"/>
                        </a:solidFill>
                        <a:ln w="12700" cap="flat" cmpd="sng" algn="ctr">
                          <a:solidFill>
                            <a:srgbClr val="70AD47"/>
                          </a:solidFill>
                          <a:prstDash val="solid"/>
                          <a:miter lim="800000"/>
                        </a:ln>
                        <a:effectLst/>
                      </wps:spPr>
                      <wps:txbx>
                        <w:txbxContent>
                          <w:p w:rsidR="0064059F" w:rsidRDefault="0064059F" w:rsidP="00F8650C">
                            <w:pPr>
                              <w:spacing w:after="0" w:line="240" w:lineRule="auto"/>
                              <w:jc w:val="both"/>
                              <w:rPr>
                                <w:rFonts w:ascii="Times New Roman" w:eastAsia="Times New Roman" w:hAnsi="Times New Roman" w:cs="Times New Roman"/>
                                <w:sz w:val="24"/>
                                <w:szCs w:val="24"/>
                                <w:lang w:val="sq-AL"/>
                              </w:rPr>
                            </w:pPr>
                            <w:r w:rsidRPr="00783696">
                              <w:rPr>
                                <w:rFonts w:ascii="Times New Roman" w:eastAsia="Times New Roman" w:hAnsi="Times New Roman" w:cs="Times New Roman"/>
                                <w:noProof/>
                                <w:sz w:val="24"/>
                                <w:szCs w:val="24"/>
                                <w:lang w:val="sq-AL"/>
                              </w:rPr>
                              <w:t>Referuar</w:t>
                            </w:r>
                            <w:r w:rsidRPr="00783696">
                              <w:rPr>
                                <w:rFonts w:ascii="Times New Roman" w:eastAsia="Times New Roman" w:hAnsi="Times New Roman" w:cs="Times New Roman"/>
                                <w:sz w:val="24"/>
                                <w:szCs w:val="24"/>
                                <w:lang w:val="it-IT"/>
                              </w:rPr>
                              <w:t xml:space="preserve"> rezultateve </w:t>
                            </w:r>
                            <w:r w:rsidRPr="00783696">
                              <w:rPr>
                                <w:rFonts w:ascii="Times New Roman" w:eastAsia="Calibri" w:hAnsi="Times New Roman" w:cs="Times New Roman"/>
                                <w:sz w:val="24"/>
                                <w:szCs w:val="24"/>
                                <w:lang w:val="it-IT"/>
                              </w:rPr>
                              <w:t xml:space="preserve">të analizave </w:t>
                            </w:r>
                            <w:r w:rsidRPr="00783696">
                              <w:rPr>
                                <w:rFonts w:ascii="Times New Roman" w:eastAsia="Times New Roman" w:hAnsi="Times New Roman" w:cs="Times New Roman"/>
                                <w:sz w:val="24"/>
                                <w:szCs w:val="24"/>
                                <w:lang w:val="it-IT"/>
                              </w:rPr>
                              <w:t xml:space="preserve">bakteriologjike </w:t>
                            </w:r>
                            <w:r w:rsidRPr="00783696">
                              <w:rPr>
                                <w:rFonts w:ascii="Times New Roman" w:eastAsia="Times New Roman" w:hAnsi="Times New Roman" w:cs="Times New Roman"/>
                                <w:sz w:val="24"/>
                                <w:szCs w:val="24"/>
                                <w:lang w:val="sq-AL"/>
                              </w:rPr>
                              <w:t>këto plazhe vlerësohen në kategorinë A</w:t>
                            </w:r>
                            <w:r w:rsidRPr="00783696">
                              <w:rPr>
                                <w:rFonts w:ascii="Times New Roman" w:eastAsia="Times New Roman" w:hAnsi="Times New Roman" w:cs="Times New Roman"/>
                                <w:sz w:val="24"/>
                                <w:szCs w:val="24"/>
                                <w:lang w:val="hr-HR"/>
                              </w:rPr>
                              <w:t xml:space="preserve">- </w:t>
                            </w:r>
                            <w:r w:rsidRPr="00783696">
                              <w:rPr>
                                <w:rFonts w:ascii="Times New Roman" w:eastAsia="Times New Roman" w:hAnsi="Times New Roman" w:cs="Times New Roman"/>
                                <w:sz w:val="24"/>
                                <w:szCs w:val="24"/>
                                <w:lang w:val="sq-AL"/>
                              </w:rPr>
                              <w:t>Cil</w:t>
                            </w:r>
                            <w:r w:rsidRPr="00783696">
                              <w:rPr>
                                <w:rFonts w:ascii="Times New Roman" w:eastAsia="Times New Roman" w:hAnsi="Times New Roman" w:cs="Times New Roman"/>
                                <w:sz w:val="24"/>
                                <w:szCs w:val="24"/>
                                <w:lang w:val="hr-HR"/>
                              </w:rPr>
                              <w:t>ë</w:t>
                            </w:r>
                            <w:r w:rsidRPr="00783696">
                              <w:rPr>
                                <w:rFonts w:ascii="Times New Roman" w:eastAsia="Times New Roman" w:hAnsi="Times New Roman" w:cs="Times New Roman"/>
                                <w:sz w:val="24"/>
                                <w:szCs w:val="24"/>
                                <w:lang w:val="sq-AL"/>
                              </w:rPr>
                              <w:t>si</w:t>
                            </w:r>
                            <w:r w:rsidRPr="00783696">
                              <w:rPr>
                                <w:rFonts w:ascii="Times New Roman" w:eastAsia="Times New Roman" w:hAnsi="Times New Roman" w:cs="Times New Roman"/>
                                <w:sz w:val="24"/>
                                <w:szCs w:val="24"/>
                                <w:lang w:val="hr-HR"/>
                              </w:rPr>
                              <w:t xml:space="preserve"> </w:t>
                            </w:r>
                            <w:r w:rsidRPr="00783696">
                              <w:rPr>
                                <w:rFonts w:ascii="Times New Roman" w:eastAsia="Times New Roman" w:hAnsi="Times New Roman" w:cs="Times New Roman"/>
                                <w:sz w:val="24"/>
                                <w:szCs w:val="24"/>
                                <w:lang w:val="sq-AL"/>
                              </w:rPr>
                              <w:t>e shk</w:t>
                            </w:r>
                            <w:r w:rsidRPr="00783696">
                              <w:rPr>
                                <w:rFonts w:ascii="Times New Roman" w:eastAsia="Times New Roman" w:hAnsi="Times New Roman" w:cs="Times New Roman"/>
                                <w:sz w:val="24"/>
                                <w:szCs w:val="24"/>
                                <w:lang w:val="hr-HR"/>
                              </w:rPr>
                              <w:t>ë</w:t>
                            </w:r>
                            <w:r w:rsidRPr="00783696">
                              <w:rPr>
                                <w:rFonts w:ascii="Times New Roman" w:eastAsia="Times New Roman" w:hAnsi="Times New Roman" w:cs="Times New Roman"/>
                                <w:sz w:val="24"/>
                                <w:szCs w:val="24"/>
                                <w:lang w:val="sq-AL"/>
                              </w:rPr>
                              <w:t>lqyer e</w:t>
                            </w:r>
                            <w:r w:rsidRPr="00783696">
                              <w:rPr>
                                <w:rFonts w:ascii="Times New Roman" w:eastAsia="Times New Roman" w:hAnsi="Times New Roman" w:cs="Times New Roman"/>
                                <w:sz w:val="24"/>
                                <w:szCs w:val="24"/>
                                <w:lang w:val="hr-HR"/>
                              </w:rPr>
                              <w:t xml:space="preserve"> </w:t>
                            </w:r>
                            <w:r w:rsidRPr="00783696">
                              <w:rPr>
                                <w:rFonts w:ascii="Times New Roman" w:eastAsia="Times New Roman" w:hAnsi="Times New Roman" w:cs="Times New Roman"/>
                                <w:sz w:val="24"/>
                                <w:szCs w:val="24"/>
                                <w:lang w:val="sq-AL"/>
                              </w:rPr>
                              <w:t>uj</w:t>
                            </w:r>
                            <w:r w:rsidRPr="00783696">
                              <w:rPr>
                                <w:rFonts w:ascii="Times New Roman" w:eastAsia="Times New Roman" w:hAnsi="Times New Roman" w:cs="Times New Roman"/>
                                <w:sz w:val="24"/>
                                <w:szCs w:val="24"/>
                                <w:lang w:val="hr-HR"/>
                              </w:rPr>
                              <w:t>ë</w:t>
                            </w:r>
                            <w:r w:rsidRPr="00783696">
                              <w:rPr>
                                <w:rFonts w:ascii="Times New Roman" w:eastAsia="Times New Roman" w:hAnsi="Times New Roman" w:cs="Times New Roman"/>
                                <w:sz w:val="24"/>
                                <w:szCs w:val="24"/>
                                <w:lang w:val="sq-AL"/>
                              </w:rPr>
                              <w:t>rave n</w:t>
                            </w:r>
                            <w:r w:rsidRPr="00783696">
                              <w:rPr>
                                <w:rFonts w:ascii="Times New Roman" w:eastAsia="Times New Roman" w:hAnsi="Times New Roman" w:cs="Times New Roman"/>
                                <w:sz w:val="24"/>
                                <w:szCs w:val="24"/>
                                <w:lang w:val="hr-HR"/>
                              </w:rPr>
                              <w:t>ë</w:t>
                            </w:r>
                            <w:r w:rsidRPr="00783696">
                              <w:rPr>
                                <w:rFonts w:ascii="Times New Roman" w:eastAsia="Times New Roman" w:hAnsi="Times New Roman" w:cs="Times New Roman"/>
                                <w:sz w:val="24"/>
                                <w:szCs w:val="24"/>
                                <w:lang w:val="sq-AL"/>
                              </w:rPr>
                              <w:t xml:space="preserve"> t</w:t>
                            </w:r>
                            <w:r w:rsidRPr="00783696">
                              <w:rPr>
                                <w:rFonts w:ascii="Times New Roman" w:eastAsia="Times New Roman" w:hAnsi="Times New Roman" w:cs="Times New Roman"/>
                                <w:sz w:val="24"/>
                                <w:szCs w:val="24"/>
                                <w:lang w:val="hr-HR"/>
                              </w:rPr>
                              <w:t>ë</w:t>
                            </w:r>
                            <w:r w:rsidRPr="00783696">
                              <w:rPr>
                                <w:rFonts w:ascii="Times New Roman" w:eastAsia="Times New Roman" w:hAnsi="Times New Roman" w:cs="Times New Roman"/>
                                <w:sz w:val="24"/>
                                <w:szCs w:val="24"/>
                                <w:lang w:val="sq-AL"/>
                              </w:rPr>
                              <w:t xml:space="preserve"> gjitha pikat  e monitorimit</w:t>
                            </w:r>
                            <w:r>
                              <w:rPr>
                                <w:rFonts w:ascii="Times New Roman" w:eastAsia="Times New Roman" w:hAnsi="Times New Roman" w:cs="Times New Roman"/>
                                <w:sz w:val="24"/>
                                <w:szCs w:val="24"/>
                                <w:lang w:val="sq-AL"/>
                              </w:rPr>
                              <w:t>.</w:t>
                            </w:r>
                            <w:r w:rsidRPr="0003275B">
                              <w:rPr>
                                <w:rFonts w:ascii="Times New Roman" w:eastAsia="Times New Roman" w:hAnsi="Times New Roman" w:cs="Times New Roman"/>
                                <w:sz w:val="24"/>
                                <w:szCs w:val="24"/>
                                <w:lang w:val="sq-AL"/>
                              </w:rPr>
                              <w:t xml:space="preserve"> Për plazhin e Borshit për vitin 2025, cilësia e ujërave që i përket kategorisë A- Cilësi </w:t>
                            </w:r>
                            <w:r w:rsidRPr="0003275B">
                              <w:rPr>
                                <w:rFonts w:ascii="Times New Roman" w:eastAsia="Times New Roman" w:hAnsi="Times New Roman" w:cs="Times New Roman"/>
                                <w:bCs/>
                                <w:sz w:val="24"/>
                                <w:szCs w:val="24"/>
                                <w:lang w:val="sq-AL"/>
                              </w:rPr>
                              <w:t>e shkëlqyer</w:t>
                            </w:r>
                            <w:r w:rsidRPr="0003275B">
                              <w:rPr>
                                <w:rFonts w:ascii="Times New Roman" w:eastAsia="Times New Roman" w:hAnsi="Times New Roman" w:cs="Times New Roman"/>
                                <w:sz w:val="24"/>
                                <w:szCs w:val="24"/>
                                <w:lang w:val="sq-AL"/>
                              </w:rPr>
                              <w:t xml:space="preserve"> ka vlera më të larta se në vitet 2021, 2023, 2024 dhe vlera të barabarta me vitet 2018, 2019, 2020, 2022.</w:t>
                            </w:r>
                            <w:r>
                              <w:rPr>
                                <w:rFonts w:ascii="Times New Roman" w:eastAsia="Times New Roman" w:hAnsi="Times New Roman" w:cs="Times New Roman"/>
                                <w:sz w:val="24"/>
                                <w:szCs w:val="24"/>
                                <w:lang w:val="sq-AL"/>
                              </w:rPr>
                              <w:t xml:space="preserve"> </w:t>
                            </w:r>
                          </w:p>
                          <w:p w:rsidR="0064059F" w:rsidRDefault="0064059F" w:rsidP="00F8650C">
                            <w:pPr>
                              <w:spacing w:after="0" w:line="240" w:lineRule="auto"/>
                              <w:jc w:val="both"/>
                              <w:rPr>
                                <w:rFonts w:ascii="Times New Roman" w:eastAsia="Times New Roman" w:hAnsi="Times New Roman" w:cs="Times New Roman"/>
                                <w:sz w:val="24"/>
                                <w:szCs w:val="24"/>
                                <w:lang w:val="sq-AL"/>
                              </w:rPr>
                            </w:pPr>
                          </w:p>
                          <w:p w:rsidR="0064059F" w:rsidRDefault="0064059F" w:rsidP="00F8650C">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Kemi përmirësim në stacionet e kategorive B-</w:t>
                            </w:r>
                            <w:r>
                              <w:rPr>
                                <w:rFonts w:ascii="Times New Roman" w:eastAsia="Times New Roman" w:hAnsi="Times New Roman" w:cs="Times New Roman"/>
                                <w:noProof/>
                                <w:sz w:val="24"/>
                                <w:szCs w:val="24"/>
                                <w:lang w:val="it-IT"/>
                              </w:rPr>
                              <w:t xml:space="preserve"> Cilësisë</w:t>
                            </w:r>
                            <w:r w:rsidRPr="0003275B">
                              <w:rPr>
                                <w:rFonts w:ascii="Times New Roman" w:eastAsia="Times New Roman" w:hAnsi="Times New Roman" w:cs="Times New Roman"/>
                                <w:noProof/>
                                <w:sz w:val="24"/>
                                <w:szCs w:val="24"/>
                                <w:lang w:val="it-IT"/>
                              </w:rPr>
                              <w:t xml:space="preserve"> </w:t>
                            </w:r>
                            <w:r>
                              <w:rPr>
                                <w:rFonts w:ascii="Times New Roman" w:eastAsia="Times New Roman" w:hAnsi="Times New Roman" w:cs="Times New Roman"/>
                                <w:noProof/>
                                <w:sz w:val="24"/>
                                <w:szCs w:val="24"/>
                                <w:lang w:val="it-IT"/>
                              </w:rPr>
                              <w:t>së</w:t>
                            </w:r>
                            <w:r w:rsidRPr="0003275B">
                              <w:rPr>
                                <w:rFonts w:ascii="Times New Roman" w:eastAsia="Times New Roman" w:hAnsi="Times New Roman" w:cs="Times New Roman"/>
                                <w:noProof/>
                                <w:sz w:val="24"/>
                                <w:szCs w:val="24"/>
                                <w:lang w:val="it-IT"/>
                              </w:rPr>
                              <w:t xml:space="preserve"> mir</w:t>
                            </w:r>
                            <w:r w:rsidRPr="0003275B">
                              <w:rPr>
                                <w:rFonts w:ascii="Times New Roman" w:eastAsia="Times New Roman" w:hAnsi="Times New Roman" w:cs="Times New Roman"/>
                                <w:bCs/>
                                <w:sz w:val="24"/>
                                <w:szCs w:val="24"/>
                                <w:lang w:val="sq-AL"/>
                              </w:rPr>
                              <w:t>ë</w:t>
                            </w:r>
                            <w:r>
                              <w:rPr>
                                <w:rFonts w:ascii="Times New Roman" w:eastAsia="Times New Roman" w:hAnsi="Times New Roman" w:cs="Times New Roman"/>
                                <w:bCs/>
                                <w:sz w:val="24"/>
                                <w:szCs w:val="24"/>
                                <w:lang w:val="sq-AL"/>
                              </w:rPr>
                              <w:t>,</w:t>
                            </w:r>
                            <w:r w:rsidRPr="0003275B">
                              <w:rPr>
                                <w:rFonts w:ascii="Times New Roman" w:eastAsia="Times New Roman" w:hAnsi="Times New Roman" w:cs="Times New Roman"/>
                                <w:noProof/>
                                <w:sz w:val="24"/>
                                <w:szCs w:val="24"/>
                                <w:lang w:val="it-IT"/>
                              </w:rPr>
                              <w:t xml:space="preserve"> C- Cilësisë së mjaftueshme</w:t>
                            </w:r>
                            <w:r>
                              <w:rPr>
                                <w:rFonts w:ascii="Times New Roman" w:eastAsia="Times New Roman" w:hAnsi="Times New Roman" w:cs="Times New Roman"/>
                                <w:noProof/>
                                <w:sz w:val="24"/>
                                <w:szCs w:val="24"/>
                                <w:lang w:val="it-IT"/>
                              </w:rPr>
                              <w:t xml:space="preserve"> dhe D- Cilësisë së keqe të ujërave krahasuar me vitet 2021 dhe 2024</w:t>
                            </w:r>
                          </w:p>
                          <w:p w:rsidR="0064059F" w:rsidRDefault="0064059F" w:rsidP="00DD196F">
                            <w:pPr>
                              <w:rPr>
                                <w:rFonts w:ascii="Times New Roman" w:hAnsi="Times New Roman" w:cs="Times New Roman"/>
                                <w:sz w:val="24"/>
                                <w:szCs w:val="24"/>
                              </w:rPr>
                            </w:pPr>
                          </w:p>
                          <w:p w:rsidR="0064059F" w:rsidRDefault="0064059F" w:rsidP="00DD196F">
                            <w:pPr>
                              <w:spacing w:line="276" w:lineRule="auto"/>
                              <w:jc w:val="both"/>
                              <w:rPr>
                                <w:rFonts w:ascii="Times New Roman" w:eastAsia="Times New Roman" w:hAnsi="Times New Roman" w:cs="Times New Roman"/>
                                <w:sz w:val="24"/>
                                <w:szCs w:val="24"/>
                                <w:lang w:val="sq-AL"/>
                              </w:rPr>
                            </w:pPr>
                          </w:p>
                          <w:p w:rsidR="0064059F" w:rsidRDefault="0064059F" w:rsidP="00DD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A29C36" id="Rectangle 42" o:spid="_x0000_s1104" style="position:absolute;left:0;text-align:left;margin-left:19pt;margin-top:.5pt;width:240.75pt;height:204pt;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" fillcolor="window" strokecolor="#70ad47" strokeweight="1pt">
                <v:textbox>
                  <w:txbxContent>
                    <w:p w:rsidR="0064059F" w:rsidRDefault="0064059F" w:rsidP="00F8650C">
                      <w:pPr>
                        <w:spacing w:after="0" w:line="240" w:lineRule="auto"/>
                        <w:jc w:val="both"/>
                        <w:rPr>
                          <w:rFonts w:ascii="Times New Roman" w:eastAsia="Times New Roman" w:hAnsi="Times New Roman" w:cs="Times New Roman"/>
                          <w:sz w:val="24"/>
                          <w:szCs w:val="24"/>
                          <w:lang w:val="sq-AL"/>
                        </w:rPr>
                      </w:pPr>
                      <w:r w:rsidRPr="00783696">
                        <w:rPr>
                          <w:rFonts w:ascii="Times New Roman" w:eastAsia="Times New Roman" w:hAnsi="Times New Roman" w:cs="Times New Roman"/>
                          <w:noProof/>
                          <w:sz w:val="24"/>
                          <w:szCs w:val="24"/>
                          <w:lang w:val="sq-AL"/>
                        </w:rPr>
                        <w:t>Referuar</w:t>
                      </w:r>
                      <w:r w:rsidRPr="00783696">
                        <w:rPr>
                          <w:rFonts w:ascii="Times New Roman" w:eastAsia="Times New Roman" w:hAnsi="Times New Roman" w:cs="Times New Roman"/>
                          <w:sz w:val="24"/>
                          <w:szCs w:val="24"/>
                          <w:lang w:val="it-IT"/>
                        </w:rPr>
                        <w:t xml:space="preserve"> rezultateve </w:t>
                      </w:r>
                      <w:r w:rsidRPr="00783696">
                        <w:rPr>
                          <w:rFonts w:ascii="Times New Roman" w:eastAsia="Calibri" w:hAnsi="Times New Roman" w:cs="Times New Roman"/>
                          <w:sz w:val="24"/>
                          <w:szCs w:val="24"/>
                          <w:lang w:val="it-IT"/>
                        </w:rPr>
                        <w:t xml:space="preserve">të analizave </w:t>
                      </w:r>
                      <w:r w:rsidRPr="00783696">
                        <w:rPr>
                          <w:rFonts w:ascii="Times New Roman" w:eastAsia="Times New Roman" w:hAnsi="Times New Roman" w:cs="Times New Roman"/>
                          <w:sz w:val="24"/>
                          <w:szCs w:val="24"/>
                          <w:lang w:val="it-IT"/>
                        </w:rPr>
                        <w:t xml:space="preserve">bakteriologjike </w:t>
                      </w:r>
                      <w:r w:rsidRPr="00783696">
                        <w:rPr>
                          <w:rFonts w:ascii="Times New Roman" w:eastAsia="Times New Roman" w:hAnsi="Times New Roman" w:cs="Times New Roman"/>
                          <w:sz w:val="24"/>
                          <w:szCs w:val="24"/>
                          <w:lang w:val="sq-AL"/>
                        </w:rPr>
                        <w:t>këto plazhe vlerësohen në kategorinë A</w:t>
                      </w:r>
                      <w:r w:rsidRPr="00783696">
                        <w:rPr>
                          <w:rFonts w:ascii="Times New Roman" w:eastAsia="Times New Roman" w:hAnsi="Times New Roman" w:cs="Times New Roman"/>
                          <w:sz w:val="24"/>
                          <w:szCs w:val="24"/>
                          <w:lang w:val="hr-HR"/>
                        </w:rPr>
                        <w:t xml:space="preserve">- </w:t>
                      </w:r>
                      <w:r w:rsidRPr="00783696">
                        <w:rPr>
                          <w:rFonts w:ascii="Times New Roman" w:eastAsia="Times New Roman" w:hAnsi="Times New Roman" w:cs="Times New Roman"/>
                          <w:sz w:val="24"/>
                          <w:szCs w:val="24"/>
                          <w:lang w:val="sq-AL"/>
                        </w:rPr>
                        <w:t>Cil</w:t>
                      </w:r>
                      <w:r w:rsidRPr="00783696">
                        <w:rPr>
                          <w:rFonts w:ascii="Times New Roman" w:eastAsia="Times New Roman" w:hAnsi="Times New Roman" w:cs="Times New Roman"/>
                          <w:sz w:val="24"/>
                          <w:szCs w:val="24"/>
                          <w:lang w:val="hr-HR"/>
                        </w:rPr>
                        <w:t>ë</w:t>
                      </w:r>
                      <w:r w:rsidRPr="00783696">
                        <w:rPr>
                          <w:rFonts w:ascii="Times New Roman" w:eastAsia="Times New Roman" w:hAnsi="Times New Roman" w:cs="Times New Roman"/>
                          <w:sz w:val="24"/>
                          <w:szCs w:val="24"/>
                          <w:lang w:val="sq-AL"/>
                        </w:rPr>
                        <w:t>si</w:t>
                      </w:r>
                      <w:r w:rsidRPr="00783696">
                        <w:rPr>
                          <w:rFonts w:ascii="Times New Roman" w:eastAsia="Times New Roman" w:hAnsi="Times New Roman" w:cs="Times New Roman"/>
                          <w:sz w:val="24"/>
                          <w:szCs w:val="24"/>
                          <w:lang w:val="hr-HR"/>
                        </w:rPr>
                        <w:t xml:space="preserve"> </w:t>
                      </w:r>
                      <w:r w:rsidRPr="00783696">
                        <w:rPr>
                          <w:rFonts w:ascii="Times New Roman" w:eastAsia="Times New Roman" w:hAnsi="Times New Roman" w:cs="Times New Roman"/>
                          <w:sz w:val="24"/>
                          <w:szCs w:val="24"/>
                          <w:lang w:val="sq-AL"/>
                        </w:rPr>
                        <w:t>e shk</w:t>
                      </w:r>
                      <w:r w:rsidRPr="00783696">
                        <w:rPr>
                          <w:rFonts w:ascii="Times New Roman" w:eastAsia="Times New Roman" w:hAnsi="Times New Roman" w:cs="Times New Roman"/>
                          <w:sz w:val="24"/>
                          <w:szCs w:val="24"/>
                          <w:lang w:val="hr-HR"/>
                        </w:rPr>
                        <w:t>ë</w:t>
                      </w:r>
                      <w:r w:rsidRPr="00783696">
                        <w:rPr>
                          <w:rFonts w:ascii="Times New Roman" w:eastAsia="Times New Roman" w:hAnsi="Times New Roman" w:cs="Times New Roman"/>
                          <w:sz w:val="24"/>
                          <w:szCs w:val="24"/>
                          <w:lang w:val="sq-AL"/>
                        </w:rPr>
                        <w:t>lqyer e</w:t>
                      </w:r>
                      <w:r w:rsidRPr="00783696">
                        <w:rPr>
                          <w:rFonts w:ascii="Times New Roman" w:eastAsia="Times New Roman" w:hAnsi="Times New Roman" w:cs="Times New Roman"/>
                          <w:sz w:val="24"/>
                          <w:szCs w:val="24"/>
                          <w:lang w:val="hr-HR"/>
                        </w:rPr>
                        <w:t xml:space="preserve"> </w:t>
                      </w:r>
                      <w:r w:rsidRPr="00783696">
                        <w:rPr>
                          <w:rFonts w:ascii="Times New Roman" w:eastAsia="Times New Roman" w:hAnsi="Times New Roman" w:cs="Times New Roman"/>
                          <w:sz w:val="24"/>
                          <w:szCs w:val="24"/>
                          <w:lang w:val="sq-AL"/>
                        </w:rPr>
                        <w:t>uj</w:t>
                      </w:r>
                      <w:r w:rsidRPr="00783696">
                        <w:rPr>
                          <w:rFonts w:ascii="Times New Roman" w:eastAsia="Times New Roman" w:hAnsi="Times New Roman" w:cs="Times New Roman"/>
                          <w:sz w:val="24"/>
                          <w:szCs w:val="24"/>
                          <w:lang w:val="hr-HR"/>
                        </w:rPr>
                        <w:t>ë</w:t>
                      </w:r>
                      <w:r w:rsidRPr="00783696">
                        <w:rPr>
                          <w:rFonts w:ascii="Times New Roman" w:eastAsia="Times New Roman" w:hAnsi="Times New Roman" w:cs="Times New Roman"/>
                          <w:sz w:val="24"/>
                          <w:szCs w:val="24"/>
                          <w:lang w:val="sq-AL"/>
                        </w:rPr>
                        <w:t>rave n</w:t>
                      </w:r>
                      <w:r w:rsidRPr="00783696">
                        <w:rPr>
                          <w:rFonts w:ascii="Times New Roman" w:eastAsia="Times New Roman" w:hAnsi="Times New Roman" w:cs="Times New Roman"/>
                          <w:sz w:val="24"/>
                          <w:szCs w:val="24"/>
                          <w:lang w:val="hr-HR"/>
                        </w:rPr>
                        <w:t>ë</w:t>
                      </w:r>
                      <w:r w:rsidRPr="00783696">
                        <w:rPr>
                          <w:rFonts w:ascii="Times New Roman" w:eastAsia="Times New Roman" w:hAnsi="Times New Roman" w:cs="Times New Roman"/>
                          <w:sz w:val="24"/>
                          <w:szCs w:val="24"/>
                          <w:lang w:val="sq-AL"/>
                        </w:rPr>
                        <w:t xml:space="preserve"> t</w:t>
                      </w:r>
                      <w:r w:rsidRPr="00783696">
                        <w:rPr>
                          <w:rFonts w:ascii="Times New Roman" w:eastAsia="Times New Roman" w:hAnsi="Times New Roman" w:cs="Times New Roman"/>
                          <w:sz w:val="24"/>
                          <w:szCs w:val="24"/>
                          <w:lang w:val="hr-HR"/>
                        </w:rPr>
                        <w:t>ë</w:t>
                      </w:r>
                      <w:r w:rsidRPr="00783696">
                        <w:rPr>
                          <w:rFonts w:ascii="Times New Roman" w:eastAsia="Times New Roman" w:hAnsi="Times New Roman" w:cs="Times New Roman"/>
                          <w:sz w:val="24"/>
                          <w:szCs w:val="24"/>
                          <w:lang w:val="sq-AL"/>
                        </w:rPr>
                        <w:t xml:space="preserve"> gjitha pikat  e monitorimit</w:t>
                      </w:r>
                      <w:r>
                        <w:rPr>
                          <w:rFonts w:ascii="Times New Roman" w:eastAsia="Times New Roman" w:hAnsi="Times New Roman" w:cs="Times New Roman"/>
                          <w:sz w:val="24"/>
                          <w:szCs w:val="24"/>
                          <w:lang w:val="sq-AL"/>
                        </w:rPr>
                        <w:t>.</w:t>
                      </w:r>
                      <w:r w:rsidRPr="0003275B">
                        <w:rPr>
                          <w:rFonts w:ascii="Times New Roman" w:eastAsia="Times New Roman" w:hAnsi="Times New Roman" w:cs="Times New Roman"/>
                          <w:sz w:val="24"/>
                          <w:szCs w:val="24"/>
                          <w:lang w:val="sq-AL"/>
                        </w:rPr>
                        <w:t xml:space="preserve"> Për plazhin e Borshit për vitin 2025, cilësia e ujërave që i përket kategorisë A- Cilësi </w:t>
                      </w:r>
                      <w:r w:rsidRPr="0003275B">
                        <w:rPr>
                          <w:rFonts w:ascii="Times New Roman" w:eastAsia="Times New Roman" w:hAnsi="Times New Roman" w:cs="Times New Roman"/>
                          <w:bCs/>
                          <w:sz w:val="24"/>
                          <w:szCs w:val="24"/>
                          <w:lang w:val="sq-AL"/>
                        </w:rPr>
                        <w:t>e shkëlqyer</w:t>
                      </w:r>
                      <w:r w:rsidRPr="0003275B">
                        <w:rPr>
                          <w:rFonts w:ascii="Times New Roman" w:eastAsia="Times New Roman" w:hAnsi="Times New Roman" w:cs="Times New Roman"/>
                          <w:sz w:val="24"/>
                          <w:szCs w:val="24"/>
                          <w:lang w:val="sq-AL"/>
                        </w:rPr>
                        <w:t xml:space="preserve"> ka vlera më të larta se në vitet 2021, 2023, 2024 dhe vlera të barabarta me vitet 2018, 2019, 2020, 2022.</w:t>
                      </w:r>
                      <w:r>
                        <w:rPr>
                          <w:rFonts w:ascii="Times New Roman" w:eastAsia="Times New Roman" w:hAnsi="Times New Roman" w:cs="Times New Roman"/>
                          <w:sz w:val="24"/>
                          <w:szCs w:val="24"/>
                          <w:lang w:val="sq-AL"/>
                        </w:rPr>
                        <w:t xml:space="preserve"> </w:t>
                      </w:r>
                    </w:p>
                    <w:p w:rsidR="0064059F" w:rsidRDefault="0064059F" w:rsidP="00F8650C">
                      <w:pPr>
                        <w:spacing w:after="0" w:line="240" w:lineRule="auto"/>
                        <w:jc w:val="both"/>
                        <w:rPr>
                          <w:rFonts w:ascii="Times New Roman" w:eastAsia="Times New Roman" w:hAnsi="Times New Roman" w:cs="Times New Roman"/>
                          <w:sz w:val="24"/>
                          <w:szCs w:val="24"/>
                          <w:lang w:val="sq-AL"/>
                        </w:rPr>
                      </w:pPr>
                    </w:p>
                    <w:p w:rsidR="0064059F" w:rsidRDefault="0064059F" w:rsidP="00F8650C">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Kemi përmirësim në stacionet e kategorive B-</w:t>
                      </w:r>
                      <w:r>
                        <w:rPr>
                          <w:rFonts w:ascii="Times New Roman" w:eastAsia="Times New Roman" w:hAnsi="Times New Roman" w:cs="Times New Roman"/>
                          <w:noProof/>
                          <w:sz w:val="24"/>
                          <w:szCs w:val="24"/>
                          <w:lang w:val="it-IT"/>
                        </w:rPr>
                        <w:t xml:space="preserve"> Cilësisë</w:t>
                      </w:r>
                      <w:r w:rsidRPr="0003275B">
                        <w:rPr>
                          <w:rFonts w:ascii="Times New Roman" w:eastAsia="Times New Roman" w:hAnsi="Times New Roman" w:cs="Times New Roman"/>
                          <w:noProof/>
                          <w:sz w:val="24"/>
                          <w:szCs w:val="24"/>
                          <w:lang w:val="it-IT"/>
                        </w:rPr>
                        <w:t xml:space="preserve"> </w:t>
                      </w:r>
                      <w:r>
                        <w:rPr>
                          <w:rFonts w:ascii="Times New Roman" w:eastAsia="Times New Roman" w:hAnsi="Times New Roman" w:cs="Times New Roman"/>
                          <w:noProof/>
                          <w:sz w:val="24"/>
                          <w:szCs w:val="24"/>
                          <w:lang w:val="it-IT"/>
                        </w:rPr>
                        <w:t>së</w:t>
                      </w:r>
                      <w:r w:rsidRPr="0003275B">
                        <w:rPr>
                          <w:rFonts w:ascii="Times New Roman" w:eastAsia="Times New Roman" w:hAnsi="Times New Roman" w:cs="Times New Roman"/>
                          <w:noProof/>
                          <w:sz w:val="24"/>
                          <w:szCs w:val="24"/>
                          <w:lang w:val="it-IT"/>
                        </w:rPr>
                        <w:t xml:space="preserve"> mir</w:t>
                      </w:r>
                      <w:r w:rsidRPr="0003275B">
                        <w:rPr>
                          <w:rFonts w:ascii="Times New Roman" w:eastAsia="Times New Roman" w:hAnsi="Times New Roman" w:cs="Times New Roman"/>
                          <w:bCs/>
                          <w:sz w:val="24"/>
                          <w:szCs w:val="24"/>
                          <w:lang w:val="sq-AL"/>
                        </w:rPr>
                        <w:t>ë</w:t>
                      </w:r>
                      <w:r>
                        <w:rPr>
                          <w:rFonts w:ascii="Times New Roman" w:eastAsia="Times New Roman" w:hAnsi="Times New Roman" w:cs="Times New Roman"/>
                          <w:bCs/>
                          <w:sz w:val="24"/>
                          <w:szCs w:val="24"/>
                          <w:lang w:val="sq-AL"/>
                        </w:rPr>
                        <w:t>,</w:t>
                      </w:r>
                      <w:r w:rsidRPr="0003275B">
                        <w:rPr>
                          <w:rFonts w:ascii="Times New Roman" w:eastAsia="Times New Roman" w:hAnsi="Times New Roman" w:cs="Times New Roman"/>
                          <w:noProof/>
                          <w:sz w:val="24"/>
                          <w:szCs w:val="24"/>
                          <w:lang w:val="it-IT"/>
                        </w:rPr>
                        <w:t xml:space="preserve"> C- Cilësisë së mjaftueshme</w:t>
                      </w:r>
                      <w:r>
                        <w:rPr>
                          <w:rFonts w:ascii="Times New Roman" w:eastAsia="Times New Roman" w:hAnsi="Times New Roman" w:cs="Times New Roman"/>
                          <w:noProof/>
                          <w:sz w:val="24"/>
                          <w:szCs w:val="24"/>
                          <w:lang w:val="it-IT"/>
                        </w:rPr>
                        <w:t xml:space="preserve"> dhe D- Cilësisë së keqe të ujërave krahasuar me vitet 2021 dhe 2024</w:t>
                      </w:r>
                    </w:p>
                    <w:p w:rsidR="0064059F" w:rsidRDefault="0064059F" w:rsidP="00DD196F">
                      <w:pPr>
                        <w:rPr>
                          <w:rFonts w:ascii="Times New Roman" w:hAnsi="Times New Roman" w:cs="Times New Roman"/>
                          <w:sz w:val="24"/>
                          <w:szCs w:val="24"/>
                        </w:rPr>
                      </w:pPr>
                    </w:p>
                    <w:p w:rsidR="0064059F" w:rsidRDefault="0064059F" w:rsidP="00DD196F">
                      <w:pPr>
                        <w:spacing w:line="276" w:lineRule="auto"/>
                        <w:jc w:val="both"/>
                        <w:rPr>
                          <w:rFonts w:ascii="Times New Roman" w:eastAsia="Times New Roman" w:hAnsi="Times New Roman" w:cs="Times New Roman"/>
                          <w:sz w:val="24"/>
                          <w:szCs w:val="24"/>
                          <w:lang w:val="sq-AL"/>
                        </w:rPr>
                      </w:pPr>
                    </w:p>
                    <w:p w:rsidR="0064059F" w:rsidRDefault="0064059F" w:rsidP="00DD196F">
                      <w:pPr>
                        <w:jc w:val="center"/>
                      </w:pPr>
                    </w:p>
                  </w:txbxContent>
                </v:textbox>
              </v:rect>
            </w:pict>
          </mc:Fallback>
        </mc:AlternateContent>
      </w:r>
      <w:r w:rsidRPr="00DD196F">
        <w:rPr>
          <w:rFonts w:ascii="Times New Roman" w:eastAsiaTheme="minorEastAsia" w:hAnsi="Times New Roman" w:cs="Times New Roman"/>
          <w:noProof/>
          <w:sz w:val="24"/>
          <w:szCs w:val="24"/>
        </w:rPr>
        <w:drawing>
          <wp:anchor distT="0" distB="0" distL="114300" distR="114300" simplePos="0" relativeHeight="251642368" behindDoc="0" locked="0" layoutInCell="1" allowOverlap="1" wp14:anchorId="4FACEFFF" wp14:editId="387FDBAF">
            <wp:simplePos x="914400" y="1247775"/>
            <wp:positionH relativeFrom="column">
              <wp:align>left</wp:align>
            </wp:positionH>
            <wp:positionV relativeFrom="paragraph">
              <wp:align>top</wp:align>
            </wp:positionV>
            <wp:extent cx="3073400" cy="27051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072765" cy="2704541"/>
                    </a:xfrm>
                    <a:prstGeom prst="rect">
                      <a:avLst/>
                    </a:prstGeom>
                    <a:noFill/>
                  </pic:spPr>
                </pic:pic>
              </a:graphicData>
            </a:graphic>
            <wp14:sizeRelV relativeFrom="margin">
              <wp14:pctHeight>0</wp14:pctHeight>
            </wp14:sizeRelV>
          </wp:anchor>
        </w:drawing>
      </w:r>
      <w:r w:rsidR="00DD196F" w:rsidRPr="00DD196F">
        <w:rPr>
          <w:rFonts w:ascii="Times New Roman" w:eastAsiaTheme="minorEastAsia" w:hAnsi="Times New Roman" w:cs="Times New Roman"/>
          <w:sz w:val="24"/>
          <w:szCs w:val="24"/>
        </w:rPr>
        <w:br w:type="textWrapping" w:clear="all"/>
      </w:r>
      <w:r w:rsidR="00DD196F" w:rsidRPr="00DD196F">
        <w:rPr>
          <w:rFonts w:ascii="Times New Roman" w:eastAsia="Times New Roman" w:hAnsi="Times New Roman" w:cs="Times New Roman"/>
          <w:sz w:val="24"/>
          <w:szCs w:val="24"/>
          <w:lang w:val="it-IT"/>
        </w:rPr>
        <w:t>PLAZHI I LUKOVËS:</w:t>
      </w:r>
      <w:r w:rsidR="00DD196F" w:rsidRPr="00DD196F">
        <w:rPr>
          <w:rFonts w:ascii="Times New Roman" w:eastAsia="Times New Roman" w:hAnsi="Times New Roman" w:cs="Times New Roman"/>
          <w:b/>
          <w:sz w:val="24"/>
          <w:szCs w:val="24"/>
          <w:lang w:val="it-IT"/>
        </w:rPr>
        <w:t xml:space="preserve"> </w:t>
      </w:r>
      <w:r w:rsidR="00DD196F" w:rsidRPr="00DD196F">
        <w:rPr>
          <w:rFonts w:ascii="Times New Roman" w:eastAsia="Times New Roman" w:hAnsi="Times New Roman" w:cs="Times New Roman"/>
          <w:sz w:val="24"/>
          <w:szCs w:val="24"/>
          <w:lang w:val="sq-AL"/>
        </w:rPr>
        <w:t>Në plazhet e Lukovës u konstatua brez bregdetar i pastër</w:t>
      </w:r>
      <w:r w:rsidR="00DD196F" w:rsidRPr="00DD196F">
        <w:rPr>
          <w:rFonts w:ascii="Times New Roman" w:eastAsia="Calibri" w:hAnsi="Times New Roman" w:cs="Times New Roman"/>
          <w:sz w:val="24"/>
          <w:szCs w:val="24"/>
          <w:lang w:val="sq-AL"/>
        </w:rPr>
        <w:t xml:space="preserve"> me </w:t>
      </w:r>
      <w:r w:rsidR="00DD196F" w:rsidRPr="00DD196F">
        <w:rPr>
          <w:rFonts w:ascii="Times New Roman" w:eastAsia="Calibri" w:hAnsi="Times New Roman" w:cs="Times New Roman"/>
          <w:noProof/>
          <w:sz w:val="24"/>
          <w:szCs w:val="24"/>
          <w:lang w:val="sq-AL"/>
        </w:rPr>
        <w:t xml:space="preserve">kushte të përshtatshme, me </w:t>
      </w:r>
      <w:r w:rsidR="00DD196F" w:rsidRPr="00DD196F">
        <w:rPr>
          <w:rFonts w:ascii="Times New Roman" w:eastAsia="Times New Roman" w:hAnsi="Times New Roman" w:cs="Times New Roman"/>
          <w:sz w:val="24"/>
          <w:szCs w:val="24"/>
          <w:lang w:val="sq-AL"/>
        </w:rPr>
        <w:t>prezenc</w:t>
      </w:r>
      <w:r w:rsidR="00DD196F" w:rsidRPr="00DD196F">
        <w:rPr>
          <w:rFonts w:ascii="Times New Roman" w:eastAsia="Calibri" w:hAnsi="Times New Roman" w:cs="Times New Roman"/>
          <w:noProof/>
          <w:sz w:val="24"/>
          <w:szCs w:val="24"/>
          <w:lang w:val="sq-AL"/>
        </w:rPr>
        <w:t>ë</w:t>
      </w:r>
      <w:r w:rsidR="00DD196F" w:rsidRPr="00DD196F">
        <w:rPr>
          <w:rFonts w:ascii="Times New Roman" w:eastAsia="Times New Roman" w:hAnsi="Times New Roman" w:cs="Times New Roman"/>
          <w:sz w:val="24"/>
          <w:szCs w:val="24"/>
          <w:lang w:val="sq-AL"/>
        </w:rPr>
        <w:t xml:space="preserve"> t</w:t>
      </w:r>
      <w:r w:rsidR="00DD196F" w:rsidRPr="00DD196F">
        <w:rPr>
          <w:rFonts w:ascii="Times New Roman" w:eastAsia="Calibri" w:hAnsi="Times New Roman" w:cs="Times New Roman"/>
          <w:noProof/>
          <w:sz w:val="24"/>
          <w:szCs w:val="24"/>
          <w:lang w:val="sq-AL"/>
        </w:rPr>
        <w:t>ë</w:t>
      </w:r>
      <w:r w:rsidR="00DD196F" w:rsidRPr="00DD196F">
        <w:rPr>
          <w:rFonts w:ascii="Times New Roman" w:eastAsia="Times New Roman" w:hAnsi="Times New Roman" w:cs="Times New Roman"/>
          <w:sz w:val="24"/>
          <w:szCs w:val="24"/>
          <w:lang w:val="sq-AL"/>
        </w:rPr>
        <w:t xml:space="preserve"> dusheve, kosha të mbeturinave, dhoma për ndërrimin e veshjeve</w:t>
      </w:r>
      <w:r w:rsidR="00DD196F" w:rsidRPr="00DD196F">
        <w:rPr>
          <w:rFonts w:ascii="Times New Roman" w:eastAsia="Calibri" w:hAnsi="Times New Roman" w:cs="Times New Roman"/>
          <w:sz w:val="24"/>
          <w:szCs w:val="24"/>
          <w:lang w:val="sq-AL"/>
        </w:rPr>
        <w:t>, kulla vrojtimi dhe afishimi i rregullave p</w:t>
      </w:r>
      <w:r w:rsidR="00DD196F" w:rsidRPr="00DD196F">
        <w:rPr>
          <w:rFonts w:ascii="Times New Roman" w:eastAsia="Times New Roman" w:hAnsi="Times New Roman" w:cs="Times New Roman"/>
          <w:sz w:val="24"/>
          <w:szCs w:val="24"/>
          <w:lang w:val="sq-AL"/>
        </w:rPr>
        <w:t>ë</w:t>
      </w:r>
      <w:r w:rsidR="00DD196F" w:rsidRPr="00DD196F">
        <w:rPr>
          <w:rFonts w:ascii="Times New Roman" w:eastAsia="Calibri" w:hAnsi="Times New Roman" w:cs="Times New Roman"/>
          <w:sz w:val="24"/>
          <w:szCs w:val="24"/>
          <w:lang w:val="sq-AL"/>
        </w:rPr>
        <w:t>r zbatim nga frekuentuesit e plazheve. Nuk u konstatuan kanale t</w:t>
      </w:r>
      <w:r w:rsidR="00DD196F" w:rsidRPr="00DD196F">
        <w:rPr>
          <w:rFonts w:ascii="Times New Roman" w:eastAsia="Times New Roman" w:hAnsi="Times New Roman" w:cs="Times New Roman"/>
          <w:sz w:val="24"/>
          <w:szCs w:val="24"/>
          <w:lang w:val="sq-AL"/>
        </w:rPr>
        <w:t>ë</w:t>
      </w:r>
      <w:r w:rsidR="00DD196F" w:rsidRPr="00DD196F">
        <w:rPr>
          <w:rFonts w:ascii="Times New Roman" w:eastAsia="Calibri" w:hAnsi="Times New Roman" w:cs="Times New Roman"/>
          <w:sz w:val="24"/>
          <w:szCs w:val="24"/>
          <w:lang w:val="sq-AL"/>
        </w:rPr>
        <w:t xml:space="preserve"> hapura me derdhje t</w:t>
      </w:r>
      <w:r w:rsidR="00DD196F" w:rsidRPr="00DD196F">
        <w:rPr>
          <w:rFonts w:ascii="Times New Roman" w:eastAsia="Times New Roman" w:hAnsi="Times New Roman" w:cs="Times New Roman"/>
          <w:sz w:val="24"/>
          <w:szCs w:val="24"/>
          <w:lang w:val="sq-AL"/>
        </w:rPr>
        <w:t>ë</w:t>
      </w:r>
      <w:r w:rsidR="00DD196F" w:rsidRPr="00DD196F">
        <w:rPr>
          <w:rFonts w:ascii="Times New Roman" w:eastAsia="Calibri" w:hAnsi="Times New Roman" w:cs="Times New Roman"/>
          <w:sz w:val="24"/>
          <w:szCs w:val="24"/>
          <w:lang w:val="sq-AL"/>
        </w:rPr>
        <w:t xml:space="preserve"> drejtp</w:t>
      </w:r>
      <w:r w:rsidR="00DD196F" w:rsidRPr="00DD196F">
        <w:rPr>
          <w:rFonts w:ascii="Times New Roman" w:eastAsia="Times New Roman" w:hAnsi="Times New Roman" w:cs="Times New Roman"/>
          <w:sz w:val="24"/>
          <w:szCs w:val="24"/>
          <w:lang w:val="sq-AL"/>
        </w:rPr>
        <w:t>ë</w:t>
      </w:r>
      <w:r w:rsidR="00DD196F" w:rsidRPr="00DD196F">
        <w:rPr>
          <w:rFonts w:ascii="Times New Roman" w:eastAsia="Calibri" w:hAnsi="Times New Roman" w:cs="Times New Roman"/>
          <w:sz w:val="24"/>
          <w:szCs w:val="24"/>
          <w:lang w:val="sq-AL"/>
        </w:rPr>
        <w:t>rdrejta te uj</w:t>
      </w:r>
      <w:r w:rsidR="00DD196F" w:rsidRPr="00DD196F">
        <w:rPr>
          <w:rFonts w:ascii="Times New Roman" w:eastAsia="Times New Roman" w:hAnsi="Times New Roman" w:cs="Times New Roman"/>
          <w:sz w:val="24"/>
          <w:szCs w:val="24"/>
          <w:lang w:val="sq-AL"/>
        </w:rPr>
        <w:t>ë</w:t>
      </w:r>
      <w:r w:rsidR="00DD196F" w:rsidRPr="00DD196F">
        <w:rPr>
          <w:rFonts w:ascii="Times New Roman" w:eastAsia="Calibri" w:hAnsi="Times New Roman" w:cs="Times New Roman"/>
          <w:sz w:val="24"/>
          <w:szCs w:val="24"/>
          <w:lang w:val="sq-AL"/>
        </w:rPr>
        <w:t>rave n</w:t>
      </w:r>
      <w:r w:rsidR="00DD196F" w:rsidRPr="00DD196F">
        <w:rPr>
          <w:rFonts w:ascii="Times New Roman" w:eastAsia="Times New Roman" w:hAnsi="Times New Roman" w:cs="Times New Roman"/>
          <w:sz w:val="24"/>
          <w:szCs w:val="24"/>
          <w:lang w:val="sq-AL"/>
        </w:rPr>
        <w:t>ë</w:t>
      </w:r>
      <w:r w:rsidR="00DD196F" w:rsidRPr="00DD196F">
        <w:rPr>
          <w:rFonts w:ascii="Times New Roman" w:eastAsia="Calibri" w:hAnsi="Times New Roman" w:cs="Times New Roman"/>
          <w:sz w:val="24"/>
          <w:szCs w:val="24"/>
          <w:lang w:val="sq-AL"/>
        </w:rPr>
        <w:t xml:space="preserve"> det. Kanali q</w:t>
      </w:r>
      <w:r w:rsidR="00DD196F" w:rsidRPr="00DD196F">
        <w:rPr>
          <w:rFonts w:ascii="Times New Roman" w:eastAsia="Times New Roman" w:hAnsi="Times New Roman" w:cs="Times New Roman"/>
          <w:sz w:val="24"/>
          <w:szCs w:val="24"/>
          <w:lang w:val="sq-AL"/>
        </w:rPr>
        <w:t>ë</w:t>
      </w:r>
      <w:r w:rsidR="00DD196F" w:rsidRPr="00DD196F">
        <w:rPr>
          <w:rFonts w:ascii="Times New Roman" w:eastAsia="Calibri" w:hAnsi="Times New Roman" w:cs="Times New Roman"/>
          <w:sz w:val="24"/>
          <w:szCs w:val="24"/>
          <w:lang w:val="sq-AL"/>
        </w:rPr>
        <w:t xml:space="preserve"> ka qen</w:t>
      </w:r>
      <w:r w:rsidR="00DD196F" w:rsidRPr="00DD196F">
        <w:rPr>
          <w:rFonts w:ascii="Times New Roman" w:eastAsia="Times New Roman" w:hAnsi="Times New Roman" w:cs="Times New Roman"/>
          <w:sz w:val="24"/>
          <w:szCs w:val="24"/>
          <w:lang w:val="sq-AL"/>
        </w:rPr>
        <w:t>ë</w:t>
      </w:r>
      <w:r w:rsidR="00DD196F" w:rsidRPr="00DD196F">
        <w:rPr>
          <w:rFonts w:ascii="Times New Roman" w:eastAsia="Calibri" w:hAnsi="Times New Roman" w:cs="Times New Roman"/>
          <w:sz w:val="24"/>
          <w:szCs w:val="24"/>
          <w:lang w:val="sq-AL"/>
        </w:rPr>
        <w:t xml:space="preserve"> n</w:t>
      </w:r>
      <w:r w:rsidR="00DD196F" w:rsidRPr="00DD196F">
        <w:rPr>
          <w:rFonts w:ascii="Times New Roman" w:eastAsia="Times New Roman" w:hAnsi="Times New Roman" w:cs="Times New Roman"/>
          <w:sz w:val="24"/>
          <w:szCs w:val="24"/>
          <w:lang w:val="sq-AL"/>
        </w:rPr>
        <w:t>ë</w:t>
      </w:r>
      <w:r w:rsidR="00DD196F" w:rsidRPr="00DD196F">
        <w:rPr>
          <w:rFonts w:ascii="Times New Roman" w:eastAsia="Calibri" w:hAnsi="Times New Roman" w:cs="Times New Roman"/>
          <w:sz w:val="24"/>
          <w:szCs w:val="24"/>
          <w:lang w:val="sq-AL"/>
        </w:rPr>
        <w:t xml:space="preserve"> mes n</w:t>
      </w:r>
      <w:r w:rsidR="00DD196F" w:rsidRPr="00DD196F">
        <w:rPr>
          <w:rFonts w:ascii="Times New Roman" w:eastAsia="Times New Roman" w:hAnsi="Times New Roman" w:cs="Times New Roman"/>
          <w:sz w:val="24"/>
          <w:szCs w:val="24"/>
          <w:lang w:val="sq-AL"/>
        </w:rPr>
        <w:t>ë</w:t>
      </w:r>
      <w:r w:rsidR="00DD196F" w:rsidRPr="00DD196F">
        <w:rPr>
          <w:rFonts w:ascii="Times New Roman" w:eastAsia="Calibri" w:hAnsi="Times New Roman" w:cs="Times New Roman"/>
          <w:sz w:val="24"/>
          <w:szCs w:val="24"/>
          <w:lang w:val="sq-AL"/>
        </w:rPr>
        <w:t xml:space="preserve"> hyrje ishte i boshatisur pa uj</w:t>
      </w:r>
      <w:r w:rsidR="00DD196F" w:rsidRPr="00DD196F">
        <w:rPr>
          <w:rFonts w:ascii="Times New Roman" w:eastAsia="Times New Roman" w:hAnsi="Times New Roman" w:cs="Times New Roman"/>
          <w:sz w:val="24"/>
          <w:szCs w:val="24"/>
          <w:lang w:val="sq-AL"/>
        </w:rPr>
        <w:t>ë.</w:t>
      </w:r>
      <w:r w:rsidR="00DD196F" w:rsidRPr="00DD196F">
        <w:rPr>
          <w:rFonts w:ascii="Times New Roman" w:eastAsia="Calibri" w:hAnsi="Times New Roman" w:cs="Times New Roman"/>
          <w:sz w:val="24"/>
          <w:szCs w:val="24"/>
          <w:lang w:val="sq-AL"/>
        </w:rPr>
        <w:t xml:space="preserve"> </w:t>
      </w:r>
      <w:r>
        <w:rPr>
          <w:rFonts w:ascii="Times New Roman" w:eastAsia="Times New Roman" w:hAnsi="Times New Roman" w:cs="Times New Roman"/>
          <w:sz w:val="24"/>
          <w:szCs w:val="24"/>
        </w:rPr>
        <w:t>N</w:t>
      </w:r>
      <w:r w:rsidR="00DD196F" w:rsidRPr="00DD196F">
        <w:rPr>
          <w:rFonts w:ascii="Times New Roman" w:eastAsia="Times New Roman" w:hAnsi="Times New Roman" w:cs="Times New Roman"/>
          <w:sz w:val="24"/>
          <w:szCs w:val="24"/>
        </w:rPr>
        <w:t>evojat sanitare për tualete përmbushen në subjekte</w:t>
      </w:r>
      <w:r>
        <w:rPr>
          <w:rFonts w:ascii="Times New Roman" w:eastAsia="Times New Roman" w:hAnsi="Times New Roman" w:cs="Times New Roman"/>
          <w:sz w:val="24"/>
          <w:szCs w:val="24"/>
        </w:rPr>
        <w:t>t private</w:t>
      </w:r>
      <w:r w:rsidR="00DD196F" w:rsidRPr="00DD196F">
        <w:rPr>
          <w:rFonts w:ascii="Times New Roman" w:eastAsia="Times New Roman" w:hAnsi="Times New Roman" w:cs="Times New Roman"/>
          <w:sz w:val="24"/>
          <w:szCs w:val="24"/>
          <w:lang w:val="sq-AL"/>
        </w:rPr>
        <w:t xml:space="preserve">. </w:t>
      </w:r>
      <w:r w:rsidR="00DD196F" w:rsidRPr="00DD196F">
        <w:rPr>
          <w:rFonts w:ascii="Times New Roman" w:eastAsia="Times New Roman" w:hAnsi="Times New Roman" w:cs="Times New Roman"/>
          <w:sz w:val="24"/>
          <w:szCs w:val="24"/>
          <w:lang w:val="it-IT"/>
        </w:rPr>
        <w:t>Gjat</w:t>
      </w:r>
      <w:r w:rsidR="00DD196F" w:rsidRPr="00DD196F">
        <w:rPr>
          <w:rFonts w:ascii="Times New Roman" w:eastAsia="Calibri" w:hAnsi="Times New Roman" w:cs="Times New Roman"/>
          <w:sz w:val="24"/>
          <w:szCs w:val="24"/>
          <w:lang w:val="it-IT"/>
        </w:rPr>
        <w:t>ë</w:t>
      </w:r>
      <w:r w:rsidR="00DD196F" w:rsidRPr="00DD196F">
        <w:rPr>
          <w:rFonts w:ascii="Times New Roman" w:eastAsia="Times New Roman" w:hAnsi="Times New Roman" w:cs="Times New Roman"/>
          <w:sz w:val="24"/>
          <w:szCs w:val="24"/>
          <w:lang w:val="it-IT"/>
        </w:rPr>
        <w:t xml:space="preserve"> muajve Korrik e Gusht u konstatua shtim i numrit t</w:t>
      </w:r>
      <w:r w:rsidR="00DD196F" w:rsidRPr="00DD196F">
        <w:rPr>
          <w:rFonts w:ascii="Times New Roman" w:eastAsia="Calibri" w:hAnsi="Times New Roman" w:cs="Times New Roman"/>
          <w:sz w:val="24"/>
          <w:szCs w:val="24"/>
          <w:lang w:val="it-IT"/>
        </w:rPr>
        <w:t>ë</w:t>
      </w:r>
      <w:r w:rsidR="00DD196F" w:rsidRPr="00DD196F">
        <w:rPr>
          <w:rFonts w:ascii="Times New Roman" w:eastAsia="Times New Roman" w:hAnsi="Times New Roman" w:cs="Times New Roman"/>
          <w:sz w:val="24"/>
          <w:szCs w:val="24"/>
          <w:lang w:val="it-IT"/>
        </w:rPr>
        <w:t xml:space="preserve"> frekuentuesve t</w:t>
      </w:r>
      <w:r w:rsidR="00DD196F" w:rsidRPr="00DD196F">
        <w:rPr>
          <w:rFonts w:ascii="Times New Roman" w:eastAsia="Calibri" w:hAnsi="Times New Roman" w:cs="Times New Roman"/>
          <w:sz w:val="24"/>
          <w:szCs w:val="24"/>
          <w:lang w:val="it-IT"/>
        </w:rPr>
        <w:t>ë</w:t>
      </w:r>
      <w:r w:rsidR="00DD196F" w:rsidRPr="00DD196F">
        <w:rPr>
          <w:rFonts w:ascii="Times New Roman" w:eastAsia="Times New Roman" w:hAnsi="Times New Roman" w:cs="Times New Roman"/>
          <w:sz w:val="24"/>
          <w:szCs w:val="24"/>
          <w:lang w:val="it-IT"/>
        </w:rPr>
        <w:t xml:space="preserve"> plazheve.   </w:t>
      </w:r>
    </w:p>
    <w:p w:rsidR="00DD196F" w:rsidRPr="00DD196F" w:rsidRDefault="00DD196F" w:rsidP="00A579C7">
      <w:pPr>
        <w:spacing w:after="0" w:line="240" w:lineRule="auto"/>
        <w:jc w:val="both"/>
        <w:rPr>
          <w:rFonts w:ascii="Times New Roman" w:eastAsia="Times New Roman" w:hAnsi="Times New Roman" w:cs="Times New Roman"/>
          <w:sz w:val="24"/>
          <w:szCs w:val="24"/>
          <w:lang w:val="it-IT"/>
        </w:rPr>
      </w:pPr>
      <w:r w:rsidRPr="00DD196F">
        <w:rPr>
          <w:rFonts w:ascii="Times New Roman" w:eastAsia="Times New Roman" w:hAnsi="Times New Roman" w:cs="Times New Roman"/>
          <w:sz w:val="24"/>
          <w:szCs w:val="24"/>
          <w:lang w:val="it-IT"/>
        </w:rPr>
        <w:t xml:space="preserve">                       </w:t>
      </w:r>
    </w:p>
    <w:p w:rsidR="00DD196F" w:rsidRPr="00DD196F" w:rsidRDefault="00DD196F" w:rsidP="00DD196F">
      <w:pPr>
        <w:spacing w:line="276" w:lineRule="auto"/>
        <w:jc w:val="both"/>
        <w:rPr>
          <w:rFonts w:ascii="Times New Roman" w:eastAsia="Times New Roman" w:hAnsi="Times New Roman" w:cs="Times New Roman"/>
          <w:b/>
          <w:sz w:val="24"/>
          <w:szCs w:val="24"/>
          <w:lang w:val="it-IT"/>
        </w:rPr>
      </w:pPr>
      <w:r w:rsidRPr="00DD196F">
        <w:rPr>
          <w:rFonts w:ascii="Times New Roman" w:eastAsia="Times New Roman" w:hAnsi="Times New Roman" w:cs="Times New Roman"/>
          <w:sz w:val="24"/>
          <w:szCs w:val="24"/>
          <w:lang w:val="it-IT"/>
        </w:rPr>
        <w:t xml:space="preserve">                               </w:t>
      </w:r>
      <w:r w:rsidRPr="00DD196F">
        <w:rPr>
          <w:rFonts w:ascii="Times New Roman" w:eastAsia="Times New Roman" w:hAnsi="Times New Roman" w:cs="Times New Roman"/>
          <w:b/>
          <w:sz w:val="24"/>
          <w:szCs w:val="24"/>
          <w:lang w:val="it-IT"/>
        </w:rPr>
        <w:t>●</w:t>
      </w:r>
      <w:r w:rsidRPr="00DD196F">
        <w:rPr>
          <w:rFonts w:ascii="Times New Roman" w:eastAsia="Times New Roman" w:hAnsi="Times New Roman" w:cs="Times New Roman"/>
          <w:b/>
          <w:noProof/>
          <w:lang w:val="it-IT"/>
        </w:rPr>
        <w:t xml:space="preserve"> </w:t>
      </w:r>
      <w:r w:rsidRPr="00DD196F">
        <w:rPr>
          <w:rFonts w:ascii="Times New Roman" w:eastAsia="Times New Roman" w:hAnsi="Times New Roman" w:cs="Times New Roman"/>
          <w:b/>
          <w:lang w:val="it-IT"/>
        </w:rPr>
        <w:t xml:space="preserve">Plazhi i </w:t>
      </w:r>
      <w:r w:rsidRPr="00DD196F">
        <w:rPr>
          <w:rFonts w:ascii="Times New Roman" w:eastAsia="Times New Roman" w:hAnsi="Times New Roman" w:cs="Times New Roman"/>
          <w:b/>
        </w:rPr>
        <w:t>Lukovës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60"/>
        <w:gridCol w:w="1610"/>
        <w:gridCol w:w="1244"/>
        <w:gridCol w:w="1202"/>
        <w:gridCol w:w="1037"/>
        <w:gridCol w:w="2089"/>
      </w:tblGrid>
      <w:tr w:rsidR="00E95EB4" w:rsidRPr="00854864" w:rsidTr="00854864">
        <w:trPr>
          <w:trHeight w:val="674"/>
        </w:trPr>
        <w:tc>
          <w:tcPr>
            <w:tcW w:w="1360" w:type="dxa"/>
            <w:shd w:val="clear" w:color="auto" w:fill="C5DFB3"/>
          </w:tcPr>
          <w:p w:rsidR="00DD196F" w:rsidRPr="00854864" w:rsidRDefault="00DD196F" w:rsidP="00DD196F">
            <w:pPr>
              <w:widowControl w:val="0"/>
              <w:autoSpaceDE w:val="0"/>
              <w:autoSpaceDN w:val="0"/>
              <w:spacing w:before="49" w:after="0" w:line="240" w:lineRule="auto"/>
              <w:ind w:left="65" w:right="58"/>
              <w:jc w:val="center"/>
              <w:rPr>
                <w:rFonts w:ascii="Times New Roman" w:eastAsia="Times New Roman" w:hAnsi="Times New Roman" w:cs="Times New Roman"/>
                <w:b/>
                <w:sz w:val="24"/>
                <w:szCs w:val="24"/>
                <w:lang w:val="sq-AL"/>
              </w:rPr>
            </w:pPr>
            <w:r w:rsidRPr="00854864">
              <w:rPr>
                <w:rFonts w:ascii="Times New Roman" w:eastAsia="Times New Roman" w:hAnsi="Times New Roman" w:cs="Times New Roman"/>
                <w:b/>
                <w:sz w:val="24"/>
                <w:szCs w:val="24"/>
                <w:lang w:val="sq-AL"/>
              </w:rPr>
              <w:t>Nr.</w:t>
            </w:r>
          </w:p>
          <w:p w:rsidR="00DD196F" w:rsidRPr="00854864" w:rsidRDefault="00DD196F" w:rsidP="00DD196F">
            <w:pPr>
              <w:widowControl w:val="0"/>
              <w:autoSpaceDE w:val="0"/>
              <w:autoSpaceDN w:val="0"/>
              <w:spacing w:before="5" w:after="0" w:line="240" w:lineRule="auto"/>
              <w:ind w:left="66" w:right="58"/>
              <w:jc w:val="center"/>
              <w:rPr>
                <w:rFonts w:ascii="Times New Roman" w:eastAsia="Times New Roman" w:hAnsi="Times New Roman" w:cs="Times New Roman"/>
                <w:b/>
                <w:sz w:val="24"/>
                <w:szCs w:val="24"/>
                <w:lang w:val="sq-AL"/>
              </w:rPr>
            </w:pPr>
            <w:r w:rsidRPr="00854864">
              <w:rPr>
                <w:rFonts w:ascii="Times New Roman" w:eastAsia="Times New Roman" w:hAnsi="Times New Roman" w:cs="Times New Roman"/>
                <w:b/>
                <w:sz w:val="24"/>
                <w:szCs w:val="24"/>
                <w:lang w:val="sq-AL"/>
              </w:rPr>
              <w:t>Stacioneve</w:t>
            </w:r>
          </w:p>
        </w:tc>
        <w:tc>
          <w:tcPr>
            <w:tcW w:w="1610" w:type="dxa"/>
            <w:shd w:val="clear" w:color="auto" w:fill="C5DFB3"/>
          </w:tcPr>
          <w:p w:rsidR="00DD196F" w:rsidRPr="00854864" w:rsidRDefault="00DD196F" w:rsidP="00DD196F">
            <w:pPr>
              <w:widowControl w:val="0"/>
              <w:autoSpaceDE w:val="0"/>
              <w:autoSpaceDN w:val="0"/>
              <w:spacing w:before="161" w:after="0" w:line="240" w:lineRule="auto"/>
              <w:ind w:left="63" w:right="57"/>
              <w:jc w:val="center"/>
              <w:rPr>
                <w:rFonts w:ascii="Times New Roman" w:eastAsia="Times New Roman" w:hAnsi="Times New Roman" w:cs="Times New Roman"/>
                <w:b/>
                <w:sz w:val="24"/>
                <w:szCs w:val="24"/>
                <w:lang w:val="sq-AL"/>
              </w:rPr>
            </w:pPr>
            <w:r w:rsidRPr="00854864">
              <w:rPr>
                <w:rFonts w:ascii="Times New Roman" w:eastAsia="Times New Roman" w:hAnsi="Times New Roman" w:cs="Times New Roman"/>
                <w:b/>
                <w:sz w:val="24"/>
                <w:szCs w:val="24"/>
                <w:lang w:val="sq-AL"/>
              </w:rPr>
              <w:t>Vendi</w:t>
            </w:r>
          </w:p>
        </w:tc>
        <w:tc>
          <w:tcPr>
            <w:tcW w:w="1244" w:type="dxa"/>
            <w:shd w:val="clear" w:color="auto" w:fill="C5DFB3"/>
          </w:tcPr>
          <w:p w:rsidR="00DD196F" w:rsidRPr="00854864" w:rsidRDefault="00DD196F" w:rsidP="00DD196F">
            <w:pPr>
              <w:widowControl w:val="0"/>
              <w:autoSpaceDE w:val="0"/>
              <w:autoSpaceDN w:val="0"/>
              <w:spacing w:before="1" w:after="0" w:line="240" w:lineRule="auto"/>
              <w:ind w:left="166"/>
              <w:rPr>
                <w:rFonts w:ascii="Times New Roman" w:eastAsia="Times New Roman" w:hAnsi="Times New Roman" w:cs="Times New Roman"/>
                <w:b/>
                <w:sz w:val="24"/>
                <w:szCs w:val="24"/>
                <w:lang w:val="sq-AL"/>
              </w:rPr>
            </w:pPr>
            <w:r w:rsidRPr="00854864">
              <w:rPr>
                <w:rFonts w:ascii="Times New Roman" w:eastAsia="Times New Roman" w:hAnsi="Times New Roman" w:cs="Times New Roman"/>
                <w:b/>
                <w:sz w:val="24"/>
                <w:szCs w:val="24"/>
                <w:lang w:val="sq-AL"/>
              </w:rPr>
              <w:t>FC</w:t>
            </w:r>
            <w:r w:rsidRPr="00854864">
              <w:rPr>
                <w:rFonts w:ascii="Times New Roman" w:eastAsia="Times New Roman" w:hAnsi="Times New Roman" w:cs="Times New Roman"/>
                <w:b/>
                <w:spacing w:val="4"/>
                <w:sz w:val="24"/>
                <w:szCs w:val="24"/>
                <w:lang w:val="sq-AL"/>
              </w:rPr>
              <w:t xml:space="preserve"> </w:t>
            </w:r>
            <w:r w:rsidRPr="00854864">
              <w:rPr>
                <w:rFonts w:ascii="Times New Roman" w:eastAsia="Times New Roman" w:hAnsi="Times New Roman" w:cs="Times New Roman"/>
                <w:b/>
                <w:sz w:val="24"/>
                <w:szCs w:val="24"/>
                <w:lang w:val="sq-AL"/>
              </w:rPr>
              <w:t>90%</w:t>
            </w:r>
            <w:r w:rsidRPr="00854864">
              <w:rPr>
                <w:rFonts w:ascii="Times New Roman" w:eastAsia="Times New Roman" w:hAnsi="Times New Roman" w:cs="Times New Roman"/>
                <w:b/>
                <w:spacing w:val="4"/>
                <w:sz w:val="24"/>
                <w:szCs w:val="24"/>
                <w:lang w:val="sq-AL"/>
              </w:rPr>
              <w:t xml:space="preserve"> </w:t>
            </w:r>
            <w:r w:rsidRPr="00854864">
              <w:rPr>
                <w:rFonts w:ascii="Times New Roman" w:eastAsia="Times New Roman" w:hAnsi="Times New Roman" w:cs="Times New Roman"/>
                <w:b/>
                <w:sz w:val="24"/>
                <w:szCs w:val="24"/>
                <w:lang w:val="sq-AL"/>
              </w:rPr>
              <w:t>-</w:t>
            </w:r>
          </w:p>
          <w:p w:rsidR="00DD196F" w:rsidRPr="00854864" w:rsidRDefault="00DD196F" w:rsidP="00DD196F">
            <w:pPr>
              <w:widowControl w:val="0"/>
              <w:autoSpaceDE w:val="0"/>
              <w:autoSpaceDN w:val="0"/>
              <w:spacing w:before="5" w:after="0" w:line="240" w:lineRule="auto"/>
              <w:ind w:left="110"/>
              <w:rPr>
                <w:rFonts w:ascii="Times New Roman" w:eastAsia="Times New Roman" w:hAnsi="Times New Roman" w:cs="Times New Roman"/>
                <w:b/>
                <w:sz w:val="24"/>
                <w:szCs w:val="24"/>
                <w:lang w:val="sq-AL"/>
              </w:rPr>
            </w:pPr>
            <w:r w:rsidRPr="00854864">
              <w:rPr>
                <w:rFonts w:ascii="Times New Roman" w:eastAsia="Times New Roman" w:hAnsi="Times New Roman" w:cs="Times New Roman"/>
                <w:b/>
                <w:sz w:val="24"/>
                <w:szCs w:val="24"/>
                <w:lang w:val="sq-AL"/>
              </w:rPr>
              <w:t>Norma</w:t>
            </w:r>
            <w:r w:rsidRPr="00854864">
              <w:rPr>
                <w:rFonts w:ascii="Times New Roman" w:eastAsia="Times New Roman" w:hAnsi="Times New Roman" w:cs="Times New Roman"/>
                <w:b/>
                <w:spacing w:val="8"/>
                <w:sz w:val="24"/>
                <w:szCs w:val="24"/>
                <w:lang w:val="sq-AL"/>
              </w:rPr>
              <w:t xml:space="preserve"> </w:t>
            </w:r>
            <w:r w:rsidRPr="00854864">
              <w:rPr>
                <w:rFonts w:ascii="Times New Roman" w:eastAsia="Times New Roman" w:hAnsi="Times New Roman" w:cs="Times New Roman"/>
                <w:b/>
                <w:sz w:val="24"/>
                <w:szCs w:val="24"/>
                <w:lang w:val="sq-AL"/>
              </w:rPr>
              <w:t>250</w:t>
            </w:r>
          </w:p>
        </w:tc>
        <w:tc>
          <w:tcPr>
            <w:tcW w:w="1202" w:type="dxa"/>
            <w:shd w:val="clear" w:color="auto" w:fill="C5DFB3"/>
          </w:tcPr>
          <w:p w:rsidR="00DD196F" w:rsidRPr="00854864" w:rsidRDefault="00DD196F" w:rsidP="00DD196F">
            <w:pPr>
              <w:widowControl w:val="0"/>
              <w:autoSpaceDE w:val="0"/>
              <w:autoSpaceDN w:val="0"/>
              <w:spacing w:before="1" w:after="0" w:line="240" w:lineRule="auto"/>
              <w:ind w:left="193"/>
              <w:rPr>
                <w:rFonts w:ascii="Times New Roman" w:eastAsia="Times New Roman" w:hAnsi="Times New Roman" w:cs="Times New Roman"/>
                <w:b/>
                <w:sz w:val="24"/>
                <w:szCs w:val="24"/>
                <w:lang w:val="sq-AL"/>
              </w:rPr>
            </w:pPr>
            <w:r w:rsidRPr="00854864">
              <w:rPr>
                <w:rFonts w:ascii="Times New Roman" w:eastAsia="Times New Roman" w:hAnsi="Times New Roman" w:cs="Times New Roman"/>
                <w:b/>
                <w:sz w:val="24"/>
                <w:szCs w:val="24"/>
                <w:lang w:val="sq-AL"/>
              </w:rPr>
              <w:t>IE</w:t>
            </w:r>
            <w:r w:rsidRPr="00854864">
              <w:rPr>
                <w:rFonts w:ascii="Times New Roman" w:eastAsia="Times New Roman" w:hAnsi="Times New Roman" w:cs="Times New Roman"/>
                <w:b/>
                <w:spacing w:val="4"/>
                <w:sz w:val="24"/>
                <w:szCs w:val="24"/>
                <w:lang w:val="sq-AL"/>
              </w:rPr>
              <w:t xml:space="preserve"> </w:t>
            </w:r>
            <w:r w:rsidRPr="00854864">
              <w:rPr>
                <w:rFonts w:ascii="Times New Roman" w:eastAsia="Times New Roman" w:hAnsi="Times New Roman" w:cs="Times New Roman"/>
                <w:b/>
                <w:sz w:val="24"/>
                <w:szCs w:val="24"/>
                <w:lang w:val="sq-AL"/>
              </w:rPr>
              <w:t>95%</w:t>
            </w:r>
            <w:r w:rsidRPr="00854864">
              <w:rPr>
                <w:rFonts w:ascii="Times New Roman" w:eastAsia="Times New Roman" w:hAnsi="Times New Roman" w:cs="Times New Roman"/>
                <w:b/>
                <w:spacing w:val="3"/>
                <w:sz w:val="24"/>
                <w:szCs w:val="24"/>
                <w:lang w:val="sq-AL"/>
              </w:rPr>
              <w:t xml:space="preserve"> </w:t>
            </w:r>
            <w:r w:rsidRPr="00854864">
              <w:rPr>
                <w:rFonts w:ascii="Times New Roman" w:eastAsia="Times New Roman" w:hAnsi="Times New Roman" w:cs="Times New Roman"/>
                <w:b/>
                <w:sz w:val="24"/>
                <w:szCs w:val="24"/>
                <w:lang w:val="sq-AL"/>
              </w:rPr>
              <w:t>-</w:t>
            </w:r>
          </w:p>
          <w:p w:rsidR="00DD196F" w:rsidRPr="00854864" w:rsidRDefault="00DD196F" w:rsidP="00DD196F">
            <w:pPr>
              <w:widowControl w:val="0"/>
              <w:autoSpaceDE w:val="0"/>
              <w:autoSpaceDN w:val="0"/>
              <w:spacing w:before="5" w:after="0" w:line="240" w:lineRule="auto"/>
              <w:ind w:left="109"/>
              <w:rPr>
                <w:rFonts w:ascii="Times New Roman" w:eastAsia="Times New Roman" w:hAnsi="Times New Roman" w:cs="Times New Roman"/>
                <w:b/>
                <w:sz w:val="24"/>
                <w:szCs w:val="24"/>
                <w:lang w:val="sq-AL"/>
              </w:rPr>
            </w:pPr>
            <w:r w:rsidRPr="00854864">
              <w:rPr>
                <w:rFonts w:ascii="Times New Roman" w:eastAsia="Times New Roman" w:hAnsi="Times New Roman" w:cs="Times New Roman"/>
                <w:b/>
                <w:sz w:val="24"/>
                <w:szCs w:val="24"/>
                <w:lang w:val="sq-AL"/>
              </w:rPr>
              <w:t>Norma</w:t>
            </w:r>
            <w:r w:rsidRPr="00854864">
              <w:rPr>
                <w:rFonts w:ascii="Times New Roman" w:eastAsia="Times New Roman" w:hAnsi="Times New Roman" w:cs="Times New Roman"/>
                <w:b/>
                <w:spacing w:val="8"/>
                <w:sz w:val="24"/>
                <w:szCs w:val="24"/>
                <w:lang w:val="sq-AL"/>
              </w:rPr>
              <w:t xml:space="preserve"> </w:t>
            </w:r>
            <w:r w:rsidRPr="00854864">
              <w:rPr>
                <w:rFonts w:ascii="Times New Roman" w:eastAsia="Times New Roman" w:hAnsi="Times New Roman" w:cs="Times New Roman"/>
                <w:b/>
                <w:sz w:val="24"/>
                <w:szCs w:val="24"/>
                <w:lang w:val="sq-AL"/>
              </w:rPr>
              <w:t>100</w:t>
            </w:r>
          </w:p>
        </w:tc>
        <w:tc>
          <w:tcPr>
            <w:tcW w:w="1037" w:type="dxa"/>
            <w:shd w:val="clear" w:color="auto" w:fill="C5DFB3"/>
          </w:tcPr>
          <w:p w:rsidR="00DD196F" w:rsidRPr="00854864" w:rsidRDefault="00DD196F" w:rsidP="00DD196F">
            <w:pPr>
              <w:widowControl w:val="0"/>
              <w:autoSpaceDE w:val="0"/>
              <w:autoSpaceDN w:val="0"/>
              <w:spacing w:before="1" w:after="0" w:line="240" w:lineRule="auto"/>
              <w:ind w:left="74"/>
              <w:rPr>
                <w:rFonts w:ascii="Times New Roman" w:eastAsia="Times New Roman" w:hAnsi="Times New Roman" w:cs="Times New Roman"/>
                <w:b/>
                <w:sz w:val="24"/>
                <w:szCs w:val="24"/>
                <w:lang w:val="sq-AL"/>
              </w:rPr>
            </w:pPr>
            <w:r w:rsidRPr="00854864">
              <w:rPr>
                <w:rFonts w:ascii="Times New Roman" w:eastAsia="Times New Roman" w:hAnsi="Times New Roman" w:cs="Times New Roman"/>
                <w:b/>
                <w:sz w:val="24"/>
                <w:szCs w:val="24"/>
                <w:lang w:val="sq-AL"/>
              </w:rPr>
              <w:t>Kategoria</w:t>
            </w:r>
          </w:p>
        </w:tc>
        <w:tc>
          <w:tcPr>
            <w:tcW w:w="2089" w:type="dxa"/>
            <w:shd w:val="clear" w:color="auto" w:fill="C5DFB3"/>
          </w:tcPr>
          <w:p w:rsidR="00DD196F" w:rsidRPr="00854864" w:rsidRDefault="00DD196F" w:rsidP="00DD196F">
            <w:pPr>
              <w:widowControl w:val="0"/>
              <w:autoSpaceDE w:val="0"/>
              <w:autoSpaceDN w:val="0"/>
              <w:spacing w:before="1" w:after="0" w:line="244" w:lineRule="auto"/>
              <w:ind w:left="458" w:firstLine="65"/>
              <w:rPr>
                <w:rFonts w:ascii="Times New Roman" w:eastAsia="Times New Roman" w:hAnsi="Times New Roman" w:cs="Times New Roman"/>
                <w:b/>
                <w:sz w:val="24"/>
                <w:szCs w:val="24"/>
                <w:lang w:val="sq-AL"/>
              </w:rPr>
            </w:pPr>
            <w:r w:rsidRPr="00854864">
              <w:rPr>
                <w:rFonts w:ascii="Times New Roman" w:eastAsia="Times New Roman" w:hAnsi="Times New Roman" w:cs="Times New Roman"/>
                <w:b/>
                <w:sz w:val="24"/>
                <w:szCs w:val="24"/>
                <w:lang w:val="sq-AL"/>
              </w:rPr>
              <w:t>Përqindja</w:t>
            </w:r>
            <w:r w:rsidRPr="00854864">
              <w:rPr>
                <w:rFonts w:ascii="Times New Roman" w:eastAsia="Times New Roman" w:hAnsi="Times New Roman" w:cs="Times New Roman"/>
                <w:b/>
                <w:spacing w:val="7"/>
                <w:sz w:val="24"/>
                <w:szCs w:val="24"/>
                <w:lang w:val="sq-AL"/>
              </w:rPr>
              <w:t xml:space="preserve"> </w:t>
            </w:r>
            <w:r w:rsidRPr="00854864">
              <w:rPr>
                <w:rFonts w:ascii="Times New Roman" w:eastAsia="Times New Roman" w:hAnsi="Times New Roman" w:cs="Times New Roman"/>
                <w:b/>
                <w:sz w:val="24"/>
                <w:szCs w:val="24"/>
                <w:lang w:val="sq-AL"/>
              </w:rPr>
              <w:t>e</w:t>
            </w:r>
            <w:r w:rsidRPr="00854864">
              <w:rPr>
                <w:rFonts w:ascii="Times New Roman" w:eastAsia="Times New Roman" w:hAnsi="Times New Roman" w:cs="Times New Roman"/>
                <w:b/>
                <w:spacing w:val="1"/>
                <w:sz w:val="24"/>
                <w:szCs w:val="24"/>
                <w:lang w:val="sq-AL"/>
              </w:rPr>
              <w:t xml:space="preserve"> </w:t>
            </w:r>
            <w:r w:rsidRPr="00854864">
              <w:rPr>
                <w:rFonts w:ascii="Times New Roman" w:eastAsia="Times New Roman" w:hAnsi="Times New Roman" w:cs="Times New Roman"/>
                <w:b/>
                <w:sz w:val="24"/>
                <w:szCs w:val="24"/>
                <w:lang w:val="sq-AL"/>
              </w:rPr>
              <w:t>stacioneve</w:t>
            </w:r>
            <w:r w:rsidRPr="00854864">
              <w:rPr>
                <w:rFonts w:ascii="Times New Roman" w:eastAsia="Times New Roman" w:hAnsi="Times New Roman" w:cs="Times New Roman"/>
                <w:b/>
                <w:spacing w:val="5"/>
                <w:sz w:val="24"/>
                <w:szCs w:val="24"/>
                <w:lang w:val="sq-AL"/>
              </w:rPr>
              <w:t xml:space="preserve"> </w:t>
            </w:r>
            <w:r w:rsidRPr="00854864">
              <w:rPr>
                <w:rFonts w:ascii="Times New Roman" w:eastAsia="Times New Roman" w:hAnsi="Times New Roman" w:cs="Times New Roman"/>
                <w:b/>
                <w:sz w:val="24"/>
                <w:szCs w:val="24"/>
                <w:lang w:val="sq-AL"/>
              </w:rPr>
              <w:t>%</w:t>
            </w:r>
          </w:p>
        </w:tc>
      </w:tr>
      <w:tr w:rsidR="00E95EB4" w:rsidRPr="00854864" w:rsidTr="00854864">
        <w:trPr>
          <w:trHeight w:val="575"/>
        </w:trPr>
        <w:tc>
          <w:tcPr>
            <w:tcW w:w="1360" w:type="dxa"/>
          </w:tcPr>
          <w:p w:rsidR="00DD196F" w:rsidRPr="00854864" w:rsidRDefault="00DD196F" w:rsidP="00DD196F">
            <w:pPr>
              <w:widowControl w:val="0"/>
              <w:autoSpaceDE w:val="0"/>
              <w:autoSpaceDN w:val="0"/>
              <w:spacing w:after="0" w:line="198" w:lineRule="exact"/>
              <w:ind w:left="8"/>
              <w:jc w:val="center"/>
              <w:rPr>
                <w:rFonts w:ascii="Times New Roman" w:eastAsia="Times New Roman" w:hAnsi="Times New Roman" w:cs="Times New Roman"/>
                <w:sz w:val="24"/>
                <w:szCs w:val="24"/>
                <w:lang w:val="sq-AL"/>
              </w:rPr>
            </w:pPr>
            <w:r w:rsidRPr="00854864">
              <w:rPr>
                <w:rFonts w:ascii="Times New Roman" w:eastAsia="Times New Roman" w:hAnsi="Times New Roman" w:cs="Times New Roman"/>
                <w:w w:val="102"/>
                <w:sz w:val="24"/>
                <w:szCs w:val="24"/>
                <w:lang w:val="sq-AL"/>
              </w:rPr>
              <w:t>1</w:t>
            </w:r>
          </w:p>
        </w:tc>
        <w:tc>
          <w:tcPr>
            <w:tcW w:w="1610" w:type="dxa"/>
          </w:tcPr>
          <w:p w:rsidR="00DD196F" w:rsidRPr="00854864" w:rsidRDefault="00DD196F" w:rsidP="00DD196F">
            <w:pPr>
              <w:widowControl w:val="0"/>
              <w:autoSpaceDE w:val="0"/>
              <w:autoSpaceDN w:val="0"/>
              <w:spacing w:after="0" w:line="198" w:lineRule="exact"/>
              <w:ind w:left="76"/>
              <w:rPr>
                <w:rFonts w:ascii="Times New Roman" w:eastAsia="Times New Roman" w:hAnsi="Times New Roman" w:cs="Times New Roman"/>
                <w:sz w:val="24"/>
                <w:szCs w:val="24"/>
                <w:lang w:val="sq-AL"/>
              </w:rPr>
            </w:pPr>
            <w:r w:rsidRPr="00854864">
              <w:rPr>
                <w:rFonts w:ascii="Times New Roman" w:eastAsia="Times New Roman" w:hAnsi="Times New Roman" w:cs="Times New Roman"/>
                <w:sz w:val="24"/>
                <w:szCs w:val="24"/>
                <w:lang w:val="sq-AL"/>
              </w:rPr>
              <w:t>Lukova</w:t>
            </w:r>
            <w:r w:rsidRPr="00854864">
              <w:rPr>
                <w:rFonts w:ascii="Times New Roman" w:eastAsia="Times New Roman" w:hAnsi="Times New Roman" w:cs="Times New Roman"/>
                <w:spacing w:val="11"/>
                <w:sz w:val="24"/>
                <w:szCs w:val="24"/>
                <w:lang w:val="sq-AL"/>
              </w:rPr>
              <w:t xml:space="preserve"> </w:t>
            </w:r>
            <w:r w:rsidRPr="00854864">
              <w:rPr>
                <w:rFonts w:ascii="Times New Roman" w:eastAsia="Times New Roman" w:hAnsi="Times New Roman" w:cs="Times New Roman"/>
                <w:sz w:val="24"/>
                <w:szCs w:val="24"/>
                <w:lang w:val="sq-AL"/>
              </w:rPr>
              <w:t>Djathtas</w:t>
            </w:r>
          </w:p>
        </w:tc>
        <w:tc>
          <w:tcPr>
            <w:tcW w:w="1244" w:type="dxa"/>
          </w:tcPr>
          <w:p w:rsidR="00DD196F" w:rsidRPr="00854864" w:rsidRDefault="00DD196F" w:rsidP="00DD196F">
            <w:pPr>
              <w:widowControl w:val="0"/>
              <w:autoSpaceDE w:val="0"/>
              <w:autoSpaceDN w:val="0"/>
              <w:spacing w:after="0" w:line="198" w:lineRule="exact"/>
              <w:ind w:left="76"/>
              <w:rPr>
                <w:rFonts w:ascii="Times New Roman" w:eastAsia="Times New Roman" w:hAnsi="Times New Roman" w:cs="Times New Roman"/>
                <w:sz w:val="24"/>
                <w:szCs w:val="24"/>
                <w:lang w:val="sq-AL"/>
              </w:rPr>
            </w:pPr>
            <w:r w:rsidRPr="00854864">
              <w:rPr>
                <w:rFonts w:ascii="Times New Roman" w:eastAsia="Times New Roman" w:hAnsi="Times New Roman" w:cs="Times New Roman"/>
                <w:sz w:val="24"/>
                <w:szCs w:val="24"/>
                <w:lang w:val="sq-AL"/>
              </w:rPr>
              <w:t>48</w:t>
            </w:r>
          </w:p>
        </w:tc>
        <w:tc>
          <w:tcPr>
            <w:tcW w:w="1202" w:type="dxa"/>
          </w:tcPr>
          <w:p w:rsidR="00DD196F" w:rsidRPr="00854864" w:rsidRDefault="00DD196F" w:rsidP="00DD196F">
            <w:pPr>
              <w:widowControl w:val="0"/>
              <w:autoSpaceDE w:val="0"/>
              <w:autoSpaceDN w:val="0"/>
              <w:spacing w:after="0" w:line="198" w:lineRule="exact"/>
              <w:ind w:left="75"/>
              <w:rPr>
                <w:rFonts w:ascii="Times New Roman" w:eastAsia="Times New Roman" w:hAnsi="Times New Roman" w:cs="Times New Roman"/>
                <w:sz w:val="24"/>
                <w:szCs w:val="24"/>
                <w:lang w:val="sq-AL"/>
              </w:rPr>
            </w:pPr>
            <w:r w:rsidRPr="00854864">
              <w:rPr>
                <w:rFonts w:ascii="Times New Roman" w:eastAsia="Times New Roman" w:hAnsi="Times New Roman" w:cs="Times New Roman"/>
                <w:sz w:val="24"/>
                <w:szCs w:val="24"/>
                <w:lang w:val="sq-AL"/>
              </w:rPr>
              <w:t>37</w:t>
            </w:r>
          </w:p>
        </w:tc>
        <w:tc>
          <w:tcPr>
            <w:tcW w:w="1037" w:type="dxa"/>
          </w:tcPr>
          <w:p w:rsidR="00DD196F" w:rsidRPr="00854864" w:rsidRDefault="00DD196F" w:rsidP="00DD196F">
            <w:pPr>
              <w:widowControl w:val="0"/>
              <w:autoSpaceDE w:val="0"/>
              <w:autoSpaceDN w:val="0"/>
              <w:spacing w:after="0" w:line="198" w:lineRule="exact"/>
              <w:ind w:left="67"/>
              <w:rPr>
                <w:rFonts w:ascii="Times New Roman" w:eastAsia="Times New Roman" w:hAnsi="Times New Roman" w:cs="Times New Roman"/>
                <w:sz w:val="24"/>
                <w:szCs w:val="24"/>
                <w:lang w:val="sq-AL"/>
              </w:rPr>
            </w:pPr>
            <w:r w:rsidRPr="00854864">
              <w:rPr>
                <w:rFonts w:ascii="Times New Roman" w:eastAsia="Times New Roman" w:hAnsi="Times New Roman" w:cs="Times New Roman"/>
                <w:w w:val="102"/>
                <w:sz w:val="24"/>
                <w:szCs w:val="24"/>
                <w:lang w:val="sq-AL"/>
              </w:rPr>
              <w:t>A</w:t>
            </w:r>
          </w:p>
        </w:tc>
        <w:tc>
          <w:tcPr>
            <w:tcW w:w="2089" w:type="dxa"/>
            <w:vMerge w:val="restart"/>
          </w:tcPr>
          <w:p w:rsidR="00DD196F" w:rsidRPr="00854864" w:rsidRDefault="00DD196F" w:rsidP="00DD196F">
            <w:pPr>
              <w:widowControl w:val="0"/>
              <w:autoSpaceDE w:val="0"/>
              <w:autoSpaceDN w:val="0"/>
              <w:spacing w:after="0" w:line="244" w:lineRule="auto"/>
              <w:ind w:left="74"/>
              <w:rPr>
                <w:rFonts w:ascii="Times New Roman" w:eastAsia="Times New Roman" w:hAnsi="Times New Roman" w:cs="Times New Roman"/>
                <w:sz w:val="24"/>
                <w:szCs w:val="24"/>
                <w:lang w:val="sq-AL"/>
              </w:rPr>
            </w:pPr>
            <w:r w:rsidRPr="00854864">
              <w:rPr>
                <w:rFonts w:ascii="Times New Roman" w:eastAsia="Times New Roman" w:hAnsi="Times New Roman" w:cs="Times New Roman"/>
                <w:sz w:val="24"/>
                <w:szCs w:val="24"/>
                <w:lang w:val="sq-AL"/>
              </w:rPr>
              <w:t>100%</w:t>
            </w:r>
            <w:r w:rsidRPr="00854864">
              <w:rPr>
                <w:rFonts w:ascii="Times New Roman" w:eastAsia="Times New Roman" w:hAnsi="Times New Roman" w:cs="Times New Roman"/>
                <w:spacing w:val="3"/>
                <w:sz w:val="24"/>
                <w:szCs w:val="24"/>
                <w:lang w:val="sq-AL"/>
              </w:rPr>
              <w:t xml:space="preserve"> </w:t>
            </w:r>
            <w:r w:rsidRPr="00854864">
              <w:rPr>
                <w:rFonts w:ascii="Times New Roman" w:eastAsia="Times New Roman" w:hAnsi="Times New Roman" w:cs="Times New Roman"/>
                <w:sz w:val="24"/>
                <w:szCs w:val="24"/>
                <w:lang w:val="sq-AL"/>
              </w:rPr>
              <w:t>A-</w:t>
            </w:r>
            <w:r w:rsidRPr="00854864">
              <w:rPr>
                <w:rFonts w:ascii="Times New Roman" w:eastAsia="Times New Roman" w:hAnsi="Times New Roman" w:cs="Times New Roman"/>
                <w:spacing w:val="4"/>
                <w:sz w:val="24"/>
                <w:szCs w:val="24"/>
                <w:lang w:val="sq-AL"/>
              </w:rPr>
              <w:t xml:space="preserve"> </w:t>
            </w:r>
            <w:r w:rsidRPr="00854864">
              <w:rPr>
                <w:rFonts w:ascii="Times New Roman" w:eastAsia="Times New Roman" w:hAnsi="Times New Roman" w:cs="Times New Roman"/>
                <w:sz w:val="24"/>
                <w:szCs w:val="24"/>
                <w:lang w:val="sq-AL"/>
              </w:rPr>
              <w:t>Cilësi</w:t>
            </w:r>
            <w:r w:rsidRPr="00854864">
              <w:rPr>
                <w:rFonts w:ascii="Times New Roman" w:eastAsia="Times New Roman" w:hAnsi="Times New Roman" w:cs="Times New Roman"/>
                <w:spacing w:val="4"/>
                <w:sz w:val="24"/>
                <w:szCs w:val="24"/>
                <w:lang w:val="sq-AL"/>
              </w:rPr>
              <w:t xml:space="preserve"> </w:t>
            </w:r>
            <w:r w:rsidRPr="00854864">
              <w:rPr>
                <w:rFonts w:ascii="Times New Roman" w:eastAsia="Times New Roman" w:hAnsi="Times New Roman" w:cs="Times New Roman"/>
                <w:sz w:val="24"/>
                <w:szCs w:val="24"/>
                <w:lang w:val="sq-AL"/>
              </w:rPr>
              <w:t>e</w:t>
            </w:r>
            <w:r w:rsidRPr="00854864">
              <w:rPr>
                <w:rFonts w:ascii="Times New Roman" w:eastAsia="Times New Roman" w:hAnsi="Times New Roman" w:cs="Times New Roman"/>
                <w:spacing w:val="-44"/>
                <w:sz w:val="24"/>
                <w:szCs w:val="24"/>
                <w:lang w:val="sq-AL"/>
              </w:rPr>
              <w:t xml:space="preserve"> </w:t>
            </w:r>
            <w:r w:rsidRPr="00854864">
              <w:rPr>
                <w:rFonts w:ascii="Times New Roman" w:eastAsia="Times New Roman" w:hAnsi="Times New Roman" w:cs="Times New Roman"/>
                <w:sz w:val="24"/>
                <w:szCs w:val="24"/>
                <w:lang w:val="sq-AL"/>
              </w:rPr>
              <w:t>shkëlqyer</w:t>
            </w:r>
          </w:p>
        </w:tc>
      </w:tr>
      <w:tr w:rsidR="00E95EB4" w:rsidRPr="00854864" w:rsidTr="00854864">
        <w:trPr>
          <w:trHeight w:val="440"/>
        </w:trPr>
        <w:tc>
          <w:tcPr>
            <w:tcW w:w="1360" w:type="dxa"/>
          </w:tcPr>
          <w:p w:rsidR="00DD196F" w:rsidRPr="00854864" w:rsidRDefault="00DD196F" w:rsidP="00DD196F">
            <w:pPr>
              <w:widowControl w:val="0"/>
              <w:autoSpaceDE w:val="0"/>
              <w:autoSpaceDN w:val="0"/>
              <w:spacing w:after="0" w:line="198" w:lineRule="exact"/>
              <w:ind w:left="8"/>
              <w:jc w:val="center"/>
              <w:rPr>
                <w:rFonts w:ascii="Times New Roman" w:eastAsia="Times New Roman" w:hAnsi="Times New Roman" w:cs="Times New Roman"/>
                <w:sz w:val="24"/>
                <w:szCs w:val="24"/>
                <w:lang w:val="sq-AL"/>
              </w:rPr>
            </w:pPr>
            <w:r w:rsidRPr="00854864">
              <w:rPr>
                <w:rFonts w:ascii="Times New Roman" w:eastAsia="Times New Roman" w:hAnsi="Times New Roman" w:cs="Times New Roman"/>
                <w:w w:val="102"/>
                <w:sz w:val="24"/>
                <w:szCs w:val="24"/>
                <w:lang w:val="sq-AL"/>
              </w:rPr>
              <w:t>2</w:t>
            </w:r>
          </w:p>
        </w:tc>
        <w:tc>
          <w:tcPr>
            <w:tcW w:w="1610" w:type="dxa"/>
          </w:tcPr>
          <w:p w:rsidR="00DD196F" w:rsidRPr="00854864" w:rsidRDefault="00DD196F" w:rsidP="00DD196F">
            <w:pPr>
              <w:widowControl w:val="0"/>
              <w:autoSpaceDE w:val="0"/>
              <w:autoSpaceDN w:val="0"/>
              <w:spacing w:after="0" w:line="198" w:lineRule="exact"/>
              <w:ind w:left="76"/>
              <w:rPr>
                <w:rFonts w:ascii="Times New Roman" w:eastAsia="Times New Roman" w:hAnsi="Times New Roman" w:cs="Times New Roman"/>
                <w:sz w:val="24"/>
                <w:szCs w:val="24"/>
                <w:lang w:val="sq-AL"/>
              </w:rPr>
            </w:pPr>
            <w:r w:rsidRPr="00854864">
              <w:rPr>
                <w:rFonts w:ascii="Times New Roman" w:eastAsia="Times New Roman" w:hAnsi="Times New Roman" w:cs="Times New Roman"/>
                <w:sz w:val="24"/>
                <w:szCs w:val="24"/>
                <w:lang w:val="sq-AL"/>
              </w:rPr>
              <w:t>Lukova</w:t>
            </w:r>
            <w:r w:rsidRPr="00854864">
              <w:rPr>
                <w:rFonts w:ascii="Times New Roman" w:eastAsia="Times New Roman" w:hAnsi="Times New Roman" w:cs="Times New Roman"/>
                <w:spacing w:val="7"/>
                <w:sz w:val="24"/>
                <w:szCs w:val="24"/>
                <w:lang w:val="sq-AL"/>
              </w:rPr>
              <w:t xml:space="preserve"> </w:t>
            </w:r>
            <w:r w:rsidRPr="00854864">
              <w:rPr>
                <w:rFonts w:ascii="Times New Roman" w:eastAsia="Times New Roman" w:hAnsi="Times New Roman" w:cs="Times New Roman"/>
                <w:sz w:val="24"/>
                <w:szCs w:val="24"/>
                <w:lang w:val="sq-AL"/>
              </w:rPr>
              <w:t>në</w:t>
            </w:r>
            <w:r w:rsidRPr="00854864">
              <w:rPr>
                <w:rFonts w:ascii="Times New Roman" w:eastAsia="Times New Roman" w:hAnsi="Times New Roman" w:cs="Times New Roman"/>
                <w:spacing w:val="7"/>
                <w:sz w:val="24"/>
                <w:szCs w:val="24"/>
                <w:lang w:val="sq-AL"/>
              </w:rPr>
              <w:t xml:space="preserve"> </w:t>
            </w:r>
            <w:r w:rsidRPr="00854864">
              <w:rPr>
                <w:rFonts w:ascii="Times New Roman" w:eastAsia="Times New Roman" w:hAnsi="Times New Roman" w:cs="Times New Roman"/>
                <w:sz w:val="24"/>
                <w:szCs w:val="24"/>
                <w:lang w:val="sq-AL"/>
              </w:rPr>
              <w:t>mes</w:t>
            </w:r>
          </w:p>
        </w:tc>
        <w:tc>
          <w:tcPr>
            <w:tcW w:w="1244" w:type="dxa"/>
          </w:tcPr>
          <w:p w:rsidR="00DD196F" w:rsidRPr="00854864" w:rsidRDefault="00DD196F" w:rsidP="00DD196F">
            <w:pPr>
              <w:widowControl w:val="0"/>
              <w:autoSpaceDE w:val="0"/>
              <w:autoSpaceDN w:val="0"/>
              <w:spacing w:after="0" w:line="198" w:lineRule="exact"/>
              <w:ind w:left="76"/>
              <w:rPr>
                <w:rFonts w:ascii="Times New Roman" w:eastAsia="Times New Roman" w:hAnsi="Times New Roman" w:cs="Times New Roman"/>
                <w:sz w:val="24"/>
                <w:szCs w:val="24"/>
                <w:lang w:val="sq-AL"/>
              </w:rPr>
            </w:pPr>
            <w:r w:rsidRPr="00854864">
              <w:rPr>
                <w:rFonts w:ascii="Times New Roman" w:eastAsia="Times New Roman" w:hAnsi="Times New Roman" w:cs="Times New Roman"/>
                <w:sz w:val="24"/>
                <w:szCs w:val="24"/>
                <w:lang w:val="sq-AL"/>
              </w:rPr>
              <w:t>38</w:t>
            </w:r>
          </w:p>
        </w:tc>
        <w:tc>
          <w:tcPr>
            <w:tcW w:w="1202" w:type="dxa"/>
          </w:tcPr>
          <w:p w:rsidR="00DD196F" w:rsidRPr="00854864" w:rsidRDefault="00DD196F" w:rsidP="00DD196F">
            <w:pPr>
              <w:widowControl w:val="0"/>
              <w:autoSpaceDE w:val="0"/>
              <w:autoSpaceDN w:val="0"/>
              <w:spacing w:after="0" w:line="198" w:lineRule="exact"/>
              <w:ind w:left="75"/>
              <w:rPr>
                <w:rFonts w:ascii="Times New Roman" w:eastAsia="Times New Roman" w:hAnsi="Times New Roman" w:cs="Times New Roman"/>
                <w:sz w:val="24"/>
                <w:szCs w:val="24"/>
                <w:lang w:val="sq-AL"/>
              </w:rPr>
            </w:pPr>
            <w:r w:rsidRPr="00854864">
              <w:rPr>
                <w:rFonts w:ascii="Times New Roman" w:eastAsia="Times New Roman" w:hAnsi="Times New Roman" w:cs="Times New Roman"/>
                <w:sz w:val="24"/>
                <w:szCs w:val="24"/>
                <w:lang w:val="sq-AL"/>
              </w:rPr>
              <w:t>40</w:t>
            </w:r>
          </w:p>
        </w:tc>
        <w:tc>
          <w:tcPr>
            <w:tcW w:w="1037" w:type="dxa"/>
          </w:tcPr>
          <w:p w:rsidR="00DD196F" w:rsidRPr="00854864" w:rsidRDefault="00DD196F" w:rsidP="00DD196F">
            <w:pPr>
              <w:widowControl w:val="0"/>
              <w:autoSpaceDE w:val="0"/>
              <w:autoSpaceDN w:val="0"/>
              <w:spacing w:after="0" w:line="198" w:lineRule="exact"/>
              <w:ind w:left="67"/>
              <w:rPr>
                <w:rFonts w:ascii="Times New Roman" w:eastAsia="Times New Roman" w:hAnsi="Times New Roman" w:cs="Times New Roman"/>
                <w:sz w:val="24"/>
                <w:szCs w:val="24"/>
                <w:lang w:val="sq-AL"/>
              </w:rPr>
            </w:pPr>
            <w:r w:rsidRPr="00854864">
              <w:rPr>
                <w:rFonts w:ascii="Times New Roman" w:eastAsia="Times New Roman" w:hAnsi="Times New Roman" w:cs="Times New Roman"/>
                <w:w w:val="102"/>
                <w:sz w:val="24"/>
                <w:szCs w:val="24"/>
                <w:lang w:val="sq-AL"/>
              </w:rPr>
              <w:t>A</w:t>
            </w:r>
          </w:p>
        </w:tc>
        <w:tc>
          <w:tcPr>
            <w:tcW w:w="2089" w:type="dxa"/>
            <w:vMerge/>
          </w:tcPr>
          <w:p w:rsidR="00DD196F" w:rsidRPr="00854864" w:rsidRDefault="00DD196F" w:rsidP="00DD196F">
            <w:pPr>
              <w:widowControl w:val="0"/>
              <w:autoSpaceDE w:val="0"/>
              <w:autoSpaceDN w:val="0"/>
              <w:spacing w:after="0" w:line="240" w:lineRule="auto"/>
              <w:rPr>
                <w:rFonts w:ascii="Times New Roman" w:eastAsia="Times New Roman" w:hAnsi="Times New Roman" w:cs="Times New Roman"/>
                <w:sz w:val="24"/>
                <w:szCs w:val="24"/>
                <w:lang w:val="sq-AL"/>
              </w:rPr>
            </w:pPr>
          </w:p>
        </w:tc>
      </w:tr>
      <w:tr w:rsidR="00E95EB4" w:rsidRPr="00854864" w:rsidTr="00854864">
        <w:trPr>
          <w:trHeight w:val="273"/>
        </w:trPr>
        <w:tc>
          <w:tcPr>
            <w:tcW w:w="1360" w:type="dxa"/>
          </w:tcPr>
          <w:p w:rsidR="00DD196F" w:rsidRPr="00854864" w:rsidRDefault="00DD196F" w:rsidP="00DD196F">
            <w:pPr>
              <w:widowControl w:val="0"/>
              <w:autoSpaceDE w:val="0"/>
              <w:autoSpaceDN w:val="0"/>
              <w:spacing w:after="0" w:line="199" w:lineRule="exact"/>
              <w:ind w:left="8"/>
              <w:jc w:val="center"/>
              <w:rPr>
                <w:rFonts w:ascii="Times New Roman" w:eastAsia="Times New Roman" w:hAnsi="Times New Roman" w:cs="Times New Roman"/>
                <w:sz w:val="24"/>
                <w:szCs w:val="24"/>
                <w:lang w:val="sq-AL"/>
              </w:rPr>
            </w:pPr>
            <w:r w:rsidRPr="00854864">
              <w:rPr>
                <w:rFonts w:ascii="Times New Roman" w:eastAsia="Times New Roman" w:hAnsi="Times New Roman" w:cs="Times New Roman"/>
                <w:w w:val="102"/>
                <w:sz w:val="24"/>
                <w:szCs w:val="24"/>
                <w:lang w:val="sq-AL"/>
              </w:rPr>
              <w:t>3</w:t>
            </w:r>
          </w:p>
        </w:tc>
        <w:tc>
          <w:tcPr>
            <w:tcW w:w="1610" w:type="dxa"/>
          </w:tcPr>
          <w:p w:rsidR="00DD196F" w:rsidRPr="00854864" w:rsidRDefault="00DD196F" w:rsidP="00DD196F">
            <w:pPr>
              <w:widowControl w:val="0"/>
              <w:autoSpaceDE w:val="0"/>
              <w:autoSpaceDN w:val="0"/>
              <w:spacing w:after="0" w:line="199" w:lineRule="exact"/>
              <w:ind w:left="76"/>
              <w:rPr>
                <w:rFonts w:ascii="Times New Roman" w:eastAsia="Times New Roman" w:hAnsi="Times New Roman" w:cs="Times New Roman"/>
                <w:sz w:val="24"/>
                <w:szCs w:val="24"/>
                <w:lang w:val="sq-AL"/>
              </w:rPr>
            </w:pPr>
            <w:r w:rsidRPr="00854864">
              <w:rPr>
                <w:rFonts w:ascii="Times New Roman" w:eastAsia="Times New Roman" w:hAnsi="Times New Roman" w:cs="Times New Roman"/>
                <w:sz w:val="24"/>
                <w:szCs w:val="24"/>
                <w:lang w:val="sq-AL"/>
              </w:rPr>
              <w:t>Lukova</w:t>
            </w:r>
            <w:r w:rsidRPr="00854864">
              <w:rPr>
                <w:rFonts w:ascii="Times New Roman" w:eastAsia="Times New Roman" w:hAnsi="Times New Roman" w:cs="Times New Roman"/>
                <w:spacing w:val="10"/>
                <w:sz w:val="24"/>
                <w:szCs w:val="24"/>
                <w:lang w:val="sq-AL"/>
              </w:rPr>
              <w:t xml:space="preserve"> </w:t>
            </w:r>
            <w:r w:rsidRPr="00854864">
              <w:rPr>
                <w:rFonts w:ascii="Times New Roman" w:eastAsia="Times New Roman" w:hAnsi="Times New Roman" w:cs="Times New Roman"/>
                <w:sz w:val="24"/>
                <w:szCs w:val="24"/>
                <w:lang w:val="sq-AL"/>
              </w:rPr>
              <w:t>Majtas</w:t>
            </w:r>
          </w:p>
        </w:tc>
        <w:tc>
          <w:tcPr>
            <w:tcW w:w="1244" w:type="dxa"/>
          </w:tcPr>
          <w:p w:rsidR="00DD196F" w:rsidRPr="00854864" w:rsidRDefault="00DD196F" w:rsidP="00DD196F">
            <w:pPr>
              <w:widowControl w:val="0"/>
              <w:autoSpaceDE w:val="0"/>
              <w:autoSpaceDN w:val="0"/>
              <w:spacing w:after="0" w:line="199" w:lineRule="exact"/>
              <w:ind w:left="76"/>
              <w:rPr>
                <w:rFonts w:ascii="Times New Roman" w:eastAsia="Times New Roman" w:hAnsi="Times New Roman" w:cs="Times New Roman"/>
                <w:sz w:val="24"/>
                <w:szCs w:val="24"/>
                <w:lang w:val="sq-AL"/>
              </w:rPr>
            </w:pPr>
            <w:r w:rsidRPr="00854864">
              <w:rPr>
                <w:rFonts w:ascii="Times New Roman" w:eastAsia="Times New Roman" w:hAnsi="Times New Roman" w:cs="Times New Roman"/>
                <w:sz w:val="24"/>
                <w:szCs w:val="24"/>
                <w:lang w:val="sq-AL"/>
              </w:rPr>
              <w:t>31</w:t>
            </w:r>
          </w:p>
        </w:tc>
        <w:tc>
          <w:tcPr>
            <w:tcW w:w="1202" w:type="dxa"/>
          </w:tcPr>
          <w:p w:rsidR="00DD196F" w:rsidRPr="00854864" w:rsidRDefault="00DD196F" w:rsidP="00DD196F">
            <w:pPr>
              <w:widowControl w:val="0"/>
              <w:autoSpaceDE w:val="0"/>
              <w:autoSpaceDN w:val="0"/>
              <w:spacing w:after="0" w:line="199" w:lineRule="exact"/>
              <w:ind w:left="75"/>
              <w:rPr>
                <w:rFonts w:ascii="Times New Roman" w:eastAsia="Times New Roman" w:hAnsi="Times New Roman" w:cs="Times New Roman"/>
                <w:sz w:val="24"/>
                <w:szCs w:val="24"/>
                <w:lang w:val="sq-AL"/>
              </w:rPr>
            </w:pPr>
            <w:r w:rsidRPr="00854864">
              <w:rPr>
                <w:rFonts w:ascii="Times New Roman" w:eastAsia="Times New Roman" w:hAnsi="Times New Roman" w:cs="Times New Roman"/>
                <w:sz w:val="24"/>
                <w:szCs w:val="24"/>
                <w:lang w:val="sq-AL"/>
              </w:rPr>
              <w:t>22</w:t>
            </w:r>
          </w:p>
        </w:tc>
        <w:tc>
          <w:tcPr>
            <w:tcW w:w="1037" w:type="dxa"/>
          </w:tcPr>
          <w:p w:rsidR="00DD196F" w:rsidRPr="00854864" w:rsidRDefault="00DD196F" w:rsidP="00DD196F">
            <w:pPr>
              <w:widowControl w:val="0"/>
              <w:autoSpaceDE w:val="0"/>
              <w:autoSpaceDN w:val="0"/>
              <w:spacing w:after="0" w:line="199" w:lineRule="exact"/>
              <w:ind w:left="67"/>
              <w:rPr>
                <w:rFonts w:ascii="Times New Roman" w:eastAsia="Times New Roman" w:hAnsi="Times New Roman" w:cs="Times New Roman"/>
                <w:sz w:val="24"/>
                <w:szCs w:val="24"/>
                <w:lang w:val="sq-AL"/>
              </w:rPr>
            </w:pPr>
            <w:r w:rsidRPr="00854864">
              <w:rPr>
                <w:rFonts w:ascii="Times New Roman" w:eastAsia="Times New Roman" w:hAnsi="Times New Roman" w:cs="Times New Roman"/>
                <w:w w:val="102"/>
                <w:sz w:val="24"/>
                <w:szCs w:val="24"/>
                <w:lang w:val="sq-AL"/>
              </w:rPr>
              <w:t>A</w:t>
            </w:r>
          </w:p>
        </w:tc>
        <w:tc>
          <w:tcPr>
            <w:tcW w:w="2089" w:type="dxa"/>
            <w:vMerge/>
          </w:tcPr>
          <w:p w:rsidR="00DD196F" w:rsidRPr="00854864" w:rsidRDefault="00DD196F" w:rsidP="00DD196F">
            <w:pPr>
              <w:widowControl w:val="0"/>
              <w:autoSpaceDE w:val="0"/>
              <w:autoSpaceDN w:val="0"/>
              <w:spacing w:after="0" w:line="240" w:lineRule="auto"/>
              <w:rPr>
                <w:rFonts w:ascii="Times New Roman" w:eastAsia="Times New Roman" w:hAnsi="Times New Roman" w:cs="Times New Roman"/>
                <w:sz w:val="24"/>
                <w:szCs w:val="24"/>
                <w:lang w:val="sq-AL"/>
              </w:rPr>
            </w:pPr>
          </w:p>
        </w:tc>
      </w:tr>
    </w:tbl>
    <w:p w:rsidR="00DD196F" w:rsidRPr="00DD196F" w:rsidRDefault="00DD196F" w:rsidP="00DD196F">
      <w:pPr>
        <w:spacing w:line="276" w:lineRule="auto"/>
        <w:jc w:val="both"/>
        <w:rPr>
          <w:rFonts w:ascii="Times New Roman" w:eastAsia="Times New Roman" w:hAnsi="Times New Roman" w:cs="Times New Roman"/>
          <w:sz w:val="24"/>
          <w:szCs w:val="24"/>
          <w:lang w:val="sq-AL"/>
        </w:rPr>
      </w:pPr>
    </w:p>
    <w:p w:rsidR="00DD196F" w:rsidRPr="00DD196F" w:rsidRDefault="00DD196F" w:rsidP="00DD196F">
      <w:pPr>
        <w:spacing w:after="200" w:line="288" w:lineRule="auto"/>
        <w:rPr>
          <w:rFonts w:ascii="Times New Roman" w:eastAsiaTheme="minorEastAsia" w:hAnsi="Times New Roman" w:cs="Times New Roman"/>
          <w:sz w:val="24"/>
          <w:szCs w:val="24"/>
        </w:rPr>
      </w:pPr>
      <w:r w:rsidRPr="00DD196F">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62848" behindDoc="0" locked="0" layoutInCell="1" allowOverlap="1" wp14:anchorId="1C1B9E72" wp14:editId="6A9A3508">
                <wp:simplePos x="0" y="0"/>
                <wp:positionH relativeFrom="column">
                  <wp:posOffset>2774950</wp:posOffset>
                </wp:positionH>
                <wp:positionV relativeFrom="paragraph">
                  <wp:posOffset>25401</wp:posOffset>
                </wp:positionV>
                <wp:extent cx="3672205" cy="2197100"/>
                <wp:effectExtent l="19050" t="19050" r="23495" b="31750"/>
                <wp:wrapNone/>
                <wp:docPr id="58" name="Left Arrow 58"/>
                <wp:cNvGraphicFramePr/>
                <a:graphic xmlns:a="http://schemas.openxmlformats.org/drawingml/2006/main">
                  <a:graphicData uri="http://schemas.microsoft.com/office/word/2010/wordprocessingShape">
                    <wps:wsp>
                      <wps:cNvSpPr/>
                      <wps:spPr>
                        <a:xfrm>
                          <a:off x="0" y="0"/>
                          <a:ext cx="3672205" cy="2197100"/>
                        </a:xfrm>
                        <a:prstGeom prst="leftArrow">
                          <a:avLst/>
                        </a:prstGeom>
                        <a:solidFill>
                          <a:sysClr val="window" lastClr="FFFFFF"/>
                        </a:solidFill>
                        <a:ln w="12700" cap="flat" cmpd="sng" algn="ctr">
                          <a:solidFill>
                            <a:srgbClr val="70AD47"/>
                          </a:solidFill>
                          <a:prstDash val="solid"/>
                          <a:miter lim="800000"/>
                        </a:ln>
                        <a:effectLst/>
                      </wps:spPr>
                      <wps:txbx>
                        <w:txbxContent>
                          <w:p w:rsidR="0064059F" w:rsidRPr="00D042E6" w:rsidRDefault="0064059F" w:rsidP="00DD196F">
                            <w:pPr>
                              <w:spacing w:line="276"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noProof/>
                                <w:sz w:val="24"/>
                                <w:szCs w:val="24"/>
                                <w:lang w:val="sq-AL"/>
                              </w:rPr>
                              <w:t>Sipas</w:t>
                            </w:r>
                            <w:r w:rsidRPr="00EE2C21">
                              <w:rPr>
                                <w:rFonts w:ascii="Times New Roman" w:eastAsia="Times New Roman" w:hAnsi="Times New Roman" w:cs="Times New Roman"/>
                                <w:sz w:val="24"/>
                                <w:szCs w:val="24"/>
                                <w:lang w:val="it-IT"/>
                              </w:rPr>
                              <w:t xml:space="preserve"> rezultateve</w:t>
                            </w:r>
                            <w:r>
                              <w:rPr>
                                <w:rFonts w:ascii="Times New Roman" w:eastAsia="Times New Roman" w:hAnsi="Times New Roman" w:cs="Times New Roman"/>
                                <w:sz w:val="24"/>
                                <w:szCs w:val="24"/>
                                <w:lang w:val="it-IT"/>
                              </w:rPr>
                              <w:t>,</w:t>
                            </w:r>
                            <w:r w:rsidRPr="00EE2C21">
                              <w:rPr>
                                <w:rFonts w:ascii="Times New Roman" w:eastAsia="Times New Roman" w:hAnsi="Times New Roman" w:cs="Times New Roman"/>
                                <w:sz w:val="24"/>
                                <w:szCs w:val="24"/>
                                <w:lang w:val="it-IT"/>
                              </w:rPr>
                              <w:t xml:space="preserve"> </w:t>
                            </w:r>
                            <w:r w:rsidRPr="00EE2C21">
                              <w:rPr>
                                <w:rFonts w:ascii="Times New Roman" w:eastAsia="Times New Roman" w:hAnsi="Times New Roman" w:cs="Times New Roman"/>
                                <w:sz w:val="24"/>
                                <w:szCs w:val="24"/>
                                <w:lang w:val="sq-AL"/>
                              </w:rPr>
                              <w:t>këto plazhe vlerësohen në kategorinë A</w:t>
                            </w:r>
                            <w:r w:rsidRPr="00EE2C21">
                              <w:rPr>
                                <w:rFonts w:ascii="Times New Roman" w:eastAsia="Times New Roman" w:hAnsi="Times New Roman" w:cs="Times New Roman"/>
                                <w:sz w:val="24"/>
                                <w:szCs w:val="24"/>
                                <w:lang w:val="hr-HR"/>
                              </w:rPr>
                              <w:t xml:space="preserve">- </w:t>
                            </w:r>
                            <w:r w:rsidRPr="00EE2C21">
                              <w:rPr>
                                <w:rFonts w:ascii="Times New Roman" w:eastAsia="Times New Roman" w:hAnsi="Times New Roman" w:cs="Times New Roman"/>
                                <w:sz w:val="24"/>
                                <w:szCs w:val="24"/>
                                <w:lang w:val="sq-AL"/>
                              </w:rPr>
                              <w:t>Cil</w:t>
                            </w:r>
                            <w:r w:rsidRPr="00EE2C21">
                              <w:rPr>
                                <w:rFonts w:ascii="Times New Roman" w:eastAsia="Times New Roman" w:hAnsi="Times New Roman" w:cs="Times New Roman"/>
                                <w:sz w:val="24"/>
                                <w:szCs w:val="24"/>
                                <w:lang w:val="hr-HR"/>
                              </w:rPr>
                              <w:t>ë</w:t>
                            </w:r>
                            <w:r w:rsidRPr="00EE2C21">
                              <w:rPr>
                                <w:rFonts w:ascii="Times New Roman" w:eastAsia="Times New Roman" w:hAnsi="Times New Roman" w:cs="Times New Roman"/>
                                <w:sz w:val="24"/>
                                <w:szCs w:val="24"/>
                                <w:lang w:val="sq-AL"/>
                              </w:rPr>
                              <w:t>si</w:t>
                            </w:r>
                            <w:r w:rsidRPr="00EE2C21">
                              <w:rPr>
                                <w:rFonts w:ascii="Times New Roman" w:eastAsia="Times New Roman" w:hAnsi="Times New Roman" w:cs="Times New Roman"/>
                                <w:sz w:val="24"/>
                                <w:szCs w:val="24"/>
                                <w:lang w:val="hr-HR"/>
                              </w:rPr>
                              <w:t xml:space="preserve"> </w:t>
                            </w:r>
                            <w:r w:rsidRPr="00EE2C21">
                              <w:rPr>
                                <w:rFonts w:ascii="Times New Roman" w:eastAsia="Times New Roman" w:hAnsi="Times New Roman" w:cs="Times New Roman"/>
                                <w:sz w:val="24"/>
                                <w:szCs w:val="24"/>
                                <w:lang w:val="sq-AL"/>
                              </w:rPr>
                              <w:t>e shk</w:t>
                            </w:r>
                            <w:r w:rsidRPr="00EE2C21">
                              <w:rPr>
                                <w:rFonts w:ascii="Times New Roman" w:eastAsia="Times New Roman" w:hAnsi="Times New Roman" w:cs="Times New Roman"/>
                                <w:sz w:val="24"/>
                                <w:szCs w:val="24"/>
                                <w:lang w:val="hr-HR"/>
                              </w:rPr>
                              <w:t>ë</w:t>
                            </w:r>
                            <w:r w:rsidRPr="00EE2C21">
                              <w:rPr>
                                <w:rFonts w:ascii="Times New Roman" w:eastAsia="Times New Roman" w:hAnsi="Times New Roman" w:cs="Times New Roman"/>
                                <w:sz w:val="24"/>
                                <w:szCs w:val="24"/>
                                <w:lang w:val="sq-AL"/>
                              </w:rPr>
                              <w:t>lqyer e</w:t>
                            </w:r>
                            <w:r w:rsidRPr="00EE2C21">
                              <w:rPr>
                                <w:rFonts w:ascii="Times New Roman" w:eastAsia="Times New Roman" w:hAnsi="Times New Roman" w:cs="Times New Roman"/>
                                <w:sz w:val="24"/>
                                <w:szCs w:val="24"/>
                                <w:lang w:val="hr-HR"/>
                              </w:rPr>
                              <w:t xml:space="preserve"> </w:t>
                            </w:r>
                            <w:r w:rsidRPr="00EE2C21">
                              <w:rPr>
                                <w:rFonts w:ascii="Times New Roman" w:eastAsia="Times New Roman" w:hAnsi="Times New Roman" w:cs="Times New Roman"/>
                                <w:sz w:val="24"/>
                                <w:szCs w:val="24"/>
                                <w:lang w:val="sq-AL"/>
                              </w:rPr>
                              <w:t>uj</w:t>
                            </w:r>
                            <w:r w:rsidRPr="00EE2C21">
                              <w:rPr>
                                <w:rFonts w:ascii="Times New Roman" w:eastAsia="Times New Roman" w:hAnsi="Times New Roman" w:cs="Times New Roman"/>
                                <w:sz w:val="24"/>
                                <w:szCs w:val="24"/>
                                <w:lang w:val="hr-HR"/>
                              </w:rPr>
                              <w:t>ë</w:t>
                            </w:r>
                            <w:r w:rsidRPr="00EE2C21">
                              <w:rPr>
                                <w:rFonts w:ascii="Times New Roman" w:eastAsia="Times New Roman" w:hAnsi="Times New Roman" w:cs="Times New Roman"/>
                                <w:sz w:val="24"/>
                                <w:szCs w:val="24"/>
                                <w:lang w:val="sq-AL"/>
                              </w:rPr>
                              <w:t>rave n</w:t>
                            </w:r>
                            <w:r w:rsidRPr="00EE2C21">
                              <w:rPr>
                                <w:rFonts w:ascii="Times New Roman" w:eastAsia="Times New Roman" w:hAnsi="Times New Roman" w:cs="Times New Roman"/>
                                <w:sz w:val="24"/>
                                <w:szCs w:val="24"/>
                                <w:lang w:val="hr-HR"/>
                              </w:rPr>
                              <w:t>ë</w:t>
                            </w:r>
                            <w:r w:rsidRPr="00EE2C21">
                              <w:rPr>
                                <w:rFonts w:ascii="Times New Roman" w:eastAsia="Times New Roman" w:hAnsi="Times New Roman" w:cs="Times New Roman"/>
                                <w:sz w:val="24"/>
                                <w:szCs w:val="24"/>
                                <w:lang w:val="sq-AL"/>
                              </w:rPr>
                              <w:t xml:space="preserve"> t</w:t>
                            </w:r>
                            <w:r w:rsidRPr="00EE2C21">
                              <w:rPr>
                                <w:rFonts w:ascii="Times New Roman" w:eastAsia="Times New Roman" w:hAnsi="Times New Roman" w:cs="Times New Roman"/>
                                <w:sz w:val="24"/>
                                <w:szCs w:val="24"/>
                                <w:lang w:val="hr-HR"/>
                              </w:rPr>
                              <w:t>ë</w:t>
                            </w:r>
                            <w:r>
                              <w:rPr>
                                <w:rFonts w:ascii="Times New Roman" w:eastAsia="Times New Roman" w:hAnsi="Times New Roman" w:cs="Times New Roman"/>
                                <w:sz w:val="24"/>
                                <w:szCs w:val="24"/>
                                <w:lang w:val="sq-AL"/>
                              </w:rPr>
                              <w:t xml:space="preserve"> gjitha pikat </w:t>
                            </w:r>
                            <w:r w:rsidRPr="00EE2C21">
                              <w:rPr>
                                <w:rFonts w:ascii="Times New Roman" w:eastAsia="Times New Roman" w:hAnsi="Times New Roman" w:cs="Times New Roman"/>
                                <w:sz w:val="24"/>
                                <w:szCs w:val="24"/>
                                <w:lang w:val="sq-AL"/>
                              </w:rPr>
                              <w:t>e monitorimit.</w:t>
                            </w:r>
                            <w:r>
                              <w:rPr>
                                <w:rFonts w:ascii="Times New Roman" w:eastAsia="Times New Roman" w:hAnsi="Times New Roman" w:cs="Times New Roman"/>
                                <w:sz w:val="24"/>
                                <w:szCs w:val="24"/>
                                <w:lang w:val="sq-AL"/>
                              </w:rPr>
                              <w:t xml:space="preserve"> Referuar tendencës në vite, c</w:t>
                            </w:r>
                            <w:r w:rsidRPr="00EE2C21">
                              <w:rPr>
                                <w:rFonts w:ascii="Times New Roman" w:eastAsia="Times New Roman" w:hAnsi="Times New Roman" w:cs="Times New Roman"/>
                                <w:sz w:val="24"/>
                                <w:szCs w:val="24"/>
                                <w:lang w:val="sq-AL"/>
                              </w:rPr>
                              <w:t>il</w:t>
                            </w:r>
                            <w:r w:rsidRPr="00EE2C21">
                              <w:rPr>
                                <w:rFonts w:ascii="Times New Roman" w:eastAsia="Times New Roman" w:hAnsi="Times New Roman" w:cs="Times New Roman"/>
                                <w:sz w:val="24"/>
                                <w:szCs w:val="24"/>
                                <w:lang w:val="hr-HR"/>
                              </w:rPr>
                              <w:t>ë</w:t>
                            </w:r>
                            <w:r w:rsidRPr="00EE2C21">
                              <w:rPr>
                                <w:rFonts w:ascii="Times New Roman" w:eastAsia="Times New Roman" w:hAnsi="Times New Roman" w:cs="Times New Roman"/>
                                <w:sz w:val="24"/>
                                <w:szCs w:val="24"/>
                                <w:lang w:val="sq-AL"/>
                              </w:rPr>
                              <w:t>si</w:t>
                            </w:r>
                            <w:r>
                              <w:rPr>
                                <w:rFonts w:ascii="Times New Roman" w:eastAsia="Times New Roman" w:hAnsi="Times New Roman" w:cs="Times New Roman"/>
                                <w:sz w:val="24"/>
                                <w:szCs w:val="24"/>
                                <w:lang w:val="sq-AL"/>
                              </w:rPr>
                              <w:t>a</w:t>
                            </w:r>
                            <w:r w:rsidRPr="00EE2C21">
                              <w:rPr>
                                <w:rFonts w:ascii="Times New Roman" w:eastAsia="Times New Roman" w:hAnsi="Times New Roman" w:cs="Times New Roman"/>
                                <w:sz w:val="24"/>
                                <w:szCs w:val="24"/>
                                <w:lang w:val="hr-HR"/>
                              </w:rPr>
                              <w:t xml:space="preserve"> </w:t>
                            </w:r>
                            <w:r w:rsidRPr="00EE2C21">
                              <w:rPr>
                                <w:rFonts w:ascii="Times New Roman" w:eastAsia="Times New Roman" w:hAnsi="Times New Roman" w:cs="Times New Roman"/>
                                <w:sz w:val="24"/>
                                <w:szCs w:val="24"/>
                                <w:lang w:val="sq-AL"/>
                              </w:rPr>
                              <w:t xml:space="preserve"> e</w:t>
                            </w:r>
                            <w:r w:rsidRPr="00EE2C21">
                              <w:rPr>
                                <w:rFonts w:ascii="Times New Roman" w:eastAsia="Times New Roman" w:hAnsi="Times New Roman" w:cs="Times New Roman"/>
                                <w:sz w:val="24"/>
                                <w:szCs w:val="24"/>
                                <w:lang w:val="hr-HR"/>
                              </w:rPr>
                              <w:t xml:space="preserve"> </w:t>
                            </w:r>
                            <w:r w:rsidRPr="00EE2C21">
                              <w:rPr>
                                <w:rFonts w:ascii="Times New Roman" w:eastAsia="Times New Roman" w:hAnsi="Times New Roman" w:cs="Times New Roman"/>
                                <w:sz w:val="24"/>
                                <w:szCs w:val="24"/>
                                <w:lang w:val="sq-AL"/>
                              </w:rPr>
                              <w:t>uj</w:t>
                            </w:r>
                            <w:r w:rsidRPr="00EE2C21">
                              <w:rPr>
                                <w:rFonts w:ascii="Times New Roman" w:eastAsia="Times New Roman" w:hAnsi="Times New Roman" w:cs="Times New Roman"/>
                                <w:sz w:val="24"/>
                                <w:szCs w:val="24"/>
                                <w:lang w:val="hr-HR"/>
                              </w:rPr>
                              <w:t>ë</w:t>
                            </w:r>
                            <w:r w:rsidRPr="00EE2C21">
                              <w:rPr>
                                <w:rFonts w:ascii="Times New Roman" w:eastAsia="Times New Roman" w:hAnsi="Times New Roman" w:cs="Times New Roman"/>
                                <w:sz w:val="24"/>
                                <w:szCs w:val="24"/>
                                <w:lang w:val="sq-AL"/>
                              </w:rPr>
                              <w:t>rave</w:t>
                            </w:r>
                            <w:r>
                              <w:rPr>
                                <w:rFonts w:ascii="Times New Roman" w:eastAsia="Times New Roman" w:hAnsi="Times New Roman" w:cs="Times New Roman"/>
                                <w:sz w:val="24"/>
                                <w:szCs w:val="24"/>
                                <w:lang w:val="sq-AL"/>
                              </w:rPr>
                              <w:t xml:space="preserve"> të larjes në vitet 2020-2025 mbetet e njëjtë.</w:t>
                            </w:r>
                          </w:p>
                          <w:p w:rsidR="0064059F" w:rsidRDefault="0064059F" w:rsidP="00DD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B9E72" id="Left Arrow 58" o:spid="_x0000_s1105" type="#_x0000_t66" style="position:absolute;margin-left:218.5pt;margin-top:2pt;width:289.15pt;height:17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" adj="6462" fillcolor="window" strokecolor="#70ad47" strokeweight="1pt">
                <v:textbox>
                  <w:txbxContent>
                    <w:p w:rsidR="0064059F" w:rsidRPr="00D042E6" w:rsidRDefault="0064059F" w:rsidP="00DD196F">
                      <w:pPr>
                        <w:spacing w:line="276"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noProof/>
                          <w:sz w:val="24"/>
                          <w:szCs w:val="24"/>
                          <w:lang w:val="sq-AL"/>
                        </w:rPr>
                        <w:t>Sipas</w:t>
                      </w:r>
                      <w:r w:rsidRPr="00EE2C21">
                        <w:rPr>
                          <w:rFonts w:ascii="Times New Roman" w:eastAsia="Times New Roman" w:hAnsi="Times New Roman" w:cs="Times New Roman"/>
                          <w:sz w:val="24"/>
                          <w:szCs w:val="24"/>
                          <w:lang w:val="it-IT"/>
                        </w:rPr>
                        <w:t xml:space="preserve"> rezultateve</w:t>
                      </w:r>
                      <w:r>
                        <w:rPr>
                          <w:rFonts w:ascii="Times New Roman" w:eastAsia="Times New Roman" w:hAnsi="Times New Roman" w:cs="Times New Roman"/>
                          <w:sz w:val="24"/>
                          <w:szCs w:val="24"/>
                          <w:lang w:val="it-IT"/>
                        </w:rPr>
                        <w:t>,</w:t>
                      </w:r>
                      <w:r w:rsidRPr="00EE2C21">
                        <w:rPr>
                          <w:rFonts w:ascii="Times New Roman" w:eastAsia="Times New Roman" w:hAnsi="Times New Roman" w:cs="Times New Roman"/>
                          <w:sz w:val="24"/>
                          <w:szCs w:val="24"/>
                          <w:lang w:val="it-IT"/>
                        </w:rPr>
                        <w:t xml:space="preserve"> </w:t>
                      </w:r>
                      <w:r w:rsidRPr="00EE2C21">
                        <w:rPr>
                          <w:rFonts w:ascii="Times New Roman" w:eastAsia="Times New Roman" w:hAnsi="Times New Roman" w:cs="Times New Roman"/>
                          <w:sz w:val="24"/>
                          <w:szCs w:val="24"/>
                          <w:lang w:val="sq-AL"/>
                        </w:rPr>
                        <w:t>këto plazhe vlerësohen në kategorinë A</w:t>
                      </w:r>
                      <w:r w:rsidRPr="00EE2C21">
                        <w:rPr>
                          <w:rFonts w:ascii="Times New Roman" w:eastAsia="Times New Roman" w:hAnsi="Times New Roman" w:cs="Times New Roman"/>
                          <w:sz w:val="24"/>
                          <w:szCs w:val="24"/>
                          <w:lang w:val="hr-HR"/>
                        </w:rPr>
                        <w:t xml:space="preserve">- </w:t>
                      </w:r>
                      <w:r w:rsidRPr="00EE2C21">
                        <w:rPr>
                          <w:rFonts w:ascii="Times New Roman" w:eastAsia="Times New Roman" w:hAnsi="Times New Roman" w:cs="Times New Roman"/>
                          <w:sz w:val="24"/>
                          <w:szCs w:val="24"/>
                          <w:lang w:val="sq-AL"/>
                        </w:rPr>
                        <w:t>Cil</w:t>
                      </w:r>
                      <w:r w:rsidRPr="00EE2C21">
                        <w:rPr>
                          <w:rFonts w:ascii="Times New Roman" w:eastAsia="Times New Roman" w:hAnsi="Times New Roman" w:cs="Times New Roman"/>
                          <w:sz w:val="24"/>
                          <w:szCs w:val="24"/>
                          <w:lang w:val="hr-HR"/>
                        </w:rPr>
                        <w:t>ë</w:t>
                      </w:r>
                      <w:r w:rsidRPr="00EE2C21">
                        <w:rPr>
                          <w:rFonts w:ascii="Times New Roman" w:eastAsia="Times New Roman" w:hAnsi="Times New Roman" w:cs="Times New Roman"/>
                          <w:sz w:val="24"/>
                          <w:szCs w:val="24"/>
                          <w:lang w:val="sq-AL"/>
                        </w:rPr>
                        <w:t>si</w:t>
                      </w:r>
                      <w:r w:rsidRPr="00EE2C21">
                        <w:rPr>
                          <w:rFonts w:ascii="Times New Roman" w:eastAsia="Times New Roman" w:hAnsi="Times New Roman" w:cs="Times New Roman"/>
                          <w:sz w:val="24"/>
                          <w:szCs w:val="24"/>
                          <w:lang w:val="hr-HR"/>
                        </w:rPr>
                        <w:t xml:space="preserve"> </w:t>
                      </w:r>
                      <w:r w:rsidRPr="00EE2C21">
                        <w:rPr>
                          <w:rFonts w:ascii="Times New Roman" w:eastAsia="Times New Roman" w:hAnsi="Times New Roman" w:cs="Times New Roman"/>
                          <w:sz w:val="24"/>
                          <w:szCs w:val="24"/>
                          <w:lang w:val="sq-AL"/>
                        </w:rPr>
                        <w:t>e shk</w:t>
                      </w:r>
                      <w:r w:rsidRPr="00EE2C21">
                        <w:rPr>
                          <w:rFonts w:ascii="Times New Roman" w:eastAsia="Times New Roman" w:hAnsi="Times New Roman" w:cs="Times New Roman"/>
                          <w:sz w:val="24"/>
                          <w:szCs w:val="24"/>
                          <w:lang w:val="hr-HR"/>
                        </w:rPr>
                        <w:t>ë</w:t>
                      </w:r>
                      <w:r w:rsidRPr="00EE2C21">
                        <w:rPr>
                          <w:rFonts w:ascii="Times New Roman" w:eastAsia="Times New Roman" w:hAnsi="Times New Roman" w:cs="Times New Roman"/>
                          <w:sz w:val="24"/>
                          <w:szCs w:val="24"/>
                          <w:lang w:val="sq-AL"/>
                        </w:rPr>
                        <w:t>lqyer e</w:t>
                      </w:r>
                      <w:r w:rsidRPr="00EE2C21">
                        <w:rPr>
                          <w:rFonts w:ascii="Times New Roman" w:eastAsia="Times New Roman" w:hAnsi="Times New Roman" w:cs="Times New Roman"/>
                          <w:sz w:val="24"/>
                          <w:szCs w:val="24"/>
                          <w:lang w:val="hr-HR"/>
                        </w:rPr>
                        <w:t xml:space="preserve"> </w:t>
                      </w:r>
                      <w:r w:rsidRPr="00EE2C21">
                        <w:rPr>
                          <w:rFonts w:ascii="Times New Roman" w:eastAsia="Times New Roman" w:hAnsi="Times New Roman" w:cs="Times New Roman"/>
                          <w:sz w:val="24"/>
                          <w:szCs w:val="24"/>
                          <w:lang w:val="sq-AL"/>
                        </w:rPr>
                        <w:t>uj</w:t>
                      </w:r>
                      <w:r w:rsidRPr="00EE2C21">
                        <w:rPr>
                          <w:rFonts w:ascii="Times New Roman" w:eastAsia="Times New Roman" w:hAnsi="Times New Roman" w:cs="Times New Roman"/>
                          <w:sz w:val="24"/>
                          <w:szCs w:val="24"/>
                          <w:lang w:val="hr-HR"/>
                        </w:rPr>
                        <w:t>ë</w:t>
                      </w:r>
                      <w:r w:rsidRPr="00EE2C21">
                        <w:rPr>
                          <w:rFonts w:ascii="Times New Roman" w:eastAsia="Times New Roman" w:hAnsi="Times New Roman" w:cs="Times New Roman"/>
                          <w:sz w:val="24"/>
                          <w:szCs w:val="24"/>
                          <w:lang w:val="sq-AL"/>
                        </w:rPr>
                        <w:t>rave n</w:t>
                      </w:r>
                      <w:r w:rsidRPr="00EE2C21">
                        <w:rPr>
                          <w:rFonts w:ascii="Times New Roman" w:eastAsia="Times New Roman" w:hAnsi="Times New Roman" w:cs="Times New Roman"/>
                          <w:sz w:val="24"/>
                          <w:szCs w:val="24"/>
                          <w:lang w:val="hr-HR"/>
                        </w:rPr>
                        <w:t>ë</w:t>
                      </w:r>
                      <w:r w:rsidRPr="00EE2C21">
                        <w:rPr>
                          <w:rFonts w:ascii="Times New Roman" w:eastAsia="Times New Roman" w:hAnsi="Times New Roman" w:cs="Times New Roman"/>
                          <w:sz w:val="24"/>
                          <w:szCs w:val="24"/>
                          <w:lang w:val="sq-AL"/>
                        </w:rPr>
                        <w:t xml:space="preserve"> t</w:t>
                      </w:r>
                      <w:r w:rsidRPr="00EE2C21">
                        <w:rPr>
                          <w:rFonts w:ascii="Times New Roman" w:eastAsia="Times New Roman" w:hAnsi="Times New Roman" w:cs="Times New Roman"/>
                          <w:sz w:val="24"/>
                          <w:szCs w:val="24"/>
                          <w:lang w:val="hr-HR"/>
                        </w:rPr>
                        <w:t>ë</w:t>
                      </w:r>
                      <w:r>
                        <w:rPr>
                          <w:rFonts w:ascii="Times New Roman" w:eastAsia="Times New Roman" w:hAnsi="Times New Roman" w:cs="Times New Roman"/>
                          <w:sz w:val="24"/>
                          <w:szCs w:val="24"/>
                          <w:lang w:val="sq-AL"/>
                        </w:rPr>
                        <w:t xml:space="preserve"> gjitha pikat </w:t>
                      </w:r>
                      <w:r w:rsidRPr="00EE2C21">
                        <w:rPr>
                          <w:rFonts w:ascii="Times New Roman" w:eastAsia="Times New Roman" w:hAnsi="Times New Roman" w:cs="Times New Roman"/>
                          <w:sz w:val="24"/>
                          <w:szCs w:val="24"/>
                          <w:lang w:val="sq-AL"/>
                        </w:rPr>
                        <w:t>e monitorimit.</w:t>
                      </w:r>
                      <w:r>
                        <w:rPr>
                          <w:rFonts w:ascii="Times New Roman" w:eastAsia="Times New Roman" w:hAnsi="Times New Roman" w:cs="Times New Roman"/>
                          <w:sz w:val="24"/>
                          <w:szCs w:val="24"/>
                          <w:lang w:val="sq-AL"/>
                        </w:rPr>
                        <w:t xml:space="preserve"> Referuar tendencës në vite, c</w:t>
                      </w:r>
                      <w:r w:rsidRPr="00EE2C21">
                        <w:rPr>
                          <w:rFonts w:ascii="Times New Roman" w:eastAsia="Times New Roman" w:hAnsi="Times New Roman" w:cs="Times New Roman"/>
                          <w:sz w:val="24"/>
                          <w:szCs w:val="24"/>
                          <w:lang w:val="sq-AL"/>
                        </w:rPr>
                        <w:t>il</w:t>
                      </w:r>
                      <w:r w:rsidRPr="00EE2C21">
                        <w:rPr>
                          <w:rFonts w:ascii="Times New Roman" w:eastAsia="Times New Roman" w:hAnsi="Times New Roman" w:cs="Times New Roman"/>
                          <w:sz w:val="24"/>
                          <w:szCs w:val="24"/>
                          <w:lang w:val="hr-HR"/>
                        </w:rPr>
                        <w:t>ë</w:t>
                      </w:r>
                      <w:r w:rsidRPr="00EE2C21">
                        <w:rPr>
                          <w:rFonts w:ascii="Times New Roman" w:eastAsia="Times New Roman" w:hAnsi="Times New Roman" w:cs="Times New Roman"/>
                          <w:sz w:val="24"/>
                          <w:szCs w:val="24"/>
                          <w:lang w:val="sq-AL"/>
                        </w:rPr>
                        <w:t>si</w:t>
                      </w:r>
                      <w:r>
                        <w:rPr>
                          <w:rFonts w:ascii="Times New Roman" w:eastAsia="Times New Roman" w:hAnsi="Times New Roman" w:cs="Times New Roman"/>
                          <w:sz w:val="24"/>
                          <w:szCs w:val="24"/>
                          <w:lang w:val="sq-AL"/>
                        </w:rPr>
                        <w:t>a</w:t>
                      </w:r>
                      <w:r w:rsidRPr="00EE2C21">
                        <w:rPr>
                          <w:rFonts w:ascii="Times New Roman" w:eastAsia="Times New Roman" w:hAnsi="Times New Roman" w:cs="Times New Roman"/>
                          <w:sz w:val="24"/>
                          <w:szCs w:val="24"/>
                          <w:lang w:val="hr-HR"/>
                        </w:rPr>
                        <w:t xml:space="preserve"> </w:t>
                      </w:r>
                      <w:r w:rsidRPr="00EE2C21">
                        <w:rPr>
                          <w:rFonts w:ascii="Times New Roman" w:eastAsia="Times New Roman" w:hAnsi="Times New Roman" w:cs="Times New Roman"/>
                          <w:sz w:val="24"/>
                          <w:szCs w:val="24"/>
                          <w:lang w:val="sq-AL"/>
                        </w:rPr>
                        <w:t xml:space="preserve"> e</w:t>
                      </w:r>
                      <w:r w:rsidRPr="00EE2C21">
                        <w:rPr>
                          <w:rFonts w:ascii="Times New Roman" w:eastAsia="Times New Roman" w:hAnsi="Times New Roman" w:cs="Times New Roman"/>
                          <w:sz w:val="24"/>
                          <w:szCs w:val="24"/>
                          <w:lang w:val="hr-HR"/>
                        </w:rPr>
                        <w:t xml:space="preserve"> </w:t>
                      </w:r>
                      <w:r w:rsidRPr="00EE2C21">
                        <w:rPr>
                          <w:rFonts w:ascii="Times New Roman" w:eastAsia="Times New Roman" w:hAnsi="Times New Roman" w:cs="Times New Roman"/>
                          <w:sz w:val="24"/>
                          <w:szCs w:val="24"/>
                          <w:lang w:val="sq-AL"/>
                        </w:rPr>
                        <w:t>uj</w:t>
                      </w:r>
                      <w:r w:rsidRPr="00EE2C21">
                        <w:rPr>
                          <w:rFonts w:ascii="Times New Roman" w:eastAsia="Times New Roman" w:hAnsi="Times New Roman" w:cs="Times New Roman"/>
                          <w:sz w:val="24"/>
                          <w:szCs w:val="24"/>
                          <w:lang w:val="hr-HR"/>
                        </w:rPr>
                        <w:t>ë</w:t>
                      </w:r>
                      <w:r w:rsidRPr="00EE2C21">
                        <w:rPr>
                          <w:rFonts w:ascii="Times New Roman" w:eastAsia="Times New Roman" w:hAnsi="Times New Roman" w:cs="Times New Roman"/>
                          <w:sz w:val="24"/>
                          <w:szCs w:val="24"/>
                          <w:lang w:val="sq-AL"/>
                        </w:rPr>
                        <w:t>rave</w:t>
                      </w:r>
                      <w:r>
                        <w:rPr>
                          <w:rFonts w:ascii="Times New Roman" w:eastAsia="Times New Roman" w:hAnsi="Times New Roman" w:cs="Times New Roman"/>
                          <w:sz w:val="24"/>
                          <w:szCs w:val="24"/>
                          <w:lang w:val="sq-AL"/>
                        </w:rPr>
                        <w:t xml:space="preserve"> të larjes në vitet 2020-2025 mbetet e njëjtë.</w:t>
                      </w:r>
                    </w:p>
                    <w:p w:rsidR="0064059F" w:rsidRDefault="0064059F" w:rsidP="00DD196F">
                      <w:pPr>
                        <w:jc w:val="center"/>
                      </w:pPr>
                    </w:p>
                  </w:txbxContent>
                </v:textbox>
              </v:shape>
            </w:pict>
          </mc:Fallback>
        </mc:AlternateContent>
      </w:r>
      <w:r w:rsidRPr="00DD196F">
        <w:rPr>
          <w:rFonts w:ascii="Times New Roman" w:eastAsiaTheme="minorEastAsia" w:hAnsi="Times New Roman" w:cs="Times New Roman"/>
          <w:noProof/>
          <w:sz w:val="24"/>
          <w:szCs w:val="24"/>
        </w:rPr>
        <w:drawing>
          <wp:inline distT="0" distB="0" distL="0" distR="0" wp14:anchorId="38F167E5" wp14:editId="202B9CED">
            <wp:extent cx="2698750" cy="24511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700655" cy="2452830"/>
                    </a:xfrm>
                    <a:prstGeom prst="rect">
                      <a:avLst/>
                    </a:prstGeom>
                    <a:noFill/>
                  </pic:spPr>
                </pic:pic>
              </a:graphicData>
            </a:graphic>
          </wp:inline>
        </w:drawing>
      </w:r>
    </w:p>
    <w:p w:rsidR="00DD196F" w:rsidRPr="00DD196F" w:rsidRDefault="00DD196F" w:rsidP="00A579C7">
      <w:pPr>
        <w:spacing w:after="0" w:line="240" w:lineRule="auto"/>
        <w:jc w:val="both"/>
        <w:rPr>
          <w:rFonts w:ascii="Times New Roman" w:eastAsia="Times New Roman" w:hAnsi="Times New Roman" w:cs="Times New Roman"/>
          <w:sz w:val="24"/>
          <w:szCs w:val="24"/>
          <w:lang w:val="sq-AL"/>
        </w:rPr>
      </w:pPr>
      <w:r w:rsidRPr="00DD196F">
        <w:rPr>
          <w:rFonts w:ascii="Times New Roman" w:eastAsia="Times New Roman" w:hAnsi="Times New Roman" w:cs="Times New Roman"/>
          <w:bCs/>
          <w:noProof/>
          <w:sz w:val="24"/>
          <w:szCs w:val="24"/>
          <w:lang w:val="sq-AL"/>
        </w:rPr>
        <w:t>PLAZHI I SARANDËS</w:t>
      </w:r>
      <w:r w:rsidRPr="00A579C7">
        <w:rPr>
          <w:rFonts w:ascii="Times New Roman" w:eastAsia="Times New Roman" w:hAnsi="Times New Roman" w:cs="Times New Roman"/>
          <w:b/>
          <w:bCs/>
          <w:noProof/>
          <w:sz w:val="24"/>
          <w:szCs w:val="24"/>
          <w:lang w:val="sq-AL"/>
        </w:rPr>
        <w:t>:</w:t>
      </w:r>
      <w:r w:rsidRPr="00DD196F">
        <w:rPr>
          <w:rFonts w:ascii="Times New Roman" w:eastAsia="Times New Roman" w:hAnsi="Times New Roman" w:cs="Times New Roman"/>
          <w:noProof/>
          <w:sz w:val="24"/>
          <w:szCs w:val="24"/>
          <w:lang w:val="sq-AL"/>
        </w:rPr>
        <w:t xml:space="preserve"> </w:t>
      </w:r>
      <w:r w:rsidRPr="00DD196F">
        <w:rPr>
          <w:rFonts w:ascii="Times New Roman" w:eastAsia="Calibri" w:hAnsi="Times New Roman" w:cs="Times New Roman"/>
          <w:noProof/>
          <w:sz w:val="24"/>
          <w:szCs w:val="24"/>
          <w:lang w:val="sq-AL"/>
        </w:rPr>
        <w:t xml:space="preserve">Plazhet përgjithësisht, ato që administrohen nga privatët por edhe plazhet publike kanë krijuar kushte të përshtatshme me </w:t>
      </w:r>
      <w:r w:rsidRPr="00DD196F">
        <w:rPr>
          <w:rFonts w:ascii="Times New Roman" w:eastAsia="Times New Roman" w:hAnsi="Times New Roman" w:cs="Times New Roman"/>
          <w:sz w:val="24"/>
          <w:szCs w:val="24"/>
          <w:lang w:val="sq-AL"/>
        </w:rPr>
        <w:t>prezenc</w:t>
      </w:r>
      <w:r w:rsidRPr="00DD196F">
        <w:rPr>
          <w:rFonts w:ascii="Times New Roman" w:eastAsia="Calibri" w:hAnsi="Times New Roman" w:cs="Times New Roman"/>
          <w:noProof/>
          <w:sz w:val="24"/>
          <w:szCs w:val="24"/>
          <w:lang w:val="sq-AL"/>
        </w:rPr>
        <w:t>ë</w:t>
      </w:r>
      <w:r w:rsidRPr="00DD196F">
        <w:rPr>
          <w:rFonts w:ascii="Times New Roman" w:eastAsia="Times New Roman" w:hAnsi="Times New Roman" w:cs="Times New Roman"/>
          <w:sz w:val="24"/>
          <w:szCs w:val="24"/>
          <w:lang w:val="sq-AL"/>
        </w:rPr>
        <w:t xml:space="preserve"> t</w:t>
      </w:r>
      <w:r w:rsidRPr="00DD196F">
        <w:rPr>
          <w:rFonts w:ascii="Times New Roman" w:eastAsia="Calibri" w:hAnsi="Times New Roman" w:cs="Times New Roman"/>
          <w:noProof/>
          <w:sz w:val="24"/>
          <w:szCs w:val="24"/>
          <w:lang w:val="sq-AL"/>
        </w:rPr>
        <w:t>ë</w:t>
      </w:r>
      <w:r w:rsidRPr="00DD196F">
        <w:rPr>
          <w:rFonts w:ascii="Times New Roman" w:eastAsia="Times New Roman" w:hAnsi="Times New Roman" w:cs="Times New Roman"/>
          <w:sz w:val="24"/>
          <w:szCs w:val="24"/>
          <w:lang w:val="sq-AL"/>
        </w:rPr>
        <w:t xml:space="preserve"> dusheve, koshave t</w:t>
      </w:r>
      <w:r w:rsidRPr="00DD196F">
        <w:rPr>
          <w:rFonts w:ascii="Times New Roman" w:eastAsia="Calibri" w:hAnsi="Times New Roman" w:cs="Times New Roman"/>
          <w:noProof/>
          <w:sz w:val="24"/>
          <w:szCs w:val="24"/>
          <w:lang w:val="sq-AL"/>
        </w:rPr>
        <w:t>ë</w:t>
      </w:r>
      <w:r w:rsidRPr="00DD196F">
        <w:rPr>
          <w:rFonts w:ascii="Times New Roman" w:eastAsia="Times New Roman" w:hAnsi="Times New Roman" w:cs="Times New Roman"/>
          <w:sz w:val="24"/>
          <w:szCs w:val="24"/>
          <w:lang w:val="sq-AL"/>
        </w:rPr>
        <w:t xml:space="preserve"> mbeturinave, dhoma për ndërrimin e veshjeve</w:t>
      </w:r>
      <w:r w:rsidRPr="00DD196F">
        <w:rPr>
          <w:rFonts w:ascii="Times New Roman" w:eastAsia="Calibri" w:hAnsi="Times New Roman" w:cs="Times New Roman"/>
          <w:sz w:val="24"/>
          <w:szCs w:val="24"/>
          <w:lang w:val="sq-AL"/>
        </w:rPr>
        <w:t>, kulla vrojtimi dhe afishimi i rregullave p</w:t>
      </w:r>
      <w:r w:rsidRPr="00DD196F">
        <w:rPr>
          <w:rFonts w:ascii="Times New Roman" w:eastAsia="Times New Roman" w:hAnsi="Times New Roman" w:cs="Times New Roman"/>
          <w:sz w:val="24"/>
          <w:szCs w:val="24"/>
          <w:lang w:val="sq-AL"/>
        </w:rPr>
        <w:t>ë</w:t>
      </w:r>
      <w:r w:rsidRPr="00DD196F">
        <w:rPr>
          <w:rFonts w:ascii="Times New Roman" w:eastAsia="Calibri" w:hAnsi="Times New Roman" w:cs="Times New Roman"/>
          <w:sz w:val="24"/>
          <w:szCs w:val="24"/>
          <w:lang w:val="sq-AL"/>
        </w:rPr>
        <w:t xml:space="preserve">r zbatim nga frekuentuesit e plazheve. </w:t>
      </w:r>
      <w:r w:rsidRPr="00DD196F">
        <w:rPr>
          <w:rFonts w:ascii="Times New Roman" w:eastAsia="Times New Roman" w:hAnsi="Times New Roman" w:cs="Times New Roman"/>
          <w:sz w:val="24"/>
          <w:szCs w:val="24"/>
        </w:rPr>
        <w:t>Për shkak të pozicionimit të këtyre plazheve pranë subjekteve private, nevojat sanitare për tualete përmbushen në këto subjekte</w:t>
      </w:r>
      <w:r w:rsidRPr="00DD196F">
        <w:rPr>
          <w:rFonts w:ascii="Times New Roman" w:eastAsia="Times New Roman" w:hAnsi="Times New Roman" w:cs="Times New Roman"/>
          <w:sz w:val="24"/>
          <w:szCs w:val="24"/>
          <w:lang w:val="sq-AL"/>
        </w:rPr>
        <w:t>. Pika e kampionimit</w:t>
      </w:r>
      <w:r w:rsidRPr="00DD196F">
        <w:rPr>
          <w:rFonts w:ascii="Times New Roman" w:eastAsia="Times New Roman" w:hAnsi="Times New Roman" w:cs="Times New Roman"/>
          <w:bCs/>
          <w:sz w:val="24"/>
          <w:szCs w:val="24"/>
          <w:lang w:val="sq-AL"/>
        </w:rPr>
        <w:t xml:space="preserve"> </w:t>
      </w:r>
      <w:r w:rsidRPr="00DD196F">
        <w:rPr>
          <w:rFonts w:ascii="Times New Roman" w:eastAsia="Calibri" w:hAnsi="Times New Roman" w:cs="Times New Roman"/>
          <w:sz w:val="24"/>
          <w:szCs w:val="24"/>
          <w:lang w:val="sq-AL"/>
        </w:rPr>
        <w:t>6</w:t>
      </w:r>
      <w:r w:rsidR="00A579C7">
        <w:rPr>
          <w:rFonts w:ascii="Times New Roman" w:eastAsia="Calibri" w:hAnsi="Times New Roman" w:cs="Times New Roman"/>
          <w:sz w:val="24"/>
          <w:szCs w:val="24"/>
          <w:lang w:val="sq-AL"/>
        </w:rPr>
        <w:t>,</w:t>
      </w:r>
      <w:r w:rsidRPr="00DD196F">
        <w:rPr>
          <w:rFonts w:ascii="Times New Roman" w:eastAsia="Calibri" w:hAnsi="Times New Roman" w:cs="Times New Roman"/>
          <w:sz w:val="24"/>
          <w:szCs w:val="24"/>
          <w:lang w:val="sq-AL"/>
        </w:rPr>
        <w:t xml:space="preserve"> Kanali i </w:t>
      </w:r>
      <w:r w:rsidRPr="00DD196F">
        <w:rPr>
          <w:rFonts w:ascii="Times New Roman" w:eastAsia="Times New Roman" w:hAnsi="Times New Roman" w:cs="Times New Roman"/>
          <w:sz w:val="24"/>
          <w:szCs w:val="24"/>
          <w:lang w:val="sq-AL"/>
        </w:rPr>
        <w:t xml:space="preserve">Çukës vazhdon të derdhet në det por nuk ka erë të rëndë, </w:t>
      </w:r>
      <w:r w:rsidRPr="00DD196F">
        <w:rPr>
          <w:rFonts w:ascii="Times New Roman" w:eastAsia="Times New Roman" w:hAnsi="Times New Roman" w:cs="Times New Roman"/>
          <w:sz w:val="24"/>
          <w:szCs w:val="24"/>
        </w:rPr>
        <w:t xml:space="preserve">bregu është i pastër me përjashtim në anën e kanalit ku vërehen ndonjëherë copa drurësh. </w:t>
      </w:r>
      <w:r w:rsidRPr="00DD196F">
        <w:rPr>
          <w:rFonts w:ascii="Times New Roman" w:eastAsia="Times New Roman" w:hAnsi="Times New Roman" w:cs="Times New Roman"/>
          <w:sz w:val="24"/>
          <w:szCs w:val="24"/>
          <w:lang w:val="it-IT"/>
        </w:rPr>
        <w:t>Gjat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muajve Korrik e Gusht u konstatua shtim i numrit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frekuentuesve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plazheve. </w:t>
      </w:r>
      <w:r w:rsidRPr="00DD196F">
        <w:rPr>
          <w:rFonts w:ascii="Times New Roman" w:eastAsia="Times New Roman" w:hAnsi="Times New Roman" w:cs="Times New Roman"/>
          <w:sz w:val="24"/>
          <w:szCs w:val="24"/>
        </w:rPr>
        <w:t xml:space="preserve">U konstatuan kushte relativisht të mira në plazhet publike. </w:t>
      </w:r>
    </w:p>
    <w:p w:rsidR="005212BA" w:rsidRDefault="00DD196F" w:rsidP="00DD196F">
      <w:pPr>
        <w:spacing w:after="200" w:line="288" w:lineRule="auto"/>
        <w:rPr>
          <w:rFonts w:ascii="Times New Roman" w:eastAsiaTheme="minorEastAsia" w:hAnsi="Times New Roman" w:cs="Times New Roman"/>
          <w:b/>
          <w:sz w:val="24"/>
          <w:szCs w:val="24"/>
        </w:rPr>
      </w:pPr>
      <w:r w:rsidRPr="005212BA">
        <w:rPr>
          <w:rFonts w:ascii="Times New Roman" w:eastAsiaTheme="minorEastAsia" w:hAnsi="Times New Roman" w:cs="Times New Roman"/>
          <w:b/>
          <w:sz w:val="24"/>
          <w:szCs w:val="24"/>
        </w:rPr>
        <w:t xml:space="preserve"> </w:t>
      </w:r>
    </w:p>
    <w:p w:rsidR="00DD196F" w:rsidRPr="005212BA" w:rsidRDefault="00DD196F" w:rsidP="00807975">
      <w:pPr>
        <w:pStyle w:val="ListParagraph"/>
        <w:numPr>
          <w:ilvl w:val="0"/>
          <w:numId w:val="91"/>
        </w:numPr>
        <w:spacing w:after="200" w:line="288" w:lineRule="auto"/>
        <w:rPr>
          <w:rFonts w:ascii="Times New Roman" w:eastAsiaTheme="minorEastAsia" w:hAnsi="Times New Roman" w:cs="Times New Roman"/>
          <w:b/>
          <w:sz w:val="24"/>
          <w:szCs w:val="24"/>
        </w:rPr>
      </w:pPr>
      <w:r w:rsidRPr="005212BA">
        <w:rPr>
          <w:rFonts w:ascii="Times New Roman" w:eastAsiaTheme="minorEastAsia" w:hAnsi="Times New Roman" w:cs="Times New Roman"/>
          <w:b/>
          <w:sz w:val="24"/>
          <w:szCs w:val="24"/>
        </w:rPr>
        <w:t>Plazhi i Sarandës</w:t>
      </w:r>
    </w:p>
    <w:tbl>
      <w:tblPr>
        <w:tblW w:w="0" w:type="auto"/>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41"/>
        <w:gridCol w:w="1826"/>
        <w:gridCol w:w="1255"/>
        <w:gridCol w:w="1255"/>
        <w:gridCol w:w="1097"/>
        <w:gridCol w:w="2353"/>
      </w:tblGrid>
      <w:tr w:rsidR="00E95EB4" w:rsidTr="00854864">
        <w:trPr>
          <w:trHeight w:val="529"/>
        </w:trPr>
        <w:tc>
          <w:tcPr>
            <w:tcW w:w="1141" w:type="dxa"/>
            <w:shd w:val="clear" w:color="auto" w:fill="E1EED9"/>
          </w:tcPr>
          <w:p w:rsidR="00DD196F" w:rsidRPr="00DD196F" w:rsidRDefault="00DD196F" w:rsidP="00DD196F">
            <w:pPr>
              <w:widowControl w:val="0"/>
              <w:autoSpaceDE w:val="0"/>
              <w:autoSpaceDN w:val="0"/>
              <w:spacing w:before="49" w:after="0" w:line="240" w:lineRule="auto"/>
              <w:ind w:left="65" w:right="59"/>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Nr.</w:t>
            </w:r>
          </w:p>
          <w:p w:rsidR="00DD196F" w:rsidRPr="00DD196F" w:rsidRDefault="00DD196F" w:rsidP="00DD196F">
            <w:pPr>
              <w:widowControl w:val="0"/>
              <w:autoSpaceDE w:val="0"/>
              <w:autoSpaceDN w:val="0"/>
              <w:spacing w:before="5" w:after="0" w:line="240" w:lineRule="auto"/>
              <w:ind w:left="66" w:right="59"/>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Stacioneve</w:t>
            </w:r>
          </w:p>
        </w:tc>
        <w:tc>
          <w:tcPr>
            <w:tcW w:w="1826" w:type="dxa"/>
            <w:shd w:val="clear" w:color="auto" w:fill="E1EED9"/>
          </w:tcPr>
          <w:p w:rsidR="00DD196F" w:rsidRPr="00DD196F" w:rsidRDefault="00DD196F" w:rsidP="00DD196F">
            <w:pPr>
              <w:widowControl w:val="0"/>
              <w:autoSpaceDE w:val="0"/>
              <w:autoSpaceDN w:val="0"/>
              <w:spacing w:before="161" w:after="0" w:line="240" w:lineRule="auto"/>
              <w:ind w:left="572" w:right="567"/>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Vendi</w:t>
            </w:r>
          </w:p>
        </w:tc>
        <w:tc>
          <w:tcPr>
            <w:tcW w:w="1255" w:type="dxa"/>
            <w:shd w:val="clear" w:color="auto" w:fill="E1EED9"/>
          </w:tcPr>
          <w:p w:rsidR="00DD196F" w:rsidRPr="00DD196F" w:rsidRDefault="00DD196F" w:rsidP="00DD196F">
            <w:pPr>
              <w:widowControl w:val="0"/>
              <w:autoSpaceDE w:val="0"/>
              <w:autoSpaceDN w:val="0"/>
              <w:spacing w:before="1" w:after="0" w:line="240" w:lineRule="auto"/>
              <w:ind w:left="166"/>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FC</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90%</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240" w:lineRule="auto"/>
              <w:ind w:left="109"/>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250</w:t>
            </w:r>
          </w:p>
        </w:tc>
        <w:tc>
          <w:tcPr>
            <w:tcW w:w="1255" w:type="dxa"/>
            <w:shd w:val="clear" w:color="auto" w:fill="E1EED9"/>
          </w:tcPr>
          <w:p w:rsidR="00DD196F" w:rsidRPr="00DD196F" w:rsidRDefault="00DD196F" w:rsidP="00DD196F">
            <w:pPr>
              <w:widowControl w:val="0"/>
              <w:autoSpaceDE w:val="0"/>
              <w:autoSpaceDN w:val="0"/>
              <w:spacing w:before="1" w:after="0" w:line="240" w:lineRule="auto"/>
              <w:ind w:left="193"/>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IE</w:t>
            </w:r>
            <w:r w:rsidRPr="00DD196F">
              <w:rPr>
                <w:rFonts w:ascii="Times New Roman" w:eastAsia="Times New Roman" w:hAnsi="Times New Roman" w:cs="Times New Roman"/>
                <w:b/>
                <w:spacing w:val="4"/>
                <w:sz w:val="19"/>
                <w:lang w:val="sq-AL"/>
              </w:rPr>
              <w:t xml:space="preserve"> </w:t>
            </w:r>
            <w:r w:rsidRPr="00DD196F">
              <w:rPr>
                <w:rFonts w:ascii="Times New Roman" w:eastAsia="Times New Roman" w:hAnsi="Times New Roman" w:cs="Times New Roman"/>
                <w:b/>
                <w:sz w:val="19"/>
                <w:lang w:val="sq-AL"/>
              </w:rPr>
              <w:t>95%</w:t>
            </w:r>
            <w:r w:rsidRPr="00DD196F">
              <w:rPr>
                <w:rFonts w:ascii="Times New Roman" w:eastAsia="Times New Roman" w:hAnsi="Times New Roman" w:cs="Times New Roman"/>
                <w:b/>
                <w:spacing w:val="3"/>
                <w:sz w:val="19"/>
                <w:lang w:val="sq-AL"/>
              </w:rPr>
              <w:t xml:space="preserve"> </w:t>
            </w:r>
            <w:r w:rsidRPr="00DD196F">
              <w:rPr>
                <w:rFonts w:ascii="Times New Roman" w:eastAsia="Times New Roman" w:hAnsi="Times New Roman" w:cs="Times New Roman"/>
                <w:b/>
                <w:sz w:val="19"/>
                <w:lang w:val="sq-AL"/>
              </w:rPr>
              <w:t>-</w:t>
            </w:r>
          </w:p>
          <w:p w:rsidR="00DD196F" w:rsidRPr="00DD196F" w:rsidRDefault="00DD196F" w:rsidP="00DD196F">
            <w:pPr>
              <w:widowControl w:val="0"/>
              <w:autoSpaceDE w:val="0"/>
              <w:autoSpaceDN w:val="0"/>
              <w:spacing w:before="5" w:after="0" w:line="240" w:lineRule="auto"/>
              <w:ind w:left="109"/>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Norma</w:t>
            </w:r>
            <w:r w:rsidRPr="00DD196F">
              <w:rPr>
                <w:rFonts w:ascii="Times New Roman" w:eastAsia="Times New Roman" w:hAnsi="Times New Roman" w:cs="Times New Roman"/>
                <w:b/>
                <w:spacing w:val="8"/>
                <w:sz w:val="19"/>
                <w:lang w:val="sq-AL"/>
              </w:rPr>
              <w:t xml:space="preserve"> </w:t>
            </w:r>
            <w:r w:rsidRPr="00DD196F">
              <w:rPr>
                <w:rFonts w:ascii="Times New Roman" w:eastAsia="Times New Roman" w:hAnsi="Times New Roman" w:cs="Times New Roman"/>
                <w:b/>
                <w:sz w:val="19"/>
                <w:lang w:val="sq-AL"/>
              </w:rPr>
              <w:t>100</w:t>
            </w:r>
          </w:p>
        </w:tc>
        <w:tc>
          <w:tcPr>
            <w:tcW w:w="1097" w:type="dxa"/>
            <w:shd w:val="clear" w:color="auto" w:fill="E1EED9"/>
          </w:tcPr>
          <w:p w:rsidR="00DD196F" w:rsidRPr="00DD196F" w:rsidRDefault="00DD196F" w:rsidP="00DD196F">
            <w:pPr>
              <w:widowControl w:val="0"/>
              <w:autoSpaceDE w:val="0"/>
              <w:autoSpaceDN w:val="0"/>
              <w:spacing w:before="1" w:after="0" w:line="240" w:lineRule="auto"/>
              <w:ind w:left="81"/>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Kategoria</w:t>
            </w:r>
          </w:p>
        </w:tc>
        <w:tc>
          <w:tcPr>
            <w:tcW w:w="2353" w:type="dxa"/>
            <w:shd w:val="clear" w:color="auto" w:fill="E1EED9"/>
          </w:tcPr>
          <w:p w:rsidR="00DD196F" w:rsidRPr="00DD196F" w:rsidRDefault="00DD196F" w:rsidP="00DD196F">
            <w:pPr>
              <w:widowControl w:val="0"/>
              <w:autoSpaceDE w:val="0"/>
              <w:autoSpaceDN w:val="0"/>
              <w:spacing w:before="1" w:after="0" w:line="240" w:lineRule="auto"/>
              <w:ind w:left="136" w:right="133"/>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sz w:val="19"/>
                <w:lang w:val="sq-AL"/>
              </w:rPr>
              <w:t>Përqindja</w:t>
            </w:r>
            <w:r w:rsidRPr="00DD196F">
              <w:rPr>
                <w:rFonts w:ascii="Times New Roman" w:eastAsia="Times New Roman" w:hAnsi="Times New Roman" w:cs="Times New Roman"/>
                <w:b/>
                <w:spacing w:val="11"/>
                <w:sz w:val="19"/>
                <w:lang w:val="sq-AL"/>
              </w:rPr>
              <w:t xml:space="preserve"> </w:t>
            </w:r>
            <w:r w:rsidRPr="00DD196F">
              <w:rPr>
                <w:rFonts w:ascii="Times New Roman" w:eastAsia="Times New Roman" w:hAnsi="Times New Roman" w:cs="Times New Roman"/>
                <w:b/>
                <w:sz w:val="19"/>
                <w:lang w:val="sq-AL"/>
              </w:rPr>
              <w:t>e</w:t>
            </w:r>
            <w:r w:rsidRPr="00DD196F">
              <w:rPr>
                <w:rFonts w:ascii="Times New Roman" w:eastAsia="Times New Roman" w:hAnsi="Times New Roman" w:cs="Times New Roman"/>
                <w:b/>
                <w:spacing w:val="10"/>
                <w:sz w:val="19"/>
                <w:lang w:val="sq-AL"/>
              </w:rPr>
              <w:t xml:space="preserve"> </w:t>
            </w:r>
            <w:r w:rsidRPr="00DD196F">
              <w:rPr>
                <w:rFonts w:ascii="Times New Roman" w:eastAsia="Times New Roman" w:hAnsi="Times New Roman" w:cs="Times New Roman"/>
                <w:b/>
                <w:sz w:val="19"/>
                <w:lang w:val="sq-AL"/>
              </w:rPr>
              <w:t>stacioneve</w:t>
            </w:r>
          </w:p>
          <w:p w:rsidR="00DD196F" w:rsidRPr="00DD196F" w:rsidRDefault="00DD196F" w:rsidP="00DD196F">
            <w:pPr>
              <w:widowControl w:val="0"/>
              <w:autoSpaceDE w:val="0"/>
              <w:autoSpaceDN w:val="0"/>
              <w:spacing w:before="5" w:after="0" w:line="240" w:lineRule="auto"/>
              <w:ind w:left="4"/>
              <w:jc w:val="center"/>
              <w:rPr>
                <w:rFonts w:ascii="Times New Roman" w:eastAsia="Times New Roman" w:hAnsi="Times New Roman" w:cs="Times New Roman"/>
                <w:b/>
                <w:sz w:val="19"/>
                <w:lang w:val="sq-AL"/>
              </w:rPr>
            </w:pPr>
            <w:r w:rsidRPr="00DD196F">
              <w:rPr>
                <w:rFonts w:ascii="Times New Roman" w:eastAsia="Times New Roman" w:hAnsi="Times New Roman" w:cs="Times New Roman"/>
                <w:b/>
                <w:w w:val="102"/>
                <w:sz w:val="19"/>
                <w:lang w:val="sq-AL"/>
              </w:rPr>
              <w:t>%</w:t>
            </w:r>
          </w:p>
        </w:tc>
      </w:tr>
      <w:tr w:rsidR="00E95EB4" w:rsidTr="00854864">
        <w:trPr>
          <w:trHeight w:val="211"/>
        </w:trPr>
        <w:tc>
          <w:tcPr>
            <w:tcW w:w="1141" w:type="dxa"/>
          </w:tcPr>
          <w:p w:rsidR="00DD196F" w:rsidRPr="00DD196F" w:rsidRDefault="00DD196F" w:rsidP="00DD196F">
            <w:pPr>
              <w:widowControl w:val="0"/>
              <w:autoSpaceDE w:val="0"/>
              <w:autoSpaceDN w:val="0"/>
              <w:spacing w:after="0" w:line="197" w:lineRule="exact"/>
              <w:ind w:left="7"/>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1</w:t>
            </w:r>
          </w:p>
        </w:tc>
        <w:tc>
          <w:tcPr>
            <w:tcW w:w="1826" w:type="dxa"/>
          </w:tcPr>
          <w:p w:rsidR="00DD196F" w:rsidRPr="00DD196F" w:rsidRDefault="00DD196F" w:rsidP="00DD196F">
            <w:pPr>
              <w:widowControl w:val="0"/>
              <w:autoSpaceDE w:val="0"/>
              <w:autoSpaceDN w:val="0"/>
              <w:spacing w:after="0" w:line="197"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Plazhi</w:t>
            </w:r>
            <w:r w:rsidRPr="00DD196F">
              <w:rPr>
                <w:rFonts w:ascii="Times New Roman" w:eastAsia="Times New Roman" w:hAnsi="Times New Roman" w:cs="Times New Roman"/>
                <w:spacing w:val="9"/>
                <w:sz w:val="19"/>
                <w:lang w:val="sq-AL"/>
              </w:rPr>
              <w:t xml:space="preserve"> </w:t>
            </w:r>
            <w:r w:rsidRPr="00DD196F">
              <w:rPr>
                <w:rFonts w:ascii="Times New Roman" w:eastAsia="Times New Roman" w:hAnsi="Times New Roman" w:cs="Times New Roman"/>
                <w:sz w:val="19"/>
                <w:lang w:val="sq-AL"/>
              </w:rPr>
              <w:t>Limion</w:t>
            </w:r>
          </w:p>
        </w:tc>
        <w:tc>
          <w:tcPr>
            <w:tcW w:w="1255" w:type="dxa"/>
          </w:tcPr>
          <w:p w:rsidR="00DD196F" w:rsidRPr="00DD196F" w:rsidRDefault="00DD196F" w:rsidP="00DD196F">
            <w:pPr>
              <w:widowControl w:val="0"/>
              <w:autoSpaceDE w:val="0"/>
              <w:autoSpaceDN w:val="0"/>
              <w:spacing w:after="0" w:line="197"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157</w:t>
            </w:r>
          </w:p>
        </w:tc>
        <w:tc>
          <w:tcPr>
            <w:tcW w:w="1255" w:type="dxa"/>
          </w:tcPr>
          <w:p w:rsidR="00DD196F" w:rsidRPr="00DD196F" w:rsidRDefault="00DD196F" w:rsidP="00DD196F">
            <w:pPr>
              <w:widowControl w:val="0"/>
              <w:autoSpaceDE w:val="0"/>
              <w:autoSpaceDN w:val="0"/>
              <w:spacing w:after="0" w:line="197"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124</w:t>
            </w:r>
          </w:p>
        </w:tc>
        <w:tc>
          <w:tcPr>
            <w:tcW w:w="1097" w:type="dxa"/>
            <w:shd w:val="clear" w:color="auto" w:fill="auto"/>
          </w:tcPr>
          <w:p w:rsidR="00DD196F" w:rsidRPr="00DD196F" w:rsidRDefault="00DD196F" w:rsidP="00DD196F">
            <w:pPr>
              <w:spacing w:after="12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B</w:t>
            </w:r>
          </w:p>
        </w:tc>
        <w:tc>
          <w:tcPr>
            <w:tcW w:w="2353" w:type="dxa"/>
            <w:vMerge w:val="restart"/>
          </w:tcPr>
          <w:p w:rsidR="00DD196F" w:rsidRPr="00DD196F" w:rsidRDefault="00DD196F" w:rsidP="00DD196F">
            <w:pPr>
              <w:widowControl w:val="0"/>
              <w:autoSpaceDE w:val="0"/>
              <w:autoSpaceDN w:val="0"/>
              <w:spacing w:before="3" w:after="0" w:line="252" w:lineRule="auto"/>
              <w:ind w:left="74" w:right="104"/>
              <w:rPr>
                <w:rFonts w:ascii="Times New Roman" w:eastAsia="Times New Roman" w:hAnsi="Times New Roman" w:cs="Times New Roman"/>
                <w:w w:val="105"/>
                <w:sz w:val="17"/>
                <w:lang w:val="sq-AL"/>
              </w:rPr>
            </w:pPr>
          </w:p>
          <w:p w:rsidR="00DD196F" w:rsidRPr="00DD196F" w:rsidRDefault="00DD196F" w:rsidP="00DD196F">
            <w:pPr>
              <w:widowControl w:val="0"/>
              <w:autoSpaceDE w:val="0"/>
              <w:autoSpaceDN w:val="0"/>
              <w:spacing w:before="3" w:after="0" w:line="252" w:lineRule="auto"/>
              <w:ind w:left="74" w:right="104"/>
              <w:rPr>
                <w:rFonts w:ascii="Times New Roman" w:eastAsia="Times New Roman" w:hAnsi="Times New Roman" w:cs="Times New Roman"/>
                <w:spacing w:val="-42"/>
                <w:w w:val="105"/>
                <w:sz w:val="17"/>
                <w:lang w:val="sq-AL"/>
              </w:rPr>
            </w:pPr>
            <w:r w:rsidRPr="00DD196F">
              <w:rPr>
                <w:rFonts w:ascii="Times New Roman" w:eastAsia="Times New Roman" w:hAnsi="Times New Roman" w:cs="Times New Roman"/>
                <w:w w:val="105"/>
                <w:sz w:val="17"/>
                <w:lang w:val="sq-AL"/>
              </w:rPr>
              <w:t>16.5%</w:t>
            </w:r>
            <w:r w:rsidRPr="00DD196F">
              <w:rPr>
                <w:rFonts w:ascii="Times New Roman" w:eastAsia="Times New Roman" w:hAnsi="Times New Roman" w:cs="Times New Roman"/>
                <w:spacing w:val="-6"/>
                <w:w w:val="105"/>
                <w:sz w:val="17"/>
                <w:lang w:val="sq-AL"/>
              </w:rPr>
              <w:t xml:space="preserve"> </w:t>
            </w:r>
            <w:r w:rsidRPr="00DD196F">
              <w:rPr>
                <w:rFonts w:ascii="Times New Roman" w:eastAsia="Times New Roman" w:hAnsi="Times New Roman" w:cs="Times New Roman"/>
                <w:w w:val="105"/>
                <w:sz w:val="17"/>
                <w:lang w:val="sq-AL"/>
              </w:rPr>
              <w:t>A-Cilësi</w:t>
            </w:r>
            <w:r w:rsidRPr="00DD196F">
              <w:rPr>
                <w:rFonts w:ascii="Times New Roman" w:eastAsia="Times New Roman" w:hAnsi="Times New Roman" w:cs="Times New Roman"/>
                <w:spacing w:val="-5"/>
                <w:w w:val="105"/>
                <w:sz w:val="17"/>
                <w:lang w:val="sq-AL"/>
              </w:rPr>
              <w:t xml:space="preserve"> </w:t>
            </w:r>
            <w:r w:rsidRPr="00DD196F">
              <w:rPr>
                <w:rFonts w:ascii="Times New Roman" w:eastAsia="Times New Roman" w:hAnsi="Times New Roman" w:cs="Times New Roman"/>
                <w:w w:val="105"/>
                <w:sz w:val="17"/>
                <w:lang w:val="sq-AL"/>
              </w:rPr>
              <w:t>e</w:t>
            </w:r>
            <w:r w:rsidRPr="00DD196F">
              <w:rPr>
                <w:rFonts w:ascii="Times New Roman" w:eastAsia="Times New Roman" w:hAnsi="Times New Roman" w:cs="Times New Roman"/>
                <w:spacing w:val="-4"/>
                <w:w w:val="105"/>
                <w:sz w:val="17"/>
                <w:lang w:val="sq-AL"/>
              </w:rPr>
              <w:t xml:space="preserve"> </w:t>
            </w:r>
            <w:r w:rsidRPr="00DD196F">
              <w:rPr>
                <w:rFonts w:ascii="Times New Roman" w:eastAsia="Times New Roman" w:hAnsi="Times New Roman" w:cs="Times New Roman"/>
                <w:w w:val="105"/>
                <w:sz w:val="17"/>
                <w:lang w:val="sq-AL"/>
              </w:rPr>
              <w:t>shkëlqyer</w:t>
            </w:r>
            <w:r w:rsidRPr="00DD196F">
              <w:rPr>
                <w:rFonts w:ascii="Times New Roman" w:eastAsia="Times New Roman" w:hAnsi="Times New Roman" w:cs="Times New Roman"/>
                <w:spacing w:val="-42"/>
                <w:w w:val="105"/>
                <w:sz w:val="17"/>
                <w:lang w:val="sq-AL"/>
              </w:rPr>
              <w:t xml:space="preserve"> </w:t>
            </w:r>
          </w:p>
          <w:p w:rsidR="00DD196F" w:rsidRPr="00DD196F" w:rsidRDefault="00DD196F" w:rsidP="00DD196F">
            <w:pPr>
              <w:widowControl w:val="0"/>
              <w:autoSpaceDE w:val="0"/>
              <w:autoSpaceDN w:val="0"/>
              <w:spacing w:before="3" w:after="0" w:line="252" w:lineRule="auto"/>
              <w:ind w:left="74" w:right="104"/>
              <w:rPr>
                <w:rFonts w:ascii="Times New Roman" w:eastAsia="Times New Roman" w:hAnsi="Times New Roman" w:cs="Times New Roman"/>
                <w:spacing w:val="-42"/>
                <w:w w:val="105"/>
                <w:sz w:val="17"/>
                <w:lang w:val="sq-AL"/>
              </w:rPr>
            </w:pPr>
          </w:p>
          <w:p w:rsidR="00DD196F" w:rsidRPr="00DD196F" w:rsidRDefault="00DD196F" w:rsidP="00DD196F">
            <w:pPr>
              <w:widowControl w:val="0"/>
              <w:autoSpaceDE w:val="0"/>
              <w:autoSpaceDN w:val="0"/>
              <w:spacing w:before="3" w:after="0" w:line="252" w:lineRule="auto"/>
              <w:ind w:left="74" w:right="104"/>
              <w:rPr>
                <w:rFonts w:ascii="Times New Roman" w:eastAsia="Times New Roman" w:hAnsi="Times New Roman" w:cs="Times New Roman"/>
                <w:spacing w:val="1"/>
                <w:w w:val="105"/>
                <w:sz w:val="17"/>
                <w:lang w:val="sq-AL"/>
              </w:rPr>
            </w:pPr>
            <w:r w:rsidRPr="00DD196F">
              <w:rPr>
                <w:rFonts w:ascii="Times New Roman" w:eastAsia="Times New Roman" w:hAnsi="Times New Roman" w:cs="Times New Roman"/>
                <w:w w:val="105"/>
                <w:sz w:val="17"/>
                <w:lang w:val="sq-AL"/>
              </w:rPr>
              <w:t>50 % B- Cilësi e mirë</w:t>
            </w:r>
            <w:r w:rsidRPr="00DD196F">
              <w:rPr>
                <w:rFonts w:ascii="Times New Roman" w:eastAsia="Times New Roman" w:hAnsi="Times New Roman" w:cs="Times New Roman"/>
                <w:spacing w:val="1"/>
                <w:w w:val="105"/>
                <w:sz w:val="17"/>
                <w:lang w:val="sq-AL"/>
              </w:rPr>
              <w:t xml:space="preserve"> </w:t>
            </w:r>
          </w:p>
          <w:p w:rsidR="00DD196F" w:rsidRPr="00DD196F" w:rsidRDefault="00DD196F" w:rsidP="00DD196F">
            <w:pPr>
              <w:widowControl w:val="0"/>
              <w:autoSpaceDE w:val="0"/>
              <w:autoSpaceDN w:val="0"/>
              <w:spacing w:before="3" w:after="0" w:line="252" w:lineRule="auto"/>
              <w:ind w:left="74" w:right="104"/>
              <w:rPr>
                <w:rFonts w:ascii="Times New Roman" w:eastAsia="Times New Roman" w:hAnsi="Times New Roman" w:cs="Times New Roman"/>
                <w:spacing w:val="1"/>
                <w:w w:val="105"/>
                <w:sz w:val="17"/>
                <w:lang w:val="sq-AL"/>
              </w:rPr>
            </w:pPr>
          </w:p>
          <w:p w:rsidR="00DD196F" w:rsidRPr="00DD196F" w:rsidRDefault="00DD196F" w:rsidP="00DD196F">
            <w:pPr>
              <w:widowControl w:val="0"/>
              <w:autoSpaceDE w:val="0"/>
              <w:autoSpaceDN w:val="0"/>
              <w:spacing w:before="3" w:after="0" w:line="252" w:lineRule="auto"/>
              <w:ind w:left="74" w:right="104"/>
              <w:rPr>
                <w:rFonts w:ascii="Times New Roman" w:eastAsia="Times New Roman" w:hAnsi="Times New Roman" w:cs="Times New Roman"/>
                <w:w w:val="105"/>
                <w:sz w:val="17"/>
                <w:lang w:val="sq-AL"/>
              </w:rPr>
            </w:pPr>
            <w:r w:rsidRPr="00DD196F">
              <w:rPr>
                <w:rFonts w:ascii="Times New Roman" w:eastAsia="Times New Roman" w:hAnsi="Times New Roman" w:cs="Times New Roman"/>
                <w:w w:val="105"/>
                <w:sz w:val="17"/>
                <w:lang w:val="sq-AL"/>
              </w:rPr>
              <w:t>16.5% C-Cilësi e</w:t>
            </w:r>
            <w:r w:rsidRPr="00DD196F">
              <w:rPr>
                <w:rFonts w:ascii="Times New Roman" w:eastAsia="Times New Roman" w:hAnsi="Times New Roman" w:cs="Times New Roman"/>
                <w:spacing w:val="1"/>
                <w:w w:val="105"/>
                <w:sz w:val="17"/>
                <w:lang w:val="sq-AL"/>
              </w:rPr>
              <w:t xml:space="preserve"> </w:t>
            </w:r>
            <w:r w:rsidRPr="00DD196F">
              <w:rPr>
                <w:rFonts w:ascii="Times New Roman" w:eastAsia="Times New Roman" w:hAnsi="Times New Roman" w:cs="Times New Roman"/>
                <w:w w:val="105"/>
                <w:sz w:val="17"/>
                <w:lang w:val="sq-AL"/>
              </w:rPr>
              <w:t>mjaftueshme</w:t>
            </w:r>
          </w:p>
          <w:p w:rsidR="00DD196F" w:rsidRPr="00DD196F" w:rsidRDefault="00DD196F" w:rsidP="00DD196F">
            <w:pPr>
              <w:widowControl w:val="0"/>
              <w:autoSpaceDE w:val="0"/>
              <w:autoSpaceDN w:val="0"/>
              <w:spacing w:before="3" w:after="0" w:line="252" w:lineRule="auto"/>
              <w:ind w:left="74" w:right="104"/>
              <w:rPr>
                <w:rFonts w:ascii="Times New Roman" w:eastAsia="Times New Roman" w:hAnsi="Times New Roman" w:cs="Times New Roman"/>
                <w:sz w:val="17"/>
                <w:lang w:val="sq-AL"/>
              </w:rPr>
            </w:pPr>
          </w:p>
          <w:p w:rsidR="00DD196F" w:rsidRPr="00DD196F" w:rsidRDefault="00DD196F" w:rsidP="00DD196F">
            <w:pPr>
              <w:widowControl w:val="0"/>
              <w:autoSpaceDE w:val="0"/>
              <w:autoSpaceDN w:val="0"/>
              <w:spacing w:after="0" w:line="193" w:lineRule="exact"/>
              <w:ind w:left="74"/>
              <w:rPr>
                <w:rFonts w:ascii="Times New Roman" w:eastAsia="Times New Roman" w:hAnsi="Times New Roman" w:cs="Times New Roman"/>
                <w:sz w:val="17"/>
                <w:lang w:val="sq-AL"/>
              </w:rPr>
            </w:pPr>
            <w:r w:rsidRPr="00DD196F">
              <w:rPr>
                <w:rFonts w:ascii="Times New Roman" w:eastAsia="Times New Roman" w:hAnsi="Times New Roman" w:cs="Times New Roman"/>
                <w:w w:val="105"/>
                <w:sz w:val="17"/>
                <w:lang w:val="sq-AL"/>
              </w:rPr>
              <w:t>16.5%</w:t>
            </w:r>
            <w:r w:rsidRPr="00DD196F">
              <w:rPr>
                <w:rFonts w:ascii="Times New Roman" w:eastAsia="Times New Roman" w:hAnsi="Times New Roman" w:cs="Times New Roman"/>
                <w:spacing w:val="-4"/>
                <w:w w:val="105"/>
                <w:sz w:val="17"/>
                <w:lang w:val="sq-AL"/>
              </w:rPr>
              <w:t xml:space="preserve"> </w:t>
            </w:r>
            <w:r w:rsidRPr="00DD196F">
              <w:rPr>
                <w:rFonts w:ascii="Times New Roman" w:eastAsia="Times New Roman" w:hAnsi="Times New Roman" w:cs="Times New Roman"/>
                <w:w w:val="105"/>
                <w:sz w:val="17"/>
                <w:lang w:val="sq-AL"/>
              </w:rPr>
              <w:t>D-Cilësi</w:t>
            </w:r>
            <w:r w:rsidRPr="00DD196F">
              <w:rPr>
                <w:rFonts w:ascii="Times New Roman" w:eastAsia="Times New Roman" w:hAnsi="Times New Roman" w:cs="Times New Roman"/>
                <w:spacing w:val="-3"/>
                <w:w w:val="105"/>
                <w:sz w:val="17"/>
                <w:lang w:val="sq-AL"/>
              </w:rPr>
              <w:t xml:space="preserve"> </w:t>
            </w:r>
            <w:r w:rsidRPr="00DD196F">
              <w:rPr>
                <w:rFonts w:ascii="Times New Roman" w:eastAsia="Times New Roman" w:hAnsi="Times New Roman" w:cs="Times New Roman"/>
                <w:w w:val="105"/>
                <w:sz w:val="17"/>
                <w:lang w:val="sq-AL"/>
              </w:rPr>
              <w:t>e</w:t>
            </w:r>
            <w:r w:rsidRPr="00DD196F">
              <w:rPr>
                <w:rFonts w:ascii="Times New Roman" w:eastAsia="Times New Roman" w:hAnsi="Times New Roman" w:cs="Times New Roman"/>
                <w:spacing w:val="-3"/>
                <w:w w:val="105"/>
                <w:sz w:val="17"/>
                <w:lang w:val="sq-AL"/>
              </w:rPr>
              <w:t xml:space="preserve"> </w:t>
            </w:r>
            <w:r w:rsidRPr="00DD196F">
              <w:rPr>
                <w:rFonts w:ascii="Times New Roman" w:eastAsia="Times New Roman" w:hAnsi="Times New Roman" w:cs="Times New Roman"/>
                <w:w w:val="105"/>
                <w:sz w:val="17"/>
                <w:lang w:val="sq-AL"/>
              </w:rPr>
              <w:t>keqe</w:t>
            </w:r>
          </w:p>
          <w:p w:rsidR="00DD196F" w:rsidRPr="00DD196F" w:rsidRDefault="00DD196F" w:rsidP="00DD196F">
            <w:pPr>
              <w:widowControl w:val="0"/>
              <w:autoSpaceDE w:val="0"/>
              <w:autoSpaceDN w:val="0"/>
              <w:spacing w:before="9" w:after="0" w:line="240" w:lineRule="auto"/>
              <w:ind w:left="74"/>
              <w:rPr>
                <w:rFonts w:ascii="Times New Roman" w:eastAsia="Times New Roman" w:hAnsi="Times New Roman" w:cs="Times New Roman"/>
                <w:sz w:val="17"/>
                <w:lang w:val="sq-AL"/>
              </w:rPr>
            </w:pPr>
            <w:r w:rsidRPr="00DD196F">
              <w:rPr>
                <w:rFonts w:ascii="Times New Roman" w:eastAsia="Times New Roman" w:hAnsi="Times New Roman" w:cs="Times New Roman"/>
                <w:w w:val="105"/>
                <w:sz w:val="17"/>
                <w:lang w:val="sq-AL"/>
              </w:rPr>
              <w:t>/Masa</w:t>
            </w:r>
            <w:r w:rsidRPr="00DD196F">
              <w:rPr>
                <w:rFonts w:ascii="Times New Roman" w:eastAsia="Times New Roman" w:hAnsi="Times New Roman" w:cs="Times New Roman"/>
                <w:spacing w:val="-5"/>
                <w:w w:val="105"/>
                <w:sz w:val="17"/>
                <w:lang w:val="sq-AL"/>
              </w:rPr>
              <w:t xml:space="preserve"> </w:t>
            </w:r>
            <w:r w:rsidRPr="00DD196F">
              <w:rPr>
                <w:rFonts w:ascii="Times New Roman" w:eastAsia="Times New Roman" w:hAnsi="Times New Roman" w:cs="Times New Roman"/>
                <w:w w:val="105"/>
                <w:sz w:val="17"/>
                <w:lang w:val="sq-AL"/>
              </w:rPr>
              <w:t>të</w:t>
            </w:r>
            <w:r w:rsidRPr="00DD196F">
              <w:rPr>
                <w:rFonts w:ascii="Times New Roman" w:eastAsia="Times New Roman" w:hAnsi="Times New Roman" w:cs="Times New Roman"/>
                <w:spacing w:val="-8"/>
                <w:w w:val="105"/>
                <w:sz w:val="17"/>
                <w:lang w:val="sq-AL"/>
              </w:rPr>
              <w:t xml:space="preserve"> </w:t>
            </w:r>
            <w:r w:rsidRPr="00DD196F">
              <w:rPr>
                <w:rFonts w:ascii="Times New Roman" w:eastAsia="Times New Roman" w:hAnsi="Times New Roman" w:cs="Times New Roman"/>
                <w:w w:val="105"/>
                <w:sz w:val="17"/>
                <w:lang w:val="sq-AL"/>
              </w:rPr>
              <w:t>menjëherëshme</w:t>
            </w:r>
          </w:p>
        </w:tc>
      </w:tr>
      <w:tr w:rsidR="00E95EB4" w:rsidTr="00854864">
        <w:trPr>
          <w:trHeight w:val="212"/>
        </w:trPr>
        <w:tc>
          <w:tcPr>
            <w:tcW w:w="1141" w:type="dxa"/>
          </w:tcPr>
          <w:p w:rsidR="00DD196F" w:rsidRPr="00DD196F" w:rsidRDefault="00DD196F" w:rsidP="00DD196F">
            <w:pPr>
              <w:widowControl w:val="0"/>
              <w:autoSpaceDE w:val="0"/>
              <w:autoSpaceDN w:val="0"/>
              <w:spacing w:after="0" w:line="198" w:lineRule="exact"/>
              <w:ind w:left="7"/>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2</w:t>
            </w:r>
          </w:p>
        </w:tc>
        <w:tc>
          <w:tcPr>
            <w:tcW w:w="1826"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Plazhi</w:t>
            </w:r>
            <w:r w:rsidRPr="00DD196F">
              <w:rPr>
                <w:rFonts w:ascii="Times New Roman" w:eastAsia="Times New Roman" w:hAnsi="Times New Roman" w:cs="Times New Roman"/>
                <w:spacing w:val="8"/>
                <w:sz w:val="19"/>
                <w:lang w:val="sq-AL"/>
              </w:rPr>
              <w:t xml:space="preserve"> </w:t>
            </w:r>
            <w:r w:rsidRPr="00DD196F">
              <w:rPr>
                <w:rFonts w:ascii="Times New Roman" w:eastAsia="Times New Roman" w:hAnsi="Times New Roman" w:cs="Times New Roman"/>
                <w:sz w:val="19"/>
                <w:lang w:val="sq-AL"/>
              </w:rPr>
              <w:t>Pllaka</w:t>
            </w:r>
          </w:p>
        </w:tc>
        <w:tc>
          <w:tcPr>
            <w:tcW w:w="1255"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86</w:t>
            </w:r>
          </w:p>
        </w:tc>
        <w:tc>
          <w:tcPr>
            <w:tcW w:w="1255"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67</w:t>
            </w:r>
          </w:p>
        </w:tc>
        <w:tc>
          <w:tcPr>
            <w:tcW w:w="1097" w:type="dxa"/>
            <w:shd w:val="clear" w:color="auto" w:fill="auto"/>
          </w:tcPr>
          <w:p w:rsidR="00DD196F" w:rsidRPr="00DD196F" w:rsidRDefault="00DD196F" w:rsidP="00DD196F">
            <w:pPr>
              <w:spacing w:after="12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A</w:t>
            </w:r>
          </w:p>
        </w:tc>
        <w:tc>
          <w:tcPr>
            <w:tcW w:w="2353"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E95EB4" w:rsidTr="00854864">
        <w:trPr>
          <w:trHeight w:val="212"/>
        </w:trPr>
        <w:tc>
          <w:tcPr>
            <w:tcW w:w="1141" w:type="dxa"/>
          </w:tcPr>
          <w:p w:rsidR="00DD196F" w:rsidRPr="00DD196F" w:rsidRDefault="00DD196F" w:rsidP="00DD196F">
            <w:pPr>
              <w:widowControl w:val="0"/>
              <w:autoSpaceDE w:val="0"/>
              <w:autoSpaceDN w:val="0"/>
              <w:spacing w:after="0" w:line="198" w:lineRule="exact"/>
              <w:ind w:left="7"/>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3</w:t>
            </w:r>
          </w:p>
        </w:tc>
        <w:tc>
          <w:tcPr>
            <w:tcW w:w="1826"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Plazhi</w:t>
            </w:r>
            <w:r w:rsidRPr="00DD196F">
              <w:rPr>
                <w:rFonts w:ascii="Times New Roman" w:eastAsia="Times New Roman" w:hAnsi="Times New Roman" w:cs="Times New Roman"/>
                <w:spacing w:val="4"/>
                <w:sz w:val="19"/>
                <w:lang w:val="sq-AL"/>
              </w:rPr>
              <w:t xml:space="preserve"> </w:t>
            </w:r>
            <w:r w:rsidRPr="00DD196F">
              <w:rPr>
                <w:rFonts w:ascii="Times New Roman" w:eastAsia="Times New Roman" w:hAnsi="Times New Roman" w:cs="Times New Roman"/>
                <w:sz w:val="19"/>
                <w:lang w:val="sq-AL"/>
              </w:rPr>
              <w:t>i</w:t>
            </w:r>
            <w:r w:rsidRPr="00DD196F">
              <w:rPr>
                <w:rFonts w:ascii="Times New Roman" w:eastAsia="Times New Roman" w:hAnsi="Times New Roman" w:cs="Times New Roman"/>
                <w:spacing w:val="5"/>
                <w:sz w:val="19"/>
                <w:lang w:val="sq-AL"/>
              </w:rPr>
              <w:t xml:space="preserve"> </w:t>
            </w:r>
            <w:r w:rsidRPr="00DD196F">
              <w:rPr>
                <w:rFonts w:ascii="Times New Roman" w:eastAsia="Times New Roman" w:hAnsi="Times New Roman" w:cs="Times New Roman"/>
                <w:sz w:val="19"/>
                <w:lang w:val="sq-AL"/>
              </w:rPr>
              <w:t>Ri</w:t>
            </w:r>
          </w:p>
        </w:tc>
        <w:tc>
          <w:tcPr>
            <w:tcW w:w="1255"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443</w:t>
            </w:r>
          </w:p>
        </w:tc>
        <w:tc>
          <w:tcPr>
            <w:tcW w:w="1255"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408</w:t>
            </w:r>
          </w:p>
        </w:tc>
        <w:tc>
          <w:tcPr>
            <w:tcW w:w="1097" w:type="dxa"/>
            <w:shd w:val="clear" w:color="auto" w:fill="auto"/>
          </w:tcPr>
          <w:p w:rsidR="00DD196F" w:rsidRPr="00DD196F" w:rsidRDefault="00DD196F" w:rsidP="00DD196F">
            <w:pPr>
              <w:spacing w:after="12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D</w:t>
            </w:r>
          </w:p>
        </w:tc>
        <w:tc>
          <w:tcPr>
            <w:tcW w:w="2353"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E95EB4" w:rsidTr="00854864">
        <w:trPr>
          <w:trHeight w:val="212"/>
        </w:trPr>
        <w:tc>
          <w:tcPr>
            <w:tcW w:w="1141" w:type="dxa"/>
          </w:tcPr>
          <w:p w:rsidR="00DD196F" w:rsidRPr="00DD196F" w:rsidRDefault="00DD196F" w:rsidP="00DD196F">
            <w:pPr>
              <w:widowControl w:val="0"/>
              <w:autoSpaceDE w:val="0"/>
              <w:autoSpaceDN w:val="0"/>
              <w:spacing w:after="0" w:line="198" w:lineRule="exact"/>
              <w:ind w:left="7"/>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4</w:t>
            </w:r>
          </w:p>
        </w:tc>
        <w:tc>
          <w:tcPr>
            <w:tcW w:w="1826"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Plazhi</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i</w:t>
            </w:r>
            <w:r w:rsidRPr="00DD196F">
              <w:rPr>
                <w:rFonts w:ascii="Times New Roman" w:eastAsia="Times New Roman" w:hAnsi="Times New Roman" w:cs="Times New Roman"/>
                <w:spacing w:val="8"/>
                <w:sz w:val="19"/>
                <w:lang w:val="sq-AL"/>
              </w:rPr>
              <w:t xml:space="preserve"> </w:t>
            </w:r>
            <w:r w:rsidRPr="00DD196F">
              <w:rPr>
                <w:rFonts w:ascii="Times New Roman" w:eastAsia="Times New Roman" w:hAnsi="Times New Roman" w:cs="Times New Roman"/>
                <w:sz w:val="19"/>
                <w:lang w:val="sq-AL"/>
              </w:rPr>
              <w:t>Fëmijëve</w:t>
            </w:r>
          </w:p>
        </w:tc>
        <w:tc>
          <w:tcPr>
            <w:tcW w:w="1255"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330</w:t>
            </w:r>
          </w:p>
        </w:tc>
        <w:tc>
          <w:tcPr>
            <w:tcW w:w="1255"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193</w:t>
            </w:r>
          </w:p>
        </w:tc>
        <w:tc>
          <w:tcPr>
            <w:tcW w:w="1097" w:type="dxa"/>
            <w:shd w:val="clear" w:color="auto" w:fill="auto"/>
          </w:tcPr>
          <w:p w:rsidR="00DD196F" w:rsidRPr="00DD196F" w:rsidRDefault="00DD196F" w:rsidP="00DD196F">
            <w:pPr>
              <w:spacing w:after="12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B</w:t>
            </w:r>
          </w:p>
        </w:tc>
        <w:tc>
          <w:tcPr>
            <w:tcW w:w="2353"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E95EB4" w:rsidTr="00854864">
        <w:trPr>
          <w:trHeight w:val="212"/>
        </w:trPr>
        <w:tc>
          <w:tcPr>
            <w:tcW w:w="1141" w:type="dxa"/>
          </w:tcPr>
          <w:p w:rsidR="00DD196F" w:rsidRPr="00DD196F" w:rsidRDefault="00DD196F" w:rsidP="00DD196F">
            <w:pPr>
              <w:widowControl w:val="0"/>
              <w:autoSpaceDE w:val="0"/>
              <w:autoSpaceDN w:val="0"/>
              <w:spacing w:after="0" w:line="198" w:lineRule="exact"/>
              <w:ind w:left="7"/>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5</w:t>
            </w:r>
          </w:p>
        </w:tc>
        <w:tc>
          <w:tcPr>
            <w:tcW w:w="1826"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Hotel</w:t>
            </w:r>
            <w:r w:rsidRPr="00DD196F">
              <w:rPr>
                <w:rFonts w:ascii="Times New Roman" w:eastAsia="Times New Roman" w:hAnsi="Times New Roman" w:cs="Times New Roman"/>
                <w:spacing w:val="8"/>
                <w:sz w:val="19"/>
                <w:lang w:val="sq-AL"/>
              </w:rPr>
              <w:t xml:space="preserve"> </w:t>
            </w:r>
            <w:r w:rsidRPr="00DD196F">
              <w:rPr>
                <w:rFonts w:ascii="Times New Roman" w:eastAsia="Times New Roman" w:hAnsi="Times New Roman" w:cs="Times New Roman"/>
                <w:sz w:val="19"/>
                <w:lang w:val="sq-AL"/>
              </w:rPr>
              <w:t>Grand</w:t>
            </w:r>
          </w:p>
        </w:tc>
        <w:tc>
          <w:tcPr>
            <w:tcW w:w="1255"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190</w:t>
            </w:r>
          </w:p>
        </w:tc>
        <w:tc>
          <w:tcPr>
            <w:tcW w:w="1255" w:type="dxa"/>
          </w:tcPr>
          <w:p w:rsidR="00DD196F" w:rsidRPr="00DD196F" w:rsidRDefault="00DD196F" w:rsidP="00DD196F">
            <w:pPr>
              <w:widowControl w:val="0"/>
              <w:autoSpaceDE w:val="0"/>
              <w:autoSpaceDN w:val="0"/>
              <w:spacing w:after="0" w:line="198"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147</w:t>
            </w:r>
          </w:p>
        </w:tc>
        <w:tc>
          <w:tcPr>
            <w:tcW w:w="1097" w:type="dxa"/>
            <w:shd w:val="clear" w:color="auto" w:fill="auto"/>
          </w:tcPr>
          <w:p w:rsidR="00DD196F" w:rsidRPr="00DD196F" w:rsidRDefault="00DD196F" w:rsidP="00DD196F">
            <w:pPr>
              <w:spacing w:after="12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B</w:t>
            </w:r>
          </w:p>
        </w:tc>
        <w:tc>
          <w:tcPr>
            <w:tcW w:w="2353"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r w:rsidR="00E95EB4" w:rsidTr="00854864">
        <w:trPr>
          <w:trHeight w:val="212"/>
        </w:trPr>
        <w:tc>
          <w:tcPr>
            <w:tcW w:w="1141" w:type="dxa"/>
          </w:tcPr>
          <w:p w:rsidR="00DD196F" w:rsidRPr="00DD196F" w:rsidRDefault="00DD196F" w:rsidP="00DD196F">
            <w:pPr>
              <w:widowControl w:val="0"/>
              <w:autoSpaceDE w:val="0"/>
              <w:autoSpaceDN w:val="0"/>
              <w:spacing w:after="0" w:line="199" w:lineRule="exact"/>
              <w:ind w:left="7"/>
              <w:jc w:val="center"/>
              <w:rPr>
                <w:rFonts w:ascii="Times New Roman" w:eastAsia="Times New Roman" w:hAnsi="Times New Roman" w:cs="Times New Roman"/>
                <w:sz w:val="19"/>
                <w:lang w:val="sq-AL"/>
              </w:rPr>
            </w:pPr>
            <w:r w:rsidRPr="00DD196F">
              <w:rPr>
                <w:rFonts w:ascii="Times New Roman" w:eastAsia="Times New Roman" w:hAnsi="Times New Roman" w:cs="Times New Roman"/>
                <w:w w:val="102"/>
                <w:sz w:val="19"/>
                <w:lang w:val="sq-AL"/>
              </w:rPr>
              <w:t>6</w:t>
            </w:r>
          </w:p>
        </w:tc>
        <w:tc>
          <w:tcPr>
            <w:tcW w:w="1826" w:type="dxa"/>
          </w:tcPr>
          <w:p w:rsidR="00DD196F" w:rsidRPr="00DD196F" w:rsidRDefault="00DD196F" w:rsidP="00DD196F">
            <w:pPr>
              <w:widowControl w:val="0"/>
              <w:autoSpaceDE w:val="0"/>
              <w:autoSpaceDN w:val="0"/>
              <w:spacing w:after="0" w:line="19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Kanali</w:t>
            </w:r>
            <w:r w:rsidRPr="00DD196F">
              <w:rPr>
                <w:rFonts w:ascii="Times New Roman" w:eastAsia="Times New Roman" w:hAnsi="Times New Roman" w:cs="Times New Roman"/>
                <w:spacing w:val="6"/>
                <w:sz w:val="19"/>
                <w:lang w:val="sq-AL"/>
              </w:rPr>
              <w:t xml:space="preserve"> </w:t>
            </w:r>
            <w:r w:rsidRPr="00DD196F">
              <w:rPr>
                <w:rFonts w:ascii="Times New Roman" w:eastAsia="Times New Roman" w:hAnsi="Times New Roman" w:cs="Times New Roman"/>
                <w:sz w:val="19"/>
                <w:lang w:val="sq-AL"/>
              </w:rPr>
              <w:t>i</w:t>
            </w:r>
            <w:r w:rsidRPr="00DD196F">
              <w:rPr>
                <w:rFonts w:ascii="Times New Roman" w:eastAsia="Times New Roman" w:hAnsi="Times New Roman" w:cs="Times New Roman"/>
                <w:spacing w:val="7"/>
                <w:sz w:val="19"/>
                <w:lang w:val="sq-AL"/>
              </w:rPr>
              <w:t xml:space="preserve"> </w:t>
            </w:r>
            <w:r w:rsidRPr="00DD196F">
              <w:rPr>
                <w:rFonts w:ascii="Times New Roman" w:eastAsia="Times New Roman" w:hAnsi="Times New Roman" w:cs="Times New Roman"/>
                <w:sz w:val="19"/>
                <w:lang w:val="sq-AL"/>
              </w:rPr>
              <w:t>Çukës</w:t>
            </w:r>
          </w:p>
        </w:tc>
        <w:tc>
          <w:tcPr>
            <w:tcW w:w="1255" w:type="dxa"/>
          </w:tcPr>
          <w:p w:rsidR="00DD196F" w:rsidRPr="00DD196F" w:rsidRDefault="00DD196F" w:rsidP="00DD196F">
            <w:pPr>
              <w:widowControl w:val="0"/>
              <w:autoSpaceDE w:val="0"/>
              <w:autoSpaceDN w:val="0"/>
              <w:spacing w:after="0" w:line="19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238</w:t>
            </w:r>
          </w:p>
        </w:tc>
        <w:tc>
          <w:tcPr>
            <w:tcW w:w="1255" w:type="dxa"/>
          </w:tcPr>
          <w:p w:rsidR="00DD196F" w:rsidRPr="00DD196F" w:rsidRDefault="00DD196F" w:rsidP="00DD196F">
            <w:pPr>
              <w:widowControl w:val="0"/>
              <w:autoSpaceDE w:val="0"/>
              <w:autoSpaceDN w:val="0"/>
              <w:spacing w:after="0" w:line="199" w:lineRule="exact"/>
              <w:ind w:left="75"/>
              <w:rPr>
                <w:rFonts w:ascii="Times New Roman" w:eastAsia="Times New Roman" w:hAnsi="Times New Roman" w:cs="Times New Roman"/>
                <w:sz w:val="19"/>
                <w:lang w:val="sq-AL"/>
              </w:rPr>
            </w:pPr>
            <w:r w:rsidRPr="00DD196F">
              <w:rPr>
                <w:rFonts w:ascii="Times New Roman" w:eastAsia="Times New Roman" w:hAnsi="Times New Roman" w:cs="Times New Roman"/>
                <w:sz w:val="19"/>
                <w:lang w:val="sq-AL"/>
              </w:rPr>
              <w:t>229</w:t>
            </w:r>
          </w:p>
        </w:tc>
        <w:tc>
          <w:tcPr>
            <w:tcW w:w="1097" w:type="dxa"/>
            <w:shd w:val="clear" w:color="auto" w:fill="auto"/>
          </w:tcPr>
          <w:p w:rsidR="00DD196F" w:rsidRPr="00DD196F" w:rsidRDefault="00DD196F" w:rsidP="00DD196F">
            <w:pPr>
              <w:spacing w:after="120" w:line="240" w:lineRule="auto"/>
              <w:jc w:val="center"/>
              <w:rPr>
                <w:rFonts w:ascii="Times New Roman" w:eastAsiaTheme="minorEastAsia" w:hAnsi="Times New Roman"/>
                <w:sz w:val="20"/>
                <w:szCs w:val="20"/>
              </w:rPr>
            </w:pPr>
            <w:r w:rsidRPr="00DD196F">
              <w:rPr>
                <w:rFonts w:ascii="Times New Roman" w:eastAsiaTheme="minorEastAsia" w:hAnsi="Times New Roman"/>
                <w:sz w:val="20"/>
                <w:szCs w:val="20"/>
              </w:rPr>
              <w:t>C</w:t>
            </w:r>
          </w:p>
        </w:tc>
        <w:tc>
          <w:tcPr>
            <w:tcW w:w="2353" w:type="dxa"/>
            <w:vMerge/>
          </w:tcPr>
          <w:p w:rsidR="00DD196F" w:rsidRPr="00DD196F" w:rsidRDefault="00DD196F" w:rsidP="00DD196F">
            <w:pPr>
              <w:widowControl w:val="0"/>
              <w:autoSpaceDE w:val="0"/>
              <w:autoSpaceDN w:val="0"/>
              <w:spacing w:after="0" w:line="240" w:lineRule="auto"/>
              <w:rPr>
                <w:rFonts w:ascii="Times New Roman" w:eastAsia="Times New Roman" w:hAnsi="Times New Roman" w:cs="Times New Roman"/>
                <w:sz w:val="2"/>
                <w:szCs w:val="2"/>
                <w:lang w:val="sq-AL"/>
              </w:rPr>
            </w:pPr>
          </w:p>
        </w:tc>
      </w:tr>
    </w:tbl>
    <w:p w:rsidR="00854864" w:rsidRDefault="00854864" w:rsidP="00A579C7">
      <w:pPr>
        <w:spacing w:after="0" w:line="240" w:lineRule="auto"/>
        <w:jc w:val="both"/>
        <w:rPr>
          <w:rFonts w:ascii="Times New Roman" w:eastAsia="Times New Roman" w:hAnsi="Times New Roman" w:cs="Times New Roman"/>
          <w:noProof/>
          <w:sz w:val="24"/>
          <w:szCs w:val="24"/>
          <w:lang w:val="sq-AL"/>
        </w:rPr>
      </w:pPr>
    </w:p>
    <w:p w:rsidR="00DD196F" w:rsidRDefault="00DD196F" w:rsidP="00A579C7">
      <w:pPr>
        <w:spacing w:after="0" w:line="240" w:lineRule="auto"/>
        <w:jc w:val="both"/>
        <w:rPr>
          <w:rFonts w:ascii="Times New Roman" w:eastAsia="Times New Roman" w:hAnsi="Times New Roman" w:cs="Times New Roman"/>
          <w:sz w:val="24"/>
          <w:szCs w:val="24"/>
          <w:lang w:val="sq-AL"/>
        </w:rPr>
      </w:pPr>
      <w:r w:rsidRPr="00DD196F">
        <w:rPr>
          <w:rFonts w:ascii="Times New Roman" w:eastAsia="Times New Roman" w:hAnsi="Times New Roman" w:cs="Times New Roman"/>
          <w:noProof/>
          <w:sz w:val="24"/>
          <w:szCs w:val="24"/>
          <w:lang w:val="sq-AL"/>
        </w:rPr>
        <w:t>Referuar</w:t>
      </w:r>
      <w:r w:rsidRPr="00DD196F">
        <w:rPr>
          <w:rFonts w:ascii="Times New Roman" w:eastAsia="Times New Roman" w:hAnsi="Times New Roman" w:cs="Times New Roman"/>
          <w:sz w:val="24"/>
          <w:szCs w:val="24"/>
          <w:lang w:val="it-IT"/>
        </w:rPr>
        <w:t xml:space="preserve"> rezultateve </w:t>
      </w:r>
      <w:r w:rsidRPr="00DD196F">
        <w:rPr>
          <w:rFonts w:ascii="Times New Roman" w:eastAsia="Calibri" w:hAnsi="Times New Roman" w:cs="Times New Roman"/>
          <w:sz w:val="24"/>
          <w:szCs w:val="24"/>
          <w:lang w:val="it-IT"/>
        </w:rPr>
        <w:t xml:space="preserve">të analizave </w:t>
      </w:r>
      <w:r w:rsidRPr="00DD196F">
        <w:rPr>
          <w:rFonts w:ascii="Times New Roman" w:eastAsia="Times New Roman" w:hAnsi="Times New Roman" w:cs="Times New Roman"/>
          <w:sz w:val="24"/>
          <w:szCs w:val="24"/>
          <w:lang w:val="it-IT"/>
        </w:rPr>
        <w:t>bakteriologjike plazhet e Sarand</w:t>
      </w:r>
      <w:r w:rsidRPr="00DD196F">
        <w:rPr>
          <w:rFonts w:ascii="Times New Roman" w:eastAsia="Times New Roman" w:hAnsi="Times New Roman" w:cs="Times New Roman"/>
          <w:sz w:val="24"/>
          <w:szCs w:val="24"/>
          <w:lang w:val="sq-AL"/>
        </w:rPr>
        <w:t>ë</w:t>
      </w:r>
      <w:r w:rsidRPr="00DD196F">
        <w:rPr>
          <w:rFonts w:ascii="Times New Roman" w:eastAsia="Times New Roman" w:hAnsi="Times New Roman" w:cs="Times New Roman"/>
          <w:sz w:val="24"/>
          <w:szCs w:val="24"/>
          <w:lang w:val="it-IT"/>
        </w:rPr>
        <w:t xml:space="preserve">s </w:t>
      </w:r>
      <w:r w:rsidRPr="00DD196F">
        <w:rPr>
          <w:rFonts w:ascii="Times New Roman" w:eastAsia="Times New Roman" w:hAnsi="Times New Roman" w:cs="Times New Roman"/>
          <w:sz w:val="24"/>
          <w:szCs w:val="24"/>
          <w:lang w:val="sq-AL"/>
        </w:rPr>
        <w:t xml:space="preserve">vlerësohen: </w:t>
      </w:r>
      <w:r w:rsidRPr="00DD196F">
        <w:rPr>
          <w:rFonts w:ascii="Times New Roman" w:eastAsia="Times New Roman" w:hAnsi="Times New Roman" w:cs="Times New Roman"/>
          <w:noProof/>
          <w:sz w:val="24"/>
          <w:szCs w:val="24"/>
          <w:lang w:val="it-IT"/>
        </w:rPr>
        <w:t xml:space="preserve">Në kategorinë </w:t>
      </w:r>
      <w:r w:rsidRPr="00DD196F">
        <w:rPr>
          <w:rFonts w:ascii="Times New Roman" w:eastAsia="Times New Roman" w:hAnsi="Times New Roman" w:cs="Times New Roman"/>
          <w:noProof/>
          <w:sz w:val="24"/>
          <w:szCs w:val="24"/>
          <w:lang w:val="hr-HR"/>
        </w:rPr>
        <w:t>A- Cil</w:t>
      </w:r>
      <w:r w:rsidRPr="00DD196F">
        <w:rPr>
          <w:rFonts w:ascii="Times New Roman" w:eastAsia="Times New Roman" w:hAnsi="Times New Roman" w:cs="Times New Roman"/>
          <w:sz w:val="24"/>
          <w:szCs w:val="24"/>
          <w:lang w:val="sq-AL"/>
        </w:rPr>
        <w:t>ë</w:t>
      </w:r>
      <w:r w:rsidRPr="00DD196F">
        <w:rPr>
          <w:rFonts w:ascii="Times New Roman" w:eastAsia="Times New Roman" w:hAnsi="Times New Roman" w:cs="Times New Roman"/>
          <w:noProof/>
          <w:sz w:val="24"/>
          <w:szCs w:val="24"/>
          <w:lang w:val="hr-HR"/>
        </w:rPr>
        <w:t>si e shk</w:t>
      </w:r>
      <w:r w:rsidRPr="00DD196F">
        <w:rPr>
          <w:rFonts w:ascii="Times New Roman" w:eastAsia="Times New Roman" w:hAnsi="Times New Roman" w:cs="Times New Roman"/>
          <w:sz w:val="24"/>
          <w:szCs w:val="24"/>
          <w:lang w:val="sq-AL"/>
        </w:rPr>
        <w:t>ë</w:t>
      </w:r>
      <w:r w:rsidRPr="00DD196F">
        <w:rPr>
          <w:rFonts w:ascii="Times New Roman" w:eastAsia="Times New Roman" w:hAnsi="Times New Roman" w:cs="Times New Roman"/>
          <w:noProof/>
          <w:sz w:val="24"/>
          <w:szCs w:val="24"/>
          <w:lang w:val="hr-HR"/>
        </w:rPr>
        <w:t>lqyer (1 pik</w:t>
      </w:r>
      <w:r w:rsidRPr="00DD196F">
        <w:rPr>
          <w:rFonts w:ascii="Times New Roman" w:eastAsia="Times New Roman" w:hAnsi="Times New Roman" w:cs="Times New Roman"/>
          <w:noProof/>
          <w:sz w:val="24"/>
          <w:szCs w:val="24"/>
          <w:lang w:val="it-IT"/>
        </w:rPr>
        <w:t>ë</w:t>
      </w:r>
      <w:r w:rsidRPr="00DD196F">
        <w:rPr>
          <w:rFonts w:ascii="Times New Roman" w:eastAsia="Times New Roman" w:hAnsi="Times New Roman" w:cs="Times New Roman"/>
          <w:noProof/>
          <w:sz w:val="24"/>
          <w:szCs w:val="24"/>
          <w:lang w:val="hr-HR"/>
        </w:rPr>
        <w:t>).</w:t>
      </w:r>
      <w:r w:rsidRPr="00DD196F">
        <w:rPr>
          <w:rFonts w:ascii="Times New Roman" w:eastAsia="Times New Roman" w:hAnsi="Times New Roman" w:cs="Times New Roman"/>
          <w:sz w:val="24"/>
          <w:szCs w:val="24"/>
          <w:lang w:val="sq-AL"/>
        </w:rPr>
        <w:t xml:space="preserve"> </w:t>
      </w:r>
      <w:r w:rsidRPr="00DD196F">
        <w:rPr>
          <w:rFonts w:ascii="Times New Roman" w:eastAsia="Times New Roman" w:hAnsi="Times New Roman" w:cs="Times New Roman"/>
          <w:noProof/>
          <w:sz w:val="24"/>
          <w:szCs w:val="24"/>
          <w:lang w:val="sq-AL"/>
        </w:rPr>
        <w:t>N</w:t>
      </w:r>
      <w:r w:rsidRPr="00DD196F">
        <w:rPr>
          <w:rFonts w:ascii="Times New Roman" w:eastAsia="Times New Roman" w:hAnsi="Times New Roman" w:cs="Times New Roman"/>
          <w:noProof/>
          <w:sz w:val="24"/>
          <w:szCs w:val="24"/>
          <w:lang w:val="it-IT"/>
        </w:rPr>
        <w:t xml:space="preserve">ë </w:t>
      </w:r>
      <w:r w:rsidRPr="00DD196F">
        <w:rPr>
          <w:rFonts w:ascii="Times New Roman" w:eastAsia="Times New Roman" w:hAnsi="Times New Roman" w:cs="Times New Roman"/>
          <w:noProof/>
          <w:sz w:val="24"/>
          <w:szCs w:val="24"/>
          <w:lang w:val="hr-HR"/>
        </w:rPr>
        <w:t>kategorinë B- C</w:t>
      </w:r>
      <w:r w:rsidRPr="00DD196F">
        <w:rPr>
          <w:rFonts w:ascii="Times New Roman" w:eastAsia="Times New Roman" w:hAnsi="Times New Roman" w:cs="Times New Roman"/>
          <w:noProof/>
          <w:sz w:val="24"/>
          <w:szCs w:val="24"/>
          <w:lang w:val="it-IT"/>
        </w:rPr>
        <w:t xml:space="preserve">ilësi e  mirë e ujërave </w:t>
      </w:r>
      <w:r w:rsidRPr="00DD196F">
        <w:rPr>
          <w:rFonts w:ascii="Times New Roman" w:eastAsia="Times New Roman" w:hAnsi="Times New Roman" w:cs="Times New Roman"/>
          <w:sz w:val="24"/>
          <w:szCs w:val="24"/>
          <w:lang w:val="sq-AL"/>
        </w:rPr>
        <w:t>larës (3 pik</w:t>
      </w:r>
      <w:r w:rsidRPr="00DD196F">
        <w:rPr>
          <w:rFonts w:ascii="Times New Roman" w:eastAsia="Times New Roman" w:hAnsi="Times New Roman" w:cs="Times New Roman"/>
          <w:noProof/>
          <w:sz w:val="24"/>
          <w:szCs w:val="24"/>
          <w:lang w:val="it-IT"/>
        </w:rPr>
        <w:t>ë</w:t>
      </w:r>
      <w:r w:rsidRPr="00DD196F">
        <w:rPr>
          <w:rFonts w:ascii="Times New Roman" w:eastAsia="Times New Roman" w:hAnsi="Times New Roman" w:cs="Times New Roman"/>
          <w:sz w:val="24"/>
          <w:szCs w:val="24"/>
          <w:lang w:val="sq-AL"/>
        </w:rPr>
        <w:t>). N</w:t>
      </w:r>
      <w:r w:rsidRPr="00DD196F">
        <w:rPr>
          <w:rFonts w:ascii="Times New Roman" w:eastAsia="Times New Roman" w:hAnsi="Times New Roman" w:cs="Times New Roman"/>
          <w:noProof/>
          <w:sz w:val="24"/>
          <w:szCs w:val="24"/>
          <w:lang w:val="it-IT"/>
        </w:rPr>
        <w:t>ë</w:t>
      </w:r>
      <w:r w:rsidRPr="00DD196F">
        <w:rPr>
          <w:rFonts w:ascii="Times New Roman" w:eastAsia="Times New Roman" w:hAnsi="Times New Roman" w:cs="Times New Roman"/>
          <w:sz w:val="24"/>
          <w:szCs w:val="24"/>
          <w:lang w:val="sq-AL"/>
        </w:rPr>
        <w:t xml:space="preserve"> kategorin</w:t>
      </w:r>
      <w:r w:rsidRPr="00DD196F">
        <w:rPr>
          <w:rFonts w:ascii="Times New Roman" w:eastAsia="Times New Roman" w:hAnsi="Times New Roman" w:cs="Times New Roman"/>
          <w:noProof/>
          <w:sz w:val="24"/>
          <w:szCs w:val="24"/>
          <w:lang w:val="hr-HR"/>
        </w:rPr>
        <w:t>ë</w:t>
      </w:r>
      <w:r w:rsidRPr="00DD196F">
        <w:rPr>
          <w:rFonts w:ascii="Times New Roman" w:eastAsia="Times New Roman" w:hAnsi="Times New Roman" w:cs="Times New Roman"/>
          <w:sz w:val="24"/>
          <w:szCs w:val="24"/>
          <w:lang w:val="sq-AL"/>
        </w:rPr>
        <w:t xml:space="preserve"> </w:t>
      </w:r>
      <w:r w:rsidRPr="00DD196F">
        <w:rPr>
          <w:rFonts w:ascii="Times New Roman" w:eastAsia="Times New Roman" w:hAnsi="Times New Roman" w:cs="Times New Roman"/>
          <w:noProof/>
          <w:sz w:val="24"/>
          <w:szCs w:val="24"/>
          <w:lang w:val="it-IT"/>
        </w:rPr>
        <w:t>C- Cil</w:t>
      </w:r>
      <w:r w:rsidRPr="00DD196F">
        <w:rPr>
          <w:rFonts w:ascii="Times New Roman" w:eastAsia="Times New Roman" w:hAnsi="Times New Roman" w:cs="Times New Roman"/>
          <w:sz w:val="24"/>
          <w:szCs w:val="24"/>
          <w:lang w:val="sq-AL"/>
        </w:rPr>
        <w:t>ë</w:t>
      </w:r>
      <w:r w:rsidRPr="00DD196F">
        <w:rPr>
          <w:rFonts w:ascii="Times New Roman" w:eastAsia="Times New Roman" w:hAnsi="Times New Roman" w:cs="Times New Roman"/>
          <w:noProof/>
          <w:sz w:val="24"/>
          <w:szCs w:val="24"/>
          <w:lang w:val="it-IT"/>
        </w:rPr>
        <w:t xml:space="preserve">si e mjaftueshme ( 1 </w:t>
      </w:r>
      <w:r w:rsidRPr="00DD196F">
        <w:rPr>
          <w:rFonts w:ascii="Times New Roman" w:eastAsia="Times New Roman" w:hAnsi="Times New Roman" w:cs="Times New Roman"/>
          <w:sz w:val="24"/>
          <w:szCs w:val="24"/>
          <w:lang w:val="sq-AL"/>
        </w:rPr>
        <w:t>pik</w:t>
      </w:r>
      <w:r w:rsidRPr="00DD196F">
        <w:rPr>
          <w:rFonts w:ascii="Times New Roman" w:eastAsia="Times New Roman" w:hAnsi="Times New Roman" w:cs="Times New Roman"/>
          <w:noProof/>
          <w:sz w:val="24"/>
          <w:szCs w:val="24"/>
          <w:lang w:val="it-IT"/>
        </w:rPr>
        <w:t>ë)</w:t>
      </w:r>
      <w:r w:rsidRPr="00DD196F">
        <w:rPr>
          <w:rFonts w:ascii="Times New Roman" w:eastAsia="Times New Roman" w:hAnsi="Times New Roman" w:cs="Times New Roman"/>
          <w:sz w:val="24"/>
          <w:szCs w:val="24"/>
          <w:lang w:val="sq-AL"/>
        </w:rPr>
        <w:t xml:space="preserve">. </w:t>
      </w:r>
      <w:r w:rsidRPr="00DD196F">
        <w:rPr>
          <w:rFonts w:ascii="Times New Roman" w:eastAsia="Times New Roman" w:hAnsi="Times New Roman" w:cs="Times New Roman"/>
          <w:noProof/>
          <w:sz w:val="24"/>
          <w:szCs w:val="24"/>
          <w:lang w:val="sq-AL"/>
        </w:rPr>
        <w:t>N</w:t>
      </w:r>
      <w:r w:rsidRPr="00DD196F">
        <w:rPr>
          <w:rFonts w:ascii="Times New Roman" w:eastAsia="Times New Roman" w:hAnsi="Times New Roman" w:cs="Times New Roman"/>
          <w:noProof/>
          <w:sz w:val="24"/>
          <w:szCs w:val="24"/>
          <w:lang w:val="it-IT"/>
        </w:rPr>
        <w:t xml:space="preserve">ë </w:t>
      </w:r>
      <w:r w:rsidRPr="00DD196F">
        <w:rPr>
          <w:rFonts w:ascii="Times New Roman" w:eastAsia="Times New Roman" w:hAnsi="Times New Roman" w:cs="Times New Roman"/>
          <w:noProof/>
          <w:sz w:val="24"/>
          <w:szCs w:val="24"/>
          <w:lang w:val="hr-HR"/>
        </w:rPr>
        <w:t xml:space="preserve">kategorinë </w:t>
      </w:r>
      <w:r w:rsidRPr="00DD196F">
        <w:rPr>
          <w:rFonts w:ascii="Times New Roman" w:eastAsia="Times New Roman" w:hAnsi="Times New Roman" w:cs="Times New Roman"/>
          <w:noProof/>
          <w:sz w:val="24"/>
          <w:szCs w:val="24"/>
          <w:lang w:val="it-IT"/>
        </w:rPr>
        <w:t xml:space="preserve">D- Cilësi e keqe e ujërave larës </w:t>
      </w:r>
      <w:r w:rsidRPr="00DD196F">
        <w:rPr>
          <w:rFonts w:ascii="Times New Roman" w:eastAsia="Times New Roman" w:hAnsi="Times New Roman" w:cs="Times New Roman"/>
          <w:sz w:val="24"/>
          <w:szCs w:val="24"/>
          <w:lang w:val="sq-AL"/>
        </w:rPr>
        <w:t>vler</w:t>
      </w:r>
      <w:r w:rsidRPr="00DD196F">
        <w:rPr>
          <w:rFonts w:ascii="Times New Roman" w:eastAsia="Times New Roman" w:hAnsi="Times New Roman" w:cs="Times New Roman"/>
          <w:noProof/>
          <w:sz w:val="24"/>
          <w:szCs w:val="24"/>
          <w:lang w:val="it-IT"/>
        </w:rPr>
        <w:t>ë</w:t>
      </w:r>
      <w:r w:rsidRPr="00DD196F">
        <w:rPr>
          <w:rFonts w:ascii="Times New Roman" w:eastAsia="Times New Roman" w:hAnsi="Times New Roman" w:cs="Times New Roman"/>
          <w:sz w:val="24"/>
          <w:szCs w:val="24"/>
          <w:lang w:val="sq-AL"/>
        </w:rPr>
        <w:t>sohen (</w:t>
      </w:r>
      <w:r w:rsidRPr="00DD196F">
        <w:rPr>
          <w:rFonts w:ascii="Times New Roman" w:eastAsia="Times New Roman" w:hAnsi="Times New Roman" w:cs="Times New Roman"/>
          <w:noProof/>
          <w:sz w:val="24"/>
          <w:szCs w:val="24"/>
          <w:lang w:val="it-IT"/>
        </w:rPr>
        <w:t xml:space="preserve">1 </w:t>
      </w:r>
      <w:r w:rsidRPr="00DD196F">
        <w:rPr>
          <w:rFonts w:ascii="Times New Roman" w:eastAsia="Times New Roman" w:hAnsi="Times New Roman" w:cs="Times New Roman"/>
          <w:sz w:val="24"/>
          <w:szCs w:val="24"/>
          <w:lang w:val="sq-AL"/>
        </w:rPr>
        <w:t>pik</w:t>
      </w:r>
      <w:r w:rsidRPr="00DD196F">
        <w:rPr>
          <w:rFonts w:ascii="Times New Roman" w:eastAsia="Times New Roman" w:hAnsi="Times New Roman" w:cs="Times New Roman"/>
          <w:noProof/>
          <w:sz w:val="24"/>
          <w:szCs w:val="24"/>
          <w:lang w:val="it-IT"/>
        </w:rPr>
        <w:t>ë</w:t>
      </w:r>
      <w:r w:rsidRPr="00DD196F">
        <w:rPr>
          <w:rFonts w:ascii="Times New Roman" w:eastAsia="Times New Roman" w:hAnsi="Times New Roman" w:cs="Times New Roman"/>
          <w:sz w:val="24"/>
          <w:szCs w:val="24"/>
          <w:lang w:val="sq-AL"/>
        </w:rPr>
        <w:t xml:space="preserve">). </w:t>
      </w:r>
    </w:p>
    <w:p w:rsidR="00A579C7" w:rsidRPr="00DD196F" w:rsidRDefault="00A579C7" w:rsidP="00A579C7">
      <w:pPr>
        <w:spacing w:after="0" w:line="240" w:lineRule="auto"/>
        <w:jc w:val="both"/>
        <w:rPr>
          <w:rFonts w:ascii="Times New Roman" w:eastAsia="Times New Roman" w:hAnsi="Times New Roman" w:cs="Times New Roman"/>
          <w:sz w:val="24"/>
          <w:szCs w:val="24"/>
          <w:lang w:val="sq-AL"/>
        </w:rPr>
      </w:pPr>
    </w:p>
    <w:p w:rsidR="00DD196F" w:rsidRPr="00DD196F" w:rsidRDefault="00DD196F" w:rsidP="00DD196F">
      <w:pPr>
        <w:spacing w:after="200" w:line="288" w:lineRule="auto"/>
        <w:rPr>
          <w:rFonts w:ascii="Times New Roman" w:eastAsiaTheme="minorEastAsia" w:hAnsi="Times New Roman" w:cs="Times New Roman"/>
          <w:sz w:val="24"/>
          <w:szCs w:val="24"/>
        </w:rPr>
      </w:pPr>
      <w:r w:rsidRPr="00DD196F">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46464" behindDoc="0" locked="0" layoutInCell="1" allowOverlap="1" wp14:anchorId="442FF6AE" wp14:editId="7F174F18">
                <wp:simplePos x="0" y="0"/>
                <wp:positionH relativeFrom="column">
                  <wp:posOffset>3067050</wp:posOffset>
                </wp:positionH>
                <wp:positionV relativeFrom="paragraph">
                  <wp:posOffset>38100</wp:posOffset>
                </wp:positionV>
                <wp:extent cx="3305175" cy="2886075"/>
                <wp:effectExtent l="0" t="0" r="28575" b="28575"/>
                <wp:wrapNone/>
                <wp:docPr id="46" name="Rectangle 46"/>
                <wp:cNvGraphicFramePr/>
                <a:graphic xmlns:a="http://schemas.openxmlformats.org/drawingml/2006/main">
                  <a:graphicData uri="http://schemas.microsoft.com/office/word/2010/wordprocessingShape">
                    <wps:wsp>
                      <wps:cNvSpPr/>
                      <wps:spPr>
                        <a:xfrm>
                          <a:off x="0" y="0"/>
                          <a:ext cx="3305175" cy="2886075"/>
                        </a:xfrm>
                        <a:prstGeom prst="rect">
                          <a:avLst/>
                        </a:prstGeom>
                        <a:solidFill>
                          <a:sysClr val="window" lastClr="FFFFFF"/>
                        </a:solidFill>
                        <a:ln w="12700" cap="flat" cmpd="sng" algn="ctr">
                          <a:solidFill>
                            <a:srgbClr val="70AD47"/>
                          </a:solidFill>
                          <a:prstDash val="solid"/>
                          <a:miter lim="800000"/>
                        </a:ln>
                        <a:effectLst/>
                      </wps:spPr>
                      <wps:txbx>
                        <w:txbxContent>
                          <w:p w:rsidR="0064059F" w:rsidRDefault="0064059F" w:rsidP="00A579C7">
                            <w:pPr>
                              <w:spacing w:after="0" w:line="240" w:lineRule="auto"/>
                              <w:jc w:val="both"/>
                              <w:rPr>
                                <w:rFonts w:ascii="Times New Roman" w:eastAsia="Times New Roman" w:hAnsi="Times New Roman" w:cs="Times New Roman"/>
                                <w:noProof/>
                                <w:sz w:val="24"/>
                                <w:szCs w:val="24"/>
                                <w:lang w:val="sq-AL"/>
                              </w:rPr>
                            </w:pPr>
                            <w:r w:rsidRPr="00D042E6">
                              <w:rPr>
                                <w:rFonts w:ascii="Times New Roman" w:eastAsia="Times New Roman" w:hAnsi="Times New Roman" w:cs="Times New Roman"/>
                                <w:sz w:val="24"/>
                                <w:szCs w:val="24"/>
                                <w:lang w:val="sq-AL"/>
                              </w:rPr>
                              <w:t>Për plazhin e Sarandës</w:t>
                            </w:r>
                            <w:r>
                              <w:rPr>
                                <w:rFonts w:ascii="Times New Roman" w:eastAsia="Times New Roman" w:hAnsi="Times New Roman" w:cs="Times New Roman"/>
                                <w:sz w:val="24"/>
                                <w:szCs w:val="24"/>
                                <w:lang w:val="sq-AL"/>
                              </w:rPr>
                              <w:t>,</w:t>
                            </w:r>
                            <w:r w:rsidRPr="00D042E6">
                              <w:rPr>
                                <w:rFonts w:ascii="Times New Roman" w:eastAsia="Times New Roman" w:hAnsi="Times New Roman" w:cs="Times New Roman"/>
                                <w:noProof/>
                                <w:sz w:val="24"/>
                                <w:szCs w:val="24"/>
                                <w:lang w:val="it-IT"/>
                              </w:rPr>
                              <w:t xml:space="preserve"> </w:t>
                            </w:r>
                            <w:r>
                              <w:rPr>
                                <w:rFonts w:ascii="Times New Roman" w:eastAsia="Times New Roman" w:hAnsi="Times New Roman" w:cs="Times New Roman"/>
                                <w:noProof/>
                                <w:sz w:val="24"/>
                                <w:szCs w:val="24"/>
                                <w:lang w:val="it-IT"/>
                              </w:rPr>
                              <w:t>n</w:t>
                            </w:r>
                            <w:r w:rsidRPr="00D042E6">
                              <w:rPr>
                                <w:rFonts w:ascii="Times New Roman" w:eastAsia="Times New Roman" w:hAnsi="Times New Roman" w:cs="Times New Roman"/>
                                <w:noProof/>
                                <w:sz w:val="24"/>
                                <w:szCs w:val="24"/>
                                <w:lang w:val="it-IT"/>
                              </w:rPr>
                              <w:t xml:space="preserve">umri i stacioneve të </w:t>
                            </w:r>
                            <w:r w:rsidRPr="00D042E6">
                              <w:rPr>
                                <w:rFonts w:ascii="Times New Roman" w:eastAsia="Times New Roman" w:hAnsi="Times New Roman" w:cs="Times New Roman"/>
                                <w:noProof/>
                                <w:sz w:val="24"/>
                                <w:szCs w:val="24"/>
                                <w:lang w:val="sq-AL"/>
                              </w:rPr>
                              <w:t>kategorisë</w:t>
                            </w:r>
                            <w:r>
                              <w:rPr>
                                <w:rFonts w:ascii="Times New Roman" w:eastAsia="Times New Roman" w:hAnsi="Times New Roman" w:cs="Times New Roman"/>
                                <w:noProof/>
                                <w:sz w:val="24"/>
                                <w:szCs w:val="24"/>
                                <w:lang w:val="sq-AL"/>
                              </w:rPr>
                              <w:t>:</w:t>
                            </w:r>
                          </w:p>
                          <w:p w:rsidR="0064059F" w:rsidRDefault="0064059F" w:rsidP="00A579C7">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 </w:t>
                            </w:r>
                            <w:r w:rsidRPr="00D042E6">
                              <w:rPr>
                                <w:rFonts w:ascii="Times New Roman" w:eastAsia="Times New Roman" w:hAnsi="Times New Roman" w:cs="Times New Roman"/>
                                <w:sz w:val="24"/>
                                <w:szCs w:val="24"/>
                                <w:lang w:val="sq-AL"/>
                              </w:rPr>
                              <w:t xml:space="preserve">A -Cilësi e shkëlqyer </w:t>
                            </w:r>
                            <w:r w:rsidRPr="00D042E6">
                              <w:rPr>
                                <w:rFonts w:ascii="Times New Roman" w:eastAsia="Times New Roman" w:hAnsi="Times New Roman" w:cs="Times New Roman"/>
                                <w:noProof/>
                                <w:sz w:val="24"/>
                                <w:szCs w:val="24"/>
                                <w:lang w:val="it-IT"/>
                              </w:rPr>
                              <w:t>për vitin 2025</w:t>
                            </w:r>
                            <w:r w:rsidRPr="00D042E6">
                              <w:rPr>
                                <w:rFonts w:ascii="Times New Roman" w:eastAsia="Times New Roman" w:hAnsi="Times New Roman" w:cs="Times New Roman"/>
                                <w:sz w:val="24"/>
                                <w:szCs w:val="24"/>
                                <w:lang w:val="sq-AL"/>
                              </w:rPr>
                              <w:t>, janë më të ulëta krahasuar me 2018, 2019, 2020, 2021, pothuajse t</w:t>
                            </w:r>
                            <w:r w:rsidRPr="00D042E6">
                              <w:rPr>
                                <w:rFonts w:ascii="Times New Roman" w:eastAsia="Times New Roman" w:hAnsi="Times New Roman" w:cs="Times New Roman"/>
                                <w:noProof/>
                                <w:sz w:val="24"/>
                                <w:szCs w:val="24"/>
                                <w:lang w:val="it-IT"/>
                              </w:rPr>
                              <w:t>ë</w:t>
                            </w:r>
                            <w:r w:rsidRPr="00D042E6">
                              <w:rPr>
                                <w:rFonts w:ascii="Times New Roman" w:eastAsia="Times New Roman" w:hAnsi="Times New Roman" w:cs="Times New Roman"/>
                                <w:sz w:val="24"/>
                                <w:szCs w:val="24"/>
                                <w:lang w:val="sq-AL"/>
                              </w:rPr>
                              <w:t xml:space="preserve"> barabarta me 2023 dhe m</w:t>
                            </w:r>
                            <w:r w:rsidRPr="00D042E6">
                              <w:rPr>
                                <w:rFonts w:ascii="Times New Roman" w:eastAsia="Times New Roman" w:hAnsi="Times New Roman" w:cs="Times New Roman"/>
                                <w:noProof/>
                                <w:sz w:val="24"/>
                                <w:szCs w:val="24"/>
                                <w:lang w:val="it-IT"/>
                              </w:rPr>
                              <w:t>ë</w:t>
                            </w:r>
                            <w:r w:rsidRPr="00D042E6">
                              <w:rPr>
                                <w:rFonts w:ascii="Times New Roman" w:eastAsia="Times New Roman" w:hAnsi="Times New Roman" w:cs="Times New Roman"/>
                                <w:sz w:val="24"/>
                                <w:szCs w:val="24"/>
                                <w:lang w:val="sq-AL"/>
                              </w:rPr>
                              <w:t xml:space="preserve"> t</w:t>
                            </w:r>
                            <w:r w:rsidRPr="00D042E6">
                              <w:rPr>
                                <w:rFonts w:ascii="Times New Roman" w:eastAsia="Times New Roman" w:hAnsi="Times New Roman" w:cs="Times New Roman"/>
                                <w:noProof/>
                                <w:sz w:val="24"/>
                                <w:szCs w:val="24"/>
                                <w:lang w:val="it-IT"/>
                              </w:rPr>
                              <w:t>ë</w:t>
                            </w:r>
                            <w:r w:rsidRPr="00D042E6">
                              <w:rPr>
                                <w:rFonts w:ascii="Times New Roman" w:eastAsia="Times New Roman" w:hAnsi="Times New Roman" w:cs="Times New Roman"/>
                                <w:sz w:val="24"/>
                                <w:szCs w:val="24"/>
                                <w:lang w:val="sq-AL"/>
                              </w:rPr>
                              <w:t xml:space="preserve"> larta se 2022, 2024. </w:t>
                            </w:r>
                          </w:p>
                          <w:p w:rsidR="0064059F" w:rsidRDefault="0064059F" w:rsidP="00A579C7">
                            <w:pPr>
                              <w:spacing w:after="0" w:line="240" w:lineRule="auto"/>
                              <w:jc w:val="both"/>
                              <w:rPr>
                                <w:rFonts w:ascii="Times New Roman" w:eastAsia="Times New Roman" w:hAnsi="Times New Roman" w:cs="Times New Roman"/>
                                <w:sz w:val="24"/>
                                <w:szCs w:val="24"/>
                                <w:lang w:val="sq-AL"/>
                              </w:rPr>
                            </w:pPr>
                            <w:r w:rsidRPr="00D042E6">
                              <w:rPr>
                                <w:rFonts w:ascii="Times New Roman" w:eastAsia="Times New Roman" w:hAnsi="Times New Roman" w:cs="Times New Roman"/>
                                <w:noProof/>
                                <w:sz w:val="24"/>
                                <w:szCs w:val="24"/>
                                <w:lang w:val="sq-AL"/>
                              </w:rPr>
                              <w:t>B- C</w:t>
                            </w:r>
                            <w:r w:rsidRPr="00D042E6">
                              <w:rPr>
                                <w:rFonts w:ascii="Times New Roman" w:eastAsia="Times New Roman" w:hAnsi="Times New Roman" w:cs="Times New Roman"/>
                                <w:noProof/>
                                <w:sz w:val="24"/>
                                <w:szCs w:val="24"/>
                                <w:lang w:val="it-IT"/>
                              </w:rPr>
                              <w:t>ilësisë  së mirë të uj</w:t>
                            </w:r>
                            <w:r w:rsidRPr="00D042E6">
                              <w:rPr>
                                <w:rFonts w:ascii="Times New Roman" w:eastAsia="Times New Roman" w:hAnsi="Times New Roman" w:cs="Times New Roman"/>
                                <w:sz w:val="24"/>
                                <w:szCs w:val="24"/>
                                <w:lang w:val="sq-AL"/>
                              </w:rPr>
                              <w:t>ë</w:t>
                            </w:r>
                            <w:r w:rsidRPr="00D042E6">
                              <w:rPr>
                                <w:rFonts w:ascii="Times New Roman" w:eastAsia="Times New Roman" w:hAnsi="Times New Roman" w:cs="Times New Roman"/>
                                <w:noProof/>
                                <w:sz w:val="24"/>
                                <w:szCs w:val="24"/>
                                <w:lang w:val="it-IT"/>
                              </w:rPr>
                              <w:t xml:space="preserve">rave, </w:t>
                            </w:r>
                            <w:bookmarkStart w:id="41" w:name="_Hlk501834667"/>
                            <w:r w:rsidRPr="00D042E6">
                              <w:rPr>
                                <w:rFonts w:ascii="Times New Roman" w:eastAsia="Times New Roman" w:hAnsi="Times New Roman" w:cs="Times New Roman"/>
                                <w:noProof/>
                                <w:sz w:val="24"/>
                                <w:szCs w:val="24"/>
                                <w:lang w:val="it-IT"/>
                              </w:rPr>
                              <w:t xml:space="preserve">për vitin 2025 </w:t>
                            </w:r>
                            <w:r w:rsidRPr="00D042E6">
                              <w:rPr>
                                <w:rFonts w:ascii="Times New Roman" w:eastAsia="Times New Roman" w:hAnsi="Times New Roman" w:cs="Times New Roman"/>
                                <w:sz w:val="24"/>
                                <w:szCs w:val="24"/>
                                <w:lang w:val="sq-AL"/>
                              </w:rPr>
                              <w:t>janë më të larta krahasuar me 2018, 2019, 2020, 2023, 2024 dhe t</w:t>
                            </w:r>
                            <w:r w:rsidRPr="00D042E6">
                              <w:rPr>
                                <w:rFonts w:ascii="Times New Roman" w:eastAsia="Times New Roman" w:hAnsi="Times New Roman" w:cs="Times New Roman"/>
                                <w:noProof/>
                                <w:sz w:val="24"/>
                                <w:szCs w:val="24"/>
                                <w:lang w:val="it-IT"/>
                              </w:rPr>
                              <w:t>ë</w:t>
                            </w:r>
                            <w:r w:rsidRPr="00D042E6">
                              <w:rPr>
                                <w:rFonts w:ascii="Times New Roman" w:eastAsia="Times New Roman" w:hAnsi="Times New Roman" w:cs="Times New Roman"/>
                                <w:sz w:val="24"/>
                                <w:szCs w:val="24"/>
                                <w:lang w:val="sq-AL"/>
                              </w:rPr>
                              <w:t xml:space="preserve"> barabarta me 2021, 2022. </w:t>
                            </w:r>
                          </w:p>
                          <w:p w:rsidR="0064059F" w:rsidRDefault="0064059F" w:rsidP="00A579C7">
                            <w:pPr>
                              <w:spacing w:after="0" w:line="240" w:lineRule="auto"/>
                              <w:jc w:val="both"/>
                              <w:rPr>
                                <w:rFonts w:ascii="Times New Roman" w:eastAsia="Times New Roman" w:hAnsi="Times New Roman" w:cs="Times New Roman"/>
                                <w:sz w:val="24"/>
                                <w:szCs w:val="24"/>
                                <w:lang w:val="sq-AL"/>
                              </w:rPr>
                            </w:pPr>
                            <w:r w:rsidRPr="00D042E6">
                              <w:rPr>
                                <w:rFonts w:ascii="Times New Roman" w:eastAsia="Times New Roman" w:hAnsi="Times New Roman" w:cs="Times New Roman"/>
                                <w:bCs/>
                                <w:sz w:val="24"/>
                                <w:szCs w:val="24"/>
                                <w:lang w:val="it-IT"/>
                              </w:rPr>
                              <w:t>C</w:t>
                            </w:r>
                            <w:r w:rsidRPr="00D042E6">
                              <w:rPr>
                                <w:rFonts w:ascii="Times New Roman" w:eastAsia="Times New Roman" w:hAnsi="Times New Roman" w:cs="Times New Roman"/>
                                <w:b/>
                                <w:bCs/>
                                <w:sz w:val="24"/>
                                <w:szCs w:val="24"/>
                                <w:lang w:val="it-IT"/>
                              </w:rPr>
                              <w:t xml:space="preserve"> - </w:t>
                            </w:r>
                            <w:r w:rsidRPr="00D042E6">
                              <w:rPr>
                                <w:rFonts w:ascii="Times New Roman" w:eastAsia="Times New Roman" w:hAnsi="Times New Roman" w:cs="Times New Roman"/>
                                <w:bCs/>
                                <w:sz w:val="24"/>
                                <w:szCs w:val="24"/>
                                <w:lang w:val="it-IT"/>
                              </w:rPr>
                              <w:t xml:space="preserve">Cilësi e mjaftueshme, </w:t>
                            </w:r>
                            <w:r w:rsidRPr="00D042E6">
                              <w:rPr>
                                <w:rFonts w:ascii="Times New Roman" w:eastAsia="Times New Roman" w:hAnsi="Times New Roman" w:cs="Times New Roman"/>
                                <w:sz w:val="24"/>
                                <w:szCs w:val="24"/>
                                <w:lang w:val="sq-AL"/>
                              </w:rPr>
                              <w:t>janë më të larta</w:t>
                            </w:r>
                            <w:r>
                              <w:rPr>
                                <w:rFonts w:ascii="Times New Roman" w:eastAsia="Times New Roman" w:hAnsi="Times New Roman" w:cs="Times New Roman"/>
                                <w:sz w:val="24"/>
                                <w:szCs w:val="24"/>
                                <w:lang w:val="sq-AL"/>
                              </w:rPr>
                              <w:t xml:space="preserve"> se vitet 201</w:t>
                            </w:r>
                            <w:r w:rsidRPr="00D042E6">
                              <w:rPr>
                                <w:rFonts w:ascii="Times New Roman" w:eastAsia="Times New Roman" w:hAnsi="Times New Roman" w:cs="Times New Roman"/>
                                <w:sz w:val="24"/>
                                <w:szCs w:val="24"/>
                                <w:lang w:val="sq-AL"/>
                              </w:rPr>
                              <w:t>8, 2020,2022, më të ulëta krahasuar me vitin  2019 dhe t</w:t>
                            </w:r>
                            <w:r w:rsidRPr="00D042E6">
                              <w:rPr>
                                <w:rFonts w:ascii="Times New Roman" w:eastAsia="Times New Roman" w:hAnsi="Times New Roman" w:cs="Times New Roman"/>
                                <w:bCs/>
                                <w:sz w:val="24"/>
                                <w:szCs w:val="24"/>
                                <w:lang w:val="it-IT"/>
                              </w:rPr>
                              <w:t>ë</w:t>
                            </w:r>
                            <w:r w:rsidRPr="00D042E6">
                              <w:rPr>
                                <w:rFonts w:ascii="Times New Roman" w:eastAsia="Times New Roman" w:hAnsi="Times New Roman" w:cs="Times New Roman"/>
                                <w:sz w:val="24"/>
                                <w:szCs w:val="24"/>
                                <w:lang w:val="sq-AL"/>
                              </w:rPr>
                              <w:t xml:space="preserve"> barabarta me vitin 2021, 2023. </w:t>
                            </w:r>
                          </w:p>
                          <w:p w:rsidR="0064059F" w:rsidRPr="00D042E6" w:rsidRDefault="0064059F" w:rsidP="00A579C7">
                            <w:pPr>
                              <w:spacing w:after="0" w:line="240" w:lineRule="auto"/>
                              <w:jc w:val="both"/>
                              <w:rPr>
                                <w:rFonts w:ascii="Times New Roman" w:eastAsia="Times New Roman" w:hAnsi="Times New Roman" w:cs="Times New Roman"/>
                                <w:sz w:val="24"/>
                                <w:szCs w:val="24"/>
                                <w:highlight w:val="yellow"/>
                                <w:lang w:val="sq-AL"/>
                              </w:rPr>
                            </w:pPr>
                            <w:r w:rsidRPr="00D042E6">
                              <w:rPr>
                                <w:rFonts w:ascii="Times New Roman" w:eastAsia="Times New Roman" w:hAnsi="Times New Roman" w:cs="Times New Roman"/>
                                <w:bCs/>
                                <w:sz w:val="24"/>
                                <w:szCs w:val="24"/>
                                <w:lang w:val="it-IT"/>
                              </w:rPr>
                              <w:t>D</w:t>
                            </w:r>
                            <w:r w:rsidRPr="00D042E6">
                              <w:rPr>
                                <w:rFonts w:ascii="Times New Roman" w:eastAsia="Times New Roman" w:hAnsi="Times New Roman" w:cs="Times New Roman"/>
                                <w:b/>
                                <w:bCs/>
                                <w:sz w:val="24"/>
                                <w:szCs w:val="24"/>
                                <w:lang w:val="it-IT"/>
                              </w:rPr>
                              <w:t xml:space="preserve"> - </w:t>
                            </w:r>
                            <w:r w:rsidRPr="00D042E6">
                              <w:rPr>
                                <w:rFonts w:ascii="Times New Roman" w:eastAsia="Times New Roman" w:hAnsi="Times New Roman" w:cs="Times New Roman"/>
                                <w:bCs/>
                                <w:sz w:val="24"/>
                                <w:szCs w:val="24"/>
                                <w:lang w:val="it-IT"/>
                              </w:rPr>
                              <w:t>Cilësi e keqe/Masa të menjëherëshme,</w:t>
                            </w:r>
                            <w:r w:rsidRPr="00D042E6">
                              <w:rPr>
                                <w:rFonts w:ascii="Times New Roman" w:eastAsia="Times New Roman" w:hAnsi="Times New Roman" w:cs="Times New Roman"/>
                                <w:noProof/>
                                <w:sz w:val="24"/>
                                <w:szCs w:val="24"/>
                                <w:lang w:val="it-IT"/>
                              </w:rPr>
                              <w:t xml:space="preserve"> për vitin 2025 </w:t>
                            </w:r>
                            <w:bookmarkEnd w:id="41"/>
                            <w:r w:rsidRPr="00D042E6">
                              <w:rPr>
                                <w:rFonts w:ascii="Times New Roman" w:eastAsia="Times New Roman" w:hAnsi="Times New Roman" w:cs="Times New Roman"/>
                                <w:sz w:val="24"/>
                                <w:szCs w:val="24"/>
                                <w:lang w:val="sq-AL"/>
                              </w:rPr>
                              <w:t>jan</w:t>
                            </w:r>
                            <w:r>
                              <w:rPr>
                                <w:rFonts w:ascii="Times New Roman" w:eastAsia="Times New Roman" w:hAnsi="Times New Roman" w:cs="Times New Roman"/>
                                <w:sz w:val="24"/>
                                <w:szCs w:val="24"/>
                                <w:lang w:val="sq-AL"/>
                              </w:rPr>
                              <w:t>ë më të larta krahasuar me 2018-</w:t>
                            </w:r>
                            <w:r w:rsidRPr="00D042E6">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2021 dhe më të ulëta krahasuar me vitet 2022-</w:t>
                            </w:r>
                            <w:r w:rsidRPr="00D042E6">
                              <w:rPr>
                                <w:rFonts w:ascii="Times New Roman" w:eastAsia="Times New Roman" w:hAnsi="Times New Roman" w:cs="Times New Roman"/>
                                <w:sz w:val="24"/>
                                <w:szCs w:val="24"/>
                                <w:lang w:val="sq-AL"/>
                              </w:rPr>
                              <w:t xml:space="preserve">2024.  </w:t>
                            </w:r>
                          </w:p>
                          <w:p w:rsidR="0064059F" w:rsidRDefault="0064059F" w:rsidP="00DD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2FF6AE" id="Rectangle 46" o:spid="_x0000_s1106" style="position:absolute;margin-left:241.5pt;margin-top:3pt;width:260.25pt;height:227.25pt;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" fillcolor="window" strokecolor="#70ad47" strokeweight="1pt">
                <v:textbox>
                  <w:txbxContent>
                    <w:p w:rsidR="0064059F" w:rsidRDefault="0064059F" w:rsidP="00A579C7">
                      <w:pPr>
                        <w:spacing w:after="0" w:line="240" w:lineRule="auto"/>
                        <w:jc w:val="both"/>
                        <w:rPr>
                          <w:rFonts w:ascii="Times New Roman" w:eastAsia="Times New Roman" w:hAnsi="Times New Roman" w:cs="Times New Roman"/>
                          <w:noProof/>
                          <w:sz w:val="24"/>
                          <w:szCs w:val="24"/>
                          <w:lang w:val="sq-AL"/>
                        </w:rPr>
                      </w:pPr>
                      <w:r w:rsidRPr="00D042E6">
                        <w:rPr>
                          <w:rFonts w:ascii="Times New Roman" w:eastAsia="Times New Roman" w:hAnsi="Times New Roman" w:cs="Times New Roman"/>
                          <w:sz w:val="24"/>
                          <w:szCs w:val="24"/>
                          <w:lang w:val="sq-AL"/>
                        </w:rPr>
                        <w:t>Për plazhin e Sarandës</w:t>
                      </w:r>
                      <w:r>
                        <w:rPr>
                          <w:rFonts w:ascii="Times New Roman" w:eastAsia="Times New Roman" w:hAnsi="Times New Roman" w:cs="Times New Roman"/>
                          <w:sz w:val="24"/>
                          <w:szCs w:val="24"/>
                          <w:lang w:val="sq-AL"/>
                        </w:rPr>
                        <w:t>,</w:t>
                      </w:r>
                      <w:r w:rsidRPr="00D042E6">
                        <w:rPr>
                          <w:rFonts w:ascii="Times New Roman" w:eastAsia="Times New Roman" w:hAnsi="Times New Roman" w:cs="Times New Roman"/>
                          <w:noProof/>
                          <w:sz w:val="24"/>
                          <w:szCs w:val="24"/>
                          <w:lang w:val="it-IT"/>
                        </w:rPr>
                        <w:t xml:space="preserve"> </w:t>
                      </w:r>
                      <w:r>
                        <w:rPr>
                          <w:rFonts w:ascii="Times New Roman" w:eastAsia="Times New Roman" w:hAnsi="Times New Roman" w:cs="Times New Roman"/>
                          <w:noProof/>
                          <w:sz w:val="24"/>
                          <w:szCs w:val="24"/>
                          <w:lang w:val="it-IT"/>
                        </w:rPr>
                        <w:t>n</w:t>
                      </w:r>
                      <w:r w:rsidRPr="00D042E6">
                        <w:rPr>
                          <w:rFonts w:ascii="Times New Roman" w:eastAsia="Times New Roman" w:hAnsi="Times New Roman" w:cs="Times New Roman"/>
                          <w:noProof/>
                          <w:sz w:val="24"/>
                          <w:szCs w:val="24"/>
                          <w:lang w:val="it-IT"/>
                        </w:rPr>
                        <w:t xml:space="preserve">umri i stacioneve të </w:t>
                      </w:r>
                      <w:r w:rsidRPr="00D042E6">
                        <w:rPr>
                          <w:rFonts w:ascii="Times New Roman" w:eastAsia="Times New Roman" w:hAnsi="Times New Roman" w:cs="Times New Roman"/>
                          <w:noProof/>
                          <w:sz w:val="24"/>
                          <w:szCs w:val="24"/>
                          <w:lang w:val="sq-AL"/>
                        </w:rPr>
                        <w:t>kategorisë</w:t>
                      </w:r>
                      <w:r>
                        <w:rPr>
                          <w:rFonts w:ascii="Times New Roman" w:eastAsia="Times New Roman" w:hAnsi="Times New Roman" w:cs="Times New Roman"/>
                          <w:noProof/>
                          <w:sz w:val="24"/>
                          <w:szCs w:val="24"/>
                          <w:lang w:val="sq-AL"/>
                        </w:rPr>
                        <w:t>:</w:t>
                      </w:r>
                    </w:p>
                    <w:p w:rsidR="0064059F" w:rsidRDefault="0064059F" w:rsidP="00A579C7">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 </w:t>
                      </w:r>
                      <w:r w:rsidRPr="00D042E6">
                        <w:rPr>
                          <w:rFonts w:ascii="Times New Roman" w:eastAsia="Times New Roman" w:hAnsi="Times New Roman" w:cs="Times New Roman"/>
                          <w:sz w:val="24"/>
                          <w:szCs w:val="24"/>
                          <w:lang w:val="sq-AL"/>
                        </w:rPr>
                        <w:t xml:space="preserve">A -Cilësi e shkëlqyer </w:t>
                      </w:r>
                      <w:r w:rsidRPr="00D042E6">
                        <w:rPr>
                          <w:rFonts w:ascii="Times New Roman" w:eastAsia="Times New Roman" w:hAnsi="Times New Roman" w:cs="Times New Roman"/>
                          <w:noProof/>
                          <w:sz w:val="24"/>
                          <w:szCs w:val="24"/>
                          <w:lang w:val="it-IT"/>
                        </w:rPr>
                        <w:t>për vitin 2025</w:t>
                      </w:r>
                      <w:r w:rsidRPr="00D042E6">
                        <w:rPr>
                          <w:rFonts w:ascii="Times New Roman" w:eastAsia="Times New Roman" w:hAnsi="Times New Roman" w:cs="Times New Roman"/>
                          <w:sz w:val="24"/>
                          <w:szCs w:val="24"/>
                          <w:lang w:val="sq-AL"/>
                        </w:rPr>
                        <w:t>, janë më të ulëta krahasuar me 2018, 2019, 2020, 2021, pothuajse t</w:t>
                      </w:r>
                      <w:r w:rsidRPr="00D042E6">
                        <w:rPr>
                          <w:rFonts w:ascii="Times New Roman" w:eastAsia="Times New Roman" w:hAnsi="Times New Roman" w:cs="Times New Roman"/>
                          <w:noProof/>
                          <w:sz w:val="24"/>
                          <w:szCs w:val="24"/>
                          <w:lang w:val="it-IT"/>
                        </w:rPr>
                        <w:t>ë</w:t>
                      </w:r>
                      <w:r w:rsidRPr="00D042E6">
                        <w:rPr>
                          <w:rFonts w:ascii="Times New Roman" w:eastAsia="Times New Roman" w:hAnsi="Times New Roman" w:cs="Times New Roman"/>
                          <w:sz w:val="24"/>
                          <w:szCs w:val="24"/>
                          <w:lang w:val="sq-AL"/>
                        </w:rPr>
                        <w:t xml:space="preserve"> barabarta me 2023 dhe m</w:t>
                      </w:r>
                      <w:r w:rsidRPr="00D042E6">
                        <w:rPr>
                          <w:rFonts w:ascii="Times New Roman" w:eastAsia="Times New Roman" w:hAnsi="Times New Roman" w:cs="Times New Roman"/>
                          <w:noProof/>
                          <w:sz w:val="24"/>
                          <w:szCs w:val="24"/>
                          <w:lang w:val="it-IT"/>
                        </w:rPr>
                        <w:t>ë</w:t>
                      </w:r>
                      <w:r w:rsidRPr="00D042E6">
                        <w:rPr>
                          <w:rFonts w:ascii="Times New Roman" w:eastAsia="Times New Roman" w:hAnsi="Times New Roman" w:cs="Times New Roman"/>
                          <w:sz w:val="24"/>
                          <w:szCs w:val="24"/>
                          <w:lang w:val="sq-AL"/>
                        </w:rPr>
                        <w:t xml:space="preserve"> t</w:t>
                      </w:r>
                      <w:r w:rsidRPr="00D042E6">
                        <w:rPr>
                          <w:rFonts w:ascii="Times New Roman" w:eastAsia="Times New Roman" w:hAnsi="Times New Roman" w:cs="Times New Roman"/>
                          <w:noProof/>
                          <w:sz w:val="24"/>
                          <w:szCs w:val="24"/>
                          <w:lang w:val="it-IT"/>
                        </w:rPr>
                        <w:t>ë</w:t>
                      </w:r>
                      <w:r w:rsidRPr="00D042E6">
                        <w:rPr>
                          <w:rFonts w:ascii="Times New Roman" w:eastAsia="Times New Roman" w:hAnsi="Times New Roman" w:cs="Times New Roman"/>
                          <w:sz w:val="24"/>
                          <w:szCs w:val="24"/>
                          <w:lang w:val="sq-AL"/>
                        </w:rPr>
                        <w:t xml:space="preserve"> larta se 2022, 2024. </w:t>
                      </w:r>
                    </w:p>
                    <w:p w:rsidR="0064059F" w:rsidRDefault="0064059F" w:rsidP="00A579C7">
                      <w:pPr>
                        <w:spacing w:after="0" w:line="240" w:lineRule="auto"/>
                        <w:jc w:val="both"/>
                        <w:rPr>
                          <w:rFonts w:ascii="Times New Roman" w:eastAsia="Times New Roman" w:hAnsi="Times New Roman" w:cs="Times New Roman"/>
                          <w:sz w:val="24"/>
                          <w:szCs w:val="24"/>
                          <w:lang w:val="sq-AL"/>
                        </w:rPr>
                      </w:pPr>
                      <w:r w:rsidRPr="00D042E6">
                        <w:rPr>
                          <w:rFonts w:ascii="Times New Roman" w:eastAsia="Times New Roman" w:hAnsi="Times New Roman" w:cs="Times New Roman"/>
                          <w:noProof/>
                          <w:sz w:val="24"/>
                          <w:szCs w:val="24"/>
                          <w:lang w:val="sq-AL"/>
                        </w:rPr>
                        <w:t>B- C</w:t>
                      </w:r>
                      <w:r w:rsidRPr="00D042E6">
                        <w:rPr>
                          <w:rFonts w:ascii="Times New Roman" w:eastAsia="Times New Roman" w:hAnsi="Times New Roman" w:cs="Times New Roman"/>
                          <w:noProof/>
                          <w:sz w:val="24"/>
                          <w:szCs w:val="24"/>
                          <w:lang w:val="it-IT"/>
                        </w:rPr>
                        <w:t>ilësisë  së mirë të uj</w:t>
                      </w:r>
                      <w:r w:rsidRPr="00D042E6">
                        <w:rPr>
                          <w:rFonts w:ascii="Times New Roman" w:eastAsia="Times New Roman" w:hAnsi="Times New Roman" w:cs="Times New Roman"/>
                          <w:sz w:val="24"/>
                          <w:szCs w:val="24"/>
                          <w:lang w:val="sq-AL"/>
                        </w:rPr>
                        <w:t>ë</w:t>
                      </w:r>
                      <w:r w:rsidRPr="00D042E6">
                        <w:rPr>
                          <w:rFonts w:ascii="Times New Roman" w:eastAsia="Times New Roman" w:hAnsi="Times New Roman" w:cs="Times New Roman"/>
                          <w:noProof/>
                          <w:sz w:val="24"/>
                          <w:szCs w:val="24"/>
                          <w:lang w:val="it-IT"/>
                        </w:rPr>
                        <w:t xml:space="preserve">rave, </w:t>
                      </w:r>
                      <w:bookmarkStart w:id="42" w:name="_Hlk501834667"/>
                      <w:r w:rsidRPr="00D042E6">
                        <w:rPr>
                          <w:rFonts w:ascii="Times New Roman" w:eastAsia="Times New Roman" w:hAnsi="Times New Roman" w:cs="Times New Roman"/>
                          <w:noProof/>
                          <w:sz w:val="24"/>
                          <w:szCs w:val="24"/>
                          <w:lang w:val="it-IT"/>
                        </w:rPr>
                        <w:t xml:space="preserve">për vitin 2025 </w:t>
                      </w:r>
                      <w:r w:rsidRPr="00D042E6">
                        <w:rPr>
                          <w:rFonts w:ascii="Times New Roman" w:eastAsia="Times New Roman" w:hAnsi="Times New Roman" w:cs="Times New Roman"/>
                          <w:sz w:val="24"/>
                          <w:szCs w:val="24"/>
                          <w:lang w:val="sq-AL"/>
                        </w:rPr>
                        <w:t>janë më të larta krahasuar me 2018, 2019, 2020, 2023, 2024 dhe t</w:t>
                      </w:r>
                      <w:r w:rsidRPr="00D042E6">
                        <w:rPr>
                          <w:rFonts w:ascii="Times New Roman" w:eastAsia="Times New Roman" w:hAnsi="Times New Roman" w:cs="Times New Roman"/>
                          <w:noProof/>
                          <w:sz w:val="24"/>
                          <w:szCs w:val="24"/>
                          <w:lang w:val="it-IT"/>
                        </w:rPr>
                        <w:t>ë</w:t>
                      </w:r>
                      <w:r w:rsidRPr="00D042E6">
                        <w:rPr>
                          <w:rFonts w:ascii="Times New Roman" w:eastAsia="Times New Roman" w:hAnsi="Times New Roman" w:cs="Times New Roman"/>
                          <w:sz w:val="24"/>
                          <w:szCs w:val="24"/>
                          <w:lang w:val="sq-AL"/>
                        </w:rPr>
                        <w:t xml:space="preserve"> barabarta me 2021, 2022. </w:t>
                      </w:r>
                    </w:p>
                    <w:p w:rsidR="0064059F" w:rsidRDefault="0064059F" w:rsidP="00A579C7">
                      <w:pPr>
                        <w:spacing w:after="0" w:line="240" w:lineRule="auto"/>
                        <w:jc w:val="both"/>
                        <w:rPr>
                          <w:rFonts w:ascii="Times New Roman" w:eastAsia="Times New Roman" w:hAnsi="Times New Roman" w:cs="Times New Roman"/>
                          <w:sz w:val="24"/>
                          <w:szCs w:val="24"/>
                          <w:lang w:val="sq-AL"/>
                        </w:rPr>
                      </w:pPr>
                      <w:r w:rsidRPr="00D042E6">
                        <w:rPr>
                          <w:rFonts w:ascii="Times New Roman" w:eastAsia="Times New Roman" w:hAnsi="Times New Roman" w:cs="Times New Roman"/>
                          <w:bCs/>
                          <w:sz w:val="24"/>
                          <w:szCs w:val="24"/>
                          <w:lang w:val="it-IT"/>
                        </w:rPr>
                        <w:t>C</w:t>
                      </w:r>
                      <w:r w:rsidRPr="00D042E6">
                        <w:rPr>
                          <w:rFonts w:ascii="Times New Roman" w:eastAsia="Times New Roman" w:hAnsi="Times New Roman" w:cs="Times New Roman"/>
                          <w:b/>
                          <w:bCs/>
                          <w:sz w:val="24"/>
                          <w:szCs w:val="24"/>
                          <w:lang w:val="it-IT"/>
                        </w:rPr>
                        <w:t xml:space="preserve"> - </w:t>
                      </w:r>
                      <w:r w:rsidRPr="00D042E6">
                        <w:rPr>
                          <w:rFonts w:ascii="Times New Roman" w:eastAsia="Times New Roman" w:hAnsi="Times New Roman" w:cs="Times New Roman"/>
                          <w:bCs/>
                          <w:sz w:val="24"/>
                          <w:szCs w:val="24"/>
                          <w:lang w:val="it-IT"/>
                        </w:rPr>
                        <w:t xml:space="preserve">Cilësi e mjaftueshme, </w:t>
                      </w:r>
                      <w:r w:rsidRPr="00D042E6">
                        <w:rPr>
                          <w:rFonts w:ascii="Times New Roman" w:eastAsia="Times New Roman" w:hAnsi="Times New Roman" w:cs="Times New Roman"/>
                          <w:sz w:val="24"/>
                          <w:szCs w:val="24"/>
                          <w:lang w:val="sq-AL"/>
                        </w:rPr>
                        <w:t>janë më të larta</w:t>
                      </w:r>
                      <w:r>
                        <w:rPr>
                          <w:rFonts w:ascii="Times New Roman" w:eastAsia="Times New Roman" w:hAnsi="Times New Roman" w:cs="Times New Roman"/>
                          <w:sz w:val="24"/>
                          <w:szCs w:val="24"/>
                          <w:lang w:val="sq-AL"/>
                        </w:rPr>
                        <w:t xml:space="preserve"> se vitet 201</w:t>
                      </w:r>
                      <w:r w:rsidRPr="00D042E6">
                        <w:rPr>
                          <w:rFonts w:ascii="Times New Roman" w:eastAsia="Times New Roman" w:hAnsi="Times New Roman" w:cs="Times New Roman"/>
                          <w:sz w:val="24"/>
                          <w:szCs w:val="24"/>
                          <w:lang w:val="sq-AL"/>
                        </w:rPr>
                        <w:t>8, 2020,2022, më të ulëta krahasuar me vitin  2019 dhe t</w:t>
                      </w:r>
                      <w:r w:rsidRPr="00D042E6">
                        <w:rPr>
                          <w:rFonts w:ascii="Times New Roman" w:eastAsia="Times New Roman" w:hAnsi="Times New Roman" w:cs="Times New Roman"/>
                          <w:bCs/>
                          <w:sz w:val="24"/>
                          <w:szCs w:val="24"/>
                          <w:lang w:val="it-IT"/>
                        </w:rPr>
                        <w:t>ë</w:t>
                      </w:r>
                      <w:r w:rsidRPr="00D042E6">
                        <w:rPr>
                          <w:rFonts w:ascii="Times New Roman" w:eastAsia="Times New Roman" w:hAnsi="Times New Roman" w:cs="Times New Roman"/>
                          <w:sz w:val="24"/>
                          <w:szCs w:val="24"/>
                          <w:lang w:val="sq-AL"/>
                        </w:rPr>
                        <w:t xml:space="preserve"> barabarta me vitin 2021, 2023. </w:t>
                      </w:r>
                    </w:p>
                    <w:p w:rsidR="0064059F" w:rsidRPr="00D042E6" w:rsidRDefault="0064059F" w:rsidP="00A579C7">
                      <w:pPr>
                        <w:spacing w:after="0" w:line="240" w:lineRule="auto"/>
                        <w:jc w:val="both"/>
                        <w:rPr>
                          <w:rFonts w:ascii="Times New Roman" w:eastAsia="Times New Roman" w:hAnsi="Times New Roman" w:cs="Times New Roman"/>
                          <w:sz w:val="24"/>
                          <w:szCs w:val="24"/>
                          <w:highlight w:val="yellow"/>
                          <w:lang w:val="sq-AL"/>
                        </w:rPr>
                      </w:pPr>
                      <w:r w:rsidRPr="00D042E6">
                        <w:rPr>
                          <w:rFonts w:ascii="Times New Roman" w:eastAsia="Times New Roman" w:hAnsi="Times New Roman" w:cs="Times New Roman"/>
                          <w:bCs/>
                          <w:sz w:val="24"/>
                          <w:szCs w:val="24"/>
                          <w:lang w:val="it-IT"/>
                        </w:rPr>
                        <w:t>D</w:t>
                      </w:r>
                      <w:r w:rsidRPr="00D042E6">
                        <w:rPr>
                          <w:rFonts w:ascii="Times New Roman" w:eastAsia="Times New Roman" w:hAnsi="Times New Roman" w:cs="Times New Roman"/>
                          <w:b/>
                          <w:bCs/>
                          <w:sz w:val="24"/>
                          <w:szCs w:val="24"/>
                          <w:lang w:val="it-IT"/>
                        </w:rPr>
                        <w:t xml:space="preserve"> - </w:t>
                      </w:r>
                      <w:r w:rsidRPr="00D042E6">
                        <w:rPr>
                          <w:rFonts w:ascii="Times New Roman" w:eastAsia="Times New Roman" w:hAnsi="Times New Roman" w:cs="Times New Roman"/>
                          <w:bCs/>
                          <w:sz w:val="24"/>
                          <w:szCs w:val="24"/>
                          <w:lang w:val="it-IT"/>
                        </w:rPr>
                        <w:t>Cilësi e keqe/Masa të menjëherëshme,</w:t>
                      </w:r>
                      <w:r w:rsidRPr="00D042E6">
                        <w:rPr>
                          <w:rFonts w:ascii="Times New Roman" w:eastAsia="Times New Roman" w:hAnsi="Times New Roman" w:cs="Times New Roman"/>
                          <w:noProof/>
                          <w:sz w:val="24"/>
                          <w:szCs w:val="24"/>
                          <w:lang w:val="it-IT"/>
                        </w:rPr>
                        <w:t xml:space="preserve"> për vitin 2025 </w:t>
                      </w:r>
                      <w:bookmarkEnd w:id="42"/>
                      <w:r w:rsidRPr="00D042E6">
                        <w:rPr>
                          <w:rFonts w:ascii="Times New Roman" w:eastAsia="Times New Roman" w:hAnsi="Times New Roman" w:cs="Times New Roman"/>
                          <w:sz w:val="24"/>
                          <w:szCs w:val="24"/>
                          <w:lang w:val="sq-AL"/>
                        </w:rPr>
                        <w:t>jan</w:t>
                      </w:r>
                      <w:r>
                        <w:rPr>
                          <w:rFonts w:ascii="Times New Roman" w:eastAsia="Times New Roman" w:hAnsi="Times New Roman" w:cs="Times New Roman"/>
                          <w:sz w:val="24"/>
                          <w:szCs w:val="24"/>
                          <w:lang w:val="sq-AL"/>
                        </w:rPr>
                        <w:t>ë më të larta krahasuar me 2018-</w:t>
                      </w:r>
                      <w:r w:rsidRPr="00D042E6">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2021 dhe më të ulëta krahasuar me vitet 2022-</w:t>
                      </w:r>
                      <w:r w:rsidRPr="00D042E6">
                        <w:rPr>
                          <w:rFonts w:ascii="Times New Roman" w:eastAsia="Times New Roman" w:hAnsi="Times New Roman" w:cs="Times New Roman"/>
                          <w:sz w:val="24"/>
                          <w:szCs w:val="24"/>
                          <w:lang w:val="sq-AL"/>
                        </w:rPr>
                        <w:t xml:space="preserve">2024.  </w:t>
                      </w:r>
                    </w:p>
                    <w:p w:rsidR="0064059F" w:rsidRDefault="0064059F" w:rsidP="00DD196F">
                      <w:pPr>
                        <w:jc w:val="center"/>
                      </w:pPr>
                    </w:p>
                  </w:txbxContent>
                </v:textbox>
              </v:rect>
            </w:pict>
          </mc:Fallback>
        </mc:AlternateContent>
      </w:r>
      <w:r w:rsidRPr="00DD196F">
        <w:rPr>
          <w:rFonts w:ascii="Times New Roman" w:eastAsiaTheme="minorEastAsia" w:hAnsi="Times New Roman" w:cs="Times New Roman"/>
          <w:noProof/>
          <w:sz w:val="24"/>
          <w:szCs w:val="24"/>
        </w:rPr>
        <w:drawing>
          <wp:inline distT="0" distB="0" distL="0" distR="0" wp14:anchorId="3C423C69" wp14:editId="5414692D">
            <wp:extent cx="2908300" cy="278765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908300" cy="2787650"/>
                    </a:xfrm>
                    <a:prstGeom prst="rect">
                      <a:avLst/>
                    </a:prstGeom>
                    <a:noFill/>
                  </pic:spPr>
                </pic:pic>
              </a:graphicData>
            </a:graphic>
          </wp:inline>
        </w:drawing>
      </w:r>
    </w:p>
    <w:p w:rsidR="005212BA" w:rsidRDefault="005212BA" w:rsidP="00DD196F">
      <w:pPr>
        <w:spacing w:before="120" w:after="0" w:line="276" w:lineRule="auto"/>
        <w:jc w:val="both"/>
        <w:rPr>
          <w:rFonts w:ascii="Times New Roman" w:eastAsia="Times New Roman" w:hAnsi="Times New Roman" w:cs="Times New Roman"/>
          <w:sz w:val="24"/>
          <w:szCs w:val="24"/>
          <w:lang w:val="it-IT"/>
        </w:rPr>
      </w:pPr>
    </w:p>
    <w:p w:rsidR="005212BA" w:rsidRPr="00DD196F" w:rsidRDefault="00DD196F" w:rsidP="00DC7E73">
      <w:pPr>
        <w:spacing w:after="0" w:line="240" w:lineRule="auto"/>
        <w:jc w:val="both"/>
        <w:rPr>
          <w:rFonts w:ascii="Times New Roman" w:eastAsia="Times New Roman" w:hAnsi="Times New Roman" w:cs="Times New Roman"/>
          <w:sz w:val="24"/>
          <w:szCs w:val="24"/>
          <w:lang w:val="it-IT"/>
        </w:rPr>
      </w:pPr>
      <w:r w:rsidRPr="00DD196F">
        <w:rPr>
          <w:rFonts w:ascii="Times New Roman" w:eastAsia="Times New Roman" w:hAnsi="Times New Roman" w:cs="Times New Roman"/>
          <w:sz w:val="24"/>
          <w:szCs w:val="24"/>
          <w:lang w:val="it-IT"/>
        </w:rPr>
        <w:t>PLAZHI I KSAMILIT</w:t>
      </w:r>
      <w:r w:rsidRPr="00DC7E73">
        <w:rPr>
          <w:rFonts w:ascii="Times New Roman" w:eastAsia="Times New Roman" w:hAnsi="Times New Roman" w:cs="Times New Roman"/>
          <w:sz w:val="24"/>
          <w:szCs w:val="24"/>
          <w:lang w:val="it-IT"/>
        </w:rPr>
        <w:t>:</w:t>
      </w:r>
      <w:r w:rsidRPr="00DC7E73">
        <w:rPr>
          <w:rFonts w:ascii="Times New Roman" w:eastAsia="Times New Roman" w:hAnsi="Times New Roman" w:cs="Times New Roman"/>
          <w:b/>
          <w:sz w:val="24"/>
          <w:szCs w:val="24"/>
          <w:lang w:val="it-IT"/>
        </w:rPr>
        <w:t xml:space="preserve"> </w:t>
      </w:r>
      <w:r w:rsidRPr="00DD196F">
        <w:rPr>
          <w:rFonts w:ascii="Times New Roman" w:eastAsia="Times New Roman" w:hAnsi="Times New Roman" w:cs="Times New Roman"/>
          <w:sz w:val="24"/>
          <w:szCs w:val="24"/>
          <w:lang w:val="it-IT"/>
        </w:rPr>
        <w:t xml:space="preserve">Gjatë inspektimit higjeno sanitar </w:t>
      </w:r>
      <w:r w:rsidRPr="00DD196F">
        <w:rPr>
          <w:rFonts w:ascii="Times New Roman" w:eastAsia="Calibri" w:hAnsi="Times New Roman" w:cs="Times New Roman"/>
          <w:sz w:val="24"/>
          <w:szCs w:val="24"/>
          <w:lang w:val="sq-AL"/>
        </w:rPr>
        <w:t xml:space="preserve">në përgjithësi u konstatuan kushte të mira. </w:t>
      </w:r>
      <w:r w:rsidRPr="00DD196F">
        <w:rPr>
          <w:rFonts w:ascii="Times New Roman" w:eastAsia="Calibri" w:hAnsi="Times New Roman" w:cs="Times New Roman"/>
          <w:noProof/>
          <w:sz w:val="24"/>
          <w:szCs w:val="24"/>
          <w:lang w:val="sq-AL"/>
        </w:rPr>
        <w:t xml:space="preserve">Plazhet përgjithësisht, ato që administrohen nga privatët por edhe plazhet publike kanë krijuar kushte të përshtatshme me </w:t>
      </w:r>
      <w:r w:rsidRPr="00DD196F">
        <w:rPr>
          <w:rFonts w:ascii="Times New Roman" w:eastAsia="Times New Roman" w:hAnsi="Times New Roman" w:cs="Times New Roman"/>
          <w:sz w:val="24"/>
          <w:szCs w:val="24"/>
          <w:lang w:val="sq-AL"/>
        </w:rPr>
        <w:t>prezenc</w:t>
      </w:r>
      <w:r w:rsidRPr="00DD196F">
        <w:rPr>
          <w:rFonts w:ascii="Times New Roman" w:eastAsia="Calibri" w:hAnsi="Times New Roman" w:cs="Times New Roman"/>
          <w:noProof/>
          <w:sz w:val="24"/>
          <w:szCs w:val="24"/>
          <w:lang w:val="sq-AL"/>
        </w:rPr>
        <w:t>ë</w:t>
      </w:r>
      <w:r w:rsidRPr="00DD196F">
        <w:rPr>
          <w:rFonts w:ascii="Times New Roman" w:eastAsia="Times New Roman" w:hAnsi="Times New Roman" w:cs="Times New Roman"/>
          <w:sz w:val="24"/>
          <w:szCs w:val="24"/>
          <w:lang w:val="sq-AL"/>
        </w:rPr>
        <w:t xml:space="preserve"> t</w:t>
      </w:r>
      <w:r w:rsidRPr="00DD196F">
        <w:rPr>
          <w:rFonts w:ascii="Times New Roman" w:eastAsia="Calibri" w:hAnsi="Times New Roman" w:cs="Times New Roman"/>
          <w:noProof/>
          <w:sz w:val="24"/>
          <w:szCs w:val="24"/>
          <w:lang w:val="sq-AL"/>
        </w:rPr>
        <w:t>ë</w:t>
      </w:r>
      <w:r w:rsidRPr="00DD196F">
        <w:rPr>
          <w:rFonts w:ascii="Times New Roman" w:eastAsia="Times New Roman" w:hAnsi="Times New Roman" w:cs="Times New Roman"/>
          <w:sz w:val="24"/>
          <w:szCs w:val="24"/>
          <w:lang w:val="sq-AL"/>
        </w:rPr>
        <w:t xml:space="preserve"> dusheve, kosha t</w:t>
      </w:r>
      <w:r w:rsidRPr="00DD196F">
        <w:rPr>
          <w:rFonts w:ascii="Times New Roman" w:eastAsia="Calibri" w:hAnsi="Times New Roman" w:cs="Times New Roman"/>
          <w:noProof/>
          <w:sz w:val="24"/>
          <w:szCs w:val="24"/>
          <w:lang w:val="sq-AL"/>
        </w:rPr>
        <w:t>ë</w:t>
      </w:r>
      <w:r w:rsidRPr="00DD196F">
        <w:rPr>
          <w:rFonts w:ascii="Times New Roman" w:eastAsia="Times New Roman" w:hAnsi="Times New Roman" w:cs="Times New Roman"/>
          <w:sz w:val="24"/>
          <w:szCs w:val="24"/>
          <w:lang w:val="sq-AL"/>
        </w:rPr>
        <w:t xml:space="preserve"> mbeturinave, dhoma për ndërrimin e veshjeve</w:t>
      </w:r>
      <w:r w:rsidRPr="00DD196F">
        <w:rPr>
          <w:rFonts w:ascii="Times New Roman" w:eastAsia="Calibri" w:hAnsi="Times New Roman" w:cs="Times New Roman"/>
          <w:sz w:val="24"/>
          <w:szCs w:val="24"/>
          <w:lang w:val="sq-AL"/>
        </w:rPr>
        <w:t>, kulla vrojtimi dhe afishimi i rregullave p</w:t>
      </w:r>
      <w:r w:rsidRPr="00DD196F">
        <w:rPr>
          <w:rFonts w:ascii="Times New Roman" w:eastAsia="Times New Roman" w:hAnsi="Times New Roman" w:cs="Times New Roman"/>
          <w:sz w:val="24"/>
          <w:szCs w:val="24"/>
          <w:lang w:val="sq-AL"/>
        </w:rPr>
        <w:t>ë</w:t>
      </w:r>
      <w:r w:rsidRPr="00DD196F">
        <w:rPr>
          <w:rFonts w:ascii="Times New Roman" w:eastAsia="Calibri" w:hAnsi="Times New Roman" w:cs="Times New Roman"/>
          <w:sz w:val="24"/>
          <w:szCs w:val="24"/>
          <w:lang w:val="sq-AL"/>
        </w:rPr>
        <w:t xml:space="preserve">r zbatim nga frekuentuesit e plazheve. </w:t>
      </w:r>
      <w:r w:rsidR="00DC7E73">
        <w:rPr>
          <w:rFonts w:ascii="Times New Roman" w:eastAsia="Times New Roman" w:hAnsi="Times New Roman" w:cs="Times New Roman"/>
          <w:sz w:val="24"/>
          <w:szCs w:val="24"/>
        </w:rPr>
        <w:t>Plazhet ndodhen</w:t>
      </w:r>
      <w:r w:rsidRPr="00DD196F">
        <w:rPr>
          <w:rFonts w:ascii="Times New Roman" w:eastAsia="Times New Roman" w:hAnsi="Times New Roman" w:cs="Times New Roman"/>
          <w:sz w:val="24"/>
          <w:szCs w:val="24"/>
        </w:rPr>
        <w:t xml:space="preserve"> pranë subjekteve private, nevojat sanitare për tualete përmbushen në këto subjekte. </w:t>
      </w:r>
      <w:r w:rsidRPr="00DD196F">
        <w:rPr>
          <w:rFonts w:ascii="Times New Roman" w:eastAsia="Times New Roman" w:hAnsi="Times New Roman" w:cs="Times New Roman"/>
          <w:sz w:val="24"/>
          <w:szCs w:val="24"/>
          <w:lang w:val="it-IT"/>
        </w:rPr>
        <w:t>Gjat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muajve Korrik e Gusht u konstatua shtim i numrit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frekuentuesve t</w:t>
      </w:r>
      <w:r w:rsidRPr="00DD196F">
        <w:rPr>
          <w:rFonts w:ascii="Times New Roman" w:eastAsia="Calibri" w:hAnsi="Times New Roman" w:cs="Times New Roman"/>
          <w:sz w:val="24"/>
          <w:szCs w:val="24"/>
          <w:lang w:val="it-IT"/>
        </w:rPr>
        <w:t>ë</w:t>
      </w:r>
      <w:r w:rsidR="002D7C3E">
        <w:rPr>
          <w:rFonts w:ascii="Times New Roman" w:eastAsia="Times New Roman" w:hAnsi="Times New Roman" w:cs="Times New Roman"/>
          <w:sz w:val="24"/>
          <w:szCs w:val="24"/>
          <w:lang w:val="it-IT"/>
        </w:rPr>
        <w:t xml:space="preserve"> plazheve.</w:t>
      </w:r>
    </w:p>
    <w:p w:rsidR="00DD196F" w:rsidRPr="00CD2C3A" w:rsidRDefault="00DD196F" w:rsidP="00CD2C3A">
      <w:pPr>
        <w:spacing w:before="120" w:after="0" w:line="276" w:lineRule="auto"/>
        <w:jc w:val="both"/>
        <w:rPr>
          <w:rFonts w:ascii="Times New Roman" w:eastAsia="Times New Roman" w:hAnsi="Times New Roman" w:cs="Times New Roman"/>
          <w:b/>
          <w:sz w:val="24"/>
          <w:szCs w:val="24"/>
          <w:lang w:val="sq-AL"/>
        </w:rPr>
      </w:pPr>
      <w:r w:rsidRPr="00DD196F">
        <w:rPr>
          <w:rFonts w:ascii="Times New Roman" w:eastAsia="Times New Roman" w:hAnsi="Times New Roman" w:cs="Times New Roman"/>
          <w:sz w:val="24"/>
          <w:szCs w:val="24"/>
          <w:lang w:val="it-IT"/>
        </w:rPr>
        <w:t xml:space="preserve">                              ● </w:t>
      </w:r>
      <w:r w:rsidRPr="00DD196F">
        <w:rPr>
          <w:rFonts w:ascii="Times New Roman" w:eastAsia="Times New Roman" w:hAnsi="Times New Roman" w:cs="Times New Roman"/>
          <w:b/>
          <w:sz w:val="24"/>
          <w:szCs w:val="24"/>
          <w:lang w:val="it-IT"/>
        </w:rPr>
        <w:t>Plazhi i Ksamilit</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18"/>
        <w:gridCol w:w="1636"/>
        <w:gridCol w:w="1230"/>
        <w:gridCol w:w="1230"/>
        <w:gridCol w:w="1076"/>
        <w:gridCol w:w="2229"/>
      </w:tblGrid>
      <w:tr w:rsidR="00E95EB4" w:rsidRPr="00854864" w:rsidTr="00854864">
        <w:trPr>
          <w:trHeight w:val="797"/>
        </w:trPr>
        <w:tc>
          <w:tcPr>
            <w:tcW w:w="1118" w:type="dxa"/>
            <w:shd w:val="clear" w:color="auto" w:fill="DEEAF6"/>
          </w:tcPr>
          <w:p w:rsidR="00DD196F" w:rsidRPr="00854864" w:rsidRDefault="00DD196F" w:rsidP="00DD196F">
            <w:pPr>
              <w:widowControl w:val="0"/>
              <w:autoSpaceDE w:val="0"/>
              <w:autoSpaceDN w:val="0"/>
              <w:spacing w:before="49" w:after="0" w:line="240" w:lineRule="auto"/>
              <w:ind w:left="65" w:right="58"/>
              <w:jc w:val="center"/>
              <w:rPr>
                <w:rFonts w:ascii="Times New Roman" w:eastAsia="Times New Roman" w:hAnsi="Times New Roman" w:cs="Times New Roman"/>
                <w:b/>
                <w:lang w:val="sq-AL"/>
              </w:rPr>
            </w:pPr>
            <w:r w:rsidRPr="00854864">
              <w:rPr>
                <w:rFonts w:ascii="Times New Roman" w:eastAsia="Times New Roman" w:hAnsi="Times New Roman" w:cs="Times New Roman"/>
                <w:b/>
                <w:lang w:val="sq-AL"/>
              </w:rPr>
              <w:t>Nr.</w:t>
            </w:r>
          </w:p>
          <w:p w:rsidR="00DD196F" w:rsidRPr="00854864" w:rsidRDefault="00DD196F" w:rsidP="00DD196F">
            <w:pPr>
              <w:widowControl w:val="0"/>
              <w:autoSpaceDE w:val="0"/>
              <w:autoSpaceDN w:val="0"/>
              <w:spacing w:before="5" w:after="0" w:line="240" w:lineRule="auto"/>
              <w:ind w:left="66" w:right="58"/>
              <w:jc w:val="center"/>
              <w:rPr>
                <w:rFonts w:ascii="Times New Roman" w:eastAsia="Times New Roman" w:hAnsi="Times New Roman" w:cs="Times New Roman"/>
                <w:b/>
                <w:lang w:val="sq-AL"/>
              </w:rPr>
            </w:pPr>
            <w:r w:rsidRPr="00854864">
              <w:rPr>
                <w:rFonts w:ascii="Times New Roman" w:eastAsia="Times New Roman" w:hAnsi="Times New Roman" w:cs="Times New Roman"/>
                <w:b/>
                <w:lang w:val="sq-AL"/>
              </w:rPr>
              <w:t>Stacioneve</w:t>
            </w:r>
          </w:p>
        </w:tc>
        <w:tc>
          <w:tcPr>
            <w:tcW w:w="1636" w:type="dxa"/>
            <w:shd w:val="clear" w:color="auto" w:fill="DEEAF6"/>
          </w:tcPr>
          <w:p w:rsidR="00DD196F" w:rsidRPr="00854864" w:rsidRDefault="00DD196F" w:rsidP="00DD196F">
            <w:pPr>
              <w:widowControl w:val="0"/>
              <w:autoSpaceDE w:val="0"/>
              <w:autoSpaceDN w:val="0"/>
              <w:spacing w:before="161" w:after="0" w:line="240" w:lineRule="auto"/>
              <w:ind w:left="499" w:right="495"/>
              <w:jc w:val="center"/>
              <w:rPr>
                <w:rFonts w:ascii="Times New Roman" w:eastAsia="Times New Roman" w:hAnsi="Times New Roman" w:cs="Times New Roman"/>
                <w:b/>
                <w:lang w:val="sq-AL"/>
              </w:rPr>
            </w:pPr>
            <w:r w:rsidRPr="00854864">
              <w:rPr>
                <w:rFonts w:ascii="Times New Roman" w:eastAsia="Times New Roman" w:hAnsi="Times New Roman" w:cs="Times New Roman"/>
                <w:b/>
                <w:lang w:val="sq-AL"/>
              </w:rPr>
              <w:t>Vendi</w:t>
            </w:r>
          </w:p>
        </w:tc>
        <w:tc>
          <w:tcPr>
            <w:tcW w:w="1230" w:type="dxa"/>
            <w:shd w:val="clear" w:color="auto" w:fill="DEEAF6"/>
          </w:tcPr>
          <w:p w:rsidR="00DD196F" w:rsidRPr="00854864" w:rsidRDefault="00DD196F" w:rsidP="00DD196F">
            <w:pPr>
              <w:widowControl w:val="0"/>
              <w:autoSpaceDE w:val="0"/>
              <w:autoSpaceDN w:val="0"/>
              <w:spacing w:before="1" w:after="0" w:line="240" w:lineRule="auto"/>
              <w:ind w:left="165"/>
              <w:rPr>
                <w:rFonts w:ascii="Times New Roman" w:eastAsia="Times New Roman" w:hAnsi="Times New Roman" w:cs="Times New Roman"/>
                <w:b/>
                <w:lang w:val="sq-AL"/>
              </w:rPr>
            </w:pPr>
            <w:r w:rsidRPr="00854864">
              <w:rPr>
                <w:rFonts w:ascii="Times New Roman" w:eastAsia="Times New Roman" w:hAnsi="Times New Roman" w:cs="Times New Roman"/>
                <w:b/>
                <w:lang w:val="sq-AL"/>
              </w:rPr>
              <w:t>FC</w:t>
            </w:r>
            <w:r w:rsidRPr="00854864">
              <w:rPr>
                <w:rFonts w:ascii="Times New Roman" w:eastAsia="Times New Roman" w:hAnsi="Times New Roman" w:cs="Times New Roman"/>
                <w:b/>
                <w:spacing w:val="4"/>
                <w:lang w:val="sq-AL"/>
              </w:rPr>
              <w:t xml:space="preserve"> </w:t>
            </w:r>
            <w:r w:rsidRPr="00854864">
              <w:rPr>
                <w:rFonts w:ascii="Times New Roman" w:eastAsia="Times New Roman" w:hAnsi="Times New Roman" w:cs="Times New Roman"/>
                <w:b/>
                <w:lang w:val="sq-AL"/>
              </w:rPr>
              <w:t>90%</w:t>
            </w:r>
            <w:r w:rsidRPr="00854864">
              <w:rPr>
                <w:rFonts w:ascii="Times New Roman" w:eastAsia="Times New Roman" w:hAnsi="Times New Roman" w:cs="Times New Roman"/>
                <w:b/>
                <w:spacing w:val="4"/>
                <w:lang w:val="sq-AL"/>
              </w:rPr>
              <w:t xml:space="preserve"> </w:t>
            </w:r>
            <w:r w:rsidRPr="00854864">
              <w:rPr>
                <w:rFonts w:ascii="Times New Roman" w:eastAsia="Times New Roman" w:hAnsi="Times New Roman" w:cs="Times New Roman"/>
                <w:b/>
                <w:lang w:val="sq-AL"/>
              </w:rPr>
              <w:t>-</w:t>
            </w:r>
          </w:p>
          <w:p w:rsidR="00DD196F" w:rsidRPr="00854864" w:rsidRDefault="00DD196F" w:rsidP="00DD196F">
            <w:pPr>
              <w:widowControl w:val="0"/>
              <w:autoSpaceDE w:val="0"/>
              <w:autoSpaceDN w:val="0"/>
              <w:spacing w:before="5" w:after="0" w:line="240" w:lineRule="auto"/>
              <w:ind w:left="109"/>
              <w:rPr>
                <w:rFonts w:ascii="Times New Roman" w:eastAsia="Times New Roman" w:hAnsi="Times New Roman" w:cs="Times New Roman"/>
                <w:b/>
                <w:lang w:val="sq-AL"/>
              </w:rPr>
            </w:pPr>
            <w:r w:rsidRPr="00854864">
              <w:rPr>
                <w:rFonts w:ascii="Times New Roman" w:eastAsia="Times New Roman" w:hAnsi="Times New Roman" w:cs="Times New Roman"/>
                <w:b/>
                <w:lang w:val="sq-AL"/>
              </w:rPr>
              <w:t>Norma</w:t>
            </w:r>
            <w:r w:rsidRPr="00854864">
              <w:rPr>
                <w:rFonts w:ascii="Times New Roman" w:eastAsia="Times New Roman" w:hAnsi="Times New Roman" w:cs="Times New Roman"/>
                <w:b/>
                <w:spacing w:val="8"/>
                <w:lang w:val="sq-AL"/>
              </w:rPr>
              <w:t xml:space="preserve"> </w:t>
            </w:r>
            <w:r w:rsidRPr="00854864">
              <w:rPr>
                <w:rFonts w:ascii="Times New Roman" w:eastAsia="Times New Roman" w:hAnsi="Times New Roman" w:cs="Times New Roman"/>
                <w:b/>
                <w:lang w:val="sq-AL"/>
              </w:rPr>
              <w:t>250</w:t>
            </w:r>
          </w:p>
        </w:tc>
        <w:tc>
          <w:tcPr>
            <w:tcW w:w="1230" w:type="dxa"/>
            <w:shd w:val="clear" w:color="auto" w:fill="DEEAF6"/>
          </w:tcPr>
          <w:p w:rsidR="00DD196F" w:rsidRPr="00854864" w:rsidRDefault="00DD196F" w:rsidP="00DD196F">
            <w:pPr>
              <w:widowControl w:val="0"/>
              <w:autoSpaceDE w:val="0"/>
              <w:autoSpaceDN w:val="0"/>
              <w:spacing w:before="1" w:after="0" w:line="240" w:lineRule="auto"/>
              <w:ind w:left="192"/>
              <w:rPr>
                <w:rFonts w:ascii="Times New Roman" w:eastAsia="Times New Roman" w:hAnsi="Times New Roman" w:cs="Times New Roman"/>
                <w:b/>
                <w:lang w:val="sq-AL"/>
              </w:rPr>
            </w:pPr>
            <w:r w:rsidRPr="00854864">
              <w:rPr>
                <w:rFonts w:ascii="Times New Roman" w:eastAsia="Times New Roman" w:hAnsi="Times New Roman" w:cs="Times New Roman"/>
                <w:b/>
                <w:lang w:val="sq-AL"/>
              </w:rPr>
              <w:t>IE</w:t>
            </w:r>
            <w:r w:rsidRPr="00854864">
              <w:rPr>
                <w:rFonts w:ascii="Times New Roman" w:eastAsia="Times New Roman" w:hAnsi="Times New Roman" w:cs="Times New Roman"/>
                <w:b/>
                <w:spacing w:val="4"/>
                <w:lang w:val="sq-AL"/>
              </w:rPr>
              <w:t xml:space="preserve"> </w:t>
            </w:r>
            <w:r w:rsidRPr="00854864">
              <w:rPr>
                <w:rFonts w:ascii="Times New Roman" w:eastAsia="Times New Roman" w:hAnsi="Times New Roman" w:cs="Times New Roman"/>
                <w:b/>
                <w:lang w:val="sq-AL"/>
              </w:rPr>
              <w:t>95%</w:t>
            </w:r>
            <w:r w:rsidRPr="00854864">
              <w:rPr>
                <w:rFonts w:ascii="Times New Roman" w:eastAsia="Times New Roman" w:hAnsi="Times New Roman" w:cs="Times New Roman"/>
                <w:b/>
                <w:spacing w:val="3"/>
                <w:lang w:val="sq-AL"/>
              </w:rPr>
              <w:t xml:space="preserve"> </w:t>
            </w:r>
            <w:r w:rsidRPr="00854864">
              <w:rPr>
                <w:rFonts w:ascii="Times New Roman" w:eastAsia="Times New Roman" w:hAnsi="Times New Roman" w:cs="Times New Roman"/>
                <w:b/>
                <w:lang w:val="sq-AL"/>
              </w:rPr>
              <w:t>-</w:t>
            </w:r>
          </w:p>
          <w:p w:rsidR="00DD196F" w:rsidRPr="00854864" w:rsidRDefault="00DD196F" w:rsidP="00DD196F">
            <w:pPr>
              <w:widowControl w:val="0"/>
              <w:autoSpaceDE w:val="0"/>
              <w:autoSpaceDN w:val="0"/>
              <w:spacing w:before="5" w:after="0" w:line="240" w:lineRule="auto"/>
              <w:ind w:left="108"/>
              <w:rPr>
                <w:rFonts w:ascii="Times New Roman" w:eastAsia="Times New Roman" w:hAnsi="Times New Roman" w:cs="Times New Roman"/>
                <w:b/>
                <w:lang w:val="sq-AL"/>
              </w:rPr>
            </w:pPr>
            <w:r w:rsidRPr="00854864">
              <w:rPr>
                <w:rFonts w:ascii="Times New Roman" w:eastAsia="Times New Roman" w:hAnsi="Times New Roman" w:cs="Times New Roman"/>
                <w:b/>
                <w:lang w:val="sq-AL"/>
              </w:rPr>
              <w:t>Norma</w:t>
            </w:r>
            <w:r w:rsidRPr="00854864">
              <w:rPr>
                <w:rFonts w:ascii="Times New Roman" w:eastAsia="Times New Roman" w:hAnsi="Times New Roman" w:cs="Times New Roman"/>
                <w:b/>
                <w:spacing w:val="8"/>
                <w:lang w:val="sq-AL"/>
              </w:rPr>
              <w:t xml:space="preserve"> </w:t>
            </w:r>
            <w:r w:rsidRPr="00854864">
              <w:rPr>
                <w:rFonts w:ascii="Times New Roman" w:eastAsia="Times New Roman" w:hAnsi="Times New Roman" w:cs="Times New Roman"/>
                <w:b/>
                <w:lang w:val="sq-AL"/>
              </w:rPr>
              <w:t>100</w:t>
            </w:r>
          </w:p>
        </w:tc>
        <w:tc>
          <w:tcPr>
            <w:tcW w:w="1076" w:type="dxa"/>
            <w:shd w:val="clear" w:color="auto" w:fill="DEEAF6"/>
          </w:tcPr>
          <w:p w:rsidR="00DD196F" w:rsidRPr="00854864" w:rsidRDefault="00DD196F" w:rsidP="00DD196F">
            <w:pPr>
              <w:widowControl w:val="0"/>
              <w:autoSpaceDE w:val="0"/>
              <w:autoSpaceDN w:val="0"/>
              <w:spacing w:before="1" w:after="0" w:line="240" w:lineRule="auto"/>
              <w:ind w:left="81"/>
              <w:rPr>
                <w:rFonts w:ascii="Times New Roman" w:eastAsia="Times New Roman" w:hAnsi="Times New Roman" w:cs="Times New Roman"/>
                <w:b/>
                <w:lang w:val="sq-AL"/>
              </w:rPr>
            </w:pPr>
            <w:r w:rsidRPr="00854864">
              <w:rPr>
                <w:rFonts w:ascii="Times New Roman" w:eastAsia="Times New Roman" w:hAnsi="Times New Roman" w:cs="Times New Roman"/>
                <w:b/>
                <w:lang w:val="sq-AL"/>
              </w:rPr>
              <w:t>Kategoria</w:t>
            </w:r>
          </w:p>
        </w:tc>
        <w:tc>
          <w:tcPr>
            <w:tcW w:w="2229" w:type="dxa"/>
            <w:shd w:val="clear" w:color="auto" w:fill="DEEAF6"/>
          </w:tcPr>
          <w:p w:rsidR="00DD196F" w:rsidRPr="00854864" w:rsidRDefault="00DD196F" w:rsidP="00DD196F">
            <w:pPr>
              <w:widowControl w:val="0"/>
              <w:autoSpaceDE w:val="0"/>
              <w:autoSpaceDN w:val="0"/>
              <w:spacing w:before="1" w:after="0" w:line="240" w:lineRule="auto"/>
              <w:ind w:left="99" w:right="96"/>
              <w:jc w:val="center"/>
              <w:rPr>
                <w:rFonts w:ascii="Times New Roman" w:eastAsia="Times New Roman" w:hAnsi="Times New Roman" w:cs="Times New Roman"/>
                <w:b/>
                <w:lang w:val="sq-AL"/>
              </w:rPr>
            </w:pPr>
            <w:r w:rsidRPr="00854864">
              <w:rPr>
                <w:rFonts w:ascii="Times New Roman" w:eastAsia="Times New Roman" w:hAnsi="Times New Roman" w:cs="Times New Roman"/>
                <w:b/>
                <w:lang w:val="sq-AL"/>
              </w:rPr>
              <w:t>Përqindja</w:t>
            </w:r>
            <w:r w:rsidRPr="00854864">
              <w:rPr>
                <w:rFonts w:ascii="Times New Roman" w:eastAsia="Times New Roman" w:hAnsi="Times New Roman" w:cs="Times New Roman"/>
                <w:b/>
                <w:spacing w:val="11"/>
                <w:lang w:val="sq-AL"/>
              </w:rPr>
              <w:t xml:space="preserve"> </w:t>
            </w:r>
            <w:r w:rsidRPr="00854864">
              <w:rPr>
                <w:rFonts w:ascii="Times New Roman" w:eastAsia="Times New Roman" w:hAnsi="Times New Roman" w:cs="Times New Roman"/>
                <w:b/>
                <w:lang w:val="sq-AL"/>
              </w:rPr>
              <w:t>e</w:t>
            </w:r>
            <w:r w:rsidRPr="00854864">
              <w:rPr>
                <w:rFonts w:ascii="Times New Roman" w:eastAsia="Times New Roman" w:hAnsi="Times New Roman" w:cs="Times New Roman"/>
                <w:b/>
                <w:spacing w:val="10"/>
                <w:lang w:val="sq-AL"/>
              </w:rPr>
              <w:t xml:space="preserve"> </w:t>
            </w:r>
            <w:r w:rsidRPr="00854864">
              <w:rPr>
                <w:rFonts w:ascii="Times New Roman" w:eastAsia="Times New Roman" w:hAnsi="Times New Roman" w:cs="Times New Roman"/>
                <w:b/>
                <w:lang w:val="sq-AL"/>
              </w:rPr>
              <w:t>stacioneve</w:t>
            </w:r>
          </w:p>
          <w:p w:rsidR="00DD196F" w:rsidRPr="00854864" w:rsidRDefault="00DD196F" w:rsidP="00DD196F">
            <w:pPr>
              <w:widowControl w:val="0"/>
              <w:autoSpaceDE w:val="0"/>
              <w:autoSpaceDN w:val="0"/>
              <w:spacing w:before="5" w:after="0" w:line="240" w:lineRule="auto"/>
              <w:ind w:left="2"/>
              <w:jc w:val="center"/>
              <w:rPr>
                <w:rFonts w:ascii="Times New Roman" w:eastAsia="Times New Roman" w:hAnsi="Times New Roman" w:cs="Times New Roman"/>
                <w:b/>
                <w:lang w:val="sq-AL"/>
              </w:rPr>
            </w:pPr>
            <w:r w:rsidRPr="00854864">
              <w:rPr>
                <w:rFonts w:ascii="Times New Roman" w:eastAsia="Times New Roman" w:hAnsi="Times New Roman" w:cs="Times New Roman"/>
                <w:b/>
                <w:w w:val="102"/>
                <w:lang w:val="sq-AL"/>
              </w:rPr>
              <w:t>%</w:t>
            </w:r>
          </w:p>
        </w:tc>
      </w:tr>
      <w:tr w:rsidR="00E95EB4" w:rsidRPr="00854864" w:rsidTr="00854864">
        <w:trPr>
          <w:trHeight w:val="321"/>
        </w:trPr>
        <w:tc>
          <w:tcPr>
            <w:tcW w:w="1118" w:type="dxa"/>
          </w:tcPr>
          <w:p w:rsidR="00DD196F" w:rsidRPr="00854864" w:rsidRDefault="00DD196F" w:rsidP="00DD196F">
            <w:pPr>
              <w:widowControl w:val="0"/>
              <w:autoSpaceDE w:val="0"/>
              <w:autoSpaceDN w:val="0"/>
              <w:spacing w:after="0" w:line="198" w:lineRule="exact"/>
              <w:ind w:left="8"/>
              <w:jc w:val="center"/>
              <w:rPr>
                <w:rFonts w:ascii="Times New Roman" w:eastAsia="Times New Roman" w:hAnsi="Times New Roman" w:cs="Times New Roman"/>
                <w:lang w:val="sq-AL"/>
              </w:rPr>
            </w:pPr>
            <w:r w:rsidRPr="00854864">
              <w:rPr>
                <w:rFonts w:ascii="Times New Roman" w:eastAsia="Times New Roman" w:hAnsi="Times New Roman" w:cs="Times New Roman"/>
                <w:w w:val="102"/>
                <w:lang w:val="sq-AL"/>
              </w:rPr>
              <w:t>1</w:t>
            </w:r>
          </w:p>
        </w:tc>
        <w:tc>
          <w:tcPr>
            <w:tcW w:w="1636" w:type="dxa"/>
          </w:tcPr>
          <w:p w:rsidR="00DD196F" w:rsidRPr="00854864" w:rsidRDefault="00DD196F" w:rsidP="00DD196F">
            <w:pPr>
              <w:widowControl w:val="0"/>
              <w:autoSpaceDE w:val="0"/>
              <w:autoSpaceDN w:val="0"/>
              <w:spacing w:after="0" w:line="198" w:lineRule="exact"/>
              <w:ind w:left="76"/>
              <w:rPr>
                <w:rFonts w:ascii="Times New Roman" w:eastAsia="Times New Roman" w:hAnsi="Times New Roman" w:cs="Times New Roman"/>
                <w:lang w:val="sq-AL"/>
              </w:rPr>
            </w:pPr>
            <w:r w:rsidRPr="00854864">
              <w:rPr>
                <w:rFonts w:ascii="Times New Roman" w:eastAsia="Times New Roman" w:hAnsi="Times New Roman" w:cs="Times New Roman"/>
                <w:lang w:val="sq-AL"/>
              </w:rPr>
              <w:t>Plazhi</w:t>
            </w:r>
            <w:r w:rsidRPr="00854864">
              <w:rPr>
                <w:rFonts w:ascii="Times New Roman" w:eastAsia="Times New Roman" w:hAnsi="Times New Roman" w:cs="Times New Roman"/>
                <w:spacing w:val="9"/>
                <w:lang w:val="sq-AL"/>
              </w:rPr>
              <w:t xml:space="preserve"> </w:t>
            </w:r>
            <w:r w:rsidRPr="00854864">
              <w:rPr>
                <w:rFonts w:ascii="Times New Roman" w:eastAsia="Times New Roman" w:hAnsi="Times New Roman" w:cs="Times New Roman"/>
                <w:lang w:val="sq-AL"/>
              </w:rPr>
              <w:t>Rilindja</w:t>
            </w:r>
          </w:p>
        </w:tc>
        <w:tc>
          <w:tcPr>
            <w:tcW w:w="1230" w:type="dxa"/>
          </w:tcPr>
          <w:p w:rsidR="00DD196F" w:rsidRPr="00854864" w:rsidRDefault="00DD196F" w:rsidP="00DD196F">
            <w:pPr>
              <w:widowControl w:val="0"/>
              <w:autoSpaceDE w:val="0"/>
              <w:autoSpaceDN w:val="0"/>
              <w:spacing w:before="21" w:after="0" w:line="176" w:lineRule="exact"/>
              <w:ind w:left="75"/>
              <w:rPr>
                <w:rFonts w:ascii="Times New Roman" w:eastAsia="Times New Roman" w:hAnsi="Times New Roman" w:cs="Times New Roman"/>
                <w:lang w:val="sq-AL"/>
              </w:rPr>
            </w:pPr>
            <w:r w:rsidRPr="00854864">
              <w:rPr>
                <w:rFonts w:ascii="Times New Roman" w:eastAsia="Times New Roman" w:hAnsi="Times New Roman" w:cs="Times New Roman"/>
                <w:lang w:val="sq-AL"/>
              </w:rPr>
              <w:t>190</w:t>
            </w:r>
          </w:p>
        </w:tc>
        <w:tc>
          <w:tcPr>
            <w:tcW w:w="1230" w:type="dxa"/>
          </w:tcPr>
          <w:p w:rsidR="00DD196F" w:rsidRPr="00854864" w:rsidRDefault="00DD196F" w:rsidP="00DD196F">
            <w:pPr>
              <w:widowControl w:val="0"/>
              <w:autoSpaceDE w:val="0"/>
              <w:autoSpaceDN w:val="0"/>
              <w:spacing w:after="0" w:line="198" w:lineRule="exact"/>
              <w:ind w:left="74"/>
              <w:rPr>
                <w:rFonts w:ascii="Times New Roman" w:eastAsia="Times New Roman" w:hAnsi="Times New Roman" w:cs="Times New Roman"/>
                <w:lang w:val="sq-AL"/>
              </w:rPr>
            </w:pPr>
            <w:r w:rsidRPr="00854864">
              <w:rPr>
                <w:rFonts w:ascii="Times New Roman" w:eastAsia="Times New Roman" w:hAnsi="Times New Roman" w:cs="Times New Roman"/>
                <w:lang w:val="sq-AL"/>
              </w:rPr>
              <w:t>124</w:t>
            </w:r>
          </w:p>
        </w:tc>
        <w:tc>
          <w:tcPr>
            <w:tcW w:w="1076" w:type="dxa"/>
          </w:tcPr>
          <w:p w:rsidR="00DD196F" w:rsidRPr="00854864" w:rsidRDefault="00DD196F" w:rsidP="00DD196F">
            <w:pPr>
              <w:widowControl w:val="0"/>
              <w:autoSpaceDE w:val="0"/>
              <w:autoSpaceDN w:val="0"/>
              <w:spacing w:after="0" w:line="198" w:lineRule="exact"/>
              <w:ind w:left="74"/>
              <w:rPr>
                <w:rFonts w:ascii="Times New Roman" w:eastAsia="Times New Roman" w:hAnsi="Times New Roman" w:cs="Times New Roman"/>
                <w:lang w:val="sq-AL"/>
              </w:rPr>
            </w:pPr>
            <w:r w:rsidRPr="00854864">
              <w:rPr>
                <w:rFonts w:ascii="Times New Roman" w:eastAsia="Times New Roman" w:hAnsi="Times New Roman" w:cs="Times New Roman"/>
                <w:w w:val="102"/>
                <w:lang w:val="sq-AL"/>
              </w:rPr>
              <w:t>B</w:t>
            </w:r>
          </w:p>
        </w:tc>
        <w:tc>
          <w:tcPr>
            <w:tcW w:w="2229" w:type="dxa"/>
            <w:vMerge w:val="restart"/>
          </w:tcPr>
          <w:p w:rsidR="00DD196F" w:rsidRPr="00854864" w:rsidRDefault="00DD196F" w:rsidP="00DD196F">
            <w:pPr>
              <w:widowControl w:val="0"/>
              <w:autoSpaceDE w:val="0"/>
              <w:autoSpaceDN w:val="0"/>
              <w:spacing w:after="0" w:line="244" w:lineRule="auto"/>
              <w:ind w:left="74"/>
              <w:rPr>
                <w:rFonts w:ascii="Times New Roman" w:eastAsia="Times New Roman" w:hAnsi="Times New Roman" w:cs="Times New Roman"/>
                <w:lang w:val="sq-AL"/>
              </w:rPr>
            </w:pPr>
          </w:p>
          <w:p w:rsidR="00DD196F" w:rsidRPr="00854864" w:rsidRDefault="00DD196F" w:rsidP="00DD196F">
            <w:pPr>
              <w:widowControl w:val="0"/>
              <w:autoSpaceDE w:val="0"/>
              <w:autoSpaceDN w:val="0"/>
              <w:spacing w:after="0" w:line="240" w:lineRule="auto"/>
              <w:rPr>
                <w:rFonts w:ascii="Times New Roman" w:eastAsia="Times New Roman" w:hAnsi="Times New Roman" w:cs="Times New Roman"/>
                <w:lang w:val="sq-AL"/>
              </w:rPr>
            </w:pPr>
            <w:r w:rsidRPr="00854864">
              <w:rPr>
                <w:rFonts w:ascii="Times New Roman" w:eastAsia="Times New Roman" w:hAnsi="Times New Roman" w:cs="Times New Roman"/>
                <w:lang w:val="sq-AL"/>
              </w:rPr>
              <w:t>100 %</w:t>
            </w:r>
            <w:r w:rsidRPr="00854864">
              <w:rPr>
                <w:rFonts w:ascii="Times New Roman" w:eastAsia="Times New Roman" w:hAnsi="Times New Roman" w:cs="Times New Roman"/>
                <w:spacing w:val="6"/>
                <w:lang w:val="sq-AL"/>
              </w:rPr>
              <w:t xml:space="preserve"> </w:t>
            </w:r>
            <w:r w:rsidRPr="00854864">
              <w:rPr>
                <w:rFonts w:ascii="Times New Roman" w:eastAsia="Times New Roman" w:hAnsi="Times New Roman" w:cs="Times New Roman"/>
                <w:lang w:val="sq-AL"/>
              </w:rPr>
              <w:t>B-</w:t>
            </w:r>
            <w:r w:rsidRPr="00854864">
              <w:rPr>
                <w:rFonts w:ascii="Times New Roman" w:eastAsia="Times New Roman" w:hAnsi="Times New Roman" w:cs="Times New Roman"/>
                <w:spacing w:val="7"/>
                <w:lang w:val="sq-AL"/>
              </w:rPr>
              <w:t xml:space="preserve"> </w:t>
            </w:r>
            <w:r w:rsidRPr="00854864">
              <w:rPr>
                <w:rFonts w:ascii="Times New Roman" w:eastAsia="Times New Roman" w:hAnsi="Times New Roman" w:cs="Times New Roman"/>
                <w:lang w:val="sq-AL"/>
              </w:rPr>
              <w:t>Cilësi</w:t>
            </w:r>
            <w:r w:rsidRPr="00854864">
              <w:rPr>
                <w:rFonts w:ascii="Times New Roman" w:eastAsia="Times New Roman" w:hAnsi="Times New Roman" w:cs="Times New Roman"/>
                <w:spacing w:val="6"/>
                <w:lang w:val="sq-AL"/>
              </w:rPr>
              <w:t xml:space="preserve"> </w:t>
            </w:r>
            <w:r w:rsidRPr="00854864">
              <w:rPr>
                <w:rFonts w:ascii="Times New Roman" w:eastAsia="Times New Roman" w:hAnsi="Times New Roman" w:cs="Times New Roman"/>
                <w:lang w:val="sq-AL"/>
              </w:rPr>
              <w:t>e</w:t>
            </w:r>
            <w:r w:rsidRPr="00854864">
              <w:rPr>
                <w:rFonts w:ascii="Times New Roman" w:eastAsia="Times New Roman" w:hAnsi="Times New Roman" w:cs="Times New Roman"/>
                <w:spacing w:val="7"/>
                <w:lang w:val="sq-AL"/>
              </w:rPr>
              <w:t xml:space="preserve"> </w:t>
            </w:r>
            <w:r w:rsidRPr="00854864">
              <w:rPr>
                <w:rFonts w:ascii="Times New Roman" w:eastAsia="Times New Roman" w:hAnsi="Times New Roman" w:cs="Times New Roman"/>
                <w:lang w:val="sq-AL"/>
              </w:rPr>
              <w:t>mirë</w:t>
            </w:r>
          </w:p>
        </w:tc>
      </w:tr>
      <w:tr w:rsidR="00E95EB4" w:rsidRPr="00854864" w:rsidTr="00854864">
        <w:trPr>
          <w:trHeight w:val="320"/>
        </w:trPr>
        <w:tc>
          <w:tcPr>
            <w:tcW w:w="1118" w:type="dxa"/>
          </w:tcPr>
          <w:p w:rsidR="00DD196F" w:rsidRPr="00854864" w:rsidRDefault="00DD196F" w:rsidP="00DD196F">
            <w:pPr>
              <w:widowControl w:val="0"/>
              <w:autoSpaceDE w:val="0"/>
              <w:autoSpaceDN w:val="0"/>
              <w:spacing w:after="0" w:line="197" w:lineRule="exact"/>
              <w:ind w:left="8"/>
              <w:jc w:val="center"/>
              <w:rPr>
                <w:rFonts w:ascii="Times New Roman" w:eastAsia="Times New Roman" w:hAnsi="Times New Roman" w:cs="Times New Roman"/>
                <w:lang w:val="sq-AL"/>
              </w:rPr>
            </w:pPr>
            <w:r w:rsidRPr="00854864">
              <w:rPr>
                <w:rFonts w:ascii="Times New Roman" w:eastAsia="Times New Roman" w:hAnsi="Times New Roman" w:cs="Times New Roman"/>
                <w:w w:val="102"/>
                <w:lang w:val="sq-AL"/>
              </w:rPr>
              <w:t>2</w:t>
            </w:r>
          </w:p>
        </w:tc>
        <w:tc>
          <w:tcPr>
            <w:tcW w:w="1636" w:type="dxa"/>
          </w:tcPr>
          <w:p w:rsidR="00DD196F" w:rsidRPr="00854864" w:rsidRDefault="00DD196F" w:rsidP="00DD196F">
            <w:pPr>
              <w:widowControl w:val="0"/>
              <w:autoSpaceDE w:val="0"/>
              <w:autoSpaceDN w:val="0"/>
              <w:spacing w:after="0" w:line="197" w:lineRule="exact"/>
              <w:ind w:left="76"/>
              <w:rPr>
                <w:rFonts w:ascii="Times New Roman" w:eastAsia="Times New Roman" w:hAnsi="Times New Roman" w:cs="Times New Roman"/>
                <w:lang w:val="sq-AL"/>
              </w:rPr>
            </w:pPr>
            <w:r w:rsidRPr="00854864">
              <w:rPr>
                <w:rFonts w:ascii="Times New Roman" w:eastAsia="Times New Roman" w:hAnsi="Times New Roman" w:cs="Times New Roman"/>
                <w:lang w:val="sq-AL"/>
              </w:rPr>
              <w:t>Plazhi</w:t>
            </w:r>
            <w:r w:rsidRPr="00854864">
              <w:rPr>
                <w:rFonts w:ascii="Times New Roman" w:eastAsia="Times New Roman" w:hAnsi="Times New Roman" w:cs="Times New Roman"/>
                <w:spacing w:val="11"/>
                <w:lang w:val="sq-AL"/>
              </w:rPr>
              <w:t xml:space="preserve"> </w:t>
            </w:r>
            <w:r w:rsidRPr="00854864">
              <w:rPr>
                <w:rFonts w:ascii="Times New Roman" w:eastAsia="Times New Roman" w:hAnsi="Times New Roman" w:cs="Times New Roman"/>
                <w:lang w:val="sq-AL"/>
              </w:rPr>
              <w:t>Bora-Bora</w:t>
            </w:r>
          </w:p>
        </w:tc>
        <w:tc>
          <w:tcPr>
            <w:tcW w:w="1230" w:type="dxa"/>
          </w:tcPr>
          <w:p w:rsidR="00DD196F" w:rsidRPr="00854864" w:rsidRDefault="00DD196F" w:rsidP="00DD196F">
            <w:pPr>
              <w:widowControl w:val="0"/>
              <w:autoSpaceDE w:val="0"/>
              <w:autoSpaceDN w:val="0"/>
              <w:spacing w:after="0" w:line="197" w:lineRule="exact"/>
              <w:ind w:left="75"/>
              <w:rPr>
                <w:rFonts w:ascii="Times New Roman" w:eastAsia="Times New Roman" w:hAnsi="Times New Roman" w:cs="Times New Roman"/>
                <w:lang w:val="sq-AL"/>
              </w:rPr>
            </w:pPr>
            <w:r w:rsidRPr="00854864">
              <w:rPr>
                <w:rFonts w:ascii="Times New Roman" w:eastAsia="Times New Roman" w:hAnsi="Times New Roman" w:cs="Times New Roman"/>
                <w:lang w:val="sq-AL"/>
              </w:rPr>
              <w:t>189</w:t>
            </w:r>
          </w:p>
        </w:tc>
        <w:tc>
          <w:tcPr>
            <w:tcW w:w="1230" w:type="dxa"/>
          </w:tcPr>
          <w:p w:rsidR="00DD196F" w:rsidRPr="00854864" w:rsidRDefault="00DD196F" w:rsidP="00DD196F">
            <w:pPr>
              <w:widowControl w:val="0"/>
              <w:autoSpaceDE w:val="0"/>
              <w:autoSpaceDN w:val="0"/>
              <w:spacing w:after="0" w:line="197" w:lineRule="exact"/>
              <w:ind w:left="74"/>
              <w:rPr>
                <w:rFonts w:ascii="Times New Roman" w:eastAsia="Times New Roman" w:hAnsi="Times New Roman" w:cs="Times New Roman"/>
                <w:lang w:val="sq-AL"/>
              </w:rPr>
            </w:pPr>
            <w:r w:rsidRPr="00854864">
              <w:rPr>
                <w:rFonts w:ascii="Times New Roman" w:eastAsia="Times New Roman" w:hAnsi="Times New Roman" w:cs="Times New Roman"/>
                <w:lang w:val="sq-AL"/>
              </w:rPr>
              <w:t>139</w:t>
            </w:r>
          </w:p>
        </w:tc>
        <w:tc>
          <w:tcPr>
            <w:tcW w:w="1076" w:type="dxa"/>
          </w:tcPr>
          <w:p w:rsidR="00DD196F" w:rsidRPr="00854864" w:rsidRDefault="00DD196F" w:rsidP="00DD196F">
            <w:pPr>
              <w:widowControl w:val="0"/>
              <w:autoSpaceDE w:val="0"/>
              <w:autoSpaceDN w:val="0"/>
              <w:spacing w:after="0" w:line="197" w:lineRule="exact"/>
              <w:ind w:left="74"/>
              <w:rPr>
                <w:rFonts w:ascii="Times New Roman" w:eastAsia="Times New Roman" w:hAnsi="Times New Roman" w:cs="Times New Roman"/>
                <w:lang w:val="sq-AL"/>
              </w:rPr>
            </w:pPr>
            <w:r w:rsidRPr="00854864">
              <w:rPr>
                <w:rFonts w:ascii="Times New Roman" w:eastAsia="Times New Roman" w:hAnsi="Times New Roman" w:cs="Times New Roman"/>
                <w:w w:val="102"/>
                <w:lang w:val="sq-AL"/>
              </w:rPr>
              <w:t>B</w:t>
            </w:r>
          </w:p>
        </w:tc>
        <w:tc>
          <w:tcPr>
            <w:tcW w:w="2229" w:type="dxa"/>
            <w:vMerge/>
          </w:tcPr>
          <w:p w:rsidR="00DD196F" w:rsidRPr="00854864" w:rsidRDefault="00DD196F" w:rsidP="00DD196F">
            <w:pPr>
              <w:widowControl w:val="0"/>
              <w:autoSpaceDE w:val="0"/>
              <w:autoSpaceDN w:val="0"/>
              <w:spacing w:after="0" w:line="240" w:lineRule="auto"/>
              <w:rPr>
                <w:rFonts w:ascii="Times New Roman" w:eastAsia="Times New Roman" w:hAnsi="Times New Roman" w:cs="Times New Roman"/>
                <w:lang w:val="sq-AL"/>
              </w:rPr>
            </w:pPr>
          </w:p>
        </w:tc>
      </w:tr>
      <w:tr w:rsidR="00E95EB4" w:rsidRPr="00854864" w:rsidTr="00854864">
        <w:trPr>
          <w:trHeight w:val="322"/>
        </w:trPr>
        <w:tc>
          <w:tcPr>
            <w:tcW w:w="1118" w:type="dxa"/>
          </w:tcPr>
          <w:p w:rsidR="00DD196F" w:rsidRPr="00854864" w:rsidRDefault="00DD196F" w:rsidP="00DD196F">
            <w:pPr>
              <w:widowControl w:val="0"/>
              <w:autoSpaceDE w:val="0"/>
              <w:autoSpaceDN w:val="0"/>
              <w:spacing w:after="0" w:line="199" w:lineRule="exact"/>
              <w:ind w:left="8"/>
              <w:jc w:val="center"/>
              <w:rPr>
                <w:rFonts w:ascii="Times New Roman" w:eastAsia="Times New Roman" w:hAnsi="Times New Roman" w:cs="Times New Roman"/>
                <w:lang w:val="sq-AL"/>
              </w:rPr>
            </w:pPr>
            <w:r w:rsidRPr="00854864">
              <w:rPr>
                <w:rFonts w:ascii="Times New Roman" w:eastAsia="Times New Roman" w:hAnsi="Times New Roman" w:cs="Times New Roman"/>
                <w:w w:val="102"/>
                <w:lang w:val="sq-AL"/>
              </w:rPr>
              <w:t>3</w:t>
            </w:r>
          </w:p>
        </w:tc>
        <w:tc>
          <w:tcPr>
            <w:tcW w:w="1636" w:type="dxa"/>
          </w:tcPr>
          <w:p w:rsidR="00DD196F" w:rsidRPr="00854864" w:rsidRDefault="00DD196F" w:rsidP="00DD196F">
            <w:pPr>
              <w:widowControl w:val="0"/>
              <w:autoSpaceDE w:val="0"/>
              <w:autoSpaceDN w:val="0"/>
              <w:spacing w:after="0" w:line="199" w:lineRule="exact"/>
              <w:ind w:left="76"/>
              <w:rPr>
                <w:rFonts w:ascii="Times New Roman" w:eastAsia="Times New Roman" w:hAnsi="Times New Roman" w:cs="Times New Roman"/>
                <w:lang w:val="sq-AL"/>
              </w:rPr>
            </w:pPr>
            <w:r w:rsidRPr="00854864">
              <w:rPr>
                <w:rFonts w:ascii="Times New Roman" w:eastAsia="Times New Roman" w:hAnsi="Times New Roman" w:cs="Times New Roman"/>
                <w:lang w:val="sq-AL"/>
              </w:rPr>
              <w:t>Plazhi</w:t>
            </w:r>
            <w:r w:rsidRPr="00854864">
              <w:rPr>
                <w:rFonts w:ascii="Times New Roman" w:eastAsia="Times New Roman" w:hAnsi="Times New Roman" w:cs="Times New Roman"/>
                <w:spacing w:val="10"/>
                <w:lang w:val="sq-AL"/>
              </w:rPr>
              <w:t xml:space="preserve"> </w:t>
            </w:r>
            <w:r w:rsidRPr="00854864">
              <w:rPr>
                <w:rFonts w:ascii="Times New Roman" w:eastAsia="Times New Roman" w:hAnsi="Times New Roman" w:cs="Times New Roman"/>
                <w:lang w:val="sq-AL"/>
              </w:rPr>
              <w:t>Kështjella</w:t>
            </w:r>
          </w:p>
        </w:tc>
        <w:tc>
          <w:tcPr>
            <w:tcW w:w="1230" w:type="dxa"/>
          </w:tcPr>
          <w:p w:rsidR="00DD196F" w:rsidRPr="00854864" w:rsidRDefault="00DD196F" w:rsidP="00DD196F">
            <w:pPr>
              <w:widowControl w:val="0"/>
              <w:autoSpaceDE w:val="0"/>
              <w:autoSpaceDN w:val="0"/>
              <w:spacing w:after="0" w:line="199" w:lineRule="exact"/>
              <w:ind w:left="75"/>
              <w:rPr>
                <w:rFonts w:ascii="Times New Roman" w:eastAsia="Times New Roman" w:hAnsi="Times New Roman" w:cs="Times New Roman"/>
                <w:lang w:val="sq-AL"/>
              </w:rPr>
            </w:pPr>
            <w:r w:rsidRPr="00854864">
              <w:rPr>
                <w:rFonts w:ascii="Times New Roman" w:eastAsia="Times New Roman" w:hAnsi="Times New Roman" w:cs="Times New Roman"/>
                <w:lang w:val="sq-AL"/>
              </w:rPr>
              <w:t xml:space="preserve"> 91</w:t>
            </w:r>
          </w:p>
        </w:tc>
        <w:tc>
          <w:tcPr>
            <w:tcW w:w="1230" w:type="dxa"/>
          </w:tcPr>
          <w:p w:rsidR="00DD196F" w:rsidRPr="00854864" w:rsidRDefault="00DD196F" w:rsidP="00DD196F">
            <w:pPr>
              <w:widowControl w:val="0"/>
              <w:autoSpaceDE w:val="0"/>
              <w:autoSpaceDN w:val="0"/>
              <w:spacing w:after="0" w:line="199" w:lineRule="exact"/>
              <w:ind w:left="74"/>
              <w:rPr>
                <w:rFonts w:ascii="Times New Roman" w:eastAsia="Times New Roman" w:hAnsi="Times New Roman" w:cs="Times New Roman"/>
                <w:lang w:val="sq-AL"/>
              </w:rPr>
            </w:pPr>
            <w:r w:rsidRPr="00854864">
              <w:rPr>
                <w:rFonts w:ascii="Times New Roman" w:eastAsia="Times New Roman" w:hAnsi="Times New Roman" w:cs="Times New Roman"/>
                <w:lang w:val="sq-AL"/>
              </w:rPr>
              <w:t>117</w:t>
            </w:r>
          </w:p>
        </w:tc>
        <w:tc>
          <w:tcPr>
            <w:tcW w:w="1076" w:type="dxa"/>
          </w:tcPr>
          <w:p w:rsidR="00DD196F" w:rsidRPr="00854864" w:rsidRDefault="00DD196F" w:rsidP="00DD196F">
            <w:pPr>
              <w:widowControl w:val="0"/>
              <w:autoSpaceDE w:val="0"/>
              <w:autoSpaceDN w:val="0"/>
              <w:spacing w:after="0" w:line="199" w:lineRule="exact"/>
              <w:ind w:left="74"/>
              <w:rPr>
                <w:rFonts w:ascii="Times New Roman" w:eastAsia="Times New Roman" w:hAnsi="Times New Roman" w:cs="Times New Roman"/>
                <w:lang w:val="sq-AL"/>
              </w:rPr>
            </w:pPr>
            <w:r w:rsidRPr="00854864">
              <w:rPr>
                <w:rFonts w:ascii="Times New Roman" w:eastAsia="Times New Roman" w:hAnsi="Times New Roman" w:cs="Times New Roman"/>
                <w:w w:val="102"/>
                <w:lang w:val="sq-AL"/>
              </w:rPr>
              <w:t>B</w:t>
            </w:r>
          </w:p>
        </w:tc>
        <w:tc>
          <w:tcPr>
            <w:tcW w:w="2229" w:type="dxa"/>
            <w:vMerge/>
          </w:tcPr>
          <w:p w:rsidR="00DD196F" w:rsidRPr="00854864" w:rsidRDefault="00DD196F" w:rsidP="00DD196F">
            <w:pPr>
              <w:widowControl w:val="0"/>
              <w:autoSpaceDE w:val="0"/>
              <w:autoSpaceDN w:val="0"/>
              <w:spacing w:after="0" w:line="240" w:lineRule="auto"/>
              <w:rPr>
                <w:rFonts w:ascii="Times New Roman" w:eastAsia="Times New Roman" w:hAnsi="Times New Roman" w:cs="Times New Roman"/>
                <w:lang w:val="sq-AL"/>
              </w:rPr>
            </w:pPr>
          </w:p>
        </w:tc>
      </w:tr>
    </w:tbl>
    <w:p w:rsidR="00DD196F" w:rsidRPr="00DD196F" w:rsidRDefault="00B26656" w:rsidP="00DD196F">
      <w:pPr>
        <w:spacing w:after="0" w:line="240" w:lineRule="auto"/>
        <w:jc w:val="both"/>
        <w:rPr>
          <w:rFonts w:ascii="Times New Roman" w:eastAsia="Times New Roman" w:hAnsi="Times New Roman" w:cs="Times New Roman"/>
          <w:noProof/>
          <w:sz w:val="24"/>
          <w:szCs w:val="24"/>
          <w:lang w:val="sq-AL"/>
        </w:rPr>
      </w:pPr>
      <w:r w:rsidRPr="00DD196F">
        <w:rPr>
          <w:rFonts w:ascii="Times New Roman" w:eastAsiaTheme="minorEastAsia" w:hAnsi="Times New Roman" w:cs="Times New Roman"/>
          <w:noProof/>
          <w:sz w:val="24"/>
          <w:szCs w:val="24"/>
        </w:rPr>
        <mc:AlternateContent>
          <mc:Choice Requires="wps">
            <w:drawing>
              <wp:anchor distT="0" distB="0" distL="114300" distR="114300" simplePos="0" relativeHeight="251648512" behindDoc="0" locked="0" layoutInCell="1" allowOverlap="1" wp14:anchorId="2E13C5CE" wp14:editId="47983D3D">
                <wp:simplePos x="0" y="0"/>
                <wp:positionH relativeFrom="column">
                  <wp:posOffset>3168650</wp:posOffset>
                </wp:positionH>
                <wp:positionV relativeFrom="paragraph">
                  <wp:posOffset>263525</wp:posOffset>
                </wp:positionV>
                <wp:extent cx="2774950" cy="1704975"/>
                <wp:effectExtent l="0" t="0" r="25400" b="28575"/>
                <wp:wrapNone/>
                <wp:docPr id="47" name="Rectangle 47"/>
                <wp:cNvGraphicFramePr/>
                <a:graphic xmlns:a="http://schemas.openxmlformats.org/drawingml/2006/main">
                  <a:graphicData uri="http://schemas.microsoft.com/office/word/2010/wordprocessingShape">
                    <wps:wsp>
                      <wps:cNvSpPr/>
                      <wps:spPr>
                        <a:xfrm>
                          <a:off x="0" y="0"/>
                          <a:ext cx="2774950" cy="1704975"/>
                        </a:xfrm>
                        <a:prstGeom prst="rect">
                          <a:avLst/>
                        </a:prstGeom>
                        <a:solidFill>
                          <a:sysClr val="window" lastClr="FFFFFF"/>
                        </a:solidFill>
                        <a:ln w="12700" cap="flat" cmpd="sng" algn="ctr">
                          <a:solidFill>
                            <a:srgbClr val="70AD47"/>
                          </a:solidFill>
                          <a:prstDash val="solid"/>
                          <a:miter lim="800000"/>
                        </a:ln>
                        <a:effectLst/>
                      </wps:spPr>
                      <wps:txbx>
                        <w:txbxContent>
                          <w:p w:rsidR="0064059F" w:rsidRDefault="0064059F" w:rsidP="00DD196F">
                            <w:pPr>
                              <w:spacing w:after="0" w:line="240" w:lineRule="auto"/>
                              <w:jc w:val="both"/>
                              <w:rPr>
                                <w:rFonts w:ascii="Times New Roman" w:eastAsia="Times New Roman" w:hAnsi="Times New Roman" w:cs="Times New Roman"/>
                                <w:sz w:val="24"/>
                                <w:szCs w:val="24"/>
                                <w:lang w:val="sq-AL"/>
                              </w:rPr>
                            </w:pPr>
                            <w:r w:rsidRPr="001C474F">
                              <w:rPr>
                                <w:rFonts w:ascii="Times New Roman" w:eastAsia="Times New Roman" w:hAnsi="Times New Roman" w:cs="Times New Roman"/>
                                <w:noProof/>
                                <w:sz w:val="24"/>
                                <w:szCs w:val="24"/>
                                <w:lang w:val="sq-AL"/>
                              </w:rPr>
                              <w:t>Referuar</w:t>
                            </w:r>
                            <w:r w:rsidRPr="001C474F">
                              <w:rPr>
                                <w:rFonts w:ascii="Times New Roman" w:eastAsia="Times New Roman" w:hAnsi="Times New Roman" w:cs="Times New Roman"/>
                                <w:sz w:val="24"/>
                                <w:szCs w:val="24"/>
                                <w:lang w:val="it-IT"/>
                              </w:rPr>
                              <w:t xml:space="preserve"> rezultateve </w:t>
                            </w:r>
                            <w:r w:rsidRPr="001C474F">
                              <w:rPr>
                                <w:rFonts w:ascii="Times New Roman" w:eastAsia="Calibri" w:hAnsi="Times New Roman" w:cs="Times New Roman"/>
                                <w:sz w:val="24"/>
                                <w:szCs w:val="24"/>
                                <w:lang w:val="it-IT"/>
                              </w:rPr>
                              <w:t xml:space="preserve">të analizave </w:t>
                            </w:r>
                            <w:r w:rsidRPr="001C474F">
                              <w:rPr>
                                <w:rFonts w:ascii="Times New Roman" w:eastAsia="Times New Roman" w:hAnsi="Times New Roman" w:cs="Times New Roman"/>
                                <w:sz w:val="24"/>
                                <w:szCs w:val="24"/>
                                <w:lang w:val="it-IT"/>
                              </w:rPr>
                              <w:t xml:space="preserve">bakteriologjike plazhet e Ksamilit </w:t>
                            </w:r>
                            <w:r>
                              <w:rPr>
                                <w:rFonts w:ascii="Times New Roman" w:eastAsia="Times New Roman" w:hAnsi="Times New Roman" w:cs="Times New Roman"/>
                                <w:sz w:val="24"/>
                                <w:szCs w:val="24"/>
                                <w:lang w:val="it-IT"/>
                              </w:rPr>
                              <w:t xml:space="preserve">për vitin 2025 </w:t>
                            </w:r>
                            <w:r>
                              <w:rPr>
                                <w:rFonts w:ascii="Times New Roman" w:eastAsia="Times New Roman" w:hAnsi="Times New Roman" w:cs="Times New Roman"/>
                                <w:sz w:val="24"/>
                                <w:szCs w:val="24"/>
                                <w:lang w:val="sq-AL"/>
                              </w:rPr>
                              <w:t>vlerësohe</w:t>
                            </w:r>
                            <w:r w:rsidRPr="001C474F">
                              <w:rPr>
                                <w:rFonts w:ascii="Times New Roman" w:eastAsia="Times New Roman" w:hAnsi="Times New Roman" w:cs="Times New Roman"/>
                                <w:sz w:val="24"/>
                                <w:szCs w:val="24"/>
                                <w:lang w:val="sq-AL"/>
                              </w:rPr>
                              <w:t xml:space="preserve">  </w:t>
                            </w:r>
                            <w:r w:rsidRPr="001C474F">
                              <w:rPr>
                                <w:rFonts w:ascii="Times New Roman" w:eastAsia="Times New Roman" w:hAnsi="Times New Roman" w:cs="Times New Roman"/>
                                <w:noProof/>
                                <w:sz w:val="24"/>
                                <w:szCs w:val="24"/>
                                <w:lang w:val="sq-AL"/>
                              </w:rPr>
                              <w:t>n</w:t>
                            </w:r>
                            <w:r w:rsidRPr="001C474F">
                              <w:rPr>
                                <w:rFonts w:ascii="Times New Roman" w:eastAsia="Times New Roman" w:hAnsi="Times New Roman" w:cs="Times New Roman"/>
                                <w:noProof/>
                                <w:sz w:val="24"/>
                                <w:szCs w:val="24"/>
                                <w:lang w:val="it-IT"/>
                              </w:rPr>
                              <w:t xml:space="preserve">ë </w:t>
                            </w:r>
                            <w:r w:rsidRPr="001C474F">
                              <w:rPr>
                                <w:rFonts w:ascii="Times New Roman" w:eastAsia="Times New Roman" w:hAnsi="Times New Roman" w:cs="Times New Roman"/>
                                <w:noProof/>
                                <w:sz w:val="24"/>
                                <w:szCs w:val="24"/>
                                <w:lang w:val="hr-HR"/>
                              </w:rPr>
                              <w:t>kategorinë B- C</w:t>
                            </w:r>
                            <w:r w:rsidRPr="001C474F">
                              <w:rPr>
                                <w:rFonts w:ascii="Times New Roman" w:eastAsia="Times New Roman" w:hAnsi="Times New Roman" w:cs="Times New Roman"/>
                                <w:noProof/>
                                <w:sz w:val="24"/>
                                <w:szCs w:val="24"/>
                                <w:lang w:val="it-IT"/>
                              </w:rPr>
                              <w:t xml:space="preserve">ilësi e  mirë e ujërave </w:t>
                            </w:r>
                            <w:r w:rsidRPr="001C474F">
                              <w:rPr>
                                <w:rFonts w:ascii="Times New Roman" w:eastAsia="Times New Roman" w:hAnsi="Times New Roman" w:cs="Times New Roman"/>
                                <w:sz w:val="24"/>
                                <w:szCs w:val="24"/>
                                <w:lang w:val="sq-AL"/>
                              </w:rPr>
                              <w:t>larës n</w:t>
                            </w:r>
                            <w:r w:rsidRPr="001C474F">
                              <w:rPr>
                                <w:rFonts w:ascii="Times New Roman" w:eastAsia="Times New Roman" w:hAnsi="Times New Roman" w:cs="Times New Roman"/>
                                <w:noProof/>
                                <w:sz w:val="24"/>
                                <w:szCs w:val="24"/>
                                <w:lang w:val="it-IT"/>
                              </w:rPr>
                              <w:t>ë</w:t>
                            </w:r>
                            <w:r w:rsidRPr="001C474F">
                              <w:rPr>
                                <w:rFonts w:ascii="Times New Roman" w:eastAsia="Times New Roman" w:hAnsi="Times New Roman" w:cs="Times New Roman"/>
                                <w:sz w:val="24"/>
                                <w:szCs w:val="24"/>
                                <w:lang w:val="sq-AL"/>
                              </w:rPr>
                              <w:t xml:space="preserve"> t</w:t>
                            </w:r>
                            <w:r w:rsidRPr="001C474F">
                              <w:rPr>
                                <w:rFonts w:ascii="Times New Roman" w:eastAsia="Times New Roman" w:hAnsi="Times New Roman" w:cs="Times New Roman"/>
                                <w:noProof/>
                                <w:sz w:val="24"/>
                                <w:szCs w:val="24"/>
                                <w:lang w:val="it-IT"/>
                              </w:rPr>
                              <w:t xml:space="preserve">ë </w:t>
                            </w:r>
                            <w:r>
                              <w:rPr>
                                <w:rFonts w:ascii="Times New Roman" w:eastAsia="Times New Roman" w:hAnsi="Times New Roman" w:cs="Times New Roman"/>
                                <w:sz w:val="24"/>
                                <w:szCs w:val="24"/>
                                <w:lang w:val="sq-AL"/>
                              </w:rPr>
                              <w:t>gjitha pikat.</w:t>
                            </w:r>
                          </w:p>
                          <w:p w:rsidR="0064059F" w:rsidRDefault="0064059F" w:rsidP="00DD196F">
                            <w:pPr>
                              <w:spacing w:after="0" w:line="240" w:lineRule="auto"/>
                              <w:jc w:val="both"/>
                              <w:rPr>
                                <w:rFonts w:ascii="Times New Roman" w:eastAsia="Times New Roman" w:hAnsi="Times New Roman" w:cs="Times New Roman"/>
                                <w:sz w:val="24"/>
                                <w:szCs w:val="24"/>
                                <w:lang w:val="sq-AL"/>
                              </w:rPr>
                            </w:pPr>
                          </w:p>
                          <w:p w:rsidR="0064059F" w:rsidRPr="001C474F" w:rsidRDefault="0064059F" w:rsidP="00DD196F">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Kemi përmirësim të cilësisë së ujërave krahasuar me vitin 2024.  </w:t>
                            </w:r>
                          </w:p>
                          <w:p w:rsidR="0064059F" w:rsidRDefault="0064059F" w:rsidP="00DD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3C5CE" id="Rectangle 47" o:spid="_x0000_s1107" style="position:absolute;left:0;text-align:left;margin-left:249.5pt;margin-top:20.75pt;width:218.5pt;height:134.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" fillcolor="window" strokecolor="#70ad47" strokeweight="1pt">
                <v:textbox>
                  <w:txbxContent>
                    <w:p w:rsidR="0064059F" w:rsidRDefault="0064059F" w:rsidP="00DD196F">
                      <w:pPr>
                        <w:spacing w:after="0" w:line="240" w:lineRule="auto"/>
                        <w:jc w:val="both"/>
                        <w:rPr>
                          <w:rFonts w:ascii="Times New Roman" w:eastAsia="Times New Roman" w:hAnsi="Times New Roman" w:cs="Times New Roman"/>
                          <w:sz w:val="24"/>
                          <w:szCs w:val="24"/>
                          <w:lang w:val="sq-AL"/>
                        </w:rPr>
                      </w:pPr>
                      <w:r w:rsidRPr="001C474F">
                        <w:rPr>
                          <w:rFonts w:ascii="Times New Roman" w:eastAsia="Times New Roman" w:hAnsi="Times New Roman" w:cs="Times New Roman"/>
                          <w:noProof/>
                          <w:sz w:val="24"/>
                          <w:szCs w:val="24"/>
                          <w:lang w:val="sq-AL"/>
                        </w:rPr>
                        <w:t>Referuar</w:t>
                      </w:r>
                      <w:r w:rsidRPr="001C474F">
                        <w:rPr>
                          <w:rFonts w:ascii="Times New Roman" w:eastAsia="Times New Roman" w:hAnsi="Times New Roman" w:cs="Times New Roman"/>
                          <w:sz w:val="24"/>
                          <w:szCs w:val="24"/>
                          <w:lang w:val="it-IT"/>
                        </w:rPr>
                        <w:t xml:space="preserve"> rezultateve </w:t>
                      </w:r>
                      <w:r w:rsidRPr="001C474F">
                        <w:rPr>
                          <w:rFonts w:ascii="Times New Roman" w:eastAsia="Calibri" w:hAnsi="Times New Roman" w:cs="Times New Roman"/>
                          <w:sz w:val="24"/>
                          <w:szCs w:val="24"/>
                          <w:lang w:val="it-IT"/>
                        </w:rPr>
                        <w:t xml:space="preserve">të analizave </w:t>
                      </w:r>
                      <w:r w:rsidRPr="001C474F">
                        <w:rPr>
                          <w:rFonts w:ascii="Times New Roman" w:eastAsia="Times New Roman" w:hAnsi="Times New Roman" w:cs="Times New Roman"/>
                          <w:sz w:val="24"/>
                          <w:szCs w:val="24"/>
                          <w:lang w:val="it-IT"/>
                        </w:rPr>
                        <w:t xml:space="preserve">bakteriologjike plazhet e Ksamilit </w:t>
                      </w:r>
                      <w:r>
                        <w:rPr>
                          <w:rFonts w:ascii="Times New Roman" w:eastAsia="Times New Roman" w:hAnsi="Times New Roman" w:cs="Times New Roman"/>
                          <w:sz w:val="24"/>
                          <w:szCs w:val="24"/>
                          <w:lang w:val="it-IT"/>
                        </w:rPr>
                        <w:t xml:space="preserve">për vitin 2025 </w:t>
                      </w:r>
                      <w:r>
                        <w:rPr>
                          <w:rFonts w:ascii="Times New Roman" w:eastAsia="Times New Roman" w:hAnsi="Times New Roman" w:cs="Times New Roman"/>
                          <w:sz w:val="24"/>
                          <w:szCs w:val="24"/>
                          <w:lang w:val="sq-AL"/>
                        </w:rPr>
                        <w:t>vlerësohe</w:t>
                      </w:r>
                      <w:r w:rsidRPr="001C474F">
                        <w:rPr>
                          <w:rFonts w:ascii="Times New Roman" w:eastAsia="Times New Roman" w:hAnsi="Times New Roman" w:cs="Times New Roman"/>
                          <w:sz w:val="24"/>
                          <w:szCs w:val="24"/>
                          <w:lang w:val="sq-AL"/>
                        </w:rPr>
                        <w:t xml:space="preserve">  </w:t>
                      </w:r>
                      <w:r w:rsidRPr="001C474F">
                        <w:rPr>
                          <w:rFonts w:ascii="Times New Roman" w:eastAsia="Times New Roman" w:hAnsi="Times New Roman" w:cs="Times New Roman"/>
                          <w:noProof/>
                          <w:sz w:val="24"/>
                          <w:szCs w:val="24"/>
                          <w:lang w:val="sq-AL"/>
                        </w:rPr>
                        <w:t>n</w:t>
                      </w:r>
                      <w:r w:rsidRPr="001C474F">
                        <w:rPr>
                          <w:rFonts w:ascii="Times New Roman" w:eastAsia="Times New Roman" w:hAnsi="Times New Roman" w:cs="Times New Roman"/>
                          <w:noProof/>
                          <w:sz w:val="24"/>
                          <w:szCs w:val="24"/>
                          <w:lang w:val="it-IT"/>
                        </w:rPr>
                        <w:t xml:space="preserve">ë </w:t>
                      </w:r>
                      <w:r w:rsidRPr="001C474F">
                        <w:rPr>
                          <w:rFonts w:ascii="Times New Roman" w:eastAsia="Times New Roman" w:hAnsi="Times New Roman" w:cs="Times New Roman"/>
                          <w:noProof/>
                          <w:sz w:val="24"/>
                          <w:szCs w:val="24"/>
                          <w:lang w:val="hr-HR"/>
                        </w:rPr>
                        <w:t>kategorinë B- C</w:t>
                      </w:r>
                      <w:r w:rsidRPr="001C474F">
                        <w:rPr>
                          <w:rFonts w:ascii="Times New Roman" w:eastAsia="Times New Roman" w:hAnsi="Times New Roman" w:cs="Times New Roman"/>
                          <w:noProof/>
                          <w:sz w:val="24"/>
                          <w:szCs w:val="24"/>
                          <w:lang w:val="it-IT"/>
                        </w:rPr>
                        <w:t xml:space="preserve">ilësi e  mirë e ujërave </w:t>
                      </w:r>
                      <w:r w:rsidRPr="001C474F">
                        <w:rPr>
                          <w:rFonts w:ascii="Times New Roman" w:eastAsia="Times New Roman" w:hAnsi="Times New Roman" w:cs="Times New Roman"/>
                          <w:sz w:val="24"/>
                          <w:szCs w:val="24"/>
                          <w:lang w:val="sq-AL"/>
                        </w:rPr>
                        <w:t>larës n</w:t>
                      </w:r>
                      <w:r w:rsidRPr="001C474F">
                        <w:rPr>
                          <w:rFonts w:ascii="Times New Roman" w:eastAsia="Times New Roman" w:hAnsi="Times New Roman" w:cs="Times New Roman"/>
                          <w:noProof/>
                          <w:sz w:val="24"/>
                          <w:szCs w:val="24"/>
                          <w:lang w:val="it-IT"/>
                        </w:rPr>
                        <w:t>ë</w:t>
                      </w:r>
                      <w:r w:rsidRPr="001C474F">
                        <w:rPr>
                          <w:rFonts w:ascii="Times New Roman" w:eastAsia="Times New Roman" w:hAnsi="Times New Roman" w:cs="Times New Roman"/>
                          <w:sz w:val="24"/>
                          <w:szCs w:val="24"/>
                          <w:lang w:val="sq-AL"/>
                        </w:rPr>
                        <w:t xml:space="preserve"> t</w:t>
                      </w:r>
                      <w:r w:rsidRPr="001C474F">
                        <w:rPr>
                          <w:rFonts w:ascii="Times New Roman" w:eastAsia="Times New Roman" w:hAnsi="Times New Roman" w:cs="Times New Roman"/>
                          <w:noProof/>
                          <w:sz w:val="24"/>
                          <w:szCs w:val="24"/>
                          <w:lang w:val="it-IT"/>
                        </w:rPr>
                        <w:t xml:space="preserve">ë </w:t>
                      </w:r>
                      <w:r>
                        <w:rPr>
                          <w:rFonts w:ascii="Times New Roman" w:eastAsia="Times New Roman" w:hAnsi="Times New Roman" w:cs="Times New Roman"/>
                          <w:sz w:val="24"/>
                          <w:szCs w:val="24"/>
                          <w:lang w:val="sq-AL"/>
                        </w:rPr>
                        <w:t>gjitha pikat.</w:t>
                      </w:r>
                    </w:p>
                    <w:p w:rsidR="0064059F" w:rsidRDefault="0064059F" w:rsidP="00DD196F">
                      <w:pPr>
                        <w:spacing w:after="0" w:line="240" w:lineRule="auto"/>
                        <w:jc w:val="both"/>
                        <w:rPr>
                          <w:rFonts w:ascii="Times New Roman" w:eastAsia="Times New Roman" w:hAnsi="Times New Roman" w:cs="Times New Roman"/>
                          <w:sz w:val="24"/>
                          <w:szCs w:val="24"/>
                          <w:lang w:val="sq-AL"/>
                        </w:rPr>
                      </w:pPr>
                    </w:p>
                    <w:p w:rsidR="0064059F" w:rsidRPr="001C474F" w:rsidRDefault="0064059F" w:rsidP="00DD196F">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Kemi përmirësim të cilësisë së ujërave krahasuar me vitin 2024.  </w:t>
                      </w:r>
                    </w:p>
                    <w:p w:rsidR="0064059F" w:rsidRDefault="0064059F" w:rsidP="00DD196F">
                      <w:pPr>
                        <w:jc w:val="center"/>
                      </w:pPr>
                    </w:p>
                  </w:txbxContent>
                </v:textbox>
              </v:rect>
            </w:pict>
          </mc:Fallback>
        </mc:AlternateContent>
      </w:r>
      <w:r w:rsidR="002D7C3E" w:rsidRPr="00DD196F">
        <w:rPr>
          <w:rFonts w:ascii="Times New Roman" w:eastAsiaTheme="minorEastAsia" w:hAnsi="Times New Roman" w:cs="Times New Roman"/>
          <w:noProof/>
          <w:sz w:val="24"/>
          <w:szCs w:val="24"/>
        </w:rPr>
        <w:drawing>
          <wp:inline distT="0" distB="0" distL="0" distR="0" wp14:anchorId="367218FD" wp14:editId="523574DB">
            <wp:extent cx="2851150" cy="224790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857508" cy="2252913"/>
                    </a:xfrm>
                    <a:prstGeom prst="rect">
                      <a:avLst/>
                    </a:prstGeom>
                    <a:noFill/>
                  </pic:spPr>
                </pic:pic>
              </a:graphicData>
            </a:graphic>
          </wp:inline>
        </w:drawing>
      </w:r>
    </w:p>
    <w:p w:rsidR="00B26656" w:rsidRDefault="00B26656" w:rsidP="00DD196F">
      <w:pPr>
        <w:spacing w:line="276" w:lineRule="auto"/>
        <w:jc w:val="both"/>
        <w:rPr>
          <w:rFonts w:ascii="Times New Roman" w:eastAsia="Times New Roman" w:hAnsi="Times New Roman" w:cs="Times New Roman"/>
          <w:sz w:val="24"/>
          <w:szCs w:val="24"/>
          <w:lang w:val="it-IT"/>
        </w:rPr>
      </w:pPr>
    </w:p>
    <w:p w:rsidR="00DC7E73" w:rsidRDefault="00DD196F" w:rsidP="00DC7E73">
      <w:pPr>
        <w:spacing w:after="0" w:line="240" w:lineRule="auto"/>
        <w:jc w:val="both"/>
        <w:rPr>
          <w:rFonts w:ascii="Times New Roman" w:eastAsia="Calibri" w:hAnsi="Times New Roman" w:cs="Times New Roman"/>
          <w:sz w:val="24"/>
          <w:szCs w:val="24"/>
          <w:lang w:val="it-IT"/>
        </w:rPr>
      </w:pPr>
      <w:r w:rsidRPr="00DD196F">
        <w:rPr>
          <w:rFonts w:ascii="Times New Roman" w:eastAsia="Times New Roman" w:hAnsi="Times New Roman" w:cs="Times New Roman"/>
          <w:sz w:val="24"/>
          <w:szCs w:val="24"/>
          <w:lang w:val="it-IT"/>
        </w:rPr>
        <w:t xml:space="preserve">PLAZHET LIN-POGRADEC: </w:t>
      </w:r>
      <w:bookmarkStart w:id="43" w:name="_Hlk149950790"/>
      <w:r w:rsidRPr="00DD196F">
        <w:rPr>
          <w:rFonts w:ascii="Times New Roman" w:eastAsia="Times New Roman" w:hAnsi="Times New Roman" w:cs="Times New Roman"/>
          <w:sz w:val="24"/>
          <w:szCs w:val="24"/>
          <w:lang w:val="it-IT"/>
        </w:rPr>
        <w:t xml:space="preserve">Gjatë inspektimit higjeno sanitar </w:t>
      </w:r>
      <w:r w:rsidRPr="00DD196F">
        <w:rPr>
          <w:rFonts w:ascii="Times New Roman" w:eastAsia="Calibri" w:hAnsi="Times New Roman" w:cs="Times New Roman"/>
          <w:sz w:val="24"/>
          <w:szCs w:val="24"/>
          <w:lang w:val="sq-AL"/>
        </w:rPr>
        <w:t xml:space="preserve">në përgjithësi u konstatuan kushte të mira. </w:t>
      </w:r>
      <w:bookmarkEnd w:id="43"/>
      <w:r w:rsidRPr="00DD196F">
        <w:rPr>
          <w:rFonts w:ascii="Times New Roman" w:eastAsia="Times New Roman" w:hAnsi="Times New Roman" w:cs="Times New Roman"/>
          <w:sz w:val="24"/>
          <w:szCs w:val="24"/>
          <w:lang w:val="it-IT"/>
        </w:rPr>
        <w:t>Në Pogradec, gjatë vijës liqenore nga zona pranë pikës së monitorimit në Hotel 1 Maji (pika 5) dhe në Volorekë kanali i Buçimasit vazhdon derdhja e ujërave drejtpërdrejt në liqen. Në zonën pas pikës Hotel Depo ndodhet një kanal i hapur që derdhet direkt në liqen. Kanali tjeter që del nga Driloni derdhet direkt ne liqen.</w:t>
      </w:r>
      <w:r w:rsidRPr="00DD196F">
        <w:rPr>
          <w:rFonts w:ascii="Times New Roman" w:eastAsia="Times New Roman" w:hAnsi="Times New Roman" w:cs="Times New Roman"/>
          <w:sz w:val="24"/>
          <w:szCs w:val="24"/>
          <w:lang w:val="sq-AL"/>
        </w:rPr>
        <w:t xml:space="preserve"> </w:t>
      </w:r>
      <w:r w:rsidR="00DC7E73">
        <w:rPr>
          <w:rFonts w:ascii="Times New Roman" w:eastAsia="Times New Roman" w:hAnsi="Times New Roman" w:cs="Times New Roman"/>
          <w:sz w:val="24"/>
          <w:szCs w:val="24"/>
          <w:lang w:val="it-IT"/>
        </w:rPr>
        <w:t>N</w:t>
      </w:r>
      <w:r w:rsidRPr="00DD196F">
        <w:rPr>
          <w:rFonts w:ascii="Times New Roman" w:eastAsia="Times New Roman" w:hAnsi="Times New Roman" w:cs="Times New Roman"/>
          <w:sz w:val="24"/>
          <w:szCs w:val="24"/>
          <w:lang w:val="it-IT"/>
        </w:rPr>
        <w:t xml:space="preserve">ë pikat me ndotje u konstatua prani e shkarkimeve të ujërave urbane në mënyrë direkte. Përgjatë bregut liqenor të Pogradecit u konstatua prania e algave dhe likeneve në të gjitha seritë. </w:t>
      </w:r>
      <w:r w:rsidRPr="00DD196F">
        <w:rPr>
          <w:rFonts w:ascii="Times New Roman" w:eastAsia="Calibri" w:hAnsi="Times New Roman" w:cs="Times New Roman"/>
          <w:noProof/>
          <w:sz w:val="24"/>
          <w:szCs w:val="24"/>
          <w:lang w:val="sq-AL"/>
        </w:rPr>
        <w:t xml:space="preserve">Plazhet përgjithësisht, jo vetëm ato që administrohen nga privatët por edhe plazhet publike kanë krijuar kushte të përshtatshme me </w:t>
      </w:r>
      <w:r w:rsidRPr="00DD196F">
        <w:rPr>
          <w:rFonts w:ascii="Times New Roman" w:eastAsia="Times New Roman" w:hAnsi="Times New Roman" w:cs="Times New Roman"/>
          <w:sz w:val="24"/>
          <w:szCs w:val="24"/>
          <w:lang w:val="sq-AL"/>
        </w:rPr>
        <w:t>prezenc</w:t>
      </w:r>
      <w:r w:rsidRPr="00DD196F">
        <w:rPr>
          <w:rFonts w:ascii="Times New Roman" w:eastAsia="Calibri" w:hAnsi="Times New Roman" w:cs="Times New Roman"/>
          <w:noProof/>
          <w:sz w:val="24"/>
          <w:szCs w:val="24"/>
          <w:lang w:val="sq-AL"/>
        </w:rPr>
        <w:t>ë</w:t>
      </w:r>
      <w:r w:rsidRPr="00DD196F">
        <w:rPr>
          <w:rFonts w:ascii="Times New Roman" w:eastAsia="Times New Roman" w:hAnsi="Times New Roman" w:cs="Times New Roman"/>
          <w:sz w:val="24"/>
          <w:szCs w:val="24"/>
          <w:lang w:val="sq-AL"/>
        </w:rPr>
        <w:t xml:space="preserve"> t</w:t>
      </w:r>
      <w:r w:rsidRPr="00DD196F">
        <w:rPr>
          <w:rFonts w:ascii="Times New Roman" w:eastAsia="Calibri" w:hAnsi="Times New Roman" w:cs="Times New Roman"/>
          <w:noProof/>
          <w:sz w:val="24"/>
          <w:szCs w:val="24"/>
          <w:lang w:val="sq-AL"/>
        </w:rPr>
        <w:t>ë</w:t>
      </w:r>
      <w:r w:rsidRPr="00DD196F">
        <w:rPr>
          <w:rFonts w:ascii="Times New Roman" w:eastAsia="Times New Roman" w:hAnsi="Times New Roman" w:cs="Times New Roman"/>
          <w:sz w:val="24"/>
          <w:szCs w:val="24"/>
          <w:lang w:val="sq-AL"/>
        </w:rPr>
        <w:t xml:space="preserve"> dusheve, koshave p</w:t>
      </w:r>
      <w:r w:rsidRPr="00DD196F">
        <w:rPr>
          <w:rFonts w:ascii="Times New Roman" w:eastAsia="Calibri" w:hAnsi="Times New Roman" w:cs="Times New Roman"/>
          <w:noProof/>
          <w:sz w:val="24"/>
          <w:szCs w:val="24"/>
          <w:lang w:val="sq-AL"/>
        </w:rPr>
        <w:t>ë</w:t>
      </w:r>
      <w:r w:rsidRPr="00DD196F">
        <w:rPr>
          <w:rFonts w:ascii="Times New Roman" w:eastAsia="Times New Roman" w:hAnsi="Times New Roman" w:cs="Times New Roman"/>
          <w:sz w:val="24"/>
          <w:szCs w:val="24"/>
          <w:lang w:val="sq-AL"/>
        </w:rPr>
        <w:t>r grumbullimin e mbeturinave, dhomave për ndërrimin e veshjeve</w:t>
      </w:r>
      <w:r w:rsidRPr="00DD196F">
        <w:rPr>
          <w:rFonts w:ascii="Times New Roman" w:eastAsia="Calibri" w:hAnsi="Times New Roman" w:cs="Times New Roman"/>
          <w:sz w:val="24"/>
          <w:szCs w:val="24"/>
          <w:lang w:val="sq-AL"/>
        </w:rPr>
        <w:t>, kulla vrojtimi dhe afishimi i rregullave p</w:t>
      </w:r>
      <w:r w:rsidRPr="00DD196F">
        <w:rPr>
          <w:rFonts w:ascii="Times New Roman" w:eastAsia="Times New Roman" w:hAnsi="Times New Roman" w:cs="Times New Roman"/>
          <w:sz w:val="24"/>
          <w:szCs w:val="24"/>
          <w:lang w:val="sq-AL"/>
        </w:rPr>
        <w:t>ë</w:t>
      </w:r>
      <w:r w:rsidRPr="00DD196F">
        <w:rPr>
          <w:rFonts w:ascii="Times New Roman" w:eastAsia="Calibri" w:hAnsi="Times New Roman" w:cs="Times New Roman"/>
          <w:sz w:val="24"/>
          <w:szCs w:val="24"/>
          <w:lang w:val="sq-AL"/>
        </w:rPr>
        <w:t>r zbatim nga frekuentuesit e plazheve.</w:t>
      </w:r>
      <w:r w:rsidRPr="00DD196F">
        <w:rPr>
          <w:rFonts w:ascii="Times New Roman" w:eastAsia="Calibri" w:hAnsi="Times New Roman" w:cs="Times New Roman"/>
          <w:sz w:val="24"/>
          <w:szCs w:val="24"/>
          <w:lang w:val="it-IT"/>
        </w:rPr>
        <w:t xml:space="preserve"> </w:t>
      </w:r>
    </w:p>
    <w:p w:rsidR="00DD196F" w:rsidRDefault="00DD196F" w:rsidP="00DC7E73">
      <w:pPr>
        <w:spacing w:after="0" w:line="240" w:lineRule="auto"/>
        <w:jc w:val="both"/>
        <w:rPr>
          <w:rFonts w:ascii="Times New Roman" w:eastAsia="Times New Roman" w:hAnsi="Times New Roman" w:cs="Times New Roman"/>
          <w:sz w:val="24"/>
          <w:szCs w:val="24"/>
          <w:lang w:val="it-IT"/>
        </w:rPr>
      </w:pPr>
      <w:r w:rsidRPr="00DD196F">
        <w:rPr>
          <w:rFonts w:ascii="Times New Roman" w:eastAsia="Calibri" w:hAnsi="Times New Roman" w:cs="Times New Roman"/>
          <w:sz w:val="24"/>
          <w:szCs w:val="24"/>
          <w:lang w:val="it-IT"/>
        </w:rPr>
        <w:t>N</w:t>
      </w:r>
      <w:r w:rsidRPr="00DD196F">
        <w:rPr>
          <w:rFonts w:ascii="Times New Roman" w:eastAsia="Calibri" w:hAnsi="Times New Roman" w:cs="Times New Roman"/>
          <w:noProof/>
          <w:sz w:val="24"/>
          <w:szCs w:val="24"/>
          <w:lang w:val="sq-AL"/>
        </w:rPr>
        <w:t>ë</w:t>
      </w:r>
      <w:r w:rsidRPr="00DD196F">
        <w:rPr>
          <w:rFonts w:ascii="Times New Roman" w:eastAsia="Calibri" w:hAnsi="Times New Roman" w:cs="Times New Roman"/>
          <w:sz w:val="24"/>
          <w:szCs w:val="24"/>
          <w:lang w:val="it-IT"/>
        </w:rPr>
        <w:t xml:space="preserve"> p</w:t>
      </w:r>
      <w:r w:rsidRPr="00DD196F">
        <w:rPr>
          <w:rFonts w:ascii="Times New Roman" w:eastAsia="Calibri" w:hAnsi="Times New Roman" w:cs="Times New Roman"/>
          <w:noProof/>
          <w:sz w:val="24"/>
          <w:szCs w:val="24"/>
          <w:lang w:val="sq-AL"/>
        </w:rPr>
        <w:t>ë</w:t>
      </w:r>
      <w:r w:rsidRPr="00DD196F">
        <w:rPr>
          <w:rFonts w:ascii="Times New Roman" w:eastAsia="Calibri" w:hAnsi="Times New Roman" w:cs="Times New Roman"/>
          <w:sz w:val="24"/>
          <w:szCs w:val="24"/>
          <w:lang w:val="it-IT"/>
        </w:rPr>
        <w:t>rgjith</w:t>
      </w:r>
      <w:r w:rsidRPr="00DD196F">
        <w:rPr>
          <w:rFonts w:ascii="Times New Roman" w:eastAsia="Calibri" w:hAnsi="Times New Roman" w:cs="Times New Roman"/>
          <w:noProof/>
          <w:sz w:val="24"/>
          <w:szCs w:val="24"/>
          <w:lang w:val="sq-AL"/>
        </w:rPr>
        <w:t>ë</w:t>
      </w:r>
      <w:r w:rsidRPr="00DD196F">
        <w:rPr>
          <w:rFonts w:ascii="Times New Roman" w:eastAsia="Calibri" w:hAnsi="Times New Roman" w:cs="Times New Roman"/>
          <w:sz w:val="24"/>
          <w:szCs w:val="24"/>
          <w:lang w:val="it-IT"/>
        </w:rPr>
        <w:t>si bregu pastrohej nga punonj</w:t>
      </w:r>
      <w:r w:rsidRPr="00DD196F">
        <w:rPr>
          <w:rFonts w:ascii="Times New Roman" w:eastAsia="Calibri" w:hAnsi="Times New Roman" w:cs="Times New Roman"/>
          <w:noProof/>
          <w:sz w:val="24"/>
          <w:szCs w:val="24"/>
          <w:lang w:val="sq-AL"/>
        </w:rPr>
        <w:t>ë</w:t>
      </w:r>
      <w:r w:rsidRPr="00DD196F">
        <w:rPr>
          <w:rFonts w:ascii="Times New Roman" w:eastAsia="Calibri" w:hAnsi="Times New Roman" w:cs="Times New Roman"/>
          <w:sz w:val="24"/>
          <w:szCs w:val="24"/>
          <w:lang w:val="it-IT"/>
        </w:rPr>
        <w:t>sit e Bashkis</w:t>
      </w:r>
      <w:r w:rsidRPr="00DD196F">
        <w:rPr>
          <w:rFonts w:ascii="Times New Roman" w:eastAsia="Calibri" w:hAnsi="Times New Roman" w:cs="Times New Roman"/>
          <w:noProof/>
          <w:sz w:val="24"/>
          <w:szCs w:val="24"/>
          <w:lang w:val="sq-AL"/>
        </w:rPr>
        <w:t>ë</w:t>
      </w:r>
      <w:r w:rsidRPr="00DD196F">
        <w:rPr>
          <w:rFonts w:ascii="Times New Roman" w:eastAsia="Calibri" w:hAnsi="Times New Roman" w:cs="Times New Roman"/>
          <w:sz w:val="24"/>
          <w:szCs w:val="24"/>
          <w:lang w:val="it-IT"/>
        </w:rPr>
        <w:t xml:space="preserve"> megjithat</w:t>
      </w:r>
      <w:r w:rsidRPr="00DD196F">
        <w:rPr>
          <w:rFonts w:ascii="Times New Roman" w:eastAsia="Calibri" w:hAnsi="Times New Roman" w:cs="Times New Roman"/>
          <w:noProof/>
          <w:sz w:val="24"/>
          <w:szCs w:val="24"/>
          <w:lang w:val="sq-AL"/>
        </w:rPr>
        <w:t>ë</w:t>
      </w:r>
      <w:r w:rsidRPr="00DD196F">
        <w:rPr>
          <w:rFonts w:ascii="Times New Roman" w:eastAsia="Calibri" w:hAnsi="Times New Roman" w:cs="Times New Roman"/>
          <w:sz w:val="24"/>
          <w:szCs w:val="24"/>
          <w:lang w:val="it-IT"/>
        </w:rPr>
        <w:t xml:space="preserve"> n</w:t>
      </w:r>
      <w:r w:rsidRPr="00DD196F">
        <w:rPr>
          <w:rFonts w:ascii="Times New Roman" w:eastAsia="Calibri" w:hAnsi="Times New Roman" w:cs="Times New Roman"/>
          <w:noProof/>
          <w:sz w:val="24"/>
          <w:szCs w:val="24"/>
          <w:lang w:val="sq-AL"/>
        </w:rPr>
        <w:t>ë</w:t>
      </w:r>
      <w:r w:rsidRPr="00DD196F">
        <w:rPr>
          <w:rFonts w:ascii="Times New Roman" w:eastAsia="Calibri" w:hAnsi="Times New Roman" w:cs="Times New Roman"/>
          <w:sz w:val="24"/>
          <w:szCs w:val="24"/>
          <w:lang w:val="it-IT"/>
        </w:rPr>
        <w:t xml:space="preserve"> serit</w:t>
      </w:r>
      <w:r w:rsidRPr="00DD196F">
        <w:rPr>
          <w:rFonts w:ascii="Times New Roman" w:eastAsia="Calibri" w:hAnsi="Times New Roman" w:cs="Times New Roman"/>
          <w:noProof/>
          <w:sz w:val="24"/>
          <w:szCs w:val="24"/>
          <w:lang w:val="sq-AL"/>
        </w:rPr>
        <w:t>ë</w:t>
      </w:r>
      <w:r w:rsidRPr="00DD196F">
        <w:rPr>
          <w:rFonts w:ascii="Times New Roman" w:eastAsia="Calibri" w:hAnsi="Times New Roman" w:cs="Times New Roman"/>
          <w:sz w:val="24"/>
          <w:szCs w:val="24"/>
          <w:lang w:val="it-IT"/>
        </w:rPr>
        <w:t xml:space="preserve"> e fundit t</w:t>
      </w:r>
      <w:r w:rsidRPr="00DD196F">
        <w:rPr>
          <w:rFonts w:ascii="Times New Roman" w:eastAsia="Calibri" w:hAnsi="Times New Roman" w:cs="Times New Roman"/>
          <w:noProof/>
          <w:sz w:val="24"/>
          <w:szCs w:val="24"/>
          <w:lang w:val="sq-AL"/>
        </w:rPr>
        <w:t>ë</w:t>
      </w:r>
      <w:r w:rsidRPr="00DD196F">
        <w:rPr>
          <w:rFonts w:ascii="Times New Roman" w:eastAsia="Calibri" w:hAnsi="Times New Roman" w:cs="Times New Roman"/>
          <w:sz w:val="24"/>
          <w:szCs w:val="24"/>
          <w:lang w:val="it-IT"/>
        </w:rPr>
        <w:t xml:space="preserve"> sezonit u konstatua prani e theksuar e leshterik</w:t>
      </w:r>
      <w:r w:rsidRPr="00DD196F">
        <w:rPr>
          <w:rFonts w:ascii="Times New Roman" w:eastAsia="Calibri" w:hAnsi="Times New Roman" w:cs="Times New Roman"/>
          <w:noProof/>
          <w:sz w:val="24"/>
          <w:szCs w:val="24"/>
          <w:lang w:val="sq-AL"/>
        </w:rPr>
        <w:t>ë</w:t>
      </w:r>
      <w:r w:rsidRPr="00DD196F">
        <w:rPr>
          <w:rFonts w:ascii="Times New Roman" w:eastAsia="Calibri" w:hAnsi="Times New Roman" w:cs="Times New Roman"/>
          <w:sz w:val="24"/>
          <w:szCs w:val="24"/>
          <w:lang w:val="it-IT"/>
        </w:rPr>
        <w:t>ve n</w:t>
      </w:r>
      <w:r w:rsidRPr="00DD196F">
        <w:rPr>
          <w:rFonts w:ascii="Times New Roman" w:eastAsia="Calibri" w:hAnsi="Times New Roman" w:cs="Times New Roman"/>
          <w:noProof/>
          <w:sz w:val="24"/>
          <w:szCs w:val="24"/>
          <w:lang w:val="sq-AL"/>
        </w:rPr>
        <w:t>ë</w:t>
      </w:r>
      <w:r w:rsidRPr="00DD196F">
        <w:rPr>
          <w:rFonts w:ascii="Times New Roman" w:eastAsia="Calibri" w:hAnsi="Times New Roman" w:cs="Times New Roman"/>
          <w:sz w:val="24"/>
          <w:szCs w:val="24"/>
          <w:lang w:val="it-IT"/>
        </w:rPr>
        <w:t xml:space="preserve"> breg.</w:t>
      </w:r>
      <w:r w:rsidRPr="00DD196F">
        <w:rPr>
          <w:rFonts w:ascii="Times New Roman" w:eastAsia="Times New Roman" w:hAnsi="Times New Roman" w:cs="Times New Roman"/>
          <w:sz w:val="24"/>
          <w:szCs w:val="24"/>
          <w:lang w:val="it-IT"/>
        </w:rPr>
        <w:t xml:space="preserve"> Gjat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muajve Korrik e Gusht u konstatua shtim i numrit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frekuentuesve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it-IT"/>
        </w:rPr>
        <w:t xml:space="preserve"> plazheve. </w:t>
      </w:r>
    </w:p>
    <w:p w:rsidR="00CD2C3A" w:rsidRPr="00DD196F" w:rsidRDefault="00CD2C3A" w:rsidP="00DC7E73">
      <w:pPr>
        <w:spacing w:after="0" w:line="240" w:lineRule="auto"/>
        <w:jc w:val="both"/>
        <w:rPr>
          <w:rFonts w:ascii="Times New Roman" w:eastAsia="Times New Roman" w:hAnsi="Times New Roman" w:cs="Times New Roman"/>
          <w:sz w:val="24"/>
          <w:szCs w:val="24"/>
          <w:lang w:val="it-IT"/>
        </w:rPr>
      </w:pPr>
    </w:p>
    <w:p w:rsidR="00DD196F" w:rsidRPr="00DD196F" w:rsidRDefault="00DD196F" w:rsidP="00DD196F">
      <w:pPr>
        <w:spacing w:line="276" w:lineRule="auto"/>
        <w:jc w:val="both"/>
        <w:rPr>
          <w:rFonts w:ascii="Times New Roman" w:eastAsia="Times New Roman" w:hAnsi="Times New Roman" w:cs="Times New Roman"/>
          <w:b/>
          <w:sz w:val="24"/>
          <w:szCs w:val="24"/>
          <w:highlight w:val="yellow"/>
          <w:lang w:val="sq-AL"/>
        </w:rPr>
      </w:pPr>
      <w:r w:rsidRPr="00DD196F">
        <w:rPr>
          <w:rFonts w:ascii="Times New Roman" w:eastAsia="Times New Roman" w:hAnsi="Times New Roman" w:cs="Times New Roman"/>
          <w:b/>
          <w:sz w:val="24"/>
          <w:szCs w:val="24"/>
          <w:lang w:val="it-IT"/>
        </w:rPr>
        <w:t xml:space="preserve">                      ●Plazhet Lin-Pogradec</w:t>
      </w:r>
    </w:p>
    <w:tbl>
      <w:tblPr>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81"/>
        <w:gridCol w:w="2368"/>
        <w:gridCol w:w="1152"/>
        <w:gridCol w:w="1227"/>
        <w:gridCol w:w="1026"/>
        <w:gridCol w:w="1676"/>
      </w:tblGrid>
      <w:tr w:rsidR="00E95EB4" w:rsidRPr="00CD2C3A" w:rsidTr="00CD2C3A">
        <w:trPr>
          <w:trHeight w:val="620"/>
        </w:trPr>
        <w:tc>
          <w:tcPr>
            <w:tcW w:w="1081" w:type="dxa"/>
            <w:shd w:val="clear" w:color="auto" w:fill="E1EED9"/>
          </w:tcPr>
          <w:p w:rsidR="00DD196F" w:rsidRPr="00CD2C3A" w:rsidRDefault="00DD196F" w:rsidP="00DD196F">
            <w:pPr>
              <w:widowControl w:val="0"/>
              <w:autoSpaceDE w:val="0"/>
              <w:autoSpaceDN w:val="0"/>
              <w:spacing w:before="49" w:after="0" w:line="240" w:lineRule="auto"/>
              <w:ind w:left="65" w:right="59"/>
              <w:jc w:val="center"/>
              <w:rPr>
                <w:rFonts w:ascii="Times New Roman" w:eastAsia="Times New Roman" w:hAnsi="Times New Roman" w:cs="Times New Roman"/>
                <w:b/>
                <w:lang w:val="sq-AL"/>
              </w:rPr>
            </w:pPr>
            <w:r w:rsidRPr="00CD2C3A">
              <w:rPr>
                <w:rFonts w:ascii="Times New Roman" w:eastAsia="Times New Roman" w:hAnsi="Times New Roman" w:cs="Times New Roman"/>
                <w:b/>
                <w:lang w:val="sq-AL"/>
              </w:rPr>
              <w:t>Nr.</w:t>
            </w:r>
          </w:p>
          <w:p w:rsidR="00DD196F" w:rsidRPr="00CD2C3A" w:rsidRDefault="00DD196F" w:rsidP="00DD196F">
            <w:pPr>
              <w:widowControl w:val="0"/>
              <w:autoSpaceDE w:val="0"/>
              <w:autoSpaceDN w:val="0"/>
              <w:spacing w:before="5" w:after="0" w:line="240" w:lineRule="auto"/>
              <w:ind w:left="66" w:right="59"/>
              <w:jc w:val="center"/>
              <w:rPr>
                <w:rFonts w:ascii="Times New Roman" w:eastAsia="Times New Roman" w:hAnsi="Times New Roman" w:cs="Times New Roman"/>
                <w:b/>
                <w:lang w:val="sq-AL"/>
              </w:rPr>
            </w:pPr>
            <w:r w:rsidRPr="00CD2C3A">
              <w:rPr>
                <w:rFonts w:ascii="Times New Roman" w:eastAsia="Times New Roman" w:hAnsi="Times New Roman" w:cs="Times New Roman"/>
                <w:b/>
                <w:lang w:val="sq-AL"/>
              </w:rPr>
              <w:t>Stacioneve</w:t>
            </w:r>
          </w:p>
        </w:tc>
        <w:tc>
          <w:tcPr>
            <w:tcW w:w="2368" w:type="dxa"/>
            <w:shd w:val="clear" w:color="auto" w:fill="E1EED9"/>
          </w:tcPr>
          <w:p w:rsidR="00DD196F" w:rsidRPr="00CD2C3A" w:rsidRDefault="00DD196F" w:rsidP="00DD196F">
            <w:pPr>
              <w:widowControl w:val="0"/>
              <w:autoSpaceDE w:val="0"/>
              <w:autoSpaceDN w:val="0"/>
              <w:spacing w:before="161" w:after="0" w:line="240" w:lineRule="auto"/>
              <w:ind w:left="886" w:right="881"/>
              <w:jc w:val="center"/>
              <w:rPr>
                <w:rFonts w:ascii="Times New Roman" w:eastAsia="Times New Roman" w:hAnsi="Times New Roman" w:cs="Times New Roman"/>
                <w:b/>
                <w:lang w:val="sq-AL"/>
              </w:rPr>
            </w:pPr>
            <w:r w:rsidRPr="00CD2C3A">
              <w:rPr>
                <w:rFonts w:ascii="Times New Roman" w:eastAsia="Times New Roman" w:hAnsi="Times New Roman" w:cs="Times New Roman"/>
                <w:b/>
                <w:lang w:val="sq-AL"/>
              </w:rPr>
              <w:t>Vendi</w:t>
            </w:r>
          </w:p>
        </w:tc>
        <w:tc>
          <w:tcPr>
            <w:tcW w:w="1152" w:type="dxa"/>
            <w:shd w:val="clear" w:color="auto" w:fill="E1EED9"/>
          </w:tcPr>
          <w:p w:rsidR="00DD196F" w:rsidRPr="00CD2C3A" w:rsidRDefault="00DD196F" w:rsidP="00DD196F">
            <w:pPr>
              <w:widowControl w:val="0"/>
              <w:autoSpaceDE w:val="0"/>
              <w:autoSpaceDN w:val="0"/>
              <w:spacing w:before="1" w:after="0" w:line="240" w:lineRule="auto"/>
              <w:ind w:left="147"/>
              <w:rPr>
                <w:rFonts w:ascii="Times New Roman" w:eastAsia="Times New Roman" w:hAnsi="Times New Roman" w:cs="Times New Roman"/>
                <w:b/>
                <w:lang w:val="sq-AL"/>
              </w:rPr>
            </w:pPr>
            <w:r w:rsidRPr="00CD2C3A">
              <w:rPr>
                <w:rFonts w:ascii="Times New Roman" w:eastAsia="Times New Roman" w:hAnsi="Times New Roman" w:cs="Times New Roman"/>
                <w:b/>
                <w:lang w:val="sq-AL"/>
              </w:rPr>
              <w:t>FC</w:t>
            </w:r>
            <w:r w:rsidRPr="00CD2C3A">
              <w:rPr>
                <w:rFonts w:ascii="Times New Roman" w:eastAsia="Times New Roman" w:hAnsi="Times New Roman" w:cs="Times New Roman"/>
                <w:b/>
                <w:spacing w:val="4"/>
                <w:lang w:val="sq-AL"/>
              </w:rPr>
              <w:t xml:space="preserve"> </w:t>
            </w:r>
            <w:r w:rsidRPr="00CD2C3A">
              <w:rPr>
                <w:rFonts w:ascii="Times New Roman" w:eastAsia="Times New Roman" w:hAnsi="Times New Roman" w:cs="Times New Roman"/>
                <w:b/>
                <w:lang w:val="sq-AL"/>
              </w:rPr>
              <w:t>90%</w:t>
            </w:r>
            <w:r w:rsidRPr="00CD2C3A">
              <w:rPr>
                <w:rFonts w:ascii="Times New Roman" w:eastAsia="Times New Roman" w:hAnsi="Times New Roman" w:cs="Times New Roman"/>
                <w:b/>
                <w:spacing w:val="4"/>
                <w:lang w:val="sq-AL"/>
              </w:rPr>
              <w:t xml:space="preserve"> </w:t>
            </w:r>
            <w:r w:rsidRPr="00CD2C3A">
              <w:rPr>
                <w:rFonts w:ascii="Times New Roman" w:eastAsia="Times New Roman" w:hAnsi="Times New Roman" w:cs="Times New Roman"/>
                <w:b/>
                <w:lang w:val="sq-AL"/>
              </w:rPr>
              <w:t>-</w:t>
            </w:r>
          </w:p>
          <w:p w:rsidR="00DD196F" w:rsidRPr="00CD2C3A" w:rsidRDefault="00DD196F" w:rsidP="00DD196F">
            <w:pPr>
              <w:widowControl w:val="0"/>
              <w:autoSpaceDE w:val="0"/>
              <w:autoSpaceDN w:val="0"/>
              <w:spacing w:before="5" w:after="0" w:line="240" w:lineRule="auto"/>
              <w:ind w:left="90"/>
              <w:rPr>
                <w:rFonts w:ascii="Times New Roman" w:eastAsia="Times New Roman" w:hAnsi="Times New Roman" w:cs="Times New Roman"/>
                <w:b/>
                <w:lang w:val="sq-AL"/>
              </w:rPr>
            </w:pPr>
            <w:r w:rsidRPr="00CD2C3A">
              <w:rPr>
                <w:rFonts w:ascii="Times New Roman" w:eastAsia="Times New Roman" w:hAnsi="Times New Roman" w:cs="Times New Roman"/>
                <w:b/>
                <w:lang w:val="sq-AL"/>
              </w:rPr>
              <w:t>Norma</w:t>
            </w:r>
            <w:r w:rsidRPr="00CD2C3A">
              <w:rPr>
                <w:rFonts w:ascii="Times New Roman" w:eastAsia="Times New Roman" w:hAnsi="Times New Roman" w:cs="Times New Roman"/>
                <w:b/>
                <w:spacing w:val="8"/>
                <w:lang w:val="sq-AL"/>
              </w:rPr>
              <w:t xml:space="preserve"> </w:t>
            </w:r>
            <w:r w:rsidRPr="00CD2C3A">
              <w:rPr>
                <w:rFonts w:ascii="Times New Roman" w:eastAsia="Times New Roman" w:hAnsi="Times New Roman" w:cs="Times New Roman"/>
                <w:b/>
                <w:lang w:val="sq-AL"/>
              </w:rPr>
              <w:t>500</w:t>
            </w:r>
          </w:p>
        </w:tc>
        <w:tc>
          <w:tcPr>
            <w:tcW w:w="1227" w:type="dxa"/>
            <w:shd w:val="clear" w:color="auto" w:fill="E1EED9"/>
          </w:tcPr>
          <w:p w:rsidR="00DD196F" w:rsidRPr="00CD2C3A" w:rsidRDefault="00DD196F" w:rsidP="00DD196F">
            <w:pPr>
              <w:widowControl w:val="0"/>
              <w:autoSpaceDE w:val="0"/>
              <w:autoSpaceDN w:val="0"/>
              <w:spacing w:before="1" w:after="0" w:line="240" w:lineRule="auto"/>
              <w:ind w:left="212"/>
              <w:rPr>
                <w:rFonts w:ascii="Times New Roman" w:eastAsia="Times New Roman" w:hAnsi="Times New Roman" w:cs="Times New Roman"/>
                <w:b/>
                <w:lang w:val="sq-AL"/>
              </w:rPr>
            </w:pPr>
            <w:r w:rsidRPr="00CD2C3A">
              <w:rPr>
                <w:rFonts w:ascii="Times New Roman" w:eastAsia="Times New Roman" w:hAnsi="Times New Roman" w:cs="Times New Roman"/>
                <w:b/>
                <w:lang w:val="sq-AL"/>
              </w:rPr>
              <w:t>IE</w:t>
            </w:r>
            <w:r w:rsidRPr="00CD2C3A">
              <w:rPr>
                <w:rFonts w:ascii="Times New Roman" w:eastAsia="Times New Roman" w:hAnsi="Times New Roman" w:cs="Times New Roman"/>
                <w:b/>
                <w:spacing w:val="4"/>
                <w:lang w:val="sq-AL"/>
              </w:rPr>
              <w:t xml:space="preserve"> </w:t>
            </w:r>
            <w:r w:rsidRPr="00CD2C3A">
              <w:rPr>
                <w:rFonts w:ascii="Times New Roman" w:eastAsia="Times New Roman" w:hAnsi="Times New Roman" w:cs="Times New Roman"/>
                <w:b/>
                <w:lang w:val="sq-AL"/>
              </w:rPr>
              <w:t>95%</w:t>
            </w:r>
            <w:r w:rsidRPr="00CD2C3A">
              <w:rPr>
                <w:rFonts w:ascii="Times New Roman" w:eastAsia="Times New Roman" w:hAnsi="Times New Roman" w:cs="Times New Roman"/>
                <w:b/>
                <w:spacing w:val="3"/>
                <w:lang w:val="sq-AL"/>
              </w:rPr>
              <w:t xml:space="preserve"> </w:t>
            </w:r>
            <w:r w:rsidRPr="00CD2C3A">
              <w:rPr>
                <w:rFonts w:ascii="Times New Roman" w:eastAsia="Times New Roman" w:hAnsi="Times New Roman" w:cs="Times New Roman"/>
                <w:b/>
                <w:lang w:val="sq-AL"/>
              </w:rPr>
              <w:t>-</w:t>
            </w:r>
          </w:p>
          <w:p w:rsidR="00DD196F" w:rsidRPr="00CD2C3A" w:rsidRDefault="00DD196F" w:rsidP="00DD196F">
            <w:pPr>
              <w:widowControl w:val="0"/>
              <w:autoSpaceDE w:val="0"/>
              <w:autoSpaceDN w:val="0"/>
              <w:spacing w:before="5" w:after="0" w:line="240" w:lineRule="auto"/>
              <w:ind w:left="127"/>
              <w:rPr>
                <w:rFonts w:ascii="Times New Roman" w:eastAsia="Times New Roman" w:hAnsi="Times New Roman" w:cs="Times New Roman"/>
                <w:b/>
                <w:lang w:val="sq-AL"/>
              </w:rPr>
            </w:pPr>
            <w:r w:rsidRPr="00CD2C3A">
              <w:rPr>
                <w:rFonts w:ascii="Times New Roman" w:eastAsia="Times New Roman" w:hAnsi="Times New Roman" w:cs="Times New Roman"/>
                <w:b/>
                <w:lang w:val="sq-AL"/>
              </w:rPr>
              <w:t>Norma</w:t>
            </w:r>
            <w:r w:rsidRPr="00CD2C3A">
              <w:rPr>
                <w:rFonts w:ascii="Times New Roman" w:eastAsia="Times New Roman" w:hAnsi="Times New Roman" w:cs="Times New Roman"/>
                <w:b/>
                <w:spacing w:val="8"/>
                <w:lang w:val="sq-AL"/>
              </w:rPr>
              <w:t xml:space="preserve"> </w:t>
            </w:r>
            <w:r w:rsidRPr="00CD2C3A">
              <w:rPr>
                <w:rFonts w:ascii="Times New Roman" w:eastAsia="Times New Roman" w:hAnsi="Times New Roman" w:cs="Times New Roman"/>
                <w:b/>
                <w:lang w:val="sq-AL"/>
              </w:rPr>
              <w:t>200</w:t>
            </w:r>
          </w:p>
        </w:tc>
        <w:tc>
          <w:tcPr>
            <w:tcW w:w="1026" w:type="dxa"/>
            <w:shd w:val="clear" w:color="auto" w:fill="E1EED9"/>
          </w:tcPr>
          <w:p w:rsidR="00DD196F" w:rsidRPr="00CD2C3A" w:rsidRDefault="00DD196F" w:rsidP="00DD196F">
            <w:pPr>
              <w:widowControl w:val="0"/>
              <w:autoSpaceDE w:val="0"/>
              <w:autoSpaceDN w:val="0"/>
              <w:spacing w:before="1" w:after="0" w:line="240" w:lineRule="auto"/>
              <w:ind w:left="74"/>
              <w:rPr>
                <w:rFonts w:ascii="Times New Roman" w:eastAsia="Times New Roman" w:hAnsi="Times New Roman" w:cs="Times New Roman"/>
                <w:b/>
                <w:lang w:val="sq-AL"/>
              </w:rPr>
            </w:pPr>
            <w:r w:rsidRPr="00CD2C3A">
              <w:rPr>
                <w:rFonts w:ascii="Times New Roman" w:eastAsia="Times New Roman" w:hAnsi="Times New Roman" w:cs="Times New Roman"/>
                <w:b/>
                <w:lang w:val="sq-AL"/>
              </w:rPr>
              <w:t>Kategoria</w:t>
            </w:r>
          </w:p>
        </w:tc>
        <w:tc>
          <w:tcPr>
            <w:tcW w:w="1676" w:type="dxa"/>
            <w:shd w:val="clear" w:color="auto" w:fill="E1EED9"/>
          </w:tcPr>
          <w:p w:rsidR="00DD196F" w:rsidRPr="00CD2C3A" w:rsidRDefault="00DD196F" w:rsidP="00DD196F">
            <w:pPr>
              <w:widowControl w:val="0"/>
              <w:autoSpaceDE w:val="0"/>
              <w:autoSpaceDN w:val="0"/>
              <w:spacing w:before="1" w:after="0" w:line="244" w:lineRule="auto"/>
              <w:ind w:left="260" w:firstLine="65"/>
              <w:rPr>
                <w:rFonts w:ascii="Times New Roman" w:eastAsia="Times New Roman" w:hAnsi="Times New Roman" w:cs="Times New Roman"/>
                <w:b/>
                <w:lang w:val="sq-AL"/>
              </w:rPr>
            </w:pPr>
            <w:r w:rsidRPr="00CD2C3A">
              <w:rPr>
                <w:rFonts w:ascii="Times New Roman" w:eastAsia="Times New Roman" w:hAnsi="Times New Roman" w:cs="Times New Roman"/>
                <w:b/>
                <w:lang w:val="sq-AL"/>
              </w:rPr>
              <w:t>Përqindja</w:t>
            </w:r>
            <w:r w:rsidRPr="00CD2C3A">
              <w:rPr>
                <w:rFonts w:ascii="Times New Roman" w:eastAsia="Times New Roman" w:hAnsi="Times New Roman" w:cs="Times New Roman"/>
                <w:b/>
                <w:spacing w:val="7"/>
                <w:lang w:val="sq-AL"/>
              </w:rPr>
              <w:t xml:space="preserve"> </w:t>
            </w:r>
            <w:r w:rsidRPr="00CD2C3A">
              <w:rPr>
                <w:rFonts w:ascii="Times New Roman" w:eastAsia="Times New Roman" w:hAnsi="Times New Roman" w:cs="Times New Roman"/>
                <w:b/>
                <w:lang w:val="sq-AL"/>
              </w:rPr>
              <w:t>e</w:t>
            </w:r>
            <w:r w:rsidRPr="00CD2C3A">
              <w:rPr>
                <w:rFonts w:ascii="Times New Roman" w:eastAsia="Times New Roman" w:hAnsi="Times New Roman" w:cs="Times New Roman"/>
                <w:b/>
                <w:spacing w:val="1"/>
                <w:lang w:val="sq-AL"/>
              </w:rPr>
              <w:t xml:space="preserve"> </w:t>
            </w:r>
            <w:r w:rsidRPr="00CD2C3A">
              <w:rPr>
                <w:rFonts w:ascii="Times New Roman" w:eastAsia="Times New Roman" w:hAnsi="Times New Roman" w:cs="Times New Roman"/>
                <w:b/>
                <w:lang w:val="sq-AL"/>
              </w:rPr>
              <w:t>stacioneve</w:t>
            </w:r>
            <w:r w:rsidRPr="00CD2C3A">
              <w:rPr>
                <w:rFonts w:ascii="Times New Roman" w:eastAsia="Times New Roman" w:hAnsi="Times New Roman" w:cs="Times New Roman"/>
                <w:b/>
                <w:spacing w:val="4"/>
                <w:lang w:val="sq-AL"/>
              </w:rPr>
              <w:t xml:space="preserve"> </w:t>
            </w:r>
            <w:r w:rsidRPr="00CD2C3A">
              <w:rPr>
                <w:rFonts w:ascii="Times New Roman" w:eastAsia="Times New Roman" w:hAnsi="Times New Roman" w:cs="Times New Roman"/>
                <w:b/>
                <w:lang w:val="sq-AL"/>
              </w:rPr>
              <w:t>%</w:t>
            </w:r>
          </w:p>
        </w:tc>
      </w:tr>
      <w:tr w:rsidR="00E95EB4" w:rsidRPr="00CD2C3A" w:rsidTr="00CD2C3A">
        <w:trPr>
          <w:trHeight w:val="435"/>
        </w:trPr>
        <w:tc>
          <w:tcPr>
            <w:tcW w:w="1081" w:type="dxa"/>
          </w:tcPr>
          <w:p w:rsidR="00DD196F" w:rsidRPr="00CD2C3A" w:rsidRDefault="00DD196F" w:rsidP="00DD196F">
            <w:pPr>
              <w:widowControl w:val="0"/>
              <w:autoSpaceDE w:val="0"/>
              <w:autoSpaceDN w:val="0"/>
              <w:spacing w:before="80" w:after="0" w:line="240" w:lineRule="auto"/>
              <w:ind w:left="7"/>
              <w:jc w:val="center"/>
              <w:rPr>
                <w:rFonts w:ascii="Times New Roman" w:eastAsia="Times New Roman" w:hAnsi="Times New Roman" w:cs="Times New Roman"/>
                <w:lang w:val="sq-AL"/>
              </w:rPr>
            </w:pPr>
            <w:r w:rsidRPr="00CD2C3A">
              <w:rPr>
                <w:rFonts w:ascii="Times New Roman" w:eastAsia="Times New Roman" w:hAnsi="Times New Roman" w:cs="Times New Roman"/>
                <w:w w:val="102"/>
                <w:lang w:val="sq-AL"/>
              </w:rPr>
              <w:t>1</w:t>
            </w:r>
          </w:p>
        </w:tc>
        <w:tc>
          <w:tcPr>
            <w:tcW w:w="2368" w:type="dxa"/>
          </w:tcPr>
          <w:p w:rsidR="00DD196F" w:rsidRPr="00CD2C3A" w:rsidRDefault="00DD196F" w:rsidP="00DD196F">
            <w:pPr>
              <w:widowControl w:val="0"/>
              <w:autoSpaceDE w:val="0"/>
              <w:autoSpaceDN w:val="0"/>
              <w:spacing w:before="80" w:after="0" w:line="240" w:lineRule="auto"/>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Lin</w:t>
            </w:r>
            <w:r w:rsidRPr="00CD2C3A">
              <w:rPr>
                <w:rFonts w:ascii="Times New Roman" w:eastAsia="Times New Roman" w:hAnsi="Times New Roman" w:cs="Times New Roman"/>
                <w:spacing w:val="10"/>
                <w:lang w:val="sq-AL"/>
              </w:rPr>
              <w:t xml:space="preserve"> </w:t>
            </w:r>
            <w:r w:rsidRPr="00CD2C3A">
              <w:rPr>
                <w:rFonts w:ascii="Times New Roman" w:eastAsia="Times New Roman" w:hAnsi="Times New Roman" w:cs="Times New Roman"/>
                <w:lang w:val="sq-AL"/>
              </w:rPr>
              <w:t>Hotel-Resort</w:t>
            </w:r>
            <w:r w:rsidRPr="00CD2C3A">
              <w:rPr>
                <w:rFonts w:ascii="Times New Roman" w:eastAsia="Times New Roman" w:hAnsi="Times New Roman" w:cs="Times New Roman"/>
                <w:spacing w:val="11"/>
                <w:lang w:val="sq-AL"/>
              </w:rPr>
              <w:t xml:space="preserve"> </w:t>
            </w:r>
            <w:r w:rsidRPr="00CD2C3A">
              <w:rPr>
                <w:rFonts w:ascii="Times New Roman" w:eastAsia="Times New Roman" w:hAnsi="Times New Roman" w:cs="Times New Roman"/>
                <w:lang w:val="sq-AL"/>
              </w:rPr>
              <w:t>Relaks</w:t>
            </w:r>
          </w:p>
        </w:tc>
        <w:tc>
          <w:tcPr>
            <w:tcW w:w="1152" w:type="dxa"/>
          </w:tcPr>
          <w:p w:rsidR="00DD196F" w:rsidRPr="00CD2C3A" w:rsidRDefault="00DD196F" w:rsidP="00DD196F">
            <w:pPr>
              <w:widowControl w:val="0"/>
              <w:autoSpaceDE w:val="0"/>
              <w:autoSpaceDN w:val="0"/>
              <w:spacing w:before="7" w:after="0" w:line="240" w:lineRule="auto"/>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63</w:t>
            </w:r>
          </w:p>
        </w:tc>
        <w:tc>
          <w:tcPr>
            <w:tcW w:w="1227" w:type="dxa"/>
          </w:tcPr>
          <w:p w:rsidR="00DD196F" w:rsidRPr="00CD2C3A" w:rsidRDefault="00DD196F" w:rsidP="00DD196F">
            <w:pPr>
              <w:widowControl w:val="0"/>
              <w:autoSpaceDE w:val="0"/>
              <w:autoSpaceDN w:val="0"/>
              <w:spacing w:before="7" w:after="0" w:line="240" w:lineRule="auto"/>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52</w:t>
            </w:r>
          </w:p>
        </w:tc>
        <w:tc>
          <w:tcPr>
            <w:tcW w:w="1026" w:type="dxa"/>
          </w:tcPr>
          <w:p w:rsidR="00DD196F" w:rsidRPr="00CD2C3A" w:rsidRDefault="00DD196F" w:rsidP="00DD196F">
            <w:pPr>
              <w:widowControl w:val="0"/>
              <w:autoSpaceDE w:val="0"/>
              <w:autoSpaceDN w:val="0"/>
              <w:spacing w:before="6" w:after="0" w:line="240" w:lineRule="auto"/>
              <w:ind w:left="74"/>
              <w:rPr>
                <w:rFonts w:ascii="Times New Roman" w:eastAsia="Times New Roman" w:hAnsi="Times New Roman" w:cs="Times New Roman"/>
                <w:lang w:val="sq-AL"/>
              </w:rPr>
            </w:pPr>
            <w:r w:rsidRPr="00CD2C3A">
              <w:rPr>
                <w:rFonts w:ascii="Times New Roman" w:eastAsia="Times New Roman" w:hAnsi="Times New Roman" w:cs="Times New Roman"/>
                <w:lang w:val="sq-AL"/>
              </w:rPr>
              <w:t>A</w:t>
            </w:r>
          </w:p>
        </w:tc>
        <w:tc>
          <w:tcPr>
            <w:tcW w:w="1676" w:type="dxa"/>
            <w:vMerge w:val="restart"/>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b/>
                <w:lang w:val="sq-AL"/>
              </w:rPr>
            </w:pPr>
          </w:p>
          <w:p w:rsidR="00DD196F" w:rsidRPr="00CD2C3A" w:rsidRDefault="00DD196F" w:rsidP="00DD196F">
            <w:pPr>
              <w:widowControl w:val="0"/>
              <w:autoSpaceDE w:val="0"/>
              <w:autoSpaceDN w:val="0"/>
              <w:spacing w:after="0" w:line="244" w:lineRule="auto"/>
              <w:ind w:left="73" w:right="140"/>
              <w:rPr>
                <w:rFonts w:ascii="Times New Roman" w:eastAsia="Times New Roman" w:hAnsi="Times New Roman" w:cs="Times New Roman"/>
                <w:lang w:val="sq-AL"/>
              </w:rPr>
            </w:pPr>
            <w:r w:rsidRPr="00CD2C3A">
              <w:rPr>
                <w:rFonts w:ascii="Times New Roman" w:eastAsia="Times New Roman" w:hAnsi="Times New Roman" w:cs="Times New Roman"/>
                <w:lang w:val="sq-AL"/>
              </w:rPr>
              <w:t>25%</w:t>
            </w:r>
            <w:r w:rsidRPr="00CD2C3A">
              <w:rPr>
                <w:rFonts w:ascii="Times New Roman" w:eastAsia="Times New Roman" w:hAnsi="Times New Roman" w:cs="Times New Roman"/>
                <w:spacing w:val="4"/>
                <w:lang w:val="sq-AL"/>
              </w:rPr>
              <w:t xml:space="preserve"> </w:t>
            </w:r>
            <w:r w:rsidRPr="00CD2C3A">
              <w:rPr>
                <w:rFonts w:ascii="Times New Roman" w:eastAsia="Times New Roman" w:hAnsi="Times New Roman" w:cs="Times New Roman"/>
                <w:lang w:val="sq-AL"/>
              </w:rPr>
              <w:t>,</w:t>
            </w:r>
            <w:r w:rsidRPr="00CD2C3A">
              <w:rPr>
                <w:rFonts w:ascii="Times New Roman" w:eastAsia="Times New Roman" w:hAnsi="Times New Roman" w:cs="Times New Roman"/>
                <w:spacing w:val="4"/>
                <w:lang w:val="sq-AL"/>
              </w:rPr>
              <w:t xml:space="preserve"> </w:t>
            </w:r>
            <w:r w:rsidRPr="00CD2C3A">
              <w:rPr>
                <w:rFonts w:ascii="Times New Roman" w:eastAsia="Times New Roman" w:hAnsi="Times New Roman" w:cs="Times New Roman"/>
                <w:lang w:val="sq-AL"/>
              </w:rPr>
              <w:t>A-</w:t>
            </w:r>
            <w:r w:rsidRPr="00CD2C3A">
              <w:rPr>
                <w:rFonts w:ascii="Times New Roman" w:eastAsia="Times New Roman" w:hAnsi="Times New Roman" w:cs="Times New Roman"/>
                <w:spacing w:val="4"/>
                <w:lang w:val="sq-AL"/>
              </w:rPr>
              <w:t xml:space="preserve"> </w:t>
            </w:r>
            <w:r w:rsidRPr="00CD2C3A">
              <w:rPr>
                <w:rFonts w:ascii="Times New Roman" w:eastAsia="Times New Roman" w:hAnsi="Times New Roman" w:cs="Times New Roman"/>
                <w:lang w:val="sq-AL"/>
              </w:rPr>
              <w:t>Cilësi</w:t>
            </w:r>
            <w:r w:rsidRPr="00CD2C3A">
              <w:rPr>
                <w:rFonts w:ascii="Times New Roman" w:eastAsia="Times New Roman" w:hAnsi="Times New Roman" w:cs="Times New Roman"/>
                <w:spacing w:val="-44"/>
                <w:lang w:val="sq-AL"/>
              </w:rPr>
              <w:t xml:space="preserve"> </w:t>
            </w:r>
            <w:r w:rsidRPr="00CD2C3A">
              <w:rPr>
                <w:rFonts w:ascii="Times New Roman" w:eastAsia="Times New Roman" w:hAnsi="Times New Roman" w:cs="Times New Roman"/>
                <w:lang w:val="sq-AL"/>
              </w:rPr>
              <w:t>e</w:t>
            </w:r>
            <w:r w:rsidRPr="00CD2C3A">
              <w:rPr>
                <w:rFonts w:ascii="Times New Roman" w:eastAsia="Times New Roman" w:hAnsi="Times New Roman" w:cs="Times New Roman"/>
                <w:spacing w:val="2"/>
                <w:lang w:val="sq-AL"/>
              </w:rPr>
              <w:t xml:space="preserve"> </w:t>
            </w:r>
            <w:r w:rsidRPr="00CD2C3A">
              <w:rPr>
                <w:rFonts w:ascii="Times New Roman" w:eastAsia="Times New Roman" w:hAnsi="Times New Roman" w:cs="Times New Roman"/>
                <w:lang w:val="sq-AL"/>
              </w:rPr>
              <w:t>shkëlqyer</w:t>
            </w:r>
          </w:p>
          <w:p w:rsidR="00DD196F" w:rsidRPr="00CD2C3A" w:rsidRDefault="00DD196F" w:rsidP="00DD196F">
            <w:pPr>
              <w:widowControl w:val="0"/>
              <w:autoSpaceDE w:val="0"/>
              <w:autoSpaceDN w:val="0"/>
              <w:spacing w:before="6" w:after="0" w:line="240" w:lineRule="auto"/>
              <w:rPr>
                <w:rFonts w:ascii="Times New Roman" w:eastAsia="Times New Roman" w:hAnsi="Times New Roman" w:cs="Times New Roman"/>
                <w:b/>
                <w:lang w:val="sq-AL"/>
              </w:rPr>
            </w:pPr>
          </w:p>
          <w:p w:rsidR="00DD196F" w:rsidRPr="00CD2C3A" w:rsidRDefault="00DD196F" w:rsidP="00DD196F">
            <w:pPr>
              <w:widowControl w:val="0"/>
              <w:autoSpaceDE w:val="0"/>
              <w:autoSpaceDN w:val="0"/>
              <w:spacing w:after="0" w:line="244" w:lineRule="auto"/>
              <w:ind w:left="73" w:right="140"/>
              <w:rPr>
                <w:rFonts w:ascii="Times New Roman" w:eastAsia="Times New Roman" w:hAnsi="Times New Roman" w:cs="Times New Roman"/>
                <w:lang w:val="sq-AL"/>
              </w:rPr>
            </w:pPr>
            <w:r w:rsidRPr="00CD2C3A">
              <w:rPr>
                <w:rFonts w:ascii="Times New Roman" w:eastAsia="Times New Roman" w:hAnsi="Times New Roman" w:cs="Times New Roman"/>
                <w:lang w:val="sq-AL"/>
              </w:rPr>
              <w:t>12.5%,</w:t>
            </w:r>
            <w:r w:rsidRPr="00CD2C3A">
              <w:rPr>
                <w:rFonts w:ascii="Times New Roman" w:eastAsia="Times New Roman" w:hAnsi="Times New Roman" w:cs="Times New Roman"/>
                <w:spacing w:val="3"/>
                <w:lang w:val="sq-AL"/>
              </w:rPr>
              <w:t xml:space="preserve"> </w:t>
            </w:r>
            <w:r w:rsidRPr="00CD2C3A">
              <w:rPr>
                <w:rFonts w:ascii="Times New Roman" w:eastAsia="Times New Roman" w:hAnsi="Times New Roman" w:cs="Times New Roman"/>
                <w:lang w:val="sq-AL"/>
              </w:rPr>
              <w:t>B-</w:t>
            </w:r>
            <w:r w:rsidRPr="00CD2C3A">
              <w:rPr>
                <w:rFonts w:ascii="Times New Roman" w:eastAsia="Times New Roman" w:hAnsi="Times New Roman" w:cs="Times New Roman"/>
                <w:spacing w:val="4"/>
                <w:lang w:val="sq-AL"/>
              </w:rPr>
              <w:t xml:space="preserve"> </w:t>
            </w:r>
            <w:r w:rsidRPr="00CD2C3A">
              <w:rPr>
                <w:rFonts w:ascii="Times New Roman" w:eastAsia="Times New Roman" w:hAnsi="Times New Roman" w:cs="Times New Roman"/>
                <w:lang w:val="sq-AL"/>
              </w:rPr>
              <w:t>Cilësi</w:t>
            </w:r>
            <w:r w:rsidRPr="00CD2C3A">
              <w:rPr>
                <w:rFonts w:ascii="Times New Roman" w:eastAsia="Times New Roman" w:hAnsi="Times New Roman" w:cs="Times New Roman"/>
                <w:spacing w:val="3"/>
                <w:lang w:val="sq-AL"/>
              </w:rPr>
              <w:t xml:space="preserve"> </w:t>
            </w:r>
            <w:r w:rsidRPr="00CD2C3A">
              <w:rPr>
                <w:rFonts w:ascii="Times New Roman" w:eastAsia="Times New Roman" w:hAnsi="Times New Roman" w:cs="Times New Roman"/>
                <w:lang w:val="sq-AL"/>
              </w:rPr>
              <w:t>e</w:t>
            </w:r>
            <w:r w:rsidRPr="00CD2C3A">
              <w:rPr>
                <w:rFonts w:ascii="Times New Roman" w:eastAsia="Times New Roman" w:hAnsi="Times New Roman" w:cs="Times New Roman"/>
                <w:spacing w:val="-44"/>
                <w:lang w:val="sq-AL"/>
              </w:rPr>
              <w:t xml:space="preserve"> </w:t>
            </w:r>
            <w:r w:rsidRPr="00CD2C3A">
              <w:rPr>
                <w:rFonts w:ascii="Times New Roman" w:eastAsia="Times New Roman" w:hAnsi="Times New Roman" w:cs="Times New Roman"/>
                <w:lang w:val="sq-AL"/>
              </w:rPr>
              <w:t>mirë</w:t>
            </w:r>
          </w:p>
          <w:p w:rsidR="00DD196F" w:rsidRPr="00CD2C3A" w:rsidRDefault="00DD196F" w:rsidP="00DD196F">
            <w:pPr>
              <w:widowControl w:val="0"/>
              <w:autoSpaceDE w:val="0"/>
              <w:autoSpaceDN w:val="0"/>
              <w:spacing w:before="6" w:after="0" w:line="240" w:lineRule="auto"/>
              <w:rPr>
                <w:rFonts w:ascii="Times New Roman" w:eastAsia="Times New Roman" w:hAnsi="Times New Roman" w:cs="Times New Roman"/>
                <w:b/>
                <w:lang w:val="sq-AL"/>
              </w:rPr>
            </w:pPr>
          </w:p>
          <w:p w:rsidR="00DD196F" w:rsidRPr="00CD2C3A" w:rsidRDefault="00DD196F" w:rsidP="00DD196F">
            <w:pPr>
              <w:widowControl w:val="0"/>
              <w:autoSpaceDE w:val="0"/>
              <w:autoSpaceDN w:val="0"/>
              <w:spacing w:after="0" w:line="244" w:lineRule="auto"/>
              <w:ind w:left="73" w:right="200"/>
              <w:rPr>
                <w:rFonts w:ascii="Times New Roman" w:eastAsia="Times New Roman" w:hAnsi="Times New Roman" w:cs="Times New Roman"/>
                <w:lang w:val="sq-AL"/>
              </w:rPr>
            </w:pPr>
            <w:r w:rsidRPr="00CD2C3A">
              <w:rPr>
                <w:rFonts w:ascii="Times New Roman" w:eastAsia="Times New Roman" w:hAnsi="Times New Roman" w:cs="Times New Roman"/>
                <w:lang w:val="sq-AL"/>
              </w:rPr>
              <w:t>12.5%,</w:t>
            </w:r>
            <w:r w:rsidRPr="00CD2C3A">
              <w:rPr>
                <w:rFonts w:ascii="Times New Roman" w:eastAsia="Times New Roman" w:hAnsi="Times New Roman" w:cs="Times New Roman"/>
                <w:spacing w:val="5"/>
                <w:lang w:val="sq-AL"/>
              </w:rPr>
              <w:t xml:space="preserve"> </w:t>
            </w:r>
            <w:r w:rsidRPr="00CD2C3A">
              <w:rPr>
                <w:rFonts w:ascii="Times New Roman" w:eastAsia="Times New Roman" w:hAnsi="Times New Roman" w:cs="Times New Roman"/>
                <w:lang w:val="sq-AL"/>
              </w:rPr>
              <w:t>C-</w:t>
            </w:r>
            <w:r w:rsidRPr="00CD2C3A">
              <w:rPr>
                <w:rFonts w:ascii="Times New Roman" w:eastAsia="Times New Roman" w:hAnsi="Times New Roman" w:cs="Times New Roman"/>
                <w:spacing w:val="5"/>
                <w:lang w:val="sq-AL"/>
              </w:rPr>
              <w:t xml:space="preserve"> </w:t>
            </w:r>
            <w:r w:rsidRPr="00CD2C3A">
              <w:rPr>
                <w:rFonts w:ascii="Times New Roman" w:eastAsia="Times New Roman" w:hAnsi="Times New Roman" w:cs="Times New Roman"/>
                <w:lang w:val="sq-AL"/>
              </w:rPr>
              <w:t>Cilësi</w:t>
            </w:r>
            <w:r w:rsidRPr="00CD2C3A">
              <w:rPr>
                <w:rFonts w:ascii="Times New Roman" w:eastAsia="Times New Roman" w:hAnsi="Times New Roman" w:cs="Times New Roman"/>
                <w:spacing w:val="-44"/>
                <w:lang w:val="sq-AL"/>
              </w:rPr>
              <w:t xml:space="preserve"> </w:t>
            </w:r>
            <w:r w:rsidRPr="00CD2C3A">
              <w:rPr>
                <w:rFonts w:ascii="Times New Roman" w:eastAsia="Times New Roman" w:hAnsi="Times New Roman" w:cs="Times New Roman"/>
                <w:lang w:val="sq-AL"/>
              </w:rPr>
              <w:t>e</w:t>
            </w:r>
            <w:r w:rsidRPr="00CD2C3A">
              <w:rPr>
                <w:rFonts w:ascii="Times New Roman" w:eastAsia="Times New Roman" w:hAnsi="Times New Roman" w:cs="Times New Roman"/>
                <w:spacing w:val="5"/>
                <w:lang w:val="sq-AL"/>
              </w:rPr>
              <w:t xml:space="preserve"> </w:t>
            </w:r>
            <w:r w:rsidRPr="00CD2C3A">
              <w:rPr>
                <w:rFonts w:ascii="Times New Roman" w:eastAsia="Times New Roman" w:hAnsi="Times New Roman" w:cs="Times New Roman"/>
                <w:lang w:val="sq-AL"/>
              </w:rPr>
              <w:t>mjaftueshme</w:t>
            </w:r>
          </w:p>
          <w:p w:rsidR="00DD196F" w:rsidRPr="00CD2C3A" w:rsidRDefault="00DD196F" w:rsidP="00DD196F">
            <w:pPr>
              <w:widowControl w:val="0"/>
              <w:autoSpaceDE w:val="0"/>
              <w:autoSpaceDN w:val="0"/>
              <w:spacing w:before="6" w:after="0" w:line="240" w:lineRule="auto"/>
              <w:rPr>
                <w:rFonts w:ascii="Times New Roman" w:eastAsia="Times New Roman" w:hAnsi="Times New Roman" w:cs="Times New Roman"/>
                <w:b/>
                <w:lang w:val="sq-AL"/>
              </w:rPr>
            </w:pPr>
          </w:p>
          <w:p w:rsidR="00DD196F" w:rsidRPr="00CD2C3A" w:rsidRDefault="00DD196F" w:rsidP="00DD196F">
            <w:pPr>
              <w:widowControl w:val="0"/>
              <w:autoSpaceDE w:val="0"/>
              <w:autoSpaceDN w:val="0"/>
              <w:spacing w:after="0" w:line="244" w:lineRule="auto"/>
              <w:ind w:left="73" w:right="140"/>
              <w:rPr>
                <w:rFonts w:ascii="Times New Roman" w:eastAsia="Times New Roman" w:hAnsi="Times New Roman" w:cs="Times New Roman"/>
                <w:lang w:val="sq-AL"/>
              </w:rPr>
            </w:pPr>
            <w:r w:rsidRPr="00CD2C3A">
              <w:rPr>
                <w:rFonts w:ascii="Times New Roman" w:eastAsia="Times New Roman" w:hAnsi="Times New Roman" w:cs="Times New Roman"/>
                <w:lang w:val="sq-AL"/>
              </w:rPr>
              <w:t>50%,</w:t>
            </w:r>
            <w:r w:rsidRPr="00CD2C3A">
              <w:rPr>
                <w:rFonts w:ascii="Times New Roman" w:eastAsia="Times New Roman" w:hAnsi="Times New Roman" w:cs="Times New Roman"/>
                <w:spacing w:val="4"/>
                <w:lang w:val="sq-AL"/>
              </w:rPr>
              <w:t xml:space="preserve"> </w:t>
            </w:r>
            <w:r w:rsidRPr="00CD2C3A">
              <w:rPr>
                <w:rFonts w:ascii="Times New Roman" w:eastAsia="Times New Roman" w:hAnsi="Times New Roman" w:cs="Times New Roman"/>
                <w:lang w:val="sq-AL"/>
              </w:rPr>
              <w:t>D-Cilësi</w:t>
            </w:r>
            <w:r w:rsidRPr="00CD2C3A">
              <w:rPr>
                <w:rFonts w:ascii="Times New Roman" w:eastAsia="Times New Roman" w:hAnsi="Times New Roman" w:cs="Times New Roman"/>
                <w:spacing w:val="5"/>
                <w:lang w:val="sq-AL"/>
              </w:rPr>
              <w:t xml:space="preserve"> </w:t>
            </w:r>
            <w:r w:rsidRPr="00CD2C3A">
              <w:rPr>
                <w:rFonts w:ascii="Times New Roman" w:eastAsia="Times New Roman" w:hAnsi="Times New Roman" w:cs="Times New Roman"/>
                <w:lang w:val="sq-AL"/>
              </w:rPr>
              <w:t>e</w:t>
            </w:r>
            <w:r w:rsidRPr="00CD2C3A">
              <w:rPr>
                <w:rFonts w:ascii="Times New Roman" w:eastAsia="Times New Roman" w:hAnsi="Times New Roman" w:cs="Times New Roman"/>
                <w:spacing w:val="-44"/>
                <w:lang w:val="sq-AL"/>
              </w:rPr>
              <w:t xml:space="preserve"> </w:t>
            </w:r>
            <w:r w:rsidRPr="00CD2C3A">
              <w:rPr>
                <w:rFonts w:ascii="Times New Roman" w:eastAsia="Times New Roman" w:hAnsi="Times New Roman" w:cs="Times New Roman"/>
                <w:lang w:val="sq-AL"/>
              </w:rPr>
              <w:t>keqe</w:t>
            </w:r>
          </w:p>
        </w:tc>
      </w:tr>
      <w:tr w:rsidR="00E95EB4" w:rsidRPr="00CD2C3A" w:rsidTr="00CD2C3A">
        <w:trPr>
          <w:trHeight w:val="253"/>
        </w:trPr>
        <w:tc>
          <w:tcPr>
            <w:tcW w:w="1081" w:type="dxa"/>
          </w:tcPr>
          <w:p w:rsidR="00DD196F" w:rsidRPr="00CD2C3A" w:rsidRDefault="00DD196F" w:rsidP="00DD196F">
            <w:pPr>
              <w:widowControl w:val="0"/>
              <w:autoSpaceDE w:val="0"/>
              <w:autoSpaceDN w:val="0"/>
              <w:spacing w:after="0" w:line="198" w:lineRule="exact"/>
              <w:ind w:left="7"/>
              <w:jc w:val="center"/>
              <w:rPr>
                <w:rFonts w:ascii="Times New Roman" w:eastAsia="Times New Roman" w:hAnsi="Times New Roman" w:cs="Times New Roman"/>
                <w:lang w:val="sq-AL"/>
              </w:rPr>
            </w:pPr>
            <w:r w:rsidRPr="00CD2C3A">
              <w:rPr>
                <w:rFonts w:ascii="Times New Roman" w:eastAsia="Times New Roman" w:hAnsi="Times New Roman" w:cs="Times New Roman"/>
                <w:w w:val="102"/>
                <w:lang w:val="sq-AL"/>
              </w:rPr>
              <w:t>2</w:t>
            </w:r>
          </w:p>
        </w:tc>
        <w:tc>
          <w:tcPr>
            <w:tcW w:w="2368" w:type="dxa"/>
          </w:tcPr>
          <w:p w:rsidR="00DD196F" w:rsidRPr="00CD2C3A" w:rsidRDefault="00DD196F" w:rsidP="00DD196F">
            <w:pPr>
              <w:widowControl w:val="0"/>
              <w:autoSpaceDE w:val="0"/>
              <w:autoSpaceDN w:val="0"/>
              <w:spacing w:after="0" w:line="198"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Resort</w:t>
            </w:r>
            <w:r w:rsidRPr="00CD2C3A">
              <w:rPr>
                <w:rFonts w:ascii="Times New Roman" w:eastAsia="Times New Roman" w:hAnsi="Times New Roman" w:cs="Times New Roman"/>
                <w:spacing w:val="11"/>
                <w:lang w:val="sq-AL"/>
              </w:rPr>
              <w:t xml:space="preserve"> </w:t>
            </w:r>
            <w:r w:rsidRPr="00CD2C3A">
              <w:rPr>
                <w:rFonts w:ascii="Times New Roman" w:eastAsia="Times New Roman" w:hAnsi="Times New Roman" w:cs="Times New Roman"/>
                <w:lang w:val="sq-AL"/>
              </w:rPr>
              <w:t>Komplex</w:t>
            </w:r>
            <w:r w:rsidRPr="00CD2C3A">
              <w:rPr>
                <w:rFonts w:ascii="Times New Roman" w:eastAsia="Times New Roman" w:hAnsi="Times New Roman" w:cs="Times New Roman"/>
                <w:spacing w:val="12"/>
                <w:lang w:val="sq-AL"/>
              </w:rPr>
              <w:t xml:space="preserve"> </w:t>
            </w:r>
            <w:r w:rsidRPr="00CD2C3A">
              <w:rPr>
                <w:rFonts w:ascii="Times New Roman" w:eastAsia="Times New Roman" w:hAnsi="Times New Roman" w:cs="Times New Roman"/>
                <w:lang w:val="sq-AL"/>
              </w:rPr>
              <w:t>Lyhnida</w:t>
            </w:r>
          </w:p>
        </w:tc>
        <w:tc>
          <w:tcPr>
            <w:tcW w:w="1152" w:type="dxa"/>
          </w:tcPr>
          <w:p w:rsidR="00DD196F" w:rsidRPr="00CD2C3A" w:rsidRDefault="00DD196F" w:rsidP="00DD196F">
            <w:pPr>
              <w:widowControl w:val="0"/>
              <w:autoSpaceDE w:val="0"/>
              <w:autoSpaceDN w:val="0"/>
              <w:spacing w:after="0" w:line="198"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89</w:t>
            </w:r>
          </w:p>
        </w:tc>
        <w:tc>
          <w:tcPr>
            <w:tcW w:w="1227" w:type="dxa"/>
          </w:tcPr>
          <w:p w:rsidR="00DD196F" w:rsidRPr="00CD2C3A" w:rsidRDefault="00DD196F" w:rsidP="00DD196F">
            <w:pPr>
              <w:widowControl w:val="0"/>
              <w:autoSpaceDE w:val="0"/>
              <w:autoSpaceDN w:val="0"/>
              <w:spacing w:after="0" w:line="198"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130</w:t>
            </w:r>
          </w:p>
        </w:tc>
        <w:tc>
          <w:tcPr>
            <w:tcW w:w="1026" w:type="dxa"/>
          </w:tcPr>
          <w:p w:rsidR="00DD196F" w:rsidRPr="00CD2C3A" w:rsidRDefault="00DD196F" w:rsidP="00DD196F">
            <w:pPr>
              <w:widowControl w:val="0"/>
              <w:autoSpaceDE w:val="0"/>
              <w:autoSpaceDN w:val="0"/>
              <w:spacing w:after="0" w:line="198" w:lineRule="exact"/>
              <w:ind w:left="74"/>
              <w:rPr>
                <w:rFonts w:ascii="Times New Roman" w:eastAsia="Times New Roman" w:hAnsi="Times New Roman" w:cs="Times New Roman"/>
                <w:lang w:val="sq-AL"/>
              </w:rPr>
            </w:pPr>
            <w:r w:rsidRPr="00CD2C3A">
              <w:rPr>
                <w:rFonts w:ascii="Times New Roman" w:eastAsia="Times New Roman" w:hAnsi="Times New Roman" w:cs="Times New Roman"/>
                <w:lang w:val="sq-AL"/>
              </w:rPr>
              <w:t>A</w:t>
            </w:r>
          </w:p>
        </w:tc>
        <w:tc>
          <w:tcPr>
            <w:tcW w:w="1676"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r>
      <w:tr w:rsidR="00E95EB4" w:rsidRPr="00CD2C3A" w:rsidTr="00CD2C3A">
        <w:trPr>
          <w:trHeight w:val="253"/>
        </w:trPr>
        <w:tc>
          <w:tcPr>
            <w:tcW w:w="1081" w:type="dxa"/>
          </w:tcPr>
          <w:p w:rsidR="00DD196F" w:rsidRPr="00CD2C3A" w:rsidRDefault="00DD196F" w:rsidP="00DD196F">
            <w:pPr>
              <w:widowControl w:val="0"/>
              <w:autoSpaceDE w:val="0"/>
              <w:autoSpaceDN w:val="0"/>
              <w:spacing w:after="0" w:line="198" w:lineRule="exact"/>
              <w:ind w:left="7"/>
              <w:jc w:val="center"/>
              <w:rPr>
                <w:rFonts w:ascii="Times New Roman" w:eastAsia="Times New Roman" w:hAnsi="Times New Roman" w:cs="Times New Roman"/>
                <w:lang w:val="sq-AL"/>
              </w:rPr>
            </w:pPr>
            <w:r w:rsidRPr="00CD2C3A">
              <w:rPr>
                <w:rFonts w:ascii="Times New Roman" w:eastAsia="Times New Roman" w:hAnsi="Times New Roman" w:cs="Times New Roman"/>
                <w:w w:val="102"/>
                <w:lang w:val="sq-AL"/>
              </w:rPr>
              <w:t>3</w:t>
            </w:r>
          </w:p>
        </w:tc>
        <w:tc>
          <w:tcPr>
            <w:tcW w:w="2368" w:type="dxa"/>
          </w:tcPr>
          <w:p w:rsidR="00DD196F" w:rsidRPr="00CD2C3A" w:rsidRDefault="00DD196F" w:rsidP="00DD196F">
            <w:pPr>
              <w:widowControl w:val="0"/>
              <w:autoSpaceDE w:val="0"/>
              <w:autoSpaceDN w:val="0"/>
              <w:spacing w:after="0" w:line="198"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Dogana</w:t>
            </w:r>
            <w:r w:rsidRPr="00CD2C3A">
              <w:rPr>
                <w:rFonts w:ascii="Times New Roman" w:eastAsia="Times New Roman" w:hAnsi="Times New Roman" w:cs="Times New Roman"/>
                <w:spacing w:val="7"/>
                <w:lang w:val="sq-AL"/>
              </w:rPr>
              <w:t xml:space="preserve"> </w:t>
            </w:r>
            <w:r w:rsidRPr="00CD2C3A">
              <w:rPr>
                <w:rFonts w:ascii="Times New Roman" w:eastAsia="Times New Roman" w:hAnsi="Times New Roman" w:cs="Times New Roman"/>
                <w:lang w:val="sq-AL"/>
              </w:rPr>
              <w:t>–</w:t>
            </w:r>
            <w:r w:rsidRPr="00CD2C3A">
              <w:rPr>
                <w:rFonts w:ascii="Times New Roman" w:eastAsia="Times New Roman" w:hAnsi="Times New Roman" w:cs="Times New Roman"/>
                <w:spacing w:val="7"/>
                <w:lang w:val="sq-AL"/>
              </w:rPr>
              <w:t xml:space="preserve"> </w:t>
            </w:r>
            <w:r w:rsidRPr="00CD2C3A">
              <w:rPr>
                <w:rFonts w:ascii="Times New Roman" w:eastAsia="Times New Roman" w:hAnsi="Times New Roman" w:cs="Times New Roman"/>
                <w:lang w:val="sq-AL"/>
              </w:rPr>
              <w:t>pika</w:t>
            </w:r>
            <w:r w:rsidRPr="00CD2C3A">
              <w:rPr>
                <w:rFonts w:ascii="Times New Roman" w:eastAsia="Times New Roman" w:hAnsi="Times New Roman" w:cs="Times New Roman"/>
                <w:spacing w:val="7"/>
                <w:lang w:val="sq-AL"/>
              </w:rPr>
              <w:t xml:space="preserve"> </w:t>
            </w:r>
            <w:r w:rsidRPr="00CD2C3A">
              <w:rPr>
                <w:rFonts w:ascii="Times New Roman" w:eastAsia="Times New Roman" w:hAnsi="Times New Roman" w:cs="Times New Roman"/>
                <w:lang w:val="sq-AL"/>
              </w:rPr>
              <w:t>e</w:t>
            </w:r>
            <w:r w:rsidRPr="00CD2C3A">
              <w:rPr>
                <w:rFonts w:ascii="Times New Roman" w:eastAsia="Times New Roman" w:hAnsi="Times New Roman" w:cs="Times New Roman"/>
                <w:spacing w:val="7"/>
                <w:lang w:val="sq-AL"/>
              </w:rPr>
              <w:t xml:space="preserve"> </w:t>
            </w:r>
            <w:r w:rsidRPr="00CD2C3A">
              <w:rPr>
                <w:rFonts w:ascii="Times New Roman" w:eastAsia="Times New Roman" w:hAnsi="Times New Roman" w:cs="Times New Roman"/>
                <w:lang w:val="sq-AL"/>
              </w:rPr>
              <w:t>Molit</w:t>
            </w:r>
          </w:p>
        </w:tc>
        <w:tc>
          <w:tcPr>
            <w:tcW w:w="1152" w:type="dxa"/>
          </w:tcPr>
          <w:p w:rsidR="00DD196F" w:rsidRPr="00CD2C3A" w:rsidRDefault="00DD196F" w:rsidP="00DD196F">
            <w:pPr>
              <w:widowControl w:val="0"/>
              <w:autoSpaceDE w:val="0"/>
              <w:autoSpaceDN w:val="0"/>
              <w:spacing w:after="0" w:line="198"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136</w:t>
            </w:r>
          </w:p>
        </w:tc>
        <w:tc>
          <w:tcPr>
            <w:tcW w:w="1227" w:type="dxa"/>
          </w:tcPr>
          <w:p w:rsidR="00DD196F" w:rsidRPr="00CD2C3A" w:rsidRDefault="00DD196F" w:rsidP="00DD196F">
            <w:pPr>
              <w:widowControl w:val="0"/>
              <w:autoSpaceDE w:val="0"/>
              <w:autoSpaceDN w:val="0"/>
              <w:spacing w:after="0" w:line="198"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238</w:t>
            </w:r>
          </w:p>
        </w:tc>
        <w:tc>
          <w:tcPr>
            <w:tcW w:w="1026" w:type="dxa"/>
          </w:tcPr>
          <w:p w:rsidR="00DD196F" w:rsidRPr="00CD2C3A" w:rsidRDefault="00DD196F" w:rsidP="00DD196F">
            <w:pPr>
              <w:widowControl w:val="0"/>
              <w:autoSpaceDE w:val="0"/>
              <w:autoSpaceDN w:val="0"/>
              <w:spacing w:after="0" w:line="198" w:lineRule="exact"/>
              <w:ind w:left="74"/>
              <w:rPr>
                <w:rFonts w:ascii="Times New Roman" w:eastAsia="Times New Roman" w:hAnsi="Times New Roman" w:cs="Times New Roman"/>
                <w:lang w:val="sq-AL"/>
              </w:rPr>
            </w:pPr>
            <w:r w:rsidRPr="00CD2C3A">
              <w:rPr>
                <w:rFonts w:ascii="Times New Roman" w:eastAsia="Times New Roman" w:hAnsi="Times New Roman" w:cs="Times New Roman"/>
                <w:lang w:val="sq-AL"/>
              </w:rPr>
              <w:t>B</w:t>
            </w:r>
          </w:p>
        </w:tc>
        <w:tc>
          <w:tcPr>
            <w:tcW w:w="1676"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r>
      <w:tr w:rsidR="00E95EB4" w:rsidRPr="00CD2C3A" w:rsidTr="00CD2C3A">
        <w:trPr>
          <w:trHeight w:val="242"/>
        </w:trPr>
        <w:tc>
          <w:tcPr>
            <w:tcW w:w="1081" w:type="dxa"/>
            <w:vMerge w:val="restart"/>
          </w:tcPr>
          <w:p w:rsidR="00DD196F" w:rsidRPr="00CD2C3A" w:rsidRDefault="00DD196F" w:rsidP="00DD196F">
            <w:pPr>
              <w:widowControl w:val="0"/>
              <w:autoSpaceDE w:val="0"/>
              <w:autoSpaceDN w:val="0"/>
              <w:spacing w:before="110" w:after="0" w:line="240" w:lineRule="auto"/>
              <w:ind w:left="7"/>
              <w:jc w:val="center"/>
              <w:rPr>
                <w:rFonts w:ascii="Times New Roman" w:eastAsia="Times New Roman" w:hAnsi="Times New Roman" w:cs="Times New Roman"/>
                <w:lang w:val="sq-AL"/>
              </w:rPr>
            </w:pPr>
            <w:r w:rsidRPr="00CD2C3A">
              <w:rPr>
                <w:rFonts w:ascii="Times New Roman" w:eastAsia="Times New Roman" w:hAnsi="Times New Roman" w:cs="Times New Roman"/>
                <w:w w:val="102"/>
                <w:lang w:val="sq-AL"/>
              </w:rPr>
              <w:t>4</w:t>
            </w:r>
          </w:p>
        </w:tc>
        <w:tc>
          <w:tcPr>
            <w:tcW w:w="2368" w:type="dxa"/>
          </w:tcPr>
          <w:p w:rsidR="00DD196F" w:rsidRPr="00CD2C3A" w:rsidRDefault="00DD196F" w:rsidP="00DD196F">
            <w:pPr>
              <w:widowControl w:val="0"/>
              <w:autoSpaceDE w:val="0"/>
              <w:autoSpaceDN w:val="0"/>
              <w:spacing w:after="0" w:line="188"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Hotel</w:t>
            </w:r>
            <w:r w:rsidRPr="00CD2C3A">
              <w:rPr>
                <w:rFonts w:ascii="Times New Roman" w:eastAsia="Times New Roman" w:hAnsi="Times New Roman" w:cs="Times New Roman"/>
                <w:spacing w:val="10"/>
                <w:lang w:val="sq-AL"/>
              </w:rPr>
              <w:t xml:space="preserve"> </w:t>
            </w:r>
            <w:r w:rsidRPr="00CD2C3A">
              <w:rPr>
                <w:rFonts w:ascii="Times New Roman" w:eastAsia="Times New Roman" w:hAnsi="Times New Roman" w:cs="Times New Roman"/>
                <w:lang w:val="sq-AL"/>
              </w:rPr>
              <w:t>Enkelana</w:t>
            </w:r>
          </w:p>
        </w:tc>
        <w:tc>
          <w:tcPr>
            <w:tcW w:w="1152" w:type="dxa"/>
            <w:vMerge w:val="restart"/>
          </w:tcPr>
          <w:p w:rsidR="00DD196F" w:rsidRPr="00CD2C3A" w:rsidRDefault="00DD196F" w:rsidP="00DD196F">
            <w:pPr>
              <w:widowControl w:val="0"/>
              <w:autoSpaceDE w:val="0"/>
              <w:autoSpaceDN w:val="0"/>
              <w:spacing w:before="76" w:after="0" w:line="240" w:lineRule="auto"/>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408</w:t>
            </w:r>
          </w:p>
        </w:tc>
        <w:tc>
          <w:tcPr>
            <w:tcW w:w="1227" w:type="dxa"/>
            <w:vMerge w:val="restart"/>
          </w:tcPr>
          <w:p w:rsidR="00DD196F" w:rsidRPr="00CD2C3A" w:rsidRDefault="00DD196F" w:rsidP="00DD196F">
            <w:pPr>
              <w:widowControl w:val="0"/>
              <w:autoSpaceDE w:val="0"/>
              <w:autoSpaceDN w:val="0"/>
              <w:spacing w:before="76" w:after="0" w:line="240" w:lineRule="auto"/>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499</w:t>
            </w:r>
          </w:p>
        </w:tc>
        <w:tc>
          <w:tcPr>
            <w:tcW w:w="1026" w:type="dxa"/>
          </w:tcPr>
          <w:p w:rsidR="00DD196F" w:rsidRPr="00CD2C3A" w:rsidRDefault="00DD196F" w:rsidP="00DD196F">
            <w:pPr>
              <w:widowControl w:val="0"/>
              <w:autoSpaceDE w:val="0"/>
              <w:autoSpaceDN w:val="0"/>
              <w:spacing w:after="0" w:line="188" w:lineRule="exact"/>
              <w:ind w:left="74"/>
              <w:rPr>
                <w:rFonts w:ascii="Times New Roman" w:eastAsia="Times New Roman" w:hAnsi="Times New Roman" w:cs="Times New Roman"/>
                <w:lang w:val="sq-AL"/>
              </w:rPr>
            </w:pPr>
            <w:r w:rsidRPr="00CD2C3A">
              <w:rPr>
                <w:rFonts w:ascii="Times New Roman" w:eastAsia="Times New Roman" w:hAnsi="Times New Roman" w:cs="Times New Roman"/>
                <w:lang w:val="sq-AL"/>
              </w:rPr>
              <w:t>C</w:t>
            </w:r>
          </w:p>
        </w:tc>
        <w:tc>
          <w:tcPr>
            <w:tcW w:w="1676"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r>
      <w:tr w:rsidR="00E95EB4" w:rsidRPr="00CD2C3A" w:rsidTr="00CD2C3A">
        <w:trPr>
          <w:trHeight w:val="237"/>
        </w:trPr>
        <w:tc>
          <w:tcPr>
            <w:tcW w:w="1081"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c>
          <w:tcPr>
            <w:tcW w:w="2368" w:type="dxa"/>
          </w:tcPr>
          <w:p w:rsidR="00DD196F" w:rsidRPr="00CD2C3A" w:rsidRDefault="00DD196F" w:rsidP="00DD196F">
            <w:pPr>
              <w:widowControl w:val="0"/>
              <w:autoSpaceDE w:val="0"/>
              <w:autoSpaceDN w:val="0"/>
              <w:spacing w:after="0" w:line="184"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(Ish</w:t>
            </w:r>
            <w:r w:rsidRPr="00CD2C3A">
              <w:rPr>
                <w:rFonts w:ascii="Times New Roman" w:eastAsia="Times New Roman" w:hAnsi="Times New Roman" w:cs="Times New Roman"/>
                <w:spacing w:val="7"/>
                <w:lang w:val="sq-AL"/>
              </w:rPr>
              <w:t xml:space="preserve"> </w:t>
            </w:r>
            <w:r w:rsidRPr="00CD2C3A">
              <w:rPr>
                <w:rFonts w:ascii="Times New Roman" w:eastAsia="Times New Roman" w:hAnsi="Times New Roman" w:cs="Times New Roman"/>
                <w:lang w:val="sq-AL"/>
              </w:rPr>
              <w:t>Turizmi</w:t>
            </w:r>
            <w:r w:rsidRPr="00CD2C3A">
              <w:rPr>
                <w:rFonts w:ascii="Times New Roman" w:eastAsia="Times New Roman" w:hAnsi="Times New Roman" w:cs="Times New Roman"/>
                <w:spacing w:val="7"/>
                <w:lang w:val="sq-AL"/>
              </w:rPr>
              <w:t xml:space="preserve"> </w:t>
            </w:r>
            <w:r w:rsidRPr="00CD2C3A">
              <w:rPr>
                <w:rFonts w:ascii="Times New Roman" w:eastAsia="Times New Roman" w:hAnsi="Times New Roman" w:cs="Times New Roman"/>
                <w:lang w:val="sq-AL"/>
              </w:rPr>
              <w:t>i</w:t>
            </w:r>
            <w:r w:rsidRPr="00CD2C3A">
              <w:rPr>
                <w:rFonts w:ascii="Times New Roman" w:eastAsia="Times New Roman" w:hAnsi="Times New Roman" w:cs="Times New Roman"/>
                <w:spacing w:val="7"/>
                <w:lang w:val="sq-AL"/>
              </w:rPr>
              <w:t xml:space="preserve"> </w:t>
            </w:r>
            <w:r w:rsidRPr="00CD2C3A">
              <w:rPr>
                <w:rFonts w:ascii="Times New Roman" w:eastAsia="Times New Roman" w:hAnsi="Times New Roman" w:cs="Times New Roman"/>
                <w:lang w:val="sq-AL"/>
              </w:rPr>
              <w:t>vjetër)</w:t>
            </w:r>
          </w:p>
        </w:tc>
        <w:tc>
          <w:tcPr>
            <w:tcW w:w="1152"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c>
          <w:tcPr>
            <w:tcW w:w="1227"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c>
          <w:tcPr>
            <w:tcW w:w="1026" w:type="dxa"/>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c>
          <w:tcPr>
            <w:tcW w:w="1676"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r>
      <w:tr w:rsidR="00E95EB4" w:rsidRPr="00CD2C3A" w:rsidTr="00CD2C3A">
        <w:trPr>
          <w:trHeight w:val="253"/>
        </w:trPr>
        <w:tc>
          <w:tcPr>
            <w:tcW w:w="1081" w:type="dxa"/>
          </w:tcPr>
          <w:p w:rsidR="00DD196F" w:rsidRPr="00CD2C3A" w:rsidRDefault="00DD196F" w:rsidP="00DD196F">
            <w:pPr>
              <w:widowControl w:val="0"/>
              <w:autoSpaceDE w:val="0"/>
              <w:autoSpaceDN w:val="0"/>
              <w:spacing w:after="0" w:line="198" w:lineRule="exact"/>
              <w:ind w:left="7"/>
              <w:jc w:val="center"/>
              <w:rPr>
                <w:rFonts w:ascii="Times New Roman" w:eastAsia="Times New Roman" w:hAnsi="Times New Roman" w:cs="Times New Roman"/>
                <w:lang w:val="sq-AL"/>
              </w:rPr>
            </w:pPr>
            <w:r w:rsidRPr="00CD2C3A">
              <w:rPr>
                <w:rFonts w:ascii="Times New Roman" w:eastAsia="Times New Roman" w:hAnsi="Times New Roman" w:cs="Times New Roman"/>
                <w:w w:val="102"/>
                <w:lang w:val="sq-AL"/>
              </w:rPr>
              <w:t>5</w:t>
            </w:r>
          </w:p>
        </w:tc>
        <w:tc>
          <w:tcPr>
            <w:tcW w:w="2368" w:type="dxa"/>
          </w:tcPr>
          <w:p w:rsidR="00DD196F" w:rsidRPr="00CD2C3A" w:rsidRDefault="00DD196F" w:rsidP="00DD196F">
            <w:pPr>
              <w:widowControl w:val="0"/>
              <w:autoSpaceDE w:val="0"/>
              <w:autoSpaceDN w:val="0"/>
              <w:spacing w:after="0" w:line="198"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Hotel</w:t>
            </w:r>
            <w:r w:rsidRPr="00CD2C3A">
              <w:rPr>
                <w:rFonts w:ascii="Times New Roman" w:eastAsia="Times New Roman" w:hAnsi="Times New Roman" w:cs="Times New Roman"/>
                <w:spacing w:val="5"/>
                <w:lang w:val="sq-AL"/>
              </w:rPr>
              <w:t xml:space="preserve"> </w:t>
            </w:r>
            <w:r w:rsidRPr="00CD2C3A">
              <w:rPr>
                <w:rFonts w:ascii="Times New Roman" w:eastAsia="Times New Roman" w:hAnsi="Times New Roman" w:cs="Times New Roman"/>
                <w:lang w:val="sq-AL"/>
              </w:rPr>
              <w:t>1</w:t>
            </w:r>
            <w:r w:rsidRPr="00CD2C3A">
              <w:rPr>
                <w:rFonts w:ascii="Times New Roman" w:eastAsia="Times New Roman" w:hAnsi="Times New Roman" w:cs="Times New Roman"/>
                <w:spacing w:val="6"/>
                <w:lang w:val="sq-AL"/>
              </w:rPr>
              <w:t xml:space="preserve"> </w:t>
            </w:r>
            <w:r w:rsidRPr="00CD2C3A">
              <w:rPr>
                <w:rFonts w:ascii="Times New Roman" w:eastAsia="Times New Roman" w:hAnsi="Times New Roman" w:cs="Times New Roman"/>
                <w:lang w:val="sq-AL"/>
              </w:rPr>
              <w:t>Maj</w:t>
            </w:r>
          </w:p>
        </w:tc>
        <w:tc>
          <w:tcPr>
            <w:tcW w:w="1152" w:type="dxa"/>
          </w:tcPr>
          <w:p w:rsidR="00DD196F" w:rsidRPr="00CD2C3A" w:rsidRDefault="00DD196F" w:rsidP="00DD196F">
            <w:pPr>
              <w:widowControl w:val="0"/>
              <w:autoSpaceDE w:val="0"/>
              <w:autoSpaceDN w:val="0"/>
              <w:spacing w:after="0" w:line="198"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602</w:t>
            </w:r>
          </w:p>
        </w:tc>
        <w:tc>
          <w:tcPr>
            <w:tcW w:w="1227" w:type="dxa"/>
          </w:tcPr>
          <w:p w:rsidR="00DD196F" w:rsidRPr="00CD2C3A" w:rsidRDefault="00DD196F" w:rsidP="00DD196F">
            <w:pPr>
              <w:widowControl w:val="0"/>
              <w:autoSpaceDE w:val="0"/>
              <w:autoSpaceDN w:val="0"/>
              <w:spacing w:after="0" w:line="198"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1149</w:t>
            </w:r>
          </w:p>
        </w:tc>
        <w:tc>
          <w:tcPr>
            <w:tcW w:w="1026" w:type="dxa"/>
          </w:tcPr>
          <w:p w:rsidR="00DD196F" w:rsidRPr="00CD2C3A" w:rsidRDefault="00DD196F" w:rsidP="00DD196F">
            <w:pPr>
              <w:widowControl w:val="0"/>
              <w:autoSpaceDE w:val="0"/>
              <w:autoSpaceDN w:val="0"/>
              <w:spacing w:after="0" w:line="198" w:lineRule="exact"/>
              <w:ind w:left="74"/>
              <w:rPr>
                <w:rFonts w:ascii="Times New Roman" w:eastAsia="Times New Roman" w:hAnsi="Times New Roman" w:cs="Times New Roman"/>
                <w:lang w:val="sq-AL"/>
              </w:rPr>
            </w:pPr>
            <w:r w:rsidRPr="00CD2C3A">
              <w:rPr>
                <w:rFonts w:ascii="Times New Roman" w:eastAsia="Times New Roman" w:hAnsi="Times New Roman" w:cs="Times New Roman"/>
                <w:lang w:val="sq-AL"/>
              </w:rPr>
              <w:t>D</w:t>
            </w:r>
          </w:p>
        </w:tc>
        <w:tc>
          <w:tcPr>
            <w:tcW w:w="1676"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r>
      <w:tr w:rsidR="00E95EB4" w:rsidRPr="00CD2C3A" w:rsidTr="00CD2C3A">
        <w:trPr>
          <w:trHeight w:val="242"/>
        </w:trPr>
        <w:tc>
          <w:tcPr>
            <w:tcW w:w="1081" w:type="dxa"/>
            <w:vMerge w:val="restart"/>
          </w:tcPr>
          <w:p w:rsidR="00DD196F" w:rsidRPr="00CD2C3A" w:rsidRDefault="00DD196F" w:rsidP="00DD196F">
            <w:pPr>
              <w:widowControl w:val="0"/>
              <w:autoSpaceDE w:val="0"/>
              <w:autoSpaceDN w:val="0"/>
              <w:spacing w:before="110" w:after="0" w:line="240" w:lineRule="auto"/>
              <w:ind w:left="7"/>
              <w:jc w:val="center"/>
              <w:rPr>
                <w:rFonts w:ascii="Times New Roman" w:eastAsia="Times New Roman" w:hAnsi="Times New Roman" w:cs="Times New Roman"/>
                <w:lang w:val="sq-AL"/>
              </w:rPr>
            </w:pPr>
            <w:r w:rsidRPr="00CD2C3A">
              <w:rPr>
                <w:rFonts w:ascii="Times New Roman" w:eastAsia="Times New Roman" w:hAnsi="Times New Roman" w:cs="Times New Roman"/>
                <w:w w:val="102"/>
                <w:lang w:val="sq-AL"/>
              </w:rPr>
              <w:t>6</w:t>
            </w:r>
          </w:p>
        </w:tc>
        <w:tc>
          <w:tcPr>
            <w:tcW w:w="2368" w:type="dxa"/>
          </w:tcPr>
          <w:p w:rsidR="00DD196F" w:rsidRPr="00CD2C3A" w:rsidRDefault="00DD196F" w:rsidP="00DD196F">
            <w:pPr>
              <w:widowControl w:val="0"/>
              <w:autoSpaceDE w:val="0"/>
              <w:autoSpaceDN w:val="0"/>
              <w:spacing w:after="0" w:line="188"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Tushemisht</w:t>
            </w:r>
            <w:r w:rsidRPr="00CD2C3A">
              <w:rPr>
                <w:rFonts w:ascii="Times New Roman" w:eastAsia="Times New Roman" w:hAnsi="Times New Roman" w:cs="Times New Roman"/>
                <w:spacing w:val="12"/>
                <w:lang w:val="sq-AL"/>
              </w:rPr>
              <w:t xml:space="preserve"> </w:t>
            </w:r>
            <w:r w:rsidRPr="00CD2C3A">
              <w:rPr>
                <w:rFonts w:ascii="Times New Roman" w:eastAsia="Times New Roman" w:hAnsi="Times New Roman" w:cs="Times New Roman"/>
                <w:lang w:val="sq-AL"/>
              </w:rPr>
              <w:t>Hotel</w:t>
            </w:r>
          </w:p>
        </w:tc>
        <w:tc>
          <w:tcPr>
            <w:tcW w:w="1152" w:type="dxa"/>
            <w:vMerge w:val="restart"/>
          </w:tcPr>
          <w:p w:rsidR="00DD196F" w:rsidRPr="00CD2C3A" w:rsidRDefault="00DD196F" w:rsidP="00DD196F">
            <w:pPr>
              <w:widowControl w:val="0"/>
              <w:autoSpaceDE w:val="0"/>
              <w:autoSpaceDN w:val="0"/>
              <w:spacing w:before="76" w:after="0" w:line="240" w:lineRule="auto"/>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376</w:t>
            </w:r>
          </w:p>
        </w:tc>
        <w:tc>
          <w:tcPr>
            <w:tcW w:w="1227" w:type="dxa"/>
            <w:vMerge w:val="restart"/>
          </w:tcPr>
          <w:p w:rsidR="00DD196F" w:rsidRPr="00CD2C3A" w:rsidRDefault="00DD196F" w:rsidP="00DD196F">
            <w:pPr>
              <w:widowControl w:val="0"/>
              <w:autoSpaceDE w:val="0"/>
              <w:autoSpaceDN w:val="0"/>
              <w:spacing w:before="76" w:after="0" w:line="240" w:lineRule="auto"/>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1184</w:t>
            </w:r>
          </w:p>
        </w:tc>
        <w:tc>
          <w:tcPr>
            <w:tcW w:w="1026" w:type="dxa"/>
          </w:tcPr>
          <w:p w:rsidR="00DD196F" w:rsidRPr="00CD2C3A" w:rsidRDefault="00DD196F" w:rsidP="00DD196F">
            <w:pPr>
              <w:widowControl w:val="0"/>
              <w:autoSpaceDE w:val="0"/>
              <w:autoSpaceDN w:val="0"/>
              <w:spacing w:after="0" w:line="188" w:lineRule="exact"/>
              <w:ind w:left="74"/>
              <w:rPr>
                <w:rFonts w:ascii="Times New Roman" w:eastAsia="Times New Roman" w:hAnsi="Times New Roman" w:cs="Times New Roman"/>
                <w:lang w:val="sq-AL"/>
              </w:rPr>
            </w:pPr>
            <w:r w:rsidRPr="00CD2C3A">
              <w:rPr>
                <w:rFonts w:ascii="Times New Roman" w:eastAsia="Times New Roman" w:hAnsi="Times New Roman" w:cs="Times New Roman"/>
                <w:lang w:val="sq-AL"/>
              </w:rPr>
              <w:t>D</w:t>
            </w:r>
          </w:p>
        </w:tc>
        <w:tc>
          <w:tcPr>
            <w:tcW w:w="1676"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r>
      <w:tr w:rsidR="00E95EB4" w:rsidRPr="00CD2C3A" w:rsidTr="00CD2C3A">
        <w:trPr>
          <w:trHeight w:val="237"/>
        </w:trPr>
        <w:tc>
          <w:tcPr>
            <w:tcW w:w="1081"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c>
          <w:tcPr>
            <w:tcW w:w="2368" w:type="dxa"/>
          </w:tcPr>
          <w:p w:rsidR="00DD196F" w:rsidRPr="00CD2C3A" w:rsidRDefault="00DD196F" w:rsidP="00DD196F">
            <w:pPr>
              <w:widowControl w:val="0"/>
              <w:autoSpaceDE w:val="0"/>
              <w:autoSpaceDN w:val="0"/>
              <w:spacing w:after="0" w:line="184"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Millenium</w:t>
            </w:r>
          </w:p>
        </w:tc>
        <w:tc>
          <w:tcPr>
            <w:tcW w:w="1152"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c>
          <w:tcPr>
            <w:tcW w:w="1227"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c>
          <w:tcPr>
            <w:tcW w:w="1026" w:type="dxa"/>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c>
          <w:tcPr>
            <w:tcW w:w="1676"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r>
      <w:tr w:rsidR="00E95EB4" w:rsidRPr="00CD2C3A" w:rsidTr="00CD2C3A">
        <w:trPr>
          <w:trHeight w:val="242"/>
        </w:trPr>
        <w:tc>
          <w:tcPr>
            <w:tcW w:w="1081" w:type="dxa"/>
            <w:vMerge w:val="restart"/>
          </w:tcPr>
          <w:p w:rsidR="00DD196F" w:rsidRPr="00CD2C3A" w:rsidRDefault="00DD196F" w:rsidP="00DD196F">
            <w:pPr>
              <w:widowControl w:val="0"/>
              <w:autoSpaceDE w:val="0"/>
              <w:autoSpaceDN w:val="0"/>
              <w:spacing w:before="110" w:after="0" w:line="240" w:lineRule="auto"/>
              <w:ind w:left="7"/>
              <w:jc w:val="center"/>
              <w:rPr>
                <w:rFonts w:ascii="Times New Roman" w:eastAsia="Times New Roman" w:hAnsi="Times New Roman" w:cs="Times New Roman"/>
                <w:lang w:val="sq-AL"/>
              </w:rPr>
            </w:pPr>
            <w:r w:rsidRPr="00CD2C3A">
              <w:rPr>
                <w:rFonts w:ascii="Times New Roman" w:eastAsia="Times New Roman" w:hAnsi="Times New Roman" w:cs="Times New Roman"/>
                <w:w w:val="102"/>
                <w:lang w:val="sq-AL"/>
              </w:rPr>
              <w:t>7</w:t>
            </w:r>
          </w:p>
        </w:tc>
        <w:tc>
          <w:tcPr>
            <w:tcW w:w="2368" w:type="dxa"/>
          </w:tcPr>
          <w:p w:rsidR="00DD196F" w:rsidRPr="00CD2C3A" w:rsidRDefault="00DD196F" w:rsidP="00DD196F">
            <w:pPr>
              <w:widowControl w:val="0"/>
              <w:autoSpaceDE w:val="0"/>
              <w:autoSpaceDN w:val="0"/>
              <w:spacing w:after="0" w:line="188"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Hotel</w:t>
            </w:r>
            <w:r w:rsidRPr="00CD2C3A">
              <w:rPr>
                <w:rFonts w:ascii="Times New Roman" w:eastAsia="Times New Roman" w:hAnsi="Times New Roman" w:cs="Times New Roman"/>
                <w:spacing w:val="11"/>
                <w:lang w:val="sq-AL"/>
              </w:rPr>
              <w:t xml:space="preserve"> </w:t>
            </w:r>
            <w:r w:rsidRPr="00CD2C3A">
              <w:rPr>
                <w:rFonts w:ascii="Times New Roman" w:eastAsia="Times New Roman" w:hAnsi="Times New Roman" w:cs="Times New Roman"/>
                <w:lang w:val="sq-AL"/>
              </w:rPr>
              <w:t>Depo</w:t>
            </w:r>
            <w:r w:rsidRPr="00CD2C3A">
              <w:rPr>
                <w:rFonts w:ascii="Times New Roman" w:eastAsia="Times New Roman" w:hAnsi="Times New Roman" w:cs="Times New Roman"/>
                <w:spacing w:val="11"/>
                <w:lang w:val="sq-AL"/>
              </w:rPr>
              <w:t xml:space="preserve"> </w:t>
            </w:r>
            <w:r w:rsidRPr="00CD2C3A">
              <w:rPr>
                <w:rFonts w:ascii="Times New Roman" w:eastAsia="Times New Roman" w:hAnsi="Times New Roman" w:cs="Times New Roman"/>
                <w:lang w:val="sq-AL"/>
              </w:rPr>
              <w:t>(Kompleksi</w:t>
            </w:r>
          </w:p>
        </w:tc>
        <w:tc>
          <w:tcPr>
            <w:tcW w:w="1152" w:type="dxa"/>
            <w:vMerge w:val="restart"/>
          </w:tcPr>
          <w:p w:rsidR="00DD196F" w:rsidRPr="00CD2C3A" w:rsidRDefault="00DD196F" w:rsidP="00DD196F">
            <w:pPr>
              <w:widowControl w:val="0"/>
              <w:autoSpaceDE w:val="0"/>
              <w:autoSpaceDN w:val="0"/>
              <w:spacing w:before="76" w:after="0" w:line="240" w:lineRule="auto"/>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545</w:t>
            </w:r>
          </w:p>
        </w:tc>
        <w:tc>
          <w:tcPr>
            <w:tcW w:w="1227" w:type="dxa"/>
            <w:vMerge w:val="restart"/>
          </w:tcPr>
          <w:p w:rsidR="00DD196F" w:rsidRPr="00CD2C3A" w:rsidRDefault="00DD196F" w:rsidP="00DD196F">
            <w:pPr>
              <w:widowControl w:val="0"/>
              <w:autoSpaceDE w:val="0"/>
              <w:autoSpaceDN w:val="0"/>
              <w:spacing w:before="76" w:after="0" w:line="240" w:lineRule="auto"/>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718</w:t>
            </w:r>
          </w:p>
        </w:tc>
        <w:tc>
          <w:tcPr>
            <w:tcW w:w="1026" w:type="dxa"/>
          </w:tcPr>
          <w:p w:rsidR="00DD196F" w:rsidRPr="00CD2C3A" w:rsidRDefault="00DD196F" w:rsidP="00DD196F">
            <w:pPr>
              <w:widowControl w:val="0"/>
              <w:autoSpaceDE w:val="0"/>
              <w:autoSpaceDN w:val="0"/>
              <w:spacing w:after="0" w:line="188" w:lineRule="exact"/>
              <w:ind w:left="74"/>
              <w:rPr>
                <w:rFonts w:ascii="Times New Roman" w:eastAsia="Times New Roman" w:hAnsi="Times New Roman" w:cs="Times New Roman"/>
                <w:lang w:val="sq-AL"/>
              </w:rPr>
            </w:pPr>
            <w:r w:rsidRPr="00CD2C3A">
              <w:rPr>
                <w:rFonts w:ascii="Times New Roman" w:eastAsia="Times New Roman" w:hAnsi="Times New Roman" w:cs="Times New Roman"/>
                <w:lang w:val="sq-AL"/>
              </w:rPr>
              <w:t>D</w:t>
            </w:r>
          </w:p>
        </w:tc>
        <w:tc>
          <w:tcPr>
            <w:tcW w:w="1676"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r>
      <w:tr w:rsidR="00E95EB4" w:rsidRPr="00CD2C3A" w:rsidTr="00CD2C3A">
        <w:trPr>
          <w:trHeight w:val="237"/>
        </w:trPr>
        <w:tc>
          <w:tcPr>
            <w:tcW w:w="1081"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c>
          <w:tcPr>
            <w:tcW w:w="2368" w:type="dxa"/>
          </w:tcPr>
          <w:p w:rsidR="00DD196F" w:rsidRPr="00CD2C3A" w:rsidRDefault="00DD196F" w:rsidP="00DD196F">
            <w:pPr>
              <w:widowControl w:val="0"/>
              <w:autoSpaceDE w:val="0"/>
              <w:autoSpaceDN w:val="0"/>
              <w:spacing w:after="0" w:line="184"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Ermano)</w:t>
            </w:r>
          </w:p>
        </w:tc>
        <w:tc>
          <w:tcPr>
            <w:tcW w:w="1152"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c>
          <w:tcPr>
            <w:tcW w:w="1227"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c>
          <w:tcPr>
            <w:tcW w:w="1026" w:type="dxa"/>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c>
          <w:tcPr>
            <w:tcW w:w="1676"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r>
      <w:tr w:rsidR="00E95EB4" w:rsidRPr="00CD2C3A" w:rsidTr="00CD2C3A">
        <w:trPr>
          <w:trHeight w:val="255"/>
        </w:trPr>
        <w:tc>
          <w:tcPr>
            <w:tcW w:w="1081" w:type="dxa"/>
          </w:tcPr>
          <w:p w:rsidR="00DD196F" w:rsidRPr="00CD2C3A" w:rsidRDefault="00DD196F" w:rsidP="00DD196F">
            <w:pPr>
              <w:widowControl w:val="0"/>
              <w:autoSpaceDE w:val="0"/>
              <w:autoSpaceDN w:val="0"/>
              <w:spacing w:after="0" w:line="199" w:lineRule="exact"/>
              <w:ind w:left="7"/>
              <w:jc w:val="center"/>
              <w:rPr>
                <w:rFonts w:ascii="Times New Roman" w:eastAsia="Times New Roman" w:hAnsi="Times New Roman" w:cs="Times New Roman"/>
                <w:lang w:val="sq-AL"/>
              </w:rPr>
            </w:pPr>
            <w:r w:rsidRPr="00CD2C3A">
              <w:rPr>
                <w:rFonts w:ascii="Times New Roman" w:eastAsia="Times New Roman" w:hAnsi="Times New Roman" w:cs="Times New Roman"/>
                <w:w w:val="102"/>
                <w:lang w:val="sq-AL"/>
              </w:rPr>
              <w:t>8</w:t>
            </w:r>
          </w:p>
        </w:tc>
        <w:tc>
          <w:tcPr>
            <w:tcW w:w="2368" w:type="dxa"/>
          </w:tcPr>
          <w:p w:rsidR="00DD196F" w:rsidRPr="00CD2C3A" w:rsidRDefault="00DD196F" w:rsidP="00DD196F">
            <w:pPr>
              <w:widowControl w:val="0"/>
              <w:autoSpaceDE w:val="0"/>
              <w:autoSpaceDN w:val="0"/>
              <w:spacing w:after="0" w:line="199"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Voloreka</w:t>
            </w:r>
          </w:p>
        </w:tc>
        <w:tc>
          <w:tcPr>
            <w:tcW w:w="1152" w:type="dxa"/>
          </w:tcPr>
          <w:p w:rsidR="00DD196F" w:rsidRPr="00CD2C3A" w:rsidRDefault="00DD196F" w:rsidP="00DD196F">
            <w:pPr>
              <w:widowControl w:val="0"/>
              <w:autoSpaceDE w:val="0"/>
              <w:autoSpaceDN w:val="0"/>
              <w:spacing w:after="0" w:line="199"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1186</w:t>
            </w:r>
          </w:p>
        </w:tc>
        <w:tc>
          <w:tcPr>
            <w:tcW w:w="1227" w:type="dxa"/>
          </w:tcPr>
          <w:p w:rsidR="00DD196F" w:rsidRPr="00CD2C3A" w:rsidRDefault="00DD196F" w:rsidP="00DD196F">
            <w:pPr>
              <w:widowControl w:val="0"/>
              <w:autoSpaceDE w:val="0"/>
              <w:autoSpaceDN w:val="0"/>
              <w:spacing w:after="0" w:line="199" w:lineRule="exact"/>
              <w:ind w:left="75"/>
              <w:rPr>
                <w:rFonts w:ascii="Times New Roman" w:eastAsia="Times New Roman" w:hAnsi="Times New Roman" w:cs="Times New Roman"/>
                <w:lang w:val="sq-AL"/>
              </w:rPr>
            </w:pPr>
            <w:r w:rsidRPr="00CD2C3A">
              <w:rPr>
                <w:rFonts w:ascii="Times New Roman" w:eastAsia="Times New Roman" w:hAnsi="Times New Roman" w:cs="Times New Roman"/>
                <w:lang w:val="sq-AL"/>
              </w:rPr>
              <w:t>1665</w:t>
            </w:r>
          </w:p>
        </w:tc>
        <w:tc>
          <w:tcPr>
            <w:tcW w:w="1026" w:type="dxa"/>
          </w:tcPr>
          <w:p w:rsidR="00DD196F" w:rsidRPr="00CD2C3A" w:rsidRDefault="00DD196F" w:rsidP="00DD196F">
            <w:pPr>
              <w:widowControl w:val="0"/>
              <w:autoSpaceDE w:val="0"/>
              <w:autoSpaceDN w:val="0"/>
              <w:spacing w:after="0" w:line="199" w:lineRule="exact"/>
              <w:ind w:left="74"/>
              <w:rPr>
                <w:rFonts w:ascii="Times New Roman" w:eastAsia="Times New Roman" w:hAnsi="Times New Roman" w:cs="Times New Roman"/>
                <w:lang w:val="sq-AL"/>
              </w:rPr>
            </w:pPr>
            <w:r w:rsidRPr="00CD2C3A">
              <w:rPr>
                <w:rFonts w:ascii="Times New Roman" w:eastAsia="Times New Roman" w:hAnsi="Times New Roman" w:cs="Times New Roman"/>
                <w:lang w:val="sq-AL"/>
              </w:rPr>
              <w:t>D</w:t>
            </w:r>
          </w:p>
        </w:tc>
        <w:tc>
          <w:tcPr>
            <w:tcW w:w="1676" w:type="dxa"/>
            <w:vMerge/>
          </w:tcPr>
          <w:p w:rsidR="00DD196F" w:rsidRPr="00CD2C3A" w:rsidRDefault="00DD196F" w:rsidP="00DD196F">
            <w:pPr>
              <w:widowControl w:val="0"/>
              <w:autoSpaceDE w:val="0"/>
              <w:autoSpaceDN w:val="0"/>
              <w:spacing w:after="0" w:line="240" w:lineRule="auto"/>
              <w:rPr>
                <w:rFonts w:ascii="Times New Roman" w:eastAsia="Times New Roman" w:hAnsi="Times New Roman" w:cs="Times New Roman"/>
                <w:lang w:val="sq-AL"/>
              </w:rPr>
            </w:pPr>
          </w:p>
        </w:tc>
      </w:tr>
    </w:tbl>
    <w:p w:rsidR="00DD196F" w:rsidRPr="00DD196F" w:rsidRDefault="00DD196F" w:rsidP="00DD196F">
      <w:pPr>
        <w:spacing w:after="200" w:line="288" w:lineRule="auto"/>
        <w:rPr>
          <w:rFonts w:ascii="Times New Roman" w:eastAsiaTheme="minorEastAsia" w:hAnsi="Times New Roman" w:cs="Times New Roman"/>
          <w:sz w:val="24"/>
          <w:szCs w:val="24"/>
        </w:rPr>
      </w:pPr>
    </w:p>
    <w:p w:rsidR="00DC7E73" w:rsidRPr="00CD2C3A" w:rsidRDefault="00DD196F" w:rsidP="00CD2C3A">
      <w:pPr>
        <w:spacing w:after="200" w:line="288" w:lineRule="auto"/>
        <w:rPr>
          <w:rFonts w:ascii="Times New Roman" w:eastAsiaTheme="minorEastAsia" w:hAnsi="Times New Roman" w:cs="Times New Roman"/>
          <w:sz w:val="24"/>
          <w:szCs w:val="24"/>
        </w:rPr>
      </w:pPr>
      <w:r w:rsidRPr="00DD196F">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50560" behindDoc="0" locked="0" layoutInCell="1" allowOverlap="1" wp14:anchorId="67D0D251" wp14:editId="512168AF">
                <wp:simplePos x="0" y="0"/>
                <wp:positionH relativeFrom="column">
                  <wp:posOffset>3209925</wp:posOffset>
                </wp:positionH>
                <wp:positionV relativeFrom="paragraph">
                  <wp:posOffset>19051</wp:posOffset>
                </wp:positionV>
                <wp:extent cx="2714625" cy="2476500"/>
                <wp:effectExtent l="0" t="0" r="28575" b="19050"/>
                <wp:wrapNone/>
                <wp:docPr id="48" name="Rectangle 48"/>
                <wp:cNvGraphicFramePr/>
                <a:graphic xmlns:a="http://schemas.openxmlformats.org/drawingml/2006/main">
                  <a:graphicData uri="http://schemas.microsoft.com/office/word/2010/wordprocessingShape">
                    <wps:wsp>
                      <wps:cNvSpPr/>
                      <wps:spPr>
                        <a:xfrm>
                          <a:off x="0" y="0"/>
                          <a:ext cx="2714625" cy="2476500"/>
                        </a:xfrm>
                        <a:prstGeom prst="rect">
                          <a:avLst/>
                        </a:prstGeom>
                        <a:solidFill>
                          <a:sysClr val="window" lastClr="FFFFFF"/>
                        </a:solidFill>
                        <a:ln w="12700" cap="flat" cmpd="sng" algn="ctr">
                          <a:solidFill>
                            <a:srgbClr val="70AD47"/>
                          </a:solidFill>
                          <a:prstDash val="solid"/>
                          <a:miter lim="800000"/>
                        </a:ln>
                        <a:effectLst/>
                      </wps:spPr>
                      <wps:txbx>
                        <w:txbxContent>
                          <w:p w:rsidR="0064059F" w:rsidRPr="003A6B0E" w:rsidRDefault="0064059F" w:rsidP="00DD196F">
                            <w:pPr>
                              <w:spacing w:before="240" w:after="0" w:line="276" w:lineRule="auto"/>
                              <w:jc w:val="both"/>
                              <w:rPr>
                                <w:rFonts w:ascii="Times New Roman" w:eastAsia="Times New Roman" w:hAnsi="Times New Roman" w:cs="Times New Roman"/>
                                <w:sz w:val="24"/>
                                <w:szCs w:val="24"/>
                                <w:lang w:val="sq-AL"/>
                              </w:rPr>
                            </w:pPr>
                            <w:r w:rsidRPr="003A6B0E">
                              <w:rPr>
                                <w:rFonts w:ascii="Times New Roman" w:eastAsia="Times New Roman" w:hAnsi="Times New Roman" w:cs="Times New Roman"/>
                                <w:noProof/>
                                <w:sz w:val="24"/>
                                <w:szCs w:val="24"/>
                                <w:lang w:val="sq-AL"/>
                              </w:rPr>
                              <w:t>Referuar</w:t>
                            </w:r>
                            <w:r w:rsidRPr="003A6B0E">
                              <w:rPr>
                                <w:rFonts w:ascii="Times New Roman" w:eastAsia="Times New Roman" w:hAnsi="Times New Roman" w:cs="Times New Roman"/>
                                <w:sz w:val="24"/>
                                <w:szCs w:val="24"/>
                                <w:lang w:val="it-IT"/>
                              </w:rPr>
                              <w:t xml:space="preserve"> rezultateve </w:t>
                            </w:r>
                            <w:r w:rsidRPr="003A6B0E">
                              <w:rPr>
                                <w:rFonts w:ascii="Times New Roman" w:eastAsia="Calibri" w:hAnsi="Times New Roman" w:cs="Times New Roman"/>
                                <w:sz w:val="24"/>
                                <w:szCs w:val="24"/>
                                <w:lang w:val="it-IT"/>
                              </w:rPr>
                              <w:t xml:space="preserve">të analizave </w:t>
                            </w:r>
                            <w:r w:rsidRPr="003A6B0E">
                              <w:rPr>
                                <w:rFonts w:ascii="Times New Roman" w:eastAsia="Times New Roman" w:hAnsi="Times New Roman" w:cs="Times New Roman"/>
                                <w:sz w:val="24"/>
                                <w:szCs w:val="24"/>
                                <w:lang w:val="it-IT"/>
                              </w:rPr>
                              <w:t xml:space="preserve">bakteriologjike plazhet e Pogradecit </w:t>
                            </w:r>
                            <w:r w:rsidRPr="003A6B0E">
                              <w:rPr>
                                <w:rFonts w:ascii="Times New Roman" w:eastAsia="Times New Roman" w:hAnsi="Times New Roman" w:cs="Times New Roman"/>
                                <w:sz w:val="24"/>
                                <w:szCs w:val="24"/>
                                <w:lang w:val="sq-AL"/>
                              </w:rPr>
                              <w:t xml:space="preserve">vlerësohen: </w:t>
                            </w:r>
                            <w:r w:rsidRPr="003A6B0E">
                              <w:rPr>
                                <w:rFonts w:ascii="Times New Roman" w:eastAsia="Times New Roman" w:hAnsi="Times New Roman" w:cs="Times New Roman"/>
                                <w:noProof/>
                                <w:sz w:val="24"/>
                                <w:szCs w:val="24"/>
                                <w:lang w:val="it-IT"/>
                              </w:rPr>
                              <w:t xml:space="preserve">Në kategorinë </w:t>
                            </w:r>
                            <w:r w:rsidRPr="003A6B0E">
                              <w:rPr>
                                <w:rFonts w:ascii="Times New Roman" w:eastAsia="Times New Roman" w:hAnsi="Times New Roman" w:cs="Times New Roman"/>
                                <w:noProof/>
                                <w:sz w:val="24"/>
                                <w:szCs w:val="24"/>
                                <w:lang w:val="hr-HR"/>
                              </w:rPr>
                              <w:t>A- Cil</w:t>
                            </w:r>
                            <w:r w:rsidRPr="003A6B0E">
                              <w:rPr>
                                <w:rFonts w:ascii="Times New Roman" w:eastAsia="Times New Roman" w:hAnsi="Times New Roman" w:cs="Times New Roman"/>
                                <w:sz w:val="24"/>
                                <w:szCs w:val="24"/>
                                <w:lang w:val="sq-AL"/>
                              </w:rPr>
                              <w:t>ë</w:t>
                            </w:r>
                            <w:r w:rsidRPr="003A6B0E">
                              <w:rPr>
                                <w:rFonts w:ascii="Times New Roman" w:eastAsia="Times New Roman" w:hAnsi="Times New Roman" w:cs="Times New Roman"/>
                                <w:noProof/>
                                <w:sz w:val="24"/>
                                <w:szCs w:val="24"/>
                                <w:lang w:val="hr-HR"/>
                              </w:rPr>
                              <w:t>si e shk</w:t>
                            </w:r>
                            <w:r w:rsidRPr="003A6B0E">
                              <w:rPr>
                                <w:rFonts w:ascii="Times New Roman" w:eastAsia="Times New Roman" w:hAnsi="Times New Roman" w:cs="Times New Roman"/>
                                <w:sz w:val="24"/>
                                <w:szCs w:val="24"/>
                                <w:lang w:val="sq-AL"/>
                              </w:rPr>
                              <w:t>ë</w:t>
                            </w:r>
                            <w:r w:rsidRPr="003A6B0E">
                              <w:rPr>
                                <w:rFonts w:ascii="Times New Roman" w:eastAsia="Times New Roman" w:hAnsi="Times New Roman" w:cs="Times New Roman"/>
                                <w:noProof/>
                                <w:sz w:val="24"/>
                                <w:szCs w:val="24"/>
                                <w:lang w:val="hr-HR"/>
                              </w:rPr>
                              <w:t>lqyer (2 pika).</w:t>
                            </w:r>
                            <w:r w:rsidRPr="003A6B0E">
                              <w:rPr>
                                <w:rFonts w:ascii="Times New Roman" w:eastAsia="Times New Roman" w:hAnsi="Times New Roman" w:cs="Times New Roman"/>
                                <w:sz w:val="24"/>
                                <w:szCs w:val="24"/>
                                <w:lang w:val="sq-AL"/>
                              </w:rPr>
                              <w:t xml:space="preserve"> </w:t>
                            </w:r>
                            <w:r w:rsidRPr="003A6B0E">
                              <w:rPr>
                                <w:rFonts w:ascii="Times New Roman" w:eastAsia="Times New Roman" w:hAnsi="Times New Roman" w:cs="Times New Roman"/>
                                <w:noProof/>
                                <w:sz w:val="24"/>
                                <w:szCs w:val="24"/>
                                <w:lang w:val="sq-AL"/>
                              </w:rPr>
                              <w:t>N</w:t>
                            </w:r>
                            <w:r w:rsidRPr="003A6B0E">
                              <w:rPr>
                                <w:rFonts w:ascii="Times New Roman" w:eastAsia="Times New Roman" w:hAnsi="Times New Roman" w:cs="Times New Roman"/>
                                <w:noProof/>
                                <w:sz w:val="24"/>
                                <w:szCs w:val="24"/>
                                <w:lang w:val="it-IT"/>
                              </w:rPr>
                              <w:t xml:space="preserve">ë </w:t>
                            </w:r>
                            <w:r w:rsidRPr="003A6B0E">
                              <w:rPr>
                                <w:rFonts w:ascii="Times New Roman" w:eastAsia="Times New Roman" w:hAnsi="Times New Roman" w:cs="Times New Roman"/>
                                <w:noProof/>
                                <w:sz w:val="24"/>
                                <w:szCs w:val="24"/>
                                <w:lang w:val="hr-HR"/>
                              </w:rPr>
                              <w:t>kategorinë B- C</w:t>
                            </w:r>
                            <w:r w:rsidRPr="003A6B0E">
                              <w:rPr>
                                <w:rFonts w:ascii="Times New Roman" w:eastAsia="Times New Roman" w:hAnsi="Times New Roman" w:cs="Times New Roman"/>
                                <w:noProof/>
                                <w:sz w:val="24"/>
                                <w:szCs w:val="24"/>
                                <w:lang w:val="it-IT"/>
                              </w:rPr>
                              <w:t xml:space="preserve">ilësi e  mirë e ujërave </w:t>
                            </w:r>
                            <w:r w:rsidRPr="003A6B0E">
                              <w:rPr>
                                <w:rFonts w:ascii="Times New Roman" w:eastAsia="Times New Roman" w:hAnsi="Times New Roman" w:cs="Times New Roman"/>
                                <w:sz w:val="24"/>
                                <w:szCs w:val="24"/>
                                <w:lang w:val="sq-AL"/>
                              </w:rPr>
                              <w:t>larës (1 pik</w:t>
                            </w:r>
                            <w:r w:rsidRPr="003A6B0E">
                              <w:rPr>
                                <w:rFonts w:ascii="Times New Roman" w:eastAsia="Times New Roman" w:hAnsi="Times New Roman" w:cs="Times New Roman"/>
                                <w:noProof/>
                                <w:sz w:val="24"/>
                                <w:szCs w:val="24"/>
                                <w:lang w:val="it-IT"/>
                              </w:rPr>
                              <w:t>ë</w:t>
                            </w:r>
                            <w:r w:rsidRPr="003A6B0E">
                              <w:rPr>
                                <w:rFonts w:ascii="Times New Roman" w:eastAsia="Times New Roman" w:hAnsi="Times New Roman" w:cs="Times New Roman"/>
                                <w:sz w:val="24"/>
                                <w:szCs w:val="24"/>
                                <w:lang w:val="sq-AL"/>
                              </w:rPr>
                              <w:t>). N</w:t>
                            </w:r>
                            <w:r w:rsidRPr="003A6B0E">
                              <w:rPr>
                                <w:rFonts w:ascii="Times New Roman" w:eastAsia="Times New Roman" w:hAnsi="Times New Roman" w:cs="Times New Roman"/>
                                <w:noProof/>
                                <w:sz w:val="24"/>
                                <w:szCs w:val="24"/>
                                <w:lang w:val="it-IT"/>
                              </w:rPr>
                              <w:t>ë</w:t>
                            </w:r>
                            <w:r w:rsidRPr="003A6B0E">
                              <w:rPr>
                                <w:rFonts w:ascii="Times New Roman" w:eastAsia="Times New Roman" w:hAnsi="Times New Roman" w:cs="Times New Roman"/>
                                <w:sz w:val="24"/>
                                <w:szCs w:val="24"/>
                                <w:lang w:val="sq-AL"/>
                              </w:rPr>
                              <w:t xml:space="preserve"> kategorin</w:t>
                            </w:r>
                            <w:r w:rsidRPr="003A6B0E">
                              <w:rPr>
                                <w:rFonts w:ascii="Times New Roman" w:eastAsia="Times New Roman" w:hAnsi="Times New Roman" w:cs="Times New Roman"/>
                                <w:noProof/>
                                <w:sz w:val="24"/>
                                <w:szCs w:val="24"/>
                                <w:lang w:val="hr-HR"/>
                              </w:rPr>
                              <w:t>ë</w:t>
                            </w:r>
                            <w:r w:rsidRPr="003A6B0E">
                              <w:rPr>
                                <w:rFonts w:ascii="Times New Roman" w:eastAsia="Times New Roman" w:hAnsi="Times New Roman" w:cs="Times New Roman"/>
                                <w:sz w:val="24"/>
                                <w:szCs w:val="24"/>
                                <w:lang w:val="sq-AL"/>
                              </w:rPr>
                              <w:t xml:space="preserve"> </w:t>
                            </w:r>
                            <w:r w:rsidRPr="003A6B0E">
                              <w:rPr>
                                <w:rFonts w:ascii="Times New Roman" w:eastAsia="Times New Roman" w:hAnsi="Times New Roman" w:cs="Times New Roman"/>
                                <w:noProof/>
                                <w:sz w:val="24"/>
                                <w:szCs w:val="24"/>
                                <w:lang w:val="it-IT"/>
                              </w:rPr>
                              <w:t>C- Cil</w:t>
                            </w:r>
                            <w:r w:rsidRPr="003A6B0E">
                              <w:rPr>
                                <w:rFonts w:ascii="Times New Roman" w:eastAsia="Times New Roman" w:hAnsi="Times New Roman" w:cs="Times New Roman"/>
                                <w:sz w:val="24"/>
                                <w:szCs w:val="24"/>
                                <w:lang w:val="sq-AL"/>
                              </w:rPr>
                              <w:t>ë</w:t>
                            </w:r>
                            <w:r w:rsidRPr="003A6B0E">
                              <w:rPr>
                                <w:rFonts w:ascii="Times New Roman" w:eastAsia="Times New Roman" w:hAnsi="Times New Roman" w:cs="Times New Roman"/>
                                <w:noProof/>
                                <w:sz w:val="24"/>
                                <w:szCs w:val="24"/>
                                <w:lang w:val="it-IT"/>
                              </w:rPr>
                              <w:t xml:space="preserve">si e mjaftueshme ( 1 </w:t>
                            </w:r>
                            <w:r w:rsidRPr="003A6B0E">
                              <w:rPr>
                                <w:rFonts w:ascii="Times New Roman" w:eastAsia="Times New Roman" w:hAnsi="Times New Roman" w:cs="Times New Roman"/>
                                <w:sz w:val="24"/>
                                <w:szCs w:val="24"/>
                                <w:lang w:val="sq-AL"/>
                              </w:rPr>
                              <w:t>pik</w:t>
                            </w:r>
                            <w:r w:rsidRPr="003A6B0E">
                              <w:rPr>
                                <w:rFonts w:ascii="Times New Roman" w:eastAsia="Times New Roman" w:hAnsi="Times New Roman" w:cs="Times New Roman"/>
                                <w:noProof/>
                                <w:sz w:val="24"/>
                                <w:szCs w:val="24"/>
                                <w:lang w:val="it-IT"/>
                              </w:rPr>
                              <w:t>ë)</w:t>
                            </w:r>
                            <w:r w:rsidRPr="003A6B0E">
                              <w:rPr>
                                <w:rFonts w:ascii="Times New Roman" w:eastAsia="Times New Roman" w:hAnsi="Times New Roman" w:cs="Times New Roman"/>
                                <w:sz w:val="24"/>
                                <w:szCs w:val="24"/>
                                <w:lang w:val="sq-AL"/>
                              </w:rPr>
                              <w:t xml:space="preserve">. </w:t>
                            </w:r>
                            <w:r w:rsidRPr="003A6B0E">
                              <w:rPr>
                                <w:rFonts w:ascii="Times New Roman" w:eastAsia="Times New Roman" w:hAnsi="Times New Roman" w:cs="Times New Roman"/>
                                <w:noProof/>
                                <w:sz w:val="24"/>
                                <w:szCs w:val="24"/>
                                <w:lang w:val="sq-AL"/>
                              </w:rPr>
                              <w:t>N</w:t>
                            </w:r>
                            <w:r w:rsidRPr="003A6B0E">
                              <w:rPr>
                                <w:rFonts w:ascii="Times New Roman" w:eastAsia="Times New Roman" w:hAnsi="Times New Roman" w:cs="Times New Roman"/>
                                <w:noProof/>
                                <w:sz w:val="24"/>
                                <w:szCs w:val="24"/>
                                <w:lang w:val="it-IT"/>
                              </w:rPr>
                              <w:t xml:space="preserve">ë </w:t>
                            </w:r>
                            <w:r w:rsidRPr="003A6B0E">
                              <w:rPr>
                                <w:rFonts w:ascii="Times New Roman" w:eastAsia="Times New Roman" w:hAnsi="Times New Roman" w:cs="Times New Roman"/>
                                <w:noProof/>
                                <w:sz w:val="24"/>
                                <w:szCs w:val="24"/>
                                <w:lang w:val="hr-HR"/>
                              </w:rPr>
                              <w:t xml:space="preserve">kategorinë </w:t>
                            </w:r>
                            <w:r w:rsidRPr="003A6B0E">
                              <w:rPr>
                                <w:rFonts w:ascii="Times New Roman" w:eastAsia="Times New Roman" w:hAnsi="Times New Roman" w:cs="Times New Roman"/>
                                <w:noProof/>
                                <w:sz w:val="24"/>
                                <w:szCs w:val="24"/>
                                <w:lang w:val="it-IT"/>
                              </w:rPr>
                              <w:t xml:space="preserve">D- Cilësi e keqe e ujërave larës </w:t>
                            </w:r>
                            <w:r w:rsidRPr="003A6B0E">
                              <w:rPr>
                                <w:rFonts w:ascii="Times New Roman" w:eastAsia="Times New Roman" w:hAnsi="Times New Roman" w:cs="Times New Roman"/>
                                <w:sz w:val="24"/>
                                <w:szCs w:val="24"/>
                                <w:lang w:val="sq-AL"/>
                              </w:rPr>
                              <w:t>vler</w:t>
                            </w:r>
                            <w:r w:rsidRPr="003A6B0E">
                              <w:rPr>
                                <w:rFonts w:ascii="Times New Roman" w:eastAsia="Times New Roman" w:hAnsi="Times New Roman" w:cs="Times New Roman"/>
                                <w:noProof/>
                                <w:sz w:val="24"/>
                                <w:szCs w:val="24"/>
                                <w:lang w:val="it-IT"/>
                              </w:rPr>
                              <w:t>ë</w:t>
                            </w:r>
                            <w:r w:rsidRPr="003A6B0E">
                              <w:rPr>
                                <w:rFonts w:ascii="Times New Roman" w:eastAsia="Times New Roman" w:hAnsi="Times New Roman" w:cs="Times New Roman"/>
                                <w:sz w:val="24"/>
                                <w:szCs w:val="24"/>
                                <w:lang w:val="sq-AL"/>
                              </w:rPr>
                              <w:t xml:space="preserve">sohen (4 pika). </w:t>
                            </w:r>
                          </w:p>
                          <w:p w:rsidR="0064059F" w:rsidRDefault="0064059F" w:rsidP="00DD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D0D251" id="Rectangle 48" o:spid="_x0000_s1108" style="position:absolute;margin-left:252.75pt;margin-top:1.5pt;width:213.75pt;height:195pt;z-index:25165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" fillcolor="window" strokecolor="#70ad47" strokeweight="1pt">
                <v:textbox>
                  <w:txbxContent>
                    <w:p w:rsidR="0064059F" w:rsidRPr="003A6B0E" w:rsidRDefault="0064059F" w:rsidP="00DD196F">
                      <w:pPr>
                        <w:spacing w:before="240" w:after="0" w:line="276" w:lineRule="auto"/>
                        <w:jc w:val="both"/>
                        <w:rPr>
                          <w:rFonts w:ascii="Times New Roman" w:eastAsia="Times New Roman" w:hAnsi="Times New Roman" w:cs="Times New Roman"/>
                          <w:sz w:val="24"/>
                          <w:szCs w:val="24"/>
                          <w:lang w:val="sq-AL"/>
                        </w:rPr>
                      </w:pPr>
                      <w:r w:rsidRPr="003A6B0E">
                        <w:rPr>
                          <w:rFonts w:ascii="Times New Roman" w:eastAsia="Times New Roman" w:hAnsi="Times New Roman" w:cs="Times New Roman"/>
                          <w:noProof/>
                          <w:sz w:val="24"/>
                          <w:szCs w:val="24"/>
                          <w:lang w:val="sq-AL"/>
                        </w:rPr>
                        <w:t>Referuar</w:t>
                      </w:r>
                      <w:r w:rsidRPr="003A6B0E">
                        <w:rPr>
                          <w:rFonts w:ascii="Times New Roman" w:eastAsia="Times New Roman" w:hAnsi="Times New Roman" w:cs="Times New Roman"/>
                          <w:sz w:val="24"/>
                          <w:szCs w:val="24"/>
                          <w:lang w:val="it-IT"/>
                        </w:rPr>
                        <w:t xml:space="preserve"> rezultateve </w:t>
                      </w:r>
                      <w:r w:rsidRPr="003A6B0E">
                        <w:rPr>
                          <w:rFonts w:ascii="Times New Roman" w:eastAsia="Calibri" w:hAnsi="Times New Roman" w:cs="Times New Roman"/>
                          <w:sz w:val="24"/>
                          <w:szCs w:val="24"/>
                          <w:lang w:val="it-IT"/>
                        </w:rPr>
                        <w:t xml:space="preserve">të analizave </w:t>
                      </w:r>
                      <w:r w:rsidRPr="003A6B0E">
                        <w:rPr>
                          <w:rFonts w:ascii="Times New Roman" w:eastAsia="Times New Roman" w:hAnsi="Times New Roman" w:cs="Times New Roman"/>
                          <w:sz w:val="24"/>
                          <w:szCs w:val="24"/>
                          <w:lang w:val="it-IT"/>
                        </w:rPr>
                        <w:t xml:space="preserve">bakteriologjike plazhet e Pogradecit </w:t>
                      </w:r>
                      <w:r w:rsidRPr="003A6B0E">
                        <w:rPr>
                          <w:rFonts w:ascii="Times New Roman" w:eastAsia="Times New Roman" w:hAnsi="Times New Roman" w:cs="Times New Roman"/>
                          <w:sz w:val="24"/>
                          <w:szCs w:val="24"/>
                          <w:lang w:val="sq-AL"/>
                        </w:rPr>
                        <w:t xml:space="preserve">vlerësohen: </w:t>
                      </w:r>
                      <w:r w:rsidRPr="003A6B0E">
                        <w:rPr>
                          <w:rFonts w:ascii="Times New Roman" w:eastAsia="Times New Roman" w:hAnsi="Times New Roman" w:cs="Times New Roman"/>
                          <w:noProof/>
                          <w:sz w:val="24"/>
                          <w:szCs w:val="24"/>
                          <w:lang w:val="it-IT"/>
                        </w:rPr>
                        <w:t xml:space="preserve">Në kategorinë </w:t>
                      </w:r>
                      <w:r w:rsidRPr="003A6B0E">
                        <w:rPr>
                          <w:rFonts w:ascii="Times New Roman" w:eastAsia="Times New Roman" w:hAnsi="Times New Roman" w:cs="Times New Roman"/>
                          <w:noProof/>
                          <w:sz w:val="24"/>
                          <w:szCs w:val="24"/>
                          <w:lang w:val="hr-HR"/>
                        </w:rPr>
                        <w:t>A- Cil</w:t>
                      </w:r>
                      <w:r w:rsidRPr="003A6B0E">
                        <w:rPr>
                          <w:rFonts w:ascii="Times New Roman" w:eastAsia="Times New Roman" w:hAnsi="Times New Roman" w:cs="Times New Roman"/>
                          <w:sz w:val="24"/>
                          <w:szCs w:val="24"/>
                          <w:lang w:val="sq-AL"/>
                        </w:rPr>
                        <w:t>ë</w:t>
                      </w:r>
                      <w:r w:rsidRPr="003A6B0E">
                        <w:rPr>
                          <w:rFonts w:ascii="Times New Roman" w:eastAsia="Times New Roman" w:hAnsi="Times New Roman" w:cs="Times New Roman"/>
                          <w:noProof/>
                          <w:sz w:val="24"/>
                          <w:szCs w:val="24"/>
                          <w:lang w:val="hr-HR"/>
                        </w:rPr>
                        <w:t>si e shk</w:t>
                      </w:r>
                      <w:r w:rsidRPr="003A6B0E">
                        <w:rPr>
                          <w:rFonts w:ascii="Times New Roman" w:eastAsia="Times New Roman" w:hAnsi="Times New Roman" w:cs="Times New Roman"/>
                          <w:sz w:val="24"/>
                          <w:szCs w:val="24"/>
                          <w:lang w:val="sq-AL"/>
                        </w:rPr>
                        <w:t>ë</w:t>
                      </w:r>
                      <w:r w:rsidRPr="003A6B0E">
                        <w:rPr>
                          <w:rFonts w:ascii="Times New Roman" w:eastAsia="Times New Roman" w:hAnsi="Times New Roman" w:cs="Times New Roman"/>
                          <w:noProof/>
                          <w:sz w:val="24"/>
                          <w:szCs w:val="24"/>
                          <w:lang w:val="hr-HR"/>
                        </w:rPr>
                        <w:t>lqyer (2 pika).</w:t>
                      </w:r>
                      <w:r w:rsidRPr="003A6B0E">
                        <w:rPr>
                          <w:rFonts w:ascii="Times New Roman" w:eastAsia="Times New Roman" w:hAnsi="Times New Roman" w:cs="Times New Roman"/>
                          <w:sz w:val="24"/>
                          <w:szCs w:val="24"/>
                          <w:lang w:val="sq-AL"/>
                        </w:rPr>
                        <w:t xml:space="preserve"> </w:t>
                      </w:r>
                      <w:r w:rsidRPr="003A6B0E">
                        <w:rPr>
                          <w:rFonts w:ascii="Times New Roman" w:eastAsia="Times New Roman" w:hAnsi="Times New Roman" w:cs="Times New Roman"/>
                          <w:noProof/>
                          <w:sz w:val="24"/>
                          <w:szCs w:val="24"/>
                          <w:lang w:val="sq-AL"/>
                        </w:rPr>
                        <w:t>N</w:t>
                      </w:r>
                      <w:r w:rsidRPr="003A6B0E">
                        <w:rPr>
                          <w:rFonts w:ascii="Times New Roman" w:eastAsia="Times New Roman" w:hAnsi="Times New Roman" w:cs="Times New Roman"/>
                          <w:noProof/>
                          <w:sz w:val="24"/>
                          <w:szCs w:val="24"/>
                          <w:lang w:val="it-IT"/>
                        </w:rPr>
                        <w:t xml:space="preserve">ë </w:t>
                      </w:r>
                      <w:r w:rsidRPr="003A6B0E">
                        <w:rPr>
                          <w:rFonts w:ascii="Times New Roman" w:eastAsia="Times New Roman" w:hAnsi="Times New Roman" w:cs="Times New Roman"/>
                          <w:noProof/>
                          <w:sz w:val="24"/>
                          <w:szCs w:val="24"/>
                          <w:lang w:val="hr-HR"/>
                        </w:rPr>
                        <w:t>kategorinë B- C</w:t>
                      </w:r>
                      <w:r w:rsidRPr="003A6B0E">
                        <w:rPr>
                          <w:rFonts w:ascii="Times New Roman" w:eastAsia="Times New Roman" w:hAnsi="Times New Roman" w:cs="Times New Roman"/>
                          <w:noProof/>
                          <w:sz w:val="24"/>
                          <w:szCs w:val="24"/>
                          <w:lang w:val="it-IT"/>
                        </w:rPr>
                        <w:t xml:space="preserve">ilësi e  mirë e ujërave </w:t>
                      </w:r>
                      <w:r w:rsidRPr="003A6B0E">
                        <w:rPr>
                          <w:rFonts w:ascii="Times New Roman" w:eastAsia="Times New Roman" w:hAnsi="Times New Roman" w:cs="Times New Roman"/>
                          <w:sz w:val="24"/>
                          <w:szCs w:val="24"/>
                          <w:lang w:val="sq-AL"/>
                        </w:rPr>
                        <w:t>larës (1 pik</w:t>
                      </w:r>
                      <w:r w:rsidRPr="003A6B0E">
                        <w:rPr>
                          <w:rFonts w:ascii="Times New Roman" w:eastAsia="Times New Roman" w:hAnsi="Times New Roman" w:cs="Times New Roman"/>
                          <w:noProof/>
                          <w:sz w:val="24"/>
                          <w:szCs w:val="24"/>
                          <w:lang w:val="it-IT"/>
                        </w:rPr>
                        <w:t>ë</w:t>
                      </w:r>
                      <w:r w:rsidRPr="003A6B0E">
                        <w:rPr>
                          <w:rFonts w:ascii="Times New Roman" w:eastAsia="Times New Roman" w:hAnsi="Times New Roman" w:cs="Times New Roman"/>
                          <w:sz w:val="24"/>
                          <w:szCs w:val="24"/>
                          <w:lang w:val="sq-AL"/>
                        </w:rPr>
                        <w:t>). N</w:t>
                      </w:r>
                      <w:r w:rsidRPr="003A6B0E">
                        <w:rPr>
                          <w:rFonts w:ascii="Times New Roman" w:eastAsia="Times New Roman" w:hAnsi="Times New Roman" w:cs="Times New Roman"/>
                          <w:noProof/>
                          <w:sz w:val="24"/>
                          <w:szCs w:val="24"/>
                          <w:lang w:val="it-IT"/>
                        </w:rPr>
                        <w:t>ë</w:t>
                      </w:r>
                      <w:r w:rsidRPr="003A6B0E">
                        <w:rPr>
                          <w:rFonts w:ascii="Times New Roman" w:eastAsia="Times New Roman" w:hAnsi="Times New Roman" w:cs="Times New Roman"/>
                          <w:sz w:val="24"/>
                          <w:szCs w:val="24"/>
                          <w:lang w:val="sq-AL"/>
                        </w:rPr>
                        <w:t xml:space="preserve"> kategorin</w:t>
                      </w:r>
                      <w:r w:rsidRPr="003A6B0E">
                        <w:rPr>
                          <w:rFonts w:ascii="Times New Roman" w:eastAsia="Times New Roman" w:hAnsi="Times New Roman" w:cs="Times New Roman"/>
                          <w:noProof/>
                          <w:sz w:val="24"/>
                          <w:szCs w:val="24"/>
                          <w:lang w:val="hr-HR"/>
                        </w:rPr>
                        <w:t>ë</w:t>
                      </w:r>
                      <w:r w:rsidRPr="003A6B0E">
                        <w:rPr>
                          <w:rFonts w:ascii="Times New Roman" w:eastAsia="Times New Roman" w:hAnsi="Times New Roman" w:cs="Times New Roman"/>
                          <w:sz w:val="24"/>
                          <w:szCs w:val="24"/>
                          <w:lang w:val="sq-AL"/>
                        </w:rPr>
                        <w:t xml:space="preserve"> </w:t>
                      </w:r>
                      <w:r w:rsidRPr="003A6B0E">
                        <w:rPr>
                          <w:rFonts w:ascii="Times New Roman" w:eastAsia="Times New Roman" w:hAnsi="Times New Roman" w:cs="Times New Roman"/>
                          <w:noProof/>
                          <w:sz w:val="24"/>
                          <w:szCs w:val="24"/>
                          <w:lang w:val="it-IT"/>
                        </w:rPr>
                        <w:t>C- Cil</w:t>
                      </w:r>
                      <w:r w:rsidRPr="003A6B0E">
                        <w:rPr>
                          <w:rFonts w:ascii="Times New Roman" w:eastAsia="Times New Roman" w:hAnsi="Times New Roman" w:cs="Times New Roman"/>
                          <w:sz w:val="24"/>
                          <w:szCs w:val="24"/>
                          <w:lang w:val="sq-AL"/>
                        </w:rPr>
                        <w:t>ë</w:t>
                      </w:r>
                      <w:r w:rsidRPr="003A6B0E">
                        <w:rPr>
                          <w:rFonts w:ascii="Times New Roman" w:eastAsia="Times New Roman" w:hAnsi="Times New Roman" w:cs="Times New Roman"/>
                          <w:noProof/>
                          <w:sz w:val="24"/>
                          <w:szCs w:val="24"/>
                          <w:lang w:val="it-IT"/>
                        </w:rPr>
                        <w:t xml:space="preserve">si e mjaftueshme ( 1 </w:t>
                      </w:r>
                      <w:r w:rsidRPr="003A6B0E">
                        <w:rPr>
                          <w:rFonts w:ascii="Times New Roman" w:eastAsia="Times New Roman" w:hAnsi="Times New Roman" w:cs="Times New Roman"/>
                          <w:sz w:val="24"/>
                          <w:szCs w:val="24"/>
                          <w:lang w:val="sq-AL"/>
                        </w:rPr>
                        <w:t>pik</w:t>
                      </w:r>
                      <w:r w:rsidRPr="003A6B0E">
                        <w:rPr>
                          <w:rFonts w:ascii="Times New Roman" w:eastAsia="Times New Roman" w:hAnsi="Times New Roman" w:cs="Times New Roman"/>
                          <w:noProof/>
                          <w:sz w:val="24"/>
                          <w:szCs w:val="24"/>
                          <w:lang w:val="it-IT"/>
                        </w:rPr>
                        <w:t>ë)</w:t>
                      </w:r>
                      <w:r w:rsidRPr="003A6B0E">
                        <w:rPr>
                          <w:rFonts w:ascii="Times New Roman" w:eastAsia="Times New Roman" w:hAnsi="Times New Roman" w:cs="Times New Roman"/>
                          <w:sz w:val="24"/>
                          <w:szCs w:val="24"/>
                          <w:lang w:val="sq-AL"/>
                        </w:rPr>
                        <w:t xml:space="preserve">. </w:t>
                      </w:r>
                      <w:r w:rsidRPr="003A6B0E">
                        <w:rPr>
                          <w:rFonts w:ascii="Times New Roman" w:eastAsia="Times New Roman" w:hAnsi="Times New Roman" w:cs="Times New Roman"/>
                          <w:noProof/>
                          <w:sz w:val="24"/>
                          <w:szCs w:val="24"/>
                          <w:lang w:val="sq-AL"/>
                        </w:rPr>
                        <w:t>N</w:t>
                      </w:r>
                      <w:r w:rsidRPr="003A6B0E">
                        <w:rPr>
                          <w:rFonts w:ascii="Times New Roman" w:eastAsia="Times New Roman" w:hAnsi="Times New Roman" w:cs="Times New Roman"/>
                          <w:noProof/>
                          <w:sz w:val="24"/>
                          <w:szCs w:val="24"/>
                          <w:lang w:val="it-IT"/>
                        </w:rPr>
                        <w:t xml:space="preserve">ë </w:t>
                      </w:r>
                      <w:r w:rsidRPr="003A6B0E">
                        <w:rPr>
                          <w:rFonts w:ascii="Times New Roman" w:eastAsia="Times New Roman" w:hAnsi="Times New Roman" w:cs="Times New Roman"/>
                          <w:noProof/>
                          <w:sz w:val="24"/>
                          <w:szCs w:val="24"/>
                          <w:lang w:val="hr-HR"/>
                        </w:rPr>
                        <w:t xml:space="preserve">kategorinë </w:t>
                      </w:r>
                      <w:r w:rsidRPr="003A6B0E">
                        <w:rPr>
                          <w:rFonts w:ascii="Times New Roman" w:eastAsia="Times New Roman" w:hAnsi="Times New Roman" w:cs="Times New Roman"/>
                          <w:noProof/>
                          <w:sz w:val="24"/>
                          <w:szCs w:val="24"/>
                          <w:lang w:val="it-IT"/>
                        </w:rPr>
                        <w:t xml:space="preserve">D- Cilësi e keqe e ujërave larës </w:t>
                      </w:r>
                      <w:r w:rsidRPr="003A6B0E">
                        <w:rPr>
                          <w:rFonts w:ascii="Times New Roman" w:eastAsia="Times New Roman" w:hAnsi="Times New Roman" w:cs="Times New Roman"/>
                          <w:sz w:val="24"/>
                          <w:szCs w:val="24"/>
                          <w:lang w:val="sq-AL"/>
                        </w:rPr>
                        <w:t>vler</w:t>
                      </w:r>
                      <w:r w:rsidRPr="003A6B0E">
                        <w:rPr>
                          <w:rFonts w:ascii="Times New Roman" w:eastAsia="Times New Roman" w:hAnsi="Times New Roman" w:cs="Times New Roman"/>
                          <w:noProof/>
                          <w:sz w:val="24"/>
                          <w:szCs w:val="24"/>
                          <w:lang w:val="it-IT"/>
                        </w:rPr>
                        <w:t>ë</w:t>
                      </w:r>
                      <w:r w:rsidRPr="003A6B0E">
                        <w:rPr>
                          <w:rFonts w:ascii="Times New Roman" w:eastAsia="Times New Roman" w:hAnsi="Times New Roman" w:cs="Times New Roman"/>
                          <w:sz w:val="24"/>
                          <w:szCs w:val="24"/>
                          <w:lang w:val="sq-AL"/>
                        </w:rPr>
                        <w:t xml:space="preserve">sohen (4 pika). </w:t>
                      </w:r>
                    </w:p>
                    <w:p w:rsidR="0064059F" w:rsidRDefault="0064059F" w:rsidP="00DD196F">
                      <w:pPr>
                        <w:jc w:val="center"/>
                      </w:pPr>
                    </w:p>
                  </w:txbxContent>
                </v:textbox>
              </v:rect>
            </w:pict>
          </mc:Fallback>
        </mc:AlternateContent>
      </w:r>
      <w:r w:rsidRPr="00DD196F">
        <w:rPr>
          <w:rFonts w:ascii="Times New Roman" w:eastAsiaTheme="minorEastAsia" w:hAnsi="Times New Roman" w:cs="Times New Roman"/>
          <w:noProof/>
          <w:sz w:val="24"/>
          <w:szCs w:val="24"/>
        </w:rPr>
        <w:drawing>
          <wp:inline distT="0" distB="0" distL="0" distR="0" wp14:anchorId="09B9D3B3" wp14:editId="38FB3080">
            <wp:extent cx="3079750" cy="2647950"/>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084830" cy="2652318"/>
                    </a:xfrm>
                    <a:prstGeom prst="rect">
                      <a:avLst/>
                    </a:prstGeom>
                    <a:noFill/>
                  </pic:spPr>
                </pic:pic>
              </a:graphicData>
            </a:graphic>
          </wp:inline>
        </w:drawing>
      </w:r>
    </w:p>
    <w:p w:rsidR="000B7598" w:rsidRPr="0027749A" w:rsidRDefault="0027749A" w:rsidP="00807975">
      <w:pPr>
        <w:pStyle w:val="ListParagraph"/>
        <w:numPr>
          <w:ilvl w:val="0"/>
          <w:numId w:val="87"/>
        </w:numPr>
        <w:spacing w:after="200" w:line="276" w:lineRule="auto"/>
        <w:jc w:val="both"/>
        <w:rPr>
          <w:rFonts w:ascii="Times New Roman" w:eastAsia="Calibri" w:hAnsi="Times New Roman" w:cs="Times New Roman"/>
          <w:b/>
          <w:sz w:val="24"/>
          <w:szCs w:val="24"/>
        </w:rPr>
      </w:pPr>
      <w:r w:rsidRPr="0027749A">
        <w:rPr>
          <w:rFonts w:ascii="Times New Roman" w:eastAsia="Calibri" w:hAnsi="Times New Roman" w:cs="Times New Roman"/>
          <w:b/>
          <w:sz w:val="24"/>
          <w:szCs w:val="24"/>
        </w:rPr>
        <w:t>C</w:t>
      </w:r>
      <w:r w:rsidR="000B7598" w:rsidRPr="0027749A">
        <w:rPr>
          <w:rFonts w:ascii="Times New Roman" w:eastAsia="Calibri" w:hAnsi="Times New Roman" w:cs="Times New Roman"/>
          <w:b/>
          <w:sz w:val="24"/>
          <w:szCs w:val="24"/>
        </w:rPr>
        <w:t>ilësi</w:t>
      </w:r>
      <w:r w:rsidRPr="0027749A">
        <w:rPr>
          <w:rFonts w:ascii="Times New Roman" w:eastAsia="Calibri" w:hAnsi="Times New Roman" w:cs="Times New Roman"/>
          <w:b/>
          <w:sz w:val="24"/>
          <w:szCs w:val="24"/>
        </w:rPr>
        <w:t>a e</w:t>
      </w:r>
      <w:r w:rsidR="000B7598" w:rsidRPr="0027749A">
        <w:rPr>
          <w:rFonts w:ascii="Times New Roman" w:eastAsia="Calibri" w:hAnsi="Times New Roman" w:cs="Times New Roman"/>
          <w:b/>
          <w:sz w:val="24"/>
          <w:szCs w:val="24"/>
        </w:rPr>
        <w:t xml:space="preserve"> ujërave bregdetare në Dhërmi, </w:t>
      </w:r>
      <w:r w:rsidR="00503CC0">
        <w:rPr>
          <w:rFonts w:ascii="Times New Roman" w:eastAsia="Calibri" w:hAnsi="Times New Roman" w:cs="Times New Roman"/>
          <w:b/>
          <w:sz w:val="24"/>
          <w:szCs w:val="24"/>
        </w:rPr>
        <w:t xml:space="preserve">Himarë, </w:t>
      </w:r>
      <w:r w:rsidR="000B7598" w:rsidRPr="0027749A">
        <w:rPr>
          <w:rFonts w:ascii="Times New Roman" w:eastAsia="Calibri" w:hAnsi="Times New Roman" w:cs="Times New Roman"/>
          <w:b/>
          <w:sz w:val="24"/>
          <w:szCs w:val="24"/>
        </w:rPr>
        <w:t>Borsh, Lukovë, Zv</w:t>
      </w:r>
      <w:r w:rsidR="00503CC0">
        <w:rPr>
          <w:rFonts w:ascii="Times New Roman" w:eastAsia="Calibri" w:hAnsi="Times New Roman" w:cs="Times New Roman"/>
          <w:b/>
          <w:sz w:val="24"/>
          <w:szCs w:val="24"/>
        </w:rPr>
        <w:t>ë</w:t>
      </w:r>
      <w:r w:rsidR="000B7598" w:rsidRPr="0027749A">
        <w:rPr>
          <w:rFonts w:ascii="Times New Roman" w:eastAsia="Calibri" w:hAnsi="Times New Roman" w:cs="Times New Roman"/>
          <w:b/>
          <w:sz w:val="24"/>
          <w:szCs w:val="24"/>
        </w:rPr>
        <w:t>rnec dhe Ksamil</w:t>
      </w:r>
    </w:p>
    <w:p w:rsidR="000B7598" w:rsidRDefault="0027749A" w:rsidP="0027749A">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0B7598" w:rsidRPr="000B7598">
        <w:rPr>
          <w:rFonts w:ascii="Times New Roman" w:eastAsia="Calibri" w:hAnsi="Times New Roman" w:cs="Times New Roman"/>
          <w:sz w:val="24"/>
          <w:szCs w:val="24"/>
        </w:rPr>
        <w:t xml:space="preserve">ër vitin 2025 është realizuar </w:t>
      </w:r>
      <w:r>
        <w:rPr>
          <w:rFonts w:ascii="Times New Roman" w:eastAsia="Calibri" w:hAnsi="Times New Roman" w:cs="Times New Roman"/>
          <w:sz w:val="24"/>
          <w:szCs w:val="24"/>
        </w:rPr>
        <w:t xml:space="preserve">monitorimi dhe </w:t>
      </w:r>
      <w:r w:rsidR="000B7598" w:rsidRPr="000B7598">
        <w:rPr>
          <w:rFonts w:ascii="Times New Roman" w:eastAsia="Calibri" w:hAnsi="Times New Roman" w:cs="Times New Roman"/>
          <w:sz w:val="24"/>
          <w:szCs w:val="24"/>
        </w:rPr>
        <w:t xml:space="preserve">vlerësimi i parametrave fiziko – kimikë në </w:t>
      </w:r>
      <w:r>
        <w:rPr>
          <w:rFonts w:ascii="Times New Roman" w:eastAsia="Calibri" w:hAnsi="Times New Roman" w:cs="Times New Roman"/>
          <w:sz w:val="24"/>
          <w:szCs w:val="24"/>
        </w:rPr>
        <w:t xml:space="preserve"> ujërat e </w:t>
      </w:r>
      <w:r w:rsidR="000B7598" w:rsidRPr="000B7598">
        <w:rPr>
          <w:rFonts w:ascii="Times New Roman" w:eastAsia="Calibri" w:hAnsi="Times New Roman" w:cs="Times New Roman"/>
          <w:sz w:val="24"/>
          <w:szCs w:val="24"/>
        </w:rPr>
        <w:t>zona</w:t>
      </w:r>
      <w:r>
        <w:rPr>
          <w:rFonts w:ascii="Times New Roman" w:eastAsia="Calibri" w:hAnsi="Times New Roman" w:cs="Times New Roman"/>
          <w:sz w:val="24"/>
          <w:szCs w:val="24"/>
        </w:rPr>
        <w:t xml:space="preserve">ve </w:t>
      </w:r>
      <w:r w:rsidR="000B7598" w:rsidRPr="000B7598">
        <w:rPr>
          <w:rFonts w:ascii="Times New Roman" w:eastAsia="Calibri" w:hAnsi="Times New Roman" w:cs="Times New Roman"/>
          <w:sz w:val="24"/>
          <w:szCs w:val="24"/>
        </w:rPr>
        <w:t xml:space="preserve">bregdetare </w:t>
      </w:r>
      <w:r>
        <w:rPr>
          <w:rFonts w:ascii="Times New Roman" w:eastAsia="Calibri" w:hAnsi="Times New Roman" w:cs="Times New Roman"/>
          <w:sz w:val="24"/>
          <w:szCs w:val="24"/>
        </w:rPr>
        <w:t xml:space="preserve">sipas stacioneve të </w:t>
      </w:r>
      <w:r w:rsidR="000B7598" w:rsidRPr="000B7598">
        <w:rPr>
          <w:rFonts w:ascii="Times New Roman" w:eastAsia="Calibri" w:hAnsi="Times New Roman" w:cs="Times New Roman"/>
          <w:sz w:val="24"/>
          <w:szCs w:val="24"/>
        </w:rPr>
        <w:t>paraqitur</w:t>
      </w:r>
      <w:r>
        <w:rPr>
          <w:rFonts w:ascii="Times New Roman" w:eastAsia="Calibri" w:hAnsi="Times New Roman" w:cs="Times New Roman"/>
          <w:sz w:val="24"/>
          <w:szCs w:val="24"/>
        </w:rPr>
        <w:t>a</w:t>
      </w:r>
      <w:r w:rsidR="000B7598" w:rsidRPr="000B7598">
        <w:rPr>
          <w:rFonts w:ascii="Times New Roman" w:eastAsia="Calibri" w:hAnsi="Times New Roman" w:cs="Times New Roman"/>
          <w:sz w:val="24"/>
          <w:szCs w:val="24"/>
        </w:rPr>
        <w:t xml:space="preserve"> në tabelën më poshtë.</w:t>
      </w:r>
    </w:p>
    <w:p w:rsidR="006C2F5F" w:rsidRPr="0027749A" w:rsidRDefault="00CD2C3A" w:rsidP="0027749A">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C2F5F">
        <w:rPr>
          <w:rFonts w:ascii="Times New Roman" w:eastAsia="Calibri" w:hAnsi="Times New Roman" w:cs="Times New Roman"/>
          <w:sz w:val="24"/>
          <w:szCs w:val="24"/>
        </w:rPr>
        <w:t xml:space="preserve">Tabela </w:t>
      </w:r>
      <w:r w:rsidR="00715C31">
        <w:rPr>
          <w:rFonts w:ascii="Times New Roman" w:eastAsia="Calibri" w:hAnsi="Times New Roman" w:cs="Times New Roman"/>
          <w:sz w:val="24"/>
          <w:szCs w:val="24"/>
        </w:rPr>
        <w:t>40</w:t>
      </w:r>
      <w:r w:rsidR="006C2F5F">
        <w:rPr>
          <w:rFonts w:ascii="Times New Roman" w:eastAsia="Calibri" w:hAnsi="Times New Roman" w:cs="Times New Roman"/>
          <w:sz w:val="24"/>
          <w:szCs w:val="24"/>
        </w:rPr>
        <w:t>. Stacionet e monitorimit të ujërave bregdetare</w:t>
      </w:r>
    </w:p>
    <w:tbl>
      <w:tblPr>
        <w:tblStyle w:val="TableGrid6"/>
        <w:tblW w:w="0" w:type="auto"/>
        <w:tblLook w:val="04A0" w:firstRow="1" w:lastRow="0" w:firstColumn="1" w:lastColumn="0" w:noHBand="0" w:noVBand="1"/>
      </w:tblPr>
      <w:tblGrid>
        <w:gridCol w:w="618"/>
        <w:gridCol w:w="1470"/>
        <w:gridCol w:w="1980"/>
        <w:gridCol w:w="3690"/>
        <w:gridCol w:w="1818"/>
      </w:tblGrid>
      <w:tr w:rsidR="000B7598" w:rsidRPr="000B7598" w:rsidTr="00D15B63">
        <w:tc>
          <w:tcPr>
            <w:tcW w:w="618" w:type="dxa"/>
          </w:tcPr>
          <w:p w:rsidR="000B7598" w:rsidRPr="000B7598" w:rsidRDefault="000B7598" w:rsidP="000B7598">
            <w:pPr>
              <w:jc w:val="both"/>
              <w:rPr>
                <w:rFonts w:ascii="Times New Roman" w:eastAsia="Calibri" w:hAnsi="Times New Roman" w:cs="Times New Roman"/>
                <w:b/>
                <w:lang w:val="sq-AL"/>
              </w:rPr>
            </w:pPr>
            <w:r w:rsidRPr="000B7598">
              <w:rPr>
                <w:rFonts w:ascii="Times New Roman" w:eastAsia="Calibri" w:hAnsi="Times New Roman" w:cs="Times New Roman"/>
                <w:b/>
                <w:lang w:val="sq-AL"/>
              </w:rPr>
              <w:t>Nr.</w:t>
            </w:r>
          </w:p>
        </w:tc>
        <w:tc>
          <w:tcPr>
            <w:tcW w:w="1470" w:type="dxa"/>
          </w:tcPr>
          <w:p w:rsidR="000B7598" w:rsidRPr="000B7598" w:rsidRDefault="000B7598" w:rsidP="000B7598">
            <w:pPr>
              <w:jc w:val="both"/>
              <w:rPr>
                <w:rFonts w:ascii="Times New Roman" w:eastAsia="Calibri" w:hAnsi="Times New Roman" w:cs="Times New Roman"/>
                <w:b/>
                <w:lang w:val="sq-AL"/>
              </w:rPr>
            </w:pPr>
            <w:r w:rsidRPr="000B7598">
              <w:rPr>
                <w:rFonts w:ascii="Times New Roman" w:eastAsia="Calibri" w:hAnsi="Times New Roman" w:cs="Times New Roman"/>
                <w:b/>
                <w:lang w:val="sq-AL"/>
              </w:rPr>
              <w:t>Kodi i kampionit</w:t>
            </w:r>
          </w:p>
        </w:tc>
        <w:tc>
          <w:tcPr>
            <w:tcW w:w="1980" w:type="dxa"/>
          </w:tcPr>
          <w:p w:rsidR="000B7598" w:rsidRPr="000B7598" w:rsidRDefault="000B7598" w:rsidP="000B7598">
            <w:pPr>
              <w:jc w:val="both"/>
              <w:rPr>
                <w:rFonts w:ascii="Times New Roman" w:eastAsia="Calibri" w:hAnsi="Times New Roman" w:cs="Times New Roman"/>
                <w:b/>
                <w:lang w:val="sq-AL"/>
              </w:rPr>
            </w:pPr>
            <w:r w:rsidRPr="000B7598">
              <w:rPr>
                <w:rFonts w:ascii="Times New Roman" w:eastAsia="Calibri" w:hAnsi="Times New Roman" w:cs="Times New Roman"/>
                <w:b/>
                <w:lang w:val="sq-AL"/>
              </w:rPr>
              <w:t>Emërtimi i stacionit</w:t>
            </w:r>
          </w:p>
        </w:tc>
        <w:tc>
          <w:tcPr>
            <w:tcW w:w="3690" w:type="dxa"/>
          </w:tcPr>
          <w:p w:rsidR="000B7598" w:rsidRPr="000B7598" w:rsidRDefault="000B7598" w:rsidP="000B7598">
            <w:pPr>
              <w:jc w:val="both"/>
              <w:rPr>
                <w:rFonts w:ascii="Times New Roman" w:eastAsia="Calibri" w:hAnsi="Times New Roman" w:cs="Times New Roman"/>
                <w:b/>
                <w:lang w:val="sq-AL"/>
              </w:rPr>
            </w:pPr>
            <w:r w:rsidRPr="000B7598">
              <w:rPr>
                <w:rFonts w:ascii="Times New Roman" w:eastAsia="Calibri" w:hAnsi="Times New Roman" w:cs="Times New Roman"/>
                <w:b/>
                <w:lang w:val="sq-AL"/>
              </w:rPr>
              <w:t>Vendndodhja</w:t>
            </w:r>
          </w:p>
        </w:tc>
        <w:tc>
          <w:tcPr>
            <w:tcW w:w="1818" w:type="dxa"/>
          </w:tcPr>
          <w:p w:rsidR="000B7598" w:rsidRPr="000B7598" w:rsidRDefault="000B7598" w:rsidP="000B7598">
            <w:pPr>
              <w:jc w:val="both"/>
              <w:rPr>
                <w:rFonts w:ascii="Times New Roman" w:eastAsia="Calibri" w:hAnsi="Times New Roman" w:cs="Times New Roman"/>
                <w:b/>
                <w:lang w:val="sq-AL"/>
              </w:rPr>
            </w:pPr>
            <w:r w:rsidRPr="000B7598">
              <w:rPr>
                <w:rFonts w:ascii="Times New Roman" w:eastAsia="Calibri" w:hAnsi="Times New Roman" w:cs="Times New Roman"/>
                <w:b/>
                <w:lang w:val="sq-AL"/>
              </w:rPr>
              <w:t>Koordinatat gjeografike</w:t>
            </w:r>
          </w:p>
        </w:tc>
      </w:tr>
      <w:tr w:rsidR="000B7598" w:rsidRPr="000B7598" w:rsidTr="00D15B63">
        <w:tc>
          <w:tcPr>
            <w:tcW w:w="618" w:type="dxa"/>
          </w:tcPr>
          <w:p w:rsidR="000B7598" w:rsidRPr="000B7598" w:rsidRDefault="000B7598" w:rsidP="000B7598">
            <w:pPr>
              <w:jc w:val="both"/>
              <w:rPr>
                <w:rFonts w:ascii="Times New Roman" w:eastAsia="Calibri" w:hAnsi="Times New Roman" w:cs="Times New Roman"/>
                <w:b/>
                <w:lang w:val="sq-AL"/>
              </w:rPr>
            </w:pPr>
            <w:r w:rsidRPr="000B7598">
              <w:rPr>
                <w:rFonts w:ascii="Times New Roman" w:eastAsia="Calibri" w:hAnsi="Times New Roman" w:cs="Times New Roman"/>
                <w:b/>
                <w:lang w:val="sq-AL"/>
              </w:rPr>
              <w:t>1.</w:t>
            </w:r>
          </w:p>
        </w:tc>
        <w:tc>
          <w:tcPr>
            <w:tcW w:w="1470"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Dhe</w:t>
            </w:r>
          </w:p>
        </w:tc>
        <w:tc>
          <w:tcPr>
            <w:tcW w:w="1980"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Zon</w:t>
            </w:r>
            <w:r w:rsidRPr="000B7598">
              <w:rPr>
                <w:rFonts w:ascii="Times New Roman" w:eastAsia="Calibri" w:hAnsi="Times New Roman" w:cs="Times New Roman"/>
              </w:rPr>
              <w:t>ë</w:t>
            </w:r>
            <w:r w:rsidRPr="000B7598">
              <w:rPr>
                <w:rFonts w:ascii="Times New Roman" w:eastAsia="Calibri" w:hAnsi="Times New Roman" w:cs="Times New Roman"/>
                <w:lang w:val="sq-AL"/>
              </w:rPr>
              <w:t xml:space="preserve"> bregdetare</w:t>
            </w:r>
          </w:p>
        </w:tc>
        <w:tc>
          <w:tcPr>
            <w:tcW w:w="3690"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N</w:t>
            </w:r>
            <w:r w:rsidRPr="000B7598">
              <w:rPr>
                <w:rFonts w:ascii="Times New Roman" w:eastAsia="Calibri" w:hAnsi="Times New Roman" w:cs="Times New Roman"/>
              </w:rPr>
              <w:t>ë</w:t>
            </w:r>
            <w:r w:rsidRPr="000B7598">
              <w:rPr>
                <w:rFonts w:ascii="Times New Roman" w:eastAsia="Calibri" w:hAnsi="Times New Roman" w:cs="Times New Roman"/>
                <w:lang w:val="sq-AL"/>
              </w:rPr>
              <w:t xml:space="preserve"> mes t</w:t>
            </w:r>
            <w:r w:rsidRPr="000B7598">
              <w:rPr>
                <w:rFonts w:ascii="Times New Roman" w:eastAsia="Calibri" w:hAnsi="Times New Roman" w:cs="Times New Roman"/>
              </w:rPr>
              <w:t>ë</w:t>
            </w:r>
            <w:r w:rsidRPr="000B7598">
              <w:rPr>
                <w:rFonts w:ascii="Times New Roman" w:eastAsia="Calibri" w:hAnsi="Times New Roman" w:cs="Times New Roman"/>
                <w:lang w:val="sq-AL"/>
              </w:rPr>
              <w:t xml:space="preserve"> plazhit kryesor</w:t>
            </w:r>
          </w:p>
        </w:tc>
        <w:tc>
          <w:tcPr>
            <w:tcW w:w="1818"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N 40.083187</w:t>
            </w:r>
          </w:p>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E 19.380408</w:t>
            </w:r>
          </w:p>
        </w:tc>
      </w:tr>
      <w:tr w:rsidR="000B7598" w:rsidRPr="000B7598" w:rsidTr="00D15B63">
        <w:trPr>
          <w:trHeight w:val="323"/>
        </w:trPr>
        <w:tc>
          <w:tcPr>
            <w:tcW w:w="618" w:type="dxa"/>
          </w:tcPr>
          <w:p w:rsidR="000B7598" w:rsidRPr="000B7598" w:rsidRDefault="000B7598" w:rsidP="000B7598">
            <w:pPr>
              <w:jc w:val="both"/>
              <w:rPr>
                <w:rFonts w:ascii="Times New Roman" w:eastAsia="Calibri" w:hAnsi="Times New Roman" w:cs="Times New Roman"/>
                <w:b/>
                <w:lang w:val="sq-AL"/>
              </w:rPr>
            </w:pPr>
            <w:r w:rsidRPr="000B7598">
              <w:rPr>
                <w:rFonts w:ascii="Times New Roman" w:eastAsia="Calibri" w:hAnsi="Times New Roman" w:cs="Times New Roman"/>
                <w:b/>
                <w:lang w:val="sq-AL"/>
              </w:rPr>
              <w:t>2.</w:t>
            </w:r>
          </w:p>
        </w:tc>
        <w:tc>
          <w:tcPr>
            <w:tcW w:w="1470"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Hi</w:t>
            </w:r>
          </w:p>
        </w:tc>
        <w:tc>
          <w:tcPr>
            <w:tcW w:w="1980"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Zon</w:t>
            </w:r>
            <w:r w:rsidRPr="000B7598">
              <w:rPr>
                <w:rFonts w:ascii="Times New Roman" w:eastAsia="Calibri" w:hAnsi="Times New Roman" w:cs="Times New Roman"/>
              </w:rPr>
              <w:t>ë</w:t>
            </w:r>
            <w:r w:rsidRPr="000B7598">
              <w:rPr>
                <w:rFonts w:ascii="Times New Roman" w:eastAsia="Calibri" w:hAnsi="Times New Roman" w:cs="Times New Roman"/>
                <w:lang w:val="sq-AL"/>
              </w:rPr>
              <w:t xml:space="preserve"> bregdetare</w:t>
            </w:r>
          </w:p>
        </w:tc>
        <w:tc>
          <w:tcPr>
            <w:tcW w:w="3690"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Plazhi n</w:t>
            </w:r>
            <w:r w:rsidRPr="000B7598">
              <w:rPr>
                <w:rFonts w:ascii="Times New Roman" w:eastAsia="Calibri" w:hAnsi="Times New Roman" w:cs="Times New Roman"/>
              </w:rPr>
              <w:t>ë</w:t>
            </w:r>
            <w:r w:rsidRPr="000B7598">
              <w:rPr>
                <w:rFonts w:ascii="Times New Roman" w:eastAsia="Calibri" w:hAnsi="Times New Roman" w:cs="Times New Roman"/>
                <w:lang w:val="sq-AL"/>
              </w:rPr>
              <w:t xml:space="preserve"> mes t</w:t>
            </w:r>
            <w:r w:rsidRPr="000B7598">
              <w:rPr>
                <w:rFonts w:ascii="Times New Roman" w:eastAsia="Calibri" w:hAnsi="Times New Roman" w:cs="Times New Roman"/>
              </w:rPr>
              <w:t>ë</w:t>
            </w:r>
            <w:r w:rsidRPr="000B7598">
              <w:rPr>
                <w:rFonts w:ascii="Times New Roman" w:eastAsia="Calibri" w:hAnsi="Times New Roman" w:cs="Times New Roman"/>
                <w:lang w:val="sq-AL"/>
              </w:rPr>
              <w:t xml:space="preserve"> qytetit t</w:t>
            </w:r>
            <w:r w:rsidRPr="000B7598">
              <w:rPr>
                <w:rFonts w:ascii="Times New Roman" w:eastAsia="Calibri" w:hAnsi="Times New Roman" w:cs="Times New Roman"/>
              </w:rPr>
              <w:t>ë</w:t>
            </w:r>
            <w:r w:rsidRPr="000B7598">
              <w:rPr>
                <w:rFonts w:ascii="Times New Roman" w:eastAsia="Calibri" w:hAnsi="Times New Roman" w:cs="Times New Roman"/>
                <w:lang w:val="sq-AL"/>
              </w:rPr>
              <w:t xml:space="preserve"> Himar</w:t>
            </w:r>
            <w:r w:rsidRPr="000B7598">
              <w:rPr>
                <w:rFonts w:ascii="Times New Roman" w:eastAsia="Calibri" w:hAnsi="Times New Roman" w:cs="Times New Roman"/>
              </w:rPr>
              <w:t>ë</w:t>
            </w:r>
            <w:r w:rsidRPr="000B7598">
              <w:rPr>
                <w:rFonts w:ascii="Times New Roman" w:eastAsia="Calibri" w:hAnsi="Times New Roman" w:cs="Times New Roman"/>
                <w:lang w:val="sq-AL"/>
              </w:rPr>
              <w:t>s</w:t>
            </w:r>
          </w:p>
        </w:tc>
        <w:tc>
          <w:tcPr>
            <w:tcW w:w="1818"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N 40.060153</w:t>
            </w:r>
          </w:p>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E 19.443742</w:t>
            </w:r>
          </w:p>
        </w:tc>
      </w:tr>
      <w:tr w:rsidR="000B7598" w:rsidRPr="000B7598" w:rsidTr="00D15B63">
        <w:tc>
          <w:tcPr>
            <w:tcW w:w="618" w:type="dxa"/>
          </w:tcPr>
          <w:p w:rsidR="000B7598" w:rsidRPr="000B7598" w:rsidRDefault="000B7598" w:rsidP="000B7598">
            <w:pPr>
              <w:jc w:val="both"/>
              <w:rPr>
                <w:rFonts w:ascii="Times New Roman" w:eastAsia="Calibri" w:hAnsi="Times New Roman" w:cs="Times New Roman"/>
                <w:b/>
                <w:lang w:val="sq-AL"/>
              </w:rPr>
            </w:pPr>
            <w:r w:rsidRPr="000B7598">
              <w:rPr>
                <w:rFonts w:ascii="Times New Roman" w:eastAsia="Calibri" w:hAnsi="Times New Roman" w:cs="Times New Roman"/>
                <w:b/>
                <w:lang w:val="sq-AL"/>
              </w:rPr>
              <w:t>3.</w:t>
            </w:r>
          </w:p>
        </w:tc>
        <w:tc>
          <w:tcPr>
            <w:tcW w:w="1470"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Bo</w:t>
            </w:r>
          </w:p>
        </w:tc>
        <w:tc>
          <w:tcPr>
            <w:tcW w:w="1980"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Zon</w:t>
            </w:r>
            <w:r w:rsidRPr="000B7598">
              <w:rPr>
                <w:rFonts w:ascii="Times New Roman" w:eastAsia="Calibri" w:hAnsi="Times New Roman" w:cs="Times New Roman"/>
              </w:rPr>
              <w:t>ë</w:t>
            </w:r>
            <w:r w:rsidRPr="000B7598">
              <w:rPr>
                <w:rFonts w:ascii="Times New Roman" w:eastAsia="Calibri" w:hAnsi="Times New Roman" w:cs="Times New Roman"/>
                <w:lang w:val="sq-AL"/>
              </w:rPr>
              <w:t xml:space="preserve"> bregdetare</w:t>
            </w:r>
          </w:p>
        </w:tc>
        <w:tc>
          <w:tcPr>
            <w:tcW w:w="3690"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N</w:t>
            </w:r>
            <w:r w:rsidRPr="000B7598">
              <w:rPr>
                <w:rFonts w:ascii="Times New Roman" w:eastAsia="Calibri" w:hAnsi="Times New Roman" w:cs="Times New Roman"/>
              </w:rPr>
              <w:t>ë</w:t>
            </w:r>
            <w:r w:rsidRPr="000B7598">
              <w:rPr>
                <w:rFonts w:ascii="Times New Roman" w:eastAsia="Calibri" w:hAnsi="Times New Roman" w:cs="Times New Roman"/>
                <w:lang w:val="sq-AL"/>
              </w:rPr>
              <w:t xml:space="preserve"> det 100 m larg bregut</w:t>
            </w:r>
          </w:p>
        </w:tc>
        <w:tc>
          <w:tcPr>
            <w:tcW w:w="1818"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N 40.023901</w:t>
            </w:r>
          </w:p>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E 19.503488</w:t>
            </w:r>
          </w:p>
        </w:tc>
      </w:tr>
      <w:tr w:rsidR="000B7598" w:rsidRPr="000B7598" w:rsidTr="00D15B63">
        <w:tc>
          <w:tcPr>
            <w:tcW w:w="618" w:type="dxa"/>
          </w:tcPr>
          <w:p w:rsidR="000B7598" w:rsidRPr="000B7598" w:rsidRDefault="000B7598" w:rsidP="000B7598">
            <w:pPr>
              <w:jc w:val="both"/>
              <w:rPr>
                <w:rFonts w:ascii="Times New Roman" w:eastAsia="Calibri" w:hAnsi="Times New Roman" w:cs="Times New Roman"/>
                <w:b/>
                <w:lang w:val="sq-AL"/>
              </w:rPr>
            </w:pPr>
            <w:r w:rsidRPr="000B7598">
              <w:rPr>
                <w:rFonts w:ascii="Times New Roman" w:eastAsia="Calibri" w:hAnsi="Times New Roman" w:cs="Times New Roman"/>
                <w:b/>
                <w:lang w:val="sq-AL"/>
              </w:rPr>
              <w:t>4.</w:t>
            </w:r>
          </w:p>
        </w:tc>
        <w:tc>
          <w:tcPr>
            <w:tcW w:w="1470"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Lu</w:t>
            </w:r>
          </w:p>
        </w:tc>
        <w:tc>
          <w:tcPr>
            <w:tcW w:w="1980"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Zon</w:t>
            </w:r>
            <w:r w:rsidRPr="000B7598">
              <w:rPr>
                <w:rFonts w:ascii="Times New Roman" w:eastAsia="Calibri" w:hAnsi="Times New Roman" w:cs="Times New Roman"/>
              </w:rPr>
              <w:t>ë</w:t>
            </w:r>
            <w:r w:rsidRPr="000B7598">
              <w:rPr>
                <w:rFonts w:ascii="Times New Roman" w:eastAsia="Calibri" w:hAnsi="Times New Roman" w:cs="Times New Roman"/>
                <w:lang w:val="sq-AL"/>
              </w:rPr>
              <w:t xml:space="preserve"> bregdetare</w:t>
            </w:r>
          </w:p>
        </w:tc>
        <w:tc>
          <w:tcPr>
            <w:tcW w:w="3690"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N</w:t>
            </w:r>
            <w:r w:rsidRPr="000B7598">
              <w:rPr>
                <w:rFonts w:ascii="Times New Roman" w:eastAsia="Calibri" w:hAnsi="Times New Roman" w:cs="Times New Roman"/>
              </w:rPr>
              <w:t>ë</w:t>
            </w:r>
            <w:r w:rsidRPr="000B7598">
              <w:rPr>
                <w:rFonts w:ascii="Times New Roman" w:eastAsia="Calibri" w:hAnsi="Times New Roman" w:cs="Times New Roman"/>
                <w:lang w:val="sq-AL"/>
              </w:rPr>
              <w:t xml:space="preserve"> det 100 m larg bregut</w:t>
            </w:r>
          </w:p>
        </w:tc>
        <w:tc>
          <w:tcPr>
            <w:tcW w:w="1818"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N 39.582651</w:t>
            </w:r>
          </w:p>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E 19.543780</w:t>
            </w:r>
          </w:p>
        </w:tc>
      </w:tr>
      <w:tr w:rsidR="000B7598" w:rsidRPr="000B7598" w:rsidTr="00D15B63">
        <w:tc>
          <w:tcPr>
            <w:tcW w:w="618" w:type="dxa"/>
          </w:tcPr>
          <w:p w:rsidR="000B7598" w:rsidRPr="000B7598" w:rsidRDefault="000B7598" w:rsidP="000B7598">
            <w:pPr>
              <w:jc w:val="both"/>
              <w:rPr>
                <w:rFonts w:ascii="Times New Roman" w:eastAsia="Calibri" w:hAnsi="Times New Roman" w:cs="Times New Roman"/>
                <w:b/>
                <w:lang w:val="sq-AL"/>
              </w:rPr>
            </w:pPr>
            <w:r w:rsidRPr="000B7598">
              <w:rPr>
                <w:rFonts w:ascii="Times New Roman" w:eastAsia="Calibri" w:hAnsi="Times New Roman" w:cs="Times New Roman"/>
                <w:b/>
                <w:lang w:val="sq-AL"/>
              </w:rPr>
              <w:t>5.</w:t>
            </w:r>
          </w:p>
        </w:tc>
        <w:tc>
          <w:tcPr>
            <w:tcW w:w="1470"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Ks</w:t>
            </w:r>
          </w:p>
        </w:tc>
        <w:tc>
          <w:tcPr>
            <w:tcW w:w="1980"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Zon</w:t>
            </w:r>
            <w:r w:rsidRPr="000B7598">
              <w:rPr>
                <w:rFonts w:ascii="Times New Roman" w:eastAsia="Calibri" w:hAnsi="Times New Roman" w:cs="Times New Roman"/>
              </w:rPr>
              <w:t>ë</w:t>
            </w:r>
            <w:r w:rsidRPr="000B7598">
              <w:rPr>
                <w:rFonts w:ascii="Times New Roman" w:eastAsia="Calibri" w:hAnsi="Times New Roman" w:cs="Times New Roman"/>
                <w:lang w:val="sq-AL"/>
              </w:rPr>
              <w:t xml:space="preserve"> bregdetare</w:t>
            </w:r>
          </w:p>
        </w:tc>
        <w:tc>
          <w:tcPr>
            <w:tcW w:w="3690" w:type="dxa"/>
          </w:tcPr>
          <w:p w:rsidR="000B7598" w:rsidRPr="000B7598" w:rsidRDefault="000B7598" w:rsidP="000B7598">
            <w:pPr>
              <w:rPr>
                <w:rFonts w:ascii="Times New Roman" w:eastAsia="Calibri" w:hAnsi="Times New Roman" w:cs="Times New Roman"/>
              </w:rPr>
            </w:pPr>
            <w:r w:rsidRPr="000B7598">
              <w:rPr>
                <w:rFonts w:ascii="Times New Roman" w:eastAsia="Calibri" w:hAnsi="Times New Roman" w:cs="Times New Roman"/>
              </w:rPr>
              <w:t>Në det 100 m nga bregu, në mes të plazhit</w:t>
            </w:r>
          </w:p>
        </w:tc>
        <w:tc>
          <w:tcPr>
            <w:tcW w:w="1818"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N 39.462753</w:t>
            </w:r>
          </w:p>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E 20.000157</w:t>
            </w:r>
          </w:p>
        </w:tc>
      </w:tr>
      <w:tr w:rsidR="000B7598" w:rsidRPr="000B7598" w:rsidTr="00D15B63">
        <w:tc>
          <w:tcPr>
            <w:tcW w:w="618" w:type="dxa"/>
          </w:tcPr>
          <w:p w:rsidR="000B7598" w:rsidRPr="000B7598" w:rsidRDefault="000B7598" w:rsidP="000B7598">
            <w:pPr>
              <w:jc w:val="both"/>
              <w:rPr>
                <w:rFonts w:ascii="Times New Roman" w:eastAsia="Calibri" w:hAnsi="Times New Roman" w:cs="Times New Roman"/>
                <w:b/>
                <w:lang w:val="sq-AL"/>
              </w:rPr>
            </w:pPr>
            <w:r w:rsidRPr="000B7598">
              <w:rPr>
                <w:rFonts w:ascii="Times New Roman" w:eastAsia="Calibri" w:hAnsi="Times New Roman" w:cs="Times New Roman"/>
                <w:b/>
                <w:lang w:val="sq-AL"/>
              </w:rPr>
              <w:t>6.</w:t>
            </w:r>
          </w:p>
        </w:tc>
        <w:tc>
          <w:tcPr>
            <w:tcW w:w="1470"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Zv</w:t>
            </w:r>
          </w:p>
        </w:tc>
        <w:tc>
          <w:tcPr>
            <w:tcW w:w="1980"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Zon</w:t>
            </w:r>
            <w:r w:rsidRPr="000B7598">
              <w:rPr>
                <w:rFonts w:ascii="Times New Roman" w:eastAsia="Calibri" w:hAnsi="Times New Roman" w:cs="Times New Roman"/>
              </w:rPr>
              <w:t>ë</w:t>
            </w:r>
            <w:r w:rsidRPr="000B7598">
              <w:rPr>
                <w:rFonts w:ascii="Times New Roman" w:eastAsia="Calibri" w:hAnsi="Times New Roman" w:cs="Times New Roman"/>
                <w:lang w:val="sq-AL"/>
              </w:rPr>
              <w:t xml:space="preserve"> bregdetare</w:t>
            </w:r>
          </w:p>
        </w:tc>
        <w:tc>
          <w:tcPr>
            <w:tcW w:w="3690" w:type="dxa"/>
          </w:tcPr>
          <w:p w:rsidR="000B7598" w:rsidRPr="000B7598" w:rsidRDefault="000B7598" w:rsidP="000B7598">
            <w:pPr>
              <w:rPr>
                <w:rFonts w:ascii="Times New Roman" w:eastAsia="Calibri" w:hAnsi="Times New Roman" w:cs="Times New Roman"/>
              </w:rPr>
            </w:pPr>
            <w:r w:rsidRPr="000B7598">
              <w:rPr>
                <w:rFonts w:ascii="Times New Roman" w:eastAsia="Calibri" w:hAnsi="Times New Roman" w:cs="Times New Roman"/>
              </w:rPr>
              <w:t>Në det 100 m nga bregu, në mes të plazhit</w:t>
            </w:r>
          </w:p>
        </w:tc>
        <w:tc>
          <w:tcPr>
            <w:tcW w:w="1818" w:type="dxa"/>
          </w:tcPr>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N 40.294703</w:t>
            </w:r>
          </w:p>
          <w:p w:rsidR="000B7598" w:rsidRPr="000B7598" w:rsidRDefault="000B7598" w:rsidP="000B7598">
            <w:pPr>
              <w:jc w:val="both"/>
              <w:rPr>
                <w:rFonts w:ascii="Times New Roman" w:eastAsia="Calibri" w:hAnsi="Times New Roman" w:cs="Times New Roman"/>
                <w:lang w:val="sq-AL"/>
              </w:rPr>
            </w:pPr>
            <w:r w:rsidRPr="000B7598">
              <w:rPr>
                <w:rFonts w:ascii="Times New Roman" w:eastAsia="Calibri" w:hAnsi="Times New Roman" w:cs="Times New Roman"/>
                <w:lang w:val="sq-AL"/>
              </w:rPr>
              <w:t>E 19.251227</w:t>
            </w:r>
          </w:p>
        </w:tc>
      </w:tr>
    </w:tbl>
    <w:p w:rsidR="000B7598" w:rsidRPr="000B7598" w:rsidRDefault="000B7598" w:rsidP="000B7598">
      <w:pPr>
        <w:spacing w:after="200" w:line="276" w:lineRule="auto"/>
        <w:rPr>
          <w:rFonts w:ascii="Times New Roman" w:eastAsia="Calibri" w:hAnsi="Times New Roman" w:cs="Times New Roman"/>
          <w:sz w:val="24"/>
          <w:szCs w:val="24"/>
        </w:rPr>
      </w:pPr>
    </w:p>
    <w:p w:rsidR="000B7598" w:rsidRPr="000B7598" w:rsidRDefault="000B7598" w:rsidP="004D460A">
      <w:pPr>
        <w:numPr>
          <w:ilvl w:val="0"/>
          <w:numId w:val="25"/>
        </w:numPr>
        <w:spacing w:after="200" w:line="276" w:lineRule="auto"/>
        <w:contextualSpacing/>
        <w:rPr>
          <w:rFonts w:ascii="Times New Roman" w:eastAsia="Calibri" w:hAnsi="Times New Roman" w:cs="Times New Roman"/>
          <w:sz w:val="24"/>
          <w:szCs w:val="24"/>
        </w:rPr>
      </w:pPr>
      <w:r w:rsidRPr="000B7598">
        <w:rPr>
          <w:rFonts w:ascii="Times New Roman" w:eastAsia="Calibri" w:hAnsi="Times New Roman" w:cs="Times New Roman"/>
          <w:sz w:val="24"/>
          <w:szCs w:val="24"/>
        </w:rPr>
        <w:t>Oksigjeni i tretur</w:t>
      </w:r>
    </w:p>
    <w:p w:rsidR="000B7598" w:rsidRPr="000B7598" w:rsidRDefault="000B7598" w:rsidP="000B7598">
      <w:pPr>
        <w:spacing w:after="200" w:line="276" w:lineRule="auto"/>
        <w:rPr>
          <w:rFonts w:ascii="Times New Roman" w:eastAsia="Calibri" w:hAnsi="Times New Roman" w:cs="Times New Roman"/>
          <w:sz w:val="24"/>
          <w:szCs w:val="24"/>
        </w:rPr>
      </w:pPr>
      <w:r w:rsidRPr="000B7598">
        <w:rPr>
          <w:rFonts w:ascii="Times New Roman" w:eastAsia="Calibri" w:hAnsi="Times New Roman" w:cs="Times New Roman"/>
          <w:sz w:val="24"/>
          <w:szCs w:val="24"/>
        </w:rPr>
        <w:t>Ky parametër është matur in – situ dhe nga vlerat mesatare të ekspeditave të realizuara ujërat janë të ngopura me oksigjen të cilat variojnë nga 9.7 – 12 mg/l.</w:t>
      </w:r>
    </w:p>
    <w:p w:rsidR="000B7598" w:rsidRPr="000B7598" w:rsidRDefault="000B7598" w:rsidP="0033538C">
      <w:pPr>
        <w:numPr>
          <w:ilvl w:val="0"/>
          <w:numId w:val="8"/>
        </w:numPr>
        <w:spacing w:after="120" w:line="240" w:lineRule="auto"/>
        <w:contextualSpacing/>
        <w:jc w:val="both"/>
        <w:rPr>
          <w:rFonts w:ascii="Times New Roman" w:eastAsia="Calibri" w:hAnsi="Times New Roman" w:cs="Times New Roman"/>
          <w:sz w:val="24"/>
          <w:szCs w:val="24"/>
          <w:lang w:val="sq-AL"/>
        </w:rPr>
      </w:pPr>
      <w:r w:rsidRPr="000B7598">
        <w:rPr>
          <w:rFonts w:ascii="Times New Roman" w:eastAsia="Calibri" w:hAnsi="Times New Roman" w:cs="Times New Roman"/>
          <w:sz w:val="24"/>
          <w:szCs w:val="24"/>
          <w:lang w:val="sq-AL"/>
        </w:rPr>
        <w:t>Nevoja kimike për oksigjen</w:t>
      </w:r>
    </w:p>
    <w:p w:rsidR="000B7598" w:rsidRPr="000B7598" w:rsidRDefault="000B7598" w:rsidP="000B7598">
      <w:pPr>
        <w:spacing w:after="120" w:line="240" w:lineRule="auto"/>
        <w:jc w:val="both"/>
        <w:rPr>
          <w:rFonts w:ascii="Times New Roman" w:eastAsia="Calibri" w:hAnsi="Times New Roman" w:cs="Times New Roman"/>
          <w:sz w:val="24"/>
          <w:szCs w:val="24"/>
          <w:lang w:val="sq-AL"/>
        </w:rPr>
      </w:pPr>
      <w:r w:rsidRPr="000B7598">
        <w:rPr>
          <w:rFonts w:ascii="Times New Roman" w:eastAsia="Calibri" w:hAnsi="Times New Roman" w:cs="Times New Roman"/>
          <w:sz w:val="24"/>
          <w:szCs w:val="24"/>
          <w:lang w:val="sq-AL"/>
        </w:rPr>
        <w:t>Vlerat mesatare të matura janë vleresuar në vlera 3 – 4 mgO/l m, në vlera shumë të ulëta.</w:t>
      </w:r>
    </w:p>
    <w:p w:rsidR="000B7598" w:rsidRPr="000B7598" w:rsidRDefault="005212BA" w:rsidP="005212BA">
      <w:pPr>
        <w:spacing w:after="120"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lastRenderedPageBreak/>
        <w:t xml:space="preserve">              </w:t>
      </w:r>
      <w:r w:rsidR="000B7598" w:rsidRPr="000B7598">
        <w:rPr>
          <w:rFonts w:ascii="Calibri" w:eastAsia="Calibri" w:hAnsi="Calibri" w:cs="Times New Roman"/>
          <w:noProof/>
        </w:rPr>
        <w:drawing>
          <wp:inline distT="0" distB="0" distL="0" distR="0" wp14:anchorId="17807A5D" wp14:editId="36E30FC9">
            <wp:extent cx="4876800" cy="1838325"/>
            <wp:effectExtent l="0" t="0" r="0" b="9525"/>
            <wp:docPr id="442" name="Chart 1">
              <a:extLst xmlns:a="http://schemas.openxmlformats.org/drawingml/2006/main">
                <a:ext uri="{FF2B5EF4-FFF2-40B4-BE49-F238E27FC236}">
                  <a16:creationId xmlns:a16="http://schemas.microsoft.com/office/drawing/2014/main" id="{9AA5665C-A804-E42F-10A0-DB342CDFAE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p w:rsidR="00DC7E73" w:rsidRPr="000B7598" w:rsidRDefault="00DC7E73" w:rsidP="00CD2C3A">
      <w:pPr>
        <w:spacing w:after="120" w:line="240" w:lineRule="auto"/>
        <w:rPr>
          <w:rFonts w:ascii="Times New Roman" w:eastAsia="Calibri" w:hAnsi="Times New Roman" w:cs="Times New Roman"/>
          <w:sz w:val="24"/>
          <w:szCs w:val="24"/>
          <w:lang w:val="sq-AL"/>
        </w:rPr>
      </w:pPr>
    </w:p>
    <w:p w:rsidR="000B7598" w:rsidRPr="000B7598" w:rsidRDefault="000B7598" w:rsidP="004D460A">
      <w:pPr>
        <w:numPr>
          <w:ilvl w:val="0"/>
          <w:numId w:val="25"/>
        </w:numPr>
        <w:spacing w:after="200" w:line="276" w:lineRule="auto"/>
        <w:contextualSpacing/>
        <w:rPr>
          <w:rFonts w:ascii="Times New Roman" w:eastAsia="Calibri" w:hAnsi="Times New Roman" w:cs="Times New Roman"/>
          <w:sz w:val="24"/>
          <w:szCs w:val="24"/>
        </w:rPr>
      </w:pPr>
      <w:r w:rsidRPr="000B7598">
        <w:rPr>
          <w:rFonts w:ascii="Times New Roman" w:eastAsia="Calibri" w:hAnsi="Times New Roman" w:cs="Times New Roman"/>
          <w:sz w:val="24"/>
          <w:szCs w:val="24"/>
        </w:rPr>
        <w:t>Nevoja Biokimike per oksigjen</w:t>
      </w:r>
    </w:p>
    <w:p w:rsidR="000B7598" w:rsidRPr="000B7598" w:rsidRDefault="000B7598" w:rsidP="000B7598">
      <w:pPr>
        <w:spacing w:after="200" w:line="276" w:lineRule="auto"/>
        <w:rPr>
          <w:rFonts w:ascii="Times New Roman" w:eastAsia="Calibri" w:hAnsi="Times New Roman" w:cs="Times New Roman"/>
          <w:sz w:val="24"/>
          <w:szCs w:val="24"/>
          <w:lang w:val="sq-AL"/>
        </w:rPr>
      </w:pPr>
      <w:r w:rsidRPr="000B7598">
        <w:rPr>
          <w:rFonts w:ascii="Times New Roman" w:eastAsia="Calibri" w:hAnsi="Times New Roman" w:cs="Times New Roman"/>
          <w:sz w:val="24"/>
          <w:szCs w:val="24"/>
        </w:rPr>
        <w:t>Ky parameter është shumë i rëndësishëm për të vlerësuar ndotjen organike e cila ka si burim shkarkimet urbane të patrajtura.</w:t>
      </w:r>
      <w:r w:rsidRPr="000B7598">
        <w:rPr>
          <w:rFonts w:ascii="Times New Roman" w:eastAsia="Calibri" w:hAnsi="Times New Roman" w:cs="Times New Roman"/>
          <w:sz w:val="24"/>
          <w:szCs w:val="24"/>
          <w:lang w:val="sq-AL"/>
        </w:rPr>
        <w:t xml:space="preserve"> Siç vihet re edhe nga grafiku i mëposhtëm vlerat mesatare të matura janë vlerësuar 2 – 2.3 mgO/l m.</w:t>
      </w:r>
    </w:p>
    <w:p w:rsidR="000B7598" w:rsidRPr="000B7598" w:rsidRDefault="000B7598" w:rsidP="005212BA">
      <w:pPr>
        <w:spacing w:after="200" w:line="276" w:lineRule="auto"/>
        <w:jc w:val="center"/>
        <w:rPr>
          <w:rFonts w:ascii="Times New Roman" w:eastAsia="Calibri" w:hAnsi="Times New Roman" w:cs="Times New Roman"/>
          <w:sz w:val="24"/>
          <w:szCs w:val="24"/>
        </w:rPr>
      </w:pPr>
      <w:r w:rsidRPr="000B7598">
        <w:rPr>
          <w:rFonts w:ascii="Calibri" w:eastAsia="Calibri" w:hAnsi="Calibri" w:cs="Times New Roman"/>
          <w:noProof/>
        </w:rPr>
        <w:drawing>
          <wp:inline distT="0" distB="0" distL="0" distR="0" wp14:anchorId="3FE16F3B" wp14:editId="467502C6">
            <wp:extent cx="5334000" cy="1895475"/>
            <wp:effectExtent l="0" t="0" r="0" b="9525"/>
            <wp:docPr id="443" name="Chart 1">
              <a:extLst xmlns:a="http://schemas.openxmlformats.org/drawingml/2006/main">
                <a:ext uri="{FF2B5EF4-FFF2-40B4-BE49-F238E27FC236}">
                  <a16:creationId xmlns:a16="http://schemas.microsoft.com/office/drawing/2014/main" id="{211A796A-3DFC-9558-F7FF-4928632CA3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p w:rsidR="000B7598" w:rsidRPr="000B7598" w:rsidRDefault="000B7598" w:rsidP="004D460A">
      <w:pPr>
        <w:numPr>
          <w:ilvl w:val="0"/>
          <w:numId w:val="25"/>
        </w:numPr>
        <w:spacing w:after="200" w:line="276" w:lineRule="auto"/>
        <w:contextualSpacing/>
        <w:rPr>
          <w:rFonts w:ascii="Times New Roman" w:eastAsia="Calibri" w:hAnsi="Times New Roman" w:cs="Times New Roman"/>
          <w:sz w:val="24"/>
          <w:szCs w:val="24"/>
        </w:rPr>
      </w:pPr>
      <w:r w:rsidRPr="000B7598">
        <w:rPr>
          <w:rFonts w:ascii="Times New Roman" w:eastAsia="Calibri" w:hAnsi="Times New Roman" w:cs="Times New Roman"/>
          <w:sz w:val="24"/>
          <w:szCs w:val="24"/>
        </w:rPr>
        <w:t>Përmbajtja e amonjakut</w:t>
      </w:r>
    </w:p>
    <w:p w:rsidR="000B7598" w:rsidRPr="000B7598" w:rsidRDefault="000B7598" w:rsidP="000B7598">
      <w:pPr>
        <w:spacing w:after="200" w:line="276" w:lineRule="auto"/>
        <w:rPr>
          <w:rFonts w:ascii="Times New Roman" w:eastAsia="Calibri" w:hAnsi="Times New Roman" w:cs="Times New Roman"/>
          <w:sz w:val="24"/>
          <w:szCs w:val="24"/>
        </w:rPr>
      </w:pPr>
      <w:r w:rsidRPr="000B7598">
        <w:rPr>
          <w:rFonts w:ascii="Times New Roman" w:eastAsia="Calibri" w:hAnsi="Times New Roman" w:cs="Times New Roman"/>
          <w:sz w:val="24"/>
          <w:szCs w:val="24"/>
        </w:rPr>
        <w:t>Siç vihet re edhe nga grafiku, ku janë paraqitur vlerat mesatare të ekspeditave të realizuara vihet re përmbajtje në vlera shumë të ulëta që variojnë nga 0.17 – 0.23 mg/l (&lt; 1 mg/l).</w:t>
      </w:r>
    </w:p>
    <w:p w:rsidR="000B7598" w:rsidRPr="000B7598" w:rsidRDefault="000B7598" w:rsidP="000B7598">
      <w:pPr>
        <w:spacing w:after="200" w:line="276" w:lineRule="auto"/>
        <w:jc w:val="center"/>
        <w:rPr>
          <w:rFonts w:ascii="Times New Roman" w:eastAsia="Calibri" w:hAnsi="Times New Roman" w:cs="Times New Roman"/>
          <w:sz w:val="24"/>
          <w:szCs w:val="24"/>
        </w:rPr>
      </w:pPr>
      <w:r w:rsidRPr="000B7598">
        <w:rPr>
          <w:rFonts w:ascii="Calibri" w:eastAsia="Calibri" w:hAnsi="Calibri" w:cs="Times New Roman"/>
          <w:noProof/>
        </w:rPr>
        <w:drawing>
          <wp:inline distT="0" distB="0" distL="0" distR="0" wp14:anchorId="11F845B1" wp14:editId="7C965005">
            <wp:extent cx="4572000" cy="1943100"/>
            <wp:effectExtent l="0" t="0" r="0" b="0"/>
            <wp:docPr id="444" name="Chart 1">
              <a:extLst xmlns:a="http://schemas.openxmlformats.org/drawingml/2006/main">
                <a:ext uri="{FF2B5EF4-FFF2-40B4-BE49-F238E27FC236}">
                  <a16:creationId xmlns:a16="http://schemas.microsoft.com/office/drawing/2014/main" id="{AFAD96AD-BCA0-FC16-3C99-AA214BA2C1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p w:rsidR="000B7598" w:rsidRPr="000B7598" w:rsidRDefault="000B7598" w:rsidP="005212BA">
      <w:pPr>
        <w:spacing w:after="200" w:line="276" w:lineRule="auto"/>
        <w:contextualSpacing/>
        <w:rPr>
          <w:rFonts w:ascii="Times New Roman" w:eastAsia="Calibri" w:hAnsi="Times New Roman" w:cs="Times New Roman"/>
          <w:sz w:val="24"/>
          <w:szCs w:val="24"/>
        </w:rPr>
      </w:pPr>
    </w:p>
    <w:p w:rsidR="000B7598" w:rsidRPr="000B7598" w:rsidRDefault="000B7598" w:rsidP="004D460A">
      <w:pPr>
        <w:numPr>
          <w:ilvl w:val="0"/>
          <w:numId w:val="25"/>
        </w:numPr>
        <w:spacing w:after="200" w:line="276" w:lineRule="auto"/>
        <w:contextualSpacing/>
        <w:rPr>
          <w:rFonts w:ascii="Times New Roman" w:eastAsia="Calibri" w:hAnsi="Times New Roman" w:cs="Times New Roman"/>
          <w:sz w:val="24"/>
          <w:szCs w:val="24"/>
        </w:rPr>
      </w:pPr>
      <w:r w:rsidRPr="000B7598">
        <w:rPr>
          <w:rFonts w:ascii="Times New Roman" w:eastAsia="Calibri" w:hAnsi="Times New Roman" w:cs="Times New Roman"/>
          <w:sz w:val="24"/>
          <w:szCs w:val="24"/>
        </w:rPr>
        <w:t>Përmbajtja e nitriteve</w:t>
      </w:r>
    </w:p>
    <w:p w:rsidR="000B7598" w:rsidRPr="000B7598" w:rsidRDefault="000B7598" w:rsidP="000B7598">
      <w:pPr>
        <w:spacing w:after="200" w:line="276" w:lineRule="auto"/>
        <w:rPr>
          <w:rFonts w:ascii="Times New Roman" w:eastAsia="Calibri" w:hAnsi="Times New Roman" w:cs="Times New Roman"/>
          <w:sz w:val="24"/>
          <w:szCs w:val="24"/>
        </w:rPr>
      </w:pPr>
      <w:r w:rsidRPr="000B7598">
        <w:rPr>
          <w:rFonts w:ascii="Times New Roman" w:eastAsia="Calibri" w:hAnsi="Times New Roman" w:cs="Times New Roman"/>
          <w:sz w:val="24"/>
          <w:szCs w:val="24"/>
        </w:rPr>
        <w:t>Prania e nitriteve në ujërat bregdetare të monitoruara në keto stacione është vlerësuar në vlera shumë të ulëta, në vlera të limitit të dedektimit.</w:t>
      </w:r>
    </w:p>
    <w:p w:rsidR="000B7598" w:rsidRPr="000B7598" w:rsidRDefault="000B7598" w:rsidP="004D460A">
      <w:pPr>
        <w:numPr>
          <w:ilvl w:val="0"/>
          <w:numId w:val="25"/>
        </w:numPr>
        <w:spacing w:after="0" w:line="276" w:lineRule="auto"/>
        <w:contextualSpacing/>
        <w:rPr>
          <w:rFonts w:ascii="Times New Roman" w:eastAsia="Calibri" w:hAnsi="Times New Roman" w:cs="Times New Roman"/>
          <w:sz w:val="24"/>
          <w:szCs w:val="24"/>
        </w:rPr>
      </w:pPr>
      <w:r w:rsidRPr="000B7598">
        <w:rPr>
          <w:rFonts w:ascii="Times New Roman" w:eastAsia="Calibri" w:hAnsi="Times New Roman" w:cs="Times New Roman"/>
          <w:sz w:val="24"/>
          <w:szCs w:val="24"/>
        </w:rPr>
        <w:t>Përmbajtja e fosforit</w:t>
      </w:r>
    </w:p>
    <w:p w:rsidR="000B7598" w:rsidRPr="000B7598" w:rsidRDefault="000B7598" w:rsidP="000B7598">
      <w:pPr>
        <w:spacing w:after="0" w:line="276" w:lineRule="auto"/>
        <w:rPr>
          <w:rFonts w:ascii="Times New Roman" w:eastAsia="Calibri" w:hAnsi="Times New Roman" w:cs="Times New Roman"/>
          <w:sz w:val="24"/>
          <w:szCs w:val="24"/>
        </w:rPr>
      </w:pPr>
      <w:r w:rsidRPr="000B7598">
        <w:rPr>
          <w:rFonts w:ascii="Times New Roman" w:eastAsia="Calibri" w:hAnsi="Times New Roman" w:cs="Times New Roman"/>
          <w:sz w:val="24"/>
          <w:szCs w:val="24"/>
        </w:rPr>
        <w:t>Është vlerësuar përmbajtja e fosforit shume e ulët në vlera që variojnë 0.0014 – 0.0036 mg/l.</w:t>
      </w:r>
    </w:p>
    <w:p w:rsidR="00420DC8" w:rsidRDefault="00420DC8" w:rsidP="000B7598">
      <w:pPr>
        <w:spacing w:after="200" w:line="276" w:lineRule="auto"/>
        <w:contextualSpacing/>
        <w:rPr>
          <w:rFonts w:ascii="Times New Roman" w:eastAsia="Calibri" w:hAnsi="Times New Roman" w:cs="Times New Roman"/>
          <w:sz w:val="24"/>
          <w:szCs w:val="24"/>
        </w:rPr>
      </w:pPr>
    </w:p>
    <w:p w:rsidR="000B7598" w:rsidRPr="00503CC0" w:rsidRDefault="00420DC8" w:rsidP="00503CC0">
      <w:pPr>
        <w:spacing w:after="200" w:line="276" w:lineRule="auto"/>
        <w:contextualSpacing/>
        <w:jc w:val="both"/>
        <w:rPr>
          <w:rFonts w:ascii="Times New Roman" w:eastAsia="Calibri" w:hAnsi="Times New Roman" w:cs="Times New Roman"/>
          <w:b/>
          <w:i/>
          <w:sz w:val="24"/>
          <w:szCs w:val="24"/>
          <w:lang w:val="sq-AL"/>
        </w:rPr>
      </w:pPr>
      <w:r w:rsidRPr="00503CC0">
        <w:rPr>
          <w:rFonts w:ascii="Times New Roman" w:eastAsia="Calibri" w:hAnsi="Times New Roman" w:cs="Times New Roman"/>
          <w:b/>
          <w:i/>
          <w:sz w:val="24"/>
          <w:szCs w:val="24"/>
        </w:rPr>
        <w:t xml:space="preserve">Referuar </w:t>
      </w:r>
      <w:r w:rsidR="00503CC0" w:rsidRPr="00503CC0">
        <w:rPr>
          <w:rFonts w:ascii="Times New Roman" w:eastAsia="Calibri" w:hAnsi="Times New Roman" w:cs="Times New Roman"/>
          <w:b/>
          <w:i/>
          <w:sz w:val="24"/>
          <w:szCs w:val="24"/>
        </w:rPr>
        <w:t>rezulateve n</w:t>
      </w:r>
      <w:r w:rsidR="000B7598" w:rsidRPr="00503CC0">
        <w:rPr>
          <w:rFonts w:ascii="Times New Roman" w:eastAsia="Calibri" w:hAnsi="Times New Roman" w:cs="Times New Roman"/>
          <w:b/>
          <w:i/>
          <w:sz w:val="24"/>
          <w:szCs w:val="24"/>
        </w:rPr>
        <w:t xml:space="preserve">ë stacionet e monitoruara vlerësojme një cilësi të mirë të ujërave bregdetare për të gjithë parametrat fiziko </w:t>
      </w:r>
      <w:r w:rsidR="00503CC0" w:rsidRPr="00503CC0">
        <w:rPr>
          <w:rFonts w:ascii="Times New Roman" w:eastAsia="Calibri" w:hAnsi="Times New Roman" w:cs="Times New Roman"/>
          <w:b/>
          <w:i/>
          <w:sz w:val="24"/>
          <w:szCs w:val="24"/>
        </w:rPr>
        <w:t>–</w:t>
      </w:r>
      <w:r w:rsidR="000B7598" w:rsidRPr="00503CC0">
        <w:rPr>
          <w:rFonts w:ascii="Times New Roman" w:eastAsia="Calibri" w:hAnsi="Times New Roman" w:cs="Times New Roman"/>
          <w:b/>
          <w:i/>
          <w:sz w:val="24"/>
          <w:szCs w:val="24"/>
        </w:rPr>
        <w:t xml:space="preserve"> kimikë</w:t>
      </w:r>
      <w:r w:rsidR="00503CC0" w:rsidRPr="00503CC0">
        <w:rPr>
          <w:rFonts w:ascii="Times New Roman" w:eastAsia="Calibri" w:hAnsi="Times New Roman" w:cs="Times New Roman"/>
          <w:b/>
          <w:i/>
          <w:sz w:val="24"/>
          <w:szCs w:val="24"/>
        </w:rPr>
        <w:t>.</w:t>
      </w:r>
    </w:p>
    <w:p w:rsidR="000B7598" w:rsidRPr="00503CC0" w:rsidRDefault="000B7598" w:rsidP="00503CC0">
      <w:pPr>
        <w:spacing w:after="200" w:line="276" w:lineRule="auto"/>
        <w:contextualSpacing/>
        <w:jc w:val="both"/>
        <w:rPr>
          <w:rFonts w:ascii="Times New Roman" w:eastAsia="Calibri" w:hAnsi="Times New Roman" w:cs="Times New Roman"/>
          <w:b/>
          <w:i/>
          <w:sz w:val="24"/>
          <w:szCs w:val="24"/>
          <w:lang w:val="sq-AL"/>
        </w:rPr>
      </w:pPr>
    </w:p>
    <w:p w:rsidR="0047684C" w:rsidRPr="005212BA" w:rsidRDefault="0047684C" w:rsidP="00807975">
      <w:pPr>
        <w:pStyle w:val="ListParagraph"/>
        <w:numPr>
          <w:ilvl w:val="0"/>
          <w:numId w:val="92"/>
        </w:numPr>
        <w:spacing w:after="200" w:line="276" w:lineRule="auto"/>
        <w:rPr>
          <w:rFonts w:ascii="Times New Roman" w:eastAsia="Calibri" w:hAnsi="Times New Roman" w:cs="Times New Roman"/>
          <w:b/>
          <w:sz w:val="24"/>
          <w:szCs w:val="24"/>
          <w:lang w:val="sq-AL"/>
        </w:rPr>
      </w:pPr>
      <w:r w:rsidRPr="005212BA">
        <w:rPr>
          <w:rFonts w:ascii="Times New Roman" w:eastAsia="Calibri" w:hAnsi="Times New Roman" w:cs="Times New Roman"/>
          <w:b/>
          <w:sz w:val="24"/>
          <w:szCs w:val="24"/>
          <w:lang w:val="sq-AL"/>
        </w:rPr>
        <w:t>Ndikimi i shkarkimeve urbane në cilësinë e ujërave bregdetare</w:t>
      </w:r>
    </w:p>
    <w:p w:rsidR="0047684C" w:rsidRPr="0047684C" w:rsidRDefault="0047684C" w:rsidP="005212BA">
      <w:pPr>
        <w:spacing w:after="0" w:line="276" w:lineRule="auto"/>
        <w:jc w:val="both"/>
        <w:rPr>
          <w:rFonts w:ascii="Times New Roman" w:eastAsia="Calibri" w:hAnsi="Times New Roman" w:cs="Times New Roman"/>
          <w:sz w:val="24"/>
          <w:szCs w:val="24"/>
          <w:lang w:val="pt-BR"/>
        </w:rPr>
      </w:pPr>
      <w:r w:rsidRPr="0047684C">
        <w:rPr>
          <w:rFonts w:ascii="Times New Roman" w:eastAsia="Calibri" w:hAnsi="Times New Roman" w:cs="Times New Roman"/>
          <w:sz w:val="24"/>
          <w:szCs w:val="24"/>
          <w:lang w:val="it-IT"/>
        </w:rPr>
        <w:t xml:space="preserve">Monitorimi i ndikimit të shkarkimeve urbane në cilësinë e ujërave bregdetare </w:t>
      </w:r>
      <w:r w:rsidR="005212BA">
        <w:rPr>
          <w:rFonts w:ascii="Times New Roman" w:eastAsia="Calibri" w:hAnsi="Times New Roman" w:cs="Times New Roman"/>
          <w:sz w:val="24"/>
          <w:szCs w:val="24"/>
          <w:lang w:val="it-IT"/>
        </w:rPr>
        <w:t>është</w:t>
      </w:r>
      <w:r w:rsidRPr="0047684C">
        <w:rPr>
          <w:rFonts w:ascii="Times New Roman" w:eastAsia="Calibri" w:hAnsi="Times New Roman" w:cs="Times New Roman"/>
          <w:sz w:val="24"/>
          <w:szCs w:val="24"/>
          <w:lang w:val="it-IT"/>
        </w:rPr>
        <w:t xml:space="preserve"> realizua</w:t>
      </w:r>
      <w:r w:rsidR="005212BA">
        <w:rPr>
          <w:rFonts w:ascii="Times New Roman" w:eastAsia="Calibri" w:hAnsi="Times New Roman" w:cs="Times New Roman"/>
          <w:sz w:val="24"/>
          <w:szCs w:val="24"/>
          <w:lang w:val="it-IT"/>
        </w:rPr>
        <w:t>r</w:t>
      </w:r>
      <w:r w:rsidRPr="0047684C">
        <w:rPr>
          <w:rFonts w:ascii="Times New Roman" w:eastAsia="Calibri" w:hAnsi="Times New Roman" w:cs="Times New Roman"/>
          <w:sz w:val="24"/>
          <w:szCs w:val="24"/>
          <w:lang w:val="it-IT"/>
        </w:rPr>
        <w:t xml:space="preserve"> në qytetet Durrës, Vlorë </w:t>
      </w:r>
      <w:r w:rsidRPr="0047684C">
        <w:rPr>
          <w:rFonts w:ascii="Times New Roman" w:eastAsia="Calibri" w:hAnsi="Times New Roman" w:cs="Times New Roman"/>
          <w:sz w:val="24"/>
          <w:szCs w:val="24"/>
        </w:rPr>
        <w:t>Sarand</w:t>
      </w:r>
      <w:r w:rsidRPr="0047684C">
        <w:rPr>
          <w:rFonts w:ascii="Times New Roman" w:eastAsia="Calibri" w:hAnsi="Times New Roman" w:cs="Times New Roman"/>
          <w:sz w:val="24"/>
          <w:szCs w:val="24"/>
          <w:lang w:val="pt-BR"/>
        </w:rPr>
        <w:t>ë, Shëngjin dhe Velipojë.</w:t>
      </w:r>
    </w:p>
    <w:p w:rsidR="0047684C" w:rsidRPr="0047684C" w:rsidRDefault="0047684C" w:rsidP="005212BA">
      <w:pPr>
        <w:spacing w:after="0" w:line="276" w:lineRule="auto"/>
        <w:jc w:val="both"/>
        <w:rPr>
          <w:rFonts w:ascii="Times New Roman" w:eastAsia="Calibri" w:hAnsi="Times New Roman" w:cs="Times New Roman"/>
          <w:sz w:val="24"/>
          <w:szCs w:val="24"/>
          <w:lang w:val="pt-BR"/>
        </w:rPr>
      </w:pPr>
      <w:r w:rsidRPr="0047684C">
        <w:rPr>
          <w:rFonts w:ascii="Times New Roman" w:eastAsia="Calibri" w:hAnsi="Times New Roman" w:cs="Times New Roman"/>
          <w:sz w:val="24"/>
          <w:szCs w:val="24"/>
          <w:lang w:val="pt-BR"/>
        </w:rPr>
        <w:t>Përzgjedhja e stacioneve të monitorimit është bazuar sipas skemës ku  kolektori shkarkues përfaqëson burimin ndotës dhe pas shkarkimit në mjedisin pritës</w:t>
      </w:r>
      <w:r w:rsidRPr="0047684C">
        <w:rPr>
          <w:rFonts w:ascii="Times New Roman" w:eastAsia="Calibri" w:hAnsi="Times New Roman" w:cs="Times New Roman"/>
          <w:sz w:val="24"/>
          <w:szCs w:val="24"/>
        </w:rPr>
        <w:t>, n</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rPr>
        <w:t xml:space="preserve"> det </w:t>
      </w:r>
      <w:r w:rsidRPr="0047684C">
        <w:rPr>
          <w:rFonts w:ascii="Times New Roman" w:eastAsia="Calibri" w:hAnsi="Times New Roman" w:cs="Times New Roman"/>
          <w:sz w:val="24"/>
          <w:szCs w:val="24"/>
          <w:lang w:val="pt-BR"/>
        </w:rPr>
        <w:t>në distancën 10 m. Sipas kësaj skeme vlerësohet cilësia e ujërave të shkarkimeve në pikën e shkarkimit (kolektorë ose stacione pompimi) dhe impakti i tyre në cilësinë e ujërave bregdetare.</w:t>
      </w:r>
    </w:p>
    <w:p w:rsidR="0047684C" w:rsidRPr="0047684C" w:rsidRDefault="0047684C" w:rsidP="005212BA">
      <w:pPr>
        <w:spacing w:after="0" w:line="276" w:lineRule="auto"/>
        <w:jc w:val="both"/>
        <w:rPr>
          <w:rFonts w:ascii="Times New Roman" w:eastAsia="Calibri" w:hAnsi="Times New Roman" w:cs="Times New Roman"/>
          <w:sz w:val="24"/>
          <w:szCs w:val="24"/>
          <w:lang w:val="da-DK"/>
        </w:rPr>
      </w:pPr>
      <w:r w:rsidRPr="0047684C">
        <w:rPr>
          <w:rFonts w:ascii="Times New Roman" w:eastAsia="Calibri" w:hAnsi="Times New Roman" w:cs="Times New Roman"/>
          <w:sz w:val="24"/>
          <w:szCs w:val="24"/>
          <w:lang w:val="it-IT"/>
        </w:rPr>
        <w:t>Në qytetin e Durr</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it-IT"/>
        </w:rPr>
        <w:t>sit dhe Vlor</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it-IT"/>
        </w:rPr>
        <w:t xml:space="preserve">s </w:t>
      </w:r>
      <w:r w:rsidRPr="0047684C">
        <w:rPr>
          <w:rFonts w:ascii="Times New Roman" w:eastAsia="Calibri" w:hAnsi="Times New Roman" w:cs="Times New Roman"/>
          <w:sz w:val="24"/>
          <w:szCs w:val="24"/>
          <w:lang w:val="da-DK"/>
        </w:rPr>
        <w:t>uj</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da-DK"/>
        </w:rPr>
        <w:t>rat  urbane shkarkohen  n</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da-DK"/>
        </w:rPr>
        <w:t>p</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da-DK"/>
        </w:rPr>
        <w:t>rmjet</w:t>
      </w:r>
      <w:r w:rsidRPr="0047684C">
        <w:rPr>
          <w:rFonts w:ascii="Times New Roman" w:eastAsia="Calibri" w:hAnsi="Times New Roman" w:cs="Times New Roman"/>
          <w:sz w:val="24"/>
          <w:szCs w:val="24"/>
          <w:lang w:val="sq-AL"/>
        </w:rPr>
        <w:t xml:space="preserve"> stacioneve t</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sq-AL"/>
        </w:rPr>
        <w:t xml:space="preserve"> pompimit. </w:t>
      </w:r>
      <w:r w:rsidR="00DC7E73">
        <w:rPr>
          <w:rFonts w:ascii="Times New Roman" w:eastAsia="Calibri" w:hAnsi="Times New Roman" w:cs="Times New Roman"/>
          <w:bCs/>
          <w:sz w:val="24"/>
          <w:szCs w:val="24"/>
          <w:lang w:val="sq-AL"/>
        </w:rPr>
        <w:t>U</w:t>
      </w:r>
      <w:r w:rsidR="00DC7E73" w:rsidRPr="0047684C">
        <w:rPr>
          <w:rFonts w:ascii="Times New Roman" w:eastAsia="Calibri" w:hAnsi="Times New Roman" w:cs="Times New Roman"/>
          <w:bCs/>
          <w:sz w:val="24"/>
          <w:szCs w:val="24"/>
          <w:lang w:val="sq-AL"/>
        </w:rPr>
        <w:t>j</w:t>
      </w:r>
      <w:r w:rsidR="00DC7E73" w:rsidRPr="0047684C">
        <w:rPr>
          <w:rFonts w:ascii="Times New Roman" w:eastAsia="Calibri" w:hAnsi="Times New Roman" w:cs="Times New Roman"/>
          <w:sz w:val="24"/>
          <w:szCs w:val="24"/>
          <w:lang w:val="pt-BR"/>
        </w:rPr>
        <w:t>ër</w:t>
      </w:r>
      <w:r w:rsidR="00DC7E73" w:rsidRPr="0047684C">
        <w:rPr>
          <w:rFonts w:ascii="Times New Roman" w:eastAsia="Calibri" w:hAnsi="Times New Roman" w:cs="Times New Roman"/>
          <w:bCs/>
          <w:sz w:val="24"/>
          <w:szCs w:val="24"/>
          <w:lang w:val="sq-AL"/>
        </w:rPr>
        <w:t xml:space="preserve">at urbane </w:t>
      </w:r>
      <w:r w:rsidR="00DC7E73">
        <w:rPr>
          <w:rFonts w:ascii="Times New Roman" w:eastAsia="Calibri" w:hAnsi="Times New Roman" w:cs="Times New Roman"/>
          <w:sz w:val="24"/>
          <w:szCs w:val="24"/>
          <w:lang w:val="sq-AL"/>
        </w:rPr>
        <w:t>n</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sq-AL"/>
        </w:rPr>
        <w:t xml:space="preserve"> qytetin e Durr</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sq-AL"/>
        </w:rPr>
        <w:t>sit,</w:t>
      </w:r>
      <w:r w:rsidRPr="0047684C">
        <w:rPr>
          <w:rFonts w:ascii="Times New Roman" w:eastAsia="Calibri" w:hAnsi="Times New Roman" w:cs="Times New Roman"/>
          <w:bCs/>
          <w:sz w:val="24"/>
          <w:szCs w:val="24"/>
          <w:lang w:val="sq-AL"/>
        </w:rPr>
        <w:t xml:space="preserve"> shkarkohen n</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bCs/>
          <w:sz w:val="24"/>
          <w:szCs w:val="24"/>
          <w:lang w:val="sq-AL"/>
        </w:rPr>
        <w:t xml:space="preserve"> det, n</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bCs/>
          <w:sz w:val="24"/>
          <w:szCs w:val="24"/>
          <w:lang w:val="sq-AL"/>
        </w:rPr>
        <w:t xml:space="preserve"> zon</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bCs/>
          <w:sz w:val="24"/>
          <w:szCs w:val="24"/>
          <w:lang w:val="sq-AL"/>
        </w:rPr>
        <w:t xml:space="preserve">n e  Porto Romanos (Spitalle), </w:t>
      </w:r>
      <w:r w:rsidR="00DC7E73">
        <w:rPr>
          <w:rFonts w:ascii="Times New Roman" w:eastAsia="Calibri" w:hAnsi="Times New Roman" w:cs="Times New Roman"/>
          <w:bCs/>
          <w:sz w:val="24"/>
          <w:szCs w:val="24"/>
          <w:lang w:val="sq-AL"/>
        </w:rPr>
        <w:t xml:space="preserve">ndërsa </w:t>
      </w:r>
      <w:r w:rsidRPr="0047684C">
        <w:rPr>
          <w:rFonts w:ascii="Times New Roman" w:eastAsia="Calibri" w:hAnsi="Times New Roman" w:cs="Times New Roman"/>
          <w:bCs/>
          <w:sz w:val="24"/>
          <w:szCs w:val="24"/>
          <w:lang w:val="sq-AL"/>
        </w:rPr>
        <w:t>n</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bCs/>
          <w:sz w:val="24"/>
          <w:szCs w:val="24"/>
          <w:lang w:val="sq-AL"/>
        </w:rPr>
        <w:t xml:space="preserve"> qytetin e</w:t>
      </w:r>
      <w:r w:rsidR="00DC7E73">
        <w:rPr>
          <w:rFonts w:ascii="Times New Roman" w:eastAsia="Calibri" w:hAnsi="Times New Roman" w:cs="Times New Roman"/>
          <w:sz w:val="24"/>
          <w:szCs w:val="24"/>
          <w:lang w:val="sq-AL"/>
        </w:rPr>
        <w:t xml:space="preserve"> </w:t>
      </w:r>
      <w:r w:rsidRPr="0047684C">
        <w:rPr>
          <w:rFonts w:ascii="Times New Roman" w:eastAsia="Calibri" w:hAnsi="Times New Roman" w:cs="Times New Roman"/>
          <w:sz w:val="24"/>
          <w:szCs w:val="24"/>
          <w:lang w:val="sq-AL"/>
        </w:rPr>
        <w:t>Vlor</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sq-AL"/>
        </w:rPr>
        <w:t xml:space="preserve">s </w:t>
      </w:r>
      <w:r w:rsidR="00DC7E73">
        <w:rPr>
          <w:rFonts w:ascii="Times New Roman" w:eastAsia="Calibri" w:hAnsi="Times New Roman" w:cs="Times New Roman"/>
          <w:sz w:val="24"/>
          <w:szCs w:val="24"/>
          <w:lang w:val="fr-FR"/>
        </w:rPr>
        <w:t xml:space="preserve">shkarkohen </w:t>
      </w:r>
      <w:r w:rsidRPr="0047684C">
        <w:rPr>
          <w:rFonts w:ascii="Times New Roman" w:eastAsia="Calibri" w:hAnsi="Times New Roman" w:cs="Times New Roman"/>
          <w:sz w:val="24"/>
          <w:szCs w:val="24"/>
          <w:lang w:val="fr-FR"/>
        </w:rPr>
        <w:t>n</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fr-FR"/>
        </w:rPr>
        <w:t xml:space="preserve"> det n</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fr-FR"/>
        </w:rPr>
        <w:t xml:space="preserve"> zon</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fr-FR"/>
        </w:rPr>
        <w:t>n e Pyllit t</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fr-FR"/>
        </w:rPr>
        <w:t xml:space="preserve"> Sod</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fr-FR"/>
        </w:rPr>
        <w:t>s,  kurse n</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fr-FR"/>
        </w:rPr>
        <w:t xml:space="preserve"> qytetin e Sarand</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fr-FR"/>
        </w:rPr>
        <w:t>s</w:t>
      </w:r>
      <w:r w:rsidRPr="0047684C">
        <w:rPr>
          <w:rFonts w:ascii="Times New Roman" w:eastAsia="Calibri" w:hAnsi="Times New Roman" w:cs="Times New Roman"/>
          <w:sz w:val="24"/>
          <w:szCs w:val="24"/>
          <w:lang w:val="da-DK"/>
        </w:rPr>
        <w:t xml:space="preserve"> shkarkohen n</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da-DK"/>
        </w:rPr>
        <w:t xml:space="preserve"> kanalin e Çuk</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da-DK"/>
        </w:rPr>
        <w:t>s e m</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da-DK"/>
        </w:rPr>
        <w:t xml:space="preserve"> pas n</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da-DK"/>
        </w:rPr>
        <w:t xml:space="preserve"> det.</w:t>
      </w:r>
    </w:p>
    <w:p w:rsidR="005212BA" w:rsidRDefault="005212BA" w:rsidP="005212BA">
      <w:pPr>
        <w:spacing w:after="0" w:line="276" w:lineRule="auto"/>
        <w:jc w:val="both"/>
        <w:rPr>
          <w:rFonts w:ascii="Times New Roman" w:eastAsia="Calibri" w:hAnsi="Times New Roman" w:cs="Times New Roman"/>
          <w:sz w:val="24"/>
          <w:szCs w:val="24"/>
          <w:lang w:val="pt-BR"/>
        </w:rPr>
      </w:pPr>
    </w:p>
    <w:p w:rsidR="0047684C" w:rsidRPr="0047684C" w:rsidRDefault="006C2F5F" w:rsidP="006C2F5F">
      <w:pPr>
        <w:spacing w:after="0" w:line="276" w:lineRule="auto"/>
        <w:jc w:val="center"/>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Tabela 3</w:t>
      </w:r>
      <w:r w:rsidR="00CD2C3A">
        <w:rPr>
          <w:rFonts w:ascii="Times New Roman" w:eastAsia="Calibri" w:hAnsi="Times New Roman" w:cs="Times New Roman"/>
          <w:sz w:val="24"/>
          <w:szCs w:val="24"/>
          <w:lang w:val="pt-BR"/>
        </w:rPr>
        <w:t>9</w:t>
      </w:r>
      <w:r>
        <w:rPr>
          <w:rFonts w:ascii="Times New Roman" w:eastAsia="Calibri" w:hAnsi="Times New Roman" w:cs="Times New Roman"/>
          <w:sz w:val="24"/>
          <w:szCs w:val="24"/>
          <w:lang w:val="pt-BR"/>
        </w:rPr>
        <w:t xml:space="preserve">. </w:t>
      </w:r>
      <w:r w:rsidR="0047684C" w:rsidRPr="0047684C">
        <w:rPr>
          <w:rFonts w:ascii="Times New Roman" w:eastAsia="Calibri" w:hAnsi="Times New Roman" w:cs="Times New Roman"/>
          <w:sz w:val="24"/>
          <w:szCs w:val="24"/>
          <w:lang w:val="pt-BR"/>
        </w:rPr>
        <w:t>Stacionet e monitorimit</w:t>
      </w:r>
      <w:r>
        <w:rPr>
          <w:rFonts w:ascii="Times New Roman" w:eastAsia="Calibri" w:hAnsi="Times New Roman" w:cs="Times New Roman"/>
          <w:sz w:val="24"/>
          <w:szCs w:val="24"/>
          <w:lang w:val="pt-BR"/>
        </w:rPr>
        <w:t xml:space="preserve"> për ndikimin e shkarkimeve</w:t>
      </w:r>
    </w:p>
    <w:p w:rsidR="0047684C" w:rsidRPr="0047684C" w:rsidRDefault="0047684C" w:rsidP="0047684C">
      <w:pPr>
        <w:spacing w:after="0" w:line="276" w:lineRule="auto"/>
        <w:jc w:val="both"/>
        <w:rPr>
          <w:rFonts w:ascii="Times New Roman" w:eastAsia="Calibri" w:hAnsi="Times New Roman" w:cs="Times New Roman"/>
          <w:sz w:val="24"/>
          <w:szCs w:val="24"/>
          <w:lang w:val="pt-BR"/>
        </w:rPr>
      </w:pPr>
    </w:p>
    <w:tbl>
      <w:tblPr>
        <w:tblStyle w:val="TableGrid4"/>
        <w:tblW w:w="0" w:type="auto"/>
        <w:tblLook w:val="04A0" w:firstRow="1" w:lastRow="0" w:firstColumn="1" w:lastColumn="0" w:noHBand="0" w:noVBand="1"/>
      </w:tblPr>
      <w:tblGrid>
        <w:gridCol w:w="546"/>
        <w:gridCol w:w="1647"/>
        <w:gridCol w:w="1672"/>
        <w:gridCol w:w="3248"/>
        <w:gridCol w:w="2463"/>
      </w:tblGrid>
      <w:tr w:rsidR="0047684C" w:rsidRPr="0047684C" w:rsidTr="0047684C">
        <w:tc>
          <w:tcPr>
            <w:tcW w:w="55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Nr.</w:t>
            </w:r>
          </w:p>
        </w:tc>
        <w:tc>
          <w:tcPr>
            <w:tcW w:w="1980"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Kodi i kampionit</w:t>
            </w:r>
          </w:p>
        </w:tc>
        <w:tc>
          <w:tcPr>
            <w:tcW w:w="1980"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Zona bregdetare</w:t>
            </w:r>
          </w:p>
        </w:tc>
        <w:tc>
          <w:tcPr>
            <w:tcW w:w="4500"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Vendndodhja</w:t>
            </w:r>
          </w:p>
        </w:tc>
        <w:tc>
          <w:tcPr>
            <w:tcW w:w="3240"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Koordinatat gjeografike</w:t>
            </w:r>
          </w:p>
        </w:tc>
      </w:tr>
      <w:tr w:rsidR="0047684C" w:rsidRPr="0047684C" w:rsidTr="0047684C">
        <w:trPr>
          <w:trHeight w:val="323"/>
        </w:trPr>
        <w:tc>
          <w:tcPr>
            <w:tcW w:w="55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1.</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Dr</w:t>
            </w:r>
            <w:r w:rsidRPr="0047684C">
              <w:rPr>
                <w:rFonts w:ascii="Times New Roman" w:eastAsia="Calibri" w:hAnsi="Times New Roman" w:cs="Times New Roman"/>
                <w:vertAlign w:val="subscript"/>
                <w:lang w:val="sq-AL"/>
              </w:rPr>
              <w:t>1</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Durr</w:t>
            </w:r>
            <w:r w:rsidRPr="0047684C">
              <w:rPr>
                <w:rFonts w:ascii="Times New Roman" w:eastAsia="Calibri" w:hAnsi="Times New Roman" w:cs="Times New Roman"/>
                <w:lang w:val="pt-BR"/>
              </w:rPr>
              <w:t>ë</w:t>
            </w:r>
            <w:r w:rsidRPr="0047684C">
              <w:rPr>
                <w:rFonts w:ascii="Times New Roman" w:eastAsia="Calibri" w:hAnsi="Times New Roman" w:cs="Times New Roman"/>
                <w:lang w:val="sq-AL"/>
              </w:rPr>
              <w:t>s</w:t>
            </w:r>
          </w:p>
        </w:tc>
        <w:tc>
          <w:tcPr>
            <w:tcW w:w="450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Porto Romano</w:t>
            </w:r>
          </w:p>
        </w:tc>
        <w:tc>
          <w:tcPr>
            <w:tcW w:w="324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41.375550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19.421549</w:t>
            </w:r>
          </w:p>
        </w:tc>
      </w:tr>
      <w:tr w:rsidR="0047684C" w:rsidRPr="0047684C" w:rsidTr="0047684C">
        <w:tc>
          <w:tcPr>
            <w:tcW w:w="55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2.</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Dr</w:t>
            </w:r>
            <w:r w:rsidRPr="0047684C">
              <w:rPr>
                <w:rFonts w:ascii="Times New Roman" w:eastAsia="Calibri" w:hAnsi="Times New Roman" w:cs="Times New Roman"/>
                <w:vertAlign w:val="subscript"/>
                <w:lang w:val="sq-AL"/>
              </w:rPr>
              <w:t>2</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Durr</w:t>
            </w:r>
            <w:r w:rsidRPr="0047684C">
              <w:rPr>
                <w:rFonts w:ascii="Times New Roman" w:eastAsia="Calibri" w:hAnsi="Times New Roman" w:cs="Times New Roman"/>
                <w:lang w:val="pt-BR"/>
              </w:rPr>
              <w:t>ë</w:t>
            </w:r>
            <w:r w:rsidRPr="0047684C">
              <w:rPr>
                <w:rFonts w:ascii="Times New Roman" w:eastAsia="Calibri" w:hAnsi="Times New Roman" w:cs="Times New Roman"/>
                <w:lang w:val="sq-AL"/>
              </w:rPr>
              <w:t>s</w:t>
            </w:r>
          </w:p>
        </w:tc>
        <w:tc>
          <w:tcPr>
            <w:tcW w:w="450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10 m n</w:t>
            </w:r>
            <w:r w:rsidRPr="0047684C">
              <w:rPr>
                <w:rFonts w:ascii="Times New Roman" w:eastAsia="Calibri" w:hAnsi="Times New Roman" w:cs="Times New Roman"/>
                <w:lang w:val="pt-BR"/>
              </w:rPr>
              <w:t>ë</w:t>
            </w:r>
            <w:r w:rsidRPr="0047684C">
              <w:rPr>
                <w:rFonts w:ascii="Times New Roman" w:eastAsia="Calibri" w:hAnsi="Times New Roman" w:cs="Times New Roman"/>
                <w:lang w:val="sq-AL"/>
              </w:rPr>
              <w:t xml:space="preserve"> det</w:t>
            </w:r>
          </w:p>
        </w:tc>
        <w:tc>
          <w:tcPr>
            <w:tcW w:w="324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41.374478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19.421225</w:t>
            </w:r>
          </w:p>
        </w:tc>
      </w:tr>
      <w:tr w:rsidR="0047684C" w:rsidRPr="0047684C" w:rsidTr="0047684C">
        <w:tc>
          <w:tcPr>
            <w:tcW w:w="55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3.</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Dr</w:t>
            </w:r>
            <w:r w:rsidRPr="0047684C">
              <w:rPr>
                <w:rFonts w:ascii="Times New Roman" w:eastAsia="Calibri" w:hAnsi="Times New Roman" w:cs="Times New Roman"/>
                <w:vertAlign w:val="subscript"/>
                <w:lang w:val="sq-AL"/>
              </w:rPr>
              <w:t>3</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Durr</w:t>
            </w:r>
            <w:r w:rsidRPr="0047684C">
              <w:rPr>
                <w:rFonts w:ascii="Times New Roman" w:eastAsia="Calibri" w:hAnsi="Times New Roman" w:cs="Times New Roman"/>
                <w:lang w:val="pt-BR"/>
              </w:rPr>
              <w:t>ë</w:t>
            </w:r>
            <w:r w:rsidRPr="0047684C">
              <w:rPr>
                <w:rFonts w:ascii="Times New Roman" w:eastAsia="Calibri" w:hAnsi="Times New Roman" w:cs="Times New Roman"/>
                <w:lang w:val="sq-AL"/>
              </w:rPr>
              <w:t>s</w:t>
            </w:r>
          </w:p>
        </w:tc>
        <w:tc>
          <w:tcPr>
            <w:tcW w:w="450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Currilat</w:t>
            </w:r>
          </w:p>
        </w:tc>
        <w:tc>
          <w:tcPr>
            <w:tcW w:w="324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41.319580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19.430960</w:t>
            </w:r>
          </w:p>
        </w:tc>
      </w:tr>
      <w:tr w:rsidR="0047684C" w:rsidRPr="0047684C" w:rsidTr="0047684C">
        <w:tc>
          <w:tcPr>
            <w:tcW w:w="55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4.</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Dr</w:t>
            </w:r>
            <w:r w:rsidRPr="0047684C">
              <w:rPr>
                <w:rFonts w:ascii="Times New Roman" w:eastAsia="Calibri" w:hAnsi="Times New Roman" w:cs="Times New Roman"/>
                <w:vertAlign w:val="subscript"/>
                <w:lang w:val="sq-AL"/>
              </w:rPr>
              <w:t>4</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Durr</w:t>
            </w:r>
            <w:r w:rsidRPr="0047684C">
              <w:rPr>
                <w:rFonts w:ascii="Times New Roman" w:eastAsia="Calibri" w:hAnsi="Times New Roman" w:cs="Times New Roman"/>
                <w:lang w:val="pt-BR"/>
              </w:rPr>
              <w:t>ë</w:t>
            </w:r>
            <w:r w:rsidRPr="0047684C">
              <w:rPr>
                <w:rFonts w:ascii="Times New Roman" w:eastAsia="Calibri" w:hAnsi="Times New Roman" w:cs="Times New Roman"/>
                <w:lang w:val="sq-AL"/>
              </w:rPr>
              <w:t>s</w:t>
            </w:r>
          </w:p>
        </w:tc>
        <w:tc>
          <w:tcPr>
            <w:tcW w:w="450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Kanali Plepa – Shk</w:t>
            </w:r>
            <w:r w:rsidRPr="0047684C">
              <w:rPr>
                <w:rFonts w:ascii="Times New Roman" w:eastAsia="Calibri" w:hAnsi="Times New Roman" w:cs="Times New Roman"/>
                <w:lang w:val="pt-BR"/>
              </w:rPr>
              <w:t>ë</w:t>
            </w:r>
            <w:r w:rsidRPr="0047684C">
              <w:rPr>
                <w:rFonts w:ascii="Times New Roman" w:eastAsia="Calibri" w:hAnsi="Times New Roman" w:cs="Times New Roman"/>
                <w:lang w:val="sq-AL"/>
              </w:rPr>
              <w:t>mbi i Kavaj</w:t>
            </w:r>
            <w:r w:rsidRPr="0047684C">
              <w:rPr>
                <w:rFonts w:ascii="Times New Roman" w:eastAsia="Calibri" w:hAnsi="Times New Roman" w:cs="Times New Roman"/>
                <w:lang w:val="pt-BR"/>
              </w:rPr>
              <w:t>ë</w:t>
            </w:r>
            <w:r w:rsidRPr="0047684C">
              <w:rPr>
                <w:rFonts w:ascii="Times New Roman" w:eastAsia="Calibri" w:hAnsi="Times New Roman" w:cs="Times New Roman"/>
                <w:lang w:val="sq-AL"/>
              </w:rPr>
              <w:t>s</w:t>
            </w:r>
          </w:p>
        </w:tc>
        <w:tc>
          <w:tcPr>
            <w:tcW w:w="324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41.28543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19.50894</w:t>
            </w:r>
          </w:p>
        </w:tc>
      </w:tr>
      <w:tr w:rsidR="0047684C" w:rsidRPr="0047684C" w:rsidTr="0047684C">
        <w:tc>
          <w:tcPr>
            <w:tcW w:w="55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5.</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V</w:t>
            </w:r>
            <w:r w:rsidRPr="0047684C">
              <w:rPr>
                <w:rFonts w:ascii="Times New Roman" w:eastAsia="Calibri" w:hAnsi="Times New Roman" w:cs="Times New Roman"/>
                <w:vertAlign w:val="subscript"/>
                <w:lang w:val="sq-AL"/>
              </w:rPr>
              <w:t>1</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Vlor</w:t>
            </w:r>
            <w:r w:rsidRPr="0047684C">
              <w:rPr>
                <w:rFonts w:ascii="Times New Roman" w:eastAsia="Calibri" w:hAnsi="Times New Roman" w:cs="Times New Roman"/>
                <w:lang w:val="pt-BR"/>
              </w:rPr>
              <w:t>ë</w:t>
            </w:r>
          </w:p>
        </w:tc>
        <w:tc>
          <w:tcPr>
            <w:tcW w:w="450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Hidrovori Vlor</w:t>
            </w:r>
            <w:r w:rsidRPr="0047684C">
              <w:rPr>
                <w:rFonts w:ascii="Times New Roman" w:eastAsia="Calibri" w:hAnsi="Times New Roman" w:cs="Times New Roman"/>
                <w:lang w:val="pt-BR"/>
              </w:rPr>
              <w:t>ë</w:t>
            </w:r>
            <w:r w:rsidRPr="0047684C">
              <w:rPr>
                <w:rFonts w:ascii="Times New Roman" w:eastAsia="Calibri" w:hAnsi="Times New Roman" w:cs="Times New Roman"/>
                <w:lang w:val="sq-AL"/>
              </w:rPr>
              <w:t xml:space="preserve"> – Pylli i Sod</w:t>
            </w:r>
            <w:r w:rsidRPr="0047684C">
              <w:rPr>
                <w:rFonts w:ascii="Times New Roman" w:eastAsia="Calibri" w:hAnsi="Times New Roman" w:cs="Times New Roman"/>
                <w:lang w:val="pt-BR"/>
              </w:rPr>
              <w:t>ë</w:t>
            </w:r>
            <w:r w:rsidRPr="0047684C">
              <w:rPr>
                <w:rFonts w:ascii="Times New Roman" w:eastAsia="Calibri" w:hAnsi="Times New Roman" w:cs="Times New Roman"/>
                <w:lang w:val="sq-AL"/>
              </w:rPr>
              <w:t>s</w:t>
            </w:r>
          </w:p>
        </w:tc>
        <w:tc>
          <w:tcPr>
            <w:tcW w:w="324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40.470928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19.458578</w:t>
            </w:r>
          </w:p>
        </w:tc>
      </w:tr>
      <w:tr w:rsidR="0047684C" w:rsidRPr="0047684C" w:rsidTr="0047684C">
        <w:tc>
          <w:tcPr>
            <w:tcW w:w="55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6.</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V</w:t>
            </w:r>
            <w:r w:rsidRPr="0047684C">
              <w:rPr>
                <w:rFonts w:ascii="Times New Roman" w:eastAsia="Calibri" w:hAnsi="Times New Roman" w:cs="Times New Roman"/>
                <w:vertAlign w:val="subscript"/>
                <w:lang w:val="sq-AL"/>
              </w:rPr>
              <w:t>2</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Vlor</w:t>
            </w:r>
            <w:r w:rsidRPr="0047684C">
              <w:rPr>
                <w:rFonts w:ascii="Times New Roman" w:eastAsia="Calibri" w:hAnsi="Times New Roman" w:cs="Times New Roman"/>
                <w:lang w:val="pt-BR"/>
              </w:rPr>
              <w:t>ë</w:t>
            </w:r>
          </w:p>
        </w:tc>
        <w:tc>
          <w:tcPr>
            <w:tcW w:w="450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N</w:t>
            </w:r>
            <w:r w:rsidRPr="0047684C">
              <w:rPr>
                <w:rFonts w:ascii="Times New Roman" w:eastAsia="Calibri" w:hAnsi="Times New Roman" w:cs="Times New Roman"/>
                <w:lang w:val="pt-BR"/>
              </w:rPr>
              <w:t>ë</w:t>
            </w:r>
            <w:r w:rsidRPr="0047684C">
              <w:rPr>
                <w:rFonts w:ascii="Times New Roman" w:eastAsia="Calibri" w:hAnsi="Times New Roman" w:cs="Times New Roman"/>
                <w:lang w:val="sq-AL"/>
              </w:rPr>
              <w:t xml:space="preserve"> det 20 m pas stacionit t</w:t>
            </w:r>
            <w:r w:rsidRPr="0047684C">
              <w:rPr>
                <w:rFonts w:ascii="Times New Roman" w:eastAsia="Calibri" w:hAnsi="Times New Roman" w:cs="Times New Roman"/>
                <w:lang w:val="pt-BR"/>
              </w:rPr>
              <w:t>ë</w:t>
            </w:r>
            <w:r w:rsidRPr="0047684C">
              <w:rPr>
                <w:rFonts w:ascii="Times New Roman" w:eastAsia="Calibri" w:hAnsi="Times New Roman" w:cs="Times New Roman"/>
                <w:lang w:val="sq-AL"/>
              </w:rPr>
              <w:t xml:space="preserve"> pompimit – Pylli i Sod</w:t>
            </w:r>
            <w:r w:rsidRPr="0047684C">
              <w:rPr>
                <w:rFonts w:ascii="Times New Roman" w:eastAsia="Calibri" w:hAnsi="Times New Roman" w:cs="Times New Roman"/>
                <w:lang w:val="pt-BR"/>
              </w:rPr>
              <w:t>ë</w:t>
            </w:r>
            <w:r w:rsidRPr="0047684C">
              <w:rPr>
                <w:rFonts w:ascii="Times New Roman" w:eastAsia="Calibri" w:hAnsi="Times New Roman" w:cs="Times New Roman"/>
                <w:lang w:val="sq-AL"/>
              </w:rPr>
              <w:t>s</w:t>
            </w:r>
          </w:p>
        </w:tc>
        <w:tc>
          <w:tcPr>
            <w:tcW w:w="324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40.469208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19.454117</w:t>
            </w:r>
          </w:p>
        </w:tc>
      </w:tr>
      <w:tr w:rsidR="0047684C" w:rsidRPr="0047684C" w:rsidTr="0047684C">
        <w:tc>
          <w:tcPr>
            <w:tcW w:w="55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7.</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V</w:t>
            </w:r>
            <w:r w:rsidRPr="0047684C">
              <w:rPr>
                <w:rFonts w:ascii="Times New Roman" w:eastAsia="Calibri" w:hAnsi="Times New Roman" w:cs="Times New Roman"/>
                <w:vertAlign w:val="subscript"/>
                <w:lang w:val="sq-AL"/>
              </w:rPr>
              <w:t>3</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Vlor</w:t>
            </w:r>
            <w:r w:rsidRPr="0047684C">
              <w:rPr>
                <w:rFonts w:ascii="Times New Roman" w:eastAsia="Calibri" w:hAnsi="Times New Roman" w:cs="Times New Roman"/>
                <w:lang w:val="pt-BR"/>
              </w:rPr>
              <w:t>ë</w:t>
            </w:r>
          </w:p>
        </w:tc>
        <w:tc>
          <w:tcPr>
            <w:tcW w:w="450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Plazhi i Ri - Vlor</w:t>
            </w:r>
            <w:r w:rsidRPr="0047684C">
              <w:rPr>
                <w:rFonts w:ascii="Times New Roman" w:eastAsia="Calibri" w:hAnsi="Times New Roman" w:cs="Times New Roman"/>
                <w:lang w:val="pt-BR"/>
              </w:rPr>
              <w:t>ë</w:t>
            </w:r>
          </w:p>
        </w:tc>
        <w:tc>
          <w:tcPr>
            <w:tcW w:w="3240" w:type="dxa"/>
          </w:tcPr>
          <w:p w:rsidR="0047684C" w:rsidRPr="0047684C" w:rsidRDefault="0047684C" w:rsidP="0047684C">
            <w:pPr>
              <w:tabs>
                <w:tab w:val="left" w:pos="1605"/>
              </w:tabs>
              <w:jc w:val="both"/>
              <w:rPr>
                <w:rFonts w:ascii="Times New Roman" w:eastAsia="Calibri" w:hAnsi="Times New Roman" w:cs="Times New Roman"/>
                <w:lang w:val="sq-AL"/>
              </w:rPr>
            </w:pPr>
            <w:r w:rsidRPr="0047684C">
              <w:rPr>
                <w:rFonts w:ascii="Times New Roman" w:eastAsia="Calibri" w:hAnsi="Times New Roman" w:cs="Times New Roman"/>
                <w:lang w:val="sq-AL"/>
              </w:rPr>
              <w:t>N40.453422</w:t>
            </w:r>
            <w:r w:rsidRPr="0047684C">
              <w:rPr>
                <w:rFonts w:ascii="Times New Roman" w:eastAsia="Calibri" w:hAnsi="Times New Roman" w:cs="Times New Roman"/>
                <w:lang w:val="sq-AL"/>
              </w:rPr>
              <w:tab/>
            </w:r>
          </w:p>
          <w:p w:rsidR="0047684C" w:rsidRPr="0047684C" w:rsidRDefault="0047684C" w:rsidP="0047684C">
            <w:pPr>
              <w:tabs>
                <w:tab w:val="left" w:pos="1605"/>
              </w:tabs>
              <w:jc w:val="both"/>
              <w:rPr>
                <w:rFonts w:ascii="Times New Roman" w:eastAsia="Calibri" w:hAnsi="Times New Roman" w:cs="Times New Roman"/>
                <w:lang w:val="sq-AL"/>
              </w:rPr>
            </w:pPr>
            <w:r w:rsidRPr="0047684C">
              <w:rPr>
                <w:rFonts w:ascii="Times New Roman" w:eastAsia="Calibri" w:hAnsi="Times New Roman" w:cs="Times New Roman"/>
                <w:lang w:val="sq-AL"/>
              </w:rPr>
              <w:t>E 19.478732</w:t>
            </w:r>
          </w:p>
        </w:tc>
      </w:tr>
      <w:tr w:rsidR="0047684C" w:rsidRPr="0047684C" w:rsidTr="0047684C">
        <w:tc>
          <w:tcPr>
            <w:tcW w:w="55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lastRenderedPageBreak/>
              <w:t>8.</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V</w:t>
            </w:r>
            <w:r w:rsidRPr="0047684C">
              <w:rPr>
                <w:rFonts w:ascii="Times New Roman" w:eastAsia="Calibri" w:hAnsi="Times New Roman" w:cs="Times New Roman"/>
                <w:vertAlign w:val="subscript"/>
                <w:lang w:val="sq-AL"/>
              </w:rPr>
              <w:t>4</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Vlor</w:t>
            </w:r>
            <w:r w:rsidRPr="0047684C">
              <w:rPr>
                <w:rFonts w:ascii="Times New Roman" w:eastAsia="Calibri" w:hAnsi="Times New Roman" w:cs="Times New Roman"/>
                <w:lang w:val="pt-BR"/>
              </w:rPr>
              <w:t>ë</w:t>
            </w:r>
          </w:p>
        </w:tc>
        <w:tc>
          <w:tcPr>
            <w:tcW w:w="450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Shkolla e Marin</w:t>
            </w:r>
            <w:r w:rsidRPr="0047684C">
              <w:rPr>
                <w:rFonts w:ascii="Times New Roman" w:eastAsia="Calibri" w:hAnsi="Times New Roman" w:cs="Times New Roman"/>
                <w:lang w:val="pt-BR"/>
              </w:rPr>
              <w:t>ë</w:t>
            </w:r>
            <w:r w:rsidRPr="0047684C">
              <w:rPr>
                <w:rFonts w:ascii="Times New Roman" w:eastAsia="Calibri" w:hAnsi="Times New Roman" w:cs="Times New Roman"/>
                <w:lang w:val="sq-AL"/>
              </w:rPr>
              <w:t>s</w:t>
            </w:r>
          </w:p>
        </w:tc>
        <w:tc>
          <w:tcPr>
            <w:tcW w:w="3240" w:type="dxa"/>
          </w:tcPr>
          <w:p w:rsidR="0047684C" w:rsidRPr="0047684C" w:rsidRDefault="0047684C" w:rsidP="0047684C">
            <w:pPr>
              <w:tabs>
                <w:tab w:val="left" w:pos="1665"/>
              </w:tabs>
              <w:jc w:val="both"/>
              <w:rPr>
                <w:rFonts w:ascii="Times New Roman" w:eastAsia="Calibri" w:hAnsi="Times New Roman" w:cs="Times New Roman"/>
                <w:lang w:val="sq-AL"/>
              </w:rPr>
            </w:pPr>
            <w:r w:rsidRPr="0047684C">
              <w:rPr>
                <w:rFonts w:ascii="Times New Roman" w:eastAsia="Calibri" w:hAnsi="Times New Roman" w:cs="Times New Roman"/>
                <w:lang w:val="sq-AL"/>
              </w:rPr>
              <w:t>N 40.442729</w:t>
            </w:r>
            <w:r w:rsidRPr="0047684C">
              <w:rPr>
                <w:rFonts w:ascii="Times New Roman" w:eastAsia="Calibri" w:hAnsi="Times New Roman" w:cs="Times New Roman"/>
                <w:lang w:val="sq-AL"/>
              </w:rPr>
              <w:tab/>
            </w:r>
          </w:p>
          <w:p w:rsidR="0047684C" w:rsidRPr="0047684C" w:rsidRDefault="0047684C" w:rsidP="0047684C">
            <w:pPr>
              <w:tabs>
                <w:tab w:val="left" w:pos="1665"/>
              </w:tabs>
              <w:jc w:val="both"/>
              <w:rPr>
                <w:rFonts w:ascii="Times New Roman" w:eastAsia="Calibri" w:hAnsi="Times New Roman" w:cs="Times New Roman"/>
                <w:lang w:val="sq-AL"/>
              </w:rPr>
            </w:pPr>
            <w:r w:rsidRPr="0047684C">
              <w:rPr>
                <w:rFonts w:ascii="Times New Roman" w:eastAsia="Calibri" w:hAnsi="Times New Roman" w:cs="Times New Roman"/>
                <w:lang w:val="sq-AL"/>
              </w:rPr>
              <w:t>E 19.494879</w:t>
            </w:r>
          </w:p>
        </w:tc>
      </w:tr>
      <w:tr w:rsidR="0047684C" w:rsidRPr="0047684C" w:rsidTr="0047684C">
        <w:tc>
          <w:tcPr>
            <w:tcW w:w="55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9.</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S</w:t>
            </w:r>
            <w:r w:rsidRPr="0047684C">
              <w:rPr>
                <w:rFonts w:ascii="Times New Roman" w:eastAsia="Calibri" w:hAnsi="Times New Roman" w:cs="Times New Roman"/>
                <w:vertAlign w:val="subscript"/>
                <w:lang w:val="sq-AL"/>
              </w:rPr>
              <w:t>1</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Sarand</w:t>
            </w:r>
            <w:r w:rsidRPr="0047684C">
              <w:rPr>
                <w:rFonts w:ascii="Times New Roman" w:eastAsia="Calibri" w:hAnsi="Times New Roman" w:cs="Times New Roman"/>
                <w:lang w:val="pt-BR"/>
              </w:rPr>
              <w:t>ë</w:t>
            </w:r>
          </w:p>
        </w:tc>
        <w:tc>
          <w:tcPr>
            <w:tcW w:w="450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Plazhi i qytetit – Tek porti</w:t>
            </w:r>
          </w:p>
        </w:tc>
        <w:tc>
          <w:tcPr>
            <w:tcW w:w="324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39.873377      </w:t>
            </w:r>
          </w:p>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E 20.008538</w:t>
            </w:r>
          </w:p>
        </w:tc>
      </w:tr>
      <w:tr w:rsidR="0047684C" w:rsidRPr="0047684C" w:rsidTr="0047684C">
        <w:tc>
          <w:tcPr>
            <w:tcW w:w="558" w:type="dxa"/>
          </w:tcPr>
          <w:p w:rsidR="0047684C" w:rsidRPr="0047684C" w:rsidRDefault="0047684C" w:rsidP="0047684C">
            <w:pPr>
              <w:jc w:val="both"/>
              <w:rPr>
                <w:rFonts w:ascii="Times New Roman" w:eastAsia="Calibri" w:hAnsi="Times New Roman" w:cs="Times New Roman"/>
                <w:b/>
                <w:lang w:val="sq-AL"/>
              </w:rPr>
            </w:pPr>
            <w:r w:rsidRPr="0047684C">
              <w:rPr>
                <w:rFonts w:ascii="Times New Roman" w:eastAsia="Calibri" w:hAnsi="Times New Roman" w:cs="Times New Roman"/>
                <w:b/>
                <w:lang w:val="sq-AL"/>
              </w:rPr>
              <w:t>10.</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S</w:t>
            </w:r>
            <w:r w:rsidRPr="0047684C">
              <w:rPr>
                <w:rFonts w:ascii="Times New Roman" w:eastAsia="Calibri" w:hAnsi="Times New Roman" w:cs="Times New Roman"/>
                <w:vertAlign w:val="subscript"/>
                <w:lang w:val="sq-AL"/>
              </w:rPr>
              <w:t>2</w:t>
            </w:r>
          </w:p>
        </w:tc>
        <w:tc>
          <w:tcPr>
            <w:tcW w:w="198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Sarand</w:t>
            </w:r>
            <w:r w:rsidRPr="0047684C">
              <w:rPr>
                <w:rFonts w:ascii="Times New Roman" w:eastAsia="Calibri" w:hAnsi="Times New Roman" w:cs="Times New Roman"/>
                <w:lang w:val="pt-BR"/>
              </w:rPr>
              <w:t>ë</w:t>
            </w:r>
          </w:p>
        </w:tc>
        <w:tc>
          <w:tcPr>
            <w:tcW w:w="4500" w:type="dxa"/>
          </w:tcPr>
          <w:p w:rsidR="0047684C" w:rsidRPr="0047684C" w:rsidRDefault="0047684C" w:rsidP="0047684C">
            <w:pPr>
              <w:jc w:val="both"/>
              <w:rPr>
                <w:rFonts w:ascii="Times New Roman" w:eastAsia="Calibri" w:hAnsi="Times New Roman" w:cs="Times New Roman"/>
                <w:lang w:val="sq-AL"/>
              </w:rPr>
            </w:pPr>
            <w:r w:rsidRPr="0047684C">
              <w:rPr>
                <w:rFonts w:ascii="Times New Roman" w:eastAsia="Calibri" w:hAnsi="Times New Roman" w:cs="Times New Roman"/>
                <w:lang w:val="sq-AL"/>
              </w:rPr>
              <w:t>Bar Riviera n</w:t>
            </w:r>
            <w:r w:rsidRPr="0047684C">
              <w:rPr>
                <w:rFonts w:ascii="Times New Roman" w:eastAsia="Calibri" w:hAnsi="Times New Roman" w:cs="Times New Roman"/>
                <w:lang w:val="pt-BR"/>
              </w:rPr>
              <w:t xml:space="preserve">ë </w:t>
            </w:r>
            <w:r w:rsidRPr="0047684C">
              <w:rPr>
                <w:rFonts w:ascii="Times New Roman" w:eastAsia="Calibri" w:hAnsi="Times New Roman" w:cs="Times New Roman"/>
                <w:lang w:val="sq-AL"/>
              </w:rPr>
              <w:t>qend</w:t>
            </w:r>
            <w:r w:rsidRPr="0047684C">
              <w:rPr>
                <w:rFonts w:ascii="Times New Roman" w:eastAsia="Calibri" w:hAnsi="Times New Roman" w:cs="Times New Roman"/>
                <w:lang w:val="pt-BR"/>
              </w:rPr>
              <w:t>ë</w:t>
            </w:r>
            <w:r w:rsidRPr="0047684C">
              <w:rPr>
                <w:rFonts w:ascii="Times New Roman" w:eastAsia="Calibri" w:hAnsi="Times New Roman" w:cs="Times New Roman"/>
                <w:lang w:val="sq-AL"/>
              </w:rPr>
              <w:t>r t</w:t>
            </w:r>
            <w:r w:rsidRPr="0047684C">
              <w:rPr>
                <w:rFonts w:ascii="Times New Roman" w:eastAsia="Calibri" w:hAnsi="Times New Roman" w:cs="Times New Roman"/>
                <w:lang w:val="pt-BR"/>
              </w:rPr>
              <w:t>ë</w:t>
            </w:r>
            <w:r w:rsidRPr="0047684C">
              <w:rPr>
                <w:rFonts w:ascii="Times New Roman" w:eastAsia="Calibri" w:hAnsi="Times New Roman" w:cs="Times New Roman"/>
                <w:lang w:val="sq-AL"/>
              </w:rPr>
              <w:t xml:space="preserve"> qytetit</w:t>
            </w:r>
          </w:p>
        </w:tc>
        <w:tc>
          <w:tcPr>
            <w:tcW w:w="3240" w:type="dxa"/>
          </w:tcPr>
          <w:p w:rsidR="0047684C" w:rsidRPr="0047684C" w:rsidRDefault="0047684C" w:rsidP="0047684C">
            <w:pPr>
              <w:tabs>
                <w:tab w:val="left" w:pos="1680"/>
              </w:tabs>
              <w:jc w:val="both"/>
              <w:rPr>
                <w:rFonts w:ascii="Times New Roman" w:eastAsia="Calibri" w:hAnsi="Times New Roman" w:cs="Times New Roman"/>
                <w:lang w:val="sq-AL"/>
              </w:rPr>
            </w:pPr>
            <w:r w:rsidRPr="0047684C">
              <w:rPr>
                <w:rFonts w:ascii="Times New Roman" w:eastAsia="Calibri" w:hAnsi="Times New Roman" w:cs="Times New Roman"/>
                <w:lang w:val="sq-AL"/>
              </w:rPr>
              <w:t xml:space="preserve">N 39.868564      </w:t>
            </w:r>
          </w:p>
          <w:p w:rsidR="0047684C" w:rsidRPr="0047684C" w:rsidRDefault="0047684C" w:rsidP="0047684C">
            <w:pPr>
              <w:tabs>
                <w:tab w:val="left" w:pos="1680"/>
              </w:tabs>
              <w:jc w:val="both"/>
              <w:rPr>
                <w:rFonts w:ascii="Times New Roman" w:eastAsia="Calibri" w:hAnsi="Times New Roman" w:cs="Times New Roman"/>
                <w:lang w:val="sq-AL"/>
              </w:rPr>
            </w:pPr>
            <w:r w:rsidRPr="0047684C">
              <w:rPr>
                <w:rFonts w:ascii="Times New Roman" w:eastAsia="Calibri" w:hAnsi="Times New Roman" w:cs="Times New Roman"/>
                <w:lang w:val="sq-AL"/>
              </w:rPr>
              <w:t>E 19.998654</w:t>
            </w:r>
          </w:p>
        </w:tc>
      </w:tr>
    </w:tbl>
    <w:p w:rsidR="00E15C3C" w:rsidRDefault="00E15C3C" w:rsidP="0047684C">
      <w:pPr>
        <w:spacing w:after="0" w:line="276" w:lineRule="auto"/>
        <w:jc w:val="both"/>
        <w:rPr>
          <w:rFonts w:ascii="Times New Roman" w:eastAsia="Calibri" w:hAnsi="Times New Roman" w:cs="Times New Roman"/>
          <w:sz w:val="24"/>
          <w:szCs w:val="24"/>
          <w:lang w:val="pt-BR"/>
        </w:rPr>
      </w:pPr>
    </w:p>
    <w:p w:rsidR="00E15C3C" w:rsidRPr="0047684C" w:rsidRDefault="00E15C3C" w:rsidP="0047684C">
      <w:pPr>
        <w:spacing w:after="0" w:line="276" w:lineRule="auto"/>
        <w:jc w:val="both"/>
        <w:rPr>
          <w:rFonts w:ascii="Times New Roman" w:eastAsia="Calibri" w:hAnsi="Times New Roman" w:cs="Times New Roman"/>
          <w:sz w:val="24"/>
          <w:szCs w:val="24"/>
          <w:lang w:val="pt-BR"/>
        </w:rPr>
      </w:pPr>
    </w:p>
    <w:p w:rsidR="0047684C" w:rsidRPr="006C2F5F" w:rsidRDefault="0047684C" w:rsidP="00807975">
      <w:pPr>
        <w:pStyle w:val="ListParagraph"/>
        <w:numPr>
          <w:ilvl w:val="0"/>
          <w:numId w:val="93"/>
        </w:numPr>
        <w:spacing w:after="0" w:line="276" w:lineRule="auto"/>
        <w:jc w:val="both"/>
        <w:rPr>
          <w:rFonts w:ascii="Times New Roman" w:eastAsia="Calibri" w:hAnsi="Times New Roman" w:cs="Times New Roman"/>
          <w:b/>
          <w:sz w:val="24"/>
          <w:szCs w:val="24"/>
        </w:rPr>
      </w:pPr>
      <w:r w:rsidRPr="006C2F5F">
        <w:rPr>
          <w:rFonts w:ascii="Times New Roman" w:eastAsia="Calibri" w:hAnsi="Times New Roman" w:cs="Times New Roman"/>
          <w:b/>
          <w:sz w:val="24"/>
          <w:szCs w:val="24"/>
        </w:rPr>
        <w:t>Vlerësimi i cilësisë së ujërave bregdetare</w:t>
      </w:r>
    </w:p>
    <w:p w:rsidR="0047684C" w:rsidRPr="0047684C" w:rsidRDefault="0047684C" w:rsidP="0047684C">
      <w:pPr>
        <w:spacing w:after="0" w:line="276" w:lineRule="auto"/>
        <w:jc w:val="both"/>
        <w:rPr>
          <w:rFonts w:ascii="Times New Roman" w:eastAsia="Calibri" w:hAnsi="Times New Roman" w:cs="Times New Roman"/>
          <w:b/>
          <w:sz w:val="24"/>
          <w:szCs w:val="24"/>
        </w:rPr>
      </w:pPr>
    </w:p>
    <w:p w:rsidR="006C2F5F" w:rsidRPr="006C2F5F" w:rsidRDefault="0047684C" w:rsidP="002008B0">
      <w:pPr>
        <w:spacing w:after="0" w:line="240" w:lineRule="auto"/>
        <w:jc w:val="both"/>
        <w:rPr>
          <w:rFonts w:ascii="Times New Roman" w:eastAsia="Calibri" w:hAnsi="Times New Roman" w:cs="Times New Roman"/>
          <w:sz w:val="24"/>
          <w:szCs w:val="24"/>
          <w:lang w:val="pt-BR"/>
        </w:rPr>
      </w:pPr>
      <w:r w:rsidRPr="0047684C">
        <w:rPr>
          <w:rFonts w:ascii="Times New Roman" w:eastAsia="Calibri" w:hAnsi="Times New Roman" w:cs="Times New Roman"/>
          <w:sz w:val="24"/>
          <w:szCs w:val="24"/>
        </w:rPr>
        <w:t>Stacionet e monitorimit t</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rPr>
        <w:t xml:space="preserve"> cil</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rPr>
        <w:t>sis</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rPr>
        <w:t xml:space="preserve"> s</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rPr>
        <w:t xml:space="preserve"> uj</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rPr>
        <w:t>rave bregdetare p</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rPr>
        <w:t>r statusin kimik jan</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rPr>
        <w:t xml:space="preserve"> shtrir</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rPr>
        <w:t xml:space="preserve"> n</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rPr>
        <w:t xml:space="preserve"> qytetet Durr</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rPr>
        <w:t>s, Vlor</w:t>
      </w:r>
      <w:r w:rsidRPr="0047684C">
        <w:rPr>
          <w:rFonts w:ascii="Times New Roman" w:eastAsia="Calibri" w:hAnsi="Times New Roman" w:cs="Times New Roman"/>
          <w:sz w:val="24"/>
          <w:szCs w:val="24"/>
          <w:lang w:val="pt-BR"/>
        </w:rPr>
        <w:t xml:space="preserve">ë, </w:t>
      </w:r>
      <w:r w:rsidRPr="0047684C">
        <w:rPr>
          <w:rFonts w:ascii="Times New Roman" w:eastAsia="Calibri" w:hAnsi="Times New Roman" w:cs="Times New Roman"/>
          <w:sz w:val="24"/>
          <w:szCs w:val="24"/>
        </w:rPr>
        <w:t>Sarand</w:t>
      </w:r>
      <w:r w:rsidRPr="0047684C">
        <w:rPr>
          <w:rFonts w:ascii="Times New Roman" w:eastAsia="Calibri" w:hAnsi="Times New Roman" w:cs="Times New Roman"/>
          <w:sz w:val="24"/>
          <w:szCs w:val="24"/>
          <w:lang w:val="pt-BR"/>
        </w:rPr>
        <w:t>ë, Shëngjin dhe Velipojë.</w:t>
      </w:r>
      <w:r w:rsidR="00E15C3C">
        <w:rPr>
          <w:rFonts w:ascii="Times New Roman" w:eastAsia="Calibri" w:hAnsi="Times New Roman" w:cs="Times New Roman"/>
          <w:sz w:val="24"/>
          <w:szCs w:val="24"/>
          <w:lang w:val="pt-BR"/>
        </w:rPr>
        <w:t xml:space="preserve"> </w:t>
      </w:r>
      <w:r w:rsidR="006C2F5F" w:rsidRPr="0047684C">
        <w:rPr>
          <w:rFonts w:ascii="Times New Roman" w:eastAsia="Calibri" w:hAnsi="Times New Roman" w:cs="Times New Roman"/>
          <w:sz w:val="24"/>
          <w:szCs w:val="24"/>
          <w:lang w:val="da-DK"/>
        </w:rPr>
        <w:t>Vler</w:t>
      </w:r>
      <w:r w:rsidR="006C2F5F" w:rsidRPr="0047684C">
        <w:rPr>
          <w:rFonts w:ascii="Times New Roman" w:eastAsia="Calibri" w:hAnsi="Times New Roman" w:cs="Times New Roman"/>
          <w:sz w:val="24"/>
          <w:szCs w:val="24"/>
          <w:lang w:val="pt-BR"/>
        </w:rPr>
        <w:t>ë</w:t>
      </w:r>
      <w:r w:rsidR="006C2F5F" w:rsidRPr="0047684C">
        <w:rPr>
          <w:rFonts w:ascii="Times New Roman" w:eastAsia="Calibri" w:hAnsi="Times New Roman" w:cs="Times New Roman"/>
          <w:sz w:val="24"/>
          <w:szCs w:val="24"/>
          <w:lang w:val="da-DK"/>
        </w:rPr>
        <w:t>simi i cil</w:t>
      </w:r>
      <w:r w:rsidR="006C2F5F" w:rsidRPr="0047684C">
        <w:rPr>
          <w:rFonts w:ascii="Times New Roman" w:eastAsia="Calibri" w:hAnsi="Times New Roman" w:cs="Times New Roman"/>
          <w:sz w:val="24"/>
          <w:szCs w:val="24"/>
          <w:lang w:val="pt-BR"/>
        </w:rPr>
        <w:t>ë</w:t>
      </w:r>
      <w:r w:rsidR="006C2F5F" w:rsidRPr="0047684C">
        <w:rPr>
          <w:rFonts w:ascii="Times New Roman" w:eastAsia="Calibri" w:hAnsi="Times New Roman" w:cs="Times New Roman"/>
          <w:sz w:val="24"/>
          <w:szCs w:val="24"/>
          <w:lang w:val="da-DK"/>
        </w:rPr>
        <w:t>sis</w:t>
      </w:r>
      <w:r w:rsidR="006C2F5F" w:rsidRPr="0047684C">
        <w:rPr>
          <w:rFonts w:ascii="Times New Roman" w:eastAsia="Calibri" w:hAnsi="Times New Roman" w:cs="Times New Roman"/>
          <w:bCs/>
          <w:sz w:val="24"/>
          <w:szCs w:val="24"/>
          <w:lang w:val="fi-FI"/>
        </w:rPr>
        <w:t>ë</w:t>
      </w:r>
      <w:r w:rsidR="006C2F5F" w:rsidRPr="0047684C">
        <w:rPr>
          <w:rFonts w:ascii="Times New Roman" w:eastAsia="Calibri" w:hAnsi="Times New Roman" w:cs="Times New Roman"/>
          <w:sz w:val="24"/>
          <w:szCs w:val="24"/>
          <w:lang w:val="da-DK"/>
        </w:rPr>
        <w:t xml:space="preserve"> s</w:t>
      </w:r>
      <w:r w:rsidR="006C2F5F" w:rsidRPr="0047684C">
        <w:rPr>
          <w:rFonts w:ascii="Times New Roman" w:eastAsia="Calibri" w:hAnsi="Times New Roman" w:cs="Times New Roman"/>
          <w:sz w:val="24"/>
          <w:szCs w:val="24"/>
          <w:lang w:val="pt-BR"/>
        </w:rPr>
        <w:t xml:space="preserve">ë </w:t>
      </w:r>
      <w:r w:rsidR="006C2F5F" w:rsidRPr="0047684C">
        <w:rPr>
          <w:rFonts w:ascii="Times New Roman" w:eastAsia="Calibri" w:hAnsi="Times New Roman" w:cs="Times New Roman"/>
          <w:sz w:val="24"/>
          <w:szCs w:val="24"/>
          <w:lang w:val="da-DK"/>
        </w:rPr>
        <w:t>uj</w:t>
      </w:r>
      <w:r w:rsidR="006C2F5F" w:rsidRPr="0047684C">
        <w:rPr>
          <w:rFonts w:ascii="Times New Roman" w:eastAsia="Calibri" w:hAnsi="Times New Roman" w:cs="Times New Roman"/>
          <w:sz w:val="24"/>
          <w:szCs w:val="24"/>
          <w:lang w:val="pt-BR"/>
        </w:rPr>
        <w:t>ë</w:t>
      </w:r>
      <w:r w:rsidR="006C2F5F" w:rsidRPr="0047684C">
        <w:rPr>
          <w:rFonts w:ascii="Times New Roman" w:eastAsia="Calibri" w:hAnsi="Times New Roman" w:cs="Times New Roman"/>
          <w:sz w:val="24"/>
          <w:szCs w:val="24"/>
          <w:lang w:val="da-DK"/>
        </w:rPr>
        <w:t xml:space="preserve">rave  urbane </w:t>
      </w:r>
      <w:r w:rsidR="006C2F5F" w:rsidRPr="0047684C">
        <w:rPr>
          <w:rFonts w:ascii="Times New Roman" w:eastAsia="Calibri" w:hAnsi="Times New Roman" w:cs="Times New Roman"/>
          <w:sz w:val="24"/>
          <w:szCs w:val="24"/>
          <w:lang w:val="pt-BR"/>
        </w:rPr>
        <w:t>ë</w:t>
      </w:r>
      <w:r w:rsidR="006C2F5F" w:rsidRPr="0047684C">
        <w:rPr>
          <w:rFonts w:ascii="Times New Roman" w:eastAsia="Calibri" w:hAnsi="Times New Roman" w:cs="Times New Roman"/>
          <w:sz w:val="24"/>
          <w:szCs w:val="24"/>
          <w:lang w:val="da-DK"/>
        </w:rPr>
        <w:t>sht</w:t>
      </w:r>
      <w:r w:rsidR="006C2F5F" w:rsidRPr="0047684C">
        <w:rPr>
          <w:rFonts w:ascii="Times New Roman" w:eastAsia="Calibri" w:hAnsi="Times New Roman" w:cs="Times New Roman"/>
          <w:sz w:val="24"/>
          <w:szCs w:val="24"/>
          <w:lang w:val="pt-BR"/>
        </w:rPr>
        <w:t>ë</w:t>
      </w:r>
      <w:r w:rsidR="006C2F5F" w:rsidRPr="0047684C">
        <w:rPr>
          <w:rFonts w:ascii="Times New Roman" w:eastAsia="Calibri" w:hAnsi="Times New Roman" w:cs="Times New Roman"/>
          <w:sz w:val="24"/>
          <w:szCs w:val="24"/>
          <w:lang w:val="da-DK"/>
        </w:rPr>
        <w:t xml:space="preserve"> kryer sipas normave t</w:t>
      </w:r>
      <w:r w:rsidR="006C2F5F" w:rsidRPr="0047684C">
        <w:rPr>
          <w:rFonts w:ascii="Times New Roman" w:eastAsia="Calibri" w:hAnsi="Times New Roman" w:cs="Times New Roman"/>
          <w:sz w:val="24"/>
          <w:szCs w:val="24"/>
          <w:lang w:val="pt-BR"/>
        </w:rPr>
        <w:t xml:space="preserve">ë shkarkimeve të lëngëta urbane nga impiantet e trajtimit, të përcaktuara në Legjislacionin Shqiptar </w:t>
      </w:r>
      <w:r w:rsidR="006C2F5F" w:rsidRPr="0047684C">
        <w:rPr>
          <w:rFonts w:ascii="Times New Roman" w:eastAsia="Calibri" w:hAnsi="Times New Roman" w:cs="Times New Roman"/>
          <w:sz w:val="24"/>
          <w:szCs w:val="24"/>
        </w:rPr>
        <w:t>VKM Nr.177 dat</w:t>
      </w:r>
      <w:r w:rsidR="006C2F5F" w:rsidRPr="0047684C">
        <w:rPr>
          <w:rFonts w:ascii="Times New Roman" w:eastAsia="Calibri" w:hAnsi="Times New Roman" w:cs="Times New Roman"/>
          <w:sz w:val="24"/>
          <w:szCs w:val="24"/>
          <w:lang w:val="pt-BR"/>
        </w:rPr>
        <w:t xml:space="preserve">ë </w:t>
      </w:r>
      <w:r w:rsidR="006C2F5F" w:rsidRPr="0047684C">
        <w:rPr>
          <w:rFonts w:ascii="Times New Roman" w:eastAsia="Calibri" w:hAnsi="Times New Roman" w:cs="Times New Roman"/>
          <w:sz w:val="24"/>
          <w:szCs w:val="24"/>
        </w:rPr>
        <w:t>31.03.2005</w:t>
      </w:r>
      <w:r w:rsidR="006C2F5F">
        <w:rPr>
          <w:rFonts w:ascii="Times New Roman" w:eastAsia="Calibri" w:hAnsi="Times New Roman" w:cs="Times New Roman"/>
          <w:sz w:val="24"/>
          <w:szCs w:val="24"/>
        </w:rPr>
        <w:t>.</w:t>
      </w:r>
    </w:p>
    <w:p w:rsidR="006C2F5F" w:rsidRDefault="006C2F5F" w:rsidP="006C2F5F">
      <w:pPr>
        <w:spacing w:after="0"/>
        <w:jc w:val="center"/>
        <w:rPr>
          <w:rFonts w:ascii="Times New Roman" w:hAnsi="Times New Roman" w:cs="Times New Roman"/>
          <w:sz w:val="24"/>
          <w:szCs w:val="24"/>
          <w:lang w:val="pt-BR"/>
        </w:rPr>
      </w:pPr>
    </w:p>
    <w:p w:rsidR="006C2F5F" w:rsidRPr="006C2F5F" w:rsidRDefault="006C2F5F" w:rsidP="006C2F5F">
      <w:pPr>
        <w:spacing w:after="0"/>
        <w:jc w:val="center"/>
        <w:rPr>
          <w:rFonts w:ascii="Times New Roman" w:hAnsi="Times New Roman" w:cs="Times New Roman"/>
          <w:sz w:val="24"/>
          <w:szCs w:val="24"/>
          <w:lang w:val="pt-BR"/>
        </w:rPr>
      </w:pPr>
      <w:r>
        <w:rPr>
          <w:rFonts w:ascii="Times New Roman" w:hAnsi="Times New Roman" w:cs="Times New Roman"/>
          <w:sz w:val="24"/>
          <w:szCs w:val="24"/>
          <w:lang w:val="pt-BR"/>
        </w:rPr>
        <w:t xml:space="preserve">Tabela </w:t>
      </w:r>
      <w:r w:rsidR="00CD2C3A">
        <w:rPr>
          <w:rFonts w:ascii="Times New Roman" w:hAnsi="Times New Roman" w:cs="Times New Roman"/>
          <w:sz w:val="24"/>
          <w:szCs w:val="24"/>
          <w:lang w:val="pt-BR"/>
        </w:rPr>
        <w:t>40</w:t>
      </w:r>
      <w:r>
        <w:rPr>
          <w:rFonts w:ascii="Times New Roman" w:hAnsi="Times New Roman" w:cs="Times New Roman"/>
          <w:sz w:val="24"/>
          <w:szCs w:val="24"/>
          <w:lang w:val="pt-BR"/>
        </w:rPr>
        <w:t xml:space="preserve">. </w:t>
      </w:r>
      <w:r w:rsidRPr="006C2F5F">
        <w:rPr>
          <w:rFonts w:ascii="Times New Roman" w:hAnsi="Times New Roman" w:cs="Times New Roman"/>
          <w:sz w:val="24"/>
          <w:szCs w:val="24"/>
          <w:lang w:val="pt-BR"/>
        </w:rPr>
        <w:t>Normat e shkarkimeve të lëngëta urbane</w:t>
      </w:r>
    </w:p>
    <w:p w:rsidR="006C2F5F" w:rsidRPr="006C2F5F" w:rsidRDefault="006C2F5F" w:rsidP="006C2F5F">
      <w:pPr>
        <w:spacing w:after="0"/>
        <w:jc w:val="center"/>
        <w:rPr>
          <w:rFonts w:ascii="Times New Roman" w:hAnsi="Times New Roman" w:cs="Times New Roman"/>
          <w:sz w:val="24"/>
          <w:szCs w:val="24"/>
          <w:lang w:val="pt-BR"/>
        </w:rPr>
      </w:pPr>
    </w:p>
    <w:tbl>
      <w:tblPr>
        <w:tblW w:w="0" w:type="auto"/>
        <w:tblInd w:w="1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8"/>
        <w:gridCol w:w="2299"/>
      </w:tblGrid>
      <w:tr w:rsidR="006C2F5F" w:rsidRPr="006C2F5F" w:rsidTr="00F66236">
        <w:tc>
          <w:tcPr>
            <w:tcW w:w="4338" w:type="dxa"/>
          </w:tcPr>
          <w:p w:rsidR="00715C31" w:rsidRPr="006C2F5F" w:rsidRDefault="006C2F5F" w:rsidP="00715C31">
            <w:pPr>
              <w:spacing w:after="0" w:line="240" w:lineRule="auto"/>
              <w:jc w:val="center"/>
              <w:rPr>
                <w:rFonts w:ascii="Times New Roman" w:eastAsia="Calibri" w:hAnsi="Times New Roman" w:cs="Times New Roman"/>
                <w:b/>
                <w:sz w:val="24"/>
                <w:szCs w:val="24"/>
              </w:rPr>
            </w:pPr>
            <w:r w:rsidRPr="006C2F5F">
              <w:rPr>
                <w:rFonts w:ascii="Times New Roman" w:eastAsia="Calibri" w:hAnsi="Times New Roman" w:cs="Times New Roman"/>
                <w:b/>
                <w:sz w:val="24"/>
                <w:szCs w:val="24"/>
              </w:rPr>
              <w:t>Parametrat</w:t>
            </w:r>
          </w:p>
        </w:tc>
        <w:tc>
          <w:tcPr>
            <w:tcW w:w="2299" w:type="dxa"/>
          </w:tcPr>
          <w:p w:rsidR="006C2F5F" w:rsidRPr="006C2F5F" w:rsidRDefault="006C2F5F" w:rsidP="00F66236">
            <w:pPr>
              <w:spacing w:after="0" w:line="240" w:lineRule="auto"/>
              <w:jc w:val="center"/>
              <w:rPr>
                <w:rFonts w:ascii="Times New Roman" w:eastAsia="Calibri" w:hAnsi="Times New Roman" w:cs="Times New Roman"/>
                <w:b/>
                <w:sz w:val="24"/>
                <w:szCs w:val="24"/>
              </w:rPr>
            </w:pPr>
            <w:r w:rsidRPr="006C2F5F">
              <w:rPr>
                <w:rFonts w:ascii="Times New Roman" w:eastAsia="Calibri" w:hAnsi="Times New Roman" w:cs="Times New Roman"/>
                <w:b/>
                <w:sz w:val="24"/>
                <w:szCs w:val="24"/>
              </w:rPr>
              <w:t>Perqendrimi</w:t>
            </w:r>
          </w:p>
        </w:tc>
      </w:tr>
      <w:tr w:rsidR="006C2F5F" w:rsidRPr="006C2F5F" w:rsidTr="00F66236">
        <w:tc>
          <w:tcPr>
            <w:tcW w:w="4338" w:type="dxa"/>
          </w:tcPr>
          <w:p w:rsidR="006C2F5F" w:rsidRPr="006C2F5F" w:rsidRDefault="006C2F5F" w:rsidP="00F66236">
            <w:pPr>
              <w:spacing w:after="0" w:line="240" w:lineRule="auto"/>
              <w:jc w:val="center"/>
              <w:rPr>
                <w:rFonts w:ascii="Times New Roman" w:eastAsia="Calibri" w:hAnsi="Times New Roman" w:cs="Times New Roman"/>
                <w:sz w:val="24"/>
                <w:szCs w:val="24"/>
              </w:rPr>
            </w:pPr>
            <w:r w:rsidRPr="006C2F5F">
              <w:rPr>
                <w:rFonts w:ascii="Times New Roman" w:eastAsia="Calibri" w:hAnsi="Times New Roman" w:cs="Times New Roman"/>
                <w:sz w:val="24"/>
                <w:szCs w:val="24"/>
              </w:rPr>
              <w:t>Nevoja biokimike per oksigjen (NBO5)</w:t>
            </w:r>
          </w:p>
        </w:tc>
        <w:tc>
          <w:tcPr>
            <w:tcW w:w="2299" w:type="dxa"/>
          </w:tcPr>
          <w:p w:rsidR="006C2F5F" w:rsidRPr="006C2F5F" w:rsidRDefault="006C2F5F" w:rsidP="00F66236">
            <w:pPr>
              <w:spacing w:after="0" w:line="240" w:lineRule="auto"/>
              <w:jc w:val="center"/>
              <w:rPr>
                <w:rFonts w:ascii="Times New Roman" w:eastAsia="Calibri" w:hAnsi="Times New Roman" w:cs="Times New Roman"/>
                <w:sz w:val="24"/>
                <w:szCs w:val="24"/>
              </w:rPr>
            </w:pPr>
            <w:r w:rsidRPr="006C2F5F">
              <w:rPr>
                <w:rFonts w:ascii="Times New Roman" w:eastAsia="Calibri" w:hAnsi="Times New Roman" w:cs="Times New Roman"/>
                <w:sz w:val="24"/>
                <w:szCs w:val="24"/>
              </w:rPr>
              <w:t>25 mg/l O2</w:t>
            </w:r>
          </w:p>
        </w:tc>
      </w:tr>
      <w:tr w:rsidR="006C2F5F" w:rsidRPr="006C2F5F" w:rsidTr="00F66236">
        <w:tc>
          <w:tcPr>
            <w:tcW w:w="4338" w:type="dxa"/>
          </w:tcPr>
          <w:p w:rsidR="006C2F5F" w:rsidRPr="006C2F5F" w:rsidRDefault="006C2F5F" w:rsidP="00F66236">
            <w:pPr>
              <w:spacing w:after="0" w:line="240" w:lineRule="auto"/>
              <w:jc w:val="center"/>
              <w:rPr>
                <w:rFonts w:ascii="Times New Roman" w:eastAsia="Calibri" w:hAnsi="Times New Roman" w:cs="Times New Roman"/>
                <w:sz w:val="24"/>
                <w:szCs w:val="24"/>
                <w:lang w:val="da-DK"/>
              </w:rPr>
            </w:pPr>
            <w:r w:rsidRPr="006C2F5F">
              <w:rPr>
                <w:rFonts w:ascii="Times New Roman" w:eastAsia="Calibri" w:hAnsi="Times New Roman" w:cs="Times New Roman"/>
                <w:sz w:val="24"/>
                <w:szCs w:val="24"/>
                <w:lang w:val="da-DK"/>
              </w:rPr>
              <w:t>Nevoja kimike per oksigjen (NKO)</w:t>
            </w:r>
          </w:p>
        </w:tc>
        <w:tc>
          <w:tcPr>
            <w:tcW w:w="2299" w:type="dxa"/>
          </w:tcPr>
          <w:p w:rsidR="006C2F5F" w:rsidRPr="006C2F5F" w:rsidRDefault="006C2F5F" w:rsidP="00F66236">
            <w:pPr>
              <w:spacing w:after="0" w:line="240" w:lineRule="auto"/>
              <w:jc w:val="center"/>
              <w:rPr>
                <w:rFonts w:ascii="Times New Roman" w:eastAsia="Calibri" w:hAnsi="Times New Roman" w:cs="Times New Roman"/>
                <w:sz w:val="24"/>
                <w:szCs w:val="24"/>
              </w:rPr>
            </w:pPr>
            <w:r w:rsidRPr="006C2F5F">
              <w:rPr>
                <w:rFonts w:ascii="Times New Roman" w:eastAsia="Calibri" w:hAnsi="Times New Roman" w:cs="Times New Roman"/>
                <w:sz w:val="24"/>
                <w:szCs w:val="24"/>
              </w:rPr>
              <w:t>125 mg/l O2</w:t>
            </w:r>
          </w:p>
        </w:tc>
      </w:tr>
      <w:tr w:rsidR="006C2F5F" w:rsidRPr="006C2F5F" w:rsidTr="00F66236">
        <w:tc>
          <w:tcPr>
            <w:tcW w:w="4338" w:type="dxa"/>
          </w:tcPr>
          <w:p w:rsidR="006C2F5F" w:rsidRPr="006C2F5F" w:rsidRDefault="006C2F5F" w:rsidP="00F66236">
            <w:pPr>
              <w:spacing w:after="0" w:line="240" w:lineRule="auto"/>
              <w:jc w:val="center"/>
              <w:rPr>
                <w:rFonts w:ascii="Times New Roman" w:eastAsia="Calibri" w:hAnsi="Times New Roman" w:cs="Times New Roman"/>
                <w:sz w:val="24"/>
                <w:szCs w:val="24"/>
              </w:rPr>
            </w:pPr>
            <w:r w:rsidRPr="006C2F5F">
              <w:rPr>
                <w:rFonts w:ascii="Times New Roman" w:eastAsia="Calibri" w:hAnsi="Times New Roman" w:cs="Times New Roman"/>
                <w:sz w:val="24"/>
                <w:szCs w:val="24"/>
              </w:rPr>
              <w:t>Lenda totale ne suspension</w:t>
            </w:r>
          </w:p>
        </w:tc>
        <w:tc>
          <w:tcPr>
            <w:tcW w:w="2299" w:type="dxa"/>
          </w:tcPr>
          <w:p w:rsidR="006C2F5F" w:rsidRPr="006C2F5F" w:rsidRDefault="006C2F5F" w:rsidP="00F66236">
            <w:pPr>
              <w:spacing w:after="0" w:line="240" w:lineRule="auto"/>
              <w:jc w:val="center"/>
              <w:rPr>
                <w:rFonts w:ascii="Times New Roman" w:eastAsia="Calibri" w:hAnsi="Times New Roman" w:cs="Times New Roman"/>
                <w:sz w:val="24"/>
                <w:szCs w:val="24"/>
              </w:rPr>
            </w:pPr>
            <w:r w:rsidRPr="006C2F5F">
              <w:rPr>
                <w:rFonts w:ascii="Times New Roman" w:eastAsia="Calibri" w:hAnsi="Times New Roman" w:cs="Times New Roman"/>
                <w:sz w:val="24"/>
                <w:szCs w:val="24"/>
              </w:rPr>
              <w:t>35 mg/l</w:t>
            </w:r>
          </w:p>
        </w:tc>
      </w:tr>
      <w:tr w:rsidR="006C2F5F" w:rsidRPr="006C2F5F" w:rsidTr="00F66236">
        <w:tc>
          <w:tcPr>
            <w:tcW w:w="4338" w:type="dxa"/>
          </w:tcPr>
          <w:p w:rsidR="006C2F5F" w:rsidRPr="006C2F5F" w:rsidRDefault="006C2F5F" w:rsidP="00F66236">
            <w:pPr>
              <w:spacing w:after="0" w:line="240" w:lineRule="auto"/>
              <w:jc w:val="center"/>
              <w:rPr>
                <w:rFonts w:ascii="Times New Roman" w:eastAsia="Calibri" w:hAnsi="Times New Roman" w:cs="Times New Roman"/>
                <w:sz w:val="24"/>
                <w:szCs w:val="24"/>
              </w:rPr>
            </w:pPr>
            <w:r w:rsidRPr="006C2F5F">
              <w:rPr>
                <w:rFonts w:ascii="Times New Roman" w:eastAsia="Calibri" w:hAnsi="Times New Roman" w:cs="Times New Roman"/>
                <w:sz w:val="24"/>
                <w:szCs w:val="24"/>
              </w:rPr>
              <w:t>Fosfori total</w:t>
            </w:r>
          </w:p>
        </w:tc>
        <w:tc>
          <w:tcPr>
            <w:tcW w:w="2299" w:type="dxa"/>
          </w:tcPr>
          <w:p w:rsidR="006C2F5F" w:rsidRPr="006C2F5F" w:rsidRDefault="006C2F5F" w:rsidP="00F66236">
            <w:pPr>
              <w:spacing w:after="0" w:line="240" w:lineRule="auto"/>
              <w:jc w:val="center"/>
              <w:rPr>
                <w:rFonts w:ascii="Times New Roman" w:eastAsia="Calibri" w:hAnsi="Times New Roman" w:cs="Times New Roman"/>
                <w:sz w:val="24"/>
                <w:szCs w:val="24"/>
              </w:rPr>
            </w:pPr>
            <w:r w:rsidRPr="006C2F5F">
              <w:rPr>
                <w:rFonts w:ascii="Times New Roman" w:eastAsia="Calibri" w:hAnsi="Times New Roman" w:cs="Times New Roman"/>
                <w:sz w:val="24"/>
                <w:szCs w:val="24"/>
              </w:rPr>
              <w:t>1 mg P/l</w:t>
            </w:r>
          </w:p>
        </w:tc>
      </w:tr>
    </w:tbl>
    <w:p w:rsidR="0047684C" w:rsidRPr="0047684C" w:rsidRDefault="0047684C" w:rsidP="0047684C">
      <w:pPr>
        <w:spacing w:after="0" w:line="276" w:lineRule="auto"/>
        <w:jc w:val="both"/>
        <w:rPr>
          <w:rFonts w:ascii="Times New Roman" w:eastAsia="Calibri" w:hAnsi="Times New Roman" w:cs="Times New Roman"/>
          <w:sz w:val="24"/>
          <w:szCs w:val="24"/>
        </w:rPr>
      </w:pPr>
    </w:p>
    <w:p w:rsidR="0047684C" w:rsidRPr="0047684C" w:rsidRDefault="0047684C" w:rsidP="0033538C">
      <w:pPr>
        <w:numPr>
          <w:ilvl w:val="0"/>
          <w:numId w:val="8"/>
        </w:numPr>
        <w:spacing w:after="0" w:line="240" w:lineRule="auto"/>
        <w:contextualSpacing/>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Nevoja Biokimike p</w:t>
      </w:r>
      <w:r w:rsidRPr="0047684C">
        <w:rPr>
          <w:rFonts w:ascii="Times New Roman" w:eastAsia="Calibri" w:hAnsi="Times New Roman" w:cs="Times New Roman"/>
          <w:sz w:val="24"/>
          <w:szCs w:val="24"/>
          <w:lang w:val="pt-BR"/>
        </w:rPr>
        <w:t>ë</w:t>
      </w:r>
      <w:r w:rsidRPr="0047684C">
        <w:rPr>
          <w:rFonts w:ascii="Times New Roman" w:eastAsia="Calibri" w:hAnsi="Times New Roman" w:cs="Times New Roman"/>
          <w:sz w:val="24"/>
          <w:szCs w:val="24"/>
          <w:lang w:val="sq-AL"/>
        </w:rPr>
        <w:t>r Oksigjen</w:t>
      </w:r>
    </w:p>
    <w:p w:rsidR="0047684C" w:rsidRPr="0047684C" w:rsidRDefault="0047684C" w:rsidP="0047684C">
      <w:pPr>
        <w:spacing w:after="0" w:line="240" w:lineRule="auto"/>
        <w:jc w:val="both"/>
        <w:rPr>
          <w:rFonts w:ascii="Times New Roman" w:eastAsia="Calibri" w:hAnsi="Times New Roman" w:cs="Times New Roman"/>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lang w:val="pt-BR"/>
        </w:rPr>
      </w:pPr>
      <w:r w:rsidRPr="0047684C">
        <w:rPr>
          <w:rFonts w:ascii="Times New Roman" w:eastAsia="Calibri" w:hAnsi="Times New Roman" w:cs="Times New Roman"/>
          <w:sz w:val="24"/>
          <w:szCs w:val="24"/>
          <w:lang w:val="pt-BR"/>
        </w:rPr>
        <w:t>Ky tregues është nga më të rëndësishmit në vlerësimin e ndotjes organike të ujërave sipërfaqësore si pasojë e shkarkimeve urbane të patrajtuara.</w:t>
      </w:r>
    </w:p>
    <w:p w:rsidR="0047684C" w:rsidRPr="0047684C" w:rsidRDefault="0047684C" w:rsidP="0047684C">
      <w:pPr>
        <w:spacing w:after="120" w:line="240" w:lineRule="auto"/>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Përmbajtja e Nevojës Biokimike për Oksigjen tejkalon normën e lejuar sipas VKM 177 datë 31.03.2005 në stacionet Dr</w:t>
      </w:r>
      <w:r w:rsidRPr="0047684C">
        <w:rPr>
          <w:rFonts w:ascii="Times New Roman" w:eastAsia="Calibri" w:hAnsi="Times New Roman" w:cs="Times New Roman"/>
          <w:sz w:val="24"/>
          <w:szCs w:val="24"/>
          <w:vertAlign w:val="subscript"/>
          <w:lang w:val="sq-AL"/>
        </w:rPr>
        <w:t>1</w:t>
      </w:r>
      <w:r w:rsidRPr="0047684C">
        <w:rPr>
          <w:rFonts w:ascii="Times New Roman" w:eastAsia="Calibri" w:hAnsi="Times New Roman" w:cs="Times New Roman"/>
          <w:sz w:val="24"/>
          <w:szCs w:val="24"/>
          <w:lang w:val="sq-AL"/>
        </w:rPr>
        <w:t xml:space="preserve"> – Porto Romano (Hidrovori) dhe V</w:t>
      </w:r>
      <w:r w:rsidRPr="0047684C">
        <w:rPr>
          <w:rFonts w:ascii="Times New Roman" w:eastAsia="Calibri" w:hAnsi="Times New Roman" w:cs="Times New Roman"/>
          <w:sz w:val="24"/>
          <w:szCs w:val="24"/>
          <w:vertAlign w:val="subscript"/>
          <w:lang w:val="sq-AL"/>
        </w:rPr>
        <w:t>1</w:t>
      </w:r>
      <w:r w:rsidRPr="0047684C">
        <w:rPr>
          <w:rFonts w:ascii="Times New Roman" w:eastAsia="Calibri" w:hAnsi="Times New Roman" w:cs="Times New Roman"/>
          <w:sz w:val="24"/>
          <w:szCs w:val="24"/>
          <w:lang w:val="sq-AL"/>
        </w:rPr>
        <w:t xml:space="preserve"> – Në det pas hidrovorit tek Pylli i Sodës.</w:t>
      </w:r>
    </w:p>
    <w:p w:rsidR="002008B0" w:rsidRPr="00CD2C3A" w:rsidRDefault="0047684C" w:rsidP="00CD2C3A">
      <w:pPr>
        <w:spacing w:after="0" w:line="240" w:lineRule="auto"/>
        <w:jc w:val="center"/>
        <w:rPr>
          <w:rFonts w:ascii="Times New Roman" w:eastAsia="Calibri" w:hAnsi="Times New Roman" w:cs="Times New Roman"/>
          <w:sz w:val="24"/>
          <w:szCs w:val="24"/>
          <w:lang w:val="pt-BR"/>
        </w:rPr>
      </w:pPr>
      <w:r w:rsidRPr="0047684C">
        <w:rPr>
          <w:rFonts w:ascii="Calibri" w:eastAsia="Calibri" w:hAnsi="Calibri" w:cs="Times New Roman"/>
          <w:noProof/>
        </w:rPr>
        <w:drawing>
          <wp:inline distT="0" distB="0" distL="0" distR="0" wp14:anchorId="2D88BCEA" wp14:editId="71C42277">
            <wp:extent cx="5549900" cy="2597150"/>
            <wp:effectExtent l="0" t="0" r="12700" b="12700"/>
            <wp:docPr id="394" name="Chart 1">
              <a:extLst xmlns:a="http://schemas.openxmlformats.org/drawingml/2006/main">
                <a:ext uri="{FF2B5EF4-FFF2-40B4-BE49-F238E27FC236}">
                  <a16:creationId xmlns:a16="http://schemas.microsoft.com/office/drawing/2014/main" id="{B3F15605-6070-BF1A-9360-EA3AB67B23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p w:rsidR="0047684C" w:rsidRPr="0047684C" w:rsidRDefault="0047684C" w:rsidP="0033538C">
      <w:pPr>
        <w:numPr>
          <w:ilvl w:val="0"/>
          <w:numId w:val="8"/>
        </w:numPr>
        <w:spacing w:after="120" w:line="240" w:lineRule="auto"/>
        <w:contextualSpacing/>
        <w:jc w:val="both"/>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lastRenderedPageBreak/>
        <w:t>Nevoja kimike për oksigjen</w:t>
      </w:r>
    </w:p>
    <w:p w:rsidR="0047684C" w:rsidRPr="0047684C" w:rsidRDefault="0047684C" w:rsidP="0047684C">
      <w:pPr>
        <w:spacing w:after="0" w:line="240" w:lineRule="auto"/>
        <w:rPr>
          <w:rFonts w:ascii="Times New Roman" w:eastAsia="Calibri" w:hAnsi="Times New Roman" w:cs="Times New Roman"/>
          <w:b/>
          <w:sz w:val="24"/>
          <w:szCs w:val="24"/>
          <w:lang w:val="sq-AL"/>
        </w:rPr>
      </w:pPr>
    </w:p>
    <w:p w:rsidR="0047684C" w:rsidRPr="0047684C" w:rsidRDefault="0047684C" w:rsidP="0047684C">
      <w:pPr>
        <w:spacing w:after="0" w:line="240" w:lineRule="auto"/>
        <w:jc w:val="both"/>
        <w:rPr>
          <w:rFonts w:ascii="Times New Roman" w:eastAsia="Calibri" w:hAnsi="Times New Roman" w:cs="Times New Roman"/>
          <w:sz w:val="24"/>
          <w:szCs w:val="24"/>
        </w:rPr>
      </w:pPr>
      <w:r w:rsidRPr="0047684C">
        <w:rPr>
          <w:rFonts w:ascii="Times New Roman" w:eastAsia="Calibri" w:hAnsi="Times New Roman" w:cs="Times New Roman"/>
          <w:sz w:val="24"/>
          <w:szCs w:val="24"/>
          <w:lang w:val="pt-BR"/>
        </w:rPr>
        <w:t xml:space="preserve">Siç vihet re edhe nga grafiku përmbajtja e </w:t>
      </w:r>
      <w:r w:rsidRPr="0047684C">
        <w:rPr>
          <w:rFonts w:ascii="Times New Roman" w:eastAsia="Calibri" w:hAnsi="Times New Roman" w:cs="Times New Roman"/>
          <w:sz w:val="24"/>
          <w:szCs w:val="24"/>
        </w:rPr>
        <w:t>NKO  është nën vlerën e lejuar, për të gjitha stacionet e monitorimit.</w:t>
      </w:r>
    </w:p>
    <w:p w:rsidR="0047684C" w:rsidRPr="0047684C" w:rsidRDefault="0047684C" w:rsidP="0047684C">
      <w:pPr>
        <w:spacing w:after="0" w:line="240" w:lineRule="auto"/>
        <w:jc w:val="both"/>
        <w:rPr>
          <w:rFonts w:ascii="Times New Roman" w:eastAsia="Calibri" w:hAnsi="Times New Roman" w:cs="Times New Roman"/>
          <w:sz w:val="24"/>
          <w:szCs w:val="24"/>
        </w:rPr>
      </w:pPr>
    </w:p>
    <w:p w:rsidR="0047684C" w:rsidRDefault="0047684C" w:rsidP="0047684C">
      <w:pPr>
        <w:spacing w:after="0" w:line="240" w:lineRule="auto"/>
        <w:jc w:val="center"/>
        <w:rPr>
          <w:rFonts w:ascii="Times New Roman" w:eastAsia="Calibri" w:hAnsi="Times New Roman" w:cs="Times New Roman"/>
          <w:sz w:val="24"/>
          <w:szCs w:val="24"/>
        </w:rPr>
      </w:pPr>
      <w:r w:rsidRPr="0047684C">
        <w:rPr>
          <w:rFonts w:ascii="Calibri" w:eastAsia="Calibri" w:hAnsi="Calibri" w:cs="Times New Roman"/>
          <w:noProof/>
        </w:rPr>
        <w:drawing>
          <wp:inline distT="0" distB="0" distL="0" distR="0" wp14:anchorId="0C6B17AF" wp14:editId="03784FFF">
            <wp:extent cx="4572000" cy="2247900"/>
            <wp:effectExtent l="0" t="0" r="0" b="0"/>
            <wp:docPr id="395" name="Chart 1">
              <a:extLst xmlns:a="http://schemas.openxmlformats.org/drawingml/2006/main">
                <a:ext uri="{FF2B5EF4-FFF2-40B4-BE49-F238E27FC236}">
                  <a16:creationId xmlns:a16="http://schemas.microsoft.com/office/drawing/2014/main" id="{93475CD3-9C9D-5CF9-73B5-CE2FDB7BE1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p>
    <w:p w:rsidR="002008B0" w:rsidRDefault="002008B0" w:rsidP="0047684C">
      <w:pPr>
        <w:spacing w:after="0" w:line="240" w:lineRule="auto"/>
        <w:jc w:val="center"/>
        <w:rPr>
          <w:rFonts w:ascii="Times New Roman" w:eastAsia="Calibri" w:hAnsi="Times New Roman" w:cs="Times New Roman"/>
          <w:sz w:val="24"/>
          <w:szCs w:val="24"/>
        </w:rPr>
      </w:pPr>
    </w:p>
    <w:p w:rsidR="002008B0" w:rsidRPr="0047684C" w:rsidRDefault="002008B0" w:rsidP="0047684C">
      <w:pPr>
        <w:spacing w:after="0" w:line="240" w:lineRule="auto"/>
        <w:jc w:val="center"/>
        <w:rPr>
          <w:rFonts w:ascii="Times New Roman" w:eastAsia="Calibri" w:hAnsi="Times New Roman" w:cs="Times New Roman"/>
          <w:sz w:val="24"/>
          <w:szCs w:val="24"/>
        </w:rPr>
      </w:pPr>
    </w:p>
    <w:p w:rsidR="0047684C" w:rsidRPr="0047684C" w:rsidRDefault="0047684C" w:rsidP="0047684C">
      <w:pPr>
        <w:spacing w:after="0" w:line="240" w:lineRule="auto"/>
        <w:ind w:left="540"/>
        <w:contextualSpacing/>
        <w:rPr>
          <w:rFonts w:ascii="Times New Roman" w:eastAsia="Calibri" w:hAnsi="Times New Roman" w:cs="Times New Roman"/>
          <w:sz w:val="24"/>
          <w:szCs w:val="24"/>
          <w:lang w:val="sq-AL"/>
        </w:rPr>
      </w:pPr>
    </w:p>
    <w:p w:rsidR="0047684C" w:rsidRPr="0047684C" w:rsidRDefault="0047684C" w:rsidP="0033538C">
      <w:pPr>
        <w:numPr>
          <w:ilvl w:val="0"/>
          <w:numId w:val="8"/>
        </w:numPr>
        <w:spacing w:after="0" w:line="240" w:lineRule="auto"/>
        <w:contextualSpacing/>
        <w:rPr>
          <w:rFonts w:ascii="Times New Roman" w:eastAsia="Calibri" w:hAnsi="Times New Roman" w:cs="Times New Roman"/>
          <w:sz w:val="24"/>
          <w:szCs w:val="24"/>
          <w:lang w:val="sq-AL"/>
        </w:rPr>
      </w:pPr>
      <w:r w:rsidRPr="0047684C">
        <w:rPr>
          <w:rFonts w:ascii="Times New Roman" w:eastAsia="Calibri" w:hAnsi="Times New Roman" w:cs="Times New Roman"/>
          <w:sz w:val="24"/>
          <w:szCs w:val="24"/>
          <w:lang w:val="sq-AL"/>
        </w:rPr>
        <w:t>Lënda totale në suspension</w:t>
      </w:r>
    </w:p>
    <w:p w:rsidR="0047684C" w:rsidRPr="0047684C" w:rsidRDefault="0047684C" w:rsidP="0047684C">
      <w:pPr>
        <w:spacing w:after="0" w:line="240" w:lineRule="auto"/>
        <w:rPr>
          <w:rFonts w:ascii="Times New Roman" w:eastAsia="Calibri" w:hAnsi="Times New Roman" w:cs="Times New Roman"/>
          <w:b/>
          <w:sz w:val="24"/>
          <w:szCs w:val="24"/>
          <w:lang w:val="sq-AL"/>
        </w:rPr>
      </w:pPr>
    </w:p>
    <w:p w:rsidR="0047684C" w:rsidRPr="002008B0" w:rsidRDefault="0047684C" w:rsidP="0047684C">
      <w:pPr>
        <w:spacing w:after="200" w:line="276" w:lineRule="auto"/>
        <w:rPr>
          <w:rFonts w:ascii="Times New Roman" w:eastAsia="Calibri" w:hAnsi="Times New Roman" w:cs="Times New Roman"/>
          <w:sz w:val="24"/>
          <w:szCs w:val="24"/>
        </w:rPr>
      </w:pPr>
      <w:r w:rsidRPr="0047684C">
        <w:rPr>
          <w:rFonts w:ascii="Times New Roman" w:eastAsia="Calibri" w:hAnsi="Times New Roman" w:cs="Times New Roman"/>
          <w:sz w:val="24"/>
          <w:szCs w:val="24"/>
        </w:rPr>
        <w:t xml:space="preserve">Përmbajtja e lëndëve totale në suspension rezulton mbi normën e lejuar pothuajse në të gjitha stacionet përveç stacioneve të Shëngjinit dhe Velipojës. </w:t>
      </w:r>
    </w:p>
    <w:p w:rsidR="0047684C" w:rsidRPr="0047684C" w:rsidRDefault="0047684C" w:rsidP="0047684C">
      <w:pPr>
        <w:spacing w:after="0" w:line="240" w:lineRule="auto"/>
        <w:jc w:val="center"/>
        <w:rPr>
          <w:rFonts w:ascii="Times New Roman" w:eastAsia="Calibri" w:hAnsi="Times New Roman" w:cs="Times New Roman"/>
          <w:bCs/>
          <w:sz w:val="24"/>
          <w:szCs w:val="24"/>
          <w:lang w:val="fi-FI"/>
        </w:rPr>
      </w:pPr>
      <w:r w:rsidRPr="0047684C">
        <w:rPr>
          <w:rFonts w:ascii="Calibri" w:eastAsia="Calibri" w:hAnsi="Calibri" w:cs="Times New Roman"/>
          <w:noProof/>
        </w:rPr>
        <w:drawing>
          <wp:inline distT="0" distB="0" distL="0" distR="0" wp14:anchorId="39A19EB0" wp14:editId="0851907F">
            <wp:extent cx="4914900" cy="2667000"/>
            <wp:effectExtent l="0" t="0" r="0" b="0"/>
            <wp:docPr id="396" name="Chart 1">
              <a:extLst xmlns:a="http://schemas.openxmlformats.org/drawingml/2006/main">
                <a:ext uri="{FF2B5EF4-FFF2-40B4-BE49-F238E27FC236}">
                  <a16:creationId xmlns:a16="http://schemas.microsoft.com/office/drawing/2014/main" id="{6DA4F5AC-18B1-993B-33E0-C57EAAB755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p w:rsidR="002008B0" w:rsidRPr="0047684C" w:rsidRDefault="002008B0" w:rsidP="0047684C">
      <w:pPr>
        <w:spacing w:after="0" w:line="240" w:lineRule="auto"/>
        <w:ind w:left="720"/>
        <w:contextualSpacing/>
        <w:jc w:val="both"/>
        <w:rPr>
          <w:rFonts w:ascii="Times New Roman" w:eastAsia="Calibri" w:hAnsi="Times New Roman" w:cs="Times New Roman"/>
          <w:bCs/>
          <w:sz w:val="24"/>
          <w:szCs w:val="24"/>
          <w:lang w:val="fi-FI"/>
        </w:rPr>
      </w:pPr>
    </w:p>
    <w:p w:rsidR="00E15C3C" w:rsidRDefault="0047684C" w:rsidP="00E15C3C">
      <w:pPr>
        <w:numPr>
          <w:ilvl w:val="0"/>
          <w:numId w:val="8"/>
        </w:numPr>
        <w:spacing w:after="0" w:line="240" w:lineRule="auto"/>
        <w:contextualSpacing/>
        <w:jc w:val="both"/>
        <w:rPr>
          <w:rFonts w:ascii="Times New Roman" w:eastAsia="Calibri" w:hAnsi="Times New Roman" w:cs="Times New Roman"/>
          <w:bCs/>
          <w:sz w:val="24"/>
          <w:szCs w:val="24"/>
          <w:lang w:val="fi-FI"/>
        </w:rPr>
      </w:pPr>
      <w:r w:rsidRPr="0047684C">
        <w:rPr>
          <w:rFonts w:ascii="Times New Roman" w:eastAsia="Calibri" w:hAnsi="Times New Roman" w:cs="Times New Roman"/>
          <w:bCs/>
          <w:sz w:val="24"/>
          <w:szCs w:val="24"/>
          <w:lang w:val="fi-FI"/>
        </w:rPr>
        <w:t>Përmbajtja e fosforit total</w:t>
      </w:r>
    </w:p>
    <w:p w:rsidR="00E15C3C" w:rsidRDefault="00E15C3C" w:rsidP="00E15C3C">
      <w:pPr>
        <w:spacing w:after="0" w:line="240" w:lineRule="auto"/>
        <w:ind w:left="180"/>
        <w:contextualSpacing/>
        <w:jc w:val="both"/>
        <w:rPr>
          <w:rFonts w:ascii="Times New Roman" w:eastAsia="Calibri" w:hAnsi="Times New Roman" w:cs="Times New Roman"/>
          <w:bCs/>
          <w:sz w:val="24"/>
          <w:szCs w:val="24"/>
          <w:lang w:val="fi-FI"/>
        </w:rPr>
      </w:pPr>
    </w:p>
    <w:p w:rsidR="0047684C" w:rsidRPr="00E15C3C" w:rsidRDefault="0047684C" w:rsidP="00E15C3C">
      <w:pPr>
        <w:spacing w:after="0" w:line="240" w:lineRule="auto"/>
        <w:ind w:left="180"/>
        <w:contextualSpacing/>
        <w:jc w:val="both"/>
        <w:rPr>
          <w:rFonts w:ascii="Times New Roman" w:eastAsia="Calibri" w:hAnsi="Times New Roman" w:cs="Times New Roman"/>
          <w:bCs/>
          <w:sz w:val="24"/>
          <w:szCs w:val="24"/>
          <w:lang w:val="fi-FI"/>
        </w:rPr>
      </w:pPr>
      <w:r w:rsidRPr="00E15C3C">
        <w:rPr>
          <w:rFonts w:ascii="Times New Roman" w:eastAsia="Calibri" w:hAnsi="Times New Roman" w:cs="Times New Roman"/>
          <w:kern w:val="28"/>
          <w:sz w:val="24"/>
          <w:szCs w:val="24"/>
          <w:lang w:val="sq-AL"/>
        </w:rPr>
        <w:t>Përmbajtja e fosforit total është vlerësuar mbi normën e lejuar vetëm në stacionin Dr</w:t>
      </w:r>
      <w:r w:rsidRPr="00E15C3C">
        <w:rPr>
          <w:rFonts w:ascii="Times New Roman" w:eastAsia="Calibri" w:hAnsi="Times New Roman" w:cs="Times New Roman"/>
          <w:kern w:val="28"/>
          <w:sz w:val="24"/>
          <w:szCs w:val="24"/>
          <w:vertAlign w:val="subscript"/>
          <w:lang w:val="sq-AL"/>
        </w:rPr>
        <w:t>1</w:t>
      </w:r>
      <w:r w:rsidRPr="00E15C3C">
        <w:rPr>
          <w:rFonts w:ascii="Times New Roman" w:eastAsia="Calibri" w:hAnsi="Times New Roman" w:cs="Times New Roman"/>
          <w:kern w:val="28"/>
          <w:sz w:val="24"/>
          <w:szCs w:val="24"/>
          <w:lang w:val="sq-AL"/>
        </w:rPr>
        <w:t xml:space="preserve"> – Hidrovori Durrës.</w:t>
      </w:r>
    </w:p>
    <w:p w:rsidR="0047684C" w:rsidRPr="0047684C" w:rsidRDefault="0047684C" w:rsidP="0047684C">
      <w:pPr>
        <w:spacing w:after="0" w:line="276" w:lineRule="auto"/>
        <w:jc w:val="center"/>
        <w:rPr>
          <w:rFonts w:ascii="Calibri" w:eastAsia="Calibri" w:hAnsi="Calibri" w:cs="Times New Roman"/>
          <w:noProof/>
        </w:rPr>
      </w:pPr>
      <w:r w:rsidRPr="0047684C">
        <w:rPr>
          <w:rFonts w:ascii="Calibri" w:eastAsia="Calibri" w:hAnsi="Calibri" w:cs="Times New Roman"/>
          <w:noProof/>
        </w:rPr>
        <w:lastRenderedPageBreak/>
        <w:drawing>
          <wp:inline distT="0" distB="0" distL="0" distR="0" wp14:anchorId="3C210159" wp14:editId="593D896C">
            <wp:extent cx="4572000" cy="2143125"/>
            <wp:effectExtent l="0" t="0" r="0" b="9525"/>
            <wp:docPr id="397" name="Chart 1">
              <a:extLst xmlns:a="http://schemas.openxmlformats.org/drawingml/2006/main">
                <a:ext uri="{FF2B5EF4-FFF2-40B4-BE49-F238E27FC236}">
                  <a16:creationId xmlns:a16="http://schemas.microsoft.com/office/drawing/2014/main" id="{04B81E52-8F54-2A80-3043-1243308051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p>
    <w:p w:rsidR="00A3161B" w:rsidRDefault="00F22A6C" w:rsidP="00F22A6C">
      <w:pPr>
        <w:spacing w:after="12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Referuar përmbajtjes së  </w:t>
      </w:r>
      <w:r w:rsidRPr="0047684C">
        <w:rPr>
          <w:rFonts w:ascii="Times New Roman" w:eastAsia="Calibri" w:hAnsi="Times New Roman" w:cs="Times New Roman"/>
          <w:sz w:val="24"/>
          <w:szCs w:val="24"/>
          <w:lang w:val="sq-AL"/>
        </w:rPr>
        <w:t xml:space="preserve">Nevojës Biokimike për Oksigjen </w:t>
      </w:r>
      <w:r>
        <w:rPr>
          <w:rFonts w:ascii="Times New Roman" w:eastAsia="Calibri" w:hAnsi="Times New Roman" w:cs="Times New Roman"/>
          <w:sz w:val="24"/>
          <w:szCs w:val="24"/>
          <w:lang w:val="sq-AL"/>
        </w:rPr>
        <w:t xml:space="preserve"> kemi </w:t>
      </w:r>
      <w:r w:rsidRPr="0047684C">
        <w:rPr>
          <w:rFonts w:ascii="Times New Roman" w:eastAsia="Calibri" w:hAnsi="Times New Roman" w:cs="Times New Roman"/>
          <w:sz w:val="24"/>
          <w:szCs w:val="24"/>
          <w:lang w:val="sq-AL"/>
        </w:rPr>
        <w:t>tejkal</w:t>
      </w:r>
      <w:r>
        <w:rPr>
          <w:rFonts w:ascii="Times New Roman" w:eastAsia="Calibri" w:hAnsi="Times New Roman" w:cs="Times New Roman"/>
          <w:sz w:val="24"/>
          <w:szCs w:val="24"/>
          <w:lang w:val="sq-AL"/>
        </w:rPr>
        <w:t xml:space="preserve">im të </w:t>
      </w:r>
      <w:r w:rsidRPr="0047684C">
        <w:rPr>
          <w:rFonts w:ascii="Times New Roman" w:eastAsia="Calibri" w:hAnsi="Times New Roman" w:cs="Times New Roman"/>
          <w:sz w:val="24"/>
          <w:szCs w:val="24"/>
          <w:lang w:val="sq-AL"/>
        </w:rPr>
        <w:t xml:space="preserve"> normë</w:t>
      </w:r>
      <w:r>
        <w:rPr>
          <w:rFonts w:ascii="Times New Roman" w:eastAsia="Calibri" w:hAnsi="Times New Roman" w:cs="Times New Roman"/>
          <w:sz w:val="24"/>
          <w:szCs w:val="24"/>
          <w:lang w:val="sq-AL"/>
        </w:rPr>
        <w:t>s</w:t>
      </w:r>
      <w:r w:rsidRPr="0047684C">
        <w:rPr>
          <w:rFonts w:ascii="Times New Roman" w:eastAsia="Calibri" w:hAnsi="Times New Roman" w:cs="Times New Roman"/>
          <w:sz w:val="24"/>
          <w:szCs w:val="24"/>
          <w:lang w:val="sq-AL"/>
        </w:rPr>
        <w:t xml:space="preserve"> </w:t>
      </w:r>
      <w:r>
        <w:rPr>
          <w:rFonts w:ascii="Times New Roman" w:eastAsia="Calibri" w:hAnsi="Times New Roman" w:cs="Times New Roman"/>
          <w:sz w:val="24"/>
          <w:szCs w:val="24"/>
          <w:lang w:val="sq-AL"/>
        </w:rPr>
        <w:t>së</w:t>
      </w:r>
      <w:r w:rsidRPr="0047684C">
        <w:rPr>
          <w:rFonts w:ascii="Times New Roman" w:eastAsia="Calibri" w:hAnsi="Times New Roman" w:cs="Times New Roman"/>
          <w:sz w:val="24"/>
          <w:szCs w:val="24"/>
          <w:lang w:val="sq-AL"/>
        </w:rPr>
        <w:t xml:space="preserve"> lejuar në stacionet Dr</w:t>
      </w:r>
      <w:r w:rsidRPr="0047684C">
        <w:rPr>
          <w:rFonts w:ascii="Times New Roman" w:eastAsia="Calibri" w:hAnsi="Times New Roman" w:cs="Times New Roman"/>
          <w:sz w:val="24"/>
          <w:szCs w:val="24"/>
          <w:vertAlign w:val="subscript"/>
          <w:lang w:val="sq-AL"/>
        </w:rPr>
        <w:t>1</w:t>
      </w:r>
      <w:r w:rsidRPr="0047684C">
        <w:rPr>
          <w:rFonts w:ascii="Times New Roman" w:eastAsia="Calibri" w:hAnsi="Times New Roman" w:cs="Times New Roman"/>
          <w:sz w:val="24"/>
          <w:szCs w:val="24"/>
          <w:lang w:val="sq-AL"/>
        </w:rPr>
        <w:t xml:space="preserve"> – Porto Romano (Hidrovori) dhe V</w:t>
      </w:r>
      <w:r w:rsidRPr="0047684C">
        <w:rPr>
          <w:rFonts w:ascii="Times New Roman" w:eastAsia="Calibri" w:hAnsi="Times New Roman" w:cs="Times New Roman"/>
          <w:sz w:val="24"/>
          <w:szCs w:val="24"/>
          <w:vertAlign w:val="subscript"/>
          <w:lang w:val="sq-AL"/>
        </w:rPr>
        <w:t>1</w:t>
      </w:r>
      <w:r w:rsidRPr="0047684C">
        <w:rPr>
          <w:rFonts w:ascii="Times New Roman" w:eastAsia="Calibri" w:hAnsi="Times New Roman" w:cs="Times New Roman"/>
          <w:sz w:val="24"/>
          <w:szCs w:val="24"/>
          <w:lang w:val="sq-AL"/>
        </w:rPr>
        <w:t xml:space="preserve"> – Në det pas hidrovorit tek Pylli i Sodës.</w:t>
      </w:r>
    </w:p>
    <w:p w:rsidR="00F22A6C" w:rsidRDefault="00F22A6C" w:rsidP="00F22A6C">
      <w:pPr>
        <w:spacing w:after="12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Për parametrin lëndë pezull </w:t>
      </w:r>
      <w:r w:rsidR="00A3161B">
        <w:rPr>
          <w:rFonts w:ascii="Times New Roman" w:eastAsia="Calibri" w:hAnsi="Times New Roman" w:cs="Times New Roman"/>
          <w:sz w:val="24"/>
          <w:szCs w:val="24"/>
          <w:lang w:val="sq-AL"/>
        </w:rPr>
        <w:t xml:space="preserve">kemi tejkalim të normës në stacionet e Durrësit, Vlorës dhe Sarandës ndërsa në stacionet e Shëngjinit dhe Velipojës është brenda normës. Në lidhje me përmbajtjen e fosforit total vlerësohet se kemi tejkalim të normës vetëm në </w:t>
      </w:r>
      <w:r w:rsidR="00A3161B" w:rsidRPr="0047684C">
        <w:rPr>
          <w:rFonts w:ascii="Times New Roman" w:eastAsia="Calibri" w:hAnsi="Times New Roman" w:cs="Times New Roman"/>
          <w:kern w:val="28"/>
          <w:sz w:val="24"/>
          <w:szCs w:val="24"/>
          <w:lang w:val="sq-AL"/>
        </w:rPr>
        <w:t>stacionin Dr</w:t>
      </w:r>
      <w:r w:rsidR="00A3161B" w:rsidRPr="0047684C">
        <w:rPr>
          <w:rFonts w:ascii="Times New Roman" w:eastAsia="Calibri" w:hAnsi="Times New Roman" w:cs="Times New Roman"/>
          <w:kern w:val="28"/>
          <w:sz w:val="24"/>
          <w:szCs w:val="24"/>
          <w:vertAlign w:val="subscript"/>
          <w:lang w:val="sq-AL"/>
        </w:rPr>
        <w:t>1</w:t>
      </w:r>
      <w:r w:rsidR="00A3161B" w:rsidRPr="0047684C">
        <w:rPr>
          <w:rFonts w:ascii="Times New Roman" w:eastAsia="Calibri" w:hAnsi="Times New Roman" w:cs="Times New Roman"/>
          <w:kern w:val="28"/>
          <w:sz w:val="24"/>
          <w:szCs w:val="24"/>
          <w:lang w:val="sq-AL"/>
        </w:rPr>
        <w:t xml:space="preserve"> – Hidrovori Durrës.</w:t>
      </w:r>
    </w:p>
    <w:p w:rsidR="00F22A6C" w:rsidRPr="0047684C" w:rsidRDefault="00A3161B" w:rsidP="00F22A6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pt-BR"/>
        </w:rPr>
        <w:t>P</w:t>
      </w:r>
      <w:r w:rsidR="00F22A6C" w:rsidRPr="0047684C">
        <w:rPr>
          <w:rFonts w:ascii="Times New Roman" w:eastAsia="Calibri" w:hAnsi="Times New Roman" w:cs="Times New Roman"/>
          <w:sz w:val="24"/>
          <w:szCs w:val="24"/>
          <w:lang w:val="pt-BR"/>
        </w:rPr>
        <w:t xml:space="preserve">ërmbajtja e </w:t>
      </w:r>
      <w:r w:rsidR="00F22A6C" w:rsidRPr="0047684C">
        <w:rPr>
          <w:rFonts w:ascii="Times New Roman" w:eastAsia="Calibri" w:hAnsi="Times New Roman" w:cs="Times New Roman"/>
          <w:sz w:val="24"/>
          <w:szCs w:val="24"/>
        </w:rPr>
        <w:t>NKO  është nën vlerën e lejuar, për të gjitha stacionet e monitorimit.</w:t>
      </w:r>
    </w:p>
    <w:p w:rsidR="00F22A6C" w:rsidRPr="00DD196F" w:rsidRDefault="00F22A6C" w:rsidP="00EC2D44">
      <w:pPr>
        <w:spacing w:after="200" w:line="288" w:lineRule="auto"/>
        <w:rPr>
          <w:rFonts w:ascii="Times New Roman" w:eastAsiaTheme="minorEastAsia" w:hAnsi="Times New Roman" w:cs="Times New Roman"/>
          <w:sz w:val="24"/>
          <w:szCs w:val="24"/>
        </w:rPr>
      </w:pPr>
    </w:p>
    <w:p w:rsidR="00EC2D44" w:rsidRPr="00B26656" w:rsidRDefault="00EC2D44" w:rsidP="00807975">
      <w:pPr>
        <w:pStyle w:val="ListParagraph"/>
        <w:numPr>
          <w:ilvl w:val="0"/>
          <w:numId w:val="83"/>
        </w:numPr>
        <w:spacing w:after="200" w:line="276" w:lineRule="auto"/>
        <w:rPr>
          <w:rFonts w:ascii="Times New Roman" w:eastAsia="Times New Roman" w:hAnsi="Times New Roman" w:cs="Times New Roman"/>
          <w:sz w:val="24"/>
          <w:szCs w:val="24"/>
        </w:rPr>
      </w:pPr>
      <w:r w:rsidRPr="00B26656">
        <w:rPr>
          <w:rFonts w:ascii="Times New Roman" w:eastAsia="Times New Roman" w:hAnsi="Times New Roman" w:cs="Times New Roman"/>
          <w:b/>
          <w:sz w:val="24"/>
          <w:szCs w:val="24"/>
          <w:lang w:val="it-IT"/>
        </w:rPr>
        <w:t>Lagunat</w:t>
      </w:r>
    </w:p>
    <w:p w:rsidR="00EC2D44" w:rsidRDefault="00EC2D44" w:rsidP="00EC2D44">
      <w:pPr>
        <w:spacing w:after="200" w:line="276"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80256" behindDoc="0" locked="0" layoutInCell="1" allowOverlap="1" wp14:anchorId="28CDE920" wp14:editId="7E7531E2">
                <wp:simplePos x="0" y="0"/>
                <wp:positionH relativeFrom="margin">
                  <wp:align>right</wp:align>
                </wp:positionH>
                <wp:positionV relativeFrom="paragraph">
                  <wp:posOffset>114935</wp:posOffset>
                </wp:positionV>
                <wp:extent cx="3048000" cy="2771775"/>
                <wp:effectExtent l="0" t="0" r="19050" b="28575"/>
                <wp:wrapNone/>
                <wp:docPr id="503" name="Rectangle 503"/>
                <wp:cNvGraphicFramePr/>
                <a:graphic xmlns:a="http://schemas.openxmlformats.org/drawingml/2006/main">
                  <a:graphicData uri="http://schemas.microsoft.com/office/word/2010/wordprocessingShape">
                    <wps:wsp>
                      <wps:cNvSpPr/>
                      <wps:spPr>
                        <a:xfrm>
                          <a:off x="0" y="0"/>
                          <a:ext cx="3048000" cy="2771775"/>
                        </a:xfrm>
                        <a:prstGeom prst="rect">
                          <a:avLst/>
                        </a:prstGeom>
                        <a:solidFill>
                          <a:sysClr val="window" lastClr="FFFFFF"/>
                        </a:solidFill>
                        <a:ln w="12700" cap="flat" cmpd="sng" algn="ctr">
                          <a:solidFill>
                            <a:srgbClr val="70AD47"/>
                          </a:solidFill>
                          <a:prstDash val="solid"/>
                          <a:miter lim="800000"/>
                        </a:ln>
                        <a:effectLst/>
                      </wps:spPr>
                      <wps:txbx>
                        <w:txbxContent>
                          <w:p w:rsidR="0064059F" w:rsidRPr="007213D8" w:rsidRDefault="0064059F" w:rsidP="00EC2D44">
                            <w:pPr>
                              <w:spacing w:after="200" w:line="276" w:lineRule="auto"/>
                              <w:jc w:val="both"/>
                              <w:rPr>
                                <w:rFonts w:ascii="Times New Roman" w:eastAsia="Times New Roman" w:hAnsi="Times New Roman" w:cs="Times New Roman"/>
                                <w:sz w:val="24"/>
                                <w:szCs w:val="24"/>
                              </w:rPr>
                            </w:pPr>
                            <w:r w:rsidRPr="007213D8">
                              <w:rPr>
                                <w:rFonts w:ascii="Times New Roman" w:eastAsia="Times New Roman" w:hAnsi="Times New Roman" w:cs="Times New Roman"/>
                                <w:sz w:val="24"/>
                                <w:szCs w:val="24"/>
                              </w:rPr>
                              <w:t>Monitorimit i cilësisë së ujërave të lagunave kryesore të Shqipërisë ka si qëllim vlerësimin e cilësisë së ujërave, identifikimin e burimeve të ndotjes nëse ka</w:t>
                            </w:r>
                            <w:r>
                              <w:rPr>
                                <w:rFonts w:ascii="Times New Roman" w:eastAsia="Times New Roman" w:hAnsi="Times New Roman" w:cs="Times New Roman"/>
                                <w:sz w:val="24"/>
                                <w:szCs w:val="24"/>
                              </w:rPr>
                              <w:t>.</w:t>
                            </w:r>
                            <w:r w:rsidRPr="007213D8">
                              <w:rPr>
                                <w:rFonts w:ascii="Times New Roman" w:eastAsia="Times New Roman" w:hAnsi="Times New Roman" w:cs="Times New Roman"/>
                                <w:sz w:val="24"/>
                                <w:szCs w:val="24"/>
                              </w:rPr>
                              <w:t xml:space="preserve"> </w:t>
                            </w:r>
                          </w:p>
                          <w:p w:rsidR="0064059F" w:rsidRDefault="0064059F" w:rsidP="00EC2D44">
                            <w:pPr>
                              <w:tabs>
                                <w:tab w:val="left" w:pos="720"/>
                              </w:tabs>
                              <w:spacing w:after="200" w:line="276" w:lineRule="auto"/>
                              <w:jc w:val="both"/>
                              <w:rPr>
                                <w:rFonts w:ascii="Times New Roman" w:eastAsia="Times New Roman" w:hAnsi="Times New Roman" w:cs="Times New Roman"/>
                                <w:sz w:val="24"/>
                                <w:szCs w:val="24"/>
                              </w:rPr>
                            </w:pPr>
                            <w:r w:rsidRPr="007213D8">
                              <w:rPr>
                                <w:rFonts w:ascii="Times New Roman" w:eastAsia="Times New Roman" w:hAnsi="Times New Roman" w:cs="Times New Roman"/>
                                <w:sz w:val="24"/>
                                <w:szCs w:val="24"/>
                                <w:lang w:val="da-DK"/>
                              </w:rPr>
                              <w:t>Lagunat jan</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da-DK"/>
                              </w:rPr>
                              <w:t xml:space="preserve"> laguna bregdetare me uj</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da-DK"/>
                              </w:rPr>
                              <w:t xml:space="preserve">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da-DK"/>
                              </w:rPr>
                              <w:t xml:space="preserve"> kripur,</w:t>
                            </w:r>
                            <w:r w:rsidRPr="007213D8">
                              <w:rPr>
                                <w:rFonts w:ascii="Times New Roman" w:eastAsia="Times New Roman" w:hAnsi="Times New Roman" w:cs="Times New Roman"/>
                                <w:sz w:val="24"/>
                                <w:szCs w:val="24"/>
                              </w:rPr>
                              <w:t xml:space="preserve"> zona të cilat kanë komunikim me detin pjesërisht apo tërësisht dhe janë habitate ujore me hidrodinamikë të ulët; habitati lagunor është zonë sub – litorale. </w:t>
                            </w:r>
                          </w:p>
                          <w:p w:rsidR="0064059F" w:rsidRPr="007213D8" w:rsidRDefault="0064059F" w:rsidP="00EC2D44">
                            <w:pPr>
                              <w:tabs>
                                <w:tab w:val="left" w:pos="720"/>
                              </w:tabs>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Monitorimi për vitin 2025 është kryer në lagunën e Nartës, Butrintit dhe Karavastasë</w:t>
                            </w:r>
                          </w:p>
                          <w:p w:rsidR="0064059F" w:rsidRDefault="0064059F" w:rsidP="00EC2D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DE920" id="Rectangle 503" o:spid="_x0000_s1109" style="position:absolute;left:0;text-align:left;margin-left:188.8pt;margin-top:9.05pt;width:240pt;height:218.25pt;z-index:251680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" fillcolor="window" strokecolor="#70ad47" strokeweight="1pt">
                <v:textbox>
                  <w:txbxContent>
                    <w:p w:rsidR="0064059F" w:rsidRPr="007213D8" w:rsidRDefault="0064059F" w:rsidP="00EC2D44">
                      <w:pPr>
                        <w:spacing w:after="200" w:line="276" w:lineRule="auto"/>
                        <w:jc w:val="both"/>
                        <w:rPr>
                          <w:rFonts w:ascii="Times New Roman" w:eastAsia="Times New Roman" w:hAnsi="Times New Roman" w:cs="Times New Roman"/>
                          <w:sz w:val="24"/>
                          <w:szCs w:val="24"/>
                        </w:rPr>
                      </w:pPr>
                      <w:r w:rsidRPr="007213D8">
                        <w:rPr>
                          <w:rFonts w:ascii="Times New Roman" w:eastAsia="Times New Roman" w:hAnsi="Times New Roman" w:cs="Times New Roman"/>
                          <w:sz w:val="24"/>
                          <w:szCs w:val="24"/>
                        </w:rPr>
                        <w:t>Monitorimit i cilësisë së ujërave të lagunave kryesore të Shqipërisë ka si qëllim vlerësimin e cilësisë së ujërave, identifikimin e burimeve të ndotjes nëse ka</w:t>
                      </w:r>
                      <w:r>
                        <w:rPr>
                          <w:rFonts w:ascii="Times New Roman" w:eastAsia="Times New Roman" w:hAnsi="Times New Roman" w:cs="Times New Roman"/>
                          <w:sz w:val="24"/>
                          <w:szCs w:val="24"/>
                        </w:rPr>
                        <w:t>.</w:t>
                      </w:r>
                      <w:r w:rsidRPr="007213D8">
                        <w:rPr>
                          <w:rFonts w:ascii="Times New Roman" w:eastAsia="Times New Roman" w:hAnsi="Times New Roman" w:cs="Times New Roman"/>
                          <w:sz w:val="24"/>
                          <w:szCs w:val="24"/>
                        </w:rPr>
                        <w:t xml:space="preserve"> </w:t>
                      </w:r>
                    </w:p>
                    <w:p w:rsidR="0064059F" w:rsidRDefault="0064059F" w:rsidP="00EC2D44">
                      <w:pPr>
                        <w:tabs>
                          <w:tab w:val="left" w:pos="720"/>
                        </w:tabs>
                        <w:spacing w:after="200" w:line="276" w:lineRule="auto"/>
                        <w:jc w:val="both"/>
                        <w:rPr>
                          <w:rFonts w:ascii="Times New Roman" w:eastAsia="Times New Roman" w:hAnsi="Times New Roman" w:cs="Times New Roman"/>
                          <w:sz w:val="24"/>
                          <w:szCs w:val="24"/>
                        </w:rPr>
                      </w:pPr>
                      <w:r w:rsidRPr="007213D8">
                        <w:rPr>
                          <w:rFonts w:ascii="Times New Roman" w:eastAsia="Times New Roman" w:hAnsi="Times New Roman" w:cs="Times New Roman"/>
                          <w:sz w:val="24"/>
                          <w:szCs w:val="24"/>
                          <w:lang w:val="da-DK"/>
                        </w:rPr>
                        <w:t>Lagunat jan</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da-DK"/>
                        </w:rPr>
                        <w:t xml:space="preserve"> laguna bregdetare me uj</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da-DK"/>
                        </w:rPr>
                        <w:t xml:space="preserve">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da-DK"/>
                        </w:rPr>
                        <w:t xml:space="preserve"> kripur,</w:t>
                      </w:r>
                      <w:r w:rsidRPr="007213D8">
                        <w:rPr>
                          <w:rFonts w:ascii="Times New Roman" w:eastAsia="Times New Roman" w:hAnsi="Times New Roman" w:cs="Times New Roman"/>
                          <w:sz w:val="24"/>
                          <w:szCs w:val="24"/>
                        </w:rPr>
                        <w:t xml:space="preserve"> zona të cilat kanë komunikim me detin pjesërisht apo tërësisht dhe janë habitate ujore me hidrodinamikë të ulët; habitati lagunor është zonë sub – litorale. </w:t>
                      </w:r>
                    </w:p>
                    <w:p w:rsidR="0064059F" w:rsidRPr="007213D8" w:rsidRDefault="0064059F" w:rsidP="00EC2D44">
                      <w:pPr>
                        <w:tabs>
                          <w:tab w:val="left" w:pos="720"/>
                        </w:tabs>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Monitorimi për vitin 2025 është kryer në lagunën e Nartës, Butrintit dhe Karavastasë</w:t>
                      </w:r>
                    </w:p>
                    <w:p w:rsidR="0064059F" w:rsidRDefault="0064059F" w:rsidP="00EC2D44">
                      <w:pPr>
                        <w:jc w:val="center"/>
                      </w:pPr>
                    </w:p>
                  </w:txbxContent>
                </v:textbox>
                <w10:wrap anchorx="margin"/>
              </v:rect>
            </w:pict>
          </mc:Fallback>
        </mc:AlternateContent>
      </w:r>
      <w:r>
        <w:rPr>
          <w:noProof/>
        </w:rPr>
        <w:drawing>
          <wp:inline distT="0" distB="0" distL="0" distR="0" wp14:anchorId="7107B352" wp14:editId="4F77332B">
            <wp:extent cx="2305050" cy="3048000"/>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rta e lagunave _25.jp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2315831" cy="3062256"/>
                    </a:xfrm>
                    <a:prstGeom prst="rect">
                      <a:avLst/>
                    </a:prstGeom>
                  </pic:spPr>
                </pic:pic>
              </a:graphicData>
            </a:graphic>
          </wp:inline>
        </w:drawing>
      </w:r>
      <w:r>
        <w:rPr>
          <w:rFonts w:ascii="Times New Roman" w:eastAsia="Times New Roman" w:hAnsi="Times New Roman" w:cs="Times New Roman"/>
          <w:sz w:val="24"/>
          <w:szCs w:val="24"/>
        </w:rPr>
        <w:t xml:space="preserve">  </w:t>
      </w:r>
    </w:p>
    <w:p w:rsidR="00EC2D44" w:rsidRPr="007213D8" w:rsidRDefault="00EC2D44" w:rsidP="00EC2D44">
      <w:pPr>
        <w:spacing w:after="200" w:line="276" w:lineRule="auto"/>
        <w:jc w:val="both"/>
        <w:rPr>
          <w:rFonts w:ascii="Times New Roman" w:eastAsia="Times New Roman" w:hAnsi="Times New Roman" w:cs="Times New Roman"/>
          <w:sz w:val="24"/>
          <w:szCs w:val="24"/>
          <w:lang w:val="sq-AL"/>
        </w:rPr>
      </w:pPr>
      <w:r w:rsidRPr="007213D8">
        <w:rPr>
          <w:rFonts w:ascii="Times New Roman" w:eastAsia="Times New Roman" w:hAnsi="Times New Roman" w:cs="Times New Roman"/>
          <w:sz w:val="24"/>
          <w:szCs w:val="24"/>
          <w:lang w:val="sq-AL"/>
        </w:rPr>
        <w:t>Lagunat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cilat kan</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komunikim me detin jan</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habitate me kripshm</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ri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lart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dhe si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tilla shfaqin luhatje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vlerave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pH n</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koh</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dhe hap</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sir</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w:t>
      </w:r>
    </w:p>
    <w:p w:rsidR="00EC2D44" w:rsidRPr="007213D8" w:rsidRDefault="00EC2D44" w:rsidP="00EC2D44">
      <w:pPr>
        <w:spacing w:after="200" w:line="276" w:lineRule="auto"/>
        <w:jc w:val="both"/>
        <w:rPr>
          <w:rFonts w:ascii="Times New Roman" w:eastAsia="Times New Roman" w:hAnsi="Times New Roman" w:cs="Times New Roman"/>
          <w:sz w:val="24"/>
          <w:szCs w:val="24"/>
          <w:lang w:val="sq-AL"/>
        </w:rPr>
      </w:pPr>
      <w:r w:rsidRPr="007213D8">
        <w:rPr>
          <w:rFonts w:ascii="Times New Roman" w:eastAsia="Times New Roman" w:hAnsi="Times New Roman" w:cs="Times New Roman"/>
          <w:sz w:val="24"/>
          <w:szCs w:val="24"/>
          <w:lang w:val="sq-AL"/>
        </w:rPr>
        <w:t>K</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to habitate ujore ku prania e l</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nd</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s organike mund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jet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krahasimisht e lart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dhe shpejt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sia e </w:t>
      </w:r>
      <w:r w:rsidRPr="007213D8">
        <w:rPr>
          <w:rFonts w:ascii="Times New Roman" w:eastAsia="Times New Roman" w:hAnsi="Times New Roman" w:cs="Times New Roman"/>
          <w:sz w:val="24"/>
          <w:szCs w:val="24"/>
          <w:lang w:val="sq-AL"/>
        </w:rPr>
        <w:lastRenderedPageBreak/>
        <w:t>l</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vizjes s</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ujit </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sht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e ul</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t, trupi ujor </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sht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i prirur p</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r shtres</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zim dhe tendenc</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p</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r k</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rkes</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lart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respirimit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cilat çojn</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n</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reduktim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sasis</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s</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oksigjenit duke ecur drejt shtratit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lagun</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s.</w:t>
      </w:r>
    </w:p>
    <w:p w:rsidR="00EC2D44" w:rsidRPr="007213D8" w:rsidRDefault="00EC2D44" w:rsidP="00EC2D44">
      <w:pPr>
        <w:spacing w:after="200" w:line="276" w:lineRule="auto"/>
        <w:jc w:val="both"/>
        <w:rPr>
          <w:rFonts w:ascii="Times New Roman" w:eastAsia="Times New Roman" w:hAnsi="Times New Roman" w:cs="Times New Roman"/>
          <w:sz w:val="24"/>
          <w:szCs w:val="24"/>
          <w:lang w:val="sq-AL"/>
        </w:rPr>
      </w:pPr>
      <w:r w:rsidRPr="007213D8">
        <w:rPr>
          <w:rFonts w:ascii="Times New Roman" w:eastAsia="Times New Roman" w:hAnsi="Times New Roman" w:cs="Times New Roman"/>
          <w:sz w:val="24"/>
          <w:szCs w:val="24"/>
          <w:lang w:val="sq-AL"/>
        </w:rPr>
        <w:t>Karakteristikat e lagunave bregdetare si habitate ujore me kripshm</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ri </w:t>
      </w:r>
      <w:r>
        <w:rPr>
          <w:rFonts w:ascii="Times New Roman" w:eastAsia="Times New Roman" w:hAnsi="Times New Roman" w:cs="Times New Roman"/>
          <w:sz w:val="24"/>
          <w:szCs w:val="24"/>
          <w:lang w:val="sq-AL"/>
        </w:rPr>
        <w:t xml:space="preserve"> janë </w:t>
      </w:r>
      <w:r w:rsidRPr="007213D8">
        <w:rPr>
          <w:rFonts w:ascii="Times New Roman" w:eastAsia="Times New Roman" w:hAnsi="Times New Roman" w:cs="Times New Roman"/>
          <w:sz w:val="24"/>
          <w:szCs w:val="24"/>
          <w:lang w:val="sq-AL"/>
        </w:rPr>
        <w:t>si vijon:</w:t>
      </w:r>
    </w:p>
    <w:p w:rsidR="00EC2D44" w:rsidRPr="007213D8" w:rsidRDefault="00EC2D44" w:rsidP="00EC2D44">
      <w:pPr>
        <w:spacing w:after="0" w:line="276" w:lineRule="auto"/>
        <w:jc w:val="both"/>
        <w:rPr>
          <w:rFonts w:ascii="Times New Roman" w:eastAsia="Times New Roman" w:hAnsi="Times New Roman" w:cs="Times New Roman"/>
          <w:sz w:val="24"/>
          <w:szCs w:val="24"/>
          <w:lang w:val="sq-AL"/>
        </w:rPr>
      </w:pPr>
      <w:r w:rsidRPr="007213D8">
        <w:rPr>
          <w:rFonts w:ascii="Times New Roman" w:eastAsia="Times New Roman" w:hAnsi="Times New Roman" w:cs="Times New Roman"/>
          <w:sz w:val="24"/>
          <w:szCs w:val="24"/>
          <w:lang w:val="sq-AL"/>
        </w:rPr>
        <w:sym w:font="Times New Roman" w:char="F0B7"/>
      </w:r>
      <w:r w:rsidRPr="007213D8">
        <w:rPr>
          <w:rFonts w:ascii="Times New Roman" w:eastAsia="Times New Roman" w:hAnsi="Times New Roman" w:cs="Times New Roman"/>
          <w:sz w:val="24"/>
          <w:szCs w:val="24"/>
          <w:lang w:val="sq-AL"/>
        </w:rPr>
        <w:t xml:space="preserve"> Lagunat e kripura bregdetare jan</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trupa ujore me hidrodinamik</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ul</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t</w:t>
      </w:r>
    </w:p>
    <w:p w:rsidR="00EC2D44" w:rsidRPr="007213D8" w:rsidRDefault="00EC2D44" w:rsidP="00EC2D44">
      <w:pPr>
        <w:spacing w:after="0" w:line="276" w:lineRule="auto"/>
        <w:jc w:val="both"/>
        <w:rPr>
          <w:rFonts w:ascii="Times New Roman" w:eastAsia="Times New Roman" w:hAnsi="Times New Roman" w:cs="Times New Roman"/>
          <w:sz w:val="24"/>
          <w:szCs w:val="24"/>
          <w:lang w:val="sq-AL"/>
        </w:rPr>
      </w:pPr>
      <w:r w:rsidRPr="007213D8">
        <w:rPr>
          <w:rFonts w:ascii="Times New Roman" w:eastAsia="Times New Roman" w:hAnsi="Times New Roman" w:cs="Times New Roman"/>
          <w:sz w:val="24"/>
          <w:szCs w:val="24"/>
          <w:lang w:val="sq-AL"/>
        </w:rPr>
        <w:sym w:font="Times New Roman" w:char="F0B7"/>
      </w:r>
      <w:r w:rsidRPr="007213D8">
        <w:rPr>
          <w:rFonts w:ascii="Times New Roman" w:eastAsia="Times New Roman" w:hAnsi="Times New Roman" w:cs="Times New Roman"/>
          <w:sz w:val="24"/>
          <w:szCs w:val="24"/>
          <w:lang w:val="sq-AL"/>
        </w:rPr>
        <w:t xml:space="preserve"> Habitati kryesor i lagunave bregdetare </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sht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sub – litoral</w:t>
      </w:r>
    </w:p>
    <w:p w:rsidR="00EC2D44" w:rsidRPr="007213D8" w:rsidRDefault="00EC2D44" w:rsidP="00EC2D44">
      <w:pPr>
        <w:spacing w:after="0" w:line="276" w:lineRule="auto"/>
        <w:jc w:val="both"/>
        <w:rPr>
          <w:rFonts w:ascii="Times New Roman" w:eastAsia="Times New Roman" w:hAnsi="Times New Roman" w:cs="Times New Roman"/>
          <w:sz w:val="24"/>
          <w:szCs w:val="24"/>
          <w:lang w:val="sq-AL"/>
        </w:rPr>
      </w:pPr>
      <w:r w:rsidRPr="007213D8">
        <w:rPr>
          <w:rFonts w:ascii="Times New Roman" w:eastAsia="Times New Roman" w:hAnsi="Times New Roman" w:cs="Times New Roman"/>
          <w:sz w:val="24"/>
          <w:szCs w:val="24"/>
          <w:lang w:val="sq-AL"/>
        </w:rPr>
        <w:sym w:font="Times New Roman" w:char="F0B7"/>
      </w:r>
      <w:r w:rsidRPr="007213D8">
        <w:rPr>
          <w:rFonts w:ascii="Times New Roman" w:eastAsia="Times New Roman" w:hAnsi="Times New Roman" w:cs="Times New Roman"/>
          <w:sz w:val="24"/>
          <w:szCs w:val="24"/>
          <w:lang w:val="sq-AL"/>
        </w:rPr>
        <w:t xml:space="preserve"> Kushtet e mjedisit jan</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ekstremisht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ndryshueshme, n</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koh</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dhe hap</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sir</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ku ndryshime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tilla jan</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unike p</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r lagunat</w:t>
      </w:r>
    </w:p>
    <w:p w:rsidR="00EC2D44" w:rsidRPr="007213D8" w:rsidRDefault="00EC2D44" w:rsidP="00EC2D44">
      <w:pPr>
        <w:spacing w:after="0" w:line="276" w:lineRule="auto"/>
        <w:jc w:val="both"/>
        <w:rPr>
          <w:rFonts w:ascii="Times New Roman" w:eastAsia="Times New Roman" w:hAnsi="Times New Roman" w:cs="Times New Roman"/>
          <w:sz w:val="24"/>
          <w:szCs w:val="24"/>
          <w:lang w:val="sq-AL"/>
        </w:rPr>
      </w:pPr>
    </w:p>
    <w:p w:rsidR="00EC2D44" w:rsidRPr="007213D8" w:rsidRDefault="00EC2D44" w:rsidP="00EC2D44">
      <w:pPr>
        <w:spacing w:after="0" w:line="276"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Për v</w:t>
      </w:r>
      <w:r w:rsidRPr="007213D8">
        <w:rPr>
          <w:rFonts w:ascii="Times New Roman" w:eastAsia="Times New Roman" w:hAnsi="Times New Roman" w:cs="Times New Roman"/>
          <w:sz w:val="24"/>
          <w:szCs w:val="24"/>
          <w:lang w:val="sq-AL"/>
        </w:rPr>
        <w:t>ler</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simin</w:t>
      </w:r>
      <w:r>
        <w:rPr>
          <w:rFonts w:ascii="Times New Roman" w:eastAsia="Times New Roman" w:hAnsi="Times New Roman" w:cs="Times New Roman"/>
          <w:sz w:val="24"/>
          <w:szCs w:val="24"/>
          <w:lang w:val="sq-AL"/>
        </w:rPr>
        <w:t xml:space="preserve"> e cilësisë të lagunave </w:t>
      </w:r>
      <w:r w:rsidRPr="007213D8">
        <w:rPr>
          <w:rFonts w:ascii="Times New Roman" w:eastAsia="Times New Roman" w:hAnsi="Times New Roman" w:cs="Times New Roman"/>
          <w:sz w:val="24"/>
          <w:szCs w:val="24"/>
          <w:lang w:val="sq-AL"/>
        </w:rPr>
        <w:t xml:space="preserve"> i referohen normat limite t</w:t>
      </w:r>
      <w:r w:rsidRPr="007213D8">
        <w:rPr>
          <w:rFonts w:ascii="Times New Roman" w:eastAsia="Times New Roman" w:hAnsi="Times New Roman" w:cs="Times New Roman"/>
          <w:sz w:val="24"/>
          <w:szCs w:val="24"/>
        </w:rPr>
        <w:t>ë</w:t>
      </w:r>
      <w:r w:rsidRPr="007213D8">
        <w:rPr>
          <w:rFonts w:ascii="Times New Roman" w:eastAsia="Times New Roman" w:hAnsi="Times New Roman" w:cs="Times New Roman"/>
          <w:sz w:val="24"/>
          <w:szCs w:val="24"/>
          <w:lang w:val="sq-AL"/>
        </w:rPr>
        <w:t xml:space="preserve">  liqeneve. </w:t>
      </w:r>
    </w:p>
    <w:p w:rsidR="00EC2D44" w:rsidRDefault="00EC2D44" w:rsidP="00EC2D44">
      <w:pPr>
        <w:spacing w:after="0" w:line="276" w:lineRule="auto"/>
        <w:jc w:val="both"/>
        <w:rPr>
          <w:rFonts w:ascii="Times New Roman" w:eastAsia="Times New Roman" w:hAnsi="Times New Roman" w:cs="Times New Roman"/>
          <w:sz w:val="24"/>
          <w:szCs w:val="24"/>
          <w:lang w:val="sq-AL"/>
        </w:rPr>
      </w:pPr>
    </w:p>
    <w:p w:rsidR="00EC2D44" w:rsidRPr="00E15C3C" w:rsidRDefault="00CD2C3A" w:rsidP="00EC2D44">
      <w:pPr>
        <w:rPr>
          <w:rFonts w:ascii="Times New Roman" w:eastAsiaTheme="minorEastAsia" w:hAnsi="Times New Roman" w:cs="Times New Roman"/>
          <w:sz w:val="24"/>
          <w:szCs w:val="24"/>
        </w:rPr>
      </w:pPr>
      <w:r>
        <w:rPr>
          <w:rFonts w:ascii="Times New Roman" w:eastAsia="Times New Roman" w:hAnsi="Times New Roman" w:cs="Times New Roman"/>
          <w:sz w:val="24"/>
          <w:szCs w:val="24"/>
        </w:rPr>
        <w:t xml:space="preserve">        </w:t>
      </w:r>
      <w:r w:rsidR="00EC2D44" w:rsidRPr="00E15C3C">
        <w:rPr>
          <w:rFonts w:ascii="Times New Roman" w:eastAsia="Times New Roman" w:hAnsi="Times New Roman" w:cs="Times New Roman"/>
          <w:sz w:val="24"/>
          <w:szCs w:val="24"/>
        </w:rPr>
        <w:t xml:space="preserve">Tabela </w:t>
      </w:r>
      <w:r>
        <w:rPr>
          <w:rFonts w:ascii="Times New Roman" w:eastAsia="Times New Roman" w:hAnsi="Times New Roman" w:cs="Times New Roman"/>
          <w:sz w:val="24"/>
          <w:szCs w:val="24"/>
        </w:rPr>
        <w:t>41</w:t>
      </w:r>
      <w:r w:rsidR="009C00C2" w:rsidRPr="00E15C3C">
        <w:rPr>
          <w:rFonts w:ascii="Times New Roman" w:eastAsia="Times New Roman" w:hAnsi="Times New Roman" w:cs="Times New Roman"/>
          <w:sz w:val="24"/>
          <w:szCs w:val="24"/>
        </w:rPr>
        <w:t xml:space="preserve"> </w:t>
      </w:r>
      <w:r w:rsidR="00EC2D44" w:rsidRPr="00E15C3C">
        <w:rPr>
          <w:rFonts w:ascii="Times New Roman" w:eastAsia="Times New Roman" w:hAnsi="Times New Roman" w:cs="Times New Roman"/>
          <w:sz w:val="24"/>
          <w:szCs w:val="24"/>
        </w:rPr>
        <w:t>.Vlerat limite të cilësisë së ujërave të liqeneve sipas DKU</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1145"/>
        <w:gridCol w:w="1853"/>
        <w:gridCol w:w="1872"/>
        <w:gridCol w:w="1795"/>
      </w:tblGrid>
      <w:tr w:rsidR="00EC2D44" w:rsidRPr="007213D8" w:rsidTr="007E2640">
        <w:trPr>
          <w:trHeight w:val="355"/>
        </w:trPr>
        <w:tc>
          <w:tcPr>
            <w:tcW w:w="2173" w:type="dxa"/>
            <w:vMerge w:val="restart"/>
            <w:tcBorders>
              <w:top w:val="single" w:sz="4" w:space="0" w:color="auto"/>
              <w:left w:val="single" w:sz="4" w:space="0" w:color="auto"/>
              <w:bottom w:val="single" w:sz="4" w:space="0" w:color="auto"/>
              <w:right w:val="single" w:sz="4" w:space="0" w:color="auto"/>
            </w:tcBorders>
            <w:noWrap/>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b/>
                <w:bCs/>
                <w:color w:val="000000"/>
                <w:sz w:val="24"/>
                <w:szCs w:val="24"/>
                <w:lang w:val="en-GB" w:eastAsia="ja-JP"/>
              </w:rPr>
              <w:t>Paramet</w:t>
            </w:r>
            <w:r w:rsidRPr="007213D8">
              <w:rPr>
                <w:rFonts w:ascii="Times New Roman" w:eastAsia="Times New Roman" w:hAnsi="Times New Roman" w:cs="Times New Roman"/>
                <w:b/>
                <w:bCs/>
                <w:color w:val="000000"/>
                <w:sz w:val="24"/>
                <w:szCs w:val="24"/>
                <w:lang w:val="en-GB" w:eastAsia="ja-JP"/>
              </w:rPr>
              <w:t>rat</w:t>
            </w:r>
          </w:p>
        </w:tc>
        <w:tc>
          <w:tcPr>
            <w:tcW w:w="1145" w:type="dxa"/>
            <w:vMerge w:val="restart"/>
            <w:tcBorders>
              <w:top w:val="single" w:sz="4" w:space="0" w:color="auto"/>
              <w:left w:val="single" w:sz="4" w:space="0" w:color="auto"/>
              <w:bottom w:val="single" w:sz="4" w:space="0" w:color="auto"/>
              <w:right w:val="single" w:sz="4" w:space="0" w:color="auto"/>
            </w:tcBorders>
            <w:noWrap/>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Times New Roman" w:hAnsi="Times New Roman" w:cs="Times New Roman"/>
                <w:b/>
                <w:bCs/>
                <w:color w:val="000000"/>
                <w:sz w:val="24"/>
                <w:szCs w:val="24"/>
                <w:lang w:val="en-GB" w:eastAsia="ja-JP"/>
              </w:rPr>
              <w:t>Njesia matese</w:t>
            </w:r>
          </w:p>
        </w:tc>
        <w:tc>
          <w:tcPr>
            <w:tcW w:w="5520" w:type="dxa"/>
            <w:gridSpan w:val="3"/>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b/>
                <w:bCs/>
                <w:color w:val="000000"/>
                <w:sz w:val="24"/>
                <w:szCs w:val="24"/>
                <w:lang w:val="en-GB" w:eastAsia="ja-JP"/>
              </w:rPr>
            </w:pPr>
            <w:r w:rsidRPr="007213D8">
              <w:rPr>
                <w:rFonts w:ascii="Times New Roman" w:eastAsia="Times New Roman" w:hAnsi="Times New Roman" w:cs="Times New Roman"/>
                <w:b/>
                <w:bCs/>
                <w:color w:val="000000"/>
                <w:sz w:val="24"/>
                <w:szCs w:val="24"/>
                <w:lang w:val="en-GB" w:eastAsia="ja-JP"/>
              </w:rPr>
              <w:t xml:space="preserve">Vlerat limite per percaktimin e gjendje </w:t>
            </w:r>
          </w:p>
        </w:tc>
      </w:tr>
      <w:tr w:rsidR="00EC2D44" w:rsidRPr="007213D8" w:rsidTr="007E2640">
        <w:trPr>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0" w:line="276" w:lineRule="auto"/>
              <w:rPr>
                <w:rFonts w:ascii="Times New Roman" w:eastAsia="Calibri" w:hAnsi="Times New Roman" w:cs="Times New Roman"/>
                <w:color w:val="000000"/>
                <w:sz w:val="24"/>
                <w:szCs w:val="24"/>
                <w:lang w:val="en-GB" w:eastAsia="ja-JP"/>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0" w:line="276" w:lineRule="auto"/>
              <w:rPr>
                <w:rFonts w:ascii="Times New Roman" w:eastAsia="Calibri" w:hAnsi="Times New Roman" w:cs="Times New Roman"/>
                <w:color w:val="000000"/>
                <w:sz w:val="24"/>
                <w:szCs w:val="24"/>
                <w:lang w:val="en-GB" w:eastAsia="ja-JP"/>
              </w:rPr>
            </w:pPr>
          </w:p>
        </w:tc>
        <w:tc>
          <w:tcPr>
            <w:tcW w:w="1853"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b/>
                <w:bCs/>
                <w:color w:val="000000"/>
                <w:sz w:val="24"/>
                <w:szCs w:val="24"/>
                <w:lang w:val="en-GB" w:eastAsia="ja-JP"/>
              </w:rPr>
            </w:pPr>
            <w:r w:rsidRPr="007213D8">
              <w:rPr>
                <w:rFonts w:ascii="Times New Roman" w:eastAsia="Times New Roman" w:hAnsi="Times New Roman" w:cs="Times New Roman"/>
                <w:b/>
                <w:bCs/>
                <w:color w:val="000000"/>
                <w:sz w:val="24"/>
                <w:szCs w:val="24"/>
                <w:lang w:val="en-GB" w:eastAsia="ja-JP"/>
              </w:rPr>
              <w:t>Oligotrofik</w:t>
            </w:r>
          </w:p>
        </w:tc>
        <w:tc>
          <w:tcPr>
            <w:tcW w:w="1872"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b/>
                <w:bCs/>
                <w:color w:val="000000"/>
                <w:sz w:val="24"/>
                <w:szCs w:val="24"/>
                <w:lang w:val="en-GB" w:eastAsia="ja-JP"/>
              </w:rPr>
            </w:pPr>
            <w:r w:rsidRPr="007213D8">
              <w:rPr>
                <w:rFonts w:ascii="Times New Roman" w:eastAsia="Times New Roman" w:hAnsi="Times New Roman" w:cs="Times New Roman"/>
                <w:b/>
                <w:bCs/>
                <w:color w:val="000000"/>
                <w:sz w:val="24"/>
                <w:szCs w:val="24"/>
                <w:lang w:val="en-GB" w:eastAsia="ja-JP"/>
              </w:rPr>
              <w:t>Mesotrofik</w:t>
            </w:r>
          </w:p>
        </w:tc>
        <w:tc>
          <w:tcPr>
            <w:tcW w:w="1795"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b/>
                <w:bCs/>
                <w:color w:val="000000"/>
                <w:sz w:val="24"/>
                <w:szCs w:val="24"/>
                <w:lang w:val="en-GB" w:eastAsia="ja-JP"/>
              </w:rPr>
            </w:pPr>
            <w:r w:rsidRPr="007213D8">
              <w:rPr>
                <w:rFonts w:ascii="Times New Roman" w:eastAsia="Times New Roman" w:hAnsi="Times New Roman" w:cs="Times New Roman"/>
                <w:b/>
                <w:bCs/>
                <w:color w:val="000000"/>
                <w:sz w:val="24"/>
                <w:szCs w:val="24"/>
                <w:lang w:val="en-GB" w:eastAsia="ja-JP"/>
              </w:rPr>
              <w:t>Eutrofik</w:t>
            </w:r>
          </w:p>
        </w:tc>
      </w:tr>
      <w:tr w:rsidR="00EC2D44" w:rsidRPr="007213D8" w:rsidTr="007E2640">
        <w:trPr>
          <w:trHeight w:val="300"/>
        </w:trPr>
        <w:tc>
          <w:tcPr>
            <w:tcW w:w="2173"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rPr>
                <w:rFonts w:ascii="Times New Roman" w:eastAsia="Calibri" w:hAnsi="Times New Roman" w:cs="Times New Roman"/>
                <w:b/>
                <w:color w:val="000000"/>
                <w:sz w:val="24"/>
                <w:szCs w:val="24"/>
                <w:lang w:val="en-GB" w:eastAsia="ja-JP"/>
              </w:rPr>
            </w:pPr>
            <w:r w:rsidRPr="007213D8">
              <w:rPr>
                <w:rFonts w:ascii="Times New Roman" w:eastAsia="Times New Roman" w:hAnsi="Times New Roman" w:cs="Times New Roman"/>
                <w:b/>
                <w:color w:val="000000"/>
                <w:sz w:val="24"/>
                <w:szCs w:val="24"/>
                <w:lang w:val="en-GB" w:eastAsia="ja-JP"/>
              </w:rPr>
              <w:t>Transparenca</w:t>
            </w:r>
          </w:p>
        </w:tc>
        <w:tc>
          <w:tcPr>
            <w:tcW w:w="1145"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m</w:t>
            </w:r>
          </w:p>
        </w:tc>
        <w:tc>
          <w:tcPr>
            <w:tcW w:w="1853"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Times New Roman"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 xml:space="preserve">5-10 </w:t>
            </w:r>
          </w:p>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(max 15-20)</w:t>
            </w:r>
          </w:p>
        </w:tc>
        <w:tc>
          <w:tcPr>
            <w:tcW w:w="1872"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Times New Roman"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 xml:space="preserve">1-2 </w:t>
            </w:r>
          </w:p>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(max.5-10)</w:t>
            </w:r>
          </w:p>
        </w:tc>
        <w:tc>
          <w:tcPr>
            <w:tcW w:w="1795"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Times New Roman"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 xml:space="preserve">&lt;1 </w:t>
            </w:r>
          </w:p>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(max 2-3)</w:t>
            </w:r>
          </w:p>
        </w:tc>
      </w:tr>
      <w:tr w:rsidR="00EC2D44" w:rsidRPr="007213D8" w:rsidTr="007E2640">
        <w:trPr>
          <w:trHeight w:val="300"/>
        </w:trPr>
        <w:tc>
          <w:tcPr>
            <w:tcW w:w="2173"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rPr>
                <w:rFonts w:ascii="Times New Roman" w:eastAsia="Calibri" w:hAnsi="Times New Roman" w:cs="Times New Roman"/>
                <w:b/>
                <w:color w:val="000000"/>
                <w:sz w:val="24"/>
                <w:szCs w:val="24"/>
                <w:lang w:val="en-GB" w:eastAsia="ja-JP"/>
              </w:rPr>
            </w:pPr>
            <w:r w:rsidRPr="007213D8">
              <w:rPr>
                <w:rFonts w:ascii="Times New Roman" w:eastAsia="Calibri" w:hAnsi="Times New Roman" w:cs="Times New Roman"/>
                <w:b/>
                <w:color w:val="000000"/>
                <w:sz w:val="24"/>
                <w:szCs w:val="24"/>
                <w:lang w:val="en-GB" w:eastAsia="ja-JP"/>
              </w:rPr>
              <w:t>COD</w:t>
            </w:r>
          </w:p>
        </w:tc>
        <w:tc>
          <w:tcPr>
            <w:tcW w:w="1145"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sz w:val="24"/>
                <w:szCs w:val="24"/>
                <w:lang w:val="en-GB" w:eastAsia="ja-JP"/>
              </w:rPr>
            </w:pPr>
            <w:r w:rsidRPr="007213D8">
              <w:rPr>
                <w:rFonts w:ascii="Times New Roman" w:eastAsia="Calibri" w:hAnsi="Times New Roman" w:cs="Times New Roman"/>
                <w:sz w:val="24"/>
                <w:szCs w:val="24"/>
                <w:lang w:val="en-GB" w:eastAsia="ja-JP"/>
              </w:rPr>
              <w:t>mg/l</w:t>
            </w:r>
          </w:p>
        </w:tc>
        <w:tc>
          <w:tcPr>
            <w:tcW w:w="1853"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1-2</w:t>
            </w:r>
          </w:p>
        </w:tc>
        <w:tc>
          <w:tcPr>
            <w:tcW w:w="1872"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8-9</w:t>
            </w:r>
          </w:p>
        </w:tc>
        <w:tc>
          <w:tcPr>
            <w:tcW w:w="1795"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20-65</w:t>
            </w:r>
          </w:p>
        </w:tc>
      </w:tr>
      <w:tr w:rsidR="00EC2D44" w:rsidRPr="007213D8" w:rsidTr="007E2640">
        <w:trPr>
          <w:trHeight w:val="360"/>
        </w:trPr>
        <w:tc>
          <w:tcPr>
            <w:tcW w:w="2173"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rPr>
                <w:rFonts w:ascii="Times New Roman" w:eastAsia="Calibri" w:hAnsi="Times New Roman" w:cs="Times New Roman"/>
                <w:b/>
                <w:color w:val="000000"/>
                <w:sz w:val="24"/>
                <w:szCs w:val="24"/>
                <w:lang w:val="en-GB" w:eastAsia="ja-JP"/>
              </w:rPr>
            </w:pPr>
            <w:r w:rsidRPr="007213D8">
              <w:rPr>
                <w:rFonts w:ascii="Times New Roman" w:eastAsia="Calibri" w:hAnsi="Times New Roman" w:cs="Times New Roman"/>
                <w:b/>
                <w:color w:val="000000"/>
                <w:sz w:val="24"/>
                <w:szCs w:val="24"/>
                <w:lang w:val="en-GB" w:eastAsia="ja-JP"/>
              </w:rPr>
              <w:t>BOD</w:t>
            </w:r>
            <w:r w:rsidRPr="007213D8">
              <w:rPr>
                <w:rFonts w:ascii="Times New Roman" w:eastAsia="Calibri" w:hAnsi="Times New Roman" w:cs="Times New Roman"/>
                <w:b/>
                <w:color w:val="000000"/>
                <w:sz w:val="24"/>
                <w:szCs w:val="24"/>
                <w:vertAlign w:val="subscript"/>
                <w:lang w:val="en-GB" w:eastAsia="ja-JP"/>
              </w:rPr>
              <w:t>5</w:t>
            </w:r>
          </w:p>
        </w:tc>
        <w:tc>
          <w:tcPr>
            <w:tcW w:w="1145"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mg O</w:t>
            </w:r>
            <w:r w:rsidRPr="007213D8">
              <w:rPr>
                <w:rFonts w:ascii="Times New Roman" w:eastAsia="Calibri" w:hAnsi="Times New Roman" w:cs="Times New Roman"/>
                <w:color w:val="000000"/>
                <w:sz w:val="24"/>
                <w:szCs w:val="24"/>
                <w:vertAlign w:val="subscript"/>
                <w:lang w:val="en-GB" w:eastAsia="ja-JP"/>
              </w:rPr>
              <w:t>2</w:t>
            </w:r>
            <w:r w:rsidRPr="007213D8">
              <w:rPr>
                <w:rFonts w:ascii="Times New Roman" w:eastAsia="Calibri" w:hAnsi="Times New Roman" w:cs="Times New Roman"/>
                <w:color w:val="000000"/>
                <w:sz w:val="24"/>
                <w:szCs w:val="24"/>
                <w:lang w:val="en-GB" w:eastAsia="ja-JP"/>
              </w:rPr>
              <w:t>/l</w:t>
            </w:r>
          </w:p>
        </w:tc>
        <w:tc>
          <w:tcPr>
            <w:tcW w:w="1853"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&lt;3</w:t>
            </w:r>
          </w:p>
        </w:tc>
        <w:tc>
          <w:tcPr>
            <w:tcW w:w="1872"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3-5,5</w:t>
            </w:r>
          </w:p>
        </w:tc>
        <w:tc>
          <w:tcPr>
            <w:tcW w:w="1795"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5,5-14</w:t>
            </w:r>
          </w:p>
        </w:tc>
      </w:tr>
      <w:tr w:rsidR="00EC2D44" w:rsidRPr="007213D8" w:rsidTr="007E2640">
        <w:trPr>
          <w:trHeight w:val="375"/>
        </w:trPr>
        <w:tc>
          <w:tcPr>
            <w:tcW w:w="2173"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rPr>
                <w:rFonts w:ascii="Times New Roman" w:eastAsia="Calibri" w:hAnsi="Times New Roman" w:cs="Times New Roman"/>
                <w:b/>
                <w:color w:val="000000"/>
                <w:sz w:val="24"/>
                <w:szCs w:val="24"/>
                <w:lang w:val="en-GB" w:eastAsia="ja-JP"/>
              </w:rPr>
            </w:pPr>
            <w:r w:rsidRPr="007213D8">
              <w:rPr>
                <w:rFonts w:ascii="Times New Roman" w:eastAsia="Calibri" w:hAnsi="Times New Roman" w:cs="Times New Roman"/>
                <w:b/>
                <w:color w:val="000000"/>
                <w:sz w:val="24"/>
                <w:szCs w:val="24"/>
                <w:lang w:val="en-GB" w:eastAsia="ja-JP"/>
              </w:rPr>
              <w:t>NO</w:t>
            </w:r>
            <w:r w:rsidRPr="007213D8">
              <w:rPr>
                <w:rFonts w:ascii="Times New Roman" w:eastAsia="Calibri" w:hAnsi="Times New Roman" w:cs="Times New Roman"/>
                <w:b/>
                <w:color w:val="000000"/>
                <w:sz w:val="24"/>
                <w:szCs w:val="24"/>
                <w:vertAlign w:val="subscript"/>
                <w:lang w:val="en-GB" w:eastAsia="ja-JP"/>
              </w:rPr>
              <w:t>3</w:t>
            </w:r>
            <w:r w:rsidRPr="007213D8">
              <w:rPr>
                <w:rFonts w:ascii="Times New Roman" w:eastAsia="Calibri" w:hAnsi="Times New Roman" w:cs="Times New Roman"/>
                <w:b/>
                <w:color w:val="000000"/>
                <w:sz w:val="24"/>
                <w:szCs w:val="24"/>
                <w:lang w:val="en-GB" w:eastAsia="ja-JP"/>
              </w:rPr>
              <w:t>-N</w:t>
            </w:r>
          </w:p>
        </w:tc>
        <w:tc>
          <w:tcPr>
            <w:tcW w:w="1145"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mg N/l</w:t>
            </w:r>
          </w:p>
        </w:tc>
        <w:tc>
          <w:tcPr>
            <w:tcW w:w="1853"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&lt;1</w:t>
            </w:r>
          </w:p>
        </w:tc>
        <w:tc>
          <w:tcPr>
            <w:tcW w:w="1872"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&lt;1</w:t>
            </w:r>
          </w:p>
        </w:tc>
        <w:tc>
          <w:tcPr>
            <w:tcW w:w="1795"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&gt;2</w:t>
            </w:r>
          </w:p>
        </w:tc>
      </w:tr>
      <w:tr w:rsidR="00EC2D44" w:rsidRPr="007213D8" w:rsidTr="007E2640">
        <w:trPr>
          <w:trHeight w:val="300"/>
        </w:trPr>
        <w:tc>
          <w:tcPr>
            <w:tcW w:w="2173"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rPr>
                <w:rFonts w:ascii="Times New Roman" w:eastAsia="Calibri" w:hAnsi="Times New Roman" w:cs="Times New Roman"/>
                <w:b/>
                <w:color w:val="000000"/>
                <w:sz w:val="24"/>
                <w:szCs w:val="24"/>
                <w:lang w:val="en-GB" w:eastAsia="ja-JP"/>
              </w:rPr>
            </w:pPr>
            <w:r w:rsidRPr="007213D8">
              <w:rPr>
                <w:rFonts w:ascii="Times New Roman" w:eastAsia="Times New Roman" w:hAnsi="Times New Roman" w:cs="Times New Roman"/>
                <w:b/>
                <w:color w:val="000000"/>
                <w:sz w:val="24"/>
                <w:szCs w:val="24"/>
                <w:lang w:val="en-GB" w:eastAsia="ja-JP"/>
              </w:rPr>
              <w:t>Fosfor total ( P total )</w:t>
            </w:r>
          </w:p>
        </w:tc>
        <w:tc>
          <w:tcPr>
            <w:tcW w:w="1145" w:type="dxa"/>
            <w:tcBorders>
              <w:top w:val="single" w:sz="4" w:space="0" w:color="auto"/>
              <w:left w:val="single" w:sz="4" w:space="0" w:color="auto"/>
              <w:bottom w:val="single" w:sz="4" w:space="0" w:color="auto"/>
              <w:right w:val="single" w:sz="4" w:space="0" w:color="auto"/>
            </w:tcBorders>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µg P/l</w:t>
            </w:r>
          </w:p>
        </w:tc>
        <w:tc>
          <w:tcPr>
            <w:tcW w:w="1853" w:type="dxa"/>
            <w:tcBorders>
              <w:top w:val="single" w:sz="4" w:space="0" w:color="auto"/>
              <w:left w:val="single" w:sz="4" w:space="0" w:color="auto"/>
              <w:bottom w:val="single" w:sz="4" w:space="0" w:color="auto"/>
              <w:right w:val="single" w:sz="4" w:space="0" w:color="auto"/>
            </w:tcBorders>
            <w:noWrap/>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4-10</w:t>
            </w:r>
          </w:p>
        </w:tc>
        <w:tc>
          <w:tcPr>
            <w:tcW w:w="1872" w:type="dxa"/>
            <w:tcBorders>
              <w:top w:val="single" w:sz="4" w:space="0" w:color="auto"/>
              <w:left w:val="single" w:sz="4" w:space="0" w:color="auto"/>
              <w:bottom w:val="single" w:sz="4" w:space="0" w:color="auto"/>
              <w:right w:val="single" w:sz="4" w:space="0" w:color="auto"/>
            </w:tcBorders>
            <w:noWrap/>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10-35</w:t>
            </w:r>
          </w:p>
        </w:tc>
        <w:tc>
          <w:tcPr>
            <w:tcW w:w="1795" w:type="dxa"/>
            <w:tcBorders>
              <w:top w:val="single" w:sz="4" w:space="0" w:color="auto"/>
              <w:left w:val="single" w:sz="4" w:space="0" w:color="auto"/>
              <w:bottom w:val="single" w:sz="4" w:space="0" w:color="auto"/>
              <w:right w:val="single" w:sz="4" w:space="0" w:color="auto"/>
            </w:tcBorders>
            <w:noWrap/>
            <w:vAlign w:val="center"/>
            <w:hideMark/>
          </w:tcPr>
          <w:p w:rsidR="00EC2D44" w:rsidRPr="007213D8" w:rsidRDefault="00EC2D44" w:rsidP="007E2640">
            <w:pPr>
              <w:spacing w:after="200" w:line="276" w:lineRule="auto"/>
              <w:jc w:val="center"/>
              <w:rPr>
                <w:rFonts w:ascii="Times New Roman" w:eastAsia="Calibri" w:hAnsi="Times New Roman" w:cs="Times New Roman"/>
                <w:color w:val="000000"/>
                <w:sz w:val="24"/>
                <w:szCs w:val="24"/>
                <w:lang w:val="en-GB" w:eastAsia="ja-JP"/>
              </w:rPr>
            </w:pPr>
            <w:r w:rsidRPr="007213D8">
              <w:rPr>
                <w:rFonts w:ascii="Times New Roman" w:eastAsia="Calibri" w:hAnsi="Times New Roman" w:cs="Times New Roman"/>
                <w:color w:val="000000"/>
                <w:sz w:val="24"/>
                <w:szCs w:val="24"/>
                <w:lang w:val="en-GB" w:eastAsia="ja-JP"/>
              </w:rPr>
              <w:t>35-100</w:t>
            </w:r>
          </w:p>
        </w:tc>
      </w:tr>
    </w:tbl>
    <w:p w:rsidR="00EC2D44" w:rsidRPr="007213D8" w:rsidRDefault="00EC2D44" w:rsidP="00EC2D44">
      <w:pPr>
        <w:spacing w:after="0" w:line="276" w:lineRule="auto"/>
        <w:jc w:val="both"/>
        <w:rPr>
          <w:rFonts w:ascii="Times New Roman" w:eastAsia="Times New Roman" w:hAnsi="Times New Roman" w:cs="Times New Roman"/>
          <w:sz w:val="24"/>
          <w:szCs w:val="24"/>
          <w:lang w:val="sq-AL"/>
        </w:rPr>
      </w:pPr>
    </w:p>
    <w:p w:rsidR="00EC2D44" w:rsidRPr="007213D8" w:rsidRDefault="00EC2D44" w:rsidP="00EC2D44">
      <w:pPr>
        <w:numPr>
          <w:ilvl w:val="0"/>
          <w:numId w:val="7"/>
        </w:numPr>
        <w:spacing w:after="0" w:line="240" w:lineRule="auto"/>
        <w:contextualSpacing/>
        <w:rPr>
          <w:rFonts w:ascii="Times New Roman" w:eastAsia="Times New Roman" w:hAnsi="Times New Roman" w:cs="Times New Roman"/>
          <w:b/>
          <w:sz w:val="24"/>
          <w:szCs w:val="24"/>
          <w:lang w:val="sq-AL"/>
        </w:rPr>
      </w:pPr>
      <w:r w:rsidRPr="007213D8">
        <w:rPr>
          <w:rFonts w:ascii="Times New Roman" w:eastAsia="Times New Roman" w:hAnsi="Times New Roman" w:cs="Times New Roman"/>
          <w:b/>
          <w:sz w:val="24"/>
          <w:szCs w:val="24"/>
          <w:lang w:val="sq-AL"/>
        </w:rPr>
        <w:t>Laguna e Karavastasë</w:t>
      </w:r>
    </w:p>
    <w:p w:rsidR="00EC2D44" w:rsidRPr="007213D8" w:rsidRDefault="00EC2D44" w:rsidP="00EC2D44">
      <w:pPr>
        <w:spacing w:after="0" w:line="240" w:lineRule="auto"/>
        <w:ind w:left="1080"/>
        <w:contextualSpacing/>
        <w:rPr>
          <w:rFonts w:ascii="Times New Roman" w:eastAsia="Times New Roman" w:hAnsi="Times New Roman" w:cs="Times New Roman"/>
          <w:b/>
          <w:sz w:val="24"/>
          <w:szCs w:val="24"/>
          <w:lang w:val="sq-AL"/>
        </w:rPr>
      </w:pPr>
    </w:p>
    <w:p w:rsidR="00EC2D44" w:rsidRPr="007213D8" w:rsidRDefault="00EC2D44" w:rsidP="00EC2D44">
      <w:pPr>
        <w:spacing w:after="0" w:line="240" w:lineRule="auto"/>
        <w:jc w:val="both"/>
        <w:rPr>
          <w:rFonts w:ascii="Times New Roman" w:eastAsia="Times New Roman" w:hAnsi="Times New Roman" w:cs="Times New Roman"/>
          <w:sz w:val="24"/>
          <w:szCs w:val="24"/>
        </w:rPr>
      </w:pPr>
      <w:r w:rsidRPr="007213D8">
        <w:rPr>
          <w:rFonts w:ascii="Times New Roman" w:eastAsia="Times New Roman" w:hAnsi="Times New Roman" w:cs="Times New Roman"/>
          <w:bCs/>
          <w:sz w:val="24"/>
          <w:szCs w:val="24"/>
          <w:shd w:val="clear" w:color="auto" w:fill="FFFFFF"/>
        </w:rPr>
        <w:t>Kjo lagunë ndodhet në</w:t>
      </w:r>
      <w:r w:rsidRPr="007213D8">
        <w:rPr>
          <w:rFonts w:ascii="Times New Roman" w:eastAsia="Times New Roman" w:hAnsi="Times New Roman" w:cs="Times New Roman"/>
          <w:sz w:val="24"/>
          <w:szCs w:val="24"/>
          <w:shd w:val="clear" w:color="auto" w:fill="FFFFFF"/>
        </w:rPr>
        <w:t xml:space="preserve"> afërsi të qytetit t</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shd w:val="clear" w:color="auto" w:fill="FFFFFF"/>
        </w:rPr>
        <w:t xml:space="preserve"> Lushnjes dhe n</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shd w:val="clear" w:color="auto" w:fill="FFFFFF"/>
        </w:rPr>
        <w:t xml:space="preserve"> qendër të  Ult</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shd w:val="clear" w:color="auto" w:fill="FFFFFF"/>
        </w:rPr>
        <w:t>sir</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shd w:val="clear" w:color="auto" w:fill="FFFFFF"/>
        </w:rPr>
        <w:t>s Per</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shd w:val="clear" w:color="auto" w:fill="FFFFFF"/>
        </w:rPr>
        <w:t>ndimore, si pjes</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shd w:val="clear" w:color="auto" w:fill="FFFFFF"/>
        </w:rPr>
        <w:t xml:space="preserve"> </w:t>
      </w:r>
      <w:r w:rsidRPr="007213D8">
        <w:rPr>
          <w:rFonts w:ascii="Times New Roman" w:eastAsia="Times New Roman" w:hAnsi="Times New Roman" w:cs="Times New Roman"/>
          <w:sz w:val="24"/>
          <w:szCs w:val="24"/>
        </w:rPr>
        <w:t>e Parkut Kombëtar të Divjak</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s,  si dhe laguna m</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e madhe në gjithë bregdetin jugor të Adriatikut me nj</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sip</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rfaqe 4330 ha, gjatësia 10.6 km, gjërësia 4.3 km dhe thellësia deri në 1.5 m. Gjate ver</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s mund t</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arrij</w:t>
      </w:r>
      <w:r w:rsidRPr="007213D8">
        <w:rPr>
          <w:rFonts w:ascii="Times New Roman" w:eastAsia="Times New Roman" w:hAnsi="Times New Roman" w:cs="Times New Roman"/>
          <w:bCs/>
          <w:sz w:val="24"/>
          <w:szCs w:val="24"/>
          <w:shd w:val="clear" w:color="auto" w:fill="FFFFFF"/>
        </w:rPr>
        <w:t xml:space="preserve">ë </w:t>
      </w:r>
      <w:r w:rsidRPr="007213D8">
        <w:rPr>
          <w:rFonts w:ascii="Times New Roman" w:eastAsia="Times New Roman" w:hAnsi="Times New Roman" w:cs="Times New Roman"/>
          <w:sz w:val="24"/>
          <w:szCs w:val="24"/>
        </w:rPr>
        <w:t>edhe deri n</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30 cm. </w:t>
      </w:r>
    </w:p>
    <w:p w:rsidR="00EC2D44" w:rsidRPr="007213D8" w:rsidRDefault="00EC2D44" w:rsidP="00EC2D44">
      <w:pPr>
        <w:spacing w:after="0" w:line="240" w:lineRule="auto"/>
        <w:jc w:val="both"/>
        <w:rPr>
          <w:rFonts w:ascii="Times New Roman" w:eastAsia="Times New Roman" w:hAnsi="Times New Roman" w:cs="Times New Roman"/>
          <w:sz w:val="24"/>
          <w:szCs w:val="24"/>
        </w:rPr>
      </w:pPr>
      <w:r w:rsidRPr="007213D8">
        <w:rPr>
          <w:rFonts w:ascii="Times New Roman" w:eastAsia="Times New Roman" w:hAnsi="Times New Roman" w:cs="Times New Roman"/>
          <w:sz w:val="24"/>
          <w:szCs w:val="24"/>
        </w:rPr>
        <w:t>Laguna e Karavastas</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ndahet nga deti nëpërmjet një brezi të gjerë rëre, të mbuluar nga pylli i dendur, buzë t</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cilit ndodhet një plazh mjaft i madh, i cili lidhet me detin me tri kanale, njëri prej të cilëve artificial, i hapur për nevojat e peshkimit. </w:t>
      </w:r>
    </w:p>
    <w:p w:rsidR="00EC2D44" w:rsidRPr="007213D8" w:rsidRDefault="00EC2D44" w:rsidP="00EC2D44">
      <w:pPr>
        <w:spacing w:after="0" w:line="240" w:lineRule="auto"/>
        <w:jc w:val="both"/>
        <w:rPr>
          <w:rFonts w:ascii="Times New Roman" w:eastAsia="Times New Roman" w:hAnsi="Times New Roman" w:cs="Times New Roman"/>
          <w:sz w:val="24"/>
          <w:szCs w:val="24"/>
        </w:rPr>
      </w:pPr>
      <w:r w:rsidRPr="007213D8">
        <w:rPr>
          <w:rFonts w:ascii="Times New Roman" w:eastAsia="Times New Roman" w:hAnsi="Times New Roman" w:cs="Times New Roman"/>
          <w:sz w:val="24"/>
          <w:szCs w:val="24"/>
        </w:rPr>
        <w:t>Monitorimi i Lagun</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s s</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Karavastas</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realizohet n</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dy pika monitorimi, nj</w:t>
      </w:r>
      <w:r w:rsidRPr="007213D8">
        <w:rPr>
          <w:rFonts w:ascii="Times New Roman" w:eastAsia="Times New Roman" w:hAnsi="Times New Roman" w:cs="Times New Roman"/>
          <w:bCs/>
          <w:sz w:val="24"/>
          <w:szCs w:val="24"/>
          <w:shd w:val="clear" w:color="auto" w:fill="FFFFFF"/>
        </w:rPr>
        <w:t xml:space="preserve">ë </w:t>
      </w:r>
      <w:r w:rsidRPr="007213D8">
        <w:rPr>
          <w:rFonts w:ascii="Times New Roman" w:eastAsia="Times New Roman" w:hAnsi="Times New Roman" w:cs="Times New Roman"/>
          <w:sz w:val="24"/>
          <w:szCs w:val="24"/>
        </w:rPr>
        <w:t>pik</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sht</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n</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det dhe tjetra n</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uj</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 k</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mbimin det – lagun</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w:t>
      </w:r>
    </w:p>
    <w:p w:rsidR="00EC2D44" w:rsidRPr="007213D8" w:rsidRDefault="00EC2D44" w:rsidP="00EC2D44">
      <w:pPr>
        <w:spacing w:after="0" w:line="240" w:lineRule="auto"/>
        <w:jc w:val="both"/>
        <w:rPr>
          <w:rFonts w:ascii="Times New Roman" w:eastAsia="Times New Roman" w:hAnsi="Times New Roman" w:cs="Times New Roman"/>
          <w:sz w:val="24"/>
          <w:szCs w:val="24"/>
        </w:rPr>
      </w:pPr>
      <w:r w:rsidRPr="007213D8">
        <w:rPr>
          <w:rFonts w:ascii="Times New Roman" w:eastAsia="Times New Roman" w:hAnsi="Times New Roman" w:cs="Times New Roman"/>
          <w:sz w:val="24"/>
          <w:szCs w:val="24"/>
        </w:rPr>
        <w:t>Uj</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rat e k</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saj lagune paraqesin vler</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mesatare t</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pH 7.84.</w:t>
      </w:r>
    </w:p>
    <w:p w:rsidR="00EC2D44" w:rsidRPr="007213D8" w:rsidRDefault="00EC2D44" w:rsidP="00EC2D44">
      <w:pPr>
        <w:spacing w:after="0" w:line="240" w:lineRule="auto"/>
        <w:rPr>
          <w:rFonts w:ascii="Times New Roman" w:eastAsia="Times New Roman" w:hAnsi="Times New Roman" w:cs="Times New Roman"/>
          <w:sz w:val="24"/>
          <w:szCs w:val="24"/>
        </w:rPr>
      </w:pPr>
    </w:p>
    <w:p w:rsidR="00EC2D44" w:rsidRPr="007213D8" w:rsidRDefault="00EC2D44" w:rsidP="00EC2D44">
      <w:pPr>
        <w:spacing w:after="0" w:line="276" w:lineRule="auto"/>
        <w:rPr>
          <w:rFonts w:ascii="Times New Roman" w:eastAsia="Times New Roman" w:hAnsi="Times New Roman" w:cs="Times New Roman"/>
          <w:i/>
          <w:sz w:val="24"/>
          <w:szCs w:val="24"/>
        </w:rPr>
      </w:pPr>
    </w:p>
    <w:p w:rsidR="00EC2D44" w:rsidRPr="007213D8" w:rsidRDefault="00EC2D44" w:rsidP="00EC2D44">
      <w:pPr>
        <w:numPr>
          <w:ilvl w:val="0"/>
          <w:numId w:val="8"/>
        </w:numPr>
        <w:spacing w:after="200" w:line="276" w:lineRule="auto"/>
        <w:contextualSpacing/>
        <w:jc w:val="both"/>
        <w:rPr>
          <w:rFonts w:ascii="Times New Roman" w:eastAsia="Times New Roman" w:hAnsi="Times New Roman" w:cs="Times New Roman"/>
          <w:sz w:val="24"/>
          <w:szCs w:val="24"/>
          <w:lang w:val="da-DK"/>
        </w:rPr>
      </w:pPr>
      <w:r w:rsidRPr="007213D8">
        <w:rPr>
          <w:rFonts w:ascii="Times New Roman" w:eastAsia="Times New Roman" w:hAnsi="Times New Roman" w:cs="Times New Roman"/>
          <w:sz w:val="24"/>
          <w:szCs w:val="24"/>
          <w:lang w:val="da-DK"/>
        </w:rPr>
        <w:t xml:space="preserve">Oksigjeni i tretur </w:t>
      </w:r>
    </w:p>
    <w:p w:rsidR="00EC2D44" w:rsidRPr="007213D8" w:rsidRDefault="00EC2D44" w:rsidP="00EC2D44">
      <w:pPr>
        <w:spacing w:after="0" w:line="240" w:lineRule="auto"/>
        <w:jc w:val="both"/>
        <w:rPr>
          <w:rFonts w:ascii="Times New Roman" w:eastAsia="Times New Roman" w:hAnsi="Times New Roman" w:cs="Times New Roman"/>
          <w:sz w:val="24"/>
          <w:szCs w:val="24"/>
          <w:lang w:val="sq-AL"/>
        </w:rPr>
      </w:pPr>
      <w:r w:rsidRPr="007213D8">
        <w:rPr>
          <w:rFonts w:ascii="Times New Roman" w:eastAsia="Times New Roman" w:hAnsi="Times New Roman" w:cs="Times New Roman"/>
          <w:sz w:val="24"/>
          <w:szCs w:val="24"/>
          <w:lang w:val="sq-AL"/>
        </w:rPr>
        <w:t xml:space="preserve">Në të dy stacionet e monitoruar </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sht</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 xml:space="preserve"> vler</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 xml:space="preserve">suar përmbajtja e oksigjenit të tretur me një vlerë mesatare 8.2 mg/l.  </w:t>
      </w:r>
    </w:p>
    <w:p w:rsidR="00EC2D44" w:rsidRPr="007213D8" w:rsidRDefault="00EC2D44" w:rsidP="00EC2D44">
      <w:pPr>
        <w:spacing w:after="200" w:line="276" w:lineRule="auto"/>
        <w:rPr>
          <w:rFonts w:ascii="Times New Roman" w:eastAsia="Times New Roman" w:hAnsi="Times New Roman" w:cs="Times New Roman"/>
          <w:sz w:val="24"/>
          <w:szCs w:val="24"/>
        </w:rPr>
      </w:pPr>
    </w:p>
    <w:p w:rsidR="00EC2D44" w:rsidRPr="007213D8" w:rsidRDefault="00EC2D44" w:rsidP="00EC2D44">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7213D8">
        <w:rPr>
          <w:rFonts w:ascii="Times New Roman" w:eastAsia="Times New Roman" w:hAnsi="Times New Roman" w:cs="Times New Roman"/>
          <w:color w:val="212121"/>
          <w:sz w:val="24"/>
          <w:szCs w:val="24"/>
        </w:rPr>
        <w:t>Nevoja kimike p</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color w:val="212121"/>
          <w:sz w:val="24"/>
          <w:szCs w:val="24"/>
        </w:rPr>
        <w:t>r oksigjen</w:t>
      </w:r>
    </w:p>
    <w:p w:rsidR="00EC2D44" w:rsidRPr="00E15C3C" w:rsidRDefault="00EC2D44" w:rsidP="00EC2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color w:val="212121"/>
          <w:sz w:val="24"/>
          <w:szCs w:val="24"/>
        </w:rPr>
      </w:pP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sz w:val="24"/>
          <w:szCs w:val="24"/>
          <w:lang w:val="sq-AL"/>
        </w:rPr>
      </w:pPr>
      <w:r w:rsidRPr="007213D8">
        <w:rPr>
          <w:rFonts w:ascii="Times New Roman" w:eastAsia="Times New Roman" w:hAnsi="Times New Roman" w:cs="Times New Roman"/>
          <w:sz w:val="24"/>
          <w:szCs w:val="24"/>
          <w:lang w:val="sq-AL"/>
        </w:rPr>
        <w:t>Referuar t</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 xml:space="preserve"> dh</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nave mesatare t</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 xml:space="preserve"> p</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rmbajtjes s</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 xml:space="preserve"> NKO </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sht</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 xml:space="preserve"> matur t</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 xml:space="preserve"> jet</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 xml:space="preserve"> 10.5 mgO/l duke i klasifikuar uj</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rat t</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 xml:space="preserve"> cil</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sis</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 xml:space="preserve"> eutrofike.</w:t>
      </w: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eastAsia="Times New Roman" w:hAnsi="Times New Roman" w:cs="Times New Roman"/>
          <w:sz w:val="24"/>
          <w:szCs w:val="24"/>
          <w:lang w:val="sq-AL"/>
        </w:rPr>
      </w:pPr>
      <w:r w:rsidRPr="007213D8">
        <w:rPr>
          <w:rFonts w:ascii="Calibri" w:eastAsia="Times New Roman" w:hAnsi="Calibri" w:cs="Times New Roman"/>
          <w:noProof/>
        </w:rPr>
        <w:drawing>
          <wp:inline distT="0" distB="0" distL="0" distR="0" wp14:anchorId="2AF2E57E" wp14:editId="435AE9B1">
            <wp:extent cx="2628900" cy="2114550"/>
            <wp:effectExtent l="0" t="0" r="19050" b="19050"/>
            <wp:docPr id="70" name="Picture 1">
              <a:extLst xmlns:a="http://schemas.openxmlformats.org/drawingml/2006/main">
                <a:ext uri="{FF2B5EF4-FFF2-40B4-BE49-F238E27FC236}">
                  <a16:creationId xmlns:a16="http://schemas.microsoft.com/office/drawing/2014/main" id="{FF7BB9B3-6073-482E-BEBB-4985FFF577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r>
        <w:rPr>
          <w:rFonts w:ascii="Times New Roman" w:eastAsia="Times New Roman" w:hAnsi="Times New Roman" w:cs="Times New Roman"/>
          <w:sz w:val="24"/>
          <w:szCs w:val="24"/>
          <w:lang w:val="sq-AL"/>
        </w:rPr>
        <w:t xml:space="preserve">  </w:t>
      </w:r>
      <w:r w:rsidRPr="007213D8">
        <w:rPr>
          <w:rFonts w:ascii="Calibri" w:eastAsia="Times New Roman" w:hAnsi="Calibri" w:cs="Times New Roman"/>
          <w:noProof/>
        </w:rPr>
        <w:drawing>
          <wp:inline distT="0" distB="0" distL="0" distR="0" wp14:anchorId="11C3F9C1" wp14:editId="26511B69">
            <wp:extent cx="2971800" cy="2076450"/>
            <wp:effectExtent l="0" t="0" r="19050" b="19050"/>
            <wp:docPr id="71" name="Picture 2">
              <a:extLst xmlns:a="http://schemas.openxmlformats.org/drawingml/2006/main">
                <a:ext uri="{FF2B5EF4-FFF2-40B4-BE49-F238E27FC236}">
                  <a16:creationId xmlns:a16="http://schemas.microsoft.com/office/drawing/2014/main" id="{0E19A1BD-DFF5-4A9D-8017-301697E5CC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inline>
        </w:drawing>
      </w:r>
    </w:p>
    <w:p w:rsidR="00EC2D44" w:rsidRPr="007213D8" w:rsidRDefault="00EC2D44" w:rsidP="00EC2D44">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7213D8">
        <w:rPr>
          <w:rFonts w:ascii="Times New Roman" w:eastAsia="Times New Roman" w:hAnsi="Times New Roman" w:cs="Times New Roman"/>
          <w:color w:val="212121"/>
          <w:sz w:val="24"/>
          <w:szCs w:val="24"/>
        </w:rPr>
        <w:t>Nevoja biokimike për oksigjen</w:t>
      </w:r>
    </w:p>
    <w:p w:rsidR="00EC2D44" w:rsidRPr="007213D8" w:rsidRDefault="00EC2D44" w:rsidP="00EC2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sz w:val="24"/>
          <w:szCs w:val="24"/>
          <w:lang w:val="da-DK"/>
        </w:rPr>
      </w:pPr>
      <w:r w:rsidRPr="007213D8">
        <w:rPr>
          <w:rFonts w:ascii="Times New Roman" w:eastAsia="Times New Roman" w:hAnsi="Times New Roman" w:cs="Times New Roman"/>
          <w:sz w:val="24"/>
          <w:szCs w:val="24"/>
          <w:lang w:val="da-DK"/>
        </w:rPr>
        <w:t>Gjithashtu edhe vlerat e nevoj</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s biokimike p</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r oksigjen jan</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 xml:space="preserve"> vler</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suar me nj</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 xml:space="preserve"> vler</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 xml:space="preserve"> mesatare 7 mg/l  duke e klasifikuar lagun</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n me cil</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si eutrofike.</w:t>
      </w:r>
    </w:p>
    <w:p w:rsidR="00EC2D44" w:rsidRPr="007213D8" w:rsidRDefault="00EC2D44" w:rsidP="00EC2D44">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7213D8">
        <w:rPr>
          <w:rFonts w:ascii="Times New Roman" w:eastAsia="Times New Roman" w:hAnsi="Times New Roman" w:cs="Times New Roman"/>
          <w:color w:val="212121"/>
          <w:sz w:val="24"/>
          <w:szCs w:val="24"/>
        </w:rPr>
        <w:t>Përmbajtja e nitrateve</w:t>
      </w:r>
    </w:p>
    <w:p w:rsidR="00EC2D44" w:rsidRPr="007213D8" w:rsidRDefault="00EC2D44" w:rsidP="00EC2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p>
    <w:p w:rsidR="00EC2D44" w:rsidRDefault="00EC2D44" w:rsidP="00EC2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7213D8">
        <w:rPr>
          <w:rFonts w:ascii="Times New Roman" w:eastAsia="Times New Roman" w:hAnsi="Times New Roman" w:cs="Times New Roman"/>
          <w:color w:val="212121"/>
          <w:sz w:val="24"/>
          <w:szCs w:val="24"/>
        </w:rPr>
        <w:t xml:space="preserve">Përmbajtja mesatare e nitrateve është në vlerën 2.3mg/l  duke i klasifikuar ujërat e kësaj lagune me një cilësi eutrofike. </w:t>
      </w:r>
    </w:p>
    <w:p w:rsidR="00EC2D44" w:rsidRPr="007213D8" w:rsidRDefault="00EC2D44" w:rsidP="00EC2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p>
    <w:p w:rsidR="00EC2D44" w:rsidRDefault="00EC2D44" w:rsidP="00EC2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7213D8">
        <w:rPr>
          <w:rFonts w:ascii="Courier New" w:eastAsia="Times New Roman" w:hAnsi="Courier New" w:cs="Courier New"/>
          <w:noProof/>
          <w:sz w:val="20"/>
          <w:szCs w:val="20"/>
        </w:rPr>
        <w:drawing>
          <wp:inline distT="0" distB="0" distL="0" distR="0" wp14:anchorId="10954AC3" wp14:editId="4A61D67C">
            <wp:extent cx="2752725" cy="2038350"/>
            <wp:effectExtent l="0" t="0" r="9525" b="19050"/>
            <wp:docPr id="72" name="Picture 3">
              <a:extLst xmlns:a="http://schemas.openxmlformats.org/drawingml/2006/main">
                <a:ext uri="{FF2B5EF4-FFF2-40B4-BE49-F238E27FC236}">
                  <a16:creationId xmlns:a16="http://schemas.microsoft.com/office/drawing/2014/main" id="{431CDFDF-AF96-4C3D-B1BD-D3F3EF9BE3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6"/>
              </a:graphicData>
            </a:graphic>
          </wp:inline>
        </w:drawing>
      </w:r>
      <w:r>
        <w:rPr>
          <w:rFonts w:ascii="Times New Roman" w:eastAsia="Times New Roman" w:hAnsi="Times New Roman" w:cs="Times New Roman"/>
          <w:color w:val="212121"/>
          <w:sz w:val="24"/>
          <w:szCs w:val="24"/>
        </w:rPr>
        <w:t xml:space="preserve">  </w:t>
      </w:r>
      <w:r w:rsidRPr="007213D8">
        <w:rPr>
          <w:rFonts w:ascii="Calibri" w:eastAsia="Times New Roman" w:hAnsi="Calibri" w:cs="Times New Roman"/>
          <w:noProof/>
        </w:rPr>
        <w:drawing>
          <wp:inline distT="0" distB="0" distL="0" distR="0" wp14:anchorId="266E1D01" wp14:editId="695B6D8D">
            <wp:extent cx="2876550" cy="2047875"/>
            <wp:effectExtent l="0" t="0" r="19050" b="9525"/>
            <wp:docPr id="73" name="Picture 4">
              <a:extLst xmlns:a="http://schemas.openxmlformats.org/drawingml/2006/main">
                <a:ext uri="{FF2B5EF4-FFF2-40B4-BE49-F238E27FC236}">
                  <a16:creationId xmlns:a16="http://schemas.microsoft.com/office/drawing/2014/main" id="{282B7291-56CD-4C19-8CC1-D87201499F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p w:rsidR="00EC2D44" w:rsidRPr="007213D8" w:rsidRDefault="00EC2D44" w:rsidP="00EC2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rPr>
      </w:pPr>
    </w:p>
    <w:p w:rsidR="00EC2D44" w:rsidRPr="007213D8" w:rsidRDefault="00EC2D44" w:rsidP="00EC2D44">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7213D8">
        <w:rPr>
          <w:rFonts w:ascii="Times New Roman" w:eastAsia="Times New Roman" w:hAnsi="Times New Roman" w:cs="Times New Roman"/>
          <w:color w:val="212121"/>
          <w:sz w:val="24"/>
          <w:szCs w:val="24"/>
        </w:rPr>
        <w:t>Përmbajtja e fosforit total</w:t>
      </w:r>
    </w:p>
    <w:p w:rsidR="00EC2D44" w:rsidRPr="007213D8" w:rsidRDefault="00EC2D44" w:rsidP="00EC2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color w:val="212121"/>
          <w:sz w:val="24"/>
          <w:szCs w:val="24"/>
        </w:rPr>
      </w:pPr>
    </w:p>
    <w:p w:rsidR="00EC2D44" w:rsidRPr="00CD2C3A"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eastAsia="Times New Roman" w:hAnsi="Times New Roman" w:cs="Times New Roman"/>
          <w:color w:val="212121"/>
          <w:sz w:val="24"/>
          <w:szCs w:val="24"/>
        </w:rPr>
      </w:pPr>
      <w:r w:rsidRPr="007213D8">
        <w:rPr>
          <w:rFonts w:ascii="Times New Roman" w:eastAsia="Times New Roman" w:hAnsi="Times New Roman" w:cs="Times New Roman"/>
          <w:color w:val="212121"/>
          <w:sz w:val="24"/>
          <w:szCs w:val="24"/>
        </w:rPr>
        <w:t>Vlera mesatare e përmbajtjes së fosforit total në të dy stacionet e kampionimit është 0.047 mg/l duke i klasifikuar ujërat e kësaj lagune me cilësi eutrofike.</w:t>
      </w:r>
    </w:p>
    <w:p w:rsidR="00EC2D44" w:rsidRPr="007213D8" w:rsidRDefault="00EC2D44" w:rsidP="00EC2D4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i/>
          <w:sz w:val="24"/>
          <w:szCs w:val="24"/>
          <w:lang w:val="sq-AL"/>
        </w:rPr>
      </w:pPr>
      <w:r w:rsidRPr="007213D8">
        <w:rPr>
          <w:rFonts w:ascii="Times New Roman" w:eastAsia="Times New Roman" w:hAnsi="Times New Roman" w:cs="Times New Roman"/>
          <w:bCs/>
          <w:i/>
          <w:sz w:val="24"/>
          <w:szCs w:val="24"/>
          <w:lang w:val="sq-AL"/>
        </w:rPr>
        <w:t>Përmbajtja e TOC</w:t>
      </w: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lang w:val="sq-AL"/>
        </w:rPr>
      </w:pP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4"/>
          <w:szCs w:val="24"/>
          <w:lang w:val="sq-AL"/>
        </w:rPr>
      </w:pPr>
      <w:r w:rsidRPr="007213D8">
        <w:rPr>
          <w:rFonts w:ascii="Times New Roman" w:eastAsia="Times New Roman" w:hAnsi="Times New Roman" w:cs="Times New Roman"/>
          <w:bCs/>
          <w:iCs/>
          <w:sz w:val="24"/>
          <w:szCs w:val="24"/>
          <w:lang w:val="sq-AL"/>
        </w:rPr>
        <w:t>Karboni organik total (TOC) është sasia e karbonit që gjendet në një përbërje organike dhe shpesh përdoret si një tregues jo-specifik i cilësisë së ujit. TOC është masa e pranisë së karbonit organik të tretur dhe grimcor në mostrat e ujit. Ky parametër lidhet me përqendrimet e oksigjenit të tretur në mostrën e ujit. Sa më e madhe të jetë përmbajtja e karbonit ose e lëndës organike, aq më shumë oksigjen konsumohet. Një përmbajtje e lartë organike do të thotë një rritje në rritjen e mikroorganizmave që kontribuojnë në pakësimin e furnizimeve me oksigjen.</w:t>
      </w: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4"/>
          <w:szCs w:val="24"/>
          <w:lang w:val="sq-AL"/>
        </w:rPr>
      </w:pPr>
      <w:r w:rsidRPr="007213D8">
        <w:rPr>
          <w:rFonts w:ascii="Times New Roman" w:eastAsia="Times New Roman" w:hAnsi="Times New Roman" w:cs="Times New Roman"/>
          <w:bCs/>
          <w:iCs/>
          <w:sz w:val="24"/>
          <w:szCs w:val="24"/>
          <w:lang w:val="sq-AL"/>
        </w:rPr>
        <w:t>Përmbajtja e TOC është vlerësuar me në vlerë mesatare 5.7 mg/l duke i klasifikuar stacionet në cilësi të mirë.</w:t>
      </w: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360"/>
        <w:jc w:val="center"/>
        <w:rPr>
          <w:rFonts w:ascii="Times New Roman" w:eastAsia="Times New Roman" w:hAnsi="Times New Roman" w:cs="Times New Roman"/>
          <w:color w:val="212121"/>
          <w:sz w:val="24"/>
          <w:szCs w:val="24"/>
        </w:rPr>
      </w:pPr>
    </w:p>
    <w:p w:rsidR="00EC2D44" w:rsidRPr="007213D8" w:rsidRDefault="00EC2D44" w:rsidP="009C0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b/>
          <w:i/>
          <w:sz w:val="24"/>
          <w:szCs w:val="24"/>
        </w:rPr>
      </w:pPr>
      <w:r w:rsidRPr="007213D8">
        <w:rPr>
          <w:rFonts w:ascii="Times New Roman" w:eastAsia="Times New Roman" w:hAnsi="Times New Roman" w:cs="Times New Roman"/>
          <w:b/>
          <w:i/>
          <w:sz w:val="24"/>
          <w:szCs w:val="24"/>
        </w:rPr>
        <w:t>Referuar të dhënave të ekspeditave të kryera vlerësojmë se ujërat e lagunës së Karavastasë  vlerësohen me përmbajtje të lartë të kërkesës për oksigjen, nitrateve dhe fosforit total duke e vlerësuar këtë lagunë me cilësi eutrofike.</w:t>
      </w:r>
    </w:p>
    <w:p w:rsidR="00EC2D44" w:rsidRPr="007213D8" w:rsidRDefault="00EC2D44" w:rsidP="00EC2D44">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color w:val="222222"/>
          <w:sz w:val="24"/>
          <w:szCs w:val="24"/>
        </w:rPr>
      </w:pPr>
      <w:r w:rsidRPr="007213D8">
        <w:rPr>
          <w:rFonts w:ascii="Times New Roman" w:eastAsia="Times New Roman" w:hAnsi="Times New Roman" w:cs="Times New Roman"/>
          <w:b/>
          <w:color w:val="222222"/>
          <w:sz w:val="24"/>
          <w:szCs w:val="24"/>
        </w:rPr>
        <w:t>Laguna e Nartës</w:t>
      </w: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contextualSpacing/>
        <w:rPr>
          <w:rFonts w:ascii="Times New Roman" w:eastAsia="Times New Roman" w:hAnsi="Times New Roman" w:cs="Times New Roman"/>
          <w:b/>
          <w:color w:val="222222"/>
          <w:sz w:val="24"/>
          <w:szCs w:val="24"/>
        </w:rPr>
      </w:pPr>
    </w:p>
    <w:p w:rsidR="00EC2D44" w:rsidRPr="007213D8" w:rsidRDefault="00EC2D44" w:rsidP="00EC2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Times New Roman" w:eastAsia="Times New Roman" w:hAnsi="Times New Roman" w:cs="Times New Roman"/>
          <w:color w:val="222222"/>
          <w:sz w:val="24"/>
          <w:szCs w:val="24"/>
        </w:rPr>
      </w:pPr>
      <w:r w:rsidRPr="007213D8">
        <w:rPr>
          <w:rFonts w:ascii="Times New Roman" w:eastAsia="Times New Roman" w:hAnsi="Times New Roman" w:cs="Times New Roman"/>
          <w:color w:val="222222"/>
          <w:sz w:val="24"/>
          <w:szCs w:val="24"/>
        </w:rPr>
        <w:t>Laguna e Nartës përfaqëson një nga lagunat më të mëdha e më të rëndësishme të Shqipërisë, e cila shtrihet  në skajin jugor të Ultësirës bregdetare në afërsi të qytetit te Vlorës me një sipërfaqe të përgjithshme 41.8km</w:t>
      </w:r>
      <w:r w:rsidRPr="007213D8">
        <w:rPr>
          <w:rFonts w:ascii="Times New Roman" w:eastAsia="Times New Roman" w:hAnsi="Times New Roman" w:cs="Times New Roman"/>
          <w:color w:val="222222"/>
          <w:sz w:val="24"/>
          <w:szCs w:val="24"/>
          <w:vertAlign w:val="superscript"/>
        </w:rPr>
        <w:t>2</w:t>
      </w:r>
      <w:r w:rsidRPr="007213D8">
        <w:rPr>
          <w:rFonts w:ascii="Times New Roman" w:eastAsia="Times New Roman" w:hAnsi="Times New Roman" w:cs="Times New Roman"/>
          <w:color w:val="222222"/>
          <w:sz w:val="24"/>
          <w:szCs w:val="24"/>
        </w:rPr>
        <w:t>, formuar nga akumulimi i pandërprerë i prurjeve të ngurta të lumit Vjosa.</w:t>
      </w:r>
    </w:p>
    <w:p w:rsidR="00EC2D44" w:rsidRPr="007213D8" w:rsidRDefault="00EC2D44" w:rsidP="00EC2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Times New Roman" w:eastAsia="Times New Roman" w:hAnsi="Times New Roman" w:cs="Times New Roman"/>
          <w:color w:val="222222"/>
          <w:sz w:val="24"/>
          <w:szCs w:val="24"/>
        </w:rPr>
      </w:pPr>
      <w:r w:rsidRPr="007213D8">
        <w:rPr>
          <w:rFonts w:ascii="Times New Roman" w:eastAsia="Times New Roman" w:hAnsi="Times New Roman" w:cs="Times New Roman"/>
          <w:color w:val="222222"/>
          <w:sz w:val="24"/>
          <w:szCs w:val="24"/>
        </w:rPr>
        <w:t>Kjo lagunë monitorohet në 2 pika kampionimi, njëra në Urën e Manastirit dhe tjera në ujëkëmbimin det – lagunë.</w:t>
      </w: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7213D8">
        <w:rPr>
          <w:rFonts w:ascii="Times New Roman" w:eastAsia="Times New Roman" w:hAnsi="Times New Roman" w:cs="Times New Roman"/>
          <w:sz w:val="24"/>
          <w:szCs w:val="24"/>
        </w:rPr>
        <w:t>Uj</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rat e k</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saj lagune paraqesin vler</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mesatare t</w:t>
      </w:r>
      <w:r w:rsidRPr="007213D8">
        <w:rPr>
          <w:rFonts w:ascii="Times New Roman" w:eastAsia="Times New Roman" w:hAnsi="Times New Roman" w:cs="Times New Roman"/>
          <w:bCs/>
          <w:sz w:val="24"/>
          <w:szCs w:val="24"/>
          <w:shd w:val="clear" w:color="auto" w:fill="FFFFFF"/>
        </w:rPr>
        <w:t>ë</w:t>
      </w:r>
      <w:r w:rsidRPr="007213D8">
        <w:rPr>
          <w:rFonts w:ascii="Times New Roman" w:eastAsia="Times New Roman" w:hAnsi="Times New Roman" w:cs="Times New Roman"/>
          <w:sz w:val="24"/>
          <w:szCs w:val="24"/>
        </w:rPr>
        <w:t xml:space="preserve"> pH 8.04.</w:t>
      </w: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EC2D44" w:rsidRPr="007213D8" w:rsidRDefault="00EC2D44" w:rsidP="00EC2D4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imes New Roman" w:eastAsia="Times New Roman" w:hAnsi="Times New Roman" w:cs="Times New Roman"/>
          <w:sz w:val="24"/>
          <w:szCs w:val="24"/>
          <w:lang w:val="da-DK"/>
        </w:rPr>
      </w:pPr>
      <w:r w:rsidRPr="007213D8">
        <w:rPr>
          <w:rFonts w:ascii="Times New Roman" w:eastAsia="Times New Roman" w:hAnsi="Times New Roman" w:cs="Times New Roman"/>
          <w:sz w:val="24"/>
          <w:szCs w:val="24"/>
          <w:lang w:val="da-DK"/>
        </w:rPr>
        <w:t xml:space="preserve">Oksigjeni i tretur </w:t>
      </w: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sq-AL"/>
        </w:rPr>
      </w:pPr>
      <w:r w:rsidRPr="007213D8">
        <w:rPr>
          <w:rFonts w:ascii="Times New Roman" w:eastAsia="Times New Roman" w:hAnsi="Times New Roman" w:cs="Times New Roman"/>
          <w:sz w:val="24"/>
          <w:szCs w:val="24"/>
          <w:lang w:val="sq-AL"/>
        </w:rPr>
        <w:t xml:space="preserve">Në të dy stacionet e monitoruar </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sht</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 xml:space="preserve"> vler</w:t>
      </w:r>
      <w:r w:rsidRPr="007213D8">
        <w:rPr>
          <w:rFonts w:ascii="Times New Roman" w:eastAsia="Times New Roman" w:hAnsi="Times New Roman" w:cs="Times New Roman"/>
          <w:bCs/>
          <w:color w:val="222222"/>
          <w:sz w:val="24"/>
          <w:szCs w:val="24"/>
          <w:shd w:val="clear" w:color="auto" w:fill="FFFFFF"/>
        </w:rPr>
        <w:t>ë</w:t>
      </w:r>
      <w:r w:rsidRPr="007213D8">
        <w:rPr>
          <w:rFonts w:ascii="Times New Roman" w:eastAsia="Times New Roman" w:hAnsi="Times New Roman" w:cs="Times New Roman"/>
          <w:sz w:val="24"/>
          <w:szCs w:val="24"/>
          <w:lang w:val="sq-AL"/>
        </w:rPr>
        <w:t xml:space="preserve">suar përmbajtja e oksigjenit të tretur me një vlerë mesatare 8.4 mg/l.  </w:t>
      </w: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eastAsia="Times New Roman" w:hAnsi="Times New Roman" w:cs="Times New Roman"/>
          <w:sz w:val="24"/>
          <w:szCs w:val="24"/>
        </w:rPr>
      </w:pPr>
    </w:p>
    <w:p w:rsidR="00EC2D44" w:rsidRPr="007213D8" w:rsidRDefault="00EC2D44" w:rsidP="00EC2D44">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7213D8">
        <w:rPr>
          <w:rFonts w:ascii="Times New Roman" w:eastAsia="Times New Roman" w:hAnsi="Times New Roman" w:cs="Times New Roman"/>
          <w:color w:val="212121"/>
          <w:sz w:val="24"/>
          <w:szCs w:val="24"/>
        </w:rPr>
        <w:t>Nevoja kimike p</w:t>
      </w:r>
      <w:r w:rsidRPr="007213D8">
        <w:rPr>
          <w:rFonts w:ascii="Times New Roman" w:eastAsia="Times New Roman" w:hAnsi="Times New Roman" w:cs="Times New Roman"/>
          <w:color w:val="222222"/>
          <w:sz w:val="24"/>
          <w:szCs w:val="24"/>
        </w:rPr>
        <w:t>ë</w:t>
      </w:r>
      <w:r w:rsidRPr="007213D8">
        <w:rPr>
          <w:rFonts w:ascii="Times New Roman" w:eastAsia="Times New Roman" w:hAnsi="Times New Roman" w:cs="Times New Roman"/>
          <w:color w:val="212121"/>
          <w:sz w:val="24"/>
          <w:szCs w:val="24"/>
        </w:rPr>
        <w:t>r oksigjen</w:t>
      </w: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sz w:val="24"/>
          <w:szCs w:val="24"/>
          <w:lang w:val="sq-AL"/>
        </w:rPr>
      </w:pPr>
      <w:r w:rsidRPr="007213D8">
        <w:rPr>
          <w:rFonts w:ascii="Times New Roman" w:eastAsia="Times New Roman" w:hAnsi="Times New Roman" w:cs="Times New Roman"/>
          <w:sz w:val="24"/>
          <w:szCs w:val="24"/>
          <w:lang w:val="sq-AL"/>
        </w:rPr>
        <w:t>P</w:t>
      </w:r>
      <w:r w:rsidRPr="007213D8">
        <w:rPr>
          <w:rFonts w:ascii="Times New Roman" w:eastAsia="Times New Roman" w:hAnsi="Times New Roman" w:cs="Times New Roman"/>
          <w:color w:val="222222"/>
          <w:sz w:val="24"/>
          <w:szCs w:val="24"/>
        </w:rPr>
        <w:t>ë</w:t>
      </w:r>
      <w:r w:rsidRPr="007213D8">
        <w:rPr>
          <w:rFonts w:ascii="Times New Roman" w:eastAsia="Times New Roman" w:hAnsi="Times New Roman" w:cs="Times New Roman"/>
          <w:sz w:val="24"/>
          <w:szCs w:val="24"/>
          <w:lang w:val="sq-AL"/>
        </w:rPr>
        <w:t xml:space="preserve">rmbajtja e NKO </w:t>
      </w:r>
      <w:r w:rsidRPr="007213D8">
        <w:rPr>
          <w:rFonts w:ascii="Times New Roman" w:eastAsia="Times New Roman" w:hAnsi="Times New Roman" w:cs="Times New Roman"/>
          <w:color w:val="222222"/>
          <w:sz w:val="24"/>
          <w:szCs w:val="24"/>
        </w:rPr>
        <w:t>ë</w:t>
      </w:r>
      <w:r w:rsidRPr="007213D8">
        <w:rPr>
          <w:rFonts w:ascii="Times New Roman" w:eastAsia="Times New Roman" w:hAnsi="Times New Roman" w:cs="Times New Roman"/>
          <w:sz w:val="24"/>
          <w:szCs w:val="24"/>
          <w:lang w:val="sq-AL"/>
        </w:rPr>
        <w:t>sht</w:t>
      </w:r>
      <w:r w:rsidRPr="007213D8">
        <w:rPr>
          <w:rFonts w:ascii="Times New Roman" w:eastAsia="Times New Roman" w:hAnsi="Times New Roman" w:cs="Times New Roman"/>
          <w:color w:val="222222"/>
          <w:sz w:val="24"/>
          <w:szCs w:val="24"/>
        </w:rPr>
        <w:t>ë</w:t>
      </w:r>
      <w:r w:rsidRPr="007213D8">
        <w:rPr>
          <w:rFonts w:ascii="Times New Roman" w:eastAsia="Times New Roman" w:hAnsi="Times New Roman" w:cs="Times New Roman"/>
          <w:sz w:val="24"/>
          <w:szCs w:val="24"/>
          <w:lang w:val="sq-AL"/>
        </w:rPr>
        <w:t xml:space="preserve"> vler</w:t>
      </w:r>
      <w:r w:rsidRPr="007213D8">
        <w:rPr>
          <w:rFonts w:ascii="Times New Roman" w:eastAsia="Times New Roman" w:hAnsi="Times New Roman" w:cs="Times New Roman"/>
          <w:color w:val="222222"/>
          <w:sz w:val="24"/>
          <w:szCs w:val="24"/>
        </w:rPr>
        <w:t>ë</w:t>
      </w:r>
      <w:r w:rsidRPr="007213D8">
        <w:rPr>
          <w:rFonts w:ascii="Times New Roman" w:eastAsia="Times New Roman" w:hAnsi="Times New Roman" w:cs="Times New Roman"/>
          <w:sz w:val="24"/>
          <w:szCs w:val="24"/>
          <w:lang w:val="sq-AL"/>
        </w:rPr>
        <w:t>suar me nj</w:t>
      </w:r>
      <w:r w:rsidRPr="007213D8">
        <w:rPr>
          <w:rFonts w:ascii="Times New Roman" w:eastAsia="Times New Roman" w:hAnsi="Times New Roman" w:cs="Times New Roman"/>
          <w:color w:val="222222"/>
          <w:sz w:val="24"/>
          <w:szCs w:val="24"/>
        </w:rPr>
        <w:t>ë</w:t>
      </w:r>
      <w:r w:rsidRPr="007213D8">
        <w:rPr>
          <w:rFonts w:ascii="Times New Roman" w:eastAsia="Times New Roman" w:hAnsi="Times New Roman" w:cs="Times New Roman"/>
          <w:sz w:val="24"/>
          <w:szCs w:val="24"/>
          <w:lang w:val="sq-AL"/>
        </w:rPr>
        <w:t xml:space="preserve"> vler</w:t>
      </w:r>
      <w:r w:rsidRPr="007213D8">
        <w:rPr>
          <w:rFonts w:ascii="Times New Roman" w:eastAsia="Times New Roman" w:hAnsi="Times New Roman" w:cs="Times New Roman"/>
          <w:color w:val="222222"/>
          <w:sz w:val="24"/>
          <w:szCs w:val="24"/>
        </w:rPr>
        <w:t>ë</w:t>
      </w:r>
      <w:r w:rsidRPr="007213D8">
        <w:rPr>
          <w:rFonts w:ascii="Times New Roman" w:eastAsia="Times New Roman" w:hAnsi="Times New Roman" w:cs="Times New Roman"/>
          <w:sz w:val="24"/>
          <w:szCs w:val="24"/>
          <w:lang w:val="sq-AL"/>
        </w:rPr>
        <w:t xml:space="preserve"> mesatare t</w:t>
      </w:r>
      <w:r w:rsidRPr="007213D8">
        <w:rPr>
          <w:rFonts w:ascii="Times New Roman" w:eastAsia="Times New Roman" w:hAnsi="Times New Roman" w:cs="Times New Roman"/>
          <w:color w:val="222222"/>
          <w:sz w:val="24"/>
          <w:szCs w:val="24"/>
        </w:rPr>
        <w:t>ë</w:t>
      </w:r>
      <w:r w:rsidRPr="007213D8">
        <w:rPr>
          <w:rFonts w:ascii="Times New Roman" w:eastAsia="Times New Roman" w:hAnsi="Times New Roman" w:cs="Times New Roman"/>
          <w:sz w:val="24"/>
          <w:szCs w:val="24"/>
          <w:lang w:val="sq-AL"/>
        </w:rPr>
        <w:t xml:space="preserve"> t</w:t>
      </w:r>
      <w:r w:rsidRPr="007213D8">
        <w:rPr>
          <w:rFonts w:ascii="Times New Roman" w:eastAsia="Times New Roman" w:hAnsi="Times New Roman" w:cs="Times New Roman"/>
          <w:color w:val="222222"/>
          <w:sz w:val="24"/>
          <w:szCs w:val="24"/>
        </w:rPr>
        <w:t>ë</w:t>
      </w:r>
      <w:r w:rsidRPr="007213D8">
        <w:rPr>
          <w:rFonts w:ascii="Times New Roman" w:eastAsia="Times New Roman" w:hAnsi="Times New Roman" w:cs="Times New Roman"/>
          <w:sz w:val="24"/>
          <w:szCs w:val="24"/>
          <w:lang w:val="sq-AL"/>
        </w:rPr>
        <w:t xml:space="preserve"> dy stacioneve t</w:t>
      </w:r>
      <w:r w:rsidRPr="007213D8">
        <w:rPr>
          <w:rFonts w:ascii="Times New Roman" w:eastAsia="Times New Roman" w:hAnsi="Times New Roman" w:cs="Times New Roman"/>
          <w:color w:val="222222"/>
          <w:sz w:val="24"/>
          <w:szCs w:val="24"/>
        </w:rPr>
        <w:t>ë</w:t>
      </w:r>
      <w:r w:rsidRPr="007213D8">
        <w:rPr>
          <w:rFonts w:ascii="Times New Roman" w:eastAsia="Times New Roman" w:hAnsi="Times New Roman" w:cs="Times New Roman"/>
          <w:sz w:val="24"/>
          <w:szCs w:val="24"/>
          <w:lang w:val="sq-AL"/>
        </w:rPr>
        <w:t xml:space="preserve"> kampionimit 13.5 mgO/l duke i klasifikuar uj</w:t>
      </w:r>
      <w:r w:rsidRPr="007213D8">
        <w:rPr>
          <w:rFonts w:ascii="Times New Roman" w:eastAsia="Times New Roman" w:hAnsi="Times New Roman" w:cs="Times New Roman"/>
          <w:color w:val="222222"/>
          <w:sz w:val="24"/>
          <w:szCs w:val="24"/>
        </w:rPr>
        <w:t>ë</w:t>
      </w:r>
      <w:r w:rsidRPr="007213D8">
        <w:rPr>
          <w:rFonts w:ascii="Times New Roman" w:eastAsia="Times New Roman" w:hAnsi="Times New Roman" w:cs="Times New Roman"/>
          <w:sz w:val="24"/>
          <w:szCs w:val="24"/>
          <w:lang w:val="sq-AL"/>
        </w:rPr>
        <w:t>rat t</w:t>
      </w:r>
      <w:r w:rsidRPr="007213D8">
        <w:rPr>
          <w:rFonts w:ascii="Times New Roman" w:eastAsia="Times New Roman" w:hAnsi="Times New Roman" w:cs="Times New Roman"/>
          <w:color w:val="222222"/>
          <w:sz w:val="24"/>
          <w:szCs w:val="24"/>
        </w:rPr>
        <w:t>ë</w:t>
      </w:r>
      <w:r w:rsidRPr="007213D8">
        <w:rPr>
          <w:rFonts w:ascii="Times New Roman" w:eastAsia="Times New Roman" w:hAnsi="Times New Roman" w:cs="Times New Roman"/>
          <w:sz w:val="24"/>
          <w:szCs w:val="24"/>
          <w:lang w:val="sq-AL"/>
        </w:rPr>
        <w:t xml:space="preserve"> cil</w:t>
      </w:r>
      <w:r w:rsidRPr="007213D8">
        <w:rPr>
          <w:rFonts w:ascii="Times New Roman" w:eastAsia="Times New Roman" w:hAnsi="Times New Roman" w:cs="Times New Roman"/>
          <w:color w:val="222222"/>
          <w:sz w:val="24"/>
          <w:szCs w:val="24"/>
        </w:rPr>
        <w:t>ë</w:t>
      </w:r>
      <w:r w:rsidRPr="007213D8">
        <w:rPr>
          <w:rFonts w:ascii="Times New Roman" w:eastAsia="Times New Roman" w:hAnsi="Times New Roman" w:cs="Times New Roman"/>
          <w:sz w:val="24"/>
          <w:szCs w:val="24"/>
          <w:lang w:val="sq-AL"/>
        </w:rPr>
        <w:t>sis</w:t>
      </w:r>
      <w:r w:rsidRPr="007213D8">
        <w:rPr>
          <w:rFonts w:ascii="Times New Roman" w:eastAsia="Times New Roman" w:hAnsi="Times New Roman" w:cs="Times New Roman"/>
          <w:color w:val="222222"/>
          <w:sz w:val="24"/>
          <w:szCs w:val="24"/>
        </w:rPr>
        <w:t>ë</w:t>
      </w:r>
      <w:r w:rsidRPr="007213D8">
        <w:rPr>
          <w:rFonts w:ascii="Times New Roman" w:eastAsia="Times New Roman" w:hAnsi="Times New Roman" w:cs="Times New Roman"/>
          <w:sz w:val="24"/>
          <w:szCs w:val="24"/>
          <w:lang w:val="sq-AL"/>
        </w:rPr>
        <w:t xml:space="preserve"> eutrofike.</w:t>
      </w: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eastAsia="Times New Roman" w:hAnsi="Times New Roman" w:cs="Times New Roman"/>
          <w:sz w:val="24"/>
          <w:szCs w:val="24"/>
          <w:lang w:val="sq-AL"/>
        </w:rPr>
      </w:pPr>
      <w:r w:rsidRPr="007213D8">
        <w:rPr>
          <w:rFonts w:ascii="Calibri" w:eastAsia="Times New Roman" w:hAnsi="Calibri" w:cs="Times New Roman"/>
          <w:noProof/>
        </w:rPr>
        <w:lastRenderedPageBreak/>
        <w:drawing>
          <wp:inline distT="0" distB="0" distL="0" distR="0" wp14:anchorId="7386B148" wp14:editId="114C090D">
            <wp:extent cx="2762250" cy="2219325"/>
            <wp:effectExtent l="0" t="0" r="0" b="9525"/>
            <wp:docPr id="74" name="Picture 5">
              <a:extLst xmlns:a="http://schemas.openxmlformats.org/drawingml/2006/main">
                <a:ext uri="{FF2B5EF4-FFF2-40B4-BE49-F238E27FC236}">
                  <a16:creationId xmlns:a16="http://schemas.microsoft.com/office/drawing/2014/main" id="{FF7BB9B3-6073-482E-BEBB-4985FFF577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inline>
        </w:drawing>
      </w:r>
      <w:r>
        <w:rPr>
          <w:rFonts w:ascii="Times New Roman" w:eastAsia="Times New Roman" w:hAnsi="Times New Roman" w:cs="Times New Roman"/>
          <w:sz w:val="24"/>
          <w:szCs w:val="24"/>
          <w:lang w:val="sq-AL"/>
        </w:rPr>
        <w:t xml:space="preserve">  </w:t>
      </w:r>
      <w:r w:rsidRPr="007213D8">
        <w:rPr>
          <w:rFonts w:ascii="Calibri" w:eastAsia="Times New Roman" w:hAnsi="Calibri" w:cs="Times New Roman"/>
          <w:noProof/>
        </w:rPr>
        <w:drawing>
          <wp:inline distT="0" distB="0" distL="0" distR="0" wp14:anchorId="2D03EECC" wp14:editId="0AECCEFF">
            <wp:extent cx="3048000" cy="2181225"/>
            <wp:effectExtent l="0" t="0" r="0" b="9525"/>
            <wp:docPr id="75" name="Picture 6">
              <a:extLst xmlns:a="http://schemas.openxmlformats.org/drawingml/2006/main">
                <a:ext uri="{FF2B5EF4-FFF2-40B4-BE49-F238E27FC236}">
                  <a16:creationId xmlns:a16="http://schemas.microsoft.com/office/drawing/2014/main" id="{0E19A1BD-DFF5-4A9D-8017-301697E5CC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9"/>
              </a:graphicData>
            </a:graphic>
          </wp:inline>
        </w:drawing>
      </w:r>
    </w:p>
    <w:p w:rsidR="00EC2D44" w:rsidRPr="007213D8" w:rsidRDefault="00EC2D44" w:rsidP="00EC2D44">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7213D8">
        <w:rPr>
          <w:rFonts w:ascii="Times New Roman" w:eastAsia="Times New Roman" w:hAnsi="Times New Roman" w:cs="Times New Roman"/>
          <w:color w:val="212121"/>
          <w:sz w:val="24"/>
          <w:szCs w:val="24"/>
        </w:rPr>
        <w:t>Nevoja biokimike për oksigjen</w:t>
      </w: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sz w:val="24"/>
          <w:szCs w:val="24"/>
          <w:lang w:val="da-DK"/>
        </w:rPr>
      </w:pPr>
      <w:r w:rsidRPr="007213D8">
        <w:rPr>
          <w:rFonts w:ascii="Times New Roman" w:eastAsia="Times New Roman" w:hAnsi="Times New Roman" w:cs="Times New Roman"/>
          <w:sz w:val="24"/>
          <w:szCs w:val="24"/>
          <w:lang w:val="da-DK"/>
        </w:rPr>
        <w:t>P</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rmbajtja e Nevoj</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s Biokimike p</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 xml:space="preserve">r Oksigjen </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sht</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 xml:space="preserve"> vler</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suar 8 mgO/l duke e klasifikuar k</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t</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 xml:space="preserve"> lagun</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 xml:space="preserve"> me cil</w:t>
      </w:r>
      <w:r w:rsidRPr="007213D8">
        <w:rPr>
          <w:rFonts w:ascii="Times New Roman" w:eastAsia="Times New Roman" w:hAnsi="Times New Roman" w:cs="Times New Roman"/>
          <w:color w:val="212121"/>
          <w:sz w:val="24"/>
          <w:szCs w:val="24"/>
        </w:rPr>
        <w:t>ë</w:t>
      </w:r>
      <w:r w:rsidRPr="007213D8">
        <w:rPr>
          <w:rFonts w:ascii="Times New Roman" w:eastAsia="Times New Roman" w:hAnsi="Times New Roman" w:cs="Times New Roman"/>
          <w:sz w:val="24"/>
          <w:szCs w:val="24"/>
          <w:lang w:val="da-DK"/>
        </w:rPr>
        <w:t>si eutrofike.</w:t>
      </w:r>
    </w:p>
    <w:p w:rsidR="00EC2D44" w:rsidRPr="007213D8" w:rsidRDefault="00EC2D44" w:rsidP="00EC2D44">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7213D8">
        <w:rPr>
          <w:rFonts w:ascii="Times New Roman" w:eastAsia="Times New Roman" w:hAnsi="Times New Roman" w:cs="Times New Roman"/>
          <w:color w:val="212121"/>
          <w:sz w:val="24"/>
          <w:szCs w:val="24"/>
        </w:rPr>
        <w:t>Përmbajtja e nitrateve</w:t>
      </w:r>
    </w:p>
    <w:p w:rsidR="00EC2D44" w:rsidRDefault="00EC2D44" w:rsidP="00EC2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7213D8">
        <w:rPr>
          <w:rFonts w:ascii="Times New Roman" w:eastAsia="Times New Roman" w:hAnsi="Times New Roman" w:cs="Times New Roman"/>
          <w:color w:val="212121"/>
          <w:sz w:val="24"/>
          <w:szCs w:val="24"/>
        </w:rPr>
        <w:t xml:space="preserve">Ky parametër rezulton brenda vlerave limite të lejuara në vlerën 0.47 mg/l (&lt;1 mg/l). </w:t>
      </w:r>
    </w:p>
    <w:p w:rsidR="00EC2D44" w:rsidRPr="007213D8" w:rsidRDefault="00EC2D44" w:rsidP="00200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eastAsia="Times New Roman" w:hAnsi="Times New Roman" w:cs="Times New Roman"/>
          <w:color w:val="212121"/>
          <w:sz w:val="24"/>
          <w:szCs w:val="24"/>
        </w:rPr>
      </w:pP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360"/>
        <w:rPr>
          <w:rFonts w:ascii="Times New Roman" w:eastAsia="Times New Roman" w:hAnsi="Times New Roman" w:cs="Times New Roman"/>
          <w:b/>
          <w:color w:val="212121"/>
          <w:sz w:val="24"/>
          <w:szCs w:val="24"/>
        </w:rPr>
      </w:pPr>
      <w:r>
        <w:rPr>
          <w:rFonts w:ascii="Calibri" w:eastAsia="Times New Roman" w:hAnsi="Calibri" w:cs="Times New Roman"/>
          <w:noProof/>
        </w:rPr>
        <mc:AlternateContent>
          <mc:Choice Requires="wps">
            <w:drawing>
              <wp:anchor distT="0" distB="0" distL="114300" distR="114300" simplePos="0" relativeHeight="251682304" behindDoc="0" locked="0" layoutInCell="1" allowOverlap="1" wp14:anchorId="39CDB9AB" wp14:editId="2458B555">
                <wp:simplePos x="0" y="0"/>
                <wp:positionH relativeFrom="margin">
                  <wp:align>right</wp:align>
                </wp:positionH>
                <wp:positionV relativeFrom="paragraph">
                  <wp:posOffset>338455</wp:posOffset>
                </wp:positionV>
                <wp:extent cx="2019300" cy="1581150"/>
                <wp:effectExtent l="0" t="0" r="19050" b="19050"/>
                <wp:wrapNone/>
                <wp:docPr id="504" name="Rectangle 504"/>
                <wp:cNvGraphicFramePr/>
                <a:graphic xmlns:a="http://schemas.openxmlformats.org/drawingml/2006/main">
                  <a:graphicData uri="http://schemas.microsoft.com/office/word/2010/wordprocessingShape">
                    <wps:wsp>
                      <wps:cNvSpPr/>
                      <wps:spPr>
                        <a:xfrm>
                          <a:off x="0" y="0"/>
                          <a:ext cx="2019300" cy="1581150"/>
                        </a:xfrm>
                        <a:prstGeom prst="rect">
                          <a:avLst/>
                        </a:prstGeom>
                        <a:solidFill>
                          <a:sysClr val="window" lastClr="FFFFFF"/>
                        </a:solidFill>
                        <a:ln w="12700" cap="flat" cmpd="sng" algn="ctr">
                          <a:solidFill>
                            <a:srgbClr val="70AD47"/>
                          </a:solidFill>
                          <a:prstDash val="solid"/>
                          <a:miter lim="800000"/>
                        </a:ln>
                        <a:effectLst/>
                      </wps:spPr>
                      <wps:txbx>
                        <w:txbxContent>
                          <w:p w:rsidR="0064059F" w:rsidRPr="007213D8" w:rsidRDefault="0064059F" w:rsidP="00EC2D44">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r w:rsidRPr="007213D8">
                              <w:rPr>
                                <w:rFonts w:ascii="Times New Roman" w:eastAsia="Times New Roman" w:hAnsi="Times New Roman" w:cs="Times New Roman"/>
                                <w:color w:val="212121"/>
                                <w:sz w:val="24"/>
                                <w:szCs w:val="24"/>
                              </w:rPr>
                              <w:t>Përmbajtja e fosforit total</w:t>
                            </w:r>
                          </w:p>
                          <w:p w:rsidR="0064059F" w:rsidRPr="007213D8" w:rsidRDefault="0064059F" w:rsidP="00EC2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212121"/>
                                <w:sz w:val="24"/>
                                <w:szCs w:val="24"/>
                              </w:rPr>
                            </w:pPr>
                          </w:p>
                          <w:p w:rsidR="0064059F" w:rsidRDefault="0064059F" w:rsidP="00EC2D44">
                            <w:pPr>
                              <w:jc w:val="both"/>
                            </w:pPr>
                            <w:r w:rsidRPr="007213D8">
                              <w:rPr>
                                <w:rFonts w:ascii="Times New Roman" w:eastAsia="Times New Roman" w:hAnsi="Times New Roman" w:cs="Times New Roman"/>
                                <w:color w:val="212121"/>
                                <w:sz w:val="24"/>
                                <w:szCs w:val="24"/>
                              </w:rPr>
                              <w:t>Vlera mesatare e përmbajtjes së fosforit total në të dy stacionet e kampionimit është 0.021 mg/l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DB9AB" id="Rectangle 504" o:spid="_x0000_s1110" style="position:absolute;left:0;text-align:left;margin-left:107.8pt;margin-top:26.65pt;width:159pt;height:124.5pt;z-index:251682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" fillcolor="window" strokecolor="#70ad47" strokeweight="1pt">
                <v:textbox>
                  <w:txbxContent>
                    <w:p w:rsidR="0064059F" w:rsidRPr="007213D8" w:rsidRDefault="0064059F" w:rsidP="00EC2D44">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r w:rsidRPr="007213D8">
                        <w:rPr>
                          <w:rFonts w:ascii="Times New Roman" w:eastAsia="Times New Roman" w:hAnsi="Times New Roman" w:cs="Times New Roman"/>
                          <w:color w:val="212121"/>
                          <w:sz w:val="24"/>
                          <w:szCs w:val="24"/>
                        </w:rPr>
                        <w:t>Përmbajtja e fosforit total</w:t>
                      </w:r>
                    </w:p>
                    <w:p w:rsidR="0064059F" w:rsidRPr="007213D8" w:rsidRDefault="0064059F" w:rsidP="00EC2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212121"/>
                          <w:sz w:val="24"/>
                          <w:szCs w:val="24"/>
                        </w:rPr>
                      </w:pPr>
                    </w:p>
                    <w:p w:rsidR="0064059F" w:rsidRDefault="0064059F" w:rsidP="00EC2D44">
                      <w:pPr>
                        <w:jc w:val="both"/>
                      </w:pPr>
                      <w:r w:rsidRPr="007213D8">
                        <w:rPr>
                          <w:rFonts w:ascii="Times New Roman" w:eastAsia="Times New Roman" w:hAnsi="Times New Roman" w:cs="Times New Roman"/>
                          <w:color w:val="212121"/>
                          <w:sz w:val="24"/>
                          <w:szCs w:val="24"/>
                        </w:rPr>
                        <w:t>Vlera mesatare e përmbajtjes së fosforit total në të dy stacionet e kampionimit është 0.021 mg/l</w:t>
                      </w:r>
                    </w:p>
                  </w:txbxContent>
                </v:textbox>
                <w10:wrap anchorx="margin"/>
              </v:rect>
            </w:pict>
          </mc:Fallback>
        </mc:AlternateContent>
      </w:r>
      <w:r w:rsidRPr="007213D8">
        <w:rPr>
          <w:rFonts w:ascii="Calibri" w:eastAsia="Times New Roman" w:hAnsi="Calibri" w:cs="Times New Roman"/>
          <w:noProof/>
        </w:rPr>
        <w:drawing>
          <wp:inline distT="0" distB="0" distL="0" distR="0" wp14:anchorId="7A313A0B" wp14:editId="4D8CB2BA">
            <wp:extent cx="3571875" cy="2162175"/>
            <wp:effectExtent l="0" t="0" r="9525" b="9525"/>
            <wp:docPr id="76" name="Chart 1">
              <a:extLst xmlns:a="http://schemas.openxmlformats.org/drawingml/2006/main">
                <a:ext uri="{FF2B5EF4-FFF2-40B4-BE49-F238E27FC236}">
                  <a16:creationId xmlns:a16="http://schemas.microsoft.com/office/drawing/2014/main" id="{282B7291-56CD-4C19-8CC1-D87201499F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0"/>
              </a:graphicData>
            </a:graphic>
          </wp:inline>
        </w:drawing>
      </w:r>
      <w:r>
        <w:rPr>
          <w:rFonts w:ascii="Times New Roman" w:eastAsia="Times New Roman" w:hAnsi="Times New Roman" w:cs="Times New Roman"/>
          <w:b/>
          <w:color w:val="212121"/>
          <w:sz w:val="24"/>
          <w:szCs w:val="24"/>
        </w:rPr>
        <w:t xml:space="preserve">  </w:t>
      </w:r>
    </w:p>
    <w:p w:rsidR="00EC2D44" w:rsidRPr="007213D8" w:rsidRDefault="00EC2D44" w:rsidP="00EC2D4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i/>
          <w:sz w:val="24"/>
          <w:szCs w:val="24"/>
          <w:lang w:val="sq-AL"/>
        </w:rPr>
      </w:pPr>
      <w:r w:rsidRPr="007213D8">
        <w:rPr>
          <w:rFonts w:ascii="Times New Roman" w:eastAsia="Times New Roman" w:hAnsi="Times New Roman" w:cs="Times New Roman"/>
          <w:bCs/>
          <w:i/>
          <w:sz w:val="24"/>
          <w:szCs w:val="24"/>
          <w:lang w:val="sq-AL"/>
        </w:rPr>
        <w:t>Përmbajtja e TOC</w:t>
      </w: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lang w:val="sq-AL"/>
        </w:rPr>
      </w:pP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4"/>
          <w:szCs w:val="24"/>
          <w:lang w:val="sq-AL"/>
        </w:rPr>
      </w:pPr>
      <w:r w:rsidRPr="007213D8">
        <w:rPr>
          <w:rFonts w:ascii="Times New Roman" w:eastAsia="Times New Roman" w:hAnsi="Times New Roman" w:cs="Times New Roman"/>
          <w:bCs/>
          <w:iCs/>
          <w:sz w:val="24"/>
          <w:szCs w:val="24"/>
          <w:lang w:val="sq-AL"/>
        </w:rPr>
        <w:t>Karboni organik total (TOC) është sasia e karbonit që gjendet në një përbërje organike dhe shpesh përdoret si një tregues jo-specifik i cilësisë së ujit. TOC është masa e pranisë së karbonit organik të tretur dhe grimcor në mostrat e ujit. Ky parametër lidhet me përqendrimet e oksigjenit të tretur në mostrën e ujit. Sa më e madhe të jetë përmbajtja e karbonit ose e lëndës organike, aq më shumë oksigjen konsumohet. Një përmbajtje e lartë organike do të thotë një rritje në rritjen e mikroorganizmave që kontribuojnë në pakësimin e furnizimeve me oksigjen.</w:t>
      </w: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4"/>
          <w:szCs w:val="24"/>
          <w:lang w:val="sq-AL"/>
        </w:rPr>
      </w:pPr>
      <w:r w:rsidRPr="007213D8">
        <w:rPr>
          <w:rFonts w:ascii="Times New Roman" w:eastAsia="Times New Roman" w:hAnsi="Times New Roman" w:cs="Times New Roman"/>
          <w:bCs/>
          <w:iCs/>
          <w:sz w:val="24"/>
          <w:szCs w:val="24"/>
          <w:lang w:val="sq-AL"/>
        </w:rPr>
        <w:t>Përmbajtja e TOC është vlerësuar me një vlerë mesatare 6.8 mg/l duke i klasifikuar stacionet në cilësi jo të mirë.</w:t>
      </w: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p>
    <w:p w:rsidR="00EC2D44"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i/>
          <w:sz w:val="24"/>
          <w:szCs w:val="24"/>
        </w:rPr>
      </w:pPr>
      <w:r w:rsidRPr="007213D8">
        <w:rPr>
          <w:rFonts w:ascii="Times New Roman" w:eastAsia="Times New Roman" w:hAnsi="Times New Roman" w:cs="Times New Roman"/>
          <w:b/>
          <w:i/>
          <w:sz w:val="24"/>
          <w:szCs w:val="24"/>
        </w:rPr>
        <w:lastRenderedPageBreak/>
        <w:t xml:space="preserve">Referuar të dhënave të mësipërme  vlerësojmë se ujërat e Lagunës së Nartës vlerësohen me përmbajtje të lartë të nevojës kimike dhe biokimike për oksigjen duke e klasifikuar këtë lagunë me cilësi eutrofike. </w:t>
      </w:r>
    </w:p>
    <w:p w:rsidR="00EC2D44" w:rsidRPr="007213D8" w:rsidRDefault="00EC2D44" w:rsidP="00EC2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i/>
          <w:sz w:val="24"/>
          <w:szCs w:val="24"/>
        </w:rPr>
      </w:pPr>
    </w:p>
    <w:p w:rsidR="00EC2D44" w:rsidRPr="00F07BB2" w:rsidRDefault="00EC2D44" w:rsidP="00807975">
      <w:pPr>
        <w:pStyle w:val="ListParagraph"/>
        <w:numPr>
          <w:ilvl w:val="0"/>
          <w:numId w:val="84"/>
        </w:numPr>
        <w:tabs>
          <w:tab w:val="left" w:pos="720"/>
        </w:tabs>
        <w:spacing w:after="200" w:line="276" w:lineRule="auto"/>
        <w:jc w:val="both"/>
        <w:rPr>
          <w:rFonts w:ascii="Times New Roman" w:eastAsia="Calibri" w:hAnsi="Times New Roman" w:cs="Times New Roman"/>
          <w:b/>
          <w:sz w:val="24"/>
          <w:szCs w:val="24"/>
        </w:rPr>
      </w:pPr>
      <w:r w:rsidRPr="00F07BB2">
        <w:rPr>
          <w:rFonts w:ascii="Times New Roman" w:eastAsia="Calibri" w:hAnsi="Times New Roman" w:cs="Times New Roman"/>
          <w:b/>
          <w:sz w:val="24"/>
          <w:szCs w:val="24"/>
        </w:rPr>
        <w:t xml:space="preserve">Laguna e Butrintit </w:t>
      </w:r>
    </w:p>
    <w:p w:rsidR="00EC2D44" w:rsidRPr="000B7598" w:rsidRDefault="00EC2D44" w:rsidP="00CC7B15">
      <w:pPr>
        <w:spacing w:after="0" w:line="240" w:lineRule="auto"/>
        <w:jc w:val="both"/>
        <w:rPr>
          <w:rFonts w:ascii="Times New Roman" w:eastAsia="Calibri" w:hAnsi="Times New Roman" w:cs="Times New Roman"/>
          <w:color w:val="222222"/>
          <w:sz w:val="24"/>
          <w:szCs w:val="24"/>
        </w:rPr>
      </w:pPr>
      <w:r w:rsidRPr="000B7598">
        <w:rPr>
          <w:rFonts w:ascii="Times New Roman" w:eastAsia="Calibri" w:hAnsi="Times New Roman" w:cs="Times New Roman"/>
          <w:b/>
          <w:sz w:val="24"/>
          <w:szCs w:val="24"/>
          <w:lang w:val="sq-AL"/>
        </w:rPr>
        <w:t xml:space="preserve">Laguna e Butrintit </w:t>
      </w:r>
      <w:r w:rsidRPr="000B7598">
        <w:rPr>
          <w:rFonts w:ascii="Times New Roman" w:eastAsia="Calibri" w:hAnsi="Times New Roman" w:cs="Times New Roman"/>
          <w:sz w:val="24"/>
          <w:szCs w:val="24"/>
          <w:lang w:val="sq-AL"/>
        </w:rPr>
        <w:t>ndodhet n</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sq-AL"/>
        </w:rPr>
        <w:t xml:space="preserve"> </w:t>
      </w:r>
      <w:r w:rsidRPr="000B7598">
        <w:rPr>
          <w:rFonts w:ascii="Times New Roman" w:eastAsia="Calibri" w:hAnsi="Times New Roman" w:cs="Times New Roman"/>
          <w:color w:val="222222"/>
          <w:sz w:val="24"/>
          <w:szCs w:val="24"/>
        </w:rPr>
        <w:t>juglindje t</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 xml:space="preserve"> Sarand</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s dhe n</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 xml:space="preserve"> af</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rsi t</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 xml:space="preserve"> Parkut Komb</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tar t</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 xml:space="preserve"> Butrintit, me nj</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 xml:space="preserve"> sip</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rfaqe prej rreth 16.3 km</w:t>
      </w:r>
      <w:r w:rsidRPr="000B7598">
        <w:rPr>
          <w:rFonts w:ascii="Times New Roman" w:eastAsia="Calibri" w:hAnsi="Times New Roman" w:cs="Times New Roman"/>
          <w:color w:val="222222"/>
          <w:sz w:val="24"/>
          <w:szCs w:val="24"/>
          <w:vertAlign w:val="superscript"/>
        </w:rPr>
        <w:t>2</w:t>
      </w:r>
      <w:r w:rsidRPr="000B7598">
        <w:rPr>
          <w:rFonts w:ascii="Times New Roman" w:eastAsia="Calibri" w:hAnsi="Times New Roman" w:cs="Times New Roman"/>
          <w:color w:val="222222"/>
          <w:sz w:val="24"/>
          <w:szCs w:val="24"/>
        </w:rPr>
        <w:t xml:space="preserve"> ku thell</w:t>
      </w:r>
      <w:r w:rsidRPr="000B7598">
        <w:rPr>
          <w:rFonts w:ascii="Times New Roman" w:eastAsia="Calibri" w:hAnsi="Times New Roman" w:cs="Times New Roman"/>
          <w:sz w:val="24"/>
          <w:szCs w:val="24"/>
        </w:rPr>
        <w:t>ës</w:t>
      </w:r>
      <w:r w:rsidRPr="000B7598">
        <w:rPr>
          <w:rFonts w:ascii="Times New Roman" w:eastAsia="Calibri" w:hAnsi="Times New Roman" w:cs="Times New Roman"/>
          <w:color w:val="222222"/>
          <w:sz w:val="24"/>
          <w:szCs w:val="24"/>
        </w:rPr>
        <w:t>ia mesatare arrin rreth 14 metra dhe thell</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sia maksimale 21 metra. Laguna ka nj</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 xml:space="preserve"> shtrirje n</w:t>
      </w:r>
      <w:r w:rsidRPr="000B7598">
        <w:rPr>
          <w:rFonts w:ascii="Times New Roman" w:eastAsia="Calibri" w:hAnsi="Times New Roman" w:cs="Times New Roman"/>
          <w:sz w:val="24"/>
          <w:szCs w:val="24"/>
        </w:rPr>
        <w:t xml:space="preserve">ë </w:t>
      </w:r>
      <w:r w:rsidRPr="000B7598">
        <w:rPr>
          <w:rFonts w:ascii="Times New Roman" w:eastAsia="Calibri" w:hAnsi="Times New Roman" w:cs="Times New Roman"/>
          <w:color w:val="222222"/>
          <w:sz w:val="24"/>
          <w:szCs w:val="24"/>
        </w:rPr>
        <w:t>gjat</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si rreth 7.1 km dhe 3.3 km e gjer</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 xml:space="preserve"> dhe n</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 xml:space="preserve"> fundin jugor t</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 xml:space="preserve"> saj </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sht</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 xml:space="preserve"> e lidhur me Detin Jon me an</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 xml:space="preserve"> t</w:t>
      </w:r>
      <w:r w:rsidRPr="000B7598">
        <w:rPr>
          <w:rFonts w:ascii="Times New Roman" w:eastAsia="Calibri" w:hAnsi="Times New Roman" w:cs="Times New Roman"/>
          <w:sz w:val="24"/>
          <w:szCs w:val="24"/>
        </w:rPr>
        <w:t>ë</w:t>
      </w:r>
      <w:r w:rsidRPr="000B7598">
        <w:rPr>
          <w:rFonts w:ascii="Times New Roman" w:eastAsia="Calibri" w:hAnsi="Times New Roman" w:cs="Times New Roman"/>
          <w:color w:val="222222"/>
          <w:sz w:val="24"/>
          <w:szCs w:val="24"/>
        </w:rPr>
        <w:t xml:space="preserve"> Kanalit Vivar.</w:t>
      </w:r>
    </w:p>
    <w:p w:rsidR="00EC2D44" w:rsidRPr="000B7598" w:rsidRDefault="00EC2D44" w:rsidP="00CC7B15">
      <w:pPr>
        <w:spacing w:after="0" w:line="240" w:lineRule="auto"/>
        <w:jc w:val="both"/>
        <w:rPr>
          <w:rFonts w:ascii="Times New Roman" w:eastAsia="Calibri" w:hAnsi="Times New Roman" w:cs="Times New Roman"/>
          <w:sz w:val="24"/>
          <w:szCs w:val="24"/>
          <w:lang w:val="da-DK"/>
        </w:rPr>
      </w:pPr>
      <w:r w:rsidRPr="000B7598">
        <w:rPr>
          <w:rFonts w:ascii="Times New Roman" w:eastAsia="Calibri" w:hAnsi="Times New Roman" w:cs="Times New Roman"/>
          <w:sz w:val="24"/>
          <w:szCs w:val="24"/>
          <w:lang w:val="da-DK"/>
        </w:rPr>
        <w:t>Monitorimi realizohet n</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 xml:space="preserve"> nj</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 xml:space="preserve"> stacion kampionimi me dy thell</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si dhe p</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rkat</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sisht  0 m dhe 5 m thell</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si ku temperatura e ujit varion nga 10.6 – 28.4°C dhe oksigjeni i tretur i matur in – situ rezultoi t</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 xml:space="preserve"> ishte 7.2 – 10.9 mgO/l ku d</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shmon q</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 xml:space="preserve"> uj</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rat jan</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 xml:space="preserve"> t</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 xml:space="preserve"> pasura me oksigjen.  Kjo lagun</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 xml:space="preserve"> </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sht</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 xml:space="preserve"> zon</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 xml:space="preserve"> e cila p</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rdoret p</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da-DK"/>
        </w:rPr>
        <w:t>r kultivimin e midhjeve.</w:t>
      </w:r>
    </w:p>
    <w:p w:rsidR="00EC2D44" w:rsidRPr="000B7598" w:rsidRDefault="00EC2D44" w:rsidP="00CC7B15">
      <w:pPr>
        <w:spacing w:after="0" w:line="240" w:lineRule="auto"/>
        <w:jc w:val="both"/>
        <w:rPr>
          <w:rFonts w:ascii="Times New Roman" w:eastAsia="Calibri" w:hAnsi="Times New Roman" w:cs="Times New Roman"/>
          <w:i/>
          <w:sz w:val="24"/>
          <w:szCs w:val="24"/>
        </w:rPr>
      </w:pPr>
    </w:p>
    <w:p w:rsidR="00EC2D44" w:rsidRPr="000B7598" w:rsidRDefault="00EC2D44" w:rsidP="00CC7B15">
      <w:pPr>
        <w:numPr>
          <w:ilvl w:val="0"/>
          <w:numId w:val="8"/>
        </w:numPr>
        <w:spacing w:after="0" w:line="240" w:lineRule="auto"/>
        <w:contextualSpacing/>
        <w:jc w:val="both"/>
        <w:rPr>
          <w:rFonts w:ascii="Times New Roman" w:eastAsia="Calibri" w:hAnsi="Times New Roman" w:cs="Times New Roman"/>
          <w:sz w:val="24"/>
          <w:szCs w:val="24"/>
          <w:lang w:val="da-DK"/>
        </w:rPr>
      </w:pPr>
      <w:r w:rsidRPr="000B7598">
        <w:rPr>
          <w:rFonts w:ascii="Times New Roman" w:eastAsia="Calibri" w:hAnsi="Times New Roman" w:cs="Times New Roman"/>
          <w:sz w:val="24"/>
          <w:szCs w:val="24"/>
          <w:lang w:val="da-DK"/>
        </w:rPr>
        <w:t xml:space="preserve">Transparenca e ujit </w:t>
      </w:r>
    </w:p>
    <w:p w:rsidR="00EC2D44" w:rsidRPr="000B7598" w:rsidRDefault="00EC2D44" w:rsidP="009C00C2">
      <w:pPr>
        <w:spacing w:after="0" w:line="240" w:lineRule="auto"/>
        <w:jc w:val="both"/>
        <w:rPr>
          <w:rFonts w:ascii="Times New Roman" w:eastAsia="Calibri" w:hAnsi="Times New Roman" w:cs="Times New Roman"/>
          <w:sz w:val="24"/>
          <w:szCs w:val="24"/>
          <w:lang w:val="sq-AL"/>
        </w:rPr>
      </w:pPr>
      <w:r w:rsidRPr="000B7598">
        <w:rPr>
          <w:rFonts w:ascii="Times New Roman" w:eastAsia="Calibri" w:hAnsi="Times New Roman" w:cs="Times New Roman"/>
          <w:sz w:val="24"/>
          <w:szCs w:val="24"/>
          <w:lang w:val="sq-AL"/>
        </w:rPr>
        <w:t>Vlera mesatare e transparenc</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sq-AL"/>
        </w:rPr>
        <w:t>s s</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sq-AL"/>
        </w:rPr>
        <w:t xml:space="preserve"> matur </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sq-AL"/>
        </w:rPr>
        <w:t>sht</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sq-AL"/>
        </w:rPr>
        <w:t xml:space="preserve"> 1.13 m dhe referuar k</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sq-AL"/>
        </w:rPr>
        <w:t>tij treguesi vler</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sq-AL"/>
        </w:rPr>
        <w:t>sojm</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sq-AL"/>
        </w:rPr>
        <w:t xml:space="preserve"> se cil</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sq-AL"/>
        </w:rPr>
        <w:t xml:space="preserve">sia </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sq-AL"/>
        </w:rPr>
        <w:t>sht</w:t>
      </w:r>
      <w:r w:rsidRPr="000B7598">
        <w:rPr>
          <w:rFonts w:ascii="Times New Roman" w:eastAsia="Calibri" w:hAnsi="Times New Roman" w:cs="Times New Roman"/>
          <w:sz w:val="24"/>
          <w:szCs w:val="24"/>
        </w:rPr>
        <w:t>ë</w:t>
      </w:r>
      <w:r w:rsidRPr="000B7598">
        <w:rPr>
          <w:rFonts w:ascii="Times New Roman" w:eastAsia="Calibri" w:hAnsi="Times New Roman" w:cs="Times New Roman"/>
          <w:sz w:val="24"/>
          <w:szCs w:val="24"/>
          <w:lang w:val="sq-AL"/>
        </w:rPr>
        <w:t xml:space="preserve"> mezotrofike.</w:t>
      </w:r>
    </w:p>
    <w:p w:rsidR="00CC7B15" w:rsidRPr="00EC2D44" w:rsidRDefault="00EC2D44" w:rsidP="00EC2D44">
      <w:pPr>
        <w:spacing w:after="200" w:line="276" w:lineRule="auto"/>
        <w:rPr>
          <w:rFonts w:ascii="Times New Roman" w:eastAsia="Calibri" w:hAnsi="Times New Roman" w:cs="Times New Roman"/>
          <w:sz w:val="24"/>
          <w:szCs w:val="24"/>
          <w:lang w:val="sq-AL"/>
        </w:rPr>
      </w:pPr>
      <w:r w:rsidRPr="000B7598">
        <w:rPr>
          <w:rFonts w:ascii="Calibri" w:eastAsia="Calibri" w:hAnsi="Calibri" w:cs="Times New Roman"/>
          <w:noProof/>
        </w:rPr>
        <w:drawing>
          <wp:inline distT="0" distB="0" distL="0" distR="0" wp14:anchorId="29B177A4" wp14:editId="1847A1E7">
            <wp:extent cx="2895600" cy="2057400"/>
            <wp:effectExtent l="0" t="0" r="0" b="0"/>
            <wp:docPr id="445" name="Chart 1">
              <a:extLst xmlns:a="http://schemas.openxmlformats.org/drawingml/2006/main">
                <a:ext uri="{FF2B5EF4-FFF2-40B4-BE49-F238E27FC236}">
                  <a16:creationId xmlns:a16="http://schemas.microsoft.com/office/drawing/2014/main" id="{A81758AB-51C9-D7A3-EE81-2BE3AC4F9C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1"/>
              </a:graphicData>
            </a:graphic>
          </wp:inline>
        </w:drawing>
      </w:r>
      <w:r>
        <w:rPr>
          <w:rFonts w:ascii="Times New Roman" w:eastAsia="Calibri" w:hAnsi="Times New Roman" w:cs="Times New Roman"/>
          <w:sz w:val="24"/>
          <w:szCs w:val="24"/>
          <w:lang w:val="sq-AL"/>
        </w:rPr>
        <w:t xml:space="preserve">  </w:t>
      </w:r>
      <w:r w:rsidRPr="000B7598">
        <w:rPr>
          <w:rFonts w:ascii="Calibri" w:eastAsia="Calibri" w:hAnsi="Calibri" w:cs="Times New Roman"/>
          <w:noProof/>
        </w:rPr>
        <w:drawing>
          <wp:inline distT="0" distB="0" distL="0" distR="0" wp14:anchorId="0F1ACDCC" wp14:editId="1255CB67">
            <wp:extent cx="2943225" cy="2095500"/>
            <wp:effectExtent l="0" t="0" r="9525" b="0"/>
            <wp:docPr id="446" name="Chart 1">
              <a:extLst xmlns:a="http://schemas.openxmlformats.org/drawingml/2006/main">
                <a:ext uri="{FF2B5EF4-FFF2-40B4-BE49-F238E27FC236}">
                  <a16:creationId xmlns:a16="http://schemas.microsoft.com/office/drawing/2014/main" id="{5267F03C-41DB-40FF-6DE0-42AE97B72C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2"/>
              </a:graphicData>
            </a:graphic>
          </wp:inline>
        </w:drawing>
      </w:r>
      <w:r w:rsidR="00CC7B15" w:rsidRPr="000B7598">
        <w:rPr>
          <w:rFonts w:ascii="Times New Roman" w:eastAsia="Calibri" w:hAnsi="Times New Roman" w:cs="Times New Roman"/>
          <w:sz w:val="24"/>
          <w:szCs w:val="24"/>
          <w:lang w:val="sq-AL"/>
        </w:rPr>
        <w:t>Nevoja kimike p</w:t>
      </w:r>
      <w:r w:rsidR="00CC7B15" w:rsidRPr="000B7598">
        <w:rPr>
          <w:rFonts w:ascii="Times New Roman" w:eastAsia="Calibri" w:hAnsi="Times New Roman" w:cs="Times New Roman"/>
          <w:sz w:val="24"/>
          <w:szCs w:val="24"/>
        </w:rPr>
        <w:t>ë</w:t>
      </w:r>
      <w:r w:rsidR="00CC7B15" w:rsidRPr="000B7598">
        <w:rPr>
          <w:rFonts w:ascii="Times New Roman" w:eastAsia="Calibri" w:hAnsi="Times New Roman" w:cs="Times New Roman"/>
          <w:sz w:val="24"/>
          <w:szCs w:val="24"/>
          <w:lang w:val="sq-AL"/>
        </w:rPr>
        <w:t>r oksigjen</w:t>
      </w:r>
      <w:r w:rsidR="00CC7B15">
        <w:rPr>
          <w:rFonts w:ascii="Times New Roman" w:eastAsia="Calibri" w:hAnsi="Times New Roman" w:cs="Times New Roman"/>
          <w:sz w:val="24"/>
          <w:szCs w:val="24"/>
          <w:lang w:val="sq-AL"/>
        </w:rPr>
        <w:t>, NKO</w:t>
      </w:r>
      <w:r w:rsidR="00CC7B15" w:rsidRPr="000B7598">
        <w:rPr>
          <w:rFonts w:ascii="Times New Roman" w:eastAsia="Calibri" w:hAnsi="Times New Roman" w:cs="Times New Roman"/>
          <w:sz w:val="24"/>
          <w:szCs w:val="24"/>
          <w:lang w:val="sq-AL"/>
        </w:rPr>
        <w:t xml:space="preserve"> </w:t>
      </w:r>
      <w:r w:rsidR="00CC7B15" w:rsidRPr="000B7598">
        <w:rPr>
          <w:rFonts w:ascii="Times New Roman" w:eastAsia="Calibri" w:hAnsi="Times New Roman" w:cs="Times New Roman"/>
          <w:sz w:val="24"/>
          <w:szCs w:val="24"/>
        </w:rPr>
        <w:t>ë</w:t>
      </w:r>
      <w:r w:rsidR="00CC7B15" w:rsidRPr="000B7598">
        <w:rPr>
          <w:rFonts w:ascii="Times New Roman" w:eastAsia="Calibri" w:hAnsi="Times New Roman" w:cs="Times New Roman"/>
          <w:sz w:val="24"/>
          <w:szCs w:val="24"/>
          <w:lang w:val="sq-AL"/>
        </w:rPr>
        <w:t>sht</w:t>
      </w:r>
      <w:r w:rsidR="00CC7B15" w:rsidRPr="000B7598">
        <w:rPr>
          <w:rFonts w:ascii="Times New Roman" w:eastAsia="Calibri" w:hAnsi="Times New Roman" w:cs="Times New Roman"/>
          <w:sz w:val="24"/>
          <w:szCs w:val="24"/>
        </w:rPr>
        <w:t>ë</w:t>
      </w:r>
      <w:r w:rsidR="00CC7B15" w:rsidRPr="000B7598">
        <w:rPr>
          <w:rFonts w:ascii="Times New Roman" w:eastAsia="Calibri" w:hAnsi="Times New Roman" w:cs="Times New Roman"/>
          <w:sz w:val="24"/>
          <w:szCs w:val="24"/>
          <w:lang w:val="sq-AL"/>
        </w:rPr>
        <w:t xml:space="preserve"> vler</w:t>
      </w:r>
      <w:r w:rsidR="00CC7B15" w:rsidRPr="000B7598">
        <w:rPr>
          <w:rFonts w:ascii="Times New Roman" w:eastAsia="Calibri" w:hAnsi="Times New Roman" w:cs="Times New Roman"/>
          <w:sz w:val="24"/>
          <w:szCs w:val="24"/>
        </w:rPr>
        <w:t>ë</w:t>
      </w:r>
      <w:r w:rsidR="00CC7B15" w:rsidRPr="000B7598">
        <w:rPr>
          <w:rFonts w:ascii="Times New Roman" w:eastAsia="Calibri" w:hAnsi="Times New Roman" w:cs="Times New Roman"/>
          <w:sz w:val="24"/>
          <w:szCs w:val="24"/>
          <w:lang w:val="sq-AL"/>
        </w:rPr>
        <w:t>suar në vlerë mesatare 9 mgO/l, duke e klasifikuar  lagunën me cilësi mezotrofike.</w:t>
      </w:r>
      <w:r w:rsidR="00CC7B15" w:rsidRPr="00EC2D44">
        <w:rPr>
          <w:rFonts w:ascii="Times New Roman" w:eastAsia="Calibri" w:hAnsi="Times New Roman" w:cs="Times New Roman"/>
          <w:sz w:val="24"/>
          <w:szCs w:val="24"/>
          <w:lang w:val="da-DK"/>
        </w:rPr>
        <w:t xml:space="preserve"> </w:t>
      </w:r>
      <w:r w:rsidR="00CC7B15" w:rsidRPr="000B7598">
        <w:rPr>
          <w:rFonts w:ascii="Times New Roman" w:eastAsia="Calibri" w:hAnsi="Times New Roman" w:cs="Times New Roman"/>
          <w:sz w:val="24"/>
          <w:szCs w:val="24"/>
          <w:lang w:val="da-DK"/>
        </w:rPr>
        <w:t>Gjithashtu edhe vlerat e nevoj</w:t>
      </w:r>
      <w:r w:rsidR="00CC7B15" w:rsidRPr="000B7598">
        <w:rPr>
          <w:rFonts w:ascii="Times New Roman" w:eastAsia="Calibri" w:hAnsi="Times New Roman" w:cs="Times New Roman"/>
          <w:color w:val="212121"/>
          <w:sz w:val="24"/>
          <w:szCs w:val="24"/>
        </w:rPr>
        <w:t>ë</w:t>
      </w:r>
      <w:r w:rsidR="00CC7B15" w:rsidRPr="000B7598">
        <w:rPr>
          <w:rFonts w:ascii="Times New Roman" w:eastAsia="Calibri" w:hAnsi="Times New Roman" w:cs="Times New Roman"/>
          <w:sz w:val="24"/>
          <w:szCs w:val="24"/>
          <w:lang w:val="da-DK"/>
        </w:rPr>
        <w:t>s biokimike p</w:t>
      </w:r>
      <w:r w:rsidR="00CC7B15" w:rsidRPr="000B7598">
        <w:rPr>
          <w:rFonts w:ascii="Times New Roman" w:eastAsia="Calibri" w:hAnsi="Times New Roman" w:cs="Times New Roman"/>
          <w:color w:val="212121"/>
          <w:sz w:val="24"/>
          <w:szCs w:val="24"/>
        </w:rPr>
        <w:t>ë</w:t>
      </w:r>
      <w:r w:rsidR="00CC7B15" w:rsidRPr="000B7598">
        <w:rPr>
          <w:rFonts w:ascii="Times New Roman" w:eastAsia="Calibri" w:hAnsi="Times New Roman" w:cs="Times New Roman"/>
          <w:sz w:val="24"/>
          <w:szCs w:val="24"/>
          <w:lang w:val="da-DK"/>
        </w:rPr>
        <w:t>r oksigjen</w:t>
      </w:r>
      <w:r w:rsidR="00CC7B15">
        <w:rPr>
          <w:rFonts w:ascii="Times New Roman" w:eastAsia="Calibri" w:hAnsi="Times New Roman" w:cs="Times New Roman"/>
          <w:sz w:val="24"/>
          <w:szCs w:val="24"/>
          <w:lang w:val="da-DK"/>
        </w:rPr>
        <w:t xml:space="preserve"> NBO</w:t>
      </w:r>
      <w:r w:rsidR="00CC7B15" w:rsidRPr="00EC2D44">
        <w:rPr>
          <w:rFonts w:ascii="Times New Roman" w:eastAsia="Calibri" w:hAnsi="Times New Roman" w:cs="Times New Roman"/>
          <w:sz w:val="24"/>
          <w:szCs w:val="24"/>
          <w:vertAlign w:val="subscript"/>
          <w:lang w:val="da-DK"/>
        </w:rPr>
        <w:t>5</w:t>
      </w:r>
      <w:r w:rsidR="00CC7B15" w:rsidRPr="000B7598">
        <w:rPr>
          <w:rFonts w:ascii="Times New Roman" w:eastAsia="Calibri" w:hAnsi="Times New Roman" w:cs="Times New Roman"/>
          <w:sz w:val="24"/>
          <w:szCs w:val="24"/>
          <w:lang w:val="da-DK"/>
        </w:rPr>
        <w:t xml:space="preserve"> e klasifikojnë Lagun</w:t>
      </w:r>
      <w:r w:rsidR="00CC7B15" w:rsidRPr="000B7598">
        <w:rPr>
          <w:rFonts w:ascii="Times New Roman" w:eastAsia="Calibri" w:hAnsi="Times New Roman" w:cs="Times New Roman"/>
          <w:color w:val="212121"/>
          <w:sz w:val="24"/>
          <w:szCs w:val="24"/>
        </w:rPr>
        <w:t>ë</w:t>
      </w:r>
      <w:r w:rsidR="00CC7B15" w:rsidRPr="000B7598">
        <w:rPr>
          <w:rFonts w:ascii="Times New Roman" w:eastAsia="Calibri" w:hAnsi="Times New Roman" w:cs="Times New Roman"/>
          <w:sz w:val="24"/>
          <w:szCs w:val="24"/>
          <w:lang w:val="da-DK"/>
        </w:rPr>
        <w:t>n e Butrintit me cil</w:t>
      </w:r>
      <w:r w:rsidR="00CC7B15" w:rsidRPr="000B7598">
        <w:rPr>
          <w:rFonts w:ascii="Times New Roman" w:eastAsia="Calibri" w:hAnsi="Times New Roman" w:cs="Times New Roman"/>
          <w:color w:val="212121"/>
          <w:sz w:val="24"/>
          <w:szCs w:val="24"/>
        </w:rPr>
        <w:t>ë</w:t>
      </w:r>
      <w:r w:rsidR="00CC7B15" w:rsidRPr="000B7598">
        <w:rPr>
          <w:rFonts w:ascii="Times New Roman" w:eastAsia="Calibri" w:hAnsi="Times New Roman" w:cs="Times New Roman"/>
          <w:sz w:val="24"/>
          <w:szCs w:val="24"/>
          <w:lang w:val="da-DK"/>
        </w:rPr>
        <w:t>si mezotrofike.</w:t>
      </w:r>
    </w:p>
    <w:p w:rsidR="00EC2D44" w:rsidRPr="000B7598" w:rsidRDefault="00EC2D44" w:rsidP="00EC2D44">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0B7598">
        <w:rPr>
          <w:rFonts w:ascii="Times New Roman" w:eastAsia="Times New Roman" w:hAnsi="Times New Roman" w:cs="Times New Roman"/>
          <w:color w:val="212121"/>
          <w:sz w:val="24"/>
          <w:szCs w:val="24"/>
        </w:rPr>
        <w:t>Përmbajtja e nitrateve</w:t>
      </w:r>
    </w:p>
    <w:p w:rsidR="00EC2D44" w:rsidRPr="000B7598" w:rsidRDefault="00EC2D44" w:rsidP="00EC2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r w:rsidRPr="000B7598">
        <w:rPr>
          <w:rFonts w:ascii="Times New Roman" w:eastAsia="Times New Roman" w:hAnsi="Times New Roman" w:cs="Times New Roman"/>
          <w:color w:val="212121"/>
          <w:sz w:val="24"/>
          <w:szCs w:val="24"/>
        </w:rPr>
        <w:t xml:space="preserve">Ky parametër rezulton të plotësojë kushtet për cilësi oligotrofike pasi vlera mesatare e dy stacioneve të monitorimit është 0.28 mg/l (&lt;1 mg/l). </w:t>
      </w:r>
    </w:p>
    <w:p w:rsidR="00EC2D44" w:rsidRPr="000B7598" w:rsidRDefault="00EC2D44" w:rsidP="00EC2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p>
    <w:p w:rsidR="00EC2D44" w:rsidRPr="000B7598" w:rsidRDefault="00EC2D44" w:rsidP="00EC2D44">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0B7598">
        <w:rPr>
          <w:rFonts w:ascii="Times New Roman" w:eastAsia="Times New Roman" w:hAnsi="Times New Roman" w:cs="Times New Roman"/>
          <w:color w:val="212121"/>
          <w:sz w:val="24"/>
          <w:szCs w:val="24"/>
        </w:rPr>
        <w:t>Përmbajtja e fosforit total</w:t>
      </w:r>
    </w:p>
    <w:p w:rsidR="00EC2D44" w:rsidRPr="000B7598" w:rsidRDefault="00EC2D44" w:rsidP="00EC2D44">
      <w:pPr>
        <w:spacing w:after="200" w:line="276" w:lineRule="auto"/>
        <w:jc w:val="both"/>
        <w:rPr>
          <w:rFonts w:ascii="Times New Roman" w:eastAsia="Calibri" w:hAnsi="Times New Roman" w:cs="Times New Roman"/>
          <w:color w:val="212121"/>
          <w:sz w:val="24"/>
          <w:szCs w:val="24"/>
        </w:rPr>
      </w:pPr>
      <w:r w:rsidRPr="000B7598">
        <w:rPr>
          <w:rFonts w:ascii="Times New Roman" w:eastAsia="Calibri" w:hAnsi="Times New Roman" w:cs="Times New Roman"/>
          <w:color w:val="212121"/>
          <w:sz w:val="24"/>
          <w:szCs w:val="24"/>
        </w:rPr>
        <w:t>Vlera mesatare e përmbajtjes së fosforit total në të dy stacionet e kampionimit me thellësi të ndryshme përkatësisht 0 m dhe 5 m thellësi është 0.082 mg/l ku i klasifikojnë këto ujëra me cilësi eutrofike.</w:t>
      </w:r>
    </w:p>
    <w:p w:rsidR="00EC2D44" w:rsidRPr="000B7598" w:rsidRDefault="00EC2D44" w:rsidP="00EC2D44">
      <w:pPr>
        <w:numPr>
          <w:ilvl w:val="0"/>
          <w:numId w:val="8"/>
        </w:numPr>
        <w:spacing w:after="0" w:line="240" w:lineRule="auto"/>
        <w:contextualSpacing/>
        <w:jc w:val="both"/>
        <w:rPr>
          <w:rFonts w:ascii="Times New Roman" w:eastAsia="Calibri" w:hAnsi="Times New Roman" w:cs="Times New Roman"/>
          <w:bCs/>
          <w:i/>
          <w:sz w:val="24"/>
          <w:szCs w:val="24"/>
          <w:lang w:val="sq-AL"/>
        </w:rPr>
      </w:pPr>
      <w:r w:rsidRPr="000B7598">
        <w:rPr>
          <w:rFonts w:ascii="Times New Roman" w:eastAsia="Calibri" w:hAnsi="Times New Roman" w:cs="Times New Roman"/>
          <w:bCs/>
          <w:i/>
          <w:sz w:val="24"/>
          <w:szCs w:val="24"/>
          <w:lang w:val="sq-AL"/>
        </w:rPr>
        <w:t>Përmbajtja e TOC</w:t>
      </w:r>
    </w:p>
    <w:p w:rsidR="00EC2D44" w:rsidRPr="000B7598" w:rsidRDefault="00EC2D44" w:rsidP="00EC2D44">
      <w:pPr>
        <w:spacing w:after="0" w:line="240" w:lineRule="auto"/>
        <w:jc w:val="both"/>
        <w:rPr>
          <w:rFonts w:ascii="Times New Roman" w:eastAsia="Calibri" w:hAnsi="Times New Roman" w:cs="Times New Roman"/>
          <w:bCs/>
          <w:iCs/>
          <w:sz w:val="24"/>
          <w:szCs w:val="24"/>
          <w:lang w:val="sq-AL"/>
        </w:rPr>
      </w:pPr>
      <w:r w:rsidRPr="000B7598">
        <w:rPr>
          <w:rFonts w:ascii="Times New Roman" w:eastAsia="Calibri" w:hAnsi="Times New Roman" w:cs="Times New Roman"/>
          <w:bCs/>
          <w:iCs/>
          <w:sz w:val="24"/>
          <w:szCs w:val="24"/>
          <w:lang w:val="sq-AL"/>
        </w:rPr>
        <w:t xml:space="preserve">Përmbajtja e karbonit organik total (TOC) është vlerësuar në sasi të moderuar. </w:t>
      </w:r>
    </w:p>
    <w:p w:rsidR="00EC2D44" w:rsidRPr="000B7598" w:rsidRDefault="00EC2D44" w:rsidP="00EC2D44">
      <w:pPr>
        <w:spacing w:after="200" w:line="276" w:lineRule="auto"/>
        <w:ind w:left="360"/>
        <w:jc w:val="center"/>
        <w:rPr>
          <w:rFonts w:ascii="Times New Roman" w:eastAsia="Calibri" w:hAnsi="Times New Roman" w:cs="Times New Roman"/>
          <w:color w:val="212121"/>
          <w:sz w:val="24"/>
          <w:szCs w:val="24"/>
        </w:rPr>
      </w:pPr>
    </w:p>
    <w:p w:rsidR="003567D3" w:rsidRDefault="00EC2D44" w:rsidP="003567D3">
      <w:pPr>
        <w:spacing w:after="200" w:line="276" w:lineRule="auto"/>
        <w:rPr>
          <w:rFonts w:ascii="Times New Roman" w:eastAsia="Calibri" w:hAnsi="Times New Roman" w:cs="Times New Roman"/>
          <w:b/>
          <w:i/>
          <w:sz w:val="24"/>
          <w:szCs w:val="24"/>
        </w:rPr>
      </w:pPr>
      <w:r w:rsidRPr="000B7598">
        <w:rPr>
          <w:rFonts w:ascii="Times New Roman" w:eastAsia="Calibri" w:hAnsi="Times New Roman" w:cs="Times New Roman"/>
          <w:b/>
          <w:i/>
          <w:sz w:val="24"/>
          <w:szCs w:val="24"/>
        </w:rPr>
        <w:t>Referuar të dhënave të ekspeditave të kryera vlerësojmë se ujërat e lagunës së Butrintit bazuar në parametrat e mësipërm vlerësohen me cilësi eutrofike.</w:t>
      </w:r>
    </w:p>
    <w:p w:rsidR="00142FA8" w:rsidRPr="003567D3" w:rsidRDefault="00142FA8" w:rsidP="00807975">
      <w:pPr>
        <w:pStyle w:val="ListParagraph"/>
        <w:numPr>
          <w:ilvl w:val="0"/>
          <w:numId w:val="86"/>
        </w:numPr>
        <w:spacing w:after="200" w:line="276" w:lineRule="auto"/>
        <w:rPr>
          <w:rFonts w:ascii="Times New Roman" w:eastAsia="Calibri" w:hAnsi="Times New Roman" w:cs="Times New Roman"/>
          <w:b/>
          <w:i/>
          <w:sz w:val="24"/>
          <w:szCs w:val="24"/>
        </w:rPr>
      </w:pPr>
      <w:r w:rsidRPr="003567D3">
        <w:rPr>
          <w:rFonts w:ascii="Times New Roman" w:eastAsia="Times New Roman" w:hAnsi="Times New Roman" w:cs="Times New Roman"/>
          <w:b/>
          <w:sz w:val="24"/>
          <w:szCs w:val="24"/>
          <w:lang w:val="sq-AL"/>
        </w:rPr>
        <w:t xml:space="preserve">Tendenca </w:t>
      </w:r>
      <w:r w:rsidR="00CC7B15">
        <w:rPr>
          <w:rFonts w:ascii="Times New Roman" w:eastAsia="Times New Roman" w:hAnsi="Times New Roman" w:cs="Times New Roman"/>
          <w:b/>
          <w:sz w:val="24"/>
          <w:szCs w:val="24"/>
          <w:lang w:val="sq-AL"/>
        </w:rPr>
        <w:t>e</w:t>
      </w:r>
      <w:r w:rsidRPr="003567D3">
        <w:rPr>
          <w:rFonts w:ascii="Times New Roman" w:eastAsia="Times New Roman" w:hAnsi="Times New Roman" w:cs="Times New Roman"/>
          <w:b/>
          <w:sz w:val="24"/>
          <w:szCs w:val="24"/>
          <w:lang w:val="sq-AL"/>
        </w:rPr>
        <w:t xml:space="preserve"> gjendjes trofike për lagunat</w:t>
      </w:r>
    </w:p>
    <w:tbl>
      <w:tblPr>
        <w:tblW w:w="1026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0"/>
        <w:gridCol w:w="1890"/>
        <w:gridCol w:w="1530"/>
        <w:gridCol w:w="1620"/>
        <w:gridCol w:w="1170"/>
        <w:gridCol w:w="1260"/>
        <w:gridCol w:w="1260"/>
      </w:tblGrid>
      <w:tr w:rsidR="003567D3" w:rsidRPr="00142FA8" w:rsidTr="003567D3">
        <w:trPr>
          <w:trHeight w:val="444"/>
        </w:trPr>
        <w:tc>
          <w:tcPr>
            <w:tcW w:w="1530" w:type="dxa"/>
          </w:tcPr>
          <w:p w:rsidR="003567D3" w:rsidRPr="00142FA8" w:rsidRDefault="003567D3" w:rsidP="00142FA8">
            <w:pPr>
              <w:widowControl w:val="0"/>
              <w:autoSpaceDE w:val="0"/>
              <w:autoSpaceDN w:val="0"/>
              <w:spacing w:after="0" w:line="240" w:lineRule="auto"/>
              <w:rPr>
                <w:rFonts w:ascii="Times New Roman" w:eastAsia="Times New Roman" w:hAnsi="Times New Roman" w:cs="Times New Roman"/>
                <w:sz w:val="24"/>
                <w:szCs w:val="24"/>
                <w:lang w:val="sq-AL"/>
              </w:rPr>
            </w:pPr>
          </w:p>
        </w:tc>
        <w:tc>
          <w:tcPr>
            <w:tcW w:w="1890" w:type="dxa"/>
          </w:tcPr>
          <w:p w:rsidR="003567D3" w:rsidRPr="00142FA8" w:rsidRDefault="003567D3" w:rsidP="00142FA8">
            <w:pPr>
              <w:widowControl w:val="0"/>
              <w:autoSpaceDE w:val="0"/>
              <w:autoSpaceDN w:val="0"/>
              <w:spacing w:before="2" w:after="0" w:line="240" w:lineRule="auto"/>
              <w:ind w:left="672" w:right="665"/>
              <w:rPr>
                <w:rFonts w:ascii="Times New Roman" w:eastAsia="Times New Roman" w:hAnsi="Times New Roman" w:cs="Times New Roman"/>
                <w:b/>
                <w:sz w:val="24"/>
                <w:szCs w:val="24"/>
                <w:lang w:val="sq-AL"/>
              </w:rPr>
            </w:pPr>
            <w:r w:rsidRPr="00142FA8">
              <w:rPr>
                <w:rFonts w:ascii="Times New Roman" w:eastAsia="Times New Roman" w:hAnsi="Times New Roman" w:cs="Times New Roman"/>
                <w:b/>
                <w:sz w:val="24"/>
                <w:szCs w:val="24"/>
                <w:lang w:val="sq-AL"/>
              </w:rPr>
              <w:t>2020</w:t>
            </w:r>
          </w:p>
        </w:tc>
        <w:tc>
          <w:tcPr>
            <w:tcW w:w="1530" w:type="dxa"/>
          </w:tcPr>
          <w:p w:rsidR="003567D3" w:rsidRPr="00142FA8" w:rsidRDefault="003567D3" w:rsidP="00142FA8">
            <w:pPr>
              <w:widowControl w:val="0"/>
              <w:autoSpaceDE w:val="0"/>
              <w:autoSpaceDN w:val="0"/>
              <w:spacing w:before="2" w:after="0" w:line="240" w:lineRule="auto"/>
              <w:ind w:left="76" w:right="71"/>
              <w:jc w:val="center"/>
              <w:rPr>
                <w:rFonts w:ascii="Times New Roman" w:eastAsia="Times New Roman" w:hAnsi="Times New Roman" w:cs="Times New Roman"/>
                <w:b/>
                <w:sz w:val="24"/>
                <w:szCs w:val="24"/>
                <w:lang w:val="sq-AL"/>
              </w:rPr>
            </w:pPr>
            <w:r w:rsidRPr="00142FA8">
              <w:rPr>
                <w:rFonts w:ascii="Times New Roman" w:eastAsia="Times New Roman" w:hAnsi="Times New Roman" w:cs="Times New Roman"/>
                <w:b/>
                <w:sz w:val="24"/>
                <w:szCs w:val="24"/>
                <w:lang w:val="sq-AL"/>
              </w:rPr>
              <w:t>2021</w:t>
            </w:r>
          </w:p>
        </w:tc>
        <w:tc>
          <w:tcPr>
            <w:tcW w:w="1620" w:type="dxa"/>
          </w:tcPr>
          <w:p w:rsidR="003567D3" w:rsidRPr="00142FA8" w:rsidRDefault="003567D3" w:rsidP="00142FA8">
            <w:pPr>
              <w:widowControl w:val="0"/>
              <w:autoSpaceDE w:val="0"/>
              <w:autoSpaceDN w:val="0"/>
              <w:spacing w:before="2" w:after="0" w:line="240" w:lineRule="auto"/>
              <w:ind w:left="531" w:right="525"/>
              <w:jc w:val="center"/>
              <w:rPr>
                <w:rFonts w:ascii="Times New Roman" w:eastAsia="Times New Roman" w:hAnsi="Times New Roman" w:cs="Times New Roman"/>
                <w:b/>
                <w:sz w:val="24"/>
                <w:szCs w:val="24"/>
                <w:lang w:val="sq-AL"/>
              </w:rPr>
            </w:pPr>
            <w:r w:rsidRPr="00142FA8">
              <w:rPr>
                <w:rFonts w:ascii="Times New Roman" w:eastAsia="Times New Roman" w:hAnsi="Times New Roman" w:cs="Times New Roman"/>
                <w:b/>
                <w:sz w:val="24"/>
                <w:szCs w:val="24"/>
                <w:lang w:val="sq-AL"/>
              </w:rPr>
              <w:t>2022</w:t>
            </w:r>
          </w:p>
        </w:tc>
        <w:tc>
          <w:tcPr>
            <w:tcW w:w="1170" w:type="dxa"/>
          </w:tcPr>
          <w:p w:rsidR="003567D3" w:rsidRPr="00142FA8" w:rsidRDefault="003567D3" w:rsidP="00142FA8">
            <w:pPr>
              <w:widowControl w:val="0"/>
              <w:autoSpaceDE w:val="0"/>
              <w:autoSpaceDN w:val="0"/>
              <w:spacing w:before="2" w:after="0" w:line="240" w:lineRule="auto"/>
              <w:ind w:left="75" w:right="71"/>
              <w:jc w:val="center"/>
              <w:rPr>
                <w:rFonts w:ascii="Times New Roman" w:eastAsia="Times New Roman" w:hAnsi="Times New Roman" w:cs="Times New Roman"/>
                <w:b/>
                <w:sz w:val="24"/>
                <w:szCs w:val="24"/>
                <w:lang w:val="sq-AL"/>
              </w:rPr>
            </w:pPr>
            <w:r w:rsidRPr="00142FA8">
              <w:rPr>
                <w:rFonts w:ascii="Times New Roman" w:eastAsia="Times New Roman" w:hAnsi="Times New Roman" w:cs="Times New Roman"/>
                <w:b/>
                <w:sz w:val="24"/>
                <w:szCs w:val="24"/>
                <w:lang w:val="sq-AL"/>
              </w:rPr>
              <w:t>2023</w:t>
            </w:r>
          </w:p>
        </w:tc>
        <w:tc>
          <w:tcPr>
            <w:tcW w:w="1260" w:type="dxa"/>
          </w:tcPr>
          <w:p w:rsidR="003567D3" w:rsidRPr="00142FA8" w:rsidRDefault="003567D3" w:rsidP="00142FA8">
            <w:pPr>
              <w:widowControl w:val="0"/>
              <w:autoSpaceDE w:val="0"/>
              <w:autoSpaceDN w:val="0"/>
              <w:spacing w:before="2" w:after="0" w:line="240" w:lineRule="auto"/>
              <w:ind w:left="75" w:right="71"/>
              <w:jc w:val="center"/>
              <w:rPr>
                <w:rFonts w:ascii="Times New Roman" w:eastAsia="Times New Roman" w:hAnsi="Times New Roman" w:cs="Times New Roman"/>
                <w:b/>
                <w:sz w:val="24"/>
                <w:szCs w:val="24"/>
                <w:lang w:val="sq-AL"/>
              </w:rPr>
            </w:pPr>
            <w:r w:rsidRPr="00142FA8">
              <w:rPr>
                <w:rFonts w:ascii="Times New Roman" w:eastAsia="Times New Roman" w:hAnsi="Times New Roman" w:cs="Times New Roman"/>
                <w:b/>
                <w:sz w:val="24"/>
                <w:szCs w:val="24"/>
                <w:lang w:val="sq-AL"/>
              </w:rPr>
              <w:t>2024</w:t>
            </w:r>
          </w:p>
        </w:tc>
        <w:tc>
          <w:tcPr>
            <w:tcW w:w="1260" w:type="dxa"/>
          </w:tcPr>
          <w:p w:rsidR="003567D3" w:rsidRPr="00142FA8" w:rsidRDefault="003567D3" w:rsidP="00142FA8">
            <w:pPr>
              <w:widowControl w:val="0"/>
              <w:autoSpaceDE w:val="0"/>
              <w:autoSpaceDN w:val="0"/>
              <w:spacing w:before="2" w:after="0" w:line="240" w:lineRule="auto"/>
              <w:ind w:left="75" w:right="71"/>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2025</w:t>
            </w:r>
          </w:p>
        </w:tc>
      </w:tr>
      <w:tr w:rsidR="003567D3" w:rsidRPr="00142FA8" w:rsidTr="003567D3">
        <w:trPr>
          <w:trHeight w:val="709"/>
        </w:trPr>
        <w:tc>
          <w:tcPr>
            <w:tcW w:w="1530" w:type="dxa"/>
            <w:shd w:val="clear" w:color="auto" w:fill="D9E1F3"/>
          </w:tcPr>
          <w:p w:rsidR="003567D3" w:rsidRPr="00142FA8" w:rsidRDefault="003567D3" w:rsidP="00142FA8">
            <w:pPr>
              <w:widowControl w:val="0"/>
              <w:tabs>
                <w:tab w:val="left" w:pos="1318"/>
              </w:tabs>
              <w:autoSpaceDE w:val="0"/>
              <w:autoSpaceDN w:val="0"/>
              <w:spacing w:before="3" w:after="0" w:line="244" w:lineRule="auto"/>
              <w:ind w:left="86" w:right="76"/>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 xml:space="preserve">Laguna </w:t>
            </w:r>
            <w:r w:rsidRPr="00142FA8">
              <w:rPr>
                <w:rFonts w:ascii="Times New Roman" w:eastAsia="Times New Roman" w:hAnsi="Times New Roman" w:cs="Times New Roman"/>
                <w:b/>
                <w:i/>
                <w:spacing w:val="-1"/>
                <w:sz w:val="24"/>
                <w:szCs w:val="24"/>
                <w:lang w:val="sq-AL"/>
              </w:rPr>
              <w:t>e</w:t>
            </w:r>
            <w:r w:rsidRPr="00142FA8">
              <w:rPr>
                <w:rFonts w:ascii="Times New Roman" w:eastAsia="Times New Roman" w:hAnsi="Times New Roman" w:cs="Times New Roman"/>
                <w:b/>
                <w:i/>
                <w:spacing w:val="-45"/>
                <w:sz w:val="24"/>
                <w:szCs w:val="24"/>
                <w:lang w:val="sq-AL"/>
              </w:rPr>
              <w:t xml:space="preserve">      </w:t>
            </w:r>
            <w:r w:rsidRPr="00142FA8">
              <w:rPr>
                <w:rFonts w:ascii="Times New Roman" w:eastAsia="Times New Roman" w:hAnsi="Times New Roman" w:cs="Times New Roman"/>
                <w:b/>
                <w:i/>
                <w:sz w:val="24"/>
                <w:szCs w:val="24"/>
                <w:lang w:val="sq-AL"/>
              </w:rPr>
              <w:t>Butrintit</w:t>
            </w:r>
          </w:p>
        </w:tc>
        <w:tc>
          <w:tcPr>
            <w:tcW w:w="1890" w:type="dxa"/>
            <w:shd w:val="clear" w:color="auto" w:fill="FFE599" w:themeFill="accent4" w:themeFillTint="66"/>
          </w:tcPr>
          <w:p w:rsidR="003567D3" w:rsidRPr="00142FA8" w:rsidRDefault="003567D3" w:rsidP="00142FA8">
            <w:pPr>
              <w:widowControl w:val="0"/>
              <w:tabs>
                <w:tab w:val="left" w:pos="968"/>
              </w:tabs>
              <w:autoSpaceDE w:val="0"/>
              <w:autoSpaceDN w:val="0"/>
              <w:spacing w:before="3" w:after="0" w:line="244" w:lineRule="auto"/>
              <w:ind w:left="86" w:right="75"/>
              <w:jc w:val="both"/>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Cilësi</w:t>
            </w:r>
            <w:r w:rsidRPr="00142FA8">
              <w:rPr>
                <w:rFonts w:ascii="Times New Roman" w:eastAsia="Times New Roman" w:hAnsi="Times New Roman" w:cs="Times New Roman"/>
                <w:b/>
                <w:i/>
                <w:spacing w:val="1"/>
                <w:sz w:val="24"/>
                <w:szCs w:val="24"/>
                <w:lang w:val="sq-AL"/>
              </w:rPr>
              <w:t xml:space="preserve"> </w:t>
            </w:r>
            <w:r w:rsidRPr="00142FA8">
              <w:rPr>
                <w:rFonts w:ascii="Times New Roman" w:eastAsia="Times New Roman" w:hAnsi="Times New Roman" w:cs="Times New Roman"/>
                <w:b/>
                <w:i/>
                <w:sz w:val="24"/>
                <w:szCs w:val="24"/>
                <w:lang w:val="sq-AL"/>
              </w:rPr>
              <w:t>mezotrofike</w:t>
            </w:r>
            <w:r w:rsidRPr="00142FA8">
              <w:rPr>
                <w:rFonts w:ascii="Times New Roman" w:eastAsia="Times New Roman" w:hAnsi="Times New Roman" w:cs="Times New Roman"/>
                <w:b/>
                <w:i/>
                <w:spacing w:val="-45"/>
                <w:sz w:val="24"/>
                <w:szCs w:val="24"/>
                <w:lang w:val="sq-AL"/>
              </w:rPr>
              <w:t xml:space="preserve"> </w:t>
            </w:r>
            <w:r w:rsidRPr="00142FA8">
              <w:rPr>
                <w:rFonts w:ascii="Times New Roman" w:eastAsia="Times New Roman" w:hAnsi="Times New Roman" w:cs="Times New Roman"/>
                <w:b/>
                <w:i/>
                <w:sz w:val="24"/>
                <w:szCs w:val="24"/>
                <w:lang w:val="sq-AL"/>
              </w:rPr>
              <w:t xml:space="preserve">me tendencë </w:t>
            </w:r>
            <w:r w:rsidRPr="00142FA8">
              <w:rPr>
                <w:rFonts w:ascii="Times New Roman" w:eastAsia="Times New Roman" w:hAnsi="Times New Roman" w:cs="Times New Roman"/>
                <w:b/>
                <w:i/>
                <w:spacing w:val="-46"/>
                <w:sz w:val="24"/>
                <w:szCs w:val="24"/>
                <w:lang w:val="sq-AL"/>
              </w:rPr>
              <w:t xml:space="preserve"> </w:t>
            </w:r>
            <w:r w:rsidRPr="00142FA8">
              <w:rPr>
                <w:rFonts w:ascii="Times New Roman" w:eastAsia="Times New Roman" w:hAnsi="Times New Roman" w:cs="Times New Roman"/>
                <w:b/>
                <w:i/>
                <w:sz w:val="24"/>
                <w:szCs w:val="24"/>
                <w:lang w:val="sq-AL"/>
              </w:rPr>
              <w:t>eutrofie</w:t>
            </w:r>
          </w:p>
        </w:tc>
        <w:tc>
          <w:tcPr>
            <w:tcW w:w="1530" w:type="dxa"/>
            <w:shd w:val="clear" w:color="auto" w:fill="FE9482"/>
          </w:tcPr>
          <w:p w:rsidR="003567D3" w:rsidRPr="00142FA8" w:rsidRDefault="003567D3" w:rsidP="00142FA8">
            <w:pPr>
              <w:widowControl w:val="0"/>
              <w:autoSpaceDE w:val="0"/>
              <w:autoSpaceDN w:val="0"/>
              <w:spacing w:before="3" w:after="0" w:line="240" w:lineRule="auto"/>
              <w:ind w:left="76" w:right="165"/>
              <w:jc w:val="center"/>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Cilësi</w:t>
            </w:r>
            <w:r w:rsidRPr="00142FA8">
              <w:rPr>
                <w:rFonts w:ascii="Times New Roman" w:eastAsia="Times New Roman" w:hAnsi="Times New Roman" w:cs="Times New Roman"/>
                <w:b/>
                <w:i/>
                <w:spacing w:val="9"/>
                <w:sz w:val="24"/>
                <w:szCs w:val="24"/>
                <w:lang w:val="sq-AL"/>
              </w:rPr>
              <w:t xml:space="preserve"> </w:t>
            </w:r>
            <w:r w:rsidRPr="00142FA8">
              <w:rPr>
                <w:rFonts w:ascii="Times New Roman" w:eastAsia="Times New Roman" w:hAnsi="Times New Roman" w:cs="Times New Roman"/>
                <w:b/>
                <w:i/>
                <w:sz w:val="24"/>
                <w:szCs w:val="24"/>
                <w:lang w:val="sq-AL"/>
              </w:rPr>
              <w:t>eutrofike</w:t>
            </w:r>
          </w:p>
        </w:tc>
        <w:tc>
          <w:tcPr>
            <w:tcW w:w="1620" w:type="dxa"/>
            <w:shd w:val="clear" w:color="auto" w:fill="FFE499"/>
          </w:tcPr>
          <w:p w:rsidR="003567D3" w:rsidRPr="00142FA8" w:rsidRDefault="003567D3" w:rsidP="00142FA8">
            <w:pPr>
              <w:widowControl w:val="0"/>
              <w:autoSpaceDE w:val="0"/>
              <w:autoSpaceDN w:val="0"/>
              <w:spacing w:before="3" w:after="0" w:line="244" w:lineRule="auto"/>
              <w:ind w:left="85" w:right="110"/>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Cilësi</w:t>
            </w:r>
            <w:r w:rsidRPr="00142FA8">
              <w:rPr>
                <w:rFonts w:ascii="Times New Roman" w:eastAsia="Times New Roman" w:hAnsi="Times New Roman" w:cs="Times New Roman"/>
                <w:b/>
                <w:i/>
                <w:spacing w:val="1"/>
                <w:sz w:val="24"/>
                <w:szCs w:val="24"/>
                <w:lang w:val="sq-AL"/>
              </w:rPr>
              <w:t xml:space="preserve"> </w:t>
            </w:r>
            <w:r w:rsidRPr="00142FA8">
              <w:rPr>
                <w:rFonts w:ascii="Times New Roman" w:eastAsia="Times New Roman" w:hAnsi="Times New Roman" w:cs="Times New Roman"/>
                <w:b/>
                <w:i/>
                <w:sz w:val="24"/>
                <w:szCs w:val="24"/>
                <w:lang w:val="sq-AL"/>
              </w:rPr>
              <w:t>mezotrofike</w:t>
            </w:r>
          </w:p>
        </w:tc>
        <w:tc>
          <w:tcPr>
            <w:tcW w:w="1170" w:type="dxa"/>
            <w:shd w:val="clear" w:color="auto" w:fill="FE9482"/>
          </w:tcPr>
          <w:p w:rsidR="003567D3" w:rsidRPr="00142FA8" w:rsidRDefault="003567D3" w:rsidP="00142FA8">
            <w:pPr>
              <w:widowControl w:val="0"/>
              <w:autoSpaceDE w:val="0"/>
              <w:autoSpaceDN w:val="0"/>
              <w:spacing w:before="3" w:after="0" w:line="240" w:lineRule="auto"/>
              <w:ind w:left="75" w:right="152"/>
              <w:jc w:val="center"/>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Cilësi</w:t>
            </w:r>
            <w:r w:rsidRPr="00142FA8">
              <w:rPr>
                <w:rFonts w:ascii="Times New Roman" w:eastAsia="Times New Roman" w:hAnsi="Times New Roman" w:cs="Times New Roman"/>
                <w:b/>
                <w:i/>
                <w:spacing w:val="9"/>
                <w:sz w:val="24"/>
                <w:szCs w:val="24"/>
                <w:lang w:val="sq-AL"/>
              </w:rPr>
              <w:t xml:space="preserve"> </w:t>
            </w:r>
            <w:r w:rsidRPr="00142FA8">
              <w:rPr>
                <w:rFonts w:ascii="Times New Roman" w:eastAsia="Times New Roman" w:hAnsi="Times New Roman" w:cs="Times New Roman"/>
                <w:b/>
                <w:i/>
                <w:sz w:val="24"/>
                <w:szCs w:val="24"/>
                <w:lang w:val="sq-AL"/>
              </w:rPr>
              <w:t>eutrofike</w:t>
            </w:r>
          </w:p>
        </w:tc>
        <w:tc>
          <w:tcPr>
            <w:tcW w:w="1260" w:type="dxa"/>
            <w:shd w:val="clear" w:color="auto" w:fill="FFE599" w:themeFill="accent4" w:themeFillTint="66"/>
          </w:tcPr>
          <w:p w:rsidR="003567D3" w:rsidRPr="00142FA8" w:rsidRDefault="003567D3" w:rsidP="00142FA8">
            <w:pPr>
              <w:spacing w:after="200" w:line="288" w:lineRule="auto"/>
              <w:jc w:val="center"/>
              <w:rPr>
                <w:rFonts w:ascii="Times New Roman" w:eastAsiaTheme="minorEastAsia" w:hAnsi="Times New Roman" w:cs="Times New Roman"/>
                <w:b/>
                <w:i/>
                <w:sz w:val="24"/>
                <w:szCs w:val="24"/>
              </w:rPr>
            </w:pPr>
            <w:r w:rsidRPr="00142FA8">
              <w:rPr>
                <w:rFonts w:ascii="Times New Roman" w:eastAsiaTheme="minorEastAsia" w:hAnsi="Times New Roman" w:cs="Times New Roman"/>
                <w:b/>
                <w:i/>
                <w:sz w:val="24"/>
                <w:szCs w:val="24"/>
              </w:rPr>
              <w:t>Cilësi mezotrofike</w:t>
            </w:r>
          </w:p>
        </w:tc>
        <w:tc>
          <w:tcPr>
            <w:tcW w:w="1260" w:type="dxa"/>
            <w:shd w:val="clear" w:color="auto" w:fill="ED7D31" w:themeFill="accent2"/>
          </w:tcPr>
          <w:p w:rsidR="003567D3" w:rsidRPr="00142FA8" w:rsidRDefault="003567D3" w:rsidP="00142FA8">
            <w:pPr>
              <w:spacing w:after="200" w:line="288" w:lineRule="auto"/>
              <w:jc w:val="center"/>
              <w:rPr>
                <w:rFonts w:ascii="Times New Roman" w:eastAsiaTheme="minorEastAsia" w:hAnsi="Times New Roman" w:cs="Times New Roman"/>
                <w:b/>
                <w:i/>
                <w:sz w:val="24"/>
                <w:szCs w:val="24"/>
              </w:rPr>
            </w:pPr>
            <w:r w:rsidRPr="00142FA8">
              <w:rPr>
                <w:rFonts w:ascii="Times New Roman" w:eastAsiaTheme="minorEastAsia" w:hAnsi="Times New Roman" w:cs="Times New Roman"/>
                <w:b/>
                <w:i/>
                <w:sz w:val="24"/>
                <w:szCs w:val="24"/>
              </w:rPr>
              <w:t>Cilësi eutrofik</w:t>
            </w:r>
            <w:r>
              <w:rPr>
                <w:rFonts w:ascii="Times New Roman" w:eastAsiaTheme="minorEastAsia" w:hAnsi="Times New Roman" w:cs="Times New Roman"/>
                <w:b/>
                <w:i/>
                <w:sz w:val="24"/>
                <w:szCs w:val="24"/>
              </w:rPr>
              <w:t>e</w:t>
            </w:r>
          </w:p>
        </w:tc>
      </w:tr>
      <w:tr w:rsidR="003567D3" w:rsidRPr="00142FA8" w:rsidTr="003567D3">
        <w:trPr>
          <w:trHeight w:val="709"/>
        </w:trPr>
        <w:tc>
          <w:tcPr>
            <w:tcW w:w="1530" w:type="dxa"/>
            <w:shd w:val="clear" w:color="auto" w:fill="D9E1F3"/>
          </w:tcPr>
          <w:p w:rsidR="003567D3" w:rsidRPr="00142FA8" w:rsidRDefault="003567D3" w:rsidP="00142FA8">
            <w:pPr>
              <w:widowControl w:val="0"/>
              <w:tabs>
                <w:tab w:val="left" w:pos="1318"/>
              </w:tabs>
              <w:autoSpaceDE w:val="0"/>
              <w:autoSpaceDN w:val="0"/>
              <w:spacing w:before="3" w:after="0" w:line="244" w:lineRule="auto"/>
              <w:ind w:left="86" w:right="76"/>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Laguna e Karavastasë</w:t>
            </w:r>
          </w:p>
        </w:tc>
        <w:tc>
          <w:tcPr>
            <w:tcW w:w="1890" w:type="dxa"/>
            <w:shd w:val="clear" w:color="auto" w:fill="FE9482"/>
          </w:tcPr>
          <w:p w:rsidR="003567D3" w:rsidRPr="00142FA8" w:rsidRDefault="003567D3" w:rsidP="00142FA8">
            <w:pPr>
              <w:widowControl w:val="0"/>
              <w:tabs>
                <w:tab w:val="left" w:pos="968"/>
              </w:tabs>
              <w:autoSpaceDE w:val="0"/>
              <w:autoSpaceDN w:val="0"/>
              <w:spacing w:before="3" w:after="0" w:line="244" w:lineRule="auto"/>
              <w:ind w:left="86" w:right="75"/>
              <w:jc w:val="both"/>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Cilësi</w:t>
            </w:r>
          </w:p>
          <w:p w:rsidR="003567D3" w:rsidRPr="00142FA8" w:rsidRDefault="003567D3" w:rsidP="00142FA8">
            <w:pPr>
              <w:widowControl w:val="0"/>
              <w:tabs>
                <w:tab w:val="left" w:pos="968"/>
              </w:tabs>
              <w:autoSpaceDE w:val="0"/>
              <w:autoSpaceDN w:val="0"/>
              <w:spacing w:before="3" w:after="0" w:line="244" w:lineRule="auto"/>
              <w:ind w:left="86" w:right="75"/>
              <w:jc w:val="both"/>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eutrofike</w:t>
            </w:r>
          </w:p>
        </w:tc>
        <w:tc>
          <w:tcPr>
            <w:tcW w:w="1530" w:type="dxa"/>
            <w:shd w:val="clear" w:color="auto" w:fill="FE9482"/>
          </w:tcPr>
          <w:p w:rsidR="003567D3" w:rsidRPr="00142FA8" w:rsidRDefault="003567D3" w:rsidP="00142FA8">
            <w:pPr>
              <w:widowControl w:val="0"/>
              <w:autoSpaceDE w:val="0"/>
              <w:autoSpaceDN w:val="0"/>
              <w:spacing w:before="3" w:after="0" w:line="240" w:lineRule="auto"/>
              <w:ind w:left="76" w:right="165"/>
              <w:jc w:val="center"/>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Cilësi</w:t>
            </w:r>
          </w:p>
          <w:p w:rsidR="003567D3" w:rsidRPr="00142FA8" w:rsidRDefault="003567D3" w:rsidP="00142FA8">
            <w:pPr>
              <w:widowControl w:val="0"/>
              <w:autoSpaceDE w:val="0"/>
              <w:autoSpaceDN w:val="0"/>
              <w:spacing w:before="3" w:after="0" w:line="240" w:lineRule="auto"/>
              <w:ind w:left="76" w:right="165"/>
              <w:jc w:val="center"/>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eutrofike</w:t>
            </w:r>
          </w:p>
        </w:tc>
        <w:tc>
          <w:tcPr>
            <w:tcW w:w="1620" w:type="dxa"/>
            <w:shd w:val="clear" w:color="auto" w:fill="FFFFFF" w:themeFill="background1"/>
          </w:tcPr>
          <w:p w:rsidR="003567D3" w:rsidRPr="00142FA8" w:rsidRDefault="003567D3" w:rsidP="00142FA8">
            <w:pPr>
              <w:widowControl w:val="0"/>
              <w:autoSpaceDE w:val="0"/>
              <w:autoSpaceDN w:val="0"/>
              <w:spacing w:before="3" w:after="0" w:line="244" w:lineRule="auto"/>
              <w:ind w:left="85" w:right="110"/>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w:t>
            </w:r>
          </w:p>
        </w:tc>
        <w:tc>
          <w:tcPr>
            <w:tcW w:w="1170" w:type="dxa"/>
            <w:shd w:val="clear" w:color="auto" w:fill="FFFFFF" w:themeFill="background1"/>
          </w:tcPr>
          <w:p w:rsidR="003567D3" w:rsidRPr="00142FA8" w:rsidRDefault="003567D3" w:rsidP="00142FA8">
            <w:pPr>
              <w:widowControl w:val="0"/>
              <w:autoSpaceDE w:val="0"/>
              <w:autoSpaceDN w:val="0"/>
              <w:spacing w:before="3" w:after="0" w:line="240" w:lineRule="auto"/>
              <w:ind w:left="75" w:right="152"/>
              <w:jc w:val="center"/>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w:t>
            </w:r>
          </w:p>
        </w:tc>
        <w:tc>
          <w:tcPr>
            <w:tcW w:w="1260" w:type="dxa"/>
            <w:shd w:val="clear" w:color="auto" w:fill="FE9482"/>
          </w:tcPr>
          <w:p w:rsidR="003567D3" w:rsidRPr="00142FA8" w:rsidRDefault="003567D3" w:rsidP="00142FA8">
            <w:pPr>
              <w:spacing w:after="200" w:line="288" w:lineRule="auto"/>
              <w:jc w:val="center"/>
              <w:rPr>
                <w:rFonts w:ascii="Times New Roman" w:eastAsiaTheme="minorEastAsia" w:hAnsi="Times New Roman" w:cs="Times New Roman"/>
                <w:b/>
                <w:i/>
                <w:sz w:val="24"/>
                <w:szCs w:val="24"/>
              </w:rPr>
            </w:pPr>
            <w:r w:rsidRPr="00142FA8">
              <w:rPr>
                <w:rFonts w:ascii="Times New Roman" w:eastAsiaTheme="minorEastAsia" w:hAnsi="Times New Roman" w:cs="Times New Roman"/>
                <w:b/>
                <w:i/>
                <w:sz w:val="24"/>
                <w:szCs w:val="24"/>
              </w:rPr>
              <w:t>Cilësi eutrofike</w:t>
            </w:r>
          </w:p>
        </w:tc>
        <w:tc>
          <w:tcPr>
            <w:tcW w:w="1260" w:type="dxa"/>
            <w:shd w:val="clear" w:color="auto" w:fill="FE9482"/>
          </w:tcPr>
          <w:p w:rsidR="003567D3" w:rsidRPr="00142FA8" w:rsidRDefault="003567D3" w:rsidP="00142FA8">
            <w:pPr>
              <w:spacing w:after="200" w:line="288" w:lineRule="auto"/>
              <w:jc w:val="center"/>
              <w:rPr>
                <w:rFonts w:ascii="Times New Roman" w:eastAsiaTheme="minorEastAsia" w:hAnsi="Times New Roman" w:cs="Times New Roman"/>
                <w:b/>
                <w:i/>
                <w:sz w:val="24"/>
                <w:szCs w:val="24"/>
              </w:rPr>
            </w:pPr>
            <w:r w:rsidRPr="00142FA8">
              <w:rPr>
                <w:rFonts w:ascii="Times New Roman" w:eastAsiaTheme="minorEastAsia" w:hAnsi="Times New Roman" w:cs="Times New Roman"/>
                <w:b/>
                <w:i/>
                <w:sz w:val="24"/>
                <w:szCs w:val="24"/>
              </w:rPr>
              <w:t>Cilësi eutrofike</w:t>
            </w:r>
          </w:p>
        </w:tc>
      </w:tr>
      <w:tr w:rsidR="003567D3" w:rsidRPr="00142FA8" w:rsidTr="003567D3">
        <w:trPr>
          <w:trHeight w:val="709"/>
        </w:trPr>
        <w:tc>
          <w:tcPr>
            <w:tcW w:w="1530" w:type="dxa"/>
            <w:shd w:val="clear" w:color="auto" w:fill="D9E1F3"/>
          </w:tcPr>
          <w:p w:rsidR="003567D3" w:rsidRPr="00142FA8" w:rsidRDefault="003567D3" w:rsidP="00142FA8">
            <w:pPr>
              <w:widowControl w:val="0"/>
              <w:tabs>
                <w:tab w:val="left" w:pos="1318"/>
              </w:tabs>
              <w:autoSpaceDE w:val="0"/>
              <w:autoSpaceDN w:val="0"/>
              <w:spacing w:before="3" w:after="0" w:line="244" w:lineRule="auto"/>
              <w:ind w:left="86" w:right="76"/>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Laguna e Nartes</w:t>
            </w:r>
          </w:p>
        </w:tc>
        <w:tc>
          <w:tcPr>
            <w:tcW w:w="1890" w:type="dxa"/>
            <w:shd w:val="clear" w:color="auto" w:fill="FE9482"/>
          </w:tcPr>
          <w:p w:rsidR="003567D3" w:rsidRPr="00142FA8" w:rsidRDefault="003567D3" w:rsidP="00142FA8">
            <w:pPr>
              <w:widowControl w:val="0"/>
              <w:tabs>
                <w:tab w:val="left" w:pos="968"/>
              </w:tabs>
              <w:autoSpaceDE w:val="0"/>
              <w:autoSpaceDN w:val="0"/>
              <w:spacing w:before="3" w:after="0" w:line="244" w:lineRule="auto"/>
              <w:ind w:left="86" w:right="75"/>
              <w:jc w:val="both"/>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Cilësi</w:t>
            </w:r>
          </w:p>
          <w:p w:rsidR="003567D3" w:rsidRPr="00142FA8" w:rsidRDefault="003567D3" w:rsidP="00142FA8">
            <w:pPr>
              <w:widowControl w:val="0"/>
              <w:tabs>
                <w:tab w:val="left" w:pos="968"/>
              </w:tabs>
              <w:autoSpaceDE w:val="0"/>
              <w:autoSpaceDN w:val="0"/>
              <w:spacing w:before="3" w:after="0" w:line="244" w:lineRule="auto"/>
              <w:ind w:left="86" w:right="75"/>
              <w:jc w:val="both"/>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eutrofike</w:t>
            </w:r>
          </w:p>
        </w:tc>
        <w:tc>
          <w:tcPr>
            <w:tcW w:w="1530" w:type="dxa"/>
            <w:shd w:val="clear" w:color="auto" w:fill="FFE599" w:themeFill="accent4" w:themeFillTint="66"/>
          </w:tcPr>
          <w:p w:rsidR="003567D3" w:rsidRPr="00142FA8" w:rsidRDefault="003567D3" w:rsidP="00142FA8">
            <w:pPr>
              <w:widowControl w:val="0"/>
              <w:autoSpaceDE w:val="0"/>
              <w:autoSpaceDN w:val="0"/>
              <w:spacing w:before="3" w:after="0" w:line="240" w:lineRule="auto"/>
              <w:ind w:left="76" w:right="165"/>
              <w:jc w:val="center"/>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Cilësi mezotrofike</w:t>
            </w:r>
          </w:p>
        </w:tc>
        <w:tc>
          <w:tcPr>
            <w:tcW w:w="1620" w:type="dxa"/>
            <w:shd w:val="clear" w:color="auto" w:fill="FFFFFF" w:themeFill="background1"/>
          </w:tcPr>
          <w:p w:rsidR="003567D3" w:rsidRPr="00142FA8" w:rsidRDefault="003567D3" w:rsidP="00142FA8">
            <w:pPr>
              <w:widowControl w:val="0"/>
              <w:autoSpaceDE w:val="0"/>
              <w:autoSpaceDN w:val="0"/>
              <w:spacing w:before="3" w:after="0" w:line="244" w:lineRule="auto"/>
              <w:ind w:left="85" w:right="110"/>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w:t>
            </w:r>
          </w:p>
        </w:tc>
        <w:tc>
          <w:tcPr>
            <w:tcW w:w="1170" w:type="dxa"/>
            <w:shd w:val="clear" w:color="auto" w:fill="FFFFFF" w:themeFill="background1"/>
          </w:tcPr>
          <w:p w:rsidR="003567D3" w:rsidRPr="00142FA8" w:rsidRDefault="003567D3" w:rsidP="00142FA8">
            <w:pPr>
              <w:widowControl w:val="0"/>
              <w:autoSpaceDE w:val="0"/>
              <w:autoSpaceDN w:val="0"/>
              <w:spacing w:before="3" w:after="0" w:line="240" w:lineRule="auto"/>
              <w:ind w:left="75" w:right="152"/>
              <w:jc w:val="center"/>
              <w:rPr>
                <w:rFonts w:ascii="Times New Roman" w:eastAsia="Times New Roman" w:hAnsi="Times New Roman" w:cs="Times New Roman"/>
                <w:b/>
                <w:i/>
                <w:sz w:val="24"/>
                <w:szCs w:val="24"/>
                <w:lang w:val="sq-AL"/>
              </w:rPr>
            </w:pPr>
            <w:r w:rsidRPr="00142FA8">
              <w:rPr>
                <w:rFonts w:ascii="Times New Roman" w:eastAsia="Times New Roman" w:hAnsi="Times New Roman" w:cs="Times New Roman"/>
                <w:b/>
                <w:i/>
                <w:sz w:val="24"/>
                <w:szCs w:val="24"/>
                <w:lang w:val="sq-AL"/>
              </w:rPr>
              <w:t>-</w:t>
            </w:r>
          </w:p>
        </w:tc>
        <w:tc>
          <w:tcPr>
            <w:tcW w:w="1260" w:type="dxa"/>
            <w:shd w:val="clear" w:color="auto" w:fill="FE9482"/>
          </w:tcPr>
          <w:p w:rsidR="003567D3" w:rsidRPr="00142FA8" w:rsidRDefault="003567D3" w:rsidP="00142FA8">
            <w:pPr>
              <w:spacing w:after="200" w:line="288" w:lineRule="auto"/>
              <w:jc w:val="center"/>
              <w:rPr>
                <w:rFonts w:ascii="Times New Roman" w:eastAsiaTheme="minorEastAsia" w:hAnsi="Times New Roman" w:cs="Times New Roman"/>
                <w:b/>
                <w:i/>
                <w:sz w:val="24"/>
                <w:szCs w:val="24"/>
              </w:rPr>
            </w:pPr>
            <w:r w:rsidRPr="00142FA8">
              <w:rPr>
                <w:rFonts w:ascii="Times New Roman" w:eastAsiaTheme="minorEastAsia" w:hAnsi="Times New Roman" w:cs="Times New Roman"/>
                <w:b/>
                <w:i/>
                <w:sz w:val="24"/>
                <w:szCs w:val="24"/>
              </w:rPr>
              <w:t>Cilësi eutrofike</w:t>
            </w:r>
          </w:p>
        </w:tc>
        <w:tc>
          <w:tcPr>
            <w:tcW w:w="1260" w:type="dxa"/>
            <w:shd w:val="clear" w:color="auto" w:fill="FE9482"/>
          </w:tcPr>
          <w:p w:rsidR="003567D3" w:rsidRPr="00142FA8" w:rsidRDefault="003567D3" w:rsidP="00142FA8">
            <w:pPr>
              <w:spacing w:after="200" w:line="288" w:lineRule="auto"/>
              <w:jc w:val="center"/>
              <w:rPr>
                <w:rFonts w:ascii="Times New Roman" w:eastAsiaTheme="minorEastAsia" w:hAnsi="Times New Roman" w:cs="Times New Roman"/>
                <w:b/>
                <w:i/>
                <w:sz w:val="24"/>
                <w:szCs w:val="24"/>
              </w:rPr>
            </w:pPr>
            <w:r w:rsidRPr="00142FA8">
              <w:rPr>
                <w:rFonts w:ascii="Times New Roman" w:eastAsiaTheme="minorEastAsia" w:hAnsi="Times New Roman" w:cs="Times New Roman"/>
                <w:b/>
                <w:i/>
                <w:sz w:val="24"/>
                <w:szCs w:val="24"/>
              </w:rPr>
              <w:t>Cilësi eutrofike</w:t>
            </w:r>
          </w:p>
        </w:tc>
      </w:tr>
    </w:tbl>
    <w:p w:rsidR="009C00C2" w:rsidRDefault="00142FA8" w:rsidP="009C00C2">
      <w:pPr>
        <w:spacing w:after="200" w:line="276" w:lineRule="auto"/>
        <w:rPr>
          <w:rFonts w:ascii="Times New Roman" w:eastAsia="Calibri" w:hAnsi="Times New Roman" w:cs="Times New Roman"/>
          <w:b/>
          <w:i/>
          <w:sz w:val="24"/>
          <w:szCs w:val="24"/>
        </w:rPr>
      </w:pPr>
      <w:r w:rsidRPr="00142FA8">
        <w:rPr>
          <w:rFonts w:ascii="Times New Roman" w:eastAsia="Calibri" w:hAnsi="Times New Roman" w:cs="Times New Roman"/>
          <w:b/>
          <w:i/>
          <w:sz w:val="24"/>
          <w:szCs w:val="24"/>
        </w:rPr>
        <w:t xml:space="preserve">  </w:t>
      </w:r>
    </w:p>
    <w:p w:rsidR="00731AF9" w:rsidRDefault="00731AF9" w:rsidP="00807975">
      <w:pPr>
        <w:pStyle w:val="ListParagraph"/>
        <w:numPr>
          <w:ilvl w:val="0"/>
          <w:numId w:val="125"/>
        </w:numPr>
        <w:spacing w:after="200" w:line="276" w:lineRule="auto"/>
        <w:rPr>
          <w:rFonts w:ascii="Times New Roman" w:eastAsia="Calibri" w:hAnsi="Times New Roman" w:cs="Times New Roman"/>
          <w:b/>
          <w:sz w:val="24"/>
          <w:szCs w:val="24"/>
        </w:rPr>
      </w:pPr>
      <w:r w:rsidRPr="00731AF9">
        <w:rPr>
          <w:rFonts w:ascii="Times New Roman" w:eastAsia="Calibri" w:hAnsi="Times New Roman" w:cs="Times New Roman"/>
          <w:b/>
          <w:sz w:val="24"/>
          <w:szCs w:val="24"/>
        </w:rPr>
        <w:t>Stacionet e plazheve dhe sipërfaqet e shfrytëzuara</w:t>
      </w:r>
    </w:p>
    <w:p w:rsidR="00731AF9" w:rsidRDefault="00731AF9" w:rsidP="00731AF9">
      <w:pPr>
        <w:pStyle w:val="ListParagraph"/>
        <w:spacing w:after="200" w:line="276" w:lineRule="auto"/>
        <w:rPr>
          <w:rFonts w:ascii="Times New Roman" w:eastAsia="Calibri" w:hAnsi="Times New Roman" w:cs="Times New Roman"/>
          <w:b/>
          <w:sz w:val="24"/>
          <w:szCs w:val="24"/>
        </w:rPr>
      </w:pPr>
    </w:p>
    <w:p w:rsidR="006015B2" w:rsidRDefault="006015B2" w:rsidP="006015B2">
      <w:pPr>
        <w:widowControl w:val="0"/>
        <w:autoSpaceDE w:val="0"/>
        <w:autoSpaceDN w:val="0"/>
        <w:spacing w:after="0" w:line="240" w:lineRule="auto"/>
        <w:jc w:val="both"/>
        <w:rPr>
          <w:rFonts w:ascii="Times New Roman" w:eastAsia="Times New Roman" w:hAnsi="Times New Roman" w:cs="Times New Roman"/>
          <w:sz w:val="24"/>
          <w:szCs w:val="24"/>
          <w:lang w:val="sq-AL"/>
        </w:rPr>
      </w:pPr>
      <w:r w:rsidRPr="006015B2">
        <w:rPr>
          <w:rFonts w:ascii="Times New Roman" w:eastAsia="Times New Roman" w:hAnsi="Times New Roman" w:cs="Times New Roman"/>
          <w:sz w:val="24"/>
          <w:szCs w:val="24"/>
          <w:lang w:val="sq-AL"/>
        </w:rPr>
        <w:t>Agjencia</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Kombëtare</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e</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Bregdetit,</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bazuar</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në</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VKM</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nr</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171,</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date</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27.03.2019”</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Për</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miratimin</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e</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rregullores</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për</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kushtet</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dhe</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kritetret</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e</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ushtrimit</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të</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veprimtarisë</w:t>
      </w:r>
      <w:r w:rsidRPr="006015B2">
        <w:rPr>
          <w:rFonts w:ascii="Times New Roman" w:eastAsia="Times New Roman" w:hAnsi="Times New Roman" w:cs="Times New Roman"/>
          <w:spacing w:val="47"/>
          <w:sz w:val="24"/>
          <w:szCs w:val="24"/>
          <w:lang w:val="sq-AL"/>
        </w:rPr>
        <w:t xml:space="preserve"> </w:t>
      </w:r>
      <w:r w:rsidRPr="006015B2">
        <w:rPr>
          <w:rFonts w:ascii="Times New Roman" w:eastAsia="Times New Roman" w:hAnsi="Times New Roman" w:cs="Times New Roman"/>
          <w:sz w:val="24"/>
          <w:szCs w:val="24"/>
          <w:lang w:val="sq-AL"/>
        </w:rPr>
        <w:t>së</w:t>
      </w:r>
      <w:r w:rsidRPr="006015B2">
        <w:rPr>
          <w:rFonts w:ascii="Times New Roman" w:eastAsia="Times New Roman" w:hAnsi="Times New Roman" w:cs="Times New Roman"/>
          <w:spacing w:val="48"/>
          <w:sz w:val="24"/>
          <w:szCs w:val="24"/>
          <w:lang w:val="sq-AL"/>
        </w:rPr>
        <w:t xml:space="preserve"> </w:t>
      </w:r>
      <w:r w:rsidRPr="006015B2">
        <w:rPr>
          <w:rFonts w:ascii="Times New Roman" w:eastAsia="Times New Roman" w:hAnsi="Times New Roman" w:cs="Times New Roman"/>
          <w:sz w:val="24"/>
          <w:szCs w:val="24"/>
          <w:lang w:val="sq-AL"/>
        </w:rPr>
        <w:t>stacionit</w:t>
      </w:r>
      <w:r w:rsidRPr="006015B2">
        <w:rPr>
          <w:rFonts w:ascii="Times New Roman" w:eastAsia="Times New Roman" w:hAnsi="Times New Roman" w:cs="Times New Roman"/>
          <w:spacing w:val="47"/>
          <w:sz w:val="24"/>
          <w:szCs w:val="24"/>
          <w:lang w:val="sq-AL"/>
        </w:rPr>
        <w:t xml:space="preserve"> </w:t>
      </w:r>
      <w:r w:rsidRPr="006015B2">
        <w:rPr>
          <w:rFonts w:ascii="Times New Roman" w:eastAsia="Times New Roman" w:hAnsi="Times New Roman" w:cs="Times New Roman"/>
          <w:sz w:val="24"/>
          <w:szCs w:val="24"/>
          <w:lang w:val="sq-AL"/>
        </w:rPr>
        <w:t>të</w:t>
      </w:r>
      <w:r w:rsidRPr="006015B2">
        <w:rPr>
          <w:rFonts w:ascii="Times New Roman" w:eastAsia="Times New Roman" w:hAnsi="Times New Roman" w:cs="Times New Roman"/>
          <w:spacing w:val="48"/>
          <w:sz w:val="24"/>
          <w:szCs w:val="24"/>
          <w:lang w:val="sq-AL"/>
        </w:rPr>
        <w:t xml:space="preserve"> </w:t>
      </w:r>
      <w:r w:rsidRPr="006015B2">
        <w:rPr>
          <w:rFonts w:ascii="Times New Roman" w:eastAsia="Times New Roman" w:hAnsi="Times New Roman" w:cs="Times New Roman"/>
          <w:sz w:val="24"/>
          <w:szCs w:val="24"/>
          <w:lang w:val="sq-AL"/>
        </w:rPr>
        <w:t>plazhit”</w:t>
      </w:r>
      <w:r w:rsidRPr="006015B2">
        <w:rPr>
          <w:rFonts w:ascii="Times New Roman" w:eastAsia="Times New Roman" w:hAnsi="Times New Roman" w:cs="Times New Roman"/>
          <w:spacing w:val="47"/>
          <w:sz w:val="24"/>
          <w:szCs w:val="24"/>
          <w:lang w:val="sq-AL"/>
        </w:rPr>
        <w:t xml:space="preserve"> </w:t>
      </w:r>
      <w:r w:rsidRPr="006015B2">
        <w:rPr>
          <w:rFonts w:ascii="Times New Roman" w:eastAsia="Times New Roman" w:hAnsi="Times New Roman" w:cs="Times New Roman"/>
          <w:sz w:val="24"/>
          <w:szCs w:val="24"/>
          <w:lang w:val="sq-AL"/>
        </w:rPr>
        <w:t>të</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ndryshuar,</w:t>
      </w:r>
      <w:r w:rsidRPr="006015B2">
        <w:rPr>
          <w:rFonts w:ascii="Times New Roman" w:eastAsia="Times New Roman" w:hAnsi="Times New Roman" w:cs="Times New Roman"/>
          <w:spacing w:val="33"/>
          <w:sz w:val="24"/>
          <w:szCs w:val="24"/>
          <w:lang w:val="sq-AL"/>
        </w:rPr>
        <w:t xml:space="preserve"> </w:t>
      </w:r>
      <w:r w:rsidRPr="006015B2">
        <w:rPr>
          <w:rFonts w:ascii="Times New Roman" w:eastAsia="Times New Roman" w:hAnsi="Times New Roman" w:cs="Times New Roman"/>
          <w:sz w:val="24"/>
          <w:szCs w:val="24"/>
          <w:lang w:val="sq-AL"/>
        </w:rPr>
        <w:t>ka</w:t>
      </w:r>
      <w:r w:rsidRPr="006015B2">
        <w:rPr>
          <w:rFonts w:ascii="Times New Roman" w:eastAsia="Times New Roman" w:hAnsi="Times New Roman" w:cs="Times New Roman"/>
          <w:spacing w:val="37"/>
          <w:sz w:val="24"/>
          <w:szCs w:val="24"/>
          <w:lang w:val="sq-AL"/>
        </w:rPr>
        <w:t xml:space="preserve"> </w:t>
      </w:r>
      <w:r w:rsidRPr="006015B2">
        <w:rPr>
          <w:rFonts w:ascii="Times New Roman" w:eastAsia="Times New Roman" w:hAnsi="Times New Roman" w:cs="Times New Roman"/>
          <w:sz w:val="24"/>
          <w:szCs w:val="24"/>
          <w:lang w:val="sq-AL"/>
        </w:rPr>
        <w:t>kryer</w:t>
      </w:r>
      <w:r w:rsidRPr="006015B2">
        <w:rPr>
          <w:rFonts w:ascii="Times New Roman" w:eastAsia="Times New Roman" w:hAnsi="Times New Roman" w:cs="Times New Roman"/>
          <w:spacing w:val="37"/>
          <w:sz w:val="24"/>
          <w:szCs w:val="24"/>
          <w:lang w:val="sq-AL"/>
        </w:rPr>
        <w:t xml:space="preserve"> </w:t>
      </w:r>
      <w:r w:rsidRPr="006015B2">
        <w:rPr>
          <w:rFonts w:ascii="Times New Roman" w:eastAsia="Times New Roman" w:hAnsi="Times New Roman" w:cs="Times New Roman"/>
          <w:sz w:val="24"/>
          <w:szCs w:val="24"/>
          <w:lang w:val="sq-AL"/>
        </w:rPr>
        <w:t>monitorime</w:t>
      </w:r>
      <w:r w:rsidRPr="006015B2">
        <w:rPr>
          <w:rFonts w:ascii="Times New Roman" w:eastAsia="Times New Roman" w:hAnsi="Times New Roman" w:cs="Times New Roman"/>
          <w:spacing w:val="37"/>
          <w:sz w:val="24"/>
          <w:szCs w:val="24"/>
          <w:lang w:val="sq-AL"/>
        </w:rPr>
        <w:t xml:space="preserve"> </w:t>
      </w:r>
      <w:r w:rsidRPr="006015B2">
        <w:rPr>
          <w:rFonts w:ascii="Times New Roman" w:eastAsia="Times New Roman" w:hAnsi="Times New Roman" w:cs="Times New Roman"/>
          <w:sz w:val="24"/>
          <w:szCs w:val="24"/>
          <w:lang w:val="sq-AL"/>
        </w:rPr>
        <w:t>të</w:t>
      </w:r>
      <w:r w:rsidRPr="006015B2">
        <w:rPr>
          <w:rFonts w:ascii="Times New Roman" w:eastAsia="Times New Roman" w:hAnsi="Times New Roman" w:cs="Times New Roman"/>
          <w:spacing w:val="36"/>
          <w:sz w:val="24"/>
          <w:szCs w:val="24"/>
          <w:lang w:val="sq-AL"/>
        </w:rPr>
        <w:t xml:space="preserve"> </w:t>
      </w:r>
      <w:r w:rsidRPr="006015B2">
        <w:rPr>
          <w:rFonts w:ascii="Times New Roman" w:eastAsia="Times New Roman" w:hAnsi="Times New Roman" w:cs="Times New Roman"/>
          <w:sz w:val="24"/>
          <w:szCs w:val="24"/>
          <w:lang w:val="sq-AL"/>
        </w:rPr>
        <w:t>sipërfaqeve</w:t>
      </w:r>
      <w:r w:rsidRPr="006015B2">
        <w:rPr>
          <w:rFonts w:ascii="Times New Roman" w:eastAsia="Times New Roman" w:hAnsi="Times New Roman" w:cs="Times New Roman"/>
          <w:spacing w:val="35"/>
          <w:sz w:val="24"/>
          <w:szCs w:val="24"/>
          <w:lang w:val="sq-AL"/>
        </w:rPr>
        <w:t xml:space="preserve"> </w:t>
      </w:r>
      <w:r w:rsidRPr="006015B2">
        <w:rPr>
          <w:rFonts w:ascii="Times New Roman" w:eastAsia="Times New Roman" w:hAnsi="Times New Roman" w:cs="Times New Roman"/>
          <w:sz w:val="24"/>
          <w:szCs w:val="24"/>
          <w:lang w:val="sq-AL"/>
        </w:rPr>
        <w:t>të</w:t>
      </w:r>
      <w:r w:rsidRPr="006015B2">
        <w:rPr>
          <w:rFonts w:ascii="Times New Roman" w:eastAsia="Times New Roman" w:hAnsi="Times New Roman" w:cs="Times New Roman"/>
          <w:spacing w:val="37"/>
          <w:sz w:val="24"/>
          <w:szCs w:val="24"/>
          <w:lang w:val="sq-AL"/>
        </w:rPr>
        <w:t xml:space="preserve"> </w:t>
      </w:r>
      <w:r w:rsidRPr="006015B2">
        <w:rPr>
          <w:rFonts w:ascii="Times New Roman" w:eastAsia="Times New Roman" w:hAnsi="Times New Roman" w:cs="Times New Roman"/>
          <w:sz w:val="24"/>
          <w:szCs w:val="24"/>
          <w:lang w:val="sq-AL"/>
        </w:rPr>
        <w:t>plazheve</w:t>
      </w:r>
      <w:r w:rsidRPr="006015B2">
        <w:rPr>
          <w:rFonts w:ascii="Times New Roman" w:eastAsia="Times New Roman" w:hAnsi="Times New Roman" w:cs="Times New Roman"/>
          <w:spacing w:val="35"/>
          <w:sz w:val="24"/>
          <w:szCs w:val="24"/>
          <w:lang w:val="sq-AL"/>
        </w:rPr>
        <w:t xml:space="preserve"> </w:t>
      </w:r>
      <w:r w:rsidRPr="006015B2">
        <w:rPr>
          <w:rFonts w:ascii="Times New Roman" w:eastAsia="Times New Roman" w:hAnsi="Times New Roman" w:cs="Times New Roman"/>
          <w:sz w:val="24"/>
          <w:szCs w:val="24"/>
          <w:lang w:val="sq-AL"/>
        </w:rPr>
        <w:t>të</w:t>
      </w:r>
      <w:r w:rsidRPr="006015B2">
        <w:rPr>
          <w:rFonts w:ascii="Times New Roman" w:eastAsia="Times New Roman" w:hAnsi="Times New Roman" w:cs="Times New Roman"/>
          <w:spacing w:val="37"/>
          <w:sz w:val="24"/>
          <w:szCs w:val="24"/>
          <w:lang w:val="sq-AL"/>
        </w:rPr>
        <w:t xml:space="preserve"> </w:t>
      </w:r>
      <w:r w:rsidRPr="006015B2">
        <w:rPr>
          <w:rFonts w:ascii="Times New Roman" w:eastAsia="Times New Roman" w:hAnsi="Times New Roman" w:cs="Times New Roman"/>
          <w:sz w:val="24"/>
          <w:szCs w:val="24"/>
          <w:lang w:val="sq-AL"/>
        </w:rPr>
        <w:t>shfrytëzuara</w:t>
      </w:r>
      <w:r w:rsidRPr="006015B2">
        <w:rPr>
          <w:rFonts w:ascii="Times New Roman" w:eastAsia="Times New Roman" w:hAnsi="Times New Roman" w:cs="Times New Roman"/>
          <w:spacing w:val="37"/>
          <w:sz w:val="24"/>
          <w:szCs w:val="24"/>
          <w:lang w:val="sq-AL"/>
        </w:rPr>
        <w:t xml:space="preserve"> </w:t>
      </w:r>
      <w:r w:rsidRPr="006015B2">
        <w:rPr>
          <w:rFonts w:ascii="Times New Roman" w:eastAsia="Times New Roman" w:hAnsi="Times New Roman" w:cs="Times New Roman"/>
          <w:sz w:val="24"/>
          <w:szCs w:val="24"/>
          <w:lang w:val="sq-AL"/>
        </w:rPr>
        <w:t>gjatë</w:t>
      </w:r>
      <w:r w:rsidRPr="006015B2">
        <w:rPr>
          <w:rFonts w:ascii="Times New Roman" w:eastAsia="Times New Roman" w:hAnsi="Times New Roman" w:cs="Times New Roman"/>
          <w:spacing w:val="37"/>
          <w:sz w:val="24"/>
          <w:szCs w:val="24"/>
          <w:lang w:val="sq-AL"/>
        </w:rPr>
        <w:t xml:space="preserve"> </w:t>
      </w:r>
      <w:r w:rsidRPr="006015B2">
        <w:rPr>
          <w:rFonts w:ascii="Times New Roman" w:eastAsia="Times New Roman" w:hAnsi="Times New Roman" w:cs="Times New Roman"/>
          <w:sz w:val="24"/>
          <w:szCs w:val="24"/>
          <w:lang w:val="sq-AL"/>
        </w:rPr>
        <w:t>sezonit</w:t>
      </w:r>
      <w:r w:rsidRPr="006015B2">
        <w:rPr>
          <w:rFonts w:ascii="Times New Roman" w:eastAsia="Times New Roman" w:hAnsi="Times New Roman" w:cs="Times New Roman"/>
          <w:spacing w:val="35"/>
          <w:sz w:val="24"/>
          <w:szCs w:val="24"/>
          <w:lang w:val="sq-AL"/>
        </w:rPr>
        <w:t xml:space="preserve"> </w:t>
      </w:r>
      <w:r w:rsidRPr="006015B2">
        <w:rPr>
          <w:rFonts w:ascii="Times New Roman" w:eastAsia="Times New Roman" w:hAnsi="Times New Roman" w:cs="Times New Roman"/>
          <w:sz w:val="24"/>
          <w:szCs w:val="24"/>
          <w:lang w:val="sq-AL"/>
        </w:rPr>
        <w:t>turistik</w:t>
      </w:r>
      <w:r w:rsidRPr="006015B2">
        <w:rPr>
          <w:rFonts w:ascii="Times New Roman" w:eastAsia="Times New Roman" w:hAnsi="Times New Roman" w:cs="Times New Roman"/>
          <w:spacing w:val="-45"/>
          <w:sz w:val="24"/>
          <w:szCs w:val="24"/>
          <w:lang w:val="sq-AL"/>
        </w:rPr>
        <w:t xml:space="preserve"> </w:t>
      </w:r>
      <w:r w:rsidR="00E15C3C">
        <w:rPr>
          <w:rFonts w:ascii="Times New Roman" w:eastAsia="Times New Roman" w:hAnsi="Times New Roman" w:cs="Times New Roman"/>
          <w:sz w:val="24"/>
          <w:szCs w:val="24"/>
          <w:lang w:val="sq-AL"/>
        </w:rPr>
        <w:t>2025</w:t>
      </w:r>
      <w:r w:rsidRPr="006015B2">
        <w:rPr>
          <w:rFonts w:ascii="Times New Roman" w:eastAsia="Times New Roman" w:hAnsi="Times New Roman" w:cs="Times New Roman"/>
          <w:sz w:val="24"/>
          <w:szCs w:val="24"/>
          <w:lang w:val="sq-AL"/>
        </w:rPr>
        <w:t>. Sipërfaqet kategorizohen në hapësira me kontrate, të cilat menaxhohen nga subjekte private, hapësira</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publike</w:t>
      </w:r>
      <w:r w:rsidRPr="006015B2">
        <w:rPr>
          <w:rFonts w:ascii="Times New Roman" w:eastAsia="Times New Roman" w:hAnsi="Times New Roman" w:cs="Times New Roman"/>
          <w:spacing w:val="2"/>
          <w:sz w:val="24"/>
          <w:szCs w:val="24"/>
          <w:lang w:val="sq-AL"/>
        </w:rPr>
        <w:t xml:space="preserve"> </w:t>
      </w:r>
      <w:r w:rsidRPr="006015B2">
        <w:rPr>
          <w:rFonts w:ascii="Times New Roman" w:eastAsia="Times New Roman" w:hAnsi="Times New Roman" w:cs="Times New Roman"/>
          <w:sz w:val="24"/>
          <w:szCs w:val="24"/>
          <w:lang w:val="sq-AL"/>
        </w:rPr>
        <w:t>që</w:t>
      </w:r>
      <w:r w:rsidRPr="006015B2">
        <w:rPr>
          <w:rFonts w:ascii="Times New Roman" w:eastAsia="Times New Roman" w:hAnsi="Times New Roman" w:cs="Times New Roman"/>
          <w:spacing w:val="1"/>
          <w:sz w:val="24"/>
          <w:szCs w:val="24"/>
          <w:lang w:val="sq-AL"/>
        </w:rPr>
        <w:t xml:space="preserve"> </w:t>
      </w:r>
      <w:r w:rsidRPr="006015B2">
        <w:rPr>
          <w:rFonts w:ascii="Times New Roman" w:eastAsia="Times New Roman" w:hAnsi="Times New Roman" w:cs="Times New Roman"/>
          <w:sz w:val="24"/>
          <w:szCs w:val="24"/>
          <w:lang w:val="sq-AL"/>
        </w:rPr>
        <w:t>shfrytëzohen</w:t>
      </w:r>
      <w:r w:rsidRPr="006015B2">
        <w:rPr>
          <w:rFonts w:ascii="Times New Roman" w:eastAsia="Times New Roman" w:hAnsi="Times New Roman" w:cs="Times New Roman"/>
          <w:spacing w:val="2"/>
          <w:sz w:val="24"/>
          <w:szCs w:val="24"/>
          <w:lang w:val="sq-AL"/>
        </w:rPr>
        <w:t xml:space="preserve"> </w:t>
      </w:r>
      <w:r w:rsidRPr="006015B2">
        <w:rPr>
          <w:rFonts w:ascii="Times New Roman" w:eastAsia="Times New Roman" w:hAnsi="Times New Roman" w:cs="Times New Roman"/>
          <w:sz w:val="24"/>
          <w:szCs w:val="24"/>
          <w:lang w:val="sq-AL"/>
        </w:rPr>
        <w:t>nga publiku,</w:t>
      </w:r>
      <w:r w:rsidR="00E15C3C">
        <w:rPr>
          <w:rFonts w:ascii="Times New Roman" w:eastAsia="Times New Roman" w:hAnsi="Times New Roman" w:cs="Times New Roman"/>
          <w:sz w:val="24"/>
          <w:szCs w:val="24"/>
          <w:lang w:val="sq-AL"/>
        </w:rPr>
        <w:t xml:space="preserve"> </w:t>
      </w:r>
      <w:r w:rsidRPr="006015B2">
        <w:rPr>
          <w:rFonts w:ascii="Times New Roman" w:eastAsia="Times New Roman" w:hAnsi="Times New Roman" w:cs="Times New Roman"/>
          <w:sz w:val="24"/>
          <w:szCs w:val="24"/>
          <w:lang w:val="sq-AL"/>
        </w:rPr>
        <w:t>hap</w:t>
      </w:r>
      <w:r w:rsidR="00E15C3C">
        <w:rPr>
          <w:rFonts w:ascii="Times New Roman" w:eastAsia="Times New Roman" w:hAnsi="Times New Roman" w:cs="Times New Roman"/>
          <w:sz w:val="24"/>
          <w:szCs w:val="24"/>
          <w:lang w:val="sq-AL"/>
        </w:rPr>
        <w:t>ë</w:t>
      </w:r>
      <w:r w:rsidRPr="006015B2">
        <w:rPr>
          <w:rFonts w:ascii="Times New Roman" w:eastAsia="Times New Roman" w:hAnsi="Times New Roman" w:cs="Times New Roman"/>
          <w:sz w:val="24"/>
          <w:szCs w:val="24"/>
          <w:lang w:val="sq-AL"/>
        </w:rPr>
        <w:t>sira të menaxhuara dhe investim strategjik.</w:t>
      </w:r>
    </w:p>
    <w:p w:rsidR="006015B2" w:rsidRDefault="006015B2" w:rsidP="00731AF9">
      <w:pPr>
        <w:pStyle w:val="ListParagraph"/>
        <w:spacing w:after="200" w:line="276" w:lineRule="auto"/>
        <w:rPr>
          <w:rFonts w:ascii="Times New Roman" w:eastAsia="Calibri" w:hAnsi="Times New Roman" w:cs="Times New Roman"/>
          <w:b/>
          <w:sz w:val="24"/>
          <w:szCs w:val="24"/>
        </w:rPr>
      </w:pPr>
    </w:p>
    <w:p w:rsidR="000B6146" w:rsidRPr="00E15C3C" w:rsidRDefault="006015B2" w:rsidP="00E15C3C">
      <w:pPr>
        <w:pStyle w:val="ListParagraph"/>
        <w:spacing w:after="200" w:line="276" w:lineRule="auto"/>
        <w:ind w:left="0"/>
        <w:jc w:val="both"/>
        <w:rPr>
          <w:rFonts w:ascii="Times New Roman" w:eastAsia="Calibri" w:hAnsi="Times New Roman" w:cs="Times New Roman"/>
          <w:sz w:val="24"/>
          <w:szCs w:val="24"/>
        </w:rPr>
      </w:pPr>
      <w:r w:rsidRPr="006015B2">
        <w:rPr>
          <w:rFonts w:ascii="Times New Roman" w:eastAsia="Calibri" w:hAnsi="Times New Roman" w:cs="Times New Roman"/>
          <w:sz w:val="24"/>
          <w:szCs w:val="24"/>
        </w:rPr>
        <w:t xml:space="preserve">Numri i stacioneve të plazhit për vitin 2025 rezulton 2858 në total, ku 1005 stacione janë publike.  </w:t>
      </w:r>
      <w:r>
        <w:rPr>
          <w:rFonts w:ascii="Times New Roman" w:eastAsia="Calibri" w:hAnsi="Times New Roman" w:cs="Times New Roman"/>
          <w:sz w:val="24"/>
          <w:szCs w:val="24"/>
        </w:rPr>
        <w:t>Sipërfaqja totale e shfrytëzuar</w:t>
      </w:r>
      <w:r w:rsidR="00C76A2F">
        <w:rPr>
          <w:rFonts w:ascii="Times New Roman" w:eastAsia="Calibri" w:hAnsi="Times New Roman" w:cs="Times New Roman"/>
          <w:sz w:val="24"/>
          <w:szCs w:val="24"/>
        </w:rPr>
        <w:t xml:space="preserve"> e stacioneve </w:t>
      </w:r>
      <w:r>
        <w:rPr>
          <w:rFonts w:ascii="Times New Roman" w:eastAsia="Calibri" w:hAnsi="Times New Roman" w:cs="Times New Roman"/>
          <w:sz w:val="24"/>
          <w:szCs w:val="24"/>
        </w:rPr>
        <w:t xml:space="preserve"> është </w:t>
      </w:r>
      <w:r w:rsidRPr="000B6146">
        <w:rPr>
          <w:rFonts w:ascii="Times New Roman" w:eastAsia="Times New Roman" w:hAnsi="Times New Roman" w:cs="Times New Roman"/>
          <w:bCs/>
          <w:color w:val="000000"/>
          <w:sz w:val="24"/>
          <w:szCs w:val="24"/>
        </w:rPr>
        <w:t>5412628</w:t>
      </w:r>
      <w:r w:rsidRPr="006015B2">
        <w:rPr>
          <w:rFonts w:ascii="Times New Roman" w:eastAsia="Times New Roman" w:hAnsi="Times New Roman" w:cs="Times New Roman"/>
          <w:bCs/>
          <w:color w:val="000000"/>
          <w:sz w:val="24"/>
          <w:szCs w:val="24"/>
        </w:rPr>
        <w:t xml:space="preserve"> m</w:t>
      </w:r>
      <w:r w:rsidRPr="006015B2">
        <w:rPr>
          <w:rFonts w:ascii="Times New Roman" w:eastAsia="Times New Roman" w:hAnsi="Times New Roman" w:cs="Times New Roman"/>
          <w:bCs/>
          <w:color w:val="000000"/>
          <w:sz w:val="24"/>
          <w:szCs w:val="24"/>
          <w:vertAlign w:val="superscript"/>
        </w:rPr>
        <w:t>2</w:t>
      </w:r>
      <w:r w:rsidR="00C76A2F">
        <w:rPr>
          <w:rFonts w:ascii="Times New Roman" w:eastAsia="Times New Roman" w:hAnsi="Times New Roman" w:cs="Times New Roman"/>
          <w:bCs/>
          <w:color w:val="000000"/>
          <w:sz w:val="24"/>
          <w:szCs w:val="24"/>
        </w:rPr>
        <w:t xml:space="preserve">, ku </w:t>
      </w:r>
      <w:r w:rsidR="00C76A2F" w:rsidRPr="000B6146">
        <w:rPr>
          <w:rFonts w:ascii="Times New Roman" w:eastAsia="Times New Roman" w:hAnsi="Times New Roman" w:cs="Times New Roman"/>
          <w:bCs/>
          <w:color w:val="000000"/>
          <w:sz w:val="24"/>
          <w:szCs w:val="24"/>
        </w:rPr>
        <w:t>2875915</w:t>
      </w:r>
      <w:r w:rsidR="00C76A2F">
        <w:rPr>
          <w:rFonts w:ascii="Times New Roman" w:eastAsia="Times New Roman" w:hAnsi="Times New Roman" w:cs="Times New Roman"/>
          <w:bCs/>
          <w:color w:val="000000"/>
          <w:sz w:val="24"/>
          <w:szCs w:val="24"/>
        </w:rPr>
        <w:t xml:space="preserve"> </w:t>
      </w:r>
      <w:r w:rsidR="00C76A2F" w:rsidRPr="00C76A2F">
        <w:rPr>
          <w:rFonts w:ascii="Times New Roman" w:eastAsia="Times New Roman" w:hAnsi="Times New Roman" w:cs="Times New Roman"/>
          <w:bCs/>
          <w:color w:val="000000"/>
          <w:sz w:val="24"/>
          <w:szCs w:val="24"/>
        </w:rPr>
        <w:t>m</w:t>
      </w:r>
      <w:r w:rsidR="00C76A2F" w:rsidRPr="00C76A2F">
        <w:rPr>
          <w:rFonts w:ascii="Times New Roman" w:eastAsia="Times New Roman" w:hAnsi="Times New Roman" w:cs="Times New Roman"/>
          <w:bCs/>
          <w:color w:val="000000"/>
          <w:sz w:val="24"/>
          <w:szCs w:val="24"/>
          <w:vertAlign w:val="superscript"/>
        </w:rPr>
        <w:t>2</w:t>
      </w:r>
      <w:r w:rsidR="00C76A2F" w:rsidRPr="00C76A2F">
        <w:rPr>
          <w:rFonts w:ascii="Times New Roman" w:eastAsia="Times New Roman" w:hAnsi="Times New Roman" w:cs="Times New Roman"/>
          <w:bCs/>
          <w:color w:val="000000"/>
          <w:sz w:val="24"/>
          <w:szCs w:val="24"/>
        </w:rPr>
        <w:t xml:space="preserve"> janë sipërfaqe publike</w:t>
      </w:r>
      <w:r w:rsidR="00C76A2F">
        <w:rPr>
          <w:rFonts w:ascii="Times New Roman" w:eastAsia="Times New Roman" w:hAnsi="Times New Roman" w:cs="Times New Roman"/>
          <w:bCs/>
          <w:color w:val="000000"/>
          <w:sz w:val="24"/>
          <w:szCs w:val="24"/>
        </w:rPr>
        <w:t>.</w:t>
      </w:r>
    </w:p>
    <w:p w:rsidR="000B6146" w:rsidRDefault="00CD2C3A" w:rsidP="000B6146">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Tabela 42. </w:t>
      </w:r>
      <w:r w:rsidR="000B6146" w:rsidRPr="000B6146">
        <w:rPr>
          <w:rFonts w:ascii="Times New Roman" w:eastAsia="Calibri" w:hAnsi="Times New Roman" w:cs="Times New Roman"/>
          <w:sz w:val="24"/>
          <w:szCs w:val="24"/>
        </w:rPr>
        <w:t xml:space="preserve">Plazhet sipas tipologjisë për çdo bashki </w:t>
      </w:r>
      <w:r>
        <w:rPr>
          <w:rFonts w:ascii="Times New Roman" w:eastAsia="Calibri" w:hAnsi="Times New Roman" w:cs="Times New Roman"/>
          <w:sz w:val="24"/>
          <w:szCs w:val="24"/>
        </w:rPr>
        <w:t>, 2025</w:t>
      </w:r>
    </w:p>
    <w:tbl>
      <w:tblPr>
        <w:tblpPr w:leftFromText="180" w:rightFromText="180" w:vertAnchor="text" w:horzAnchor="margin" w:tblpY="113"/>
        <w:tblW w:w="10001" w:type="dxa"/>
        <w:tblLook w:val="04A0" w:firstRow="1" w:lastRow="0" w:firstColumn="1" w:lastColumn="0" w:noHBand="0" w:noVBand="1"/>
      </w:tblPr>
      <w:tblGrid>
        <w:gridCol w:w="1336"/>
        <w:gridCol w:w="3236"/>
        <w:gridCol w:w="1627"/>
        <w:gridCol w:w="1998"/>
        <w:gridCol w:w="2096"/>
      </w:tblGrid>
      <w:tr w:rsidR="00E15C3C" w:rsidRPr="00E15C3C" w:rsidTr="00E15C3C">
        <w:trPr>
          <w:trHeight w:val="935"/>
        </w:trPr>
        <w:tc>
          <w:tcPr>
            <w:tcW w:w="1336" w:type="dxa"/>
            <w:tcBorders>
              <w:top w:val="single" w:sz="4" w:space="0" w:color="000000"/>
              <w:left w:val="single" w:sz="4" w:space="0" w:color="000000"/>
              <w:bottom w:val="single" w:sz="4" w:space="0" w:color="000000"/>
              <w:right w:val="single" w:sz="4" w:space="0" w:color="3F3F3F"/>
            </w:tcBorders>
            <w:shd w:val="clear" w:color="000000" w:fill="F2F2F2"/>
            <w:vAlign w:val="center"/>
            <w:hideMark/>
          </w:tcPr>
          <w:p w:rsidR="00E15C3C" w:rsidRPr="00E15C3C" w:rsidRDefault="00E15C3C" w:rsidP="00E15C3C">
            <w:pPr>
              <w:spacing w:after="0" w:line="240" w:lineRule="auto"/>
              <w:jc w:val="center"/>
              <w:rPr>
                <w:rFonts w:ascii="Times New Roman" w:eastAsia="Times New Roman" w:hAnsi="Times New Roman" w:cs="Times New Roman"/>
                <w:sz w:val="24"/>
                <w:szCs w:val="24"/>
              </w:rPr>
            </w:pPr>
            <w:r w:rsidRPr="00E15C3C">
              <w:rPr>
                <w:rFonts w:ascii="Times New Roman" w:eastAsia="Times New Roman" w:hAnsi="Times New Roman" w:cs="Times New Roman"/>
                <w:sz w:val="24"/>
                <w:szCs w:val="24"/>
              </w:rPr>
              <w:t>Bashkia</w:t>
            </w:r>
          </w:p>
        </w:tc>
        <w:tc>
          <w:tcPr>
            <w:tcW w:w="3236" w:type="dxa"/>
            <w:tcBorders>
              <w:top w:val="single" w:sz="4" w:space="0" w:color="000000"/>
              <w:left w:val="nil"/>
              <w:bottom w:val="single" w:sz="4" w:space="0" w:color="000000"/>
              <w:right w:val="single" w:sz="4" w:space="0" w:color="3F3F3F"/>
            </w:tcBorders>
            <w:shd w:val="clear" w:color="000000" w:fill="F2F2F2"/>
            <w:vAlign w:val="center"/>
            <w:hideMark/>
          </w:tcPr>
          <w:p w:rsidR="00E15C3C" w:rsidRPr="00E15C3C" w:rsidRDefault="00E15C3C" w:rsidP="00E15C3C">
            <w:pPr>
              <w:spacing w:after="0" w:line="240" w:lineRule="auto"/>
              <w:jc w:val="center"/>
              <w:rPr>
                <w:rFonts w:ascii="Times New Roman" w:eastAsia="Times New Roman" w:hAnsi="Times New Roman" w:cs="Times New Roman"/>
                <w:sz w:val="24"/>
                <w:szCs w:val="24"/>
              </w:rPr>
            </w:pPr>
            <w:r w:rsidRPr="00E15C3C">
              <w:rPr>
                <w:rFonts w:ascii="Times New Roman" w:eastAsia="Times New Roman" w:hAnsi="Times New Roman" w:cs="Times New Roman"/>
                <w:sz w:val="24"/>
                <w:szCs w:val="24"/>
              </w:rPr>
              <w:t>Tipologjia</w:t>
            </w:r>
          </w:p>
        </w:tc>
        <w:tc>
          <w:tcPr>
            <w:tcW w:w="1627" w:type="dxa"/>
            <w:tcBorders>
              <w:top w:val="single" w:sz="4" w:space="0" w:color="000000"/>
              <w:left w:val="nil"/>
              <w:bottom w:val="nil"/>
              <w:right w:val="single" w:sz="4" w:space="0" w:color="3F3F3F"/>
            </w:tcBorders>
            <w:shd w:val="clear" w:color="000000" w:fill="F2F2F2"/>
            <w:vAlign w:val="center"/>
            <w:hideMark/>
          </w:tcPr>
          <w:p w:rsidR="00E15C3C" w:rsidRPr="00E15C3C" w:rsidRDefault="00E15C3C" w:rsidP="00E15C3C">
            <w:pPr>
              <w:spacing w:after="0" w:line="240" w:lineRule="auto"/>
              <w:jc w:val="center"/>
              <w:rPr>
                <w:rFonts w:ascii="Times New Roman" w:eastAsia="Times New Roman" w:hAnsi="Times New Roman" w:cs="Times New Roman"/>
                <w:sz w:val="24"/>
                <w:szCs w:val="24"/>
              </w:rPr>
            </w:pPr>
            <w:r w:rsidRPr="00E15C3C">
              <w:rPr>
                <w:rFonts w:ascii="Times New Roman" w:eastAsia="Times New Roman" w:hAnsi="Times New Roman" w:cs="Times New Roman"/>
                <w:sz w:val="24"/>
                <w:szCs w:val="24"/>
              </w:rPr>
              <w:t>Numri  i Parcelave</w:t>
            </w:r>
          </w:p>
        </w:tc>
        <w:tc>
          <w:tcPr>
            <w:tcW w:w="1998" w:type="dxa"/>
            <w:tcBorders>
              <w:top w:val="single" w:sz="4" w:space="0" w:color="000000"/>
              <w:left w:val="nil"/>
              <w:bottom w:val="nil"/>
              <w:right w:val="single" w:sz="4" w:space="0" w:color="000000"/>
            </w:tcBorders>
            <w:shd w:val="clear" w:color="000000" w:fill="F2F2F2"/>
            <w:vAlign w:val="center"/>
            <w:hideMark/>
          </w:tcPr>
          <w:p w:rsidR="00E15C3C" w:rsidRPr="00E15C3C" w:rsidRDefault="00E15C3C" w:rsidP="00E15C3C">
            <w:pPr>
              <w:spacing w:after="0" w:line="240" w:lineRule="auto"/>
              <w:jc w:val="center"/>
              <w:rPr>
                <w:rFonts w:ascii="Times New Roman" w:eastAsia="Times New Roman" w:hAnsi="Times New Roman" w:cs="Times New Roman"/>
                <w:sz w:val="24"/>
                <w:szCs w:val="24"/>
              </w:rPr>
            </w:pPr>
            <w:r w:rsidRPr="00E15C3C">
              <w:rPr>
                <w:rFonts w:ascii="Times New Roman" w:eastAsia="Times New Roman" w:hAnsi="Times New Roman" w:cs="Times New Roman"/>
                <w:sz w:val="24"/>
                <w:szCs w:val="24"/>
              </w:rPr>
              <w:t>Shuma e sipërfaqes për Tipologji (m2)</w:t>
            </w:r>
          </w:p>
        </w:tc>
        <w:tc>
          <w:tcPr>
            <w:tcW w:w="1804" w:type="dxa"/>
            <w:tcBorders>
              <w:top w:val="single" w:sz="4" w:space="0" w:color="000000"/>
              <w:left w:val="nil"/>
              <w:bottom w:val="nil"/>
              <w:right w:val="single" w:sz="4" w:space="0" w:color="000000"/>
            </w:tcBorders>
            <w:shd w:val="clear" w:color="000000" w:fill="F2F2F2"/>
            <w:vAlign w:val="center"/>
            <w:hideMark/>
          </w:tcPr>
          <w:p w:rsidR="00E15C3C" w:rsidRPr="00E15C3C" w:rsidRDefault="00E15C3C" w:rsidP="00E15C3C">
            <w:pPr>
              <w:spacing w:after="0" w:line="240" w:lineRule="auto"/>
              <w:jc w:val="center"/>
              <w:rPr>
                <w:rFonts w:ascii="Times New Roman" w:eastAsia="Times New Roman" w:hAnsi="Times New Roman" w:cs="Times New Roman"/>
                <w:sz w:val="24"/>
                <w:szCs w:val="24"/>
              </w:rPr>
            </w:pPr>
            <w:r w:rsidRPr="00E15C3C">
              <w:rPr>
                <w:rFonts w:ascii="Times New Roman" w:eastAsia="Times New Roman" w:hAnsi="Times New Roman" w:cs="Times New Roman"/>
                <w:sz w:val="24"/>
                <w:szCs w:val="24"/>
              </w:rPr>
              <w:t>Sipërfaqe  për Tipologji/Sipërfaqe totale për Bashki (%)</w:t>
            </w:r>
          </w:p>
        </w:tc>
      </w:tr>
      <w:tr w:rsidR="00E15C3C" w:rsidRPr="00E15C3C" w:rsidTr="00E15C3C">
        <w:trPr>
          <w:trHeight w:val="356"/>
        </w:trPr>
        <w:tc>
          <w:tcPr>
            <w:tcW w:w="133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Divjakë</w:t>
            </w:r>
          </w:p>
        </w:tc>
        <w:tc>
          <w:tcPr>
            <w:tcW w:w="3236" w:type="dxa"/>
            <w:tcBorders>
              <w:top w:val="nil"/>
              <w:left w:val="single" w:sz="4" w:space="0" w:color="000000"/>
              <w:bottom w:val="single" w:sz="4" w:space="0" w:color="000000"/>
              <w:right w:val="nil"/>
            </w:tcBorders>
            <w:shd w:val="clear" w:color="000000" w:fill="70AD47"/>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E MENAXHUAR</w:t>
            </w:r>
          </w:p>
        </w:tc>
        <w:tc>
          <w:tcPr>
            <w:tcW w:w="162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26</w:t>
            </w:r>
          </w:p>
        </w:tc>
        <w:tc>
          <w:tcPr>
            <w:tcW w:w="1998" w:type="dxa"/>
            <w:tcBorders>
              <w:top w:val="single" w:sz="4" w:space="0" w:color="auto"/>
              <w:left w:val="nil"/>
              <w:bottom w:val="single" w:sz="4" w:space="0" w:color="auto"/>
              <w:right w:val="single" w:sz="4" w:space="0" w:color="auto"/>
            </w:tcBorders>
            <w:shd w:val="clear" w:color="000000" w:fill="70AD47"/>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97,668</w:t>
            </w:r>
          </w:p>
        </w:tc>
        <w:tc>
          <w:tcPr>
            <w:tcW w:w="1804" w:type="dxa"/>
            <w:tcBorders>
              <w:top w:val="single" w:sz="4" w:space="0" w:color="auto"/>
              <w:left w:val="nil"/>
              <w:bottom w:val="single" w:sz="4" w:space="0" w:color="auto"/>
              <w:right w:val="single" w:sz="4" w:space="0" w:color="auto"/>
            </w:tcBorders>
            <w:shd w:val="clear" w:color="000000" w:fill="70AD47"/>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53.92%</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single" w:sz="4" w:space="0" w:color="000000"/>
              <w:right w:val="nil"/>
            </w:tcBorders>
            <w:shd w:val="clear" w:color="000000" w:fill="70AD47"/>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KONTRATE</w:t>
            </w:r>
          </w:p>
        </w:tc>
        <w:tc>
          <w:tcPr>
            <w:tcW w:w="1627" w:type="dxa"/>
            <w:tcBorders>
              <w:top w:val="nil"/>
              <w:left w:val="single" w:sz="4" w:space="0" w:color="auto"/>
              <w:bottom w:val="single" w:sz="4" w:space="0" w:color="auto"/>
              <w:right w:val="single" w:sz="4" w:space="0" w:color="auto"/>
            </w:tcBorders>
            <w:shd w:val="clear" w:color="000000" w:fill="70AD47"/>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w:t>
            </w:r>
          </w:p>
        </w:tc>
        <w:tc>
          <w:tcPr>
            <w:tcW w:w="1998" w:type="dxa"/>
            <w:tcBorders>
              <w:top w:val="nil"/>
              <w:left w:val="nil"/>
              <w:bottom w:val="single" w:sz="4" w:space="0" w:color="auto"/>
              <w:right w:val="single" w:sz="4" w:space="0" w:color="auto"/>
            </w:tcBorders>
            <w:shd w:val="clear" w:color="000000" w:fill="70AD47"/>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28,188</w:t>
            </w:r>
          </w:p>
        </w:tc>
        <w:tc>
          <w:tcPr>
            <w:tcW w:w="1804" w:type="dxa"/>
            <w:tcBorders>
              <w:top w:val="nil"/>
              <w:left w:val="nil"/>
              <w:bottom w:val="single" w:sz="4" w:space="0" w:color="auto"/>
              <w:right w:val="single" w:sz="4" w:space="0" w:color="auto"/>
            </w:tcBorders>
            <w:shd w:val="clear" w:color="000000" w:fill="70AD47"/>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15.56%</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nil"/>
              <w:right w:val="nil"/>
            </w:tcBorders>
            <w:shd w:val="clear" w:color="000000" w:fill="70AD47"/>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PUBLIKE</w:t>
            </w:r>
          </w:p>
        </w:tc>
        <w:tc>
          <w:tcPr>
            <w:tcW w:w="1627" w:type="dxa"/>
            <w:tcBorders>
              <w:top w:val="nil"/>
              <w:left w:val="single" w:sz="4" w:space="0" w:color="auto"/>
              <w:bottom w:val="nil"/>
              <w:right w:val="single" w:sz="4" w:space="0" w:color="auto"/>
            </w:tcBorders>
            <w:shd w:val="clear" w:color="000000" w:fill="70AD47"/>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14</w:t>
            </w:r>
          </w:p>
        </w:tc>
        <w:tc>
          <w:tcPr>
            <w:tcW w:w="1998" w:type="dxa"/>
            <w:tcBorders>
              <w:top w:val="nil"/>
              <w:left w:val="nil"/>
              <w:bottom w:val="nil"/>
              <w:right w:val="single" w:sz="4" w:space="0" w:color="auto"/>
            </w:tcBorders>
            <w:shd w:val="clear" w:color="000000" w:fill="70AD47"/>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55,266</w:t>
            </w:r>
          </w:p>
        </w:tc>
        <w:tc>
          <w:tcPr>
            <w:tcW w:w="1804" w:type="dxa"/>
            <w:tcBorders>
              <w:top w:val="nil"/>
              <w:left w:val="nil"/>
              <w:bottom w:val="nil"/>
              <w:right w:val="single" w:sz="4" w:space="0" w:color="auto"/>
            </w:tcBorders>
            <w:shd w:val="clear" w:color="000000" w:fill="70AD47"/>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30.51%</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single" w:sz="8" w:space="0" w:color="auto"/>
              <w:left w:val="single" w:sz="8" w:space="0" w:color="auto"/>
              <w:bottom w:val="single" w:sz="8" w:space="0" w:color="auto"/>
              <w:right w:val="nil"/>
            </w:tcBorders>
            <w:shd w:val="clear" w:color="000000" w:fill="70AD47"/>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Totali</w:t>
            </w:r>
          </w:p>
        </w:tc>
        <w:tc>
          <w:tcPr>
            <w:tcW w:w="1627" w:type="dxa"/>
            <w:tcBorders>
              <w:top w:val="single" w:sz="8" w:space="0" w:color="auto"/>
              <w:left w:val="single" w:sz="4" w:space="0" w:color="auto"/>
              <w:bottom w:val="single" w:sz="8" w:space="0" w:color="auto"/>
              <w:right w:val="single" w:sz="4" w:space="0" w:color="auto"/>
            </w:tcBorders>
            <w:shd w:val="clear" w:color="000000" w:fill="70AD47"/>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41</w:t>
            </w:r>
          </w:p>
        </w:tc>
        <w:tc>
          <w:tcPr>
            <w:tcW w:w="1998" w:type="dxa"/>
            <w:tcBorders>
              <w:top w:val="single" w:sz="8" w:space="0" w:color="auto"/>
              <w:left w:val="nil"/>
              <w:bottom w:val="single" w:sz="8" w:space="0" w:color="auto"/>
              <w:right w:val="single" w:sz="4" w:space="0" w:color="auto"/>
            </w:tcBorders>
            <w:shd w:val="clear" w:color="000000" w:fill="70AD47"/>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181,122</w:t>
            </w:r>
          </w:p>
        </w:tc>
        <w:tc>
          <w:tcPr>
            <w:tcW w:w="1804" w:type="dxa"/>
            <w:tcBorders>
              <w:top w:val="single" w:sz="8" w:space="0" w:color="auto"/>
              <w:left w:val="nil"/>
              <w:bottom w:val="single" w:sz="8" w:space="0" w:color="auto"/>
              <w:right w:val="single" w:sz="8" w:space="0" w:color="auto"/>
            </w:tcBorders>
            <w:shd w:val="clear" w:color="000000" w:fill="70AD47"/>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100.00%</w:t>
            </w:r>
          </w:p>
        </w:tc>
      </w:tr>
      <w:tr w:rsidR="00E15C3C" w:rsidRPr="00E15C3C" w:rsidTr="00E15C3C">
        <w:trPr>
          <w:trHeight w:val="356"/>
        </w:trPr>
        <w:tc>
          <w:tcPr>
            <w:tcW w:w="133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lastRenderedPageBreak/>
              <w:t>Durrës</w:t>
            </w:r>
          </w:p>
        </w:tc>
        <w:tc>
          <w:tcPr>
            <w:tcW w:w="3236" w:type="dxa"/>
            <w:tcBorders>
              <w:top w:val="nil"/>
              <w:left w:val="single" w:sz="4" w:space="0" w:color="000000"/>
              <w:bottom w:val="single" w:sz="4" w:space="0" w:color="000000"/>
              <w:right w:val="nil"/>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E MENAXHUAR</w:t>
            </w:r>
          </w:p>
        </w:tc>
        <w:tc>
          <w:tcPr>
            <w:tcW w:w="1627" w:type="dxa"/>
            <w:tcBorders>
              <w:top w:val="nil"/>
              <w:left w:val="single" w:sz="4" w:space="0" w:color="auto"/>
              <w:bottom w:val="single" w:sz="4" w:space="0" w:color="auto"/>
              <w:right w:val="single" w:sz="4"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444</w:t>
            </w:r>
          </w:p>
        </w:tc>
        <w:tc>
          <w:tcPr>
            <w:tcW w:w="1998" w:type="dxa"/>
            <w:tcBorders>
              <w:top w:val="nil"/>
              <w:left w:val="nil"/>
              <w:bottom w:val="single" w:sz="4" w:space="0" w:color="auto"/>
              <w:right w:val="single" w:sz="4"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280,546</w:t>
            </w:r>
          </w:p>
        </w:tc>
        <w:tc>
          <w:tcPr>
            <w:tcW w:w="1804" w:type="dxa"/>
            <w:tcBorders>
              <w:top w:val="nil"/>
              <w:left w:val="nil"/>
              <w:bottom w:val="single" w:sz="4" w:space="0" w:color="auto"/>
              <w:right w:val="single" w:sz="4"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24.14%</w:t>
            </w:r>
          </w:p>
        </w:tc>
      </w:tr>
      <w:tr w:rsidR="00E15C3C" w:rsidRPr="00E15C3C" w:rsidTr="00E15C3C">
        <w:trPr>
          <w:trHeight w:val="450"/>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vMerge w:val="restart"/>
            <w:tcBorders>
              <w:top w:val="nil"/>
              <w:left w:val="single" w:sz="4" w:space="0" w:color="000000"/>
              <w:bottom w:val="single" w:sz="4" w:space="0" w:color="000000"/>
              <w:right w:val="single" w:sz="4"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INVESTIM STRATEGJIK</w:t>
            </w:r>
          </w:p>
        </w:tc>
        <w:tc>
          <w:tcPr>
            <w:tcW w:w="1627"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35</w:t>
            </w:r>
          </w:p>
        </w:tc>
        <w:tc>
          <w:tcPr>
            <w:tcW w:w="1998"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218,226</w:t>
            </w:r>
          </w:p>
        </w:tc>
        <w:tc>
          <w:tcPr>
            <w:tcW w:w="1804"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13.15%</w:t>
            </w:r>
          </w:p>
        </w:tc>
      </w:tr>
      <w:tr w:rsidR="00E15C3C" w:rsidRPr="00E15C3C" w:rsidTr="00E15C3C">
        <w:trPr>
          <w:trHeight w:val="450"/>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vMerge/>
            <w:tcBorders>
              <w:top w:val="nil"/>
              <w:left w:val="single" w:sz="4" w:space="0" w:color="000000"/>
              <w:bottom w:val="single" w:sz="4" w:space="0" w:color="000000"/>
              <w:right w:val="single" w:sz="4" w:space="0" w:color="auto"/>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1627" w:type="dxa"/>
            <w:vMerge/>
            <w:tcBorders>
              <w:top w:val="nil"/>
              <w:left w:val="single" w:sz="4" w:space="0" w:color="auto"/>
              <w:bottom w:val="single" w:sz="4" w:space="0" w:color="000000"/>
              <w:right w:val="single" w:sz="4" w:space="0" w:color="auto"/>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1998" w:type="dxa"/>
            <w:vMerge/>
            <w:tcBorders>
              <w:top w:val="nil"/>
              <w:left w:val="single" w:sz="4" w:space="0" w:color="auto"/>
              <w:bottom w:val="single" w:sz="4" w:space="0" w:color="000000"/>
              <w:right w:val="single" w:sz="4" w:space="0" w:color="auto"/>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1804" w:type="dxa"/>
            <w:vMerge/>
            <w:tcBorders>
              <w:top w:val="nil"/>
              <w:left w:val="single" w:sz="4" w:space="0" w:color="auto"/>
              <w:bottom w:val="single" w:sz="4" w:space="0" w:color="000000"/>
              <w:right w:val="single" w:sz="4" w:space="0" w:color="auto"/>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nil"/>
              <w:right w:val="nil"/>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KONTRATE</w:t>
            </w:r>
          </w:p>
        </w:tc>
        <w:tc>
          <w:tcPr>
            <w:tcW w:w="1627" w:type="dxa"/>
            <w:tcBorders>
              <w:top w:val="nil"/>
              <w:left w:val="single" w:sz="4" w:space="0" w:color="auto"/>
              <w:bottom w:val="nil"/>
              <w:right w:val="single" w:sz="4"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128</w:t>
            </w:r>
          </w:p>
        </w:tc>
        <w:tc>
          <w:tcPr>
            <w:tcW w:w="1998" w:type="dxa"/>
            <w:tcBorders>
              <w:top w:val="nil"/>
              <w:left w:val="nil"/>
              <w:bottom w:val="nil"/>
              <w:right w:val="single" w:sz="4"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115,908</w:t>
            </w:r>
          </w:p>
        </w:tc>
        <w:tc>
          <w:tcPr>
            <w:tcW w:w="1804" w:type="dxa"/>
            <w:tcBorders>
              <w:top w:val="nil"/>
              <w:left w:val="nil"/>
              <w:bottom w:val="nil"/>
              <w:right w:val="single" w:sz="4"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9.97%</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single" w:sz="4" w:space="0" w:color="auto"/>
              <w:left w:val="single" w:sz="4" w:space="0" w:color="auto"/>
              <w:bottom w:val="nil"/>
              <w:right w:val="single" w:sz="4"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 xml:space="preserve">PUBLIKE </w:t>
            </w:r>
          </w:p>
        </w:tc>
        <w:tc>
          <w:tcPr>
            <w:tcW w:w="1627" w:type="dxa"/>
            <w:tcBorders>
              <w:top w:val="single" w:sz="4" w:space="0" w:color="auto"/>
              <w:left w:val="nil"/>
              <w:bottom w:val="single" w:sz="4" w:space="0" w:color="auto"/>
              <w:right w:val="single" w:sz="4"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208</w:t>
            </w:r>
          </w:p>
        </w:tc>
        <w:tc>
          <w:tcPr>
            <w:tcW w:w="1998" w:type="dxa"/>
            <w:tcBorders>
              <w:top w:val="single" w:sz="4" w:space="0" w:color="auto"/>
              <w:left w:val="nil"/>
              <w:bottom w:val="single" w:sz="4" w:space="0" w:color="auto"/>
              <w:right w:val="single" w:sz="4"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547,394</w:t>
            </w:r>
          </w:p>
        </w:tc>
        <w:tc>
          <w:tcPr>
            <w:tcW w:w="1804" w:type="dxa"/>
            <w:tcBorders>
              <w:top w:val="single" w:sz="4" w:space="0" w:color="auto"/>
              <w:left w:val="nil"/>
              <w:bottom w:val="single" w:sz="4" w:space="0" w:color="auto"/>
              <w:right w:val="single" w:sz="4"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52.74%</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single" w:sz="8" w:space="0" w:color="auto"/>
              <w:left w:val="single" w:sz="8" w:space="0" w:color="auto"/>
              <w:bottom w:val="single" w:sz="8" w:space="0" w:color="auto"/>
              <w:right w:val="nil"/>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Totali</w:t>
            </w:r>
          </w:p>
        </w:tc>
        <w:tc>
          <w:tcPr>
            <w:tcW w:w="1627" w:type="dxa"/>
            <w:tcBorders>
              <w:top w:val="single" w:sz="8" w:space="0" w:color="auto"/>
              <w:left w:val="single" w:sz="4" w:space="0" w:color="auto"/>
              <w:bottom w:val="single" w:sz="8" w:space="0" w:color="auto"/>
              <w:right w:val="single" w:sz="4"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815</w:t>
            </w:r>
          </w:p>
        </w:tc>
        <w:tc>
          <w:tcPr>
            <w:tcW w:w="1998" w:type="dxa"/>
            <w:tcBorders>
              <w:top w:val="single" w:sz="8" w:space="0" w:color="auto"/>
              <w:left w:val="nil"/>
              <w:bottom w:val="single" w:sz="8" w:space="0" w:color="auto"/>
              <w:right w:val="single" w:sz="4"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1,162,074</w:t>
            </w:r>
          </w:p>
        </w:tc>
        <w:tc>
          <w:tcPr>
            <w:tcW w:w="1804" w:type="dxa"/>
            <w:tcBorders>
              <w:top w:val="single" w:sz="8" w:space="0" w:color="auto"/>
              <w:left w:val="nil"/>
              <w:bottom w:val="single" w:sz="8" w:space="0" w:color="auto"/>
              <w:right w:val="single" w:sz="8" w:space="0" w:color="auto"/>
            </w:tcBorders>
            <w:shd w:val="clear" w:color="000000" w:fill="FF0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100.00%</w:t>
            </w:r>
          </w:p>
        </w:tc>
      </w:tr>
      <w:tr w:rsidR="00E15C3C" w:rsidRPr="00E15C3C" w:rsidTr="00E15C3C">
        <w:trPr>
          <w:trHeight w:val="356"/>
        </w:trPr>
        <w:tc>
          <w:tcPr>
            <w:tcW w:w="133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Fier</w:t>
            </w:r>
          </w:p>
        </w:tc>
        <w:tc>
          <w:tcPr>
            <w:tcW w:w="3236" w:type="dxa"/>
            <w:tcBorders>
              <w:top w:val="nil"/>
              <w:left w:val="single" w:sz="4" w:space="0" w:color="000000"/>
              <w:bottom w:val="single" w:sz="4" w:space="0" w:color="000000"/>
              <w:right w:val="nil"/>
            </w:tcBorders>
            <w:shd w:val="clear" w:color="000000" w:fill="FFC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E MENAXHUAR</w:t>
            </w:r>
          </w:p>
        </w:tc>
        <w:tc>
          <w:tcPr>
            <w:tcW w:w="1627" w:type="dxa"/>
            <w:tcBorders>
              <w:top w:val="nil"/>
              <w:left w:val="single" w:sz="4" w:space="0" w:color="auto"/>
              <w:bottom w:val="single" w:sz="4" w:space="0" w:color="auto"/>
              <w:right w:val="single" w:sz="4" w:space="0" w:color="auto"/>
            </w:tcBorders>
            <w:shd w:val="clear" w:color="000000" w:fill="FFC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120</w:t>
            </w:r>
          </w:p>
        </w:tc>
        <w:tc>
          <w:tcPr>
            <w:tcW w:w="1998" w:type="dxa"/>
            <w:tcBorders>
              <w:top w:val="nil"/>
              <w:left w:val="nil"/>
              <w:bottom w:val="single" w:sz="4" w:space="0" w:color="auto"/>
              <w:right w:val="single" w:sz="4" w:space="0" w:color="auto"/>
            </w:tcBorders>
            <w:shd w:val="clear" w:color="000000" w:fill="FFC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314,128</w:t>
            </w:r>
          </w:p>
        </w:tc>
        <w:tc>
          <w:tcPr>
            <w:tcW w:w="1804" w:type="dxa"/>
            <w:tcBorders>
              <w:top w:val="nil"/>
              <w:left w:val="nil"/>
              <w:bottom w:val="single" w:sz="4" w:space="0" w:color="auto"/>
              <w:right w:val="single" w:sz="4" w:space="0" w:color="auto"/>
            </w:tcBorders>
            <w:shd w:val="clear" w:color="000000" w:fill="FFC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61.82%</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single" w:sz="4" w:space="0" w:color="000000"/>
              <w:right w:val="nil"/>
            </w:tcBorders>
            <w:shd w:val="clear" w:color="000000" w:fill="FFC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KONTRATE</w:t>
            </w:r>
          </w:p>
        </w:tc>
        <w:tc>
          <w:tcPr>
            <w:tcW w:w="1627" w:type="dxa"/>
            <w:tcBorders>
              <w:top w:val="nil"/>
              <w:left w:val="single" w:sz="4" w:space="0" w:color="auto"/>
              <w:bottom w:val="single" w:sz="4" w:space="0" w:color="auto"/>
              <w:right w:val="single" w:sz="4" w:space="0" w:color="auto"/>
            </w:tcBorders>
            <w:shd w:val="clear" w:color="000000" w:fill="FFC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0</w:t>
            </w:r>
          </w:p>
        </w:tc>
        <w:tc>
          <w:tcPr>
            <w:tcW w:w="1998" w:type="dxa"/>
            <w:tcBorders>
              <w:top w:val="nil"/>
              <w:left w:val="nil"/>
              <w:bottom w:val="single" w:sz="4" w:space="0" w:color="auto"/>
              <w:right w:val="single" w:sz="4" w:space="0" w:color="auto"/>
            </w:tcBorders>
            <w:shd w:val="clear" w:color="000000" w:fill="FFC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0</w:t>
            </w:r>
          </w:p>
        </w:tc>
        <w:tc>
          <w:tcPr>
            <w:tcW w:w="1804" w:type="dxa"/>
            <w:tcBorders>
              <w:top w:val="nil"/>
              <w:left w:val="nil"/>
              <w:bottom w:val="single" w:sz="4" w:space="0" w:color="auto"/>
              <w:right w:val="single" w:sz="4" w:space="0" w:color="auto"/>
            </w:tcBorders>
            <w:shd w:val="clear" w:color="000000" w:fill="FFC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0.00%</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nil"/>
              <w:right w:val="nil"/>
            </w:tcBorders>
            <w:shd w:val="clear" w:color="000000" w:fill="FFC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PUBLIKE</w:t>
            </w:r>
          </w:p>
        </w:tc>
        <w:tc>
          <w:tcPr>
            <w:tcW w:w="1627" w:type="dxa"/>
            <w:tcBorders>
              <w:top w:val="nil"/>
              <w:left w:val="single" w:sz="4" w:space="0" w:color="auto"/>
              <w:bottom w:val="nil"/>
              <w:right w:val="single" w:sz="4" w:space="0" w:color="auto"/>
            </w:tcBorders>
            <w:shd w:val="clear" w:color="000000" w:fill="FFC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40</w:t>
            </w:r>
          </w:p>
        </w:tc>
        <w:tc>
          <w:tcPr>
            <w:tcW w:w="1998" w:type="dxa"/>
            <w:tcBorders>
              <w:top w:val="nil"/>
              <w:left w:val="nil"/>
              <w:bottom w:val="nil"/>
              <w:right w:val="single" w:sz="4" w:space="0" w:color="auto"/>
            </w:tcBorders>
            <w:shd w:val="clear" w:color="000000" w:fill="FFC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193,970</w:t>
            </w:r>
          </w:p>
        </w:tc>
        <w:tc>
          <w:tcPr>
            <w:tcW w:w="1804" w:type="dxa"/>
            <w:tcBorders>
              <w:top w:val="nil"/>
              <w:left w:val="nil"/>
              <w:bottom w:val="nil"/>
              <w:right w:val="single" w:sz="4" w:space="0" w:color="auto"/>
            </w:tcBorders>
            <w:shd w:val="clear" w:color="000000" w:fill="FFC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38.18%</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single" w:sz="8" w:space="0" w:color="auto"/>
              <w:left w:val="single" w:sz="8" w:space="0" w:color="auto"/>
              <w:bottom w:val="single" w:sz="8" w:space="0" w:color="auto"/>
              <w:right w:val="nil"/>
            </w:tcBorders>
            <w:shd w:val="clear" w:color="000000" w:fill="FFC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Totali</w:t>
            </w:r>
          </w:p>
        </w:tc>
        <w:tc>
          <w:tcPr>
            <w:tcW w:w="1627" w:type="dxa"/>
            <w:tcBorders>
              <w:top w:val="single" w:sz="8" w:space="0" w:color="auto"/>
              <w:left w:val="single" w:sz="4" w:space="0" w:color="auto"/>
              <w:bottom w:val="single" w:sz="8" w:space="0" w:color="auto"/>
              <w:right w:val="single" w:sz="4" w:space="0" w:color="auto"/>
            </w:tcBorders>
            <w:shd w:val="clear" w:color="000000" w:fill="FFC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160</w:t>
            </w:r>
          </w:p>
        </w:tc>
        <w:tc>
          <w:tcPr>
            <w:tcW w:w="1998" w:type="dxa"/>
            <w:tcBorders>
              <w:top w:val="single" w:sz="8" w:space="0" w:color="auto"/>
              <w:left w:val="nil"/>
              <w:bottom w:val="single" w:sz="8" w:space="0" w:color="auto"/>
              <w:right w:val="single" w:sz="4" w:space="0" w:color="auto"/>
            </w:tcBorders>
            <w:shd w:val="clear" w:color="000000" w:fill="FFC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508,098</w:t>
            </w:r>
          </w:p>
        </w:tc>
        <w:tc>
          <w:tcPr>
            <w:tcW w:w="1804" w:type="dxa"/>
            <w:tcBorders>
              <w:top w:val="single" w:sz="8" w:space="0" w:color="auto"/>
              <w:left w:val="nil"/>
              <w:bottom w:val="single" w:sz="8" w:space="0" w:color="auto"/>
              <w:right w:val="single" w:sz="8" w:space="0" w:color="auto"/>
            </w:tcBorders>
            <w:shd w:val="clear" w:color="000000" w:fill="FFC0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100.00%</w:t>
            </w:r>
          </w:p>
        </w:tc>
      </w:tr>
      <w:tr w:rsidR="00E15C3C" w:rsidRPr="00E15C3C" w:rsidTr="00E15C3C">
        <w:trPr>
          <w:trHeight w:val="356"/>
        </w:trPr>
        <w:tc>
          <w:tcPr>
            <w:tcW w:w="133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Himarë</w:t>
            </w:r>
          </w:p>
        </w:tc>
        <w:tc>
          <w:tcPr>
            <w:tcW w:w="3236" w:type="dxa"/>
            <w:tcBorders>
              <w:top w:val="nil"/>
              <w:left w:val="single" w:sz="4" w:space="0" w:color="000000"/>
              <w:bottom w:val="single" w:sz="4" w:space="0" w:color="000000"/>
              <w:right w:val="nil"/>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E MENAXHUAR</w:t>
            </w:r>
          </w:p>
        </w:tc>
        <w:tc>
          <w:tcPr>
            <w:tcW w:w="1627" w:type="dxa"/>
            <w:tcBorders>
              <w:top w:val="nil"/>
              <w:left w:val="single" w:sz="4" w:space="0" w:color="auto"/>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127</w:t>
            </w:r>
          </w:p>
        </w:tc>
        <w:tc>
          <w:tcPr>
            <w:tcW w:w="1998" w:type="dxa"/>
            <w:tcBorders>
              <w:top w:val="nil"/>
              <w:left w:val="nil"/>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194,601</w:t>
            </w:r>
          </w:p>
        </w:tc>
        <w:tc>
          <w:tcPr>
            <w:tcW w:w="1804" w:type="dxa"/>
            <w:tcBorders>
              <w:top w:val="nil"/>
              <w:left w:val="nil"/>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34.17%</w:t>
            </w:r>
          </w:p>
        </w:tc>
      </w:tr>
      <w:tr w:rsidR="00E15C3C" w:rsidRPr="00E15C3C" w:rsidTr="00E15C3C">
        <w:trPr>
          <w:trHeight w:val="450"/>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vMerge w:val="restart"/>
            <w:tcBorders>
              <w:top w:val="nil"/>
              <w:left w:val="single" w:sz="4" w:space="0" w:color="000000"/>
              <w:bottom w:val="single" w:sz="4" w:space="0" w:color="000000"/>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INVESTIM STRATEGJIK</w:t>
            </w:r>
          </w:p>
        </w:tc>
        <w:tc>
          <w:tcPr>
            <w:tcW w:w="1627"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21</w:t>
            </w:r>
          </w:p>
        </w:tc>
        <w:tc>
          <w:tcPr>
            <w:tcW w:w="1998"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114,658</w:t>
            </w:r>
          </w:p>
        </w:tc>
        <w:tc>
          <w:tcPr>
            <w:tcW w:w="1804"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14.09%</w:t>
            </w:r>
          </w:p>
        </w:tc>
      </w:tr>
      <w:tr w:rsidR="00E15C3C" w:rsidRPr="00E15C3C" w:rsidTr="00E15C3C">
        <w:trPr>
          <w:trHeight w:val="450"/>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vMerge/>
            <w:tcBorders>
              <w:top w:val="nil"/>
              <w:left w:val="single" w:sz="4" w:space="0" w:color="000000"/>
              <w:bottom w:val="single" w:sz="4" w:space="0" w:color="000000"/>
              <w:right w:val="single" w:sz="4" w:space="0" w:color="auto"/>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1627" w:type="dxa"/>
            <w:vMerge/>
            <w:tcBorders>
              <w:top w:val="nil"/>
              <w:left w:val="single" w:sz="4" w:space="0" w:color="auto"/>
              <w:bottom w:val="single" w:sz="4" w:space="0" w:color="000000"/>
              <w:right w:val="single" w:sz="4" w:space="0" w:color="auto"/>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1998" w:type="dxa"/>
            <w:vMerge/>
            <w:tcBorders>
              <w:top w:val="nil"/>
              <w:left w:val="single" w:sz="4" w:space="0" w:color="auto"/>
              <w:bottom w:val="single" w:sz="4" w:space="0" w:color="000000"/>
              <w:right w:val="single" w:sz="4" w:space="0" w:color="auto"/>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1804" w:type="dxa"/>
            <w:vMerge/>
            <w:tcBorders>
              <w:top w:val="nil"/>
              <w:left w:val="single" w:sz="4" w:space="0" w:color="auto"/>
              <w:bottom w:val="single" w:sz="4" w:space="0" w:color="000000"/>
              <w:right w:val="single" w:sz="4" w:space="0" w:color="auto"/>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single" w:sz="4" w:space="0" w:color="000000"/>
              <w:right w:val="nil"/>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KONTRATE</w:t>
            </w:r>
          </w:p>
        </w:tc>
        <w:tc>
          <w:tcPr>
            <w:tcW w:w="1627" w:type="dxa"/>
            <w:tcBorders>
              <w:top w:val="nil"/>
              <w:left w:val="single" w:sz="4" w:space="0" w:color="auto"/>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69</w:t>
            </w:r>
          </w:p>
        </w:tc>
        <w:tc>
          <w:tcPr>
            <w:tcW w:w="1998" w:type="dxa"/>
            <w:tcBorders>
              <w:top w:val="nil"/>
              <w:left w:val="nil"/>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110,690</w:t>
            </w:r>
          </w:p>
        </w:tc>
        <w:tc>
          <w:tcPr>
            <w:tcW w:w="1804" w:type="dxa"/>
            <w:tcBorders>
              <w:top w:val="nil"/>
              <w:left w:val="nil"/>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19.43%</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nil"/>
              <w:right w:val="nil"/>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PUBLIKE</w:t>
            </w:r>
          </w:p>
        </w:tc>
        <w:tc>
          <w:tcPr>
            <w:tcW w:w="1627" w:type="dxa"/>
            <w:tcBorders>
              <w:top w:val="nil"/>
              <w:left w:val="single" w:sz="4" w:space="0" w:color="auto"/>
              <w:bottom w:val="nil"/>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80</w:t>
            </w:r>
          </w:p>
        </w:tc>
        <w:tc>
          <w:tcPr>
            <w:tcW w:w="1998" w:type="dxa"/>
            <w:tcBorders>
              <w:top w:val="nil"/>
              <w:left w:val="nil"/>
              <w:bottom w:val="nil"/>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149,617</w:t>
            </w:r>
          </w:p>
        </w:tc>
        <w:tc>
          <w:tcPr>
            <w:tcW w:w="1804" w:type="dxa"/>
            <w:tcBorders>
              <w:top w:val="nil"/>
              <w:left w:val="nil"/>
              <w:bottom w:val="nil"/>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32.31%</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single" w:sz="8" w:space="0" w:color="auto"/>
              <w:left w:val="single" w:sz="8" w:space="0" w:color="auto"/>
              <w:bottom w:val="single" w:sz="8" w:space="0" w:color="auto"/>
              <w:right w:val="nil"/>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Totali</w:t>
            </w:r>
          </w:p>
        </w:tc>
        <w:tc>
          <w:tcPr>
            <w:tcW w:w="1627" w:type="dxa"/>
            <w:tcBorders>
              <w:top w:val="single" w:sz="8" w:space="0" w:color="auto"/>
              <w:left w:val="single" w:sz="4" w:space="0" w:color="auto"/>
              <w:bottom w:val="single" w:sz="8"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297</w:t>
            </w:r>
          </w:p>
        </w:tc>
        <w:tc>
          <w:tcPr>
            <w:tcW w:w="1998" w:type="dxa"/>
            <w:tcBorders>
              <w:top w:val="single" w:sz="8" w:space="0" w:color="auto"/>
              <w:left w:val="nil"/>
              <w:bottom w:val="single" w:sz="8"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569,566</w:t>
            </w:r>
          </w:p>
        </w:tc>
        <w:tc>
          <w:tcPr>
            <w:tcW w:w="1804" w:type="dxa"/>
            <w:tcBorders>
              <w:top w:val="single" w:sz="8" w:space="0" w:color="auto"/>
              <w:left w:val="nil"/>
              <w:bottom w:val="single" w:sz="8" w:space="0" w:color="auto"/>
              <w:right w:val="single" w:sz="8"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100.00%</w:t>
            </w:r>
          </w:p>
        </w:tc>
      </w:tr>
      <w:tr w:rsidR="00E15C3C" w:rsidRPr="00E15C3C" w:rsidTr="00E15C3C">
        <w:trPr>
          <w:trHeight w:val="356"/>
        </w:trPr>
        <w:tc>
          <w:tcPr>
            <w:tcW w:w="133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Kavajë</w:t>
            </w:r>
          </w:p>
        </w:tc>
        <w:tc>
          <w:tcPr>
            <w:tcW w:w="3236" w:type="dxa"/>
            <w:tcBorders>
              <w:top w:val="nil"/>
              <w:left w:val="single" w:sz="4" w:space="0" w:color="000000"/>
              <w:bottom w:val="single" w:sz="4" w:space="0" w:color="000000"/>
              <w:right w:val="nil"/>
            </w:tcBorders>
            <w:shd w:val="clear" w:color="000000" w:fill="548235"/>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E MENAXHUAR</w:t>
            </w:r>
          </w:p>
        </w:tc>
        <w:tc>
          <w:tcPr>
            <w:tcW w:w="1627" w:type="dxa"/>
            <w:tcBorders>
              <w:top w:val="nil"/>
              <w:left w:val="single" w:sz="4" w:space="0" w:color="auto"/>
              <w:bottom w:val="single" w:sz="4" w:space="0" w:color="auto"/>
              <w:right w:val="single" w:sz="4" w:space="0" w:color="auto"/>
            </w:tcBorders>
            <w:shd w:val="clear" w:color="000000" w:fill="548235"/>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65</w:t>
            </w:r>
          </w:p>
        </w:tc>
        <w:tc>
          <w:tcPr>
            <w:tcW w:w="1998" w:type="dxa"/>
            <w:tcBorders>
              <w:top w:val="nil"/>
              <w:left w:val="nil"/>
              <w:bottom w:val="single" w:sz="4" w:space="0" w:color="auto"/>
              <w:right w:val="single" w:sz="4" w:space="0" w:color="auto"/>
            </w:tcBorders>
            <w:shd w:val="clear" w:color="000000" w:fill="548235"/>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69,608</w:t>
            </w:r>
          </w:p>
        </w:tc>
        <w:tc>
          <w:tcPr>
            <w:tcW w:w="1804" w:type="dxa"/>
            <w:tcBorders>
              <w:top w:val="nil"/>
              <w:left w:val="nil"/>
              <w:bottom w:val="single" w:sz="4" w:space="0" w:color="auto"/>
              <w:right w:val="single" w:sz="4" w:space="0" w:color="auto"/>
            </w:tcBorders>
            <w:shd w:val="clear" w:color="000000" w:fill="548235"/>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24.06%</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single" w:sz="4" w:space="0" w:color="000000"/>
              <w:right w:val="nil"/>
            </w:tcBorders>
            <w:shd w:val="clear" w:color="000000" w:fill="548235"/>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KONTRATE</w:t>
            </w:r>
          </w:p>
        </w:tc>
        <w:tc>
          <w:tcPr>
            <w:tcW w:w="1627" w:type="dxa"/>
            <w:tcBorders>
              <w:top w:val="nil"/>
              <w:left w:val="single" w:sz="4" w:space="0" w:color="auto"/>
              <w:bottom w:val="single" w:sz="4" w:space="0" w:color="auto"/>
              <w:right w:val="single" w:sz="4" w:space="0" w:color="auto"/>
            </w:tcBorders>
            <w:shd w:val="clear" w:color="000000" w:fill="548235"/>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71</w:t>
            </w:r>
          </w:p>
        </w:tc>
        <w:tc>
          <w:tcPr>
            <w:tcW w:w="1998" w:type="dxa"/>
            <w:tcBorders>
              <w:top w:val="nil"/>
              <w:left w:val="nil"/>
              <w:bottom w:val="single" w:sz="4" w:space="0" w:color="auto"/>
              <w:right w:val="single" w:sz="4" w:space="0" w:color="auto"/>
            </w:tcBorders>
            <w:shd w:val="clear" w:color="000000" w:fill="548235"/>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70,920</w:t>
            </w:r>
          </w:p>
        </w:tc>
        <w:tc>
          <w:tcPr>
            <w:tcW w:w="1804" w:type="dxa"/>
            <w:tcBorders>
              <w:top w:val="nil"/>
              <w:left w:val="nil"/>
              <w:bottom w:val="single" w:sz="4" w:space="0" w:color="auto"/>
              <w:right w:val="single" w:sz="4" w:space="0" w:color="auto"/>
            </w:tcBorders>
            <w:shd w:val="clear" w:color="000000" w:fill="548235"/>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24.52%</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nil"/>
              <w:right w:val="nil"/>
            </w:tcBorders>
            <w:shd w:val="clear" w:color="000000" w:fill="548235"/>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PUBLIKE</w:t>
            </w:r>
          </w:p>
        </w:tc>
        <w:tc>
          <w:tcPr>
            <w:tcW w:w="1627" w:type="dxa"/>
            <w:tcBorders>
              <w:top w:val="nil"/>
              <w:left w:val="single" w:sz="4" w:space="0" w:color="auto"/>
              <w:bottom w:val="nil"/>
              <w:right w:val="single" w:sz="4" w:space="0" w:color="auto"/>
            </w:tcBorders>
            <w:shd w:val="clear" w:color="000000" w:fill="548235"/>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96</w:t>
            </w:r>
          </w:p>
        </w:tc>
        <w:tc>
          <w:tcPr>
            <w:tcW w:w="1998" w:type="dxa"/>
            <w:tcBorders>
              <w:top w:val="nil"/>
              <w:left w:val="nil"/>
              <w:bottom w:val="nil"/>
              <w:right w:val="single" w:sz="4" w:space="0" w:color="auto"/>
            </w:tcBorders>
            <w:shd w:val="clear" w:color="000000" w:fill="548235"/>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148,763</w:t>
            </w:r>
          </w:p>
        </w:tc>
        <w:tc>
          <w:tcPr>
            <w:tcW w:w="1804" w:type="dxa"/>
            <w:tcBorders>
              <w:top w:val="nil"/>
              <w:left w:val="nil"/>
              <w:bottom w:val="nil"/>
              <w:right w:val="single" w:sz="4" w:space="0" w:color="auto"/>
            </w:tcBorders>
            <w:shd w:val="clear" w:color="000000" w:fill="548235"/>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51.42%</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single" w:sz="8" w:space="0" w:color="auto"/>
              <w:left w:val="single" w:sz="8" w:space="0" w:color="auto"/>
              <w:bottom w:val="single" w:sz="8" w:space="0" w:color="auto"/>
              <w:right w:val="nil"/>
            </w:tcBorders>
            <w:shd w:val="clear" w:color="000000" w:fill="548235"/>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Totali</w:t>
            </w:r>
          </w:p>
        </w:tc>
        <w:tc>
          <w:tcPr>
            <w:tcW w:w="1627" w:type="dxa"/>
            <w:tcBorders>
              <w:top w:val="single" w:sz="8" w:space="0" w:color="auto"/>
              <w:left w:val="single" w:sz="4" w:space="0" w:color="auto"/>
              <w:bottom w:val="single" w:sz="8" w:space="0" w:color="auto"/>
              <w:right w:val="single" w:sz="4" w:space="0" w:color="auto"/>
            </w:tcBorders>
            <w:shd w:val="clear" w:color="000000" w:fill="548235"/>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232</w:t>
            </w:r>
          </w:p>
        </w:tc>
        <w:tc>
          <w:tcPr>
            <w:tcW w:w="1998" w:type="dxa"/>
            <w:tcBorders>
              <w:top w:val="single" w:sz="8" w:space="0" w:color="auto"/>
              <w:left w:val="nil"/>
              <w:bottom w:val="single" w:sz="8" w:space="0" w:color="auto"/>
              <w:right w:val="single" w:sz="4" w:space="0" w:color="auto"/>
            </w:tcBorders>
            <w:shd w:val="clear" w:color="000000" w:fill="548235"/>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289,291</w:t>
            </w:r>
          </w:p>
        </w:tc>
        <w:tc>
          <w:tcPr>
            <w:tcW w:w="1804" w:type="dxa"/>
            <w:tcBorders>
              <w:top w:val="single" w:sz="8" w:space="0" w:color="auto"/>
              <w:left w:val="nil"/>
              <w:bottom w:val="single" w:sz="8" w:space="0" w:color="auto"/>
              <w:right w:val="single" w:sz="8" w:space="0" w:color="auto"/>
            </w:tcBorders>
            <w:shd w:val="clear" w:color="000000" w:fill="548235"/>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100.00%</w:t>
            </w:r>
          </w:p>
        </w:tc>
      </w:tr>
      <w:tr w:rsidR="00E15C3C" w:rsidRPr="00E15C3C" w:rsidTr="00E15C3C">
        <w:trPr>
          <w:trHeight w:val="356"/>
        </w:trPr>
        <w:tc>
          <w:tcPr>
            <w:tcW w:w="133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Lezhë</w:t>
            </w:r>
          </w:p>
        </w:tc>
        <w:tc>
          <w:tcPr>
            <w:tcW w:w="3236" w:type="dxa"/>
            <w:tcBorders>
              <w:top w:val="nil"/>
              <w:left w:val="single" w:sz="4" w:space="0" w:color="000000"/>
              <w:bottom w:val="single" w:sz="4" w:space="0" w:color="000000"/>
              <w:right w:val="nil"/>
            </w:tcBorders>
            <w:shd w:val="clear" w:color="000000" w:fill="4472C4"/>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E MENAXHUAR</w:t>
            </w:r>
          </w:p>
        </w:tc>
        <w:tc>
          <w:tcPr>
            <w:tcW w:w="1627" w:type="dxa"/>
            <w:tcBorders>
              <w:top w:val="nil"/>
              <w:left w:val="single" w:sz="4" w:space="0" w:color="auto"/>
              <w:bottom w:val="single" w:sz="4" w:space="0" w:color="auto"/>
              <w:right w:val="single" w:sz="4" w:space="0" w:color="auto"/>
            </w:tcBorders>
            <w:shd w:val="clear" w:color="000000" w:fill="4472C4"/>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54</w:t>
            </w:r>
          </w:p>
        </w:tc>
        <w:tc>
          <w:tcPr>
            <w:tcW w:w="1998" w:type="dxa"/>
            <w:tcBorders>
              <w:top w:val="nil"/>
              <w:left w:val="nil"/>
              <w:bottom w:val="single" w:sz="4" w:space="0" w:color="auto"/>
              <w:right w:val="single" w:sz="4" w:space="0" w:color="auto"/>
            </w:tcBorders>
            <w:shd w:val="clear" w:color="000000" w:fill="4472C4"/>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41,451</w:t>
            </w:r>
          </w:p>
        </w:tc>
        <w:tc>
          <w:tcPr>
            <w:tcW w:w="1804" w:type="dxa"/>
            <w:tcBorders>
              <w:top w:val="nil"/>
              <w:left w:val="nil"/>
              <w:bottom w:val="single" w:sz="4" w:space="0" w:color="auto"/>
              <w:right w:val="single" w:sz="4" w:space="0" w:color="auto"/>
            </w:tcBorders>
            <w:shd w:val="clear" w:color="000000" w:fill="4472C4"/>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7.90%</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single" w:sz="4" w:space="0" w:color="000000"/>
              <w:right w:val="nil"/>
            </w:tcBorders>
            <w:shd w:val="clear" w:color="000000" w:fill="4472C4"/>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KONTRATE</w:t>
            </w:r>
          </w:p>
        </w:tc>
        <w:tc>
          <w:tcPr>
            <w:tcW w:w="1627" w:type="dxa"/>
            <w:tcBorders>
              <w:top w:val="nil"/>
              <w:left w:val="single" w:sz="4" w:space="0" w:color="auto"/>
              <w:bottom w:val="single" w:sz="4" w:space="0" w:color="auto"/>
              <w:right w:val="single" w:sz="4" w:space="0" w:color="auto"/>
            </w:tcBorders>
            <w:shd w:val="clear" w:color="000000" w:fill="4472C4"/>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83</w:t>
            </w:r>
          </w:p>
        </w:tc>
        <w:tc>
          <w:tcPr>
            <w:tcW w:w="1998" w:type="dxa"/>
            <w:tcBorders>
              <w:top w:val="nil"/>
              <w:left w:val="nil"/>
              <w:bottom w:val="single" w:sz="4" w:space="0" w:color="auto"/>
              <w:right w:val="single" w:sz="4" w:space="0" w:color="auto"/>
            </w:tcBorders>
            <w:shd w:val="clear" w:color="000000" w:fill="4472C4"/>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50,507</w:t>
            </w:r>
          </w:p>
        </w:tc>
        <w:tc>
          <w:tcPr>
            <w:tcW w:w="1804" w:type="dxa"/>
            <w:tcBorders>
              <w:top w:val="nil"/>
              <w:left w:val="nil"/>
              <w:bottom w:val="single" w:sz="4" w:space="0" w:color="auto"/>
              <w:right w:val="single" w:sz="4" w:space="0" w:color="auto"/>
            </w:tcBorders>
            <w:shd w:val="clear" w:color="000000" w:fill="4472C4"/>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9.63%</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nil"/>
              <w:right w:val="nil"/>
            </w:tcBorders>
            <w:shd w:val="clear" w:color="000000" w:fill="4472C4"/>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PUBLIKE</w:t>
            </w:r>
          </w:p>
        </w:tc>
        <w:tc>
          <w:tcPr>
            <w:tcW w:w="1627" w:type="dxa"/>
            <w:tcBorders>
              <w:top w:val="nil"/>
              <w:left w:val="single" w:sz="4" w:space="0" w:color="auto"/>
              <w:bottom w:val="nil"/>
              <w:right w:val="single" w:sz="4" w:space="0" w:color="auto"/>
            </w:tcBorders>
            <w:shd w:val="clear" w:color="000000" w:fill="4472C4"/>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263</w:t>
            </w:r>
          </w:p>
        </w:tc>
        <w:tc>
          <w:tcPr>
            <w:tcW w:w="1998" w:type="dxa"/>
            <w:tcBorders>
              <w:top w:val="nil"/>
              <w:left w:val="nil"/>
              <w:bottom w:val="nil"/>
              <w:right w:val="single" w:sz="4" w:space="0" w:color="auto"/>
            </w:tcBorders>
            <w:shd w:val="clear" w:color="000000" w:fill="4472C4"/>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432,483</w:t>
            </w:r>
          </w:p>
        </w:tc>
        <w:tc>
          <w:tcPr>
            <w:tcW w:w="1804" w:type="dxa"/>
            <w:tcBorders>
              <w:top w:val="nil"/>
              <w:left w:val="nil"/>
              <w:bottom w:val="nil"/>
              <w:right w:val="single" w:sz="4" w:space="0" w:color="auto"/>
            </w:tcBorders>
            <w:shd w:val="clear" w:color="000000" w:fill="4472C4"/>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82.47%</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single" w:sz="8" w:space="0" w:color="auto"/>
              <w:left w:val="single" w:sz="8" w:space="0" w:color="auto"/>
              <w:bottom w:val="single" w:sz="8" w:space="0" w:color="auto"/>
              <w:right w:val="nil"/>
            </w:tcBorders>
            <w:shd w:val="clear" w:color="000000" w:fill="4472C4"/>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Totali</w:t>
            </w:r>
          </w:p>
        </w:tc>
        <w:tc>
          <w:tcPr>
            <w:tcW w:w="1627" w:type="dxa"/>
            <w:tcBorders>
              <w:top w:val="single" w:sz="8" w:space="0" w:color="auto"/>
              <w:left w:val="single" w:sz="4" w:space="0" w:color="auto"/>
              <w:bottom w:val="single" w:sz="8" w:space="0" w:color="auto"/>
              <w:right w:val="single" w:sz="4" w:space="0" w:color="auto"/>
            </w:tcBorders>
            <w:shd w:val="clear" w:color="000000" w:fill="4472C4"/>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400</w:t>
            </w:r>
          </w:p>
        </w:tc>
        <w:tc>
          <w:tcPr>
            <w:tcW w:w="1998" w:type="dxa"/>
            <w:tcBorders>
              <w:top w:val="single" w:sz="8" w:space="0" w:color="auto"/>
              <w:left w:val="nil"/>
              <w:bottom w:val="single" w:sz="8" w:space="0" w:color="auto"/>
              <w:right w:val="single" w:sz="4" w:space="0" w:color="auto"/>
            </w:tcBorders>
            <w:shd w:val="clear" w:color="000000" w:fill="4472C4"/>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524,441</w:t>
            </w:r>
          </w:p>
        </w:tc>
        <w:tc>
          <w:tcPr>
            <w:tcW w:w="1804" w:type="dxa"/>
            <w:tcBorders>
              <w:top w:val="single" w:sz="8" w:space="0" w:color="auto"/>
              <w:left w:val="nil"/>
              <w:bottom w:val="single" w:sz="8" w:space="0" w:color="auto"/>
              <w:right w:val="single" w:sz="8" w:space="0" w:color="auto"/>
            </w:tcBorders>
            <w:shd w:val="clear" w:color="000000" w:fill="4472C4"/>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100.00%</w:t>
            </w:r>
          </w:p>
        </w:tc>
      </w:tr>
      <w:tr w:rsidR="00E15C3C" w:rsidRPr="00E15C3C" w:rsidTr="00E15C3C">
        <w:trPr>
          <w:trHeight w:val="356"/>
        </w:trPr>
        <w:tc>
          <w:tcPr>
            <w:tcW w:w="133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Pogradec</w:t>
            </w:r>
          </w:p>
        </w:tc>
        <w:tc>
          <w:tcPr>
            <w:tcW w:w="3236" w:type="dxa"/>
            <w:tcBorders>
              <w:top w:val="nil"/>
              <w:left w:val="single" w:sz="4" w:space="0" w:color="000000"/>
              <w:bottom w:val="single" w:sz="4" w:space="0" w:color="000000"/>
              <w:right w:val="nil"/>
            </w:tcBorders>
            <w:shd w:val="clear" w:color="000000" w:fill="C65911"/>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E MENAXHUAR</w:t>
            </w:r>
          </w:p>
        </w:tc>
        <w:tc>
          <w:tcPr>
            <w:tcW w:w="1627" w:type="dxa"/>
            <w:tcBorders>
              <w:top w:val="nil"/>
              <w:left w:val="single" w:sz="4" w:space="0" w:color="auto"/>
              <w:bottom w:val="single" w:sz="4" w:space="0" w:color="auto"/>
              <w:right w:val="single" w:sz="4" w:space="0" w:color="auto"/>
            </w:tcBorders>
            <w:shd w:val="clear" w:color="000000" w:fill="C65911"/>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27</w:t>
            </w:r>
          </w:p>
        </w:tc>
        <w:tc>
          <w:tcPr>
            <w:tcW w:w="1998" w:type="dxa"/>
            <w:tcBorders>
              <w:top w:val="nil"/>
              <w:left w:val="nil"/>
              <w:bottom w:val="single" w:sz="4" w:space="0" w:color="auto"/>
              <w:right w:val="single" w:sz="4" w:space="0" w:color="auto"/>
            </w:tcBorders>
            <w:shd w:val="clear" w:color="000000" w:fill="C65911"/>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46,918</w:t>
            </w:r>
          </w:p>
        </w:tc>
        <w:tc>
          <w:tcPr>
            <w:tcW w:w="1804" w:type="dxa"/>
            <w:tcBorders>
              <w:top w:val="nil"/>
              <w:left w:val="nil"/>
              <w:bottom w:val="single" w:sz="4" w:space="0" w:color="auto"/>
              <w:right w:val="single" w:sz="4" w:space="0" w:color="auto"/>
            </w:tcBorders>
            <w:shd w:val="clear" w:color="000000" w:fill="C65911"/>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37.23%</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single" w:sz="4" w:space="0" w:color="000000"/>
              <w:right w:val="nil"/>
            </w:tcBorders>
            <w:shd w:val="clear" w:color="000000" w:fill="C65911"/>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KONTRATE</w:t>
            </w:r>
          </w:p>
        </w:tc>
        <w:tc>
          <w:tcPr>
            <w:tcW w:w="1627" w:type="dxa"/>
            <w:tcBorders>
              <w:top w:val="nil"/>
              <w:left w:val="single" w:sz="4" w:space="0" w:color="auto"/>
              <w:bottom w:val="single" w:sz="4" w:space="0" w:color="auto"/>
              <w:right w:val="single" w:sz="4" w:space="0" w:color="auto"/>
            </w:tcBorders>
            <w:shd w:val="clear" w:color="000000" w:fill="C65911"/>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10</w:t>
            </w:r>
          </w:p>
        </w:tc>
        <w:tc>
          <w:tcPr>
            <w:tcW w:w="1998" w:type="dxa"/>
            <w:tcBorders>
              <w:top w:val="nil"/>
              <w:left w:val="nil"/>
              <w:bottom w:val="single" w:sz="4" w:space="0" w:color="auto"/>
              <w:right w:val="single" w:sz="4" w:space="0" w:color="auto"/>
            </w:tcBorders>
            <w:shd w:val="clear" w:color="000000" w:fill="C65911"/>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14,038</w:t>
            </w:r>
          </w:p>
        </w:tc>
        <w:tc>
          <w:tcPr>
            <w:tcW w:w="1804" w:type="dxa"/>
            <w:tcBorders>
              <w:top w:val="nil"/>
              <w:left w:val="nil"/>
              <w:bottom w:val="single" w:sz="4" w:space="0" w:color="auto"/>
              <w:right w:val="single" w:sz="4" w:space="0" w:color="auto"/>
            </w:tcBorders>
            <w:shd w:val="clear" w:color="000000" w:fill="C65911"/>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11.14%</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nil"/>
              <w:right w:val="nil"/>
            </w:tcBorders>
            <w:shd w:val="clear" w:color="000000" w:fill="C65911"/>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PUBLIKE</w:t>
            </w:r>
          </w:p>
        </w:tc>
        <w:tc>
          <w:tcPr>
            <w:tcW w:w="1627" w:type="dxa"/>
            <w:tcBorders>
              <w:top w:val="nil"/>
              <w:left w:val="single" w:sz="4" w:space="0" w:color="auto"/>
              <w:bottom w:val="nil"/>
              <w:right w:val="single" w:sz="4" w:space="0" w:color="auto"/>
            </w:tcBorders>
            <w:shd w:val="clear" w:color="000000" w:fill="C65911"/>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43</w:t>
            </w:r>
          </w:p>
        </w:tc>
        <w:tc>
          <w:tcPr>
            <w:tcW w:w="1998" w:type="dxa"/>
            <w:tcBorders>
              <w:top w:val="nil"/>
              <w:left w:val="nil"/>
              <w:bottom w:val="nil"/>
              <w:right w:val="single" w:sz="4" w:space="0" w:color="auto"/>
            </w:tcBorders>
            <w:shd w:val="clear" w:color="000000" w:fill="C65911"/>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65,057</w:t>
            </w:r>
          </w:p>
        </w:tc>
        <w:tc>
          <w:tcPr>
            <w:tcW w:w="1804" w:type="dxa"/>
            <w:tcBorders>
              <w:top w:val="nil"/>
              <w:left w:val="nil"/>
              <w:bottom w:val="nil"/>
              <w:right w:val="single" w:sz="4" w:space="0" w:color="auto"/>
            </w:tcBorders>
            <w:shd w:val="clear" w:color="000000" w:fill="C65911"/>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51.63%</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single" w:sz="8" w:space="0" w:color="auto"/>
              <w:left w:val="single" w:sz="8" w:space="0" w:color="auto"/>
              <w:bottom w:val="single" w:sz="8" w:space="0" w:color="auto"/>
              <w:right w:val="nil"/>
            </w:tcBorders>
            <w:shd w:val="clear" w:color="000000" w:fill="C65911"/>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Totali</w:t>
            </w:r>
          </w:p>
        </w:tc>
        <w:tc>
          <w:tcPr>
            <w:tcW w:w="1627" w:type="dxa"/>
            <w:tcBorders>
              <w:top w:val="single" w:sz="8" w:space="0" w:color="auto"/>
              <w:left w:val="single" w:sz="4" w:space="0" w:color="auto"/>
              <w:bottom w:val="single" w:sz="8" w:space="0" w:color="auto"/>
              <w:right w:val="single" w:sz="4" w:space="0" w:color="auto"/>
            </w:tcBorders>
            <w:shd w:val="clear" w:color="000000" w:fill="C65911"/>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80</w:t>
            </w:r>
          </w:p>
        </w:tc>
        <w:tc>
          <w:tcPr>
            <w:tcW w:w="1998" w:type="dxa"/>
            <w:tcBorders>
              <w:top w:val="single" w:sz="8" w:space="0" w:color="auto"/>
              <w:left w:val="nil"/>
              <w:bottom w:val="single" w:sz="8" w:space="0" w:color="auto"/>
              <w:right w:val="single" w:sz="4" w:space="0" w:color="auto"/>
            </w:tcBorders>
            <w:shd w:val="clear" w:color="000000" w:fill="C65911"/>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126,013</w:t>
            </w:r>
          </w:p>
        </w:tc>
        <w:tc>
          <w:tcPr>
            <w:tcW w:w="1804" w:type="dxa"/>
            <w:tcBorders>
              <w:top w:val="single" w:sz="8" w:space="0" w:color="auto"/>
              <w:left w:val="nil"/>
              <w:bottom w:val="single" w:sz="8" w:space="0" w:color="auto"/>
              <w:right w:val="single" w:sz="8" w:space="0" w:color="auto"/>
            </w:tcBorders>
            <w:shd w:val="clear" w:color="000000" w:fill="C65911"/>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100.00%</w:t>
            </w:r>
          </w:p>
        </w:tc>
      </w:tr>
      <w:tr w:rsidR="00E15C3C" w:rsidRPr="00E15C3C" w:rsidTr="00E15C3C">
        <w:trPr>
          <w:trHeight w:val="356"/>
        </w:trPr>
        <w:tc>
          <w:tcPr>
            <w:tcW w:w="133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Rrogozhinë</w:t>
            </w:r>
          </w:p>
        </w:tc>
        <w:tc>
          <w:tcPr>
            <w:tcW w:w="3236" w:type="dxa"/>
            <w:tcBorders>
              <w:top w:val="nil"/>
              <w:left w:val="single" w:sz="4" w:space="0" w:color="000000"/>
              <w:bottom w:val="single" w:sz="4" w:space="0" w:color="000000"/>
              <w:right w:val="nil"/>
            </w:tcBorders>
            <w:shd w:val="clear" w:color="000000" w:fill="D9D9D9"/>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E MENAXHUAR</w:t>
            </w:r>
          </w:p>
        </w:tc>
        <w:tc>
          <w:tcPr>
            <w:tcW w:w="1627" w:type="dxa"/>
            <w:tcBorders>
              <w:top w:val="nil"/>
              <w:left w:val="single" w:sz="4" w:space="0" w:color="auto"/>
              <w:bottom w:val="single" w:sz="4" w:space="0" w:color="auto"/>
              <w:right w:val="single" w:sz="4" w:space="0" w:color="auto"/>
            </w:tcBorders>
            <w:shd w:val="clear" w:color="000000" w:fill="D9D9D9"/>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31</w:t>
            </w:r>
          </w:p>
        </w:tc>
        <w:tc>
          <w:tcPr>
            <w:tcW w:w="1998" w:type="dxa"/>
            <w:tcBorders>
              <w:top w:val="nil"/>
              <w:left w:val="nil"/>
              <w:bottom w:val="single" w:sz="4" w:space="0" w:color="auto"/>
              <w:right w:val="single" w:sz="4" w:space="0" w:color="auto"/>
            </w:tcBorders>
            <w:shd w:val="clear" w:color="000000" w:fill="D9D9D9"/>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133,342</w:t>
            </w:r>
          </w:p>
        </w:tc>
        <w:tc>
          <w:tcPr>
            <w:tcW w:w="1804" w:type="dxa"/>
            <w:tcBorders>
              <w:top w:val="nil"/>
              <w:left w:val="nil"/>
              <w:bottom w:val="single" w:sz="4" w:space="0" w:color="auto"/>
              <w:right w:val="single" w:sz="4" w:space="0" w:color="auto"/>
            </w:tcBorders>
            <w:shd w:val="clear" w:color="000000" w:fill="D9D9D9"/>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29.58%</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single" w:sz="4" w:space="0" w:color="000000"/>
              <w:right w:val="nil"/>
            </w:tcBorders>
            <w:shd w:val="clear" w:color="000000" w:fill="D9D9D9"/>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KONTRATE</w:t>
            </w:r>
          </w:p>
        </w:tc>
        <w:tc>
          <w:tcPr>
            <w:tcW w:w="1627" w:type="dxa"/>
            <w:tcBorders>
              <w:top w:val="nil"/>
              <w:left w:val="single" w:sz="4" w:space="0" w:color="auto"/>
              <w:bottom w:val="single" w:sz="4" w:space="0" w:color="auto"/>
              <w:right w:val="single" w:sz="4" w:space="0" w:color="auto"/>
            </w:tcBorders>
            <w:shd w:val="clear" w:color="000000" w:fill="D9D9D9"/>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38</w:t>
            </w:r>
          </w:p>
        </w:tc>
        <w:tc>
          <w:tcPr>
            <w:tcW w:w="1998" w:type="dxa"/>
            <w:tcBorders>
              <w:top w:val="nil"/>
              <w:left w:val="nil"/>
              <w:bottom w:val="single" w:sz="4" w:space="0" w:color="auto"/>
              <w:right w:val="single" w:sz="4" w:space="0" w:color="auto"/>
            </w:tcBorders>
            <w:shd w:val="clear" w:color="000000" w:fill="D9D9D9"/>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166,205</w:t>
            </w:r>
          </w:p>
        </w:tc>
        <w:tc>
          <w:tcPr>
            <w:tcW w:w="1804" w:type="dxa"/>
            <w:tcBorders>
              <w:top w:val="nil"/>
              <w:left w:val="nil"/>
              <w:bottom w:val="single" w:sz="4" w:space="0" w:color="auto"/>
              <w:right w:val="single" w:sz="4" w:space="0" w:color="auto"/>
            </w:tcBorders>
            <w:shd w:val="clear" w:color="000000" w:fill="D9D9D9"/>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36.87%</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nil"/>
              <w:right w:val="nil"/>
            </w:tcBorders>
            <w:shd w:val="clear" w:color="000000" w:fill="D9D9D9"/>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PUBLIKE</w:t>
            </w:r>
          </w:p>
        </w:tc>
        <w:tc>
          <w:tcPr>
            <w:tcW w:w="1627" w:type="dxa"/>
            <w:tcBorders>
              <w:top w:val="nil"/>
              <w:left w:val="single" w:sz="4" w:space="0" w:color="auto"/>
              <w:bottom w:val="nil"/>
              <w:right w:val="single" w:sz="4" w:space="0" w:color="auto"/>
            </w:tcBorders>
            <w:shd w:val="clear" w:color="000000" w:fill="D9D9D9"/>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47</w:t>
            </w:r>
          </w:p>
        </w:tc>
        <w:tc>
          <w:tcPr>
            <w:tcW w:w="1998" w:type="dxa"/>
            <w:tcBorders>
              <w:top w:val="nil"/>
              <w:left w:val="nil"/>
              <w:bottom w:val="nil"/>
              <w:right w:val="single" w:sz="4" w:space="0" w:color="auto"/>
            </w:tcBorders>
            <w:shd w:val="clear" w:color="000000" w:fill="D9D9D9"/>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151,212</w:t>
            </w:r>
          </w:p>
        </w:tc>
        <w:tc>
          <w:tcPr>
            <w:tcW w:w="1804" w:type="dxa"/>
            <w:tcBorders>
              <w:top w:val="nil"/>
              <w:left w:val="nil"/>
              <w:bottom w:val="nil"/>
              <w:right w:val="single" w:sz="4" w:space="0" w:color="auto"/>
            </w:tcBorders>
            <w:shd w:val="clear" w:color="000000" w:fill="D9D9D9"/>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33.55%</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single" w:sz="8" w:space="0" w:color="auto"/>
              <w:left w:val="single" w:sz="8" w:space="0" w:color="auto"/>
              <w:bottom w:val="single" w:sz="8" w:space="0" w:color="auto"/>
              <w:right w:val="nil"/>
            </w:tcBorders>
            <w:shd w:val="clear" w:color="000000" w:fill="D9D9D9"/>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Totali</w:t>
            </w:r>
          </w:p>
        </w:tc>
        <w:tc>
          <w:tcPr>
            <w:tcW w:w="1627" w:type="dxa"/>
            <w:tcBorders>
              <w:top w:val="single" w:sz="8" w:space="0" w:color="auto"/>
              <w:left w:val="single" w:sz="4" w:space="0" w:color="auto"/>
              <w:bottom w:val="single" w:sz="8" w:space="0" w:color="auto"/>
              <w:right w:val="single" w:sz="4" w:space="0" w:color="auto"/>
            </w:tcBorders>
            <w:shd w:val="clear" w:color="000000" w:fill="D9D9D9"/>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116</w:t>
            </w:r>
          </w:p>
        </w:tc>
        <w:tc>
          <w:tcPr>
            <w:tcW w:w="1998" w:type="dxa"/>
            <w:tcBorders>
              <w:top w:val="single" w:sz="8" w:space="0" w:color="auto"/>
              <w:left w:val="nil"/>
              <w:bottom w:val="single" w:sz="8" w:space="0" w:color="auto"/>
              <w:right w:val="single" w:sz="4" w:space="0" w:color="auto"/>
            </w:tcBorders>
            <w:shd w:val="clear" w:color="000000" w:fill="D9D9D9"/>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450,759</w:t>
            </w:r>
          </w:p>
        </w:tc>
        <w:tc>
          <w:tcPr>
            <w:tcW w:w="1804" w:type="dxa"/>
            <w:tcBorders>
              <w:top w:val="single" w:sz="8" w:space="0" w:color="auto"/>
              <w:left w:val="nil"/>
              <w:bottom w:val="single" w:sz="8" w:space="0" w:color="auto"/>
              <w:right w:val="single" w:sz="8" w:space="0" w:color="auto"/>
            </w:tcBorders>
            <w:shd w:val="clear" w:color="000000" w:fill="D9D9D9"/>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100.00%</w:t>
            </w:r>
          </w:p>
        </w:tc>
      </w:tr>
      <w:tr w:rsidR="00E15C3C" w:rsidRPr="00E15C3C" w:rsidTr="00E15C3C">
        <w:trPr>
          <w:trHeight w:val="356"/>
        </w:trPr>
        <w:tc>
          <w:tcPr>
            <w:tcW w:w="133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Sarandë</w:t>
            </w:r>
          </w:p>
        </w:tc>
        <w:tc>
          <w:tcPr>
            <w:tcW w:w="3236" w:type="dxa"/>
            <w:tcBorders>
              <w:top w:val="nil"/>
              <w:left w:val="single" w:sz="4" w:space="0" w:color="000000"/>
              <w:bottom w:val="single" w:sz="4" w:space="0" w:color="000000"/>
              <w:right w:val="nil"/>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E MENAXHUAR</w:t>
            </w:r>
          </w:p>
        </w:tc>
        <w:tc>
          <w:tcPr>
            <w:tcW w:w="1627" w:type="dxa"/>
            <w:tcBorders>
              <w:top w:val="nil"/>
              <w:left w:val="single" w:sz="4" w:space="0" w:color="auto"/>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131</w:t>
            </w:r>
          </w:p>
        </w:tc>
        <w:tc>
          <w:tcPr>
            <w:tcW w:w="1998" w:type="dxa"/>
            <w:tcBorders>
              <w:top w:val="nil"/>
              <w:left w:val="nil"/>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74,469</w:t>
            </w:r>
          </w:p>
        </w:tc>
        <w:tc>
          <w:tcPr>
            <w:tcW w:w="1804" w:type="dxa"/>
            <w:tcBorders>
              <w:top w:val="nil"/>
              <w:left w:val="nil"/>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40.04%</w:t>
            </w:r>
          </w:p>
        </w:tc>
      </w:tr>
      <w:tr w:rsidR="00E15C3C" w:rsidRPr="00E15C3C" w:rsidTr="00E15C3C">
        <w:trPr>
          <w:trHeight w:val="450"/>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vMerge w:val="restart"/>
            <w:tcBorders>
              <w:top w:val="nil"/>
              <w:left w:val="single" w:sz="4" w:space="0" w:color="000000"/>
              <w:bottom w:val="single" w:sz="4" w:space="0" w:color="000000"/>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INVESTIM STRATEGJIK</w:t>
            </w:r>
          </w:p>
        </w:tc>
        <w:tc>
          <w:tcPr>
            <w:tcW w:w="1627"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w:t>
            </w:r>
          </w:p>
        </w:tc>
        <w:tc>
          <w:tcPr>
            <w:tcW w:w="1998"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1,665</w:t>
            </w:r>
          </w:p>
        </w:tc>
        <w:tc>
          <w:tcPr>
            <w:tcW w:w="1804"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0.63%</w:t>
            </w:r>
          </w:p>
        </w:tc>
      </w:tr>
      <w:tr w:rsidR="00E15C3C" w:rsidRPr="00E15C3C" w:rsidTr="00E15C3C">
        <w:trPr>
          <w:trHeight w:val="450"/>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vMerge/>
            <w:tcBorders>
              <w:top w:val="nil"/>
              <w:left w:val="single" w:sz="4" w:space="0" w:color="000000"/>
              <w:bottom w:val="single" w:sz="4" w:space="0" w:color="000000"/>
              <w:right w:val="single" w:sz="4" w:space="0" w:color="auto"/>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1627" w:type="dxa"/>
            <w:vMerge/>
            <w:tcBorders>
              <w:top w:val="nil"/>
              <w:left w:val="single" w:sz="4" w:space="0" w:color="auto"/>
              <w:bottom w:val="single" w:sz="4" w:space="0" w:color="000000"/>
              <w:right w:val="single" w:sz="4" w:space="0" w:color="auto"/>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1998" w:type="dxa"/>
            <w:vMerge/>
            <w:tcBorders>
              <w:top w:val="nil"/>
              <w:left w:val="single" w:sz="4" w:space="0" w:color="auto"/>
              <w:bottom w:val="single" w:sz="4" w:space="0" w:color="000000"/>
              <w:right w:val="single" w:sz="4" w:space="0" w:color="auto"/>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1804" w:type="dxa"/>
            <w:vMerge/>
            <w:tcBorders>
              <w:top w:val="nil"/>
              <w:left w:val="single" w:sz="4" w:space="0" w:color="auto"/>
              <w:bottom w:val="single" w:sz="4" w:space="0" w:color="000000"/>
              <w:right w:val="single" w:sz="4" w:space="0" w:color="auto"/>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nil"/>
              <w:right w:val="nil"/>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KONTRATE</w:t>
            </w:r>
          </w:p>
        </w:tc>
        <w:tc>
          <w:tcPr>
            <w:tcW w:w="1627" w:type="dxa"/>
            <w:tcBorders>
              <w:top w:val="nil"/>
              <w:left w:val="single" w:sz="4" w:space="0" w:color="auto"/>
              <w:bottom w:val="nil"/>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44</w:t>
            </w:r>
          </w:p>
        </w:tc>
        <w:tc>
          <w:tcPr>
            <w:tcW w:w="1998" w:type="dxa"/>
            <w:tcBorders>
              <w:top w:val="nil"/>
              <w:left w:val="nil"/>
              <w:bottom w:val="nil"/>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26,298</w:t>
            </w:r>
          </w:p>
        </w:tc>
        <w:tc>
          <w:tcPr>
            <w:tcW w:w="1804" w:type="dxa"/>
            <w:tcBorders>
              <w:top w:val="nil"/>
              <w:left w:val="nil"/>
              <w:bottom w:val="nil"/>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14.14%</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 xml:space="preserve">PUBLIKE </w:t>
            </w:r>
          </w:p>
        </w:tc>
        <w:tc>
          <w:tcPr>
            <w:tcW w:w="1627" w:type="dxa"/>
            <w:tcBorders>
              <w:top w:val="single" w:sz="4" w:space="0" w:color="auto"/>
              <w:left w:val="nil"/>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116</w:t>
            </w:r>
          </w:p>
        </w:tc>
        <w:tc>
          <w:tcPr>
            <w:tcW w:w="1998" w:type="dxa"/>
            <w:tcBorders>
              <w:top w:val="single" w:sz="4" w:space="0" w:color="auto"/>
              <w:left w:val="nil"/>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83,551</w:t>
            </w:r>
          </w:p>
        </w:tc>
        <w:tc>
          <w:tcPr>
            <w:tcW w:w="1804" w:type="dxa"/>
            <w:tcBorders>
              <w:top w:val="single" w:sz="4" w:space="0" w:color="auto"/>
              <w:left w:val="nil"/>
              <w:bottom w:val="nil"/>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45.19%</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8" w:space="0" w:color="auto"/>
              <w:bottom w:val="single" w:sz="8" w:space="0" w:color="auto"/>
              <w:right w:val="nil"/>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Totali</w:t>
            </w:r>
          </w:p>
        </w:tc>
        <w:tc>
          <w:tcPr>
            <w:tcW w:w="1627" w:type="dxa"/>
            <w:tcBorders>
              <w:top w:val="nil"/>
              <w:left w:val="single" w:sz="4" w:space="0" w:color="auto"/>
              <w:bottom w:val="single" w:sz="8"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292</w:t>
            </w:r>
          </w:p>
        </w:tc>
        <w:tc>
          <w:tcPr>
            <w:tcW w:w="1998" w:type="dxa"/>
            <w:tcBorders>
              <w:top w:val="nil"/>
              <w:left w:val="nil"/>
              <w:bottom w:val="single" w:sz="8" w:space="0" w:color="auto"/>
              <w:right w:val="nil"/>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185,983</w:t>
            </w:r>
          </w:p>
        </w:tc>
        <w:tc>
          <w:tcPr>
            <w:tcW w:w="18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100.00%</w:t>
            </w:r>
          </w:p>
        </w:tc>
      </w:tr>
      <w:tr w:rsidR="00E15C3C" w:rsidRPr="00E15C3C" w:rsidTr="00E15C3C">
        <w:trPr>
          <w:trHeight w:val="356"/>
        </w:trPr>
        <w:tc>
          <w:tcPr>
            <w:tcW w:w="133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Shkodër</w:t>
            </w:r>
          </w:p>
        </w:tc>
        <w:tc>
          <w:tcPr>
            <w:tcW w:w="3236" w:type="dxa"/>
            <w:tcBorders>
              <w:top w:val="nil"/>
              <w:left w:val="single" w:sz="4" w:space="0" w:color="000000"/>
              <w:bottom w:val="single" w:sz="4" w:space="0" w:color="000000"/>
              <w:right w:val="nil"/>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E MENAXHUAR</w:t>
            </w:r>
          </w:p>
        </w:tc>
        <w:tc>
          <w:tcPr>
            <w:tcW w:w="1627" w:type="dxa"/>
            <w:tcBorders>
              <w:top w:val="nil"/>
              <w:left w:val="single" w:sz="4" w:space="0" w:color="auto"/>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150</w:t>
            </w:r>
          </w:p>
        </w:tc>
        <w:tc>
          <w:tcPr>
            <w:tcW w:w="1998" w:type="dxa"/>
            <w:tcBorders>
              <w:top w:val="nil"/>
              <w:left w:val="nil"/>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123,526</w:t>
            </w:r>
          </w:p>
        </w:tc>
        <w:tc>
          <w:tcPr>
            <w:tcW w:w="1804" w:type="dxa"/>
            <w:tcBorders>
              <w:top w:val="nil"/>
              <w:left w:val="nil"/>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57.20%</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nil"/>
              <w:right w:val="nil"/>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KONTRATE</w:t>
            </w:r>
          </w:p>
        </w:tc>
        <w:tc>
          <w:tcPr>
            <w:tcW w:w="1627" w:type="dxa"/>
            <w:tcBorders>
              <w:top w:val="nil"/>
              <w:left w:val="single" w:sz="4" w:space="0" w:color="auto"/>
              <w:bottom w:val="nil"/>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24</w:t>
            </w:r>
          </w:p>
        </w:tc>
        <w:tc>
          <w:tcPr>
            <w:tcW w:w="1998" w:type="dxa"/>
            <w:tcBorders>
              <w:top w:val="nil"/>
              <w:left w:val="nil"/>
              <w:bottom w:val="nil"/>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20,956</w:t>
            </w:r>
          </w:p>
        </w:tc>
        <w:tc>
          <w:tcPr>
            <w:tcW w:w="1804" w:type="dxa"/>
            <w:tcBorders>
              <w:top w:val="nil"/>
              <w:left w:val="nil"/>
              <w:bottom w:val="nil"/>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9.70%</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 xml:space="preserve">PUBLIKE </w:t>
            </w:r>
          </w:p>
        </w:tc>
        <w:tc>
          <w:tcPr>
            <w:tcW w:w="1627" w:type="dxa"/>
            <w:tcBorders>
              <w:top w:val="single" w:sz="4" w:space="0" w:color="auto"/>
              <w:left w:val="nil"/>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56</w:t>
            </w:r>
          </w:p>
        </w:tc>
        <w:tc>
          <w:tcPr>
            <w:tcW w:w="1998" w:type="dxa"/>
            <w:tcBorders>
              <w:top w:val="single" w:sz="4" w:space="0" w:color="auto"/>
              <w:left w:val="nil"/>
              <w:bottom w:val="single" w:sz="4"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71,464</w:t>
            </w:r>
          </w:p>
        </w:tc>
        <w:tc>
          <w:tcPr>
            <w:tcW w:w="1804" w:type="dxa"/>
            <w:tcBorders>
              <w:top w:val="single" w:sz="4" w:space="0" w:color="auto"/>
              <w:left w:val="nil"/>
              <w:bottom w:val="nil"/>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33.09%</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8" w:space="0" w:color="auto"/>
              <w:bottom w:val="single" w:sz="8" w:space="0" w:color="auto"/>
              <w:right w:val="nil"/>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Totali</w:t>
            </w:r>
          </w:p>
        </w:tc>
        <w:tc>
          <w:tcPr>
            <w:tcW w:w="1627" w:type="dxa"/>
            <w:tcBorders>
              <w:top w:val="nil"/>
              <w:left w:val="single" w:sz="4" w:space="0" w:color="auto"/>
              <w:bottom w:val="single" w:sz="8" w:space="0" w:color="auto"/>
              <w:right w:val="single" w:sz="4"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230</w:t>
            </w:r>
          </w:p>
        </w:tc>
        <w:tc>
          <w:tcPr>
            <w:tcW w:w="1998" w:type="dxa"/>
            <w:tcBorders>
              <w:top w:val="nil"/>
              <w:left w:val="nil"/>
              <w:bottom w:val="single" w:sz="8" w:space="0" w:color="auto"/>
              <w:right w:val="nil"/>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215,946</w:t>
            </w:r>
          </w:p>
        </w:tc>
        <w:tc>
          <w:tcPr>
            <w:tcW w:w="1804" w:type="dxa"/>
            <w:tcBorders>
              <w:top w:val="nil"/>
              <w:left w:val="single" w:sz="8" w:space="0" w:color="auto"/>
              <w:bottom w:val="single" w:sz="8" w:space="0" w:color="auto"/>
              <w:right w:val="single" w:sz="8" w:space="0" w:color="auto"/>
            </w:tcBorders>
            <w:shd w:val="clear" w:color="000000" w:fill="FFFF00"/>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100.00%</w:t>
            </w:r>
          </w:p>
        </w:tc>
      </w:tr>
      <w:tr w:rsidR="00E15C3C" w:rsidRPr="00E15C3C" w:rsidTr="00E15C3C">
        <w:trPr>
          <w:trHeight w:val="356"/>
        </w:trPr>
        <w:tc>
          <w:tcPr>
            <w:tcW w:w="133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Vlorë</w:t>
            </w:r>
          </w:p>
        </w:tc>
        <w:tc>
          <w:tcPr>
            <w:tcW w:w="3236" w:type="dxa"/>
            <w:tcBorders>
              <w:top w:val="nil"/>
              <w:left w:val="single" w:sz="4" w:space="0" w:color="000000"/>
              <w:bottom w:val="single" w:sz="4" w:space="0" w:color="000000"/>
              <w:right w:val="nil"/>
            </w:tcBorders>
            <w:shd w:val="clear" w:color="000000" w:fill="F2F2F2"/>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E MENAXHUAR</w:t>
            </w:r>
          </w:p>
        </w:tc>
        <w:tc>
          <w:tcPr>
            <w:tcW w:w="1627" w:type="dxa"/>
            <w:tcBorders>
              <w:top w:val="nil"/>
              <w:left w:val="single" w:sz="4" w:space="0" w:color="auto"/>
              <w:bottom w:val="single" w:sz="4" w:space="0" w:color="auto"/>
              <w:right w:val="single" w:sz="4" w:space="0" w:color="auto"/>
            </w:tcBorders>
            <w:shd w:val="clear" w:color="000000" w:fill="F2F2F2"/>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104</w:t>
            </w:r>
          </w:p>
        </w:tc>
        <w:tc>
          <w:tcPr>
            <w:tcW w:w="1998" w:type="dxa"/>
            <w:tcBorders>
              <w:top w:val="nil"/>
              <w:left w:val="nil"/>
              <w:bottom w:val="single" w:sz="4" w:space="0" w:color="auto"/>
              <w:right w:val="single" w:sz="4" w:space="0" w:color="auto"/>
            </w:tcBorders>
            <w:shd w:val="clear" w:color="000000" w:fill="F2F2F2"/>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162,588</w:t>
            </w:r>
          </w:p>
        </w:tc>
        <w:tc>
          <w:tcPr>
            <w:tcW w:w="1804" w:type="dxa"/>
            <w:tcBorders>
              <w:top w:val="nil"/>
              <w:left w:val="nil"/>
              <w:bottom w:val="single" w:sz="4" w:space="0" w:color="auto"/>
              <w:right w:val="single" w:sz="4" w:space="0" w:color="auto"/>
            </w:tcBorders>
            <w:shd w:val="clear" w:color="000000" w:fill="F2F2F2"/>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13.56%</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single" w:sz="4" w:space="0" w:color="000000"/>
              <w:right w:val="nil"/>
            </w:tcBorders>
            <w:shd w:val="clear" w:color="000000" w:fill="F2F2F2"/>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KONTRATE</w:t>
            </w:r>
          </w:p>
        </w:tc>
        <w:tc>
          <w:tcPr>
            <w:tcW w:w="1627" w:type="dxa"/>
            <w:tcBorders>
              <w:top w:val="nil"/>
              <w:left w:val="single" w:sz="4" w:space="0" w:color="auto"/>
              <w:bottom w:val="single" w:sz="4" w:space="0" w:color="auto"/>
              <w:right w:val="single" w:sz="4" w:space="0" w:color="auto"/>
            </w:tcBorders>
            <w:shd w:val="clear" w:color="000000" w:fill="F2F2F2"/>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49</w:t>
            </w:r>
          </w:p>
        </w:tc>
        <w:tc>
          <w:tcPr>
            <w:tcW w:w="1998" w:type="dxa"/>
            <w:tcBorders>
              <w:top w:val="nil"/>
              <w:left w:val="nil"/>
              <w:bottom w:val="single" w:sz="4" w:space="0" w:color="auto"/>
              <w:right w:val="single" w:sz="4" w:space="0" w:color="auto"/>
            </w:tcBorders>
            <w:shd w:val="clear" w:color="000000" w:fill="F2F2F2"/>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59,609</w:t>
            </w:r>
          </w:p>
        </w:tc>
        <w:tc>
          <w:tcPr>
            <w:tcW w:w="1804" w:type="dxa"/>
            <w:tcBorders>
              <w:top w:val="nil"/>
              <w:left w:val="nil"/>
              <w:bottom w:val="single" w:sz="4" w:space="0" w:color="auto"/>
              <w:right w:val="single" w:sz="4" w:space="0" w:color="auto"/>
            </w:tcBorders>
            <w:shd w:val="clear" w:color="000000" w:fill="F2F2F2"/>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4.97%</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nil"/>
              <w:left w:val="single" w:sz="4" w:space="0" w:color="000000"/>
              <w:bottom w:val="nil"/>
              <w:right w:val="nil"/>
            </w:tcBorders>
            <w:shd w:val="clear" w:color="000000" w:fill="F2F2F2"/>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PUBLIKE</w:t>
            </w:r>
          </w:p>
        </w:tc>
        <w:tc>
          <w:tcPr>
            <w:tcW w:w="1627" w:type="dxa"/>
            <w:tcBorders>
              <w:top w:val="nil"/>
              <w:left w:val="single" w:sz="4" w:space="0" w:color="auto"/>
              <w:bottom w:val="nil"/>
              <w:right w:val="single" w:sz="4" w:space="0" w:color="auto"/>
            </w:tcBorders>
            <w:shd w:val="clear" w:color="000000" w:fill="F2F2F2"/>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42</w:t>
            </w:r>
          </w:p>
        </w:tc>
        <w:tc>
          <w:tcPr>
            <w:tcW w:w="1998" w:type="dxa"/>
            <w:tcBorders>
              <w:top w:val="nil"/>
              <w:left w:val="nil"/>
              <w:bottom w:val="nil"/>
              <w:right w:val="single" w:sz="4" w:space="0" w:color="auto"/>
            </w:tcBorders>
            <w:shd w:val="clear" w:color="000000" w:fill="F2F2F2"/>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977,138</w:t>
            </w:r>
          </w:p>
        </w:tc>
        <w:tc>
          <w:tcPr>
            <w:tcW w:w="1804" w:type="dxa"/>
            <w:tcBorders>
              <w:top w:val="nil"/>
              <w:left w:val="nil"/>
              <w:bottom w:val="nil"/>
              <w:right w:val="single" w:sz="4" w:space="0" w:color="auto"/>
            </w:tcBorders>
            <w:shd w:val="clear" w:color="000000" w:fill="F2F2F2"/>
            <w:noWrap/>
            <w:vAlign w:val="center"/>
            <w:hideMark/>
          </w:tcPr>
          <w:p w:rsidR="00E15C3C" w:rsidRPr="00E15C3C" w:rsidRDefault="00E15C3C" w:rsidP="00E15C3C">
            <w:pPr>
              <w:spacing w:after="0" w:line="240" w:lineRule="auto"/>
              <w:jc w:val="center"/>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81.47%</w:t>
            </w:r>
          </w:p>
        </w:tc>
      </w:tr>
      <w:tr w:rsidR="00E15C3C" w:rsidRPr="00E15C3C" w:rsidTr="00E15C3C">
        <w:trPr>
          <w:trHeight w:val="356"/>
        </w:trPr>
        <w:tc>
          <w:tcPr>
            <w:tcW w:w="1336" w:type="dxa"/>
            <w:vMerge/>
            <w:tcBorders>
              <w:top w:val="nil"/>
              <w:left w:val="single" w:sz="4" w:space="0" w:color="000000"/>
              <w:bottom w:val="single" w:sz="4" w:space="0" w:color="000000"/>
              <w:right w:val="single" w:sz="4" w:space="0" w:color="000000"/>
            </w:tcBorders>
            <w:vAlign w:val="center"/>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p>
        </w:tc>
        <w:tc>
          <w:tcPr>
            <w:tcW w:w="3236" w:type="dxa"/>
            <w:tcBorders>
              <w:top w:val="single" w:sz="8" w:space="0" w:color="auto"/>
              <w:left w:val="single" w:sz="8" w:space="0" w:color="auto"/>
              <w:bottom w:val="single" w:sz="8" w:space="0" w:color="auto"/>
              <w:right w:val="nil"/>
            </w:tcBorders>
            <w:shd w:val="clear" w:color="000000" w:fill="F2F2F2"/>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Totali</w:t>
            </w:r>
          </w:p>
        </w:tc>
        <w:tc>
          <w:tcPr>
            <w:tcW w:w="1627" w:type="dxa"/>
            <w:tcBorders>
              <w:top w:val="single" w:sz="8" w:space="0" w:color="auto"/>
              <w:left w:val="single" w:sz="4" w:space="0" w:color="auto"/>
              <w:bottom w:val="single" w:sz="8" w:space="0" w:color="auto"/>
              <w:right w:val="single" w:sz="4" w:space="0" w:color="auto"/>
            </w:tcBorders>
            <w:shd w:val="clear" w:color="000000" w:fill="F2F2F2"/>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195</w:t>
            </w:r>
          </w:p>
        </w:tc>
        <w:tc>
          <w:tcPr>
            <w:tcW w:w="1998" w:type="dxa"/>
            <w:tcBorders>
              <w:top w:val="single" w:sz="8" w:space="0" w:color="auto"/>
              <w:left w:val="nil"/>
              <w:bottom w:val="single" w:sz="8" w:space="0" w:color="auto"/>
              <w:right w:val="single" w:sz="4" w:space="0" w:color="auto"/>
            </w:tcBorders>
            <w:shd w:val="clear" w:color="000000" w:fill="F2F2F2"/>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1,199,335</w:t>
            </w:r>
          </w:p>
        </w:tc>
        <w:tc>
          <w:tcPr>
            <w:tcW w:w="1804" w:type="dxa"/>
            <w:tcBorders>
              <w:top w:val="single" w:sz="8" w:space="0" w:color="auto"/>
              <w:left w:val="nil"/>
              <w:bottom w:val="single" w:sz="8" w:space="0" w:color="auto"/>
              <w:right w:val="single" w:sz="8" w:space="0" w:color="auto"/>
            </w:tcBorders>
            <w:shd w:val="clear" w:color="000000" w:fill="F2F2F2"/>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100.00%</w:t>
            </w:r>
          </w:p>
        </w:tc>
      </w:tr>
      <w:tr w:rsidR="00E15C3C" w:rsidRPr="00E15C3C" w:rsidTr="00E15C3C">
        <w:trPr>
          <w:trHeight w:val="311"/>
        </w:trPr>
        <w:tc>
          <w:tcPr>
            <w:tcW w:w="1336" w:type="dxa"/>
            <w:tcBorders>
              <w:top w:val="single" w:sz="8" w:space="0" w:color="auto"/>
              <w:left w:val="single" w:sz="8" w:space="0" w:color="auto"/>
              <w:bottom w:val="single" w:sz="8" w:space="0" w:color="auto"/>
              <w:right w:val="single" w:sz="4" w:space="0" w:color="auto"/>
            </w:tcBorders>
            <w:shd w:val="clear" w:color="000000" w:fill="A6A6A6"/>
            <w:noWrap/>
            <w:vAlign w:val="bottom"/>
            <w:hideMark/>
          </w:tcPr>
          <w:p w:rsidR="00E15C3C" w:rsidRPr="00E15C3C" w:rsidRDefault="00E15C3C" w:rsidP="00E15C3C">
            <w:pPr>
              <w:spacing w:after="0" w:line="240" w:lineRule="auto"/>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 </w:t>
            </w:r>
          </w:p>
        </w:tc>
        <w:tc>
          <w:tcPr>
            <w:tcW w:w="3236" w:type="dxa"/>
            <w:tcBorders>
              <w:top w:val="nil"/>
              <w:left w:val="nil"/>
              <w:bottom w:val="single" w:sz="8" w:space="0" w:color="auto"/>
              <w:right w:val="single" w:sz="4" w:space="0" w:color="auto"/>
            </w:tcBorders>
            <w:shd w:val="clear" w:color="000000" w:fill="A6A6A6"/>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Siperfaqja Totale e Parcelace</w:t>
            </w:r>
          </w:p>
        </w:tc>
        <w:tc>
          <w:tcPr>
            <w:tcW w:w="1627" w:type="dxa"/>
            <w:tcBorders>
              <w:top w:val="nil"/>
              <w:left w:val="nil"/>
              <w:bottom w:val="single" w:sz="8" w:space="0" w:color="auto"/>
              <w:right w:val="single" w:sz="4" w:space="0" w:color="auto"/>
            </w:tcBorders>
            <w:shd w:val="clear" w:color="000000" w:fill="A6A6A6"/>
            <w:noWrap/>
            <w:vAlign w:val="bottom"/>
            <w:hideMark/>
          </w:tcPr>
          <w:p w:rsidR="00E15C3C" w:rsidRPr="00E15C3C" w:rsidRDefault="00E15C3C" w:rsidP="00E15C3C">
            <w:pPr>
              <w:spacing w:after="0" w:line="240" w:lineRule="auto"/>
              <w:jc w:val="right"/>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2858</w:t>
            </w:r>
          </w:p>
        </w:tc>
        <w:tc>
          <w:tcPr>
            <w:tcW w:w="1998" w:type="dxa"/>
            <w:tcBorders>
              <w:top w:val="nil"/>
              <w:left w:val="nil"/>
              <w:bottom w:val="single" w:sz="8" w:space="0" w:color="auto"/>
              <w:right w:val="single" w:sz="4" w:space="0" w:color="auto"/>
            </w:tcBorders>
            <w:shd w:val="clear" w:color="000000" w:fill="A6A6A6"/>
            <w:noWrap/>
            <w:vAlign w:val="bottom"/>
            <w:hideMark/>
          </w:tcPr>
          <w:p w:rsidR="00E15C3C" w:rsidRPr="00E15C3C" w:rsidRDefault="00E15C3C" w:rsidP="00E15C3C">
            <w:pPr>
              <w:spacing w:after="0" w:line="240" w:lineRule="auto"/>
              <w:jc w:val="right"/>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5412628</w:t>
            </w:r>
          </w:p>
        </w:tc>
        <w:tc>
          <w:tcPr>
            <w:tcW w:w="1804" w:type="dxa"/>
            <w:tcBorders>
              <w:top w:val="nil"/>
              <w:left w:val="single" w:sz="8" w:space="0" w:color="auto"/>
              <w:bottom w:val="single" w:sz="8" w:space="0" w:color="auto"/>
              <w:right w:val="single" w:sz="8" w:space="0" w:color="auto"/>
            </w:tcBorders>
            <w:shd w:val="clear" w:color="000000" w:fill="A6A6A6"/>
            <w:noWrap/>
            <w:vAlign w:val="bottom"/>
            <w:hideMark/>
          </w:tcPr>
          <w:p w:rsidR="00E15C3C" w:rsidRPr="00E15C3C" w:rsidRDefault="00E15C3C" w:rsidP="00E15C3C">
            <w:pPr>
              <w:spacing w:after="0" w:line="240" w:lineRule="auto"/>
              <w:rPr>
                <w:rFonts w:ascii="Times New Roman" w:eastAsia="Times New Roman" w:hAnsi="Times New Roman" w:cs="Times New Roman"/>
                <w:color w:val="000000"/>
                <w:sz w:val="24"/>
                <w:szCs w:val="24"/>
              </w:rPr>
            </w:pPr>
            <w:r w:rsidRPr="00E15C3C">
              <w:rPr>
                <w:rFonts w:ascii="Times New Roman" w:eastAsia="Times New Roman" w:hAnsi="Times New Roman" w:cs="Times New Roman"/>
                <w:color w:val="000000"/>
                <w:sz w:val="24"/>
                <w:szCs w:val="24"/>
              </w:rPr>
              <w:t> </w:t>
            </w:r>
          </w:p>
        </w:tc>
      </w:tr>
      <w:tr w:rsidR="00E15C3C" w:rsidRPr="00E15C3C" w:rsidTr="00E15C3C">
        <w:trPr>
          <w:trHeight w:val="311"/>
        </w:trPr>
        <w:tc>
          <w:tcPr>
            <w:tcW w:w="1336" w:type="dxa"/>
            <w:tcBorders>
              <w:top w:val="nil"/>
              <w:left w:val="single" w:sz="8" w:space="0" w:color="auto"/>
              <w:bottom w:val="single" w:sz="8" w:space="0" w:color="auto"/>
              <w:right w:val="single" w:sz="4" w:space="0" w:color="auto"/>
            </w:tcBorders>
            <w:shd w:val="clear" w:color="000000" w:fill="A6A6A6"/>
            <w:noWrap/>
            <w:vAlign w:val="bottom"/>
            <w:hideMark/>
          </w:tcPr>
          <w:p w:rsidR="00E15C3C" w:rsidRPr="00E15C3C" w:rsidRDefault="00E15C3C" w:rsidP="00E15C3C">
            <w:pPr>
              <w:spacing w:after="0" w:line="240" w:lineRule="auto"/>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 </w:t>
            </w:r>
          </w:p>
        </w:tc>
        <w:tc>
          <w:tcPr>
            <w:tcW w:w="3236" w:type="dxa"/>
            <w:tcBorders>
              <w:top w:val="nil"/>
              <w:left w:val="nil"/>
              <w:bottom w:val="single" w:sz="8" w:space="0" w:color="auto"/>
              <w:right w:val="single" w:sz="4" w:space="0" w:color="auto"/>
            </w:tcBorders>
            <w:shd w:val="clear" w:color="000000" w:fill="A6A6A6"/>
            <w:noWrap/>
            <w:vAlign w:val="center"/>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Siperfaqja Totale Publike</w:t>
            </w:r>
          </w:p>
        </w:tc>
        <w:tc>
          <w:tcPr>
            <w:tcW w:w="1627" w:type="dxa"/>
            <w:tcBorders>
              <w:top w:val="nil"/>
              <w:left w:val="nil"/>
              <w:bottom w:val="single" w:sz="8" w:space="0" w:color="auto"/>
              <w:right w:val="single" w:sz="4" w:space="0" w:color="auto"/>
            </w:tcBorders>
            <w:shd w:val="clear" w:color="000000" w:fill="A6A6A6"/>
            <w:noWrap/>
            <w:vAlign w:val="bottom"/>
            <w:hideMark/>
          </w:tcPr>
          <w:p w:rsidR="00E15C3C" w:rsidRPr="00E15C3C" w:rsidRDefault="00E15C3C" w:rsidP="00E15C3C">
            <w:pPr>
              <w:spacing w:after="0" w:line="240" w:lineRule="auto"/>
              <w:jc w:val="right"/>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1005</w:t>
            </w:r>
          </w:p>
        </w:tc>
        <w:tc>
          <w:tcPr>
            <w:tcW w:w="1998" w:type="dxa"/>
            <w:tcBorders>
              <w:top w:val="nil"/>
              <w:left w:val="nil"/>
              <w:bottom w:val="single" w:sz="8" w:space="0" w:color="auto"/>
              <w:right w:val="single" w:sz="4" w:space="0" w:color="auto"/>
            </w:tcBorders>
            <w:shd w:val="clear" w:color="000000" w:fill="A6A6A6"/>
            <w:noWrap/>
            <w:vAlign w:val="bottom"/>
            <w:hideMark/>
          </w:tcPr>
          <w:p w:rsidR="00E15C3C" w:rsidRPr="00E15C3C" w:rsidRDefault="00E15C3C" w:rsidP="00E15C3C">
            <w:pPr>
              <w:spacing w:after="0" w:line="240" w:lineRule="auto"/>
              <w:jc w:val="right"/>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2875915</w:t>
            </w:r>
          </w:p>
        </w:tc>
        <w:tc>
          <w:tcPr>
            <w:tcW w:w="1804" w:type="dxa"/>
            <w:tcBorders>
              <w:top w:val="nil"/>
              <w:left w:val="nil"/>
              <w:bottom w:val="single" w:sz="8" w:space="0" w:color="auto"/>
              <w:right w:val="single" w:sz="8" w:space="0" w:color="auto"/>
            </w:tcBorders>
            <w:shd w:val="clear" w:color="000000" w:fill="A6A6A6"/>
            <w:noWrap/>
            <w:vAlign w:val="bottom"/>
            <w:hideMark/>
          </w:tcPr>
          <w:p w:rsidR="00E15C3C" w:rsidRPr="00E15C3C" w:rsidRDefault="00E15C3C" w:rsidP="00E15C3C">
            <w:pPr>
              <w:spacing w:after="0" w:line="240" w:lineRule="auto"/>
              <w:jc w:val="center"/>
              <w:rPr>
                <w:rFonts w:ascii="Times New Roman" w:eastAsia="Times New Roman" w:hAnsi="Times New Roman" w:cs="Times New Roman"/>
                <w:b/>
                <w:bCs/>
                <w:color w:val="000000"/>
                <w:sz w:val="24"/>
                <w:szCs w:val="24"/>
              </w:rPr>
            </w:pPr>
            <w:r w:rsidRPr="00E15C3C">
              <w:rPr>
                <w:rFonts w:ascii="Times New Roman" w:eastAsia="Times New Roman" w:hAnsi="Times New Roman" w:cs="Times New Roman"/>
                <w:b/>
                <w:bCs/>
                <w:color w:val="000000"/>
                <w:sz w:val="24"/>
                <w:szCs w:val="24"/>
              </w:rPr>
              <w:t>53.13%</w:t>
            </w:r>
          </w:p>
        </w:tc>
      </w:tr>
    </w:tbl>
    <w:p w:rsidR="00E15C3C" w:rsidRPr="000B6146" w:rsidRDefault="00E15C3C" w:rsidP="000B6146">
      <w:pPr>
        <w:spacing w:after="200" w:line="276" w:lineRule="auto"/>
        <w:rPr>
          <w:rFonts w:ascii="Times New Roman" w:eastAsia="Calibri" w:hAnsi="Times New Roman" w:cs="Times New Roman"/>
          <w:sz w:val="24"/>
          <w:szCs w:val="24"/>
        </w:rPr>
      </w:pPr>
    </w:p>
    <w:p w:rsidR="000B6146" w:rsidRPr="000B6146" w:rsidRDefault="000B6146" w:rsidP="000B6146">
      <w:pPr>
        <w:spacing w:after="0" w:line="240" w:lineRule="auto"/>
        <w:jc w:val="both"/>
        <w:rPr>
          <w:rFonts w:ascii="Times New Roman" w:eastAsia="Adobe Myungjo Std M" w:hAnsi="Times New Roman" w:cs="Times New Roman"/>
          <w:color w:val="000000"/>
        </w:rPr>
      </w:pPr>
      <w:r w:rsidRPr="000B6146">
        <w:rPr>
          <w:rFonts w:ascii="Times New Roman" w:eastAsia="Adobe Myungjo Std M" w:hAnsi="Times New Roman" w:cs="Times New Roman"/>
          <w:color w:val="000000"/>
        </w:rPr>
        <w:t>Sh</w:t>
      </w:r>
      <w:r>
        <w:rPr>
          <w:rFonts w:ascii="Times New Roman" w:eastAsia="Adobe Myungjo Std M" w:hAnsi="Times New Roman" w:cs="Times New Roman"/>
          <w:color w:val="000000"/>
        </w:rPr>
        <w:t>ë</w:t>
      </w:r>
      <w:r w:rsidRPr="000B6146">
        <w:rPr>
          <w:rFonts w:ascii="Times New Roman" w:eastAsia="Adobe Myungjo Std M" w:hAnsi="Times New Roman" w:cs="Times New Roman"/>
          <w:color w:val="000000"/>
        </w:rPr>
        <w:t xml:space="preserve">nim </w:t>
      </w:r>
      <w:r>
        <w:rPr>
          <w:rFonts w:ascii="Times New Roman" w:eastAsia="Adobe Myungjo Std M" w:hAnsi="Times New Roman" w:cs="Times New Roman"/>
          <w:color w:val="000000"/>
        </w:rPr>
        <w:t>s</w:t>
      </w:r>
      <w:r w:rsidRPr="000B6146">
        <w:rPr>
          <w:rFonts w:ascii="Times New Roman" w:eastAsia="Adobe Myungjo Std M" w:hAnsi="Times New Roman" w:cs="Times New Roman"/>
          <w:color w:val="000000"/>
        </w:rPr>
        <w:t>hpjegues: Sip</w:t>
      </w:r>
      <w:r>
        <w:rPr>
          <w:rFonts w:ascii="Times New Roman" w:eastAsia="Adobe Myungjo Std M" w:hAnsi="Times New Roman" w:cs="Times New Roman"/>
          <w:color w:val="000000"/>
        </w:rPr>
        <w:t>ë</w:t>
      </w:r>
      <w:r w:rsidRPr="000B6146">
        <w:rPr>
          <w:rFonts w:ascii="Times New Roman" w:eastAsia="Adobe Myungjo Std M" w:hAnsi="Times New Roman" w:cs="Times New Roman"/>
          <w:color w:val="000000"/>
        </w:rPr>
        <w:t xml:space="preserve">rfaqja e investitorit strategjik </w:t>
      </w:r>
      <w:r>
        <w:rPr>
          <w:rFonts w:ascii="Times New Roman" w:eastAsia="Adobe Myungjo Std M" w:hAnsi="Times New Roman" w:cs="Times New Roman"/>
          <w:color w:val="000000"/>
        </w:rPr>
        <w:t>ë</w:t>
      </w:r>
      <w:r w:rsidRPr="000B6146">
        <w:rPr>
          <w:rFonts w:ascii="Times New Roman" w:eastAsia="Adobe Myungjo Std M" w:hAnsi="Times New Roman" w:cs="Times New Roman"/>
          <w:color w:val="000000"/>
        </w:rPr>
        <w:t>sht</w:t>
      </w:r>
      <w:r>
        <w:rPr>
          <w:rFonts w:ascii="Times New Roman" w:eastAsia="Adobe Myungjo Std M" w:hAnsi="Times New Roman" w:cs="Times New Roman"/>
          <w:color w:val="000000"/>
        </w:rPr>
        <w:t>ë</w:t>
      </w:r>
      <w:r w:rsidRPr="000B6146">
        <w:rPr>
          <w:rFonts w:ascii="Times New Roman" w:eastAsia="Adobe Myungjo Std M" w:hAnsi="Times New Roman" w:cs="Times New Roman"/>
          <w:color w:val="000000"/>
        </w:rPr>
        <w:t xml:space="preserve"> ndar</w:t>
      </w:r>
      <w:r>
        <w:rPr>
          <w:rFonts w:ascii="Times New Roman" w:eastAsia="Adobe Myungjo Std M" w:hAnsi="Times New Roman" w:cs="Times New Roman"/>
          <w:color w:val="000000"/>
        </w:rPr>
        <w:t>ë</w:t>
      </w:r>
      <w:r w:rsidRPr="000B6146">
        <w:rPr>
          <w:rFonts w:ascii="Times New Roman" w:eastAsia="Adobe Myungjo Std M" w:hAnsi="Times New Roman" w:cs="Times New Roman"/>
          <w:color w:val="000000"/>
        </w:rPr>
        <w:t xml:space="preserve"> pjesa nga e cila </w:t>
      </w:r>
      <w:r>
        <w:rPr>
          <w:rFonts w:ascii="Times New Roman" w:eastAsia="Adobe Myungjo Std M" w:hAnsi="Times New Roman" w:cs="Times New Roman"/>
          <w:color w:val="000000"/>
        </w:rPr>
        <w:t>i</w:t>
      </w:r>
      <w:r w:rsidRPr="000B6146">
        <w:rPr>
          <w:rFonts w:ascii="Times New Roman" w:eastAsia="Adobe Myungjo Std M" w:hAnsi="Times New Roman" w:cs="Times New Roman"/>
          <w:color w:val="000000"/>
        </w:rPr>
        <w:t xml:space="preserve"> takon p</w:t>
      </w:r>
      <w:r>
        <w:rPr>
          <w:rFonts w:ascii="Times New Roman" w:eastAsia="Adobe Myungjo Std M" w:hAnsi="Times New Roman" w:cs="Times New Roman"/>
          <w:color w:val="000000"/>
        </w:rPr>
        <w:t>ë</w:t>
      </w:r>
      <w:r w:rsidRPr="000B6146">
        <w:rPr>
          <w:rFonts w:ascii="Times New Roman" w:eastAsia="Adobe Myungjo Std M" w:hAnsi="Times New Roman" w:cs="Times New Roman"/>
          <w:color w:val="000000"/>
        </w:rPr>
        <w:t>r p</w:t>
      </w:r>
      <w:r>
        <w:rPr>
          <w:rFonts w:ascii="Times New Roman" w:eastAsia="Adobe Myungjo Std M" w:hAnsi="Times New Roman" w:cs="Times New Roman"/>
          <w:color w:val="000000"/>
        </w:rPr>
        <w:t>ë</w:t>
      </w:r>
      <w:r w:rsidRPr="000B6146">
        <w:rPr>
          <w:rFonts w:ascii="Times New Roman" w:eastAsia="Adobe Myungjo Std M" w:hAnsi="Times New Roman" w:cs="Times New Roman"/>
          <w:color w:val="000000"/>
        </w:rPr>
        <w:t>rdorim publik sipas VKM-s</w:t>
      </w:r>
      <w:r>
        <w:rPr>
          <w:rFonts w:ascii="Times New Roman" w:eastAsia="Adobe Myungjo Std M" w:hAnsi="Times New Roman" w:cs="Times New Roman"/>
          <w:color w:val="000000"/>
        </w:rPr>
        <w:t>ë</w:t>
      </w:r>
    </w:p>
    <w:p w:rsidR="000B6146" w:rsidRDefault="000B6146" w:rsidP="000B6146">
      <w:pPr>
        <w:spacing w:after="200" w:line="276" w:lineRule="auto"/>
        <w:rPr>
          <w:rFonts w:ascii="Times New Roman" w:eastAsia="Calibri" w:hAnsi="Times New Roman" w:cs="Times New Roman"/>
          <w:b/>
          <w:sz w:val="24"/>
          <w:szCs w:val="24"/>
        </w:rPr>
      </w:pPr>
    </w:p>
    <w:p w:rsidR="00D60B7B" w:rsidRDefault="00C76A2F" w:rsidP="000B6146">
      <w:pPr>
        <w:spacing w:after="200" w:line="276" w:lineRule="auto"/>
        <w:rPr>
          <w:rFonts w:ascii="Times New Roman" w:eastAsia="Times New Roman" w:hAnsi="Times New Roman" w:cs="Times New Roman"/>
          <w:bCs/>
          <w:color w:val="000000"/>
          <w:sz w:val="24"/>
          <w:szCs w:val="24"/>
        </w:rPr>
      </w:pPr>
      <w:r w:rsidRPr="00D60B7B">
        <w:rPr>
          <w:rFonts w:ascii="Times New Roman" w:eastAsia="Calibri" w:hAnsi="Times New Roman" w:cs="Times New Roman"/>
          <w:sz w:val="24"/>
          <w:szCs w:val="24"/>
        </w:rPr>
        <w:t xml:space="preserve">Bashkia </w:t>
      </w:r>
      <w:r w:rsidR="00D60B7B">
        <w:rPr>
          <w:rFonts w:ascii="Times New Roman" w:eastAsia="Calibri" w:hAnsi="Times New Roman" w:cs="Times New Roman"/>
          <w:sz w:val="24"/>
          <w:szCs w:val="24"/>
        </w:rPr>
        <w:t>Vlorë</w:t>
      </w:r>
      <w:r w:rsidRPr="00D60B7B">
        <w:rPr>
          <w:rFonts w:ascii="Times New Roman" w:eastAsia="Calibri" w:hAnsi="Times New Roman" w:cs="Times New Roman"/>
          <w:sz w:val="24"/>
          <w:szCs w:val="24"/>
        </w:rPr>
        <w:t xml:space="preserve"> ka sipërfaqen totale  më të madhe të shfrytëzuar </w:t>
      </w:r>
      <w:r w:rsidRPr="000B6146">
        <w:rPr>
          <w:rFonts w:ascii="Times New Roman" w:eastAsia="Times New Roman" w:hAnsi="Times New Roman" w:cs="Times New Roman"/>
          <w:bCs/>
          <w:color w:val="000000"/>
          <w:sz w:val="24"/>
          <w:szCs w:val="24"/>
        </w:rPr>
        <w:t>1,199,335</w:t>
      </w:r>
      <w:r w:rsidR="00D60B7B">
        <w:rPr>
          <w:rFonts w:ascii="Times New Roman" w:eastAsia="Times New Roman" w:hAnsi="Times New Roman" w:cs="Times New Roman"/>
          <w:bCs/>
          <w:color w:val="000000"/>
          <w:sz w:val="24"/>
          <w:szCs w:val="24"/>
        </w:rPr>
        <w:t xml:space="preserve"> </w:t>
      </w:r>
      <w:r w:rsidRPr="00D60B7B">
        <w:rPr>
          <w:rFonts w:ascii="Times New Roman" w:eastAsia="Times New Roman" w:hAnsi="Times New Roman" w:cs="Times New Roman"/>
          <w:bCs/>
          <w:color w:val="000000"/>
          <w:sz w:val="24"/>
          <w:szCs w:val="24"/>
        </w:rPr>
        <w:t>m</w:t>
      </w:r>
      <w:r w:rsidRPr="00D60B7B">
        <w:rPr>
          <w:rFonts w:ascii="Times New Roman" w:eastAsia="Times New Roman" w:hAnsi="Times New Roman" w:cs="Times New Roman"/>
          <w:bCs/>
          <w:color w:val="000000"/>
          <w:sz w:val="24"/>
          <w:szCs w:val="24"/>
          <w:vertAlign w:val="superscript"/>
        </w:rPr>
        <w:t>2</w:t>
      </w:r>
      <w:r w:rsidRPr="00D60B7B">
        <w:rPr>
          <w:rFonts w:ascii="Times New Roman" w:eastAsia="Times New Roman" w:hAnsi="Times New Roman" w:cs="Times New Roman"/>
          <w:bCs/>
          <w:color w:val="000000"/>
          <w:sz w:val="24"/>
          <w:szCs w:val="24"/>
        </w:rPr>
        <w:t xml:space="preserve"> duke u ndjekur nga  bashkia Durrës  me</w:t>
      </w:r>
      <w:r w:rsidR="00D60B7B">
        <w:rPr>
          <w:rFonts w:ascii="Times New Roman" w:eastAsia="Times New Roman" w:hAnsi="Times New Roman" w:cs="Times New Roman"/>
          <w:bCs/>
          <w:color w:val="000000"/>
          <w:sz w:val="24"/>
          <w:szCs w:val="24"/>
        </w:rPr>
        <w:t xml:space="preserve"> sipërfaqe </w:t>
      </w:r>
      <w:r w:rsidRPr="00D60B7B">
        <w:rPr>
          <w:rFonts w:ascii="Times New Roman" w:eastAsia="Times New Roman" w:hAnsi="Times New Roman" w:cs="Times New Roman"/>
          <w:bCs/>
          <w:color w:val="000000"/>
          <w:sz w:val="24"/>
          <w:szCs w:val="24"/>
        </w:rPr>
        <w:t xml:space="preserve"> </w:t>
      </w:r>
      <w:r w:rsidRPr="000B6146">
        <w:rPr>
          <w:rFonts w:ascii="Times New Roman" w:eastAsia="Times New Roman" w:hAnsi="Times New Roman" w:cs="Times New Roman"/>
          <w:bCs/>
          <w:color w:val="000000"/>
          <w:sz w:val="24"/>
          <w:szCs w:val="24"/>
        </w:rPr>
        <w:t>1,162,074</w:t>
      </w:r>
      <w:r w:rsidRPr="00D60B7B">
        <w:rPr>
          <w:rFonts w:ascii="Times New Roman" w:eastAsia="Times New Roman" w:hAnsi="Times New Roman" w:cs="Times New Roman"/>
          <w:bCs/>
          <w:color w:val="000000"/>
          <w:sz w:val="24"/>
          <w:szCs w:val="24"/>
        </w:rPr>
        <w:t xml:space="preserve">  m</w:t>
      </w:r>
      <w:r w:rsidRPr="00D60B7B">
        <w:rPr>
          <w:rFonts w:ascii="Times New Roman" w:eastAsia="Times New Roman" w:hAnsi="Times New Roman" w:cs="Times New Roman"/>
          <w:bCs/>
          <w:color w:val="000000"/>
          <w:sz w:val="24"/>
          <w:szCs w:val="24"/>
          <w:vertAlign w:val="superscript"/>
        </w:rPr>
        <w:t>2</w:t>
      </w:r>
      <w:r w:rsidR="00D60B7B" w:rsidRPr="00D60B7B">
        <w:rPr>
          <w:rFonts w:ascii="Times New Roman" w:eastAsia="Times New Roman" w:hAnsi="Times New Roman" w:cs="Times New Roman"/>
          <w:bCs/>
          <w:color w:val="000000"/>
          <w:sz w:val="24"/>
          <w:szCs w:val="24"/>
          <w:vertAlign w:val="superscript"/>
        </w:rPr>
        <w:t xml:space="preserve"> </w:t>
      </w:r>
      <w:r w:rsidR="00D60B7B">
        <w:rPr>
          <w:rFonts w:ascii="Times New Roman" w:eastAsia="Times New Roman" w:hAnsi="Times New Roman" w:cs="Times New Roman"/>
          <w:bCs/>
          <w:color w:val="000000"/>
          <w:sz w:val="24"/>
          <w:szCs w:val="24"/>
          <w:vertAlign w:val="superscript"/>
        </w:rPr>
        <w:t xml:space="preserve"> </w:t>
      </w:r>
      <w:r w:rsidR="00D60B7B" w:rsidRPr="00D60B7B">
        <w:rPr>
          <w:rFonts w:ascii="Times New Roman" w:eastAsia="Times New Roman" w:hAnsi="Times New Roman" w:cs="Times New Roman"/>
          <w:bCs/>
          <w:color w:val="000000"/>
          <w:sz w:val="24"/>
          <w:szCs w:val="24"/>
        </w:rPr>
        <w:t xml:space="preserve">dhe </w:t>
      </w:r>
      <w:r w:rsidR="00D60B7B">
        <w:rPr>
          <w:rFonts w:ascii="Times New Roman" w:eastAsia="Times New Roman" w:hAnsi="Times New Roman" w:cs="Times New Roman"/>
          <w:bCs/>
          <w:color w:val="000000"/>
          <w:sz w:val="24"/>
          <w:szCs w:val="24"/>
        </w:rPr>
        <w:t>b</w:t>
      </w:r>
      <w:r w:rsidR="00D60B7B" w:rsidRPr="00D60B7B">
        <w:rPr>
          <w:rFonts w:ascii="Times New Roman" w:eastAsia="Times New Roman" w:hAnsi="Times New Roman" w:cs="Times New Roman"/>
          <w:bCs/>
          <w:color w:val="000000"/>
          <w:sz w:val="24"/>
          <w:szCs w:val="24"/>
        </w:rPr>
        <w:t xml:space="preserve">ashkia Himarë </w:t>
      </w:r>
      <w:r w:rsidR="00D60B7B">
        <w:rPr>
          <w:rFonts w:ascii="Times New Roman" w:eastAsia="Times New Roman" w:hAnsi="Times New Roman" w:cs="Times New Roman"/>
          <w:bCs/>
          <w:color w:val="000000"/>
          <w:sz w:val="24"/>
          <w:szCs w:val="24"/>
        </w:rPr>
        <w:t xml:space="preserve"> me </w:t>
      </w:r>
      <w:r w:rsidR="00D60B7B" w:rsidRPr="000B6146">
        <w:rPr>
          <w:rFonts w:ascii="Times New Roman" w:eastAsia="Times New Roman" w:hAnsi="Times New Roman" w:cs="Times New Roman"/>
          <w:bCs/>
          <w:color w:val="000000"/>
          <w:sz w:val="24"/>
          <w:szCs w:val="24"/>
        </w:rPr>
        <w:t>569,566</w:t>
      </w:r>
      <w:r w:rsidR="00D60B7B" w:rsidRPr="00D60B7B">
        <w:rPr>
          <w:rFonts w:ascii="Times New Roman" w:eastAsia="Times New Roman" w:hAnsi="Times New Roman" w:cs="Times New Roman"/>
          <w:bCs/>
          <w:color w:val="000000"/>
          <w:sz w:val="24"/>
          <w:szCs w:val="24"/>
        </w:rPr>
        <w:t xml:space="preserve"> m</w:t>
      </w:r>
      <w:r w:rsidR="00D60B7B" w:rsidRPr="00D60B7B">
        <w:rPr>
          <w:rFonts w:ascii="Times New Roman" w:eastAsia="Times New Roman" w:hAnsi="Times New Roman" w:cs="Times New Roman"/>
          <w:bCs/>
          <w:color w:val="000000"/>
          <w:sz w:val="24"/>
          <w:szCs w:val="24"/>
          <w:vertAlign w:val="superscript"/>
        </w:rPr>
        <w:t>2</w:t>
      </w:r>
      <w:r w:rsidR="00D60B7B">
        <w:rPr>
          <w:rFonts w:ascii="Times New Roman" w:eastAsia="Times New Roman" w:hAnsi="Times New Roman" w:cs="Times New Roman"/>
          <w:bCs/>
          <w:color w:val="000000"/>
          <w:sz w:val="24"/>
          <w:szCs w:val="24"/>
        </w:rPr>
        <w:t>.</w:t>
      </w:r>
    </w:p>
    <w:p w:rsidR="00E15C3C" w:rsidRPr="00E15C3C" w:rsidRDefault="00E15C3C" w:rsidP="000B6146">
      <w:pPr>
        <w:spacing w:after="200" w:line="276" w:lineRule="auto"/>
        <w:rPr>
          <w:rFonts w:ascii="Times New Roman" w:eastAsia="Calibri" w:hAnsi="Times New Roman" w:cs="Times New Roman"/>
          <w:sz w:val="24"/>
          <w:szCs w:val="24"/>
        </w:rPr>
      </w:pPr>
    </w:p>
    <w:p w:rsidR="00EC2D44" w:rsidRPr="009C00C2" w:rsidRDefault="00014E30" w:rsidP="009C00C2">
      <w:pPr>
        <w:spacing w:after="200" w:line="276" w:lineRule="auto"/>
        <w:rPr>
          <w:rFonts w:ascii="Times New Roman" w:eastAsia="Calibri" w:hAnsi="Times New Roman" w:cs="Times New Roman"/>
          <w:b/>
          <w:i/>
          <w:sz w:val="24"/>
          <w:szCs w:val="24"/>
        </w:rPr>
      </w:pPr>
      <w:r w:rsidRPr="00014E30">
        <w:rPr>
          <w:rFonts w:ascii="Times New Roman" w:eastAsia="Times New Roman" w:hAnsi="Times New Roman" w:cs="Times New Roman"/>
          <w:b/>
          <w:sz w:val="24"/>
          <w:szCs w:val="24"/>
          <w:lang w:val="sq-AL"/>
        </w:rPr>
        <w:t>5.2</w:t>
      </w:r>
      <w:r>
        <w:rPr>
          <w:rFonts w:ascii="Times New Roman" w:eastAsia="Times New Roman" w:hAnsi="Times New Roman" w:cs="Times New Roman"/>
          <w:b/>
          <w:sz w:val="20"/>
          <w:szCs w:val="20"/>
          <w:lang w:val="sq-AL"/>
        </w:rPr>
        <w:t xml:space="preserve"> </w:t>
      </w:r>
      <w:r w:rsidRPr="00DD196F">
        <w:rPr>
          <w:rFonts w:ascii="Times New Roman" w:eastAsia="Times New Roman" w:hAnsi="Times New Roman" w:cs="Times New Roman"/>
          <w:b/>
          <w:sz w:val="24"/>
          <w:szCs w:val="24"/>
          <w:lang w:val="sq-AL"/>
        </w:rPr>
        <w:t>Konkluzione</w:t>
      </w:r>
    </w:p>
    <w:p w:rsidR="00EC2D44" w:rsidRPr="00EC2D44" w:rsidRDefault="00EC2D44" w:rsidP="00807975">
      <w:pPr>
        <w:pStyle w:val="ListParagraph"/>
        <w:numPr>
          <w:ilvl w:val="0"/>
          <w:numId w:val="85"/>
        </w:numPr>
        <w:spacing w:after="0" w:line="276" w:lineRule="auto"/>
        <w:rPr>
          <w:rFonts w:ascii="Times New Roman" w:eastAsia="Times New Roman" w:hAnsi="Times New Roman" w:cs="Times New Roman"/>
          <w:b/>
          <w:sz w:val="24"/>
          <w:szCs w:val="24"/>
          <w:lang w:val="sq-AL"/>
        </w:rPr>
      </w:pPr>
      <w:r w:rsidRPr="00EC2D44">
        <w:rPr>
          <w:rFonts w:ascii="Times New Roman" w:eastAsia="Times New Roman" w:hAnsi="Times New Roman" w:cs="Times New Roman"/>
          <w:b/>
          <w:sz w:val="24"/>
          <w:szCs w:val="24"/>
          <w:lang w:val="sq-AL"/>
        </w:rPr>
        <w:t xml:space="preserve">Vlerësimi mikrobiologjik i plazheve </w:t>
      </w:r>
    </w:p>
    <w:p w:rsidR="00EC2D44" w:rsidRPr="00DD196F" w:rsidRDefault="00EC2D44" w:rsidP="00014E30">
      <w:pPr>
        <w:spacing w:after="0" w:line="276" w:lineRule="auto"/>
        <w:rPr>
          <w:rFonts w:ascii="Times New Roman" w:eastAsia="Times New Roman" w:hAnsi="Times New Roman" w:cs="Times New Roman"/>
          <w:b/>
          <w:sz w:val="24"/>
          <w:szCs w:val="24"/>
          <w:lang w:val="sq-AL"/>
        </w:rPr>
      </w:pPr>
    </w:p>
    <w:p w:rsidR="00014E30" w:rsidRPr="00DD196F" w:rsidRDefault="00014E30" w:rsidP="00014E30">
      <w:pPr>
        <w:numPr>
          <w:ilvl w:val="0"/>
          <w:numId w:val="3"/>
        </w:numPr>
        <w:spacing w:after="0" w:line="276" w:lineRule="auto"/>
        <w:contextualSpacing/>
        <w:jc w:val="both"/>
        <w:rPr>
          <w:rFonts w:ascii="Times New Roman" w:eastAsia="Calibri" w:hAnsi="Times New Roman" w:cs="Times New Roman"/>
          <w:sz w:val="24"/>
          <w:szCs w:val="24"/>
          <w:u w:val="single"/>
          <w:lang w:val="it-IT"/>
        </w:rPr>
      </w:pPr>
      <w:r w:rsidRPr="00DD196F">
        <w:rPr>
          <w:rFonts w:ascii="Times New Roman" w:eastAsia="Times New Roman" w:hAnsi="Times New Roman" w:cs="Times New Roman"/>
          <w:noProof/>
          <w:sz w:val="24"/>
          <w:szCs w:val="24"/>
          <w:u w:val="single"/>
          <w:lang w:val="sq-AL"/>
        </w:rPr>
        <w:t>Referuar</w:t>
      </w:r>
      <w:r w:rsidRPr="00DD196F">
        <w:rPr>
          <w:rFonts w:ascii="Times New Roman" w:eastAsia="Times New Roman" w:hAnsi="Times New Roman" w:cs="Times New Roman"/>
          <w:sz w:val="24"/>
          <w:szCs w:val="24"/>
          <w:u w:val="single"/>
          <w:lang w:val="it-IT"/>
        </w:rPr>
        <w:t xml:space="preserve"> rezultateve </w:t>
      </w:r>
      <w:r w:rsidRPr="00DD196F">
        <w:rPr>
          <w:rFonts w:ascii="Times New Roman" w:eastAsia="Calibri" w:hAnsi="Times New Roman" w:cs="Times New Roman"/>
          <w:sz w:val="24"/>
          <w:szCs w:val="24"/>
          <w:u w:val="single"/>
          <w:lang w:val="it-IT"/>
        </w:rPr>
        <w:t>mikrobiologjike</w:t>
      </w:r>
      <w:r w:rsidRPr="00DD196F">
        <w:rPr>
          <w:rFonts w:ascii="Times New Roman" w:eastAsia="Times New Roman" w:hAnsi="Times New Roman" w:cs="Times New Roman"/>
          <w:sz w:val="24"/>
          <w:szCs w:val="24"/>
          <w:u w:val="single"/>
          <w:lang w:val="sq-AL"/>
        </w:rPr>
        <w:t xml:space="preserve"> </w:t>
      </w:r>
      <w:r w:rsidRPr="00DD196F">
        <w:rPr>
          <w:rFonts w:ascii="Times New Roman" w:eastAsia="Calibri" w:hAnsi="Times New Roman" w:cs="Times New Roman"/>
          <w:sz w:val="24"/>
          <w:szCs w:val="24"/>
          <w:u w:val="single"/>
          <w:lang w:val="it-IT"/>
        </w:rPr>
        <w:t>p</w:t>
      </w:r>
      <w:r w:rsidRPr="00DD196F">
        <w:rPr>
          <w:rFonts w:ascii="Times New Roman" w:eastAsia="Times New Roman" w:hAnsi="Times New Roman" w:cs="Times New Roman"/>
          <w:sz w:val="24"/>
          <w:szCs w:val="24"/>
          <w:u w:val="single"/>
          <w:lang w:val="it-IT"/>
        </w:rPr>
        <w:t>ë</w:t>
      </w:r>
      <w:r w:rsidRPr="00DD196F">
        <w:rPr>
          <w:rFonts w:ascii="Times New Roman" w:eastAsia="Calibri" w:hAnsi="Times New Roman" w:cs="Times New Roman"/>
          <w:sz w:val="24"/>
          <w:szCs w:val="24"/>
          <w:u w:val="single"/>
          <w:lang w:val="it-IT"/>
        </w:rPr>
        <w:t xml:space="preserve">r vitin 2025, plazhet kategorizohen: </w:t>
      </w:r>
    </w:p>
    <w:p w:rsidR="00014E30" w:rsidRPr="009C00C2" w:rsidRDefault="00014E30" w:rsidP="009C00C2">
      <w:pPr>
        <w:spacing w:after="0" w:line="276" w:lineRule="auto"/>
        <w:ind w:left="360"/>
        <w:jc w:val="both"/>
        <w:rPr>
          <w:rFonts w:ascii="Times New Roman" w:eastAsia="Times New Roman" w:hAnsi="Times New Roman" w:cs="Times New Roman"/>
          <w:sz w:val="24"/>
          <w:szCs w:val="24"/>
          <w:lang w:val="it-IT"/>
        </w:rPr>
      </w:pPr>
      <w:r w:rsidRPr="00DD196F">
        <w:rPr>
          <w:rFonts w:ascii="Times New Roman" w:eastAsia="Times New Roman" w:hAnsi="Times New Roman" w:cs="Times New Roman"/>
          <w:sz w:val="24"/>
          <w:szCs w:val="24"/>
          <w:lang w:val="it-IT"/>
        </w:rPr>
        <w:t xml:space="preserve">A (Cilësi e shkëlqyer) 44 pika monitorimi </w:t>
      </w:r>
      <w:r w:rsidRPr="00DD196F">
        <w:rPr>
          <w:rFonts w:ascii="Times New Roman" w:eastAsia="Times New Roman" w:hAnsi="Times New Roman" w:cs="Times New Roman"/>
          <w:sz w:val="24"/>
          <w:szCs w:val="24"/>
          <w:lang w:val="pt-BR"/>
        </w:rPr>
        <w:t xml:space="preserve">35.9% </w:t>
      </w:r>
      <w:r w:rsidRPr="00DD196F">
        <w:rPr>
          <w:rFonts w:ascii="Times New Roman" w:eastAsia="Times New Roman" w:hAnsi="Times New Roman" w:cs="Times New Roman"/>
          <w:sz w:val="24"/>
          <w:szCs w:val="24"/>
          <w:lang w:val="it-IT"/>
        </w:rPr>
        <w:t xml:space="preserve">e tyre; B (Cilësi e mirë) 41 pika monitorimi </w:t>
      </w:r>
      <w:r w:rsidRPr="00DD196F">
        <w:rPr>
          <w:rFonts w:ascii="Times New Roman" w:eastAsia="Times New Roman" w:hAnsi="Times New Roman" w:cs="Times New Roman"/>
          <w:sz w:val="24"/>
          <w:szCs w:val="24"/>
          <w:lang w:val="pt-BR"/>
        </w:rPr>
        <w:t xml:space="preserve">33.3 % </w:t>
      </w:r>
      <w:r w:rsidRPr="00DD196F">
        <w:rPr>
          <w:rFonts w:ascii="Times New Roman" w:eastAsia="Times New Roman" w:hAnsi="Times New Roman" w:cs="Times New Roman"/>
          <w:sz w:val="24"/>
          <w:szCs w:val="24"/>
          <w:lang w:val="it-IT"/>
        </w:rPr>
        <w:t xml:space="preserve">e tyre; C (Cilësi e mjaftueshme) </w:t>
      </w:r>
      <w:r w:rsidRPr="00DD196F">
        <w:rPr>
          <w:rFonts w:ascii="Times New Roman" w:eastAsia="Times New Roman" w:hAnsi="Times New Roman" w:cs="Times New Roman"/>
          <w:sz w:val="24"/>
          <w:szCs w:val="24"/>
          <w:lang w:val="pt-BR"/>
        </w:rPr>
        <w:t>16</w:t>
      </w:r>
      <w:r w:rsidRPr="00DD196F">
        <w:rPr>
          <w:rFonts w:ascii="Times New Roman" w:eastAsia="Times New Roman" w:hAnsi="Times New Roman" w:cs="Times New Roman"/>
          <w:sz w:val="24"/>
          <w:szCs w:val="24"/>
          <w:lang w:val="it-IT"/>
        </w:rPr>
        <w:t xml:space="preserve"> pika monitorimi </w:t>
      </w:r>
      <w:r w:rsidRPr="00DD196F">
        <w:rPr>
          <w:rFonts w:ascii="Times New Roman" w:eastAsia="Times New Roman" w:hAnsi="Times New Roman" w:cs="Times New Roman"/>
          <w:sz w:val="24"/>
          <w:szCs w:val="24"/>
          <w:lang w:val="pt-BR"/>
        </w:rPr>
        <w:t xml:space="preserve">13%  </w:t>
      </w:r>
      <w:r w:rsidRPr="00DD196F">
        <w:rPr>
          <w:rFonts w:ascii="Times New Roman" w:eastAsia="Times New Roman" w:hAnsi="Times New Roman" w:cs="Times New Roman"/>
          <w:sz w:val="24"/>
          <w:szCs w:val="24"/>
          <w:lang w:val="it-IT"/>
        </w:rPr>
        <w:t xml:space="preserve">e tyre; D (Cilësi e keqe) </w:t>
      </w:r>
      <w:r w:rsidRPr="00DD196F">
        <w:rPr>
          <w:rFonts w:ascii="Times New Roman" w:eastAsia="Times New Roman" w:hAnsi="Times New Roman" w:cs="Times New Roman"/>
          <w:sz w:val="24"/>
          <w:szCs w:val="24"/>
          <w:lang w:val="pt-BR"/>
        </w:rPr>
        <w:t xml:space="preserve">22 </w:t>
      </w:r>
      <w:r w:rsidRPr="00DD196F">
        <w:rPr>
          <w:rFonts w:ascii="Times New Roman" w:eastAsia="Times New Roman" w:hAnsi="Times New Roman" w:cs="Times New Roman"/>
          <w:sz w:val="24"/>
          <w:szCs w:val="24"/>
          <w:lang w:val="it-IT"/>
        </w:rPr>
        <w:t xml:space="preserve">pika monitorimi 17.8 % e tyre.  </w:t>
      </w:r>
    </w:p>
    <w:p w:rsidR="00014E30" w:rsidRPr="00DD196F" w:rsidRDefault="00014E30" w:rsidP="00014E30">
      <w:pPr>
        <w:numPr>
          <w:ilvl w:val="0"/>
          <w:numId w:val="3"/>
        </w:numPr>
        <w:spacing w:after="200" w:line="276" w:lineRule="auto"/>
        <w:contextualSpacing/>
        <w:jc w:val="both"/>
        <w:rPr>
          <w:rFonts w:ascii="Times New Roman" w:eastAsia="Times New Roman" w:hAnsi="Times New Roman" w:cs="Times New Roman"/>
          <w:sz w:val="24"/>
          <w:szCs w:val="24"/>
          <w:lang w:val="sq-AL"/>
        </w:rPr>
      </w:pPr>
      <w:r w:rsidRPr="00DD196F">
        <w:rPr>
          <w:rFonts w:ascii="Times New Roman" w:eastAsia="Calibri" w:hAnsi="Times New Roman" w:cs="Times New Roman"/>
          <w:sz w:val="24"/>
          <w:szCs w:val="24"/>
          <w:u w:val="single"/>
          <w:shd w:val="clear" w:color="auto" w:fill="FFFFFF"/>
          <w:lang w:val="it-IT"/>
        </w:rPr>
        <w:t xml:space="preserve">Nga rezultatet mikrobiologjike </w:t>
      </w:r>
      <w:r w:rsidRPr="00DD196F">
        <w:rPr>
          <w:rFonts w:ascii="Times New Roman" w:eastAsia="Times New Roman" w:hAnsi="Times New Roman" w:cs="Times New Roman"/>
          <w:sz w:val="24"/>
          <w:szCs w:val="24"/>
          <w:u w:val="single"/>
          <w:lang w:val="sq-AL"/>
        </w:rPr>
        <w:t>vler</w:t>
      </w:r>
      <w:r w:rsidRPr="00DD196F">
        <w:rPr>
          <w:rFonts w:ascii="Times New Roman" w:eastAsia="Calibri" w:hAnsi="Times New Roman" w:cs="Times New Roman"/>
          <w:sz w:val="24"/>
          <w:szCs w:val="24"/>
          <w:u w:val="single"/>
          <w:lang w:val="it-IT"/>
        </w:rPr>
        <w:t>ë</w:t>
      </w:r>
      <w:r w:rsidRPr="00DD196F">
        <w:rPr>
          <w:rFonts w:ascii="Times New Roman" w:eastAsia="Times New Roman" w:hAnsi="Times New Roman" w:cs="Times New Roman"/>
          <w:sz w:val="24"/>
          <w:szCs w:val="24"/>
          <w:u w:val="single"/>
          <w:lang w:val="sq-AL"/>
        </w:rPr>
        <w:t>sohet gjat</w:t>
      </w:r>
      <w:r w:rsidRPr="00DD196F">
        <w:rPr>
          <w:rFonts w:ascii="Times New Roman" w:eastAsia="Calibri" w:hAnsi="Times New Roman" w:cs="Times New Roman"/>
          <w:sz w:val="24"/>
          <w:szCs w:val="24"/>
          <w:u w:val="single"/>
          <w:lang w:val="it-IT"/>
        </w:rPr>
        <w:t>ë</w:t>
      </w:r>
      <w:r w:rsidRPr="00DD196F">
        <w:rPr>
          <w:rFonts w:ascii="Times New Roman" w:eastAsia="Times New Roman" w:hAnsi="Times New Roman" w:cs="Times New Roman"/>
          <w:sz w:val="24"/>
          <w:szCs w:val="24"/>
          <w:u w:val="single"/>
          <w:lang w:val="sq-AL"/>
        </w:rPr>
        <w:t xml:space="preserve"> vitit 2025,</w:t>
      </w:r>
      <w:r w:rsidRPr="00DD196F">
        <w:rPr>
          <w:rFonts w:ascii="Times New Roman" w:eastAsia="Times New Roman" w:hAnsi="Times New Roman" w:cs="Times New Roman"/>
          <w:sz w:val="24"/>
          <w:szCs w:val="24"/>
          <w:lang w:val="sq-AL"/>
        </w:rPr>
        <w:t xml:space="preserve"> rritje e p</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rqindjes s</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kategorizimit A- Cilësi e shkëlqyer nga 14.64% në 35.9%, dhe ulje e p</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rqindjes s</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kategorizimit </w:t>
      </w:r>
      <w:r w:rsidRPr="00DD196F">
        <w:rPr>
          <w:rFonts w:ascii="Times New Roman" w:eastAsia="Times New Roman" w:hAnsi="Times New Roman" w:cs="Times New Roman"/>
          <w:bCs/>
          <w:sz w:val="24"/>
          <w:szCs w:val="24"/>
        </w:rPr>
        <w:t>D-Cilësi e keqe/Masa të menjëherëshme</w:t>
      </w:r>
      <w:r w:rsidRPr="00DD196F">
        <w:rPr>
          <w:rFonts w:ascii="Times New Roman" w:eastAsia="Times New Roman" w:hAnsi="Times New Roman" w:cs="Times New Roman"/>
          <w:sz w:val="24"/>
          <w:szCs w:val="24"/>
          <w:lang w:val="sq-AL"/>
        </w:rPr>
        <w:t xml:space="preserve"> nga 26.82% në </w:t>
      </w:r>
      <w:r w:rsidRPr="00DD196F">
        <w:rPr>
          <w:rFonts w:ascii="Times New Roman" w:eastAsia="Times New Roman" w:hAnsi="Times New Roman" w:cs="Times New Roman"/>
          <w:sz w:val="24"/>
          <w:szCs w:val="24"/>
        </w:rPr>
        <w:t xml:space="preserve">17.8%, krahasuar me vitin 2024.  </w:t>
      </w:r>
    </w:p>
    <w:p w:rsidR="00014E30" w:rsidRPr="00DD196F" w:rsidRDefault="00014E30" w:rsidP="00014E30">
      <w:pPr>
        <w:spacing w:after="0" w:line="276" w:lineRule="auto"/>
        <w:ind w:left="720"/>
        <w:contextualSpacing/>
        <w:jc w:val="both"/>
        <w:rPr>
          <w:rFonts w:ascii="Times New Roman" w:eastAsia="Times New Roman" w:hAnsi="Times New Roman" w:cs="Times New Roman"/>
          <w:color w:val="FF0000"/>
          <w:sz w:val="24"/>
          <w:szCs w:val="24"/>
          <w:lang w:val="it-IT"/>
        </w:rPr>
      </w:pPr>
    </w:p>
    <w:p w:rsidR="00014E30" w:rsidRPr="00DD196F" w:rsidRDefault="00014E30" w:rsidP="00014E30">
      <w:pPr>
        <w:numPr>
          <w:ilvl w:val="0"/>
          <w:numId w:val="3"/>
        </w:numPr>
        <w:spacing w:after="200" w:line="276" w:lineRule="auto"/>
        <w:contextualSpacing/>
        <w:jc w:val="both"/>
        <w:rPr>
          <w:rFonts w:ascii="Times New Roman" w:eastAsia="Times New Roman" w:hAnsi="Times New Roman" w:cs="Times New Roman"/>
          <w:sz w:val="24"/>
          <w:szCs w:val="24"/>
          <w:u w:val="single"/>
          <w:lang w:val="sq-AL"/>
        </w:rPr>
      </w:pPr>
      <w:r w:rsidRPr="00DD196F">
        <w:rPr>
          <w:rFonts w:ascii="Times New Roman" w:eastAsia="Calibri" w:hAnsi="Times New Roman" w:cs="Times New Roman"/>
          <w:sz w:val="24"/>
          <w:szCs w:val="24"/>
          <w:u w:val="single"/>
          <w:lang w:val="it-IT"/>
        </w:rPr>
        <w:lastRenderedPageBreak/>
        <w:t xml:space="preserve">Nga ana mikrobiologjike </w:t>
      </w:r>
      <w:r w:rsidRPr="00DD196F">
        <w:rPr>
          <w:rFonts w:ascii="Times New Roman" w:eastAsia="Times New Roman" w:hAnsi="Times New Roman" w:cs="Times New Roman"/>
          <w:sz w:val="24"/>
          <w:szCs w:val="24"/>
          <w:u w:val="single"/>
          <w:lang w:val="sq-AL"/>
        </w:rPr>
        <w:t>vlerësohen t</w:t>
      </w:r>
      <w:r w:rsidRPr="00DD196F">
        <w:rPr>
          <w:rFonts w:ascii="Times New Roman" w:eastAsia="Calibri" w:hAnsi="Times New Roman" w:cs="Times New Roman"/>
          <w:sz w:val="24"/>
          <w:szCs w:val="24"/>
          <w:u w:val="single"/>
          <w:lang w:val="it-IT"/>
        </w:rPr>
        <w:t>ë</w:t>
      </w:r>
      <w:r w:rsidRPr="00DD196F">
        <w:rPr>
          <w:rFonts w:ascii="Times New Roman" w:eastAsia="Times New Roman" w:hAnsi="Times New Roman" w:cs="Times New Roman"/>
          <w:sz w:val="24"/>
          <w:szCs w:val="24"/>
          <w:u w:val="single"/>
          <w:lang w:val="sq-AL"/>
        </w:rPr>
        <w:t xml:space="preserve"> cil</w:t>
      </w:r>
      <w:r w:rsidRPr="00DD196F">
        <w:rPr>
          <w:rFonts w:ascii="Times New Roman" w:eastAsia="Calibri" w:hAnsi="Times New Roman" w:cs="Times New Roman"/>
          <w:sz w:val="24"/>
          <w:szCs w:val="24"/>
          <w:u w:val="single"/>
          <w:lang w:val="it-IT"/>
        </w:rPr>
        <w:t>ë</w:t>
      </w:r>
      <w:r w:rsidRPr="00DD196F">
        <w:rPr>
          <w:rFonts w:ascii="Times New Roman" w:eastAsia="Times New Roman" w:hAnsi="Times New Roman" w:cs="Times New Roman"/>
          <w:sz w:val="24"/>
          <w:szCs w:val="24"/>
          <w:u w:val="single"/>
          <w:lang w:val="sq-AL"/>
        </w:rPr>
        <w:t>sis</w:t>
      </w:r>
      <w:r w:rsidRPr="00DD196F">
        <w:rPr>
          <w:rFonts w:ascii="Times New Roman" w:eastAsia="Calibri" w:hAnsi="Times New Roman" w:cs="Times New Roman"/>
          <w:sz w:val="24"/>
          <w:szCs w:val="24"/>
          <w:u w:val="single"/>
          <w:lang w:val="it-IT"/>
        </w:rPr>
        <w:t xml:space="preserve">ë </w:t>
      </w:r>
      <w:r w:rsidRPr="00DD196F">
        <w:rPr>
          <w:rFonts w:ascii="Times New Roman" w:eastAsia="Times New Roman" w:hAnsi="Times New Roman" w:cs="Times New Roman"/>
          <w:sz w:val="24"/>
          <w:szCs w:val="24"/>
          <w:u w:val="single"/>
          <w:lang w:val="sq-AL"/>
        </w:rPr>
        <w:t>A- Cilësi e shkëlqyer:</w:t>
      </w:r>
    </w:p>
    <w:p w:rsidR="00014E30" w:rsidRPr="00DD196F" w:rsidRDefault="00014E30" w:rsidP="00014E30">
      <w:pPr>
        <w:spacing w:line="276" w:lineRule="auto"/>
        <w:ind w:left="360"/>
        <w:jc w:val="both"/>
        <w:rPr>
          <w:rFonts w:ascii="Times New Roman" w:eastAsia="Times New Roman" w:hAnsi="Times New Roman" w:cs="Times New Roman"/>
          <w:sz w:val="24"/>
          <w:szCs w:val="24"/>
          <w:lang w:val="sq-AL"/>
        </w:rPr>
      </w:pPr>
      <w:r w:rsidRPr="00DD196F">
        <w:rPr>
          <w:rFonts w:ascii="Times New Roman" w:eastAsia="Times New Roman" w:hAnsi="Times New Roman" w:cs="Times New Roman"/>
          <w:sz w:val="24"/>
          <w:szCs w:val="24"/>
          <w:lang w:val="sq-AL"/>
        </w:rPr>
        <w:t>Plazhet e Palas</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s, Drimadh</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s, Dh</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rmiut, Jal</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s, Livadhes, Himar</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s, Qeparoit, Borshit, Lukov</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s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gjitha pikat e monitorimit.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k</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t</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kategori vler</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sohen gjithashtu dhe pikat e monitorimit: Pikat 1, 2, 4, 6, 7 (B-R Belavista, Hotel Adriatik, Hyrja Plazh, Dolçe Vita, Pranë Lagunës Vilunit)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plazhin Velipoj</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Pika 2 ( Në qëndër të hyrjes qëndrore, tek Antena)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plazhin Tale; Pikat 2, 10, 12 (Currila 2, Hotel Adriatik, Iliria prane Bllokut)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plazhin Durr</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s;  Pika 4 (Kompleksi Alioma)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plazhin Gjiri i Lalzit; Pika 6 (Piceri Argjendi)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plazhin Kavaj</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Pikat 4, 5, 7 ( Lokali Gjermanit, Bar restorant 4 Flamuj, Ish reparti ushtarak Pish Poro)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plazhin Seman &amp; Darzez</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Pikat 5, 7, 8 (Ish Vilat Blloku, Paradise, B-R L. Borshi)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plazhin  Vlor</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Pika 2 (Pllakat)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plazhin Sarand</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Pikat 1, 2 (Hotel-Resort Relaks Lin, Resort Komplex Lyhnida)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plazhin Pogradec. </w:t>
      </w:r>
    </w:p>
    <w:p w:rsidR="00014E30" w:rsidRPr="00DD196F" w:rsidRDefault="00014E30" w:rsidP="00014E30">
      <w:pPr>
        <w:numPr>
          <w:ilvl w:val="0"/>
          <w:numId w:val="3"/>
        </w:numPr>
        <w:spacing w:after="0" w:line="276" w:lineRule="auto"/>
        <w:contextualSpacing/>
        <w:rPr>
          <w:rFonts w:ascii="Times New Roman" w:eastAsia="Times New Roman" w:hAnsi="Times New Roman" w:cs="Times New Roman"/>
          <w:sz w:val="24"/>
          <w:szCs w:val="24"/>
          <w:u w:val="single"/>
          <w:lang w:val="sq-AL"/>
        </w:rPr>
      </w:pPr>
      <w:r w:rsidRPr="00DD196F">
        <w:rPr>
          <w:rFonts w:ascii="Times New Roman" w:eastAsia="Calibri" w:hAnsi="Times New Roman" w:cs="Times New Roman"/>
          <w:sz w:val="24"/>
          <w:szCs w:val="24"/>
          <w:u w:val="single"/>
          <w:lang w:val="it-IT"/>
        </w:rPr>
        <w:t xml:space="preserve">Nga ana mikrobiologjike vlerësohen </w:t>
      </w:r>
      <w:r w:rsidRPr="00DD196F">
        <w:rPr>
          <w:rFonts w:ascii="Times New Roman" w:eastAsia="Times New Roman" w:hAnsi="Times New Roman" w:cs="Times New Roman"/>
          <w:sz w:val="24"/>
          <w:szCs w:val="24"/>
          <w:u w:val="single"/>
          <w:lang w:val="sq-AL"/>
        </w:rPr>
        <w:t>t</w:t>
      </w:r>
      <w:r w:rsidRPr="00DD196F">
        <w:rPr>
          <w:rFonts w:ascii="Times New Roman" w:eastAsia="Calibri" w:hAnsi="Times New Roman" w:cs="Times New Roman"/>
          <w:sz w:val="24"/>
          <w:szCs w:val="24"/>
          <w:u w:val="single"/>
          <w:lang w:val="it-IT"/>
        </w:rPr>
        <w:t>ë</w:t>
      </w:r>
      <w:r w:rsidRPr="00DD196F">
        <w:rPr>
          <w:rFonts w:ascii="Times New Roman" w:eastAsia="Times New Roman" w:hAnsi="Times New Roman" w:cs="Times New Roman"/>
          <w:sz w:val="24"/>
          <w:szCs w:val="24"/>
          <w:u w:val="single"/>
          <w:lang w:val="sq-AL"/>
        </w:rPr>
        <w:t xml:space="preserve"> cil</w:t>
      </w:r>
      <w:r w:rsidRPr="00DD196F">
        <w:rPr>
          <w:rFonts w:ascii="Times New Roman" w:eastAsia="Calibri" w:hAnsi="Times New Roman" w:cs="Times New Roman"/>
          <w:sz w:val="24"/>
          <w:szCs w:val="24"/>
          <w:u w:val="single"/>
          <w:lang w:val="it-IT"/>
        </w:rPr>
        <w:t>ë</w:t>
      </w:r>
      <w:r w:rsidRPr="00DD196F">
        <w:rPr>
          <w:rFonts w:ascii="Times New Roman" w:eastAsia="Times New Roman" w:hAnsi="Times New Roman" w:cs="Times New Roman"/>
          <w:sz w:val="24"/>
          <w:szCs w:val="24"/>
          <w:u w:val="single"/>
          <w:lang w:val="sq-AL"/>
        </w:rPr>
        <w:t>sis</w:t>
      </w:r>
      <w:r w:rsidRPr="00DD196F">
        <w:rPr>
          <w:rFonts w:ascii="Times New Roman" w:eastAsia="Calibri" w:hAnsi="Times New Roman" w:cs="Times New Roman"/>
          <w:sz w:val="24"/>
          <w:szCs w:val="24"/>
          <w:u w:val="single"/>
          <w:lang w:val="it-IT"/>
        </w:rPr>
        <w:t xml:space="preserve">ë </w:t>
      </w:r>
      <w:r w:rsidRPr="00DD196F">
        <w:rPr>
          <w:rFonts w:ascii="Times New Roman" w:eastAsia="Times New Roman" w:hAnsi="Times New Roman" w:cs="Times New Roman"/>
          <w:sz w:val="24"/>
          <w:szCs w:val="24"/>
          <w:u w:val="single"/>
          <w:lang w:val="it-IT"/>
        </w:rPr>
        <w:t>D-Cilësi e keqe</w:t>
      </w:r>
      <w:r w:rsidRPr="00DD196F">
        <w:rPr>
          <w:rFonts w:ascii="Times New Roman" w:eastAsia="Calibri" w:hAnsi="Times New Roman" w:cs="Times New Roman"/>
          <w:sz w:val="24"/>
          <w:szCs w:val="24"/>
          <w:u w:val="single"/>
          <w:lang w:val="it-IT"/>
        </w:rPr>
        <w:t>:</w:t>
      </w:r>
    </w:p>
    <w:p w:rsidR="00014E30" w:rsidRPr="00DD196F" w:rsidRDefault="00014E30" w:rsidP="00014E30">
      <w:pPr>
        <w:spacing w:after="0" w:line="276" w:lineRule="auto"/>
        <w:jc w:val="both"/>
        <w:rPr>
          <w:rFonts w:ascii="Times New Roman" w:eastAsia="Times New Roman" w:hAnsi="Times New Roman" w:cs="Times New Roman"/>
          <w:sz w:val="24"/>
          <w:szCs w:val="24"/>
          <w:lang w:val="sq-AL"/>
        </w:rPr>
      </w:pPr>
    </w:p>
    <w:p w:rsidR="00014E30" w:rsidRPr="00DD196F" w:rsidRDefault="00014E30" w:rsidP="00014E30">
      <w:pPr>
        <w:spacing w:after="0" w:line="276" w:lineRule="auto"/>
        <w:jc w:val="both"/>
        <w:rPr>
          <w:rFonts w:ascii="Times New Roman" w:eastAsia="Times New Roman" w:hAnsi="Times New Roman" w:cs="Times New Roman"/>
          <w:sz w:val="24"/>
          <w:szCs w:val="24"/>
          <w:lang w:val="sq-AL"/>
        </w:rPr>
      </w:pPr>
      <w:r w:rsidRPr="00DD196F">
        <w:rPr>
          <w:rFonts w:ascii="Times New Roman" w:eastAsia="Times New Roman" w:hAnsi="Times New Roman" w:cs="Times New Roman"/>
          <w:sz w:val="24"/>
          <w:szCs w:val="24"/>
          <w:lang w:val="sq-AL"/>
        </w:rPr>
        <w:t>Pikat e monitorimit: Pika 3, 8, 14, 15, 16, 21 (Zhiron, Apollonia, Tropikal, pas kanalit Plepa, Shkëmbi i Kavajës, Kompleksi Xhardino)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plazhin Durr</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s;  Pikat 1, 3, 4, 7 (Majami, Kosmira, Vapori mbytur, Mak Albania)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plazhin Kavaj</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Pika 3 (Bar-Kafe Holliday)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plazhin Qerret; Pikat 1, 2 (Hyrja ne plazh, tek Policia, Hyrja kryesore ne plazh)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plazhin Divjak</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Pika 3 (Kapiteni)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plazhin Zv</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rnec; Pika 3 (Plazhi i Ri) 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plazhin Sarandë; </w:t>
      </w:r>
      <w:r w:rsidRPr="00DD196F">
        <w:rPr>
          <w:rFonts w:ascii="Times New Roman" w:eastAsia="Calibri" w:hAnsi="Times New Roman" w:cs="Times New Roman"/>
          <w:sz w:val="24"/>
          <w:szCs w:val="24"/>
          <w:lang w:val="it-IT"/>
        </w:rPr>
        <w:t xml:space="preserve">Pikat 5, 6, 7, 8 ( Hotel Hotel 1 Maji, Tushemisht Hotel Millenium, Hotel Depo, Volorek) </w:t>
      </w:r>
      <w:r w:rsidRPr="00DD196F">
        <w:rPr>
          <w:rFonts w:ascii="Times New Roman" w:eastAsia="Times New Roman" w:hAnsi="Times New Roman" w:cs="Times New Roman"/>
          <w:sz w:val="24"/>
          <w:szCs w:val="24"/>
          <w:lang w:val="sq-AL"/>
        </w:rPr>
        <w:t>n</w:t>
      </w:r>
      <w:r w:rsidRPr="00DD196F">
        <w:rPr>
          <w:rFonts w:ascii="Times New Roman" w:eastAsia="Calibri" w:hAnsi="Times New Roman" w:cs="Times New Roman"/>
          <w:sz w:val="24"/>
          <w:szCs w:val="24"/>
          <w:lang w:val="it-IT"/>
        </w:rPr>
        <w:t>ë</w:t>
      </w:r>
      <w:r w:rsidRPr="00DD196F">
        <w:rPr>
          <w:rFonts w:ascii="Times New Roman" w:eastAsia="Times New Roman" w:hAnsi="Times New Roman" w:cs="Times New Roman"/>
          <w:sz w:val="24"/>
          <w:szCs w:val="24"/>
          <w:lang w:val="sq-AL"/>
        </w:rPr>
        <w:t xml:space="preserve"> plazhin Pogradec. N</w:t>
      </w:r>
      <w:r w:rsidRPr="00DD196F">
        <w:rPr>
          <w:rFonts w:ascii="Times New Roman" w:eastAsia="Calibri" w:hAnsi="Times New Roman" w:cs="Times New Roman"/>
          <w:sz w:val="24"/>
          <w:szCs w:val="24"/>
          <w:lang w:val="sq-AL"/>
        </w:rPr>
        <w:t>ë</w:t>
      </w:r>
      <w:r w:rsidRPr="00DD196F">
        <w:rPr>
          <w:rFonts w:ascii="Times New Roman" w:eastAsia="Times New Roman" w:hAnsi="Times New Roman" w:cs="Times New Roman"/>
          <w:sz w:val="24"/>
          <w:szCs w:val="24"/>
          <w:lang w:val="sq-AL"/>
        </w:rPr>
        <w:t xml:space="preserve"> p</w:t>
      </w:r>
      <w:r w:rsidRPr="00DD196F">
        <w:rPr>
          <w:rFonts w:ascii="Times New Roman" w:eastAsia="Calibri" w:hAnsi="Times New Roman" w:cs="Times New Roman"/>
          <w:sz w:val="24"/>
          <w:szCs w:val="24"/>
          <w:lang w:val="sq-AL"/>
        </w:rPr>
        <w:t>ë</w:t>
      </w:r>
      <w:r w:rsidRPr="00DD196F">
        <w:rPr>
          <w:rFonts w:ascii="Times New Roman" w:eastAsia="Times New Roman" w:hAnsi="Times New Roman" w:cs="Times New Roman"/>
          <w:sz w:val="24"/>
          <w:szCs w:val="24"/>
          <w:lang w:val="sq-AL"/>
        </w:rPr>
        <w:t>rgjith</w:t>
      </w:r>
      <w:r w:rsidRPr="00DD196F">
        <w:rPr>
          <w:rFonts w:ascii="Times New Roman" w:eastAsia="Calibri" w:hAnsi="Times New Roman" w:cs="Times New Roman"/>
          <w:sz w:val="24"/>
          <w:szCs w:val="24"/>
          <w:lang w:val="sq-AL"/>
        </w:rPr>
        <w:t>ë</w:t>
      </w:r>
      <w:r w:rsidRPr="00DD196F">
        <w:rPr>
          <w:rFonts w:ascii="Times New Roman" w:eastAsia="Times New Roman" w:hAnsi="Times New Roman" w:cs="Times New Roman"/>
          <w:sz w:val="24"/>
          <w:szCs w:val="24"/>
          <w:lang w:val="sq-AL"/>
        </w:rPr>
        <w:t xml:space="preserve">si </w:t>
      </w:r>
      <w:r w:rsidRPr="00DD196F">
        <w:rPr>
          <w:rFonts w:ascii="Times New Roman" w:eastAsia="Calibri" w:hAnsi="Times New Roman" w:cs="Times New Roman"/>
          <w:sz w:val="24"/>
          <w:szCs w:val="24"/>
          <w:shd w:val="clear" w:color="auto" w:fill="FFFFFF"/>
          <w:lang w:val="it-IT"/>
        </w:rPr>
        <w:t>t</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shd w:val="clear" w:color="auto" w:fill="FFFFFF"/>
          <w:lang w:val="it-IT"/>
        </w:rPr>
        <w:t xml:space="preserve"> dh</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shd w:val="clear" w:color="auto" w:fill="FFFFFF"/>
          <w:lang w:val="it-IT"/>
        </w:rPr>
        <w:t>nat mikrobiologjike t</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shd w:val="clear" w:color="auto" w:fill="FFFFFF"/>
          <w:lang w:val="it-IT"/>
        </w:rPr>
        <w:t xml:space="preserve"> konstatuara me ndotje p</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shd w:val="clear" w:color="auto" w:fill="FFFFFF"/>
          <w:lang w:val="it-IT"/>
        </w:rPr>
        <w:t>rkojn</w:t>
      </w:r>
      <w:r w:rsidRPr="00DD196F">
        <w:rPr>
          <w:rFonts w:ascii="Times New Roman" w:eastAsia="Calibri" w:hAnsi="Times New Roman" w:cs="Times New Roman"/>
          <w:sz w:val="24"/>
          <w:szCs w:val="24"/>
          <w:lang w:val="sq-AL"/>
        </w:rPr>
        <w:t xml:space="preserve">ë </w:t>
      </w:r>
      <w:r w:rsidRPr="00DD196F">
        <w:rPr>
          <w:rFonts w:ascii="Times New Roman" w:eastAsia="Calibri" w:hAnsi="Times New Roman" w:cs="Times New Roman"/>
          <w:sz w:val="24"/>
          <w:szCs w:val="24"/>
          <w:shd w:val="clear" w:color="auto" w:fill="FFFFFF"/>
          <w:lang w:val="it-IT"/>
        </w:rPr>
        <w:t>n</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shd w:val="clear" w:color="auto" w:fill="FFFFFF"/>
          <w:lang w:val="it-IT"/>
        </w:rPr>
        <w:t xml:space="preserve"> pjes</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shd w:val="clear" w:color="auto" w:fill="FFFFFF"/>
          <w:lang w:val="it-IT"/>
        </w:rPr>
        <w:t>n m</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shd w:val="clear" w:color="auto" w:fill="FFFFFF"/>
          <w:lang w:val="it-IT"/>
        </w:rPr>
        <w:t xml:space="preserve"> t</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shd w:val="clear" w:color="auto" w:fill="FFFFFF"/>
          <w:lang w:val="it-IT"/>
        </w:rPr>
        <w:t xml:space="preserve"> madhe t</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shd w:val="clear" w:color="auto" w:fill="FFFFFF"/>
          <w:lang w:val="it-IT"/>
        </w:rPr>
        <w:t xml:space="preserve"> rasteve me derdhje t</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shd w:val="clear" w:color="auto" w:fill="FFFFFF"/>
          <w:lang w:val="it-IT"/>
        </w:rPr>
        <w:t xml:space="preserve"> drejtp</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shd w:val="clear" w:color="auto" w:fill="FFFFFF"/>
          <w:lang w:val="it-IT"/>
        </w:rPr>
        <w:t>rdrejta uj</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shd w:val="clear" w:color="auto" w:fill="FFFFFF"/>
          <w:lang w:val="it-IT"/>
        </w:rPr>
        <w:t>rash sip</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shd w:val="clear" w:color="auto" w:fill="FFFFFF"/>
          <w:lang w:val="it-IT"/>
        </w:rPr>
        <w:t>rfaq</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shd w:val="clear" w:color="auto" w:fill="FFFFFF"/>
          <w:lang w:val="it-IT"/>
        </w:rPr>
        <w:t>sore n</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shd w:val="clear" w:color="auto" w:fill="FFFFFF"/>
          <w:lang w:val="it-IT"/>
        </w:rPr>
        <w:t xml:space="preserve"> det</w:t>
      </w:r>
      <w:r w:rsidRPr="00DD196F">
        <w:rPr>
          <w:rFonts w:ascii="Times New Roman" w:eastAsia="Times New Roman" w:hAnsi="Times New Roman" w:cs="Times New Roman"/>
          <w:b/>
          <w:bCs/>
          <w:sz w:val="24"/>
          <w:szCs w:val="24"/>
          <w:lang w:val="sq-AL"/>
        </w:rPr>
        <w:t xml:space="preserve">. </w:t>
      </w:r>
    </w:p>
    <w:p w:rsidR="00014E30" w:rsidRPr="00DD196F" w:rsidRDefault="00014E30" w:rsidP="00014E30">
      <w:pPr>
        <w:spacing w:after="0" w:line="276" w:lineRule="auto"/>
        <w:jc w:val="both"/>
        <w:rPr>
          <w:rFonts w:ascii="Times New Roman" w:eastAsia="Times New Roman" w:hAnsi="Times New Roman" w:cs="Times New Roman"/>
          <w:sz w:val="24"/>
          <w:szCs w:val="24"/>
          <w:u w:val="single"/>
          <w:lang w:val="it-IT"/>
        </w:rPr>
      </w:pPr>
    </w:p>
    <w:p w:rsidR="00014E30" w:rsidRPr="00DD196F" w:rsidRDefault="00014E30" w:rsidP="00014E30">
      <w:pPr>
        <w:numPr>
          <w:ilvl w:val="0"/>
          <w:numId w:val="3"/>
        </w:numPr>
        <w:spacing w:after="0" w:line="276" w:lineRule="auto"/>
        <w:contextualSpacing/>
        <w:jc w:val="both"/>
        <w:rPr>
          <w:rFonts w:ascii="Times New Roman" w:eastAsia="Times New Roman" w:hAnsi="Times New Roman" w:cs="Times New Roman"/>
          <w:bCs/>
          <w:sz w:val="24"/>
          <w:szCs w:val="24"/>
          <w:u w:val="single"/>
          <w:lang w:val="sq-AL"/>
        </w:rPr>
      </w:pPr>
      <w:r w:rsidRPr="00DD196F">
        <w:rPr>
          <w:rFonts w:ascii="Times New Roman" w:eastAsia="Times New Roman" w:hAnsi="Times New Roman" w:cs="Times New Roman"/>
          <w:sz w:val="24"/>
          <w:szCs w:val="24"/>
          <w:u w:val="single"/>
          <w:lang w:val="it-IT"/>
        </w:rPr>
        <w:t xml:space="preserve">Nga vlerësimi higjeno-sanitar në pikat me ndotje u konstatua prani e shkarkimeve të ujërave urbane në mënyrë direkte </w:t>
      </w:r>
      <w:r w:rsidRPr="00DD196F">
        <w:rPr>
          <w:rFonts w:ascii="Times New Roman" w:eastAsia="Calibri" w:hAnsi="Times New Roman" w:cs="Times New Roman"/>
          <w:sz w:val="24"/>
          <w:szCs w:val="24"/>
          <w:u w:val="single"/>
          <w:lang w:val="sq-AL"/>
        </w:rPr>
        <w:t xml:space="preserve">duke ndikuar në cilësinë e ujërave larës: </w:t>
      </w:r>
    </w:p>
    <w:p w:rsidR="00014E30" w:rsidRPr="00DD196F" w:rsidRDefault="00014E30" w:rsidP="00014E30">
      <w:pPr>
        <w:spacing w:before="240" w:after="120" w:line="276" w:lineRule="auto"/>
        <w:jc w:val="both"/>
        <w:rPr>
          <w:rFonts w:ascii="Times New Roman" w:eastAsia="Calibri" w:hAnsi="Times New Roman" w:cs="Times New Roman"/>
          <w:sz w:val="24"/>
          <w:szCs w:val="24"/>
          <w:shd w:val="clear" w:color="auto" w:fill="FFFFFF"/>
          <w:lang w:val="it-IT"/>
        </w:rPr>
      </w:pPr>
      <w:r w:rsidRPr="00DD196F">
        <w:rPr>
          <w:rFonts w:ascii="Times New Roman" w:eastAsia="Times New Roman" w:hAnsi="Times New Roman" w:cs="Times New Roman"/>
          <w:bCs/>
          <w:sz w:val="24"/>
          <w:szCs w:val="24"/>
          <w:lang w:val="sq-AL"/>
        </w:rPr>
        <w:t xml:space="preserve">Në zonën </w:t>
      </w:r>
      <w:r w:rsidRPr="00DD196F">
        <w:rPr>
          <w:rFonts w:ascii="Times New Roman" w:eastAsia="Times New Roman" w:hAnsi="Times New Roman" w:cs="Times New Roman"/>
          <w:sz w:val="24"/>
          <w:szCs w:val="24"/>
          <w:lang w:val="pt-BR"/>
        </w:rPr>
        <w:t>pas kanalit Plepa</w:t>
      </w:r>
      <w:r w:rsidRPr="00DD196F">
        <w:rPr>
          <w:rFonts w:ascii="Times New Roman" w:eastAsia="Calibri" w:hAnsi="Times New Roman" w:cs="Times New Roman"/>
          <w:sz w:val="24"/>
          <w:szCs w:val="24"/>
          <w:lang w:val="it-IT"/>
        </w:rPr>
        <w:t xml:space="preserve"> u konstatua prani e shkarkimeve të ujërave urbane të pa trajtuara, me er</w:t>
      </w:r>
      <w:r w:rsidRPr="00DD196F">
        <w:rPr>
          <w:rFonts w:ascii="Times New Roman" w:eastAsia="Times New Roman" w:hAnsi="Times New Roman" w:cs="Times New Roman"/>
          <w:bCs/>
          <w:sz w:val="24"/>
          <w:szCs w:val="24"/>
          <w:lang w:val="sq-AL"/>
        </w:rPr>
        <w:t>ë</w:t>
      </w:r>
      <w:r w:rsidRPr="00DD196F">
        <w:rPr>
          <w:rFonts w:ascii="Times New Roman" w:eastAsia="Calibri" w:hAnsi="Times New Roman" w:cs="Times New Roman"/>
          <w:sz w:val="24"/>
          <w:szCs w:val="24"/>
          <w:lang w:val="it-IT"/>
        </w:rPr>
        <w:t xml:space="preserve"> t</w:t>
      </w:r>
      <w:r w:rsidRPr="00DD196F">
        <w:rPr>
          <w:rFonts w:ascii="Times New Roman" w:eastAsia="Times New Roman" w:hAnsi="Times New Roman" w:cs="Times New Roman"/>
          <w:bCs/>
          <w:sz w:val="24"/>
          <w:szCs w:val="24"/>
          <w:lang w:val="sq-AL"/>
        </w:rPr>
        <w:t>ë</w:t>
      </w:r>
      <w:r w:rsidRPr="00DD196F">
        <w:rPr>
          <w:rFonts w:ascii="Times New Roman" w:eastAsia="Calibri" w:hAnsi="Times New Roman" w:cs="Times New Roman"/>
          <w:sz w:val="24"/>
          <w:szCs w:val="24"/>
          <w:lang w:val="it-IT"/>
        </w:rPr>
        <w:t xml:space="preserve"> r</w:t>
      </w:r>
      <w:r w:rsidRPr="00DD196F">
        <w:rPr>
          <w:rFonts w:ascii="Times New Roman" w:eastAsia="Times New Roman" w:hAnsi="Times New Roman" w:cs="Times New Roman"/>
          <w:bCs/>
          <w:sz w:val="24"/>
          <w:szCs w:val="24"/>
          <w:lang w:val="sq-AL"/>
        </w:rPr>
        <w:t>ë</w:t>
      </w:r>
      <w:r w:rsidRPr="00DD196F">
        <w:rPr>
          <w:rFonts w:ascii="Times New Roman" w:eastAsia="Calibri" w:hAnsi="Times New Roman" w:cs="Times New Roman"/>
          <w:sz w:val="24"/>
          <w:szCs w:val="24"/>
          <w:lang w:val="it-IT"/>
        </w:rPr>
        <w:t>nd</w:t>
      </w:r>
      <w:r w:rsidRPr="00DD196F">
        <w:rPr>
          <w:rFonts w:ascii="Times New Roman" w:eastAsia="Times New Roman" w:hAnsi="Times New Roman" w:cs="Times New Roman"/>
          <w:bCs/>
          <w:sz w:val="24"/>
          <w:szCs w:val="24"/>
          <w:lang w:val="sq-AL"/>
        </w:rPr>
        <w:t>ë</w:t>
      </w:r>
      <w:r w:rsidRPr="00DD196F">
        <w:rPr>
          <w:rFonts w:ascii="Times New Roman" w:eastAsia="Times New Roman" w:hAnsi="Times New Roman" w:cs="Times New Roman"/>
          <w:sz w:val="24"/>
          <w:szCs w:val="24"/>
          <w:lang w:val="fi-FI"/>
        </w:rPr>
        <w:t>.</w:t>
      </w:r>
      <w:r w:rsidRPr="00DD196F">
        <w:rPr>
          <w:rFonts w:ascii="Times New Roman" w:eastAsia="Times New Roman" w:hAnsi="Times New Roman" w:cs="Times New Roman"/>
          <w:sz w:val="24"/>
          <w:szCs w:val="24"/>
          <w:lang w:val="pt-BR"/>
        </w:rPr>
        <w:t xml:space="preserve"> Në Tale ndodhet kanali i madh me ujëra sipërfaqësorë, në zonën majtas pikës 3 të monitorimit, që derdhet në det</w:t>
      </w:r>
      <w:r w:rsidRPr="00DD196F">
        <w:rPr>
          <w:rFonts w:ascii="Times New Roman" w:eastAsia="Times New Roman" w:hAnsi="Times New Roman" w:cs="Times New Roman"/>
          <w:sz w:val="24"/>
          <w:szCs w:val="24"/>
          <w:shd w:val="clear" w:color="auto" w:fill="FFFFFF"/>
          <w:lang w:val="pt-BR"/>
        </w:rPr>
        <w:t xml:space="preserve"> </w:t>
      </w:r>
      <w:r w:rsidRPr="00DD196F">
        <w:rPr>
          <w:rFonts w:ascii="Times New Roman" w:eastAsia="Times New Roman" w:hAnsi="Times New Roman" w:cs="Times New Roman"/>
          <w:sz w:val="24"/>
          <w:szCs w:val="24"/>
          <w:shd w:val="clear" w:color="auto" w:fill="FFFFFF"/>
          <w:lang w:val="fi-FI"/>
        </w:rPr>
        <w:t>majtas hyrjes qëndrore. N</w:t>
      </w:r>
      <w:r w:rsidRPr="00DD196F">
        <w:rPr>
          <w:rFonts w:ascii="Times New Roman" w:eastAsia="Times New Roman" w:hAnsi="Times New Roman" w:cs="Times New Roman"/>
          <w:sz w:val="24"/>
          <w:szCs w:val="24"/>
          <w:lang w:val="pt-BR"/>
        </w:rPr>
        <w:t>ë</w:t>
      </w:r>
      <w:r w:rsidRPr="00DD196F">
        <w:rPr>
          <w:rFonts w:ascii="Times New Roman" w:eastAsia="Times New Roman" w:hAnsi="Times New Roman" w:cs="Times New Roman"/>
          <w:sz w:val="24"/>
          <w:szCs w:val="24"/>
          <w:shd w:val="clear" w:color="auto" w:fill="FFFFFF"/>
          <w:lang w:val="fi-FI"/>
        </w:rPr>
        <w:t xml:space="preserve"> pik</w:t>
      </w:r>
      <w:r w:rsidRPr="00DD196F">
        <w:rPr>
          <w:rFonts w:ascii="Times New Roman" w:eastAsia="Times New Roman" w:hAnsi="Times New Roman" w:cs="Times New Roman"/>
          <w:sz w:val="24"/>
          <w:szCs w:val="24"/>
          <w:lang w:val="pt-BR"/>
        </w:rPr>
        <w:t>ë</w:t>
      </w:r>
      <w:r w:rsidRPr="00DD196F">
        <w:rPr>
          <w:rFonts w:ascii="Times New Roman" w:eastAsia="Times New Roman" w:hAnsi="Times New Roman" w:cs="Times New Roman"/>
          <w:sz w:val="24"/>
          <w:szCs w:val="24"/>
          <w:shd w:val="clear" w:color="auto" w:fill="FFFFFF"/>
          <w:lang w:val="fi-FI"/>
        </w:rPr>
        <w:t xml:space="preserve">n 4, </w:t>
      </w:r>
      <w:r w:rsidRPr="00DD196F">
        <w:rPr>
          <w:rFonts w:ascii="Times New Roman" w:eastAsia="Times New Roman" w:hAnsi="Times New Roman" w:cs="Times New Roman"/>
          <w:sz w:val="24"/>
          <w:szCs w:val="24"/>
        </w:rPr>
        <w:t xml:space="preserve">kanali pas Grintit, pranë Vaporit të mbytur, ka pasur një kanal të derdhjes së ujërave të pa trajtuara në det të hapur gjatë gjithë serive. Në pikën 7, zonën e Mak Albania në seritë e para kishte kanal të derdhjes së ujërave të pa trajtuara në det, por më pas ky kanal ishte i mbuluar dhe u konstatua një </w:t>
      </w:r>
      <w:r w:rsidRPr="00DD196F">
        <w:rPr>
          <w:rFonts w:ascii="Times New Roman" w:eastAsia="Calibri" w:hAnsi="Times New Roman" w:cs="Times New Roman"/>
          <w:sz w:val="24"/>
          <w:szCs w:val="24"/>
          <w:lang w:val="it-IT"/>
        </w:rPr>
        <w:t>grumbull mbeturinash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it-IT"/>
        </w:rPr>
        <w:t xml:space="preserve"> bregun ranor.</w:t>
      </w:r>
      <w:r w:rsidRPr="00DD196F">
        <w:rPr>
          <w:rFonts w:ascii="Times New Roman" w:eastAsia="Times New Roman" w:hAnsi="Times New Roman" w:cs="Times New Roman"/>
          <w:sz w:val="24"/>
          <w:szCs w:val="24"/>
        </w:rPr>
        <w:t xml:space="preserve"> Në P</w:t>
      </w:r>
      <w:r w:rsidRPr="00DD196F">
        <w:rPr>
          <w:rFonts w:ascii="Times New Roman" w:eastAsia="Times New Roman" w:hAnsi="Times New Roman" w:cs="Times New Roman"/>
          <w:sz w:val="24"/>
          <w:szCs w:val="24"/>
          <w:lang w:val="it-IT"/>
        </w:rPr>
        <w:t>ik</w:t>
      </w:r>
      <w:r w:rsidRPr="00DD196F">
        <w:rPr>
          <w:rFonts w:ascii="Times New Roman" w:eastAsia="Times New Roman" w:hAnsi="Times New Roman" w:cs="Times New Roman"/>
          <w:sz w:val="24"/>
          <w:szCs w:val="24"/>
        </w:rPr>
        <w:t>ë</w:t>
      </w:r>
      <w:r w:rsidRPr="00DD196F">
        <w:rPr>
          <w:rFonts w:ascii="Times New Roman" w:eastAsia="Times New Roman" w:hAnsi="Times New Roman" w:cs="Times New Roman"/>
          <w:sz w:val="24"/>
          <w:szCs w:val="24"/>
          <w:lang w:val="it-IT"/>
        </w:rPr>
        <w:t>n 8, q</w:t>
      </w:r>
      <w:r w:rsidRPr="00DD196F">
        <w:rPr>
          <w:rFonts w:ascii="Times New Roman" w:eastAsia="Times New Roman" w:hAnsi="Times New Roman" w:cs="Times New Roman"/>
          <w:sz w:val="24"/>
          <w:szCs w:val="24"/>
        </w:rPr>
        <w:t>ë</w:t>
      </w:r>
      <w:r w:rsidRPr="00DD196F">
        <w:rPr>
          <w:rFonts w:ascii="Times New Roman" w:eastAsia="Times New Roman" w:hAnsi="Times New Roman" w:cs="Times New Roman"/>
          <w:sz w:val="24"/>
          <w:szCs w:val="24"/>
          <w:lang w:val="it-IT"/>
        </w:rPr>
        <w:t xml:space="preserve"> p</w:t>
      </w:r>
      <w:r w:rsidRPr="00DD196F">
        <w:rPr>
          <w:rFonts w:ascii="Times New Roman" w:eastAsia="Times New Roman" w:hAnsi="Times New Roman" w:cs="Times New Roman"/>
          <w:sz w:val="24"/>
          <w:szCs w:val="24"/>
        </w:rPr>
        <w:t>ë</w:t>
      </w:r>
      <w:r w:rsidRPr="00DD196F">
        <w:rPr>
          <w:rFonts w:ascii="Times New Roman" w:eastAsia="Times New Roman" w:hAnsi="Times New Roman" w:cs="Times New Roman"/>
          <w:sz w:val="24"/>
          <w:szCs w:val="24"/>
          <w:lang w:val="it-IT"/>
        </w:rPr>
        <w:t>rfaq</w:t>
      </w:r>
      <w:r w:rsidRPr="00DD196F">
        <w:rPr>
          <w:rFonts w:ascii="Times New Roman" w:eastAsia="Times New Roman" w:hAnsi="Times New Roman" w:cs="Times New Roman"/>
          <w:sz w:val="24"/>
          <w:szCs w:val="24"/>
        </w:rPr>
        <w:t>ë</w:t>
      </w:r>
      <w:r w:rsidRPr="00DD196F">
        <w:rPr>
          <w:rFonts w:ascii="Times New Roman" w:eastAsia="Times New Roman" w:hAnsi="Times New Roman" w:cs="Times New Roman"/>
          <w:sz w:val="24"/>
          <w:szCs w:val="24"/>
          <w:lang w:val="it-IT"/>
        </w:rPr>
        <w:t>son zon</w:t>
      </w:r>
      <w:r w:rsidRPr="00DD196F">
        <w:rPr>
          <w:rFonts w:ascii="Times New Roman" w:eastAsia="Times New Roman" w:hAnsi="Times New Roman" w:cs="Times New Roman"/>
          <w:sz w:val="24"/>
          <w:szCs w:val="24"/>
        </w:rPr>
        <w:t>ë</w:t>
      </w:r>
      <w:r w:rsidRPr="00DD196F">
        <w:rPr>
          <w:rFonts w:ascii="Times New Roman" w:eastAsia="Times New Roman" w:hAnsi="Times New Roman" w:cs="Times New Roman"/>
          <w:sz w:val="24"/>
          <w:szCs w:val="24"/>
          <w:lang w:val="it-IT"/>
        </w:rPr>
        <w:t xml:space="preserve">n Lokali Reshatit, ndodhet kanali i madh që derdhet në det. </w:t>
      </w:r>
      <w:r w:rsidRPr="00DD196F">
        <w:rPr>
          <w:rFonts w:ascii="Times New Roman" w:eastAsia="Times New Roman" w:hAnsi="Times New Roman" w:cs="Times New Roman"/>
          <w:sz w:val="24"/>
          <w:szCs w:val="24"/>
        </w:rPr>
        <w:t>Në pikën 3 Kosmira nuk kishte kanale të dukshme në sipërfaqe por u vunë re grumbuj gurësh në formën e kanalit</w:t>
      </w:r>
      <w:r w:rsidRPr="00DD196F">
        <w:rPr>
          <w:rFonts w:ascii="Times New Roman" w:eastAsia="Times New Roman" w:hAnsi="Times New Roman" w:cs="Times New Roman"/>
          <w:sz w:val="24"/>
          <w:szCs w:val="24"/>
          <w:shd w:val="clear" w:color="auto" w:fill="FFFFFF"/>
        </w:rPr>
        <w:t xml:space="preserve">. </w:t>
      </w:r>
      <w:r w:rsidRPr="00DD196F">
        <w:rPr>
          <w:rFonts w:ascii="Times New Roman" w:eastAsia="Times New Roman" w:hAnsi="Times New Roman" w:cs="Times New Roman"/>
          <w:sz w:val="24"/>
          <w:szCs w:val="24"/>
        </w:rPr>
        <w:t xml:space="preserve">Kanali i madh i Qerretit i cili shkaktonte erë të rëndë në mjedis e cila ndjehej kur futesh në rrugën kryesore. </w:t>
      </w:r>
      <w:r w:rsidRPr="00DD196F">
        <w:rPr>
          <w:rFonts w:ascii="Times New Roman" w:eastAsia="Times New Roman" w:hAnsi="Times New Roman" w:cs="Times New Roman"/>
          <w:sz w:val="24"/>
          <w:szCs w:val="24"/>
          <w:lang w:val="sq-AL"/>
        </w:rPr>
        <w:t>Para hyrjes në zonën e triportit e cila nuk është pikë monitorimi, ndodhet kanali i madh që derdhet në det.</w:t>
      </w:r>
      <w:r w:rsidRPr="00DD196F">
        <w:rPr>
          <w:rFonts w:ascii="Times New Roman" w:eastAsia="Calibri" w:hAnsi="Times New Roman" w:cs="Times New Roman"/>
          <w:sz w:val="24"/>
          <w:szCs w:val="24"/>
          <w:lang w:val="sq-AL"/>
        </w:rPr>
        <w:t xml:space="preserve">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pik</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n q</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rfaq</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son plazhin Shkolla e Marin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s ndodhet kanali i 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rhersh</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m i cili </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sht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mbuluar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gjysm</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n e gjat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sis</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s</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tij por mbas k</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saj pjese ka duksh</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m dalje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uj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rave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sip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rfaqe dhe derdhje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kanalit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det, nuk ndihet er</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e r</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nd</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nga kanali.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k</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zon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ndodhen dy tubacione q</w:t>
      </w:r>
      <w:r w:rsidRPr="00DD196F">
        <w:rPr>
          <w:rFonts w:ascii="Times New Roman" w:eastAsia="Times New Roman" w:hAnsi="Times New Roman" w:cs="Times New Roman"/>
          <w:sz w:val="24"/>
          <w:szCs w:val="24"/>
          <w:lang w:val="it-IT"/>
        </w:rPr>
        <w:t xml:space="preserve">ë </w:t>
      </w:r>
      <w:r w:rsidRPr="00DD196F">
        <w:rPr>
          <w:rFonts w:ascii="Times New Roman" w:eastAsia="Calibri" w:hAnsi="Times New Roman" w:cs="Times New Roman"/>
          <w:sz w:val="24"/>
          <w:szCs w:val="24"/>
          <w:lang w:val="sq-AL"/>
        </w:rPr>
        <w:t>futen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det. Nj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tjet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 kanal i madh i hapur d</w:t>
      </w:r>
      <w:r w:rsidRPr="00DD196F">
        <w:rPr>
          <w:rFonts w:ascii="Times New Roman" w:eastAsia="Times New Roman" w:hAnsi="Times New Roman" w:cs="Times New Roman"/>
          <w:sz w:val="24"/>
          <w:szCs w:val="24"/>
          <w:lang w:val="it-IT"/>
        </w:rPr>
        <w:t>e</w:t>
      </w:r>
      <w:r w:rsidRPr="00DD196F">
        <w:rPr>
          <w:rFonts w:ascii="Times New Roman" w:eastAsia="Calibri" w:hAnsi="Times New Roman" w:cs="Times New Roman"/>
          <w:sz w:val="24"/>
          <w:szCs w:val="24"/>
          <w:lang w:val="sq-AL"/>
        </w:rPr>
        <w:t>rdh drejtp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rdrejt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det uj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rat e ndotura dhe 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rhap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w:t>
      </w:r>
      <w:r w:rsidRPr="00DD196F">
        <w:rPr>
          <w:rFonts w:ascii="Times New Roman" w:eastAsia="Calibri" w:hAnsi="Times New Roman" w:cs="Times New Roman"/>
          <w:sz w:val="24"/>
          <w:szCs w:val="24"/>
          <w:lang w:val="sq-AL"/>
        </w:rPr>
        <w:lastRenderedPageBreak/>
        <w:t>mjedisin perreth arom</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r</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nd</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zon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n pran</w:t>
      </w:r>
      <w:r w:rsidRPr="00DD196F">
        <w:rPr>
          <w:rFonts w:ascii="Times New Roman" w:eastAsia="Times New Roman" w:hAnsi="Times New Roman" w:cs="Times New Roman"/>
          <w:sz w:val="24"/>
          <w:szCs w:val="24"/>
          <w:lang w:val="it-IT"/>
        </w:rPr>
        <w:t xml:space="preserve">ë </w:t>
      </w:r>
      <w:r w:rsidRPr="00DD196F">
        <w:rPr>
          <w:rFonts w:ascii="Times New Roman" w:eastAsia="Calibri" w:hAnsi="Times New Roman" w:cs="Times New Roman"/>
          <w:sz w:val="24"/>
          <w:szCs w:val="24"/>
          <w:lang w:val="sq-AL"/>
        </w:rPr>
        <w:t>Burger-King. Vijon bregu majtas me nj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grumbull gur</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sh sikur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kishin mbuluar posht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tyre nj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kanal.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majt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saj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zon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n e plazhit 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ri duke u afruar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Sunset ndodhet nj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tjet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 kanal i hapur q</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derdh uj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ra drejtp</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rdrejt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det por nuk ndihet arom</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e r</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nd</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pik</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n e monitorimit Bojo, pran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saj ndodhet kanal i hapur q</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derdhet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det, </w:t>
      </w:r>
      <w:r w:rsidRPr="00DD196F">
        <w:rPr>
          <w:rFonts w:ascii="Times New Roman" w:eastAsia="Times New Roman" w:hAnsi="Times New Roman" w:cs="Times New Roman"/>
          <w:sz w:val="24"/>
          <w:szCs w:val="24"/>
          <w:lang w:val="it-IT"/>
        </w:rPr>
        <w:t xml:space="preserve">është </w:t>
      </w:r>
      <w:r w:rsidRPr="00DD196F">
        <w:rPr>
          <w:rFonts w:ascii="Times New Roman" w:eastAsia="Calibri" w:hAnsi="Times New Roman" w:cs="Times New Roman"/>
          <w:sz w:val="24"/>
          <w:szCs w:val="24"/>
          <w:lang w:val="sq-AL"/>
        </w:rPr>
        <w:t>nd</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rtuar nj</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pist</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q</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futet n</w:t>
      </w:r>
      <w:r w:rsidRPr="00DD196F">
        <w:rPr>
          <w:rFonts w:ascii="Times New Roman" w:eastAsia="Times New Roman" w:hAnsi="Times New Roman" w:cs="Times New Roman"/>
          <w:sz w:val="24"/>
          <w:szCs w:val="24"/>
          <w:lang w:val="it-IT"/>
        </w:rPr>
        <w:t>ë</w:t>
      </w:r>
      <w:r w:rsidRPr="00DD196F">
        <w:rPr>
          <w:rFonts w:ascii="Times New Roman" w:eastAsia="Calibri" w:hAnsi="Times New Roman" w:cs="Times New Roman"/>
          <w:sz w:val="24"/>
          <w:szCs w:val="24"/>
          <w:lang w:val="sq-AL"/>
        </w:rPr>
        <w:t xml:space="preserve"> det.</w:t>
      </w:r>
      <w:r w:rsidRPr="00DD196F">
        <w:rPr>
          <w:rFonts w:ascii="Times New Roman" w:eastAsia="Times New Roman" w:hAnsi="Times New Roman" w:cs="Times New Roman"/>
          <w:sz w:val="24"/>
          <w:szCs w:val="24"/>
          <w:lang w:val="hr-HR"/>
        </w:rPr>
        <w:t xml:space="preserve"> Pothuajse n</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 xml:space="preserve"> mes t</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 xml:space="preserve"> vij</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s bregdetare t</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 xml:space="preserve"> plazhit t</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 xml:space="preserve"> Orikumit derdhet nj</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 xml:space="preserve"> kanal i madh me uj</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ra sip</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rfaq</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hr-HR"/>
        </w:rPr>
        <w:t>sor</w:t>
      </w:r>
      <w:r w:rsidRPr="00DD196F">
        <w:rPr>
          <w:rFonts w:ascii="Times New Roman" w:eastAsia="Times New Roman" w:hAnsi="Times New Roman" w:cs="Times New Roman"/>
          <w:sz w:val="24"/>
          <w:szCs w:val="24"/>
          <w:lang w:val="fi-FI"/>
        </w:rPr>
        <w:t>ë.</w:t>
      </w:r>
      <w:r w:rsidRPr="00DD196F">
        <w:rPr>
          <w:rFonts w:ascii="Times New Roman" w:eastAsia="Times New Roman" w:hAnsi="Times New Roman" w:cs="Times New Roman"/>
          <w:sz w:val="24"/>
          <w:szCs w:val="24"/>
          <w:lang w:val="sq-AL"/>
        </w:rPr>
        <w:t xml:space="preserve"> Në plazhin e Borshit konstatohet derdhja në det e kanaleve më ujëra sipërfaqësore. Kanali kryesor në mes tani është mbushur me zhavor dhe nuk derdhet direkt në det. Nga pika e parë e monitorimit djathtas e deri në drejtim me rrugën kryesore (hyrja ) ndodhen 3 kanale të hapura që derdhen direkt në det. Në fund majtas u </w:t>
      </w:r>
      <w:r w:rsidRPr="00DD196F">
        <w:rPr>
          <w:rFonts w:ascii="Times New Roman" w:eastAsia="Times New Roman" w:hAnsi="Times New Roman" w:cs="Times New Roman"/>
          <w:sz w:val="24"/>
          <w:szCs w:val="24"/>
        </w:rPr>
        <w:t>konstatua n</w:t>
      </w:r>
      <w:r w:rsidRPr="00DD196F">
        <w:rPr>
          <w:rFonts w:ascii="Times New Roman" w:eastAsia="Times New Roman" w:hAnsi="Times New Roman" w:cs="Times New Roman"/>
          <w:sz w:val="24"/>
          <w:szCs w:val="24"/>
          <w:lang w:val="sq-AL"/>
        </w:rPr>
        <w:t>ë</w:t>
      </w:r>
      <w:r w:rsidRPr="00DD196F">
        <w:rPr>
          <w:rFonts w:ascii="Times New Roman" w:eastAsia="Times New Roman" w:hAnsi="Times New Roman" w:cs="Times New Roman"/>
          <w:sz w:val="24"/>
          <w:szCs w:val="24"/>
        </w:rPr>
        <w:t xml:space="preserve"> serit</w:t>
      </w:r>
      <w:r w:rsidRPr="00DD196F">
        <w:rPr>
          <w:rFonts w:ascii="Times New Roman" w:eastAsia="Times New Roman" w:hAnsi="Times New Roman" w:cs="Times New Roman"/>
          <w:sz w:val="24"/>
          <w:szCs w:val="24"/>
          <w:lang w:val="sq-AL"/>
        </w:rPr>
        <w:t>ë</w:t>
      </w:r>
      <w:r w:rsidRPr="00DD196F">
        <w:rPr>
          <w:rFonts w:ascii="Times New Roman" w:eastAsia="Times New Roman" w:hAnsi="Times New Roman" w:cs="Times New Roman"/>
          <w:sz w:val="24"/>
          <w:szCs w:val="24"/>
        </w:rPr>
        <w:t xml:space="preserve"> e para</w:t>
      </w:r>
      <w:r w:rsidRPr="00DD196F">
        <w:rPr>
          <w:rFonts w:ascii="Times New Roman" w:eastAsia="Times New Roman" w:hAnsi="Times New Roman" w:cs="Times New Roman"/>
          <w:sz w:val="24"/>
          <w:szCs w:val="24"/>
          <w:lang w:val="sq-AL"/>
        </w:rPr>
        <w:t xml:space="preserve"> një tub i madh që shkon në det, </w:t>
      </w:r>
      <w:r w:rsidRPr="00DD196F">
        <w:rPr>
          <w:rFonts w:ascii="Times New Roman" w:eastAsia="Times New Roman" w:hAnsi="Times New Roman" w:cs="Times New Roman"/>
          <w:sz w:val="24"/>
          <w:szCs w:val="24"/>
        </w:rPr>
        <w:t>kanali me ujëra sipërfaqësorë ngjitur majtas me restorant Jurgen, kanali deri në gjysmën e tij ishte i mbuluar pastaj derdhen ujërat në sipërfaqe deri në det, pa erë të rëndë në mjedis i cili u mbulua në seritë e mëvonshme.</w:t>
      </w:r>
      <w:r w:rsidRPr="00DD196F">
        <w:rPr>
          <w:rFonts w:ascii="Times New Roman" w:eastAsia="Times New Roman" w:hAnsi="Times New Roman" w:cs="Times New Roman"/>
          <w:sz w:val="24"/>
          <w:szCs w:val="24"/>
          <w:lang w:val="sq-AL"/>
        </w:rPr>
        <w:t xml:space="preserve"> Pika e kampionimit</w:t>
      </w:r>
      <w:r w:rsidRPr="00DD196F">
        <w:rPr>
          <w:rFonts w:ascii="Times New Roman" w:eastAsia="Times New Roman" w:hAnsi="Times New Roman" w:cs="Times New Roman"/>
          <w:bCs/>
          <w:sz w:val="24"/>
          <w:szCs w:val="24"/>
          <w:lang w:val="sq-AL"/>
        </w:rPr>
        <w:t xml:space="preserve"> </w:t>
      </w:r>
      <w:r w:rsidRPr="00DD196F">
        <w:rPr>
          <w:rFonts w:ascii="Times New Roman" w:eastAsia="Calibri" w:hAnsi="Times New Roman" w:cs="Times New Roman"/>
          <w:sz w:val="24"/>
          <w:szCs w:val="24"/>
          <w:lang w:val="sq-AL"/>
        </w:rPr>
        <w:t xml:space="preserve">6 Kanali i </w:t>
      </w:r>
      <w:r w:rsidRPr="00DD196F">
        <w:rPr>
          <w:rFonts w:ascii="Times New Roman" w:eastAsia="Times New Roman" w:hAnsi="Times New Roman" w:cs="Times New Roman"/>
          <w:sz w:val="24"/>
          <w:szCs w:val="24"/>
          <w:lang w:val="sq-AL"/>
        </w:rPr>
        <w:t xml:space="preserve">Çukës vazhdon të derdhet në det por nuk ka erë të rëndë. </w:t>
      </w:r>
      <w:r w:rsidRPr="00DD196F">
        <w:rPr>
          <w:rFonts w:ascii="Times New Roman" w:eastAsia="Times New Roman" w:hAnsi="Times New Roman" w:cs="Times New Roman"/>
          <w:sz w:val="24"/>
          <w:szCs w:val="24"/>
          <w:lang w:val="it-IT"/>
        </w:rPr>
        <w:t>Në Pogradec, gjatë vijës liqenore nga zona pranë pikës së monitorimit në Hotel 1 Maji (pika 5) dhe në Volorekë kanali i Buçimasit vazhdon derdhja e ujërave drejtpërdrejt në liqen. Në zonën pas pikës Hotel Depo ndodhet një kanal i hapur që derdhet direkt në liqen. Një tjetër kanali që del nga Driloni derdhet direkt ne liqen.</w:t>
      </w:r>
    </w:p>
    <w:p w:rsidR="00014E30" w:rsidRPr="00DD196F" w:rsidRDefault="00014E30" w:rsidP="00014E30">
      <w:pPr>
        <w:numPr>
          <w:ilvl w:val="0"/>
          <w:numId w:val="2"/>
        </w:numPr>
        <w:spacing w:after="0" w:line="276" w:lineRule="auto"/>
        <w:contextualSpacing/>
        <w:jc w:val="both"/>
        <w:rPr>
          <w:rFonts w:ascii="Times New Roman" w:eastAsia="Times New Roman" w:hAnsi="Times New Roman" w:cs="Times New Roman"/>
          <w:bCs/>
          <w:sz w:val="24"/>
          <w:szCs w:val="24"/>
          <w:u w:val="single"/>
          <w:lang w:val="sq-AL"/>
        </w:rPr>
      </w:pPr>
      <w:r w:rsidRPr="00DD196F">
        <w:rPr>
          <w:rFonts w:ascii="Times New Roman" w:eastAsia="Calibri" w:hAnsi="Times New Roman" w:cs="Times New Roman"/>
          <w:sz w:val="24"/>
          <w:szCs w:val="24"/>
          <w:u w:val="single"/>
          <w:lang w:val="sq-AL"/>
        </w:rPr>
        <w:t>Faktori kryesor i ndotjes së ujërave bregdetarë të larjes mbeten shkarkimet e ujërave urbane të pa trajtuara në ujërat pritëse bregdetare në mënyrë direkte dhe indirekte, të cilat shkaktojnë ndotje të këtyre ujërave.</w:t>
      </w:r>
      <w:r w:rsidRPr="00DD196F">
        <w:rPr>
          <w:rFonts w:ascii="Times New Roman" w:eastAsia="Calibri" w:hAnsi="Times New Roman" w:cs="Times New Roman"/>
          <w:sz w:val="24"/>
          <w:szCs w:val="24"/>
          <w:u w:val="single"/>
          <w:lang w:val="hr-HR"/>
        </w:rPr>
        <w:t xml:space="preserve"> </w:t>
      </w:r>
    </w:p>
    <w:p w:rsidR="00014E30" w:rsidRPr="00DD196F" w:rsidRDefault="00014E30" w:rsidP="00014E30">
      <w:pPr>
        <w:numPr>
          <w:ilvl w:val="0"/>
          <w:numId w:val="2"/>
        </w:numPr>
        <w:spacing w:before="240" w:after="0" w:line="276" w:lineRule="auto"/>
        <w:jc w:val="both"/>
        <w:rPr>
          <w:rFonts w:ascii="Times New Roman" w:eastAsia="Calibri" w:hAnsi="Times New Roman" w:cs="Times New Roman"/>
          <w:bCs/>
          <w:sz w:val="24"/>
          <w:szCs w:val="24"/>
          <w:u w:val="single"/>
          <w:lang w:val="sq-AL"/>
        </w:rPr>
      </w:pPr>
      <w:r w:rsidRPr="00DD196F">
        <w:rPr>
          <w:rFonts w:ascii="Times New Roman" w:eastAsia="Times New Roman" w:hAnsi="Times New Roman" w:cs="Times New Roman"/>
          <w:bCs/>
          <w:sz w:val="24"/>
          <w:szCs w:val="24"/>
          <w:u w:val="single"/>
          <w:lang w:val="sq-AL"/>
        </w:rPr>
        <w:t>Gjat</w:t>
      </w:r>
      <w:r w:rsidRPr="00DD196F">
        <w:rPr>
          <w:rFonts w:ascii="Times New Roman" w:eastAsia="Times New Roman" w:hAnsi="Times New Roman" w:cs="Times New Roman"/>
          <w:bCs/>
          <w:sz w:val="24"/>
          <w:szCs w:val="24"/>
          <w:u w:val="single"/>
          <w:lang w:val="it-IT"/>
        </w:rPr>
        <w:t>ë</w:t>
      </w:r>
      <w:r w:rsidRPr="00DD196F">
        <w:rPr>
          <w:rFonts w:ascii="Times New Roman" w:eastAsia="Times New Roman" w:hAnsi="Times New Roman" w:cs="Times New Roman"/>
          <w:bCs/>
          <w:sz w:val="24"/>
          <w:szCs w:val="24"/>
          <w:u w:val="single"/>
          <w:lang w:val="sq-AL"/>
        </w:rPr>
        <w:t xml:space="preserve"> sezonit veror t</w:t>
      </w:r>
      <w:r w:rsidRPr="00DD196F">
        <w:rPr>
          <w:rFonts w:ascii="Times New Roman" w:eastAsia="Times New Roman" w:hAnsi="Times New Roman" w:cs="Times New Roman"/>
          <w:bCs/>
          <w:sz w:val="24"/>
          <w:szCs w:val="24"/>
          <w:u w:val="single"/>
          <w:lang w:val="it-IT"/>
        </w:rPr>
        <w:t>ë</w:t>
      </w:r>
      <w:r w:rsidRPr="00DD196F">
        <w:rPr>
          <w:rFonts w:ascii="Times New Roman" w:eastAsia="Times New Roman" w:hAnsi="Times New Roman" w:cs="Times New Roman"/>
          <w:bCs/>
          <w:sz w:val="24"/>
          <w:szCs w:val="24"/>
          <w:u w:val="single"/>
          <w:lang w:val="sq-AL"/>
        </w:rPr>
        <w:t xml:space="preserve"> vitit 2025 rritja e fluksit t</w:t>
      </w:r>
      <w:r w:rsidRPr="00DD196F">
        <w:rPr>
          <w:rFonts w:ascii="Times New Roman" w:eastAsia="Calibri" w:hAnsi="Times New Roman" w:cs="Times New Roman"/>
          <w:sz w:val="24"/>
          <w:szCs w:val="24"/>
          <w:u w:val="single"/>
          <w:lang w:val="sq-AL"/>
        </w:rPr>
        <w:t>ë</w:t>
      </w:r>
      <w:r w:rsidRPr="00DD196F">
        <w:rPr>
          <w:rFonts w:ascii="Times New Roman" w:eastAsia="Times New Roman" w:hAnsi="Times New Roman" w:cs="Times New Roman"/>
          <w:bCs/>
          <w:sz w:val="24"/>
          <w:szCs w:val="24"/>
          <w:u w:val="single"/>
          <w:lang w:val="sq-AL"/>
        </w:rPr>
        <w:t xml:space="preserve"> </w:t>
      </w:r>
      <w:r w:rsidRPr="00DD196F">
        <w:rPr>
          <w:rFonts w:ascii="Times New Roman" w:eastAsia="Calibri" w:hAnsi="Times New Roman" w:cs="Times New Roman"/>
          <w:sz w:val="24"/>
          <w:szCs w:val="24"/>
          <w:u w:val="single"/>
          <w:lang w:val="sq-AL"/>
        </w:rPr>
        <w:t xml:space="preserve">pushuesve gjatë gjithë </w:t>
      </w:r>
      <w:r w:rsidRPr="00DD196F">
        <w:rPr>
          <w:rFonts w:ascii="Times New Roman" w:eastAsia="Times New Roman" w:hAnsi="Times New Roman" w:cs="Times New Roman"/>
          <w:bCs/>
          <w:sz w:val="24"/>
          <w:szCs w:val="24"/>
          <w:u w:val="single"/>
          <w:lang w:val="sq-AL"/>
        </w:rPr>
        <w:t>bregdetit t</w:t>
      </w:r>
      <w:r w:rsidRPr="00DD196F">
        <w:rPr>
          <w:rFonts w:ascii="Times New Roman" w:eastAsia="Times New Roman" w:hAnsi="Times New Roman" w:cs="Times New Roman"/>
          <w:bCs/>
          <w:sz w:val="24"/>
          <w:szCs w:val="24"/>
          <w:u w:val="single"/>
          <w:lang w:val="it-IT"/>
        </w:rPr>
        <w:t>ë</w:t>
      </w:r>
      <w:r w:rsidRPr="00DD196F">
        <w:rPr>
          <w:rFonts w:ascii="Times New Roman" w:eastAsia="Times New Roman" w:hAnsi="Times New Roman" w:cs="Times New Roman"/>
          <w:bCs/>
          <w:sz w:val="24"/>
          <w:szCs w:val="24"/>
          <w:u w:val="single"/>
          <w:lang w:val="sq-AL"/>
        </w:rPr>
        <w:t xml:space="preserve"> Shqip</w:t>
      </w:r>
      <w:r w:rsidRPr="00DD196F">
        <w:rPr>
          <w:rFonts w:ascii="Times New Roman" w:eastAsia="Times New Roman" w:hAnsi="Times New Roman" w:cs="Times New Roman"/>
          <w:bCs/>
          <w:sz w:val="24"/>
          <w:szCs w:val="24"/>
          <w:u w:val="single"/>
          <w:lang w:val="it-IT"/>
        </w:rPr>
        <w:t>ë</w:t>
      </w:r>
      <w:r w:rsidRPr="00DD196F">
        <w:rPr>
          <w:rFonts w:ascii="Times New Roman" w:eastAsia="Times New Roman" w:hAnsi="Times New Roman" w:cs="Times New Roman"/>
          <w:bCs/>
          <w:sz w:val="24"/>
          <w:szCs w:val="24"/>
          <w:u w:val="single"/>
          <w:lang w:val="sq-AL"/>
        </w:rPr>
        <w:t>ris</w:t>
      </w:r>
      <w:r w:rsidRPr="00DD196F">
        <w:rPr>
          <w:rFonts w:ascii="Times New Roman" w:eastAsia="Times New Roman" w:hAnsi="Times New Roman" w:cs="Times New Roman"/>
          <w:bCs/>
          <w:sz w:val="24"/>
          <w:szCs w:val="24"/>
          <w:u w:val="single"/>
          <w:lang w:val="it-IT"/>
        </w:rPr>
        <w:t>ë, u konstatua n</w:t>
      </w:r>
      <w:r w:rsidRPr="00DD196F">
        <w:rPr>
          <w:rFonts w:ascii="Times New Roman" w:eastAsia="Calibri" w:hAnsi="Times New Roman" w:cs="Times New Roman"/>
          <w:sz w:val="24"/>
          <w:szCs w:val="24"/>
          <w:u w:val="single"/>
          <w:lang w:val="sq-AL"/>
        </w:rPr>
        <w:t>ë</w:t>
      </w:r>
      <w:r w:rsidRPr="00DD196F">
        <w:rPr>
          <w:rFonts w:ascii="Times New Roman" w:eastAsia="Times New Roman" w:hAnsi="Times New Roman" w:cs="Times New Roman"/>
          <w:bCs/>
          <w:sz w:val="24"/>
          <w:szCs w:val="24"/>
          <w:u w:val="single"/>
          <w:lang w:val="it-IT"/>
        </w:rPr>
        <w:t xml:space="preserve"> muajt Korrik e Gusht. </w:t>
      </w:r>
    </w:p>
    <w:p w:rsidR="00D60B7B" w:rsidRDefault="00D60B7B" w:rsidP="00503CC0">
      <w:pPr>
        <w:spacing w:after="200" w:line="276" w:lineRule="auto"/>
        <w:jc w:val="both"/>
        <w:rPr>
          <w:rFonts w:ascii="Times New Roman" w:eastAsiaTheme="minorEastAsia" w:hAnsi="Times New Roman" w:cs="Times New Roman"/>
          <w:b/>
          <w:sz w:val="24"/>
          <w:szCs w:val="24"/>
        </w:rPr>
      </w:pPr>
    </w:p>
    <w:p w:rsidR="00503CC0" w:rsidRPr="00CD2C3A" w:rsidRDefault="00EC2D44" w:rsidP="00CD2C3A">
      <w:pPr>
        <w:pStyle w:val="ListParagraph"/>
        <w:numPr>
          <w:ilvl w:val="0"/>
          <w:numId w:val="175"/>
        </w:numPr>
        <w:spacing w:after="200" w:line="276" w:lineRule="auto"/>
        <w:jc w:val="both"/>
        <w:rPr>
          <w:rFonts w:ascii="Times New Roman" w:eastAsia="Calibri" w:hAnsi="Times New Roman" w:cs="Times New Roman"/>
          <w:b/>
          <w:sz w:val="24"/>
          <w:szCs w:val="24"/>
        </w:rPr>
      </w:pPr>
      <w:r w:rsidRPr="00CD2C3A">
        <w:rPr>
          <w:rFonts w:ascii="Times New Roman" w:eastAsiaTheme="minorEastAsia" w:hAnsi="Times New Roman" w:cs="Times New Roman"/>
          <w:b/>
          <w:sz w:val="24"/>
          <w:szCs w:val="24"/>
        </w:rPr>
        <w:t>Vlerësimi i cilësisë për parametrat fiziko-kimik të</w:t>
      </w:r>
      <w:r w:rsidR="00503CC0" w:rsidRPr="00CD2C3A">
        <w:rPr>
          <w:rFonts w:ascii="Times New Roman" w:eastAsiaTheme="minorEastAsia" w:hAnsi="Times New Roman" w:cs="Times New Roman"/>
          <w:b/>
          <w:sz w:val="24"/>
          <w:szCs w:val="24"/>
        </w:rPr>
        <w:t xml:space="preserve"> zonave bregdetare</w:t>
      </w:r>
      <w:r w:rsidR="00503CC0" w:rsidRPr="00CD2C3A">
        <w:rPr>
          <w:rFonts w:ascii="Times New Roman" w:eastAsia="Calibri" w:hAnsi="Times New Roman" w:cs="Times New Roman"/>
          <w:b/>
          <w:sz w:val="24"/>
          <w:szCs w:val="24"/>
        </w:rPr>
        <w:t xml:space="preserve"> </w:t>
      </w:r>
    </w:p>
    <w:p w:rsidR="00503CC0" w:rsidRPr="00503CC0" w:rsidRDefault="00503CC0" w:rsidP="00503CC0">
      <w:pPr>
        <w:spacing w:after="200" w:line="276" w:lineRule="auto"/>
        <w:contextualSpacing/>
        <w:jc w:val="both"/>
        <w:rPr>
          <w:rFonts w:ascii="Times New Roman" w:eastAsia="Calibri" w:hAnsi="Times New Roman" w:cs="Times New Roman"/>
          <w:sz w:val="24"/>
          <w:szCs w:val="24"/>
          <w:lang w:val="sq-AL"/>
        </w:rPr>
      </w:pPr>
      <w:r w:rsidRPr="00503CC0">
        <w:rPr>
          <w:rFonts w:ascii="Times New Roman" w:eastAsia="Calibri" w:hAnsi="Times New Roman" w:cs="Times New Roman"/>
          <w:sz w:val="24"/>
          <w:szCs w:val="24"/>
        </w:rPr>
        <w:t>Referuar rezulateve në stacionet e monitoruara në zonat bregdetare Dhërmi, Himarë, Borsh, Lukovë, Zvërnec dhe Ksamil vlerësojme një cilësi të mirë të ujërave bregdetare për të gjithë parametrat fiziko – kimikë.</w:t>
      </w:r>
    </w:p>
    <w:p w:rsidR="00420DC8" w:rsidRDefault="00420DC8" w:rsidP="00014E30">
      <w:pPr>
        <w:spacing w:after="200" w:line="288" w:lineRule="auto"/>
        <w:rPr>
          <w:rFonts w:ascii="Times New Roman" w:eastAsiaTheme="minorEastAsia" w:hAnsi="Times New Roman" w:cs="Times New Roman"/>
          <w:b/>
          <w:sz w:val="24"/>
          <w:szCs w:val="24"/>
        </w:rPr>
      </w:pPr>
    </w:p>
    <w:p w:rsidR="00503CC0" w:rsidRPr="00CD2C3A" w:rsidRDefault="00503CC0" w:rsidP="00CD2C3A">
      <w:pPr>
        <w:pStyle w:val="ListParagraph"/>
        <w:numPr>
          <w:ilvl w:val="0"/>
          <w:numId w:val="176"/>
        </w:numPr>
        <w:spacing w:after="200" w:line="288" w:lineRule="auto"/>
        <w:rPr>
          <w:rFonts w:ascii="Times New Roman" w:eastAsiaTheme="minorEastAsia" w:hAnsi="Times New Roman" w:cs="Times New Roman"/>
          <w:b/>
          <w:sz w:val="24"/>
          <w:szCs w:val="24"/>
        </w:rPr>
      </w:pPr>
      <w:r w:rsidRPr="00CD2C3A">
        <w:rPr>
          <w:rFonts w:ascii="Times New Roman" w:eastAsiaTheme="minorEastAsia" w:hAnsi="Times New Roman" w:cs="Times New Roman"/>
          <w:b/>
          <w:sz w:val="24"/>
          <w:szCs w:val="24"/>
        </w:rPr>
        <w:t>Ndikimi i  shkarkimeve në zonat bregdetare</w:t>
      </w:r>
    </w:p>
    <w:p w:rsidR="0092209E" w:rsidRDefault="0092209E" w:rsidP="0092209E">
      <w:pPr>
        <w:spacing w:after="12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Referuar përmbajtjes së  </w:t>
      </w:r>
      <w:r w:rsidRPr="0047684C">
        <w:rPr>
          <w:rFonts w:ascii="Times New Roman" w:eastAsia="Calibri" w:hAnsi="Times New Roman" w:cs="Times New Roman"/>
          <w:sz w:val="24"/>
          <w:szCs w:val="24"/>
          <w:lang w:val="sq-AL"/>
        </w:rPr>
        <w:t xml:space="preserve">Nevojës Biokimike për Oksigjen </w:t>
      </w:r>
      <w:r>
        <w:rPr>
          <w:rFonts w:ascii="Times New Roman" w:eastAsia="Calibri" w:hAnsi="Times New Roman" w:cs="Times New Roman"/>
          <w:sz w:val="24"/>
          <w:szCs w:val="24"/>
          <w:lang w:val="sq-AL"/>
        </w:rPr>
        <w:t xml:space="preserve"> kemi </w:t>
      </w:r>
      <w:r w:rsidRPr="0047684C">
        <w:rPr>
          <w:rFonts w:ascii="Times New Roman" w:eastAsia="Calibri" w:hAnsi="Times New Roman" w:cs="Times New Roman"/>
          <w:sz w:val="24"/>
          <w:szCs w:val="24"/>
          <w:lang w:val="sq-AL"/>
        </w:rPr>
        <w:t>tejkal</w:t>
      </w:r>
      <w:r>
        <w:rPr>
          <w:rFonts w:ascii="Times New Roman" w:eastAsia="Calibri" w:hAnsi="Times New Roman" w:cs="Times New Roman"/>
          <w:sz w:val="24"/>
          <w:szCs w:val="24"/>
          <w:lang w:val="sq-AL"/>
        </w:rPr>
        <w:t xml:space="preserve">im të </w:t>
      </w:r>
      <w:r w:rsidRPr="0047684C">
        <w:rPr>
          <w:rFonts w:ascii="Times New Roman" w:eastAsia="Calibri" w:hAnsi="Times New Roman" w:cs="Times New Roman"/>
          <w:sz w:val="24"/>
          <w:szCs w:val="24"/>
          <w:lang w:val="sq-AL"/>
        </w:rPr>
        <w:t xml:space="preserve"> normë</w:t>
      </w:r>
      <w:r>
        <w:rPr>
          <w:rFonts w:ascii="Times New Roman" w:eastAsia="Calibri" w:hAnsi="Times New Roman" w:cs="Times New Roman"/>
          <w:sz w:val="24"/>
          <w:szCs w:val="24"/>
          <w:lang w:val="sq-AL"/>
        </w:rPr>
        <w:t>s</w:t>
      </w:r>
      <w:r w:rsidRPr="0047684C">
        <w:rPr>
          <w:rFonts w:ascii="Times New Roman" w:eastAsia="Calibri" w:hAnsi="Times New Roman" w:cs="Times New Roman"/>
          <w:sz w:val="24"/>
          <w:szCs w:val="24"/>
          <w:lang w:val="sq-AL"/>
        </w:rPr>
        <w:t xml:space="preserve"> </w:t>
      </w:r>
      <w:r>
        <w:rPr>
          <w:rFonts w:ascii="Times New Roman" w:eastAsia="Calibri" w:hAnsi="Times New Roman" w:cs="Times New Roman"/>
          <w:sz w:val="24"/>
          <w:szCs w:val="24"/>
          <w:lang w:val="sq-AL"/>
        </w:rPr>
        <w:t>së</w:t>
      </w:r>
      <w:r w:rsidRPr="0047684C">
        <w:rPr>
          <w:rFonts w:ascii="Times New Roman" w:eastAsia="Calibri" w:hAnsi="Times New Roman" w:cs="Times New Roman"/>
          <w:sz w:val="24"/>
          <w:szCs w:val="24"/>
          <w:lang w:val="sq-AL"/>
        </w:rPr>
        <w:t xml:space="preserve"> lejuar në stacionet Dr</w:t>
      </w:r>
      <w:r w:rsidRPr="0047684C">
        <w:rPr>
          <w:rFonts w:ascii="Times New Roman" w:eastAsia="Calibri" w:hAnsi="Times New Roman" w:cs="Times New Roman"/>
          <w:sz w:val="24"/>
          <w:szCs w:val="24"/>
          <w:vertAlign w:val="subscript"/>
          <w:lang w:val="sq-AL"/>
        </w:rPr>
        <w:t>1</w:t>
      </w:r>
      <w:r w:rsidRPr="0047684C">
        <w:rPr>
          <w:rFonts w:ascii="Times New Roman" w:eastAsia="Calibri" w:hAnsi="Times New Roman" w:cs="Times New Roman"/>
          <w:sz w:val="24"/>
          <w:szCs w:val="24"/>
          <w:lang w:val="sq-AL"/>
        </w:rPr>
        <w:t xml:space="preserve"> – Porto Romano (Hidrovori) dhe V</w:t>
      </w:r>
      <w:r w:rsidRPr="0047684C">
        <w:rPr>
          <w:rFonts w:ascii="Times New Roman" w:eastAsia="Calibri" w:hAnsi="Times New Roman" w:cs="Times New Roman"/>
          <w:sz w:val="24"/>
          <w:szCs w:val="24"/>
          <w:vertAlign w:val="subscript"/>
          <w:lang w:val="sq-AL"/>
        </w:rPr>
        <w:t>1</w:t>
      </w:r>
      <w:r w:rsidRPr="0047684C">
        <w:rPr>
          <w:rFonts w:ascii="Times New Roman" w:eastAsia="Calibri" w:hAnsi="Times New Roman" w:cs="Times New Roman"/>
          <w:sz w:val="24"/>
          <w:szCs w:val="24"/>
          <w:lang w:val="sq-AL"/>
        </w:rPr>
        <w:t xml:space="preserve"> – Në det pas hidrovorit tek Pylli i Sodës.</w:t>
      </w:r>
    </w:p>
    <w:p w:rsidR="0092209E" w:rsidRDefault="0092209E" w:rsidP="0092209E">
      <w:pPr>
        <w:spacing w:after="12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Për parametrin lëndë pezull kemi tejkalim të normës në stacionet e Durrësit, Vlorës dhe Sarandës ndërsa në stacionet e Shëngjinit dhe Velipojës është brenda normës. Në lidhje me përmbajtjen e fosforit total vlerësohet se kemi tejkalim të normës vetëm në </w:t>
      </w:r>
      <w:r w:rsidRPr="0047684C">
        <w:rPr>
          <w:rFonts w:ascii="Times New Roman" w:eastAsia="Calibri" w:hAnsi="Times New Roman" w:cs="Times New Roman"/>
          <w:kern w:val="28"/>
          <w:sz w:val="24"/>
          <w:szCs w:val="24"/>
          <w:lang w:val="sq-AL"/>
        </w:rPr>
        <w:t>stacionin Dr</w:t>
      </w:r>
      <w:r w:rsidRPr="0047684C">
        <w:rPr>
          <w:rFonts w:ascii="Times New Roman" w:eastAsia="Calibri" w:hAnsi="Times New Roman" w:cs="Times New Roman"/>
          <w:kern w:val="28"/>
          <w:sz w:val="24"/>
          <w:szCs w:val="24"/>
          <w:vertAlign w:val="subscript"/>
          <w:lang w:val="sq-AL"/>
        </w:rPr>
        <w:t>1</w:t>
      </w:r>
      <w:r w:rsidRPr="0047684C">
        <w:rPr>
          <w:rFonts w:ascii="Times New Roman" w:eastAsia="Calibri" w:hAnsi="Times New Roman" w:cs="Times New Roman"/>
          <w:kern w:val="28"/>
          <w:sz w:val="24"/>
          <w:szCs w:val="24"/>
          <w:lang w:val="sq-AL"/>
        </w:rPr>
        <w:t xml:space="preserve"> – Hidrovori Durrës.</w:t>
      </w:r>
    </w:p>
    <w:p w:rsidR="00503CC0" w:rsidRDefault="0092209E" w:rsidP="00014E30">
      <w:pPr>
        <w:spacing w:after="200" w:line="288" w:lineRule="auto"/>
        <w:rPr>
          <w:rFonts w:ascii="Times New Roman" w:eastAsiaTheme="minorEastAsia" w:hAnsi="Times New Roman" w:cs="Times New Roman"/>
          <w:sz w:val="24"/>
          <w:szCs w:val="24"/>
        </w:rPr>
      </w:pPr>
      <w:r>
        <w:rPr>
          <w:rFonts w:ascii="Times New Roman" w:eastAsia="Calibri" w:hAnsi="Times New Roman" w:cs="Times New Roman"/>
          <w:sz w:val="24"/>
          <w:szCs w:val="24"/>
          <w:lang w:val="pt-BR"/>
        </w:rPr>
        <w:t>P</w:t>
      </w:r>
      <w:r w:rsidRPr="0047684C">
        <w:rPr>
          <w:rFonts w:ascii="Times New Roman" w:eastAsia="Calibri" w:hAnsi="Times New Roman" w:cs="Times New Roman"/>
          <w:sz w:val="24"/>
          <w:szCs w:val="24"/>
          <w:lang w:val="pt-BR"/>
        </w:rPr>
        <w:t xml:space="preserve">ërmbajtja e </w:t>
      </w:r>
      <w:r w:rsidRPr="0047684C">
        <w:rPr>
          <w:rFonts w:ascii="Times New Roman" w:eastAsia="Calibri" w:hAnsi="Times New Roman" w:cs="Times New Roman"/>
          <w:sz w:val="24"/>
          <w:szCs w:val="24"/>
        </w:rPr>
        <w:t>NKO  është nën vlerën e lejuar, për të gjitha stacionet e monitorimit</w:t>
      </w:r>
    </w:p>
    <w:p w:rsidR="0092209E" w:rsidRPr="0092209E" w:rsidRDefault="0092209E" w:rsidP="00014E30">
      <w:pPr>
        <w:spacing w:after="200" w:line="288" w:lineRule="auto"/>
        <w:rPr>
          <w:rFonts w:ascii="Times New Roman" w:eastAsiaTheme="minorEastAsia" w:hAnsi="Times New Roman" w:cs="Times New Roman"/>
          <w:sz w:val="24"/>
          <w:szCs w:val="24"/>
        </w:rPr>
      </w:pPr>
    </w:p>
    <w:p w:rsidR="002008B0" w:rsidRPr="00CD2C3A" w:rsidRDefault="002008B0" w:rsidP="00CD2C3A">
      <w:pPr>
        <w:pStyle w:val="ListParagraph"/>
        <w:numPr>
          <w:ilvl w:val="0"/>
          <w:numId w:val="1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b/>
          <w:sz w:val="24"/>
          <w:szCs w:val="24"/>
        </w:rPr>
      </w:pPr>
      <w:r w:rsidRPr="00CD2C3A">
        <w:rPr>
          <w:rFonts w:ascii="Times New Roman" w:eastAsia="Times New Roman" w:hAnsi="Times New Roman" w:cs="Times New Roman"/>
          <w:b/>
          <w:sz w:val="24"/>
          <w:szCs w:val="24"/>
        </w:rPr>
        <w:t xml:space="preserve">Vlerësimi për lagunat </w:t>
      </w:r>
    </w:p>
    <w:p w:rsidR="00420DC8" w:rsidRPr="00420DC8" w:rsidRDefault="002008B0" w:rsidP="00420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rPr>
      </w:pPr>
      <w:r w:rsidRPr="002008B0">
        <w:rPr>
          <w:rFonts w:ascii="Times New Roman" w:eastAsia="Times New Roman" w:hAnsi="Times New Roman" w:cs="Times New Roman"/>
          <w:sz w:val="24"/>
          <w:szCs w:val="24"/>
        </w:rPr>
        <w:t>Ujërat e lagunës së Karavastasë  vlerësohen me përmbajtje të lartë të kërkesës për oksigjen,</w:t>
      </w:r>
      <w:r w:rsidR="00420DC8">
        <w:rPr>
          <w:rFonts w:ascii="Times New Roman" w:eastAsia="Times New Roman" w:hAnsi="Times New Roman" w:cs="Times New Roman"/>
          <w:sz w:val="24"/>
          <w:szCs w:val="24"/>
        </w:rPr>
        <w:t xml:space="preserve"> </w:t>
      </w:r>
      <w:r w:rsidRPr="002008B0">
        <w:rPr>
          <w:rFonts w:ascii="Times New Roman" w:eastAsia="Times New Roman" w:hAnsi="Times New Roman" w:cs="Times New Roman"/>
          <w:sz w:val="24"/>
          <w:szCs w:val="24"/>
        </w:rPr>
        <w:t>nitrateve dhe fosforit total duke e vlerësuar këtë lagunë me cilësi eutrofike.</w:t>
      </w:r>
      <w:r w:rsidRPr="002008B0">
        <w:rPr>
          <w:rFonts w:ascii="Times New Roman" w:eastAsia="Calibri" w:hAnsi="Times New Roman" w:cs="Times New Roman"/>
          <w:b/>
          <w:i/>
          <w:sz w:val="24"/>
          <w:szCs w:val="24"/>
        </w:rPr>
        <w:t xml:space="preserve"> </w:t>
      </w:r>
      <w:r w:rsidRPr="002008B0">
        <w:rPr>
          <w:rFonts w:ascii="Times New Roman" w:eastAsia="Calibri" w:hAnsi="Times New Roman" w:cs="Times New Roman"/>
          <w:sz w:val="24"/>
          <w:szCs w:val="24"/>
        </w:rPr>
        <w:t>Ujërat e lagunës së Butrintit bazuar në parametrat e mësipërm vlerësohen me cilësi eutrofike.</w:t>
      </w:r>
      <w:r w:rsidR="00420DC8" w:rsidRPr="00420DC8">
        <w:rPr>
          <w:rFonts w:ascii="Times New Roman" w:eastAsia="Times New Roman" w:hAnsi="Times New Roman" w:cs="Times New Roman"/>
          <w:b/>
          <w:i/>
          <w:sz w:val="24"/>
          <w:szCs w:val="24"/>
        </w:rPr>
        <w:t xml:space="preserve"> </w:t>
      </w:r>
      <w:r w:rsidR="00420DC8" w:rsidRPr="00420DC8">
        <w:rPr>
          <w:rFonts w:ascii="Times New Roman" w:eastAsia="Times New Roman" w:hAnsi="Times New Roman" w:cs="Times New Roman"/>
          <w:sz w:val="24"/>
          <w:szCs w:val="24"/>
        </w:rPr>
        <w:t>Kemi përkeqësim të cilësisë të ujërave të lagunës së Butrintit duke kaluar nga cilësi mezotrofike në vitin 2024 në cilësi eutrofike gjatë vitit 2025</w:t>
      </w:r>
      <w:r w:rsidR="00420DC8">
        <w:rPr>
          <w:rFonts w:ascii="Times New Roman" w:eastAsia="Times New Roman" w:hAnsi="Times New Roman" w:cs="Times New Roman"/>
          <w:b/>
          <w:i/>
          <w:sz w:val="24"/>
          <w:szCs w:val="24"/>
        </w:rPr>
        <w:t xml:space="preserve">. </w:t>
      </w:r>
      <w:r w:rsidR="00420DC8" w:rsidRPr="00420DC8">
        <w:rPr>
          <w:rFonts w:ascii="Times New Roman" w:eastAsia="Times New Roman" w:hAnsi="Times New Roman" w:cs="Times New Roman"/>
          <w:sz w:val="24"/>
          <w:szCs w:val="24"/>
        </w:rPr>
        <w:t xml:space="preserve">Ujërat e Lagunës së Nartës vlerësohen me përmbajtje të lartë të nevojës kimike dhe biokimike për oksigjen duke e klasifikuar këtë lagunë me cilësi eutrofike. </w:t>
      </w:r>
    </w:p>
    <w:p w:rsidR="00014E30" w:rsidRPr="00DD196F" w:rsidRDefault="00014E30" w:rsidP="00014E30">
      <w:pPr>
        <w:spacing w:after="200" w:line="288" w:lineRule="auto"/>
        <w:rPr>
          <w:rFonts w:ascii="Times New Roman" w:eastAsiaTheme="minorEastAsia" w:hAnsi="Times New Roman" w:cs="Times New Roman"/>
          <w:sz w:val="24"/>
          <w:szCs w:val="24"/>
        </w:rPr>
      </w:pPr>
    </w:p>
    <w:p w:rsidR="00014E30" w:rsidRPr="00DD196F" w:rsidRDefault="00014E30" w:rsidP="00014E30">
      <w:pPr>
        <w:spacing w:after="120" w:line="276" w:lineRule="auto"/>
        <w:rPr>
          <w:rFonts w:ascii="Times New Roman" w:eastAsia="Times New Roman" w:hAnsi="Times New Roman" w:cs="Times New Roman"/>
          <w:b/>
          <w:sz w:val="24"/>
          <w:szCs w:val="24"/>
          <w:lang w:val="hr-HR"/>
        </w:rPr>
      </w:pPr>
      <w:r>
        <w:rPr>
          <w:rFonts w:ascii="Times New Roman" w:eastAsia="Times New Roman" w:hAnsi="Times New Roman" w:cs="Times New Roman"/>
          <w:b/>
          <w:sz w:val="24"/>
          <w:szCs w:val="24"/>
          <w:lang w:val="hr-HR"/>
        </w:rPr>
        <w:t xml:space="preserve">5.3 </w:t>
      </w:r>
      <w:r w:rsidRPr="00DD196F">
        <w:rPr>
          <w:rFonts w:ascii="Times New Roman" w:eastAsia="Times New Roman" w:hAnsi="Times New Roman" w:cs="Times New Roman"/>
          <w:b/>
          <w:sz w:val="24"/>
          <w:szCs w:val="24"/>
          <w:lang w:val="hr-HR"/>
        </w:rPr>
        <w:t>Rekomandime</w:t>
      </w:r>
    </w:p>
    <w:p w:rsidR="00014E30" w:rsidRPr="00DD196F" w:rsidRDefault="00014E30" w:rsidP="00014E30">
      <w:pPr>
        <w:numPr>
          <w:ilvl w:val="0"/>
          <w:numId w:val="4"/>
        </w:numPr>
        <w:spacing w:after="120" w:line="276" w:lineRule="auto"/>
        <w:contextualSpacing/>
        <w:jc w:val="both"/>
        <w:rPr>
          <w:rFonts w:ascii="Times New Roman" w:eastAsia="Calibri" w:hAnsi="Times New Roman" w:cs="Times New Roman"/>
          <w:sz w:val="24"/>
          <w:szCs w:val="24"/>
          <w:lang w:val="sq-AL"/>
        </w:rPr>
      </w:pPr>
      <w:r w:rsidRPr="00DD196F">
        <w:rPr>
          <w:rFonts w:ascii="Times New Roman" w:eastAsia="Calibri" w:hAnsi="Times New Roman" w:cs="Times New Roman"/>
          <w:sz w:val="24"/>
          <w:szCs w:val="24"/>
          <w:lang w:val="sq-AL"/>
        </w:rPr>
        <w:t xml:space="preserve">Të mos lejohen ndërtime në bregun ranor të cilat nuk sigurojnë shkarkimin e ujërave të </w:t>
      </w:r>
      <w:r w:rsidR="00AE20F0">
        <w:rPr>
          <w:rFonts w:ascii="Times New Roman" w:eastAsia="Calibri" w:hAnsi="Times New Roman" w:cs="Times New Roman"/>
          <w:sz w:val="24"/>
          <w:szCs w:val="24"/>
          <w:lang w:val="sq-AL"/>
        </w:rPr>
        <w:t>ndotura urbane</w:t>
      </w:r>
      <w:r w:rsidRPr="00DD196F">
        <w:rPr>
          <w:rFonts w:ascii="Times New Roman" w:eastAsia="Calibri" w:hAnsi="Times New Roman" w:cs="Times New Roman"/>
          <w:sz w:val="24"/>
          <w:szCs w:val="24"/>
          <w:lang w:val="sq-AL"/>
        </w:rPr>
        <w:t xml:space="preserve"> deri në kanalizimet kryesore të qyteteve. </w:t>
      </w:r>
    </w:p>
    <w:p w:rsidR="00014E30" w:rsidRPr="00DD196F" w:rsidRDefault="00014E30" w:rsidP="00014E30">
      <w:pPr>
        <w:numPr>
          <w:ilvl w:val="0"/>
          <w:numId w:val="4"/>
        </w:numPr>
        <w:spacing w:after="200" w:line="276" w:lineRule="auto"/>
        <w:contextualSpacing/>
        <w:jc w:val="both"/>
        <w:rPr>
          <w:rFonts w:ascii="Times New Roman" w:eastAsia="Times New Roman" w:hAnsi="Times New Roman" w:cs="Times New Roman"/>
          <w:sz w:val="24"/>
          <w:szCs w:val="24"/>
          <w:lang w:val="sq-AL"/>
        </w:rPr>
      </w:pPr>
      <w:r w:rsidRPr="00DD196F">
        <w:rPr>
          <w:rFonts w:ascii="Times New Roman" w:eastAsia="Calibri" w:hAnsi="Times New Roman" w:cs="Times New Roman"/>
          <w:sz w:val="24"/>
          <w:szCs w:val="24"/>
          <w:lang w:val="sq-AL"/>
        </w:rPr>
        <w:t>Të vihen n</w:t>
      </w:r>
      <w:r w:rsidRPr="00DD196F">
        <w:rPr>
          <w:rFonts w:ascii="Times New Roman" w:eastAsia="Calibri" w:hAnsi="Times New Roman" w:cs="Times New Roman"/>
          <w:sz w:val="24"/>
          <w:szCs w:val="24"/>
          <w:lang w:val="hr-HR"/>
        </w:rPr>
        <w:t xml:space="preserve">ë </w:t>
      </w:r>
      <w:r w:rsidRPr="00DD196F">
        <w:rPr>
          <w:rFonts w:ascii="Times New Roman" w:eastAsia="Calibri" w:hAnsi="Times New Roman" w:cs="Times New Roman"/>
          <w:sz w:val="24"/>
          <w:szCs w:val="24"/>
          <w:lang w:val="sq-AL"/>
        </w:rPr>
        <w:t>funksionim</w:t>
      </w:r>
      <w:r w:rsidRPr="00DD196F">
        <w:rPr>
          <w:rFonts w:ascii="Times New Roman" w:eastAsia="Calibri" w:hAnsi="Times New Roman" w:cs="Times New Roman"/>
          <w:sz w:val="24"/>
          <w:szCs w:val="24"/>
          <w:lang w:val="hr-HR"/>
        </w:rPr>
        <w:t xml:space="preserve"> </w:t>
      </w:r>
      <w:r w:rsidRPr="00DD196F">
        <w:rPr>
          <w:rFonts w:ascii="Times New Roman" w:eastAsia="Calibri" w:hAnsi="Times New Roman" w:cs="Times New Roman"/>
          <w:sz w:val="24"/>
          <w:szCs w:val="24"/>
          <w:lang w:val="sq-AL"/>
        </w:rPr>
        <w:t>me</w:t>
      </w:r>
      <w:r w:rsidRPr="00DD196F">
        <w:rPr>
          <w:rFonts w:ascii="Times New Roman" w:eastAsia="Calibri" w:hAnsi="Times New Roman" w:cs="Times New Roman"/>
          <w:sz w:val="24"/>
          <w:szCs w:val="24"/>
          <w:lang w:val="hr-HR"/>
        </w:rPr>
        <w:t xml:space="preserve"> </w:t>
      </w:r>
      <w:r w:rsidRPr="00DD196F">
        <w:rPr>
          <w:rFonts w:ascii="Times New Roman" w:eastAsia="Calibri" w:hAnsi="Times New Roman" w:cs="Times New Roman"/>
          <w:sz w:val="24"/>
          <w:szCs w:val="24"/>
          <w:lang w:val="sq-AL"/>
        </w:rPr>
        <w:t>efiçienc</w:t>
      </w:r>
      <w:r w:rsidRPr="00DD196F">
        <w:rPr>
          <w:rFonts w:ascii="Times New Roman" w:eastAsia="Calibri" w:hAnsi="Times New Roman" w:cs="Times New Roman"/>
          <w:sz w:val="24"/>
          <w:szCs w:val="24"/>
          <w:lang w:val="hr-HR"/>
        </w:rPr>
        <w:t xml:space="preserve">ë </w:t>
      </w:r>
      <w:r w:rsidRPr="00DD196F">
        <w:rPr>
          <w:rFonts w:ascii="Times New Roman" w:eastAsia="Calibri" w:hAnsi="Times New Roman" w:cs="Times New Roman"/>
          <w:sz w:val="24"/>
          <w:szCs w:val="24"/>
          <w:lang w:val="sq-AL"/>
        </w:rPr>
        <w:t>t</w:t>
      </w:r>
      <w:r w:rsidRPr="00DD196F">
        <w:rPr>
          <w:rFonts w:ascii="Times New Roman" w:eastAsia="Calibri" w:hAnsi="Times New Roman" w:cs="Times New Roman"/>
          <w:sz w:val="24"/>
          <w:szCs w:val="24"/>
          <w:lang w:val="hr-HR"/>
        </w:rPr>
        <w:t xml:space="preserve">ë </w:t>
      </w:r>
      <w:r w:rsidRPr="00DD196F">
        <w:rPr>
          <w:rFonts w:ascii="Times New Roman" w:eastAsia="Calibri" w:hAnsi="Times New Roman" w:cs="Times New Roman"/>
          <w:sz w:val="24"/>
          <w:szCs w:val="24"/>
          <w:lang w:val="sq-AL"/>
        </w:rPr>
        <w:t>plot</w:t>
      </w:r>
      <w:r w:rsidRPr="00DD196F">
        <w:rPr>
          <w:rFonts w:ascii="Times New Roman" w:eastAsia="Calibri" w:hAnsi="Times New Roman" w:cs="Times New Roman"/>
          <w:sz w:val="24"/>
          <w:szCs w:val="24"/>
          <w:lang w:val="hr-HR"/>
        </w:rPr>
        <w:t xml:space="preserve">ë </w:t>
      </w:r>
      <w:r w:rsidRPr="00DD196F">
        <w:rPr>
          <w:rFonts w:ascii="Times New Roman" w:eastAsia="Calibri" w:hAnsi="Times New Roman" w:cs="Times New Roman"/>
          <w:sz w:val="24"/>
          <w:szCs w:val="24"/>
          <w:lang w:val="sq-AL"/>
        </w:rPr>
        <w:t>Impiantet</w:t>
      </w:r>
      <w:r w:rsidRPr="00DD196F">
        <w:rPr>
          <w:rFonts w:ascii="Times New Roman" w:eastAsia="Calibri" w:hAnsi="Times New Roman" w:cs="Times New Roman"/>
          <w:sz w:val="24"/>
          <w:szCs w:val="24"/>
          <w:lang w:val="hr-HR"/>
        </w:rPr>
        <w:t xml:space="preserve"> </w:t>
      </w:r>
      <w:r w:rsidRPr="00DD196F">
        <w:rPr>
          <w:rFonts w:ascii="Times New Roman" w:eastAsia="Calibri" w:hAnsi="Times New Roman" w:cs="Times New Roman"/>
          <w:sz w:val="24"/>
          <w:szCs w:val="24"/>
          <w:lang w:val="sq-AL"/>
        </w:rPr>
        <w:t>e</w:t>
      </w:r>
      <w:r w:rsidRPr="00DD196F">
        <w:rPr>
          <w:rFonts w:ascii="Times New Roman" w:eastAsia="Calibri" w:hAnsi="Times New Roman" w:cs="Times New Roman"/>
          <w:sz w:val="24"/>
          <w:szCs w:val="24"/>
          <w:lang w:val="hr-HR"/>
        </w:rPr>
        <w:t xml:space="preserve"> </w:t>
      </w:r>
      <w:r w:rsidRPr="00DD196F">
        <w:rPr>
          <w:rFonts w:ascii="Times New Roman" w:eastAsia="Calibri" w:hAnsi="Times New Roman" w:cs="Times New Roman"/>
          <w:sz w:val="24"/>
          <w:szCs w:val="24"/>
          <w:lang w:val="sq-AL"/>
        </w:rPr>
        <w:t>Trajtimit</w:t>
      </w:r>
      <w:r w:rsidRPr="00DD196F">
        <w:rPr>
          <w:rFonts w:ascii="Times New Roman" w:eastAsia="Calibri" w:hAnsi="Times New Roman" w:cs="Times New Roman"/>
          <w:sz w:val="24"/>
          <w:szCs w:val="24"/>
          <w:lang w:val="hr-HR"/>
        </w:rPr>
        <w:t xml:space="preserve"> </w:t>
      </w:r>
      <w:r w:rsidRPr="00DD196F">
        <w:rPr>
          <w:rFonts w:ascii="Times New Roman" w:eastAsia="Calibri" w:hAnsi="Times New Roman" w:cs="Times New Roman"/>
          <w:sz w:val="24"/>
          <w:szCs w:val="24"/>
          <w:lang w:val="sq-AL"/>
        </w:rPr>
        <w:t>t</w:t>
      </w:r>
      <w:r w:rsidRPr="00DD196F">
        <w:rPr>
          <w:rFonts w:ascii="Times New Roman" w:eastAsia="Calibri" w:hAnsi="Times New Roman" w:cs="Times New Roman"/>
          <w:sz w:val="24"/>
          <w:szCs w:val="24"/>
          <w:lang w:val="hr-HR"/>
        </w:rPr>
        <w:t xml:space="preserve">ë </w:t>
      </w:r>
      <w:r w:rsidRPr="00DD196F">
        <w:rPr>
          <w:rFonts w:ascii="Times New Roman" w:eastAsia="Calibri" w:hAnsi="Times New Roman" w:cs="Times New Roman"/>
          <w:sz w:val="24"/>
          <w:szCs w:val="24"/>
          <w:lang w:val="sq-AL"/>
        </w:rPr>
        <w:t>Ujrave</w:t>
      </w:r>
      <w:r w:rsidRPr="00DD196F">
        <w:rPr>
          <w:rFonts w:ascii="Times New Roman" w:eastAsia="Calibri" w:hAnsi="Times New Roman" w:cs="Times New Roman"/>
          <w:sz w:val="24"/>
          <w:szCs w:val="24"/>
          <w:lang w:val="hr-HR"/>
        </w:rPr>
        <w:t xml:space="preserve"> Urbane.</w:t>
      </w:r>
      <w:r w:rsidRPr="00DD196F">
        <w:rPr>
          <w:rFonts w:ascii="Times New Roman" w:eastAsia="Calibri" w:hAnsi="Times New Roman" w:cs="Times New Roman"/>
          <w:sz w:val="24"/>
          <w:szCs w:val="24"/>
          <w:lang w:val="sq-AL"/>
        </w:rPr>
        <w:t xml:space="preserve"> T</w:t>
      </w:r>
      <w:r w:rsidRPr="00DD196F">
        <w:rPr>
          <w:rFonts w:ascii="Times New Roman" w:eastAsia="Times New Roman" w:hAnsi="Times New Roman" w:cs="Times New Roman"/>
          <w:sz w:val="24"/>
          <w:szCs w:val="24"/>
          <w:lang w:val="sq-AL"/>
        </w:rPr>
        <w:t>ë</w:t>
      </w:r>
      <w:r w:rsidRPr="00DD196F">
        <w:rPr>
          <w:rFonts w:ascii="Times New Roman" w:eastAsia="Calibri" w:hAnsi="Times New Roman" w:cs="Times New Roman"/>
          <w:sz w:val="24"/>
          <w:szCs w:val="24"/>
          <w:lang w:val="sq-AL"/>
        </w:rPr>
        <w:t xml:space="preserve"> </w:t>
      </w:r>
      <w:r w:rsidRPr="00DD196F">
        <w:rPr>
          <w:rFonts w:ascii="Times New Roman" w:eastAsia="Calibri" w:hAnsi="Times New Roman" w:cs="Times New Roman"/>
          <w:sz w:val="24"/>
          <w:szCs w:val="24"/>
          <w:lang w:val="hr-HR"/>
        </w:rPr>
        <w:t>merret n</w:t>
      </w:r>
      <w:r w:rsidRPr="00DD196F">
        <w:rPr>
          <w:rFonts w:ascii="Times New Roman" w:eastAsia="Times New Roman" w:hAnsi="Times New Roman" w:cs="Times New Roman"/>
          <w:sz w:val="24"/>
          <w:szCs w:val="24"/>
          <w:lang w:val="sq-AL"/>
        </w:rPr>
        <w:t>ë</w:t>
      </w:r>
      <w:r w:rsidRPr="00DD196F">
        <w:rPr>
          <w:rFonts w:ascii="Times New Roman" w:eastAsia="Calibri" w:hAnsi="Times New Roman" w:cs="Times New Roman"/>
          <w:sz w:val="24"/>
          <w:szCs w:val="24"/>
          <w:lang w:val="hr-HR"/>
        </w:rPr>
        <w:t xml:space="preserve"> konsiderat</w:t>
      </w:r>
      <w:r w:rsidRPr="00DD196F">
        <w:rPr>
          <w:rFonts w:ascii="Times New Roman" w:eastAsia="Times New Roman" w:hAnsi="Times New Roman" w:cs="Times New Roman"/>
          <w:sz w:val="24"/>
          <w:szCs w:val="24"/>
          <w:lang w:val="sq-AL"/>
        </w:rPr>
        <w:t>ë</w:t>
      </w:r>
      <w:r w:rsidRPr="00DD196F">
        <w:rPr>
          <w:rFonts w:ascii="Times New Roman" w:eastAsia="Calibri" w:hAnsi="Times New Roman" w:cs="Times New Roman"/>
          <w:sz w:val="24"/>
          <w:szCs w:val="24"/>
          <w:lang w:val="hr-HR"/>
        </w:rPr>
        <w:t xml:space="preserve"> shtimi  i </w:t>
      </w:r>
      <w:r w:rsidRPr="00DD196F">
        <w:rPr>
          <w:rFonts w:ascii="Times New Roman" w:eastAsia="Calibri" w:hAnsi="Times New Roman" w:cs="Times New Roman"/>
          <w:sz w:val="24"/>
          <w:szCs w:val="24"/>
          <w:lang w:val="sq-AL"/>
        </w:rPr>
        <w:t>impianteve</w:t>
      </w:r>
      <w:r w:rsidRPr="00DD196F">
        <w:rPr>
          <w:rFonts w:ascii="Times New Roman" w:eastAsia="Calibri" w:hAnsi="Times New Roman" w:cs="Times New Roman"/>
          <w:sz w:val="24"/>
          <w:szCs w:val="24"/>
          <w:lang w:val="hr-HR"/>
        </w:rPr>
        <w:t xml:space="preserve"> </w:t>
      </w:r>
      <w:r w:rsidRPr="00DD196F">
        <w:rPr>
          <w:rFonts w:ascii="Times New Roman" w:eastAsia="Calibri" w:hAnsi="Times New Roman" w:cs="Times New Roman"/>
          <w:sz w:val="24"/>
          <w:szCs w:val="24"/>
          <w:lang w:val="sq-AL"/>
        </w:rPr>
        <w:t>t</w:t>
      </w:r>
      <w:r w:rsidRPr="00DD196F">
        <w:rPr>
          <w:rFonts w:ascii="Times New Roman" w:eastAsia="Calibri" w:hAnsi="Times New Roman" w:cs="Times New Roman"/>
          <w:sz w:val="24"/>
          <w:szCs w:val="24"/>
          <w:lang w:val="hr-HR"/>
        </w:rPr>
        <w:t xml:space="preserve">ë reja.  </w:t>
      </w:r>
    </w:p>
    <w:p w:rsidR="00014E30" w:rsidRPr="00DD196F" w:rsidRDefault="00014E30" w:rsidP="00014E30">
      <w:pPr>
        <w:numPr>
          <w:ilvl w:val="0"/>
          <w:numId w:val="4"/>
        </w:numPr>
        <w:spacing w:after="120" w:line="276" w:lineRule="auto"/>
        <w:contextualSpacing/>
        <w:jc w:val="both"/>
        <w:rPr>
          <w:rFonts w:ascii="Times New Roman" w:eastAsia="Calibri" w:hAnsi="Times New Roman" w:cs="Times New Roman"/>
          <w:sz w:val="24"/>
          <w:szCs w:val="24"/>
          <w:lang w:val="sq-AL"/>
        </w:rPr>
      </w:pPr>
      <w:r w:rsidRPr="00DD196F">
        <w:rPr>
          <w:rFonts w:ascii="Times New Roman" w:eastAsia="Calibri" w:hAnsi="Times New Roman" w:cs="Times New Roman"/>
          <w:sz w:val="24"/>
          <w:szCs w:val="24"/>
          <w:lang w:val="hr-HR"/>
        </w:rPr>
        <w:t>Të merren masa nga Pushteti Lokal për vendosjen e tualeteve në plazhe. (n</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lang w:val="hr-HR"/>
        </w:rPr>
        <w:t xml:space="preserve"> plazhet ku mungojn</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lang w:val="hr-HR"/>
        </w:rPr>
        <w:t>)</w:t>
      </w:r>
    </w:p>
    <w:p w:rsidR="00014E30" w:rsidRPr="00DD196F" w:rsidRDefault="00014E30" w:rsidP="00014E30">
      <w:pPr>
        <w:numPr>
          <w:ilvl w:val="0"/>
          <w:numId w:val="4"/>
        </w:numPr>
        <w:spacing w:after="120" w:line="276" w:lineRule="auto"/>
        <w:contextualSpacing/>
        <w:jc w:val="both"/>
        <w:rPr>
          <w:rFonts w:ascii="Times New Roman" w:eastAsia="Calibri" w:hAnsi="Times New Roman" w:cs="Times New Roman"/>
          <w:sz w:val="24"/>
          <w:szCs w:val="24"/>
          <w:lang w:val="sq-AL"/>
        </w:rPr>
      </w:pPr>
      <w:r w:rsidRPr="00DD196F">
        <w:rPr>
          <w:rFonts w:ascii="Times New Roman" w:eastAsia="Calibri" w:hAnsi="Times New Roman" w:cs="Times New Roman"/>
          <w:sz w:val="24"/>
          <w:szCs w:val="24"/>
          <w:lang w:val="hr-HR"/>
        </w:rPr>
        <w:t xml:space="preserve">Të vendosen tabela informuese në kohë reale në </w:t>
      </w:r>
      <w:r w:rsidRPr="00DD196F">
        <w:rPr>
          <w:rFonts w:ascii="Times New Roman" w:eastAsia="Calibri" w:hAnsi="Times New Roman" w:cs="Times New Roman"/>
          <w:sz w:val="24"/>
          <w:szCs w:val="24"/>
          <w:lang w:val="sq-AL"/>
        </w:rPr>
        <w:t>ç</w:t>
      </w:r>
      <w:r w:rsidRPr="00DD196F">
        <w:rPr>
          <w:rFonts w:ascii="Times New Roman" w:eastAsia="Calibri" w:hAnsi="Times New Roman" w:cs="Times New Roman"/>
          <w:sz w:val="24"/>
          <w:szCs w:val="24"/>
          <w:lang w:val="hr-HR"/>
        </w:rPr>
        <w:t xml:space="preserve">do pikë monitorimi nëpërmjet të cilave të informohet </w:t>
      </w:r>
      <w:r w:rsidRPr="00DD196F">
        <w:rPr>
          <w:rFonts w:ascii="Times New Roman" w:eastAsia="Calibri" w:hAnsi="Times New Roman" w:cs="Times New Roman"/>
          <w:sz w:val="24"/>
          <w:szCs w:val="24"/>
          <w:lang w:val="it-IT"/>
        </w:rPr>
        <w:t>publiku</w:t>
      </w:r>
      <w:r w:rsidRPr="00DD196F">
        <w:rPr>
          <w:rFonts w:ascii="Times New Roman" w:eastAsia="Calibri" w:hAnsi="Times New Roman" w:cs="Times New Roman"/>
          <w:sz w:val="24"/>
          <w:szCs w:val="24"/>
          <w:lang w:val="hr-HR"/>
        </w:rPr>
        <w:t xml:space="preserve"> </w:t>
      </w:r>
      <w:r w:rsidRPr="00DD196F">
        <w:rPr>
          <w:rFonts w:ascii="Times New Roman" w:eastAsia="Calibri" w:hAnsi="Times New Roman" w:cs="Times New Roman"/>
          <w:sz w:val="24"/>
          <w:szCs w:val="24"/>
          <w:lang w:val="it-IT"/>
        </w:rPr>
        <w:t>mbi</w:t>
      </w:r>
      <w:r w:rsidRPr="00DD196F">
        <w:rPr>
          <w:rFonts w:ascii="Times New Roman" w:eastAsia="Calibri" w:hAnsi="Times New Roman" w:cs="Times New Roman"/>
          <w:sz w:val="24"/>
          <w:szCs w:val="24"/>
          <w:lang w:val="hr-HR"/>
        </w:rPr>
        <w:t xml:space="preserve"> </w:t>
      </w:r>
      <w:r w:rsidRPr="00DD196F">
        <w:rPr>
          <w:rFonts w:ascii="Times New Roman" w:eastAsia="Calibri" w:hAnsi="Times New Roman" w:cs="Times New Roman"/>
          <w:sz w:val="24"/>
          <w:szCs w:val="24"/>
          <w:lang w:val="it-IT"/>
        </w:rPr>
        <w:t>cil</w:t>
      </w:r>
      <w:r w:rsidRPr="00DD196F">
        <w:rPr>
          <w:rFonts w:ascii="Times New Roman" w:eastAsia="Calibri" w:hAnsi="Times New Roman" w:cs="Times New Roman"/>
          <w:sz w:val="24"/>
          <w:szCs w:val="24"/>
          <w:lang w:val="hr-HR"/>
        </w:rPr>
        <w:t>ë</w:t>
      </w:r>
      <w:r w:rsidRPr="00DD196F">
        <w:rPr>
          <w:rFonts w:ascii="Times New Roman" w:eastAsia="Calibri" w:hAnsi="Times New Roman" w:cs="Times New Roman"/>
          <w:sz w:val="24"/>
          <w:szCs w:val="24"/>
          <w:lang w:val="it-IT"/>
        </w:rPr>
        <w:t>sin</w:t>
      </w:r>
      <w:r w:rsidRPr="00DD196F">
        <w:rPr>
          <w:rFonts w:ascii="Times New Roman" w:eastAsia="Calibri" w:hAnsi="Times New Roman" w:cs="Times New Roman"/>
          <w:sz w:val="24"/>
          <w:szCs w:val="24"/>
          <w:lang w:val="hr-HR"/>
        </w:rPr>
        <w:t xml:space="preserve">ë </w:t>
      </w:r>
      <w:r w:rsidRPr="00DD196F">
        <w:rPr>
          <w:rFonts w:ascii="Times New Roman" w:eastAsia="Calibri" w:hAnsi="Times New Roman" w:cs="Times New Roman"/>
          <w:sz w:val="24"/>
          <w:szCs w:val="24"/>
          <w:lang w:val="it-IT"/>
        </w:rPr>
        <w:t>e</w:t>
      </w:r>
      <w:r w:rsidRPr="00DD196F">
        <w:rPr>
          <w:rFonts w:ascii="Times New Roman" w:eastAsia="Calibri" w:hAnsi="Times New Roman" w:cs="Times New Roman"/>
          <w:sz w:val="24"/>
          <w:szCs w:val="24"/>
          <w:lang w:val="hr-HR"/>
        </w:rPr>
        <w:t xml:space="preserve"> </w:t>
      </w:r>
      <w:r w:rsidRPr="00DD196F">
        <w:rPr>
          <w:rFonts w:ascii="Times New Roman" w:eastAsia="Calibri" w:hAnsi="Times New Roman" w:cs="Times New Roman"/>
          <w:sz w:val="24"/>
          <w:szCs w:val="24"/>
          <w:lang w:val="it-IT"/>
        </w:rPr>
        <w:t>uj</w:t>
      </w:r>
      <w:r w:rsidRPr="00DD196F">
        <w:rPr>
          <w:rFonts w:ascii="Times New Roman" w:eastAsia="Calibri" w:hAnsi="Times New Roman" w:cs="Times New Roman"/>
          <w:sz w:val="24"/>
          <w:szCs w:val="24"/>
          <w:lang w:val="hr-HR"/>
        </w:rPr>
        <w:t>ë</w:t>
      </w:r>
      <w:r w:rsidRPr="00DD196F">
        <w:rPr>
          <w:rFonts w:ascii="Times New Roman" w:eastAsia="Calibri" w:hAnsi="Times New Roman" w:cs="Times New Roman"/>
          <w:sz w:val="24"/>
          <w:szCs w:val="24"/>
          <w:lang w:val="it-IT"/>
        </w:rPr>
        <w:t>rave</w:t>
      </w:r>
      <w:r w:rsidRPr="00DD196F">
        <w:rPr>
          <w:rFonts w:ascii="Times New Roman" w:eastAsia="Calibri" w:hAnsi="Times New Roman" w:cs="Times New Roman"/>
          <w:sz w:val="24"/>
          <w:szCs w:val="24"/>
          <w:lang w:val="hr-HR"/>
        </w:rPr>
        <w:t xml:space="preserve"> </w:t>
      </w:r>
      <w:r w:rsidRPr="00DD196F">
        <w:rPr>
          <w:rFonts w:ascii="Times New Roman" w:eastAsia="Calibri" w:hAnsi="Times New Roman" w:cs="Times New Roman"/>
          <w:sz w:val="24"/>
          <w:szCs w:val="24"/>
          <w:lang w:val="it-IT"/>
        </w:rPr>
        <w:t>bregdetar</w:t>
      </w:r>
      <w:r w:rsidRPr="00DD196F">
        <w:rPr>
          <w:rFonts w:ascii="Times New Roman" w:eastAsia="Calibri" w:hAnsi="Times New Roman" w:cs="Times New Roman"/>
          <w:sz w:val="24"/>
          <w:szCs w:val="24"/>
          <w:lang w:val="hr-HR"/>
        </w:rPr>
        <w:t xml:space="preserve">ë </w:t>
      </w:r>
      <w:r w:rsidRPr="00DD196F">
        <w:rPr>
          <w:rFonts w:ascii="Times New Roman" w:eastAsia="Calibri" w:hAnsi="Times New Roman" w:cs="Times New Roman"/>
          <w:sz w:val="24"/>
          <w:szCs w:val="24"/>
          <w:lang w:val="it-IT"/>
        </w:rPr>
        <w:t>t</w:t>
      </w:r>
      <w:r w:rsidRPr="00DD196F">
        <w:rPr>
          <w:rFonts w:ascii="Times New Roman" w:eastAsia="Calibri" w:hAnsi="Times New Roman" w:cs="Times New Roman"/>
          <w:sz w:val="24"/>
          <w:szCs w:val="24"/>
          <w:lang w:val="hr-HR"/>
        </w:rPr>
        <w:t xml:space="preserve">ë </w:t>
      </w:r>
      <w:r w:rsidRPr="00DD196F">
        <w:rPr>
          <w:rFonts w:ascii="Times New Roman" w:eastAsia="Calibri" w:hAnsi="Times New Roman" w:cs="Times New Roman"/>
          <w:sz w:val="24"/>
          <w:szCs w:val="24"/>
          <w:lang w:val="it-IT"/>
        </w:rPr>
        <w:t>larjes.</w:t>
      </w:r>
      <w:r w:rsidRPr="00DD196F">
        <w:rPr>
          <w:rFonts w:ascii="Times New Roman" w:eastAsia="Calibri" w:hAnsi="Times New Roman" w:cs="Times New Roman"/>
          <w:sz w:val="24"/>
          <w:szCs w:val="24"/>
          <w:lang w:val="hr-HR"/>
        </w:rPr>
        <w:t xml:space="preserve"> </w:t>
      </w:r>
    </w:p>
    <w:p w:rsidR="00014E30" w:rsidRPr="00DD196F" w:rsidRDefault="00014E30" w:rsidP="00014E30">
      <w:pPr>
        <w:numPr>
          <w:ilvl w:val="0"/>
          <w:numId w:val="4"/>
        </w:numPr>
        <w:spacing w:after="120" w:line="276" w:lineRule="auto"/>
        <w:contextualSpacing/>
        <w:jc w:val="both"/>
        <w:rPr>
          <w:rFonts w:ascii="Times New Roman" w:eastAsia="Calibri" w:hAnsi="Times New Roman" w:cs="Times New Roman"/>
          <w:sz w:val="24"/>
          <w:szCs w:val="24"/>
          <w:lang w:val="sq-AL"/>
        </w:rPr>
      </w:pPr>
      <w:r w:rsidRPr="00DD196F">
        <w:rPr>
          <w:rFonts w:ascii="Times New Roman" w:eastAsia="Times New Roman" w:hAnsi="Times New Roman" w:cs="Times New Roman"/>
          <w:sz w:val="24"/>
          <w:szCs w:val="24"/>
          <w:lang w:val="sq-AL"/>
        </w:rPr>
        <w:t xml:space="preserve">Të merren masa </w:t>
      </w:r>
      <w:r w:rsidRPr="00DD196F">
        <w:rPr>
          <w:rFonts w:ascii="Times New Roman" w:eastAsia="Calibri" w:hAnsi="Times New Roman" w:cs="Times New Roman"/>
          <w:sz w:val="24"/>
          <w:szCs w:val="24"/>
          <w:lang w:val="hr-HR"/>
        </w:rPr>
        <w:t>për përmirësimin e sistemit të menaxhimit të mbeturinave inerte si dhe mbeturinave urbane në plazhe.</w:t>
      </w:r>
    </w:p>
    <w:p w:rsidR="00014E30" w:rsidRPr="00DD196F" w:rsidRDefault="00014E30" w:rsidP="00014E30">
      <w:pPr>
        <w:numPr>
          <w:ilvl w:val="0"/>
          <w:numId w:val="4"/>
        </w:numPr>
        <w:spacing w:after="200" w:line="276" w:lineRule="auto"/>
        <w:contextualSpacing/>
        <w:jc w:val="both"/>
        <w:rPr>
          <w:rFonts w:ascii="Times New Roman" w:eastAsia="Times New Roman" w:hAnsi="Times New Roman" w:cs="Times New Roman"/>
          <w:sz w:val="24"/>
          <w:szCs w:val="24"/>
          <w:lang w:val="sq-AL"/>
        </w:rPr>
      </w:pPr>
      <w:r w:rsidRPr="00DD196F">
        <w:rPr>
          <w:rFonts w:ascii="Times New Roman" w:eastAsia="Calibri" w:hAnsi="Times New Roman" w:cs="Times New Roman"/>
          <w:sz w:val="24"/>
          <w:szCs w:val="24"/>
          <w:lang w:val="hr-HR"/>
        </w:rPr>
        <w:t>Te informohet me shkres</w:t>
      </w:r>
      <w:r w:rsidRPr="00DD196F">
        <w:rPr>
          <w:rFonts w:ascii="Times New Roman" w:eastAsia="Calibri" w:hAnsi="Times New Roman" w:cs="Times New Roman"/>
          <w:sz w:val="24"/>
          <w:szCs w:val="24"/>
          <w:lang w:val="sq-AL"/>
        </w:rPr>
        <w:t>ë</w:t>
      </w:r>
      <w:r w:rsidRPr="00DD196F">
        <w:rPr>
          <w:rFonts w:ascii="Times New Roman" w:eastAsia="Calibri" w:hAnsi="Times New Roman" w:cs="Times New Roman"/>
          <w:sz w:val="24"/>
          <w:szCs w:val="24"/>
          <w:lang w:val="hr-HR"/>
        </w:rPr>
        <w:t xml:space="preserve"> zyrtare Pushteti Lokal, për praninë e kanaleve dhe derdhjen e tyre në det</w:t>
      </w:r>
      <w:r w:rsidRPr="00DD196F">
        <w:rPr>
          <w:rFonts w:ascii="Times New Roman" w:eastAsia="Calibri" w:hAnsi="Times New Roman" w:cs="Times New Roman"/>
          <w:sz w:val="24"/>
          <w:szCs w:val="24"/>
          <w:lang w:val="sq-AL"/>
        </w:rPr>
        <w:t>.</w:t>
      </w:r>
      <w:r w:rsidRPr="00DD196F">
        <w:rPr>
          <w:rFonts w:ascii="Times New Roman" w:eastAsia="Calibri" w:hAnsi="Times New Roman" w:cs="Times New Roman"/>
          <w:sz w:val="24"/>
          <w:szCs w:val="24"/>
          <w:lang w:val="hr-HR"/>
        </w:rPr>
        <w:t xml:space="preserve"> </w:t>
      </w:r>
    </w:p>
    <w:p w:rsidR="00014E30" w:rsidRPr="00DD196F" w:rsidRDefault="00014E30" w:rsidP="00014E30">
      <w:pPr>
        <w:numPr>
          <w:ilvl w:val="0"/>
          <w:numId w:val="4"/>
        </w:numPr>
        <w:spacing w:after="200" w:line="276" w:lineRule="auto"/>
        <w:contextualSpacing/>
        <w:jc w:val="both"/>
        <w:rPr>
          <w:rFonts w:ascii="Times New Roman" w:eastAsia="Times New Roman" w:hAnsi="Times New Roman" w:cs="Times New Roman"/>
          <w:sz w:val="24"/>
          <w:szCs w:val="24"/>
          <w:lang w:val="sq-AL"/>
        </w:rPr>
      </w:pPr>
      <w:r w:rsidRPr="00DD196F">
        <w:rPr>
          <w:rFonts w:ascii="Times New Roman" w:eastAsia="Calibri" w:hAnsi="Times New Roman" w:cs="Times New Roman"/>
          <w:sz w:val="24"/>
          <w:szCs w:val="24"/>
          <w:lang w:val="sq-AL"/>
        </w:rPr>
        <w:t>T</w:t>
      </w:r>
      <w:r w:rsidRPr="00DD196F">
        <w:rPr>
          <w:rFonts w:ascii="Times New Roman" w:eastAsia="Times New Roman" w:hAnsi="Times New Roman" w:cs="Times New Roman"/>
          <w:sz w:val="24"/>
          <w:szCs w:val="24"/>
          <w:lang w:val="sq-AL"/>
        </w:rPr>
        <w:t>ë</w:t>
      </w:r>
      <w:r w:rsidRPr="00DD196F">
        <w:rPr>
          <w:rFonts w:ascii="Times New Roman" w:eastAsia="Calibri" w:hAnsi="Times New Roman" w:cs="Times New Roman"/>
          <w:sz w:val="24"/>
          <w:szCs w:val="24"/>
          <w:lang w:val="sq-AL"/>
        </w:rPr>
        <w:t xml:space="preserve"> merren masa nga Pushteti Lokal p</w:t>
      </w:r>
      <w:r w:rsidRPr="00DD196F">
        <w:rPr>
          <w:rFonts w:ascii="Times New Roman" w:eastAsia="Calibri" w:hAnsi="Times New Roman" w:cs="Times New Roman"/>
          <w:sz w:val="24"/>
          <w:szCs w:val="24"/>
          <w:lang w:val="hr-HR"/>
        </w:rPr>
        <w:t>ë</w:t>
      </w:r>
      <w:r w:rsidRPr="00DD196F">
        <w:rPr>
          <w:rFonts w:ascii="Times New Roman" w:eastAsia="Calibri" w:hAnsi="Times New Roman" w:cs="Times New Roman"/>
          <w:sz w:val="24"/>
          <w:szCs w:val="24"/>
          <w:lang w:val="sq-AL"/>
        </w:rPr>
        <w:t>r p</w:t>
      </w:r>
      <w:r w:rsidRPr="00DD196F">
        <w:rPr>
          <w:rFonts w:ascii="Times New Roman" w:eastAsia="Calibri" w:hAnsi="Times New Roman" w:cs="Times New Roman"/>
          <w:sz w:val="24"/>
          <w:szCs w:val="24"/>
          <w:lang w:val="hr-HR"/>
        </w:rPr>
        <w:t>ë</w:t>
      </w:r>
      <w:r w:rsidRPr="00DD196F">
        <w:rPr>
          <w:rFonts w:ascii="Times New Roman" w:eastAsia="Calibri" w:hAnsi="Times New Roman" w:cs="Times New Roman"/>
          <w:sz w:val="24"/>
          <w:szCs w:val="24"/>
          <w:lang w:val="sq-AL"/>
        </w:rPr>
        <w:t>rmir</w:t>
      </w:r>
      <w:r w:rsidRPr="00DD196F">
        <w:rPr>
          <w:rFonts w:ascii="Times New Roman" w:eastAsia="Calibri" w:hAnsi="Times New Roman" w:cs="Times New Roman"/>
          <w:sz w:val="24"/>
          <w:szCs w:val="24"/>
          <w:lang w:val="hr-HR"/>
        </w:rPr>
        <w:t>ë</w:t>
      </w:r>
      <w:r w:rsidRPr="00DD196F">
        <w:rPr>
          <w:rFonts w:ascii="Times New Roman" w:eastAsia="Calibri" w:hAnsi="Times New Roman" w:cs="Times New Roman"/>
          <w:sz w:val="24"/>
          <w:szCs w:val="24"/>
          <w:lang w:val="sq-AL"/>
        </w:rPr>
        <w:t>simin e sistemimin e uj</w:t>
      </w:r>
      <w:r w:rsidRPr="00DD196F">
        <w:rPr>
          <w:rFonts w:ascii="Times New Roman" w:eastAsia="Calibri" w:hAnsi="Times New Roman" w:cs="Times New Roman"/>
          <w:sz w:val="24"/>
          <w:szCs w:val="24"/>
          <w:lang w:val="hr-HR"/>
        </w:rPr>
        <w:t>ë</w:t>
      </w:r>
      <w:r w:rsidRPr="00DD196F">
        <w:rPr>
          <w:rFonts w:ascii="Times New Roman" w:eastAsia="Calibri" w:hAnsi="Times New Roman" w:cs="Times New Roman"/>
          <w:sz w:val="24"/>
          <w:szCs w:val="24"/>
          <w:lang w:val="sq-AL"/>
        </w:rPr>
        <w:t>rave t</w:t>
      </w:r>
      <w:r w:rsidRPr="00DD196F">
        <w:rPr>
          <w:rFonts w:ascii="Times New Roman" w:eastAsia="Calibri" w:hAnsi="Times New Roman" w:cs="Times New Roman"/>
          <w:sz w:val="24"/>
          <w:szCs w:val="24"/>
          <w:lang w:val="hr-HR"/>
        </w:rPr>
        <w:t>ë</w:t>
      </w:r>
      <w:r w:rsidRPr="00DD196F">
        <w:rPr>
          <w:rFonts w:ascii="Times New Roman" w:eastAsia="Calibri" w:hAnsi="Times New Roman" w:cs="Times New Roman"/>
          <w:sz w:val="24"/>
          <w:szCs w:val="24"/>
          <w:lang w:val="sq-AL"/>
        </w:rPr>
        <w:t xml:space="preserve"> zeza në zonat e plazheve,  për trajtimin e ujërave urbane përpara shkarkimit të tyre në det.  </w:t>
      </w:r>
    </w:p>
    <w:p w:rsidR="00014E30" w:rsidRPr="00DD196F" w:rsidRDefault="00014E30" w:rsidP="00014E30">
      <w:pPr>
        <w:numPr>
          <w:ilvl w:val="0"/>
          <w:numId w:val="4"/>
        </w:numPr>
        <w:spacing w:after="200" w:line="276" w:lineRule="auto"/>
        <w:contextualSpacing/>
        <w:jc w:val="both"/>
        <w:rPr>
          <w:rFonts w:ascii="Times New Roman" w:eastAsia="Times New Roman" w:hAnsi="Times New Roman" w:cs="Times New Roman"/>
          <w:sz w:val="24"/>
          <w:szCs w:val="24"/>
        </w:rPr>
      </w:pPr>
      <w:r w:rsidRPr="00DD196F">
        <w:rPr>
          <w:rFonts w:ascii="Times New Roman" w:eastAsia="Times New Roman" w:hAnsi="Times New Roman" w:cs="Times New Roman"/>
          <w:sz w:val="24"/>
          <w:szCs w:val="24"/>
          <w:lang w:val="sq-AL"/>
        </w:rPr>
        <w:t>Të</w:t>
      </w:r>
      <w:r w:rsidRPr="00DD196F">
        <w:rPr>
          <w:rFonts w:ascii="Times New Roman" w:eastAsia="Times New Roman" w:hAnsi="Times New Roman" w:cs="Times New Roman"/>
          <w:sz w:val="24"/>
          <w:szCs w:val="24"/>
          <w:lang w:val="en"/>
        </w:rPr>
        <w:t xml:space="preserve"> shtohen pikat e monitorimit duke shtuar n</w:t>
      </w:r>
      <w:r w:rsidRPr="00DD196F">
        <w:rPr>
          <w:rFonts w:ascii="Times New Roman" w:eastAsia="Calibri" w:hAnsi="Times New Roman" w:cs="Times New Roman"/>
          <w:sz w:val="24"/>
          <w:szCs w:val="24"/>
          <w:lang w:val="hr-HR"/>
        </w:rPr>
        <w:t>ë</w:t>
      </w:r>
      <w:r w:rsidRPr="00DD196F">
        <w:rPr>
          <w:rFonts w:ascii="Times New Roman" w:eastAsia="Times New Roman" w:hAnsi="Times New Roman" w:cs="Times New Roman"/>
          <w:sz w:val="24"/>
          <w:szCs w:val="24"/>
          <w:lang w:val="en"/>
        </w:rPr>
        <w:t xml:space="preserve"> procesin e monitorimit plazhet e rinj. Grupe pune ndërinstitucionale me p</w:t>
      </w:r>
      <w:r w:rsidRPr="00DD196F">
        <w:rPr>
          <w:rFonts w:ascii="Times New Roman" w:eastAsia="Calibri" w:hAnsi="Times New Roman" w:cs="Times New Roman"/>
          <w:sz w:val="24"/>
          <w:szCs w:val="24"/>
          <w:lang w:val="hr-HR"/>
        </w:rPr>
        <w:t>ë</w:t>
      </w:r>
      <w:r w:rsidRPr="00DD196F">
        <w:rPr>
          <w:rFonts w:ascii="Times New Roman" w:eastAsia="Times New Roman" w:hAnsi="Times New Roman" w:cs="Times New Roman"/>
          <w:sz w:val="24"/>
          <w:szCs w:val="24"/>
          <w:lang w:val="en"/>
        </w:rPr>
        <w:t>rfaqësues nga Bashkitë bregdetare, AKM, etj</w:t>
      </w:r>
      <w:r w:rsidR="00C741C8">
        <w:rPr>
          <w:rFonts w:ascii="Times New Roman" w:eastAsia="Times New Roman" w:hAnsi="Times New Roman" w:cs="Times New Roman"/>
          <w:sz w:val="24"/>
          <w:szCs w:val="24"/>
          <w:lang w:val="en"/>
        </w:rPr>
        <w:t>,</w:t>
      </w:r>
      <w:r w:rsidRPr="00DD196F">
        <w:rPr>
          <w:rFonts w:ascii="Times New Roman" w:eastAsia="Times New Roman" w:hAnsi="Times New Roman" w:cs="Times New Roman"/>
          <w:sz w:val="24"/>
          <w:szCs w:val="24"/>
          <w:lang w:val="en"/>
        </w:rPr>
        <w:t xml:space="preserve"> të asistojnë në terren gjatë fazës përgatitore për të përcaktuar hapësirat e reja të frekuentueshme të vijës bregdetare dhe të japin propozime për pikat shtesë të monitorimit të ujërave bregdetarë të larjes. </w:t>
      </w:r>
    </w:p>
    <w:p w:rsidR="00014E30" w:rsidRPr="00DD196F" w:rsidRDefault="00014E30" w:rsidP="00014E30">
      <w:pPr>
        <w:spacing w:after="200" w:line="288" w:lineRule="auto"/>
        <w:rPr>
          <w:rFonts w:ascii="Times New Roman" w:eastAsiaTheme="minorEastAsia" w:hAnsi="Times New Roman" w:cs="Times New Roman"/>
          <w:sz w:val="24"/>
          <w:szCs w:val="24"/>
        </w:rPr>
      </w:pPr>
    </w:p>
    <w:p w:rsidR="00014E30" w:rsidRDefault="00014E30" w:rsidP="00DD196F">
      <w:pPr>
        <w:rPr>
          <w:rFonts w:ascii="Times New Roman" w:eastAsiaTheme="minorEastAsia" w:hAnsi="Times New Roman" w:cs="Times New Roman"/>
          <w:b/>
          <w:sz w:val="24"/>
          <w:szCs w:val="24"/>
        </w:rPr>
      </w:pPr>
    </w:p>
    <w:p w:rsidR="00014E30" w:rsidRDefault="00014E30" w:rsidP="00DD196F">
      <w:pPr>
        <w:rPr>
          <w:rFonts w:ascii="Times New Roman" w:eastAsiaTheme="minorEastAsia" w:hAnsi="Times New Roman" w:cs="Times New Roman"/>
          <w:b/>
          <w:sz w:val="24"/>
          <w:szCs w:val="24"/>
        </w:rPr>
      </w:pPr>
    </w:p>
    <w:p w:rsidR="0047684C" w:rsidRDefault="0047684C" w:rsidP="00DD196F">
      <w:pPr>
        <w:rPr>
          <w:rFonts w:ascii="Times New Roman" w:eastAsiaTheme="minorEastAsia" w:hAnsi="Times New Roman" w:cs="Times New Roman"/>
          <w:b/>
          <w:sz w:val="24"/>
          <w:szCs w:val="24"/>
        </w:rPr>
      </w:pPr>
    </w:p>
    <w:p w:rsidR="00014E30" w:rsidRDefault="00014E30" w:rsidP="00DD196F">
      <w:pPr>
        <w:rPr>
          <w:rFonts w:ascii="Times New Roman" w:eastAsiaTheme="minorEastAsia" w:hAnsi="Times New Roman" w:cs="Times New Roman"/>
          <w:b/>
          <w:sz w:val="24"/>
          <w:szCs w:val="24"/>
        </w:rPr>
      </w:pPr>
    </w:p>
    <w:p w:rsidR="00014E30" w:rsidRDefault="00014E30" w:rsidP="00DD196F">
      <w:pPr>
        <w:rPr>
          <w:rFonts w:ascii="Times New Roman" w:eastAsiaTheme="minorEastAsia" w:hAnsi="Times New Roman" w:cs="Times New Roman"/>
          <w:b/>
          <w:sz w:val="24"/>
          <w:szCs w:val="24"/>
        </w:rPr>
      </w:pPr>
    </w:p>
    <w:p w:rsidR="00014E30" w:rsidRDefault="00014E30" w:rsidP="00DD196F">
      <w:pPr>
        <w:rPr>
          <w:rFonts w:ascii="Times New Roman" w:eastAsiaTheme="minorEastAsia" w:hAnsi="Times New Roman" w:cs="Times New Roman"/>
          <w:b/>
          <w:sz w:val="24"/>
          <w:szCs w:val="24"/>
        </w:rPr>
      </w:pPr>
    </w:p>
    <w:p w:rsidR="00014E30" w:rsidRDefault="00014E30" w:rsidP="00DD196F">
      <w:pPr>
        <w:rPr>
          <w:rFonts w:ascii="Times New Roman" w:eastAsiaTheme="minorEastAsia" w:hAnsi="Times New Roman" w:cs="Times New Roman"/>
          <w:b/>
          <w:sz w:val="24"/>
          <w:szCs w:val="24"/>
        </w:rPr>
      </w:pPr>
    </w:p>
    <w:p w:rsidR="00014E30" w:rsidRDefault="00014E30" w:rsidP="00DD196F">
      <w:pPr>
        <w:rPr>
          <w:rFonts w:ascii="Times New Roman" w:eastAsiaTheme="minorEastAsia" w:hAnsi="Times New Roman" w:cs="Times New Roman"/>
          <w:b/>
          <w:sz w:val="24"/>
          <w:szCs w:val="24"/>
        </w:rPr>
      </w:pPr>
    </w:p>
    <w:p w:rsidR="00014E30" w:rsidRDefault="00014E30" w:rsidP="00DD196F">
      <w:pPr>
        <w:rPr>
          <w:rFonts w:ascii="Times New Roman" w:eastAsiaTheme="minorEastAsia" w:hAnsi="Times New Roman" w:cs="Times New Roman"/>
          <w:b/>
          <w:sz w:val="24"/>
          <w:szCs w:val="24"/>
        </w:rPr>
      </w:pPr>
    </w:p>
    <w:p w:rsidR="00014E30" w:rsidRDefault="00014E30" w:rsidP="00DD196F">
      <w:pPr>
        <w:rPr>
          <w:rFonts w:ascii="Times New Roman" w:eastAsiaTheme="minorEastAsia" w:hAnsi="Times New Roman" w:cs="Times New Roman"/>
          <w:b/>
          <w:sz w:val="24"/>
          <w:szCs w:val="24"/>
        </w:rPr>
      </w:pPr>
    </w:p>
    <w:p w:rsidR="0092209E" w:rsidRDefault="0092209E" w:rsidP="00DD196F">
      <w:pPr>
        <w:rPr>
          <w:rFonts w:ascii="Times New Roman" w:eastAsiaTheme="minorEastAsia" w:hAnsi="Times New Roman" w:cs="Times New Roman"/>
          <w:b/>
          <w:sz w:val="24"/>
          <w:szCs w:val="24"/>
        </w:rPr>
      </w:pPr>
    </w:p>
    <w:p w:rsidR="00D60B7B" w:rsidRDefault="00D60B7B" w:rsidP="00DD196F">
      <w:pPr>
        <w:rPr>
          <w:rFonts w:ascii="Times New Roman" w:eastAsiaTheme="minorEastAsia" w:hAnsi="Times New Roman" w:cs="Times New Roman"/>
          <w:b/>
          <w:sz w:val="24"/>
          <w:szCs w:val="24"/>
        </w:rPr>
      </w:pPr>
    </w:p>
    <w:p w:rsidR="00CD2C3A" w:rsidRDefault="00CD2C3A" w:rsidP="00DD196F">
      <w:pPr>
        <w:rPr>
          <w:rFonts w:ascii="Times New Roman" w:eastAsiaTheme="minorEastAsia" w:hAnsi="Times New Roman" w:cs="Times New Roman"/>
          <w:b/>
          <w:sz w:val="24"/>
          <w:szCs w:val="24"/>
        </w:rPr>
      </w:pPr>
    </w:p>
    <w:p w:rsidR="00CC7B15" w:rsidRDefault="00CC7B15" w:rsidP="009C00C2">
      <w:pPr>
        <w:rPr>
          <w:rFonts w:ascii="Times New Roman" w:eastAsiaTheme="minorEastAsia" w:hAnsi="Times New Roman" w:cs="Times New Roman"/>
          <w:b/>
          <w:sz w:val="24"/>
          <w:szCs w:val="24"/>
        </w:rPr>
      </w:pPr>
    </w:p>
    <w:p w:rsidR="0092209E" w:rsidRDefault="0092209E" w:rsidP="0092209E">
      <w:pPr>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KAPITULLI   6</w:t>
      </w:r>
    </w:p>
    <w:p w:rsidR="0092209E" w:rsidRDefault="0092209E" w:rsidP="0092209E">
      <w:pPr>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TOKAT</w:t>
      </w:r>
    </w:p>
    <w:p w:rsidR="00014E30" w:rsidRDefault="00014E30" w:rsidP="0092209E">
      <w:pPr>
        <w:jc w:val="center"/>
        <w:rPr>
          <w:rFonts w:ascii="Times New Roman" w:eastAsiaTheme="minorEastAsia" w:hAnsi="Times New Roman" w:cs="Times New Roman"/>
          <w:b/>
          <w:sz w:val="24"/>
          <w:szCs w:val="24"/>
        </w:rPr>
      </w:pPr>
    </w:p>
    <w:p w:rsidR="00014E30" w:rsidRDefault="00346DEB" w:rsidP="00DD196F">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r>
        <w:rPr>
          <w:noProof/>
        </w:rPr>
        <w:drawing>
          <wp:inline distT="0" distB="0" distL="0" distR="0" wp14:anchorId="26BBC500" wp14:editId="0C816632">
            <wp:extent cx="4914900" cy="2705100"/>
            <wp:effectExtent l="0" t="0" r="0" b="0"/>
            <wp:docPr id="347" name="Picture 347" descr="Fushë - *TOKAT* zona e fushe studnes ben pjese ne tokat 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shë - *TOKAT* zona e fushe studnes ben pjese ne tokat e ..."/>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914900" cy="2705100"/>
                    </a:xfrm>
                    <a:prstGeom prst="rect">
                      <a:avLst/>
                    </a:prstGeom>
                    <a:noFill/>
                    <a:ln>
                      <a:noFill/>
                    </a:ln>
                  </pic:spPr>
                </pic:pic>
              </a:graphicData>
            </a:graphic>
          </wp:inline>
        </w:drawing>
      </w:r>
    </w:p>
    <w:p w:rsidR="0092209E" w:rsidRDefault="0092209E" w:rsidP="00DD196F">
      <w:pPr>
        <w:rPr>
          <w:rFonts w:ascii="Times New Roman" w:eastAsiaTheme="minorEastAsia" w:hAnsi="Times New Roman" w:cs="Times New Roman"/>
          <w:b/>
          <w:sz w:val="24"/>
          <w:szCs w:val="24"/>
        </w:rPr>
      </w:pPr>
    </w:p>
    <w:p w:rsidR="0092209E" w:rsidRDefault="0092209E" w:rsidP="00DD196F">
      <w:pPr>
        <w:rPr>
          <w:rFonts w:ascii="Times New Roman" w:eastAsiaTheme="minorEastAsia" w:hAnsi="Times New Roman" w:cs="Times New Roman"/>
          <w:b/>
          <w:sz w:val="24"/>
          <w:szCs w:val="24"/>
        </w:rPr>
      </w:pPr>
    </w:p>
    <w:p w:rsidR="0092209E" w:rsidRDefault="0092209E" w:rsidP="00DD196F">
      <w:pPr>
        <w:rPr>
          <w:rFonts w:ascii="Times New Roman" w:eastAsiaTheme="minorEastAsia" w:hAnsi="Times New Roman" w:cs="Times New Roman"/>
          <w:b/>
          <w:sz w:val="24"/>
          <w:szCs w:val="24"/>
        </w:rPr>
      </w:pPr>
    </w:p>
    <w:p w:rsidR="0092209E" w:rsidRDefault="0092209E" w:rsidP="00DD196F">
      <w:pPr>
        <w:rPr>
          <w:rFonts w:ascii="Times New Roman" w:eastAsiaTheme="minorEastAsia" w:hAnsi="Times New Roman" w:cs="Times New Roman"/>
          <w:b/>
          <w:sz w:val="24"/>
          <w:szCs w:val="24"/>
        </w:rPr>
      </w:pPr>
    </w:p>
    <w:p w:rsidR="0092209E" w:rsidRDefault="0092209E" w:rsidP="00DD196F">
      <w:pPr>
        <w:rPr>
          <w:rFonts w:ascii="Times New Roman" w:eastAsiaTheme="minorEastAsia" w:hAnsi="Times New Roman" w:cs="Times New Roman"/>
          <w:b/>
          <w:sz w:val="24"/>
          <w:szCs w:val="24"/>
        </w:rPr>
      </w:pPr>
    </w:p>
    <w:p w:rsidR="00014E30" w:rsidRDefault="00014E30" w:rsidP="00DD196F">
      <w:pPr>
        <w:rPr>
          <w:rFonts w:ascii="Times New Roman" w:eastAsiaTheme="minorEastAsia" w:hAnsi="Times New Roman" w:cs="Times New Roman"/>
          <w:b/>
          <w:sz w:val="24"/>
          <w:szCs w:val="24"/>
        </w:rPr>
      </w:pPr>
    </w:p>
    <w:p w:rsidR="00DD196F" w:rsidRPr="00014E30" w:rsidRDefault="00DD196F" w:rsidP="00014E30">
      <w:pPr>
        <w:jc w:val="center"/>
        <w:rPr>
          <w:rFonts w:ascii="Times New Roman" w:eastAsiaTheme="minorEastAsia" w:hAnsi="Times New Roman" w:cs="Times New Roman"/>
          <w:b/>
          <w:sz w:val="24"/>
          <w:szCs w:val="24"/>
        </w:rPr>
      </w:pPr>
      <w:r w:rsidRPr="00014E30">
        <w:rPr>
          <w:rFonts w:ascii="Times New Roman" w:eastAsiaTheme="minorEastAsia" w:hAnsi="Times New Roman" w:cs="Times New Roman"/>
          <w:b/>
          <w:sz w:val="24"/>
          <w:szCs w:val="24"/>
        </w:rPr>
        <w:lastRenderedPageBreak/>
        <w:t>Kapitulli 6</w:t>
      </w:r>
    </w:p>
    <w:p w:rsidR="004D7AA4" w:rsidRDefault="004D7AA4" w:rsidP="00014E30">
      <w:pPr>
        <w:jc w:val="center"/>
        <w:rPr>
          <w:rFonts w:ascii="Times New Roman" w:eastAsia="Times New Roman" w:hAnsi="Times New Roman" w:cs="Times New Roman"/>
          <w:b/>
          <w:sz w:val="24"/>
          <w:szCs w:val="24"/>
        </w:rPr>
      </w:pPr>
      <w:r w:rsidRPr="00CC7B15">
        <w:rPr>
          <w:rFonts w:ascii="Times New Roman" w:eastAsia="Times New Roman" w:hAnsi="Times New Roman" w:cs="Times New Roman"/>
          <w:b/>
          <w:sz w:val="24"/>
          <w:szCs w:val="24"/>
        </w:rPr>
        <w:t>Tokat</w:t>
      </w:r>
    </w:p>
    <w:p w:rsidR="00CC7B15" w:rsidRPr="00CC7B15" w:rsidRDefault="00CC7B15" w:rsidP="00014E30">
      <w:pPr>
        <w:jc w:val="center"/>
        <w:rPr>
          <w:rFonts w:ascii="Times New Roman" w:eastAsia="Times New Roman" w:hAnsi="Times New Roman" w:cs="Times New Roman"/>
          <w:b/>
          <w:sz w:val="24"/>
          <w:szCs w:val="24"/>
        </w:rPr>
      </w:pPr>
    </w:p>
    <w:p w:rsidR="00014E30" w:rsidRDefault="00014E30" w:rsidP="00773E68">
      <w:pPr>
        <w:spacing w:after="0" w:line="240" w:lineRule="auto"/>
        <w:jc w:val="both"/>
        <w:rPr>
          <w:rFonts w:ascii="Times New Roman" w:eastAsia="Batang" w:hAnsi="Times New Roman" w:cs="Times New Roman"/>
          <w:b/>
          <w:bCs/>
          <w:sz w:val="24"/>
          <w:szCs w:val="24"/>
          <w:lang w:val="pt-BR"/>
        </w:rPr>
      </w:pPr>
    </w:p>
    <w:p w:rsidR="00773E68" w:rsidRPr="00773E68" w:rsidRDefault="00014E30" w:rsidP="00773E68">
      <w:pPr>
        <w:spacing w:after="0" w:line="240" w:lineRule="auto"/>
        <w:jc w:val="both"/>
        <w:rPr>
          <w:rFonts w:ascii="Times New Roman" w:eastAsia="Batang" w:hAnsi="Times New Roman" w:cs="Times New Roman"/>
          <w:b/>
          <w:bCs/>
          <w:sz w:val="24"/>
          <w:szCs w:val="24"/>
          <w:lang w:val="pt-BR"/>
        </w:rPr>
      </w:pPr>
      <w:r>
        <w:rPr>
          <w:rFonts w:ascii="Times New Roman" w:eastAsia="Batang" w:hAnsi="Times New Roman" w:cs="Times New Roman"/>
          <w:b/>
          <w:bCs/>
          <w:sz w:val="24"/>
          <w:szCs w:val="24"/>
          <w:lang w:val="pt-BR"/>
        </w:rPr>
        <w:t>6.1 Ndikimi në mjedis dhe shëndet</w:t>
      </w:r>
    </w:p>
    <w:p w:rsidR="00773E68" w:rsidRPr="00773E68" w:rsidRDefault="00773E68" w:rsidP="00773E68">
      <w:pPr>
        <w:spacing w:after="0" w:line="240" w:lineRule="auto"/>
        <w:jc w:val="both"/>
        <w:rPr>
          <w:rFonts w:ascii="Times New Roman" w:eastAsia="Batang" w:hAnsi="Times New Roman" w:cs="Times New Roman"/>
          <w:b/>
          <w:bCs/>
          <w:sz w:val="24"/>
          <w:szCs w:val="24"/>
          <w:lang w:val="pt-BR"/>
        </w:rPr>
      </w:pPr>
    </w:p>
    <w:p w:rsidR="00773E68" w:rsidRPr="0092209E" w:rsidRDefault="00773E68" w:rsidP="00773E68">
      <w:pPr>
        <w:spacing w:after="0" w:line="240" w:lineRule="auto"/>
        <w:jc w:val="both"/>
        <w:rPr>
          <w:rFonts w:ascii="Times New Roman" w:eastAsia="Times New Roman" w:hAnsi="Times New Roman" w:cs="Times New Roman"/>
          <w:sz w:val="24"/>
          <w:szCs w:val="24"/>
          <w:lang w:val="pt-BR"/>
        </w:rPr>
      </w:pPr>
      <w:r w:rsidRPr="00773E68">
        <w:rPr>
          <w:rFonts w:ascii="Times New Roman" w:eastAsia="Times New Roman" w:hAnsi="Times New Roman" w:cs="Times New Roman"/>
          <w:sz w:val="24"/>
          <w:szCs w:val="24"/>
          <w:lang w:val="pt-BR"/>
        </w:rPr>
        <w:t>Ndotja e tokës bujqësore nga metale të rënda, sot është kthyer në një problem shumë shqetësues   dhe të rëndësishëm mjedisor. Përmbajtja e tyre në tokë mbi normativë, përbën një rrezik t</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pt-BR"/>
        </w:rPr>
        <w:t xml:space="preserve"> shtuar për shëndetin ton</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pt-BR"/>
        </w:rPr>
        <w:t>, pasi jonet e metaleve mund të absorbohen dhe t</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pt-BR"/>
        </w:rPr>
        <w:t xml:space="preserve"> kalojn</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pt-BR"/>
        </w:rPr>
        <w:t xml:space="preserve"> n</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pt-BR"/>
        </w:rPr>
        <w:t xml:space="preserve"> organizmin e njeriut, si me pluhurat nëpërmjet frymëmarrjes, ashtu edhe nga konsumimi i produkteve ushqimore të rritura në këto toka të kontaminuara. Metalet e rënda të akumuluara në trupin e njeriut në doza më të larta sesa vlerat e lejuara, shkaktojnë probleme kancerogjene, toksike dhe kardiovaskulare.</w:t>
      </w:r>
      <w:r w:rsidR="0092209E">
        <w:rPr>
          <w:rFonts w:ascii="Times New Roman" w:eastAsia="Times New Roman" w:hAnsi="Times New Roman" w:cs="Times New Roman"/>
          <w:sz w:val="24"/>
          <w:szCs w:val="24"/>
          <w:lang w:val="pt-BR"/>
        </w:rPr>
        <w:t xml:space="preserve"> Për këtë arsye</w:t>
      </w:r>
      <w:r w:rsidRPr="00773E68">
        <w:rPr>
          <w:rFonts w:ascii="Times New Roman" w:eastAsia="Batang" w:hAnsi="Times New Roman" w:cs="Times New Roman"/>
          <w:sz w:val="24"/>
          <w:szCs w:val="24"/>
          <w:lang w:val="pt-BR"/>
        </w:rPr>
        <w:t xml:space="preserve"> </w:t>
      </w:r>
      <w:r w:rsidR="0092209E">
        <w:rPr>
          <w:rFonts w:ascii="Times New Roman" w:eastAsia="Batang" w:hAnsi="Times New Roman" w:cs="Times New Roman"/>
          <w:sz w:val="24"/>
          <w:szCs w:val="24"/>
          <w:lang w:val="pt-BR"/>
        </w:rPr>
        <w:t>është kryer identifikimi, lokalizimi dhe monitorimi i tokave të ndotura nga metalet e rënda në disa nga zonat industriale funksionale dhe ish-zonat industriale jashtë funksionit. Këtu</w:t>
      </w:r>
      <w:r w:rsidRPr="00773E68">
        <w:rPr>
          <w:rFonts w:ascii="Times New Roman" w:eastAsia="Batang" w:hAnsi="Times New Roman" w:cs="Times New Roman"/>
          <w:sz w:val="24"/>
          <w:szCs w:val="24"/>
          <w:lang w:val="pt-BR"/>
        </w:rPr>
        <w:t xml:space="preserve"> përfshihen tokat përrreth uzinave dhe fabrikave që janë në aktivitet prodhimi aktualisht edhe sot, si  dhe tokat përrreth fabrikave apo uzinave të mbyllura, jasht</w:t>
      </w:r>
      <w:r w:rsidRPr="00773E68">
        <w:rPr>
          <w:rFonts w:ascii="Times New Roman" w:eastAsia="Times New Roman" w:hAnsi="Times New Roman" w:cs="Times New Roman"/>
          <w:color w:val="000000"/>
          <w:sz w:val="24"/>
          <w:szCs w:val="24"/>
          <w:lang w:val="sq-AL"/>
        </w:rPr>
        <w:t>ë</w:t>
      </w:r>
      <w:r w:rsidRPr="00773E68">
        <w:rPr>
          <w:rFonts w:ascii="Times New Roman" w:eastAsia="Batang" w:hAnsi="Times New Roman" w:cs="Times New Roman"/>
          <w:sz w:val="24"/>
          <w:szCs w:val="24"/>
          <w:lang w:val="pt-BR"/>
        </w:rPr>
        <w:t xml:space="preserve"> funksionit, por që kanë një prezencë të lartë të mbetjeve të rrezikshme, të grumbulluara në formë pirgjesh  dhe grumbujsh të pa trajtuar dhe me rrezik për ndotjen e mjedisit.</w:t>
      </w:r>
    </w:p>
    <w:p w:rsidR="00773E68" w:rsidRPr="00773E68" w:rsidRDefault="00773E68" w:rsidP="00773E68">
      <w:pPr>
        <w:spacing w:after="0" w:line="240" w:lineRule="auto"/>
        <w:jc w:val="both"/>
        <w:rPr>
          <w:rFonts w:ascii="Times New Roman" w:eastAsia="Batang" w:hAnsi="Times New Roman" w:cs="Times New Roman"/>
          <w:sz w:val="24"/>
          <w:szCs w:val="24"/>
          <w:lang w:val="pt-BR"/>
        </w:rPr>
      </w:pPr>
    </w:p>
    <w:p w:rsidR="00773E68" w:rsidRPr="00D12377" w:rsidRDefault="00773E68" w:rsidP="004D460A">
      <w:pPr>
        <w:pStyle w:val="ListParagraph"/>
        <w:numPr>
          <w:ilvl w:val="0"/>
          <w:numId w:val="27"/>
        </w:numPr>
        <w:spacing w:after="0" w:line="240" w:lineRule="auto"/>
        <w:jc w:val="both"/>
        <w:rPr>
          <w:rFonts w:ascii="Times New Roman" w:eastAsia="Batang" w:hAnsi="Times New Roman" w:cs="Times New Roman"/>
          <w:b/>
          <w:sz w:val="24"/>
          <w:szCs w:val="24"/>
          <w:lang w:val="pt-BR"/>
        </w:rPr>
      </w:pPr>
      <w:r w:rsidRPr="00D12377">
        <w:rPr>
          <w:rFonts w:ascii="Times New Roman" w:eastAsia="Batang" w:hAnsi="Times New Roman" w:cs="Times New Roman"/>
          <w:b/>
          <w:sz w:val="24"/>
          <w:szCs w:val="24"/>
          <w:lang w:val="pt-BR"/>
        </w:rPr>
        <w:t>Ndikimet mjedisore</w:t>
      </w:r>
    </w:p>
    <w:p w:rsidR="00773E68" w:rsidRPr="00773E68" w:rsidRDefault="00773E68" w:rsidP="00773E68">
      <w:pPr>
        <w:spacing w:after="0" w:line="240" w:lineRule="auto"/>
        <w:jc w:val="both"/>
        <w:rPr>
          <w:rFonts w:ascii="Times New Roman" w:eastAsia="Batang" w:hAnsi="Times New Roman" w:cs="Times New Roman"/>
          <w:sz w:val="24"/>
          <w:szCs w:val="24"/>
          <w:lang w:val="pt-BR"/>
        </w:rPr>
      </w:pPr>
    </w:p>
    <w:p w:rsidR="00773E68" w:rsidRPr="00773E68" w:rsidRDefault="00773E68" w:rsidP="00773E68">
      <w:pPr>
        <w:spacing w:after="0" w:line="240" w:lineRule="auto"/>
        <w:jc w:val="both"/>
        <w:rPr>
          <w:rFonts w:ascii="Times New Roman" w:eastAsia="Times New Roman" w:hAnsi="Times New Roman" w:cs="Times New Roman"/>
          <w:sz w:val="24"/>
          <w:szCs w:val="24"/>
          <w:lang w:val="pt-BR"/>
        </w:rPr>
      </w:pPr>
      <w:r w:rsidRPr="00773E68">
        <w:rPr>
          <w:rFonts w:ascii="Times New Roman" w:eastAsia="Times New Roman" w:hAnsi="Times New Roman" w:cs="Times New Roman"/>
          <w:sz w:val="24"/>
          <w:szCs w:val="24"/>
          <w:lang w:val="pt-BR"/>
        </w:rPr>
        <w:t>Industria metalurgjike ka një ndikim të ve</w:t>
      </w:r>
      <w:r w:rsidRPr="00773E68">
        <w:rPr>
          <w:rFonts w:ascii="Times New Roman" w:eastAsia="Times New Roman" w:hAnsi="Times New Roman" w:cs="Times New Roman"/>
          <w:sz w:val="24"/>
          <w:szCs w:val="24"/>
        </w:rPr>
        <w:t>ҫ</w:t>
      </w:r>
      <w:r w:rsidRPr="00773E68">
        <w:rPr>
          <w:rFonts w:ascii="Times New Roman" w:eastAsia="Times New Roman" w:hAnsi="Times New Roman" w:cs="Times New Roman"/>
          <w:sz w:val="24"/>
          <w:szCs w:val="24"/>
          <w:lang w:val="pt-BR"/>
        </w:rPr>
        <w:t>antë në ndotjen e tokës bujqësore, për shkak se prodhon sasi të madhe gazrash të ndotur dhe mbetjeve të ngurta, me prani të lartë të metaleve të rënda. Studimet e mëparshme kanë treguar se uzinat e hekur-</w:t>
      </w:r>
      <w:r w:rsidRPr="00773E68">
        <w:rPr>
          <w:rFonts w:ascii="Times New Roman" w:eastAsia="Times New Roman" w:hAnsi="Times New Roman" w:cs="Times New Roman"/>
          <w:sz w:val="24"/>
          <w:szCs w:val="24"/>
        </w:rPr>
        <w:t>ҫ</w:t>
      </w:r>
      <w:r w:rsidRPr="00773E68">
        <w:rPr>
          <w:rFonts w:ascii="Times New Roman" w:eastAsia="Times New Roman" w:hAnsi="Times New Roman" w:cs="Times New Roman"/>
          <w:sz w:val="24"/>
          <w:szCs w:val="24"/>
          <w:lang w:val="pt-BR"/>
        </w:rPr>
        <w:t xml:space="preserve">elikut janë burime të rëndësishme të emetimit të ndotësve në ajër. Në varësi të llojit të skrapit të përdorur për prodhim, pajisjet e shkrirjes së hekurit mund të </w:t>
      </w:r>
      <w:r w:rsidRPr="00773E68">
        <w:rPr>
          <w:rFonts w:ascii="Times New Roman" w:eastAsia="Times New Roman" w:hAnsi="Times New Roman" w:cs="Times New Roman"/>
          <w:sz w:val="24"/>
          <w:szCs w:val="24"/>
        </w:rPr>
        <w:t>ҫ</w:t>
      </w:r>
      <w:r w:rsidRPr="00773E68">
        <w:rPr>
          <w:rFonts w:ascii="Times New Roman" w:eastAsia="Times New Roman" w:hAnsi="Times New Roman" w:cs="Times New Roman"/>
          <w:sz w:val="24"/>
          <w:szCs w:val="24"/>
          <w:lang w:val="pt-BR"/>
        </w:rPr>
        <w:t xml:space="preserve">ojnë në ndotje të lartë me metale të rënda. Gjatë proceseve të prodhimit të hekurit dhe të </w:t>
      </w:r>
      <w:r w:rsidRPr="00773E68">
        <w:rPr>
          <w:rFonts w:ascii="Times New Roman" w:eastAsia="Times New Roman" w:hAnsi="Times New Roman" w:cs="Times New Roman"/>
          <w:sz w:val="24"/>
          <w:szCs w:val="24"/>
        </w:rPr>
        <w:t>ҫ</w:t>
      </w:r>
      <w:r w:rsidRPr="00773E68">
        <w:rPr>
          <w:rFonts w:ascii="Times New Roman" w:eastAsia="Times New Roman" w:hAnsi="Times New Roman" w:cs="Times New Roman"/>
          <w:sz w:val="24"/>
          <w:szCs w:val="24"/>
          <w:lang w:val="pt-BR"/>
        </w:rPr>
        <w:t>elikut emetohen metale dhe okside metalesh të elementeve  Zn, Cr, Ni, Pb, Cd, ndotës inorganikë në fazë të gaztë (NOx, SO</w:t>
      </w:r>
      <w:r w:rsidRPr="000B74F2">
        <w:rPr>
          <w:rFonts w:ascii="Times New Roman" w:eastAsia="Times New Roman" w:hAnsi="Times New Roman" w:cs="Times New Roman"/>
          <w:sz w:val="24"/>
          <w:szCs w:val="24"/>
          <w:vertAlign w:val="subscript"/>
          <w:lang w:val="pt-BR"/>
        </w:rPr>
        <w:t>2</w:t>
      </w:r>
      <w:r w:rsidRPr="00773E68">
        <w:rPr>
          <w:rFonts w:ascii="Times New Roman" w:eastAsia="Times New Roman" w:hAnsi="Times New Roman" w:cs="Times New Roman"/>
          <w:sz w:val="24"/>
          <w:szCs w:val="24"/>
          <w:lang w:val="pt-BR"/>
        </w:rPr>
        <w:t>, CO, HF dhe HCl) dhe disa ndotës organikë, si: komponime organike dhe dioksina.</w:t>
      </w:r>
    </w:p>
    <w:p w:rsidR="0092209E" w:rsidRDefault="0092209E" w:rsidP="00773E68">
      <w:pPr>
        <w:spacing w:after="0" w:line="240" w:lineRule="auto"/>
        <w:jc w:val="both"/>
        <w:rPr>
          <w:rFonts w:ascii="Times New Roman" w:eastAsia="Times New Roman" w:hAnsi="Times New Roman" w:cs="Times New Roman"/>
          <w:sz w:val="24"/>
          <w:szCs w:val="24"/>
          <w:lang w:val="pt-BR"/>
        </w:rPr>
      </w:pPr>
    </w:p>
    <w:p w:rsidR="00773E68" w:rsidRPr="00773E68" w:rsidRDefault="00773E68" w:rsidP="00773E68">
      <w:pPr>
        <w:spacing w:after="0" w:line="240" w:lineRule="auto"/>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pt-BR"/>
        </w:rPr>
        <w:t>Faktorët që mund të ndikojnë në ndotjen e tokës janë distanca nga burimi i emetimit, drejtimi dhe shpejtësia e erës, shpeshtësia dhe sasia e precipitimit, si dhe ve</w:t>
      </w:r>
      <w:r w:rsidRPr="00773E68">
        <w:rPr>
          <w:rFonts w:ascii="Times New Roman" w:eastAsia="Times New Roman" w:hAnsi="Times New Roman" w:cs="Times New Roman"/>
          <w:sz w:val="24"/>
          <w:szCs w:val="24"/>
        </w:rPr>
        <w:t>ҫ</w:t>
      </w:r>
      <w:r w:rsidRPr="00773E68">
        <w:rPr>
          <w:rFonts w:ascii="Times New Roman" w:eastAsia="Times New Roman" w:hAnsi="Times New Roman" w:cs="Times New Roman"/>
          <w:sz w:val="24"/>
          <w:szCs w:val="24"/>
          <w:lang w:val="pt-BR"/>
        </w:rPr>
        <w:t xml:space="preserve">oritë e tokës. </w:t>
      </w:r>
      <w:r w:rsidRPr="00773E68">
        <w:rPr>
          <w:rFonts w:ascii="Times New Roman" w:eastAsia="Times New Roman" w:hAnsi="Times New Roman" w:cs="Times New Roman"/>
          <w:sz w:val="24"/>
          <w:szCs w:val="24"/>
          <w:lang w:val="nn-NO"/>
        </w:rPr>
        <w:t xml:space="preserve">Shumë studime kanë treguar se aktivitetet industriale ndikojnë në përqendrimin e metaleve të rënda në këto zona. </w:t>
      </w:r>
    </w:p>
    <w:p w:rsidR="0092209E" w:rsidRDefault="00773E68" w:rsidP="00773E68">
      <w:pPr>
        <w:spacing w:after="0" w:line="240" w:lineRule="auto"/>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 xml:space="preserve">Lëndët ndotëse që grumbullohen në atmosferë, si pasojë e proceseve natyrore dhe antropogjene, depozitohen përsëri në sipërfaqen e tokës pas transportimit të tyre të largët ose të afërt nga burimi dhe shkarkimi i tyre. </w:t>
      </w:r>
    </w:p>
    <w:p w:rsidR="0092209E" w:rsidRDefault="0092209E" w:rsidP="00773E68">
      <w:pPr>
        <w:spacing w:after="0" w:line="240" w:lineRule="auto"/>
        <w:jc w:val="both"/>
        <w:rPr>
          <w:rFonts w:ascii="Times New Roman" w:eastAsia="Times New Roman" w:hAnsi="Times New Roman" w:cs="Times New Roman"/>
          <w:sz w:val="24"/>
          <w:szCs w:val="24"/>
          <w:lang w:val="nn-NO"/>
        </w:rPr>
      </w:pPr>
    </w:p>
    <w:p w:rsidR="0092209E" w:rsidRDefault="00773E68" w:rsidP="00773E68">
      <w:pPr>
        <w:spacing w:after="0" w:line="240" w:lineRule="auto"/>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Pra toka ose më mirë sipërfaqja e tokës, është vendi ku grumbullohen lëndët ndotëse atmosferike. Në shkëmbimin e lëndës në ekosferë, toka i nënshtrohet një sistemi pastrimi natyror, që do të thotë tërheqja ose marrja në sasi të ndryshme e lëndëve të dëmshme, lidhja e tyre dhe largimi në varësi të llojit të lëndës dhe vetive të tokës, kthehet pjesërisht përsëri në ciklin e mbyllur të shkëmbimit të lëndës.</w:t>
      </w:r>
    </w:p>
    <w:p w:rsidR="00681B50" w:rsidRDefault="00681B50" w:rsidP="00773E68">
      <w:pPr>
        <w:spacing w:after="0" w:line="240" w:lineRule="auto"/>
        <w:jc w:val="both"/>
        <w:rPr>
          <w:rFonts w:ascii="Times New Roman" w:eastAsia="Times New Roman" w:hAnsi="Times New Roman" w:cs="Times New Roman"/>
          <w:sz w:val="24"/>
          <w:szCs w:val="24"/>
          <w:lang w:val="nn-NO"/>
        </w:rPr>
      </w:pPr>
    </w:p>
    <w:p w:rsidR="0092209E" w:rsidRDefault="0092209E" w:rsidP="00773E68">
      <w:pPr>
        <w:spacing w:after="0" w:line="240" w:lineRule="auto"/>
        <w:jc w:val="both"/>
        <w:rPr>
          <w:rFonts w:ascii="Times New Roman" w:eastAsia="Times New Roman" w:hAnsi="Times New Roman" w:cs="Times New Roman"/>
          <w:b/>
          <w:i/>
          <w:sz w:val="24"/>
          <w:szCs w:val="24"/>
          <w:lang w:val="nn-NO"/>
        </w:rPr>
      </w:pPr>
    </w:p>
    <w:p w:rsidR="00773E68" w:rsidRPr="00CC7B15" w:rsidRDefault="00773E68" w:rsidP="00807975">
      <w:pPr>
        <w:pStyle w:val="ListParagraph"/>
        <w:numPr>
          <w:ilvl w:val="0"/>
          <w:numId w:val="95"/>
        </w:numPr>
        <w:spacing w:after="0" w:line="240" w:lineRule="auto"/>
        <w:jc w:val="both"/>
        <w:rPr>
          <w:rFonts w:ascii="Times New Roman" w:eastAsia="Times New Roman" w:hAnsi="Times New Roman" w:cs="Times New Roman"/>
          <w:sz w:val="24"/>
          <w:szCs w:val="24"/>
          <w:lang w:val="sq-AL"/>
        </w:rPr>
      </w:pPr>
      <w:r w:rsidRPr="00CC7B15">
        <w:rPr>
          <w:rFonts w:ascii="Times New Roman" w:eastAsia="Times New Roman" w:hAnsi="Times New Roman" w:cs="Times New Roman"/>
          <w:b/>
          <w:sz w:val="24"/>
          <w:szCs w:val="24"/>
          <w:lang w:val="sq-AL"/>
        </w:rPr>
        <w:lastRenderedPageBreak/>
        <w:t>Toksiciteti i metaleve të rënda dhe rrugët hyrëse në mjedis dhe në njerëz</w:t>
      </w:r>
      <w:r w:rsidRPr="00CC7B15">
        <w:rPr>
          <w:rFonts w:ascii="Times New Roman" w:eastAsia="Times New Roman" w:hAnsi="Times New Roman" w:cs="Times New Roman"/>
          <w:sz w:val="24"/>
          <w:szCs w:val="24"/>
          <w:lang w:val="sq-AL"/>
        </w:rPr>
        <w:t xml:space="preserve"> </w:t>
      </w:r>
    </w:p>
    <w:p w:rsidR="00773E68" w:rsidRPr="00773E68" w:rsidRDefault="00773E68" w:rsidP="00773E68">
      <w:pPr>
        <w:spacing w:after="0" w:line="240" w:lineRule="auto"/>
        <w:jc w:val="both"/>
        <w:rPr>
          <w:rFonts w:ascii="Times New Roman" w:eastAsia="Times New Roman" w:hAnsi="Times New Roman" w:cs="Times New Roman"/>
          <w:sz w:val="24"/>
          <w:szCs w:val="24"/>
          <w:lang w:val="sq-AL"/>
        </w:rPr>
      </w:pPr>
    </w:p>
    <w:p w:rsidR="00773E68" w:rsidRPr="00773E68" w:rsidRDefault="00773E68" w:rsidP="00773E68">
      <w:pPr>
        <w:spacing w:after="0" w:line="240" w:lineRule="auto"/>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sq-AL"/>
        </w:rPr>
        <w:t>Nga të gjithë ndotësit, metalet e rënda kanë marrë një vëmendje parësore për kimistët e mjedisit për shkak të natyrës së tyre toksike. Metalet e rënda janë zakonisht të pranishëm në sasi gjurmë në ujërat natyrorë, por shumë prej tyre janë toksik edhe në përq</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sq-AL"/>
        </w:rPr>
        <w:t xml:space="preserve">ndrime shumë të ulta  </w:t>
      </w:r>
      <w:r w:rsidRPr="00773E68">
        <w:rPr>
          <w:rFonts w:ascii="Times New Roman" w:eastAsia="Times New Roman" w:hAnsi="Times New Roman" w:cs="Times New Roman"/>
          <w:sz w:val="24"/>
          <w:szCs w:val="24"/>
          <w:lang w:val="nn-NO"/>
        </w:rPr>
        <w:t xml:space="preserve">Metalet e rënda bëhen toksike kur nuk metabolizohen nga trupi dhe grumbullohen në indet e buta. Ata mund të hyjnë në trupin e njeriut përmes ushqimit, ujit, ajrit ose thithjes përmes lëkurës kur ato vijnë në kontakt me njerëzit në mjediset bujqësore, prodhuese, farmaceutike, industriale ose rezidenciale. Ekspozimi i njeriut ndaj industrisë është një nga rrugët kryesore të ndotjes së tij. Gëlltitja është rruga më e zakonshme e ekspozimit tek fëmijët. Në lidhje me funksionin prodhues të tokës, jo çdo lloj substance mund të konsiderohet  si e dëmshme për jetën e bimëve. Kriteret për të veçuar se cilave substanca duhet tu kushtohet më shumë vëmendje janë: </w:t>
      </w:r>
    </w:p>
    <w:p w:rsidR="00773E68" w:rsidRPr="00773E68" w:rsidRDefault="00773E68" w:rsidP="00773E68">
      <w:pPr>
        <w:spacing w:after="0" w:line="240" w:lineRule="auto"/>
        <w:ind w:left="720"/>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 xml:space="preserve"> </w:t>
      </w:r>
    </w:p>
    <w:p w:rsidR="00773E68" w:rsidRPr="00773E68" w:rsidRDefault="00773E68" w:rsidP="00F30627">
      <w:pPr>
        <w:numPr>
          <w:ilvl w:val="0"/>
          <w:numId w:val="5"/>
        </w:numPr>
        <w:spacing w:after="0" w:line="240" w:lineRule="auto"/>
        <w:contextualSpacing/>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 xml:space="preserve">Qëndrueshmëria  e lartë në ambient.  </w:t>
      </w:r>
    </w:p>
    <w:p w:rsidR="00773E68" w:rsidRPr="00773E68" w:rsidRDefault="00773E68" w:rsidP="00F30627">
      <w:pPr>
        <w:numPr>
          <w:ilvl w:val="0"/>
          <w:numId w:val="5"/>
        </w:numPr>
        <w:spacing w:after="0" w:line="240" w:lineRule="auto"/>
        <w:contextualSpacing/>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 xml:space="preserve">Toksiciteti dhe bioakumulim i lartë.  </w:t>
      </w:r>
    </w:p>
    <w:p w:rsidR="00773E68" w:rsidRPr="00773E68" w:rsidRDefault="00773E68" w:rsidP="00F30627">
      <w:pPr>
        <w:numPr>
          <w:ilvl w:val="0"/>
          <w:numId w:val="5"/>
        </w:numPr>
        <w:spacing w:after="0" w:line="240" w:lineRule="auto"/>
        <w:contextualSpacing/>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 xml:space="preserve">Përhapja e shpejtë në ambjent dhe  në sasi të konsiderueshme. </w:t>
      </w:r>
    </w:p>
    <w:p w:rsidR="00773E68" w:rsidRPr="00773E68" w:rsidRDefault="00773E68" w:rsidP="00773E68">
      <w:pPr>
        <w:spacing w:after="0" w:line="240" w:lineRule="auto"/>
        <w:jc w:val="both"/>
        <w:rPr>
          <w:rFonts w:ascii="Times New Roman" w:eastAsia="Times New Roman" w:hAnsi="Times New Roman" w:cs="Times New Roman"/>
          <w:sz w:val="24"/>
          <w:szCs w:val="24"/>
          <w:lang w:val="nn-NO"/>
        </w:rPr>
      </w:pPr>
    </w:p>
    <w:p w:rsidR="00773E68" w:rsidRPr="00773E68" w:rsidRDefault="00773E68" w:rsidP="00773E68">
      <w:pPr>
        <w:spacing w:after="0" w:line="240" w:lineRule="auto"/>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Për secilin metal të rëndë, ekzistojnë ndryshime të konsiderueshme në toksicitetin, lëvizshmërinë dhe prirjen e tij për t'u grumbulluar në organizmat e gjallë, midis sasisë totale dhe ekologjikisht të efektshme. Përveç kontaktit të drejtpërdrejtë me tokat e ndotura, për njerëzit  ekzistojnë edhe  rreziqe përmes rrugëve indirekte si: tokë - bimë, tokë - kafshë dhe më vonë kafsh</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nn-NO"/>
        </w:rPr>
        <w:t xml:space="preserve"> njeri, si dhe  tokë - ujë nëntokësor.</w:t>
      </w:r>
    </w:p>
    <w:p w:rsidR="00773E68" w:rsidRPr="00773E68" w:rsidRDefault="00773E68" w:rsidP="00773E68">
      <w:pPr>
        <w:spacing w:after="0" w:line="240" w:lineRule="auto"/>
        <w:jc w:val="both"/>
        <w:rPr>
          <w:rFonts w:ascii="Times New Roman" w:eastAsia="Times New Roman" w:hAnsi="Times New Roman" w:cs="Times New Roman"/>
          <w:sz w:val="24"/>
          <w:szCs w:val="24"/>
          <w:lang w:val="nn-NO"/>
        </w:rPr>
      </w:pPr>
    </w:p>
    <w:p w:rsidR="00773E68" w:rsidRPr="00773E68" w:rsidRDefault="00773E68" w:rsidP="00773E68">
      <w:pPr>
        <w:spacing w:after="0" w:line="240" w:lineRule="auto"/>
        <w:jc w:val="both"/>
        <w:rPr>
          <w:rFonts w:ascii="Times New Roman" w:eastAsia="Times New Roman" w:hAnsi="Times New Roman" w:cs="Times New Roman"/>
          <w:b/>
          <w:color w:val="FFFFFF"/>
          <w:sz w:val="24"/>
          <w:szCs w:val="24"/>
          <w:lang w:val="nn-NO"/>
        </w:rPr>
      </w:pPr>
      <w:r w:rsidRPr="00773E68">
        <w:rPr>
          <w:rFonts w:ascii="Times New Roman" w:eastAsia="Times New Roman" w:hAnsi="Times New Roman" w:cs="Times New Roman"/>
          <w:sz w:val="24"/>
          <w:szCs w:val="24"/>
          <w:lang w:val="nn-NO"/>
        </w:rPr>
        <w:t>Ndër metalet e rënda më kryesorët të rrezikshme mund të përmendim:</w:t>
      </w:r>
    </w:p>
    <w:p w:rsidR="00773E68" w:rsidRPr="00773E68" w:rsidRDefault="00773E68" w:rsidP="00773E68">
      <w:pPr>
        <w:spacing w:after="0" w:line="240" w:lineRule="auto"/>
        <w:jc w:val="both"/>
        <w:rPr>
          <w:rFonts w:ascii="Times New Roman" w:eastAsia="Times New Roman" w:hAnsi="Times New Roman" w:cs="Times New Roman"/>
          <w:sz w:val="24"/>
          <w:szCs w:val="24"/>
          <w:lang w:val="nn-NO"/>
        </w:rPr>
      </w:pPr>
    </w:p>
    <w:p w:rsidR="00773E68" w:rsidRPr="00773E68" w:rsidRDefault="00773E68" w:rsidP="00773E68">
      <w:pPr>
        <w:spacing w:after="0" w:line="240" w:lineRule="auto"/>
        <w:contextualSpacing/>
        <w:jc w:val="both"/>
        <w:rPr>
          <w:rFonts w:ascii="Times New Roman" w:eastAsia="Times New Roman" w:hAnsi="Times New Roman" w:cs="Times New Roman"/>
          <w:b/>
          <w:sz w:val="24"/>
          <w:szCs w:val="24"/>
          <w:lang w:val="nn-NO"/>
        </w:rPr>
      </w:pPr>
      <w:r w:rsidRPr="00773E68">
        <w:rPr>
          <w:rFonts w:ascii="Times New Roman" w:eastAsia="Times New Roman" w:hAnsi="Times New Roman" w:cs="Times New Roman"/>
          <w:b/>
          <w:sz w:val="24"/>
          <w:szCs w:val="24"/>
          <w:lang w:val="nn-NO"/>
        </w:rPr>
        <w:t xml:space="preserve">Plumbi (Pb) </w:t>
      </w:r>
    </w:p>
    <w:p w:rsidR="00773E68" w:rsidRPr="00773E68" w:rsidRDefault="00773E68" w:rsidP="00773E68">
      <w:pPr>
        <w:spacing w:after="0" w:line="240" w:lineRule="auto"/>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 xml:space="preserve">Plumbi kryesisht ekziston në natyrë në jone të qëndrueshme plumbi (Pb2+) ose i lidhur me metale të tjera të tilla si As, Zn dhe Cu. Pb zakonisht gjendet në xehe së bashku me Zn. Xeherori më i përhapur dhe më i rëndësishëm i plumbit është sulfidi i plumbit apo plumbi (II). Doza akute toksike tek njerëzit është midis </w:t>
      </w:r>
      <w:r w:rsidRPr="00773E68">
        <w:rPr>
          <w:rFonts w:ascii="Times New Roman" w:eastAsia="Times New Roman" w:hAnsi="Times New Roman" w:cs="Times New Roman"/>
          <w:b/>
          <w:sz w:val="24"/>
          <w:szCs w:val="24"/>
          <w:lang w:val="nn-NO"/>
        </w:rPr>
        <w:t>60 dhe 250 mg/kg.</w:t>
      </w:r>
      <w:r w:rsidRPr="00773E68">
        <w:rPr>
          <w:rFonts w:ascii="Times New Roman" w:eastAsia="Times New Roman" w:hAnsi="Times New Roman" w:cs="Times New Roman"/>
          <w:sz w:val="24"/>
          <w:szCs w:val="24"/>
          <w:lang w:val="nn-NO"/>
        </w:rPr>
        <w:t xml:space="preserve"> </w:t>
      </w:r>
    </w:p>
    <w:p w:rsidR="00773E68" w:rsidRPr="00773E68" w:rsidRDefault="00773E68" w:rsidP="00773E68">
      <w:pPr>
        <w:spacing w:after="0" w:line="240" w:lineRule="auto"/>
        <w:jc w:val="both"/>
        <w:rPr>
          <w:rFonts w:ascii="Times New Roman" w:eastAsia="Times New Roman" w:hAnsi="Times New Roman" w:cs="Times New Roman"/>
          <w:sz w:val="24"/>
          <w:szCs w:val="24"/>
          <w:lang w:val="nn-NO"/>
        </w:rPr>
      </w:pPr>
    </w:p>
    <w:p w:rsidR="00773E68" w:rsidRPr="00773E68" w:rsidRDefault="00773E68" w:rsidP="00773E68">
      <w:pPr>
        <w:spacing w:after="0" w:line="240" w:lineRule="auto"/>
        <w:jc w:val="both"/>
        <w:rPr>
          <w:rFonts w:ascii="Times New Roman" w:eastAsia="Times New Roman" w:hAnsi="Times New Roman" w:cs="Times New Roman"/>
          <w:b/>
          <w:sz w:val="24"/>
          <w:szCs w:val="24"/>
          <w:lang w:val="nn-NO"/>
        </w:rPr>
      </w:pPr>
      <w:r w:rsidRPr="00773E68">
        <w:rPr>
          <w:rFonts w:ascii="Times New Roman" w:eastAsia="Times New Roman" w:hAnsi="Times New Roman" w:cs="Times New Roman"/>
          <w:b/>
          <w:sz w:val="24"/>
          <w:szCs w:val="24"/>
          <w:lang w:val="nn-NO"/>
        </w:rPr>
        <w:t>Kadmiumi (Cd)</w:t>
      </w:r>
    </w:p>
    <w:p w:rsidR="00773E68" w:rsidRPr="00773E68" w:rsidRDefault="00773E68" w:rsidP="00773E68">
      <w:pPr>
        <w:spacing w:after="0" w:line="240" w:lineRule="auto"/>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 xml:space="preserve">Kadmiumi (Cd) është një elemnt kimik, ndodhja dhe prodhimi i të cilit lidhet kryesisht me minierat, shkrirjen dhe përpunimin e Zn dhe të Cu. Kadmiumi dhe përbërësit e tij janë toksikë dhe mund të absorbohen nga trupi i njeriut nëpërmjet tretjes dhe thithjes. </w:t>
      </w:r>
      <w:r w:rsidRPr="00681B50">
        <w:rPr>
          <w:rFonts w:ascii="Times New Roman" w:eastAsia="Times New Roman" w:hAnsi="Times New Roman" w:cs="Times New Roman"/>
          <w:sz w:val="24"/>
          <w:szCs w:val="24"/>
          <w:lang w:val="nn-NO"/>
        </w:rPr>
        <w:t>Doza akute vdekjeprurëse me anë të marrjes përmes ushqimit shprehet si 30 deri 40 mg/kg.</w:t>
      </w:r>
      <w:r w:rsidRPr="00773E68">
        <w:rPr>
          <w:rFonts w:ascii="Times New Roman" w:eastAsia="Times New Roman" w:hAnsi="Times New Roman" w:cs="Times New Roman"/>
          <w:sz w:val="24"/>
          <w:szCs w:val="24"/>
          <w:lang w:val="nn-NO"/>
        </w:rPr>
        <w:t xml:space="preserve"> Pas thithjes së 3-8% me anë të rrugëve orale sasia e gëlltitur bën që metali i rëndë të grumbullohet kryesisht në mëlçi, veshkë dhe eritrocite, duke shkaktuar mosfunksionimin e veshkave (proteinuria) dhe presion të lartë të gjakut.</w:t>
      </w:r>
    </w:p>
    <w:p w:rsidR="0092209E" w:rsidRPr="00CC7B15" w:rsidRDefault="00773E68" w:rsidP="00773E68">
      <w:pPr>
        <w:spacing w:after="0" w:line="240" w:lineRule="auto"/>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 xml:space="preserve"> </w:t>
      </w:r>
    </w:p>
    <w:p w:rsidR="00773E68" w:rsidRPr="00773E68" w:rsidRDefault="00773E68" w:rsidP="00773E68">
      <w:pPr>
        <w:spacing w:after="0" w:line="240" w:lineRule="auto"/>
        <w:contextualSpacing/>
        <w:jc w:val="both"/>
        <w:rPr>
          <w:rFonts w:ascii="Times New Roman" w:eastAsia="Times New Roman" w:hAnsi="Times New Roman" w:cs="Times New Roman"/>
          <w:b/>
          <w:sz w:val="24"/>
          <w:szCs w:val="24"/>
          <w:lang w:val="nn-NO"/>
        </w:rPr>
      </w:pPr>
      <w:r w:rsidRPr="00773E68">
        <w:rPr>
          <w:rFonts w:ascii="Times New Roman" w:eastAsia="Times New Roman" w:hAnsi="Times New Roman" w:cs="Times New Roman"/>
          <w:b/>
          <w:sz w:val="24"/>
          <w:szCs w:val="24"/>
          <w:lang w:val="nn-NO"/>
        </w:rPr>
        <w:t>Zinku (Zn)</w:t>
      </w:r>
    </w:p>
    <w:p w:rsidR="00773E68" w:rsidRPr="00773E68" w:rsidRDefault="00773E68" w:rsidP="00773E68">
      <w:pPr>
        <w:spacing w:after="0" w:line="240" w:lineRule="auto"/>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 xml:space="preserve">Zinku në natyrë kryesisht gjendet si sulfide e vetme (ZnS). Përdorimi kryesor i Zn është prodhimi i produkteve të galvanizuara për industrinë e automobilave dhe për komponentët strukturor në industrinë e ndërtimit. Zn gjithashtu përdoret edhe në prodhimin e pajisjeve hidraulike si dhe të komponenteve të sistemeve për ngrohje dhe ftohje. Sasitë e vogla të këtij elementi janë të mjaftueshme për shëndetin e njeriut i cili ndihmon në forcimin e sistemin </w:t>
      </w:r>
      <w:r w:rsidRPr="00773E68">
        <w:rPr>
          <w:rFonts w:ascii="Times New Roman" w:eastAsia="Times New Roman" w:hAnsi="Times New Roman" w:cs="Times New Roman"/>
          <w:sz w:val="24"/>
          <w:szCs w:val="24"/>
          <w:lang w:val="nn-NO"/>
        </w:rPr>
        <w:lastRenderedPageBreak/>
        <w:t>imunitar, ofron lehtësim te ftohja e zakonshme dhe infeksionet periodike të veshit, parandalimin e infeksioneve në pjesën e poshtme të mushkërive, etj. Proteinat përmbajnë sasi të mëdha të këtij minerali, ndërsa mishi i kuq është burim i mirë i Zn. Efektet toksike apo mungesa e tij pa</w:t>
      </w:r>
      <w:r w:rsidR="000B74F2">
        <w:rPr>
          <w:rFonts w:ascii="Times New Roman" w:eastAsia="Times New Roman" w:hAnsi="Times New Roman" w:cs="Times New Roman"/>
          <w:sz w:val="24"/>
          <w:szCs w:val="24"/>
          <w:lang w:val="nn-NO"/>
        </w:rPr>
        <w:t>raqitet me ngecjen e rritjes, rëni</w:t>
      </w:r>
      <w:r w:rsidRPr="00773E68">
        <w:rPr>
          <w:rFonts w:ascii="Times New Roman" w:eastAsia="Times New Roman" w:hAnsi="Times New Roman" w:cs="Times New Roman"/>
          <w:sz w:val="24"/>
          <w:szCs w:val="24"/>
          <w:lang w:val="nn-NO"/>
        </w:rPr>
        <w:t>en e flokëve, dëmtime të lëkur</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nn-NO"/>
        </w:rPr>
        <w:t>s, anemi, etj.</w:t>
      </w:r>
    </w:p>
    <w:p w:rsidR="00773E68" w:rsidRPr="00773E68" w:rsidRDefault="00773E68" w:rsidP="00773E68">
      <w:pPr>
        <w:spacing w:after="0" w:line="240" w:lineRule="auto"/>
        <w:jc w:val="both"/>
        <w:rPr>
          <w:rFonts w:ascii="Times New Roman" w:eastAsia="Times New Roman" w:hAnsi="Times New Roman" w:cs="Times New Roman"/>
          <w:b/>
          <w:sz w:val="24"/>
          <w:szCs w:val="24"/>
          <w:lang w:val="nn-NO"/>
        </w:rPr>
      </w:pPr>
    </w:p>
    <w:p w:rsidR="00773E68" w:rsidRPr="00773E68" w:rsidRDefault="00773E68" w:rsidP="00773E68">
      <w:pPr>
        <w:shd w:val="clear" w:color="auto" w:fill="FFFFFF"/>
        <w:spacing w:after="100" w:afterAutospacing="1" w:line="240" w:lineRule="auto"/>
        <w:contextualSpacing/>
        <w:jc w:val="both"/>
        <w:rPr>
          <w:rFonts w:ascii="Times New Roman" w:eastAsia="Times New Roman" w:hAnsi="Times New Roman" w:cs="Times New Roman"/>
          <w:b/>
          <w:bCs/>
          <w:color w:val="000000"/>
          <w:sz w:val="24"/>
          <w:szCs w:val="24"/>
          <w:lang w:val="it-IT"/>
        </w:rPr>
      </w:pPr>
      <w:r w:rsidRPr="00773E68">
        <w:rPr>
          <w:rFonts w:ascii="Times New Roman" w:eastAsia="Times New Roman" w:hAnsi="Times New Roman" w:cs="Times New Roman"/>
          <w:b/>
          <w:bCs/>
          <w:color w:val="000000"/>
          <w:sz w:val="24"/>
          <w:szCs w:val="24"/>
          <w:lang w:val="it-IT"/>
        </w:rPr>
        <w:t>Hekuri (Fe)</w:t>
      </w:r>
    </w:p>
    <w:p w:rsidR="00773E68" w:rsidRPr="00773E68" w:rsidRDefault="00773E68" w:rsidP="00773E68">
      <w:pPr>
        <w:shd w:val="clear" w:color="auto" w:fill="FFFFFF"/>
        <w:spacing w:after="100" w:afterAutospacing="1" w:line="240" w:lineRule="auto"/>
        <w:jc w:val="both"/>
        <w:rPr>
          <w:rFonts w:ascii="Times New Roman" w:eastAsia="Times New Roman" w:hAnsi="Times New Roman" w:cs="Times New Roman"/>
          <w:color w:val="000000"/>
          <w:sz w:val="24"/>
          <w:szCs w:val="24"/>
          <w:lang w:val="it-IT"/>
        </w:rPr>
      </w:pPr>
      <w:r w:rsidRPr="00773E68">
        <w:rPr>
          <w:rFonts w:ascii="Times New Roman" w:hAnsi="Times New Roman" w:cs="Times New Roman"/>
          <w:color w:val="000000"/>
          <w:sz w:val="24"/>
          <w:szCs w:val="24"/>
          <w:lang w:val="it-IT"/>
        </w:rPr>
        <w:t xml:space="preserve">Hekuri </w:t>
      </w:r>
      <w:r w:rsidRPr="00773E68">
        <w:rPr>
          <w:rFonts w:ascii="Times New Roman" w:eastAsia="Times New Roman" w:hAnsi="Times New Roman" w:cs="Times New Roman"/>
          <w:color w:val="000000"/>
          <w:sz w:val="24"/>
          <w:szCs w:val="24"/>
          <w:lang w:val="it-IT"/>
        </w:rPr>
        <w:t xml:space="preserve">është metal i shndritshëm, me ngjyrë të bardhë në të argjentë, plastik dhe i qëndrueshëm, i farkëtueshëm, i saldueshëm dhe i petëzueshëm, që punohet me lehtësi në të nxehtë e në të ftohtë, i vetmi metal që mund të kalitet, me veti të theksuara ferromagnetike. Oksidohet në ajër duke formuar një shtresë të shkrifët ndryshku dhe brehet nga agjentët atmosferikë. Hekuri është një nga elementet më të përhapura në natyrë. Takohet rrallë në gjendje të lirë, por formon minerale të shumtë, ndër të cilët hematiti, magnetiti, limoniti, sideriti, gëtiti, etj. </w:t>
      </w:r>
    </w:p>
    <w:p w:rsidR="000B74F2" w:rsidRDefault="000B74F2" w:rsidP="000B74F2">
      <w:pPr>
        <w:shd w:val="clear" w:color="auto" w:fill="FFFFFF"/>
        <w:spacing w:after="0" w:line="240" w:lineRule="auto"/>
        <w:jc w:val="both"/>
        <w:rPr>
          <w:rFonts w:ascii="Times New Roman" w:eastAsia="Times New Roman" w:hAnsi="Times New Roman" w:cs="Times New Roman"/>
          <w:b/>
          <w:sz w:val="24"/>
          <w:szCs w:val="24"/>
          <w:lang w:val="nn-NO"/>
        </w:rPr>
      </w:pPr>
      <w:r>
        <w:rPr>
          <w:rFonts w:ascii="Times New Roman" w:eastAsia="Times New Roman" w:hAnsi="Times New Roman" w:cs="Times New Roman"/>
          <w:b/>
          <w:sz w:val="24"/>
          <w:szCs w:val="24"/>
          <w:lang w:val="nn-NO"/>
        </w:rPr>
        <w:t>Mangani (Mn)</w:t>
      </w:r>
    </w:p>
    <w:p w:rsidR="00773E68" w:rsidRPr="000B74F2" w:rsidRDefault="00773E68" w:rsidP="000B74F2">
      <w:pPr>
        <w:shd w:val="clear" w:color="auto" w:fill="FFFFFF"/>
        <w:spacing w:after="0" w:line="240" w:lineRule="auto"/>
        <w:jc w:val="both"/>
        <w:rPr>
          <w:rFonts w:ascii="Times New Roman" w:eastAsia="Times New Roman" w:hAnsi="Times New Roman" w:cs="Times New Roman"/>
          <w:b/>
          <w:sz w:val="24"/>
          <w:szCs w:val="24"/>
          <w:lang w:val="nn-NO"/>
        </w:rPr>
      </w:pPr>
      <w:r w:rsidRPr="00773E68">
        <w:rPr>
          <w:rFonts w:ascii="Times New Roman" w:eastAsia="Times New Roman" w:hAnsi="Times New Roman" w:cs="Times New Roman"/>
          <w:sz w:val="24"/>
          <w:szCs w:val="24"/>
          <w:lang w:val="nn-NO"/>
        </w:rPr>
        <w:t>Mangani i zakonshëm është një metal i fortë dhe i brishtë gri në të bardhë. Është kimikisht reaktiv dhe dekompozohet ngadalë në ujë të ftohtë. Metali i manganit është ferromagnetik (vetëm) pas trajtimit të veçantë. Ekzistojnë katër forma alotropike të manganit. Forma alfa është e qëndrueshme në temperatura normale. Forma gama ndryshon në formën alfa në temperaturë të zakonshme. Në ndryshim nga forma alfa, forma gama është e butë, fleksibël dhe lehtësisht e prerë.</w:t>
      </w:r>
    </w:p>
    <w:p w:rsidR="000B74F2" w:rsidRDefault="000B74F2" w:rsidP="00773E68">
      <w:pPr>
        <w:shd w:val="clear" w:color="auto" w:fill="FFFFFF"/>
        <w:spacing w:before="120" w:after="240" w:line="240" w:lineRule="auto"/>
        <w:jc w:val="both"/>
        <w:rPr>
          <w:rFonts w:ascii="Times New Roman" w:eastAsia="Times New Roman" w:hAnsi="Times New Roman" w:cs="Times New Roman"/>
          <w:b/>
          <w:bCs/>
          <w:sz w:val="24"/>
          <w:szCs w:val="24"/>
          <w:lang w:val="nn-NO"/>
        </w:rPr>
      </w:pPr>
    </w:p>
    <w:p w:rsidR="000B74F2" w:rsidRDefault="00773E68" w:rsidP="000B74F2">
      <w:pPr>
        <w:shd w:val="clear" w:color="auto" w:fill="FFFFFF"/>
        <w:spacing w:after="0" w:line="240" w:lineRule="auto"/>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b/>
          <w:bCs/>
          <w:sz w:val="24"/>
          <w:szCs w:val="24"/>
          <w:lang w:val="nn-NO"/>
        </w:rPr>
        <w:t>Bakri</w:t>
      </w:r>
      <w:r w:rsidRPr="00773E68">
        <w:rPr>
          <w:rFonts w:ascii="Times New Roman" w:eastAsia="Times New Roman" w:hAnsi="Times New Roman" w:cs="Times New Roman"/>
          <w:sz w:val="24"/>
          <w:szCs w:val="24"/>
          <w:lang w:val="nn-NO"/>
        </w:rPr>
        <w:t xml:space="preserve">  </w:t>
      </w:r>
      <w:r w:rsidRPr="00773E68">
        <w:rPr>
          <w:rFonts w:ascii="Times New Roman" w:eastAsia="Times New Roman" w:hAnsi="Times New Roman" w:cs="Times New Roman"/>
          <w:b/>
          <w:sz w:val="24"/>
          <w:szCs w:val="24"/>
          <w:lang w:val="nn-NO"/>
        </w:rPr>
        <w:t>(Cu)</w:t>
      </w:r>
    </w:p>
    <w:p w:rsidR="00773E68" w:rsidRPr="00773E68" w:rsidRDefault="00773E68" w:rsidP="000B74F2">
      <w:pPr>
        <w:shd w:val="clear" w:color="auto" w:fill="FFFFFF"/>
        <w:spacing w:after="0" w:line="240" w:lineRule="auto"/>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Bakri është një metal i periodës së 4 në grupin e 11 të  sistemit periodik. Ai  ka ngjyra t</w:t>
      </w:r>
      <w:r w:rsidRPr="00773E68">
        <w:rPr>
          <w:rFonts w:ascii="Times New Roman" w:eastAsia="Times New Roman" w:hAnsi="Times New Roman" w:cs="Times New Roman"/>
          <w:sz w:val="24"/>
          <w:szCs w:val="24"/>
          <w:lang w:val="sq-AL"/>
        </w:rPr>
        <w:t>ë</w:t>
      </w:r>
      <w:r w:rsidRPr="00773E68">
        <w:rPr>
          <w:rFonts w:ascii="Times New Roman" w:eastAsia="Times New Roman" w:hAnsi="Times New Roman" w:cs="Times New Roman"/>
          <w:sz w:val="24"/>
          <w:szCs w:val="24"/>
          <w:lang w:val="nn-NO"/>
        </w:rPr>
        <w:t xml:space="preserve"> kuqe dhe ka qënë metali i parë i përdorur nga njeriu për prodhimin e veglave</w:t>
      </w:r>
      <w:r w:rsidR="000B74F2">
        <w:rPr>
          <w:rFonts w:ascii="Times New Roman" w:eastAsia="Times New Roman" w:hAnsi="Times New Roman" w:cs="Times New Roman"/>
          <w:sz w:val="24"/>
          <w:szCs w:val="24"/>
          <w:lang w:val="nn-NO"/>
        </w:rPr>
        <w:t xml:space="preserve"> të ndryshme si dhe të armëve. </w:t>
      </w:r>
      <w:r w:rsidRPr="00773E68">
        <w:rPr>
          <w:rFonts w:ascii="Times New Roman" w:eastAsia="Times New Roman" w:hAnsi="Times New Roman" w:cs="Times New Roman"/>
          <w:sz w:val="24"/>
          <w:szCs w:val="24"/>
          <w:lang w:val="nn-NO"/>
        </w:rPr>
        <w:t xml:space="preserve">Është metal i butë dhe i lakueshëm, i cili punohet lehtë dhe telëzohet. Ka përçueshmëri shumë të lartë të nxehtësisë dhe elektricitetit. </w:t>
      </w:r>
    </w:p>
    <w:p w:rsidR="00773E68" w:rsidRPr="00773E68" w:rsidRDefault="00773E68" w:rsidP="000B74F2">
      <w:pPr>
        <w:shd w:val="clear" w:color="auto" w:fill="FFFFFF"/>
        <w:spacing w:after="0" w:line="240" w:lineRule="auto"/>
        <w:jc w:val="both"/>
        <w:rPr>
          <w:rFonts w:ascii="Times New Roman" w:eastAsia="Times New Roman" w:hAnsi="Times New Roman" w:cs="Times New Roman"/>
          <w:color w:val="000000"/>
          <w:sz w:val="24"/>
          <w:szCs w:val="24"/>
          <w:lang w:val="nn-NO"/>
        </w:rPr>
      </w:pPr>
      <w:r w:rsidRPr="00773E68">
        <w:rPr>
          <w:rFonts w:ascii="Times New Roman" w:eastAsia="Times New Roman" w:hAnsi="Times New Roman" w:cs="Times New Roman"/>
          <w:sz w:val="24"/>
          <w:szCs w:val="24"/>
          <w:lang w:val="nn-NO"/>
        </w:rPr>
        <w:t>Në përbërjet kimike, bakri mund të jetë në gjendjen e oksidimit +1 dhe +2. Gjendja +1 oksidohet lehtë. Ajo është e q</w:t>
      </w:r>
      <w:r w:rsidRPr="00773E68">
        <w:rPr>
          <w:rFonts w:ascii="Times New Roman" w:eastAsia="Times New Roman" w:hAnsi="Times New Roman" w:cs="Times New Roman"/>
          <w:sz w:val="24"/>
          <w:szCs w:val="24"/>
          <w:lang w:val="sq-AL"/>
        </w:rPr>
        <w:t>ë</w:t>
      </w:r>
      <w:r w:rsidRPr="00773E68">
        <w:rPr>
          <w:rFonts w:ascii="Times New Roman" w:eastAsia="Times New Roman" w:hAnsi="Times New Roman" w:cs="Times New Roman"/>
          <w:sz w:val="24"/>
          <w:szCs w:val="24"/>
          <w:lang w:val="nn-NO"/>
        </w:rPr>
        <w:t>ndrueshme vetëm në përbërjet e patretshme si: CuCl, Cu</w:t>
      </w:r>
      <w:r w:rsidRPr="000B74F2">
        <w:rPr>
          <w:rFonts w:ascii="Times New Roman" w:eastAsia="Times New Roman" w:hAnsi="Times New Roman" w:cs="Times New Roman"/>
          <w:sz w:val="24"/>
          <w:szCs w:val="24"/>
          <w:vertAlign w:val="subscript"/>
          <w:lang w:val="nn-NO"/>
        </w:rPr>
        <w:t>2</w:t>
      </w:r>
      <w:r w:rsidRPr="00773E68">
        <w:rPr>
          <w:rFonts w:ascii="Times New Roman" w:eastAsia="Times New Roman" w:hAnsi="Times New Roman" w:cs="Times New Roman"/>
          <w:sz w:val="24"/>
          <w:szCs w:val="24"/>
          <w:lang w:val="nn-NO"/>
        </w:rPr>
        <w:t>O dhe në përbërjet komplekse, si CuSO</w:t>
      </w:r>
      <w:r w:rsidRPr="000B74F2">
        <w:rPr>
          <w:rFonts w:ascii="Times New Roman" w:eastAsia="Times New Roman" w:hAnsi="Times New Roman" w:cs="Times New Roman"/>
          <w:sz w:val="24"/>
          <w:szCs w:val="24"/>
          <w:vertAlign w:val="subscript"/>
          <w:lang w:val="nn-NO"/>
        </w:rPr>
        <w:t>4</w:t>
      </w:r>
      <w:r w:rsidRPr="00773E68">
        <w:rPr>
          <w:rFonts w:ascii="Times New Roman" w:eastAsia="Times New Roman" w:hAnsi="Times New Roman" w:cs="Times New Roman"/>
          <w:sz w:val="24"/>
          <w:szCs w:val="24"/>
          <w:lang w:val="nn-NO"/>
        </w:rPr>
        <w:t>.  Komponimet e bakrit janë të gjitha helmuese</w:t>
      </w:r>
      <w:r w:rsidRPr="00773E68">
        <w:rPr>
          <w:rFonts w:ascii="Times New Roman" w:eastAsia="Times New Roman" w:hAnsi="Times New Roman" w:cs="Times New Roman"/>
          <w:color w:val="202122"/>
          <w:sz w:val="24"/>
          <w:szCs w:val="24"/>
          <w:lang w:val="nn-NO"/>
        </w:rPr>
        <w:t>.</w:t>
      </w:r>
    </w:p>
    <w:p w:rsidR="0092209E" w:rsidRDefault="0092209E" w:rsidP="00773E68">
      <w:pPr>
        <w:spacing w:after="0" w:line="240" w:lineRule="auto"/>
        <w:jc w:val="both"/>
        <w:rPr>
          <w:rFonts w:ascii="Times New Roman" w:eastAsia="Times New Roman" w:hAnsi="Times New Roman" w:cs="Times New Roman"/>
          <w:b/>
          <w:sz w:val="24"/>
          <w:szCs w:val="24"/>
          <w:lang w:val="it-IT"/>
        </w:rPr>
      </w:pPr>
    </w:p>
    <w:p w:rsidR="0092209E" w:rsidRPr="00773E68" w:rsidRDefault="0092209E"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D12377" w:rsidP="00773E68">
      <w:pPr>
        <w:tabs>
          <w:tab w:val="left" w:pos="7440"/>
        </w:tabs>
        <w:spacing w:after="0" w:line="240" w:lineRule="auto"/>
        <w:jc w:val="both"/>
        <w:rPr>
          <w:rFonts w:ascii="Times New Roman" w:eastAsia="Times New Roman" w:hAnsi="Times New Roman" w:cs="Times New Roman"/>
          <w:b/>
          <w:sz w:val="24"/>
          <w:szCs w:val="24"/>
          <w:lang w:val="it-IT"/>
        </w:rPr>
      </w:pPr>
      <w:r>
        <w:rPr>
          <w:rFonts w:ascii="Times New Roman" w:eastAsia="Times New Roman" w:hAnsi="Times New Roman" w:cs="Times New Roman"/>
          <w:b/>
          <w:sz w:val="24"/>
          <w:szCs w:val="24"/>
          <w:lang w:val="it-IT"/>
        </w:rPr>
        <w:t xml:space="preserve">6.2 </w:t>
      </w:r>
      <w:r w:rsidR="00773E68" w:rsidRPr="00773E68">
        <w:rPr>
          <w:rFonts w:ascii="Times New Roman" w:eastAsia="Times New Roman" w:hAnsi="Times New Roman" w:cs="Times New Roman"/>
          <w:b/>
          <w:sz w:val="24"/>
          <w:szCs w:val="24"/>
          <w:lang w:val="it-IT"/>
        </w:rPr>
        <w:t>Vlerësimi i gjendjes</w:t>
      </w:r>
      <w:r w:rsidR="000B74F2">
        <w:rPr>
          <w:rFonts w:ascii="Times New Roman" w:eastAsia="Times New Roman" w:hAnsi="Times New Roman" w:cs="Times New Roman"/>
          <w:b/>
          <w:sz w:val="24"/>
          <w:szCs w:val="24"/>
          <w:lang w:val="it-IT"/>
        </w:rPr>
        <w:t xml:space="preserve"> së</w:t>
      </w:r>
      <w:r>
        <w:rPr>
          <w:rFonts w:ascii="Times New Roman" w:eastAsia="Times New Roman" w:hAnsi="Times New Roman" w:cs="Times New Roman"/>
          <w:b/>
          <w:sz w:val="24"/>
          <w:szCs w:val="24"/>
          <w:lang w:val="it-IT"/>
        </w:rPr>
        <w:t xml:space="preserve"> tokave</w:t>
      </w:r>
    </w:p>
    <w:p w:rsidR="0092209E" w:rsidRDefault="0092209E" w:rsidP="005235A0">
      <w:pPr>
        <w:spacing w:after="0" w:line="240" w:lineRule="auto"/>
        <w:jc w:val="both"/>
        <w:rPr>
          <w:rFonts w:ascii="Times New Roman" w:eastAsia="Times New Roman" w:hAnsi="Times New Roman" w:cs="Times New Roman"/>
          <w:bCs/>
          <w:iCs/>
          <w:color w:val="000000"/>
          <w:sz w:val="24"/>
          <w:szCs w:val="24"/>
          <w:lang w:val="sq-AL"/>
        </w:rPr>
      </w:pPr>
    </w:p>
    <w:p w:rsidR="005235A0" w:rsidRPr="005235A0" w:rsidRDefault="007F227B" w:rsidP="005235A0">
      <w:pPr>
        <w:spacing w:after="0" w:line="24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bCs/>
          <w:iCs/>
          <w:color w:val="000000"/>
          <w:sz w:val="24"/>
          <w:szCs w:val="24"/>
          <w:lang w:val="sq-AL"/>
        </w:rPr>
        <w:t>Monitorimi</w:t>
      </w:r>
      <w:r w:rsidR="00D12377" w:rsidRPr="009D54BE">
        <w:rPr>
          <w:rFonts w:ascii="Times New Roman" w:eastAsia="Times New Roman" w:hAnsi="Times New Roman" w:cs="Times New Roman"/>
          <w:bCs/>
          <w:iCs/>
          <w:color w:val="000000"/>
          <w:sz w:val="24"/>
          <w:szCs w:val="24"/>
          <w:lang w:val="sq-AL"/>
        </w:rPr>
        <w:t xml:space="preserve"> është kryer </w:t>
      </w:r>
      <w:r w:rsidR="009D54BE">
        <w:rPr>
          <w:rFonts w:ascii="Times New Roman" w:eastAsia="Times New Roman" w:hAnsi="Times New Roman" w:cs="Times New Roman"/>
          <w:bCs/>
          <w:iCs/>
          <w:color w:val="000000"/>
          <w:sz w:val="24"/>
          <w:szCs w:val="24"/>
          <w:lang w:val="sq-AL"/>
        </w:rPr>
        <w:t xml:space="preserve">në bashkinë, Elbasan, Vlorë, Pogradec, Përrenjas, Kalimash, Kukës-Gjegjan, Fier, Laç, Berat, Lushnje dhe Burrel, </w:t>
      </w:r>
      <w:r w:rsidR="009D54BE" w:rsidRPr="009D54BE">
        <w:rPr>
          <w:rFonts w:ascii="Times New Roman" w:eastAsia="Times New Roman" w:hAnsi="Times New Roman" w:cs="Times New Roman"/>
          <w:bCs/>
          <w:iCs/>
          <w:color w:val="000000"/>
          <w:sz w:val="24"/>
          <w:szCs w:val="24"/>
          <w:lang w:val="sq-AL"/>
        </w:rPr>
        <w:t xml:space="preserve"> në tokat pranë zonave të ndotura si</w:t>
      </w:r>
      <w:r w:rsidR="009D54BE">
        <w:rPr>
          <w:rFonts w:ascii="Times New Roman" w:eastAsia="Times New Roman" w:hAnsi="Times New Roman" w:cs="Times New Roman"/>
          <w:bCs/>
          <w:iCs/>
          <w:color w:val="000000"/>
          <w:sz w:val="24"/>
          <w:szCs w:val="24"/>
          <w:lang w:val="sq-AL"/>
        </w:rPr>
        <w:t xml:space="preserve">; </w:t>
      </w:r>
      <w:r w:rsidR="009D54BE" w:rsidRPr="009D54BE">
        <w:rPr>
          <w:rFonts w:ascii="Times New Roman" w:eastAsia="Times New Roman" w:hAnsi="Times New Roman" w:cs="Times New Roman"/>
          <w:bCs/>
          <w:iCs/>
          <w:color w:val="000000"/>
          <w:sz w:val="24"/>
          <w:szCs w:val="24"/>
          <w:lang w:val="sq-AL"/>
        </w:rPr>
        <w:t xml:space="preserve"> </w:t>
      </w:r>
      <w:r w:rsidR="009D54BE" w:rsidRPr="009D54BE">
        <w:rPr>
          <w:rFonts w:ascii="Times New Roman" w:eastAsia="Times New Roman" w:hAnsi="Times New Roman" w:cs="Times New Roman"/>
          <w:sz w:val="24"/>
          <w:szCs w:val="24"/>
          <w:lang w:val="it-IT"/>
        </w:rPr>
        <w:t>Metalurgjiku</w:t>
      </w:r>
      <w:r w:rsidR="009D54BE">
        <w:rPr>
          <w:rFonts w:ascii="Times New Roman" w:eastAsia="Times New Roman" w:hAnsi="Times New Roman" w:cs="Times New Roman"/>
          <w:sz w:val="24"/>
          <w:szCs w:val="24"/>
          <w:lang w:val="it-IT"/>
        </w:rPr>
        <w:t xml:space="preserve"> në Elbasan, </w:t>
      </w:r>
      <w:r w:rsidR="009D54BE" w:rsidRPr="009D54BE">
        <w:rPr>
          <w:rFonts w:ascii="Times New Roman" w:eastAsia="Times New Roman" w:hAnsi="Times New Roman" w:cs="Times New Roman"/>
          <w:sz w:val="24"/>
          <w:szCs w:val="24"/>
          <w:lang w:val="it-IT"/>
        </w:rPr>
        <w:t>Uzina baterive</w:t>
      </w:r>
      <w:r w:rsidR="009D54BE">
        <w:rPr>
          <w:rFonts w:ascii="Times New Roman" w:eastAsia="Times New Roman" w:hAnsi="Times New Roman" w:cs="Times New Roman"/>
          <w:sz w:val="24"/>
          <w:szCs w:val="24"/>
          <w:lang w:val="it-IT"/>
        </w:rPr>
        <w:t xml:space="preserve"> Berat,  Hekur-Nikeli në</w:t>
      </w:r>
      <w:r w:rsidR="009D54BE" w:rsidRPr="009D54BE">
        <w:rPr>
          <w:rFonts w:ascii="Times New Roman" w:eastAsia="Times New Roman" w:hAnsi="Times New Roman" w:cs="Times New Roman"/>
          <w:sz w:val="24"/>
          <w:szCs w:val="24"/>
          <w:lang w:val="it-IT"/>
        </w:rPr>
        <w:t xml:space="preserve"> Pogradec</w:t>
      </w:r>
      <w:r w:rsidR="005235A0">
        <w:rPr>
          <w:rFonts w:ascii="Times New Roman" w:eastAsia="Times New Roman" w:hAnsi="Times New Roman" w:cs="Times New Roman"/>
          <w:sz w:val="24"/>
          <w:szCs w:val="24"/>
          <w:lang w:val="it-IT"/>
        </w:rPr>
        <w:t xml:space="preserve"> dhe Përrenjas</w:t>
      </w:r>
      <w:r w:rsidR="009D54BE">
        <w:rPr>
          <w:rFonts w:ascii="Times New Roman" w:eastAsia="Times New Roman" w:hAnsi="Times New Roman" w:cs="Times New Roman"/>
          <w:sz w:val="24"/>
          <w:szCs w:val="24"/>
          <w:lang w:val="it-IT"/>
        </w:rPr>
        <w:t>,</w:t>
      </w:r>
      <w:r w:rsidR="009D54BE" w:rsidRPr="009D54BE">
        <w:rPr>
          <w:rFonts w:ascii="Times New Roman" w:eastAsia="Times New Roman" w:hAnsi="Times New Roman" w:cs="Times New Roman"/>
          <w:sz w:val="24"/>
          <w:szCs w:val="24"/>
          <w:lang w:val="it-IT"/>
        </w:rPr>
        <w:t xml:space="preserve"> Azotiku Fier</w:t>
      </w:r>
      <w:r w:rsidR="009D54BE">
        <w:rPr>
          <w:rFonts w:ascii="Times New Roman" w:eastAsia="Times New Roman" w:hAnsi="Times New Roman" w:cs="Times New Roman"/>
          <w:sz w:val="24"/>
          <w:szCs w:val="24"/>
          <w:lang w:val="it-IT"/>
        </w:rPr>
        <w:t>,</w:t>
      </w:r>
      <w:r w:rsidR="009D54BE" w:rsidRPr="009D54BE">
        <w:rPr>
          <w:rFonts w:ascii="Times New Roman" w:eastAsia="Times New Roman" w:hAnsi="Times New Roman" w:cs="Times New Roman"/>
          <w:b/>
          <w:sz w:val="24"/>
          <w:szCs w:val="24"/>
          <w:lang w:val="it-IT"/>
        </w:rPr>
        <w:t xml:space="preserve"> </w:t>
      </w:r>
      <w:r w:rsidR="009D54BE" w:rsidRPr="009D54BE">
        <w:rPr>
          <w:rFonts w:ascii="Times New Roman" w:eastAsia="Times New Roman" w:hAnsi="Times New Roman" w:cs="Times New Roman"/>
          <w:sz w:val="24"/>
          <w:szCs w:val="24"/>
          <w:lang w:val="it-IT"/>
        </w:rPr>
        <w:t>Uzina e Superfosfatit Laç</w:t>
      </w:r>
      <w:r w:rsidR="000B74F2">
        <w:rPr>
          <w:rFonts w:ascii="Times New Roman" w:eastAsia="Times New Roman" w:hAnsi="Times New Roman" w:cs="Times New Roman"/>
          <w:sz w:val="24"/>
          <w:szCs w:val="24"/>
          <w:lang w:val="it-IT"/>
        </w:rPr>
        <w:t xml:space="preserve">, </w:t>
      </w:r>
      <w:r w:rsidR="009D54BE">
        <w:rPr>
          <w:rFonts w:ascii="Times New Roman" w:eastAsia="Times New Roman" w:hAnsi="Times New Roman" w:cs="Times New Roman"/>
          <w:sz w:val="24"/>
          <w:szCs w:val="24"/>
          <w:lang w:val="it-IT"/>
        </w:rPr>
        <w:t>Minierat në Kalimash-</w:t>
      </w:r>
      <w:r w:rsidR="009D54BE" w:rsidRPr="009D54BE">
        <w:rPr>
          <w:rFonts w:ascii="Times New Roman" w:eastAsia="Times New Roman" w:hAnsi="Times New Roman" w:cs="Times New Roman"/>
          <w:sz w:val="24"/>
          <w:szCs w:val="24"/>
          <w:lang w:val="it-IT"/>
        </w:rPr>
        <w:t>Gjegjan</w:t>
      </w:r>
      <w:r w:rsidR="009D54BE">
        <w:rPr>
          <w:rFonts w:ascii="Times New Roman" w:eastAsia="Times New Roman" w:hAnsi="Times New Roman" w:cs="Times New Roman"/>
          <w:sz w:val="24"/>
          <w:szCs w:val="24"/>
          <w:lang w:val="it-IT"/>
        </w:rPr>
        <w:t xml:space="preserve">, </w:t>
      </w:r>
      <w:r w:rsidR="005235A0">
        <w:rPr>
          <w:rFonts w:ascii="Times New Roman" w:eastAsia="Times New Roman" w:hAnsi="Times New Roman" w:cs="Times New Roman"/>
          <w:sz w:val="24"/>
          <w:szCs w:val="24"/>
          <w:lang w:val="it-IT"/>
        </w:rPr>
        <w:t xml:space="preserve">Fabrika </w:t>
      </w:r>
      <w:r w:rsidR="009D54BE">
        <w:rPr>
          <w:rFonts w:ascii="Times New Roman" w:eastAsia="Times New Roman" w:hAnsi="Times New Roman" w:cs="Times New Roman"/>
          <w:sz w:val="24"/>
          <w:szCs w:val="24"/>
          <w:lang w:val="it-IT"/>
        </w:rPr>
        <w:t xml:space="preserve"> </w:t>
      </w:r>
      <w:r w:rsidR="009D54BE" w:rsidRPr="009D54BE">
        <w:rPr>
          <w:rFonts w:ascii="Times New Roman" w:eastAsia="Times New Roman" w:hAnsi="Times New Roman" w:cs="Times New Roman"/>
          <w:sz w:val="24"/>
          <w:szCs w:val="24"/>
          <w:lang w:val="it-IT"/>
        </w:rPr>
        <w:t>P</w:t>
      </w:r>
      <w:r w:rsidR="009D54BE">
        <w:rPr>
          <w:rFonts w:ascii="Times New Roman" w:eastAsia="Times New Roman" w:hAnsi="Times New Roman" w:cs="Times New Roman"/>
          <w:sz w:val="24"/>
          <w:szCs w:val="24"/>
          <w:lang w:val="it-IT"/>
        </w:rPr>
        <w:t>.</w:t>
      </w:r>
      <w:r w:rsidR="009D54BE" w:rsidRPr="009D54BE">
        <w:rPr>
          <w:rFonts w:ascii="Times New Roman" w:eastAsia="Times New Roman" w:hAnsi="Times New Roman" w:cs="Times New Roman"/>
          <w:sz w:val="24"/>
          <w:szCs w:val="24"/>
          <w:lang w:val="it-IT"/>
        </w:rPr>
        <w:t>V</w:t>
      </w:r>
      <w:r w:rsidR="009D54BE">
        <w:rPr>
          <w:rFonts w:ascii="Times New Roman" w:eastAsia="Times New Roman" w:hAnsi="Times New Roman" w:cs="Times New Roman"/>
          <w:sz w:val="24"/>
          <w:szCs w:val="24"/>
          <w:lang w:val="it-IT"/>
        </w:rPr>
        <w:t>.</w:t>
      </w:r>
      <w:r w:rsidR="009D54BE" w:rsidRPr="009D54BE">
        <w:rPr>
          <w:rFonts w:ascii="Times New Roman" w:eastAsia="Times New Roman" w:hAnsi="Times New Roman" w:cs="Times New Roman"/>
          <w:sz w:val="24"/>
          <w:szCs w:val="24"/>
          <w:lang w:val="it-IT"/>
        </w:rPr>
        <w:t>C Vlor</w:t>
      </w:r>
      <w:r w:rsidR="009D54BE" w:rsidRPr="009D54BE">
        <w:rPr>
          <w:rFonts w:ascii="Times New Roman" w:eastAsia="Times New Roman" w:hAnsi="Times New Roman" w:cs="Times New Roman"/>
          <w:color w:val="000000"/>
          <w:sz w:val="24"/>
          <w:szCs w:val="24"/>
          <w:lang w:val="sq-AL"/>
        </w:rPr>
        <w:t>ë</w:t>
      </w:r>
      <w:r w:rsidR="005235A0">
        <w:rPr>
          <w:rFonts w:ascii="Times New Roman" w:eastAsia="Times New Roman" w:hAnsi="Times New Roman" w:cs="Times New Roman"/>
          <w:color w:val="000000"/>
          <w:sz w:val="24"/>
          <w:szCs w:val="24"/>
          <w:lang w:val="sq-AL"/>
        </w:rPr>
        <w:t xml:space="preserve">, </w:t>
      </w:r>
      <w:r w:rsidR="005235A0" w:rsidRPr="005235A0">
        <w:rPr>
          <w:rFonts w:ascii="Times New Roman" w:eastAsia="Times New Roman" w:hAnsi="Times New Roman" w:cs="Times New Roman"/>
          <w:sz w:val="24"/>
          <w:szCs w:val="24"/>
          <w:lang w:val="it-IT"/>
        </w:rPr>
        <w:t>Uzina e Ferro-Kromit Burrel, Ish- fabrika e plastmasit në Lushnje</w:t>
      </w:r>
      <w:r w:rsidR="000B74F2">
        <w:rPr>
          <w:rFonts w:ascii="Times New Roman" w:eastAsia="Times New Roman" w:hAnsi="Times New Roman" w:cs="Times New Roman"/>
          <w:sz w:val="24"/>
          <w:szCs w:val="24"/>
          <w:lang w:val="it-IT"/>
        </w:rPr>
        <w:t>.</w:t>
      </w:r>
    </w:p>
    <w:p w:rsidR="00773E68" w:rsidRPr="005235A0" w:rsidRDefault="00773E68" w:rsidP="005235A0">
      <w:pPr>
        <w:spacing w:after="0" w:line="240" w:lineRule="auto"/>
        <w:jc w:val="both"/>
        <w:rPr>
          <w:rFonts w:ascii="Times New Roman" w:eastAsia="Times New Roman" w:hAnsi="Times New Roman" w:cs="Times New Roman"/>
          <w:sz w:val="24"/>
          <w:szCs w:val="24"/>
          <w:lang w:val="sq-AL"/>
        </w:rPr>
      </w:pPr>
      <w:r w:rsidRPr="00773E68">
        <w:rPr>
          <w:rFonts w:ascii="Times New Roman" w:eastAsia="Times New Roman" w:hAnsi="Times New Roman" w:cs="Times New Roman"/>
          <w:sz w:val="24"/>
          <w:szCs w:val="24"/>
          <w:lang w:val="sq-AL"/>
        </w:rPr>
        <w:t>Për të gjitha zonat janë marrë mostra sipërfaqësore përfaqësuese, dhe për profilet mer</w:t>
      </w:r>
      <w:r w:rsidR="005235A0">
        <w:rPr>
          <w:rFonts w:ascii="Times New Roman" w:eastAsia="Times New Roman" w:hAnsi="Times New Roman" w:cs="Times New Roman"/>
          <w:sz w:val="24"/>
          <w:szCs w:val="24"/>
          <w:lang w:val="sq-AL"/>
        </w:rPr>
        <w:t>ren tre mostra respektive në the</w:t>
      </w:r>
      <w:r w:rsidRPr="00773E68">
        <w:rPr>
          <w:rFonts w:ascii="Times New Roman" w:eastAsia="Times New Roman" w:hAnsi="Times New Roman" w:cs="Times New Roman"/>
          <w:sz w:val="24"/>
          <w:szCs w:val="24"/>
          <w:lang w:val="sq-AL"/>
        </w:rPr>
        <w:t>llësitë 0 – 30</w:t>
      </w:r>
      <w:r w:rsidR="005235A0">
        <w:rPr>
          <w:rFonts w:ascii="Times New Roman" w:eastAsia="Times New Roman" w:hAnsi="Times New Roman" w:cs="Times New Roman"/>
          <w:sz w:val="24"/>
          <w:szCs w:val="24"/>
          <w:lang w:val="sq-AL"/>
        </w:rPr>
        <w:t xml:space="preserve"> cm</w:t>
      </w:r>
      <w:r w:rsidRPr="00773E68">
        <w:rPr>
          <w:rFonts w:ascii="Times New Roman" w:eastAsia="Times New Roman" w:hAnsi="Times New Roman" w:cs="Times New Roman"/>
          <w:sz w:val="24"/>
          <w:szCs w:val="24"/>
          <w:lang w:val="sq-AL"/>
        </w:rPr>
        <w:t xml:space="preserve"> 30 – 60</w:t>
      </w:r>
      <w:r w:rsidR="005235A0">
        <w:rPr>
          <w:rFonts w:ascii="Times New Roman" w:eastAsia="Times New Roman" w:hAnsi="Times New Roman" w:cs="Times New Roman"/>
          <w:sz w:val="24"/>
          <w:szCs w:val="24"/>
          <w:lang w:val="sq-AL"/>
        </w:rPr>
        <w:t>cm</w:t>
      </w:r>
      <w:r w:rsidRPr="00773E68">
        <w:rPr>
          <w:rFonts w:ascii="Times New Roman" w:eastAsia="Times New Roman" w:hAnsi="Times New Roman" w:cs="Times New Roman"/>
          <w:sz w:val="24"/>
          <w:szCs w:val="24"/>
          <w:lang w:val="sq-AL"/>
        </w:rPr>
        <w:t>, dhe  60 – 100</w:t>
      </w:r>
      <w:r w:rsidR="005235A0">
        <w:rPr>
          <w:rFonts w:ascii="Times New Roman" w:eastAsia="Times New Roman" w:hAnsi="Times New Roman" w:cs="Times New Roman"/>
          <w:sz w:val="24"/>
          <w:szCs w:val="24"/>
          <w:lang w:val="sq-AL"/>
        </w:rPr>
        <w:t xml:space="preserve">cm. </w:t>
      </w:r>
      <w:r w:rsidRPr="00773E68">
        <w:rPr>
          <w:rFonts w:ascii="Times New Roman" w:eastAsia="Times New Roman" w:hAnsi="Times New Roman" w:cs="Times New Roman"/>
          <w:sz w:val="24"/>
          <w:szCs w:val="24"/>
          <w:lang w:val="sq-AL"/>
        </w:rPr>
        <w:t xml:space="preserve">Pikat e monitorimit përcaktohen sipas aksit radial në drejtim të shtrirjes më të madhe të tokave bujqësore në një distancë deri në 4 km nga objekti. </w:t>
      </w:r>
    </w:p>
    <w:p w:rsidR="00773E68" w:rsidRDefault="00773E68" w:rsidP="00773E68">
      <w:pPr>
        <w:spacing w:after="0" w:line="240" w:lineRule="auto"/>
        <w:jc w:val="both"/>
        <w:rPr>
          <w:rFonts w:ascii="Times New Roman" w:eastAsia="Times New Roman" w:hAnsi="Times New Roman" w:cs="Times New Roman"/>
          <w:b/>
          <w:sz w:val="24"/>
          <w:szCs w:val="24"/>
          <w:lang w:val="it-IT"/>
        </w:rPr>
      </w:pPr>
    </w:p>
    <w:p w:rsidR="00681B50" w:rsidRPr="00773E68" w:rsidRDefault="00681B50"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p w:rsidR="00773E68" w:rsidRPr="00CC7B15" w:rsidRDefault="00773E68" w:rsidP="00807975">
      <w:pPr>
        <w:pStyle w:val="ListParagraph"/>
        <w:numPr>
          <w:ilvl w:val="0"/>
          <w:numId w:val="94"/>
        </w:numPr>
        <w:spacing w:after="0" w:line="240" w:lineRule="auto"/>
        <w:jc w:val="both"/>
        <w:rPr>
          <w:rFonts w:ascii="Times New Roman" w:eastAsia="Times New Roman" w:hAnsi="Times New Roman" w:cs="Times New Roman"/>
          <w:b/>
          <w:sz w:val="24"/>
          <w:szCs w:val="24"/>
        </w:rPr>
      </w:pPr>
      <w:r w:rsidRPr="00CC7B15">
        <w:rPr>
          <w:rFonts w:ascii="Times New Roman" w:eastAsia="Times New Roman" w:hAnsi="Times New Roman" w:cs="Times New Roman"/>
          <w:b/>
          <w:sz w:val="24"/>
          <w:szCs w:val="24"/>
        </w:rPr>
        <w:lastRenderedPageBreak/>
        <w:t>Uzina Nitrat Amonit  Fier</w:t>
      </w:r>
    </w:p>
    <w:p w:rsidR="00773E68" w:rsidRPr="00773E68" w:rsidRDefault="00773E68" w:rsidP="00773E68">
      <w:pPr>
        <w:spacing w:after="0" w:line="240" w:lineRule="auto"/>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ab/>
        <w:t xml:space="preserve"> </w:t>
      </w:r>
    </w:p>
    <w:p w:rsidR="00CC7B15" w:rsidRDefault="00773E68" w:rsidP="00773E68">
      <w:pPr>
        <w:spacing w:after="0" w:line="240" w:lineRule="auto"/>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Uzina Nitrat Amonit  Fier, gjendet ne anën e majtë të rrugës nacionale Fier - Levan, në dalje të qytetit të Fierit. Uzina aktualisht është jasht</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rPr>
        <w:t xml:space="preserve"> funksionit, por materialet ndotëse janë të pranishme n</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rPr>
        <w:t xml:space="preserve"> formë pirgjesh brenda territorit të fabrikës. Pas rigoncionit të territorit, verifikimit të tendencën lëvizjes së ujërave dhe erës u përcaktuan pikat e marrjes së mostrave të tokës. </w:t>
      </w:r>
    </w:p>
    <w:p w:rsidR="00773E68" w:rsidRPr="00773E68" w:rsidRDefault="00773E68" w:rsidP="00773E68">
      <w:pPr>
        <w:spacing w:after="0" w:line="240" w:lineRule="auto"/>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Pikat janë përcaktuar në mënyrë të tillë që të përfaqësojnë pothuajse të gjithë rrethinat e fabrikës, duke parë mund</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rPr>
        <w:t>s</w:t>
      </w:r>
      <w:r w:rsidR="000B74F2">
        <w:rPr>
          <w:rFonts w:ascii="Times New Roman" w:eastAsia="Times New Roman" w:hAnsi="Times New Roman" w:cs="Times New Roman"/>
          <w:sz w:val="24"/>
          <w:szCs w:val="24"/>
        </w:rPr>
        <w:t xml:space="preserve">inë e zhvendosjes </w:t>
      </w:r>
      <w:r w:rsidRPr="00773E68">
        <w:rPr>
          <w:rFonts w:ascii="Times New Roman" w:eastAsia="Times New Roman" w:hAnsi="Times New Roman" w:cs="Times New Roman"/>
          <w:sz w:val="24"/>
          <w:szCs w:val="24"/>
        </w:rPr>
        <w:t>së elementëve ndotës të ndikuar edhe nga lëvizjes së erërave dhe ujërave nëntokësore.</w:t>
      </w:r>
    </w:p>
    <w:p w:rsidR="00773E68" w:rsidRPr="00773E68" w:rsidRDefault="00773E68" w:rsidP="00773E68">
      <w:pPr>
        <w:spacing w:after="0" w:line="240" w:lineRule="auto"/>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Mostrat janë marrë në thellsi 0-30 për katër pika sipërfaqësore dhe në tre thellësi për profilin 0 -30 cm, 30 - 60 cm  dhe 60 -100 cm.  Toka vjen në ngjyrë të errët, vërehet dominancë argjile.</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Terreni është i sheshtë me pjerrësi që shkon nga 1 deri në 5 %, tokat janë të kulluara dhe nuk kanë prani të afërt t</w:t>
      </w:r>
      <w:r w:rsidR="000B74F2">
        <w:rPr>
          <w:rFonts w:ascii="Times New Roman" w:eastAsia="Times New Roman" w:hAnsi="Times New Roman" w:cs="Times New Roman"/>
          <w:sz w:val="24"/>
          <w:szCs w:val="24"/>
          <w:lang w:val="it-IT"/>
        </w:rPr>
        <w:t>ë ujërave freatike. Sasia e gur</w:t>
      </w:r>
      <w:r w:rsidRPr="00773E68">
        <w:rPr>
          <w:rFonts w:ascii="Times New Roman" w:eastAsia="Times New Roman" w:hAnsi="Times New Roman" w:cs="Times New Roman"/>
          <w:sz w:val="24"/>
          <w:szCs w:val="24"/>
          <w:lang w:val="it-IT"/>
        </w:rPr>
        <w:t>ëve në horizontin e studiuar shkon nga 15 deri n</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it-IT"/>
        </w:rPr>
        <w:t xml:space="preserve"> 25 %.</w:t>
      </w:r>
    </w:p>
    <w:p w:rsidR="00CC7B15" w:rsidRDefault="00CC7B15" w:rsidP="00773E68">
      <w:pPr>
        <w:spacing w:after="0" w:line="240" w:lineRule="auto"/>
        <w:jc w:val="both"/>
        <w:rPr>
          <w:rFonts w:ascii="Times New Roman" w:eastAsia="Times New Roman" w:hAnsi="Times New Roman" w:cs="Times New Roman"/>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 xml:space="preserve">Pas përpunimit dhe analizimit të treguesëve të kërkuar </w:t>
      </w:r>
      <w:r w:rsidR="00CC7B15">
        <w:rPr>
          <w:rFonts w:ascii="Times New Roman" w:eastAsia="Times New Roman" w:hAnsi="Times New Roman" w:cs="Times New Roman"/>
          <w:sz w:val="24"/>
          <w:szCs w:val="24"/>
          <w:lang w:val="it-IT"/>
        </w:rPr>
        <w:t xml:space="preserve">janë përftuar </w:t>
      </w:r>
      <w:r w:rsidRPr="00773E68">
        <w:rPr>
          <w:rFonts w:ascii="Times New Roman" w:eastAsia="Times New Roman" w:hAnsi="Times New Roman" w:cs="Times New Roman"/>
          <w:sz w:val="24"/>
          <w:szCs w:val="24"/>
          <w:lang w:val="it-IT"/>
        </w:rPr>
        <w:t>rezultate</w:t>
      </w:r>
      <w:r w:rsidR="00CC7B15">
        <w:rPr>
          <w:rFonts w:ascii="Times New Roman" w:eastAsia="Times New Roman" w:hAnsi="Times New Roman" w:cs="Times New Roman"/>
          <w:sz w:val="24"/>
          <w:szCs w:val="24"/>
          <w:lang w:val="it-IT"/>
        </w:rPr>
        <w:t>t sipas tabelës në vijim</w:t>
      </w:r>
      <w:r w:rsidRPr="00773E68">
        <w:rPr>
          <w:rFonts w:ascii="Times New Roman" w:eastAsia="Times New Roman" w:hAnsi="Times New Roman" w:cs="Times New Roman"/>
          <w:sz w:val="24"/>
          <w:szCs w:val="24"/>
          <w:lang w:val="it-IT"/>
        </w:rPr>
        <w:t>:</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p w:rsidR="00773E68" w:rsidRPr="00FA6167" w:rsidRDefault="00773E68" w:rsidP="00FA6167">
      <w:pPr>
        <w:spacing w:after="0" w:line="240" w:lineRule="auto"/>
        <w:jc w:val="both"/>
        <w:rPr>
          <w:rFonts w:ascii="Times New Roman" w:eastAsia="Times New Roman" w:hAnsi="Times New Roman" w:cs="Times New Roman"/>
          <w:lang w:val="it-IT"/>
        </w:rPr>
      </w:pPr>
      <w:r w:rsidRPr="00FA6167">
        <w:rPr>
          <w:rFonts w:ascii="Times New Roman" w:eastAsia="Times New Roman" w:hAnsi="Times New Roman" w:cs="Times New Roman"/>
          <w:lang w:val="it-IT"/>
        </w:rPr>
        <w:t xml:space="preserve">Tabela </w:t>
      </w:r>
      <w:r w:rsidR="00681B50">
        <w:rPr>
          <w:rFonts w:ascii="Times New Roman" w:eastAsia="Times New Roman" w:hAnsi="Times New Roman" w:cs="Times New Roman"/>
          <w:lang w:val="it-IT"/>
        </w:rPr>
        <w:t>43</w:t>
      </w:r>
      <w:r w:rsidR="00FA6167">
        <w:rPr>
          <w:rFonts w:ascii="Times New Roman" w:eastAsia="Times New Roman" w:hAnsi="Times New Roman" w:cs="Times New Roman"/>
          <w:lang w:val="it-IT"/>
        </w:rPr>
        <w:t>.</w:t>
      </w:r>
      <w:r w:rsidRPr="00FA6167">
        <w:rPr>
          <w:rFonts w:ascii="Times New Roman" w:eastAsia="Times New Roman" w:hAnsi="Times New Roman" w:cs="Times New Roman"/>
          <w:lang w:val="it-IT"/>
        </w:rPr>
        <w:t xml:space="preserve"> Tabela e rezultateve të analizave, sipas mostrave, për Uzinën e Nitrat Amonit</w:t>
      </w:r>
      <w:r w:rsidR="00FA6167" w:rsidRPr="00FA6167">
        <w:rPr>
          <w:rFonts w:ascii="Times New Roman" w:eastAsia="Times New Roman" w:hAnsi="Times New Roman" w:cs="Times New Roman"/>
          <w:lang w:val="it-IT"/>
        </w:rPr>
        <w:t>,</w:t>
      </w:r>
      <w:r w:rsidRPr="00FA6167">
        <w:rPr>
          <w:rFonts w:ascii="Times New Roman" w:eastAsia="Times New Roman" w:hAnsi="Times New Roman" w:cs="Times New Roman"/>
          <w:lang w:val="it-IT"/>
        </w:rPr>
        <w:t xml:space="preserve">  Fier.</w:t>
      </w:r>
    </w:p>
    <w:p w:rsidR="00773E68" w:rsidRPr="00FA6167" w:rsidRDefault="00773E68" w:rsidP="00773E68">
      <w:pPr>
        <w:spacing w:after="0" w:line="240" w:lineRule="auto"/>
        <w:jc w:val="both"/>
        <w:rPr>
          <w:rFonts w:ascii="Times New Roman" w:eastAsia="Times New Roman" w:hAnsi="Times New Roman" w:cs="Times New Roman"/>
          <w:b/>
          <w:lang w:val="it-IT"/>
        </w:rPr>
      </w:pPr>
    </w:p>
    <w:tbl>
      <w:tblPr>
        <w:tblStyle w:val="TableGrid3"/>
        <w:tblW w:w="10710" w:type="dxa"/>
        <w:tblInd w:w="-432" w:type="dxa"/>
        <w:tblLayout w:type="fixed"/>
        <w:tblLook w:val="04A0" w:firstRow="1" w:lastRow="0" w:firstColumn="1" w:lastColumn="0" w:noHBand="0" w:noVBand="1"/>
      </w:tblPr>
      <w:tblGrid>
        <w:gridCol w:w="1080"/>
        <w:gridCol w:w="990"/>
        <w:gridCol w:w="1170"/>
        <w:gridCol w:w="810"/>
        <w:gridCol w:w="990"/>
        <w:gridCol w:w="90"/>
        <w:gridCol w:w="1080"/>
        <w:gridCol w:w="990"/>
        <w:gridCol w:w="990"/>
        <w:gridCol w:w="810"/>
        <w:gridCol w:w="810"/>
        <w:gridCol w:w="900"/>
      </w:tblGrid>
      <w:tr w:rsidR="00773E68" w:rsidRPr="00773E68" w:rsidTr="00FA6167">
        <w:tc>
          <w:tcPr>
            <w:tcW w:w="1080" w:type="dxa"/>
            <w:vMerge w:val="restart"/>
          </w:tcPr>
          <w:p w:rsidR="00773E68" w:rsidRPr="009C00C2" w:rsidRDefault="00773E68" w:rsidP="00773E68">
            <w:pPr>
              <w:jc w:val="both"/>
              <w:rPr>
                <w:rFonts w:ascii="Times New Roman" w:eastAsia="Times New Roman" w:hAnsi="Times New Roman" w:cs="Times New Roman"/>
                <w:b/>
                <w:sz w:val="20"/>
                <w:szCs w:val="20"/>
                <w:lang w:val="nn-NO"/>
              </w:rPr>
            </w:pPr>
          </w:p>
          <w:p w:rsidR="00773E68" w:rsidRPr="009C00C2" w:rsidRDefault="009C00C2" w:rsidP="00773E68">
            <w:pPr>
              <w:jc w:val="both"/>
              <w:rPr>
                <w:rFonts w:ascii="Times New Roman" w:eastAsia="Times New Roman" w:hAnsi="Times New Roman" w:cs="Times New Roman"/>
                <w:b/>
                <w:sz w:val="20"/>
                <w:szCs w:val="20"/>
                <w:lang w:val="nn-NO"/>
              </w:rPr>
            </w:pPr>
            <w:r>
              <w:rPr>
                <w:rFonts w:ascii="Times New Roman" w:eastAsia="Times New Roman" w:hAnsi="Times New Roman" w:cs="Times New Roman"/>
                <w:b/>
                <w:sz w:val="20"/>
                <w:szCs w:val="20"/>
                <w:lang w:val="nn-NO"/>
              </w:rPr>
              <w:t>V</w:t>
            </w:r>
            <w:r w:rsidRPr="009C00C2">
              <w:rPr>
                <w:rFonts w:ascii="Times New Roman" w:eastAsia="Times New Roman" w:hAnsi="Times New Roman" w:cs="Times New Roman"/>
                <w:b/>
                <w:sz w:val="20"/>
                <w:szCs w:val="20"/>
                <w:lang w:val="nn-NO"/>
              </w:rPr>
              <w:t>endi</w:t>
            </w:r>
          </w:p>
        </w:tc>
        <w:tc>
          <w:tcPr>
            <w:tcW w:w="990" w:type="dxa"/>
            <w:vMerge w:val="restart"/>
          </w:tcPr>
          <w:p w:rsidR="00773E68" w:rsidRPr="009C00C2" w:rsidRDefault="00773E68" w:rsidP="00773E68">
            <w:pPr>
              <w:jc w:val="both"/>
              <w:rPr>
                <w:rFonts w:ascii="Times New Roman" w:eastAsia="Times New Roman" w:hAnsi="Times New Roman" w:cs="Times New Roman"/>
                <w:b/>
                <w:sz w:val="20"/>
                <w:szCs w:val="20"/>
                <w:lang w:val="nn-NO"/>
              </w:rPr>
            </w:pPr>
          </w:p>
          <w:p w:rsidR="00773E68" w:rsidRPr="009C00C2" w:rsidRDefault="009C00C2" w:rsidP="00773E68">
            <w:pPr>
              <w:jc w:val="both"/>
              <w:rPr>
                <w:rFonts w:ascii="Times New Roman" w:eastAsia="Times New Roman" w:hAnsi="Times New Roman" w:cs="Times New Roman"/>
                <w:b/>
                <w:sz w:val="20"/>
                <w:szCs w:val="20"/>
                <w:lang w:val="nn-NO"/>
              </w:rPr>
            </w:pPr>
            <w:r>
              <w:rPr>
                <w:rFonts w:ascii="Times New Roman" w:eastAsia="Times New Roman" w:hAnsi="Times New Roman" w:cs="Times New Roman"/>
                <w:b/>
                <w:sz w:val="20"/>
                <w:szCs w:val="20"/>
                <w:lang w:val="nn-NO"/>
              </w:rPr>
              <w:t>T</w:t>
            </w:r>
            <w:r w:rsidRPr="009C00C2">
              <w:rPr>
                <w:rFonts w:ascii="Times New Roman" w:eastAsia="Times New Roman" w:hAnsi="Times New Roman" w:cs="Times New Roman"/>
                <w:b/>
                <w:sz w:val="20"/>
                <w:szCs w:val="20"/>
                <w:lang w:val="nn-NO"/>
              </w:rPr>
              <w:t>re</w:t>
            </w:r>
            <w:r>
              <w:rPr>
                <w:rFonts w:ascii="Times New Roman" w:eastAsia="Times New Roman" w:hAnsi="Times New Roman" w:cs="Times New Roman"/>
                <w:b/>
                <w:sz w:val="20"/>
                <w:szCs w:val="20"/>
                <w:lang w:val="nn-NO"/>
              </w:rPr>
              <w:t>gues</w:t>
            </w:r>
          </w:p>
        </w:tc>
        <w:tc>
          <w:tcPr>
            <w:tcW w:w="1170" w:type="dxa"/>
            <w:vMerge w:val="restart"/>
          </w:tcPr>
          <w:p w:rsidR="00773E68" w:rsidRPr="009C00C2" w:rsidRDefault="00773E68" w:rsidP="00773E68">
            <w:pPr>
              <w:jc w:val="both"/>
              <w:rPr>
                <w:rFonts w:ascii="Times New Roman" w:eastAsia="Times New Roman" w:hAnsi="Times New Roman" w:cs="Times New Roman"/>
                <w:b/>
                <w:sz w:val="20"/>
                <w:szCs w:val="20"/>
                <w:lang w:val="nn-NO"/>
              </w:rPr>
            </w:pPr>
          </w:p>
          <w:p w:rsidR="00773E68" w:rsidRPr="009C00C2" w:rsidRDefault="009C00C2" w:rsidP="00773E68">
            <w:pPr>
              <w:jc w:val="both"/>
              <w:rPr>
                <w:rFonts w:ascii="Times New Roman" w:eastAsia="Times New Roman" w:hAnsi="Times New Roman" w:cs="Times New Roman"/>
                <w:b/>
                <w:sz w:val="20"/>
                <w:szCs w:val="20"/>
                <w:lang w:val="nn-NO"/>
              </w:rPr>
            </w:pPr>
            <w:r>
              <w:rPr>
                <w:rFonts w:ascii="Times New Roman" w:eastAsia="Times New Roman" w:hAnsi="Times New Roman" w:cs="Times New Roman"/>
                <w:b/>
                <w:sz w:val="20"/>
                <w:szCs w:val="20"/>
                <w:lang w:val="nn-NO"/>
              </w:rPr>
              <w:t>N</w:t>
            </w:r>
            <w:r w:rsidRPr="009C00C2">
              <w:rPr>
                <w:rFonts w:ascii="Times New Roman" w:eastAsia="Times New Roman" w:hAnsi="Times New Roman" w:cs="Times New Roman"/>
                <w:b/>
                <w:sz w:val="20"/>
                <w:szCs w:val="20"/>
                <w:lang w:val="nn-NO"/>
              </w:rPr>
              <w:t>j</w:t>
            </w:r>
            <w:r>
              <w:rPr>
                <w:rFonts w:ascii="Times New Roman" w:eastAsia="Times New Roman" w:hAnsi="Times New Roman" w:cs="Times New Roman"/>
                <w:b/>
                <w:sz w:val="20"/>
                <w:szCs w:val="20"/>
                <w:lang w:val="nn-NO"/>
              </w:rPr>
              <w:t>ësia e</w:t>
            </w:r>
            <w:r w:rsidRPr="009C00C2">
              <w:rPr>
                <w:rFonts w:ascii="Times New Roman" w:eastAsia="Times New Roman" w:hAnsi="Times New Roman" w:cs="Times New Roman"/>
                <w:b/>
                <w:sz w:val="20"/>
                <w:szCs w:val="20"/>
                <w:lang w:val="nn-NO"/>
              </w:rPr>
              <w:t xml:space="preserve"> matjes</w:t>
            </w:r>
          </w:p>
        </w:tc>
        <w:tc>
          <w:tcPr>
            <w:tcW w:w="810" w:type="dxa"/>
            <w:vMerge w:val="restart"/>
          </w:tcPr>
          <w:p w:rsidR="00773E68" w:rsidRPr="009C00C2" w:rsidRDefault="00FA6167" w:rsidP="00773E68">
            <w:pPr>
              <w:jc w:val="both"/>
              <w:rPr>
                <w:rFonts w:ascii="Times New Roman" w:eastAsia="Times New Roman" w:hAnsi="Times New Roman" w:cs="Times New Roman"/>
                <w:b/>
                <w:sz w:val="20"/>
                <w:szCs w:val="20"/>
                <w:lang w:val="nn-NO"/>
              </w:rPr>
            </w:pPr>
            <w:r>
              <w:rPr>
                <w:rFonts w:ascii="Times New Roman" w:eastAsia="Times New Roman" w:hAnsi="Times New Roman" w:cs="Times New Roman"/>
                <w:b/>
                <w:sz w:val="20"/>
                <w:szCs w:val="20"/>
                <w:lang w:val="nn-NO"/>
              </w:rPr>
              <w:t>L</w:t>
            </w:r>
            <w:r w:rsidRPr="009C00C2">
              <w:rPr>
                <w:rFonts w:ascii="Times New Roman" w:eastAsia="Times New Roman" w:hAnsi="Times New Roman" w:cs="Times New Roman"/>
                <w:b/>
                <w:sz w:val="20"/>
                <w:szCs w:val="20"/>
                <w:lang w:val="nn-NO"/>
              </w:rPr>
              <w:t>imit</w:t>
            </w:r>
          </w:p>
        </w:tc>
        <w:tc>
          <w:tcPr>
            <w:tcW w:w="990" w:type="dxa"/>
          </w:tcPr>
          <w:p w:rsidR="00773E68" w:rsidRPr="009C00C2" w:rsidRDefault="00773E68" w:rsidP="00773E68">
            <w:pPr>
              <w:jc w:val="both"/>
              <w:rPr>
                <w:rFonts w:ascii="Times New Roman" w:eastAsia="Times New Roman" w:hAnsi="Times New Roman" w:cs="Times New Roman"/>
                <w:b/>
                <w:sz w:val="20"/>
                <w:szCs w:val="20"/>
                <w:lang w:val="nn-NO"/>
              </w:rPr>
            </w:pPr>
          </w:p>
        </w:tc>
        <w:tc>
          <w:tcPr>
            <w:tcW w:w="5670" w:type="dxa"/>
            <w:gridSpan w:val="7"/>
          </w:tcPr>
          <w:p w:rsidR="00773E68" w:rsidRPr="009C00C2" w:rsidRDefault="00773E68" w:rsidP="00773E68">
            <w:pPr>
              <w:jc w:val="both"/>
              <w:rPr>
                <w:rFonts w:ascii="Times New Roman" w:eastAsia="Times New Roman" w:hAnsi="Times New Roman" w:cs="Times New Roman"/>
                <w:b/>
                <w:sz w:val="20"/>
                <w:szCs w:val="20"/>
                <w:lang w:val="nn-NO"/>
              </w:rPr>
            </w:pPr>
            <w:r w:rsidRPr="009C00C2">
              <w:rPr>
                <w:rFonts w:ascii="Times New Roman" w:eastAsia="Times New Roman" w:hAnsi="Times New Roman" w:cs="Times New Roman"/>
                <w:b/>
                <w:sz w:val="20"/>
                <w:szCs w:val="20"/>
                <w:lang w:val="nn-NO"/>
              </w:rPr>
              <w:t>REZULTATET</w:t>
            </w:r>
          </w:p>
        </w:tc>
      </w:tr>
      <w:tr w:rsidR="00773E68" w:rsidRPr="00773E68" w:rsidTr="00FA6167">
        <w:tc>
          <w:tcPr>
            <w:tcW w:w="1080" w:type="dxa"/>
            <w:vMerge/>
          </w:tcPr>
          <w:p w:rsidR="00773E68" w:rsidRPr="009C00C2" w:rsidRDefault="00773E68" w:rsidP="00773E68">
            <w:pPr>
              <w:jc w:val="both"/>
              <w:rPr>
                <w:rFonts w:ascii="Times New Roman" w:eastAsia="Times New Roman" w:hAnsi="Times New Roman" w:cs="Times New Roman"/>
                <w:b/>
                <w:sz w:val="20"/>
                <w:szCs w:val="20"/>
                <w:lang w:val="nn-NO"/>
              </w:rPr>
            </w:pPr>
          </w:p>
        </w:tc>
        <w:tc>
          <w:tcPr>
            <w:tcW w:w="990" w:type="dxa"/>
            <w:vMerge/>
          </w:tcPr>
          <w:p w:rsidR="00773E68" w:rsidRPr="009C00C2" w:rsidRDefault="00773E68" w:rsidP="00773E68">
            <w:pPr>
              <w:jc w:val="both"/>
              <w:rPr>
                <w:rFonts w:ascii="Times New Roman" w:eastAsia="Times New Roman" w:hAnsi="Times New Roman" w:cs="Times New Roman"/>
                <w:b/>
                <w:sz w:val="20"/>
                <w:szCs w:val="20"/>
                <w:lang w:val="nn-NO"/>
              </w:rPr>
            </w:pPr>
          </w:p>
        </w:tc>
        <w:tc>
          <w:tcPr>
            <w:tcW w:w="1170" w:type="dxa"/>
            <w:vMerge/>
          </w:tcPr>
          <w:p w:rsidR="00773E68" w:rsidRPr="009C00C2" w:rsidRDefault="00773E68" w:rsidP="00773E68">
            <w:pPr>
              <w:jc w:val="both"/>
              <w:rPr>
                <w:rFonts w:ascii="Times New Roman" w:eastAsia="Times New Roman" w:hAnsi="Times New Roman" w:cs="Times New Roman"/>
                <w:b/>
                <w:sz w:val="20"/>
                <w:szCs w:val="20"/>
                <w:lang w:val="nn-NO"/>
              </w:rPr>
            </w:pPr>
          </w:p>
        </w:tc>
        <w:tc>
          <w:tcPr>
            <w:tcW w:w="810" w:type="dxa"/>
            <w:vMerge/>
          </w:tcPr>
          <w:p w:rsidR="00773E68" w:rsidRPr="009C00C2" w:rsidRDefault="00773E68" w:rsidP="00773E68">
            <w:pPr>
              <w:jc w:val="both"/>
              <w:rPr>
                <w:rFonts w:ascii="Times New Roman" w:eastAsia="Times New Roman" w:hAnsi="Times New Roman" w:cs="Times New Roman"/>
                <w:b/>
                <w:sz w:val="20"/>
                <w:szCs w:val="20"/>
                <w:lang w:val="nn-NO"/>
              </w:rPr>
            </w:pPr>
          </w:p>
        </w:tc>
        <w:tc>
          <w:tcPr>
            <w:tcW w:w="1080" w:type="dxa"/>
            <w:gridSpan w:val="2"/>
          </w:tcPr>
          <w:p w:rsidR="00773E68" w:rsidRPr="009C00C2" w:rsidRDefault="00773E68" w:rsidP="00773E68">
            <w:pPr>
              <w:jc w:val="both"/>
              <w:rPr>
                <w:rFonts w:ascii="Times New Roman" w:eastAsia="Times New Roman" w:hAnsi="Times New Roman" w:cs="Times New Roman"/>
                <w:b/>
                <w:sz w:val="20"/>
                <w:szCs w:val="20"/>
                <w:lang w:val="nn-NO"/>
              </w:rPr>
            </w:pPr>
            <w:r w:rsidRPr="009C00C2">
              <w:rPr>
                <w:rFonts w:ascii="Times New Roman" w:eastAsia="Times New Roman" w:hAnsi="Times New Roman" w:cs="Times New Roman"/>
                <w:b/>
                <w:sz w:val="20"/>
                <w:szCs w:val="20"/>
                <w:lang w:val="nn-NO"/>
              </w:rPr>
              <w:t>M</w:t>
            </w:r>
            <w:r w:rsidR="00FA6167">
              <w:rPr>
                <w:rFonts w:ascii="Times New Roman" w:eastAsia="Times New Roman" w:hAnsi="Times New Roman" w:cs="Times New Roman"/>
                <w:b/>
                <w:sz w:val="20"/>
                <w:szCs w:val="20"/>
                <w:lang w:val="nn-NO"/>
              </w:rPr>
              <w:t>ostra</w:t>
            </w:r>
            <w:r w:rsidRPr="009C00C2">
              <w:rPr>
                <w:rFonts w:ascii="Times New Roman" w:eastAsia="Times New Roman" w:hAnsi="Times New Roman" w:cs="Times New Roman"/>
                <w:b/>
                <w:sz w:val="20"/>
                <w:szCs w:val="20"/>
                <w:lang w:val="nn-NO"/>
              </w:rPr>
              <w:t xml:space="preserve"> 1   0–30 cm</w:t>
            </w:r>
          </w:p>
        </w:tc>
        <w:tc>
          <w:tcPr>
            <w:tcW w:w="1080" w:type="dxa"/>
          </w:tcPr>
          <w:p w:rsidR="00773E68" w:rsidRPr="009C00C2" w:rsidRDefault="00FA6167" w:rsidP="00773E68">
            <w:pPr>
              <w:jc w:val="both"/>
              <w:rPr>
                <w:rFonts w:ascii="Times New Roman" w:eastAsia="Times New Roman" w:hAnsi="Times New Roman" w:cs="Times New Roman"/>
                <w:b/>
                <w:sz w:val="20"/>
                <w:szCs w:val="20"/>
                <w:lang w:val="nn-NO"/>
              </w:rPr>
            </w:pPr>
            <w:r>
              <w:rPr>
                <w:rFonts w:ascii="Times New Roman" w:eastAsia="Times New Roman" w:hAnsi="Times New Roman" w:cs="Times New Roman"/>
                <w:b/>
                <w:sz w:val="20"/>
                <w:szCs w:val="20"/>
                <w:lang w:val="nn-NO"/>
              </w:rPr>
              <w:t>Mostra</w:t>
            </w:r>
            <w:r w:rsidR="00773E68" w:rsidRPr="009C00C2">
              <w:rPr>
                <w:rFonts w:ascii="Times New Roman" w:eastAsia="Times New Roman" w:hAnsi="Times New Roman" w:cs="Times New Roman"/>
                <w:b/>
                <w:sz w:val="20"/>
                <w:szCs w:val="20"/>
                <w:lang w:val="nn-NO"/>
              </w:rPr>
              <w:t xml:space="preserve"> 2 0–30 cm</w:t>
            </w:r>
          </w:p>
        </w:tc>
        <w:tc>
          <w:tcPr>
            <w:tcW w:w="990" w:type="dxa"/>
          </w:tcPr>
          <w:p w:rsidR="00773E68" w:rsidRPr="009C00C2" w:rsidRDefault="00773E68" w:rsidP="00773E68">
            <w:pPr>
              <w:jc w:val="both"/>
              <w:rPr>
                <w:rFonts w:ascii="Times New Roman" w:eastAsia="Times New Roman" w:hAnsi="Times New Roman" w:cs="Times New Roman"/>
                <w:b/>
                <w:sz w:val="20"/>
                <w:szCs w:val="20"/>
                <w:lang w:val="nn-NO"/>
              </w:rPr>
            </w:pPr>
            <w:r w:rsidRPr="009C00C2">
              <w:rPr>
                <w:rFonts w:ascii="Times New Roman" w:eastAsia="Times New Roman" w:hAnsi="Times New Roman" w:cs="Times New Roman"/>
                <w:b/>
                <w:sz w:val="20"/>
                <w:szCs w:val="20"/>
                <w:lang w:val="nn-NO"/>
              </w:rPr>
              <w:t>M</w:t>
            </w:r>
            <w:r w:rsidR="00FA6167">
              <w:rPr>
                <w:rFonts w:ascii="Times New Roman" w:eastAsia="Times New Roman" w:hAnsi="Times New Roman" w:cs="Times New Roman"/>
                <w:b/>
                <w:sz w:val="20"/>
                <w:szCs w:val="20"/>
                <w:lang w:val="nn-NO"/>
              </w:rPr>
              <w:t>ostra</w:t>
            </w:r>
            <w:r w:rsidRPr="009C00C2">
              <w:rPr>
                <w:rFonts w:ascii="Times New Roman" w:eastAsia="Times New Roman" w:hAnsi="Times New Roman" w:cs="Times New Roman"/>
                <w:b/>
                <w:sz w:val="20"/>
                <w:szCs w:val="20"/>
                <w:lang w:val="nn-NO"/>
              </w:rPr>
              <w:t xml:space="preserve"> 3 </w:t>
            </w:r>
          </w:p>
          <w:p w:rsidR="00773E68" w:rsidRPr="009C00C2" w:rsidRDefault="00773E68" w:rsidP="00773E68">
            <w:pPr>
              <w:jc w:val="both"/>
              <w:rPr>
                <w:rFonts w:ascii="Times New Roman" w:eastAsia="Times New Roman" w:hAnsi="Times New Roman" w:cs="Times New Roman"/>
                <w:b/>
                <w:sz w:val="20"/>
                <w:szCs w:val="20"/>
                <w:lang w:val="nn-NO"/>
              </w:rPr>
            </w:pPr>
            <w:r w:rsidRPr="009C00C2">
              <w:rPr>
                <w:rFonts w:ascii="Times New Roman" w:eastAsia="Times New Roman" w:hAnsi="Times New Roman" w:cs="Times New Roman"/>
                <w:b/>
                <w:sz w:val="20"/>
                <w:szCs w:val="20"/>
                <w:lang w:val="nn-NO"/>
              </w:rPr>
              <w:t>0–30 cm</w:t>
            </w:r>
          </w:p>
          <w:p w:rsidR="00773E68" w:rsidRPr="009C00C2" w:rsidRDefault="00773E68" w:rsidP="00773E68">
            <w:pPr>
              <w:jc w:val="both"/>
              <w:rPr>
                <w:rFonts w:ascii="Times New Roman" w:eastAsia="Times New Roman" w:hAnsi="Times New Roman" w:cs="Times New Roman"/>
                <w:b/>
                <w:sz w:val="20"/>
                <w:szCs w:val="20"/>
                <w:lang w:val="nn-NO"/>
              </w:rPr>
            </w:pPr>
          </w:p>
        </w:tc>
        <w:tc>
          <w:tcPr>
            <w:tcW w:w="990" w:type="dxa"/>
          </w:tcPr>
          <w:p w:rsidR="00773E68" w:rsidRPr="009C00C2" w:rsidRDefault="00773E68" w:rsidP="00773E68">
            <w:pPr>
              <w:jc w:val="both"/>
              <w:rPr>
                <w:rFonts w:ascii="Times New Roman" w:eastAsia="Times New Roman" w:hAnsi="Times New Roman" w:cs="Times New Roman"/>
                <w:b/>
                <w:sz w:val="20"/>
                <w:szCs w:val="20"/>
                <w:lang w:val="nn-NO"/>
              </w:rPr>
            </w:pPr>
            <w:r w:rsidRPr="009C00C2">
              <w:rPr>
                <w:rFonts w:ascii="Times New Roman" w:eastAsia="Times New Roman" w:hAnsi="Times New Roman" w:cs="Times New Roman"/>
                <w:b/>
                <w:sz w:val="20"/>
                <w:szCs w:val="20"/>
                <w:lang w:val="nn-NO"/>
              </w:rPr>
              <w:t>M</w:t>
            </w:r>
            <w:r w:rsidR="00FA6167">
              <w:rPr>
                <w:rFonts w:ascii="Times New Roman" w:eastAsia="Times New Roman" w:hAnsi="Times New Roman" w:cs="Times New Roman"/>
                <w:b/>
                <w:sz w:val="20"/>
                <w:szCs w:val="20"/>
                <w:lang w:val="nn-NO"/>
              </w:rPr>
              <w:t xml:space="preserve">ostra </w:t>
            </w:r>
            <w:r w:rsidRPr="009C00C2">
              <w:rPr>
                <w:rFonts w:ascii="Times New Roman" w:eastAsia="Times New Roman" w:hAnsi="Times New Roman" w:cs="Times New Roman"/>
                <w:b/>
                <w:sz w:val="20"/>
                <w:szCs w:val="20"/>
                <w:lang w:val="nn-NO"/>
              </w:rPr>
              <w:t>4</w:t>
            </w:r>
          </w:p>
          <w:p w:rsidR="00773E68" w:rsidRPr="009C00C2" w:rsidRDefault="00773E68" w:rsidP="00773E68">
            <w:pPr>
              <w:jc w:val="both"/>
              <w:rPr>
                <w:rFonts w:ascii="Times New Roman" w:eastAsia="Times New Roman" w:hAnsi="Times New Roman" w:cs="Times New Roman"/>
                <w:b/>
                <w:sz w:val="20"/>
                <w:szCs w:val="20"/>
                <w:lang w:val="nn-NO"/>
              </w:rPr>
            </w:pPr>
            <w:r w:rsidRPr="009C00C2">
              <w:rPr>
                <w:rFonts w:ascii="Times New Roman" w:eastAsia="Times New Roman" w:hAnsi="Times New Roman" w:cs="Times New Roman"/>
                <w:b/>
                <w:sz w:val="20"/>
                <w:szCs w:val="20"/>
                <w:lang w:val="nn-NO"/>
              </w:rPr>
              <w:t>0 – 30</w:t>
            </w:r>
          </w:p>
        </w:tc>
        <w:tc>
          <w:tcPr>
            <w:tcW w:w="810" w:type="dxa"/>
          </w:tcPr>
          <w:p w:rsidR="00773E68" w:rsidRPr="009C00C2" w:rsidRDefault="00773E68" w:rsidP="00773E68">
            <w:pPr>
              <w:jc w:val="both"/>
              <w:rPr>
                <w:rFonts w:ascii="Times New Roman" w:eastAsia="Times New Roman" w:hAnsi="Times New Roman" w:cs="Times New Roman"/>
                <w:b/>
                <w:sz w:val="20"/>
                <w:szCs w:val="20"/>
                <w:lang w:val="nn-NO"/>
              </w:rPr>
            </w:pPr>
            <w:r w:rsidRPr="009C00C2">
              <w:rPr>
                <w:rFonts w:ascii="Times New Roman" w:eastAsia="Times New Roman" w:hAnsi="Times New Roman" w:cs="Times New Roman"/>
                <w:b/>
                <w:sz w:val="20"/>
                <w:szCs w:val="20"/>
                <w:lang w:val="nn-NO"/>
              </w:rPr>
              <w:t>Profili</w:t>
            </w:r>
          </w:p>
          <w:p w:rsidR="00773E68" w:rsidRPr="009C00C2" w:rsidRDefault="00773E68" w:rsidP="00773E68">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lang w:val="nn-NO"/>
              </w:rPr>
              <w:t xml:space="preserve">0 </w:t>
            </w:r>
            <w:r w:rsidRPr="009C00C2">
              <w:rPr>
                <w:rFonts w:ascii="Times New Roman" w:eastAsia="Times New Roman" w:hAnsi="Times New Roman" w:cs="Times New Roman"/>
                <w:b/>
                <w:sz w:val="20"/>
                <w:szCs w:val="20"/>
              </w:rPr>
              <w:t>-30</w:t>
            </w:r>
          </w:p>
        </w:tc>
        <w:tc>
          <w:tcPr>
            <w:tcW w:w="810" w:type="dxa"/>
          </w:tcPr>
          <w:p w:rsidR="00773E68" w:rsidRPr="009C00C2" w:rsidRDefault="00773E68" w:rsidP="00773E68">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rPr>
              <w:t>Profili</w:t>
            </w:r>
          </w:p>
          <w:p w:rsidR="00773E68" w:rsidRPr="009C00C2" w:rsidRDefault="00773E68" w:rsidP="00773E68">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rPr>
              <w:t>30 -60</w:t>
            </w:r>
          </w:p>
        </w:tc>
        <w:tc>
          <w:tcPr>
            <w:tcW w:w="900" w:type="dxa"/>
          </w:tcPr>
          <w:p w:rsidR="00773E68" w:rsidRPr="009C00C2" w:rsidRDefault="00773E68" w:rsidP="00773E68">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rPr>
              <w:t>Profili</w:t>
            </w:r>
          </w:p>
          <w:p w:rsidR="00773E68" w:rsidRPr="009C00C2" w:rsidRDefault="00773E68" w:rsidP="00773E68">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rPr>
              <w:t>60 -100</w:t>
            </w:r>
          </w:p>
        </w:tc>
      </w:tr>
      <w:tr w:rsidR="00773E68" w:rsidRPr="00773E68" w:rsidTr="00FA6167">
        <w:trPr>
          <w:trHeight w:val="134"/>
        </w:trPr>
        <w:tc>
          <w:tcPr>
            <w:tcW w:w="1080" w:type="dxa"/>
            <w:vMerge w:val="restart"/>
          </w:tcPr>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r w:rsidRPr="00773E68">
              <w:rPr>
                <w:rFonts w:ascii="Times New Roman" w:eastAsia="Times New Roman" w:hAnsi="Times New Roman" w:cs="Times New Roman"/>
                <w:b/>
                <w:sz w:val="24"/>
                <w:szCs w:val="24"/>
              </w:rPr>
              <w:t xml:space="preserve">Uzina </w:t>
            </w:r>
          </w:p>
          <w:p w:rsidR="00773E68" w:rsidRPr="00773E68" w:rsidRDefault="00773E68" w:rsidP="00773E68">
            <w:pPr>
              <w:jc w:val="both"/>
              <w:rPr>
                <w:rFonts w:ascii="Times New Roman" w:eastAsia="Times New Roman" w:hAnsi="Times New Roman" w:cs="Times New Roman"/>
                <w:b/>
                <w:sz w:val="24"/>
                <w:szCs w:val="24"/>
              </w:rPr>
            </w:pPr>
            <w:r w:rsidRPr="00773E68">
              <w:rPr>
                <w:rFonts w:ascii="Times New Roman" w:eastAsia="Times New Roman" w:hAnsi="Times New Roman" w:cs="Times New Roman"/>
                <w:b/>
                <w:sz w:val="24"/>
                <w:szCs w:val="24"/>
              </w:rPr>
              <w:t>Nitrat</w:t>
            </w:r>
          </w:p>
          <w:p w:rsidR="00773E68" w:rsidRPr="00773E68" w:rsidRDefault="00773E68" w:rsidP="00773E68">
            <w:pPr>
              <w:jc w:val="both"/>
              <w:rPr>
                <w:rFonts w:ascii="Times New Roman" w:eastAsia="Times New Roman" w:hAnsi="Times New Roman" w:cs="Times New Roman"/>
                <w:b/>
                <w:sz w:val="24"/>
                <w:szCs w:val="24"/>
              </w:rPr>
            </w:pPr>
            <w:r w:rsidRPr="00773E68">
              <w:rPr>
                <w:rFonts w:ascii="Times New Roman" w:eastAsia="Times New Roman" w:hAnsi="Times New Roman" w:cs="Times New Roman"/>
                <w:b/>
                <w:sz w:val="24"/>
                <w:szCs w:val="24"/>
              </w:rPr>
              <w:t>Amoni</w:t>
            </w:r>
          </w:p>
          <w:p w:rsidR="00773E68" w:rsidRPr="00773E68" w:rsidRDefault="00773E68" w:rsidP="00773E68">
            <w:pPr>
              <w:jc w:val="both"/>
              <w:rPr>
                <w:rFonts w:ascii="Times New Roman" w:eastAsia="Times New Roman" w:hAnsi="Times New Roman" w:cs="Times New Roman"/>
                <w:b/>
                <w:sz w:val="24"/>
                <w:szCs w:val="24"/>
              </w:rPr>
            </w:pPr>
            <w:r w:rsidRPr="00773E68">
              <w:rPr>
                <w:rFonts w:ascii="Times New Roman" w:eastAsia="Times New Roman" w:hAnsi="Times New Roman" w:cs="Times New Roman"/>
                <w:b/>
                <w:sz w:val="24"/>
                <w:szCs w:val="24"/>
              </w:rPr>
              <w:t>FIER</w:t>
            </w: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170" w:type="dxa"/>
          </w:tcPr>
          <w:p w:rsidR="00773E68" w:rsidRPr="00FA6167" w:rsidRDefault="00773E68" w:rsidP="00773E68">
            <w:pPr>
              <w:jc w:val="both"/>
              <w:rPr>
                <w:rFonts w:ascii="Times New Roman" w:eastAsia="Times New Roman" w:hAnsi="Times New Roman" w:cs="Times New Roman"/>
                <w:sz w:val="20"/>
                <w:szCs w:val="20"/>
                <w:lang w:val="it-IT"/>
              </w:rPr>
            </w:pPr>
            <w:r w:rsidRPr="00FA6167">
              <w:rPr>
                <w:rFonts w:ascii="Times New Roman" w:eastAsia="Times New Roman" w:hAnsi="Times New Roman" w:cs="Times New Roman"/>
                <w:sz w:val="20"/>
                <w:szCs w:val="20"/>
                <w:lang w:val="it-IT"/>
              </w:rPr>
              <w:t>mg/ kg  tokë e thatë</w:t>
            </w:r>
          </w:p>
        </w:tc>
        <w:tc>
          <w:tcPr>
            <w:tcW w:w="81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1080" w:type="dxa"/>
            <w:gridSpan w:val="2"/>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0.51</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0.53</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0.56</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0.58</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0.42</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0.43</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0.39</w:t>
            </w:r>
          </w:p>
        </w:tc>
      </w:tr>
      <w:tr w:rsidR="00773E68" w:rsidRPr="00773E68" w:rsidTr="00FA6167">
        <w:tc>
          <w:tcPr>
            <w:tcW w:w="108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170" w:type="dxa"/>
          </w:tcPr>
          <w:p w:rsidR="00773E68" w:rsidRPr="00FA6167" w:rsidRDefault="00773E68" w:rsidP="00773E68">
            <w:pPr>
              <w:jc w:val="both"/>
              <w:rPr>
                <w:rFonts w:ascii="Times New Roman" w:eastAsia="Times New Roman" w:hAnsi="Times New Roman" w:cs="Times New Roman"/>
                <w:sz w:val="20"/>
                <w:szCs w:val="20"/>
                <w:lang w:val="it-IT"/>
              </w:rPr>
            </w:pPr>
            <w:r w:rsidRPr="00FA6167">
              <w:rPr>
                <w:rFonts w:ascii="Times New Roman" w:eastAsia="Times New Roman" w:hAnsi="Times New Roman" w:cs="Times New Roman"/>
                <w:sz w:val="20"/>
                <w:szCs w:val="20"/>
                <w:lang w:val="it-IT"/>
              </w:rPr>
              <w:t>mg/ kg  tokë e thatë</w:t>
            </w:r>
          </w:p>
        </w:tc>
        <w:tc>
          <w:tcPr>
            <w:tcW w:w="81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1080" w:type="dxa"/>
            <w:gridSpan w:val="2"/>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0.39</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0.41</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0.44</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0.40</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0.38</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0.39</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0.29</w:t>
            </w:r>
          </w:p>
        </w:tc>
      </w:tr>
      <w:tr w:rsidR="00773E68" w:rsidRPr="00773E68" w:rsidTr="00FA6167">
        <w:tc>
          <w:tcPr>
            <w:tcW w:w="108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170" w:type="dxa"/>
          </w:tcPr>
          <w:p w:rsidR="00773E68" w:rsidRPr="00FA6167" w:rsidRDefault="00773E68" w:rsidP="00773E68">
            <w:pPr>
              <w:jc w:val="both"/>
              <w:rPr>
                <w:rFonts w:ascii="Times New Roman" w:eastAsia="Times New Roman" w:hAnsi="Times New Roman" w:cs="Times New Roman"/>
                <w:sz w:val="20"/>
                <w:szCs w:val="20"/>
                <w:lang w:val="it-IT"/>
              </w:rPr>
            </w:pPr>
            <w:r w:rsidRPr="00FA6167">
              <w:rPr>
                <w:rFonts w:ascii="Times New Roman" w:eastAsia="Times New Roman" w:hAnsi="Times New Roman" w:cs="Times New Roman"/>
                <w:sz w:val="20"/>
                <w:szCs w:val="20"/>
                <w:lang w:val="it-IT"/>
              </w:rPr>
              <w:t>mg/ kg  tokë e thatë</w:t>
            </w:r>
          </w:p>
        </w:tc>
        <w:tc>
          <w:tcPr>
            <w:tcW w:w="81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1080" w:type="dxa"/>
            <w:gridSpan w:val="2"/>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0.31</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0.34</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0.38</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0.33</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0.28</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0.33</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0.27</w:t>
            </w:r>
          </w:p>
        </w:tc>
      </w:tr>
      <w:tr w:rsidR="00773E68" w:rsidRPr="00773E68" w:rsidTr="00FA6167">
        <w:tc>
          <w:tcPr>
            <w:tcW w:w="108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170" w:type="dxa"/>
          </w:tcPr>
          <w:p w:rsidR="00773E68" w:rsidRPr="00FA6167" w:rsidRDefault="00773E68" w:rsidP="00773E68">
            <w:pPr>
              <w:jc w:val="both"/>
              <w:rPr>
                <w:rFonts w:ascii="Times New Roman" w:eastAsia="Times New Roman" w:hAnsi="Times New Roman" w:cs="Times New Roman"/>
                <w:sz w:val="20"/>
                <w:szCs w:val="20"/>
                <w:lang w:val="it-IT"/>
              </w:rPr>
            </w:pPr>
            <w:r w:rsidRPr="00FA6167">
              <w:rPr>
                <w:rFonts w:ascii="Times New Roman" w:eastAsia="Times New Roman" w:hAnsi="Times New Roman" w:cs="Times New Roman"/>
                <w:sz w:val="20"/>
                <w:szCs w:val="20"/>
                <w:lang w:val="it-IT"/>
              </w:rPr>
              <w:t>mg/ kg  tokë e thatë</w:t>
            </w:r>
          </w:p>
        </w:tc>
        <w:tc>
          <w:tcPr>
            <w:tcW w:w="81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1080" w:type="dxa"/>
            <w:gridSpan w:val="2"/>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4.8</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4.8</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4.3</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2.5</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2.7</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4.5</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6.4</w:t>
            </w:r>
          </w:p>
        </w:tc>
      </w:tr>
      <w:tr w:rsidR="00773E68" w:rsidRPr="00773E68" w:rsidTr="00FA6167">
        <w:tc>
          <w:tcPr>
            <w:tcW w:w="108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170" w:type="dxa"/>
          </w:tcPr>
          <w:p w:rsidR="00773E68" w:rsidRPr="00FA6167" w:rsidRDefault="00773E68" w:rsidP="00773E68">
            <w:pPr>
              <w:jc w:val="both"/>
              <w:rPr>
                <w:rFonts w:ascii="Times New Roman" w:eastAsia="Times New Roman" w:hAnsi="Times New Roman" w:cs="Times New Roman"/>
                <w:sz w:val="20"/>
                <w:szCs w:val="20"/>
                <w:lang w:val="it-IT"/>
              </w:rPr>
            </w:pPr>
            <w:r w:rsidRPr="00FA6167">
              <w:rPr>
                <w:rFonts w:ascii="Times New Roman" w:eastAsia="Times New Roman" w:hAnsi="Times New Roman" w:cs="Times New Roman"/>
                <w:sz w:val="20"/>
                <w:szCs w:val="20"/>
                <w:lang w:val="it-IT"/>
              </w:rPr>
              <w:t>mg/ kg  tokë e thatë</w:t>
            </w:r>
          </w:p>
        </w:tc>
        <w:tc>
          <w:tcPr>
            <w:tcW w:w="81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1080" w:type="dxa"/>
            <w:gridSpan w:val="2"/>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72.5</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81.6</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105.8</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94.2</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80.0</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101.6</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83.3</w:t>
            </w:r>
          </w:p>
        </w:tc>
      </w:tr>
      <w:tr w:rsidR="00773E68" w:rsidRPr="00773E68" w:rsidTr="00FA6167">
        <w:tc>
          <w:tcPr>
            <w:tcW w:w="108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170" w:type="dxa"/>
          </w:tcPr>
          <w:p w:rsidR="00773E68" w:rsidRPr="00FA6167" w:rsidRDefault="00773E68" w:rsidP="00773E68">
            <w:pPr>
              <w:jc w:val="both"/>
              <w:rPr>
                <w:rFonts w:ascii="Times New Roman" w:eastAsia="Times New Roman" w:hAnsi="Times New Roman" w:cs="Times New Roman"/>
                <w:sz w:val="20"/>
                <w:szCs w:val="20"/>
                <w:lang w:val="it-IT"/>
              </w:rPr>
            </w:pPr>
            <w:r w:rsidRPr="00FA6167">
              <w:rPr>
                <w:rFonts w:ascii="Times New Roman" w:eastAsia="Times New Roman" w:hAnsi="Times New Roman" w:cs="Times New Roman"/>
                <w:sz w:val="20"/>
                <w:szCs w:val="20"/>
                <w:lang w:val="it-IT"/>
              </w:rPr>
              <w:t>mg/ kg  tokë e thatë</w:t>
            </w:r>
          </w:p>
        </w:tc>
        <w:tc>
          <w:tcPr>
            <w:tcW w:w="81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1080" w:type="dxa"/>
            <w:gridSpan w:val="2"/>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 xml:space="preserve"> 0.62</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0.60</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0.70</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0.90</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1.00</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0.85</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0.70</w:t>
            </w:r>
          </w:p>
        </w:tc>
      </w:tr>
      <w:tr w:rsidR="00773E68" w:rsidRPr="00773E68" w:rsidTr="00FA6167">
        <w:tc>
          <w:tcPr>
            <w:tcW w:w="108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Mn</w:t>
            </w:r>
          </w:p>
        </w:tc>
        <w:tc>
          <w:tcPr>
            <w:tcW w:w="1170" w:type="dxa"/>
          </w:tcPr>
          <w:p w:rsidR="00773E68" w:rsidRPr="00FA6167" w:rsidRDefault="00773E68" w:rsidP="00773E68">
            <w:pPr>
              <w:jc w:val="both"/>
              <w:rPr>
                <w:rFonts w:ascii="Times New Roman" w:eastAsia="Times New Roman" w:hAnsi="Times New Roman" w:cs="Times New Roman"/>
                <w:sz w:val="20"/>
                <w:szCs w:val="20"/>
                <w:lang w:val="it-IT"/>
              </w:rPr>
            </w:pPr>
            <w:r w:rsidRPr="00FA6167">
              <w:rPr>
                <w:rFonts w:ascii="Times New Roman" w:eastAsia="Times New Roman" w:hAnsi="Times New Roman" w:cs="Times New Roman"/>
                <w:sz w:val="20"/>
                <w:szCs w:val="20"/>
                <w:lang w:val="it-IT"/>
              </w:rPr>
              <w:t>mg/ kg  tokë e thatë</w:t>
            </w:r>
          </w:p>
        </w:tc>
        <w:tc>
          <w:tcPr>
            <w:tcW w:w="81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1080" w:type="dxa"/>
            <w:gridSpan w:val="2"/>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21.0</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17.5</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17.0</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9.0</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9.0</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10.2</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16.0</w:t>
            </w:r>
          </w:p>
        </w:tc>
      </w:tr>
    </w:tbl>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Duke parë me kujdes rezultatet e treguesëve të analizuar, vërejmë që nuk kemi ndotje</w:t>
      </w:r>
      <w:r w:rsidR="000B74F2">
        <w:rPr>
          <w:rFonts w:ascii="Times New Roman" w:eastAsia="Times New Roman" w:hAnsi="Times New Roman" w:cs="Times New Roman"/>
          <w:sz w:val="24"/>
          <w:szCs w:val="24"/>
          <w:lang w:val="it-IT"/>
        </w:rPr>
        <w:t>.</w:t>
      </w:r>
      <w:r w:rsidRPr="00773E68">
        <w:rPr>
          <w:rFonts w:ascii="Times New Roman" w:eastAsia="Times New Roman" w:hAnsi="Times New Roman" w:cs="Times New Roman"/>
          <w:sz w:val="24"/>
          <w:szCs w:val="24"/>
          <w:lang w:val="it-IT"/>
        </w:rPr>
        <w:t xml:space="preserve"> </w:t>
      </w:r>
      <w:r w:rsidR="000B74F2">
        <w:rPr>
          <w:rFonts w:ascii="Times New Roman" w:eastAsia="Times New Roman" w:hAnsi="Times New Roman" w:cs="Times New Roman"/>
          <w:sz w:val="24"/>
          <w:szCs w:val="24"/>
          <w:lang w:val="it-IT"/>
        </w:rPr>
        <w:t>T</w:t>
      </w:r>
      <w:r w:rsidRPr="00773E68">
        <w:rPr>
          <w:rFonts w:ascii="Times New Roman" w:eastAsia="Times New Roman" w:hAnsi="Times New Roman" w:cs="Times New Roman"/>
          <w:sz w:val="24"/>
          <w:szCs w:val="24"/>
          <w:lang w:val="it-IT"/>
        </w:rPr>
        <w:t>reguesit janë nën limitet e lejuara dhe nuk përbëjn</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it-IT"/>
        </w:rPr>
        <w:t xml:space="preserve"> problem për mjedisin dhe nuk pengojnë vënien nën kulturë të tokave bujqësore përrreth uzinës.  Aktualisht tokat rreth saj janë nën kulturë, të mbjella me ullinj, grurë, jonxhë etj.</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Në tendencën e lëvizjes së elementëve të analizuar ka një rritje të përqëndrimit të elementeve në mostrat 3 dhe 4,  gjë që shpjegohet me l</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it-IT"/>
        </w:rPr>
        <w:t>vizjet e vogla të ndikuara nga tende</w:t>
      </w:r>
      <w:r w:rsidR="000B74F2">
        <w:rPr>
          <w:rFonts w:ascii="Times New Roman" w:eastAsia="Times New Roman" w:hAnsi="Times New Roman" w:cs="Times New Roman"/>
          <w:sz w:val="24"/>
          <w:szCs w:val="24"/>
          <w:lang w:val="it-IT"/>
        </w:rPr>
        <w:t>n</w:t>
      </w:r>
      <w:r w:rsidRPr="00773E68">
        <w:rPr>
          <w:rFonts w:ascii="Times New Roman" w:eastAsia="Times New Roman" w:hAnsi="Times New Roman" w:cs="Times New Roman"/>
          <w:sz w:val="24"/>
          <w:szCs w:val="24"/>
          <w:lang w:val="it-IT"/>
        </w:rPr>
        <w:t>ca e lëvizjes së ujërave sipërfaq</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it-IT"/>
        </w:rPr>
        <w:t>sor</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it-IT"/>
        </w:rPr>
        <w:t xml:space="preserve"> dhe nëntok</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it-IT"/>
        </w:rPr>
        <w:t>sorë. Përjashtim bën Mn.</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 xml:space="preserve">Vërehen vlera pak më të larta në shtresën e dytë  në thellësinë 30 - 60 cm, që shpjegohet me lëvizjen e lehtë të tyre elementeve nga ujërat e shiut, nëpërmjet shpëlarjes dhe zhvendosjes më në </w:t>
      </w:r>
      <w:r w:rsidRPr="00773E68">
        <w:rPr>
          <w:rFonts w:ascii="Times New Roman" w:eastAsia="Times New Roman" w:hAnsi="Times New Roman" w:cs="Times New Roman"/>
          <w:sz w:val="24"/>
          <w:szCs w:val="24"/>
          <w:lang w:val="it-IT"/>
        </w:rPr>
        <w:lastRenderedPageBreak/>
        <w:t>thellësi të tokës.</w:t>
      </w:r>
      <w:r w:rsidR="00FA6167">
        <w:rPr>
          <w:rFonts w:ascii="Times New Roman" w:eastAsia="Times New Roman" w:hAnsi="Times New Roman" w:cs="Times New Roman"/>
          <w:sz w:val="24"/>
          <w:szCs w:val="24"/>
          <w:lang w:val="it-IT"/>
        </w:rPr>
        <w:t xml:space="preserve"> </w:t>
      </w:r>
      <w:r w:rsidRPr="00773E68">
        <w:rPr>
          <w:rFonts w:ascii="Times New Roman" w:eastAsia="Times New Roman" w:hAnsi="Times New Roman" w:cs="Times New Roman"/>
          <w:sz w:val="24"/>
          <w:szCs w:val="24"/>
          <w:lang w:val="it-IT"/>
        </w:rPr>
        <w:t>Mn është më shumë i lëvizshëm dhe ka një rritje të përqëndrimit në thellësi të profilit.</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Kombinati Metalurgjik  Elbasan  (</w:t>
      </w:r>
      <w:r w:rsidR="006E4782">
        <w:rPr>
          <w:rFonts w:ascii="Times New Roman" w:eastAsia="Times New Roman" w:hAnsi="Times New Roman" w:cs="Times New Roman"/>
          <w:b/>
          <w:sz w:val="24"/>
          <w:szCs w:val="24"/>
          <w:lang w:val="it-IT"/>
        </w:rPr>
        <w:t xml:space="preserve">Zona </w:t>
      </w:r>
      <w:r w:rsidRPr="00773E68">
        <w:rPr>
          <w:rFonts w:ascii="Times New Roman" w:eastAsia="Times New Roman" w:hAnsi="Times New Roman" w:cs="Times New Roman"/>
          <w:b/>
          <w:sz w:val="24"/>
          <w:szCs w:val="24"/>
          <w:lang w:val="it-IT"/>
        </w:rPr>
        <w:t>1 )</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Kombinati Metalurgjik i Elbasanit shtrihet në hyrje të qytetit, në anën e djathtë të rrugës  Rogozhinë -Elbasan dhe poshtë kryqëzimit të rrugës Tiranë-Elbasan në hyrje ( zona e Bradasheshit).  Në anën lindore kufizohet me qytetin e Elbasanit dhe në anën jugore me Lumin e Shkumbinit. Në përgjithësi këto toka janë të mbjella me kultura të ndryshme, bimë arrash, foragjere, drithra, perime, etj si dhe pemë frutore, nektarinë, dardh</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it-IT"/>
        </w:rPr>
        <w:t>, agrume dhe ullinj. Sip</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it-IT"/>
        </w:rPr>
        <w:t xml:space="preserve">rfaqja është e sheshtë me valëzime të lehta dhe me pjerrësi që varIon nga 2 deri 7 %. </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Zona e parë e përcaktuar për këtë objekt monitorues përfshin të gjithë fshatrat q</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it-IT"/>
        </w:rPr>
        <w:t xml:space="preserve"> ndodhen në  anën jugore të Lumit Shkumbin, anën e majtë të tij nga Shushica në drejtim të Buqësit deri në fshatin Jagodimë. </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nn-NO"/>
        </w:rPr>
      </w:pPr>
    </w:p>
    <w:p w:rsidR="00773E68" w:rsidRPr="00FA6167" w:rsidRDefault="00681B50" w:rsidP="00FA6167">
      <w:pPr>
        <w:spacing w:after="0" w:line="240" w:lineRule="auto"/>
        <w:jc w:val="center"/>
        <w:rPr>
          <w:rFonts w:ascii="Times New Roman" w:eastAsia="Times New Roman" w:hAnsi="Times New Roman" w:cs="Times New Roman"/>
          <w:sz w:val="24"/>
          <w:szCs w:val="24"/>
          <w:lang w:val="nn-NO"/>
        </w:rPr>
      </w:pPr>
      <w:r>
        <w:rPr>
          <w:rFonts w:ascii="Times New Roman" w:eastAsia="Times New Roman" w:hAnsi="Times New Roman" w:cs="Times New Roman"/>
          <w:sz w:val="24"/>
          <w:szCs w:val="24"/>
          <w:lang w:val="nn-NO"/>
        </w:rPr>
        <w:t>Tabela 44</w:t>
      </w:r>
      <w:r w:rsidR="00773E68" w:rsidRPr="00FA6167">
        <w:rPr>
          <w:rFonts w:ascii="Times New Roman" w:eastAsia="Times New Roman" w:hAnsi="Times New Roman" w:cs="Times New Roman"/>
          <w:sz w:val="24"/>
          <w:szCs w:val="24"/>
          <w:lang w:val="nn-NO"/>
        </w:rPr>
        <w:t>.  Tabela e rezultateve për treguesit e analizuar</w:t>
      </w:r>
      <w:r w:rsidR="0076266A">
        <w:rPr>
          <w:rFonts w:ascii="Times New Roman" w:eastAsia="Times New Roman" w:hAnsi="Times New Roman" w:cs="Times New Roman"/>
          <w:sz w:val="24"/>
          <w:szCs w:val="24"/>
          <w:lang w:val="nn-NO"/>
        </w:rPr>
        <w:t xml:space="preserve">, </w:t>
      </w:r>
      <w:r w:rsidR="00773E68" w:rsidRPr="00FA6167">
        <w:rPr>
          <w:rFonts w:ascii="Times New Roman" w:eastAsia="Times New Roman" w:hAnsi="Times New Roman" w:cs="Times New Roman"/>
          <w:sz w:val="24"/>
          <w:szCs w:val="24"/>
          <w:lang w:val="nn-NO"/>
        </w:rPr>
        <w:t>Elbasan 1</w:t>
      </w:r>
    </w:p>
    <w:p w:rsidR="00773E68" w:rsidRPr="00773E68" w:rsidRDefault="00773E68" w:rsidP="00773E68">
      <w:pPr>
        <w:spacing w:after="0" w:line="240" w:lineRule="auto"/>
        <w:jc w:val="both"/>
        <w:rPr>
          <w:rFonts w:ascii="Times New Roman" w:eastAsia="Times New Roman" w:hAnsi="Times New Roman" w:cs="Times New Roman"/>
          <w:sz w:val="24"/>
          <w:szCs w:val="24"/>
          <w:lang w:val="nn-NO"/>
        </w:rPr>
      </w:pPr>
    </w:p>
    <w:tbl>
      <w:tblPr>
        <w:tblStyle w:val="TableGrid3"/>
        <w:tblW w:w="10786" w:type="dxa"/>
        <w:jc w:val="center"/>
        <w:tblLayout w:type="fixed"/>
        <w:tblLook w:val="04A0" w:firstRow="1" w:lastRow="0" w:firstColumn="1" w:lastColumn="0" w:noHBand="0" w:noVBand="1"/>
      </w:tblPr>
      <w:tblGrid>
        <w:gridCol w:w="1530"/>
        <w:gridCol w:w="990"/>
        <w:gridCol w:w="1350"/>
        <w:gridCol w:w="900"/>
        <w:gridCol w:w="1080"/>
        <w:gridCol w:w="1080"/>
        <w:gridCol w:w="1080"/>
        <w:gridCol w:w="270"/>
        <w:gridCol w:w="810"/>
        <w:gridCol w:w="810"/>
        <w:gridCol w:w="886"/>
      </w:tblGrid>
      <w:tr w:rsidR="0076266A" w:rsidRPr="00773E68" w:rsidTr="0076266A">
        <w:trPr>
          <w:jc w:val="center"/>
        </w:trPr>
        <w:tc>
          <w:tcPr>
            <w:tcW w:w="1530" w:type="dxa"/>
            <w:vMerge w:val="restart"/>
          </w:tcPr>
          <w:p w:rsidR="0076266A" w:rsidRPr="009C00C2" w:rsidRDefault="0076266A" w:rsidP="0076266A">
            <w:pPr>
              <w:jc w:val="both"/>
              <w:rPr>
                <w:rFonts w:ascii="Times New Roman" w:eastAsia="Times New Roman" w:hAnsi="Times New Roman" w:cs="Times New Roman"/>
                <w:b/>
                <w:sz w:val="20"/>
                <w:szCs w:val="20"/>
                <w:lang w:val="nn-NO"/>
              </w:rPr>
            </w:pPr>
          </w:p>
          <w:p w:rsidR="0076266A" w:rsidRPr="009C00C2" w:rsidRDefault="0076266A" w:rsidP="0076266A">
            <w:pPr>
              <w:jc w:val="both"/>
              <w:rPr>
                <w:rFonts w:ascii="Times New Roman" w:eastAsia="Times New Roman" w:hAnsi="Times New Roman" w:cs="Times New Roman"/>
                <w:b/>
                <w:sz w:val="20"/>
                <w:szCs w:val="20"/>
                <w:lang w:val="nn-NO"/>
              </w:rPr>
            </w:pPr>
            <w:r>
              <w:rPr>
                <w:rFonts w:ascii="Times New Roman" w:eastAsia="Times New Roman" w:hAnsi="Times New Roman" w:cs="Times New Roman"/>
                <w:b/>
                <w:sz w:val="20"/>
                <w:szCs w:val="20"/>
                <w:lang w:val="nn-NO"/>
              </w:rPr>
              <w:t>V</w:t>
            </w:r>
            <w:r w:rsidRPr="009C00C2">
              <w:rPr>
                <w:rFonts w:ascii="Times New Roman" w:eastAsia="Times New Roman" w:hAnsi="Times New Roman" w:cs="Times New Roman"/>
                <w:b/>
                <w:sz w:val="20"/>
                <w:szCs w:val="20"/>
                <w:lang w:val="nn-NO"/>
              </w:rPr>
              <w:t>endi</w:t>
            </w:r>
          </w:p>
        </w:tc>
        <w:tc>
          <w:tcPr>
            <w:tcW w:w="990" w:type="dxa"/>
            <w:vMerge w:val="restart"/>
          </w:tcPr>
          <w:p w:rsidR="0076266A" w:rsidRPr="009C00C2" w:rsidRDefault="0076266A" w:rsidP="0076266A">
            <w:pPr>
              <w:jc w:val="both"/>
              <w:rPr>
                <w:rFonts w:ascii="Times New Roman" w:eastAsia="Times New Roman" w:hAnsi="Times New Roman" w:cs="Times New Roman"/>
                <w:b/>
                <w:sz w:val="20"/>
                <w:szCs w:val="20"/>
                <w:lang w:val="nn-NO"/>
              </w:rPr>
            </w:pPr>
          </w:p>
          <w:p w:rsidR="0076266A" w:rsidRPr="009C00C2" w:rsidRDefault="0076266A" w:rsidP="0076266A">
            <w:pPr>
              <w:jc w:val="both"/>
              <w:rPr>
                <w:rFonts w:ascii="Times New Roman" w:eastAsia="Times New Roman" w:hAnsi="Times New Roman" w:cs="Times New Roman"/>
                <w:b/>
                <w:sz w:val="20"/>
                <w:szCs w:val="20"/>
                <w:lang w:val="nn-NO"/>
              </w:rPr>
            </w:pPr>
            <w:r>
              <w:rPr>
                <w:rFonts w:ascii="Times New Roman" w:eastAsia="Times New Roman" w:hAnsi="Times New Roman" w:cs="Times New Roman"/>
                <w:b/>
                <w:sz w:val="20"/>
                <w:szCs w:val="20"/>
                <w:lang w:val="nn-NO"/>
              </w:rPr>
              <w:t>T</w:t>
            </w:r>
            <w:r w:rsidRPr="009C00C2">
              <w:rPr>
                <w:rFonts w:ascii="Times New Roman" w:eastAsia="Times New Roman" w:hAnsi="Times New Roman" w:cs="Times New Roman"/>
                <w:b/>
                <w:sz w:val="20"/>
                <w:szCs w:val="20"/>
                <w:lang w:val="nn-NO"/>
              </w:rPr>
              <w:t>re</w:t>
            </w:r>
            <w:r>
              <w:rPr>
                <w:rFonts w:ascii="Times New Roman" w:eastAsia="Times New Roman" w:hAnsi="Times New Roman" w:cs="Times New Roman"/>
                <w:b/>
                <w:sz w:val="20"/>
                <w:szCs w:val="20"/>
                <w:lang w:val="nn-NO"/>
              </w:rPr>
              <w:t>gues</w:t>
            </w:r>
          </w:p>
        </w:tc>
        <w:tc>
          <w:tcPr>
            <w:tcW w:w="1350" w:type="dxa"/>
            <w:vMerge w:val="restart"/>
          </w:tcPr>
          <w:p w:rsidR="0076266A" w:rsidRPr="009C00C2" w:rsidRDefault="0076266A" w:rsidP="0076266A">
            <w:pPr>
              <w:jc w:val="both"/>
              <w:rPr>
                <w:rFonts w:ascii="Times New Roman" w:eastAsia="Times New Roman" w:hAnsi="Times New Roman" w:cs="Times New Roman"/>
                <w:b/>
                <w:sz w:val="20"/>
                <w:szCs w:val="20"/>
                <w:lang w:val="nn-NO"/>
              </w:rPr>
            </w:pPr>
          </w:p>
          <w:p w:rsidR="0076266A" w:rsidRPr="009C00C2" w:rsidRDefault="0076266A" w:rsidP="0076266A">
            <w:pPr>
              <w:jc w:val="both"/>
              <w:rPr>
                <w:rFonts w:ascii="Times New Roman" w:eastAsia="Times New Roman" w:hAnsi="Times New Roman" w:cs="Times New Roman"/>
                <w:b/>
                <w:sz w:val="20"/>
                <w:szCs w:val="20"/>
                <w:lang w:val="nn-NO"/>
              </w:rPr>
            </w:pPr>
            <w:r>
              <w:rPr>
                <w:rFonts w:ascii="Times New Roman" w:eastAsia="Times New Roman" w:hAnsi="Times New Roman" w:cs="Times New Roman"/>
                <w:b/>
                <w:sz w:val="20"/>
                <w:szCs w:val="20"/>
                <w:lang w:val="nn-NO"/>
              </w:rPr>
              <w:t>N</w:t>
            </w:r>
            <w:r w:rsidRPr="009C00C2">
              <w:rPr>
                <w:rFonts w:ascii="Times New Roman" w:eastAsia="Times New Roman" w:hAnsi="Times New Roman" w:cs="Times New Roman"/>
                <w:b/>
                <w:sz w:val="20"/>
                <w:szCs w:val="20"/>
                <w:lang w:val="nn-NO"/>
              </w:rPr>
              <w:t>j</w:t>
            </w:r>
            <w:r>
              <w:rPr>
                <w:rFonts w:ascii="Times New Roman" w:eastAsia="Times New Roman" w:hAnsi="Times New Roman" w:cs="Times New Roman"/>
                <w:b/>
                <w:sz w:val="20"/>
                <w:szCs w:val="20"/>
                <w:lang w:val="nn-NO"/>
              </w:rPr>
              <w:t>ësia e</w:t>
            </w:r>
            <w:r w:rsidRPr="009C00C2">
              <w:rPr>
                <w:rFonts w:ascii="Times New Roman" w:eastAsia="Times New Roman" w:hAnsi="Times New Roman" w:cs="Times New Roman"/>
                <w:b/>
                <w:sz w:val="20"/>
                <w:szCs w:val="20"/>
                <w:lang w:val="nn-NO"/>
              </w:rPr>
              <w:t xml:space="preserve"> matjes</w:t>
            </w:r>
          </w:p>
        </w:tc>
        <w:tc>
          <w:tcPr>
            <w:tcW w:w="900" w:type="dxa"/>
            <w:vMerge w:val="restart"/>
          </w:tcPr>
          <w:p w:rsidR="0076266A" w:rsidRPr="009C00C2" w:rsidRDefault="0076266A" w:rsidP="0076266A">
            <w:pPr>
              <w:jc w:val="both"/>
              <w:rPr>
                <w:rFonts w:ascii="Times New Roman" w:eastAsia="Times New Roman" w:hAnsi="Times New Roman" w:cs="Times New Roman"/>
                <w:b/>
                <w:sz w:val="20"/>
                <w:szCs w:val="20"/>
                <w:lang w:val="nn-NO"/>
              </w:rPr>
            </w:pPr>
            <w:r>
              <w:rPr>
                <w:rFonts w:ascii="Times New Roman" w:eastAsia="Times New Roman" w:hAnsi="Times New Roman" w:cs="Times New Roman"/>
                <w:b/>
                <w:sz w:val="20"/>
                <w:szCs w:val="20"/>
                <w:lang w:val="nn-NO"/>
              </w:rPr>
              <w:t>L</w:t>
            </w:r>
            <w:r w:rsidRPr="009C00C2">
              <w:rPr>
                <w:rFonts w:ascii="Times New Roman" w:eastAsia="Times New Roman" w:hAnsi="Times New Roman" w:cs="Times New Roman"/>
                <w:b/>
                <w:sz w:val="20"/>
                <w:szCs w:val="20"/>
                <w:lang w:val="nn-NO"/>
              </w:rPr>
              <w:t>imit</w:t>
            </w:r>
          </w:p>
        </w:tc>
        <w:tc>
          <w:tcPr>
            <w:tcW w:w="6016" w:type="dxa"/>
            <w:gridSpan w:val="7"/>
          </w:tcPr>
          <w:p w:rsidR="0076266A" w:rsidRPr="009C00C2" w:rsidRDefault="0076266A" w:rsidP="0076266A">
            <w:pPr>
              <w:jc w:val="center"/>
              <w:rPr>
                <w:rFonts w:ascii="Times New Roman" w:eastAsia="Times New Roman" w:hAnsi="Times New Roman" w:cs="Times New Roman"/>
                <w:b/>
                <w:sz w:val="20"/>
                <w:szCs w:val="20"/>
                <w:lang w:val="nn-NO"/>
              </w:rPr>
            </w:pPr>
            <w:r>
              <w:rPr>
                <w:rFonts w:ascii="Times New Roman" w:eastAsia="Times New Roman" w:hAnsi="Times New Roman" w:cs="Times New Roman"/>
                <w:b/>
                <w:sz w:val="20"/>
                <w:szCs w:val="20"/>
                <w:lang w:val="nn-NO"/>
              </w:rPr>
              <w:t>REZULATET</w:t>
            </w:r>
          </w:p>
        </w:tc>
      </w:tr>
      <w:tr w:rsidR="0076266A" w:rsidRPr="00773E68" w:rsidTr="0076266A">
        <w:trPr>
          <w:jc w:val="center"/>
        </w:trPr>
        <w:tc>
          <w:tcPr>
            <w:tcW w:w="1530" w:type="dxa"/>
            <w:vMerge/>
          </w:tcPr>
          <w:p w:rsidR="0076266A" w:rsidRPr="00773E68" w:rsidRDefault="0076266A" w:rsidP="0076266A">
            <w:pPr>
              <w:jc w:val="both"/>
              <w:rPr>
                <w:rFonts w:ascii="Times New Roman" w:eastAsia="Times New Roman" w:hAnsi="Times New Roman" w:cs="Times New Roman"/>
                <w:b/>
                <w:sz w:val="24"/>
                <w:szCs w:val="24"/>
                <w:lang w:val="nn-NO"/>
              </w:rPr>
            </w:pPr>
          </w:p>
        </w:tc>
        <w:tc>
          <w:tcPr>
            <w:tcW w:w="990" w:type="dxa"/>
            <w:vMerge/>
          </w:tcPr>
          <w:p w:rsidR="0076266A" w:rsidRPr="00773E68" w:rsidRDefault="0076266A" w:rsidP="0076266A">
            <w:pPr>
              <w:jc w:val="both"/>
              <w:rPr>
                <w:rFonts w:ascii="Times New Roman" w:eastAsia="Times New Roman" w:hAnsi="Times New Roman" w:cs="Times New Roman"/>
                <w:b/>
                <w:sz w:val="24"/>
                <w:szCs w:val="24"/>
                <w:lang w:val="nn-NO"/>
              </w:rPr>
            </w:pPr>
          </w:p>
        </w:tc>
        <w:tc>
          <w:tcPr>
            <w:tcW w:w="1350" w:type="dxa"/>
            <w:vMerge/>
          </w:tcPr>
          <w:p w:rsidR="0076266A" w:rsidRPr="00773E68" w:rsidRDefault="0076266A" w:rsidP="0076266A">
            <w:pPr>
              <w:jc w:val="both"/>
              <w:rPr>
                <w:rFonts w:ascii="Times New Roman" w:eastAsia="Times New Roman" w:hAnsi="Times New Roman" w:cs="Times New Roman"/>
                <w:b/>
                <w:sz w:val="24"/>
                <w:szCs w:val="24"/>
                <w:lang w:val="nn-NO"/>
              </w:rPr>
            </w:pPr>
          </w:p>
        </w:tc>
        <w:tc>
          <w:tcPr>
            <w:tcW w:w="900" w:type="dxa"/>
            <w:vMerge/>
          </w:tcPr>
          <w:p w:rsidR="0076266A" w:rsidRPr="00773E68" w:rsidRDefault="0076266A" w:rsidP="0076266A">
            <w:pPr>
              <w:jc w:val="both"/>
              <w:rPr>
                <w:rFonts w:ascii="Times New Roman" w:eastAsia="Times New Roman" w:hAnsi="Times New Roman" w:cs="Times New Roman"/>
                <w:b/>
                <w:sz w:val="24"/>
                <w:szCs w:val="24"/>
                <w:lang w:val="nn-NO"/>
              </w:rPr>
            </w:pPr>
          </w:p>
        </w:tc>
        <w:tc>
          <w:tcPr>
            <w:tcW w:w="1080" w:type="dxa"/>
          </w:tcPr>
          <w:p w:rsidR="0076266A" w:rsidRPr="00773E68" w:rsidRDefault="0076266A" w:rsidP="0076266A">
            <w:pPr>
              <w:jc w:val="both"/>
              <w:rPr>
                <w:rFonts w:ascii="Times New Roman" w:eastAsia="Times New Roman" w:hAnsi="Times New Roman" w:cs="Times New Roman"/>
                <w:b/>
                <w:sz w:val="24"/>
                <w:szCs w:val="24"/>
                <w:lang w:val="nn-NO"/>
              </w:rPr>
            </w:pPr>
            <w:r w:rsidRPr="009C00C2">
              <w:rPr>
                <w:rFonts w:ascii="Times New Roman" w:eastAsia="Times New Roman" w:hAnsi="Times New Roman" w:cs="Times New Roman"/>
                <w:b/>
                <w:sz w:val="20"/>
                <w:szCs w:val="20"/>
                <w:lang w:val="nn-NO"/>
              </w:rPr>
              <w:t>M</w:t>
            </w:r>
            <w:r>
              <w:rPr>
                <w:rFonts w:ascii="Times New Roman" w:eastAsia="Times New Roman" w:hAnsi="Times New Roman" w:cs="Times New Roman"/>
                <w:b/>
                <w:sz w:val="20"/>
                <w:szCs w:val="20"/>
                <w:lang w:val="nn-NO"/>
              </w:rPr>
              <w:t>ostra</w:t>
            </w:r>
            <w:r w:rsidRPr="009C00C2">
              <w:rPr>
                <w:rFonts w:ascii="Times New Roman" w:eastAsia="Times New Roman" w:hAnsi="Times New Roman" w:cs="Times New Roman"/>
                <w:b/>
                <w:sz w:val="20"/>
                <w:szCs w:val="20"/>
                <w:lang w:val="nn-NO"/>
              </w:rPr>
              <w:t xml:space="preserve"> 1   0–30 cm</w:t>
            </w:r>
          </w:p>
        </w:tc>
        <w:tc>
          <w:tcPr>
            <w:tcW w:w="1080" w:type="dxa"/>
          </w:tcPr>
          <w:p w:rsidR="0076266A" w:rsidRPr="00773E68" w:rsidRDefault="0076266A" w:rsidP="0076266A">
            <w:pPr>
              <w:jc w:val="both"/>
              <w:rPr>
                <w:rFonts w:ascii="Times New Roman" w:eastAsia="Times New Roman" w:hAnsi="Times New Roman" w:cs="Times New Roman"/>
                <w:b/>
                <w:sz w:val="24"/>
                <w:szCs w:val="24"/>
                <w:lang w:val="nn-NO"/>
              </w:rPr>
            </w:pPr>
            <w:r>
              <w:rPr>
                <w:rFonts w:ascii="Times New Roman" w:eastAsia="Times New Roman" w:hAnsi="Times New Roman" w:cs="Times New Roman"/>
                <w:b/>
                <w:sz w:val="20"/>
                <w:szCs w:val="20"/>
                <w:lang w:val="nn-NO"/>
              </w:rPr>
              <w:t>Mostra</w:t>
            </w:r>
            <w:r w:rsidRPr="009C00C2">
              <w:rPr>
                <w:rFonts w:ascii="Times New Roman" w:eastAsia="Times New Roman" w:hAnsi="Times New Roman" w:cs="Times New Roman"/>
                <w:b/>
                <w:sz w:val="20"/>
                <w:szCs w:val="20"/>
                <w:lang w:val="nn-NO"/>
              </w:rPr>
              <w:t xml:space="preserve"> 2 0–30 cm</w:t>
            </w:r>
          </w:p>
        </w:tc>
        <w:tc>
          <w:tcPr>
            <w:tcW w:w="1080" w:type="dxa"/>
          </w:tcPr>
          <w:p w:rsidR="0076266A" w:rsidRPr="009C00C2" w:rsidRDefault="0076266A" w:rsidP="0076266A">
            <w:pPr>
              <w:jc w:val="both"/>
              <w:rPr>
                <w:rFonts w:ascii="Times New Roman" w:eastAsia="Times New Roman" w:hAnsi="Times New Roman" w:cs="Times New Roman"/>
                <w:b/>
                <w:sz w:val="20"/>
                <w:szCs w:val="20"/>
                <w:lang w:val="nn-NO"/>
              </w:rPr>
            </w:pPr>
            <w:r w:rsidRPr="009C00C2">
              <w:rPr>
                <w:rFonts w:ascii="Times New Roman" w:eastAsia="Times New Roman" w:hAnsi="Times New Roman" w:cs="Times New Roman"/>
                <w:b/>
                <w:sz w:val="20"/>
                <w:szCs w:val="20"/>
                <w:lang w:val="nn-NO"/>
              </w:rPr>
              <w:t>M</w:t>
            </w:r>
            <w:r>
              <w:rPr>
                <w:rFonts w:ascii="Times New Roman" w:eastAsia="Times New Roman" w:hAnsi="Times New Roman" w:cs="Times New Roman"/>
                <w:b/>
                <w:sz w:val="20"/>
                <w:szCs w:val="20"/>
                <w:lang w:val="nn-NO"/>
              </w:rPr>
              <w:t>ostra</w:t>
            </w:r>
            <w:r w:rsidRPr="009C00C2">
              <w:rPr>
                <w:rFonts w:ascii="Times New Roman" w:eastAsia="Times New Roman" w:hAnsi="Times New Roman" w:cs="Times New Roman"/>
                <w:b/>
                <w:sz w:val="20"/>
                <w:szCs w:val="20"/>
                <w:lang w:val="nn-NO"/>
              </w:rPr>
              <w:t xml:space="preserve"> 3 </w:t>
            </w:r>
          </w:p>
          <w:p w:rsidR="0076266A" w:rsidRPr="009C00C2" w:rsidRDefault="0076266A" w:rsidP="0076266A">
            <w:pPr>
              <w:jc w:val="both"/>
              <w:rPr>
                <w:rFonts w:ascii="Times New Roman" w:eastAsia="Times New Roman" w:hAnsi="Times New Roman" w:cs="Times New Roman"/>
                <w:b/>
                <w:sz w:val="20"/>
                <w:szCs w:val="20"/>
                <w:lang w:val="nn-NO"/>
              </w:rPr>
            </w:pPr>
            <w:r w:rsidRPr="009C00C2">
              <w:rPr>
                <w:rFonts w:ascii="Times New Roman" w:eastAsia="Times New Roman" w:hAnsi="Times New Roman" w:cs="Times New Roman"/>
                <w:b/>
                <w:sz w:val="20"/>
                <w:szCs w:val="20"/>
                <w:lang w:val="nn-NO"/>
              </w:rPr>
              <w:t>0–30 cm</w:t>
            </w:r>
          </w:p>
        </w:tc>
        <w:tc>
          <w:tcPr>
            <w:tcW w:w="270" w:type="dxa"/>
          </w:tcPr>
          <w:p w:rsidR="0076266A" w:rsidRPr="009C00C2" w:rsidRDefault="0076266A" w:rsidP="0076266A">
            <w:pPr>
              <w:jc w:val="both"/>
              <w:rPr>
                <w:rFonts w:ascii="Times New Roman" w:eastAsia="Times New Roman" w:hAnsi="Times New Roman" w:cs="Times New Roman"/>
                <w:b/>
                <w:sz w:val="20"/>
                <w:szCs w:val="20"/>
                <w:lang w:val="nn-NO"/>
              </w:rPr>
            </w:pPr>
          </w:p>
        </w:tc>
        <w:tc>
          <w:tcPr>
            <w:tcW w:w="810" w:type="dxa"/>
          </w:tcPr>
          <w:p w:rsidR="0076266A" w:rsidRPr="009C00C2" w:rsidRDefault="0076266A" w:rsidP="0076266A">
            <w:pPr>
              <w:jc w:val="both"/>
              <w:rPr>
                <w:rFonts w:ascii="Times New Roman" w:eastAsia="Times New Roman" w:hAnsi="Times New Roman" w:cs="Times New Roman"/>
                <w:b/>
                <w:sz w:val="20"/>
                <w:szCs w:val="20"/>
                <w:lang w:val="nn-NO"/>
              </w:rPr>
            </w:pPr>
            <w:r w:rsidRPr="009C00C2">
              <w:rPr>
                <w:rFonts w:ascii="Times New Roman" w:eastAsia="Times New Roman" w:hAnsi="Times New Roman" w:cs="Times New Roman"/>
                <w:b/>
                <w:sz w:val="20"/>
                <w:szCs w:val="20"/>
                <w:lang w:val="nn-NO"/>
              </w:rPr>
              <w:t>Profili</w:t>
            </w:r>
          </w:p>
          <w:p w:rsidR="0076266A" w:rsidRPr="009C00C2" w:rsidRDefault="0076266A" w:rsidP="0076266A">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lang w:val="nn-NO"/>
              </w:rPr>
              <w:t xml:space="preserve">0 </w:t>
            </w:r>
            <w:r w:rsidRPr="009C00C2">
              <w:rPr>
                <w:rFonts w:ascii="Times New Roman" w:eastAsia="Times New Roman" w:hAnsi="Times New Roman" w:cs="Times New Roman"/>
                <w:b/>
                <w:sz w:val="20"/>
                <w:szCs w:val="20"/>
              </w:rPr>
              <w:t>-30</w:t>
            </w:r>
          </w:p>
        </w:tc>
        <w:tc>
          <w:tcPr>
            <w:tcW w:w="810" w:type="dxa"/>
          </w:tcPr>
          <w:p w:rsidR="0076266A" w:rsidRPr="009C00C2" w:rsidRDefault="0076266A" w:rsidP="0076266A">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rPr>
              <w:t>Profili</w:t>
            </w:r>
          </w:p>
          <w:p w:rsidR="0076266A" w:rsidRPr="009C00C2" w:rsidRDefault="0076266A" w:rsidP="0076266A">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rPr>
              <w:t>30 -60</w:t>
            </w:r>
          </w:p>
        </w:tc>
        <w:tc>
          <w:tcPr>
            <w:tcW w:w="886" w:type="dxa"/>
          </w:tcPr>
          <w:p w:rsidR="0076266A" w:rsidRPr="009C00C2" w:rsidRDefault="0076266A" w:rsidP="0076266A">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rPr>
              <w:t>Profili</w:t>
            </w:r>
          </w:p>
          <w:p w:rsidR="0076266A" w:rsidRPr="009C00C2" w:rsidRDefault="0076266A" w:rsidP="0076266A">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rPr>
              <w:t>60 -100</w:t>
            </w:r>
          </w:p>
        </w:tc>
      </w:tr>
      <w:tr w:rsidR="00773E68" w:rsidRPr="00773E68" w:rsidTr="0076266A">
        <w:trPr>
          <w:trHeight w:val="134"/>
          <w:jc w:val="center"/>
        </w:trPr>
        <w:tc>
          <w:tcPr>
            <w:tcW w:w="1530" w:type="dxa"/>
            <w:vMerge w:val="restart"/>
          </w:tcPr>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p w:rsidR="00773E68" w:rsidRPr="0076266A" w:rsidRDefault="0076266A" w:rsidP="00773E68">
            <w:pPr>
              <w:jc w:val="both"/>
              <w:rPr>
                <w:rFonts w:ascii="Times New Roman" w:eastAsia="Times New Roman" w:hAnsi="Times New Roman" w:cs="Times New Roman"/>
                <w:b/>
              </w:rPr>
            </w:pPr>
            <w:r>
              <w:rPr>
                <w:rFonts w:ascii="Times New Roman" w:eastAsia="Times New Roman" w:hAnsi="Times New Roman" w:cs="Times New Roman"/>
                <w:b/>
                <w:sz w:val="24"/>
                <w:szCs w:val="24"/>
              </w:rPr>
              <w:t xml:space="preserve">Kombinati </w:t>
            </w:r>
            <w:r w:rsidR="00773E68" w:rsidRPr="0076266A">
              <w:rPr>
                <w:rFonts w:ascii="Times New Roman" w:eastAsia="Times New Roman" w:hAnsi="Times New Roman" w:cs="Times New Roman"/>
                <w:b/>
              </w:rPr>
              <w:t>Metalurgjik</w:t>
            </w:r>
          </w:p>
          <w:p w:rsidR="00773E68" w:rsidRPr="0076266A" w:rsidRDefault="00773E68" w:rsidP="00773E68">
            <w:pPr>
              <w:jc w:val="both"/>
              <w:rPr>
                <w:rFonts w:ascii="Times New Roman" w:eastAsia="Times New Roman" w:hAnsi="Times New Roman" w:cs="Times New Roman"/>
                <w:b/>
              </w:rPr>
            </w:pPr>
          </w:p>
          <w:p w:rsidR="00773E68" w:rsidRPr="0076266A" w:rsidRDefault="00773E68" w:rsidP="00773E68">
            <w:pPr>
              <w:jc w:val="both"/>
              <w:rPr>
                <w:rFonts w:ascii="Times New Roman" w:eastAsia="Times New Roman" w:hAnsi="Times New Roman" w:cs="Times New Roman"/>
                <w:b/>
              </w:rPr>
            </w:pPr>
            <w:r w:rsidRPr="0076266A">
              <w:rPr>
                <w:rFonts w:ascii="Times New Roman" w:eastAsia="Times New Roman" w:hAnsi="Times New Roman" w:cs="Times New Roman"/>
                <w:b/>
              </w:rPr>
              <w:t>Elbasan 1</w:t>
            </w:r>
          </w:p>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350" w:type="dxa"/>
          </w:tcPr>
          <w:p w:rsidR="00773E68" w:rsidRPr="0076266A" w:rsidRDefault="00773E68" w:rsidP="00773E68">
            <w:pPr>
              <w:jc w:val="both"/>
              <w:rPr>
                <w:rFonts w:ascii="Times New Roman" w:eastAsia="Times New Roman" w:hAnsi="Times New Roman" w:cs="Times New Roman"/>
                <w:lang w:val="it-IT"/>
              </w:rPr>
            </w:pPr>
            <w:r w:rsidRPr="0076266A">
              <w:rPr>
                <w:rFonts w:ascii="Times New Roman" w:eastAsia="Times New Roman" w:hAnsi="Times New Roman" w:cs="Times New Roman"/>
                <w:lang w:val="it-IT"/>
              </w:rPr>
              <w:t>mg/ kg  tokë e thatë</w:t>
            </w:r>
          </w:p>
        </w:tc>
        <w:tc>
          <w:tcPr>
            <w:tcW w:w="90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0.42</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0.42</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0.37</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0.38</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0.35</w:t>
            </w:r>
          </w:p>
        </w:tc>
        <w:tc>
          <w:tcPr>
            <w:tcW w:w="88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0.29</w:t>
            </w:r>
          </w:p>
        </w:tc>
      </w:tr>
      <w:tr w:rsidR="00773E68" w:rsidRPr="00773E68" w:rsidTr="0076266A">
        <w:trPr>
          <w:jc w:val="center"/>
        </w:trPr>
        <w:tc>
          <w:tcPr>
            <w:tcW w:w="153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350" w:type="dxa"/>
          </w:tcPr>
          <w:p w:rsidR="00773E68" w:rsidRPr="0076266A" w:rsidRDefault="00773E68" w:rsidP="00773E68">
            <w:pPr>
              <w:jc w:val="both"/>
              <w:rPr>
                <w:rFonts w:ascii="Times New Roman" w:eastAsia="Times New Roman" w:hAnsi="Times New Roman" w:cs="Times New Roman"/>
                <w:lang w:val="it-IT"/>
              </w:rPr>
            </w:pPr>
            <w:r w:rsidRPr="0076266A">
              <w:rPr>
                <w:rFonts w:ascii="Times New Roman" w:eastAsia="Times New Roman" w:hAnsi="Times New Roman" w:cs="Times New Roman"/>
                <w:lang w:val="it-IT"/>
              </w:rPr>
              <w:t>mg/ kg  tokë e thatë</w:t>
            </w:r>
          </w:p>
        </w:tc>
        <w:tc>
          <w:tcPr>
            <w:tcW w:w="90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0.29</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0.33</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0.34</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0.31</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0.29</w:t>
            </w:r>
          </w:p>
        </w:tc>
        <w:tc>
          <w:tcPr>
            <w:tcW w:w="88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0.27</w:t>
            </w:r>
          </w:p>
        </w:tc>
      </w:tr>
      <w:tr w:rsidR="00773E68" w:rsidRPr="00773E68" w:rsidTr="0076266A">
        <w:trPr>
          <w:jc w:val="center"/>
        </w:trPr>
        <w:tc>
          <w:tcPr>
            <w:tcW w:w="153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350" w:type="dxa"/>
          </w:tcPr>
          <w:p w:rsidR="00773E68" w:rsidRPr="0076266A" w:rsidRDefault="00773E68" w:rsidP="00773E68">
            <w:pPr>
              <w:jc w:val="both"/>
              <w:rPr>
                <w:rFonts w:ascii="Times New Roman" w:eastAsia="Times New Roman" w:hAnsi="Times New Roman" w:cs="Times New Roman"/>
                <w:lang w:val="it-IT"/>
              </w:rPr>
            </w:pPr>
            <w:r w:rsidRPr="0076266A">
              <w:rPr>
                <w:rFonts w:ascii="Times New Roman" w:eastAsia="Times New Roman" w:hAnsi="Times New Roman" w:cs="Times New Roman"/>
                <w:lang w:val="it-IT"/>
              </w:rPr>
              <w:t>mg/ kg  tokë e thatë</w:t>
            </w:r>
          </w:p>
        </w:tc>
        <w:tc>
          <w:tcPr>
            <w:tcW w:w="90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0.41</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0.41</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0.25</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0.36</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0.34</w:t>
            </w:r>
          </w:p>
        </w:tc>
        <w:tc>
          <w:tcPr>
            <w:tcW w:w="88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0.29</w:t>
            </w:r>
          </w:p>
        </w:tc>
      </w:tr>
      <w:tr w:rsidR="00773E68" w:rsidRPr="00773E68" w:rsidTr="0076266A">
        <w:trPr>
          <w:jc w:val="center"/>
        </w:trPr>
        <w:tc>
          <w:tcPr>
            <w:tcW w:w="153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350" w:type="dxa"/>
          </w:tcPr>
          <w:p w:rsidR="00773E68" w:rsidRPr="0076266A" w:rsidRDefault="00773E68" w:rsidP="00773E68">
            <w:pPr>
              <w:jc w:val="both"/>
              <w:rPr>
                <w:rFonts w:ascii="Times New Roman" w:eastAsia="Times New Roman" w:hAnsi="Times New Roman" w:cs="Times New Roman"/>
                <w:lang w:val="it-IT"/>
              </w:rPr>
            </w:pPr>
            <w:r w:rsidRPr="0076266A">
              <w:rPr>
                <w:rFonts w:ascii="Times New Roman" w:eastAsia="Times New Roman" w:hAnsi="Times New Roman" w:cs="Times New Roman"/>
                <w:lang w:val="it-IT"/>
              </w:rPr>
              <w:t>mg/ kg  tokë e thatë</w:t>
            </w:r>
          </w:p>
        </w:tc>
        <w:tc>
          <w:tcPr>
            <w:tcW w:w="90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6.4</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6.1</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5.6</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5.2</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6.1</w:t>
            </w:r>
          </w:p>
        </w:tc>
        <w:tc>
          <w:tcPr>
            <w:tcW w:w="88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6.6</w:t>
            </w:r>
          </w:p>
        </w:tc>
      </w:tr>
      <w:tr w:rsidR="00773E68" w:rsidRPr="00773E68" w:rsidTr="0076266A">
        <w:trPr>
          <w:jc w:val="center"/>
        </w:trPr>
        <w:tc>
          <w:tcPr>
            <w:tcW w:w="153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350" w:type="dxa"/>
          </w:tcPr>
          <w:p w:rsidR="00773E68" w:rsidRPr="0076266A" w:rsidRDefault="00773E68" w:rsidP="00773E68">
            <w:pPr>
              <w:jc w:val="both"/>
              <w:rPr>
                <w:rFonts w:ascii="Times New Roman" w:eastAsia="Times New Roman" w:hAnsi="Times New Roman" w:cs="Times New Roman"/>
                <w:lang w:val="it-IT"/>
              </w:rPr>
            </w:pPr>
            <w:r w:rsidRPr="0076266A">
              <w:rPr>
                <w:rFonts w:ascii="Times New Roman" w:eastAsia="Times New Roman" w:hAnsi="Times New Roman" w:cs="Times New Roman"/>
                <w:lang w:val="it-IT"/>
              </w:rPr>
              <w:t>mg/ kg  tokë e thatë</w:t>
            </w:r>
          </w:p>
        </w:tc>
        <w:tc>
          <w:tcPr>
            <w:tcW w:w="90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83.3</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77.5</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75.0</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89.2</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91.6</w:t>
            </w:r>
          </w:p>
        </w:tc>
        <w:tc>
          <w:tcPr>
            <w:tcW w:w="88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110.8</w:t>
            </w:r>
          </w:p>
        </w:tc>
      </w:tr>
      <w:tr w:rsidR="00773E68" w:rsidRPr="00773E68" w:rsidTr="0076266A">
        <w:trPr>
          <w:jc w:val="center"/>
        </w:trPr>
        <w:tc>
          <w:tcPr>
            <w:tcW w:w="153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350" w:type="dxa"/>
          </w:tcPr>
          <w:p w:rsidR="00773E68" w:rsidRPr="0076266A" w:rsidRDefault="00773E68" w:rsidP="00773E68">
            <w:pPr>
              <w:jc w:val="both"/>
              <w:rPr>
                <w:rFonts w:ascii="Times New Roman" w:eastAsia="Times New Roman" w:hAnsi="Times New Roman" w:cs="Times New Roman"/>
                <w:lang w:val="it-IT"/>
              </w:rPr>
            </w:pPr>
            <w:r w:rsidRPr="0076266A">
              <w:rPr>
                <w:rFonts w:ascii="Times New Roman" w:eastAsia="Times New Roman" w:hAnsi="Times New Roman" w:cs="Times New Roman"/>
                <w:lang w:val="it-IT"/>
              </w:rPr>
              <w:t>mg/ kg  tokë e thatë</w:t>
            </w:r>
          </w:p>
        </w:tc>
        <w:tc>
          <w:tcPr>
            <w:tcW w:w="90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0.80</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0.80</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0.84</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0.80</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0.90</w:t>
            </w:r>
          </w:p>
        </w:tc>
        <w:tc>
          <w:tcPr>
            <w:tcW w:w="88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0.90</w:t>
            </w:r>
          </w:p>
        </w:tc>
      </w:tr>
      <w:tr w:rsidR="00773E68" w:rsidRPr="00773E68" w:rsidTr="0076266A">
        <w:trPr>
          <w:jc w:val="center"/>
        </w:trPr>
        <w:tc>
          <w:tcPr>
            <w:tcW w:w="153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Mn</w:t>
            </w:r>
          </w:p>
        </w:tc>
        <w:tc>
          <w:tcPr>
            <w:tcW w:w="1350" w:type="dxa"/>
          </w:tcPr>
          <w:p w:rsidR="00773E68" w:rsidRPr="0076266A" w:rsidRDefault="00773E68" w:rsidP="00773E68">
            <w:pPr>
              <w:jc w:val="both"/>
              <w:rPr>
                <w:rFonts w:ascii="Times New Roman" w:eastAsia="Times New Roman" w:hAnsi="Times New Roman" w:cs="Times New Roman"/>
                <w:lang w:val="it-IT"/>
              </w:rPr>
            </w:pPr>
            <w:r w:rsidRPr="0076266A">
              <w:rPr>
                <w:rFonts w:ascii="Times New Roman" w:eastAsia="Times New Roman" w:hAnsi="Times New Roman" w:cs="Times New Roman"/>
                <w:lang w:val="it-IT"/>
              </w:rPr>
              <w:t>mg/ kg  tokë e thatë</w:t>
            </w:r>
          </w:p>
        </w:tc>
        <w:tc>
          <w:tcPr>
            <w:tcW w:w="90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10.5</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9.7</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10.0</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10.8</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11.0</w:t>
            </w:r>
          </w:p>
        </w:tc>
        <w:tc>
          <w:tcPr>
            <w:tcW w:w="88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12.0</w:t>
            </w:r>
          </w:p>
        </w:tc>
      </w:tr>
    </w:tbl>
    <w:p w:rsidR="00773E68" w:rsidRPr="00773E68" w:rsidRDefault="00773E68" w:rsidP="00773E68">
      <w:pPr>
        <w:spacing w:after="0" w:line="240" w:lineRule="auto"/>
        <w:jc w:val="both"/>
        <w:rPr>
          <w:rFonts w:ascii="Times New Roman" w:eastAsia="Times New Roman" w:hAnsi="Times New Roman" w:cs="Times New Roman"/>
          <w:sz w:val="24"/>
          <w:szCs w:val="24"/>
        </w:rPr>
      </w:pPr>
    </w:p>
    <w:p w:rsidR="00C16374" w:rsidRDefault="00C16374" w:rsidP="00773E68">
      <w:pPr>
        <w:spacing w:after="0" w:line="240" w:lineRule="auto"/>
        <w:jc w:val="both"/>
        <w:rPr>
          <w:rFonts w:ascii="Times New Roman" w:eastAsia="Times New Roman" w:hAnsi="Times New Roman" w:cs="Times New Roman"/>
          <w:b/>
          <w:sz w:val="24"/>
          <w:szCs w:val="24"/>
        </w:rPr>
      </w:pPr>
    </w:p>
    <w:p w:rsidR="00773E68" w:rsidRPr="00773E68" w:rsidRDefault="00773E68" w:rsidP="00773E68">
      <w:pPr>
        <w:spacing w:after="0" w:line="240" w:lineRule="auto"/>
        <w:jc w:val="both"/>
        <w:rPr>
          <w:rFonts w:ascii="Times New Roman" w:eastAsia="Times New Roman" w:hAnsi="Times New Roman" w:cs="Times New Roman"/>
          <w:b/>
          <w:sz w:val="24"/>
          <w:szCs w:val="24"/>
        </w:rPr>
      </w:pPr>
      <w:r w:rsidRPr="00773E68">
        <w:rPr>
          <w:rFonts w:ascii="Times New Roman" w:eastAsia="Times New Roman" w:hAnsi="Times New Roman" w:cs="Times New Roman"/>
          <w:b/>
          <w:sz w:val="24"/>
          <w:szCs w:val="24"/>
        </w:rPr>
        <w:t xml:space="preserve">Interpretimi </w:t>
      </w:r>
      <w:r w:rsidR="0076266A">
        <w:rPr>
          <w:rFonts w:ascii="Times New Roman" w:eastAsia="Times New Roman" w:hAnsi="Times New Roman" w:cs="Times New Roman"/>
          <w:b/>
          <w:sz w:val="24"/>
          <w:szCs w:val="24"/>
        </w:rPr>
        <w:t xml:space="preserve">i </w:t>
      </w:r>
      <w:r w:rsidRPr="00773E68">
        <w:rPr>
          <w:rFonts w:ascii="Times New Roman" w:eastAsia="Times New Roman" w:hAnsi="Times New Roman" w:cs="Times New Roman"/>
          <w:b/>
          <w:sz w:val="24"/>
          <w:szCs w:val="24"/>
        </w:rPr>
        <w:t>treguesve për  Elbasan 1</w:t>
      </w:r>
    </w:p>
    <w:p w:rsidR="00773E68" w:rsidRPr="00773E68" w:rsidRDefault="00773E68" w:rsidP="00773E68">
      <w:pPr>
        <w:spacing w:after="0" w:line="240" w:lineRule="auto"/>
        <w:jc w:val="both"/>
        <w:rPr>
          <w:rFonts w:ascii="Times New Roman" w:eastAsia="Times New Roman" w:hAnsi="Times New Roman" w:cs="Times New Roman"/>
          <w:sz w:val="24"/>
          <w:szCs w:val="24"/>
        </w:rPr>
      </w:pPr>
    </w:p>
    <w:p w:rsidR="00773E68" w:rsidRPr="00773E68" w:rsidRDefault="00773E68" w:rsidP="00773E68">
      <w:pPr>
        <w:spacing w:after="0" w:line="240" w:lineRule="auto"/>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Të gjithë treguesit janë nën limitet e lejuara, gjë që tregon që nuk kemi ndotje nga mineralet e rënda. Por po të shohim me kujdes tek të dhënat e profilit kemi për të tre elementet e parë Cd, Fe dhe Cu, kemi një rrënie të përqëndrimit për në thellësi, me një tendencë të lehtë zbritje. Ndërsa për elementët e tjerë Ni, Pb, Zn dhe Mn p</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rPr>
        <w:t>rqëndrimi i tyre për në thellësi ka një tendecë rritje të lehtë që tregon që këto element</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rPr>
        <w:t xml:space="preserve"> janë të përqëndrura ndër vite më në thellësi nga lëvizja e tyre nëpërmjet ujërave të shiut ose të vaditjes. Por në të gjitha rastet janë brenda normave të lejuara, brenda limiteve, pra nuk përbën problem për jetët e bimëve dhe për më pak konsumatorëve të tyre, kafshë apo njeri.</w:t>
      </w:r>
    </w:p>
    <w:p w:rsidR="00773E68" w:rsidRPr="00773E68" w:rsidRDefault="00773E68" w:rsidP="00773E68">
      <w:pPr>
        <w:spacing w:after="0" w:line="240" w:lineRule="auto"/>
        <w:jc w:val="both"/>
        <w:rPr>
          <w:rFonts w:ascii="Times New Roman" w:eastAsia="Times New Roman" w:hAnsi="Times New Roman" w:cs="Times New Roman"/>
          <w:sz w:val="24"/>
          <w:szCs w:val="24"/>
        </w:rPr>
      </w:pPr>
    </w:p>
    <w:p w:rsidR="00773E68" w:rsidRPr="00773E68" w:rsidRDefault="00773E68" w:rsidP="00773E68">
      <w:pPr>
        <w:spacing w:after="0" w:line="240" w:lineRule="auto"/>
        <w:jc w:val="both"/>
        <w:rPr>
          <w:rFonts w:ascii="Times New Roman" w:eastAsia="Times New Roman" w:hAnsi="Times New Roman" w:cs="Times New Roman"/>
          <w:b/>
          <w:sz w:val="24"/>
          <w:szCs w:val="24"/>
        </w:rPr>
      </w:pPr>
      <w:r w:rsidRPr="00773E68">
        <w:rPr>
          <w:rFonts w:ascii="Times New Roman" w:eastAsia="Times New Roman" w:hAnsi="Times New Roman" w:cs="Times New Roman"/>
          <w:b/>
          <w:sz w:val="24"/>
          <w:szCs w:val="24"/>
        </w:rPr>
        <w:t>Kombinati Metalurgjik  Elbasan  (</w:t>
      </w:r>
      <w:r w:rsidR="006E4782">
        <w:rPr>
          <w:rFonts w:ascii="Times New Roman" w:eastAsia="Times New Roman" w:hAnsi="Times New Roman" w:cs="Times New Roman"/>
          <w:b/>
          <w:sz w:val="24"/>
          <w:szCs w:val="24"/>
        </w:rPr>
        <w:t xml:space="preserve">Zona </w:t>
      </w:r>
      <w:r w:rsidRPr="00773E68">
        <w:rPr>
          <w:rFonts w:ascii="Times New Roman" w:eastAsia="Times New Roman" w:hAnsi="Times New Roman" w:cs="Times New Roman"/>
          <w:b/>
          <w:sz w:val="24"/>
          <w:szCs w:val="24"/>
        </w:rPr>
        <w:t>2 )</w:t>
      </w:r>
    </w:p>
    <w:p w:rsidR="00773E68" w:rsidRPr="00773E68" w:rsidRDefault="00773E68" w:rsidP="00773E68">
      <w:pPr>
        <w:spacing w:after="0" w:line="240" w:lineRule="auto"/>
        <w:jc w:val="both"/>
        <w:rPr>
          <w:rFonts w:ascii="Times New Roman" w:eastAsia="Times New Roman" w:hAnsi="Times New Roman" w:cs="Times New Roman"/>
          <w:sz w:val="24"/>
          <w:szCs w:val="24"/>
        </w:rPr>
      </w:pPr>
    </w:p>
    <w:p w:rsidR="00773E68" w:rsidRPr="00773E68" w:rsidRDefault="00773E68" w:rsidP="00773E68">
      <w:pPr>
        <w:spacing w:after="0" w:line="240" w:lineRule="auto"/>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Kjo zonë shtrihet në anën lindore dhe veri -lindore të metalurgjikut dhe përfshin brenda vetes toka të fragmentizuara dhe me ndërtime familjare ose biznese si dhe blloqe relativisht më të mëdha të mbjella me kultura bujqësore dhe pemë frutore, veçanërisht ullinj. Këto toka janë nën efektin ndotës që mund të shkaktohet nga shkarkimet e tymrave dhe gazrave të metalurgjikut dhe precipitimi i tyre në këto zona qoft</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rPr>
        <w:t xml:space="preserve"> në gjendje të pluhurit ose në gjendje të lëngët nga shirat që depërtojnë në atmosferën e ndotur.</w:t>
      </w:r>
    </w:p>
    <w:p w:rsidR="00773E68" w:rsidRPr="00773E68" w:rsidRDefault="00773E68" w:rsidP="00773E68">
      <w:pPr>
        <w:spacing w:after="0" w:line="240" w:lineRule="auto"/>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Terreni eshtë heterogjen, është dhe n</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rPr>
        <w:t xml:space="preserve"> formë të sheshtë me pjerr</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rPr>
        <w:t>si nga 4 deri në 10 %, si dhe në formën e kodrave të çrregullta me pjerrësi nga 15 deri në 32 %. Të gjitha këto kodra janë të mbjella, kryesisht me ullinj, prandaj është e nevojshme studimi i tyre, për të parë shkallën e ndotjes.</w:t>
      </w:r>
    </w:p>
    <w:p w:rsidR="00773E68" w:rsidRPr="00773E68" w:rsidRDefault="00773E68" w:rsidP="00773E68">
      <w:pPr>
        <w:spacing w:after="0" w:line="240" w:lineRule="auto"/>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Tokat e kësaj zone janë në përgjithësi të pasura, bimësia është e larmishme dhe shumë e pasur, nuk kemi prani të ujërave freatike, tokat janë të kulluar dhe pa rrezik përmbytje.</w:t>
      </w:r>
    </w:p>
    <w:p w:rsidR="00773E68" w:rsidRPr="00773E68" w:rsidRDefault="00773E68" w:rsidP="00773E68">
      <w:pPr>
        <w:spacing w:after="0" w:line="240" w:lineRule="auto"/>
        <w:jc w:val="both"/>
        <w:rPr>
          <w:rFonts w:ascii="Times New Roman" w:eastAsia="Times New Roman" w:hAnsi="Times New Roman" w:cs="Times New Roman"/>
          <w:sz w:val="24"/>
          <w:szCs w:val="24"/>
        </w:rPr>
      </w:pPr>
    </w:p>
    <w:p w:rsidR="00773E68" w:rsidRPr="00B16043" w:rsidRDefault="00773E68" w:rsidP="00B16043">
      <w:pPr>
        <w:spacing w:after="0" w:line="240" w:lineRule="auto"/>
        <w:jc w:val="center"/>
        <w:rPr>
          <w:rFonts w:ascii="Times New Roman" w:eastAsia="Times New Roman" w:hAnsi="Times New Roman" w:cs="Times New Roman"/>
          <w:sz w:val="24"/>
          <w:szCs w:val="24"/>
          <w:lang w:val="nn-NO"/>
        </w:rPr>
      </w:pPr>
      <w:r w:rsidRPr="00B16043">
        <w:rPr>
          <w:rFonts w:ascii="Times New Roman" w:eastAsia="Times New Roman" w:hAnsi="Times New Roman" w:cs="Times New Roman"/>
          <w:sz w:val="24"/>
          <w:szCs w:val="24"/>
          <w:lang w:val="nn-NO"/>
        </w:rPr>
        <w:t xml:space="preserve">Tabela </w:t>
      </w:r>
      <w:r w:rsidR="00681B50">
        <w:rPr>
          <w:rFonts w:ascii="Times New Roman" w:eastAsia="Times New Roman" w:hAnsi="Times New Roman" w:cs="Times New Roman"/>
          <w:sz w:val="24"/>
          <w:szCs w:val="24"/>
          <w:lang w:val="nn-NO"/>
        </w:rPr>
        <w:t>45</w:t>
      </w:r>
      <w:r w:rsidRPr="00B16043">
        <w:rPr>
          <w:rFonts w:ascii="Times New Roman" w:eastAsia="Times New Roman" w:hAnsi="Times New Roman" w:cs="Times New Roman"/>
          <w:sz w:val="24"/>
          <w:szCs w:val="24"/>
          <w:lang w:val="nn-NO"/>
        </w:rPr>
        <w:t>.  Tabela e rezultateve të treguesve të analizuar. Elbasan 2</w:t>
      </w:r>
    </w:p>
    <w:p w:rsidR="00773E68" w:rsidRPr="00B16043" w:rsidRDefault="00773E68" w:rsidP="00B16043">
      <w:pPr>
        <w:spacing w:after="0" w:line="240" w:lineRule="auto"/>
        <w:jc w:val="center"/>
        <w:rPr>
          <w:rFonts w:ascii="Times New Roman" w:eastAsia="Times New Roman" w:hAnsi="Times New Roman" w:cs="Times New Roman"/>
          <w:sz w:val="24"/>
          <w:szCs w:val="24"/>
          <w:lang w:val="nn-NO"/>
        </w:rPr>
      </w:pPr>
    </w:p>
    <w:tbl>
      <w:tblPr>
        <w:tblStyle w:val="TableGrid3"/>
        <w:tblW w:w="10503" w:type="dxa"/>
        <w:jc w:val="center"/>
        <w:tblLayout w:type="fixed"/>
        <w:tblLook w:val="04A0" w:firstRow="1" w:lastRow="0" w:firstColumn="1" w:lastColumn="0" w:noHBand="0" w:noVBand="1"/>
      </w:tblPr>
      <w:tblGrid>
        <w:gridCol w:w="1530"/>
        <w:gridCol w:w="990"/>
        <w:gridCol w:w="1350"/>
        <w:gridCol w:w="810"/>
        <w:gridCol w:w="990"/>
        <w:gridCol w:w="990"/>
        <w:gridCol w:w="1080"/>
        <w:gridCol w:w="270"/>
        <w:gridCol w:w="810"/>
        <w:gridCol w:w="810"/>
        <w:gridCol w:w="873"/>
      </w:tblGrid>
      <w:tr w:rsidR="00B16043" w:rsidRPr="00773E68" w:rsidTr="006E4782">
        <w:trPr>
          <w:jc w:val="center"/>
        </w:trPr>
        <w:tc>
          <w:tcPr>
            <w:tcW w:w="1530" w:type="dxa"/>
            <w:vMerge w:val="restart"/>
          </w:tcPr>
          <w:p w:rsidR="00B16043" w:rsidRPr="009C00C2" w:rsidRDefault="00B16043" w:rsidP="00B16043">
            <w:pPr>
              <w:jc w:val="both"/>
              <w:rPr>
                <w:rFonts w:ascii="Times New Roman" w:eastAsia="Times New Roman" w:hAnsi="Times New Roman" w:cs="Times New Roman"/>
                <w:b/>
                <w:sz w:val="20"/>
                <w:szCs w:val="20"/>
                <w:lang w:val="nn-NO"/>
              </w:rPr>
            </w:pPr>
          </w:p>
          <w:p w:rsidR="00B16043" w:rsidRPr="009C00C2" w:rsidRDefault="00B16043" w:rsidP="00B16043">
            <w:pPr>
              <w:jc w:val="both"/>
              <w:rPr>
                <w:rFonts w:ascii="Times New Roman" w:eastAsia="Times New Roman" w:hAnsi="Times New Roman" w:cs="Times New Roman"/>
                <w:b/>
                <w:sz w:val="20"/>
                <w:szCs w:val="20"/>
                <w:lang w:val="nn-NO"/>
              </w:rPr>
            </w:pPr>
            <w:r>
              <w:rPr>
                <w:rFonts w:ascii="Times New Roman" w:eastAsia="Times New Roman" w:hAnsi="Times New Roman" w:cs="Times New Roman"/>
                <w:b/>
                <w:sz w:val="20"/>
                <w:szCs w:val="20"/>
                <w:lang w:val="nn-NO"/>
              </w:rPr>
              <w:t>V</w:t>
            </w:r>
            <w:r w:rsidRPr="009C00C2">
              <w:rPr>
                <w:rFonts w:ascii="Times New Roman" w:eastAsia="Times New Roman" w:hAnsi="Times New Roman" w:cs="Times New Roman"/>
                <w:b/>
                <w:sz w:val="20"/>
                <w:szCs w:val="20"/>
                <w:lang w:val="nn-NO"/>
              </w:rPr>
              <w:t>endi</w:t>
            </w:r>
          </w:p>
        </w:tc>
        <w:tc>
          <w:tcPr>
            <w:tcW w:w="990" w:type="dxa"/>
            <w:vMerge w:val="restart"/>
          </w:tcPr>
          <w:p w:rsidR="00B16043" w:rsidRPr="009C00C2" w:rsidRDefault="00B16043" w:rsidP="00B16043">
            <w:pPr>
              <w:jc w:val="both"/>
              <w:rPr>
                <w:rFonts w:ascii="Times New Roman" w:eastAsia="Times New Roman" w:hAnsi="Times New Roman" w:cs="Times New Roman"/>
                <w:b/>
                <w:sz w:val="20"/>
                <w:szCs w:val="20"/>
                <w:lang w:val="nn-NO"/>
              </w:rPr>
            </w:pPr>
          </w:p>
          <w:p w:rsidR="00B16043" w:rsidRPr="009C00C2" w:rsidRDefault="00B16043" w:rsidP="00B16043">
            <w:pPr>
              <w:jc w:val="both"/>
              <w:rPr>
                <w:rFonts w:ascii="Times New Roman" w:eastAsia="Times New Roman" w:hAnsi="Times New Roman" w:cs="Times New Roman"/>
                <w:b/>
                <w:sz w:val="20"/>
                <w:szCs w:val="20"/>
                <w:lang w:val="nn-NO"/>
              </w:rPr>
            </w:pPr>
            <w:r>
              <w:rPr>
                <w:rFonts w:ascii="Times New Roman" w:eastAsia="Times New Roman" w:hAnsi="Times New Roman" w:cs="Times New Roman"/>
                <w:b/>
                <w:sz w:val="20"/>
                <w:szCs w:val="20"/>
                <w:lang w:val="nn-NO"/>
              </w:rPr>
              <w:t>T</w:t>
            </w:r>
            <w:r w:rsidRPr="009C00C2">
              <w:rPr>
                <w:rFonts w:ascii="Times New Roman" w:eastAsia="Times New Roman" w:hAnsi="Times New Roman" w:cs="Times New Roman"/>
                <w:b/>
                <w:sz w:val="20"/>
                <w:szCs w:val="20"/>
                <w:lang w:val="nn-NO"/>
              </w:rPr>
              <w:t>re</w:t>
            </w:r>
            <w:r>
              <w:rPr>
                <w:rFonts w:ascii="Times New Roman" w:eastAsia="Times New Roman" w:hAnsi="Times New Roman" w:cs="Times New Roman"/>
                <w:b/>
                <w:sz w:val="20"/>
                <w:szCs w:val="20"/>
                <w:lang w:val="nn-NO"/>
              </w:rPr>
              <w:t>gues</w:t>
            </w:r>
          </w:p>
        </w:tc>
        <w:tc>
          <w:tcPr>
            <w:tcW w:w="1350" w:type="dxa"/>
            <w:vMerge w:val="restart"/>
          </w:tcPr>
          <w:p w:rsidR="00B16043" w:rsidRPr="009C00C2" w:rsidRDefault="00B16043" w:rsidP="00B16043">
            <w:pPr>
              <w:jc w:val="both"/>
              <w:rPr>
                <w:rFonts w:ascii="Times New Roman" w:eastAsia="Times New Roman" w:hAnsi="Times New Roman" w:cs="Times New Roman"/>
                <w:b/>
                <w:sz w:val="20"/>
                <w:szCs w:val="20"/>
                <w:lang w:val="nn-NO"/>
              </w:rPr>
            </w:pPr>
          </w:p>
          <w:p w:rsidR="00B16043" w:rsidRPr="009C00C2" w:rsidRDefault="00B16043" w:rsidP="00B16043">
            <w:pPr>
              <w:jc w:val="both"/>
              <w:rPr>
                <w:rFonts w:ascii="Times New Roman" w:eastAsia="Times New Roman" w:hAnsi="Times New Roman" w:cs="Times New Roman"/>
                <w:b/>
                <w:sz w:val="20"/>
                <w:szCs w:val="20"/>
                <w:lang w:val="nn-NO"/>
              </w:rPr>
            </w:pPr>
            <w:r>
              <w:rPr>
                <w:rFonts w:ascii="Times New Roman" w:eastAsia="Times New Roman" w:hAnsi="Times New Roman" w:cs="Times New Roman"/>
                <w:b/>
                <w:sz w:val="20"/>
                <w:szCs w:val="20"/>
                <w:lang w:val="nn-NO"/>
              </w:rPr>
              <w:t>N</w:t>
            </w:r>
            <w:r w:rsidRPr="009C00C2">
              <w:rPr>
                <w:rFonts w:ascii="Times New Roman" w:eastAsia="Times New Roman" w:hAnsi="Times New Roman" w:cs="Times New Roman"/>
                <w:b/>
                <w:sz w:val="20"/>
                <w:szCs w:val="20"/>
                <w:lang w:val="nn-NO"/>
              </w:rPr>
              <w:t>j</w:t>
            </w:r>
            <w:r>
              <w:rPr>
                <w:rFonts w:ascii="Times New Roman" w:eastAsia="Times New Roman" w:hAnsi="Times New Roman" w:cs="Times New Roman"/>
                <w:b/>
                <w:sz w:val="20"/>
                <w:szCs w:val="20"/>
                <w:lang w:val="nn-NO"/>
              </w:rPr>
              <w:t>ësia e</w:t>
            </w:r>
            <w:r w:rsidRPr="009C00C2">
              <w:rPr>
                <w:rFonts w:ascii="Times New Roman" w:eastAsia="Times New Roman" w:hAnsi="Times New Roman" w:cs="Times New Roman"/>
                <w:b/>
                <w:sz w:val="20"/>
                <w:szCs w:val="20"/>
                <w:lang w:val="nn-NO"/>
              </w:rPr>
              <w:t xml:space="preserve"> matjes</w:t>
            </w:r>
          </w:p>
        </w:tc>
        <w:tc>
          <w:tcPr>
            <w:tcW w:w="810" w:type="dxa"/>
            <w:vMerge w:val="restart"/>
          </w:tcPr>
          <w:p w:rsidR="00B16043" w:rsidRPr="00773E68" w:rsidRDefault="00B16043" w:rsidP="00B16043">
            <w:pPr>
              <w:jc w:val="both"/>
              <w:rPr>
                <w:rFonts w:ascii="Times New Roman" w:eastAsia="Times New Roman" w:hAnsi="Times New Roman" w:cs="Times New Roman"/>
                <w:b/>
                <w:sz w:val="24"/>
                <w:szCs w:val="24"/>
                <w:lang w:val="nn-NO"/>
              </w:rPr>
            </w:pPr>
            <w:r>
              <w:rPr>
                <w:rFonts w:ascii="Times New Roman" w:eastAsia="Times New Roman" w:hAnsi="Times New Roman" w:cs="Times New Roman"/>
                <w:b/>
                <w:sz w:val="20"/>
                <w:szCs w:val="20"/>
                <w:lang w:val="nn-NO"/>
              </w:rPr>
              <w:t>L</w:t>
            </w:r>
            <w:r w:rsidRPr="009C00C2">
              <w:rPr>
                <w:rFonts w:ascii="Times New Roman" w:eastAsia="Times New Roman" w:hAnsi="Times New Roman" w:cs="Times New Roman"/>
                <w:b/>
                <w:sz w:val="20"/>
                <w:szCs w:val="20"/>
                <w:lang w:val="nn-NO"/>
              </w:rPr>
              <w:t>imit</w:t>
            </w:r>
          </w:p>
        </w:tc>
        <w:tc>
          <w:tcPr>
            <w:tcW w:w="5823" w:type="dxa"/>
            <w:gridSpan w:val="7"/>
          </w:tcPr>
          <w:p w:rsidR="00B16043" w:rsidRPr="00B16043" w:rsidRDefault="00B16043" w:rsidP="00B16043">
            <w:pPr>
              <w:jc w:val="both"/>
              <w:rPr>
                <w:rFonts w:ascii="Times New Roman" w:eastAsia="Times New Roman" w:hAnsi="Times New Roman" w:cs="Times New Roman"/>
                <w:b/>
                <w:lang w:val="nn-NO"/>
              </w:rPr>
            </w:pPr>
            <w:r w:rsidRPr="00B16043">
              <w:rPr>
                <w:rFonts w:ascii="Times New Roman" w:eastAsia="Times New Roman" w:hAnsi="Times New Roman" w:cs="Times New Roman"/>
                <w:b/>
                <w:lang w:val="nn-NO"/>
              </w:rPr>
              <w:t>REZULTATET</w:t>
            </w:r>
          </w:p>
        </w:tc>
      </w:tr>
      <w:tr w:rsidR="00B16043" w:rsidRPr="00773E68" w:rsidTr="006E4782">
        <w:trPr>
          <w:jc w:val="center"/>
        </w:trPr>
        <w:tc>
          <w:tcPr>
            <w:tcW w:w="1530" w:type="dxa"/>
            <w:vMerge/>
          </w:tcPr>
          <w:p w:rsidR="00B16043" w:rsidRPr="00773E68" w:rsidRDefault="00B16043" w:rsidP="00B16043">
            <w:pPr>
              <w:jc w:val="both"/>
              <w:rPr>
                <w:rFonts w:ascii="Times New Roman" w:eastAsia="Times New Roman" w:hAnsi="Times New Roman" w:cs="Times New Roman"/>
                <w:b/>
                <w:sz w:val="24"/>
                <w:szCs w:val="24"/>
                <w:lang w:val="nn-NO"/>
              </w:rPr>
            </w:pPr>
          </w:p>
        </w:tc>
        <w:tc>
          <w:tcPr>
            <w:tcW w:w="990" w:type="dxa"/>
            <w:vMerge/>
          </w:tcPr>
          <w:p w:rsidR="00B16043" w:rsidRPr="00773E68" w:rsidRDefault="00B16043" w:rsidP="00B16043">
            <w:pPr>
              <w:jc w:val="both"/>
              <w:rPr>
                <w:rFonts w:ascii="Times New Roman" w:eastAsia="Times New Roman" w:hAnsi="Times New Roman" w:cs="Times New Roman"/>
                <w:b/>
                <w:sz w:val="24"/>
                <w:szCs w:val="24"/>
                <w:lang w:val="nn-NO"/>
              </w:rPr>
            </w:pPr>
          </w:p>
        </w:tc>
        <w:tc>
          <w:tcPr>
            <w:tcW w:w="1350" w:type="dxa"/>
            <w:vMerge/>
          </w:tcPr>
          <w:p w:rsidR="00B16043" w:rsidRPr="00773E68" w:rsidRDefault="00B16043" w:rsidP="00B16043">
            <w:pPr>
              <w:jc w:val="both"/>
              <w:rPr>
                <w:rFonts w:ascii="Times New Roman" w:eastAsia="Times New Roman" w:hAnsi="Times New Roman" w:cs="Times New Roman"/>
                <w:b/>
                <w:sz w:val="24"/>
                <w:szCs w:val="24"/>
                <w:lang w:val="nn-NO"/>
              </w:rPr>
            </w:pPr>
          </w:p>
        </w:tc>
        <w:tc>
          <w:tcPr>
            <w:tcW w:w="810" w:type="dxa"/>
            <w:vMerge/>
          </w:tcPr>
          <w:p w:rsidR="00B16043" w:rsidRPr="00773E68" w:rsidRDefault="00B16043" w:rsidP="00B16043">
            <w:pPr>
              <w:jc w:val="both"/>
              <w:rPr>
                <w:rFonts w:ascii="Times New Roman" w:eastAsia="Times New Roman" w:hAnsi="Times New Roman" w:cs="Times New Roman"/>
                <w:b/>
                <w:sz w:val="24"/>
                <w:szCs w:val="24"/>
                <w:lang w:val="nn-NO"/>
              </w:rPr>
            </w:pPr>
          </w:p>
        </w:tc>
        <w:tc>
          <w:tcPr>
            <w:tcW w:w="990" w:type="dxa"/>
          </w:tcPr>
          <w:p w:rsidR="00B16043" w:rsidRPr="00773E68" w:rsidRDefault="00B16043" w:rsidP="00B16043">
            <w:pPr>
              <w:jc w:val="both"/>
              <w:rPr>
                <w:rFonts w:ascii="Times New Roman" w:eastAsia="Times New Roman" w:hAnsi="Times New Roman" w:cs="Times New Roman"/>
                <w:b/>
                <w:sz w:val="24"/>
                <w:szCs w:val="24"/>
                <w:lang w:val="nn-NO"/>
              </w:rPr>
            </w:pPr>
            <w:r w:rsidRPr="009C00C2">
              <w:rPr>
                <w:rFonts w:ascii="Times New Roman" w:eastAsia="Times New Roman" w:hAnsi="Times New Roman" w:cs="Times New Roman"/>
                <w:b/>
                <w:sz w:val="20"/>
                <w:szCs w:val="20"/>
                <w:lang w:val="nn-NO"/>
              </w:rPr>
              <w:t>M</w:t>
            </w:r>
            <w:r>
              <w:rPr>
                <w:rFonts w:ascii="Times New Roman" w:eastAsia="Times New Roman" w:hAnsi="Times New Roman" w:cs="Times New Roman"/>
                <w:b/>
                <w:sz w:val="20"/>
                <w:szCs w:val="20"/>
                <w:lang w:val="nn-NO"/>
              </w:rPr>
              <w:t>ostra</w:t>
            </w:r>
            <w:r w:rsidRPr="009C00C2">
              <w:rPr>
                <w:rFonts w:ascii="Times New Roman" w:eastAsia="Times New Roman" w:hAnsi="Times New Roman" w:cs="Times New Roman"/>
                <w:b/>
                <w:sz w:val="20"/>
                <w:szCs w:val="20"/>
                <w:lang w:val="nn-NO"/>
              </w:rPr>
              <w:t xml:space="preserve"> 1   0–30 cm</w:t>
            </w:r>
          </w:p>
        </w:tc>
        <w:tc>
          <w:tcPr>
            <w:tcW w:w="990" w:type="dxa"/>
          </w:tcPr>
          <w:p w:rsidR="00B16043" w:rsidRPr="00773E68" w:rsidRDefault="00B16043" w:rsidP="00B16043">
            <w:pPr>
              <w:jc w:val="both"/>
              <w:rPr>
                <w:rFonts w:ascii="Times New Roman" w:eastAsia="Times New Roman" w:hAnsi="Times New Roman" w:cs="Times New Roman"/>
                <w:b/>
                <w:sz w:val="24"/>
                <w:szCs w:val="24"/>
                <w:lang w:val="nn-NO"/>
              </w:rPr>
            </w:pPr>
            <w:r>
              <w:rPr>
                <w:rFonts w:ascii="Times New Roman" w:eastAsia="Times New Roman" w:hAnsi="Times New Roman" w:cs="Times New Roman"/>
                <w:b/>
                <w:sz w:val="20"/>
                <w:szCs w:val="20"/>
                <w:lang w:val="nn-NO"/>
              </w:rPr>
              <w:t>Mostra</w:t>
            </w:r>
            <w:r w:rsidRPr="009C00C2">
              <w:rPr>
                <w:rFonts w:ascii="Times New Roman" w:eastAsia="Times New Roman" w:hAnsi="Times New Roman" w:cs="Times New Roman"/>
                <w:b/>
                <w:sz w:val="20"/>
                <w:szCs w:val="20"/>
                <w:lang w:val="nn-NO"/>
              </w:rPr>
              <w:t xml:space="preserve"> 2 0–30 cm</w:t>
            </w:r>
          </w:p>
        </w:tc>
        <w:tc>
          <w:tcPr>
            <w:tcW w:w="1080" w:type="dxa"/>
          </w:tcPr>
          <w:p w:rsidR="00B16043" w:rsidRPr="009C00C2" w:rsidRDefault="00B16043" w:rsidP="00B16043">
            <w:pPr>
              <w:jc w:val="both"/>
              <w:rPr>
                <w:rFonts w:ascii="Times New Roman" w:eastAsia="Times New Roman" w:hAnsi="Times New Roman" w:cs="Times New Roman"/>
                <w:b/>
                <w:sz w:val="20"/>
                <w:szCs w:val="20"/>
                <w:lang w:val="nn-NO"/>
              </w:rPr>
            </w:pPr>
            <w:r w:rsidRPr="009C00C2">
              <w:rPr>
                <w:rFonts w:ascii="Times New Roman" w:eastAsia="Times New Roman" w:hAnsi="Times New Roman" w:cs="Times New Roman"/>
                <w:b/>
                <w:sz w:val="20"/>
                <w:szCs w:val="20"/>
                <w:lang w:val="nn-NO"/>
              </w:rPr>
              <w:t>M</w:t>
            </w:r>
            <w:r>
              <w:rPr>
                <w:rFonts w:ascii="Times New Roman" w:eastAsia="Times New Roman" w:hAnsi="Times New Roman" w:cs="Times New Roman"/>
                <w:b/>
                <w:sz w:val="20"/>
                <w:szCs w:val="20"/>
                <w:lang w:val="nn-NO"/>
              </w:rPr>
              <w:t>ostra</w:t>
            </w:r>
            <w:r w:rsidRPr="009C00C2">
              <w:rPr>
                <w:rFonts w:ascii="Times New Roman" w:eastAsia="Times New Roman" w:hAnsi="Times New Roman" w:cs="Times New Roman"/>
                <w:b/>
                <w:sz w:val="20"/>
                <w:szCs w:val="20"/>
                <w:lang w:val="nn-NO"/>
              </w:rPr>
              <w:t xml:space="preserve"> 3 </w:t>
            </w:r>
          </w:p>
          <w:p w:rsidR="00B16043" w:rsidRPr="009C00C2" w:rsidRDefault="00B16043" w:rsidP="00B16043">
            <w:pPr>
              <w:jc w:val="both"/>
              <w:rPr>
                <w:rFonts w:ascii="Times New Roman" w:eastAsia="Times New Roman" w:hAnsi="Times New Roman" w:cs="Times New Roman"/>
                <w:b/>
                <w:sz w:val="20"/>
                <w:szCs w:val="20"/>
                <w:lang w:val="nn-NO"/>
              </w:rPr>
            </w:pPr>
            <w:r w:rsidRPr="009C00C2">
              <w:rPr>
                <w:rFonts w:ascii="Times New Roman" w:eastAsia="Times New Roman" w:hAnsi="Times New Roman" w:cs="Times New Roman"/>
                <w:b/>
                <w:sz w:val="20"/>
                <w:szCs w:val="20"/>
                <w:lang w:val="nn-NO"/>
              </w:rPr>
              <w:t>0–30 cm</w:t>
            </w:r>
          </w:p>
        </w:tc>
        <w:tc>
          <w:tcPr>
            <w:tcW w:w="270" w:type="dxa"/>
          </w:tcPr>
          <w:p w:rsidR="00B16043" w:rsidRPr="00773E68" w:rsidRDefault="00B16043" w:rsidP="00B16043">
            <w:pPr>
              <w:jc w:val="both"/>
              <w:rPr>
                <w:rFonts w:ascii="Times New Roman" w:eastAsia="Times New Roman" w:hAnsi="Times New Roman" w:cs="Times New Roman"/>
                <w:b/>
                <w:sz w:val="24"/>
                <w:szCs w:val="24"/>
                <w:lang w:val="nn-NO"/>
              </w:rPr>
            </w:pPr>
          </w:p>
        </w:tc>
        <w:tc>
          <w:tcPr>
            <w:tcW w:w="810" w:type="dxa"/>
          </w:tcPr>
          <w:p w:rsidR="00B16043" w:rsidRPr="009C00C2" w:rsidRDefault="00B16043" w:rsidP="00B16043">
            <w:pPr>
              <w:jc w:val="both"/>
              <w:rPr>
                <w:rFonts w:ascii="Times New Roman" w:eastAsia="Times New Roman" w:hAnsi="Times New Roman" w:cs="Times New Roman"/>
                <w:b/>
                <w:sz w:val="20"/>
                <w:szCs w:val="20"/>
                <w:lang w:val="nn-NO"/>
              </w:rPr>
            </w:pPr>
            <w:r w:rsidRPr="009C00C2">
              <w:rPr>
                <w:rFonts w:ascii="Times New Roman" w:eastAsia="Times New Roman" w:hAnsi="Times New Roman" w:cs="Times New Roman"/>
                <w:b/>
                <w:sz w:val="20"/>
                <w:szCs w:val="20"/>
                <w:lang w:val="nn-NO"/>
              </w:rPr>
              <w:t>Profili</w:t>
            </w:r>
          </w:p>
          <w:p w:rsidR="00B16043" w:rsidRPr="009C00C2" w:rsidRDefault="00B16043" w:rsidP="00B16043">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lang w:val="nn-NO"/>
              </w:rPr>
              <w:t xml:space="preserve">0 </w:t>
            </w:r>
            <w:r w:rsidRPr="009C00C2">
              <w:rPr>
                <w:rFonts w:ascii="Times New Roman" w:eastAsia="Times New Roman" w:hAnsi="Times New Roman" w:cs="Times New Roman"/>
                <w:b/>
                <w:sz w:val="20"/>
                <w:szCs w:val="20"/>
              </w:rPr>
              <w:t>-30</w:t>
            </w:r>
          </w:p>
        </w:tc>
        <w:tc>
          <w:tcPr>
            <w:tcW w:w="810" w:type="dxa"/>
          </w:tcPr>
          <w:p w:rsidR="00B16043" w:rsidRPr="009C00C2" w:rsidRDefault="00B16043" w:rsidP="00B16043">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rPr>
              <w:t>Profili</w:t>
            </w:r>
          </w:p>
          <w:p w:rsidR="00B16043" w:rsidRPr="009C00C2" w:rsidRDefault="00B16043" w:rsidP="00B16043">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rPr>
              <w:t>30 -60</w:t>
            </w:r>
          </w:p>
        </w:tc>
        <w:tc>
          <w:tcPr>
            <w:tcW w:w="873" w:type="dxa"/>
          </w:tcPr>
          <w:p w:rsidR="00B16043" w:rsidRPr="009C00C2" w:rsidRDefault="00B16043" w:rsidP="00B16043">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rPr>
              <w:t>Profili</w:t>
            </w:r>
          </w:p>
          <w:p w:rsidR="00B16043" w:rsidRPr="009C00C2" w:rsidRDefault="00B16043" w:rsidP="00B16043">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rPr>
              <w:t>60 -100</w:t>
            </w:r>
          </w:p>
        </w:tc>
      </w:tr>
      <w:tr w:rsidR="00773E68" w:rsidRPr="00773E68" w:rsidTr="006E4782">
        <w:trPr>
          <w:trHeight w:val="134"/>
          <w:jc w:val="center"/>
        </w:trPr>
        <w:tc>
          <w:tcPr>
            <w:tcW w:w="1530" w:type="dxa"/>
            <w:vMerge w:val="restart"/>
          </w:tcPr>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B16043" w:rsidP="00773E6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Kombinati </w:t>
            </w:r>
            <w:r w:rsidR="00773E68" w:rsidRPr="00773E68">
              <w:rPr>
                <w:rFonts w:ascii="Times New Roman" w:eastAsia="Times New Roman" w:hAnsi="Times New Roman" w:cs="Times New Roman"/>
                <w:b/>
                <w:sz w:val="24"/>
                <w:szCs w:val="24"/>
              </w:rPr>
              <w:t>Metalurgjik</w:t>
            </w: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r w:rsidRPr="00773E68">
              <w:rPr>
                <w:rFonts w:ascii="Times New Roman" w:eastAsia="Times New Roman" w:hAnsi="Times New Roman" w:cs="Times New Roman"/>
                <w:b/>
                <w:sz w:val="24"/>
                <w:szCs w:val="24"/>
              </w:rPr>
              <w:t>Elbasan 2</w:t>
            </w:r>
          </w:p>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350" w:type="dxa"/>
          </w:tcPr>
          <w:p w:rsidR="00773E68" w:rsidRPr="00B16043" w:rsidRDefault="00773E68" w:rsidP="00773E68">
            <w:pPr>
              <w:jc w:val="both"/>
              <w:rPr>
                <w:rFonts w:ascii="Times New Roman" w:eastAsia="Times New Roman" w:hAnsi="Times New Roman" w:cs="Times New Roman"/>
                <w:lang w:val="it-IT"/>
              </w:rPr>
            </w:pPr>
            <w:r w:rsidRPr="00B16043">
              <w:rPr>
                <w:rFonts w:ascii="Times New Roman" w:eastAsia="Times New Roman" w:hAnsi="Times New Roman" w:cs="Times New Roman"/>
                <w:lang w:val="it-IT"/>
              </w:rPr>
              <w:t>mg/ kg  tokë e thatë</w:t>
            </w:r>
          </w:p>
        </w:tc>
        <w:tc>
          <w:tcPr>
            <w:tcW w:w="81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0-50</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0.41</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0.36</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0-47</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0-37</w:t>
            </w:r>
          </w:p>
        </w:tc>
        <w:tc>
          <w:tcPr>
            <w:tcW w:w="87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0-39</w:t>
            </w:r>
          </w:p>
        </w:tc>
      </w:tr>
      <w:tr w:rsidR="00773E68" w:rsidRPr="00773E68" w:rsidTr="006E4782">
        <w:trPr>
          <w:jc w:val="center"/>
        </w:trPr>
        <w:tc>
          <w:tcPr>
            <w:tcW w:w="153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350" w:type="dxa"/>
          </w:tcPr>
          <w:p w:rsidR="00773E68" w:rsidRPr="00B16043" w:rsidRDefault="00773E68" w:rsidP="00773E68">
            <w:pPr>
              <w:jc w:val="both"/>
              <w:rPr>
                <w:rFonts w:ascii="Times New Roman" w:eastAsia="Times New Roman" w:hAnsi="Times New Roman" w:cs="Times New Roman"/>
                <w:lang w:val="it-IT"/>
              </w:rPr>
            </w:pPr>
            <w:r w:rsidRPr="00B16043">
              <w:rPr>
                <w:rFonts w:ascii="Times New Roman" w:eastAsia="Times New Roman" w:hAnsi="Times New Roman" w:cs="Times New Roman"/>
                <w:lang w:val="it-IT"/>
              </w:rPr>
              <w:t>mg/ kg  tokë e thatë</w:t>
            </w:r>
          </w:p>
        </w:tc>
        <w:tc>
          <w:tcPr>
            <w:tcW w:w="81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0.27</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0.32</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0.34</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0.31</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0.30</w:t>
            </w:r>
          </w:p>
        </w:tc>
        <w:tc>
          <w:tcPr>
            <w:tcW w:w="87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0.27</w:t>
            </w:r>
          </w:p>
        </w:tc>
      </w:tr>
      <w:tr w:rsidR="00773E68" w:rsidRPr="00773E68" w:rsidTr="006E4782">
        <w:trPr>
          <w:jc w:val="center"/>
        </w:trPr>
        <w:tc>
          <w:tcPr>
            <w:tcW w:w="153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350" w:type="dxa"/>
          </w:tcPr>
          <w:p w:rsidR="00773E68" w:rsidRPr="00B16043" w:rsidRDefault="00773E68" w:rsidP="00773E68">
            <w:pPr>
              <w:jc w:val="both"/>
              <w:rPr>
                <w:rFonts w:ascii="Times New Roman" w:eastAsia="Times New Roman" w:hAnsi="Times New Roman" w:cs="Times New Roman"/>
                <w:lang w:val="it-IT"/>
              </w:rPr>
            </w:pPr>
            <w:r w:rsidRPr="00B16043">
              <w:rPr>
                <w:rFonts w:ascii="Times New Roman" w:eastAsia="Times New Roman" w:hAnsi="Times New Roman" w:cs="Times New Roman"/>
                <w:lang w:val="it-IT"/>
              </w:rPr>
              <w:t>mg/ kg  tokë e thatë</w:t>
            </w:r>
          </w:p>
        </w:tc>
        <w:tc>
          <w:tcPr>
            <w:tcW w:w="81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0.49</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0.41</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0.40</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0-56</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0-50</w:t>
            </w:r>
          </w:p>
        </w:tc>
        <w:tc>
          <w:tcPr>
            <w:tcW w:w="87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0-47</w:t>
            </w:r>
          </w:p>
        </w:tc>
      </w:tr>
      <w:tr w:rsidR="00773E68" w:rsidRPr="00773E68" w:rsidTr="006E4782">
        <w:trPr>
          <w:jc w:val="center"/>
        </w:trPr>
        <w:tc>
          <w:tcPr>
            <w:tcW w:w="153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350" w:type="dxa"/>
          </w:tcPr>
          <w:p w:rsidR="00773E68" w:rsidRPr="00B16043" w:rsidRDefault="00773E68" w:rsidP="00773E68">
            <w:pPr>
              <w:jc w:val="both"/>
              <w:rPr>
                <w:rFonts w:ascii="Times New Roman" w:eastAsia="Times New Roman" w:hAnsi="Times New Roman" w:cs="Times New Roman"/>
                <w:lang w:val="it-IT"/>
              </w:rPr>
            </w:pPr>
            <w:r w:rsidRPr="00B16043">
              <w:rPr>
                <w:rFonts w:ascii="Times New Roman" w:eastAsia="Times New Roman" w:hAnsi="Times New Roman" w:cs="Times New Roman"/>
                <w:lang w:val="it-IT"/>
              </w:rPr>
              <w:t>mg/ kg  tokë e thatë</w:t>
            </w:r>
          </w:p>
        </w:tc>
        <w:tc>
          <w:tcPr>
            <w:tcW w:w="81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5.6</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5.1</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4.0</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5.4</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4.5</w:t>
            </w:r>
          </w:p>
        </w:tc>
        <w:tc>
          <w:tcPr>
            <w:tcW w:w="87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4.4</w:t>
            </w:r>
          </w:p>
        </w:tc>
      </w:tr>
      <w:tr w:rsidR="00773E68" w:rsidRPr="00773E68" w:rsidTr="006E4782">
        <w:trPr>
          <w:jc w:val="center"/>
        </w:trPr>
        <w:tc>
          <w:tcPr>
            <w:tcW w:w="153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350" w:type="dxa"/>
          </w:tcPr>
          <w:p w:rsidR="00773E68" w:rsidRPr="00B16043" w:rsidRDefault="00773E68" w:rsidP="00773E68">
            <w:pPr>
              <w:jc w:val="both"/>
              <w:rPr>
                <w:rFonts w:ascii="Times New Roman" w:eastAsia="Times New Roman" w:hAnsi="Times New Roman" w:cs="Times New Roman"/>
                <w:lang w:val="it-IT"/>
              </w:rPr>
            </w:pPr>
            <w:r w:rsidRPr="00B16043">
              <w:rPr>
                <w:rFonts w:ascii="Times New Roman" w:eastAsia="Times New Roman" w:hAnsi="Times New Roman" w:cs="Times New Roman"/>
                <w:lang w:val="it-IT"/>
              </w:rPr>
              <w:t>mg/ kg  tokë e thatë</w:t>
            </w:r>
          </w:p>
        </w:tc>
        <w:tc>
          <w:tcPr>
            <w:tcW w:w="81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120.8</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120.8</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95.4</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115.8</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96.6</w:t>
            </w:r>
          </w:p>
        </w:tc>
        <w:tc>
          <w:tcPr>
            <w:tcW w:w="87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96.6</w:t>
            </w:r>
          </w:p>
        </w:tc>
      </w:tr>
      <w:tr w:rsidR="00773E68" w:rsidRPr="00773E68" w:rsidTr="006E4782">
        <w:trPr>
          <w:jc w:val="center"/>
        </w:trPr>
        <w:tc>
          <w:tcPr>
            <w:tcW w:w="153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350" w:type="dxa"/>
          </w:tcPr>
          <w:p w:rsidR="00773E68" w:rsidRPr="00B16043" w:rsidRDefault="00773E68" w:rsidP="00773E68">
            <w:pPr>
              <w:jc w:val="both"/>
              <w:rPr>
                <w:rFonts w:ascii="Times New Roman" w:eastAsia="Times New Roman" w:hAnsi="Times New Roman" w:cs="Times New Roman"/>
                <w:lang w:val="it-IT"/>
              </w:rPr>
            </w:pPr>
            <w:r w:rsidRPr="00B16043">
              <w:rPr>
                <w:rFonts w:ascii="Times New Roman" w:eastAsia="Times New Roman" w:hAnsi="Times New Roman" w:cs="Times New Roman"/>
                <w:lang w:val="it-IT"/>
              </w:rPr>
              <w:t>mg/ kg  tokë e thatë</w:t>
            </w:r>
          </w:p>
        </w:tc>
        <w:tc>
          <w:tcPr>
            <w:tcW w:w="81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0.90</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0.81</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0.71</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0.85</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0.80</w:t>
            </w:r>
          </w:p>
        </w:tc>
        <w:tc>
          <w:tcPr>
            <w:tcW w:w="87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0.78</w:t>
            </w:r>
          </w:p>
        </w:tc>
      </w:tr>
      <w:tr w:rsidR="00773E68" w:rsidRPr="00773E68" w:rsidTr="006E4782">
        <w:trPr>
          <w:jc w:val="center"/>
        </w:trPr>
        <w:tc>
          <w:tcPr>
            <w:tcW w:w="153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Mn</w:t>
            </w:r>
          </w:p>
        </w:tc>
        <w:tc>
          <w:tcPr>
            <w:tcW w:w="1350" w:type="dxa"/>
          </w:tcPr>
          <w:p w:rsidR="00773E68" w:rsidRPr="00B16043" w:rsidRDefault="00773E68" w:rsidP="00773E68">
            <w:pPr>
              <w:jc w:val="both"/>
              <w:rPr>
                <w:rFonts w:ascii="Times New Roman" w:eastAsia="Times New Roman" w:hAnsi="Times New Roman" w:cs="Times New Roman"/>
                <w:lang w:val="it-IT"/>
              </w:rPr>
            </w:pPr>
            <w:r w:rsidRPr="00B16043">
              <w:rPr>
                <w:rFonts w:ascii="Times New Roman" w:eastAsia="Times New Roman" w:hAnsi="Times New Roman" w:cs="Times New Roman"/>
                <w:lang w:val="it-IT"/>
              </w:rPr>
              <w:t>mg/ kg  tokë e thatë</w:t>
            </w:r>
          </w:p>
        </w:tc>
        <w:tc>
          <w:tcPr>
            <w:tcW w:w="81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8.7</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9.0</w:t>
            </w:r>
          </w:p>
        </w:tc>
        <w:tc>
          <w:tcPr>
            <w:tcW w:w="108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10.0</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8.0</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9.0</w:t>
            </w:r>
          </w:p>
        </w:tc>
        <w:tc>
          <w:tcPr>
            <w:tcW w:w="87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11.0</w:t>
            </w:r>
          </w:p>
        </w:tc>
      </w:tr>
    </w:tbl>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b/>
          <w:sz w:val="24"/>
          <w:szCs w:val="24"/>
          <w:lang w:val="nn-NO"/>
        </w:rPr>
      </w:pPr>
      <w:r w:rsidRPr="00773E68">
        <w:rPr>
          <w:rFonts w:ascii="Times New Roman" w:eastAsia="Times New Roman" w:hAnsi="Times New Roman" w:cs="Times New Roman"/>
          <w:b/>
          <w:sz w:val="24"/>
          <w:szCs w:val="24"/>
          <w:lang w:val="it-IT"/>
        </w:rPr>
        <w:t xml:space="preserve">Interpretimi i treguesëve </w:t>
      </w:r>
      <w:r w:rsidRPr="00773E68">
        <w:rPr>
          <w:rFonts w:ascii="Times New Roman" w:eastAsia="Times New Roman" w:hAnsi="Times New Roman" w:cs="Times New Roman"/>
          <w:b/>
          <w:sz w:val="24"/>
          <w:szCs w:val="24"/>
          <w:lang w:val="nn-NO"/>
        </w:rPr>
        <w:t>Metalurgjik Elbasan, zona 2.</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Treguesit e paraqitur në tabelën e mësipërme, përgjithësisht për të gjithë elementët, me përjashtim të Manganit ( Mn), kanë një tendecë në zbritje të treguesëve, gjë që tregon që lëvizshmëria apo depozitimi në thellësi të tokës është më i vogël, pra ka një përqëndrim më të madh në shtresën e sipërme, kjo shpjegohet me mungesën e përqëndrimit të ujërave në tokë për arsyen e rrjedhjeve të shpejta për efekt të pjerrësisë relativisht të madhe.</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Të gjithë treguesit janë brenda normave të lejuara dhe nuk përbëjnë problem për ndotje.</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p w:rsidR="00CE44F5" w:rsidRDefault="00CE44F5" w:rsidP="00773E68">
      <w:pPr>
        <w:spacing w:after="0" w:line="240" w:lineRule="auto"/>
        <w:jc w:val="both"/>
        <w:rPr>
          <w:rFonts w:ascii="Times New Roman" w:eastAsia="Times New Roman" w:hAnsi="Times New Roman" w:cs="Times New Roman"/>
          <w:b/>
          <w:sz w:val="24"/>
          <w:szCs w:val="24"/>
          <w:lang w:val="nn-NO"/>
        </w:rPr>
      </w:pPr>
    </w:p>
    <w:p w:rsidR="00CE44F5" w:rsidRDefault="00CE44F5" w:rsidP="00773E68">
      <w:pPr>
        <w:spacing w:after="0" w:line="240" w:lineRule="auto"/>
        <w:jc w:val="both"/>
        <w:rPr>
          <w:rFonts w:ascii="Times New Roman" w:eastAsia="Times New Roman" w:hAnsi="Times New Roman" w:cs="Times New Roman"/>
          <w:b/>
          <w:sz w:val="24"/>
          <w:szCs w:val="24"/>
          <w:lang w:val="nn-NO"/>
        </w:rPr>
      </w:pPr>
    </w:p>
    <w:p w:rsidR="00773E68" w:rsidRPr="00773E68" w:rsidRDefault="00773E68" w:rsidP="00773E68">
      <w:pPr>
        <w:spacing w:after="0" w:line="240" w:lineRule="auto"/>
        <w:jc w:val="both"/>
        <w:rPr>
          <w:rFonts w:ascii="Times New Roman" w:eastAsia="Times New Roman" w:hAnsi="Times New Roman" w:cs="Times New Roman"/>
          <w:b/>
          <w:sz w:val="24"/>
          <w:szCs w:val="24"/>
          <w:lang w:val="nn-NO"/>
        </w:rPr>
      </w:pPr>
      <w:r w:rsidRPr="00773E68">
        <w:rPr>
          <w:rFonts w:ascii="Times New Roman" w:eastAsia="Times New Roman" w:hAnsi="Times New Roman" w:cs="Times New Roman"/>
          <w:b/>
          <w:sz w:val="24"/>
          <w:szCs w:val="24"/>
          <w:lang w:val="nn-NO"/>
        </w:rPr>
        <w:lastRenderedPageBreak/>
        <w:t>Kombinati Metalurgjik  Elbasan  Zona ( 3 )</w:t>
      </w:r>
    </w:p>
    <w:p w:rsidR="00773E68" w:rsidRPr="00773E68" w:rsidRDefault="00773E68" w:rsidP="00773E68">
      <w:pPr>
        <w:spacing w:after="0" w:line="240" w:lineRule="auto"/>
        <w:jc w:val="both"/>
        <w:rPr>
          <w:rFonts w:ascii="Times New Roman" w:eastAsia="Times New Roman" w:hAnsi="Times New Roman" w:cs="Times New Roman"/>
          <w:b/>
          <w:sz w:val="24"/>
          <w:szCs w:val="24"/>
          <w:lang w:val="nn-NO"/>
        </w:rPr>
      </w:pPr>
    </w:p>
    <w:p w:rsidR="00CE44F5" w:rsidRDefault="00773E68" w:rsidP="00773E68">
      <w:pPr>
        <w:spacing w:after="0" w:line="240" w:lineRule="auto"/>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Kjo zonë shtrihet në anën veriore  dhe veri-per</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nn-NO"/>
        </w:rPr>
        <w:t>ndimore të metalurgjikut dhe përfshin</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nn-NO"/>
        </w:rPr>
        <w:t xml:space="preserve"> brenda vetes toka fushore  të fragmentizuara dhe me ndërtime familjare ose biznese si dhe blloqe relativisht më të mëdha të mbjella me kultura bujqësore dhe pemë frutore, veçanërisht ullinj, të cilat janë të shtrira kryesisht në pjesën kodrinore, të mbjella me ullinj shekullor. Një pjesë e kësaj zone shtrihet në pjesën jug-per</w:t>
      </w:r>
      <w:r w:rsidRPr="00773E68">
        <w:rPr>
          <w:rFonts w:ascii="Times New Roman" w:eastAsia="Times New Roman" w:hAnsi="Times New Roman" w:cs="Times New Roman"/>
          <w:color w:val="000000"/>
          <w:sz w:val="24"/>
          <w:szCs w:val="24"/>
          <w:lang w:val="sq-AL"/>
        </w:rPr>
        <w:t>ë</w:t>
      </w:r>
      <w:r w:rsidRPr="00773E68">
        <w:rPr>
          <w:rFonts w:ascii="Times New Roman" w:eastAsia="Times New Roman" w:hAnsi="Times New Roman" w:cs="Times New Roman"/>
          <w:sz w:val="24"/>
          <w:szCs w:val="24"/>
          <w:lang w:val="nn-NO"/>
        </w:rPr>
        <w:t xml:space="preserve">ndimore të metalurgjikut dhe është një fushë me sipërfaqe goxha të konsiderueshme. </w:t>
      </w:r>
    </w:p>
    <w:p w:rsidR="00773E68" w:rsidRPr="00773E68" w:rsidRDefault="00773E68" w:rsidP="00773E68">
      <w:pPr>
        <w:spacing w:after="0" w:line="240" w:lineRule="auto"/>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Këto toka janë nën efektin ndotës që mund të shkaktohet nga shkarkimet e tymrave dhe gazrave të metalurgjikut dhe precipitimi i tyre në këto zonë qoftë në gjendje të pluhurit ose në gjendje të lëngët nga shirat që depërtojnë në atmosferën e ndotur.</w:t>
      </w:r>
    </w:p>
    <w:p w:rsidR="00773E68" w:rsidRPr="00773E68" w:rsidRDefault="00773E68" w:rsidP="00773E68">
      <w:pPr>
        <w:spacing w:after="0" w:line="240" w:lineRule="auto"/>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Tokat e kësaj zone janë në përgjithësi të pasura, bimësia është e larmishme, nuk kemi prani të ujërave freatik, tokat janë të kulluar</w:t>
      </w:r>
      <w:r w:rsidR="00CE44F5">
        <w:rPr>
          <w:rFonts w:ascii="Times New Roman" w:eastAsia="Times New Roman" w:hAnsi="Times New Roman" w:cs="Times New Roman"/>
          <w:sz w:val="24"/>
          <w:szCs w:val="24"/>
          <w:lang w:val="nn-NO"/>
        </w:rPr>
        <w:t>a</w:t>
      </w:r>
      <w:r w:rsidRPr="00773E68">
        <w:rPr>
          <w:rFonts w:ascii="Times New Roman" w:eastAsia="Times New Roman" w:hAnsi="Times New Roman" w:cs="Times New Roman"/>
          <w:sz w:val="24"/>
          <w:szCs w:val="24"/>
          <w:lang w:val="nn-NO"/>
        </w:rPr>
        <w:t xml:space="preserve"> dhe pa rrezik përmbytje.</w:t>
      </w:r>
    </w:p>
    <w:p w:rsidR="00B35E26" w:rsidRDefault="00B35E26" w:rsidP="00B47BFB">
      <w:pPr>
        <w:spacing w:after="0" w:line="240" w:lineRule="auto"/>
        <w:jc w:val="center"/>
        <w:rPr>
          <w:rFonts w:ascii="Times New Roman" w:eastAsia="Times New Roman" w:hAnsi="Times New Roman" w:cs="Times New Roman"/>
          <w:sz w:val="24"/>
          <w:szCs w:val="24"/>
          <w:lang w:val="nn-NO"/>
        </w:rPr>
      </w:pPr>
    </w:p>
    <w:p w:rsidR="00773E68" w:rsidRPr="00B47BFB" w:rsidRDefault="00773E68" w:rsidP="00B47BFB">
      <w:pPr>
        <w:spacing w:after="0" w:line="240" w:lineRule="auto"/>
        <w:jc w:val="center"/>
        <w:rPr>
          <w:rFonts w:ascii="Times New Roman" w:eastAsia="Times New Roman" w:hAnsi="Times New Roman" w:cs="Times New Roman"/>
          <w:sz w:val="24"/>
          <w:szCs w:val="24"/>
          <w:lang w:val="nn-NO"/>
        </w:rPr>
      </w:pPr>
      <w:r w:rsidRPr="00B47BFB">
        <w:rPr>
          <w:rFonts w:ascii="Times New Roman" w:eastAsia="Times New Roman" w:hAnsi="Times New Roman" w:cs="Times New Roman"/>
          <w:sz w:val="24"/>
          <w:szCs w:val="24"/>
          <w:lang w:val="nn-NO"/>
        </w:rPr>
        <w:t xml:space="preserve">Tabela </w:t>
      </w:r>
      <w:r w:rsidR="00681B50">
        <w:rPr>
          <w:rFonts w:ascii="Times New Roman" w:eastAsia="Times New Roman" w:hAnsi="Times New Roman" w:cs="Times New Roman"/>
          <w:sz w:val="24"/>
          <w:szCs w:val="24"/>
          <w:lang w:val="nn-NO"/>
        </w:rPr>
        <w:t>46</w:t>
      </w:r>
      <w:r w:rsidRPr="00B47BFB">
        <w:rPr>
          <w:rFonts w:ascii="Times New Roman" w:eastAsia="Times New Roman" w:hAnsi="Times New Roman" w:cs="Times New Roman"/>
          <w:sz w:val="24"/>
          <w:szCs w:val="24"/>
          <w:lang w:val="nn-NO"/>
        </w:rPr>
        <w:t>. Tabela e treguesëve të analizuar. Elbasan zona 3</w:t>
      </w:r>
    </w:p>
    <w:p w:rsidR="00773E68" w:rsidRPr="00773E68" w:rsidRDefault="00773E68" w:rsidP="00773E68">
      <w:pPr>
        <w:spacing w:after="0" w:line="240" w:lineRule="auto"/>
        <w:jc w:val="both"/>
        <w:rPr>
          <w:rFonts w:ascii="Times New Roman" w:eastAsia="Times New Roman" w:hAnsi="Times New Roman" w:cs="Times New Roman"/>
          <w:sz w:val="24"/>
          <w:szCs w:val="24"/>
          <w:lang w:val="nn-NO"/>
        </w:rPr>
      </w:pPr>
    </w:p>
    <w:tbl>
      <w:tblPr>
        <w:tblStyle w:val="TableGrid3"/>
        <w:tblW w:w="10539" w:type="dxa"/>
        <w:jc w:val="center"/>
        <w:tblLayout w:type="fixed"/>
        <w:tblLook w:val="04A0" w:firstRow="1" w:lastRow="0" w:firstColumn="1" w:lastColumn="0" w:noHBand="0" w:noVBand="1"/>
      </w:tblPr>
      <w:tblGrid>
        <w:gridCol w:w="1501"/>
        <w:gridCol w:w="920"/>
        <w:gridCol w:w="1296"/>
        <w:gridCol w:w="864"/>
        <w:gridCol w:w="990"/>
        <w:gridCol w:w="1080"/>
        <w:gridCol w:w="1080"/>
        <w:gridCol w:w="270"/>
        <w:gridCol w:w="810"/>
        <w:gridCol w:w="810"/>
        <w:gridCol w:w="918"/>
      </w:tblGrid>
      <w:tr w:rsidR="006E4782" w:rsidRPr="00773E68" w:rsidTr="00B47BFB">
        <w:trPr>
          <w:jc w:val="center"/>
        </w:trPr>
        <w:tc>
          <w:tcPr>
            <w:tcW w:w="1501" w:type="dxa"/>
            <w:vMerge w:val="restart"/>
          </w:tcPr>
          <w:p w:rsidR="006E4782" w:rsidRPr="009C00C2" w:rsidRDefault="006E4782" w:rsidP="006E4782">
            <w:pPr>
              <w:jc w:val="both"/>
              <w:rPr>
                <w:rFonts w:ascii="Times New Roman" w:eastAsia="Times New Roman" w:hAnsi="Times New Roman" w:cs="Times New Roman"/>
                <w:b/>
                <w:sz w:val="20"/>
                <w:szCs w:val="20"/>
                <w:lang w:val="nn-NO"/>
              </w:rPr>
            </w:pPr>
          </w:p>
          <w:p w:rsidR="006E4782" w:rsidRPr="009C00C2" w:rsidRDefault="006E4782" w:rsidP="006E4782">
            <w:pPr>
              <w:jc w:val="both"/>
              <w:rPr>
                <w:rFonts w:ascii="Times New Roman" w:eastAsia="Times New Roman" w:hAnsi="Times New Roman" w:cs="Times New Roman"/>
                <w:b/>
                <w:sz w:val="20"/>
                <w:szCs w:val="20"/>
                <w:lang w:val="nn-NO"/>
              </w:rPr>
            </w:pPr>
            <w:r>
              <w:rPr>
                <w:rFonts w:ascii="Times New Roman" w:eastAsia="Times New Roman" w:hAnsi="Times New Roman" w:cs="Times New Roman"/>
                <w:b/>
                <w:sz w:val="20"/>
                <w:szCs w:val="20"/>
                <w:lang w:val="nn-NO"/>
              </w:rPr>
              <w:t>V</w:t>
            </w:r>
            <w:r w:rsidRPr="009C00C2">
              <w:rPr>
                <w:rFonts w:ascii="Times New Roman" w:eastAsia="Times New Roman" w:hAnsi="Times New Roman" w:cs="Times New Roman"/>
                <w:b/>
                <w:sz w:val="20"/>
                <w:szCs w:val="20"/>
                <w:lang w:val="nn-NO"/>
              </w:rPr>
              <w:t>endi</w:t>
            </w:r>
          </w:p>
        </w:tc>
        <w:tc>
          <w:tcPr>
            <w:tcW w:w="920" w:type="dxa"/>
            <w:vMerge w:val="restart"/>
          </w:tcPr>
          <w:p w:rsidR="006E4782" w:rsidRPr="009C00C2" w:rsidRDefault="006E4782" w:rsidP="006E4782">
            <w:pPr>
              <w:jc w:val="both"/>
              <w:rPr>
                <w:rFonts w:ascii="Times New Roman" w:eastAsia="Times New Roman" w:hAnsi="Times New Roman" w:cs="Times New Roman"/>
                <w:b/>
                <w:sz w:val="20"/>
                <w:szCs w:val="20"/>
                <w:lang w:val="nn-NO"/>
              </w:rPr>
            </w:pPr>
          </w:p>
          <w:p w:rsidR="006E4782" w:rsidRPr="009C00C2" w:rsidRDefault="006E4782" w:rsidP="006E4782">
            <w:pPr>
              <w:jc w:val="both"/>
              <w:rPr>
                <w:rFonts w:ascii="Times New Roman" w:eastAsia="Times New Roman" w:hAnsi="Times New Roman" w:cs="Times New Roman"/>
                <w:b/>
                <w:sz w:val="20"/>
                <w:szCs w:val="20"/>
                <w:lang w:val="nn-NO"/>
              </w:rPr>
            </w:pPr>
            <w:r>
              <w:rPr>
                <w:rFonts w:ascii="Times New Roman" w:eastAsia="Times New Roman" w:hAnsi="Times New Roman" w:cs="Times New Roman"/>
                <w:b/>
                <w:sz w:val="20"/>
                <w:szCs w:val="20"/>
                <w:lang w:val="nn-NO"/>
              </w:rPr>
              <w:t>T</w:t>
            </w:r>
            <w:r w:rsidRPr="009C00C2">
              <w:rPr>
                <w:rFonts w:ascii="Times New Roman" w:eastAsia="Times New Roman" w:hAnsi="Times New Roman" w:cs="Times New Roman"/>
                <w:b/>
                <w:sz w:val="20"/>
                <w:szCs w:val="20"/>
                <w:lang w:val="nn-NO"/>
              </w:rPr>
              <w:t>re</w:t>
            </w:r>
            <w:r>
              <w:rPr>
                <w:rFonts w:ascii="Times New Roman" w:eastAsia="Times New Roman" w:hAnsi="Times New Roman" w:cs="Times New Roman"/>
                <w:b/>
                <w:sz w:val="20"/>
                <w:szCs w:val="20"/>
                <w:lang w:val="nn-NO"/>
              </w:rPr>
              <w:t>gues</w:t>
            </w:r>
          </w:p>
        </w:tc>
        <w:tc>
          <w:tcPr>
            <w:tcW w:w="1296" w:type="dxa"/>
            <w:vMerge w:val="restart"/>
          </w:tcPr>
          <w:p w:rsidR="006E4782" w:rsidRPr="009C00C2" w:rsidRDefault="006E4782" w:rsidP="006E4782">
            <w:pPr>
              <w:jc w:val="both"/>
              <w:rPr>
                <w:rFonts w:ascii="Times New Roman" w:eastAsia="Times New Roman" w:hAnsi="Times New Roman" w:cs="Times New Roman"/>
                <w:b/>
                <w:sz w:val="20"/>
                <w:szCs w:val="20"/>
                <w:lang w:val="nn-NO"/>
              </w:rPr>
            </w:pPr>
          </w:p>
          <w:p w:rsidR="006E4782" w:rsidRPr="009C00C2" w:rsidRDefault="006E4782" w:rsidP="006E4782">
            <w:pPr>
              <w:jc w:val="both"/>
              <w:rPr>
                <w:rFonts w:ascii="Times New Roman" w:eastAsia="Times New Roman" w:hAnsi="Times New Roman" w:cs="Times New Roman"/>
                <w:b/>
                <w:sz w:val="20"/>
                <w:szCs w:val="20"/>
                <w:lang w:val="nn-NO"/>
              </w:rPr>
            </w:pPr>
            <w:r>
              <w:rPr>
                <w:rFonts w:ascii="Times New Roman" w:eastAsia="Times New Roman" w:hAnsi="Times New Roman" w:cs="Times New Roman"/>
                <w:b/>
                <w:sz w:val="20"/>
                <w:szCs w:val="20"/>
                <w:lang w:val="nn-NO"/>
              </w:rPr>
              <w:t>N</w:t>
            </w:r>
            <w:r w:rsidRPr="009C00C2">
              <w:rPr>
                <w:rFonts w:ascii="Times New Roman" w:eastAsia="Times New Roman" w:hAnsi="Times New Roman" w:cs="Times New Roman"/>
                <w:b/>
                <w:sz w:val="20"/>
                <w:szCs w:val="20"/>
                <w:lang w:val="nn-NO"/>
              </w:rPr>
              <w:t>j</w:t>
            </w:r>
            <w:r>
              <w:rPr>
                <w:rFonts w:ascii="Times New Roman" w:eastAsia="Times New Roman" w:hAnsi="Times New Roman" w:cs="Times New Roman"/>
                <w:b/>
                <w:sz w:val="20"/>
                <w:szCs w:val="20"/>
                <w:lang w:val="nn-NO"/>
              </w:rPr>
              <w:t>ësia e</w:t>
            </w:r>
            <w:r w:rsidRPr="009C00C2">
              <w:rPr>
                <w:rFonts w:ascii="Times New Roman" w:eastAsia="Times New Roman" w:hAnsi="Times New Roman" w:cs="Times New Roman"/>
                <w:b/>
                <w:sz w:val="20"/>
                <w:szCs w:val="20"/>
                <w:lang w:val="nn-NO"/>
              </w:rPr>
              <w:t xml:space="preserve"> matjes</w:t>
            </w:r>
          </w:p>
        </w:tc>
        <w:tc>
          <w:tcPr>
            <w:tcW w:w="864" w:type="dxa"/>
            <w:vMerge w:val="restart"/>
          </w:tcPr>
          <w:p w:rsidR="006E4782" w:rsidRPr="00773E68" w:rsidRDefault="006E4782" w:rsidP="006E4782">
            <w:pPr>
              <w:jc w:val="both"/>
              <w:rPr>
                <w:rFonts w:ascii="Times New Roman" w:eastAsia="Times New Roman" w:hAnsi="Times New Roman" w:cs="Times New Roman"/>
                <w:b/>
                <w:sz w:val="24"/>
                <w:szCs w:val="24"/>
                <w:lang w:val="nn-NO"/>
              </w:rPr>
            </w:pPr>
            <w:r>
              <w:rPr>
                <w:rFonts w:ascii="Times New Roman" w:eastAsia="Times New Roman" w:hAnsi="Times New Roman" w:cs="Times New Roman"/>
                <w:b/>
                <w:sz w:val="20"/>
                <w:szCs w:val="20"/>
                <w:lang w:val="nn-NO"/>
              </w:rPr>
              <w:t>L</w:t>
            </w:r>
            <w:r w:rsidRPr="009C00C2">
              <w:rPr>
                <w:rFonts w:ascii="Times New Roman" w:eastAsia="Times New Roman" w:hAnsi="Times New Roman" w:cs="Times New Roman"/>
                <w:b/>
                <w:sz w:val="20"/>
                <w:szCs w:val="20"/>
                <w:lang w:val="nn-NO"/>
              </w:rPr>
              <w:t>imit</w:t>
            </w:r>
          </w:p>
        </w:tc>
        <w:tc>
          <w:tcPr>
            <w:tcW w:w="5958" w:type="dxa"/>
            <w:gridSpan w:val="7"/>
          </w:tcPr>
          <w:p w:rsidR="006E4782" w:rsidRPr="00773E68" w:rsidRDefault="006E4782" w:rsidP="006E4782">
            <w:pPr>
              <w:jc w:val="both"/>
              <w:rPr>
                <w:rFonts w:ascii="Times New Roman" w:eastAsia="Times New Roman" w:hAnsi="Times New Roman" w:cs="Times New Roman"/>
                <w:b/>
                <w:sz w:val="24"/>
                <w:szCs w:val="24"/>
                <w:lang w:val="nn-NO"/>
              </w:rPr>
            </w:pPr>
            <w:r w:rsidRPr="00773E68">
              <w:rPr>
                <w:rFonts w:ascii="Times New Roman" w:eastAsia="Times New Roman" w:hAnsi="Times New Roman" w:cs="Times New Roman"/>
                <w:b/>
                <w:sz w:val="24"/>
                <w:szCs w:val="24"/>
                <w:lang w:val="nn-NO"/>
              </w:rPr>
              <w:t>REZULTATET</w:t>
            </w:r>
          </w:p>
        </w:tc>
      </w:tr>
      <w:tr w:rsidR="006E4782" w:rsidRPr="00773E68" w:rsidTr="00B47BFB">
        <w:trPr>
          <w:jc w:val="center"/>
        </w:trPr>
        <w:tc>
          <w:tcPr>
            <w:tcW w:w="1501" w:type="dxa"/>
            <w:vMerge/>
          </w:tcPr>
          <w:p w:rsidR="006E4782" w:rsidRPr="00773E68" w:rsidRDefault="006E4782" w:rsidP="006E4782">
            <w:pPr>
              <w:jc w:val="both"/>
              <w:rPr>
                <w:rFonts w:ascii="Times New Roman" w:eastAsia="Times New Roman" w:hAnsi="Times New Roman" w:cs="Times New Roman"/>
                <w:b/>
                <w:sz w:val="24"/>
                <w:szCs w:val="24"/>
                <w:lang w:val="nn-NO"/>
              </w:rPr>
            </w:pPr>
          </w:p>
        </w:tc>
        <w:tc>
          <w:tcPr>
            <w:tcW w:w="920" w:type="dxa"/>
            <w:vMerge/>
          </w:tcPr>
          <w:p w:rsidR="006E4782" w:rsidRPr="00773E68" w:rsidRDefault="006E4782" w:rsidP="006E4782">
            <w:pPr>
              <w:jc w:val="both"/>
              <w:rPr>
                <w:rFonts w:ascii="Times New Roman" w:eastAsia="Times New Roman" w:hAnsi="Times New Roman" w:cs="Times New Roman"/>
                <w:b/>
                <w:sz w:val="24"/>
                <w:szCs w:val="24"/>
                <w:lang w:val="nn-NO"/>
              </w:rPr>
            </w:pPr>
          </w:p>
        </w:tc>
        <w:tc>
          <w:tcPr>
            <w:tcW w:w="1296" w:type="dxa"/>
            <w:vMerge/>
          </w:tcPr>
          <w:p w:rsidR="006E4782" w:rsidRPr="00773E68" w:rsidRDefault="006E4782" w:rsidP="006E4782">
            <w:pPr>
              <w:jc w:val="both"/>
              <w:rPr>
                <w:rFonts w:ascii="Times New Roman" w:eastAsia="Times New Roman" w:hAnsi="Times New Roman" w:cs="Times New Roman"/>
                <w:b/>
                <w:sz w:val="24"/>
                <w:szCs w:val="24"/>
                <w:lang w:val="nn-NO"/>
              </w:rPr>
            </w:pPr>
          </w:p>
        </w:tc>
        <w:tc>
          <w:tcPr>
            <w:tcW w:w="864" w:type="dxa"/>
            <w:vMerge/>
          </w:tcPr>
          <w:p w:rsidR="006E4782" w:rsidRPr="00773E68" w:rsidRDefault="006E4782" w:rsidP="006E4782">
            <w:pPr>
              <w:jc w:val="both"/>
              <w:rPr>
                <w:rFonts w:ascii="Times New Roman" w:eastAsia="Times New Roman" w:hAnsi="Times New Roman" w:cs="Times New Roman"/>
                <w:b/>
                <w:sz w:val="24"/>
                <w:szCs w:val="24"/>
                <w:lang w:val="nn-NO"/>
              </w:rPr>
            </w:pPr>
          </w:p>
        </w:tc>
        <w:tc>
          <w:tcPr>
            <w:tcW w:w="990" w:type="dxa"/>
          </w:tcPr>
          <w:p w:rsidR="006E4782" w:rsidRPr="00773E68" w:rsidRDefault="006E4782" w:rsidP="006E4782">
            <w:pPr>
              <w:jc w:val="both"/>
              <w:rPr>
                <w:rFonts w:ascii="Times New Roman" w:eastAsia="Times New Roman" w:hAnsi="Times New Roman" w:cs="Times New Roman"/>
                <w:b/>
                <w:sz w:val="24"/>
                <w:szCs w:val="24"/>
                <w:lang w:val="nn-NO"/>
              </w:rPr>
            </w:pPr>
            <w:r w:rsidRPr="009C00C2">
              <w:rPr>
                <w:rFonts w:ascii="Times New Roman" w:eastAsia="Times New Roman" w:hAnsi="Times New Roman" w:cs="Times New Roman"/>
                <w:b/>
                <w:sz w:val="20"/>
                <w:szCs w:val="20"/>
                <w:lang w:val="nn-NO"/>
              </w:rPr>
              <w:t>M</w:t>
            </w:r>
            <w:r>
              <w:rPr>
                <w:rFonts w:ascii="Times New Roman" w:eastAsia="Times New Roman" w:hAnsi="Times New Roman" w:cs="Times New Roman"/>
                <w:b/>
                <w:sz w:val="20"/>
                <w:szCs w:val="20"/>
                <w:lang w:val="nn-NO"/>
              </w:rPr>
              <w:t>ostra</w:t>
            </w:r>
            <w:r w:rsidRPr="009C00C2">
              <w:rPr>
                <w:rFonts w:ascii="Times New Roman" w:eastAsia="Times New Roman" w:hAnsi="Times New Roman" w:cs="Times New Roman"/>
                <w:b/>
                <w:sz w:val="20"/>
                <w:szCs w:val="20"/>
                <w:lang w:val="nn-NO"/>
              </w:rPr>
              <w:t xml:space="preserve"> 1   0–30 cm</w:t>
            </w:r>
          </w:p>
        </w:tc>
        <w:tc>
          <w:tcPr>
            <w:tcW w:w="1080" w:type="dxa"/>
          </w:tcPr>
          <w:p w:rsidR="006E4782" w:rsidRPr="00773E68" w:rsidRDefault="006E4782" w:rsidP="006E4782">
            <w:pPr>
              <w:jc w:val="both"/>
              <w:rPr>
                <w:rFonts w:ascii="Times New Roman" w:eastAsia="Times New Roman" w:hAnsi="Times New Roman" w:cs="Times New Roman"/>
                <w:b/>
                <w:sz w:val="24"/>
                <w:szCs w:val="24"/>
                <w:lang w:val="nn-NO"/>
              </w:rPr>
            </w:pPr>
            <w:r>
              <w:rPr>
                <w:rFonts w:ascii="Times New Roman" w:eastAsia="Times New Roman" w:hAnsi="Times New Roman" w:cs="Times New Roman"/>
                <w:b/>
                <w:sz w:val="20"/>
                <w:szCs w:val="20"/>
                <w:lang w:val="nn-NO"/>
              </w:rPr>
              <w:t>Mostra</w:t>
            </w:r>
            <w:r w:rsidRPr="009C00C2">
              <w:rPr>
                <w:rFonts w:ascii="Times New Roman" w:eastAsia="Times New Roman" w:hAnsi="Times New Roman" w:cs="Times New Roman"/>
                <w:b/>
                <w:sz w:val="20"/>
                <w:szCs w:val="20"/>
                <w:lang w:val="nn-NO"/>
              </w:rPr>
              <w:t xml:space="preserve"> 2 0–30 cm</w:t>
            </w:r>
          </w:p>
        </w:tc>
        <w:tc>
          <w:tcPr>
            <w:tcW w:w="1080" w:type="dxa"/>
          </w:tcPr>
          <w:p w:rsidR="006E4782" w:rsidRPr="009C00C2" w:rsidRDefault="006E4782" w:rsidP="006E4782">
            <w:pPr>
              <w:jc w:val="both"/>
              <w:rPr>
                <w:rFonts w:ascii="Times New Roman" w:eastAsia="Times New Roman" w:hAnsi="Times New Roman" w:cs="Times New Roman"/>
                <w:b/>
                <w:sz w:val="20"/>
                <w:szCs w:val="20"/>
                <w:lang w:val="nn-NO"/>
              </w:rPr>
            </w:pPr>
            <w:r w:rsidRPr="009C00C2">
              <w:rPr>
                <w:rFonts w:ascii="Times New Roman" w:eastAsia="Times New Roman" w:hAnsi="Times New Roman" w:cs="Times New Roman"/>
                <w:b/>
                <w:sz w:val="20"/>
                <w:szCs w:val="20"/>
                <w:lang w:val="nn-NO"/>
              </w:rPr>
              <w:t>M</w:t>
            </w:r>
            <w:r>
              <w:rPr>
                <w:rFonts w:ascii="Times New Roman" w:eastAsia="Times New Roman" w:hAnsi="Times New Roman" w:cs="Times New Roman"/>
                <w:b/>
                <w:sz w:val="20"/>
                <w:szCs w:val="20"/>
                <w:lang w:val="nn-NO"/>
              </w:rPr>
              <w:t>ostra</w:t>
            </w:r>
            <w:r w:rsidRPr="009C00C2">
              <w:rPr>
                <w:rFonts w:ascii="Times New Roman" w:eastAsia="Times New Roman" w:hAnsi="Times New Roman" w:cs="Times New Roman"/>
                <w:b/>
                <w:sz w:val="20"/>
                <w:szCs w:val="20"/>
                <w:lang w:val="nn-NO"/>
              </w:rPr>
              <w:t xml:space="preserve"> 3 </w:t>
            </w:r>
          </w:p>
          <w:p w:rsidR="006E4782" w:rsidRPr="009C00C2" w:rsidRDefault="006E4782" w:rsidP="006E4782">
            <w:pPr>
              <w:jc w:val="both"/>
              <w:rPr>
                <w:rFonts w:ascii="Times New Roman" w:eastAsia="Times New Roman" w:hAnsi="Times New Roman" w:cs="Times New Roman"/>
                <w:b/>
                <w:sz w:val="20"/>
                <w:szCs w:val="20"/>
                <w:lang w:val="nn-NO"/>
              </w:rPr>
            </w:pPr>
            <w:r w:rsidRPr="009C00C2">
              <w:rPr>
                <w:rFonts w:ascii="Times New Roman" w:eastAsia="Times New Roman" w:hAnsi="Times New Roman" w:cs="Times New Roman"/>
                <w:b/>
                <w:sz w:val="20"/>
                <w:szCs w:val="20"/>
                <w:lang w:val="nn-NO"/>
              </w:rPr>
              <w:t>0–30 cm</w:t>
            </w:r>
          </w:p>
        </w:tc>
        <w:tc>
          <w:tcPr>
            <w:tcW w:w="270" w:type="dxa"/>
          </w:tcPr>
          <w:p w:rsidR="006E4782" w:rsidRPr="00773E68" w:rsidRDefault="006E4782" w:rsidP="006E4782">
            <w:pPr>
              <w:jc w:val="both"/>
              <w:rPr>
                <w:rFonts w:ascii="Times New Roman" w:eastAsia="Times New Roman" w:hAnsi="Times New Roman" w:cs="Times New Roman"/>
                <w:b/>
                <w:sz w:val="24"/>
                <w:szCs w:val="24"/>
                <w:lang w:val="nn-NO"/>
              </w:rPr>
            </w:pPr>
          </w:p>
        </w:tc>
        <w:tc>
          <w:tcPr>
            <w:tcW w:w="810" w:type="dxa"/>
          </w:tcPr>
          <w:p w:rsidR="006E4782" w:rsidRPr="009C00C2" w:rsidRDefault="006E4782" w:rsidP="006E4782">
            <w:pPr>
              <w:jc w:val="both"/>
              <w:rPr>
                <w:rFonts w:ascii="Times New Roman" w:eastAsia="Times New Roman" w:hAnsi="Times New Roman" w:cs="Times New Roman"/>
                <w:b/>
                <w:sz w:val="20"/>
                <w:szCs w:val="20"/>
                <w:lang w:val="nn-NO"/>
              </w:rPr>
            </w:pPr>
            <w:r w:rsidRPr="009C00C2">
              <w:rPr>
                <w:rFonts w:ascii="Times New Roman" w:eastAsia="Times New Roman" w:hAnsi="Times New Roman" w:cs="Times New Roman"/>
                <w:b/>
                <w:sz w:val="20"/>
                <w:szCs w:val="20"/>
                <w:lang w:val="nn-NO"/>
              </w:rPr>
              <w:t>Profili</w:t>
            </w:r>
          </w:p>
          <w:p w:rsidR="006E4782" w:rsidRPr="009C00C2" w:rsidRDefault="006E4782" w:rsidP="006E4782">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lang w:val="nn-NO"/>
              </w:rPr>
              <w:t xml:space="preserve">0 </w:t>
            </w:r>
            <w:r w:rsidRPr="009C00C2">
              <w:rPr>
                <w:rFonts w:ascii="Times New Roman" w:eastAsia="Times New Roman" w:hAnsi="Times New Roman" w:cs="Times New Roman"/>
                <w:b/>
                <w:sz w:val="20"/>
                <w:szCs w:val="20"/>
              </w:rPr>
              <w:t>-30</w:t>
            </w:r>
          </w:p>
        </w:tc>
        <w:tc>
          <w:tcPr>
            <w:tcW w:w="810" w:type="dxa"/>
          </w:tcPr>
          <w:p w:rsidR="006E4782" w:rsidRPr="009C00C2" w:rsidRDefault="006E4782" w:rsidP="006E4782">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rPr>
              <w:t>Profili</w:t>
            </w:r>
          </w:p>
          <w:p w:rsidR="006E4782" w:rsidRPr="009C00C2" w:rsidRDefault="006E4782" w:rsidP="006E4782">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rPr>
              <w:t>30 -60</w:t>
            </w:r>
          </w:p>
        </w:tc>
        <w:tc>
          <w:tcPr>
            <w:tcW w:w="918" w:type="dxa"/>
          </w:tcPr>
          <w:p w:rsidR="006E4782" w:rsidRPr="009C00C2" w:rsidRDefault="006E4782" w:rsidP="006E4782">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rPr>
              <w:t>Profili</w:t>
            </w:r>
          </w:p>
          <w:p w:rsidR="006E4782" w:rsidRPr="009C00C2" w:rsidRDefault="006E4782" w:rsidP="006E4782">
            <w:pPr>
              <w:jc w:val="both"/>
              <w:rPr>
                <w:rFonts w:ascii="Times New Roman" w:eastAsia="Times New Roman" w:hAnsi="Times New Roman" w:cs="Times New Roman"/>
                <w:b/>
                <w:sz w:val="20"/>
                <w:szCs w:val="20"/>
              </w:rPr>
            </w:pPr>
            <w:r w:rsidRPr="009C00C2">
              <w:rPr>
                <w:rFonts w:ascii="Times New Roman" w:eastAsia="Times New Roman" w:hAnsi="Times New Roman" w:cs="Times New Roman"/>
                <w:b/>
                <w:sz w:val="20"/>
                <w:szCs w:val="20"/>
              </w:rPr>
              <w:t>60 -100</w:t>
            </w:r>
          </w:p>
        </w:tc>
      </w:tr>
      <w:tr w:rsidR="0052600E" w:rsidRPr="00773E68" w:rsidTr="00B47BFB">
        <w:trPr>
          <w:trHeight w:val="134"/>
          <w:jc w:val="center"/>
        </w:trPr>
        <w:tc>
          <w:tcPr>
            <w:tcW w:w="1501" w:type="dxa"/>
            <w:vMerge w:val="restart"/>
          </w:tcPr>
          <w:p w:rsidR="0052600E" w:rsidRPr="00773E68" w:rsidRDefault="0052600E" w:rsidP="00773E68">
            <w:pPr>
              <w:jc w:val="both"/>
              <w:rPr>
                <w:rFonts w:ascii="Times New Roman" w:eastAsia="Times New Roman" w:hAnsi="Times New Roman" w:cs="Times New Roman"/>
                <w:b/>
                <w:sz w:val="24"/>
                <w:szCs w:val="24"/>
              </w:rPr>
            </w:pPr>
          </w:p>
          <w:p w:rsidR="0052600E" w:rsidRPr="00773E68" w:rsidRDefault="0052600E" w:rsidP="00773E68">
            <w:pPr>
              <w:jc w:val="both"/>
              <w:rPr>
                <w:rFonts w:ascii="Times New Roman" w:eastAsia="Times New Roman" w:hAnsi="Times New Roman" w:cs="Times New Roman"/>
                <w:b/>
                <w:sz w:val="24"/>
                <w:szCs w:val="24"/>
              </w:rPr>
            </w:pPr>
          </w:p>
          <w:p w:rsidR="0052600E" w:rsidRPr="00773E68" w:rsidRDefault="0052600E" w:rsidP="00773E68">
            <w:pPr>
              <w:jc w:val="both"/>
              <w:rPr>
                <w:rFonts w:ascii="Times New Roman" w:eastAsia="Times New Roman" w:hAnsi="Times New Roman" w:cs="Times New Roman"/>
                <w:b/>
                <w:sz w:val="24"/>
                <w:szCs w:val="24"/>
              </w:rPr>
            </w:pPr>
          </w:p>
          <w:p w:rsidR="0052600E" w:rsidRPr="00773E68" w:rsidRDefault="0052600E" w:rsidP="00773E6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Kombinati </w:t>
            </w:r>
            <w:r w:rsidRPr="00773E68">
              <w:rPr>
                <w:rFonts w:ascii="Times New Roman" w:eastAsia="Times New Roman" w:hAnsi="Times New Roman" w:cs="Times New Roman"/>
                <w:b/>
                <w:sz w:val="24"/>
                <w:szCs w:val="24"/>
              </w:rPr>
              <w:t>Metalurgjik</w:t>
            </w:r>
          </w:p>
          <w:p w:rsidR="0052600E" w:rsidRPr="00773E68" w:rsidRDefault="0052600E" w:rsidP="00773E68">
            <w:pPr>
              <w:jc w:val="both"/>
              <w:rPr>
                <w:rFonts w:ascii="Times New Roman" w:eastAsia="Times New Roman" w:hAnsi="Times New Roman" w:cs="Times New Roman"/>
                <w:b/>
                <w:sz w:val="24"/>
                <w:szCs w:val="24"/>
              </w:rPr>
            </w:pPr>
          </w:p>
          <w:p w:rsidR="0052600E" w:rsidRPr="00773E68" w:rsidRDefault="0052600E" w:rsidP="00773E68">
            <w:pPr>
              <w:jc w:val="both"/>
              <w:rPr>
                <w:rFonts w:ascii="Times New Roman" w:eastAsia="Times New Roman" w:hAnsi="Times New Roman" w:cs="Times New Roman"/>
                <w:b/>
                <w:sz w:val="24"/>
                <w:szCs w:val="24"/>
              </w:rPr>
            </w:pPr>
            <w:r w:rsidRPr="00773E68">
              <w:rPr>
                <w:rFonts w:ascii="Times New Roman" w:eastAsia="Times New Roman" w:hAnsi="Times New Roman" w:cs="Times New Roman"/>
                <w:b/>
                <w:sz w:val="24"/>
                <w:szCs w:val="24"/>
              </w:rPr>
              <w:t>Elbasan 3</w:t>
            </w:r>
          </w:p>
          <w:p w:rsidR="0052600E" w:rsidRPr="00773E68" w:rsidRDefault="0052600E" w:rsidP="00773E68">
            <w:pPr>
              <w:jc w:val="both"/>
              <w:rPr>
                <w:rFonts w:ascii="Times New Roman" w:eastAsia="Times New Roman" w:hAnsi="Times New Roman" w:cs="Times New Roman"/>
                <w:b/>
                <w:sz w:val="24"/>
                <w:szCs w:val="24"/>
              </w:rPr>
            </w:pPr>
          </w:p>
        </w:tc>
        <w:tc>
          <w:tcPr>
            <w:tcW w:w="920" w:type="dxa"/>
          </w:tcPr>
          <w:p w:rsidR="0052600E" w:rsidRPr="00773E68" w:rsidRDefault="0052600E"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296" w:type="dxa"/>
          </w:tcPr>
          <w:p w:rsidR="0052600E" w:rsidRPr="0052600E" w:rsidRDefault="0052600E" w:rsidP="00773E68">
            <w:pPr>
              <w:jc w:val="both"/>
              <w:rPr>
                <w:rFonts w:ascii="Times New Roman" w:eastAsia="Times New Roman" w:hAnsi="Times New Roman" w:cs="Times New Roman"/>
                <w:lang w:val="it-IT"/>
              </w:rPr>
            </w:pPr>
            <w:r w:rsidRPr="0052600E">
              <w:rPr>
                <w:rFonts w:ascii="Times New Roman" w:eastAsia="Times New Roman" w:hAnsi="Times New Roman" w:cs="Times New Roman"/>
                <w:lang w:val="it-IT"/>
              </w:rPr>
              <w:t>mg/ kg  tokë e thatë</w:t>
            </w:r>
          </w:p>
        </w:tc>
        <w:tc>
          <w:tcPr>
            <w:tcW w:w="864" w:type="dxa"/>
          </w:tcPr>
          <w:p w:rsidR="0052600E" w:rsidRPr="00773E68" w:rsidRDefault="0052600E"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99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0-48</w:t>
            </w:r>
          </w:p>
        </w:tc>
        <w:tc>
          <w:tcPr>
            <w:tcW w:w="108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0.40</w:t>
            </w:r>
          </w:p>
        </w:tc>
        <w:tc>
          <w:tcPr>
            <w:tcW w:w="108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0.35</w:t>
            </w:r>
          </w:p>
        </w:tc>
        <w:tc>
          <w:tcPr>
            <w:tcW w:w="270" w:type="dxa"/>
          </w:tcPr>
          <w:p w:rsidR="0052600E" w:rsidRPr="00773E68" w:rsidRDefault="0052600E" w:rsidP="00773E68">
            <w:pPr>
              <w:jc w:val="both"/>
              <w:rPr>
                <w:rFonts w:ascii="Times New Roman" w:eastAsia="Times New Roman" w:hAnsi="Times New Roman" w:cs="Times New Roman"/>
                <w:sz w:val="24"/>
                <w:szCs w:val="24"/>
              </w:rPr>
            </w:pPr>
          </w:p>
        </w:tc>
        <w:tc>
          <w:tcPr>
            <w:tcW w:w="81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0-48</w:t>
            </w:r>
          </w:p>
        </w:tc>
        <w:tc>
          <w:tcPr>
            <w:tcW w:w="81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0-39</w:t>
            </w:r>
          </w:p>
        </w:tc>
        <w:tc>
          <w:tcPr>
            <w:tcW w:w="918"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0-42</w:t>
            </w:r>
          </w:p>
        </w:tc>
      </w:tr>
      <w:tr w:rsidR="0052600E" w:rsidRPr="00773E68" w:rsidTr="00B47BFB">
        <w:trPr>
          <w:jc w:val="center"/>
        </w:trPr>
        <w:tc>
          <w:tcPr>
            <w:tcW w:w="1501" w:type="dxa"/>
            <w:vMerge/>
          </w:tcPr>
          <w:p w:rsidR="0052600E" w:rsidRPr="00773E68" w:rsidRDefault="0052600E" w:rsidP="00773E68">
            <w:pPr>
              <w:jc w:val="both"/>
              <w:rPr>
                <w:rFonts w:ascii="Times New Roman" w:eastAsia="Times New Roman" w:hAnsi="Times New Roman" w:cs="Times New Roman"/>
                <w:b/>
                <w:sz w:val="24"/>
                <w:szCs w:val="24"/>
              </w:rPr>
            </w:pPr>
          </w:p>
        </w:tc>
        <w:tc>
          <w:tcPr>
            <w:tcW w:w="920" w:type="dxa"/>
          </w:tcPr>
          <w:p w:rsidR="0052600E" w:rsidRPr="00773E68" w:rsidRDefault="0052600E"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296" w:type="dxa"/>
          </w:tcPr>
          <w:p w:rsidR="0052600E" w:rsidRPr="0052600E" w:rsidRDefault="0052600E" w:rsidP="00773E68">
            <w:pPr>
              <w:jc w:val="both"/>
              <w:rPr>
                <w:rFonts w:ascii="Times New Roman" w:eastAsia="Times New Roman" w:hAnsi="Times New Roman" w:cs="Times New Roman"/>
                <w:lang w:val="it-IT"/>
              </w:rPr>
            </w:pPr>
            <w:r w:rsidRPr="0052600E">
              <w:rPr>
                <w:rFonts w:ascii="Times New Roman" w:eastAsia="Times New Roman" w:hAnsi="Times New Roman" w:cs="Times New Roman"/>
                <w:lang w:val="it-IT"/>
              </w:rPr>
              <w:t>mg/ kg  tokë e thatë</w:t>
            </w:r>
          </w:p>
        </w:tc>
        <w:tc>
          <w:tcPr>
            <w:tcW w:w="864" w:type="dxa"/>
          </w:tcPr>
          <w:p w:rsidR="0052600E" w:rsidRPr="00773E68" w:rsidRDefault="0052600E"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99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0.32</w:t>
            </w:r>
          </w:p>
        </w:tc>
        <w:tc>
          <w:tcPr>
            <w:tcW w:w="108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0.37</w:t>
            </w:r>
          </w:p>
        </w:tc>
        <w:tc>
          <w:tcPr>
            <w:tcW w:w="108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0.43</w:t>
            </w:r>
          </w:p>
        </w:tc>
        <w:tc>
          <w:tcPr>
            <w:tcW w:w="270" w:type="dxa"/>
          </w:tcPr>
          <w:p w:rsidR="0052600E" w:rsidRPr="00773E68" w:rsidRDefault="0052600E" w:rsidP="00773E68">
            <w:pPr>
              <w:jc w:val="both"/>
              <w:rPr>
                <w:rFonts w:ascii="Times New Roman" w:eastAsia="Times New Roman" w:hAnsi="Times New Roman" w:cs="Times New Roman"/>
                <w:sz w:val="24"/>
                <w:szCs w:val="24"/>
              </w:rPr>
            </w:pPr>
          </w:p>
        </w:tc>
        <w:tc>
          <w:tcPr>
            <w:tcW w:w="81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0.31</w:t>
            </w:r>
          </w:p>
        </w:tc>
        <w:tc>
          <w:tcPr>
            <w:tcW w:w="81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0.28</w:t>
            </w:r>
          </w:p>
        </w:tc>
        <w:tc>
          <w:tcPr>
            <w:tcW w:w="918"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0.25</w:t>
            </w:r>
          </w:p>
        </w:tc>
      </w:tr>
      <w:tr w:rsidR="0052600E" w:rsidRPr="00773E68" w:rsidTr="00B47BFB">
        <w:trPr>
          <w:jc w:val="center"/>
        </w:trPr>
        <w:tc>
          <w:tcPr>
            <w:tcW w:w="1501" w:type="dxa"/>
            <w:vMerge/>
          </w:tcPr>
          <w:p w:rsidR="0052600E" w:rsidRPr="00773E68" w:rsidRDefault="0052600E" w:rsidP="00773E68">
            <w:pPr>
              <w:jc w:val="both"/>
              <w:rPr>
                <w:rFonts w:ascii="Times New Roman" w:eastAsia="Times New Roman" w:hAnsi="Times New Roman" w:cs="Times New Roman"/>
                <w:b/>
                <w:sz w:val="24"/>
                <w:szCs w:val="24"/>
              </w:rPr>
            </w:pPr>
          </w:p>
        </w:tc>
        <w:tc>
          <w:tcPr>
            <w:tcW w:w="920" w:type="dxa"/>
          </w:tcPr>
          <w:p w:rsidR="0052600E" w:rsidRPr="00773E68" w:rsidRDefault="0052600E"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296" w:type="dxa"/>
          </w:tcPr>
          <w:p w:rsidR="0052600E" w:rsidRPr="0052600E" w:rsidRDefault="0052600E" w:rsidP="00773E68">
            <w:pPr>
              <w:jc w:val="both"/>
              <w:rPr>
                <w:rFonts w:ascii="Times New Roman" w:eastAsia="Times New Roman" w:hAnsi="Times New Roman" w:cs="Times New Roman"/>
                <w:lang w:val="it-IT"/>
              </w:rPr>
            </w:pPr>
            <w:r w:rsidRPr="0052600E">
              <w:rPr>
                <w:rFonts w:ascii="Times New Roman" w:eastAsia="Times New Roman" w:hAnsi="Times New Roman" w:cs="Times New Roman"/>
                <w:lang w:val="it-IT"/>
              </w:rPr>
              <w:t>mg/ kg  tokë e thatë</w:t>
            </w:r>
          </w:p>
        </w:tc>
        <w:tc>
          <w:tcPr>
            <w:tcW w:w="864" w:type="dxa"/>
          </w:tcPr>
          <w:p w:rsidR="0052600E" w:rsidRPr="00773E68" w:rsidRDefault="0052600E"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99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0.52</w:t>
            </w:r>
          </w:p>
        </w:tc>
        <w:tc>
          <w:tcPr>
            <w:tcW w:w="108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0.44</w:t>
            </w:r>
          </w:p>
        </w:tc>
        <w:tc>
          <w:tcPr>
            <w:tcW w:w="108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0.42</w:t>
            </w:r>
          </w:p>
        </w:tc>
        <w:tc>
          <w:tcPr>
            <w:tcW w:w="270" w:type="dxa"/>
          </w:tcPr>
          <w:p w:rsidR="0052600E" w:rsidRPr="00773E68" w:rsidRDefault="0052600E" w:rsidP="00773E68">
            <w:pPr>
              <w:jc w:val="both"/>
              <w:rPr>
                <w:rFonts w:ascii="Times New Roman" w:eastAsia="Times New Roman" w:hAnsi="Times New Roman" w:cs="Times New Roman"/>
                <w:sz w:val="24"/>
                <w:szCs w:val="24"/>
              </w:rPr>
            </w:pPr>
          </w:p>
        </w:tc>
        <w:tc>
          <w:tcPr>
            <w:tcW w:w="81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0-58</w:t>
            </w:r>
          </w:p>
        </w:tc>
        <w:tc>
          <w:tcPr>
            <w:tcW w:w="81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0-53</w:t>
            </w:r>
          </w:p>
        </w:tc>
        <w:tc>
          <w:tcPr>
            <w:tcW w:w="918"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0-46</w:t>
            </w:r>
          </w:p>
        </w:tc>
      </w:tr>
      <w:tr w:rsidR="0052600E" w:rsidRPr="00773E68" w:rsidTr="00B47BFB">
        <w:trPr>
          <w:jc w:val="center"/>
        </w:trPr>
        <w:tc>
          <w:tcPr>
            <w:tcW w:w="1501" w:type="dxa"/>
            <w:vMerge/>
          </w:tcPr>
          <w:p w:rsidR="0052600E" w:rsidRPr="00773E68" w:rsidRDefault="0052600E" w:rsidP="00773E68">
            <w:pPr>
              <w:jc w:val="both"/>
              <w:rPr>
                <w:rFonts w:ascii="Times New Roman" w:eastAsia="Times New Roman" w:hAnsi="Times New Roman" w:cs="Times New Roman"/>
                <w:b/>
                <w:sz w:val="24"/>
                <w:szCs w:val="24"/>
              </w:rPr>
            </w:pPr>
          </w:p>
        </w:tc>
        <w:tc>
          <w:tcPr>
            <w:tcW w:w="920" w:type="dxa"/>
          </w:tcPr>
          <w:p w:rsidR="0052600E" w:rsidRPr="00773E68" w:rsidRDefault="0052600E"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296" w:type="dxa"/>
          </w:tcPr>
          <w:p w:rsidR="0052600E" w:rsidRPr="0052600E" w:rsidRDefault="0052600E" w:rsidP="00773E68">
            <w:pPr>
              <w:jc w:val="both"/>
              <w:rPr>
                <w:rFonts w:ascii="Times New Roman" w:eastAsia="Times New Roman" w:hAnsi="Times New Roman" w:cs="Times New Roman"/>
                <w:lang w:val="it-IT"/>
              </w:rPr>
            </w:pPr>
            <w:r w:rsidRPr="0052600E">
              <w:rPr>
                <w:rFonts w:ascii="Times New Roman" w:eastAsia="Times New Roman" w:hAnsi="Times New Roman" w:cs="Times New Roman"/>
                <w:lang w:val="it-IT"/>
              </w:rPr>
              <w:t>mg/ kg  tokë e thatë</w:t>
            </w:r>
          </w:p>
        </w:tc>
        <w:tc>
          <w:tcPr>
            <w:tcW w:w="864" w:type="dxa"/>
          </w:tcPr>
          <w:p w:rsidR="0052600E" w:rsidRPr="00773E68" w:rsidRDefault="0052600E"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99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6.1</w:t>
            </w:r>
          </w:p>
        </w:tc>
        <w:tc>
          <w:tcPr>
            <w:tcW w:w="108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5.7</w:t>
            </w:r>
          </w:p>
        </w:tc>
        <w:tc>
          <w:tcPr>
            <w:tcW w:w="108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4.3</w:t>
            </w:r>
          </w:p>
        </w:tc>
        <w:tc>
          <w:tcPr>
            <w:tcW w:w="270" w:type="dxa"/>
          </w:tcPr>
          <w:p w:rsidR="0052600E" w:rsidRPr="00773E68" w:rsidRDefault="0052600E" w:rsidP="00773E68">
            <w:pPr>
              <w:jc w:val="both"/>
              <w:rPr>
                <w:rFonts w:ascii="Times New Roman" w:eastAsia="Times New Roman" w:hAnsi="Times New Roman" w:cs="Times New Roman"/>
                <w:sz w:val="24"/>
                <w:szCs w:val="24"/>
              </w:rPr>
            </w:pPr>
          </w:p>
        </w:tc>
        <w:tc>
          <w:tcPr>
            <w:tcW w:w="81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5.6</w:t>
            </w:r>
          </w:p>
        </w:tc>
        <w:tc>
          <w:tcPr>
            <w:tcW w:w="81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4.8</w:t>
            </w:r>
          </w:p>
        </w:tc>
        <w:tc>
          <w:tcPr>
            <w:tcW w:w="918"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4.6</w:t>
            </w:r>
          </w:p>
        </w:tc>
      </w:tr>
      <w:tr w:rsidR="0052600E" w:rsidRPr="00773E68" w:rsidTr="00B47BFB">
        <w:trPr>
          <w:jc w:val="center"/>
        </w:trPr>
        <w:tc>
          <w:tcPr>
            <w:tcW w:w="1501" w:type="dxa"/>
            <w:vMerge/>
          </w:tcPr>
          <w:p w:rsidR="0052600E" w:rsidRPr="00773E68" w:rsidRDefault="0052600E" w:rsidP="00773E68">
            <w:pPr>
              <w:jc w:val="both"/>
              <w:rPr>
                <w:rFonts w:ascii="Times New Roman" w:eastAsia="Times New Roman" w:hAnsi="Times New Roman" w:cs="Times New Roman"/>
                <w:b/>
                <w:sz w:val="24"/>
                <w:szCs w:val="24"/>
              </w:rPr>
            </w:pPr>
          </w:p>
        </w:tc>
        <w:tc>
          <w:tcPr>
            <w:tcW w:w="920" w:type="dxa"/>
          </w:tcPr>
          <w:p w:rsidR="0052600E" w:rsidRPr="00773E68" w:rsidRDefault="0052600E"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296" w:type="dxa"/>
          </w:tcPr>
          <w:p w:rsidR="0052600E" w:rsidRPr="0052600E" w:rsidRDefault="0052600E" w:rsidP="00773E68">
            <w:pPr>
              <w:jc w:val="both"/>
              <w:rPr>
                <w:rFonts w:ascii="Times New Roman" w:eastAsia="Times New Roman" w:hAnsi="Times New Roman" w:cs="Times New Roman"/>
                <w:lang w:val="it-IT"/>
              </w:rPr>
            </w:pPr>
            <w:r w:rsidRPr="0052600E">
              <w:rPr>
                <w:rFonts w:ascii="Times New Roman" w:eastAsia="Times New Roman" w:hAnsi="Times New Roman" w:cs="Times New Roman"/>
                <w:lang w:val="it-IT"/>
              </w:rPr>
              <w:t>mg/ kg  tokë e thatë</w:t>
            </w:r>
          </w:p>
        </w:tc>
        <w:tc>
          <w:tcPr>
            <w:tcW w:w="864" w:type="dxa"/>
          </w:tcPr>
          <w:p w:rsidR="0052600E" w:rsidRPr="00773E68" w:rsidRDefault="0052600E"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99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128</w:t>
            </w:r>
          </w:p>
        </w:tc>
        <w:tc>
          <w:tcPr>
            <w:tcW w:w="108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123</w:t>
            </w:r>
          </w:p>
        </w:tc>
        <w:tc>
          <w:tcPr>
            <w:tcW w:w="108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95.4</w:t>
            </w:r>
          </w:p>
        </w:tc>
        <w:tc>
          <w:tcPr>
            <w:tcW w:w="270" w:type="dxa"/>
          </w:tcPr>
          <w:p w:rsidR="0052600E" w:rsidRPr="00773E68" w:rsidRDefault="0052600E" w:rsidP="00773E68">
            <w:pPr>
              <w:jc w:val="both"/>
              <w:rPr>
                <w:rFonts w:ascii="Times New Roman" w:eastAsia="Times New Roman" w:hAnsi="Times New Roman" w:cs="Times New Roman"/>
                <w:sz w:val="24"/>
                <w:szCs w:val="24"/>
              </w:rPr>
            </w:pPr>
          </w:p>
        </w:tc>
        <w:tc>
          <w:tcPr>
            <w:tcW w:w="81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115</w:t>
            </w:r>
          </w:p>
        </w:tc>
        <w:tc>
          <w:tcPr>
            <w:tcW w:w="81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96</w:t>
            </w:r>
          </w:p>
        </w:tc>
        <w:tc>
          <w:tcPr>
            <w:tcW w:w="918"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94.6</w:t>
            </w:r>
          </w:p>
        </w:tc>
      </w:tr>
      <w:tr w:rsidR="0052600E" w:rsidRPr="00773E68" w:rsidTr="00B47BFB">
        <w:trPr>
          <w:jc w:val="center"/>
        </w:trPr>
        <w:tc>
          <w:tcPr>
            <w:tcW w:w="1501" w:type="dxa"/>
            <w:vMerge/>
          </w:tcPr>
          <w:p w:rsidR="0052600E" w:rsidRPr="00773E68" w:rsidRDefault="0052600E" w:rsidP="00773E68">
            <w:pPr>
              <w:jc w:val="both"/>
              <w:rPr>
                <w:rFonts w:ascii="Times New Roman" w:eastAsia="Times New Roman" w:hAnsi="Times New Roman" w:cs="Times New Roman"/>
                <w:b/>
                <w:sz w:val="24"/>
                <w:szCs w:val="24"/>
              </w:rPr>
            </w:pPr>
          </w:p>
        </w:tc>
        <w:tc>
          <w:tcPr>
            <w:tcW w:w="920" w:type="dxa"/>
          </w:tcPr>
          <w:p w:rsidR="0052600E" w:rsidRPr="00773E68" w:rsidRDefault="0052600E"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296" w:type="dxa"/>
          </w:tcPr>
          <w:p w:rsidR="0052600E" w:rsidRPr="0052600E" w:rsidRDefault="0052600E" w:rsidP="00773E68">
            <w:pPr>
              <w:jc w:val="both"/>
              <w:rPr>
                <w:rFonts w:ascii="Times New Roman" w:eastAsia="Times New Roman" w:hAnsi="Times New Roman" w:cs="Times New Roman"/>
                <w:lang w:val="it-IT"/>
              </w:rPr>
            </w:pPr>
            <w:r w:rsidRPr="0052600E">
              <w:rPr>
                <w:rFonts w:ascii="Times New Roman" w:eastAsia="Times New Roman" w:hAnsi="Times New Roman" w:cs="Times New Roman"/>
                <w:lang w:val="it-IT"/>
              </w:rPr>
              <w:t>mg/ kg  tokë e thatë</w:t>
            </w:r>
          </w:p>
        </w:tc>
        <w:tc>
          <w:tcPr>
            <w:tcW w:w="864" w:type="dxa"/>
          </w:tcPr>
          <w:p w:rsidR="0052600E" w:rsidRPr="00773E68" w:rsidRDefault="0052600E"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99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0.95</w:t>
            </w:r>
          </w:p>
        </w:tc>
        <w:tc>
          <w:tcPr>
            <w:tcW w:w="108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0.82</w:t>
            </w:r>
          </w:p>
        </w:tc>
        <w:tc>
          <w:tcPr>
            <w:tcW w:w="108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0.73</w:t>
            </w:r>
          </w:p>
        </w:tc>
        <w:tc>
          <w:tcPr>
            <w:tcW w:w="270" w:type="dxa"/>
          </w:tcPr>
          <w:p w:rsidR="0052600E" w:rsidRPr="00773E68" w:rsidRDefault="0052600E" w:rsidP="00773E68">
            <w:pPr>
              <w:jc w:val="both"/>
              <w:rPr>
                <w:rFonts w:ascii="Times New Roman" w:eastAsia="Times New Roman" w:hAnsi="Times New Roman" w:cs="Times New Roman"/>
                <w:sz w:val="24"/>
                <w:szCs w:val="24"/>
              </w:rPr>
            </w:pPr>
          </w:p>
        </w:tc>
        <w:tc>
          <w:tcPr>
            <w:tcW w:w="81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0.94</w:t>
            </w:r>
          </w:p>
        </w:tc>
        <w:tc>
          <w:tcPr>
            <w:tcW w:w="810"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0.86</w:t>
            </w:r>
          </w:p>
        </w:tc>
        <w:tc>
          <w:tcPr>
            <w:tcW w:w="918" w:type="dxa"/>
          </w:tcPr>
          <w:p w:rsidR="0052600E" w:rsidRPr="00773E68" w:rsidRDefault="0052600E"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0.78</w:t>
            </w:r>
          </w:p>
        </w:tc>
      </w:tr>
      <w:tr w:rsidR="0052600E" w:rsidRPr="00773E68" w:rsidTr="00B47BFB">
        <w:trPr>
          <w:jc w:val="center"/>
        </w:trPr>
        <w:tc>
          <w:tcPr>
            <w:tcW w:w="1501" w:type="dxa"/>
            <w:vMerge/>
          </w:tcPr>
          <w:p w:rsidR="0052600E" w:rsidRPr="00773E68" w:rsidRDefault="0052600E" w:rsidP="00CE1E06">
            <w:pPr>
              <w:jc w:val="both"/>
              <w:rPr>
                <w:rFonts w:ascii="Times New Roman" w:eastAsia="Times New Roman" w:hAnsi="Times New Roman" w:cs="Times New Roman"/>
                <w:b/>
                <w:sz w:val="24"/>
                <w:szCs w:val="24"/>
              </w:rPr>
            </w:pPr>
          </w:p>
        </w:tc>
        <w:tc>
          <w:tcPr>
            <w:tcW w:w="920" w:type="dxa"/>
          </w:tcPr>
          <w:p w:rsidR="0052600E" w:rsidRPr="00773E68" w:rsidRDefault="0052600E" w:rsidP="00CE1E06">
            <w:pPr>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Mn</w:t>
            </w:r>
          </w:p>
        </w:tc>
        <w:tc>
          <w:tcPr>
            <w:tcW w:w="1296" w:type="dxa"/>
          </w:tcPr>
          <w:p w:rsidR="0052600E" w:rsidRPr="0052600E" w:rsidRDefault="0052600E" w:rsidP="00CE1E06">
            <w:pPr>
              <w:jc w:val="both"/>
              <w:rPr>
                <w:rFonts w:ascii="Times New Roman" w:eastAsia="Times New Roman" w:hAnsi="Times New Roman" w:cs="Times New Roman"/>
                <w:lang w:val="it-IT"/>
              </w:rPr>
            </w:pPr>
            <w:r w:rsidRPr="0052600E">
              <w:rPr>
                <w:rFonts w:ascii="Times New Roman" w:eastAsia="Times New Roman" w:hAnsi="Times New Roman" w:cs="Times New Roman"/>
                <w:lang w:val="it-IT"/>
              </w:rPr>
              <w:t>mg/ kg  tokë e thatë</w:t>
            </w:r>
          </w:p>
        </w:tc>
        <w:tc>
          <w:tcPr>
            <w:tcW w:w="864" w:type="dxa"/>
          </w:tcPr>
          <w:p w:rsidR="0052600E" w:rsidRPr="00773E68" w:rsidRDefault="0052600E" w:rsidP="00CE1E06">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990" w:type="dxa"/>
          </w:tcPr>
          <w:p w:rsidR="0052600E" w:rsidRPr="00773E68" w:rsidRDefault="0052600E" w:rsidP="00CE1E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0.48</w:t>
            </w:r>
          </w:p>
        </w:tc>
        <w:tc>
          <w:tcPr>
            <w:tcW w:w="1080" w:type="dxa"/>
          </w:tcPr>
          <w:p w:rsidR="0052600E" w:rsidRPr="00773E68" w:rsidRDefault="0052600E" w:rsidP="00CE1E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1080" w:type="dxa"/>
          </w:tcPr>
          <w:p w:rsidR="0052600E" w:rsidRPr="00773E68" w:rsidRDefault="0052600E" w:rsidP="00CE1E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0.35</w:t>
            </w:r>
          </w:p>
        </w:tc>
        <w:tc>
          <w:tcPr>
            <w:tcW w:w="270" w:type="dxa"/>
          </w:tcPr>
          <w:p w:rsidR="0052600E" w:rsidRPr="00773E68" w:rsidRDefault="0052600E" w:rsidP="00CE1E06">
            <w:pPr>
              <w:jc w:val="both"/>
              <w:rPr>
                <w:rFonts w:ascii="Times New Roman" w:eastAsia="Times New Roman" w:hAnsi="Times New Roman" w:cs="Times New Roman"/>
                <w:sz w:val="24"/>
                <w:szCs w:val="24"/>
              </w:rPr>
            </w:pPr>
          </w:p>
        </w:tc>
        <w:tc>
          <w:tcPr>
            <w:tcW w:w="810" w:type="dxa"/>
          </w:tcPr>
          <w:p w:rsidR="0052600E" w:rsidRPr="00773E68" w:rsidRDefault="0052600E" w:rsidP="00CE1E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0.48</w:t>
            </w:r>
          </w:p>
        </w:tc>
        <w:tc>
          <w:tcPr>
            <w:tcW w:w="810" w:type="dxa"/>
          </w:tcPr>
          <w:p w:rsidR="0052600E" w:rsidRPr="00773E68" w:rsidRDefault="0052600E" w:rsidP="00CE1E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0.39</w:t>
            </w:r>
          </w:p>
        </w:tc>
        <w:tc>
          <w:tcPr>
            <w:tcW w:w="918" w:type="dxa"/>
          </w:tcPr>
          <w:p w:rsidR="0052600E" w:rsidRPr="00773E68" w:rsidRDefault="0052600E" w:rsidP="00CE1E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0.42</w:t>
            </w:r>
          </w:p>
        </w:tc>
      </w:tr>
    </w:tbl>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p w:rsidR="00773E68" w:rsidRPr="00773E68" w:rsidRDefault="008C0EAC" w:rsidP="00773E68">
      <w:pPr>
        <w:spacing w:after="0" w:line="24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Referuar vlerave të treguesve të</w:t>
      </w:r>
      <w:r w:rsidR="00773E68" w:rsidRPr="00773E68">
        <w:rPr>
          <w:rFonts w:ascii="Times New Roman" w:eastAsia="Times New Roman" w:hAnsi="Times New Roman" w:cs="Times New Roman"/>
          <w:sz w:val="24"/>
          <w:szCs w:val="24"/>
          <w:lang w:val="it-IT"/>
        </w:rPr>
        <w:t xml:space="preserve"> paraqitur në tabelën e mësipërme, </w:t>
      </w:r>
      <w:r>
        <w:rPr>
          <w:rFonts w:ascii="Times New Roman" w:eastAsia="Times New Roman" w:hAnsi="Times New Roman" w:cs="Times New Roman"/>
          <w:sz w:val="24"/>
          <w:szCs w:val="24"/>
          <w:lang w:val="it-IT"/>
        </w:rPr>
        <w:t>vlerësohet se janë brenda normave dhe nuk paraqitet ndotje.</w:t>
      </w:r>
      <w:r w:rsidR="009D31B3">
        <w:rPr>
          <w:rFonts w:ascii="Times New Roman" w:eastAsia="Times New Roman" w:hAnsi="Times New Roman" w:cs="Times New Roman"/>
          <w:sz w:val="24"/>
          <w:szCs w:val="24"/>
          <w:lang w:val="it-IT"/>
        </w:rPr>
        <w:t xml:space="preserve"> Brenda territorit vlerat e treguesve janë më të larta, </w:t>
      </w:r>
      <w:r>
        <w:rPr>
          <w:rFonts w:ascii="Times New Roman" w:eastAsia="Times New Roman" w:hAnsi="Times New Roman" w:cs="Times New Roman"/>
          <w:sz w:val="24"/>
          <w:szCs w:val="24"/>
          <w:lang w:val="it-IT"/>
        </w:rPr>
        <w:t xml:space="preserve"> </w:t>
      </w:r>
      <w:r w:rsidR="009D31B3">
        <w:rPr>
          <w:rFonts w:ascii="Times New Roman" w:eastAsia="Times New Roman" w:hAnsi="Times New Roman" w:cs="Times New Roman"/>
          <w:sz w:val="24"/>
          <w:szCs w:val="24"/>
          <w:lang w:val="it-IT"/>
        </w:rPr>
        <w:t xml:space="preserve">ndërsa në distancë jashtë territorit </w:t>
      </w:r>
      <w:r w:rsidR="00773E68" w:rsidRPr="00773E68">
        <w:rPr>
          <w:rFonts w:ascii="Times New Roman" w:eastAsia="Times New Roman" w:hAnsi="Times New Roman" w:cs="Times New Roman"/>
          <w:sz w:val="24"/>
          <w:szCs w:val="24"/>
          <w:lang w:val="it-IT"/>
        </w:rPr>
        <w:t>kemi një tende</w:t>
      </w:r>
      <w:r w:rsidR="00CE44F5">
        <w:rPr>
          <w:rFonts w:ascii="Times New Roman" w:eastAsia="Times New Roman" w:hAnsi="Times New Roman" w:cs="Times New Roman"/>
          <w:sz w:val="24"/>
          <w:szCs w:val="24"/>
          <w:lang w:val="it-IT"/>
        </w:rPr>
        <w:t>n</w:t>
      </w:r>
      <w:r w:rsidR="00773E68" w:rsidRPr="00773E68">
        <w:rPr>
          <w:rFonts w:ascii="Times New Roman" w:eastAsia="Times New Roman" w:hAnsi="Times New Roman" w:cs="Times New Roman"/>
          <w:sz w:val="24"/>
          <w:szCs w:val="24"/>
          <w:lang w:val="it-IT"/>
        </w:rPr>
        <w:t>cë në zbritje të treguesëve, gjë që tregon që lëvizshmëria apo depozitimi në thellësi të tokës është më i vogël, pra kemi një përqëndrim më të madh në shtresën e sipërme, kjo shpjegohet, me tipin e tokës e cila përgjithësisht është argjilore, sidomos në pjesën e pjerrët dhe është më pak e depërtueshme nga ujërat e shirave. Ato më shumë rrëshqasin në sipërfaqe se sa depërtojnë në thellësi,  për efekt të pjer</w:t>
      </w:r>
      <w:r w:rsidR="00CE44F5">
        <w:rPr>
          <w:rFonts w:ascii="Times New Roman" w:eastAsia="Times New Roman" w:hAnsi="Times New Roman" w:cs="Times New Roman"/>
          <w:sz w:val="24"/>
          <w:szCs w:val="24"/>
          <w:lang w:val="it-IT"/>
        </w:rPr>
        <w:t>r</w:t>
      </w:r>
      <w:r w:rsidR="00773E68" w:rsidRPr="00773E68">
        <w:rPr>
          <w:rFonts w:ascii="Times New Roman" w:eastAsia="Times New Roman" w:hAnsi="Times New Roman" w:cs="Times New Roman"/>
          <w:sz w:val="24"/>
          <w:szCs w:val="24"/>
          <w:lang w:val="it-IT"/>
        </w:rPr>
        <w:t>ësisë relativisht të madhe.</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 xml:space="preserve">Të gjithë treguesit janë brenda normave të lejuara dhe </w:t>
      </w:r>
      <w:r w:rsidR="009D31B3">
        <w:rPr>
          <w:rFonts w:ascii="Times New Roman" w:eastAsia="Times New Roman" w:hAnsi="Times New Roman" w:cs="Times New Roman"/>
          <w:sz w:val="24"/>
          <w:szCs w:val="24"/>
          <w:lang w:val="it-IT"/>
        </w:rPr>
        <w:t>nuk përbëjnë problem për ndotje të mjedisit.</w:t>
      </w:r>
    </w:p>
    <w:p w:rsidR="00773E68" w:rsidRDefault="00773E68" w:rsidP="00773E68">
      <w:pPr>
        <w:spacing w:after="0" w:line="240" w:lineRule="auto"/>
        <w:jc w:val="both"/>
        <w:rPr>
          <w:rFonts w:ascii="Times New Roman" w:eastAsia="Times New Roman" w:hAnsi="Times New Roman" w:cs="Times New Roman"/>
          <w:sz w:val="24"/>
          <w:szCs w:val="24"/>
          <w:lang w:val="it-IT"/>
        </w:rPr>
      </w:pPr>
    </w:p>
    <w:p w:rsidR="00CE44F5" w:rsidRDefault="00CE44F5" w:rsidP="00773E68">
      <w:pPr>
        <w:spacing w:after="0" w:line="240" w:lineRule="auto"/>
        <w:jc w:val="both"/>
        <w:rPr>
          <w:rFonts w:ascii="Times New Roman" w:eastAsia="Times New Roman" w:hAnsi="Times New Roman" w:cs="Times New Roman"/>
          <w:sz w:val="24"/>
          <w:szCs w:val="24"/>
          <w:lang w:val="it-IT"/>
        </w:rPr>
      </w:pPr>
    </w:p>
    <w:p w:rsidR="00CE44F5" w:rsidRPr="00773E68" w:rsidRDefault="00CE44F5" w:rsidP="00773E68">
      <w:pPr>
        <w:spacing w:after="0" w:line="240" w:lineRule="auto"/>
        <w:jc w:val="both"/>
        <w:rPr>
          <w:rFonts w:ascii="Times New Roman" w:eastAsia="Times New Roman" w:hAnsi="Times New Roman" w:cs="Times New Roman"/>
          <w:sz w:val="24"/>
          <w:szCs w:val="24"/>
          <w:lang w:val="it-IT"/>
        </w:rPr>
      </w:pPr>
    </w:p>
    <w:p w:rsidR="00773E68" w:rsidRPr="00B47BFB" w:rsidRDefault="00773E68" w:rsidP="00807975">
      <w:pPr>
        <w:pStyle w:val="ListParagraph"/>
        <w:numPr>
          <w:ilvl w:val="0"/>
          <w:numId w:val="96"/>
        </w:numPr>
        <w:spacing w:after="0" w:line="240" w:lineRule="auto"/>
        <w:jc w:val="both"/>
        <w:rPr>
          <w:rFonts w:ascii="Times New Roman" w:eastAsia="Times New Roman" w:hAnsi="Times New Roman" w:cs="Times New Roman"/>
          <w:sz w:val="24"/>
          <w:szCs w:val="24"/>
        </w:rPr>
      </w:pPr>
      <w:r w:rsidRPr="00B47BFB">
        <w:rPr>
          <w:rFonts w:ascii="Times New Roman" w:eastAsia="Times New Roman" w:hAnsi="Times New Roman" w:cs="Times New Roman"/>
          <w:b/>
          <w:sz w:val="24"/>
          <w:szCs w:val="24"/>
        </w:rPr>
        <w:lastRenderedPageBreak/>
        <w:t>Ish-Uzina e Superfosfatit Laç</w:t>
      </w:r>
      <w:r w:rsidRPr="00B47BFB">
        <w:rPr>
          <w:rFonts w:ascii="Times New Roman" w:eastAsia="Times New Roman" w:hAnsi="Times New Roman" w:cs="Times New Roman"/>
          <w:sz w:val="24"/>
          <w:szCs w:val="24"/>
        </w:rPr>
        <w:t xml:space="preserve"> </w:t>
      </w:r>
    </w:p>
    <w:p w:rsidR="00773E68" w:rsidRPr="00773E68" w:rsidRDefault="00773E68" w:rsidP="00773E68">
      <w:pPr>
        <w:spacing w:after="0" w:line="240" w:lineRule="auto"/>
        <w:jc w:val="both"/>
        <w:rPr>
          <w:rFonts w:ascii="Times New Roman" w:eastAsia="Times New Roman" w:hAnsi="Times New Roman" w:cs="Times New Roman"/>
          <w:sz w:val="24"/>
          <w:szCs w:val="24"/>
        </w:rPr>
      </w:pPr>
    </w:p>
    <w:p w:rsidR="00773E68" w:rsidRPr="00773E68" w:rsidRDefault="00773E68" w:rsidP="00773E68">
      <w:pPr>
        <w:spacing w:after="0" w:line="240" w:lineRule="auto"/>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 xml:space="preserve">Ish-Uzina e Superfofatit Laç shtrihet në hyrje të qytetit të Laçit, poshtë rrugës nacionale Milot  -Laç. Zona është totalisht e abandonuar ku dallohen ndërtesa të rrënuara, pirgje me dhera, mbeturina dhe objekte gjysëm të rrënuara. </w:t>
      </w:r>
    </w:p>
    <w:p w:rsidR="00773E68" w:rsidRPr="00773E68" w:rsidRDefault="00773E68" w:rsidP="00773E68">
      <w:pPr>
        <w:spacing w:after="0" w:line="240" w:lineRule="auto"/>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Në pjesën perëndimore të gjithë ish-komleksit evidentohen disa ndërtime private dhe blloqe relativisht të vogla të mbjella me ullinj, hardhi ose pemë të tjera frutore. Në dalje të ish-kom</w:t>
      </w:r>
      <w:r w:rsidR="00CE44F5">
        <w:rPr>
          <w:rFonts w:ascii="Times New Roman" w:eastAsia="Times New Roman" w:hAnsi="Times New Roman" w:cs="Times New Roman"/>
          <w:sz w:val="24"/>
          <w:szCs w:val="24"/>
        </w:rPr>
        <w:t>p</w:t>
      </w:r>
      <w:r w:rsidRPr="00773E68">
        <w:rPr>
          <w:rFonts w:ascii="Times New Roman" w:eastAsia="Times New Roman" w:hAnsi="Times New Roman" w:cs="Times New Roman"/>
          <w:sz w:val="24"/>
          <w:szCs w:val="24"/>
        </w:rPr>
        <w:t>leksit ka dhe aktivitete shërbimi si dhe një stallë e vogël me bagëti.</w:t>
      </w:r>
      <w:r w:rsidR="00CE44F5">
        <w:rPr>
          <w:rFonts w:ascii="Times New Roman" w:eastAsia="Times New Roman" w:hAnsi="Times New Roman" w:cs="Times New Roman"/>
          <w:sz w:val="24"/>
          <w:szCs w:val="24"/>
        </w:rPr>
        <w:t xml:space="preserve"> </w:t>
      </w:r>
      <w:r w:rsidRPr="00773E68">
        <w:rPr>
          <w:rFonts w:ascii="Times New Roman" w:eastAsia="Times New Roman" w:hAnsi="Times New Roman" w:cs="Times New Roman"/>
          <w:sz w:val="24"/>
          <w:szCs w:val="24"/>
        </w:rPr>
        <w:t xml:space="preserve">Bimësia përrreth nuk tregon problematikë. </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B47BFB" w:rsidRDefault="00773E68" w:rsidP="00B47BFB">
      <w:pPr>
        <w:spacing w:after="0" w:line="240" w:lineRule="auto"/>
        <w:jc w:val="center"/>
        <w:rPr>
          <w:rFonts w:ascii="Times New Roman" w:eastAsia="Times New Roman" w:hAnsi="Times New Roman" w:cs="Times New Roman"/>
          <w:sz w:val="24"/>
          <w:szCs w:val="24"/>
          <w:lang w:val="it-IT"/>
        </w:rPr>
      </w:pPr>
      <w:r w:rsidRPr="00B47BFB">
        <w:rPr>
          <w:rFonts w:ascii="Times New Roman" w:eastAsia="Times New Roman" w:hAnsi="Times New Roman" w:cs="Times New Roman"/>
          <w:sz w:val="24"/>
          <w:szCs w:val="24"/>
          <w:lang w:val="it-IT"/>
        </w:rPr>
        <w:t xml:space="preserve">Tabela </w:t>
      </w:r>
      <w:r w:rsidR="00681B50">
        <w:rPr>
          <w:rFonts w:ascii="Times New Roman" w:eastAsia="Times New Roman" w:hAnsi="Times New Roman" w:cs="Times New Roman"/>
          <w:sz w:val="24"/>
          <w:szCs w:val="24"/>
          <w:lang w:val="it-IT"/>
        </w:rPr>
        <w:t>47.</w:t>
      </w:r>
      <w:r w:rsidR="00B47BFB" w:rsidRPr="00B47BFB">
        <w:rPr>
          <w:rFonts w:ascii="Times New Roman" w:eastAsia="Times New Roman" w:hAnsi="Times New Roman" w:cs="Times New Roman"/>
          <w:sz w:val="24"/>
          <w:szCs w:val="24"/>
          <w:lang w:val="it-IT"/>
        </w:rPr>
        <w:t xml:space="preserve"> </w:t>
      </w:r>
      <w:r w:rsidR="00F66236">
        <w:rPr>
          <w:rFonts w:ascii="Times New Roman" w:eastAsia="Times New Roman" w:hAnsi="Times New Roman" w:cs="Times New Roman"/>
          <w:sz w:val="24"/>
          <w:szCs w:val="24"/>
          <w:lang w:val="it-IT"/>
        </w:rPr>
        <w:t xml:space="preserve"> </w:t>
      </w:r>
      <w:r w:rsidR="00681B50">
        <w:rPr>
          <w:rFonts w:ascii="Times New Roman" w:eastAsia="Times New Roman" w:hAnsi="Times New Roman" w:cs="Times New Roman"/>
          <w:sz w:val="24"/>
          <w:szCs w:val="24"/>
          <w:lang w:val="it-IT"/>
        </w:rPr>
        <w:t>T</w:t>
      </w:r>
      <w:r w:rsidR="00F66236">
        <w:rPr>
          <w:rFonts w:ascii="Times New Roman" w:eastAsia="Times New Roman" w:hAnsi="Times New Roman" w:cs="Times New Roman"/>
          <w:sz w:val="24"/>
          <w:szCs w:val="24"/>
          <w:lang w:val="it-IT"/>
        </w:rPr>
        <w:t>regues</w:t>
      </w:r>
      <w:r w:rsidR="00681B50">
        <w:rPr>
          <w:rFonts w:ascii="Times New Roman" w:eastAsia="Times New Roman" w:hAnsi="Times New Roman" w:cs="Times New Roman"/>
          <w:sz w:val="24"/>
          <w:szCs w:val="24"/>
          <w:lang w:val="it-IT"/>
        </w:rPr>
        <w:t>it e analizuar,</w:t>
      </w:r>
      <w:r w:rsidRPr="00B47BFB">
        <w:rPr>
          <w:rFonts w:ascii="Times New Roman" w:eastAsia="Times New Roman" w:hAnsi="Times New Roman" w:cs="Times New Roman"/>
          <w:sz w:val="24"/>
          <w:szCs w:val="24"/>
          <w:lang w:val="it-IT"/>
        </w:rPr>
        <w:t xml:space="preserve"> Ish-Uzina e Superfosfatit Laç</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tbl>
      <w:tblPr>
        <w:tblStyle w:val="TableGrid3"/>
        <w:tblW w:w="10695" w:type="dxa"/>
        <w:tblInd w:w="-522" w:type="dxa"/>
        <w:tblLayout w:type="fixed"/>
        <w:tblLook w:val="04A0" w:firstRow="1" w:lastRow="0" w:firstColumn="1" w:lastColumn="0" w:noHBand="0" w:noVBand="1"/>
      </w:tblPr>
      <w:tblGrid>
        <w:gridCol w:w="1440"/>
        <w:gridCol w:w="900"/>
        <w:gridCol w:w="1409"/>
        <w:gridCol w:w="709"/>
        <w:gridCol w:w="708"/>
        <w:gridCol w:w="709"/>
        <w:gridCol w:w="709"/>
        <w:gridCol w:w="850"/>
        <w:gridCol w:w="851"/>
        <w:gridCol w:w="850"/>
        <w:gridCol w:w="851"/>
        <w:gridCol w:w="709"/>
      </w:tblGrid>
      <w:tr w:rsidR="00773E68" w:rsidRPr="00773E68" w:rsidTr="00CE44F5">
        <w:tc>
          <w:tcPr>
            <w:tcW w:w="1440" w:type="dxa"/>
            <w:vMerge w:val="restart"/>
          </w:tcPr>
          <w:p w:rsidR="00773E68" w:rsidRPr="00B35E26" w:rsidRDefault="00773E68" w:rsidP="00773E68">
            <w:pPr>
              <w:jc w:val="both"/>
              <w:rPr>
                <w:rFonts w:ascii="Times New Roman" w:eastAsia="Times New Roman" w:hAnsi="Times New Roman" w:cs="Times New Roman"/>
                <w:b/>
                <w:sz w:val="20"/>
                <w:szCs w:val="20"/>
                <w:lang w:val="it-IT"/>
              </w:rPr>
            </w:pPr>
          </w:p>
          <w:p w:rsidR="00773E68" w:rsidRPr="00B35E26" w:rsidRDefault="00B35E26" w:rsidP="00773E68">
            <w:pPr>
              <w:jc w:val="both"/>
              <w:rPr>
                <w:rFonts w:ascii="Times New Roman" w:eastAsia="Times New Roman" w:hAnsi="Times New Roman" w:cs="Times New Roman"/>
                <w:b/>
                <w:sz w:val="20"/>
                <w:szCs w:val="20"/>
                <w:lang w:val="it-IT"/>
              </w:rPr>
            </w:pPr>
            <w:r w:rsidRPr="00B35E26">
              <w:rPr>
                <w:rFonts w:ascii="Times New Roman" w:eastAsia="Times New Roman" w:hAnsi="Times New Roman" w:cs="Times New Roman"/>
                <w:b/>
                <w:sz w:val="20"/>
                <w:szCs w:val="20"/>
                <w:lang w:val="it-IT"/>
              </w:rPr>
              <w:t>Vendi</w:t>
            </w:r>
          </w:p>
        </w:tc>
        <w:tc>
          <w:tcPr>
            <w:tcW w:w="900" w:type="dxa"/>
            <w:vMerge w:val="restart"/>
          </w:tcPr>
          <w:p w:rsidR="00773E68" w:rsidRPr="00B35E26" w:rsidRDefault="00773E68" w:rsidP="00773E68">
            <w:pPr>
              <w:jc w:val="both"/>
              <w:rPr>
                <w:rFonts w:ascii="Times New Roman" w:eastAsia="Times New Roman" w:hAnsi="Times New Roman" w:cs="Times New Roman"/>
                <w:b/>
                <w:sz w:val="20"/>
                <w:szCs w:val="20"/>
                <w:lang w:val="it-IT"/>
              </w:rPr>
            </w:pPr>
          </w:p>
          <w:p w:rsidR="00773E68" w:rsidRPr="00CE44F5" w:rsidRDefault="00B35E26" w:rsidP="00773E68">
            <w:pPr>
              <w:jc w:val="both"/>
              <w:rPr>
                <w:rFonts w:ascii="Times New Roman" w:eastAsia="Times New Roman" w:hAnsi="Times New Roman" w:cs="Times New Roman"/>
                <w:b/>
                <w:sz w:val="18"/>
                <w:szCs w:val="18"/>
                <w:lang w:val="it-IT"/>
              </w:rPr>
            </w:pPr>
            <w:r w:rsidRPr="00CE44F5">
              <w:rPr>
                <w:rFonts w:ascii="Times New Roman" w:eastAsia="Times New Roman" w:hAnsi="Times New Roman" w:cs="Times New Roman"/>
                <w:b/>
                <w:sz w:val="18"/>
                <w:szCs w:val="18"/>
                <w:lang w:val="it-IT"/>
              </w:rPr>
              <w:t>Tregues</w:t>
            </w:r>
          </w:p>
        </w:tc>
        <w:tc>
          <w:tcPr>
            <w:tcW w:w="1409" w:type="dxa"/>
            <w:vMerge w:val="restart"/>
          </w:tcPr>
          <w:p w:rsidR="00773E68" w:rsidRPr="00B35E26" w:rsidRDefault="00773E68" w:rsidP="00773E68">
            <w:pPr>
              <w:jc w:val="both"/>
              <w:rPr>
                <w:rFonts w:ascii="Times New Roman" w:eastAsia="Times New Roman" w:hAnsi="Times New Roman" w:cs="Times New Roman"/>
                <w:b/>
                <w:sz w:val="20"/>
                <w:szCs w:val="20"/>
                <w:lang w:val="it-IT"/>
              </w:rPr>
            </w:pPr>
          </w:p>
          <w:p w:rsidR="00773E68" w:rsidRPr="00B35E26" w:rsidRDefault="00B35E26" w:rsidP="00773E68">
            <w:pPr>
              <w:jc w:val="both"/>
              <w:rPr>
                <w:rFonts w:ascii="Times New Roman" w:eastAsia="Times New Roman" w:hAnsi="Times New Roman" w:cs="Times New Roman"/>
                <w:b/>
                <w:sz w:val="20"/>
                <w:szCs w:val="20"/>
                <w:lang w:val="it-IT"/>
              </w:rPr>
            </w:pPr>
            <w:r w:rsidRPr="00B35E26">
              <w:rPr>
                <w:rFonts w:ascii="Times New Roman" w:eastAsia="Times New Roman" w:hAnsi="Times New Roman" w:cs="Times New Roman"/>
                <w:b/>
                <w:sz w:val="20"/>
                <w:szCs w:val="20"/>
                <w:lang w:val="it-IT"/>
              </w:rPr>
              <w:t>Nj. Matjes</w:t>
            </w:r>
          </w:p>
        </w:tc>
        <w:tc>
          <w:tcPr>
            <w:tcW w:w="709" w:type="dxa"/>
            <w:vMerge w:val="restart"/>
          </w:tcPr>
          <w:p w:rsidR="00773E68" w:rsidRPr="00B35E26" w:rsidRDefault="00B35E26" w:rsidP="00773E68">
            <w:pPr>
              <w:jc w:val="both"/>
              <w:rPr>
                <w:rFonts w:ascii="Times New Roman" w:eastAsia="Times New Roman" w:hAnsi="Times New Roman" w:cs="Times New Roman"/>
                <w:b/>
                <w:sz w:val="20"/>
                <w:szCs w:val="20"/>
                <w:lang w:val="it-IT"/>
              </w:rPr>
            </w:pPr>
            <w:r w:rsidRPr="00B35E26">
              <w:rPr>
                <w:rFonts w:ascii="Times New Roman" w:eastAsia="Times New Roman" w:hAnsi="Times New Roman" w:cs="Times New Roman"/>
                <w:b/>
                <w:sz w:val="20"/>
                <w:szCs w:val="20"/>
                <w:lang w:val="it-IT"/>
              </w:rPr>
              <w:t>Limit</w:t>
            </w:r>
          </w:p>
        </w:tc>
        <w:tc>
          <w:tcPr>
            <w:tcW w:w="6237" w:type="dxa"/>
            <w:gridSpan w:val="8"/>
          </w:tcPr>
          <w:p w:rsidR="00773E68" w:rsidRPr="00B35E26" w:rsidRDefault="00773E68" w:rsidP="00773E68">
            <w:pPr>
              <w:jc w:val="both"/>
              <w:rPr>
                <w:rFonts w:ascii="Times New Roman" w:eastAsia="Times New Roman" w:hAnsi="Times New Roman" w:cs="Times New Roman"/>
                <w:b/>
                <w:sz w:val="20"/>
                <w:szCs w:val="20"/>
                <w:lang w:val="it-IT"/>
              </w:rPr>
            </w:pPr>
            <w:r w:rsidRPr="00B35E26">
              <w:rPr>
                <w:rFonts w:ascii="Times New Roman" w:eastAsia="Times New Roman" w:hAnsi="Times New Roman" w:cs="Times New Roman"/>
                <w:b/>
                <w:sz w:val="20"/>
                <w:szCs w:val="20"/>
                <w:lang w:val="it-IT"/>
              </w:rPr>
              <w:t>REZULTATET</w:t>
            </w:r>
          </w:p>
        </w:tc>
      </w:tr>
      <w:tr w:rsidR="00773E68" w:rsidRPr="00773E68" w:rsidTr="00CE44F5">
        <w:tc>
          <w:tcPr>
            <w:tcW w:w="1440" w:type="dxa"/>
            <w:vMerge/>
          </w:tcPr>
          <w:p w:rsidR="00773E68" w:rsidRPr="00B35E26" w:rsidRDefault="00773E68" w:rsidP="00773E68">
            <w:pPr>
              <w:jc w:val="both"/>
              <w:rPr>
                <w:rFonts w:ascii="Times New Roman" w:eastAsia="Times New Roman" w:hAnsi="Times New Roman" w:cs="Times New Roman"/>
                <w:b/>
                <w:sz w:val="20"/>
                <w:szCs w:val="20"/>
                <w:lang w:val="it-IT"/>
              </w:rPr>
            </w:pPr>
          </w:p>
        </w:tc>
        <w:tc>
          <w:tcPr>
            <w:tcW w:w="900" w:type="dxa"/>
            <w:vMerge/>
          </w:tcPr>
          <w:p w:rsidR="00773E68" w:rsidRPr="00B35E26" w:rsidRDefault="00773E68" w:rsidP="00773E68">
            <w:pPr>
              <w:jc w:val="both"/>
              <w:rPr>
                <w:rFonts w:ascii="Times New Roman" w:eastAsia="Times New Roman" w:hAnsi="Times New Roman" w:cs="Times New Roman"/>
                <w:b/>
                <w:sz w:val="20"/>
                <w:szCs w:val="20"/>
                <w:lang w:val="it-IT"/>
              </w:rPr>
            </w:pPr>
          </w:p>
        </w:tc>
        <w:tc>
          <w:tcPr>
            <w:tcW w:w="1409" w:type="dxa"/>
            <w:vMerge/>
          </w:tcPr>
          <w:p w:rsidR="00773E68" w:rsidRPr="00B35E26" w:rsidRDefault="00773E68" w:rsidP="00773E68">
            <w:pPr>
              <w:jc w:val="both"/>
              <w:rPr>
                <w:rFonts w:ascii="Times New Roman" w:eastAsia="Times New Roman" w:hAnsi="Times New Roman" w:cs="Times New Roman"/>
                <w:b/>
                <w:sz w:val="20"/>
                <w:szCs w:val="20"/>
                <w:lang w:val="it-IT"/>
              </w:rPr>
            </w:pPr>
          </w:p>
        </w:tc>
        <w:tc>
          <w:tcPr>
            <w:tcW w:w="709" w:type="dxa"/>
            <w:vMerge/>
          </w:tcPr>
          <w:p w:rsidR="00773E68" w:rsidRPr="00B35E26" w:rsidRDefault="00773E68" w:rsidP="00773E68">
            <w:pPr>
              <w:jc w:val="both"/>
              <w:rPr>
                <w:rFonts w:ascii="Times New Roman" w:eastAsia="Times New Roman" w:hAnsi="Times New Roman" w:cs="Times New Roman"/>
                <w:b/>
                <w:sz w:val="20"/>
                <w:szCs w:val="20"/>
                <w:lang w:val="it-IT"/>
              </w:rPr>
            </w:pPr>
          </w:p>
        </w:tc>
        <w:tc>
          <w:tcPr>
            <w:tcW w:w="708" w:type="dxa"/>
          </w:tcPr>
          <w:p w:rsidR="00773E68" w:rsidRPr="00B35E26" w:rsidRDefault="00773E68" w:rsidP="00773E68">
            <w:pPr>
              <w:jc w:val="both"/>
              <w:rPr>
                <w:rFonts w:ascii="Times New Roman" w:eastAsia="Times New Roman" w:hAnsi="Times New Roman" w:cs="Times New Roman"/>
                <w:b/>
                <w:sz w:val="20"/>
                <w:szCs w:val="20"/>
                <w:lang w:val="it-IT"/>
              </w:rPr>
            </w:pPr>
            <w:r w:rsidRPr="00B35E26">
              <w:rPr>
                <w:rFonts w:ascii="Times New Roman" w:eastAsia="Times New Roman" w:hAnsi="Times New Roman" w:cs="Times New Roman"/>
                <w:b/>
                <w:sz w:val="20"/>
                <w:szCs w:val="20"/>
                <w:lang w:val="it-IT"/>
              </w:rPr>
              <w:t xml:space="preserve">M. 1   0–30 </w:t>
            </w:r>
          </w:p>
        </w:tc>
        <w:tc>
          <w:tcPr>
            <w:tcW w:w="709" w:type="dxa"/>
          </w:tcPr>
          <w:p w:rsidR="00773E68" w:rsidRPr="00B35E26" w:rsidRDefault="00773E68" w:rsidP="00773E68">
            <w:pPr>
              <w:jc w:val="both"/>
              <w:rPr>
                <w:rFonts w:ascii="Times New Roman" w:eastAsia="Times New Roman" w:hAnsi="Times New Roman" w:cs="Times New Roman"/>
                <w:b/>
                <w:sz w:val="20"/>
                <w:szCs w:val="20"/>
                <w:lang w:val="it-IT"/>
              </w:rPr>
            </w:pPr>
            <w:r w:rsidRPr="00B35E26">
              <w:rPr>
                <w:rFonts w:ascii="Times New Roman" w:eastAsia="Times New Roman" w:hAnsi="Times New Roman" w:cs="Times New Roman"/>
                <w:b/>
                <w:sz w:val="20"/>
                <w:szCs w:val="20"/>
                <w:lang w:val="it-IT"/>
              </w:rPr>
              <w:t xml:space="preserve">M.   2 0–30 </w:t>
            </w:r>
          </w:p>
        </w:tc>
        <w:tc>
          <w:tcPr>
            <w:tcW w:w="709" w:type="dxa"/>
          </w:tcPr>
          <w:p w:rsidR="00773E68" w:rsidRPr="00B35E26" w:rsidRDefault="00773E68" w:rsidP="00773E68">
            <w:pPr>
              <w:jc w:val="both"/>
              <w:rPr>
                <w:rFonts w:ascii="Times New Roman" w:eastAsia="Times New Roman" w:hAnsi="Times New Roman" w:cs="Times New Roman"/>
                <w:b/>
                <w:sz w:val="20"/>
                <w:szCs w:val="20"/>
                <w:lang w:val="it-IT"/>
              </w:rPr>
            </w:pPr>
            <w:r w:rsidRPr="00B35E26">
              <w:rPr>
                <w:rFonts w:ascii="Times New Roman" w:eastAsia="Times New Roman" w:hAnsi="Times New Roman" w:cs="Times New Roman"/>
                <w:b/>
                <w:sz w:val="20"/>
                <w:szCs w:val="20"/>
                <w:lang w:val="it-IT"/>
              </w:rPr>
              <w:t>M  3</w:t>
            </w:r>
          </w:p>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lang w:val="it-IT"/>
              </w:rPr>
              <w:t xml:space="preserve">0 </w:t>
            </w:r>
            <w:r w:rsidRPr="00B35E26">
              <w:rPr>
                <w:rFonts w:ascii="Times New Roman" w:eastAsia="Times New Roman" w:hAnsi="Times New Roman" w:cs="Times New Roman"/>
                <w:b/>
                <w:sz w:val="20"/>
                <w:szCs w:val="20"/>
              </w:rPr>
              <w:t>- 30</w:t>
            </w:r>
          </w:p>
        </w:tc>
        <w:tc>
          <w:tcPr>
            <w:tcW w:w="850"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 xml:space="preserve">M.  4 </w:t>
            </w:r>
          </w:p>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 xml:space="preserve">0–30 </w:t>
            </w:r>
          </w:p>
          <w:p w:rsidR="00773E68" w:rsidRPr="00B35E26" w:rsidRDefault="00773E68" w:rsidP="00773E68">
            <w:pPr>
              <w:jc w:val="both"/>
              <w:rPr>
                <w:rFonts w:ascii="Times New Roman" w:eastAsia="Times New Roman" w:hAnsi="Times New Roman" w:cs="Times New Roman"/>
                <w:b/>
                <w:sz w:val="20"/>
                <w:szCs w:val="20"/>
              </w:rPr>
            </w:pPr>
          </w:p>
        </w:tc>
        <w:tc>
          <w:tcPr>
            <w:tcW w:w="851"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M. 5</w:t>
            </w:r>
          </w:p>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0 - 30</w:t>
            </w:r>
          </w:p>
        </w:tc>
        <w:tc>
          <w:tcPr>
            <w:tcW w:w="850"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M. 6</w:t>
            </w:r>
          </w:p>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0 - 30</w:t>
            </w:r>
          </w:p>
        </w:tc>
        <w:tc>
          <w:tcPr>
            <w:tcW w:w="851"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M.7</w:t>
            </w:r>
          </w:p>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0 – 30</w:t>
            </w:r>
          </w:p>
        </w:tc>
        <w:tc>
          <w:tcPr>
            <w:tcW w:w="709" w:type="dxa"/>
          </w:tcPr>
          <w:p w:rsidR="00773E68" w:rsidRPr="00773E68" w:rsidRDefault="00773E68" w:rsidP="00773E68">
            <w:pPr>
              <w:jc w:val="both"/>
              <w:rPr>
                <w:rFonts w:ascii="Times New Roman" w:eastAsia="Times New Roman" w:hAnsi="Times New Roman" w:cs="Times New Roman"/>
                <w:b/>
                <w:sz w:val="24"/>
                <w:szCs w:val="24"/>
              </w:rPr>
            </w:pPr>
          </w:p>
        </w:tc>
      </w:tr>
      <w:tr w:rsidR="00773E68" w:rsidRPr="00773E68" w:rsidTr="00CE44F5">
        <w:trPr>
          <w:trHeight w:val="134"/>
        </w:trPr>
        <w:tc>
          <w:tcPr>
            <w:tcW w:w="1440" w:type="dxa"/>
            <w:vMerge w:val="restart"/>
          </w:tcPr>
          <w:p w:rsidR="00773E68" w:rsidRPr="00773E68" w:rsidRDefault="00773E68" w:rsidP="00773E68">
            <w:pPr>
              <w:jc w:val="both"/>
              <w:rPr>
                <w:rFonts w:ascii="Times New Roman" w:eastAsia="Times New Roman" w:hAnsi="Times New Roman" w:cs="Times New Roman"/>
                <w:b/>
                <w:sz w:val="24"/>
                <w:szCs w:val="24"/>
              </w:rPr>
            </w:pPr>
          </w:p>
          <w:p w:rsidR="00773E68" w:rsidRPr="00CE44F5" w:rsidRDefault="00773E68" w:rsidP="00773E68">
            <w:pPr>
              <w:jc w:val="both"/>
              <w:rPr>
                <w:rFonts w:ascii="Times New Roman" w:eastAsia="Times New Roman" w:hAnsi="Times New Roman" w:cs="Times New Roman"/>
                <w:b/>
              </w:rPr>
            </w:pPr>
            <w:r w:rsidRPr="00CE44F5">
              <w:rPr>
                <w:rFonts w:ascii="Times New Roman" w:eastAsia="Times New Roman" w:hAnsi="Times New Roman" w:cs="Times New Roman"/>
              </w:rPr>
              <w:t>Ish- Uzina e Superfosfatit Laç</w:t>
            </w: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tc>
        <w:tc>
          <w:tcPr>
            <w:tcW w:w="90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0.61</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0.63</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0.55</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0.47</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0.44</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0.40</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0.36</w:t>
            </w:r>
          </w:p>
        </w:tc>
        <w:tc>
          <w:tcPr>
            <w:tcW w:w="709" w:type="dxa"/>
          </w:tcPr>
          <w:p w:rsidR="00773E68" w:rsidRPr="00773E68" w:rsidRDefault="00773E68" w:rsidP="00773E68">
            <w:pPr>
              <w:jc w:val="both"/>
              <w:rPr>
                <w:rFonts w:ascii="Times New Roman" w:eastAsia="Times New Roman" w:hAnsi="Times New Roman" w:cs="Times New Roman"/>
                <w:sz w:val="24"/>
                <w:szCs w:val="24"/>
              </w:rPr>
            </w:pPr>
          </w:p>
        </w:tc>
      </w:tr>
      <w:tr w:rsidR="00773E68" w:rsidRPr="00773E68" w:rsidTr="00CE44F5">
        <w:tc>
          <w:tcPr>
            <w:tcW w:w="1440" w:type="dxa"/>
            <w:vMerge/>
          </w:tcPr>
          <w:p w:rsidR="00773E68" w:rsidRPr="00773E68" w:rsidRDefault="00773E68" w:rsidP="00773E68">
            <w:pPr>
              <w:jc w:val="both"/>
              <w:rPr>
                <w:rFonts w:ascii="Times New Roman" w:eastAsia="Times New Roman" w:hAnsi="Times New Roman" w:cs="Times New Roman"/>
                <w:b/>
                <w:sz w:val="24"/>
                <w:szCs w:val="24"/>
              </w:rPr>
            </w:pPr>
          </w:p>
        </w:tc>
        <w:tc>
          <w:tcPr>
            <w:tcW w:w="90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2.11</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1.8</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2.9</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1.8</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2.2</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2.4</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2.6</w:t>
            </w:r>
          </w:p>
        </w:tc>
        <w:tc>
          <w:tcPr>
            <w:tcW w:w="709" w:type="dxa"/>
          </w:tcPr>
          <w:p w:rsidR="00773E68" w:rsidRPr="00773E68" w:rsidRDefault="00773E68" w:rsidP="00773E68">
            <w:pPr>
              <w:jc w:val="both"/>
              <w:rPr>
                <w:rFonts w:ascii="Times New Roman" w:eastAsia="Times New Roman" w:hAnsi="Times New Roman" w:cs="Times New Roman"/>
                <w:sz w:val="24"/>
                <w:szCs w:val="24"/>
              </w:rPr>
            </w:pPr>
          </w:p>
        </w:tc>
      </w:tr>
      <w:tr w:rsidR="00773E68" w:rsidRPr="00773E68" w:rsidTr="00CE44F5">
        <w:tc>
          <w:tcPr>
            <w:tcW w:w="1440" w:type="dxa"/>
            <w:vMerge/>
          </w:tcPr>
          <w:p w:rsidR="00773E68" w:rsidRPr="00773E68" w:rsidRDefault="00773E68" w:rsidP="00773E68">
            <w:pPr>
              <w:jc w:val="both"/>
              <w:rPr>
                <w:rFonts w:ascii="Times New Roman" w:eastAsia="Times New Roman" w:hAnsi="Times New Roman" w:cs="Times New Roman"/>
                <w:b/>
                <w:sz w:val="24"/>
                <w:szCs w:val="24"/>
              </w:rPr>
            </w:pPr>
          </w:p>
        </w:tc>
        <w:tc>
          <w:tcPr>
            <w:tcW w:w="90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3.5</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6.3</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9.1</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5.4</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6.2</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6.0</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6.4</w:t>
            </w:r>
          </w:p>
        </w:tc>
        <w:tc>
          <w:tcPr>
            <w:tcW w:w="709" w:type="dxa"/>
          </w:tcPr>
          <w:p w:rsidR="00773E68" w:rsidRPr="00773E68" w:rsidRDefault="00773E68" w:rsidP="00773E68">
            <w:pPr>
              <w:jc w:val="both"/>
              <w:rPr>
                <w:rFonts w:ascii="Times New Roman" w:eastAsia="Times New Roman" w:hAnsi="Times New Roman" w:cs="Times New Roman"/>
                <w:sz w:val="24"/>
                <w:szCs w:val="24"/>
              </w:rPr>
            </w:pPr>
          </w:p>
        </w:tc>
      </w:tr>
      <w:tr w:rsidR="00773E68" w:rsidRPr="00773E68" w:rsidTr="00CE44F5">
        <w:tc>
          <w:tcPr>
            <w:tcW w:w="1440" w:type="dxa"/>
            <w:vMerge/>
          </w:tcPr>
          <w:p w:rsidR="00773E68" w:rsidRPr="00773E68" w:rsidRDefault="00773E68" w:rsidP="00773E68">
            <w:pPr>
              <w:jc w:val="both"/>
              <w:rPr>
                <w:rFonts w:ascii="Times New Roman" w:eastAsia="Times New Roman" w:hAnsi="Times New Roman" w:cs="Times New Roman"/>
                <w:b/>
                <w:sz w:val="24"/>
                <w:szCs w:val="24"/>
              </w:rPr>
            </w:pPr>
          </w:p>
        </w:tc>
        <w:tc>
          <w:tcPr>
            <w:tcW w:w="90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2.57</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2.55</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1.81</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1.87</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1.88</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1.92</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1.99</w:t>
            </w:r>
          </w:p>
        </w:tc>
        <w:tc>
          <w:tcPr>
            <w:tcW w:w="709" w:type="dxa"/>
          </w:tcPr>
          <w:p w:rsidR="00773E68" w:rsidRPr="00773E68" w:rsidRDefault="00773E68" w:rsidP="00773E68">
            <w:pPr>
              <w:jc w:val="both"/>
              <w:rPr>
                <w:rFonts w:ascii="Times New Roman" w:eastAsia="Times New Roman" w:hAnsi="Times New Roman" w:cs="Times New Roman"/>
                <w:sz w:val="24"/>
                <w:szCs w:val="24"/>
              </w:rPr>
            </w:pPr>
          </w:p>
        </w:tc>
      </w:tr>
      <w:tr w:rsidR="00773E68" w:rsidRPr="00773E68" w:rsidTr="00CE44F5">
        <w:tc>
          <w:tcPr>
            <w:tcW w:w="1440" w:type="dxa"/>
            <w:vMerge/>
          </w:tcPr>
          <w:p w:rsidR="00773E68" w:rsidRPr="00773E68" w:rsidRDefault="00773E68" w:rsidP="00773E68">
            <w:pPr>
              <w:jc w:val="both"/>
              <w:rPr>
                <w:rFonts w:ascii="Times New Roman" w:eastAsia="Times New Roman" w:hAnsi="Times New Roman" w:cs="Times New Roman"/>
                <w:b/>
                <w:sz w:val="24"/>
                <w:szCs w:val="24"/>
              </w:rPr>
            </w:pPr>
          </w:p>
        </w:tc>
        <w:tc>
          <w:tcPr>
            <w:tcW w:w="90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0.73</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0.77</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1.19</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1.24</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0.52</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0.33</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0.37</w:t>
            </w:r>
          </w:p>
        </w:tc>
        <w:tc>
          <w:tcPr>
            <w:tcW w:w="709" w:type="dxa"/>
          </w:tcPr>
          <w:p w:rsidR="00773E68" w:rsidRPr="00773E68" w:rsidRDefault="00773E68" w:rsidP="00773E68">
            <w:pPr>
              <w:jc w:val="both"/>
              <w:rPr>
                <w:rFonts w:ascii="Times New Roman" w:eastAsia="Times New Roman" w:hAnsi="Times New Roman" w:cs="Times New Roman"/>
                <w:sz w:val="24"/>
                <w:szCs w:val="24"/>
              </w:rPr>
            </w:pPr>
          </w:p>
        </w:tc>
      </w:tr>
      <w:tr w:rsidR="00773E68" w:rsidRPr="00773E68" w:rsidTr="00CE44F5">
        <w:tc>
          <w:tcPr>
            <w:tcW w:w="1440" w:type="dxa"/>
            <w:vMerge/>
          </w:tcPr>
          <w:p w:rsidR="00773E68" w:rsidRPr="00773E68" w:rsidRDefault="00773E68" w:rsidP="00773E68">
            <w:pPr>
              <w:jc w:val="both"/>
              <w:rPr>
                <w:rFonts w:ascii="Times New Roman" w:eastAsia="Times New Roman" w:hAnsi="Times New Roman" w:cs="Times New Roman"/>
                <w:b/>
                <w:sz w:val="24"/>
                <w:szCs w:val="24"/>
              </w:rPr>
            </w:pPr>
          </w:p>
        </w:tc>
        <w:tc>
          <w:tcPr>
            <w:tcW w:w="90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0.35</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4.14</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7.32</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5.44</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4.75</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3.91</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6.25</w:t>
            </w:r>
          </w:p>
        </w:tc>
        <w:tc>
          <w:tcPr>
            <w:tcW w:w="709" w:type="dxa"/>
          </w:tcPr>
          <w:p w:rsidR="00773E68" w:rsidRPr="00773E68" w:rsidRDefault="00773E68" w:rsidP="00773E68">
            <w:pPr>
              <w:jc w:val="both"/>
              <w:rPr>
                <w:rFonts w:ascii="Times New Roman" w:eastAsia="Times New Roman" w:hAnsi="Times New Roman" w:cs="Times New Roman"/>
                <w:sz w:val="24"/>
                <w:szCs w:val="24"/>
              </w:rPr>
            </w:pPr>
          </w:p>
        </w:tc>
      </w:tr>
      <w:tr w:rsidR="00773E68" w:rsidRPr="00773E68" w:rsidTr="00CE44F5">
        <w:tc>
          <w:tcPr>
            <w:tcW w:w="1440" w:type="dxa"/>
            <w:vMerge/>
          </w:tcPr>
          <w:p w:rsidR="00773E68" w:rsidRPr="00773E68" w:rsidRDefault="00773E68" w:rsidP="00773E68">
            <w:pPr>
              <w:jc w:val="both"/>
              <w:rPr>
                <w:rFonts w:ascii="Times New Roman" w:eastAsia="Times New Roman" w:hAnsi="Times New Roman" w:cs="Times New Roman"/>
                <w:b/>
                <w:sz w:val="24"/>
                <w:szCs w:val="24"/>
              </w:rPr>
            </w:pPr>
          </w:p>
        </w:tc>
        <w:tc>
          <w:tcPr>
            <w:tcW w:w="90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Mn</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9.1</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11.4</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8.0</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9.9</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11.4</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12.1</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8.1</w:t>
            </w:r>
          </w:p>
        </w:tc>
        <w:tc>
          <w:tcPr>
            <w:tcW w:w="709" w:type="dxa"/>
          </w:tcPr>
          <w:p w:rsidR="00773E68" w:rsidRPr="00773E68" w:rsidRDefault="00773E68" w:rsidP="00773E68">
            <w:pPr>
              <w:jc w:val="both"/>
              <w:rPr>
                <w:rFonts w:ascii="Times New Roman" w:eastAsia="Times New Roman" w:hAnsi="Times New Roman" w:cs="Times New Roman"/>
                <w:sz w:val="24"/>
                <w:szCs w:val="24"/>
              </w:rPr>
            </w:pPr>
          </w:p>
        </w:tc>
      </w:tr>
    </w:tbl>
    <w:p w:rsidR="00773E68" w:rsidRPr="00773E68" w:rsidRDefault="00773E68" w:rsidP="00773E68">
      <w:pPr>
        <w:spacing w:after="0" w:line="240" w:lineRule="auto"/>
        <w:jc w:val="both"/>
        <w:rPr>
          <w:rFonts w:ascii="Times New Roman" w:eastAsia="Times New Roman" w:hAnsi="Times New Roman" w:cs="Times New Roman"/>
          <w:b/>
          <w:sz w:val="24"/>
          <w:szCs w:val="24"/>
          <w:lang w:val="nn-NO"/>
        </w:rPr>
      </w:pPr>
    </w:p>
    <w:p w:rsidR="00773E68" w:rsidRPr="00F66236" w:rsidRDefault="00681B50" w:rsidP="00F662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nn-NO"/>
        </w:rPr>
        <w:t>Tabela 48.</w:t>
      </w:r>
      <w:r w:rsidR="00773E68" w:rsidRPr="00F66236">
        <w:rPr>
          <w:rFonts w:ascii="Times New Roman" w:eastAsia="Times New Roman" w:hAnsi="Times New Roman" w:cs="Times New Roman"/>
          <w:sz w:val="24"/>
          <w:szCs w:val="24"/>
          <w:lang w:val="nn-NO"/>
        </w:rPr>
        <w:t xml:space="preserve">  </w:t>
      </w:r>
      <w:r w:rsidR="00F66236" w:rsidRPr="00F66236">
        <w:rPr>
          <w:rFonts w:ascii="Times New Roman" w:eastAsia="Times New Roman" w:hAnsi="Times New Roman" w:cs="Times New Roman"/>
          <w:sz w:val="24"/>
          <w:szCs w:val="24"/>
        </w:rPr>
        <w:t>Të dhënat për profilet</w:t>
      </w:r>
      <w:r w:rsidR="00773E68" w:rsidRPr="00F66236">
        <w:rPr>
          <w:rFonts w:ascii="Times New Roman" w:eastAsia="Times New Roman" w:hAnsi="Times New Roman" w:cs="Times New Roman"/>
          <w:sz w:val="24"/>
          <w:szCs w:val="24"/>
          <w:lang w:val="nn-NO"/>
        </w:rPr>
        <w:t xml:space="preserve">. </w:t>
      </w:r>
      <w:r w:rsidR="00773E68" w:rsidRPr="00F66236">
        <w:rPr>
          <w:rFonts w:ascii="Times New Roman" w:eastAsia="Times New Roman" w:hAnsi="Times New Roman" w:cs="Times New Roman"/>
          <w:sz w:val="24"/>
          <w:szCs w:val="24"/>
        </w:rPr>
        <w:t>Ish-Uzina e Superfosfatit Laç.</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tbl>
      <w:tblPr>
        <w:tblStyle w:val="TableGrid3"/>
        <w:tblW w:w="10695" w:type="dxa"/>
        <w:tblInd w:w="-522" w:type="dxa"/>
        <w:tblLayout w:type="fixed"/>
        <w:tblLook w:val="04A0" w:firstRow="1" w:lastRow="0" w:firstColumn="1" w:lastColumn="0" w:noHBand="0" w:noVBand="1"/>
      </w:tblPr>
      <w:tblGrid>
        <w:gridCol w:w="1481"/>
        <w:gridCol w:w="859"/>
        <w:gridCol w:w="1409"/>
        <w:gridCol w:w="709"/>
        <w:gridCol w:w="992"/>
        <w:gridCol w:w="992"/>
        <w:gridCol w:w="992"/>
        <w:gridCol w:w="993"/>
        <w:gridCol w:w="992"/>
        <w:gridCol w:w="1276"/>
      </w:tblGrid>
      <w:tr w:rsidR="00773E68" w:rsidRPr="00773E68" w:rsidTr="00B35E26">
        <w:tc>
          <w:tcPr>
            <w:tcW w:w="1481" w:type="dxa"/>
            <w:vMerge w:val="restart"/>
          </w:tcPr>
          <w:p w:rsidR="00773E68" w:rsidRPr="00B35E26" w:rsidRDefault="00773E68" w:rsidP="00773E68">
            <w:pPr>
              <w:jc w:val="both"/>
              <w:rPr>
                <w:rFonts w:ascii="Times New Roman" w:eastAsia="Times New Roman" w:hAnsi="Times New Roman" w:cs="Times New Roman"/>
                <w:b/>
                <w:sz w:val="20"/>
                <w:szCs w:val="20"/>
              </w:rPr>
            </w:pPr>
          </w:p>
          <w:p w:rsidR="00773E68" w:rsidRPr="00B35E26" w:rsidRDefault="00B35E26"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Vendi</w:t>
            </w:r>
          </w:p>
        </w:tc>
        <w:tc>
          <w:tcPr>
            <w:tcW w:w="859" w:type="dxa"/>
            <w:vMerge w:val="restart"/>
          </w:tcPr>
          <w:p w:rsidR="00773E68" w:rsidRPr="00B35E26" w:rsidRDefault="00773E68" w:rsidP="00773E68">
            <w:pPr>
              <w:jc w:val="both"/>
              <w:rPr>
                <w:rFonts w:ascii="Times New Roman" w:eastAsia="Times New Roman" w:hAnsi="Times New Roman" w:cs="Times New Roman"/>
                <w:b/>
                <w:sz w:val="20"/>
                <w:szCs w:val="20"/>
              </w:rPr>
            </w:pPr>
          </w:p>
          <w:p w:rsidR="00773E68" w:rsidRPr="00CE44F5" w:rsidRDefault="00B35E26" w:rsidP="00773E68">
            <w:pPr>
              <w:jc w:val="both"/>
              <w:rPr>
                <w:rFonts w:ascii="Times New Roman" w:eastAsia="Times New Roman" w:hAnsi="Times New Roman" w:cs="Times New Roman"/>
                <w:b/>
                <w:sz w:val="18"/>
                <w:szCs w:val="18"/>
              </w:rPr>
            </w:pPr>
            <w:r w:rsidRPr="00CE44F5">
              <w:rPr>
                <w:rFonts w:ascii="Times New Roman" w:eastAsia="Times New Roman" w:hAnsi="Times New Roman" w:cs="Times New Roman"/>
                <w:b/>
                <w:sz w:val="18"/>
                <w:szCs w:val="18"/>
              </w:rPr>
              <w:t>Tregues</w:t>
            </w:r>
          </w:p>
        </w:tc>
        <w:tc>
          <w:tcPr>
            <w:tcW w:w="1409" w:type="dxa"/>
            <w:vMerge w:val="restart"/>
          </w:tcPr>
          <w:p w:rsidR="00773E68" w:rsidRPr="00B35E26" w:rsidRDefault="00773E68" w:rsidP="00773E68">
            <w:pPr>
              <w:jc w:val="both"/>
              <w:rPr>
                <w:rFonts w:ascii="Times New Roman" w:eastAsia="Times New Roman" w:hAnsi="Times New Roman" w:cs="Times New Roman"/>
                <w:b/>
                <w:sz w:val="20"/>
                <w:szCs w:val="20"/>
              </w:rPr>
            </w:pPr>
          </w:p>
          <w:p w:rsidR="00773E68" w:rsidRPr="00B35E26" w:rsidRDefault="00B35E26"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Nj. Matjes</w:t>
            </w:r>
          </w:p>
        </w:tc>
        <w:tc>
          <w:tcPr>
            <w:tcW w:w="709" w:type="dxa"/>
            <w:vMerge w:val="restart"/>
          </w:tcPr>
          <w:p w:rsidR="00773E68" w:rsidRPr="00B35E26" w:rsidRDefault="00B35E26"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Limit</w:t>
            </w:r>
          </w:p>
        </w:tc>
        <w:tc>
          <w:tcPr>
            <w:tcW w:w="6237" w:type="dxa"/>
            <w:gridSpan w:val="6"/>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REZULTATET PËR PROFILET</w:t>
            </w:r>
          </w:p>
        </w:tc>
      </w:tr>
      <w:tr w:rsidR="00773E68" w:rsidRPr="00773E68" w:rsidTr="00B35E26">
        <w:tc>
          <w:tcPr>
            <w:tcW w:w="1481" w:type="dxa"/>
            <w:vMerge/>
          </w:tcPr>
          <w:p w:rsidR="00773E68" w:rsidRPr="00B35E26" w:rsidRDefault="00773E68" w:rsidP="00773E68">
            <w:pPr>
              <w:jc w:val="both"/>
              <w:rPr>
                <w:rFonts w:ascii="Times New Roman" w:eastAsia="Times New Roman" w:hAnsi="Times New Roman" w:cs="Times New Roman"/>
                <w:b/>
                <w:sz w:val="20"/>
                <w:szCs w:val="20"/>
              </w:rPr>
            </w:pPr>
          </w:p>
        </w:tc>
        <w:tc>
          <w:tcPr>
            <w:tcW w:w="859" w:type="dxa"/>
            <w:vMerge/>
          </w:tcPr>
          <w:p w:rsidR="00773E68" w:rsidRPr="00B35E26" w:rsidRDefault="00773E68" w:rsidP="00773E68">
            <w:pPr>
              <w:jc w:val="both"/>
              <w:rPr>
                <w:rFonts w:ascii="Times New Roman" w:eastAsia="Times New Roman" w:hAnsi="Times New Roman" w:cs="Times New Roman"/>
                <w:b/>
                <w:sz w:val="20"/>
                <w:szCs w:val="20"/>
              </w:rPr>
            </w:pPr>
          </w:p>
        </w:tc>
        <w:tc>
          <w:tcPr>
            <w:tcW w:w="1409" w:type="dxa"/>
            <w:vMerge/>
          </w:tcPr>
          <w:p w:rsidR="00773E68" w:rsidRPr="00B35E26" w:rsidRDefault="00773E68" w:rsidP="00773E68">
            <w:pPr>
              <w:jc w:val="both"/>
              <w:rPr>
                <w:rFonts w:ascii="Times New Roman" w:eastAsia="Times New Roman" w:hAnsi="Times New Roman" w:cs="Times New Roman"/>
                <w:b/>
                <w:sz w:val="20"/>
                <w:szCs w:val="20"/>
              </w:rPr>
            </w:pPr>
          </w:p>
        </w:tc>
        <w:tc>
          <w:tcPr>
            <w:tcW w:w="709" w:type="dxa"/>
            <w:vMerge/>
          </w:tcPr>
          <w:p w:rsidR="00773E68" w:rsidRPr="00B35E26" w:rsidRDefault="00773E68" w:rsidP="00773E68">
            <w:pPr>
              <w:jc w:val="both"/>
              <w:rPr>
                <w:rFonts w:ascii="Times New Roman" w:eastAsia="Times New Roman" w:hAnsi="Times New Roman" w:cs="Times New Roman"/>
                <w:b/>
                <w:sz w:val="20"/>
                <w:szCs w:val="20"/>
              </w:rPr>
            </w:pPr>
          </w:p>
        </w:tc>
        <w:tc>
          <w:tcPr>
            <w:tcW w:w="992"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Profili  1</w:t>
            </w:r>
          </w:p>
          <w:p w:rsidR="00773E68" w:rsidRPr="00B35E26" w:rsidRDefault="00773E68" w:rsidP="00773E68">
            <w:pPr>
              <w:jc w:val="both"/>
              <w:rPr>
                <w:rFonts w:ascii="Times New Roman" w:eastAsia="Times New Roman" w:hAnsi="Times New Roman" w:cs="Times New Roman"/>
                <w:b/>
                <w:sz w:val="20"/>
                <w:szCs w:val="20"/>
              </w:rPr>
            </w:pPr>
          </w:p>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 xml:space="preserve">0 – 30 cm </w:t>
            </w:r>
          </w:p>
        </w:tc>
        <w:tc>
          <w:tcPr>
            <w:tcW w:w="992"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Profili  1</w:t>
            </w:r>
          </w:p>
          <w:p w:rsidR="00773E68" w:rsidRPr="00B35E26" w:rsidRDefault="00773E68" w:rsidP="00773E68">
            <w:pPr>
              <w:jc w:val="both"/>
              <w:rPr>
                <w:rFonts w:ascii="Times New Roman" w:eastAsia="Times New Roman" w:hAnsi="Times New Roman" w:cs="Times New Roman"/>
                <w:b/>
                <w:sz w:val="20"/>
                <w:szCs w:val="20"/>
              </w:rPr>
            </w:pPr>
          </w:p>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0 – 60 cm</w:t>
            </w:r>
          </w:p>
        </w:tc>
        <w:tc>
          <w:tcPr>
            <w:tcW w:w="992"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Profili  1</w:t>
            </w:r>
          </w:p>
          <w:p w:rsidR="00773E68" w:rsidRPr="00B35E26" w:rsidRDefault="00773E68" w:rsidP="00773E68">
            <w:pPr>
              <w:jc w:val="both"/>
              <w:rPr>
                <w:rFonts w:ascii="Times New Roman" w:eastAsia="Times New Roman" w:hAnsi="Times New Roman" w:cs="Times New Roman"/>
                <w:b/>
                <w:sz w:val="20"/>
                <w:szCs w:val="20"/>
              </w:rPr>
            </w:pPr>
          </w:p>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60 -100 cm</w:t>
            </w:r>
          </w:p>
        </w:tc>
        <w:tc>
          <w:tcPr>
            <w:tcW w:w="993"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Profili  2</w:t>
            </w:r>
          </w:p>
          <w:p w:rsidR="00773E68" w:rsidRPr="00B35E26" w:rsidRDefault="00773E68" w:rsidP="00773E68">
            <w:pPr>
              <w:jc w:val="both"/>
              <w:rPr>
                <w:rFonts w:ascii="Times New Roman" w:eastAsia="Times New Roman" w:hAnsi="Times New Roman" w:cs="Times New Roman"/>
                <w:b/>
                <w:sz w:val="20"/>
                <w:szCs w:val="20"/>
              </w:rPr>
            </w:pPr>
          </w:p>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 xml:space="preserve">0 – 30 cm </w:t>
            </w:r>
          </w:p>
        </w:tc>
        <w:tc>
          <w:tcPr>
            <w:tcW w:w="992"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Profili  2</w:t>
            </w:r>
          </w:p>
          <w:p w:rsidR="00773E68" w:rsidRPr="00B35E26" w:rsidRDefault="00773E68" w:rsidP="00773E68">
            <w:pPr>
              <w:jc w:val="both"/>
              <w:rPr>
                <w:rFonts w:ascii="Times New Roman" w:eastAsia="Times New Roman" w:hAnsi="Times New Roman" w:cs="Times New Roman"/>
                <w:b/>
                <w:sz w:val="20"/>
                <w:szCs w:val="20"/>
              </w:rPr>
            </w:pPr>
          </w:p>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0 – 60 cm</w:t>
            </w:r>
          </w:p>
        </w:tc>
        <w:tc>
          <w:tcPr>
            <w:tcW w:w="1276"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Profili  2</w:t>
            </w:r>
          </w:p>
          <w:p w:rsidR="00773E68" w:rsidRPr="00B35E26" w:rsidRDefault="00773E68" w:rsidP="00773E68">
            <w:pPr>
              <w:jc w:val="both"/>
              <w:rPr>
                <w:rFonts w:ascii="Times New Roman" w:eastAsia="Times New Roman" w:hAnsi="Times New Roman" w:cs="Times New Roman"/>
                <w:b/>
                <w:sz w:val="20"/>
                <w:szCs w:val="20"/>
              </w:rPr>
            </w:pPr>
          </w:p>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60 -100 cm</w:t>
            </w:r>
          </w:p>
        </w:tc>
      </w:tr>
      <w:tr w:rsidR="00773E68" w:rsidRPr="00773E68" w:rsidTr="00B35E26">
        <w:trPr>
          <w:trHeight w:val="134"/>
        </w:trPr>
        <w:tc>
          <w:tcPr>
            <w:tcW w:w="1481" w:type="dxa"/>
            <w:vMerge w:val="restart"/>
          </w:tcPr>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r w:rsidRPr="00773E68">
              <w:rPr>
                <w:rFonts w:ascii="Times New Roman" w:eastAsia="Times New Roman" w:hAnsi="Times New Roman" w:cs="Times New Roman"/>
                <w:sz w:val="24"/>
                <w:szCs w:val="24"/>
              </w:rPr>
              <w:t>Ish-Uzina e Superfosfatit Laç</w:t>
            </w: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tc>
        <w:tc>
          <w:tcPr>
            <w:tcW w:w="85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0.22</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0.17</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0.19</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0.25</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0.27</w:t>
            </w:r>
          </w:p>
        </w:tc>
      </w:tr>
      <w:tr w:rsidR="00773E68" w:rsidRPr="00773E68" w:rsidTr="00B35E26">
        <w:tc>
          <w:tcPr>
            <w:tcW w:w="1481" w:type="dxa"/>
            <w:vMerge/>
          </w:tcPr>
          <w:p w:rsidR="00773E68" w:rsidRPr="00773E68" w:rsidRDefault="00773E68" w:rsidP="00773E68">
            <w:pPr>
              <w:jc w:val="both"/>
              <w:rPr>
                <w:rFonts w:ascii="Times New Roman" w:eastAsia="Times New Roman" w:hAnsi="Times New Roman" w:cs="Times New Roman"/>
                <w:b/>
                <w:sz w:val="24"/>
                <w:szCs w:val="24"/>
              </w:rPr>
            </w:pPr>
          </w:p>
        </w:tc>
        <w:tc>
          <w:tcPr>
            <w:tcW w:w="85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2.12</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2.07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1.72</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2.31</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2.51</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2.62</w:t>
            </w:r>
          </w:p>
        </w:tc>
      </w:tr>
      <w:tr w:rsidR="00773E68" w:rsidRPr="00773E68" w:rsidTr="00B35E26">
        <w:tc>
          <w:tcPr>
            <w:tcW w:w="1481" w:type="dxa"/>
            <w:vMerge/>
          </w:tcPr>
          <w:p w:rsidR="00773E68" w:rsidRPr="00773E68" w:rsidRDefault="00773E68" w:rsidP="00773E68">
            <w:pPr>
              <w:jc w:val="both"/>
              <w:rPr>
                <w:rFonts w:ascii="Times New Roman" w:eastAsia="Times New Roman" w:hAnsi="Times New Roman" w:cs="Times New Roman"/>
                <w:b/>
                <w:sz w:val="24"/>
                <w:szCs w:val="24"/>
              </w:rPr>
            </w:pPr>
          </w:p>
        </w:tc>
        <w:tc>
          <w:tcPr>
            <w:tcW w:w="85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4.9</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4.2</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4.2</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4.3</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4.41</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4.61</w:t>
            </w:r>
          </w:p>
        </w:tc>
      </w:tr>
      <w:tr w:rsidR="00773E68" w:rsidRPr="00773E68" w:rsidTr="00B35E26">
        <w:tc>
          <w:tcPr>
            <w:tcW w:w="1481" w:type="dxa"/>
            <w:vMerge/>
          </w:tcPr>
          <w:p w:rsidR="00773E68" w:rsidRPr="00773E68" w:rsidRDefault="00773E68" w:rsidP="00773E68">
            <w:pPr>
              <w:jc w:val="both"/>
              <w:rPr>
                <w:rFonts w:ascii="Times New Roman" w:eastAsia="Times New Roman" w:hAnsi="Times New Roman" w:cs="Times New Roman"/>
                <w:b/>
                <w:sz w:val="24"/>
                <w:szCs w:val="24"/>
              </w:rPr>
            </w:pPr>
          </w:p>
        </w:tc>
        <w:tc>
          <w:tcPr>
            <w:tcW w:w="85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2.29</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2.49</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2.51</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2.22</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2.20</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2.16</w:t>
            </w:r>
          </w:p>
        </w:tc>
      </w:tr>
      <w:tr w:rsidR="00773E68" w:rsidRPr="00773E68" w:rsidTr="00B35E26">
        <w:tc>
          <w:tcPr>
            <w:tcW w:w="1481" w:type="dxa"/>
            <w:vMerge/>
          </w:tcPr>
          <w:p w:rsidR="00773E68" w:rsidRPr="00773E68" w:rsidRDefault="00773E68" w:rsidP="00773E68">
            <w:pPr>
              <w:jc w:val="both"/>
              <w:rPr>
                <w:rFonts w:ascii="Times New Roman" w:eastAsia="Times New Roman" w:hAnsi="Times New Roman" w:cs="Times New Roman"/>
                <w:b/>
                <w:sz w:val="24"/>
                <w:szCs w:val="24"/>
              </w:rPr>
            </w:pPr>
          </w:p>
        </w:tc>
        <w:tc>
          <w:tcPr>
            <w:tcW w:w="85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0.19</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0.08</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0.19</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0.16</w:t>
            </w:r>
          </w:p>
        </w:tc>
      </w:tr>
      <w:tr w:rsidR="00773E68" w:rsidRPr="00773E68" w:rsidTr="00B35E26">
        <w:tc>
          <w:tcPr>
            <w:tcW w:w="1481" w:type="dxa"/>
            <w:vMerge/>
          </w:tcPr>
          <w:p w:rsidR="00773E68" w:rsidRPr="00773E68" w:rsidRDefault="00773E68" w:rsidP="00773E68">
            <w:pPr>
              <w:jc w:val="both"/>
              <w:rPr>
                <w:rFonts w:ascii="Times New Roman" w:eastAsia="Times New Roman" w:hAnsi="Times New Roman" w:cs="Times New Roman"/>
                <w:b/>
                <w:sz w:val="24"/>
                <w:szCs w:val="24"/>
              </w:rPr>
            </w:pPr>
          </w:p>
        </w:tc>
        <w:tc>
          <w:tcPr>
            <w:tcW w:w="85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1.35</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1.39</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1.22</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1.17</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1.12</w:t>
            </w:r>
          </w:p>
        </w:tc>
      </w:tr>
      <w:tr w:rsidR="00773E68" w:rsidRPr="00773E68" w:rsidTr="00B35E26">
        <w:tc>
          <w:tcPr>
            <w:tcW w:w="1481" w:type="dxa"/>
            <w:vMerge/>
          </w:tcPr>
          <w:p w:rsidR="00773E68" w:rsidRPr="00773E68" w:rsidRDefault="00773E68" w:rsidP="00773E68">
            <w:pPr>
              <w:jc w:val="both"/>
              <w:rPr>
                <w:rFonts w:ascii="Times New Roman" w:eastAsia="Times New Roman" w:hAnsi="Times New Roman" w:cs="Times New Roman"/>
                <w:b/>
                <w:sz w:val="24"/>
                <w:szCs w:val="24"/>
              </w:rPr>
            </w:pPr>
          </w:p>
        </w:tc>
        <w:tc>
          <w:tcPr>
            <w:tcW w:w="85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Mn</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9.5</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9.6</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9.6</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9.8</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10.2</w:t>
            </w:r>
          </w:p>
        </w:tc>
      </w:tr>
    </w:tbl>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F66236" w:rsidP="00773E68">
      <w:pPr>
        <w:spacing w:after="0" w:line="24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T</w:t>
      </w:r>
      <w:r w:rsidR="00773E68" w:rsidRPr="00773E68">
        <w:rPr>
          <w:rFonts w:ascii="Times New Roman" w:eastAsia="Times New Roman" w:hAnsi="Times New Roman" w:cs="Times New Roman"/>
          <w:sz w:val="24"/>
          <w:szCs w:val="24"/>
          <w:lang w:val="it-IT"/>
        </w:rPr>
        <w:t xml:space="preserve">ë gjithë treguesit përgjithësisht për të gjithë elementët, janë brenda normave të lejuara, pra  nuk kemi ndotje të mjedisit. </w:t>
      </w:r>
      <w:r w:rsidR="00CE44F5">
        <w:rPr>
          <w:rFonts w:ascii="Times New Roman" w:eastAsia="Times New Roman" w:hAnsi="Times New Roman" w:cs="Times New Roman"/>
          <w:sz w:val="24"/>
          <w:szCs w:val="24"/>
          <w:lang w:val="it-IT"/>
        </w:rPr>
        <w:t>D</w:t>
      </w:r>
      <w:r w:rsidR="00773E68" w:rsidRPr="00773E68">
        <w:rPr>
          <w:rFonts w:ascii="Times New Roman" w:eastAsia="Times New Roman" w:hAnsi="Times New Roman" w:cs="Times New Roman"/>
          <w:sz w:val="24"/>
          <w:szCs w:val="24"/>
          <w:lang w:val="it-IT"/>
        </w:rPr>
        <w:t>isa mostra kanë përqëndrim më të lartë në disa tregues që  ndodhen brenda perimetrit të ish-uzinës, ndërsa në distancë nga uzina kemi një ndryshim me rënie të treguesëve. Kjo është normale pasi brenda territorit kemi patur një aktivitet më të lartë gjatë aktivitetit te shfrytëzimit të uzinës, ka patur grumbuj apo pirgje mbeturinash pas përpunimit të cilat kanë qënë të kontaminuara dhe me përqëndrim më të lartë, për disa nga metalet e rënda, Duke u larguar kemi një tende</w:t>
      </w:r>
      <w:r w:rsidR="00CE44F5">
        <w:rPr>
          <w:rFonts w:ascii="Times New Roman" w:eastAsia="Times New Roman" w:hAnsi="Times New Roman" w:cs="Times New Roman"/>
          <w:sz w:val="24"/>
          <w:szCs w:val="24"/>
          <w:lang w:val="it-IT"/>
        </w:rPr>
        <w:t>n</w:t>
      </w:r>
      <w:r w:rsidR="00773E68" w:rsidRPr="00773E68">
        <w:rPr>
          <w:rFonts w:ascii="Times New Roman" w:eastAsia="Times New Roman" w:hAnsi="Times New Roman" w:cs="Times New Roman"/>
          <w:sz w:val="24"/>
          <w:szCs w:val="24"/>
          <w:lang w:val="it-IT"/>
        </w:rPr>
        <w:t xml:space="preserve">cë në rënie të treguesëve, gjë që tregon që lëvizshmëria apo depozitimi në thellësi të tokës është më i vogël. </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Default="00773E68" w:rsidP="00807975">
      <w:pPr>
        <w:pStyle w:val="ListParagraph"/>
        <w:numPr>
          <w:ilvl w:val="0"/>
          <w:numId w:val="97"/>
        </w:numPr>
        <w:spacing w:after="0" w:line="240" w:lineRule="auto"/>
        <w:jc w:val="both"/>
        <w:rPr>
          <w:rFonts w:ascii="Times New Roman" w:eastAsia="Times New Roman" w:hAnsi="Times New Roman" w:cs="Times New Roman"/>
          <w:b/>
          <w:sz w:val="24"/>
          <w:szCs w:val="24"/>
          <w:lang w:val="it-IT"/>
        </w:rPr>
      </w:pPr>
      <w:r w:rsidRPr="00F66236">
        <w:rPr>
          <w:rFonts w:ascii="Times New Roman" w:eastAsia="Times New Roman" w:hAnsi="Times New Roman" w:cs="Times New Roman"/>
          <w:b/>
          <w:sz w:val="24"/>
          <w:szCs w:val="24"/>
          <w:lang w:val="it-IT"/>
        </w:rPr>
        <w:t>Ish -Uzina  e Baterive Berat</w:t>
      </w:r>
    </w:p>
    <w:p w:rsidR="00F66236" w:rsidRPr="00F66236" w:rsidRDefault="00F66236" w:rsidP="00F66236">
      <w:pPr>
        <w:pStyle w:val="ListParagraph"/>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 xml:space="preserve">Ish-Uzina e baterive Berat, shtrihet në pjesën jug-lindore të Beratit në dalje të tij afër Uznovës.  Në të gjitha anët ish-uzina  është e  rrethuar me ndërtesa private të ndërtuara në kohën e ndryshimit të sistemit dhe në pjesën perëndimore janë ndërtuar pallate. </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Të gjitha parcelat private të ndërtuara në rrethinat e uzinës janë të mbjella me pemë frutore, agrume, ullinj dhe perime për konsum personal.</w:t>
      </w:r>
    </w:p>
    <w:p w:rsidR="00773E68" w:rsidRDefault="00CE44F5" w:rsidP="00773E68">
      <w:pPr>
        <w:spacing w:after="0" w:line="24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Ish-Uzina ka ngelur një sipë</w:t>
      </w:r>
      <w:r w:rsidR="00773E68" w:rsidRPr="00773E68">
        <w:rPr>
          <w:rFonts w:ascii="Times New Roman" w:eastAsia="Times New Roman" w:hAnsi="Times New Roman" w:cs="Times New Roman"/>
          <w:sz w:val="24"/>
          <w:szCs w:val="24"/>
          <w:lang w:val="it-IT"/>
        </w:rPr>
        <w:t xml:space="preserve">rfaqe e abandonuar, e izoluar dhe në brendësi ka disa aktivitete të shkëputura shërbimi. </w:t>
      </w:r>
    </w:p>
    <w:p w:rsidR="00446FEB" w:rsidRPr="00446FEB" w:rsidRDefault="00446FEB" w:rsidP="00773E68">
      <w:pPr>
        <w:spacing w:after="0" w:line="240" w:lineRule="auto"/>
        <w:jc w:val="both"/>
        <w:rPr>
          <w:rFonts w:ascii="Times New Roman" w:eastAsia="Times New Roman" w:hAnsi="Times New Roman" w:cs="Times New Roman"/>
          <w:sz w:val="24"/>
          <w:szCs w:val="24"/>
          <w:lang w:val="it-IT"/>
        </w:rPr>
      </w:pPr>
    </w:p>
    <w:p w:rsidR="00773E68" w:rsidRPr="00B35E26" w:rsidRDefault="00681B50" w:rsidP="00B35E26">
      <w:pPr>
        <w:spacing w:after="0" w:line="240" w:lineRule="auto"/>
        <w:jc w:val="center"/>
        <w:rPr>
          <w:rFonts w:ascii="Times New Roman" w:eastAsia="Times New Roman" w:hAnsi="Times New Roman" w:cs="Times New Roman"/>
          <w:sz w:val="24"/>
          <w:szCs w:val="24"/>
          <w:lang w:val="nn-NO"/>
        </w:rPr>
      </w:pPr>
      <w:r>
        <w:rPr>
          <w:rFonts w:ascii="Times New Roman" w:eastAsia="Times New Roman" w:hAnsi="Times New Roman" w:cs="Times New Roman"/>
          <w:sz w:val="24"/>
          <w:szCs w:val="24"/>
          <w:lang w:val="nn-NO"/>
        </w:rPr>
        <w:t>Tabela 49</w:t>
      </w:r>
      <w:r w:rsidR="00773E68" w:rsidRPr="00B35E26">
        <w:rPr>
          <w:rFonts w:ascii="Times New Roman" w:eastAsia="Times New Roman" w:hAnsi="Times New Roman" w:cs="Times New Roman"/>
          <w:sz w:val="24"/>
          <w:szCs w:val="24"/>
          <w:lang w:val="nn-NO"/>
        </w:rPr>
        <w:t xml:space="preserve"> </w:t>
      </w:r>
      <w:r w:rsidR="00446FEB" w:rsidRPr="00B35E26">
        <w:rPr>
          <w:rFonts w:ascii="Times New Roman" w:eastAsia="Times New Roman" w:hAnsi="Times New Roman" w:cs="Times New Roman"/>
          <w:sz w:val="24"/>
          <w:szCs w:val="24"/>
          <w:lang w:val="nn-NO"/>
        </w:rPr>
        <w:t xml:space="preserve">.Rezultatet e  treguesëve të analizuar për </w:t>
      </w:r>
      <w:r w:rsidR="00446FEB" w:rsidRPr="00B35E26">
        <w:rPr>
          <w:rFonts w:ascii="Times New Roman" w:eastAsia="Times New Roman" w:hAnsi="Times New Roman" w:cs="Times New Roman"/>
          <w:sz w:val="24"/>
          <w:szCs w:val="24"/>
        </w:rPr>
        <w:t>m</w:t>
      </w:r>
      <w:r w:rsidR="00773E68" w:rsidRPr="00B35E26">
        <w:rPr>
          <w:rFonts w:ascii="Times New Roman" w:eastAsia="Times New Roman" w:hAnsi="Times New Roman" w:cs="Times New Roman"/>
          <w:sz w:val="24"/>
          <w:szCs w:val="24"/>
        </w:rPr>
        <w:t>ostrat në thellësinë 0 – 30 cm.</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tbl>
      <w:tblPr>
        <w:tblStyle w:val="TableGrid3"/>
        <w:tblW w:w="10605" w:type="dxa"/>
        <w:tblInd w:w="-432" w:type="dxa"/>
        <w:tblLayout w:type="fixed"/>
        <w:tblLook w:val="04A0" w:firstRow="1" w:lastRow="0" w:firstColumn="1" w:lastColumn="0" w:noHBand="0" w:noVBand="1"/>
      </w:tblPr>
      <w:tblGrid>
        <w:gridCol w:w="1260"/>
        <w:gridCol w:w="990"/>
        <w:gridCol w:w="1409"/>
        <w:gridCol w:w="709"/>
        <w:gridCol w:w="708"/>
        <w:gridCol w:w="709"/>
        <w:gridCol w:w="709"/>
        <w:gridCol w:w="850"/>
        <w:gridCol w:w="993"/>
        <w:gridCol w:w="850"/>
        <w:gridCol w:w="709"/>
        <w:gridCol w:w="709"/>
      </w:tblGrid>
      <w:tr w:rsidR="00773E68" w:rsidRPr="00773E68" w:rsidTr="00B35E26">
        <w:tc>
          <w:tcPr>
            <w:tcW w:w="1260" w:type="dxa"/>
            <w:vMerge w:val="restart"/>
          </w:tcPr>
          <w:p w:rsidR="00773E68" w:rsidRPr="00B35E26" w:rsidRDefault="00773E68" w:rsidP="00773E68">
            <w:pPr>
              <w:jc w:val="both"/>
              <w:rPr>
                <w:rFonts w:ascii="Times New Roman" w:eastAsia="Times New Roman" w:hAnsi="Times New Roman" w:cs="Times New Roman"/>
                <w:b/>
                <w:sz w:val="20"/>
                <w:szCs w:val="20"/>
              </w:rPr>
            </w:pPr>
          </w:p>
          <w:p w:rsidR="00773E68" w:rsidRPr="00B35E26" w:rsidRDefault="00B35E26"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Vendi</w:t>
            </w:r>
          </w:p>
        </w:tc>
        <w:tc>
          <w:tcPr>
            <w:tcW w:w="990" w:type="dxa"/>
            <w:vMerge w:val="restart"/>
          </w:tcPr>
          <w:p w:rsidR="00773E68" w:rsidRPr="00B35E26" w:rsidRDefault="00773E68" w:rsidP="00773E68">
            <w:pPr>
              <w:jc w:val="both"/>
              <w:rPr>
                <w:rFonts w:ascii="Times New Roman" w:eastAsia="Times New Roman" w:hAnsi="Times New Roman" w:cs="Times New Roman"/>
                <w:b/>
                <w:sz w:val="20"/>
                <w:szCs w:val="20"/>
              </w:rPr>
            </w:pPr>
          </w:p>
          <w:p w:rsidR="00773E68" w:rsidRPr="00B35E26" w:rsidRDefault="00B35E26"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Tre</w:t>
            </w:r>
            <w:r>
              <w:rPr>
                <w:rFonts w:ascii="Times New Roman" w:eastAsia="Times New Roman" w:hAnsi="Times New Roman" w:cs="Times New Roman"/>
                <w:b/>
                <w:sz w:val="20"/>
                <w:szCs w:val="20"/>
              </w:rPr>
              <w:t>gues</w:t>
            </w:r>
          </w:p>
        </w:tc>
        <w:tc>
          <w:tcPr>
            <w:tcW w:w="1409" w:type="dxa"/>
            <w:vMerge w:val="restart"/>
          </w:tcPr>
          <w:p w:rsidR="00773E68" w:rsidRPr="00B35E26" w:rsidRDefault="00773E68" w:rsidP="00773E68">
            <w:pPr>
              <w:jc w:val="both"/>
              <w:rPr>
                <w:rFonts w:ascii="Times New Roman" w:eastAsia="Times New Roman" w:hAnsi="Times New Roman" w:cs="Times New Roman"/>
                <w:b/>
                <w:sz w:val="20"/>
                <w:szCs w:val="20"/>
              </w:rPr>
            </w:pPr>
          </w:p>
          <w:p w:rsidR="00773E68" w:rsidRPr="00B35E26" w:rsidRDefault="00B35E26"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Nj. Matjes</w:t>
            </w:r>
          </w:p>
        </w:tc>
        <w:tc>
          <w:tcPr>
            <w:tcW w:w="709" w:type="dxa"/>
            <w:vMerge w:val="restart"/>
          </w:tcPr>
          <w:p w:rsidR="00773E68" w:rsidRPr="00B35E26" w:rsidRDefault="00B35E26"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Limit</w:t>
            </w:r>
          </w:p>
        </w:tc>
        <w:tc>
          <w:tcPr>
            <w:tcW w:w="6237" w:type="dxa"/>
            <w:gridSpan w:val="8"/>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REZULTATET</w:t>
            </w:r>
          </w:p>
        </w:tc>
      </w:tr>
      <w:tr w:rsidR="00773E68" w:rsidRPr="00773E68" w:rsidTr="00B35E26">
        <w:tc>
          <w:tcPr>
            <w:tcW w:w="1260" w:type="dxa"/>
            <w:vMerge/>
          </w:tcPr>
          <w:p w:rsidR="00773E68" w:rsidRPr="00B35E26" w:rsidRDefault="00773E68" w:rsidP="00773E68">
            <w:pPr>
              <w:jc w:val="both"/>
              <w:rPr>
                <w:rFonts w:ascii="Times New Roman" w:eastAsia="Times New Roman" w:hAnsi="Times New Roman" w:cs="Times New Roman"/>
                <w:b/>
                <w:sz w:val="20"/>
                <w:szCs w:val="20"/>
              </w:rPr>
            </w:pPr>
          </w:p>
        </w:tc>
        <w:tc>
          <w:tcPr>
            <w:tcW w:w="990" w:type="dxa"/>
            <w:vMerge/>
          </w:tcPr>
          <w:p w:rsidR="00773E68" w:rsidRPr="00B35E26" w:rsidRDefault="00773E68" w:rsidP="00773E68">
            <w:pPr>
              <w:jc w:val="both"/>
              <w:rPr>
                <w:rFonts w:ascii="Times New Roman" w:eastAsia="Times New Roman" w:hAnsi="Times New Roman" w:cs="Times New Roman"/>
                <w:b/>
                <w:sz w:val="20"/>
                <w:szCs w:val="20"/>
              </w:rPr>
            </w:pPr>
          </w:p>
        </w:tc>
        <w:tc>
          <w:tcPr>
            <w:tcW w:w="1409" w:type="dxa"/>
            <w:vMerge/>
          </w:tcPr>
          <w:p w:rsidR="00773E68" w:rsidRPr="00B35E26" w:rsidRDefault="00773E68" w:rsidP="00773E68">
            <w:pPr>
              <w:jc w:val="both"/>
              <w:rPr>
                <w:rFonts w:ascii="Times New Roman" w:eastAsia="Times New Roman" w:hAnsi="Times New Roman" w:cs="Times New Roman"/>
                <w:b/>
                <w:sz w:val="20"/>
                <w:szCs w:val="20"/>
              </w:rPr>
            </w:pPr>
          </w:p>
        </w:tc>
        <w:tc>
          <w:tcPr>
            <w:tcW w:w="709" w:type="dxa"/>
            <w:vMerge/>
          </w:tcPr>
          <w:p w:rsidR="00773E68" w:rsidRPr="00B35E26" w:rsidRDefault="00773E68" w:rsidP="00773E68">
            <w:pPr>
              <w:jc w:val="both"/>
              <w:rPr>
                <w:rFonts w:ascii="Times New Roman" w:eastAsia="Times New Roman" w:hAnsi="Times New Roman" w:cs="Times New Roman"/>
                <w:b/>
                <w:sz w:val="20"/>
                <w:szCs w:val="20"/>
              </w:rPr>
            </w:pPr>
          </w:p>
        </w:tc>
        <w:tc>
          <w:tcPr>
            <w:tcW w:w="708"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 xml:space="preserve">M. 1   0–30 </w:t>
            </w:r>
          </w:p>
        </w:tc>
        <w:tc>
          <w:tcPr>
            <w:tcW w:w="709"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 xml:space="preserve">M.   2 0–30 </w:t>
            </w:r>
          </w:p>
        </w:tc>
        <w:tc>
          <w:tcPr>
            <w:tcW w:w="709"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M  3</w:t>
            </w:r>
          </w:p>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0 - 30</w:t>
            </w:r>
          </w:p>
        </w:tc>
        <w:tc>
          <w:tcPr>
            <w:tcW w:w="850"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 xml:space="preserve">M.  4 </w:t>
            </w:r>
          </w:p>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 xml:space="preserve">0–30 </w:t>
            </w:r>
          </w:p>
          <w:p w:rsidR="00773E68" w:rsidRPr="00B35E26" w:rsidRDefault="00773E68" w:rsidP="00773E68">
            <w:pPr>
              <w:jc w:val="both"/>
              <w:rPr>
                <w:rFonts w:ascii="Times New Roman" w:eastAsia="Times New Roman" w:hAnsi="Times New Roman" w:cs="Times New Roman"/>
                <w:b/>
                <w:sz w:val="20"/>
                <w:szCs w:val="20"/>
              </w:rPr>
            </w:pPr>
          </w:p>
        </w:tc>
        <w:tc>
          <w:tcPr>
            <w:tcW w:w="993"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M. 5</w:t>
            </w:r>
          </w:p>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0 - 30</w:t>
            </w:r>
          </w:p>
        </w:tc>
        <w:tc>
          <w:tcPr>
            <w:tcW w:w="850"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M. 6</w:t>
            </w:r>
          </w:p>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0 - 30</w:t>
            </w:r>
          </w:p>
        </w:tc>
        <w:tc>
          <w:tcPr>
            <w:tcW w:w="709" w:type="dxa"/>
          </w:tcPr>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M.7</w:t>
            </w:r>
          </w:p>
          <w:p w:rsidR="00773E68" w:rsidRPr="00B35E26" w:rsidRDefault="00773E68" w:rsidP="00773E68">
            <w:pPr>
              <w:jc w:val="both"/>
              <w:rPr>
                <w:rFonts w:ascii="Times New Roman" w:eastAsia="Times New Roman" w:hAnsi="Times New Roman" w:cs="Times New Roman"/>
                <w:b/>
                <w:sz w:val="20"/>
                <w:szCs w:val="20"/>
              </w:rPr>
            </w:pPr>
            <w:r w:rsidRPr="00B35E26">
              <w:rPr>
                <w:rFonts w:ascii="Times New Roman" w:eastAsia="Times New Roman" w:hAnsi="Times New Roman" w:cs="Times New Roman"/>
                <w:b/>
                <w:sz w:val="20"/>
                <w:szCs w:val="20"/>
              </w:rPr>
              <w:t>0 - 30</w:t>
            </w:r>
          </w:p>
        </w:tc>
        <w:tc>
          <w:tcPr>
            <w:tcW w:w="709" w:type="dxa"/>
          </w:tcPr>
          <w:p w:rsidR="00773E68" w:rsidRPr="00773E68" w:rsidRDefault="00773E68" w:rsidP="00773E68">
            <w:pPr>
              <w:jc w:val="both"/>
              <w:rPr>
                <w:rFonts w:ascii="Times New Roman" w:eastAsia="Times New Roman" w:hAnsi="Times New Roman" w:cs="Times New Roman"/>
                <w:b/>
                <w:sz w:val="24"/>
                <w:szCs w:val="24"/>
              </w:rPr>
            </w:pPr>
          </w:p>
        </w:tc>
      </w:tr>
      <w:tr w:rsidR="00773E68" w:rsidRPr="00773E68" w:rsidTr="00B35E26">
        <w:trPr>
          <w:trHeight w:val="134"/>
        </w:trPr>
        <w:tc>
          <w:tcPr>
            <w:tcW w:w="1260" w:type="dxa"/>
            <w:vMerge w:val="restart"/>
          </w:tcPr>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Ish- Uzina e Baterive</w:t>
            </w:r>
          </w:p>
          <w:p w:rsidR="00773E68" w:rsidRPr="00773E68" w:rsidRDefault="00773E68" w:rsidP="00773E68">
            <w:pPr>
              <w:jc w:val="both"/>
              <w:rPr>
                <w:rFonts w:ascii="Times New Roman" w:eastAsia="Times New Roman" w:hAnsi="Times New Roman" w:cs="Times New Roman"/>
                <w:b/>
                <w:sz w:val="24"/>
                <w:szCs w:val="24"/>
              </w:rPr>
            </w:pPr>
            <w:r w:rsidRPr="00773E68">
              <w:rPr>
                <w:rFonts w:ascii="Times New Roman" w:eastAsia="Times New Roman" w:hAnsi="Times New Roman" w:cs="Times New Roman"/>
                <w:sz w:val="24"/>
                <w:szCs w:val="24"/>
              </w:rPr>
              <w:t>Berat</w:t>
            </w: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0.97</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0.94</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0.81</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0.86</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0.80</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0.78</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0.72</w:t>
            </w:r>
          </w:p>
        </w:tc>
        <w:tc>
          <w:tcPr>
            <w:tcW w:w="709" w:type="dxa"/>
          </w:tcPr>
          <w:p w:rsidR="00773E68" w:rsidRPr="00773E68" w:rsidRDefault="00773E68" w:rsidP="00773E68">
            <w:pPr>
              <w:jc w:val="both"/>
              <w:rPr>
                <w:rFonts w:ascii="Times New Roman" w:eastAsia="Times New Roman" w:hAnsi="Times New Roman" w:cs="Times New Roman"/>
                <w:sz w:val="24"/>
                <w:szCs w:val="24"/>
              </w:rPr>
            </w:pPr>
          </w:p>
        </w:tc>
      </w:tr>
      <w:tr w:rsidR="00773E68" w:rsidRPr="00773E68" w:rsidTr="00B35E26">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1.74</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1.41</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1.31</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1.15</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1.01</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1.21</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1.24</w:t>
            </w:r>
          </w:p>
        </w:tc>
        <w:tc>
          <w:tcPr>
            <w:tcW w:w="709" w:type="dxa"/>
          </w:tcPr>
          <w:p w:rsidR="00773E68" w:rsidRPr="00773E68" w:rsidRDefault="00773E68" w:rsidP="00773E68">
            <w:pPr>
              <w:jc w:val="both"/>
              <w:rPr>
                <w:rFonts w:ascii="Times New Roman" w:eastAsia="Times New Roman" w:hAnsi="Times New Roman" w:cs="Times New Roman"/>
                <w:sz w:val="24"/>
                <w:szCs w:val="24"/>
              </w:rPr>
            </w:pPr>
          </w:p>
        </w:tc>
      </w:tr>
      <w:tr w:rsidR="00773E68" w:rsidRPr="00773E68" w:rsidTr="00B35E26">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10.5</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3.2</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4.7</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2.5</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1.4</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w:t>
            </w:r>
          </w:p>
        </w:tc>
        <w:tc>
          <w:tcPr>
            <w:tcW w:w="709" w:type="dxa"/>
          </w:tcPr>
          <w:p w:rsidR="00773E68" w:rsidRPr="00773E68" w:rsidRDefault="00773E68" w:rsidP="00773E68">
            <w:pPr>
              <w:jc w:val="both"/>
              <w:rPr>
                <w:rFonts w:ascii="Times New Roman" w:eastAsia="Times New Roman" w:hAnsi="Times New Roman" w:cs="Times New Roman"/>
                <w:sz w:val="24"/>
                <w:szCs w:val="24"/>
              </w:rPr>
            </w:pPr>
          </w:p>
        </w:tc>
      </w:tr>
      <w:tr w:rsidR="00773E68" w:rsidRPr="00773E68" w:rsidTr="00B35E26">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4.06</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5.21</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5.18</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3.54</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3.72</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3.81</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3.90</w:t>
            </w:r>
          </w:p>
        </w:tc>
        <w:tc>
          <w:tcPr>
            <w:tcW w:w="709" w:type="dxa"/>
          </w:tcPr>
          <w:p w:rsidR="00773E68" w:rsidRPr="00773E68" w:rsidRDefault="00773E68" w:rsidP="00773E68">
            <w:pPr>
              <w:jc w:val="both"/>
              <w:rPr>
                <w:rFonts w:ascii="Times New Roman" w:eastAsia="Times New Roman" w:hAnsi="Times New Roman" w:cs="Times New Roman"/>
                <w:sz w:val="24"/>
                <w:szCs w:val="24"/>
              </w:rPr>
            </w:pPr>
          </w:p>
        </w:tc>
      </w:tr>
      <w:tr w:rsidR="00773E68" w:rsidRPr="00773E68" w:rsidTr="00B35E26">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0.73</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0.56</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0.40</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0.87</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0.71</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0.65</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0.53</w:t>
            </w:r>
          </w:p>
        </w:tc>
        <w:tc>
          <w:tcPr>
            <w:tcW w:w="709" w:type="dxa"/>
          </w:tcPr>
          <w:p w:rsidR="00773E68" w:rsidRPr="00773E68" w:rsidRDefault="00773E68" w:rsidP="00773E68">
            <w:pPr>
              <w:jc w:val="both"/>
              <w:rPr>
                <w:rFonts w:ascii="Times New Roman" w:eastAsia="Times New Roman" w:hAnsi="Times New Roman" w:cs="Times New Roman"/>
                <w:sz w:val="24"/>
                <w:szCs w:val="24"/>
              </w:rPr>
            </w:pPr>
          </w:p>
        </w:tc>
      </w:tr>
      <w:tr w:rsidR="00773E68" w:rsidRPr="00773E68" w:rsidTr="00B35E26">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12.0</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4.4</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2.8</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10.9</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10.85</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10.87</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11.8</w:t>
            </w:r>
          </w:p>
        </w:tc>
        <w:tc>
          <w:tcPr>
            <w:tcW w:w="709" w:type="dxa"/>
          </w:tcPr>
          <w:p w:rsidR="00773E68" w:rsidRPr="00773E68" w:rsidRDefault="00773E68" w:rsidP="00773E68">
            <w:pPr>
              <w:jc w:val="both"/>
              <w:rPr>
                <w:rFonts w:ascii="Times New Roman" w:eastAsia="Times New Roman" w:hAnsi="Times New Roman" w:cs="Times New Roman"/>
                <w:sz w:val="24"/>
                <w:szCs w:val="24"/>
              </w:rPr>
            </w:pPr>
          </w:p>
        </w:tc>
      </w:tr>
      <w:tr w:rsidR="00773E68" w:rsidRPr="00773E68" w:rsidTr="00B35E26">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Mn</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9.1</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11.2</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7.9</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9.7</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11.7</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11.9</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12.6</w:t>
            </w:r>
          </w:p>
        </w:tc>
        <w:tc>
          <w:tcPr>
            <w:tcW w:w="709" w:type="dxa"/>
          </w:tcPr>
          <w:p w:rsidR="00773E68" w:rsidRPr="00773E68" w:rsidRDefault="00773E68" w:rsidP="00773E68">
            <w:pPr>
              <w:jc w:val="both"/>
              <w:rPr>
                <w:rFonts w:ascii="Times New Roman" w:eastAsia="Times New Roman" w:hAnsi="Times New Roman" w:cs="Times New Roman"/>
                <w:sz w:val="24"/>
                <w:szCs w:val="24"/>
              </w:rPr>
            </w:pPr>
          </w:p>
        </w:tc>
      </w:tr>
    </w:tbl>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rPr>
      </w:pPr>
    </w:p>
    <w:p w:rsidR="00773E68" w:rsidRPr="007373E6" w:rsidRDefault="00681B50" w:rsidP="007373E6">
      <w:pPr>
        <w:spacing w:after="0" w:line="240" w:lineRule="auto"/>
        <w:jc w:val="center"/>
        <w:rPr>
          <w:rFonts w:ascii="Times New Roman" w:eastAsia="Times New Roman" w:hAnsi="Times New Roman" w:cs="Times New Roman"/>
          <w:sz w:val="24"/>
          <w:szCs w:val="24"/>
          <w:lang w:val="nn-NO"/>
        </w:rPr>
      </w:pPr>
      <w:r>
        <w:rPr>
          <w:rFonts w:ascii="Times New Roman" w:eastAsia="Times New Roman" w:hAnsi="Times New Roman" w:cs="Times New Roman"/>
          <w:sz w:val="24"/>
          <w:szCs w:val="24"/>
          <w:lang w:val="nn-NO"/>
        </w:rPr>
        <w:t>Tabela 50</w:t>
      </w:r>
      <w:r w:rsidR="00773E68" w:rsidRPr="007373E6">
        <w:rPr>
          <w:rFonts w:ascii="Times New Roman" w:eastAsia="Times New Roman" w:hAnsi="Times New Roman" w:cs="Times New Roman"/>
          <w:sz w:val="24"/>
          <w:szCs w:val="24"/>
          <w:lang w:val="nn-NO"/>
        </w:rPr>
        <w:t xml:space="preserve">. </w:t>
      </w:r>
      <w:r>
        <w:rPr>
          <w:rFonts w:ascii="Times New Roman" w:eastAsia="Times New Roman" w:hAnsi="Times New Roman" w:cs="Times New Roman"/>
          <w:sz w:val="24"/>
          <w:szCs w:val="24"/>
          <w:lang w:val="nn-NO"/>
        </w:rPr>
        <w:t>Rezultatet  e tregues</w:t>
      </w:r>
      <w:r w:rsidR="00446FEB" w:rsidRPr="007373E6">
        <w:rPr>
          <w:rFonts w:ascii="Times New Roman" w:eastAsia="Times New Roman" w:hAnsi="Times New Roman" w:cs="Times New Roman"/>
          <w:sz w:val="24"/>
          <w:szCs w:val="24"/>
          <w:lang w:val="nn-NO"/>
        </w:rPr>
        <w:t xml:space="preserve">ve </w:t>
      </w:r>
      <w:r w:rsidR="00773E68" w:rsidRPr="007373E6">
        <w:rPr>
          <w:rFonts w:ascii="Times New Roman" w:eastAsia="Times New Roman" w:hAnsi="Times New Roman" w:cs="Times New Roman"/>
          <w:sz w:val="24"/>
          <w:szCs w:val="24"/>
          <w:lang w:val="nn-NO"/>
        </w:rPr>
        <w:t>për profilet.</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tbl>
      <w:tblPr>
        <w:tblStyle w:val="TableGrid3"/>
        <w:tblW w:w="10605" w:type="dxa"/>
        <w:tblInd w:w="-432" w:type="dxa"/>
        <w:tblLayout w:type="fixed"/>
        <w:tblLook w:val="04A0" w:firstRow="1" w:lastRow="0" w:firstColumn="1" w:lastColumn="0" w:noHBand="0" w:noVBand="1"/>
      </w:tblPr>
      <w:tblGrid>
        <w:gridCol w:w="1260"/>
        <w:gridCol w:w="990"/>
        <w:gridCol w:w="1409"/>
        <w:gridCol w:w="709"/>
        <w:gridCol w:w="992"/>
        <w:gridCol w:w="992"/>
        <w:gridCol w:w="992"/>
        <w:gridCol w:w="993"/>
        <w:gridCol w:w="992"/>
        <w:gridCol w:w="1276"/>
      </w:tblGrid>
      <w:tr w:rsidR="00773E68" w:rsidRPr="00773E68" w:rsidTr="007373E6">
        <w:tc>
          <w:tcPr>
            <w:tcW w:w="1260" w:type="dxa"/>
            <w:vMerge w:val="restart"/>
          </w:tcPr>
          <w:p w:rsidR="00773E68" w:rsidRPr="007373E6" w:rsidRDefault="00773E68" w:rsidP="00773E68">
            <w:pPr>
              <w:jc w:val="both"/>
              <w:rPr>
                <w:rFonts w:ascii="Times New Roman" w:eastAsia="Times New Roman" w:hAnsi="Times New Roman" w:cs="Times New Roman"/>
                <w:b/>
                <w:sz w:val="20"/>
                <w:szCs w:val="20"/>
                <w:lang w:val="nn-NO"/>
              </w:rPr>
            </w:pPr>
          </w:p>
          <w:p w:rsidR="00773E68" w:rsidRPr="007373E6" w:rsidRDefault="007373E6" w:rsidP="00773E68">
            <w:pPr>
              <w:jc w:val="both"/>
              <w:rPr>
                <w:rFonts w:ascii="Times New Roman" w:eastAsia="Times New Roman" w:hAnsi="Times New Roman" w:cs="Times New Roman"/>
                <w:b/>
                <w:sz w:val="20"/>
                <w:szCs w:val="20"/>
                <w:lang w:val="nn-NO"/>
              </w:rPr>
            </w:pPr>
            <w:r w:rsidRPr="007373E6">
              <w:rPr>
                <w:rFonts w:ascii="Times New Roman" w:eastAsia="Times New Roman" w:hAnsi="Times New Roman" w:cs="Times New Roman"/>
                <w:b/>
                <w:sz w:val="20"/>
                <w:szCs w:val="20"/>
                <w:lang w:val="nn-NO"/>
              </w:rPr>
              <w:t>Vendi</w:t>
            </w:r>
          </w:p>
        </w:tc>
        <w:tc>
          <w:tcPr>
            <w:tcW w:w="990" w:type="dxa"/>
            <w:vMerge w:val="restart"/>
          </w:tcPr>
          <w:p w:rsidR="00773E68" w:rsidRPr="007373E6" w:rsidRDefault="00773E68" w:rsidP="00773E68">
            <w:pPr>
              <w:jc w:val="both"/>
              <w:rPr>
                <w:rFonts w:ascii="Times New Roman" w:eastAsia="Times New Roman" w:hAnsi="Times New Roman" w:cs="Times New Roman"/>
                <w:b/>
                <w:sz w:val="20"/>
                <w:szCs w:val="20"/>
                <w:lang w:val="nn-NO"/>
              </w:rPr>
            </w:pPr>
          </w:p>
          <w:p w:rsidR="00773E68" w:rsidRPr="007373E6" w:rsidRDefault="007373E6" w:rsidP="00773E68">
            <w:pPr>
              <w:jc w:val="both"/>
              <w:rPr>
                <w:rFonts w:ascii="Times New Roman" w:eastAsia="Times New Roman" w:hAnsi="Times New Roman" w:cs="Times New Roman"/>
                <w:b/>
                <w:sz w:val="20"/>
                <w:szCs w:val="20"/>
                <w:lang w:val="nn-NO"/>
              </w:rPr>
            </w:pPr>
            <w:r w:rsidRPr="007373E6">
              <w:rPr>
                <w:rFonts w:ascii="Times New Roman" w:eastAsia="Times New Roman" w:hAnsi="Times New Roman" w:cs="Times New Roman"/>
                <w:b/>
                <w:sz w:val="20"/>
                <w:szCs w:val="20"/>
                <w:lang w:val="nn-NO"/>
              </w:rPr>
              <w:t>Tre</w:t>
            </w:r>
            <w:r>
              <w:rPr>
                <w:rFonts w:ascii="Times New Roman" w:eastAsia="Times New Roman" w:hAnsi="Times New Roman" w:cs="Times New Roman"/>
                <w:b/>
                <w:sz w:val="20"/>
                <w:szCs w:val="20"/>
                <w:lang w:val="nn-NO"/>
              </w:rPr>
              <w:t>gues</w:t>
            </w:r>
          </w:p>
        </w:tc>
        <w:tc>
          <w:tcPr>
            <w:tcW w:w="1409" w:type="dxa"/>
            <w:vMerge w:val="restart"/>
          </w:tcPr>
          <w:p w:rsidR="00773E68" w:rsidRPr="007373E6" w:rsidRDefault="00773E68" w:rsidP="00773E68">
            <w:pPr>
              <w:jc w:val="both"/>
              <w:rPr>
                <w:rFonts w:ascii="Times New Roman" w:eastAsia="Times New Roman" w:hAnsi="Times New Roman" w:cs="Times New Roman"/>
                <w:b/>
                <w:sz w:val="20"/>
                <w:szCs w:val="20"/>
                <w:lang w:val="nn-NO"/>
              </w:rPr>
            </w:pPr>
          </w:p>
          <w:p w:rsidR="00773E68" w:rsidRPr="007373E6" w:rsidRDefault="007373E6" w:rsidP="00773E68">
            <w:pPr>
              <w:jc w:val="both"/>
              <w:rPr>
                <w:rFonts w:ascii="Times New Roman" w:eastAsia="Times New Roman" w:hAnsi="Times New Roman" w:cs="Times New Roman"/>
                <w:b/>
                <w:sz w:val="20"/>
                <w:szCs w:val="20"/>
                <w:lang w:val="nn-NO"/>
              </w:rPr>
            </w:pPr>
            <w:r w:rsidRPr="007373E6">
              <w:rPr>
                <w:rFonts w:ascii="Times New Roman" w:eastAsia="Times New Roman" w:hAnsi="Times New Roman" w:cs="Times New Roman"/>
                <w:b/>
                <w:sz w:val="20"/>
                <w:szCs w:val="20"/>
                <w:lang w:val="nn-NO"/>
              </w:rPr>
              <w:t>Nj. Matjes</w:t>
            </w:r>
          </w:p>
        </w:tc>
        <w:tc>
          <w:tcPr>
            <w:tcW w:w="709" w:type="dxa"/>
            <w:vMerge w:val="restart"/>
          </w:tcPr>
          <w:p w:rsidR="00773E68" w:rsidRPr="007373E6" w:rsidRDefault="007373E6" w:rsidP="00773E68">
            <w:pPr>
              <w:jc w:val="both"/>
              <w:rPr>
                <w:rFonts w:ascii="Times New Roman" w:eastAsia="Times New Roman" w:hAnsi="Times New Roman" w:cs="Times New Roman"/>
                <w:b/>
                <w:sz w:val="20"/>
                <w:szCs w:val="20"/>
                <w:lang w:val="nn-NO"/>
              </w:rPr>
            </w:pPr>
            <w:r w:rsidRPr="007373E6">
              <w:rPr>
                <w:rFonts w:ascii="Times New Roman" w:eastAsia="Times New Roman" w:hAnsi="Times New Roman" w:cs="Times New Roman"/>
                <w:b/>
                <w:sz w:val="20"/>
                <w:szCs w:val="20"/>
                <w:lang w:val="nn-NO"/>
              </w:rPr>
              <w:t>Limit</w:t>
            </w:r>
          </w:p>
        </w:tc>
        <w:tc>
          <w:tcPr>
            <w:tcW w:w="6237" w:type="dxa"/>
            <w:gridSpan w:val="6"/>
          </w:tcPr>
          <w:p w:rsidR="00773E68" w:rsidRPr="007373E6" w:rsidRDefault="00773E68" w:rsidP="00773E68">
            <w:pPr>
              <w:jc w:val="both"/>
              <w:rPr>
                <w:rFonts w:ascii="Times New Roman" w:eastAsia="Times New Roman" w:hAnsi="Times New Roman" w:cs="Times New Roman"/>
                <w:b/>
                <w:sz w:val="20"/>
                <w:szCs w:val="20"/>
                <w:lang w:val="nn-NO"/>
              </w:rPr>
            </w:pPr>
            <w:r w:rsidRPr="007373E6">
              <w:rPr>
                <w:rFonts w:ascii="Times New Roman" w:eastAsia="Times New Roman" w:hAnsi="Times New Roman" w:cs="Times New Roman"/>
                <w:b/>
                <w:sz w:val="20"/>
                <w:szCs w:val="20"/>
                <w:lang w:val="nn-NO"/>
              </w:rPr>
              <w:t>REZULTATET PËR PROFILET</w:t>
            </w:r>
          </w:p>
        </w:tc>
      </w:tr>
      <w:tr w:rsidR="00773E68" w:rsidRPr="00773E68" w:rsidTr="007373E6">
        <w:tc>
          <w:tcPr>
            <w:tcW w:w="1260" w:type="dxa"/>
            <w:vMerge/>
          </w:tcPr>
          <w:p w:rsidR="00773E68" w:rsidRPr="007373E6" w:rsidRDefault="00773E68" w:rsidP="00773E68">
            <w:pPr>
              <w:jc w:val="both"/>
              <w:rPr>
                <w:rFonts w:ascii="Times New Roman" w:eastAsia="Times New Roman" w:hAnsi="Times New Roman" w:cs="Times New Roman"/>
                <w:b/>
                <w:sz w:val="20"/>
                <w:szCs w:val="20"/>
                <w:lang w:val="nn-NO"/>
              </w:rPr>
            </w:pPr>
          </w:p>
        </w:tc>
        <w:tc>
          <w:tcPr>
            <w:tcW w:w="990" w:type="dxa"/>
            <w:vMerge/>
          </w:tcPr>
          <w:p w:rsidR="00773E68" w:rsidRPr="007373E6" w:rsidRDefault="00773E68" w:rsidP="00773E68">
            <w:pPr>
              <w:jc w:val="both"/>
              <w:rPr>
                <w:rFonts w:ascii="Times New Roman" w:eastAsia="Times New Roman" w:hAnsi="Times New Roman" w:cs="Times New Roman"/>
                <w:b/>
                <w:sz w:val="20"/>
                <w:szCs w:val="20"/>
                <w:lang w:val="nn-NO"/>
              </w:rPr>
            </w:pPr>
          </w:p>
        </w:tc>
        <w:tc>
          <w:tcPr>
            <w:tcW w:w="1409" w:type="dxa"/>
            <w:vMerge/>
          </w:tcPr>
          <w:p w:rsidR="00773E68" w:rsidRPr="007373E6" w:rsidRDefault="00773E68" w:rsidP="00773E68">
            <w:pPr>
              <w:jc w:val="both"/>
              <w:rPr>
                <w:rFonts w:ascii="Times New Roman" w:eastAsia="Times New Roman" w:hAnsi="Times New Roman" w:cs="Times New Roman"/>
                <w:b/>
                <w:sz w:val="20"/>
                <w:szCs w:val="20"/>
                <w:lang w:val="nn-NO"/>
              </w:rPr>
            </w:pPr>
          </w:p>
        </w:tc>
        <w:tc>
          <w:tcPr>
            <w:tcW w:w="709" w:type="dxa"/>
            <w:vMerge/>
          </w:tcPr>
          <w:p w:rsidR="00773E68" w:rsidRPr="007373E6" w:rsidRDefault="00773E68" w:rsidP="00773E68">
            <w:pPr>
              <w:jc w:val="both"/>
              <w:rPr>
                <w:rFonts w:ascii="Times New Roman" w:eastAsia="Times New Roman" w:hAnsi="Times New Roman" w:cs="Times New Roman"/>
                <w:b/>
                <w:sz w:val="20"/>
                <w:szCs w:val="20"/>
                <w:lang w:val="nn-NO"/>
              </w:rPr>
            </w:pPr>
          </w:p>
        </w:tc>
        <w:tc>
          <w:tcPr>
            <w:tcW w:w="992" w:type="dxa"/>
          </w:tcPr>
          <w:p w:rsidR="00773E68" w:rsidRPr="007373E6" w:rsidRDefault="00773E68" w:rsidP="00773E68">
            <w:pPr>
              <w:jc w:val="both"/>
              <w:rPr>
                <w:rFonts w:ascii="Times New Roman" w:eastAsia="Times New Roman" w:hAnsi="Times New Roman" w:cs="Times New Roman"/>
                <w:b/>
                <w:sz w:val="20"/>
                <w:szCs w:val="20"/>
                <w:lang w:val="nn-NO"/>
              </w:rPr>
            </w:pPr>
            <w:r w:rsidRPr="007373E6">
              <w:rPr>
                <w:rFonts w:ascii="Times New Roman" w:eastAsia="Times New Roman" w:hAnsi="Times New Roman" w:cs="Times New Roman"/>
                <w:b/>
                <w:sz w:val="20"/>
                <w:szCs w:val="20"/>
                <w:lang w:val="nn-NO"/>
              </w:rPr>
              <w:t>Profili  1</w:t>
            </w:r>
          </w:p>
          <w:p w:rsidR="00773E68" w:rsidRPr="007373E6" w:rsidRDefault="00773E68" w:rsidP="00773E68">
            <w:pPr>
              <w:jc w:val="both"/>
              <w:rPr>
                <w:rFonts w:ascii="Times New Roman" w:eastAsia="Times New Roman" w:hAnsi="Times New Roman" w:cs="Times New Roman"/>
                <w:b/>
                <w:sz w:val="20"/>
                <w:szCs w:val="20"/>
                <w:lang w:val="nn-NO"/>
              </w:rPr>
            </w:pPr>
          </w:p>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lang w:val="nn-NO"/>
              </w:rPr>
              <w:t xml:space="preserve">0 </w:t>
            </w:r>
            <w:r w:rsidRPr="007373E6">
              <w:rPr>
                <w:rFonts w:ascii="Times New Roman" w:eastAsia="Times New Roman" w:hAnsi="Times New Roman" w:cs="Times New Roman"/>
                <w:b/>
                <w:sz w:val="20"/>
                <w:szCs w:val="20"/>
              </w:rPr>
              <w:t xml:space="preserve">– 30 cm </w:t>
            </w:r>
          </w:p>
        </w:tc>
        <w:tc>
          <w:tcPr>
            <w:tcW w:w="992" w:type="dxa"/>
          </w:tcPr>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Profili  1</w:t>
            </w:r>
          </w:p>
          <w:p w:rsidR="00773E68" w:rsidRPr="007373E6" w:rsidRDefault="00773E68" w:rsidP="00773E68">
            <w:pPr>
              <w:jc w:val="both"/>
              <w:rPr>
                <w:rFonts w:ascii="Times New Roman" w:eastAsia="Times New Roman" w:hAnsi="Times New Roman" w:cs="Times New Roman"/>
                <w:b/>
                <w:sz w:val="20"/>
                <w:szCs w:val="20"/>
              </w:rPr>
            </w:pPr>
          </w:p>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0 – 60 cm</w:t>
            </w:r>
          </w:p>
        </w:tc>
        <w:tc>
          <w:tcPr>
            <w:tcW w:w="992" w:type="dxa"/>
          </w:tcPr>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Profili  1</w:t>
            </w:r>
          </w:p>
          <w:p w:rsidR="00773E68" w:rsidRPr="007373E6" w:rsidRDefault="00773E68" w:rsidP="00773E68">
            <w:pPr>
              <w:jc w:val="both"/>
              <w:rPr>
                <w:rFonts w:ascii="Times New Roman" w:eastAsia="Times New Roman" w:hAnsi="Times New Roman" w:cs="Times New Roman"/>
                <w:b/>
                <w:sz w:val="20"/>
                <w:szCs w:val="20"/>
              </w:rPr>
            </w:pPr>
          </w:p>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60 -100 cm</w:t>
            </w:r>
          </w:p>
        </w:tc>
        <w:tc>
          <w:tcPr>
            <w:tcW w:w="993" w:type="dxa"/>
          </w:tcPr>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Profili  2</w:t>
            </w:r>
          </w:p>
          <w:p w:rsidR="00773E68" w:rsidRPr="007373E6" w:rsidRDefault="00773E68" w:rsidP="00773E68">
            <w:pPr>
              <w:jc w:val="both"/>
              <w:rPr>
                <w:rFonts w:ascii="Times New Roman" w:eastAsia="Times New Roman" w:hAnsi="Times New Roman" w:cs="Times New Roman"/>
                <w:b/>
                <w:sz w:val="20"/>
                <w:szCs w:val="20"/>
              </w:rPr>
            </w:pPr>
          </w:p>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 xml:space="preserve">0 – 30 cm </w:t>
            </w:r>
          </w:p>
        </w:tc>
        <w:tc>
          <w:tcPr>
            <w:tcW w:w="992" w:type="dxa"/>
          </w:tcPr>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Profili  2</w:t>
            </w:r>
          </w:p>
          <w:p w:rsidR="00773E68" w:rsidRPr="007373E6" w:rsidRDefault="00773E68" w:rsidP="00773E68">
            <w:pPr>
              <w:jc w:val="both"/>
              <w:rPr>
                <w:rFonts w:ascii="Times New Roman" w:eastAsia="Times New Roman" w:hAnsi="Times New Roman" w:cs="Times New Roman"/>
                <w:b/>
                <w:sz w:val="20"/>
                <w:szCs w:val="20"/>
              </w:rPr>
            </w:pPr>
          </w:p>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0 – 60 cm</w:t>
            </w:r>
          </w:p>
        </w:tc>
        <w:tc>
          <w:tcPr>
            <w:tcW w:w="1276" w:type="dxa"/>
          </w:tcPr>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Profili  2</w:t>
            </w:r>
          </w:p>
          <w:p w:rsidR="00773E68" w:rsidRPr="007373E6" w:rsidRDefault="00773E68" w:rsidP="00773E68">
            <w:pPr>
              <w:jc w:val="both"/>
              <w:rPr>
                <w:rFonts w:ascii="Times New Roman" w:eastAsia="Times New Roman" w:hAnsi="Times New Roman" w:cs="Times New Roman"/>
                <w:b/>
                <w:sz w:val="20"/>
                <w:szCs w:val="20"/>
              </w:rPr>
            </w:pPr>
          </w:p>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60 -100 cm</w:t>
            </w:r>
          </w:p>
        </w:tc>
      </w:tr>
      <w:tr w:rsidR="00773E68" w:rsidRPr="00773E68" w:rsidTr="007373E6">
        <w:trPr>
          <w:trHeight w:val="134"/>
        </w:trPr>
        <w:tc>
          <w:tcPr>
            <w:tcW w:w="1260" w:type="dxa"/>
            <w:vMerge w:val="restart"/>
          </w:tcPr>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Ish-Uzina e Baterive</w:t>
            </w:r>
          </w:p>
          <w:p w:rsidR="00773E68" w:rsidRPr="00773E68" w:rsidRDefault="00773E68" w:rsidP="00773E68">
            <w:pPr>
              <w:jc w:val="both"/>
              <w:rPr>
                <w:rFonts w:ascii="Times New Roman" w:eastAsia="Times New Roman" w:hAnsi="Times New Roman" w:cs="Times New Roman"/>
                <w:b/>
                <w:sz w:val="24"/>
                <w:szCs w:val="24"/>
              </w:rPr>
            </w:pPr>
            <w:r w:rsidRPr="00773E68">
              <w:rPr>
                <w:rFonts w:ascii="Times New Roman" w:eastAsia="Times New Roman" w:hAnsi="Times New Roman" w:cs="Times New Roman"/>
                <w:sz w:val="24"/>
                <w:szCs w:val="24"/>
              </w:rPr>
              <w:t>Berat</w:t>
            </w:r>
          </w:p>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0.68</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0.65</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0.60</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0.50</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0.46</w:t>
            </w:r>
          </w:p>
        </w:tc>
      </w:tr>
      <w:tr w:rsidR="00773E68" w:rsidRPr="00773E68" w:rsidTr="007373E6">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1.62</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1.61</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1.59</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1.42</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1.39</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1.17</w:t>
            </w:r>
          </w:p>
        </w:tc>
      </w:tr>
      <w:tr w:rsidR="00773E68" w:rsidRPr="00773E68" w:rsidTr="007373E6">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2.3</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1.8</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2.2</w:t>
            </w:r>
          </w:p>
        </w:tc>
      </w:tr>
      <w:tr w:rsidR="00773E68" w:rsidRPr="00773E68" w:rsidTr="007373E6">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4.70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4.58</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4.21</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3.59</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4.00</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4.09</w:t>
            </w:r>
          </w:p>
        </w:tc>
      </w:tr>
      <w:tr w:rsidR="00773E68" w:rsidRPr="00773E68" w:rsidTr="007373E6">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0.61</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0.59</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0.47</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0.52</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0.54</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0.59</w:t>
            </w:r>
          </w:p>
        </w:tc>
      </w:tr>
      <w:tr w:rsidR="00773E68" w:rsidRPr="00773E68" w:rsidTr="007373E6">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0.92</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0.90</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0.86</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0.99</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1.15</w:t>
            </w:r>
          </w:p>
        </w:tc>
      </w:tr>
      <w:tr w:rsidR="00773E68" w:rsidRPr="00773E68" w:rsidTr="007373E6">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Mn</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10.4</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10.1</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8.3</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8.9</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9.2</w:t>
            </w:r>
          </w:p>
        </w:tc>
      </w:tr>
    </w:tbl>
    <w:p w:rsidR="00773E68" w:rsidRPr="00773E68" w:rsidRDefault="00773E68" w:rsidP="00773E68">
      <w:pPr>
        <w:spacing w:after="0" w:line="240" w:lineRule="auto"/>
        <w:jc w:val="both"/>
        <w:rPr>
          <w:rFonts w:ascii="Times New Roman" w:eastAsia="Times New Roman" w:hAnsi="Times New Roman" w:cs="Times New Roman"/>
          <w:sz w:val="24"/>
          <w:szCs w:val="24"/>
        </w:rPr>
      </w:pPr>
    </w:p>
    <w:p w:rsidR="00773E68" w:rsidRPr="00773E68" w:rsidRDefault="00773E68" w:rsidP="00773E68">
      <w:pPr>
        <w:spacing w:after="0" w:line="240" w:lineRule="auto"/>
        <w:jc w:val="both"/>
        <w:rPr>
          <w:rFonts w:ascii="Times New Roman" w:eastAsia="Times New Roman" w:hAnsi="Times New Roman" w:cs="Times New Roman"/>
          <w:sz w:val="24"/>
          <w:szCs w:val="24"/>
          <w:highlight w:val="yellow"/>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Duke parë t</w:t>
      </w:r>
      <w:r w:rsidR="00CE44F5">
        <w:rPr>
          <w:rFonts w:ascii="Times New Roman" w:eastAsia="Times New Roman" w:hAnsi="Times New Roman" w:cs="Times New Roman"/>
          <w:sz w:val="24"/>
          <w:szCs w:val="24"/>
          <w:lang w:val="it-IT"/>
        </w:rPr>
        <w:t>r</w:t>
      </w:r>
      <w:r w:rsidRPr="00773E68">
        <w:rPr>
          <w:rFonts w:ascii="Times New Roman" w:eastAsia="Times New Roman" w:hAnsi="Times New Roman" w:cs="Times New Roman"/>
          <w:sz w:val="24"/>
          <w:szCs w:val="24"/>
          <w:lang w:val="it-IT"/>
        </w:rPr>
        <w:t xml:space="preserve">eguesit e paraqitur në tabelën e mësipërme, </w:t>
      </w:r>
      <w:r w:rsidR="00CE44F5">
        <w:rPr>
          <w:rFonts w:ascii="Times New Roman" w:eastAsia="Times New Roman" w:hAnsi="Times New Roman" w:cs="Times New Roman"/>
          <w:sz w:val="24"/>
          <w:szCs w:val="24"/>
          <w:lang w:val="it-IT"/>
        </w:rPr>
        <w:t>vërehet</w:t>
      </w:r>
      <w:r w:rsidRPr="00773E68">
        <w:rPr>
          <w:rFonts w:ascii="Times New Roman" w:eastAsia="Times New Roman" w:hAnsi="Times New Roman" w:cs="Times New Roman"/>
          <w:sz w:val="24"/>
          <w:szCs w:val="24"/>
          <w:lang w:val="it-IT"/>
        </w:rPr>
        <w:t xml:space="preserve"> </w:t>
      </w:r>
      <w:r w:rsidR="00CE44F5">
        <w:rPr>
          <w:rFonts w:ascii="Times New Roman" w:eastAsia="Times New Roman" w:hAnsi="Times New Roman" w:cs="Times New Roman"/>
          <w:sz w:val="24"/>
          <w:szCs w:val="24"/>
          <w:lang w:val="it-IT"/>
        </w:rPr>
        <w:t xml:space="preserve">që </w:t>
      </w:r>
      <w:r w:rsidRPr="00773E68">
        <w:rPr>
          <w:rFonts w:ascii="Times New Roman" w:eastAsia="Times New Roman" w:hAnsi="Times New Roman" w:cs="Times New Roman"/>
          <w:sz w:val="24"/>
          <w:szCs w:val="24"/>
          <w:lang w:val="it-IT"/>
        </w:rPr>
        <w:t xml:space="preserve">të gjithë elementët janë </w:t>
      </w:r>
      <w:r w:rsidR="00CE44F5">
        <w:rPr>
          <w:rFonts w:ascii="Times New Roman" w:eastAsia="Times New Roman" w:hAnsi="Times New Roman" w:cs="Times New Roman"/>
          <w:sz w:val="24"/>
          <w:szCs w:val="24"/>
          <w:lang w:val="it-IT"/>
        </w:rPr>
        <w:t xml:space="preserve">brenda normave të lejuara, pra </w:t>
      </w:r>
      <w:r w:rsidRPr="00773E68">
        <w:rPr>
          <w:rFonts w:ascii="Times New Roman" w:eastAsia="Times New Roman" w:hAnsi="Times New Roman" w:cs="Times New Roman"/>
          <w:sz w:val="24"/>
          <w:szCs w:val="24"/>
          <w:lang w:val="it-IT"/>
        </w:rPr>
        <w:t xml:space="preserve">nuk kemi ndotje të mjedisit. Po të shikohet me kujdes disa mostra kanë përqëndrim më të lartë në disa tregues, që ndodhen brenda perimetrit të ish-uzinës, ndërsa në distancë nga uzina kemi një ndryshim me rënie të treguesëve. Kjo është normale pasi brenda territorit kemi patur një aktivitet më të lartë gjatë shfrytëzimit, ka patur grumbuj, apo pirgje mbeturinash pas përpunimit të cilat kanë qënë të kontaminuara dhe me përqëndrim të disa nga metalet e rënda. </w:t>
      </w:r>
      <w:r w:rsidR="00CE44F5">
        <w:rPr>
          <w:rFonts w:ascii="Times New Roman" w:eastAsia="Times New Roman" w:hAnsi="Times New Roman" w:cs="Times New Roman"/>
          <w:sz w:val="24"/>
          <w:szCs w:val="24"/>
          <w:lang w:val="it-IT"/>
        </w:rPr>
        <w:t>K</w:t>
      </w:r>
      <w:r w:rsidRPr="00773E68">
        <w:rPr>
          <w:rFonts w:ascii="Times New Roman" w:eastAsia="Times New Roman" w:hAnsi="Times New Roman" w:cs="Times New Roman"/>
          <w:sz w:val="24"/>
          <w:szCs w:val="24"/>
          <w:lang w:val="it-IT"/>
        </w:rPr>
        <w:t>emi një tende</w:t>
      </w:r>
      <w:r w:rsidR="00CE44F5">
        <w:rPr>
          <w:rFonts w:ascii="Times New Roman" w:eastAsia="Times New Roman" w:hAnsi="Times New Roman" w:cs="Times New Roman"/>
          <w:sz w:val="24"/>
          <w:szCs w:val="24"/>
          <w:lang w:val="it-IT"/>
        </w:rPr>
        <w:t>n</w:t>
      </w:r>
      <w:r w:rsidRPr="00773E68">
        <w:rPr>
          <w:rFonts w:ascii="Times New Roman" w:eastAsia="Times New Roman" w:hAnsi="Times New Roman" w:cs="Times New Roman"/>
          <w:sz w:val="24"/>
          <w:szCs w:val="24"/>
          <w:lang w:val="it-IT"/>
        </w:rPr>
        <w:t>cë në ulje të treguesëve</w:t>
      </w:r>
      <w:r w:rsidR="00CE44F5">
        <w:rPr>
          <w:rFonts w:ascii="Times New Roman" w:eastAsia="Times New Roman" w:hAnsi="Times New Roman" w:cs="Times New Roman"/>
          <w:sz w:val="24"/>
          <w:szCs w:val="24"/>
          <w:lang w:val="it-IT"/>
        </w:rPr>
        <w:t xml:space="preserve"> në distancë më të largët</w:t>
      </w:r>
      <w:r w:rsidRPr="00773E68">
        <w:rPr>
          <w:rFonts w:ascii="Times New Roman" w:eastAsia="Times New Roman" w:hAnsi="Times New Roman" w:cs="Times New Roman"/>
          <w:sz w:val="24"/>
          <w:szCs w:val="24"/>
          <w:lang w:val="it-IT"/>
        </w:rPr>
        <w:t>, gjë që tregon që lëvizshmëria apo depozitimi në thellësi të tokës është më i vogël, kjo shpjegohet me tipin e tokës e cila përgjithësisht është argjilore dhe sipërfaqja është pak e pjerrët, duke bërë të mundur lëvizshmërinë e shpejtë të ujrave të shiut.</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Ish-Uzina  e PVC- së Vlorë</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 xml:space="preserve">Ish-Uzina e PVC-së Vlorë shtrihet poshtë rrugës nacionale Vlorë-Zvërnec, në veri-perëndim të qytetit të Vlorës. Ashtu si dhe shumë ish-uzina dhe fabrika edhe kjo është jashtë funksionit. </w:t>
      </w:r>
    </w:p>
    <w:p w:rsid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 xml:space="preserve">Për të parë gjendjen dhe shkallën e ndotjes, në brendësi dhe në rrethina u morën 4 mostra përfaqësuese sipërfaqësore dhe u hap një profil  për të marrë kampione të dheut në thellësitë 0 -30cm, 30 – 60 cm dhe 60-100 cm. </w:t>
      </w:r>
    </w:p>
    <w:p w:rsidR="00CE44F5" w:rsidRPr="00773E68" w:rsidRDefault="00CE44F5" w:rsidP="00773E68">
      <w:pPr>
        <w:spacing w:after="0" w:line="240" w:lineRule="auto"/>
        <w:jc w:val="both"/>
        <w:rPr>
          <w:rFonts w:ascii="Times New Roman" w:eastAsia="Times New Roman" w:hAnsi="Times New Roman" w:cs="Times New Roman"/>
          <w:b/>
          <w:sz w:val="24"/>
          <w:szCs w:val="24"/>
          <w:lang w:val="it-IT"/>
        </w:rPr>
      </w:pPr>
    </w:p>
    <w:p w:rsidR="00773E68" w:rsidRPr="007373E6" w:rsidRDefault="00681B50" w:rsidP="007373E6">
      <w:pPr>
        <w:spacing w:after="0" w:line="240" w:lineRule="auto"/>
        <w:jc w:val="center"/>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lastRenderedPageBreak/>
        <w:t>Tabela 51</w:t>
      </w:r>
      <w:r w:rsidR="00773E68" w:rsidRPr="007373E6">
        <w:rPr>
          <w:rFonts w:ascii="Times New Roman" w:eastAsia="Times New Roman" w:hAnsi="Times New Roman" w:cs="Times New Roman"/>
          <w:sz w:val="24"/>
          <w:szCs w:val="24"/>
          <w:lang w:val="it-IT"/>
        </w:rPr>
        <w:t>. Tabela e treguesëve të analizuar. Ish Uzina e PVC –së Vlorë.</w:t>
      </w:r>
    </w:p>
    <w:tbl>
      <w:tblPr>
        <w:tblStyle w:val="TableGrid3"/>
        <w:tblW w:w="10350" w:type="dxa"/>
        <w:tblInd w:w="-342" w:type="dxa"/>
        <w:tblLayout w:type="fixed"/>
        <w:tblLook w:val="04A0" w:firstRow="1" w:lastRow="0" w:firstColumn="1" w:lastColumn="0" w:noHBand="0" w:noVBand="1"/>
      </w:tblPr>
      <w:tblGrid>
        <w:gridCol w:w="990"/>
        <w:gridCol w:w="990"/>
        <w:gridCol w:w="1440"/>
        <w:gridCol w:w="720"/>
        <w:gridCol w:w="810"/>
        <w:gridCol w:w="90"/>
        <w:gridCol w:w="900"/>
        <w:gridCol w:w="900"/>
        <w:gridCol w:w="900"/>
        <w:gridCol w:w="810"/>
        <w:gridCol w:w="900"/>
        <w:gridCol w:w="900"/>
      </w:tblGrid>
      <w:tr w:rsidR="00773E68" w:rsidRPr="00773E68" w:rsidTr="008D285C">
        <w:tc>
          <w:tcPr>
            <w:tcW w:w="990" w:type="dxa"/>
            <w:vMerge w:val="restart"/>
          </w:tcPr>
          <w:p w:rsidR="00773E68" w:rsidRPr="007373E6" w:rsidRDefault="00773E68" w:rsidP="00773E68">
            <w:pPr>
              <w:jc w:val="both"/>
              <w:rPr>
                <w:rFonts w:ascii="Times New Roman" w:eastAsia="Times New Roman" w:hAnsi="Times New Roman" w:cs="Times New Roman"/>
                <w:b/>
                <w:sz w:val="20"/>
                <w:szCs w:val="20"/>
                <w:lang w:val="it-IT"/>
              </w:rPr>
            </w:pPr>
          </w:p>
          <w:p w:rsidR="00773E68" w:rsidRPr="007373E6" w:rsidRDefault="007373E6" w:rsidP="00773E68">
            <w:pPr>
              <w:jc w:val="both"/>
              <w:rPr>
                <w:rFonts w:ascii="Times New Roman" w:eastAsia="Times New Roman" w:hAnsi="Times New Roman" w:cs="Times New Roman"/>
                <w:b/>
                <w:sz w:val="20"/>
                <w:szCs w:val="20"/>
                <w:lang w:val="it-IT"/>
              </w:rPr>
            </w:pPr>
            <w:r w:rsidRPr="007373E6">
              <w:rPr>
                <w:rFonts w:ascii="Times New Roman" w:eastAsia="Times New Roman" w:hAnsi="Times New Roman" w:cs="Times New Roman"/>
                <w:b/>
                <w:sz w:val="20"/>
                <w:szCs w:val="20"/>
                <w:lang w:val="it-IT"/>
              </w:rPr>
              <w:t>Vendi</w:t>
            </w:r>
          </w:p>
        </w:tc>
        <w:tc>
          <w:tcPr>
            <w:tcW w:w="990" w:type="dxa"/>
            <w:vMerge w:val="restart"/>
          </w:tcPr>
          <w:p w:rsidR="00773E68" w:rsidRPr="007373E6" w:rsidRDefault="00773E68" w:rsidP="00773E68">
            <w:pPr>
              <w:jc w:val="both"/>
              <w:rPr>
                <w:rFonts w:ascii="Times New Roman" w:eastAsia="Times New Roman" w:hAnsi="Times New Roman" w:cs="Times New Roman"/>
                <w:b/>
                <w:sz w:val="20"/>
                <w:szCs w:val="20"/>
                <w:lang w:val="it-IT"/>
              </w:rPr>
            </w:pPr>
          </w:p>
          <w:p w:rsidR="00773E68" w:rsidRPr="007373E6" w:rsidRDefault="008D285C" w:rsidP="00773E68">
            <w:pPr>
              <w:jc w:val="both"/>
              <w:rPr>
                <w:rFonts w:ascii="Times New Roman" w:eastAsia="Times New Roman" w:hAnsi="Times New Roman" w:cs="Times New Roman"/>
                <w:b/>
                <w:sz w:val="20"/>
                <w:szCs w:val="20"/>
                <w:lang w:val="it-IT"/>
              </w:rPr>
            </w:pPr>
            <w:r w:rsidRPr="007373E6">
              <w:rPr>
                <w:rFonts w:ascii="Times New Roman" w:eastAsia="Times New Roman" w:hAnsi="Times New Roman" w:cs="Times New Roman"/>
                <w:b/>
                <w:sz w:val="20"/>
                <w:szCs w:val="20"/>
                <w:lang w:val="it-IT"/>
              </w:rPr>
              <w:t>Tre</w:t>
            </w:r>
            <w:r>
              <w:rPr>
                <w:rFonts w:ascii="Times New Roman" w:eastAsia="Times New Roman" w:hAnsi="Times New Roman" w:cs="Times New Roman"/>
                <w:b/>
                <w:sz w:val="20"/>
                <w:szCs w:val="20"/>
                <w:lang w:val="it-IT"/>
              </w:rPr>
              <w:t>gues</w:t>
            </w:r>
          </w:p>
        </w:tc>
        <w:tc>
          <w:tcPr>
            <w:tcW w:w="1440" w:type="dxa"/>
            <w:vMerge w:val="restart"/>
          </w:tcPr>
          <w:p w:rsidR="00773E68" w:rsidRPr="007373E6" w:rsidRDefault="00773E68" w:rsidP="00773E68">
            <w:pPr>
              <w:jc w:val="both"/>
              <w:rPr>
                <w:rFonts w:ascii="Times New Roman" w:eastAsia="Times New Roman" w:hAnsi="Times New Roman" w:cs="Times New Roman"/>
                <w:b/>
                <w:sz w:val="20"/>
                <w:szCs w:val="20"/>
                <w:lang w:val="it-IT"/>
              </w:rPr>
            </w:pPr>
          </w:p>
          <w:p w:rsidR="00773E68" w:rsidRPr="007373E6" w:rsidRDefault="007373E6" w:rsidP="00773E68">
            <w:pPr>
              <w:jc w:val="both"/>
              <w:rPr>
                <w:rFonts w:ascii="Times New Roman" w:eastAsia="Times New Roman" w:hAnsi="Times New Roman" w:cs="Times New Roman"/>
                <w:b/>
                <w:sz w:val="20"/>
                <w:szCs w:val="20"/>
                <w:lang w:val="it-IT"/>
              </w:rPr>
            </w:pPr>
            <w:r w:rsidRPr="007373E6">
              <w:rPr>
                <w:rFonts w:ascii="Times New Roman" w:eastAsia="Times New Roman" w:hAnsi="Times New Roman" w:cs="Times New Roman"/>
                <w:b/>
                <w:sz w:val="20"/>
                <w:szCs w:val="20"/>
                <w:lang w:val="it-IT"/>
              </w:rPr>
              <w:t>Nj. Matjes</w:t>
            </w:r>
          </w:p>
        </w:tc>
        <w:tc>
          <w:tcPr>
            <w:tcW w:w="720" w:type="dxa"/>
            <w:vMerge w:val="restart"/>
          </w:tcPr>
          <w:p w:rsidR="00773E68" w:rsidRPr="007373E6" w:rsidRDefault="00773E68" w:rsidP="00773E68">
            <w:pPr>
              <w:jc w:val="both"/>
              <w:rPr>
                <w:rFonts w:ascii="Times New Roman" w:eastAsia="Times New Roman" w:hAnsi="Times New Roman" w:cs="Times New Roman"/>
                <w:b/>
                <w:sz w:val="20"/>
                <w:szCs w:val="20"/>
                <w:lang w:val="it-IT"/>
              </w:rPr>
            </w:pPr>
            <w:r w:rsidRPr="007373E6">
              <w:rPr>
                <w:rFonts w:ascii="Times New Roman" w:eastAsia="Times New Roman" w:hAnsi="Times New Roman" w:cs="Times New Roman"/>
                <w:b/>
                <w:sz w:val="20"/>
                <w:szCs w:val="20"/>
                <w:lang w:val="it-IT"/>
              </w:rPr>
              <w:t>LIMIT</w:t>
            </w:r>
          </w:p>
        </w:tc>
        <w:tc>
          <w:tcPr>
            <w:tcW w:w="810" w:type="dxa"/>
          </w:tcPr>
          <w:p w:rsidR="00773E68" w:rsidRPr="007373E6" w:rsidRDefault="00773E68" w:rsidP="00773E68">
            <w:pPr>
              <w:jc w:val="both"/>
              <w:rPr>
                <w:rFonts w:ascii="Times New Roman" w:eastAsia="Times New Roman" w:hAnsi="Times New Roman" w:cs="Times New Roman"/>
                <w:b/>
                <w:sz w:val="20"/>
                <w:szCs w:val="20"/>
                <w:lang w:val="it-IT"/>
              </w:rPr>
            </w:pPr>
          </w:p>
        </w:tc>
        <w:tc>
          <w:tcPr>
            <w:tcW w:w="5400" w:type="dxa"/>
            <w:gridSpan w:val="7"/>
          </w:tcPr>
          <w:p w:rsidR="00773E68" w:rsidRPr="007373E6" w:rsidRDefault="00773E68" w:rsidP="00773E68">
            <w:pPr>
              <w:jc w:val="both"/>
              <w:rPr>
                <w:rFonts w:ascii="Times New Roman" w:eastAsia="Times New Roman" w:hAnsi="Times New Roman" w:cs="Times New Roman"/>
                <w:b/>
                <w:sz w:val="20"/>
                <w:szCs w:val="20"/>
                <w:lang w:val="it-IT"/>
              </w:rPr>
            </w:pPr>
            <w:r w:rsidRPr="007373E6">
              <w:rPr>
                <w:rFonts w:ascii="Times New Roman" w:eastAsia="Times New Roman" w:hAnsi="Times New Roman" w:cs="Times New Roman"/>
                <w:b/>
                <w:sz w:val="20"/>
                <w:szCs w:val="20"/>
                <w:lang w:val="it-IT"/>
              </w:rPr>
              <w:t>REZULTATET</w:t>
            </w:r>
          </w:p>
        </w:tc>
      </w:tr>
      <w:tr w:rsidR="00773E68" w:rsidRPr="00773E68" w:rsidTr="008D285C">
        <w:tc>
          <w:tcPr>
            <w:tcW w:w="990" w:type="dxa"/>
            <w:vMerge/>
          </w:tcPr>
          <w:p w:rsidR="00773E68" w:rsidRPr="007373E6" w:rsidRDefault="00773E68" w:rsidP="00773E68">
            <w:pPr>
              <w:jc w:val="both"/>
              <w:rPr>
                <w:rFonts w:ascii="Times New Roman" w:eastAsia="Times New Roman" w:hAnsi="Times New Roman" w:cs="Times New Roman"/>
                <w:b/>
                <w:sz w:val="20"/>
                <w:szCs w:val="20"/>
                <w:lang w:val="it-IT"/>
              </w:rPr>
            </w:pPr>
          </w:p>
        </w:tc>
        <w:tc>
          <w:tcPr>
            <w:tcW w:w="990" w:type="dxa"/>
            <w:vMerge/>
          </w:tcPr>
          <w:p w:rsidR="00773E68" w:rsidRPr="007373E6" w:rsidRDefault="00773E68" w:rsidP="00773E68">
            <w:pPr>
              <w:jc w:val="both"/>
              <w:rPr>
                <w:rFonts w:ascii="Times New Roman" w:eastAsia="Times New Roman" w:hAnsi="Times New Roman" w:cs="Times New Roman"/>
                <w:b/>
                <w:sz w:val="20"/>
                <w:szCs w:val="20"/>
                <w:lang w:val="it-IT"/>
              </w:rPr>
            </w:pPr>
          </w:p>
        </w:tc>
        <w:tc>
          <w:tcPr>
            <w:tcW w:w="1440" w:type="dxa"/>
            <w:vMerge/>
          </w:tcPr>
          <w:p w:rsidR="00773E68" w:rsidRPr="007373E6" w:rsidRDefault="00773E68" w:rsidP="00773E68">
            <w:pPr>
              <w:jc w:val="both"/>
              <w:rPr>
                <w:rFonts w:ascii="Times New Roman" w:eastAsia="Times New Roman" w:hAnsi="Times New Roman" w:cs="Times New Roman"/>
                <w:b/>
                <w:sz w:val="20"/>
                <w:szCs w:val="20"/>
                <w:lang w:val="it-IT"/>
              </w:rPr>
            </w:pPr>
          </w:p>
        </w:tc>
        <w:tc>
          <w:tcPr>
            <w:tcW w:w="720" w:type="dxa"/>
            <w:vMerge/>
          </w:tcPr>
          <w:p w:rsidR="00773E68" w:rsidRPr="007373E6" w:rsidRDefault="00773E68" w:rsidP="00773E68">
            <w:pPr>
              <w:jc w:val="both"/>
              <w:rPr>
                <w:rFonts w:ascii="Times New Roman" w:eastAsia="Times New Roman" w:hAnsi="Times New Roman" w:cs="Times New Roman"/>
                <w:b/>
                <w:sz w:val="20"/>
                <w:szCs w:val="20"/>
                <w:lang w:val="it-IT"/>
              </w:rPr>
            </w:pPr>
          </w:p>
        </w:tc>
        <w:tc>
          <w:tcPr>
            <w:tcW w:w="900" w:type="dxa"/>
            <w:gridSpan w:val="2"/>
          </w:tcPr>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lang w:val="it-IT"/>
              </w:rPr>
              <w:t xml:space="preserve">M.1   0–30 </w:t>
            </w:r>
            <w:r w:rsidRPr="007373E6">
              <w:rPr>
                <w:rFonts w:ascii="Times New Roman" w:eastAsia="Times New Roman" w:hAnsi="Times New Roman" w:cs="Times New Roman"/>
                <w:b/>
                <w:sz w:val="20"/>
                <w:szCs w:val="20"/>
              </w:rPr>
              <w:t>cm</w:t>
            </w:r>
          </w:p>
        </w:tc>
        <w:tc>
          <w:tcPr>
            <w:tcW w:w="900" w:type="dxa"/>
          </w:tcPr>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M.  2 0–30 cm</w:t>
            </w:r>
          </w:p>
        </w:tc>
        <w:tc>
          <w:tcPr>
            <w:tcW w:w="900" w:type="dxa"/>
          </w:tcPr>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M</w:t>
            </w:r>
            <w:r w:rsidR="007373E6">
              <w:rPr>
                <w:rFonts w:ascii="Times New Roman" w:eastAsia="Times New Roman" w:hAnsi="Times New Roman" w:cs="Times New Roman"/>
                <w:b/>
                <w:sz w:val="20"/>
                <w:szCs w:val="20"/>
              </w:rPr>
              <w:t xml:space="preserve">. </w:t>
            </w:r>
            <w:r w:rsidRPr="007373E6">
              <w:rPr>
                <w:rFonts w:ascii="Times New Roman" w:eastAsia="Times New Roman" w:hAnsi="Times New Roman" w:cs="Times New Roman"/>
                <w:b/>
                <w:sz w:val="20"/>
                <w:szCs w:val="20"/>
              </w:rPr>
              <w:t xml:space="preserve">3 </w:t>
            </w:r>
          </w:p>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0–30 cm</w:t>
            </w:r>
          </w:p>
          <w:p w:rsidR="00773E68" w:rsidRPr="007373E6" w:rsidRDefault="00773E68" w:rsidP="00773E68">
            <w:pPr>
              <w:jc w:val="both"/>
              <w:rPr>
                <w:rFonts w:ascii="Times New Roman" w:eastAsia="Times New Roman" w:hAnsi="Times New Roman" w:cs="Times New Roman"/>
                <w:b/>
                <w:sz w:val="20"/>
                <w:szCs w:val="20"/>
              </w:rPr>
            </w:pPr>
          </w:p>
        </w:tc>
        <w:tc>
          <w:tcPr>
            <w:tcW w:w="900" w:type="dxa"/>
          </w:tcPr>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M</w:t>
            </w:r>
            <w:r w:rsidR="007373E6">
              <w:rPr>
                <w:rFonts w:ascii="Times New Roman" w:eastAsia="Times New Roman" w:hAnsi="Times New Roman" w:cs="Times New Roman"/>
                <w:b/>
                <w:sz w:val="20"/>
                <w:szCs w:val="20"/>
              </w:rPr>
              <w:t>.</w:t>
            </w:r>
            <w:r w:rsidRPr="007373E6">
              <w:rPr>
                <w:rFonts w:ascii="Times New Roman" w:eastAsia="Times New Roman" w:hAnsi="Times New Roman" w:cs="Times New Roman"/>
                <w:b/>
                <w:sz w:val="20"/>
                <w:szCs w:val="20"/>
              </w:rPr>
              <w:t xml:space="preserve"> 4</w:t>
            </w:r>
          </w:p>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0 - 30</w:t>
            </w:r>
          </w:p>
        </w:tc>
        <w:tc>
          <w:tcPr>
            <w:tcW w:w="810" w:type="dxa"/>
          </w:tcPr>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Profili</w:t>
            </w:r>
          </w:p>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0 -30</w:t>
            </w:r>
          </w:p>
        </w:tc>
        <w:tc>
          <w:tcPr>
            <w:tcW w:w="900" w:type="dxa"/>
          </w:tcPr>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Profili</w:t>
            </w:r>
          </w:p>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30 -60</w:t>
            </w:r>
          </w:p>
        </w:tc>
        <w:tc>
          <w:tcPr>
            <w:tcW w:w="900" w:type="dxa"/>
          </w:tcPr>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Profili</w:t>
            </w:r>
          </w:p>
          <w:p w:rsidR="00773E68" w:rsidRPr="007373E6" w:rsidRDefault="00773E68" w:rsidP="00773E68">
            <w:pPr>
              <w:jc w:val="both"/>
              <w:rPr>
                <w:rFonts w:ascii="Times New Roman" w:eastAsia="Times New Roman" w:hAnsi="Times New Roman" w:cs="Times New Roman"/>
                <w:b/>
                <w:sz w:val="20"/>
                <w:szCs w:val="20"/>
              </w:rPr>
            </w:pPr>
            <w:r w:rsidRPr="007373E6">
              <w:rPr>
                <w:rFonts w:ascii="Times New Roman" w:eastAsia="Times New Roman" w:hAnsi="Times New Roman" w:cs="Times New Roman"/>
                <w:b/>
                <w:sz w:val="20"/>
                <w:szCs w:val="20"/>
              </w:rPr>
              <w:t>60 -100</w:t>
            </w:r>
          </w:p>
        </w:tc>
      </w:tr>
      <w:tr w:rsidR="00773E68" w:rsidRPr="00773E68" w:rsidTr="008D285C">
        <w:trPr>
          <w:trHeight w:val="134"/>
        </w:trPr>
        <w:tc>
          <w:tcPr>
            <w:tcW w:w="990" w:type="dxa"/>
            <w:vMerge w:val="restart"/>
          </w:tcPr>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p w:rsidR="00773E68" w:rsidRPr="009D31B3" w:rsidRDefault="00773E68" w:rsidP="00773E68">
            <w:pPr>
              <w:jc w:val="both"/>
              <w:rPr>
                <w:rFonts w:ascii="Times New Roman" w:eastAsia="Times New Roman" w:hAnsi="Times New Roman" w:cs="Times New Roman"/>
                <w:sz w:val="24"/>
                <w:szCs w:val="24"/>
              </w:rPr>
            </w:pPr>
            <w:r w:rsidRPr="009D31B3">
              <w:rPr>
                <w:rFonts w:ascii="Times New Roman" w:eastAsia="Times New Roman" w:hAnsi="Times New Roman" w:cs="Times New Roman"/>
                <w:sz w:val="24"/>
                <w:szCs w:val="24"/>
              </w:rPr>
              <w:t xml:space="preserve">Uzina </w:t>
            </w:r>
          </w:p>
          <w:p w:rsidR="00773E68" w:rsidRPr="009D31B3" w:rsidRDefault="00773E68" w:rsidP="00773E68">
            <w:pPr>
              <w:jc w:val="both"/>
              <w:rPr>
                <w:rFonts w:ascii="Times New Roman" w:eastAsia="Times New Roman" w:hAnsi="Times New Roman" w:cs="Times New Roman"/>
                <w:sz w:val="24"/>
                <w:szCs w:val="24"/>
              </w:rPr>
            </w:pPr>
            <w:r w:rsidRPr="009D31B3">
              <w:rPr>
                <w:rFonts w:ascii="Times New Roman" w:eastAsia="Times New Roman" w:hAnsi="Times New Roman" w:cs="Times New Roman"/>
                <w:sz w:val="24"/>
                <w:szCs w:val="24"/>
              </w:rPr>
              <w:t xml:space="preserve">PVC </w:t>
            </w:r>
          </w:p>
          <w:p w:rsidR="00773E68" w:rsidRPr="00773E68" w:rsidRDefault="00773E68" w:rsidP="00773E68">
            <w:pPr>
              <w:jc w:val="both"/>
              <w:rPr>
                <w:rFonts w:ascii="Times New Roman" w:eastAsia="Times New Roman" w:hAnsi="Times New Roman" w:cs="Times New Roman"/>
                <w:b/>
                <w:sz w:val="24"/>
                <w:szCs w:val="24"/>
              </w:rPr>
            </w:pPr>
            <w:r w:rsidRPr="009D31B3">
              <w:rPr>
                <w:rFonts w:ascii="Times New Roman" w:eastAsia="Times New Roman" w:hAnsi="Times New Roman" w:cs="Times New Roman"/>
                <w:sz w:val="24"/>
                <w:szCs w:val="24"/>
              </w:rPr>
              <w:t>Vlorë</w:t>
            </w: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44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900" w:type="dxa"/>
            <w:gridSpan w:val="2"/>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0.27</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0.29</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0.24</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0.20</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0.39</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0.42</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0.48</w:t>
            </w:r>
          </w:p>
        </w:tc>
      </w:tr>
      <w:tr w:rsidR="00773E68" w:rsidRPr="00773E68" w:rsidTr="008D285C">
        <w:tc>
          <w:tcPr>
            <w:tcW w:w="99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44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900" w:type="dxa"/>
            <w:gridSpan w:val="2"/>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1.53</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1.72</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0.42</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0.71</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0.74</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0.83</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1.23</w:t>
            </w:r>
          </w:p>
        </w:tc>
      </w:tr>
      <w:tr w:rsidR="00773E68" w:rsidRPr="00773E68" w:rsidTr="008D285C">
        <w:tc>
          <w:tcPr>
            <w:tcW w:w="99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44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900" w:type="dxa"/>
            <w:gridSpan w:val="2"/>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3.8</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3.3</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1.8</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1.6</w:t>
            </w:r>
          </w:p>
        </w:tc>
      </w:tr>
      <w:tr w:rsidR="00773E68" w:rsidRPr="00773E68" w:rsidTr="008D285C">
        <w:tc>
          <w:tcPr>
            <w:tcW w:w="99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44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900" w:type="dxa"/>
            <w:gridSpan w:val="2"/>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2.20</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2.21</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2.49</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2.57</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2.48</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2.58</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2.62</w:t>
            </w:r>
          </w:p>
        </w:tc>
      </w:tr>
      <w:tr w:rsidR="00773E68" w:rsidRPr="00773E68" w:rsidTr="008D285C">
        <w:tc>
          <w:tcPr>
            <w:tcW w:w="99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44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900" w:type="dxa"/>
            <w:gridSpan w:val="2"/>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0.24</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0.17</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0.18</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0.22</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0.28</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0.38</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0.42</w:t>
            </w:r>
          </w:p>
        </w:tc>
      </w:tr>
      <w:tr w:rsidR="00773E68" w:rsidRPr="00773E68" w:rsidTr="008D285C">
        <w:tc>
          <w:tcPr>
            <w:tcW w:w="99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44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900" w:type="dxa"/>
            <w:gridSpan w:val="2"/>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0.35</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0.39</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0.34</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0.29</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0.79</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0.89</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0.99</w:t>
            </w:r>
          </w:p>
        </w:tc>
      </w:tr>
      <w:tr w:rsidR="00773E68" w:rsidRPr="00773E68" w:rsidTr="008D285C">
        <w:tc>
          <w:tcPr>
            <w:tcW w:w="99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Mn</w:t>
            </w:r>
          </w:p>
        </w:tc>
        <w:tc>
          <w:tcPr>
            <w:tcW w:w="144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900" w:type="dxa"/>
            <w:gridSpan w:val="2"/>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9.6</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8.3</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8.9</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9.2</w:t>
            </w: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9.6</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9.8</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9.9</w:t>
            </w:r>
          </w:p>
        </w:tc>
      </w:tr>
    </w:tbl>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86418D" w:rsidP="00773E68">
      <w:pPr>
        <w:spacing w:after="0" w:line="24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Referuar  tabelësë së</w:t>
      </w:r>
      <w:r w:rsidR="00773E68" w:rsidRPr="00773E68">
        <w:rPr>
          <w:rFonts w:ascii="Times New Roman" w:eastAsia="Times New Roman" w:hAnsi="Times New Roman" w:cs="Times New Roman"/>
          <w:sz w:val="24"/>
          <w:szCs w:val="24"/>
          <w:lang w:val="it-IT"/>
        </w:rPr>
        <w:t xml:space="preserve"> mësipërme, të gjithë treguesit </w:t>
      </w:r>
      <w:r>
        <w:rPr>
          <w:rFonts w:ascii="Times New Roman" w:eastAsia="Times New Roman" w:hAnsi="Times New Roman" w:cs="Times New Roman"/>
          <w:sz w:val="24"/>
          <w:szCs w:val="24"/>
          <w:lang w:val="it-IT"/>
        </w:rPr>
        <w:t>janë brenda limiteve</w:t>
      </w:r>
      <w:r w:rsidR="00773E68" w:rsidRPr="00773E68">
        <w:rPr>
          <w:rFonts w:ascii="Times New Roman" w:eastAsia="Times New Roman" w:hAnsi="Times New Roman" w:cs="Times New Roman"/>
          <w:sz w:val="24"/>
          <w:szCs w:val="24"/>
          <w:lang w:val="it-IT"/>
        </w:rPr>
        <w:t xml:space="preserve"> </w:t>
      </w:r>
      <w:r>
        <w:rPr>
          <w:rFonts w:ascii="Times New Roman" w:eastAsia="Times New Roman" w:hAnsi="Times New Roman" w:cs="Times New Roman"/>
          <w:sz w:val="24"/>
          <w:szCs w:val="24"/>
          <w:lang w:val="it-IT"/>
        </w:rPr>
        <w:t>dhe</w:t>
      </w:r>
      <w:r w:rsidR="00773E68" w:rsidRPr="00773E68">
        <w:rPr>
          <w:rFonts w:ascii="Times New Roman" w:eastAsia="Times New Roman" w:hAnsi="Times New Roman" w:cs="Times New Roman"/>
          <w:sz w:val="24"/>
          <w:szCs w:val="24"/>
          <w:lang w:val="it-IT"/>
        </w:rPr>
        <w:t xml:space="preserve"> nuk kemi ndotje. Nga ana tjetër kemi një tende</w:t>
      </w:r>
      <w:r>
        <w:rPr>
          <w:rFonts w:ascii="Times New Roman" w:eastAsia="Times New Roman" w:hAnsi="Times New Roman" w:cs="Times New Roman"/>
          <w:sz w:val="24"/>
          <w:szCs w:val="24"/>
          <w:lang w:val="it-IT"/>
        </w:rPr>
        <w:t>n</w:t>
      </w:r>
      <w:r w:rsidR="00773E68" w:rsidRPr="00773E68">
        <w:rPr>
          <w:rFonts w:ascii="Times New Roman" w:eastAsia="Times New Roman" w:hAnsi="Times New Roman" w:cs="Times New Roman"/>
          <w:sz w:val="24"/>
          <w:szCs w:val="24"/>
          <w:lang w:val="it-IT"/>
        </w:rPr>
        <w:t>cë në rritje të treguesëve për profilin, në thellësi, gjë që tregon që lëvizshmëria e tyre është më e lartë në thellësi të tokës, pra kemi një përqëndrim më të madh në shtresën e poshtme, kjo shpjegohet me tipin e tokës e cila përgjithësisht është ranore e përshkueshme nga ujërat dhe elementët nuk lidhen shumë me tokën pasi është ranore.</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sz w:val="24"/>
          <w:szCs w:val="24"/>
          <w:lang w:val="it-IT"/>
        </w:rPr>
        <w:t>Të gjithë treguesit janë brenda normave të lejuara dhe nuk përbëjnë problem me ndotjen e mjedisit.</w:t>
      </w:r>
    </w:p>
    <w:p w:rsid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446FEB" w:rsidRDefault="00773E68" w:rsidP="00807975">
      <w:pPr>
        <w:pStyle w:val="ListParagraph"/>
        <w:numPr>
          <w:ilvl w:val="0"/>
          <w:numId w:val="98"/>
        </w:numPr>
        <w:spacing w:after="0" w:line="240" w:lineRule="auto"/>
        <w:jc w:val="both"/>
        <w:rPr>
          <w:rFonts w:ascii="Times New Roman" w:eastAsia="Times New Roman" w:hAnsi="Times New Roman" w:cs="Times New Roman"/>
          <w:b/>
          <w:sz w:val="24"/>
          <w:szCs w:val="24"/>
          <w:lang w:val="it-IT"/>
        </w:rPr>
      </w:pPr>
      <w:r w:rsidRPr="00446FEB">
        <w:rPr>
          <w:rFonts w:ascii="Times New Roman" w:eastAsia="Times New Roman" w:hAnsi="Times New Roman" w:cs="Times New Roman"/>
          <w:b/>
          <w:sz w:val="24"/>
          <w:szCs w:val="24"/>
          <w:lang w:val="it-IT"/>
        </w:rPr>
        <w:t>Uzina e Fer</w:t>
      </w:r>
      <w:r w:rsidR="00446FEB">
        <w:rPr>
          <w:rFonts w:ascii="Times New Roman" w:eastAsia="Times New Roman" w:hAnsi="Times New Roman" w:cs="Times New Roman"/>
          <w:b/>
          <w:sz w:val="24"/>
          <w:szCs w:val="24"/>
          <w:lang w:val="it-IT"/>
        </w:rPr>
        <w:t>r</w:t>
      </w:r>
      <w:r w:rsidRPr="00446FEB">
        <w:rPr>
          <w:rFonts w:ascii="Times New Roman" w:eastAsia="Times New Roman" w:hAnsi="Times New Roman" w:cs="Times New Roman"/>
          <w:b/>
          <w:sz w:val="24"/>
          <w:szCs w:val="24"/>
          <w:lang w:val="it-IT"/>
        </w:rPr>
        <w:t>o-Kromit Burrel</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Uzina e Fero-Kromit Burrel shtrihet në jug- lindje të qytetit të Burrelit në një distancë prej rreth 5 km  pranë fshatit Komsi. Zona e uzinës shtrihet në një kodër të butë, pllajë relativisht të sheshtë me një pjerrësi të lehtë në drejtm të lindjes dhe nga perëndimi. Uzina është në funksion dhe mund të themi që me një vështrim të parë menaxhohet mirë. Objekti është i mir</w:t>
      </w:r>
      <w:r w:rsidRPr="00773E68">
        <w:rPr>
          <w:rFonts w:ascii="Times New Roman" w:eastAsia="Times New Roman" w:hAnsi="Times New Roman" w:cs="Times New Roman"/>
          <w:sz w:val="24"/>
          <w:szCs w:val="24"/>
          <w:lang w:val="nn-NO"/>
        </w:rPr>
        <w:t>ë</w:t>
      </w:r>
      <w:r w:rsidRPr="00773E68">
        <w:rPr>
          <w:rFonts w:ascii="Times New Roman" w:eastAsia="Times New Roman" w:hAnsi="Times New Roman" w:cs="Times New Roman"/>
          <w:sz w:val="24"/>
          <w:szCs w:val="24"/>
          <w:lang w:val="it-IT"/>
        </w:rPr>
        <w:t>organizuar si nga brenda dhe nga jashtë. Vendgrumbullimet janë të disiplinuara dhe të vendosura në toka  inproduktive dhe me risk të vogël ndotjeje.</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Në pjesën perëndimore nuk ka rrezik ndotjeje pasi materialet e përpunimit janë në pjesën lindore.</w:t>
      </w:r>
    </w:p>
    <w:p w:rsidR="00773E68" w:rsidRDefault="009D31B3" w:rsidP="00773E68">
      <w:pPr>
        <w:spacing w:after="0" w:line="24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 </w:t>
      </w:r>
    </w:p>
    <w:p w:rsidR="009D31B3" w:rsidRDefault="009D31B3" w:rsidP="00773E68">
      <w:pPr>
        <w:spacing w:after="0" w:line="240" w:lineRule="auto"/>
        <w:jc w:val="both"/>
        <w:rPr>
          <w:rFonts w:ascii="Times New Roman" w:eastAsia="Times New Roman" w:hAnsi="Times New Roman" w:cs="Times New Roman"/>
          <w:sz w:val="24"/>
          <w:szCs w:val="24"/>
          <w:lang w:val="it-IT"/>
        </w:rPr>
      </w:pPr>
    </w:p>
    <w:p w:rsidR="009D31B3" w:rsidRDefault="009D31B3" w:rsidP="00773E68">
      <w:pPr>
        <w:spacing w:after="0" w:line="240" w:lineRule="auto"/>
        <w:jc w:val="both"/>
        <w:rPr>
          <w:rFonts w:ascii="Times New Roman" w:eastAsia="Times New Roman" w:hAnsi="Times New Roman" w:cs="Times New Roman"/>
          <w:sz w:val="24"/>
          <w:szCs w:val="24"/>
          <w:lang w:val="it-IT"/>
        </w:rPr>
      </w:pPr>
    </w:p>
    <w:p w:rsidR="009D31B3" w:rsidRDefault="009D31B3" w:rsidP="00773E68">
      <w:pPr>
        <w:spacing w:after="0" w:line="240" w:lineRule="auto"/>
        <w:jc w:val="both"/>
        <w:rPr>
          <w:rFonts w:ascii="Times New Roman" w:eastAsia="Times New Roman" w:hAnsi="Times New Roman" w:cs="Times New Roman"/>
          <w:sz w:val="24"/>
          <w:szCs w:val="24"/>
          <w:lang w:val="it-IT"/>
        </w:rPr>
      </w:pPr>
    </w:p>
    <w:p w:rsidR="009D31B3" w:rsidRPr="009D31B3" w:rsidRDefault="009D31B3" w:rsidP="00773E68">
      <w:pPr>
        <w:spacing w:after="0" w:line="240" w:lineRule="auto"/>
        <w:jc w:val="both"/>
        <w:rPr>
          <w:rFonts w:ascii="Times New Roman" w:eastAsia="Times New Roman" w:hAnsi="Times New Roman" w:cs="Times New Roman"/>
          <w:sz w:val="24"/>
          <w:szCs w:val="24"/>
          <w:lang w:val="it-IT"/>
        </w:rPr>
      </w:pPr>
    </w:p>
    <w:p w:rsidR="008C0EAC" w:rsidRPr="00773E68" w:rsidRDefault="008C0EAC" w:rsidP="00773E68">
      <w:pPr>
        <w:spacing w:after="0" w:line="240" w:lineRule="auto"/>
        <w:jc w:val="both"/>
        <w:rPr>
          <w:rFonts w:ascii="Times New Roman" w:eastAsia="Times New Roman" w:hAnsi="Times New Roman" w:cs="Times New Roman"/>
          <w:b/>
          <w:sz w:val="24"/>
          <w:szCs w:val="24"/>
          <w:lang w:val="it-IT"/>
        </w:rPr>
      </w:pPr>
    </w:p>
    <w:p w:rsidR="00773E68" w:rsidRPr="008D285C" w:rsidRDefault="00773E68" w:rsidP="008D285C">
      <w:pPr>
        <w:spacing w:after="0" w:line="240" w:lineRule="auto"/>
        <w:jc w:val="center"/>
        <w:rPr>
          <w:rFonts w:ascii="Times New Roman" w:eastAsia="Times New Roman" w:hAnsi="Times New Roman" w:cs="Times New Roman"/>
          <w:sz w:val="24"/>
          <w:szCs w:val="24"/>
          <w:lang w:val="it-IT"/>
        </w:rPr>
      </w:pPr>
      <w:r w:rsidRPr="008D285C">
        <w:rPr>
          <w:rFonts w:ascii="Times New Roman" w:eastAsia="Times New Roman" w:hAnsi="Times New Roman" w:cs="Times New Roman"/>
          <w:sz w:val="24"/>
          <w:szCs w:val="24"/>
          <w:lang w:val="it-IT"/>
        </w:rPr>
        <w:lastRenderedPageBreak/>
        <w:t xml:space="preserve">Tabela </w:t>
      </w:r>
      <w:r w:rsidR="00446FEB" w:rsidRPr="008D285C">
        <w:rPr>
          <w:rFonts w:ascii="Times New Roman" w:eastAsia="Times New Roman" w:hAnsi="Times New Roman" w:cs="Times New Roman"/>
          <w:sz w:val="24"/>
          <w:szCs w:val="24"/>
          <w:lang w:val="it-IT"/>
        </w:rPr>
        <w:t>5</w:t>
      </w:r>
      <w:r w:rsidR="00681B50">
        <w:rPr>
          <w:rFonts w:ascii="Times New Roman" w:eastAsia="Times New Roman" w:hAnsi="Times New Roman" w:cs="Times New Roman"/>
          <w:sz w:val="24"/>
          <w:szCs w:val="24"/>
          <w:lang w:val="it-IT"/>
        </w:rPr>
        <w:t>2</w:t>
      </w:r>
      <w:r w:rsidRPr="008D285C">
        <w:rPr>
          <w:rFonts w:ascii="Times New Roman" w:eastAsia="Times New Roman" w:hAnsi="Times New Roman" w:cs="Times New Roman"/>
          <w:sz w:val="24"/>
          <w:szCs w:val="24"/>
          <w:lang w:val="it-IT"/>
        </w:rPr>
        <w:t xml:space="preserve">.  </w:t>
      </w:r>
      <w:r w:rsidR="00446FEB" w:rsidRPr="008D285C">
        <w:rPr>
          <w:rFonts w:ascii="Times New Roman" w:eastAsia="Times New Roman" w:hAnsi="Times New Roman" w:cs="Times New Roman"/>
          <w:sz w:val="24"/>
          <w:szCs w:val="24"/>
          <w:lang w:val="it-IT"/>
        </w:rPr>
        <w:t>Rezultatet e</w:t>
      </w:r>
      <w:r w:rsidRPr="008D285C">
        <w:rPr>
          <w:rFonts w:ascii="Times New Roman" w:eastAsia="Times New Roman" w:hAnsi="Times New Roman" w:cs="Times New Roman"/>
          <w:sz w:val="24"/>
          <w:szCs w:val="24"/>
          <w:lang w:val="it-IT"/>
        </w:rPr>
        <w:t xml:space="preserve"> mostrave siperfaqësore. Uzina e Ferro-Kromit Bur</w:t>
      </w:r>
      <w:r w:rsidR="008D285C">
        <w:rPr>
          <w:rFonts w:ascii="Times New Roman" w:eastAsia="Times New Roman" w:hAnsi="Times New Roman" w:cs="Times New Roman"/>
          <w:sz w:val="24"/>
          <w:szCs w:val="24"/>
          <w:lang w:val="it-IT"/>
        </w:rPr>
        <w:t>r</w:t>
      </w:r>
      <w:r w:rsidRPr="008D285C">
        <w:rPr>
          <w:rFonts w:ascii="Times New Roman" w:eastAsia="Times New Roman" w:hAnsi="Times New Roman" w:cs="Times New Roman"/>
          <w:sz w:val="24"/>
          <w:szCs w:val="24"/>
          <w:lang w:val="it-IT"/>
        </w:rPr>
        <w:t>el</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tbl>
      <w:tblPr>
        <w:tblStyle w:val="TableGrid3"/>
        <w:tblW w:w="9500" w:type="dxa"/>
        <w:jc w:val="center"/>
        <w:tblLayout w:type="fixed"/>
        <w:tblLook w:val="04A0" w:firstRow="1" w:lastRow="0" w:firstColumn="1" w:lastColumn="0" w:noHBand="0" w:noVBand="1"/>
      </w:tblPr>
      <w:tblGrid>
        <w:gridCol w:w="1490"/>
        <w:gridCol w:w="1050"/>
        <w:gridCol w:w="1701"/>
        <w:gridCol w:w="709"/>
        <w:gridCol w:w="849"/>
        <w:gridCol w:w="708"/>
        <w:gridCol w:w="851"/>
        <w:gridCol w:w="902"/>
        <w:gridCol w:w="1240"/>
      </w:tblGrid>
      <w:tr w:rsidR="00773E68" w:rsidRPr="00773E68" w:rsidTr="008D285C">
        <w:trPr>
          <w:jc w:val="center"/>
        </w:trPr>
        <w:tc>
          <w:tcPr>
            <w:tcW w:w="1490" w:type="dxa"/>
            <w:vMerge w:val="restart"/>
          </w:tcPr>
          <w:p w:rsidR="00773E68" w:rsidRPr="008D285C" w:rsidRDefault="00773E68" w:rsidP="00773E68">
            <w:pPr>
              <w:jc w:val="both"/>
              <w:rPr>
                <w:rFonts w:ascii="Times New Roman" w:eastAsia="Times New Roman" w:hAnsi="Times New Roman" w:cs="Times New Roman"/>
                <w:b/>
                <w:sz w:val="20"/>
                <w:szCs w:val="20"/>
                <w:lang w:val="it-IT"/>
              </w:rPr>
            </w:pPr>
          </w:p>
          <w:p w:rsidR="00773E68" w:rsidRPr="008D285C" w:rsidRDefault="008D285C" w:rsidP="00773E68">
            <w:pPr>
              <w:jc w:val="both"/>
              <w:rPr>
                <w:rFonts w:ascii="Times New Roman" w:eastAsia="Times New Roman" w:hAnsi="Times New Roman" w:cs="Times New Roman"/>
                <w:b/>
                <w:sz w:val="20"/>
                <w:szCs w:val="20"/>
                <w:lang w:val="it-IT"/>
              </w:rPr>
            </w:pPr>
            <w:r w:rsidRPr="008D285C">
              <w:rPr>
                <w:rFonts w:ascii="Times New Roman" w:eastAsia="Times New Roman" w:hAnsi="Times New Roman" w:cs="Times New Roman"/>
                <w:b/>
                <w:sz w:val="20"/>
                <w:szCs w:val="20"/>
                <w:lang w:val="it-IT"/>
              </w:rPr>
              <w:t>Vendi</w:t>
            </w:r>
          </w:p>
        </w:tc>
        <w:tc>
          <w:tcPr>
            <w:tcW w:w="1050" w:type="dxa"/>
            <w:vMerge w:val="restart"/>
          </w:tcPr>
          <w:p w:rsidR="00773E68" w:rsidRPr="008D285C" w:rsidRDefault="00773E68" w:rsidP="00773E68">
            <w:pPr>
              <w:jc w:val="both"/>
              <w:rPr>
                <w:rFonts w:ascii="Times New Roman" w:eastAsia="Times New Roman" w:hAnsi="Times New Roman" w:cs="Times New Roman"/>
                <w:b/>
                <w:sz w:val="20"/>
                <w:szCs w:val="20"/>
                <w:lang w:val="it-IT"/>
              </w:rPr>
            </w:pPr>
          </w:p>
          <w:p w:rsidR="00773E68" w:rsidRPr="008D285C" w:rsidRDefault="008D285C" w:rsidP="00773E68">
            <w:pPr>
              <w:jc w:val="both"/>
              <w:rPr>
                <w:rFonts w:ascii="Times New Roman" w:eastAsia="Times New Roman" w:hAnsi="Times New Roman" w:cs="Times New Roman"/>
                <w:b/>
                <w:sz w:val="20"/>
                <w:szCs w:val="20"/>
                <w:lang w:val="it-IT"/>
              </w:rPr>
            </w:pPr>
            <w:r w:rsidRPr="008D285C">
              <w:rPr>
                <w:rFonts w:ascii="Times New Roman" w:eastAsia="Times New Roman" w:hAnsi="Times New Roman" w:cs="Times New Roman"/>
                <w:b/>
                <w:sz w:val="20"/>
                <w:szCs w:val="20"/>
                <w:lang w:val="it-IT"/>
              </w:rPr>
              <w:t>Tre</w:t>
            </w:r>
            <w:r>
              <w:rPr>
                <w:rFonts w:ascii="Times New Roman" w:eastAsia="Times New Roman" w:hAnsi="Times New Roman" w:cs="Times New Roman"/>
                <w:b/>
                <w:sz w:val="20"/>
                <w:szCs w:val="20"/>
                <w:lang w:val="it-IT"/>
              </w:rPr>
              <w:t>gues</w:t>
            </w:r>
          </w:p>
        </w:tc>
        <w:tc>
          <w:tcPr>
            <w:tcW w:w="1701" w:type="dxa"/>
            <w:vMerge w:val="restart"/>
          </w:tcPr>
          <w:p w:rsidR="00773E68" w:rsidRPr="008D285C" w:rsidRDefault="00773E68" w:rsidP="00773E68">
            <w:pPr>
              <w:jc w:val="both"/>
              <w:rPr>
                <w:rFonts w:ascii="Times New Roman" w:eastAsia="Times New Roman" w:hAnsi="Times New Roman" w:cs="Times New Roman"/>
                <w:b/>
                <w:sz w:val="20"/>
                <w:szCs w:val="20"/>
                <w:lang w:val="it-IT"/>
              </w:rPr>
            </w:pPr>
          </w:p>
          <w:p w:rsidR="00773E68" w:rsidRPr="008D285C" w:rsidRDefault="008D285C" w:rsidP="00773E68">
            <w:pPr>
              <w:jc w:val="both"/>
              <w:rPr>
                <w:rFonts w:ascii="Times New Roman" w:eastAsia="Times New Roman" w:hAnsi="Times New Roman" w:cs="Times New Roman"/>
                <w:b/>
                <w:sz w:val="20"/>
                <w:szCs w:val="20"/>
                <w:lang w:val="it-IT"/>
              </w:rPr>
            </w:pPr>
            <w:r w:rsidRPr="008D285C">
              <w:rPr>
                <w:rFonts w:ascii="Times New Roman" w:eastAsia="Times New Roman" w:hAnsi="Times New Roman" w:cs="Times New Roman"/>
                <w:b/>
                <w:sz w:val="20"/>
                <w:szCs w:val="20"/>
                <w:lang w:val="it-IT"/>
              </w:rPr>
              <w:t>Nj. Matjes</w:t>
            </w:r>
          </w:p>
        </w:tc>
        <w:tc>
          <w:tcPr>
            <w:tcW w:w="709" w:type="dxa"/>
            <w:vMerge w:val="restart"/>
          </w:tcPr>
          <w:p w:rsidR="00773E68" w:rsidRPr="008D285C" w:rsidRDefault="008D285C" w:rsidP="00773E68">
            <w:pPr>
              <w:jc w:val="both"/>
              <w:rPr>
                <w:rFonts w:ascii="Times New Roman" w:eastAsia="Times New Roman" w:hAnsi="Times New Roman" w:cs="Times New Roman"/>
                <w:b/>
                <w:sz w:val="20"/>
                <w:szCs w:val="20"/>
                <w:lang w:val="it-IT"/>
              </w:rPr>
            </w:pPr>
            <w:r w:rsidRPr="008D285C">
              <w:rPr>
                <w:rFonts w:ascii="Times New Roman" w:eastAsia="Times New Roman" w:hAnsi="Times New Roman" w:cs="Times New Roman"/>
                <w:b/>
                <w:sz w:val="20"/>
                <w:szCs w:val="20"/>
                <w:lang w:val="it-IT"/>
              </w:rPr>
              <w:t>Limit</w:t>
            </w:r>
          </w:p>
        </w:tc>
        <w:tc>
          <w:tcPr>
            <w:tcW w:w="4550" w:type="dxa"/>
            <w:gridSpan w:val="5"/>
          </w:tcPr>
          <w:p w:rsidR="00773E68" w:rsidRPr="008D285C" w:rsidRDefault="00773E68" w:rsidP="00773E68">
            <w:pPr>
              <w:jc w:val="both"/>
              <w:rPr>
                <w:rFonts w:ascii="Times New Roman" w:eastAsia="Times New Roman" w:hAnsi="Times New Roman" w:cs="Times New Roman"/>
                <w:b/>
                <w:sz w:val="20"/>
                <w:szCs w:val="20"/>
                <w:lang w:val="it-IT"/>
              </w:rPr>
            </w:pPr>
            <w:r w:rsidRPr="008D285C">
              <w:rPr>
                <w:rFonts w:ascii="Times New Roman" w:eastAsia="Times New Roman" w:hAnsi="Times New Roman" w:cs="Times New Roman"/>
                <w:b/>
                <w:sz w:val="20"/>
                <w:szCs w:val="20"/>
                <w:lang w:val="it-IT"/>
              </w:rPr>
              <w:t>REZULTATET</w:t>
            </w:r>
          </w:p>
        </w:tc>
      </w:tr>
      <w:tr w:rsidR="00773E68" w:rsidRPr="00773E68" w:rsidTr="008D285C">
        <w:trPr>
          <w:jc w:val="center"/>
        </w:trPr>
        <w:tc>
          <w:tcPr>
            <w:tcW w:w="1490" w:type="dxa"/>
            <w:vMerge/>
          </w:tcPr>
          <w:p w:rsidR="00773E68" w:rsidRPr="008D285C" w:rsidRDefault="00773E68" w:rsidP="00773E68">
            <w:pPr>
              <w:jc w:val="both"/>
              <w:rPr>
                <w:rFonts w:ascii="Times New Roman" w:eastAsia="Times New Roman" w:hAnsi="Times New Roman" w:cs="Times New Roman"/>
                <w:b/>
                <w:sz w:val="20"/>
                <w:szCs w:val="20"/>
                <w:lang w:val="it-IT"/>
              </w:rPr>
            </w:pPr>
          </w:p>
        </w:tc>
        <w:tc>
          <w:tcPr>
            <w:tcW w:w="1050" w:type="dxa"/>
            <w:vMerge/>
          </w:tcPr>
          <w:p w:rsidR="00773E68" w:rsidRPr="008D285C" w:rsidRDefault="00773E68" w:rsidP="00773E68">
            <w:pPr>
              <w:jc w:val="both"/>
              <w:rPr>
                <w:rFonts w:ascii="Times New Roman" w:eastAsia="Times New Roman" w:hAnsi="Times New Roman" w:cs="Times New Roman"/>
                <w:b/>
                <w:sz w:val="20"/>
                <w:szCs w:val="20"/>
                <w:lang w:val="it-IT"/>
              </w:rPr>
            </w:pPr>
          </w:p>
        </w:tc>
        <w:tc>
          <w:tcPr>
            <w:tcW w:w="1701" w:type="dxa"/>
            <w:vMerge/>
          </w:tcPr>
          <w:p w:rsidR="00773E68" w:rsidRPr="008D285C" w:rsidRDefault="00773E68" w:rsidP="00773E68">
            <w:pPr>
              <w:jc w:val="both"/>
              <w:rPr>
                <w:rFonts w:ascii="Times New Roman" w:eastAsia="Times New Roman" w:hAnsi="Times New Roman" w:cs="Times New Roman"/>
                <w:b/>
                <w:sz w:val="20"/>
                <w:szCs w:val="20"/>
                <w:lang w:val="it-IT"/>
              </w:rPr>
            </w:pPr>
          </w:p>
        </w:tc>
        <w:tc>
          <w:tcPr>
            <w:tcW w:w="709" w:type="dxa"/>
            <w:vMerge/>
          </w:tcPr>
          <w:p w:rsidR="00773E68" w:rsidRPr="008D285C" w:rsidRDefault="00773E68" w:rsidP="00773E68">
            <w:pPr>
              <w:jc w:val="both"/>
              <w:rPr>
                <w:rFonts w:ascii="Times New Roman" w:eastAsia="Times New Roman" w:hAnsi="Times New Roman" w:cs="Times New Roman"/>
                <w:b/>
                <w:sz w:val="20"/>
                <w:szCs w:val="20"/>
                <w:lang w:val="it-IT"/>
              </w:rPr>
            </w:pPr>
          </w:p>
        </w:tc>
        <w:tc>
          <w:tcPr>
            <w:tcW w:w="849" w:type="dxa"/>
          </w:tcPr>
          <w:p w:rsidR="00773E68" w:rsidRPr="008D285C" w:rsidRDefault="00773E68" w:rsidP="00773E68">
            <w:pPr>
              <w:jc w:val="both"/>
              <w:rPr>
                <w:rFonts w:ascii="Times New Roman" w:eastAsia="Times New Roman" w:hAnsi="Times New Roman" w:cs="Times New Roman"/>
                <w:b/>
                <w:sz w:val="20"/>
                <w:szCs w:val="20"/>
                <w:lang w:val="it-IT"/>
              </w:rPr>
            </w:pPr>
            <w:r w:rsidRPr="008D285C">
              <w:rPr>
                <w:rFonts w:ascii="Times New Roman" w:eastAsia="Times New Roman" w:hAnsi="Times New Roman" w:cs="Times New Roman"/>
                <w:b/>
                <w:sz w:val="20"/>
                <w:szCs w:val="20"/>
                <w:lang w:val="it-IT"/>
              </w:rPr>
              <w:t xml:space="preserve">M. 1   0–30 </w:t>
            </w:r>
          </w:p>
        </w:tc>
        <w:tc>
          <w:tcPr>
            <w:tcW w:w="708" w:type="dxa"/>
          </w:tcPr>
          <w:p w:rsidR="00773E68" w:rsidRPr="008D285C" w:rsidRDefault="00773E68" w:rsidP="00773E68">
            <w:pPr>
              <w:jc w:val="both"/>
              <w:rPr>
                <w:rFonts w:ascii="Times New Roman" w:eastAsia="Times New Roman" w:hAnsi="Times New Roman" w:cs="Times New Roman"/>
                <w:b/>
                <w:sz w:val="20"/>
                <w:szCs w:val="20"/>
                <w:lang w:val="it-IT"/>
              </w:rPr>
            </w:pPr>
            <w:r w:rsidRPr="008D285C">
              <w:rPr>
                <w:rFonts w:ascii="Times New Roman" w:eastAsia="Times New Roman" w:hAnsi="Times New Roman" w:cs="Times New Roman"/>
                <w:b/>
                <w:sz w:val="20"/>
                <w:szCs w:val="20"/>
                <w:lang w:val="it-IT"/>
              </w:rPr>
              <w:t xml:space="preserve">M.   2 0–30 </w:t>
            </w:r>
          </w:p>
        </w:tc>
        <w:tc>
          <w:tcPr>
            <w:tcW w:w="851" w:type="dxa"/>
          </w:tcPr>
          <w:p w:rsidR="00773E68" w:rsidRPr="008D285C" w:rsidRDefault="00773E68" w:rsidP="00773E68">
            <w:pPr>
              <w:jc w:val="both"/>
              <w:rPr>
                <w:rFonts w:ascii="Times New Roman" w:eastAsia="Times New Roman" w:hAnsi="Times New Roman" w:cs="Times New Roman"/>
                <w:b/>
                <w:sz w:val="20"/>
                <w:szCs w:val="20"/>
                <w:lang w:val="it-IT"/>
              </w:rPr>
            </w:pPr>
            <w:r w:rsidRPr="008D285C">
              <w:rPr>
                <w:rFonts w:ascii="Times New Roman" w:eastAsia="Times New Roman" w:hAnsi="Times New Roman" w:cs="Times New Roman"/>
                <w:b/>
                <w:sz w:val="20"/>
                <w:szCs w:val="20"/>
                <w:lang w:val="it-IT"/>
              </w:rPr>
              <w:t>M  3</w:t>
            </w:r>
          </w:p>
          <w:p w:rsidR="00773E68" w:rsidRPr="008D285C" w:rsidRDefault="00773E68" w:rsidP="00773E68">
            <w:pPr>
              <w:jc w:val="both"/>
              <w:rPr>
                <w:rFonts w:ascii="Times New Roman" w:eastAsia="Times New Roman" w:hAnsi="Times New Roman" w:cs="Times New Roman"/>
                <w:b/>
                <w:sz w:val="20"/>
                <w:szCs w:val="20"/>
                <w:lang w:val="it-IT"/>
              </w:rPr>
            </w:pPr>
            <w:r w:rsidRPr="008D285C">
              <w:rPr>
                <w:rFonts w:ascii="Times New Roman" w:eastAsia="Times New Roman" w:hAnsi="Times New Roman" w:cs="Times New Roman"/>
                <w:b/>
                <w:sz w:val="20"/>
                <w:szCs w:val="20"/>
                <w:lang w:val="it-IT"/>
              </w:rPr>
              <w:t>0 - 30</w:t>
            </w:r>
          </w:p>
        </w:tc>
        <w:tc>
          <w:tcPr>
            <w:tcW w:w="902" w:type="dxa"/>
          </w:tcPr>
          <w:p w:rsidR="00773E68" w:rsidRPr="008D285C" w:rsidRDefault="00773E68" w:rsidP="00773E68">
            <w:pPr>
              <w:jc w:val="both"/>
              <w:rPr>
                <w:rFonts w:ascii="Times New Roman" w:eastAsia="Times New Roman" w:hAnsi="Times New Roman" w:cs="Times New Roman"/>
                <w:b/>
                <w:sz w:val="20"/>
                <w:szCs w:val="20"/>
                <w:lang w:val="it-IT"/>
              </w:rPr>
            </w:pPr>
            <w:r w:rsidRPr="008D285C">
              <w:rPr>
                <w:rFonts w:ascii="Times New Roman" w:eastAsia="Times New Roman" w:hAnsi="Times New Roman" w:cs="Times New Roman"/>
                <w:b/>
                <w:sz w:val="20"/>
                <w:szCs w:val="20"/>
                <w:lang w:val="it-IT"/>
              </w:rPr>
              <w:t xml:space="preserve">M.  4 </w:t>
            </w:r>
          </w:p>
          <w:p w:rsidR="00773E68" w:rsidRPr="008D285C" w:rsidRDefault="00773E68" w:rsidP="00773E68">
            <w:pPr>
              <w:jc w:val="both"/>
              <w:rPr>
                <w:rFonts w:ascii="Times New Roman" w:eastAsia="Times New Roman" w:hAnsi="Times New Roman" w:cs="Times New Roman"/>
                <w:b/>
                <w:sz w:val="20"/>
                <w:szCs w:val="20"/>
                <w:lang w:val="it-IT"/>
              </w:rPr>
            </w:pPr>
            <w:r w:rsidRPr="008D285C">
              <w:rPr>
                <w:rFonts w:ascii="Times New Roman" w:eastAsia="Times New Roman" w:hAnsi="Times New Roman" w:cs="Times New Roman"/>
                <w:b/>
                <w:sz w:val="20"/>
                <w:szCs w:val="20"/>
                <w:lang w:val="it-IT"/>
              </w:rPr>
              <w:t xml:space="preserve">0–30 </w:t>
            </w:r>
          </w:p>
          <w:p w:rsidR="00773E68" w:rsidRPr="008D285C" w:rsidRDefault="00773E68" w:rsidP="00773E68">
            <w:pPr>
              <w:jc w:val="both"/>
              <w:rPr>
                <w:rFonts w:ascii="Times New Roman" w:eastAsia="Times New Roman" w:hAnsi="Times New Roman" w:cs="Times New Roman"/>
                <w:b/>
                <w:sz w:val="20"/>
                <w:szCs w:val="20"/>
                <w:lang w:val="it-IT"/>
              </w:rPr>
            </w:pPr>
          </w:p>
        </w:tc>
        <w:tc>
          <w:tcPr>
            <w:tcW w:w="1240" w:type="dxa"/>
          </w:tcPr>
          <w:p w:rsidR="00773E68" w:rsidRPr="008D285C" w:rsidRDefault="00773E68" w:rsidP="00773E68">
            <w:pPr>
              <w:jc w:val="both"/>
              <w:rPr>
                <w:rFonts w:ascii="Times New Roman" w:eastAsia="Times New Roman" w:hAnsi="Times New Roman" w:cs="Times New Roman"/>
                <w:b/>
                <w:sz w:val="20"/>
                <w:szCs w:val="20"/>
                <w:lang w:val="it-IT"/>
              </w:rPr>
            </w:pPr>
            <w:r w:rsidRPr="008D285C">
              <w:rPr>
                <w:rFonts w:ascii="Times New Roman" w:eastAsia="Times New Roman" w:hAnsi="Times New Roman" w:cs="Times New Roman"/>
                <w:b/>
                <w:sz w:val="20"/>
                <w:szCs w:val="20"/>
                <w:lang w:val="it-IT"/>
              </w:rPr>
              <w:t>M. 5</w:t>
            </w:r>
          </w:p>
          <w:p w:rsidR="00773E68" w:rsidRPr="008D285C" w:rsidRDefault="00773E68" w:rsidP="00773E68">
            <w:pPr>
              <w:jc w:val="both"/>
              <w:rPr>
                <w:rFonts w:ascii="Times New Roman" w:eastAsia="Times New Roman" w:hAnsi="Times New Roman" w:cs="Times New Roman"/>
                <w:b/>
                <w:sz w:val="20"/>
                <w:szCs w:val="20"/>
                <w:lang w:val="it-IT"/>
              </w:rPr>
            </w:pPr>
            <w:r w:rsidRPr="008D285C">
              <w:rPr>
                <w:rFonts w:ascii="Times New Roman" w:eastAsia="Times New Roman" w:hAnsi="Times New Roman" w:cs="Times New Roman"/>
                <w:b/>
                <w:sz w:val="20"/>
                <w:szCs w:val="20"/>
                <w:lang w:val="it-IT"/>
              </w:rPr>
              <w:t>0 - 30</w:t>
            </w:r>
          </w:p>
        </w:tc>
      </w:tr>
      <w:tr w:rsidR="00773E68" w:rsidRPr="00773E68" w:rsidTr="008D285C">
        <w:trPr>
          <w:trHeight w:val="134"/>
          <w:jc w:val="center"/>
        </w:trPr>
        <w:tc>
          <w:tcPr>
            <w:tcW w:w="1490" w:type="dxa"/>
            <w:vMerge w:val="restart"/>
          </w:tcPr>
          <w:p w:rsidR="00773E68" w:rsidRPr="00773E68" w:rsidRDefault="00773E68" w:rsidP="00773E68">
            <w:pPr>
              <w:jc w:val="both"/>
              <w:rPr>
                <w:rFonts w:ascii="Times New Roman" w:eastAsia="Times New Roman" w:hAnsi="Times New Roman" w:cs="Times New Roman"/>
                <w:b/>
                <w:sz w:val="24"/>
                <w:szCs w:val="24"/>
                <w:lang w:val="it-IT"/>
              </w:rPr>
            </w:pPr>
          </w:p>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lang w:val="it-IT"/>
              </w:rPr>
              <w:t>Uzina e Ferro Kromit Burel</w:t>
            </w: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tc>
        <w:tc>
          <w:tcPr>
            <w:tcW w:w="105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84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0.89</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0.84</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0.86</w:t>
            </w:r>
          </w:p>
        </w:tc>
        <w:tc>
          <w:tcPr>
            <w:tcW w:w="90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0.82</w:t>
            </w:r>
          </w:p>
        </w:tc>
        <w:tc>
          <w:tcPr>
            <w:tcW w:w="124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0.83</w:t>
            </w:r>
          </w:p>
        </w:tc>
      </w:tr>
      <w:tr w:rsidR="00773E68" w:rsidRPr="00773E68" w:rsidTr="008D285C">
        <w:trPr>
          <w:jc w:val="center"/>
        </w:trPr>
        <w:tc>
          <w:tcPr>
            <w:tcW w:w="1490" w:type="dxa"/>
            <w:vMerge/>
          </w:tcPr>
          <w:p w:rsidR="00773E68" w:rsidRPr="00773E68" w:rsidRDefault="00773E68" w:rsidP="00773E68">
            <w:pPr>
              <w:jc w:val="both"/>
              <w:rPr>
                <w:rFonts w:ascii="Times New Roman" w:eastAsia="Times New Roman" w:hAnsi="Times New Roman" w:cs="Times New Roman"/>
                <w:b/>
                <w:sz w:val="24"/>
                <w:szCs w:val="24"/>
              </w:rPr>
            </w:pPr>
          </w:p>
        </w:tc>
        <w:tc>
          <w:tcPr>
            <w:tcW w:w="105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84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2.82</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2.92</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2.65</w:t>
            </w:r>
          </w:p>
        </w:tc>
        <w:tc>
          <w:tcPr>
            <w:tcW w:w="90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1.17</w:t>
            </w:r>
          </w:p>
        </w:tc>
        <w:tc>
          <w:tcPr>
            <w:tcW w:w="124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1.82</w:t>
            </w:r>
          </w:p>
        </w:tc>
      </w:tr>
      <w:tr w:rsidR="00773E68" w:rsidRPr="00773E68" w:rsidTr="008D285C">
        <w:trPr>
          <w:jc w:val="center"/>
        </w:trPr>
        <w:tc>
          <w:tcPr>
            <w:tcW w:w="1490" w:type="dxa"/>
            <w:vMerge/>
          </w:tcPr>
          <w:p w:rsidR="00773E68" w:rsidRPr="00773E68" w:rsidRDefault="00773E68" w:rsidP="00773E68">
            <w:pPr>
              <w:jc w:val="both"/>
              <w:rPr>
                <w:rFonts w:ascii="Times New Roman" w:eastAsia="Times New Roman" w:hAnsi="Times New Roman" w:cs="Times New Roman"/>
                <w:b/>
                <w:sz w:val="24"/>
                <w:szCs w:val="24"/>
              </w:rPr>
            </w:pPr>
          </w:p>
        </w:tc>
        <w:tc>
          <w:tcPr>
            <w:tcW w:w="105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84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0.31</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0.74</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0.89</w:t>
            </w:r>
          </w:p>
        </w:tc>
        <w:tc>
          <w:tcPr>
            <w:tcW w:w="90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0.95</w:t>
            </w:r>
          </w:p>
        </w:tc>
        <w:tc>
          <w:tcPr>
            <w:tcW w:w="124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1.12</w:t>
            </w:r>
          </w:p>
        </w:tc>
      </w:tr>
      <w:tr w:rsidR="00773E68" w:rsidRPr="00773E68" w:rsidTr="008D285C">
        <w:trPr>
          <w:jc w:val="center"/>
        </w:trPr>
        <w:tc>
          <w:tcPr>
            <w:tcW w:w="1490" w:type="dxa"/>
            <w:vMerge/>
          </w:tcPr>
          <w:p w:rsidR="00773E68" w:rsidRPr="00773E68" w:rsidRDefault="00773E68" w:rsidP="00773E68">
            <w:pPr>
              <w:jc w:val="both"/>
              <w:rPr>
                <w:rFonts w:ascii="Times New Roman" w:eastAsia="Times New Roman" w:hAnsi="Times New Roman" w:cs="Times New Roman"/>
                <w:b/>
                <w:sz w:val="24"/>
                <w:szCs w:val="24"/>
              </w:rPr>
            </w:pPr>
          </w:p>
        </w:tc>
        <w:tc>
          <w:tcPr>
            <w:tcW w:w="105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84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5.7</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4.0</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6.9</w:t>
            </w:r>
          </w:p>
        </w:tc>
        <w:tc>
          <w:tcPr>
            <w:tcW w:w="90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9.5</w:t>
            </w:r>
          </w:p>
        </w:tc>
        <w:tc>
          <w:tcPr>
            <w:tcW w:w="124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10.2</w:t>
            </w:r>
          </w:p>
        </w:tc>
      </w:tr>
      <w:tr w:rsidR="00773E68" w:rsidRPr="00773E68" w:rsidTr="008D285C">
        <w:trPr>
          <w:jc w:val="center"/>
        </w:trPr>
        <w:tc>
          <w:tcPr>
            <w:tcW w:w="1490" w:type="dxa"/>
            <w:vMerge/>
          </w:tcPr>
          <w:p w:rsidR="00773E68" w:rsidRPr="00773E68" w:rsidRDefault="00773E68" w:rsidP="00773E68">
            <w:pPr>
              <w:jc w:val="both"/>
              <w:rPr>
                <w:rFonts w:ascii="Times New Roman" w:eastAsia="Times New Roman" w:hAnsi="Times New Roman" w:cs="Times New Roman"/>
                <w:b/>
                <w:sz w:val="24"/>
                <w:szCs w:val="24"/>
              </w:rPr>
            </w:pPr>
          </w:p>
        </w:tc>
        <w:tc>
          <w:tcPr>
            <w:tcW w:w="105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84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1.57</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1.74</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1.49</w:t>
            </w:r>
          </w:p>
        </w:tc>
        <w:tc>
          <w:tcPr>
            <w:tcW w:w="90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1.41</w:t>
            </w:r>
          </w:p>
        </w:tc>
        <w:tc>
          <w:tcPr>
            <w:tcW w:w="124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1.35</w:t>
            </w:r>
          </w:p>
        </w:tc>
      </w:tr>
      <w:tr w:rsidR="00773E68" w:rsidRPr="00773E68" w:rsidTr="008D285C">
        <w:trPr>
          <w:jc w:val="center"/>
        </w:trPr>
        <w:tc>
          <w:tcPr>
            <w:tcW w:w="1490" w:type="dxa"/>
            <w:vMerge/>
          </w:tcPr>
          <w:p w:rsidR="00773E68" w:rsidRPr="00773E68" w:rsidRDefault="00773E68" w:rsidP="00773E68">
            <w:pPr>
              <w:jc w:val="both"/>
              <w:rPr>
                <w:rFonts w:ascii="Times New Roman" w:eastAsia="Times New Roman" w:hAnsi="Times New Roman" w:cs="Times New Roman"/>
                <w:b/>
                <w:sz w:val="24"/>
                <w:szCs w:val="24"/>
              </w:rPr>
            </w:pPr>
          </w:p>
        </w:tc>
        <w:tc>
          <w:tcPr>
            <w:tcW w:w="105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84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0.99</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1.13</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1.29</w:t>
            </w:r>
          </w:p>
        </w:tc>
        <w:tc>
          <w:tcPr>
            <w:tcW w:w="90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1.35</w:t>
            </w:r>
          </w:p>
        </w:tc>
        <w:tc>
          <w:tcPr>
            <w:tcW w:w="124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1.29</w:t>
            </w:r>
          </w:p>
        </w:tc>
      </w:tr>
      <w:tr w:rsidR="00773E68" w:rsidRPr="00773E68" w:rsidTr="008D285C">
        <w:trPr>
          <w:jc w:val="center"/>
        </w:trPr>
        <w:tc>
          <w:tcPr>
            <w:tcW w:w="1490" w:type="dxa"/>
            <w:vMerge/>
          </w:tcPr>
          <w:p w:rsidR="00773E68" w:rsidRPr="00773E68" w:rsidRDefault="00773E68" w:rsidP="00773E68">
            <w:pPr>
              <w:jc w:val="both"/>
              <w:rPr>
                <w:rFonts w:ascii="Times New Roman" w:eastAsia="Times New Roman" w:hAnsi="Times New Roman" w:cs="Times New Roman"/>
                <w:b/>
                <w:sz w:val="24"/>
                <w:szCs w:val="24"/>
              </w:rPr>
            </w:pPr>
          </w:p>
        </w:tc>
        <w:tc>
          <w:tcPr>
            <w:tcW w:w="105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Mn</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84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12.11</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5.84</w:t>
            </w:r>
          </w:p>
        </w:tc>
        <w:tc>
          <w:tcPr>
            <w:tcW w:w="85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6.66</w:t>
            </w:r>
          </w:p>
        </w:tc>
        <w:tc>
          <w:tcPr>
            <w:tcW w:w="90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5.91</w:t>
            </w:r>
          </w:p>
        </w:tc>
        <w:tc>
          <w:tcPr>
            <w:tcW w:w="124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7.02</w:t>
            </w:r>
          </w:p>
        </w:tc>
      </w:tr>
    </w:tbl>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8D285C" w:rsidRDefault="00446FEB" w:rsidP="008D285C">
      <w:pPr>
        <w:spacing w:after="0" w:line="240" w:lineRule="auto"/>
        <w:jc w:val="center"/>
        <w:rPr>
          <w:rFonts w:ascii="Times New Roman" w:eastAsia="Times New Roman" w:hAnsi="Times New Roman" w:cs="Times New Roman"/>
          <w:sz w:val="24"/>
          <w:szCs w:val="24"/>
          <w:lang w:val="it-IT"/>
        </w:rPr>
      </w:pPr>
      <w:r w:rsidRPr="008D285C">
        <w:rPr>
          <w:rFonts w:ascii="Times New Roman" w:eastAsia="Times New Roman" w:hAnsi="Times New Roman" w:cs="Times New Roman"/>
          <w:sz w:val="24"/>
          <w:szCs w:val="24"/>
          <w:lang w:val="it-IT"/>
        </w:rPr>
        <w:t>Tabel</w:t>
      </w:r>
      <w:r w:rsidR="008D285C" w:rsidRPr="008D285C">
        <w:rPr>
          <w:rFonts w:ascii="Times New Roman" w:eastAsia="Times New Roman" w:hAnsi="Times New Roman" w:cs="Times New Roman"/>
          <w:sz w:val="24"/>
          <w:szCs w:val="24"/>
          <w:lang w:val="it-IT"/>
        </w:rPr>
        <w:t xml:space="preserve">a </w:t>
      </w:r>
      <w:r w:rsidR="00681B50">
        <w:rPr>
          <w:rFonts w:ascii="Times New Roman" w:eastAsia="Times New Roman" w:hAnsi="Times New Roman" w:cs="Times New Roman"/>
          <w:sz w:val="24"/>
          <w:szCs w:val="24"/>
          <w:lang w:val="it-IT"/>
        </w:rPr>
        <w:t>53</w:t>
      </w:r>
      <w:r w:rsidR="00773E68" w:rsidRPr="008D285C">
        <w:rPr>
          <w:rFonts w:ascii="Times New Roman" w:eastAsia="Times New Roman" w:hAnsi="Times New Roman" w:cs="Times New Roman"/>
          <w:sz w:val="24"/>
          <w:szCs w:val="24"/>
          <w:lang w:val="it-IT"/>
        </w:rPr>
        <w:t>.  Rezultatet për Profilet Uzina e Ferro-Kromit Burrel</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tbl>
      <w:tblPr>
        <w:tblStyle w:val="TableGrid3"/>
        <w:tblW w:w="10207" w:type="dxa"/>
        <w:tblInd w:w="-34" w:type="dxa"/>
        <w:tblLayout w:type="fixed"/>
        <w:tblLook w:val="04A0" w:firstRow="1" w:lastRow="0" w:firstColumn="1" w:lastColumn="0" w:noHBand="0" w:noVBand="1"/>
      </w:tblPr>
      <w:tblGrid>
        <w:gridCol w:w="993"/>
        <w:gridCol w:w="1039"/>
        <w:gridCol w:w="1440"/>
        <w:gridCol w:w="720"/>
        <w:gridCol w:w="990"/>
        <w:gridCol w:w="990"/>
        <w:gridCol w:w="990"/>
        <w:gridCol w:w="990"/>
        <w:gridCol w:w="990"/>
        <w:gridCol w:w="1065"/>
      </w:tblGrid>
      <w:tr w:rsidR="00773E68" w:rsidRPr="00773E68" w:rsidTr="008D285C">
        <w:tc>
          <w:tcPr>
            <w:tcW w:w="993" w:type="dxa"/>
            <w:vMerge w:val="restart"/>
          </w:tcPr>
          <w:p w:rsidR="00773E68" w:rsidRPr="008D285C" w:rsidRDefault="00773E68" w:rsidP="00773E68">
            <w:pPr>
              <w:jc w:val="both"/>
              <w:rPr>
                <w:rFonts w:ascii="Times New Roman" w:eastAsia="Times New Roman" w:hAnsi="Times New Roman" w:cs="Times New Roman"/>
                <w:b/>
                <w:sz w:val="20"/>
                <w:szCs w:val="20"/>
                <w:lang w:val="nn-NO"/>
              </w:rPr>
            </w:pPr>
          </w:p>
          <w:p w:rsidR="00773E68" w:rsidRPr="008D285C" w:rsidRDefault="008D285C"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Vendi</w:t>
            </w:r>
          </w:p>
        </w:tc>
        <w:tc>
          <w:tcPr>
            <w:tcW w:w="1039" w:type="dxa"/>
            <w:vMerge w:val="restart"/>
          </w:tcPr>
          <w:p w:rsidR="00773E68" w:rsidRPr="008D285C" w:rsidRDefault="00773E68" w:rsidP="00773E68">
            <w:pPr>
              <w:jc w:val="both"/>
              <w:rPr>
                <w:rFonts w:ascii="Times New Roman" w:eastAsia="Times New Roman" w:hAnsi="Times New Roman" w:cs="Times New Roman"/>
                <w:b/>
                <w:sz w:val="20"/>
                <w:szCs w:val="20"/>
                <w:lang w:val="nn-NO"/>
              </w:rPr>
            </w:pPr>
          </w:p>
          <w:p w:rsidR="00773E68" w:rsidRPr="008D285C" w:rsidRDefault="008D285C"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Tre</w:t>
            </w:r>
            <w:r>
              <w:rPr>
                <w:rFonts w:ascii="Times New Roman" w:eastAsia="Times New Roman" w:hAnsi="Times New Roman" w:cs="Times New Roman"/>
                <w:b/>
                <w:sz w:val="20"/>
                <w:szCs w:val="20"/>
                <w:lang w:val="nn-NO"/>
              </w:rPr>
              <w:t>gues</w:t>
            </w:r>
          </w:p>
        </w:tc>
        <w:tc>
          <w:tcPr>
            <w:tcW w:w="1440" w:type="dxa"/>
            <w:vMerge w:val="restart"/>
          </w:tcPr>
          <w:p w:rsidR="00773E68" w:rsidRPr="008D285C" w:rsidRDefault="00773E68" w:rsidP="00773E68">
            <w:pPr>
              <w:jc w:val="both"/>
              <w:rPr>
                <w:rFonts w:ascii="Times New Roman" w:eastAsia="Times New Roman" w:hAnsi="Times New Roman" w:cs="Times New Roman"/>
                <w:b/>
                <w:sz w:val="20"/>
                <w:szCs w:val="20"/>
                <w:lang w:val="nn-NO"/>
              </w:rPr>
            </w:pPr>
          </w:p>
          <w:p w:rsidR="00773E68" w:rsidRPr="008D285C" w:rsidRDefault="008D285C"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Nj. Matjes</w:t>
            </w:r>
          </w:p>
        </w:tc>
        <w:tc>
          <w:tcPr>
            <w:tcW w:w="720" w:type="dxa"/>
            <w:vMerge w:val="restart"/>
          </w:tcPr>
          <w:p w:rsidR="00773E68" w:rsidRPr="008D285C" w:rsidRDefault="008D285C"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Limit</w:t>
            </w:r>
          </w:p>
        </w:tc>
        <w:tc>
          <w:tcPr>
            <w:tcW w:w="6015" w:type="dxa"/>
            <w:gridSpan w:val="6"/>
          </w:tcPr>
          <w:p w:rsidR="00773E68" w:rsidRPr="008D285C" w:rsidRDefault="00773E68"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REZULTATET PËR PROFILET</w:t>
            </w:r>
          </w:p>
        </w:tc>
      </w:tr>
      <w:tr w:rsidR="00773E68" w:rsidRPr="00773E68" w:rsidTr="008D285C">
        <w:tc>
          <w:tcPr>
            <w:tcW w:w="993" w:type="dxa"/>
            <w:vMerge/>
          </w:tcPr>
          <w:p w:rsidR="00773E68" w:rsidRPr="008D285C" w:rsidRDefault="00773E68" w:rsidP="00773E68">
            <w:pPr>
              <w:jc w:val="both"/>
              <w:rPr>
                <w:rFonts w:ascii="Times New Roman" w:eastAsia="Times New Roman" w:hAnsi="Times New Roman" w:cs="Times New Roman"/>
                <w:b/>
                <w:sz w:val="20"/>
                <w:szCs w:val="20"/>
                <w:lang w:val="nn-NO"/>
              </w:rPr>
            </w:pPr>
          </w:p>
        </w:tc>
        <w:tc>
          <w:tcPr>
            <w:tcW w:w="1039" w:type="dxa"/>
            <w:vMerge/>
          </w:tcPr>
          <w:p w:rsidR="00773E68" w:rsidRPr="008D285C" w:rsidRDefault="00773E68" w:rsidP="00773E68">
            <w:pPr>
              <w:jc w:val="both"/>
              <w:rPr>
                <w:rFonts w:ascii="Times New Roman" w:eastAsia="Times New Roman" w:hAnsi="Times New Roman" w:cs="Times New Roman"/>
                <w:b/>
                <w:sz w:val="20"/>
                <w:szCs w:val="20"/>
                <w:lang w:val="nn-NO"/>
              </w:rPr>
            </w:pPr>
          </w:p>
        </w:tc>
        <w:tc>
          <w:tcPr>
            <w:tcW w:w="1440" w:type="dxa"/>
            <w:vMerge/>
          </w:tcPr>
          <w:p w:rsidR="00773E68" w:rsidRPr="008D285C" w:rsidRDefault="00773E68" w:rsidP="00773E68">
            <w:pPr>
              <w:jc w:val="both"/>
              <w:rPr>
                <w:rFonts w:ascii="Times New Roman" w:eastAsia="Times New Roman" w:hAnsi="Times New Roman" w:cs="Times New Roman"/>
                <w:b/>
                <w:sz w:val="20"/>
                <w:szCs w:val="20"/>
                <w:lang w:val="nn-NO"/>
              </w:rPr>
            </w:pPr>
          </w:p>
        </w:tc>
        <w:tc>
          <w:tcPr>
            <w:tcW w:w="720" w:type="dxa"/>
            <w:vMerge/>
          </w:tcPr>
          <w:p w:rsidR="00773E68" w:rsidRPr="008D285C" w:rsidRDefault="00773E68" w:rsidP="00773E68">
            <w:pPr>
              <w:jc w:val="both"/>
              <w:rPr>
                <w:rFonts w:ascii="Times New Roman" w:eastAsia="Times New Roman" w:hAnsi="Times New Roman" w:cs="Times New Roman"/>
                <w:b/>
                <w:sz w:val="20"/>
                <w:szCs w:val="20"/>
                <w:lang w:val="nn-NO"/>
              </w:rPr>
            </w:pPr>
          </w:p>
        </w:tc>
        <w:tc>
          <w:tcPr>
            <w:tcW w:w="990" w:type="dxa"/>
          </w:tcPr>
          <w:p w:rsidR="00773E68" w:rsidRPr="008D285C" w:rsidRDefault="00773E68"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Profili  1</w:t>
            </w:r>
          </w:p>
          <w:p w:rsidR="00773E68" w:rsidRPr="008D285C" w:rsidRDefault="00773E68" w:rsidP="00773E68">
            <w:pPr>
              <w:jc w:val="both"/>
              <w:rPr>
                <w:rFonts w:ascii="Times New Roman" w:eastAsia="Times New Roman" w:hAnsi="Times New Roman" w:cs="Times New Roman"/>
                <w:b/>
                <w:sz w:val="20"/>
                <w:szCs w:val="20"/>
                <w:lang w:val="nn-NO"/>
              </w:rPr>
            </w:pPr>
          </w:p>
          <w:p w:rsidR="00773E68" w:rsidRPr="008D285C" w:rsidRDefault="00773E68"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 xml:space="preserve">0 – 30 cm </w:t>
            </w:r>
          </w:p>
        </w:tc>
        <w:tc>
          <w:tcPr>
            <w:tcW w:w="990" w:type="dxa"/>
          </w:tcPr>
          <w:p w:rsidR="00773E68" w:rsidRPr="008D285C" w:rsidRDefault="00773E68"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Profili  1</w:t>
            </w:r>
          </w:p>
          <w:p w:rsidR="00773E68" w:rsidRPr="008D285C" w:rsidRDefault="00773E68" w:rsidP="00773E68">
            <w:pPr>
              <w:jc w:val="both"/>
              <w:rPr>
                <w:rFonts w:ascii="Times New Roman" w:eastAsia="Times New Roman" w:hAnsi="Times New Roman" w:cs="Times New Roman"/>
                <w:b/>
                <w:sz w:val="20"/>
                <w:szCs w:val="20"/>
                <w:lang w:val="nn-NO"/>
              </w:rPr>
            </w:pPr>
          </w:p>
          <w:p w:rsidR="00773E68" w:rsidRPr="008D285C" w:rsidRDefault="00773E68"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0 – 60 cm</w:t>
            </w:r>
          </w:p>
        </w:tc>
        <w:tc>
          <w:tcPr>
            <w:tcW w:w="990" w:type="dxa"/>
          </w:tcPr>
          <w:p w:rsidR="00773E68" w:rsidRPr="008D285C" w:rsidRDefault="00773E68"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Profili  1</w:t>
            </w:r>
          </w:p>
          <w:p w:rsidR="00773E68" w:rsidRPr="008D285C" w:rsidRDefault="00773E68" w:rsidP="00773E68">
            <w:pPr>
              <w:jc w:val="both"/>
              <w:rPr>
                <w:rFonts w:ascii="Times New Roman" w:eastAsia="Times New Roman" w:hAnsi="Times New Roman" w:cs="Times New Roman"/>
                <w:b/>
                <w:sz w:val="20"/>
                <w:szCs w:val="20"/>
                <w:lang w:val="nn-NO"/>
              </w:rPr>
            </w:pPr>
          </w:p>
          <w:p w:rsidR="00773E68" w:rsidRPr="008D285C" w:rsidRDefault="00773E68"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60 -100 cm</w:t>
            </w:r>
          </w:p>
        </w:tc>
        <w:tc>
          <w:tcPr>
            <w:tcW w:w="990" w:type="dxa"/>
          </w:tcPr>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Profili  2</w:t>
            </w:r>
          </w:p>
          <w:p w:rsidR="00773E68" w:rsidRPr="008D285C" w:rsidRDefault="00773E68" w:rsidP="00773E68">
            <w:pPr>
              <w:jc w:val="both"/>
              <w:rPr>
                <w:rFonts w:ascii="Times New Roman" w:eastAsia="Times New Roman" w:hAnsi="Times New Roman" w:cs="Times New Roman"/>
                <w:b/>
                <w:sz w:val="20"/>
                <w:szCs w:val="20"/>
              </w:rPr>
            </w:pPr>
          </w:p>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 xml:space="preserve">0 – 30 cm </w:t>
            </w:r>
          </w:p>
        </w:tc>
        <w:tc>
          <w:tcPr>
            <w:tcW w:w="990" w:type="dxa"/>
          </w:tcPr>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Profili  2</w:t>
            </w:r>
          </w:p>
          <w:p w:rsidR="00773E68" w:rsidRPr="008D285C" w:rsidRDefault="00773E68" w:rsidP="00773E68">
            <w:pPr>
              <w:jc w:val="both"/>
              <w:rPr>
                <w:rFonts w:ascii="Times New Roman" w:eastAsia="Times New Roman" w:hAnsi="Times New Roman" w:cs="Times New Roman"/>
                <w:b/>
                <w:sz w:val="20"/>
                <w:szCs w:val="20"/>
              </w:rPr>
            </w:pPr>
          </w:p>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0 – 60 cm</w:t>
            </w:r>
          </w:p>
        </w:tc>
        <w:tc>
          <w:tcPr>
            <w:tcW w:w="1065" w:type="dxa"/>
          </w:tcPr>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Profili  2</w:t>
            </w:r>
          </w:p>
          <w:p w:rsidR="00773E68" w:rsidRPr="008D285C" w:rsidRDefault="00773E68" w:rsidP="00773E68">
            <w:pPr>
              <w:jc w:val="both"/>
              <w:rPr>
                <w:rFonts w:ascii="Times New Roman" w:eastAsia="Times New Roman" w:hAnsi="Times New Roman" w:cs="Times New Roman"/>
                <w:b/>
                <w:sz w:val="20"/>
                <w:szCs w:val="20"/>
              </w:rPr>
            </w:pPr>
          </w:p>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60 -100 cm</w:t>
            </w:r>
          </w:p>
        </w:tc>
      </w:tr>
      <w:tr w:rsidR="00773E68" w:rsidRPr="00773E68" w:rsidTr="008D285C">
        <w:trPr>
          <w:trHeight w:val="134"/>
        </w:trPr>
        <w:tc>
          <w:tcPr>
            <w:tcW w:w="993" w:type="dxa"/>
            <w:vMerge w:val="restart"/>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lang w:val="it-IT"/>
              </w:rPr>
              <w:t>Uzina e Ferro Kromit Burel</w:t>
            </w: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tc>
        <w:tc>
          <w:tcPr>
            <w:tcW w:w="103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44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0.86</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0.80</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0.79</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0.92</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0.94</w:t>
            </w:r>
          </w:p>
        </w:tc>
        <w:tc>
          <w:tcPr>
            <w:tcW w:w="1065"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0.92</w:t>
            </w:r>
          </w:p>
        </w:tc>
      </w:tr>
      <w:tr w:rsidR="00773E68" w:rsidRPr="00773E68" w:rsidTr="008D285C">
        <w:tc>
          <w:tcPr>
            <w:tcW w:w="993" w:type="dxa"/>
            <w:vMerge/>
          </w:tcPr>
          <w:p w:rsidR="00773E68" w:rsidRPr="00773E68" w:rsidRDefault="00773E68" w:rsidP="00773E68">
            <w:pPr>
              <w:jc w:val="both"/>
              <w:rPr>
                <w:rFonts w:ascii="Times New Roman" w:eastAsia="Times New Roman" w:hAnsi="Times New Roman" w:cs="Times New Roman"/>
                <w:b/>
                <w:sz w:val="24"/>
                <w:szCs w:val="24"/>
              </w:rPr>
            </w:pPr>
          </w:p>
        </w:tc>
        <w:tc>
          <w:tcPr>
            <w:tcW w:w="103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44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2.27</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2.15</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2.01</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2.64</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2.71</w:t>
            </w:r>
          </w:p>
        </w:tc>
        <w:tc>
          <w:tcPr>
            <w:tcW w:w="1065"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2.83</w:t>
            </w:r>
          </w:p>
        </w:tc>
      </w:tr>
      <w:tr w:rsidR="00773E68" w:rsidRPr="00773E68" w:rsidTr="008D285C">
        <w:tc>
          <w:tcPr>
            <w:tcW w:w="993" w:type="dxa"/>
            <w:vMerge/>
          </w:tcPr>
          <w:p w:rsidR="00773E68" w:rsidRPr="00773E68" w:rsidRDefault="00773E68" w:rsidP="00773E68">
            <w:pPr>
              <w:jc w:val="both"/>
              <w:rPr>
                <w:rFonts w:ascii="Times New Roman" w:eastAsia="Times New Roman" w:hAnsi="Times New Roman" w:cs="Times New Roman"/>
                <w:b/>
                <w:sz w:val="24"/>
                <w:szCs w:val="24"/>
              </w:rPr>
            </w:pPr>
          </w:p>
        </w:tc>
        <w:tc>
          <w:tcPr>
            <w:tcW w:w="103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44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1.10</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0.42</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1.23</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1.31</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1.34</w:t>
            </w:r>
          </w:p>
        </w:tc>
        <w:tc>
          <w:tcPr>
            <w:tcW w:w="1065"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1.36</w:t>
            </w:r>
          </w:p>
        </w:tc>
      </w:tr>
      <w:tr w:rsidR="00773E68" w:rsidRPr="00773E68" w:rsidTr="008D285C">
        <w:tc>
          <w:tcPr>
            <w:tcW w:w="993" w:type="dxa"/>
            <w:vMerge/>
          </w:tcPr>
          <w:p w:rsidR="00773E68" w:rsidRPr="00773E68" w:rsidRDefault="00773E68" w:rsidP="00773E68">
            <w:pPr>
              <w:jc w:val="both"/>
              <w:rPr>
                <w:rFonts w:ascii="Times New Roman" w:eastAsia="Times New Roman" w:hAnsi="Times New Roman" w:cs="Times New Roman"/>
                <w:b/>
                <w:sz w:val="24"/>
                <w:szCs w:val="24"/>
              </w:rPr>
            </w:pPr>
          </w:p>
        </w:tc>
        <w:tc>
          <w:tcPr>
            <w:tcW w:w="103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44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1.65</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2.12</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2.14</w:t>
            </w:r>
          </w:p>
        </w:tc>
        <w:tc>
          <w:tcPr>
            <w:tcW w:w="1065"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2.17</w:t>
            </w:r>
          </w:p>
        </w:tc>
      </w:tr>
      <w:tr w:rsidR="00773E68" w:rsidRPr="00773E68" w:rsidTr="008D285C">
        <w:tc>
          <w:tcPr>
            <w:tcW w:w="993" w:type="dxa"/>
            <w:vMerge/>
          </w:tcPr>
          <w:p w:rsidR="00773E68" w:rsidRPr="00773E68" w:rsidRDefault="00773E68" w:rsidP="00773E68">
            <w:pPr>
              <w:jc w:val="both"/>
              <w:rPr>
                <w:rFonts w:ascii="Times New Roman" w:eastAsia="Times New Roman" w:hAnsi="Times New Roman" w:cs="Times New Roman"/>
                <w:b/>
                <w:sz w:val="24"/>
                <w:szCs w:val="24"/>
              </w:rPr>
            </w:pPr>
          </w:p>
        </w:tc>
        <w:tc>
          <w:tcPr>
            <w:tcW w:w="103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44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1.49</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1.34</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1.28</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1.57</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1.62</w:t>
            </w:r>
          </w:p>
        </w:tc>
        <w:tc>
          <w:tcPr>
            <w:tcW w:w="1065"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1.72</w:t>
            </w:r>
          </w:p>
        </w:tc>
      </w:tr>
      <w:tr w:rsidR="00773E68" w:rsidRPr="00773E68" w:rsidTr="008D285C">
        <w:tc>
          <w:tcPr>
            <w:tcW w:w="993" w:type="dxa"/>
            <w:vMerge/>
          </w:tcPr>
          <w:p w:rsidR="00773E68" w:rsidRPr="00773E68" w:rsidRDefault="00773E68" w:rsidP="00773E68">
            <w:pPr>
              <w:jc w:val="both"/>
              <w:rPr>
                <w:rFonts w:ascii="Times New Roman" w:eastAsia="Times New Roman" w:hAnsi="Times New Roman" w:cs="Times New Roman"/>
                <w:b/>
                <w:sz w:val="24"/>
                <w:szCs w:val="24"/>
              </w:rPr>
            </w:pPr>
          </w:p>
        </w:tc>
        <w:tc>
          <w:tcPr>
            <w:tcW w:w="103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44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1.37</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1.39</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1.34</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1.54</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1.61</w:t>
            </w:r>
          </w:p>
        </w:tc>
        <w:tc>
          <w:tcPr>
            <w:tcW w:w="1065"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1.63</w:t>
            </w:r>
          </w:p>
        </w:tc>
      </w:tr>
      <w:tr w:rsidR="00773E68" w:rsidRPr="00773E68" w:rsidTr="008D285C">
        <w:tc>
          <w:tcPr>
            <w:tcW w:w="993" w:type="dxa"/>
            <w:vMerge/>
          </w:tcPr>
          <w:p w:rsidR="00773E68" w:rsidRPr="00773E68" w:rsidRDefault="00773E68" w:rsidP="00773E68">
            <w:pPr>
              <w:jc w:val="both"/>
              <w:rPr>
                <w:rFonts w:ascii="Times New Roman" w:eastAsia="Times New Roman" w:hAnsi="Times New Roman" w:cs="Times New Roman"/>
                <w:b/>
                <w:sz w:val="24"/>
                <w:szCs w:val="24"/>
              </w:rPr>
            </w:pPr>
          </w:p>
        </w:tc>
        <w:tc>
          <w:tcPr>
            <w:tcW w:w="103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Mn</w:t>
            </w:r>
          </w:p>
        </w:tc>
        <w:tc>
          <w:tcPr>
            <w:tcW w:w="144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9.34</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8.13</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8.32</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10.41</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10.53</w:t>
            </w:r>
          </w:p>
        </w:tc>
        <w:tc>
          <w:tcPr>
            <w:tcW w:w="1065"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10.52</w:t>
            </w:r>
          </w:p>
        </w:tc>
      </w:tr>
    </w:tbl>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290A95" w:rsidP="00773E68">
      <w:pPr>
        <w:spacing w:after="0" w:line="240" w:lineRule="auto"/>
        <w:jc w:val="both"/>
        <w:rPr>
          <w:rFonts w:ascii="Times New Roman" w:eastAsia="Times New Roman" w:hAnsi="Times New Roman" w:cs="Times New Roman"/>
          <w:b/>
          <w:sz w:val="24"/>
          <w:szCs w:val="24"/>
          <w:lang w:val="it-IT"/>
        </w:rPr>
      </w:pPr>
      <w:r>
        <w:rPr>
          <w:rFonts w:ascii="Times New Roman" w:eastAsia="Times New Roman" w:hAnsi="Times New Roman" w:cs="Times New Roman"/>
          <w:sz w:val="24"/>
          <w:szCs w:val="24"/>
          <w:lang w:val="it-IT"/>
        </w:rPr>
        <w:t xml:space="preserve">Sipas </w:t>
      </w:r>
      <w:r w:rsidR="00773E68" w:rsidRPr="00773E68">
        <w:rPr>
          <w:rFonts w:ascii="Times New Roman" w:eastAsia="Times New Roman" w:hAnsi="Times New Roman" w:cs="Times New Roman"/>
          <w:sz w:val="24"/>
          <w:szCs w:val="24"/>
          <w:lang w:val="it-IT"/>
        </w:rPr>
        <w:t>tabelë</w:t>
      </w:r>
      <w:r>
        <w:rPr>
          <w:rFonts w:ascii="Times New Roman" w:eastAsia="Times New Roman" w:hAnsi="Times New Roman" w:cs="Times New Roman"/>
          <w:sz w:val="24"/>
          <w:szCs w:val="24"/>
          <w:lang w:val="it-IT"/>
        </w:rPr>
        <w:t>s</w:t>
      </w:r>
      <w:r w:rsidR="00773E68" w:rsidRPr="00773E68">
        <w:rPr>
          <w:rFonts w:ascii="Times New Roman" w:eastAsia="Times New Roman" w:hAnsi="Times New Roman" w:cs="Times New Roman"/>
          <w:sz w:val="24"/>
          <w:szCs w:val="24"/>
          <w:lang w:val="it-IT"/>
        </w:rPr>
        <w:t xml:space="preserve"> </w:t>
      </w:r>
      <w:r>
        <w:rPr>
          <w:rFonts w:ascii="Times New Roman" w:eastAsia="Times New Roman" w:hAnsi="Times New Roman" w:cs="Times New Roman"/>
          <w:sz w:val="24"/>
          <w:szCs w:val="24"/>
          <w:lang w:val="it-IT"/>
        </w:rPr>
        <w:t>së</w:t>
      </w:r>
      <w:r w:rsidR="00773E68" w:rsidRPr="00773E68">
        <w:rPr>
          <w:rFonts w:ascii="Times New Roman" w:eastAsia="Times New Roman" w:hAnsi="Times New Roman" w:cs="Times New Roman"/>
          <w:sz w:val="24"/>
          <w:szCs w:val="24"/>
          <w:lang w:val="it-IT"/>
        </w:rPr>
        <w:t xml:space="preserve"> mësipërme, të gjithë treguesit  janë brenda normave të lejuara, pra  nuk kemi ndotje të mjedisit. </w:t>
      </w:r>
      <w:r w:rsidR="0086418D">
        <w:rPr>
          <w:rFonts w:ascii="Times New Roman" w:eastAsia="Times New Roman" w:hAnsi="Times New Roman" w:cs="Times New Roman"/>
          <w:sz w:val="24"/>
          <w:szCs w:val="24"/>
          <w:lang w:val="it-IT"/>
        </w:rPr>
        <w:t>Vërehet se</w:t>
      </w:r>
      <w:r w:rsidR="00773E68" w:rsidRPr="00773E68">
        <w:rPr>
          <w:rFonts w:ascii="Times New Roman" w:eastAsia="Times New Roman" w:hAnsi="Times New Roman" w:cs="Times New Roman"/>
          <w:sz w:val="24"/>
          <w:szCs w:val="24"/>
          <w:lang w:val="it-IT"/>
        </w:rPr>
        <w:t xml:space="preserve"> disa mostra kanë përqëndrim më të lartë në disa tregues, që  ndodhen në afërsi të uzinës, dhe në anën lindore të saj që është edhe pjerrësia e terrenit, gjë që </w:t>
      </w:r>
      <w:r w:rsidR="00773E68" w:rsidRPr="00773E68">
        <w:rPr>
          <w:rFonts w:ascii="Times New Roman" w:eastAsia="Times New Roman" w:hAnsi="Times New Roman" w:cs="Times New Roman"/>
          <w:sz w:val="24"/>
          <w:szCs w:val="24"/>
          <w:lang w:val="it-IT"/>
        </w:rPr>
        <w:lastRenderedPageBreak/>
        <w:t xml:space="preserve">shpjegohet me </w:t>
      </w:r>
      <w:r w:rsidR="0086418D">
        <w:rPr>
          <w:rFonts w:ascii="Times New Roman" w:eastAsia="Times New Roman" w:hAnsi="Times New Roman" w:cs="Times New Roman"/>
          <w:sz w:val="24"/>
          <w:szCs w:val="24"/>
          <w:lang w:val="it-IT"/>
        </w:rPr>
        <w:t xml:space="preserve">lëvizshmërinë e tyre nëpërmjet </w:t>
      </w:r>
      <w:r w:rsidR="00773E68" w:rsidRPr="00773E68">
        <w:rPr>
          <w:rFonts w:ascii="Times New Roman" w:eastAsia="Times New Roman" w:hAnsi="Times New Roman" w:cs="Times New Roman"/>
          <w:sz w:val="24"/>
          <w:szCs w:val="24"/>
          <w:lang w:val="it-IT"/>
        </w:rPr>
        <w:t>reshjeve. Në pjesën perëndimore k</w:t>
      </w:r>
      <w:r w:rsidR="0086418D">
        <w:rPr>
          <w:rFonts w:ascii="Times New Roman" w:eastAsia="Times New Roman" w:hAnsi="Times New Roman" w:cs="Times New Roman"/>
          <w:sz w:val="24"/>
          <w:szCs w:val="24"/>
          <w:lang w:val="it-IT"/>
        </w:rPr>
        <w:t>emi më pak ndotje pasi terreni është</w:t>
      </w:r>
      <w:r w:rsidR="00773E68" w:rsidRPr="00773E68">
        <w:rPr>
          <w:rFonts w:ascii="Times New Roman" w:eastAsia="Times New Roman" w:hAnsi="Times New Roman" w:cs="Times New Roman"/>
          <w:sz w:val="24"/>
          <w:szCs w:val="24"/>
          <w:lang w:val="it-IT"/>
        </w:rPr>
        <w:t xml:space="preserve"> mbi perimetrin e fabrikës </w:t>
      </w:r>
      <w:r w:rsidR="0086418D">
        <w:rPr>
          <w:rFonts w:ascii="Times New Roman" w:eastAsia="Times New Roman" w:hAnsi="Times New Roman" w:cs="Times New Roman"/>
          <w:sz w:val="24"/>
          <w:szCs w:val="24"/>
          <w:lang w:val="it-IT"/>
        </w:rPr>
        <w:t>dhe lëvizshmëria e tyre është më</w:t>
      </w:r>
      <w:r w:rsidR="00773E68" w:rsidRPr="00773E68">
        <w:rPr>
          <w:rFonts w:ascii="Times New Roman" w:eastAsia="Times New Roman" w:hAnsi="Times New Roman" w:cs="Times New Roman"/>
          <w:sz w:val="24"/>
          <w:szCs w:val="24"/>
          <w:lang w:val="it-IT"/>
        </w:rPr>
        <w:t xml:space="preserve"> e kufizuar. Brenda perimetrit të ish-uzinës kemi një ndryshim me rrënie të treguesëve, duke u larguar kemi një tende</w:t>
      </w:r>
      <w:r w:rsidR="0086418D">
        <w:rPr>
          <w:rFonts w:ascii="Times New Roman" w:eastAsia="Times New Roman" w:hAnsi="Times New Roman" w:cs="Times New Roman"/>
          <w:sz w:val="24"/>
          <w:szCs w:val="24"/>
          <w:lang w:val="it-IT"/>
        </w:rPr>
        <w:t>n</w:t>
      </w:r>
      <w:r w:rsidR="00773E68" w:rsidRPr="00773E68">
        <w:rPr>
          <w:rFonts w:ascii="Times New Roman" w:eastAsia="Times New Roman" w:hAnsi="Times New Roman" w:cs="Times New Roman"/>
          <w:sz w:val="24"/>
          <w:szCs w:val="24"/>
          <w:lang w:val="it-IT"/>
        </w:rPr>
        <w:t>cë në ulje të treguesëve gjë që tregon që lëvizshmëria apo depozitimi në thellësi të tokës është më i vogël, kjo shpjegohet me tipin e tokës e cila përgjithësisht është argjilore dhe sipërfaqja është pak e pjerrët duke bërë të mundur lëvizshmërinë e shpejtë të ujrave të shiut. Distanca nga fabrike deri te vend</w:t>
      </w:r>
      <w:r w:rsidR="00711CC6">
        <w:rPr>
          <w:rFonts w:ascii="Times New Roman" w:eastAsia="Times New Roman" w:hAnsi="Times New Roman" w:cs="Times New Roman"/>
          <w:sz w:val="24"/>
          <w:szCs w:val="24"/>
          <w:lang w:val="it-IT"/>
        </w:rPr>
        <w:t>-</w:t>
      </w:r>
      <w:r w:rsidR="00773E68" w:rsidRPr="00773E68">
        <w:rPr>
          <w:rFonts w:ascii="Times New Roman" w:eastAsia="Times New Roman" w:hAnsi="Times New Roman" w:cs="Times New Roman"/>
          <w:sz w:val="24"/>
          <w:szCs w:val="24"/>
          <w:lang w:val="it-IT"/>
        </w:rPr>
        <w:t>derdhja e ujërave është e vogël dhe si rrjedhojë kemi pak ndotje të tokave bujqësore.</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p w:rsidR="00773E68" w:rsidRPr="00446FEB" w:rsidRDefault="00773E68" w:rsidP="00807975">
      <w:pPr>
        <w:pStyle w:val="ListParagraph"/>
        <w:numPr>
          <w:ilvl w:val="0"/>
          <w:numId w:val="99"/>
        </w:numPr>
        <w:spacing w:after="0" w:line="240" w:lineRule="auto"/>
        <w:jc w:val="both"/>
        <w:rPr>
          <w:rFonts w:ascii="Times New Roman" w:eastAsia="Times New Roman" w:hAnsi="Times New Roman" w:cs="Times New Roman"/>
          <w:b/>
          <w:sz w:val="24"/>
          <w:szCs w:val="24"/>
          <w:lang w:val="it-IT"/>
        </w:rPr>
      </w:pPr>
      <w:r w:rsidRPr="00446FEB">
        <w:rPr>
          <w:rFonts w:ascii="Times New Roman" w:eastAsia="Times New Roman" w:hAnsi="Times New Roman" w:cs="Times New Roman"/>
          <w:b/>
          <w:sz w:val="24"/>
          <w:szCs w:val="24"/>
        </w:rPr>
        <w:t>Ish-Fabrika</w:t>
      </w:r>
      <w:r w:rsidRPr="00446FEB">
        <w:rPr>
          <w:rFonts w:ascii="Times New Roman" w:eastAsia="Times New Roman" w:hAnsi="Times New Roman" w:cs="Times New Roman"/>
          <w:b/>
          <w:sz w:val="24"/>
          <w:szCs w:val="24"/>
          <w:lang w:val="it-IT"/>
        </w:rPr>
        <w:t xml:space="preserve"> e Plasmasit  Lushnjë</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 xml:space="preserve">Ish-Fabrika e Plasmasit Lushnj ndodhej në dalje të qytetit të Lushnjës, pranë rrethrrotullimit të Beratit dhe Fierit. Fabrika aktualisht është jashtë funksionit. Shumë nga ndërtesat e vjetra të saj janë privatizuar dhe </w:t>
      </w:r>
      <w:r w:rsidR="0086418D">
        <w:rPr>
          <w:rFonts w:ascii="Times New Roman" w:eastAsia="Times New Roman" w:hAnsi="Times New Roman" w:cs="Times New Roman"/>
          <w:sz w:val="24"/>
          <w:szCs w:val="24"/>
          <w:lang w:val="it-IT"/>
        </w:rPr>
        <w:t>kanë ndryshuar destinacion. Ambi</w:t>
      </w:r>
      <w:r w:rsidRPr="00773E68">
        <w:rPr>
          <w:rFonts w:ascii="Times New Roman" w:eastAsia="Times New Roman" w:hAnsi="Times New Roman" w:cs="Times New Roman"/>
          <w:sz w:val="24"/>
          <w:szCs w:val="24"/>
          <w:lang w:val="it-IT"/>
        </w:rPr>
        <w:t>entet përrreth ish-ndërmar</w:t>
      </w:r>
      <w:r w:rsidR="0086418D">
        <w:rPr>
          <w:rFonts w:ascii="Times New Roman" w:eastAsia="Times New Roman" w:hAnsi="Times New Roman" w:cs="Times New Roman"/>
          <w:sz w:val="24"/>
          <w:szCs w:val="24"/>
          <w:lang w:val="it-IT"/>
        </w:rPr>
        <w:t>r</w:t>
      </w:r>
      <w:r w:rsidRPr="00773E68">
        <w:rPr>
          <w:rFonts w:ascii="Times New Roman" w:eastAsia="Times New Roman" w:hAnsi="Times New Roman" w:cs="Times New Roman"/>
          <w:sz w:val="24"/>
          <w:szCs w:val="24"/>
          <w:lang w:val="it-IT"/>
        </w:rPr>
        <w:t xml:space="preserve">jes janë pastruar nga mbeturinat e vjetra, </w:t>
      </w:r>
      <w:r w:rsidR="0086418D">
        <w:rPr>
          <w:rFonts w:ascii="Times New Roman" w:eastAsia="Times New Roman" w:hAnsi="Times New Roman" w:cs="Times New Roman"/>
          <w:sz w:val="24"/>
          <w:szCs w:val="24"/>
          <w:lang w:val="it-IT"/>
        </w:rPr>
        <w:t xml:space="preserve">dhe janë vendosur </w:t>
      </w:r>
      <w:r w:rsidRPr="00773E68">
        <w:rPr>
          <w:rFonts w:ascii="Times New Roman" w:eastAsia="Times New Roman" w:hAnsi="Times New Roman" w:cs="Times New Roman"/>
          <w:sz w:val="24"/>
          <w:szCs w:val="24"/>
          <w:lang w:val="it-IT"/>
        </w:rPr>
        <w:t>materiale bujqësore, torfë apo dhe.</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Nuk dallohen ma</w:t>
      </w:r>
      <w:r w:rsidR="0086418D">
        <w:rPr>
          <w:rFonts w:ascii="Times New Roman" w:eastAsia="Times New Roman" w:hAnsi="Times New Roman" w:cs="Times New Roman"/>
          <w:sz w:val="24"/>
          <w:szCs w:val="24"/>
          <w:lang w:val="it-IT"/>
        </w:rPr>
        <w:t>teriale të së shkuarës, megjith</w:t>
      </w:r>
      <w:r w:rsidRPr="00773E68">
        <w:rPr>
          <w:rFonts w:ascii="Times New Roman" w:eastAsia="Times New Roman" w:hAnsi="Times New Roman" w:cs="Times New Roman"/>
          <w:sz w:val="24"/>
          <w:szCs w:val="24"/>
          <w:lang w:val="it-IT"/>
        </w:rPr>
        <w:t xml:space="preserve">atë </w:t>
      </w:r>
      <w:r w:rsidR="0086418D">
        <w:rPr>
          <w:rFonts w:ascii="Times New Roman" w:eastAsia="Times New Roman" w:hAnsi="Times New Roman" w:cs="Times New Roman"/>
          <w:sz w:val="24"/>
          <w:szCs w:val="24"/>
          <w:lang w:val="it-IT"/>
        </w:rPr>
        <w:t>u morën</w:t>
      </w:r>
      <w:r w:rsidRPr="00773E68">
        <w:rPr>
          <w:rFonts w:ascii="Times New Roman" w:eastAsia="Times New Roman" w:hAnsi="Times New Roman" w:cs="Times New Roman"/>
          <w:sz w:val="24"/>
          <w:szCs w:val="24"/>
          <w:lang w:val="it-IT"/>
        </w:rPr>
        <w:t xml:space="preserve"> mostra toke në rrethinat e  ish-fabrikës dhe </w:t>
      </w:r>
      <w:r w:rsidR="0086418D">
        <w:rPr>
          <w:rFonts w:ascii="Times New Roman" w:eastAsia="Times New Roman" w:hAnsi="Times New Roman" w:cs="Times New Roman"/>
          <w:sz w:val="24"/>
          <w:szCs w:val="24"/>
          <w:lang w:val="it-IT"/>
        </w:rPr>
        <w:t>u hap</w:t>
      </w:r>
      <w:r w:rsidRPr="00773E68">
        <w:rPr>
          <w:rFonts w:ascii="Times New Roman" w:eastAsia="Times New Roman" w:hAnsi="Times New Roman" w:cs="Times New Roman"/>
          <w:sz w:val="24"/>
          <w:szCs w:val="24"/>
          <w:lang w:val="it-IT"/>
        </w:rPr>
        <w:t xml:space="preserve"> pr</w:t>
      </w:r>
      <w:r w:rsidR="0086418D">
        <w:rPr>
          <w:rFonts w:ascii="Times New Roman" w:eastAsia="Times New Roman" w:hAnsi="Times New Roman" w:cs="Times New Roman"/>
          <w:sz w:val="24"/>
          <w:szCs w:val="24"/>
          <w:lang w:val="it-IT"/>
        </w:rPr>
        <w:t>ofil për të parë ndotjen e mundshme nës</w:t>
      </w:r>
      <w:r w:rsidRPr="00773E68">
        <w:rPr>
          <w:rFonts w:ascii="Times New Roman" w:eastAsia="Times New Roman" w:hAnsi="Times New Roman" w:cs="Times New Roman"/>
          <w:sz w:val="24"/>
          <w:szCs w:val="24"/>
          <w:lang w:val="it-IT"/>
        </w:rPr>
        <w:t>e ajo egziston.</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Zona brenda ishte e gjelbëruar, e sistemuar dhe shumë objekte të rregulluara dhe me funksione të tjera shërimi apo prodhimi.</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8D285C" w:rsidRDefault="00681B50" w:rsidP="008D285C">
      <w:pPr>
        <w:spacing w:after="0" w:line="240" w:lineRule="auto"/>
        <w:jc w:val="center"/>
        <w:rPr>
          <w:rFonts w:ascii="Times New Roman" w:eastAsia="Times New Roman" w:hAnsi="Times New Roman" w:cs="Times New Roman"/>
          <w:sz w:val="24"/>
          <w:szCs w:val="24"/>
          <w:lang w:val="nn-NO"/>
        </w:rPr>
      </w:pPr>
      <w:r>
        <w:rPr>
          <w:rFonts w:ascii="Times New Roman" w:eastAsia="Times New Roman" w:hAnsi="Times New Roman" w:cs="Times New Roman"/>
          <w:sz w:val="24"/>
          <w:szCs w:val="24"/>
          <w:lang w:val="nn-NO"/>
        </w:rPr>
        <w:t>Tabela 54</w:t>
      </w:r>
      <w:r w:rsidR="00446FEB" w:rsidRPr="008D285C">
        <w:rPr>
          <w:rFonts w:ascii="Times New Roman" w:eastAsia="Times New Roman" w:hAnsi="Times New Roman" w:cs="Times New Roman"/>
          <w:sz w:val="24"/>
          <w:szCs w:val="24"/>
          <w:lang w:val="nn-NO"/>
        </w:rPr>
        <w:t>.</w:t>
      </w:r>
      <w:r w:rsidR="00773E68" w:rsidRPr="008D285C">
        <w:rPr>
          <w:rFonts w:ascii="Times New Roman" w:eastAsia="Times New Roman" w:hAnsi="Times New Roman" w:cs="Times New Roman"/>
          <w:sz w:val="24"/>
          <w:szCs w:val="24"/>
          <w:lang w:val="nn-NO"/>
        </w:rPr>
        <w:t xml:space="preserve"> </w:t>
      </w:r>
      <w:r w:rsidR="00446FEB" w:rsidRPr="008D285C">
        <w:rPr>
          <w:rFonts w:ascii="Times New Roman" w:eastAsia="Times New Roman" w:hAnsi="Times New Roman" w:cs="Times New Roman"/>
          <w:sz w:val="24"/>
          <w:szCs w:val="24"/>
          <w:lang w:val="nn-NO"/>
        </w:rPr>
        <w:t>Rezultatet e  treguesëve të analizuar, Ish-Fabrika</w:t>
      </w:r>
      <w:r w:rsidR="00446FEB" w:rsidRPr="008D285C">
        <w:rPr>
          <w:rFonts w:ascii="Times New Roman" w:eastAsia="Times New Roman" w:hAnsi="Times New Roman" w:cs="Times New Roman"/>
          <w:sz w:val="24"/>
          <w:szCs w:val="24"/>
          <w:lang w:val="it-IT"/>
        </w:rPr>
        <w:t xml:space="preserve"> e Plasmasit  Lushnj</w:t>
      </w:r>
      <w:r w:rsidR="00446FEB" w:rsidRPr="008D285C">
        <w:rPr>
          <w:rFonts w:ascii="Times New Roman" w:eastAsia="Times New Roman" w:hAnsi="Times New Roman" w:cs="Times New Roman"/>
          <w:sz w:val="24"/>
          <w:szCs w:val="24"/>
          <w:lang w:val="nn-NO"/>
        </w:rPr>
        <w:t>ë</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tbl>
      <w:tblPr>
        <w:tblStyle w:val="TableGrid3"/>
        <w:tblW w:w="10381" w:type="dxa"/>
        <w:jc w:val="center"/>
        <w:tblLayout w:type="fixed"/>
        <w:tblLook w:val="04A0" w:firstRow="1" w:lastRow="0" w:firstColumn="1" w:lastColumn="0" w:noHBand="0" w:noVBand="1"/>
      </w:tblPr>
      <w:tblGrid>
        <w:gridCol w:w="1321"/>
        <w:gridCol w:w="990"/>
        <w:gridCol w:w="1338"/>
        <w:gridCol w:w="720"/>
        <w:gridCol w:w="1089"/>
        <w:gridCol w:w="990"/>
        <w:gridCol w:w="990"/>
        <w:gridCol w:w="270"/>
        <w:gridCol w:w="810"/>
        <w:gridCol w:w="900"/>
        <w:gridCol w:w="963"/>
      </w:tblGrid>
      <w:tr w:rsidR="00773E68" w:rsidRPr="00773E68" w:rsidTr="008D285C">
        <w:trPr>
          <w:jc w:val="center"/>
        </w:trPr>
        <w:tc>
          <w:tcPr>
            <w:tcW w:w="1321" w:type="dxa"/>
            <w:vMerge w:val="restart"/>
          </w:tcPr>
          <w:p w:rsidR="00773E68" w:rsidRPr="008D285C" w:rsidRDefault="00773E68" w:rsidP="00773E68">
            <w:pPr>
              <w:jc w:val="both"/>
              <w:rPr>
                <w:rFonts w:ascii="Times New Roman" w:eastAsia="Times New Roman" w:hAnsi="Times New Roman" w:cs="Times New Roman"/>
                <w:b/>
                <w:sz w:val="20"/>
                <w:szCs w:val="20"/>
                <w:lang w:val="nn-NO"/>
              </w:rPr>
            </w:pPr>
          </w:p>
          <w:p w:rsidR="00773E68" w:rsidRPr="008D285C" w:rsidRDefault="008D285C"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Vendi</w:t>
            </w:r>
          </w:p>
        </w:tc>
        <w:tc>
          <w:tcPr>
            <w:tcW w:w="990" w:type="dxa"/>
            <w:vMerge w:val="restart"/>
          </w:tcPr>
          <w:p w:rsidR="00773E68" w:rsidRPr="008D285C" w:rsidRDefault="00773E68" w:rsidP="00773E68">
            <w:pPr>
              <w:jc w:val="both"/>
              <w:rPr>
                <w:rFonts w:ascii="Times New Roman" w:eastAsia="Times New Roman" w:hAnsi="Times New Roman" w:cs="Times New Roman"/>
                <w:b/>
                <w:sz w:val="20"/>
                <w:szCs w:val="20"/>
                <w:lang w:val="nn-NO"/>
              </w:rPr>
            </w:pPr>
          </w:p>
          <w:p w:rsidR="00773E68" w:rsidRPr="008D285C" w:rsidRDefault="008D285C"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Tre</w:t>
            </w:r>
            <w:r>
              <w:rPr>
                <w:rFonts w:ascii="Times New Roman" w:eastAsia="Times New Roman" w:hAnsi="Times New Roman" w:cs="Times New Roman"/>
                <w:b/>
                <w:sz w:val="20"/>
                <w:szCs w:val="20"/>
                <w:lang w:val="nn-NO"/>
              </w:rPr>
              <w:t>gues</w:t>
            </w:r>
          </w:p>
        </w:tc>
        <w:tc>
          <w:tcPr>
            <w:tcW w:w="1338" w:type="dxa"/>
            <w:vMerge w:val="restart"/>
          </w:tcPr>
          <w:p w:rsidR="00773E68" w:rsidRPr="008D285C" w:rsidRDefault="00773E68" w:rsidP="00773E68">
            <w:pPr>
              <w:jc w:val="both"/>
              <w:rPr>
                <w:rFonts w:ascii="Times New Roman" w:eastAsia="Times New Roman" w:hAnsi="Times New Roman" w:cs="Times New Roman"/>
                <w:b/>
                <w:sz w:val="20"/>
                <w:szCs w:val="20"/>
                <w:lang w:val="nn-NO"/>
              </w:rPr>
            </w:pPr>
          </w:p>
          <w:p w:rsidR="00773E68" w:rsidRPr="008D285C" w:rsidRDefault="008D285C"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Nj. Matjes</w:t>
            </w:r>
          </w:p>
        </w:tc>
        <w:tc>
          <w:tcPr>
            <w:tcW w:w="720" w:type="dxa"/>
            <w:vMerge w:val="restart"/>
          </w:tcPr>
          <w:p w:rsidR="00773E68" w:rsidRPr="008D285C" w:rsidRDefault="008D285C"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Limit</w:t>
            </w:r>
          </w:p>
        </w:tc>
        <w:tc>
          <w:tcPr>
            <w:tcW w:w="6012" w:type="dxa"/>
            <w:gridSpan w:val="7"/>
          </w:tcPr>
          <w:p w:rsidR="00773E68" w:rsidRPr="008D285C" w:rsidRDefault="00773E68"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REZULTATET</w:t>
            </w:r>
          </w:p>
        </w:tc>
      </w:tr>
      <w:tr w:rsidR="00773E68" w:rsidRPr="00773E68" w:rsidTr="008D285C">
        <w:trPr>
          <w:jc w:val="center"/>
        </w:trPr>
        <w:tc>
          <w:tcPr>
            <w:tcW w:w="1321" w:type="dxa"/>
            <w:vMerge/>
          </w:tcPr>
          <w:p w:rsidR="00773E68" w:rsidRPr="008D285C" w:rsidRDefault="00773E68" w:rsidP="00773E68">
            <w:pPr>
              <w:jc w:val="both"/>
              <w:rPr>
                <w:rFonts w:ascii="Times New Roman" w:eastAsia="Times New Roman" w:hAnsi="Times New Roman" w:cs="Times New Roman"/>
                <w:b/>
                <w:sz w:val="20"/>
                <w:szCs w:val="20"/>
                <w:lang w:val="nn-NO"/>
              </w:rPr>
            </w:pPr>
          </w:p>
        </w:tc>
        <w:tc>
          <w:tcPr>
            <w:tcW w:w="990" w:type="dxa"/>
            <w:vMerge/>
          </w:tcPr>
          <w:p w:rsidR="00773E68" w:rsidRPr="008D285C" w:rsidRDefault="00773E68" w:rsidP="00773E68">
            <w:pPr>
              <w:jc w:val="both"/>
              <w:rPr>
                <w:rFonts w:ascii="Times New Roman" w:eastAsia="Times New Roman" w:hAnsi="Times New Roman" w:cs="Times New Roman"/>
                <w:b/>
                <w:sz w:val="20"/>
                <w:szCs w:val="20"/>
                <w:lang w:val="nn-NO"/>
              </w:rPr>
            </w:pPr>
          </w:p>
        </w:tc>
        <w:tc>
          <w:tcPr>
            <w:tcW w:w="1338" w:type="dxa"/>
            <w:vMerge/>
          </w:tcPr>
          <w:p w:rsidR="00773E68" w:rsidRPr="008D285C" w:rsidRDefault="00773E68" w:rsidP="00773E68">
            <w:pPr>
              <w:jc w:val="both"/>
              <w:rPr>
                <w:rFonts w:ascii="Times New Roman" w:eastAsia="Times New Roman" w:hAnsi="Times New Roman" w:cs="Times New Roman"/>
                <w:b/>
                <w:sz w:val="20"/>
                <w:szCs w:val="20"/>
                <w:lang w:val="nn-NO"/>
              </w:rPr>
            </w:pPr>
          </w:p>
        </w:tc>
        <w:tc>
          <w:tcPr>
            <w:tcW w:w="720" w:type="dxa"/>
            <w:vMerge/>
          </w:tcPr>
          <w:p w:rsidR="00773E68" w:rsidRPr="008D285C" w:rsidRDefault="00773E68" w:rsidP="00773E68">
            <w:pPr>
              <w:jc w:val="both"/>
              <w:rPr>
                <w:rFonts w:ascii="Times New Roman" w:eastAsia="Times New Roman" w:hAnsi="Times New Roman" w:cs="Times New Roman"/>
                <w:b/>
                <w:sz w:val="20"/>
                <w:szCs w:val="20"/>
                <w:lang w:val="nn-NO"/>
              </w:rPr>
            </w:pPr>
          </w:p>
        </w:tc>
        <w:tc>
          <w:tcPr>
            <w:tcW w:w="1089" w:type="dxa"/>
          </w:tcPr>
          <w:p w:rsidR="00773E68" w:rsidRPr="008D285C" w:rsidRDefault="00773E68"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M. Nr 1   0–30 cm</w:t>
            </w:r>
          </w:p>
        </w:tc>
        <w:tc>
          <w:tcPr>
            <w:tcW w:w="990" w:type="dxa"/>
          </w:tcPr>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lang w:val="nn-NO"/>
              </w:rPr>
              <w:t xml:space="preserve">M.  Nr </w:t>
            </w:r>
            <w:r w:rsidRPr="008D285C">
              <w:rPr>
                <w:rFonts w:ascii="Times New Roman" w:eastAsia="Times New Roman" w:hAnsi="Times New Roman" w:cs="Times New Roman"/>
                <w:b/>
                <w:sz w:val="20"/>
                <w:szCs w:val="20"/>
              </w:rPr>
              <w:t>2 0–30 cm</w:t>
            </w:r>
          </w:p>
        </w:tc>
        <w:tc>
          <w:tcPr>
            <w:tcW w:w="990" w:type="dxa"/>
          </w:tcPr>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 xml:space="preserve">M.  Nr 3 </w:t>
            </w:r>
          </w:p>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0–30 cm</w:t>
            </w:r>
          </w:p>
          <w:p w:rsidR="00773E68" w:rsidRPr="008D285C" w:rsidRDefault="00773E68" w:rsidP="00773E68">
            <w:pPr>
              <w:jc w:val="both"/>
              <w:rPr>
                <w:rFonts w:ascii="Times New Roman" w:eastAsia="Times New Roman" w:hAnsi="Times New Roman" w:cs="Times New Roman"/>
                <w:b/>
                <w:sz w:val="20"/>
                <w:szCs w:val="20"/>
              </w:rPr>
            </w:pPr>
          </w:p>
        </w:tc>
        <w:tc>
          <w:tcPr>
            <w:tcW w:w="270" w:type="dxa"/>
          </w:tcPr>
          <w:p w:rsidR="00773E68" w:rsidRPr="008D285C" w:rsidRDefault="00773E68" w:rsidP="00773E68">
            <w:pPr>
              <w:jc w:val="both"/>
              <w:rPr>
                <w:rFonts w:ascii="Times New Roman" w:eastAsia="Times New Roman" w:hAnsi="Times New Roman" w:cs="Times New Roman"/>
                <w:b/>
                <w:sz w:val="20"/>
                <w:szCs w:val="20"/>
              </w:rPr>
            </w:pPr>
          </w:p>
        </w:tc>
        <w:tc>
          <w:tcPr>
            <w:tcW w:w="810" w:type="dxa"/>
          </w:tcPr>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Profili</w:t>
            </w:r>
          </w:p>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0 -30</w:t>
            </w:r>
          </w:p>
        </w:tc>
        <w:tc>
          <w:tcPr>
            <w:tcW w:w="900" w:type="dxa"/>
          </w:tcPr>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Profili</w:t>
            </w:r>
          </w:p>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30 -60</w:t>
            </w:r>
          </w:p>
        </w:tc>
        <w:tc>
          <w:tcPr>
            <w:tcW w:w="963" w:type="dxa"/>
          </w:tcPr>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Profili</w:t>
            </w:r>
          </w:p>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60 -100</w:t>
            </w:r>
          </w:p>
        </w:tc>
      </w:tr>
      <w:tr w:rsidR="00773E68" w:rsidRPr="00773E68" w:rsidTr="008D285C">
        <w:trPr>
          <w:trHeight w:val="134"/>
          <w:jc w:val="center"/>
        </w:trPr>
        <w:tc>
          <w:tcPr>
            <w:tcW w:w="1321" w:type="dxa"/>
            <w:vMerge w:val="restart"/>
          </w:tcPr>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r w:rsidRPr="00773E68">
              <w:rPr>
                <w:rFonts w:ascii="Times New Roman" w:eastAsia="Times New Roman" w:hAnsi="Times New Roman" w:cs="Times New Roman"/>
                <w:b/>
                <w:sz w:val="24"/>
                <w:szCs w:val="24"/>
              </w:rPr>
              <w:t xml:space="preserve">Ish Fabrika </w:t>
            </w:r>
          </w:p>
          <w:p w:rsidR="00773E68" w:rsidRPr="00773E68" w:rsidRDefault="00773E68" w:rsidP="00773E68">
            <w:pPr>
              <w:jc w:val="both"/>
              <w:rPr>
                <w:rFonts w:ascii="Times New Roman" w:eastAsia="Times New Roman" w:hAnsi="Times New Roman" w:cs="Times New Roman"/>
                <w:b/>
                <w:sz w:val="24"/>
                <w:szCs w:val="24"/>
              </w:rPr>
            </w:pPr>
            <w:r w:rsidRPr="00773E68">
              <w:rPr>
                <w:rFonts w:ascii="Times New Roman" w:eastAsia="Times New Roman" w:hAnsi="Times New Roman" w:cs="Times New Roman"/>
                <w:b/>
                <w:sz w:val="24"/>
                <w:szCs w:val="24"/>
              </w:rPr>
              <w:t xml:space="preserve">Plasmasit </w:t>
            </w:r>
          </w:p>
          <w:p w:rsidR="00773E68" w:rsidRPr="00773E68" w:rsidRDefault="00773E68" w:rsidP="00773E68">
            <w:pPr>
              <w:jc w:val="both"/>
              <w:rPr>
                <w:rFonts w:ascii="Times New Roman" w:eastAsia="Times New Roman" w:hAnsi="Times New Roman" w:cs="Times New Roman"/>
                <w:b/>
                <w:sz w:val="24"/>
                <w:szCs w:val="24"/>
              </w:rPr>
            </w:pPr>
            <w:r w:rsidRPr="00773E68">
              <w:rPr>
                <w:rFonts w:ascii="Times New Roman" w:eastAsia="Times New Roman" w:hAnsi="Times New Roman" w:cs="Times New Roman"/>
                <w:b/>
                <w:sz w:val="24"/>
                <w:szCs w:val="24"/>
              </w:rPr>
              <w:t>Lushnje</w:t>
            </w:r>
          </w:p>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338"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108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0.34</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0.39</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0.31</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0.47</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0.41</w:t>
            </w:r>
          </w:p>
        </w:tc>
        <w:tc>
          <w:tcPr>
            <w:tcW w:w="96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0.40</w:t>
            </w:r>
          </w:p>
        </w:tc>
      </w:tr>
      <w:tr w:rsidR="00773E68" w:rsidRPr="00773E68" w:rsidTr="008D285C">
        <w:trPr>
          <w:jc w:val="center"/>
        </w:trPr>
        <w:tc>
          <w:tcPr>
            <w:tcW w:w="1321"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338"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108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1.03</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1.14</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1.24</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0.38</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0.29</w:t>
            </w:r>
          </w:p>
        </w:tc>
        <w:tc>
          <w:tcPr>
            <w:tcW w:w="96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0.47</w:t>
            </w:r>
          </w:p>
        </w:tc>
      </w:tr>
      <w:tr w:rsidR="00773E68" w:rsidRPr="00773E68" w:rsidTr="008D285C">
        <w:trPr>
          <w:jc w:val="center"/>
        </w:trPr>
        <w:tc>
          <w:tcPr>
            <w:tcW w:w="1321"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338"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108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0.07</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0.05</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0.07</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0.98</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0.24</w:t>
            </w:r>
          </w:p>
        </w:tc>
        <w:tc>
          <w:tcPr>
            <w:tcW w:w="96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0.20</w:t>
            </w:r>
          </w:p>
        </w:tc>
      </w:tr>
      <w:tr w:rsidR="00773E68" w:rsidRPr="00773E68" w:rsidTr="008D285C">
        <w:trPr>
          <w:jc w:val="center"/>
        </w:trPr>
        <w:tc>
          <w:tcPr>
            <w:tcW w:w="1321"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338"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108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2.0</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2.6</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2.2</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3.8</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3.0</w:t>
            </w:r>
          </w:p>
        </w:tc>
        <w:tc>
          <w:tcPr>
            <w:tcW w:w="96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2.8</w:t>
            </w:r>
          </w:p>
        </w:tc>
      </w:tr>
      <w:tr w:rsidR="00773E68" w:rsidRPr="00773E68" w:rsidTr="008D285C">
        <w:trPr>
          <w:jc w:val="center"/>
        </w:trPr>
        <w:tc>
          <w:tcPr>
            <w:tcW w:w="1321"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338"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108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1.14</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1.12</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1.14</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4.98</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4.85</w:t>
            </w:r>
          </w:p>
        </w:tc>
        <w:tc>
          <w:tcPr>
            <w:tcW w:w="96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4.81</w:t>
            </w:r>
          </w:p>
        </w:tc>
      </w:tr>
      <w:tr w:rsidR="00773E68" w:rsidRPr="00773E68" w:rsidTr="008D285C">
        <w:trPr>
          <w:jc w:val="center"/>
        </w:trPr>
        <w:tc>
          <w:tcPr>
            <w:tcW w:w="1321"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338"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20"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108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0.37</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0.74</w:t>
            </w:r>
          </w:p>
        </w:tc>
        <w:tc>
          <w:tcPr>
            <w:tcW w:w="99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0.31</w:t>
            </w:r>
          </w:p>
        </w:tc>
        <w:tc>
          <w:tcPr>
            <w:tcW w:w="270" w:type="dxa"/>
          </w:tcPr>
          <w:p w:rsidR="00773E68" w:rsidRPr="00773E68" w:rsidRDefault="00773E68" w:rsidP="00773E68">
            <w:pPr>
              <w:jc w:val="both"/>
              <w:rPr>
                <w:rFonts w:ascii="Times New Roman" w:eastAsia="Times New Roman" w:hAnsi="Times New Roman" w:cs="Times New Roman"/>
                <w:sz w:val="24"/>
                <w:szCs w:val="24"/>
              </w:rPr>
            </w:pPr>
          </w:p>
        </w:tc>
        <w:tc>
          <w:tcPr>
            <w:tcW w:w="81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1.49</w:t>
            </w:r>
          </w:p>
        </w:tc>
        <w:tc>
          <w:tcPr>
            <w:tcW w:w="90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1.01</w:t>
            </w:r>
          </w:p>
        </w:tc>
        <w:tc>
          <w:tcPr>
            <w:tcW w:w="96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0.98</w:t>
            </w:r>
          </w:p>
        </w:tc>
      </w:tr>
    </w:tbl>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rPr>
      </w:pPr>
    </w:p>
    <w:p w:rsidR="00773E68" w:rsidRPr="00773E68" w:rsidRDefault="0086418D" w:rsidP="00773E68">
      <w:pPr>
        <w:spacing w:after="0" w:line="24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T</w:t>
      </w:r>
      <w:r w:rsidR="00773E68" w:rsidRPr="00773E68">
        <w:rPr>
          <w:rFonts w:ascii="Times New Roman" w:eastAsia="Times New Roman" w:hAnsi="Times New Roman" w:cs="Times New Roman"/>
          <w:sz w:val="24"/>
          <w:szCs w:val="24"/>
          <w:lang w:val="it-IT"/>
        </w:rPr>
        <w:t>reguesit janë nën limitet e lejuara dhe nuk përbëjn</w:t>
      </w:r>
      <w:r w:rsidR="00773E68" w:rsidRPr="00773E68">
        <w:rPr>
          <w:rFonts w:ascii="Times New Roman" w:eastAsia="Times New Roman" w:hAnsi="Times New Roman" w:cs="Times New Roman"/>
          <w:sz w:val="24"/>
          <w:szCs w:val="24"/>
        </w:rPr>
        <w:t>ë</w:t>
      </w:r>
      <w:r w:rsidR="00773E68" w:rsidRPr="00773E68">
        <w:rPr>
          <w:rFonts w:ascii="Times New Roman" w:eastAsia="Times New Roman" w:hAnsi="Times New Roman" w:cs="Times New Roman"/>
          <w:sz w:val="24"/>
          <w:szCs w:val="24"/>
          <w:lang w:val="it-IT"/>
        </w:rPr>
        <w:t xml:space="preserve"> problem për mjedisin dhe nuk pengojnë vënien nën kulturë të tokave bujqësore përrreth uzinës.  Aktualisht tokat rreth saj janë nën kulturë, të mbjella me ullinj, grurë, jonxhë, etj.</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 xml:space="preserve">Duke parë treguesit e analizuar në profil shikojmë që kemi vlera pak më të larta në shtresën e dytë  në thellësinë 30 – 60 cm, që shpjegohet me lëvizjen e lehtë të tyre elementeve nga ujërat e </w:t>
      </w:r>
      <w:r w:rsidRPr="00773E68">
        <w:rPr>
          <w:rFonts w:ascii="Times New Roman" w:eastAsia="Times New Roman" w:hAnsi="Times New Roman" w:cs="Times New Roman"/>
          <w:sz w:val="24"/>
          <w:szCs w:val="24"/>
          <w:lang w:val="it-IT"/>
        </w:rPr>
        <w:lastRenderedPageBreak/>
        <w:t>shiut, nëpërmjet shpëlarjes dhe zhvendosjes më në thellësi të tokë.</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w:t>
      </w:r>
      <w:r w:rsidR="0086418D">
        <w:rPr>
          <w:rFonts w:ascii="Times New Roman" w:eastAsia="Times New Roman" w:hAnsi="Times New Roman" w:cs="Times New Roman"/>
          <w:sz w:val="24"/>
          <w:szCs w:val="24"/>
          <w:lang w:val="it-IT"/>
        </w:rPr>
        <w:t>anga</w:t>
      </w:r>
      <w:r w:rsidRPr="00773E68">
        <w:rPr>
          <w:rFonts w:ascii="Times New Roman" w:eastAsia="Times New Roman" w:hAnsi="Times New Roman" w:cs="Times New Roman"/>
          <w:sz w:val="24"/>
          <w:szCs w:val="24"/>
          <w:lang w:val="it-IT"/>
        </w:rPr>
        <w:t>n</w:t>
      </w:r>
      <w:r w:rsidR="0086418D">
        <w:rPr>
          <w:rFonts w:ascii="Times New Roman" w:eastAsia="Times New Roman" w:hAnsi="Times New Roman" w:cs="Times New Roman"/>
          <w:sz w:val="24"/>
          <w:szCs w:val="24"/>
          <w:lang w:val="it-IT"/>
        </w:rPr>
        <w:t>i (Mn)</w:t>
      </w:r>
      <w:r w:rsidRPr="00773E68">
        <w:rPr>
          <w:rFonts w:ascii="Times New Roman" w:eastAsia="Times New Roman" w:hAnsi="Times New Roman" w:cs="Times New Roman"/>
          <w:sz w:val="24"/>
          <w:szCs w:val="24"/>
          <w:lang w:val="it-IT"/>
        </w:rPr>
        <w:t xml:space="preserve"> është më shumë i lëvizshëm dhe ka një rritje të përqëndrimit në thellësi të profilit.</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446FEB" w:rsidRDefault="00773E68" w:rsidP="00807975">
      <w:pPr>
        <w:pStyle w:val="ListParagraph"/>
        <w:numPr>
          <w:ilvl w:val="0"/>
          <w:numId w:val="100"/>
        </w:numPr>
        <w:spacing w:after="0" w:line="240" w:lineRule="auto"/>
        <w:jc w:val="both"/>
        <w:rPr>
          <w:rFonts w:ascii="Times New Roman" w:eastAsia="Times New Roman" w:hAnsi="Times New Roman" w:cs="Times New Roman"/>
          <w:b/>
          <w:sz w:val="24"/>
          <w:szCs w:val="24"/>
          <w:lang w:val="it-IT"/>
        </w:rPr>
      </w:pPr>
      <w:r w:rsidRPr="00446FEB">
        <w:rPr>
          <w:rFonts w:ascii="Times New Roman" w:eastAsia="Times New Roman" w:hAnsi="Times New Roman" w:cs="Times New Roman"/>
          <w:b/>
          <w:sz w:val="24"/>
          <w:szCs w:val="24"/>
          <w:lang w:val="nn-NO"/>
        </w:rPr>
        <w:t>Miniera e Hekur-Nikelit Përrenjas</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Miniera e Hekur-Nikelit Përrenjas ndodhet në hyrje të qytetit të Përrenjasit, në të majtë të rrugës nacionale Librazhd-Përrenjas -Pogradec, në një zonë të zhveshur dhe me pjerrësi nga jugu.  Toka është ske</w:t>
      </w:r>
      <w:r w:rsidR="0086418D">
        <w:rPr>
          <w:rFonts w:ascii="Times New Roman" w:eastAsia="Times New Roman" w:hAnsi="Times New Roman" w:cs="Times New Roman"/>
          <w:sz w:val="24"/>
          <w:szCs w:val="24"/>
          <w:lang w:val="it-IT"/>
        </w:rPr>
        <w:t>letike, me prezencë të lartë gu</w:t>
      </w:r>
      <w:r w:rsidRPr="00773E68">
        <w:rPr>
          <w:rFonts w:ascii="Times New Roman" w:eastAsia="Times New Roman" w:hAnsi="Times New Roman" w:cs="Times New Roman"/>
          <w:sz w:val="24"/>
          <w:szCs w:val="24"/>
          <w:lang w:val="it-IT"/>
        </w:rPr>
        <w:t>rësh, pa prezencë të ujërave freatike. Bimësia është shumë e varfër, kemi bimësi të ulët graminore, gjëmbaç, fer</w:t>
      </w:r>
      <w:r w:rsidR="0086418D">
        <w:rPr>
          <w:rFonts w:ascii="Times New Roman" w:eastAsia="Times New Roman" w:hAnsi="Times New Roman" w:cs="Times New Roman"/>
          <w:sz w:val="24"/>
          <w:szCs w:val="24"/>
          <w:lang w:val="it-IT"/>
        </w:rPr>
        <w:t>r</w:t>
      </w:r>
      <w:r w:rsidRPr="00773E68">
        <w:rPr>
          <w:rFonts w:ascii="Times New Roman" w:eastAsia="Times New Roman" w:hAnsi="Times New Roman" w:cs="Times New Roman"/>
          <w:sz w:val="24"/>
          <w:szCs w:val="24"/>
          <w:lang w:val="it-IT"/>
        </w:rPr>
        <w:t>a, etj.</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Në anët perëndimore dhe lindore ndodhe</w:t>
      </w:r>
      <w:r w:rsidR="0086418D">
        <w:rPr>
          <w:rFonts w:ascii="Times New Roman" w:eastAsia="Times New Roman" w:hAnsi="Times New Roman" w:cs="Times New Roman"/>
          <w:sz w:val="24"/>
          <w:szCs w:val="24"/>
          <w:lang w:val="it-IT"/>
        </w:rPr>
        <w:t xml:space="preserve">n shtëpi private të shkëputura </w:t>
      </w:r>
      <w:r w:rsidRPr="00773E68">
        <w:rPr>
          <w:rFonts w:ascii="Times New Roman" w:eastAsia="Times New Roman" w:hAnsi="Times New Roman" w:cs="Times New Roman"/>
          <w:sz w:val="24"/>
          <w:szCs w:val="24"/>
          <w:lang w:val="it-IT"/>
        </w:rPr>
        <w:t>ose grupe të vogla.</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8D285C" w:rsidRDefault="00681B50" w:rsidP="008D285C">
      <w:pPr>
        <w:spacing w:after="0" w:line="240" w:lineRule="auto"/>
        <w:jc w:val="center"/>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Tabela 55</w:t>
      </w:r>
      <w:r w:rsidR="00773E68" w:rsidRPr="008D285C">
        <w:rPr>
          <w:rFonts w:ascii="Times New Roman" w:eastAsia="Times New Roman" w:hAnsi="Times New Roman" w:cs="Times New Roman"/>
          <w:sz w:val="24"/>
          <w:szCs w:val="24"/>
          <w:lang w:val="it-IT"/>
        </w:rPr>
        <w:t xml:space="preserve">. </w:t>
      </w:r>
      <w:r w:rsidR="00446FEB" w:rsidRPr="008D285C">
        <w:rPr>
          <w:rFonts w:ascii="Times New Roman" w:eastAsia="Times New Roman" w:hAnsi="Times New Roman" w:cs="Times New Roman"/>
          <w:sz w:val="24"/>
          <w:szCs w:val="24"/>
          <w:lang w:val="it-IT"/>
        </w:rPr>
        <w:t xml:space="preserve">Rezultatet e </w:t>
      </w:r>
      <w:r w:rsidR="00773E68" w:rsidRPr="008D285C">
        <w:rPr>
          <w:rFonts w:ascii="Times New Roman" w:eastAsia="Times New Roman" w:hAnsi="Times New Roman" w:cs="Times New Roman"/>
          <w:sz w:val="24"/>
          <w:szCs w:val="24"/>
          <w:lang w:val="it-IT"/>
        </w:rPr>
        <w:t xml:space="preserve">mostrave sipërfaqësore. </w:t>
      </w:r>
      <w:r w:rsidR="00446FEB" w:rsidRPr="008D285C">
        <w:rPr>
          <w:rFonts w:ascii="Times New Roman" w:eastAsia="Times New Roman" w:hAnsi="Times New Roman" w:cs="Times New Roman"/>
          <w:sz w:val="24"/>
          <w:szCs w:val="24"/>
          <w:lang w:val="it-IT"/>
        </w:rPr>
        <w:t>Miniera e Hekur-Nikelit P</w:t>
      </w:r>
      <w:r w:rsidR="00446FEB" w:rsidRPr="008D285C">
        <w:rPr>
          <w:rFonts w:ascii="Times New Roman" w:eastAsia="Times New Roman" w:hAnsi="Times New Roman" w:cs="Times New Roman"/>
          <w:sz w:val="24"/>
          <w:szCs w:val="24"/>
          <w:lang w:val="nn-NO"/>
        </w:rPr>
        <w:t>ë</w:t>
      </w:r>
      <w:r w:rsidR="00446FEB" w:rsidRPr="008D285C">
        <w:rPr>
          <w:rFonts w:ascii="Times New Roman" w:eastAsia="Times New Roman" w:hAnsi="Times New Roman" w:cs="Times New Roman"/>
          <w:sz w:val="24"/>
          <w:szCs w:val="24"/>
          <w:lang w:val="it-IT"/>
        </w:rPr>
        <w:t>rrenjas</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 xml:space="preserve">                        </w:t>
      </w:r>
    </w:p>
    <w:tbl>
      <w:tblPr>
        <w:tblStyle w:val="TableGrid3"/>
        <w:tblW w:w="9139" w:type="dxa"/>
        <w:jc w:val="center"/>
        <w:tblLayout w:type="fixed"/>
        <w:tblLook w:val="04A0" w:firstRow="1" w:lastRow="0" w:firstColumn="1" w:lastColumn="0" w:noHBand="0" w:noVBand="1"/>
      </w:tblPr>
      <w:tblGrid>
        <w:gridCol w:w="1690"/>
        <w:gridCol w:w="1070"/>
        <w:gridCol w:w="1701"/>
        <w:gridCol w:w="709"/>
        <w:gridCol w:w="849"/>
        <w:gridCol w:w="992"/>
        <w:gridCol w:w="992"/>
        <w:gridCol w:w="1136"/>
      </w:tblGrid>
      <w:tr w:rsidR="00773E68" w:rsidRPr="00773E68" w:rsidTr="008D285C">
        <w:trPr>
          <w:jc w:val="center"/>
        </w:trPr>
        <w:tc>
          <w:tcPr>
            <w:tcW w:w="1690" w:type="dxa"/>
            <w:vMerge w:val="restart"/>
          </w:tcPr>
          <w:p w:rsidR="00773E68" w:rsidRPr="008D285C" w:rsidRDefault="00773E68" w:rsidP="00773E68">
            <w:pPr>
              <w:jc w:val="both"/>
              <w:rPr>
                <w:rFonts w:ascii="Times New Roman" w:eastAsia="Times New Roman" w:hAnsi="Times New Roman" w:cs="Times New Roman"/>
                <w:b/>
                <w:sz w:val="20"/>
                <w:szCs w:val="20"/>
                <w:lang w:val="nn-NO"/>
              </w:rPr>
            </w:pPr>
          </w:p>
          <w:p w:rsidR="00773E68" w:rsidRPr="008D285C" w:rsidRDefault="008D285C"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Vendi</w:t>
            </w:r>
          </w:p>
        </w:tc>
        <w:tc>
          <w:tcPr>
            <w:tcW w:w="1070" w:type="dxa"/>
            <w:vMerge w:val="restart"/>
          </w:tcPr>
          <w:p w:rsidR="00773E68" w:rsidRPr="008D285C" w:rsidRDefault="00773E68" w:rsidP="00773E68">
            <w:pPr>
              <w:jc w:val="both"/>
              <w:rPr>
                <w:rFonts w:ascii="Times New Roman" w:eastAsia="Times New Roman" w:hAnsi="Times New Roman" w:cs="Times New Roman"/>
                <w:b/>
                <w:sz w:val="20"/>
                <w:szCs w:val="20"/>
              </w:rPr>
            </w:pPr>
          </w:p>
          <w:p w:rsidR="00773E68" w:rsidRPr="008D285C" w:rsidRDefault="008D285C"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Tre</w:t>
            </w:r>
            <w:r>
              <w:rPr>
                <w:rFonts w:ascii="Times New Roman" w:eastAsia="Times New Roman" w:hAnsi="Times New Roman" w:cs="Times New Roman"/>
                <w:b/>
                <w:sz w:val="20"/>
                <w:szCs w:val="20"/>
              </w:rPr>
              <w:t>gues</w:t>
            </w:r>
          </w:p>
        </w:tc>
        <w:tc>
          <w:tcPr>
            <w:tcW w:w="1701" w:type="dxa"/>
            <w:vMerge w:val="restart"/>
          </w:tcPr>
          <w:p w:rsidR="00773E68" w:rsidRPr="008D285C" w:rsidRDefault="00773E68" w:rsidP="00773E68">
            <w:pPr>
              <w:jc w:val="both"/>
              <w:rPr>
                <w:rFonts w:ascii="Times New Roman" w:eastAsia="Times New Roman" w:hAnsi="Times New Roman" w:cs="Times New Roman"/>
                <w:b/>
                <w:sz w:val="20"/>
                <w:szCs w:val="20"/>
              </w:rPr>
            </w:pPr>
          </w:p>
          <w:p w:rsidR="00773E68" w:rsidRPr="008D285C" w:rsidRDefault="008D285C"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Nj. Matjes</w:t>
            </w:r>
          </w:p>
        </w:tc>
        <w:tc>
          <w:tcPr>
            <w:tcW w:w="709" w:type="dxa"/>
            <w:vMerge w:val="restart"/>
          </w:tcPr>
          <w:p w:rsidR="00773E68" w:rsidRPr="008D285C" w:rsidRDefault="008D285C"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Limit</w:t>
            </w:r>
          </w:p>
        </w:tc>
        <w:tc>
          <w:tcPr>
            <w:tcW w:w="3969" w:type="dxa"/>
            <w:gridSpan w:val="4"/>
          </w:tcPr>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REZULTATET</w:t>
            </w:r>
          </w:p>
        </w:tc>
      </w:tr>
      <w:tr w:rsidR="00773E68" w:rsidRPr="00773E68" w:rsidTr="008D285C">
        <w:trPr>
          <w:jc w:val="center"/>
        </w:trPr>
        <w:tc>
          <w:tcPr>
            <w:tcW w:w="1690" w:type="dxa"/>
            <w:vMerge/>
          </w:tcPr>
          <w:p w:rsidR="00773E68" w:rsidRPr="008D285C" w:rsidRDefault="00773E68" w:rsidP="00773E68">
            <w:pPr>
              <w:jc w:val="both"/>
              <w:rPr>
                <w:rFonts w:ascii="Times New Roman" w:eastAsia="Times New Roman" w:hAnsi="Times New Roman" w:cs="Times New Roman"/>
                <w:b/>
                <w:sz w:val="20"/>
                <w:szCs w:val="20"/>
              </w:rPr>
            </w:pPr>
          </w:p>
        </w:tc>
        <w:tc>
          <w:tcPr>
            <w:tcW w:w="1070" w:type="dxa"/>
            <w:vMerge/>
          </w:tcPr>
          <w:p w:rsidR="00773E68" w:rsidRPr="008D285C" w:rsidRDefault="00773E68" w:rsidP="00773E68">
            <w:pPr>
              <w:jc w:val="both"/>
              <w:rPr>
                <w:rFonts w:ascii="Times New Roman" w:eastAsia="Times New Roman" w:hAnsi="Times New Roman" w:cs="Times New Roman"/>
                <w:b/>
                <w:sz w:val="20"/>
                <w:szCs w:val="20"/>
              </w:rPr>
            </w:pPr>
          </w:p>
        </w:tc>
        <w:tc>
          <w:tcPr>
            <w:tcW w:w="1701" w:type="dxa"/>
            <w:vMerge/>
          </w:tcPr>
          <w:p w:rsidR="00773E68" w:rsidRPr="008D285C" w:rsidRDefault="00773E68" w:rsidP="00773E68">
            <w:pPr>
              <w:jc w:val="both"/>
              <w:rPr>
                <w:rFonts w:ascii="Times New Roman" w:eastAsia="Times New Roman" w:hAnsi="Times New Roman" w:cs="Times New Roman"/>
                <w:b/>
                <w:sz w:val="20"/>
                <w:szCs w:val="20"/>
              </w:rPr>
            </w:pPr>
          </w:p>
        </w:tc>
        <w:tc>
          <w:tcPr>
            <w:tcW w:w="709" w:type="dxa"/>
            <w:vMerge/>
          </w:tcPr>
          <w:p w:rsidR="00773E68" w:rsidRPr="008D285C" w:rsidRDefault="00773E68" w:rsidP="00773E68">
            <w:pPr>
              <w:jc w:val="both"/>
              <w:rPr>
                <w:rFonts w:ascii="Times New Roman" w:eastAsia="Times New Roman" w:hAnsi="Times New Roman" w:cs="Times New Roman"/>
                <w:b/>
                <w:sz w:val="20"/>
                <w:szCs w:val="20"/>
              </w:rPr>
            </w:pPr>
          </w:p>
        </w:tc>
        <w:tc>
          <w:tcPr>
            <w:tcW w:w="849" w:type="dxa"/>
          </w:tcPr>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 xml:space="preserve">M. 1   0–30 </w:t>
            </w:r>
          </w:p>
        </w:tc>
        <w:tc>
          <w:tcPr>
            <w:tcW w:w="992" w:type="dxa"/>
          </w:tcPr>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 xml:space="preserve">M.   2 0–30 </w:t>
            </w:r>
          </w:p>
        </w:tc>
        <w:tc>
          <w:tcPr>
            <w:tcW w:w="992" w:type="dxa"/>
          </w:tcPr>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M  3</w:t>
            </w:r>
          </w:p>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0 - 30</w:t>
            </w:r>
          </w:p>
        </w:tc>
        <w:tc>
          <w:tcPr>
            <w:tcW w:w="1136" w:type="dxa"/>
          </w:tcPr>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 xml:space="preserve">M.  4 </w:t>
            </w:r>
          </w:p>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 xml:space="preserve">0–30 </w:t>
            </w:r>
          </w:p>
          <w:p w:rsidR="00773E68" w:rsidRPr="008D285C" w:rsidRDefault="00773E68" w:rsidP="00773E68">
            <w:pPr>
              <w:jc w:val="both"/>
              <w:rPr>
                <w:rFonts w:ascii="Times New Roman" w:eastAsia="Times New Roman" w:hAnsi="Times New Roman" w:cs="Times New Roman"/>
                <w:b/>
                <w:sz w:val="20"/>
                <w:szCs w:val="20"/>
              </w:rPr>
            </w:pPr>
          </w:p>
        </w:tc>
      </w:tr>
      <w:tr w:rsidR="00773E68" w:rsidRPr="00773E68" w:rsidTr="008D285C">
        <w:trPr>
          <w:trHeight w:val="134"/>
          <w:jc w:val="center"/>
        </w:trPr>
        <w:tc>
          <w:tcPr>
            <w:tcW w:w="1690" w:type="dxa"/>
            <w:vMerge w:val="restart"/>
          </w:tcPr>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 xml:space="preserve">Miniera Hekur </w:t>
            </w:r>
          </w:p>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Nikelit-</w:t>
            </w:r>
          </w:p>
          <w:p w:rsidR="00773E68" w:rsidRPr="00773E68" w:rsidRDefault="00773E68" w:rsidP="00773E68">
            <w:pPr>
              <w:jc w:val="both"/>
              <w:rPr>
                <w:rFonts w:ascii="Times New Roman" w:eastAsia="Times New Roman" w:hAnsi="Times New Roman" w:cs="Times New Roman"/>
                <w:b/>
                <w:sz w:val="24"/>
                <w:szCs w:val="24"/>
              </w:rPr>
            </w:pPr>
            <w:r w:rsidRPr="00773E68">
              <w:rPr>
                <w:rFonts w:ascii="Times New Roman" w:eastAsia="Times New Roman" w:hAnsi="Times New Roman" w:cs="Times New Roman"/>
                <w:sz w:val="24"/>
                <w:szCs w:val="24"/>
              </w:rPr>
              <w:t>Prenjas</w:t>
            </w:r>
            <w:r w:rsidRPr="00773E68">
              <w:rPr>
                <w:rFonts w:ascii="Times New Roman" w:eastAsia="Times New Roman" w:hAnsi="Times New Roman" w:cs="Times New Roman"/>
                <w:b/>
                <w:sz w:val="24"/>
                <w:szCs w:val="24"/>
              </w:rPr>
              <w:t xml:space="preserve"> </w:t>
            </w: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tc>
        <w:tc>
          <w:tcPr>
            <w:tcW w:w="107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84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1.04</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1.02</w:t>
            </w:r>
          </w:p>
        </w:tc>
        <w:tc>
          <w:tcPr>
            <w:tcW w:w="113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1.08</w:t>
            </w:r>
          </w:p>
        </w:tc>
      </w:tr>
      <w:tr w:rsidR="00773E68" w:rsidRPr="00773E68" w:rsidTr="008D285C">
        <w:trPr>
          <w:jc w:val="center"/>
        </w:trPr>
        <w:tc>
          <w:tcPr>
            <w:tcW w:w="1690" w:type="dxa"/>
            <w:vMerge/>
          </w:tcPr>
          <w:p w:rsidR="00773E68" w:rsidRPr="00773E68" w:rsidRDefault="00773E68" w:rsidP="00773E68">
            <w:pPr>
              <w:jc w:val="both"/>
              <w:rPr>
                <w:rFonts w:ascii="Times New Roman" w:eastAsia="Times New Roman" w:hAnsi="Times New Roman" w:cs="Times New Roman"/>
                <w:b/>
                <w:sz w:val="24"/>
                <w:szCs w:val="24"/>
              </w:rPr>
            </w:pPr>
          </w:p>
        </w:tc>
        <w:tc>
          <w:tcPr>
            <w:tcW w:w="107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84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3.1</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1.25</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3.21</w:t>
            </w:r>
          </w:p>
        </w:tc>
        <w:tc>
          <w:tcPr>
            <w:tcW w:w="113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1.23</w:t>
            </w:r>
          </w:p>
        </w:tc>
      </w:tr>
      <w:tr w:rsidR="00773E68" w:rsidRPr="00773E68" w:rsidTr="008D285C">
        <w:trPr>
          <w:jc w:val="center"/>
        </w:trPr>
        <w:tc>
          <w:tcPr>
            <w:tcW w:w="1690" w:type="dxa"/>
            <w:vMerge/>
          </w:tcPr>
          <w:p w:rsidR="00773E68" w:rsidRPr="00773E68" w:rsidRDefault="00773E68" w:rsidP="00773E68">
            <w:pPr>
              <w:jc w:val="both"/>
              <w:rPr>
                <w:rFonts w:ascii="Times New Roman" w:eastAsia="Times New Roman" w:hAnsi="Times New Roman" w:cs="Times New Roman"/>
                <w:b/>
                <w:sz w:val="24"/>
                <w:szCs w:val="24"/>
              </w:rPr>
            </w:pPr>
          </w:p>
        </w:tc>
        <w:tc>
          <w:tcPr>
            <w:tcW w:w="107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84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0.09</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0.07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0.08</w:t>
            </w:r>
          </w:p>
        </w:tc>
        <w:tc>
          <w:tcPr>
            <w:tcW w:w="113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0.32</w:t>
            </w:r>
          </w:p>
        </w:tc>
      </w:tr>
      <w:tr w:rsidR="00773E68" w:rsidRPr="00773E68" w:rsidTr="008D285C">
        <w:trPr>
          <w:jc w:val="center"/>
        </w:trPr>
        <w:tc>
          <w:tcPr>
            <w:tcW w:w="1690" w:type="dxa"/>
            <w:vMerge/>
          </w:tcPr>
          <w:p w:rsidR="00773E68" w:rsidRPr="00773E68" w:rsidRDefault="00773E68" w:rsidP="00773E68">
            <w:pPr>
              <w:jc w:val="both"/>
              <w:rPr>
                <w:rFonts w:ascii="Times New Roman" w:eastAsia="Times New Roman" w:hAnsi="Times New Roman" w:cs="Times New Roman"/>
                <w:b/>
                <w:sz w:val="24"/>
                <w:szCs w:val="24"/>
              </w:rPr>
            </w:pPr>
          </w:p>
        </w:tc>
        <w:tc>
          <w:tcPr>
            <w:tcW w:w="107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84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41.2</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15.0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57.1</w:t>
            </w:r>
          </w:p>
        </w:tc>
        <w:tc>
          <w:tcPr>
            <w:tcW w:w="113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17.1</w:t>
            </w:r>
          </w:p>
        </w:tc>
      </w:tr>
      <w:tr w:rsidR="00773E68" w:rsidRPr="00773E68" w:rsidTr="008D285C">
        <w:trPr>
          <w:jc w:val="center"/>
        </w:trPr>
        <w:tc>
          <w:tcPr>
            <w:tcW w:w="1690" w:type="dxa"/>
            <w:vMerge/>
          </w:tcPr>
          <w:p w:rsidR="00773E68" w:rsidRPr="00773E68" w:rsidRDefault="00773E68" w:rsidP="00773E68">
            <w:pPr>
              <w:jc w:val="both"/>
              <w:rPr>
                <w:rFonts w:ascii="Times New Roman" w:eastAsia="Times New Roman" w:hAnsi="Times New Roman" w:cs="Times New Roman"/>
                <w:b/>
                <w:sz w:val="24"/>
                <w:szCs w:val="24"/>
              </w:rPr>
            </w:pPr>
          </w:p>
        </w:tc>
        <w:tc>
          <w:tcPr>
            <w:tcW w:w="107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84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w:t>
            </w:r>
          </w:p>
        </w:tc>
        <w:tc>
          <w:tcPr>
            <w:tcW w:w="113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w:t>
            </w:r>
          </w:p>
        </w:tc>
      </w:tr>
      <w:tr w:rsidR="00773E68" w:rsidRPr="00773E68" w:rsidTr="008D285C">
        <w:trPr>
          <w:jc w:val="center"/>
        </w:trPr>
        <w:tc>
          <w:tcPr>
            <w:tcW w:w="1690" w:type="dxa"/>
            <w:vMerge/>
          </w:tcPr>
          <w:p w:rsidR="00773E68" w:rsidRPr="00773E68" w:rsidRDefault="00773E68" w:rsidP="00773E68">
            <w:pPr>
              <w:jc w:val="both"/>
              <w:rPr>
                <w:rFonts w:ascii="Times New Roman" w:eastAsia="Times New Roman" w:hAnsi="Times New Roman" w:cs="Times New Roman"/>
                <w:b/>
                <w:sz w:val="24"/>
                <w:szCs w:val="24"/>
              </w:rPr>
            </w:pPr>
          </w:p>
        </w:tc>
        <w:tc>
          <w:tcPr>
            <w:tcW w:w="107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84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0.88</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0.66</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0.69</w:t>
            </w:r>
          </w:p>
        </w:tc>
        <w:tc>
          <w:tcPr>
            <w:tcW w:w="113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0.75</w:t>
            </w:r>
          </w:p>
        </w:tc>
      </w:tr>
      <w:tr w:rsidR="00773E68" w:rsidRPr="00773E68" w:rsidTr="008D285C">
        <w:trPr>
          <w:jc w:val="center"/>
        </w:trPr>
        <w:tc>
          <w:tcPr>
            <w:tcW w:w="1690" w:type="dxa"/>
            <w:vMerge/>
          </w:tcPr>
          <w:p w:rsidR="00773E68" w:rsidRPr="00773E68" w:rsidRDefault="00773E68" w:rsidP="00773E68">
            <w:pPr>
              <w:jc w:val="both"/>
              <w:rPr>
                <w:rFonts w:ascii="Times New Roman" w:eastAsia="Times New Roman" w:hAnsi="Times New Roman" w:cs="Times New Roman"/>
                <w:b/>
                <w:sz w:val="24"/>
                <w:szCs w:val="24"/>
              </w:rPr>
            </w:pPr>
          </w:p>
        </w:tc>
        <w:tc>
          <w:tcPr>
            <w:tcW w:w="107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Mn</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84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11.14</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8.10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17.22</w:t>
            </w:r>
          </w:p>
        </w:tc>
        <w:tc>
          <w:tcPr>
            <w:tcW w:w="113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21.30</w:t>
            </w:r>
          </w:p>
        </w:tc>
      </w:tr>
    </w:tbl>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8D285C" w:rsidRDefault="00681B50" w:rsidP="008D285C">
      <w:pPr>
        <w:spacing w:after="0" w:line="240" w:lineRule="auto"/>
        <w:jc w:val="center"/>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Tabela 56</w:t>
      </w:r>
      <w:r w:rsidR="00446FEB" w:rsidRPr="008D285C">
        <w:rPr>
          <w:rFonts w:ascii="Times New Roman" w:eastAsia="Times New Roman" w:hAnsi="Times New Roman" w:cs="Times New Roman"/>
          <w:sz w:val="24"/>
          <w:szCs w:val="24"/>
          <w:lang w:val="it-IT"/>
        </w:rPr>
        <w:t>.</w:t>
      </w:r>
      <w:r w:rsidR="00773E68" w:rsidRPr="008D285C">
        <w:rPr>
          <w:rFonts w:ascii="Times New Roman" w:eastAsia="Times New Roman" w:hAnsi="Times New Roman" w:cs="Times New Roman"/>
          <w:sz w:val="24"/>
          <w:szCs w:val="24"/>
          <w:lang w:val="it-IT"/>
        </w:rPr>
        <w:t xml:space="preserve">  Rezultatet për Profilet  Miniera e Hekur-Nikelit</w:t>
      </w:r>
      <w:r w:rsidR="008D285C">
        <w:rPr>
          <w:rFonts w:ascii="Times New Roman" w:eastAsia="Times New Roman" w:hAnsi="Times New Roman" w:cs="Times New Roman"/>
          <w:sz w:val="24"/>
          <w:szCs w:val="24"/>
          <w:lang w:val="it-IT"/>
        </w:rPr>
        <w:t>,</w:t>
      </w:r>
      <w:r w:rsidR="00773E68" w:rsidRPr="008D285C">
        <w:rPr>
          <w:rFonts w:ascii="Times New Roman" w:eastAsia="Times New Roman" w:hAnsi="Times New Roman" w:cs="Times New Roman"/>
          <w:sz w:val="24"/>
          <w:szCs w:val="24"/>
          <w:lang w:val="it-IT"/>
        </w:rPr>
        <w:t xml:space="preserve"> P</w:t>
      </w:r>
      <w:r w:rsidR="00773E68" w:rsidRPr="008D285C">
        <w:rPr>
          <w:rFonts w:ascii="Times New Roman" w:eastAsia="Times New Roman" w:hAnsi="Times New Roman" w:cs="Times New Roman"/>
          <w:sz w:val="24"/>
          <w:szCs w:val="24"/>
          <w:lang w:val="nn-NO"/>
        </w:rPr>
        <w:t>ë</w:t>
      </w:r>
      <w:r w:rsidR="00773E68" w:rsidRPr="008D285C">
        <w:rPr>
          <w:rFonts w:ascii="Times New Roman" w:eastAsia="Times New Roman" w:hAnsi="Times New Roman" w:cs="Times New Roman"/>
          <w:sz w:val="24"/>
          <w:szCs w:val="24"/>
          <w:lang w:val="it-IT"/>
        </w:rPr>
        <w:t>rrenjas</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tbl>
      <w:tblPr>
        <w:tblStyle w:val="TableGrid3"/>
        <w:tblW w:w="10695" w:type="dxa"/>
        <w:tblInd w:w="-522" w:type="dxa"/>
        <w:tblLayout w:type="fixed"/>
        <w:tblLook w:val="04A0" w:firstRow="1" w:lastRow="0" w:firstColumn="1" w:lastColumn="0" w:noHBand="0" w:noVBand="1"/>
      </w:tblPr>
      <w:tblGrid>
        <w:gridCol w:w="1260"/>
        <w:gridCol w:w="1080"/>
        <w:gridCol w:w="1409"/>
        <w:gridCol w:w="709"/>
        <w:gridCol w:w="992"/>
        <w:gridCol w:w="992"/>
        <w:gridCol w:w="992"/>
        <w:gridCol w:w="993"/>
        <w:gridCol w:w="992"/>
        <w:gridCol w:w="1276"/>
      </w:tblGrid>
      <w:tr w:rsidR="00773E68" w:rsidRPr="00773E68" w:rsidTr="00D0337E">
        <w:tc>
          <w:tcPr>
            <w:tcW w:w="1260" w:type="dxa"/>
            <w:vMerge w:val="restart"/>
          </w:tcPr>
          <w:p w:rsidR="00773E68" w:rsidRPr="008D285C" w:rsidRDefault="00773E68" w:rsidP="00773E68">
            <w:pPr>
              <w:jc w:val="both"/>
              <w:rPr>
                <w:rFonts w:ascii="Times New Roman" w:eastAsia="Times New Roman" w:hAnsi="Times New Roman" w:cs="Times New Roman"/>
                <w:b/>
                <w:sz w:val="20"/>
                <w:szCs w:val="20"/>
                <w:lang w:val="nn-NO"/>
              </w:rPr>
            </w:pPr>
          </w:p>
          <w:p w:rsidR="00773E68" w:rsidRPr="008D285C" w:rsidRDefault="00D0337E"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Vendi</w:t>
            </w:r>
          </w:p>
        </w:tc>
        <w:tc>
          <w:tcPr>
            <w:tcW w:w="1080" w:type="dxa"/>
            <w:vMerge w:val="restart"/>
          </w:tcPr>
          <w:p w:rsidR="00773E68" w:rsidRPr="008D285C" w:rsidRDefault="00773E68" w:rsidP="00773E68">
            <w:pPr>
              <w:jc w:val="both"/>
              <w:rPr>
                <w:rFonts w:ascii="Times New Roman" w:eastAsia="Times New Roman" w:hAnsi="Times New Roman" w:cs="Times New Roman"/>
                <w:b/>
                <w:sz w:val="20"/>
                <w:szCs w:val="20"/>
                <w:lang w:val="nn-NO"/>
              </w:rPr>
            </w:pPr>
          </w:p>
          <w:p w:rsidR="00773E68" w:rsidRPr="008D285C" w:rsidRDefault="00D0337E"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Tre</w:t>
            </w:r>
            <w:r>
              <w:rPr>
                <w:rFonts w:ascii="Times New Roman" w:eastAsia="Times New Roman" w:hAnsi="Times New Roman" w:cs="Times New Roman"/>
                <w:b/>
                <w:sz w:val="20"/>
                <w:szCs w:val="20"/>
                <w:lang w:val="nn-NO"/>
              </w:rPr>
              <w:t>gues</w:t>
            </w:r>
          </w:p>
        </w:tc>
        <w:tc>
          <w:tcPr>
            <w:tcW w:w="1409" w:type="dxa"/>
            <w:vMerge w:val="restart"/>
          </w:tcPr>
          <w:p w:rsidR="00773E68" w:rsidRPr="008D285C" w:rsidRDefault="00773E68" w:rsidP="00773E68">
            <w:pPr>
              <w:jc w:val="both"/>
              <w:rPr>
                <w:rFonts w:ascii="Times New Roman" w:eastAsia="Times New Roman" w:hAnsi="Times New Roman" w:cs="Times New Roman"/>
                <w:b/>
                <w:sz w:val="20"/>
                <w:szCs w:val="20"/>
                <w:lang w:val="nn-NO"/>
              </w:rPr>
            </w:pPr>
          </w:p>
          <w:p w:rsidR="00773E68" w:rsidRPr="008D285C" w:rsidRDefault="008D285C"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Nj. Matjes</w:t>
            </w:r>
          </w:p>
        </w:tc>
        <w:tc>
          <w:tcPr>
            <w:tcW w:w="709" w:type="dxa"/>
            <w:vMerge w:val="restart"/>
          </w:tcPr>
          <w:p w:rsidR="00773E68" w:rsidRPr="008D285C" w:rsidRDefault="008D285C"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Limit</w:t>
            </w:r>
          </w:p>
        </w:tc>
        <w:tc>
          <w:tcPr>
            <w:tcW w:w="6237" w:type="dxa"/>
            <w:gridSpan w:val="6"/>
          </w:tcPr>
          <w:p w:rsidR="00773E68" w:rsidRPr="008D285C" w:rsidRDefault="00773E68"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REZULTATET PËR PROFILET</w:t>
            </w:r>
          </w:p>
        </w:tc>
      </w:tr>
      <w:tr w:rsidR="00773E68" w:rsidRPr="00773E68" w:rsidTr="00D0337E">
        <w:tc>
          <w:tcPr>
            <w:tcW w:w="1260" w:type="dxa"/>
            <w:vMerge/>
          </w:tcPr>
          <w:p w:rsidR="00773E68" w:rsidRPr="008D285C" w:rsidRDefault="00773E68" w:rsidP="00773E68">
            <w:pPr>
              <w:jc w:val="both"/>
              <w:rPr>
                <w:rFonts w:ascii="Times New Roman" w:eastAsia="Times New Roman" w:hAnsi="Times New Roman" w:cs="Times New Roman"/>
                <w:b/>
                <w:sz w:val="20"/>
                <w:szCs w:val="20"/>
                <w:lang w:val="nn-NO"/>
              </w:rPr>
            </w:pPr>
          </w:p>
        </w:tc>
        <w:tc>
          <w:tcPr>
            <w:tcW w:w="1080" w:type="dxa"/>
            <w:vMerge/>
          </w:tcPr>
          <w:p w:rsidR="00773E68" w:rsidRPr="008D285C" w:rsidRDefault="00773E68" w:rsidP="00773E68">
            <w:pPr>
              <w:jc w:val="both"/>
              <w:rPr>
                <w:rFonts w:ascii="Times New Roman" w:eastAsia="Times New Roman" w:hAnsi="Times New Roman" w:cs="Times New Roman"/>
                <w:b/>
                <w:sz w:val="20"/>
                <w:szCs w:val="20"/>
                <w:lang w:val="nn-NO"/>
              </w:rPr>
            </w:pPr>
          </w:p>
        </w:tc>
        <w:tc>
          <w:tcPr>
            <w:tcW w:w="1409" w:type="dxa"/>
            <w:vMerge/>
          </w:tcPr>
          <w:p w:rsidR="00773E68" w:rsidRPr="008D285C" w:rsidRDefault="00773E68" w:rsidP="00773E68">
            <w:pPr>
              <w:jc w:val="both"/>
              <w:rPr>
                <w:rFonts w:ascii="Times New Roman" w:eastAsia="Times New Roman" w:hAnsi="Times New Roman" w:cs="Times New Roman"/>
                <w:b/>
                <w:sz w:val="20"/>
                <w:szCs w:val="20"/>
                <w:lang w:val="nn-NO"/>
              </w:rPr>
            </w:pPr>
          </w:p>
        </w:tc>
        <w:tc>
          <w:tcPr>
            <w:tcW w:w="709" w:type="dxa"/>
            <w:vMerge/>
          </w:tcPr>
          <w:p w:rsidR="00773E68" w:rsidRPr="008D285C" w:rsidRDefault="00773E68" w:rsidP="00773E68">
            <w:pPr>
              <w:jc w:val="both"/>
              <w:rPr>
                <w:rFonts w:ascii="Times New Roman" w:eastAsia="Times New Roman" w:hAnsi="Times New Roman" w:cs="Times New Roman"/>
                <w:b/>
                <w:sz w:val="20"/>
                <w:szCs w:val="20"/>
                <w:lang w:val="nn-NO"/>
              </w:rPr>
            </w:pPr>
          </w:p>
        </w:tc>
        <w:tc>
          <w:tcPr>
            <w:tcW w:w="992" w:type="dxa"/>
          </w:tcPr>
          <w:p w:rsidR="00773E68" w:rsidRPr="008D285C" w:rsidRDefault="00773E68"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Profili  1</w:t>
            </w:r>
          </w:p>
          <w:p w:rsidR="00773E68" w:rsidRPr="008D285C" w:rsidRDefault="00773E68" w:rsidP="00773E68">
            <w:pPr>
              <w:jc w:val="both"/>
              <w:rPr>
                <w:rFonts w:ascii="Times New Roman" w:eastAsia="Times New Roman" w:hAnsi="Times New Roman" w:cs="Times New Roman"/>
                <w:b/>
                <w:sz w:val="20"/>
                <w:szCs w:val="20"/>
                <w:lang w:val="nn-NO"/>
              </w:rPr>
            </w:pPr>
          </w:p>
          <w:p w:rsidR="00773E68" w:rsidRPr="008D285C" w:rsidRDefault="00773E68"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 xml:space="preserve">0 – 30 cm </w:t>
            </w:r>
          </w:p>
        </w:tc>
        <w:tc>
          <w:tcPr>
            <w:tcW w:w="992" w:type="dxa"/>
          </w:tcPr>
          <w:p w:rsidR="00773E68" w:rsidRPr="008D285C" w:rsidRDefault="00773E68"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Profili  1</w:t>
            </w:r>
          </w:p>
          <w:p w:rsidR="00773E68" w:rsidRPr="008D285C" w:rsidRDefault="00773E68" w:rsidP="00773E68">
            <w:pPr>
              <w:jc w:val="both"/>
              <w:rPr>
                <w:rFonts w:ascii="Times New Roman" w:eastAsia="Times New Roman" w:hAnsi="Times New Roman" w:cs="Times New Roman"/>
                <w:b/>
                <w:sz w:val="20"/>
                <w:szCs w:val="20"/>
                <w:lang w:val="nn-NO"/>
              </w:rPr>
            </w:pPr>
          </w:p>
          <w:p w:rsidR="00773E68" w:rsidRPr="008D285C" w:rsidRDefault="00773E68"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0 – 60 cm</w:t>
            </w:r>
          </w:p>
        </w:tc>
        <w:tc>
          <w:tcPr>
            <w:tcW w:w="992" w:type="dxa"/>
          </w:tcPr>
          <w:p w:rsidR="00773E68" w:rsidRPr="008D285C" w:rsidRDefault="00773E68"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Profili  1</w:t>
            </w:r>
          </w:p>
          <w:p w:rsidR="00773E68" w:rsidRPr="008D285C" w:rsidRDefault="00773E68" w:rsidP="00773E68">
            <w:pPr>
              <w:jc w:val="both"/>
              <w:rPr>
                <w:rFonts w:ascii="Times New Roman" w:eastAsia="Times New Roman" w:hAnsi="Times New Roman" w:cs="Times New Roman"/>
                <w:b/>
                <w:sz w:val="20"/>
                <w:szCs w:val="20"/>
                <w:lang w:val="nn-NO"/>
              </w:rPr>
            </w:pPr>
          </w:p>
          <w:p w:rsidR="00773E68" w:rsidRPr="008D285C" w:rsidRDefault="00773E68" w:rsidP="00773E68">
            <w:pPr>
              <w:jc w:val="both"/>
              <w:rPr>
                <w:rFonts w:ascii="Times New Roman" w:eastAsia="Times New Roman" w:hAnsi="Times New Roman" w:cs="Times New Roman"/>
                <w:b/>
                <w:sz w:val="20"/>
                <w:szCs w:val="20"/>
                <w:lang w:val="nn-NO"/>
              </w:rPr>
            </w:pPr>
            <w:r w:rsidRPr="008D285C">
              <w:rPr>
                <w:rFonts w:ascii="Times New Roman" w:eastAsia="Times New Roman" w:hAnsi="Times New Roman" w:cs="Times New Roman"/>
                <w:b/>
                <w:sz w:val="20"/>
                <w:szCs w:val="20"/>
                <w:lang w:val="nn-NO"/>
              </w:rPr>
              <w:t>60 -100 cm</w:t>
            </w:r>
          </w:p>
        </w:tc>
        <w:tc>
          <w:tcPr>
            <w:tcW w:w="993" w:type="dxa"/>
          </w:tcPr>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Profili  2</w:t>
            </w:r>
          </w:p>
          <w:p w:rsidR="00773E68" w:rsidRPr="008D285C" w:rsidRDefault="00773E68" w:rsidP="00773E68">
            <w:pPr>
              <w:jc w:val="both"/>
              <w:rPr>
                <w:rFonts w:ascii="Times New Roman" w:eastAsia="Times New Roman" w:hAnsi="Times New Roman" w:cs="Times New Roman"/>
                <w:b/>
                <w:sz w:val="20"/>
                <w:szCs w:val="20"/>
              </w:rPr>
            </w:pPr>
          </w:p>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 xml:space="preserve">0 – 30 cm </w:t>
            </w:r>
          </w:p>
        </w:tc>
        <w:tc>
          <w:tcPr>
            <w:tcW w:w="992" w:type="dxa"/>
          </w:tcPr>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Profili  2</w:t>
            </w:r>
          </w:p>
          <w:p w:rsidR="00773E68" w:rsidRPr="008D285C" w:rsidRDefault="00773E68" w:rsidP="00773E68">
            <w:pPr>
              <w:jc w:val="both"/>
              <w:rPr>
                <w:rFonts w:ascii="Times New Roman" w:eastAsia="Times New Roman" w:hAnsi="Times New Roman" w:cs="Times New Roman"/>
                <w:b/>
                <w:sz w:val="20"/>
                <w:szCs w:val="20"/>
              </w:rPr>
            </w:pPr>
          </w:p>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0 – 60 cm</w:t>
            </w:r>
          </w:p>
        </w:tc>
        <w:tc>
          <w:tcPr>
            <w:tcW w:w="1276" w:type="dxa"/>
          </w:tcPr>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Profili  2</w:t>
            </w:r>
          </w:p>
          <w:p w:rsidR="00773E68" w:rsidRPr="008D285C" w:rsidRDefault="00773E68" w:rsidP="00773E68">
            <w:pPr>
              <w:jc w:val="both"/>
              <w:rPr>
                <w:rFonts w:ascii="Times New Roman" w:eastAsia="Times New Roman" w:hAnsi="Times New Roman" w:cs="Times New Roman"/>
                <w:b/>
                <w:sz w:val="20"/>
                <w:szCs w:val="20"/>
              </w:rPr>
            </w:pPr>
          </w:p>
          <w:p w:rsidR="00773E68" w:rsidRPr="008D285C" w:rsidRDefault="00773E68" w:rsidP="00773E68">
            <w:pPr>
              <w:jc w:val="both"/>
              <w:rPr>
                <w:rFonts w:ascii="Times New Roman" w:eastAsia="Times New Roman" w:hAnsi="Times New Roman" w:cs="Times New Roman"/>
                <w:b/>
                <w:sz w:val="20"/>
                <w:szCs w:val="20"/>
              </w:rPr>
            </w:pPr>
            <w:r w:rsidRPr="008D285C">
              <w:rPr>
                <w:rFonts w:ascii="Times New Roman" w:eastAsia="Times New Roman" w:hAnsi="Times New Roman" w:cs="Times New Roman"/>
                <w:b/>
                <w:sz w:val="20"/>
                <w:szCs w:val="20"/>
              </w:rPr>
              <w:t>60 -100 cm</w:t>
            </w:r>
          </w:p>
        </w:tc>
      </w:tr>
      <w:tr w:rsidR="00773E68" w:rsidRPr="00773E68" w:rsidTr="00D0337E">
        <w:trPr>
          <w:trHeight w:val="134"/>
        </w:trPr>
        <w:tc>
          <w:tcPr>
            <w:tcW w:w="1260" w:type="dxa"/>
            <w:vMerge w:val="restart"/>
          </w:tcPr>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 xml:space="preserve">Miniera Hekur- </w:t>
            </w:r>
          </w:p>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Nikelit</w:t>
            </w:r>
          </w:p>
          <w:p w:rsidR="00773E68" w:rsidRPr="00773E68" w:rsidRDefault="00773E68" w:rsidP="00773E68">
            <w:pPr>
              <w:jc w:val="both"/>
              <w:rPr>
                <w:rFonts w:ascii="Times New Roman" w:eastAsia="Times New Roman" w:hAnsi="Times New Roman" w:cs="Times New Roman"/>
                <w:b/>
                <w:sz w:val="24"/>
                <w:szCs w:val="24"/>
              </w:rPr>
            </w:pPr>
            <w:r w:rsidRPr="00773E68">
              <w:rPr>
                <w:rFonts w:ascii="Times New Roman" w:eastAsia="Times New Roman" w:hAnsi="Times New Roman" w:cs="Times New Roman"/>
                <w:sz w:val="24"/>
                <w:szCs w:val="24"/>
              </w:rPr>
              <w:t>Përrenja</w:t>
            </w:r>
          </w:p>
          <w:p w:rsidR="00773E68" w:rsidRPr="00773E68" w:rsidRDefault="00773E68" w:rsidP="00773E68">
            <w:pPr>
              <w:jc w:val="both"/>
              <w:rPr>
                <w:rFonts w:ascii="Times New Roman" w:eastAsia="Times New Roman" w:hAnsi="Times New Roman" w:cs="Times New Roman"/>
                <w:b/>
                <w:sz w:val="24"/>
                <w:szCs w:val="24"/>
              </w:rPr>
            </w:pPr>
          </w:p>
        </w:tc>
        <w:tc>
          <w:tcPr>
            <w:tcW w:w="108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0.91</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0.82</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0.91</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0.82</w:t>
            </w:r>
          </w:p>
        </w:tc>
      </w:tr>
      <w:tr w:rsidR="00773E68" w:rsidRPr="00773E68" w:rsidTr="00D0337E">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108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3.12</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2.71</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2.12</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1.23</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1.12</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1.06</w:t>
            </w:r>
          </w:p>
        </w:tc>
      </w:tr>
      <w:tr w:rsidR="00773E68" w:rsidRPr="00773E68" w:rsidTr="00D0337E">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108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0.24</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0.28</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0.29</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0.24</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0.28</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0.29</w:t>
            </w:r>
          </w:p>
        </w:tc>
      </w:tr>
      <w:tr w:rsidR="00773E68" w:rsidRPr="00773E68" w:rsidTr="00D0337E">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108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25.6</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45.0</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25.6</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45.0</w:t>
            </w:r>
          </w:p>
        </w:tc>
      </w:tr>
      <w:tr w:rsidR="00773E68" w:rsidRPr="00773E68" w:rsidTr="00D0337E">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108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w:t>
            </w:r>
          </w:p>
        </w:tc>
      </w:tr>
      <w:tr w:rsidR="00773E68" w:rsidRPr="00773E68" w:rsidTr="00D0337E">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108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0.86</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0.78</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0.86</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0.78</w:t>
            </w:r>
          </w:p>
        </w:tc>
      </w:tr>
      <w:tr w:rsidR="00773E68" w:rsidRPr="00773E68" w:rsidTr="00D0337E">
        <w:tc>
          <w:tcPr>
            <w:tcW w:w="1260" w:type="dxa"/>
            <w:vMerge/>
          </w:tcPr>
          <w:p w:rsidR="00773E68" w:rsidRPr="00773E68" w:rsidRDefault="00773E68" w:rsidP="00773E68">
            <w:pPr>
              <w:jc w:val="both"/>
              <w:rPr>
                <w:rFonts w:ascii="Times New Roman" w:eastAsia="Times New Roman" w:hAnsi="Times New Roman" w:cs="Times New Roman"/>
                <w:b/>
                <w:sz w:val="24"/>
                <w:szCs w:val="24"/>
              </w:rPr>
            </w:pPr>
          </w:p>
        </w:tc>
        <w:tc>
          <w:tcPr>
            <w:tcW w:w="108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Mn</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4.97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10.91</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17.77</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4.97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10.91</w:t>
            </w:r>
          </w:p>
        </w:tc>
        <w:tc>
          <w:tcPr>
            <w:tcW w:w="127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17.77</w:t>
            </w:r>
          </w:p>
        </w:tc>
      </w:tr>
    </w:tbl>
    <w:p w:rsidR="00773E68" w:rsidRPr="00773E68" w:rsidRDefault="00773E68" w:rsidP="00773E68">
      <w:pPr>
        <w:spacing w:after="0" w:line="240" w:lineRule="auto"/>
        <w:jc w:val="both"/>
        <w:rPr>
          <w:rFonts w:ascii="Times New Roman" w:eastAsia="Times New Roman" w:hAnsi="Times New Roman" w:cs="Times New Roman"/>
          <w:sz w:val="24"/>
          <w:szCs w:val="24"/>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 xml:space="preserve">Duke parë treguesit e paraqitur në tabelën e mësipërme, </w:t>
      </w:r>
      <w:r w:rsidR="0086418D">
        <w:rPr>
          <w:rFonts w:ascii="Times New Roman" w:eastAsia="Times New Roman" w:hAnsi="Times New Roman" w:cs="Times New Roman"/>
          <w:sz w:val="24"/>
          <w:szCs w:val="24"/>
          <w:lang w:val="it-IT"/>
        </w:rPr>
        <w:t xml:space="preserve">vlerësohet se </w:t>
      </w:r>
      <w:r w:rsidRPr="00773E68">
        <w:rPr>
          <w:rFonts w:ascii="Times New Roman" w:eastAsia="Times New Roman" w:hAnsi="Times New Roman" w:cs="Times New Roman"/>
          <w:sz w:val="24"/>
          <w:szCs w:val="24"/>
          <w:lang w:val="it-IT"/>
        </w:rPr>
        <w:t xml:space="preserve">janë brenda normave të lejuara, pra nuk kemi ndotje të mjedisit. </w:t>
      </w:r>
      <w:r w:rsidR="0086418D">
        <w:rPr>
          <w:rFonts w:ascii="Times New Roman" w:eastAsia="Times New Roman" w:hAnsi="Times New Roman" w:cs="Times New Roman"/>
          <w:sz w:val="24"/>
          <w:szCs w:val="24"/>
          <w:lang w:val="it-IT"/>
        </w:rPr>
        <w:t>M</w:t>
      </w:r>
      <w:r w:rsidRPr="00773E68">
        <w:rPr>
          <w:rFonts w:ascii="Times New Roman" w:eastAsia="Times New Roman" w:hAnsi="Times New Roman" w:cs="Times New Roman"/>
          <w:sz w:val="24"/>
          <w:szCs w:val="24"/>
          <w:lang w:val="it-IT"/>
        </w:rPr>
        <w:t>ostra</w:t>
      </w:r>
      <w:r w:rsidR="0086418D">
        <w:rPr>
          <w:rFonts w:ascii="Times New Roman" w:eastAsia="Times New Roman" w:hAnsi="Times New Roman" w:cs="Times New Roman"/>
          <w:sz w:val="24"/>
          <w:szCs w:val="24"/>
          <w:lang w:val="it-IT"/>
        </w:rPr>
        <w:t>t</w:t>
      </w:r>
      <w:r w:rsidRPr="00773E68">
        <w:rPr>
          <w:rFonts w:ascii="Times New Roman" w:eastAsia="Times New Roman" w:hAnsi="Times New Roman" w:cs="Times New Roman"/>
          <w:sz w:val="24"/>
          <w:szCs w:val="24"/>
          <w:lang w:val="it-IT"/>
        </w:rPr>
        <w:t xml:space="preserve"> 1, 3 dhe profili 1 të cilët ndodhen brenda territorit të ish-minierës, </w:t>
      </w:r>
      <w:r w:rsidR="0086418D" w:rsidRPr="00773E68">
        <w:rPr>
          <w:rFonts w:ascii="Times New Roman" w:eastAsia="Times New Roman" w:hAnsi="Times New Roman" w:cs="Times New Roman"/>
          <w:sz w:val="24"/>
          <w:szCs w:val="24"/>
          <w:lang w:val="it-IT"/>
        </w:rPr>
        <w:t xml:space="preserve">kanë përqëndrim më të lartë në disa tregues </w:t>
      </w:r>
      <w:r w:rsidRPr="00773E68">
        <w:rPr>
          <w:rFonts w:ascii="Times New Roman" w:eastAsia="Times New Roman" w:hAnsi="Times New Roman" w:cs="Times New Roman"/>
          <w:sz w:val="24"/>
          <w:szCs w:val="24"/>
          <w:lang w:val="it-IT"/>
        </w:rPr>
        <w:t>ndërsa në d</w:t>
      </w:r>
      <w:r w:rsidR="0086418D">
        <w:rPr>
          <w:rFonts w:ascii="Times New Roman" w:eastAsia="Times New Roman" w:hAnsi="Times New Roman" w:cs="Times New Roman"/>
          <w:sz w:val="24"/>
          <w:szCs w:val="24"/>
          <w:lang w:val="it-IT"/>
        </w:rPr>
        <w:t>istancë  kemi një ndryshim me r</w:t>
      </w:r>
      <w:r w:rsidRPr="00773E68">
        <w:rPr>
          <w:rFonts w:ascii="Times New Roman" w:eastAsia="Times New Roman" w:hAnsi="Times New Roman" w:cs="Times New Roman"/>
          <w:sz w:val="24"/>
          <w:szCs w:val="24"/>
          <w:lang w:val="it-IT"/>
        </w:rPr>
        <w:t xml:space="preserve">ënie të </w:t>
      </w:r>
      <w:r w:rsidR="0086418D">
        <w:rPr>
          <w:rFonts w:ascii="Times New Roman" w:eastAsia="Times New Roman" w:hAnsi="Times New Roman" w:cs="Times New Roman"/>
          <w:sz w:val="24"/>
          <w:szCs w:val="24"/>
          <w:lang w:val="it-IT"/>
        </w:rPr>
        <w:t xml:space="preserve">përmbajtjes së </w:t>
      </w:r>
      <w:r w:rsidRPr="00773E68">
        <w:rPr>
          <w:rFonts w:ascii="Times New Roman" w:eastAsia="Times New Roman" w:hAnsi="Times New Roman" w:cs="Times New Roman"/>
          <w:sz w:val="24"/>
          <w:szCs w:val="24"/>
          <w:lang w:val="it-IT"/>
        </w:rPr>
        <w:t>treguesëve. Kjo është normale pasi brenda territorit kemi patur një aktivitet më të lartë gjatë shfrytëzimit, ka grumbuj apo pirgje mbeturinash pas përpunimit të cilat kanë qënë të kontaminuara dhe me përqëndrim të lartë në disa nga metalet e rënda. Duke u larguar kemi një tende</w:t>
      </w:r>
      <w:r w:rsidR="00A71985">
        <w:rPr>
          <w:rFonts w:ascii="Times New Roman" w:eastAsia="Times New Roman" w:hAnsi="Times New Roman" w:cs="Times New Roman"/>
          <w:sz w:val="24"/>
          <w:szCs w:val="24"/>
          <w:lang w:val="it-IT"/>
        </w:rPr>
        <w:t>n</w:t>
      </w:r>
      <w:r w:rsidRPr="00773E68">
        <w:rPr>
          <w:rFonts w:ascii="Times New Roman" w:eastAsia="Times New Roman" w:hAnsi="Times New Roman" w:cs="Times New Roman"/>
          <w:sz w:val="24"/>
          <w:szCs w:val="24"/>
          <w:lang w:val="it-IT"/>
        </w:rPr>
        <w:t>cë në ulje të treguesëve, gjë që tregon që lëvizshmëria apo depozitimi në thellësi të tokës ësht</w:t>
      </w:r>
      <w:r w:rsidR="00A71985">
        <w:rPr>
          <w:rFonts w:ascii="Times New Roman" w:eastAsia="Times New Roman" w:hAnsi="Times New Roman" w:cs="Times New Roman"/>
          <w:sz w:val="24"/>
          <w:szCs w:val="24"/>
          <w:lang w:val="it-IT"/>
        </w:rPr>
        <w:t>ë më i vogël. K</w:t>
      </w:r>
      <w:r w:rsidRPr="00773E68">
        <w:rPr>
          <w:rFonts w:ascii="Times New Roman" w:eastAsia="Times New Roman" w:hAnsi="Times New Roman" w:cs="Times New Roman"/>
          <w:sz w:val="24"/>
          <w:szCs w:val="24"/>
          <w:lang w:val="it-IT"/>
        </w:rPr>
        <w:t>jo shpjegohet me tipin e tokës e cila përgjithësisht është argjilore dhe sipërfaqja është pak e pjerrët duke bërë të mundur lëvizshmërinë e shpejtë të ujërave të shiut.</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Për mostrat 2 dhe 4 si dhe pë</w:t>
      </w:r>
      <w:r w:rsidR="00A71985">
        <w:rPr>
          <w:rFonts w:ascii="Times New Roman" w:eastAsia="Times New Roman" w:hAnsi="Times New Roman" w:cs="Times New Roman"/>
          <w:sz w:val="24"/>
          <w:szCs w:val="24"/>
          <w:lang w:val="it-IT"/>
        </w:rPr>
        <w:t>r profilin 2 kemi tregues të ulë</w:t>
      </w:r>
      <w:r w:rsidRPr="00773E68">
        <w:rPr>
          <w:rFonts w:ascii="Times New Roman" w:eastAsia="Times New Roman" w:hAnsi="Times New Roman" w:cs="Times New Roman"/>
          <w:sz w:val="24"/>
          <w:szCs w:val="24"/>
          <w:lang w:val="it-IT"/>
        </w:rPr>
        <w:t>t të përqendrimit të metaleve</w:t>
      </w:r>
      <w:r w:rsidR="00A71985">
        <w:rPr>
          <w:rFonts w:ascii="Times New Roman" w:eastAsia="Times New Roman" w:hAnsi="Times New Roman" w:cs="Times New Roman"/>
          <w:sz w:val="24"/>
          <w:szCs w:val="24"/>
          <w:lang w:val="it-IT"/>
        </w:rPr>
        <w:t>.</w:t>
      </w:r>
      <w:r w:rsidRPr="00773E68">
        <w:rPr>
          <w:rFonts w:ascii="Times New Roman" w:eastAsia="Times New Roman" w:hAnsi="Times New Roman" w:cs="Times New Roman"/>
          <w:sz w:val="24"/>
          <w:szCs w:val="24"/>
          <w:lang w:val="it-IT"/>
        </w:rPr>
        <w:t xml:space="preserve"> Kjo për faktin që ato pika ndodhen jashtë territorit të minierës, në tokë bujqësore dhe mundësia e kontaminimit është e u</w:t>
      </w:r>
      <w:r w:rsidR="00A71985">
        <w:rPr>
          <w:rFonts w:ascii="Times New Roman" w:eastAsia="Times New Roman" w:hAnsi="Times New Roman" w:cs="Times New Roman"/>
          <w:sz w:val="24"/>
          <w:szCs w:val="24"/>
          <w:lang w:val="it-IT"/>
        </w:rPr>
        <w:t>lët pasi ato ndodhen në distancë</w:t>
      </w:r>
      <w:r w:rsidRPr="00773E68">
        <w:rPr>
          <w:rFonts w:ascii="Times New Roman" w:eastAsia="Times New Roman" w:hAnsi="Times New Roman" w:cs="Times New Roman"/>
          <w:sz w:val="24"/>
          <w:szCs w:val="24"/>
          <w:lang w:val="it-IT"/>
        </w:rPr>
        <w:t xml:space="preserve"> dhe ndërpriten nga rruga nacionale Përrenjas - Pogradec </w:t>
      </w:r>
      <w:r w:rsidR="00A71985">
        <w:rPr>
          <w:rFonts w:ascii="Times New Roman" w:eastAsia="Times New Roman" w:hAnsi="Times New Roman" w:cs="Times New Roman"/>
          <w:sz w:val="24"/>
          <w:szCs w:val="24"/>
          <w:lang w:val="it-IT"/>
        </w:rPr>
        <w:t>si dhe nga traseja e hekur</w:t>
      </w:r>
      <w:r w:rsidRPr="00773E68">
        <w:rPr>
          <w:rFonts w:ascii="Times New Roman" w:eastAsia="Times New Roman" w:hAnsi="Times New Roman" w:cs="Times New Roman"/>
          <w:sz w:val="24"/>
          <w:szCs w:val="24"/>
          <w:lang w:val="it-IT"/>
        </w:rPr>
        <w:t>udhës.</w:t>
      </w:r>
    </w:p>
    <w:p w:rsidR="00773E68" w:rsidRDefault="00773E68" w:rsidP="00773E68">
      <w:pPr>
        <w:spacing w:after="0" w:line="240" w:lineRule="auto"/>
        <w:jc w:val="both"/>
        <w:rPr>
          <w:rFonts w:ascii="Times New Roman" w:eastAsia="Times New Roman" w:hAnsi="Times New Roman" w:cs="Times New Roman"/>
          <w:b/>
          <w:sz w:val="24"/>
          <w:szCs w:val="24"/>
          <w:lang w:val="nn-NO"/>
        </w:rPr>
      </w:pPr>
    </w:p>
    <w:p w:rsidR="00290A95" w:rsidRPr="00773E68" w:rsidRDefault="00290A95" w:rsidP="00773E68">
      <w:pPr>
        <w:spacing w:after="0" w:line="240" w:lineRule="auto"/>
        <w:jc w:val="both"/>
        <w:rPr>
          <w:rFonts w:ascii="Times New Roman" w:eastAsia="Times New Roman" w:hAnsi="Times New Roman" w:cs="Times New Roman"/>
          <w:b/>
          <w:sz w:val="24"/>
          <w:szCs w:val="24"/>
          <w:lang w:val="nn-NO"/>
        </w:rPr>
      </w:pPr>
    </w:p>
    <w:p w:rsidR="00773E68" w:rsidRPr="00446FEB" w:rsidRDefault="00773E68" w:rsidP="00807975">
      <w:pPr>
        <w:pStyle w:val="ListParagraph"/>
        <w:numPr>
          <w:ilvl w:val="0"/>
          <w:numId w:val="101"/>
        </w:numPr>
        <w:spacing w:after="0" w:line="240" w:lineRule="auto"/>
        <w:jc w:val="both"/>
        <w:rPr>
          <w:rFonts w:ascii="Times New Roman" w:eastAsia="Times New Roman" w:hAnsi="Times New Roman" w:cs="Times New Roman"/>
          <w:b/>
          <w:sz w:val="24"/>
          <w:szCs w:val="24"/>
          <w:lang w:val="it-IT"/>
        </w:rPr>
      </w:pPr>
      <w:r w:rsidRPr="00446FEB">
        <w:rPr>
          <w:rFonts w:ascii="Times New Roman" w:eastAsia="Times New Roman" w:hAnsi="Times New Roman" w:cs="Times New Roman"/>
          <w:b/>
          <w:sz w:val="24"/>
          <w:szCs w:val="24"/>
          <w:lang w:val="nn-NO"/>
        </w:rPr>
        <w:t>Miniera</w:t>
      </w:r>
      <w:r w:rsidRPr="00446FEB">
        <w:rPr>
          <w:rFonts w:ascii="Times New Roman" w:eastAsia="Times New Roman" w:hAnsi="Times New Roman" w:cs="Times New Roman"/>
          <w:b/>
          <w:sz w:val="24"/>
          <w:szCs w:val="24"/>
          <w:lang w:val="it-IT"/>
        </w:rPr>
        <w:t xml:space="preserve"> e Hekur-Nikelit Pogradec</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 xml:space="preserve">Miniera e Hekur-Nikelit në Pogradec gjendet në hyrje të qytetit të Pogradecit, në vendin e quajtur Guri i Kuq, në të djathtë të rrugës nacionale Lin -Pogradec. </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 xml:space="preserve">Vetë nga emri Guri i Kuq tregon praninë e lartë të Nikelit dhe Hekurit, në trajtën </w:t>
      </w:r>
      <w:r w:rsidR="00A71985">
        <w:rPr>
          <w:rFonts w:ascii="Times New Roman" w:eastAsia="Times New Roman" w:hAnsi="Times New Roman" w:cs="Times New Roman"/>
          <w:sz w:val="24"/>
          <w:szCs w:val="24"/>
          <w:lang w:val="it-IT"/>
        </w:rPr>
        <w:t xml:space="preserve">e </w:t>
      </w:r>
      <w:r w:rsidRPr="00773E68">
        <w:rPr>
          <w:rFonts w:ascii="Times New Roman" w:eastAsia="Times New Roman" w:hAnsi="Times New Roman" w:cs="Times New Roman"/>
          <w:sz w:val="24"/>
          <w:szCs w:val="24"/>
          <w:lang w:val="it-IT"/>
        </w:rPr>
        <w:t>oksidit të hekurit, i cili ka ngjyrë të kuqër</w:t>
      </w:r>
      <w:r w:rsidR="00A71985">
        <w:rPr>
          <w:rFonts w:ascii="Times New Roman" w:eastAsia="Times New Roman" w:hAnsi="Times New Roman" w:cs="Times New Roman"/>
          <w:sz w:val="24"/>
          <w:szCs w:val="24"/>
          <w:lang w:val="it-IT"/>
        </w:rPr>
        <w:t>r</w:t>
      </w:r>
      <w:r w:rsidRPr="00773E68">
        <w:rPr>
          <w:rFonts w:ascii="Times New Roman" w:eastAsia="Times New Roman" w:hAnsi="Times New Roman" w:cs="Times New Roman"/>
          <w:sz w:val="24"/>
          <w:szCs w:val="24"/>
          <w:lang w:val="it-IT"/>
        </w:rPr>
        <w:t>emtë.</w:t>
      </w:r>
    </w:p>
    <w:p w:rsidR="00773E68" w:rsidRPr="00773E68" w:rsidRDefault="00A71985" w:rsidP="00773E68">
      <w:pPr>
        <w:spacing w:after="0" w:line="24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Bimësia është </w:t>
      </w:r>
      <w:r w:rsidR="00773E68" w:rsidRPr="00773E68">
        <w:rPr>
          <w:rFonts w:ascii="Times New Roman" w:eastAsia="Times New Roman" w:hAnsi="Times New Roman" w:cs="Times New Roman"/>
          <w:sz w:val="24"/>
          <w:szCs w:val="24"/>
          <w:lang w:val="it-IT"/>
        </w:rPr>
        <w:t xml:space="preserve"> jo shumë e larmishme, tipike e  zonës graminore, shkur</w:t>
      </w:r>
      <w:r>
        <w:rPr>
          <w:rFonts w:ascii="Times New Roman" w:eastAsia="Times New Roman" w:hAnsi="Times New Roman" w:cs="Times New Roman"/>
          <w:sz w:val="24"/>
          <w:szCs w:val="24"/>
          <w:lang w:val="it-IT"/>
        </w:rPr>
        <w:t>r</w:t>
      </w:r>
      <w:r w:rsidR="00773E68" w:rsidRPr="00773E68">
        <w:rPr>
          <w:rFonts w:ascii="Times New Roman" w:eastAsia="Times New Roman" w:hAnsi="Times New Roman" w:cs="Times New Roman"/>
          <w:sz w:val="24"/>
          <w:szCs w:val="24"/>
          <w:lang w:val="it-IT"/>
        </w:rPr>
        <w:t xml:space="preserve">e dhe disa pemë frutore. Toka është më shumë gurishtore me prezencë të gurëve në raport 25 – 30 %. </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D0337E" w:rsidRDefault="00681B50" w:rsidP="00D0337E">
      <w:pPr>
        <w:spacing w:after="0" w:line="240" w:lineRule="auto"/>
        <w:jc w:val="center"/>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Tabela 57</w:t>
      </w:r>
      <w:r w:rsidR="00773E68" w:rsidRPr="00D0337E">
        <w:rPr>
          <w:rFonts w:ascii="Times New Roman" w:eastAsia="Times New Roman" w:hAnsi="Times New Roman" w:cs="Times New Roman"/>
          <w:sz w:val="24"/>
          <w:szCs w:val="24"/>
          <w:lang w:val="it-IT"/>
        </w:rPr>
        <w:t xml:space="preserve">. </w:t>
      </w:r>
      <w:r w:rsidR="00D0337E" w:rsidRPr="00D0337E">
        <w:rPr>
          <w:rFonts w:ascii="Times New Roman" w:eastAsia="Times New Roman" w:hAnsi="Times New Roman" w:cs="Times New Roman"/>
          <w:sz w:val="24"/>
          <w:szCs w:val="24"/>
          <w:lang w:val="it-IT"/>
        </w:rPr>
        <w:t>R</w:t>
      </w:r>
      <w:r w:rsidR="00773E68" w:rsidRPr="00D0337E">
        <w:rPr>
          <w:rFonts w:ascii="Times New Roman" w:eastAsia="Times New Roman" w:hAnsi="Times New Roman" w:cs="Times New Roman"/>
          <w:sz w:val="24"/>
          <w:szCs w:val="24"/>
          <w:lang w:val="it-IT"/>
        </w:rPr>
        <w:t>ezultate të mostrave sipërfaqësore. Miniera e Hekur-Nikelit Pogradec (Guri i Kuq)</w:t>
      </w:r>
    </w:p>
    <w:p w:rsidR="00773E68" w:rsidRPr="00D0337E" w:rsidRDefault="00773E68" w:rsidP="00D0337E">
      <w:pPr>
        <w:spacing w:after="0" w:line="240" w:lineRule="auto"/>
        <w:jc w:val="center"/>
        <w:rPr>
          <w:rFonts w:ascii="Times New Roman" w:eastAsia="Times New Roman" w:hAnsi="Times New Roman" w:cs="Times New Roman"/>
          <w:sz w:val="24"/>
          <w:szCs w:val="24"/>
          <w:lang w:val="it-IT"/>
        </w:rPr>
      </w:pPr>
    </w:p>
    <w:tbl>
      <w:tblPr>
        <w:tblStyle w:val="TableGrid3"/>
        <w:tblW w:w="9793" w:type="dxa"/>
        <w:jc w:val="center"/>
        <w:tblLayout w:type="fixed"/>
        <w:tblLook w:val="04A0" w:firstRow="1" w:lastRow="0" w:firstColumn="1" w:lastColumn="0" w:noHBand="0" w:noVBand="1"/>
      </w:tblPr>
      <w:tblGrid>
        <w:gridCol w:w="1387"/>
        <w:gridCol w:w="1034"/>
        <w:gridCol w:w="1701"/>
        <w:gridCol w:w="709"/>
        <w:gridCol w:w="708"/>
        <w:gridCol w:w="709"/>
        <w:gridCol w:w="709"/>
        <w:gridCol w:w="850"/>
        <w:gridCol w:w="920"/>
        <w:gridCol w:w="1066"/>
      </w:tblGrid>
      <w:tr w:rsidR="00773E68" w:rsidRPr="00773E68" w:rsidTr="00D0337E">
        <w:trPr>
          <w:jc w:val="center"/>
        </w:trPr>
        <w:tc>
          <w:tcPr>
            <w:tcW w:w="1387" w:type="dxa"/>
            <w:vMerge w:val="restart"/>
          </w:tcPr>
          <w:p w:rsidR="00773E68" w:rsidRPr="00D0337E" w:rsidRDefault="00773E68" w:rsidP="00773E68">
            <w:pPr>
              <w:jc w:val="both"/>
              <w:rPr>
                <w:rFonts w:ascii="Times New Roman" w:eastAsia="Times New Roman" w:hAnsi="Times New Roman" w:cs="Times New Roman"/>
                <w:b/>
                <w:sz w:val="20"/>
                <w:szCs w:val="20"/>
                <w:lang w:val="it-IT"/>
              </w:rPr>
            </w:pPr>
          </w:p>
          <w:p w:rsidR="00773E68" w:rsidRPr="00D0337E" w:rsidRDefault="00D0337E" w:rsidP="00773E68">
            <w:pPr>
              <w:jc w:val="both"/>
              <w:rPr>
                <w:rFonts w:ascii="Times New Roman" w:eastAsia="Times New Roman" w:hAnsi="Times New Roman" w:cs="Times New Roman"/>
                <w:b/>
                <w:sz w:val="20"/>
                <w:szCs w:val="20"/>
                <w:lang w:val="it-IT"/>
              </w:rPr>
            </w:pPr>
            <w:r w:rsidRPr="00D0337E">
              <w:rPr>
                <w:rFonts w:ascii="Times New Roman" w:eastAsia="Times New Roman" w:hAnsi="Times New Roman" w:cs="Times New Roman"/>
                <w:b/>
                <w:sz w:val="20"/>
                <w:szCs w:val="20"/>
                <w:lang w:val="it-IT"/>
              </w:rPr>
              <w:t>Vendi</w:t>
            </w:r>
          </w:p>
        </w:tc>
        <w:tc>
          <w:tcPr>
            <w:tcW w:w="1034" w:type="dxa"/>
            <w:vMerge w:val="restart"/>
          </w:tcPr>
          <w:p w:rsidR="00773E68" w:rsidRPr="00D0337E" w:rsidRDefault="00773E68" w:rsidP="00773E68">
            <w:pPr>
              <w:jc w:val="both"/>
              <w:rPr>
                <w:rFonts w:ascii="Times New Roman" w:eastAsia="Times New Roman" w:hAnsi="Times New Roman" w:cs="Times New Roman"/>
                <w:b/>
                <w:sz w:val="20"/>
                <w:szCs w:val="20"/>
                <w:lang w:val="it-IT"/>
              </w:rPr>
            </w:pPr>
          </w:p>
          <w:p w:rsidR="00773E68" w:rsidRPr="00D0337E" w:rsidRDefault="00D0337E" w:rsidP="00773E68">
            <w:pPr>
              <w:jc w:val="both"/>
              <w:rPr>
                <w:rFonts w:ascii="Times New Roman" w:eastAsia="Times New Roman" w:hAnsi="Times New Roman" w:cs="Times New Roman"/>
                <w:b/>
                <w:sz w:val="20"/>
                <w:szCs w:val="20"/>
                <w:lang w:val="it-IT"/>
              </w:rPr>
            </w:pPr>
            <w:r w:rsidRPr="00D0337E">
              <w:rPr>
                <w:rFonts w:ascii="Times New Roman" w:eastAsia="Times New Roman" w:hAnsi="Times New Roman" w:cs="Times New Roman"/>
                <w:b/>
                <w:sz w:val="20"/>
                <w:szCs w:val="20"/>
                <w:lang w:val="it-IT"/>
              </w:rPr>
              <w:t>Tre</w:t>
            </w:r>
            <w:r>
              <w:rPr>
                <w:rFonts w:ascii="Times New Roman" w:eastAsia="Times New Roman" w:hAnsi="Times New Roman" w:cs="Times New Roman"/>
                <w:b/>
                <w:sz w:val="20"/>
                <w:szCs w:val="20"/>
                <w:lang w:val="it-IT"/>
              </w:rPr>
              <w:t>gues</w:t>
            </w:r>
          </w:p>
        </w:tc>
        <w:tc>
          <w:tcPr>
            <w:tcW w:w="1701" w:type="dxa"/>
            <w:vMerge w:val="restart"/>
          </w:tcPr>
          <w:p w:rsidR="00773E68" w:rsidRPr="00D0337E" w:rsidRDefault="00773E68" w:rsidP="00773E68">
            <w:pPr>
              <w:jc w:val="both"/>
              <w:rPr>
                <w:rFonts w:ascii="Times New Roman" w:eastAsia="Times New Roman" w:hAnsi="Times New Roman" w:cs="Times New Roman"/>
                <w:b/>
                <w:sz w:val="20"/>
                <w:szCs w:val="20"/>
                <w:lang w:val="it-IT"/>
              </w:rPr>
            </w:pPr>
          </w:p>
          <w:p w:rsidR="00773E68" w:rsidRPr="00D0337E" w:rsidRDefault="00D0337E" w:rsidP="00773E68">
            <w:pPr>
              <w:jc w:val="both"/>
              <w:rPr>
                <w:rFonts w:ascii="Times New Roman" w:eastAsia="Times New Roman" w:hAnsi="Times New Roman" w:cs="Times New Roman"/>
                <w:b/>
                <w:sz w:val="20"/>
                <w:szCs w:val="20"/>
                <w:lang w:val="it-IT"/>
              </w:rPr>
            </w:pPr>
            <w:r w:rsidRPr="00D0337E">
              <w:rPr>
                <w:rFonts w:ascii="Times New Roman" w:eastAsia="Times New Roman" w:hAnsi="Times New Roman" w:cs="Times New Roman"/>
                <w:b/>
                <w:sz w:val="20"/>
                <w:szCs w:val="20"/>
                <w:lang w:val="it-IT"/>
              </w:rPr>
              <w:t>Nj. Matjes</w:t>
            </w:r>
          </w:p>
        </w:tc>
        <w:tc>
          <w:tcPr>
            <w:tcW w:w="709" w:type="dxa"/>
            <w:vMerge w:val="restart"/>
          </w:tcPr>
          <w:p w:rsidR="00773E68" w:rsidRPr="00D0337E" w:rsidRDefault="00D0337E" w:rsidP="00773E68">
            <w:pPr>
              <w:jc w:val="both"/>
              <w:rPr>
                <w:rFonts w:ascii="Times New Roman" w:eastAsia="Times New Roman" w:hAnsi="Times New Roman" w:cs="Times New Roman"/>
                <w:b/>
                <w:sz w:val="20"/>
                <w:szCs w:val="20"/>
                <w:lang w:val="it-IT"/>
              </w:rPr>
            </w:pPr>
            <w:r w:rsidRPr="00D0337E">
              <w:rPr>
                <w:rFonts w:ascii="Times New Roman" w:eastAsia="Times New Roman" w:hAnsi="Times New Roman" w:cs="Times New Roman"/>
                <w:b/>
                <w:sz w:val="20"/>
                <w:szCs w:val="20"/>
                <w:lang w:val="it-IT"/>
              </w:rPr>
              <w:t>Limit</w:t>
            </w:r>
          </w:p>
        </w:tc>
        <w:tc>
          <w:tcPr>
            <w:tcW w:w="4962" w:type="dxa"/>
            <w:gridSpan w:val="6"/>
          </w:tcPr>
          <w:p w:rsidR="00773E68" w:rsidRPr="00D0337E" w:rsidRDefault="00773E68" w:rsidP="00773E68">
            <w:pPr>
              <w:jc w:val="both"/>
              <w:rPr>
                <w:rFonts w:ascii="Times New Roman" w:eastAsia="Times New Roman" w:hAnsi="Times New Roman" w:cs="Times New Roman"/>
                <w:b/>
                <w:sz w:val="20"/>
                <w:szCs w:val="20"/>
                <w:lang w:val="it-IT"/>
              </w:rPr>
            </w:pPr>
            <w:r w:rsidRPr="00D0337E">
              <w:rPr>
                <w:rFonts w:ascii="Times New Roman" w:eastAsia="Times New Roman" w:hAnsi="Times New Roman" w:cs="Times New Roman"/>
                <w:b/>
                <w:sz w:val="20"/>
                <w:szCs w:val="20"/>
                <w:lang w:val="it-IT"/>
              </w:rPr>
              <w:t>REZULTATET</w:t>
            </w:r>
          </w:p>
        </w:tc>
      </w:tr>
      <w:tr w:rsidR="00773E68" w:rsidRPr="00773E68" w:rsidTr="00D0337E">
        <w:trPr>
          <w:jc w:val="center"/>
        </w:trPr>
        <w:tc>
          <w:tcPr>
            <w:tcW w:w="1387" w:type="dxa"/>
            <w:vMerge/>
          </w:tcPr>
          <w:p w:rsidR="00773E68" w:rsidRPr="00D0337E" w:rsidRDefault="00773E68" w:rsidP="00773E68">
            <w:pPr>
              <w:jc w:val="both"/>
              <w:rPr>
                <w:rFonts w:ascii="Times New Roman" w:eastAsia="Times New Roman" w:hAnsi="Times New Roman" w:cs="Times New Roman"/>
                <w:b/>
                <w:sz w:val="20"/>
                <w:szCs w:val="20"/>
                <w:lang w:val="it-IT"/>
              </w:rPr>
            </w:pPr>
          </w:p>
        </w:tc>
        <w:tc>
          <w:tcPr>
            <w:tcW w:w="1034" w:type="dxa"/>
            <w:vMerge/>
          </w:tcPr>
          <w:p w:rsidR="00773E68" w:rsidRPr="00D0337E" w:rsidRDefault="00773E68" w:rsidP="00773E68">
            <w:pPr>
              <w:jc w:val="both"/>
              <w:rPr>
                <w:rFonts w:ascii="Times New Roman" w:eastAsia="Times New Roman" w:hAnsi="Times New Roman" w:cs="Times New Roman"/>
                <w:b/>
                <w:sz w:val="20"/>
                <w:szCs w:val="20"/>
                <w:lang w:val="it-IT"/>
              </w:rPr>
            </w:pPr>
          </w:p>
        </w:tc>
        <w:tc>
          <w:tcPr>
            <w:tcW w:w="1701" w:type="dxa"/>
            <w:vMerge/>
          </w:tcPr>
          <w:p w:rsidR="00773E68" w:rsidRPr="00D0337E" w:rsidRDefault="00773E68" w:rsidP="00773E68">
            <w:pPr>
              <w:jc w:val="both"/>
              <w:rPr>
                <w:rFonts w:ascii="Times New Roman" w:eastAsia="Times New Roman" w:hAnsi="Times New Roman" w:cs="Times New Roman"/>
                <w:b/>
                <w:sz w:val="20"/>
                <w:szCs w:val="20"/>
                <w:lang w:val="it-IT"/>
              </w:rPr>
            </w:pPr>
          </w:p>
        </w:tc>
        <w:tc>
          <w:tcPr>
            <w:tcW w:w="709" w:type="dxa"/>
            <w:vMerge/>
          </w:tcPr>
          <w:p w:rsidR="00773E68" w:rsidRPr="00D0337E" w:rsidRDefault="00773E68" w:rsidP="00773E68">
            <w:pPr>
              <w:jc w:val="both"/>
              <w:rPr>
                <w:rFonts w:ascii="Times New Roman" w:eastAsia="Times New Roman" w:hAnsi="Times New Roman" w:cs="Times New Roman"/>
                <w:b/>
                <w:sz w:val="20"/>
                <w:szCs w:val="20"/>
                <w:lang w:val="it-IT"/>
              </w:rPr>
            </w:pPr>
          </w:p>
        </w:tc>
        <w:tc>
          <w:tcPr>
            <w:tcW w:w="708" w:type="dxa"/>
          </w:tcPr>
          <w:p w:rsidR="00773E68" w:rsidRPr="00D0337E" w:rsidRDefault="00773E68" w:rsidP="00773E68">
            <w:pPr>
              <w:jc w:val="both"/>
              <w:rPr>
                <w:rFonts w:ascii="Times New Roman" w:eastAsia="Times New Roman" w:hAnsi="Times New Roman" w:cs="Times New Roman"/>
                <w:b/>
                <w:sz w:val="20"/>
                <w:szCs w:val="20"/>
                <w:lang w:val="it-IT"/>
              </w:rPr>
            </w:pPr>
            <w:r w:rsidRPr="00D0337E">
              <w:rPr>
                <w:rFonts w:ascii="Times New Roman" w:eastAsia="Times New Roman" w:hAnsi="Times New Roman" w:cs="Times New Roman"/>
                <w:b/>
                <w:sz w:val="20"/>
                <w:szCs w:val="20"/>
                <w:lang w:val="it-IT"/>
              </w:rPr>
              <w:t xml:space="preserve">M. 1   0–30 </w:t>
            </w:r>
          </w:p>
        </w:tc>
        <w:tc>
          <w:tcPr>
            <w:tcW w:w="709" w:type="dxa"/>
          </w:tcPr>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lang w:val="it-IT"/>
              </w:rPr>
              <w:t xml:space="preserve">M.   </w:t>
            </w:r>
            <w:r w:rsidRPr="00D0337E">
              <w:rPr>
                <w:rFonts w:ascii="Times New Roman" w:eastAsia="Times New Roman" w:hAnsi="Times New Roman" w:cs="Times New Roman"/>
                <w:b/>
                <w:sz w:val="20"/>
                <w:szCs w:val="20"/>
              </w:rPr>
              <w:t xml:space="preserve">2 0–30 </w:t>
            </w:r>
          </w:p>
        </w:tc>
        <w:tc>
          <w:tcPr>
            <w:tcW w:w="709" w:type="dxa"/>
          </w:tcPr>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M  3</w:t>
            </w:r>
          </w:p>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0 - 30</w:t>
            </w:r>
          </w:p>
        </w:tc>
        <w:tc>
          <w:tcPr>
            <w:tcW w:w="850" w:type="dxa"/>
          </w:tcPr>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 xml:space="preserve">M.  4 </w:t>
            </w:r>
          </w:p>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 xml:space="preserve">0–30 </w:t>
            </w:r>
          </w:p>
          <w:p w:rsidR="00773E68" w:rsidRPr="00D0337E" w:rsidRDefault="00773E68" w:rsidP="00773E68">
            <w:pPr>
              <w:jc w:val="both"/>
              <w:rPr>
                <w:rFonts w:ascii="Times New Roman" w:eastAsia="Times New Roman" w:hAnsi="Times New Roman" w:cs="Times New Roman"/>
                <w:b/>
                <w:sz w:val="20"/>
                <w:szCs w:val="20"/>
              </w:rPr>
            </w:pPr>
          </w:p>
        </w:tc>
        <w:tc>
          <w:tcPr>
            <w:tcW w:w="920" w:type="dxa"/>
          </w:tcPr>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M. 5</w:t>
            </w:r>
          </w:p>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0 - 30</w:t>
            </w:r>
          </w:p>
        </w:tc>
        <w:tc>
          <w:tcPr>
            <w:tcW w:w="1066" w:type="dxa"/>
          </w:tcPr>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M. 6</w:t>
            </w:r>
          </w:p>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0 – 30</w:t>
            </w:r>
          </w:p>
        </w:tc>
      </w:tr>
      <w:tr w:rsidR="00773E68" w:rsidRPr="00773E68" w:rsidTr="00D0337E">
        <w:trPr>
          <w:trHeight w:val="134"/>
          <w:jc w:val="center"/>
        </w:trPr>
        <w:tc>
          <w:tcPr>
            <w:tcW w:w="1387" w:type="dxa"/>
            <w:vMerge w:val="restart"/>
          </w:tcPr>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Miniera  Hekur -</w:t>
            </w:r>
          </w:p>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Nikelit</w:t>
            </w:r>
          </w:p>
          <w:p w:rsidR="00773E68" w:rsidRPr="00773E68" w:rsidRDefault="00773E68" w:rsidP="00773E68">
            <w:pPr>
              <w:jc w:val="both"/>
              <w:rPr>
                <w:rFonts w:ascii="Times New Roman" w:eastAsia="Times New Roman" w:hAnsi="Times New Roman" w:cs="Times New Roman"/>
                <w:b/>
                <w:sz w:val="24"/>
                <w:szCs w:val="24"/>
              </w:rPr>
            </w:pPr>
            <w:r w:rsidRPr="00773E68">
              <w:rPr>
                <w:rFonts w:ascii="Times New Roman" w:eastAsia="Times New Roman" w:hAnsi="Times New Roman" w:cs="Times New Roman"/>
                <w:sz w:val="24"/>
                <w:szCs w:val="24"/>
              </w:rPr>
              <w:t>Pogradec</w:t>
            </w: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p w:rsidR="00773E68" w:rsidRPr="00773E68" w:rsidRDefault="00773E68" w:rsidP="00773E68">
            <w:pPr>
              <w:jc w:val="both"/>
              <w:rPr>
                <w:rFonts w:ascii="Times New Roman" w:eastAsia="Times New Roman" w:hAnsi="Times New Roman" w:cs="Times New Roman"/>
                <w:b/>
                <w:sz w:val="24"/>
                <w:szCs w:val="24"/>
              </w:rPr>
            </w:pPr>
          </w:p>
        </w:tc>
        <w:tc>
          <w:tcPr>
            <w:tcW w:w="1034"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lastRenderedPageBreak/>
              <w:t>Cd</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0.84</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0.87</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0.99</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0.82</w:t>
            </w:r>
          </w:p>
        </w:tc>
        <w:tc>
          <w:tcPr>
            <w:tcW w:w="92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0.87</w:t>
            </w:r>
          </w:p>
        </w:tc>
        <w:tc>
          <w:tcPr>
            <w:tcW w:w="106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0.93</w:t>
            </w:r>
          </w:p>
        </w:tc>
      </w:tr>
      <w:tr w:rsidR="00773E68" w:rsidRPr="00773E68" w:rsidTr="00D0337E">
        <w:trPr>
          <w:jc w:val="center"/>
        </w:trPr>
        <w:tc>
          <w:tcPr>
            <w:tcW w:w="1387" w:type="dxa"/>
            <w:vMerge/>
          </w:tcPr>
          <w:p w:rsidR="00773E68" w:rsidRPr="00773E68" w:rsidRDefault="00773E68" w:rsidP="00773E68">
            <w:pPr>
              <w:jc w:val="both"/>
              <w:rPr>
                <w:rFonts w:ascii="Times New Roman" w:eastAsia="Times New Roman" w:hAnsi="Times New Roman" w:cs="Times New Roman"/>
                <w:b/>
                <w:sz w:val="24"/>
                <w:szCs w:val="24"/>
              </w:rPr>
            </w:pPr>
          </w:p>
        </w:tc>
        <w:tc>
          <w:tcPr>
            <w:tcW w:w="1034"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2.45</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2.51</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2.23</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2.11</w:t>
            </w:r>
          </w:p>
        </w:tc>
        <w:tc>
          <w:tcPr>
            <w:tcW w:w="92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1.98</w:t>
            </w:r>
          </w:p>
        </w:tc>
        <w:tc>
          <w:tcPr>
            <w:tcW w:w="106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2.03</w:t>
            </w:r>
          </w:p>
        </w:tc>
      </w:tr>
      <w:tr w:rsidR="00773E68" w:rsidRPr="00773E68" w:rsidTr="00D0337E">
        <w:trPr>
          <w:jc w:val="center"/>
        </w:trPr>
        <w:tc>
          <w:tcPr>
            <w:tcW w:w="1387" w:type="dxa"/>
            <w:vMerge/>
          </w:tcPr>
          <w:p w:rsidR="00773E68" w:rsidRPr="00773E68" w:rsidRDefault="00773E68" w:rsidP="00773E68">
            <w:pPr>
              <w:jc w:val="both"/>
              <w:rPr>
                <w:rFonts w:ascii="Times New Roman" w:eastAsia="Times New Roman" w:hAnsi="Times New Roman" w:cs="Times New Roman"/>
                <w:b/>
                <w:sz w:val="24"/>
                <w:szCs w:val="24"/>
              </w:rPr>
            </w:pPr>
          </w:p>
        </w:tc>
        <w:tc>
          <w:tcPr>
            <w:tcW w:w="1034"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1.27</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1.19</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1.14</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1.10</w:t>
            </w:r>
          </w:p>
        </w:tc>
        <w:tc>
          <w:tcPr>
            <w:tcW w:w="92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1.05</w:t>
            </w:r>
          </w:p>
        </w:tc>
        <w:tc>
          <w:tcPr>
            <w:tcW w:w="106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1.19</w:t>
            </w:r>
          </w:p>
        </w:tc>
      </w:tr>
      <w:tr w:rsidR="00773E68" w:rsidRPr="00773E68" w:rsidTr="00D0337E">
        <w:trPr>
          <w:jc w:val="center"/>
        </w:trPr>
        <w:tc>
          <w:tcPr>
            <w:tcW w:w="1387" w:type="dxa"/>
            <w:vMerge/>
          </w:tcPr>
          <w:p w:rsidR="00773E68" w:rsidRPr="00773E68" w:rsidRDefault="00773E68" w:rsidP="00773E68">
            <w:pPr>
              <w:jc w:val="both"/>
              <w:rPr>
                <w:rFonts w:ascii="Times New Roman" w:eastAsia="Times New Roman" w:hAnsi="Times New Roman" w:cs="Times New Roman"/>
                <w:b/>
                <w:sz w:val="24"/>
                <w:szCs w:val="24"/>
              </w:rPr>
            </w:pPr>
          </w:p>
        </w:tc>
        <w:tc>
          <w:tcPr>
            <w:tcW w:w="1034"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35.1</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39.7</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23.4</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21.99</w:t>
            </w:r>
          </w:p>
        </w:tc>
        <w:tc>
          <w:tcPr>
            <w:tcW w:w="92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21.27</w:t>
            </w:r>
          </w:p>
        </w:tc>
        <w:tc>
          <w:tcPr>
            <w:tcW w:w="106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21.59</w:t>
            </w:r>
          </w:p>
        </w:tc>
      </w:tr>
      <w:tr w:rsidR="00773E68" w:rsidRPr="00773E68" w:rsidTr="00D0337E">
        <w:trPr>
          <w:jc w:val="center"/>
        </w:trPr>
        <w:tc>
          <w:tcPr>
            <w:tcW w:w="1387" w:type="dxa"/>
            <w:vMerge/>
          </w:tcPr>
          <w:p w:rsidR="00773E68" w:rsidRPr="00773E68" w:rsidRDefault="00773E68" w:rsidP="00773E68">
            <w:pPr>
              <w:jc w:val="both"/>
              <w:rPr>
                <w:rFonts w:ascii="Times New Roman" w:eastAsia="Times New Roman" w:hAnsi="Times New Roman" w:cs="Times New Roman"/>
                <w:b/>
                <w:sz w:val="24"/>
                <w:szCs w:val="24"/>
              </w:rPr>
            </w:pPr>
          </w:p>
        </w:tc>
        <w:tc>
          <w:tcPr>
            <w:tcW w:w="1034"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0.11</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0.12</w:t>
            </w:r>
          </w:p>
        </w:tc>
        <w:tc>
          <w:tcPr>
            <w:tcW w:w="92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w:t>
            </w:r>
          </w:p>
        </w:tc>
        <w:tc>
          <w:tcPr>
            <w:tcW w:w="106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0.10</w:t>
            </w:r>
          </w:p>
        </w:tc>
      </w:tr>
      <w:tr w:rsidR="00773E68" w:rsidRPr="00773E68" w:rsidTr="00D0337E">
        <w:trPr>
          <w:jc w:val="center"/>
        </w:trPr>
        <w:tc>
          <w:tcPr>
            <w:tcW w:w="1387" w:type="dxa"/>
            <w:vMerge/>
          </w:tcPr>
          <w:p w:rsidR="00773E68" w:rsidRPr="00773E68" w:rsidRDefault="00773E68" w:rsidP="00773E68">
            <w:pPr>
              <w:jc w:val="both"/>
              <w:rPr>
                <w:rFonts w:ascii="Times New Roman" w:eastAsia="Times New Roman" w:hAnsi="Times New Roman" w:cs="Times New Roman"/>
                <w:b/>
                <w:sz w:val="24"/>
                <w:szCs w:val="24"/>
              </w:rPr>
            </w:pPr>
          </w:p>
        </w:tc>
        <w:tc>
          <w:tcPr>
            <w:tcW w:w="1034"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0.83</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0.82</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0.80</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0.76</w:t>
            </w:r>
          </w:p>
        </w:tc>
        <w:tc>
          <w:tcPr>
            <w:tcW w:w="92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0.71</w:t>
            </w:r>
          </w:p>
        </w:tc>
        <w:tc>
          <w:tcPr>
            <w:tcW w:w="106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0.65</w:t>
            </w:r>
          </w:p>
        </w:tc>
      </w:tr>
      <w:tr w:rsidR="00773E68" w:rsidRPr="00773E68" w:rsidTr="00D0337E">
        <w:trPr>
          <w:jc w:val="center"/>
        </w:trPr>
        <w:tc>
          <w:tcPr>
            <w:tcW w:w="1387" w:type="dxa"/>
            <w:vMerge/>
          </w:tcPr>
          <w:p w:rsidR="00773E68" w:rsidRPr="00773E68" w:rsidRDefault="00773E68" w:rsidP="00773E68">
            <w:pPr>
              <w:jc w:val="both"/>
              <w:rPr>
                <w:rFonts w:ascii="Times New Roman" w:eastAsia="Times New Roman" w:hAnsi="Times New Roman" w:cs="Times New Roman"/>
                <w:b/>
                <w:sz w:val="24"/>
                <w:szCs w:val="24"/>
              </w:rPr>
            </w:pPr>
          </w:p>
        </w:tc>
        <w:tc>
          <w:tcPr>
            <w:tcW w:w="1034"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Mn</w:t>
            </w:r>
          </w:p>
        </w:tc>
        <w:tc>
          <w:tcPr>
            <w:tcW w:w="1701"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708"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18.94</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17.54</w:t>
            </w:r>
          </w:p>
        </w:tc>
        <w:tc>
          <w:tcPr>
            <w:tcW w:w="709"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16.51</w:t>
            </w:r>
          </w:p>
        </w:tc>
        <w:tc>
          <w:tcPr>
            <w:tcW w:w="85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16.97</w:t>
            </w:r>
          </w:p>
        </w:tc>
        <w:tc>
          <w:tcPr>
            <w:tcW w:w="920"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17.52</w:t>
            </w:r>
          </w:p>
        </w:tc>
        <w:tc>
          <w:tcPr>
            <w:tcW w:w="1066"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17.21</w:t>
            </w:r>
          </w:p>
        </w:tc>
      </w:tr>
    </w:tbl>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D0337E" w:rsidRDefault="00681B50" w:rsidP="00D0337E">
      <w:pPr>
        <w:spacing w:after="0" w:line="240" w:lineRule="auto"/>
        <w:jc w:val="center"/>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Tabela 58</w:t>
      </w:r>
      <w:r w:rsidR="00773E68" w:rsidRPr="00D0337E">
        <w:rPr>
          <w:rFonts w:ascii="Times New Roman" w:eastAsia="Times New Roman" w:hAnsi="Times New Roman" w:cs="Times New Roman"/>
          <w:sz w:val="24"/>
          <w:szCs w:val="24"/>
          <w:lang w:val="it-IT"/>
        </w:rPr>
        <w:t>. R</w:t>
      </w:r>
      <w:r w:rsidR="00A71985">
        <w:rPr>
          <w:rFonts w:ascii="Times New Roman" w:eastAsia="Times New Roman" w:hAnsi="Times New Roman" w:cs="Times New Roman"/>
          <w:sz w:val="24"/>
          <w:szCs w:val="24"/>
          <w:lang w:val="it-IT"/>
        </w:rPr>
        <w:t>ezultatet për p</w:t>
      </w:r>
      <w:r w:rsidR="00773E68" w:rsidRPr="00D0337E">
        <w:rPr>
          <w:rFonts w:ascii="Times New Roman" w:eastAsia="Times New Roman" w:hAnsi="Times New Roman" w:cs="Times New Roman"/>
          <w:sz w:val="24"/>
          <w:szCs w:val="24"/>
          <w:lang w:val="it-IT"/>
        </w:rPr>
        <w:t>rofilet Miniera e Hekur-Nikelit Pogradec (Guri i Kuq)</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tbl>
      <w:tblPr>
        <w:tblStyle w:val="TableGrid3"/>
        <w:tblW w:w="10350" w:type="dxa"/>
        <w:tblInd w:w="-342" w:type="dxa"/>
        <w:tblLayout w:type="fixed"/>
        <w:tblLook w:val="04A0" w:firstRow="1" w:lastRow="0" w:firstColumn="1" w:lastColumn="0" w:noHBand="0" w:noVBand="1"/>
      </w:tblPr>
      <w:tblGrid>
        <w:gridCol w:w="1170"/>
        <w:gridCol w:w="990"/>
        <w:gridCol w:w="1409"/>
        <w:gridCol w:w="709"/>
        <w:gridCol w:w="992"/>
        <w:gridCol w:w="992"/>
        <w:gridCol w:w="992"/>
        <w:gridCol w:w="993"/>
        <w:gridCol w:w="992"/>
        <w:gridCol w:w="1111"/>
      </w:tblGrid>
      <w:tr w:rsidR="00773E68" w:rsidRPr="00773E68" w:rsidTr="00D0337E">
        <w:tc>
          <w:tcPr>
            <w:tcW w:w="1170" w:type="dxa"/>
            <w:vMerge w:val="restart"/>
          </w:tcPr>
          <w:p w:rsidR="00773E68" w:rsidRPr="00D0337E" w:rsidRDefault="00773E68" w:rsidP="00773E68">
            <w:pPr>
              <w:jc w:val="both"/>
              <w:rPr>
                <w:rFonts w:ascii="Times New Roman" w:eastAsia="Times New Roman" w:hAnsi="Times New Roman" w:cs="Times New Roman"/>
                <w:b/>
                <w:sz w:val="20"/>
                <w:szCs w:val="20"/>
                <w:lang w:val="nn-NO"/>
              </w:rPr>
            </w:pPr>
          </w:p>
          <w:p w:rsidR="00773E68" w:rsidRPr="00D0337E" w:rsidRDefault="00D0337E"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Vendi</w:t>
            </w:r>
          </w:p>
        </w:tc>
        <w:tc>
          <w:tcPr>
            <w:tcW w:w="990" w:type="dxa"/>
            <w:vMerge w:val="restart"/>
          </w:tcPr>
          <w:p w:rsidR="00773E68" w:rsidRPr="00D0337E" w:rsidRDefault="00773E68" w:rsidP="00773E68">
            <w:pPr>
              <w:jc w:val="both"/>
              <w:rPr>
                <w:rFonts w:ascii="Times New Roman" w:eastAsia="Times New Roman" w:hAnsi="Times New Roman" w:cs="Times New Roman"/>
                <w:b/>
                <w:sz w:val="20"/>
                <w:szCs w:val="20"/>
              </w:rPr>
            </w:pPr>
          </w:p>
          <w:p w:rsidR="00773E68" w:rsidRPr="00D0337E" w:rsidRDefault="00D0337E"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Tre</w:t>
            </w:r>
            <w:r>
              <w:rPr>
                <w:rFonts w:ascii="Times New Roman" w:eastAsia="Times New Roman" w:hAnsi="Times New Roman" w:cs="Times New Roman"/>
                <w:b/>
                <w:sz w:val="20"/>
                <w:szCs w:val="20"/>
              </w:rPr>
              <w:t>gues</w:t>
            </w:r>
          </w:p>
        </w:tc>
        <w:tc>
          <w:tcPr>
            <w:tcW w:w="1409" w:type="dxa"/>
            <w:vMerge w:val="restart"/>
          </w:tcPr>
          <w:p w:rsidR="00773E68" w:rsidRPr="00D0337E" w:rsidRDefault="00773E68" w:rsidP="00773E68">
            <w:pPr>
              <w:jc w:val="both"/>
              <w:rPr>
                <w:rFonts w:ascii="Times New Roman" w:eastAsia="Times New Roman" w:hAnsi="Times New Roman" w:cs="Times New Roman"/>
                <w:b/>
                <w:sz w:val="20"/>
                <w:szCs w:val="20"/>
              </w:rPr>
            </w:pPr>
          </w:p>
          <w:p w:rsidR="00773E68" w:rsidRPr="00D0337E" w:rsidRDefault="00D0337E"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Nj. Matjes</w:t>
            </w:r>
          </w:p>
        </w:tc>
        <w:tc>
          <w:tcPr>
            <w:tcW w:w="709" w:type="dxa"/>
            <w:vMerge w:val="restart"/>
          </w:tcPr>
          <w:p w:rsidR="00773E68" w:rsidRPr="00D0337E" w:rsidRDefault="00D0337E"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Limit</w:t>
            </w:r>
          </w:p>
        </w:tc>
        <w:tc>
          <w:tcPr>
            <w:tcW w:w="6072" w:type="dxa"/>
            <w:gridSpan w:val="6"/>
          </w:tcPr>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REZULTATET PËR PROFILET</w:t>
            </w:r>
          </w:p>
        </w:tc>
      </w:tr>
      <w:tr w:rsidR="00773E68" w:rsidRPr="00773E68" w:rsidTr="00D0337E">
        <w:tc>
          <w:tcPr>
            <w:tcW w:w="1170" w:type="dxa"/>
            <w:vMerge/>
          </w:tcPr>
          <w:p w:rsidR="00773E68" w:rsidRPr="00D0337E" w:rsidRDefault="00773E68" w:rsidP="00773E68">
            <w:pPr>
              <w:jc w:val="both"/>
              <w:rPr>
                <w:rFonts w:ascii="Times New Roman" w:eastAsia="Times New Roman" w:hAnsi="Times New Roman" w:cs="Times New Roman"/>
                <w:b/>
                <w:sz w:val="20"/>
                <w:szCs w:val="20"/>
              </w:rPr>
            </w:pPr>
          </w:p>
        </w:tc>
        <w:tc>
          <w:tcPr>
            <w:tcW w:w="990" w:type="dxa"/>
            <w:vMerge/>
          </w:tcPr>
          <w:p w:rsidR="00773E68" w:rsidRPr="00D0337E" w:rsidRDefault="00773E68" w:rsidP="00773E68">
            <w:pPr>
              <w:jc w:val="both"/>
              <w:rPr>
                <w:rFonts w:ascii="Times New Roman" w:eastAsia="Times New Roman" w:hAnsi="Times New Roman" w:cs="Times New Roman"/>
                <w:b/>
                <w:sz w:val="20"/>
                <w:szCs w:val="20"/>
              </w:rPr>
            </w:pPr>
          </w:p>
        </w:tc>
        <w:tc>
          <w:tcPr>
            <w:tcW w:w="1409" w:type="dxa"/>
            <w:vMerge/>
          </w:tcPr>
          <w:p w:rsidR="00773E68" w:rsidRPr="00D0337E" w:rsidRDefault="00773E68" w:rsidP="00773E68">
            <w:pPr>
              <w:jc w:val="both"/>
              <w:rPr>
                <w:rFonts w:ascii="Times New Roman" w:eastAsia="Times New Roman" w:hAnsi="Times New Roman" w:cs="Times New Roman"/>
                <w:b/>
                <w:sz w:val="20"/>
                <w:szCs w:val="20"/>
              </w:rPr>
            </w:pPr>
          </w:p>
        </w:tc>
        <w:tc>
          <w:tcPr>
            <w:tcW w:w="709" w:type="dxa"/>
            <w:vMerge/>
          </w:tcPr>
          <w:p w:rsidR="00773E68" w:rsidRPr="00D0337E" w:rsidRDefault="00773E68" w:rsidP="00773E68">
            <w:pPr>
              <w:jc w:val="both"/>
              <w:rPr>
                <w:rFonts w:ascii="Times New Roman" w:eastAsia="Times New Roman" w:hAnsi="Times New Roman" w:cs="Times New Roman"/>
                <w:b/>
                <w:sz w:val="20"/>
                <w:szCs w:val="20"/>
              </w:rPr>
            </w:pPr>
          </w:p>
        </w:tc>
        <w:tc>
          <w:tcPr>
            <w:tcW w:w="992" w:type="dxa"/>
          </w:tcPr>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Profili  1</w:t>
            </w:r>
          </w:p>
          <w:p w:rsidR="00773E68" w:rsidRPr="00D0337E" w:rsidRDefault="00773E68" w:rsidP="00773E68">
            <w:pPr>
              <w:jc w:val="both"/>
              <w:rPr>
                <w:rFonts w:ascii="Times New Roman" w:eastAsia="Times New Roman" w:hAnsi="Times New Roman" w:cs="Times New Roman"/>
                <w:b/>
                <w:sz w:val="20"/>
                <w:szCs w:val="20"/>
              </w:rPr>
            </w:pPr>
          </w:p>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 xml:space="preserve">0 – 30 cm </w:t>
            </w:r>
          </w:p>
        </w:tc>
        <w:tc>
          <w:tcPr>
            <w:tcW w:w="992" w:type="dxa"/>
          </w:tcPr>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Profili  1</w:t>
            </w:r>
          </w:p>
          <w:p w:rsidR="00773E68" w:rsidRPr="00D0337E" w:rsidRDefault="00773E68" w:rsidP="00773E68">
            <w:pPr>
              <w:jc w:val="both"/>
              <w:rPr>
                <w:rFonts w:ascii="Times New Roman" w:eastAsia="Times New Roman" w:hAnsi="Times New Roman" w:cs="Times New Roman"/>
                <w:b/>
                <w:sz w:val="20"/>
                <w:szCs w:val="20"/>
              </w:rPr>
            </w:pPr>
          </w:p>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0 – 60 cm</w:t>
            </w:r>
          </w:p>
        </w:tc>
        <w:tc>
          <w:tcPr>
            <w:tcW w:w="992" w:type="dxa"/>
          </w:tcPr>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Profili  1</w:t>
            </w:r>
          </w:p>
          <w:p w:rsidR="00773E68" w:rsidRPr="00D0337E" w:rsidRDefault="00773E68" w:rsidP="00773E68">
            <w:pPr>
              <w:jc w:val="both"/>
              <w:rPr>
                <w:rFonts w:ascii="Times New Roman" w:eastAsia="Times New Roman" w:hAnsi="Times New Roman" w:cs="Times New Roman"/>
                <w:b/>
                <w:sz w:val="20"/>
                <w:szCs w:val="20"/>
              </w:rPr>
            </w:pPr>
          </w:p>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60 -100 cm</w:t>
            </w:r>
          </w:p>
        </w:tc>
        <w:tc>
          <w:tcPr>
            <w:tcW w:w="993" w:type="dxa"/>
          </w:tcPr>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Profili  2</w:t>
            </w:r>
          </w:p>
          <w:p w:rsidR="00773E68" w:rsidRPr="00D0337E" w:rsidRDefault="00773E68" w:rsidP="00773E68">
            <w:pPr>
              <w:jc w:val="both"/>
              <w:rPr>
                <w:rFonts w:ascii="Times New Roman" w:eastAsia="Times New Roman" w:hAnsi="Times New Roman" w:cs="Times New Roman"/>
                <w:b/>
                <w:sz w:val="20"/>
                <w:szCs w:val="20"/>
              </w:rPr>
            </w:pPr>
          </w:p>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 xml:space="preserve">0 – 30 cm </w:t>
            </w:r>
          </w:p>
        </w:tc>
        <w:tc>
          <w:tcPr>
            <w:tcW w:w="992" w:type="dxa"/>
          </w:tcPr>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Profili  2</w:t>
            </w:r>
          </w:p>
          <w:p w:rsidR="00773E68" w:rsidRPr="00D0337E" w:rsidRDefault="00773E68" w:rsidP="00773E68">
            <w:pPr>
              <w:jc w:val="both"/>
              <w:rPr>
                <w:rFonts w:ascii="Times New Roman" w:eastAsia="Times New Roman" w:hAnsi="Times New Roman" w:cs="Times New Roman"/>
                <w:b/>
                <w:sz w:val="20"/>
                <w:szCs w:val="20"/>
              </w:rPr>
            </w:pPr>
          </w:p>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0 – 60 cm</w:t>
            </w:r>
          </w:p>
        </w:tc>
        <w:tc>
          <w:tcPr>
            <w:tcW w:w="1111" w:type="dxa"/>
          </w:tcPr>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Profili  2</w:t>
            </w:r>
          </w:p>
          <w:p w:rsidR="00773E68" w:rsidRPr="00D0337E" w:rsidRDefault="00773E68" w:rsidP="00773E68">
            <w:pPr>
              <w:jc w:val="both"/>
              <w:rPr>
                <w:rFonts w:ascii="Times New Roman" w:eastAsia="Times New Roman" w:hAnsi="Times New Roman" w:cs="Times New Roman"/>
                <w:b/>
                <w:sz w:val="20"/>
                <w:szCs w:val="20"/>
              </w:rPr>
            </w:pPr>
          </w:p>
          <w:p w:rsidR="00773E68" w:rsidRPr="00D0337E" w:rsidRDefault="00773E68" w:rsidP="00773E68">
            <w:pPr>
              <w:jc w:val="both"/>
              <w:rPr>
                <w:rFonts w:ascii="Times New Roman" w:eastAsia="Times New Roman" w:hAnsi="Times New Roman" w:cs="Times New Roman"/>
                <w:b/>
                <w:sz w:val="20"/>
                <w:szCs w:val="20"/>
              </w:rPr>
            </w:pPr>
            <w:r w:rsidRPr="00D0337E">
              <w:rPr>
                <w:rFonts w:ascii="Times New Roman" w:eastAsia="Times New Roman" w:hAnsi="Times New Roman" w:cs="Times New Roman"/>
                <w:b/>
                <w:sz w:val="20"/>
                <w:szCs w:val="20"/>
              </w:rPr>
              <w:t>60 -100 cm</w:t>
            </w:r>
          </w:p>
        </w:tc>
      </w:tr>
      <w:tr w:rsidR="00773E68" w:rsidRPr="00773E68" w:rsidTr="00D0337E">
        <w:trPr>
          <w:trHeight w:val="134"/>
        </w:trPr>
        <w:tc>
          <w:tcPr>
            <w:tcW w:w="1170" w:type="dxa"/>
            <w:vMerge w:val="restart"/>
          </w:tcPr>
          <w:p w:rsidR="00773E68" w:rsidRPr="00773E68" w:rsidRDefault="00773E68" w:rsidP="00773E68">
            <w:pPr>
              <w:jc w:val="both"/>
              <w:rPr>
                <w:rFonts w:ascii="Times New Roman" w:eastAsia="Times New Roman" w:hAnsi="Times New Roman" w:cs="Times New Roman"/>
                <w:b/>
                <w:sz w:val="24"/>
                <w:szCs w:val="24"/>
                <w:lang w:val="nn-NO"/>
              </w:rPr>
            </w:pPr>
          </w:p>
          <w:p w:rsidR="00773E68" w:rsidRPr="00773E68" w:rsidRDefault="00773E68" w:rsidP="00773E68">
            <w:pPr>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 xml:space="preserve">Miniera  Hekur- </w:t>
            </w:r>
          </w:p>
          <w:p w:rsidR="00773E68" w:rsidRPr="00773E68" w:rsidRDefault="00773E68" w:rsidP="00773E68">
            <w:pPr>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Nikelit</w:t>
            </w:r>
          </w:p>
          <w:p w:rsidR="00773E68" w:rsidRPr="00773E68" w:rsidRDefault="00773E68" w:rsidP="00773E68">
            <w:pPr>
              <w:jc w:val="both"/>
              <w:rPr>
                <w:rFonts w:ascii="Times New Roman" w:eastAsia="Times New Roman" w:hAnsi="Times New Roman" w:cs="Times New Roman"/>
                <w:sz w:val="24"/>
                <w:szCs w:val="24"/>
                <w:lang w:val="nn-NO"/>
              </w:rPr>
            </w:pPr>
            <w:r w:rsidRPr="00773E68">
              <w:rPr>
                <w:rFonts w:ascii="Times New Roman" w:eastAsia="Times New Roman" w:hAnsi="Times New Roman" w:cs="Times New Roman"/>
                <w:sz w:val="24"/>
                <w:szCs w:val="24"/>
                <w:lang w:val="nn-NO"/>
              </w:rPr>
              <w:t>Pogradec</w:t>
            </w: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0.81</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0.76</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0.82</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0.87</w:t>
            </w:r>
          </w:p>
        </w:tc>
        <w:tc>
          <w:tcPr>
            <w:tcW w:w="111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0.93</w:t>
            </w:r>
          </w:p>
        </w:tc>
      </w:tr>
      <w:tr w:rsidR="00773E68" w:rsidRPr="00773E68" w:rsidTr="00D0337E">
        <w:tc>
          <w:tcPr>
            <w:tcW w:w="117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2.55</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2.25</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2.11</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2.21</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1.95</w:t>
            </w:r>
          </w:p>
        </w:tc>
        <w:tc>
          <w:tcPr>
            <w:tcW w:w="111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2.13</w:t>
            </w:r>
          </w:p>
        </w:tc>
      </w:tr>
      <w:tr w:rsidR="00773E68" w:rsidRPr="00773E68" w:rsidTr="00D0337E">
        <w:tc>
          <w:tcPr>
            <w:tcW w:w="117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0.20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0.11</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0.10</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1.05</w:t>
            </w:r>
          </w:p>
        </w:tc>
        <w:tc>
          <w:tcPr>
            <w:tcW w:w="111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1.19</w:t>
            </w:r>
          </w:p>
        </w:tc>
      </w:tr>
      <w:tr w:rsidR="00773E68" w:rsidRPr="00773E68" w:rsidTr="00D0337E">
        <w:tc>
          <w:tcPr>
            <w:tcW w:w="117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32.7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29.1</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20.0</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21.92</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21.17</w:t>
            </w:r>
          </w:p>
        </w:tc>
        <w:tc>
          <w:tcPr>
            <w:tcW w:w="111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21.09</w:t>
            </w:r>
          </w:p>
        </w:tc>
      </w:tr>
      <w:tr w:rsidR="00773E68" w:rsidRPr="00773E68" w:rsidTr="00D0337E">
        <w:tc>
          <w:tcPr>
            <w:tcW w:w="117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0.12</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0.12</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w:t>
            </w:r>
          </w:p>
        </w:tc>
        <w:tc>
          <w:tcPr>
            <w:tcW w:w="111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0.10</w:t>
            </w:r>
          </w:p>
        </w:tc>
      </w:tr>
      <w:tr w:rsidR="00773E68" w:rsidRPr="00773E68" w:rsidTr="00D0337E">
        <w:tc>
          <w:tcPr>
            <w:tcW w:w="117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1.52</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1.50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1.47</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0.76</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0.71</w:t>
            </w:r>
          </w:p>
        </w:tc>
        <w:tc>
          <w:tcPr>
            <w:tcW w:w="111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0.65</w:t>
            </w:r>
          </w:p>
        </w:tc>
      </w:tr>
      <w:tr w:rsidR="00773E68" w:rsidRPr="00773E68" w:rsidTr="00D0337E">
        <w:tc>
          <w:tcPr>
            <w:tcW w:w="1170" w:type="dxa"/>
            <w:vMerge/>
          </w:tcPr>
          <w:p w:rsidR="00773E68" w:rsidRPr="00773E68" w:rsidRDefault="00773E68" w:rsidP="00773E68">
            <w:pPr>
              <w:jc w:val="both"/>
              <w:rPr>
                <w:rFonts w:ascii="Times New Roman" w:eastAsia="Times New Roman" w:hAnsi="Times New Roman" w:cs="Times New Roman"/>
                <w:b/>
                <w:sz w:val="24"/>
                <w:szCs w:val="24"/>
              </w:rPr>
            </w:pPr>
          </w:p>
        </w:tc>
        <w:tc>
          <w:tcPr>
            <w:tcW w:w="990"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Mn</w:t>
            </w:r>
          </w:p>
        </w:tc>
        <w:tc>
          <w:tcPr>
            <w:tcW w:w="1409" w:type="dxa"/>
          </w:tcPr>
          <w:p w:rsidR="00773E68" w:rsidRPr="00773E68" w:rsidRDefault="00773E68" w:rsidP="00773E68">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773E68">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25.14</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20.61</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19.70</w:t>
            </w:r>
          </w:p>
        </w:tc>
        <w:tc>
          <w:tcPr>
            <w:tcW w:w="993"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16.97</w:t>
            </w:r>
          </w:p>
        </w:tc>
        <w:tc>
          <w:tcPr>
            <w:tcW w:w="992"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17.52</w:t>
            </w:r>
          </w:p>
        </w:tc>
        <w:tc>
          <w:tcPr>
            <w:tcW w:w="1111" w:type="dxa"/>
          </w:tcPr>
          <w:p w:rsidR="00773E68" w:rsidRPr="00773E68" w:rsidRDefault="00773E68" w:rsidP="00773E68">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17.21</w:t>
            </w:r>
          </w:p>
        </w:tc>
      </w:tr>
    </w:tbl>
    <w:p w:rsidR="00D0337E" w:rsidRDefault="00D0337E"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290A95" w:rsidP="00773E68">
      <w:pPr>
        <w:spacing w:after="0" w:line="24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Referuar</w:t>
      </w:r>
      <w:r w:rsidR="00773E68" w:rsidRPr="00773E68">
        <w:rPr>
          <w:rFonts w:ascii="Times New Roman" w:eastAsia="Times New Roman" w:hAnsi="Times New Roman" w:cs="Times New Roman"/>
          <w:sz w:val="24"/>
          <w:szCs w:val="24"/>
          <w:lang w:val="it-IT"/>
        </w:rPr>
        <w:t xml:space="preserve"> tabelë</w:t>
      </w:r>
      <w:r w:rsidR="00A71985">
        <w:rPr>
          <w:rFonts w:ascii="Times New Roman" w:eastAsia="Times New Roman" w:hAnsi="Times New Roman" w:cs="Times New Roman"/>
          <w:sz w:val="24"/>
          <w:szCs w:val="24"/>
          <w:lang w:val="it-IT"/>
        </w:rPr>
        <w:t>s së</w:t>
      </w:r>
      <w:r w:rsidR="00773E68" w:rsidRPr="00773E68">
        <w:rPr>
          <w:rFonts w:ascii="Times New Roman" w:eastAsia="Times New Roman" w:hAnsi="Times New Roman" w:cs="Times New Roman"/>
          <w:sz w:val="24"/>
          <w:szCs w:val="24"/>
          <w:lang w:val="it-IT"/>
        </w:rPr>
        <w:t xml:space="preserve"> mësipërme, të gjithë treguesit  janë brenda normave të lejuara, pra nuk kemi ndotje të mjedisit. Po të shikohet me kujdes disa mostra kanë përqëndrim më të lartë në disa tregues, si Fe dhe Ni, që  ndodhen brenda perimetrit të ish-uzinës, ndërsa në distancë </w:t>
      </w:r>
      <w:r w:rsidR="007F227B">
        <w:rPr>
          <w:rFonts w:ascii="Times New Roman" w:eastAsia="Times New Roman" w:hAnsi="Times New Roman" w:cs="Times New Roman"/>
          <w:sz w:val="24"/>
          <w:szCs w:val="24"/>
          <w:lang w:val="it-IT"/>
        </w:rPr>
        <w:t xml:space="preserve">nga uzina kemi një ndryshim me </w:t>
      </w:r>
      <w:r w:rsidR="00773E68" w:rsidRPr="00773E68">
        <w:rPr>
          <w:rFonts w:ascii="Times New Roman" w:eastAsia="Times New Roman" w:hAnsi="Times New Roman" w:cs="Times New Roman"/>
          <w:sz w:val="24"/>
          <w:szCs w:val="24"/>
          <w:lang w:val="it-IT"/>
        </w:rPr>
        <w:t xml:space="preserve">rënie të treguesëve. Kjo </w:t>
      </w:r>
      <w:r w:rsidR="00A71985">
        <w:rPr>
          <w:rFonts w:ascii="Times New Roman" w:eastAsia="Times New Roman" w:hAnsi="Times New Roman" w:cs="Times New Roman"/>
          <w:sz w:val="24"/>
          <w:szCs w:val="24"/>
          <w:lang w:val="it-IT"/>
        </w:rPr>
        <w:t xml:space="preserve">për shkak se </w:t>
      </w:r>
      <w:r w:rsidR="00773E68" w:rsidRPr="00773E68">
        <w:rPr>
          <w:rFonts w:ascii="Times New Roman" w:eastAsia="Times New Roman" w:hAnsi="Times New Roman" w:cs="Times New Roman"/>
          <w:sz w:val="24"/>
          <w:szCs w:val="24"/>
          <w:lang w:val="it-IT"/>
        </w:rPr>
        <w:t>brenda territorit k</w:t>
      </w:r>
      <w:r w:rsidR="00A71985">
        <w:rPr>
          <w:rFonts w:ascii="Times New Roman" w:eastAsia="Times New Roman" w:hAnsi="Times New Roman" w:cs="Times New Roman"/>
          <w:sz w:val="24"/>
          <w:szCs w:val="24"/>
          <w:lang w:val="it-IT"/>
        </w:rPr>
        <w:t>a</w:t>
      </w:r>
      <w:r w:rsidR="00773E68" w:rsidRPr="00773E68">
        <w:rPr>
          <w:rFonts w:ascii="Times New Roman" w:eastAsia="Times New Roman" w:hAnsi="Times New Roman" w:cs="Times New Roman"/>
          <w:sz w:val="24"/>
          <w:szCs w:val="24"/>
          <w:lang w:val="it-IT"/>
        </w:rPr>
        <w:t xml:space="preserve"> patur një aktivitet më të lartë gjatë shfrytëzimit, ka patur grumbuj apo pirgje mbeturinash pas përpunimit të cilat kanë qënë të kontaminuara dhe me përqëndrim të disa nga metalet e rënda. Duke u larguar kemi një tende</w:t>
      </w:r>
      <w:r w:rsidR="00A71985">
        <w:rPr>
          <w:rFonts w:ascii="Times New Roman" w:eastAsia="Times New Roman" w:hAnsi="Times New Roman" w:cs="Times New Roman"/>
          <w:sz w:val="24"/>
          <w:szCs w:val="24"/>
          <w:lang w:val="it-IT"/>
        </w:rPr>
        <w:t>n</w:t>
      </w:r>
      <w:r w:rsidR="00773E68" w:rsidRPr="00773E68">
        <w:rPr>
          <w:rFonts w:ascii="Times New Roman" w:eastAsia="Times New Roman" w:hAnsi="Times New Roman" w:cs="Times New Roman"/>
          <w:sz w:val="24"/>
          <w:szCs w:val="24"/>
          <w:lang w:val="it-IT"/>
        </w:rPr>
        <w:t>cë në ulje të treguesëve, gjë që tregon që lëvizshmëria apo depozitimi në thellësi të tokës është më i vogël, kjo shpjegohet me tipin e tokës e cila përgjithësisht është argjilore dhe sipërfaqja është  e pjerrët duke bërë të mundur lëvizshmërinë e shpejtë të ujërave të shiut.</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Të dhënat për profilet 1 dhe 2 kanë tregues të ndrysh</w:t>
      </w:r>
      <w:r w:rsidR="00A71985">
        <w:rPr>
          <w:rFonts w:ascii="Times New Roman" w:eastAsia="Times New Roman" w:hAnsi="Times New Roman" w:cs="Times New Roman"/>
          <w:sz w:val="24"/>
          <w:szCs w:val="24"/>
          <w:lang w:val="it-IT"/>
        </w:rPr>
        <w:t>ëm pasi ato janë hapur në territ</w:t>
      </w:r>
      <w:r w:rsidRPr="00773E68">
        <w:rPr>
          <w:rFonts w:ascii="Times New Roman" w:eastAsia="Times New Roman" w:hAnsi="Times New Roman" w:cs="Times New Roman"/>
          <w:sz w:val="24"/>
          <w:szCs w:val="24"/>
          <w:lang w:val="it-IT"/>
        </w:rPr>
        <w:t>ore të ndryshme, njëri brenda territorit të minierës dhe tjetri në distancë dhe i shmangur nga ndotja prej ujërave të kontaminuar.</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11CC6" w:rsidRDefault="00773E68" w:rsidP="00807975">
      <w:pPr>
        <w:pStyle w:val="ListParagraph"/>
        <w:numPr>
          <w:ilvl w:val="0"/>
          <w:numId w:val="102"/>
        </w:numPr>
        <w:spacing w:after="0" w:line="240" w:lineRule="auto"/>
        <w:jc w:val="both"/>
        <w:rPr>
          <w:rFonts w:ascii="Times New Roman" w:eastAsia="Times New Roman" w:hAnsi="Times New Roman" w:cs="Times New Roman"/>
          <w:b/>
          <w:sz w:val="24"/>
          <w:szCs w:val="24"/>
          <w:lang w:val="it-IT"/>
        </w:rPr>
      </w:pPr>
      <w:r w:rsidRPr="00711CC6">
        <w:rPr>
          <w:rFonts w:ascii="Times New Roman" w:eastAsia="Times New Roman" w:hAnsi="Times New Roman" w:cs="Times New Roman"/>
          <w:b/>
          <w:sz w:val="24"/>
          <w:szCs w:val="24"/>
          <w:lang w:val="it-IT"/>
        </w:rPr>
        <w:lastRenderedPageBreak/>
        <w:t>Miniera e Kromit</w:t>
      </w:r>
      <w:r w:rsidR="00A71985">
        <w:rPr>
          <w:rFonts w:ascii="Times New Roman" w:eastAsia="Times New Roman" w:hAnsi="Times New Roman" w:cs="Times New Roman"/>
          <w:b/>
          <w:sz w:val="24"/>
          <w:szCs w:val="24"/>
          <w:lang w:val="it-IT"/>
        </w:rPr>
        <w:t>,</w:t>
      </w:r>
      <w:r w:rsidRPr="00711CC6">
        <w:rPr>
          <w:rFonts w:ascii="Times New Roman" w:eastAsia="Times New Roman" w:hAnsi="Times New Roman" w:cs="Times New Roman"/>
          <w:b/>
          <w:sz w:val="24"/>
          <w:szCs w:val="24"/>
          <w:lang w:val="it-IT"/>
        </w:rPr>
        <w:t xml:space="preserve"> Kalimash</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Miniera e kromit</w:t>
      </w:r>
      <w:r w:rsidR="00A71985">
        <w:rPr>
          <w:rFonts w:ascii="Times New Roman" w:eastAsia="Times New Roman" w:hAnsi="Times New Roman" w:cs="Times New Roman"/>
          <w:sz w:val="24"/>
          <w:szCs w:val="24"/>
          <w:lang w:val="it-IT"/>
        </w:rPr>
        <w:t>,</w:t>
      </w:r>
      <w:r w:rsidRPr="00773E68">
        <w:rPr>
          <w:rFonts w:ascii="Times New Roman" w:eastAsia="Times New Roman" w:hAnsi="Times New Roman" w:cs="Times New Roman"/>
          <w:sz w:val="24"/>
          <w:szCs w:val="24"/>
          <w:lang w:val="it-IT"/>
        </w:rPr>
        <w:t xml:space="preserve"> Kalimash</w:t>
      </w:r>
      <w:r w:rsidR="00A71985">
        <w:rPr>
          <w:rFonts w:ascii="Times New Roman" w:eastAsia="Times New Roman" w:hAnsi="Times New Roman" w:cs="Times New Roman"/>
          <w:sz w:val="24"/>
          <w:szCs w:val="24"/>
          <w:lang w:val="it-IT"/>
        </w:rPr>
        <w:t>,</w:t>
      </w:r>
      <w:r w:rsidRPr="00773E68">
        <w:rPr>
          <w:rFonts w:ascii="Times New Roman" w:eastAsia="Times New Roman" w:hAnsi="Times New Roman" w:cs="Times New Roman"/>
          <w:sz w:val="24"/>
          <w:szCs w:val="24"/>
          <w:lang w:val="it-IT"/>
        </w:rPr>
        <w:t xml:space="preserve"> gjendet në të majtë të rrugës nacionale Kukës -Kalimash, në një grykë, luginë relativisht e pjerrët mes dy shpateve të malit. </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Miniera sot është në shfrytëzim dhe mund të themi që është e mirëorganizuar dhe me risk të vogël të ndotjes së tokave dhe terrenit përrreth.</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Terreni është në të dy anët i pjerrët, i veshur me bimësi në trajtën e shkurreve të ulta shumë vjeçare dhe bimësi të ulët, graminore, rigon, gjëmbaç, etj.</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290A95" w:rsidRDefault="00681B50" w:rsidP="00290A95">
      <w:pPr>
        <w:spacing w:after="0" w:line="240" w:lineRule="auto"/>
        <w:jc w:val="center"/>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Tabela 59</w:t>
      </w:r>
      <w:r w:rsidR="00773E68" w:rsidRPr="00290A95">
        <w:rPr>
          <w:rFonts w:ascii="Times New Roman" w:eastAsia="Times New Roman" w:hAnsi="Times New Roman" w:cs="Times New Roman"/>
          <w:sz w:val="24"/>
          <w:szCs w:val="24"/>
          <w:lang w:val="it-IT"/>
        </w:rPr>
        <w:t xml:space="preserve">. </w:t>
      </w:r>
      <w:r w:rsidR="00D0337E" w:rsidRPr="00290A95">
        <w:rPr>
          <w:rFonts w:ascii="Times New Roman" w:eastAsia="Times New Roman" w:hAnsi="Times New Roman" w:cs="Times New Roman"/>
          <w:sz w:val="24"/>
          <w:szCs w:val="24"/>
          <w:lang w:val="it-IT"/>
        </w:rPr>
        <w:t>R</w:t>
      </w:r>
      <w:r w:rsidR="00773E68" w:rsidRPr="00290A95">
        <w:rPr>
          <w:rFonts w:ascii="Times New Roman" w:eastAsia="Times New Roman" w:hAnsi="Times New Roman" w:cs="Times New Roman"/>
          <w:sz w:val="24"/>
          <w:szCs w:val="24"/>
          <w:lang w:val="it-IT"/>
        </w:rPr>
        <w:t>ezultate</w:t>
      </w:r>
      <w:r w:rsidR="00D0337E" w:rsidRPr="00290A95">
        <w:rPr>
          <w:rFonts w:ascii="Times New Roman" w:eastAsia="Times New Roman" w:hAnsi="Times New Roman" w:cs="Times New Roman"/>
          <w:sz w:val="24"/>
          <w:szCs w:val="24"/>
          <w:lang w:val="it-IT"/>
        </w:rPr>
        <w:t>t</w:t>
      </w:r>
      <w:r w:rsidR="00773E68" w:rsidRPr="00290A95">
        <w:rPr>
          <w:rFonts w:ascii="Times New Roman" w:eastAsia="Times New Roman" w:hAnsi="Times New Roman" w:cs="Times New Roman"/>
          <w:sz w:val="24"/>
          <w:szCs w:val="24"/>
          <w:lang w:val="it-IT"/>
        </w:rPr>
        <w:t xml:space="preserve"> të mostrave sip</w:t>
      </w:r>
      <w:r w:rsidR="00773E68" w:rsidRPr="00290A95">
        <w:rPr>
          <w:rFonts w:ascii="Times New Roman" w:eastAsia="Times New Roman" w:hAnsi="Times New Roman" w:cs="Times New Roman"/>
          <w:sz w:val="24"/>
          <w:szCs w:val="24"/>
          <w:lang w:val="nn-NO"/>
        </w:rPr>
        <w:t>ë</w:t>
      </w:r>
      <w:r w:rsidR="00773E68" w:rsidRPr="00290A95">
        <w:rPr>
          <w:rFonts w:ascii="Times New Roman" w:eastAsia="Times New Roman" w:hAnsi="Times New Roman" w:cs="Times New Roman"/>
          <w:sz w:val="24"/>
          <w:szCs w:val="24"/>
          <w:lang w:val="it-IT"/>
        </w:rPr>
        <w:t>rfaqësore</w:t>
      </w:r>
      <w:r w:rsidR="00D0337E" w:rsidRPr="00290A95">
        <w:rPr>
          <w:rFonts w:ascii="Times New Roman" w:eastAsia="Times New Roman" w:hAnsi="Times New Roman" w:cs="Times New Roman"/>
          <w:sz w:val="24"/>
          <w:szCs w:val="24"/>
          <w:lang w:val="it-IT"/>
        </w:rPr>
        <w:t xml:space="preserve"> dhe profilev</w:t>
      </w:r>
      <w:r w:rsidR="00290A95" w:rsidRPr="00290A95">
        <w:rPr>
          <w:rFonts w:ascii="Times New Roman" w:eastAsia="Times New Roman" w:hAnsi="Times New Roman" w:cs="Times New Roman"/>
          <w:sz w:val="24"/>
          <w:szCs w:val="24"/>
          <w:lang w:val="it-IT"/>
        </w:rPr>
        <w:t>e,</w:t>
      </w:r>
      <w:r w:rsidR="00290A95">
        <w:rPr>
          <w:rFonts w:ascii="Times New Roman" w:eastAsia="Times New Roman" w:hAnsi="Times New Roman" w:cs="Times New Roman"/>
          <w:sz w:val="24"/>
          <w:szCs w:val="24"/>
          <w:lang w:val="it-IT"/>
        </w:rPr>
        <w:t xml:space="preserve"> </w:t>
      </w:r>
      <w:r w:rsidR="00D0337E" w:rsidRPr="00290A95">
        <w:rPr>
          <w:rFonts w:ascii="Times New Roman" w:eastAsia="Times New Roman" w:hAnsi="Times New Roman" w:cs="Times New Roman"/>
          <w:sz w:val="24"/>
          <w:szCs w:val="24"/>
          <w:lang w:val="it-IT"/>
        </w:rPr>
        <w:t>Miniera e Kromit  Kalimash</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 xml:space="preserve">                       </w:t>
      </w:r>
    </w:p>
    <w:tbl>
      <w:tblPr>
        <w:tblStyle w:val="TableGrid3"/>
        <w:tblpPr w:leftFromText="180" w:rightFromText="180" w:vertAnchor="text" w:horzAnchor="margin" w:tblpX="-342" w:tblpY="-25"/>
        <w:tblW w:w="9180" w:type="dxa"/>
        <w:tblLayout w:type="fixed"/>
        <w:tblLook w:val="04A0" w:firstRow="1" w:lastRow="0" w:firstColumn="1" w:lastColumn="0" w:noHBand="0" w:noVBand="1"/>
      </w:tblPr>
      <w:tblGrid>
        <w:gridCol w:w="1188"/>
        <w:gridCol w:w="990"/>
        <w:gridCol w:w="1425"/>
        <w:gridCol w:w="709"/>
        <w:gridCol w:w="816"/>
        <w:gridCol w:w="709"/>
        <w:gridCol w:w="992"/>
        <w:gridCol w:w="709"/>
        <w:gridCol w:w="850"/>
        <w:gridCol w:w="792"/>
      </w:tblGrid>
      <w:tr w:rsidR="00773E68" w:rsidRPr="00773E68" w:rsidTr="00290A95">
        <w:tc>
          <w:tcPr>
            <w:tcW w:w="1188" w:type="dxa"/>
            <w:vMerge w:val="restart"/>
          </w:tcPr>
          <w:p w:rsidR="00773E68" w:rsidRPr="00290A95" w:rsidRDefault="00773E68" w:rsidP="00290A95">
            <w:pPr>
              <w:jc w:val="both"/>
              <w:rPr>
                <w:rFonts w:ascii="Times New Roman" w:eastAsia="Times New Roman" w:hAnsi="Times New Roman" w:cs="Times New Roman"/>
                <w:b/>
                <w:sz w:val="20"/>
                <w:szCs w:val="20"/>
                <w:lang w:val="nn-NO"/>
              </w:rPr>
            </w:pPr>
          </w:p>
          <w:p w:rsidR="00773E68" w:rsidRPr="00290A95" w:rsidRDefault="00290A95" w:rsidP="00290A95">
            <w:pPr>
              <w:jc w:val="both"/>
              <w:rPr>
                <w:rFonts w:ascii="Times New Roman" w:eastAsia="Times New Roman" w:hAnsi="Times New Roman" w:cs="Times New Roman"/>
                <w:b/>
                <w:sz w:val="20"/>
                <w:szCs w:val="20"/>
                <w:lang w:val="nn-NO"/>
              </w:rPr>
            </w:pPr>
            <w:r w:rsidRPr="00290A95">
              <w:rPr>
                <w:rFonts w:ascii="Times New Roman" w:eastAsia="Times New Roman" w:hAnsi="Times New Roman" w:cs="Times New Roman"/>
                <w:b/>
                <w:sz w:val="20"/>
                <w:szCs w:val="20"/>
                <w:lang w:val="nn-NO"/>
              </w:rPr>
              <w:t>Vendi</w:t>
            </w:r>
          </w:p>
        </w:tc>
        <w:tc>
          <w:tcPr>
            <w:tcW w:w="990" w:type="dxa"/>
            <w:vMerge w:val="restart"/>
          </w:tcPr>
          <w:p w:rsidR="00773E68" w:rsidRPr="00290A95" w:rsidRDefault="00773E68" w:rsidP="00290A95">
            <w:pPr>
              <w:jc w:val="both"/>
              <w:rPr>
                <w:rFonts w:ascii="Times New Roman" w:eastAsia="Times New Roman" w:hAnsi="Times New Roman" w:cs="Times New Roman"/>
                <w:b/>
                <w:sz w:val="20"/>
                <w:szCs w:val="20"/>
                <w:lang w:val="nn-NO"/>
              </w:rPr>
            </w:pPr>
          </w:p>
          <w:p w:rsidR="00773E68" w:rsidRPr="00290A95" w:rsidRDefault="00290A95" w:rsidP="00290A95">
            <w:pPr>
              <w:jc w:val="both"/>
              <w:rPr>
                <w:rFonts w:ascii="Times New Roman" w:eastAsia="Times New Roman" w:hAnsi="Times New Roman" w:cs="Times New Roman"/>
                <w:b/>
                <w:sz w:val="20"/>
                <w:szCs w:val="20"/>
                <w:lang w:val="nn-NO"/>
              </w:rPr>
            </w:pPr>
            <w:r w:rsidRPr="00290A95">
              <w:rPr>
                <w:rFonts w:ascii="Times New Roman" w:eastAsia="Times New Roman" w:hAnsi="Times New Roman" w:cs="Times New Roman"/>
                <w:b/>
                <w:sz w:val="20"/>
                <w:szCs w:val="20"/>
                <w:lang w:val="nn-NO"/>
              </w:rPr>
              <w:t>Tre</w:t>
            </w:r>
            <w:r>
              <w:rPr>
                <w:rFonts w:ascii="Times New Roman" w:eastAsia="Times New Roman" w:hAnsi="Times New Roman" w:cs="Times New Roman"/>
                <w:b/>
                <w:sz w:val="20"/>
                <w:szCs w:val="20"/>
                <w:lang w:val="nn-NO"/>
              </w:rPr>
              <w:t>gues</w:t>
            </w:r>
          </w:p>
        </w:tc>
        <w:tc>
          <w:tcPr>
            <w:tcW w:w="1425" w:type="dxa"/>
            <w:vMerge w:val="restart"/>
          </w:tcPr>
          <w:p w:rsidR="00773E68" w:rsidRPr="00290A95" w:rsidRDefault="00773E68" w:rsidP="00290A95">
            <w:pPr>
              <w:jc w:val="both"/>
              <w:rPr>
                <w:rFonts w:ascii="Times New Roman" w:eastAsia="Times New Roman" w:hAnsi="Times New Roman" w:cs="Times New Roman"/>
                <w:b/>
                <w:sz w:val="20"/>
                <w:szCs w:val="20"/>
                <w:lang w:val="nn-NO"/>
              </w:rPr>
            </w:pPr>
          </w:p>
          <w:p w:rsidR="00773E68" w:rsidRPr="00290A95" w:rsidRDefault="00290A95" w:rsidP="00290A95">
            <w:pPr>
              <w:jc w:val="both"/>
              <w:rPr>
                <w:rFonts w:ascii="Times New Roman" w:eastAsia="Times New Roman" w:hAnsi="Times New Roman" w:cs="Times New Roman"/>
                <w:b/>
                <w:sz w:val="20"/>
                <w:szCs w:val="20"/>
                <w:lang w:val="nn-NO"/>
              </w:rPr>
            </w:pPr>
            <w:r w:rsidRPr="00290A95">
              <w:rPr>
                <w:rFonts w:ascii="Times New Roman" w:eastAsia="Times New Roman" w:hAnsi="Times New Roman" w:cs="Times New Roman"/>
                <w:b/>
                <w:sz w:val="20"/>
                <w:szCs w:val="20"/>
                <w:lang w:val="nn-NO"/>
              </w:rPr>
              <w:t>Nj. Matjes</w:t>
            </w:r>
          </w:p>
        </w:tc>
        <w:tc>
          <w:tcPr>
            <w:tcW w:w="709" w:type="dxa"/>
            <w:vMerge w:val="restart"/>
          </w:tcPr>
          <w:p w:rsidR="00773E68" w:rsidRPr="00290A95" w:rsidRDefault="00290A95" w:rsidP="00290A95">
            <w:pPr>
              <w:jc w:val="both"/>
              <w:rPr>
                <w:rFonts w:ascii="Times New Roman" w:eastAsia="Times New Roman" w:hAnsi="Times New Roman" w:cs="Times New Roman"/>
                <w:b/>
                <w:sz w:val="20"/>
                <w:szCs w:val="20"/>
                <w:lang w:val="nn-NO"/>
              </w:rPr>
            </w:pPr>
            <w:r w:rsidRPr="00290A95">
              <w:rPr>
                <w:rFonts w:ascii="Times New Roman" w:eastAsia="Times New Roman" w:hAnsi="Times New Roman" w:cs="Times New Roman"/>
                <w:b/>
                <w:sz w:val="20"/>
                <w:szCs w:val="20"/>
                <w:lang w:val="nn-NO"/>
              </w:rPr>
              <w:t>Limit</w:t>
            </w:r>
          </w:p>
        </w:tc>
        <w:tc>
          <w:tcPr>
            <w:tcW w:w="2517" w:type="dxa"/>
            <w:gridSpan w:val="3"/>
          </w:tcPr>
          <w:p w:rsidR="00773E68" w:rsidRPr="00290A95" w:rsidRDefault="00290A95" w:rsidP="00290A95">
            <w:pPr>
              <w:jc w:val="both"/>
              <w:rPr>
                <w:rFonts w:ascii="Times New Roman" w:eastAsia="Times New Roman" w:hAnsi="Times New Roman" w:cs="Times New Roman"/>
                <w:b/>
                <w:lang w:val="nn-NO"/>
              </w:rPr>
            </w:pPr>
            <w:r w:rsidRPr="00290A95">
              <w:rPr>
                <w:rFonts w:ascii="Times New Roman" w:eastAsia="Times New Roman" w:hAnsi="Times New Roman" w:cs="Times New Roman"/>
                <w:b/>
                <w:lang w:val="nn-NO"/>
              </w:rPr>
              <w:t>Rezultatet e mostrave</w:t>
            </w:r>
          </w:p>
        </w:tc>
        <w:tc>
          <w:tcPr>
            <w:tcW w:w="2351" w:type="dxa"/>
            <w:gridSpan w:val="3"/>
          </w:tcPr>
          <w:p w:rsidR="00773E68" w:rsidRPr="00290A95" w:rsidRDefault="00290A95" w:rsidP="00290A95">
            <w:pPr>
              <w:jc w:val="both"/>
              <w:rPr>
                <w:rFonts w:ascii="Times New Roman" w:eastAsia="Times New Roman" w:hAnsi="Times New Roman" w:cs="Times New Roman"/>
                <w:b/>
                <w:lang w:val="nn-NO"/>
              </w:rPr>
            </w:pPr>
            <w:r w:rsidRPr="00290A95">
              <w:rPr>
                <w:rFonts w:ascii="Times New Roman" w:eastAsia="Times New Roman" w:hAnsi="Times New Roman" w:cs="Times New Roman"/>
                <w:b/>
                <w:lang w:val="nn-NO"/>
              </w:rPr>
              <w:t>Rezultatet e profilit</w:t>
            </w:r>
          </w:p>
        </w:tc>
      </w:tr>
      <w:tr w:rsidR="00773E68" w:rsidRPr="00773E68" w:rsidTr="00290A95">
        <w:tc>
          <w:tcPr>
            <w:tcW w:w="1188" w:type="dxa"/>
            <w:vMerge/>
          </w:tcPr>
          <w:p w:rsidR="00773E68" w:rsidRPr="00290A95" w:rsidRDefault="00773E68" w:rsidP="00290A95">
            <w:pPr>
              <w:jc w:val="both"/>
              <w:rPr>
                <w:rFonts w:ascii="Times New Roman" w:eastAsia="Times New Roman" w:hAnsi="Times New Roman" w:cs="Times New Roman"/>
                <w:b/>
                <w:sz w:val="20"/>
                <w:szCs w:val="20"/>
                <w:lang w:val="nn-NO"/>
              </w:rPr>
            </w:pPr>
          </w:p>
        </w:tc>
        <w:tc>
          <w:tcPr>
            <w:tcW w:w="990" w:type="dxa"/>
            <w:vMerge/>
          </w:tcPr>
          <w:p w:rsidR="00773E68" w:rsidRPr="00290A95" w:rsidRDefault="00773E68" w:rsidP="00290A95">
            <w:pPr>
              <w:jc w:val="both"/>
              <w:rPr>
                <w:rFonts w:ascii="Times New Roman" w:eastAsia="Times New Roman" w:hAnsi="Times New Roman" w:cs="Times New Roman"/>
                <w:b/>
                <w:sz w:val="20"/>
                <w:szCs w:val="20"/>
                <w:lang w:val="nn-NO"/>
              </w:rPr>
            </w:pPr>
          </w:p>
        </w:tc>
        <w:tc>
          <w:tcPr>
            <w:tcW w:w="1425" w:type="dxa"/>
            <w:vMerge/>
          </w:tcPr>
          <w:p w:rsidR="00773E68" w:rsidRPr="00290A95" w:rsidRDefault="00773E68" w:rsidP="00290A95">
            <w:pPr>
              <w:jc w:val="both"/>
              <w:rPr>
                <w:rFonts w:ascii="Times New Roman" w:eastAsia="Times New Roman" w:hAnsi="Times New Roman" w:cs="Times New Roman"/>
                <w:b/>
                <w:sz w:val="20"/>
                <w:szCs w:val="20"/>
                <w:lang w:val="nn-NO"/>
              </w:rPr>
            </w:pPr>
          </w:p>
        </w:tc>
        <w:tc>
          <w:tcPr>
            <w:tcW w:w="709" w:type="dxa"/>
            <w:vMerge/>
          </w:tcPr>
          <w:p w:rsidR="00773E68" w:rsidRPr="00290A95" w:rsidRDefault="00773E68" w:rsidP="00290A95">
            <w:pPr>
              <w:jc w:val="both"/>
              <w:rPr>
                <w:rFonts w:ascii="Times New Roman" w:eastAsia="Times New Roman" w:hAnsi="Times New Roman" w:cs="Times New Roman"/>
                <w:b/>
                <w:sz w:val="20"/>
                <w:szCs w:val="20"/>
                <w:lang w:val="nn-NO"/>
              </w:rPr>
            </w:pPr>
          </w:p>
        </w:tc>
        <w:tc>
          <w:tcPr>
            <w:tcW w:w="816" w:type="dxa"/>
          </w:tcPr>
          <w:p w:rsidR="00773E68" w:rsidRPr="00290A95" w:rsidRDefault="00773E68" w:rsidP="00290A95">
            <w:pPr>
              <w:jc w:val="both"/>
              <w:rPr>
                <w:rFonts w:ascii="Times New Roman" w:eastAsia="Times New Roman" w:hAnsi="Times New Roman" w:cs="Times New Roman"/>
                <w:b/>
                <w:sz w:val="20"/>
                <w:szCs w:val="20"/>
                <w:lang w:val="nn-NO"/>
              </w:rPr>
            </w:pPr>
            <w:r w:rsidRPr="00290A95">
              <w:rPr>
                <w:rFonts w:ascii="Times New Roman" w:eastAsia="Times New Roman" w:hAnsi="Times New Roman" w:cs="Times New Roman"/>
                <w:b/>
                <w:sz w:val="20"/>
                <w:szCs w:val="20"/>
                <w:lang w:val="nn-NO"/>
              </w:rPr>
              <w:t xml:space="preserve">M.  1 0–30 </w:t>
            </w:r>
          </w:p>
        </w:tc>
        <w:tc>
          <w:tcPr>
            <w:tcW w:w="709" w:type="dxa"/>
          </w:tcPr>
          <w:p w:rsidR="00773E68" w:rsidRPr="00290A95" w:rsidRDefault="00773E68" w:rsidP="00290A95">
            <w:pPr>
              <w:jc w:val="both"/>
              <w:rPr>
                <w:rFonts w:ascii="Times New Roman" w:eastAsia="Times New Roman" w:hAnsi="Times New Roman" w:cs="Times New Roman"/>
                <w:b/>
                <w:sz w:val="20"/>
                <w:szCs w:val="20"/>
              </w:rPr>
            </w:pPr>
            <w:r w:rsidRPr="00290A95">
              <w:rPr>
                <w:rFonts w:ascii="Times New Roman" w:eastAsia="Times New Roman" w:hAnsi="Times New Roman" w:cs="Times New Roman"/>
                <w:b/>
                <w:sz w:val="20"/>
                <w:szCs w:val="20"/>
              </w:rPr>
              <w:t>M.  2</w:t>
            </w:r>
          </w:p>
          <w:p w:rsidR="00773E68" w:rsidRPr="00290A95" w:rsidRDefault="00773E68" w:rsidP="00290A95">
            <w:pPr>
              <w:jc w:val="both"/>
              <w:rPr>
                <w:rFonts w:ascii="Times New Roman" w:eastAsia="Times New Roman" w:hAnsi="Times New Roman" w:cs="Times New Roman"/>
                <w:b/>
                <w:sz w:val="20"/>
                <w:szCs w:val="20"/>
              </w:rPr>
            </w:pPr>
            <w:r w:rsidRPr="00290A95">
              <w:rPr>
                <w:rFonts w:ascii="Times New Roman" w:eastAsia="Times New Roman" w:hAnsi="Times New Roman" w:cs="Times New Roman"/>
                <w:b/>
                <w:sz w:val="20"/>
                <w:szCs w:val="20"/>
              </w:rPr>
              <w:t xml:space="preserve"> 0–30 </w:t>
            </w:r>
          </w:p>
        </w:tc>
        <w:tc>
          <w:tcPr>
            <w:tcW w:w="992" w:type="dxa"/>
          </w:tcPr>
          <w:p w:rsidR="00773E68" w:rsidRPr="00290A95" w:rsidRDefault="00773E68" w:rsidP="00290A95">
            <w:pPr>
              <w:jc w:val="both"/>
              <w:rPr>
                <w:rFonts w:ascii="Times New Roman" w:eastAsia="Times New Roman" w:hAnsi="Times New Roman" w:cs="Times New Roman"/>
                <w:b/>
                <w:sz w:val="20"/>
                <w:szCs w:val="20"/>
              </w:rPr>
            </w:pPr>
            <w:r w:rsidRPr="00290A95">
              <w:rPr>
                <w:rFonts w:ascii="Times New Roman" w:eastAsia="Times New Roman" w:hAnsi="Times New Roman" w:cs="Times New Roman"/>
                <w:b/>
                <w:sz w:val="20"/>
                <w:szCs w:val="20"/>
              </w:rPr>
              <w:t>M  3</w:t>
            </w:r>
          </w:p>
          <w:p w:rsidR="00773E68" w:rsidRPr="00290A95" w:rsidRDefault="00773E68" w:rsidP="00290A95">
            <w:pPr>
              <w:jc w:val="both"/>
              <w:rPr>
                <w:rFonts w:ascii="Times New Roman" w:eastAsia="Times New Roman" w:hAnsi="Times New Roman" w:cs="Times New Roman"/>
                <w:b/>
                <w:sz w:val="20"/>
                <w:szCs w:val="20"/>
              </w:rPr>
            </w:pPr>
            <w:r w:rsidRPr="00290A95">
              <w:rPr>
                <w:rFonts w:ascii="Times New Roman" w:eastAsia="Times New Roman" w:hAnsi="Times New Roman" w:cs="Times New Roman"/>
                <w:b/>
                <w:sz w:val="20"/>
                <w:szCs w:val="20"/>
              </w:rPr>
              <w:t>0  30</w:t>
            </w:r>
          </w:p>
          <w:p w:rsidR="00773E68" w:rsidRPr="00290A95" w:rsidRDefault="00773E68" w:rsidP="00290A95">
            <w:pPr>
              <w:jc w:val="both"/>
              <w:rPr>
                <w:rFonts w:ascii="Times New Roman" w:eastAsia="Times New Roman" w:hAnsi="Times New Roman" w:cs="Times New Roman"/>
                <w:b/>
                <w:sz w:val="20"/>
                <w:szCs w:val="20"/>
              </w:rPr>
            </w:pPr>
          </w:p>
        </w:tc>
        <w:tc>
          <w:tcPr>
            <w:tcW w:w="709" w:type="dxa"/>
          </w:tcPr>
          <w:p w:rsidR="00773E68" w:rsidRPr="00290A95" w:rsidRDefault="00773E68" w:rsidP="00290A95">
            <w:pPr>
              <w:jc w:val="both"/>
              <w:rPr>
                <w:rFonts w:ascii="Times New Roman" w:eastAsia="Times New Roman" w:hAnsi="Times New Roman" w:cs="Times New Roman"/>
                <w:b/>
                <w:sz w:val="20"/>
                <w:szCs w:val="20"/>
              </w:rPr>
            </w:pPr>
          </w:p>
          <w:p w:rsidR="00773E68" w:rsidRPr="00290A95" w:rsidRDefault="00773E68" w:rsidP="00290A95">
            <w:pPr>
              <w:jc w:val="both"/>
              <w:rPr>
                <w:rFonts w:ascii="Times New Roman" w:eastAsia="Times New Roman" w:hAnsi="Times New Roman" w:cs="Times New Roman"/>
                <w:b/>
                <w:sz w:val="20"/>
                <w:szCs w:val="20"/>
              </w:rPr>
            </w:pPr>
            <w:r w:rsidRPr="00290A95">
              <w:rPr>
                <w:rFonts w:ascii="Times New Roman" w:eastAsia="Times New Roman" w:hAnsi="Times New Roman" w:cs="Times New Roman"/>
                <w:b/>
                <w:sz w:val="20"/>
                <w:szCs w:val="20"/>
              </w:rPr>
              <w:t>0 - 30</w:t>
            </w:r>
          </w:p>
        </w:tc>
        <w:tc>
          <w:tcPr>
            <w:tcW w:w="850" w:type="dxa"/>
          </w:tcPr>
          <w:p w:rsidR="00773E68" w:rsidRPr="00290A95" w:rsidRDefault="00773E68" w:rsidP="00290A95">
            <w:pPr>
              <w:jc w:val="both"/>
              <w:rPr>
                <w:rFonts w:ascii="Times New Roman" w:eastAsia="Times New Roman" w:hAnsi="Times New Roman" w:cs="Times New Roman"/>
                <w:b/>
                <w:sz w:val="20"/>
                <w:szCs w:val="20"/>
              </w:rPr>
            </w:pPr>
          </w:p>
          <w:p w:rsidR="00773E68" w:rsidRPr="00290A95" w:rsidRDefault="00773E68" w:rsidP="00290A95">
            <w:pPr>
              <w:jc w:val="both"/>
              <w:rPr>
                <w:rFonts w:ascii="Times New Roman" w:eastAsia="Times New Roman" w:hAnsi="Times New Roman" w:cs="Times New Roman"/>
                <w:b/>
                <w:sz w:val="20"/>
                <w:szCs w:val="20"/>
              </w:rPr>
            </w:pPr>
            <w:r w:rsidRPr="00290A95">
              <w:rPr>
                <w:rFonts w:ascii="Times New Roman" w:eastAsia="Times New Roman" w:hAnsi="Times New Roman" w:cs="Times New Roman"/>
                <w:b/>
                <w:sz w:val="20"/>
                <w:szCs w:val="20"/>
              </w:rPr>
              <w:t>30 - 60</w:t>
            </w:r>
          </w:p>
        </w:tc>
        <w:tc>
          <w:tcPr>
            <w:tcW w:w="792" w:type="dxa"/>
          </w:tcPr>
          <w:p w:rsidR="00773E68" w:rsidRPr="00290A95" w:rsidRDefault="00773E68" w:rsidP="00290A95">
            <w:pPr>
              <w:jc w:val="both"/>
              <w:rPr>
                <w:rFonts w:ascii="Times New Roman" w:eastAsia="Times New Roman" w:hAnsi="Times New Roman" w:cs="Times New Roman"/>
                <w:b/>
                <w:sz w:val="20"/>
                <w:szCs w:val="20"/>
              </w:rPr>
            </w:pPr>
          </w:p>
          <w:p w:rsidR="00773E68" w:rsidRPr="00290A95" w:rsidRDefault="00773E68" w:rsidP="00290A95">
            <w:pPr>
              <w:jc w:val="both"/>
              <w:rPr>
                <w:rFonts w:ascii="Times New Roman" w:eastAsia="Times New Roman" w:hAnsi="Times New Roman" w:cs="Times New Roman"/>
                <w:b/>
                <w:sz w:val="20"/>
                <w:szCs w:val="20"/>
              </w:rPr>
            </w:pPr>
            <w:r w:rsidRPr="00290A95">
              <w:rPr>
                <w:rFonts w:ascii="Times New Roman" w:eastAsia="Times New Roman" w:hAnsi="Times New Roman" w:cs="Times New Roman"/>
                <w:b/>
                <w:sz w:val="20"/>
                <w:szCs w:val="20"/>
              </w:rPr>
              <w:t>60 - 100</w:t>
            </w:r>
          </w:p>
        </w:tc>
      </w:tr>
      <w:tr w:rsidR="00773E68" w:rsidRPr="00773E68" w:rsidTr="00290A95">
        <w:trPr>
          <w:trHeight w:val="134"/>
        </w:trPr>
        <w:tc>
          <w:tcPr>
            <w:tcW w:w="1188" w:type="dxa"/>
            <w:vMerge w:val="restart"/>
          </w:tcPr>
          <w:p w:rsidR="00773E68" w:rsidRPr="00773E68" w:rsidRDefault="00773E68" w:rsidP="00290A95">
            <w:pPr>
              <w:jc w:val="both"/>
              <w:rPr>
                <w:rFonts w:ascii="Times New Roman" w:eastAsia="Times New Roman" w:hAnsi="Times New Roman" w:cs="Times New Roman"/>
                <w:b/>
                <w:sz w:val="24"/>
                <w:szCs w:val="24"/>
              </w:rPr>
            </w:pPr>
          </w:p>
          <w:p w:rsidR="00773E68" w:rsidRPr="00773E68" w:rsidRDefault="00773E68" w:rsidP="00290A95">
            <w:pPr>
              <w:jc w:val="both"/>
              <w:rPr>
                <w:rFonts w:ascii="Times New Roman" w:eastAsia="Times New Roman" w:hAnsi="Times New Roman" w:cs="Times New Roman"/>
                <w:b/>
                <w:sz w:val="24"/>
                <w:szCs w:val="24"/>
              </w:rPr>
            </w:pPr>
            <w:r w:rsidRPr="00773E68">
              <w:rPr>
                <w:rFonts w:ascii="Times New Roman" w:eastAsia="Times New Roman" w:hAnsi="Times New Roman" w:cs="Times New Roman"/>
                <w:sz w:val="24"/>
                <w:szCs w:val="24"/>
              </w:rPr>
              <w:t>Miniera e Kromit Kalimash</w:t>
            </w:r>
          </w:p>
          <w:p w:rsidR="00773E68" w:rsidRPr="00773E68" w:rsidRDefault="00773E68" w:rsidP="00290A95">
            <w:pPr>
              <w:jc w:val="both"/>
              <w:rPr>
                <w:rFonts w:ascii="Times New Roman" w:eastAsia="Times New Roman" w:hAnsi="Times New Roman" w:cs="Times New Roman"/>
                <w:b/>
                <w:sz w:val="24"/>
                <w:szCs w:val="24"/>
              </w:rPr>
            </w:pPr>
          </w:p>
          <w:p w:rsidR="00773E68" w:rsidRPr="00773E68" w:rsidRDefault="00773E68" w:rsidP="00290A95">
            <w:pPr>
              <w:jc w:val="both"/>
              <w:rPr>
                <w:rFonts w:ascii="Times New Roman" w:eastAsia="Times New Roman" w:hAnsi="Times New Roman" w:cs="Times New Roman"/>
                <w:b/>
                <w:sz w:val="24"/>
                <w:szCs w:val="24"/>
              </w:rPr>
            </w:pPr>
          </w:p>
          <w:p w:rsidR="00773E68" w:rsidRPr="00773E68" w:rsidRDefault="00773E68" w:rsidP="00290A95">
            <w:pPr>
              <w:jc w:val="both"/>
              <w:rPr>
                <w:rFonts w:ascii="Times New Roman" w:eastAsia="Times New Roman" w:hAnsi="Times New Roman" w:cs="Times New Roman"/>
                <w:b/>
                <w:sz w:val="24"/>
                <w:szCs w:val="24"/>
              </w:rPr>
            </w:pPr>
          </w:p>
        </w:tc>
        <w:tc>
          <w:tcPr>
            <w:tcW w:w="990" w:type="dxa"/>
          </w:tcPr>
          <w:p w:rsidR="00773E68" w:rsidRPr="00773E68" w:rsidRDefault="00773E68" w:rsidP="00290A95">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425" w:type="dxa"/>
          </w:tcPr>
          <w:p w:rsidR="00773E68" w:rsidRPr="00773E68" w:rsidRDefault="00773E68" w:rsidP="00290A95">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290A95">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816"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0.91</w:t>
            </w:r>
          </w:p>
        </w:tc>
        <w:tc>
          <w:tcPr>
            <w:tcW w:w="709"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0.99</w:t>
            </w:r>
          </w:p>
        </w:tc>
        <w:tc>
          <w:tcPr>
            <w:tcW w:w="992"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0.96</w:t>
            </w:r>
          </w:p>
        </w:tc>
        <w:tc>
          <w:tcPr>
            <w:tcW w:w="709"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0.57</w:t>
            </w:r>
          </w:p>
        </w:tc>
        <w:tc>
          <w:tcPr>
            <w:tcW w:w="850"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0.51</w:t>
            </w:r>
          </w:p>
        </w:tc>
        <w:tc>
          <w:tcPr>
            <w:tcW w:w="792"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0.54</w:t>
            </w:r>
          </w:p>
        </w:tc>
      </w:tr>
      <w:tr w:rsidR="00773E68" w:rsidRPr="00773E68" w:rsidTr="00290A95">
        <w:tc>
          <w:tcPr>
            <w:tcW w:w="1188" w:type="dxa"/>
            <w:vMerge/>
          </w:tcPr>
          <w:p w:rsidR="00773E68" w:rsidRPr="00773E68" w:rsidRDefault="00773E68" w:rsidP="00290A95">
            <w:pPr>
              <w:jc w:val="both"/>
              <w:rPr>
                <w:rFonts w:ascii="Times New Roman" w:eastAsia="Times New Roman" w:hAnsi="Times New Roman" w:cs="Times New Roman"/>
                <w:b/>
                <w:sz w:val="24"/>
                <w:szCs w:val="24"/>
              </w:rPr>
            </w:pPr>
          </w:p>
        </w:tc>
        <w:tc>
          <w:tcPr>
            <w:tcW w:w="990" w:type="dxa"/>
          </w:tcPr>
          <w:p w:rsidR="00773E68" w:rsidRPr="00773E68" w:rsidRDefault="00773E68" w:rsidP="00290A95">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425" w:type="dxa"/>
          </w:tcPr>
          <w:p w:rsidR="00773E68" w:rsidRPr="00773E68" w:rsidRDefault="00773E68" w:rsidP="00290A95">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290A95">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816"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0.92</w:t>
            </w:r>
          </w:p>
        </w:tc>
        <w:tc>
          <w:tcPr>
            <w:tcW w:w="709"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0.90</w:t>
            </w:r>
          </w:p>
        </w:tc>
        <w:tc>
          <w:tcPr>
            <w:tcW w:w="992"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w:t>
            </w:r>
          </w:p>
        </w:tc>
        <w:tc>
          <w:tcPr>
            <w:tcW w:w="709"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0.93</w:t>
            </w:r>
          </w:p>
        </w:tc>
        <w:tc>
          <w:tcPr>
            <w:tcW w:w="850"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0.82</w:t>
            </w:r>
          </w:p>
        </w:tc>
        <w:tc>
          <w:tcPr>
            <w:tcW w:w="792"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0.81</w:t>
            </w:r>
          </w:p>
        </w:tc>
      </w:tr>
      <w:tr w:rsidR="00773E68" w:rsidRPr="00773E68" w:rsidTr="00290A95">
        <w:tc>
          <w:tcPr>
            <w:tcW w:w="1188" w:type="dxa"/>
            <w:vMerge/>
          </w:tcPr>
          <w:p w:rsidR="00773E68" w:rsidRPr="00773E68" w:rsidRDefault="00773E68" w:rsidP="00290A95">
            <w:pPr>
              <w:jc w:val="both"/>
              <w:rPr>
                <w:rFonts w:ascii="Times New Roman" w:eastAsia="Times New Roman" w:hAnsi="Times New Roman" w:cs="Times New Roman"/>
                <w:b/>
                <w:sz w:val="24"/>
                <w:szCs w:val="24"/>
              </w:rPr>
            </w:pPr>
          </w:p>
        </w:tc>
        <w:tc>
          <w:tcPr>
            <w:tcW w:w="990" w:type="dxa"/>
          </w:tcPr>
          <w:p w:rsidR="00773E68" w:rsidRPr="00773E68" w:rsidRDefault="00773E68" w:rsidP="00290A95">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425" w:type="dxa"/>
          </w:tcPr>
          <w:p w:rsidR="00773E68" w:rsidRPr="00773E68" w:rsidRDefault="00773E68" w:rsidP="00290A95">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290A95">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816"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2.7</w:t>
            </w:r>
          </w:p>
        </w:tc>
        <w:tc>
          <w:tcPr>
            <w:tcW w:w="709"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3.45</w:t>
            </w:r>
          </w:p>
        </w:tc>
        <w:tc>
          <w:tcPr>
            <w:tcW w:w="992"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3.54</w:t>
            </w:r>
          </w:p>
        </w:tc>
        <w:tc>
          <w:tcPr>
            <w:tcW w:w="709"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1.70</w:t>
            </w:r>
          </w:p>
        </w:tc>
        <w:tc>
          <w:tcPr>
            <w:tcW w:w="850"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2.40</w:t>
            </w:r>
          </w:p>
        </w:tc>
        <w:tc>
          <w:tcPr>
            <w:tcW w:w="792"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1.82</w:t>
            </w:r>
          </w:p>
        </w:tc>
      </w:tr>
      <w:tr w:rsidR="00773E68" w:rsidRPr="00773E68" w:rsidTr="00290A95">
        <w:tc>
          <w:tcPr>
            <w:tcW w:w="1188" w:type="dxa"/>
            <w:vMerge/>
          </w:tcPr>
          <w:p w:rsidR="00773E68" w:rsidRPr="00773E68" w:rsidRDefault="00773E68" w:rsidP="00290A95">
            <w:pPr>
              <w:jc w:val="both"/>
              <w:rPr>
                <w:rFonts w:ascii="Times New Roman" w:eastAsia="Times New Roman" w:hAnsi="Times New Roman" w:cs="Times New Roman"/>
                <w:b/>
                <w:sz w:val="24"/>
                <w:szCs w:val="24"/>
              </w:rPr>
            </w:pPr>
          </w:p>
        </w:tc>
        <w:tc>
          <w:tcPr>
            <w:tcW w:w="990" w:type="dxa"/>
          </w:tcPr>
          <w:p w:rsidR="00773E68" w:rsidRPr="00773E68" w:rsidRDefault="00773E68" w:rsidP="00290A95">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425" w:type="dxa"/>
          </w:tcPr>
          <w:p w:rsidR="00773E68" w:rsidRPr="00773E68" w:rsidRDefault="00773E68" w:rsidP="00290A95">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290A95">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816"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20.0</w:t>
            </w:r>
          </w:p>
        </w:tc>
        <w:tc>
          <w:tcPr>
            <w:tcW w:w="709"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25.0</w:t>
            </w:r>
          </w:p>
        </w:tc>
        <w:tc>
          <w:tcPr>
            <w:tcW w:w="992"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26.7</w:t>
            </w:r>
          </w:p>
        </w:tc>
        <w:tc>
          <w:tcPr>
            <w:tcW w:w="709"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19.0</w:t>
            </w:r>
          </w:p>
        </w:tc>
        <w:tc>
          <w:tcPr>
            <w:tcW w:w="850"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16.4</w:t>
            </w:r>
          </w:p>
        </w:tc>
        <w:tc>
          <w:tcPr>
            <w:tcW w:w="792"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16.2</w:t>
            </w:r>
          </w:p>
        </w:tc>
      </w:tr>
      <w:tr w:rsidR="00773E68" w:rsidRPr="00773E68" w:rsidTr="00290A95">
        <w:tc>
          <w:tcPr>
            <w:tcW w:w="1188" w:type="dxa"/>
            <w:vMerge/>
          </w:tcPr>
          <w:p w:rsidR="00773E68" w:rsidRPr="00773E68" w:rsidRDefault="00773E68" w:rsidP="00290A95">
            <w:pPr>
              <w:jc w:val="both"/>
              <w:rPr>
                <w:rFonts w:ascii="Times New Roman" w:eastAsia="Times New Roman" w:hAnsi="Times New Roman" w:cs="Times New Roman"/>
                <w:b/>
                <w:sz w:val="24"/>
                <w:szCs w:val="24"/>
              </w:rPr>
            </w:pPr>
          </w:p>
        </w:tc>
        <w:tc>
          <w:tcPr>
            <w:tcW w:w="990" w:type="dxa"/>
          </w:tcPr>
          <w:p w:rsidR="00773E68" w:rsidRPr="00773E68" w:rsidRDefault="00773E68" w:rsidP="00290A95">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425" w:type="dxa"/>
          </w:tcPr>
          <w:p w:rsidR="00773E68" w:rsidRPr="00773E68" w:rsidRDefault="00773E68" w:rsidP="00290A95">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290A95">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816"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0.60</w:t>
            </w:r>
          </w:p>
        </w:tc>
        <w:tc>
          <w:tcPr>
            <w:tcW w:w="709"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1.14</w:t>
            </w:r>
          </w:p>
        </w:tc>
        <w:tc>
          <w:tcPr>
            <w:tcW w:w="992"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1.17</w:t>
            </w:r>
          </w:p>
        </w:tc>
        <w:tc>
          <w:tcPr>
            <w:tcW w:w="709"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1.14</w:t>
            </w:r>
          </w:p>
        </w:tc>
        <w:tc>
          <w:tcPr>
            <w:tcW w:w="850"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1.27</w:t>
            </w:r>
          </w:p>
        </w:tc>
        <w:tc>
          <w:tcPr>
            <w:tcW w:w="792"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1.27</w:t>
            </w:r>
          </w:p>
        </w:tc>
      </w:tr>
      <w:tr w:rsidR="00773E68" w:rsidRPr="00773E68" w:rsidTr="00290A95">
        <w:tc>
          <w:tcPr>
            <w:tcW w:w="1188" w:type="dxa"/>
            <w:vMerge/>
          </w:tcPr>
          <w:p w:rsidR="00773E68" w:rsidRPr="00773E68" w:rsidRDefault="00773E68" w:rsidP="00290A95">
            <w:pPr>
              <w:jc w:val="both"/>
              <w:rPr>
                <w:rFonts w:ascii="Times New Roman" w:eastAsia="Times New Roman" w:hAnsi="Times New Roman" w:cs="Times New Roman"/>
                <w:b/>
                <w:sz w:val="24"/>
                <w:szCs w:val="24"/>
              </w:rPr>
            </w:pPr>
          </w:p>
        </w:tc>
        <w:tc>
          <w:tcPr>
            <w:tcW w:w="990" w:type="dxa"/>
          </w:tcPr>
          <w:p w:rsidR="00773E68" w:rsidRPr="00773E68" w:rsidRDefault="00773E68" w:rsidP="00290A95">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425" w:type="dxa"/>
          </w:tcPr>
          <w:p w:rsidR="00773E68" w:rsidRPr="00773E68" w:rsidRDefault="00773E68" w:rsidP="00290A95">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290A95">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816"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0.42</w:t>
            </w:r>
          </w:p>
        </w:tc>
        <w:tc>
          <w:tcPr>
            <w:tcW w:w="709"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12.5</w:t>
            </w:r>
          </w:p>
        </w:tc>
        <w:tc>
          <w:tcPr>
            <w:tcW w:w="992"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10.6</w:t>
            </w:r>
          </w:p>
        </w:tc>
        <w:tc>
          <w:tcPr>
            <w:tcW w:w="709"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6.25</w:t>
            </w:r>
          </w:p>
        </w:tc>
        <w:tc>
          <w:tcPr>
            <w:tcW w:w="850"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4.31</w:t>
            </w:r>
          </w:p>
        </w:tc>
        <w:tc>
          <w:tcPr>
            <w:tcW w:w="792"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4.32</w:t>
            </w:r>
          </w:p>
        </w:tc>
      </w:tr>
      <w:tr w:rsidR="00773E68" w:rsidRPr="00773E68" w:rsidTr="00290A95">
        <w:tc>
          <w:tcPr>
            <w:tcW w:w="1188" w:type="dxa"/>
            <w:vMerge/>
          </w:tcPr>
          <w:p w:rsidR="00773E68" w:rsidRPr="00773E68" w:rsidRDefault="00773E68" w:rsidP="00290A95">
            <w:pPr>
              <w:jc w:val="both"/>
              <w:rPr>
                <w:rFonts w:ascii="Times New Roman" w:eastAsia="Times New Roman" w:hAnsi="Times New Roman" w:cs="Times New Roman"/>
                <w:b/>
                <w:sz w:val="24"/>
                <w:szCs w:val="24"/>
              </w:rPr>
            </w:pPr>
          </w:p>
        </w:tc>
        <w:tc>
          <w:tcPr>
            <w:tcW w:w="990" w:type="dxa"/>
          </w:tcPr>
          <w:p w:rsidR="00773E68" w:rsidRPr="00773E68" w:rsidRDefault="00773E68" w:rsidP="00290A95">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Mn</w:t>
            </w:r>
          </w:p>
        </w:tc>
        <w:tc>
          <w:tcPr>
            <w:tcW w:w="1425" w:type="dxa"/>
          </w:tcPr>
          <w:p w:rsidR="00773E68" w:rsidRPr="00773E68" w:rsidRDefault="00773E68" w:rsidP="00290A95">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73E68" w:rsidRPr="00773E68" w:rsidRDefault="00773E68" w:rsidP="00290A95">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816"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10.6</w:t>
            </w:r>
          </w:p>
        </w:tc>
        <w:tc>
          <w:tcPr>
            <w:tcW w:w="709"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16.9</w:t>
            </w:r>
          </w:p>
        </w:tc>
        <w:tc>
          <w:tcPr>
            <w:tcW w:w="992"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15.9</w:t>
            </w:r>
          </w:p>
        </w:tc>
        <w:tc>
          <w:tcPr>
            <w:tcW w:w="709"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12.1</w:t>
            </w:r>
          </w:p>
        </w:tc>
        <w:tc>
          <w:tcPr>
            <w:tcW w:w="850"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7.64</w:t>
            </w:r>
          </w:p>
        </w:tc>
        <w:tc>
          <w:tcPr>
            <w:tcW w:w="792" w:type="dxa"/>
          </w:tcPr>
          <w:p w:rsidR="00773E68" w:rsidRPr="00773E68" w:rsidRDefault="00773E68" w:rsidP="00290A95">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7.48</w:t>
            </w:r>
          </w:p>
        </w:tc>
      </w:tr>
    </w:tbl>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rPr>
      </w:pPr>
    </w:p>
    <w:p w:rsidR="00773E68" w:rsidRPr="00773E68" w:rsidRDefault="00773E68" w:rsidP="00773E68">
      <w:pPr>
        <w:spacing w:after="0" w:line="240" w:lineRule="auto"/>
        <w:jc w:val="both"/>
        <w:rPr>
          <w:rFonts w:ascii="Times New Roman" w:eastAsia="Times New Roman" w:hAnsi="Times New Roman" w:cs="Times New Roman"/>
          <w:sz w:val="24"/>
          <w:szCs w:val="24"/>
        </w:rPr>
      </w:pPr>
    </w:p>
    <w:p w:rsidR="00773E68" w:rsidRPr="00773E68" w:rsidRDefault="00773E68" w:rsidP="00773E68">
      <w:pPr>
        <w:spacing w:after="0" w:line="240" w:lineRule="auto"/>
        <w:jc w:val="both"/>
        <w:rPr>
          <w:rFonts w:ascii="Times New Roman" w:eastAsia="Times New Roman" w:hAnsi="Times New Roman" w:cs="Times New Roman"/>
          <w:sz w:val="24"/>
          <w:szCs w:val="24"/>
        </w:rPr>
      </w:pP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BD2329" w:rsidRDefault="00BD2329" w:rsidP="00773E68">
      <w:pPr>
        <w:spacing w:after="0" w:line="240" w:lineRule="auto"/>
        <w:jc w:val="both"/>
        <w:rPr>
          <w:rFonts w:ascii="Times New Roman" w:eastAsia="Times New Roman" w:hAnsi="Times New Roman" w:cs="Times New Roman"/>
          <w:b/>
          <w:sz w:val="24"/>
          <w:szCs w:val="24"/>
          <w:lang w:val="it-IT"/>
        </w:rPr>
      </w:pPr>
    </w:p>
    <w:p w:rsidR="00BD2329" w:rsidRDefault="00BD2329"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290A95" w:rsidRDefault="00290A95" w:rsidP="00773E68">
      <w:pPr>
        <w:spacing w:after="0" w:line="240" w:lineRule="auto"/>
        <w:jc w:val="both"/>
        <w:rPr>
          <w:rFonts w:ascii="Times New Roman" w:eastAsia="Times New Roman" w:hAnsi="Times New Roman" w:cs="Times New Roman"/>
          <w:sz w:val="24"/>
          <w:szCs w:val="24"/>
          <w:lang w:val="it-IT"/>
        </w:rPr>
      </w:pPr>
    </w:p>
    <w:p w:rsidR="00290A95" w:rsidRDefault="00290A95" w:rsidP="00773E68">
      <w:pPr>
        <w:spacing w:after="0" w:line="240" w:lineRule="auto"/>
        <w:jc w:val="both"/>
        <w:rPr>
          <w:rFonts w:ascii="Times New Roman" w:eastAsia="Times New Roman" w:hAnsi="Times New Roman" w:cs="Times New Roman"/>
          <w:sz w:val="24"/>
          <w:szCs w:val="24"/>
          <w:lang w:val="it-IT"/>
        </w:rPr>
      </w:pPr>
    </w:p>
    <w:p w:rsidR="00290A95" w:rsidRDefault="00290A95" w:rsidP="00773E68">
      <w:pPr>
        <w:spacing w:after="0" w:line="240" w:lineRule="auto"/>
        <w:jc w:val="both"/>
        <w:rPr>
          <w:rFonts w:ascii="Times New Roman" w:eastAsia="Times New Roman" w:hAnsi="Times New Roman" w:cs="Times New Roman"/>
          <w:sz w:val="24"/>
          <w:szCs w:val="24"/>
          <w:lang w:val="it-IT"/>
        </w:rPr>
      </w:pPr>
    </w:p>
    <w:p w:rsidR="00290A95" w:rsidRDefault="00290A95" w:rsidP="00773E68">
      <w:pPr>
        <w:spacing w:after="0" w:line="240" w:lineRule="auto"/>
        <w:jc w:val="both"/>
        <w:rPr>
          <w:rFonts w:ascii="Times New Roman" w:eastAsia="Times New Roman" w:hAnsi="Times New Roman" w:cs="Times New Roman"/>
          <w:sz w:val="24"/>
          <w:szCs w:val="24"/>
          <w:lang w:val="it-IT"/>
        </w:rPr>
      </w:pPr>
    </w:p>
    <w:p w:rsidR="00290A95" w:rsidRDefault="00290A95" w:rsidP="00773E68">
      <w:pPr>
        <w:spacing w:after="0" w:line="240" w:lineRule="auto"/>
        <w:jc w:val="both"/>
        <w:rPr>
          <w:rFonts w:ascii="Times New Roman" w:eastAsia="Times New Roman" w:hAnsi="Times New Roman" w:cs="Times New Roman"/>
          <w:sz w:val="24"/>
          <w:szCs w:val="24"/>
          <w:lang w:val="it-IT"/>
        </w:rPr>
      </w:pPr>
    </w:p>
    <w:p w:rsidR="00290A95" w:rsidRDefault="00290A95" w:rsidP="00773E68">
      <w:pPr>
        <w:spacing w:after="0" w:line="240" w:lineRule="auto"/>
        <w:jc w:val="both"/>
        <w:rPr>
          <w:rFonts w:ascii="Times New Roman" w:eastAsia="Times New Roman" w:hAnsi="Times New Roman" w:cs="Times New Roman"/>
          <w:sz w:val="24"/>
          <w:szCs w:val="24"/>
          <w:lang w:val="it-IT"/>
        </w:rPr>
      </w:pPr>
    </w:p>
    <w:p w:rsidR="00290A95" w:rsidRDefault="00290A95" w:rsidP="00773E68">
      <w:pPr>
        <w:spacing w:after="0" w:line="240" w:lineRule="auto"/>
        <w:jc w:val="both"/>
        <w:rPr>
          <w:rFonts w:ascii="Times New Roman" w:eastAsia="Times New Roman" w:hAnsi="Times New Roman" w:cs="Times New Roman"/>
          <w:sz w:val="24"/>
          <w:szCs w:val="24"/>
          <w:lang w:val="it-IT"/>
        </w:rPr>
      </w:pPr>
    </w:p>
    <w:p w:rsidR="00290A95" w:rsidRDefault="00290A95" w:rsidP="00773E68">
      <w:pPr>
        <w:spacing w:after="0" w:line="240" w:lineRule="auto"/>
        <w:jc w:val="both"/>
        <w:rPr>
          <w:rFonts w:ascii="Times New Roman" w:eastAsia="Times New Roman" w:hAnsi="Times New Roman" w:cs="Times New Roman"/>
          <w:sz w:val="24"/>
          <w:szCs w:val="24"/>
          <w:lang w:val="it-IT"/>
        </w:rPr>
      </w:pPr>
    </w:p>
    <w:p w:rsidR="00290A95" w:rsidRDefault="00290A95" w:rsidP="00773E68">
      <w:pPr>
        <w:spacing w:after="0" w:line="240" w:lineRule="auto"/>
        <w:jc w:val="both"/>
        <w:rPr>
          <w:rFonts w:ascii="Times New Roman" w:eastAsia="Times New Roman" w:hAnsi="Times New Roman" w:cs="Times New Roman"/>
          <w:sz w:val="24"/>
          <w:szCs w:val="24"/>
          <w:lang w:val="it-IT"/>
        </w:rPr>
      </w:pPr>
    </w:p>
    <w:p w:rsidR="00A71985" w:rsidRDefault="00A71985" w:rsidP="00773E68">
      <w:pPr>
        <w:spacing w:after="0" w:line="240" w:lineRule="auto"/>
        <w:jc w:val="both"/>
        <w:rPr>
          <w:rFonts w:ascii="Times New Roman" w:eastAsia="Times New Roman" w:hAnsi="Times New Roman" w:cs="Times New Roman"/>
          <w:sz w:val="24"/>
          <w:szCs w:val="24"/>
          <w:lang w:val="it-IT"/>
        </w:rPr>
      </w:pPr>
    </w:p>
    <w:p w:rsidR="00681B50" w:rsidRDefault="00681B50" w:rsidP="00773E68">
      <w:pPr>
        <w:spacing w:after="0" w:line="240" w:lineRule="auto"/>
        <w:jc w:val="both"/>
        <w:rPr>
          <w:rFonts w:ascii="Times New Roman" w:eastAsia="Times New Roman" w:hAnsi="Times New Roman" w:cs="Times New Roman"/>
          <w:sz w:val="24"/>
          <w:szCs w:val="24"/>
          <w:lang w:val="it-IT"/>
        </w:rPr>
      </w:pPr>
    </w:p>
    <w:p w:rsidR="00681B50" w:rsidRDefault="00290A95" w:rsidP="00773E68">
      <w:pPr>
        <w:spacing w:after="0" w:line="24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Vlerësohet se</w:t>
      </w:r>
      <w:r w:rsidR="00773E68" w:rsidRPr="00773E68">
        <w:rPr>
          <w:rFonts w:ascii="Times New Roman" w:eastAsia="Times New Roman" w:hAnsi="Times New Roman" w:cs="Times New Roman"/>
          <w:sz w:val="24"/>
          <w:szCs w:val="24"/>
          <w:lang w:val="it-IT"/>
        </w:rPr>
        <w:t xml:space="preserve">  për të gjithë elementët </w:t>
      </w:r>
      <w:r>
        <w:rPr>
          <w:rFonts w:ascii="Times New Roman" w:eastAsia="Times New Roman" w:hAnsi="Times New Roman" w:cs="Times New Roman"/>
          <w:sz w:val="24"/>
          <w:szCs w:val="24"/>
          <w:lang w:val="it-IT"/>
        </w:rPr>
        <w:t>e</w:t>
      </w:r>
      <w:r w:rsidR="00773E68" w:rsidRPr="00773E68">
        <w:rPr>
          <w:rFonts w:ascii="Times New Roman" w:eastAsia="Times New Roman" w:hAnsi="Times New Roman" w:cs="Times New Roman"/>
          <w:sz w:val="24"/>
          <w:szCs w:val="24"/>
          <w:lang w:val="it-IT"/>
        </w:rPr>
        <w:t xml:space="preserve"> analiz</w:t>
      </w:r>
      <w:r w:rsidR="00A71985">
        <w:rPr>
          <w:rFonts w:ascii="Times New Roman" w:eastAsia="Times New Roman" w:hAnsi="Times New Roman" w:cs="Times New Roman"/>
          <w:sz w:val="24"/>
          <w:szCs w:val="24"/>
          <w:lang w:val="it-IT"/>
        </w:rPr>
        <w:t xml:space="preserve">uar, </w:t>
      </w:r>
      <w:r>
        <w:rPr>
          <w:rFonts w:ascii="Times New Roman" w:eastAsia="Times New Roman" w:hAnsi="Times New Roman" w:cs="Times New Roman"/>
          <w:sz w:val="24"/>
          <w:szCs w:val="24"/>
          <w:lang w:val="it-IT"/>
        </w:rPr>
        <w:t xml:space="preserve">vlerat </w:t>
      </w:r>
      <w:r w:rsidR="00773E68" w:rsidRPr="00773E68">
        <w:rPr>
          <w:rFonts w:ascii="Times New Roman" w:eastAsia="Times New Roman" w:hAnsi="Times New Roman" w:cs="Times New Roman"/>
          <w:sz w:val="24"/>
          <w:szCs w:val="24"/>
          <w:lang w:val="it-IT"/>
        </w:rPr>
        <w:t xml:space="preserve">janë brenda normave të lejuara, pra nuk kemi ndotje të mjedisit. </w:t>
      </w:r>
      <w:r w:rsidR="00A71985">
        <w:rPr>
          <w:rFonts w:ascii="Times New Roman" w:eastAsia="Times New Roman" w:hAnsi="Times New Roman" w:cs="Times New Roman"/>
          <w:sz w:val="24"/>
          <w:szCs w:val="24"/>
          <w:lang w:val="it-IT"/>
        </w:rPr>
        <w:t>D</w:t>
      </w:r>
      <w:r w:rsidR="00773E68" w:rsidRPr="00773E68">
        <w:rPr>
          <w:rFonts w:ascii="Times New Roman" w:eastAsia="Times New Roman" w:hAnsi="Times New Roman" w:cs="Times New Roman"/>
          <w:sz w:val="24"/>
          <w:szCs w:val="24"/>
          <w:lang w:val="it-IT"/>
        </w:rPr>
        <w:t>isa mostra kanë përqëndrim më të lartë në disa tregues, që ndodhen në afërsi të minierës, ndërsa në dist</w:t>
      </w:r>
      <w:r w:rsidR="00A71985">
        <w:rPr>
          <w:rFonts w:ascii="Times New Roman" w:eastAsia="Times New Roman" w:hAnsi="Times New Roman" w:cs="Times New Roman"/>
          <w:sz w:val="24"/>
          <w:szCs w:val="24"/>
          <w:lang w:val="it-IT"/>
        </w:rPr>
        <w:t>ancë kemi një ndryshim me ulje të përmbajtjes</w:t>
      </w:r>
      <w:r w:rsidR="00773E68" w:rsidRPr="00773E68">
        <w:rPr>
          <w:rFonts w:ascii="Times New Roman" w:eastAsia="Times New Roman" w:hAnsi="Times New Roman" w:cs="Times New Roman"/>
          <w:sz w:val="24"/>
          <w:szCs w:val="24"/>
          <w:lang w:val="it-IT"/>
        </w:rPr>
        <w:t xml:space="preserve"> të treguesëve. Kjo </w:t>
      </w:r>
      <w:r w:rsidR="00A71985">
        <w:rPr>
          <w:rFonts w:ascii="Times New Roman" w:eastAsia="Times New Roman" w:hAnsi="Times New Roman" w:cs="Times New Roman"/>
          <w:sz w:val="24"/>
          <w:szCs w:val="24"/>
          <w:lang w:val="it-IT"/>
        </w:rPr>
        <w:t>ndodh,</w:t>
      </w:r>
      <w:r w:rsidR="00773E68" w:rsidRPr="00773E68">
        <w:rPr>
          <w:rFonts w:ascii="Times New Roman" w:eastAsia="Times New Roman" w:hAnsi="Times New Roman" w:cs="Times New Roman"/>
          <w:sz w:val="24"/>
          <w:szCs w:val="24"/>
          <w:lang w:val="it-IT"/>
        </w:rPr>
        <w:t xml:space="preserve"> pasi brenda territorit kemi patur një aktivitet më të lartë gjatë shfrytëzimit, ka patur grumbuj apo pirgje mbeturinash pas përpunimit të cilat kanë qënë të kontaminuara dhe me përqëndrim të disa nga metalet e rënda.</w:t>
      </w:r>
    </w:p>
    <w:p w:rsidR="00681B50" w:rsidRDefault="00681B50" w:rsidP="00773E68">
      <w:pPr>
        <w:spacing w:after="0" w:line="240" w:lineRule="auto"/>
        <w:jc w:val="both"/>
        <w:rPr>
          <w:rFonts w:ascii="Times New Roman" w:eastAsia="Times New Roman" w:hAnsi="Times New Roman" w:cs="Times New Roman"/>
          <w:sz w:val="24"/>
          <w:szCs w:val="24"/>
          <w:lang w:val="it-IT"/>
        </w:rPr>
      </w:pPr>
    </w:p>
    <w:p w:rsidR="00A71985" w:rsidRDefault="00A71985" w:rsidP="00773E68">
      <w:pPr>
        <w:spacing w:after="0" w:line="24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Jashtë territorit në distancë</w:t>
      </w:r>
      <w:r w:rsidR="00773E68" w:rsidRPr="00773E68">
        <w:rPr>
          <w:rFonts w:ascii="Times New Roman" w:eastAsia="Times New Roman" w:hAnsi="Times New Roman" w:cs="Times New Roman"/>
          <w:sz w:val="24"/>
          <w:szCs w:val="24"/>
          <w:lang w:val="it-IT"/>
        </w:rPr>
        <w:t xml:space="preserve"> kemi një tende</w:t>
      </w:r>
      <w:r>
        <w:rPr>
          <w:rFonts w:ascii="Times New Roman" w:eastAsia="Times New Roman" w:hAnsi="Times New Roman" w:cs="Times New Roman"/>
          <w:sz w:val="24"/>
          <w:szCs w:val="24"/>
          <w:lang w:val="it-IT"/>
        </w:rPr>
        <w:t>n</w:t>
      </w:r>
      <w:r w:rsidR="00773E68" w:rsidRPr="00773E68">
        <w:rPr>
          <w:rFonts w:ascii="Times New Roman" w:eastAsia="Times New Roman" w:hAnsi="Times New Roman" w:cs="Times New Roman"/>
          <w:sz w:val="24"/>
          <w:szCs w:val="24"/>
          <w:lang w:val="it-IT"/>
        </w:rPr>
        <w:t>cë në ulje të tre</w:t>
      </w:r>
      <w:r>
        <w:rPr>
          <w:rFonts w:ascii="Times New Roman" w:eastAsia="Times New Roman" w:hAnsi="Times New Roman" w:cs="Times New Roman"/>
          <w:sz w:val="24"/>
          <w:szCs w:val="24"/>
          <w:lang w:val="it-IT"/>
        </w:rPr>
        <w:t>guesëve, gjë që tregon që lëviz</w:t>
      </w:r>
      <w:r w:rsidR="00773E68" w:rsidRPr="00773E68">
        <w:rPr>
          <w:rFonts w:ascii="Times New Roman" w:eastAsia="Times New Roman" w:hAnsi="Times New Roman" w:cs="Times New Roman"/>
          <w:sz w:val="24"/>
          <w:szCs w:val="24"/>
          <w:lang w:val="it-IT"/>
        </w:rPr>
        <w:t>sh</w:t>
      </w:r>
      <w:r>
        <w:rPr>
          <w:rFonts w:ascii="Times New Roman" w:eastAsia="Times New Roman" w:hAnsi="Times New Roman" w:cs="Times New Roman"/>
          <w:sz w:val="24"/>
          <w:szCs w:val="24"/>
          <w:lang w:val="it-IT"/>
        </w:rPr>
        <w:t>m</w:t>
      </w:r>
      <w:r w:rsidR="00773E68" w:rsidRPr="00773E68">
        <w:rPr>
          <w:rFonts w:ascii="Times New Roman" w:eastAsia="Times New Roman" w:hAnsi="Times New Roman" w:cs="Times New Roman"/>
          <w:sz w:val="24"/>
          <w:szCs w:val="24"/>
          <w:lang w:val="it-IT"/>
        </w:rPr>
        <w:t>ëria apo depozitimi në the</w:t>
      </w:r>
      <w:r>
        <w:rPr>
          <w:rFonts w:ascii="Times New Roman" w:eastAsia="Times New Roman" w:hAnsi="Times New Roman" w:cs="Times New Roman"/>
          <w:sz w:val="24"/>
          <w:szCs w:val="24"/>
          <w:lang w:val="it-IT"/>
        </w:rPr>
        <w:t>llësi të tokës është më i vogël. K</w:t>
      </w:r>
      <w:r w:rsidR="00773E68" w:rsidRPr="00773E68">
        <w:rPr>
          <w:rFonts w:ascii="Times New Roman" w:eastAsia="Times New Roman" w:hAnsi="Times New Roman" w:cs="Times New Roman"/>
          <w:sz w:val="24"/>
          <w:szCs w:val="24"/>
          <w:lang w:val="it-IT"/>
        </w:rPr>
        <w:t>jo shpjegohet me tipin e tokës e cila përgjithësisht është skeletike me përmbajtje të lar</w:t>
      </w:r>
      <w:r>
        <w:rPr>
          <w:rFonts w:ascii="Times New Roman" w:eastAsia="Times New Roman" w:hAnsi="Times New Roman" w:cs="Times New Roman"/>
          <w:sz w:val="24"/>
          <w:szCs w:val="24"/>
          <w:lang w:val="it-IT"/>
        </w:rPr>
        <w:t>të gu</w:t>
      </w:r>
      <w:r w:rsidR="00773E68" w:rsidRPr="00773E68">
        <w:rPr>
          <w:rFonts w:ascii="Times New Roman" w:eastAsia="Times New Roman" w:hAnsi="Times New Roman" w:cs="Times New Roman"/>
          <w:sz w:val="24"/>
          <w:szCs w:val="24"/>
          <w:lang w:val="it-IT"/>
        </w:rPr>
        <w:t>rësh dhe sipërfaqja është e pjerrët duke bërë të mundur lëvizshmërinë e shpejtë të ujrave të shiut.</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 xml:space="preserve">Pas minierës nuk ka toka bujqësore që të </w:t>
      </w:r>
      <w:r w:rsidR="007F227B">
        <w:rPr>
          <w:rFonts w:ascii="Times New Roman" w:eastAsia="Times New Roman" w:hAnsi="Times New Roman" w:cs="Times New Roman"/>
          <w:sz w:val="24"/>
          <w:szCs w:val="24"/>
          <w:lang w:val="it-IT"/>
        </w:rPr>
        <w:t xml:space="preserve">ketë </w:t>
      </w:r>
      <w:r w:rsidR="00A71985">
        <w:rPr>
          <w:rFonts w:ascii="Times New Roman" w:eastAsia="Times New Roman" w:hAnsi="Times New Roman" w:cs="Times New Roman"/>
          <w:sz w:val="24"/>
          <w:szCs w:val="24"/>
          <w:lang w:val="it-IT"/>
        </w:rPr>
        <w:t>ndotje të</w:t>
      </w:r>
      <w:r w:rsidRPr="00773E68">
        <w:rPr>
          <w:rFonts w:ascii="Times New Roman" w:eastAsia="Times New Roman" w:hAnsi="Times New Roman" w:cs="Times New Roman"/>
          <w:sz w:val="24"/>
          <w:szCs w:val="24"/>
          <w:lang w:val="it-IT"/>
        </w:rPr>
        <w:t xml:space="preserve"> tyre.</w:t>
      </w:r>
      <w:r w:rsidR="00A71985">
        <w:rPr>
          <w:rFonts w:ascii="Times New Roman" w:eastAsia="Times New Roman" w:hAnsi="Times New Roman" w:cs="Times New Roman"/>
          <w:sz w:val="24"/>
          <w:szCs w:val="24"/>
          <w:lang w:val="it-IT"/>
        </w:rPr>
        <w:t xml:space="preserve"> Uj</w:t>
      </w:r>
      <w:r w:rsidRPr="00773E68">
        <w:rPr>
          <w:rFonts w:ascii="Times New Roman" w:eastAsia="Times New Roman" w:hAnsi="Times New Roman" w:cs="Times New Roman"/>
          <w:sz w:val="24"/>
          <w:szCs w:val="24"/>
          <w:lang w:val="it-IT"/>
        </w:rPr>
        <w:t>ë</w:t>
      </w:r>
      <w:r w:rsidR="00A71985">
        <w:rPr>
          <w:rFonts w:ascii="Times New Roman" w:eastAsia="Times New Roman" w:hAnsi="Times New Roman" w:cs="Times New Roman"/>
          <w:sz w:val="24"/>
          <w:szCs w:val="24"/>
          <w:lang w:val="it-IT"/>
        </w:rPr>
        <w:t>r</w:t>
      </w:r>
      <w:r w:rsidRPr="00773E68">
        <w:rPr>
          <w:rFonts w:ascii="Times New Roman" w:eastAsia="Times New Roman" w:hAnsi="Times New Roman" w:cs="Times New Roman"/>
          <w:sz w:val="24"/>
          <w:szCs w:val="24"/>
          <w:lang w:val="it-IT"/>
        </w:rPr>
        <w:t>at e shiut kanë një rrugëtim të shkurtër dhe përfundojnë në Liqenin e Fierzës, por duke parë përqëndrimin e elementeve të metaleve të rënda të analizuar, nuk kemi rrezik për ndotje të ujit dhe mjedisit.</w:t>
      </w:r>
    </w:p>
    <w:p w:rsidR="00773E68" w:rsidRDefault="00773E68" w:rsidP="00773E68">
      <w:pPr>
        <w:spacing w:after="0" w:line="240" w:lineRule="auto"/>
        <w:jc w:val="both"/>
        <w:rPr>
          <w:rFonts w:ascii="Times New Roman" w:eastAsia="Times New Roman" w:hAnsi="Times New Roman" w:cs="Times New Roman"/>
          <w:sz w:val="24"/>
          <w:szCs w:val="24"/>
          <w:lang w:val="it-IT"/>
        </w:rPr>
      </w:pPr>
    </w:p>
    <w:p w:rsidR="00A71985" w:rsidRDefault="00A71985" w:rsidP="00773E68">
      <w:pPr>
        <w:spacing w:after="0" w:line="240" w:lineRule="auto"/>
        <w:jc w:val="both"/>
        <w:rPr>
          <w:rFonts w:ascii="Times New Roman" w:eastAsia="Times New Roman" w:hAnsi="Times New Roman" w:cs="Times New Roman"/>
          <w:sz w:val="24"/>
          <w:szCs w:val="24"/>
          <w:lang w:val="it-IT"/>
        </w:rPr>
      </w:pPr>
    </w:p>
    <w:p w:rsidR="00A71985" w:rsidRPr="00773E68" w:rsidRDefault="00A71985" w:rsidP="00773E68">
      <w:pPr>
        <w:spacing w:after="0" w:line="240" w:lineRule="auto"/>
        <w:jc w:val="both"/>
        <w:rPr>
          <w:rFonts w:ascii="Times New Roman" w:eastAsia="Times New Roman" w:hAnsi="Times New Roman" w:cs="Times New Roman"/>
          <w:sz w:val="24"/>
          <w:szCs w:val="24"/>
          <w:lang w:val="it-IT"/>
        </w:rPr>
      </w:pPr>
    </w:p>
    <w:p w:rsidR="00773E68" w:rsidRPr="00711CC6" w:rsidRDefault="00773E68" w:rsidP="00807975">
      <w:pPr>
        <w:pStyle w:val="ListParagraph"/>
        <w:numPr>
          <w:ilvl w:val="0"/>
          <w:numId w:val="103"/>
        </w:numPr>
        <w:spacing w:after="0" w:line="240" w:lineRule="auto"/>
        <w:jc w:val="both"/>
        <w:rPr>
          <w:rFonts w:ascii="Times New Roman" w:eastAsia="Times New Roman" w:hAnsi="Times New Roman" w:cs="Times New Roman"/>
          <w:b/>
          <w:sz w:val="24"/>
          <w:szCs w:val="24"/>
          <w:lang w:val="it-IT"/>
        </w:rPr>
      </w:pPr>
      <w:r w:rsidRPr="00711CC6">
        <w:rPr>
          <w:rFonts w:ascii="Times New Roman" w:eastAsia="Times New Roman" w:hAnsi="Times New Roman" w:cs="Times New Roman"/>
          <w:b/>
          <w:sz w:val="24"/>
          <w:szCs w:val="24"/>
          <w:lang w:val="it-IT"/>
        </w:rPr>
        <w:t>Miniera</w:t>
      </w:r>
      <w:r w:rsidRPr="00711CC6">
        <w:rPr>
          <w:rFonts w:ascii="Times New Roman" w:eastAsia="Times New Roman" w:hAnsi="Times New Roman" w:cs="Times New Roman"/>
          <w:sz w:val="24"/>
          <w:szCs w:val="24"/>
          <w:lang w:val="it-IT"/>
        </w:rPr>
        <w:t xml:space="preserve"> </w:t>
      </w:r>
      <w:r w:rsidRPr="00711CC6">
        <w:rPr>
          <w:rFonts w:ascii="Times New Roman" w:eastAsia="Times New Roman" w:hAnsi="Times New Roman" w:cs="Times New Roman"/>
          <w:b/>
          <w:sz w:val="24"/>
          <w:szCs w:val="24"/>
          <w:lang w:val="it-IT"/>
        </w:rPr>
        <w:t xml:space="preserve"> e Bakrit</w:t>
      </w:r>
      <w:r w:rsidR="00A71985">
        <w:rPr>
          <w:rFonts w:ascii="Times New Roman" w:eastAsia="Times New Roman" w:hAnsi="Times New Roman" w:cs="Times New Roman"/>
          <w:b/>
          <w:sz w:val="24"/>
          <w:szCs w:val="24"/>
          <w:lang w:val="it-IT"/>
        </w:rPr>
        <w:t xml:space="preserve">, </w:t>
      </w:r>
      <w:r w:rsidRPr="00711CC6">
        <w:rPr>
          <w:rFonts w:ascii="Times New Roman" w:eastAsia="Times New Roman" w:hAnsi="Times New Roman" w:cs="Times New Roman"/>
          <w:b/>
          <w:sz w:val="24"/>
          <w:szCs w:val="24"/>
          <w:lang w:val="it-IT"/>
        </w:rPr>
        <w:t xml:space="preserve">Gjegjan  </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Miniera e Gjegjanit gjendet në një pllajë të një faqe mali në të djathtë të Rrugës së Kombit, në një distancë relativisht të afërt, dhe në veri të fshatit Gjegjan.Terreni i minierës është i shtrirë, i hapur dhe me shumë sheshe grumbullimi të materialit mineral. Kjo</w:t>
      </w:r>
      <w:r w:rsidR="008C0EAC">
        <w:rPr>
          <w:rFonts w:ascii="Times New Roman" w:eastAsia="Times New Roman" w:hAnsi="Times New Roman" w:cs="Times New Roman"/>
          <w:sz w:val="24"/>
          <w:szCs w:val="24"/>
          <w:lang w:val="it-IT"/>
        </w:rPr>
        <w:t xml:space="preserve">  bën të mundur që ndotja e ambi</w:t>
      </w:r>
      <w:r w:rsidRPr="00773E68">
        <w:rPr>
          <w:rFonts w:ascii="Times New Roman" w:eastAsia="Times New Roman" w:hAnsi="Times New Roman" w:cs="Times New Roman"/>
          <w:sz w:val="24"/>
          <w:szCs w:val="24"/>
          <w:lang w:val="it-IT"/>
        </w:rPr>
        <w:t>entit  nga minerali të jetë më e madhe.Pllaja ku është depozituar  minerali është në formën e një grope gjigande dhe shmang largimet e shpejta të materialit nga rreshjet.</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Në anën perëndimore të minierës kemi shpate kodrash te të cilat vërehen thellime të terrenit të krijuar nga rreshjet e shiut, gjë që tregon që bashkë me ujin është larguar edhe mineral, që mund të ketë krijuar ndotje të mjedisit përrreth.</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290A95" w:rsidRDefault="00681B50" w:rsidP="00290A95">
      <w:pPr>
        <w:spacing w:after="0" w:line="240" w:lineRule="auto"/>
        <w:jc w:val="center"/>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Tabela 60</w:t>
      </w:r>
      <w:r w:rsidR="00711CC6" w:rsidRPr="00290A95">
        <w:rPr>
          <w:rFonts w:ascii="Times New Roman" w:eastAsia="Times New Roman" w:hAnsi="Times New Roman" w:cs="Times New Roman"/>
          <w:sz w:val="24"/>
          <w:szCs w:val="24"/>
          <w:lang w:val="it-IT"/>
        </w:rPr>
        <w:t>. Rezultatet e</w:t>
      </w:r>
      <w:r w:rsidR="00773E68" w:rsidRPr="00290A95">
        <w:rPr>
          <w:rFonts w:ascii="Times New Roman" w:eastAsia="Times New Roman" w:hAnsi="Times New Roman" w:cs="Times New Roman"/>
          <w:sz w:val="24"/>
          <w:szCs w:val="24"/>
          <w:lang w:val="it-IT"/>
        </w:rPr>
        <w:t xml:space="preserve"> mostrave sip</w:t>
      </w:r>
      <w:r w:rsidR="00773E68" w:rsidRPr="00290A95">
        <w:rPr>
          <w:rFonts w:ascii="Times New Roman" w:eastAsia="Times New Roman" w:hAnsi="Times New Roman" w:cs="Times New Roman"/>
          <w:sz w:val="24"/>
          <w:szCs w:val="24"/>
          <w:lang w:val="nn-NO"/>
        </w:rPr>
        <w:t>ë</w:t>
      </w:r>
      <w:r w:rsidR="00773E68" w:rsidRPr="00290A95">
        <w:rPr>
          <w:rFonts w:ascii="Times New Roman" w:eastAsia="Times New Roman" w:hAnsi="Times New Roman" w:cs="Times New Roman"/>
          <w:sz w:val="24"/>
          <w:szCs w:val="24"/>
          <w:lang w:val="it-IT"/>
        </w:rPr>
        <w:t xml:space="preserve">rfaqësore. </w:t>
      </w:r>
      <w:r w:rsidR="00711CC6" w:rsidRPr="00290A95">
        <w:rPr>
          <w:rFonts w:ascii="Times New Roman" w:eastAsia="Times New Roman" w:hAnsi="Times New Roman" w:cs="Times New Roman"/>
          <w:sz w:val="24"/>
          <w:szCs w:val="24"/>
          <w:lang w:val="it-IT"/>
        </w:rPr>
        <w:t>Miniera e Bakrit</w:t>
      </w:r>
      <w:r w:rsidR="008C0EAC">
        <w:rPr>
          <w:rFonts w:ascii="Times New Roman" w:eastAsia="Times New Roman" w:hAnsi="Times New Roman" w:cs="Times New Roman"/>
          <w:sz w:val="24"/>
          <w:szCs w:val="24"/>
          <w:lang w:val="it-IT"/>
        </w:rPr>
        <w:t>,</w:t>
      </w:r>
      <w:r w:rsidR="00711CC6" w:rsidRPr="00290A95">
        <w:rPr>
          <w:rFonts w:ascii="Times New Roman" w:eastAsia="Times New Roman" w:hAnsi="Times New Roman" w:cs="Times New Roman"/>
          <w:sz w:val="24"/>
          <w:szCs w:val="24"/>
          <w:lang w:val="it-IT"/>
        </w:rPr>
        <w:t xml:space="preserve"> Gjegjan</w:t>
      </w:r>
    </w:p>
    <w:p w:rsidR="00711CC6" w:rsidRPr="00773E68" w:rsidRDefault="00711CC6" w:rsidP="00773E68">
      <w:pPr>
        <w:spacing w:after="0" w:line="240" w:lineRule="auto"/>
        <w:jc w:val="both"/>
        <w:rPr>
          <w:rFonts w:ascii="Times New Roman" w:eastAsia="Times New Roman" w:hAnsi="Times New Roman" w:cs="Times New Roman"/>
          <w:b/>
          <w:sz w:val="24"/>
          <w:szCs w:val="24"/>
          <w:lang w:val="it-IT"/>
        </w:rPr>
      </w:pPr>
    </w:p>
    <w:tbl>
      <w:tblPr>
        <w:tblStyle w:val="TableGrid3"/>
        <w:tblpPr w:leftFromText="180" w:rightFromText="180" w:vertAnchor="text" w:horzAnchor="margin" w:tblpX="-522" w:tblpY="-25"/>
        <w:tblW w:w="10620" w:type="dxa"/>
        <w:tblLayout w:type="fixed"/>
        <w:tblLook w:val="04A0" w:firstRow="1" w:lastRow="0" w:firstColumn="1" w:lastColumn="0" w:noHBand="0" w:noVBand="1"/>
      </w:tblPr>
      <w:tblGrid>
        <w:gridCol w:w="1278"/>
        <w:gridCol w:w="900"/>
        <w:gridCol w:w="1605"/>
        <w:gridCol w:w="709"/>
        <w:gridCol w:w="728"/>
        <w:gridCol w:w="720"/>
        <w:gridCol w:w="720"/>
        <w:gridCol w:w="720"/>
        <w:gridCol w:w="720"/>
        <w:gridCol w:w="720"/>
        <w:gridCol w:w="810"/>
        <w:gridCol w:w="990"/>
      </w:tblGrid>
      <w:tr w:rsidR="00711CC6" w:rsidRPr="00773E68" w:rsidTr="008C0EAC">
        <w:tc>
          <w:tcPr>
            <w:tcW w:w="1278" w:type="dxa"/>
            <w:vMerge w:val="restart"/>
          </w:tcPr>
          <w:p w:rsidR="00711CC6" w:rsidRPr="008C0EAC" w:rsidRDefault="00711CC6" w:rsidP="008C0EAC">
            <w:pPr>
              <w:jc w:val="both"/>
              <w:rPr>
                <w:rFonts w:ascii="Times New Roman" w:eastAsia="Times New Roman" w:hAnsi="Times New Roman" w:cs="Times New Roman"/>
                <w:b/>
                <w:sz w:val="18"/>
                <w:szCs w:val="18"/>
                <w:lang w:val="nn-NO"/>
              </w:rPr>
            </w:pPr>
          </w:p>
          <w:p w:rsidR="00711CC6" w:rsidRPr="008C0EAC" w:rsidRDefault="00290A95" w:rsidP="008C0EAC">
            <w:pPr>
              <w:jc w:val="both"/>
              <w:rPr>
                <w:rFonts w:ascii="Times New Roman" w:eastAsia="Times New Roman" w:hAnsi="Times New Roman" w:cs="Times New Roman"/>
                <w:b/>
                <w:sz w:val="18"/>
                <w:szCs w:val="18"/>
                <w:lang w:val="nn-NO"/>
              </w:rPr>
            </w:pPr>
            <w:r w:rsidRPr="008C0EAC">
              <w:rPr>
                <w:rFonts w:ascii="Times New Roman" w:eastAsia="Times New Roman" w:hAnsi="Times New Roman" w:cs="Times New Roman"/>
                <w:b/>
                <w:sz w:val="18"/>
                <w:szCs w:val="18"/>
                <w:lang w:val="nn-NO"/>
              </w:rPr>
              <w:t>Vendi</w:t>
            </w:r>
          </w:p>
        </w:tc>
        <w:tc>
          <w:tcPr>
            <w:tcW w:w="900" w:type="dxa"/>
            <w:vMerge w:val="restart"/>
          </w:tcPr>
          <w:p w:rsidR="00711CC6" w:rsidRPr="008C0EAC" w:rsidRDefault="00711CC6" w:rsidP="008C0EAC">
            <w:pPr>
              <w:jc w:val="both"/>
              <w:rPr>
                <w:rFonts w:ascii="Times New Roman" w:eastAsia="Times New Roman" w:hAnsi="Times New Roman" w:cs="Times New Roman"/>
                <w:b/>
                <w:sz w:val="18"/>
                <w:szCs w:val="18"/>
                <w:lang w:val="nn-NO"/>
              </w:rPr>
            </w:pPr>
          </w:p>
          <w:p w:rsidR="00711CC6" w:rsidRPr="008C0EAC" w:rsidRDefault="008C0EAC" w:rsidP="008C0EAC">
            <w:pPr>
              <w:jc w:val="both"/>
              <w:rPr>
                <w:rFonts w:ascii="Times New Roman" w:eastAsia="Times New Roman" w:hAnsi="Times New Roman" w:cs="Times New Roman"/>
                <w:b/>
                <w:sz w:val="18"/>
                <w:szCs w:val="18"/>
                <w:lang w:val="nn-NO"/>
              </w:rPr>
            </w:pPr>
            <w:r w:rsidRPr="008C0EAC">
              <w:rPr>
                <w:rFonts w:ascii="Times New Roman" w:eastAsia="Times New Roman" w:hAnsi="Times New Roman" w:cs="Times New Roman"/>
                <w:b/>
                <w:sz w:val="18"/>
                <w:szCs w:val="18"/>
                <w:lang w:val="nn-NO"/>
              </w:rPr>
              <w:t>Tregues</w:t>
            </w:r>
          </w:p>
        </w:tc>
        <w:tc>
          <w:tcPr>
            <w:tcW w:w="1605" w:type="dxa"/>
            <w:vMerge w:val="restart"/>
          </w:tcPr>
          <w:p w:rsidR="00711CC6" w:rsidRPr="008C0EAC" w:rsidRDefault="00711CC6" w:rsidP="008C0EAC">
            <w:pPr>
              <w:jc w:val="both"/>
              <w:rPr>
                <w:rFonts w:ascii="Times New Roman" w:eastAsia="Times New Roman" w:hAnsi="Times New Roman" w:cs="Times New Roman"/>
                <w:b/>
                <w:sz w:val="18"/>
                <w:szCs w:val="18"/>
                <w:lang w:val="nn-NO"/>
              </w:rPr>
            </w:pPr>
          </w:p>
          <w:p w:rsidR="00711CC6" w:rsidRPr="008C0EAC" w:rsidRDefault="008C0EAC" w:rsidP="008C0EAC">
            <w:pPr>
              <w:jc w:val="both"/>
              <w:rPr>
                <w:rFonts w:ascii="Times New Roman" w:eastAsia="Times New Roman" w:hAnsi="Times New Roman" w:cs="Times New Roman"/>
                <w:b/>
                <w:sz w:val="18"/>
                <w:szCs w:val="18"/>
                <w:lang w:val="nn-NO"/>
              </w:rPr>
            </w:pPr>
            <w:r w:rsidRPr="008C0EAC">
              <w:rPr>
                <w:rFonts w:ascii="Times New Roman" w:eastAsia="Times New Roman" w:hAnsi="Times New Roman" w:cs="Times New Roman"/>
                <w:b/>
                <w:sz w:val="18"/>
                <w:szCs w:val="18"/>
                <w:lang w:val="nn-NO"/>
              </w:rPr>
              <w:t>Nj. matjes</w:t>
            </w:r>
          </w:p>
        </w:tc>
        <w:tc>
          <w:tcPr>
            <w:tcW w:w="709" w:type="dxa"/>
            <w:vMerge w:val="restart"/>
          </w:tcPr>
          <w:p w:rsidR="00711CC6" w:rsidRPr="008C0EAC" w:rsidRDefault="008C0EAC" w:rsidP="008C0EAC">
            <w:pPr>
              <w:jc w:val="both"/>
              <w:rPr>
                <w:rFonts w:ascii="Times New Roman" w:eastAsia="Times New Roman" w:hAnsi="Times New Roman" w:cs="Times New Roman"/>
                <w:b/>
                <w:sz w:val="18"/>
                <w:szCs w:val="18"/>
                <w:lang w:val="nn-NO"/>
              </w:rPr>
            </w:pPr>
            <w:r w:rsidRPr="008C0EAC">
              <w:rPr>
                <w:rFonts w:ascii="Times New Roman" w:eastAsia="Times New Roman" w:hAnsi="Times New Roman" w:cs="Times New Roman"/>
                <w:b/>
                <w:sz w:val="18"/>
                <w:szCs w:val="18"/>
                <w:lang w:val="nn-NO"/>
              </w:rPr>
              <w:t>Limit</w:t>
            </w:r>
          </w:p>
        </w:tc>
        <w:tc>
          <w:tcPr>
            <w:tcW w:w="3608" w:type="dxa"/>
            <w:gridSpan w:val="5"/>
          </w:tcPr>
          <w:p w:rsidR="00711CC6" w:rsidRPr="008C0EAC" w:rsidRDefault="00711CC6" w:rsidP="008C0EAC">
            <w:pPr>
              <w:jc w:val="both"/>
              <w:rPr>
                <w:rFonts w:ascii="Times New Roman" w:eastAsia="Times New Roman" w:hAnsi="Times New Roman" w:cs="Times New Roman"/>
                <w:b/>
                <w:sz w:val="18"/>
                <w:szCs w:val="18"/>
                <w:lang w:val="nn-NO"/>
              </w:rPr>
            </w:pPr>
            <w:r w:rsidRPr="008C0EAC">
              <w:rPr>
                <w:rFonts w:ascii="Times New Roman" w:eastAsia="Times New Roman" w:hAnsi="Times New Roman" w:cs="Times New Roman"/>
                <w:b/>
                <w:sz w:val="18"/>
                <w:szCs w:val="18"/>
                <w:lang w:val="nn-NO"/>
              </w:rPr>
              <w:t>REZULTATET</w:t>
            </w:r>
            <w:r w:rsidR="00290A95" w:rsidRPr="008C0EAC">
              <w:rPr>
                <w:rFonts w:ascii="Times New Roman" w:eastAsia="Times New Roman" w:hAnsi="Times New Roman" w:cs="Times New Roman"/>
                <w:b/>
                <w:sz w:val="18"/>
                <w:szCs w:val="18"/>
                <w:lang w:val="nn-NO"/>
              </w:rPr>
              <w:t xml:space="preserve"> E MOSTRAVE</w:t>
            </w:r>
          </w:p>
        </w:tc>
        <w:tc>
          <w:tcPr>
            <w:tcW w:w="2520" w:type="dxa"/>
            <w:gridSpan w:val="3"/>
          </w:tcPr>
          <w:p w:rsidR="00711CC6" w:rsidRPr="008C0EAC" w:rsidRDefault="00711CC6" w:rsidP="008C0EAC">
            <w:pPr>
              <w:jc w:val="both"/>
              <w:rPr>
                <w:rFonts w:ascii="Times New Roman" w:eastAsia="Times New Roman" w:hAnsi="Times New Roman" w:cs="Times New Roman"/>
                <w:b/>
                <w:sz w:val="18"/>
                <w:szCs w:val="18"/>
                <w:lang w:val="nn-NO"/>
              </w:rPr>
            </w:pPr>
            <w:r w:rsidRPr="008C0EAC">
              <w:rPr>
                <w:rFonts w:ascii="Times New Roman" w:eastAsia="Times New Roman" w:hAnsi="Times New Roman" w:cs="Times New Roman"/>
                <w:b/>
                <w:sz w:val="18"/>
                <w:szCs w:val="18"/>
                <w:lang w:val="nn-NO"/>
              </w:rPr>
              <w:t>REZULTATET E PROFILIT</w:t>
            </w:r>
          </w:p>
        </w:tc>
      </w:tr>
      <w:tr w:rsidR="00711CC6" w:rsidRPr="00773E68" w:rsidTr="008C0EAC">
        <w:tc>
          <w:tcPr>
            <w:tcW w:w="1278" w:type="dxa"/>
            <w:vMerge/>
          </w:tcPr>
          <w:p w:rsidR="00711CC6" w:rsidRPr="008C0EAC" w:rsidRDefault="00711CC6" w:rsidP="008C0EAC">
            <w:pPr>
              <w:jc w:val="both"/>
              <w:rPr>
                <w:rFonts w:ascii="Times New Roman" w:eastAsia="Times New Roman" w:hAnsi="Times New Roman" w:cs="Times New Roman"/>
                <w:b/>
                <w:sz w:val="18"/>
                <w:szCs w:val="18"/>
                <w:lang w:val="nn-NO"/>
              </w:rPr>
            </w:pPr>
          </w:p>
        </w:tc>
        <w:tc>
          <w:tcPr>
            <w:tcW w:w="900" w:type="dxa"/>
            <w:vMerge/>
          </w:tcPr>
          <w:p w:rsidR="00711CC6" w:rsidRPr="008C0EAC" w:rsidRDefault="00711CC6" w:rsidP="008C0EAC">
            <w:pPr>
              <w:jc w:val="both"/>
              <w:rPr>
                <w:rFonts w:ascii="Times New Roman" w:eastAsia="Times New Roman" w:hAnsi="Times New Roman" w:cs="Times New Roman"/>
                <w:b/>
                <w:sz w:val="18"/>
                <w:szCs w:val="18"/>
                <w:lang w:val="nn-NO"/>
              </w:rPr>
            </w:pPr>
          </w:p>
        </w:tc>
        <w:tc>
          <w:tcPr>
            <w:tcW w:w="1605" w:type="dxa"/>
            <w:vMerge/>
          </w:tcPr>
          <w:p w:rsidR="00711CC6" w:rsidRPr="008C0EAC" w:rsidRDefault="00711CC6" w:rsidP="008C0EAC">
            <w:pPr>
              <w:jc w:val="both"/>
              <w:rPr>
                <w:rFonts w:ascii="Times New Roman" w:eastAsia="Times New Roman" w:hAnsi="Times New Roman" w:cs="Times New Roman"/>
                <w:b/>
                <w:sz w:val="18"/>
                <w:szCs w:val="18"/>
                <w:lang w:val="nn-NO"/>
              </w:rPr>
            </w:pPr>
          </w:p>
        </w:tc>
        <w:tc>
          <w:tcPr>
            <w:tcW w:w="709" w:type="dxa"/>
            <w:vMerge/>
          </w:tcPr>
          <w:p w:rsidR="00711CC6" w:rsidRPr="008C0EAC" w:rsidRDefault="00711CC6" w:rsidP="008C0EAC">
            <w:pPr>
              <w:jc w:val="both"/>
              <w:rPr>
                <w:rFonts w:ascii="Times New Roman" w:eastAsia="Times New Roman" w:hAnsi="Times New Roman" w:cs="Times New Roman"/>
                <w:b/>
                <w:sz w:val="18"/>
                <w:szCs w:val="18"/>
                <w:lang w:val="nn-NO"/>
              </w:rPr>
            </w:pPr>
          </w:p>
        </w:tc>
        <w:tc>
          <w:tcPr>
            <w:tcW w:w="728" w:type="dxa"/>
          </w:tcPr>
          <w:p w:rsidR="00711CC6" w:rsidRPr="008C0EAC" w:rsidRDefault="00711CC6" w:rsidP="008C0EAC">
            <w:pPr>
              <w:jc w:val="both"/>
              <w:rPr>
                <w:rFonts w:ascii="Times New Roman" w:eastAsia="Times New Roman" w:hAnsi="Times New Roman" w:cs="Times New Roman"/>
                <w:b/>
                <w:sz w:val="18"/>
                <w:szCs w:val="18"/>
                <w:lang w:val="nn-NO"/>
              </w:rPr>
            </w:pPr>
            <w:r w:rsidRPr="008C0EAC">
              <w:rPr>
                <w:rFonts w:ascii="Times New Roman" w:eastAsia="Times New Roman" w:hAnsi="Times New Roman" w:cs="Times New Roman"/>
                <w:b/>
                <w:sz w:val="18"/>
                <w:szCs w:val="18"/>
                <w:lang w:val="nn-NO"/>
              </w:rPr>
              <w:t xml:space="preserve">M.  1 0–30 </w:t>
            </w:r>
          </w:p>
        </w:tc>
        <w:tc>
          <w:tcPr>
            <w:tcW w:w="720" w:type="dxa"/>
          </w:tcPr>
          <w:p w:rsidR="00711CC6" w:rsidRPr="008C0EAC" w:rsidRDefault="00711CC6" w:rsidP="008C0EAC">
            <w:pPr>
              <w:jc w:val="both"/>
              <w:rPr>
                <w:rFonts w:ascii="Times New Roman" w:eastAsia="Times New Roman" w:hAnsi="Times New Roman" w:cs="Times New Roman"/>
                <w:b/>
                <w:sz w:val="18"/>
                <w:szCs w:val="18"/>
              </w:rPr>
            </w:pPr>
            <w:r w:rsidRPr="008C0EAC">
              <w:rPr>
                <w:rFonts w:ascii="Times New Roman" w:eastAsia="Times New Roman" w:hAnsi="Times New Roman" w:cs="Times New Roman"/>
                <w:b/>
                <w:sz w:val="18"/>
                <w:szCs w:val="18"/>
                <w:lang w:val="nn-NO"/>
              </w:rPr>
              <w:t>M</w:t>
            </w:r>
            <w:r w:rsidRPr="008C0EAC">
              <w:rPr>
                <w:rFonts w:ascii="Times New Roman" w:eastAsia="Times New Roman" w:hAnsi="Times New Roman" w:cs="Times New Roman"/>
                <w:b/>
                <w:sz w:val="18"/>
                <w:szCs w:val="18"/>
              </w:rPr>
              <w:t>.  2</w:t>
            </w:r>
          </w:p>
          <w:p w:rsidR="00711CC6" w:rsidRPr="008C0EAC" w:rsidRDefault="00711CC6" w:rsidP="008C0EAC">
            <w:pPr>
              <w:jc w:val="both"/>
              <w:rPr>
                <w:rFonts w:ascii="Times New Roman" w:eastAsia="Times New Roman" w:hAnsi="Times New Roman" w:cs="Times New Roman"/>
                <w:b/>
                <w:sz w:val="18"/>
                <w:szCs w:val="18"/>
              </w:rPr>
            </w:pPr>
            <w:r w:rsidRPr="008C0EAC">
              <w:rPr>
                <w:rFonts w:ascii="Times New Roman" w:eastAsia="Times New Roman" w:hAnsi="Times New Roman" w:cs="Times New Roman"/>
                <w:b/>
                <w:sz w:val="18"/>
                <w:szCs w:val="18"/>
              </w:rPr>
              <w:t xml:space="preserve"> 0–30 </w:t>
            </w:r>
          </w:p>
        </w:tc>
        <w:tc>
          <w:tcPr>
            <w:tcW w:w="720" w:type="dxa"/>
          </w:tcPr>
          <w:p w:rsidR="00711CC6" w:rsidRPr="008C0EAC" w:rsidRDefault="00711CC6" w:rsidP="008C0EAC">
            <w:pPr>
              <w:jc w:val="both"/>
              <w:rPr>
                <w:rFonts w:ascii="Times New Roman" w:eastAsia="Times New Roman" w:hAnsi="Times New Roman" w:cs="Times New Roman"/>
                <w:b/>
                <w:sz w:val="18"/>
                <w:szCs w:val="18"/>
              </w:rPr>
            </w:pPr>
            <w:r w:rsidRPr="008C0EAC">
              <w:rPr>
                <w:rFonts w:ascii="Times New Roman" w:eastAsia="Times New Roman" w:hAnsi="Times New Roman" w:cs="Times New Roman"/>
                <w:b/>
                <w:sz w:val="18"/>
                <w:szCs w:val="18"/>
              </w:rPr>
              <w:t>M  3</w:t>
            </w:r>
          </w:p>
          <w:p w:rsidR="00711CC6" w:rsidRPr="008C0EAC" w:rsidRDefault="00711CC6" w:rsidP="008C0EAC">
            <w:pPr>
              <w:jc w:val="both"/>
              <w:rPr>
                <w:rFonts w:ascii="Times New Roman" w:eastAsia="Times New Roman" w:hAnsi="Times New Roman" w:cs="Times New Roman"/>
                <w:b/>
                <w:sz w:val="18"/>
                <w:szCs w:val="18"/>
              </w:rPr>
            </w:pPr>
            <w:r w:rsidRPr="008C0EAC">
              <w:rPr>
                <w:rFonts w:ascii="Times New Roman" w:eastAsia="Times New Roman" w:hAnsi="Times New Roman" w:cs="Times New Roman"/>
                <w:b/>
                <w:sz w:val="18"/>
                <w:szCs w:val="18"/>
              </w:rPr>
              <w:t xml:space="preserve">0  </w:t>
            </w:r>
            <w:r w:rsidR="00290A95" w:rsidRPr="008C0EAC">
              <w:rPr>
                <w:rFonts w:ascii="Times New Roman" w:eastAsia="Times New Roman" w:hAnsi="Times New Roman" w:cs="Times New Roman"/>
                <w:b/>
                <w:sz w:val="18"/>
                <w:szCs w:val="18"/>
              </w:rPr>
              <w:t>-</w:t>
            </w:r>
            <w:r w:rsidRPr="008C0EAC">
              <w:rPr>
                <w:rFonts w:ascii="Times New Roman" w:eastAsia="Times New Roman" w:hAnsi="Times New Roman" w:cs="Times New Roman"/>
                <w:b/>
                <w:sz w:val="18"/>
                <w:szCs w:val="18"/>
              </w:rPr>
              <w:t>30</w:t>
            </w:r>
          </w:p>
        </w:tc>
        <w:tc>
          <w:tcPr>
            <w:tcW w:w="720" w:type="dxa"/>
          </w:tcPr>
          <w:p w:rsidR="00711CC6" w:rsidRPr="008C0EAC" w:rsidRDefault="00711CC6" w:rsidP="008C0EAC">
            <w:pPr>
              <w:jc w:val="both"/>
              <w:rPr>
                <w:rFonts w:ascii="Times New Roman" w:eastAsia="Times New Roman" w:hAnsi="Times New Roman" w:cs="Times New Roman"/>
                <w:b/>
                <w:sz w:val="18"/>
                <w:szCs w:val="18"/>
              </w:rPr>
            </w:pPr>
            <w:r w:rsidRPr="008C0EAC">
              <w:rPr>
                <w:rFonts w:ascii="Times New Roman" w:eastAsia="Times New Roman" w:hAnsi="Times New Roman" w:cs="Times New Roman"/>
                <w:b/>
                <w:sz w:val="18"/>
                <w:szCs w:val="18"/>
              </w:rPr>
              <w:t xml:space="preserve">M. 4 </w:t>
            </w:r>
          </w:p>
          <w:p w:rsidR="00711CC6" w:rsidRPr="008C0EAC" w:rsidRDefault="00711CC6" w:rsidP="008C0EAC">
            <w:pPr>
              <w:jc w:val="both"/>
              <w:rPr>
                <w:rFonts w:ascii="Times New Roman" w:eastAsia="Times New Roman" w:hAnsi="Times New Roman" w:cs="Times New Roman"/>
                <w:b/>
                <w:sz w:val="18"/>
                <w:szCs w:val="18"/>
              </w:rPr>
            </w:pPr>
            <w:r w:rsidRPr="008C0EAC">
              <w:rPr>
                <w:rFonts w:ascii="Times New Roman" w:eastAsia="Times New Roman" w:hAnsi="Times New Roman" w:cs="Times New Roman"/>
                <w:b/>
                <w:sz w:val="18"/>
                <w:szCs w:val="18"/>
              </w:rPr>
              <w:t xml:space="preserve">0–30 </w:t>
            </w:r>
          </w:p>
          <w:p w:rsidR="00711CC6" w:rsidRPr="008C0EAC" w:rsidRDefault="00711CC6" w:rsidP="008C0EAC">
            <w:pPr>
              <w:jc w:val="both"/>
              <w:rPr>
                <w:rFonts w:ascii="Times New Roman" w:eastAsia="Times New Roman" w:hAnsi="Times New Roman" w:cs="Times New Roman"/>
                <w:b/>
                <w:sz w:val="18"/>
                <w:szCs w:val="18"/>
              </w:rPr>
            </w:pPr>
          </w:p>
        </w:tc>
        <w:tc>
          <w:tcPr>
            <w:tcW w:w="720" w:type="dxa"/>
          </w:tcPr>
          <w:p w:rsidR="00711CC6" w:rsidRPr="008C0EAC" w:rsidRDefault="00711CC6" w:rsidP="008C0EAC">
            <w:pPr>
              <w:jc w:val="both"/>
              <w:rPr>
                <w:rFonts w:ascii="Times New Roman" w:eastAsia="Times New Roman" w:hAnsi="Times New Roman" w:cs="Times New Roman"/>
                <w:b/>
                <w:sz w:val="18"/>
                <w:szCs w:val="18"/>
              </w:rPr>
            </w:pPr>
            <w:r w:rsidRPr="008C0EAC">
              <w:rPr>
                <w:rFonts w:ascii="Times New Roman" w:eastAsia="Times New Roman" w:hAnsi="Times New Roman" w:cs="Times New Roman"/>
                <w:b/>
                <w:sz w:val="18"/>
                <w:szCs w:val="18"/>
              </w:rPr>
              <w:t>M. 5</w:t>
            </w:r>
          </w:p>
          <w:p w:rsidR="00711CC6" w:rsidRPr="008C0EAC" w:rsidRDefault="00711CC6" w:rsidP="008C0EAC">
            <w:pPr>
              <w:jc w:val="both"/>
              <w:rPr>
                <w:rFonts w:ascii="Times New Roman" w:eastAsia="Times New Roman" w:hAnsi="Times New Roman" w:cs="Times New Roman"/>
                <w:b/>
                <w:sz w:val="18"/>
                <w:szCs w:val="18"/>
              </w:rPr>
            </w:pPr>
            <w:r w:rsidRPr="008C0EAC">
              <w:rPr>
                <w:rFonts w:ascii="Times New Roman" w:eastAsia="Times New Roman" w:hAnsi="Times New Roman" w:cs="Times New Roman"/>
                <w:b/>
                <w:sz w:val="18"/>
                <w:szCs w:val="18"/>
              </w:rPr>
              <w:t xml:space="preserve">0 </w:t>
            </w:r>
            <w:r w:rsidR="00290A95" w:rsidRPr="008C0EAC">
              <w:rPr>
                <w:rFonts w:ascii="Times New Roman" w:eastAsia="Times New Roman" w:hAnsi="Times New Roman" w:cs="Times New Roman"/>
                <w:b/>
                <w:sz w:val="18"/>
                <w:szCs w:val="18"/>
              </w:rPr>
              <w:t>-</w:t>
            </w:r>
            <w:r w:rsidRPr="008C0EAC">
              <w:rPr>
                <w:rFonts w:ascii="Times New Roman" w:eastAsia="Times New Roman" w:hAnsi="Times New Roman" w:cs="Times New Roman"/>
                <w:b/>
                <w:sz w:val="18"/>
                <w:szCs w:val="18"/>
              </w:rPr>
              <w:t xml:space="preserve"> 30</w:t>
            </w:r>
          </w:p>
        </w:tc>
        <w:tc>
          <w:tcPr>
            <w:tcW w:w="720" w:type="dxa"/>
          </w:tcPr>
          <w:p w:rsidR="00711CC6" w:rsidRPr="008C0EAC" w:rsidRDefault="00711CC6" w:rsidP="008C0EAC">
            <w:pPr>
              <w:jc w:val="both"/>
              <w:rPr>
                <w:rFonts w:ascii="Times New Roman" w:eastAsia="Times New Roman" w:hAnsi="Times New Roman" w:cs="Times New Roman"/>
                <w:b/>
                <w:sz w:val="18"/>
                <w:szCs w:val="18"/>
              </w:rPr>
            </w:pPr>
          </w:p>
          <w:p w:rsidR="00711CC6" w:rsidRPr="008C0EAC" w:rsidRDefault="00711CC6" w:rsidP="008C0EAC">
            <w:pPr>
              <w:jc w:val="both"/>
              <w:rPr>
                <w:rFonts w:ascii="Times New Roman" w:eastAsia="Times New Roman" w:hAnsi="Times New Roman" w:cs="Times New Roman"/>
                <w:b/>
                <w:sz w:val="18"/>
                <w:szCs w:val="18"/>
              </w:rPr>
            </w:pPr>
            <w:r w:rsidRPr="008C0EAC">
              <w:rPr>
                <w:rFonts w:ascii="Times New Roman" w:eastAsia="Times New Roman" w:hAnsi="Times New Roman" w:cs="Times New Roman"/>
                <w:b/>
                <w:sz w:val="18"/>
                <w:szCs w:val="18"/>
              </w:rPr>
              <w:t>0 - 30</w:t>
            </w:r>
          </w:p>
        </w:tc>
        <w:tc>
          <w:tcPr>
            <w:tcW w:w="810" w:type="dxa"/>
          </w:tcPr>
          <w:p w:rsidR="00711CC6" w:rsidRPr="008C0EAC" w:rsidRDefault="00711CC6" w:rsidP="008C0EAC">
            <w:pPr>
              <w:jc w:val="both"/>
              <w:rPr>
                <w:rFonts w:ascii="Times New Roman" w:eastAsia="Times New Roman" w:hAnsi="Times New Roman" w:cs="Times New Roman"/>
                <w:b/>
                <w:sz w:val="18"/>
                <w:szCs w:val="18"/>
              </w:rPr>
            </w:pPr>
          </w:p>
          <w:p w:rsidR="00711CC6" w:rsidRPr="008C0EAC" w:rsidRDefault="00711CC6" w:rsidP="008C0EAC">
            <w:pPr>
              <w:jc w:val="both"/>
              <w:rPr>
                <w:rFonts w:ascii="Times New Roman" w:eastAsia="Times New Roman" w:hAnsi="Times New Roman" w:cs="Times New Roman"/>
                <w:b/>
                <w:sz w:val="18"/>
                <w:szCs w:val="18"/>
              </w:rPr>
            </w:pPr>
            <w:r w:rsidRPr="008C0EAC">
              <w:rPr>
                <w:rFonts w:ascii="Times New Roman" w:eastAsia="Times New Roman" w:hAnsi="Times New Roman" w:cs="Times New Roman"/>
                <w:b/>
                <w:sz w:val="18"/>
                <w:szCs w:val="18"/>
              </w:rPr>
              <w:t>30 - 60</w:t>
            </w:r>
          </w:p>
        </w:tc>
        <w:tc>
          <w:tcPr>
            <w:tcW w:w="990" w:type="dxa"/>
          </w:tcPr>
          <w:p w:rsidR="00711CC6" w:rsidRPr="008C0EAC" w:rsidRDefault="00711CC6" w:rsidP="008C0EAC">
            <w:pPr>
              <w:jc w:val="both"/>
              <w:rPr>
                <w:rFonts w:ascii="Times New Roman" w:eastAsia="Times New Roman" w:hAnsi="Times New Roman" w:cs="Times New Roman"/>
                <w:b/>
                <w:sz w:val="18"/>
                <w:szCs w:val="18"/>
              </w:rPr>
            </w:pPr>
          </w:p>
          <w:p w:rsidR="00711CC6" w:rsidRPr="008C0EAC" w:rsidRDefault="00711CC6" w:rsidP="008C0EAC">
            <w:pPr>
              <w:jc w:val="both"/>
              <w:rPr>
                <w:rFonts w:ascii="Times New Roman" w:eastAsia="Times New Roman" w:hAnsi="Times New Roman" w:cs="Times New Roman"/>
                <w:b/>
                <w:sz w:val="18"/>
                <w:szCs w:val="18"/>
              </w:rPr>
            </w:pPr>
            <w:r w:rsidRPr="008C0EAC">
              <w:rPr>
                <w:rFonts w:ascii="Times New Roman" w:eastAsia="Times New Roman" w:hAnsi="Times New Roman" w:cs="Times New Roman"/>
                <w:b/>
                <w:sz w:val="18"/>
                <w:szCs w:val="18"/>
              </w:rPr>
              <w:t>60 – 100</w:t>
            </w:r>
          </w:p>
        </w:tc>
      </w:tr>
      <w:tr w:rsidR="00711CC6" w:rsidRPr="00773E68" w:rsidTr="008C0EAC">
        <w:trPr>
          <w:trHeight w:val="134"/>
        </w:trPr>
        <w:tc>
          <w:tcPr>
            <w:tcW w:w="1278" w:type="dxa"/>
            <w:vMerge w:val="restart"/>
          </w:tcPr>
          <w:p w:rsidR="00711CC6" w:rsidRPr="00773E68" w:rsidRDefault="00711CC6" w:rsidP="008C0EAC">
            <w:pPr>
              <w:jc w:val="both"/>
              <w:rPr>
                <w:rFonts w:ascii="Times New Roman" w:eastAsia="Times New Roman" w:hAnsi="Times New Roman" w:cs="Times New Roman"/>
                <w:b/>
                <w:sz w:val="24"/>
                <w:szCs w:val="24"/>
              </w:rPr>
            </w:pPr>
          </w:p>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 xml:space="preserve">Ish Uzina e </w:t>
            </w:r>
          </w:p>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Bakrit</w:t>
            </w:r>
          </w:p>
          <w:p w:rsidR="00711CC6" w:rsidRPr="00773E68" w:rsidRDefault="00711CC6" w:rsidP="008C0EAC">
            <w:pPr>
              <w:jc w:val="both"/>
              <w:rPr>
                <w:rFonts w:ascii="Times New Roman" w:eastAsia="Times New Roman" w:hAnsi="Times New Roman" w:cs="Times New Roman"/>
                <w:b/>
                <w:sz w:val="24"/>
                <w:szCs w:val="24"/>
              </w:rPr>
            </w:pPr>
            <w:r w:rsidRPr="00773E68">
              <w:rPr>
                <w:rFonts w:ascii="Times New Roman" w:eastAsia="Times New Roman" w:hAnsi="Times New Roman" w:cs="Times New Roman"/>
                <w:sz w:val="24"/>
                <w:szCs w:val="24"/>
              </w:rPr>
              <w:t>Gjegjan</w:t>
            </w:r>
          </w:p>
          <w:p w:rsidR="00711CC6" w:rsidRPr="00773E68" w:rsidRDefault="00711CC6" w:rsidP="008C0EAC">
            <w:pPr>
              <w:jc w:val="both"/>
              <w:rPr>
                <w:rFonts w:ascii="Times New Roman" w:eastAsia="Times New Roman" w:hAnsi="Times New Roman" w:cs="Times New Roman"/>
                <w:b/>
                <w:sz w:val="24"/>
                <w:szCs w:val="24"/>
              </w:rPr>
            </w:pPr>
          </w:p>
          <w:p w:rsidR="00711CC6" w:rsidRPr="00773E68" w:rsidRDefault="00711CC6" w:rsidP="008C0EAC">
            <w:pPr>
              <w:jc w:val="both"/>
              <w:rPr>
                <w:rFonts w:ascii="Times New Roman" w:eastAsia="Times New Roman" w:hAnsi="Times New Roman" w:cs="Times New Roman"/>
                <w:b/>
                <w:sz w:val="24"/>
                <w:szCs w:val="24"/>
              </w:rPr>
            </w:pPr>
          </w:p>
          <w:p w:rsidR="00711CC6" w:rsidRPr="00773E68" w:rsidRDefault="00711CC6" w:rsidP="008C0EAC">
            <w:pPr>
              <w:jc w:val="both"/>
              <w:rPr>
                <w:rFonts w:ascii="Times New Roman" w:eastAsia="Times New Roman" w:hAnsi="Times New Roman" w:cs="Times New Roman"/>
                <w:b/>
                <w:sz w:val="24"/>
                <w:szCs w:val="24"/>
              </w:rPr>
            </w:pPr>
          </w:p>
        </w:tc>
        <w:tc>
          <w:tcPr>
            <w:tcW w:w="900" w:type="dxa"/>
          </w:tcPr>
          <w:p w:rsidR="00711CC6" w:rsidRPr="00773E68" w:rsidRDefault="00711CC6" w:rsidP="008C0EAC">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Cd</w:t>
            </w:r>
          </w:p>
        </w:tc>
        <w:tc>
          <w:tcPr>
            <w:tcW w:w="1605" w:type="dxa"/>
          </w:tcPr>
          <w:p w:rsidR="00711CC6" w:rsidRPr="00773E68" w:rsidRDefault="00711CC6" w:rsidP="008C0EAC">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11CC6" w:rsidRPr="00773E68" w:rsidRDefault="00711CC6" w:rsidP="008C0EAC">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728"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0.79</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0.71</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0.77</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0.84</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0.8</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0.65</w:t>
            </w:r>
          </w:p>
        </w:tc>
        <w:tc>
          <w:tcPr>
            <w:tcW w:w="81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0.61</w:t>
            </w:r>
          </w:p>
        </w:tc>
        <w:tc>
          <w:tcPr>
            <w:tcW w:w="99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0.58</w:t>
            </w:r>
          </w:p>
        </w:tc>
      </w:tr>
      <w:tr w:rsidR="00711CC6" w:rsidRPr="00773E68" w:rsidTr="008C0EAC">
        <w:tc>
          <w:tcPr>
            <w:tcW w:w="1278" w:type="dxa"/>
            <w:vMerge/>
          </w:tcPr>
          <w:p w:rsidR="00711CC6" w:rsidRPr="00773E68" w:rsidRDefault="00711CC6" w:rsidP="008C0EAC">
            <w:pPr>
              <w:jc w:val="both"/>
              <w:rPr>
                <w:rFonts w:ascii="Times New Roman" w:eastAsia="Times New Roman" w:hAnsi="Times New Roman" w:cs="Times New Roman"/>
                <w:b/>
                <w:sz w:val="24"/>
                <w:szCs w:val="24"/>
              </w:rPr>
            </w:pPr>
          </w:p>
        </w:tc>
        <w:tc>
          <w:tcPr>
            <w:tcW w:w="900" w:type="dxa"/>
          </w:tcPr>
          <w:p w:rsidR="00711CC6" w:rsidRPr="00773E68" w:rsidRDefault="00711CC6" w:rsidP="008C0EAC">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Fe</w:t>
            </w:r>
          </w:p>
        </w:tc>
        <w:tc>
          <w:tcPr>
            <w:tcW w:w="1605" w:type="dxa"/>
          </w:tcPr>
          <w:p w:rsidR="00711CC6" w:rsidRPr="00773E68" w:rsidRDefault="00711CC6" w:rsidP="008C0EAC">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11CC6" w:rsidRPr="00773E68" w:rsidRDefault="00711CC6" w:rsidP="008C0EAC">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w:t>
            </w:r>
          </w:p>
        </w:tc>
        <w:tc>
          <w:tcPr>
            <w:tcW w:w="728"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0.52</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0.48</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0.62</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0.54</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0.4</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0.67</w:t>
            </w:r>
          </w:p>
        </w:tc>
        <w:tc>
          <w:tcPr>
            <w:tcW w:w="81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0.58</w:t>
            </w:r>
          </w:p>
        </w:tc>
        <w:tc>
          <w:tcPr>
            <w:tcW w:w="99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0.57</w:t>
            </w:r>
          </w:p>
        </w:tc>
      </w:tr>
      <w:tr w:rsidR="00711CC6" w:rsidRPr="00773E68" w:rsidTr="008C0EAC">
        <w:tc>
          <w:tcPr>
            <w:tcW w:w="1278" w:type="dxa"/>
            <w:vMerge/>
          </w:tcPr>
          <w:p w:rsidR="00711CC6" w:rsidRPr="00773E68" w:rsidRDefault="00711CC6" w:rsidP="008C0EAC">
            <w:pPr>
              <w:jc w:val="both"/>
              <w:rPr>
                <w:rFonts w:ascii="Times New Roman" w:eastAsia="Times New Roman" w:hAnsi="Times New Roman" w:cs="Times New Roman"/>
                <w:b/>
                <w:sz w:val="24"/>
                <w:szCs w:val="24"/>
              </w:rPr>
            </w:pPr>
          </w:p>
        </w:tc>
        <w:tc>
          <w:tcPr>
            <w:tcW w:w="900" w:type="dxa"/>
          </w:tcPr>
          <w:p w:rsidR="00711CC6" w:rsidRPr="00773E68" w:rsidRDefault="00711CC6" w:rsidP="008C0EAC">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Cu</w:t>
            </w:r>
          </w:p>
        </w:tc>
        <w:tc>
          <w:tcPr>
            <w:tcW w:w="1605" w:type="dxa"/>
          </w:tcPr>
          <w:p w:rsidR="00711CC6" w:rsidRPr="00773E68" w:rsidRDefault="00711CC6" w:rsidP="008C0EAC">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11CC6" w:rsidRPr="00773E68" w:rsidRDefault="00711CC6" w:rsidP="008C0EAC">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140</w:t>
            </w:r>
          </w:p>
        </w:tc>
        <w:tc>
          <w:tcPr>
            <w:tcW w:w="728"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25.0</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24.2</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22.1</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19.8</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17.5</w:t>
            </w:r>
          </w:p>
        </w:tc>
        <w:tc>
          <w:tcPr>
            <w:tcW w:w="81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18.9</w:t>
            </w:r>
          </w:p>
        </w:tc>
        <w:tc>
          <w:tcPr>
            <w:tcW w:w="99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19.7</w:t>
            </w:r>
          </w:p>
        </w:tc>
      </w:tr>
      <w:tr w:rsidR="00711CC6" w:rsidRPr="00773E68" w:rsidTr="008C0EAC">
        <w:tc>
          <w:tcPr>
            <w:tcW w:w="1278" w:type="dxa"/>
            <w:vMerge/>
          </w:tcPr>
          <w:p w:rsidR="00711CC6" w:rsidRPr="00773E68" w:rsidRDefault="00711CC6" w:rsidP="008C0EAC">
            <w:pPr>
              <w:jc w:val="both"/>
              <w:rPr>
                <w:rFonts w:ascii="Times New Roman" w:eastAsia="Times New Roman" w:hAnsi="Times New Roman" w:cs="Times New Roman"/>
                <w:b/>
                <w:sz w:val="24"/>
                <w:szCs w:val="24"/>
              </w:rPr>
            </w:pPr>
          </w:p>
        </w:tc>
        <w:tc>
          <w:tcPr>
            <w:tcW w:w="900" w:type="dxa"/>
          </w:tcPr>
          <w:p w:rsidR="00711CC6" w:rsidRPr="00773E68" w:rsidRDefault="00711CC6" w:rsidP="008C0EAC">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Ni</w:t>
            </w:r>
          </w:p>
        </w:tc>
        <w:tc>
          <w:tcPr>
            <w:tcW w:w="1605" w:type="dxa"/>
          </w:tcPr>
          <w:p w:rsidR="00711CC6" w:rsidRPr="00773E68" w:rsidRDefault="00711CC6" w:rsidP="008C0EAC">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11CC6" w:rsidRPr="00773E68" w:rsidRDefault="00711CC6" w:rsidP="008C0EAC">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75</w:t>
            </w:r>
          </w:p>
        </w:tc>
        <w:tc>
          <w:tcPr>
            <w:tcW w:w="728"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1.5</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1.0</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1.7</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1.3</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1.1</w:t>
            </w:r>
          </w:p>
        </w:tc>
        <w:tc>
          <w:tcPr>
            <w:tcW w:w="81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w:t>
            </w:r>
          </w:p>
        </w:tc>
        <w:tc>
          <w:tcPr>
            <w:tcW w:w="99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2.3</w:t>
            </w:r>
          </w:p>
        </w:tc>
      </w:tr>
      <w:tr w:rsidR="00711CC6" w:rsidRPr="00773E68" w:rsidTr="008C0EAC">
        <w:tc>
          <w:tcPr>
            <w:tcW w:w="1278" w:type="dxa"/>
            <w:vMerge/>
          </w:tcPr>
          <w:p w:rsidR="00711CC6" w:rsidRPr="00773E68" w:rsidRDefault="00711CC6" w:rsidP="008C0EAC">
            <w:pPr>
              <w:jc w:val="both"/>
              <w:rPr>
                <w:rFonts w:ascii="Times New Roman" w:eastAsia="Times New Roman" w:hAnsi="Times New Roman" w:cs="Times New Roman"/>
                <w:b/>
                <w:sz w:val="24"/>
                <w:szCs w:val="24"/>
              </w:rPr>
            </w:pPr>
          </w:p>
        </w:tc>
        <w:tc>
          <w:tcPr>
            <w:tcW w:w="900" w:type="dxa"/>
          </w:tcPr>
          <w:p w:rsidR="00711CC6" w:rsidRPr="00773E68" w:rsidRDefault="00711CC6" w:rsidP="008C0EAC">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Pb</w:t>
            </w:r>
          </w:p>
        </w:tc>
        <w:tc>
          <w:tcPr>
            <w:tcW w:w="1605" w:type="dxa"/>
          </w:tcPr>
          <w:p w:rsidR="00711CC6" w:rsidRPr="00773E68" w:rsidRDefault="00711CC6" w:rsidP="008C0EAC">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11CC6" w:rsidRPr="00773E68" w:rsidRDefault="00711CC6" w:rsidP="008C0EAC">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728"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1.68</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1.81</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1.95</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1.99</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1.81</w:t>
            </w:r>
          </w:p>
        </w:tc>
        <w:tc>
          <w:tcPr>
            <w:tcW w:w="81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1.97</w:t>
            </w:r>
          </w:p>
        </w:tc>
        <w:tc>
          <w:tcPr>
            <w:tcW w:w="99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2.15</w:t>
            </w:r>
          </w:p>
        </w:tc>
      </w:tr>
      <w:tr w:rsidR="00711CC6" w:rsidRPr="00773E68" w:rsidTr="008C0EAC">
        <w:tc>
          <w:tcPr>
            <w:tcW w:w="1278" w:type="dxa"/>
            <w:vMerge/>
          </w:tcPr>
          <w:p w:rsidR="00711CC6" w:rsidRPr="00773E68" w:rsidRDefault="00711CC6" w:rsidP="008C0EAC">
            <w:pPr>
              <w:jc w:val="both"/>
              <w:rPr>
                <w:rFonts w:ascii="Times New Roman" w:eastAsia="Times New Roman" w:hAnsi="Times New Roman" w:cs="Times New Roman"/>
                <w:b/>
                <w:sz w:val="24"/>
                <w:szCs w:val="24"/>
              </w:rPr>
            </w:pPr>
          </w:p>
        </w:tc>
        <w:tc>
          <w:tcPr>
            <w:tcW w:w="900" w:type="dxa"/>
          </w:tcPr>
          <w:p w:rsidR="00711CC6" w:rsidRPr="00773E68" w:rsidRDefault="00711CC6" w:rsidP="008C0EAC">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Zn</w:t>
            </w:r>
          </w:p>
        </w:tc>
        <w:tc>
          <w:tcPr>
            <w:tcW w:w="1605" w:type="dxa"/>
          </w:tcPr>
          <w:p w:rsidR="00711CC6" w:rsidRPr="00773E68" w:rsidRDefault="00711CC6" w:rsidP="008C0EAC">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11CC6" w:rsidRPr="00773E68" w:rsidRDefault="00711CC6" w:rsidP="008C0EAC">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300</w:t>
            </w:r>
          </w:p>
        </w:tc>
        <w:tc>
          <w:tcPr>
            <w:tcW w:w="728"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37.5</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30.2</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15.0</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21.1</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28</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23.8</w:t>
            </w:r>
          </w:p>
        </w:tc>
        <w:tc>
          <w:tcPr>
            <w:tcW w:w="81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22.19</w:t>
            </w:r>
          </w:p>
        </w:tc>
        <w:tc>
          <w:tcPr>
            <w:tcW w:w="99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20.0</w:t>
            </w:r>
          </w:p>
        </w:tc>
      </w:tr>
      <w:tr w:rsidR="00711CC6" w:rsidRPr="00773E68" w:rsidTr="008C0EAC">
        <w:tc>
          <w:tcPr>
            <w:tcW w:w="1278" w:type="dxa"/>
            <w:vMerge/>
          </w:tcPr>
          <w:p w:rsidR="00711CC6" w:rsidRPr="00773E68" w:rsidRDefault="00711CC6" w:rsidP="008C0EAC">
            <w:pPr>
              <w:jc w:val="both"/>
              <w:rPr>
                <w:rFonts w:ascii="Times New Roman" w:eastAsia="Times New Roman" w:hAnsi="Times New Roman" w:cs="Times New Roman"/>
                <w:b/>
                <w:sz w:val="24"/>
                <w:szCs w:val="24"/>
              </w:rPr>
            </w:pPr>
          </w:p>
        </w:tc>
        <w:tc>
          <w:tcPr>
            <w:tcW w:w="900" w:type="dxa"/>
          </w:tcPr>
          <w:p w:rsidR="00711CC6" w:rsidRPr="00773E68" w:rsidRDefault="00711CC6" w:rsidP="008C0EAC">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Mn</w:t>
            </w:r>
          </w:p>
        </w:tc>
        <w:tc>
          <w:tcPr>
            <w:tcW w:w="1605" w:type="dxa"/>
          </w:tcPr>
          <w:p w:rsidR="00711CC6" w:rsidRPr="00773E68" w:rsidRDefault="00711CC6" w:rsidP="008C0EAC">
            <w:pPr>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mg/ kg  tokë e thatë</w:t>
            </w:r>
          </w:p>
        </w:tc>
        <w:tc>
          <w:tcPr>
            <w:tcW w:w="709" w:type="dxa"/>
          </w:tcPr>
          <w:p w:rsidR="00711CC6" w:rsidRPr="00773E68" w:rsidRDefault="00711CC6" w:rsidP="008C0EAC">
            <w:pPr>
              <w:jc w:val="both"/>
              <w:rPr>
                <w:rFonts w:ascii="Times New Roman" w:eastAsia="Times New Roman" w:hAnsi="Times New Roman" w:cs="Times New Roman"/>
                <w:b/>
                <w:sz w:val="24"/>
                <w:szCs w:val="24"/>
                <w:lang w:val="it-IT"/>
              </w:rPr>
            </w:pPr>
            <w:r w:rsidRPr="00773E68">
              <w:rPr>
                <w:rFonts w:ascii="Times New Roman" w:eastAsia="Times New Roman" w:hAnsi="Times New Roman" w:cs="Times New Roman"/>
                <w:b/>
                <w:sz w:val="24"/>
                <w:szCs w:val="24"/>
                <w:lang w:val="it-IT"/>
              </w:rPr>
              <w:t>1000</w:t>
            </w:r>
          </w:p>
        </w:tc>
        <w:tc>
          <w:tcPr>
            <w:tcW w:w="728"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2.42</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2.49</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2.55</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2.85</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2.6</w:t>
            </w:r>
          </w:p>
        </w:tc>
        <w:tc>
          <w:tcPr>
            <w:tcW w:w="72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5.37</w:t>
            </w:r>
          </w:p>
        </w:tc>
        <w:tc>
          <w:tcPr>
            <w:tcW w:w="81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4.21</w:t>
            </w:r>
          </w:p>
        </w:tc>
        <w:tc>
          <w:tcPr>
            <w:tcW w:w="990" w:type="dxa"/>
          </w:tcPr>
          <w:p w:rsidR="00711CC6" w:rsidRPr="00773E68" w:rsidRDefault="00711CC6" w:rsidP="008C0EAC">
            <w:pPr>
              <w:jc w:val="both"/>
              <w:rPr>
                <w:rFonts w:ascii="Times New Roman" w:eastAsia="Times New Roman" w:hAnsi="Times New Roman" w:cs="Times New Roman"/>
                <w:sz w:val="24"/>
                <w:szCs w:val="24"/>
              </w:rPr>
            </w:pPr>
            <w:r w:rsidRPr="00773E68">
              <w:rPr>
                <w:rFonts w:ascii="Times New Roman" w:eastAsia="Times New Roman" w:hAnsi="Times New Roman" w:cs="Times New Roman"/>
                <w:sz w:val="24"/>
                <w:szCs w:val="24"/>
              </w:rPr>
              <w:t>2.46</w:t>
            </w:r>
          </w:p>
        </w:tc>
      </w:tr>
    </w:tbl>
    <w:p w:rsidR="00773E68" w:rsidRPr="00773E68" w:rsidRDefault="009D31B3" w:rsidP="00773E68">
      <w:pPr>
        <w:spacing w:after="0" w:line="24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R</w:t>
      </w:r>
      <w:r w:rsidR="00AF0CD8">
        <w:rPr>
          <w:rFonts w:ascii="Times New Roman" w:eastAsia="Times New Roman" w:hAnsi="Times New Roman" w:cs="Times New Roman"/>
          <w:sz w:val="24"/>
          <w:szCs w:val="24"/>
          <w:lang w:val="it-IT"/>
        </w:rPr>
        <w:t xml:space="preserve">ezulton se </w:t>
      </w:r>
      <w:r w:rsidR="00773E68" w:rsidRPr="00773E68">
        <w:rPr>
          <w:rFonts w:ascii="Times New Roman" w:eastAsia="Times New Roman" w:hAnsi="Times New Roman" w:cs="Times New Roman"/>
          <w:sz w:val="24"/>
          <w:szCs w:val="24"/>
          <w:lang w:val="it-IT"/>
        </w:rPr>
        <w:t xml:space="preserve">të gjithë treguesit  janë brenda normave të lejuara, pra nuk kemi ndotje të mjedisit. </w:t>
      </w:r>
      <w:r>
        <w:rPr>
          <w:rFonts w:ascii="Times New Roman" w:eastAsia="Times New Roman" w:hAnsi="Times New Roman" w:cs="Times New Roman"/>
          <w:sz w:val="24"/>
          <w:szCs w:val="24"/>
          <w:lang w:val="it-IT"/>
        </w:rPr>
        <w:t>D</w:t>
      </w:r>
      <w:r w:rsidR="00773E68" w:rsidRPr="00773E68">
        <w:rPr>
          <w:rFonts w:ascii="Times New Roman" w:eastAsia="Times New Roman" w:hAnsi="Times New Roman" w:cs="Times New Roman"/>
          <w:sz w:val="24"/>
          <w:szCs w:val="24"/>
          <w:lang w:val="it-IT"/>
        </w:rPr>
        <w:t xml:space="preserve">isa mostra </w:t>
      </w:r>
      <w:r>
        <w:rPr>
          <w:rFonts w:ascii="Times New Roman" w:eastAsia="Times New Roman" w:hAnsi="Times New Roman" w:cs="Times New Roman"/>
          <w:sz w:val="24"/>
          <w:szCs w:val="24"/>
          <w:lang w:val="it-IT"/>
        </w:rPr>
        <w:t xml:space="preserve">që </w:t>
      </w:r>
      <w:r w:rsidRPr="00773E68">
        <w:rPr>
          <w:rFonts w:ascii="Times New Roman" w:eastAsia="Times New Roman" w:hAnsi="Times New Roman" w:cs="Times New Roman"/>
          <w:sz w:val="24"/>
          <w:szCs w:val="24"/>
          <w:lang w:val="it-IT"/>
        </w:rPr>
        <w:t xml:space="preserve">ndodhen në afërsi të minierës, </w:t>
      </w:r>
      <w:r w:rsidR="00773E68" w:rsidRPr="00773E68">
        <w:rPr>
          <w:rFonts w:ascii="Times New Roman" w:eastAsia="Times New Roman" w:hAnsi="Times New Roman" w:cs="Times New Roman"/>
          <w:sz w:val="24"/>
          <w:szCs w:val="24"/>
          <w:lang w:val="it-IT"/>
        </w:rPr>
        <w:t>kanë përqëndrim më të lartë në disa tregues</w:t>
      </w:r>
      <w:r>
        <w:rPr>
          <w:rFonts w:ascii="Times New Roman" w:eastAsia="Times New Roman" w:hAnsi="Times New Roman" w:cs="Times New Roman"/>
          <w:sz w:val="24"/>
          <w:szCs w:val="24"/>
          <w:lang w:val="it-IT"/>
        </w:rPr>
        <w:t>,</w:t>
      </w:r>
      <w:r w:rsidR="00773E68" w:rsidRPr="00773E68">
        <w:rPr>
          <w:rFonts w:ascii="Times New Roman" w:eastAsia="Times New Roman" w:hAnsi="Times New Roman" w:cs="Times New Roman"/>
          <w:sz w:val="24"/>
          <w:szCs w:val="24"/>
          <w:lang w:val="it-IT"/>
        </w:rPr>
        <w:t xml:space="preserve"> ndërsa në distancë kemi një ndryshim me rënie të treguesve. Kjo është normale pasi brenda territorit kemi patur një aktivitet më të lartë gjatë shfrytëzimit. Duke u larguar kemi një tendecë në ulje të treguesëve, gjë që tregon që lëvizshmëria apo depozitimi në thellësi të tokës është më i vogël, kjo shpjegohet me tipin e tokës e cila përgjithësisht është skeletike me përmbajtje të lartë gurrësh dhe sipërfaqja ështëe pjerrët duke bërë të mundur lëvizshmërinë e shpejtë të ujërave të shiut.</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Pas minierës kryesisht në anën perëndimore të saj ku kemi dhe largim të materialit pas përpunimit, kemi një erozion të lartë të dherave, gjë që rrit rrezikun e lëvizjes së shpejtë të elementeve kontaminues bashkë me dherat dhe rrëketë e ujërave të shiut. Prandaj duhet të bëhet kujdes që materialet të grumbullohen dhe sistemohen brenda terirtorit, duke shfrytëzuar terrenet e sheshta.</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p w:rsidR="00773E68" w:rsidRPr="00773E68" w:rsidRDefault="00BD2329" w:rsidP="00773E68">
      <w:pPr>
        <w:spacing w:after="0" w:line="240" w:lineRule="auto"/>
        <w:jc w:val="both"/>
        <w:rPr>
          <w:rFonts w:ascii="Times New Roman" w:eastAsia="Times New Roman" w:hAnsi="Times New Roman" w:cs="Times New Roman"/>
          <w:b/>
          <w:sz w:val="24"/>
          <w:szCs w:val="24"/>
          <w:lang w:val="it-IT"/>
        </w:rPr>
      </w:pPr>
      <w:r>
        <w:rPr>
          <w:rFonts w:ascii="Times New Roman" w:eastAsia="Times New Roman" w:hAnsi="Times New Roman" w:cs="Times New Roman"/>
          <w:b/>
          <w:sz w:val="24"/>
          <w:szCs w:val="24"/>
          <w:lang w:val="it-IT"/>
        </w:rPr>
        <w:t xml:space="preserve">6.2 </w:t>
      </w:r>
      <w:r w:rsidR="00711CC6">
        <w:rPr>
          <w:rFonts w:ascii="Times New Roman" w:eastAsia="Times New Roman" w:hAnsi="Times New Roman" w:cs="Times New Roman"/>
          <w:b/>
          <w:sz w:val="24"/>
          <w:szCs w:val="24"/>
          <w:lang w:val="it-IT"/>
        </w:rPr>
        <w:t>P</w:t>
      </w:r>
      <w:r w:rsidR="00711CC6" w:rsidRPr="00773E68">
        <w:rPr>
          <w:rFonts w:ascii="Times New Roman" w:eastAsia="Times New Roman" w:hAnsi="Times New Roman" w:cs="Times New Roman"/>
          <w:b/>
          <w:sz w:val="24"/>
          <w:szCs w:val="24"/>
          <w:lang w:val="it-IT"/>
        </w:rPr>
        <w:t>ërfundime</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Është kons</w:t>
      </w:r>
      <w:r w:rsidR="009D31B3">
        <w:rPr>
          <w:rFonts w:ascii="Times New Roman" w:eastAsia="Times New Roman" w:hAnsi="Times New Roman" w:cs="Times New Roman"/>
          <w:sz w:val="24"/>
          <w:szCs w:val="24"/>
          <w:lang w:val="it-IT"/>
        </w:rPr>
        <w:t xml:space="preserve">tatuar që në brendësi të disa </w:t>
      </w:r>
      <w:r w:rsidRPr="00773E68">
        <w:rPr>
          <w:rFonts w:ascii="Times New Roman" w:eastAsia="Times New Roman" w:hAnsi="Times New Roman" w:cs="Times New Roman"/>
          <w:sz w:val="24"/>
          <w:szCs w:val="24"/>
          <w:lang w:val="it-IT"/>
        </w:rPr>
        <w:t>stacioneve gjenden materiale të vjetra të kontaminuara, me përqindje të lartë të metaleve të rënda, mbi normë siç ishte Miniera e Gurit të Kuq,  Pogradec apo Miniera e Për</w:t>
      </w:r>
      <w:r w:rsidR="009D31B3">
        <w:rPr>
          <w:rFonts w:ascii="Times New Roman" w:eastAsia="Times New Roman" w:hAnsi="Times New Roman" w:cs="Times New Roman"/>
          <w:sz w:val="24"/>
          <w:szCs w:val="24"/>
          <w:lang w:val="it-IT"/>
        </w:rPr>
        <w:t>r</w:t>
      </w:r>
      <w:r w:rsidRPr="00773E68">
        <w:rPr>
          <w:rFonts w:ascii="Times New Roman" w:eastAsia="Times New Roman" w:hAnsi="Times New Roman" w:cs="Times New Roman"/>
          <w:sz w:val="24"/>
          <w:szCs w:val="24"/>
          <w:lang w:val="it-IT"/>
        </w:rPr>
        <w:t>enjasit.</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 xml:space="preserve">Në përgjithësi treguesit e analizuar </w:t>
      </w:r>
      <w:r w:rsidR="007F227B">
        <w:rPr>
          <w:rFonts w:ascii="Times New Roman" w:eastAsia="Times New Roman" w:hAnsi="Times New Roman" w:cs="Times New Roman"/>
          <w:sz w:val="24"/>
          <w:szCs w:val="24"/>
          <w:lang w:val="it-IT"/>
        </w:rPr>
        <w:t>janë</w:t>
      </w:r>
      <w:r w:rsidRPr="00773E68">
        <w:rPr>
          <w:rFonts w:ascii="Times New Roman" w:eastAsia="Times New Roman" w:hAnsi="Times New Roman" w:cs="Times New Roman"/>
          <w:sz w:val="24"/>
          <w:szCs w:val="24"/>
          <w:lang w:val="it-IT"/>
        </w:rPr>
        <w:t xml:space="preserve"> brenda normave. </w:t>
      </w:r>
      <w:r w:rsidR="009D31B3">
        <w:rPr>
          <w:rFonts w:ascii="Times New Roman" w:eastAsia="Times New Roman" w:hAnsi="Times New Roman" w:cs="Times New Roman"/>
          <w:sz w:val="24"/>
          <w:szCs w:val="24"/>
          <w:lang w:val="it-IT"/>
        </w:rPr>
        <w:t>Konstatohet</w:t>
      </w:r>
      <w:r w:rsidRPr="00773E68">
        <w:rPr>
          <w:rFonts w:ascii="Times New Roman" w:eastAsia="Times New Roman" w:hAnsi="Times New Roman" w:cs="Times New Roman"/>
          <w:sz w:val="24"/>
          <w:szCs w:val="24"/>
          <w:lang w:val="it-IT"/>
        </w:rPr>
        <w:t xml:space="preserve"> që pë</w:t>
      </w:r>
      <w:r w:rsidR="009D31B3">
        <w:rPr>
          <w:rFonts w:ascii="Times New Roman" w:eastAsia="Times New Roman" w:hAnsi="Times New Roman" w:cs="Times New Roman"/>
          <w:sz w:val="24"/>
          <w:szCs w:val="24"/>
          <w:lang w:val="it-IT"/>
        </w:rPr>
        <w:t>rqëndrimi i tregues</w:t>
      </w:r>
      <w:r w:rsidR="007F227B">
        <w:rPr>
          <w:rFonts w:ascii="Times New Roman" w:eastAsia="Times New Roman" w:hAnsi="Times New Roman" w:cs="Times New Roman"/>
          <w:sz w:val="24"/>
          <w:szCs w:val="24"/>
          <w:lang w:val="it-IT"/>
        </w:rPr>
        <w:t xml:space="preserve">ve vjen në </w:t>
      </w:r>
      <w:r w:rsidRPr="00773E68">
        <w:rPr>
          <w:rFonts w:ascii="Times New Roman" w:eastAsia="Times New Roman" w:hAnsi="Times New Roman" w:cs="Times New Roman"/>
          <w:sz w:val="24"/>
          <w:szCs w:val="24"/>
          <w:lang w:val="it-IT"/>
        </w:rPr>
        <w:t>rënie duke u larguar nga stacioni për në periferi. Ndërsa depërtimi i tyre në thellësi është i ndryshëm dhe ndikohet nga tipi i tokës dhe pjerrësia e terrenit. Në toka të lehta kemi një depërtim më të lartë në thellësi, sidomos kur kemi të bëjmë me terrene të sheshta. Ndërsa në terrenet e pjerrëta dhe me toka të rënda argjilore ku përshkueshmëria është më e vogël kemi një zbehje të lehtë të përqëndrimit në thellësi.</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Në shumë stacione vërehet një amortizim deri në total të objekteve, të cilat në shumë raste ishin kthyer në rrënoja dhe me prezencë të shumtë të pirgjeve me materiale të kontaminuara dhe mbeturina të mineraleve të përpunuara gjatë kohës së shfrytëzimit si Uzina e Superfosfati Laç, Ish-Uzina e Baterive Berat, Uzina e PVC-së Vorë, etj. Këto objekte sot janë në mëshirë të fatit, të parrethuara të pakontrolluara, në shumë raste të mbuluara nga ferrat dhe që shfrytëzohen si kullota për bagëti të ndryshme, gjë që sjell rrezik për kafshët dhe për personat që lëvizin në këto objekte ose një pjesë e vogël e tyre  në rrethina janë shndër</w:t>
      </w:r>
      <w:r w:rsidR="009D31B3">
        <w:rPr>
          <w:rFonts w:ascii="Times New Roman" w:eastAsia="Times New Roman" w:hAnsi="Times New Roman" w:cs="Times New Roman"/>
          <w:sz w:val="24"/>
          <w:szCs w:val="24"/>
          <w:lang w:val="it-IT"/>
        </w:rPr>
        <w:t>r</w:t>
      </w:r>
      <w:r w:rsidRPr="00773E68">
        <w:rPr>
          <w:rFonts w:ascii="Times New Roman" w:eastAsia="Times New Roman" w:hAnsi="Times New Roman" w:cs="Times New Roman"/>
          <w:sz w:val="24"/>
          <w:szCs w:val="24"/>
          <w:lang w:val="it-IT"/>
        </w:rPr>
        <w:t xml:space="preserve">uar në objekte të ndryshme shërbimi. </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 xml:space="preserve">Në disa ish-fabrika të privatizuara dhe me ndryshim destinacioni siç është Fabrika e Plasmasit në Lushnjë, kemi një shmangje të rrezikut për ndotje pasi është tjetërsuar ambjenti, është pastruar, sistemuar dhe mbushur </w:t>
      </w:r>
      <w:r w:rsidR="009D31B3">
        <w:rPr>
          <w:rFonts w:ascii="Times New Roman" w:eastAsia="Times New Roman" w:hAnsi="Times New Roman" w:cs="Times New Roman"/>
          <w:sz w:val="24"/>
          <w:szCs w:val="24"/>
          <w:lang w:val="it-IT"/>
        </w:rPr>
        <w:t>me materiale të ardhura të pastra dhe të pa ko</w:t>
      </w:r>
      <w:r w:rsidRPr="00773E68">
        <w:rPr>
          <w:rFonts w:ascii="Times New Roman" w:eastAsia="Times New Roman" w:hAnsi="Times New Roman" w:cs="Times New Roman"/>
          <w:sz w:val="24"/>
          <w:szCs w:val="24"/>
          <w:lang w:val="it-IT"/>
        </w:rPr>
        <w:t xml:space="preserve">ntaminuar. </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Disa stacione të privatizuara dhe që aktualisht janë në shfrytëzim, kanë një përgjegjshmëri më të lartë për menaxhimin e territorit brenda dhe jashtë stacionit duke minimizuar shkallën e ndotjes siç është Miniera e Kalimashit apo Fabrika e Fer</w:t>
      </w:r>
      <w:r w:rsidR="00277086">
        <w:rPr>
          <w:rFonts w:ascii="Times New Roman" w:eastAsia="Times New Roman" w:hAnsi="Times New Roman" w:cs="Times New Roman"/>
          <w:sz w:val="24"/>
          <w:szCs w:val="24"/>
          <w:lang w:val="it-IT"/>
        </w:rPr>
        <w:t>r</w:t>
      </w:r>
      <w:r w:rsidRPr="00773E68">
        <w:rPr>
          <w:rFonts w:ascii="Times New Roman" w:eastAsia="Times New Roman" w:hAnsi="Times New Roman" w:cs="Times New Roman"/>
          <w:sz w:val="24"/>
          <w:szCs w:val="24"/>
          <w:lang w:val="it-IT"/>
        </w:rPr>
        <w:t>okromit në Burrel.</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p w:rsidR="00773E68" w:rsidRPr="00773E68" w:rsidRDefault="00BD2329" w:rsidP="00773E68">
      <w:pPr>
        <w:spacing w:after="0" w:line="240" w:lineRule="auto"/>
        <w:jc w:val="both"/>
        <w:rPr>
          <w:rFonts w:ascii="Times New Roman" w:eastAsia="Times New Roman" w:hAnsi="Times New Roman" w:cs="Times New Roman"/>
          <w:b/>
          <w:sz w:val="24"/>
          <w:szCs w:val="24"/>
          <w:lang w:val="it-IT"/>
        </w:rPr>
      </w:pPr>
      <w:r>
        <w:rPr>
          <w:rFonts w:ascii="Times New Roman" w:eastAsia="Times New Roman" w:hAnsi="Times New Roman" w:cs="Times New Roman"/>
          <w:b/>
          <w:sz w:val="24"/>
          <w:szCs w:val="24"/>
          <w:lang w:val="it-IT"/>
        </w:rPr>
        <w:t xml:space="preserve">6.3 </w:t>
      </w:r>
      <w:r w:rsidR="00711CC6">
        <w:rPr>
          <w:rFonts w:ascii="Times New Roman" w:eastAsia="Times New Roman" w:hAnsi="Times New Roman" w:cs="Times New Roman"/>
          <w:b/>
          <w:sz w:val="24"/>
          <w:szCs w:val="24"/>
          <w:lang w:val="it-IT"/>
        </w:rPr>
        <w:t>R</w:t>
      </w:r>
      <w:r w:rsidR="00711CC6" w:rsidRPr="00773E68">
        <w:rPr>
          <w:rFonts w:ascii="Times New Roman" w:eastAsia="Times New Roman" w:hAnsi="Times New Roman" w:cs="Times New Roman"/>
          <w:b/>
          <w:sz w:val="24"/>
          <w:szCs w:val="24"/>
          <w:lang w:val="it-IT"/>
        </w:rPr>
        <w:t>ekomandime</w:t>
      </w:r>
    </w:p>
    <w:p w:rsidR="00773E68" w:rsidRPr="00773E68" w:rsidRDefault="00773E68" w:rsidP="00773E68">
      <w:pPr>
        <w:spacing w:after="0" w:line="240" w:lineRule="auto"/>
        <w:jc w:val="both"/>
        <w:rPr>
          <w:rFonts w:ascii="Times New Roman" w:eastAsia="Times New Roman" w:hAnsi="Times New Roman" w:cs="Times New Roman"/>
          <w:b/>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Duke analizuar të gjitha fenomenet e ndeshura gjatë zbatimit të projektit, për të gjitha stacionet dhe rastet specifike dalin të domosdoshme disa rekomandime:</w:t>
      </w:r>
    </w:p>
    <w:p w:rsidR="00773E68" w:rsidRPr="00773E68" w:rsidRDefault="00773E68" w:rsidP="00F30627">
      <w:pPr>
        <w:numPr>
          <w:ilvl w:val="0"/>
          <w:numId w:val="6"/>
        </w:num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Në të gjitha stacionet e abandonuara, të degraduara, të lëna në mëshirë të fatit duhet me patjetër ndërhyrja e instancave përkatëse për të bërtë të mundur, rritjen e shkallës së përgjegjshmërisë, për të shmangur lënien e tyre në atë gjendje.</w:t>
      </w:r>
    </w:p>
    <w:p w:rsidR="00773E68" w:rsidRPr="00773E68" w:rsidRDefault="00773E68" w:rsidP="00F30627">
      <w:pPr>
        <w:numPr>
          <w:ilvl w:val="0"/>
          <w:numId w:val="6"/>
        </w:num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Sistemimin e ambjenteve të brendshme të tyre për të shmangur aksidentet e mundshme nga shëmbjet e objekteve të degraduara.</w:t>
      </w:r>
    </w:p>
    <w:p w:rsidR="00773E68" w:rsidRPr="00773E68" w:rsidRDefault="00773E68" w:rsidP="00F30627">
      <w:pPr>
        <w:numPr>
          <w:ilvl w:val="0"/>
          <w:numId w:val="6"/>
        </w:num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Grumbullimin e materialeve të cilat gjenden të shpërndara në ambjentet e ish-uzinave ose fabrikave që sot janë jashtë funksionit, konservimin ose largimin e tyre në ambjente të veçanta të ruajtura për të minimizuar ose për të shmangur kontaminimin e mjedisit.</w:t>
      </w:r>
    </w:p>
    <w:p w:rsidR="00773E68" w:rsidRPr="00773E68" w:rsidRDefault="00773E68" w:rsidP="00F30627">
      <w:pPr>
        <w:numPr>
          <w:ilvl w:val="0"/>
          <w:numId w:val="6"/>
        </w:numPr>
        <w:spacing w:after="0" w:line="240" w:lineRule="auto"/>
        <w:jc w:val="both"/>
        <w:rPr>
          <w:rFonts w:ascii="Times New Roman" w:eastAsia="Times New Roman" w:hAnsi="Times New Roman" w:cs="Times New Roman"/>
          <w:sz w:val="24"/>
          <w:szCs w:val="24"/>
          <w:lang w:val="it-IT"/>
        </w:rPr>
      </w:pPr>
      <w:r w:rsidRPr="00773E68">
        <w:rPr>
          <w:rFonts w:ascii="Times New Roman" w:eastAsia="Times New Roman" w:hAnsi="Times New Roman" w:cs="Times New Roman"/>
          <w:sz w:val="24"/>
          <w:szCs w:val="24"/>
          <w:lang w:val="it-IT"/>
        </w:rPr>
        <w:t>Në uzinat dhe fabrikat që sot gjenden në funksion dhe shfrytëzim të kompanive të veçanta private duhet të monitorohen në vazhdimësi dhe në mënyrë permanente për të kontrolluar zbatimin e marrëveshjeve në funksion të ruajtjes së mjedisit.</w:t>
      </w: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p w:rsidR="00773E68" w:rsidRPr="00773E68" w:rsidRDefault="00773E68" w:rsidP="00773E68">
      <w:pPr>
        <w:spacing w:after="0" w:line="240" w:lineRule="auto"/>
        <w:jc w:val="both"/>
        <w:rPr>
          <w:rFonts w:ascii="Times New Roman" w:eastAsia="Times New Roman" w:hAnsi="Times New Roman" w:cs="Times New Roman"/>
          <w:sz w:val="24"/>
          <w:szCs w:val="24"/>
          <w:lang w:val="it-IT"/>
        </w:rPr>
      </w:pPr>
    </w:p>
    <w:p w:rsidR="00711CC6" w:rsidRDefault="008E73A1" w:rsidP="00773E68">
      <w:pPr>
        <w:spacing w:after="0" w:line="240" w:lineRule="auto"/>
        <w:jc w:val="both"/>
        <w:rPr>
          <w:rFonts w:ascii="Times New Roman" w:eastAsia="Times New Roman" w:hAnsi="Times New Roman" w:cs="Times New Roman"/>
          <w:b/>
          <w:sz w:val="24"/>
          <w:szCs w:val="24"/>
          <w:lang w:val="it-IT"/>
        </w:rPr>
      </w:pPr>
      <w:r>
        <w:rPr>
          <w:rFonts w:ascii="Times New Roman" w:eastAsia="Times New Roman" w:hAnsi="Times New Roman" w:cs="Times New Roman"/>
          <w:b/>
          <w:sz w:val="24"/>
          <w:szCs w:val="24"/>
          <w:lang w:val="it-IT"/>
        </w:rPr>
        <w:lastRenderedPageBreak/>
        <w:t xml:space="preserve"> </w:t>
      </w: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AF0CD8" w:rsidRDefault="00AF0CD8"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11CC6">
      <w:pPr>
        <w:spacing w:after="0" w:line="240" w:lineRule="auto"/>
        <w:jc w:val="center"/>
        <w:rPr>
          <w:rFonts w:ascii="Times New Roman" w:eastAsia="Times New Roman" w:hAnsi="Times New Roman" w:cs="Times New Roman"/>
          <w:b/>
          <w:sz w:val="24"/>
          <w:szCs w:val="24"/>
          <w:lang w:val="it-IT"/>
        </w:rPr>
      </w:pPr>
      <w:r>
        <w:rPr>
          <w:rFonts w:ascii="Times New Roman" w:eastAsia="Times New Roman" w:hAnsi="Times New Roman" w:cs="Times New Roman"/>
          <w:b/>
          <w:sz w:val="24"/>
          <w:szCs w:val="24"/>
          <w:lang w:val="it-IT"/>
        </w:rPr>
        <w:t>KAPITULLI  7</w:t>
      </w:r>
    </w:p>
    <w:p w:rsidR="00711CC6" w:rsidRDefault="00711CC6" w:rsidP="00711CC6">
      <w:pPr>
        <w:spacing w:after="0" w:line="240" w:lineRule="auto"/>
        <w:jc w:val="center"/>
        <w:rPr>
          <w:rFonts w:ascii="Times New Roman" w:eastAsia="Times New Roman" w:hAnsi="Times New Roman" w:cs="Times New Roman"/>
          <w:b/>
          <w:sz w:val="24"/>
          <w:szCs w:val="24"/>
          <w:lang w:val="it-IT"/>
        </w:rPr>
      </w:pPr>
    </w:p>
    <w:p w:rsidR="00711CC6" w:rsidRPr="003A5B42" w:rsidRDefault="00711CC6" w:rsidP="00711CC6">
      <w:pPr>
        <w:spacing w:after="0" w:line="240" w:lineRule="auto"/>
        <w:jc w:val="center"/>
        <w:rPr>
          <w:rFonts w:ascii="Times New Roman" w:eastAsia="Times New Roman" w:hAnsi="Times New Roman" w:cs="Times New Roman"/>
          <w:b/>
          <w:sz w:val="24"/>
          <w:szCs w:val="24"/>
          <w:lang w:val="it-IT"/>
        </w:rPr>
      </w:pPr>
      <w:r w:rsidRPr="003A5B42">
        <w:rPr>
          <w:rFonts w:ascii="Times New Roman" w:eastAsia="Times New Roman" w:hAnsi="Times New Roman" w:cs="Times New Roman"/>
          <w:b/>
          <w:sz w:val="24"/>
          <w:szCs w:val="24"/>
          <w:lang w:val="it-IT"/>
        </w:rPr>
        <w:t>AKTIVITETI INDUSTRIAL</w:t>
      </w: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346DEB" w:rsidP="00773E68">
      <w:pPr>
        <w:spacing w:after="0" w:line="240" w:lineRule="auto"/>
        <w:jc w:val="both"/>
        <w:rPr>
          <w:rFonts w:ascii="Times New Roman" w:eastAsia="Times New Roman" w:hAnsi="Times New Roman" w:cs="Times New Roman"/>
          <w:b/>
          <w:sz w:val="24"/>
          <w:szCs w:val="24"/>
          <w:lang w:val="it-IT"/>
        </w:rPr>
      </w:pPr>
      <w:r>
        <w:rPr>
          <w:rFonts w:ascii="Times New Roman" w:eastAsia="Times New Roman" w:hAnsi="Times New Roman" w:cs="Times New Roman"/>
          <w:b/>
          <w:sz w:val="24"/>
          <w:szCs w:val="24"/>
          <w:lang w:val="it-IT"/>
        </w:rPr>
        <w:t xml:space="preserve">                   </w:t>
      </w:r>
      <w:r>
        <w:rPr>
          <w:noProof/>
        </w:rPr>
        <w:drawing>
          <wp:inline distT="0" distB="0" distL="0" distR="0" wp14:anchorId="3EC5DB8B" wp14:editId="1BA7F7EC">
            <wp:extent cx="4981575" cy="3095625"/>
            <wp:effectExtent l="0" t="0" r="9525" b="9525"/>
            <wp:docPr id="371" name="Picture 371" descr="Fabrika e Çimentos Fushë-Krujë - Biznesme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brika e Çimentos Fushë-Krujë - Biznesmenet"/>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981575" cy="3095625"/>
                    </a:xfrm>
                    <a:prstGeom prst="rect">
                      <a:avLst/>
                    </a:prstGeom>
                    <a:noFill/>
                    <a:ln>
                      <a:noFill/>
                    </a:ln>
                  </pic:spPr>
                </pic:pic>
              </a:graphicData>
            </a:graphic>
          </wp:inline>
        </w:drawing>
      </w: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681B50" w:rsidRDefault="00681B50" w:rsidP="00773E68">
      <w:pPr>
        <w:spacing w:after="0" w:line="240" w:lineRule="auto"/>
        <w:jc w:val="both"/>
        <w:rPr>
          <w:rFonts w:ascii="Times New Roman" w:eastAsia="Times New Roman" w:hAnsi="Times New Roman" w:cs="Times New Roman"/>
          <w:b/>
          <w:sz w:val="24"/>
          <w:szCs w:val="24"/>
          <w:lang w:val="it-IT"/>
        </w:rPr>
      </w:pPr>
    </w:p>
    <w:p w:rsidR="00681B50" w:rsidRDefault="00681B50" w:rsidP="00773E68">
      <w:pPr>
        <w:spacing w:after="0" w:line="240" w:lineRule="auto"/>
        <w:jc w:val="both"/>
        <w:rPr>
          <w:rFonts w:ascii="Times New Roman" w:eastAsia="Times New Roman" w:hAnsi="Times New Roman" w:cs="Times New Roman"/>
          <w:b/>
          <w:sz w:val="24"/>
          <w:szCs w:val="24"/>
          <w:lang w:val="it-IT"/>
        </w:rPr>
      </w:pPr>
    </w:p>
    <w:p w:rsidR="00681B50" w:rsidRDefault="00681B50" w:rsidP="00773E68">
      <w:pPr>
        <w:spacing w:after="0" w:line="240" w:lineRule="auto"/>
        <w:jc w:val="both"/>
        <w:rPr>
          <w:rFonts w:ascii="Times New Roman" w:eastAsia="Times New Roman" w:hAnsi="Times New Roman" w:cs="Times New Roman"/>
          <w:b/>
          <w:sz w:val="24"/>
          <w:szCs w:val="24"/>
          <w:lang w:val="it-IT"/>
        </w:rPr>
      </w:pPr>
    </w:p>
    <w:p w:rsidR="00711CC6" w:rsidRDefault="00711CC6" w:rsidP="00773E68">
      <w:pPr>
        <w:spacing w:after="0" w:line="240" w:lineRule="auto"/>
        <w:jc w:val="both"/>
        <w:rPr>
          <w:rFonts w:ascii="Times New Roman" w:eastAsia="Times New Roman" w:hAnsi="Times New Roman" w:cs="Times New Roman"/>
          <w:b/>
          <w:sz w:val="24"/>
          <w:szCs w:val="24"/>
          <w:lang w:val="it-IT"/>
        </w:rPr>
      </w:pPr>
    </w:p>
    <w:p w:rsidR="008E73A1" w:rsidRDefault="008E73A1" w:rsidP="00711CC6">
      <w:pPr>
        <w:spacing w:after="0" w:line="240" w:lineRule="auto"/>
        <w:jc w:val="center"/>
        <w:rPr>
          <w:rFonts w:ascii="Times New Roman" w:eastAsia="Times New Roman" w:hAnsi="Times New Roman" w:cs="Times New Roman"/>
          <w:b/>
          <w:sz w:val="24"/>
          <w:szCs w:val="24"/>
          <w:lang w:val="it-IT"/>
        </w:rPr>
      </w:pPr>
      <w:r>
        <w:rPr>
          <w:rFonts w:ascii="Times New Roman" w:eastAsia="Times New Roman" w:hAnsi="Times New Roman" w:cs="Times New Roman"/>
          <w:b/>
          <w:sz w:val="24"/>
          <w:szCs w:val="24"/>
          <w:lang w:val="it-IT"/>
        </w:rPr>
        <w:t xml:space="preserve">Kapitulli </w:t>
      </w:r>
      <w:r w:rsidR="00711CC6">
        <w:rPr>
          <w:rFonts w:ascii="Times New Roman" w:eastAsia="Times New Roman" w:hAnsi="Times New Roman" w:cs="Times New Roman"/>
          <w:b/>
          <w:sz w:val="24"/>
          <w:szCs w:val="24"/>
          <w:lang w:val="it-IT"/>
        </w:rPr>
        <w:t xml:space="preserve"> 7</w:t>
      </w:r>
    </w:p>
    <w:p w:rsidR="008E73A1" w:rsidRDefault="008E73A1" w:rsidP="00711CC6">
      <w:pPr>
        <w:spacing w:after="0" w:line="240" w:lineRule="auto"/>
        <w:jc w:val="center"/>
        <w:rPr>
          <w:rFonts w:ascii="Times New Roman" w:eastAsia="Times New Roman" w:hAnsi="Times New Roman" w:cs="Times New Roman"/>
          <w:b/>
          <w:sz w:val="24"/>
          <w:szCs w:val="24"/>
          <w:lang w:val="it-IT"/>
        </w:rPr>
      </w:pPr>
    </w:p>
    <w:p w:rsidR="00773E68" w:rsidRPr="003A5B42" w:rsidRDefault="00106763" w:rsidP="00711CC6">
      <w:pPr>
        <w:spacing w:after="0" w:line="240" w:lineRule="auto"/>
        <w:jc w:val="center"/>
        <w:rPr>
          <w:rFonts w:ascii="Times New Roman" w:eastAsia="Times New Roman" w:hAnsi="Times New Roman" w:cs="Times New Roman"/>
          <w:b/>
          <w:sz w:val="24"/>
          <w:szCs w:val="24"/>
          <w:lang w:val="it-IT"/>
        </w:rPr>
      </w:pPr>
      <w:r w:rsidRPr="003A5B42">
        <w:rPr>
          <w:rFonts w:ascii="Times New Roman" w:eastAsia="Times New Roman" w:hAnsi="Times New Roman" w:cs="Times New Roman"/>
          <w:b/>
          <w:sz w:val="24"/>
          <w:szCs w:val="24"/>
          <w:lang w:val="it-IT"/>
        </w:rPr>
        <w:t>Aktiviteti industrial</w:t>
      </w:r>
    </w:p>
    <w:p w:rsidR="003A5B42" w:rsidRDefault="003A5B42" w:rsidP="003A5B42">
      <w:pPr>
        <w:widowControl w:val="0"/>
        <w:autoSpaceDE w:val="0"/>
        <w:autoSpaceDN w:val="0"/>
        <w:spacing w:after="0"/>
        <w:ind w:right="799"/>
        <w:jc w:val="both"/>
        <w:rPr>
          <w:rFonts w:ascii="Times New Roman" w:eastAsia="Times New Roman" w:hAnsi="Times New Roman" w:cs="Times New Roman"/>
          <w:sz w:val="24"/>
          <w:szCs w:val="24"/>
          <w:lang w:val="it-IT"/>
        </w:rPr>
      </w:pPr>
    </w:p>
    <w:p w:rsidR="00711CC6" w:rsidRDefault="00711CC6" w:rsidP="003A5B42">
      <w:pPr>
        <w:widowControl w:val="0"/>
        <w:autoSpaceDE w:val="0"/>
        <w:autoSpaceDN w:val="0"/>
        <w:spacing w:after="0"/>
        <w:jc w:val="both"/>
        <w:rPr>
          <w:rFonts w:ascii="Times New Roman" w:eastAsia="Times New Roman" w:hAnsi="Times New Roman" w:cs="Times New Roman"/>
          <w:sz w:val="24"/>
          <w:szCs w:val="24"/>
          <w:lang w:val="sq-AL"/>
        </w:rPr>
      </w:pPr>
    </w:p>
    <w:p w:rsidR="00711CC6" w:rsidRDefault="00711CC6" w:rsidP="003A5B42">
      <w:pPr>
        <w:widowControl w:val="0"/>
        <w:autoSpaceDE w:val="0"/>
        <w:autoSpaceDN w:val="0"/>
        <w:spacing w:after="0"/>
        <w:jc w:val="both"/>
        <w:rPr>
          <w:rFonts w:ascii="Times New Roman" w:eastAsia="Times New Roman" w:hAnsi="Times New Roman" w:cs="Times New Roman"/>
          <w:sz w:val="24"/>
          <w:szCs w:val="24"/>
          <w:lang w:val="sq-AL"/>
        </w:rPr>
      </w:pPr>
    </w:p>
    <w:p w:rsidR="00711CC6" w:rsidRPr="00711CC6" w:rsidRDefault="00711CC6" w:rsidP="003A5B42">
      <w:pPr>
        <w:widowControl w:val="0"/>
        <w:autoSpaceDE w:val="0"/>
        <w:autoSpaceDN w:val="0"/>
        <w:spacing w:after="0"/>
        <w:jc w:val="both"/>
        <w:rPr>
          <w:rFonts w:ascii="Times New Roman" w:eastAsia="Times New Roman" w:hAnsi="Times New Roman" w:cs="Times New Roman"/>
          <w:b/>
          <w:sz w:val="24"/>
          <w:szCs w:val="24"/>
          <w:lang w:val="sq-AL"/>
        </w:rPr>
      </w:pPr>
      <w:r w:rsidRPr="00711CC6">
        <w:rPr>
          <w:rFonts w:ascii="Times New Roman" w:eastAsia="Times New Roman" w:hAnsi="Times New Roman" w:cs="Times New Roman"/>
          <w:b/>
          <w:sz w:val="24"/>
          <w:szCs w:val="24"/>
          <w:lang w:val="sq-AL"/>
        </w:rPr>
        <w:t>7.1 Vlerësimi i gjendjes</w:t>
      </w:r>
    </w:p>
    <w:p w:rsidR="00711CC6" w:rsidRDefault="00711CC6" w:rsidP="003A5B42">
      <w:pPr>
        <w:widowControl w:val="0"/>
        <w:autoSpaceDE w:val="0"/>
        <w:autoSpaceDN w:val="0"/>
        <w:spacing w:after="0"/>
        <w:jc w:val="both"/>
        <w:rPr>
          <w:rFonts w:ascii="Times New Roman" w:eastAsia="Times New Roman" w:hAnsi="Times New Roman" w:cs="Times New Roman"/>
          <w:sz w:val="24"/>
          <w:szCs w:val="24"/>
          <w:lang w:val="sq-AL"/>
        </w:rPr>
      </w:pPr>
    </w:p>
    <w:p w:rsidR="00106763" w:rsidRPr="00106763" w:rsidRDefault="003A5B42" w:rsidP="003A5B42">
      <w:pPr>
        <w:widowControl w:val="0"/>
        <w:autoSpaceDE w:val="0"/>
        <w:autoSpaceDN w:val="0"/>
        <w:spacing w:after="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Aktivitetet i</w:t>
      </w:r>
      <w:r w:rsidR="00106763" w:rsidRPr="00106763">
        <w:rPr>
          <w:rFonts w:ascii="Times New Roman" w:eastAsia="Times New Roman" w:hAnsi="Times New Roman" w:cs="Times New Roman"/>
          <w:sz w:val="24"/>
          <w:szCs w:val="24"/>
          <w:lang w:val="sq-AL"/>
        </w:rPr>
        <w:t>ndustria</w:t>
      </w:r>
      <w:r>
        <w:rPr>
          <w:rFonts w:ascii="Times New Roman" w:eastAsia="Times New Roman" w:hAnsi="Times New Roman" w:cs="Times New Roman"/>
          <w:sz w:val="24"/>
          <w:szCs w:val="24"/>
          <w:lang w:val="sq-AL"/>
        </w:rPr>
        <w:t>le</w:t>
      </w:r>
      <w:r w:rsidR="00106763" w:rsidRPr="00106763">
        <w:rPr>
          <w:rFonts w:ascii="Times New Roman" w:eastAsia="Times New Roman" w:hAnsi="Times New Roman" w:cs="Times New Roman"/>
          <w:sz w:val="24"/>
          <w:szCs w:val="24"/>
          <w:lang w:val="sq-AL"/>
        </w:rPr>
        <w:t xml:space="preserve"> prodhuese mund të je</w:t>
      </w:r>
      <w:r>
        <w:rPr>
          <w:rFonts w:ascii="Times New Roman" w:eastAsia="Times New Roman" w:hAnsi="Times New Roman" w:cs="Times New Roman"/>
          <w:sz w:val="24"/>
          <w:szCs w:val="24"/>
          <w:lang w:val="sq-AL"/>
        </w:rPr>
        <w:t>në</w:t>
      </w:r>
      <w:r w:rsidR="00106763" w:rsidRPr="00106763">
        <w:rPr>
          <w:rFonts w:ascii="Times New Roman" w:eastAsia="Times New Roman" w:hAnsi="Times New Roman" w:cs="Times New Roman"/>
          <w:sz w:val="24"/>
          <w:szCs w:val="24"/>
          <w:lang w:val="sq-AL"/>
        </w:rPr>
        <w:t xml:space="preserve"> një burim kryesor i ndotjes së ajrit, ujit dhe tokës</w:t>
      </w:r>
      <w:r>
        <w:rPr>
          <w:rFonts w:ascii="Times New Roman" w:eastAsia="Times New Roman" w:hAnsi="Times New Roman" w:cs="Times New Roman"/>
          <w:sz w:val="24"/>
          <w:szCs w:val="24"/>
          <w:lang w:val="sq-AL"/>
        </w:rPr>
        <w:t>.</w:t>
      </w:r>
    </w:p>
    <w:p w:rsidR="00106763" w:rsidRPr="00106763" w:rsidRDefault="00106763" w:rsidP="003A5B42">
      <w:pPr>
        <w:widowControl w:val="0"/>
        <w:autoSpaceDE w:val="0"/>
        <w:autoSpaceDN w:val="0"/>
        <w:spacing w:before="120" w:after="0"/>
        <w:jc w:val="both"/>
        <w:rPr>
          <w:rFonts w:ascii="Times New Roman" w:eastAsia="Times New Roman" w:hAnsi="Times New Roman" w:cs="Times New Roman"/>
          <w:sz w:val="24"/>
          <w:szCs w:val="24"/>
          <w:lang w:val="sq-AL"/>
        </w:rPr>
      </w:pPr>
      <w:r w:rsidRPr="00106763">
        <w:rPr>
          <w:rFonts w:ascii="Times New Roman" w:eastAsia="Times New Roman" w:hAnsi="Times New Roman" w:cs="Times New Roman"/>
          <w:sz w:val="24"/>
          <w:szCs w:val="24"/>
          <w:lang w:val="sq-AL"/>
        </w:rPr>
        <w:t>Operatorët të cilët janë të pajisur me leje mjedisore për zbatimin e kushteve të vendosura në lejen mjedisore dhe të legjislacionit në fuqi, kanë detyrimin për monitorimin e përputhshmërisë si dhe plotësimin</w:t>
      </w:r>
      <w:r w:rsidRPr="00106763">
        <w:rPr>
          <w:rFonts w:ascii="Times New Roman" w:eastAsia="Times New Roman" w:hAnsi="Times New Roman" w:cs="Times New Roman"/>
          <w:spacing w:val="-6"/>
          <w:sz w:val="24"/>
          <w:szCs w:val="24"/>
          <w:lang w:val="sq-AL"/>
        </w:rPr>
        <w:t xml:space="preserve"> </w:t>
      </w:r>
      <w:r w:rsidRPr="00106763">
        <w:rPr>
          <w:rFonts w:ascii="Times New Roman" w:eastAsia="Times New Roman" w:hAnsi="Times New Roman" w:cs="Times New Roman"/>
          <w:sz w:val="24"/>
          <w:szCs w:val="24"/>
          <w:lang w:val="sq-AL"/>
        </w:rPr>
        <w:t>e</w:t>
      </w:r>
      <w:r w:rsidRPr="00106763">
        <w:rPr>
          <w:rFonts w:ascii="Times New Roman" w:eastAsia="Times New Roman" w:hAnsi="Times New Roman" w:cs="Times New Roman"/>
          <w:spacing w:val="-5"/>
          <w:sz w:val="24"/>
          <w:szCs w:val="24"/>
          <w:lang w:val="sq-AL"/>
        </w:rPr>
        <w:t xml:space="preserve"> </w:t>
      </w:r>
      <w:r w:rsidRPr="00106763">
        <w:rPr>
          <w:rFonts w:ascii="Times New Roman" w:eastAsia="Times New Roman" w:hAnsi="Times New Roman" w:cs="Times New Roman"/>
          <w:sz w:val="24"/>
          <w:szCs w:val="24"/>
          <w:lang w:val="sq-AL"/>
        </w:rPr>
        <w:t>formularit</w:t>
      </w:r>
      <w:r w:rsidRPr="00106763">
        <w:rPr>
          <w:rFonts w:ascii="Times New Roman" w:eastAsia="Times New Roman" w:hAnsi="Times New Roman" w:cs="Times New Roman"/>
          <w:spacing w:val="-4"/>
          <w:sz w:val="24"/>
          <w:szCs w:val="24"/>
          <w:lang w:val="sq-AL"/>
        </w:rPr>
        <w:t xml:space="preserve"> </w:t>
      </w:r>
      <w:r w:rsidRPr="00106763">
        <w:rPr>
          <w:rFonts w:ascii="Times New Roman" w:eastAsia="Times New Roman" w:hAnsi="Times New Roman" w:cs="Times New Roman"/>
          <w:sz w:val="24"/>
          <w:szCs w:val="24"/>
          <w:lang w:val="sq-AL"/>
        </w:rPr>
        <w:t>të</w:t>
      </w:r>
      <w:r w:rsidRPr="00106763">
        <w:rPr>
          <w:rFonts w:ascii="Times New Roman" w:eastAsia="Times New Roman" w:hAnsi="Times New Roman" w:cs="Times New Roman"/>
          <w:spacing w:val="-6"/>
          <w:sz w:val="24"/>
          <w:szCs w:val="24"/>
          <w:lang w:val="sq-AL"/>
        </w:rPr>
        <w:t xml:space="preserve"> </w:t>
      </w:r>
      <w:r w:rsidRPr="00106763">
        <w:rPr>
          <w:rFonts w:ascii="Times New Roman" w:eastAsia="Times New Roman" w:hAnsi="Times New Roman" w:cs="Times New Roman"/>
          <w:sz w:val="24"/>
          <w:szCs w:val="24"/>
          <w:lang w:val="sq-AL"/>
        </w:rPr>
        <w:t>deklarimit</w:t>
      </w:r>
      <w:r w:rsidRPr="00106763">
        <w:rPr>
          <w:rFonts w:ascii="Times New Roman" w:eastAsia="Times New Roman" w:hAnsi="Times New Roman" w:cs="Times New Roman"/>
          <w:spacing w:val="-4"/>
          <w:sz w:val="24"/>
          <w:szCs w:val="24"/>
          <w:lang w:val="sq-AL"/>
        </w:rPr>
        <w:t xml:space="preserve"> </w:t>
      </w:r>
      <w:r w:rsidRPr="00106763">
        <w:rPr>
          <w:rFonts w:ascii="Times New Roman" w:eastAsia="Times New Roman" w:hAnsi="Times New Roman" w:cs="Times New Roman"/>
          <w:sz w:val="24"/>
          <w:szCs w:val="24"/>
          <w:lang w:val="sq-AL"/>
        </w:rPr>
        <w:t>të</w:t>
      </w:r>
      <w:r w:rsidRPr="00106763">
        <w:rPr>
          <w:rFonts w:ascii="Times New Roman" w:eastAsia="Times New Roman" w:hAnsi="Times New Roman" w:cs="Times New Roman"/>
          <w:spacing w:val="-5"/>
          <w:sz w:val="24"/>
          <w:szCs w:val="24"/>
          <w:lang w:val="sq-AL"/>
        </w:rPr>
        <w:t xml:space="preserve"> </w:t>
      </w:r>
      <w:r w:rsidRPr="00106763">
        <w:rPr>
          <w:rFonts w:ascii="Times New Roman" w:eastAsia="Times New Roman" w:hAnsi="Times New Roman" w:cs="Times New Roman"/>
          <w:sz w:val="24"/>
          <w:szCs w:val="24"/>
          <w:lang w:val="sq-AL"/>
        </w:rPr>
        <w:t>të</w:t>
      </w:r>
      <w:r w:rsidRPr="00106763">
        <w:rPr>
          <w:rFonts w:ascii="Times New Roman" w:eastAsia="Times New Roman" w:hAnsi="Times New Roman" w:cs="Times New Roman"/>
          <w:spacing w:val="-6"/>
          <w:sz w:val="24"/>
          <w:szCs w:val="24"/>
          <w:lang w:val="sq-AL"/>
        </w:rPr>
        <w:t xml:space="preserve"> </w:t>
      </w:r>
      <w:r w:rsidRPr="00106763">
        <w:rPr>
          <w:rFonts w:ascii="Times New Roman" w:eastAsia="Times New Roman" w:hAnsi="Times New Roman" w:cs="Times New Roman"/>
          <w:sz w:val="24"/>
          <w:szCs w:val="24"/>
          <w:lang w:val="sq-AL"/>
        </w:rPr>
        <w:t>dhënave</w:t>
      </w:r>
      <w:r w:rsidRPr="00106763">
        <w:rPr>
          <w:rFonts w:ascii="Times New Roman" w:eastAsia="Times New Roman" w:hAnsi="Times New Roman" w:cs="Times New Roman"/>
          <w:spacing w:val="-4"/>
          <w:sz w:val="24"/>
          <w:szCs w:val="24"/>
          <w:lang w:val="sq-AL"/>
        </w:rPr>
        <w:t xml:space="preserve"> </w:t>
      </w:r>
      <w:r w:rsidRPr="00106763">
        <w:rPr>
          <w:rFonts w:ascii="Times New Roman" w:eastAsia="Times New Roman" w:hAnsi="Times New Roman" w:cs="Times New Roman"/>
          <w:sz w:val="24"/>
          <w:szCs w:val="24"/>
          <w:lang w:val="sq-AL"/>
        </w:rPr>
        <w:t>për</w:t>
      </w:r>
      <w:r w:rsidRPr="00106763">
        <w:rPr>
          <w:rFonts w:ascii="Times New Roman" w:eastAsia="Times New Roman" w:hAnsi="Times New Roman" w:cs="Times New Roman"/>
          <w:spacing w:val="-4"/>
          <w:sz w:val="24"/>
          <w:szCs w:val="24"/>
          <w:lang w:val="sq-AL"/>
        </w:rPr>
        <w:t xml:space="preserve"> </w:t>
      </w:r>
      <w:r w:rsidRPr="00106763">
        <w:rPr>
          <w:rFonts w:ascii="Times New Roman" w:eastAsia="Times New Roman" w:hAnsi="Times New Roman" w:cs="Times New Roman"/>
          <w:sz w:val="24"/>
          <w:szCs w:val="24"/>
          <w:lang w:val="sq-AL"/>
        </w:rPr>
        <w:t>shkarkimet</w:t>
      </w:r>
      <w:r w:rsidRPr="00106763">
        <w:rPr>
          <w:rFonts w:ascii="Times New Roman" w:eastAsia="Times New Roman" w:hAnsi="Times New Roman" w:cs="Times New Roman"/>
          <w:spacing w:val="-7"/>
          <w:sz w:val="24"/>
          <w:szCs w:val="24"/>
          <w:lang w:val="sq-AL"/>
        </w:rPr>
        <w:t xml:space="preserve"> </w:t>
      </w:r>
      <w:r w:rsidRPr="00106763">
        <w:rPr>
          <w:rFonts w:ascii="Times New Roman" w:eastAsia="Times New Roman" w:hAnsi="Times New Roman" w:cs="Times New Roman"/>
          <w:sz w:val="24"/>
          <w:szCs w:val="24"/>
          <w:lang w:val="sq-AL"/>
        </w:rPr>
        <w:t>dhe</w:t>
      </w:r>
      <w:r w:rsidRPr="00106763">
        <w:rPr>
          <w:rFonts w:ascii="Times New Roman" w:eastAsia="Times New Roman" w:hAnsi="Times New Roman" w:cs="Times New Roman"/>
          <w:spacing w:val="-5"/>
          <w:sz w:val="24"/>
          <w:szCs w:val="24"/>
          <w:lang w:val="sq-AL"/>
        </w:rPr>
        <w:t xml:space="preserve"> </w:t>
      </w:r>
      <w:r w:rsidRPr="00106763">
        <w:rPr>
          <w:rFonts w:ascii="Times New Roman" w:eastAsia="Times New Roman" w:hAnsi="Times New Roman" w:cs="Times New Roman"/>
          <w:sz w:val="24"/>
          <w:szCs w:val="24"/>
          <w:lang w:val="sq-AL"/>
        </w:rPr>
        <w:t>për</w:t>
      </w:r>
      <w:r w:rsidRPr="00106763">
        <w:rPr>
          <w:rFonts w:ascii="Times New Roman" w:eastAsia="Times New Roman" w:hAnsi="Times New Roman" w:cs="Times New Roman"/>
          <w:spacing w:val="33"/>
          <w:sz w:val="24"/>
          <w:szCs w:val="24"/>
          <w:lang w:val="sq-AL"/>
        </w:rPr>
        <w:t xml:space="preserve"> </w:t>
      </w:r>
      <w:r w:rsidRPr="00106763">
        <w:rPr>
          <w:rFonts w:ascii="Times New Roman" w:eastAsia="Times New Roman" w:hAnsi="Times New Roman" w:cs="Times New Roman"/>
          <w:sz w:val="24"/>
          <w:szCs w:val="24"/>
          <w:lang w:val="sq-AL"/>
        </w:rPr>
        <w:t>transferimin</w:t>
      </w:r>
      <w:r w:rsidRPr="00106763">
        <w:rPr>
          <w:rFonts w:ascii="Times New Roman" w:eastAsia="Times New Roman" w:hAnsi="Times New Roman" w:cs="Times New Roman"/>
          <w:spacing w:val="36"/>
          <w:sz w:val="24"/>
          <w:szCs w:val="24"/>
          <w:lang w:val="sq-AL"/>
        </w:rPr>
        <w:t xml:space="preserve"> </w:t>
      </w:r>
      <w:r w:rsidRPr="00106763">
        <w:rPr>
          <w:rFonts w:ascii="Times New Roman" w:eastAsia="Times New Roman" w:hAnsi="Times New Roman" w:cs="Times New Roman"/>
          <w:sz w:val="24"/>
          <w:szCs w:val="24"/>
          <w:lang w:val="sq-AL"/>
        </w:rPr>
        <w:t>e</w:t>
      </w:r>
      <w:r w:rsidRPr="00106763">
        <w:rPr>
          <w:rFonts w:ascii="Times New Roman" w:eastAsia="Times New Roman" w:hAnsi="Times New Roman" w:cs="Times New Roman"/>
          <w:spacing w:val="-5"/>
          <w:sz w:val="24"/>
          <w:szCs w:val="24"/>
          <w:lang w:val="sq-AL"/>
        </w:rPr>
        <w:t xml:space="preserve"> </w:t>
      </w:r>
      <w:r w:rsidRPr="00106763">
        <w:rPr>
          <w:rFonts w:ascii="Times New Roman" w:eastAsia="Times New Roman" w:hAnsi="Times New Roman" w:cs="Times New Roman"/>
          <w:spacing w:val="-2"/>
          <w:sz w:val="24"/>
          <w:szCs w:val="24"/>
          <w:lang w:val="sq-AL"/>
        </w:rPr>
        <w:t>ndotësve.</w:t>
      </w:r>
    </w:p>
    <w:p w:rsidR="00106763" w:rsidRPr="00106763" w:rsidRDefault="00106763" w:rsidP="00106763">
      <w:pPr>
        <w:widowControl w:val="0"/>
        <w:autoSpaceDE w:val="0"/>
        <w:autoSpaceDN w:val="0"/>
        <w:spacing w:before="140" w:after="0" w:line="240" w:lineRule="auto"/>
        <w:rPr>
          <w:rFonts w:ascii="Times New Roman" w:eastAsia="Times New Roman" w:hAnsi="Times New Roman" w:cs="Times New Roman"/>
          <w:sz w:val="18"/>
          <w:szCs w:val="18"/>
          <w:lang w:val="sq-AL"/>
        </w:rPr>
      </w:pPr>
    </w:p>
    <w:p w:rsidR="00773E68" w:rsidRDefault="00106763" w:rsidP="00106763">
      <w:pPr>
        <w:spacing w:after="0" w:line="240" w:lineRule="auto"/>
        <w:jc w:val="both"/>
        <w:rPr>
          <w:rFonts w:ascii="Times New Roman" w:eastAsia="Times New Roman" w:hAnsi="Times New Roman" w:cs="Times New Roman"/>
          <w:spacing w:val="-2"/>
          <w:sz w:val="24"/>
          <w:szCs w:val="24"/>
          <w:lang w:val="sq-AL"/>
        </w:rPr>
      </w:pPr>
      <w:r w:rsidRPr="003A5B42">
        <w:rPr>
          <w:rFonts w:ascii="Times New Roman" w:eastAsia="Times New Roman" w:hAnsi="Times New Roman" w:cs="Times New Roman"/>
          <w:sz w:val="24"/>
          <w:szCs w:val="24"/>
          <w:lang w:val="sq-AL"/>
        </w:rPr>
        <w:t xml:space="preserve">Agjencia Kombëtare e Mjedisit menaxhon sistemin e informacionit mjedisor me të dhënat e grumbulluara nga operatorët ekonomik të pajisur me leje mjedisore të tipit A dhe B. Gjithashtu kryen inspektime dhe kontrolle në subjekte të ndryshme për zbatueshmërinë e kushteve të lejes </w:t>
      </w:r>
      <w:r w:rsidRPr="003A5B42">
        <w:rPr>
          <w:rFonts w:ascii="Times New Roman" w:eastAsia="Times New Roman" w:hAnsi="Times New Roman" w:cs="Times New Roman"/>
          <w:spacing w:val="-2"/>
          <w:sz w:val="24"/>
          <w:szCs w:val="24"/>
          <w:lang w:val="sq-AL"/>
        </w:rPr>
        <w:t>mjedisore</w:t>
      </w:r>
      <w:r w:rsidR="009D31B3">
        <w:rPr>
          <w:rFonts w:ascii="Times New Roman" w:eastAsia="Times New Roman" w:hAnsi="Times New Roman" w:cs="Times New Roman"/>
          <w:spacing w:val="-2"/>
          <w:sz w:val="24"/>
          <w:szCs w:val="24"/>
          <w:lang w:val="sq-AL"/>
        </w:rPr>
        <w:t>.</w:t>
      </w:r>
    </w:p>
    <w:p w:rsidR="001B2A32" w:rsidRDefault="001B2A32" w:rsidP="002B575F">
      <w:pPr>
        <w:spacing w:after="0" w:line="276" w:lineRule="auto"/>
        <w:jc w:val="both"/>
        <w:rPr>
          <w:rFonts w:ascii="Times New Roman" w:eastAsia="Times New Roman" w:hAnsi="Times New Roman" w:cs="Times New Roman"/>
          <w:color w:val="FF0000"/>
          <w:sz w:val="24"/>
          <w:szCs w:val="24"/>
        </w:rPr>
      </w:pPr>
    </w:p>
    <w:p w:rsidR="00884270" w:rsidRPr="00884270" w:rsidRDefault="00884270" w:rsidP="00807975">
      <w:pPr>
        <w:pStyle w:val="ListParagraph"/>
        <w:numPr>
          <w:ilvl w:val="0"/>
          <w:numId w:val="104"/>
        </w:numPr>
        <w:spacing w:after="0" w:line="276" w:lineRule="auto"/>
        <w:jc w:val="both"/>
        <w:rPr>
          <w:rFonts w:ascii="Times New Roman" w:eastAsia="Times New Roman" w:hAnsi="Times New Roman" w:cs="Times New Roman"/>
          <w:b/>
          <w:sz w:val="24"/>
          <w:szCs w:val="24"/>
        </w:rPr>
      </w:pPr>
      <w:r w:rsidRPr="00884270">
        <w:rPr>
          <w:rFonts w:ascii="Times New Roman" w:eastAsia="Times New Roman" w:hAnsi="Times New Roman" w:cs="Times New Roman"/>
          <w:b/>
          <w:sz w:val="24"/>
          <w:szCs w:val="24"/>
        </w:rPr>
        <w:t>Raportet e vetmonitorimit</w:t>
      </w:r>
    </w:p>
    <w:p w:rsidR="00884270" w:rsidRDefault="00884270" w:rsidP="002B575F">
      <w:pPr>
        <w:spacing w:after="0" w:line="276" w:lineRule="auto"/>
        <w:jc w:val="both"/>
        <w:rPr>
          <w:rFonts w:ascii="Times New Roman" w:eastAsia="Times New Roman" w:hAnsi="Times New Roman" w:cs="Times New Roman"/>
          <w:sz w:val="24"/>
          <w:szCs w:val="24"/>
        </w:rPr>
      </w:pPr>
    </w:p>
    <w:p w:rsidR="002B575F" w:rsidRPr="00711CC6" w:rsidRDefault="002B575F" w:rsidP="002B575F">
      <w:pPr>
        <w:spacing w:after="0" w:line="276" w:lineRule="auto"/>
        <w:jc w:val="both"/>
        <w:rPr>
          <w:rFonts w:ascii="Times New Roman" w:eastAsia="Times New Roman" w:hAnsi="Times New Roman" w:cs="Times New Roman"/>
          <w:sz w:val="24"/>
          <w:szCs w:val="24"/>
          <w:lang w:eastAsia="it-IT"/>
        </w:rPr>
      </w:pPr>
      <w:r w:rsidRPr="001B2A32">
        <w:rPr>
          <w:rFonts w:ascii="Times New Roman" w:eastAsia="Times New Roman" w:hAnsi="Times New Roman" w:cs="Times New Roman"/>
          <w:sz w:val="24"/>
          <w:szCs w:val="24"/>
        </w:rPr>
        <w:t xml:space="preserve">Gjate vitit 2025 kemi një rritje të numrit të dorëzimit të raporteve të vetmonitorimit nga </w:t>
      </w:r>
      <w:r w:rsidRPr="001B2A32">
        <w:rPr>
          <w:rFonts w:ascii="Times New Roman" w:eastAsia="Times New Roman" w:hAnsi="Times New Roman" w:cs="Times New Roman"/>
          <w:sz w:val="24"/>
          <w:szCs w:val="24"/>
          <w:lang w:eastAsia="it-IT"/>
        </w:rPr>
        <w:t xml:space="preserve">Operatorët të cilët janë të pajisur me leje mjedisore. Numri i operatorëve të cilët kanë raportuar </w:t>
      </w:r>
      <w:r w:rsidRPr="00711CC6">
        <w:rPr>
          <w:rFonts w:ascii="Times New Roman" w:eastAsia="Times New Roman" w:hAnsi="Times New Roman" w:cs="Times New Roman"/>
          <w:bCs/>
          <w:sz w:val="24"/>
          <w:szCs w:val="24"/>
          <w:lang w:eastAsia="it-IT"/>
        </w:rPr>
        <w:t>për vitin 2025 është rreth 2967 nga të cilat 107 jane operator të pajisur me Leje Mjedisi Tipi A dhe 2860 operatore te pajisur me Leje Mjedisi Tipi B.</w:t>
      </w:r>
      <w:r w:rsidRPr="00711CC6">
        <w:rPr>
          <w:rFonts w:ascii="Times New Roman" w:eastAsia="Times New Roman" w:hAnsi="Times New Roman" w:cs="Times New Roman"/>
          <w:sz w:val="24"/>
          <w:szCs w:val="24"/>
          <w:lang w:eastAsia="it-IT"/>
        </w:rPr>
        <w:t xml:space="preserve"> </w:t>
      </w:r>
    </w:p>
    <w:p w:rsidR="002B575F" w:rsidRDefault="002B575F" w:rsidP="002B575F">
      <w:pPr>
        <w:spacing w:after="0" w:line="276" w:lineRule="auto"/>
        <w:jc w:val="both"/>
        <w:rPr>
          <w:rFonts w:ascii="Times New Roman" w:eastAsia="Times New Roman" w:hAnsi="Times New Roman" w:cs="Times New Roman"/>
          <w:sz w:val="24"/>
          <w:szCs w:val="24"/>
        </w:rPr>
      </w:pPr>
      <w:r w:rsidRPr="001B2A32">
        <w:rPr>
          <w:rFonts w:ascii="Times New Roman" w:eastAsia="Times New Roman" w:hAnsi="Times New Roman" w:cs="Times New Roman"/>
          <w:sz w:val="24"/>
          <w:szCs w:val="24"/>
        </w:rPr>
        <w:t>Numri i subjekteve të cilat kanë realizuar vetmonitorimin për lejet e mjedisit të tipit A dhe B të ndara përkatësisht në secilin qark, për vitin 2025 paraqitet si më poshtë</w:t>
      </w:r>
      <w:r w:rsidR="00711CC6">
        <w:rPr>
          <w:rFonts w:ascii="Times New Roman" w:eastAsia="Times New Roman" w:hAnsi="Times New Roman" w:cs="Times New Roman"/>
          <w:sz w:val="24"/>
          <w:szCs w:val="24"/>
        </w:rPr>
        <w:t>, në formë tabelare dhe grafike.</w:t>
      </w:r>
    </w:p>
    <w:p w:rsidR="00884270" w:rsidRDefault="00884270" w:rsidP="002B575F">
      <w:pPr>
        <w:spacing w:after="0" w:line="276" w:lineRule="auto"/>
        <w:jc w:val="both"/>
        <w:rPr>
          <w:rFonts w:ascii="Times New Roman" w:eastAsia="Times New Roman" w:hAnsi="Times New Roman" w:cs="Times New Roman"/>
          <w:sz w:val="24"/>
          <w:szCs w:val="24"/>
        </w:rPr>
      </w:pPr>
    </w:p>
    <w:p w:rsidR="002B575F" w:rsidRPr="00681B50" w:rsidRDefault="00681B50" w:rsidP="00884270">
      <w:pPr>
        <w:spacing w:after="200" w:line="276" w:lineRule="auto"/>
        <w:jc w:val="center"/>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Tabela 61</w:t>
      </w:r>
      <w:r w:rsidR="00711CC6" w:rsidRPr="00681B50">
        <w:rPr>
          <w:rFonts w:ascii="Times New Roman" w:eastAsia="Times New Roman" w:hAnsi="Times New Roman" w:cs="Times New Roman"/>
          <w:iCs/>
          <w:sz w:val="20"/>
          <w:szCs w:val="20"/>
        </w:rPr>
        <w:t xml:space="preserve">. </w:t>
      </w:r>
      <w:bookmarkStart w:id="44" w:name="_Hlk190943242"/>
      <w:r w:rsidR="00711CC6" w:rsidRPr="00681B50">
        <w:rPr>
          <w:rFonts w:ascii="Times New Roman" w:eastAsia="Times New Roman" w:hAnsi="Times New Roman" w:cs="Times New Roman"/>
          <w:iCs/>
          <w:sz w:val="20"/>
          <w:szCs w:val="20"/>
        </w:rPr>
        <w:t>Numri i subjekteve të cilat kanë realizuar vetëmonitorimin për lejet e mjedisit A dhe B në secilin qark, për vitin 2025</w:t>
      </w:r>
      <w:bookmarkEnd w:id="44"/>
    </w:p>
    <w:tbl>
      <w:tblPr>
        <w:tblW w:w="5791" w:type="dxa"/>
        <w:jc w:val="center"/>
        <w:tblLook w:val="04A0" w:firstRow="1" w:lastRow="0" w:firstColumn="1" w:lastColumn="0" w:noHBand="0" w:noVBand="1"/>
      </w:tblPr>
      <w:tblGrid>
        <w:gridCol w:w="1416"/>
        <w:gridCol w:w="1545"/>
        <w:gridCol w:w="1418"/>
        <w:gridCol w:w="1412"/>
      </w:tblGrid>
      <w:tr w:rsidR="002B575F" w:rsidRPr="002B575F" w:rsidTr="002B575F">
        <w:trPr>
          <w:trHeight w:val="330"/>
          <w:jc w:val="center"/>
        </w:trPr>
        <w:tc>
          <w:tcPr>
            <w:tcW w:w="1416" w:type="dxa"/>
            <w:vMerge w:val="restart"/>
            <w:tcBorders>
              <w:top w:val="single" w:sz="4" w:space="0" w:color="auto"/>
              <w:left w:val="single" w:sz="8" w:space="0" w:color="auto"/>
              <w:right w:val="single" w:sz="8" w:space="0" w:color="auto"/>
            </w:tcBorders>
            <w:shd w:val="clear" w:color="auto" w:fill="D0CECE" w:themeFill="background2" w:themeFillShade="E6"/>
            <w:noWrap/>
            <w:vAlign w:val="center"/>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bookmarkStart w:id="45" w:name="_Hlk190947201"/>
            <w:r w:rsidRPr="002B575F">
              <w:rPr>
                <w:rFonts w:ascii="Times New Roman" w:eastAsia="Times New Roman" w:hAnsi="Times New Roman" w:cs="Times New Roman"/>
                <w:sz w:val="24"/>
                <w:szCs w:val="24"/>
              </w:rPr>
              <w:tab/>
            </w:r>
          </w:p>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Qarku</w:t>
            </w:r>
          </w:p>
        </w:tc>
        <w:tc>
          <w:tcPr>
            <w:tcW w:w="4375" w:type="dxa"/>
            <w:gridSpan w:val="3"/>
            <w:tcBorders>
              <w:top w:val="single" w:sz="4" w:space="0" w:color="auto"/>
              <w:left w:val="single" w:sz="8" w:space="0" w:color="auto"/>
              <w:bottom w:val="single" w:sz="8" w:space="0" w:color="auto"/>
              <w:right w:val="single" w:sz="8" w:space="0" w:color="auto"/>
            </w:tcBorders>
            <w:shd w:val="clear" w:color="auto" w:fill="D0CECE" w:themeFill="background2" w:themeFillShade="E6"/>
          </w:tcPr>
          <w:p w:rsidR="002B575F" w:rsidRPr="002B575F" w:rsidRDefault="002B575F" w:rsidP="002B575F">
            <w:pPr>
              <w:spacing w:after="0" w:line="240" w:lineRule="auto"/>
              <w:jc w:val="center"/>
              <w:rPr>
                <w:rFonts w:ascii="Times New Roman" w:eastAsia="Times New Roman" w:hAnsi="Times New Roman" w:cs="Times New Roman"/>
                <w:b/>
                <w:sz w:val="24"/>
                <w:szCs w:val="24"/>
              </w:rPr>
            </w:pPr>
            <w:r w:rsidRPr="002B575F">
              <w:rPr>
                <w:rFonts w:ascii="Times New Roman" w:eastAsia="Times New Roman" w:hAnsi="Times New Roman" w:cs="Times New Roman"/>
                <w:b/>
                <w:sz w:val="24"/>
                <w:szCs w:val="24"/>
              </w:rPr>
              <w:t>Viti 2025</w:t>
            </w:r>
          </w:p>
        </w:tc>
      </w:tr>
      <w:tr w:rsidR="002B575F" w:rsidRPr="002B575F" w:rsidTr="002B575F">
        <w:trPr>
          <w:trHeight w:val="330"/>
          <w:jc w:val="center"/>
        </w:trPr>
        <w:tc>
          <w:tcPr>
            <w:tcW w:w="1416" w:type="dxa"/>
            <w:vMerge/>
            <w:tcBorders>
              <w:left w:val="single" w:sz="8" w:space="0" w:color="auto"/>
              <w:bottom w:val="single" w:sz="8" w:space="0" w:color="auto"/>
              <w:right w:val="single" w:sz="8" w:space="0" w:color="auto"/>
            </w:tcBorders>
            <w:shd w:val="clear" w:color="auto" w:fill="D0CECE" w:themeFill="background2" w:themeFillShade="E6"/>
            <w:noWrap/>
            <w:vAlign w:val="center"/>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p>
        </w:tc>
        <w:tc>
          <w:tcPr>
            <w:tcW w:w="1545" w:type="dxa"/>
            <w:tcBorders>
              <w:top w:val="single" w:sz="4" w:space="0" w:color="auto"/>
              <w:left w:val="single" w:sz="8" w:space="0" w:color="auto"/>
              <w:bottom w:val="single" w:sz="8" w:space="0" w:color="auto"/>
              <w:right w:val="single" w:sz="8" w:space="0" w:color="auto"/>
            </w:tcBorders>
            <w:shd w:val="clear" w:color="auto" w:fill="D0CECE" w:themeFill="background2" w:themeFillShade="E6"/>
          </w:tcPr>
          <w:p w:rsidR="002B575F" w:rsidRPr="002B575F" w:rsidRDefault="002B575F" w:rsidP="002B575F">
            <w:pPr>
              <w:spacing w:after="0" w:line="240" w:lineRule="auto"/>
              <w:jc w:val="center"/>
              <w:rPr>
                <w:rFonts w:ascii="Times New Roman" w:eastAsia="Times New Roman" w:hAnsi="Times New Roman" w:cs="Times New Roman"/>
                <w:b/>
                <w:sz w:val="24"/>
                <w:szCs w:val="24"/>
              </w:rPr>
            </w:pPr>
            <w:r w:rsidRPr="002B575F">
              <w:rPr>
                <w:rFonts w:ascii="Times New Roman" w:eastAsia="Times New Roman" w:hAnsi="Times New Roman" w:cs="Times New Roman"/>
                <w:b/>
                <w:sz w:val="24"/>
                <w:szCs w:val="24"/>
              </w:rPr>
              <w:t>Leje Tipi A</w:t>
            </w:r>
          </w:p>
        </w:tc>
        <w:tc>
          <w:tcPr>
            <w:tcW w:w="1418" w:type="dxa"/>
            <w:tcBorders>
              <w:top w:val="single" w:sz="4" w:space="0" w:color="auto"/>
              <w:left w:val="single" w:sz="8" w:space="0" w:color="auto"/>
              <w:bottom w:val="single" w:sz="8" w:space="0" w:color="auto"/>
              <w:right w:val="single" w:sz="8" w:space="0" w:color="auto"/>
            </w:tcBorders>
            <w:shd w:val="clear" w:color="auto" w:fill="D0CECE" w:themeFill="background2" w:themeFillShade="E6"/>
          </w:tcPr>
          <w:p w:rsidR="002B575F" w:rsidRPr="002B575F" w:rsidRDefault="002B575F" w:rsidP="002B575F">
            <w:pPr>
              <w:spacing w:after="0" w:line="240" w:lineRule="auto"/>
              <w:jc w:val="center"/>
              <w:rPr>
                <w:rFonts w:ascii="Times New Roman" w:eastAsia="Times New Roman" w:hAnsi="Times New Roman" w:cs="Times New Roman"/>
                <w:b/>
                <w:sz w:val="24"/>
                <w:szCs w:val="24"/>
              </w:rPr>
            </w:pPr>
            <w:r w:rsidRPr="002B575F">
              <w:rPr>
                <w:rFonts w:ascii="Times New Roman" w:eastAsia="Times New Roman" w:hAnsi="Times New Roman" w:cs="Times New Roman"/>
                <w:b/>
                <w:sz w:val="24"/>
                <w:szCs w:val="24"/>
              </w:rPr>
              <w:t>Leje Tipi B</w:t>
            </w:r>
          </w:p>
        </w:tc>
        <w:tc>
          <w:tcPr>
            <w:tcW w:w="1412" w:type="dxa"/>
            <w:tcBorders>
              <w:top w:val="single" w:sz="4" w:space="0" w:color="auto"/>
              <w:left w:val="single" w:sz="8" w:space="0" w:color="auto"/>
              <w:bottom w:val="single" w:sz="8" w:space="0" w:color="auto"/>
              <w:right w:val="single" w:sz="8" w:space="0" w:color="auto"/>
            </w:tcBorders>
            <w:shd w:val="clear" w:color="auto" w:fill="D0CECE" w:themeFill="background2" w:themeFillShade="E6"/>
          </w:tcPr>
          <w:p w:rsidR="002B575F" w:rsidRPr="002B575F" w:rsidRDefault="002B575F" w:rsidP="002B575F">
            <w:pPr>
              <w:spacing w:after="0" w:line="240" w:lineRule="auto"/>
              <w:jc w:val="center"/>
              <w:rPr>
                <w:rFonts w:ascii="Times New Roman" w:eastAsia="Times New Roman" w:hAnsi="Times New Roman" w:cs="Times New Roman"/>
                <w:b/>
                <w:sz w:val="24"/>
                <w:szCs w:val="24"/>
              </w:rPr>
            </w:pPr>
            <w:r w:rsidRPr="002B575F">
              <w:rPr>
                <w:rFonts w:ascii="Times New Roman" w:eastAsia="Times New Roman" w:hAnsi="Times New Roman" w:cs="Times New Roman"/>
                <w:b/>
                <w:sz w:val="24"/>
                <w:szCs w:val="24"/>
              </w:rPr>
              <w:t>Total</w:t>
            </w:r>
          </w:p>
        </w:tc>
      </w:tr>
      <w:tr w:rsidR="002B575F" w:rsidRPr="002B575F" w:rsidTr="002B575F">
        <w:trPr>
          <w:trHeight w:val="330"/>
          <w:jc w:val="center"/>
        </w:trPr>
        <w:tc>
          <w:tcPr>
            <w:tcW w:w="1416"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Tirane</w:t>
            </w:r>
          </w:p>
        </w:tc>
        <w:tc>
          <w:tcPr>
            <w:tcW w:w="1545"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12</w:t>
            </w:r>
          </w:p>
        </w:tc>
        <w:tc>
          <w:tcPr>
            <w:tcW w:w="141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720</w:t>
            </w:r>
          </w:p>
        </w:tc>
        <w:tc>
          <w:tcPr>
            <w:tcW w:w="1412"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732</w:t>
            </w:r>
          </w:p>
        </w:tc>
      </w:tr>
      <w:tr w:rsidR="002B575F" w:rsidRPr="002B575F" w:rsidTr="002B575F">
        <w:trPr>
          <w:trHeight w:val="330"/>
          <w:jc w:val="center"/>
        </w:trPr>
        <w:tc>
          <w:tcPr>
            <w:tcW w:w="1416"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Durres</w:t>
            </w:r>
          </w:p>
        </w:tc>
        <w:tc>
          <w:tcPr>
            <w:tcW w:w="1545"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18</w:t>
            </w:r>
          </w:p>
        </w:tc>
        <w:tc>
          <w:tcPr>
            <w:tcW w:w="141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384</w:t>
            </w:r>
          </w:p>
        </w:tc>
        <w:tc>
          <w:tcPr>
            <w:tcW w:w="1412"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402</w:t>
            </w:r>
          </w:p>
        </w:tc>
      </w:tr>
      <w:tr w:rsidR="002B575F" w:rsidRPr="002B575F" w:rsidTr="002B575F">
        <w:trPr>
          <w:trHeight w:val="330"/>
          <w:jc w:val="center"/>
        </w:trPr>
        <w:tc>
          <w:tcPr>
            <w:tcW w:w="1416"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Lezhe</w:t>
            </w:r>
          </w:p>
        </w:tc>
        <w:tc>
          <w:tcPr>
            <w:tcW w:w="1545"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7</w:t>
            </w:r>
          </w:p>
        </w:tc>
        <w:tc>
          <w:tcPr>
            <w:tcW w:w="141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152</w:t>
            </w:r>
          </w:p>
        </w:tc>
        <w:tc>
          <w:tcPr>
            <w:tcW w:w="1412"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159</w:t>
            </w:r>
          </w:p>
        </w:tc>
      </w:tr>
      <w:tr w:rsidR="002B575F" w:rsidRPr="002B575F" w:rsidTr="002B575F">
        <w:trPr>
          <w:trHeight w:val="330"/>
          <w:jc w:val="center"/>
        </w:trPr>
        <w:tc>
          <w:tcPr>
            <w:tcW w:w="1416"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Gjirokaster</w:t>
            </w:r>
          </w:p>
        </w:tc>
        <w:tc>
          <w:tcPr>
            <w:tcW w:w="1545"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w:t>
            </w:r>
          </w:p>
        </w:tc>
        <w:tc>
          <w:tcPr>
            <w:tcW w:w="141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80</w:t>
            </w:r>
          </w:p>
        </w:tc>
        <w:tc>
          <w:tcPr>
            <w:tcW w:w="1412"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81</w:t>
            </w:r>
          </w:p>
        </w:tc>
      </w:tr>
      <w:tr w:rsidR="002B575F" w:rsidRPr="002B575F" w:rsidTr="002B575F">
        <w:trPr>
          <w:trHeight w:val="330"/>
          <w:jc w:val="center"/>
        </w:trPr>
        <w:tc>
          <w:tcPr>
            <w:tcW w:w="1416"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Vlore</w:t>
            </w:r>
          </w:p>
        </w:tc>
        <w:tc>
          <w:tcPr>
            <w:tcW w:w="1545"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8</w:t>
            </w:r>
          </w:p>
        </w:tc>
        <w:tc>
          <w:tcPr>
            <w:tcW w:w="141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226</w:t>
            </w:r>
          </w:p>
        </w:tc>
        <w:tc>
          <w:tcPr>
            <w:tcW w:w="1412"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234</w:t>
            </w:r>
          </w:p>
        </w:tc>
      </w:tr>
      <w:tr w:rsidR="002B575F" w:rsidRPr="002B575F" w:rsidTr="002B575F">
        <w:trPr>
          <w:trHeight w:val="330"/>
          <w:jc w:val="center"/>
        </w:trPr>
        <w:tc>
          <w:tcPr>
            <w:tcW w:w="1416"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Berat</w:t>
            </w:r>
          </w:p>
        </w:tc>
        <w:tc>
          <w:tcPr>
            <w:tcW w:w="1545"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11</w:t>
            </w:r>
          </w:p>
        </w:tc>
        <w:tc>
          <w:tcPr>
            <w:tcW w:w="141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173</w:t>
            </w:r>
          </w:p>
        </w:tc>
        <w:tc>
          <w:tcPr>
            <w:tcW w:w="1412"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184</w:t>
            </w:r>
          </w:p>
        </w:tc>
      </w:tr>
      <w:tr w:rsidR="002B575F" w:rsidRPr="002B575F" w:rsidTr="002B575F">
        <w:trPr>
          <w:trHeight w:val="330"/>
          <w:jc w:val="center"/>
        </w:trPr>
        <w:tc>
          <w:tcPr>
            <w:tcW w:w="1416"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lastRenderedPageBreak/>
              <w:t>Fier</w:t>
            </w:r>
          </w:p>
        </w:tc>
        <w:tc>
          <w:tcPr>
            <w:tcW w:w="1545"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24</w:t>
            </w:r>
          </w:p>
        </w:tc>
        <w:tc>
          <w:tcPr>
            <w:tcW w:w="141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340</w:t>
            </w:r>
          </w:p>
        </w:tc>
        <w:tc>
          <w:tcPr>
            <w:tcW w:w="1412"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364</w:t>
            </w:r>
          </w:p>
        </w:tc>
      </w:tr>
      <w:tr w:rsidR="002B575F" w:rsidRPr="002B575F" w:rsidTr="002B575F">
        <w:trPr>
          <w:trHeight w:val="330"/>
          <w:jc w:val="center"/>
        </w:trPr>
        <w:tc>
          <w:tcPr>
            <w:tcW w:w="1416"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Kukes</w:t>
            </w:r>
          </w:p>
        </w:tc>
        <w:tc>
          <w:tcPr>
            <w:tcW w:w="1545"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w:t>
            </w:r>
          </w:p>
        </w:tc>
        <w:tc>
          <w:tcPr>
            <w:tcW w:w="141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88</w:t>
            </w:r>
          </w:p>
        </w:tc>
        <w:tc>
          <w:tcPr>
            <w:tcW w:w="1412"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89</w:t>
            </w:r>
          </w:p>
        </w:tc>
      </w:tr>
      <w:tr w:rsidR="002B575F" w:rsidRPr="002B575F" w:rsidTr="002B575F">
        <w:trPr>
          <w:trHeight w:val="330"/>
          <w:jc w:val="center"/>
        </w:trPr>
        <w:tc>
          <w:tcPr>
            <w:tcW w:w="1416"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Shkoder</w:t>
            </w:r>
          </w:p>
        </w:tc>
        <w:tc>
          <w:tcPr>
            <w:tcW w:w="1545" w:type="dxa"/>
            <w:tcBorders>
              <w:top w:val="nil"/>
              <w:left w:val="single" w:sz="8" w:space="0" w:color="auto"/>
              <w:bottom w:val="nil"/>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2</w:t>
            </w:r>
          </w:p>
        </w:tc>
        <w:tc>
          <w:tcPr>
            <w:tcW w:w="1418" w:type="dxa"/>
            <w:tcBorders>
              <w:top w:val="nil"/>
              <w:left w:val="single" w:sz="8" w:space="0" w:color="auto"/>
              <w:bottom w:val="nil"/>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132</w:t>
            </w:r>
          </w:p>
        </w:tc>
        <w:tc>
          <w:tcPr>
            <w:tcW w:w="1412" w:type="dxa"/>
            <w:tcBorders>
              <w:top w:val="nil"/>
              <w:left w:val="single" w:sz="8" w:space="0" w:color="auto"/>
              <w:bottom w:val="nil"/>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134</w:t>
            </w:r>
          </w:p>
        </w:tc>
      </w:tr>
      <w:tr w:rsidR="002B575F" w:rsidRPr="002B575F" w:rsidTr="002B575F">
        <w:trPr>
          <w:trHeight w:val="330"/>
          <w:jc w:val="center"/>
        </w:trPr>
        <w:tc>
          <w:tcPr>
            <w:tcW w:w="1416"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Diber</w:t>
            </w:r>
          </w:p>
        </w:tc>
        <w:tc>
          <w:tcPr>
            <w:tcW w:w="1545" w:type="dxa"/>
            <w:tcBorders>
              <w:top w:val="single" w:sz="8" w:space="0" w:color="auto"/>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w:t>
            </w:r>
          </w:p>
        </w:tc>
        <w:tc>
          <w:tcPr>
            <w:tcW w:w="1418" w:type="dxa"/>
            <w:tcBorders>
              <w:top w:val="single" w:sz="8" w:space="0" w:color="auto"/>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144</w:t>
            </w:r>
          </w:p>
        </w:tc>
        <w:tc>
          <w:tcPr>
            <w:tcW w:w="1412" w:type="dxa"/>
            <w:tcBorders>
              <w:top w:val="single" w:sz="8" w:space="0" w:color="auto"/>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145</w:t>
            </w:r>
          </w:p>
        </w:tc>
      </w:tr>
      <w:tr w:rsidR="002B575F" w:rsidRPr="002B575F" w:rsidTr="002B575F">
        <w:trPr>
          <w:trHeight w:val="330"/>
          <w:jc w:val="center"/>
        </w:trPr>
        <w:tc>
          <w:tcPr>
            <w:tcW w:w="1416"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Elbasan</w:t>
            </w:r>
          </w:p>
        </w:tc>
        <w:tc>
          <w:tcPr>
            <w:tcW w:w="1545"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18</w:t>
            </w:r>
          </w:p>
        </w:tc>
        <w:tc>
          <w:tcPr>
            <w:tcW w:w="141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260</w:t>
            </w:r>
          </w:p>
        </w:tc>
        <w:tc>
          <w:tcPr>
            <w:tcW w:w="1412"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278</w:t>
            </w:r>
          </w:p>
        </w:tc>
      </w:tr>
      <w:tr w:rsidR="002B575F" w:rsidRPr="002B575F" w:rsidTr="002B575F">
        <w:trPr>
          <w:trHeight w:val="330"/>
          <w:jc w:val="center"/>
        </w:trPr>
        <w:tc>
          <w:tcPr>
            <w:tcW w:w="1416"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Korçe</w:t>
            </w:r>
          </w:p>
        </w:tc>
        <w:tc>
          <w:tcPr>
            <w:tcW w:w="1545"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4</w:t>
            </w:r>
          </w:p>
        </w:tc>
        <w:tc>
          <w:tcPr>
            <w:tcW w:w="141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161</w:t>
            </w:r>
          </w:p>
        </w:tc>
        <w:tc>
          <w:tcPr>
            <w:tcW w:w="1412"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4"/>
                <w:szCs w:val="24"/>
              </w:rPr>
            </w:pPr>
            <w:r w:rsidRPr="002B575F">
              <w:rPr>
                <w:rFonts w:ascii="Times New Roman" w:eastAsia="Times New Roman" w:hAnsi="Times New Roman" w:cs="Times New Roman"/>
                <w:b/>
                <w:bCs/>
                <w:sz w:val="24"/>
                <w:szCs w:val="24"/>
              </w:rPr>
              <w:t>165</w:t>
            </w:r>
          </w:p>
        </w:tc>
      </w:tr>
      <w:tr w:rsidR="002B575F" w:rsidRPr="002B575F" w:rsidTr="002B575F">
        <w:trPr>
          <w:trHeight w:val="330"/>
          <w:jc w:val="center"/>
        </w:trPr>
        <w:tc>
          <w:tcPr>
            <w:tcW w:w="1416" w:type="dxa"/>
            <w:tcBorders>
              <w:top w:val="nil"/>
              <w:left w:val="single" w:sz="8" w:space="0" w:color="auto"/>
              <w:bottom w:val="single" w:sz="8" w:space="0" w:color="auto"/>
              <w:right w:val="single" w:sz="8" w:space="0" w:color="auto"/>
            </w:tcBorders>
            <w:shd w:val="clear" w:color="auto" w:fill="D0CECE" w:themeFill="background2" w:themeFillShade="E6"/>
            <w:noWrap/>
            <w:vAlign w:val="center"/>
            <w:hideMark/>
          </w:tcPr>
          <w:p w:rsidR="002B575F" w:rsidRPr="002B575F" w:rsidRDefault="002B575F" w:rsidP="002B575F">
            <w:pPr>
              <w:spacing w:after="0" w:line="240" w:lineRule="auto"/>
              <w:jc w:val="center"/>
              <w:rPr>
                <w:rFonts w:ascii="Times New Roman" w:eastAsia="Times New Roman" w:hAnsi="Times New Roman" w:cs="Times New Roman"/>
                <w:b/>
                <w:bCs/>
                <w:i/>
                <w:iCs/>
                <w:sz w:val="24"/>
                <w:szCs w:val="24"/>
              </w:rPr>
            </w:pPr>
            <w:r w:rsidRPr="002B575F">
              <w:rPr>
                <w:rFonts w:ascii="Times New Roman" w:eastAsia="Times New Roman" w:hAnsi="Times New Roman" w:cs="Times New Roman"/>
                <w:b/>
                <w:bCs/>
                <w:i/>
                <w:iCs/>
                <w:sz w:val="24"/>
                <w:szCs w:val="24"/>
              </w:rPr>
              <w:t>Totali</w:t>
            </w:r>
          </w:p>
        </w:tc>
        <w:tc>
          <w:tcPr>
            <w:tcW w:w="1545" w:type="dxa"/>
            <w:tcBorders>
              <w:top w:val="nil"/>
              <w:left w:val="single" w:sz="8" w:space="0" w:color="auto"/>
              <w:bottom w:val="single" w:sz="8" w:space="0" w:color="auto"/>
              <w:right w:val="single" w:sz="8" w:space="0" w:color="auto"/>
            </w:tcBorders>
            <w:shd w:val="clear" w:color="auto" w:fill="D0CECE" w:themeFill="background2" w:themeFillShade="E6"/>
          </w:tcPr>
          <w:p w:rsidR="002B575F" w:rsidRPr="002B575F" w:rsidRDefault="002B575F" w:rsidP="002B575F">
            <w:pPr>
              <w:spacing w:after="0" w:line="240" w:lineRule="auto"/>
              <w:jc w:val="center"/>
              <w:rPr>
                <w:rFonts w:ascii="Times New Roman" w:eastAsia="Times New Roman" w:hAnsi="Times New Roman" w:cs="Times New Roman"/>
                <w:b/>
                <w:bCs/>
                <w:i/>
                <w:iCs/>
                <w:sz w:val="24"/>
                <w:szCs w:val="24"/>
              </w:rPr>
            </w:pPr>
            <w:r w:rsidRPr="002B575F">
              <w:rPr>
                <w:rFonts w:ascii="Times New Roman" w:eastAsia="Times New Roman" w:hAnsi="Times New Roman" w:cs="Times New Roman"/>
                <w:b/>
                <w:bCs/>
                <w:i/>
                <w:iCs/>
                <w:sz w:val="24"/>
                <w:szCs w:val="24"/>
              </w:rPr>
              <w:t>107</w:t>
            </w:r>
          </w:p>
        </w:tc>
        <w:tc>
          <w:tcPr>
            <w:tcW w:w="1418" w:type="dxa"/>
            <w:tcBorders>
              <w:top w:val="nil"/>
              <w:left w:val="single" w:sz="8" w:space="0" w:color="auto"/>
              <w:bottom w:val="single" w:sz="8" w:space="0" w:color="auto"/>
              <w:right w:val="single" w:sz="8" w:space="0" w:color="auto"/>
            </w:tcBorders>
            <w:shd w:val="clear" w:color="auto" w:fill="D0CECE" w:themeFill="background2" w:themeFillShade="E6"/>
          </w:tcPr>
          <w:p w:rsidR="002B575F" w:rsidRPr="002B575F" w:rsidRDefault="002B575F" w:rsidP="002B575F">
            <w:pPr>
              <w:spacing w:after="0" w:line="240" w:lineRule="auto"/>
              <w:jc w:val="center"/>
              <w:rPr>
                <w:rFonts w:ascii="Times New Roman" w:eastAsia="Times New Roman" w:hAnsi="Times New Roman" w:cs="Times New Roman"/>
                <w:b/>
                <w:bCs/>
                <w:i/>
                <w:iCs/>
                <w:sz w:val="24"/>
                <w:szCs w:val="24"/>
              </w:rPr>
            </w:pPr>
            <w:r w:rsidRPr="002B575F">
              <w:rPr>
                <w:rFonts w:ascii="Times New Roman" w:eastAsia="Times New Roman" w:hAnsi="Times New Roman" w:cs="Times New Roman"/>
                <w:b/>
                <w:bCs/>
                <w:i/>
                <w:iCs/>
                <w:sz w:val="24"/>
                <w:szCs w:val="24"/>
              </w:rPr>
              <w:t>2860</w:t>
            </w:r>
          </w:p>
        </w:tc>
        <w:tc>
          <w:tcPr>
            <w:tcW w:w="1412" w:type="dxa"/>
            <w:tcBorders>
              <w:top w:val="nil"/>
              <w:left w:val="single" w:sz="8" w:space="0" w:color="auto"/>
              <w:bottom w:val="single" w:sz="8" w:space="0" w:color="auto"/>
              <w:right w:val="single" w:sz="8" w:space="0" w:color="auto"/>
            </w:tcBorders>
            <w:shd w:val="clear" w:color="auto" w:fill="D0CECE" w:themeFill="background2" w:themeFillShade="E6"/>
          </w:tcPr>
          <w:p w:rsidR="002B575F" w:rsidRPr="002B575F" w:rsidRDefault="002B575F" w:rsidP="002B575F">
            <w:pPr>
              <w:spacing w:after="0" w:line="240" w:lineRule="auto"/>
              <w:jc w:val="center"/>
              <w:rPr>
                <w:rFonts w:ascii="Times New Roman" w:eastAsia="Times New Roman" w:hAnsi="Times New Roman" w:cs="Times New Roman"/>
                <w:b/>
                <w:bCs/>
                <w:i/>
                <w:iCs/>
                <w:sz w:val="24"/>
                <w:szCs w:val="24"/>
              </w:rPr>
            </w:pPr>
            <w:r w:rsidRPr="002B575F">
              <w:rPr>
                <w:rFonts w:ascii="Times New Roman" w:eastAsia="Times New Roman" w:hAnsi="Times New Roman" w:cs="Times New Roman"/>
                <w:b/>
                <w:bCs/>
                <w:i/>
                <w:iCs/>
                <w:sz w:val="24"/>
                <w:szCs w:val="24"/>
              </w:rPr>
              <w:t>2967</w:t>
            </w:r>
          </w:p>
        </w:tc>
      </w:tr>
      <w:bookmarkEnd w:id="45"/>
    </w:tbl>
    <w:p w:rsidR="002B575F" w:rsidRPr="002B575F" w:rsidRDefault="002B575F" w:rsidP="00277086">
      <w:pPr>
        <w:spacing w:after="200" w:line="276" w:lineRule="auto"/>
        <w:rPr>
          <w:rFonts w:ascii="Times New Roman" w:eastAsia="Times New Roman" w:hAnsi="Times New Roman" w:cs="Times New Roman"/>
          <w:i/>
          <w:iCs/>
          <w:sz w:val="20"/>
          <w:szCs w:val="20"/>
        </w:rPr>
      </w:pPr>
    </w:p>
    <w:p w:rsidR="002B575F" w:rsidRPr="002B575F" w:rsidRDefault="002B575F" w:rsidP="002B575F">
      <w:pPr>
        <w:spacing w:after="200" w:line="276" w:lineRule="auto"/>
        <w:jc w:val="center"/>
        <w:rPr>
          <w:rFonts w:ascii="Times New Roman" w:eastAsia="Times New Roman" w:hAnsi="Times New Roman" w:cs="Times New Roman"/>
          <w:color w:val="FF0000"/>
          <w:sz w:val="24"/>
          <w:szCs w:val="24"/>
          <w:lang w:eastAsia="it-IT"/>
        </w:rPr>
      </w:pPr>
      <w:r w:rsidRPr="002B575F">
        <w:rPr>
          <w:rFonts w:ascii="Calibri" w:eastAsia="Times New Roman" w:hAnsi="Calibri" w:cs="Times New Roman"/>
          <w:noProof/>
        </w:rPr>
        <w:drawing>
          <wp:inline distT="0" distB="0" distL="0" distR="0" wp14:anchorId="0068DC0E" wp14:editId="51CEA9F3">
            <wp:extent cx="6097270" cy="3271520"/>
            <wp:effectExtent l="0" t="0" r="17780" b="5080"/>
            <wp:docPr id="338" name="Chart 3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5"/>
              </a:graphicData>
            </a:graphic>
          </wp:inline>
        </w:drawing>
      </w:r>
    </w:p>
    <w:p w:rsidR="001B2A32" w:rsidRPr="00884270" w:rsidRDefault="002B575F" w:rsidP="00884270">
      <w:pPr>
        <w:spacing w:after="200" w:line="276" w:lineRule="auto"/>
        <w:jc w:val="center"/>
        <w:rPr>
          <w:rFonts w:ascii="Times New Roman" w:eastAsia="Times New Roman" w:hAnsi="Times New Roman" w:cs="Times New Roman"/>
          <w:i/>
          <w:iCs/>
          <w:sz w:val="20"/>
          <w:szCs w:val="20"/>
        </w:rPr>
      </w:pPr>
      <w:r w:rsidRPr="002B575F">
        <w:rPr>
          <w:rFonts w:ascii="Times New Roman" w:eastAsia="Times New Roman" w:hAnsi="Times New Roman" w:cs="Times New Roman"/>
          <w:i/>
          <w:iCs/>
          <w:sz w:val="20"/>
          <w:szCs w:val="20"/>
        </w:rPr>
        <w:t>Numri i subjekteve të cilat kanë realizuar vetëmonitorimin për lejet e mjedisit A dhe B</w:t>
      </w:r>
      <w:r w:rsidR="005D3C1F">
        <w:rPr>
          <w:rFonts w:ascii="Times New Roman" w:eastAsia="Times New Roman" w:hAnsi="Times New Roman" w:cs="Times New Roman"/>
          <w:i/>
          <w:iCs/>
          <w:sz w:val="20"/>
          <w:szCs w:val="20"/>
        </w:rPr>
        <w:t xml:space="preserve"> në secilin qark, për vitin 2025</w:t>
      </w:r>
    </w:p>
    <w:p w:rsidR="001B2A32" w:rsidRPr="00681B50" w:rsidRDefault="00681B50" w:rsidP="00296861">
      <w:pPr>
        <w:spacing w:after="200" w:line="276" w:lineRule="auto"/>
        <w:jc w:val="center"/>
        <w:rPr>
          <w:rFonts w:ascii="Times New Roman" w:eastAsia="Times New Roman" w:hAnsi="Times New Roman" w:cs="Times New Roman"/>
          <w:iCs/>
          <w:sz w:val="20"/>
          <w:szCs w:val="20"/>
        </w:rPr>
      </w:pPr>
      <w:r w:rsidRPr="00681B50">
        <w:rPr>
          <w:rFonts w:ascii="Times New Roman" w:eastAsia="Times New Roman" w:hAnsi="Times New Roman" w:cs="Times New Roman"/>
          <w:iCs/>
          <w:sz w:val="20"/>
          <w:szCs w:val="20"/>
        </w:rPr>
        <w:t>Tabela 62</w:t>
      </w:r>
      <w:r w:rsidR="00884270" w:rsidRPr="00681B50">
        <w:rPr>
          <w:rFonts w:ascii="Times New Roman" w:eastAsia="Times New Roman" w:hAnsi="Times New Roman" w:cs="Times New Roman"/>
          <w:iCs/>
          <w:sz w:val="20"/>
          <w:szCs w:val="20"/>
        </w:rPr>
        <w:t>.</w:t>
      </w:r>
      <w:r w:rsidR="00296861" w:rsidRPr="00681B50">
        <w:rPr>
          <w:rFonts w:ascii="Times New Roman" w:eastAsia="Times New Roman" w:hAnsi="Times New Roman" w:cs="Times New Roman"/>
          <w:iCs/>
          <w:sz w:val="20"/>
          <w:szCs w:val="20"/>
        </w:rPr>
        <w:t xml:space="preserve"> Numri i subjekteve të cilat kanë realizuar vetëmonitorimin për lejet e mjedisit A dhe B në secilin qark, për vitin 2014 – 2025</w:t>
      </w:r>
    </w:p>
    <w:tbl>
      <w:tblPr>
        <w:tblW w:w="9582" w:type="dxa"/>
        <w:jc w:val="center"/>
        <w:tblLook w:val="04A0" w:firstRow="1" w:lastRow="0" w:firstColumn="1" w:lastColumn="0" w:noHBand="0" w:noVBand="1"/>
      </w:tblPr>
      <w:tblGrid>
        <w:gridCol w:w="1250"/>
        <w:gridCol w:w="630"/>
        <w:gridCol w:w="720"/>
        <w:gridCol w:w="704"/>
        <w:gridCol w:w="704"/>
        <w:gridCol w:w="628"/>
        <w:gridCol w:w="630"/>
        <w:gridCol w:w="628"/>
        <w:gridCol w:w="704"/>
        <w:gridCol w:w="856"/>
        <w:gridCol w:w="628"/>
        <w:gridCol w:w="780"/>
        <w:gridCol w:w="720"/>
      </w:tblGrid>
      <w:tr w:rsidR="002B575F" w:rsidRPr="002B575F" w:rsidTr="002B575F">
        <w:trPr>
          <w:trHeight w:val="318"/>
          <w:jc w:val="center"/>
        </w:trPr>
        <w:tc>
          <w:tcPr>
            <w:tcW w:w="12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t>Vitet </w:t>
            </w:r>
          </w:p>
        </w:tc>
        <w:tc>
          <w:tcPr>
            <w:tcW w:w="63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B575F" w:rsidRPr="002B575F" w:rsidRDefault="002B575F" w:rsidP="002B575F">
            <w:pPr>
              <w:spacing w:after="0" w:line="240" w:lineRule="auto"/>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t>2014</w:t>
            </w:r>
          </w:p>
        </w:tc>
        <w:tc>
          <w:tcPr>
            <w:tcW w:w="72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B575F" w:rsidRPr="002B575F" w:rsidRDefault="002B575F" w:rsidP="002B575F">
            <w:pPr>
              <w:spacing w:after="0" w:line="240" w:lineRule="auto"/>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t>2015</w:t>
            </w:r>
          </w:p>
        </w:tc>
        <w:tc>
          <w:tcPr>
            <w:tcW w:w="70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B575F" w:rsidRPr="002B575F" w:rsidRDefault="002B575F" w:rsidP="002B575F">
            <w:pPr>
              <w:spacing w:after="0" w:line="240" w:lineRule="auto"/>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t>2016</w:t>
            </w:r>
          </w:p>
        </w:tc>
        <w:tc>
          <w:tcPr>
            <w:tcW w:w="70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B575F" w:rsidRPr="002B575F" w:rsidRDefault="002B575F" w:rsidP="002B575F">
            <w:pPr>
              <w:spacing w:after="0" w:line="240" w:lineRule="auto"/>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t>2017</w:t>
            </w:r>
          </w:p>
        </w:tc>
        <w:tc>
          <w:tcPr>
            <w:tcW w:w="628" w:type="dxa"/>
            <w:vMerge w:val="restart"/>
            <w:tcBorders>
              <w:top w:val="single" w:sz="8" w:space="0" w:color="auto"/>
              <w:left w:val="single" w:sz="8" w:space="0" w:color="auto"/>
              <w:bottom w:val="single" w:sz="8" w:space="0" w:color="000000"/>
              <w:right w:val="nil"/>
            </w:tcBorders>
            <w:shd w:val="clear" w:color="auto" w:fill="auto"/>
            <w:vAlign w:val="center"/>
            <w:hideMark/>
          </w:tcPr>
          <w:p w:rsidR="002B575F" w:rsidRPr="002B575F" w:rsidRDefault="002B575F" w:rsidP="002B575F">
            <w:pPr>
              <w:spacing w:after="0" w:line="240" w:lineRule="auto"/>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t>2018</w:t>
            </w:r>
          </w:p>
        </w:tc>
        <w:tc>
          <w:tcPr>
            <w:tcW w:w="63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2B575F" w:rsidRPr="002B575F" w:rsidRDefault="002B575F" w:rsidP="002B575F">
            <w:pPr>
              <w:spacing w:after="0" w:line="240" w:lineRule="auto"/>
              <w:rPr>
                <w:rFonts w:ascii="Times New Roman" w:eastAsia="Times New Roman" w:hAnsi="Times New Roman" w:cs="Times New Roman"/>
                <w:b/>
                <w:bCs/>
                <w:sz w:val="20"/>
                <w:szCs w:val="20"/>
              </w:rPr>
            </w:pPr>
            <w:r w:rsidRPr="002B575F">
              <w:rPr>
                <w:rFonts w:ascii="Times New Roman" w:eastAsia="Times New Roman" w:hAnsi="Times New Roman" w:cs="Times New Roman"/>
                <w:b/>
                <w:bCs/>
                <w:sz w:val="20"/>
                <w:szCs w:val="20"/>
              </w:rPr>
              <w:t>2019</w:t>
            </w:r>
          </w:p>
        </w:tc>
        <w:tc>
          <w:tcPr>
            <w:tcW w:w="628" w:type="dxa"/>
            <w:vMerge w:val="restart"/>
            <w:tcBorders>
              <w:top w:val="single" w:sz="4" w:space="0" w:color="auto"/>
              <w:left w:val="single" w:sz="8" w:space="0" w:color="auto"/>
              <w:right w:val="single" w:sz="8" w:space="0" w:color="auto"/>
            </w:tcBorders>
          </w:tcPr>
          <w:p w:rsidR="002B575F" w:rsidRPr="002B575F" w:rsidRDefault="002B575F" w:rsidP="002B575F">
            <w:pPr>
              <w:spacing w:after="0" w:line="240" w:lineRule="auto"/>
              <w:rPr>
                <w:rFonts w:ascii="Times New Roman" w:eastAsia="Times New Roman" w:hAnsi="Times New Roman" w:cs="Times New Roman"/>
                <w:bCs/>
                <w:sz w:val="20"/>
                <w:szCs w:val="20"/>
              </w:rPr>
            </w:pPr>
          </w:p>
          <w:p w:rsidR="002B575F" w:rsidRPr="002B575F" w:rsidRDefault="002B575F" w:rsidP="002B575F">
            <w:pPr>
              <w:spacing w:after="0" w:line="240" w:lineRule="auto"/>
              <w:rPr>
                <w:rFonts w:ascii="Times New Roman" w:eastAsia="Times New Roman" w:hAnsi="Times New Roman" w:cs="Times New Roman"/>
                <w:b/>
                <w:bCs/>
                <w:sz w:val="20"/>
                <w:szCs w:val="20"/>
              </w:rPr>
            </w:pPr>
            <w:r w:rsidRPr="002B575F">
              <w:rPr>
                <w:rFonts w:ascii="Times New Roman" w:eastAsia="Times New Roman" w:hAnsi="Times New Roman" w:cs="Times New Roman"/>
                <w:b/>
                <w:bCs/>
                <w:sz w:val="20"/>
                <w:szCs w:val="20"/>
              </w:rPr>
              <w:t>2020</w:t>
            </w:r>
          </w:p>
        </w:tc>
        <w:tc>
          <w:tcPr>
            <w:tcW w:w="704" w:type="dxa"/>
            <w:tcBorders>
              <w:top w:val="single" w:sz="4" w:space="0" w:color="auto"/>
              <w:left w:val="single" w:sz="8" w:space="0" w:color="auto"/>
              <w:right w:val="single" w:sz="8" w:space="0" w:color="auto"/>
            </w:tcBorders>
          </w:tcPr>
          <w:p w:rsidR="002B575F" w:rsidRPr="002B575F" w:rsidRDefault="002B575F" w:rsidP="002B575F">
            <w:pPr>
              <w:spacing w:after="0" w:line="240" w:lineRule="auto"/>
              <w:rPr>
                <w:rFonts w:ascii="Times New Roman" w:eastAsia="Times New Roman" w:hAnsi="Times New Roman" w:cs="Times New Roman"/>
                <w:b/>
                <w:bCs/>
                <w:sz w:val="20"/>
                <w:szCs w:val="20"/>
              </w:rPr>
            </w:pPr>
          </w:p>
          <w:p w:rsidR="002B575F" w:rsidRPr="002B575F" w:rsidRDefault="002B575F" w:rsidP="002B575F">
            <w:pPr>
              <w:spacing w:after="0" w:line="240" w:lineRule="auto"/>
              <w:rPr>
                <w:rFonts w:ascii="Times New Roman" w:eastAsia="Times New Roman" w:hAnsi="Times New Roman" w:cs="Times New Roman"/>
                <w:b/>
                <w:bCs/>
                <w:sz w:val="20"/>
                <w:szCs w:val="20"/>
              </w:rPr>
            </w:pPr>
            <w:r w:rsidRPr="002B575F">
              <w:rPr>
                <w:rFonts w:ascii="Times New Roman" w:eastAsia="Times New Roman" w:hAnsi="Times New Roman" w:cs="Times New Roman"/>
                <w:b/>
                <w:bCs/>
                <w:sz w:val="20"/>
                <w:szCs w:val="20"/>
              </w:rPr>
              <w:t>2021</w:t>
            </w:r>
          </w:p>
        </w:tc>
        <w:tc>
          <w:tcPr>
            <w:tcW w:w="856" w:type="dxa"/>
            <w:tcBorders>
              <w:top w:val="single" w:sz="4" w:space="0" w:color="auto"/>
              <w:left w:val="single" w:sz="8" w:space="0" w:color="auto"/>
              <w:right w:val="single" w:sz="8" w:space="0" w:color="auto"/>
            </w:tcBorders>
          </w:tcPr>
          <w:p w:rsidR="002B575F" w:rsidRPr="002B575F" w:rsidRDefault="002B575F" w:rsidP="002B575F">
            <w:pPr>
              <w:spacing w:after="0" w:line="240" w:lineRule="auto"/>
              <w:rPr>
                <w:rFonts w:ascii="Times New Roman" w:eastAsia="Times New Roman" w:hAnsi="Times New Roman" w:cs="Times New Roman"/>
                <w:b/>
                <w:bCs/>
                <w:sz w:val="20"/>
                <w:szCs w:val="20"/>
              </w:rPr>
            </w:pPr>
          </w:p>
          <w:p w:rsidR="002B575F" w:rsidRPr="002B575F" w:rsidRDefault="002B575F" w:rsidP="002B575F">
            <w:pPr>
              <w:spacing w:after="0" w:line="240" w:lineRule="auto"/>
              <w:rPr>
                <w:rFonts w:ascii="Times New Roman" w:eastAsia="Times New Roman" w:hAnsi="Times New Roman" w:cs="Times New Roman"/>
                <w:b/>
                <w:bCs/>
                <w:sz w:val="20"/>
                <w:szCs w:val="20"/>
              </w:rPr>
            </w:pPr>
            <w:r w:rsidRPr="002B575F">
              <w:rPr>
                <w:rFonts w:ascii="Times New Roman" w:eastAsia="Times New Roman" w:hAnsi="Times New Roman" w:cs="Times New Roman"/>
                <w:b/>
                <w:bCs/>
                <w:sz w:val="20"/>
                <w:szCs w:val="20"/>
              </w:rPr>
              <w:t>2022</w:t>
            </w:r>
          </w:p>
        </w:tc>
        <w:tc>
          <w:tcPr>
            <w:tcW w:w="628" w:type="dxa"/>
            <w:tcBorders>
              <w:top w:val="single" w:sz="4" w:space="0" w:color="auto"/>
              <w:left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
                <w:bCs/>
                <w:sz w:val="20"/>
                <w:szCs w:val="20"/>
              </w:rPr>
            </w:pPr>
          </w:p>
          <w:p w:rsidR="002B575F" w:rsidRPr="002B575F" w:rsidRDefault="002B575F" w:rsidP="002B575F">
            <w:pPr>
              <w:spacing w:after="0" w:line="240" w:lineRule="auto"/>
              <w:jc w:val="center"/>
              <w:rPr>
                <w:rFonts w:ascii="Times New Roman" w:eastAsia="Times New Roman" w:hAnsi="Times New Roman" w:cs="Times New Roman"/>
                <w:b/>
                <w:bCs/>
                <w:sz w:val="20"/>
                <w:szCs w:val="20"/>
              </w:rPr>
            </w:pPr>
            <w:r w:rsidRPr="002B575F">
              <w:rPr>
                <w:rFonts w:ascii="Times New Roman" w:eastAsia="Times New Roman" w:hAnsi="Times New Roman" w:cs="Times New Roman"/>
                <w:b/>
                <w:bCs/>
                <w:sz w:val="20"/>
                <w:szCs w:val="20"/>
              </w:rPr>
              <w:t>2023</w:t>
            </w:r>
          </w:p>
        </w:tc>
        <w:tc>
          <w:tcPr>
            <w:tcW w:w="780" w:type="dxa"/>
            <w:tcBorders>
              <w:top w:val="single" w:sz="4" w:space="0" w:color="auto"/>
              <w:left w:val="single" w:sz="8" w:space="0" w:color="auto"/>
              <w:right w:val="single" w:sz="8" w:space="0" w:color="auto"/>
            </w:tcBorders>
          </w:tcPr>
          <w:p w:rsidR="002B575F" w:rsidRPr="002B575F" w:rsidRDefault="002B575F" w:rsidP="002B575F">
            <w:pPr>
              <w:spacing w:after="0" w:line="240" w:lineRule="auto"/>
              <w:rPr>
                <w:rFonts w:ascii="Times New Roman" w:eastAsia="Times New Roman" w:hAnsi="Times New Roman" w:cs="Times New Roman"/>
                <w:b/>
                <w:bCs/>
                <w:sz w:val="20"/>
                <w:szCs w:val="20"/>
              </w:rPr>
            </w:pPr>
          </w:p>
          <w:p w:rsidR="002B575F" w:rsidRPr="002B575F" w:rsidRDefault="002B575F" w:rsidP="002B575F">
            <w:pPr>
              <w:spacing w:after="0" w:line="240" w:lineRule="auto"/>
              <w:rPr>
                <w:rFonts w:ascii="Times New Roman" w:eastAsia="Times New Roman" w:hAnsi="Times New Roman" w:cs="Times New Roman"/>
                <w:b/>
                <w:bCs/>
                <w:sz w:val="20"/>
                <w:szCs w:val="20"/>
              </w:rPr>
            </w:pPr>
            <w:r w:rsidRPr="002B575F">
              <w:rPr>
                <w:rFonts w:ascii="Times New Roman" w:eastAsia="Times New Roman" w:hAnsi="Times New Roman" w:cs="Times New Roman"/>
                <w:b/>
                <w:bCs/>
                <w:sz w:val="20"/>
                <w:szCs w:val="20"/>
              </w:rPr>
              <w:t>2024</w:t>
            </w:r>
          </w:p>
        </w:tc>
        <w:tc>
          <w:tcPr>
            <w:tcW w:w="720" w:type="dxa"/>
            <w:tcBorders>
              <w:top w:val="single" w:sz="4" w:space="0" w:color="auto"/>
              <w:left w:val="single" w:sz="8" w:space="0" w:color="auto"/>
              <w:right w:val="single" w:sz="8" w:space="0" w:color="auto"/>
            </w:tcBorders>
          </w:tcPr>
          <w:p w:rsidR="002B575F" w:rsidRPr="002B575F" w:rsidRDefault="002B575F" w:rsidP="002B575F">
            <w:pPr>
              <w:spacing w:after="0" w:line="240" w:lineRule="auto"/>
              <w:rPr>
                <w:rFonts w:ascii="Times New Roman" w:eastAsia="Times New Roman" w:hAnsi="Times New Roman" w:cs="Times New Roman"/>
                <w:b/>
                <w:bCs/>
                <w:sz w:val="20"/>
                <w:szCs w:val="20"/>
              </w:rPr>
            </w:pPr>
          </w:p>
          <w:p w:rsidR="002B575F" w:rsidRPr="002B575F" w:rsidRDefault="002B575F" w:rsidP="002B575F">
            <w:pPr>
              <w:spacing w:after="0" w:line="240" w:lineRule="auto"/>
              <w:rPr>
                <w:rFonts w:ascii="Times New Roman" w:eastAsia="Times New Roman" w:hAnsi="Times New Roman" w:cs="Times New Roman"/>
                <w:b/>
                <w:bCs/>
                <w:sz w:val="20"/>
                <w:szCs w:val="20"/>
              </w:rPr>
            </w:pPr>
            <w:r w:rsidRPr="002B575F">
              <w:rPr>
                <w:rFonts w:ascii="Times New Roman" w:eastAsia="Times New Roman" w:hAnsi="Times New Roman" w:cs="Times New Roman"/>
                <w:b/>
                <w:bCs/>
                <w:sz w:val="20"/>
                <w:szCs w:val="20"/>
              </w:rPr>
              <w:t>2025</w:t>
            </w:r>
          </w:p>
        </w:tc>
      </w:tr>
      <w:tr w:rsidR="002B575F" w:rsidRPr="002B575F" w:rsidTr="002B575F">
        <w:trPr>
          <w:trHeight w:val="318"/>
          <w:jc w:val="center"/>
        </w:trPr>
        <w:tc>
          <w:tcPr>
            <w:tcW w:w="1250"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t> Qarku</w:t>
            </w:r>
          </w:p>
        </w:tc>
        <w:tc>
          <w:tcPr>
            <w:tcW w:w="630" w:type="dxa"/>
            <w:vMerge/>
            <w:tcBorders>
              <w:top w:val="single" w:sz="8" w:space="0" w:color="auto"/>
              <w:left w:val="single" w:sz="8" w:space="0" w:color="auto"/>
              <w:bottom w:val="single" w:sz="8" w:space="0" w:color="000000"/>
              <w:right w:val="single" w:sz="8" w:space="0" w:color="auto"/>
            </w:tcBorders>
            <w:vAlign w:val="center"/>
            <w:hideMark/>
          </w:tcPr>
          <w:p w:rsidR="002B575F" w:rsidRPr="002B575F" w:rsidRDefault="002B575F" w:rsidP="002B575F">
            <w:pPr>
              <w:spacing w:after="0" w:line="240" w:lineRule="auto"/>
              <w:rPr>
                <w:rFonts w:ascii="Times New Roman" w:eastAsia="Times New Roman" w:hAnsi="Times New Roman" w:cs="Times New Roman"/>
                <w:b/>
                <w:bCs/>
                <w:color w:val="000000"/>
                <w:sz w:val="20"/>
                <w:szCs w:val="20"/>
              </w:rPr>
            </w:pPr>
          </w:p>
        </w:tc>
        <w:tc>
          <w:tcPr>
            <w:tcW w:w="720" w:type="dxa"/>
            <w:vMerge/>
            <w:tcBorders>
              <w:top w:val="single" w:sz="8" w:space="0" w:color="auto"/>
              <w:left w:val="single" w:sz="8" w:space="0" w:color="auto"/>
              <w:bottom w:val="single" w:sz="8" w:space="0" w:color="000000"/>
              <w:right w:val="single" w:sz="8" w:space="0" w:color="auto"/>
            </w:tcBorders>
            <w:vAlign w:val="center"/>
            <w:hideMark/>
          </w:tcPr>
          <w:p w:rsidR="002B575F" w:rsidRPr="002B575F" w:rsidRDefault="002B575F" w:rsidP="002B575F">
            <w:pPr>
              <w:spacing w:after="0" w:line="240" w:lineRule="auto"/>
              <w:rPr>
                <w:rFonts w:ascii="Times New Roman" w:eastAsia="Times New Roman" w:hAnsi="Times New Roman" w:cs="Times New Roman"/>
                <w:b/>
                <w:bCs/>
                <w:color w:val="000000"/>
                <w:sz w:val="20"/>
                <w:szCs w:val="20"/>
              </w:rPr>
            </w:pPr>
          </w:p>
        </w:tc>
        <w:tc>
          <w:tcPr>
            <w:tcW w:w="704" w:type="dxa"/>
            <w:vMerge/>
            <w:tcBorders>
              <w:top w:val="single" w:sz="8" w:space="0" w:color="auto"/>
              <w:left w:val="single" w:sz="8" w:space="0" w:color="auto"/>
              <w:bottom w:val="single" w:sz="8" w:space="0" w:color="000000"/>
              <w:right w:val="single" w:sz="8" w:space="0" w:color="auto"/>
            </w:tcBorders>
            <w:vAlign w:val="center"/>
            <w:hideMark/>
          </w:tcPr>
          <w:p w:rsidR="002B575F" w:rsidRPr="002B575F" w:rsidRDefault="002B575F" w:rsidP="002B575F">
            <w:pPr>
              <w:spacing w:after="0" w:line="240" w:lineRule="auto"/>
              <w:rPr>
                <w:rFonts w:ascii="Times New Roman" w:eastAsia="Times New Roman" w:hAnsi="Times New Roman" w:cs="Times New Roman"/>
                <w:b/>
                <w:bCs/>
                <w:color w:val="000000"/>
                <w:sz w:val="20"/>
                <w:szCs w:val="20"/>
              </w:rPr>
            </w:pPr>
          </w:p>
        </w:tc>
        <w:tc>
          <w:tcPr>
            <w:tcW w:w="704" w:type="dxa"/>
            <w:vMerge/>
            <w:tcBorders>
              <w:top w:val="single" w:sz="8" w:space="0" w:color="auto"/>
              <w:left w:val="single" w:sz="8" w:space="0" w:color="auto"/>
              <w:bottom w:val="single" w:sz="8" w:space="0" w:color="000000"/>
              <w:right w:val="single" w:sz="8" w:space="0" w:color="auto"/>
            </w:tcBorders>
            <w:vAlign w:val="center"/>
            <w:hideMark/>
          </w:tcPr>
          <w:p w:rsidR="002B575F" w:rsidRPr="002B575F" w:rsidRDefault="002B575F" w:rsidP="002B575F">
            <w:pPr>
              <w:spacing w:after="0" w:line="240" w:lineRule="auto"/>
              <w:rPr>
                <w:rFonts w:ascii="Times New Roman" w:eastAsia="Times New Roman" w:hAnsi="Times New Roman" w:cs="Times New Roman"/>
                <w:b/>
                <w:bCs/>
                <w:color w:val="000000"/>
                <w:sz w:val="20"/>
                <w:szCs w:val="20"/>
              </w:rPr>
            </w:pPr>
          </w:p>
        </w:tc>
        <w:tc>
          <w:tcPr>
            <w:tcW w:w="628" w:type="dxa"/>
            <w:vMerge/>
            <w:tcBorders>
              <w:top w:val="single" w:sz="8" w:space="0" w:color="auto"/>
              <w:left w:val="single" w:sz="8" w:space="0" w:color="auto"/>
              <w:bottom w:val="single" w:sz="8" w:space="0" w:color="000000"/>
              <w:right w:val="nil"/>
            </w:tcBorders>
            <w:vAlign w:val="center"/>
            <w:hideMark/>
          </w:tcPr>
          <w:p w:rsidR="002B575F" w:rsidRPr="002B575F" w:rsidRDefault="002B575F" w:rsidP="002B575F">
            <w:pPr>
              <w:spacing w:after="0" w:line="240" w:lineRule="auto"/>
              <w:rPr>
                <w:rFonts w:ascii="Times New Roman" w:eastAsia="Times New Roman" w:hAnsi="Times New Roman" w:cs="Times New Roman"/>
                <w:b/>
                <w:bCs/>
                <w:color w:val="000000"/>
                <w:sz w:val="20"/>
                <w:szCs w:val="20"/>
              </w:rPr>
            </w:pPr>
          </w:p>
        </w:tc>
        <w:tc>
          <w:tcPr>
            <w:tcW w:w="630" w:type="dxa"/>
            <w:vMerge/>
            <w:tcBorders>
              <w:top w:val="single" w:sz="4" w:space="0" w:color="auto"/>
              <w:left w:val="single" w:sz="8" w:space="0" w:color="auto"/>
              <w:bottom w:val="single" w:sz="8" w:space="0" w:color="000000"/>
              <w:right w:val="single" w:sz="8" w:space="0" w:color="auto"/>
            </w:tcBorders>
            <w:vAlign w:val="center"/>
            <w:hideMark/>
          </w:tcPr>
          <w:p w:rsidR="002B575F" w:rsidRPr="002B575F" w:rsidRDefault="002B575F" w:rsidP="002B575F">
            <w:pPr>
              <w:spacing w:after="0" w:line="240" w:lineRule="auto"/>
              <w:rPr>
                <w:rFonts w:ascii="Times New Roman" w:eastAsia="Times New Roman" w:hAnsi="Times New Roman" w:cs="Times New Roman"/>
                <w:b/>
                <w:bCs/>
                <w:sz w:val="20"/>
                <w:szCs w:val="20"/>
              </w:rPr>
            </w:pPr>
          </w:p>
        </w:tc>
        <w:tc>
          <w:tcPr>
            <w:tcW w:w="628" w:type="dxa"/>
            <w:vMerge/>
            <w:tcBorders>
              <w:left w:val="single" w:sz="8" w:space="0" w:color="auto"/>
              <w:bottom w:val="single" w:sz="8" w:space="0" w:color="000000"/>
              <w:right w:val="single" w:sz="8" w:space="0" w:color="auto"/>
            </w:tcBorders>
          </w:tcPr>
          <w:p w:rsidR="002B575F" w:rsidRPr="002B575F" w:rsidRDefault="002B575F" w:rsidP="002B575F">
            <w:pPr>
              <w:spacing w:after="0" w:line="240" w:lineRule="auto"/>
              <w:rPr>
                <w:rFonts w:ascii="Times New Roman" w:eastAsia="Times New Roman" w:hAnsi="Times New Roman" w:cs="Times New Roman"/>
                <w:bCs/>
                <w:sz w:val="20"/>
                <w:szCs w:val="20"/>
              </w:rPr>
            </w:pPr>
          </w:p>
        </w:tc>
        <w:tc>
          <w:tcPr>
            <w:tcW w:w="704" w:type="dxa"/>
            <w:tcBorders>
              <w:left w:val="single" w:sz="8" w:space="0" w:color="auto"/>
              <w:bottom w:val="single" w:sz="8" w:space="0" w:color="000000"/>
              <w:right w:val="single" w:sz="8" w:space="0" w:color="auto"/>
            </w:tcBorders>
          </w:tcPr>
          <w:p w:rsidR="002B575F" w:rsidRPr="002B575F" w:rsidRDefault="002B575F" w:rsidP="002B575F">
            <w:pPr>
              <w:spacing w:after="0" w:line="240" w:lineRule="auto"/>
              <w:rPr>
                <w:rFonts w:ascii="Times New Roman" w:eastAsia="Times New Roman" w:hAnsi="Times New Roman" w:cs="Times New Roman"/>
                <w:bCs/>
                <w:sz w:val="20"/>
                <w:szCs w:val="20"/>
              </w:rPr>
            </w:pPr>
          </w:p>
        </w:tc>
        <w:tc>
          <w:tcPr>
            <w:tcW w:w="856" w:type="dxa"/>
            <w:tcBorders>
              <w:left w:val="single" w:sz="8" w:space="0" w:color="auto"/>
              <w:bottom w:val="single" w:sz="8" w:space="0" w:color="000000"/>
              <w:right w:val="single" w:sz="8" w:space="0" w:color="auto"/>
            </w:tcBorders>
          </w:tcPr>
          <w:p w:rsidR="002B575F" w:rsidRPr="002B575F" w:rsidRDefault="002B575F" w:rsidP="002B575F">
            <w:pPr>
              <w:spacing w:after="0" w:line="240" w:lineRule="auto"/>
              <w:rPr>
                <w:rFonts w:ascii="Times New Roman" w:eastAsia="Times New Roman" w:hAnsi="Times New Roman" w:cs="Times New Roman"/>
                <w:bCs/>
                <w:sz w:val="20"/>
                <w:szCs w:val="20"/>
              </w:rPr>
            </w:pPr>
          </w:p>
        </w:tc>
        <w:tc>
          <w:tcPr>
            <w:tcW w:w="628" w:type="dxa"/>
            <w:tcBorders>
              <w:left w:val="single" w:sz="8" w:space="0" w:color="auto"/>
              <w:bottom w:val="single" w:sz="8" w:space="0" w:color="000000"/>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p>
        </w:tc>
        <w:tc>
          <w:tcPr>
            <w:tcW w:w="780" w:type="dxa"/>
            <w:tcBorders>
              <w:left w:val="single" w:sz="8" w:space="0" w:color="auto"/>
              <w:bottom w:val="single" w:sz="8" w:space="0" w:color="000000"/>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p>
        </w:tc>
        <w:tc>
          <w:tcPr>
            <w:tcW w:w="720" w:type="dxa"/>
            <w:tcBorders>
              <w:left w:val="single" w:sz="8" w:space="0" w:color="auto"/>
              <w:bottom w:val="single" w:sz="8" w:space="0" w:color="000000"/>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p>
        </w:tc>
      </w:tr>
      <w:tr w:rsidR="002B575F" w:rsidRPr="002B575F" w:rsidTr="002B575F">
        <w:trPr>
          <w:trHeight w:val="318"/>
          <w:jc w:val="center"/>
        </w:trPr>
        <w:tc>
          <w:tcPr>
            <w:tcW w:w="1250"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t>Tirane</w:t>
            </w:r>
          </w:p>
        </w:tc>
        <w:tc>
          <w:tcPr>
            <w:tcW w:w="63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49</w:t>
            </w:r>
          </w:p>
        </w:tc>
        <w:tc>
          <w:tcPr>
            <w:tcW w:w="72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89</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188</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145</w:t>
            </w:r>
          </w:p>
        </w:tc>
        <w:tc>
          <w:tcPr>
            <w:tcW w:w="628" w:type="dxa"/>
            <w:tcBorders>
              <w:top w:val="nil"/>
              <w:left w:val="nil"/>
              <w:bottom w:val="single" w:sz="8" w:space="0" w:color="auto"/>
              <w:right w:val="nil"/>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227</w:t>
            </w:r>
          </w:p>
        </w:tc>
        <w:tc>
          <w:tcPr>
            <w:tcW w:w="630" w:type="dxa"/>
            <w:tcBorders>
              <w:top w:val="nil"/>
              <w:left w:val="single" w:sz="8" w:space="0" w:color="auto"/>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162</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232</w:t>
            </w:r>
          </w:p>
        </w:tc>
        <w:tc>
          <w:tcPr>
            <w:tcW w:w="704"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351</w:t>
            </w:r>
          </w:p>
        </w:tc>
        <w:tc>
          <w:tcPr>
            <w:tcW w:w="856"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496</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609</w:t>
            </w:r>
          </w:p>
        </w:tc>
        <w:tc>
          <w:tcPr>
            <w:tcW w:w="78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598</w:t>
            </w:r>
          </w:p>
        </w:tc>
        <w:tc>
          <w:tcPr>
            <w:tcW w:w="72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
                <w:bCs/>
                <w:sz w:val="24"/>
                <w:szCs w:val="24"/>
              </w:rPr>
              <w:t>732</w:t>
            </w:r>
          </w:p>
        </w:tc>
      </w:tr>
      <w:tr w:rsidR="002B575F" w:rsidRPr="002B575F" w:rsidTr="002B575F">
        <w:trPr>
          <w:trHeight w:val="318"/>
          <w:jc w:val="center"/>
        </w:trPr>
        <w:tc>
          <w:tcPr>
            <w:tcW w:w="1250"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t>Durres</w:t>
            </w:r>
          </w:p>
        </w:tc>
        <w:tc>
          <w:tcPr>
            <w:tcW w:w="63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33</w:t>
            </w:r>
          </w:p>
        </w:tc>
        <w:tc>
          <w:tcPr>
            <w:tcW w:w="72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80</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165</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77</w:t>
            </w:r>
          </w:p>
        </w:tc>
        <w:tc>
          <w:tcPr>
            <w:tcW w:w="628" w:type="dxa"/>
            <w:tcBorders>
              <w:top w:val="nil"/>
              <w:left w:val="nil"/>
              <w:bottom w:val="single" w:sz="8" w:space="0" w:color="auto"/>
              <w:right w:val="nil"/>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160</w:t>
            </w:r>
          </w:p>
        </w:tc>
        <w:tc>
          <w:tcPr>
            <w:tcW w:w="630" w:type="dxa"/>
            <w:tcBorders>
              <w:top w:val="nil"/>
              <w:left w:val="single" w:sz="8" w:space="0" w:color="auto"/>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119</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124</w:t>
            </w:r>
          </w:p>
        </w:tc>
        <w:tc>
          <w:tcPr>
            <w:tcW w:w="704"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180</w:t>
            </w:r>
          </w:p>
        </w:tc>
        <w:tc>
          <w:tcPr>
            <w:tcW w:w="856"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233</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326</w:t>
            </w:r>
          </w:p>
        </w:tc>
        <w:tc>
          <w:tcPr>
            <w:tcW w:w="78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329</w:t>
            </w:r>
          </w:p>
        </w:tc>
        <w:tc>
          <w:tcPr>
            <w:tcW w:w="72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
                <w:bCs/>
                <w:sz w:val="24"/>
                <w:szCs w:val="24"/>
              </w:rPr>
              <w:t>402</w:t>
            </w:r>
          </w:p>
        </w:tc>
      </w:tr>
      <w:tr w:rsidR="002B575F" w:rsidRPr="002B575F" w:rsidTr="002B575F">
        <w:trPr>
          <w:trHeight w:val="318"/>
          <w:jc w:val="center"/>
        </w:trPr>
        <w:tc>
          <w:tcPr>
            <w:tcW w:w="1250"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t>Lezhe</w:t>
            </w:r>
          </w:p>
        </w:tc>
        <w:tc>
          <w:tcPr>
            <w:tcW w:w="63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27</w:t>
            </w:r>
          </w:p>
        </w:tc>
        <w:tc>
          <w:tcPr>
            <w:tcW w:w="72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21</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53</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31</w:t>
            </w:r>
          </w:p>
        </w:tc>
        <w:tc>
          <w:tcPr>
            <w:tcW w:w="628" w:type="dxa"/>
            <w:tcBorders>
              <w:top w:val="nil"/>
              <w:left w:val="nil"/>
              <w:bottom w:val="single" w:sz="8" w:space="0" w:color="auto"/>
              <w:right w:val="nil"/>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49</w:t>
            </w:r>
          </w:p>
        </w:tc>
        <w:tc>
          <w:tcPr>
            <w:tcW w:w="630" w:type="dxa"/>
            <w:tcBorders>
              <w:top w:val="nil"/>
              <w:left w:val="single" w:sz="8" w:space="0" w:color="auto"/>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35</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49</w:t>
            </w:r>
          </w:p>
        </w:tc>
        <w:tc>
          <w:tcPr>
            <w:tcW w:w="704"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92</w:t>
            </w:r>
          </w:p>
        </w:tc>
        <w:tc>
          <w:tcPr>
            <w:tcW w:w="856"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112</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138</w:t>
            </w:r>
          </w:p>
        </w:tc>
        <w:tc>
          <w:tcPr>
            <w:tcW w:w="78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180</w:t>
            </w:r>
          </w:p>
        </w:tc>
        <w:tc>
          <w:tcPr>
            <w:tcW w:w="72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
                <w:bCs/>
                <w:sz w:val="24"/>
                <w:szCs w:val="24"/>
              </w:rPr>
              <w:t>159</w:t>
            </w:r>
          </w:p>
        </w:tc>
      </w:tr>
      <w:tr w:rsidR="002B575F" w:rsidRPr="002B575F" w:rsidTr="002B575F">
        <w:trPr>
          <w:trHeight w:val="318"/>
          <w:jc w:val="center"/>
        </w:trPr>
        <w:tc>
          <w:tcPr>
            <w:tcW w:w="1250"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t>Gjirokaster</w:t>
            </w:r>
          </w:p>
        </w:tc>
        <w:tc>
          <w:tcPr>
            <w:tcW w:w="63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1</w:t>
            </w:r>
          </w:p>
        </w:tc>
        <w:tc>
          <w:tcPr>
            <w:tcW w:w="72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9</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14</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15</w:t>
            </w:r>
          </w:p>
        </w:tc>
        <w:tc>
          <w:tcPr>
            <w:tcW w:w="628" w:type="dxa"/>
            <w:tcBorders>
              <w:top w:val="nil"/>
              <w:left w:val="nil"/>
              <w:bottom w:val="single" w:sz="8" w:space="0" w:color="auto"/>
              <w:right w:val="nil"/>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28</w:t>
            </w:r>
          </w:p>
        </w:tc>
        <w:tc>
          <w:tcPr>
            <w:tcW w:w="630" w:type="dxa"/>
            <w:tcBorders>
              <w:top w:val="nil"/>
              <w:left w:val="single" w:sz="8" w:space="0" w:color="auto"/>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13</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28</w:t>
            </w:r>
          </w:p>
        </w:tc>
        <w:tc>
          <w:tcPr>
            <w:tcW w:w="704"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30</w:t>
            </w:r>
          </w:p>
        </w:tc>
        <w:tc>
          <w:tcPr>
            <w:tcW w:w="856"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53</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76</w:t>
            </w:r>
          </w:p>
        </w:tc>
        <w:tc>
          <w:tcPr>
            <w:tcW w:w="78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88</w:t>
            </w:r>
          </w:p>
        </w:tc>
        <w:tc>
          <w:tcPr>
            <w:tcW w:w="72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
                <w:bCs/>
                <w:sz w:val="24"/>
                <w:szCs w:val="24"/>
              </w:rPr>
              <w:t>81</w:t>
            </w:r>
          </w:p>
        </w:tc>
      </w:tr>
      <w:tr w:rsidR="002B575F" w:rsidRPr="002B575F" w:rsidTr="002B575F">
        <w:trPr>
          <w:trHeight w:val="318"/>
          <w:jc w:val="center"/>
        </w:trPr>
        <w:tc>
          <w:tcPr>
            <w:tcW w:w="1250"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t>Vlore</w:t>
            </w:r>
          </w:p>
        </w:tc>
        <w:tc>
          <w:tcPr>
            <w:tcW w:w="63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31</w:t>
            </w:r>
          </w:p>
        </w:tc>
        <w:tc>
          <w:tcPr>
            <w:tcW w:w="72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50</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68</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38</w:t>
            </w:r>
          </w:p>
        </w:tc>
        <w:tc>
          <w:tcPr>
            <w:tcW w:w="628" w:type="dxa"/>
            <w:tcBorders>
              <w:top w:val="nil"/>
              <w:left w:val="nil"/>
              <w:bottom w:val="single" w:sz="8" w:space="0" w:color="auto"/>
              <w:right w:val="nil"/>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87</w:t>
            </w:r>
          </w:p>
        </w:tc>
        <w:tc>
          <w:tcPr>
            <w:tcW w:w="630" w:type="dxa"/>
            <w:tcBorders>
              <w:top w:val="nil"/>
              <w:left w:val="single" w:sz="8" w:space="0" w:color="auto"/>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63</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85</w:t>
            </w:r>
          </w:p>
        </w:tc>
        <w:tc>
          <w:tcPr>
            <w:tcW w:w="704"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102</w:t>
            </w:r>
          </w:p>
        </w:tc>
        <w:tc>
          <w:tcPr>
            <w:tcW w:w="856"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146</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185</w:t>
            </w:r>
          </w:p>
        </w:tc>
        <w:tc>
          <w:tcPr>
            <w:tcW w:w="78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260</w:t>
            </w:r>
          </w:p>
        </w:tc>
        <w:tc>
          <w:tcPr>
            <w:tcW w:w="72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
                <w:bCs/>
                <w:sz w:val="24"/>
                <w:szCs w:val="24"/>
              </w:rPr>
              <w:t>234</w:t>
            </w:r>
          </w:p>
        </w:tc>
      </w:tr>
      <w:tr w:rsidR="002B575F" w:rsidRPr="002B575F" w:rsidTr="002B575F">
        <w:trPr>
          <w:trHeight w:val="318"/>
          <w:jc w:val="center"/>
        </w:trPr>
        <w:tc>
          <w:tcPr>
            <w:tcW w:w="1250"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t>Berat</w:t>
            </w:r>
          </w:p>
        </w:tc>
        <w:tc>
          <w:tcPr>
            <w:tcW w:w="63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15</w:t>
            </w:r>
          </w:p>
        </w:tc>
        <w:tc>
          <w:tcPr>
            <w:tcW w:w="72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35</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91</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58</w:t>
            </w:r>
          </w:p>
        </w:tc>
        <w:tc>
          <w:tcPr>
            <w:tcW w:w="628" w:type="dxa"/>
            <w:tcBorders>
              <w:top w:val="nil"/>
              <w:left w:val="nil"/>
              <w:bottom w:val="single" w:sz="8" w:space="0" w:color="auto"/>
              <w:right w:val="nil"/>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82</w:t>
            </w:r>
          </w:p>
        </w:tc>
        <w:tc>
          <w:tcPr>
            <w:tcW w:w="630" w:type="dxa"/>
            <w:tcBorders>
              <w:top w:val="nil"/>
              <w:left w:val="single" w:sz="8" w:space="0" w:color="auto"/>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64</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60</w:t>
            </w:r>
          </w:p>
        </w:tc>
        <w:tc>
          <w:tcPr>
            <w:tcW w:w="704"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78</w:t>
            </w:r>
          </w:p>
        </w:tc>
        <w:tc>
          <w:tcPr>
            <w:tcW w:w="856"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95</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118</w:t>
            </w:r>
          </w:p>
        </w:tc>
        <w:tc>
          <w:tcPr>
            <w:tcW w:w="78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117</w:t>
            </w:r>
          </w:p>
        </w:tc>
        <w:tc>
          <w:tcPr>
            <w:tcW w:w="72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
                <w:bCs/>
                <w:sz w:val="24"/>
                <w:szCs w:val="24"/>
              </w:rPr>
              <w:t>184</w:t>
            </w:r>
          </w:p>
        </w:tc>
      </w:tr>
      <w:tr w:rsidR="002B575F" w:rsidRPr="002B575F" w:rsidTr="002B575F">
        <w:trPr>
          <w:trHeight w:val="318"/>
          <w:jc w:val="center"/>
        </w:trPr>
        <w:tc>
          <w:tcPr>
            <w:tcW w:w="1250"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t>Fier</w:t>
            </w:r>
          </w:p>
        </w:tc>
        <w:tc>
          <w:tcPr>
            <w:tcW w:w="63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29</w:t>
            </w:r>
          </w:p>
        </w:tc>
        <w:tc>
          <w:tcPr>
            <w:tcW w:w="72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75</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92</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67</w:t>
            </w:r>
          </w:p>
        </w:tc>
        <w:tc>
          <w:tcPr>
            <w:tcW w:w="628" w:type="dxa"/>
            <w:tcBorders>
              <w:top w:val="nil"/>
              <w:left w:val="nil"/>
              <w:bottom w:val="single" w:sz="8" w:space="0" w:color="auto"/>
              <w:right w:val="nil"/>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107</w:t>
            </w:r>
          </w:p>
        </w:tc>
        <w:tc>
          <w:tcPr>
            <w:tcW w:w="630" w:type="dxa"/>
            <w:tcBorders>
              <w:top w:val="nil"/>
              <w:left w:val="single" w:sz="8" w:space="0" w:color="auto"/>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131</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97</w:t>
            </w:r>
          </w:p>
        </w:tc>
        <w:tc>
          <w:tcPr>
            <w:tcW w:w="704"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124</w:t>
            </w:r>
          </w:p>
        </w:tc>
        <w:tc>
          <w:tcPr>
            <w:tcW w:w="856"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188</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236</w:t>
            </w:r>
          </w:p>
        </w:tc>
        <w:tc>
          <w:tcPr>
            <w:tcW w:w="78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320</w:t>
            </w:r>
          </w:p>
        </w:tc>
        <w:tc>
          <w:tcPr>
            <w:tcW w:w="72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
                <w:bCs/>
                <w:sz w:val="24"/>
                <w:szCs w:val="24"/>
              </w:rPr>
              <w:t>364</w:t>
            </w:r>
          </w:p>
        </w:tc>
      </w:tr>
      <w:tr w:rsidR="002B575F" w:rsidRPr="002B575F" w:rsidTr="002B575F">
        <w:trPr>
          <w:trHeight w:val="318"/>
          <w:jc w:val="center"/>
        </w:trPr>
        <w:tc>
          <w:tcPr>
            <w:tcW w:w="1250"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lastRenderedPageBreak/>
              <w:t>Kukes</w:t>
            </w:r>
          </w:p>
        </w:tc>
        <w:tc>
          <w:tcPr>
            <w:tcW w:w="63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3</w:t>
            </w:r>
          </w:p>
        </w:tc>
        <w:tc>
          <w:tcPr>
            <w:tcW w:w="72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27</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23</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23</w:t>
            </w:r>
          </w:p>
        </w:tc>
        <w:tc>
          <w:tcPr>
            <w:tcW w:w="628" w:type="dxa"/>
            <w:tcBorders>
              <w:top w:val="nil"/>
              <w:left w:val="nil"/>
              <w:bottom w:val="single" w:sz="8" w:space="0" w:color="auto"/>
              <w:right w:val="nil"/>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37</w:t>
            </w:r>
          </w:p>
        </w:tc>
        <w:tc>
          <w:tcPr>
            <w:tcW w:w="630" w:type="dxa"/>
            <w:tcBorders>
              <w:top w:val="nil"/>
              <w:left w:val="single" w:sz="8" w:space="0" w:color="auto"/>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5</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19</w:t>
            </w:r>
          </w:p>
        </w:tc>
        <w:tc>
          <w:tcPr>
            <w:tcW w:w="704"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29</w:t>
            </w:r>
          </w:p>
        </w:tc>
        <w:tc>
          <w:tcPr>
            <w:tcW w:w="856"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45</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74</w:t>
            </w:r>
          </w:p>
        </w:tc>
        <w:tc>
          <w:tcPr>
            <w:tcW w:w="78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122</w:t>
            </w:r>
          </w:p>
        </w:tc>
        <w:tc>
          <w:tcPr>
            <w:tcW w:w="72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
                <w:bCs/>
                <w:sz w:val="24"/>
                <w:szCs w:val="24"/>
              </w:rPr>
              <w:t>89</w:t>
            </w:r>
          </w:p>
        </w:tc>
      </w:tr>
      <w:tr w:rsidR="002B575F" w:rsidRPr="002B575F" w:rsidTr="002B575F">
        <w:trPr>
          <w:trHeight w:val="318"/>
          <w:jc w:val="center"/>
        </w:trPr>
        <w:tc>
          <w:tcPr>
            <w:tcW w:w="1250"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t>Shkoder</w:t>
            </w:r>
          </w:p>
        </w:tc>
        <w:tc>
          <w:tcPr>
            <w:tcW w:w="63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8</w:t>
            </w:r>
          </w:p>
        </w:tc>
        <w:tc>
          <w:tcPr>
            <w:tcW w:w="72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21</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45</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43</w:t>
            </w:r>
          </w:p>
        </w:tc>
        <w:tc>
          <w:tcPr>
            <w:tcW w:w="628" w:type="dxa"/>
            <w:tcBorders>
              <w:top w:val="nil"/>
              <w:left w:val="nil"/>
              <w:bottom w:val="single" w:sz="8" w:space="0" w:color="auto"/>
              <w:right w:val="nil"/>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67</w:t>
            </w:r>
          </w:p>
        </w:tc>
        <w:tc>
          <w:tcPr>
            <w:tcW w:w="630" w:type="dxa"/>
            <w:tcBorders>
              <w:top w:val="nil"/>
              <w:left w:val="single" w:sz="8" w:space="0" w:color="auto"/>
              <w:bottom w:val="nil"/>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53</w:t>
            </w:r>
          </w:p>
        </w:tc>
        <w:tc>
          <w:tcPr>
            <w:tcW w:w="628" w:type="dxa"/>
            <w:tcBorders>
              <w:top w:val="nil"/>
              <w:left w:val="single" w:sz="8" w:space="0" w:color="auto"/>
              <w:bottom w:val="nil"/>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60</w:t>
            </w:r>
          </w:p>
        </w:tc>
        <w:tc>
          <w:tcPr>
            <w:tcW w:w="704" w:type="dxa"/>
            <w:tcBorders>
              <w:top w:val="nil"/>
              <w:left w:val="single" w:sz="8" w:space="0" w:color="auto"/>
              <w:bottom w:val="nil"/>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72</w:t>
            </w:r>
          </w:p>
        </w:tc>
        <w:tc>
          <w:tcPr>
            <w:tcW w:w="856" w:type="dxa"/>
            <w:tcBorders>
              <w:top w:val="nil"/>
              <w:left w:val="single" w:sz="8" w:space="0" w:color="auto"/>
              <w:bottom w:val="nil"/>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99</w:t>
            </w:r>
          </w:p>
        </w:tc>
        <w:tc>
          <w:tcPr>
            <w:tcW w:w="628" w:type="dxa"/>
            <w:tcBorders>
              <w:top w:val="nil"/>
              <w:left w:val="single" w:sz="8" w:space="0" w:color="auto"/>
              <w:bottom w:val="nil"/>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109</w:t>
            </w:r>
          </w:p>
        </w:tc>
        <w:tc>
          <w:tcPr>
            <w:tcW w:w="780" w:type="dxa"/>
            <w:tcBorders>
              <w:top w:val="nil"/>
              <w:left w:val="single" w:sz="8" w:space="0" w:color="auto"/>
              <w:bottom w:val="nil"/>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171</w:t>
            </w:r>
          </w:p>
        </w:tc>
        <w:tc>
          <w:tcPr>
            <w:tcW w:w="720" w:type="dxa"/>
            <w:tcBorders>
              <w:top w:val="nil"/>
              <w:left w:val="single" w:sz="8" w:space="0" w:color="auto"/>
              <w:bottom w:val="nil"/>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
                <w:bCs/>
                <w:sz w:val="24"/>
                <w:szCs w:val="24"/>
              </w:rPr>
              <w:t>134</w:t>
            </w:r>
          </w:p>
        </w:tc>
      </w:tr>
      <w:tr w:rsidR="002B575F" w:rsidRPr="002B575F" w:rsidTr="002B575F">
        <w:trPr>
          <w:trHeight w:val="318"/>
          <w:jc w:val="center"/>
        </w:trPr>
        <w:tc>
          <w:tcPr>
            <w:tcW w:w="1250"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b/>
                <w:bCs/>
                <w:color w:val="000000"/>
                <w:sz w:val="20"/>
                <w:szCs w:val="20"/>
              </w:rPr>
            </w:pPr>
            <w:r w:rsidRPr="002B575F">
              <w:rPr>
                <w:rFonts w:ascii="Times New Roman" w:eastAsia="Times New Roman" w:hAnsi="Times New Roman" w:cs="Times New Roman"/>
                <w:b/>
                <w:bCs/>
                <w:color w:val="000000"/>
                <w:sz w:val="20"/>
                <w:szCs w:val="20"/>
              </w:rPr>
              <w:t>Diber</w:t>
            </w:r>
          </w:p>
        </w:tc>
        <w:tc>
          <w:tcPr>
            <w:tcW w:w="63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49</w:t>
            </w:r>
          </w:p>
        </w:tc>
        <w:tc>
          <w:tcPr>
            <w:tcW w:w="72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88</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41</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23</w:t>
            </w:r>
          </w:p>
        </w:tc>
        <w:tc>
          <w:tcPr>
            <w:tcW w:w="628" w:type="dxa"/>
            <w:tcBorders>
              <w:top w:val="nil"/>
              <w:left w:val="nil"/>
              <w:bottom w:val="single" w:sz="8" w:space="0" w:color="auto"/>
              <w:right w:val="nil"/>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color w:val="000000"/>
                <w:sz w:val="20"/>
                <w:szCs w:val="20"/>
              </w:rPr>
            </w:pPr>
            <w:r w:rsidRPr="002B575F">
              <w:rPr>
                <w:rFonts w:ascii="Times New Roman" w:eastAsia="Times New Roman" w:hAnsi="Times New Roman" w:cs="Times New Roman"/>
                <w:color w:val="000000"/>
                <w:sz w:val="20"/>
                <w:szCs w:val="20"/>
              </w:rPr>
              <w:t>126</w:t>
            </w:r>
          </w:p>
        </w:tc>
        <w:tc>
          <w:tcPr>
            <w:tcW w:w="63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68</w:t>
            </w:r>
          </w:p>
        </w:tc>
        <w:tc>
          <w:tcPr>
            <w:tcW w:w="628" w:type="dxa"/>
            <w:tcBorders>
              <w:top w:val="single" w:sz="8" w:space="0" w:color="auto"/>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59</w:t>
            </w:r>
          </w:p>
        </w:tc>
        <w:tc>
          <w:tcPr>
            <w:tcW w:w="704" w:type="dxa"/>
            <w:tcBorders>
              <w:top w:val="single" w:sz="8" w:space="0" w:color="auto"/>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87</w:t>
            </w:r>
          </w:p>
        </w:tc>
        <w:tc>
          <w:tcPr>
            <w:tcW w:w="856" w:type="dxa"/>
            <w:tcBorders>
              <w:top w:val="single" w:sz="8" w:space="0" w:color="auto"/>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106</w:t>
            </w:r>
          </w:p>
        </w:tc>
        <w:tc>
          <w:tcPr>
            <w:tcW w:w="628" w:type="dxa"/>
            <w:tcBorders>
              <w:top w:val="single" w:sz="8" w:space="0" w:color="auto"/>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140</w:t>
            </w:r>
          </w:p>
        </w:tc>
        <w:tc>
          <w:tcPr>
            <w:tcW w:w="780" w:type="dxa"/>
            <w:tcBorders>
              <w:top w:val="single" w:sz="8" w:space="0" w:color="auto"/>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202</w:t>
            </w:r>
          </w:p>
        </w:tc>
        <w:tc>
          <w:tcPr>
            <w:tcW w:w="720" w:type="dxa"/>
            <w:tcBorders>
              <w:top w:val="single" w:sz="8" w:space="0" w:color="auto"/>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
                <w:bCs/>
                <w:sz w:val="24"/>
                <w:szCs w:val="24"/>
              </w:rPr>
              <w:t>145</w:t>
            </w:r>
          </w:p>
        </w:tc>
      </w:tr>
      <w:tr w:rsidR="002B575F" w:rsidRPr="002B575F" w:rsidTr="002B575F">
        <w:trPr>
          <w:trHeight w:val="318"/>
          <w:jc w:val="center"/>
        </w:trPr>
        <w:tc>
          <w:tcPr>
            <w:tcW w:w="1250"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b/>
                <w:bCs/>
                <w:sz w:val="20"/>
                <w:szCs w:val="20"/>
              </w:rPr>
            </w:pPr>
            <w:r w:rsidRPr="002B575F">
              <w:rPr>
                <w:rFonts w:ascii="Times New Roman" w:eastAsia="Times New Roman" w:hAnsi="Times New Roman" w:cs="Times New Roman"/>
                <w:b/>
                <w:bCs/>
                <w:sz w:val="20"/>
                <w:szCs w:val="20"/>
              </w:rPr>
              <w:t>Elbasan</w:t>
            </w:r>
          </w:p>
        </w:tc>
        <w:tc>
          <w:tcPr>
            <w:tcW w:w="63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29</w:t>
            </w:r>
          </w:p>
        </w:tc>
        <w:tc>
          <w:tcPr>
            <w:tcW w:w="72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35</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29</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29</w:t>
            </w:r>
          </w:p>
        </w:tc>
        <w:tc>
          <w:tcPr>
            <w:tcW w:w="628" w:type="dxa"/>
            <w:tcBorders>
              <w:top w:val="nil"/>
              <w:left w:val="nil"/>
              <w:bottom w:val="single" w:sz="8" w:space="0" w:color="auto"/>
              <w:right w:val="nil"/>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62</w:t>
            </w:r>
          </w:p>
        </w:tc>
        <w:tc>
          <w:tcPr>
            <w:tcW w:w="630" w:type="dxa"/>
            <w:tcBorders>
              <w:top w:val="nil"/>
              <w:left w:val="single" w:sz="8" w:space="0" w:color="auto"/>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35</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68</w:t>
            </w:r>
          </w:p>
        </w:tc>
        <w:tc>
          <w:tcPr>
            <w:tcW w:w="704"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86</w:t>
            </w:r>
          </w:p>
        </w:tc>
        <w:tc>
          <w:tcPr>
            <w:tcW w:w="856"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119</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178</w:t>
            </w:r>
          </w:p>
        </w:tc>
        <w:tc>
          <w:tcPr>
            <w:tcW w:w="78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174</w:t>
            </w:r>
          </w:p>
        </w:tc>
        <w:tc>
          <w:tcPr>
            <w:tcW w:w="72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
                <w:bCs/>
                <w:sz w:val="24"/>
                <w:szCs w:val="24"/>
              </w:rPr>
              <w:t>278</w:t>
            </w:r>
          </w:p>
        </w:tc>
      </w:tr>
      <w:tr w:rsidR="002B575F" w:rsidRPr="002B575F" w:rsidTr="002B575F">
        <w:trPr>
          <w:trHeight w:val="318"/>
          <w:jc w:val="center"/>
        </w:trPr>
        <w:tc>
          <w:tcPr>
            <w:tcW w:w="1250" w:type="dxa"/>
            <w:tcBorders>
              <w:top w:val="nil"/>
              <w:left w:val="single" w:sz="8" w:space="0" w:color="auto"/>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b/>
                <w:bCs/>
                <w:sz w:val="20"/>
                <w:szCs w:val="20"/>
              </w:rPr>
            </w:pPr>
            <w:r w:rsidRPr="002B575F">
              <w:rPr>
                <w:rFonts w:ascii="Times New Roman" w:eastAsia="Times New Roman" w:hAnsi="Times New Roman" w:cs="Times New Roman"/>
                <w:b/>
                <w:bCs/>
                <w:sz w:val="20"/>
                <w:szCs w:val="20"/>
              </w:rPr>
              <w:t>Korçe</w:t>
            </w:r>
          </w:p>
        </w:tc>
        <w:tc>
          <w:tcPr>
            <w:tcW w:w="63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16</w:t>
            </w:r>
          </w:p>
        </w:tc>
        <w:tc>
          <w:tcPr>
            <w:tcW w:w="720" w:type="dxa"/>
            <w:tcBorders>
              <w:top w:val="nil"/>
              <w:left w:val="nil"/>
              <w:bottom w:val="single" w:sz="8" w:space="0" w:color="auto"/>
              <w:right w:val="single" w:sz="8" w:space="0" w:color="auto"/>
            </w:tcBorders>
            <w:shd w:val="clear" w:color="auto" w:fill="auto"/>
            <w:noWrap/>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36</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56</w:t>
            </w:r>
          </w:p>
        </w:tc>
        <w:tc>
          <w:tcPr>
            <w:tcW w:w="704" w:type="dxa"/>
            <w:tcBorders>
              <w:top w:val="nil"/>
              <w:left w:val="nil"/>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43</w:t>
            </w:r>
          </w:p>
        </w:tc>
        <w:tc>
          <w:tcPr>
            <w:tcW w:w="628" w:type="dxa"/>
            <w:tcBorders>
              <w:top w:val="nil"/>
              <w:left w:val="nil"/>
              <w:bottom w:val="single" w:sz="8" w:space="0" w:color="auto"/>
              <w:right w:val="nil"/>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68</w:t>
            </w:r>
          </w:p>
        </w:tc>
        <w:tc>
          <w:tcPr>
            <w:tcW w:w="630" w:type="dxa"/>
            <w:tcBorders>
              <w:top w:val="nil"/>
              <w:left w:val="single" w:sz="8" w:space="0" w:color="auto"/>
              <w:bottom w:val="single" w:sz="8" w:space="0" w:color="auto"/>
              <w:right w:val="single" w:sz="8" w:space="0" w:color="auto"/>
            </w:tcBorders>
            <w:shd w:val="clear" w:color="auto" w:fill="auto"/>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31</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49</w:t>
            </w:r>
          </w:p>
        </w:tc>
        <w:tc>
          <w:tcPr>
            <w:tcW w:w="704"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83</w:t>
            </w:r>
          </w:p>
        </w:tc>
        <w:tc>
          <w:tcPr>
            <w:tcW w:w="856"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121</w:t>
            </w:r>
          </w:p>
        </w:tc>
        <w:tc>
          <w:tcPr>
            <w:tcW w:w="628"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144</w:t>
            </w:r>
          </w:p>
        </w:tc>
        <w:tc>
          <w:tcPr>
            <w:tcW w:w="78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207</w:t>
            </w:r>
          </w:p>
        </w:tc>
        <w:tc>
          <w:tcPr>
            <w:tcW w:w="720" w:type="dxa"/>
            <w:tcBorders>
              <w:top w:val="nil"/>
              <w:left w:val="single" w:sz="8" w:space="0" w:color="auto"/>
              <w:bottom w:val="single" w:sz="8" w:space="0" w:color="auto"/>
              <w:right w:val="single" w:sz="8" w:space="0" w:color="auto"/>
            </w:tcBorders>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
                <w:bCs/>
                <w:sz w:val="24"/>
                <w:szCs w:val="24"/>
              </w:rPr>
              <w:t>165</w:t>
            </w:r>
          </w:p>
        </w:tc>
      </w:tr>
      <w:tr w:rsidR="002B575F" w:rsidRPr="002B575F" w:rsidTr="002B575F">
        <w:trPr>
          <w:trHeight w:val="318"/>
          <w:jc w:val="center"/>
        </w:trPr>
        <w:tc>
          <w:tcPr>
            <w:tcW w:w="1250" w:type="dxa"/>
            <w:tcBorders>
              <w:top w:val="nil"/>
              <w:left w:val="single" w:sz="8" w:space="0" w:color="auto"/>
              <w:bottom w:val="single" w:sz="8" w:space="0" w:color="auto"/>
              <w:right w:val="single" w:sz="8" w:space="0" w:color="auto"/>
            </w:tcBorders>
            <w:shd w:val="clear" w:color="auto" w:fill="D0CECE" w:themeFill="background2" w:themeFillShade="E6"/>
            <w:noWrap/>
            <w:vAlign w:val="center"/>
            <w:hideMark/>
          </w:tcPr>
          <w:p w:rsidR="002B575F" w:rsidRPr="002B575F" w:rsidRDefault="002B575F" w:rsidP="002B575F">
            <w:pPr>
              <w:spacing w:after="0" w:line="240" w:lineRule="auto"/>
              <w:jc w:val="both"/>
              <w:rPr>
                <w:rFonts w:ascii="Times New Roman" w:eastAsia="Times New Roman" w:hAnsi="Times New Roman" w:cs="Times New Roman"/>
                <w:b/>
                <w:bCs/>
                <w:sz w:val="20"/>
                <w:szCs w:val="20"/>
              </w:rPr>
            </w:pPr>
            <w:r w:rsidRPr="002B575F">
              <w:rPr>
                <w:rFonts w:ascii="Times New Roman" w:eastAsia="Times New Roman" w:hAnsi="Times New Roman" w:cs="Times New Roman"/>
                <w:b/>
                <w:bCs/>
                <w:sz w:val="20"/>
                <w:szCs w:val="20"/>
              </w:rPr>
              <w:t>Totali</w:t>
            </w:r>
          </w:p>
        </w:tc>
        <w:tc>
          <w:tcPr>
            <w:tcW w:w="630" w:type="dxa"/>
            <w:tcBorders>
              <w:top w:val="nil"/>
              <w:left w:val="nil"/>
              <w:bottom w:val="single" w:sz="8" w:space="0" w:color="auto"/>
              <w:right w:val="single" w:sz="8" w:space="0" w:color="auto"/>
            </w:tcBorders>
            <w:shd w:val="clear" w:color="auto" w:fill="D0CECE" w:themeFill="background2" w:themeFillShade="E6"/>
            <w:noWrap/>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290</w:t>
            </w:r>
          </w:p>
        </w:tc>
        <w:tc>
          <w:tcPr>
            <w:tcW w:w="720" w:type="dxa"/>
            <w:tcBorders>
              <w:top w:val="nil"/>
              <w:left w:val="nil"/>
              <w:bottom w:val="single" w:sz="8" w:space="0" w:color="auto"/>
              <w:right w:val="single" w:sz="8" w:space="0" w:color="auto"/>
            </w:tcBorders>
            <w:shd w:val="clear" w:color="auto" w:fill="D0CECE" w:themeFill="background2" w:themeFillShade="E6"/>
            <w:noWrap/>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566</w:t>
            </w:r>
          </w:p>
        </w:tc>
        <w:tc>
          <w:tcPr>
            <w:tcW w:w="704" w:type="dxa"/>
            <w:tcBorders>
              <w:top w:val="nil"/>
              <w:left w:val="nil"/>
              <w:bottom w:val="single" w:sz="8" w:space="0" w:color="auto"/>
              <w:right w:val="single" w:sz="8" w:space="0" w:color="auto"/>
            </w:tcBorders>
            <w:shd w:val="clear" w:color="auto" w:fill="D0CECE" w:themeFill="background2" w:themeFillShade="E6"/>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865</w:t>
            </w:r>
          </w:p>
        </w:tc>
        <w:tc>
          <w:tcPr>
            <w:tcW w:w="704" w:type="dxa"/>
            <w:tcBorders>
              <w:top w:val="nil"/>
              <w:left w:val="nil"/>
              <w:bottom w:val="single" w:sz="8" w:space="0" w:color="auto"/>
              <w:right w:val="single" w:sz="8" w:space="0" w:color="auto"/>
            </w:tcBorders>
            <w:shd w:val="clear" w:color="auto" w:fill="D0CECE" w:themeFill="background2" w:themeFillShade="E6"/>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549</w:t>
            </w:r>
          </w:p>
        </w:tc>
        <w:tc>
          <w:tcPr>
            <w:tcW w:w="628" w:type="dxa"/>
            <w:tcBorders>
              <w:top w:val="nil"/>
              <w:left w:val="nil"/>
              <w:bottom w:val="single" w:sz="8" w:space="0" w:color="auto"/>
              <w:right w:val="nil"/>
            </w:tcBorders>
            <w:shd w:val="clear" w:color="auto" w:fill="D0CECE" w:themeFill="background2" w:themeFillShade="E6"/>
            <w:vAlign w:val="center"/>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1100</w:t>
            </w:r>
          </w:p>
        </w:tc>
        <w:tc>
          <w:tcPr>
            <w:tcW w:w="630" w:type="dxa"/>
            <w:tcBorders>
              <w:top w:val="nil"/>
              <w:left w:val="single" w:sz="8" w:space="0" w:color="auto"/>
              <w:bottom w:val="single" w:sz="8" w:space="0" w:color="auto"/>
              <w:right w:val="single" w:sz="8" w:space="0" w:color="auto"/>
            </w:tcBorders>
            <w:shd w:val="clear" w:color="auto" w:fill="D0CECE" w:themeFill="background2" w:themeFillShade="E6"/>
            <w:noWrap/>
            <w:vAlign w:val="bottom"/>
            <w:hideMark/>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779</w:t>
            </w:r>
          </w:p>
        </w:tc>
        <w:tc>
          <w:tcPr>
            <w:tcW w:w="628" w:type="dxa"/>
            <w:tcBorders>
              <w:top w:val="nil"/>
              <w:left w:val="single" w:sz="8" w:space="0" w:color="auto"/>
              <w:bottom w:val="single" w:sz="8" w:space="0" w:color="auto"/>
              <w:right w:val="single" w:sz="8" w:space="0" w:color="auto"/>
            </w:tcBorders>
            <w:shd w:val="clear" w:color="auto" w:fill="D0CECE" w:themeFill="background2" w:themeFillShade="E6"/>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930</w:t>
            </w:r>
          </w:p>
        </w:tc>
        <w:tc>
          <w:tcPr>
            <w:tcW w:w="704" w:type="dxa"/>
            <w:tcBorders>
              <w:top w:val="nil"/>
              <w:left w:val="single" w:sz="8" w:space="0" w:color="auto"/>
              <w:bottom w:val="single" w:sz="8" w:space="0" w:color="auto"/>
              <w:right w:val="single" w:sz="8" w:space="0" w:color="auto"/>
            </w:tcBorders>
            <w:shd w:val="clear" w:color="auto" w:fill="D0CECE" w:themeFill="background2" w:themeFillShade="E6"/>
          </w:tcPr>
          <w:p w:rsidR="002B575F" w:rsidRPr="002B575F" w:rsidRDefault="002B575F" w:rsidP="002B575F">
            <w:pPr>
              <w:spacing w:after="0" w:line="240" w:lineRule="auto"/>
              <w:jc w:val="both"/>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1314</w:t>
            </w:r>
          </w:p>
        </w:tc>
        <w:tc>
          <w:tcPr>
            <w:tcW w:w="856" w:type="dxa"/>
            <w:tcBorders>
              <w:top w:val="nil"/>
              <w:left w:val="single" w:sz="8" w:space="0" w:color="auto"/>
              <w:bottom w:val="single" w:sz="8" w:space="0" w:color="auto"/>
              <w:right w:val="single" w:sz="8" w:space="0" w:color="auto"/>
            </w:tcBorders>
            <w:shd w:val="clear" w:color="auto" w:fill="D0CECE" w:themeFill="background2" w:themeFillShade="E6"/>
          </w:tcPr>
          <w:p w:rsidR="002B575F" w:rsidRPr="002B575F" w:rsidRDefault="002B575F" w:rsidP="002B575F">
            <w:pPr>
              <w:spacing w:after="0" w:line="240" w:lineRule="auto"/>
              <w:jc w:val="center"/>
              <w:rPr>
                <w:rFonts w:ascii="Times New Roman" w:eastAsia="Times New Roman" w:hAnsi="Times New Roman" w:cs="Times New Roman"/>
                <w:sz w:val="20"/>
                <w:szCs w:val="20"/>
              </w:rPr>
            </w:pPr>
            <w:r w:rsidRPr="002B575F">
              <w:rPr>
                <w:rFonts w:ascii="Times New Roman" w:eastAsia="Times New Roman" w:hAnsi="Times New Roman" w:cs="Times New Roman"/>
                <w:sz w:val="20"/>
                <w:szCs w:val="20"/>
              </w:rPr>
              <w:t>1813</w:t>
            </w:r>
          </w:p>
        </w:tc>
        <w:tc>
          <w:tcPr>
            <w:tcW w:w="628" w:type="dxa"/>
            <w:tcBorders>
              <w:top w:val="nil"/>
              <w:left w:val="single" w:sz="8" w:space="0" w:color="auto"/>
              <w:bottom w:val="single" w:sz="8" w:space="0" w:color="auto"/>
              <w:right w:val="single" w:sz="8" w:space="0" w:color="auto"/>
            </w:tcBorders>
            <w:shd w:val="clear" w:color="auto" w:fill="D0CECE" w:themeFill="background2" w:themeFillShade="E6"/>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2333</w:t>
            </w:r>
          </w:p>
        </w:tc>
        <w:tc>
          <w:tcPr>
            <w:tcW w:w="780" w:type="dxa"/>
            <w:tcBorders>
              <w:top w:val="nil"/>
              <w:left w:val="single" w:sz="8" w:space="0" w:color="auto"/>
              <w:bottom w:val="single" w:sz="8" w:space="0" w:color="auto"/>
              <w:right w:val="single" w:sz="8" w:space="0" w:color="auto"/>
            </w:tcBorders>
            <w:shd w:val="clear" w:color="auto" w:fill="D0CECE" w:themeFill="background2" w:themeFillShade="E6"/>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Cs/>
                <w:sz w:val="20"/>
                <w:szCs w:val="20"/>
              </w:rPr>
              <w:t>2762</w:t>
            </w:r>
          </w:p>
        </w:tc>
        <w:tc>
          <w:tcPr>
            <w:tcW w:w="720" w:type="dxa"/>
            <w:tcBorders>
              <w:top w:val="nil"/>
              <w:left w:val="single" w:sz="8" w:space="0" w:color="auto"/>
              <w:bottom w:val="single" w:sz="8" w:space="0" w:color="auto"/>
              <w:right w:val="single" w:sz="8" w:space="0" w:color="auto"/>
            </w:tcBorders>
            <w:shd w:val="clear" w:color="auto" w:fill="D0CECE" w:themeFill="background2" w:themeFillShade="E6"/>
          </w:tcPr>
          <w:p w:rsidR="002B575F" w:rsidRPr="002B575F" w:rsidRDefault="002B575F" w:rsidP="002B575F">
            <w:pPr>
              <w:spacing w:after="0" w:line="240" w:lineRule="auto"/>
              <w:jc w:val="center"/>
              <w:rPr>
                <w:rFonts w:ascii="Times New Roman" w:eastAsia="Times New Roman" w:hAnsi="Times New Roman" w:cs="Times New Roman"/>
                <w:bCs/>
                <w:sz w:val="20"/>
                <w:szCs w:val="20"/>
              </w:rPr>
            </w:pPr>
            <w:r w:rsidRPr="002B575F">
              <w:rPr>
                <w:rFonts w:ascii="Times New Roman" w:eastAsia="Times New Roman" w:hAnsi="Times New Roman" w:cs="Times New Roman"/>
                <w:b/>
                <w:bCs/>
                <w:i/>
                <w:iCs/>
                <w:sz w:val="24"/>
                <w:szCs w:val="24"/>
              </w:rPr>
              <w:t>2967</w:t>
            </w:r>
          </w:p>
        </w:tc>
      </w:tr>
    </w:tbl>
    <w:p w:rsidR="002B575F" w:rsidRPr="002B575F" w:rsidRDefault="002B575F" w:rsidP="002B575F">
      <w:pPr>
        <w:spacing w:after="200" w:line="276" w:lineRule="auto"/>
        <w:jc w:val="both"/>
        <w:rPr>
          <w:rFonts w:ascii="Times New Roman" w:eastAsia="Times New Roman" w:hAnsi="Times New Roman" w:cs="Times New Roman"/>
          <w:sz w:val="24"/>
          <w:szCs w:val="24"/>
        </w:rPr>
      </w:pPr>
    </w:p>
    <w:p w:rsidR="002B575F" w:rsidRPr="002B575F" w:rsidRDefault="002B575F" w:rsidP="002B575F">
      <w:pPr>
        <w:spacing w:after="200" w:line="276" w:lineRule="auto"/>
        <w:jc w:val="both"/>
        <w:rPr>
          <w:rFonts w:ascii="Times New Roman" w:eastAsia="Times New Roman" w:hAnsi="Times New Roman" w:cs="Times New Roman"/>
          <w:sz w:val="24"/>
          <w:szCs w:val="24"/>
        </w:rPr>
      </w:pPr>
      <w:r w:rsidRPr="002B575F">
        <w:rPr>
          <w:rFonts w:ascii="Times New Roman" w:eastAsia="Times New Roman" w:hAnsi="Times New Roman" w:cs="Times New Roman"/>
          <w:noProof/>
          <w:sz w:val="24"/>
          <w:szCs w:val="24"/>
        </w:rPr>
        <w:drawing>
          <wp:inline distT="0" distB="0" distL="0" distR="0" wp14:anchorId="005AB735" wp14:editId="33332BA5">
            <wp:extent cx="6305550" cy="2886075"/>
            <wp:effectExtent l="0" t="0" r="0" b="9525"/>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6309995" cy="2888109"/>
                    </a:xfrm>
                    <a:prstGeom prst="rect">
                      <a:avLst/>
                    </a:prstGeom>
                    <a:noFill/>
                  </pic:spPr>
                </pic:pic>
              </a:graphicData>
            </a:graphic>
          </wp:inline>
        </w:drawing>
      </w:r>
    </w:p>
    <w:p w:rsidR="002B575F" w:rsidRPr="002B575F" w:rsidRDefault="002B575F" w:rsidP="002B575F">
      <w:pPr>
        <w:spacing w:after="200" w:line="276" w:lineRule="auto"/>
        <w:jc w:val="center"/>
        <w:rPr>
          <w:rFonts w:ascii="Times New Roman" w:eastAsia="Times New Roman" w:hAnsi="Times New Roman" w:cs="Times New Roman"/>
          <w:sz w:val="20"/>
          <w:szCs w:val="20"/>
        </w:rPr>
      </w:pPr>
      <w:r w:rsidRPr="002B575F">
        <w:rPr>
          <w:rFonts w:ascii="Times New Roman" w:eastAsia="Times New Roman" w:hAnsi="Times New Roman" w:cs="Times New Roman"/>
          <w:i/>
          <w:sz w:val="20"/>
          <w:szCs w:val="20"/>
        </w:rPr>
        <w:t xml:space="preserve"> Numri i subjekteve të cilat kanë realizuar vetëmonitorimin për lejet e mjedisit A dhe B në sec</w:t>
      </w:r>
      <w:r w:rsidR="00884270">
        <w:rPr>
          <w:rFonts w:ascii="Times New Roman" w:eastAsia="Times New Roman" w:hAnsi="Times New Roman" w:cs="Times New Roman"/>
          <w:i/>
          <w:sz w:val="20"/>
          <w:szCs w:val="20"/>
        </w:rPr>
        <w:t>ilin qark, për vitin 2014 – 2025</w:t>
      </w:r>
    </w:p>
    <w:p w:rsidR="002B575F" w:rsidRPr="002B575F" w:rsidRDefault="002B575F" w:rsidP="00884270">
      <w:pPr>
        <w:spacing w:after="0" w:line="240" w:lineRule="auto"/>
        <w:jc w:val="both"/>
        <w:rPr>
          <w:rFonts w:ascii="Times New Roman" w:eastAsia="Times New Roman" w:hAnsi="Times New Roman" w:cs="Times New Roman"/>
          <w:sz w:val="24"/>
          <w:szCs w:val="24"/>
        </w:rPr>
      </w:pPr>
      <w:r w:rsidRPr="002B575F">
        <w:rPr>
          <w:rFonts w:ascii="Times New Roman" w:eastAsia="Times New Roman" w:hAnsi="Times New Roman" w:cs="Times New Roman"/>
          <w:sz w:val="24"/>
          <w:szCs w:val="24"/>
        </w:rPr>
        <w:t>Mbetjet e Industrisë Kimike (siç janë mbetjet që përmbajnë substanca të rrezikshme) janë më së shumti te theksuara duke qënë se kjo lloj industrie është më e pranishme në qarkun e Elbasanit. Për këto në Raportet e Vetëmonitorimit janë paraqitur sasitë e shkarkuara; vendgrumbullimi i këtyre mbetjeve; riciklimi; ripërdorimi, trajtimi i mëtejshëm në vendndodhje dhe subjekti i liçensuar ku dorëzohen mbetjet.</w:t>
      </w:r>
    </w:p>
    <w:p w:rsidR="002B575F" w:rsidRPr="002B575F" w:rsidRDefault="002B575F" w:rsidP="00884270">
      <w:pPr>
        <w:spacing w:after="0" w:line="240" w:lineRule="auto"/>
        <w:jc w:val="both"/>
        <w:rPr>
          <w:rFonts w:ascii="Times New Roman" w:eastAsia="Times New Roman" w:hAnsi="Times New Roman" w:cs="Times New Roman"/>
          <w:sz w:val="24"/>
          <w:szCs w:val="24"/>
        </w:rPr>
      </w:pPr>
      <w:r w:rsidRPr="002B575F">
        <w:rPr>
          <w:rFonts w:ascii="Times New Roman" w:eastAsia="Times New Roman" w:hAnsi="Times New Roman" w:cs="Times New Roman"/>
          <w:sz w:val="24"/>
          <w:szCs w:val="24"/>
        </w:rPr>
        <w:t>Përsa i përket shkarkimeve në ajër</w:t>
      </w:r>
      <w:r w:rsidR="00884270">
        <w:rPr>
          <w:rFonts w:ascii="Times New Roman" w:eastAsia="Times New Roman" w:hAnsi="Times New Roman" w:cs="Times New Roman"/>
          <w:sz w:val="24"/>
          <w:szCs w:val="24"/>
        </w:rPr>
        <w:t>,</w:t>
      </w:r>
      <w:r w:rsidRPr="002B575F">
        <w:rPr>
          <w:rFonts w:ascii="Times New Roman" w:eastAsia="Times New Roman" w:hAnsi="Times New Roman" w:cs="Times New Roman"/>
          <w:sz w:val="24"/>
          <w:szCs w:val="24"/>
        </w:rPr>
        <w:t xml:space="preserve"> pothuajse në të gjitha subjektet është bërë matja e temperatures, lagështisë, shpejtësia e erës, PM 10 dhe presionit atmosferik për mostrat e ajrit. Në disa subjekte janë matur më shumë parametra (përfshirë CO, CH</w:t>
      </w:r>
      <w:r w:rsidRPr="002B575F">
        <w:rPr>
          <w:rFonts w:ascii="Times New Roman" w:eastAsia="Times New Roman" w:hAnsi="Times New Roman" w:cs="Times New Roman"/>
          <w:sz w:val="24"/>
          <w:szCs w:val="24"/>
          <w:vertAlign w:val="subscript"/>
        </w:rPr>
        <w:t>4</w:t>
      </w:r>
      <w:r w:rsidRPr="002B575F">
        <w:rPr>
          <w:rFonts w:ascii="Times New Roman" w:eastAsia="Times New Roman" w:hAnsi="Times New Roman" w:cs="Times New Roman"/>
          <w:sz w:val="24"/>
          <w:szCs w:val="24"/>
        </w:rPr>
        <w:t>, O</w:t>
      </w:r>
      <w:r w:rsidRPr="002B575F">
        <w:rPr>
          <w:rFonts w:ascii="Times New Roman" w:eastAsia="Times New Roman" w:hAnsi="Times New Roman" w:cs="Times New Roman"/>
          <w:sz w:val="24"/>
          <w:szCs w:val="24"/>
          <w:vertAlign w:val="subscript"/>
        </w:rPr>
        <w:t>2</w:t>
      </w:r>
      <w:r w:rsidRPr="002B575F">
        <w:rPr>
          <w:rFonts w:ascii="Times New Roman" w:eastAsia="Times New Roman" w:hAnsi="Times New Roman" w:cs="Times New Roman"/>
          <w:sz w:val="24"/>
          <w:szCs w:val="24"/>
        </w:rPr>
        <w:t>, SO</w:t>
      </w:r>
      <w:r w:rsidRPr="002B575F">
        <w:rPr>
          <w:rFonts w:ascii="Times New Roman" w:eastAsia="Times New Roman" w:hAnsi="Times New Roman" w:cs="Times New Roman"/>
          <w:sz w:val="24"/>
          <w:szCs w:val="24"/>
          <w:vertAlign w:val="subscript"/>
        </w:rPr>
        <w:t>2</w:t>
      </w:r>
      <w:r w:rsidRPr="002B575F">
        <w:rPr>
          <w:rFonts w:ascii="Times New Roman" w:eastAsia="Times New Roman" w:hAnsi="Times New Roman" w:cs="Times New Roman"/>
          <w:sz w:val="24"/>
          <w:szCs w:val="24"/>
        </w:rPr>
        <w:t>, H</w:t>
      </w:r>
      <w:r w:rsidRPr="002B575F">
        <w:rPr>
          <w:rFonts w:ascii="Times New Roman" w:eastAsia="Times New Roman" w:hAnsi="Times New Roman" w:cs="Times New Roman"/>
          <w:sz w:val="24"/>
          <w:szCs w:val="24"/>
          <w:vertAlign w:val="subscript"/>
        </w:rPr>
        <w:t>2</w:t>
      </w:r>
      <w:r w:rsidRPr="002B575F">
        <w:rPr>
          <w:rFonts w:ascii="Times New Roman" w:eastAsia="Times New Roman" w:hAnsi="Times New Roman" w:cs="Times New Roman"/>
          <w:sz w:val="24"/>
          <w:szCs w:val="24"/>
        </w:rPr>
        <w:t xml:space="preserve">S, përqëndrimi i nivelit të pluhurit në nivele të ulëta etj). Ndërsa për mostrat ujore pothuajse në të gjitha subjektet kemi matje të vlerave të Nevoja Kimike për Oksigjen, Nevoja Biokimike për Oksigjen, temperature, konduktivitet, pH, dhe lendët në pezulli. Në disa subjekte kemi më shumë parametra të matura në mostrat ujore si p.sh: Diferenca e temperatures, rrjedhja ditore, P-organik, N-amonikal, produkte nafte, fortësia e përgjithshme, As, Cd, Zn, Cr, Pb, Cianid i lire, Cianid total etj. </w:t>
      </w:r>
    </w:p>
    <w:p w:rsidR="00884270" w:rsidRPr="00884270" w:rsidRDefault="002B575F" w:rsidP="005E2B26">
      <w:pPr>
        <w:spacing w:after="200" w:line="276" w:lineRule="auto"/>
        <w:jc w:val="both"/>
        <w:rPr>
          <w:rFonts w:ascii="Times New Roman" w:eastAsia="Times New Roman" w:hAnsi="Times New Roman" w:cs="Times New Roman"/>
          <w:b/>
          <w:i/>
          <w:sz w:val="24"/>
          <w:szCs w:val="24"/>
        </w:rPr>
      </w:pPr>
      <w:r w:rsidRPr="002B575F">
        <w:rPr>
          <w:rFonts w:ascii="Times New Roman" w:eastAsia="Times New Roman" w:hAnsi="Times New Roman" w:cs="Times New Roman"/>
          <w:b/>
          <w:i/>
          <w:sz w:val="24"/>
          <w:szCs w:val="24"/>
        </w:rPr>
        <w:t xml:space="preserve">Referuar raporteve të vetmonitorimit të subjekteve rezulton se </w:t>
      </w:r>
      <w:r w:rsidR="008E27B4">
        <w:rPr>
          <w:rFonts w:ascii="Times New Roman" w:eastAsia="Times New Roman" w:hAnsi="Times New Roman" w:cs="Times New Roman"/>
          <w:b/>
          <w:i/>
          <w:sz w:val="24"/>
          <w:szCs w:val="24"/>
        </w:rPr>
        <w:t>nuk kemi tejkalime të vlerave të</w:t>
      </w:r>
      <w:r w:rsidRPr="002B575F">
        <w:rPr>
          <w:rFonts w:ascii="Times New Roman" w:eastAsia="Times New Roman" w:hAnsi="Times New Roman" w:cs="Times New Roman"/>
          <w:b/>
          <w:i/>
          <w:sz w:val="24"/>
          <w:szCs w:val="24"/>
        </w:rPr>
        <w:t xml:space="preserve"> matura</w:t>
      </w:r>
      <w:r w:rsidR="00277086">
        <w:rPr>
          <w:rFonts w:ascii="Times New Roman" w:eastAsia="Times New Roman" w:hAnsi="Times New Roman" w:cs="Times New Roman"/>
          <w:b/>
          <w:i/>
          <w:sz w:val="24"/>
          <w:szCs w:val="24"/>
        </w:rPr>
        <w:t>.</w:t>
      </w:r>
      <w:r w:rsidR="00884270">
        <w:rPr>
          <w:rFonts w:ascii="Times New Roman" w:eastAsia="Times New Roman" w:hAnsi="Times New Roman" w:cs="Times New Roman"/>
          <w:b/>
          <w:i/>
          <w:sz w:val="24"/>
          <w:szCs w:val="24"/>
        </w:rPr>
        <w:t xml:space="preserve"> </w:t>
      </w:r>
    </w:p>
    <w:p w:rsidR="005E2B26" w:rsidRPr="00296861" w:rsidRDefault="005E2B26" w:rsidP="00807975">
      <w:pPr>
        <w:pStyle w:val="ListParagraph"/>
        <w:numPr>
          <w:ilvl w:val="0"/>
          <w:numId w:val="32"/>
        </w:numPr>
        <w:spacing w:after="200" w:line="276" w:lineRule="auto"/>
        <w:jc w:val="both"/>
        <w:rPr>
          <w:rFonts w:ascii="Times New Roman" w:eastAsia="Times New Roman" w:hAnsi="Times New Roman" w:cs="Times New Roman"/>
          <w:b/>
          <w:sz w:val="24"/>
          <w:szCs w:val="24"/>
        </w:rPr>
      </w:pPr>
      <w:r w:rsidRPr="00296861">
        <w:rPr>
          <w:rFonts w:ascii="Times New Roman" w:eastAsia="Times New Roman" w:hAnsi="Times New Roman" w:cs="Times New Roman"/>
          <w:b/>
          <w:sz w:val="24"/>
          <w:szCs w:val="24"/>
        </w:rPr>
        <w:lastRenderedPageBreak/>
        <w:t>Aktivitetet që ushtrojnë subjektet sipas qarqeve</w:t>
      </w:r>
    </w:p>
    <w:p w:rsidR="005E2B26" w:rsidRPr="005E2B26" w:rsidRDefault="005E2B26" w:rsidP="005E2B26">
      <w:pPr>
        <w:keepNext/>
        <w:keepLines/>
        <w:spacing w:before="200" w:after="0" w:line="276" w:lineRule="auto"/>
        <w:outlineLvl w:val="1"/>
        <w:rPr>
          <w:rFonts w:ascii="Times New Roman" w:eastAsia="Times New Roman" w:hAnsi="Times New Roman" w:cs="Times New Roman"/>
          <w:b/>
          <w:bCs/>
          <w:sz w:val="24"/>
          <w:szCs w:val="24"/>
        </w:rPr>
      </w:pPr>
      <w:r w:rsidRPr="005E2B26">
        <w:rPr>
          <w:rFonts w:ascii="Times New Roman" w:eastAsia="Times New Roman" w:hAnsi="Times New Roman" w:cs="Times New Roman"/>
          <w:b/>
          <w:bCs/>
          <w:sz w:val="24"/>
          <w:szCs w:val="24"/>
        </w:rPr>
        <w:t>Qarku i Tiranës</w:t>
      </w:r>
    </w:p>
    <w:p w:rsidR="005E2B26" w:rsidRPr="005E2B26" w:rsidRDefault="005E2B26" w:rsidP="005E2B26">
      <w:pPr>
        <w:spacing w:after="200" w:line="276" w:lineRule="auto"/>
        <w:jc w:val="both"/>
        <w:rPr>
          <w:rFonts w:ascii="Times New Roman" w:eastAsia="Times New Roman" w:hAnsi="Times New Roman" w:cs="Times New Roman"/>
          <w:sz w:val="24"/>
          <w:szCs w:val="24"/>
        </w:rPr>
      </w:pPr>
      <w:r w:rsidRPr="005E2B26">
        <w:rPr>
          <w:rFonts w:ascii="Times New Roman" w:eastAsia="Times New Roman" w:hAnsi="Times New Roman" w:cs="Times New Roman"/>
          <w:sz w:val="24"/>
          <w:szCs w:val="24"/>
        </w:rPr>
        <w:t xml:space="preserve">Në qarkun e Tiranës kanë dorëzuar </w:t>
      </w:r>
      <w:r w:rsidRPr="00277086">
        <w:rPr>
          <w:rFonts w:ascii="Times New Roman" w:eastAsia="Times New Roman" w:hAnsi="Times New Roman" w:cs="Times New Roman"/>
          <w:b/>
          <w:sz w:val="24"/>
          <w:szCs w:val="24"/>
        </w:rPr>
        <w:t>732</w:t>
      </w:r>
      <w:r w:rsidRPr="005E2B26">
        <w:rPr>
          <w:rFonts w:ascii="Times New Roman" w:eastAsia="Times New Roman" w:hAnsi="Times New Roman" w:cs="Times New Roman"/>
          <w:b/>
          <w:color w:val="FF0000"/>
          <w:sz w:val="24"/>
          <w:szCs w:val="24"/>
        </w:rPr>
        <w:t xml:space="preserve"> </w:t>
      </w:r>
      <w:r w:rsidRPr="005E2B26">
        <w:rPr>
          <w:rFonts w:ascii="Times New Roman" w:eastAsia="Times New Roman" w:hAnsi="Times New Roman" w:cs="Times New Roman"/>
          <w:b/>
          <w:sz w:val="24"/>
          <w:szCs w:val="24"/>
        </w:rPr>
        <w:t>subjekte Raporte Vetëmonitorimi</w:t>
      </w:r>
      <w:r w:rsidRPr="005E2B26">
        <w:rPr>
          <w:rFonts w:ascii="Times New Roman" w:eastAsia="Times New Roman" w:hAnsi="Times New Roman" w:cs="Times New Roman"/>
          <w:sz w:val="24"/>
          <w:szCs w:val="24"/>
        </w:rPr>
        <w:t xml:space="preserve"> ku përmendim subjekte që operojnë në fushën e industrisë prodhuese si Industria Minerare, Industria Kimike dhe ajo Hidrokarbure dhe më pak të përmendura janë Industria e Drurit, Industria e Peshkut, Industria e Mishit, Industria Teknologjike, Industria e prodhimit të Birrës etj.</w:t>
      </w:r>
    </w:p>
    <w:p w:rsidR="005E2B26" w:rsidRPr="005E2B26" w:rsidRDefault="005E2B26" w:rsidP="005E2B26">
      <w:pPr>
        <w:keepNext/>
        <w:keepLines/>
        <w:spacing w:before="200" w:after="0" w:line="276" w:lineRule="auto"/>
        <w:outlineLvl w:val="1"/>
        <w:rPr>
          <w:rFonts w:ascii="Times New Roman" w:eastAsia="Times New Roman" w:hAnsi="Times New Roman" w:cs="Times New Roman"/>
          <w:b/>
          <w:bCs/>
          <w:sz w:val="24"/>
          <w:szCs w:val="24"/>
        </w:rPr>
      </w:pPr>
      <w:r w:rsidRPr="005E2B26">
        <w:rPr>
          <w:rFonts w:ascii="Times New Roman" w:eastAsia="Times New Roman" w:hAnsi="Times New Roman" w:cs="Times New Roman"/>
          <w:b/>
          <w:bCs/>
          <w:sz w:val="24"/>
          <w:szCs w:val="24"/>
        </w:rPr>
        <w:t>Qarku Elbasan</w:t>
      </w:r>
    </w:p>
    <w:p w:rsidR="005E2B26" w:rsidRPr="005E2B26" w:rsidRDefault="005E2B26" w:rsidP="005E2B26">
      <w:pPr>
        <w:spacing w:after="200" w:line="276" w:lineRule="auto"/>
        <w:jc w:val="both"/>
        <w:rPr>
          <w:rFonts w:ascii="Times New Roman" w:eastAsia="Times New Roman" w:hAnsi="Times New Roman" w:cs="Times New Roman"/>
          <w:sz w:val="24"/>
          <w:szCs w:val="24"/>
        </w:rPr>
      </w:pPr>
      <w:r w:rsidRPr="005E2B26">
        <w:rPr>
          <w:rFonts w:ascii="Times New Roman" w:eastAsia="Times New Roman" w:hAnsi="Times New Roman" w:cs="Times New Roman"/>
          <w:sz w:val="24"/>
          <w:szCs w:val="24"/>
        </w:rPr>
        <w:t xml:space="preserve">Për qarkun e Elbasanit kanë dorëzuar </w:t>
      </w:r>
      <w:r w:rsidRPr="00277086">
        <w:rPr>
          <w:rFonts w:ascii="Times New Roman" w:eastAsia="Times New Roman" w:hAnsi="Times New Roman" w:cs="Times New Roman"/>
          <w:b/>
          <w:sz w:val="24"/>
          <w:szCs w:val="24"/>
        </w:rPr>
        <w:t>260</w:t>
      </w:r>
      <w:r w:rsidRPr="005E2B26">
        <w:rPr>
          <w:rFonts w:ascii="Times New Roman" w:eastAsia="Times New Roman" w:hAnsi="Times New Roman" w:cs="Times New Roman"/>
          <w:b/>
          <w:sz w:val="24"/>
          <w:szCs w:val="24"/>
        </w:rPr>
        <w:t xml:space="preserve"> subjekte Raporte Vetëmonitorimi </w:t>
      </w:r>
      <w:r w:rsidRPr="005E2B26">
        <w:rPr>
          <w:rFonts w:ascii="Times New Roman" w:eastAsia="Times New Roman" w:hAnsi="Times New Roman" w:cs="Times New Roman"/>
          <w:sz w:val="24"/>
          <w:szCs w:val="24"/>
        </w:rPr>
        <w:t>ku më së shumti janë subjekte që operojnë në fushën e Industrisë Kimike dhe Industrisë Metalore dhe më pak në Industrinë Minerare, Industrinë e Menaxhimit të Mbetjeve dhe Industrive të tjera.</w:t>
      </w:r>
    </w:p>
    <w:p w:rsidR="005E2B26" w:rsidRPr="005E2B26" w:rsidRDefault="005E2B26" w:rsidP="005E2B26">
      <w:pPr>
        <w:keepNext/>
        <w:keepLines/>
        <w:spacing w:before="200" w:after="0" w:line="276" w:lineRule="auto"/>
        <w:outlineLvl w:val="1"/>
        <w:rPr>
          <w:rFonts w:ascii="Times New Roman" w:eastAsia="Times New Roman" w:hAnsi="Times New Roman" w:cs="Times New Roman"/>
          <w:b/>
          <w:bCs/>
          <w:sz w:val="24"/>
          <w:szCs w:val="24"/>
        </w:rPr>
      </w:pPr>
      <w:r w:rsidRPr="005E2B26">
        <w:rPr>
          <w:rFonts w:ascii="Times New Roman" w:eastAsia="Times New Roman" w:hAnsi="Times New Roman" w:cs="Times New Roman"/>
          <w:b/>
          <w:bCs/>
          <w:sz w:val="24"/>
          <w:szCs w:val="24"/>
        </w:rPr>
        <w:t>Qarku Durrës</w:t>
      </w:r>
    </w:p>
    <w:p w:rsidR="005E2B26" w:rsidRPr="005E2B26" w:rsidRDefault="005E2B26" w:rsidP="005E2B26">
      <w:pPr>
        <w:spacing w:after="200" w:line="276" w:lineRule="auto"/>
        <w:jc w:val="both"/>
        <w:rPr>
          <w:rFonts w:ascii="Times New Roman" w:eastAsia="Times New Roman" w:hAnsi="Times New Roman" w:cs="Times New Roman"/>
          <w:sz w:val="24"/>
          <w:szCs w:val="24"/>
        </w:rPr>
      </w:pPr>
      <w:r w:rsidRPr="005E2B26">
        <w:rPr>
          <w:rFonts w:ascii="Times New Roman" w:eastAsia="Times New Roman" w:hAnsi="Times New Roman" w:cs="Times New Roman"/>
          <w:sz w:val="24"/>
          <w:szCs w:val="24"/>
        </w:rPr>
        <w:t xml:space="preserve">Për qarkun e Durrësit kanë dorëzuar </w:t>
      </w:r>
      <w:r w:rsidRPr="00277086">
        <w:rPr>
          <w:rFonts w:ascii="Times New Roman" w:eastAsia="Times New Roman" w:hAnsi="Times New Roman" w:cs="Times New Roman"/>
          <w:b/>
          <w:sz w:val="24"/>
          <w:szCs w:val="24"/>
        </w:rPr>
        <w:t>402</w:t>
      </w:r>
      <w:r w:rsidRPr="005E2B26">
        <w:rPr>
          <w:rFonts w:ascii="Times New Roman" w:eastAsia="Times New Roman" w:hAnsi="Times New Roman" w:cs="Times New Roman"/>
          <w:b/>
          <w:sz w:val="24"/>
          <w:szCs w:val="24"/>
        </w:rPr>
        <w:t xml:space="preserve"> subjekte Raporte Vetëmonitorimi</w:t>
      </w:r>
      <w:r w:rsidRPr="005E2B26">
        <w:rPr>
          <w:rFonts w:ascii="Times New Roman" w:eastAsia="Times New Roman" w:hAnsi="Times New Roman" w:cs="Times New Roman"/>
          <w:sz w:val="24"/>
          <w:szCs w:val="24"/>
        </w:rPr>
        <w:t xml:space="preserve"> ku më së shumti janë subjekte që operojnë në fushën e Industrisë Hidrokarbure, Industrisë Minerare, Industrisë Metalore dhe Industrisë së Lehtë dhe Ushqimore. Në qarkun e Durrësit vihen re se operojne edhe subjekte te tjera që ushtrojnë aktivitetin e tyre në Industrinë Elektronike,Industrinë e Pijeve dhe ajo e bimëve medicinale, edhe pse të pakta në numër.</w:t>
      </w:r>
    </w:p>
    <w:p w:rsidR="005E2B26" w:rsidRPr="005E2B26" w:rsidRDefault="005E2B26" w:rsidP="005E2B26">
      <w:pPr>
        <w:keepNext/>
        <w:keepLines/>
        <w:spacing w:before="200" w:after="0" w:line="276" w:lineRule="auto"/>
        <w:outlineLvl w:val="1"/>
        <w:rPr>
          <w:rFonts w:ascii="Times New Roman" w:eastAsia="Times New Roman" w:hAnsi="Times New Roman" w:cs="Times New Roman"/>
          <w:b/>
          <w:bCs/>
          <w:sz w:val="24"/>
          <w:szCs w:val="24"/>
        </w:rPr>
      </w:pPr>
      <w:r w:rsidRPr="005E2B26">
        <w:rPr>
          <w:rFonts w:ascii="Times New Roman" w:eastAsia="Times New Roman" w:hAnsi="Times New Roman" w:cs="Times New Roman"/>
          <w:b/>
          <w:bCs/>
          <w:sz w:val="24"/>
          <w:szCs w:val="24"/>
        </w:rPr>
        <w:t>Qarku Dibër</w:t>
      </w:r>
    </w:p>
    <w:p w:rsidR="005E2B26" w:rsidRPr="005E2B26" w:rsidRDefault="005E2B26" w:rsidP="005E2B26">
      <w:pPr>
        <w:spacing w:after="200" w:line="276" w:lineRule="auto"/>
        <w:jc w:val="both"/>
        <w:rPr>
          <w:rFonts w:ascii="Times New Roman" w:eastAsia="Times New Roman" w:hAnsi="Times New Roman" w:cs="Times New Roman"/>
          <w:sz w:val="24"/>
          <w:szCs w:val="24"/>
        </w:rPr>
      </w:pPr>
      <w:r w:rsidRPr="005E2B26">
        <w:rPr>
          <w:rFonts w:ascii="Times New Roman" w:eastAsia="Times New Roman" w:hAnsi="Times New Roman" w:cs="Times New Roman"/>
          <w:sz w:val="24"/>
          <w:szCs w:val="24"/>
        </w:rPr>
        <w:t xml:space="preserve">Në qarkun e Dibrës kanë dorëzuar </w:t>
      </w:r>
      <w:r w:rsidRPr="00277086">
        <w:rPr>
          <w:rFonts w:ascii="Times New Roman" w:eastAsia="Times New Roman" w:hAnsi="Times New Roman" w:cs="Times New Roman"/>
          <w:b/>
          <w:sz w:val="24"/>
          <w:szCs w:val="24"/>
        </w:rPr>
        <w:t>145</w:t>
      </w:r>
      <w:r w:rsidRPr="005E2B26">
        <w:rPr>
          <w:rFonts w:ascii="Times New Roman" w:eastAsia="Times New Roman" w:hAnsi="Times New Roman" w:cs="Times New Roman"/>
          <w:b/>
          <w:sz w:val="24"/>
          <w:szCs w:val="24"/>
        </w:rPr>
        <w:t xml:space="preserve"> subjekte Raporte Vetëmonitorimi,</w:t>
      </w:r>
      <w:r w:rsidRPr="005E2B26">
        <w:rPr>
          <w:rFonts w:ascii="Times New Roman" w:eastAsia="Times New Roman" w:hAnsi="Times New Roman" w:cs="Times New Roman"/>
          <w:sz w:val="24"/>
          <w:szCs w:val="24"/>
        </w:rPr>
        <w:t xml:space="preserve"> ku më së shumti janë subjekte që operojnë në fushën e Industrisë Metalore  dhe asaj minerare. </w:t>
      </w:r>
    </w:p>
    <w:p w:rsidR="005E2B26" w:rsidRPr="005E2B26" w:rsidRDefault="005E2B26" w:rsidP="005E2B26">
      <w:pPr>
        <w:keepNext/>
        <w:keepLines/>
        <w:spacing w:before="200" w:after="0" w:line="276" w:lineRule="auto"/>
        <w:outlineLvl w:val="1"/>
        <w:rPr>
          <w:rFonts w:ascii="Times New Roman" w:eastAsia="Times New Roman" w:hAnsi="Times New Roman" w:cs="Times New Roman"/>
          <w:b/>
          <w:bCs/>
          <w:sz w:val="24"/>
          <w:szCs w:val="24"/>
        </w:rPr>
      </w:pPr>
      <w:r w:rsidRPr="005E2B26">
        <w:rPr>
          <w:rFonts w:ascii="Times New Roman" w:eastAsia="Times New Roman" w:hAnsi="Times New Roman" w:cs="Times New Roman"/>
          <w:b/>
          <w:bCs/>
          <w:sz w:val="24"/>
          <w:szCs w:val="24"/>
        </w:rPr>
        <w:t>Qarku Shkodër</w:t>
      </w:r>
    </w:p>
    <w:p w:rsidR="005E2B26" w:rsidRPr="005E2B26" w:rsidRDefault="005E2B26" w:rsidP="005E2B26">
      <w:pPr>
        <w:spacing w:after="200" w:line="276" w:lineRule="auto"/>
        <w:jc w:val="both"/>
        <w:rPr>
          <w:rFonts w:ascii="Times New Roman" w:eastAsia="Times New Roman" w:hAnsi="Times New Roman" w:cs="Times New Roman"/>
          <w:sz w:val="24"/>
          <w:szCs w:val="24"/>
        </w:rPr>
      </w:pPr>
      <w:r w:rsidRPr="005E2B26">
        <w:rPr>
          <w:rFonts w:ascii="Times New Roman" w:eastAsia="Times New Roman" w:hAnsi="Times New Roman" w:cs="Times New Roman"/>
          <w:sz w:val="24"/>
          <w:szCs w:val="24"/>
        </w:rPr>
        <w:t xml:space="preserve">Për qarkun e Shkodrës kanë dorëzuar </w:t>
      </w:r>
      <w:r w:rsidRPr="00277086">
        <w:rPr>
          <w:rFonts w:ascii="Times New Roman" w:eastAsia="Times New Roman" w:hAnsi="Times New Roman" w:cs="Times New Roman"/>
          <w:b/>
          <w:sz w:val="24"/>
          <w:szCs w:val="24"/>
        </w:rPr>
        <w:t>134</w:t>
      </w:r>
      <w:r w:rsidRPr="005E2B26">
        <w:rPr>
          <w:rFonts w:ascii="Times New Roman" w:eastAsia="Times New Roman" w:hAnsi="Times New Roman" w:cs="Times New Roman"/>
          <w:b/>
          <w:color w:val="FF0000"/>
          <w:sz w:val="24"/>
          <w:szCs w:val="24"/>
        </w:rPr>
        <w:t xml:space="preserve"> </w:t>
      </w:r>
      <w:r w:rsidRPr="005E2B26">
        <w:rPr>
          <w:rFonts w:ascii="Times New Roman" w:eastAsia="Times New Roman" w:hAnsi="Times New Roman" w:cs="Times New Roman"/>
          <w:b/>
          <w:sz w:val="24"/>
          <w:szCs w:val="24"/>
        </w:rPr>
        <w:t>subjekte Raporte Vetëmonitorimi</w:t>
      </w:r>
      <w:r w:rsidRPr="005E2B26">
        <w:rPr>
          <w:rFonts w:ascii="Times New Roman" w:eastAsia="Times New Roman" w:hAnsi="Times New Roman" w:cs="Times New Roman"/>
          <w:sz w:val="24"/>
          <w:szCs w:val="24"/>
        </w:rPr>
        <w:t xml:space="preserve"> ku më së shumti janë subjekte që operojnë në fushën e Industrisë Minerare, Industrisë Metalore dhe Industrise së përpunimit të duhanit</w:t>
      </w:r>
    </w:p>
    <w:p w:rsidR="005E2B26" w:rsidRPr="005E2B26" w:rsidRDefault="005E2B26" w:rsidP="005E2B26">
      <w:pPr>
        <w:keepNext/>
        <w:keepLines/>
        <w:spacing w:before="480" w:after="0" w:line="276" w:lineRule="auto"/>
        <w:outlineLvl w:val="0"/>
        <w:rPr>
          <w:rFonts w:ascii="Times New Roman" w:eastAsia="Times New Roman" w:hAnsi="Times New Roman" w:cs="Times New Roman"/>
          <w:b/>
          <w:bCs/>
          <w:sz w:val="24"/>
          <w:szCs w:val="24"/>
        </w:rPr>
      </w:pPr>
      <w:r w:rsidRPr="005E2B26">
        <w:rPr>
          <w:rFonts w:ascii="Times New Roman" w:eastAsia="Times New Roman" w:hAnsi="Times New Roman" w:cs="Times New Roman"/>
          <w:b/>
          <w:bCs/>
          <w:sz w:val="24"/>
          <w:szCs w:val="24"/>
        </w:rPr>
        <w:t>Qarku Kukës</w:t>
      </w:r>
    </w:p>
    <w:p w:rsidR="005E2B26" w:rsidRPr="005E2B26" w:rsidRDefault="005E2B26" w:rsidP="005E2B26">
      <w:pPr>
        <w:spacing w:after="200" w:line="276" w:lineRule="auto"/>
        <w:jc w:val="both"/>
        <w:rPr>
          <w:rFonts w:ascii="Times New Roman" w:eastAsia="Times New Roman" w:hAnsi="Times New Roman" w:cs="Times New Roman"/>
          <w:sz w:val="24"/>
          <w:szCs w:val="24"/>
        </w:rPr>
      </w:pPr>
      <w:r w:rsidRPr="005E2B26">
        <w:rPr>
          <w:rFonts w:ascii="Times New Roman" w:eastAsia="Times New Roman" w:hAnsi="Times New Roman" w:cs="Times New Roman"/>
          <w:sz w:val="24"/>
          <w:szCs w:val="24"/>
        </w:rPr>
        <w:t xml:space="preserve">Për qarkun e Kukësit kanë dorëzuar </w:t>
      </w:r>
      <w:r w:rsidRPr="00277086">
        <w:rPr>
          <w:rFonts w:ascii="Times New Roman" w:eastAsia="Times New Roman" w:hAnsi="Times New Roman" w:cs="Times New Roman"/>
          <w:sz w:val="24"/>
          <w:szCs w:val="24"/>
        </w:rPr>
        <w:t>8</w:t>
      </w:r>
      <w:r w:rsidRPr="00277086">
        <w:rPr>
          <w:rFonts w:ascii="Times New Roman" w:eastAsia="Times New Roman" w:hAnsi="Times New Roman" w:cs="Times New Roman"/>
          <w:b/>
          <w:sz w:val="24"/>
          <w:szCs w:val="24"/>
        </w:rPr>
        <w:t>9</w:t>
      </w:r>
      <w:r w:rsidRPr="005E2B26">
        <w:rPr>
          <w:rFonts w:ascii="Times New Roman" w:eastAsia="Times New Roman" w:hAnsi="Times New Roman" w:cs="Times New Roman"/>
          <w:b/>
          <w:sz w:val="24"/>
          <w:szCs w:val="24"/>
        </w:rPr>
        <w:t xml:space="preserve"> subjekte Raporte Vetëmonitorimi</w:t>
      </w:r>
      <w:r w:rsidRPr="005E2B26">
        <w:rPr>
          <w:rFonts w:ascii="Times New Roman" w:eastAsia="Times New Roman" w:hAnsi="Times New Roman" w:cs="Times New Roman"/>
          <w:sz w:val="24"/>
          <w:szCs w:val="24"/>
        </w:rPr>
        <w:t xml:space="preserve"> ku më së shumti janë subjekte që operojnë në fushën e Industrisë Minerare dhe Industrisë Metalore. </w:t>
      </w:r>
    </w:p>
    <w:p w:rsidR="005E2B26" w:rsidRPr="005E2B26" w:rsidRDefault="005E2B26" w:rsidP="005E2B26">
      <w:pPr>
        <w:keepNext/>
        <w:keepLines/>
        <w:spacing w:before="200" w:after="0" w:line="276" w:lineRule="auto"/>
        <w:outlineLvl w:val="1"/>
        <w:rPr>
          <w:rFonts w:ascii="Times New Roman" w:eastAsia="Times New Roman" w:hAnsi="Times New Roman" w:cs="Times New Roman"/>
          <w:b/>
          <w:bCs/>
          <w:sz w:val="24"/>
          <w:szCs w:val="24"/>
        </w:rPr>
      </w:pPr>
      <w:r w:rsidRPr="005E2B26">
        <w:rPr>
          <w:rFonts w:ascii="Times New Roman" w:eastAsia="Times New Roman" w:hAnsi="Times New Roman" w:cs="Times New Roman"/>
          <w:b/>
          <w:bCs/>
          <w:sz w:val="24"/>
          <w:szCs w:val="24"/>
        </w:rPr>
        <w:t>Qarku Korçë</w:t>
      </w:r>
    </w:p>
    <w:p w:rsidR="005E2B26" w:rsidRPr="005E2B26" w:rsidRDefault="005E2B26" w:rsidP="005E2B26">
      <w:pPr>
        <w:spacing w:after="200" w:line="276" w:lineRule="auto"/>
        <w:jc w:val="both"/>
        <w:rPr>
          <w:rFonts w:ascii="Times New Roman" w:eastAsia="Times New Roman" w:hAnsi="Times New Roman" w:cs="Times New Roman"/>
          <w:sz w:val="24"/>
          <w:szCs w:val="24"/>
        </w:rPr>
      </w:pPr>
      <w:r w:rsidRPr="005E2B26">
        <w:rPr>
          <w:rFonts w:ascii="Times New Roman" w:eastAsia="Times New Roman" w:hAnsi="Times New Roman" w:cs="Times New Roman"/>
          <w:sz w:val="24"/>
          <w:szCs w:val="24"/>
        </w:rPr>
        <w:t xml:space="preserve">Për qarkun e Korçës kanë dorëzuar </w:t>
      </w:r>
      <w:r w:rsidRPr="00277086">
        <w:rPr>
          <w:rFonts w:ascii="Times New Roman" w:eastAsia="Times New Roman" w:hAnsi="Times New Roman" w:cs="Times New Roman"/>
          <w:b/>
          <w:sz w:val="24"/>
          <w:szCs w:val="24"/>
        </w:rPr>
        <w:t>165</w:t>
      </w:r>
      <w:r w:rsidRPr="005E2B26">
        <w:rPr>
          <w:rFonts w:ascii="Times New Roman" w:eastAsia="Times New Roman" w:hAnsi="Times New Roman" w:cs="Times New Roman"/>
          <w:b/>
          <w:sz w:val="24"/>
          <w:szCs w:val="24"/>
        </w:rPr>
        <w:t xml:space="preserve"> subjekte Raporte Vetëmonitorimi</w:t>
      </w:r>
      <w:r w:rsidRPr="005E2B26">
        <w:rPr>
          <w:rFonts w:ascii="Times New Roman" w:eastAsia="Times New Roman" w:hAnsi="Times New Roman" w:cs="Times New Roman"/>
          <w:sz w:val="24"/>
          <w:szCs w:val="24"/>
        </w:rPr>
        <w:t xml:space="preserve"> ku më së shumti janë subjekte që operojnë në fushën e Industrisë Minerare, Industrisë Hidrokarbure dhe Industrise Kimike. </w:t>
      </w:r>
    </w:p>
    <w:p w:rsidR="005E2B26" w:rsidRPr="005E2B26" w:rsidRDefault="005E2B26" w:rsidP="005E2B26">
      <w:pPr>
        <w:keepNext/>
        <w:keepLines/>
        <w:spacing w:before="200" w:after="0" w:line="276" w:lineRule="auto"/>
        <w:outlineLvl w:val="1"/>
        <w:rPr>
          <w:rFonts w:ascii="Times New Roman" w:eastAsia="Times New Roman" w:hAnsi="Times New Roman" w:cs="Times New Roman"/>
          <w:b/>
          <w:bCs/>
          <w:sz w:val="24"/>
          <w:szCs w:val="24"/>
        </w:rPr>
      </w:pPr>
      <w:r w:rsidRPr="005E2B26">
        <w:rPr>
          <w:rFonts w:ascii="Times New Roman" w:eastAsia="Times New Roman" w:hAnsi="Times New Roman" w:cs="Times New Roman"/>
          <w:b/>
          <w:bCs/>
          <w:sz w:val="24"/>
          <w:szCs w:val="24"/>
        </w:rPr>
        <w:t>Qarku Berat</w:t>
      </w:r>
    </w:p>
    <w:p w:rsidR="005E2B26" w:rsidRPr="005E2B26" w:rsidRDefault="005E2B26" w:rsidP="005E2B26">
      <w:pPr>
        <w:spacing w:after="200" w:line="276" w:lineRule="auto"/>
        <w:jc w:val="both"/>
        <w:rPr>
          <w:rFonts w:ascii="Times New Roman" w:eastAsia="Times New Roman" w:hAnsi="Times New Roman" w:cs="Times New Roman"/>
          <w:sz w:val="24"/>
          <w:szCs w:val="24"/>
        </w:rPr>
      </w:pPr>
      <w:r w:rsidRPr="005E2B26">
        <w:rPr>
          <w:rFonts w:ascii="Times New Roman" w:eastAsia="Times New Roman" w:hAnsi="Times New Roman" w:cs="Times New Roman"/>
          <w:sz w:val="24"/>
          <w:szCs w:val="24"/>
        </w:rPr>
        <w:t xml:space="preserve">Për qarkun e Beratit kanë dorëzuar </w:t>
      </w:r>
      <w:r w:rsidRPr="00277086">
        <w:rPr>
          <w:rFonts w:ascii="Times New Roman" w:eastAsia="Times New Roman" w:hAnsi="Times New Roman" w:cs="Times New Roman"/>
          <w:b/>
          <w:sz w:val="24"/>
          <w:szCs w:val="24"/>
        </w:rPr>
        <w:t>184</w:t>
      </w:r>
      <w:r w:rsidRPr="005E2B26">
        <w:rPr>
          <w:rFonts w:ascii="Times New Roman" w:eastAsia="Times New Roman" w:hAnsi="Times New Roman" w:cs="Times New Roman"/>
          <w:b/>
          <w:color w:val="FF0000"/>
          <w:sz w:val="24"/>
          <w:szCs w:val="24"/>
        </w:rPr>
        <w:t xml:space="preserve"> </w:t>
      </w:r>
      <w:r w:rsidRPr="005E2B26">
        <w:rPr>
          <w:rFonts w:ascii="Times New Roman" w:eastAsia="Times New Roman" w:hAnsi="Times New Roman" w:cs="Times New Roman"/>
          <w:b/>
          <w:sz w:val="24"/>
          <w:szCs w:val="24"/>
        </w:rPr>
        <w:t>subjekte Raporte Vetëmonitorimi</w:t>
      </w:r>
      <w:r w:rsidRPr="005E2B26">
        <w:rPr>
          <w:rFonts w:ascii="Times New Roman" w:eastAsia="Times New Roman" w:hAnsi="Times New Roman" w:cs="Times New Roman"/>
          <w:sz w:val="24"/>
          <w:szCs w:val="24"/>
        </w:rPr>
        <w:t xml:space="preserve"> ku më së shumti janë subjekte që operojnë në fushën e Industrisë Minerare dhe Industrise Hidrokarbure. </w:t>
      </w:r>
    </w:p>
    <w:p w:rsidR="005E2B26" w:rsidRPr="005E2B26" w:rsidRDefault="005E2B26" w:rsidP="005E2B26">
      <w:pPr>
        <w:keepNext/>
        <w:keepLines/>
        <w:spacing w:before="200" w:after="0" w:line="276" w:lineRule="auto"/>
        <w:outlineLvl w:val="1"/>
        <w:rPr>
          <w:rFonts w:ascii="Times New Roman" w:eastAsia="Times New Roman" w:hAnsi="Times New Roman" w:cs="Times New Roman"/>
          <w:b/>
          <w:bCs/>
          <w:sz w:val="24"/>
          <w:szCs w:val="24"/>
        </w:rPr>
      </w:pPr>
      <w:r w:rsidRPr="005E2B26">
        <w:rPr>
          <w:rFonts w:ascii="Times New Roman" w:eastAsia="Times New Roman" w:hAnsi="Times New Roman" w:cs="Times New Roman"/>
          <w:b/>
          <w:bCs/>
          <w:sz w:val="24"/>
          <w:szCs w:val="24"/>
        </w:rPr>
        <w:lastRenderedPageBreak/>
        <w:t>Qarku Gjirokastër</w:t>
      </w:r>
    </w:p>
    <w:p w:rsidR="005E2B26" w:rsidRPr="005E2B26" w:rsidRDefault="005E2B26" w:rsidP="005E2B26">
      <w:pPr>
        <w:spacing w:after="200" w:line="276" w:lineRule="auto"/>
        <w:jc w:val="both"/>
        <w:rPr>
          <w:rFonts w:ascii="Times New Roman" w:eastAsia="Times New Roman" w:hAnsi="Times New Roman" w:cs="Times New Roman"/>
          <w:sz w:val="24"/>
          <w:szCs w:val="24"/>
        </w:rPr>
      </w:pPr>
      <w:r w:rsidRPr="005E2B26">
        <w:rPr>
          <w:rFonts w:ascii="Times New Roman" w:eastAsia="Times New Roman" w:hAnsi="Times New Roman" w:cs="Times New Roman"/>
          <w:sz w:val="24"/>
          <w:szCs w:val="24"/>
        </w:rPr>
        <w:t xml:space="preserve">Për qarkun e Gjirokastrës kanë dorëzuar </w:t>
      </w:r>
      <w:r w:rsidRPr="00277086">
        <w:rPr>
          <w:rFonts w:ascii="Times New Roman" w:eastAsia="Times New Roman" w:hAnsi="Times New Roman" w:cs="Times New Roman"/>
          <w:b/>
          <w:sz w:val="24"/>
          <w:szCs w:val="24"/>
        </w:rPr>
        <w:t>81</w:t>
      </w:r>
      <w:r w:rsidRPr="005E2B26">
        <w:rPr>
          <w:rFonts w:ascii="Times New Roman" w:eastAsia="Times New Roman" w:hAnsi="Times New Roman" w:cs="Times New Roman"/>
          <w:b/>
          <w:sz w:val="24"/>
          <w:szCs w:val="24"/>
        </w:rPr>
        <w:t xml:space="preserve"> subjekte Raporte Vetëmonitorimi</w:t>
      </w:r>
      <w:r w:rsidRPr="005E2B26">
        <w:rPr>
          <w:rFonts w:ascii="Times New Roman" w:eastAsia="Times New Roman" w:hAnsi="Times New Roman" w:cs="Times New Roman"/>
          <w:sz w:val="24"/>
          <w:szCs w:val="24"/>
        </w:rPr>
        <w:t xml:space="preserve"> ku më së shumti janë subjekte që operojnë në fushën e Industrisë Minerare dhe Industria e Përpunimit të drurit.</w:t>
      </w:r>
    </w:p>
    <w:p w:rsidR="005E2B26" w:rsidRPr="005E2B26" w:rsidRDefault="005E2B26" w:rsidP="005E2B26">
      <w:pPr>
        <w:keepNext/>
        <w:keepLines/>
        <w:spacing w:before="200" w:after="0" w:line="276" w:lineRule="auto"/>
        <w:outlineLvl w:val="1"/>
        <w:rPr>
          <w:rFonts w:ascii="Times New Roman" w:eastAsia="Times New Roman" w:hAnsi="Times New Roman" w:cs="Times New Roman"/>
          <w:b/>
          <w:bCs/>
          <w:sz w:val="24"/>
          <w:szCs w:val="24"/>
        </w:rPr>
      </w:pPr>
      <w:r w:rsidRPr="005E2B26">
        <w:rPr>
          <w:rFonts w:ascii="Times New Roman" w:eastAsia="Times New Roman" w:hAnsi="Times New Roman" w:cs="Times New Roman"/>
          <w:b/>
          <w:bCs/>
          <w:sz w:val="24"/>
          <w:szCs w:val="24"/>
        </w:rPr>
        <w:t>Qarku Vlorë</w:t>
      </w:r>
    </w:p>
    <w:p w:rsidR="005E2B26" w:rsidRPr="005E2B26" w:rsidRDefault="005E2B26" w:rsidP="005E2B26">
      <w:pPr>
        <w:spacing w:after="200" w:line="276" w:lineRule="auto"/>
        <w:jc w:val="both"/>
        <w:rPr>
          <w:rFonts w:ascii="Times New Roman" w:eastAsia="Times New Roman" w:hAnsi="Times New Roman" w:cs="Times New Roman"/>
          <w:sz w:val="24"/>
          <w:szCs w:val="24"/>
        </w:rPr>
      </w:pPr>
      <w:r w:rsidRPr="005E2B26">
        <w:rPr>
          <w:rFonts w:ascii="Times New Roman" w:eastAsia="Times New Roman" w:hAnsi="Times New Roman" w:cs="Times New Roman"/>
          <w:sz w:val="24"/>
          <w:szCs w:val="24"/>
        </w:rPr>
        <w:t xml:space="preserve">Për qarkun e Vlorës kanë dorëzuar </w:t>
      </w:r>
      <w:r w:rsidRPr="00277086">
        <w:rPr>
          <w:rFonts w:ascii="Times New Roman" w:eastAsia="Times New Roman" w:hAnsi="Times New Roman" w:cs="Times New Roman"/>
          <w:b/>
          <w:sz w:val="24"/>
          <w:szCs w:val="24"/>
        </w:rPr>
        <w:t>226</w:t>
      </w:r>
      <w:r w:rsidRPr="005E2B26">
        <w:rPr>
          <w:rFonts w:ascii="Times New Roman" w:eastAsia="Times New Roman" w:hAnsi="Times New Roman" w:cs="Times New Roman"/>
          <w:b/>
          <w:sz w:val="24"/>
          <w:szCs w:val="24"/>
        </w:rPr>
        <w:t xml:space="preserve"> subjekte Raporte Vetëmonitorimi</w:t>
      </w:r>
      <w:r w:rsidRPr="005E2B26">
        <w:rPr>
          <w:rFonts w:ascii="Times New Roman" w:eastAsia="Times New Roman" w:hAnsi="Times New Roman" w:cs="Times New Roman"/>
          <w:sz w:val="24"/>
          <w:szCs w:val="24"/>
        </w:rPr>
        <w:t xml:space="preserve"> ku më së shumti janë subjekte që operojnë në fushën e Industrisë Hidrokarbure, Industrisë Minerare ,Industrisë Metalore dhe Industrisë së perpunimit të Peshkut. </w:t>
      </w:r>
    </w:p>
    <w:p w:rsidR="005E2B26" w:rsidRPr="005E2B26" w:rsidRDefault="005E2B26" w:rsidP="005E2B26">
      <w:pPr>
        <w:keepNext/>
        <w:keepLines/>
        <w:spacing w:before="200" w:after="0" w:line="276" w:lineRule="auto"/>
        <w:outlineLvl w:val="1"/>
        <w:rPr>
          <w:rFonts w:ascii="Times New Roman" w:eastAsia="Times New Roman" w:hAnsi="Times New Roman" w:cs="Times New Roman"/>
          <w:b/>
          <w:bCs/>
          <w:sz w:val="24"/>
          <w:szCs w:val="24"/>
        </w:rPr>
      </w:pPr>
      <w:r w:rsidRPr="005E2B26">
        <w:rPr>
          <w:rFonts w:ascii="Times New Roman" w:eastAsia="Times New Roman" w:hAnsi="Times New Roman" w:cs="Times New Roman"/>
          <w:b/>
          <w:bCs/>
          <w:sz w:val="24"/>
          <w:szCs w:val="24"/>
        </w:rPr>
        <w:t>Qarku Fier</w:t>
      </w:r>
    </w:p>
    <w:p w:rsidR="005E2B26" w:rsidRPr="005E2B26" w:rsidRDefault="005E2B26" w:rsidP="005E2B26">
      <w:pPr>
        <w:spacing w:after="200" w:line="276" w:lineRule="auto"/>
        <w:jc w:val="both"/>
        <w:rPr>
          <w:rFonts w:ascii="Times New Roman" w:eastAsia="Times New Roman" w:hAnsi="Times New Roman" w:cs="Times New Roman"/>
          <w:sz w:val="24"/>
          <w:szCs w:val="24"/>
        </w:rPr>
      </w:pPr>
      <w:r w:rsidRPr="005E2B26">
        <w:rPr>
          <w:rFonts w:ascii="Times New Roman" w:eastAsia="Times New Roman" w:hAnsi="Times New Roman" w:cs="Times New Roman"/>
          <w:sz w:val="24"/>
          <w:szCs w:val="24"/>
        </w:rPr>
        <w:t>Për qarkun e Fierit kanë dorëzuar</w:t>
      </w:r>
      <w:r w:rsidRPr="00277086">
        <w:rPr>
          <w:rFonts w:ascii="Times New Roman" w:eastAsia="Times New Roman" w:hAnsi="Times New Roman" w:cs="Times New Roman"/>
          <w:sz w:val="24"/>
          <w:szCs w:val="24"/>
        </w:rPr>
        <w:t xml:space="preserve"> </w:t>
      </w:r>
      <w:r w:rsidRPr="00277086">
        <w:rPr>
          <w:rFonts w:ascii="Times New Roman" w:eastAsia="Times New Roman" w:hAnsi="Times New Roman" w:cs="Times New Roman"/>
          <w:b/>
          <w:sz w:val="24"/>
          <w:szCs w:val="24"/>
        </w:rPr>
        <w:t xml:space="preserve">340 </w:t>
      </w:r>
      <w:r w:rsidRPr="005E2B26">
        <w:rPr>
          <w:rFonts w:ascii="Times New Roman" w:eastAsia="Times New Roman" w:hAnsi="Times New Roman" w:cs="Times New Roman"/>
          <w:b/>
          <w:sz w:val="24"/>
          <w:szCs w:val="24"/>
        </w:rPr>
        <w:t>subjekte Raporte Vetëmonitorimi</w:t>
      </w:r>
      <w:r w:rsidRPr="005E2B26">
        <w:rPr>
          <w:rFonts w:ascii="Times New Roman" w:eastAsia="Times New Roman" w:hAnsi="Times New Roman" w:cs="Times New Roman"/>
          <w:sz w:val="24"/>
          <w:szCs w:val="24"/>
        </w:rPr>
        <w:t xml:space="preserve"> ku më së shumti janë subjekte që operojnë në fushën e Industrisë Hidrokarbure, Industrisë Minerare, Industrisë Metalore dhe Industrisë së perpunimit të Peshkut. </w:t>
      </w:r>
    </w:p>
    <w:p w:rsidR="005E2B26" w:rsidRPr="005E2B26" w:rsidRDefault="005E2B26" w:rsidP="005E2B26">
      <w:pPr>
        <w:keepNext/>
        <w:keepLines/>
        <w:spacing w:before="200" w:after="0" w:line="276" w:lineRule="auto"/>
        <w:outlineLvl w:val="1"/>
        <w:rPr>
          <w:rFonts w:ascii="Times New Roman" w:eastAsia="Times New Roman" w:hAnsi="Times New Roman" w:cs="Times New Roman"/>
          <w:b/>
          <w:bCs/>
          <w:sz w:val="24"/>
          <w:szCs w:val="24"/>
        </w:rPr>
      </w:pPr>
      <w:r w:rsidRPr="005E2B26">
        <w:rPr>
          <w:rFonts w:ascii="Times New Roman" w:eastAsia="Times New Roman" w:hAnsi="Times New Roman" w:cs="Times New Roman"/>
          <w:b/>
          <w:bCs/>
          <w:sz w:val="24"/>
          <w:szCs w:val="24"/>
        </w:rPr>
        <w:t>Qarku Lezhë</w:t>
      </w:r>
    </w:p>
    <w:p w:rsidR="00296861" w:rsidRPr="005E2B26" w:rsidRDefault="005E2B26" w:rsidP="005E2B26">
      <w:pPr>
        <w:spacing w:after="200" w:line="276" w:lineRule="auto"/>
        <w:jc w:val="both"/>
        <w:rPr>
          <w:rFonts w:ascii="Times New Roman" w:eastAsia="Times New Roman" w:hAnsi="Times New Roman" w:cs="Times New Roman"/>
          <w:sz w:val="24"/>
          <w:szCs w:val="24"/>
        </w:rPr>
      </w:pPr>
      <w:r w:rsidRPr="005E2B26">
        <w:rPr>
          <w:rFonts w:ascii="Times New Roman" w:eastAsia="Times New Roman" w:hAnsi="Times New Roman" w:cs="Times New Roman"/>
          <w:sz w:val="24"/>
          <w:szCs w:val="24"/>
        </w:rPr>
        <w:t xml:space="preserve">Për qarkun e Lezhës kanë dorëzuar </w:t>
      </w:r>
      <w:r w:rsidRPr="00277086">
        <w:rPr>
          <w:rFonts w:ascii="Times New Roman" w:eastAsia="Times New Roman" w:hAnsi="Times New Roman" w:cs="Times New Roman"/>
          <w:b/>
          <w:sz w:val="24"/>
          <w:szCs w:val="24"/>
        </w:rPr>
        <w:t>152</w:t>
      </w:r>
      <w:r w:rsidRPr="005E2B26">
        <w:rPr>
          <w:rFonts w:ascii="Times New Roman" w:eastAsia="Times New Roman" w:hAnsi="Times New Roman" w:cs="Times New Roman"/>
          <w:b/>
          <w:sz w:val="24"/>
          <w:szCs w:val="24"/>
        </w:rPr>
        <w:t xml:space="preserve"> subjekte Raporte Vetëmonitorimi</w:t>
      </w:r>
      <w:r w:rsidRPr="005E2B26">
        <w:rPr>
          <w:rFonts w:ascii="Times New Roman" w:eastAsia="Times New Roman" w:hAnsi="Times New Roman" w:cs="Times New Roman"/>
          <w:sz w:val="24"/>
          <w:szCs w:val="24"/>
        </w:rPr>
        <w:t xml:space="preserve"> ku më së shumti janë subjekte që operojnë në fushën e Industrisë Metalore, Industrisë Minerare Industria e Menaxhimit të Mbetjeve, Industria Hidrokarbure dhe ajo e përpunimit të peshkut.</w:t>
      </w:r>
    </w:p>
    <w:p w:rsidR="005E2B26" w:rsidRDefault="005E2B26" w:rsidP="00807975">
      <w:pPr>
        <w:pStyle w:val="ListParagraph"/>
        <w:numPr>
          <w:ilvl w:val="0"/>
          <w:numId w:val="104"/>
        </w:numPr>
        <w:spacing w:after="0" w:line="276" w:lineRule="auto"/>
        <w:jc w:val="both"/>
        <w:rPr>
          <w:rFonts w:ascii="Times New Roman" w:eastAsia="Times New Roman" w:hAnsi="Times New Roman" w:cs="Times New Roman"/>
          <w:b/>
          <w:sz w:val="24"/>
          <w:szCs w:val="24"/>
        </w:rPr>
      </w:pPr>
      <w:r w:rsidRPr="00884270">
        <w:rPr>
          <w:rFonts w:ascii="Times New Roman" w:eastAsia="Times New Roman" w:hAnsi="Times New Roman" w:cs="Times New Roman"/>
          <w:b/>
          <w:sz w:val="24"/>
          <w:szCs w:val="24"/>
        </w:rPr>
        <w:t xml:space="preserve">Lejet </w:t>
      </w:r>
      <w:bookmarkStart w:id="46" w:name="_Hlk199490255"/>
      <w:r w:rsidRPr="00884270">
        <w:rPr>
          <w:rFonts w:ascii="Times New Roman" w:eastAsia="Times New Roman" w:hAnsi="Times New Roman" w:cs="Times New Roman"/>
          <w:b/>
          <w:sz w:val="24"/>
          <w:szCs w:val="24"/>
        </w:rPr>
        <w:t xml:space="preserve"> Mjedisore </w:t>
      </w:r>
    </w:p>
    <w:p w:rsidR="00884270" w:rsidRPr="00884270" w:rsidRDefault="00884270" w:rsidP="00884270">
      <w:pPr>
        <w:pStyle w:val="ListParagraph"/>
        <w:spacing w:after="0" w:line="276" w:lineRule="auto"/>
        <w:jc w:val="both"/>
        <w:rPr>
          <w:rFonts w:ascii="Times New Roman" w:eastAsia="Times New Roman" w:hAnsi="Times New Roman" w:cs="Times New Roman"/>
          <w:b/>
          <w:sz w:val="24"/>
          <w:szCs w:val="24"/>
        </w:rPr>
      </w:pPr>
    </w:p>
    <w:p w:rsidR="005E2B26" w:rsidRDefault="005D3C1F" w:rsidP="005E2B26">
      <w:p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Gjate vitit 2025</w:t>
      </w:r>
      <w:r w:rsidR="005E2B26" w:rsidRPr="005E2B26">
        <w:rPr>
          <w:rFonts w:ascii="Times New Roman" w:eastAsia="Times New Roman" w:hAnsi="Times New Roman" w:cs="Times New Roman"/>
          <w:bCs/>
          <w:sz w:val="24"/>
          <w:szCs w:val="24"/>
        </w:rPr>
        <w:t xml:space="preserve"> janë shqyrtuar në tota</w:t>
      </w:r>
      <w:r>
        <w:rPr>
          <w:rFonts w:ascii="Times New Roman" w:eastAsia="Times New Roman" w:hAnsi="Times New Roman" w:cs="Times New Roman"/>
          <w:bCs/>
          <w:sz w:val="24"/>
          <w:szCs w:val="24"/>
        </w:rPr>
        <w:t>l 794</w:t>
      </w:r>
      <w:r w:rsidR="005E2B26" w:rsidRPr="005E2B26">
        <w:rPr>
          <w:rFonts w:ascii="Times New Roman" w:eastAsia="Times New Roman" w:hAnsi="Times New Roman" w:cs="Times New Roman"/>
          <w:bCs/>
          <w:sz w:val="24"/>
          <w:szCs w:val="24"/>
        </w:rPr>
        <w:t xml:space="preserve"> aplikime nga të cilat kanë qenë aplikime për leje mjedisi tipi A </w:t>
      </w:r>
      <w:r>
        <w:rPr>
          <w:rFonts w:ascii="Times New Roman" w:eastAsia="Times New Roman" w:hAnsi="Times New Roman" w:cs="Times New Roman"/>
          <w:bCs/>
          <w:sz w:val="24"/>
          <w:szCs w:val="24"/>
        </w:rPr>
        <w:t xml:space="preserve">, </w:t>
      </w:r>
      <w:r w:rsidR="005E2B26" w:rsidRPr="005E2B26">
        <w:rPr>
          <w:rFonts w:ascii="Times New Roman" w:eastAsia="Times New Roman" w:hAnsi="Times New Roman" w:cs="Times New Roman"/>
          <w:bCs/>
          <w:sz w:val="24"/>
          <w:szCs w:val="24"/>
        </w:rPr>
        <w:t>leje mjedisi tipi B</w:t>
      </w:r>
      <w:r>
        <w:rPr>
          <w:rFonts w:ascii="Times New Roman" w:eastAsia="Times New Roman" w:hAnsi="Times New Roman" w:cs="Times New Roman"/>
          <w:bCs/>
          <w:sz w:val="24"/>
          <w:szCs w:val="24"/>
        </w:rPr>
        <w:t xml:space="preserve">, </w:t>
      </w:r>
      <w:r w:rsidR="005E2B26" w:rsidRPr="005E2B2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si dhe aplikime për liçencë të nënkategorisë</w:t>
      </w:r>
      <w:r w:rsidR="005E2B26" w:rsidRPr="005E2B26">
        <w:rPr>
          <w:rFonts w:ascii="Times New Roman" w:eastAsia="Times New Roman" w:hAnsi="Times New Roman" w:cs="Times New Roman"/>
          <w:bCs/>
          <w:sz w:val="24"/>
          <w:szCs w:val="24"/>
        </w:rPr>
        <w:t xml:space="preserve"> III.2.B</w:t>
      </w:r>
      <w:bookmarkEnd w:id="46"/>
      <w:r>
        <w:rPr>
          <w:rFonts w:ascii="Times New Roman" w:eastAsia="Times New Roman" w:hAnsi="Times New Roman" w:cs="Times New Roman"/>
          <w:bCs/>
          <w:sz w:val="24"/>
          <w:szCs w:val="24"/>
        </w:rPr>
        <w:t>.</w:t>
      </w:r>
    </w:p>
    <w:p w:rsidR="005D3C1F" w:rsidRDefault="005D3C1F" w:rsidP="005E2B26">
      <w:pPr>
        <w:spacing w:after="0" w:line="276" w:lineRule="auto"/>
        <w:jc w:val="both"/>
        <w:rPr>
          <w:rFonts w:ascii="Times New Roman" w:eastAsia="Times New Roman" w:hAnsi="Times New Roman" w:cs="Times New Roman"/>
          <w:bCs/>
          <w:sz w:val="24"/>
          <w:szCs w:val="24"/>
        </w:rPr>
      </w:pPr>
    </w:p>
    <w:p w:rsidR="00884270" w:rsidRDefault="0058136F" w:rsidP="005E2B26">
      <w:pPr>
        <w:spacing w:after="0" w:line="276" w:lineRule="auto"/>
        <w:jc w:val="both"/>
        <w:rPr>
          <w:rFonts w:ascii="Times New Roman" w:eastAsia="Times New Roman" w:hAnsi="Times New Roman" w:cs="Times New Roman"/>
          <w:bCs/>
          <w:sz w:val="24"/>
          <w:szCs w:val="24"/>
        </w:rPr>
      </w:pPr>
      <w:r>
        <w:rPr>
          <w:noProof/>
        </w:rPr>
        <w:drawing>
          <wp:inline distT="0" distB="0" distL="0" distR="0" wp14:anchorId="4D1E260B" wp14:editId="18A658B4">
            <wp:extent cx="5133975" cy="2381250"/>
            <wp:effectExtent l="0" t="0" r="9525" b="19050"/>
            <wp:docPr id="341" name="Chart 3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7"/>
              </a:graphicData>
            </a:graphic>
          </wp:inline>
        </w:drawing>
      </w:r>
    </w:p>
    <w:p w:rsidR="0058136F" w:rsidRDefault="00C05772" w:rsidP="005E2B26">
      <w:p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Lejet mjedisore për vitin 2025</w:t>
      </w:r>
    </w:p>
    <w:p w:rsidR="0058136F" w:rsidRDefault="0058136F" w:rsidP="005E2B26">
      <w:pPr>
        <w:spacing w:after="0" w:line="276" w:lineRule="auto"/>
        <w:jc w:val="both"/>
        <w:rPr>
          <w:rFonts w:ascii="Times New Roman" w:eastAsia="Times New Roman" w:hAnsi="Times New Roman" w:cs="Times New Roman"/>
          <w:bCs/>
          <w:sz w:val="24"/>
          <w:szCs w:val="24"/>
        </w:rPr>
      </w:pPr>
    </w:p>
    <w:p w:rsidR="0058136F" w:rsidRDefault="0058136F" w:rsidP="005E2B26">
      <w:pPr>
        <w:spacing w:after="0" w:line="276" w:lineRule="auto"/>
        <w:jc w:val="both"/>
        <w:rPr>
          <w:rFonts w:ascii="Times New Roman" w:eastAsia="Times New Roman" w:hAnsi="Times New Roman" w:cs="Times New Roman"/>
          <w:bCs/>
          <w:sz w:val="24"/>
          <w:szCs w:val="24"/>
        </w:rPr>
      </w:pPr>
    </w:p>
    <w:p w:rsidR="00277086" w:rsidRDefault="00277086" w:rsidP="005E2B26">
      <w:pPr>
        <w:spacing w:after="0" w:line="276" w:lineRule="auto"/>
        <w:jc w:val="both"/>
        <w:rPr>
          <w:rFonts w:ascii="Times New Roman" w:eastAsia="Times New Roman" w:hAnsi="Times New Roman" w:cs="Times New Roman"/>
          <w:bCs/>
          <w:sz w:val="24"/>
          <w:szCs w:val="24"/>
        </w:rPr>
      </w:pPr>
    </w:p>
    <w:p w:rsidR="00277086" w:rsidRDefault="00277086" w:rsidP="005E2B26">
      <w:pPr>
        <w:spacing w:after="0" w:line="276" w:lineRule="auto"/>
        <w:jc w:val="both"/>
        <w:rPr>
          <w:rFonts w:ascii="Times New Roman" w:eastAsia="Times New Roman" w:hAnsi="Times New Roman" w:cs="Times New Roman"/>
          <w:bCs/>
          <w:sz w:val="24"/>
          <w:szCs w:val="24"/>
        </w:rPr>
      </w:pPr>
    </w:p>
    <w:p w:rsidR="0058136F" w:rsidRDefault="00C05772" w:rsidP="00277086">
      <w:pPr>
        <w:spacing w:after="0" w:line="276"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Tabela </w:t>
      </w:r>
      <w:r w:rsidR="00681B50">
        <w:rPr>
          <w:rFonts w:ascii="Times New Roman" w:eastAsia="Times New Roman" w:hAnsi="Times New Roman" w:cs="Times New Roman"/>
          <w:bCs/>
          <w:sz w:val="24"/>
          <w:szCs w:val="24"/>
        </w:rPr>
        <w:t>63</w:t>
      </w:r>
      <w:r w:rsidR="00884270">
        <w:rPr>
          <w:rFonts w:ascii="Times New Roman" w:eastAsia="Times New Roman" w:hAnsi="Times New Roman" w:cs="Times New Roman"/>
          <w:bCs/>
          <w:sz w:val="24"/>
          <w:szCs w:val="24"/>
        </w:rPr>
        <w:t xml:space="preserve">. </w:t>
      </w:r>
      <w:r w:rsidR="00357BAD">
        <w:rPr>
          <w:rFonts w:ascii="Times New Roman" w:eastAsia="Times New Roman" w:hAnsi="Times New Roman" w:cs="Times New Roman"/>
          <w:bCs/>
          <w:sz w:val="24"/>
          <w:szCs w:val="24"/>
        </w:rPr>
        <w:t>Tendenca e aplikimeve për l</w:t>
      </w:r>
      <w:r w:rsidR="0058136F">
        <w:rPr>
          <w:rFonts w:ascii="Times New Roman" w:eastAsia="Times New Roman" w:hAnsi="Times New Roman" w:cs="Times New Roman"/>
          <w:bCs/>
          <w:sz w:val="24"/>
          <w:szCs w:val="24"/>
        </w:rPr>
        <w:t>ejet mjedisore</w:t>
      </w:r>
    </w:p>
    <w:p w:rsidR="00357BAD" w:rsidRDefault="00357BAD" w:rsidP="00277086">
      <w:pPr>
        <w:spacing w:after="0" w:line="276" w:lineRule="auto"/>
        <w:jc w:val="center"/>
        <w:rPr>
          <w:rFonts w:ascii="Times New Roman" w:eastAsia="Times New Roman" w:hAnsi="Times New Roman" w:cs="Times New Roman"/>
          <w:bCs/>
          <w:sz w:val="24"/>
          <w:szCs w:val="24"/>
        </w:rPr>
      </w:pPr>
    </w:p>
    <w:tbl>
      <w:tblPr>
        <w:tblStyle w:val="TableGrid9"/>
        <w:tblW w:w="8298" w:type="dxa"/>
        <w:tblLook w:val="04A0" w:firstRow="1" w:lastRow="0" w:firstColumn="1" w:lastColumn="0" w:noHBand="0" w:noVBand="1"/>
      </w:tblPr>
      <w:tblGrid>
        <w:gridCol w:w="3888"/>
        <w:gridCol w:w="2070"/>
        <w:gridCol w:w="2340"/>
      </w:tblGrid>
      <w:tr w:rsidR="00357BAD" w:rsidRPr="008E73A1" w:rsidTr="00357BAD">
        <w:trPr>
          <w:trHeight w:val="20"/>
        </w:trPr>
        <w:tc>
          <w:tcPr>
            <w:tcW w:w="3888" w:type="dxa"/>
          </w:tcPr>
          <w:p w:rsidR="00357BAD" w:rsidRDefault="00357BAD" w:rsidP="00CA0BC8">
            <w:pPr>
              <w:tabs>
                <w:tab w:val="left" w:pos="630"/>
              </w:tabs>
              <w:spacing w:after="120" w:line="288" w:lineRule="auto"/>
              <w:jc w:val="both"/>
              <w:rPr>
                <w:rFonts w:ascii="Times New Roman" w:hAnsi="Times New Roman" w:cs="Times New Roman"/>
                <w:sz w:val="24"/>
                <w:szCs w:val="24"/>
              </w:rPr>
            </w:pPr>
          </w:p>
        </w:tc>
        <w:tc>
          <w:tcPr>
            <w:tcW w:w="2070" w:type="dxa"/>
          </w:tcPr>
          <w:p w:rsidR="00357BAD" w:rsidRDefault="00357BAD" w:rsidP="00CA0BC8">
            <w:pPr>
              <w:tabs>
                <w:tab w:val="left" w:pos="630"/>
              </w:tabs>
              <w:spacing w:after="120" w:line="288" w:lineRule="auto"/>
              <w:jc w:val="both"/>
              <w:rPr>
                <w:rFonts w:ascii="Times New Roman" w:hAnsi="Times New Roman" w:cs="Times New Roman"/>
                <w:sz w:val="24"/>
                <w:szCs w:val="24"/>
              </w:rPr>
            </w:pPr>
            <w:r>
              <w:rPr>
                <w:rFonts w:ascii="Times New Roman" w:hAnsi="Times New Roman" w:cs="Times New Roman"/>
                <w:sz w:val="24"/>
                <w:szCs w:val="24"/>
              </w:rPr>
              <w:t>Viti 2024</w:t>
            </w:r>
          </w:p>
        </w:tc>
        <w:tc>
          <w:tcPr>
            <w:tcW w:w="2340" w:type="dxa"/>
          </w:tcPr>
          <w:p w:rsidR="00357BAD" w:rsidRPr="008E73A1" w:rsidRDefault="00357BAD" w:rsidP="00CA0BC8">
            <w:pPr>
              <w:tabs>
                <w:tab w:val="left" w:pos="630"/>
              </w:tabs>
              <w:spacing w:after="120" w:line="288" w:lineRule="auto"/>
              <w:jc w:val="both"/>
              <w:rPr>
                <w:rFonts w:ascii="Times New Roman" w:hAnsi="Times New Roman" w:cs="Times New Roman"/>
                <w:sz w:val="24"/>
                <w:szCs w:val="24"/>
              </w:rPr>
            </w:pPr>
            <w:r>
              <w:rPr>
                <w:rFonts w:ascii="Times New Roman" w:hAnsi="Times New Roman" w:cs="Times New Roman"/>
                <w:sz w:val="24"/>
                <w:szCs w:val="24"/>
              </w:rPr>
              <w:t>Viti 2025</w:t>
            </w:r>
          </w:p>
        </w:tc>
      </w:tr>
      <w:tr w:rsidR="00357BAD" w:rsidRPr="008E73A1" w:rsidTr="00357BAD">
        <w:trPr>
          <w:trHeight w:val="20"/>
        </w:trPr>
        <w:tc>
          <w:tcPr>
            <w:tcW w:w="3888" w:type="dxa"/>
          </w:tcPr>
          <w:p w:rsidR="00357BAD" w:rsidRPr="008E73A1" w:rsidRDefault="00357BAD" w:rsidP="00CA0BC8">
            <w:pPr>
              <w:tabs>
                <w:tab w:val="left" w:pos="630"/>
              </w:tabs>
              <w:spacing w:after="120" w:line="288" w:lineRule="auto"/>
              <w:jc w:val="both"/>
              <w:rPr>
                <w:rFonts w:ascii="Times New Roman" w:hAnsi="Times New Roman" w:cs="Times New Roman"/>
                <w:sz w:val="24"/>
                <w:szCs w:val="24"/>
              </w:rPr>
            </w:pPr>
            <w:r>
              <w:rPr>
                <w:rFonts w:ascii="Times New Roman" w:hAnsi="Times New Roman" w:cs="Times New Roman"/>
                <w:sz w:val="24"/>
                <w:szCs w:val="24"/>
              </w:rPr>
              <w:t>Lejet mjedisore</w:t>
            </w:r>
          </w:p>
        </w:tc>
        <w:tc>
          <w:tcPr>
            <w:tcW w:w="2070" w:type="dxa"/>
          </w:tcPr>
          <w:p w:rsidR="00357BAD" w:rsidRPr="008E73A1" w:rsidRDefault="00357BAD" w:rsidP="00CA0BC8">
            <w:pPr>
              <w:tabs>
                <w:tab w:val="left" w:pos="630"/>
              </w:tabs>
              <w:spacing w:after="120" w:line="288" w:lineRule="auto"/>
              <w:jc w:val="both"/>
              <w:rPr>
                <w:rFonts w:ascii="Times New Roman" w:hAnsi="Times New Roman" w:cs="Times New Roman"/>
                <w:sz w:val="24"/>
                <w:szCs w:val="24"/>
              </w:rPr>
            </w:pPr>
            <w:r>
              <w:rPr>
                <w:rFonts w:ascii="Times New Roman" w:hAnsi="Times New Roman" w:cs="Times New Roman"/>
                <w:sz w:val="24"/>
                <w:szCs w:val="24"/>
              </w:rPr>
              <w:t>Numri i subjekteve</w:t>
            </w:r>
          </w:p>
        </w:tc>
        <w:tc>
          <w:tcPr>
            <w:tcW w:w="2340" w:type="dxa"/>
          </w:tcPr>
          <w:p w:rsidR="00357BAD" w:rsidRPr="008E73A1" w:rsidRDefault="00357BAD" w:rsidP="00357BAD">
            <w:pPr>
              <w:tabs>
                <w:tab w:val="left" w:pos="630"/>
              </w:tabs>
              <w:spacing w:after="120" w:line="288" w:lineRule="auto"/>
              <w:jc w:val="both"/>
              <w:rPr>
                <w:rFonts w:ascii="Times New Roman" w:hAnsi="Times New Roman" w:cs="Times New Roman"/>
                <w:sz w:val="24"/>
                <w:szCs w:val="24"/>
              </w:rPr>
            </w:pPr>
            <w:r>
              <w:rPr>
                <w:rFonts w:ascii="Times New Roman" w:hAnsi="Times New Roman" w:cs="Times New Roman"/>
                <w:sz w:val="24"/>
                <w:szCs w:val="24"/>
              </w:rPr>
              <w:t>Numri i subjekteve</w:t>
            </w:r>
          </w:p>
        </w:tc>
      </w:tr>
      <w:tr w:rsidR="00357BAD" w:rsidRPr="008E73A1" w:rsidTr="00357BAD">
        <w:trPr>
          <w:trHeight w:val="20"/>
        </w:trPr>
        <w:tc>
          <w:tcPr>
            <w:tcW w:w="3888" w:type="dxa"/>
          </w:tcPr>
          <w:p w:rsidR="00357BAD" w:rsidRPr="008E73A1" w:rsidRDefault="00357BAD" w:rsidP="00357BAD">
            <w:pPr>
              <w:tabs>
                <w:tab w:val="left" w:pos="630"/>
              </w:tabs>
              <w:jc w:val="both"/>
              <w:rPr>
                <w:rFonts w:ascii="Times New Roman" w:hAnsi="Times New Roman" w:cs="Times New Roman"/>
                <w:sz w:val="24"/>
                <w:szCs w:val="24"/>
              </w:rPr>
            </w:pPr>
            <w:r w:rsidRPr="008E73A1">
              <w:rPr>
                <w:rFonts w:ascii="Times New Roman" w:hAnsi="Times New Roman" w:cs="Times New Roman"/>
                <w:sz w:val="24"/>
                <w:szCs w:val="24"/>
              </w:rPr>
              <w:t>Shqyrtime për Leje Mjedisi Tipi A, B dhe licenca III.2.B</w:t>
            </w:r>
          </w:p>
        </w:tc>
        <w:tc>
          <w:tcPr>
            <w:tcW w:w="2070" w:type="dxa"/>
          </w:tcPr>
          <w:p w:rsidR="00357BAD" w:rsidRPr="008E73A1" w:rsidRDefault="00357BAD" w:rsidP="00357BAD">
            <w:pPr>
              <w:tabs>
                <w:tab w:val="left" w:pos="630"/>
              </w:tabs>
              <w:jc w:val="center"/>
              <w:rPr>
                <w:rFonts w:ascii="Times New Roman" w:hAnsi="Times New Roman" w:cs="Times New Roman"/>
                <w:sz w:val="24"/>
                <w:szCs w:val="24"/>
              </w:rPr>
            </w:pPr>
            <w:r>
              <w:rPr>
                <w:rFonts w:ascii="Times New Roman" w:hAnsi="Times New Roman" w:cs="Times New Roman"/>
                <w:sz w:val="24"/>
                <w:szCs w:val="24"/>
              </w:rPr>
              <w:t>729</w:t>
            </w:r>
          </w:p>
        </w:tc>
        <w:tc>
          <w:tcPr>
            <w:tcW w:w="2340" w:type="dxa"/>
          </w:tcPr>
          <w:p w:rsidR="00357BAD" w:rsidRPr="008E73A1" w:rsidRDefault="00357BAD" w:rsidP="00357BAD">
            <w:pPr>
              <w:tabs>
                <w:tab w:val="left" w:pos="630"/>
              </w:tabs>
              <w:jc w:val="center"/>
              <w:rPr>
                <w:rFonts w:ascii="Times New Roman" w:hAnsi="Times New Roman" w:cs="Times New Roman"/>
                <w:sz w:val="24"/>
                <w:szCs w:val="24"/>
              </w:rPr>
            </w:pPr>
            <w:r w:rsidRPr="008E73A1">
              <w:rPr>
                <w:rFonts w:ascii="Times New Roman" w:hAnsi="Times New Roman" w:cs="Times New Roman"/>
                <w:sz w:val="24"/>
                <w:szCs w:val="24"/>
              </w:rPr>
              <w:t>794</w:t>
            </w:r>
          </w:p>
        </w:tc>
      </w:tr>
      <w:tr w:rsidR="00357BAD" w:rsidRPr="008E73A1" w:rsidTr="00357BAD">
        <w:trPr>
          <w:trHeight w:val="20"/>
        </w:trPr>
        <w:tc>
          <w:tcPr>
            <w:tcW w:w="3888" w:type="dxa"/>
          </w:tcPr>
          <w:p w:rsidR="00357BAD" w:rsidRPr="008E73A1" w:rsidRDefault="00C05772" w:rsidP="00357BAD">
            <w:pPr>
              <w:tabs>
                <w:tab w:val="left" w:pos="630"/>
              </w:tabs>
              <w:jc w:val="both"/>
              <w:rPr>
                <w:rFonts w:ascii="Times New Roman" w:hAnsi="Times New Roman" w:cs="Times New Roman"/>
                <w:sz w:val="24"/>
                <w:szCs w:val="24"/>
              </w:rPr>
            </w:pPr>
            <w:r>
              <w:rPr>
                <w:rFonts w:ascii="Times New Roman" w:hAnsi="Times New Roman" w:cs="Times New Roman"/>
                <w:sz w:val="24"/>
                <w:szCs w:val="24"/>
              </w:rPr>
              <w:t>M</w:t>
            </w:r>
            <w:r w:rsidR="00357BAD" w:rsidRPr="008E73A1">
              <w:rPr>
                <w:rFonts w:ascii="Times New Roman" w:hAnsi="Times New Roman" w:cs="Times New Roman"/>
                <w:sz w:val="24"/>
                <w:szCs w:val="24"/>
              </w:rPr>
              <w:t>iratim Leje Mjedisi Tipi A</w:t>
            </w:r>
          </w:p>
        </w:tc>
        <w:tc>
          <w:tcPr>
            <w:tcW w:w="2070" w:type="dxa"/>
          </w:tcPr>
          <w:p w:rsidR="00357BAD" w:rsidRPr="008E73A1" w:rsidRDefault="00357BAD" w:rsidP="00357BAD">
            <w:pPr>
              <w:tabs>
                <w:tab w:val="left" w:pos="630"/>
              </w:tabs>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357BAD" w:rsidRPr="008E73A1" w:rsidRDefault="00357BAD" w:rsidP="00357BAD">
            <w:pPr>
              <w:tabs>
                <w:tab w:val="left" w:pos="630"/>
              </w:tabs>
              <w:jc w:val="center"/>
              <w:rPr>
                <w:rFonts w:ascii="Times New Roman" w:hAnsi="Times New Roman" w:cs="Times New Roman"/>
                <w:sz w:val="24"/>
                <w:szCs w:val="24"/>
              </w:rPr>
            </w:pPr>
            <w:r w:rsidRPr="008E73A1">
              <w:rPr>
                <w:rFonts w:ascii="Times New Roman" w:hAnsi="Times New Roman" w:cs="Times New Roman"/>
                <w:sz w:val="24"/>
                <w:szCs w:val="24"/>
              </w:rPr>
              <w:t>12</w:t>
            </w:r>
          </w:p>
        </w:tc>
      </w:tr>
      <w:tr w:rsidR="00357BAD" w:rsidRPr="008E73A1" w:rsidTr="00357BAD">
        <w:trPr>
          <w:trHeight w:val="20"/>
        </w:trPr>
        <w:tc>
          <w:tcPr>
            <w:tcW w:w="3888" w:type="dxa"/>
          </w:tcPr>
          <w:p w:rsidR="00357BAD" w:rsidRPr="008E73A1" w:rsidRDefault="00C05772" w:rsidP="00357BAD">
            <w:pPr>
              <w:tabs>
                <w:tab w:val="left" w:pos="630"/>
              </w:tabs>
              <w:jc w:val="both"/>
              <w:rPr>
                <w:rFonts w:ascii="Times New Roman" w:hAnsi="Times New Roman" w:cs="Times New Roman"/>
                <w:sz w:val="24"/>
                <w:szCs w:val="24"/>
              </w:rPr>
            </w:pPr>
            <w:r>
              <w:rPr>
                <w:rFonts w:ascii="Times New Roman" w:hAnsi="Times New Roman" w:cs="Times New Roman"/>
                <w:sz w:val="24"/>
                <w:szCs w:val="24"/>
              </w:rPr>
              <w:t>R</w:t>
            </w:r>
            <w:r w:rsidR="00357BAD" w:rsidRPr="008E73A1">
              <w:rPr>
                <w:rFonts w:ascii="Times New Roman" w:hAnsi="Times New Roman" w:cs="Times New Roman"/>
                <w:sz w:val="24"/>
                <w:szCs w:val="24"/>
              </w:rPr>
              <w:t>efuzim Leje Mjedisi Tipi A</w:t>
            </w:r>
          </w:p>
        </w:tc>
        <w:tc>
          <w:tcPr>
            <w:tcW w:w="2070" w:type="dxa"/>
          </w:tcPr>
          <w:p w:rsidR="00357BAD" w:rsidRPr="008E73A1" w:rsidRDefault="00357BAD" w:rsidP="00357BAD">
            <w:pPr>
              <w:tabs>
                <w:tab w:val="left" w:pos="630"/>
              </w:tabs>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tcPr>
          <w:p w:rsidR="00357BAD" w:rsidRPr="008E73A1" w:rsidRDefault="00357BAD" w:rsidP="00357BAD">
            <w:pPr>
              <w:tabs>
                <w:tab w:val="left" w:pos="630"/>
              </w:tabs>
              <w:jc w:val="center"/>
              <w:rPr>
                <w:rFonts w:ascii="Times New Roman" w:hAnsi="Times New Roman" w:cs="Times New Roman"/>
                <w:sz w:val="24"/>
                <w:szCs w:val="24"/>
              </w:rPr>
            </w:pPr>
            <w:r w:rsidRPr="008E73A1">
              <w:rPr>
                <w:rFonts w:ascii="Times New Roman" w:hAnsi="Times New Roman" w:cs="Times New Roman"/>
                <w:sz w:val="24"/>
                <w:szCs w:val="24"/>
              </w:rPr>
              <w:t>10</w:t>
            </w:r>
          </w:p>
        </w:tc>
      </w:tr>
      <w:tr w:rsidR="00357BAD" w:rsidRPr="008E73A1" w:rsidTr="00357BAD">
        <w:trPr>
          <w:trHeight w:val="20"/>
        </w:trPr>
        <w:tc>
          <w:tcPr>
            <w:tcW w:w="3888" w:type="dxa"/>
          </w:tcPr>
          <w:p w:rsidR="00357BAD" w:rsidRPr="008E73A1" w:rsidRDefault="00C05772" w:rsidP="00357BAD">
            <w:pPr>
              <w:tabs>
                <w:tab w:val="left" w:pos="630"/>
              </w:tabs>
              <w:jc w:val="both"/>
              <w:rPr>
                <w:rFonts w:ascii="Times New Roman" w:hAnsi="Times New Roman" w:cs="Times New Roman"/>
                <w:sz w:val="24"/>
                <w:szCs w:val="24"/>
              </w:rPr>
            </w:pPr>
            <w:r>
              <w:rPr>
                <w:rFonts w:ascii="Times New Roman" w:hAnsi="Times New Roman" w:cs="Times New Roman"/>
                <w:sz w:val="24"/>
                <w:szCs w:val="24"/>
              </w:rPr>
              <w:t>M</w:t>
            </w:r>
            <w:r w:rsidR="00357BAD" w:rsidRPr="008E73A1">
              <w:rPr>
                <w:rFonts w:ascii="Times New Roman" w:hAnsi="Times New Roman" w:cs="Times New Roman"/>
                <w:sz w:val="24"/>
                <w:szCs w:val="24"/>
              </w:rPr>
              <w:t>iratim Leje Mjedisi Tipi B</w:t>
            </w:r>
          </w:p>
        </w:tc>
        <w:tc>
          <w:tcPr>
            <w:tcW w:w="2070" w:type="dxa"/>
          </w:tcPr>
          <w:p w:rsidR="00357BAD" w:rsidRPr="008E73A1" w:rsidRDefault="00357BAD" w:rsidP="00357BAD">
            <w:pPr>
              <w:tabs>
                <w:tab w:val="left" w:pos="630"/>
              </w:tabs>
              <w:jc w:val="center"/>
              <w:rPr>
                <w:rFonts w:ascii="Times New Roman" w:hAnsi="Times New Roman" w:cs="Times New Roman"/>
                <w:sz w:val="24"/>
                <w:szCs w:val="24"/>
              </w:rPr>
            </w:pPr>
            <w:r>
              <w:rPr>
                <w:rFonts w:ascii="Times New Roman" w:hAnsi="Times New Roman" w:cs="Times New Roman"/>
                <w:sz w:val="24"/>
                <w:szCs w:val="24"/>
              </w:rPr>
              <w:t>211</w:t>
            </w:r>
          </w:p>
        </w:tc>
        <w:tc>
          <w:tcPr>
            <w:tcW w:w="2340" w:type="dxa"/>
          </w:tcPr>
          <w:p w:rsidR="00357BAD" w:rsidRPr="008E73A1" w:rsidRDefault="00357BAD" w:rsidP="00357BAD">
            <w:pPr>
              <w:tabs>
                <w:tab w:val="left" w:pos="630"/>
              </w:tabs>
              <w:jc w:val="center"/>
              <w:rPr>
                <w:rFonts w:ascii="Times New Roman" w:hAnsi="Times New Roman" w:cs="Times New Roman"/>
                <w:sz w:val="24"/>
                <w:szCs w:val="24"/>
              </w:rPr>
            </w:pPr>
            <w:r w:rsidRPr="008E73A1">
              <w:rPr>
                <w:rFonts w:ascii="Times New Roman" w:hAnsi="Times New Roman" w:cs="Times New Roman"/>
                <w:sz w:val="24"/>
                <w:szCs w:val="24"/>
              </w:rPr>
              <w:t>284</w:t>
            </w:r>
          </w:p>
        </w:tc>
      </w:tr>
      <w:tr w:rsidR="00357BAD" w:rsidRPr="008E73A1" w:rsidTr="00357BAD">
        <w:trPr>
          <w:trHeight w:val="20"/>
        </w:trPr>
        <w:tc>
          <w:tcPr>
            <w:tcW w:w="3888" w:type="dxa"/>
          </w:tcPr>
          <w:p w:rsidR="00357BAD" w:rsidRPr="008E73A1" w:rsidRDefault="00C05772" w:rsidP="00357BAD">
            <w:pPr>
              <w:tabs>
                <w:tab w:val="left" w:pos="630"/>
              </w:tabs>
              <w:jc w:val="both"/>
              <w:rPr>
                <w:rFonts w:ascii="Times New Roman" w:hAnsi="Times New Roman" w:cs="Times New Roman"/>
                <w:sz w:val="24"/>
                <w:szCs w:val="24"/>
              </w:rPr>
            </w:pPr>
            <w:r>
              <w:rPr>
                <w:rFonts w:ascii="Times New Roman" w:hAnsi="Times New Roman" w:cs="Times New Roman"/>
                <w:sz w:val="24"/>
                <w:szCs w:val="24"/>
              </w:rPr>
              <w:t>R</w:t>
            </w:r>
            <w:r w:rsidR="00357BAD" w:rsidRPr="008E73A1">
              <w:rPr>
                <w:rFonts w:ascii="Times New Roman" w:hAnsi="Times New Roman" w:cs="Times New Roman"/>
                <w:sz w:val="24"/>
                <w:szCs w:val="24"/>
              </w:rPr>
              <w:t>efuzim Leje Mjedisi Tipi B</w:t>
            </w:r>
          </w:p>
        </w:tc>
        <w:tc>
          <w:tcPr>
            <w:tcW w:w="2070" w:type="dxa"/>
          </w:tcPr>
          <w:p w:rsidR="00357BAD" w:rsidRPr="008E73A1" w:rsidRDefault="00357BAD" w:rsidP="00357BAD">
            <w:pPr>
              <w:tabs>
                <w:tab w:val="left" w:pos="630"/>
              </w:tabs>
              <w:jc w:val="center"/>
              <w:rPr>
                <w:rFonts w:ascii="Times New Roman" w:hAnsi="Times New Roman" w:cs="Times New Roman"/>
                <w:sz w:val="24"/>
                <w:szCs w:val="24"/>
              </w:rPr>
            </w:pPr>
            <w:r>
              <w:rPr>
                <w:rFonts w:ascii="Times New Roman" w:hAnsi="Times New Roman" w:cs="Times New Roman"/>
                <w:sz w:val="24"/>
                <w:szCs w:val="24"/>
              </w:rPr>
              <w:t>345</w:t>
            </w:r>
          </w:p>
        </w:tc>
        <w:tc>
          <w:tcPr>
            <w:tcW w:w="2340" w:type="dxa"/>
          </w:tcPr>
          <w:p w:rsidR="00357BAD" w:rsidRPr="008E73A1" w:rsidRDefault="00357BAD" w:rsidP="00357BAD">
            <w:pPr>
              <w:tabs>
                <w:tab w:val="left" w:pos="630"/>
              </w:tabs>
              <w:jc w:val="center"/>
              <w:rPr>
                <w:rFonts w:ascii="Times New Roman" w:hAnsi="Times New Roman" w:cs="Times New Roman"/>
                <w:sz w:val="24"/>
                <w:szCs w:val="24"/>
              </w:rPr>
            </w:pPr>
            <w:r w:rsidRPr="008E73A1">
              <w:rPr>
                <w:rFonts w:ascii="Times New Roman" w:hAnsi="Times New Roman" w:cs="Times New Roman"/>
                <w:sz w:val="24"/>
                <w:szCs w:val="24"/>
              </w:rPr>
              <w:t>332</w:t>
            </w:r>
          </w:p>
        </w:tc>
      </w:tr>
      <w:tr w:rsidR="00357BAD" w:rsidRPr="008E73A1" w:rsidTr="00357BAD">
        <w:trPr>
          <w:trHeight w:val="20"/>
        </w:trPr>
        <w:tc>
          <w:tcPr>
            <w:tcW w:w="3888" w:type="dxa"/>
          </w:tcPr>
          <w:p w:rsidR="00357BAD" w:rsidRPr="008E73A1" w:rsidRDefault="00C05772" w:rsidP="00357BAD">
            <w:pPr>
              <w:tabs>
                <w:tab w:val="left" w:pos="630"/>
              </w:tabs>
              <w:jc w:val="both"/>
              <w:rPr>
                <w:rFonts w:ascii="Times New Roman" w:hAnsi="Times New Roman" w:cs="Times New Roman"/>
                <w:sz w:val="24"/>
                <w:szCs w:val="24"/>
              </w:rPr>
            </w:pPr>
            <w:r>
              <w:rPr>
                <w:rFonts w:ascii="Times New Roman" w:hAnsi="Times New Roman" w:cs="Times New Roman"/>
                <w:sz w:val="24"/>
                <w:szCs w:val="24"/>
              </w:rPr>
              <w:t>M</w:t>
            </w:r>
            <w:r w:rsidR="00357BAD" w:rsidRPr="008E73A1">
              <w:rPr>
                <w:rFonts w:ascii="Times New Roman" w:hAnsi="Times New Roman" w:cs="Times New Roman"/>
                <w:sz w:val="24"/>
                <w:szCs w:val="24"/>
              </w:rPr>
              <w:t>iratim Licenca III.2.B</w:t>
            </w:r>
          </w:p>
        </w:tc>
        <w:tc>
          <w:tcPr>
            <w:tcW w:w="2070" w:type="dxa"/>
          </w:tcPr>
          <w:p w:rsidR="00357BAD" w:rsidRPr="008E73A1" w:rsidRDefault="00357BAD" w:rsidP="00357BAD">
            <w:pPr>
              <w:tabs>
                <w:tab w:val="left" w:pos="630"/>
              </w:tabs>
              <w:jc w:val="center"/>
              <w:rPr>
                <w:rFonts w:ascii="Times New Roman" w:hAnsi="Times New Roman" w:cs="Times New Roman"/>
                <w:sz w:val="24"/>
                <w:szCs w:val="24"/>
              </w:rPr>
            </w:pPr>
            <w:r>
              <w:rPr>
                <w:rFonts w:ascii="Times New Roman" w:hAnsi="Times New Roman" w:cs="Times New Roman"/>
                <w:sz w:val="24"/>
                <w:szCs w:val="24"/>
              </w:rPr>
              <w:t>60</w:t>
            </w:r>
          </w:p>
        </w:tc>
        <w:tc>
          <w:tcPr>
            <w:tcW w:w="2340" w:type="dxa"/>
          </w:tcPr>
          <w:p w:rsidR="00357BAD" w:rsidRPr="008E73A1" w:rsidRDefault="00357BAD" w:rsidP="00357BAD">
            <w:pPr>
              <w:tabs>
                <w:tab w:val="left" w:pos="630"/>
              </w:tabs>
              <w:jc w:val="center"/>
              <w:rPr>
                <w:rFonts w:ascii="Times New Roman" w:hAnsi="Times New Roman" w:cs="Times New Roman"/>
                <w:sz w:val="24"/>
                <w:szCs w:val="24"/>
              </w:rPr>
            </w:pPr>
            <w:r w:rsidRPr="008E73A1">
              <w:rPr>
                <w:rFonts w:ascii="Times New Roman" w:hAnsi="Times New Roman" w:cs="Times New Roman"/>
                <w:sz w:val="24"/>
                <w:szCs w:val="24"/>
              </w:rPr>
              <w:t>60</w:t>
            </w:r>
          </w:p>
        </w:tc>
      </w:tr>
      <w:tr w:rsidR="00357BAD" w:rsidRPr="008E73A1" w:rsidTr="00357BAD">
        <w:trPr>
          <w:trHeight w:val="20"/>
        </w:trPr>
        <w:tc>
          <w:tcPr>
            <w:tcW w:w="3888" w:type="dxa"/>
          </w:tcPr>
          <w:p w:rsidR="00357BAD" w:rsidRPr="008E73A1" w:rsidRDefault="00C05772" w:rsidP="00357BAD">
            <w:pPr>
              <w:tabs>
                <w:tab w:val="left" w:pos="630"/>
              </w:tabs>
              <w:jc w:val="both"/>
              <w:rPr>
                <w:rFonts w:ascii="Times New Roman" w:hAnsi="Times New Roman" w:cs="Times New Roman"/>
                <w:sz w:val="24"/>
                <w:szCs w:val="24"/>
              </w:rPr>
            </w:pPr>
            <w:r>
              <w:rPr>
                <w:rFonts w:ascii="Times New Roman" w:hAnsi="Times New Roman" w:cs="Times New Roman"/>
                <w:sz w:val="24"/>
                <w:szCs w:val="24"/>
              </w:rPr>
              <w:t>R</w:t>
            </w:r>
            <w:r w:rsidR="00357BAD" w:rsidRPr="008E73A1">
              <w:rPr>
                <w:rFonts w:ascii="Times New Roman" w:hAnsi="Times New Roman" w:cs="Times New Roman"/>
                <w:sz w:val="24"/>
                <w:szCs w:val="24"/>
              </w:rPr>
              <w:t>efuzim Licenca III.2.B</w:t>
            </w:r>
          </w:p>
        </w:tc>
        <w:tc>
          <w:tcPr>
            <w:tcW w:w="2070" w:type="dxa"/>
          </w:tcPr>
          <w:p w:rsidR="00357BAD" w:rsidRPr="008E73A1" w:rsidRDefault="00357BAD" w:rsidP="00357BAD">
            <w:pPr>
              <w:tabs>
                <w:tab w:val="left" w:pos="630"/>
              </w:tabs>
              <w:jc w:val="center"/>
              <w:rPr>
                <w:rFonts w:ascii="Times New Roman" w:hAnsi="Times New Roman" w:cs="Times New Roman"/>
                <w:sz w:val="24"/>
                <w:szCs w:val="24"/>
              </w:rPr>
            </w:pPr>
            <w:r>
              <w:rPr>
                <w:rFonts w:ascii="Times New Roman" w:hAnsi="Times New Roman" w:cs="Times New Roman"/>
                <w:sz w:val="24"/>
                <w:szCs w:val="24"/>
              </w:rPr>
              <w:t>94</w:t>
            </w:r>
          </w:p>
        </w:tc>
        <w:tc>
          <w:tcPr>
            <w:tcW w:w="2340" w:type="dxa"/>
          </w:tcPr>
          <w:p w:rsidR="00357BAD" w:rsidRPr="008E73A1" w:rsidRDefault="00357BAD" w:rsidP="00357BAD">
            <w:pPr>
              <w:tabs>
                <w:tab w:val="left" w:pos="630"/>
              </w:tabs>
              <w:jc w:val="center"/>
              <w:rPr>
                <w:rFonts w:ascii="Times New Roman" w:hAnsi="Times New Roman" w:cs="Times New Roman"/>
                <w:sz w:val="24"/>
                <w:szCs w:val="24"/>
              </w:rPr>
            </w:pPr>
            <w:r w:rsidRPr="008E73A1">
              <w:rPr>
                <w:rFonts w:ascii="Times New Roman" w:hAnsi="Times New Roman" w:cs="Times New Roman"/>
                <w:sz w:val="24"/>
                <w:szCs w:val="24"/>
              </w:rPr>
              <w:t>96</w:t>
            </w:r>
          </w:p>
        </w:tc>
      </w:tr>
    </w:tbl>
    <w:p w:rsidR="005E2B26" w:rsidRPr="005E2B26" w:rsidRDefault="005E2B26" w:rsidP="005E2B26">
      <w:pPr>
        <w:spacing w:after="200" w:line="276" w:lineRule="auto"/>
        <w:jc w:val="both"/>
        <w:rPr>
          <w:rFonts w:ascii="Times New Roman" w:eastAsia="Times New Roman" w:hAnsi="Times New Roman" w:cs="Times New Roman"/>
          <w:b/>
          <w:sz w:val="24"/>
          <w:szCs w:val="24"/>
        </w:rPr>
      </w:pPr>
    </w:p>
    <w:p w:rsidR="005E2B26" w:rsidRPr="005E2B26" w:rsidRDefault="005E2B26" w:rsidP="00807975">
      <w:pPr>
        <w:numPr>
          <w:ilvl w:val="0"/>
          <w:numId w:val="30"/>
        </w:numPr>
        <w:spacing w:after="200" w:line="276" w:lineRule="auto"/>
        <w:contextualSpacing/>
        <w:jc w:val="both"/>
        <w:rPr>
          <w:rFonts w:ascii="Times New Roman" w:eastAsia="Times New Roman" w:hAnsi="Times New Roman" w:cs="Times New Roman"/>
          <w:b/>
          <w:sz w:val="24"/>
          <w:szCs w:val="24"/>
        </w:rPr>
      </w:pPr>
      <w:r w:rsidRPr="005E2B26">
        <w:rPr>
          <w:rFonts w:ascii="Times New Roman" w:eastAsia="Times New Roman" w:hAnsi="Times New Roman" w:cs="Times New Roman"/>
          <w:b/>
          <w:sz w:val="24"/>
          <w:szCs w:val="24"/>
        </w:rPr>
        <w:t>Vlerësimi i ndikimit në mjedis</w:t>
      </w:r>
    </w:p>
    <w:p w:rsidR="00884270" w:rsidRDefault="00884270" w:rsidP="00C05772">
      <w:pPr>
        <w:spacing w:after="200" w:line="276" w:lineRule="auto"/>
        <w:contextualSpacing/>
        <w:jc w:val="both"/>
        <w:rPr>
          <w:rFonts w:ascii="Times New Roman" w:eastAsia="Times New Roman" w:hAnsi="Times New Roman" w:cs="Times New Roman"/>
          <w:sz w:val="24"/>
          <w:szCs w:val="24"/>
        </w:rPr>
      </w:pPr>
    </w:p>
    <w:p w:rsidR="005E2B26" w:rsidRPr="00C05772" w:rsidRDefault="00C05772" w:rsidP="00C05772">
      <w:pPr>
        <w:spacing w:after="200" w:line="276" w:lineRule="auto"/>
        <w:contextualSpacing/>
        <w:jc w:val="both"/>
        <w:rPr>
          <w:rFonts w:ascii="Times New Roman" w:eastAsia="Times New Roman" w:hAnsi="Times New Roman" w:cs="Times New Roman"/>
          <w:sz w:val="24"/>
          <w:szCs w:val="24"/>
        </w:rPr>
      </w:pPr>
      <w:r w:rsidRPr="00C05772">
        <w:rPr>
          <w:rFonts w:ascii="Times New Roman" w:eastAsia="Times New Roman" w:hAnsi="Times New Roman" w:cs="Times New Roman"/>
          <w:sz w:val="24"/>
          <w:szCs w:val="24"/>
        </w:rPr>
        <w:t>Gjatë vitit 2025 janë shqyrtuar 1430 aplikime për vlerësim të ndikimit në mjedis.</w:t>
      </w:r>
      <w:r>
        <w:rPr>
          <w:rFonts w:ascii="Times New Roman" w:eastAsia="Times New Roman" w:hAnsi="Times New Roman" w:cs="Times New Roman"/>
          <w:sz w:val="24"/>
          <w:szCs w:val="24"/>
        </w:rPr>
        <w:t xml:space="preserve"> </w:t>
      </w:r>
    </w:p>
    <w:p w:rsidR="00B61C80" w:rsidRDefault="00B61C80" w:rsidP="00296861">
      <w:pPr>
        <w:spacing w:after="200" w:line="276" w:lineRule="auto"/>
        <w:contextualSpacing/>
        <w:rPr>
          <w:rFonts w:ascii="Times New Roman" w:eastAsia="Times New Roman" w:hAnsi="Times New Roman" w:cs="Times New Roman"/>
          <w:bCs/>
          <w:iCs/>
        </w:rPr>
      </w:pPr>
    </w:p>
    <w:tbl>
      <w:tblPr>
        <w:tblStyle w:val="GridTable5Dark-Accent11"/>
        <w:tblW w:w="9085" w:type="dxa"/>
        <w:tblLook w:val="04A0" w:firstRow="1" w:lastRow="0" w:firstColumn="1" w:lastColumn="0" w:noHBand="0" w:noVBand="1"/>
      </w:tblPr>
      <w:tblGrid>
        <w:gridCol w:w="456"/>
        <w:gridCol w:w="7279"/>
        <w:gridCol w:w="1350"/>
      </w:tblGrid>
      <w:tr w:rsidR="00B61C80" w:rsidRPr="008E73A1" w:rsidTr="00CA0BC8">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9085" w:type="dxa"/>
            <w:gridSpan w:val="3"/>
            <w:hideMark/>
          </w:tcPr>
          <w:p w:rsidR="00B61C80" w:rsidRPr="008E73A1" w:rsidRDefault="00296861" w:rsidP="00CA0BC8">
            <w:pPr>
              <w:spacing w:line="276" w:lineRule="auto"/>
              <w:jc w:val="center"/>
              <w:rPr>
                <w:rFonts w:ascii="Times New Roman" w:eastAsia="Times New Roman" w:hAnsi="Times New Roman" w:cs="Times New Roman"/>
                <w:color w:val="76933C"/>
              </w:rPr>
            </w:pPr>
            <w:r w:rsidRPr="005E2B26">
              <w:rPr>
                <w:rFonts w:ascii="Times New Roman" w:eastAsia="Times New Roman" w:hAnsi="Times New Roman" w:cs="Times New Roman"/>
              </w:rPr>
              <w:t>Shqyrtime për V</w:t>
            </w:r>
            <w:r w:rsidRPr="005E2B26">
              <w:rPr>
                <w:rFonts w:ascii="Times New Roman" w:eastAsia="Times New Roman" w:hAnsi="Times New Roman" w:cs="Times New Roman"/>
                <w:lang w:val="it-IT"/>
              </w:rPr>
              <w:t xml:space="preserve">lerësimin e Ndikimit në Mjedis, </w:t>
            </w:r>
            <w:r w:rsidRPr="00296861">
              <w:rPr>
                <w:rFonts w:ascii="Times New Roman" w:eastAsia="Times New Roman" w:hAnsi="Times New Roman" w:cs="Times New Roman"/>
                <w:bCs w:val="0"/>
                <w:iCs/>
              </w:rPr>
              <w:t>2025</w:t>
            </w:r>
            <w:r w:rsidR="00B61C80" w:rsidRPr="00296861">
              <w:rPr>
                <w:rFonts w:ascii="Times New Roman" w:eastAsia="Times New Roman" w:hAnsi="Times New Roman" w:cs="Times New Roman"/>
                <w:iCs/>
              </w:rPr>
              <w:t xml:space="preserve"> </w:t>
            </w:r>
          </w:p>
        </w:tc>
      </w:tr>
      <w:tr w:rsidR="00B61C80" w:rsidRPr="008E73A1" w:rsidTr="00CA0BC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6" w:type="dxa"/>
            <w:noWrap/>
            <w:hideMark/>
          </w:tcPr>
          <w:p w:rsidR="00B61C80" w:rsidRPr="008E73A1" w:rsidRDefault="00B61C80" w:rsidP="00CA0BC8">
            <w:pPr>
              <w:spacing w:line="276" w:lineRule="auto"/>
              <w:jc w:val="both"/>
              <w:rPr>
                <w:rFonts w:ascii="Times New Roman" w:eastAsia="Times New Roman" w:hAnsi="Times New Roman" w:cs="Times New Roman"/>
                <w:color w:val="000000"/>
              </w:rPr>
            </w:pPr>
            <w:r w:rsidRPr="008E73A1">
              <w:rPr>
                <w:rFonts w:ascii="Times New Roman" w:eastAsia="Times New Roman" w:hAnsi="Times New Roman" w:cs="Times New Roman"/>
                <w:color w:val="000000"/>
              </w:rPr>
              <w:t>1</w:t>
            </w:r>
          </w:p>
        </w:tc>
        <w:tc>
          <w:tcPr>
            <w:tcW w:w="7279" w:type="dxa"/>
            <w:noWrap/>
            <w:hideMark/>
          </w:tcPr>
          <w:p w:rsidR="00B61C80" w:rsidRPr="008E73A1" w:rsidRDefault="00B61C80" w:rsidP="00CA0BC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sidRPr="008E73A1">
              <w:rPr>
                <w:rFonts w:ascii="Times New Roman" w:eastAsia="Times New Roman" w:hAnsi="Times New Roman" w:cs="Times New Roman"/>
                <w:b/>
              </w:rPr>
              <w:t>Aplikime gjithsej të shqyrtuara</w:t>
            </w:r>
          </w:p>
        </w:tc>
        <w:tc>
          <w:tcPr>
            <w:tcW w:w="1350" w:type="dxa"/>
            <w:noWrap/>
            <w:hideMark/>
          </w:tcPr>
          <w:p w:rsidR="00B61C80" w:rsidRPr="008E73A1" w:rsidRDefault="00B61C80" w:rsidP="00CA0BC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highlight w:val="yellow"/>
              </w:rPr>
            </w:pPr>
            <w:r w:rsidRPr="008E73A1">
              <w:rPr>
                <w:rFonts w:ascii="Times New Roman" w:eastAsia="Times New Roman" w:hAnsi="Times New Roman" w:cs="Times New Roman"/>
                <w:b/>
                <w:bCs/>
              </w:rPr>
              <w:t>1430</w:t>
            </w:r>
          </w:p>
        </w:tc>
      </w:tr>
      <w:tr w:rsidR="00B61C80" w:rsidRPr="008E73A1" w:rsidTr="00CA0BC8">
        <w:trPr>
          <w:trHeight w:val="315"/>
        </w:trPr>
        <w:tc>
          <w:tcPr>
            <w:cnfStyle w:val="001000000000" w:firstRow="0" w:lastRow="0" w:firstColumn="1" w:lastColumn="0" w:oddVBand="0" w:evenVBand="0" w:oddHBand="0" w:evenHBand="0" w:firstRowFirstColumn="0" w:firstRowLastColumn="0" w:lastRowFirstColumn="0" w:lastRowLastColumn="0"/>
            <w:tcW w:w="456" w:type="dxa"/>
            <w:noWrap/>
            <w:hideMark/>
          </w:tcPr>
          <w:p w:rsidR="00B61C80" w:rsidRPr="008E73A1" w:rsidRDefault="00B61C80" w:rsidP="00CA0BC8">
            <w:pPr>
              <w:spacing w:line="276" w:lineRule="auto"/>
              <w:jc w:val="both"/>
              <w:rPr>
                <w:rFonts w:ascii="Times New Roman" w:eastAsia="Times New Roman" w:hAnsi="Times New Roman" w:cs="Times New Roman"/>
                <w:color w:val="000000"/>
              </w:rPr>
            </w:pPr>
            <w:r w:rsidRPr="008E73A1">
              <w:rPr>
                <w:rFonts w:ascii="Times New Roman" w:eastAsia="Times New Roman" w:hAnsi="Times New Roman" w:cs="Times New Roman"/>
                <w:color w:val="000000"/>
              </w:rPr>
              <w:t>2</w:t>
            </w:r>
          </w:p>
        </w:tc>
        <w:tc>
          <w:tcPr>
            <w:tcW w:w="7279" w:type="dxa"/>
            <w:noWrap/>
            <w:hideMark/>
          </w:tcPr>
          <w:p w:rsidR="00B61C80" w:rsidRPr="008E73A1" w:rsidRDefault="00B61C80" w:rsidP="00CA0BC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E73A1">
              <w:rPr>
                <w:rFonts w:ascii="Times New Roman" w:eastAsia="Times New Roman" w:hAnsi="Times New Roman" w:cs="Times New Roman"/>
              </w:rPr>
              <w:t>VNM Paraprake Miratime</w:t>
            </w:r>
          </w:p>
        </w:tc>
        <w:tc>
          <w:tcPr>
            <w:tcW w:w="1350" w:type="dxa"/>
            <w:noWrap/>
            <w:hideMark/>
          </w:tcPr>
          <w:p w:rsidR="00B61C80" w:rsidRPr="008E73A1" w:rsidRDefault="00B61C80" w:rsidP="00CA0BC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highlight w:val="yellow"/>
              </w:rPr>
            </w:pPr>
            <w:r w:rsidRPr="008E73A1">
              <w:rPr>
                <w:rFonts w:ascii="Times New Roman" w:eastAsia="Times New Roman" w:hAnsi="Times New Roman" w:cs="Times New Roman"/>
                <w:b/>
                <w:bCs/>
              </w:rPr>
              <w:t>1360</w:t>
            </w:r>
          </w:p>
        </w:tc>
      </w:tr>
      <w:tr w:rsidR="00B61C80" w:rsidRPr="008E73A1" w:rsidTr="00CA0BC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6" w:type="dxa"/>
            <w:noWrap/>
          </w:tcPr>
          <w:p w:rsidR="00B61C80" w:rsidRPr="008E73A1" w:rsidRDefault="00B61C80" w:rsidP="00CA0BC8">
            <w:pPr>
              <w:spacing w:line="276" w:lineRule="auto"/>
              <w:jc w:val="both"/>
              <w:rPr>
                <w:rFonts w:ascii="Times New Roman" w:eastAsia="Times New Roman" w:hAnsi="Times New Roman" w:cs="Times New Roman"/>
                <w:color w:val="000000"/>
              </w:rPr>
            </w:pPr>
          </w:p>
        </w:tc>
        <w:tc>
          <w:tcPr>
            <w:tcW w:w="7279" w:type="dxa"/>
            <w:noWrap/>
          </w:tcPr>
          <w:p w:rsidR="00B61C80" w:rsidRPr="008E73A1" w:rsidRDefault="00B61C80" w:rsidP="00CA0BC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E73A1">
              <w:rPr>
                <w:rFonts w:ascii="Times New Roman" w:eastAsia="Times New Roman" w:hAnsi="Times New Roman" w:cs="Times New Roman"/>
              </w:rPr>
              <w:t>VNM Paraprake Miratime (Publike)</w:t>
            </w:r>
          </w:p>
        </w:tc>
        <w:tc>
          <w:tcPr>
            <w:tcW w:w="1350" w:type="dxa"/>
            <w:noWrap/>
          </w:tcPr>
          <w:p w:rsidR="00B61C80" w:rsidRPr="008E73A1" w:rsidRDefault="00B61C80" w:rsidP="00CA0BC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8E73A1">
              <w:rPr>
                <w:rFonts w:ascii="Times New Roman" w:eastAsia="Times New Roman" w:hAnsi="Times New Roman" w:cs="Times New Roman"/>
                <w:b/>
                <w:bCs/>
              </w:rPr>
              <w:t xml:space="preserve">139 </w:t>
            </w:r>
          </w:p>
        </w:tc>
      </w:tr>
      <w:tr w:rsidR="00B61C80" w:rsidRPr="008E73A1" w:rsidTr="00CA0BC8">
        <w:trPr>
          <w:trHeight w:val="315"/>
        </w:trPr>
        <w:tc>
          <w:tcPr>
            <w:cnfStyle w:val="001000000000" w:firstRow="0" w:lastRow="0" w:firstColumn="1" w:lastColumn="0" w:oddVBand="0" w:evenVBand="0" w:oddHBand="0" w:evenHBand="0" w:firstRowFirstColumn="0" w:firstRowLastColumn="0" w:lastRowFirstColumn="0" w:lastRowLastColumn="0"/>
            <w:tcW w:w="456" w:type="dxa"/>
            <w:noWrap/>
            <w:hideMark/>
          </w:tcPr>
          <w:p w:rsidR="00B61C80" w:rsidRPr="008E73A1" w:rsidRDefault="00B61C80" w:rsidP="00CA0BC8">
            <w:pPr>
              <w:spacing w:line="276" w:lineRule="auto"/>
              <w:jc w:val="both"/>
              <w:rPr>
                <w:rFonts w:ascii="Times New Roman" w:eastAsia="Times New Roman" w:hAnsi="Times New Roman" w:cs="Times New Roman"/>
                <w:color w:val="000000"/>
              </w:rPr>
            </w:pPr>
            <w:r w:rsidRPr="008E73A1">
              <w:rPr>
                <w:rFonts w:ascii="Times New Roman" w:eastAsia="Times New Roman" w:hAnsi="Times New Roman" w:cs="Times New Roman"/>
                <w:color w:val="000000"/>
              </w:rPr>
              <w:t>3</w:t>
            </w:r>
          </w:p>
        </w:tc>
        <w:tc>
          <w:tcPr>
            <w:tcW w:w="7279" w:type="dxa"/>
            <w:noWrap/>
          </w:tcPr>
          <w:p w:rsidR="00B61C80" w:rsidRPr="008E73A1" w:rsidRDefault="00B61C80" w:rsidP="00CA0BC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E73A1">
              <w:rPr>
                <w:rFonts w:ascii="Times New Roman" w:eastAsia="Times New Roman" w:hAnsi="Times New Roman" w:cs="Times New Roman"/>
              </w:rPr>
              <w:t>Deklarata Mjedisore</w:t>
            </w:r>
          </w:p>
        </w:tc>
        <w:tc>
          <w:tcPr>
            <w:tcW w:w="1350" w:type="dxa"/>
            <w:noWrap/>
          </w:tcPr>
          <w:p w:rsidR="00B61C80" w:rsidRPr="008E73A1" w:rsidRDefault="00B61C80" w:rsidP="00CA0BC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8E73A1">
              <w:rPr>
                <w:rFonts w:ascii="Times New Roman" w:eastAsia="Times New Roman" w:hAnsi="Times New Roman" w:cs="Times New Roman"/>
                <w:b/>
                <w:bCs/>
              </w:rPr>
              <w:t>20</w:t>
            </w:r>
          </w:p>
        </w:tc>
      </w:tr>
    </w:tbl>
    <w:p w:rsidR="00B61C80" w:rsidRDefault="00B61C80" w:rsidP="005E2B26">
      <w:pPr>
        <w:spacing w:after="200" w:line="276" w:lineRule="auto"/>
        <w:ind w:left="720"/>
        <w:contextualSpacing/>
        <w:jc w:val="center"/>
        <w:rPr>
          <w:rFonts w:ascii="Times New Roman" w:eastAsia="Times New Roman" w:hAnsi="Times New Roman" w:cs="Times New Roman"/>
          <w:bCs/>
          <w:iCs/>
        </w:rPr>
      </w:pPr>
    </w:p>
    <w:p w:rsidR="00B61C80" w:rsidRPr="00277086" w:rsidRDefault="00B61C80" w:rsidP="00B61C80">
      <w:pPr>
        <w:tabs>
          <w:tab w:val="left" w:pos="90"/>
        </w:tabs>
        <w:spacing w:after="200" w:line="276" w:lineRule="auto"/>
        <w:contextualSpacing/>
        <w:jc w:val="both"/>
        <w:rPr>
          <w:rFonts w:ascii="Times New Roman" w:eastAsia="Times New Roman" w:hAnsi="Times New Roman" w:cs="Times New Roman"/>
          <w:bCs/>
          <w:iCs/>
          <w:sz w:val="24"/>
          <w:szCs w:val="24"/>
        </w:rPr>
      </w:pPr>
      <w:r w:rsidRPr="00277086">
        <w:rPr>
          <w:rFonts w:ascii="Times New Roman" w:eastAsia="Times New Roman" w:hAnsi="Times New Roman" w:cs="Times New Roman"/>
          <w:bCs/>
          <w:iCs/>
          <w:sz w:val="24"/>
          <w:szCs w:val="24"/>
        </w:rPr>
        <w:t>Në vitin 2024 janë shqyrtuar 1154 aplikime për vlerësim të ndikimit në mjedis, ndërsa  në vitin 2025 janë shqyrtuar 1430 aplikime duke vlerësuar se  kemi rritje të numrit të aplikimeve.</w:t>
      </w:r>
    </w:p>
    <w:p w:rsidR="00B61C80" w:rsidRPr="00277086" w:rsidRDefault="00B61C80" w:rsidP="005E2B26">
      <w:pPr>
        <w:spacing w:after="200" w:line="276" w:lineRule="auto"/>
        <w:ind w:left="720"/>
        <w:contextualSpacing/>
        <w:jc w:val="center"/>
        <w:rPr>
          <w:rFonts w:ascii="Times New Roman" w:eastAsia="Times New Roman" w:hAnsi="Times New Roman" w:cs="Times New Roman"/>
          <w:bCs/>
          <w:iCs/>
          <w:sz w:val="24"/>
          <w:szCs w:val="24"/>
        </w:rPr>
      </w:pPr>
    </w:p>
    <w:p w:rsidR="001A3C69" w:rsidRPr="00316A50" w:rsidRDefault="001A3C69" w:rsidP="00807975">
      <w:pPr>
        <w:pStyle w:val="ListParagraph"/>
        <w:numPr>
          <w:ilvl w:val="0"/>
          <w:numId w:val="30"/>
        </w:numPr>
        <w:spacing w:after="0" w:line="276" w:lineRule="auto"/>
        <w:jc w:val="both"/>
        <w:rPr>
          <w:rFonts w:ascii="Times New Roman" w:eastAsia="Times New Roman" w:hAnsi="Times New Roman" w:cs="Times New Roman"/>
          <w:b/>
          <w:sz w:val="24"/>
          <w:szCs w:val="24"/>
        </w:rPr>
      </w:pPr>
      <w:r w:rsidRPr="00316A50">
        <w:rPr>
          <w:rFonts w:ascii="Times New Roman" w:eastAsia="Times New Roman" w:hAnsi="Times New Roman" w:cs="Times New Roman"/>
          <w:b/>
          <w:sz w:val="24"/>
          <w:szCs w:val="24"/>
        </w:rPr>
        <w:t xml:space="preserve">Inspektimet </w:t>
      </w:r>
    </w:p>
    <w:p w:rsidR="00316A50" w:rsidRDefault="00316A50" w:rsidP="005E2B2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Gjatë vitit 2025 jane kryer 484 inspektime në fushëne ujërave dhe 1729 inspektime në fushën e mjedisit.</w:t>
      </w:r>
    </w:p>
    <w:p w:rsidR="00E575BB" w:rsidRDefault="00E575BB" w:rsidP="005E2B26">
      <w:pPr>
        <w:spacing w:after="0" w:line="276" w:lineRule="auto"/>
        <w:jc w:val="both"/>
        <w:rPr>
          <w:rFonts w:ascii="Times New Roman" w:eastAsia="Times New Roman" w:hAnsi="Times New Roman" w:cs="Times New Roman"/>
          <w:sz w:val="24"/>
          <w:szCs w:val="24"/>
        </w:rPr>
      </w:pPr>
    </w:p>
    <w:p w:rsidR="00316A50" w:rsidRDefault="00681B50" w:rsidP="00681B5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Tabela 64</w:t>
      </w:r>
      <w:r w:rsidR="00316A50">
        <w:rPr>
          <w:rFonts w:ascii="Times New Roman" w:eastAsia="Times New Roman" w:hAnsi="Times New Roman" w:cs="Times New Roman"/>
          <w:sz w:val="24"/>
          <w:szCs w:val="24"/>
        </w:rPr>
        <w:t>. Inspektimet e kryera në fushën e ujërave</w:t>
      </w:r>
    </w:p>
    <w:tbl>
      <w:tblPr>
        <w:tblStyle w:val="TableGrid"/>
        <w:tblW w:w="0" w:type="auto"/>
        <w:tblLook w:val="04A0" w:firstRow="1" w:lastRow="0" w:firstColumn="1" w:lastColumn="0" w:noHBand="0" w:noVBand="1"/>
      </w:tblPr>
      <w:tblGrid>
        <w:gridCol w:w="1795"/>
        <w:gridCol w:w="2610"/>
        <w:gridCol w:w="2790"/>
        <w:gridCol w:w="1800"/>
      </w:tblGrid>
      <w:tr w:rsidR="00316A50" w:rsidRPr="00316A50" w:rsidTr="00DA3FBA">
        <w:trPr>
          <w:trHeight w:val="432"/>
        </w:trPr>
        <w:tc>
          <w:tcPr>
            <w:tcW w:w="1795" w:type="dxa"/>
          </w:tcPr>
          <w:p w:rsidR="00316A50" w:rsidRPr="00316A50" w:rsidRDefault="00316A50" w:rsidP="00316A50">
            <w:pPr>
              <w:rPr>
                <w:rFonts w:ascii="Times New Roman" w:eastAsia="Calibri" w:hAnsi="Times New Roman" w:cs="Times New Roman"/>
                <w:b/>
                <w:sz w:val="24"/>
                <w:szCs w:val="24"/>
              </w:rPr>
            </w:pPr>
            <w:r w:rsidRPr="00316A50">
              <w:rPr>
                <w:rFonts w:ascii="Times New Roman" w:eastAsia="Calibri" w:hAnsi="Times New Roman" w:cs="Times New Roman"/>
                <w:b/>
                <w:sz w:val="24"/>
                <w:szCs w:val="24"/>
              </w:rPr>
              <w:t>Sektori Ujera</w:t>
            </w:r>
          </w:p>
        </w:tc>
        <w:tc>
          <w:tcPr>
            <w:tcW w:w="2610" w:type="dxa"/>
          </w:tcPr>
          <w:p w:rsidR="00316A50" w:rsidRPr="00316A50" w:rsidRDefault="00316A50" w:rsidP="00316A50">
            <w:pPr>
              <w:rPr>
                <w:rFonts w:ascii="Times New Roman" w:eastAsia="Calibri" w:hAnsi="Times New Roman" w:cs="Times New Roman"/>
                <w:b/>
                <w:sz w:val="24"/>
                <w:szCs w:val="24"/>
              </w:rPr>
            </w:pPr>
            <w:r w:rsidRPr="00316A50">
              <w:rPr>
                <w:rFonts w:ascii="Times New Roman" w:eastAsia="Calibri" w:hAnsi="Times New Roman" w:cs="Times New Roman"/>
                <w:b/>
                <w:sz w:val="24"/>
                <w:szCs w:val="24"/>
              </w:rPr>
              <w:t>Nr. Inspektime online</w:t>
            </w:r>
          </w:p>
        </w:tc>
        <w:tc>
          <w:tcPr>
            <w:tcW w:w="2790" w:type="dxa"/>
          </w:tcPr>
          <w:p w:rsidR="00316A50" w:rsidRPr="00316A50" w:rsidRDefault="00316A50" w:rsidP="00316A50">
            <w:pPr>
              <w:rPr>
                <w:rFonts w:ascii="Times New Roman" w:eastAsia="Calibri" w:hAnsi="Times New Roman" w:cs="Times New Roman"/>
                <w:b/>
                <w:sz w:val="24"/>
                <w:szCs w:val="24"/>
              </w:rPr>
            </w:pPr>
            <w:r w:rsidRPr="00316A50">
              <w:rPr>
                <w:rFonts w:ascii="Times New Roman" w:eastAsia="Calibri" w:hAnsi="Times New Roman" w:cs="Times New Roman"/>
                <w:b/>
                <w:sz w:val="24"/>
                <w:szCs w:val="24"/>
              </w:rPr>
              <w:t>Nr. Inspektime manuale</w:t>
            </w:r>
          </w:p>
        </w:tc>
        <w:tc>
          <w:tcPr>
            <w:tcW w:w="1800" w:type="dxa"/>
          </w:tcPr>
          <w:p w:rsidR="00316A50" w:rsidRPr="00316A50" w:rsidRDefault="00316A50" w:rsidP="00316A50">
            <w:pPr>
              <w:rPr>
                <w:rFonts w:ascii="Times New Roman" w:eastAsia="Calibri" w:hAnsi="Times New Roman" w:cs="Times New Roman"/>
                <w:b/>
                <w:sz w:val="24"/>
                <w:szCs w:val="24"/>
              </w:rPr>
            </w:pPr>
            <w:r w:rsidRPr="00316A50">
              <w:rPr>
                <w:rFonts w:ascii="Times New Roman" w:eastAsia="Calibri" w:hAnsi="Times New Roman" w:cs="Times New Roman"/>
                <w:b/>
                <w:sz w:val="24"/>
                <w:szCs w:val="24"/>
              </w:rPr>
              <w:t>Total ujera</w:t>
            </w:r>
          </w:p>
        </w:tc>
      </w:tr>
      <w:tr w:rsidR="00316A50" w:rsidRPr="00316A50" w:rsidTr="00DA3FBA">
        <w:trPr>
          <w:trHeight w:val="432"/>
        </w:trPr>
        <w:tc>
          <w:tcPr>
            <w:tcW w:w="1795"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Times New Roman" w:hAnsi="Times New Roman" w:cs="Times New Roman"/>
                <w:sz w:val="24"/>
                <w:szCs w:val="24"/>
              </w:rPr>
              <w:t>AKM-DQ</w:t>
            </w:r>
          </w:p>
        </w:tc>
        <w:tc>
          <w:tcPr>
            <w:tcW w:w="261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125</w:t>
            </w:r>
          </w:p>
        </w:tc>
        <w:tc>
          <w:tcPr>
            <w:tcW w:w="279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52</w:t>
            </w:r>
          </w:p>
        </w:tc>
        <w:tc>
          <w:tcPr>
            <w:tcW w:w="1800" w:type="dxa"/>
            <w:vAlign w:val="center"/>
          </w:tcPr>
          <w:p w:rsidR="00316A50" w:rsidRPr="00316A50" w:rsidRDefault="00316A50" w:rsidP="00316A50">
            <w:pPr>
              <w:jc w:val="center"/>
              <w:rPr>
                <w:rFonts w:ascii="Times New Roman" w:eastAsia="Calibri" w:hAnsi="Times New Roman" w:cs="Times New Roman"/>
                <w:b/>
                <w:sz w:val="24"/>
                <w:szCs w:val="24"/>
              </w:rPr>
            </w:pPr>
            <w:r w:rsidRPr="00316A50">
              <w:rPr>
                <w:rFonts w:ascii="Times New Roman" w:eastAsia="Calibri" w:hAnsi="Times New Roman" w:cs="Times New Roman"/>
                <w:b/>
                <w:sz w:val="24"/>
                <w:szCs w:val="24"/>
              </w:rPr>
              <w:t>177</w:t>
            </w:r>
          </w:p>
        </w:tc>
      </w:tr>
      <w:tr w:rsidR="00316A50" w:rsidRPr="00316A50" w:rsidTr="00DA3FBA">
        <w:trPr>
          <w:trHeight w:val="432"/>
        </w:trPr>
        <w:tc>
          <w:tcPr>
            <w:tcW w:w="1795"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Times New Roman" w:hAnsi="Times New Roman" w:cs="Times New Roman"/>
                <w:sz w:val="24"/>
                <w:szCs w:val="24"/>
              </w:rPr>
              <w:t>ARM-TR</w:t>
            </w:r>
          </w:p>
        </w:tc>
        <w:tc>
          <w:tcPr>
            <w:tcW w:w="261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23</w:t>
            </w:r>
          </w:p>
        </w:tc>
        <w:tc>
          <w:tcPr>
            <w:tcW w:w="279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14</w:t>
            </w:r>
          </w:p>
        </w:tc>
        <w:tc>
          <w:tcPr>
            <w:tcW w:w="1800" w:type="dxa"/>
            <w:vAlign w:val="center"/>
          </w:tcPr>
          <w:p w:rsidR="00316A50" w:rsidRPr="00316A50" w:rsidRDefault="00316A50" w:rsidP="00316A50">
            <w:pPr>
              <w:jc w:val="center"/>
              <w:rPr>
                <w:rFonts w:ascii="Times New Roman" w:eastAsia="Calibri" w:hAnsi="Times New Roman" w:cs="Times New Roman"/>
                <w:b/>
                <w:sz w:val="24"/>
                <w:szCs w:val="24"/>
              </w:rPr>
            </w:pPr>
            <w:r w:rsidRPr="00316A50">
              <w:rPr>
                <w:rFonts w:ascii="Times New Roman" w:eastAsia="Calibri" w:hAnsi="Times New Roman" w:cs="Times New Roman"/>
                <w:b/>
                <w:sz w:val="24"/>
                <w:szCs w:val="24"/>
              </w:rPr>
              <w:t>37</w:t>
            </w:r>
          </w:p>
        </w:tc>
      </w:tr>
      <w:tr w:rsidR="00316A50" w:rsidRPr="00316A50" w:rsidTr="00DA3FBA">
        <w:trPr>
          <w:trHeight w:val="432"/>
        </w:trPr>
        <w:tc>
          <w:tcPr>
            <w:tcW w:w="1795"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Times New Roman" w:hAnsi="Times New Roman" w:cs="Times New Roman"/>
                <w:sz w:val="24"/>
                <w:szCs w:val="24"/>
              </w:rPr>
              <w:t>ARM-BR</w:t>
            </w:r>
          </w:p>
        </w:tc>
        <w:tc>
          <w:tcPr>
            <w:tcW w:w="261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55</w:t>
            </w:r>
          </w:p>
        </w:tc>
        <w:tc>
          <w:tcPr>
            <w:tcW w:w="279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65</w:t>
            </w:r>
          </w:p>
        </w:tc>
        <w:tc>
          <w:tcPr>
            <w:tcW w:w="1800" w:type="dxa"/>
            <w:vAlign w:val="center"/>
          </w:tcPr>
          <w:p w:rsidR="00316A50" w:rsidRPr="00316A50" w:rsidRDefault="00316A50" w:rsidP="00316A50">
            <w:pPr>
              <w:jc w:val="center"/>
              <w:rPr>
                <w:rFonts w:ascii="Times New Roman" w:eastAsia="Calibri" w:hAnsi="Times New Roman" w:cs="Times New Roman"/>
                <w:b/>
                <w:sz w:val="24"/>
                <w:szCs w:val="24"/>
              </w:rPr>
            </w:pPr>
            <w:r w:rsidRPr="00316A50">
              <w:rPr>
                <w:rFonts w:ascii="Times New Roman" w:eastAsia="Calibri" w:hAnsi="Times New Roman" w:cs="Times New Roman"/>
                <w:b/>
                <w:sz w:val="24"/>
                <w:szCs w:val="24"/>
              </w:rPr>
              <w:t>120</w:t>
            </w:r>
          </w:p>
        </w:tc>
      </w:tr>
      <w:tr w:rsidR="00316A50" w:rsidRPr="00316A50" w:rsidTr="00DA3FBA">
        <w:trPr>
          <w:trHeight w:val="432"/>
        </w:trPr>
        <w:tc>
          <w:tcPr>
            <w:tcW w:w="1795"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Times New Roman" w:hAnsi="Times New Roman" w:cs="Times New Roman"/>
                <w:sz w:val="24"/>
                <w:szCs w:val="24"/>
              </w:rPr>
              <w:lastRenderedPageBreak/>
              <w:t>ARM-FR</w:t>
            </w:r>
          </w:p>
        </w:tc>
        <w:tc>
          <w:tcPr>
            <w:tcW w:w="261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43</w:t>
            </w:r>
          </w:p>
        </w:tc>
        <w:tc>
          <w:tcPr>
            <w:tcW w:w="279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37</w:t>
            </w:r>
          </w:p>
        </w:tc>
        <w:tc>
          <w:tcPr>
            <w:tcW w:w="1800" w:type="dxa"/>
            <w:vAlign w:val="center"/>
          </w:tcPr>
          <w:p w:rsidR="00316A50" w:rsidRPr="00316A50" w:rsidRDefault="00316A50" w:rsidP="00316A50">
            <w:pPr>
              <w:jc w:val="center"/>
              <w:rPr>
                <w:rFonts w:ascii="Times New Roman" w:eastAsia="Calibri" w:hAnsi="Times New Roman" w:cs="Times New Roman"/>
                <w:b/>
                <w:sz w:val="24"/>
                <w:szCs w:val="24"/>
              </w:rPr>
            </w:pPr>
            <w:r w:rsidRPr="00316A50">
              <w:rPr>
                <w:rFonts w:ascii="Times New Roman" w:eastAsia="Calibri" w:hAnsi="Times New Roman" w:cs="Times New Roman"/>
                <w:b/>
                <w:sz w:val="24"/>
                <w:szCs w:val="24"/>
              </w:rPr>
              <w:t>80</w:t>
            </w:r>
          </w:p>
        </w:tc>
      </w:tr>
      <w:tr w:rsidR="00316A50" w:rsidRPr="00316A50" w:rsidTr="00DA3FBA">
        <w:trPr>
          <w:trHeight w:val="432"/>
        </w:trPr>
        <w:tc>
          <w:tcPr>
            <w:tcW w:w="1795" w:type="dxa"/>
            <w:vAlign w:val="center"/>
          </w:tcPr>
          <w:p w:rsidR="00316A50" w:rsidRPr="00316A50" w:rsidRDefault="00316A50" w:rsidP="00316A50">
            <w:pPr>
              <w:jc w:val="center"/>
              <w:rPr>
                <w:rFonts w:ascii="Times New Roman" w:eastAsia="Times New Roman" w:hAnsi="Times New Roman" w:cs="Times New Roman"/>
                <w:sz w:val="24"/>
                <w:szCs w:val="24"/>
              </w:rPr>
            </w:pPr>
            <w:r w:rsidRPr="00316A50">
              <w:rPr>
                <w:rFonts w:ascii="Times New Roman" w:eastAsia="Times New Roman" w:hAnsi="Times New Roman" w:cs="Times New Roman"/>
                <w:sz w:val="24"/>
                <w:szCs w:val="24"/>
              </w:rPr>
              <w:t>ARM-LE</w:t>
            </w:r>
          </w:p>
        </w:tc>
        <w:tc>
          <w:tcPr>
            <w:tcW w:w="261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48</w:t>
            </w:r>
          </w:p>
        </w:tc>
        <w:tc>
          <w:tcPr>
            <w:tcW w:w="279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22</w:t>
            </w:r>
          </w:p>
        </w:tc>
        <w:tc>
          <w:tcPr>
            <w:tcW w:w="1800" w:type="dxa"/>
            <w:vAlign w:val="center"/>
          </w:tcPr>
          <w:p w:rsidR="00316A50" w:rsidRPr="00316A50" w:rsidRDefault="00316A50" w:rsidP="00316A50">
            <w:pPr>
              <w:jc w:val="center"/>
              <w:rPr>
                <w:rFonts w:ascii="Times New Roman" w:eastAsia="Calibri" w:hAnsi="Times New Roman" w:cs="Times New Roman"/>
                <w:b/>
                <w:sz w:val="24"/>
                <w:szCs w:val="24"/>
              </w:rPr>
            </w:pPr>
            <w:r w:rsidRPr="00316A50">
              <w:rPr>
                <w:rFonts w:ascii="Times New Roman" w:eastAsia="Calibri" w:hAnsi="Times New Roman" w:cs="Times New Roman"/>
                <w:b/>
                <w:sz w:val="24"/>
                <w:szCs w:val="24"/>
              </w:rPr>
              <w:t>70</w:t>
            </w:r>
          </w:p>
        </w:tc>
      </w:tr>
      <w:tr w:rsidR="00316A50" w:rsidRPr="00316A50" w:rsidTr="00DA3FBA">
        <w:trPr>
          <w:trHeight w:val="432"/>
        </w:trPr>
        <w:tc>
          <w:tcPr>
            <w:tcW w:w="7195" w:type="dxa"/>
            <w:gridSpan w:val="3"/>
            <w:vAlign w:val="center"/>
          </w:tcPr>
          <w:p w:rsidR="00316A50" w:rsidRPr="00316A50" w:rsidRDefault="00316A50" w:rsidP="00316A5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TOTAL UJË</w:t>
            </w:r>
            <w:r w:rsidRPr="00316A50">
              <w:rPr>
                <w:rFonts w:ascii="Times New Roman" w:eastAsia="Calibri" w:hAnsi="Times New Roman" w:cs="Times New Roman"/>
                <w:b/>
                <w:sz w:val="24"/>
                <w:szCs w:val="24"/>
              </w:rPr>
              <w:t>RA</w:t>
            </w:r>
          </w:p>
        </w:tc>
        <w:tc>
          <w:tcPr>
            <w:tcW w:w="1800" w:type="dxa"/>
            <w:vAlign w:val="center"/>
          </w:tcPr>
          <w:p w:rsidR="00316A50" w:rsidRPr="00316A50" w:rsidRDefault="00316A50" w:rsidP="00316A50">
            <w:pPr>
              <w:jc w:val="center"/>
              <w:rPr>
                <w:rFonts w:ascii="Times New Roman" w:eastAsia="Calibri" w:hAnsi="Times New Roman" w:cs="Times New Roman"/>
                <w:b/>
                <w:sz w:val="24"/>
                <w:szCs w:val="24"/>
              </w:rPr>
            </w:pPr>
            <w:r w:rsidRPr="00316A50">
              <w:rPr>
                <w:rFonts w:ascii="Times New Roman" w:eastAsia="Calibri" w:hAnsi="Times New Roman" w:cs="Times New Roman"/>
                <w:b/>
                <w:sz w:val="24"/>
                <w:szCs w:val="24"/>
              </w:rPr>
              <w:t>484</w:t>
            </w:r>
          </w:p>
        </w:tc>
      </w:tr>
    </w:tbl>
    <w:p w:rsidR="00CE1E06" w:rsidRDefault="00CE1E06" w:rsidP="005E2B26">
      <w:pPr>
        <w:spacing w:after="0" w:line="276" w:lineRule="auto"/>
        <w:jc w:val="both"/>
        <w:rPr>
          <w:rFonts w:ascii="Times New Roman" w:eastAsia="Times New Roman" w:hAnsi="Times New Roman" w:cs="Times New Roman"/>
          <w:sz w:val="24"/>
          <w:szCs w:val="24"/>
        </w:rPr>
      </w:pPr>
    </w:p>
    <w:p w:rsidR="00884270" w:rsidRDefault="00681B50" w:rsidP="002A64D6">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Tabela 65</w:t>
      </w:r>
      <w:r w:rsidR="00316A50">
        <w:rPr>
          <w:rFonts w:ascii="Times New Roman" w:eastAsia="Times New Roman" w:hAnsi="Times New Roman" w:cs="Times New Roman"/>
          <w:sz w:val="24"/>
          <w:szCs w:val="24"/>
        </w:rPr>
        <w:t>. Inspektime</w:t>
      </w:r>
      <w:r w:rsidR="002A64D6">
        <w:rPr>
          <w:rFonts w:ascii="Times New Roman" w:eastAsia="Times New Roman" w:hAnsi="Times New Roman" w:cs="Times New Roman"/>
          <w:sz w:val="24"/>
          <w:szCs w:val="24"/>
        </w:rPr>
        <w:t>t e kryera në fushën e mjedisit</w:t>
      </w:r>
    </w:p>
    <w:tbl>
      <w:tblPr>
        <w:tblStyle w:val="TableGrid12"/>
        <w:tblW w:w="0" w:type="auto"/>
        <w:tblLook w:val="04A0" w:firstRow="1" w:lastRow="0" w:firstColumn="1" w:lastColumn="0" w:noHBand="0" w:noVBand="1"/>
      </w:tblPr>
      <w:tblGrid>
        <w:gridCol w:w="1795"/>
        <w:gridCol w:w="2610"/>
        <w:gridCol w:w="2790"/>
        <w:gridCol w:w="1800"/>
      </w:tblGrid>
      <w:tr w:rsidR="00316A50" w:rsidRPr="00316A50" w:rsidTr="00DA3FBA">
        <w:trPr>
          <w:trHeight w:val="432"/>
        </w:trPr>
        <w:tc>
          <w:tcPr>
            <w:tcW w:w="1795" w:type="dxa"/>
          </w:tcPr>
          <w:p w:rsidR="00316A50" w:rsidRPr="00316A50" w:rsidRDefault="00316A50" w:rsidP="00316A50">
            <w:pPr>
              <w:rPr>
                <w:rFonts w:ascii="Times New Roman" w:eastAsia="Calibri" w:hAnsi="Times New Roman" w:cs="Times New Roman"/>
                <w:b/>
                <w:sz w:val="24"/>
                <w:szCs w:val="24"/>
              </w:rPr>
            </w:pPr>
            <w:r w:rsidRPr="00316A50">
              <w:rPr>
                <w:rFonts w:ascii="Times New Roman" w:eastAsia="Calibri" w:hAnsi="Times New Roman" w:cs="Times New Roman"/>
                <w:b/>
                <w:sz w:val="24"/>
                <w:szCs w:val="24"/>
              </w:rPr>
              <w:t>Sektori Mjedis</w:t>
            </w:r>
          </w:p>
        </w:tc>
        <w:tc>
          <w:tcPr>
            <w:tcW w:w="2610" w:type="dxa"/>
          </w:tcPr>
          <w:p w:rsidR="00316A50" w:rsidRPr="00316A50" w:rsidRDefault="00316A50" w:rsidP="00316A50">
            <w:pPr>
              <w:rPr>
                <w:rFonts w:ascii="Times New Roman" w:eastAsia="Calibri" w:hAnsi="Times New Roman" w:cs="Times New Roman"/>
                <w:b/>
                <w:sz w:val="24"/>
                <w:szCs w:val="24"/>
              </w:rPr>
            </w:pPr>
            <w:r w:rsidRPr="00316A50">
              <w:rPr>
                <w:rFonts w:ascii="Times New Roman" w:eastAsia="Calibri" w:hAnsi="Times New Roman" w:cs="Times New Roman"/>
                <w:b/>
                <w:sz w:val="24"/>
                <w:szCs w:val="24"/>
              </w:rPr>
              <w:t>Nr. Inspektime online</w:t>
            </w:r>
          </w:p>
        </w:tc>
        <w:tc>
          <w:tcPr>
            <w:tcW w:w="2790" w:type="dxa"/>
          </w:tcPr>
          <w:p w:rsidR="00316A50" w:rsidRPr="00316A50" w:rsidRDefault="00316A50" w:rsidP="00316A50">
            <w:pPr>
              <w:rPr>
                <w:rFonts w:ascii="Times New Roman" w:eastAsia="Calibri" w:hAnsi="Times New Roman" w:cs="Times New Roman"/>
                <w:b/>
                <w:sz w:val="24"/>
                <w:szCs w:val="24"/>
              </w:rPr>
            </w:pPr>
            <w:r w:rsidRPr="00316A50">
              <w:rPr>
                <w:rFonts w:ascii="Times New Roman" w:eastAsia="Calibri" w:hAnsi="Times New Roman" w:cs="Times New Roman"/>
                <w:b/>
                <w:sz w:val="24"/>
                <w:szCs w:val="24"/>
              </w:rPr>
              <w:t>Nr. Inspektime manuale</w:t>
            </w:r>
          </w:p>
        </w:tc>
        <w:tc>
          <w:tcPr>
            <w:tcW w:w="1800" w:type="dxa"/>
          </w:tcPr>
          <w:p w:rsidR="00316A50" w:rsidRPr="00316A50" w:rsidRDefault="00316A50" w:rsidP="00316A50">
            <w:pPr>
              <w:rPr>
                <w:rFonts w:ascii="Times New Roman" w:eastAsia="Calibri" w:hAnsi="Times New Roman" w:cs="Times New Roman"/>
                <w:b/>
                <w:sz w:val="24"/>
                <w:szCs w:val="24"/>
                <w:highlight w:val="yellow"/>
              </w:rPr>
            </w:pPr>
            <w:r w:rsidRPr="00316A50">
              <w:rPr>
                <w:rFonts w:ascii="Times New Roman" w:eastAsia="Calibri" w:hAnsi="Times New Roman" w:cs="Times New Roman"/>
                <w:b/>
                <w:sz w:val="24"/>
                <w:szCs w:val="24"/>
              </w:rPr>
              <w:t>Total mjedis</w:t>
            </w:r>
          </w:p>
        </w:tc>
      </w:tr>
      <w:tr w:rsidR="00316A50" w:rsidRPr="00316A50" w:rsidTr="00DA3FBA">
        <w:trPr>
          <w:trHeight w:val="432"/>
        </w:trPr>
        <w:tc>
          <w:tcPr>
            <w:tcW w:w="1795"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Times New Roman" w:hAnsi="Times New Roman" w:cs="Times New Roman"/>
                <w:sz w:val="24"/>
                <w:szCs w:val="24"/>
              </w:rPr>
              <w:t>AKM-DQ</w:t>
            </w:r>
          </w:p>
        </w:tc>
        <w:tc>
          <w:tcPr>
            <w:tcW w:w="261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282</w:t>
            </w:r>
          </w:p>
        </w:tc>
        <w:tc>
          <w:tcPr>
            <w:tcW w:w="279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107</w:t>
            </w:r>
          </w:p>
        </w:tc>
        <w:tc>
          <w:tcPr>
            <w:tcW w:w="1800" w:type="dxa"/>
            <w:vAlign w:val="center"/>
          </w:tcPr>
          <w:p w:rsidR="00316A50" w:rsidRPr="00316A50" w:rsidRDefault="00316A50" w:rsidP="00316A50">
            <w:pPr>
              <w:jc w:val="center"/>
              <w:rPr>
                <w:rFonts w:ascii="Times New Roman" w:eastAsia="Calibri" w:hAnsi="Times New Roman" w:cs="Times New Roman"/>
                <w:b/>
                <w:sz w:val="24"/>
                <w:szCs w:val="24"/>
              </w:rPr>
            </w:pPr>
            <w:r w:rsidRPr="00316A50">
              <w:rPr>
                <w:rFonts w:ascii="Times New Roman" w:eastAsia="Calibri" w:hAnsi="Times New Roman" w:cs="Times New Roman"/>
                <w:b/>
                <w:sz w:val="24"/>
                <w:szCs w:val="24"/>
              </w:rPr>
              <w:t>389</w:t>
            </w:r>
          </w:p>
        </w:tc>
      </w:tr>
      <w:tr w:rsidR="00316A50" w:rsidRPr="00316A50" w:rsidTr="00DA3FBA">
        <w:trPr>
          <w:trHeight w:val="432"/>
        </w:trPr>
        <w:tc>
          <w:tcPr>
            <w:tcW w:w="1795"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Times New Roman" w:hAnsi="Times New Roman" w:cs="Times New Roman"/>
                <w:sz w:val="24"/>
                <w:szCs w:val="24"/>
              </w:rPr>
              <w:t>ARM-TR</w:t>
            </w:r>
          </w:p>
        </w:tc>
        <w:tc>
          <w:tcPr>
            <w:tcW w:w="261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264</w:t>
            </w:r>
          </w:p>
        </w:tc>
        <w:tc>
          <w:tcPr>
            <w:tcW w:w="279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125</w:t>
            </w:r>
          </w:p>
        </w:tc>
        <w:tc>
          <w:tcPr>
            <w:tcW w:w="1800" w:type="dxa"/>
            <w:vAlign w:val="center"/>
          </w:tcPr>
          <w:p w:rsidR="00316A50" w:rsidRPr="00316A50" w:rsidRDefault="00316A50" w:rsidP="00316A50">
            <w:pPr>
              <w:jc w:val="center"/>
              <w:rPr>
                <w:rFonts w:ascii="Times New Roman" w:eastAsia="Calibri" w:hAnsi="Times New Roman" w:cs="Times New Roman"/>
                <w:b/>
                <w:sz w:val="24"/>
                <w:szCs w:val="24"/>
              </w:rPr>
            </w:pPr>
            <w:r w:rsidRPr="00316A50">
              <w:rPr>
                <w:rFonts w:ascii="Times New Roman" w:eastAsia="Calibri" w:hAnsi="Times New Roman" w:cs="Times New Roman"/>
                <w:b/>
                <w:sz w:val="24"/>
                <w:szCs w:val="24"/>
              </w:rPr>
              <w:t>389</w:t>
            </w:r>
          </w:p>
        </w:tc>
      </w:tr>
      <w:tr w:rsidR="00316A50" w:rsidRPr="00316A50" w:rsidTr="00DA3FBA">
        <w:trPr>
          <w:trHeight w:val="432"/>
        </w:trPr>
        <w:tc>
          <w:tcPr>
            <w:tcW w:w="1795"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Times New Roman" w:hAnsi="Times New Roman" w:cs="Times New Roman"/>
                <w:sz w:val="24"/>
                <w:szCs w:val="24"/>
              </w:rPr>
              <w:t>ARM-BR</w:t>
            </w:r>
          </w:p>
        </w:tc>
        <w:tc>
          <w:tcPr>
            <w:tcW w:w="261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136</w:t>
            </w:r>
          </w:p>
        </w:tc>
        <w:tc>
          <w:tcPr>
            <w:tcW w:w="279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206</w:t>
            </w:r>
          </w:p>
        </w:tc>
        <w:tc>
          <w:tcPr>
            <w:tcW w:w="1800" w:type="dxa"/>
            <w:vAlign w:val="center"/>
          </w:tcPr>
          <w:p w:rsidR="00316A50" w:rsidRPr="00316A50" w:rsidRDefault="00316A50" w:rsidP="00316A50">
            <w:pPr>
              <w:jc w:val="center"/>
              <w:rPr>
                <w:rFonts w:ascii="Times New Roman" w:eastAsia="Calibri" w:hAnsi="Times New Roman" w:cs="Times New Roman"/>
                <w:b/>
                <w:sz w:val="24"/>
                <w:szCs w:val="24"/>
              </w:rPr>
            </w:pPr>
            <w:r w:rsidRPr="00316A50">
              <w:rPr>
                <w:rFonts w:ascii="Times New Roman" w:eastAsia="Calibri" w:hAnsi="Times New Roman" w:cs="Times New Roman"/>
                <w:b/>
                <w:sz w:val="24"/>
                <w:szCs w:val="24"/>
              </w:rPr>
              <w:t>342</w:t>
            </w:r>
          </w:p>
        </w:tc>
      </w:tr>
      <w:tr w:rsidR="00316A50" w:rsidRPr="00316A50" w:rsidTr="00DA3FBA">
        <w:trPr>
          <w:trHeight w:val="432"/>
        </w:trPr>
        <w:tc>
          <w:tcPr>
            <w:tcW w:w="1795"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Times New Roman" w:hAnsi="Times New Roman" w:cs="Times New Roman"/>
                <w:sz w:val="24"/>
                <w:szCs w:val="24"/>
              </w:rPr>
              <w:t>ARM-FR</w:t>
            </w:r>
          </w:p>
        </w:tc>
        <w:tc>
          <w:tcPr>
            <w:tcW w:w="261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210</w:t>
            </w:r>
          </w:p>
        </w:tc>
        <w:tc>
          <w:tcPr>
            <w:tcW w:w="279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148</w:t>
            </w:r>
          </w:p>
        </w:tc>
        <w:tc>
          <w:tcPr>
            <w:tcW w:w="1800" w:type="dxa"/>
            <w:vAlign w:val="center"/>
          </w:tcPr>
          <w:p w:rsidR="00316A50" w:rsidRPr="00316A50" w:rsidRDefault="00316A50" w:rsidP="00316A50">
            <w:pPr>
              <w:jc w:val="center"/>
              <w:rPr>
                <w:rFonts w:ascii="Times New Roman" w:eastAsia="Calibri" w:hAnsi="Times New Roman" w:cs="Times New Roman"/>
                <w:b/>
                <w:sz w:val="24"/>
                <w:szCs w:val="24"/>
              </w:rPr>
            </w:pPr>
            <w:r w:rsidRPr="00316A50">
              <w:rPr>
                <w:rFonts w:ascii="Times New Roman" w:eastAsia="Calibri" w:hAnsi="Times New Roman" w:cs="Times New Roman"/>
                <w:b/>
                <w:sz w:val="24"/>
                <w:szCs w:val="24"/>
              </w:rPr>
              <w:t>358</w:t>
            </w:r>
          </w:p>
        </w:tc>
      </w:tr>
      <w:tr w:rsidR="00316A50" w:rsidRPr="00316A50" w:rsidTr="00DA3FBA">
        <w:trPr>
          <w:trHeight w:val="432"/>
        </w:trPr>
        <w:tc>
          <w:tcPr>
            <w:tcW w:w="1795" w:type="dxa"/>
            <w:vAlign w:val="center"/>
          </w:tcPr>
          <w:p w:rsidR="00316A50" w:rsidRPr="00316A50" w:rsidRDefault="00316A50" w:rsidP="00316A50">
            <w:pPr>
              <w:jc w:val="center"/>
              <w:rPr>
                <w:rFonts w:ascii="Times New Roman" w:eastAsia="Times New Roman" w:hAnsi="Times New Roman" w:cs="Times New Roman"/>
                <w:sz w:val="24"/>
                <w:szCs w:val="24"/>
              </w:rPr>
            </w:pPr>
            <w:r w:rsidRPr="00316A50">
              <w:rPr>
                <w:rFonts w:ascii="Times New Roman" w:eastAsia="Times New Roman" w:hAnsi="Times New Roman" w:cs="Times New Roman"/>
                <w:sz w:val="24"/>
                <w:szCs w:val="24"/>
              </w:rPr>
              <w:t>ARM-LE</w:t>
            </w:r>
          </w:p>
        </w:tc>
        <w:tc>
          <w:tcPr>
            <w:tcW w:w="261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185</w:t>
            </w:r>
          </w:p>
        </w:tc>
        <w:tc>
          <w:tcPr>
            <w:tcW w:w="2790" w:type="dxa"/>
            <w:vAlign w:val="center"/>
          </w:tcPr>
          <w:p w:rsidR="00316A50" w:rsidRPr="00316A50" w:rsidRDefault="00316A50" w:rsidP="00316A50">
            <w:pPr>
              <w:jc w:val="center"/>
              <w:rPr>
                <w:rFonts w:ascii="Times New Roman" w:eastAsia="Calibri" w:hAnsi="Times New Roman" w:cs="Times New Roman"/>
                <w:sz w:val="24"/>
                <w:szCs w:val="24"/>
              </w:rPr>
            </w:pPr>
            <w:r w:rsidRPr="00316A50">
              <w:rPr>
                <w:rFonts w:ascii="Times New Roman" w:eastAsia="Calibri" w:hAnsi="Times New Roman" w:cs="Times New Roman"/>
                <w:sz w:val="24"/>
                <w:szCs w:val="24"/>
              </w:rPr>
              <w:t>66</w:t>
            </w:r>
          </w:p>
        </w:tc>
        <w:tc>
          <w:tcPr>
            <w:tcW w:w="1800" w:type="dxa"/>
            <w:vAlign w:val="center"/>
          </w:tcPr>
          <w:p w:rsidR="00316A50" w:rsidRPr="00316A50" w:rsidRDefault="00316A50" w:rsidP="00316A50">
            <w:pPr>
              <w:jc w:val="center"/>
              <w:rPr>
                <w:rFonts w:ascii="Times New Roman" w:eastAsia="Calibri" w:hAnsi="Times New Roman" w:cs="Times New Roman"/>
                <w:b/>
                <w:sz w:val="24"/>
                <w:szCs w:val="24"/>
              </w:rPr>
            </w:pPr>
            <w:r w:rsidRPr="00316A50">
              <w:rPr>
                <w:rFonts w:ascii="Times New Roman" w:eastAsia="Calibri" w:hAnsi="Times New Roman" w:cs="Times New Roman"/>
                <w:b/>
                <w:sz w:val="24"/>
                <w:szCs w:val="24"/>
              </w:rPr>
              <w:t>251</w:t>
            </w:r>
          </w:p>
        </w:tc>
      </w:tr>
      <w:tr w:rsidR="00316A50" w:rsidRPr="00316A50" w:rsidTr="00DA3FBA">
        <w:trPr>
          <w:trHeight w:val="432"/>
        </w:trPr>
        <w:tc>
          <w:tcPr>
            <w:tcW w:w="7195" w:type="dxa"/>
            <w:gridSpan w:val="3"/>
            <w:vAlign w:val="center"/>
          </w:tcPr>
          <w:p w:rsidR="00316A50" w:rsidRPr="00316A50" w:rsidRDefault="00316A50" w:rsidP="00316A50">
            <w:pPr>
              <w:jc w:val="center"/>
              <w:rPr>
                <w:rFonts w:ascii="Times New Roman" w:eastAsia="Calibri" w:hAnsi="Times New Roman" w:cs="Times New Roman"/>
                <w:b/>
                <w:sz w:val="24"/>
                <w:szCs w:val="24"/>
              </w:rPr>
            </w:pPr>
            <w:r w:rsidRPr="00316A50">
              <w:rPr>
                <w:rFonts w:ascii="Times New Roman" w:eastAsia="Calibri" w:hAnsi="Times New Roman" w:cs="Times New Roman"/>
                <w:b/>
                <w:sz w:val="24"/>
                <w:szCs w:val="24"/>
              </w:rPr>
              <w:t>TOTAL MJEDIS</w:t>
            </w:r>
          </w:p>
        </w:tc>
        <w:tc>
          <w:tcPr>
            <w:tcW w:w="1800" w:type="dxa"/>
            <w:vAlign w:val="center"/>
          </w:tcPr>
          <w:p w:rsidR="00316A50" w:rsidRPr="00316A50" w:rsidRDefault="00316A50" w:rsidP="00316A50">
            <w:pPr>
              <w:jc w:val="center"/>
              <w:rPr>
                <w:rFonts w:ascii="Times New Roman" w:eastAsia="Calibri" w:hAnsi="Times New Roman" w:cs="Times New Roman"/>
                <w:b/>
                <w:sz w:val="24"/>
                <w:szCs w:val="24"/>
              </w:rPr>
            </w:pPr>
            <w:r w:rsidRPr="00316A50">
              <w:rPr>
                <w:rFonts w:ascii="Times New Roman" w:eastAsia="Calibri" w:hAnsi="Times New Roman" w:cs="Times New Roman"/>
                <w:b/>
                <w:sz w:val="24"/>
                <w:szCs w:val="24"/>
              </w:rPr>
              <w:t>1729</w:t>
            </w:r>
          </w:p>
        </w:tc>
      </w:tr>
    </w:tbl>
    <w:p w:rsidR="00884270" w:rsidRDefault="00884270" w:rsidP="005E2B26">
      <w:pPr>
        <w:spacing w:after="0" w:line="276" w:lineRule="auto"/>
        <w:jc w:val="both"/>
        <w:rPr>
          <w:rFonts w:ascii="Times New Roman" w:eastAsia="Times New Roman" w:hAnsi="Times New Roman" w:cs="Times New Roman"/>
          <w:sz w:val="24"/>
          <w:szCs w:val="24"/>
        </w:rPr>
      </w:pPr>
    </w:p>
    <w:p w:rsidR="00884270" w:rsidRPr="005E2B26" w:rsidRDefault="00884270" w:rsidP="00884270">
      <w:pPr>
        <w:spacing w:after="20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7.2 Përfundime</w:t>
      </w:r>
    </w:p>
    <w:p w:rsidR="00884270" w:rsidRPr="005E2B26" w:rsidRDefault="00884270" w:rsidP="00884270">
      <w:pPr>
        <w:spacing w:after="200" w:line="276" w:lineRule="auto"/>
        <w:jc w:val="both"/>
        <w:rPr>
          <w:rFonts w:ascii="Times New Roman" w:eastAsia="Times New Roman" w:hAnsi="Times New Roman" w:cs="Times New Roman"/>
          <w:sz w:val="24"/>
          <w:szCs w:val="24"/>
        </w:rPr>
      </w:pPr>
      <w:r w:rsidRPr="005E2B26">
        <w:rPr>
          <w:rFonts w:ascii="Times New Roman" w:eastAsia="Times New Roman" w:hAnsi="Times New Roman" w:cs="Times New Roman"/>
          <w:sz w:val="24"/>
          <w:szCs w:val="24"/>
        </w:rPr>
        <w:t>Nga raportet e vetëmonitorimit të dërguara nga operatorët pranë Agjencisë Kombëtare të Mjedisit për vitin 202</w:t>
      </w:r>
      <w:r>
        <w:rPr>
          <w:rFonts w:ascii="Times New Roman" w:eastAsia="Times New Roman" w:hAnsi="Times New Roman" w:cs="Times New Roman"/>
          <w:sz w:val="24"/>
          <w:szCs w:val="24"/>
        </w:rPr>
        <w:t>5</w:t>
      </w:r>
      <w:r w:rsidRPr="005E2B26">
        <w:rPr>
          <w:rFonts w:ascii="Times New Roman" w:eastAsia="Times New Roman" w:hAnsi="Times New Roman" w:cs="Times New Roman"/>
          <w:sz w:val="24"/>
          <w:szCs w:val="24"/>
        </w:rPr>
        <w:t xml:space="preserve"> rezulton se parametrat e matur të përcaktuar në lejen mjedisore të tyre janë brenda normave të përcaktuara në legjislacion përkatës.</w:t>
      </w:r>
    </w:p>
    <w:p w:rsidR="00884270" w:rsidRPr="005E2B26" w:rsidRDefault="00884270" w:rsidP="0088427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Vërehet një rritje e </w:t>
      </w:r>
      <w:r w:rsidRPr="005E2B26">
        <w:rPr>
          <w:rFonts w:ascii="Times New Roman" w:eastAsia="Times New Roman" w:hAnsi="Times New Roman" w:cs="Times New Roman"/>
          <w:sz w:val="24"/>
          <w:szCs w:val="24"/>
        </w:rPr>
        <w:t>dorëzimit të raporteve të vetmonitorimit</w:t>
      </w:r>
      <w:r>
        <w:rPr>
          <w:rFonts w:ascii="Times New Roman" w:eastAsia="Times New Roman" w:hAnsi="Times New Roman" w:cs="Times New Roman"/>
          <w:sz w:val="24"/>
          <w:szCs w:val="24"/>
        </w:rPr>
        <w:t xml:space="preserve"> gjatë vitit 2025, </w:t>
      </w:r>
      <w:r w:rsidRPr="005E2B26">
        <w:rPr>
          <w:rFonts w:ascii="Times New Roman" w:eastAsia="Times New Roman" w:hAnsi="Times New Roman" w:cs="Times New Roman"/>
          <w:sz w:val="24"/>
          <w:szCs w:val="24"/>
        </w:rPr>
        <w:t xml:space="preserve"> krahasuar me vitin 202</w:t>
      </w:r>
      <w:r>
        <w:rPr>
          <w:rFonts w:ascii="Times New Roman" w:eastAsia="Times New Roman" w:hAnsi="Times New Roman" w:cs="Times New Roman"/>
          <w:sz w:val="24"/>
          <w:szCs w:val="24"/>
        </w:rPr>
        <w:t>4 për qarkun Tiranë, Durrës , Berat, Fier dhe Elbasan dhe ulje e dorëzimit të raporteve për qarqet e tjera.</w:t>
      </w:r>
    </w:p>
    <w:p w:rsidR="00884270" w:rsidRDefault="00884270" w:rsidP="00884270">
      <w:pPr>
        <w:spacing w:after="0" w:line="276" w:lineRule="auto"/>
        <w:jc w:val="both"/>
        <w:rPr>
          <w:rFonts w:ascii="Times New Roman" w:eastAsia="Times New Roman" w:hAnsi="Times New Roman" w:cs="Times New Roman"/>
          <w:sz w:val="24"/>
          <w:szCs w:val="24"/>
        </w:rPr>
      </w:pPr>
    </w:p>
    <w:p w:rsidR="00884270" w:rsidRPr="005E2B26" w:rsidRDefault="008E27B4" w:rsidP="0088427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Kemi rritje të aplikimeve pë</w:t>
      </w:r>
      <w:r w:rsidR="00884270">
        <w:rPr>
          <w:rFonts w:ascii="Times New Roman" w:eastAsia="Times New Roman" w:hAnsi="Times New Roman" w:cs="Times New Roman"/>
          <w:sz w:val="24"/>
          <w:szCs w:val="24"/>
        </w:rPr>
        <w:t>r lejet e mjedisit dhe vlerësimin e ndikimit në mjedis (VNM) në vitin 2025 krahasuar me vitin 2024.</w:t>
      </w:r>
    </w:p>
    <w:p w:rsidR="00E575BB" w:rsidRDefault="00E575BB" w:rsidP="00E575BB">
      <w:pPr>
        <w:spacing w:after="0" w:line="276" w:lineRule="auto"/>
        <w:jc w:val="both"/>
        <w:rPr>
          <w:rFonts w:ascii="Times New Roman" w:eastAsia="Times New Roman" w:hAnsi="Times New Roman" w:cs="Times New Roman"/>
          <w:sz w:val="24"/>
          <w:szCs w:val="24"/>
        </w:rPr>
      </w:pPr>
    </w:p>
    <w:p w:rsidR="00E575BB" w:rsidRDefault="00E575BB" w:rsidP="00E575B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Jane kryer 2213 inspektime në tot</w:t>
      </w:r>
      <w:r w:rsidR="008E27B4">
        <w:rPr>
          <w:rFonts w:ascii="Times New Roman" w:eastAsia="Times New Roman" w:hAnsi="Times New Roman" w:cs="Times New Roman"/>
          <w:sz w:val="24"/>
          <w:szCs w:val="24"/>
        </w:rPr>
        <w:t>al nga të cilat 484 inspektime i</w:t>
      </w:r>
      <w:r>
        <w:rPr>
          <w:rFonts w:ascii="Times New Roman" w:eastAsia="Times New Roman" w:hAnsi="Times New Roman" w:cs="Times New Roman"/>
          <w:sz w:val="24"/>
          <w:szCs w:val="24"/>
        </w:rPr>
        <w:t xml:space="preserve"> përkasin fushës se ujërave dhe 1729 inspektime në fushën e mjedisit.</w:t>
      </w:r>
    </w:p>
    <w:p w:rsidR="00E575BB" w:rsidRPr="005E2B26" w:rsidRDefault="00E575BB" w:rsidP="005E2B26">
      <w:pPr>
        <w:spacing w:after="0" w:line="276" w:lineRule="auto"/>
        <w:jc w:val="both"/>
        <w:rPr>
          <w:rFonts w:ascii="Times New Roman" w:eastAsia="Times New Roman" w:hAnsi="Times New Roman" w:cs="Times New Roman"/>
          <w:sz w:val="24"/>
          <w:szCs w:val="24"/>
        </w:rPr>
      </w:pPr>
    </w:p>
    <w:p w:rsidR="005E2B26" w:rsidRPr="005E2B26" w:rsidRDefault="00884270" w:rsidP="005E2B26">
      <w:pPr>
        <w:spacing w:after="20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7.3</w:t>
      </w:r>
      <w:r w:rsidR="005E2B26" w:rsidRPr="005E2B26">
        <w:rPr>
          <w:rFonts w:ascii="Times New Roman" w:eastAsia="Times New Roman" w:hAnsi="Times New Roman" w:cs="Times New Roman"/>
          <w:b/>
          <w:sz w:val="24"/>
          <w:szCs w:val="24"/>
        </w:rPr>
        <w:t>. Rekomandime</w:t>
      </w:r>
    </w:p>
    <w:p w:rsidR="005E2B26" w:rsidRPr="005E2B26" w:rsidRDefault="005E2B26" w:rsidP="00807975">
      <w:pPr>
        <w:numPr>
          <w:ilvl w:val="0"/>
          <w:numId w:val="31"/>
        </w:numPr>
        <w:spacing w:after="0" w:line="240" w:lineRule="auto"/>
        <w:contextualSpacing/>
        <w:jc w:val="both"/>
        <w:rPr>
          <w:rFonts w:ascii="Times New Roman" w:eastAsia="Times New Roman" w:hAnsi="Times New Roman" w:cs="Times New Roman"/>
          <w:sz w:val="24"/>
          <w:szCs w:val="24"/>
        </w:rPr>
      </w:pPr>
      <w:r w:rsidRPr="005E2B26">
        <w:rPr>
          <w:rFonts w:ascii="Times New Roman" w:eastAsia="Times New Roman" w:hAnsi="Times New Roman" w:cs="Times New Roman"/>
          <w:sz w:val="24"/>
          <w:szCs w:val="24"/>
        </w:rPr>
        <w:t>Për kompani të mëdha ose të pajisura me Leje Mjedisore të Tipit A, të bëhet monitorimi i vazhdueshëm i parametrave të ajrit.</w:t>
      </w:r>
    </w:p>
    <w:p w:rsidR="005E2B26" w:rsidRPr="005E2B26" w:rsidRDefault="005E2B26" w:rsidP="00807975">
      <w:pPr>
        <w:numPr>
          <w:ilvl w:val="0"/>
          <w:numId w:val="31"/>
        </w:numPr>
        <w:spacing w:after="0" w:line="240" w:lineRule="auto"/>
        <w:contextualSpacing/>
        <w:jc w:val="both"/>
        <w:rPr>
          <w:rFonts w:ascii="Times New Roman" w:eastAsia="Times New Roman" w:hAnsi="Times New Roman" w:cs="Times New Roman"/>
          <w:sz w:val="24"/>
          <w:szCs w:val="24"/>
        </w:rPr>
      </w:pPr>
      <w:r w:rsidRPr="005E2B26">
        <w:rPr>
          <w:rFonts w:ascii="Times New Roman" w:eastAsia="Times New Roman" w:hAnsi="Times New Roman" w:cs="Times New Roman"/>
          <w:sz w:val="24"/>
          <w:szCs w:val="24"/>
        </w:rPr>
        <w:t>Të gjithë operatorët që bëjnë trajtimin e peshkut si dhe të prodhimet të pijeve alkolike apo produkteve ushqimore të instalojnë impiante të trajtimit të ujërave teknologjike.</w:t>
      </w:r>
    </w:p>
    <w:p w:rsidR="005E2B26" w:rsidRDefault="005E2B26" w:rsidP="00807975">
      <w:pPr>
        <w:numPr>
          <w:ilvl w:val="0"/>
          <w:numId w:val="31"/>
        </w:numPr>
        <w:spacing w:after="0" w:line="240" w:lineRule="auto"/>
        <w:contextualSpacing/>
        <w:jc w:val="both"/>
        <w:rPr>
          <w:rFonts w:ascii="Times New Roman" w:eastAsia="Times New Roman" w:hAnsi="Times New Roman" w:cs="Times New Roman"/>
          <w:sz w:val="24"/>
          <w:szCs w:val="24"/>
        </w:rPr>
      </w:pPr>
      <w:r w:rsidRPr="005E2B26">
        <w:rPr>
          <w:rFonts w:ascii="Times New Roman" w:eastAsia="Times New Roman" w:hAnsi="Times New Roman" w:cs="Times New Roman"/>
          <w:sz w:val="24"/>
          <w:szCs w:val="24"/>
        </w:rPr>
        <w:t>Të merren masa për shkarkimet nga mjetet motorrike.</w:t>
      </w:r>
    </w:p>
    <w:p w:rsidR="00C86E18" w:rsidRPr="00884270" w:rsidRDefault="00C86E18" w:rsidP="00807975">
      <w:pPr>
        <w:numPr>
          <w:ilvl w:val="0"/>
          <w:numId w:val="31"/>
        </w:numPr>
        <w:spacing w:after="0" w:line="240" w:lineRule="auto"/>
        <w:contextualSpacing/>
        <w:jc w:val="both"/>
        <w:rPr>
          <w:rFonts w:ascii="Times New Roman" w:eastAsia="Times New Roman" w:hAnsi="Times New Roman" w:cs="Times New Roman"/>
          <w:sz w:val="24"/>
          <w:szCs w:val="24"/>
        </w:rPr>
      </w:pPr>
      <w:r w:rsidRPr="00884270">
        <w:rPr>
          <w:rFonts w:ascii="Times New Roman" w:eastAsia="Times New Roman" w:hAnsi="Times New Roman" w:cs="Times New Roman"/>
          <w:sz w:val="24"/>
          <w:szCs w:val="24"/>
        </w:rPr>
        <w:t>Kompanitë</w:t>
      </w:r>
      <w:r w:rsidR="00316A50">
        <w:rPr>
          <w:rFonts w:ascii="Times New Roman" w:eastAsia="Times New Roman" w:hAnsi="Times New Roman" w:cs="Times New Roman"/>
          <w:sz w:val="24"/>
          <w:szCs w:val="24"/>
        </w:rPr>
        <w:t>/subjektet</w:t>
      </w:r>
      <w:r w:rsidRPr="00884270">
        <w:rPr>
          <w:rFonts w:ascii="Times New Roman" w:eastAsia="Times New Roman" w:hAnsi="Times New Roman" w:cs="Times New Roman"/>
          <w:sz w:val="24"/>
          <w:szCs w:val="24"/>
        </w:rPr>
        <w:t xml:space="preserve"> të përdorin teknologjitë më të mira në dispozicion për minimizimin e ndotjes së mjedisit.</w:t>
      </w:r>
    </w:p>
    <w:p w:rsidR="005E2B26" w:rsidRPr="005E2B26" w:rsidRDefault="005E2B26" w:rsidP="005E2B26">
      <w:pPr>
        <w:spacing w:after="200" w:line="276" w:lineRule="auto"/>
        <w:jc w:val="both"/>
        <w:rPr>
          <w:rFonts w:ascii="Times New Roman" w:eastAsia="Times New Roman" w:hAnsi="Times New Roman" w:cs="Times New Roman"/>
          <w:b/>
          <w:sz w:val="24"/>
          <w:szCs w:val="24"/>
        </w:rPr>
      </w:pPr>
    </w:p>
    <w:p w:rsidR="005E2B26" w:rsidRPr="005E2B26" w:rsidRDefault="005E2B26" w:rsidP="005E2B26">
      <w:pPr>
        <w:spacing w:after="200" w:line="276" w:lineRule="auto"/>
        <w:jc w:val="both"/>
        <w:rPr>
          <w:rFonts w:ascii="Times New Roman" w:eastAsia="Times New Roman" w:hAnsi="Times New Roman" w:cs="Times New Roman"/>
          <w:b/>
          <w:sz w:val="24"/>
          <w:szCs w:val="24"/>
        </w:rPr>
      </w:pPr>
    </w:p>
    <w:p w:rsidR="005E2B26" w:rsidRPr="005E2B26" w:rsidRDefault="005E2B26" w:rsidP="005E2B26">
      <w:pPr>
        <w:spacing w:after="200" w:line="276" w:lineRule="auto"/>
        <w:jc w:val="both"/>
        <w:rPr>
          <w:rFonts w:ascii="Times New Roman" w:eastAsia="Times New Roman" w:hAnsi="Times New Roman" w:cs="Times New Roman"/>
          <w:b/>
          <w:sz w:val="24"/>
          <w:szCs w:val="24"/>
        </w:rPr>
      </w:pPr>
    </w:p>
    <w:p w:rsidR="002B575F" w:rsidRPr="003A5B42" w:rsidRDefault="002B575F" w:rsidP="00106763">
      <w:pPr>
        <w:spacing w:after="0" w:line="240" w:lineRule="auto"/>
        <w:jc w:val="both"/>
        <w:rPr>
          <w:rFonts w:ascii="Times New Roman" w:eastAsia="Times New Roman" w:hAnsi="Times New Roman" w:cs="Times New Roman"/>
          <w:sz w:val="24"/>
          <w:szCs w:val="24"/>
          <w:lang w:val="it-IT"/>
        </w:rPr>
      </w:pPr>
    </w:p>
    <w:p w:rsidR="00773E68" w:rsidRPr="003A5B42" w:rsidRDefault="00773E68" w:rsidP="00773E68">
      <w:pPr>
        <w:spacing w:after="0" w:line="240" w:lineRule="auto"/>
        <w:jc w:val="both"/>
        <w:rPr>
          <w:rFonts w:ascii="Times New Roman" w:eastAsia="Times New Roman" w:hAnsi="Times New Roman" w:cs="Times New Roman"/>
          <w:sz w:val="24"/>
          <w:szCs w:val="24"/>
          <w:lang w:val="it-IT"/>
        </w:rPr>
      </w:pPr>
    </w:p>
    <w:p w:rsidR="00773E68" w:rsidRDefault="00773E68" w:rsidP="00773E68">
      <w:pPr>
        <w:spacing w:after="0" w:line="240" w:lineRule="auto"/>
        <w:jc w:val="both"/>
        <w:rPr>
          <w:rFonts w:ascii="Times New Roman" w:eastAsia="Times New Roman" w:hAnsi="Times New Roman" w:cs="Times New Roman"/>
          <w:sz w:val="24"/>
          <w:szCs w:val="24"/>
          <w:lang w:val="it-IT"/>
        </w:rPr>
      </w:pPr>
    </w:p>
    <w:p w:rsidR="003A5B42" w:rsidRDefault="003A5B42" w:rsidP="00773E68">
      <w:pPr>
        <w:spacing w:after="0" w:line="240" w:lineRule="auto"/>
        <w:jc w:val="both"/>
        <w:rPr>
          <w:rFonts w:ascii="Times New Roman" w:eastAsia="Times New Roman" w:hAnsi="Times New Roman" w:cs="Times New Roman"/>
          <w:sz w:val="24"/>
          <w:szCs w:val="24"/>
          <w:lang w:val="it-IT"/>
        </w:rPr>
      </w:pPr>
    </w:p>
    <w:p w:rsidR="00DD196F" w:rsidRDefault="00DD196F" w:rsidP="004D7AA4">
      <w:pPr>
        <w:rPr>
          <w:rFonts w:ascii="Arial" w:eastAsia="Times New Roman" w:hAnsi="Arial" w:cs="Arial"/>
          <w:color w:val="3D5265"/>
          <w:sz w:val="24"/>
          <w:szCs w:val="24"/>
        </w:rPr>
      </w:pPr>
    </w:p>
    <w:p w:rsidR="00BD2329" w:rsidRDefault="00BD2329" w:rsidP="004D7AA4">
      <w:pPr>
        <w:rPr>
          <w:rFonts w:ascii="Arial" w:eastAsia="Times New Roman" w:hAnsi="Arial" w:cs="Arial"/>
          <w:color w:val="3D5265"/>
          <w:sz w:val="24"/>
          <w:szCs w:val="24"/>
        </w:rPr>
      </w:pPr>
    </w:p>
    <w:p w:rsidR="00BD2329" w:rsidRPr="00D60B7B" w:rsidRDefault="00013158" w:rsidP="00BD2329">
      <w:pPr>
        <w:jc w:val="center"/>
        <w:rPr>
          <w:rFonts w:ascii="Times New Roman" w:eastAsia="Times New Roman" w:hAnsi="Times New Roman" w:cs="Times New Roman"/>
          <w:b/>
          <w:sz w:val="24"/>
          <w:szCs w:val="24"/>
        </w:rPr>
      </w:pPr>
      <w:r w:rsidRPr="00D60B7B">
        <w:rPr>
          <w:rFonts w:ascii="Times New Roman" w:eastAsia="Times New Roman" w:hAnsi="Times New Roman" w:cs="Times New Roman"/>
          <w:b/>
          <w:sz w:val="24"/>
          <w:szCs w:val="24"/>
        </w:rPr>
        <w:t xml:space="preserve">KAPITULLI </w:t>
      </w:r>
      <w:r w:rsidR="00D60B7B">
        <w:rPr>
          <w:rFonts w:ascii="Times New Roman" w:eastAsia="Times New Roman" w:hAnsi="Times New Roman" w:cs="Times New Roman"/>
          <w:b/>
          <w:sz w:val="24"/>
          <w:szCs w:val="24"/>
        </w:rPr>
        <w:t xml:space="preserve"> </w:t>
      </w:r>
      <w:r w:rsidRPr="00D60B7B">
        <w:rPr>
          <w:rFonts w:ascii="Times New Roman" w:eastAsia="Times New Roman" w:hAnsi="Times New Roman" w:cs="Times New Roman"/>
          <w:b/>
          <w:sz w:val="24"/>
          <w:szCs w:val="24"/>
        </w:rPr>
        <w:t>8</w:t>
      </w:r>
    </w:p>
    <w:p w:rsidR="00BD2329" w:rsidRPr="00D60B7B" w:rsidRDefault="00506621" w:rsidP="00BD232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PYJET DHE </w:t>
      </w:r>
      <w:r w:rsidR="00013158" w:rsidRPr="00D60B7B">
        <w:rPr>
          <w:rFonts w:ascii="Times New Roman" w:eastAsia="Times New Roman" w:hAnsi="Times New Roman" w:cs="Times New Roman"/>
          <w:b/>
          <w:sz w:val="24"/>
          <w:szCs w:val="24"/>
        </w:rPr>
        <w:t xml:space="preserve">BIODIVERSITETI </w:t>
      </w:r>
    </w:p>
    <w:p w:rsidR="00BD2329" w:rsidRDefault="00BD2329" w:rsidP="004D7AA4">
      <w:pPr>
        <w:rPr>
          <w:rFonts w:ascii="Arial" w:eastAsia="Times New Roman" w:hAnsi="Arial" w:cs="Arial"/>
          <w:color w:val="3D5265"/>
          <w:sz w:val="24"/>
          <w:szCs w:val="24"/>
        </w:rPr>
      </w:pPr>
    </w:p>
    <w:p w:rsidR="00BD2329" w:rsidRDefault="00346DEB" w:rsidP="004D7AA4">
      <w:pPr>
        <w:rPr>
          <w:rFonts w:ascii="Arial" w:eastAsia="Times New Roman" w:hAnsi="Arial" w:cs="Arial"/>
          <w:color w:val="3D5265"/>
          <w:sz w:val="24"/>
          <w:szCs w:val="24"/>
        </w:rPr>
      </w:pPr>
      <w:r>
        <w:rPr>
          <w:noProof/>
        </w:rPr>
        <w:drawing>
          <wp:inline distT="0" distB="0" distL="0" distR="0" wp14:anchorId="29875ADB" wp14:editId="52C8E193">
            <wp:extent cx="5943600" cy="3343275"/>
            <wp:effectExtent l="0" t="0" r="0" b="9525"/>
            <wp:docPr id="372" name="Picture 372" descr="Në 5 Vite, Pyjet Shqiptare u Pakësuan Me 1 Mijë Hektarë - Agr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ë 5 Vite, Pyjet Shqiptare u Pakësuan Me 1 Mijë Hektarë - AgroWeb"/>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BD2329" w:rsidRDefault="00BD2329" w:rsidP="004D7AA4">
      <w:pPr>
        <w:rPr>
          <w:rFonts w:ascii="Arial" w:eastAsia="Times New Roman" w:hAnsi="Arial" w:cs="Arial"/>
          <w:color w:val="3D5265"/>
          <w:sz w:val="24"/>
          <w:szCs w:val="24"/>
        </w:rPr>
      </w:pPr>
    </w:p>
    <w:p w:rsidR="00BD2329" w:rsidRDefault="00BD2329" w:rsidP="004D7AA4">
      <w:pPr>
        <w:rPr>
          <w:rFonts w:ascii="Arial" w:eastAsia="Times New Roman" w:hAnsi="Arial" w:cs="Arial"/>
          <w:color w:val="3D5265"/>
          <w:sz w:val="24"/>
          <w:szCs w:val="24"/>
        </w:rPr>
      </w:pPr>
    </w:p>
    <w:p w:rsidR="00BD2329" w:rsidRDefault="00BD2329" w:rsidP="004D7AA4">
      <w:pPr>
        <w:rPr>
          <w:rFonts w:ascii="Arial" w:eastAsia="Times New Roman" w:hAnsi="Arial" w:cs="Arial"/>
          <w:color w:val="3D5265"/>
          <w:sz w:val="24"/>
          <w:szCs w:val="24"/>
        </w:rPr>
      </w:pPr>
    </w:p>
    <w:p w:rsidR="00346DEB" w:rsidRDefault="00346DEB" w:rsidP="004D7AA4">
      <w:pPr>
        <w:rPr>
          <w:rFonts w:ascii="Arial" w:eastAsia="Times New Roman" w:hAnsi="Arial" w:cs="Arial"/>
          <w:color w:val="3D5265"/>
          <w:sz w:val="24"/>
          <w:szCs w:val="24"/>
        </w:rPr>
      </w:pPr>
    </w:p>
    <w:p w:rsidR="00BD2329" w:rsidRDefault="00BD2329" w:rsidP="004D7AA4">
      <w:pPr>
        <w:rPr>
          <w:rFonts w:ascii="Arial" w:eastAsia="Times New Roman" w:hAnsi="Arial" w:cs="Arial"/>
          <w:color w:val="3D5265"/>
          <w:sz w:val="24"/>
          <w:szCs w:val="24"/>
        </w:rPr>
      </w:pPr>
    </w:p>
    <w:p w:rsidR="004D7AA4" w:rsidRPr="00013158" w:rsidRDefault="00013158" w:rsidP="00013158">
      <w:pPr>
        <w:jc w:val="center"/>
        <w:rPr>
          <w:rFonts w:ascii="Times New Roman" w:eastAsia="Times New Roman" w:hAnsi="Times New Roman" w:cs="Times New Roman"/>
          <w:b/>
          <w:sz w:val="24"/>
          <w:szCs w:val="24"/>
        </w:rPr>
      </w:pPr>
      <w:r w:rsidRPr="00013158">
        <w:rPr>
          <w:rFonts w:ascii="Times New Roman" w:eastAsia="Times New Roman" w:hAnsi="Times New Roman" w:cs="Times New Roman"/>
          <w:b/>
          <w:sz w:val="24"/>
          <w:szCs w:val="24"/>
        </w:rPr>
        <w:lastRenderedPageBreak/>
        <w:t>Kapitulli  8</w:t>
      </w:r>
    </w:p>
    <w:p w:rsidR="00BD2329" w:rsidRPr="00013158" w:rsidRDefault="00506621" w:rsidP="0001315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Pyjet dhe </w:t>
      </w:r>
      <w:r w:rsidR="00013158" w:rsidRPr="00013158">
        <w:rPr>
          <w:rFonts w:ascii="Times New Roman" w:eastAsia="Times New Roman" w:hAnsi="Times New Roman" w:cs="Times New Roman"/>
          <w:b/>
          <w:sz w:val="24"/>
          <w:szCs w:val="24"/>
        </w:rPr>
        <w:t xml:space="preserve">Biodiversiteti </w:t>
      </w:r>
    </w:p>
    <w:p w:rsidR="00BD2329" w:rsidRPr="00013158" w:rsidRDefault="00BD2329" w:rsidP="004D7AA4">
      <w:pPr>
        <w:rPr>
          <w:rFonts w:ascii="Times New Roman" w:eastAsia="Times New Roman" w:hAnsi="Times New Roman" w:cs="Times New Roman"/>
          <w:sz w:val="24"/>
          <w:szCs w:val="24"/>
        </w:rPr>
      </w:pPr>
    </w:p>
    <w:p w:rsidR="009E6FC6" w:rsidRPr="00013158" w:rsidRDefault="00013158" w:rsidP="004D7AA4">
      <w:pPr>
        <w:rPr>
          <w:rFonts w:ascii="Times New Roman" w:eastAsia="Times New Roman" w:hAnsi="Times New Roman" w:cs="Times New Roman"/>
          <w:b/>
          <w:sz w:val="24"/>
          <w:szCs w:val="24"/>
        </w:rPr>
      </w:pPr>
      <w:r w:rsidRPr="00013158">
        <w:rPr>
          <w:rFonts w:ascii="Times New Roman" w:eastAsia="Times New Roman" w:hAnsi="Times New Roman" w:cs="Times New Roman"/>
          <w:b/>
          <w:sz w:val="24"/>
          <w:szCs w:val="24"/>
        </w:rPr>
        <w:t>8</w:t>
      </w:r>
      <w:r w:rsidR="00BD2329" w:rsidRPr="00013158">
        <w:rPr>
          <w:rFonts w:ascii="Times New Roman" w:eastAsia="Times New Roman" w:hAnsi="Times New Roman" w:cs="Times New Roman"/>
          <w:b/>
          <w:sz w:val="24"/>
          <w:szCs w:val="24"/>
        </w:rPr>
        <w:t>.1</w:t>
      </w:r>
      <w:r w:rsidR="004D7AA4" w:rsidRPr="00013158">
        <w:rPr>
          <w:rFonts w:ascii="Times New Roman" w:eastAsia="Times New Roman" w:hAnsi="Times New Roman" w:cs="Times New Roman"/>
          <w:b/>
          <w:sz w:val="24"/>
          <w:szCs w:val="24"/>
        </w:rPr>
        <w:t xml:space="preserve"> </w:t>
      </w:r>
      <w:r w:rsidR="009E6FC6" w:rsidRPr="00013158">
        <w:rPr>
          <w:rFonts w:ascii="Times New Roman" w:eastAsia="Times New Roman" w:hAnsi="Times New Roman" w:cs="Times New Roman"/>
          <w:b/>
          <w:sz w:val="24"/>
          <w:szCs w:val="24"/>
        </w:rPr>
        <w:t xml:space="preserve">Gjendja e fondit pyjor </w:t>
      </w:r>
    </w:p>
    <w:p w:rsidR="00236F04" w:rsidRPr="00013158" w:rsidRDefault="00236F04" w:rsidP="00807975">
      <w:pPr>
        <w:pStyle w:val="ListParagraph"/>
        <w:keepNext/>
        <w:keepLines/>
        <w:numPr>
          <w:ilvl w:val="0"/>
          <w:numId w:val="105"/>
        </w:numPr>
        <w:spacing w:after="0" w:line="240" w:lineRule="auto"/>
        <w:jc w:val="both"/>
        <w:outlineLvl w:val="0"/>
        <w:rPr>
          <w:rFonts w:ascii="Times New Roman" w:eastAsia="Times New Roman" w:hAnsi="Times New Roman" w:cs="Times New Roman"/>
          <w:sz w:val="24"/>
          <w:szCs w:val="24"/>
        </w:rPr>
      </w:pPr>
      <w:r w:rsidRPr="00013158">
        <w:rPr>
          <w:rFonts w:ascii="Times New Roman" w:eastAsia="Times New Roman" w:hAnsi="Times New Roman" w:cs="Times New Roman"/>
          <w:b/>
          <w:bCs/>
          <w:sz w:val="24"/>
          <w:szCs w:val="24"/>
        </w:rPr>
        <w:t>Fondi pyjor (sipas pronësisë, formës së qeverisjes, sipas llojeve, volumeve).</w:t>
      </w:r>
    </w:p>
    <w:p w:rsidR="00236F04" w:rsidRPr="00236F04" w:rsidRDefault="00236F04" w:rsidP="00236F04">
      <w:pPr>
        <w:spacing w:after="0" w:line="240" w:lineRule="auto"/>
        <w:jc w:val="both"/>
        <w:rPr>
          <w:rFonts w:ascii="Times New Roman" w:eastAsia="Calibri" w:hAnsi="Times New Roman" w:cs="Times New Roman"/>
          <w:bCs/>
          <w:color w:val="000000"/>
          <w:sz w:val="24"/>
          <w:szCs w:val="24"/>
        </w:rPr>
      </w:pPr>
    </w:p>
    <w:p w:rsidR="00236F04" w:rsidRPr="00236F04" w:rsidRDefault="00236F04" w:rsidP="00236F04">
      <w:pPr>
        <w:spacing w:after="0" w:line="240" w:lineRule="auto"/>
        <w:jc w:val="both"/>
        <w:rPr>
          <w:rFonts w:ascii="Times New Roman" w:eastAsia="Calibri" w:hAnsi="Times New Roman" w:cs="Times New Roman"/>
          <w:bCs/>
          <w:color w:val="000000"/>
          <w:sz w:val="24"/>
          <w:szCs w:val="24"/>
        </w:rPr>
      </w:pPr>
      <w:r w:rsidRPr="00236F04">
        <w:rPr>
          <w:rFonts w:ascii="Times New Roman" w:eastAsia="Calibri" w:hAnsi="Times New Roman" w:cs="Times New Roman"/>
          <w:bCs/>
          <w:color w:val="000000"/>
          <w:sz w:val="24"/>
          <w:szCs w:val="24"/>
        </w:rPr>
        <w:t>Bazuar në të dhënat kadastrale te vitit 2025 pyjet në Shqipëri shtrihen në një siperfaqe 1.146.709 ha që përfaqëson 66 % të fondit pyjor dhe kullosor. Kullotat dhe livadhet zenë një sipërfaqe 449.172 ha ose 26 % të fondit pyjor dhe kullosor. Sipërfaqet më bimësi pyjore dhe inproduktive që janë pjesë e fondit pyjor zënë një sipërfaqe 121.351 ha ose 8,0 % të këtij fondi.</w:t>
      </w:r>
    </w:p>
    <w:p w:rsidR="00236F04" w:rsidRPr="00236F04" w:rsidRDefault="00236F04" w:rsidP="00236F04">
      <w:pPr>
        <w:spacing w:after="0" w:line="240" w:lineRule="auto"/>
        <w:jc w:val="both"/>
        <w:rPr>
          <w:rFonts w:ascii="Times New Roman" w:eastAsia="Calibri" w:hAnsi="Times New Roman" w:cs="Times New Roman"/>
          <w:bCs/>
          <w:color w:val="000000"/>
          <w:sz w:val="24"/>
          <w:szCs w:val="24"/>
        </w:rPr>
      </w:pPr>
    </w:p>
    <w:tbl>
      <w:tblPr>
        <w:tblW w:w="10148" w:type="dxa"/>
        <w:tblInd w:w="-10" w:type="dxa"/>
        <w:tblLook w:val="04A0" w:firstRow="1" w:lastRow="0" w:firstColumn="1" w:lastColumn="0" w:noHBand="0" w:noVBand="1"/>
      </w:tblPr>
      <w:tblGrid>
        <w:gridCol w:w="696"/>
        <w:gridCol w:w="1520"/>
        <w:gridCol w:w="636"/>
        <w:gridCol w:w="1237"/>
        <w:gridCol w:w="636"/>
        <w:gridCol w:w="1237"/>
        <w:gridCol w:w="516"/>
        <w:gridCol w:w="1237"/>
        <w:gridCol w:w="516"/>
        <w:gridCol w:w="1341"/>
        <w:gridCol w:w="576"/>
      </w:tblGrid>
      <w:tr w:rsidR="00236F04" w:rsidRPr="00236F04" w:rsidTr="00236F04">
        <w:trPr>
          <w:trHeight w:val="470"/>
        </w:trPr>
        <w:tc>
          <w:tcPr>
            <w:tcW w:w="696" w:type="dxa"/>
            <w:vMerge w:val="restart"/>
            <w:tcBorders>
              <w:top w:val="single" w:sz="8" w:space="0" w:color="auto"/>
              <w:left w:val="single" w:sz="8" w:space="0" w:color="auto"/>
              <w:bottom w:val="single" w:sz="8" w:space="0" w:color="000000"/>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 xml:space="preserve">Viti </w:t>
            </w:r>
          </w:p>
        </w:tc>
        <w:tc>
          <w:tcPr>
            <w:tcW w:w="2156" w:type="dxa"/>
            <w:gridSpan w:val="2"/>
            <w:tcBorders>
              <w:top w:val="single" w:sz="8" w:space="0" w:color="auto"/>
              <w:left w:val="nil"/>
              <w:bottom w:val="single" w:sz="8" w:space="0" w:color="auto"/>
              <w:right w:val="single" w:sz="8" w:space="0" w:color="000000"/>
            </w:tcBorders>
            <w:noWrap/>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Pyje</w:t>
            </w:r>
          </w:p>
        </w:tc>
        <w:tc>
          <w:tcPr>
            <w:tcW w:w="1873" w:type="dxa"/>
            <w:gridSpan w:val="2"/>
            <w:tcBorders>
              <w:top w:val="single" w:sz="8" w:space="0" w:color="auto"/>
              <w:left w:val="nil"/>
              <w:bottom w:val="single" w:sz="8" w:space="0" w:color="auto"/>
              <w:right w:val="single" w:sz="8" w:space="0" w:color="000000"/>
            </w:tcBorders>
            <w:noWrap/>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Kullota</w:t>
            </w:r>
          </w:p>
        </w:tc>
        <w:tc>
          <w:tcPr>
            <w:tcW w:w="1753" w:type="dxa"/>
            <w:gridSpan w:val="2"/>
            <w:tcBorders>
              <w:top w:val="single" w:sz="8" w:space="0" w:color="auto"/>
              <w:left w:val="nil"/>
              <w:bottom w:val="single" w:sz="8" w:space="0" w:color="auto"/>
              <w:right w:val="single" w:sz="8" w:space="0" w:color="000000"/>
            </w:tcBorders>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Sipëfaqe me bimësi pyjore</w:t>
            </w:r>
          </w:p>
        </w:tc>
        <w:tc>
          <w:tcPr>
            <w:tcW w:w="1753" w:type="dxa"/>
            <w:gridSpan w:val="2"/>
            <w:tcBorders>
              <w:top w:val="single" w:sz="8" w:space="0" w:color="auto"/>
              <w:left w:val="nil"/>
              <w:bottom w:val="single" w:sz="8" w:space="0" w:color="auto"/>
              <w:right w:val="single" w:sz="8" w:space="0" w:color="000000"/>
            </w:tcBorders>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Djerr + Sip. inproduktive</w:t>
            </w:r>
          </w:p>
        </w:tc>
        <w:tc>
          <w:tcPr>
            <w:tcW w:w="1917" w:type="dxa"/>
            <w:gridSpan w:val="2"/>
            <w:tcBorders>
              <w:top w:val="single" w:sz="8" w:space="0" w:color="auto"/>
              <w:left w:val="nil"/>
              <w:bottom w:val="single" w:sz="8" w:space="0" w:color="auto"/>
              <w:right w:val="single" w:sz="8" w:space="0" w:color="000000"/>
            </w:tcBorders>
            <w:noWrap/>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Gjithsej</w:t>
            </w:r>
          </w:p>
        </w:tc>
      </w:tr>
      <w:tr w:rsidR="00236F04" w:rsidRPr="00236F04" w:rsidTr="00236F04">
        <w:trPr>
          <w:trHeight w:val="246"/>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236F04" w:rsidRPr="00236F04" w:rsidRDefault="00236F04" w:rsidP="00236F04">
            <w:pPr>
              <w:spacing w:after="0" w:line="240" w:lineRule="auto"/>
              <w:jc w:val="both"/>
              <w:rPr>
                <w:rFonts w:ascii="Times New Roman" w:eastAsia="Calibri" w:hAnsi="Times New Roman" w:cs="Times New Roman"/>
                <w:b/>
                <w:bCs/>
                <w:color w:val="000000"/>
                <w:sz w:val="24"/>
                <w:szCs w:val="24"/>
              </w:rPr>
            </w:pPr>
          </w:p>
        </w:tc>
        <w:tc>
          <w:tcPr>
            <w:tcW w:w="1520"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Sip.Ha</w:t>
            </w:r>
          </w:p>
        </w:tc>
        <w:tc>
          <w:tcPr>
            <w:tcW w:w="636"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w:t>
            </w:r>
          </w:p>
        </w:tc>
        <w:tc>
          <w:tcPr>
            <w:tcW w:w="1237"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Sip.Ha</w:t>
            </w:r>
          </w:p>
        </w:tc>
        <w:tc>
          <w:tcPr>
            <w:tcW w:w="636"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w:t>
            </w:r>
          </w:p>
        </w:tc>
        <w:tc>
          <w:tcPr>
            <w:tcW w:w="1237"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Sip.Ha</w:t>
            </w:r>
          </w:p>
        </w:tc>
        <w:tc>
          <w:tcPr>
            <w:tcW w:w="516"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w:t>
            </w:r>
          </w:p>
        </w:tc>
        <w:tc>
          <w:tcPr>
            <w:tcW w:w="1237"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Sip.Ha</w:t>
            </w:r>
          </w:p>
        </w:tc>
        <w:tc>
          <w:tcPr>
            <w:tcW w:w="516"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w:t>
            </w:r>
          </w:p>
        </w:tc>
        <w:tc>
          <w:tcPr>
            <w:tcW w:w="1341"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Sip.Ha</w:t>
            </w:r>
          </w:p>
        </w:tc>
        <w:tc>
          <w:tcPr>
            <w:tcW w:w="576"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w:t>
            </w:r>
          </w:p>
        </w:tc>
      </w:tr>
      <w:tr w:rsidR="00236F04" w:rsidRPr="00236F04" w:rsidTr="00236F04">
        <w:trPr>
          <w:trHeight w:val="246"/>
        </w:trPr>
        <w:tc>
          <w:tcPr>
            <w:tcW w:w="696" w:type="dxa"/>
            <w:tcBorders>
              <w:top w:val="nil"/>
              <w:left w:val="single" w:sz="8" w:space="0" w:color="auto"/>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2025</w:t>
            </w:r>
          </w:p>
        </w:tc>
        <w:tc>
          <w:tcPr>
            <w:tcW w:w="1520"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bCs/>
                <w:color w:val="000000"/>
                <w:sz w:val="24"/>
                <w:szCs w:val="24"/>
              </w:rPr>
            </w:pPr>
            <w:r w:rsidRPr="00236F04">
              <w:rPr>
                <w:rFonts w:ascii="Times New Roman" w:eastAsia="Calibri" w:hAnsi="Times New Roman" w:cs="Times New Roman"/>
                <w:bCs/>
                <w:color w:val="000000"/>
                <w:sz w:val="24"/>
                <w:szCs w:val="24"/>
              </w:rPr>
              <w:t>1,146,709</w:t>
            </w:r>
          </w:p>
        </w:tc>
        <w:tc>
          <w:tcPr>
            <w:tcW w:w="636"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bCs/>
                <w:color w:val="000000"/>
                <w:sz w:val="24"/>
                <w:szCs w:val="24"/>
              </w:rPr>
            </w:pPr>
            <w:r w:rsidRPr="00236F04">
              <w:rPr>
                <w:rFonts w:ascii="Times New Roman" w:eastAsia="Calibri" w:hAnsi="Times New Roman" w:cs="Times New Roman"/>
                <w:bCs/>
                <w:color w:val="000000"/>
                <w:sz w:val="24"/>
                <w:szCs w:val="24"/>
              </w:rPr>
              <w:t>66.2</w:t>
            </w:r>
          </w:p>
        </w:tc>
        <w:tc>
          <w:tcPr>
            <w:tcW w:w="1237"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bCs/>
                <w:color w:val="000000"/>
                <w:sz w:val="24"/>
                <w:szCs w:val="24"/>
              </w:rPr>
            </w:pPr>
            <w:r w:rsidRPr="00236F04">
              <w:rPr>
                <w:rFonts w:ascii="Times New Roman" w:eastAsia="Calibri" w:hAnsi="Times New Roman" w:cs="Times New Roman"/>
                <w:bCs/>
                <w:color w:val="000000"/>
                <w:sz w:val="24"/>
                <w:szCs w:val="24"/>
              </w:rPr>
              <w:t>449,172</w:t>
            </w:r>
          </w:p>
        </w:tc>
        <w:tc>
          <w:tcPr>
            <w:tcW w:w="636"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bCs/>
                <w:color w:val="000000"/>
                <w:sz w:val="24"/>
                <w:szCs w:val="24"/>
              </w:rPr>
            </w:pPr>
            <w:r w:rsidRPr="00236F04">
              <w:rPr>
                <w:rFonts w:ascii="Times New Roman" w:eastAsia="Calibri" w:hAnsi="Times New Roman" w:cs="Times New Roman"/>
                <w:bCs/>
                <w:color w:val="000000"/>
                <w:sz w:val="24"/>
                <w:szCs w:val="24"/>
              </w:rPr>
              <w:t>25.9</w:t>
            </w:r>
          </w:p>
        </w:tc>
        <w:tc>
          <w:tcPr>
            <w:tcW w:w="1237"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bCs/>
                <w:color w:val="000000"/>
                <w:sz w:val="24"/>
                <w:szCs w:val="24"/>
              </w:rPr>
            </w:pPr>
            <w:r w:rsidRPr="00236F04">
              <w:rPr>
                <w:rFonts w:ascii="Times New Roman" w:eastAsia="Calibri" w:hAnsi="Times New Roman" w:cs="Times New Roman"/>
                <w:bCs/>
                <w:color w:val="000000"/>
                <w:sz w:val="24"/>
                <w:szCs w:val="24"/>
              </w:rPr>
              <w:t>74,153</w:t>
            </w:r>
          </w:p>
        </w:tc>
        <w:tc>
          <w:tcPr>
            <w:tcW w:w="516"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bCs/>
                <w:color w:val="000000"/>
                <w:sz w:val="24"/>
                <w:szCs w:val="24"/>
              </w:rPr>
            </w:pPr>
            <w:r w:rsidRPr="00236F04">
              <w:rPr>
                <w:rFonts w:ascii="Times New Roman" w:eastAsia="Calibri" w:hAnsi="Times New Roman" w:cs="Times New Roman"/>
                <w:bCs/>
                <w:color w:val="000000"/>
                <w:sz w:val="24"/>
                <w:szCs w:val="24"/>
              </w:rPr>
              <w:t>4.3</w:t>
            </w:r>
          </w:p>
        </w:tc>
        <w:tc>
          <w:tcPr>
            <w:tcW w:w="1237"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bCs/>
                <w:color w:val="000000"/>
                <w:sz w:val="24"/>
                <w:szCs w:val="24"/>
              </w:rPr>
            </w:pPr>
            <w:r w:rsidRPr="00236F04">
              <w:rPr>
                <w:rFonts w:ascii="Times New Roman" w:eastAsia="Calibri" w:hAnsi="Times New Roman" w:cs="Times New Roman"/>
                <w:bCs/>
                <w:color w:val="000000"/>
                <w:sz w:val="24"/>
                <w:szCs w:val="24"/>
              </w:rPr>
              <w:t>61,844</w:t>
            </w:r>
          </w:p>
        </w:tc>
        <w:tc>
          <w:tcPr>
            <w:tcW w:w="516"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bCs/>
                <w:color w:val="000000"/>
                <w:sz w:val="24"/>
                <w:szCs w:val="24"/>
              </w:rPr>
            </w:pPr>
            <w:r w:rsidRPr="00236F04">
              <w:rPr>
                <w:rFonts w:ascii="Times New Roman" w:eastAsia="Calibri" w:hAnsi="Times New Roman" w:cs="Times New Roman"/>
                <w:bCs/>
                <w:color w:val="000000"/>
                <w:sz w:val="24"/>
                <w:szCs w:val="24"/>
              </w:rPr>
              <w:t>3.6</w:t>
            </w:r>
          </w:p>
        </w:tc>
        <w:tc>
          <w:tcPr>
            <w:tcW w:w="1341"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b/>
                <w:bCs/>
                <w:color w:val="000000"/>
                <w:sz w:val="24"/>
                <w:szCs w:val="24"/>
              </w:rPr>
            </w:pPr>
            <w:r w:rsidRPr="00236F04">
              <w:rPr>
                <w:rFonts w:ascii="Times New Roman" w:eastAsia="Calibri" w:hAnsi="Times New Roman" w:cs="Times New Roman"/>
                <w:b/>
                <w:bCs/>
                <w:color w:val="000000"/>
                <w:sz w:val="24"/>
                <w:szCs w:val="24"/>
              </w:rPr>
              <w:t>1,731,885</w:t>
            </w:r>
          </w:p>
        </w:tc>
        <w:tc>
          <w:tcPr>
            <w:tcW w:w="576"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b/>
                <w:bCs/>
                <w:color w:val="000000"/>
                <w:sz w:val="24"/>
                <w:szCs w:val="24"/>
              </w:rPr>
            </w:pPr>
            <w:r w:rsidRPr="00236F04">
              <w:rPr>
                <w:rFonts w:ascii="Times New Roman" w:eastAsia="Calibri" w:hAnsi="Times New Roman" w:cs="Times New Roman"/>
                <w:b/>
                <w:bCs/>
                <w:color w:val="000000"/>
                <w:sz w:val="24"/>
                <w:szCs w:val="24"/>
              </w:rPr>
              <w:t>100</w:t>
            </w:r>
          </w:p>
        </w:tc>
      </w:tr>
    </w:tbl>
    <w:p w:rsidR="00013158" w:rsidRDefault="00013158" w:rsidP="00013158">
      <w:pPr>
        <w:keepNext/>
        <w:keepLines/>
        <w:spacing w:after="80" w:line="240" w:lineRule="auto"/>
        <w:jc w:val="both"/>
        <w:outlineLvl w:val="1"/>
        <w:rPr>
          <w:rFonts w:ascii="Times New Roman" w:eastAsia="Calibri" w:hAnsi="Times New Roman" w:cs="Times New Roman"/>
        </w:rPr>
      </w:pPr>
      <w:bookmarkStart w:id="47" w:name="_Toc157592930"/>
      <w:bookmarkStart w:id="48" w:name="_Toc157602415"/>
    </w:p>
    <w:p w:rsidR="00236F04" w:rsidRPr="00013158" w:rsidRDefault="00236F04" w:rsidP="00013158">
      <w:pPr>
        <w:keepNext/>
        <w:keepLines/>
        <w:spacing w:after="80" w:line="240" w:lineRule="auto"/>
        <w:jc w:val="both"/>
        <w:outlineLvl w:val="1"/>
        <w:rPr>
          <w:rFonts w:ascii="Times New Roman" w:eastAsia="Times New Roman" w:hAnsi="Times New Roman" w:cs="Times New Roman"/>
          <w:b/>
          <w:bCs/>
          <w:sz w:val="24"/>
          <w:szCs w:val="24"/>
          <w:u w:val="single"/>
        </w:rPr>
      </w:pPr>
      <w:r w:rsidRPr="00013158">
        <w:rPr>
          <w:rFonts w:ascii="Times New Roman" w:eastAsia="Times New Roman" w:hAnsi="Times New Roman" w:cs="Times New Roman"/>
          <w:b/>
          <w:bCs/>
          <w:sz w:val="24"/>
          <w:szCs w:val="24"/>
          <w:u w:val="single"/>
        </w:rPr>
        <w:t>Shpërndarja e pyjeve sipas pronësisë</w:t>
      </w:r>
      <w:bookmarkEnd w:id="47"/>
      <w:bookmarkEnd w:id="48"/>
      <w:r w:rsidRPr="00013158">
        <w:rPr>
          <w:rFonts w:ascii="Times New Roman" w:eastAsia="Times New Roman" w:hAnsi="Times New Roman" w:cs="Times New Roman"/>
          <w:b/>
          <w:bCs/>
          <w:sz w:val="24"/>
          <w:szCs w:val="24"/>
          <w:u w:val="single"/>
        </w:rPr>
        <w:t>.</w:t>
      </w:r>
    </w:p>
    <w:p w:rsidR="00236F04" w:rsidRPr="00236F04" w:rsidRDefault="00236F04" w:rsidP="00236F04">
      <w:pPr>
        <w:rPr>
          <w:rFonts w:ascii="Times New Roman" w:eastAsia="Calibri" w:hAnsi="Times New Roman" w:cs="Times New Roman"/>
          <w:sz w:val="24"/>
          <w:szCs w:val="24"/>
        </w:rPr>
      </w:pPr>
      <w:r w:rsidRPr="00236F04">
        <w:rPr>
          <w:rFonts w:ascii="Times New Roman" w:eastAsia="Calibri" w:hAnsi="Times New Roman" w:cs="Times New Roman"/>
          <w:sz w:val="24"/>
          <w:szCs w:val="24"/>
        </w:rPr>
        <w:t>Në mbështëtje të legjislacionit në fuqi fondi pujor është i ndarë në:  pyje publikë (që përfshijnë pyjet që menazhohet nga shteti dhe nga Njësitë e vetqeverisjes vendore) dhe pyje privatë (që janë në pronësi të privatëve)</w:t>
      </w:r>
    </w:p>
    <w:p w:rsidR="00236F04" w:rsidRPr="00236F04" w:rsidRDefault="00236F04" w:rsidP="00236F04">
      <w:pPr>
        <w:rPr>
          <w:rFonts w:ascii="Times New Roman" w:eastAsia="Calibri" w:hAnsi="Times New Roman" w:cs="Times New Roman"/>
          <w:sz w:val="24"/>
          <w:szCs w:val="24"/>
        </w:rPr>
      </w:pPr>
    </w:p>
    <w:tbl>
      <w:tblPr>
        <w:tblW w:w="9780" w:type="dxa"/>
        <w:tblInd w:w="-5" w:type="dxa"/>
        <w:tblLook w:val="04A0" w:firstRow="1" w:lastRow="0" w:firstColumn="1" w:lastColumn="0" w:noHBand="0" w:noVBand="1"/>
      </w:tblPr>
      <w:tblGrid>
        <w:gridCol w:w="2718"/>
        <w:gridCol w:w="2225"/>
        <w:gridCol w:w="2044"/>
        <w:gridCol w:w="1242"/>
        <w:gridCol w:w="1551"/>
      </w:tblGrid>
      <w:tr w:rsidR="00236F04" w:rsidRPr="00236F04" w:rsidTr="00236F04">
        <w:trPr>
          <w:trHeight w:val="272"/>
        </w:trPr>
        <w:tc>
          <w:tcPr>
            <w:tcW w:w="271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Cs/>
                <w:color w:val="000000"/>
                <w:sz w:val="24"/>
                <w:szCs w:val="24"/>
              </w:rPr>
            </w:pPr>
            <w:r w:rsidRPr="00236F04">
              <w:rPr>
                <w:rFonts w:ascii="Times New Roman" w:eastAsia="Times New Roman" w:hAnsi="Times New Roman" w:cs="Times New Roman"/>
                <w:bCs/>
                <w:color w:val="000000"/>
                <w:sz w:val="24"/>
                <w:szCs w:val="24"/>
              </w:rPr>
              <w:t>Pronesia</w:t>
            </w:r>
          </w:p>
        </w:tc>
        <w:tc>
          <w:tcPr>
            <w:tcW w:w="2225" w:type="dxa"/>
            <w:tcBorders>
              <w:top w:val="single" w:sz="4" w:space="0" w:color="auto"/>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Cs/>
                <w:sz w:val="24"/>
                <w:szCs w:val="24"/>
              </w:rPr>
            </w:pPr>
            <w:r w:rsidRPr="00236F04">
              <w:rPr>
                <w:rFonts w:ascii="Times New Roman" w:eastAsia="Times New Roman" w:hAnsi="Times New Roman" w:cs="Times New Roman"/>
                <w:bCs/>
                <w:sz w:val="24"/>
                <w:szCs w:val="24"/>
              </w:rPr>
              <w:t xml:space="preserve">Siperfaqja </w:t>
            </w:r>
          </w:p>
        </w:tc>
        <w:tc>
          <w:tcPr>
            <w:tcW w:w="2044" w:type="dxa"/>
            <w:tcBorders>
              <w:top w:val="single" w:sz="4" w:space="0" w:color="auto"/>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Cs/>
                <w:sz w:val="24"/>
                <w:szCs w:val="24"/>
              </w:rPr>
            </w:pPr>
            <w:r w:rsidRPr="00236F04">
              <w:rPr>
                <w:rFonts w:ascii="Times New Roman" w:eastAsia="Times New Roman" w:hAnsi="Times New Roman" w:cs="Times New Roman"/>
                <w:bCs/>
                <w:sz w:val="24"/>
                <w:szCs w:val="24"/>
              </w:rPr>
              <w:t>% ndaj totalit</w:t>
            </w:r>
          </w:p>
        </w:tc>
        <w:tc>
          <w:tcPr>
            <w:tcW w:w="1242" w:type="dxa"/>
            <w:tcBorders>
              <w:top w:val="single" w:sz="4" w:space="0" w:color="auto"/>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Cs/>
                <w:color w:val="000000"/>
                <w:sz w:val="24"/>
                <w:szCs w:val="24"/>
              </w:rPr>
            </w:pPr>
            <w:r w:rsidRPr="00236F04">
              <w:rPr>
                <w:rFonts w:ascii="Times New Roman" w:eastAsia="Times New Roman" w:hAnsi="Times New Roman" w:cs="Times New Roman"/>
                <w:bCs/>
                <w:color w:val="000000"/>
                <w:sz w:val="24"/>
                <w:szCs w:val="24"/>
              </w:rPr>
              <w:t>Volumi</w:t>
            </w:r>
          </w:p>
        </w:tc>
        <w:tc>
          <w:tcPr>
            <w:tcW w:w="1551" w:type="dxa"/>
            <w:tcBorders>
              <w:top w:val="single" w:sz="4" w:space="0" w:color="auto"/>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Cs/>
                <w:sz w:val="24"/>
                <w:szCs w:val="24"/>
              </w:rPr>
            </w:pPr>
            <w:r w:rsidRPr="00236F04">
              <w:rPr>
                <w:rFonts w:ascii="Times New Roman" w:eastAsia="Times New Roman" w:hAnsi="Times New Roman" w:cs="Times New Roman"/>
                <w:bCs/>
                <w:sz w:val="24"/>
                <w:szCs w:val="24"/>
              </w:rPr>
              <w:t>% ndaj totalit</w:t>
            </w:r>
          </w:p>
        </w:tc>
      </w:tr>
      <w:tr w:rsidR="00236F04" w:rsidRPr="00236F04" w:rsidTr="00236F04">
        <w:trPr>
          <w:trHeight w:val="285"/>
        </w:trPr>
        <w:tc>
          <w:tcPr>
            <w:tcW w:w="2718"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sz w:val="20"/>
                <w:szCs w:val="20"/>
              </w:rPr>
            </w:pPr>
            <w:r w:rsidRPr="00236F04">
              <w:rPr>
                <w:rFonts w:ascii="Times New Roman" w:eastAsia="Times New Roman" w:hAnsi="Times New Roman" w:cs="Times New Roman"/>
                <w:sz w:val="20"/>
                <w:szCs w:val="20"/>
              </w:rPr>
              <w:t>Pyje publike</w:t>
            </w:r>
          </w:p>
        </w:tc>
        <w:tc>
          <w:tcPr>
            <w:tcW w:w="222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1,117,929</w:t>
            </w:r>
          </w:p>
        </w:tc>
        <w:tc>
          <w:tcPr>
            <w:tcW w:w="2044"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97</w:t>
            </w:r>
          </w:p>
        </w:tc>
        <w:tc>
          <w:tcPr>
            <w:tcW w:w="1242"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50,816</w:t>
            </w:r>
          </w:p>
        </w:tc>
        <w:tc>
          <w:tcPr>
            <w:tcW w:w="1551"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94</w:t>
            </w:r>
          </w:p>
        </w:tc>
      </w:tr>
      <w:tr w:rsidR="00236F04" w:rsidRPr="00236F04" w:rsidTr="00236F04">
        <w:trPr>
          <w:trHeight w:val="285"/>
        </w:trPr>
        <w:tc>
          <w:tcPr>
            <w:tcW w:w="2718"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sz w:val="20"/>
                <w:szCs w:val="20"/>
              </w:rPr>
            </w:pPr>
            <w:r w:rsidRPr="00236F04">
              <w:rPr>
                <w:rFonts w:ascii="Times New Roman" w:eastAsia="Times New Roman" w:hAnsi="Times New Roman" w:cs="Times New Roman"/>
                <w:sz w:val="20"/>
                <w:szCs w:val="20"/>
              </w:rPr>
              <w:t>Pyje private</w:t>
            </w:r>
          </w:p>
        </w:tc>
        <w:tc>
          <w:tcPr>
            <w:tcW w:w="222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28,780</w:t>
            </w:r>
          </w:p>
        </w:tc>
        <w:tc>
          <w:tcPr>
            <w:tcW w:w="2044"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3</w:t>
            </w:r>
          </w:p>
        </w:tc>
        <w:tc>
          <w:tcPr>
            <w:tcW w:w="1242"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3,247</w:t>
            </w:r>
          </w:p>
        </w:tc>
        <w:tc>
          <w:tcPr>
            <w:tcW w:w="1551"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6</w:t>
            </w:r>
          </w:p>
        </w:tc>
      </w:tr>
      <w:tr w:rsidR="00236F04" w:rsidRPr="00236F04" w:rsidTr="00236F04">
        <w:trPr>
          <w:trHeight w:val="272"/>
        </w:trPr>
        <w:tc>
          <w:tcPr>
            <w:tcW w:w="2718"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sz w:val="20"/>
                <w:szCs w:val="20"/>
              </w:rPr>
            </w:pPr>
            <w:r w:rsidRPr="00236F04">
              <w:rPr>
                <w:rFonts w:ascii="Times New Roman" w:eastAsia="Times New Roman" w:hAnsi="Times New Roman" w:cs="Times New Roman"/>
                <w:sz w:val="20"/>
                <w:szCs w:val="20"/>
              </w:rPr>
              <w:t>Total</w:t>
            </w:r>
          </w:p>
        </w:tc>
        <w:tc>
          <w:tcPr>
            <w:tcW w:w="222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1,146,7095</w:t>
            </w:r>
          </w:p>
        </w:tc>
        <w:tc>
          <w:tcPr>
            <w:tcW w:w="2044"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100</w:t>
            </w:r>
          </w:p>
        </w:tc>
        <w:tc>
          <w:tcPr>
            <w:tcW w:w="1242"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54,063</w:t>
            </w:r>
          </w:p>
        </w:tc>
        <w:tc>
          <w:tcPr>
            <w:tcW w:w="1551"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100</w:t>
            </w:r>
          </w:p>
        </w:tc>
      </w:tr>
    </w:tbl>
    <w:p w:rsidR="00013158" w:rsidRDefault="00013158" w:rsidP="00236F04">
      <w:pPr>
        <w:keepNext/>
        <w:keepLines/>
        <w:spacing w:after="80" w:line="240" w:lineRule="auto"/>
        <w:jc w:val="both"/>
        <w:outlineLvl w:val="1"/>
        <w:rPr>
          <w:rFonts w:ascii="Times New Roman" w:eastAsia="Times New Roman" w:hAnsi="Times New Roman" w:cs="Times New Roman"/>
          <w:b/>
          <w:bCs/>
          <w:sz w:val="24"/>
          <w:szCs w:val="24"/>
        </w:rPr>
      </w:pPr>
      <w:bookmarkStart w:id="49" w:name="_Toc157602416"/>
    </w:p>
    <w:p w:rsidR="00236F04" w:rsidRPr="00013158" w:rsidRDefault="00236F04" w:rsidP="00807975">
      <w:pPr>
        <w:pStyle w:val="ListParagraph"/>
        <w:keepNext/>
        <w:keepLines/>
        <w:numPr>
          <w:ilvl w:val="0"/>
          <w:numId w:val="106"/>
        </w:numPr>
        <w:spacing w:after="80" w:line="240" w:lineRule="auto"/>
        <w:jc w:val="both"/>
        <w:outlineLvl w:val="1"/>
        <w:rPr>
          <w:rFonts w:ascii="Times New Roman" w:eastAsia="Times New Roman" w:hAnsi="Times New Roman" w:cs="Times New Roman"/>
          <w:b/>
          <w:bCs/>
          <w:sz w:val="24"/>
          <w:szCs w:val="24"/>
        </w:rPr>
      </w:pPr>
      <w:r w:rsidRPr="00013158">
        <w:rPr>
          <w:rFonts w:ascii="Times New Roman" w:eastAsia="Times New Roman" w:hAnsi="Times New Roman" w:cs="Times New Roman"/>
          <w:b/>
          <w:bCs/>
          <w:sz w:val="24"/>
          <w:szCs w:val="24"/>
        </w:rPr>
        <w:t>Fondi pyjor sipas formës së qeverisjes</w:t>
      </w:r>
      <w:bookmarkEnd w:id="49"/>
    </w:p>
    <w:p w:rsidR="00013158" w:rsidRDefault="00013158" w:rsidP="00236F04">
      <w:pPr>
        <w:autoSpaceDE w:val="0"/>
        <w:autoSpaceDN w:val="0"/>
        <w:adjustRightInd w:val="0"/>
        <w:spacing w:after="0" w:line="240" w:lineRule="auto"/>
        <w:jc w:val="both"/>
        <w:rPr>
          <w:rFonts w:ascii="Times New Roman" w:eastAsia="Calibri" w:hAnsi="Times New Roman" w:cs="Times New Roman"/>
          <w:sz w:val="24"/>
          <w:szCs w:val="24"/>
        </w:rPr>
      </w:pP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Pyjet e vendit mbulojnë  një sipërfaqe prej 1,146,709 ha dhe llogaritet të ketë një volum në këmbë prej afersisht 53 Milion m</w:t>
      </w:r>
      <w:r w:rsidRPr="00236F04">
        <w:rPr>
          <w:rFonts w:ascii="Times New Roman" w:eastAsia="Calibri" w:hAnsi="Times New Roman" w:cs="Times New Roman"/>
          <w:sz w:val="24"/>
          <w:szCs w:val="24"/>
          <w:vertAlign w:val="superscript"/>
        </w:rPr>
        <w:t>3</w:t>
      </w:r>
      <w:r w:rsidRPr="00236F04">
        <w:rPr>
          <w:rFonts w:ascii="Times New Roman" w:eastAsia="Calibri" w:hAnsi="Times New Roman" w:cs="Times New Roman"/>
          <w:sz w:val="24"/>
          <w:szCs w:val="24"/>
        </w:rPr>
        <w:t xml:space="preserve">.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Në raport me sipërfaqen pyjore</w:t>
      </w:r>
      <w:r w:rsidRPr="00236F04">
        <w:rPr>
          <w:rFonts w:ascii="Times New Roman" w:eastAsia="Calibri" w:hAnsi="Times New Roman" w:cs="Times New Roman"/>
          <w:sz w:val="24"/>
          <w:szCs w:val="24"/>
          <w:u w:val="single"/>
        </w:rPr>
        <w:t xml:space="preserve">, </w:t>
      </w:r>
      <w:r w:rsidRPr="00236F04">
        <w:rPr>
          <w:rFonts w:ascii="Times New Roman" w:eastAsia="Calibri" w:hAnsi="Times New Roman" w:cs="Times New Roman"/>
          <w:sz w:val="24"/>
          <w:szCs w:val="24"/>
        </w:rPr>
        <w:t>cungishtet zënë 46% të sipërfaqes së fondit pyjor</w:t>
      </w:r>
      <w:r w:rsidRPr="00236F04">
        <w:rPr>
          <w:rFonts w:ascii="Times New Roman" w:eastAsia="Calibri" w:hAnsi="Times New Roman" w:cs="Times New Roman"/>
          <w:sz w:val="24"/>
          <w:szCs w:val="24"/>
          <w:u w:val="single"/>
        </w:rPr>
        <w:t>,</w:t>
      </w:r>
      <w:r w:rsidRPr="00236F04">
        <w:rPr>
          <w:rFonts w:ascii="Times New Roman" w:eastAsia="Calibri" w:hAnsi="Times New Roman" w:cs="Times New Roman"/>
          <w:sz w:val="24"/>
          <w:szCs w:val="24"/>
        </w:rPr>
        <w:t xml:space="preserve"> por në raport me volumin në këmbë zënë vetëm 18% (10 Milion metër kub). Kjo për shkak të gjendjes së dobët të zhvillimit dhe dominimit të grumbujve me moshë të re. Në pyjet trungishte (halorë dhe fletorë), grumbulli e ka origjinën nga fara (natyralë ose të mbjellë) dhe periudha e rrotacionit ndryshon sipas klasës së prodhimit (80-105 vjet). Në cungishte, rigjenerimi i specieve fletore ndodh nga lastarët që dalin nga cungjet e drurëve dhe periudha e rrotacionit është më e shkurtër (40-50 vjet).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Pyjet trungishte megjithëse zënë 35% të sipërfaqes pyjore kanë peshën kryesore të volumit në këmbë me rreth 83%, ekuivalent me një volum në këmbë prej 45 Milion metër kub.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Pyjet cungishte zënë 41% të sipërfaqes pyjore ose 41% te pyjeve, ekuivalent me një volum në </w:t>
      </w:r>
      <w:r w:rsidRPr="00236F04">
        <w:rPr>
          <w:rFonts w:ascii="Times New Roman" w:eastAsia="Calibri" w:hAnsi="Times New Roman" w:cs="Times New Roman"/>
          <w:sz w:val="24"/>
          <w:szCs w:val="24"/>
        </w:rPr>
        <w:lastRenderedPageBreak/>
        <w:t xml:space="preserve">këmbë prej vetëm 5 Milion metër kub, shifer kjo tejet e ulët krahasuar me trungishtet.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Ndërsa shkurret, të njohura për diversitetin e tyre llojor, zënë 24% </w:t>
      </w:r>
      <w:r w:rsidRPr="00236F04">
        <w:rPr>
          <w:rFonts w:ascii="Times New Roman" w:eastAsia="Calibri" w:hAnsi="Times New Roman" w:cs="Times New Roman"/>
          <w:sz w:val="24"/>
          <w:szCs w:val="24"/>
          <w:u w:val="single"/>
        </w:rPr>
        <w:t>të sipërfaqes totale pyjore</w:t>
      </w:r>
      <w:r w:rsidRPr="00236F04">
        <w:rPr>
          <w:rFonts w:ascii="Times New Roman" w:eastAsia="Calibri" w:hAnsi="Times New Roman" w:cs="Times New Roman"/>
          <w:sz w:val="24"/>
          <w:szCs w:val="24"/>
        </w:rPr>
        <w:t xml:space="preserve"> dhe në raport me volumin kanë një peshë më të vogël se dy format e tjera të menaxhimit duke zënë vetëm 4% të volumit në këmbë, ekuivalent me rreth 4 Milion metër kub.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Vleresimi i materialit drusor te klasifikuar sipas formave te menaxhimit te pyjeve eshte gur themeli per zbatimin dhe vleresimin e teknikave per menaxhimin e qëndrueshem të pyjeve.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Shpërndarja e volumeve për format e qeverisjes së pyjeve është paraqitur në tabelën e mëposhtme</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 </w:t>
      </w:r>
    </w:p>
    <w:tbl>
      <w:tblPr>
        <w:tblpPr w:leftFromText="180" w:rightFromText="180" w:bottomFromText="160" w:vertAnchor="text" w:horzAnchor="margin" w:tblpY="8"/>
        <w:tblW w:w="9281" w:type="dxa"/>
        <w:tblLook w:val="04A0" w:firstRow="1" w:lastRow="0" w:firstColumn="1" w:lastColumn="0" w:noHBand="0" w:noVBand="1"/>
      </w:tblPr>
      <w:tblGrid>
        <w:gridCol w:w="1465"/>
        <w:gridCol w:w="2605"/>
        <w:gridCol w:w="1303"/>
        <w:gridCol w:w="2605"/>
        <w:gridCol w:w="1303"/>
      </w:tblGrid>
      <w:tr w:rsidR="00420C54" w:rsidRPr="00236F04" w:rsidTr="00420C54">
        <w:trPr>
          <w:trHeight w:val="158"/>
        </w:trPr>
        <w:tc>
          <w:tcPr>
            <w:tcW w:w="1465" w:type="dxa"/>
            <w:vMerge w:val="restart"/>
            <w:tcBorders>
              <w:top w:val="single" w:sz="8" w:space="0" w:color="auto"/>
              <w:left w:val="single" w:sz="8" w:space="0" w:color="auto"/>
              <w:bottom w:val="single" w:sz="8" w:space="0" w:color="000000"/>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lang w:val="en-GB"/>
              </w:rPr>
              <w:t>Forma e qeverisjes</w:t>
            </w:r>
          </w:p>
        </w:tc>
        <w:tc>
          <w:tcPr>
            <w:tcW w:w="3908" w:type="dxa"/>
            <w:gridSpan w:val="2"/>
            <w:tcBorders>
              <w:top w:val="single" w:sz="8" w:space="0" w:color="auto"/>
              <w:left w:val="nil"/>
              <w:bottom w:val="single" w:sz="8" w:space="0" w:color="auto"/>
              <w:right w:val="single" w:sz="8" w:space="0" w:color="000000"/>
            </w:tcBorders>
            <w:vAlign w:val="center"/>
            <w:hideMark/>
          </w:tcPr>
          <w:p w:rsidR="00420C54" w:rsidRPr="00236F04" w:rsidRDefault="00420C54" w:rsidP="00420C54">
            <w:pPr>
              <w:autoSpaceDE w:val="0"/>
              <w:autoSpaceDN w:val="0"/>
              <w:adjustRightInd w:val="0"/>
              <w:spacing w:after="0" w:line="240" w:lineRule="auto"/>
              <w:jc w:val="center"/>
              <w:rPr>
                <w:rFonts w:ascii="Times New Roman" w:eastAsia="Calibri" w:hAnsi="Times New Roman" w:cs="Times New Roman"/>
                <w:sz w:val="24"/>
                <w:szCs w:val="24"/>
              </w:rPr>
            </w:pPr>
            <w:r w:rsidRPr="00236F04">
              <w:rPr>
                <w:rFonts w:ascii="Times New Roman" w:eastAsia="Calibri" w:hAnsi="Times New Roman" w:cs="Times New Roman"/>
                <w:sz w:val="24"/>
                <w:szCs w:val="24"/>
              </w:rPr>
              <w:t>Sipërfaqia</w:t>
            </w:r>
          </w:p>
        </w:tc>
        <w:tc>
          <w:tcPr>
            <w:tcW w:w="3908" w:type="dxa"/>
            <w:gridSpan w:val="2"/>
            <w:tcBorders>
              <w:top w:val="single" w:sz="8" w:space="0" w:color="auto"/>
              <w:left w:val="nil"/>
              <w:bottom w:val="single" w:sz="8" w:space="0" w:color="auto"/>
              <w:right w:val="single" w:sz="8" w:space="0" w:color="000000"/>
            </w:tcBorders>
            <w:vAlign w:val="center"/>
            <w:hideMark/>
          </w:tcPr>
          <w:p w:rsidR="00420C54" w:rsidRPr="00236F04" w:rsidRDefault="00420C54" w:rsidP="00420C54">
            <w:pPr>
              <w:autoSpaceDE w:val="0"/>
              <w:autoSpaceDN w:val="0"/>
              <w:adjustRightInd w:val="0"/>
              <w:spacing w:after="0" w:line="240" w:lineRule="auto"/>
              <w:jc w:val="center"/>
              <w:rPr>
                <w:rFonts w:ascii="Times New Roman" w:eastAsia="Calibri" w:hAnsi="Times New Roman" w:cs="Times New Roman"/>
                <w:sz w:val="24"/>
                <w:szCs w:val="24"/>
              </w:rPr>
            </w:pPr>
            <w:r w:rsidRPr="00236F04">
              <w:rPr>
                <w:rFonts w:ascii="Times New Roman" w:eastAsia="Calibri" w:hAnsi="Times New Roman" w:cs="Times New Roman"/>
                <w:sz w:val="24"/>
                <w:szCs w:val="24"/>
                <w:lang w:val="en-GB"/>
              </w:rPr>
              <w:t>Volumi</w:t>
            </w:r>
          </w:p>
        </w:tc>
      </w:tr>
      <w:tr w:rsidR="00420C54" w:rsidRPr="00236F04" w:rsidTr="00420C54">
        <w:trPr>
          <w:trHeight w:val="188"/>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p>
        </w:tc>
        <w:tc>
          <w:tcPr>
            <w:tcW w:w="2605"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(1000 ha)</w:t>
            </w:r>
          </w:p>
        </w:tc>
        <w:tc>
          <w:tcPr>
            <w:tcW w:w="1303"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Përqindja</w:t>
            </w:r>
          </w:p>
        </w:tc>
        <w:tc>
          <w:tcPr>
            <w:tcW w:w="2605"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lang w:val="en-GB"/>
              </w:rPr>
              <w:t>(milion m</w:t>
            </w:r>
            <w:r w:rsidRPr="00236F04">
              <w:rPr>
                <w:rFonts w:ascii="Times New Roman" w:eastAsia="Calibri" w:hAnsi="Times New Roman" w:cs="Times New Roman"/>
                <w:sz w:val="24"/>
                <w:szCs w:val="24"/>
                <w:vertAlign w:val="superscript"/>
                <w:lang w:val="en-GB"/>
              </w:rPr>
              <w:t>3</w:t>
            </w:r>
            <w:r w:rsidRPr="00236F04">
              <w:rPr>
                <w:rFonts w:ascii="Times New Roman" w:eastAsia="Calibri" w:hAnsi="Times New Roman" w:cs="Times New Roman"/>
                <w:sz w:val="24"/>
                <w:szCs w:val="24"/>
                <w:lang w:val="en-GB"/>
              </w:rPr>
              <w:t>)</w:t>
            </w:r>
          </w:p>
        </w:tc>
        <w:tc>
          <w:tcPr>
            <w:tcW w:w="1303"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Përqindja</w:t>
            </w:r>
          </w:p>
        </w:tc>
      </w:tr>
      <w:tr w:rsidR="00420C54" w:rsidRPr="00236F04" w:rsidTr="00420C54">
        <w:trPr>
          <w:trHeight w:val="158"/>
        </w:trPr>
        <w:tc>
          <w:tcPr>
            <w:tcW w:w="1465" w:type="dxa"/>
            <w:tcBorders>
              <w:top w:val="nil"/>
              <w:left w:val="single" w:sz="8" w:space="0" w:color="auto"/>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lang w:val="en-GB"/>
              </w:rPr>
              <w:t>Trungishte</w:t>
            </w:r>
          </w:p>
        </w:tc>
        <w:tc>
          <w:tcPr>
            <w:tcW w:w="2605"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402</w:t>
            </w:r>
          </w:p>
        </w:tc>
        <w:tc>
          <w:tcPr>
            <w:tcW w:w="1303"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35</w:t>
            </w:r>
          </w:p>
        </w:tc>
        <w:tc>
          <w:tcPr>
            <w:tcW w:w="2605"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44</w:t>
            </w:r>
          </w:p>
        </w:tc>
        <w:tc>
          <w:tcPr>
            <w:tcW w:w="1303"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83</w:t>
            </w:r>
          </w:p>
        </w:tc>
      </w:tr>
      <w:tr w:rsidR="00420C54" w:rsidRPr="00236F04" w:rsidTr="00420C54">
        <w:trPr>
          <w:trHeight w:val="158"/>
        </w:trPr>
        <w:tc>
          <w:tcPr>
            <w:tcW w:w="1465" w:type="dxa"/>
            <w:tcBorders>
              <w:top w:val="nil"/>
              <w:left w:val="single" w:sz="8" w:space="0" w:color="auto"/>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lang w:val="en-GB"/>
              </w:rPr>
              <w:t>Cungishte</w:t>
            </w:r>
          </w:p>
        </w:tc>
        <w:tc>
          <w:tcPr>
            <w:tcW w:w="2605"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472</w:t>
            </w:r>
          </w:p>
        </w:tc>
        <w:tc>
          <w:tcPr>
            <w:tcW w:w="1303"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41</w:t>
            </w:r>
          </w:p>
        </w:tc>
        <w:tc>
          <w:tcPr>
            <w:tcW w:w="2605"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5</w:t>
            </w:r>
          </w:p>
        </w:tc>
        <w:tc>
          <w:tcPr>
            <w:tcW w:w="1303"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9</w:t>
            </w:r>
          </w:p>
        </w:tc>
      </w:tr>
      <w:tr w:rsidR="00420C54" w:rsidRPr="00236F04" w:rsidTr="00420C54">
        <w:trPr>
          <w:trHeight w:val="158"/>
        </w:trPr>
        <w:tc>
          <w:tcPr>
            <w:tcW w:w="1465" w:type="dxa"/>
            <w:tcBorders>
              <w:top w:val="nil"/>
              <w:left w:val="single" w:sz="8" w:space="0" w:color="auto"/>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lang w:val="en-GB"/>
              </w:rPr>
              <w:t>Shkurre</w:t>
            </w:r>
          </w:p>
        </w:tc>
        <w:tc>
          <w:tcPr>
            <w:tcW w:w="2605"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273</w:t>
            </w:r>
          </w:p>
        </w:tc>
        <w:tc>
          <w:tcPr>
            <w:tcW w:w="1303"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24</w:t>
            </w:r>
          </w:p>
        </w:tc>
        <w:tc>
          <w:tcPr>
            <w:tcW w:w="2605"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4</w:t>
            </w:r>
          </w:p>
        </w:tc>
        <w:tc>
          <w:tcPr>
            <w:tcW w:w="1303"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7</w:t>
            </w:r>
          </w:p>
        </w:tc>
      </w:tr>
      <w:tr w:rsidR="00420C54" w:rsidRPr="00236F04" w:rsidTr="00420C54">
        <w:trPr>
          <w:trHeight w:val="310"/>
        </w:trPr>
        <w:tc>
          <w:tcPr>
            <w:tcW w:w="1465" w:type="dxa"/>
            <w:tcBorders>
              <w:top w:val="nil"/>
              <w:left w:val="single" w:sz="8" w:space="0" w:color="auto"/>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b/>
                <w:bCs/>
                <w:sz w:val="24"/>
                <w:szCs w:val="24"/>
              </w:rPr>
            </w:pPr>
            <w:r w:rsidRPr="00236F04">
              <w:rPr>
                <w:rFonts w:ascii="Times New Roman" w:eastAsia="Calibri" w:hAnsi="Times New Roman" w:cs="Times New Roman"/>
                <w:b/>
                <w:bCs/>
                <w:sz w:val="24"/>
                <w:szCs w:val="24"/>
              </w:rPr>
              <w:t xml:space="preserve">Totali </w:t>
            </w:r>
          </w:p>
        </w:tc>
        <w:tc>
          <w:tcPr>
            <w:tcW w:w="2605"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b/>
                <w:bCs/>
                <w:sz w:val="24"/>
                <w:szCs w:val="24"/>
              </w:rPr>
            </w:pPr>
            <w:r w:rsidRPr="00236F04">
              <w:rPr>
                <w:rFonts w:ascii="Times New Roman" w:eastAsia="Calibri" w:hAnsi="Times New Roman" w:cs="Times New Roman"/>
                <w:b/>
                <w:bCs/>
                <w:sz w:val="24"/>
                <w:szCs w:val="24"/>
              </w:rPr>
              <w:t>1,147</w:t>
            </w:r>
          </w:p>
        </w:tc>
        <w:tc>
          <w:tcPr>
            <w:tcW w:w="1303"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b/>
                <w:bCs/>
                <w:sz w:val="24"/>
                <w:szCs w:val="24"/>
              </w:rPr>
            </w:pPr>
            <w:r w:rsidRPr="00236F04">
              <w:rPr>
                <w:rFonts w:ascii="Times New Roman" w:eastAsia="Calibri" w:hAnsi="Times New Roman" w:cs="Times New Roman"/>
                <w:b/>
                <w:bCs/>
                <w:sz w:val="24"/>
                <w:szCs w:val="24"/>
              </w:rPr>
              <w:t>100</w:t>
            </w:r>
          </w:p>
        </w:tc>
        <w:tc>
          <w:tcPr>
            <w:tcW w:w="2605"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b/>
                <w:bCs/>
                <w:sz w:val="24"/>
                <w:szCs w:val="24"/>
              </w:rPr>
            </w:pPr>
            <w:r w:rsidRPr="00236F04">
              <w:rPr>
                <w:rFonts w:ascii="Times New Roman" w:eastAsia="Calibri" w:hAnsi="Times New Roman" w:cs="Times New Roman"/>
                <w:b/>
                <w:bCs/>
                <w:sz w:val="24"/>
                <w:szCs w:val="24"/>
              </w:rPr>
              <w:t>53</w:t>
            </w:r>
          </w:p>
        </w:tc>
        <w:tc>
          <w:tcPr>
            <w:tcW w:w="1303" w:type="dxa"/>
            <w:tcBorders>
              <w:top w:val="nil"/>
              <w:left w:val="nil"/>
              <w:bottom w:val="single" w:sz="8" w:space="0" w:color="auto"/>
              <w:right w:val="single" w:sz="8" w:space="0" w:color="auto"/>
            </w:tcBorders>
            <w:vAlign w:val="center"/>
            <w:hideMark/>
          </w:tcPr>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b/>
                <w:bCs/>
                <w:sz w:val="24"/>
                <w:szCs w:val="24"/>
              </w:rPr>
            </w:pPr>
            <w:r w:rsidRPr="00236F04">
              <w:rPr>
                <w:rFonts w:ascii="Times New Roman" w:eastAsia="Calibri" w:hAnsi="Times New Roman" w:cs="Times New Roman"/>
                <w:b/>
                <w:bCs/>
                <w:sz w:val="24"/>
                <w:szCs w:val="24"/>
              </w:rPr>
              <w:t>100</w:t>
            </w:r>
          </w:p>
        </w:tc>
      </w:tr>
    </w:tbl>
    <w:p w:rsidR="00420C54" w:rsidRDefault="00420C54" w:rsidP="00236F04">
      <w:pPr>
        <w:autoSpaceDE w:val="0"/>
        <w:autoSpaceDN w:val="0"/>
        <w:adjustRightInd w:val="0"/>
        <w:spacing w:after="0" w:line="240" w:lineRule="auto"/>
        <w:jc w:val="both"/>
        <w:rPr>
          <w:rFonts w:ascii="Times New Roman" w:eastAsia="Calibri" w:hAnsi="Times New Roman" w:cs="Times New Roman"/>
          <w:sz w:val="24"/>
          <w:szCs w:val="24"/>
        </w:rPr>
      </w:pP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Kjo shpërndarje e fondit pyjor në raport me sipërfaqen dhe volumin në këmbë duhet të merret në konsideratë nga politik-bërësit gjatë përgaditjes së dokumentit së strategjisë së zhvillimit të sektorit pyjor apo edhe të programit për zhvillimin e këtij sektorit për të rritur siperfaqen me trungishte si forma e qeverisjes me potencial më të larte të prodhimitasrisë.</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Vleresimi i shtrirjes dhe volumit që mbartin pyjet sipas përbërjes llojore na lejon të llogarisim disponibilitetin e tyre për furnizimin me produkte pyjore duke ruajtur ekuilibrat natyrore të shtimit të tyre.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1"/>
        <w:gridCol w:w="1260"/>
        <w:gridCol w:w="1350"/>
        <w:gridCol w:w="1460"/>
        <w:gridCol w:w="1345"/>
      </w:tblGrid>
      <w:tr w:rsidR="00236F04" w:rsidRPr="00236F04" w:rsidTr="00236F04">
        <w:trPr>
          <w:trHeight w:val="233"/>
          <w:jc w:val="center"/>
        </w:trPr>
        <w:tc>
          <w:tcPr>
            <w:tcW w:w="3871" w:type="dxa"/>
            <w:vMerge w:val="restart"/>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lang w:val="en-GB"/>
              </w:rPr>
            </w:pPr>
            <w:r w:rsidRPr="00236F04">
              <w:rPr>
                <w:rFonts w:ascii="Times New Roman" w:eastAsia="Calibri" w:hAnsi="Times New Roman" w:cs="Times New Roman"/>
                <w:sz w:val="24"/>
                <w:szCs w:val="24"/>
                <w:lang w:val="sq-AL"/>
              </w:rPr>
              <w:t>Përbërja llojore</w:t>
            </w:r>
          </w:p>
        </w:tc>
        <w:tc>
          <w:tcPr>
            <w:tcW w:w="2610" w:type="dxa"/>
            <w:gridSpan w:val="2"/>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center"/>
              <w:rPr>
                <w:rFonts w:ascii="Times New Roman" w:eastAsia="Calibri" w:hAnsi="Times New Roman" w:cs="Times New Roman"/>
                <w:sz w:val="24"/>
                <w:szCs w:val="24"/>
              </w:rPr>
            </w:pPr>
            <w:r w:rsidRPr="00236F04">
              <w:rPr>
                <w:rFonts w:ascii="Times New Roman" w:eastAsia="Calibri" w:hAnsi="Times New Roman" w:cs="Times New Roman"/>
                <w:sz w:val="24"/>
                <w:szCs w:val="24"/>
              </w:rPr>
              <w:t>Sipërfaqia</w:t>
            </w:r>
          </w:p>
        </w:tc>
        <w:tc>
          <w:tcPr>
            <w:tcW w:w="2805" w:type="dxa"/>
            <w:gridSpan w:val="2"/>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center"/>
              <w:rPr>
                <w:rFonts w:ascii="Times New Roman" w:eastAsia="Calibri" w:hAnsi="Times New Roman" w:cs="Times New Roman"/>
                <w:sz w:val="24"/>
                <w:szCs w:val="24"/>
                <w:lang w:val="en-GB"/>
              </w:rPr>
            </w:pPr>
            <w:r w:rsidRPr="00236F04">
              <w:rPr>
                <w:rFonts w:ascii="Times New Roman" w:eastAsia="Calibri" w:hAnsi="Times New Roman" w:cs="Times New Roman"/>
                <w:sz w:val="24"/>
                <w:szCs w:val="24"/>
                <w:lang w:val="en-GB"/>
              </w:rPr>
              <w:t>Volumi</w:t>
            </w:r>
          </w:p>
        </w:tc>
      </w:tr>
      <w:tr w:rsidR="00236F04" w:rsidRPr="00236F04" w:rsidTr="00236F04">
        <w:trPr>
          <w:trHeight w:val="170"/>
          <w:jc w:val="center"/>
        </w:trPr>
        <w:tc>
          <w:tcPr>
            <w:tcW w:w="3871" w:type="dxa"/>
            <w:vMerge/>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lang w:val="en-GB"/>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(1000 ha)</w:t>
            </w:r>
          </w:p>
        </w:tc>
        <w:tc>
          <w:tcPr>
            <w:tcW w:w="1350"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lang w:val="en-GB"/>
              </w:rPr>
            </w:pPr>
            <w:r w:rsidRPr="00236F04">
              <w:rPr>
                <w:rFonts w:ascii="Times New Roman" w:eastAsia="Calibri" w:hAnsi="Times New Roman" w:cs="Times New Roman"/>
                <w:sz w:val="24"/>
                <w:szCs w:val="24"/>
              </w:rPr>
              <w:t>Përqindja</w:t>
            </w:r>
          </w:p>
        </w:tc>
        <w:tc>
          <w:tcPr>
            <w:tcW w:w="1460"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lang w:val="en-GB"/>
              </w:rPr>
            </w:pPr>
            <w:r w:rsidRPr="00236F04">
              <w:rPr>
                <w:rFonts w:ascii="Times New Roman" w:eastAsia="Calibri" w:hAnsi="Times New Roman" w:cs="Times New Roman"/>
                <w:sz w:val="24"/>
                <w:szCs w:val="24"/>
                <w:lang w:val="en-GB"/>
              </w:rPr>
              <w:t>(milion m</w:t>
            </w:r>
            <w:r w:rsidRPr="00236F04">
              <w:rPr>
                <w:rFonts w:ascii="Times New Roman" w:eastAsia="Calibri" w:hAnsi="Times New Roman" w:cs="Times New Roman"/>
                <w:sz w:val="24"/>
                <w:szCs w:val="24"/>
                <w:vertAlign w:val="superscript"/>
                <w:lang w:val="en-GB"/>
              </w:rPr>
              <w:t>3</w:t>
            </w:r>
            <w:r w:rsidRPr="00236F04">
              <w:rPr>
                <w:rFonts w:ascii="Times New Roman" w:eastAsia="Calibri" w:hAnsi="Times New Roman" w:cs="Times New Roman"/>
                <w:sz w:val="24"/>
                <w:szCs w:val="24"/>
                <w:lang w:val="en-GB"/>
              </w:rPr>
              <w:t>)</w:t>
            </w:r>
          </w:p>
        </w:tc>
        <w:tc>
          <w:tcPr>
            <w:tcW w:w="1345"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lang w:val="en-GB"/>
              </w:rPr>
            </w:pPr>
            <w:r w:rsidRPr="00236F04">
              <w:rPr>
                <w:rFonts w:ascii="Times New Roman" w:eastAsia="Calibri" w:hAnsi="Times New Roman" w:cs="Times New Roman"/>
                <w:sz w:val="24"/>
                <w:szCs w:val="24"/>
              </w:rPr>
              <w:t>Përqindja</w:t>
            </w:r>
          </w:p>
        </w:tc>
      </w:tr>
      <w:tr w:rsidR="00236F04" w:rsidRPr="00236F04" w:rsidTr="00236F04">
        <w:trPr>
          <w:trHeight w:val="70"/>
          <w:jc w:val="center"/>
        </w:trPr>
        <w:tc>
          <w:tcPr>
            <w:tcW w:w="3871" w:type="dxa"/>
            <w:tcBorders>
              <w:top w:val="single" w:sz="4" w:space="0" w:color="auto"/>
              <w:left w:val="single" w:sz="4" w:space="0" w:color="auto"/>
              <w:bottom w:val="single" w:sz="4" w:space="0" w:color="auto"/>
              <w:right w:val="single" w:sz="4" w:space="0" w:color="auto"/>
            </w:tcBorders>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Halorë</w:t>
            </w:r>
          </w:p>
        </w:tc>
        <w:tc>
          <w:tcPr>
            <w:tcW w:w="1260"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135</w:t>
            </w:r>
          </w:p>
        </w:tc>
        <w:tc>
          <w:tcPr>
            <w:tcW w:w="1350"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11</w:t>
            </w:r>
          </w:p>
        </w:tc>
        <w:tc>
          <w:tcPr>
            <w:tcW w:w="1460"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12</w:t>
            </w:r>
          </w:p>
        </w:tc>
        <w:tc>
          <w:tcPr>
            <w:tcW w:w="1345"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21</w:t>
            </w:r>
          </w:p>
        </w:tc>
      </w:tr>
      <w:tr w:rsidR="00236F04" w:rsidRPr="00236F04" w:rsidTr="00236F04">
        <w:trPr>
          <w:trHeight w:val="70"/>
          <w:jc w:val="center"/>
        </w:trPr>
        <w:tc>
          <w:tcPr>
            <w:tcW w:w="3871" w:type="dxa"/>
            <w:tcBorders>
              <w:top w:val="single" w:sz="4" w:space="0" w:color="auto"/>
              <w:left w:val="single" w:sz="4" w:space="0" w:color="auto"/>
              <w:bottom w:val="single" w:sz="4" w:space="0" w:color="auto"/>
              <w:right w:val="single" w:sz="4" w:space="0" w:color="auto"/>
            </w:tcBorders>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lang w:val="it-IT"/>
              </w:rPr>
            </w:pPr>
            <w:r w:rsidRPr="00236F04">
              <w:rPr>
                <w:rFonts w:ascii="Times New Roman" w:eastAsia="Calibri" w:hAnsi="Times New Roman" w:cs="Times New Roman"/>
                <w:sz w:val="24"/>
                <w:szCs w:val="24"/>
                <w:lang w:val="it-IT"/>
              </w:rPr>
              <w:t>Shoqërimet pyjore të dominuara nga halorët</w:t>
            </w:r>
          </w:p>
        </w:tc>
        <w:tc>
          <w:tcPr>
            <w:tcW w:w="1260"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39</w:t>
            </w:r>
          </w:p>
        </w:tc>
        <w:tc>
          <w:tcPr>
            <w:tcW w:w="1350"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4</w:t>
            </w:r>
          </w:p>
        </w:tc>
        <w:tc>
          <w:tcPr>
            <w:tcW w:w="1460"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4</w:t>
            </w:r>
          </w:p>
        </w:tc>
        <w:tc>
          <w:tcPr>
            <w:tcW w:w="1345"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7</w:t>
            </w:r>
          </w:p>
        </w:tc>
      </w:tr>
      <w:tr w:rsidR="00236F04" w:rsidRPr="00236F04" w:rsidTr="00236F04">
        <w:trPr>
          <w:trHeight w:val="70"/>
          <w:jc w:val="center"/>
        </w:trPr>
        <w:tc>
          <w:tcPr>
            <w:tcW w:w="3871" w:type="dxa"/>
            <w:tcBorders>
              <w:top w:val="single" w:sz="4" w:space="0" w:color="auto"/>
              <w:left w:val="single" w:sz="4" w:space="0" w:color="auto"/>
              <w:bottom w:val="single" w:sz="4" w:space="0" w:color="auto"/>
              <w:right w:val="single" w:sz="4" w:space="0" w:color="auto"/>
            </w:tcBorders>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lang w:val="it-IT"/>
              </w:rPr>
            </w:pPr>
            <w:r w:rsidRPr="00236F04">
              <w:rPr>
                <w:rFonts w:ascii="Times New Roman" w:eastAsia="Calibri" w:hAnsi="Times New Roman" w:cs="Times New Roman"/>
                <w:sz w:val="24"/>
                <w:szCs w:val="24"/>
                <w:lang w:val="it-IT"/>
              </w:rPr>
              <w:t>Shoqërime pyjore të dominuara nga fletorët</w:t>
            </w:r>
          </w:p>
        </w:tc>
        <w:tc>
          <w:tcPr>
            <w:tcW w:w="1260"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57</w:t>
            </w:r>
          </w:p>
        </w:tc>
        <w:tc>
          <w:tcPr>
            <w:tcW w:w="1350"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5</w:t>
            </w:r>
          </w:p>
        </w:tc>
        <w:tc>
          <w:tcPr>
            <w:tcW w:w="1460"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4</w:t>
            </w:r>
          </w:p>
        </w:tc>
        <w:tc>
          <w:tcPr>
            <w:tcW w:w="1345"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7</w:t>
            </w:r>
          </w:p>
        </w:tc>
      </w:tr>
      <w:tr w:rsidR="00236F04" w:rsidRPr="00236F04" w:rsidTr="00236F04">
        <w:trPr>
          <w:trHeight w:val="386"/>
          <w:jc w:val="center"/>
        </w:trPr>
        <w:tc>
          <w:tcPr>
            <w:tcW w:w="3871" w:type="dxa"/>
            <w:tcBorders>
              <w:top w:val="single" w:sz="4" w:space="0" w:color="auto"/>
              <w:left w:val="single" w:sz="4" w:space="0" w:color="auto"/>
              <w:bottom w:val="single" w:sz="4" w:space="0" w:color="auto"/>
              <w:right w:val="single" w:sz="4" w:space="0" w:color="auto"/>
            </w:tcBorders>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Fletorë/gjethegjerë</w:t>
            </w:r>
          </w:p>
        </w:tc>
        <w:tc>
          <w:tcPr>
            <w:tcW w:w="1260"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916</w:t>
            </w:r>
          </w:p>
        </w:tc>
        <w:tc>
          <w:tcPr>
            <w:tcW w:w="1350"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80</w:t>
            </w:r>
          </w:p>
        </w:tc>
        <w:tc>
          <w:tcPr>
            <w:tcW w:w="1460"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31</w:t>
            </w:r>
          </w:p>
        </w:tc>
        <w:tc>
          <w:tcPr>
            <w:tcW w:w="1345"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64</w:t>
            </w:r>
          </w:p>
        </w:tc>
      </w:tr>
      <w:tr w:rsidR="00236F04" w:rsidRPr="00236F04" w:rsidTr="00236F04">
        <w:trPr>
          <w:trHeight w:val="70"/>
          <w:jc w:val="center"/>
        </w:trPr>
        <w:tc>
          <w:tcPr>
            <w:tcW w:w="3871"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lang w:val="en-GB"/>
              </w:rPr>
            </w:pPr>
            <w:r w:rsidRPr="00236F04">
              <w:rPr>
                <w:rFonts w:ascii="Times New Roman" w:eastAsia="Calibri" w:hAnsi="Times New Roman" w:cs="Times New Roman"/>
                <w:sz w:val="24"/>
                <w:szCs w:val="24"/>
              </w:rPr>
              <w:t xml:space="preserve">Totali </w:t>
            </w:r>
          </w:p>
        </w:tc>
        <w:tc>
          <w:tcPr>
            <w:tcW w:w="1260"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1147</w:t>
            </w:r>
          </w:p>
        </w:tc>
        <w:tc>
          <w:tcPr>
            <w:tcW w:w="1350"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100</w:t>
            </w:r>
          </w:p>
        </w:tc>
        <w:tc>
          <w:tcPr>
            <w:tcW w:w="1460"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53</w:t>
            </w:r>
          </w:p>
        </w:tc>
        <w:tc>
          <w:tcPr>
            <w:tcW w:w="1345"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100</w:t>
            </w:r>
          </w:p>
        </w:tc>
      </w:tr>
    </w:tbl>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b/>
          <w:bCs/>
          <w:sz w:val="24"/>
          <w:szCs w:val="24"/>
        </w:rPr>
      </w:pP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Pyjet e Shqipërisë dominohen si në sipërfaqe ashtu edhe në volum nga pyjet fletorë dhe kjo është e lidhur ngushtësisht me pozicionin gjeografik dhe ekologjik të vendit. Kështu me shumë se 80% e pyjeve të vendit tonë kanë në përbërjen e tyre llojet fletore të cilët zënë mbi 70% të volumit drusor.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Pyjet e vendit mbulojnë një sipërfaqe prej 1,146,725 ha dhe llogaritet të ketë një volum në këmbë prej 54 Milion m</w:t>
      </w:r>
      <w:r w:rsidRPr="00236F04">
        <w:rPr>
          <w:rFonts w:ascii="Times New Roman" w:eastAsia="Calibri" w:hAnsi="Times New Roman" w:cs="Times New Roman"/>
          <w:sz w:val="24"/>
          <w:szCs w:val="24"/>
          <w:vertAlign w:val="superscript"/>
        </w:rPr>
        <w:t>3</w:t>
      </w:r>
      <w:r w:rsidRPr="00236F04">
        <w:rPr>
          <w:rFonts w:ascii="Times New Roman" w:eastAsia="Calibri" w:hAnsi="Times New Roman" w:cs="Times New Roman"/>
          <w:sz w:val="24"/>
          <w:szCs w:val="24"/>
        </w:rPr>
        <w:t xml:space="preserve">.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Në raport me sipërfaqen pyjore</w:t>
      </w:r>
      <w:r w:rsidRPr="00236F04">
        <w:rPr>
          <w:rFonts w:ascii="Times New Roman" w:eastAsia="Calibri" w:hAnsi="Times New Roman" w:cs="Times New Roman"/>
          <w:sz w:val="24"/>
          <w:szCs w:val="24"/>
          <w:u w:val="single"/>
        </w:rPr>
        <w:t xml:space="preserve">, </w:t>
      </w:r>
      <w:r w:rsidRPr="00236F04">
        <w:rPr>
          <w:rFonts w:ascii="Times New Roman" w:eastAsia="Calibri" w:hAnsi="Times New Roman" w:cs="Times New Roman"/>
          <w:sz w:val="24"/>
          <w:szCs w:val="24"/>
        </w:rPr>
        <w:t>cungishtet zënë 46% të sipërfaqes së fondit pyjor</w:t>
      </w:r>
      <w:r w:rsidRPr="00236F04">
        <w:rPr>
          <w:rFonts w:ascii="Times New Roman" w:eastAsia="Calibri" w:hAnsi="Times New Roman" w:cs="Times New Roman"/>
          <w:sz w:val="24"/>
          <w:szCs w:val="24"/>
          <w:u w:val="single"/>
        </w:rPr>
        <w:t>,</w:t>
      </w:r>
      <w:r w:rsidRPr="00236F04">
        <w:rPr>
          <w:rFonts w:ascii="Times New Roman" w:eastAsia="Calibri" w:hAnsi="Times New Roman" w:cs="Times New Roman"/>
          <w:sz w:val="24"/>
          <w:szCs w:val="24"/>
        </w:rPr>
        <w:t xml:space="preserve"> por në raport me volumin në këmbë zënë vetëm 18% (10 Milion metër kub). Kjo për shkak të gjendjes së dobët të zhvillimit dhe dominimit të grumbujve me moshë të re. Në pyjet trungishte (halorë dhe fletorë), grumbulli e ka origjinën nga fara (natyralë ose të mbjellë) dhe periudha e rrotacionit </w:t>
      </w:r>
      <w:r w:rsidRPr="00236F04">
        <w:rPr>
          <w:rFonts w:ascii="Times New Roman" w:eastAsia="Calibri" w:hAnsi="Times New Roman" w:cs="Times New Roman"/>
          <w:sz w:val="24"/>
          <w:szCs w:val="24"/>
        </w:rPr>
        <w:lastRenderedPageBreak/>
        <w:t>ndryshon sipas klas</w:t>
      </w:r>
      <w:r w:rsidRPr="00236F04">
        <w:rPr>
          <w:rFonts w:ascii="Times New Roman" w:eastAsia="Calibri" w:hAnsi="Times New Roman" w:cs="Times New Roman"/>
          <w:color w:val="000000"/>
          <w:sz w:val="24"/>
          <w:szCs w:val="24"/>
        </w:rPr>
        <w:t>ë</w:t>
      </w:r>
      <w:r w:rsidRPr="00236F04">
        <w:rPr>
          <w:rFonts w:ascii="Times New Roman" w:eastAsia="Calibri" w:hAnsi="Times New Roman" w:cs="Times New Roman"/>
          <w:sz w:val="24"/>
          <w:szCs w:val="24"/>
        </w:rPr>
        <w:t>s s</w:t>
      </w:r>
      <w:r w:rsidRPr="00236F04">
        <w:rPr>
          <w:rFonts w:ascii="Times New Roman" w:eastAsia="Calibri" w:hAnsi="Times New Roman" w:cs="Times New Roman"/>
          <w:color w:val="000000"/>
          <w:sz w:val="24"/>
          <w:szCs w:val="24"/>
        </w:rPr>
        <w:t>ë</w:t>
      </w:r>
      <w:r w:rsidRPr="00236F04">
        <w:rPr>
          <w:rFonts w:ascii="Times New Roman" w:eastAsia="Calibri" w:hAnsi="Times New Roman" w:cs="Times New Roman"/>
          <w:sz w:val="24"/>
          <w:szCs w:val="24"/>
        </w:rPr>
        <w:t xml:space="preserve"> prodhimit (80-105 vjet). Në cungishte, rigjenerimi i specieve fletore ndodh nga lastarët që dalin nga cungjet e drurëve dhe periudha e rrotacionit është më e shkurtër (40-50 vjet).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Pyjet trungishte megjithëse zënë 35% të sipërfaqes pyjore kanë peshën kryesore të volumit në këmbë me rreth 83%, ekuivalent me një volum në këmbë prej 45 Milion metër kub.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Pyjet cungishte zënë 41% të sipërfaqes pyjore ose 41% te pyjeve, ekuivalent me një volum në këmbë prej vetëm 5 Milion metër kub, shifer kjo tejet e ulët krahasuar me trungishtet.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Nd</w:t>
      </w:r>
      <w:r w:rsidRPr="00236F04">
        <w:rPr>
          <w:rFonts w:ascii="Times New Roman" w:eastAsia="Calibri" w:hAnsi="Times New Roman" w:cs="Times New Roman"/>
          <w:color w:val="000000"/>
          <w:sz w:val="24"/>
          <w:szCs w:val="24"/>
        </w:rPr>
        <w:t>ë</w:t>
      </w:r>
      <w:r w:rsidRPr="00236F04">
        <w:rPr>
          <w:rFonts w:ascii="Times New Roman" w:eastAsia="Calibri" w:hAnsi="Times New Roman" w:cs="Times New Roman"/>
          <w:sz w:val="24"/>
          <w:szCs w:val="24"/>
        </w:rPr>
        <w:t xml:space="preserve">rsa shkurret, të njohura për diversitetin e tyre llojor, zënë 24% </w:t>
      </w:r>
      <w:r w:rsidRPr="00236F04">
        <w:rPr>
          <w:rFonts w:ascii="Times New Roman" w:eastAsia="Calibri" w:hAnsi="Times New Roman" w:cs="Times New Roman"/>
          <w:sz w:val="24"/>
          <w:szCs w:val="24"/>
          <w:u w:val="single"/>
        </w:rPr>
        <w:t>të sipërfaqes totale pyjore</w:t>
      </w:r>
      <w:r w:rsidRPr="00236F04">
        <w:rPr>
          <w:rFonts w:ascii="Times New Roman" w:eastAsia="Calibri" w:hAnsi="Times New Roman" w:cs="Times New Roman"/>
          <w:sz w:val="24"/>
          <w:szCs w:val="24"/>
        </w:rPr>
        <w:t xml:space="preserve"> dhe në raport me volumin kanë një peshë më të vogël se dy format e tjera të menaxhimit duke zënë vetëm 4% të volumit në këmbë, ekuivalent me rreth 4 Milion metër kub.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Vleresimi i materialit drusor te klasifikuar sipas formave te menaxhimit te pyjeve eshte gur themeli per zbatimin dhe vleresimin e teknikave per menaxhimin e qëndrueshem të pyjeve.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Shpërndarja e volumeve për format e qeverisjes së pyjeve është paraqitur në tabelën e mëposhtme:</w:t>
      </w:r>
    </w:p>
    <w:p w:rsidR="00420C5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236F04" w:rsidRPr="00420C54" w:rsidRDefault="00236F04" w:rsidP="00807975">
      <w:pPr>
        <w:pStyle w:val="ListParagraph"/>
        <w:numPr>
          <w:ilvl w:val="0"/>
          <w:numId w:val="107"/>
        </w:numPr>
        <w:autoSpaceDE w:val="0"/>
        <w:autoSpaceDN w:val="0"/>
        <w:adjustRightInd w:val="0"/>
        <w:spacing w:after="0" w:line="240" w:lineRule="auto"/>
        <w:jc w:val="both"/>
        <w:rPr>
          <w:rFonts w:ascii="Times New Roman" w:eastAsia="Calibri" w:hAnsi="Times New Roman" w:cs="Times New Roman"/>
          <w:sz w:val="24"/>
          <w:szCs w:val="24"/>
        </w:rPr>
      </w:pPr>
      <w:r w:rsidRPr="00420C54">
        <w:rPr>
          <w:rFonts w:ascii="Times New Roman" w:eastAsia="Times New Roman" w:hAnsi="Times New Roman" w:cs="Times New Roman"/>
          <w:b/>
          <w:bCs/>
          <w:sz w:val="24"/>
          <w:szCs w:val="24"/>
        </w:rPr>
        <w:t>Fondi pyjor sipas tipeve te pyllit</w:t>
      </w:r>
    </w:p>
    <w:p w:rsidR="00236F04" w:rsidRPr="00236F04" w:rsidRDefault="00236F04" w:rsidP="00236F04">
      <w:pPr>
        <w:spacing w:after="0" w:line="240" w:lineRule="auto"/>
        <w:jc w:val="both"/>
        <w:rPr>
          <w:rFonts w:ascii="Times New Roman" w:eastAsia="Calibri" w:hAnsi="Times New Roman" w:cs="Times New Roman"/>
          <w:b/>
          <w:bCs/>
          <w:sz w:val="24"/>
          <w:szCs w:val="24"/>
        </w:rPr>
      </w:pPr>
    </w:p>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Klasifikimi i pyjeve sipas tipeve është shumë i rëndësishëm për raportimin dhe monitorimin lidhur me menaxhimin e qëndrueshëm të pyjeve.</w:t>
      </w:r>
    </w:p>
    <w:p w:rsidR="00236F04" w:rsidRPr="00236F04" w:rsidRDefault="00236F04" w:rsidP="00236F04">
      <w:pPr>
        <w:spacing w:after="0" w:line="240" w:lineRule="auto"/>
        <w:jc w:val="both"/>
        <w:rPr>
          <w:rFonts w:ascii="Times New Roman" w:eastAsia="Calibri" w:hAnsi="Times New Roman" w:cs="Times New Roman"/>
          <w:sz w:val="24"/>
          <w:szCs w:val="24"/>
        </w:rPr>
      </w:pPr>
    </w:p>
    <w:tbl>
      <w:tblPr>
        <w:tblW w:w="9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5"/>
        <w:gridCol w:w="803"/>
        <w:gridCol w:w="1209"/>
        <w:gridCol w:w="1243"/>
      </w:tblGrid>
      <w:tr w:rsidR="00236F04" w:rsidRPr="00236F04" w:rsidTr="00236F04">
        <w:trPr>
          <w:trHeight w:val="255"/>
          <w:jc w:val="center"/>
        </w:trPr>
        <w:tc>
          <w:tcPr>
            <w:tcW w:w="6745"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Tipi i pyllit</w:t>
            </w:r>
          </w:p>
        </w:tc>
        <w:tc>
          <w:tcPr>
            <w:tcW w:w="2452" w:type="dxa"/>
            <w:gridSpan w:val="2"/>
            <w:tcBorders>
              <w:top w:val="single" w:sz="4" w:space="0" w:color="auto"/>
              <w:left w:val="single" w:sz="4" w:space="0" w:color="auto"/>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Sipërfaqia</w:t>
            </w:r>
          </w:p>
        </w:tc>
      </w:tr>
      <w:tr w:rsidR="00236F04" w:rsidRPr="00236F04" w:rsidTr="00236F04">
        <w:trPr>
          <w:trHeight w:val="255"/>
          <w:jc w:val="center"/>
        </w:trPr>
        <w:tc>
          <w:tcPr>
            <w:tcW w:w="6745" w:type="dxa"/>
            <w:gridSpan w:val="2"/>
            <w:vMerge/>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jc w:val="both"/>
              <w:rPr>
                <w:rFonts w:ascii="Times New Roman" w:eastAsia="Calibri" w:hAnsi="Times New Roman" w:cs="Times New Roman"/>
                <w:sz w:val="24"/>
                <w:szCs w:val="24"/>
              </w:rPr>
            </w:pPr>
          </w:p>
        </w:tc>
        <w:tc>
          <w:tcPr>
            <w:tcW w:w="1209" w:type="dxa"/>
            <w:tcBorders>
              <w:top w:val="single" w:sz="4" w:space="0" w:color="auto"/>
              <w:left w:val="single" w:sz="4" w:space="0" w:color="auto"/>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(1000 ha)</w:t>
            </w:r>
          </w:p>
        </w:tc>
        <w:tc>
          <w:tcPr>
            <w:tcW w:w="1243"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jc w:val="both"/>
              <w:rPr>
                <w:rFonts w:ascii="Times New Roman" w:eastAsia="Calibri" w:hAnsi="Times New Roman" w:cs="Times New Roman"/>
                <w:sz w:val="24"/>
                <w:szCs w:val="24"/>
                <w:lang w:val="en-GB"/>
              </w:rPr>
            </w:pPr>
            <w:r w:rsidRPr="00236F04">
              <w:rPr>
                <w:rFonts w:ascii="Times New Roman" w:eastAsia="Calibri" w:hAnsi="Times New Roman" w:cs="Times New Roman"/>
                <w:sz w:val="24"/>
                <w:szCs w:val="24"/>
              </w:rPr>
              <w:t>Përqindja</w:t>
            </w:r>
          </w:p>
        </w:tc>
      </w:tr>
      <w:tr w:rsidR="00236F04" w:rsidRPr="00236F04" w:rsidTr="00236F04">
        <w:trPr>
          <w:trHeight w:val="64"/>
          <w:jc w:val="center"/>
        </w:trPr>
        <w:tc>
          <w:tcPr>
            <w:tcW w:w="6025" w:type="dxa"/>
            <w:tcBorders>
              <w:top w:val="single" w:sz="4" w:space="0" w:color="auto"/>
              <w:left w:val="single" w:sz="4" w:space="0" w:color="auto"/>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 Pyje qarri, pyje shparthi, pyje bunge</w:t>
            </w:r>
          </w:p>
        </w:tc>
        <w:tc>
          <w:tcPr>
            <w:tcW w:w="720"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THO</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231</w:t>
            </w:r>
          </w:p>
        </w:tc>
        <w:tc>
          <w:tcPr>
            <w:tcW w:w="1243"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22</w:t>
            </w:r>
          </w:p>
        </w:tc>
      </w:tr>
      <w:tr w:rsidR="00236F04" w:rsidRPr="00236F04" w:rsidTr="00236F04">
        <w:trPr>
          <w:trHeight w:val="64"/>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Pyje bunge, pyje shkoze</w:t>
            </w:r>
          </w:p>
        </w:tc>
        <w:tc>
          <w:tcPr>
            <w:tcW w:w="720"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SOH</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128</w:t>
            </w:r>
          </w:p>
        </w:tc>
        <w:tc>
          <w:tcPr>
            <w:tcW w:w="1243"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13</w:t>
            </w:r>
          </w:p>
        </w:tc>
      </w:tr>
      <w:tr w:rsidR="00236F04" w:rsidRPr="00236F04" w:rsidTr="00236F04">
        <w:trPr>
          <w:trHeight w:val="64"/>
          <w:jc w:val="center"/>
        </w:trPr>
        <w:tc>
          <w:tcPr>
            <w:tcW w:w="6025" w:type="dxa"/>
            <w:tcBorders>
              <w:top w:val="single" w:sz="4" w:space="0" w:color="auto"/>
              <w:left w:val="single" w:sz="4" w:space="0" w:color="auto"/>
              <w:bottom w:val="single" w:sz="4" w:space="0" w:color="auto"/>
              <w:right w:val="single" w:sz="4" w:space="0" w:color="auto"/>
            </w:tcBorders>
            <w:noWrap/>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Pyje malorë ilirikë ahu</w:t>
            </w:r>
          </w:p>
        </w:tc>
        <w:tc>
          <w:tcPr>
            <w:tcW w:w="720"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IMB</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125</w:t>
            </w:r>
          </w:p>
        </w:tc>
        <w:tc>
          <w:tcPr>
            <w:tcW w:w="1243"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10</w:t>
            </w:r>
          </w:p>
        </w:tc>
      </w:tr>
      <w:tr w:rsidR="00236F04" w:rsidRPr="00236F04" w:rsidTr="00236F04">
        <w:trPr>
          <w:trHeight w:val="64"/>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Pyje të tjerë termofilë gjetherënës</w:t>
            </w:r>
          </w:p>
        </w:tc>
        <w:tc>
          <w:tcPr>
            <w:tcW w:w="720"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OTD</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118</w:t>
            </w:r>
          </w:p>
        </w:tc>
        <w:tc>
          <w:tcPr>
            <w:tcW w:w="1243"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10</w:t>
            </w:r>
          </w:p>
        </w:tc>
      </w:tr>
      <w:tr w:rsidR="00236F04" w:rsidRPr="00236F04" w:rsidTr="00236F04">
        <w:trPr>
          <w:trHeight w:val="64"/>
          <w:jc w:val="center"/>
        </w:trPr>
        <w:tc>
          <w:tcPr>
            <w:tcW w:w="6025" w:type="dxa"/>
            <w:tcBorders>
              <w:top w:val="single" w:sz="4" w:space="0" w:color="auto"/>
              <w:left w:val="single" w:sz="4" w:space="0" w:color="auto"/>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Pyje të tjerë sklerofitë, karakterizuar nga një vegjetacion me mbizotërim dafine(</w:t>
            </w:r>
            <w:r w:rsidRPr="00236F04">
              <w:rPr>
                <w:rFonts w:ascii="Times New Roman" w:eastAsia="Calibri" w:hAnsi="Times New Roman" w:cs="Times New Roman"/>
                <w:i/>
                <w:sz w:val="24"/>
                <w:szCs w:val="24"/>
              </w:rPr>
              <w:t>lauriphyllus)</w:t>
            </w:r>
          </w:p>
        </w:tc>
        <w:tc>
          <w:tcPr>
            <w:tcW w:w="720"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MSO</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95</w:t>
            </w:r>
          </w:p>
        </w:tc>
        <w:tc>
          <w:tcPr>
            <w:tcW w:w="1243"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8</w:t>
            </w:r>
          </w:p>
        </w:tc>
      </w:tr>
      <w:tr w:rsidR="00236F04" w:rsidRPr="00236F04" w:rsidTr="00236F04">
        <w:trPr>
          <w:trHeight w:val="64"/>
          <w:jc w:val="center"/>
        </w:trPr>
        <w:tc>
          <w:tcPr>
            <w:tcW w:w="6025" w:type="dxa"/>
            <w:tcBorders>
              <w:top w:val="single" w:sz="4" w:space="0" w:color="auto"/>
              <w:left w:val="single" w:sz="4" w:space="0" w:color="auto"/>
              <w:bottom w:val="single" w:sz="4" w:space="0" w:color="auto"/>
              <w:right w:val="single" w:sz="4" w:space="0" w:color="auto"/>
            </w:tcBorders>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Pyje me pishë të zezë mesdhetarë dhe të Anadollit</w:t>
            </w:r>
          </w:p>
        </w:tc>
        <w:tc>
          <w:tcPr>
            <w:tcW w:w="720"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MAP</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87</w:t>
            </w:r>
          </w:p>
        </w:tc>
        <w:tc>
          <w:tcPr>
            <w:tcW w:w="1243"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7</w:t>
            </w:r>
          </w:p>
        </w:tc>
      </w:tr>
      <w:tr w:rsidR="00236F04" w:rsidRPr="00236F04" w:rsidTr="00236F04">
        <w:trPr>
          <w:trHeight w:val="64"/>
          <w:jc w:val="center"/>
        </w:trPr>
        <w:tc>
          <w:tcPr>
            <w:tcW w:w="6025" w:type="dxa"/>
            <w:tcBorders>
              <w:top w:val="single" w:sz="4" w:space="0" w:color="auto"/>
              <w:left w:val="single" w:sz="4" w:space="0" w:color="auto"/>
              <w:bottom w:val="single" w:sz="4" w:space="0" w:color="auto"/>
              <w:right w:val="single" w:sz="4" w:space="0" w:color="auto"/>
            </w:tcBorders>
            <w:noWrap/>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Pyje të tjera mezofitë gjetherënës </w:t>
            </w:r>
          </w:p>
        </w:tc>
        <w:tc>
          <w:tcPr>
            <w:tcW w:w="720"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OMD</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73</w:t>
            </w:r>
          </w:p>
        </w:tc>
        <w:tc>
          <w:tcPr>
            <w:tcW w:w="1243"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6</w:t>
            </w:r>
          </w:p>
        </w:tc>
      </w:tr>
      <w:tr w:rsidR="00236F04" w:rsidRPr="00236F04" w:rsidTr="00236F04">
        <w:trPr>
          <w:trHeight w:val="64"/>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Pyje Moezianë malorë ahu</w:t>
            </w:r>
          </w:p>
        </w:tc>
        <w:tc>
          <w:tcPr>
            <w:tcW w:w="720"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MMB</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64</w:t>
            </w:r>
          </w:p>
        </w:tc>
        <w:tc>
          <w:tcPr>
            <w:tcW w:w="1243"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5</w:t>
            </w:r>
          </w:p>
        </w:tc>
      </w:tr>
      <w:tr w:rsidR="00236F04" w:rsidRPr="00236F04" w:rsidTr="00236F04">
        <w:trPr>
          <w:trHeight w:val="64"/>
          <w:jc w:val="center"/>
        </w:trPr>
        <w:tc>
          <w:tcPr>
            <w:tcW w:w="6025" w:type="dxa"/>
            <w:tcBorders>
              <w:top w:val="single" w:sz="4" w:space="0" w:color="auto"/>
              <w:left w:val="single" w:sz="4" w:space="0" w:color="auto"/>
              <w:bottom w:val="single" w:sz="4" w:space="0" w:color="auto"/>
              <w:right w:val="single" w:sz="4" w:space="0" w:color="auto"/>
            </w:tcBorders>
            <w:noWrap/>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Pyje me dushqe mesdhetarë përherë të blertë</w:t>
            </w:r>
          </w:p>
        </w:tc>
        <w:tc>
          <w:tcPr>
            <w:tcW w:w="720"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MEO</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58</w:t>
            </w:r>
          </w:p>
        </w:tc>
        <w:tc>
          <w:tcPr>
            <w:tcW w:w="1243"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5</w:t>
            </w:r>
          </w:p>
        </w:tc>
      </w:tr>
      <w:tr w:rsidR="00236F04" w:rsidRPr="00236F04" w:rsidTr="00236F04">
        <w:trPr>
          <w:trHeight w:val="116"/>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Pyje dëllinjash mesdhetare</w:t>
            </w:r>
          </w:p>
        </w:tc>
        <w:tc>
          <w:tcPr>
            <w:tcW w:w="720"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MJU</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29</w:t>
            </w:r>
          </w:p>
        </w:tc>
        <w:tc>
          <w:tcPr>
            <w:tcW w:w="1243"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w:t>
            </w:r>
          </w:p>
        </w:tc>
      </w:tr>
      <w:tr w:rsidR="00236F04" w:rsidRPr="00236F04" w:rsidTr="00236F04">
        <w:trPr>
          <w:trHeight w:val="64"/>
          <w:jc w:val="center"/>
        </w:trPr>
        <w:tc>
          <w:tcPr>
            <w:tcW w:w="6025" w:type="dxa"/>
            <w:tcBorders>
              <w:top w:val="single" w:sz="4" w:space="0" w:color="auto"/>
              <w:left w:val="single" w:sz="4" w:space="0" w:color="auto"/>
              <w:bottom w:val="single" w:sz="4" w:space="0" w:color="auto"/>
              <w:right w:val="single" w:sz="4" w:space="0" w:color="auto"/>
            </w:tcBorders>
            <w:noWrap/>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Pyje me pishë mesdhetare</w:t>
            </w:r>
          </w:p>
        </w:tc>
        <w:tc>
          <w:tcPr>
            <w:tcW w:w="720"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MPF</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28</w:t>
            </w:r>
          </w:p>
        </w:tc>
        <w:tc>
          <w:tcPr>
            <w:tcW w:w="1243"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w:t>
            </w:r>
          </w:p>
        </w:tc>
      </w:tr>
      <w:tr w:rsidR="00236F04" w:rsidRPr="00236F04" w:rsidTr="00236F04">
        <w:trPr>
          <w:trHeight w:val="64"/>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Tipe të tjera pyjesh (ASP, BE, TD, MAF, PNS, RIF, FLF, SAM, PNN, CM, FP, AC)</w:t>
            </w:r>
          </w:p>
        </w:tc>
        <w:tc>
          <w:tcPr>
            <w:tcW w:w="720" w:type="dxa"/>
            <w:tcBorders>
              <w:top w:val="single" w:sz="4" w:space="0" w:color="auto"/>
              <w:left w:val="single" w:sz="4" w:space="0" w:color="auto"/>
              <w:bottom w:val="single" w:sz="4" w:space="0" w:color="auto"/>
              <w:right w:val="single" w:sz="4" w:space="0" w:color="auto"/>
            </w:tcBorders>
          </w:tcPr>
          <w:p w:rsidR="00236F04" w:rsidRPr="00236F04" w:rsidRDefault="00236F04" w:rsidP="00236F04">
            <w:pPr>
              <w:spacing w:after="0" w:line="240" w:lineRule="auto"/>
              <w:jc w:val="both"/>
              <w:rPr>
                <w:rFonts w:ascii="Times New Roman" w:eastAsia="Calibri" w:hAnsi="Times New Roman" w:cs="Times New Roman"/>
                <w:sz w:val="24"/>
                <w:szCs w:val="24"/>
              </w:rPr>
            </w:pPr>
          </w:p>
        </w:tc>
        <w:tc>
          <w:tcPr>
            <w:tcW w:w="1209" w:type="dxa"/>
            <w:tcBorders>
              <w:top w:val="single" w:sz="4" w:space="0" w:color="auto"/>
              <w:left w:val="single" w:sz="4" w:space="0" w:color="auto"/>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103</w:t>
            </w:r>
          </w:p>
        </w:tc>
        <w:tc>
          <w:tcPr>
            <w:tcW w:w="1243"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10</w:t>
            </w:r>
          </w:p>
        </w:tc>
      </w:tr>
      <w:tr w:rsidR="00236F04" w:rsidRPr="00236F04" w:rsidTr="00236F04">
        <w:trPr>
          <w:trHeight w:val="64"/>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jc w:val="both"/>
              <w:rPr>
                <w:rFonts w:ascii="Times New Roman" w:eastAsia="Calibri" w:hAnsi="Times New Roman" w:cs="Times New Roman"/>
                <w:b/>
                <w:bCs/>
                <w:sz w:val="24"/>
                <w:szCs w:val="24"/>
              </w:rPr>
            </w:pPr>
            <w:r w:rsidRPr="00236F04">
              <w:rPr>
                <w:rFonts w:ascii="Times New Roman" w:eastAsia="Calibri" w:hAnsi="Times New Roman" w:cs="Times New Roman"/>
                <w:b/>
                <w:bCs/>
                <w:sz w:val="24"/>
                <w:szCs w:val="24"/>
              </w:rPr>
              <w:t>Totali i përgjithëm</w:t>
            </w:r>
          </w:p>
        </w:tc>
        <w:tc>
          <w:tcPr>
            <w:tcW w:w="720" w:type="dxa"/>
            <w:tcBorders>
              <w:top w:val="single" w:sz="4" w:space="0" w:color="auto"/>
              <w:left w:val="single" w:sz="4" w:space="0" w:color="auto"/>
              <w:bottom w:val="single" w:sz="4" w:space="0" w:color="auto"/>
              <w:right w:val="single" w:sz="4" w:space="0" w:color="auto"/>
            </w:tcBorders>
          </w:tcPr>
          <w:p w:rsidR="00236F04" w:rsidRPr="00236F04" w:rsidRDefault="00236F04" w:rsidP="00236F04">
            <w:pPr>
              <w:spacing w:after="0" w:line="240" w:lineRule="auto"/>
              <w:jc w:val="both"/>
              <w:rPr>
                <w:rFonts w:ascii="Times New Roman" w:eastAsia="Calibri" w:hAnsi="Times New Roman" w:cs="Times New Roman"/>
                <w:b/>
                <w:bCs/>
                <w:sz w:val="24"/>
                <w:szCs w:val="24"/>
              </w:rPr>
            </w:pPr>
          </w:p>
        </w:tc>
        <w:tc>
          <w:tcPr>
            <w:tcW w:w="1209" w:type="dxa"/>
            <w:tcBorders>
              <w:top w:val="single" w:sz="4" w:space="0" w:color="auto"/>
              <w:left w:val="single" w:sz="4" w:space="0" w:color="auto"/>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b/>
                <w:bCs/>
                <w:sz w:val="24"/>
                <w:szCs w:val="24"/>
              </w:rPr>
            </w:pPr>
            <w:r w:rsidRPr="00236F04">
              <w:rPr>
                <w:rFonts w:ascii="Times New Roman" w:eastAsia="Calibri" w:hAnsi="Times New Roman" w:cs="Times New Roman"/>
                <w:b/>
                <w:bCs/>
                <w:sz w:val="24"/>
                <w:szCs w:val="24"/>
              </w:rPr>
              <w:t>1147</w:t>
            </w:r>
          </w:p>
        </w:tc>
        <w:tc>
          <w:tcPr>
            <w:tcW w:w="1243" w:type="dxa"/>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jc w:val="both"/>
              <w:rPr>
                <w:rFonts w:ascii="Times New Roman" w:eastAsia="Calibri" w:hAnsi="Times New Roman" w:cs="Times New Roman"/>
                <w:b/>
                <w:bCs/>
                <w:sz w:val="24"/>
                <w:szCs w:val="24"/>
              </w:rPr>
            </w:pPr>
            <w:r w:rsidRPr="00236F04">
              <w:rPr>
                <w:rFonts w:ascii="Times New Roman" w:eastAsia="Calibri" w:hAnsi="Times New Roman" w:cs="Times New Roman"/>
                <w:b/>
                <w:bCs/>
                <w:sz w:val="24"/>
                <w:szCs w:val="24"/>
              </w:rPr>
              <w:t>100</w:t>
            </w:r>
          </w:p>
        </w:tc>
      </w:tr>
    </w:tbl>
    <w:p w:rsidR="00236F04" w:rsidRPr="00236F04" w:rsidRDefault="00236F04" w:rsidP="00236F04">
      <w:pPr>
        <w:spacing w:after="0" w:line="240" w:lineRule="auto"/>
        <w:jc w:val="both"/>
        <w:rPr>
          <w:rFonts w:ascii="Times New Roman" w:eastAsia="Calibri" w:hAnsi="Times New Roman" w:cs="Times New Roman"/>
          <w:sz w:val="24"/>
          <w:szCs w:val="24"/>
        </w:rPr>
      </w:pPr>
    </w:p>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Është për tu marrë në konsideratë gjatë fazës së planifikimit se 10% e sipërfaqes së mbuluar nga pyjet e ahut kanë rreth 40% të lëndës drusore (rreth 23 milion m³) dhe 14% të sipërfaqes të mbuluar me pyje halorë që zotërojën rreth 24% të lëndës drusore (afërsisht 15 milion m³). </w:t>
      </w:r>
    </w:p>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Analizimi i klasave të moshës ndarë sipas forms së qeverisjes është shumë e rëndësishme për tu analizuar mbasi ky tregues ka të bëje me shpërndarjen diametrike të drurëve në pyje sipas formës menaxhese, dy elemnte që shërbejnë për përcaktimin e disponueshmerisë së pyllit për lëndë druri aq me tepër si rregullatore për normalizimin e ciklit të prodhimit të grumbujve pyjorë.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p>
    <w:p w:rsidR="00236F04" w:rsidRPr="00420C54" w:rsidRDefault="00236F04" w:rsidP="00807975">
      <w:pPr>
        <w:pStyle w:val="ListParagraph"/>
        <w:keepNext/>
        <w:keepLines/>
        <w:numPr>
          <w:ilvl w:val="0"/>
          <w:numId w:val="108"/>
        </w:numPr>
        <w:spacing w:after="80" w:line="240" w:lineRule="auto"/>
        <w:jc w:val="both"/>
        <w:outlineLvl w:val="0"/>
        <w:rPr>
          <w:rFonts w:ascii="Times New Roman" w:eastAsia="Times New Roman" w:hAnsi="Times New Roman" w:cs="Times New Roman"/>
          <w:b/>
          <w:bCs/>
          <w:sz w:val="24"/>
          <w:szCs w:val="24"/>
        </w:rPr>
      </w:pPr>
      <w:r w:rsidRPr="00420C54">
        <w:rPr>
          <w:rFonts w:ascii="Times New Roman" w:eastAsia="Times New Roman" w:hAnsi="Times New Roman" w:cs="Times New Roman"/>
          <w:b/>
          <w:bCs/>
          <w:sz w:val="24"/>
          <w:szCs w:val="24"/>
        </w:rPr>
        <w:t>Shpërndarja e sipërfaqes pyjore dhe volumit për klasat e moshës</w:t>
      </w:r>
    </w:p>
    <w:p w:rsidR="00420C54" w:rsidRDefault="00420C54" w:rsidP="00420C54">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236F04" w:rsidRPr="00420C54" w:rsidRDefault="00420C54" w:rsidP="00420C54">
      <w:pPr>
        <w:autoSpaceDE w:val="0"/>
        <w:autoSpaceDN w:val="0"/>
        <w:adjustRightInd w:val="0"/>
        <w:spacing w:after="0" w:line="240" w:lineRule="auto"/>
        <w:contextualSpacing/>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Për trungishtet</w:t>
      </w:r>
      <w:r w:rsidR="00236F04" w:rsidRPr="00236F04">
        <w:rPr>
          <w:rFonts w:ascii="Times New Roman" w:eastAsia="Calibri" w:hAnsi="Times New Roman" w:cs="Times New Roman"/>
          <w:sz w:val="24"/>
          <w:szCs w:val="24"/>
        </w:rPr>
        <w:t>.</w:t>
      </w:r>
    </w:p>
    <w:tbl>
      <w:tblPr>
        <w:tblW w:w="9474" w:type="dxa"/>
        <w:tblInd w:w="-10" w:type="dxa"/>
        <w:tblLook w:val="04A0" w:firstRow="1" w:lastRow="0" w:firstColumn="1" w:lastColumn="0" w:noHBand="0" w:noVBand="1"/>
      </w:tblPr>
      <w:tblGrid>
        <w:gridCol w:w="1467"/>
        <w:gridCol w:w="1819"/>
        <w:gridCol w:w="1840"/>
        <w:gridCol w:w="1415"/>
        <w:gridCol w:w="1518"/>
        <w:gridCol w:w="1415"/>
      </w:tblGrid>
      <w:tr w:rsidR="00236F04" w:rsidRPr="00236F04" w:rsidTr="00236F04">
        <w:trPr>
          <w:trHeight w:val="232"/>
        </w:trPr>
        <w:tc>
          <w:tcPr>
            <w:tcW w:w="1467" w:type="dxa"/>
            <w:vMerge w:val="restart"/>
            <w:tcBorders>
              <w:top w:val="single" w:sz="8" w:space="0" w:color="auto"/>
              <w:left w:val="single" w:sz="8" w:space="0" w:color="auto"/>
              <w:bottom w:val="single" w:sz="8" w:space="0" w:color="000000"/>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Sistemi i qeverisjes</w:t>
            </w:r>
          </w:p>
        </w:tc>
        <w:tc>
          <w:tcPr>
            <w:tcW w:w="1819" w:type="dxa"/>
            <w:vMerge w:val="restart"/>
            <w:tcBorders>
              <w:top w:val="single" w:sz="8" w:space="0" w:color="auto"/>
              <w:left w:val="single" w:sz="8" w:space="0" w:color="auto"/>
              <w:bottom w:val="single" w:sz="8" w:space="0" w:color="000000"/>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Klasat e moshës</w:t>
            </w:r>
          </w:p>
        </w:tc>
        <w:tc>
          <w:tcPr>
            <w:tcW w:w="3255" w:type="dxa"/>
            <w:gridSpan w:val="2"/>
            <w:tcBorders>
              <w:top w:val="single" w:sz="8" w:space="0" w:color="auto"/>
              <w:left w:val="nil"/>
              <w:bottom w:val="single" w:sz="8" w:space="0" w:color="auto"/>
              <w:right w:val="single" w:sz="8" w:space="0" w:color="000000"/>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Sipërfaqia</w:t>
            </w:r>
          </w:p>
        </w:tc>
        <w:tc>
          <w:tcPr>
            <w:tcW w:w="2933" w:type="dxa"/>
            <w:gridSpan w:val="2"/>
            <w:tcBorders>
              <w:top w:val="single" w:sz="8" w:space="0" w:color="auto"/>
              <w:left w:val="nil"/>
              <w:bottom w:val="single" w:sz="8" w:space="0" w:color="auto"/>
              <w:right w:val="single" w:sz="8" w:space="0" w:color="000000"/>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Volumi</w:t>
            </w:r>
          </w:p>
        </w:tc>
      </w:tr>
      <w:tr w:rsidR="00236F04" w:rsidRPr="00236F04" w:rsidTr="00236F04">
        <w:trPr>
          <w:trHeight w:val="34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236F04" w:rsidRPr="00236F04" w:rsidRDefault="00236F04" w:rsidP="00236F04">
            <w:pPr>
              <w:spacing w:after="0"/>
              <w:rPr>
                <w:rFonts w:ascii="Times New Roman" w:eastAsia="Times New Roman" w:hAnsi="Times New Roman" w:cs="Times New Roman"/>
                <w:color w:val="000000"/>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236F04" w:rsidRPr="00236F04" w:rsidRDefault="00236F04" w:rsidP="00236F04">
            <w:pPr>
              <w:spacing w:after="0"/>
              <w:rPr>
                <w:rFonts w:ascii="Times New Roman" w:eastAsia="Times New Roman" w:hAnsi="Times New Roman" w:cs="Times New Roman"/>
                <w:color w:val="000000"/>
                <w:sz w:val="24"/>
                <w:szCs w:val="24"/>
              </w:rPr>
            </w:pPr>
          </w:p>
        </w:tc>
        <w:tc>
          <w:tcPr>
            <w:tcW w:w="1840"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(1000 ha)</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Përqindja</w:t>
            </w:r>
          </w:p>
        </w:tc>
        <w:tc>
          <w:tcPr>
            <w:tcW w:w="1518"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(milion m</w:t>
            </w:r>
            <w:r w:rsidRPr="00236F04">
              <w:rPr>
                <w:rFonts w:ascii="Times New Roman" w:eastAsia="Times New Roman" w:hAnsi="Times New Roman" w:cs="Times New Roman"/>
                <w:color w:val="000000"/>
                <w:sz w:val="24"/>
                <w:szCs w:val="24"/>
                <w:vertAlign w:val="superscript"/>
              </w:rPr>
              <w:t>3</w:t>
            </w:r>
            <w:r w:rsidRPr="00236F04">
              <w:rPr>
                <w:rFonts w:ascii="Times New Roman" w:eastAsia="Times New Roman" w:hAnsi="Times New Roman" w:cs="Times New Roman"/>
                <w:color w:val="000000"/>
                <w:sz w:val="24"/>
                <w:szCs w:val="24"/>
              </w:rPr>
              <w:t>)</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Përqindja</w:t>
            </w:r>
          </w:p>
        </w:tc>
      </w:tr>
      <w:tr w:rsidR="00236F04" w:rsidRPr="00236F04" w:rsidTr="00236F04">
        <w:trPr>
          <w:trHeight w:val="232"/>
        </w:trPr>
        <w:tc>
          <w:tcPr>
            <w:tcW w:w="1467" w:type="dxa"/>
            <w:tcBorders>
              <w:top w:val="nil"/>
              <w:left w:val="single" w:sz="8" w:space="0" w:color="auto"/>
              <w:bottom w:val="nil"/>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 </w:t>
            </w:r>
          </w:p>
        </w:tc>
        <w:tc>
          <w:tcPr>
            <w:tcW w:w="1819"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0-20 vite</w:t>
            </w:r>
          </w:p>
        </w:tc>
        <w:tc>
          <w:tcPr>
            <w:tcW w:w="1840"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15</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4</w:t>
            </w:r>
          </w:p>
        </w:tc>
        <w:tc>
          <w:tcPr>
            <w:tcW w:w="1518" w:type="dxa"/>
            <w:tcBorders>
              <w:top w:val="nil"/>
              <w:left w:val="nil"/>
              <w:bottom w:val="single" w:sz="8" w:space="0" w:color="auto"/>
              <w:right w:val="single" w:sz="8" w:space="0" w:color="auto"/>
            </w:tcBorders>
            <w:hideMark/>
          </w:tcPr>
          <w:p w:rsidR="00236F04" w:rsidRPr="00236F04" w:rsidRDefault="00236F04" w:rsidP="00236F04">
            <w:pPr>
              <w:autoSpaceDE w:val="0"/>
              <w:autoSpaceDN w:val="0"/>
              <w:adjustRightInd w:val="0"/>
              <w:spacing w:after="0" w:line="240" w:lineRule="auto"/>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0</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1</w:t>
            </w:r>
          </w:p>
        </w:tc>
      </w:tr>
      <w:tr w:rsidR="00236F04" w:rsidRPr="00236F04" w:rsidTr="00236F04">
        <w:trPr>
          <w:trHeight w:val="232"/>
        </w:trPr>
        <w:tc>
          <w:tcPr>
            <w:tcW w:w="1467" w:type="dxa"/>
            <w:tcBorders>
              <w:top w:val="nil"/>
              <w:left w:val="single" w:sz="8" w:space="0" w:color="auto"/>
              <w:bottom w:val="nil"/>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 </w:t>
            </w:r>
          </w:p>
        </w:tc>
        <w:tc>
          <w:tcPr>
            <w:tcW w:w="1819"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21 - 40 vite</w:t>
            </w:r>
          </w:p>
        </w:tc>
        <w:tc>
          <w:tcPr>
            <w:tcW w:w="1840"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79</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20</w:t>
            </w:r>
          </w:p>
        </w:tc>
        <w:tc>
          <w:tcPr>
            <w:tcW w:w="1518" w:type="dxa"/>
            <w:tcBorders>
              <w:top w:val="nil"/>
              <w:left w:val="nil"/>
              <w:bottom w:val="single" w:sz="8" w:space="0" w:color="auto"/>
              <w:right w:val="single" w:sz="8" w:space="0" w:color="auto"/>
            </w:tcBorders>
            <w:hideMark/>
          </w:tcPr>
          <w:p w:rsidR="00236F04" w:rsidRPr="00236F04" w:rsidRDefault="00236F04" w:rsidP="00236F04">
            <w:pPr>
              <w:autoSpaceDE w:val="0"/>
              <w:autoSpaceDN w:val="0"/>
              <w:adjustRightInd w:val="0"/>
              <w:spacing w:after="0" w:line="240" w:lineRule="auto"/>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4</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22</w:t>
            </w:r>
          </w:p>
        </w:tc>
      </w:tr>
      <w:tr w:rsidR="00236F04" w:rsidRPr="00236F04" w:rsidTr="00236F04">
        <w:trPr>
          <w:trHeight w:val="232"/>
        </w:trPr>
        <w:tc>
          <w:tcPr>
            <w:tcW w:w="1467" w:type="dxa"/>
            <w:tcBorders>
              <w:top w:val="nil"/>
              <w:left w:val="single" w:sz="8" w:space="0" w:color="auto"/>
              <w:bottom w:val="nil"/>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 </w:t>
            </w:r>
          </w:p>
        </w:tc>
        <w:tc>
          <w:tcPr>
            <w:tcW w:w="1819"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41 - 60 vite</w:t>
            </w:r>
          </w:p>
        </w:tc>
        <w:tc>
          <w:tcPr>
            <w:tcW w:w="1840"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98</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24</w:t>
            </w:r>
          </w:p>
        </w:tc>
        <w:tc>
          <w:tcPr>
            <w:tcW w:w="1518" w:type="dxa"/>
            <w:tcBorders>
              <w:top w:val="nil"/>
              <w:left w:val="nil"/>
              <w:bottom w:val="single" w:sz="8" w:space="0" w:color="auto"/>
              <w:right w:val="single" w:sz="8" w:space="0" w:color="auto"/>
            </w:tcBorders>
            <w:hideMark/>
          </w:tcPr>
          <w:p w:rsidR="00236F04" w:rsidRPr="00236F04" w:rsidRDefault="00236F04" w:rsidP="00236F04">
            <w:pPr>
              <w:autoSpaceDE w:val="0"/>
              <w:autoSpaceDN w:val="0"/>
              <w:adjustRightInd w:val="0"/>
              <w:spacing w:after="0" w:line="240" w:lineRule="auto"/>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6.8</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28</w:t>
            </w:r>
          </w:p>
        </w:tc>
      </w:tr>
      <w:tr w:rsidR="00236F04" w:rsidRPr="00236F04" w:rsidTr="00236F04">
        <w:trPr>
          <w:trHeight w:val="232"/>
        </w:trPr>
        <w:tc>
          <w:tcPr>
            <w:tcW w:w="1467" w:type="dxa"/>
            <w:tcBorders>
              <w:top w:val="nil"/>
              <w:left w:val="single" w:sz="8" w:space="0" w:color="auto"/>
              <w:bottom w:val="nil"/>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 </w:t>
            </w:r>
          </w:p>
        </w:tc>
        <w:tc>
          <w:tcPr>
            <w:tcW w:w="1819"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61 - 80 vite</w:t>
            </w:r>
          </w:p>
        </w:tc>
        <w:tc>
          <w:tcPr>
            <w:tcW w:w="1840"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77</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19</w:t>
            </w:r>
          </w:p>
        </w:tc>
        <w:tc>
          <w:tcPr>
            <w:tcW w:w="1518" w:type="dxa"/>
            <w:tcBorders>
              <w:top w:val="nil"/>
              <w:left w:val="nil"/>
              <w:bottom w:val="single" w:sz="8" w:space="0" w:color="auto"/>
              <w:right w:val="single" w:sz="8" w:space="0" w:color="auto"/>
            </w:tcBorders>
            <w:hideMark/>
          </w:tcPr>
          <w:p w:rsidR="00236F04" w:rsidRPr="00236F04" w:rsidRDefault="00236F04" w:rsidP="00236F04">
            <w:pPr>
              <w:autoSpaceDE w:val="0"/>
              <w:autoSpaceDN w:val="0"/>
              <w:adjustRightInd w:val="0"/>
              <w:spacing w:after="0" w:line="240" w:lineRule="auto"/>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6.4</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19</w:t>
            </w:r>
          </w:p>
        </w:tc>
      </w:tr>
      <w:tr w:rsidR="00236F04" w:rsidRPr="00236F04" w:rsidTr="00236F04">
        <w:trPr>
          <w:trHeight w:val="232"/>
        </w:trPr>
        <w:tc>
          <w:tcPr>
            <w:tcW w:w="1467" w:type="dxa"/>
            <w:tcBorders>
              <w:top w:val="nil"/>
              <w:left w:val="single" w:sz="8" w:space="0" w:color="auto"/>
              <w:bottom w:val="nil"/>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 xml:space="preserve">Trungishte </w:t>
            </w:r>
          </w:p>
        </w:tc>
        <w:tc>
          <w:tcPr>
            <w:tcW w:w="1819"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81 - 100 vite</w:t>
            </w:r>
          </w:p>
        </w:tc>
        <w:tc>
          <w:tcPr>
            <w:tcW w:w="1840"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69</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17</w:t>
            </w:r>
          </w:p>
        </w:tc>
        <w:tc>
          <w:tcPr>
            <w:tcW w:w="1518" w:type="dxa"/>
            <w:tcBorders>
              <w:top w:val="nil"/>
              <w:left w:val="nil"/>
              <w:bottom w:val="single" w:sz="8" w:space="0" w:color="auto"/>
              <w:right w:val="single" w:sz="8" w:space="0" w:color="auto"/>
            </w:tcBorders>
            <w:hideMark/>
          </w:tcPr>
          <w:p w:rsidR="00236F04" w:rsidRPr="00236F04" w:rsidRDefault="00236F04" w:rsidP="00236F04">
            <w:pPr>
              <w:autoSpaceDE w:val="0"/>
              <w:autoSpaceDN w:val="0"/>
              <w:adjustRightInd w:val="0"/>
              <w:spacing w:after="0" w:line="240" w:lineRule="auto"/>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8.3</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15</w:t>
            </w:r>
          </w:p>
        </w:tc>
      </w:tr>
      <w:tr w:rsidR="00236F04" w:rsidRPr="00236F04" w:rsidTr="00236F04">
        <w:trPr>
          <w:trHeight w:val="232"/>
        </w:trPr>
        <w:tc>
          <w:tcPr>
            <w:tcW w:w="1467" w:type="dxa"/>
            <w:tcBorders>
              <w:top w:val="nil"/>
              <w:left w:val="single" w:sz="8" w:space="0" w:color="auto"/>
              <w:bottom w:val="nil"/>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 </w:t>
            </w:r>
          </w:p>
        </w:tc>
        <w:tc>
          <w:tcPr>
            <w:tcW w:w="1819"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101 - 120 vite</w:t>
            </w:r>
          </w:p>
        </w:tc>
        <w:tc>
          <w:tcPr>
            <w:tcW w:w="1840"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34</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8</w:t>
            </w:r>
          </w:p>
        </w:tc>
        <w:tc>
          <w:tcPr>
            <w:tcW w:w="1518" w:type="dxa"/>
            <w:tcBorders>
              <w:top w:val="nil"/>
              <w:left w:val="nil"/>
              <w:bottom w:val="single" w:sz="8" w:space="0" w:color="auto"/>
              <w:right w:val="single" w:sz="8" w:space="0" w:color="auto"/>
            </w:tcBorders>
            <w:hideMark/>
          </w:tcPr>
          <w:p w:rsidR="00236F04" w:rsidRPr="00236F04" w:rsidRDefault="00236F04" w:rsidP="00236F04">
            <w:pPr>
              <w:autoSpaceDE w:val="0"/>
              <w:autoSpaceDN w:val="0"/>
              <w:adjustRightInd w:val="0"/>
              <w:spacing w:after="0" w:line="240" w:lineRule="auto"/>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5.2</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8</w:t>
            </w:r>
          </w:p>
        </w:tc>
      </w:tr>
      <w:tr w:rsidR="00236F04" w:rsidRPr="00236F04" w:rsidTr="00236F04">
        <w:trPr>
          <w:trHeight w:val="232"/>
        </w:trPr>
        <w:tc>
          <w:tcPr>
            <w:tcW w:w="1467" w:type="dxa"/>
            <w:tcBorders>
              <w:top w:val="nil"/>
              <w:left w:val="single" w:sz="8" w:space="0" w:color="auto"/>
              <w:bottom w:val="nil"/>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 </w:t>
            </w:r>
          </w:p>
        </w:tc>
        <w:tc>
          <w:tcPr>
            <w:tcW w:w="1819"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121 - 140 vite</w:t>
            </w:r>
          </w:p>
        </w:tc>
        <w:tc>
          <w:tcPr>
            <w:tcW w:w="1840"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13</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3</w:t>
            </w:r>
          </w:p>
        </w:tc>
        <w:tc>
          <w:tcPr>
            <w:tcW w:w="1518" w:type="dxa"/>
            <w:tcBorders>
              <w:top w:val="nil"/>
              <w:left w:val="nil"/>
              <w:bottom w:val="single" w:sz="8" w:space="0" w:color="auto"/>
              <w:right w:val="single" w:sz="8" w:space="0" w:color="auto"/>
            </w:tcBorders>
            <w:hideMark/>
          </w:tcPr>
          <w:p w:rsidR="00236F04" w:rsidRPr="00236F04" w:rsidRDefault="00236F04" w:rsidP="00236F04">
            <w:pPr>
              <w:autoSpaceDE w:val="0"/>
              <w:autoSpaceDN w:val="0"/>
              <w:adjustRightInd w:val="0"/>
              <w:spacing w:after="0" w:line="240" w:lineRule="auto"/>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3</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3</w:t>
            </w:r>
          </w:p>
        </w:tc>
      </w:tr>
      <w:tr w:rsidR="00236F04" w:rsidRPr="00236F04" w:rsidTr="00236F04">
        <w:trPr>
          <w:trHeight w:val="232"/>
        </w:trPr>
        <w:tc>
          <w:tcPr>
            <w:tcW w:w="1467" w:type="dxa"/>
            <w:tcBorders>
              <w:top w:val="nil"/>
              <w:left w:val="single" w:sz="8" w:space="0" w:color="auto"/>
              <w:bottom w:val="nil"/>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 </w:t>
            </w:r>
          </w:p>
        </w:tc>
        <w:tc>
          <w:tcPr>
            <w:tcW w:w="1819"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141 - 160 vite</w:t>
            </w:r>
          </w:p>
        </w:tc>
        <w:tc>
          <w:tcPr>
            <w:tcW w:w="1840"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7</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2</w:t>
            </w:r>
          </w:p>
        </w:tc>
        <w:tc>
          <w:tcPr>
            <w:tcW w:w="1518" w:type="dxa"/>
            <w:tcBorders>
              <w:top w:val="nil"/>
              <w:left w:val="nil"/>
              <w:bottom w:val="single" w:sz="8" w:space="0" w:color="auto"/>
              <w:right w:val="single" w:sz="8" w:space="0" w:color="auto"/>
            </w:tcBorders>
            <w:hideMark/>
          </w:tcPr>
          <w:p w:rsidR="00236F04" w:rsidRPr="00236F04" w:rsidRDefault="00236F04" w:rsidP="00236F04">
            <w:pPr>
              <w:autoSpaceDE w:val="0"/>
              <w:autoSpaceDN w:val="0"/>
              <w:adjustRightInd w:val="0"/>
              <w:spacing w:after="0" w:line="240" w:lineRule="auto"/>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2.1</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2</w:t>
            </w:r>
          </w:p>
        </w:tc>
      </w:tr>
      <w:tr w:rsidR="00236F04" w:rsidRPr="00236F04" w:rsidTr="00236F04">
        <w:trPr>
          <w:trHeight w:val="232"/>
        </w:trPr>
        <w:tc>
          <w:tcPr>
            <w:tcW w:w="1467" w:type="dxa"/>
            <w:tcBorders>
              <w:top w:val="nil"/>
              <w:left w:val="single" w:sz="8" w:space="0" w:color="auto"/>
              <w:bottom w:val="nil"/>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 </w:t>
            </w:r>
          </w:p>
        </w:tc>
        <w:tc>
          <w:tcPr>
            <w:tcW w:w="1819"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&gt;160 vite</w:t>
            </w:r>
          </w:p>
        </w:tc>
        <w:tc>
          <w:tcPr>
            <w:tcW w:w="1840"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10</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2</w:t>
            </w:r>
          </w:p>
        </w:tc>
        <w:tc>
          <w:tcPr>
            <w:tcW w:w="1518" w:type="dxa"/>
            <w:tcBorders>
              <w:top w:val="nil"/>
              <w:left w:val="nil"/>
              <w:bottom w:val="single" w:sz="8" w:space="0" w:color="auto"/>
              <w:right w:val="single" w:sz="8" w:space="0" w:color="auto"/>
            </w:tcBorders>
            <w:hideMark/>
          </w:tcPr>
          <w:p w:rsidR="00236F04" w:rsidRPr="00236F04" w:rsidRDefault="00236F04" w:rsidP="00236F04">
            <w:pPr>
              <w:autoSpaceDE w:val="0"/>
              <w:autoSpaceDN w:val="0"/>
              <w:adjustRightInd w:val="0"/>
              <w:spacing w:after="0" w:line="240" w:lineRule="auto"/>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2.2</w:t>
            </w:r>
          </w:p>
        </w:tc>
        <w:tc>
          <w:tcPr>
            <w:tcW w:w="1415" w:type="dxa"/>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2</w:t>
            </w:r>
          </w:p>
        </w:tc>
      </w:tr>
      <w:tr w:rsidR="00236F04" w:rsidRPr="00236F04" w:rsidTr="00236F04">
        <w:trPr>
          <w:trHeight w:val="232"/>
        </w:trPr>
        <w:tc>
          <w:tcPr>
            <w:tcW w:w="1467" w:type="dxa"/>
            <w:tcBorders>
              <w:top w:val="nil"/>
              <w:left w:val="single" w:sz="8" w:space="0" w:color="auto"/>
              <w:bottom w:val="single" w:sz="8" w:space="0" w:color="auto"/>
              <w:right w:val="single" w:sz="8"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 </w:t>
            </w:r>
          </w:p>
        </w:tc>
        <w:tc>
          <w:tcPr>
            <w:tcW w:w="1819" w:type="dxa"/>
            <w:tcBorders>
              <w:top w:val="nil"/>
              <w:left w:val="nil"/>
              <w:bottom w:val="single" w:sz="8" w:space="0" w:color="auto"/>
              <w:right w:val="single" w:sz="8" w:space="0" w:color="auto"/>
            </w:tcBorders>
            <w:shd w:val="clear" w:color="auto" w:fill="E2EFDA"/>
            <w:vAlign w:val="center"/>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24"/>
                <w:szCs w:val="24"/>
              </w:rPr>
            </w:pPr>
            <w:r w:rsidRPr="00236F04">
              <w:rPr>
                <w:rFonts w:ascii="Times New Roman" w:eastAsia="Times New Roman" w:hAnsi="Times New Roman" w:cs="Times New Roman"/>
                <w:b/>
                <w:bCs/>
                <w:color w:val="000000"/>
                <w:sz w:val="24"/>
                <w:szCs w:val="24"/>
              </w:rPr>
              <w:t>Total</w:t>
            </w:r>
          </w:p>
        </w:tc>
        <w:tc>
          <w:tcPr>
            <w:tcW w:w="1840" w:type="dxa"/>
            <w:tcBorders>
              <w:top w:val="nil"/>
              <w:left w:val="nil"/>
              <w:bottom w:val="single" w:sz="8" w:space="0" w:color="auto"/>
              <w:right w:val="single" w:sz="8" w:space="0" w:color="auto"/>
            </w:tcBorders>
            <w:shd w:val="clear" w:color="auto" w:fill="E2EFDA"/>
            <w:vAlign w:val="center"/>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24"/>
                <w:szCs w:val="24"/>
              </w:rPr>
            </w:pPr>
            <w:r w:rsidRPr="00236F04">
              <w:rPr>
                <w:rFonts w:ascii="Times New Roman" w:eastAsia="Times New Roman" w:hAnsi="Times New Roman" w:cs="Times New Roman"/>
                <w:b/>
                <w:bCs/>
                <w:color w:val="000000"/>
                <w:sz w:val="24"/>
                <w:szCs w:val="24"/>
              </w:rPr>
              <w:t>402</w:t>
            </w:r>
          </w:p>
        </w:tc>
        <w:tc>
          <w:tcPr>
            <w:tcW w:w="1415" w:type="dxa"/>
            <w:tcBorders>
              <w:top w:val="nil"/>
              <w:left w:val="nil"/>
              <w:bottom w:val="single" w:sz="8" w:space="0" w:color="auto"/>
              <w:right w:val="single" w:sz="8" w:space="0" w:color="auto"/>
            </w:tcBorders>
            <w:shd w:val="clear" w:color="auto" w:fill="E2EFDA"/>
            <w:vAlign w:val="center"/>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24"/>
                <w:szCs w:val="24"/>
              </w:rPr>
            </w:pPr>
            <w:r w:rsidRPr="00236F04">
              <w:rPr>
                <w:rFonts w:ascii="Times New Roman" w:eastAsia="Times New Roman" w:hAnsi="Times New Roman" w:cs="Times New Roman"/>
                <w:b/>
                <w:bCs/>
                <w:color w:val="000000"/>
                <w:sz w:val="24"/>
                <w:szCs w:val="24"/>
              </w:rPr>
              <w:t>100</w:t>
            </w:r>
          </w:p>
        </w:tc>
        <w:tc>
          <w:tcPr>
            <w:tcW w:w="1518" w:type="dxa"/>
            <w:tcBorders>
              <w:top w:val="nil"/>
              <w:left w:val="nil"/>
              <w:bottom w:val="single" w:sz="8" w:space="0" w:color="auto"/>
              <w:right w:val="single" w:sz="8" w:space="0" w:color="auto"/>
            </w:tcBorders>
            <w:shd w:val="clear" w:color="auto" w:fill="E2EFDA"/>
            <w:hideMark/>
          </w:tcPr>
          <w:p w:rsidR="00236F04" w:rsidRPr="00236F04" w:rsidRDefault="00236F04" w:rsidP="00236F04">
            <w:pPr>
              <w:autoSpaceDE w:val="0"/>
              <w:autoSpaceDN w:val="0"/>
              <w:adjustRightInd w:val="0"/>
              <w:spacing w:after="0" w:line="240" w:lineRule="auto"/>
              <w:rPr>
                <w:rFonts w:ascii="Times New Roman" w:eastAsia="Calibri" w:hAnsi="Times New Roman" w:cs="Times New Roman"/>
                <w:b/>
                <w:bCs/>
                <w:color w:val="000000"/>
                <w:sz w:val="24"/>
                <w:szCs w:val="24"/>
              </w:rPr>
            </w:pPr>
            <w:r w:rsidRPr="00236F04">
              <w:rPr>
                <w:rFonts w:ascii="Times New Roman" w:eastAsia="Calibri" w:hAnsi="Times New Roman" w:cs="Times New Roman"/>
                <w:b/>
                <w:bCs/>
                <w:color w:val="000000"/>
                <w:sz w:val="24"/>
                <w:szCs w:val="24"/>
              </w:rPr>
              <w:t>38</w:t>
            </w:r>
          </w:p>
        </w:tc>
        <w:tc>
          <w:tcPr>
            <w:tcW w:w="1415" w:type="dxa"/>
            <w:tcBorders>
              <w:top w:val="nil"/>
              <w:left w:val="nil"/>
              <w:bottom w:val="single" w:sz="8" w:space="0" w:color="auto"/>
              <w:right w:val="single" w:sz="8" w:space="0" w:color="auto"/>
            </w:tcBorders>
            <w:shd w:val="clear" w:color="auto" w:fill="E2EFDA"/>
            <w:vAlign w:val="center"/>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24"/>
                <w:szCs w:val="24"/>
              </w:rPr>
            </w:pPr>
            <w:r w:rsidRPr="00236F04">
              <w:rPr>
                <w:rFonts w:ascii="Times New Roman" w:eastAsia="Times New Roman" w:hAnsi="Times New Roman" w:cs="Times New Roman"/>
                <w:b/>
                <w:bCs/>
                <w:color w:val="000000"/>
                <w:sz w:val="24"/>
                <w:szCs w:val="24"/>
              </w:rPr>
              <w:t>100</w:t>
            </w:r>
          </w:p>
        </w:tc>
      </w:tr>
    </w:tbl>
    <w:p w:rsidR="00236F04" w:rsidRPr="00236F04" w:rsidRDefault="00236F04" w:rsidP="00236F04">
      <w:pPr>
        <w:autoSpaceDE w:val="0"/>
        <w:autoSpaceDN w:val="0"/>
        <w:adjustRightInd w:val="0"/>
        <w:spacing w:before="100" w:beforeAutospacing="1" w:after="100" w:afterAutospacing="1"/>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Nga sipërfaqia totale rreth 402 mijë ha janë trungishte, 67% e trungishteve janë pyje të rinj (më pak se 81 vjeçarë) dhe vetëm 34% janë pyje të pjekur/të arrirë (më të vjetër se të 80 vjeçarë). Nga pyjet e pjekur vetëm 17% janë mbi 100 vjeçarë. Disponueshmeria e furnizimit me lëndë druri është vetëm në 34% të pyjeve me regjim trungishteje.</w:t>
      </w:r>
    </w:p>
    <w:p w:rsidR="00236F04" w:rsidRPr="00236F04" w:rsidRDefault="00236F04" w:rsidP="00236F04">
      <w:pPr>
        <w:spacing w:line="276" w:lineRule="auto"/>
        <w:contextualSpacing/>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Paraqitja grafike jep një konfigurim të qartë të shpërndarjes së klasave të moshës në trungishte ku vihet re përqëndrimi i  volumit  në moshat e reja apo klasat e ulëta të moshës, si dhe një shpërndarje jouniforme e volumit të lëndës drusore në kategoritë e klasave të moshës.</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Analizimi i klasave të moshës ndarë sipas forms së qeverisjes është shumë e rëndësishme për tu analizuar mbasi ky tregues ka të bëje me shpërndarjen diametrike të drurëve në pyje sipas formës menaxh</w:t>
      </w:r>
      <w:r w:rsidR="00156799">
        <w:rPr>
          <w:rFonts w:ascii="Times New Roman" w:eastAsia="Calibri" w:hAnsi="Times New Roman" w:cs="Times New Roman"/>
          <w:sz w:val="24"/>
          <w:szCs w:val="24"/>
        </w:rPr>
        <w:t>u</w:t>
      </w:r>
      <w:r w:rsidRPr="00236F04">
        <w:rPr>
          <w:rFonts w:ascii="Times New Roman" w:eastAsia="Calibri" w:hAnsi="Times New Roman" w:cs="Times New Roman"/>
          <w:sz w:val="24"/>
          <w:szCs w:val="24"/>
        </w:rPr>
        <w:t>ese, dy elem</w:t>
      </w:r>
      <w:r w:rsidR="00156799">
        <w:rPr>
          <w:rFonts w:ascii="Times New Roman" w:eastAsia="Calibri" w:hAnsi="Times New Roman" w:cs="Times New Roman"/>
          <w:sz w:val="24"/>
          <w:szCs w:val="24"/>
        </w:rPr>
        <w:t>e</w:t>
      </w:r>
      <w:r w:rsidRPr="00236F04">
        <w:rPr>
          <w:rFonts w:ascii="Times New Roman" w:eastAsia="Calibri" w:hAnsi="Times New Roman" w:cs="Times New Roman"/>
          <w:sz w:val="24"/>
          <w:szCs w:val="24"/>
        </w:rPr>
        <w:t xml:space="preserve">nte që shërbejnë për përcaktimin e disponueshmerisë së pyllit për lëndë druri aq me tepër si rregullatore për normalizimin e ciklit të prodhimit të grumbujve pyjorë. </w:t>
      </w:r>
    </w:p>
    <w:p w:rsidR="00236F04" w:rsidRPr="00236F04" w:rsidRDefault="00420C5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noProof/>
          <w:sz w:val="24"/>
          <w:szCs w:val="24"/>
        </w:rPr>
        <w:drawing>
          <wp:anchor distT="0" distB="0" distL="114300" distR="114300" simplePos="0" relativeHeight="251663872" behindDoc="1" locked="0" layoutInCell="1" allowOverlap="1" wp14:anchorId="40A5A9A9" wp14:editId="2E6AA20B">
            <wp:simplePos x="0" y="0"/>
            <wp:positionH relativeFrom="margin">
              <wp:posOffset>-47625</wp:posOffset>
            </wp:positionH>
            <wp:positionV relativeFrom="paragraph">
              <wp:posOffset>127635</wp:posOffset>
            </wp:positionV>
            <wp:extent cx="5676265" cy="1952625"/>
            <wp:effectExtent l="0" t="0" r="635" b="9525"/>
            <wp:wrapTight wrapText="bothSides">
              <wp:wrapPolygon edited="0">
                <wp:start x="0" y="0"/>
                <wp:lineTo x="0" y="21495"/>
                <wp:lineTo x="21530" y="21495"/>
                <wp:lineTo x="21530" y="0"/>
                <wp:lineTo x="0" y="0"/>
              </wp:wrapPolygon>
            </wp:wrapTight>
            <wp:docPr id="64" name="Picture 4" descr="Chart&#10;&#10;Description automatically generated"/>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5" descr="Chart&#10;&#10;Description automatically generated"/>
                    <pic:cNvPicPr>
                      <a:picLocks noGrp="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676265" cy="1952625"/>
                    </a:xfrm>
                    <a:prstGeom prst="rect">
                      <a:avLst/>
                    </a:prstGeom>
                    <a:noFill/>
                  </pic:spPr>
                </pic:pic>
              </a:graphicData>
            </a:graphic>
            <wp14:sizeRelH relativeFrom="page">
              <wp14:pctWidth>0</wp14:pctWidth>
            </wp14:sizeRelH>
            <wp14:sizeRelV relativeFrom="page">
              <wp14:pctHeight>0</wp14:pctHeight>
            </wp14:sizeRelV>
          </wp:anchor>
        </w:drawing>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b/>
          <w:bCs/>
          <w:sz w:val="24"/>
          <w:szCs w:val="24"/>
        </w:rPr>
      </w:pPr>
    </w:p>
    <w:p w:rsidR="00420C54" w:rsidRDefault="00420C54" w:rsidP="00236F04">
      <w:pPr>
        <w:autoSpaceDE w:val="0"/>
        <w:autoSpaceDN w:val="0"/>
        <w:adjustRightInd w:val="0"/>
        <w:spacing w:after="0" w:line="240" w:lineRule="auto"/>
        <w:jc w:val="both"/>
        <w:rPr>
          <w:rFonts w:ascii="Times New Roman" w:eastAsia="Calibri" w:hAnsi="Times New Roman" w:cs="Times New Roman"/>
          <w:b/>
          <w:bCs/>
          <w:sz w:val="24"/>
          <w:szCs w:val="24"/>
        </w:rPr>
      </w:pPr>
    </w:p>
    <w:p w:rsidR="00420C54" w:rsidRDefault="00420C54" w:rsidP="00236F04">
      <w:pPr>
        <w:autoSpaceDE w:val="0"/>
        <w:autoSpaceDN w:val="0"/>
        <w:adjustRightInd w:val="0"/>
        <w:spacing w:after="0" w:line="240" w:lineRule="auto"/>
        <w:jc w:val="both"/>
        <w:rPr>
          <w:rFonts w:ascii="Times New Roman" w:eastAsia="Calibri" w:hAnsi="Times New Roman" w:cs="Times New Roman"/>
          <w:b/>
          <w:bCs/>
          <w:sz w:val="24"/>
          <w:szCs w:val="24"/>
        </w:rPr>
      </w:pPr>
    </w:p>
    <w:p w:rsidR="00420C54" w:rsidRDefault="00420C54" w:rsidP="00236F04">
      <w:pPr>
        <w:autoSpaceDE w:val="0"/>
        <w:autoSpaceDN w:val="0"/>
        <w:adjustRightInd w:val="0"/>
        <w:spacing w:after="0" w:line="240" w:lineRule="auto"/>
        <w:jc w:val="both"/>
        <w:rPr>
          <w:rFonts w:ascii="Times New Roman" w:eastAsia="Calibri" w:hAnsi="Times New Roman" w:cs="Times New Roman"/>
          <w:b/>
          <w:bCs/>
          <w:sz w:val="24"/>
          <w:szCs w:val="24"/>
        </w:rPr>
      </w:pPr>
    </w:p>
    <w:p w:rsidR="00420C54" w:rsidRDefault="00420C54" w:rsidP="00236F04">
      <w:pPr>
        <w:autoSpaceDE w:val="0"/>
        <w:autoSpaceDN w:val="0"/>
        <w:adjustRightInd w:val="0"/>
        <w:spacing w:after="0" w:line="240" w:lineRule="auto"/>
        <w:jc w:val="both"/>
        <w:rPr>
          <w:rFonts w:ascii="Times New Roman" w:eastAsia="Calibri" w:hAnsi="Times New Roman" w:cs="Times New Roman"/>
          <w:b/>
          <w:bCs/>
          <w:sz w:val="24"/>
          <w:szCs w:val="24"/>
        </w:rPr>
      </w:pPr>
    </w:p>
    <w:p w:rsidR="00420C54" w:rsidRDefault="00420C54" w:rsidP="00236F04">
      <w:pPr>
        <w:autoSpaceDE w:val="0"/>
        <w:autoSpaceDN w:val="0"/>
        <w:adjustRightInd w:val="0"/>
        <w:spacing w:after="0" w:line="240" w:lineRule="auto"/>
        <w:jc w:val="both"/>
        <w:rPr>
          <w:rFonts w:ascii="Times New Roman" w:eastAsia="Calibri" w:hAnsi="Times New Roman" w:cs="Times New Roman"/>
          <w:b/>
          <w:bCs/>
          <w:sz w:val="24"/>
          <w:szCs w:val="24"/>
        </w:rPr>
      </w:pPr>
    </w:p>
    <w:p w:rsidR="00420C54" w:rsidRDefault="00420C54" w:rsidP="00236F04">
      <w:pPr>
        <w:autoSpaceDE w:val="0"/>
        <w:autoSpaceDN w:val="0"/>
        <w:adjustRightInd w:val="0"/>
        <w:spacing w:after="0" w:line="240" w:lineRule="auto"/>
        <w:jc w:val="both"/>
        <w:rPr>
          <w:rFonts w:ascii="Times New Roman" w:eastAsia="Calibri" w:hAnsi="Times New Roman" w:cs="Times New Roman"/>
          <w:b/>
          <w:bCs/>
          <w:sz w:val="24"/>
          <w:szCs w:val="24"/>
        </w:rPr>
      </w:pPr>
    </w:p>
    <w:p w:rsidR="00420C54" w:rsidRDefault="00420C54" w:rsidP="00236F04">
      <w:pPr>
        <w:autoSpaceDE w:val="0"/>
        <w:autoSpaceDN w:val="0"/>
        <w:adjustRightInd w:val="0"/>
        <w:spacing w:after="0" w:line="240" w:lineRule="auto"/>
        <w:jc w:val="both"/>
        <w:rPr>
          <w:rFonts w:ascii="Times New Roman" w:eastAsia="Calibri" w:hAnsi="Times New Roman" w:cs="Times New Roman"/>
          <w:b/>
          <w:bCs/>
          <w:sz w:val="24"/>
          <w:szCs w:val="24"/>
        </w:rPr>
      </w:pPr>
    </w:p>
    <w:p w:rsidR="00420C54" w:rsidRDefault="00420C54" w:rsidP="00236F04">
      <w:pPr>
        <w:autoSpaceDE w:val="0"/>
        <w:autoSpaceDN w:val="0"/>
        <w:adjustRightInd w:val="0"/>
        <w:spacing w:after="0" w:line="240" w:lineRule="auto"/>
        <w:jc w:val="both"/>
        <w:rPr>
          <w:rFonts w:ascii="Times New Roman" w:eastAsia="Calibri" w:hAnsi="Times New Roman" w:cs="Times New Roman"/>
          <w:b/>
          <w:bCs/>
          <w:sz w:val="24"/>
          <w:szCs w:val="24"/>
        </w:rPr>
      </w:pPr>
    </w:p>
    <w:p w:rsidR="00420C54" w:rsidRDefault="00420C54" w:rsidP="00236F04">
      <w:pPr>
        <w:autoSpaceDE w:val="0"/>
        <w:autoSpaceDN w:val="0"/>
        <w:adjustRightInd w:val="0"/>
        <w:spacing w:after="0" w:line="240" w:lineRule="auto"/>
        <w:jc w:val="both"/>
        <w:rPr>
          <w:rFonts w:ascii="Times New Roman" w:eastAsia="Calibri" w:hAnsi="Times New Roman" w:cs="Times New Roman"/>
          <w:b/>
          <w:bCs/>
          <w:sz w:val="24"/>
          <w:szCs w:val="24"/>
        </w:rPr>
      </w:pPr>
    </w:p>
    <w:p w:rsidR="00420C54" w:rsidRDefault="00420C54" w:rsidP="00236F04">
      <w:pPr>
        <w:autoSpaceDE w:val="0"/>
        <w:autoSpaceDN w:val="0"/>
        <w:adjustRightInd w:val="0"/>
        <w:spacing w:after="0" w:line="240" w:lineRule="auto"/>
        <w:jc w:val="both"/>
        <w:rPr>
          <w:rFonts w:ascii="Times New Roman" w:eastAsia="Calibri" w:hAnsi="Times New Roman" w:cs="Times New Roman"/>
          <w:b/>
          <w:bCs/>
          <w:sz w:val="24"/>
          <w:szCs w:val="24"/>
        </w:rPr>
      </w:pPr>
    </w:p>
    <w:p w:rsidR="00420C54" w:rsidRDefault="00420C54" w:rsidP="00236F04">
      <w:pPr>
        <w:autoSpaceDE w:val="0"/>
        <w:autoSpaceDN w:val="0"/>
        <w:adjustRightInd w:val="0"/>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Shpërndarja e </w:t>
      </w:r>
      <w:r w:rsidRPr="00236F04">
        <w:rPr>
          <w:rFonts w:ascii="Times New Roman" w:eastAsia="Calibri" w:hAnsi="Times New Roman" w:cs="Times New Roman"/>
          <w:sz w:val="24"/>
          <w:szCs w:val="24"/>
        </w:rPr>
        <w:t>klasave të moshës në trungishte</w:t>
      </w:r>
    </w:p>
    <w:p w:rsidR="00420C54" w:rsidRDefault="00420C54" w:rsidP="00236F04">
      <w:pPr>
        <w:autoSpaceDE w:val="0"/>
        <w:autoSpaceDN w:val="0"/>
        <w:adjustRightInd w:val="0"/>
        <w:spacing w:after="0" w:line="240" w:lineRule="auto"/>
        <w:jc w:val="both"/>
        <w:rPr>
          <w:rFonts w:ascii="Times New Roman" w:eastAsia="Calibri" w:hAnsi="Times New Roman" w:cs="Times New Roman"/>
          <w:b/>
          <w:bCs/>
          <w:sz w:val="24"/>
          <w:szCs w:val="24"/>
        </w:rPr>
      </w:pPr>
    </w:p>
    <w:p w:rsidR="00420C54" w:rsidRDefault="00420C54" w:rsidP="00236F04">
      <w:pPr>
        <w:autoSpaceDE w:val="0"/>
        <w:autoSpaceDN w:val="0"/>
        <w:adjustRightInd w:val="0"/>
        <w:spacing w:after="0" w:line="240" w:lineRule="auto"/>
        <w:jc w:val="both"/>
        <w:rPr>
          <w:rFonts w:ascii="Times New Roman" w:eastAsia="Calibri" w:hAnsi="Times New Roman" w:cs="Times New Roman"/>
          <w:b/>
          <w:bCs/>
          <w:sz w:val="24"/>
          <w:szCs w:val="24"/>
        </w:rPr>
      </w:pPr>
    </w:p>
    <w:p w:rsidR="00236F04" w:rsidRPr="00420C54" w:rsidRDefault="00236F04" w:rsidP="00807975">
      <w:pPr>
        <w:pStyle w:val="ListParagraph"/>
        <w:numPr>
          <w:ilvl w:val="0"/>
          <w:numId w:val="109"/>
        </w:numPr>
        <w:autoSpaceDE w:val="0"/>
        <w:autoSpaceDN w:val="0"/>
        <w:adjustRightInd w:val="0"/>
        <w:spacing w:after="0" w:line="240" w:lineRule="auto"/>
        <w:jc w:val="both"/>
        <w:rPr>
          <w:rFonts w:ascii="Times New Roman" w:eastAsia="Calibri" w:hAnsi="Times New Roman" w:cs="Times New Roman"/>
          <w:b/>
          <w:bCs/>
          <w:sz w:val="24"/>
          <w:szCs w:val="24"/>
        </w:rPr>
      </w:pPr>
      <w:r w:rsidRPr="00420C54">
        <w:rPr>
          <w:rFonts w:ascii="Times New Roman" w:eastAsia="Calibri" w:hAnsi="Times New Roman" w:cs="Times New Roman"/>
          <w:b/>
          <w:bCs/>
          <w:sz w:val="24"/>
          <w:szCs w:val="24"/>
        </w:rPr>
        <w:t xml:space="preserve">Shpërndarja e sipërfaqes dhe volumit për klasat e moshës për pyjet cungishte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Nga sipërfaqia totale e rreth 471,000 ha pyje cungishte, 96% janë më të reja se 40 vjeç dhe vetëm 4% e tyre janë pyje cungishte të pjekur/të arrirë. Disponueshmeria e furnizimit me lënde është vetëm në 4% të pyjeve me regjim cungishteje, shifër kjo tejet e ulët. </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rPr>
      </w:pPr>
      <w:r w:rsidRPr="00236F04">
        <w:rPr>
          <w:rFonts w:ascii="Times New Roman" w:eastAsia="Calibri" w:hAnsi="Times New Roman" w:cs="Times New Roman"/>
        </w:rPr>
        <w:t>.</w:t>
      </w:r>
    </w:p>
    <w:tbl>
      <w:tblPr>
        <w:tblW w:w="9350" w:type="dxa"/>
        <w:tblInd w:w="-10" w:type="dxa"/>
        <w:tblLook w:val="04A0" w:firstRow="1" w:lastRow="0" w:firstColumn="1" w:lastColumn="0" w:noHBand="0" w:noVBand="1"/>
      </w:tblPr>
      <w:tblGrid>
        <w:gridCol w:w="1504"/>
        <w:gridCol w:w="2110"/>
        <w:gridCol w:w="1736"/>
        <w:gridCol w:w="1132"/>
        <w:gridCol w:w="1736"/>
        <w:gridCol w:w="1132"/>
      </w:tblGrid>
      <w:tr w:rsidR="00236F04" w:rsidRPr="00236F04" w:rsidTr="00236F04">
        <w:trPr>
          <w:trHeight w:val="330"/>
        </w:trPr>
        <w:tc>
          <w:tcPr>
            <w:tcW w:w="1504" w:type="dxa"/>
            <w:vMerge w:val="restart"/>
            <w:tcBorders>
              <w:top w:val="single" w:sz="8" w:space="0" w:color="auto"/>
              <w:left w:val="single" w:sz="8" w:space="0" w:color="auto"/>
              <w:bottom w:val="single" w:sz="8" w:space="0" w:color="000000"/>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rPr>
            </w:pPr>
            <w:r w:rsidRPr="00236F04">
              <w:rPr>
                <w:rFonts w:ascii="Times New Roman" w:eastAsia="Calibri" w:hAnsi="Times New Roman" w:cs="Times New Roman"/>
              </w:rPr>
              <w:t>Sistemi i qeverisjes</w:t>
            </w:r>
          </w:p>
        </w:tc>
        <w:tc>
          <w:tcPr>
            <w:tcW w:w="2110" w:type="dxa"/>
            <w:vMerge w:val="restart"/>
            <w:tcBorders>
              <w:top w:val="single" w:sz="8" w:space="0" w:color="auto"/>
              <w:left w:val="single" w:sz="8" w:space="0" w:color="auto"/>
              <w:bottom w:val="single" w:sz="8" w:space="0" w:color="000000"/>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rPr>
            </w:pPr>
            <w:r w:rsidRPr="00236F04">
              <w:rPr>
                <w:rFonts w:ascii="Times New Roman" w:eastAsia="Calibri" w:hAnsi="Times New Roman" w:cs="Times New Roman"/>
              </w:rPr>
              <w:t>Klasat e moshës</w:t>
            </w:r>
          </w:p>
        </w:tc>
        <w:tc>
          <w:tcPr>
            <w:tcW w:w="2868" w:type="dxa"/>
            <w:gridSpan w:val="2"/>
            <w:tcBorders>
              <w:top w:val="single" w:sz="8" w:space="0" w:color="auto"/>
              <w:left w:val="nil"/>
              <w:bottom w:val="single" w:sz="8" w:space="0" w:color="auto"/>
              <w:right w:val="single" w:sz="8" w:space="0" w:color="000000"/>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rPr>
            </w:pPr>
            <w:r w:rsidRPr="00236F04">
              <w:rPr>
                <w:rFonts w:ascii="Times New Roman" w:eastAsia="Calibri" w:hAnsi="Times New Roman" w:cs="Times New Roman"/>
              </w:rPr>
              <w:t>Sipërfaqia</w:t>
            </w:r>
          </w:p>
        </w:tc>
        <w:tc>
          <w:tcPr>
            <w:tcW w:w="2868" w:type="dxa"/>
            <w:gridSpan w:val="2"/>
            <w:tcBorders>
              <w:top w:val="single" w:sz="8" w:space="0" w:color="auto"/>
              <w:left w:val="nil"/>
              <w:bottom w:val="single" w:sz="8" w:space="0" w:color="auto"/>
              <w:right w:val="single" w:sz="8" w:space="0" w:color="000000"/>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rPr>
            </w:pPr>
            <w:r w:rsidRPr="00236F04">
              <w:rPr>
                <w:rFonts w:ascii="Times New Roman" w:eastAsia="Calibri" w:hAnsi="Times New Roman" w:cs="Times New Roman"/>
              </w:rPr>
              <w:t>Volumi</w:t>
            </w:r>
          </w:p>
        </w:tc>
      </w:tr>
      <w:tr w:rsidR="00236F04" w:rsidRPr="00236F04" w:rsidTr="00236F04">
        <w:trPr>
          <w:trHeight w:val="277"/>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rPr>
            </w:pPr>
          </w:p>
        </w:tc>
        <w:tc>
          <w:tcPr>
            <w:tcW w:w="1736"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rPr>
            </w:pPr>
            <w:r w:rsidRPr="00236F04">
              <w:rPr>
                <w:rFonts w:ascii="Times New Roman" w:eastAsia="Calibri" w:hAnsi="Times New Roman" w:cs="Times New Roman"/>
              </w:rPr>
              <w:t>(1000 ha)</w:t>
            </w:r>
          </w:p>
        </w:tc>
        <w:tc>
          <w:tcPr>
            <w:tcW w:w="1132"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rPr>
            </w:pPr>
            <w:r w:rsidRPr="00236F04">
              <w:rPr>
                <w:rFonts w:ascii="Times New Roman" w:eastAsia="Calibri" w:hAnsi="Times New Roman" w:cs="Times New Roman"/>
              </w:rPr>
              <w:t>Përqindja</w:t>
            </w:r>
          </w:p>
        </w:tc>
        <w:tc>
          <w:tcPr>
            <w:tcW w:w="1736"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rPr>
            </w:pPr>
            <w:r w:rsidRPr="00236F04">
              <w:rPr>
                <w:rFonts w:ascii="Times New Roman" w:eastAsia="Calibri" w:hAnsi="Times New Roman" w:cs="Times New Roman"/>
              </w:rPr>
              <w:t>(milion m3)</w:t>
            </w:r>
          </w:p>
        </w:tc>
        <w:tc>
          <w:tcPr>
            <w:tcW w:w="1132"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rPr>
            </w:pPr>
            <w:r w:rsidRPr="00236F04">
              <w:rPr>
                <w:rFonts w:ascii="Times New Roman" w:eastAsia="Calibri" w:hAnsi="Times New Roman" w:cs="Times New Roman"/>
              </w:rPr>
              <w:t>Përqindja</w:t>
            </w:r>
          </w:p>
        </w:tc>
      </w:tr>
      <w:tr w:rsidR="00236F04" w:rsidRPr="00236F04" w:rsidTr="00236F04">
        <w:trPr>
          <w:trHeight w:val="330"/>
        </w:trPr>
        <w:tc>
          <w:tcPr>
            <w:tcW w:w="1504" w:type="dxa"/>
            <w:tcBorders>
              <w:top w:val="nil"/>
              <w:left w:val="single" w:sz="8" w:space="0" w:color="auto"/>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w:t>
            </w:r>
          </w:p>
        </w:tc>
        <w:tc>
          <w:tcPr>
            <w:tcW w:w="2110"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0 -10 vite</w:t>
            </w:r>
          </w:p>
        </w:tc>
        <w:tc>
          <w:tcPr>
            <w:tcW w:w="1736"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33</w:t>
            </w:r>
          </w:p>
        </w:tc>
        <w:tc>
          <w:tcPr>
            <w:tcW w:w="1132"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7</w:t>
            </w:r>
          </w:p>
        </w:tc>
        <w:tc>
          <w:tcPr>
            <w:tcW w:w="1736"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0</w:t>
            </w:r>
          </w:p>
        </w:tc>
        <w:tc>
          <w:tcPr>
            <w:tcW w:w="1132"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0.2</w:t>
            </w:r>
          </w:p>
        </w:tc>
      </w:tr>
      <w:tr w:rsidR="00236F04" w:rsidRPr="00236F04" w:rsidTr="00236F04">
        <w:trPr>
          <w:trHeight w:val="330"/>
        </w:trPr>
        <w:tc>
          <w:tcPr>
            <w:tcW w:w="1504" w:type="dxa"/>
            <w:tcBorders>
              <w:top w:val="nil"/>
              <w:left w:val="single" w:sz="8" w:space="0" w:color="auto"/>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w:t>
            </w:r>
          </w:p>
        </w:tc>
        <w:tc>
          <w:tcPr>
            <w:tcW w:w="2110"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11 -20 vite</w:t>
            </w:r>
          </w:p>
        </w:tc>
        <w:tc>
          <w:tcPr>
            <w:tcW w:w="1736"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207</w:t>
            </w:r>
          </w:p>
        </w:tc>
        <w:tc>
          <w:tcPr>
            <w:tcW w:w="1132"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44</w:t>
            </w:r>
          </w:p>
        </w:tc>
        <w:tc>
          <w:tcPr>
            <w:tcW w:w="1736"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1.7</w:t>
            </w:r>
          </w:p>
        </w:tc>
        <w:tc>
          <w:tcPr>
            <w:tcW w:w="1132"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22.8</w:t>
            </w:r>
          </w:p>
        </w:tc>
      </w:tr>
      <w:tr w:rsidR="00236F04" w:rsidRPr="00236F04" w:rsidTr="00236F04">
        <w:trPr>
          <w:trHeight w:val="330"/>
        </w:trPr>
        <w:tc>
          <w:tcPr>
            <w:tcW w:w="1504" w:type="dxa"/>
            <w:tcBorders>
              <w:top w:val="nil"/>
              <w:left w:val="single" w:sz="8" w:space="0" w:color="auto"/>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w:t>
            </w:r>
          </w:p>
        </w:tc>
        <w:tc>
          <w:tcPr>
            <w:tcW w:w="2110"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21 -30 vite</w:t>
            </w:r>
          </w:p>
        </w:tc>
        <w:tc>
          <w:tcPr>
            <w:tcW w:w="1736"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160</w:t>
            </w:r>
          </w:p>
        </w:tc>
        <w:tc>
          <w:tcPr>
            <w:tcW w:w="1132"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34</w:t>
            </w:r>
          </w:p>
        </w:tc>
        <w:tc>
          <w:tcPr>
            <w:tcW w:w="1736"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4</w:t>
            </w:r>
          </w:p>
        </w:tc>
        <w:tc>
          <w:tcPr>
            <w:tcW w:w="1132"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46</w:t>
            </w:r>
          </w:p>
        </w:tc>
      </w:tr>
      <w:tr w:rsidR="00236F04" w:rsidRPr="00236F04" w:rsidTr="00236F04">
        <w:trPr>
          <w:trHeight w:val="330"/>
        </w:trPr>
        <w:tc>
          <w:tcPr>
            <w:tcW w:w="1504" w:type="dxa"/>
            <w:tcBorders>
              <w:top w:val="nil"/>
              <w:left w:val="single" w:sz="8" w:space="0" w:color="auto"/>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b/>
                <w:bCs/>
                <w:sz w:val="24"/>
                <w:szCs w:val="24"/>
              </w:rPr>
            </w:pPr>
            <w:r w:rsidRPr="00236F04">
              <w:rPr>
                <w:rFonts w:ascii="Times New Roman" w:eastAsia="Calibri" w:hAnsi="Times New Roman" w:cs="Times New Roman"/>
                <w:b/>
                <w:bCs/>
                <w:sz w:val="24"/>
                <w:szCs w:val="24"/>
              </w:rPr>
              <w:t>Cungishte</w:t>
            </w:r>
          </w:p>
        </w:tc>
        <w:tc>
          <w:tcPr>
            <w:tcW w:w="2110"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31 - 40 vite</w:t>
            </w:r>
          </w:p>
        </w:tc>
        <w:tc>
          <w:tcPr>
            <w:tcW w:w="1736"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50</w:t>
            </w:r>
          </w:p>
        </w:tc>
        <w:tc>
          <w:tcPr>
            <w:tcW w:w="1132"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11</w:t>
            </w:r>
          </w:p>
        </w:tc>
        <w:tc>
          <w:tcPr>
            <w:tcW w:w="1736"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3</w:t>
            </w:r>
          </w:p>
        </w:tc>
        <w:tc>
          <w:tcPr>
            <w:tcW w:w="1132"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23</w:t>
            </w:r>
          </w:p>
        </w:tc>
      </w:tr>
      <w:tr w:rsidR="00236F04" w:rsidRPr="00236F04" w:rsidTr="00236F04">
        <w:trPr>
          <w:trHeight w:val="330"/>
        </w:trPr>
        <w:tc>
          <w:tcPr>
            <w:tcW w:w="1504" w:type="dxa"/>
            <w:tcBorders>
              <w:top w:val="nil"/>
              <w:left w:val="single" w:sz="8" w:space="0" w:color="auto"/>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w:t>
            </w:r>
          </w:p>
        </w:tc>
        <w:tc>
          <w:tcPr>
            <w:tcW w:w="2110"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41 - 50 vite</w:t>
            </w:r>
          </w:p>
        </w:tc>
        <w:tc>
          <w:tcPr>
            <w:tcW w:w="1736"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16</w:t>
            </w:r>
          </w:p>
        </w:tc>
        <w:tc>
          <w:tcPr>
            <w:tcW w:w="1132"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3</w:t>
            </w:r>
          </w:p>
        </w:tc>
        <w:tc>
          <w:tcPr>
            <w:tcW w:w="1736"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w:t>
            </w:r>
          </w:p>
        </w:tc>
        <w:tc>
          <w:tcPr>
            <w:tcW w:w="1132"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6</w:t>
            </w:r>
          </w:p>
        </w:tc>
      </w:tr>
      <w:tr w:rsidR="00236F04" w:rsidRPr="00236F04" w:rsidTr="00236F04">
        <w:trPr>
          <w:trHeight w:val="330"/>
        </w:trPr>
        <w:tc>
          <w:tcPr>
            <w:tcW w:w="1504" w:type="dxa"/>
            <w:tcBorders>
              <w:top w:val="nil"/>
              <w:left w:val="single" w:sz="8" w:space="0" w:color="auto"/>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w:t>
            </w:r>
          </w:p>
        </w:tc>
        <w:tc>
          <w:tcPr>
            <w:tcW w:w="2110"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&gt;50 vite</w:t>
            </w:r>
          </w:p>
        </w:tc>
        <w:tc>
          <w:tcPr>
            <w:tcW w:w="1736"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5</w:t>
            </w:r>
          </w:p>
        </w:tc>
        <w:tc>
          <w:tcPr>
            <w:tcW w:w="1132"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w:t>
            </w:r>
          </w:p>
        </w:tc>
        <w:tc>
          <w:tcPr>
            <w:tcW w:w="1736"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0.3</w:t>
            </w:r>
          </w:p>
        </w:tc>
        <w:tc>
          <w:tcPr>
            <w:tcW w:w="1132"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w:t>
            </w:r>
          </w:p>
        </w:tc>
      </w:tr>
      <w:tr w:rsidR="00236F04" w:rsidRPr="00236F04" w:rsidTr="00236F04">
        <w:trPr>
          <w:trHeight w:val="330"/>
        </w:trPr>
        <w:tc>
          <w:tcPr>
            <w:tcW w:w="1504" w:type="dxa"/>
            <w:tcBorders>
              <w:top w:val="nil"/>
              <w:left w:val="single" w:sz="8" w:space="0" w:color="auto"/>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b/>
                <w:bCs/>
                <w:sz w:val="24"/>
                <w:szCs w:val="24"/>
              </w:rPr>
            </w:pPr>
            <w:r w:rsidRPr="00236F04">
              <w:rPr>
                <w:rFonts w:ascii="Times New Roman" w:eastAsia="Calibri" w:hAnsi="Times New Roman" w:cs="Times New Roman"/>
                <w:b/>
                <w:bCs/>
                <w:sz w:val="24"/>
                <w:szCs w:val="24"/>
              </w:rPr>
              <w:t> </w:t>
            </w:r>
          </w:p>
        </w:tc>
        <w:tc>
          <w:tcPr>
            <w:tcW w:w="2110"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b/>
                <w:bCs/>
                <w:sz w:val="24"/>
                <w:szCs w:val="24"/>
              </w:rPr>
            </w:pPr>
            <w:r w:rsidRPr="00236F04">
              <w:rPr>
                <w:rFonts w:ascii="Times New Roman" w:eastAsia="Calibri" w:hAnsi="Times New Roman" w:cs="Times New Roman"/>
                <w:b/>
                <w:bCs/>
                <w:sz w:val="24"/>
                <w:szCs w:val="24"/>
              </w:rPr>
              <w:t xml:space="preserve">Totali </w:t>
            </w:r>
          </w:p>
        </w:tc>
        <w:tc>
          <w:tcPr>
            <w:tcW w:w="1736"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b/>
                <w:bCs/>
                <w:sz w:val="24"/>
                <w:szCs w:val="24"/>
              </w:rPr>
            </w:pPr>
            <w:r w:rsidRPr="00236F04">
              <w:rPr>
                <w:rFonts w:ascii="Times New Roman" w:eastAsia="Calibri" w:hAnsi="Times New Roman" w:cs="Times New Roman"/>
                <w:b/>
                <w:bCs/>
                <w:sz w:val="24"/>
                <w:szCs w:val="24"/>
              </w:rPr>
              <w:t>471</w:t>
            </w:r>
          </w:p>
        </w:tc>
        <w:tc>
          <w:tcPr>
            <w:tcW w:w="1132"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b/>
                <w:bCs/>
                <w:sz w:val="24"/>
                <w:szCs w:val="24"/>
              </w:rPr>
            </w:pPr>
            <w:r w:rsidRPr="00236F04">
              <w:rPr>
                <w:rFonts w:ascii="Times New Roman" w:eastAsia="Calibri" w:hAnsi="Times New Roman" w:cs="Times New Roman"/>
                <w:b/>
                <w:bCs/>
                <w:sz w:val="24"/>
                <w:szCs w:val="24"/>
              </w:rPr>
              <w:t>100</w:t>
            </w:r>
          </w:p>
        </w:tc>
        <w:tc>
          <w:tcPr>
            <w:tcW w:w="1736"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b/>
                <w:bCs/>
                <w:sz w:val="24"/>
                <w:szCs w:val="24"/>
              </w:rPr>
            </w:pPr>
            <w:r w:rsidRPr="00236F04">
              <w:rPr>
                <w:rFonts w:ascii="Times New Roman" w:eastAsia="Calibri" w:hAnsi="Times New Roman" w:cs="Times New Roman"/>
                <w:b/>
                <w:bCs/>
                <w:sz w:val="24"/>
                <w:szCs w:val="24"/>
              </w:rPr>
              <w:t>10</w:t>
            </w:r>
          </w:p>
        </w:tc>
        <w:tc>
          <w:tcPr>
            <w:tcW w:w="1132" w:type="dxa"/>
            <w:tcBorders>
              <w:top w:val="nil"/>
              <w:left w:val="nil"/>
              <w:bottom w:val="single" w:sz="8" w:space="0" w:color="auto"/>
              <w:right w:val="single" w:sz="8"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b/>
                <w:bCs/>
                <w:sz w:val="24"/>
                <w:szCs w:val="24"/>
              </w:rPr>
            </w:pPr>
            <w:r w:rsidRPr="00236F04">
              <w:rPr>
                <w:rFonts w:ascii="Times New Roman" w:eastAsia="Calibri" w:hAnsi="Times New Roman" w:cs="Times New Roman"/>
                <w:b/>
                <w:bCs/>
                <w:sz w:val="24"/>
                <w:szCs w:val="24"/>
              </w:rPr>
              <w:t>100</w:t>
            </w:r>
          </w:p>
        </w:tc>
      </w:tr>
    </w:tbl>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Paraqitja grafike jep një konfigurim të qartë të shpërndarjes së klasave të moshës në cungishte ku vihet re përqëndrimi i volumit në moshat e reja apo klasat e ulëta të moshës.</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noProof/>
          <w:sz w:val="24"/>
          <w:szCs w:val="24"/>
        </w:rPr>
        <w:drawing>
          <wp:inline distT="0" distB="0" distL="0" distR="0" wp14:anchorId="4BD75E2E" wp14:editId="2044F0EA">
            <wp:extent cx="5438775" cy="2095500"/>
            <wp:effectExtent l="0" t="0" r="9525" b="0"/>
            <wp:docPr id="65"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art&#10;&#10;Description automatically generated"/>
                    <pic:cNvPicPr>
                      <a:picLocks noChangeAspect="1" noChangeArrowheads="1"/>
                    </pic:cNvPicPr>
                  </pic:nvPicPr>
                  <pic:blipFill>
                    <a:blip r:embed="rId250">
                      <a:extLst>
                        <a:ext uri="{28A0092B-C50C-407E-A947-70E740481C1C}">
                          <a14:useLocalDpi xmlns:a14="http://schemas.microsoft.com/office/drawing/2010/main" val="0"/>
                        </a:ext>
                      </a:extLst>
                    </a:blip>
                    <a:srcRect r="12419"/>
                    <a:stretch>
                      <a:fillRect/>
                    </a:stretch>
                  </pic:blipFill>
                  <pic:spPr bwMode="auto">
                    <a:xfrm>
                      <a:off x="0" y="0"/>
                      <a:ext cx="5438775" cy="2095500"/>
                    </a:xfrm>
                    <a:prstGeom prst="rect">
                      <a:avLst/>
                    </a:prstGeom>
                    <a:noFill/>
                    <a:ln>
                      <a:noFill/>
                    </a:ln>
                  </pic:spPr>
                </pic:pic>
              </a:graphicData>
            </a:graphic>
          </wp:inline>
        </w:drawing>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p>
    <w:p w:rsidR="00236F04" w:rsidRPr="00420C54" w:rsidRDefault="00236F04" w:rsidP="00807975">
      <w:pPr>
        <w:pStyle w:val="ListParagraph"/>
        <w:numPr>
          <w:ilvl w:val="0"/>
          <w:numId w:val="110"/>
        </w:numPr>
        <w:autoSpaceDE w:val="0"/>
        <w:autoSpaceDN w:val="0"/>
        <w:adjustRightInd w:val="0"/>
        <w:spacing w:after="0" w:line="240" w:lineRule="auto"/>
        <w:jc w:val="both"/>
        <w:rPr>
          <w:rFonts w:ascii="Times New Roman" w:eastAsia="Calibri" w:hAnsi="Times New Roman" w:cs="Times New Roman"/>
          <w:b/>
          <w:bCs/>
          <w:sz w:val="24"/>
          <w:szCs w:val="24"/>
        </w:rPr>
      </w:pPr>
      <w:r w:rsidRPr="00420C54">
        <w:rPr>
          <w:rFonts w:ascii="Times New Roman" w:eastAsia="Calibri" w:hAnsi="Times New Roman" w:cs="Times New Roman"/>
          <w:b/>
          <w:bCs/>
          <w:sz w:val="24"/>
          <w:szCs w:val="24"/>
        </w:rPr>
        <w:t>Shpërndarja e sipërfaqes dhe volumit për klasat e moshës për pyjet me shkur</w:t>
      </w:r>
      <w:r w:rsidR="00420C54">
        <w:rPr>
          <w:rFonts w:ascii="Times New Roman" w:eastAsia="Calibri" w:hAnsi="Times New Roman" w:cs="Times New Roman"/>
          <w:b/>
          <w:bCs/>
          <w:sz w:val="24"/>
          <w:szCs w:val="24"/>
        </w:rPr>
        <w:t>r</w:t>
      </w:r>
      <w:r w:rsidRPr="00420C54">
        <w:rPr>
          <w:rFonts w:ascii="Times New Roman" w:eastAsia="Calibri" w:hAnsi="Times New Roman" w:cs="Times New Roman"/>
          <w:b/>
          <w:bCs/>
          <w:sz w:val="24"/>
          <w:szCs w:val="24"/>
        </w:rPr>
        <w:t>e.</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p>
    <w:p w:rsidR="00420C54" w:rsidRPr="00236F04" w:rsidRDefault="00420C54" w:rsidP="00420C5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Nga sipërfaqia totale e rreth 273.300 ha shkurre, 88% janë më të reja se 20 vjeç dhe vetëm 12% janë më të pjekura/të arrira. Kjo do të thotë që:</w:t>
      </w:r>
    </w:p>
    <w:p w:rsidR="00420C54" w:rsidRPr="00236F04" w:rsidRDefault="00420C54" w:rsidP="004D460A">
      <w:pPr>
        <w:numPr>
          <w:ilvl w:val="0"/>
          <w:numId w:val="28"/>
        </w:num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Pyjet e Shqipërisë kanë një strukturë të çrregullt lidhur me klasat e moshës, dhe kjo përbën një sfidë për menaxhimin e qëndrueshëm të pyjeve.</w:t>
      </w:r>
    </w:p>
    <w:p w:rsidR="00420C54" w:rsidRPr="00236F04" w:rsidRDefault="00420C54" w:rsidP="004D460A">
      <w:pPr>
        <w:numPr>
          <w:ilvl w:val="0"/>
          <w:numId w:val="28"/>
        </w:num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Edhe pse Shqipëria është një vend i pasur me pyje, nuk disponon shumë zona për shfrytëzim.</w:t>
      </w:r>
    </w:p>
    <w:p w:rsidR="00420C54" w:rsidRPr="00236F04" w:rsidRDefault="00420C54" w:rsidP="004D460A">
      <w:pPr>
        <w:numPr>
          <w:ilvl w:val="0"/>
          <w:numId w:val="28"/>
        </w:num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E fundit por jo më pak e rëndësishme, pyjet e Shqipërisë nuk janë në një fazë intensive rritjeje. </w:t>
      </w:r>
    </w:p>
    <w:p w:rsid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p>
    <w:p w:rsidR="00420C54" w:rsidRPr="00236F04" w:rsidRDefault="00420C54" w:rsidP="00236F04">
      <w:pPr>
        <w:autoSpaceDE w:val="0"/>
        <w:autoSpaceDN w:val="0"/>
        <w:adjustRightInd w:val="0"/>
        <w:spacing w:after="0" w:line="240" w:lineRule="auto"/>
        <w:jc w:val="both"/>
        <w:rPr>
          <w:rFonts w:ascii="Times New Roman" w:eastAsia="Calibri" w:hAnsi="Times New Roman" w:cs="Times New Roman"/>
          <w:sz w:val="24"/>
          <w:szCs w:val="24"/>
        </w:rPr>
      </w:pPr>
    </w:p>
    <w:tbl>
      <w:tblPr>
        <w:tblW w:w="9827" w:type="dxa"/>
        <w:tblLook w:val="04A0" w:firstRow="1" w:lastRow="0" w:firstColumn="1" w:lastColumn="0" w:noHBand="0" w:noVBand="1"/>
      </w:tblPr>
      <w:tblGrid>
        <w:gridCol w:w="2155"/>
        <w:gridCol w:w="2250"/>
        <w:gridCol w:w="1440"/>
        <w:gridCol w:w="1350"/>
        <w:gridCol w:w="1496"/>
        <w:gridCol w:w="1136"/>
      </w:tblGrid>
      <w:tr w:rsidR="00236F04" w:rsidRPr="00236F04" w:rsidTr="00236F04">
        <w:trPr>
          <w:trHeight w:val="300"/>
        </w:trPr>
        <w:tc>
          <w:tcPr>
            <w:tcW w:w="2155" w:type="dxa"/>
            <w:vMerge w:val="restart"/>
            <w:tcBorders>
              <w:top w:val="single" w:sz="4" w:space="0" w:color="auto"/>
              <w:left w:val="single" w:sz="4" w:space="0" w:color="auto"/>
              <w:bottom w:val="single" w:sz="4" w:space="0" w:color="000000"/>
              <w:right w:val="single" w:sz="4"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Sistemi i qeverisjes</w:t>
            </w:r>
          </w:p>
        </w:tc>
        <w:tc>
          <w:tcPr>
            <w:tcW w:w="2250" w:type="dxa"/>
            <w:vMerge w:val="restart"/>
            <w:tcBorders>
              <w:top w:val="single" w:sz="4" w:space="0" w:color="auto"/>
              <w:left w:val="single" w:sz="4" w:space="0" w:color="auto"/>
              <w:bottom w:val="single" w:sz="4" w:space="0" w:color="000000"/>
              <w:right w:val="single" w:sz="4" w:space="0" w:color="auto"/>
            </w:tcBorders>
            <w:noWrap/>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Klasat e moshës</w:t>
            </w:r>
          </w:p>
        </w:tc>
        <w:tc>
          <w:tcPr>
            <w:tcW w:w="2790" w:type="dxa"/>
            <w:gridSpan w:val="2"/>
            <w:tcBorders>
              <w:top w:val="single" w:sz="4" w:space="0" w:color="auto"/>
              <w:left w:val="nil"/>
              <w:bottom w:val="single" w:sz="4" w:space="0" w:color="auto"/>
              <w:right w:val="single" w:sz="4" w:space="0" w:color="000000"/>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Sipërfaqia </w:t>
            </w:r>
          </w:p>
        </w:tc>
        <w:tc>
          <w:tcPr>
            <w:tcW w:w="2632" w:type="dxa"/>
            <w:gridSpan w:val="2"/>
            <w:tcBorders>
              <w:top w:val="single" w:sz="4" w:space="0" w:color="auto"/>
              <w:left w:val="nil"/>
              <w:bottom w:val="single" w:sz="4" w:space="0" w:color="auto"/>
              <w:right w:val="single" w:sz="4" w:space="0" w:color="000000"/>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Volume</w:t>
            </w:r>
          </w:p>
        </w:tc>
      </w:tr>
      <w:tr w:rsidR="00236F04" w:rsidRPr="00236F04" w:rsidTr="00236F04">
        <w:trPr>
          <w:trHeight w:val="300"/>
        </w:trPr>
        <w:tc>
          <w:tcPr>
            <w:tcW w:w="2155" w:type="dxa"/>
            <w:vMerge/>
            <w:tcBorders>
              <w:top w:val="single" w:sz="4" w:space="0" w:color="auto"/>
              <w:left w:val="single" w:sz="4" w:space="0" w:color="auto"/>
              <w:bottom w:val="single" w:sz="4" w:space="0" w:color="000000"/>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p>
        </w:tc>
        <w:tc>
          <w:tcPr>
            <w:tcW w:w="2250" w:type="dxa"/>
            <w:vMerge/>
            <w:tcBorders>
              <w:top w:val="single" w:sz="4" w:space="0" w:color="auto"/>
              <w:left w:val="single" w:sz="4" w:space="0" w:color="auto"/>
              <w:bottom w:val="single" w:sz="4" w:space="0" w:color="000000"/>
              <w:right w:val="single" w:sz="4" w:space="0" w:color="auto"/>
            </w:tcBorders>
            <w:vAlign w:val="center"/>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p>
        </w:tc>
        <w:tc>
          <w:tcPr>
            <w:tcW w:w="144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(1000 ha)</w:t>
            </w:r>
          </w:p>
        </w:tc>
        <w:tc>
          <w:tcPr>
            <w:tcW w:w="13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Përqindje</w:t>
            </w:r>
          </w:p>
        </w:tc>
        <w:tc>
          <w:tcPr>
            <w:tcW w:w="149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lang w:val="en-GB"/>
              </w:rPr>
              <w:t>(milion m3)</w:t>
            </w:r>
          </w:p>
        </w:tc>
        <w:tc>
          <w:tcPr>
            <w:tcW w:w="113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Përqindje</w:t>
            </w:r>
          </w:p>
        </w:tc>
      </w:tr>
      <w:tr w:rsidR="00236F04" w:rsidRPr="00236F04" w:rsidTr="00236F04">
        <w:trPr>
          <w:trHeight w:val="300"/>
        </w:trPr>
        <w:tc>
          <w:tcPr>
            <w:tcW w:w="2155" w:type="dxa"/>
            <w:tcBorders>
              <w:top w:val="nil"/>
              <w:left w:val="single" w:sz="4" w:space="0" w:color="auto"/>
              <w:bottom w:val="nil"/>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w:t>
            </w:r>
          </w:p>
        </w:tc>
        <w:tc>
          <w:tcPr>
            <w:tcW w:w="22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0 - 5 vite</w:t>
            </w:r>
          </w:p>
        </w:tc>
        <w:tc>
          <w:tcPr>
            <w:tcW w:w="144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5</w:t>
            </w:r>
          </w:p>
        </w:tc>
        <w:tc>
          <w:tcPr>
            <w:tcW w:w="13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w:t>
            </w:r>
          </w:p>
        </w:tc>
        <w:tc>
          <w:tcPr>
            <w:tcW w:w="149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0</w:t>
            </w:r>
          </w:p>
        </w:tc>
        <w:tc>
          <w:tcPr>
            <w:tcW w:w="113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w:t>
            </w:r>
          </w:p>
        </w:tc>
      </w:tr>
      <w:tr w:rsidR="00236F04" w:rsidRPr="00236F04" w:rsidTr="00236F04">
        <w:trPr>
          <w:trHeight w:val="300"/>
        </w:trPr>
        <w:tc>
          <w:tcPr>
            <w:tcW w:w="2155" w:type="dxa"/>
            <w:tcBorders>
              <w:top w:val="nil"/>
              <w:left w:val="single" w:sz="4" w:space="0" w:color="auto"/>
              <w:bottom w:val="nil"/>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w:t>
            </w:r>
          </w:p>
        </w:tc>
        <w:tc>
          <w:tcPr>
            <w:tcW w:w="22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6 - 10 vite</w:t>
            </w:r>
          </w:p>
        </w:tc>
        <w:tc>
          <w:tcPr>
            <w:tcW w:w="144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44</w:t>
            </w:r>
          </w:p>
        </w:tc>
        <w:tc>
          <w:tcPr>
            <w:tcW w:w="13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14</w:t>
            </w:r>
          </w:p>
        </w:tc>
        <w:tc>
          <w:tcPr>
            <w:tcW w:w="149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0.4</w:t>
            </w:r>
          </w:p>
        </w:tc>
        <w:tc>
          <w:tcPr>
            <w:tcW w:w="113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4</w:t>
            </w:r>
          </w:p>
        </w:tc>
      </w:tr>
      <w:tr w:rsidR="00236F04" w:rsidRPr="00236F04" w:rsidTr="00236F04">
        <w:trPr>
          <w:trHeight w:val="300"/>
        </w:trPr>
        <w:tc>
          <w:tcPr>
            <w:tcW w:w="2155" w:type="dxa"/>
            <w:tcBorders>
              <w:top w:val="nil"/>
              <w:left w:val="single" w:sz="4" w:space="0" w:color="auto"/>
              <w:bottom w:val="nil"/>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w:t>
            </w:r>
          </w:p>
        </w:tc>
        <w:tc>
          <w:tcPr>
            <w:tcW w:w="22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11 - 15 vite</w:t>
            </w:r>
          </w:p>
        </w:tc>
        <w:tc>
          <w:tcPr>
            <w:tcW w:w="144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98</w:t>
            </w:r>
          </w:p>
        </w:tc>
        <w:tc>
          <w:tcPr>
            <w:tcW w:w="13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37</w:t>
            </w:r>
          </w:p>
        </w:tc>
        <w:tc>
          <w:tcPr>
            <w:tcW w:w="149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1.9</w:t>
            </w:r>
          </w:p>
        </w:tc>
        <w:tc>
          <w:tcPr>
            <w:tcW w:w="113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13</w:t>
            </w:r>
          </w:p>
        </w:tc>
      </w:tr>
      <w:tr w:rsidR="00236F04" w:rsidRPr="00236F04" w:rsidTr="00236F04">
        <w:trPr>
          <w:trHeight w:val="300"/>
        </w:trPr>
        <w:tc>
          <w:tcPr>
            <w:tcW w:w="2155" w:type="dxa"/>
            <w:tcBorders>
              <w:top w:val="nil"/>
              <w:left w:val="single" w:sz="4" w:space="0" w:color="auto"/>
              <w:bottom w:val="nil"/>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Shkurre</w:t>
            </w:r>
          </w:p>
        </w:tc>
        <w:tc>
          <w:tcPr>
            <w:tcW w:w="22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16 - 20 vite</w:t>
            </w:r>
          </w:p>
        </w:tc>
        <w:tc>
          <w:tcPr>
            <w:tcW w:w="144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93</w:t>
            </w:r>
          </w:p>
        </w:tc>
        <w:tc>
          <w:tcPr>
            <w:tcW w:w="13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35</w:t>
            </w:r>
          </w:p>
        </w:tc>
        <w:tc>
          <w:tcPr>
            <w:tcW w:w="149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2.1</w:t>
            </w:r>
          </w:p>
        </w:tc>
        <w:tc>
          <w:tcPr>
            <w:tcW w:w="113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60</w:t>
            </w:r>
          </w:p>
        </w:tc>
      </w:tr>
      <w:tr w:rsidR="00236F04" w:rsidRPr="00236F04" w:rsidTr="00236F04">
        <w:trPr>
          <w:trHeight w:val="300"/>
        </w:trPr>
        <w:tc>
          <w:tcPr>
            <w:tcW w:w="2155" w:type="dxa"/>
            <w:tcBorders>
              <w:top w:val="nil"/>
              <w:left w:val="single" w:sz="4" w:space="0" w:color="auto"/>
              <w:bottom w:val="nil"/>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w:t>
            </w:r>
          </w:p>
        </w:tc>
        <w:tc>
          <w:tcPr>
            <w:tcW w:w="22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21 - 25 vite</w:t>
            </w:r>
          </w:p>
        </w:tc>
        <w:tc>
          <w:tcPr>
            <w:tcW w:w="144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25</w:t>
            </w:r>
          </w:p>
        </w:tc>
        <w:tc>
          <w:tcPr>
            <w:tcW w:w="13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9</w:t>
            </w:r>
          </w:p>
        </w:tc>
        <w:tc>
          <w:tcPr>
            <w:tcW w:w="149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0.5</w:t>
            </w:r>
          </w:p>
        </w:tc>
        <w:tc>
          <w:tcPr>
            <w:tcW w:w="113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15</w:t>
            </w:r>
          </w:p>
        </w:tc>
      </w:tr>
      <w:tr w:rsidR="00236F04" w:rsidRPr="00236F04" w:rsidTr="00236F04">
        <w:trPr>
          <w:trHeight w:val="300"/>
        </w:trPr>
        <w:tc>
          <w:tcPr>
            <w:tcW w:w="2155" w:type="dxa"/>
            <w:tcBorders>
              <w:top w:val="nil"/>
              <w:left w:val="single" w:sz="4" w:space="0" w:color="auto"/>
              <w:bottom w:val="nil"/>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w:t>
            </w:r>
          </w:p>
        </w:tc>
        <w:tc>
          <w:tcPr>
            <w:tcW w:w="22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26 - 30 vite</w:t>
            </w:r>
          </w:p>
        </w:tc>
        <w:tc>
          <w:tcPr>
            <w:tcW w:w="144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w:t>
            </w:r>
          </w:p>
        </w:tc>
        <w:tc>
          <w:tcPr>
            <w:tcW w:w="13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w:t>
            </w:r>
          </w:p>
        </w:tc>
        <w:tc>
          <w:tcPr>
            <w:tcW w:w="149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0</w:t>
            </w:r>
          </w:p>
        </w:tc>
        <w:tc>
          <w:tcPr>
            <w:tcW w:w="113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w:t>
            </w:r>
          </w:p>
        </w:tc>
      </w:tr>
      <w:tr w:rsidR="00236F04" w:rsidRPr="00236F04" w:rsidTr="00236F04">
        <w:trPr>
          <w:trHeight w:val="300"/>
        </w:trPr>
        <w:tc>
          <w:tcPr>
            <w:tcW w:w="2155"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w:t>
            </w:r>
          </w:p>
        </w:tc>
        <w:tc>
          <w:tcPr>
            <w:tcW w:w="22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&gt;30 vite</w:t>
            </w:r>
          </w:p>
        </w:tc>
        <w:tc>
          <w:tcPr>
            <w:tcW w:w="144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6</w:t>
            </w:r>
          </w:p>
        </w:tc>
        <w:tc>
          <w:tcPr>
            <w:tcW w:w="13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w:t>
            </w:r>
          </w:p>
        </w:tc>
        <w:tc>
          <w:tcPr>
            <w:tcW w:w="149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0.1</w:t>
            </w:r>
          </w:p>
        </w:tc>
        <w:tc>
          <w:tcPr>
            <w:tcW w:w="113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6</w:t>
            </w:r>
          </w:p>
        </w:tc>
      </w:tr>
      <w:tr w:rsidR="00236F04" w:rsidRPr="00236F04" w:rsidTr="00236F04">
        <w:trPr>
          <w:trHeight w:val="300"/>
        </w:trPr>
        <w:tc>
          <w:tcPr>
            <w:tcW w:w="2155"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w:t>
            </w:r>
          </w:p>
        </w:tc>
        <w:tc>
          <w:tcPr>
            <w:tcW w:w="22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Grand Total</w:t>
            </w:r>
          </w:p>
        </w:tc>
        <w:tc>
          <w:tcPr>
            <w:tcW w:w="144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273</w:t>
            </w:r>
          </w:p>
        </w:tc>
        <w:tc>
          <w:tcPr>
            <w:tcW w:w="1350"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100</w:t>
            </w:r>
          </w:p>
        </w:tc>
        <w:tc>
          <w:tcPr>
            <w:tcW w:w="149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5</w:t>
            </w:r>
          </w:p>
        </w:tc>
        <w:tc>
          <w:tcPr>
            <w:tcW w:w="1136" w:type="dxa"/>
            <w:tcBorders>
              <w:top w:val="nil"/>
              <w:left w:val="nil"/>
              <w:bottom w:val="single" w:sz="4" w:space="0" w:color="auto"/>
              <w:right w:val="single" w:sz="4" w:space="0" w:color="auto"/>
            </w:tcBorders>
            <w:noWrap/>
            <w:vAlign w:val="bottom"/>
            <w:hideMark/>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100</w:t>
            </w:r>
          </w:p>
        </w:tc>
      </w:tr>
    </w:tbl>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rPr>
      </w:pPr>
    </w:p>
    <w:p w:rsidR="00236F04" w:rsidRPr="00AF0E6E" w:rsidRDefault="00236F04" w:rsidP="00807975">
      <w:pPr>
        <w:pStyle w:val="ListParagraph"/>
        <w:numPr>
          <w:ilvl w:val="0"/>
          <w:numId w:val="111"/>
        </w:numPr>
        <w:rPr>
          <w:rFonts w:ascii="Calibri" w:eastAsia="Calibri" w:hAnsi="Calibri" w:cs="Times New Roman"/>
          <w:b/>
          <w:bCs/>
        </w:rPr>
      </w:pPr>
      <w:r w:rsidRPr="00AF0E6E">
        <w:rPr>
          <w:rFonts w:ascii="Times New Roman" w:eastAsia="Calibri" w:hAnsi="Times New Roman" w:cs="Times New Roman"/>
          <w:b/>
          <w:bCs/>
          <w:sz w:val="24"/>
          <w:szCs w:val="24"/>
        </w:rPr>
        <w:t>Rritja vjetore në pyje sipas mënyrës së qeverisjes</w:t>
      </w:r>
    </w:p>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Të dhënat e strukturës së moshës në raport me volumin në këmbë treguan se në të tre format e menaxhimit kemi një dominim të grumbujve të rinj. Për rrjedhojë pritet që rritja e këtyre grumbujve të jetë e lartë për shkak se shumica e grumbujve pyjore bëjnë pjesë në fazën e rinisë dhe të maturimit. Llogaritja e rritjes sipas formave të menaxhimit shërben për të llogaritur edhe mundësinë vjetore të shfrytëzimit ose prerjen e lejuar vjetore të pyjeve në Shqipëri. </w:t>
      </w:r>
    </w:p>
    <w:p w:rsidR="00236F04" w:rsidRPr="00236F04" w:rsidRDefault="00236F04" w:rsidP="00236F04">
      <w:pPr>
        <w:spacing w:after="0" w:line="240" w:lineRule="auto"/>
        <w:jc w:val="both"/>
        <w:rPr>
          <w:rFonts w:ascii="Times New Roman" w:eastAsia="Calibri" w:hAnsi="Times New Roman" w:cs="Times New Roman"/>
          <w:sz w:val="24"/>
          <w:szCs w:val="24"/>
        </w:rPr>
      </w:pPr>
    </w:p>
    <w:p w:rsidR="00236F04" w:rsidRPr="00236F04" w:rsidRDefault="00236F04" w:rsidP="00236F04">
      <w:pPr>
        <w:spacing w:after="0" w:line="240" w:lineRule="auto"/>
        <w:jc w:val="both"/>
        <w:rPr>
          <w:rFonts w:ascii="Times New Roman" w:eastAsia="Calibri" w:hAnsi="Times New Roman" w:cs="Times New Roman"/>
          <w:b/>
          <w:lang w:val="sq-AL"/>
        </w:rPr>
      </w:pPr>
    </w:p>
    <w:tbl>
      <w:tblPr>
        <w:tblStyle w:val="TableGrid"/>
        <w:tblW w:w="0" w:type="auto"/>
        <w:tblLook w:val="04A0" w:firstRow="1" w:lastRow="0" w:firstColumn="1" w:lastColumn="0" w:noHBand="0" w:noVBand="1"/>
      </w:tblPr>
      <w:tblGrid>
        <w:gridCol w:w="1527"/>
        <w:gridCol w:w="1564"/>
        <w:gridCol w:w="1584"/>
        <w:gridCol w:w="1511"/>
        <w:gridCol w:w="1662"/>
        <w:gridCol w:w="1502"/>
      </w:tblGrid>
      <w:tr w:rsidR="00236F04" w:rsidRPr="00236F04" w:rsidTr="00236F04">
        <w:trPr>
          <w:trHeight w:val="377"/>
        </w:trPr>
        <w:tc>
          <w:tcPr>
            <w:tcW w:w="1527" w:type="dxa"/>
          </w:tcPr>
          <w:p w:rsidR="00236F04" w:rsidRPr="00236F04" w:rsidRDefault="00236F04" w:rsidP="00236F04">
            <w:pPr>
              <w:jc w:val="both"/>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Forma e qeverisjes</w:t>
            </w:r>
          </w:p>
        </w:tc>
        <w:tc>
          <w:tcPr>
            <w:tcW w:w="1564" w:type="dxa"/>
          </w:tcPr>
          <w:p w:rsidR="00236F04" w:rsidRPr="00236F04" w:rsidRDefault="00236F04" w:rsidP="00236F04">
            <w:pPr>
              <w:jc w:val="both"/>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Klasat e moshes</w:t>
            </w:r>
          </w:p>
        </w:tc>
        <w:tc>
          <w:tcPr>
            <w:tcW w:w="1584" w:type="dxa"/>
          </w:tcPr>
          <w:p w:rsidR="00236F04" w:rsidRPr="00236F04" w:rsidRDefault="00236F04" w:rsidP="00236F04">
            <w:pPr>
              <w:jc w:val="both"/>
              <w:rPr>
                <w:rFonts w:ascii="Times New Roman" w:eastAsia="Times New Roman" w:hAnsi="Times New Roman" w:cs="Times New Roman"/>
                <w:color w:val="000000"/>
                <w:sz w:val="20"/>
                <w:lang w:eastAsia="en-GB"/>
              </w:rPr>
            </w:pPr>
            <w:r w:rsidRPr="00236F04">
              <w:rPr>
                <w:rFonts w:ascii="Times New Roman" w:eastAsia="Times New Roman" w:hAnsi="Times New Roman" w:cs="Times New Roman"/>
                <w:color w:val="000000"/>
                <w:sz w:val="20"/>
                <w:lang w:eastAsia="en-GB"/>
              </w:rPr>
              <w:t xml:space="preserve">Siperfaqja  </w:t>
            </w:r>
          </w:p>
          <w:p w:rsidR="00236F04" w:rsidRPr="00236F04" w:rsidRDefault="00236F04" w:rsidP="00236F04">
            <w:pPr>
              <w:jc w:val="both"/>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ne ha</w:t>
            </w:r>
          </w:p>
        </w:tc>
        <w:tc>
          <w:tcPr>
            <w:tcW w:w="1511" w:type="dxa"/>
          </w:tcPr>
          <w:p w:rsidR="00236F04" w:rsidRPr="00236F04" w:rsidRDefault="00236F04" w:rsidP="00236F04">
            <w:pPr>
              <w:jc w:val="both"/>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Vellimi ne m</w:t>
            </w:r>
            <w:r w:rsidRPr="00236F04">
              <w:rPr>
                <w:rFonts w:ascii="Times New Roman" w:eastAsia="Times New Roman" w:hAnsi="Times New Roman" w:cs="Times New Roman"/>
                <w:color w:val="000000"/>
                <w:sz w:val="20"/>
                <w:vertAlign w:val="superscript"/>
                <w:lang w:eastAsia="en-GB"/>
              </w:rPr>
              <w:t>3</w:t>
            </w:r>
          </w:p>
        </w:tc>
        <w:tc>
          <w:tcPr>
            <w:tcW w:w="1662" w:type="dxa"/>
          </w:tcPr>
          <w:p w:rsidR="00236F04" w:rsidRPr="00236F04" w:rsidRDefault="00236F04" w:rsidP="00236F04">
            <w:pPr>
              <w:jc w:val="both"/>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Rritja mesatare ne volum (m</w:t>
            </w:r>
            <w:r w:rsidRPr="00236F04">
              <w:rPr>
                <w:rFonts w:ascii="Times New Roman" w:eastAsia="Times New Roman" w:hAnsi="Times New Roman" w:cs="Times New Roman"/>
                <w:color w:val="000000"/>
                <w:sz w:val="20"/>
                <w:vertAlign w:val="superscript"/>
                <w:lang w:eastAsia="en-GB"/>
              </w:rPr>
              <w:t>3</w:t>
            </w:r>
            <w:r w:rsidRPr="00236F04">
              <w:rPr>
                <w:rFonts w:ascii="Times New Roman" w:eastAsia="Times New Roman" w:hAnsi="Times New Roman" w:cs="Times New Roman"/>
                <w:color w:val="000000"/>
                <w:sz w:val="20"/>
                <w:lang w:eastAsia="en-GB"/>
              </w:rPr>
              <w:t>)</w:t>
            </w:r>
          </w:p>
        </w:tc>
        <w:tc>
          <w:tcPr>
            <w:tcW w:w="1502" w:type="dxa"/>
          </w:tcPr>
          <w:p w:rsidR="00236F04" w:rsidRPr="00236F04" w:rsidRDefault="00236F04" w:rsidP="00236F04">
            <w:pPr>
              <w:jc w:val="both"/>
              <w:rPr>
                <w:rFonts w:ascii="Times New Roman" w:eastAsia="Times New Roman" w:hAnsi="Times New Roman" w:cs="Times New Roman"/>
                <w:color w:val="000000"/>
                <w:sz w:val="20"/>
                <w:lang w:eastAsia="en-GB"/>
              </w:rPr>
            </w:pPr>
            <w:r w:rsidRPr="00236F04">
              <w:rPr>
                <w:rFonts w:ascii="Times New Roman" w:eastAsia="Times New Roman" w:hAnsi="Times New Roman" w:cs="Times New Roman"/>
                <w:color w:val="000000"/>
                <w:sz w:val="20"/>
                <w:lang w:eastAsia="en-GB"/>
              </w:rPr>
              <w:t>Volumi mesatar per ha</w:t>
            </w:r>
          </w:p>
        </w:tc>
      </w:tr>
      <w:tr w:rsidR="00236F04" w:rsidRPr="00236F04" w:rsidTr="00236F04">
        <w:trPr>
          <w:trHeight w:val="188"/>
        </w:trPr>
        <w:tc>
          <w:tcPr>
            <w:tcW w:w="1527" w:type="dxa"/>
            <w:vMerge w:val="restart"/>
          </w:tcPr>
          <w:p w:rsidR="00236F04" w:rsidRPr="00236F04" w:rsidRDefault="00236F04" w:rsidP="00236F04">
            <w:pPr>
              <w:jc w:val="both"/>
              <w:rPr>
                <w:rFonts w:ascii="Times New Roman" w:eastAsia="Times New Roman" w:hAnsi="Times New Roman" w:cs="Times New Roman"/>
                <w:color w:val="000000"/>
                <w:lang w:eastAsia="en-GB"/>
              </w:rPr>
            </w:pPr>
          </w:p>
          <w:p w:rsidR="00236F04" w:rsidRPr="00236F04" w:rsidRDefault="00236F04" w:rsidP="00236F04">
            <w:pPr>
              <w:jc w:val="both"/>
              <w:rPr>
                <w:rFonts w:ascii="Times New Roman" w:eastAsia="Times New Roman" w:hAnsi="Times New Roman" w:cs="Times New Roman"/>
                <w:color w:val="000000"/>
                <w:lang w:eastAsia="en-GB"/>
              </w:rPr>
            </w:pPr>
          </w:p>
          <w:p w:rsidR="00236F04" w:rsidRPr="00236F04" w:rsidRDefault="00236F04" w:rsidP="00236F04">
            <w:pPr>
              <w:jc w:val="both"/>
              <w:rPr>
                <w:rFonts w:ascii="Times New Roman" w:eastAsia="Times New Roman" w:hAnsi="Times New Roman" w:cs="Times New Roman"/>
                <w:color w:val="000000"/>
                <w:lang w:eastAsia="en-GB"/>
              </w:rPr>
            </w:pPr>
          </w:p>
          <w:p w:rsidR="00236F04" w:rsidRPr="00236F04" w:rsidRDefault="00236F04" w:rsidP="00236F04">
            <w:pPr>
              <w:jc w:val="both"/>
              <w:rPr>
                <w:rFonts w:ascii="Times New Roman" w:eastAsia="Times New Roman" w:hAnsi="Times New Roman" w:cs="Times New Roman"/>
                <w:color w:val="000000"/>
                <w:lang w:eastAsia="en-GB"/>
              </w:rPr>
            </w:pPr>
          </w:p>
          <w:p w:rsidR="00236F04" w:rsidRPr="00236F04" w:rsidRDefault="00236F04" w:rsidP="00236F04">
            <w:pPr>
              <w:jc w:val="both"/>
              <w:rPr>
                <w:rFonts w:ascii="Times New Roman" w:eastAsia="Times New Roman" w:hAnsi="Times New Roman" w:cs="Times New Roman"/>
                <w:color w:val="FF0000"/>
                <w:lang w:eastAsia="en-GB"/>
              </w:rPr>
            </w:pPr>
            <w:r w:rsidRPr="00236F04">
              <w:rPr>
                <w:rFonts w:ascii="Times New Roman" w:eastAsia="Times New Roman" w:hAnsi="Times New Roman" w:cs="Times New Roman"/>
                <w:color w:val="000000"/>
                <w:lang w:eastAsia="en-GB"/>
              </w:rPr>
              <w:t>Trungishte</w:t>
            </w:r>
          </w:p>
        </w:tc>
        <w:tc>
          <w:tcPr>
            <w:tcW w:w="156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0-20 vjet</w:t>
            </w:r>
          </w:p>
        </w:tc>
        <w:tc>
          <w:tcPr>
            <w:tcW w:w="158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13267.5</w:t>
            </w:r>
          </w:p>
        </w:tc>
        <w:tc>
          <w:tcPr>
            <w:tcW w:w="1511"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43602.7</w:t>
            </w:r>
          </w:p>
        </w:tc>
        <w:tc>
          <w:tcPr>
            <w:tcW w:w="1662" w:type="dxa"/>
            <w:vAlign w:val="bottom"/>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 xml:space="preserve">               4360.3 </w:t>
            </w:r>
          </w:p>
        </w:tc>
        <w:tc>
          <w:tcPr>
            <w:tcW w:w="1502" w:type="dxa"/>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3.3</w:t>
            </w:r>
          </w:p>
        </w:tc>
      </w:tr>
      <w:tr w:rsidR="00236F04" w:rsidRPr="00236F04" w:rsidTr="00236F04">
        <w:trPr>
          <w:trHeight w:val="197"/>
        </w:trPr>
        <w:tc>
          <w:tcPr>
            <w:tcW w:w="1527" w:type="dxa"/>
            <w:vMerge/>
          </w:tcPr>
          <w:p w:rsidR="00236F04" w:rsidRPr="00236F04" w:rsidRDefault="00236F04" w:rsidP="00236F04">
            <w:pPr>
              <w:jc w:val="both"/>
              <w:rPr>
                <w:rFonts w:ascii="Times New Roman" w:eastAsia="Times New Roman" w:hAnsi="Times New Roman" w:cs="Times New Roman"/>
                <w:color w:val="FF0000"/>
                <w:lang w:eastAsia="en-GB"/>
              </w:rPr>
            </w:pPr>
          </w:p>
        </w:tc>
        <w:tc>
          <w:tcPr>
            <w:tcW w:w="156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21 - 40 vjet</w:t>
            </w:r>
          </w:p>
        </w:tc>
        <w:tc>
          <w:tcPr>
            <w:tcW w:w="158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76951.4</w:t>
            </w:r>
          </w:p>
        </w:tc>
        <w:tc>
          <w:tcPr>
            <w:tcW w:w="1511"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3950677.3</w:t>
            </w:r>
          </w:p>
        </w:tc>
        <w:tc>
          <w:tcPr>
            <w:tcW w:w="1662" w:type="dxa"/>
            <w:vAlign w:val="bottom"/>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 xml:space="preserve">           131689.2 </w:t>
            </w:r>
          </w:p>
        </w:tc>
        <w:tc>
          <w:tcPr>
            <w:tcW w:w="1502" w:type="dxa"/>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51.3</w:t>
            </w:r>
          </w:p>
        </w:tc>
      </w:tr>
      <w:tr w:rsidR="00236F04" w:rsidRPr="00236F04" w:rsidTr="00236F04">
        <w:tc>
          <w:tcPr>
            <w:tcW w:w="1527" w:type="dxa"/>
            <w:vMerge/>
          </w:tcPr>
          <w:p w:rsidR="00236F04" w:rsidRPr="00236F04" w:rsidRDefault="00236F04" w:rsidP="00236F04">
            <w:pPr>
              <w:jc w:val="both"/>
              <w:rPr>
                <w:rFonts w:ascii="Times New Roman" w:eastAsia="Times New Roman" w:hAnsi="Times New Roman" w:cs="Times New Roman"/>
                <w:color w:val="FF0000"/>
                <w:lang w:eastAsia="en-GB"/>
              </w:rPr>
            </w:pPr>
          </w:p>
        </w:tc>
        <w:tc>
          <w:tcPr>
            <w:tcW w:w="156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41 - 60 vjet</w:t>
            </w:r>
          </w:p>
        </w:tc>
        <w:tc>
          <w:tcPr>
            <w:tcW w:w="158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92872.4</w:t>
            </w:r>
          </w:p>
        </w:tc>
        <w:tc>
          <w:tcPr>
            <w:tcW w:w="1511"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6814780.6</w:t>
            </w:r>
          </w:p>
        </w:tc>
        <w:tc>
          <w:tcPr>
            <w:tcW w:w="1662" w:type="dxa"/>
            <w:vAlign w:val="bottom"/>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 xml:space="preserve">           136295.6 </w:t>
            </w:r>
          </w:p>
        </w:tc>
        <w:tc>
          <w:tcPr>
            <w:tcW w:w="1502" w:type="dxa"/>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73.4</w:t>
            </w:r>
          </w:p>
        </w:tc>
      </w:tr>
      <w:tr w:rsidR="00236F04" w:rsidRPr="00236F04" w:rsidTr="00236F04">
        <w:tc>
          <w:tcPr>
            <w:tcW w:w="1527" w:type="dxa"/>
            <w:vMerge/>
          </w:tcPr>
          <w:p w:rsidR="00236F04" w:rsidRPr="00236F04" w:rsidRDefault="00236F04" w:rsidP="00236F04">
            <w:pPr>
              <w:jc w:val="both"/>
              <w:rPr>
                <w:rFonts w:ascii="Times New Roman" w:eastAsia="Times New Roman" w:hAnsi="Times New Roman" w:cs="Times New Roman"/>
                <w:color w:val="FF0000"/>
                <w:lang w:eastAsia="en-GB"/>
              </w:rPr>
            </w:pPr>
          </w:p>
        </w:tc>
        <w:tc>
          <w:tcPr>
            <w:tcW w:w="156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61 - 80 vjet</w:t>
            </w:r>
          </w:p>
        </w:tc>
        <w:tc>
          <w:tcPr>
            <w:tcW w:w="158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74828.7</w:t>
            </w:r>
          </w:p>
        </w:tc>
        <w:tc>
          <w:tcPr>
            <w:tcW w:w="1511"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8439503.8</w:t>
            </w:r>
          </w:p>
        </w:tc>
        <w:tc>
          <w:tcPr>
            <w:tcW w:w="1662" w:type="dxa"/>
            <w:vAlign w:val="bottom"/>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 xml:space="preserve">           120564.3 </w:t>
            </w:r>
          </w:p>
        </w:tc>
        <w:tc>
          <w:tcPr>
            <w:tcW w:w="1502" w:type="dxa"/>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112.8</w:t>
            </w:r>
          </w:p>
        </w:tc>
      </w:tr>
      <w:tr w:rsidR="00236F04" w:rsidRPr="00236F04" w:rsidTr="00236F04">
        <w:tc>
          <w:tcPr>
            <w:tcW w:w="1527" w:type="dxa"/>
            <w:vMerge/>
          </w:tcPr>
          <w:p w:rsidR="00236F04" w:rsidRPr="00236F04" w:rsidRDefault="00236F04" w:rsidP="00236F04">
            <w:pPr>
              <w:jc w:val="both"/>
              <w:rPr>
                <w:rFonts w:ascii="Times New Roman" w:eastAsia="Times New Roman" w:hAnsi="Times New Roman" w:cs="Times New Roman"/>
                <w:color w:val="FF0000"/>
                <w:lang w:eastAsia="en-GB"/>
              </w:rPr>
            </w:pPr>
          </w:p>
        </w:tc>
        <w:tc>
          <w:tcPr>
            <w:tcW w:w="156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81 - 100 vjet</w:t>
            </w:r>
          </w:p>
        </w:tc>
        <w:tc>
          <w:tcPr>
            <w:tcW w:w="158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65276.1</w:t>
            </w:r>
          </w:p>
        </w:tc>
        <w:tc>
          <w:tcPr>
            <w:tcW w:w="1511"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8684408.9</w:t>
            </w:r>
          </w:p>
        </w:tc>
        <w:tc>
          <w:tcPr>
            <w:tcW w:w="1662" w:type="dxa"/>
            <w:vAlign w:val="bottom"/>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 xml:space="preserve">             96493.4 </w:t>
            </w:r>
          </w:p>
        </w:tc>
        <w:tc>
          <w:tcPr>
            <w:tcW w:w="1502" w:type="dxa"/>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133.0</w:t>
            </w:r>
          </w:p>
        </w:tc>
      </w:tr>
      <w:tr w:rsidR="00236F04" w:rsidRPr="00236F04" w:rsidTr="00236F04">
        <w:tc>
          <w:tcPr>
            <w:tcW w:w="1527" w:type="dxa"/>
            <w:vMerge/>
          </w:tcPr>
          <w:p w:rsidR="00236F04" w:rsidRPr="00236F04" w:rsidRDefault="00236F04" w:rsidP="00236F04">
            <w:pPr>
              <w:jc w:val="both"/>
              <w:rPr>
                <w:rFonts w:ascii="Times New Roman" w:eastAsia="Times New Roman" w:hAnsi="Times New Roman" w:cs="Times New Roman"/>
                <w:color w:val="FF0000"/>
                <w:lang w:eastAsia="en-GB"/>
              </w:rPr>
            </w:pPr>
          </w:p>
        </w:tc>
        <w:tc>
          <w:tcPr>
            <w:tcW w:w="156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101 - 120 vjet</w:t>
            </w:r>
          </w:p>
        </w:tc>
        <w:tc>
          <w:tcPr>
            <w:tcW w:w="158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34495.5</w:t>
            </w:r>
          </w:p>
        </w:tc>
        <w:tc>
          <w:tcPr>
            <w:tcW w:w="1511"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6193953.4</w:t>
            </w:r>
          </w:p>
        </w:tc>
        <w:tc>
          <w:tcPr>
            <w:tcW w:w="1662" w:type="dxa"/>
            <w:vAlign w:val="bottom"/>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 xml:space="preserve">             56308.7 </w:t>
            </w:r>
          </w:p>
        </w:tc>
        <w:tc>
          <w:tcPr>
            <w:tcW w:w="1502" w:type="dxa"/>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179.6</w:t>
            </w:r>
          </w:p>
        </w:tc>
      </w:tr>
      <w:tr w:rsidR="00236F04" w:rsidRPr="00236F04" w:rsidTr="00236F04">
        <w:tc>
          <w:tcPr>
            <w:tcW w:w="1527" w:type="dxa"/>
            <w:vMerge/>
          </w:tcPr>
          <w:p w:rsidR="00236F04" w:rsidRPr="00236F04" w:rsidRDefault="00236F04" w:rsidP="00236F04">
            <w:pPr>
              <w:jc w:val="both"/>
              <w:rPr>
                <w:rFonts w:ascii="Times New Roman" w:eastAsia="Times New Roman" w:hAnsi="Times New Roman" w:cs="Times New Roman"/>
                <w:color w:val="FF0000"/>
                <w:lang w:eastAsia="en-GB"/>
              </w:rPr>
            </w:pPr>
          </w:p>
        </w:tc>
        <w:tc>
          <w:tcPr>
            <w:tcW w:w="156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121 - 140 vjet</w:t>
            </w:r>
          </w:p>
        </w:tc>
        <w:tc>
          <w:tcPr>
            <w:tcW w:w="158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12736.8</w:t>
            </w:r>
          </w:p>
        </w:tc>
        <w:tc>
          <w:tcPr>
            <w:tcW w:w="1511"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3040146.4</w:t>
            </w:r>
          </w:p>
        </w:tc>
        <w:tc>
          <w:tcPr>
            <w:tcW w:w="1662" w:type="dxa"/>
            <w:vAlign w:val="bottom"/>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 xml:space="preserve">             23385.7 </w:t>
            </w:r>
          </w:p>
        </w:tc>
        <w:tc>
          <w:tcPr>
            <w:tcW w:w="1502" w:type="dxa"/>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238.7</w:t>
            </w:r>
          </w:p>
        </w:tc>
      </w:tr>
      <w:tr w:rsidR="00236F04" w:rsidRPr="00236F04" w:rsidTr="00236F04">
        <w:tc>
          <w:tcPr>
            <w:tcW w:w="1527" w:type="dxa"/>
            <w:vMerge/>
          </w:tcPr>
          <w:p w:rsidR="00236F04" w:rsidRPr="00236F04" w:rsidRDefault="00236F04" w:rsidP="00236F04">
            <w:pPr>
              <w:jc w:val="both"/>
              <w:rPr>
                <w:rFonts w:ascii="Times New Roman" w:eastAsia="Times New Roman" w:hAnsi="Times New Roman" w:cs="Times New Roman"/>
                <w:color w:val="FF0000"/>
                <w:lang w:eastAsia="en-GB"/>
              </w:rPr>
            </w:pPr>
          </w:p>
        </w:tc>
        <w:tc>
          <w:tcPr>
            <w:tcW w:w="156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141 - 160 vjet</w:t>
            </w:r>
          </w:p>
        </w:tc>
        <w:tc>
          <w:tcPr>
            <w:tcW w:w="158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7429.8</w:t>
            </w:r>
          </w:p>
        </w:tc>
        <w:tc>
          <w:tcPr>
            <w:tcW w:w="1511"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2059485.6</w:t>
            </w:r>
          </w:p>
        </w:tc>
        <w:tc>
          <w:tcPr>
            <w:tcW w:w="1662" w:type="dxa"/>
            <w:vAlign w:val="bottom"/>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 xml:space="preserve">             13729.9 </w:t>
            </w:r>
          </w:p>
        </w:tc>
        <w:tc>
          <w:tcPr>
            <w:tcW w:w="1502" w:type="dxa"/>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277.2</w:t>
            </w:r>
          </w:p>
        </w:tc>
      </w:tr>
      <w:tr w:rsidR="00236F04" w:rsidRPr="00236F04" w:rsidTr="00236F04">
        <w:trPr>
          <w:trHeight w:val="287"/>
        </w:trPr>
        <w:tc>
          <w:tcPr>
            <w:tcW w:w="1527" w:type="dxa"/>
            <w:vMerge/>
          </w:tcPr>
          <w:p w:rsidR="00236F04" w:rsidRPr="00236F04" w:rsidRDefault="00236F04" w:rsidP="00236F04">
            <w:pPr>
              <w:jc w:val="both"/>
              <w:rPr>
                <w:rFonts w:ascii="Times New Roman" w:eastAsia="Times New Roman" w:hAnsi="Times New Roman" w:cs="Times New Roman"/>
                <w:color w:val="FF0000"/>
                <w:lang w:eastAsia="en-GB"/>
              </w:rPr>
            </w:pPr>
          </w:p>
        </w:tc>
        <w:tc>
          <w:tcPr>
            <w:tcW w:w="156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&gt;160 vjet</w:t>
            </w:r>
          </w:p>
        </w:tc>
        <w:tc>
          <w:tcPr>
            <w:tcW w:w="158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10083.3</w:t>
            </w:r>
          </w:p>
        </w:tc>
        <w:tc>
          <w:tcPr>
            <w:tcW w:w="1511"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3174381.9</w:t>
            </w:r>
          </w:p>
        </w:tc>
        <w:tc>
          <w:tcPr>
            <w:tcW w:w="1662" w:type="dxa"/>
            <w:vAlign w:val="bottom"/>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 xml:space="preserve">             19839.9 </w:t>
            </w:r>
          </w:p>
        </w:tc>
        <w:tc>
          <w:tcPr>
            <w:tcW w:w="1502" w:type="dxa"/>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314.8</w:t>
            </w:r>
          </w:p>
        </w:tc>
      </w:tr>
      <w:tr w:rsidR="00236F04" w:rsidRPr="00236F04" w:rsidTr="00236F04">
        <w:tc>
          <w:tcPr>
            <w:tcW w:w="3091" w:type="dxa"/>
            <w:gridSpan w:val="2"/>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Total</w:t>
            </w:r>
          </w:p>
        </w:tc>
        <w:tc>
          <w:tcPr>
            <w:tcW w:w="1584"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387941.4</w:t>
            </w:r>
          </w:p>
        </w:tc>
        <w:tc>
          <w:tcPr>
            <w:tcW w:w="1511" w:type="dxa"/>
            <w:vAlign w:val="bottom"/>
          </w:tcPr>
          <w:p w:rsidR="00236F04" w:rsidRPr="00236F04" w:rsidRDefault="00236F04" w:rsidP="00236F04">
            <w:pPr>
              <w:jc w:val="both"/>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42400940.3</w:t>
            </w:r>
          </w:p>
        </w:tc>
        <w:tc>
          <w:tcPr>
            <w:tcW w:w="1662" w:type="dxa"/>
            <w:vAlign w:val="bottom"/>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602667.0</w:t>
            </w:r>
          </w:p>
        </w:tc>
        <w:tc>
          <w:tcPr>
            <w:tcW w:w="1502" w:type="dxa"/>
          </w:tcPr>
          <w:p w:rsidR="00236F04" w:rsidRPr="00236F04" w:rsidRDefault="00236F04" w:rsidP="00236F04">
            <w:pPr>
              <w:jc w:val="both"/>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109.3</w:t>
            </w:r>
          </w:p>
        </w:tc>
      </w:tr>
    </w:tbl>
    <w:p w:rsidR="00236F04" w:rsidRPr="00236F04" w:rsidRDefault="00236F04" w:rsidP="00236F04">
      <w:pPr>
        <w:rPr>
          <w:rFonts w:ascii="Times New Roman" w:eastAsia="Times New Roman" w:hAnsi="Times New Roman" w:cs="Times New Roman"/>
          <w:b/>
          <w:bCs/>
          <w:color w:val="FF0000"/>
          <w:sz w:val="4"/>
          <w:lang w:eastAsia="en-GB"/>
        </w:rPr>
      </w:pPr>
    </w:p>
    <w:tbl>
      <w:tblPr>
        <w:tblStyle w:val="TableGrid"/>
        <w:tblW w:w="0" w:type="auto"/>
        <w:tblLook w:val="04A0" w:firstRow="1" w:lastRow="0" w:firstColumn="1" w:lastColumn="0" w:noHBand="0" w:noVBand="1"/>
      </w:tblPr>
      <w:tblGrid>
        <w:gridCol w:w="1566"/>
        <w:gridCol w:w="1543"/>
        <w:gridCol w:w="1563"/>
        <w:gridCol w:w="1573"/>
        <w:gridCol w:w="1557"/>
        <w:gridCol w:w="1548"/>
      </w:tblGrid>
      <w:tr w:rsidR="00236F04" w:rsidRPr="00236F04" w:rsidTr="00236F04">
        <w:tc>
          <w:tcPr>
            <w:tcW w:w="1566" w:type="dxa"/>
          </w:tcPr>
          <w:p w:rsidR="00236F04" w:rsidRPr="00236F04" w:rsidRDefault="00236F04" w:rsidP="00236F04">
            <w:pPr>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Forma e qeverisjes</w:t>
            </w:r>
          </w:p>
        </w:tc>
        <w:tc>
          <w:tcPr>
            <w:tcW w:w="1543" w:type="dxa"/>
          </w:tcPr>
          <w:p w:rsidR="00236F04" w:rsidRPr="00236F04" w:rsidRDefault="00236F04" w:rsidP="00236F04">
            <w:pPr>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Klasat e moshes</w:t>
            </w:r>
          </w:p>
        </w:tc>
        <w:tc>
          <w:tcPr>
            <w:tcW w:w="1563" w:type="dxa"/>
          </w:tcPr>
          <w:p w:rsidR="00236F04" w:rsidRPr="00236F04" w:rsidRDefault="00236F04" w:rsidP="00236F04">
            <w:pPr>
              <w:rPr>
                <w:rFonts w:ascii="Times New Roman" w:eastAsia="Times New Roman" w:hAnsi="Times New Roman" w:cs="Times New Roman"/>
                <w:color w:val="000000"/>
                <w:sz w:val="20"/>
                <w:lang w:eastAsia="en-GB"/>
              </w:rPr>
            </w:pPr>
            <w:r w:rsidRPr="00236F04">
              <w:rPr>
                <w:rFonts w:ascii="Times New Roman" w:eastAsia="Times New Roman" w:hAnsi="Times New Roman" w:cs="Times New Roman"/>
                <w:color w:val="000000"/>
                <w:sz w:val="20"/>
                <w:lang w:eastAsia="en-GB"/>
              </w:rPr>
              <w:t xml:space="preserve">Siperfaqja  </w:t>
            </w:r>
          </w:p>
          <w:p w:rsidR="00236F04" w:rsidRPr="00236F04" w:rsidRDefault="00236F04" w:rsidP="00236F04">
            <w:pPr>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ne ha</w:t>
            </w:r>
          </w:p>
        </w:tc>
        <w:tc>
          <w:tcPr>
            <w:tcW w:w="1573" w:type="dxa"/>
          </w:tcPr>
          <w:p w:rsidR="00236F04" w:rsidRPr="00236F04" w:rsidRDefault="00236F04" w:rsidP="00236F04">
            <w:pPr>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Vellimi ne m</w:t>
            </w:r>
            <w:r w:rsidRPr="00236F04">
              <w:rPr>
                <w:rFonts w:ascii="Times New Roman" w:eastAsia="Times New Roman" w:hAnsi="Times New Roman" w:cs="Times New Roman"/>
                <w:color w:val="000000"/>
                <w:sz w:val="20"/>
                <w:vertAlign w:val="superscript"/>
                <w:lang w:eastAsia="en-GB"/>
              </w:rPr>
              <w:t>3</w:t>
            </w:r>
          </w:p>
        </w:tc>
        <w:tc>
          <w:tcPr>
            <w:tcW w:w="1557" w:type="dxa"/>
          </w:tcPr>
          <w:p w:rsidR="00236F04" w:rsidRPr="00236F04" w:rsidRDefault="00236F04" w:rsidP="00236F04">
            <w:pPr>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Rritja mesatare ne volum (m</w:t>
            </w:r>
            <w:r w:rsidRPr="00236F04">
              <w:rPr>
                <w:rFonts w:ascii="Times New Roman" w:eastAsia="Times New Roman" w:hAnsi="Times New Roman" w:cs="Times New Roman"/>
                <w:color w:val="000000"/>
                <w:sz w:val="20"/>
                <w:vertAlign w:val="superscript"/>
                <w:lang w:eastAsia="en-GB"/>
              </w:rPr>
              <w:t>3</w:t>
            </w:r>
            <w:r w:rsidRPr="00236F04">
              <w:rPr>
                <w:rFonts w:ascii="Times New Roman" w:eastAsia="Times New Roman" w:hAnsi="Times New Roman" w:cs="Times New Roman"/>
                <w:color w:val="000000"/>
                <w:sz w:val="20"/>
                <w:lang w:eastAsia="en-GB"/>
              </w:rPr>
              <w:t>)</w:t>
            </w:r>
          </w:p>
        </w:tc>
        <w:tc>
          <w:tcPr>
            <w:tcW w:w="1548" w:type="dxa"/>
          </w:tcPr>
          <w:p w:rsidR="00236F04" w:rsidRPr="00236F04" w:rsidRDefault="00236F04" w:rsidP="00236F04">
            <w:pPr>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Volumi mesatar per ha</w:t>
            </w:r>
          </w:p>
        </w:tc>
      </w:tr>
      <w:tr w:rsidR="00236F04" w:rsidRPr="00236F04" w:rsidTr="00236F04">
        <w:tc>
          <w:tcPr>
            <w:tcW w:w="1566" w:type="dxa"/>
            <w:vMerge w:val="restart"/>
          </w:tcPr>
          <w:p w:rsidR="00236F04" w:rsidRPr="00236F04" w:rsidRDefault="00236F04" w:rsidP="00236F04">
            <w:pPr>
              <w:rPr>
                <w:rFonts w:ascii="Times New Roman" w:eastAsia="Times New Roman" w:hAnsi="Times New Roman" w:cs="Times New Roman"/>
                <w:color w:val="000000"/>
                <w:lang w:eastAsia="en-GB"/>
              </w:rPr>
            </w:pPr>
          </w:p>
          <w:p w:rsidR="00236F04" w:rsidRPr="00236F04" w:rsidRDefault="00236F04" w:rsidP="00236F04">
            <w:pPr>
              <w:rPr>
                <w:rFonts w:ascii="Times New Roman" w:eastAsia="Times New Roman" w:hAnsi="Times New Roman" w:cs="Times New Roman"/>
                <w:color w:val="000000"/>
                <w:lang w:eastAsia="en-GB"/>
              </w:rPr>
            </w:pPr>
          </w:p>
          <w:p w:rsidR="00236F04" w:rsidRPr="00236F04" w:rsidRDefault="00236F04" w:rsidP="00236F04">
            <w:pPr>
              <w:rPr>
                <w:rFonts w:ascii="Times New Roman" w:eastAsia="Times New Roman" w:hAnsi="Times New Roman" w:cs="Times New Roman"/>
                <w:color w:val="000000"/>
                <w:lang w:eastAsia="en-GB"/>
              </w:rPr>
            </w:pPr>
          </w:p>
          <w:p w:rsidR="00236F04" w:rsidRPr="00236F04" w:rsidRDefault="00236F04" w:rsidP="00236F04">
            <w:pPr>
              <w:rPr>
                <w:rFonts w:ascii="Times New Roman" w:eastAsia="Times New Roman" w:hAnsi="Times New Roman" w:cs="Times New Roman"/>
                <w:color w:val="FF0000"/>
                <w:lang w:eastAsia="en-GB"/>
              </w:rPr>
            </w:pPr>
            <w:r w:rsidRPr="00236F04">
              <w:rPr>
                <w:rFonts w:ascii="Times New Roman" w:eastAsia="Times New Roman" w:hAnsi="Times New Roman" w:cs="Times New Roman"/>
                <w:color w:val="000000"/>
                <w:lang w:eastAsia="en-GB"/>
              </w:rPr>
              <w:t>Cungishte</w:t>
            </w:r>
          </w:p>
        </w:tc>
        <w:tc>
          <w:tcPr>
            <w:tcW w:w="1543"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0 -10 vjet</w:t>
            </w:r>
          </w:p>
        </w:tc>
        <w:tc>
          <w:tcPr>
            <w:tcW w:w="1563"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33434.1</w:t>
            </w:r>
          </w:p>
        </w:tc>
        <w:tc>
          <w:tcPr>
            <w:tcW w:w="1573"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43502.1</w:t>
            </w:r>
          </w:p>
        </w:tc>
        <w:tc>
          <w:tcPr>
            <w:tcW w:w="1557"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8700.4</w:t>
            </w:r>
          </w:p>
        </w:tc>
        <w:tc>
          <w:tcPr>
            <w:tcW w:w="1548"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1.3</w:t>
            </w:r>
          </w:p>
        </w:tc>
      </w:tr>
      <w:tr w:rsidR="00236F04" w:rsidRPr="00236F04" w:rsidTr="00236F04">
        <w:tc>
          <w:tcPr>
            <w:tcW w:w="1566" w:type="dxa"/>
            <w:vMerge/>
          </w:tcPr>
          <w:p w:rsidR="00236F04" w:rsidRPr="00236F04" w:rsidRDefault="00236F04" w:rsidP="00236F04">
            <w:pPr>
              <w:rPr>
                <w:rFonts w:ascii="Times New Roman" w:eastAsia="Times New Roman" w:hAnsi="Times New Roman" w:cs="Times New Roman"/>
                <w:color w:val="FF0000"/>
                <w:lang w:eastAsia="en-GB"/>
              </w:rPr>
            </w:pPr>
          </w:p>
        </w:tc>
        <w:tc>
          <w:tcPr>
            <w:tcW w:w="1543"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11 -20 vjet</w:t>
            </w:r>
          </w:p>
        </w:tc>
        <w:tc>
          <w:tcPr>
            <w:tcW w:w="1563"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247306</w:t>
            </w:r>
          </w:p>
        </w:tc>
        <w:tc>
          <w:tcPr>
            <w:tcW w:w="1573"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1683344.5</w:t>
            </w:r>
          </w:p>
        </w:tc>
        <w:tc>
          <w:tcPr>
            <w:tcW w:w="1557"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112223.0</w:t>
            </w:r>
          </w:p>
        </w:tc>
        <w:tc>
          <w:tcPr>
            <w:tcW w:w="1548"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6.8</w:t>
            </w:r>
          </w:p>
        </w:tc>
      </w:tr>
      <w:tr w:rsidR="00236F04" w:rsidRPr="00236F04" w:rsidTr="00236F04">
        <w:tc>
          <w:tcPr>
            <w:tcW w:w="1566" w:type="dxa"/>
            <w:vMerge/>
          </w:tcPr>
          <w:p w:rsidR="00236F04" w:rsidRPr="00236F04" w:rsidRDefault="00236F04" w:rsidP="00236F04">
            <w:pPr>
              <w:rPr>
                <w:rFonts w:ascii="Times New Roman" w:eastAsia="Times New Roman" w:hAnsi="Times New Roman" w:cs="Times New Roman"/>
                <w:color w:val="FF0000"/>
                <w:lang w:eastAsia="en-GB"/>
              </w:rPr>
            </w:pPr>
          </w:p>
        </w:tc>
        <w:tc>
          <w:tcPr>
            <w:tcW w:w="1543"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21 -30  vjet</w:t>
            </w:r>
          </w:p>
        </w:tc>
        <w:tc>
          <w:tcPr>
            <w:tcW w:w="1563"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180437.9</w:t>
            </w:r>
          </w:p>
        </w:tc>
        <w:tc>
          <w:tcPr>
            <w:tcW w:w="1573"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4001279.9</w:t>
            </w:r>
          </w:p>
        </w:tc>
        <w:tc>
          <w:tcPr>
            <w:tcW w:w="1557"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160051.2</w:t>
            </w:r>
          </w:p>
        </w:tc>
        <w:tc>
          <w:tcPr>
            <w:tcW w:w="1548"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22.2</w:t>
            </w:r>
          </w:p>
        </w:tc>
      </w:tr>
      <w:tr w:rsidR="00236F04" w:rsidRPr="00236F04" w:rsidTr="00236F04">
        <w:tc>
          <w:tcPr>
            <w:tcW w:w="1566" w:type="dxa"/>
            <w:vMerge/>
          </w:tcPr>
          <w:p w:rsidR="00236F04" w:rsidRPr="00236F04" w:rsidRDefault="00236F04" w:rsidP="00236F04">
            <w:pPr>
              <w:rPr>
                <w:rFonts w:ascii="Times New Roman" w:eastAsia="Times New Roman" w:hAnsi="Times New Roman" w:cs="Times New Roman"/>
                <w:color w:val="FF0000"/>
                <w:lang w:eastAsia="en-GB"/>
              </w:rPr>
            </w:pPr>
          </w:p>
        </w:tc>
        <w:tc>
          <w:tcPr>
            <w:tcW w:w="1543"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31 - 40 vjet</w:t>
            </w:r>
          </w:p>
        </w:tc>
        <w:tc>
          <w:tcPr>
            <w:tcW w:w="1563"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70052.4</w:t>
            </w:r>
          </w:p>
        </w:tc>
        <w:tc>
          <w:tcPr>
            <w:tcW w:w="1573"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3028202.9</w:t>
            </w:r>
          </w:p>
        </w:tc>
        <w:tc>
          <w:tcPr>
            <w:tcW w:w="1557"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86520.1</w:t>
            </w:r>
          </w:p>
        </w:tc>
        <w:tc>
          <w:tcPr>
            <w:tcW w:w="1548"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43.2</w:t>
            </w:r>
          </w:p>
        </w:tc>
      </w:tr>
      <w:tr w:rsidR="00236F04" w:rsidRPr="00236F04" w:rsidTr="00236F04">
        <w:tc>
          <w:tcPr>
            <w:tcW w:w="1566" w:type="dxa"/>
            <w:vMerge/>
          </w:tcPr>
          <w:p w:rsidR="00236F04" w:rsidRPr="00236F04" w:rsidRDefault="00236F04" w:rsidP="00236F04">
            <w:pPr>
              <w:rPr>
                <w:rFonts w:ascii="Times New Roman" w:eastAsia="Times New Roman" w:hAnsi="Times New Roman" w:cs="Times New Roman"/>
                <w:color w:val="FF0000"/>
                <w:lang w:eastAsia="en-GB"/>
              </w:rPr>
            </w:pPr>
          </w:p>
        </w:tc>
        <w:tc>
          <w:tcPr>
            <w:tcW w:w="1543"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41 - 50 vjet</w:t>
            </w:r>
          </w:p>
        </w:tc>
        <w:tc>
          <w:tcPr>
            <w:tcW w:w="1563"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16451.7</w:t>
            </w:r>
          </w:p>
        </w:tc>
        <w:tc>
          <w:tcPr>
            <w:tcW w:w="1573"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1014895.4</w:t>
            </w:r>
          </w:p>
        </w:tc>
        <w:tc>
          <w:tcPr>
            <w:tcW w:w="1557"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22553.2</w:t>
            </w:r>
          </w:p>
        </w:tc>
        <w:tc>
          <w:tcPr>
            <w:tcW w:w="1548"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61.7</w:t>
            </w:r>
          </w:p>
        </w:tc>
      </w:tr>
      <w:tr w:rsidR="00236F04" w:rsidRPr="00236F04" w:rsidTr="00236F04">
        <w:tc>
          <w:tcPr>
            <w:tcW w:w="1566" w:type="dxa"/>
            <w:vMerge/>
          </w:tcPr>
          <w:p w:rsidR="00236F04" w:rsidRPr="00236F04" w:rsidRDefault="00236F04" w:rsidP="00236F04">
            <w:pPr>
              <w:rPr>
                <w:rFonts w:ascii="Times New Roman" w:eastAsia="Times New Roman" w:hAnsi="Times New Roman" w:cs="Times New Roman"/>
                <w:color w:val="FF0000"/>
                <w:lang w:eastAsia="en-GB"/>
              </w:rPr>
            </w:pPr>
          </w:p>
        </w:tc>
        <w:tc>
          <w:tcPr>
            <w:tcW w:w="1543"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&gt;50  vjet</w:t>
            </w:r>
          </w:p>
        </w:tc>
        <w:tc>
          <w:tcPr>
            <w:tcW w:w="1563"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5307</w:t>
            </w:r>
          </w:p>
        </w:tc>
        <w:tc>
          <w:tcPr>
            <w:tcW w:w="1573"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260930.6</w:t>
            </w:r>
          </w:p>
        </w:tc>
        <w:tc>
          <w:tcPr>
            <w:tcW w:w="1557"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5218.6</w:t>
            </w:r>
          </w:p>
        </w:tc>
        <w:tc>
          <w:tcPr>
            <w:tcW w:w="1548"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49.2</w:t>
            </w:r>
          </w:p>
        </w:tc>
      </w:tr>
      <w:tr w:rsidR="00236F04" w:rsidRPr="00236F04" w:rsidTr="00236F04">
        <w:tc>
          <w:tcPr>
            <w:tcW w:w="3109" w:type="dxa"/>
            <w:gridSpan w:val="2"/>
          </w:tcPr>
          <w:p w:rsidR="00236F04" w:rsidRPr="00236F04" w:rsidRDefault="00236F04" w:rsidP="00236F04">
            <w:pPr>
              <w:jc w:val="cente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Total</w:t>
            </w:r>
          </w:p>
        </w:tc>
        <w:tc>
          <w:tcPr>
            <w:tcW w:w="1563"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552989</w:t>
            </w:r>
          </w:p>
        </w:tc>
        <w:tc>
          <w:tcPr>
            <w:tcW w:w="1573"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10032155.4</w:t>
            </w:r>
          </w:p>
        </w:tc>
        <w:tc>
          <w:tcPr>
            <w:tcW w:w="1557" w:type="dxa"/>
          </w:tcPr>
          <w:p w:rsidR="00236F04" w:rsidRPr="00236F04" w:rsidRDefault="00236F04" w:rsidP="00236F04">
            <w:pPr>
              <w:jc w:val="right"/>
              <w:rPr>
                <w:rFonts w:ascii="Times New Roman" w:eastAsia="Times New Roman" w:hAnsi="Times New Roman" w:cs="Times New Roman"/>
                <w:color w:val="FF0000"/>
                <w:lang w:eastAsia="en-GB"/>
              </w:rPr>
            </w:pPr>
            <w:r w:rsidRPr="00236F04">
              <w:rPr>
                <w:rFonts w:ascii="Times New Roman" w:eastAsia="Times New Roman" w:hAnsi="Times New Roman" w:cs="Times New Roman"/>
                <w:lang w:eastAsia="en-GB"/>
              </w:rPr>
              <w:t>395266.5</w:t>
            </w:r>
          </w:p>
        </w:tc>
        <w:tc>
          <w:tcPr>
            <w:tcW w:w="1548"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18.1</w:t>
            </w:r>
          </w:p>
        </w:tc>
      </w:tr>
    </w:tbl>
    <w:p w:rsidR="00236F04" w:rsidRPr="00236F04" w:rsidRDefault="00236F04" w:rsidP="00236F04">
      <w:pPr>
        <w:rPr>
          <w:rFonts w:ascii="Times New Roman" w:eastAsia="Times New Roman" w:hAnsi="Times New Roman" w:cs="Times New Roman"/>
          <w:b/>
          <w:bCs/>
          <w:color w:val="FF0000"/>
          <w:sz w:val="2"/>
          <w:lang w:eastAsia="en-GB"/>
        </w:rPr>
      </w:pPr>
    </w:p>
    <w:tbl>
      <w:tblPr>
        <w:tblStyle w:val="TableGrid"/>
        <w:tblW w:w="0" w:type="auto"/>
        <w:tblLook w:val="04A0" w:firstRow="1" w:lastRow="0" w:firstColumn="1" w:lastColumn="0" w:noHBand="0" w:noVBand="1"/>
      </w:tblPr>
      <w:tblGrid>
        <w:gridCol w:w="1560"/>
        <w:gridCol w:w="1546"/>
        <w:gridCol w:w="1564"/>
        <w:gridCol w:w="1566"/>
        <w:gridCol w:w="1564"/>
        <w:gridCol w:w="1550"/>
      </w:tblGrid>
      <w:tr w:rsidR="00236F04" w:rsidRPr="00236F04" w:rsidTr="00236F04">
        <w:tc>
          <w:tcPr>
            <w:tcW w:w="1560" w:type="dxa"/>
          </w:tcPr>
          <w:p w:rsidR="00236F04" w:rsidRPr="00236F04" w:rsidRDefault="00236F04" w:rsidP="00236F04">
            <w:pPr>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Forma e qeverisjes</w:t>
            </w:r>
          </w:p>
        </w:tc>
        <w:tc>
          <w:tcPr>
            <w:tcW w:w="1546" w:type="dxa"/>
          </w:tcPr>
          <w:p w:rsidR="00236F04" w:rsidRPr="00236F04" w:rsidRDefault="00236F04" w:rsidP="00236F04">
            <w:pPr>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Klasat e moshes</w:t>
            </w:r>
          </w:p>
        </w:tc>
        <w:tc>
          <w:tcPr>
            <w:tcW w:w="1564" w:type="dxa"/>
          </w:tcPr>
          <w:p w:rsidR="00236F04" w:rsidRPr="00236F04" w:rsidRDefault="00236F04" w:rsidP="00236F04">
            <w:pPr>
              <w:rPr>
                <w:rFonts w:ascii="Times New Roman" w:eastAsia="Times New Roman" w:hAnsi="Times New Roman" w:cs="Times New Roman"/>
                <w:color w:val="000000"/>
                <w:sz w:val="20"/>
                <w:lang w:eastAsia="en-GB"/>
              </w:rPr>
            </w:pPr>
            <w:r w:rsidRPr="00236F04">
              <w:rPr>
                <w:rFonts w:ascii="Times New Roman" w:eastAsia="Times New Roman" w:hAnsi="Times New Roman" w:cs="Times New Roman"/>
                <w:color w:val="000000"/>
                <w:sz w:val="20"/>
                <w:lang w:eastAsia="en-GB"/>
              </w:rPr>
              <w:t xml:space="preserve">Siperfaqja  </w:t>
            </w:r>
          </w:p>
          <w:p w:rsidR="00236F04" w:rsidRPr="00236F04" w:rsidRDefault="00236F04" w:rsidP="00236F04">
            <w:pPr>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ne ha</w:t>
            </w:r>
          </w:p>
        </w:tc>
        <w:tc>
          <w:tcPr>
            <w:tcW w:w="1566" w:type="dxa"/>
          </w:tcPr>
          <w:p w:rsidR="00236F04" w:rsidRPr="00236F04" w:rsidRDefault="00236F04" w:rsidP="00236F04">
            <w:pPr>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Vellimi ne m</w:t>
            </w:r>
            <w:r w:rsidRPr="00236F04">
              <w:rPr>
                <w:rFonts w:ascii="Times New Roman" w:eastAsia="Times New Roman" w:hAnsi="Times New Roman" w:cs="Times New Roman"/>
                <w:color w:val="000000"/>
                <w:sz w:val="20"/>
                <w:vertAlign w:val="superscript"/>
                <w:lang w:eastAsia="en-GB"/>
              </w:rPr>
              <w:t>3</w:t>
            </w:r>
          </w:p>
        </w:tc>
        <w:tc>
          <w:tcPr>
            <w:tcW w:w="1564" w:type="dxa"/>
          </w:tcPr>
          <w:p w:rsidR="00236F04" w:rsidRPr="00236F04" w:rsidRDefault="00236F04" w:rsidP="00236F04">
            <w:pPr>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Rritja mesatare ne volum(m</w:t>
            </w:r>
            <w:r w:rsidRPr="00236F04">
              <w:rPr>
                <w:rFonts w:ascii="Times New Roman" w:eastAsia="Times New Roman" w:hAnsi="Times New Roman" w:cs="Times New Roman"/>
                <w:color w:val="000000"/>
                <w:sz w:val="20"/>
                <w:vertAlign w:val="superscript"/>
                <w:lang w:eastAsia="en-GB"/>
              </w:rPr>
              <w:t>3</w:t>
            </w:r>
            <w:r w:rsidRPr="00236F04">
              <w:rPr>
                <w:rFonts w:ascii="Times New Roman" w:eastAsia="Times New Roman" w:hAnsi="Times New Roman" w:cs="Times New Roman"/>
                <w:color w:val="000000"/>
                <w:sz w:val="20"/>
                <w:lang w:eastAsia="en-GB"/>
              </w:rPr>
              <w:t>)</w:t>
            </w:r>
          </w:p>
        </w:tc>
        <w:tc>
          <w:tcPr>
            <w:tcW w:w="1550" w:type="dxa"/>
          </w:tcPr>
          <w:p w:rsidR="00236F04" w:rsidRPr="00236F04" w:rsidRDefault="00236F04" w:rsidP="00236F04">
            <w:pPr>
              <w:rPr>
                <w:rFonts w:ascii="Times New Roman" w:eastAsia="Times New Roman" w:hAnsi="Times New Roman" w:cs="Times New Roman"/>
                <w:color w:val="FF0000"/>
                <w:sz w:val="20"/>
                <w:lang w:eastAsia="en-GB"/>
              </w:rPr>
            </w:pPr>
            <w:r w:rsidRPr="00236F04">
              <w:rPr>
                <w:rFonts w:ascii="Times New Roman" w:eastAsia="Times New Roman" w:hAnsi="Times New Roman" w:cs="Times New Roman"/>
                <w:color w:val="000000"/>
                <w:sz w:val="20"/>
                <w:lang w:eastAsia="en-GB"/>
              </w:rPr>
              <w:t>Volumi mesatar per ha</w:t>
            </w:r>
          </w:p>
        </w:tc>
      </w:tr>
      <w:tr w:rsidR="00236F04" w:rsidRPr="00236F04" w:rsidTr="00236F04">
        <w:trPr>
          <w:trHeight w:val="278"/>
        </w:trPr>
        <w:tc>
          <w:tcPr>
            <w:tcW w:w="1560" w:type="dxa"/>
            <w:vMerge w:val="restart"/>
          </w:tcPr>
          <w:p w:rsidR="00236F04" w:rsidRPr="00236F04" w:rsidRDefault="00236F04" w:rsidP="00236F04">
            <w:pPr>
              <w:rPr>
                <w:rFonts w:ascii="Times New Roman" w:eastAsia="Times New Roman" w:hAnsi="Times New Roman" w:cs="Times New Roman"/>
                <w:lang w:eastAsia="en-GB"/>
              </w:rPr>
            </w:pPr>
          </w:p>
          <w:p w:rsidR="00236F04" w:rsidRPr="00236F04" w:rsidRDefault="00236F04" w:rsidP="00236F04">
            <w:pPr>
              <w:rPr>
                <w:rFonts w:ascii="Times New Roman" w:eastAsia="Times New Roman" w:hAnsi="Times New Roman" w:cs="Times New Roman"/>
                <w:lang w:eastAsia="en-GB"/>
              </w:rPr>
            </w:pPr>
          </w:p>
          <w:p w:rsidR="00236F04" w:rsidRPr="00236F04" w:rsidRDefault="00236F04" w:rsidP="00236F04">
            <w:pPr>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Shkurre</w:t>
            </w:r>
          </w:p>
        </w:tc>
        <w:tc>
          <w:tcPr>
            <w:tcW w:w="1546"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lastRenderedPageBreak/>
              <w:t>0 - 5 vjet</w:t>
            </w:r>
          </w:p>
        </w:tc>
        <w:tc>
          <w:tcPr>
            <w:tcW w:w="1564"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4776.3</w:t>
            </w:r>
          </w:p>
        </w:tc>
        <w:tc>
          <w:tcPr>
            <w:tcW w:w="1566"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 </w:t>
            </w:r>
          </w:p>
        </w:tc>
        <w:tc>
          <w:tcPr>
            <w:tcW w:w="1564"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w:t>
            </w:r>
          </w:p>
        </w:tc>
        <w:tc>
          <w:tcPr>
            <w:tcW w:w="1550"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w:t>
            </w:r>
          </w:p>
        </w:tc>
      </w:tr>
      <w:tr w:rsidR="00236F04" w:rsidRPr="00236F04" w:rsidTr="00236F04">
        <w:tc>
          <w:tcPr>
            <w:tcW w:w="1560" w:type="dxa"/>
            <w:vMerge/>
          </w:tcPr>
          <w:p w:rsidR="00236F04" w:rsidRPr="00236F04" w:rsidRDefault="00236F04" w:rsidP="00236F04">
            <w:pPr>
              <w:rPr>
                <w:rFonts w:ascii="Times New Roman" w:eastAsia="Times New Roman" w:hAnsi="Times New Roman" w:cs="Times New Roman"/>
                <w:color w:val="FF0000"/>
                <w:lang w:eastAsia="en-GB"/>
              </w:rPr>
            </w:pPr>
          </w:p>
        </w:tc>
        <w:tc>
          <w:tcPr>
            <w:tcW w:w="1546"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6 - 10 vjet</w:t>
            </w:r>
          </w:p>
        </w:tc>
        <w:tc>
          <w:tcPr>
            <w:tcW w:w="1564"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36618.3</w:t>
            </w:r>
          </w:p>
        </w:tc>
        <w:tc>
          <w:tcPr>
            <w:tcW w:w="1566"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408267.7</w:t>
            </w:r>
          </w:p>
        </w:tc>
        <w:tc>
          <w:tcPr>
            <w:tcW w:w="1564"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54435.7</w:t>
            </w:r>
          </w:p>
        </w:tc>
        <w:tc>
          <w:tcPr>
            <w:tcW w:w="1550"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11.1</w:t>
            </w:r>
          </w:p>
        </w:tc>
      </w:tr>
      <w:tr w:rsidR="00236F04" w:rsidRPr="00236F04" w:rsidTr="00236F04">
        <w:tc>
          <w:tcPr>
            <w:tcW w:w="1560" w:type="dxa"/>
            <w:vMerge/>
          </w:tcPr>
          <w:p w:rsidR="00236F04" w:rsidRPr="00236F04" w:rsidRDefault="00236F04" w:rsidP="00236F04">
            <w:pPr>
              <w:rPr>
                <w:rFonts w:ascii="Times New Roman" w:eastAsia="Times New Roman" w:hAnsi="Times New Roman" w:cs="Times New Roman"/>
                <w:color w:val="FF0000"/>
                <w:lang w:eastAsia="en-GB"/>
              </w:rPr>
            </w:pPr>
          </w:p>
        </w:tc>
        <w:tc>
          <w:tcPr>
            <w:tcW w:w="1546"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11 - 15 vjet</w:t>
            </w:r>
          </w:p>
        </w:tc>
        <w:tc>
          <w:tcPr>
            <w:tcW w:w="1564"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93403.1</w:t>
            </w:r>
          </w:p>
        </w:tc>
        <w:tc>
          <w:tcPr>
            <w:tcW w:w="1566"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1882560.3</w:t>
            </w:r>
          </w:p>
        </w:tc>
        <w:tc>
          <w:tcPr>
            <w:tcW w:w="1564"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150604.8</w:t>
            </w:r>
          </w:p>
        </w:tc>
        <w:tc>
          <w:tcPr>
            <w:tcW w:w="1550"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20.1</w:t>
            </w:r>
          </w:p>
        </w:tc>
      </w:tr>
      <w:tr w:rsidR="00236F04" w:rsidRPr="00236F04" w:rsidTr="00236F04">
        <w:tc>
          <w:tcPr>
            <w:tcW w:w="1560" w:type="dxa"/>
            <w:vMerge/>
          </w:tcPr>
          <w:p w:rsidR="00236F04" w:rsidRPr="00236F04" w:rsidRDefault="00236F04" w:rsidP="00236F04">
            <w:pPr>
              <w:rPr>
                <w:rFonts w:ascii="Times New Roman" w:eastAsia="Times New Roman" w:hAnsi="Times New Roman" w:cs="Times New Roman"/>
                <w:color w:val="FF0000"/>
                <w:lang w:eastAsia="en-GB"/>
              </w:rPr>
            </w:pPr>
          </w:p>
        </w:tc>
        <w:tc>
          <w:tcPr>
            <w:tcW w:w="1546"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16 - 20 vjet</w:t>
            </w:r>
          </w:p>
        </w:tc>
        <w:tc>
          <w:tcPr>
            <w:tcW w:w="1564"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91280.3</w:t>
            </w:r>
          </w:p>
        </w:tc>
        <w:tc>
          <w:tcPr>
            <w:tcW w:w="1566"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2126387.6</w:t>
            </w:r>
          </w:p>
        </w:tc>
        <w:tc>
          <w:tcPr>
            <w:tcW w:w="1564"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118132.6</w:t>
            </w:r>
          </w:p>
        </w:tc>
        <w:tc>
          <w:tcPr>
            <w:tcW w:w="1550"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23.3</w:t>
            </w:r>
          </w:p>
        </w:tc>
      </w:tr>
      <w:tr w:rsidR="00236F04" w:rsidRPr="00236F04" w:rsidTr="00236F04">
        <w:tc>
          <w:tcPr>
            <w:tcW w:w="1560" w:type="dxa"/>
            <w:vMerge/>
          </w:tcPr>
          <w:p w:rsidR="00236F04" w:rsidRPr="00236F04" w:rsidRDefault="00236F04" w:rsidP="00236F04">
            <w:pPr>
              <w:rPr>
                <w:rFonts w:ascii="Times New Roman" w:eastAsia="Times New Roman" w:hAnsi="Times New Roman" w:cs="Times New Roman"/>
                <w:color w:val="FF0000"/>
                <w:lang w:eastAsia="en-GB"/>
              </w:rPr>
            </w:pPr>
          </w:p>
        </w:tc>
        <w:tc>
          <w:tcPr>
            <w:tcW w:w="1546"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21 - 25 vjet</w:t>
            </w:r>
          </w:p>
        </w:tc>
        <w:tc>
          <w:tcPr>
            <w:tcW w:w="1564"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22820.1</w:t>
            </w:r>
          </w:p>
        </w:tc>
        <w:tc>
          <w:tcPr>
            <w:tcW w:w="1566"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779369.5</w:t>
            </w:r>
          </w:p>
        </w:tc>
        <w:tc>
          <w:tcPr>
            <w:tcW w:w="1564"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33885.6</w:t>
            </w:r>
          </w:p>
        </w:tc>
        <w:tc>
          <w:tcPr>
            <w:tcW w:w="1550"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34.1</w:t>
            </w:r>
          </w:p>
        </w:tc>
      </w:tr>
      <w:tr w:rsidR="00236F04" w:rsidRPr="00236F04" w:rsidTr="00236F04">
        <w:tc>
          <w:tcPr>
            <w:tcW w:w="1560" w:type="dxa"/>
            <w:vMerge/>
          </w:tcPr>
          <w:p w:rsidR="00236F04" w:rsidRPr="00236F04" w:rsidRDefault="00236F04" w:rsidP="00236F04">
            <w:pPr>
              <w:rPr>
                <w:rFonts w:ascii="Times New Roman" w:eastAsia="Times New Roman" w:hAnsi="Times New Roman" w:cs="Times New Roman"/>
                <w:color w:val="FF0000"/>
                <w:lang w:eastAsia="en-GB"/>
              </w:rPr>
            </w:pPr>
          </w:p>
        </w:tc>
        <w:tc>
          <w:tcPr>
            <w:tcW w:w="1546"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26 - 30 vjet</w:t>
            </w:r>
          </w:p>
        </w:tc>
        <w:tc>
          <w:tcPr>
            <w:tcW w:w="1564"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1592.1</w:t>
            </w:r>
          </w:p>
        </w:tc>
        <w:tc>
          <w:tcPr>
            <w:tcW w:w="1566"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39872.3</w:t>
            </w:r>
          </w:p>
        </w:tc>
        <w:tc>
          <w:tcPr>
            <w:tcW w:w="1564"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1424.0</w:t>
            </w:r>
          </w:p>
        </w:tc>
        <w:tc>
          <w:tcPr>
            <w:tcW w:w="1550"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25.0</w:t>
            </w:r>
          </w:p>
        </w:tc>
      </w:tr>
      <w:tr w:rsidR="00236F04" w:rsidRPr="00236F04" w:rsidTr="00236F04">
        <w:tc>
          <w:tcPr>
            <w:tcW w:w="1560" w:type="dxa"/>
            <w:vMerge/>
          </w:tcPr>
          <w:p w:rsidR="00236F04" w:rsidRPr="00236F04" w:rsidRDefault="00236F04" w:rsidP="00236F04">
            <w:pPr>
              <w:rPr>
                <w:rFonts w:ascii="Times New Roman" w:eastAsia="Times New Roman" w:hAnsi="Times New Roman" w:cs="Times New Roman"/>
                <w:color w:val="FF0000"/>
                <w:lang w:eastAsia="en-GB"/>
              </w:rPr>
            </w:pPr>
          </w:p>
        </w:tc>
        <w:tc>
          <w:tcPr>
            <w:tcW w:w="1546"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&gt;30 vjet</w:t>
            </w:r>
          </w:p>
        </w:tc>
        <w:tc>
          <w:tcPr>
            <w:tcW w:w="1564"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5837.7</w:t>
            </w:r>
          </w:p>
        </w:tc>
        <w:tc>
          <w:tcPr>
            <w:tcW w:w="1566"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60978.4</w:t>
            </w:r>
          </w:p>
        </w:tc>
        <w:tc>
          <w:tcPr>
            <w:tcW w:w="1564"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2032.6</w:t>
            </w:r>
          </w:p>
        </w:tc>
        <w:tc>
          <w:tcPr>
            <w:tcW w:w="1550"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10.4</w:t>
            </w:r>
          </w:p>
        </w:tc>
      </w:tr>
      <w:tr w:rsidR="00236F04" w:rsidRPr="00236F04" w:rsidTr="00236F04">
        <w:tc>
          <w:tcPr>
            <w:tcW w:w="3106" w:type="dxa"/>
            <w:gridSpan w:val="2"/>
          </w:tcPr>
          <w:p w:rsidR="00236F04" w:rsidRPr="00236F04" w:rsidRDefault="00236F04" w:rsidP="00236F04">
            <w:pPr>
              <w:jc w:val="cente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Total</w:t>
            </w:r>
          </w:p>
        </w:tc>
        <w:tc>
          <w:tcPr>
            <w:tcW w:w="1564"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256327.9</w:t>
            </w:r>
          </w:p>
        </w:tc>
        <w:tc>
          <w:tcPr>
            <w:tcW w:w="1566"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5297435.8</w:t>
            </w:r>
          </w:p>
        </w:tc>
        <w:tc>
          <w:tcPr>
            <w:tcW w:w="1564"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360515.4</w:t>
            </w:r>
          </w:p>
        </w:tc>
        <w:tc>
          <w:tcPr>
            <w:tcW w:w="1550" w:type="dxa"/>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20.6</w:t>
            </w:r>
          </w:p>
        </w:tc>
      </w:tr>
    </w:tbl>
    <w:p w:rsidR="00236F04" w:rsidRPr="00236F04" w:rsidRDefault="00236F04" w:rsidP="00236F04">
      <w:pPr>
        <w:spacing w:after="0" w:line="240" w:lineRule="auto"/>
        <w:jc w:val="both"/>
        <w:rPr>
          <w:rFonts w:ascii="Times New Roman" w:eastAsia="Calibri" w:hAnsi="Times New Roman" w:cs="Times New Roman"/>
          <w:lang w:val="sq-AL"/>
        </w:rPr>
      </w:pPr>
    </w:p>
    <w:p w:rsidR="00236F04" w:rsidRPr="00156799" w:rsidRDefault="00236F04" w:rsidP="00156799">
      <w:pPr>
        <w:jc w:val="both"/>
        <w:rPr>
          <w:rFonts w:ascii="Times New Roman" w:eastAsia="Times New Roman" w:hAnsi="Times New Roman" w:cs="Times New Roman"/>
          <w:b/>
          <w:bCs/>
          <w:sz w:val="24"/>
          <w:szCs w:val="24"/>
          <w:lang w:eastAsia="en-GB"/>
        </w:rPr>
      </w:pPr>
      <w:r w:rsidRPr="00236F04">
        <w:rPr>
          <w:rFonts w:ascii="Times New Roman" w:eastAsia="Calibri" w:hAnsi="Times New Roman" w:cs="Times New Roman"/>
          <w:sz w:val="24"/>
          <w:szCs w:val="24"/>
          <w:lang w:val="sq-AL"/>
        </w:rPr>
        <w:t>Rritja vjetore totale e pyjeve në shkallë kombëtare nga llogaritjet rezultoi 1,36 milion metër kub në vit. Nëse bëjmë një bilanc midis rritjes vjetore të pyjeve (1,36 milion m</w:t>
      </w:r>
      <w:r w:rsidRPr="00236F04">
        <w:rPr>
          <w:rFonts w:ascii="Times New Roman" w:eastAsia="Calibri" w:hAnsi="Times New Roman" w:cs="Times New Roman"/>
          <w:sz w:val="24"/>
          <w:szCs w:val="24"/>
          <w:vertAlign w:val="superscript"/>
          <w:lang w:val="sq-AL"/>
        </w:rPr>
        <w:t>3</w:t>
      </w:r>
      <w:r w:rsidRPr="00236F04">
        <w:rPr>
          <w:rFonts w:ascii="Times New Roman" w:eastAsia="Calibri" w:hAnsi="Times New Roman" w:cs="Times New Roman"/>
          <w:sz w:val="24"/>
          <w:szCs w:val="24"/>
          <w:lang w:val="sq-AL"/>
        </w:rPr>
        <w:t>) e llogaritur nga IKPK 2021. Në mënyrë që të kemi një akumulim të volumit në këmbë të materialit drusor duhet që çdo vit të vilet një sasi materiali drusor e cila të jetë më e vogël se rrit</w:t>
      </w:r>
      <w:r w:rsidR="00156799">
        <w:rPr>
          <w:rFonts w:ascii="Times New Roman" w:eastAsia="Calibri" w:hAnsi="Times New Roman" w:cs="Times New Roman"/>
          <w:sz w:val="24"/>
          <w:szCs w:val="24"/>
          <w:lang w:val="sq-AL"/>
        </w:rPr>
        <w:t xml:space="preserve">ja vjetore në volum psh; 80-85% </w:t>
      </w:r>
      <w:r w:rsidRPr="00236F04">
        <w:rPr>
          <w:rFonts w:ascii="Times New Roman" w:eastAsia="Calibri" w:hAnsi="Times New Roman" w:cs="Times New Roman"/>
          <w:sz w:val="24"/>
          <w:szCs w:val="24"/>
          <w:lang w:val="sq-AL"/>
        </w:rPr>
        <w:t xml:space="preserve">e kësaj rritje. </w:t>
      </w:r>
      <w:r w:rsidRPr="00156799">
        <w:rPr>
          <w:rFonts w:ascii="Times New Roman" w:eastAsia="Calibri" w:hAnsi="Times New Roman" w:cs="Times New Roman"/>
          <w:b/>
          <w:sz w:val="24"/>
          <w:szCs w:val="24"/>
        </w:rPr>
        <w:t>Rritja mesatare ne volum (m</w:t>
      </w:r>
      <w:r w:rsidRPr="00156799">
        <w:rPr>
          <w:rFonts w:ascii="Times New Roman" w:eastAsia="Calibri" w:hAnsi="Times New Roman" w:cs="Times New Roman"/>
          <w:b/>
          <w:sz w:val="24"/>
          <w:szCs w:val="24"/>
          <w:vertAlign w:val="superscript"/>
        </w:rPr>
        <w:t>3</w:t>
      </w:r>
      <w:r w:rsidR="00156799">
        <w:rPr>
          <w:rFonts w:ascii="Times New Roman" w:eastAsia="Calibri" w:hAnsi="Times New Roman" w:cs="Times New Roman"/>
          <w:b/>
          <w:sz w:val="24"/>
          <w:szCs w:val="24"/>
        </w:rPr>
        <w:t xml:space="preserve">/vit): </w:t>
      </w:r>
      <w:r w:rsidRPr="00156799">
        <w:rPr>
          <w:rFonts w:ascii="Times New Roman" w:eastAsia="Times New Roman" w:hAnsi="Times New Roman" w:cs="Times New Roman"/>
          <w:b/>
          <w:bCs/>
          <w:sz w:val="24"/>
          <w:szCs w:val="24"/>
          <w:lang w:eastAsia="en-GB"/>
        </w:rPr>
        <w:t>1358449 m</w:t>
      </w:r>
      <w:r w:rsidRPr="00156799">
        <w:rPr>
          <w:rFonts w:ascii="Times New Roman" w:eastAsia="Times New Roman" w:hAnsi="Times New Roman" w:cs="Times New Roman"/>
          <w:b/>
          <w:bCs/>
          <w:sz w:val="24"/>
          <w:szCs w:val="24"/>
          <w:vertAlign w:val="superscript"/>
          <w:lang w:eastAsia="en-GB"/>
        </w:rPr>
        <w:t>3</w:t>
      </w:r>
      <w:r w:rsidRPr="00156799">
        <w:rPr>
          <w:rFonts w:ascii="Times New Roman" w:eastAsia="Times New Roman" w:hAnsi="Times New Roman" w:cs="Times New Roman"/>
          <w:b/>
          <w:bCs/>
          <w:sz w:val="24"/>
          <w:szCs w:val="24"/>
          <w:lang w:eastAsia="en-GB"/>
        </w:rPr>
        <w:t>/vit (602667+395267+360515).</w:t>
      </w:r>
    </w:p>
    <w:p w:rsidR="00236F04" w:rsidRPr="00AF0E6E" w:rsidRDefault="00236F04" w:rsidP="00807975">
      <w:pPr>
        <w:pStyle w:val="ListParagraph"/>
        <w:numPr>
          <w:ilvl w:val="0"/>
          <w:numId w:val="112"/>
        </w:numPr>
        <w:spacing w:after="0" w:line="240" w:lineRule="auto"/>
        <w:jc w:val="both"/>
        <w:rPr>
          <w:rFonts w:ascii="Times New Roman" w:eastAsia="Calibri" w:hAnsi="Times New Roman" w:cs="Times New Roman"/>
          <w:b/>
          <w:bCs/>
          <w:sz w:val="24"/>
          <w:szCs w:val="24"/>
        </w:rPr>
      </w:pPr>
      <w:r w:rsidRPr="00AF0E6E">
        <w:rPr>
          <w:rFonts w:ascii="Times New Roman" w:eastAsia="Calibri" w:hAnsi="Times New Roman" w:cs="Times New Roman"/>
          <w:b/>
          <w:bCs/>
          <w:sz w:val="24"/>
          <w:szCs w:val="24"/>
        </w:rPr>
        <w:t>Rritja vjetore në pyje sipas llojeve.</w:t>
      </w:r>
    </w:p>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Mbështetur në të dhënat që disponon AKP-ja: si dhe të</w:t>
      </w:r>
      <w:r w:rsidR="00D81137">
        <w:rPr>
          <w:rFonts w:ascii="Times New Roman" w:eastAsia="Calibri" w:hAnsi="Times New Roman" w:cs="Times New Roman"/>
          <w:sz w:val="24"/>
          <w:szCs w:val="24"/>
        </w:rPr>
        <w:t xml:space="preserve"> </w:t>
      </w:r>
      <w:r w:rsidRPr="00236F04">
        <w:rPr>
          <w:rFonts w:ascii="Times New Roman" w:eastAsia="Calibri" w:hAnsi="Times New Roman" w:cs="Times New Roman"/>
          <w:sz w:val="24"/>
          <w:szCs w:val="24"/>
        </w:rPr>
        <w:t>dhënat e kadastrës dhe ato të studimeve të kryera nuk ka të dhëna të plota për rritjen vjetore të secilit lloj pyjor, kjo është e lidhur edhe me mungesën e hartimit të planeve të menaxhimit të pyjeve dhe kullotave në shkallë kombëtare.</w:t>
      </w:r>
    </w:p>
    <w:p w:rsidR="00236F04" w:rsidRPr="00236F04" w:rsidRDefault="00236F04" w:rsidP="00236F04">
      <w:pPr>
        <w:spacing w:after="0" w:line="240" w:lineRule="auto"/>
        <w:jc w:val="both"/>
        <w:rPr>
          <w:rFonts w:ascii="Times New Roman" w:eastAsia="Times New Roman" w:hAnsi="Times New Roman" w:cs="Times New Roman"/>
          <w:color w:val="1D2228"/>
          <w:sz w:val="24"/>
          <w:szCs w:val="24"/>
        </w:rPr>
      </w:pPr>
    </w:p>
    <w:p w:rsidR="00236F04" w:rsidRPr="00AF0E6E" w:rsidRDefault="00236F04" w:rsidP="00807975">
      <w:pPr>
        <w:pStyle w:val="ListParagraph"/>
        <w:numPr>
          <w:ilvl w:val="0"/>
          <w:numId w:val="113"/>
        </w:numPr>
        <w:spacing w:after="0" w:line="240" w:lineRule="auto"/>
        <w:jc w:val="both"/>
        <w:rPr>
          <w:rFonts w:ascii="Times New Roman" w:eastAsia="Calibri" w:hAnsi="Times New Roman" w:cs="Times New Roman"/>
          <w:b/>
          <w:bCs/>
          <w:sz w:val="24"/>
          <w:szCs w:val="24"/>
        </w:rPr>
      </w:pPr>
      <w:r w:rsidRPr="00AF0E6E">
        <w:rPr>
          <w:rFonts w:ascii="Times New Roman" w:eastAsia="Calibri" w:hAnsi="Times New Roman" w:cs="Times New Roman"/>
          <w:b/>
          <w:bCs/>
          <w:sz w:val="24"/>
          <w:szCs w:val="24"/>
        </w:rPr>
        <w:t>Sasia e biomasës në pyje</w:t>
      </w:r>
    </w:p>
    <w:p w:rsidR="00D81137" w:rsidRDefault="00D81137" w:rsidP="00236F04">
      <w:pPr>
        <w:spacing w:after="0" w:line="240" w:lineRule="auto"/>
        <w:jc w:val="both"/>
        <w:rPr>
          <w:rFonts w:ascii="Times New Roman" w:hAnsi="Times New Roman" w:cs="Times New Roman"/>
          <w:sz w:val="24"/>
          <w:szCs w:val="24"/>
          <w:lang w:val="sq-AL" w:eastAsia="de-DE"/>
        </w:rPr>
      </w:pPr>
      <w:r>
        <w:rPr>
          <w:rFonts w:ascii="Times New Roman" w:hAnsi="Times New Roman" w:cs="Times New Roman"/>
          <w:sz w:val="24"/>
          <w:szCs w:val="24"/>
          <w:lang w:val="sq-AL" w:eastAsia="de-DE"/>
        </w:rPr>
        <w:t>Biomasa e pyjeve është një variabël i rendësishëm për vlerësimin e sekuestrimit të</w:t>
      </w:r>
      <w:r w:rsidR="00236F04" w:rsidRPr="00236F04">
        <w:rPr>
          <w:rFonts w:ascii="Times New Roman" w:hAnsi="Times New Roman" w:cs="Times New Roman"/>
          <w:sz w:val="24"/>
          <w:szCs w:val="24"/>
          <w:lang w:val="sq-AL" w:eastAsia="de-DE"/>
        </w:rPr>
        <w:t xml:space="preserve"> karbonit. </w:t>
      </w:r>
    </w:p>
    <w:p w:rsidR="00236F04" w:rsidRPr="00236F04" w:rsidRDefault="00D81137" w:rsidP="00236F04">
      <w:pPr>
        <w:spacing w:after="0" w:line="240" w:lineRule="auto"/>
        <w:jc w:val="both"/>
        <w:rPr>
          <w:rFonts w:ascii="Times New Roman" w:hAnsi="Times New Roman" w:cs="Times New Roman"/>
          <w:sz w:val="24"/>
          <w:szCs w:val="24"/>
          <w:lang w:val="sq-AL" w:eastAsia="de-DE"/>
        </w:rPr>
      </w:pPr>
      <w:r>
        <w:rPr>
          <w:rFonts w:ascii="Times New Roman" w:hAnsi="Times New Roman" w:cs="Times New Roman"/>
          <w:sz w:val="24"/>
          <w:szCs w:val="24"/>
          <w:lang w:val="sq-AL" w:eastAsia="de-DE"/>
        </w:rPr>
        <w:t>Në</w:t>
      </w:r>
      <w:r w:rsidR="00236F04" w:rsidRPr="00236F04">
        <w:rPr>
          <w:rFonts w:ascii="Times New Roman" w:hAnsi="Times New Roman" w:cs="Times New Roman"/>
          <w:sz w:val="24"/>
          <w:szCs w:val="24"/>
          <w:lang w:val="sq-AL" w:eastAsia="de-DE"/>
        </w:rPr>
        <w:t xml:space="preserve"> kuadri</w:t>
      </w:r>
      <w:r>
        <w:rPr>
          <w:rFonts w:ascii="Times New Roman" w:hAnsi="Times New Roman" w:cs="Times New Roman"/>
          <w:sz w:val="24"/>
          <w:szCs w:val="24"/>
          <w:lang w:val="sq-AL" w:eastAsia="de-DE"/>
        </w:rPr>
        <w:t>n e IKPSH nuk janë bërë studime të veçanta për vlerësimin direkt të biomasës. Gjithashtu nuk kane qenë të disponueshme studime të kryera në Shqipëri qe mund të lejonin nxjerrjen e faktorëve të konversionit. Për të vlerësuar me perafërsi biomasën totale të</w:t>
      </w:r>
      <w:r w:rsidR="00236F04" w:rsidRPr="00236F04">
        <w:rPr>
          <w:rFonts w:ascii="Times New Roman" w:hAnsi="Times New Roman" w:cs="Times New Roman"/>
          <w:sz w:val="24"/>
          <w:szCs w:val="24"/>
          <w:lang w:val="sq-AL" w:eastAsia="de-DE"/>
        </w:rPr>
        <w:t xml:space="preserve"> </w:t>
      </w:r>
      <w:r>
        <w:rPr>
          <w:rFonts w:ascii="Times New Roman" w:hAnsi="Times New Roman" w:cs="Times New Roman"/>
          <w:sz w:val="24"/>
          <w:szCs w:val="24"/>
          <w:lang w:val="sq-AL" w:eastAsia="de-DE"/>
        </w:rPr>
        <w:t>pyjeve të Shqipërisë janë përdorur faktorë</w:t>
      </w:r>
      <w:r w:rsidR="00236F04" w:rsidRPr="00236F04">
        <w:rPr>
          <w:rFonts w:ascii="Times New Roman" w:hAnsi="Times New Roman" w:cs="Times New Roman"/>
          <w:sz w:val="24"/>
          <w:szCs w:val="24"/>
          <w:lang w:val="sq-AL" w:eastAsia="de-DE"/>
        </w:rPr>
        <w:t>t e konver</w:t>
      </w:r>
      <w:r>
        <w:rPr>
          <w:rFonts w:ascii="Times New Roman" w:hAnsi="Times New Roman" w:cs="Times New Roman"/>
          <w:sz w:val="24"/>
          <w:szCs w:val="24"/>
          <w:lang w:val="sq-AL" w:eastAsia="de-DE"/>
        </w:rPr>
        <w:t>sionit nga studimet e AUCLAIR në Francë. Për drurë të veçantë funksionet janë</w:t>
      </w:r>
      <w:r w:rsidR="00236F04" w:rsidRPr="00236F04">
        <w:rPr>
          <w:rFonts w:ascii="Times New Roman" w:hAnsi="Times New Roman" w:cs="Times New Roman"/>
          <w:sz w:val="24"/>
          <w:szCs w:val="24"/>
          <w:lang w:val="sq-AL" w:eastAsia="de-DE"/>
        </w:rPr>
        <w:t>:</w:t>
      </w:r>
    </w:p>
    <w:p w:rsidR="00236F04" w:rsidRPr="00236F04" w:rsidRDefault="00D81137" w:rsidP="00236F04">
      <w:pPr>
        <w:spacing w:after="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ab/>
        <w:t xml:space="preserve">B = 0.729*V – 3.3   </w:t>
      </w:r>
      <w:r>
        <w:rPr>
          <w:rFonts w:ascii="Times New Roman" w:eastAsia="Calibri" w:hAnsi="Times New Roman" w:cs="Times New Roman"/>
          <w:sz w:val="24"/>
          <w:szCs w:val="24"/>
          <w:lang w:val="sq-AL"/>
        </w:rPr>
        <w:tab/>
        <w:t>për pyjet e lartë</w:t>
      </w:r>
      <w:r w:rsidR="00236F04" w:rsidRPr="00236F04">
        <w:rPr>
          <w:rFonts w:ascii="Times New Roman" w:eastAsia="Calibri" w:hAnsi="Times New Roman" w:cs="Times New Roman"/>
          <w:sz w:val="24"/>
          <w:szCs w:val="24"/>
          <w:lang w:val="sq-AL"/>
        </w:rPr>
        <w:t xml:space="preserve">, dhe </w:t>
      </w:r>
    </w:p>
    <w:p w:rsidR="00236F04" w:rsidRPr="00236F04" w:rsidRDefault="00D81137" w:rsidP="00236F04">
      <w:pPr>
        <w:spacing w:after="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ab/>
        <w:t xml:space="preserve">B= 0.569*V +7.9 </w:t>
      </w:r>
      <w:r>
        <w:rPr>
          <w:rFonts w:ascii="Times New Roman" w:eastAsia="Calibri" w:hAnsi="Times New Roman" w:cs="Times New Roman"/>
          <w:sz w:val="24"/>
          <w:szCs w:val="24"/>
          <w:lang w:val="sq-AL"/>
        </w:rPr>
        <w:tab/>
        <w:t>pë</w:t>
      </w:r>
      <w:r w:rsidR="00236F04" w:rsidRPr="00236F04">
        <w:rPr>
          <w:rFonts w:ascii="Times New Roman" w:eastAsia="Calibri" w:hAnsi="Times New Roman" w:cs="Times New Roman"/>
          <w:sz w:val="24"/>
          <w:szCs w:val="24"/>
          <w:lang w:val="sq-AL"/>
        </w:rPr>
        <w:t>r cungishtet</w:t>
      </w:r>
    </w:p>
    <w:p w:rsidR="00236F04" w:rsidRPr="00236F04" w:rsidRDefault="00236F04" w:rsidP="00236F04">
      <w:pPr>
        <w:spacing w:after="0" w:line="240" w:lineRule="auto"/>
        <w:jc w:val="both"/>
        <w:rPr>
          <w:rFonts w:ascii="Times New Roman" w:eastAsia="Calibri" w:hAnsi="Times New Roman" w:cs="Times New Roman"/>
          <w:sz w:val="24"/>
          <w:szCs w:val="24"/>
          <w:lang w:val="sq-AL"/>
        </w:rPr>
      </w:pPr>
      <w:r w:rsidRPr="00236F04">
        <w:rPr>
          <w:rFonts w:ascii="Times New Roman" w:eastAsia="Calibri" w:hAnsi="Times New Roman" w:cs="Times New Roman"/>
          <w:sz w:val="24"/>
          <w:szCs w:val="24"/>
          <w:lang w:val="sq-AL"/>
        </w:rPr>
        <w:t>Ku:</w:t>
      </w:r>
      <w:r w:rsidRPr="00236F04">
        <w:rPr>
          <w:rFonts w:ascii="Times New Roman" w:eastAsia="Calibri" w:hAnsi="Times New Roman" w:cs="Times New Roman"/>
          <w:sz w:val="24"/>
          <w:szCs w:val="24"/>
          <w:lang w:val="sq-AL"/>
        </w:rPr>
        <w:tab/>
        <w:t>B= biomasa ne kg</w:t>
      </w:r>
    </w:p>
    <w:p w:rsidR="00236F04" w:rsidRPr="00236F04" w:rsidRDefault="00D81137" w:rsidP="00236F04">
      <w:pPr>
        <w:spacing w:after="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ab/>
        <w:t>V= vëllimi i drurit në</w:t>
      </w:r>
      <w:r w:rsidR="00236F04" w:rsidRPr="00236F04">
        <w:rPr>
          <w:rFonts w:ascii="Times New Roman" w:eastAsia="Calibri" w:hAnsi="Times New Roman" w:cs="Times New Roman"/>
          <w:sz w:val="24"/>
          <w:szCs w:val="24"/>
          <w:lang w:val="sq-AL"/>
        </w:rPr>
        <w:t xml:space="preserve"> dm</w:t>
      </w:r>
      <w:r w:rsidR="00236F04" w:rsidRPr="00D81137">
        <w:rPr>
          <w:rFonts w:ascii="Times New Roman" w:eastAsia="Calibri" w:hAnsi="Times New Roman" w:cs="Times New Roman"/>
          <w:sz w:val="24"/>
          <w:szCs w:val="24"/>
          <w:vertAlign w:val="superscript"/>
          <w:lang w:val="sq-AL"/>
        </w:rPr>
        <w:t>3</w:t>
      </w:r>
      <w:r w:rsidR="00236F04" w:rsidRPr="00236F04">
        <w:rPr>
          <w:rFonts w:ascii="Times New Roman" w:eastAsia="Calibri" w:hAnsi="Times New Roman" w:cs="Times New Roman"/>
          <w:sz w:val="24"/>
          <w:szCs w:val="24"/>
          <w:lang w:val="sq-AL"/>
        </w:rPr>
        <w:t xml:space="preserve"> (deri ne diametrin minimal 7 cm)</w:t>
      </w:r>
    </w:p>
    <w:p w:rsidR="00236F04" w:rsidRPr="00236F04" w:rsidRDefault="00D81137" w:rsidP="00236F04">
      <w:pPr>
        <w:spacing w:after="0" w:line="240" w:lineRule="auto"/>
        <w:jc w:val="both"/>
        <w:rPr>
          <w:rFonts w:ascii="Times New Roman" w:eastAsia="Times New Roman" w:hAnsi="Times New Roman" w:cs="Times New Roman"/>
          <w:bCs/>
          <w:sz w:val="24"/>
          <w:szCs w:val="24"/>
          <w:lang w:val="sq-AL" w:eastAsia="it-IT"/>
        </w:rPr>
      </w:pPr>
      <w:r>
        <w:rPr>
          <w:rFonts w:ascii="Times New Roman" w:eastAsia="Times New Roman" w:hAnsi="Times New Roman" w:cs="Times New Roman"/>
          <w:sz w:val="24"/>
          <w:szCs w:val="24"/>
          <w:lang w:val="sq-AL" w:eastAsia="it-IT"/>
        </w:rPr>
        <w:t>Në</w:t>
      </w:r>
      <w:r w:rsidR="00236F04" w:rsidRPr="00236F04">
        <w:rPr>
          <w:rFonts w:ascii="Times New Roman" w:eastAsia="Times New Roman" w:hAnsi="Times New Roman" w:cs="Times New Roman"/>
          <w:sz w:val="24"/>
          <w:szCs w:val="24"/>
          <w:lang w:val="sq-AL" w:eastAsia="it-IT"/>
        </w:rPr>
        <w:t xml:space="preserve"> inte</w:t>
      </w:r>
      <w:r>
        <w:rPr>
          <w:rFonts w:ascii="Times New Roman" w:eastAsia="Times New Roman" w:hAnsi="Times New Roman" w:cs="Times New Roman"/>
          <w:sz w:val="24"/>
          <w:szCs w:val="24"/>
          <w:lang w:val="sq-AL" w:eastAsia="it-IT"/>
        </w:rPr>
        <w:t>rpretimin e rezultateve duhet të mbahet parasysh që keto shifra nuk janë saktësisht rezultate të</w:t>
      </w:r>
      <w:r w:rsidR="00236F04" w:rsidRPr="00236F04">
        <w:rPr>
          <w:rFonts w:ascii="Times New Roman" w:eastAsia="Times New Roman" w:hAnsi="Times New Roman" w:cs="Times New Roman"/>
          <w:sz w:val="24"/>
          <w:szCs w:val="24"/>
          <w:lang w:val="sq-AL" w:eastAsia="it-IT"/>
        </w:rPr>
        <w:t xml:space="preserve"> in</w:t>
      </w:r>
      <w:r>
        <w:rPr>
          <w:rFonts w:ascii="Times New Roman" w:eastAsia="Times New Roman" w:hAnsi="Times New Roman" w:cs="Times New Roman"/>
          <w:sz w:val="24"/>
          <w:szCs w:val="24"/>
          <w:lang w:val="sq-AL" w:eastAsia="it-IT"/>
        </w:rPr>
        <w:t>ventarizimit, por jane bazuar në vëllimin drusor të</w:t>
      </w:r>
      <w:r w:rsidR="00236F04" w:rsidRPr="00236F04">
        <w:rPr>
          <w:rFonts w:ascii="Times New Roman" w:eastAsia="Times New Roman" w:hAnsi="Times New Roman" w:cs="Times New Roman"/>
          <w:sz w:val="24"/>
          <w:szCs w:val="24"/>
          <w:lang w:val="sq-AL" w:eastAsia="it-IT"/>
        </w:rPr>
        <w:t xml:space="preserve"> nxjer</w:t>
      </w:r>
      <w:r>
        <w:rPr>
          <w:rFonts w:ascii="Times New Roman" w:eastAsia="Times New Roman" w:hAnsi="Times New Roman" w:cs="Times New Roman"/>
          <w:sz w:val="24"/>
          <w:szCs w:val="24"/>
          <w:lang w:val="sq-AL" w:eastAsia="it-IT"/>
        </w:rPr>
        <w:t>re nga inventarizimi i pyjeve në Shqipë</w:t>
      </w:r>
      <w:r w:rsidR="00236F04" w:rsidRPr="00236F04">
        <w:rPr>
          <w:rFonts w:ascii="Times New Roman" w:eastAsia="Times New Roman" w:hAnsi="Times New Roman" w:cs="Times New Roman"/>
          <w:sz w:val="24"/>
          <w:szCs w:val="24"/>
          <w:lang w:val="sq-AL" w:eastAsia="it-IT"/>
        </w:rPr>
        <w:t xml:space="preserve">ri dhe studimet </w:t>
      </w:r>
      <w:r>
        <w:rPr>
          <w:rFonts w:ascii="Times New Roman" w:eastAsia="Times New Roman" w:hAnsi="Times New Roman" w:cs="Times New Roman"/>
          <w:sz w:val="24"/>
          <w:szCs w:val="24"/>
          <w:lang w:val="sq-AL" w:eastAsia="it-IT"/>
        </w:rPr>
        <w:t>nga Franca japin vetëm një vlerësim të biomasë</w:t>
      </w:r>
      <w:r w:rsidR="00236F04" w:rsidRPr="00236F04">
        <w:rPr>
          <w:rFonts w:ascii="Times New Roman" w:eastAsia="Times New Roman" w:hAnsi="Times New Roman" w:cs="Times New Roman"/>
          <w:sz w:val="24"/>
          <w:szCs w:val="24"/>
          <w:lang w:val="sq-AL" w:eastAsia="it-IT"/>
        </w:rPr>
        <w:t>s.  Ndarj</w:t>
      </w:r>
      <w:r>
        <w:rPr>
          <w:rFonts w:ascii="Times New Roman" w:eastAsia="Times New Roman" w:hAnsi="Times New Roman" w:cs="Times New Roman"/>
          <w:sz w:val="24"/>
          <w:szCs w:val="24"/>
          <w:lang w:val="sq-AL" w:eastAsia="it-IT"/>
        </w:rPr>
        <w:t>a e</w:t>
      </w:r>
      <w:r w:rsidR="00156799">
        <w:rPr>
          <w:rFonts w:ascii="Times New Roman" w:eastAsia="Times New Roman" w:hAnsi="Times New Roman" w:cs="Times New Roman"/>
          <w:sz w:val="24"/>
          <w:szCs w:val="24"/>
          <w:lang w:val="sq-AL" w:eastAsia="it-IT"/>
        </w:rPr>
        <w:t xml:space="preserve"> biomasë</w:t>
      </w:r>
      <w:r>
        <w:rPr>
          <w:rFonts w:ascii="Times New Roman" w:eastAsia="Times New Roman" w:hAnsi="Times New Roman" w:cs="Times New Roman"/>
          <w:sz w:val="24"/>
          <w:szCs w:val="24"/>
          <w:lang w:val="sq-AL" w:eastAsia="it-IT"/>
        </w:rPr>
        <w:t>s ne tipet e pyjeve është vetëm nje vlerësim i bazuar në numrin e sipërfaqeve provë qe bien brenda një tipi të dhënë pylli, i cili në disa raste është mjaft i ulë</w:t>
      </w:r>
      <w:r w:rsidR="00236F04" w:rsidRPr="00236F04">
        <w:rPr>
          <w:rFonts w:ascii="Times New Roman" w:eastAsia="Times New Roman" w:hAnsi="Times New Roman" w:cs="Times New Roman"/>
          <w:sz w:val="24"/>
          <w:szCs w:val="24"/>
          <w:lang w:val="sq-AL" w:eastAsia="it-IT"/>
        </w:rPr>
        <w:t>t.</w:t>
      </w:r>
    </w:p>
    <w:p w:rsidR="00236F04" w:rsidRPr="00236F04" w:rsidRDefault="00236F04" w:rsidP="00236F04">
      <w:pPr>
        <w:spacing w:after="0" w:line="240" w:lineRule="auto"/>
        <w:jc w:val="both"/>
        <w:rPr>
          <w:rFonts w:ascii="Times New Roman" w:eastAsia="Calibri" w:hAnsi="Times New Roman" w:cs="Times New Roman"/>
          <w:sz w:val="24"/>
          <w:szCs w:val="24"/>
          <w:lang w:val="sq-AL"/>
        </w:rPr>
      </w:pPr>
    </w:p>
    <w:p w:rsidR="00236F04" w:rsidRPr="00236F04" w:rsidRDefault="00236F04" w:rsidP="00236F04">
      <w:pPr>
        <w:spacing w:after="0" w:line="240" w:lineRule="auto"/>
        <w:jc w:val="both"/>
        <w:rPr>
          <w:rFonts w:ascii="Times New Roman" w:eastAsia="Calibri" w:hAnsi="Times New Roman" w:cs="Times New Roman"/>
          <w:sz w:val="24"/>
          <w:szCs w:val="24"/>
          <w:lang w:val="sq-AL"/>
        </w:rPr>
      </w:pPr>
      <w:r w:rsidRPr="00236F04">
        <w:rPr>
          <w:rFonts w:ascii="Times New Roman" w:eastAsia="Calibri" w:hAnsi="Times New Roman" w:cs="Times New Roman"/>
          <w:sz w:val="24"/>
          <w:szCs w:val="24"/>
          <w:lang w:val="sq-AL"/>
        </w:rPr>
        <w:t>Burimi: t/ha nga punimet</w:t>
      </w:r>
      <w:r w:rsidR="00D81137">
        <w:rPr>
          <w:rFonts w:ascii="Times New Roman" w:eastAsia="Calibri" w:hAnsi="Times New Roman" w:cs="Times New Roman"/>
          <w:sz w:val="24"/>
          <w:szCs w:val="24"/>
          <w:lang w:val="sq-AL"/>
        </w:rPr>
        <w:t xml:space="preserve"> fushore të</w:t>
      </w:r>
      <w:r w:rsidRPr="00236F04">
        <w:rPr>
          <w:rFonts w:ascii="Times New Roman" w:eastAsia="Calibri" w:hAnsi="Times New Roman" w:cs="Times New Roman"/>
          <w:sz w:val="24"/>
          <w:szCs w:val="24"/>
          <w:lang w:val="sq-AL"/>
        </w:rPr>
        <w:t xml:space="preserve"> i</w:t>
      </w:r>
      <w:r w:rsidR="00D81137">
        <w:rPr>
          <w:rFonts w:ascii="Times New Roman" w:eastAsia="Calibri" w:hAnsi="Times New Roman" w:cs="Times New Roman"/>
          <w:sz w:val="24"/>
          <w:szCs w:val="24"/>
          <w:lang w:val="sq-AL"/>
        </w:rPr>
        <w:t>nventarizimit (Volumi/ha) dhe të dhenat e literaturës, sipërfaqja e llogaritur si pë</w:t>
      </w:r>
      <w:r w:rsidR="00261BD4">
        <w:rPr>
          <w:rFonts w:ascii="Times New Roman" w:eastAsia="Calibri" w:hAnsi="Times New Roman" w:cs="Times New Roman"/>
          <w:sz w:val="24"/>
          <w:szCs w:val="24"/>
          <w:lang w:val="sq-AL"/>
        </w:rPr>
        <w:t>rqindje e tipit të pyllit të sipërfaqes provë</w:t>
      </w:r>
      <w:r w:rsidRPr="00236F04">
        <w:rPr>
          <w:rFonts w:ascii="Times New Roman" w:eastAsia="Calibri" w:hAnsi="Times New Roman" w:cs="Times New Roman"/>
          <w:sz w:val="24"/>
          <w:szCs w:val="24"/>
          <w:lang w:val="sq-AL"/>
        </w:rPr>
        <w:t xml:space="preserve"> nga p</w:t>
      </w:r>
      <w:r w:rsidR="00261BD4">
        <w:rPr>
          <w:rFonts w:ascii="Times New Roman" w:eastAsia="Calibri" w:hAnsi="Times New Roman" w:cs="Times New Roman"/>
          <w:sz w:val="24"/>
          <w:szCs w:val="24"/>
          <w:lang w:val="sq-AL"/>
        </w:rPr>
        <w:t>unimet fushore te terrenit, sipë</w:t>
      </w:r>
      <w:r w:rsidRPr="00236F04">
        <w:rPr>
          <w:rFonts w:ascii="Times New Roman" w:eastAsia="Calibri" w:hAnsi="Times New Roman" w:cs="Times New Roman"/>
          <w:sz w:val="24"/>
          <w:szCs w:val="24"/>
          <w:lang w:val="sq-AL"/>
        </w:rPr>
        <w:t>rfaqja pyjore nga SKMT</w:t>
      </w:r>
    </w:p>
    <w:p w:rsidR="00236F04" w:rsidRPr="00236F04" w:rsidRDefault="00236F04" w:rsidP="00236F04">
      <w:pPr>
        <w:spacing w:after="0" w:line="240" w:lineRule="auto"/>
        <w:jc w:val="both"/>
        <w:rPr>
          <w:rFonts w:ascii="Times New Roman" w:eastAsia="Calibri" w:hAnsi="Times New Roman" w:cs="Times New Roman"/>
          <w:sz w:val="24"/>
          <w:szCs w:val="24"/>
          <w:lang w:val="sq-AL"/>
        </w:rPr>
      </w:pPr>
    </w:p>
    <w:p w:rsidR="00236F04" w:rsidRPr="00236F04" w:rsidRDefault="00261BD4" w:rsidP="00236F04">
      <w:pPr>
        <w:spacing w:after="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Biomasa totale e pyjeve është</w:t>
      </w:r>
      <w:r w:rsidR="00236F04" w:rsidRPr="00236F04">
        <w:rPr>
          <w:rFonts w:ascii="Times New Roman" w:eastAsia="Calibri" w:hAnsi="Times New Roman" w:cs="Times New Roman"/>
          <w:sz w:val="24"/>
          <w:szCs w:val="24"/>
          <w:lang w:val="sq-AL"/>
        </w:rPr>
        <w:t xml:space="preserve"> rreth 53 milion</w:t>
      </w:r>
      <w:r>
        <w:rPr>
          <w:rFonts w:ascii="Times New Roman" w:eastAsia="Calibri" w:hAnsi="Times New Roman" w:cs="Times New Roman"/>
          <w:sz w:val="24"/>
          <w:szCs w:val="24"/>
          <w:lang w:val="sq-AL"/>
        </w:rPr>
        <w:t xml:space="preserve"> ton, nga e cila 84 % gjendet në sipërfaqen e pyjeve të larte. Në pyjet e lartë,</w:t>
      </w:r>
      <w:r w:rsidR="00236F04" w:rsidRPr="00236F04">
        <w:rPr>
          <w:rFonts w:ascii="Times New Roman" w:eastAsia="Calibri" w:hAnsi="Times New Roman" w:cs="Times New Roman"/>
          <w:sz w:val="24"/>
          <w:szCs w:val="24"/>
          <w:lang w:val="sq-AL"/>
        </w:rPr>
        <w:t xml:space="preserve"> biomasa </w:t>
      </w:r>
      <w:r>
        <w:rPr>
          <w:rFonts w:ascii="Times New Roman" w:eastAsia="Calibri" w:hAnsi="Times New Roman" w:cs="Times New Roman"/>
          <w:sz w:val="24"/>
          <w:szCs w:val="24"/>
          <w:lang w:val="sq-AL"/>
        </w:rPr>
        <w:t>është</w:t>
      </w:r>
      <w:r w:rsidR="00236F04" w:rsidRPr="00236F04">
        <w:rPr>
          <w:rFonts w:ascii="Times New Roman" w:eastAsia="Calibri" w:hAnsi="Times New Roman" w:cs="Times New Roman"/>
          <w:sz w:val="24"/>
          <w:szCs w:val="24"/>
          <w:lang w:val="sq-AL"/>
        </w:rPr>
        <w:t xml:space="preserve"> 96 t/ha, ne cungishtet 13 t/ha dhe ne siperfaqen me shkurre 0.27 t/ha. Biomasa mesata</w:t>
      </w:r>
      <w:r w:rsidR="00156799">
        <w:rPr>
          <w:rFonts w:ascii="Times New Roman" w:eastAsia="Calibri" w:hAnsi="Times New Roman" w:cs="Times New Roman"/>
          <w:sz w:val="24"/>
          <w:szCs w:val="24"/>
          <w:lang w:val="sq-AL"/>
        </w:rPr>
        <w:t>re pë</w:t>
      </w:r>
      <w:r>
        <w:rPr>
          <w:rFonts w:ascii="Times New Roman" w:eastAsia="Calibri" w:hAnsi="Times New Roman" w:cs="Times New Roman"/>
          <w:sz w:val="24"/>
          <w:szCs w:val="24"/>
          <w:lang w:val="sq-AL"/>
        </w:rPr>
        <w:t>r hektar, e llogaritur për krejt sipë</w:t>
      </w:r>
      <w:r w:rsidR="00236F04" w:rsidRPr="00236F04">
        <w:rPr>
          <w:rFonts w:ascii="Times New Roman" w:eastAsia="Calibri" w:hAnsi="Times New Roman" w:cs="Times New Roman"/>
          <w:sz w:val="24"/>
          <w:szCs w:val="24"/>
          <w:lang w:val="sq-AL"/>
        </w:rPr>
        <w:t>rfaqen e pyjeve eshte 34 t/ha.</w:t>
      </w:r>
    </w:p>
    <w:p w:rsidR="00236F04" w:rsidRPr="00236F04" w:rsidRDefault="00236F04" w:rsidP="00236F04">
      <w:pPr>
        <w:spacing w:after="0" w:line="240" w:lineRule="auto"/>
        <w:jc w:val="both"/>
        <w:rPr>
          <w:rFonts w:ascii="Times New Roman" w:eastAsia="Calibri" w:hAnsi="Times New Roman" w:cs="Times New Roman"/>
          <w:sz w:val="24"/>
          <w:szCs w:val="24"/>
          <w:lang w:val="sq-AL"/>
        </w:rPr>
      </w:pPr>
    </w:p>
    <w:p w:rsidR="00236F04" w:rsidRPr="00AF0E6E" w:rsidRDefault="00236F04" w:rsidP="00807975">
      <w:pPr>
        <w:pStyle w:val="ListParagraph"/>
        <w:keepNext/>
        <w:keepLines/>
        <w:numPr>
          <w:ilvl w:val="0"/>
          <w:numId w:val="114"/>
        </w:numPr>
        <w:spacing w:after="80" w:line="240" w:lineRule="auto"/>
        <w:jc w:val="both"/>
        <w:outlineLvl w:val="0"/>
        <w:rPr>
          <w:rFonts w:ascii="Times New Roman" w:eastAsia="Times New Roman" w:hAnsi="Times New Roman" w:cs="Times New Roman"/>
          <w:b/>
          <w:bCs/>
          <w:sz w:val="24"/>
          <w:szCs w:val="24"/>
        </w:rPr>
      </w:pPr>
      <w:bookmarkStart w:id="50" w:name="_Toc119249326"/>
      <w:bookmarkStart w:id="51" w:name="_Toc157602420"/>
      <w:r w:rsidRPr="00AF0E6E">
        <w:rPr>
          <w:rFonts w:ascii="Times New Roman" w:eastAsia="Times New Roman" w:hAnsi="Times New Roman" w:cs="Times New Roman"/>
          <w:b/>
          <w:bCs/>
          <w:sz w:val="24"/>
          <w:szCs w:val="24"/>
        </w:rPr>
        <w:lastRenderedPageBreak/>
        <w:t>Pyjet dhe kullotat si sekuestrues të karbonit</w:t>
      </w:r>
      <w:bookmarkEnd w:id="50"/>
      <w:bookmarkEnd w:id="51"/>
    </w:p>
    <w:p w:rsidR="00236F04" w:rsidRPr="00236F04" w:rsidRDefault="00236F04" w:rsidP="00236F04">
      <w:pPr>
        <w:spacing w:after="0" w:line="240" w:lineRule="auto"/>
        <w:jc w:val="both"/>
        <w:rPr>
          <w:rFonts w:ascii="Times New Roman" w:eastAsia="Calibri" w:hAnsi="Times New Roman" w:cs="Times New Roman"/>
          <w:sz w:val="24"/>
          <w:szCs w:val="24"/>
          <w:lang w:val="sq-AL"/>
        </w:rPr>
      </w:pPr>
      <w:r w:rsidRPr="00236F04">
        <w:rPr>
          <w:rFonts w:ascii="Times New Roman" w:eastAsia="Calibri" w:hAnsi="Times New Roman" w:cs="Times New Roman"/>
          <w:sz w:val="24"/>
          <w:szCs w:val="24"/>
          <w:lang w:val="sq-AL"/>
        </w:rPr>
        <w:t>Mbështetur në formulat dhe ekuacionet standarte është kryer përllogaritja e biomasës që kanë pyjet dhe kullotat në shkallë vëndi. Po dhe për llogaritjen e sekuestrimit të karbonit u krye llogaritja për karbonin e sekuestruar nga pyjet dhe kullotat si dhe karboni i sekuestruar ne tokë.</w:t>
      </w:r>
    </w:p>
    <w:p w:rsidR="00236F04" w:rsidRPr="00236F04" w:rsidRDefault="00236F04" w:rsidP="00236F04">
      <w:pPr>
        <w:spacing w:after="0" w:line="240" w:lineRule="auto"/>
        <w:jc w:val="both"/>
        <w:rPr>
          <w:rFonts w:ascii="Times New Roman" w:eastAsia="Calibri" w:hAnsi="Times New Roman" w:cs="Times New Roman"/>
          <w:sz w:val="24"/>
          <w:szCs w:val="24"/>
          <w:lang w:val="sq-AL"/>
        </w:rPr>
      </w:pPr>
      <w:r w:rsidRPr="00236F04">
        <w:rPr>
          <w:rFonts w:ascii="Times New Roman" w:eastAsia="Calibri" w:hAnsi="Times New Roman" w:cs="Times New Roman"/>
          <w:sz w:val="24"/>
          <w:szCs w:val="24"/>
          <w:lang w:val="sq-AL"/>
        </w:rPr>
        <w:t>Në mënyrë të detajuar të dhënat</w:t>
      </w:r>
      <w:r w:rsidR="00156799">
        <w:rPr>
          <w:rFonts w:ascii="Times New Roman" w:eastAsia="Calibri" w:hAnsi="Times New Roman" w:cs="Times New Roman"/>
          <w:sz w:val="24"/>
          <w:szCs w:val="24"/>
          <w:lang w:val="sq-AL"/>
        </w:rPr>
        <w:t xml:space="preserve"> e përllogaritura rezultatet jepen në tabelën e mëposht</w:t>
      </w:r>
      <w:r w:rsidRPr="00236F04">
        <w:rPr>
          <w:rFonts w:ascii="Times New Roman" w:eastAsia="Calibri" w:hAnsi="Times New Roman" w:cs="Times New Roman"/>
          <w:sz w:val="24"/>
          <w:szCs w:val="24"/>
          <w:lang w:val="sq-AL"/>
        </w:rPr>
        <w:t>me.</w:t>
      </w:r>
    </w:p>
    <w:p w:rsidR="00236F04" w:rsidRPr="00AF0E6E" w:rsidRDefault="00236F04" w:rsidP="00236F04">
      <w:pPr>
        <w:spacing w:after="0" w:line="240" w:lineRule="auto"/>
        <w:jc w:val="both"/>
        <w:rPr>
          <w:rFonts w:ascii="Times New Roman" w:eastAsia="Calibri" w:hAnsi="Times New Roman" w:cs="Times New Roman"/>
          <w:lang w:val="sq-AL"/>
        </w:rPr>
      </w:pPr>
    </w:p>
    <w:tbl>
      <w:tblPr>
        <w:tblStyle w:val="TableGrid"/>
        <w:tblW w:w="0" w:type="auto"/>
        <w:tblLook w:val="04A0" w:firstRow="1" w:lastRow="0" w:firstColumn="1" w:lastColumn="0" w:noHBand="0" w:noVBand="1"/>
      </w:tblPr>
      <w:tblGrid>
        <w:gridCol w:w="1120"/>
        <w:gridCol w:w="1007"/>
        <w:gridCol w:w="1007"/>
        <w:gridCol w:w="922"/>
        <w:gridCol w:w="934"/>
        <w:gridCol w:w="922"/>
        <w:gridCol w:w="922"/>
        <w:gridCol w:w="831"/>
        <w:gridCol w:w="922"/>
        <w:gridCol w:w="989"/>
      </w:tblGrid>
      <w:tr w:rsidR="00236F04" w:rsidRPr="00236F04" w:rsidTr="00236F04">
        <w:tc>
          <w:tcPr>
            <w:tcW w:w="113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Forma e menaxhimit</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Siperfaqja ne ha</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Siperfaqja ne %</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Volumi ne (m</w:t>
            </w:r>
            <w:r w:rsidRPr="00236F04">
              <w:rPr>
                <w:rFonts w:ascii="Times New Roman" w:eastAsia="Calibri" w:hAnsi="Times New Roman" w:cs="Times New Roman"/>
                <w:sz w:val="18"/>
                <w:vertAlign w:val="superscript"/>
              </w:rPr>
              <w:t>3</w:t>
            </w:r>
            <w:r w:rsidRPr="00236F04">
              <w:rPr>
                <w:rFonts w:ascii="Times New Roman" w:eastAsia="Calibri" w:hAnsi="Times New Roman" w:cs="Times New Roman"/>
                <w:sz w:val="18"/>
              </w:rPr>
              <w:t>)</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Times New Roman" w:hAnsi="Times New Roman" w:cs="Times New Roman"/>
                <w:color w:val="000000"/>
                <w:sz w:val="18"/>
              </w:rPr>
              <w:t>Bt = 0.729*V-3.3 (t); Bc = 0.569*V +7.9 (t)</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Ton C</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Ton C</w:t>
            </w:r>
            <w:r w:rsidRPr="00236F04">
              <w:rPr>
                <w:rFonts w:ascii="Times New Roman" w:eastAsia="Calibri" w:hAnsi="Times New Roman" w:cs="Times New Roman"/>
                <w:sz w:val="18"/>
                <w:vertAlign w:val="subscript"/>
              </w:rPr>
              <w:t>O2</w:t>
            </w:r>
          </w:p>
        </w:tc>
        <w:tc>
          <w:tcPr>
            <w:tcW w:w="847"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Karbon ne toke (ton/ha)</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 xml:space="preserve">Karbon ne toke </w:t>
            </w:r>
          </w:p>
        </w:tc>
        <w:tc>
          <w:tcPr>
            <w:tcW w:w="1038"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 xml:space="preserve">Total </w:t>
            </w:r>
          </w:p>
        </w:tc>
      </w:tr>
      <w:tr w:rsidR="00236F04" w:rsidRPr="00236F04" w:rsidTr="00236F04">
        <w:trPr>
          <w:trHeight w:val="116"/>
        </w:trPr>
        <w:tc>
          <w:tcPr>
            <w:tcW w:w="113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1</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2</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3</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4</w:t>
            </w:r>
          </w:p>
        </w:tc>
        <w:tc>
          <w:tcPr>
            <w:tcW w:w="946" w:type="dxa"/>
          </w:tcPr>
          <w:p w:rsidR="00236F04" w:rsidRPr="00236F04" w:rsidRDefault="00236F04" w:rsidP="00236F04">
            <w:pPr>
              <w:jc w:val="both"/>
              <w:rPr>
                <w:rFonts w:ascii="Times New Roman" w:eastAsia="Times New Roman" w:hAnsi="Times New Roman" w:cs="Times New Roman"/>
                <w:color w:val="000000"/>
                <w:sz w:val="18"/>
              </w:rPr>
            </w:pPr>
            <w:r w:rsidRPr="00236F04">
              <w:rPr>
                <w:rFonts w:ascii="Times New Roman" w:eastAsia="Times New Roman" w:hAnsi="Times New Roman" w:cs="Times New Roman"/>
                <w:color w:val="000000"/>
                <w:sz w:val="18"/>
              </w:rPr>
              <w:t>5</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6</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7</w:t>
            </w:r>
          </w:p>
        </w:tc>
        <w:tc>
          <w:tcPr>
            <w:tcW w:w="847"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8</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9</w:t>
            </w:r>
          </w:p>
        </w:tc>
        <w:tc>
          <w:tcPr>
            <w:tcW w:w="1038"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10</w:t>
            </w:r>
          </w:p>
        </w:tc>
      </w:tr>
      <w:tr w:rsidR="00236F04" w:rsidRPr="00236F04" w:rsidTr="00236F04">
        <w:tc>
          <w:tcPr>
            <w:tcW w:w="1136" w:type="dxa"/>
          </w:tcPr>
          <w:p w:rsidR="00236F04" w:rsidRPr="00236F04" w:rsidRDefault="00236F04" w:rsidP="00236F04">
            <w:pPr>
              <w:jc w:val="both"/>
              <w:rPr>
                <w:rFonts w:ascii="Times New Roman" w:eastAsia="Calibri" w:hAnsi="Times New Roman" w:cs="Times New Roman"/>
                <w:sz w:val="14"/>
                <w:szCs w:val="18"/>
              </w:rPr>
            </w:pPr>
            <w:r w:rsidRPr="00236F04">
              <w:rPr>
                <w:rFonts w:ascii="Times New Roman" w:eastAsia="Calibri" w:hAnsi="Times New Roman" w:cs="Times New Roman"/>
                <w:sz w:val="14"/>
                <w:szCs w:val="18"/>
              </w:rPr>
              <w:t>Trungishte Fletore</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235100</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13.8</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27475582</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20029696</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10014848</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36654344</w:t>
            </w:r>
          </w:p>
        </w:tc>
        <w:tc>
          <w:tcPr>
            <w:tcW w:w="847"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75.48</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17745348</w:t>
            </w:r>
          </w:p>
        </w:tc>
        <w:tc>
          <w:tcPr>
            <w:tcW w:w="1038"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27760196</w:t>
            </w:r>
          </w:p>
        </w:tc>
      </w:tr>
      <w:tr w:rsidR="00236F04" w:rsidRPr="00236F04" w:rsidTr="00236F04">
        <w:tc>
          <w:tcPr>
            <w:tcW w:w="1136" w:type="dxa"/>
          </w:tcPr>
          <w:p w:rsidR="00236F04" w:rsidRPr="00236F04" w:rsidRDefault="00236F04" w:rsidP="00236F04">
            <w:pPr>
              <w:jc w:val="both"/>
              <w:rPr>
                <w:rFonts w:ascii="Times New Roman" w:eastAsia="Calibri" w:hAnsi="Times New Roman" w:cs="Times New Roman"/>
                <w:sz w:val="14"/>
                <w:szCs w:val="18"/>
              </w:rPr>
            </w:pPr>
            <w:r w:rsidRPr="00236F04">
              <w:rPr>
                <w:rFonts w:ascii="Times New Roman" w:eastAsia="Calibri" w:hAnsi="Times New Roman" w:cs="Times New Roman"/>
                <w:sz w:val="14"/>
                <w:szCs w:val="18"/>
              </w:rPr>
              <w:t>Trungishte Halore</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152841</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9.0</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14925358</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10880583</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5440291</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19911466</w:t>
            </w:r>
          </w:p>
        </w:tc>
        <w:tc>
          <w:tcPr>
            <w:tcW w:w="847"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13.87</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2119905</w:t>
            </w:r>
          </w:p>
        </w:tc>
        <w:tc>
          <w:tcPr>
            <w:tcW w:w="1038"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7560196</w:t>
            </w:r>
          </w:p>
        </w:tc>
      </w:tr>
      <w:tr w:rsidR="00236F04" w:rsidRPr="00236F04" w:rsidTr="00236F04">
        <w:tc>
          <w:tcPr>
            <w:tcW w:w="1136" w:type="dxa"/>
          </w:tcPr>
          <w:p w:rsidR="00236F04" w:rsidRPr="00236F04" w:rsidRDefault="00236F04" w:rsidP="00236F04">
            <w:pPr>
              <w:jc w:val="both"/>
              <w:rPr>
                <w:rFonts w:ascii="Times New Roman" w:eastAsia="Calibri" w:hAnsi="Times New Roman" w:cs="Times New Roman"/>
                <w:sz w:val="14"/>
                <w:szCs w:val="18"/>
              </w:rPr>
            </w:pPr>
            <w:r w:rsidRPr="00236F04">
              <w:rPr>
                <w:rFonts w:ascii="Times New Roman" w:eastAsia="Calibri" w:hAnsi="Times New Roman" w:cs="Times New Roman"/>
                <w:sz w:val="14"/>
                <w:szCs w:val="18"/>
              </w:rPr>
              <w:t>Cungishte</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552989</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34.4</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10032155</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5708304</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2854152</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10446196</w:t>
            </w:r>
          </w:p>
        </w:tc>
        <w:tc>
          <w:tcPr>
            <w:tcW w:w="847"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75.48</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41739610</w:t>
            </w:r>
          </w:p>
        </w:tc>
        <w:tc>
          <w:tcPr>
            <w:tcW w:w="1038"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44593762</w:t>
            </w:r>
          </w:p>
        </w:tc>
      </w:tr>
      <w:tr w:rsidR="00236F04" w:rsidRPr="00236F04" w:rsidTr="00236F04">
        <w:tc>
          <w:tcPr>
            <w:tcW w:w="1136" w:type="dxa"/>
          </w:tcPr>
          <w:p w:rsidR="00236F04" w:rsidRPr="00236F04" w:rsidRDefault="00236F04" w:rsidP="00236F04">
            <w:pPr>
              <w:jc w:val="both"/>
              <w:rPr>
                <w:rFonts w:ascii="Times New Roman" w:eastAsia="Calibri" w:hAnsi="Times New Roman" w:cs="Times New Roman"/>
                <w:sz w:val="14"/>
                <w:szCs w:val="18"/>
              </w:rPr>
            </w:pPr>
            <w:r w:rsidRPr="00236F04">
              <w:rPr>
                <w:rFonts w:ascii="Times New Roman" w:eastAsia="Calibri" w:hAnsi="Times New Roman" w:cs="Times New Roman"/>
                <w:sz w:val="14"/>
                <w:szCs w:val="18"/>
              </w:rPr>
              <w:t>Shkurre</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256328</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13.0</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5297436</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3014249</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1507124</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5516075</w:t>
            </w:r>
          </w:p>
        </w:tc>
        <w:tc>
          <w:tcPr>
            <w:tcW w:w="847"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65.13</w:t>
            </w:r>
          </w:p>
        </w:tc>
        <w:tc>
          <w:tcPr>
            <w:tcW w:w="946"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16694643</w:t>
            </w:r>
          </w:p>
        </w:tc>
        <w:tc>
          <w:tcPr>
            <w:tcW w:w="1038" w:type="dxa"/>
          </w:tcPr>
          <w:p w:rsidR="00236F04" w:rsidRPr="00236F04" w:rsidRDefault="00236F04" w:rsidP="00236F04">
            <w:pPr>
              <w:jc w:val="both"/>
              <w:rPr>
                <w:rFonts w:ascii="Times New Roman" w:eastAsia="Calibri" w:hAnsi="Times New Roman" w:cs="Times New Roman"/>
                <w:sz w:val="16"/>
                <w:szCs w:val="20"/>
              </w:rPr>
            </w:pPr>
            <w:r w:rsidRPr="00236F04">
              <w:rPr>
                <w:rFonts w:ascii="Times New Roman" w:eastAsia="Calibri" w:hAnsi="Times New Roman" w:cs="Times New Roman"/>
                <w:sz w:val="16"/>
                <w:szCs w:val="20"/>
              </w:rPr>
              <w:t>18201767</w:t>
            </w:r>
          </w:p>
        </w:tc>
      </w:tr>
      <w:tr w:rsidR="00236F04" w:rsidRPr="00236F04" w:rsidTr="00236F04">
        <w:tc>
          <w:tcPr>
            <w:tcW w:w="1136" w:type="dxa"/>
          </w:tcPr>
          <w:p w:rsidR="00236F04" w:rsidRPr="00236F04" w:rsidRDefault="00236F04" w:rsidP="00236F04">
            <w:pPr>
              <w:jc w:val="both"/>
              <w:rPr>
                <w:rFonts w:ascii="Times New Roman" w:eastAsia="Calibri" w:hAnsi="Times New Roman" w:cs="Times New Roman"/>
                <w:sz w:val="14"/>
                <w:szCs w:val="18"/>
              </w:rPr>
            </w:pPr>
            <w:r w:rsidRPr="00236F04">
              <w:rPr>
                <w:rFonts w:ascii="Times New Roman" w:eastAsia="Calibri" w:hAnsi="Times New Roman" w:cs="Times New Roman"/>
                <w:sz w:val="14"/>
                <w:szCs w:val="18"/>
              </w:rPr>
              <w:t>Rangelands</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30781</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2.2</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77555</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44137</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22068</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80770</w:t>
            </w:r>
          </w:p>
        </w:tc>
        <w:tc>
          <w:tcPr>
            <w:tcW w:w="847"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10.5</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323201</w:t>
            </w:r>
          </w:p>
        </w:tc>
        <w:tc>
          <w:tcPr>
            <w:tcW w:w="1038"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345269</w:t>
            </w:r>
          </w:p>
        </w:tc>
      </w:tr>
      <w:tr w:rsidR="00236F04" w:rsidRPr="00236F04" w:rsidTr="00236F04">
        <w:tc>
          <w:tcPr>
            <w:tcW w:w="1136" w:type="dxa"/>
          </w:tcPr>
          <w:p w:rsidR="00236F04" w:rsidRPr="00236F04" w:rsidRDefault="00236F04" w:rsidP="00236F04">
            <w:pPr>
              <w:jc w:val="both"/>
              <w:rPr>
                <w:rFonts w:ascii="Times New Roman" w:eastAsia="Calibri" w:hAnsi="Times New Roman" w:cs="Times New Roman"/>
                <w:sz w:val="14"/>
                <w:szCs w:val="18"/>
              </w:rPr>
            </w:pPr>
            <w:r w:rsidRPr="00236F04">
              <w:rPr>
                <w:rFonts w:ascii="Times New Roman" w:eastAsia="Calibri" w:hAnsi="Times New Roman" w:cs="Times New Roman"/>
                <w:sz w:val="14"/>
                <w:szCs w:val="18"/>
              </w:rPr>
              <w:t>Kullota verore</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438889</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26.2</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164587</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119981</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59990</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219565</w:t>
            </w:r>
          </w:p>
        </w:tc>
        <w:tc>
          <w:tcPr>
            <w:tcW w:w="847"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5.0</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2194445</w:t>
            </w:r>
          </w:p>
        </w:tc>
        <w:tc>
          <w:tcPr>
            <w:tcW w:w="1038"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2254435</w:t>
            </w:r>
          </w:p>
        </w:tc>
      </w:tr>
      <w:tr w:rsidR="00236F04" w:rsidRPr="00236F04" w:rsidTr="00236F04">
        <w:tc>
          <w:tcPr>
            <w:tcW w:w="1136" w:type="dxa"/>
          </w:tcPr>
          <w:p w:rsidR="00236F04" w:rsidRPr="00236F04" w:rsidRDefault="00236F04" w:rsidP="00236F04">
            <w:pPr>
              <w:jc w:val="both"/>
              <w:rPr>
                <w:rFonts w:ascii="Times New Roman" w:eastAsia="Calibri" w:hAnsi="Times New Roman" w:cs="Times New Roman"/>
                <w:sz w:val="14"/>
                <w:szCs w:val="18"/>
              </w:rPr>
            </w:pPr>
            <w:r w:rsidRPr="00236F04">
              <w:rPr>
                <w:rFonts w:ascii="Times New Roman" w:eastAsia="Calibri" w:hAnsi="Times New Roman" w:cs="Times New Roman"/>
                <w:sz w:val="14"/>
                <w:szCs w:val="18"/>
              </w:rPr>
              <w:t>Kullota dimerore</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36618</w:t>
            </w:r>
          </w:p>
        </w:tc>
        <w:tc>
          <w:tcPr>
            <w:tcW w:w="102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1.4</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49263</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28039</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14019</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51311</w:t>
            </w:r>
          </w:p>
        </w:tc>
        <w:tc>
          <w:tcPr>
            <w:tcW w:w="847"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5.0</w:t>
            </w:r>
          </w:p>
        </w:tc>
        <w:tc>
          <w:tcPr>
            <w:tcW w:w="94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183090</w:t>
            </w:r>
          </w:p>
        </w:tc>
        <w:tc>
          <w:tcPr>
            <w:tcW w:w="1038"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197109</w:t>
            </w:r>
          </w:p>
        </w:tc>
      </w:tr>
      <w:tr w:rsidR="00236F04" w:rsidRPr="00236F04" w:rsidTr="00236F04">
        <w:tc>
          <w:tcPr>
            <w:tcW w:w="1136" w:type="dxa"/>
          </w:tcPr>
          <w:p w:rsidR="00236F04" w:rsidRPr="00236F04" w:rsidRDefault="00236F04" w:rsidP="00236F04">
            <w:pPr>
              <w:jc w:val="both"/>
              <w:rPr>
                <w:rFonts w:ascii="Times New Roman" w:eastAsia="Calibri" w:hAnsi="Times New Roman" w:cs="Times New Roman"/>
                <w:sz w:val="18"/>
              </w:rPr>
            </w:pPr>
            <w:r w:rsidRPr="00236F04">
              <w:rPr>
                <w:rFonts w:ascii="Times New Roman" w:eastAsia="Calibri" w:hAnsi="Times New Roman" w:cs="Times New Roman"/>
                <w:sz w:val="18"/>
              </w:rPr>
              <w:t>Totali</w:t>
            </w:r>
          </w:p>
        </w:tc>
        <w:tc>
          <w:tcPr>
            <w:tcW w:w="1026" w:type="dxa"/>
          </w:tcPr>
          <w:p w:rsidR="00236F04" w:rsidRPr="00236F04" w:rsidRDefault="00236F04" w:rsidP="00236F04">
            <w:pPr>
              <w:jc w:val="both"/>
              <w:rPr>
                <w:rFonts w:ascii="Times New Roman" w:eastAsia="Calibri" w:hAnsi="Times New Roman" w:cs="Times New Roman"/>
                <w:sz w:val="14"/>
                <w:szCs w:val="18"/>
              </w:rPr>
            </w:pPr>
            <w:r w:rsidRPr="00236F04">
              <w:rPr>
                <w:rFonts w:ascii="Times New Roman" w:eastAsia="Calibri" w:hAnsi="Times New Roman" w:cs="Times New Roman"/>
                <w:sz w:val="14"/>
                <w:szCs w:val="18"/>
              </w:rPr>
              <w:t>1703546</w:t>
            </w:r>
          </w:p>
        </w:tc>
        <w:tc>
          <w:tcPr>
            <w:tcW w:w="1026" w:type="dxa"/>
          </w:tcPr>
          <w:p w:rsidR="00236F04" w:rsidRPr="00236F04" w:rsidRDefault="00236F04" w:rsidP="00236F04">
            <w:pPr>
              <w:jc w:val="both"/>
              <w:rPr>
                <w:rFonts w:ascii="Times New Roman" w:eastAsia="Calibri" w:hAnsi="Times New Roman" w:cs="Times New Roman"/>
                <w:sz w:val="14"/>
                <w:szCs w:val="18"/>
              </w:rPr>
            </w:pPr>
            <w:r w:rsidRPr="00236F04">
              <w:rPr>
                <w:rFonts w:ascii="Times New Roman" w:eastAsia="Calibri" w:hAnsi="Times New Roman" w:cs="Times New Roman"/>
                <w:sz w:val="14"/>
                <w:szCs w:val="18"/>
              </w:rPr>
              <w:t>100.0</w:t>
            </w:r>
          </w:p>
        </w:tc>
        <w:tc>
          <w:tcPr>
            <w:tcW w:w="946" w:type="dxa"/>
          </w:tcPr>
          <w:p w:rsidR="00236F04" w:rsidRPr="00236F04" w:rsidRDefault="00236F04" w:rsidP="00236F04">
            <w:pPr>
              <w:jc w:val="both"/>
              <w:rPr>
                <w:rFonts w:ascii="Times New Roman" w:eastAsia="Calibri" w:hAnsi="Times New Roman" w:cs="Times New Roman"/>
                <w:sz w:val="14"/>
                <w:szCs w:val="18"/>
              </w:rPr>
            </w:pPr>
            <w:r w:rsidRPr="00236F04">
              <w:rPr>
                <w:rFonts w:ascii="Times New Roman" w:eastAsia="Calibri" w:hAnsi="Times New Roman" w:cs="Times New Roman"/>
                <w:sz w:val="14"/>
                <w:szCs w:val="18"/>
              </w:rPr>
              <w:t>58021936</w:t>
            </w:r>
          </w:p>
        </w:tc>
        <w:tc>
          <w:tcPr>
            <w:tcW w:w="946" w:type="dxa"/>
          </w:tcPr>
          <w:p w:rsidR="00236F04" w:rsidRPr="00236F04" w:rsidRDefault="00236F04" w:rsidP="00236F04">
            <w:pPr>
              <w:jc w:val="both"/>
              <w:rPr>
                <w:rFonts w:ascii="Times New Roman" w:eastAsia="Calibri" w:hAnsi="Times New Roman" w:cs="Times New Roman"/>
                <w:sz w:val="14"/>
                <w:szCs w:val="18"/>
              </w:rPr>
            </w:pPr>
            <w:r w:rsidRPr="00236F04">
              <w:rPr>
                <w:rFonts w:ascii="Times New Roman" w:eastAsia="Calibri" w:hAnsi="Times New Roman" w:cs="Times New Roman"/>
                <w:sz w:val="14"/>
                <w:szCs w:val="18"/>
              </w:rPr>
              <w:t>39824987</w:t>
            </w:r>
          </w:p>
        </w:tc>
        <w:tc>
          <w:tcPr>
            <w:tcW w:w="946" w:type="dxa"/>
          </w:tcPr>
          <w:p w:rsidR="00236F04" w:rsidRPr="00236F04" w:rsidRDefault="00236F04" w:rsidP="00236F04">
            <w:pPr>
              <w:jc w:val="both"/>
              <w:rPr>
                <w:rFonts w:ascii="Times New Roman" w:eastAsia="Calibri" w:hAnsi="Times New Roman" w:cs="Times New Roman"/>
                <w:sz w:val="14"/>
                <w:szCs w:val="18"/>
              </w:rPr>
            </w:pPr>
            <w:r w:rsidRPr="00236F04">
              <w:rPr>
                <w:rFonts w:ascii="Times New Roman" w:eastAsia="Calibri" w:hAnsi="Times New Roman" w:cs="Times New Roman"/>
                <w:sz w:val="14"/>
                <w:szCs w:val="18"/>
              </w:rPr>
              <w:t>19912494</w:t>
            </w:r>
          </w:p>
        </w:tc>
        <w:tc>
          <w:tcPr>
            <w:tcW w:w="946" w:type="dxa"/>
          </w:tcPr>
          <w:p w:rsidR="00236F04" w:rsidRPr="00236F04" w:rsidRDefault="00236F04" w:rsidP="00236F04">
            <w:pPr>
              <w:jc w:val="both"/>
              <w:rPr>
                <w:rFonts w:ascii="Times New Roman" w:eastAsia="Calibri" w:hAnsi="Times New Roman" w:cs="Times New Roman"/>
                <w:sz w:val="14"/>
                <w:szCs w:val="18"/>
              </w:rPr>
            </w:pPr>
            <w:r w:rsidRPr="00236F04">
              <w:rPr>
                <w:rFonts w:ascii="Times New Roman" w:eastAsia="Calibri" w:hAnsi="Times New Roman" w:cs="Times New Roman"/>
                <w:sz w:val="14"/>
                <w:szCs w:val="18"/>
              </w:rPr>
              <w:t>72879727</w:t>
            </w:r>
          </w:p>
        </w:tc>
        <w:tc>
          <w:tcPr>
            <w:tcW w:w="847" w:type="dxa"/>
          </w:tcPr>
          <w:p w:rsidR="00236F04" w:rsidRPr="00236F04" w:rsidRDefault="00236F04" w:rsidP="00236F04">
            <w:pPr>
              <w:jc w:val="both"/>
              <w:rPr>
                <w:rFonts w:ascii="Times New Roman" w:eastAsia="Calibri" w:hAnsi="Times New Roman" w:cs="Times New Roman"/>
                <w:sz w:val="14"/>
                <w:szCs w:val="18"/>
              </w:rPr>
            </w:pPr>
          </w:p>
        </w:tc>
        <w:tc>
          <w:tcPr>
            <w:tcW w:w="946" w:type="dxa"/>
          </w:tcPr>
          <w:p w:rsidR="00236F04" w:rsidRPr="00236F04" w:rsidRDefault="00236F04" w:rsidP="00236F04">
            <w:pPr>
              <w:jc w:val="both"/>
              <w:rPr>
                <w:rFonts w:ascii="Times New Roman" w:eastAsia="Calibri" w:hAnsi="Times New Roman" w:cs="Times New Roman"/>
                <w:sz w:val="14"/>
                <w:szCs w:val="18"/>
              </w:rPr>
            </w:pPr>
            <w:r w:rsidRPr="00236F04">
              <w:rPr>
                <w:rFonts w:ascii="Times New Roman" w:eastAsia="Calibri" w:hAnsi="Times New Roman" w:cs="Times New Roman"/>
                <w:sz w:val="14"/>
                <w:szCs w:val="18"/>
              </w:rPr>
              <w:t>81000241</w:t>
            </w:r>
          </w:p>
        </w:tc>
        <w:tc>
          <w:tcPr>
            <w:tcW w:w="1038" w:type="dxa"/>
          </w:tcPr>
          <w:p w:rsidR="00236F04" w:rsidRPr="00236F04" w:rsidRDefault="00236F04" w:rsidP="00236F04">
            <w:pPr>
              <w:jc w:val="both"/>
              <w:rPr>
                <w:rFonts w:ascii="Times New Roman" w:eastAsia="Calibri" w:hAnsi="Times New Roman" w:cs="Times New Roman"/>
                <w:sz w:val="14"/>
                <w:szCs w:val="18"/>
              </w:rPr>
            </w:pPr>
            <w:r w:rsidRPr="00236F04">
              <w:rPr>
                <w:rFonts w:ascii="Times New Roman" w:eastAsia="Calibri" w:hAnsi="Times New Roman" w:cs="Times New Roman"/>
                <w:sz w:val="14"/>
                <w:szCs w:val="18"/>
              </w:rPr>
              <w:t>100912734</w:t>
            </w:r>
          </w:p>
        </w:tc>
      </w:tr>
    </w:tbl>
    <w:p w:rsidR="00236F04" w:rsidRPr="00236F04" w:rsidRDefault="00236F04" w:rsidP="00236F04">
      <w:pPr>
        <w:spacing w:after="0" w:line="240" w:lineRule="auto"/>
        <w:jc w:val="both"/>
        <w:rPr>
          <w:rFonts w:ascii="Times New Roman" w:eastAsia="Calibri" w:hAnsi="Times New Roman" w:cs="Times New Roman"/>
          <w:sz w:val="24"/>
          <w:szCs w:val="24"/>
        </w:rPr>
      </w:pPr>
    </w:p>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Pyjet janë ekosistem i madh i kapjes së karbonit. Sasia e karbonit stokohet jo vetëm në pyll, tokë, por edhe në produktet drusore. Nga llogaritjet rezultoi se sasia e C e stokuar në pyjet në Shqipëri është 100.9 milion ton C dhe 80% e kësaj sasie ekuivalente me 81 milion ton C stokohet në tokat pyjore dhe 20% (19.9 milion ton C) stokohet në biomasën pyjore. </w:t>
      </w:r>
    </w:p>
    <w:p w:rsidR="00236F04" w:rsidRPr="00236F04" w:rsidRDefault="00643B38" w:rsidP="00236F0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236F04" w:rsidRPr="00236F04">
        <w:rPr>
          <w:rFonts w:ascii="Times New Roman" w:eastAsia="Calibri" w:hAnsi="Times New Roman" w:cs="Times New Roman"/>
          <w:sz w:val="24"/>
          <w:szCs w:val="24"/>
        </w:rPr>
        <w:t>yjet trungishte japin kontributin kryesor në stokimin e C me 78% e ndjekur nga cungishtet që stokojnë rreth 14% të sasisë së C dhe vetëm 8% e C stokohet nga</w:t>
      </w:r>
      <w:r w:rsidR="00236F04" w:rsidRPr="00236F04">
        <w:rPr>
          <w:rFonts w:ascii="Times New Roman" w:eastAsia="Calibri" w:hAnsi="Times New Roman" w:cs="Times New Roman"/>
          <w:sz w:val="24"/>
          <w:szCs w:val="24"/>
          <w:u w:val="single"/>
        </w:rPr>
        <w:t xml:space="preserve"> </w:t>
      </w:r>
      <w:r w:rsidR="00236F04" w:rsidRPr="00236F04">
        <w:rPr>
          <w:rFonts w:ascii="Times New Roman" w:eastAsia="Calibri" w:hAnsi="Times New Roman" w:cs="Times New Roman"/>
          <w:sz w:val="24"/>
          <w:szCs w:val="24"/>
        </w:rPr>
        <w:t>shkurret. Pyjet trungishte fletorë kontribojnë me 51% (10 milion ton) në stokimin e karbonit, kurse pyjet trungishte halorë stokojnë 27% të C (5.4 milion ton).</w:t>
      </w:r>
      <w:bookmarkStart w:id="52" w:name="_Toc119249327"/>
    </w:p>
    <w:p w:rsidR="00236F04" w:rsidRPr="00236F04" w:rsidRDefault="00236F04" w:rsidP="00236F04">
      <w:pPr>
        <w:spacing w:after="0" w:line="240" w:lineRule="auto"/>
        <w:jc w:val="both"/>
        <w:rPr>
          <w:rFonts w:ascii="Times New Roman" w:eastAsia="Calibri" w:hAnsi="Times New Roman" w:cs="Times New Roman"/>
          <w:b/>
          <w:bCs/>
          <w:sz w:val="24"/>
          <w:szCs w:val="24"/>
        </w:rPr>
      </w:pPr>
    </w:p>
    <w:p w:rsidR="00236F04" w:rsidRPr="00AF0E6E" w:rsidRDefault="00236F04" w:rsidP="00807975">
      <w:pPr>
        <w:pStyle w:val="ListParagraph"/>
        <w:numPr>
          <w:ilvl w:val="0"/>
          <w:numId w:val="115"/>
        </w:numPr>
        <w:spacing w:after="0" w:line="240" w:lineRule="auto"/>
        <w:jc w:val="both"/>
        <w:rPr>
          <w:rFonts w:ascii="Times New Roman" w:eastAsia="Calibri" w:hAnsi="Times New Roman" w:cs="Times New Roman"/>
          <w:b/>
          <w:bCs/>
          <w:sz w:val="24"/>
          <w:szCs w:val="24"/>
        </w:rPr>
      </w:pPr>
      <w:r w:rsidRPr="00AF0E6E">
        <w:rPr>
          <w:rFonts w:ascii="Times New Roman" w:eastAsia="Calibri" w:hAnsi="Times New Roman" w:cs="Times New Roman"/>
          <w:b/>
          <w:bCs/>
          <w:sz w:val="24"/>
          <w:szCs w:val="24"/>
        </w:rPr>
        <w:t>Biomasa që largohet nga pyjet në vit.</w:t>
      </w:r>
    </w:p>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 xml:space="preserve">Mbështetur në të dhënat që disponon AKP-ja: si dhe tëdhënat e kadastrës dhe ato të studimeve të kryera nuk ka të dhëna të plota për sasinë e biomasës që largohet nga pyjet në vit. </w:t>
      </w:r>
    </w:p>
    <w:p w:rsidR="00236F04" w:rsidRPr="00236F04" w:rsidRDefault="00236F04" w:rsidP="00236F04">
      <w:pPr>
        <w:spacing w:after="0" w:line="240" w:lineRule="auto"/>
        <w:jc w:val="both"/>
        <w:rPr>
          <w:rFonts w:ascii="Times New Roman" w:eastAsia="Calibri" w:hAnsi="Times New Roman" w:cs="Times New Roman"/>
          <w:sz w:val="24"/>
          <w:szCs w:val="24"/>
        </w:rPr>
      </w:pPr>
    </w:p>
    <w:p w:rsidR="00236F04" w:rsidRPr="00AF0E6E" w:rsidRDefault="00236F04" w:rsidP="00807975">
      <w:pPr>
        <w:pStyle w:val="ListParagraph"/>
        <w:numPr>
          <w:ilvl w:val="0"/>
          <w:numId w:val="116"/>
        </w:numPr>
        <w:spacing w:after="0" w:line="240" w:lineRule="auto"/>
        <w:jc w:val="both"/>
        <w:rPr>
          <w:rFonts w:ascii="Times New Roman" w:eastAsia="Calibri" w:hAnsi="Times New Roman" w:cs="Times New Roman"/>
          <w:b/>
          <w:bCs/>
          <w:sz w:val="24"/>
          <w:szCs w:val="24"/>
        </w:rPr>
      </w:pPr>
      <w:r w:rsidRPr="00AF0E6E">
        <w:rPr>
          <w:rFonts w:ascii="Times New Roman" w:eastAsia="Calibri" w:hAnsi="Times New Roman" w:cs="Times New Roman"/>
          <w:b/>
          <w:bCs/>
          <w:sz w:val="24"/>
          <w:szCs w:val="24"/>
        </w:rPr>
        <w:t>Mundësia vjetore e shfrytëzimit.</w:t>
      </w:r>
    </w:p>
    <w:p w:rsidR="00236F04" w:rsidRPr="00236F04" w:rsidRDefault="00236F04" w:rsidP="00236F04">
      <w:pPr>
        <w:spacing w:after="0" w:line="240" w:lineRule="auto"/>
        <w:jc w:val="both"/>
        <w:rPr>
          <w:rFonts w:ascii="Times New Roman" w:eastAsia="Times New Roman" w:hAnsi="Times New Roman" w:cs="Times New Roman"/>
          <w:bCs/>
          <w:sz w:val="24"/>
          <w:szCs w:val="24"/>
          <w:lang w:eastAsia="en-GB"/>
        </w:rPr>
      </w:pPr>
      <w:r w:rsidRPr="00236F04">
        <w:rPr>
          <w:rFonts w:ascii="Times New Roman" w:eastAsia="Times New Roman" w:hAnsi="Times New Roman" w:cs="Times New Roman"/>
          <w:bCs/>
          <w:sz w:val="24"/>
          <w:szCs w:val="24"/>
          <w:lang w:eastAsia="en-GB"/>
        </w:rPr>
        <w:t>Për llogaritjen e mundësisë së shfrytëzimin janë përdorur dy metoda silvikulturore dhe kameraliste pasi këto janë më të sakta dhe që përshtaten më shumë me natyrën e pyjeve në vëndin tonë. Metoda silvikulturore mer në konsideratë 80% kundrejt rritjes mesatare në volum, metoda kameraliste mer</w:t>
      </w:r>
      <w:r w:rsidR="00393692">
        <w:rPr>
          <w:rFonts w:ascii="Times New Roman" w:eastAsia="Times New Roman" w:hAnsi="Times New Roman" w:cs="Times New Roman"/>
          <w:bCs/>
          <w:sz w:val="24"/>
          <w:szCs w:val="24"/>
          <w:lang w:eastAsia="en-GB"/>
        </w:rPr>
        <w:t>r</w:t>
      </w:r>
      <w:r w:rsidRPr="00236F04">
        <w:rPr>
          <w:rFonts w:ascii="Times New Roman" w:eastAsia="Times New Roman" w:hAnsi="Times New Roman" w:cs="Times New Roman"/>
          <w:bCs/>
          <w:sz w:val="24"/>
          <w:szCs w:val="24"/>
          <w:lang w:eastAsia="en-GB"/>
        </w:rPr>
        <w:t xml:space="preserve"> si mundë</w:t>
      </w:r>
      <w:r w:rsidR="00393692">
        <w:rPr>
          <w:rFonts w:ascii="Times New Roman" w:eastAsia="Times New Roman" w:hAnsi="Times New Roman" w:cs="Times New Roman"/>
          <w:bCs/>
          <w:sz w:val="24"/>
          <w:szCs w:val="24"/>
          <w:lang w:eastAsia="en-GB"/>
        </w:rPr>
        <w:t>s</w:t>
      </w:r>
      <w:r w:rsidRPr="00236F04">
        <w:rPr>
          <w:rFonts w:ascii="Times New Roman" w:eastAsia="Times New Roman" w:hAnsi="Times New Roman" w:cs="Times New Roman"/>
          <w:bCs/>
          <w:sz w:val="24"/>
          <w:szCs w:val="24"/>
          <w:lang w:eastAsia="en-GB"/>
        </w:rPr>
        <w:t>i shfrytëzimi 85% kundrejt rritjes mestare në volum.</w:t>
      </w:r>
    </w:p>
    <w:p w:rsidR="00236F04" w:rsidRPr="00236F04" w:rsidRDefault="00236F04" w:rsidP="00236F04">
      <w:pPr>
        <w:spacing w:after="0" w:line="240" w:lineRule="auto"/>
        <w:jc w:val="both"/>
        <w:rPr>
          <w:rFonts w:ascii="Times New Roman" w:eastAsia="Times New Roman" w:hAnsi="Times New Roman" w:cs="Times New Roman"/>
          <w:b/>
          <w:bCs/>
          <w:lang w:eastAsia="en-GB"/>
        </w:rPr>
      </w:pPr>
    </w:p>
    <w:tbl>
      <w:tblPr>
        <w:tblStyle w:val="TableGrid"/>
        <w:tblW w:w="0" w:type="auto"/>
        <w:tblLook w:val="04A0" w:firstRow="1" w:lastRow="0" w:firstColumn="1" w:lastColumn="0" w:noHBand="0" w:noVBand="1"/>
      </w:tblPr>
      <w:tblGrid>
        <w:gridCol w:w="4608"/>
        <w:gridCol w:w="2520"/>
        <w:gridCol w:w="2448"/>
      </w:tblGrid>
      <w:tr w:rsidR="00236F04" w:rsidRPr="00236F04" w:rsidTr="00236F04">
        <w:tc>
          <w:tcPr>
            <w:tcW w:w="4608" w:type="dxa"/>
            <w:vMerge w:val="restart"/>
          </w:tcPr>
          <w:p w:rsidR="00236F04" w:rsidRPr="00236F04" w:rsidRDefault="00236F04" w:rsidP="00236F04">
            <w:pPr>
              <w:rPr>
                <w:rFonts w:ascii="Times New Roman" w:eastAsia="Times New Roman" w:hAnsi="Times New Roman" w:cs="Times New Roman"/>
                <w:color w:val="FF0000"/>
                <w:lang w:eastAsia="en-GB"/>
              </w:rPr>
            </w:pPr>
            <w:r w:rsidRPr="00236F04">
              <w:rPr>
                <w:rFonts w:ascii="Times New Roman" w:eastAsia="Times New Roman" w:hAnsi="Times New Roman" w:cs="Times New Roman"/>
                <w:color w:val="000000"/>
                <w:lang w:eastAsia="en-GB"/>
              </w:rPr>
              <w:t xml:space="preserve"> </w:t>
            </w:r>
          </w:p>
        </w:tc>
        <w:tc>
          <w:tcPr>
            <w:tcW w:w="4968" w:type="dxa"/>
            <w:gridSpan w:val="2"/>
          </w:tcPr>
          <w:p w:rsidR="00236F04" w:rsidRPr="00236F04" w:rsidRDefault="00393692" w:rsidP="00236F04">
            <w:pPr>
              <w:jc w:val="center"/>
              <w:rPr>
                <w:rFonts w:ascii="Times New Roman" w:eastAsia="Times New Roman" w:hAnsi="Times New Roman" w:cs="Times New Roman"/>
                <w:color w:val="FF0000"/>
                <w:lang w:eastAsia="en-GB"/>
              </w:rPr>
            </w:pPr>
            <w:r>
              <w:rPr>
                <w:rFonts w:ascii="Times New Roman" w:eastAsia="Times New Roman" w:hAnsi="Times New Roman" w:cs="Times New Roman"/>
                <w:color w:val="000000"/>
                <w:lang w:eastAsia="en-GB"/>
              </w:rPr>
              <w:t>Mundë</w:t>
            </w:r>
            <w:r w:rsidR="00236F04" w:rsidRPr="00236F04">
              <w:rPr>
                <w:rFonts w:ascii="Times New Roman" w:eastAsia="Times New Roman" w:hAnsi="Times New Roman" w:cs="Times New Roman"/>
                <w:color w:val="000000"/>
                <w:lang w:eastAsia="en-GB"/>
              </w:rPr>
              <w:t>sia e shfrytezimit</w:t>
            </w:r>
          </w:p>
        </w:tc>
      </w:tr>
      <w:tr w:rsidR="00236F04" w:rsidRPr="00236F04" w:rsidTr="00236F04">
        <w:tc>
          <w:tcPr>
            <w:tcW w:w="4608" w:type="dxa"/>
            <w:vMerge/>
          </w:tcPr>
          <w:p w:rsidR="00236F04" w:rsidRPr="00236F04" w:rsidRDefault="00236F04" w:rsidP="00236F04">
            <w:pPr>
              <w:rPr>
                <w:rFonts w:ascii="Times New Roman" w:eastAsia="Times New Roman" w:hAnsi="Times New Roman" w:cs="Times New Roman"/>
                <w:color w:val="FF0000"/>
                <w:lang w:eastAsia="en-GB"/>
              </w:rPr>
            </w:pPr>
          </w:p>
        </w:tc>
        <w:tc>
          <w:tcPr>
            <w:tcW w:w="2520" w:type="dxa"/>
            <w:vAlign w:val="bottom"/>
          </w:tcPr>
          <w:p w:rsidR="00236F04" w:rsidRPr="00236F04" w:rsidRDefault="00236F04" w:rsidP="00236F04">
            <w:pPr>
              <w:jc w:val="center"/>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Metoda Silvikulturore</w:t>
            </w:r>
          </w:p>
        </w:tc>
        <w:tc>
          <w:tcPr>
            <w:tcW w:w="2448" w:type="dxa"/>
          </w:tcPr>
          <w:p w:rsidR="00236F04" w:rsidRPr="00236F04" w:rsidRDefault="00236F04" w:rsidP="00236F04">
            <w:pPr>
              <w:jc w:val="center"/>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Kameraliste</w:t>
            </w:r>
          </w:p>
        </w:tc>
      </w:tr>
      <w:tr w:rsidR="00236F04" w:rsidRPr="00236F04" w:rsidTr="00236F04">
        <w:tc>
          <w:tcPr>
            <w:tcW w:w="4608"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Trungishte</w:t>
            </w:r>
          </w:p>
        </w:tc>
        <w:tc>
          <w:tcPr>
            <w:tcW w:w="2520"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723398.4</w:t>
            </w:r>
          </w:p>
        </w:tc>
        <w:tc>
          <w:tcPr>
            <w:tcW w:w="2448"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514497</w:t>
            </w:r>
          </w:p>
        </w:tc>
      </w:tr>
      <w:tr w:rsidR="00236F04" w:rsidRPr="00236F04" w:rsidTr="00236F04">
        <w:tc>
          <w:tcPr>
            <w:tcW w:w="4608"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Cungishte</w:t>
            </w:r>
          </w:p>
        </w:tc>
        <w:tc>
          <w:tcPr>
            <w:tcW w:w="2520"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215201.4</w:t>
            </w:r>
          </w:p>
        </w:tc>
        <w:tc>
          <w:tcPr>
            <w:tcW w:w="2448"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245945</w:t>
            </w:r>
          </w:p>
        </w:tc>
      </w:tr>
      <w:tr w:rsidR="00236F04" w:rsidRPr="00236F04" w:rsidTr="00236F04">
        <w:tc>
          <w:tcPr>
            <w:tcW w:w="4608" w:type="dxa"/>
            <w:vAlign w:val="bottom"/>
          </w:tcPr>
          <w:p w:rsidR="00236F04" w:rsidRPr="00236F04" w:rsidRDefault="00236F04" w:rsidP="00236F04">
            <w:pPr>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Shkurre</w:t>
            </w:r>
          </w:p>
        </w:tc>
        <w:tc>
          <w:tcPr>
            <w:tcW w:w="2520"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150330.4</w:t>
            </w:r>
          </w:p>
        </w:tc>
        <w:tc>
          <w:tcPr>
            <w:tcW w:w="2448" w:type="dxa"/>
            <w:vAlign w:val="bottom"/>
          </w:tcPr>
          <w:p w:rsidR="00236F04" w:rsidRPr="00236F04" w:rsidRDefault="00236F04" w:rsidP="00236F04">
            <w:pPr>
              <w:jc w:val="right"/>
              <w:rPr>
                <w:rFonts w:ascii="Times New Roman" w:eastAsia="Times New Roman" w:hAnsi="Times New Roman" w:cs="Times New Roman"/>
                <w:color w:val="000000"/>
                <w:lang w:eastAsia="en-GB"/>
              </w:rPr>
            </w:pPr>
            <w:r w:rsidRPr="00236F04">
              <w:rPr>
                <w:rFonts w:ascii="Times New Roman" w:eastAsia="Times New Roman" w:hAnsi="Times New Roman" w:cs="Times New Roman"/>
                <w:color w:val="000000"/>
                <w:lang w:eastAsia="en-GB"/>
              </w:rPr>
              <w:t>400881</w:t>
            </w:r>
          </w:p>
        </w:tc>
      </w:tr>
      <w:tr w:rsidR="00236F04" w:rsidRPr="00236F04" w:rsidTr="00236F04">
        <w:tc>
          <w:tcPr>
            <w:tcW w:w="4608" w:type="dxa"/>
            <w:vAlign w:val="bottom"/>
          </w:tcPr>
          <w:p w:rsidR="00236F04" w:rsidRPr="00236F04" w:rsidRDefault="00393692" w:rsidP="00236F04">
            <w:pP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Mundë</w:t>
            </w:r>
            <w:r w:rsidR="00236F04" w:rsidRPr="00236F04">
              <w:rPr>
                <w:rFonts w:ascii="Times New Roman" w:eastAsia="Times New Roman" w:hAnsi="Times New Roman" w:cs="Times New Roman"/>
                <w:color w:val="000000"/>
                <w:lang w:eastAsia="en-GB"/>
              </w:rPr>
              <w:t>sia vjetore totale</w:t>
            </w:r>
          </w:p>
        </w:tc>
        <w:tc>
          <w:tcPr>
            <w:tcW w:w="2520" w:type="dxa"/>
            <w:vAlign w:val="bottom"/>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1088930.2</w:t>
            </w:r>
          </w:p>
        </w:tc>
        <w:tc>
          <w:tcPr>
            <w:tcW w:w="2448" w:type="dxa"/>
            <w:vAlign w:val="bottom"/>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1161323</w:t>
            </w:r>
          </w:p>
        </w:tc>
      </w:tr>
      <w:tr w:rsidR="00236F04" w:rsidRPr="00236F04" w:rsidTr="00236F04">
        <w:tc>
          <w:tcPr>
            <w:tcW w:w="4608" w:type="dxa"/>
            <w:vAlign w:val="bottom"/>
          </w:tcPr>
          <w:p w:rsidR="00236F04" w:rsidRPr="00236F04" w:rsidRDefault="00393692" w:rsidP="00236F04">
            <w:pP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Pë</w:t>
            </w:r>
            <w:r w:rsidR="00236F04" w:rsidRPr="00236F04">
              <w:rPr>
                <w:rFonts w:ascii="Times New Roman" w:eastAsia="Times New Roman" w:hAnsi="Times New Roman" w:cs="Times New Roman"/>
                <w:color w:val="000000"/>
                <w:lang w:eastAsia="en-GB"/>
              </w:rPr>
              <w:t>rqin</w:t>
            </w:r>
            <w:r>
              <w:rPr>
                <w:rFonts w:ascii="Times New Roman" w:eastAsia="Times New Roman" w:hAnsi="Times New Roman" w:cs="Times New Roman"/>
                <w:color w:val="000000"/>
                <w:lang w:eastAsia="en-GB"/>
              </w:rPr>
              <w:t>dja kundrejt rritjes mesatare në</w:t>
            </w:r>
            <w:r w:rsidR="00236F04" w:rsidRPr="00236F04">
              <w:rPr>
                <w:rFonts w:ascii="Times New Roman" w:eastAsia="Times New Roman" w:hAnsi="Times New Roman" w:cs="Times New Roman"/>
                <w:color w:val="000000"/>
                <w:lang w:eastAsia="en-GB"/>
              </w:rPr>
              <w:t xml:space="preserve"> volum</w:t>
            </w:r>
          </w:p>
        </w:tc>
        <w:tc>
          <w:tcPr>
            <w:tcW w:w="2520" w:type="dxa"/>
            <w:vAlign w:val="bottom"/>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80%</w:t>
            </w:r>
          </w:p>
        </w:tc>
        <w:tc>
          <w:tcPr>
            <w:tcW w:w="2448" w:type="dxa"/>
            <w:vAlign w:val="bottom"/>
          </w:tcPr>
          <w:p w:rsidR="00236F04" w:rsidRPr="00236F04" w:rsidRDefault="00236F04" w:rsidP="00236F04">
            <w:pPr>
              <w:jc w:val="right"/>
              <w:rPr>
                <w:rFonts w:ascii="Times New Roman" w:eastAsia="Times New Roman" w:hAnsi="Times New Roman" w:cs="Times New Roman"/>
                <w:lang w:eastAsia="en-GB"/>
              </w:rPr>
            </w:pPr>
            <w:r w:rsidRPr="00236F04">
              <w:rPr>
                <w:rFonts w:ascii="Times New Roman" w:eastAsia="Times New Roman" w:hAnsi="Times New Roman" w:cs="Times New Roman"/>
                <w:lang w:eastAsia="en-GB"/>
              </w:rPr>
              <w:t>85%</w:t>
            </w:r>
          </w:p>
        </w:tc>
      </w:tr>
    </w:tbl>
    <w:p w:rsidR="00236F04" w:rsidRPr="00236F04" w:rsidRDefault="00236F04" w:rsidP="00236F04">
      <w:pPr>
        <w:spacing w:after="0" w:line="240" w:lineRule="auto"/>
        <w:jc w:val="both"/>
        <w:rPr>
          <w:rFonts w:ascii="Times New Roman" w:eastAsia="Times New Roman" w:hAnsi="Times New Roman" w:cs="Times New Roman"/>
          <w:bCs/>
          <w:color w:val="000000"/>
          <w:sz w:val="24"/>
          <w:lang w:val="sq-AL"/>
        </w:rPr>
      </w:pPr>
    </w:p>
    <w:p w:rsidR="00236F04" w:rsidRPr="00236F04" w:rsidRDefault="00236F04" w:rsidP="00236F04">
      <w:pPr>
        <w:spacing w:after="0" w:line="240" w:lineRule="auto"/>
        <w:jc w:val="both"/>
        <w:rPr>
          <w:rFonts w:ascii="Times New Roman" w:eastAsia="Times New Roman" w:hAnsi="Times New Roman" w:cs="Times New Roman"/>
          <w:bCs/>
          <w:color w:val="000000"/>
          <w:sz w:val="24"/>
          <w:lang w:val="sq-AL"/>
        </w:rPr>
      </w:pPr>
      <w:r w:rsidRPr="00236F04">
        <w:rPr>
          <w:rFonts w:ascii="Times New Roman" w:eastAsia="Times New Roman" w:hAnsi="Times New Roman" w:cs="Times New Roman"/>
          <w:bCs/>
          <w:color w:val="000000"/>
          <w:sz w:val="24"/>
          <w:lang w:val="sq-AL"/>
        </w:rPr>
        <w:t>Midis të dyja metodave te perllogaritjes se mundesise së shfrytëzimit kemi një diferencë afërsisht 80000 m</w:t>
      </w:r>
      <w:r w:rsidRPr="00236F04">
        <w:rPr>
          <w:rFonts w:ascii="Times New Roman" w:eastAsia="Times New Roman" w:hAnsi="Times New Roman" w:cs="Times New Roman"/>
          <w:bCs/>
          <w:color w:val="000000"/>
          <w:sz w:val="24"/>
          <w:vertAlign w:val="superscript"/>
          <w:lang w:val="sq-AL"/>
        </w:rPr>
        <w:t>3</w:t>
      </w:r>
      <w:r w:rsidRPr="00236F04">
        <w:rPr>
          <w:rFonts w:ascii="Times New Roman" w:eastAsia="Times New Roman" w:hAnsi="Times New Roman" w:cs="Times New Roman"/>
          <w:bCs/>
          <w:color w:val="000000"/>
          <w:sz w:val="24"/>
          <w:lang w:val="sq-AL"/>
        </w:rPr>
        <w:t>. Ndryshime ka edhe midis formave të menaxhimit.</w:t>
      </w:r>
    </w:p>
    <w:p w:rsidR="00236F04" w:rsidRPr="00236F04" w:rsidRDefault="00236F04" w:rsidP="00236F04">
      <w:pPr>
        <w:spacing w:after="0" w:line="240" w:lineRule="auto"/>
        <w:jc w:val="both"/>
        <w:rPr>
          <w:rFonts w:ascii="Times New Roman" w:eastAsia="Calibri" w:hAnsi="Times New Roman" w:cs="Times New Roman"/>
          <w:b/>
          <w:bCs/>
          <w:sz w:val="24"/>
          <w:szCs w:val="24"/>
        </w:rPr>
      </w:pPr>
    </w:p>
    <w:p w:rsidR="00236F04" w:rsidRPr="00AF0E6E" w:rsidRDefault="00236F04" w:rsidP="00807975">
      <w:pPr>
        <w:pStyle w:val="ListParagraph"/>
        <w:keepNext/>
        <w:keepLines/>
        <w:numPr>
          <w:ilvl w:val="0"/>
          <w:numId w:val="117"/>
        </w:numPr>
        <w:spacing w:after="80" w:line="240" w:lineRule="auto"/>
        <w:jc w:val="both"/>
        <w:outlineLvl w:val="0"/>
        <w:rPr>
          <w:rFonts w:ascii="Times New Roman" w:eastAsia="Times New Roman" w:hAnsi="Times New Roman" w:cs="Times New Roman"/>
          <w:b/>
          <w:bCs/>
          <w:sz w:val="24"/>
          <w:szCs w:val="24"/>
          <w:lang w:val="sq-AL"/>
        </w:rPr>
      </w:pPr>
      <w:bookmarkStart w:id="53" w:name="_Toc157602421"/>
      <w:bookmarkEnd w:id="52"/>
      <w:r w:rsidRPr="00AF0E6E">
        <w:rPr>
          <w:rFonts w:ascii="Times New Roman" w:eastAsia="Times New Roman" w:hAnsi="Times New Roman" w:cs="Times New Roman"/>
          <w:b/>
          <w:bCs/>
          <w:sz w:val="24"/>
          <w:szCs w:val="24"/>
          <w:lang w:val="sq-AL"/>
        </w:rPr>
        <w:t>Sipërfaqja e djegur nga zjarret në fondin pyjor dhe kullosor.</w:t>
      </w:r>
    </w:p>
    <w:p w:rsidR="00236F04" w:rsidRPr="00236F04" w:rsidRDefault="00236F04" w:rsidP="00236F04">
      <w:pPr>
        <w:spacing w:after="0" w:line="240" w:lineRule="auto"/>
        <w:jc w:val="both"/>
        <w:rPr>
          <w:rFonts w:ascii="Times New Roman" w:eastAsia="Calibri" w:hAnsi="Times New Roman" w:cs="Times New Roman"/>
          <w:sz w:val="24"/>
          <w:szCs w:val="24"/>
          <w:lang w:val="sq-AL"/>
        </w:rPr>
      </w:pPr>
      <w:r w:rsidRPr="00236F04">
        <w:rPr>
          <w:rFonts w:ascii="Times New Roman" w:eastAsia="Calibri" w:hAnsi="Times New Roman" w:cs="Times New Roman"/>
          <w:sz w:val="24"/>
          <w:szCs w:val="24"/>
          <w:lang w:val="sq-AL"/>
        </w:rPr>
        <w:t xml:space="preserve">Numri total i zjarreve rezulton të jetë </w:t>
      </w:r>
      <w:r w:rsidRPr="00236F04">
        <w:rPr>
          <w:rFonts w:ascii="Times New Roman" w:eastAsia="Calibri" w:hAnsi="Times New Roman" w:cs="Times New Roman"/>
          <w:b/>
          <w:sz w:val="24"/>
          <w:szCs w:val="24"/>
          <w:lang w:val="sq-AL"/>
        </w:rPr>
        <w:t>282</w:t>
      </w:r>
      <w:r w:rsidRPr="00236F04">
        <w:rPr>
          <w:rFonts w:ascii="Times New Roman" w:eastAsia="Calibri" w:hAnsi="Times New Roman" w:cs="Times New Roman"/>
          <w:sz w:val="24"/>
          <w:szCs w:val="24"/>
          <w:lang w:val="sq-AL"/>
        </w:rPr>
        <w:t xml:space="preserve"> zjarre, me një sipërfaqe të përgjithshme të përshkruar </w:t>
      </w:r>
      <w:r w:rsidRPr="00236F04">
        <w:rPr>
          <w:rFonts w:ascii="Times New Roman" w:eastAsia="Calibri" w:hAnsi="Times New Roman" w:cs="Times New Roman"/>
          <w:b/>
          <w:sz w:val="24"/>
          <w:szCs w:val="24"/>
          <w:lang w:val="sq-AL"/>
        </w:rPr>
        <w:t xml:space="preserve"> 28,177</w:t>
      </w:r>
      <w:r w:rsidRPr="00261BD4">
        <w:rPr>
          <w:rFonts w:ascii="Times New Roman" w:eastAsia="Calibri" w:hAnsi="Times New Roman" w:cs="Times New Roman"/>
          <w:b/>
          <w:sz w:val="24"/>
          <w:szCs w:val="24"/>
          <w:lang w:val="sq-AL"/>
        </w:rPr>
        <w:t xml:space="preserve"> ha</w:t>
      </w:r>
      <w:r w:rsidRPr="00236F04">
        <w:rPr>
          <w:rFonts w:ascii="Times New Roman" w:eastAsia="Calibri" w:hAnsi="Times New Roman" w:cs="Times New Roman"/>
          <w:sz w:val="24"/>
          <w:szCs w:val="24"/>
          <w:lang w:val="sq-AL"/>
        </w:rPr>
        <w:t xml:space="preserve"> dhe sipërfaqe të djegur</w:t>
      </w:r>
      <w:r w:rsidRPr="00236F04">
        <w:rPr>
          <w:rFonts w:ascii="Times New Roman" w:eastAsia="Calibri" w:hAnsi="Times New Roman" w:cs="Times New Roman"/>
          <w:b/>
          <w:sz w:val="24"/>
          <w:szCs w:val="24"/>
          <w:lang w:val="sq-AL"/>
        </w:rPr>
        <w:t xml:space="preserve"> 14,975 ha,</w:t>
      </w:r>
      <w:r w:rsidRPr="00236F04">
        <w:rPr>
          <w:rFonts w:ascii="Times New Roman" w:eastAsia="Calibri" w:hAnsi="Times New Roman" w:cs="Times New Roman"/>
          <w:sz w:val="24"/>
          <w:szCs w:val="24"/>
          <w:lang w:val="sq-AL"/>
        </w:rPr>
        <w:t xml:space="preserve"> ku volumi drusor i djegur raportohet në vlerën </w:t>
      </w:r>
      <w:r w:rsidRPr="00236F04">
        <w:rPr>
          <w:rFonts w:ascii="Times New Roman" w:eastAsia="Calibri" w:hAnsi="Times New Roman" w:cs="Times New Roman"/>
          <w:b/>
          <w:sz w:val="24"/>
          <w:szCs w:val="24"/>
          <w:lang w:val="sq-AL"/>
        </w:rPr>
        <w:t>123,563 m</w:t>
      </w:r>
      <w:r w:rsidRPr="00261BD4">
        <w:rPr>
          <w:rFonts w:ascii="Times New Roman" w:eastAsia="Calibri" w:hAnsi="Times New Roman" w:cs="Times New Roman"/>
          <w:b/>
          <w:sz w:val="24"/>
          <w:szCs w:val="24"/>
          <w:vertAlign w:val="superscript"/>
          <w:lang w:val="sq-AL"/>
        </w:rPr>
        <w:t>3</w:t>
      </w:r>
      <w:r w:rsidRPr="00236F04">
        <w:rPr>
          <w:rFonts w:ascii="Times New Roman" w:eastAsia="Calibri" w:hAnsi="Times New Roman" w:cs="Times New Roman"/>
          <w:b/>
          <w:sz w:val="24"/>
          <w:szCs w:val="24"/>
          <w:lang w:val="sq-AL"/>
        </w:rPr>
        <w:t>.</w:t>
      </w:r>
    </w:p>
    <w:p w:rsidR="00236F04" w:rsidRPr="00236F04" w:rsidRDefault="00236F04" w:rsidP="00236F04">
      <w:pPr>
        <w:spacing w:after="0" w:line="240" w:lineRule="auto"/>
        <w:contextualSpacing/>
        <w:jc w:val="both"/>
        <w:rPr>
          <w:rFonts w:ascii="Times New Roman" w:eastAsia="Calibri" w:hAnsi="Times New Roman" w:cs="Times New Roman"/>
          <w:b/>
          <w:i/>
          <w:sz w:val="24"/>
          <w:szCs w:val="24"/>
          <w:lang w:val="sq-AL"/>
        </w:rPr>
      </w:pPr>
      <w:r w:rsidRPr="00236F04">
        <w:rPr>
          <w:rFonts w:ascii="Times New Roman" w:eastAsia="Calibri" w:hAnsi="Times New Roman" w:cs="Times New Roman"/>
          <w:b/>
          <w:i/>
          <w:sz w:val="24"/>
          <w:szCs w:val="24"/>
          <w:lang w:val="sq-AL"/>
        </w:rPr>
        <w:t>Numri total i zjarreve sipas raportimeve të bashkive për periudhën janar-tetor.</w:t>
      </w:r>
    </w:p>
    <w:p w:rsidR="00236F04" w:rsidRPr="00236F04" w:rsidRDefault="00236F04" w:rsidP="00236F04">
      <w:pPr>
        <w:spacing w:after="0" w:line="240" w:lineRule="auto"/>
        <w:contextualSpacing/>
        <w:jc w:val="both"/>
        <w:rPr>
          <w:rFonts w:ascii="Times New Roman" w:eastAsia="Calibri" w:hAnsi="Times New Roman" w:cs="Times New Roman"/>
          <w:sz w:val="24"/>
          <w:szCs w:val="24"/>
          <w:lang w:val="sq-AL"/>
        </w:rPr>
      </w:pPr>
      <w:r w:rsidRPr="00236F04">
        <w:rPr>
          <w:rFonts w:ascii="Times New Roman" w:eastAsia="Calibri" w:hAnsi="Times New Roman" w:cs="Times New Roman"/>
          <w:sz w:val="24"/>
          <w:szCs w:val="24"/>
          <w:lang w:val="sq-AL"/>
        </w:rPr>
        <w:t>282 raste zjarri në Fondin Pyjor e Kullosor;</w:t>
      </w:r>
    </w:p>
    <w:p w:rsidR="00236F04" w:rsidRPr="00236F04" w:rsidRDefault="00236F04" w:rsidP="00236F04">
      <w:pPr>
        <w:spacing w:after="0" w:line="240" w:lineRule="auto"/>
        <w:contextualSpacing/>
        <w:jc w:val="both"/>
        <w:rPr>
          <w:rFonts w:ascii="Times New Roman" w:eastAsia="Calibri" w:hAnsi="Times New Roman" w:cs="Times New Roman"/>
          <w:sz w:val="24"/>
          <w:szCs w:val="24"/>
          <w:lang w:val="sq-AL"/>
        </w:rPr>
      </w:pPr>
      <w:r w:rsidRPr="00236F04">
        <w:rPr>
          <w:rFonts w:ascii="Times New Roman" w:eastAsia="Calibri" w:hAnsi="Times New Roman" w:cs="Times New Roman"/>
          <w:sz w:val="24"/>
          <w:szCs w:val="24"/>
          <w:lang w:val="sq-AL"/>
        </w:rPr>
        <w:t>241 raste zjarri në Fondin Pyjor;</w:t>
      </w:r>
    </w:p>
    <w:p w:rsidR="00236F04" w:rsidRPr="00236F04" w:rsidRDefault="00236F04" w:rsidP="00236F04">
      <w:pPr>
        <w:spacing w:after="0" w:line="240" w:lineRule="auto"/>
        <w:contextualSpacing/>
        <w:jc w:val="both"/>
        <w:rPr>
          <w:rFonts w:ascii="Times New Roman" w:eastAsia="Calibri" w:hAnsi="Times New Roman" w:cs="Times New Roman"/>
          <w:sz w:val="24"/>
          <w:szCs w:val="24"/>
          <w:lang w:val="sq-AL"/>
        </w:rPr>
      </w:pPr>
      <w:r w:rsidRPr="00236F04">
        <w:rPr>
          <w:rFonts w:ascii="Times New Roman" w:eastAsia="Calibri" w:hAnsi="Times New Roman" w:cs="Times New Roman"/>
          <w:sz w:val="24"/>
          <w:szCs w:val="24"/>
          <w:lang w:val="sq-AL"/>
        </w:rPr>
        <w:t>41   raste zjarri në Fondin Kullosor;</w:t>
      </w:r>
    </w:p>
    <w:p w:rsidR="00236F04" w:rsidRPr="00236F04" w:rsidRDefault="00236F04" w:rsidP="00236F04">
      <w:pPr>
        <w:spacing w:after="0" w:line="240" w:lineRule="auto"/>
        <w:jc w:val="both"/>
        <w:rPr>
          <w:rFonts w:ascii="Times New Roman" w:eastAsia="Times New Roman" w:hAnsi="Times New Roman" w:cs="Times New Roman"/>
          <w:b/>
          <w:sz w:val="24"/>
          <w:szCs w:val="24"/>
        </w:rPr>
      </w:pPr>
    </w:p>
    <w:tbl>
      <w:tblPr>
        <w:tblW w:w="9450" w:type="dxa"/>
        <w:tblInd w:w="108" w:type="dxa"/>
        <w:tblLook w:val="04A0" w:firstRow="1" w:lastRow="0" w:firstColumn="1" w:lastColumn="0" w:noHBand="0" w:noVBand="1"/>
      </w:tblPr>
      <w:tblGrid>
        <w:gridCol w:w="1057"/>
        <w:gridCol w:w="1620"/>
        <w:gridCol w:w="1890"/>
        <w:gridCol w:w="1890"/>
        <w:gridCol w:w="1620"/>
        <w:gridCol w:w="1373"/>
      </w:tblGrid>
      <w:tr w:rsidR="00236F04" w:rsidRPr="00236F04" w:rsidTr="00236F04">
        <w:trPr>
          <w:trHeight w:val="683"/>
        </w:trPr>
        <w:tc>
          <w:tcPr>
            <w:tcW w:w="1057" w:type="dxa"/>
            <w:tcBorders>
              <w:top w:val="single" w:sz="4" w:space="0" w:color="auto"/>
              <w:left w:val="single" w:sz="4" w:space="0" w:color="auto"/>
              <w:bottom w:val="single" w:sz="4" w:space="0" w:color="auto"/>
              <w:right w:val="single" w:sz="4" w:space="0" w:color="auto"/>
            </w:tcBorders>
            <w:vAlign w:val="center"/>
          </w:tcPr>
          <w:p w:rsidR="00236F04" w:rsidRPr="00236F04" w:rsidRDefault="00236F04" w:rsidP="00236F04">
            <w:pPr>
              <w:spacing w:after="0" w:line="240" w:lineRule="auto"/>
              <w:jc w:val="both"/>
              <w:rPr>
                <w:rFonts w:ascii="Times New Roman" w:eastAsia="Times New Roman" w:hAnsi="Times New Roman" w:cs="Times New Roman"/>
                <w:sz w:val="20"/>
                <w:szCs w:val="20"/>
              </w:rPr>
            </w:pPr>
            <w:bookmarkStart w:id="54" w:name="_Hlk212863956"/>
          </w:p>
        </w:tc>
        <w:tc>
          <w:tcPr>
            <w:tcW w:w="1620" w:type="dxa"/>
            <w:tcBorders>
              <w:top w:val="single" w:sz="4" w:space="0" w:color="auto"/>
              <w:left w:val="single" w:sz="4" w:space="0" w:color="auto"/>
              <w:bottom w:val="single" w:sz="4" w:space="0" w:color="auto"/>
              <w:right w:val="single" w:sz="4" w:space="0" w:color="auto"/>
            </w:tcBorders>
          </w:tcPr>
          <w:p w:rsidR="00236F04" w:rsidRPr="00236F04" w:rsidRDefault="00236F04" w:rsidP="00236F04">
            <w:pPr>
              <w:spacing w:after="0" w:line="240" w:lineRule="auto"/>
              <w:jc w:val="both"/>
              <w:rPr>
                <w:rFonts w:ascii="Times New Roman" w:eastAsia="Times New Roman" w:hAnsi="Times New Roman" w:cs="Times New Roman"/>
                <w:sz w:val="20"/>
                <w:szCs w:val="20"/>
              </w:rPr>
            </w:pPr>
            <w:r w:rsidRPr="00236F04">
              <w:rPr>
                <w:rFonts w:ascii="Times New Roman" w:eastAsia="Times New Roman" w:hAnsi="Times New Roman" w:cs="Times New Roman"/>
                <w:sz w:val="20"/>
                <w:szCs w:val="20"/>
              </w:rPr>
              <w:t>Numri i zjarreve në pyje dhe kullota</w:t>
            </w:r>
          </w:p>
        </w:tc>
        <w:tc>
          <w:tcPr>
            <w:tcW w:w="1890" w:type="dxa"/>
            <w:tcBorders>
              <w:top w:val="single" w:sz="4" w:space="0" w:color="auto"/>
              <w:left w:val="single" w:sz="4" w:space="0" w:color="auto"/>
              <w:bottom w:val="single" w:sz="4" w:space="0" w:color="auto"/>
              <w:right w:val="single" w:sz="4" w:space="0" w:color="auto"/>
            </w:tcBorders>
          </w:tcPr>
          <w:p w:rsidR="00236F04" w:rsidRPr="00236F04" w:rsidRDefault="00236F04" w:rsidP="00236F04">
            <w:pPr>
              <w:spacing w:after="0" w:line="240" w:lineRule="auto"/>
              <w:jc w:val="both"/>
              <w:rPr>
                <w:rFonts w:ascii="Times New Roman" w:eastAsia="Times New Roman" w:hAnsi="Times New Roman" w:cs="Times New Roman"/>
                <w:sz w:val="20"/>
                <w:szCs w:val="20"/>
              </w:rPr>
            </w:pPr>
            <w:r w:rsidRPr="00236F04">
              <w:rPr>
                <w:rFonts w:ascii="Times New Roman" w:eastAsia="Times New Roman" w:hAnsi="Times New Roman" w:cs="Times New Roman"/>
                <w:sz w:val="20"/>
                <w:szCs w:val="20"/>
              </w:rPr>
              <w:t>Sipërfaqe e përshkuar në pyje dhe kullota (ha)</w:t>
            </w:r>
          </w:p>
        </w:tc>
        <w:tc>
          <w:tcPr>
            <w:tcW w:w="1890" w:type="dxa"/>
            <w:tcBorders>
              <w:top w:val="single" w:sz="4" w:space="0" w:color="auto"/>
              <w:left w:val="single" w:sz="4" w:space="0" w:color="auto"/>
              <w:bottom w:val="single" w:sz="4" w:space="0" w:color="auto"/>
              <w:right w:val="single" w:sz="4" w:space="0" w:color="auto"/>
            </w:tcBorders>
          </w:tcPr>
          <w:p w:rsidR="00236F04" w:rsidRPr="00236F04" w:rsidRDefault="00236F04" w:rsidP="00236F04">
            <w:pPr>
              <w:spacing w:after="0" w:line="240" w:lineRule="auto"/>
              <w:jc w:val="both"/>
              <w:rPr>
                <w:rFonts w:ascii="Times New Roman" w:eastAsia="Times New Roman" w:hAnsi="Times New Roman" w:cs="Times New Roman"/>
                <w:sz w:val="20"/>
                <w:szCs w:val="20"/>
              </w:rPr>
            </w:pPr>
            <w:r w:rsidRPr="00236F04">
              <w:rPr>
                <w:rFonts w:ascii="Times New Roman" w:eastAsia="Times New Roman" w:hAnsi="Times New Roman" w:cs="Times New Roman"/>
                <w:sz w:val="20"/>
                <w:szCs w:val="20"/>
              </w:rPr>
              <w:t>Sipërfaqe e djegur në pyje dhe kullota (ha)</w:t>
            </w:r>
          </w:p>
        </w:tc>
        <w:tc>
          <w:tcPr>
            <w:tcW w:w="1620" w:type="dxa"/>
            <w:tcBorders>
              <w:top w:val="single" w:sz="4" w:space="0" w:color="auto"/>
              <w:left w:val="single" w:sz="4" w:space="0" w:color="auto"/>
              <w:bottom w:val="single" w:sz="4" w:space="0" w:color="auto"/>
              <w:right w:val="single" w:sz="4" w:space="0" w:color="auto"/>
            </w:tcBorders>
          </w:tcPr>
          <w:p w:rsidR="00236F04" w:rsidRPr="00236F04" w:rsidRDefault="00236F04" w:rsidP="00236F04">
            <w:pPr>
              <w:spacing w:after="0" w:line="240" w:lineRule="auto"/>
              <w:jc w:val="both"/>
              <w:rPr>
                <w:rFonts w:ascii="Times New Roman" w:eastAsia="Times New Roman" w:hAnsi="Times New Roman" w:cs="Times New Roman"/>
                <w:sz w:val="20"/>
                <w:szCs w:val="20"/>
              </w:rPr>
            </w:pPr>
            <w:r w:rsidRPr="00236F04">
              <w:rPr>
                <w:rFonts w:ascii="Times New Roman" w:eastAsia="Times New Roman" w:hAnsi="Times New Roman" w:cs="Times New Roman"/>
                <w:sz w:val="20"/>
                <w:szCs w:val="20"/>
              </w:rPr>
              <w:t>Volumi i djegur në pyje (m3)</w:t>
            </w:r>
          </w:p>
        </w:tc>
        <w:tc>
          <w:tcPr>
            <w:tcW w:w="1373" w:type="dxa"/>
            <w:tcBorders>
              <w:top w:val="single" w:sz="4" w:space="0" w:color="auto"/>
              <w:left w:val="single" w:sz="4" w:space="0" w:color="auto"/>
              <w:bottom w:val="single" w:sz="4" w:space="0" w:color="auto"/>
              <w:right w:val="single" w:sz="4" w:space="0" w:color="auto"/>
            </w:tcBorders>
          </w:tcPr>
          <w:p w:rsidR="00236F04" w:rsidRPr="00236F04" w:rsidRDefault="00236F04" w:rsidP="00236F04">
            <w:pPr>
              <w:spacing w:after="0" w:line="240" w:lineRule="auto"/>
              <w:jc w:val="both"/>
              <w:rPr>
                <w:rFonts w:ascii="Times New Roman" w:eastAsia="Times New Roman" w:hAnsi="Times New Roman" w:cs="Times New Roman"/>
                <w:sz w:val="20"/>
                <w:szCs w:val="20"/>
              </w:rPr>
            </w:pPr>
            <w:r w:rsidRPr="00236F04">
              <w:rPr>
                <w:rFonts w:ascii="Times New Roman" w:eastAsia="Times New Roman" w:hAnsi="Times New Roman" w:cs="Times New Roman"/>
                <w:sz w:val="20"/>
                <w:szCs w:val="20"/>
              </w:rPr>
              <w:t>Vlera e dëmit</w:t>
            </w:r>
          </w:p>
          <w:p w:rsidR="00236F04" w:rsidRPr="00236F04" w:rsidRDefault="00236F04" w:rsidP="00236F04">
            <w:pPr>
              <w:spacing w:after="0" w:line="240" w:lineRule="auto"/>
              <w:jc w:val="both"/>
              <w:rPr>
                <w:rFonts w:ascii="Times New Roman" w:eastAsia="Times New Roman" w:hAnsi="Times New Roman" w:cs="Times New Roman"/>
                <w:sz w:val="20"/>
                <w:szCs w:val="20"/>
              </w:rPr>
            </w:pPr>
            <w:r w:rsidRPr="00236F04">
              <w:rPr>
                <w:rFonts w:ascii="Times New Roman" w:eastAsia="Times New Roman" w:hAnsi="Times New Roman" w:cs="Times New Roman"/>
                <w:sz w:val="20"/>
                <w:szCs w:val="20"/>
              </w:rPr>
              <w:t>(000/lekë)</w:t>
            </w:r>
          </w:p>
        </w:tc>
      </w:tr>
      <w:tr w:rsidR="00236F04" w:rsidRPr="00236F04" w:rsidTr="00236F04">
        <w:trPr>
          <w:trHeight w:val="197"/>
        </w:trPr>
        <w:tc>
          <w:tcPr>
            <w:tcW w:w="1057" w:type="dxa"/>
            <w:tcBorders>
              <w:top w:val="single" w:sz="4" w:space="0" w:color="auto"/>
              <w:left w:val="single" w:sz="4" w:space="0" w:color="auto"/>
              <w:bottom w:val="single" w:sz="4" w:space="0" w:color="auto"/>
              <w:right w:val="single" w:sz="4" w:space="0" w:color="auto"/>
            </w:tcBorders>
            <w:vAlign w:val="center"/>
          </w:tcPr>
          <w:p w:rsidR="00236F04" w:rsidRPr="00236F04" w:rsidRDefault="00236F04" w:rsidP="00236F04">
            <w:pPr>
              <w:spacing w:after="0" w:line="240" w:lineRule="auto"/>
              <w:jc w:val="both"/>
              <w:rPr>
                <w:rFonts w:ascii="Times New Roman" w:eastAsia="Times New Roman" w:hAnsi="Times New Roman" w:cs="Times New Roman"/>
                <w:sz w:val="18"/>
                <w:szCs w:val="18"/>
              </w:rPr>
            </w:pPr>
            <w:r w:rsidRPr="00236F04">
              <w:rPr>
                <w:rFonts w:ascii="Times New Roman" w:eastAsia="Times New Roman" w:hAnsi="Times New Roman" w:cs="Times New Roman"/>
                <w:b/>
                <w:sz w:val="18"/>
                <w:szCs w:val="18"/>
              </w:rPr>
              <w:t>TOTALI</w:t>
            </w:r>
          </w:p>
        </w:tc>
        <w:tc>
          <w:tcPr>
            <w:tcW w:w="1620" w:type="dxa"/>
            <w:tcBorders>
              <w:top w:val="single" w:sz="4" w:space="0" w:color="auto"/>
              <w:left w:val="single" w:sz="4" w:space="0" w:color="auto"/>
              <w:bottom w:val="single" w:sz="4" w:space="0" w:color="auto"/>
              <w:right w:val="single" w:sz="4" w:space="0" w:color="auto"/>
            </w:tcBorders>
            <w:vAlign w:val="bottom"/>
          </w:tcPr>
          <w:p w:rsidR="00236F04" w:rsidRPr="00236F04" w:rsidRDefault="00236F04" w:rsidP="00236F04">
            <w:pPr>
              <w:spacing w:after="0" w:line="240" w:lineRule="auto"/>
              <w:jc w:val="both"/>
              <w:rPr>
                <w:rFonts w:ascii="Times New Roman" w:eastAsia="Calibri" w:hAnsi="Times New Roman" w:cs="Times New Roman"/>
                <w:b/>
                <w:sz w:val="18"/>
                <w:szCs w:val="18"/>
              </w:rPr>
            </w:pPr>
            <w:r w:rsidRPr="00236F04">
              <w:rPr>
                <w:rFonts w:ascii="Times New Roman" w:eastAsia="Calibri" w:hAnsi="Times New Roman" w:cs="Times New Roman"/>
                <w:b/>
                <w:sz w:val="18"/>
                <w:szCs w:val="18"/>
              </w:rPr>
              <w:t>282</w:t>
            </w:r>
          </w:p>
        </w:tc>
        <w:tc>
          <w:tcPr>
            <w:tcW w:w="1890" w:type="dxa"/>
            <w:tcBorders>
              <w:top w:val="single" w:sz="4" w:space="0" w:color="auto"/>
              <w:left w:val="single" w:sz="4" w:space="0" w:color="auto"/>
              <w:bottom w:val="single" w:sz="4" w:space="0" w:color="auto"/>
              <w:right w:val="single" w:sz="4" w:space="0" w:color="auto"/>
            </w:tcBorders>
            <w:vAlign w:val="bottom"/>
          </w:tcPr>
          <w:p w:rsidR="00236F04" w:rsidRPr="00236F04" w:rsidRDefault="00236F04" w:rsidP="00236F04">
            <w:pPr>
              <w:spacing w:after="0" w:line="240" w:lineRule="auto"/>
              <w:jc w:val="both"/>
              <w:rPr>
                <w:rFonts w:ascii="Times New Roman" w:eastAsia="Calibri" w:hAnsi="Times New Roman" w:cs="Times New Roman"/>
                <w:b/>
                <w:sz w:val="18"/>
                <w:szCs w:val="18"/>
              </w:rPr>
            </w:pPr>
            <w:r w:rsidRPr="00236F04">
              <w:rPr>
                <w:rFonts w:ascii="Times New Roman" w:eastAsia="Calibri" w:hAnsi="Times New Roman" w:cs="Times New Roman"/>
                <w:b/>
                <w:sz w:val="18"/>
                <w:szCs w:val="18"/>
                <w:lang w:val="sq-AL"/>
              </w:rPr>
              <w:t>28,177</w:t>
            </w:r>
          </w:p>
        </w:tc>
        <w:tc>
          <w:tcPr>
            <w:tcW w:w="1890" w:type="dxa"/>
            <w:tcBorders>
              <w:top w:val="single" w:sz="4" w:space="0" w:color="auto"/>
              <w:left w:val="single" w:sz="4" w:space="0" w:color="auto"/>
              <w:bottom w:val="single" w:sz="4" w:space="0" w:color="auto"/>
              <w:right w:val="single" w:sz="4" w:space="0" w:color="auto"/>
            </w:tcBorders>
            <w:vAlign w:val="bottom"/>
          </w:tcPr>
          <w:p w:rsidR="00236F04" w:rsidRPr="00236F04" w:rsidRDefault="00236F04" w:rsidP="00236F04">
            <w:pPr>
              <w:spacing w:after="0" w:line="240" w:lineRule="auto"/>
              <w:jc w:val="both"/>
              <w:rPr>
                <w:rFonts w:ascii="Times New Roman" w:eastAsia="Calibri" w:hAnsi="Times New Roman" w:cs="Times New Roman"/>
                <w:b/>
                <w:sz w:val="18"/>
                <w:szCs w:val="18"/>
              </w:rPr>
            </w:pPr>
            <w:r w:rsidRPr="00236F04">
              <w:rPr>
                <w:rFonts w:ascii="Times New Roman" w:eastAsia="Calibri" w:hAnsi="Times New Roman" w:cs="Times New Roman"/>
                <w:b/>
                <w:sz w:val="18"/>
                <w:szCs w:val="18"/>
              </w:rPr>
              <w:t>14,975</w:t>
            </w:r>
          </w:p>
        </w:tc>
        <w:tc>
          <w:tcPr>
            <w:tcW w:w="1620" w:type="dxa"/>
            <w:tcBorders>
              <w:top w:val="single" w:sz="4" w:space="0" w:color="auto"/>
              <w:left w:val="single" w:sz="4" w:space="0" w:color="auto"/>
              <w:bottom w:val="single" w:sz="4" w:space="0" w:color="auto"/>
              <w:right w:val="single" w:sz="4" w:space="0" w:color="auto"/>
            </w:tcBorders>
            <w:vAlign w:val="bottom"/>
          </w:tcPr>
          <w:p w:rsidR="00236F04" w:rsidRPr="00236F04" w:rsidRDefault="00236F04" w:rsidP="00236F04">
            <w:pPr>
              <w:spacing w:after="0" w:line="240" w:lineRule="auto"/>
              <w:jc w:val="both"/>
              <w:rPr>
                <w:rFonts w:ascii="Times New Roman" w:eastAsia="Calibri" w:hAnsi="Times New Roman" w:cs="Times New Roman"/>
                <w:b/>
                <w:sz w:val="18"/>
                <w:szCs w:val="18"/>
              </w:rPr>
            </w:pPr>
            <w:r w:rsidRPr="00236F04">
              <w:rPr>
                <w:rFonts w:ascii="Times New Roman" w:eastAsia="Calibri" w:hAnsi="Times New Roman" w:cs="Times New Roman"/>
                <w:b/>
                <w:sz w:val="18"/>
                <w:szCs w:val="18"/>
              </w:rPr>
              <w:t>123,563</w:t>
            </w:r>
          </w:p>
        </w:tc>
        <w:tc>
          <w:tcPr>
            <w:tcW w:w="1373" w:type="dxa"/>
            <w:tcBorders>
              <w:top w:val="single" w:sz="4" w:space="0" w:color="auto"/>
              <w:left w:val="single" w:sz="4" w:space="0" w:color="auto"/>
              <w:bottom w:val="single" w:sz="4" w:space="0" w:color="auto"/>
              <w:right w:val="single" w:sz="4" w:space="0" w:color="auto"/>
            </w:tcBorders>
            <w:vAlign w:val="bottom"/>
          </w:tcPr>
          <w:p w:rsidR="00236F04" w:rsidRPr="00236F04" w:rsidRDefault="00236F04" w:rsidP="00236F04">
            <w:pPr>
              <w:spacing w:after="0" w:line="240" w:lineRule="auto"/>
              <w:jc w:val="both"/>
              <w:rPr>
                <w:rFonts w:ascii="Times New Roman" w:eastAsia="Calibri" w:hAnsi="Times New Roman" w:cs="Times New Roman"/>
                <w:b/>
                <w:sz w:val="18"/>
                <w:szCs w:val="18"/>
              </w:rPr>
            </w:pPr>
            <w:r w:rsidRPr="00236F04">
              <w:rPr>
                <w:rFonts w:ascii="Times New Roman" w:eastAsia="Calibri" w:hAnsi="Times New Roman" w:cs="Times New Roman"/>
                <w:b/>
                <w:color w:val="000000"/>
                <w:sz w:val="18"/>
                <w:szCs w:val="18"/>
              </w:rPr>
              <w:t>7,131,419</w:t>
            </w:r>
          </w:p>
        </w:tc>
      </w:tr>
      <w:bookmarkEnd w:id="54"/>
    </w:tbl>
    <w:p w:rsidR="00236F04" w:rsidRPr="00236F04" w:rsidRDefault="00236F04" w:rsidP="00236F04">
      <w:pPr>
        <w:spacing w:after="0" w:line="240" w:lineRule="auto"/>
        <w:contextualSpacing/>
        <w:jc w:val="both"/>
        <w:rPr>
          <w:rFonts w:ascii="Times New Roman" w:eastAsia="Calibri" w:hAnsi="Times New Roman" w:cs="Times New Roman"/>
          <w:b/>
          <w:i/>
          <w:noProof/>
          <w:sz w:val="24"/>
          <w:szCs w:val="24"/>
          <w:lang w:val="sq-AL"/>
        </w:rPr>
      </w:pPr>
    </w:p>
    <w:p w:rsidR="00236F04" w:rsidRPr="00AF0E6E" w:rsidRDefault="00236F04" w:rsidP="00236F04">
      <w:pPr>
        <w:spacing w:after="0" w:line="240" w:lineRule="auto"/>
        <w:contextualSpacing/>
        <w:jc w:val="both"/>
        <w:rPr>
          <w:rFonts w:ascii="Times New Roman" w:eastAsia="Calibri" w:hAnsi="Times New Roman" w:cs="Times New Roman"/>
          <w:b/>
          <w:i/>
          <w:noProof/>
          <w:sz w:val="24"/>
          <w:szCs w:val="24"/>
          <w:u w:val="single"/>
          <w:lang w:val="sq-AL"/>
        </w:rPr>
      </w:pPr>
      <w:r w:rsidRPr="00AF0E6E">
        <w:rPr>
          <w:rFonts w:ascii="Times New Roman" w:eastAsia="Calibri" w:hAnsi="Times New Roman" w:cs="Times New Roman"/>
          <w:b/>
          <w:i/>
          <w:noProof/>
          <w:sz w:val="24"/>
          <w:szCs w:val="24"/>
          <w:u w:val="single"/>
          <w:lang w:val="sq-AL"/>
        </w:rPr>
        <w:t>Sipërfaqja e përshkuar sipas formës së qeverisjes.</w:t>
      </w:r>
    </w:p>
    <w:p w:rsidR="00236F04" w:rsidRPr="00236F04" w:rsidRDefault="00236F04" w:rsidP="00236F04">
      <w:pPr>
        <w:spacing w:after="0" w:line="240" w:lineRule="auto"/>
        <w:jc w:val="both"/>
        <w:rPr>
          <w:rFonts w:ascii="Times New Roman" w:eastAsia="Calibri" w:hAnsi="Times New Roman" w:cs="Times New Roman"/>
          <w:noProof/>
          <w:sz w:val="24"/>
          <w:szCs w:val="24"/>
          <w:lang w:val="sq-AL"/>
        </w:rPr>
      </w:pPr>
      <w:r w:rsidRPr="00236F04">
        <w:rPr>
          <w:rFonts w:ascii="Times New Roman" w:eastAsia="Calibri" w:hAnsi="Times New Roman" w:cs="Times New Roman"/>
          <w:noProof/>
          <w:sz w:val="24"/>
          <w:szCs w:val="24"/>
          <w:lang w:val="sq-AL"/>
        </w:rPr>
        <w:t>Sipërfaqja totale e përshkuar nga zjarret në fondin pyjor/kullosor deri në tetor 2025 është:</w:t>
      </w:r>
    </w:p>
    <w:p w:rsidR="00236F04" w:rsidRPr="00236F04" w:rsidRDefault="00236F04" w:rsidP="00236F04">
      <w:pPr>
        <w:spacing w:after="0" w:line="240" w:lineRule="auto"/>
        <w:contextualSpacing/>
        <w:jc w:val="both"/>
        <w:rPr>
          <w:rFonts w:ascii="Times New Roman" w:eastAsia="Calibri" w:hAnsi="Times New Roman" w:cs="Times New Roman"/>
          <w:noProof/>
          <w:sz w:val="24"/>
          <w:szCs w:val="24"/>
          <w:lang w:val="sq-AL"/>
        </w:rPr>
      </w:pPr>
      <w:r w:rsidRPr="00236F04">
        <w:rPr>
          <w:rFonts w:ascii="Times New Roman" w:eastAsia="Calibri" w:hAnsi="Times New Roman" w:cs="Times New Roman"/>
          <w:b/>
          <w:noProof/>
          <w:sz w:val="24"/>
          <w:szCs w:val="24"/>
          <w:lang w:val="sq-AL"/>
        </w:rPr>
        <w:t>28,177</w:t>
      </w:r>
      <w:r w:rsidRPr="00236F04">
        <w:rPr>
          <w:rFonts w:ascii="Times New Roman" w:eastAsia="Calibri" w:hAnsi="Times New Roman" w:cs="Times New Roman"/>
          <w:noProof/>
          <w:sz w:val="24"/>
          <w:szCs w:val="24"/>
          <w:lang w:val="sq-AL"/>
        </w:rPr>
        <w:t xml:space="preserve"> ha sipërfaqe totale e përshkuar nga zjarri, nga të cilat:</w:t>
      </w:r>
    </w:p>
    <w:p w:rsidR="00236F04" w:rsidRPr="00236F04" w:rsidRDefault="00236F04" w:rsidP="00236F04">
      <w:pPr>
        <w:spacing w:after="0" w:line="240" w:lineRule="auto"/>
        <w:contextualSpacing/>
        <w:jc w:val="both"/>
        <w:rPr>
          <w:rFonts w:ascii="Times New Roman" w:eastAsia="Calibri" w:hAnsi="Times New Roman" w:cs="Times New Roman"/>
          <w:noProof/>
          <w:sz w:val="24"/>
          <w:szCs w:val="24"/>
          <w:lang w:val="sq-AL"/>
        </w:rPr>
      </w:pPr>
      <w:r w:rsidRPr="00236F04">
        <w:rPr>
          <w:rFonts w:ascii="Times New Roman" w:eastAsia="Calibri" w:hAnsi="Times New Roman" w:cs="Times New Roman"/>
          <w:b/>
          <w:noProof/>
          <w:sz w:val="24"/>
          <w:szCs w:val="24"/>
          <w:lang w:val="sq-AL"/>
        </w:rPr>
        <w:t>24,703</w:t>
      </w:r>
      <w:r w:rsidRPr="00236F04">
        <w:rPr>
          <w:rFonts w:ascii="Times New Roman" w:eastAsia="Calibri" w:hAnsi="Times New Roman" w:cs="Times New Roman"/>
          <w:noProof/>
          <w:sz w:val="24"/>
          <w:szCs w:val="24"/>
          <w:lang w:val="sq-AL"/>
        </w:rPr>
        <w:t xml:space="preserve"> ha sipërfaqe e përshkuar në Pyje;</w:t>
      </w:r>
    </w:p>
    <w:p w:rsidR="00236F04" w:rsidRPr="00236F04" w:rsidRDefault="00236F04" w:rsidP="00236F04">
      <w:pPr>
        <w:spacing w:after="0" w:line="240" w:lineRule="auto"/>
        <w:contextualSpacing/>
        <w:jc w:val="both"/>
        <w:rPr>
          <w:rFonts w:ascii="Times New Roman" w:eastAsia="Calibri" w:hAnsi="Times New Roman" w:cs="Times New Roman"/>
          <w:noProof/>
          <w:sz w:val="24"/>
          <w:szCs w:val="24"/>
          <w:lang w:val="sq-AL"/>
        </w:rPr>
      </w:pPr>
      <w:r w:rsidRPr="00236F04">
        <w:rPr>
          <w:rFonts w:ascii="Times New Roman" w:eastAsia="Calibri" w:hAnsi="Times New Roman" w:cs="Times New Roman"/>
          <w:b/>
          <w:noProof/>
          <w:sz w:val="24"/>
          <w:szCs w:val="24"/>
          <w:lang w:val="sq-AL"/>
        </w:rPr>
        <w:t>3,474</w:t>
      </w:r>
      <w:r w:rsidRPr="00236F04">
        <w:rPr>
          <w:rFonts w:ascii="Times New Roman" w:eastAsia="Calibri" w:hAnsi="Times New Roman" w:cs="Times New Roman"/>
          <w:noProof/>
          <w:sz w:val="24"/>
          <w:szCs w:val="24"/>
          <w:lang w:val="sq-AL"/>
        </w:rPr>
        <w:t xml:space="preserve">   ha sipërfaqe e përshkuar në Kullota;</w:t>
      </w:r>
    </w:p>
    <w:p w:rsidR="00236F04" w:rsidRPr="00236F04" w:rsidRDefault="00236F04" w:rsidP="00236F04">
      <w:pPr>
        <w:spacing w:after="0" w:line="240" w:lineRule="auto"/>
        <w:jc w:val="both"/>
        <w:rPr>
          <w:rFonts w:ascii="Times New Roman" w:eastAsia="Times New Roman" w:hAnsi="Times New Roman" w:cs="Times New Roman"/>
          <w:b/>
          <w:noProof/>
          <w:sz w:val="24"/>
          <w:szCs w:val="24"/>
          <w:lang w:val="sq-AL"/>
        </w:rPr>
      </w:pPr>
    </w:p>
    <w:p w:rsidR="00236F04" w:rsidRPr="00236F04" w:rsidRDefault="00236F04" w:rsidP="00236F04">
      <w:pPr>
        <w:spacing w:after="0" w:line="240" w:lineRule="auto"/>
        <w:jc w:val="both"/>
        <w:rPr>
          <w:rFonts w:ascii="Times New Roman" w:eastAsia="Times New Roman" w:hAnsi="Times New Roman" w:cs="Times New Roman"/>
          <w:noProof/>
          <w:sz w:val="24"/>
          <w:szCs w:val="24"/>
          <w:lang w:val="sq-AL"/>
        </w:rPr>
      </w:pPr>
    </w:p>
    <w:tbl>
      <w:tblPr>
        <w:tblW w:w="0" w:type="auto"/>
        <w:tblInd w:w="108" w:type="dxa"/>
        <w:tblLayout w:type="fixed"/>
        <w:tblLook w:val="0000" w:firstRow="0" w:lastRow="0" w:firstColumn="0" w:lastColumn="0" w:noHBand="0" w:noVBand="0"/>
      </w:tblPr>
      <w:tblGrid>
        <w:gridCol w:w="2250"/>
        <w:gridCol w:w="1980"/>
        <w:gridCol w:w="2160"/>
        <w:gridCol w:w="1224"/>
        <w:gridCol w:w="1656"/>
      </w:tblGrid>
      <w:tr w:rsidR="00236F04" w:rsidRPr="00236F04" w:rsidTr="00236F04">
        <w:trPr>
          <w:trHeight w:val="253"/>
        </w:trPr>
        <w:tc>
          <w:tcPr>
            <w:tcW w:w="9270" w:type="dxa"/>
            <w:gridSpan w:val="5"/>
            <w:tcBorders>
              <w:top w:val="single" w:sz="6" w:space="0" w:color="auto"/>
              <w:left w:val="single" w:sz="6" w:space="0" w:color="auto"/>
              <w:bottom w:val="single" w:sz="6" w:space="0" w:color="auto"/>
              <w:right w:val="single" w:sz="6" w:space="0" w:color="auto"/>
            </w:tcBorders>
          </w:tcPr>
          <w:p w:rsidR="00236F04" w:rsidRPr="00236F04" w:rsidRDefault="00236F04" w:rsidP="00236F04">
            <w:pPr>
              <w:autoSpaceDE w:val="0"/>
              <w:autoSpaceDN w:val="0"/>
              <w:adjustRightInd w:val="0"/>
              <w:spacing w:after="0" w:line="240" w:lineRule="auto"/>
              <w:jc w:val="center"/>
              <w:rPr>
                <w:rFonts w:ascii="Times New Roman" w:eastAsia="Calibri" w:hAnsi="Times New Roman" w:cs="Times New Roman"/>
                <w:b/>
                <w:bCs/>
                <w:color w:val="000000"/>
                <w:sz w:val="24"/>
                <w:szCs w:val="24"/>
                <w:lang w:val="sq-AL"/>
              </w:rPr>
            </w:pPr>
            <w:r w:rsidRPr="00236F04">
              <w:rPr>
                <w:rFonts w:ascii="Times New Roman" w:eastAsia="Calibri" w:hAnsi="Times New Roman" w:cs="Times New Roman"/>
                <w:b/>
                <w:bCs/>
                <w:color w:val="000000"/>
                <w:sz w:val="24"/>
                <w:szCs w:val="24"/>
                <w:lang w:val="sq-AL"/>
              </w:rPr>
              <w:t>Sipërfaqja e përshkuar në rang vendi- 28,177 ha</w:t>
            </w:r>
          </w:p>
        </w:tc>
      </w:tr>
      <w:tr w:rsidR="00236F04" w:rsidRPr="00236F04" w:rsidTr="00236F04">
        <w:trPr>
          <w:trHeight w:val="318"/>
        </w:trPr>
        <w:tc>
          <w:tcPr>
            <w:tcW w:w="6390" w:type="dxa"/>
            <w:gridSpan w:val="3"/>
            <w:tcBorders>
              <w:top w:val="single" w:sz="6" w:space="0" w:color="auto"/>
              <w:left w:val="single" w:sz="6" w:space="0" w:color="auto"/>
              <w:bottom w:val="single" w:sz="6" w:space="0" w:color="auto"/>
              <w:right w:val="single" w:sz="4" w:space="0" w:color="auto"/>
            </w:tcBorders>
          </w:tcPr>
          <w:p w:rsidR="00236F04" w:rsidRPr="00236F04" w:rsidRDefault="00236F04" w:rsidP="00236F04">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236F04">
              <w:rPr>
                <w:rFonts w:ascii="Times New Roman" w:eastAsia="Calibri" w:hAnsi="Times New Roman" w:cs="Times New Roman"/>
                <w:b/>
                <w:bCs/>
                <w:color w:val="000000"/>
                <w:sz w:val="24"/>
                <w:szCs w:val="24"/>
              </w:rPr>
              <w:t>Pyje gjithsej - 24,703 ha</w:t>
            </w:r>
          </w:p>
        </w:tc>
        <w:tc>
          <w:tcPr>
            <w:tcW w:w="1224" w:type="dxa"/>
            <w:vMerge w:val="restart"/>
            <w:tcBorders>
              <w:top w:val="single" w:sz="6" w:space="0" w:color="auto"/>
              <w:left w:val="single" w:sz="4" w:space="0" w:color="auto"/>
              <w:right w:val="single" w:sz="6" w:space="0" w:color="auto"/>
            </w:tcBorders>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Kullota (ha)</w:t>
            </w:r>
          </w:p>
        </w:tc>
        <w:tc>
          <w:tcPr>
            <w:tcW w:w="1656" w:type="dxa"/>
            <w:vMerge w:val="restart"/>
            <w:tcBorders>
              <w:top w:val="single" w:sz="6" w:space="0" w:color="auto"/>
              <w:left w:val="single" w:sz="6" w:space="0" w:color="auto"/>
              <w:right w:val="single" w:sz="6" w:space="0" w:color="auto"/>
            </w:tcBorders>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Të tjera (ha)</w:t>
            </w:r>
          </w:p>
        </w:tc>
      </w:tr>
      <w:tr w:rsidR="00236F04" w:rsidRPr="00236F04" w:rsidTr="00236F04">
        <w:trPr>
          <w:trHeight w:val="237"/>
        </w:trPr>
        <w:tc>
          <w:tcPr>
            <w:tcW w:w="2250" w:type="dxa"/>
            <w:tcBorders>
              <w:top w:val="single" w:sz="6" w:space="0" w:color="auto"/>
              <w:left w:val="single" w:sz="6" w:space="0" w:color="auto"/>
              <w:bottom w:val="single" w:sz="6" w:space="0" w:color="auto"/>
              <w:right w:val="single" w:sz="6" w:space="0" w:color="auto"/>
            </w:tcBorders>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Trungishte (ha)</w:t>
            </w:r>
          </w:p>
        </w:tc>
        <w:tc>
          <w:tcPr>
            <w:tcW w:w="1980" w:type="dxa"/>
            <w:tcBorders>
              <w:top w:val="single" w:sz="6" w:space="0" w:color="auto"/>
              <w:left w:val="single" w:sz="6" w:space="0" w:color="auto"/>
              <w:bottom w:val="single" w:sz="6" w:space="0" w:color="auto"/>
              <w:right w:val="single" w:sz="6" w:space="0" w:color="auto"/>
            </w:tcBorders>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Cungishte (ha)</w:t>
            </w:r>
          </w:p>
        </w:tc>
        <w:tc>
          <w:tcPr>
            <w:tcW w:w="2160" w:type="dxa"/>
            <w:tcBorders>
              <w:top w:val="single" w:sz="6" w:space="0" w:color="auto"/>
              <w:left w:val="single" w:sz="6" w:space="0" w:color="auto"/>
              <w:bottom w:val="single" w:sz="6" w:space="0" w:color="auto"/>
              <w:right w:val="single" w:sz="4" w:space="0" w:color="auto"/>
            </w:tcBorders>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Shkurre (ha)</w:t>
            </w:r>
          </w:p>
        </w:tc>
        <w:tc>
          <w:tcPr>
            <w:tcW w:w="1224" w:type="dxa"/>
            <w:vMerge/>
            <w:tcBorders>
              <w:left w:val="single" w:sz="4" w:space="0" w:color="auto"/>
              <w:bottom w:val="single" w:sz="6" w:space="0" w:color="auto"/>
              <w:right w:val="single" w:sz="6" w:space="0" w:color="auto"/>
            </w:tcBorders>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656" w:type="dxa"/>
            <w:vMerge/>
            <w:tcBorders>
              <w:left w:val="single" w:sz="6" w:space="0" w:color="auto"/>
              <w:bottom w:val="single" w:sz="6" w:space="0" w:color="auto"/>
              <w:right w:val="single" w:sz="6" w:space="0" w:color="auto"/>
            </w:tcBorders>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color w:val="000000"/>
                <w:sz w:val="24"/>
                <w:szCs w:val="24"/>
              </w:rPr>
            </w:pPr>
          </w:p>
        </w:tc>
      </w:tr>
      <w:tr w:rsidR="00236F04" w:rsidRPr="00236F04" w:rsidTr="00236F04">
        <w:trPr>
          <w:trHeight w:val="253"/>
        </w:trPr>
        <w:tc>
          <w:tcPr>
            <w:tcW w:w="2250" w:type="dxa"/>
            <w:tcBorders>
              <w:top w:val="single" w:sz="6" w:space="0" w:color="auto"/>
              <w:left w:val="single" w:sz="6" w:space="0" w:color="auto"/>
              <w:bottom w:val="single" w:sz="6" w:space="0" w:color="auto"/>
              <w:right w:val="single" w:sz="6" w:space="0" w:color="auto"/>
            </w:tcBorders>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236F04">
              <w:rPr>
                <w:rFonts w:ascii="Times New Roman" w:eastAsia="Calibri" w:hAnsi="Times New Roman" w:cs="Times New Roman"/>
                <w:b/>
                <w:bCs/>
                <w:color w:val="000000"/>
                <w:sz w:val="24"/>
                <w:szCs w:val="24"/>
              </w:rPr>
              <w:t>12,403</w:t>
            </w:r>
          </w:p>
        </w:tc>
        <w:tc>
          <w:tcPr>
            <w:tcW w:w="1980" w:type="dxa"/>
            <w:tcBorders>
              <w:top w:val="single" w:sz="6" w:space="0" w:color="auto"/>
              <w:left w:val="single" w:sz="6" w:space="0" w:color="auto"/>
              <w:bottom w:val="single" w:sz="6" w:space="0" w:color="auto"/>
              <w:right w:val="single" w:sz="6" w:space="0" w:color="auto"/>
            </w:tcBorders>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236F04">
              <w:rPr>
                <w:rFonts w:ascii="Times New Roman" w:eastAsia="Calibri" w:hAnsi="Times New Roman" w:cs="Times New Roman"/>
                <w:b/>
                <w:bCs/>
                <w:color w:val="000000"/>
                <w:sz w:val="24"/>
                <w:szCs w:val="24"/>
              </w:rPr>
              <w:t>8,129</w:t>
            </w:r>
          </w:p>
        </w:tc>
        <w:tc>
          <w:tcPr>
            <w:tcW w:w="2160" w:type="dxa"/>
            <w:tcBorders>
              <w:top w:val="single" w:sz="6" w:space="0" w:color="auto"/>
              <w:left w:val="single" w:sz="6" w:space="0" w:color="auto"/>
              <w:bottom w:val="single" w:sz="6" w:space="0" w:color="auto"/>
              <w:right w:val="single" w:sz="6" w:space="0" w:color="auto"/>
            </w:tcBorders>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236F04">
              <w:rPr>
                <w:rFonts w:ascii="Times New Roman" w:eastAsia="Calibri" w:hAnsi="Times New Roman" w:cs="Times New Roman"/>
                <w:b/>
                <w:bCs/>
                <w:color w:val="000000"/>
                <w:sz w:val="24"/>
                <w:szCs w:val="24"/>
              </w:rPr>
              <w:t>4,000</w:t>
            </w:r>
          </w:p>
        </w:tc>
        <w:tc>
          <w:tcPr>
            <w:tcW w:w="1224" w:type="dxa"/>
            <w:tcBorders>
              <w:top w:val="single" w:sz="6" w:space="0" w:color="auto"/>
              <w:left w:val="single" w:sz="6" w:space="0" w:color="auto"/>
              <w:bottom w:val="single" w:sz="6" w:space="0" w:color="auto"/>
              <w:right w:val="single" w:sz="6" w:space="0" w:color="auto"/>
            </w:tcBorders>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236F04">
              <w:rPr>
                <w:rFonts w:ascii="Times New Roman" w:eastAsia="Calibri" w:hAnsi="Times New Roman" w:cs="Times New Roman"/>
                <w:b/>
                <w:bCs/>
                <w:color w:val="000000"/>
                <w:sz w:val="24"/>
                <w:szCs w:val="24"/>
              </w:rPr>
              <w:t>3,474</w:t>
            </w:r>
          </w:p>
        </w:tc>
        <w:tc>
          <w:tcPr>
            <w:tcW w:w="1656" w:type="dxa"/>
            <w:tcBorders>
              <w:top w:val="single" w:sz="6" w:space="0" w:color="auto"/>
              <w:left w:val="single" w:sz="6" w:space="0" w:color="auto"/>
              <w:bottom w:val="single" w:sz="6" w:space="0" w:color="auto"/>
              <w:right w:val="single" w:sz="6" w:space="0" w:color="auto"/>
            </w:tcBorders>
          </w:tcPr>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236F04">
              <w:rPr>
                <w:rFonts w:ascii="Times New Roman" w:eastAsia="Calibri" w:hAnsi="Times New Roman" w:cs="Times New Roman"/>
                <w:b/>
                <w:bCs/>
                <w:color w:val="000000"/>
                <w:sz w:val="24"/>
                <w:szCs w:val="24"/>
              </w:rPr>
              <w:t>171</w:t>
            </w:r>
          </w:p>
        </w:tc>
      </w:tr>
    </w:tbl>
    <w:p w:rsidR="00236F04" w:rsidRPr="00236F04" w:rsidRDefault="00236F04" w:rsidP="00236F04">
      <w:pPr>
        <w:tabs>
          <w:tab w:val="left" w:pos="1555"/>
        </w:tabs>
        <w:spacing w:after="0" w:line="240" w:lineRule="auto"/>
        <w:jc w:val="both"/>
        <w:rPr>
          <w:rFonts w:ascii="Times New Roman" w:eastAsia="Calibri" w:hAnsi="Times New Roman" w:cs="Times New Roman"/>
          <w:b/>
          <w:i/>
          <w:noProof/>
          <w:sz w:val="24"/>
          <w:szCs w:val="24"/>
          <w:lang w:val="sq-AL"/>
        </w:rPr>
      </w:pPr>
    </w:p>
    <w:p w:rsidR="00236F04" w:rsidRPr="00236F04" w:rsidRDefault="00236F04" w:rsidP="00236F04">
      <w:pPr>
        <w:spacing w:after="0" w:line="240" w:lineRule="auto"/>
        <w:contextualSpacing/>
        <w:jc w:val="both"/>
        <w:rPr>
          <w:rFonts w:ascii="Times New Roman" w:eastAsia="Calibri" w:hAnsi="Times New Roman" w:cs="Times New Roman"/>
          <w:b/>
          <w:i/>
          <w:noProof/>
          <w:sz w:val="24"/>
          <w:szCs w:val="24"/>
          <w:lang w:val="sq-AL"/>
        </w:rPr>
      </w:pPr>
      <w:r w:rsidRPr="00AF0E6E">
        <w:rPr>
          <w:rFonts w:ascii="Times New Roman" w:eastAsia="Calibri" w:hAnsi="Times New Roman" w:cs="Times New Roman"/>
          <w:b/>
          <w:i/>
          <w:noProof/>
          <w:sz w:val="24"/>
          <w:szCs w:val="24"/>
          <w:u w:val="single"/>
          <w:lang w:val="sq-AL"/>
        </w:rPr>
        <w:t>Sipërfaqja e djegur sipas formës së qeverisjes</w:t>
      </w:r>
      <w:r w:rsidRPr="00236F04">
        <w:rPr>
          <w:rFonts w:ascii="Times New Roman" w:eastAsia="Calibri" w:hAnsi="Times New Roman" w:cs="Times New Roman"/>
          <w:b/>
          <w:i/>
          <w:noProof/>
          <w:sz w:val="24"/>
          <w:szCs w:val="24"/>
          <w:lang w:val="sq-AL"/>
        </w:rPr>
        <w:t>.</w:t>
      </w:r>
    </w:p>
    <w:p w:rsidR="00236F04" w:rsidRPr="00236F04" w:rsidRDefault="00236F04" w:rsidP="00236F04">
      <w:pPr>
        <w:spacing w:after="0" w:line="240" w:lineRule="auto"/>
        <w:jc w:val="both"/>
        <w:rPr>
          <w:rFonts w:ascii="Times New Roman" w:eastAsia="Calibri" w:hAnsi="Times New Roman" w:cs="Times New Roman"/>
          <w:noProof/>
          <w:sz w:val="24"/>
          <w:szCs w:val="24"/>
          <w:lang w:val="sq-AL"/>
        </w:rPr>
      </w:pPr>
      <w:r w:rsidRPr="00236F04">
        <w:rPr>
          <w:rFonts w:ascii="Times New Roman" w:eastAsia="Calibri" w:hAnsi="Times New Roman" w:cs="Times New Roman"/>
          <w:noProof/>
          <w:sz w:val="24"/>
          <w:szCs w:val="24"/>
          <w:lang w:val="sq-AL"/>
        </w:rPr>
        <w:t>Sipërfaqja totale e djegur në fondin pyjor/kullosor deri në tetor 2025 është:</w:t>
      </w:r>
    </w:p>
    <w:p w:rsidR="00236F04" w:rsidRPr="00236F04" w:rsidRDefault="00236F04" w:rsidP="00236F04">
      <w:pPr>
        <w:spacing w:after="0" w:line="240" w:lineRule="auto"/>
        <w:contextualSpacing/>
        <w:jc w:val="both"/>
        <w:rPr>
          <w:rFonts w:ascii="Times New Roman" w:eastAsia="Calibri" w:hAnsi="Times New Roman" w:cs="Times New Roman"/>
          <w:noProof/>
          <w:sz w:val="24"/>
          <w:szCs w:val="24"/>
          <w:lang w:val="sq-AL"/>
        </w:rPr>
      </w:pPr>
      <w:r w:rsidRPr="00236F04">
        <w:rPr>
          <w:rFonts w:ascii="Times New Roman" w:eastAsia="Calibri" w:hAnsi="Times New Roman" w:cs="Times New Roman"/>
          <w:b/>
          <w:noProof/>
          <w:sz w:val="24"/>
          <w:szCs w:val="24"/>
          <w:lang w:val="sq-AL"/>
        </w:rPr>
        <w:t>14,975 ha</w:t>
      </w:r>
      <w:r w:rsidRPr="00236F04">
        <w:rPr>
          <w:rFonts w:ascii="Times New Roman" w:eastAsia="Calibri" w:hAnsi="Times New Roman" w:cs="Times New Roman"/>
          <w:noProof/>
          <w:sz w:val="24"/>
          <w:szCs w:val="24"/>
          <w:lang w:val="sq-AL"/>
        </w:rPr>
        <w:t xml:space="preserve"> sipërfaqe në fondin pyjor e kullosor djegur nga të cilat:</w:t>
      </w:r>
    </w:p>
    <w:p w:rsidR="00236F04" w:rsidRPr="00236F04" w:rsidRDefault="00236F04" w:rsidP="00236F04">
      <w:pPr>
        <w:spacing w:after="0" w:line="240" w:lineRule="auto"/>
        <w:contextualSpacing/>
        <w:jc w:val="both"/>
        <w:rPr>
          <w:rFonts w:ascii="Times New Roman" w:eastAsia="Calibri" w:hAnsi="Times New Roman" w:cs="Times New Roman"/>
          <w:noProof/>
          <w:sz w:val="24"/>
          <w:szCs w:val="24"/>
          <w:lang w:val="sq-AL"/>
        </w:rPr>
      </w:pPr>
      <w:r w:rsidRPr="00236F04">
        <w:rPr>
          <w:rFonts w:ascii="Times New Roman" w:eastAsia="Calibri" w:hAnsi="Times New Roman" w:cs="Times New Roman"/>
          <w:b/>
          <w:noProof/>
          <w:sz w:val="24"/>
          <w:szCs w:val="24"/>
          <w:lang w:val="sq-AL"/>
        </w:rPr>
        <w:t>9,063 ha</w:t>
      </w:r>
      <w:r w:rsidRPr="00236F04">
        <w:rPr>
          <w:rFonts w:ascii="Times New Roman" w:eastAsia="Calibri" w:hAnsi="Times New Roman" w:cs="Times New Roman"/>
          <w:noProof/>
          <w:sz w:val="24"/>
          <w:szCs w:val="24"/>
          <w:lang w:val="sq-AL"/>
        </w:rPr>
        <w:t xml:space="preserve"> sipërfaqe e djegur në fondin pyjor;</w:t>
      </w:r>
    </w:p>
    <w:p w:rsidR="00236F04" w:rsidRPr="00236F04" w:rsidRDefault="00236F04" w:rsidP="00236F04">
      <w:pPr>
        <w:spacing w:after="0" w:line="240" w:lineRule="auto"/>
        <w:contextualSpacing/>
        <w:jc w:val="both"/>
        <w:rPr>
          <w:rFonts w:ascii="Times New Roman" w:eastAsia="Calibri" w:hAnsi="Times New Roman" w:cs="Times New Roman"/>
          <w:noProof/>
          <w:sz w:val="24"/>
          <w:szCs w:val="24"/>
          <w:lang w:val="sq-AL"/>
        </w:rPr>
      </w:pPr>
      <w:r w:rsidRPr="00236F04">
        <w:rPr>
          <w:rFonts w:ascii="Times New Roman" w:eastAsia="Calibri" w:hAnsi="Times New Roman" w:cs="Times New Roman"/>
          <w:b/>
          <w:noProof/>
          <w:sz w:val="24"/>
          <w:szCs w:val="24"/>
          <w:lang w:val="sq-AL"/>
        </w:rPr>
        <w:t>5,913 ha</w:t>
      </w:r>
      <w:r w:rsidRPr="00236F04">
        <w:rPr>
          <w:rFonts w:ascii="Times New Roman" w:eastAsia="Calibri" w:hAnsi="Times New Roman" w:cs="Times New Roman"/>
          <w:noProof/>
          <w:sz w:val="24"/>
          <w:szCs w:val="24"/>
          <w:lang w:val="sq-AL"/>
        </w:rPr>
        <w:t xml:space="preserve"> sipërfaqe e djegur në fondin kullosor;</w:t>
      </w:r>
    </w:p>
    <w:p w:rsidR="00236F04" w:rsidRPr="00236F04" w:rsidRDefault="00236F04" w:rsidP="00236F04">
      <w:pPr>
        <w:spacing w:after="0" w:line="240" w:lineRule="auto"/>
        <w:jc w:val="both"/>
        <w:rPr>
          <w:rFonts w:ascii="Times New Roman" w:eastAsia="Times New Roman" w:hAnsi="Times New Roman" w:cs="Times New Roman"/>
          <w:noProof/>
          <w:sz w:val="24"/>
          <w:szCs w:val="24"/>
        </w:rPr>
      </w:pPr>
    </w:p>
    <w:tbl>
      <w:tblPr>
        <w:tblW w:w="9258" w:type="dxa"/>
        <w:tblInd w:w="108" w:type="dxa"/>
        <w:tblLook w:val="04A0" w:firstRow="1" w:lastRow="0" w:firstColumn="1" w:lastColumn="0" w:noHBand="0" w:noVBand="1"/>
      </w:tblPr>
      <w:tblGrid>
        <w:gridCol w:w="2374"/>
        <w:gridCol w:w="2392"/>
        <w:gridCol w:w="1624"/>
        <w:gridCol w:w="1629"/>
        <w:gridCol w:w="1239"/>
      </w:tblGrid>
      <w:tr w:rsidR="00236F04" w:rsidRPr="00236F04" w:rsidTr="00236F04">
        <w:trPr>
          <w:trHeight w:val="254"/>
        </w:trPr>
        <w:tc>
          <w:tcPr>
            <w:tcW w:w="9258" w:type="dxa"/>
            <w:gridSpan w:val="5"/>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jc w:val="center"/>
              <w:rPr>
                <w:rFonts w:ascii="Times New Roman" w:eastAsia="Times New Roman" w:hAnsi="Times New Roman" w:cs="Times New Roman"/>
                <w:b/>
                <w:bCs/>
                <w:color w:val="000000"/>
                <w:sz w:val="24"/>
                <w:szCs w:val="24"/>
              </w:rPr>
            </w:pPr>
            <w:r w:rsidRPr="00236F04">
              <w:rPr>
                <w:rFonts w:ascii="Times New Roman" w:eastAsia="Times New Roman" w:hAnsi="Times New Roman" w:cs="Times New Roman"/>
                <w:b/>
                <w:bCs/>
                <w:color w:val="000000"/>
                <w:sz w:val="24"/>
                <w:szCs w:val="24"/>
                <w:lang w:val="sq-AL"/>
              </w:rPr>
              <w:t>Sipërfaqja e djegur në rang vendi 14,975 ha</w:t>
            </w:r>
          </w:p>
        </w:tc>
      </w:tr>
      <w:tr w:rsidR="00236F04" w:rsidRPr="00236F04" w:rsidTr="00236F04">
        <w:trPr>
          <w:trHeight w:val="327"/>
        </w:trPr>
        <w:tc>
          <w:tcPr>
            <w:tcW w:w="6390" w:type="dxa"/>
            <w:gridSpan w:val="3"/>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jc w:val="center"/>
              <w:rPr>
                <w:rFonts w:ascii="Times New Roman" w:eastAsia="Times New Roman" w:hAnsi="Times New Roman" w:cs="Times New Roman"/>
                <w:b/>
                <w:bCs/>
                <w:color w:val="000000"/>
                <w:sz w:val="24"/>
                <w:szCs w:val="24"/>
              </w:rPr>
            </w:pPr>
            <w:r w:rsidRPr="00236F04">
              <w:rPr>
                <w:rFonts w:ascii="Times New Roman" w:eastAsia="Times New Roman" w:hAnsi="Times New Roman" w:cs="Times New Roman"/>
                <w:b/>
                <w:bCs/>
                <w:color w:val="000000"/>
                <w:sz w:val="24"/>
                <w:szCs w:val="24"/>
                <w:lang w:val="sq-AL"/>
              </w:rPr>
              <w:t>Pyje gjithsej - 9,063 ha</w:t>
            </w:r>
          </w:p>
        </w:tc>
        <w:tc>
          <w:tcPr>
            <w:tcW w:w="1629" w:type="dxa"/>
            <w:vMerge w:val="restart"/>
            <w:tcBorders>
              <w:top w:val="nil"/>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lang w:val="sq-AL"/>
              </w:rPr>
              <w:t>Kullota (ha)</w:t>
            </w:r>
          </w:p>
        </w:tc>
        <w:tc>
          <w:tcPr>
            <w:tcW w:w="1239" w:type="dxa"/>
            <w:vMerge w:val="restart"/>
            <w:tcBorders>
              <w:top w:val="nil"/>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lang w:val="sq-AL"/>
              </w:rPr>
              <w:t>Të tjera (ha)</w:t>
            </w:r>
          </w:p>
        </w:tc>
      </w:tr>
      <w:tr w:rsidR="00236F04" w:rsidRPr="00236F04" w:rsidTr="00236F04">
        <w:trPr>
          <w:trHeight w:val="260"/>
        </w:trPr>
        <w:tc>
          <w:tcPr>
            <w:tcW w:w="2374" w:type="dxa"/>
            <w:tcBorders>
              <w:top w:val="nil"/>
              <w:left w:val="single" w:sz="4" w:space="0" w:color="auto"/>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lang w:val="sq-AL"/>
              </w:rPr>
              <w:t>Trungishte (ha)</w:t>
            </w:r>
          </w:p>
        </w:tc>
        <w:tc>
          <w:tcPr>
            <w:tcW w:w="2392"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lang w:val="sq-AL"/>
              </w:rPr>
              <w:t>Cungishte (ha)</w:t>
            </w:r>
          </w:p>
        </w:tc>
        <w:tc>
          <w:tcPr>
            <w:tcW w:w="1624"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lang w:val="sq-AL"/>
              </w:rPr>
              <w:t>Shkurre (ha)</w:t>
            </w:r>
          </w:p>
        </w:tc>
        <w:tc>
          <w:tcPr>
            <w:tcW w:w="1629" w:type="dxa"/>
            <w:vMerge/>
            <w:tcBorders>
              <w:top w:val="nil"/>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p>
        </w:tc>
        <w:tc>
          <w:tcPr>
            <w:tcW w:w="1239" w:type="dxa"/>
            <w:vMerge/>
            <w:tcBorders>
              <w:top w:val="nil"/>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rPr>
            </w:pPr>
          </w:p>
        </w:tc>
      </w:tr>
      <w:tr w:rsidR="00236F04" w:rsidRPr="00236F04" w:rsidTr="00236F04">
        <w:trPr>
          <w:trHeight w:val="254"/>
        </w:trPr>
        <w:tc>
          <w:tcPr>
            <w:tcW w:w="2374" w:type="dxa"/>
            <w:tcBorders>
              <w:top w:val="nil"/>
              <w:left w:val="single" w:sz="4" w:space="0" w:color="auto"/>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Times New Roman" w:hAnsi="Times New Roman" w:cs="Times New Roman"/>
                <w:b/>
                <w:color w:val="000000"/>
                <w:sz w:val="24"/>
                <w:szCs w:val="24"/>
              </w:rPr>
            </w:pPr>
            <w:r w:rsidRPr="00236F04">
              <w:rPr>
                <w:rFonts w:ascii="Times New Roman" w:eastAsia="Times New Roman" w:hAnsi="Times New Roman" w:cs="Times New Roman"/>
                <w:b/>
                <w:color w:val="000000"/>
                <w:sz w:val="24"/>
                <w:szCs w:val="24"/>
                <w:lang w:val="sq-AL"/>
              </w:rPr>
              <w:t>4854</w:t>
            </w:r>
          </w:p>
        </w:tc>
        <w:tc>
          <w:tcPr>
            <w:tcW w:w="2392"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Times New Roman" w:hAnsi="Times New Roman" w:cs="Times New Roman"/>
                <w:b/>
                <w:color w:val="000000"/>
                <w:sz w:val="24"/>
                <w:szCs w:val="24"/>
              </w:rPr>
            </w:pPr>
            <w:r w:rsidRPr="00236F04">
              <w:rPr>
                <w:rFonts w:ascii="Times New Roman" w:eastAsia="Times New Roman" w:hAnsi="Times New Roman" w:cs="Times New Roman"/>
                <w:b/>
                <w:color w:val="000000"/>
                <w:sz w:val="24"/>
                <w:szCs w:val="24"/>
                <w:lang w:val="sq-AL"/>
              </w:rPr>
              <w:t>4209</w:t>
            </w:r>
          </w:p>
        </w:tc>
        <w:tc>
          <w:tcPr>
            <w:tcW w:w="1624"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Times New Roman" w:hAnsi="Times New Roman" w:cs="Times New Roman"/>
                <w:b/>
                <w:color w:val="000000"/>
                <w:sz w:val="24"/>
                <w:szCs w:val="24"/>
              </w:rPr>
            </w:pPr>
            <w:r w:rsidRPr="00236F04">
              <w:rPr>
                <w:rFonts w:ascii="Times New Roman" w:eastAsia="Times New Roman" w:hAnsi="Times New Roman" w:cs="Times New Roman"/>
                <w:b/>
                <w:color w:val="000000"/>
                <w:sz w:val="24"/>
                <w:szCs w:val="24"/>
                <w:lang w:val="sq-AL"/>
              </w:rPr>
              <w:t>900</w:t>
            </w:r>
          </w:p>
        </w:tc>
        <w:tc>
          <w:tcPr>
            <w:tcW w:w="1629"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Times New Roman" w:hAnsi="Times New Roman" w:cs="Times New Roman"/>
                <w:b/>
                <w:color w:val="000000"/>
                <w:sz w:val="24"/>
                <w:szCs w:val="24"/>
              </w:rPr>
            </w:pPr>
            <w:r w:rsidRPr="00236F04">
              <w:rPr>
                <w:rFonts w:ascii="Times New Roman" w:eastAsia="Times New Roman" w:hAnsi="Times New Roman" w:cs="Times New Roman"/>
                <w:b/>
                <w:color w:val="000000"/>
                <w:sz w:val="24"/>
                <w:szCs w:val="24"/>
                <w:lang w:val="sq-AL"/>
              </w:rPr>
              <w:t>5,913</w:t>
            </w:r>
          </w:p>
        </w:tc>
        <w:tc>
          <w:tcPr>
            <w:tcW w:w="1239"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Times New Roman" w:hAnsi="Times New Roman" w:cs="Times New Roman"/>
                <w:b/>
                <w:color w:val="000000"/>
                <w:sz w:val="24"/>
                <w:szCs w:val="24"/>
              </w:rPr>
            </w:pPr>
            <w:r w:rsidRPr="00236F04">
              <w:rPr>
                <w:rFonts w:ascii="Times New Roman" w:eastAsia="Times New Roman" w:hAnsi="Times New Roman" w:cs="Times New Roman"/>
                <w:b/>
                <w:color w:val="000000"/>
                <w:sz w:val="24"/>
                <w:szCs w:val="24"/>
                <w:lang w:val="sq-AL"/>
              </w:rPr>
              <w:t>12</w:t>
            </w:r>
          </w:p>
        </w:tc>
      </w:tr>
    </w:tbl>
    <w:p w:rsidR="00236F04" w:rsidRPr="00236F04" w:rsidRDefault="00236F04" w:rsidP="00236F04">
      <w:pPr>
        <w:spacing w:after="0" w:line="240" w:lineRule="auto"/>
        <w:contextualSpacing/>
        <w:jc w:val="both"/>
        <w:rPr>
          <w:rFonts w:ascii="Times New Roman" w:eastAsia="Calibri" w:hAnsi="Times New Roman" w:cs="Times New Roman"/>
          <w:b/>
          <w:i/>
          <w:noProof/>
          <w:sz w:val="24"/>
          <w:szCs w:val="24"/>
          <w:lang w:val="sq-AL"/>
        </w:rPr>
      </w:pPr>
    </w:p>
    <w:p w:rsidR="00236F04" w:rsidRPr="00AF0E6E" w:rsidRDefault="00236F04" w:rsidP="00236F04">
      <w:pPr>
        <w:spacing w:after="0" w:line="240" w:lineRule="auto"/>
        <w:contextualSpacing/>
        <w:jc w:val="both"/>
        <w:rPr>
          <w:rFonts w:ascii="Times New Roman" w:eastAsia="Calibri" w:hAnsi="Times New Roman" w:cs="Times New Roman"/>
          <w:b/>
          <w:i/>
          <w:noProof/>
          <w:sz w:val="24"/>
          <w:szCs w:val="24"/>
          <w:u w:val="single"/>
          <w:lang w:val="sq-AL"/>
        </w:rPr>
      </w:pPr>
      <w:r w:rsidRPr="00AF0E6E">
        <w:rPr>
          <w:rFonts w:ascii="Times New Roman" w:eastAsia="Calibri" w:hAnsi="Times New Roman" w:cs="Times New Roman"/>
          <w:b/>
          <w:i/>
          <w:noProof/>
          <w:sz w:val="24"/>
          <w:szCs w:val="24"/>
          <w:u w:val="single"/>
          <w:lang w:val="sq-AL"/>
        </w:rPr>
        <w:t>Sasia e volumit të djegur.</w:t>
      </w:r>
    </w:p>
    <w:p w:rsidR="00236F04" w:rsidRPr="00236F04" w:rsidRDefault="00236F04" w:rsidP="00236F04">
      <w:pPr>
        <w:spacing w:after="0" w:line="240" w:lineRule="auto"/>
        <w:jc w:val="both"/>
        <w:rPr>
          <w:rFonts w:ascii="Times New Roman" w:eastAsia="Calibri" w:hAnsi="Times New Roman" w:cs="Times New Roman"/>
          <w:noProof/>
          <w:sz w:val="24"/>
          <w:szCs w:val="24"/>
          <w:lang w:val="sq-AL"/>
        </w:rPr>
      </w:pPr>
      <w:r w:rsidRPr="00236F04">
        <w:rPr>
          <w:rFonts w:ascii="Times New Roman" w:eastAsia="Calibri" w:hAnsi="Times New Roman" w:cs="Times New Roman"/>
          <w:noProof/>
          <w:sz w:val="24"/>
          <w:szCs w:val="24"/>
          <w:lang w:val="sq-AL"/>
        </w:rPr>
        <w:t>Vëllimi drusor i djegur përkufizohet si sasia e materialit drusor të djegur nga zjarri, e matur në metër kub (m³), që përfshin trungje, degë dhe pjesë të tjera të drurëve me vlerë ekonomike ose ekologjike.</w:t>
      </w:r>
    </w:p>
    <w:p w:rsidR="00236F04" w:rsidRPr="00236F04" w:rsidRDefault="00236F04" w:rsidP="00236F04">
      <w:pPr>
        <w:spacing w:after="0" w:line="240" w:lineRule="auto"/>
        <w:jc w:val="both"/>
        <w:rPr>
          <w:rFonts w:ascii="Times New Roman" w:eastAsia="Calibri" w:hAnsi="Times New Roman" w:cs="Times New Roman"/>
          <w:noProof/>
          <w:sz w:val="24"/>
          <w:szCs w:val="24"/>
          <w:lang w:val="sq-AL"/>
        </w:rPr>
      </w:pPr>
      <w:r w:rsidRPr="00236F04">
        <w:rPr>
          <w:rFonts w:ascii="Times New Roman" w:eastAsia="Calibri" w:hAnsi="Times New Roman" w:cs="Times New Roman"/>
          <w:noProof/>
          <w:sz w:val="24"/>
          <w:szCs w:val="24"/>
          <w:lang w:val="sq-AL"/>
        </w:rPr>
        <w:lastRenderedPageBreak/>
        <w:t xml:space="preserve"> Për periudhën deri në tetor të 2025 rezulton:</w:t>
      </w:r>
    </w:p>
    <w:p w:rsidR="00236F04" w:rsidRPr="00236F04" w:rsidRDefault="00236F04" w:rsidP="00236F04">
      <w:pPr>
        <w:spacing w:after="0" w:line="240" w:lineRule="auto"/>
        <w:contextualSpacing/>
        <w:jc w:val="both"/>
        <w:rPr>
          <w:rFonts w:ascii="Times New Roman" w:eastAsia="Calibri" w:hAnsi="Times New Roman" w:cs="Times New Roman"/>
          <w:noProof/>
          <w:sz w:val="24"/>
          <w:szCs w:val="24"/>
          <w:lang w:val="sq-AL"/>
        </w:rPr>
      </w:pPr>
      <w:r w:rsidRPr="00236F04">
        <w:rPr>
          <w:rFonts w:ascii="Times New Roman" w:eastAsia="Calibri" w:hAnsi="Times New Roman" w:cs="Times New Roman"/>
          <w:b/>
          <w:noProof/>
          <w:sz w:val="24"/>
          <w:szCs w:val="24"/>
          <w:lang w:val="sq-AL"/>
        </w:rPr>
        <w:t>123,563 m</w:t>
      </w:r>
      <w:r w:rsidRPr="00236F04">
        <w:rPr>
          <w:rFonts w:ascii="Times New Roman" w:eastAsia="Calibri" w:hAnsi="Times New Roman" w:cs="Times New Roman"/>
          <w:b/>
          <w:noProof/>
          <w:sz w:val="24"/>
          <w:szCs w:val="24"/>
          <w:vertAlign w:val="superscript"/>
          <w:lang w:val="sq-AL"/>
        </w:rPr>
        <w:t>3</w:t>
      </w:r>
      <w:r w:rsidRPr="00236F04">
        <w:rPr>
          <w:rFonts w:ascii="Times New Roman" w:eastAsia="Calibri" w:hAnsi="Times New Roman" w:cs="Times New Roman"/>
          <w:noProof/>
          <w:sz w:val="24"/>
          <w:szCs w:val="24"/>
          <w:lang w:val="sq-AL"/>
        </w:rPr>
        <w:t xml:space="preserve"> material drusor i djegur nga zjarri;</w:t>
      </w:r>
    </w:p>
    <w:p w:rsidR="00236F04" w:rsidRPr="00236F04" w:rsidRDefault="00236F04" w:rsidP="00236F04">
      <w:pPr>
        <w:spacing w:after="0" w:line="240" w:lineRule="auto"/>
        <w:contextualSpacing/>
        <w:jc w:val="both"/>
        <w:rPr>
          <w:rFonts w:ascii="Times New Roman" w:eastAsia="Calibri" w:hAnsi="Times New Roman" w:cs="Times New Roman"/>
          <w:noProof/>
          <w:sz w:val="24"/>
          <w:szCs w:val="24"/>
          <w:lang w:val="sq-AL"/>
        </w:rPr>
      </w:pPr>
      <w:r w:rsidRPr="00236F04">
        <w:rPr>
          <w:rFonts w:ascii="Times New Roman" w:eastAsia="Calibri" w:hAnsi="Times New Roman" w:cs="Times New Roman"/>
          <w:b/>
          <w:noProof/>
          <w:sz w:val="24"/>
          <w:szCs w:val="24"/>
          <w:lang w:val="sq-AL"/>
        </w:rPr>
        <w:t>103,263 m</w:t>
      </w:r>
      <w:r w:rsidRPr="00236F04">
        <w:rPr>
          <w:rFonts w:ascii="Times New Roman" w:eastAsia="Calibri" w:hAnsi="Times New Roman" w:cs="Times New Roman"/>
          <w:b/>
          <w:noProof/>
          <w:sz w:val="24"/>
          <w:szCs w:val="24"/>
          <w:vertAlign w:val="superscript"/>
          <w:lang w:val="sq-AL"/>
        </w:rPr>
        <w:t>3</w:t>
      </w:r>
      <w:r w:rsidRPr="00236F04">
        <w:rPr>
          <w:rFonts w:ascii="Times New Roman" w:eastAsia="Calibri" w:hAnsi="Times New Roman" w:cs="Times New Roman"/>
          <w:noProof/>
          <w:sz w:val="24"/>
          <w:szCs w:val="24"/>
          <w:vertAlign w:val="superscript"/>
          <w:lang w:val="sq-AL"/>
        </w:rPr>
        <w:t xml:space="preserve"> </w:t>
      </w:r>
      <w:r w:rsidRPr="00236F04">
        <w:rPr>
          <w:rFonts w:ascii="Times New Roman" w:eastAsia="Calibri" w:hAnsi="Times New Roman" w:cs="Times New Roman"/>
          <w:bCs/>
          <w:noProof/>
          <w:sz w:val="24"/>
          <w:szCs w:val="24"/>
          <w:lang w:val="sq-AL"/>
        </w:rPr>
        <w:t>material drusor i djegur plotësisht;</w:t>
      </w:r>
    </w:p>
    <w:p w:rsidR="00236F04" w:rsidRPr="00236F04" w:rsidRDefault="00236F04" w:rsidP="00236F04">
      <w:pPr>
        <w:spacing w:after="0" w:line="240" w:lineRule="auto"/>
        <w:contextualSpacing/>
        <w:jc w:val="both"/>
        <w:rPr>
          <w:rFonts w:ascii="Times New Roman" w:eastAsia="Calibri" w:hAnsi="Times New Roman" w:cs="Times New Roman"/>
          <w:noProof/>
          <w:sz w:val="24"/>
          <w:szCs w:val="24"/>
          <w:lang w:val="sq-AL"/>
        </w:rPr>
      </w:pPr>
      <w:r w:rsidRPr="00236F04">
        <w:rPr>
          <w:rFonts w:ascii="Times New Roman" w:eastAsia="Calibri" w:hAnsi="Times New Roman" w:cs="Times New Roman"/>
          <w:b/>
          <w:noProof/>
          <w:sz w:val="24"/>
          <w:szCs w:val="24"/>
          <w:lang w:val="sq-AL"/>
        </w:rPr>
        <w:t>20,300   m</w:t>
      </w:r>
      <w:r w:rsidRPr="00236F04">
        <w:rPr>
          <w:rFonts w:ascii="Times New Roman" w:eastAsia="Calibri" w:hAnsi="Times New Roman" w:cs="Times New Roman"/>
          <w:b/>
          <w:noProof/>
          <w:sz w:val="24"/>
          <w:szCs w:val="24"/>
          <w:vertAlign w:val="superscript"/>
          <w:lang w:val="sq-AL"/>
        </w:rPr>
        <w:t>3</w:t>
      </w:r>
      <w:r w:rsidRPr="00236F04">
        <w:rPr>
          <w:rFonts w:ascii="Times New Roman" w:eastAsia="Calibri" w:hAnsi="Times New Roman" w:cs="Times New Roman"/>
          <w:noProof/>
          <w:sz w:val="24"/>
          <w:szCs w:val="24"/>
          <w:vertAlign w:val="superscript"/>
          <w:lang w:val="sq-AL"/>
        </w:rPr>
        <w:t xml:space="preserve"> </w:t>
      </w:r>
      <w:r w:rsidRPr="00236F04">
        <w:rPr>
          <w:rFonts w:ascii="Times New Roman" w:eastAsia="Times New Roman" w:hAnsi="Times New Roman" w:cs="Times New Roman"/>
          <w:bCs/>
          <w:color w:val="000000"/>
          <w:sz w:val="24"/>
          <w:szCs w:val="24"/>
          <w:lang w:val="sq-AL"/>
        </w:rPr>
        <w:t>material drusor i djegur, por i përdorshëm për shfrytëzim</w:t>
      </w:r>
      <w:r w:rsidRPr="00236F04">
        <w:rPr>
          <w:rFonts w:ascii="Times New Roman" w:eastAsia="Calibri" w:hAnsi="Times New Roman" w:cs="Times New Roman"/>
          <w:noProof/>
          <w:sz w:val="24"/>
          <w:szCs w:val="24"/>
          <w:lang w:val="sq-AL"/>
        </w:rPr>
        <w:t>;</w:t>
      </w:r>
    </w:p>
    <w:p w:rsidR="00236F04" w:rsidRPr="00236F04" w:rsidRDefault="00236F04" w:rsidP="00236F04">
      <w:pPr>
        <w:spacing w:after="0" w:line="240" w:lineRule="auto"/>
        <w:contextualSpacing/>
        <w:jc w:val="both"/>
        <w:rPr>
          <w:rFonts w:ascii="Times New Roman" w:eastAsia="Calibri" w:hAnsi="Times New Roman" w:cs="Times New Roman"/>
          <w:b/>
          <w:i/>
          <w:color w:val="000000"/>
          <w:sz w:val="24"/>
          <w:szCs w:val="24"/>
          <w:lang w:val="sq-AL"/>
        </w:rPr>
      </w:pPr>
    </w:p>
    <w:p w:rsidR="00236F04" w:rsidRPr="00AF0E6E" w:rsidRDefault="00236F04" w:rsidP="00236F04">
      <w:pPr>
        <w:spacing w:after="0" w:line="240" w:lineRule="auto"/>
        <w:contextualSpacing/>
        <w:jc w:val="both"/>
        <w:rPr>
          <w:rFonts w:ascii="Times New Roman" w:eastAsia="Calibri" w:hAnsi="Times New Roman" w:cs="Times New Roman"/>
          <w:b/>
          <w:i/>
          <w:color w:val="000000"/>
          <w:sz w:val="24"/>
          <w:szCs w:val="24"/>
          <w:u w:val="single"/>
          <w:lang w:val="sq-AL"/>
        </w:rPr>
      </w:pPr>
      <w:r w:rsidRPr="00AF0E6E">
        <w:rPr>
          <w:rFonts w:ascii="Times New Roman" w:eastAsia="Calibri" w:hAnsi="Times New Roman" w:cs="Times New Roman"/>
          <w:b/>
          <w:i/>
          <w:color w:val="000000"/>
          <w:sz w:val="24"/>
          <w:szCs w:val="24"/>
          <w:u w:val="single"/>
          <w:lang w:val="sq-AL"/>
        </w:rPr>
        <w:t>Vlera e dëmit nga raportimet e bashkive.</w:t>
      </w:r>
    </w:p>
    <w:p w:rsidR="00236F04" w:rsidRPr="00236F04" w:rsidRDefault="00236F04" w:rsidP="00236F04">
      <w:pPr>
        <w:spacing w:after="0" w:line="240" w:lineRule="auto"/>
        <w:jc w:val="both"/>
        <w:rPr>
          <w:rFonts w:ascii="Times New Roman" w:eastAsia="Calibri" w:hAnsi="Times New Roman" w:cs="Times New Roman"/>
          <w:sz w:val="24"/>
          <w:szCs w:val="24"/>
          <w:lang w:val="sq-AL"/>
        </w:rPr>
      </w:pPr>
      <w:r w:rsidRPr="00236F04">
        <w:rPr>
          <w:rFonts w:ascii="Times New Roman" w:eastAsia="Calibri" w:hAnsi="Times New Roman" w:cs="Times New Roman"/>
          <w:noProof/>
          <w:sz w:val="24"/>
          <w:szCs w:val="24"/>
          <w:lang w:val="sq-AL"/>
        </w:rPr>
        <w:t xml:space="preserve">Gjatë vitit 2025, Shqipëria është përballur me një sezon zjarresh jashtëzakonisht të rëndë, me pasoja të mëdha në sipërfaqet pyjore dhe kullosore. Për shkak të mungesës së një metodologjie gjithëpërfshirëse për vlerësim dëmi, kjo vlerë është llogaritur vetëm nga </w:t>
      </w:r>
      <w:r w:rsidRPr="00236F04">
        <w:rPr>
          <w:rFonts w:ascii="Times New Roman" w:eastAsia="Calibri" w:hAnsi="Times New Roman" w:cs="Times New Roman"/>
          <w:sz w:val="24"/>
          <w:szCs w:val="24"/>
          <w:lang w:val="sq-AL"/>
        </w:rPr>
        <w:t xml:space="preserve">humbja e lëndës drusore </w:t>
      </w:r>
      <w:r w:rsidRPr="00236F04">
        <w:rPr>
          <w:rFonts w:ascii="Times New Roman" w:eastAsia="Calibri" w:hAnsi="Times New Roman" w:cs="Times New Roman"/>
          <w:noProof/>
          <w:sz w:val="24"/>
          <w:szCs w:val="24"/>
          <w:lang w:val="sq-AL"/>
        </w:rPr>
        <w:t xml:space="preserve">bazuar në VKM nr. 559, datë 29.7.2022 “Për përcaktimin e çmimeve dhe tarifave për dhënien në shfrytëzim/përdorim të fondit pyjor kombëtar, për veprimtari ekonomike, si dhe për prodhimet drusore dhe jo drusore pyjore”, dhe jo në vlerën e nevojshme për ripyllëzime, </w:t>
      </w:r>
      <w:r w:rsidRPr="00236F04">
        <w:rPr>
          <w:rFonts w:ascii="Times New Roman" w:eastAsia="Calibri" w:hAnsi="Times New Roman" w:cs="Times New Roman"/>
          <w:sz w:val="24"/>
          <w:szCs w:val="24"/>
          <w:lang w:val="sq-AL"/>
        </w:rPr>
        <w:t>rigjenerim të tokës, dëmi në biodiversitet, fondin e bimevve mjekësore dhe etero vajore, ndikimi në bujqësi/blegtori, ndikimi në infrastrukture etj.</w:t>
      </w:r>
    </w:p>
    <w:p w:rsidR="00236F04" w:rsidRPr="00236F04" w:rsidRDefault="00261BD4" w:rsidP="00236F04">
      <w:pPr>
        <w:spacing w:after="0" w:line="240" w:lineRule="auto"/>
        <w:jc w:val="both"/>
        <w:rPr>
          <w:rFonts w:ascii="Times New Roman" w:eastAsia="Calibri" w:hAnsi="Times New Roman" w:cs="Times New Roman"/>
          <w:color w:val="000000"/>
          <w:sz w:val="24"/>
          <w:szCs w:val="24"/>
          <w:lang w:val="sq-AL"/>
        </w:rPr>
      </w:pPr>
      <w:r>
        <w:rPr>
          <w:rFonts w:ascii="Times New Roman" w:eastAsia="Calibri" w:hAnsi="Times New Roman" w:cs="Times New Roman"/>
          <w:color w:val="000000"/>
          <w:sz w:val="24"/>
          <w:szCs w:val="24"/>
          <w:lang w:val="sq-AL"/>
        </w:rPr>
        <w:t>Vlera e dë</w:t>
      </w:r>
      <w:r w:rsidR="00236F04" w:rsidRPr="00236F04">
        <w:rPr>
          <w:rFonts w:ascii="Times New Roman" w:eastAsia="Calibri" w:hAnsi="Times New Roman" w:cs="Times New Roman"/>
          <w:color w:val="000000"/>
          <w:sz w:val="24"/>
          <w:szCs w:val="24"/>
          <w:lang w:val="sq-AL"/>
        </w:rPr>
        <w:t>mit ekonomik të shkaktuar nga zjarret në pyje dhe kullota vlerësohet në:</w:t>
      </w:r>
    </w:p>
    <w:p w:rsidR="00236F04" w:rsidRPr="00236F04" w:rsidRDefault="00236F04" w:rsidP="00236F04">
      <w:pPr>
        <w:spacing w:after="0" w:line="240" w:lineRule="auto"/>
        <w:contextualSpacing/>
        <w:jc w:val="both"/>
        <w:rPr>
          <w:rFonts w:ascii="Times New Roman" w:eastAsia="Calibri" w:hAnsi="Times New Roman" w:cs="Times New Roman"/>
          <w:color w:val="000000"/>
          <w:sz w:val="24"/>
          <w:szCs w:val="24"/>
          <w:lang w:val="sq-AL"/>
        </w:rPr>
      </w:pPr>
      <w:r w:rsidRPr="00236F04">
        <w:rPr>
          <w:rFonts w:ascii="Times New Roman" w:eastAsia="Times New Roman" w:hAnsi="Times New Roman" w:cs="Times New Roman"/>
          <w:b/>
          <w:i/>
          <w:color w:val="000000"/>
          <w:sz w:val="24"/>
          <w:szCs w:val="24"/>
          <w:lang w:val="sq-AL" w:eastAsia="sq-AL"/>
        </w:rPr>
        <w:t>7,134,934</w:t>
      </w:r>
      <w:r w:rsidRPr="00236F04">
        <w:rPr>
          <w:rFonts w:ascii="Times New Roman" w:eastAsia="Calibri" w:hAnsi="Times New Roman" w:cs="Times New Roman"/>
          <w:b/>
          <w:color w:val="000000"/>
          <w:sz w:val="24"/>
          <w:szCs w:val="24"/>
          <w:lang w:val="sq-AL"/>
        </w:rPr>
        <w:t xml:space="preserve">,000 lekë të rinj </w:t>
      </w:r>
      <w:r w:rsidRPr="00236F04">
        <w:rPr>
          <w:rFonts w:ascii="Times New Roman" w:eastAsia="Calibri" w:hAnsi="Times New Roman" w:cs="Times New Roman"/>
          <w:color w:val="000000"/>
          <w:sz w:val="24"/>
          <w:szCs w:val="24"/>
          <w:lang w:val="sq-AL"/>
        </w:rPr>
        <w:t>dëme në pyje dhe kullota.</w:t>
      </w:r>
    </w:p>
    <w:p w:rsidR="00236F04" w:rsidRPr="00236F04" w:rsidRDefault="00236F04" w:rsidP="00236F04">
      <w:pPr>
        <w:spacing w:after="0" w:line="240" w:lineRule="auto"/>
        <w:contextualSpacing/>
        <w:jc w:val="both"/>
        <w:rPr>
          <w:rFonts w:ascii="Times New Roman" w:eastAsia="Calibri" w:hAnsi="Times New Roman" w:cs="Times New Roman"/>
          <w:color w:val="000000"/>
          <w:sz w:val="24"/>
          <w:szCs w:val="24"/>
          <w:lang w:val="sq-AL"/>
        </w:rPr>
      </w:pPr>
    </w:p>
    <w:p w:rsidR="00236F04" w:rsidRPr="00AF0E6E" w:rsidRDefault="00236F04" w:rsidP="00236F04">
      <w:pPr>
        <w:spacing w:after="0" w:line="240" w:lineRule="auto"/>
        <w:contextualSpacing/>
        <w:jc w:val="both"/>
        <w:rPr>
          <w:rFonts w:ascii="Times New Roman" w:eastAsia="Calibri" w:hAnsi="Times New Roman" w:cs="Times New Roman"/>
          <w:b/>
          <w:i/>
          <w:color w:val="000000"/>
          <w:sz w:val="24"/>
          <w:szCs w:val="24"/>
          <w:u w:val="single"/>
        </w:rPr>
      </w:pPr>
      <w:r w:rsidRPr="00AF0E6E">
        <w:rPr>
          <w:rFonts w:ascii="Times New Roman" w:eastAsia="Calibri" w:hAnsi="Times New Roman" w:cs="Times New Roman"/>
          <w:b/>
          <w:i/>
          <w:sz w:val="24"/>
          <w:u w:val="single"/>
        </w:rPr>
        <w:t>Të dhënat e zjarreve në fond pyjor dhe kullosor sipas bashkive.</w:t>
      </w:r>
    </w:p>
    <w:p w:rsidR="00236F04" w:rsidRPr="00236F04" w:rsidRDefault="00236F04" w:rsidP="00236F04">
      <w:pPr>
        <w:spacing w:after="0" w:line="240" w:lineRule="auto"/>
        <w:jc w:val="both"/>
        <w:rPr>
          <w:rFonts w:ascii="Times New Roman" w:eastAsia="Calibri" w:hAnsi="Times New Roman" w:cs="Times New Roman"/>
          <w:color w:val="000000"/>
          <w:sz w:val="24"/>
          <w:szCs w:val="24"/>
        </w:rPr>
      </w:pPr>
      <w:r w:rsidRPr="00236F04">
        <w:rPr>
          <w:rFonts w:ascii="Times New Roman" w:eastAsia="Calibri" w:hAnsi="Times New Roman" w:cs="Times New Roman"/>
          <w:color w:val="000000"/>
          <w:sz w:val="24"/>
          <w:szCs w:val="24"/>
        </w:rPr>
        <w:t>Këto të dhëna janë rezultat i raportimeve nga 61 bashkitë për sa i takon zjarreve në sipërfaqet pyjore dhe kullosore nën administrim, të cilat specifikisht jepen në tabelën më poshtë:</w:t>
      </w:r>
    </w:p>
    <w:p w:rsidR="00236F04" w:rsidRPr="00236F04" w:rsidRDefault="00236F04" w:rsidP="00236F04">
      <w:pPr>
        <w:spacing w:after="0" w:line="240" w:lineRule="auto"/>
        <w:jc w:val="both"/>
        <w:rPr>
          <w:rFonts w:ascii="Times New Roman" w:eastAsia="Calibri" w:hAnsi="Times New Roman" w:cs="Times New Roman"/>
          <w:color w:val="000000"/>
          <w:sz w:val="24"/>
          <w:szCs w:val="24"/>
        </w:rPr>
      </w:pPr>
    </w:p>
    <w:p w:rsidR="00236F04" w:rsidRPr="00236F04" w:rsidRDefault="00236F04" w:rsidP="00236F04">
      <w:pPr>
        <w:spacing w:after="0" w:line="240" w:lineRule="auto"/>
        <w:ind w:hanging="709"/>
        <w:jc w:val="both"/>
        <w:rPr>
          <w:rFonts w:ascii="Times New Roman" w:eastAsia="Times New Roman" w:hAnsi="Times New Roman" w:cs="Times New Roman"/>
          <w:sz w:val="24"/>
          <w:szCs w:val="24"/>
        </w:rPr>
      </w:pPr>
      <w:r w:rsidRPr="00236F04">
        <w:rPr>
          <w:rFonts w:ascii="Times New Roman" w:eastAsia="Times New Roman" w:hAnsi="Times New Roman" w:cs="Times New Roman"/>
          <w:b/>
          <w:sz w:val="24"/>
          <w:szCs w:val="24"/>
        </w:rPr>
        <w:t xml:space="preserve">           </w:t>
      </w:r>
    </w:p>
    <w:tbl>
      <w:tblPr>
        <w:tblW w:w="9540" w:type="dxa"/>
        <w:tblInd w:w="108" w:type="dxa"/>
        <w:tblLayout w:type="fixed"/>
        <w:tblLook w:val="04A0" w:firstRow="1" w:lastRow="0" w:firstColumn="1" w:lastColumn="0" w:noHBand="0" w:noVBand="1"/>
      </w:tblPr>
      <w:tblGrid>
        <w:gridCol w:w="540"/>
        <w:gridCol w:w="1170"/>
        <w:gridCol w:w="842"/>
        <w:gridCol w:w="1134"/>
        <w:gridCol w:w="1134"/>
        <w:gridCol w:w="850"/>
        <w:gridCol w:w="1134"/>
        <w:gridCol w:w="992"/>
        <w:gridCol w:w="1744"/>
      </w:tblGrid>
      <w:tr w:rsidR="00236F04" w:rsidRPr="00236F04" w:rsidTr="00236F04">
        <w:trPr>
          <w:trHeight w:val="816"/>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Nr.</w:t>
            </w:r>
          </w:p>
        </w:tc>
        <w:tc>
          <w:tcPr>
            <w:tcW w:w="1170" w:type="dxa"/>
            <w:tcBorders>
              <w:top w:val="single" w:sz="4"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Bashkia</w:t>
            </w:r>
          </w:p>
        </w:tc>
        <w:tc>
          <w:tcPr>
            <w:tcW w:w="842"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Numri i zjarreve në pyje dhe kullota</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Sipërfaqja e përshkuar total (ha)</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Sipërfaqja e djegur total (ha)</w:t>
            </w:r>
          </w:p>
        </w:tc>
        <w:tc>
          <w:tcPr>
            <w:tcW w:w="850"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 xml:space="preserve">Volumi (m3)  i djegur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Volumi (m3) i përdorshëm</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Vlera e dëmit në pyje dhe kulota  (.000/lekë)</w:t>
            </w:r>
          </w:p>
        </w:tc>
        <w:tc>
          <w:tcPr>
            <w:tcW w:w="174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Llojet më të dëmtuara</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1</w:t>
            </w:r>
          </w:p>
        </w:tc>
        <w:tc>
          <w:tcPr>
            <w:tcW w:w="117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Berat</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983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690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50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5.934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pishë e zezë, shkozë, mare  </w:t>
            </w:r>
          </w:p>
        </w:tc>
      </w:tr>
      <w:tr w:rsidR="00236F04" w:rsidRPr="00236F04" w:rsidTr="00236F04">
        <w:trPr>
          <w:trHeight w:val="233"/>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2</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Dimal</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253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bimësi barishtore </w:t>
            </w:r>
          </w:p>
        </w:tc>
      </w:tr>
      <w:tr w:rsidR="00236F04" w:rsidRPr="00236F04" w:rsidTr="00236F04">
        <w:trPr>
          <w:trHeight w:val="125"/>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3</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Kuçovë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188"/>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4</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Poliçan</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6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102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90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mare, pishë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5</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Skrapar</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8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95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92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147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5.500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6</w:t>
            </w:r>
          </w:p>
        </w:tc>
        <w:tc>
          <w:tcPr>
            <w:tcW w:w="117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Bulqizë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43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8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965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435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22.645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pishë,  dushk, ah  </w:t>
            </w:r>
          </w:p>
        </w:tc>
      </w:tr>
      <w:tr w:rsidR="00236F04" w:rsidRPr="00236F04" w:rsidTr="00236F04">
        <w:trPr>
          <w:trHeight w:val="408"/>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7</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Dibër</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11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258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378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620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15.490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dushk, ah, bungsë, djerr, pishë e zezë, kullotë, shkozë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8</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Klos</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12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73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33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125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394.800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lis, pishë e zeze, pishë, dushk, ah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9</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Mat</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10</w:t>
            </w:r>
          </w:p>
        </w:tc>
        <w:tc>
          <w:tcPr>
            <w:tcW w:w="1170" w:type="dxa"/>
            <w:tcBorders>
              <w:top w:val="nil"/>
              <w:left w:val="nil"/>
              <w:bottom w:val="single" w:sz="8"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Durrës</w:t>
            </w:r>
          </w:p>
        </w:tc>
        <w:tc>
          <w:tcPr>
            <w:tcW w:w="842" w:type="dxa"/>
            <w:tcBorders>
              <w:top w:val="nil"/>
              <w:left w:val="nil"/>
              <w:bottom w:val="single" w:sz="8"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8"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8"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8"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8"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992" w:type="dxa"/>
            <w:tcBorders>
              <w:top w:val="nil"/>
              <w:left w:val="nil"/>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8"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single" w:sz="8" w:space="0" w:color="auto"/>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11</w:t>
            </w:r>
          </w:p>
        </w:tc>
        <w:tc>
          <w:tcPr>
            <w:tcW w:w="1170" w:type="dxa"/>
            <w:tcBorders>
              <w:top w:val="single" w:sz="8"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Krujë</w:t>
            </w:r>
          </w:p>
        </w:tc>
        <w:tc>
          <w:tcPr>
            <w:tcW w:w="842" w:type="dxa"/>
            <w:tcBorders>
              <w:top w:val="single" w:sz="8"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 </w:t>
            </w:r>
          </w:p>
        </w:tc>
        <w:tc>
          <w:tcPr>
            <w:tcW w:w="1134" w:type="dxa"/>
            <w:tcBorders>
              <w:top w:val="single" w:sz="8"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12 </w:t>
            </w:r>
          </w:p>
        </w:tc>
        <w:tc>
          <w:tcPr>
            <w:tcW w:w="1134" w:type="dxa"/>
            <w:tcBorders>
              <w:top w:val="single" w:sz="8"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8 </w:t>
            </w:r>
          </w:p>
        </w:tc>
        <w:tc>
          <w:tcPr>
            <w:tcW w:w="850" w:type="dxa"/>
            <w:tcBorders>
              <w:top w:val="single" w:sz="8"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33 </w:t>
            </w:r>
          </w:p>
        </w:tc>
        <w:tc>
          <w:tcPr>
            <w:tcW w:w="1134" w:type="dxa"/>
            <w:tcBorders>
              <w:top w:val="single" w:sz="8"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86 </w:t>
            </w:r>
          </w:p>
        </w:tc>
        <w:tc>
          <w:tcPr>
            <w:tcW w:w="992" w:type="dxa"/>
            <w:tcBorders>
              <w:top w:val="single" w:sz="8"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2.750 </w:t>
            </w:r>
          </w:p>
        </w:tc>
        <w:tc>
          <w:tcPr>
            <w:tcW w:w="1744" w:type="dxa"/>
            <w:tcBorders>
              <w:top w:val="single" w:sz="8"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12</w:t>
            </w:r>
          </w:p>
        </w:tc>
        <w:tc>
          <w:tcPr>
            <w:tcW w:w="117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Shijak</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13</w:t>
            </w:r>
          </w:p>
        </w:tc>
        <w:tc>
          <w:tcPr>
            <w:tcW w:w="117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Belsh</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14</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Cërrik</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320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shkurre, mare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lastRenderedPageBreak/>
              <w:t>15</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Elbasan</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47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96.631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pishë, ah, pishë mesdhetare, lis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16</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Gramsh</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13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1.837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982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108.217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238.915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pishë e zezë, shkurre, mare, ah, arnen</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17</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Librazhd</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11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16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18</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Peqin</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45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60"/>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19</w:t>
            </w:r>
          </w:p>
        </w:tc>
        <w:tc>
          <w:tcPr>
            <w:tcW w:w="1170"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Prrenjas</w:t>
            </w:r>
          </w:p>
        </w:tc>
        <w:tc>
          <w:tcPr>
            <w:tcW w:w="842"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dushk </w:t>
            </w:r>
          </w:p>
        </w:tc>
      </w:tr>
      <w:tr w:rsidR="00236F04" w:rsidRPr="00236F04" w:rsidTr="00236F04">
        <w:trPr>
          <w:trHeight w:val="204"/>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20</w:t>
            </w:r>
          </w:p>
        </w:tc>
        <w:tc>
          <w:tcPr>
            <w:tcW w:w="1170"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Divjakë</w:t>
            </w:r>
          </w:p>
        </w:tc>
        <w:tc>
          <w:tcPr>
            <w:tcW w:w="842"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21</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Fier</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6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29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pishë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22</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Lushnjë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23</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Mallakastër</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6.603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253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100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12.149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34.550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pishë </w:t>
            </w:r>
          </w:p>
        </w:tc>
      </w:tr>
      <w:tr w:rsidR="00236F04" w:rsidRPr="00236F04" w:rsidTr="00236F04">
        <w:trPr>
          <w:trHeight w:val="368"/>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24</w:t>
            </w:r>
          </w:p>
        </w:tc>
        <w:tc>
          <w:tcPr>
            <w:tcW w:w="1170"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Patos</w:t>
            </w:r>
          </w:p>
        </w:tc>
        <w:tc>
          <w:tcPr>
            <w:tcW w:w="842"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 </w:t>
            </w:r>
          </w:p>
        </w:tc>
        <w:tc>
          <w:tcPr>
            <w:tcW w:w="850"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25</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Roskovec</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26</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Dropull</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57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9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1.005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pishë e egër, shkurre, bimësi barishtore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27</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Gjirokastër</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395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395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790.000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28</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Këlcyrë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29</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Libohovë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30</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Memaliaj</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27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mare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31</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Përmet</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pishë e egër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32</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Tepelenë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15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1.774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1.512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kullotë, lis, mëllezë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33</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Devoll</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8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1.237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127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471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688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54.105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ah, dushk, pishë e zezë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34</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Kolonjë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272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35</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Korçë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79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44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718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4.165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pishë e zezë, dushk, ah, shkurre, dëllinjë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36</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Maliq</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32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10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651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2.500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37</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Pogradec</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15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lis, gështenjë, ah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38</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Pustec</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39</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Has</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10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145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9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35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728.800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40</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sz w:val="16"/>
                <w:szCs w:val="16"/>
                <w:lang w:val="sq-AL" w:eastAsia="sq-AL"/>
              </w:rPr>
            </w:pPr>
            <w:r w:rsidRPr="00236F04">
              <w:rPr>
                <w:rFonts w:ascii="Times New Roman" w:eastAsia="Times New Roman" w:hAnsi="Times New Roman" w:cs="Times New Roman"/>
                <w:b/>
                <w:bCs/>
                <w:sz w:val="16"/>
                <w:szCs w:val="16"/>
                <w:lang w:val="sq-AL" w:eastAsia="sq-AL"/>
              </w:rPr>
              <w:t>Kukës</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sz w:val="16"/>
                <w:szCs w:val="16"/>
                <w:lang w:val="sq-AL" w:eastAsia="sq-AL"/>
              </w:rPr>
            </w:pPr>
            <w:r w:rsidRPr="00236F04">
              <w:rPr>
                <w:rFonts w:ascii="Times New Roman" w:eastAsia="Times New Roman" w:hAnsi="Times New Roman" w:cs="Times New Roman"/>
                <w:sz w:val="16"/>
                <w:szCs w:val="16"/>
                <w:lang w:val="sq-AL" w:eastAsia="sq-AL"/>
              </w:rPr>
              <w:t xml:space="preserve">                    5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sz w:val="16"/>
                <w:szCs w:val="16"/>
                <w:lang w:val="sq-AL" w:eastAsia="sq-AL"/>
              </w:rPr>
            </w:pPr>
            <w:r w:rsidRPr="00236F04">
              <w:rPr>
                <w:rFonts w:ascii="Times New Roman" w:eastAsia="Times New Roman" w:hAnsi="Times New Roman" w:cs="Times New Roman"/>
                <w:sz w:val="16"/>
                <w:szCs w:val="16"/>
                <w:lang w:val="sq-AL" w:eastAsia="sq-AL"/>
              </w:rPr>
              <w:t xml:space="preserve">                 79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sz w:val="16"/>
                <w:szCs w:val="16"/>
                <w:lang w:val="sq-AL" w:eastAsia="sq-AL"/>
              </w:rPr>
            </w:pPr>
            <w:r w:rsidRPr="00236F04">
              <w:rPr>
                <w:rFonts w:ascii="Times New Roman" w:eastAsia="Times New Roman" w:hAnsi="Times New Roman" w:cs="Times New Roman"/>
                <w:sz w:val="16"/>
                <w:szCs w:val="16"/>
                <w:lang w:val="sq-AL" w:eastAsia="sq-AL"/>
              </w:rPr>
              <w:t xml:space="preserve">                      39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1.100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27.450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dëllinjë, shkozë, dushk, frashër, shkurre </w:t>
            </w:r>
          </w:p>
        </w:tc>
      </w:tr>
      <w:tr w:rsidR="00236F04" w:rsidRPr="00236F04" w:rsidTr="00236F04">
        <w:trPr>
          <w:trHeight w:val="408"/>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41</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Tropojë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10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65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dushk, frashër, ah, lajthi, barishtore, akacie, gështenjë, shkurre </w:t>
            </w:r>
          </w:p>
        </w:tc>
      </w:tr>
      <w:tr w:rsidR="00236F04" w:rsidRPr="00236F04" w:rsidTr="00236F04">
        <w:trPr>
          <w:trHeight w:val="204"/>
        </w:trPr>
        <w:tc>
          <w:tcPr>
            <w:tcW w:w="540" w:type="dxa"/>
            <w:tcBorders>
              <w:top w:val="nil"/>
              <w:left w:val="single" w:sz="4" w:space="0" w:color="auto"/>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42</w:t>
            </w:r>
          </w:p>
        </w:tc>
        <w:tc>
          <w:tcPr>
            <w:tcW w:w="1170" w:type="dxa"/>
            <w:tcBorders>
              <w:top w:val="nil"/>
              <w:left w:val="nil"/>
              <w:bottom w:val="single" w:sz="8"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Kurbin</w:t>
            </w:r>
          </w:p>
        </w:tc>
        <w:tc>
          <w:tcPr>
            <w:tcW w:w="842" w:type="dxa"/>
            <w:tcBorders>
              <w:top w:val="nil"/>
              <w:left w:val="nil"/>
              <w:bottom w:val="single" w:sz="8"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 </w:t>
            </w:r>
          </w:p>
        </w:tc>
        <w:tc>
          <w:tcPr>
            <w:tcW w:w="1134" w:type="dxa"/>
            <w:tcBorders>
              <w:top w:val="nil"/>
              <w:left w:val="nil"/>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284 </w:t>
            </w:r>
          </w:p>
        </w:tc>
        <w:tc>
          <w:tcPr>
            <w:tcW w:w="1134" w:type="dxa"/>
            <w:tcBorders>
              <w:top w:val="nil"/>
              <w:left w:val="nil"/>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77 </w:t>
            </w:r>
          </w:p>
        </w:tc>
        <w:tc>
          <w:tcPr>
            <w:tcW w:w="850" w:type="dxa"/>
            <w:tcBorders>
              <w:top w:val="nil"/>
              <w:left w:val="nil"/>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pishë, lis,shkurre </w:t>
            </w:r>
          </w:p>
        </w:tc>
      </w:tr>
      <w:tr w:rsidR="00236F04" w:rsidRPr="00236F04" w:rsidTr="00236F04">
        <w:trPr>
          <w:trHeight w:val="204"/>
        </w:trPr>
        <w:tc>
          <w:tcPr>
            <w:tcW w:w="540" w:type="dxa"/>
            <w:tcBorders>
              <w:top w:val="single" w:sz="8" w:space="0" w:color="auto"/>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43</w:t>
            </w:r>
          </w:p>
        </w:tc>
        <w:tc>
          <w:tcPr>
            <w:tcW w:w="1170" w:type="dxa"/>
            <w:tcBorders>
              <w:top w:val="single" w:sz="8"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Lezhë</w:t>
            </w:r>
          </w:p>
        </w:tc>
        <w:tc>
          <w:tcPr>
            <w:tcW w:w="842" w:type="dxa"/>
            <w:tcBorders>
              <w:top w:val="single" w:sz="8"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14 </w:t>
            </w:r>
          </w:p>
        </w:tc>
        <w:tc>
          <w:tcPr>
            <w:tcW w:w="1134" w:type="dxa"/>
            <w:tcBorders>
              <w:top w:val="single" w:sz="8"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14 </w:t>
            </w:r>
          </w:p>
        </w:tc>
        <w:tc>
          <w:tcPr>
            <w:tcW w:w="1134" w:type="dxa"/>
            <w:tcBorders>
              <w:top w:val="single" w:sz="8"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9 </w:t>
            </w:r>
          </w:p>
        </w:tc>
        <w:tc>
          <w:tcPr>
            <w:tcW w:w="850" w:type="dxa"/>
            <w:tcBorders>
              <w:top w:val="single" w:sz="8"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single" w:sz="8"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single" w:sz="8"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452.500 </w:t>
            </w:r>
          </w:p>
        </w:tc>
        <w:tc>
          <w:tcPr>
            <w:tcW w:w="1744" w:type="dxa"/>
            <w:tcBorders>
              <w:top w:val="single" w:sz="8"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shkurre, pishë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44</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Mirditë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13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331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79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6.040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9.218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dushqe, bimësi barishtore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45</w:t>
            </w:r>
          </w:p>
        </w:tc>
        <w:tc>
          <w:tcPr>
            <w:tcW w:w="117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Fushë - Arrëz</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1.046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68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60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3.754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25.655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46</w:t>
            </w:r>
          </w:p>
        </w:tc>
        <w:tc>
          <w:tcPr>
            <w:tcW w:w="117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Malësi e Madhe</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14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1.457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225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lastRenderedPageBreak/>
              <w:t>47</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Pukë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8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22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50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70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3.300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shkurre, pishë e zezë, dushk, pishë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48</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Shkodër</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7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19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120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1.224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49</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Vau i Dejës</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56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80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320.000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50</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Kamëz</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51</w:t>
            </w:r>
          </w:p>
        </w:tc>
        <w:tc>
          <w:tcPr>
            <w:tcW w:w="1170"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Kavajë</w:t>
            </w:r>
          </w:p>
        </w:tc>
        <w:tc>
          <w:tcPr>
            <w:tcW w:w="842"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52</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Rrogozhinë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520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22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2.763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147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5.500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53</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Tiranë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17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1.090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54</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 xml:space="preserve">Vorë </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568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440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i përzier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55</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Delvinë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2.971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5.845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79.913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56</w:t>
            </w:r>
          </w:p>
        </w:tc>
        <w:tc>
          <w:tcPr>
            <w:tcW w:w="1170" w:type="dxa"/>
            <w:tcBorders>
              <w:top w:val="single" w:sz="4"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Finiq</w:t>
            </w:r>
          </w:p>
        </w:tc>
        <w:tc>
          <w:tcPr>
            <w:tcW w:w="842"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243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1.828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820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180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3.587.400 </w:t>
            </w:r>
          </w:p>
        </w:tc>
        <w:tc>
          <w:tcPr>
            <w:tcW w:w="1744" w:type="dxa"/>
            <w:tcBorders>
              <w:top w:val="single" w:sz="4"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57</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Himarë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10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1.649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1.081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shkurre, barishte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58</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Konispol</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1.600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1.400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59</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Sarandë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60</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Selenicë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13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1.600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15 </w:t>
            </w:r>
          </w:p>
        </w:tc>
        <w:tc>
          <w:tcPr>
            <w:tcW w:w="85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3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405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1.225 </w:t>
            </w:r>
          </w:p>
        </w:tc>
        <w:tc>
          <w:tcPr>
            <w:tcW w:w="1744"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shkozë, shkurre, bredh, dushk </w:t>
            </w:r>
          </w:p>
        </w:tc>
      </w:tr>
      <w:tr w:rsidR="00236F04" w:rsidRPr="00236F04" w:rsidTr="00236F04">
        <w:trPr>
          <w:trHeight w:val="204"/>
        </w:trPr>
        <w:tc>
          <w:tcPr>
            <w:tcW w:w="54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61</w:t>
            </w:r>
          </w:p>
        </w:tc>
        <w:tc>
          <w:tcPr>
            <w:tcW w:w="1170"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Vlorë</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766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67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1.700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223.000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r>
      <w:tr w:rsidR="00236F04" w:rsidRPr="00236F04" w:rsidTr="00236F04">
        <w:trPr>
          <w:trHeight w:val="216"/>
        </w:trPr>
        <w:tc>
          <w:tcPr>
            <w:tcW w:w="171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i/>
                <w:iCs/>
                <w:color w:val="000000"/>
                <w:sz w:val="16"/>
                <w:szCs w:val="16"/>
                <w:lang w:val="sq-AL" w:eastAsia="sq-AL"/>
              </w:rPr>
            </w:pPr>
            <w:r w:rsidRPr="00236F04">
              <w:rPr>
                <w:rFonts w:ascii="Times New Roman" w:eastAsia="Times New Roman" w:hAnsi="Times New Roman" w:cs="Times New Roman"/>
                <w:b/>
                <w:bCs/>
                <w:i/>
                <w:iCs/>
                <w:color w:val="000000"/>
                <w:sz w:val="16"/>
                <w:szCs w:val="16"/>
                <w:lang w:val="sq-AL" w:eastAsia="sq-AL"/>
              </w:rPr>
              <w:t>TOTALI</w:t>
            </w:r>
          </w:p>
        </w:tc>
        <w:tc>
          <w:tcPr>
            <w:tcW w:w="842" w:type="dxa"/>
            <w:tcBorders>
              <w:top w:val="nil"/>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i/>
                <w:iCs/>
                <w:color w:val="000000"/>
                <w:sz w:val="16"/>
                <w:szCs w:val="16"/>
                <w:lang w:val="sq-AL" w:eastAsia="sq-AL"/>
              </w:rPr>
            </w:pPr>
            <w:r w:rsidRPr="00236F04">
              <w:rPr>
                <w:rFonts w:ascii="Times New Roman" w:eastAsia="Times New Roman" w:hAnsi="Times New Roman" w:cs="Times New Roman"/>
                <w:b/>
                <w:bCs/>
                <w:i/>
                <w:iCs/>
                <w:color w:val="000000"/>
                <w:sz w:val="16"/>
                <w:szCs w:val="16"/>
                <w:lang w:val="sq-AL" w:eastAsia="sq-AL"/>
              </w:rPr>
              <w:t xml:space="preserve">              282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i/>
                <w:iCs/>
                <w:color w:val="000000"/>
                <w:sz w:val="16"/>
                <w:szCs w:val="16"/>
                <w:lang w:val="sq-AL" w:eastAsia="sq-AL"/>
              </w:rPr>
            </w:pPr>
            <w:r w:rsidRPr="00236F04">
              <w:rPr>
                <w:rFonts w:ascii="Times New Roman" w:eastAsia="Times New Roman" w:hAnsi="Times New Roman" w:cs="Times New Roman"/>
                <w:b/>
                <w:bCs/>
                <w:i/>
                <w:iCs/>
                <w:color w:val="000000"/>
                <w:sz w:val="16"/>
                <w:szCs w:val="16"/>
                <w:lang w:val="sq-AL" w:eastAsia="sq-AL"/>
              </w:rPr>
              <w:t xml:space="preserve">        28.177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i/>
                <w:iCs/>
                <w:color w:val="000000"/>
                <w:sz w:val="16"/>
                <w:szCs w:val="16"/>
                <w:lang w:val="sq-AL" w:eastAsia="sq-AL"/>
              </w:rPr>
            </w:pPr>
            <w:r w:rsidRPr="00236F04">
              <w:rPr>
                <w:rFonts w:ascii="Times New Roman" w:eastAsia="Times New Roman" w:hAnsi="Times New Roman" w:cs="Times New Roman"/>
                <w:b/>
                <w:bCs/>
                <w:i/>
                <w:iCs/>
                <w:color w:val="000000"/>
                <w:sz w:val="16"/>
                <w:szCs w:val="16"/>
                <w:lang w:val="sq-AL" w:eastAsia="sq-AL"/>
              </w:rPr>
              <w:t xml:space="preserve">            14.975 </w:t>
            </w:r>
          </w:p>
        </w:tc>
        <w:tc>
          <w:tcPr>
            <w:tcW w:w="8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i/>
                <w:iCs/>
                <w:color w:val="000000"/>
                <w:sz w:val="16"/>
                <w:szCs w:val="16"/>
                <w:lang w:val="sq-AL" w:eastAsia="sq-AL"/>
              </w:rPr>
            </w:pPr>
            <w:r w:rsidRPr="00236F04">
              <w:rPr>
                <w:rFonts w:ascii="Times New Roman" w:eastAsia="Times New Roman" w:hAnsi="Times New Roman" w:cs="Times New Roman"/>
                <w:b/>
                <w:bCs/>
                <w:i/>
                <w:iCs/>
                <w:color w:val="000000"/>
                <w:sz w:val="16"/>
                <w:szCs w:val="16"/>
                <w:lang w:val="sq-AL" w:eastAsia="sq-AL"/>
              </w:rPr>
              <w:t xml:space="preserve">    123.563 </w:t>
            </w:r>
          </w:p>
        </w:tc>
        <w:tc>
          <w:tcPr>
            <w:tcW w:w="113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i/>
                <w:iCs/>
                <w:color w:val="000000"/>
                <w:sz w:val="16"/>
                <w:szCs w:val="16"/>
                <w:lang w:val="sq-AL" w:eastAsia="sq-AL"/>
              </w:rPr>
            </w:pPr>
            <w:r w:rsidRPr="00236F04">
              <w:rPr>
                <w:rFonts w:ascii="Times New Roman" w:eastAsia="Times New Roman" w:hAnsi="Times New Roman" w:cs="Times New Roman"/>
                <w:b/>
                <w:bCs/>
                <w:i/>
                <w:iCs/>
                <w:color w:val="000000"/>
                <w:sz w:val="16"/>
                <w:szCs w:val="16"/>
                <w:lang w:val="sq-AL" w:eastAsia="sq-AL"/>
              </w:rPr>
              <w:t xml:space="preserve">      20.300 </w:t>
            </w:r>
          </w:p>
        </w:tc>
        <w:tc>
          <w:tcPr>
            <w:tcW w:w="992"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i/>
                <w:iCs/>
                <w:color w:val="000000"/>
                <w:sz w:val="16"/>
                <w:szCs w:val="16"/>
                <w:lang w:val="sq-AL" w:eastAsia="sq-AL"/>
              </w:rPr>
            </w:pPr>
            <w:r w:rsidRPr="00236F04">
              <w:rPr>
                <w:rFonts w:ascii="Times New Roman" w:eastAsia="Times New Roman" w:hAnsi="Times New Roman" w:cs="Times New Roman"/>
                <w:b/>
                <w:bCs/>
                <w:i/>
                <w:iCs/>
                <w:color w:val="000000"/>
                <w:sz w:val="16"/>
                <w:szCs w:val="16"/>
                <w:lang w:val="sq-AL" w:eastAsia="sq-AL"/>
              </w:rPr>
              <w:t xml:space="preserve">       7.134.934 </w:t>
            </w:r>
          </w:p>
        </w:tc>
        <w:tc>
          <w:tcPr>
            <w:tcW w:w="174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 </w:t>
            </w:r>
          </w:p>
        </w:tc>
      </w:tr>
    </w:tbl>
    <w:p w:rsidR="00236F04" w:rsidRPr="00236F04" w:rsidRDefault="00236F04" w:rsidP="00236F04">
      <w:pPr>
        <w:spacing w:after="0" w:line="240" w:lineRule="auto"/>
        <w:contextualSpacing/>
        <w:jc w:val="both"/>
        <w:rPr>
          <w:rFonts w:ascii="Times New Roman" w:eastAsia="Calibri" w:hAnsi="Times New Roman" w:cs="Times New Roman"/>
          <w:b/>
          <w:i/>
          <w:sz w:val="24"/>
          <w:lang w:val="sq-AL"/>
        </w:rPr>
      </w:pPr>
    </w:p>
    <w:p w:rsidR="00236F04" w:rsidRPr="00236F04" w:rsidRDefault="00236F04" w:rsidP="00236F04">
      <w:pPr>
        <w:spacing w:after="0" w:line="240" w:lineRule="auto"/>
        <w:contextualSpacing/>
        <w:jc w:val="both"/>
        <w:rPr>
          <w:rFonts w:ascii="Times New Roman" w:eastAsia="Calibri" w:hAnsi="Times New Roman" w:cs="Times New Roman"/>
          <w:b/>
          <w:i/>
          <w:color w:val="000000"/>
          <w:sz w:val="24"/>
          <w:szCs w:val="24"/>
          <w:lang w:val="sq-AL"/>
        </w:rPr>
      </w:pPr>
      <w:r w:rsidRPr="00AF0E6E">
        <w:rPr>
          <w:rFonts w:ascii="Times New Roman" w:eastAsia="Calibri" w:hAnsi="Times New Roman" w:cs="Times New Roman"/>
          <w:b/>
          <w:i/>
          <w:sz w:val="24"/>
          <w:u w:val="single"/>
          <w:lang w:val="sq-AL"/>
        </w:rPr>
        <w:t>Të dhënat e zjarreve në fond pyjor dhe kullosor sipas qarqeve</w:t>
      </w:r>
      <w:r w:rsidRPr="00236F04">
        <w:rPr>
          <w:rFonts w:ascii="Times New Roman" w:eastAsia="Calibri" w:hAnsi="Times New Roman" w:cs="Times New Roman"/>
          <w:b/>
          <w:i/>
          <w:sz w:val="24"/>
          <w:lang w:val="sq-AL"/>
        </w:rPr>
        <w:t>.</w:t>
      </w:r>
    </w:p>
    <w:p w:rsidR="00236F04" w:rsidRPr="00236F04" w:rsidRDefault="00236F04" w:rsidP="00236F04">
      <w:pPr>
        <w:spacing w:after="0" w:line="240" w:lineRule="auto"/>
        <w:jc w:val="both"/>
        <w:rPr>
          <w:rFonts w:ascii="Times New Roman" w:eastAsia="Times New Roman" w:hAnsi="Times New Roman" w:cs="Times New Roman"/>
          <w:color w:val="000000"/>
          <w:sz w:val="24"/>
          <w:szCs w:val="24"/>
          <w:lang w:val="sq-AL"/>
        </w:rPr>
      </w:pPr>
      <w:r w:rsidRPr="00236F04">
        <w:rPr>
          <w:rFonts w:ascii="Times New Roman" w:eastAsia="Times New Roman" w:hAnsi="Times New Roman" w:cs="Times New Roman"/>
          <w:color w:val="000000"/>
          <w:sz w:val="24"/>
          <w:szCs w:val="24"/>
          <w:lang w:val="sq-AL"/>
        </w:rPr>
        <w:t>Vlerësimi i zjarreve sipas qarqeve është i domosdoshëm sepse shërben si bazë p</w:t>
      </w:r>
      <w:r w:rsidR="00261BD4">
        <w:rPr>
          <w:rFonts w:ascii="Times New Roman" w:eastAsia="Times New Roman" w:hAnsi="Times New Roman" w:cs="Times New Roman"/>
          <w:color w:val="000000"/>
          <w:sz w:val="24"/>
          <w:szCs w:val="24"/>
          <w:lang w:val="sq-AL"/>
        </w:rPr>
        <w:t>ër planifikim, parandalim dhe re</w:t>
      </w:r>
      <w:r w:rsidRPr="00236F04">
        <w:rPr>
          <w:rFonts w:ascii="Times New Roman" w:eastAsia="Times New Roman" w:hAnsi="Times New Roman" w:cs="Times New Roman"/>
          <w:color w:val="000000"/>
          <w:sz w:val="24"/>
          <w:szCs w:val="24"/>
          <w:lang w:val="sq-AL"/>
        </w:rPr>
        <w:t>habilitim të zonave të dëmtuara.</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b/>
          <w:sz w:val="24"/>
          <w:szCs w:val="24"/>
          <w:lang w:val="sq-AL"/>
        </w:rPr>
        <w:t xml:space="preserve">            </w:t>
      </w:r>
    </w:p>
    <w:tbl>
      <w:tblPr>
        <w:tblW w:w="9630" w:type="dxa"/>
        <w:tblInd w:w="18" w:type="dxa"/>
        <w:tblLook w:val="04A0" w:firstRow="1" w:lastRow="0" w:firstColumn="1" w:lastColumn="0" w:noHBand="0" w:noVBand="1"/>
      </w:tblPr>
      <w:tblGrid>
        <w:gridCol w:w="500"/>
        <w:gridCol w:w="1216"/>
        <w:gridCol w:w="1620"/>
        <w:gridCol w:w="1194"/>
        <w:gridCol w:w="1499"/>
        <w:gridCol w:w="1081"/>
        <w:gridCol w:w="1350"/>
        <w:gridCol w:w="1170"/>
      </w:tblGrid>
      <w:tr w:rsidR="00236F04" w:rsidRPr="00236F04" w:rsidTr="00236F04">
        <w:trPr>
          <w:trHeight w:val="458"/>
        </w:trPr>
        <w:tc>
          <w:tcPr>
            <w:tcW w:w="5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Nr.</w:t>
            </w:r>
          </w:p>
        </w:tc>
        <w:tc>
          <w:tcPr>
            <w:tcW w:w="1216" w:type="dxa"/>
            <w:tcBorders>
              <w:top w:val="single" w:sz="4"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Qarku</w:t>
            </w:r>
          </w:p>
        </w:tc>
        <w:tc>
          <w:tcPr>
            <w:tcW w:w="1620"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Numri i zjarreve në pyje dhe kullota</w:t>
            </w:r>
          </w:p>
        </w:tc>
        <w:tc>
          <w:tcPr>
            <w:tcW w:w="1194"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Sipërfaqja e përshkuar total (ha)</w:t>
            </w:r>
          </w:p>
        </w:tc>
        <w:tc>
          <w:tcPr>
            <w:tcW w:w="1499"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Sipërfaqja e djegur total (ha)</w:t>
            </w:r>
          </w:p>
        </w:tc>
        <w:tc>
          <w:tcPr>
            <w:tcW w:w="1081"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 xml:space="preserve">Volumi (m3) i djegur </w:t>
            </w:r>
          </w:p>
        </w:tc>
        <w:tc>
          <w:tcPr>
            <w:tcW w:w="1350"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Volumi (m3) i përdorshëm</w:t>
            </w:r>
          </w:p>
        </w:tc>
        <w:tc>
          <w:tcPr>
            <w:tcW w:w="1170"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 xml:space="preserve">Vlera e dëmit (.000/lekë) </w:t>
            </w:r>
          </w:p>
        </w:tc>
      </w:tr>
      <w:tr w:rsidR="00236F04" w:rsidRPr="00236F04" w:rsidTr="00236F04">
        <w:trPr>
          <w:trHeight w:val="260"/>
        </w:trPr>
        <w:tc>
          <w:tcPr>
            <w:tcW w:w="50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1</w:t>
            </w:r>
          </w:p>
        </w:tc>
        <w:tc>
          <w:tcPr>
            <w:tcW w:w="1216"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Berat</w:t>
            </w:r>
          </w:p>
        </w:tc>
        <w:tc>
          <w:tcPr>
            <w:tcW w:w="1620" w:type="dxa"/>
            <w:tcBorders>
              <w:top w:val="nil"/>
              <w:left w:val="nil"/>
              <w:bottom w:val="single" w:sz="4" w:space="0" w:color="auto"/>
              <w:right w:val="single" w:sz="4" w:space="0" w:color="auto"/>
            </w:tcBorders>
            <w:shd w:val="clear" w:color="000000" w:fill="FFFFFF"/>
            <w:vAlign w:val="center"/>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18 </w:t>
            </w:r>
          </w:p>
        </w:tc>
        <w:tc>
          <w:tcPr>
            <w:tcW w:w="119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1.433 </w:t>
            </w:r>
          </w:p>
        </w:tc>
        <w:tc>
          <w:tcPr>
            <w:tcW w:w="1499"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783 </w:t>
            </w:r>
          </w:p>
        </w:tc>
        <w:tc>
          <w:tcPr>
            <w:tcW w:w="1081"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142 </w:t>
            </w:r>
          </w:p>
        </w:tc>
        <w:tc>
          <w:tcPr>
            <w:tcW w:w="13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147 </w:t>
            </w:r>
          </w:p>
        </w:tc>
        <w:tc>
          <w:tcPr>
            <w:tcW w:w="117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11.434 </w:t>
            </w:r>
          </w:p>
        </w:tc>
      </w:tr>
      <w:tr w:rsidR="00236F04" w:rsidRPr="00236F04" w:rsidTr="00236F04">
        <w:trPr>
          <w:trHeight w:val="233"/>
        </w:trPr>
        <w:tc>
          <w:tcPr>
            <w:tcW w:w="50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2</w:t>
            </w:r>
          </w:p>
        </w:tc>
        <w:tc>
          <w:tcPr>
            <w:tcW w:w="1216"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 xml:space="preserve">Dibër </w:t>
            </w:r>
          </w:p>
        </w:tc>
        <w:tc>
          <w:tcPr>
            <w:tcW w:w="162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26 </w:t>
            </w:r>
          </w:p>
        </w:tc>
        <w:tc>
          <w:tcPr>
            <w:tcW w:w="119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374 </w:t>
            </w:r>
          </w:p>
        </w:tc>
        <w:tc>
          <w:tcPr>
            <w:tcW w:w="1499"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9 </w:t>
            </w:r>
          </w:p>
        </w:tc>
        <w:tc>
          <w:tcPr>
            <w:tcW w:w="1081"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1.376 </w:t>
            </w:r>
          </w:p>
        </w:tc>
        <w:tc>
          <w:tcPr>
            <w:tcW w:w="13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1.180 </w:t>
            </w:r>
          </w:p>
        </w:tc>
        <w:tc>
          <w:tcPr>
            <w:tcW w:w="117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432.935 </w:t>
            </w:r>
          </w:p>
        </w:tc>
      </w:tr>
      <w:tr w:rsidR="00236F04" w:rsidRPr="00236F04" w:rsidTr="00236F04">
        <w:trPr>
          <w:trHeight w:val="215"/>
        </w:trPr>
        <w:tc>
          <w:tcPr>
            <w:tcW w:w="500" w:type="dxa"/>
            <w:tcBorders>
              <w:top w:val="nil"/>
              <w:left w:val="single" w:sz="4" w:space="0" w:color="auto"/>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3</w:t>
            </w:r>
          </w:p>
        </w:tc>
        <w:tc>
          <w:tcPr>
            <w:tcW w:w="1216" w:type="dxa"/>
            <w:tcBorders>
              <w:top w:val="nil"/>
              <w:left w:val="nil"/>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Durrës</w:t>
            </w:r>
          </w:p>
        </w:tc>
        <w:tc>
          <w:tcPr>
            <w:tcW w:w="1620" w:type="dxa"/>
            <w:tcBorders>
              <w:top w:val="nil"/>
              <w:left w:val="nil"/>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 </w:t>
            </w:r>
          </w:p>
        </w:tc>
        <w:tc>
          <w:tcPr>
            <w:tcW w:w="1194" w:type="dxa"/>
            <w:tcBorders>
              <w:top w:val="nil"/>
              <w:left w:val="nil"/>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12 </w:t>
            </w:r>
          </w:p>
        </w:tc>
        <w:tc>
          <w:tcPr>
            <w:tcW w:w="1499" w:type="dxa"/>
            <w:tcBorders>
              <w:top w:val="nil"/>
              <w:left w:val="nil"/>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8 </w:t>
            </w:r>
          </w:p>
        </w:tc>
        <w:tc>
          <w:tcPr>
            <w:tcW w:w="1081" w:type="dxa"/>
            <w:tcBorders>
              <w:top w:val="nil"/>
              <w:left w:val="nil"/>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33 </w:t>
            </w:r>
          </w:p>
        </w:tc>
        <w:tc>
          <w:tcPr>
            <w:tcW w:w="1350" w:type="dxa"/>
            <w:tcBorders>
              <w:top w:val="nil"/>
              <w:left w:val="nil"/>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86 </w:t>
            </w:r>
          </w:p>
        </w:tc>
        <w:tc>
          <w:tcPr>
            <w:tcW w:w="1170" w:type="dxa"/>
            <w:tcBorders>
              <w:top w:val="nil"/>
              <w:left w:val="nil"/>
              <w:bottom w:val="single" w:sz="8"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2.750 </w:t>
            </w:r>
          </w:p>
        </w:tc>
      </w:tr>
      <w:tr w:rsidR="00236F04" w:rsidRPr="00236F04" w:rsidTr="00236F04">
        <w:trPr>
          <w:trHeight w:val="187"/>
        </w:trPr>
        <w:tc>
          <w:tcPr>
            <w:tcW w:w="500" w:type="dxa"/>
            <w:tcBorders>
              <w:top w:val="single" w:sz="8" w:space="0" w:color="auto"/>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4</w:t>
            </w:r>
          </w:p>
        </w:tc>
        <w:tc>
          <w:tcPr>
            <w:tcW w:w="1216" w:type="dxa"/>
            <w:tcBorders>
              <w:top w:val="single" w:sz="8"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Elbasan</w:t>
            </w:r>
          </w:p>
        </w:tc>
        <w:tc>
          <w:tcPr>
            <w:tcW w:w="1620" w:type="dxa"/>
            <w:tcBorders>
              <w:top w:val="single" w:sz="8"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30 </w:t>
            </w:r>
          </w:p>
        </w:tc>
        <w:tc>
          <w:tcPr>
            <w:tcW w:w="1194" w:type="dxa"/>
            <w:tcBorders>
              <w:top w:val="single" w:sz="8"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1.901 </w:t>
            </w:r>
          </w:p>
        </w:tc>
        <w:tc>
          <w:tcPr>
            <w:tcW w:w="1499" w:type="dxa"/>
            <w:tcBorders>
              <w:top w:val="single" w:sz="8"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1.028 </w:t>
            </w:r>
          </w:p>
        </w:tc>
        <w:tc>
          <w:tcPr>
            <w:tcW w:w="1081" w:type="dxa"/>
            <w:tcBorders>
              <w:top w:val="single" w:sz="8"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108.220 </w:t>
            </w:r>
          </w:p>
        </w:tc>
        <w:tc>
          <w:tcPr>
            <w:tcW w:w="1350" w:type="dxa"/>
            <w:tcBorders>
              <w:top w:val="single" w:sz="8"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170" w:type="dxa"/>
            <w:tcBorders>
              <w:top w:val="single" w:sz="8"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335.866 </w:t>
            </w:r>
          </w:p>
        </w:tc>
      </w:tr>
      <w:tr w:rsidR="00236F04" w:rsidRPr="00236F04" w:rsidTr="00236F04">
        <w:trPr>
          <w:trHeight w:val="260"/>
        </w:trPr>
        <w:tc>
          <w:tcPr>
            <w:tcW w:w="50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5</w:t>
            </w:r>
          </w:p>
        </w:tc>
        <w:tc>
          <w:tcPr>
            <w:tcW w:w="1216"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Fier</w:t>
            </w:r>
          </w:p>
        </w:tc>
        <w:tc>
          <w:tcPr>
            <w:tcW w:w="162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11 </w:t>
            </w:r>
          </w:p>
        </w:tc>
        <w:tc>
          <w:tcPr>
            <w:tcW w:w="119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6.635 </w:t>
            </w:r>
          </w:p>
        </w:tc>
        <w:tc>
          <w:tcPr>
            <w:tcW w:w="1499"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254 </w:t>
            </w:r>
          </w:p>
        </w:tc>
        <w:tc>
          <w:tcPr>
            <w:tcW w:w="1081"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100 </w:t>
            </w:r>
          </w:p>
        </w:tc>
        <w:tc>
          <w:tcPr>
            <w:tcW w:w="13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12.149 </w:t>
            </w:r>
          </w:p>
        </w:tc>
        <w:tc>
          <w:tcPr>
            <w:tcW w:w="117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34.550 </w:t>
            </w:r>
          </w:p>
        </w:tc>
      </w:tr>
      <w:tr w:rsidR="00236F04" w:rsidRPr="00236F04" w:rsidTr="00236F04">
        <w:trPr>
          <w:trHeight w:val="242"/>
        </w:trPr>
        <w:tc>
          <w:tcPr>
            <w:tcW w:w="50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6</w:t>
            </w:r>
          </w:p>
        </w:tc>
        <w:tc>
          <w:tcPr>
            <w:tcW w:w="1216"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Gjirokastër</w:t>
            </w:r>
          </w:p>
        </w:tc>
        <w:tc>
          <w:tcPr>
            <w:tcW w:w="162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26 </w:t>
            </w:r>
          </w:p>
        </w:tc>
        <w:tc>
          <w:tcPr>
            <w:tcW w:w="1194"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2.227 </w:t>
            </w:r>
          </w:p>
        </w:tc>
        <w:tc>
          <w:tcPr>
            <w:tcW w:w="1499"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1.934 </w:t>
            </w:r>
          </w:p>
        </w:tc>
        <w:tc>
          <w:tcPr>
            <w:tcW w:w="1081"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   </w:t>
            </w:r>
          </w:p>
        </w:tc>
        <w:tc>
          <w:tcPr>
            <w:tcW w:w="135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9 </w:t>
            </w:r>
          </w:p>
        </w:tc>
        <w:tc>
          <w:tcPr>
            <w:tcW w:w="1170" w:type="dxa"/>
            <w:tcBorders>
              <w:top w:val="nil"/>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791.005 </w:t>
            </w:r>
          </w:p>
        </w:tc>
      </w:tr>
      <w:tr w:rsidR="00236F04" w:rsidRPr="00236F04" w:rsidTr="00236F04">
        <w:trPr>
          <w:trHeight w:val="233"/>
        </w:trPr>
        <w:tc>
          <w:tcPr>
            <w:tcW w:w="50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7</w:t>
            </w:r>
          </w:p>
        </w:tc>
        <w:tc>
          <w:tcPr>
            <w:tcW w:w="1216"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Korçë</w:t>
            </w:r>
          </w:p>
        </w:tc>
        <w:tc>
          <w:tcPr>
            <w:tcW w:w="162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20 </w:t>
            </w:r>
          </w:p>
        </w:tc>
        <w:tc>
          <w:tcPr>
            <w:tcW w:w="1194"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1.635 </w:t>
            </w:r>
          </w:p>
        </w:tc>
        <w:tc>
          <w:tcPr>
            <w:tcW w:w="149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181 </w:t>
            </w:r>
          </w:p>
        </w:tc>
        <w:tc>
          <w:tcPr>
            <w:tcW w:w="1081"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471 </w:t>
            </w:r>
          </w:p>
        </w:tc>
        <w:tc>
          <w:tcPr>
            <w:tcW w:w="135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2.058 </w:t>
            </w:r>
          </w:p>
        </w:tc>
        <w:tc>
          <w:tcPr>
            <w:tcW w:w="117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60.770 </w:t>
            </w:r>
          </w:p>
        </w:tc>
      </w:tr>
      <w:tr w:rsidR="00236F04" w:rsidRPr="00236F04" w:rsidTr="00236F04">
        <w:trPr>
          <w:trHeight w:val="197"/>
        </w:trPr>
        <w:tc>
          <w:tcPr>
            <w:tcW w:w="50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8</w:t>
            </w:r>
          </w:p>
        </w:tc>
        <w:tc>
          <w:tcPr>
            <w:tcW w:w="1216"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Kukës</w:t>
            </w:r>
          </w:p>
        </w:tc>
        <w:tc>
          <w:tcPr>
            <w:tcW w:w="162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25 </w:t>
            </w:r>
          </w:p>
        </w:tc>
        <w:tc>
          <w:tcPr>
            <w:tcW w:w="1194"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289 </w:t>
            </w:r>
          </w:p>
        </w:tc>
        <w:tc>
          <w:tcPr>
            <w:tcW w:w="149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48 </w:t>
            </w:r>
          </w:p>
        </w:tc>
        <w:tc>
          <w:tcPr>
            <w:tcW w:w="1081"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1.100 </w:t>
            </w:r>
          </w:p>
        </w:tc>
        <w:tc>
          <w:tcPr>
            <w:tcW w:w="135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35 </w:t>
            </w:r>
          </w:p>
        </w:tc>
        <w:tc>
          <w:tcPr>
            <w:tcW w:w="117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756.250 </w:t>
            </w:r>
          </w:p>
        </w:tc>
      </w:tr>
      <w:tr w:rsidR="00236F04" w:rsidRPr="00236F04" w:rsidTr="00236F04">
        <w:trPr>
          <w:trHeight w:val="188"/>
        </w:trPr>
        <w:tc>
          <w:tcPr>
            <w:tcW w:w="500" w:type="dxa"/>
            <w:tcBorders>
              <w:top w:val="nil"/>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9</w:t>
            </w:r>
          </w:p>
        </w:tc>
        <w:tc>
          <w:tcPr>
            <w:tcW w:w="1216"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Lezhë</w:t>
            </w:r>
          </w:p>
        </w:tc>
        <w:tc>
          <w:tcPr>
            <w:tcW w:w="162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32 </w:t>
            </w:r>
          </w:p>
        </w:tc>
        <w:tc>
          <w:tcPr>
            <w:tcW w:w="1194"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629 </w:t>
            </w:r>
          </w:p>
        </w:tc>
        <w:tc>
          <w:tcPr>
            <w:tcW w:w="149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165 </w:t>
            </w:r>
          </w:p>
        </w:tc>
        <w:tc>
          <w:tcPr>
            <w:tcW w:w="1081"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6.040 </w:t>
            </w:r>
          </w:p>
        </w:tc>
        <w:tc>
          <w:tcPr>
            <w:tcW w:w="135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w:t>
            </w:r>
          </w:p>
        </w:tc>
        <w:tc>
          <w:tcPr>
            <w:tcW w:w="117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461.718 </w:t>
            </w:r>
          </w:p>
        </w:tc>
      </w:tr>
      <w:tr w:rsidR="00236F04" w:rsidRPr="00236F04" w:rsidTr="00236F04">
        <w:trPr>
          <w:trHeight w:val="170"/>
        </w:trPr>
        <w:tc>
          <w:tcPr>
            <w:tcW w:w="50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10</w:t>
            </w:r>
          </w:p>
        </w:tc>
        <w:tc>
          <w:tcPr>
            <w:tcW w:w="1216"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Shkodër</w:t>
            </w:r>
          </w:p>
        </w:tc>
        <w:tc>
          <w:tcPr>
            <w:tcW w:w="162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37 </w:t>
            </w:r>
          </w:p>
        </w:tc>
        <w:tc>
          <w:tcPr>
            <w:tcW w:w="1194"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2.601 </w:t>
            </w:r>
          </w:p>
        </w:tc>
        <w:tc>
          <w:tcPr>
            <w:tcW w:w="149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303 </w:t>
            </w:r>
          </w:p>
        </w:tc>
        <w:tc>
          <w:tcPr>
            <w:tcW w:w="1081"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230 </w:t>
            </w:r>
          </w:p>
        </w:tc>
        <w:tc>
          <w:tcPr>
            <w:tcW w:w="135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3.904 </w:t>
            </w:r>
          </w:p>
        </w:tc>
        <w:tc>
          <w:tcPr>
            <w:tcW w:w="117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350.179 </w:t>
            </w:r>
          </w:p>
        </w:tc>
      </w:tr>
      <w:tr w:rsidR="00236F04" w:rsidRPr="00236F04" w:rsidTr="00236F04">
        <w:trPr>
          <w:trHeight w:val="152"/>
        </w:trPr>
        <w:tc>
          <w:tcPr>
            <w:tcW w:w="50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11</w:t>
            </w:r>
          </w:p>
        </w:tc>
        <w:tc>
          <w:tcPr>
            <w:tcW w:w="1216"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Tiranë</w:t>
            </w:r>
          </w:p>
        </w:tc>
        <w:tc>
          <w:tcPr>
            <w:tcW w:w="162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19 </w:t>
            </w:r>
          </w:p>
        </w:tc>
        <w:tc>
          <w:tcPr>
            <w:tcW w:w="1194"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1.614 </w:t>
            </w:r>
          </w:p>
        </w:tc>
        <w:tc>
          <w:tcPr>
            <w:tcW w:w="149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27 </w:t>
            </w:r>
          </w:p>
        </w:tc>
        <w:tc>
          <w:tcPr>
            <w:tcW w:w="1081"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3.331 </w:t>
            </w:r>
          </w:p>
        </w:tc>
        <w:tc>
          <w:tcPr>
            <w:tcW w:w="135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147 </w:t>
            </w:r>
          </w:p>
        </w:tc>
        <w:tc>
          <w:tcPr>
            <w:tcW w:w="117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5.940 </w:t>
            </w:r>
          </w:p>
        </w:tc>
      </w:tr>
      <w:tr w:rsidR="00236F04" w:rsidRPr="00236F04" w:rsidTr="00236F04">
        <w:trPr>
          <w:trHeight w:val="233"/>
        </w:trPr>
        <w:tc>
          <w:tcPr>
            <w:tcW w:w="5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12</w:t>
            </w:r>
          </w:p>
        </w:tc>
        <w:tc>
          <w:tcPr>
            <w:tcW w:w="1216" w:type="dxa"/>
            <w:tcBorders>
              <w:top w:val="single" w:sz="4" w:space="0" w:color="auto"/>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sz w:val="16"/>
                <w:szCs w:val="16"/>
                <w:lang w:val="sq-AL" w:eastAsia="sq-AL"/>
              </w:rPr>
            </w:pPr>
            <w:r w:rsidRPr="00236F04">
              <w:rPr>
                <w:rFonts w:ascii="Times New Roman" w:eastAsia="Times New Roman" w:hAnsi="Times New Roman" w:cs="Times New Roman"/>
                <w:b/>
                <w:bCs/>
                <w:color w:val="000000"/>
                <w:sz w:val="16"/>
                <w:szCs w:val="16"/>
                <w:lang w:val="sq-AL" w:eastAsia="sq-AL"/>
              </w:rPr>
              <w:t>Vlorë</w:t>
            </w:r>
          </w:p>
        </w:tc>
        <w:tc>
          <w:tcPr>
            <w:tcW w:w="1620" w:type="dxa"/>
            <w:tcBorders>
              <w:top w:val="single" w:sz="4" w:space="0" w:color="auto"/>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36 </w:t>
            </w:r>
          </w:p>
        </w:tc>
        <w:tc>
          <w:tcPr>
            <w:tcW w:w="1194" w:type="dxa"/>
            <w:tcBorders>
              <w:top w:val="single" w:sz="4" w:space="0" w:color="auto"/>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8.828 </w:t>
            </w:r>
          </w:p>
        </w:tc>
        <w:tc>
          <w:tcPr>
            <w:tcW w:w="1499" w:type="dxa"/>
            <w:tcBorders>
              <w:top w:val="single" w:sz="4" w:space="0" w:color="auto"/>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10.236 </w:t>
            </w:r>
          </w:p>
        </w:tc>
        <w:tc>
          <w:tcPr>
            <w:tcW w:w="1081" w:type="dxa"/>
            <w:tcBorders>
              <w:top w:val="single" w:sz="4" w:space="0" w:color="auto"/>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2.520 </w:t>
            </w:r>
          </w:p>
        </w:tc>
        <w:tc>
          <w:tcPr>
            <w:tcW w:w="1350" w:type="dxa"/>
            <w:tcBorders>
              <w:top w:val="single" w:sz="4" w:space="0" w:color="auto"/>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585 </w:t>
            </w:r>
          </w:p>
        </w:tc>
        <w:tc>
          <w:tcPr>
            <w:tcW w:w="1170" w:type="dxa"/>
            <w:tcBorders>
              <w:top w:val="single" w:sz="4" w:space="0" w:color="auto"/>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16"/>
                <w:szCs w:val="16"/>
                <w:lang w:val="sq-AL" w:eastAsia="sq-AL"/>
              </w:rPr>
            </w:pPr>
            <w:r w:rsidRPr="00236F04">
              <w:rPr>
                <w:rFonts w:ascii="Times New Roman" w:eastAsia="Times New Roman" w:hAnsi="Times New Roman" w:cs="Times New Roman"/>
                <w:color w:val="000000"/>
                <w:sz w:val="16"/>
                <w:szCs w:val="16"/>
                <w:lang w:val="sq-AL" w:eastAsia="sq-AL"/>
              </w:rPr>
              <w:t xml:space="preserve">      3.891.538 </w:t>
            </w:r>
          </w:p>
        </w:tc>
      </w:tr>
      <w:tr w:rsidR="00236F04" w:rsidRPr="00236F04" w:rsidTr="00236F04">
        <w:trPr>
          <w:trHeight w:val="312"/>
        </w:trPr>
        <w:tc>
          <w:tcPr>
            <w:tcW w:w="1716" w:type="dxa"/>
            <w:gridSpan w:val="2"/>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i/>
                <w:color w:val="000000"/>
                <w:sz w:val="16"/>
                <w:szCs w:val="16"/>
                <w:lang w:val="sq-AL" w:eastAsia="sq-AL"/>
              </w:rPr>
            </w:pPr>
            <w:r w:rsidRPr="00236F04">
              <w:rPr>
                <w:rFonts w:ascii="Times New Roman" w:eastAsia="Times New Roman" w:hAnsi="Times New Roman" w:cs="Times New Roman"/>
                <w:b/>
                <w:bCs/>
                <w:i/>
                <w:color w:val="000000"/>
                <w:sz w:val="16"/>
                <w:szCs w:val="16"/>
                <w:lang w:val="sq-AL" w:eastAsia="sq-AL"/>
              </w:rPr>
              <w:t>TOTALI</w:t>
            </w:r>
          </w:p>
        </w:tc>
        <w:tc>
          <w:tcPr>
            <w:tcW w:w="162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i/>
                <w:color w:val="000000"/>
                <w:sz w:val="16"/>
                <w:szCs w:val="16"/>
                <w:lang w:val="sq-AL" w:eastAsia="sq-AL"/>
              </w:rPr>
            </w:pPr>
            <w:r w:rsidRPr="00236F04">
              <w:rPr>
                <w:rFonts w:ascii="Times New Roman" w:eastAsia="Times New Roman" w:hAnsi="Times New Roman" w:cs="Times New Roman"/>
                <w:b/>
                <w:i/>
                <w:color w:val="000000"/>
                <w:sz w:val="16"/>
                <w:szCs w:val="16"/>
                <w:lang w:val="sq-AL" w:eastAsia="sq-AL"/>
              </w:rPr>
              <w:t>282</w:t>
            </w:r>
          </w:p>
        </w:tc>
        <w:tc>
          <w:tcPr>
            <w:tcW w:w="1194"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i/>
                <w:color w:val="000000"/>
                <w:sz w:val="16"/>
                <w:szCs w:val="16"/>
                <w:lang w:val="sq-AL" w:eastAsia="sq-AL"/>
              </w:rPr>
            </w:pPr>
            <w:r w:rsidRPr="00236F04">
              <w:rPr>
                <w:rFonts w:ascii="Times New Roman" w:eastAsia="Times New Roman" w:hAnsi="Times New Roman" w:cs="Times New Roman"/>
                <w:b/>
                <w:i/>
                <w:color w:val="000000"/>
                <w:sz w:val="16"/>
                <w:szCs w:val="16"/>
                <w:lang w:val="sq-AL" w:eastAsia="sq-AL"/>
              </w:rPr>
              <w:t>28.177</w:t>
            </w:r>
          </w:p>
        </w:tc>
        <w:tc>
          <w:tcPr>
            <w:tcW w:w="149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i/>
                <w:color w:val="000000"/>
                <w:sz w:val="16"/>
                <w:szCs w:val="16"/>
                <w:lang w:val="sq-AL" w:eastAsia="sq-AL"/>
              </w:rPr>
            </w:pPr>
            <w:r w:rsidRPr="00236F04">
              <w:rPr>
                <w:rFonts w:ascii="Times New Roman" w:eastAsia="Times New Roman" w:hAnsi="Times New Roman" w:cs="Times New Roman"/>
                <w:b/>
                <w:i/>
                <w:color w:val="000000"/>
                <w:sz w:val="16"/>
                <w:szCs w:val="16"/>
                <w:lang w:val="sq-AL" w:eastAsia="sq-AL"/>
              </w:rPr>
              <w:t>14.975</w:t>
            </w:r>
          </w:p>
        </w:tc>
        <w:tc>
          <w:tcPr>
            <w:tcW w:w="1081"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i/>
                <w:color w:val="000000"/>
                <w:sz w:val="16"/>
                <w:szCs w:val="16"/>
                <w:lang w:val="sq-AL" w:eastAsia="sq-AL"/>
              </w:rPr>
            </w:pPr>
            <w:r w:rsidRPr="00236F04">
              <w:rPr>
                <w:rFonts w:ascii="Times New Roman" w:eastAsia="Times New Roman" w:hAnsi="Times New Roman" w:cs="Times New Roman"/>
                <w:b/>
                <w:i/>
                <w:color w:val="000000"/>
                <w:sz w:val="16"/>
                <w:szCs w:val="16"/>
                <w:lang w:val="sq-AL" w:eastAsia="sq-AL"/>
              </w:rPr>
              <w:t>123.563</w:t>
            </w:r>
          </w:p>
        </w:tc>
        <w:tc>
          <w:tcPr>
            <w:tcW w:w="135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i/>
                <w:color w:val="000000"/>
                <w:sz w:val="16"/>
                <w:szCs w:val="16"/>
                <w:lang w:val="sq-AL" w:eastAsia="sq-AL"/>
              </w:rPr>
            </w:pPr>
            <w:r w:rsidRPr="00236F04">
              <w:rPr>
                <w:rFonts w:ascii="Times New Roman" w:eastAsia="Times New Roman" w:hAnsi="Times New Roman" w:cs="Times New Roman"/>
                <w:b/>
                <w:i/>
                <w:color w:val="000000"/>
                <w:sz w:val="16"/>
                <w:szCs w:val="16"/>
                <w:lang w:val="sq-AL" w:eastAsia="sq-AL"/>
              </w:rPr>
              <w:t>20.300</w:t>
            </w:r>
          </w:p>
        </w:tc>
        <w:tc>
          <w:tcPr>
            <w:tcW w:w="117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b/>
                <w:i/>
                <w:color w:val="000000"/>
                <w:sz w:val="16"/>
                <w:szCs w:val="16"/>
                <w:lang w:val="sq-AL" w:eastAsia="sq-AL"/>
              </w:rPr>
            </w:pPr>
            <w:r w:rsidRPr="00236F04">
              <w:rPr>
                <w:rFonts w:ascii="Times New Roman" w:eastAsia="Times New Roman" w:hAnsi="Times New Roman" w:cs="Times New Roman"/>
                <w:b/>
                <w:i/>
                <w:color w:val="000000"/>
                <w:sz w:val="16"/>
                <w:szCs w:val="16"/>
                <w:lang w:val="sq-AL" w:eastAsia="sq-AL"/>
              </w:rPr>
              <w:t>7.134.934</w:t>
            </w:r>
          </w:p>
        </w:tc>
      </w:tr>
    </w:tbl>
    <w:p w:rsidR="00236F04" w:rsidRPr="00236F04" w:rsidRDefault="00236F04" w:rsidP="00236F04">
      <w:pPr>
        <w:spacing w:after="0" w:line="240" w:lineRule="auto"/>
        <w:jc w:val="both"/>
        <w:rPr>
          <w:rFonts w:ascii="Times New Roman" w:eastAsia="Times New Roman" w:hAnsi="Times New Roman" w:cs="Times New Roman"/>
          <w:b/>
          <w:sz w:val="20"/>
          <w:szCs w:val="24"/>
        </w:rPr>
      </w:pPr>
    </w:p>
    <w:p w:rsidR="00236F04" w:rsidRPr="00236F04" w:rsidRDefault="00236F04" w:rsidP="00236F04">
      <w:pPr>
        <w:spacing w:after="0" w:line="240" w:lineRule="auto"/>
        <w:jc w:val="both"/>
        <w:rPr>
          <w:rFonts w:ascii="Times New Roman" w:eastAsia="Times New Roman" w:hAnsi="Times New Roman" w:cs="Times New Roman"/>
          <w:b/>
          <w:i/>
          <w:sz w:val="24"/>
          <w:szCs w:val="24"/>
        </w:rPr>
      </w:pP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Nga analiza vizuale e të dhënave, vërehen dallime të mëdha ndërmjet qarqeve:</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Nga të dhënat, vërehet se qarku i Vlorës kryeson me vlera të konsiderueshme sipërfaqeje pyjore e kullosore të djegur, duke e krahasuar me të gjitha qarqet e tjera. Sipërfaqet e djegura në këtë qark arrijnë mbi 10,000 hektarë, çka tregon për një ndikim të madh të zjarreve në fondin pyjor </w:t>
      </w:r>
      <w:r w:rsidRPr="00236F04">
        <w:rPr>
          <w:rFonts w:ascii="Times New Roman" w:eastAsia="Times New Roman" w:hAnsi="Times New Roman" w:cs="Times New Roman"/>
          <w:sz w:val="24"/>
          <w:szCs w:val="24"/>
        </w:rPr>
        <w:lastRenderedPageBreak/>
        <w:t>dhe kullosor. Kjo situatë mund të lidhet me faktorë të tillë si terreni i thyer malor, shtrirja e gjerë e pyjeve dhe kullotave, si dhe kushtet klimatike të nxehta dhe të thata gjatë sezonit veror.</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Në qarkun e Gjirokastrës, i cili renditet i dyti, sipërfaqet e djegura arrijnë rreth 2,000 hektarë, duke paraqitur një ndikim më të kufizuar, por gjithsesi të rëndësishëm. Edhe ky qark ka karakteristika klimatike dhe gjeografike të ngjashme me atë të Vlorës.</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Qarqet Elbasan dhe Berat paraqiten me sipërfaqe mesatare të djegura, rreth 1,000 hektarë, ndërsa Fieri, Korça, Kukësi, Lezha, Shkodra dhe Tirana kanë vlera më të ulëta, por gjithsesi të konsiderueshme në raport me shtrirjen e tyre territoriale dhe pyjore.</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Nga ana tjetër, qarqet Dibër dhe Durrës rezultojnë me ndikimin më të vogël nga zjarret, duke regjistruar sipërfaqe relativisht më të vogla të djegura, megjithatë edhe këto vlera kanë ndikim të konsiderueshëm në kuadrin e përgjithshëm të dëmeve mjedisore, specifikisht në pyje dhe kollota.</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Rajonet veriore dhe qendrore paraqesin një rrezik më të ulët, ndoshta për shkak të klimës më të freskët, ndërgjegjësimit më të lartë ose strukturës më të ndryshme të vegjetacionit.</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Diferencat e theksuara tregojnë nevojën për masa të lokalizuara parandaluese, si: forcimi i monitorimit, edukimi i komuniteteve rurale dhe përmirësimi i infrastrukturës për reagim ndaj zjarreve.</w:t>
      </w:r>
    </w:p>
    <w:p w:rsidR="00236F04" w:rsidRPr="00236F04" w:rsidRDefault="00236F04" w:rsidP="00236F04">
      <w:pPr>
        <w:spacing w:after="0" w:line="240" w:lineRule="auto"/>
        <w:jc w:val="both"/>
        <w:rPr>
          <w:rFonts w:ascii="Times New Roman" w:eastAsia="Times New Roman" w:hAnsi="Times New Roman" w:cs="Times New Roman"/>
          <w:sz w:val="24"/>
          <w:szCs w:val="24"/>
        </w:rPr>
      </w:pPr>
    </w:p>
    <w:p w:rsidR="00236F04" w:rsidRPr="00AF0E6E" w:rsidRDefault="00236F04" w:rsidP="00807975">
      <w:pPr>
        <w:pStyle w:val="ListParagraph"/>
        <w:numPr>
          <w:ilvl w:val="0"/>
          <w:numId w:val="118"/>
        </w:numPr>
        <w:spacing w:after="0" w:line="240" w:lineRule="auto"/>
        <w:jc w:val="both"/>
        <w:rPr>
          <w:rFonts w:ascii="Times New Roman" w:eastAsia="Calibri" w:hAnsi="Times New Roman" w:cs="Times New Roman"/>
          <w:b/>
          <w:i/>
          <w:sz w:val="24"/>
          <w:szCs w:val="24"/>
          <w:lang w:val="sq-AL"/>
        </w:rPr>
      </w:pPr>
      <w:r w:rsidRPr="00AF0E6E">
        <w:rPr>
          <w:rFonts w:ascii="Times New Roman" w:eastAsia="Calibri" w:hAnsi="Times New Roman" w:cs="Times New Roman"/>
          <w:b/>
          <w:i/>
          <w:sz w:val="24"/>
          <w:szCs w:val="24"/>
          <w:lang w:val="sq-AL"/>
        </w:rPr>
        <w:t xml:space="preserve">Shkaqet e zjarreve </w:t>
      </w:r>
      <w:r w:rsidRPr="00AF0E6E">
        <w:rPr>
          <w:rFonts w:ascii="Times New Roman" w:eastAsia="Calibri" w:hAnsi="Times New Roman" w:cs="Times New Roman"/>
          <w:b/>
          <w:i/>
          <w:iCs/>
          <w:sz w:val="24"/>
          <w:szCs w:val="24"/>
          <w:lang w:val="sq-AL"/>
        </w:rPr>
        <w:t>në fondin pyjor/kullosor</w:t>
      </w:r>
      <w:r w:rsidRPr="00AF0E6E">
        <w:rPr>
          <w:rFonts w:ascii="Times New Roman" w:eastAsia="Calibri" w:hAnsi="Times New Roman" w:cs="Times New Roman"/>
          <w:b/>
          <w:i/>
          <w:sz w:val="24"/>
          <w:szCs w:val="24"/>
          <w:lang w:val="sq-AL"/>
        </w:rPr>
        <w:t>.</w:t>
      </w:r>
    </w:p>
    <w:p w:rsidR="00236F04" w:rsidRPr="00236F04" w:rsidRDefault="00236F04" w:rsidP="00236F04">
      <w:pPr>
        <w:spacing w:after="0" w:line="240" w:lineRule="auto"/>
        <w:jc w:val="both"/>
        <w:outlineLvl w:val="2"/>
        <w:rPr>
          <w:rFonts w:ascii="Times New Roman" w:eastAsia="Times New Roman" w:hAnsi="Times New Roman" w:cs="Times New Roman"/>
          <w:b/>
          <w:bCs/>
          <w:sz w:val="24"/>
          <w:szCs w:val="24"/>
          <w:lang w:val="sq-AL"/>
        </w:rPr>
      </w:pPr>
    </w:p>
    <w:p w:rsidR="00236F04" w:rsidRPr="00236F04" w:rsidRDefault="00236F04" w:rsidP="00236F04">
      <w:pPr>
        <w:spacing w:after="0" w:line="240" w:lineRule="auto"/>
        <w:jc w:val="both"/>
        <w:outlineLvl w:val="2"/>
        <w:rPr>
          <w:rFonts w:ascii="Times New Roman" w:eastAsia="Times New Roman" w:hAnsi="Times New Roman" w:cs="Times New Roman"/>
          <w:b/>
          <w:bCs/>
          <w:sz w:val="24"/>
          <w:szCs w:val="24"/>
          <w:lang w:val="sq-AL"/>
        </w:rPr>
      </w:pPr>
      <w:r w:rsidRPr="00236F04">
        <w:rPr>
          <w:rFonts w:ascii="Times New Roman" w:eastAsia="Times New Roman" w:hAnsi="Times New Roman" w:cs="Times New Roman"/>
          <w:b/>
          <w:bCs/>
          <w:sz w:val="24"/>
          <w:szCs w:val="24"/>
          <w:lang w:val="sq-AL"/>
        </w:rPr>
        <w:t>Shkaqet kryesore të zjarreve:</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lang w:val="sq-AL"/>
        </w:rPr>
        <w:t xml:space="preserve">Shkaqet kryesore të zjarreve në fondin pyjor dhe kullosor janë aktiviteti njerëzor dhe kushtet klimatike ekstreme. Këta faktorë ndikojnë drejtpërdrejt në rritjen e rrezikut dhe përhapjen e flakëve në sipërfaqe të gjera natyrore. </w:t>
      </w:r>
      <w:r w:rsidRPr="00236F04">
        <w:rPr>
          <w:rFonts w:ascii="Times New Roman" w:eastAsia="Times New Roman" w:hAnsi="Times New Roman" w:cs="Times New Roman"/>
          <w:sz w:val="24"/>
          <w:szCs w:val="24"/>
        </w:rPr>
        <w:t>Ndër to përmendim:</w:t>
      </w:r>
    </w:p>
    <w:p w:rsidR="00236F04" w:rsidRPr="00236F04" w:rsidRDefault="00236F04" w:rsidP="00236F04">
      <w:pPr>
        <w:spacing w:after="0" w:line="240" w:lineRule="auto"/>
        <w:jc w:val="both"/>
        <w:rPr>
          <w:rFonts w:ascii="Times New Roman" w:eastAsia="Times New Roman" w:hAnsi="Times New Roman" w:cs="Times New Roman"/>
          <w:b/>
          <w:bCs/>
          <w:sz w:val="24"/>
          <w:szCs w:val="24"/>
        </w:rPr>
      </w:pP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b/>
          <w:bCs/>
          <w:sz w:val="24"/>
          <w:szCs w:val="24"/>
        </w:rPr>
        <w:t>Ndryshimet klimatike</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Temperaturat e larta, thatësira e zgjatur dhe era e fortë krijojnë kushte ideale për përhapjen e zjarreve;</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Ulja e lagështisë në tokë dhe bimësi e tharë e bën fondin pyjor dhe kullosor më të ndjeshëm ndaj flakëve.</w:t>
      </w:r>
    </w:p>
    <w:p w:rsidR="00236F04" w:rsidRPr="00236F04" w:rsidRDefault="00236F04" w:rsidP="00236F04">
      <w:pPr>
        <w:spacing w:after="0" w:line="240" w:lineRule="auto"/>
        <w:jc w:val="both"/>
        <w:outlineLvl w:val="3"/>
        <w:rPr>
          <w:rFonts w:ascii="Times New Roman" w:eastAsia="Times New Roman" w:hAnsi="Times New Roman" w:cs="Times New Roman"/>
          <w:b/>
          <w:bCs/>
          <w:sz w:val="24"/>
          <w:szCs w:val="24"/>
        </w:rPr>
      </w:pPr>
      <w:r w:rsidRPr="00236F04">
        <w:rPr>
          <w:rFonts w:ascii="Times New Roman" w:eastAsia="Times New Roman" w:hAnsi="Times New Roman" w:cs="Times New Roman"/>
          <w:b/>
          <w:bCs/>
          <w:sz w:val="24"/>
          <w:szCs w:val="24"/>
        </w:rPr>
        <w:t xml:space="preserve"> </w:t>
      </w:r>
    </w:p>
    <w:p w:rsidR="00236F04" w:rsidRPr="00236F04" w:rsidRDefault="00236F04" w:rsidP="00236F04">
      <w:pPr>
        <w:spacing w:after="0" w:line="240" w:lineRule="auto"/>
        <w:jc w:val="both"/>
        <w:outlineLvl w:val="3"/>
        <w:rPr>
          <w:rFonts w:ascii="Times New Roman" w:eastAsia="Times New Roman" w:hAnsi="Times New Roman" w:cs="Times New Roman"/>
          <w:b/>
          <w:bCs/>
          <w:sz w:val="24"/>
          <w:szCs w:val="24"/>
        </w:rPr>
      </w:pPr>
      <w:r w:rsidRPr="00236F04">
        <w:rPr>
          <w:rFonts w:ascii="Times New Roman" w:eastAsia="Times New Roman" w:hAnsi="Times New Roman" w:cs="Times New Roman"/>
          <w:b/>
          <w:bCs/>
          <w:sz w:val="24"/>
          <w:szCs w:val="24"/>
        </w:rPr>
        <w:t>Aktiviteti njerëzor</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Djegia e mbetjeve bujqësore pa masa sigurie;</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Zjarret e ndezura për kullota të reja që dalin jashtë kontrollit;</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Hedhja e cigareve të ndezura në natyrë;</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Mungesa e ndërgjegjësimit dhe edukimit mbi rrezikun e zjarreve.</w:t>
      </w:r>
    </w:p>
    <w:p w:rsidR="00236F04" w:rsidRPr="00236F04" w:rsidRDefault="00236F04" w:rsidP="00236F04">
      <w:pPr>
        <w:spacing w:after="0" w:line="240" w:lineRule="auto"/>
        <w:jc w:val="both"/>
        <w:outlineLvl w:val="3"/>
        <w:rPr>
          <w:rFonts w:ascii="Times New Roman" w:eastAsia="Times New Roman" w:hAnsi="Times New Roman" w:cs="Times New Roman"/>
          <w:b/>
          <w:bCs/>
          <w:sz w:val="24"/>
          <w:szCs w:val="24"/>
        </w:rPr>
      </w:pPr>
    </w:p>
    <w:p w:rsidR="00AF0E6E" w:rsidRDefault="00AF0E6E" w:rsidP="00236F04">
      <w:pPr>
        <w:spacing w:after="0" w:line="240" w:lineRule="auto"/>
        <w:jc w:val="both"/>
        <w:outlineLvl w:val="3"/>
        <w:rPr>
          <w:rFonts w:ascii="Times New Roman" w:eastAsia="Times New Roman" w:hAnsi="Times New Roman" w:cs="Times New Roman"/>
          <w:b/>
          <w:bCs/>
          <w:sz w:val="24"/>
          <w:szCs w:val="24"/>
        </w:rPr>
      </w:pPr>
    </w:p>
    <w:p w:rsidR="00236F04" w:rsidRPr="00236F04" w:rsidRDefault="00236F04" w:rsidP="00236F04">
      <w:pPr>
        <w:spacing w:after="0" w:line="240" w:lineRule="auto"/>
        <w:jc w:val="both"/>
        <w:outlineLvl w:val="3"/>
        <w:rPr>
          <w:rFonts w:ascii="Times New Roman" w:eastAsia="Times New Roman" w:hAnsi="Times New Roman" w:cs="Times New Roman"/>
          <w:b/>
          <w:bCs/>
          <w:sz w:val="24"/>
          <w:szCs w:val="24"/>
        </w:rPr>
      </w:pPr>
      <w:r w:rsidRPr="00236F04">
        <w:rPr>
          <w:rFonts w:ascii="Times New Roman" w:eastAsia="Times New Roman" w:hAnsi="Times New Roman" w:cs="Times New Roman"/>
          <w:b/>
          <w:bCs/>
          <w:sz w:val="24"/>
          <w:szCs w:val="24"/>
        </w:rPr>
        <w:t>Shkaqe aksidentale dhe teknike</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Defekte në linjat elektrike që kalojnë përmes zonave pyjore;</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Mjete motorike që shkaktojnë shkëndija në terrene të thata.</w:t>
      </w:r>
    </w:p>
    <w:p w:rsidR="00236F04" w:rsidRPr="00236F04" w:rsidRDefault="00236F04" w:rsidP="00236F04">
      <w:pPr>
        <w:spacing w:after="0" w:line="240" w:lineRule="auto"/>
        <w:jc w:val="both"/>
        <w:outlineLvl w:val="3"/>
        <w:rPr>
          <w:rFonts w:ascii="Times New Roman" w:eastAsia="Times New Roman" w:hAnsi="Times New Roman" w:cs="Times New Roman"/>
          <w:b/>
          <w:bCs/>
          <w:sz w:val="24"/>
          <w:szCs w:val="24"/>
        </w:rPr>
      </w:pPr>
    </w:p>
    <w:p w:rsidR="00236F04" w:rsidRPr="00236F04" w:rsidRDefault="00236F04" w:rsidP="00236F04">
      <w:pPr>
        <w:spacing w:after="0" w:line="240" w:lineRule="auto"/>
        <w:jc w:val="both"/>
        <w:outlineLvl w:val="3"/>
        <w:rPr>
          <w:rFonts w:ascii="Times New Roman" w:eastAsia="Times New Roman" w:hAnsi="Times New Roman" w:cs="Times New Roman"/>
          <w:b/>
          <w:bCs/>
          <w:sz w:val="24"/>
          <w:szCs w:val="24"/>
        </w:rPr>
      </w:pPr>
      <w:r w:rsidRPr="00236F04">
        <w:rPr>
          <w:rFonts w:ascii="Times New Roman" w:eastAsia="Times New Roman" w:hAnsi="Times New Roman" w:cs="Times New Roman"/>
          <w:b/>
          <w:bCs/>
          <w:sz w:val="24"/>
          <w:szCs w:val="24"/>
        </w:rPr>
        <w:t>Shkaqe të qëllimshme (zjarre të vëna me dashje)</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Disa raste lidhen me konflikte pronësie, pastrim të paligjshëm të tokës ose spekulime për zhvillim urban.</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Djegje e kullotave dhe sipërfaeve mebimësi pyjore me qëllim krijimin e kullotave të reja apo pastrim të tyre</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lastRenderedPageBreak/>
        <w:t>Konkretisht, janë raportuar raste të zjarrvënies nga njeriu (në mënyrë direkte ose indirekte) si dhe zjarre nga shkaqe natyrore, si rrufeja apo vetëndezja. Nga ana e strukturave të bashkive dhe organeve kompetente, pjesa më e madhe e rasteve evidentohen si me shkaqe të panjohura.</w:t>
      </w:r>
    </w:p>
    <w:p w:rsidR="00236F04" w:rsidRPr="00236F04" w:rsidRDefault="00236F04" w:rsidP="00236F04">
      <w:pPr>
        <w:spacing w:after="0" w:line="240" w:lineRule="auto"/>
        <w:jc w:val="both"/>
        <w:rPr>
          <w:rFonts w:ascii="Times New Roman" w:eastAsia="Times New Roman" w:hAnsi="Times New Roman" w:cs="Times New Roman"/>
          <w:sz w:val="24"/>
          <w:szCs w:val="24"/>
        </w:rPr>
      </w:pPr>
    </w:p>
    <w:tbl>
      <w:tblPr>
        <w:tblW w:w="9630" w:type="dxa"/>
        <w:tblInd w:w="108" w:type="dxa"/>
        <w:tblLook w:val="04A0" w:firstRow="1" w:lastRow="0" w:firstColumn="1" w:lastColumn="0" w:noHBand="0" w:noVBand="1"/>
      </w:tblPr>
      <w:tblGrid>
        <w:gridCol w:w="1957"/>
        <w:gridCol w:w="2160"/>
        <w:gridCol w:w="1890"/>
        <w:gridCol w:w="3623"/>
      </w:tblGrid>
      <w:tr w:rsidR="00236F04" w:rsidRPr="00236F04" w:rsidTr="00236F04">
        <w:trPr>
          <w:trHeight w:val="315"/>
        </w:trPr>
        <w:tc>
          <w:tcPr>
            <w:tcW w:w="9630" w:type="dxa"/>
            <w:gridSpan w:val="4"/>
            <w:tcBorders>
              <w:top w:val="single" w:sz="4" w:space="0" w:color="auto"/>
              <w:left w:val="single" w:sz="4" w:space="0" w:color="auto"/>
              <w:bottom w:val="single" w:sz="4" w:space="0" w:color="auto"/>
              <w:right w:val="single" w:sz="4" w:space="0" w:color="auto"/>
            </w:tcBorders>
            <w:noWrap/>
            <w:vAlign w:val="center"/>
            <w:hideMark/>
          </w:tcPr>
          <w:p w:rsidR="00236F04" w:rsidRPr="00236F04" w:rsidRDefault="00236F04" w:rsidP="00236F04">
            <w:pPr>
              <w:spacing w:after="0" w:line="240" w:lineRule="auto"/>
              <w:jc w:val="center"/>
              <w:rPr>
                <w:rFonts w:ascii="Times New Roman" w:eastAsia="Times New Roman" w:hAnsi="Times New Roman" w:cs="Times New Roman"/>
                <w:bCs/>
                <w:sz w:val="24"/>
                <w:szCs w:val="24"/>
              </w:rPr>
            </w:pPr>
            <w:r w:rsidRPr="00236F04">
              <w:rPr>
                <w:rFonts w:ascii="Times New Roman" w:eastAsia="Times New Roman" w:hAnsi="Times New Roman" w:cs="Times New Roman"/>
                <w:bCs/>
                <w:sz w:val="24"/>
                <w:szCs w:val="24"/>
              </w:rPr>
              <w:t>Shkaqet e</w:t>
            </w:r>
            <w:r w:rsidR="00AF0E6E" w:rsidRPr="00236F04">
              <w:rPr>
                <w:rFonts w:ascii="Times New Roman" w:eastAsia="Times New Roman" w:hAnsi="Times New Roman" w:cs="Times New Roman"/>
                <w:sz w:val="24"/>
                <w:szCs w:val="24"/>
              </w:rPr>
              <w:t xml:space="preserve"> raportuara të rënies së zjarreve</w:t>
            </w:r>
          </w:p>
        </w:tc>
      </w:tr>
      <w:tr w:rsidR="00236F04" w:rsidRPr="00236F04" w:rsidTr="00236F04">
        <w:trPr>
          <w:trHeight w:val="315"/>
        </w:trPr>
        <w:tc>
          <w:tcPr>
            <w:tcW w:w="4117" w:type="dxa"/>
            <w:gridSpan w:val="2"/>
            <w:tcBorders>
              <w:top w:val="single" w:sz="4" w:space="0" w:color="auto"/>
              <w:left w:val="single" w:sz="4" w:space="0" w:color="auto"/>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Times New Roman" w:hAnsi="Times New Roman" w:cs="Times New Roman"/>
                <w:bCs/>
                <w:sz w:val="24"/>
                <w:szCs w:val="24"/>
                <w:lang w:val="sq-AL"/>
              </w:rPr>
            </w:pPr>
            <w:r w:rsidRPr="00236F04">
              <w:rPr>
                <w:rFonts w:ascii="Times New Roman" w:eastAsia="Times New Roman" w:hAnsi="Times New Roman" w:cs="Times New Roman"/>
                <w:bCs/>
                <w:sz w:val="24"/>
                <w:szCs w:val="24"/>
                <w:lang w:val="sq-AL"/>
              </w:rPr>
              <w:t>Njerëzore</w:t>
            </w:r>
          </w:p>
        </w:tc>
        <w:tc>
          <w:tcPr>
            <w:tcW w:w="5513" w:type="dxa"/>
            <w:gridSpan w:val="2"/>
            <w:tcBorders>
              <w:top w:val="single" w:sz="4" w:space="0" w:color="auto"/>
              <w:left w:val="nil"/>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Times New Roman" w:hAnsi="Times New Roman" w:cs="Times New Roman"/>
                <w:bCs/>
                <w:sz w:val="24"/>
                <w:szCs w:val="24"/>
                <w:lang w:val="sq-AL"/>
              </w:rPr>
            </w:pPr>
            <w:r w:rsidRPr="00236F04">
              <w:rPr>
                <w:rFonts w:ascii="Times New Roman" w:eastAsia="Times New Roman" w:hAnsi="Times New Roman" w:cs="Times New Roman"/>
                <w:bCs/>
                <w:sz w:val="24"/>
                <w:szCs w:val="24"/>
                <w:lang w:val="sq-AL"/>
              </w:rPr>
              <w:t>Natyrore</w:t>
            </w:r>
          </w:p>
        </w:tc>
      </w:tr>
      <w:tr w:rsidR="00236F04" w:rsidRPr="00236F04" w:rsidTr="00236F04">
        <w:trPr>
          <w:trHeight w:val="315"/>
        </w:trPr>
        <w:tc>
          <w:tcPr>
            <w:tcW w:w="1957" w:type="dxa"/>
            <w:tcBorders>
              <w:top w:val="nil"/>
              <w:left w:val="single" w:sz="4" w:space="0" w:color="auto"/>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Times New Roman" w:hAnsi="Times New Roman" w:cs="Times New Roman"/>
                <w:bCs/>
                <w:sz w:val="24"/>
                <w:szCs w:val="24"/>
                <w:lang w:val="sq-AL"/>
              </w:rPr>
            </w:pPr>
            <w:r w:rsidRPr="00236F04">
              <w:rPr>
                <w:rFonts w:ascii="Times New Roman" w:eastAsia="Times New Roman" w:hAnsi="Times New Roman" w:cs="Times New Roman"/>
                <w:bCs/>
                <w:sz w:val="24"/>
                <w:szCs w:val="24"/>
                <w:lang w:val="sq-AL"/>
              </w:rPr>
              <w:t>Të qëllimshme</w:t>
            </w:r>
          </w:p>
        </w:tc>
        <w:tc>
          <w:tcPr>
            <w:tcW w:w="2160"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Times New Roman" w:hAnsi="Times New Roman" w:cs="Times New Roman"/>
                <w:bCs/>
                <w:sz w:val="24"/>
                <w:szCs w:val="24"/>
                <w:lang w:val="sq-AL"/>
              </w:rPr>
            </w:pPr>
            <w:r w:rsidRPr="00236F04">
              <w:rPr>
                <w:rFonts w:ascii="Times New Roman" w:eastAsia="Times New Roman" w:hAnsi="Times New Roman" w:cs="Times New Roman"/>
                <w:bCs/>
                <w:sz w:val="24"/>
                <w:szCs w:val="24"/>
                <w:lang w:val="sq-AL"/>
              </w:rPr>
              <w:t>Jo të qëllimshme</w:t>
            </w:r>
          </w:p>
        </w:tc>
        <w:tc>
          <w:tcPr>
            <w:tcW w:w="1890"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Times New Roman" w:hAnsi="Times New Roman" w:cs="Times New Roman"/>
                <w:bCs/>
                <w:sz w:val="24"/>
                <w:szCs w:val="24"/>
                <w:lang w:val="sq-AL"/>
              </w:rPr>
            </w:pPr>
            <w:r w:rsidRPr="00236F04">
              <w:rPr>
                <w:rFonts w:ascii="Times New Roman" w:eastAsia="Times New Roman" w:hAnsi="Times New Roman" w:cs="Times New Roman"/>
                <w:bCs/>
                <w:sz w:val="24"/>
                <w:szCs w:val="24"/>
                <w:lang w:val="sq-AL"/>
              </w:rPr>
              <w:t>Të njohura</w:t>
            </w:r>
          </w:p>
        </w:tc>
        <w:tc>
          <w:tcPr>
            <w:tcW w:w="3623"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both"/>
              <w:rPr>
                <w:rFonts w:ascii="Times New Roman" w:eastAsia="Times New Roman" w:hAnsi="Times New Roman" w:cs="Times New Roman"/>
                <w:bCs/>
                <w:sz w:val="24"/>
                <w:szCs w:val="24"/>
                <w:lang w:val="sq-AL"/>
              </w:rPr>
            </w:pPr>
            <w:r w:rsidRPr="00236F04">
              <w:rPr>
                <w:rFonts w:ascii="Times New Roman" w:eastAsia="Times New Roman" w:hAnsi="Times New Roman" w:cs="Times New Roman"/>
                <w:bCs/>
                <w:sz w:val="24"/>
                <w:szCs w:val="24"/>
                <w:lang w:val="sq-AL"/>
              </w:rPr>
              <w:t>Të panjohura</w:t>
            </w:r>
          </w:p>
        </w:tc>
      </w:tr>
      <w:tr w:rsidR="00236F04" w:rsidRPr="00236F04" w:rsidTr="00236F04">
        <w:trPr>
          <w:trHeight w:val="315"/>
        </w:trPr>
        <w:tc>
          <w:tcPr>
            <w:tcW w:w="1957"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lang w:val="sq-AL"/>
              </w:rPr>
            </w:pPr>
            <w:r w:rsidRPr="00236F04">
              <w:rPr>
                <w:rFonts w:ascii="Times New Roman" w:eastAsia="Times New Roman" w:hAnsi="Times New Roman" w:cs="Times New Roman"/>
                <w:color w:val="000000"/>
                <w:sz w:val="24"/>
                <w:szCs w:val="24"/>
                <w:lang w:val="sq-AL"/>
              </w:rPr>
              <w:t>3</w:t>
            </w:r>
          </w:p>
        </w:tc>
        <w:tc>
          <w:tcPr>
            <w:tcW w:w="216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lang w:val="sq-AL"/>
              </w:rPr>
            </w:pPr>
            <w:r w:rsidRPr="00236F04">
              <w:rPr>
                <w:rFonts w:ascii="Times New Roman" w:eastAsia="Times New Roman" w:hAnsi="Times New Roman" w:cs="Times New Roman"/>
                <w:color w:val="000000"/>
                <w:sz w:val="24"/>
                <w:szCs w:val="24"/>
                <w:lang w:val="sq-AL"/>
              </w:rPr>
              <w:t>20</w:t>
            </w:r>
          </w:p>
        </w:tc>
        <w:tc>
          <w:tcPr>
            <w:tcW w:w="1890"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lang w:val="sq-AL"/>
              </w:rPr>
            </w:pPr>
            <w:r w:rsidRPr="00236F04">
              <w:rPr>
                <w:rFonts w:ascii="Times New Roman" w:eastAsia="Times New Roman" w:hAnsi="Times New Roman" w:cs="Times New Roman"/>
                <w:color w:val="000000"/>
                <w:sz w:val="24"/>
                <w:szCs w:val="24"/>
                <w:lang w:val="sq-AL"/>
              </w:rPr>
              <w:t>2</w:t>
            </w:r>
          </w:p>
        </w:tc>
        <w:tc>
          <w:tcPr>
            <w:tcW w:w="3623"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lang w:val="sq-AL"/>
              </w:rPr>
            </w:pPr>
            <w:r w:rsidRPr="00236F04">
              <w:rPr>
                <w:rFonts w:ascii="Times New Roman" w:eastAsia="Times New Roman" w:hAnsi="Times New Roman" w:cs="Times New Roman"/>
                <w:color w:val="000000"/>
                <w:sz w:val="24"/>
                <w:szCs w:val="24"/>
                <w:lang w:val="sq-AL"/>
              </w:rPr>
              <w:t>150</w:t>
            </w:r>
          </w:p>
        </w:tc>
      </w:tr>
    </w:tbl>
    <w:p w:rsidR="00236F04" w:rsidRPr="00236F04" w:rsidRDefault="00236F04" w:rsidP="00236F04">
      <w:pPr>
        <w:keepNext/>
        <w:keepLines/>
        <w:spacing w:after="80" w:line="240" w:lineRule="auto"/>
        <w:jc w:val="both"/>
        <w:outlineLvl w:val="2"/>
        <w:rPr>
          <w:rFonts w:ascii="Times New Roman" w:eastAsia="Times New Roman" w:hAnsi="Times New Roman" w:cs="Times New Roman"/>
          <w:b/>
          <w:i/>
          <w:sz w:val="28"/>
          <w:szCs w:val="28"/>
        </w:rPr>
      </w:pPr>
    </w:p>
    <w:p w:rsidR="00236F04" w:rsidRPr="00AF0E6E" w:rsidRDefault="00236F04" w:rsidP="00807975">
      <w:pPr>
        <w:pStyle w:val="ListParagraph"/>
        <w:keepNext/>
        <w:keepLines/>
        <w:numPr>
          <w:ilvl w:val="0"/>
          <w:numId w:val="119"/>
        </w:numPr>
        <w:spacing w:after="80" w:line="240" w:lineRule="auto"/>
        <w:jc w:val="both"/>
        <w:outlineLvl w:val="2"/>
        <w:rPr>
          <w:rFonts w:ascii="Times New Roman" w:eastAsia="Times New Roman" w:hAnsi="Times New Roman" w:cs="Times New Roman"/>
          <w:b/>
          <w:i/>
          <w:sz w:val="24"/>
          <w:szCs w:val="24"/>
        </w:rPr>
      </w:pPr>
      <w:r w:rsidRPr="00AF0E6E">
        <w:rPr>
          <w:rFonts w:ascii="Times New Roman" w:eastAsia="Times New Roman" w:hAnsi="Times New Roman" w:cs="Times New Roman"/>
          <w:b/>
          <w:i/>
          <w:sz w:val="24"/>
          <w:szCs w:val="24"/>
        </w:rPr>
        <w:t>Llojet kryesore drusore të prekura nga zjarret në fondin pyjor dhe kullosor.</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Gjatë vitit 2025, Shqipëria përjetoi një sezon zjarresh me intensitet të lartë, veçanërisht gjatë muajve korrik–gusht. Zjarret prekën një sipërfaqe të konsiderueshme të fondit pyjor dhe kullosor, duke dëmtuar lloje të rëndësishme drusore me vlerë të lartë ekologjike dhe ekonomike.</w:t>
      </w:r>
    </w:p>
    <w:p w:rsidR="00236F04" w:rsidRP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Ndër llojet drusore më të prekura nga zjarret në fondin pyjor të Shqipërisë përfshihen </w:t>
      </w:r>
      <w:r w:rsidRPr="00236F04">
        <w:rPr>
          <w:rFonts w:ascii="Times New Roman" w:eastAsia="Times New Roman" w:hAnsi="Times New Roman" w:cs="Times New Roman"/>
          <w:b/>
          <w:bCs/>
          <w:sz w:val="24"/>
          <w:szCs w:val="24"/>
        </w:rPr>
        <w:t>pisha</w:t>
      </w:r>
      <w:r w:rsidRPr="00236F04">
        <w:rPr>
          <w:rFonts w:ascii="Times New Roman" w:eastAsia="Times New Roman" w:hAnsi="Times New Roman" w:cs="Times New Roman"/>
          <w:sz w:val="24"/>
          <w:szCs w:val="24"/>
        </w:rPr>
        <w:t xml:space="preserve">, </w:t>
      </w:r>
      <w:r w:rsidRPr="00236F04">
        <w:rPr>
          <w:rFonts w:ascii="Times New Roman" w:eastAsia="Times New Roman" w:hAnsi="Times New Roman" w:cs="Times New Roman"/>
          <w:b/>
          <w:bCs/>
          <w:sz w:val="24"/>
          <w:szCs w:val="24"/>
        </w:rPr>
        <w:t>ahu</w:t>
      </w:r>
      <w:r w:rsidRPr="00236F04">
        <w:rPr>
          <w:rFonts w:ascii="Times New Roman" w:eastAsia="Times New Roman" w:hAnsi="Times New Roman" w:cs="Times New Roman"/>
          <w:sz w:val="24"/>
          <w:szCs w:val="24"/>
        </w:rPr>
        <w:t xml:space="preserve">, dhe </w:t>
      </w:r>
      <w:r w:rsidRPr="00236F04">
        <w:rPr>
          <w:rFonts w:ascii="Times New Roman" w:eastAsia="Times New Roman" w:hAnsi="Times New Roman" w:cs="Times New Roman"/>
          <w:b/>
          <w:bCs/>
          <w:sz w:val="24"/>
          <w:szCs w:val="24"/>
        </w:rPr>
        <w:t>dushku</w:t>
      </w:r>
      <w:r w:rsidRPr="00236F04">
        <w:rPr>
          <w:rFonts w:ascii="Times New Roman" w:eastAsia="Times New Roman" w:hAnsi="Times New Roman" w:cs="Times New Roman"/>
          <w:sz w:val="24"/>
          <w:szCs w:val="24"/>
        </w:rPr>
        <w:t>.</w:t>
      </w:r>
    </w:p>
    <w:p w:rsidR="00236F04" w:rsidRDefault="00236F04" w:rsidP="00236F04">
      <w:pPr>
        <w:spacing w:after="0" w:line="240" w:lineRule="auto"/>
        <w:jc w:val="both"/>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Dëmet më të theksuara janë evidentuar në zonat me </w:t>
      </w:r>
      <w:r w:rsidRPr="00236F04">
        <w:rPr>
          <w:rFonts w:ascii="Times New Roman" w:eastAsia="Times New Roman" w:hAnsi="Times New Roman" w:cs="Times New Roman"/>
          <w:b/>
          <w:bCs/>
          <w:sz w:val="24"/>
          <w:szCs w:val="24"/>
        </w:rPr>
        <w:t>pishë</w:t>
      </w:r>
      <w:r w:rsidRPr="00236F04">
        <w:rPr>
          <w:rFonts w:ascii="Times New Roman" w:eastAsia="Times New Roman" w:hAnsi="Times New Roman" w:cs="Times New Roman"/>
          <w:sz w:val="24"/>
          <w:szCs w:val="24"/>
        </w:rPr>
        <w:t>, për shkak të ndezshmërisë së lartë të halave dhe rrëshirave, të cilat favorizojnë përhapjen e shpejtë të flakëve dhe përkeqësojn</w:t>
      </w:r>
      <w:r w:rsidR="00567176">
        <w:rPr>
          <w:rFonts w:ascii="Times New Roman" w:eastAsia="Times New Roman" w:hAnsi="Times New Roman" w:cs="Times New Roman"/>
          <w:sz w:val="24"/>
          <w:szCs w:val="24"/>
        </w:rPr>
        <w:t>ë gjendjen e ekosistemit pyjor.</w:t>
      </w:r>
    </w:p>
    <w:p w:rsidR="00567176" w:rsidRPr="00236F04" w:rsidRDefault="00567176" w:rsidP="00236F04">
      <w:pPr>
        <w:spacing w:after="0" w:line="240" w:lineRule="auto"/>
        <w:jc w:val="both"/>
        <w:rPr>
          <w:rFonts w:ascii="Times New Roman" w:eastAsia="Times New Roman" w:hAnsi="Times New Roman" w:cs="Times New Roman"/>
          <w:sz w:val="24"/>
          <w:szCs w:val="24"/>
        </w:rPr>
      </w:pPr>
    </w:p>
    <w:p w:rsidR="00236F04" w:rsidRPr="00567176" w:rsidRDefault="00567176" w:rsidP="00807975">
      <w:pPr>
        <w:pStyle w:val="ListParagraph"/>
        <w:numPr>
          <w:ilvl w:val="0"/>
          <w:numId w:val="120"/>
        </w:numPr>
        <w:spacing w:after="0" w:line="240" w:lineRule="auto"/>
        <w:jc w:val="both"/>
        <w:rPr>
          <w:rFonts w:ascii="Times New Roman" w:eastAsia="Times New Roman" w:hAnsi="Times New Roman" w:cs="Times New Roman"/>
          <w:b/>
          <w:i/>
          <w:sz w:val="24"/>
          <w:szCs w:val="24"/>
          <w:lang w:val="sq-AL"/>
        </w:rPr>
      </w:pPr>
      <w:r w:rsidRPr="00567176">
        <w:rPr>
          <w:rFonts w:ascii="Times New Roman" w:eastAsia="Times New Roman" w:hAnsi="Times New Roman" w:cs="Times New Roman"/>
          <w:b/>
          <w:i/>
          <w:iCs/>
          <w:sz w:val="24"/>
          <w:szCs w:val="24"/>
          <w:lang w:val="sq-AL"/>
        </w:rPr>
        <w:t xml:space="preserve">Rastet e </w:t>
      </w:r>
      <w:r w:rsidR="00236F04" w:rsidRPr="00567176">
        <w:rPr>
          <w:rFonts w:ascii="Times New Roman" w:eastAsia="Times New Roman" w:hAnsi="Times New Roman" w:cs="Times New Roman"/>
          <w:b/>
          <w:i/>
          <w:iCs/>
          <w:sz w:val="24"/>
          <w:szCs w:val="24"/>
          <w:lang w:val="sq-AL"/>
        </w:rPr>
        <w:t xml:space="preserve">zjarrit në fondin pyjor/kullosor, i cili është në </w:t>
      </w:r>
      <w:r w:rsidR="00236F04" w:rsidRPr="00567176">
        <w:rPr>
          <w:rFonts w:ascii="Times New Roman" w:eastAsia="Times New Roman" w:hAnsi="Times New Roman" w:cs="Times New Roman"/>
          <w:b/>
          <w:i/>
          <w:sz w:val="24"/>
          <w:szCs w:val="24"/>
          <w:lang w:val="sq-AL"/>
        </w:rPr>
        <w:t>administrim të Zonave të Mbrojtura.</w:t>
      </w:r>
    </w:p>
    <w:p w:rsidR="00236F04" w:rsidRPr="00236F04" w:rsidRDefault="00236F04" w:rsidP="00236F04">
      <w:pPr>
        <w:spacing w:after="0" w:line="240" w:lineRule="auto"/>
        <w:jc w:val="both"/>
        <w:rPr>
          <w:rFonts w:ascii="Times New Roman" w:eastAsia="Times New Roman" w:hAnsi="Times New Roman" w:cs="Times New Roman"/>
          <w:b/>
          <w:sz w:val="24"/>
          <w:szCs w:val="24"/>
          <w:lang w:val="sq-AL"/>
        </w:rPr>
      </w:pPr>
    </w:p>
    <w:tbl>
      <w:tblPr>
        <w:tblW w:w="9540" w:type="dxa"/>
        <w:tblInd w:w="108" w:type="dxa"/>
        <w:tblLook w:val="04A0" w:firstRow="1" w:lastRow="0" w:firstColumn="1" w:lastColumn="0" w:noHBand="0" w:noVBand="1"/>
      </w:tblPr>
      <w:tblGrid>
        <w:gridCol w:w="4230"/>
        <w:gridCol w:w="5310"/>
      </w:tblGrid>
      <w:tr w:rsidR="00567176" w:rsidRPr="00236F04" w:rsidTr="00DA3FBA">
        <w:trPr>
          <w:trHeight w:val="125"/>
        </w:trPr>
        <w:tc>
          <w:tcPr>
            <w:tcW w:w="9540" w:type="dxa"/>
            <w:gridSpan w:val="2"/>
            <w:tcBorders>
              <w:top w:val="single" w:sz="4" w:space="0" w:color="auto"/>
              <w:left w:val="single" w:sz="4" w:space="0" w:color="auto"/>
              <w:bottom w:val="single" w:sz="4" w:space="0" w:color="auto"/>
              <w:right w:val="single" w:sz="4" w:space="0" w:color="auto"/>
            </w:tcBorders>
            <w:noWrap/>
            <w:vAlign w:val="bottom"/>
          </w:tcPr>
          <w:p w:rsidR="00567176" w:rsidRPr="00236F04" w:rsidRDefault="00567176" w:rsidP="00567176">
            <w:pPr>
              <w:spacing w:after="0" w:line="240" w:lineRule="auto"/>
              <w:jc w:val="center"/>
              <w:rPr>
                <w:rFonts w:ascii="Times New Roman" w:eastAsia="Times New Roman" w:hAnsi="Times New Roman" w:cs="Times New Roman"/>
                <w:color w:val="000000"/>
                <w:lang w:val="sq-AL"/>
              </w:rPr>
            </w:pPr>
            <w:r>
              <w:rPr>
                <w:rFonts w:ascii="Times New Roman" w:eastAsia="Times New Roman" w:hAnsi="Times New Roman" w:cs="Times New Roman"/>
                <w:color w:val="000000"/>
                <w:lang w:val="sq-AL"/>
              </w:rPr>
              <w:t>Zjarret ne Zonat e mbrojtura</w:t>
            </w:r>
          </w:p>
        </w:tc>
      </w:tr>
      <w:tr w:rsidR="00236F04" w:rsidRPr="00236F04" w:rsidTr="00236F04">
        <w:trPr>
          <w:trHeight w:val="125"/>
        </w:trPr>
        <w:tc>
          <w:tcPr>
            <w:tcW w:w="423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lang w:val="sq-AL"/>
              </w:rPr>
            </w:pPr>
            <w:r w:rsidRPr="00236F04">
              <w:rPr>
                <w:rFonts w:ascii="Times New Roman" w:eastAsia="Times New Roman" w:hAnsi="Times New Roman" w:cs="Times New Roman"/>
                <w:color w:val="000000"/>
                <w:lang w:val="sq-AL"/>
              </w:rPr>
              <w:t xml:space="preserve">Zjarre në pyje dhe kullota </w:t>
            </w:r>
            <w:r w:rsidRPr="00236F04">
              <w:rPr>
                <w:rFonts w:ascii="Times New Roman" w:eastAsia="Times New Roman" w:hAnsi="Times New Roman" w:cs="Times New Roman"/>
                <w:b/>
                <w:color w:val="000000"/>
                <w:lang w:val="sq-AL"/>
              </w:rPr>
              <w:t>(raste)</w:t>
            </w:r>
          </w:p>
        </w:tc>
        <w:tc>
          <w:tcPr>
            <w:tcW w:w="5310" w:type="dxa"/>
            <w:tcBorders>
              <w:top w:val="single" w:sz="4" w:space="0" w:color="auto"/>
              <w:left w:val="nil"/>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lang w:val="sq-AL"/>
              </w:rPr>
            </w:pPr>
            <w:r w:rsidRPr="00236F04">
              <w:rPr>
                <w:rFonts w:ascii="Times New Roman" w:eastAsia="Times New Roman" w:hAnsi="Times New Roman" w:cs="Times New Roman"/>
                <w:color w:val="000000"/>
                <w:lang w:val="sq-AL"/>
              </w:rPr>
              <w:t xml:space="preserve">64 </w:t>
            </w:r>
          </w:p>
        </w:tc>
      </w:tr>
      <w:tr w:rsidR="00236F04" w:rsidRPr="00236F04" w:rsidTr="00236F04">
        <w:trPr>
          <w:trHeight w:val="125"/>
        </w:trPr>
        <w:tc>
          <w:tcPr>
            <w:tcW w:w="423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lang w:val="sq-AL"/>
              </w:rPr>
            </w:pPr>
            <w:r w:rsidRPr="00236F04">
              <w:rPr>
                <w:rFonts w:ascii="Times New Roman" w:eastAsia="Times New Roman" w:hAnsi="Times New Roman" w:cs="Times New Roman"/>
                <w:color w:val="000000"/>
                <w:lang w:val="sq-AL"/>
              </w:rPr>
              <w:t xml:space="preserve">Sipërfaqe e përshkuar </w:t>
            </w:r>
            <w:r w:rsidRPr="00236F04">
              <w:rPr>
                <w:rFonts w:ascii="Times New Roman" w:eastAsia="Times New Roman" w:hAnsi="Times New Roman" w:cs="Times New Roman"/>
                <w:b/>
                <w:color w:val="000000"/>
                <w:lang w:val="sq-AL"/>
              </w:rPr>
              <w:t>(ha)</w:t>
            </w:r>
          </w:p>
        </w:tc>
        <w:tc>
          <w:tcPr>
            <w:tcW w:w="5310" w:type="dxa"/>
            <w:tcBorders>
              <w:top w:val="nil"/>
              <w:left w:val="nil"/>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lang w:val="sq-AL"/>
              </w:rPr>
            </w:pPr>
            <w:r w:rsidRPr="00236F04">
              <w:rPr>
                <w:rFonts w:ascii="Times New Roman" w:eastAsia="Times New Roman" w:hAnsi="Times New Roman" w:cs="Times New Roman"/>
                <w:color w:val="000000"/>
                <w:lang w:val="sq-AL"/>
              </w:rPr>
              <w:t xml:space="preserve">5347.645 </w:t>
            </w:r>
          </w:p>
        </w:tc>
      </w:tr>
      <w:tr w:rsidR="00236F04" w:rsidRPr="00236F04" w:rsidTr="00236F04">
        <w:trPr>
          <w:trHeight w:val="233"/>
        </w:trPr>
        <w:tc>
          <w:tcPr>
            <w:tcW w:w="423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lang w:val="sq-AL"/>
              </w:rPr>
            </w:pPr>
            <w:r w:rsidRPr="00236F04">
              <w:rPr>
                <w:rFonts w:ascii="Times New Roman" w:eastAsia="Times New Roman" w:hAnsi="Times New Roman" w:cs="Times New Roman"/>
                <w:color w:val="000000"/>
                <w:lang w:val="sq-AL"/>
              </w:rPr>
              <w:t xml:space="preserve">Sipërfaqe e djegur </w:t>
            </w:r>
            <w:r w:rsidRPr="00236F04">
              <w:rPr>
                <w:rFonts w:ascii="Times New Roman" w:eastAsia="Times New Roman" w:hAnsi="Times New Roman" w:cs="Times New Roman"/>
                <w:b/>
                <w:color w:val="000000"/>
                <w:lang w:val="sq-AL"/>
              </w:rPr>
              <w:t>(ha)</w:t>
            </w:r>
          </w:p>
        </w:tc>
        <w:tc>
          <w:tcPr>
            <w:tcW w:w="5310" w:type="dxa"/>
            <w:tcBorders>
              <w:top w:val="nil"/>
              <w:left w:val="nil"/>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lang w:val="sq-AL"/>
              </w:rPr>
            </w:pPr>
            <w:r w:rsidRPr="00236F04">
              <w:rPr>
                <w:rFonts w:ascii="Times New Roman" w:eastAsia="Times New Roman" w:hAnsi="Times New Roman" w:cs="Times New Roman"/>
                <w:color w:val="000000"/>
                <w:lang w:val="sq-AL"/>
              </w:rPr>
              <w:t xml:space="preserve">1204.97 </w:t>
            </w:r>
          </w:p>
        </w:tc>
      </w:tr>
      <w:tr w:rsidR="00236F04" w:rsidRPr="00236F04" w:rsidTr="00236F04">
        <w:trPr>
          <w:trHeight w:val="233"/>
        </w:trPr>
        <w:tc>
          <w:tcPr>
            <w:tcW w:w="4230" w:type="dxa"/>
            <w:tcBorders>
              <w:top w:val="single" w:sz="4" w:space="0" w:color="auto"/>
              <w:left w:val="single" w:sz="4" w:space="0" w:color="auto"/>
              <w:bottom w:val="single" w:sz="4" w:space="0" w:color="auto"/>
              <w:right w:val="single" w:sz="4" w:space="0" w:color="auto"/>
            </w:tcBorders>
            <w:noWrap/>
            <w:hideMark/>
          </w:tcPr>
          <w:p w:rsidR="00236F04" w:rsidRPr="00236F04" w:rsidRDefault="00236F04" w:rsidP="00236F04">
            <w:pPr>
              <w:spacing w:after="0" w:line="240" w:lineRule="auto"/>
              <w:jc w:val="both"/>
              <w:rPr>
                <w:rFonts w:ascii="Times New Roman" w:eastAsia="Times New Roman" w:hAnsi="Times New Roman" w:cs="Times New Roman"/>
                <w:color w:val="000000"/>
                <w:lang w:val="sq-AL"/>
              </w:rPr>
            </w:pPr>
            <w:r w:rsidRPr="00236F04">
              <w:rPr>
                <w:rFonts w:ascii="Times New Roman" w:eastAsia="Times New Roman" w:hAnsi="Times New Roman" w:cs="Times New Roman"/>
                <w:color w:val="000000"/>
                <w:lang w:val="sq-AL"/>
              </w:rPr>
              <w:t xml:space="preserve">Vlera e dëmit </w:t>
            </w:r>
            <w:r w:rsidRPr="00236F04">
              <w:rPr>
                <w:rFonts w:ascii="Times New Roman" w:eastAsia="Times New Roman" w:hAnsi="Times New Roman" w:cs="Times New Roman"/>
                <w:b/>
                <w:color w:val="000000"/>
                <w:lang w:val="sq-AL"/>
              </w:rPr>
              <w:t>(lekë)</w:t>
            </w:r>
          </w:p>
        </w:tc>
        <w:tc>
          <w:tcPr>
            <w:tcW w:w="5310" w:type="dxa"/>
            <w:tcBorders>
              <w:top w:val="single" w:sz="4" w:space="0" w:color="auto"/>
              <w:left w:val="nil"/>
              <w:bottom w:val="single" w:sz="4" w:space="0" w:color="auto"/>
              <w:right w:val="single" w:sz="4" w:space="0" w:color="auto"/>
            </w:tcBorders>
            <w:hideMark/>
          </w:tcPr>
          <w:p w:rsidR="00236F04" w:rsidRPr="00236F04" w:rsidRDefault="00236F04" w:rsidP="00236F04">
            <w:pPr>
              <w:spacing w:after="0" w:line="240" w:lineRule="auto"/>
              <w:jc w:val="both"/>
              <w:rPr>
                <w:rFonts w:ascii="Times New Roman" w:eastAsia="Times New Roman" w:hAnsi="Times New Roman" w:cs="Times New Roman"/>
                <w:color w:val="000000"/>
                <w:lang w:val="sq-AL"/>
              </w:rPr>
            </w:pPr>
            <w:r w:rsidRPr="00236F04">
              <w:rPr>
                <w:rFonts w:ascii="Times New Roman" w:eastAsia="Times New Roman" w:hAnsi="Times New Roman" w:cs="Times New Roman"/>
                <w:color w:val="000000"/>
                <w:lang w:val="sq-AL"/>
              </w:rPr>
              <w:t xml:space="preserve">54,916,000 </w:t>
            </w:r>
          </w:p>
        </w:tc>
      </w:tr>
      <w:tr w:rsidR="00236F04" w:rsidRPr="00236F04" w:rsidTr="00236F04">
        <w:trPr>
          <w:trHeight w:val="332"/>
        </w:trPr>
        <w:tc>
          <w:tcPr>
            <w:tcW w:w="4230" w:type="dxa"/>
            <w:tcBorders>
              <w:top w:val="single" w:sz="4" w:space="0" w:color="auto"/>
              <w:left w:val="single" w:sz="4" w:space="0" w:color="auto"/>
              <w:bottom w:val="single" w:sz="4" w:space="0" w:color="auto"/>
              <w:right w:val="single" w:sz="4" w:space="0" w:color="auto"/>
            </w:tcBorders>
            <w:noWrap/>
          </w:tcPr>
          <w:p w:rsidR="00236F04" w:rsidRPr="00236F04" w:rsidRDefault="00236F04" w:rsidP="00236F04">
            <w:pPr>
              <w:spacing w:after="0" w:line="240" w:lineRule="auto"/>
              <w:jc w:val="both"/>
              <w:rPr>
                <w:rFonts w:ascii="Times New Roman" w:eastAsia="Calibri" w:hAnsi="Times New Roman" w:cs="Times New Roman"/>
                <w:bCs/>
                <w:color w:val="000000"/>
              </w:rPr>
            </w:pPr>
            <w:r w:rsidRPr="00236F04">
              <w:rPr>
                <w:rFonts w:ascii="Times New Roman" w:eastAsia="Calibri" w:hAnsi="Times New Roman" w:cs="Times New Roman"/>
                <w:bCs/>
                <w:color w:val="000000"/>
              </w:rPr>
              <w:t xml:space="preserve">Materiali drusor i djegur nga zjarri </w:t>
            </w:r>
            <w:r w:rsidRPr="00236F04">
              <w:rPr>
                <w:rFonts w:ascii="Times New Roman" w:eastAsia="Calibri" w:hAnsi="Times New Roman" w:cs="Times New Roman"/>
                <w:b/>
                <w:bCs/>
                <w:color w:val="000000"/>
              </w:rPr>
              <w:t>(m3)</w:t>
            </w:r>
          </w:p>
        </w:tc>
        <w:tc>
          <w:tcPr>
            <w:tcW w:w="5310" w:type="dxa"/>
            <w:tcBorders>
              <w:top w:val="single" w:sz="4" w:space="0" w:color="auto"/>
              <w:left w:val="nil"/>
              <w:bottom w:val="single" w:sz="4" w:space="0" w:color="auto"/>
              <w:right w:val="single" w:sz="4" w:space="0" w:color="auto"/>
            </w:tcBorders>
          </w:tcPr>
          <w:p w:rsidR="00236F04" w:rsidRPr="00236F04" w:rsidRDefault="00236F04" w:rsidP="00236F04">
            <w:pPr>
              <w:spacing w:after="0" w:line="240" w:lineRule="auto"/>
              <w:jc w:val="both"/>
              <w:rPr>
                <w:rFonts w:ascii="Times New Roman" w:eastAsia="Times New Roman" w:hAnsi="Times New Roman" w:cs="Times New Roman"/>
                <w:color w:val="000000"/>
                <w:lang w:val="sq-AL"/>
              </w:rPr>
            </w:pPr>
            <w:r w:rsidRPr="00236F04">
              <w:rPr>
                <w:rFonts w:ascii="Times New Roman" w:eastAsia="Times New Roman" w:hAnsi="Times New Roman" w:cs="Times New Roman"/>
                <w:color w:val="000000"/>
                <w:lang w:val="sq-AL"/>
              </w:rPr>
              <w:t>2517.4</w:t>
            </w:r>
          </w:p>
        </w:tc>
      </w:tr>
      <w:tr w:rsidR="00236F04" w:rsidRPr="00236F04" w:rsidTr="00236F04">
        <w:trPr>
          <w:trHeight w:val="300"/>
        </w:trPr>
        <w:tc>
          <w:tcPr>
            <w:tcW w:w="4230" w:type="dxa"/>
            <w:tcBorders>
              <w:top w:val="single" w:sz="4" w:space="0" w:color="auto"/>
              <w:left w:val="single" w:sz="4" w:space="0" w:color="auto"/>
              <w:bottom w:val="single" w:sz="4" w:space="0" w:color="auto"/>
              <w:right w:val="single" w:sz="4" w:space="0" w:color="auto"/>
            </w:tcBorders>
            <w:noWrap/>
          </w:tcPr>
          <w:p w:rsidR="00236F04" w:rsidRPr="00236F04" w:rsidRDefault="00236F04" w:rsidP="00236F04">
            <w:pPr>
              <w:spacing w:after="0" w:line="240" w:lineRule="auto"/>
              <w:jc w:val="both"/>
              <w:rPr>
                <w:rFonts w:ascii="Times New Roman" w:eastAsia="Calibri" w:hAnsi="Times New Roman" w:cs="Times New Roman"/>
                <w:bCs/>
                <w:color w:val="000000"/>
              </w:rPr>
            </w:pPr>
            <w:r w:rsidRPr="00236F04">
              <w:rPr>
                <w:rFonts w:ascii="Times New Roman" w:eastAsia="Calibri" w:hAnsi="Times New Roman" w:cs="Times New Roman"/>
                <w:bCs/>
                <w:color w:val="000000"/>
              </w:rPr>
              <w:t xml:space="preserve">Materiali drusor i djegur nga zjarri por i përdorshëm </w:t>
            </w:r>
            <w:r w:rsidRPr="00236F04">
              <w:rPr>
                <w:rFonts w:ascii="Times New Roman" w:eastAsia="Calibri" w:hAnsi="Times New Roman" w:cs="Times New Roman"/>
                <w:b/>
                <w:bCs/>
                <w:color w:val="000000"/>
              </w:rPr>
              <w:t>(m3)</w:t>
            </w:r>
          </w:p>
        </w:tc>
        <w:tc>
          <w:tcPr>
            <w:tcW w:w="5310" w:type="dxa"/>
            <w:tcBorders>
              <w:top w:val="single" w:sz="4" w:space="0" w:color="auto"/>
              <w:left w:val="nil"/>
              <w:bottom w:val="single" w:sz="4" w:space="0" w:color="auto"/>
              <w:right w:val="single" w:sz="4" w:space="0" w:color="auto"/>
            </w:tcBorders>
          </w:tcPr>
          <w:p w:rsidR="00236F04" w:rsidRPr="00236F04" w:rsidRDefault="00236F04" w:rsidP="00236F04">
            <w:pPr>
              <w:spacing w:after="0" w:line="240" w:lineRule="auto"/>
              <w:jc w:val="both"/>
              <w:rPr>
                <w:rFonts w:ascii="Times New Roman" w:eastAsia="Times New Roman" w:hAnsi="Times New Roman" w:cs="Times New Roman"/>
                <w:bCs/>
                <w:color w:val="000000"/>
              </w:rPr>
            </w:pPr>
            <w:r w:rsidRPr="00236F04">
              <w:rPr>
                <w:rFonts w:ascii="Times New Roman" w:eastAsia="Times New Roman" w:hAnsi="Times New Roman" w:cs="Times New Roman"/>
                <w:bCs/>
                <w:color w:val="000000"/>
              </w:rPr>
              <w:t xml:space="preserve">                                                                            5334</w:t>
            </w:r>
          </w:p>
          <w:p w:rsidR="00236F04" w:rsidRPr="00236F04" w:rsidRDefault="00236F04" w:rsidP="00236F04">
            <w:pPr>
              <w:spacing w:after="0" w:line="240" w:lineRule="auto"/>
              <w:jc w:val="both"/>
              <w:rPr>
                <w:rFonts w:ascii="Times New Roman" w:eastAsia="Times New Roman" w:hAnsi="Times New Roman" w:cs="Times New Roman"/>
                <w:bCs/>
                <w:color w:val="000000"/>
              </w:rPr>
            </w:pPr>
            <w:r w:rsidRPr="00236F04">
              <w:rPr>
                <w:rFonts w:ascii="Times New Roman" w:eastAsia="Times New Roman" w:hAnsi="Times New Roman" w:cs="Times New Roman"/>
                <w:bCs/>
                <w:color w:val="000000"/>
              </w:rPr>
              <w:t xml:space="preserve"> </w:t>
            </w:r>
          </w:p>
        </w:tc>
      </w:tr>
    </w:tbl>
    <w:p w:rsidR="00567176" w:rsidRDefault="00567176" w:rsidP="00236F04">
      <w:pPr>
        <w:spacing w:after="0" w:line="240" w:lineRule="auto"/>
        <w:contextualSpacing/>
        <w:jc w:val="both"/>
        <w:rPr>
          <w:rFonts w:ascii="Times New Roman" w:eastAsia="Calibri" w:hAnsi="Times New Roman" w:cs="Times New Roman"/>
          <w:b/>
          <w:i/>
          <w:color w:val="000000"/>
          <w:sz w:val="24"/>
          <w:szCs w:val="24"/>
          <w:lang w:val="sq-AL"/>
        </w:rPr>
      </w:pPr>
    </w:p>
    <w:p w:rsidR="00567176" w:rsidRDefault="00567176" w:rsidP="00236F04">
      <w:pPr>
        <w:spacing w:after="0" w:line="240" w:lineRule="auto"/>
        <w:contextualSpacing/>
        <w:jc w:val="both"/>
        <w:rPr>
          <w:rFonts w:ascii="Times New Roman" w:eastAsia="Calibri" w:hAnsi="Times New Roman" w:cs="Times New Roman"/>
          <w:b/>
          <w:i/>
          <w:color w:val="000000"/>
          <w:sz w:val="24"/>
          <w:szCs w:val="24"/>
          <w:lang w:val="sq-AL"/>
        </w:rPr>
      </w:pPr>
    </w:p>
    <w:p w:rsidR="00236F04" w:rsidRDefault="00236F04" w:rsidP="00807975">
      <w:pPr>
        <w:pStyle w:val="ListParagraph"/>
        <w:numPr>
          <w:ilvl w:val="0"/>
          <w:numId w:val="121"/>
        </w:numPr>
        <w:spacing w:after="0" w:line="240" w:lineRule="auto"/>
        <w:jc w:val="both"/>
        <w:rPr>
          <w:rFonts w:ascii="Times New Roman" w:eastAsia="Calibri" w:hAnsi="Times New Roman" w:cs="Times New Roman"/>
          <w:b/>
          <w:i/>
          <w:color w:val="000000"/>
          <w:sz w:val="24"/>
          <w:szCs w:val="24"/>
          <w:lang w:val="sq-AL"/>
        </w:rPr>
      </w:pPr>
      <w:r w:rsidRPr="00567176">
        <w:rPr>
          <w:rFonts w:ascii="Times New Roman" w:eastAsia="Calibri" w:hAnsi="Times New Roman" w:cs="Times New Roman"/>
          <w:b/>
          <w:i/>
          <w:color w:val="000000"/>
          <w:sz w:val="24"/>
          <w:szCs w:val="24"/>
          <w:lang w:val="sq-AL"/>
        </w:rPr>
        <w:t>Përfundime në rang kombëtar.</w:t>
      </w:r>
    </w:p>
    <w:p w:rsidR="00567176" w:rsidRPr="00567176" w:rsidRDefault="00567176" w:rsidP="00567176">
      <w:pPr>
        <w:pStyle w:val="ListParagraph"/>
        <w:spacing w:after="0" w:line="240" w:lineRule="auto"/>
        <w:jc w:val="both"/>
        <w:rPr>
          <w:rFonts w:ascii="Times New Roman" w:eastAsia="Calibri" w:hAnsi="Times New Roman" w:cs="Times New Roman"/>
          <w:b/>
          <w:i/>
          <w:color w:val="000000"/>
          <w:sz w:val="24"/>
          <w:szCs w:val="24"/>
          <w:lang w:val="sq-AL"/>
        </w:rPr>
      </w:pPr>
    </w:p>
    <w:p w:rsidR="00236F04" w:rsidRPr="00236F04" w:rsidRDefault="00236F04" w:rsidP="00236F04">
      <w:pPr>
        <w:spacing w:after="0" w:line="240" w:lineRule="auto"/>
        <w:jc w:val="both"/>
        <w:rPr>
          <w:rFonts w:ascii="Times New Roman" w:eastAsia="Calibri" w:hAnsi="Times New Roman" w:cs="Times New Roman"/>
          <w:color w:val="000000"/>
          <w:sz w:val="24"/>
          <w:szCs w:val="24"/>
          <w:lang w:val="sq-AL"/>
        </w:rPr>
      </w:pPr>
      <w:r w:rsidRPr="00236F04">
        <w:rPr>
          <w:rFonts w:ascii="Times New Roman" w:eastAsia="Calibri" w:hAnsi="Times New Roman" w:cs="Times New Roman"/>
          <w:color w:val="000000"/>
          <w:sz w:val="24"/>
          <w:szCs w:val="24"/>
          <w:lang w:val="sq-AL"/>
        </w:rPr>
        <w:t>Viti 2025 rezulton ndër më problematikët për zjarret në Shqipëri krahasuar me dekadën e fundit,   siç tregohet nga të dhënat e EFFIS. Sipërfaqja e djegur dhe numri i zjarreve janë ndër më të lartat që nga viti 2017.</w:t>
      </w:r>
    </w:p>
    <w:p w:rsidR="00236F04" w:rsidRPr="00236F04" w:rsidRDefault="00567176" w:rsidP="00236F04">
      <w:pPr>
        <w:spacing w:after="0" w:line="240" w:lineRule="auto"/>
        <w:jc w:val="both"/>
        <w:rPr>
          <w:rFonts w:ascii="Times New Roman" w:eastAsia="Calibri" w:hAnsi="Times New Roman" w:cs="Times New Roman"/>
          <w:color w:val="000000"/>
          <w:sz w:val="24"/>
          <w:szCs w:val="24"/>
          <w:lang w:val="sq-AL"/>
        </w:rPr>
      </w:pPr>
      <w:r>
        <w:rPr>
          <w:rFonts w:ascii="Times New Roman" w:eastAsia="Calibri" w:hAnsi="Times New Roman" w:cs="Times New Roman"/>
          <w:color w:val="000000"/>
          <w:sz w:val="24"/>
          <w:szCs w:val="24"/>
          <w:lang w:val="sq-AL"/>
        </w:rPr>
        <w:t xml:space="preserve">Viti </w:t>
      </w:r>
      <w:r w:rsidR="00236F04" w:rsidRPr="00236F04">
        <w:rPr>
          <w:rFonts w:ascii="Times New Roman" w:eastAsia="Calibri" w:hAnsi="Times New Roman" w:cs="Times New Roman"/>
          <w:color w:val="000000"/>
          <w:sz w:val="24"/>
          <w:szCs w:val="24"/>
          <w:lang w:val="sq-AL"/>
        </w:rPr>
        <w:t>2025 ka shënuar një rritje të ndjeshme si në numrin e zjarreve ashtu edhe në sipërfaqen e djegur, duke e renditur si vitin e dytë më të rënduar pas 2017.</w:t>
      </w:r>
    </w:p>
    <w:p w:rsidR="00236F04" w:rsidRPr="00236F04" w:rsidRDefault="00236F04" w:rsidP="00236F04">
      <w:pPr>
        <w:spacing w:after="0" w:line="240" w:lineRule="auto"/>
        <w:ind w:hanging="90"/>
        <w:jc w:val="both"/>
        <w:rPr>
          <w:rFonts w:ascii="Times New Roman" w:eastAsia="Calibri" w:hAnsi="Times New Roman" w:cs="Times New Roman"/>
          <w:color w:val="000000"/>
          <w:sz w:val="24"/>
          <w:szCs w:val="24"/>
          <w:lang w:val="sq-AL"/>
        </w:rPr>
      </w:pPr>
      <w:r w:rsidRPr="00236F04">
        <w:rPr>
          <w:rFonts w:ascii="Times New Roman" w:eastAsia="Calibri" w:hAnsi="Times New Roman" w:cs="Times New Roman"/>
          <w:color w:val="000000"/>
          <w:sz w:val="24"/>
          <w:szCs w:val="24"/>
          <w:lang w:val="sq-AL"/>
        </w:rPr>
        <w:t xml:space="preserve"> Sa më sipër, nga i gjithë informacioni i mbledhur rezulton se gjatë periudhës Janar – Tetor 2025 nga strukturat përgjegjëse në Bashki dhe Zonë të Mbrojtur, janë raportuar gjithsej 346 raste zjarri, nga të cilat 282 zjarre kanë rënë në</w:t>
      </w:r>
      <w:r w:rsidRPr="00236F04">
        <w:rPr>
          <w:rFonts w:ascii="Times New Roman" w:eastAsia="Calibri" w:hAnsi="Times New Roman" w:cs="Times New Roman"/>
          <w:b/>
          <w:color w:val="000000"/>
          <w:sz w:val="24"/>
          <w:szCs w:val="24"/>
          <w:lang w:val="sq-AL"/>
        </w:rPr>
        <w:t xml:space="preserve"> Fondin Pyjor Kullosor Bashkiak</w:t>
      </w:r>
      <w:r w:rsidRPr="00236F04">
        <w:rPr>
          <w:rFonts w:ascii="Times New Roman" w:eastAsia="Calibri" w:hAnsi="Times New Roman" w:cs="Times New Roman"/>
          <w:color w:val="000000"/>
          <w:sz w:val="24"/>
          <w:szCs w:val="24"/>
          <w:lang w:val="sq-AL"/>
        </w:rPr>
        <w:t xml:space="preserve"> dhe 64 zjarre kanë rënë në </w:t>
      </w:r>
      <w:r w:rsidRPr="00236F04">
        <w:rPr>
          <w:rFonts w:ascii="Times New Roman" w:eastAsia="Calibri" w:hAnsi="Times New Roman" w:cs="Times New Roman"/>
          <w:b/>
          <w:color w:val="000000"/>
          <w:sz w:val="24"/>
          <w:szCs w:val="24"/>
          <w:lang w:val="sq-AL"/>
        </w:rPr>
        <w:t>Fondin Pyjor Kullosor Shtetëror</w:t>
      </w:r>
      <w:r w:rsidRPr="00236F04">
        <w:rPr>
          <w:rFonts w:ascii="Times New Roman" w:eastAsia="Calibri" w:hAnsi="Times New Roman" w:cs="Times New Roman"/>
          <w:color w:val="000000"/>
          <w:sz w:val="24"/>
          <w:szCs w:val="24"/>
          <w:lang w:val="sq-AL"/>
        </w:rPr>
        <w:t xml:space="preserve">, </w:t>
      </w:r>
      <w:r w:rsidRPr="00236F04">
        <w:rPr>
          <w:rFonts w:ascii="Times New Roman" w:eastAsia="Calibri" w:hAnsi="Times New Roman" w:cs="Times New Roman"/>
          <w:b/>
          <w:color w:val="000000"/>
          <w:sz w:val="24"/>
          <w:szCs w:val="24"/>
          <w:lang w:val="sq-AL"/>
        </w:rPr>
        <w:t>Zonë e Mbrojtur</w:t>
      </w:r>
      <w:r w:rsidRPr="00236F04">
        <w:rPr>
          <w:rFonts w:ascii="Times New Roman" w:eastAsia="Calibri" w:hAnsi="Times New Roman" w:cs="Times New Roman"/>
          <w:color w:val="000000"/>
          <w:sz w:val="24"/>
          <w:szCs w:val="24"/>
          <w:lang w:val="sq-AL"/>
        </w:rPr>
        <w:t xml:space="preserve">. Nga tërësia e rasteve, rezulton se sipërfaqja e përshkruar është në masën 33524.645 ha, ndërsa sipërfaqja e djegur 16179.97 ha, </w:t>
      </w:r>
      <w:r w:rsidRPr="00236F04">
        <w:rPr>
          <w:rFonts w:ascii="Times New Roman" w:eastAsia="Calibri" w:hAnsi="Times New Roman" w:cs="Times New Roman"/>
          <w:color w:val="000000"/>
          <w:sz w:val="24"/>
          <w:szCs w:val="24"/>
          <w:lang w:val="sq-AL"/>
        </w:rPr>
        <w:lastRenderedPageBreak/>
        <w:t>ndërsa volumi drusor i djegur nga zjarri është 128597.8 m3, ndërsa volumi drusor i djegur nga zjarri, por i përdorshëm është 25634 m3.</w:t>
      </w:r>
    </w:p>
    <w:p w:rsidR="00236F04" w:rsidRPr="00236F04" w:rsidRDefault="00236F04" w:rsidP="00236F04">
      <w:pPr>
        <w:spacing w:after="0" w:line="240" w:lineRule="auto"/>
        <w:ind w:hanging="90"/>
        <w:jc w:val="both"/>
        <w:rPr>
          <w:rFonts w:ascii="Times New Roman" w:eastAsia="Calibri" w:hAnsi="Times New Roman" w:cs="Times New Roman"/>
          <w:color w:val="000000"/>
          <w:sz w:val="24"/>
          <w:szCs w:val="24"/>
          <w:lang w:val="sq-AL"/>
        </w:rPr>
      </w:pPr>
      <w:r w:rsidRPr="00236F04">
        <w:rPr>
          <w:rFonts w:ascii="Times New Roman" w:eastAsia="Calibri" w:hAnsi="Times New Roman" w:cs="Times New Roman"/>
          <w:color w:val="000000"/>
          <w:sz w:val="24"/>
          <w:szCs w:val="24"/>
          <w:lang w:val="sq-AL"/>
        </w:rPr>
        <w:t xml:space="preserve">  Vlera totale e dëmit në të gjithë </w:t>
      </w:r>
      <w:r w:rsidRPr="00236F04">
        <w:rPr>
          <w:rFonts w:ascii="Times New Roman" w:eastAsia="Calibri" w:hAnsi="Times New Roman" w:cs="Times New Roman"/>
          <w:b/>
          <w:color w:val="000000"/>
          <w:sz w:val="24"/>
          <w:szCs w:val="24"/>
          <w:lang w:val="sq-AL"/>
        </w:rPr>
        <w:t>Fondin Pyjor dhe Kullosor Kombëtar</w:t>
      </w:r>
      <w:r w:rsidRPr="00236F04">
        <w:rPr>
          <w:rFonts w:ascii="Times New Roman" w:eastAsia="Calibri" w:hAnsi="Times New Roman" w:cs="Times New Roman"/>
          <w:color w:val="000000"/>
          <w:sz w:val="24"/>
          <w:szCs w:val="24"/>
          <w:lang w:val="sq-AL"/>
        </w:rPr>
        <w:t xml:space="preserve"> për vitin 2025 është 7,186,335,000 lekë.</w:t>
      </w:r>
    </w:p>
    <w:p w:rsidR="00236F04" w:rsidRPr="00236F04" w:rsidRDefault="00236F04" w:rsidP="00236F04">
      <w:pPr>
        <w:spacing w:after="0" w:line="240" w:lineRule="auto"/>
        <w:jc w:val="both"/>
        <w:rPr>
          <w:rFonts w:ascii="Times New Roman" w:eastAsia="Calibri" w:hAnsi="Times New Roman" w:cs="Times New Roman"/>
          <w:color w:val="000000"/>
          <w:sz w:val="24"/>
          <w:szCs w:val="24"/>
          <w:lang w:val="sq-AL"/>
        </w:rPr>
      </w:pPr>
      <w:r w:rsidRPr="00236F04">
        <w:rPr>
          <w:rFonts w:ascii="Times New Roman" w:eastAsia="Calibri" w:hAnsi="Times New Roman" w:cs="Times New Roman"/>
          <w:color w:val="000000"/>
          <w:sz w:val="24"/>
          <w:szCs w:val="24"/>
          <w:lang w:val="sq-AL"/>
        </w:rPr>
        <w:t xml:space="preserve"> Në formë tabelare këto të dhëna janë si më poshtë: </w:t>
      </w:r>
    </w:p>
    <w:p w:rsidR="00236F04" w:rsidRPr="00236F04" w:rsidRDefault="00236F04" w:rsidP="00236F04">
      <w:pPr>
        <w:spacing w:after="0" w:line="240" w:lineRule="auto"/>
        <w:jc w:val="both"/>
        <w:rPr>
          <w:rFonts w:ascii="Times New Roman" w:eastAsia="Times New Roman" w:hAnsi="Times New Roman" w:cs="Times New Roman"/>
          <w:b/>
          <w:sz w:val="24"/>
          <w:szCs w:val="24"/>
          <w:lang w:val="sq-AL"/>
        </w:rPr>
      </w:pPr>
    </w:p>
    <w:tbl>
      <w:tblPr>
        <w:tblW w:w="9540" w:type="dxa"/>
        <w:tblInd w:w="108" w:type="dxa"/>
        <w:tblLook w:val="04A0" w:firstRow="1" w:lastRow="0" w:firstColumn="1" w:lastColumn="0" w:noHBand="0" w:noVBand="1"/>
      </w:tblPr>
      <w:tblGrid>
        <w:gridCol w:w="5850"/>
        <w:gridCol w:w="3690"/>
      </w:tblGrid>
      <w:tr w:rsidR="00236F04" w:rsidRPr="00236F04" w:rsidTr="00236F04">
        <w:trPr>
          <w:trHeight w:val="315"/>
        </w:trPr>
        <w:tc>
          <w:tcPr>
            <w:tcW w:w="585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lang w:val="sq-AL"/>
              </w:rPr>
            </w:pPr>
            <w:r w:rsidRPr="00236F04">
              <w:rPr>
                <w:rFonts w:ascii="Times New Roman" w:eastAsia="Times New Roman" w:hAnsi="Times New Roman" w:cs="Times New Roman"/>
                <w:color w:val="000000"/>
                <w:sz w:val="24"/>
                <w:szCs w:val="24"/>
                <w:lang w:val="sq-AL"/>
              </w:rPr>
              <w:t xml:space="preserve">Zjarre në pyje dhe kullota </w:t>
            </w:r>
            <w:r w:rsidRPr="00236F04">
              <w:rPr>
                <w:rFonts w:ascii="Times New Roman" w:eastAsia="Times New Roman" w:hAnsi="Times New Roman" w:cs="Times New Roman"/>
                <w:b/>
                <w:color w:val="000000"/>
                <w:sz w:val="24"/>
                <w:szCs w:val="24"/>
                <w:lang w:val="sq-AL"/>
              </w:rPr>
              <w:t>(raste)</w:t>
            </w:r>
          </w:p>
        </w:tc>
        <w:tc>
          <w:tcPr>
            <w:tcW w:w="3690" w:type="dxa"/>
            <w:tcBorders>
              <w:top w:val="single" w:sz="4" w:space="0" w:color="auto"/>
              <w:left w:val="nil"/>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lang w:val="sq-AL"/>
              </w:rPr>
            </w:pPr>
            <w:r w:rsidRPr="00236F04">
              <w:rPr>
                <w:rFonts w:ascii="Times New Roman" w:eastAsia="Times New Roman" w:hAnsi="Times New Roman" w:cs="Times New Roman"/>
                <w:color w:val="000000"/>
                <w:sz w:val="24"/>
                <w:szCs w:val="24"/>
                <w:lang w:val="sq-AL"/>
              </w:rPr>
              <w:t xml:space="preserve">346 </w:t>
            </w:r>
          </w:p>
        </w:tc>
      </w:tr>
      <w:tr w:rsidR="00236F04" w:rsidRPr="00236F04" w:rsidTr="00236F04">
        <w:trPr>
          <w:trHeight w:val="315"/>
        </w:trPr>
        <w:tc>
          <w:tcPr>
            <w:tcW w:w="58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lang w:val="sq-AL"/>
              </w:rPr>
            </w:pPr>
            <w:r w:rsidRPr="00236F04">
              <w:rPr>
                <w:rFonts w:ascii="Times New Roman" w:eastAsia="Times New Roman" w:hAnsi="Times New Roman" w:cs="Times New Roman"/>
                <w:color w:val="000000"/>
                <w:sz w:val="24"/>
                <w:szCs w:val="24"/>
                <w:lang w:val="sq-AL"/>
              </w:rPr>
              <w:t xml:space="preserve">Sipërfaqe e përshkuar </w:t>
            </w:r>
            <w:r w:rsidRPr="00236F04">
              <w:rPr>
                <w:rFonts w:ascii="Times New Roman" w:eastAsia="Times New Roman" w:hAnsi="Times New Roman" w:cs="Times New Roman"/>
                <w:b/>
                <w:color w:val="000000"/>
                <w:sz w:val="24"/>
                <w:szCs w:val="24"/>
                <w:lang w:val="sq-AL"/>
              </w:rPr>
              <w:t>(ha)</w:t>
            </w:r>
          </w:p>
        </w:tc>
        <w:tc>
          <w:tcPr>
            <w:tcW w:w="3690" w:type="dxa"/>
            <w:tcBorders>
              <w:top w:val="nil"/>
              <w:left w:val="nil"/>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lang w:val="sq-AL"/>
              </w:rPr>
            </w:pPr>
            <w:r w:rsidRPr="00236F04">
              <w:rPr>
                <w:rFonts w:ascii="Times New Roman" w:eastAsia="Calibri" w:hAnsi="Times New Roman" w:cs="Times New Roman"/>
                <w:color w:val="000000"/>
                <w:sz w:val="24"/>
                <w:szCs w:val="24"/>
                <w:lang w:val="sq-AL"/>
              </w:rPr>
              <w:t>33,524.645</w:t>
            </w:r>
          </w:p>
        </w:tc>
      </w:tr>
      <w:tr w:rsidR="00236F04" w:rsidRPr="00236F04" w:rsidTr="00236F04">
        <w:trPr>
          <w:trHeight w:val="315"/>
        </w:trPr>
        <w:tc>
          <w:tcPr>
            <w:tcW w:w="585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lang w:val="sq-AL"/>
              </w:rPr>
            </w:pPr>
            <w:r w:rsidRPr="00236F04">
              <w:rPr>
                <w:rFonts w:ascii="Times New Roman" w:eastAsia="Times New Roman" w:hAnsi="Times New Roman" w:cs="Times New Roman"/>
                <w:color w:val="000000"/>
                <w:sz w:val="24"/>
                <w:szCs w:val="24"/>
                <w:lang w:val="sq-AL"/>
              </w:rPr>
              <w:t xml:space="preserve">Sipërfaqe e djegur </w:t>
            </w:r>
            <w:r w:rsidRPr="00236F04">
              <w:rPr>
                <w:rFonts w:ascii="Times New Roman" w:eastAsia="Times New Roman" w:hAnsi="Times New Roman" w:cs="Times New Roman"/>
                <w:b/>
                <w:color w:val="000000"/>
                <w:sz w:val="24"/>
                <w:szCs w:val="24"/>
                <w:lang w:val="sq-AL"/>
              </w:rPr>
              <w:t>(ha)</w:t>
            </w:r>
          </w:p>
        </w:tc>
        <w:tc>
          <w:tcPr>
            <w:tcW w:w="3690" w:type="dxa"/>
            <w:tcBorders>
              <w:top w:val="single" w:sz="4" w:space="0" w:color="auto"/>
              <w:left w:val="nil"/>
              <w:bottom w:val="single" w:sz="4" w:space="0" w:color="auto"/>
              <w:right w:val="single" w:sz="4" w:space="0" w:color="auto"/>
            </w:tcBorders>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lang w:val="sq-AL"/>
              </w:rPr>
            </w:pPr>
            <w:r w:rsidRPr="00236F04">
              <w:rPr>
                <w:rFonts w:ascii="Times New Roman" w:eastAsia="Calibri" w:hAnsi="Times New Roman" w:cs="Times New Roman"/>
                <w:color w:val="000000"/>
                <w:sz w:val="24"/>
                <w:szCs w:val="24"/>
                <w:lang w:val="sq-AL"/>
              </w:rPr>
              <w:t>16,179.97</w:t>
            </w:r>
          </w:p>
        </w:tc>
      </w:tr>
      <w:tr w:rsidR="00236F04" w:rsidRPr="00236F04" w:rsidTr="00236F04">
        <w:trPr>
          <w:trHeight w:val="300"/>
        </w:trPr>
        <w:tc>
          <w:tcPr>
            <w:tcW w:w="5850" w:type="dxa"/>
            <w:tcBorders>
              <w:top w:val="single" w:sz="4" w:space="0" w:color="auto"/>
              <w:left w:val="single" w:sz="4" w:space="0" w:color="auto"/>
              <w:bottom w:val="single" w:sz="4" w:space="0" w:color="auto"/>
              <w:right w:val="single" w:sz="4" w:space="0" w:color="auto"/>
            </w:tcBorders>
            <w:noWrap/>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lang w:val="sq-AL"/>
              </w:rPr>
            </w:pPr>
            <w:r w:rsidRPr="00236F04">
              <w:rPr>
                <w:rFonts w:ascii="Times New Roman" w:eastAsia="Times New Roman" w:hAnsi="Times New Roman" w:cs="Times New Roman"/>
                <w:color w:val="000000"/>
                <w:sz w:val="24"/>
                <w:szCs w:val="24"/>
                <w:lang w:val="sq-AL"/>
              </w:rPr>
              <w:t xml:space="preserve">Vlera e dëmit </w:t>
            </w:r>
            <w:r w:rsidRPr="00236F04">
              <w:rPr>
                <w:rFonts w:ascii="Times New Roman" w:eastAsia="Times New Roman" w:hAnsi="Times New Roman" w:cs="Times New Roman"/>
                <w:b/>
                <w:color w:val="000000"/>
                <w:sz w:val="24"/>
                <w:szCs w:val="24"/>
                <w:lang w:val="sq-AL"/>
              </w:rPr>
              <w:t>(lekë)</w:t>
            </w:r>
          </w:p>
        </w:tc>
        <w:tc>
          <w:tcPr>
            <w:tcW w:w="3690" w:type="dxa"/>
            <w:tcBorders>
              <w:top w:val="single" w:sz="4" w:space="0" w:color="auto"/>
              <w:left w:val="nil"/>
              <w:bottom w:val="single" w:sz="4" w:space="0" w:color="auto"/>
              <w:right w:val="single" w:sz="4" w:space="0" w:color="auto"/>
            </w:tcBorders>
            <w:hideMark/>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lang w:val="sq-AL"/>
              </w:rPr>
            </w:pPr>
            <w:r w:rsidRPr="00236F04">
              <w:rPr>
                <w:rFonts w:ascii="Times New Roman" w:eastAsia="Calibri" w:hAnsi="Times New Roman" w:cs="Times New Roman"/>
                <w:color w:val="000000"/>
                <w:sz w:val="24"/>
                <w:szCs w:val="24"/>
                <w:lang w:val="sq-AL"/>
              </w:rPr>
              <w:t>7,186,335,000</w:t>
            </w:r>
          </w:p>
        </w:tc>
      </w:tr>
      <w:tr w:rsidR="00236F04" w:rsidRPr="00236F04" w:rsidTr="00236F04">
        <w:trPr>
          <w:trHeight w:val="422"/>
        </w:trPr>
        <w:tc>
          <w:tcPr>
            <w:tcW w:w="5850" w:type="dxa"/>
            <w:tcBorders>
              <w:top w:val="single" w:sz="4" w:space="0" w:color="auto"/>
              <w:left w:val="single" w:sz="4" w:space="0" w:color="auto"/>
              <w:bottom w:val="single" w:sz="4" w:space="0" w:color="auto"/>
              <w:right w:val="single" w:sz="4" w:space="0" w:color="auto"/>
            </w:tcBorders>
            <w:noWrap/>
          </w:tcPr>
          <w:p w:rsidR="00236F04" w:rsidRPr="00236F04" w:rsidRDefault="00236F04" w:rsidP="00236F04">
            <w:pPr>
              <w:spacing w:after="0" w:line="240" w:lineRule="auto"/>
              <w:jc w:val="both"/>
              <w:rPr>
                <w:rFonts w:ascii="Times New Roman" w:eastAsia="Calibri" w:hAnsi="Times New Roman" w:cs="Times New Roman"/>
                <w:bCs/>
                <w:color w:val="000000"/>
                <w:sz w:val="24"/>
                <w:szCs w:val="24"/>
              </w:rPr>
            </w:pPr>
            <w:r w:rsidRPr="00236F04">
              <w:rPr>
                <w:rFonts w:ascii="Times New Roman" w:eastAsia="Calibri" w:hAnsi="Times New Roman" w:cs="Times New Roman"/>
                <w:bCs/>
                <w:color w:val="000000"/>
                <w:sz w:val="24"/>
                <w:szCs w:val="24"/>
              </w:rPr>
              <w:t xml:space="preserve">Materiali drusor i djegur nga zjarri </w:t>
            </w:r>
            <w:r w:rsidRPr="00236F04">
              <w:rPr>
                <w:rFonts w:ascii="Times New Roman" w:eastAsia="Calibri" w:hAnsi="Times New Roman" w:cs="Times New Roman"/>
                <w:b/>
                <w:bCs/>
                <w:color w:val="000000"/>
                <w:sz w:val="24"/>
                <w:szCs w:val="24"/>
              </w:rPr>
              <w:t>(m3)</w:t>
            </w:r>
          </w:p>
        </w:tc>
        <w:tc>
          <w:tcPr>
            <w:tcW w:w="3690" w:type="dxa"/>
            <w:tcBorders>
              <w:top w:val="single" w:sz="4" w:space="0" w:color="auto"/>
              <w:left w:val="nil"/>
              <w:bottom w:val="single" w:sz="4" w:space="0" w:color="auto"/>
              <w:right w:val="single" w:sz="4" w:space="0" w:color="auto"/>
            </w:tcBorders>
          </w:tcPr>
          <w:p w:rsidR="00236F04" w:rsidRPr="00236F04" w:rsidRDefault="00236F04" w:rsidP="00236F04">
            <w:pPr>
              <w:spacing w:after="0" w:line="240" w:lineRule="auto"/>
              <w:jc w:val="both"/>
              <w:rPr>
                <w:rFonts w:ascii="Times New Roman" w:eastAsia="Times New Roman" w:hAnsi="Times New Roman" w:cs="Times New Roman"/>
                <w:color w:val="000000"/>
                <w:sz w:val="24"/>
                <w:szCs w:val="24"/>
                <w:lang w:val="sq-AL"/>
              </w:rPr>
            </w:pPr>
            <w:r w:rsidRPr="00236F04">
              <w:rPr>
                <w:rFonts w:ascii="Times New Roman" w:eastAsia="Calibri" w:hAnsi="Times New Roman" w:cs="Times New Roman"/>
                <w:color w:val="000000"/>
                <w:sz w:val="24"/>
                <w:szCs w:val="24"/>
                <w:lang w:val="sq-AL"/>
              </w:rPr>
              <w:t>128,597.8</w:t>
            </w:r>
          </w:p>
        </w:tc>
      </w:tr>
      <w:tr w:rsidR="00236F04" w:rsidRPr="00236F04" w:rsidTr="00236F04">
        <w:trPr>
          <w:trHeight w:val="300"/>
        </w:trPr>
        <w:tc>
          <w:tcPr>
            <w:tcW w:w="5850" w:type="dxa"/>
            <w:tcBorders>
              <w:top w:val="single" w:sz="4" w:space="0" w:color="auto"/>
              <w:left w:val="single" w:sz="4" w:space="0" w:color="auto"/>
              <w:bottom w:val="single" w:sz="4" w:space="0" w:color="auto"/>
              <w:right w:val="single" w:sz="4" w:space="0" w:color="auto"/>
            </w:tcBorders>
            <w:noWrap/>
          </w:tcPr>
          <w:p w:rsidR="00236F04" w:rsidRPr="00236F04" w:rsidRDefault="00236F04" w:rsidP="00236F04">
            <w:pPr>
              <w:spacing w:after="0" w:line="240" w:lineRule="auto"/>
              <w:jc w:val="both"/>
              <w:rPr>
                <w:rFonts w:ascii="Times New Roman" w:eastAsia="Calibri" w:hAnsi="Times New Roman" w:cs="Times New Roman"/>
                <w:bCs/>
                <w:color w:val="000000"/>
                <w:sz w:val="24"/>
                <w:szCs w:val="24"/>
              </w:rPr>
            </w:pPr>
            <w:r w:rsidRPr="00236F04">
              <w:rPr>
                <w:rFonts w:ascii="Times New Roman" w:eastAsia="Calibri" w:hAnsi="Times New Roman" w:cs="Times New Roman"/>
                <w:bCs/>
                <w:color w:val="000000"/>
                <w:sz w:val="24"/>
                <w:szCs w:val="24"/>
              </w:rPr>
              <w:t xml:space="preserve">Materiali drusor i djegur nga zjarri por i përdorshëm </w:t>
            </w:r>
            <w:r w:rsidRPr="00236F04">
              <w:rPr>
                <w:rFonts w:ascii="Times New Roman" w:eastAsia="Calibri" w:hAnsi="Times New Roman" w:cs="Times New Roman"/>
                <w:b/>
                <w:bCs/>
                <w:color w:val="000000"/>
                <w:sz w:val="24"/>
                <w:szCs w:val="24"/>
              </w:rPr>
              <w:t>(m3)</w:t>
            </w:r>
          </w:p>
        </w:tc>
        <w:tc>
          <w:tcPr>
            <w:tcW w:w="3690" w:type="dxa"/>
            <w:tcBorders>
              <w:top w:val="single" w:sz="4" w:space="0" w:color="auto"/>
              <w:left w:val="nil"/>
              <w:bottom w:val="single" w:sz="4" w:space="0" w:color="auto"/>
              <w:right w:val="single" w:sz="4" w:space="0" w:color="auto"/>
            </w:tcBorders>
          </w:tcPr>
          <w:p w:rsidR="00236F04" w:rsidRPr="00236F04" w:rsidRDefault="00236F04" w:rsidP="00236F04">
            <w:pPr>
              <w:spacing w:after="0" w:line="240" w:lineRule="auto"/>
              <w:jc w:val="both"/>
              <w:rPr>
                <w:rFonts w:ascii="Times New Roman" w:eastAsia="Times New Roman" w:hAnsi="Times New Roman" w:cs="Times New Roman"/>
                <w:bCs/>
                <w:color w:val="000000"/>
                <w:sz w:val="24"/>
                <w:szCs w:val="24"/>
              </w:rPr>
            </w:pPr>
            <w:r w:rsidRPr="00236F04">
              <w:rPr>
                <w:rFonts w:ascii="Times New Roman" w:eastAsia="Calibri" w:hAnsi="Times New Roman" w:cs="Times New Roman"/>
                <w:color w:val="000000"/>
                <w:sz w:val="24"/>
                <w:szCs w:val="24"/>
                <w:lang w:val="sq-AL"/>
              </w:rPr>
              <w:t>25,634</w:t>
            </w:r>
          </w:p>
        </w:tc>
      </w:tr>
    </w:tbl>
    <w:p w:rsidR="00236F04" w:rsidRPr="00236F04" w:rsidRDefault="00236F04" w:rsidP="00236F04">
      <w:pPr>
        <w:spacing w:after="0" w:line="240" w:lineRule="auto"/>
        <w:jc w:val="both"/>
        <w:rPr>
          <w:rFonts w:ascii="Times New Roman" w:eastAsia="Calibri" w:hAnsi="Times New Roman" w:cs="Times New Roman"/>
          <w:b/>
          <w:color w:val="000000"/>
          <w:sz w:val="24"/>
          <w:szCs w:val="24"/>
          <w:lang w:val="sq-AL"/>
        </w:rPr>
      </w:pPr>
    </w:p>
    <w:p w:rsidR="00236F04" w:rsidRPr="00236F04" w:rsidRDefault="00236F04" w:rsidP="00236F04">
      <w:pPr>
        <w:spacing w:after="0" w:line="240" w:lineRule="auto"/>
        <w:jc w:val="both"/>
        <w:rPr>
          <w:rFonts w:ascii="Times New Roman" w:eastAsia="Calibri" w:hAnsi="Times New Roman" w:cs="Times New Roman"/>
          <w:color w:val="000000"/>
          <w:sz w:val="24"/>
          <w:szCs w:val="24"/>
          <w:lang w:val="sq-AL"/>
        </w:rPr>
      </w:pPr>
      <w:r w:rsidRPr="00236F04">
        <w:rPr>
          <w:rFonts w:ascii="Times New Roman" w:eastAsia="Calibri" w:hAnsi="Times New Roman" w:cs="Times New Roman"/>
          <w:color w:val="000000"/>
          <w:sz w:val="24"/>
          <w:szCs w:val="24"/>
          <w:lang w:val="sq-AL"/>
        </w:rPr>
        <w:t>Në krahasim me vitet 2021–2024, 2025 ka pothuajse dyfishin e sipërfaqes së djegur dhe një rritje të dukshme të numrit të zjarreve.</w:t>
      </w:r>
    </w:p>
    <w:p w:rsidR="00236F04" w:rsidRPr="00236F04" w:rsidRDefault="00236F04" w:rsidP="00236F04">
      <w:pPr>
        <w:spacing w:after="0" w:line="240" w:lineRule="auto"/>
        <w:jc w:val="both"/>
        <w:rPr>
          <w:rFonts w:ascii="Times New Roman" w:eastAsia="Calibri" w:hAnsi="Times New Roman" w:cs="Times New Roman"/>
          <w:sz w:val="24"/>
          <w:szCs w:val="24"/>
          <w:lang w:val="sq-AL"/>
        </w:rPr>
      </w:pPr>
      <w:r w:rsidRPr="00236F04">
        <w:rPr>
          <w:rFonts w:ascii="Times New Roman" w:eastAsia="Calibri" w:hAnsi="Times New Roman" w:cs="Times New Roman"/>
          <w:sz w:val="24"/>
          <w:szCs w:val="24"/>
          <w:lang w:val="sq-AL"/>
        </w:rPr>
        <w:t xml:space="preserve">Në fondin pyjor/kullosor në administrimin e Bashkive ka pasur në total 269 raste zjarret, nga të cilat:  </w:t>
      </w:r>
    </w:p>
    <w:p w:rsidR="00236F04" w:rsidRPr="002A64D6" w:rsidRDefault="00236F04" w:rsidP="002A64D6">
      <w:pPr>
        <w:pStyle w:val="ListParagraph"/>
        <w:numPr>
          <w:ilvl w:val="0"/>
          <w:numId w:val="120"/>
        </w:numPr>
        <w:spacing w:after="0" w:line="240" w:lineRule="auto"/>
        <w:jc w:val="both"/>
        <w:rPr>
          <w:rFonts w:ascii="Times New Roman" w:eastAsia="Calibri" w:hAnsi="Times New Roman" w:cs="Times New Roman"/>
          <w:sz w:val="24"/>
          <w:szCs w:val="24"/>
          <w:lang w:val="sq-AL"/>
        </w:rPr>
      </w:pPr>
      <w:r w:rsidRPr="002A64D6">
        <w:rPr>
          <w:rFonts w:ascii="Times New Roman" w:eastAsia="Calibri" w:hAnsi="Times New Roman" w:cs="Times New Roman"/>
          <w:sz w:val="24"/>
          <w:szCs w:val="24"/>
          <w:lang w:val="sq-AL"/>
        </w:rPr>
        <w:t>213 raste zjarresh në fondin pyjor</w:t>
      </w:r>
    </w:p>
    <w:p w:rsidR="00236F04" w:rsidRPr="002A64D6" w:rsidRDefault="00236F04" w:rsidP="002A64D6">
      <w:pPr>
        <w:pStyle w:val="ListParagraph"/>
        <w:numPr>
          <w:ilvl w:val="0"/>
          <w:numId w:val="120"/>
        </w:numPr>
        <w:spacing w:after="0" w:line="240" w:lineRule="auto"/>
        <w:jc w:val="both"/>
        <w:rPr>
          <w:rFonts w:ascii="Times New Roman" w:eastAsia="Calibri" w:hAnsi="Times New Roman" w:cs="Times New Roman"/>
          <w:sz w:val="24"/>
          <w:szCs w:val="24"/>
          <w:lang w:val="sq-AL"/>
        </w:rPr>
      </w:pPr>
      <w:r w:rsidRPr="002A64D6">
        <w:rPr>
          <w:rFonts w:ascii="Times New Roman" w:eastAsia="Calibri" w:hAnsi="Times New Roman" w:cs="Times New Roman"/>
          <w:sz w:val="24"/>
          <w:szCs w:val="24"/>
          <w:lang w:val="sq-AL"/>
        </w:rPr>
        <w:t>56 raste zjarresh në fondin kullosor</w:t>
      </w:r>
    </w:p>
    <w:p w:rsidR="00236F04" w:rsidRPr="00236F04" w:rsidRDefault="00236F04" w:rsidP="00236F04">
      <w:pPr>
        <w:spacing w:after="0" w:line="240" w:lineRule="auto"/>
        <w:contextualSpacing/>
        <w:jc w:val="both"/>
        <w:rPr>
          <w:rFonts w:ascii="Times New Roman" w:eastAsia="Calibri" w:hAnsi="Times New Roman" w:cs="Times New Roman"/>
          <w:sz w:val="24"/>
          <w:szCs w:val="24"/>
          <w:lang w:val="sq-AL"/>
        </w:rPr>
      </w:pPr>
    </w:p>
    <w:p w:rsidR="00236F04" w:rsidRPr="00236F04" w:rsidRDefault="00236F04" w:rsidP="00236F04">
      <w:pPr>
        <w:spacing w:after="0" w:line="240" w:lineRule="auto"/>
        <w:contextualSpacing/>
        <w:jc w:val="both"/>
        <w:rPr>
          <w:rFonts w:ascii="Times New Roman" w:eastAsia="Calibri" w:hAnsi="Times New Roman" w:cs="Times New Roman"/>
          <w:b/>
          <w:i/>
          <w:sz w:val="24"/>
          <w:szCs w:val="24"/>
          <w:lang w:val="sq-AL"/>
        </w:rPr>
      </w:pPr>
      <w:r w:rsidRPr="00236F04">
        <w:rPr>
          <w:rFonts w:ascii="Times New Roman" w:eastAsia="Calibri" w:hAnsi="Times New Roman" w:cs="Times New Roman"/>
          <w:b/>
          <w:i/>
          <w:sz w:val="24"/>
          <w:szCs w:val="24"/>
          <w:lang w:val="sq-AL"/>
        </w:rPr>
        <w:t>Të dhënat janë rezultat i raportimeve të 61 bashkive deri në muajin tetor, prej të cilave 47 kanë raportuar raste zjarresh dhe 14 të tjera kanë raportuar se nuk kanë patur zjarre në fondin pyjor dhe kullosor që ata administrojnë.</w:t>
      </w:r>
    </w:p>
    <w:p w:rsidR="00236F04" w:rsidRPr="00236F04" w:rsidRDefault="00236F04" w:rsidP="00236F04">
      <w:pPr>
        <w:spacing w:after="0" w:line="240" w:lineRule="auto"/>
        <w:jc w:val="both"/>
        <w:rPr>
          <w:rFonts w:ascii="Times New Roman" w:eastAsia="Calibri" w:hAnsi="Times New Roman" w:cs="Times New Roman"/>
          <w:b/>
          <w:bCs/>
          <w:i/>
          <w:noProof/>
          <w:sz w:val="28"/>
          <w:szCs w:val="28"/>
          <w:lang w:val="sq-AL"/>
        </w:rPr>
      </w:pPr>
    </w:p>
    <w:p w:rsidR="00236F04" w:rsidRPr="00567176" w:rsidRDefault="00236F04" w:rsidP="00807975">
      <w:pPr>
        <w:pStyle w:val="ListParagraph"/>
        <w:numPr>
          <w:ilvl w:val="0"/>
          <w:numId w:val="122"/>
        </w:numPr>
        <w:rPr>
          <w:rFonts w:ascii="Times New Roman" w:eastAsia="Calibri" w:hAnsi="Times New Roman" w:cs="Times New Roman"/>
          <w:b/>
          <w:bCs/>
          <w:sz w:val="24"/>
          <w:szCs w:val="24"/>
          <w:lang w:val="sq-AL"/>
        </w:rPr>
      </w:pPr>
      <w:r w:rsidRPr="00567176">
        <w:rPr>
          <w:rFonts w:ascii="Times New Roman" w:eastAsia="Calibri" w:hAnsi="Times New Roman" w:cs="Times New Roman"/>
          <w:b/>
          <w:bCs/>
          <w:sz w:val="24"/>
          <w:szCs w:val="24"/>
          <w:lang w:val="sq-AL"/>
        </w:rPr>
        <w:t>Sipërfaqet e dëmtuara nga faktorët të tjerë atmosferikë, si fortuna, dëbora etj.</w:t>
      </w:r>
    </w:p>
    <w:p w:rsidR="00236F04" w:rsidRPr="00236F04" w:rsidRDefault="00236F04" w:rsidP="00236F04">
      <w:pPr>
        <w:spacing w:after="0" w:line="240" w:lineRule="auto"/>
        <w:jc w:val="both"/>
        <w:rPr>
          <w:rFonts w:ascii="Times New Roman" w:eastAsia="Calibri" w:hAnsi="Times New Roman" w:cs="Times New Roman"/>
          <w:sz w:val="24"/>
          <w:szCs w:val="24"/>
          <w:lang w:val="sq-AL"/>
        </w:rPr>
      </w:pPr>
      <w:r w:rsidRPr="00236F04">
        <w:rPr>
          <w:rFonts w:ascii="Times New Roman" w:eastAsia="Calibri" w:hAnsi="Times New Roman" w:cs="Times New Roman"/>
          <w:sz w:val="24"/>
          <w:szCs w:val="24"/>
          <w:lang w:val="sq-AL"/>
        </w:rPr>
        <w:t>Mbështetur në të dhënat që disponon AKP-ja nga monitorimet e realizuara në terren,  si dhe tëdhënat e raportuara nga strukturat e pyjeve pranë Njësive të Vetqeverisje Vendore për vitin 2025 rezulton se: kemi pasur sipërfaqe të prekura nga faktorët atmosferikë si fortunat në qarkun Elbasan ekonomia pyjore “Zaranikë një sipërfaqe rreth 10ha të shpërndara në disa parcela me llojin pishë mesdhetare..</w:t>
      </w:r>
    </w:p>
    <w:p w:rsidR="00236F04" w:rsidRPr="00236F04" w:rsidRDefault="00236F04" w:rsidP="00236F04">
      <w:pPr>
        <w:spacing w:after="0" w:line="240" w:lineRule="auto"/>
        <w:jc w:val="both"/>
        <w:rPr>
          <w:rFonts w:ascii="Times New Roman" w:eastAsia="Calibri" w:hAnsi="Times New Roman" w:cs="Times New Roman"/>
          <w:sz w:val="24"/>
          <w:szCs w:val="24"/>
          <w:lang w:val="sq-AL"/>
        </w:rPr>
      </w:pPr>
    </w:p>
    <w:p w:rsidR="00236F04" w:rsidRPr="00236F04" w:rsidRDefault="00567176" w:rsidP="00567176">
      <w:pPr>
        <w:rPr>
          <w:rFonts w:ascii="Times New Roman" w:eastAsia="Calibri" w:hAnsi="Times New Roman" w:cs="Times New Roman"/>
          <w:sz w:val="24"/>
          <w:szCs w:val="24"/>
          <w:lang w:val="sq-AL"/>
        </w:rPr>
      </w:pPr>
      <w:r>
        <w:rPr>
          <w:rFonts w:ascii="Times New Roman" w:eastAsia="Calibri" w:hAnsi="Times New Roman" w:cs="Times New Roman"/>
          <w:b/>
          <w:bCs/>
          <w:sz w:val="24"/>
          <w:szCs w:val="24"/>
        </w:rPr>
        <w:t xml:space="preserve">8.2 </w:t>
      </w:r>
      <w:r w:rsidR="00D60B7B">
        <w:rPr>
          <w:rFonts w:ascii="Times New Roman" w:eastAsia="Calibri" w:hAnsi="Times New Roman" w:cs="Times New Roman"/>
          <w:b/>
          <w:bCs/>
          <w:sz w:val="24"/>
          <w:szCs w:val="24"/>
        </w:rPr>
        <w:t xml:space="preserve"> Gjendja e f</w:t>
      </w:r>
      <w:r>
        <w:rPr>
          <w:rFonts w:ascii="Times New Roman" w:eastAsia="Calibri" w:hAnsi="Times New Roman" w:cs="Times New Roman"/>
          <w:b/>
          <w:bCs/>
          <w:sz w:val="24"/>
          <w:szCs w:val="24"/>
        </w:rPr>
        <w:t xml:space="preserve">ondi kullosor </w:t>
      </w:r>
    </w:p>
    <w:p w:rsidR="00236F04" w:rsidRPr="001F2DF4" w:rsidRDefault="00236F04" w:rsidP="00807975">
      <w:pPr>
        <w:pStyle w:val="ListParagraph"/>
        <w:keepNext/>
        <w:keepLines/>
        <w:numPr>
          <w:ilvl w:val="0"/>
          <w:numId w:val="123"/>
        </w:numPr>
        <w:spacing w:after="80" w:line="240" w:lineRule="auto"/>
        <w:jc w:val="both"/>
        <w:outlineLvl w:val="0"/>
        <w:rPr>
          <w:rFonts w:ascii="Times New Roman" w:eastAsia="Times New Roman" w:hAnsi="Times New Roman" w:cs="Times New Roman"/>
          <w:b/>
          <w:bCs/>
          <w:sz w:val="24"/>
          <w:szCs w:val="24"/>
          <w:lang w:val="sq-AL"/>
        </w:rPr>
      </w:pPr>
      <w:bookmarkStart w:id="55" w:name="_Toc157602422"/>
      <w:bookmarkEnd w:id="53"/>
      <w:r w:rsidRPr="001F2DF4">
        <w:rPr>
          <w:rFonts w:ascii="Times New Roman" w:eastAsia="Times New Roman" w:hAnsi="Times New Roman" w:cs="Times New Roman"/>
          <w:b/>
          <w:bCs/>
          <w:sz w:val="24"/>
          <w:szCs w:val="24"/>
          <w:lang w:val="sq-AL"/>
        </w:rPr>
        <w:t>Fondi kullosor sipas pronësisë</w:t>
      </w:r>
      <w:bookmarkEnd w:id="55"/>
    </w:p>
    <w:p w:rsidR="00236F04" w:rsidRPr="00236F04" w:rsidRDefault="001F2DF4" w:rsidP="00236F04">
      <w:pPr>
        <w:spacing w:after="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R</w:t>
      </w:r>
      <w:r w:rsidR="00236F04" w:rsidRPr="00236F04">
        <w:rPr>
          <w:rFonts w:ascii="Times New Roman" w:eastAsia="Calibri" w:hAnsi="Times New Roman" w:cs="Times New Roman"/>
          <w:sz w:val="24"/>
          <w:szCs w:val="24"/>
          <w:lang w:val="sq-AL"/>
        </w:rPr>
        <w:t>reth 90% e sipërfa</w:t>
      </w:r>
      <w:r>
        <w:rPr>
          <w:rFonts w:ascii="Times New Roman" w:eastAsia="Calibri" w:hAnsi="Times New Roman" w:cs="Times New Roman"/>
          <w:sz w:val="24"/>
          <w:szCs w:val="24"/>
          <w:lang w:val="sq-AL"/>
        </w:rPr>
        <w:t>q</w:t>
      </w:r>
      <w:r w:rsidR="00236F04" w:rsidRPr="00236F04">
        <w:rPr>
          <w:rFonts w:ascii="Times New Roman" w:eastAsia="Calibri" w:hAnsi="Times New Roman" w:cs="Times New Roman"/>
          <w:sz w:val="24"/>
          <w:szCs w:val="24"/>
          <w:lang w:val="sq-AL"/>
        </w:rPr>
        <w:t>es kullosore ëhstë në pronësi publike dhe vetëm 10% është në pronësi private</w:t>
      </w:r>
    </w:p>
    <w:p w:rsidR="00236F04" w:rsidRPr="00236F04" w:rsidRDefault="00236F04" w:rsidP="00236F04">
      <w:pPr>
        <w:spacing w:after="0" w:line="240" w:lineRule="auto"/>
        <w:jc w:val="center"/>
        <w:rPr>
          <w:rFonts w:ascii="Times New Roman" w:eastAsia="Calibri" w:hAnsi="Times New Roman" w:cs="Times New Roman"/>
          <w:lang w:val="sq-AL"/>
        </w:rPr>
      </w:pPr>
    </w:p>
    <w:tbl>
      <w:tblPr>
        <w:tblW w:w="9245" w:type="dxa"/>
        <w:tblInd w:w="-5" w:type="dxa"/>
        <w:tblLook w:val="04A0" w:firstRow="1" w:lastRow="0" w:firstColumn="1" w:lastColumn="0" w:noHBand="0" w:noVBand="1"/>
      </w:tblPr>
      <w:tblGrid>
        <w:gridCol w:w="3595"/>
        <w:gridCol w:w="2945"/>
        <w:gridCol w:w="2705"/>
      </w:tblGrid>
      <w:tr w:rsidR="00236F04" w:rsidRPr="00236F04" w:rsidTr="00236F04">
        <w:trPr>
          <w:trHeight w:val="253"/>
        </w:trPr>
        <w:tc>
          <w:tcPr>
            <w:tcW w:w="359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Pronesia</w:t>
            </w:r>
          </w:p>
        </w:tc>
        <w:tc>
          <w:tcPr>
            <w:tcW w:w="2945" w:type="dxa"/>
            <w:tcBorders>
              <w:top w:val="single" w:sz="4" w:space="0" w:color="auto"/>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 xml:space="preserve">Siperfaqja </w:t>
            </w:r>
          </w:p>
        </w:tc>
        <w:tc>
          <w:tcPr>
            <w:tcW w:w="2705" w:type="dxa"/>
            <w:tcBorders>
              <w:top w:val="single" w:sz="4" w:space="0" w:color="auto"/>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 ndaj totalit</w:t>
            </w:r>
          </w:p>
        </w:tc>
      </w:tr>
      <w:tr w:rsidR="00236F04" w:rsidRPr="00236F04" w:rsidTr="00236F04">
        <w:trPr>
          <w:trHeight w:val="266"/>
        </w:trPr>
        <w:tc>
          <w:tcPr>
            <w:tcW w:w="3595"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Kullota publike</w:t>
            </w:r>
          </w:p>
        </w:tc>
        <w:tc>
          <w:tcPr>
            <w:tcW w:w="294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403,500</w:t>
            </w:r>
          </w:p>
        </w:tc>
        <w:tc>
          <w:tcPr>
            <w:tcW w:w="270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90</w:t>
            </w:r>
          </w:p>
        </w:tc>
      </w:tr>
      <w:tr w:rsidR="00236F04" w:rsidRPr="00236F04" w:rsidTr="00236F04">
        <w:trPr>
          <w:trHeight w:val="253"/>
        </w:trPr>
        <w:tc>
          <w:tcPr>
            <w:tcW w:w="3595"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Kullota private</w:t>
            </w:r>
          </w:p>
        </w:tc>
        <w:tc>
          <w:tcPr>
            <w:tcW w:w="294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45,672</w:t>
            </w:r>
          </w:p>
        </w:tc>
        <w:tc>
          <w:tcPr>
            <w:tcW w:w="270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10</w:t>
            </w:r>
          </w:p>
        </w:tc>
      </w:tr>
      <w:tr w:rsidR="00236F04" w:rsidRPr="00236F04" w:rsidTr="00236F04">
        <w:trPr>
          <w:trHeight w:val="253"/>
        </w:trPr>
        <w:tc>
          <w:tcPr>
            <w:tcW w:w="3595"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Total</w:t>
            </w:r>
          </w:p>
        </w:tc>
        <w:tc>
          <w:tcPr>
            <w:tcW w:w="294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449,172</w:t>
            </w:r>
          </w:p>
        </w:tc>
        <w:tc>
          <w:tcPr>
            <w:tcW w:w="270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100</w:t>
            </w:r>
          </w:p>
        </w:tc>
      </w:tr>
    </w:tbl>
    <w:p w:rsidR="00236F04" w:rsidRPr="00236F04" w:rsidRDefault="00236F04" w:rsidP="00236F04">
      <w:pPr>
        <w:spacing w:after="0" w:line="240" w:lineRule="auto"/>
        <w:jc w:val="both"/>
        <w:rPr>
          <w:rFonts w:ascii="Times New Roman" w:eastAsia="Calibri" w:hAnsi="Times New Roman" w:cs="Times New Roman"/>
        </w:rPr>
      </w:pPr>
    </w:p>
    <w:p w:rsidR="00236F04" w:rsidRPr="00236F04" w:rsidRDefault="00236F04" w:rsidP="00236F04">
      <w:pPr>
        <w:spacing w:after="0" w:line="240" w:lineRule="auto"/>
        <w:jc w:val="both"/>
        <w:rPr>
          <w:rFonts w:ascii="Times New Roman" w:eastAsia="Calibri" w:hAnsi="Times New Roman" w:cs="Times New Roman"/>
          <w:sz w:val="24"/>
          <w:szCs w:val="24"/>
        </w:rPr>
      </w:pPr>
      <w:r w:rsidRPr="00236F04">
        <w:rPr>
          <w:rFonts w:ascii="Times New Roman" w:eastAsia="Calibri" w:hAnsi="Times New Roman" w:cs="Times New Roman"/>
          <w:sz w:val="24"/>
          <w:szCs w:val="24"/>
        </w:rPr>
        <w:t>Kullotat, zënë një sipërfaqe totale që është rreth 449,172 ha, e shpërndarë në format e përdorimit siç paraqitet në tabelën e meposhtme.</w:t>
      </w:r>
    </w:p>
    <w:p w:rsidR="00236F04" w:rsidRPr="00236F04" w:rsidRDefault="00236F04" w:rsidP="00236F04">
      <w:pPr>
        <w:spacing w:after="0" w:line="240" w:lineRule="auto"/>
        <w:jc w:val="both"/>
        <w:rPr>
          <w:rFonts w:ascii="Times New Roman" w:eastAsia="Calibri" w:hAnsi="Times New Roman" w:cs="Times New Roman"/>
        </w:rPr>
      </w:pPr>
    </w:p>
    <w:p w:rsidR="00236F04" w:rsidRPr="00236F04" w:rsidRDefault="00236F04" w:rsidP="00D60B7B">
      <w:pPr>
        <w:spacing w:after="0" w:line="240" w:lineRule="auto"/>
        <w:rPr>
          <w:rFonts w:ascii="Times New Roman" w:eastAsia="Calibri" w:hAnsi="Times New Roman" w:cs="Times New Roman"/>
          <w:lang w:val="sq-AL"/>
        </w:rPr>
      </w:pPr>
      <w:r w:rsidRPr="00236F04">
        <w:rPr>
          <w:rFonts w:ascii="Times New Roman" w:eastAsia="Calibri" w:hAnsi="Times New Roman" w:cs="Times New Roman"/>
          <w:b/>
          <w:lang w:val="sq-AL"/>
        </w:rPr>
        <w:t xml:space="preserve">Sipërfaqja e kullotave sipas tipit të kullotjes. </w:t>
      </w:r>
    </w:p>
    <w:p w:rsidR="00236F04" w:rsidRPr="00236F04" w:rsidRDefault="00236F04" w:rsidP="00236F04">
      <w:pPr>
        <w:spacing w:after="0" w:line="240" w:lineRule="auto"/>
        <w:jc w:val="both"/>
        <w:rPr>
          <w:rFonts w:ascii="Times New Roman" w:eastAsia="Calibri" w:hAnsi="Times New Roman" w:cs="Times New Roman"/>
          <w:lang w:val="sq-AL"/>
        </w:rPr>
      </w:pPr>
    </w:p>
    <w:p w:rsidR="00236F04" w:rsidRPr="00236F04" w:rsidRDefault="002A64D6" w:rsidP="00236F0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Tabela 66. </w:t>
      </w:r>
      <w:r w:rsidR="00236F04" w:rsidRPr="00236F04">
        <w:rPr>
          <w:rFonts w:ascii="Times New Roman" w:eastAsia="Calibri" w:hAnsi="Times New Roman" w:cs="Times New Roman"/>
          <w:sz w:val="24"/>
          <w:szCs w:val="24"/>
        </w:rPr>
        <w:t xml:space="preserve">Shpërndarja e tokave kullosore sipas kullotave verore dhe dimërore </w:t>
      </w:r>
    </w:p>
    <w:tbl>
      <w:tblPr>
        <w:tblW w:w="9318" w:type="dxa"/>
        <w:tblInd w:w="-10" w:type="dxa"/>
        <w:tblLook w:val="04A0" w:firstRow="1" w:lastRow="0" w:firstColumn="1" w:lastColumn="0" w:noHBand="0" w:noVBand="1"/>
      </w:tblPr>
      <w:tblGrid>
        <w:gridCol w:w="3624"/>
        <w:gridCol w:w="2968"/>
        <w:gridCol w:w="2726"/>
        <w:gridCol w:w="222"/>
      </w:tblGrid>
      <w:tr w:rsidR="00236F04" w:rsidRPr="00236F04" w:rsidTr="00236F04">
        <w:trPr>
          <w:gridAfter w:val="1"/>
          <w:trHeight w:val="647"/>
        </w:trPr>
        <w:tc>
          <w:tcPr>
            <w:tcW w:w="3624" w:type="dxa"/>
            <w:vMerge w:val="restart"/>
            <w:tcBorders>
              <w:top w:val="single" w:sz="8" w:space="0" w:color="auto"/>
              <w:left w:val="single" w:sz="8" w:space="0" w:color="auto"/>
              <w:bottom w:val="single" w:sz="8" w:space="0" w:color="000000"/>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rPr>
            </w:pPr>
            <w:bookmarkStart w:id="56" w:name="RANGE!N5"/>
            <w:bookmarkStart w:id="57" w:name="_Hlk124763221" w:colFirst="1" w:colLast="2"/>
            <w:r w:rsidRPr="00236F04">
              <w:rPr>
                <w:rFonts w:ascii="Times New Roman" w:eastAsia="Calibri" w:hAnsi="Times New Roman" w:cs="Times New Roman"/>
                <w:lang w:val="en-GB"/>
              </w:rPr>
              <w:t>Sistemi i qeverisjes</w:t>
            </w:r>
            <w:bookmarkEnd w:id="56"/>
          </w:p>
        </w:tc>
        <w:tc>
          <w:tcPr>
            <w:tcW w:w="2968" w:type="dxa"/>
            <w:vMerge w:val="restart"/>
            <w:tcBorders>
              <w:top w:val="single" w:sz="8" w:space="0" w:color="auto"/>
              <w:left w:val="single" w:sz="8" w:space="0" w:color="auto"/>
              <w:bottom w:val="single" w:sz="8" w:space="0" w:color="000000"/>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lang w:val="en-GB"/>
              </w:rPr>
              <w:t>Sipërfaqia 1000 ha</w:t>
            </w:r>
          </w:p>
        </w:tc>
        <w:tc>
          <w:tcPr>
            <w:tcW w:w="2726" w:type="dxa"/>
            <w:vMerge w:val="restart"/>
            <w:tcBorders>
              <w:top w:val="single" w:sz="8" w:space="0" w:color="auto"/>
              <w:left w:val="single" w:sz="8" w:space="0" w:color="auto"/>
              <w:bottom w:val="single" w:sz="8" w:space="0" w:color="000000"/>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Përqindja</w:t>
            </w:r>
          </w:p>
        </w:tc>
      </w:tr>
      <w:tr w:rsidR="00236F04" w:rsidRPr="00236F04" w:rsidTr="00236F04">
        <w:trPr>
          <w:trHeight w:val="6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236F04" w:rsidRPr="00236F04" w:rsidRDefault="00236F04" w:rsidP="00236F04">
            <w:pPr>
              <w:spacing w:after="0" w:line="240" w:lineRule="auto"/>
              <w:jc w:val="both"/>
              <w:rPr>
                <w:rFonts w:ascii="Times New Roman" w:eastAsia="Calibri" w:hAnsi="Times New Roman" w:cs="Times New Roman"/>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236F04" w:rsidRPr="00236F04" w:rsidRDefault="00236F04" w:rsidP="00236F04">
            <w:pPr>
              <w:spacing w:after="0" w:line="240" w:lineRule="auto"/>
              <w:jc w:val="both"/>
              <w:rPr>
                <w:rFonts w:ascii="Times New Roman" w:eastAsia="Calibri" w:hAnsi="Times New Roman" w:cs="Times New Roman"/>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236F04" w:rsidRPr="00236F04" w:rsidRDefault="00236F04" w:rsidP="00236F04">
            <w:pPr>
              <w:spacing w:after="0" w:line="240" w:lineRule="auto"/>
              <w:jc w:val="both"/>
              <w:rPr>
                <w:rFonts w:ascii="Times New Roman" w:eastAsia="Calibri" w:hAnsi="Times New Roman" w:cs="Times New Roman"/>
              </w:rPr>
            </w:pPr>
          </w:p>
        </w:tc>
        <w:tc>
          <w:tcPr>
            <w:tcW w:w="0" w:type="auto"/>
            <w:vAlign w:val="center"/>
            <w:hideMark/>
          </w:tcPr>
          <w:p w:rsidR="00236F04" w:rsidRPr="00236F04" w:rsidRDefault="00236F04" w:rsidP="00236F04">
            <w:pPr>
              <w:spacing w:after="0" w:line="240" w:lineRule="auto"/>
              <w:jc w:val="both"/>
              <w:rPr>
                <w:rFonts w:ascii="Times New Roman" w:eastAsia="Calibri" w:hAnsi="Times New Roman" w:cs="Times New Roman"/>
              </w:rPr>
            </w:pPr>
          </w:p>
        </w:tc>
      </w:tr>
      <w:tr w:rsidR="00236F04" w:rsidRPr="00236F04" w:rsidTr="00236F04">
        <w:trPr>
          <w:trHeight w:val="323"/>
        </w:trPr>
        <w:tc>
          <w:tcPr>
            <w:tcW w:w="3624" w:type="dxa"/>
            <w:tcBorders>
              <w:top w:val="nil"/>
              <w:left w:val="single" w:sz="8" w:space="0" w:color="auto"/>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Kullotat verore</w:t>
            </w:r>
          </w:p>
        </w:tc>
        <w:tc>
          <w:tcPr>
            <w:tcW w:w="2968"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314,420</w:t>
            </w:r>
          </w:p>
        </w:tc>
        <w:tc>
          <w:tcPr>
            <w:tcW w:w="2726"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70</w:t>
            </w:r>
          </w:p>
        </w:tc>
        <w:tc>
          <w:tcPr>
            <w:tcW w:w="0" w:type="auto"/>
            <w:vAlign w:val="center"/>
            <w:hideMark/>
          </w:tcPr>
          <w:p w:rsidR="00236F04" w:rsidRPr="00236F04" w:rsidRDefault="00236F04" w:rsidP="00236F04">
            <w:pPr>
              <w:spacing w:after="0" w:line="240" w:lineRule="auto"/>
              <w:jc w:val="both"/>
              <w:rPr>
                <w:rFonts w:ascii="Times New Roman" w:eastAsia="Calibri" w:hAnsi="Times New Roman" w:cs="Times New Roman"/>
              </w:rPr>
            </w:pPr>
          </w:p>
        </w:tc>
      </w:tr>
      <w:tr w:rsidR="00236F04" w:rsidRPr="00236F04" w:rsidTr="00236F04">
        <w:trPr>
          <w:trHeight w:val="323"/>
        </w:trPr>
        <w:tc>
          <w:tcPr>
            <w:tcW w:w="3624" w:type="dxa"/>
            <w:tcBorders>
              <w:top w:val="nil"/>
              <w:left w:val="single" w:sz="8" w:space="0" w:color="auto"/>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Kullotat dimërore</w:t>
            </w:r>
          </w:p>
        </w:tc>
        <w:tc>
          <w:tcPr>
            <w:tcW w:w="2968"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134,752</w:t>
            </w:r>
          </w:p>
        </w:tc>
        <w:tc>
          <w:tcPr>
            <w:tcW w:w="2726"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30</w:t>
            </w:r>
          </w:p>
        </w:tc>
        <w:tc>
          <w:tcPr>
            <w:tcW w:w="0" w:type="auto"/>
            <w:vAlign w:val="center"/>
            <w:hideMark/>
          </w:tcPr>
          <w:p w:rsidR="00236F04" w:rsidRPr="00236F04" w:rsidRDefault="00236F04" w:rsidP="00236F04">
            <w:pPr>
              <w:spacing w:after="0" w:line="240" w:lineRule="auto"/>
              <w:jc w:val="both"/>
              <w:rPr>
                <w:rFonts w:ascii="Times New Roman" w:eastAsia="Calibri" w:hAnsi="Times New Roman" w:cs="Times New Roman"/>
              </w:rPr>
            </w:pPr>
          </w:p>
        </w:tc>
      </w:tr>
      <w:tr w:rsidR="00236F04" w:rsidRPr="00236F04" w:rsidTr="00236F04">
        <w:trPr>
          <w:trHeight w:val="323"/>
        </w:trPr>
        <w:tc>
          <w:tcPr>
            <w:tcW w:w="3624" w:type="dxa"/>
            <w:tcBorders>
              <w:top w:val="nil"/>
              <w:left w:val="single" w:sz="8" w:space="0" w:color="auto"/>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 xml:space="preserve">Totali </w:t>
            </w:r>
          </w:p>
        </w:tc>
        <w:tc>
          <w:tcPr>
            <w:tcW w:w="2968"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449,172</w:t>
            </w:r>
          </w:p>
        </w:tc>
        <w:tc>
          <w:tcPr>
            <w:tcW w:w="2726"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100</w:t>
            </w:r>
          </w:p>
        </w:tc>
        <w:tc>
          <w:tcPr>
            <w:tcW w:w="0" w:type="auto"/>
            <w:vAlign w:val="center"/>
            <w:hideMark/>
          </w:tcPr>
          <w:p w:rsidR="00236F04" w:rsidRPr="00236F04" w:rsidRDefault="00236F04" w:rsidP="00236F04">
            <w:pPr>
              <w:spacing w:after="0" w:line="240" w:lineRule="auto"/>
              <w:jc w:val="both"/>
              <w:rPr>
                <w:rFonts w:ascii="Times New Roman" w:eastAsia="Calibri" w:hAnsi="Times New Roman" w:cs="Times New Roman"/>
              </w:rPr>
            </w:pPr>
          </w:p>
        </w:tc>
      </w:tr>
      <w:bookmarkEnd w:id="57"/>
    </w:tbl>
    <w:p w:rsidR="00236F04" w:rsidRPr="00236F04" w:rsidRDefault="00236F04" w:rsidP="00236F04">
      <w:pPr>
        <w:spacing w:after="0" w:line="240" w:lineRule="auto"/>
        <w:jc w:val="both"/>
        <w:rPr>
          <w:rFonts w:ascii="Times New Roman" w:eastAsia="Calibri" w:hAnsi="Times New Roman" w:cs="Times New Roman"/>
        </w:rPr>
      </w:pPr>
    </w:p>
    <w:p w:rsidR="00236F04" w:rsidRPr="00236F04" w:rsidRDefault="00236F04" w:rsidP="00236F04">
      <w:pPr>
        <w:spacing w:after="0" w:line="240" w:lineRule="auto"/>
        <w:jc w:val="both"/>
        <w:rPr>
          <w:rFonts w:ascii="Times New Roman" w:eastAsia="Calibri" w:hAnsi="Times New Roman" w:cs="Times New Roman"/>
        </w:rPr>
      </w:pPr>
      <w:r w:rsidRPr="00236F04">
        <w:rPr>
          <w:rFonts w:ascii="Times New Roman" w:eastAsia="Calibri" w:hAnsi="Times New Roman" w:cs="Times New Roman"/>
        </w:rPr>
        <w:t xml:space="preserve">Kullotat verore janë një burim i rëndësishëm të ardhurash nëse ato përdoren në një mënyrë të qëndrueshme kur bëhet shtegëtimi i bagëtive në këto kullota gjatë verës, siç është bërë tardicionalisht nga fermerët e mbarështimit tëtë imëtave dhe jo vetëm. </w:t>
      </w:r>
    </w:p>
    <w:p w:rsidR="00236F04" w:rsidRPr="00236F04" w:rsidRDefault="00236F04" w:rsidP="00236F04">
      <w:pPr>
        <w:spacing w:after="0" w:line="240" w:lineRule="auto"/>
        <w:jc w:val="both"/>
        <w:rPr>
          <w:rFonts w:ascii="Times New Roman" w:eastAsia="Calibri" w:hAnsi="Times New Roman" w:cs="Times New Roman"/>
        </w:rPr>
      </w:pPr>
    </w:p>
    <w:p w:rsidR="00236F04" w:rsidRPr="00236F04" w:rsidRDefault="00236F04" w:rsidP="00D60B7B">
      <w:pPr>
        <w:autoSpaceDE w:val="0"/>
        <w:autoSpaceDN w:val="0"/>
        <w:adjustRightInd w:val="0"/>
        <w:spacing w:after="0" w:line="240" w:lineRule="auto"/>
        <w:contextualSpacing/>
        <w:jc w:val="both"/>
        <w:rPr>
          <w:rFonts w:ascii="Times New Roman" w:eastAsia="Calibri" w:hAnsi="Times New Roman" w:cs="Times New Roman"/>
          <w:b/>
          <w:bCs/>
          <w:sz w:val="24"/>
          <w:szCs w:val="24"/>
          <w:lang w:val="sq-AL"/>
        </w:rPr>
      </w:pPr>
      <w:r w:rsidRPr="00236F04">
        <w:rPr>
          <w:rFonts w:ascii="Times New Roman" w:eastAsia="Calibri" w:hAnsi="Times New Roman" w:cs="Times New Roman"/>
          <w:b/>
          <w:bCs/>
          <w:sz w:val="24"/>
          <w:szCs w:val="24"/>
          <w:lang w:val="sq-AL"/>
        </w:rPr>
        <w:t>Kapaciteti mbajtës i fondit kullosor.</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lang w:val="sq-AL"/>
        </w:rPr>
      </w:pPr>
    </w:p>
    <w:p w:rsidR="00236F04" w:rsidRPr="00236F04" w:rsidRDefault="00236F04" w:rsidP="00236F04">
      <w:pPr>
        <w:spacing w:after="0" w:line="240" w:lineRule="auto"/>
        <w:jc w:val="both"/>
        <w:rPr>
          <w:rFonts w:ascii="Times New Roman" w:eastAsia="Calibri" w:hAnsi="Times New Roman" w:cs="Times New Roman"/>
          <w:sz w:val="24"/>
          <w:szCs w:val="24"/>
          <w:lang w:val="sq-AL"/>
        </w:rPr>
      </w:pPr>
      <w:r w:rsidRPr="00236F04">
        <w:rPr>
          <w:rFonts w:ascii="Times New Roman" w:eastAsia="Calibri" w:hAnsi="Times New Roman" w:cs="Times New Roman"/>
          <w:sz w:val="24"/>
          <w:szCs w:val="24"/>
          <w:lang w:val="sq-AL"/>
        </w:rPr>
        <w:t>Mbështetur në të dhënat që disponon AKP-ja nga monitorimet e realizuara në terren,  si dhe të</w:t>
      </w:r>
      <w:r w:rsidR="00393692">
        <w:rPr>
          <w:rFonts w:ascii="Times New Roman" w:eastAsia="Calibri" w:hAnsi="Times New Roman" w:cs="Times New Roman"/>
          <w:sz w:val="24"/>
          <w:szCs w:val="24"/>
          <w:lang w:val="sq-AL"/>
        </w:rPr>
        <w:t xml:space="preserve"> </w:t>
      </w:r>
      <w:r w:rsidRPr="00236F04">
        <w:rPr>
          <w:rFonts w:ascii="Times New Roman" w:eastAsia="Calibri" w:hAnsi="Times New Roman" w:cs="Times New Roman"/>
          <w:sz w:val="24"/>
          <w:szCs w:val="24"/>
          <w:lang w:val="sq-AL"/>
        </w:rPr>
        <w:t>dhënat e raportuara nga strukturat e pyjeve pranë Njësive të Vetqeverisje Vendore për vitin 2025 si dhe invetari i kullotave te rrealizuar vite më parë rezulton se: kapaciteti mbajtës është afërsisht 1,518,861 krerë pa llogaritur kullotjen e bagëtive të dhirta edhe në fondin e pyjeve me shkure.</w:t>
      </w:r>
    </w:p>
    <w:p w:rsidR="00236F04" w:rsidRPr="00236F04" w:rsidRDefault="00236F04" w:rsidP="00236F04">
      <w:pPr>
        <w:spacing w:after="0" w:line="240" w:lineRule="auto"/>
        <w:jc w:val="both"/>
        <w:rPr>
          <w:rFonts w:ascii="Times New Roman" w:eastAsia="Calibri" w:hAnsi="Times New Roman" w:cs="Times New Roman"/>
          <w:sz w:val="24"/>
          <w:szCs w:val="24"/>
          <w:lang w:val="sq-AL"/>
        </w:rPr>
      </w:pPr>
    </w:p>
    <w:p w:rsidR="00236F04" w:rsidRPr="00236F04" w:rsidRDefault="00236F04" w:rsidP="00236F04">
      <w:pPr>
        <w:spacing w:after="0" w:line="240" w:lineRule="auto"/>
        <w:jc w:val="both"/>
        <w:rPr>
          <w:rFonts w:ascii="Times New Roman" w:eastAsia="Calibri" w:hAnsi="Times New Roman" w:cs="Times New Roman"/>
          <w:b/>
          <w:bCs/>
          <w:sz w:val="24"/>
          <w:szCs w:val="24"/>
          <w:lang w:val="sq-AL"/>
        </w:rPr>
      </w:pPr>
      <w:r w:rsidRPr="00236F04">
        <w:rPr>
          <w:rFonts w:ascii="Times New Roman" w:eastAsia="Calibri" w:hAnsi="Times New Roman" w:cs="Times New Roman"/>
          <w:b/>
          <w:bCs/>
          <w:sz w:val="24"/>
          <w:szCs w:val="24"/>
          <w:lang w:val="sq-AL"/>
        </w:rPr>
        <w:t>Përbërja floristike e kullotave</w:t>
      </w:r>
    </w:p>
    <w:p w:rsidR="00236F04" w:rsidRPr="00236F04" w:rsidRDefault="00236F04" w:rsidP="00236F04">
      <w:pPr>
        <w:spacing w:after="0" w:line="240" w:lineRule="auto"/>
        <w:jc w:val="both"/>
        <w:rPr>
          <w:rFonts w:ascii="Times New Roman" w:eastAsia="Calibri" w:hAnsi="Times New Roman" w:cs="Times New Roman"/>
          <w:b/>
          <w:bCs/>
          <w:sz w:val="24"/>
          <w:szCs w:val="24"/>
          <w:lang w:val="sq-AL"/>
        </w:rPr>
      </w:pPr>
    </w:p>
    <w:p w:rsidR="00236F04" w:rsidRPr="00236F04" w:rsidRDefault="00236F04" w:rsidP="00236F04">
      <w:pPr>
        <w:spacing w:after="0" w:line="240" w:lineRule="auto"/>
        <w:jc w:val="both"/>
        <w:rPr>
          <w:rFonts w:ascii="Times New Roman" w:eastAsia="Calibri" w:hAnsi="Times New Roman" w:cs="Times New Roman"/>
          <w:b/>
          <w:bCs/>
          <w:sz w:val="24"/>
          <w:szCs w:val="24"/>
          <w:lang w:val="sq-AL"/>
        </w:rPr>
      </w:pPr>
      <w:r w:rsidRPr="00236F04">
        <w:rPr>
          <w:rFonts w:ascii="Times New Roman" w:eastAsia="Calibri" w:hAnsi="Times New Roman" w:cs="Times New Roman"/>
          <w:sz w:val="24"/>
          <w:szCs w:val="24"/>
          <w:lang w:val="sq-AL"/>
        </w:rPr>
        <w:t>Mbështetur në të dhënat që disponon AKP-ja nga monitorimet e realizuara në terren,  si dhe tëdhënat e raportuara nga strukturat e pyjeve pranë Njësive të Vetqeverisje Vendore për vitin 2024 si dhe invetari i kullotave te rrealizuar vite më parë rezulton se:</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lang w:val="sq-AL"/>
        </w:rPr>
      </w:pPr>
    </w:p>
    <w:p w:rsidR="00236F04" w:rsidRPr="00236F04" w:rsidRDefault="00236F04" w:rsidP="00236F04">
      <w:pPr>
        <w:spacing w:after="0" w:line="240" w:lineRule="auto"/>
        <w:jc w:val="both"/>
        <w:rPr>
          <w:rFonts w:ascii="Times New Roman" w:eastAsia="Calibri" w:hAnsi="Times New Roman" w:cs="Times New Roman"/>
          <w:sz w:val="24"/>
          <w:szCs w:val="24"/>
          <w:lang w:val="sq-AL"/>
        </w:rPr>
      </w:pPr>
      <w:r w:rsidRPr="00236F04">
        <w:rPr>
          <w:rFonts w:ascii="Times New Roman" w:eastAsia="Calibri" w:hAnsi="Times New Roman" w:cs="Times New Roman"/>
          <w:sz w:val="24"/>
          <w:szCs w:val="24"/>
          <w:lang w:val="sq-AL"/>
        </w:rPr>
        <w:t>Përbërja e specieve është vlerësuar/përcaktuar për tre grupe kryesore bimore (Graminore, Bishtajore dhe të ndryshme) në sipërfaqen provë 25m</w:t>
      </w:r>
      <w:r w:rsidRPr="00236F04">
        <w:rPr>
          <w:rFonts w:ascii="Times New Roman" w:eastAsia="Calibri" w:hAnsi="Times New Roman" w:cs="Times New Roman"/>
          <w:sz w:val="24"/>
          <w:szCs w:val="24"/>
          <w:vertAlign w:val="superscript"/>
          <w:lang w:val="sq-AL"/>
        </w:rPr>
        <w:t>2</w:t>
      </w:r>
      <w:r w:rsidRPr="00236F04">
        <w:rPr>
          <w:rFonts w:ascii="Times New Roman" w:eastAsia="Calibri" w:hAnsi="Times New Roman" w:cs="Times New Roman"/>
          <w:sz w:val="24"/>
          <w:szCs w:val="24"/>
          <w:lang w:val="sq-AL"/>
        </w:rPr>
        <w:t>,me rreze 2.82 metra, kundrejt mbulesës bimore.</w:t>
      </w:r>
    </w:p>
    <w:p w:rsidR="00B475FE" w:rsidRDefault="00B475FE" w:rsidP="002A64D6">
      <w:pPr>
        <w:spacing w:after="0" w:line="240" w:lineRule="auto"/>
        <w:rPr>
          <w:rFonts w:ascii="Times New Roman" w:eastAsia="Calibri" w:hAnsi="Times New Roman" w:cs="Times New Roman"/>
          <w:bCs/>
          <w:sz w:val="24"/>
          <w:szCs w:val="24"/>
          <w:lang w:val="sq-AL"/>
        </w:rPr>
      </w:pPr>
    </w:p>
    <w:p w:rsidR="00393692" w:rsidRDefault="00393692" w:rsidP="00236F04">
      <w:pPr>
        <w:spacing w:after="0" w:line="240" w:lineRule="auto"/>
        <w:jc w:val="center"/>
        <w:rPr>
          <w:rFonts w:ascii="Times New Roman" w:eastAsia="Calibri" w:hAnsi="Times New Roman" w:cs="Times New Roman"/>
          <w:bCs/>
          <w:sz w:val="24"/>
          <w:szCs w:val="24"/>
          <w:lang w:val="sq-AL"/>
        </w:rPr>
      </w:pPr>
    </w:p>
    <w:p w:rsidR="00236F04" w:rsidRPr="00236F04" w:rsidRDefault="002A64D6" w:rsidP="00236F04">
      <w:pPr>
        <w:spacing w:after="0" w:line="240" w:lineRule="auto"/>
        <w:jc w:val="center"/>
        <w:rPr>
          <w:rFonts w:ascii="Times New Roman" w:eastAsia="Calibri" w:hAnsi="Times New Roman" w:cs="Times New Roman"/>
          <w:bCs/>
          <w:sz w:val="24"/>
          <w:szCs w:val="24"/>
          <w:lang w:val="sq-AL"/>
        </w:rPr>
      </w:pPr>
      <w:r>
        <w:rPr>
          <w:rFonts w:ascii="Times New Roman" w:eastAsia="Calibri" w:hAnsi="Times New Roman" w:cs="Times New Roman"/>
          <w:bCs/>
          <w:sz w:val="24"/>
          <w:szCs w:val="24"/>
          <w:lang w:val="sq-AL"/>
        </w:rPr>
        <w:t xml:space="preserve">Tabela 67. </w:t>
      </w:r>
      <w:r w:rsidR="00236F04" w:rsidRPr="00236F04">
        <w:rPr>
          <w:rFonts w:ascii="Times New Roman" w:eastAsia="Calibri" w:hAnsi="Times New Roman" w:cs="Times New Roman"/>
          <w:bCs/>
          <w:sz w:val="24"/>
          <w:szCs w:val="24"/>
          <w:lang w:val="sq-AL"/>
        </w:rPr>
        <w:t xml:space="preserve">Sipërfaqja e kullotave sipas grupit të specieve bimore. </w:t>
      </w:r>
    </w:p>
    <w:tbl>
      <w:tblPr>
        <w:tblW w:w="840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5"/>
        <w:gridCol w:w="1670"/>
        <w:gridCol w:w="1228"/>
      </w:tblGrid>
      <w:tr w:rsidR="00236F04" w:rsidRPr="00236F04" w:rsidTr="00236F04">
        <w:trPr>
          <w:trHeight w:val="224"/>
        </w:trPr>
        <w:tc>
          <w:tcPr>
            <w:tcW w:w="5505" w:type="dxa"/>
            <w:noWrap/>
            <w:vAlign w:val="bottom"/>
            <w:hideMark/>
          </w:tcPr>
          <w:p w:rsidR="00236F04" w:rsidRPr="00236F04" w:rsidRDefault="00236F04" w:rsidP="00236F04">
            <w:pPr>
              <w:spacing w:after="0" w:line="240" w:lineRule="auto"/>
              <w:jc w:val="center"/>
              <w:rPr>
                <w:rFonts w:ascii="Times New Roman" w:eastAsia="Times New Roman" w:hAnsi="Times New Roman" w:cs="Times New Roman"/>
                <w:bCs/>
                <w:color w:val="000000"/>
                <w:sz w:val="24"/>
                <w:szCs w:val="24"/>
              </w:rPr>
            </w:pPr>
            <w:r w:rsidRPr="00236F04">
              <w:rPr>
                <w:rFonts w:ascii="Times New Roman" w:eastAsia="Calibri" w:hAnsi="Times New Roman" w:cs="Times New Roman"/>
                <w:bCs/>
                <w:sz w:val="24"/>
                <w:szCs w:val="24"/>
                <w:lang w:val="sq-AL"/>
              </w:rPr>
              <w:t>Sipërfaqja e kullotave sipas grupit të specieve bimore</w:t>
            </w:r>
          </w:p>
        </w:tc>
        <w:tc>
          <w:tcPr>
            <w:tcW w:w="1670" w:type="dxa"/>
            <w:noWrap/>
            <w:vAlign w:val="bottom"/>
            <w:hideMark/>
          </w:tcPr>
          <w:p w:rsidR="00236F04" w:rsidRPr="00236F04" w:rsidRDefault="00236F04" w:rsidP="00236F04">
            <w:pPr>
              <w:spacing w:after="0" w:line="240" w:lineRule="auto"/>
              <w:jc w:val="center"/>
              <w:rPr>
                <w:rFonts w:ascii="Times New Roman" w:eastAsia="Times New Roman" w:hAnsi="Times New Roman" w:cs="Times New Roman"/>
                <w:bCs/>
                <w:color w:val="000000"/>
                <w:sz w:val="24"/>
                <w:szCs w:val="24"/>
              </w:rPr>
            </w:pPr>
            <w:r w:rsidRPr="00236F04">
              <w:rPr>
                <w:rFonts w:ascii="Times New Roman" w:eastAsia="Times New Roman" w:hAnsi="Times New Roman" w:cs="Times New Roman"/>
                <w:bCs/>
                <w:color w:val="000000"/>
                <w:sz w:val="24"/>
                <w:szCs w:val="24"/>
              </w:rPr>
              <w:t>sip_ha</w:t>
            </w:r>
          </w:p>
        </w:tc>
        <w:tc>
          <w:tcPr>
            <w:tcW w:w="1228" w:type="dxa"/>
            <w:noWrap/>
            <w:vAlign w:val="bottom"/>
            <w:hideMark/>
          </w:tcPr>
          <w:p w:rsidR="00236F04" w:rsidRPr="00236F04" w:rsidRDefault="00236F04" w:rsidP="00236F04">
            <w:pPr>
              <w:spacing w:after="0" w:line="240" w:lineRule="auto"/>
              <w:jc w:val="center"/>
              <w:rPr>
                <w:rFonts w:ascii="Times New Roman" w:eastAsia="Times New Roman" w:hAnsi="Times New Roman" w:cs="Times New Roman"/>
                <w:bCs/>
                <w:color w:val="000000"/>
                <w:sz w:val="24"/>
                <w:szCs w:val="24"/>
              </w:rPr>
            </w:pPr>
            <w:r w:rsidRPr="00236F04">
              <w:rPr>
                <w:rFonts w:ascii="Times New Roman" w:eastAsia="Times New Roman" w:hAnsi="Times New Roman" w:cs="Times New Roman"/>
                <w:bCs/>
                <w:color w:val="000000"/>
                <w:sz w:val="24"/>
                <w:szCs w:val="24"/>
              </w:rPr>
              <w:t>sip %</w:t>
            </w:r>
          </w:p>
        </w:tc>
      </w:tr>
      <w:tr w:rsidR="00236F04" w:rsidRPr="00236F04" w:rsidTr="00236F04">
        <w:trPr>
          <w:trHeight w:val="224"/>
        </w:trPr>
        <w:tc>
          <w:tcPr>
            <w:tcW w:w="5505" w:type="dxa"/>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Mbulese me graminore</w:t>
            </w:r>
          </w:p>
        </w:tc>
        <w:tc>
          <w:tcPr>
            <w:tcW w:w="1670" w:type="dxa"/>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335508</w:t>
            </w:r>
          </w:p>
        </w:tc>
        <w:tc>
          <w:tcPr>
            <w:tcW w:w="1228" w:type="dxa"/>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66.3%</w:t>
            </w:r>
          </w:p>
        </w:tc>
      </w:tr>
      <w:tr w:rsidR="00236F04" w:rsidRPr="00236F04" w:rsidTr="00236F04">
        <w:trPr>
          <w:trHeight w:val="143"/>
        </w:trPr>
        <w:tc>
          <w:tcPr>
            <w:tcW w:w="5505" w:type="dxa"/>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Mbulese me leguminose</w:t>
            </w:r>
          </w:p>
        </w:tc>
        <w:tc>
          <w:tcPr>
            <w:tcW w:w="1670" w:type="dxa"/>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129188</w:t>
            </w:r>
          </w:p>
        </w:tc>
        <w:tc>
          <w:tcPr>
            <w:tcW w:w="1228" w:type="dxa"/>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25.5%</w:t>
            </w:r>
          </w:p>
        </w:tc>
      </w:tr>
      <w:tr w:rsidR="00236F04" w:rsidRPr="00236F04" w:rsidTr="00236F04">
        <w:trPr>
          <w:trHeight w:val="152"/>
        </w:trPr>
        <w:tc>
          <w:tcPr>
            <w:tcW w:w="5505" w:type="dxa"/>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Mbulesa me lloje te tjera</w:t>
            </w:r>
          </w:p>
        </w:tc>
        <w:tc>
          <w:tcPr>
            <w:tcW w:w="1670" w:type="dxa"/>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41591</w:t>
            </w:r>
          </w:p>
        </w:tc>
        <w:tc>
          <w:tcPr>
            <w:tcW w:w="1228" w:type="dxa"/>
            <w:noWrap/>
            <w:vAlign w:val="bottom"/>
            <w:hideMark/>
          </w:tcPr>
          <w:p w:rsidR="00236F04" w:rsidRPr="00236F04" w:rsidRDefault="00236F04" w:rsidP="00236F04">
            <w:pPr>
              <w:spacing w:after="0" w:line="240" w:lineRule="auto"/>
              <w:jc w:val="both"/>
              <w:rPr>
                <w:rFonts w:ascii="Times New Roman" w:eastAsia="Times New Roman" w:hAnsi="Times New Roman" w:cs="Times New Roman"/>
                <w:color w:val="000000"/>
              </w:rPr>
            </w:pPr>
            <w:r w:rsidRPr="00236F04">
              <w:rPr>
                <w:rFonts w:ascii="Times New Roman" w:eastAsia="Times New Roman" w:hAnsi="Times New Roman" w:cs="Times New Roman"/>
                <w:color w:val="000000"/>
              </w:rPr>
              <w:t>8.2%</w:t>
            </w:r>
          </w:p>
        </w:tc>
      </w:tr>
      <w:tr w:rsidR="00236F04" w:rsidRPr="00236F04" w:rsidTr="00236F04">
        <w:trPr>
          <w:trHeight w:val="161"/>
        </w:trPr>
        <w:tc>
          <w:tcPr>
            <w:tcW w:w="5505" w:type="dxa"/>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rPr>
            </w:pPr>
            <w:r w:rsidRPr="00236F04">
              <w:rPr>
                <w:rFonts w:ascii="Times New Roman" w:eastAsia="Times New Roman" w:hAnsi="Times New Roman" w:cs="Times New Roman"/>
                <w:b/>
                <w:bCs/>
                <w:color w:val="000000"/>
              </w:rPr>
              <w:t>Total</w:t>
            </w:r>
          </w:p>
        </w:tc>
        <w:tc>
          <w:tcPr>
            <w:tcW w:w="1670" w:type="dxa"/>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rPr>
            </w:pPr>
            <w:r w:rsidRPr="00236F04">
              <w:rPr>
                <w:rFonts w:ascii="Times New Roman" w:eastAsia="Times New Roman" w:hAnsi="Times New Roman" w:cs="Times New Roman"/>
                <w:b/>
                <w:bCs/>
                <w:color w:val="000000"/>
              </w:rPr>
              <w:t>506287</w:t>
            </w:r>
          </w:p>
        </w:tc>
        <w:tc>
          <w:tcPr>
            <w:tcW w:w="1228" w:type="dxa"/>
            <w:noWrap/>
            <w:vAlign w:val="bottom"/>
            <w:hideMark/>
          </w:tcPr>
          <w:p w:rsidR="00236F04" w:rsidRPr="00236F04" w:rsidRDefault="00236F04" w:rsidP="00236F04">
            <w:pPr>
              <w:spacing w:after="0" w:line="240" w:lineRule="auto"/>
              <w:jc w:val="both"/>
              <w:rPr>
                <w:rFonts w:ascii="Times New Roman" w:eastAsia="Times New Roman" w:hAnsi="Times New Roman" w:cs="Times New Roman"/>
                <w:b/>
                <w:bCs/>
                <w:color w:val="000000"/>
              </w:rPr>
            </w:pPr>
            <w:r w:rsidRPr="00236F04">
              <w:rPr>
                <w:rFonts w:ascii="Times New Roman" w:eastAsia="Times New Roman" w:hAnsi="Times New Roman" w:cs="Times New Roman"/>
                <w:b/>
                <w:bCs/>
                <w:color w:val="000000"/>
              </w:rPr>
              <w:t>100.00%</w:t>
            </w:r>
          </w:p>
        </w:tc>
      </w:tr>
    </w:tbl>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lang w:val="sq-AL"/>
        </w:rPr>
      </w:pP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b/>
          <w:bCs/>
          <w:sz w:val="24"/>
          <w:szCs w:val="24"/>
          <w:lang w:val="sq-AL"/>
        </w:rPr>
      </w:pPr>
      <w:r w:rsidRPr="00236F04">
        <w:rPr>
          <w:rFonts w:ascii="Times New Roman" w:eastAsia="Calibri" w:hAnsi="Times New Roman" w:cs="Times New Roman"/>
          <w:b/>
          <w:bCs/>
          <w:sz w:val="24"/>
          <w:szCs w:val="24"/>
          <w:lang w:val="sq-AL"/>
        </w:rPr>
        <w:t xml:space="preserve"> Gjëndja shëndetësore në fondin kullosor.</w:t>
      </w:r>
    </w:p>
    <w:p w:rsidR="00236F04" w:rsidRP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lang w:val="sq-AL"/>
        </w:rPr>
      </w:pPr>
    </w:p>
    <w:p w:rsidR="00236F04" w:rsidRPr="00236F04" w:rsidRDefault="00236F04" w:rsidP="00236F04">
      <w:pPr>
        <w:spacing w:after="0" w:line="240" w:lineRule="auto"/>
        <w:jc w:val="both"/>
        <w:rPr>
          <w:rFonts w:ascii="Times New Roman" w:eastAsia="Calibri" w:hAnsi="Times New Roman" w:cs="Times New Roman"/>
          <w:sz w:val="24"/>
          <w:szCs w:val="24"/>
          <w:lang w:val="sq-AL"/>
        </w:rPr>
      </w:pPr>
      <w:r w:rsidRPr="00236F04">
        <w:rPr>
          <w:rFonts w:ascii="Times New Roman" w:eastAsia="Calibri" w:hAnsi="Times New Roman" w:cs="Times New Roman"/>
          <w:sz w:val="24"/>
          <w:szCs w:val="24"/>
          <w:lang w:val="sq-AL"/>
        </w:rPr>
        <w:t>Mbështetur në të dhënat që disponon AKP-ja nga monitorimet e realizuara në terren,  si dhe tëdhënat e raportuara nga strukturat e pyjeve pranë Njësive të Vetqeverisje Vendore për vitin 2024 si dhe invetari i kullotave te rrealizuar vite më parë rezulton se: bimësia e fondi kullosor nuk është e prekur nga dëmtues dhe sëmundje të ndryshme.</w:t>
      </w:r>
    </w:p>
    <w:p w:rsidR="00D60B7B" w:rsidRDefault="00D60B7B" w:rsidP="00D60B7B">
      <w:pPr>
        <w:spacing w:after="0" w:line="240" w:lineRule="auto"/>
        <w:contextualSpacing/>
        <w:jc w:val="both"/>
        <w:rPr>
          <w:rFonts w:ascii="Times New Roman" w:eastAsia="Calibri" w:hAnsi="Times New Roman" w:cs="Times New Roman"/>
          <w:sz w:val="24"/>
          <w:szCs w:val="24"/>
          <w:lang w:val="sq-AL"/>
        </w:rPr>
      </w:pPr>
    </w:p>
    <w:p w:rsidR="00236F04" w:rsidRPr="00236F04" w:rsidRDefault="00236F04" w:rsidP="00D60B7B">
      <w:pPr>
        <w:spacing w:after="0" w:line="240" w:lineRule="auto"/>
        <w:contextualSpacing/>
        <w:jc w:val="both"/>
        <w:rPr>
          <w:rFonts w:ascii="Times New Roman" w:eastAsia="Calibri" w:hAnsi="Times New Roman" w:cs="Times New Roman"/>
          <w:b/>
          <w:bCs/>
          <w:sz w:val="24"/>
          <w:szCs w:val="24"/>
          <w:lang w:val="sq-AL"/>
        </w:rPr>
      </w:pPr>
      <w:r w:rsidRPr="00236F04">
        <w:rPr>
          <w:rFonts w:ascii="Times New Roman" w:eastAsia="Calibri" w:hAnsi="Times New Roman" w:cs="Times New Roman"/>
          <w:b/>
          <w:bCs/>
          <w:sz w:val="24"/>
          <w:szCs w:val="24"/>
          <w:lang w:val="sq-AL"/>
        </w:rPr>
        <w:t>Sipërfaqet e përshkruara dhe të djegura nga zjaret.</w:t>
      </w:r>
    </w:p>
    <w:p w:rsidR="00236F04" w:rsidRPr="00236F04" w:rsidRDefault="00236F04" w:rsidP="00236F04">
      <w:pPr>
        <w:spacing w:after="0" w:line="240" w:lineRule="auto"/>
        <w:jc w:val="both"/>
        <w:rPr>
          <w:rFonts w:ascii="Times New Roman" w:eastAsia="Calibri" w:hAnsi="Times New Roman" w:cs="Times New Roman"/>
          <w:b/>
          <w:bCs/>
          <w:sz w:val="24"/>
          <w:szCs w:val="24"/>
          <w:lang w:val="sq-AL"/>
        </w:rPr>
      </w:pPr>
    </w:p>
    <w:p w:rsidR="00236F04" w:rsidRPr="00236F04" w:rsidRDefault="00236F04" w:rsidP="00236F04">
      <w:pPr>
        <w:spacing w:after="0" w:line="240" w:lineRule="auto"/>
        <w:jc w:val="both"/>
        <w:rPr>
          <w:rFonts w:ascii="Times New Roman" w:eastAsia="Calibri" w:hAnsi="Times New Roman" w:cs="Times New Roman"/>
          <w:sz w:val="24"/>
          <w:szCs w:val="24"/>
          <w:lang w:val="sq-AL"/>
        </w:rPr>
      </w:pPr>
      <w:r w:rsidRPr="00236F04">
        <w:rPr>
          <w:rFonts w:ascii="Times New Roman" w:eastAsia="Calibri" w:hAnsi="Times New Roman" w:cs="Times New Roman"/>
          <w:sz w:val="24"/>
          <w:szCs w:val="24"/>
          <w:lang w:val="sq-AL"/>
        </w:rPr>
        <w:t>Ky tregues është i trejtuar bashkë me sipërfaqet e djeguar për findin pyjor.</w:t>
      </w:r>
    </w:p>
    <w:p w:rsidR="00236F04" w:rsidRPr="00236F04" w:rsidRDefault="00236F04" w:rsidP="00236F04">
      <w:pPr>
        <w:spacing w:after="0" w:line="240" w:lineRule="auto"/>
        <w:jc w:val="both"/>
        <w:rPr>
          <w:rFonts w:ascii="Times New Roman" w:eastAsia="Calibri" w:hAnsi="Times New Roman" w:cs="Times New Roman"/>
          <w:sz w:val="24"/>
          <w:szCs w:val="24"/>
          <w:lang w:val="sq-AL"/>
        </w:rPr>
      </w:pPr>
      <w:r w:rsidRPr="00236F04">
        <w:rPr>
          <w:rFonts w:ascii="Times New Roman" w:eastAsia="Calibri" w:hAnsi="Times New Roman" w:cs="Times New Roman"/>
          <w:sz w:val="24"/>
          <w:szCs w:val="24"/>
          <w:lang w:val="sq-AL"/>
        </w:rPr>
        <w:t xml:space="preserve"> </w:t>
      </w:r>
    </w:p>
    <w:p w:rsidR="00236F04" w:rsidRPr="00236F04" w:rsidRDefault="00236F04" w:rsidP="00236F04">
      <w:pPr>
        <w:spacing w:after="0" w:line="240" w:lineRule="auto"/>
        <w:jc w:val="both"/>
        <w:rPr>
          <w:rFonts w:ascii="Times New Roman" w:eastAsia="Calibri" w:hAnsi="Times New Roman" w:cs="Times New Roman"/>
          <w:b/>
          <w:bCs/>
          <w:sz w:val="24"/>
          <w:szCs w:val="24"/>
          <w:lang w:val="sq-AL"/>
        </w:rPr>
      </w:pPr>
      <w:r w:rsidRPr="00236F04">
        <w:rPr>
          <w:rFonts w:ascii="Times New Roman" w:eastAsia="Calibri" w:hAnsi="Times New Roman" w:cs="Times New Roman"/>
          <w:b/>
          <w:bCs/>
          <w:sz w:val="24"/>
          <w:szCs w:val="24"/>
          <w:lang w:val="sq-AL"/>
        </w:rPr>
        <w:t>Disa tregues të monitoruar sipas të dhënave të grumbulluara dhe përpunuara.</w:t>
      </w:r>
    </w:p>
    <w:p w:rsidR="00236F04" w:rsidRPr="00236F04" w:rsidRDefault="00236F04" w:rsidP="00236F04">
      <w:pPr>
        <w:spacing w:after="0" w:line="240" w:lineRule="auto"/>
        <w:jc w:val="center"/>
        <w:rPr>
          <w:rFonts w:ascii="Times New Roman" w:eastAsia="Calibri" w:hAnsi="Times New Roman" w:cs="Times New Roman"/>
          <w:b/>
          <w:bCs/>
          <w:sz w:val="28"/>
          <w:szCs w:val="28"/>
          <w:lang w:val="sq-AL"/>
        </w:rPr>
      </w:pPr>
    </w:p>
    <w:tbl>
      <w:tblPr>
        <w:tblW w:w="10626" w:type="dxa"/>
        <w:tblLook w:val="04A0" w:firstRow="1" w:lastRow="0" w:firstColumn="1" w:lastColumn="0" w:noHBand="0" w:noVBand="1"/>
      </w:tblPr>
      <w:tblGrid>
        <w:gridCol w:w="1466"/>
        <w:gridCol w:w="1710"/>
        <w:gridCol w:w="1420"/>
        <w:gridCol w:w="1071"/>
        <w:gridCol w:w="1466"/>
        <w:gridCol w:w="1366"/>
        <w:gridCol w:w="761"/>
        <w:gridCol w:w="1366"/>
      </w:tblGrid>
      <w:tr w:rsidR="00236F04" w:rsidRPr="00236F04" w:rsidTr="00236F04">
        <w:trPr>
          <w:trHeight w:val="300"/>
        </w:trPr>
        <w:tc>
          <w:tcPr>
            <w:tcW w:w="10626" w:type="dxa"/>
            <w:gridSpan w:val="8"/>
            <w:tcBorders>
              <w:top w:val="single" w:sz="4" w:space="0" w:color="auto"/>
              <w:left w:val="single" w:sz="4" w:space="0" w:color="auto"/>
              <w:bottom w:val="single" w:sz="4" w:space="0" w:color="auto"/>
              <w:right w:val="single" w:sz="4" w:space="0" w:color="auto"/>
            </w:tcBorders>
            <w:noWrap/>
            <w:hideMark/>
          </w:tcPr>
          <w:p w:rsidR="00236F04" w:rsidRPr="00236F04" w:rsidRDefault="00236F04" w:rsidP="00236F04">
            <w:pPr>
              <w:spacing w:after="0" w:line="240" w:lineRule="auto"/>
              <w:jc w:val="center"/>
              <w:rPr>
                <w:rFonts w:ascii="Times New Roman" w:eastAsia="Times New Roman" w:hAnsi="Times New Roman" w:cs="Times New Roman"/>
                <w:b/>
                <w:bCs/>
                <w:color w:val="000000"/>
                <w:sz w:val="20"/>
                <w:szCs w:val="20"/>
                <w:lang w:val="sq-AL"/>
              </w:rPr>
            </w:pPr>
            <w:r w:rsidRPr="00236F04">
              <w:rPr>
                <w:rFonts w:ascii="Times New Roman" w:eastAsia="Times New Roman" w:hAnsi="Times New Roman" w:cs="Times New Roman"/>
                <w:b/>
                <w:bCs/>
                <w:color w:val="000000"/>
                <w:sz w:val="20"/>
                <w:szCs w:val="20"/>
                <w:lang w:val="sq-AL"/>
              </w:rPr>
              <w:t>Të ardhurat nga aktivitetet në pyje e kullota (në lek ) 2025</w:t>
            </w:r>
          </w:p>
        </w:tc>
      </w:tr>
      <w:tr w:rsidR="00236F04" w:rsidRPr="00236F04" w:rsidTr="00236F04">
        <w:trPr>
          <w:trHeight w:val="495"/>
        </w:trPr>
        <w:tc>
          <w:tcPr>
            <w:tcW w:w="1466" w:type="dxa"/>
            <w:tcBorders>
              <w:top w:val="nil"/>
              <w:left w:val="single" w:sz="4" w:space="0" w:color="auto"/>
              <w:bottom w:val="single" w:sz="4" w:space="0" w:color="auto"/>
              <w:right w:val="single" w:sz="4" w:space="0" w:color="auto"/>
            </w:tcBorders>
            <w:hideMark/>
          </w:tcPr>
          <w:p w:rsidR="00236F04" w:rsidRPr="00236F04" w:rsidRDefault="00236F04" w:rsidP="00236F04">
            <w:pPr>
              <w:spacing w:after="0" w:line="240" w:lineRule="auto"/>
              <w:rPr>
                <w:rFonts w:ascii="Times New Roman" w:eastAsia="Times New Roman" w:hAnsi="Times New Roman" w:cs="Times New Roman"/>
                <w:b/>
                <w:bCs/>
                <w:color w:val="000000"/>
                <w:sz w:val="20"/>
                <w:szCs w:val="20"/>
              </w:rPr>
            </w:pPr>
            <w:r w:rsidRPr="00236F04">
              <w:rPr>
                <w:rFonts w:ascii="Times New Roman" w:eastAsia="Times New Roman" w:hAnsi="Times New Roman" w:cs="Times New Roman"/>
                <w:b/>
                <w:bCs/>
                <w:color w:val="000000"/>
                <w:sz w:val="20"/>
                <w:szCs w:val="20"/>
              </w:rPr>
              <w:t>Total</w:t>
            </w:r>
          </w:p>
        </w:tc>
        <w:tc>
          <w:tcPr>
            <w:tcW w:w="1710" w:type="dxa"/>
            <w:tcBorders>
              <w:top w:val="nil"/>
              <w:left w:val="nil"/>
              <w:bottom w:val="single" w:sz="4" w:space="0" w:color="auto"/>
              <w:right w:val="single" w:sz="4" w:space="0" w:color="auto"/>
            </w:tcBorders>
            <w:hideMark/>
          </w:tcPr>
          <w:p w:rsidR="00236F04" w:rsidRPr="00236F04" w:rsidRDefault="00236F04" w:rsidP="00236F04">
            <w:pPr>
              <w:spacing w:after="0" w:line="240" w:lineRule="auto"/>
              <w:rPr>
                <w:rFonts w:ascii="Times New Roman" w:eastAsia="Times New Roman" w:hAnsi="Times New Roman" w:cs="Times New Roman"/>
                <w:b/>
                <w:bCs/>
                <w:color w:val="000000"/>
                <w:sz w:val="20"/>
                <w:szCs w:val="20"/>
              </w:rPr>
            </w:pPr>
            <w:r w:rsidRPr="00236F04">
              <w:rPr>
                <w:rFonts w:ascii="Times New Roman" w:eastAsia="Times New Roman" w:hAnsi="Times New Roman" w:cs="Times New Roman"/>
                <w:b/>
                <w:bCs/>
                <w:color w:val="000000"/>
                <w:sz w:val="20"/>
                <w:szCs w:val="20"/>
              </w:rPr>
              <w:t>L.punimi dru zjarri</w:t>
            </w:r>
          </w:p>
        </w:tc>
        <w:tc>
          <w:tcPr>
            <w:tcW w:w="1420" w:type="dxa"/>
            <w:tcBorders>
              <w:top w:val="nil"/>
              <w:left w:val="nil"/>
              <w:bottom w:val="single" w:sz="4" w:space="0" w:color="auto"/>
              <w:right w:val="single" w:sz="4" w:space="0" w:color="auto"/>
            </w:tcBorders>
            <w:hideMark/>
          </w:tcPr>
          <w:p w:rsidR="00236F04" w:rsidRPr="00236F04" w:rsidRDefault="00236F04" w:rsidP="00236F04">
            <w:pPr>
              <w:spacing w:after="0" w:line="240" w:lineRule="auto"/>
              <w:rPr>
                <w:rFonts w:ascii="Times New Roman" w:eastAsia="Times New Roman" w:hAnsi="Times New Roman" w:cs="Times New Roman"/>
                <w:b/>
                <w:bCs/>
                <w:color w:val="000000"/>
                <w:sz w:val="20"/>
                <w:szCs w:val="20"/>
              </w:rPr>
            </w:pPr>
            <w:r w:rsidRPr="00236F04">
              <w:rPr>
                <w:rFonts w:ascii="Times New Roman" w:eastAsia="Times New Roman" w:hAnsi="Times New Roman" w:cs="Times New Roman"/>
                <w:b/>
                <w:bCs/>
                <w:color w:val="000000"/>
                <w:sz w:val="20"/>
                <w:szCs w:val="20"/>
              </w:rPr>
              <w:t>P. të dyta BMTE</w:t>
            </w:r>
          </w:p>
        </w:tc>
        <w:tc>
          <w:tcPr>
            <w:tcW w:w="1071" w:type="dxa"/>
            <w:tcBorders>
              <w:top w:val="nil"/>
              <w:left w:val="nil"/>
              <w:bottom w:val="single" w:sz="4" w:space="0" w:color="auto"/>
              <w:right w:val="single" w:sz="4" w:space="0" w:color="auto"/>
            </w:tcBorders>
            <w:hideMark/>
          </w:tcPr>
          <w:p w:rsidR="00236F04" w:rsidRPr="00236F04" w:rsidRDefault="00236F04" w:rsidP="00236F04">
            <w:pPr>
              <w:spacing w:after="0" w:line="240" w:lineRule="auto"/>
              <w:rPr>
                <w:rFonts w:ascii="Times New Roman" w:eastAsia="Times New Roman" w:hAnsi="Times New Roman" w:cs="Times New Roman"/>
                <w:b/>
                <w:bCs/>
                <w:color w:val="000000"/>
                <w:sz w:val="20"/>
                <w:szCs w:val="20"/>
              </w:rPr>
            </w:pPr>
            <w:r w:rsidRPr="00236F04">
              <w:rPr>
                <w:rFonts w:ascii="Times New Roman" w:eastAsia="Times New Roman" w:hAnsi="Times New Roman" w:cs="Times New Roman"/>
                <w:b/>
                <w:bCs/>
                <w:color w:val="000000"/>
                <w:sz w:val="20"/>
                <w:szCs w:val="20"/>
              </w:rPr>
              <w:t>Dëme, gjoba</w:t>
            </w:r>
          </w:p>
        </w:tc>
        <w:tc>
          <w:tcPr>
            <w:tcW w:w="1466" w:type="dxa"/>
            <w:tcBorders>
              <w:top w:val="nil"/>
              <w:left w:val="nil"/>
              <w:bottom w:val="single" w:sz="4" w:space="0" w:color="auto"/>
              <w:right w:val="single" w:sz="4" w:space="0" w:color="auto"/>
            </w:tcBorders>
            <w:hideMark/>
          </w:tcPr>
          <w:p w:rsidR="00236F04" w:rsidRPr="00236F04" w:rsidRDefault="00236F04" w:rsidP="00236F04">
            <w:pPr>
              <w:spacing w:after="0" w:line="240" w:lineRule="auto"/>
              <w:rPr>
                <w:rFonts w:ascii="Times New Roman" w:eastAsia="Times New Roman" w:hAnsi="Times New Roman" w:cs="Times New Roman"/>
                <w:b/>
                <w:bCs/>
                <w:color w:val="000000"/>
                <w:sz w:val="20"/>
                <w:szCs w:val="20"/>
              </w:rPr>
            </w:pPr>
            <w:r w:rsidRPr="00236F04">
              <w:rPr>
                <w:rFonts w:ascii="Times New Roman" w:eastAsia="Times New Roman" w:hAnsi="Times New Roman" w:cs="Times New Roman"/>
                <w:b/>
                <w:bCs/>
                <w:color w:val="000000"/>
                <w:sz w:val="20"/>
                <w:szCs w:val="20"/>
              </w:rPr>
              <w:t>Sip. në përdorim</w:t>
            </w:r>
          </w:p>
        </w:tc>
        <w:tc>
          <w:tcPr>
            <w:tcW w:w="1366" w:type="dxa"/>
            <w:tcBorders>
              <w:top w:val="nil"/>
              <w:left w:val="nil"/>
              <w:bottom w:val="single" w:sz="4" w:space="0" w:color="auto"/>
              <w:right w:val="single" w:sz="4" w:space="0" w:color="auto"/>
            </w:tcBorders>
            <w:hideMark/>
          </w:tcPr>
          <w:p w:rsidR="00236F04" w:rsidRPr="00236F04" w:rsidRDefault="00236F04" w:rsidP="00236F04">
            <w:pPr>
              <w:spacing w:after="0" w:line="240" w:lineRule="auto"/>
              <w:rPr>
                <w:rFonts w:ascii="Times New Roman" w:eastAsia="Times New Roman" w:hAnsi="Times New Roman" w:cs="Times New Roman"/>
                <w:b/>
                <w:bCs/>
                <w:color w:val="000000"/>
                <w:sz w:val="20"/>
                <w:szCs w:val="20"/>
              </w:rPr>
            </w:pPr>
            <w:r w:rsidRPr="00236F04">
              <w:rPr>
                <w:rFonts w:ascii="Times New Roman" w:eastAsia="Times New Roman" w:hAnsi="Times New Roman" w:cs="Times New Roman"/>
                <w:b/>
                <w:bCs/>
                <w:color w:val="000000"/>
                <w:sz w:val="20"/>
                <w:szCs w:val="20"/>
              </w:rPr>
              <w:t xml:space="preserve">Konçesione </w:t>
            </w:r>
          </w:p>
        </w:tc>
        <w:tc>
          <w:tcPr>
            <w:tcW w:w="761" w:type="dxa"/>
            <w:tcBorders>
              <w:top w:val="nil"/>
              <w:left w:val="nil"/>
              <w:bottom w:val="single" w:sz="4" w:space="0" w:color="auto"/>
              <w:right w:val="single" w:sz="4" w:space="0" w:color="auto"/>
            </w:tcBorders>
            <w:hideMark/>
          </w:tcPr>
          <w:p w:rsidR="00236F04" w:rsidRPr="00236F04" w:rsidRDefault="00236F04" w:rsidP="00236F04">
            <w:pPr>
              <w:spacing w:after="0" w:line="240" w:lineRule="auto"/>
              <w:rPr>
                <w:rFonts w:ascii="Times New Roman" w:eastAsia="Times New Roman" w:hAnsi="Times New Roman" w:cs="Times New Roman"/>
                <w:b/>
                <w:bCs/>
                <w:color w:val="000000"/>
                <w:sz w:val="20"/>
                <w:szCs w:val="20"/>
              </w:rPr>
            </w:pPr>
            <w:r w:rsidRPr="00236F04">
              <w:rPr>
                <w:rFonts w:ascii="Times New Roman" w:eastAsia="Times New Roman" w:hAnsi="Times New Roman" w:cs="Times New Roman"/>
                <w:b/>
                <w:bCs/>
                <w:color w:val="000000"/>
                <w:sz w:val="20"/>
                <w:szCs w:val="20"/>
              </w:rPr>
              <w:t>Gjueti</w:t>
            </w:r>
          </w:p>
        </w:tc>
        <w:tc>
          <w:tcPr>
            <w:tcW w:w="1366" w:type="dxa"/>
            <w:tcBorders>
              <w:top w:val="nil"/>
              <w:left w:val="nil"/>
              <w:bottom w:val="single" w:sz="4" w:space="0" w:color="auto"/>
              <w:right w:val="single" w:sz="4" w:space="0" w:color="auto"/>
            </w:tcBorders>
            <w:hideMark/>
          </w:tcPr>
          <w:p w:rsidR="00236F04" w:rsidRPr="00236F04" w:rsidRDefault="00236F04" w:rsidP="00236F04">
            <w:pPr>
              <w:spacing w:after="0" w:line="240" w:lineRule="auto"/>
              <w:rPr>
                <w:rFonts w:ascii="Times New Roman" w:eastAsia="Times New Roman" w:hAnsi="Times New Roman" w:cs="Times New Roman"/>
                <w:b/>
                <w:bCs/>
                <w:color w:val="000000"/>
                <w:sz w:val="20"/>
                <w:szCs w:val="20"/>
              </w:rPr>
            </w:pPr>
            <w:r w:rsidRPr="00236F04">
              <w:rPr>
                <w:rFonts w:ascii="Times New Roman" w:eastAsia="Times New Roman" w:hAnsi="Times New Roman" w:cs="Times New Roman"/>
                <w:b/>
                <w:bCs/>
                <w:color w:val="000000"/>
                <w:sz w:val="20"/>
                <w:szCs w:val="20"/>
              </w:rPr>
              <w:t>Të tjera</w:t>
            </w:r>
          </w:p>
        </w:tc>
      </w:tr>
      <w:tr w:rsidR="00236F04" w:rsidRPr="00236F04" w:rsidTr="00236F04">
        <w:trPr>
          <w:trHeight w:val="143"/>
        </w:trPr>
        <w:tc>
          <w:tcPr>
            <w:tcW w:w="1466" w:type="dxa"/>
            <w:tcBorders>
              <w:top w:val="nil"/>
              <w:left w:val="single" w:sz="4" w:space="0" w:color="auto"/>
              <w:bottom w:val="single" w:sz="4" w:space="0" w:color="auto"/>
              <w:right w:val="single" w:sz="4" w:space="0" w:color="auto"/>
            </w:tcBorders>
            <w:noWrap/>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 48,620,278.73 </w:t>
            </w:r>
          </w:p>
        </w:tc>
        <w:tc>
          <w:tcPr>
            <w:tcW w:w="1710" w:type="dxa"/>
            <w:tcBorders>
              <w:top w:val="nil"/>
              <w:left w:val="nil"/>
              <w:bottom w:val="single" w:sz="4" w:space="0" w:color="auto"/>
              <w:right w:val="single" w:sz="4" w:space="0" w:color="auto"/>
            </w:tcBorders>
            <w:noWrap/>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      24,939,704.20 </w:t>
            </w:r>
          </w:p>
        </w:tc>
        <w:tc>
          <w:tcPr>
            <w:tcW w:w="1420" w:type="dxa"/>
            <w:tcBorders>
              <w:top w:val="nil"/>
              <w:left w:val="nil"/>
              <w:bottom w:val="single" w:sz="4" w:space="0" w:color="auto"/>
              <w:right w:val="single" w:sz="4" w:space="0" w:color="auto"/>
            </w:tcBorders>
            <w:noWrap/>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      415,200.00 </w:t>
            </w:r>
          </w:p>
        </w:tc>
        <w:tc>
          <w:tcPr>
            <w:tcW w:w="1071" w:type="dxa"/>
            <w:tcBorders>
              <w:top w:val="nil"/>
              <w:left w:val="nil"/>
              <w:bottom w:val="single" w:sz="4" w:space="0" w:color="auto"/>
              <w:right w:val="single" w:sz="4" w:space="0" w:color="auto"/>
            </w:tcBorders>
            <w:noWrap/>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 30,000.00 </w:t>
            </w:r>
          </w:p>
        </w:tc>
        <w:tc>
          <w:tcPr>
            <w:tcW w:w="1466" w:type="dxa"/>
            <w:tcBorders>
              <w:top w:val="nil"/>
              <w:left w:val="nil"/>
              <w:bottom w:val="single" w:sz="4" w:space="0" w:color="auto"/>
              <w:right w:val="single" w:sz="4" w:space="0" w:color="auto"/>
            </w:tcBorders>
            <w:noWrap/>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 54,419,157.51 </w:t>
            </w:r>
          </w:p>
        </w:tc>
        <w:tc>
          <w:tcPr>
            <w:tcW w:w="1366" w:type="dxa"/>
            <w:tcBorders>
              <w:top w:val="nil"/>
              <w:left w:val="nil"/>
              <w:bottom w:val="single" w:sz="4" w:space="0" w:color="auto"/>
              <w:right w:val="single" w:sz="4" w:space="0" w:color="auto"/>
            </w:tcBorders>
            <w:noWrap/>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 6,146,659.00 </w:t>
            </w:r>
          </w:p>
        </w:tc>
        <w:tc>
          <w:tcPr>
            <w:tcW w:w="761" w:type="dxa"/>
            <w:tcBorders>
              <w:top w:val="nil"/>
              <w:left w:val="nil"/>
              <w:bottom w:val="single" w:sz="4" w:space="0" w:color="auto"/>
              <w:right w:val="single" w:sz="4" w:space="0" w:color="auto"/>
            </w:tcBorders>
            <w:noWrap/>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w:t>
            </w:r>
          </w:p>
        </w:tc>
        <w:tc>
          <w:tcPr>
            <w:tcW w:w="1366" w:type="dxa"/>
            <w:tcBorders>
              <w:top w:val="nil"/>
              <w:left w:val="nil"/>
              <w:bottom w:val="single" w:sz="4" w:space="0" w:color="auto"/>
              <w:right w:val="single" w:sz="4" w:space="0" w:color="auto"/>
            </w:tcBorders>
            <w:noWrap/>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13,314,027.80 </w:t>
            </w:r>
          </w:p>
        </w:tc>
      </w:tr>
    </w:tbl>
    <w:p w:rsidR="00236F04" w:rsidRPr="00236F04" w:rsidRDefault="00236F04" w:rsidP="00236F04">
      <w:pPr>
        <w:spacing w:after="0" w:line="240" w:lineRule="auto"/>
        <w:jc w:val="center"/>
        <w:rPr>
          <w:rFonts w:ascii="Times New Roman" w:eastAsia="Calibri" w:hAnsi="Times New Roman" w:cs="Times New Roman"/>
          <w:b/>
          <w:bCs/>
          <w:sz w:val="24"/>
          <w:szCs w:val="24"/>
          <w:lang w:val="sq-AL"/>
        </w:rPr>
      </w:pPr>
    </w:p>
    <w:tbl>
      <w:tblPr>
        <w:tblW w:w="9274" w:type="dxa"/>
        <w:tblLook w:val="04A0" w:firstRow="1" w:lastRow="0" w:firstColumn="1" w:lastColumn="0" w:noHBand="0" w:noVBand="1"/>
      </w:tblPr>
      <w:tblGrid>
        <w:gridCol w:w="1412"/>
        <w:gridCol w:w="1066"/>
        <w:gridCol w:w="1227"/>
        <w:gridCol w:w="1194"/>
        <w:gridCol w:w="1061"/>
        <w:gridCol w:w="982"/>
        <w:gridCol w:w="1027"/>
        <w:gridCol w:w="1305"/>
      </w:tblGrid>
      <w:tr w:rsidR="00236F04" w:rsidRPr="00236F04" w:rsidTr="00236F04">
        <w:trPr>
          <w:trHeight w:val="315"/>
        </w:trPr>
        <w:tc>
          <w:tcPr>
            <w:tcW w:w="9274" w:type="dxa"/>
            <w:gridSpan w:val="8"/>
            <w:tcBorders>
              <w:top w:val="single" w:sz="4" w:space="0" w:color="auto"/>
              <w:left w:val="single" w:sz="4" w:space="0" w:color="auto"/>
              <w:bottom w:val="single" w:sz="4" w:space="0" w:color="auto"/>
              <w:right w:val="single" w:sz="4" w:space="0" w:color="000000"/>
            </w:tcBorders>
            <w:vAlign w:val="bottom"/>
            <w:hideMark/>
          </w:tcPr>
          <w:p w:rsidR="00236F04" w:rsidRPr="00236F04" w:rsidRDefault="00236F04" w:rsidP="00236F04">
            <w:pPr>
              <w:spacing w:after="0" w:line="240" w:lineRule="auto"/>
              <w:jc w:val="center"/>
              <w:rPr>
                <w:rFonts w:ascii="Times New Roman" w:eastAsia="Times New Roman" w:hAnsi="Times New Roman" w:cs="Times New Roman"/>
                <w:b/>
                <w:bCs/>
                <w:color w:val="000000"/>
                <w:sz w:val="24"/>
                <w:szCs w:val="24"/>
              </w:rPr>
            </w:pPr>
            <w:r w:rsidRPr="00236F04">
              <w:rPr>
                <w:rFonts w:ascii="Times New Roman" w:eastAsia="Times New Roman" w:hAnsi="Times New Roman" w:cs="Times New Roman"/>
                <w:b/>
                <w:bCs/>
                <w:color w:val="000000"/>
                <w:sz w:val="24"/>
                <w:szCs w:val="24"/>
              </w:rPr>
              <w:t xml:space="preserve">Investimet në fondin pyjor e kullosor </w:t>
            </w:r>
            <w:r w:rsidRPr="00236F04">
              <w:rPr>
                <w:rFonts w:ascii="Times New Roman" w:eastAsia="Times New Roman" w:hAnsi="Times New Roman" w:cs="Times New Roman"/>
                <w:b/>
                <w:bCs/>
                <w:color w:val="000000"/>
                <w:sz w:val="20"/>
                <w:szCs w:val="20"/>
                <w:lang w:val="sq-AL"/>
              </w:rPr>
              <w:t xml:space="preserve">(në lek) </w:t>
            </w:r>
            <w:r w:rsidRPr="00236F04">
              <w:rPr>
                <w:rFonts w:ascii="Times New Roman" w:eastAsia="Times New Roman" w:hAnsi="Times New Roman" w:cs="Times New Roman"/>
                <w:b/>
                <w:bCs/>
                <w:color w:val="000000"/>
                <w:sz w:val="24"/>
                <w:szCs w:val="24"/>
              </w:rPr>
              <w:t>2025</w:t>
            </w:r>
          </w:p>
        </w:tc>
      </w:tr>
      <w:tr w:rsidR="00236F04" w:rsidRPr="00236F04" w:rsidTr="00236F04">
        <w:trPr>
          <w:trHeight w:val="485"/>
        </w:trPr>
        <w:tc>
          <w:tcPr>
            <w:tcW w:w="1412" w:type="dxa"/>
            <w:tcBorders>
              <w:top w:val="single" w:sz="4" w:space="0" w:color="auto"/>
              <w:left w:val="single" w:sz="4" w:space="0" w:color="auto"/>
              <w:bottom w:val="single" w:sz="4" w:space="0" w:color="auto"/>
              <w:right w:val="single" w:sz="4" w:space="0" w:color="auto"/>
            </w:tcBorders>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Total</w:t>
            </w:r>
          </w:p>
        </w:tc>
        <w:tc>
          <w:tcPr>
            <w:tcW w:w="1066" w:type="dxa"/>
            <w:tcBorders>
              <w:top w:val="single" w:sz="4" w:space="0" w:color="auto"/>
              <w:left w:val="nil"/>
              <w:bottom w:val="single" w:sz="4" w:space="0" w:color="auto"/>
              <w:right w:val="nil"/>
            </w:tcBorders>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Pyllëzime, total në lek</w:t>
            </w:r>
          </w:p>
        </w:tc>
        <w:tc>
          <w:tcPr>
            <w:tcW w:w="122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Përmirësime</w:t>
            </w:r>
          </w:p>
        </w:tc>
        <w:tc>
          <w:tcPr>
            <w:tcW w:w="1194" w:type="dxa"/>
            <w:tcBorders>
              <w:top w:val="single" w:sz="4" w:space="0" w:color="auto"/>
              <w:left w:val="nil"/>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Shfrytëzime</w:t>
            </w:r>
          </w:p>
        </w:tc>
        <w:tc>
          <w:tcPr>
            <w:tcW w:w="1061" w:type="dxa"/>
            <w:tcBorders>
              <w:top w:val="single" w:sz="4" w:space="0" w:color="auto"/>
              <w:left w:val="nil"/>
              <w:bottom w:val="single" w:sz="4" w:space="0" w:color="auto"/>
              <w:right w:val="single" w:sz="4" w:space="0" w:color="auto"/>
            </w:tcBorders>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Sistemime malore</w:t>
            </w:r>
          </w:p>
        </w:tc>
        <w:tc>
          <w:tcPr>
            <w:tcW w:w="982" w:type="dxa"/>
            <w:tcBorders>
              <w:top w:val="single" w:sz="4" w:space="0" w:color="auto"/>
              <w:left w:val="nil"/>
              <w:bottom w:val="single" w:sz="4" w:space="0" w:color="auto"/>
              <w:right w:val="single" w:sz="4" w:space="0" w:color="auto"/>
            </w:tcBorders>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Punime në kullota</w:t>
            </w:r>
          </w:p>
        </w:tc>
        <w:tc>
          <w:tcPr>
            <w:tcW w:w="1027" w:type="dxa"/>
            <w:tcBorders>
              <w:top w:val="single" w:sz="4" w:space="0" w:color="auto"/>
              <w:left w:val="nil"/>
              <w:bottom w:val="single" w:sz="4" w:space="0" w:color="auto"/>
              <w:right w:val="single" w:sz="4" w:space="0" w:color="auto"/>
            </w:tcBorders>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Ndërtim/ riparim lere</w:t>
            </w:r>
          </w:p>
        </w:tc>
        <w:tc>
          <w:tcPr>
            <w:tcW w:w="1305" w:type="dxa"/>
            <w:tcBorders>
              <w:top w:val="single" w:sz="4" w:space="0" w:color="auto"/>
              <w:left w:val="nil"/>
              <w:bottom w:val="single" w:sz="4" w:space="0" w:color="auto"/>
              <w:right w:val="single" w:sz="4" w:space="0" w:color="auto"/>
            </w:tcBorders>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Investime  infrastrukture</w:t>
            </w:r>
          </w:p>
        </w:tc>
      </w:tr>
      <w:tr w:rsidR="00236F04" w:rsidRPr="00236F04" w:rsidTr="00236F04">
        <w:trPr>
          <w:trHeight w:val="300"/>
        </w:trPr>
        <w:tc>
          <w:tcPr>
            <w:tcW w:w="1412"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113100565.6</w:t>
            </w:r>
          </w:p>
        </w:tc>
        <w:tc>
          <w:tcPr>
            <w:tcW w:w="1066"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27107668</w:t>
            </w:r>
          </w:p>
        </w:tc>
        <w:tc>
          <w:tcPr>
            <w:tcW w:w="122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11711320</w:t>
            </w:r>
          </w:p>
        </w:tc>
        <w:tc>
          <w:tcPr>
            <w:tcW w:w="1194"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0</w:t>
            </w:r>
          </w:p>
        </w:tc>
        <w:tc>
          <w:tcPr>
            <w:tcW w:w="1061"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349056</w:t>
            </w:r>
          </w:p>
        </w:tc>
        <w:tc>
          <w:tcPr>
            <w:tcW w:w="982"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0</w:t>
            </w:r>
          </w:p>
        </w:tc>
        <w:tc>
          <w:tcPr>
            <w:tcW w:w="102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11337000</w:t>
            </w:r>
          </w:p>
        </w:tc>
        <w:tc>
          <w:tcPr>
            <w:tcW w:w="130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48596356</w:t>
            </w:r>
          </w:p>
        </w:tc>
      </w:tr>
    </w:tbl>
    <w:p w:rsidR="00236F04" w:rsidRPr="00236F04" w:rsidRDefault="00236F04" w:rsidP="00236F04">
      <w:pPr>
        <w:spacing w:after="0" w:line="240" w:lineRule="auto"/>
        <w:jc w:val="both"/>
        <w:rPr>
          <w:rFonts w:ascii="Times New Roman" w:eastAsia="Calibri" w:hAnsi="Times New Roman" w:cs="Times New Roman"/>
          <w:b/>
          <w:bCs/>
          <w:sz w:val="24"/>
          <w:szCs w:val="24"/>
          <w:lang w:val="sq-AL"/>
        </w:rPr>
      </w:pPr>
    </w:p>
    <w:tbl>
      <w:tblPr>
        <w:tblW w:w="8635" w:type="dxa"/>
        <w:tblLook w:val="04A0" w:firstRow="1" w:lastRow="0" w:firstColumn="1" w:lastColumn="0" w:noHBand="0" w:noVBand="1"/>
      </w:tblPr>
      <w:tblGrid>
        <w:gridCol w:w="1161"/>
        <w:gridCol w:w="1076"/>
        <w:gridCol w:w="825"/>
        <w:gridCol w:w="1069"/>
        <w:gridCol w:w="825"/>
        <w:gridCol w:w="1069"/>
        <w:gridCol w:w="900"/>
        <w:gridCol w:w="1710"/>
      </w:tblGrid>
      <w:tr w:rsidR="00236F04" w:rsidRPr="00236F04" w:rsidTr="00236F04">
        <w:trPr>
          <w:trHeight w:val="315"/>
        </w:trPr>
        <w:tc>
          <w:tcPr>
            <w:tcW w:w="8635" w:type="dxa"/>
            <w:gridSpan w:val="8"/>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236F04" w:rsidRPr="00236F04" w:rsidRDefault="00236F04" w:rsidP="00236F04">
            <w:pPr>
              <w:spacing w:after="0" w:line="240" w:lineRule="auto"/>
              <w:jc w:val="center"/>
              <w:rPr>
                <w:rFonts w:ascii="Times New Roman" w:eastAsia="Times New Roman" w:hAnsi="Times New Roman" w:cs="Times New Roman"/>
                <w:b/>
                <w:bCs/>
                <w:color w:val="000000"/>
                <w:sz w:val="24"/>
                <w:szCs w:val="24"/>
              </w:rPr>
            </w:pPr>
            <w:r w:rsidRPr="00236F04">
              <w:rPr>
                <w:rFonts w:ascii="Times New Roman" w:eastAsia="Times New Roman" w:hAnsi="Times New Roman" w:cs="Times New Roman"/>
                <w:b/>
                <w:bCs/>
                <w:color w:val="000000"/>
                <w:sz w:val="24"/>
                <w:szCs w:val="24"/>
              </w:rPr>
              <w:t>Pyllëzimet e realizuara sipas materialit mbjellës</w:t>
            </w:r>
          </w:p>
        </w:tc>
      </w:tr>
      <w:tr w:rsidR="00236F04" w:rsidRPr="00236F04" w:rsidTr="00236F04">
        <w:trPr>
          <w:trHeight w:val="197"/>
        </w:trPr>
        <w:tc>
          <w:tcPr>
            <w:tcW w:w="11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Sipërfaqja e objektit</w:t>
            </w:r>
          </w:p>
        </w:tc>
        <w:tc>
          <w:tcPr>
            <w:tcW w:w="10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Nr. i fidanave të mbjellë</w:t>
            </w:r>
          </w:p>
        </w:tc>
        <w:tc>
          <w:tcPr>
            <w:tcW w:w="3788"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Me fidanë</w:t>
            </w:r>
          </w:p>
        </w:tc>
        <w:tc>
          <w:tcPr>
            <w:tcW w:w="261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Me farë</w:t>
            </w:r>
          </w:p>
        </w:tc>
      </w:tr>
      <w:tr w:rsidR="00236F04" w:rsidRPr="00236F04" w:rsidTr="00236F04">
        <w:trPr>
          <w:trHeight w:val="210"/>
        </w:trPr>
        <w:tc>
          <w:tcPr>
            <w:tcW w:w="1161" w:type="dxa"/>
            <w:vMerge/>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p>
        </w:tc>
        <w:tc>
          <w:tcPr>
            <w:tcW w:w="189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Halorë</w:t>
            </w:r>
          </w:p>
        </w:tc>
        <w:tc>
          <w:tcPr>
            <w:tcW w:w="189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Fletorë </w:t>
            </w:r>
          </w:p>
        </w:tc>
        <w:tc>
          <w:tcPr>
            <w:tcW w:w="261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Halorë+Fletorë</w:t>
            </w:r>
          </w:p>
        </w:tc>
      </w:tr>
      <w:tr w:rsidR="00236F04" w:rsidRPr="00236F04" w:rsidTr="00236F04">
        <w:trPr>
          <w:trHeight w:val="377"/>
        </w:trPr>
        <w:tc>
          <w:tcPr>
            <w:tcW w:w="1161" w:type="dxa"/>
            <w:vMerge/>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p>
        </w:tc>
        <w:tc>
          <w:tcPr>
            <w:tcW w:w="825" w:type="dxa"/>
            <w:tcBorders>
              <w:top w:val="single" w:sz="4"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Sip.ha</w:t>
            </w:r>
          </w:p>
        </w:tc>
        <w:tc>
          <w:tcPr>
            <w:tcW w:w="1069"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Nr. fidanash</w:t>
            </w:r>
          </w:p>
        </w:tc>
        <w:tc>
          <w:tcPr>
            <w:tcW w:w="825" w:type="dxa"/>
            <w:tcBorders>
              <w:top w:val="single" w:sz="4"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Sip.  ha</w:t>
            </w:r>
          </w:p>
        </w:tc>
        <w:tc>
          <w:tcPr>
            <w:tcW w:w="1069"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Nr.  fidanash</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Sip. ha</w:t>
            </w:r>
          </w:p>
        </w:tc>
        <w:tc>
          <w:tcPr>
            <w:tcW w:w="1710" w:type="dxa"/>
            <w:tcBorders>
              <w:top w:val="single" w:sz="4" w:space="0" w:color="auto"/>
              <w:left w:val="nil"/>
              <w:bottom w:val="single" w:sz="4" w:space="0" w:color="auto"/>
              <w:right w:val="single" w:sz="4" w:space="0" w:color="auto"/>
            </w:tcBorders>
            <w:shd w:val="clear" w:color="000000" w:fill="FFFFFF"/>
            <w:vAlign w:val="bottom"/>
            <w:hideMark/>
          </w:tcPr>
          <w:p w:rsidR="00236F04" w:rsidRPr="00236F04" w:rsidRDefault="00236F04" w:rsidP="00236F04">
            <w:pPr>
              <w:spacing w:after="0" w:line="240" w:lineRule="auto"/>
              <w:jc w:val="center"/>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Sasia e  farës (kg)</w:t>
            </w:r>
          </w:p>
        </w:tc>
      </w:tr>
      <w:tr w:rsidR="00236F04" w:rsidRPr="00236F04" w:rsidTr="00236F04">
        <w:trPr>
          <w:trHeight w:val="300"/>
        </w:trPr>
        <w:tc>
          <w:tcPr>
            <w:tcW w:w="1161"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rPr>
            </w:pPr>
            <w:r w:rsidRPr="00236F04">
              <w:rPr>
                <w:rFonts w:ascii="Times New Roman" w:eastAsia="Times New Roman" w:hAnsi="Times New Roman" w:cs="Times New Roman"/>
                <w:color w:val="000000"/>
              </w:rPr>
              <w:t>103.47</w:t>
            </w:r>
          </w:p>
        </w:tc>
        <w:tc>
          <w:tcPr>
            <w:tcW w:w="1076"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rPr>
            </w:pPr>
            <w:r w:rsidRPr="00236F04">
              <w:rPr>
                <w:rFonts w:ascii="Times New Roman" w:eastAsia="Times New Roman" w:hAnsi="Times New Roman" w:cs="Times New Roman"/>
                <w:color w:val="000000"/>
              </w:rPr>
              <w:t>199100</w:t>
            </w:r>
          </w:p>
        </w:tc>
        <w:tc>
          <w:tcPr>
            <w:tcW w:w="82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rPr>
            </w:pPr>
            <w:r w:rsidRPr="00236F04">
              <w:rPr>
                <w:rFonts w:ascii="Times New Roman" w:eastAsia="Times New Roman" w:hAnsi="Times New Roman" w:cs="Times New Roman"/>
                <w:color w:val="000000"/>
              </w:rPr>
              <w:t>53.861</w:t>
            </w:r>
          </w:p>
        </w:tc>
        <w:tc>
          <w:tcPr>
            <w:tcW w:w="1069"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rPr>
            </w:pPr>
            <w:r w:rsidRPr="00236F04">
              <w:rPr>
                <w:rFonts w:ascii="Times New Roman" w:eastAsia="Times New Roman" w:hAnsi="Times New Roman" w:cs="Times New Roman"/>
                <w:color w:val="000000"/>
              </w:rPr>
              <w:t>104072</w:t>
            </w:r>
          </w:p>
        </w:tc>
        <w:tc>
          <w:tcPr>
            <w:tcW w:w="82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rPr>
            </w:pPr>
            <w:r w:rsidRPr="00236F04">
              <w:rPr>
                <w:rFonts w:ascii="Times New Roman" w:eastAsia="Times New Roman" w:hAnsi="Times New Roman" w:cs="Times New Roman"/>
                <w:color w:val="000000"/>
              </w:rPr>
              <w:t>50.269</w:t>
            </w:r>
          </w:p>
        </w:tc>
        <w:tc>
          <w:tcPr>
            <w:tcW w:w="1069"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rPr>
            </w:pPr>
            <w:r w:rsidRPr="00236F04">
              <w:rPr>
                <w:rFonts w:ascii="Times New Roman" w:eastAsia="Times New Roman" w:hAnsi="Times New Roman" w:cs="Times New Roman"/>
                <w:color w:val="000000"/>
              </w:rPr>
              <w:t>89602</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rPr>
            </w:pPr>
            <w:r w:rsidRPr="00236F04">
              <w:rPr>
                <w:rFonts w:ascii="Times New Roman" w:eastAsia="Times New Roman" w:hAnsi="Times New Roman" w:cs="Times New Roman"/>
                <w:color w:val="000000"/>
              </w:rPr>
              <w:t>0</w:t>
            </w:r>
          </w:p>
        </w:tc>
        <w:tc>
          <w:tcPr>
            <w:tcW w:w="171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rPr>
            </w:pPr>
            <w:r w:rsidRPr="00236F04">
              <w:rPr>
                <w:rFonts w:ascii="Times New Roman" w:eastAsia="Times New Roman" w:hAnsi="Times New Roman" w:cs="Times New Roman"/>
                <w:color w:val="000000"/>
              </w:rPr>
              <w:t>0</w:t>
            </w:r>
          </w:p>
        </w:tc>
      </w:tr>
    </w:tbl>
    <w:p w:rsidR="00236F04" w:rsidRPr="00236F04" w:rsidRDefault="00236F04" w:rsidP="00236F04">
      <w:pPr>
        <w:spacing w:after="0" w:line="240" w:lineRule="auto"/>
        <w:jc w:val="both"/>
        <w:rPr>
          <w:rFonts w:ascii="Times New Roman" w:eastAsia="Calibri" w:hAnsi="Times New Roman" w:cs="Times New Roman"/>
          <w:b/>
          <w:bCs/>
          <w:sz w:val="24"/>
          <w:szCs w:val="24"/>
          <w:lang w:val="sq-AL"/>
        </w:rPr>
      </w:pPr>
    </w:p>
    <w:p w:rsidR="00236F04" w:rsidRPr="002A64D6" w:rsidRDefault="00236F04" w:rsidP="00236F04">
      <w:pPr>
        <w:spacing w:after="0" w:line="240" w:lineRule="auto"/>
        <w:jc w:val="both"/>
        <w:rPr>
          <w:rFonts w:ascii="Times New Roman" w:eastAsia="Calibri" w:hAnsi="Times New Roman" w:cs="Times New Roman"/>
          <w:bCs/>
          <w:i/>
          <w:iCs/>
          <w:lang w:val="sq-AL"/>
        </w:rPr>
      </w:pPr>
      <w:r w:rsidRPr="002A64D6">
        <w:rPr>
          <w:rFonts w:ascii="Times New Roman" w:eastAsia="Calibri" w:hAnsi="Times New Roman" w:cs="Times New Roman"/>
          <w:bCs/>
          <w:i/>
          <w:iCs/>
          <w:lang w:val="sq-AL"/>
        </w:rPr>
        <w:t>Shënim: Burimi i të</w:t>
      </w:r>
      <w:r w:rsidR="00B475FE" w:rsidRPr="002A64D6">
        <w:rPr>
          <w:rFonts w:ascii="Times New Roman" w:eastAsia="Calibri" w:hAnsi="Times New Roman" w:cs="Times New Roman"/>
          <w:bCs/>
          <w:i/>
          <w:iCs/>
          <w:lang w:val="sq-AL"/>
        </w:rPr>
        <w:t xml:space="preserve"> </w:t>
      </w:r>
      <w:r w:rsidRPr="002A64D6">
        <w:rPr>
          <w:rFonts w:ascii="Times New Roman" w:eastAsia="Calibri" w:hAnsi="Times New Roman" w:cs="Times New Roman"/>
          <w:bCs/>
          <w:i/>
          <w:iCs/>
          <w:lang w:val="sq-AL"/>
        </w:rPr>
        <w:t>dhënave të  siguruara nga sektori kad</w:t>
      </w:r>
      <w:r w:rsidR="00B475FE" w:rsidRPr="002A64D6">
        <w:rPr>
          <w:rFonts w:ascii="Times New Roman" w:eastAsia="Calibri" w:hAnsi="Times New Roman" w:cs="Times New Roman"/>
          <w:bCs/>
          <w:i/>
          <w:iCs/>
          <w:lang w:val="sq-AL"/>
        </w:rPr>
        <w:t>astrë</w:t>
      </w:r>
      <w:r w:rsidRPr="002A64D6">
        <w:rPr>
          <w:rFonts w:ascii="Times New Roman" w:eastAsia="Calibri" w:hAnsi="Times New Roman" w:cs="Times New Roman"/>
          <w:bCs/>
          <w:i/>
          <w:iCs/>
          <w:lang w:val="sq-AL"/>
        </w:rPr>
        <w:t>s, monit</w:t>
      </w:r>
      <w:r w:rsidR="00B475FE" w:rsidRPr="002A64D6">
        <w:rPr>
          <w:rFonts w:ascii="Times New Roman" w:eastAsia="Calibri" w:hAnsi="Times New Roman" w:cs="Times New Roman"/>
          <w:bCs/>
          <w:i/>
          <w:iCs/>
          <w:lang w:val="sq-AL"/>
        </w:rPr>
        <w:t>orimet e kryera në terren nga përpunimi i të dhënave të</w:t>
      </w:r>
      <w:r w:rsidR="00261BD4" w:rsidRPr="002A64D6">
        <w:rPr>
          <w:rFonts w:ascii="Times New Roman" w:eastAsia="Calibri" w:hAnsi="Times New Roman" w:cs="Times New Roman"/>
          <w:bCs/>
          <w:i/>
          <w:iCs/>
          <w:lang w:val="sq-AL"/>
        </w:rPr>
        <w:t xml:space="preserve"> dë</w:t>
      </w:r>
      <w:r w:rsidRPr="002A64D6">
        <w:rPr>
          <w:rFonts w:ascii="Times New Roman" w:eastAsia="Calibri" w:hAnsi="Times New Roman" w:cs="Times New Roman"/>
          <w:bCs/>
          <w:i/>
          <w:iCs/>
          <w:lang w:val="sq-AL"/>
        </w:rPr>
        <w:t>rguara nga NJVV</w:t>
      </w:r>
      <w:r w:rsidR="00B475FE" w:rsidRPr="002A64D6">
        <w:rPr>
          <w:rFonts w:ascii="Times New Roman" w:eastAsia="Calibri" w:hAnsi="Times New Roman" w:cs="Times New Roman"/>
          <w:bCs/>
          <w:i/>
          <w:iCs/>
          <w:lang w:val="sq-AL"/>
        </w:rPr>
        <w:t xml:space="preserve"> </w:t>
      </w:r>
      <w:r w:rsidRPr="002A64D6">
        <w:rPr>
          <w:rFonts w:ascii="Times New Roman" w:eastAsia="Calibri" w:hAnsi="Times New Roman" w:cs="Times New Roman"/>
          <w:bCs/>
          <w:i/>
          <w:iCs/>
          <w:lang w:val="sq-AL"/>
        </w:rPr>
        <w:t>(Bashkit</w:t>
      </w:r>
      <w:r w:rsidR="00B475FE" w:rsidRPr="002A64D6">
        <w:rPr>
          <w:rFonts w:ascii="Times New Roman" w:eastAsia="Calibri" w:hAnsi="Times New Roman" w:cs="Times New Roman"/>
          <w:bCs/>
          <w:i/>
          <w:iCs/>
          <w:lang w:val="sq-AL"/>
        </w:rPr>
        <w:t>ë</w:t>
      </w:r>
      <w:r w:rsidRPr="002A64D6">
        <w:rPr>
          <w:rFonts w:ascii="Times New Roman" w:eastAsia="Calibri" w:hAnsi="Times New Roman" w:cs="Times New Roman"/>
          <w:bCs/>
          <w:i/>
          <w:iCs/>
          <w:lang w:val="sq-AL"/>
        </w:rPr>
        <w:t>) dhe Agjencia Kombëtare e Zonave të  Mbrojtura.</w:t>
      </w:r>
    </w:p>
    <w:p w:rsidR="00236F04" w:rsidRDefault="00236F04" w:rsidP="00236F04">
      <w:pPr>
        <w:autoSpaceDE w:val="0"/>
        <w:autoSpaceDN w:val="0"/>
        <w:adjustRightInd w:val="0"/>
        <w:spacing w:after="0" w:line="240" w:lineRule="auto"/>
        <w:jc w:val="both"/>
        <w:rPr>
          <w:rFonts w:ascii="Times New Roman" w:eastAsia="Calibri" w:hAnsi="Times New Roman" w:cs="Times New Roman"/>
          <w:sz w:val="24"/>
          <w:szCs w:val="24"/>
          <w:lang w:val="sq-AL"/>
        </w:rPr>
      </w:pPr>
    </w:p>
    <w:p w:rsidR="00D60B7B" w:rsidRPr="00236F04" w:rsidRDefault="00D60B7B" w:rsidP="00236F04">
      <w:pPr>
        <w:autoSpaceDE w:val="0"/>
        <w:autoSpaceDN w:val="0"/>
        <w:adjustRightInd w:val="0"/>
        <w:spacing w:after="0" w:line="240" w:lineRule="auto"/>
        <w:jc w:val="both"/>
        <w:rPr>
          <w:rFonts w:ascii="Times New Roman" w:eastAsia="Calibri" w:hAnsi="Times New Roman" w:cs="Times New Roman"/>
          <w:sz w:val="24"/>
          <w:szCs w:val="24"/>
          <w:lang w:val="sq-AL"/>
        </w:rPr>
      </w:pPr>
    </w:p>
    <w:p w:rsidR="00D60B7B" w:rsidRPr="00D60B7B" w:rsidRDefault="00D60B7B" w:rsidP="00D60B7B">
      <w:pPr>
        <w:keepNext/>
        <w:keepLines/>
        <w:spacing w:after="80" w:line="240" w:lineRule="auto"/>
        <w:outlineLvl w:val="0"/>
        <w:rPr>
          <w:rFonts w:ascii="Times New Roman" w:eastAsia="Times New Roman" w:hAnsi="Times New Roman" w:cs="Times New Roman"/>
          <w:b/>
          <w:bCs/>
          <w:sz w:val="24"/>
          <w:szCs w:val="24"/>
          <w:lang w:val="pt-PT"/>
        </w:rPr>
      </w:pPr>
      <w:r w:rsidRPr="00D60B7B">
        <w:rPr>
          <w:rFonts w:ascii="Times New Roman" w:eastAsia="Times New Roman" w:hAnsi="Times New Roman" w:cs="Times New Roman"/>
          <w:b/>
          <w:bCs/>
          <w:sz w:val="24"/>
          <w:szCs w:val="24"/>
          <w:lang w:val="pt-PT"/>
        </w:rPr>
        <w:t>8.3 Bimët mjekësore aromatike</w:t>
      </w:r>
    </w:p>
    <w:p w:rsidR="00236F04" w:rsidRPr="00236F04" w:rsidRDefault="00236F04" w:rsidP="00236F04">
      <w:pPr>
        <w:spacing w:after="0" w:line="240" w:lineRule="auto"/>
        <w:jc w:val="both"/>
        <w:rPr>
          <w:rFonts w:ascii="Times New Roman" w:eastAsia="Calibri" w:hAnsi="Times New Roman" w:cs="Times New Roman"/>
          <w:lang w:val="sq-AL"/>
        </w:rPr>
      </w:pPr>
    </w:p>
    <w:p w:rsidR="00236F04" w:rsidRPr="00D60B7B" w:rsidRDefault="00236F04" w:rsidP="00236F04">
      <w:pPr>
        <w:spacing w:after="0" w:line="240" w:lineRule="auto"/>
        <w:jc w:val="both"/>
        <w:rPr>
          <w:rFonts w:ascii="Times New Roman" w:eastAsia="Calibri" w:hAnsi="Times New Roman" w:cs="Times New Roman"/>
          <w:sz w:val="24"/>
          <w:szCs w:val="24"/>
          <w:lang w:val="sq-AL"/>
        </w:rPr>
      </w:pPr>
      <w:r w:rsidRPr="00D60B7B">
        <w:rPr>
          <w:rFonts w:ascii="Times New Roman" w:eastAsia="Calibri" w:hAnsi="Times New Roman" w:cs="Times New Roman"/>
          <w:sz w:val="24"/>
          <w:szCs w:val="24"/>
          <w:lang w:val="sq-AL"/>
        </w:rPr>
        <w:t>Mbështetur në dokumentacionin e inventareve të bimëvë aromatike dhe mjeksore të realizuara në vitet e mëparshme dhe të përditësuara rezulton:</w:t>
      </w:r>
    </w:p>
    <w:p w:rsidR="00236F04" w:rsidRDefault="00236F04" w:rsidP="002A64D6">
      <w:pPr>
        <w:spacing w:after="0" w:line="240" w:lineRule="auto"/>
        <w:jc w:val="both"/>
        <w:rPr>
          <w:rFonts w:ascii="Times New Roman" w:eastAsia="Times New Roman" w:hAnsi="Times New Roman" w:cs="Times New Roman"/>
          <w:b/>
          <w:bCs/>
          <w:sz w:val="24"/>
          <w:szCs w:val="24"/>
          <w:lang w:val="sq-AL"/>
        </w:rPr>
      </w:pPr>
      <w:r w:rsidRPr="00D60B7B">
        <w:rPr>
          <w:rFonts w:ascii="Times New Roman" w:eastAsia="Calibri" w:hAnsi="Times New Roman" w:cs="Times New Roman"/>
          <w:sz w:val="24"/>
          <w:szCs w:val="24"/>
          <w:lang w:val="sq-AL"/>
        </w:rPr>
        <w:t>Në shkallë vëndi rriten 252 lloje bimësh mjek</w:t>
      </w:r>
      <w:r w:rsidR="00B475FE">
        <w:rPr>
          <w:rFonts w:ascii="Times New Roman" w:eastAsia="Calibri" w:hAnsi="Times New Roman" w:cs="Times New Roman"/>
          <w:sz w:val="24"/>
          <w:szCs w:val="24"/>
          <w:lang w:val="sq-AL"/>
        </w:rPr>
        <w:t>ë</w:t>
      </w:r>
      <w:r w:rsidRPr="00D60B7B">
        <w:rPr>
          <w:rFonts w:ascii="Times New Roman" w:eastAsia="Calibri" w:hAnsi="Times New Roman" w:cs="Times New Roman"/>
          <w:sz w:val="24"/>
          <w:szCs w:val="24"/>
          <w:lang w:val="sq-AL"/>
        </w:rPr>
        <w:t xml:space="preserve">sore dhe aromatike </w:t>
      </w:r>
      <w:r w:rsidR="002A64D6">
        <w:rPr>
          <w:rFonts w:ascii="Times New Roman" w:eastAsia="Calibri" w:hAnsi="Times New Roman" w:cs="Times New Roman"/>
          <w:sz w:val="24"/>
          <w:szCs w:val="24"/>
          <w:lang w:val="sq-AL"/>
        </w:rPr>
        <w:t>ku vetëm drunore janë 66 lloje.</w:t>
      </w:r>
      <w:r w:rsidRPr="00D60B7B">
        <w:rPr>
          <w:rFonts w:ascii="Times New Roman" w:eastAsia="Calibri" w:hAnsi="Times New Roman" w:cs="Times New Roman"/>
          <w:sz w:val="24"/>
          <w:szCs w:val="24"/>
          <w:lang w:val="sq-AL"/>
        </w:rPr>
        <w:t xml:space="preserve">Sipërfaqja ku shtrihen këto bimë është 591908 ha dhe drunoret zënë 342049.2 ha ne total </w:t>
      </w:r>
      <w:r w:rsidRPr="00D60B7B">
        <w:rPr>
          <w:rFonts w:ascii="Times New Roman" w:eastAsia="Times New Roman" w:hAnsi="Times New Roman" w:cs="Times New Roman"/>
          <w:b/>
          <w:bCs/>
          <w:sz w:val="24"/>
          <w:szCs w:val="24"/>
          <w:lang w:val="sq-AL"/>
        </w:rPr>
        <w:t xml:space="preserve">933957 ha. </w:t>
      </w:r>
    </w:p>
    <w:p w:rsidR="002A64D6" w:rsidRPr="002A64D6" w:rsidRDefault="002A64D6" w:rsidP="002A64D6">
      <w:pPr>
        <w:spacing w:after="0" w:line="240" w:lineRule="auto"/>
        <w:jc w:val="both"/>
        <w:rPr>
          <w:rFonts w:ascii="Times New Roman" w:eastAsia="Calibri" w:hAnsi="Times New Roman" w:cs="Times New Roman"/>
          <w:sz w:val="24"/>
          <w:szCs w:val="24"/>
          <w:lang w:val="sq-AL"/>
        </w:rPr>
      </w:pPr>
    </w:p>
    <w:p w:rsidR="00236F04" w:rsidRPr="00236F04" w:rsidRDefault="002A64D6" w:rsidP="00236F0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60B7B" w:rsidRPr="00236F04">
        <w:rPr>
          <w:rFonts w:ascii="Times New Roman" w:eastAsia="Calibri" w:hAnsi="Times New Roman" w:cs="Times New Roman"/>
          <w:sz w:val="24"/>
          <w:szCs w:val="24"/>
        </w:rPr>
        <w:t xml:space="preserve">Tabela </w:t>
      </w:r>
      <w:r>
        <w:rPr>
          <w:rFonts w:ascii="Times New Roman" w:eastAsia="Calibri" w:hAnsi="Times New Roman" w:cs="Times New Roman"/>
          <w:sz w:val="24"/>
          <w:szCs w:val="24"/>
        </w:rPr>
        <w:t>68</w:t>
      </w:r>
      <w:r w:rsidR="00D60B7B">
        <w:rPr>
          <w:rFonts w:ascii="Times New Roman" w:eastAsia="Calibri" w:hAnsi="Times New Roman" w:cs="Times New Roman"/>
          <w:sz w:val="24"/>
          <w:szCs w:val="24"/>
        </w:rPr>
        <w:t xml:space="preserve">. </w:t>
      </w:r>
      <w:r w:rsidR="00236F04" w:rsidRPr="00236F04">
        <w:rPr>
          <w:rFonts w:ascii="Times New Roman" w:eastAsia="Calibri" w:hAnsi="Times New Roman" w:cs="Times New Roman"/>
          <w:lang w:val="sq-AL"/>
        </w:rPr>
        <w:t>Prodhimi i përgjithshëm bruto sipas inven</w:t>
      </w:r>
      <w:r w:rsidR="00261BD4">
        <w:rPr>
          <w:rFonts w:ascii="Times New Roman" w:eastAsia="Calibri" w:hAnsi="Times New Roman" w:cs="Times New Roman"/>
          <w:lang w:val="sq-AL"/>
        </w:rPr>
        <w:t>tarit dhe sasia e grumbulluar në</w:t>
      </w:r>
      <w:r>
        <w:rPr>
          <w:rFonts w:ascii="Times New Roman" w:eastAsia="Calibri" w:hAnsi="Times New Roman" w:cs="Times New Roman"/>
          <w:lang w:val="sq-AL"/>
        </w:rPr>
        <w:t xml:space="preserve"> vitin 2025</w:t>
      </w:r>
      <w:r w:rsidR="00236F04" w:rsidRPr="00236F04">
        <w:rPr>
          <w:rFonts w:ascii="Times New Roman" w:eastAsia="Calibri" w:hAnsi="Times New Roman" w:cs="Times New Roman"/>
          <w:lang w:val="sq-AL"/>
        </w:rPr>
        <w:t xml:space="preserve">  </w:t>
      </w:r>
    </w:p>
    <w:tbl>
      <w:tblPr>
        <w:tblW w:w="10289" w:type="dxa"/>
        <w:tblInd w:w="-5" w:type="dxa"/>
        <w:tblLook w:val="04A0" w:firstRow="1" w:lastRow="0" w:firstColumn="1" w:lastColumn="0" w:noHBand="0" w:noVBand="1"/>
      </w:tblPr>
      <w:tblGrid>
        <w:gridCol w:w="550"/>
        <w:gridCol w:w="146"/>
        <w:gridCol w:w="739"/>
        <w:gridCol w:w="776"/>
        <w:gridCol w:w="696"/>
        <w:gridCol w:w="616"/>
        <w:gridCol w:w="78"/>
        <w:gridCol w:w="804"/>
        <w:gridCol w:w="848"/>
        <w:gridCol w:w="736"/>
        <w:gridCol w:w="348"/>
        <w:gridCol w:w="607"/>
        <w:gridCol w:w="749"/>
        <w:gridCol w:w="664"/>
        <w:gridCol w:w="846"/>
        <w:gridCol w:w="13"/>
        <w:gridCol w:w="1079"/>
      </w:tblGrid>
      <w:tr w:rsidR="00236F04" w:rsidRPr="00236F04" w:rsidTr="00236F04">
        <w:trPr>
          <w:trHeight w:val="690"/>
        </w:trPr>
        <w:tc>
          <w:tcPr>
            <w:tcW w:w="696" w:type="dxa"/>
            <w:gridSpan w:val="2"/>
            <w:tcBorders>
              <w:top w:val="single" w:sz="4" w:space="0" w:color="auto"/>
              <w:left w:val="single" w:sz="4" w:space="0" w:color="auto"/>
              <w:bottom w:val="single" w:sz="4" w:space="0" w:color="auto"/>
              <w:right w:val="single" w:sz="4" w:space="0" w:color="auto"/>
            </w:tcBorders>
            <w:noWrap/>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Lule</w:t>
            </w:r>
          </w:p>
        </w:tc>
        <w:tc>
          <w:tcPr>
            <w:tcW w:w="739" w:type="dxa"/>
            <w:tcBorders>
              <w:top w:val="single" w:sz="4" w:space="0" w:color="auto"/>
              <w:left w:val="nil"/>
              <w:bottom w:val="single" w:sz="4" w:space="0" w:color="auto"/>
              <w:right w:val="single" w:sz="4" w:space="0" w:color="auto"/>
            </w:tcBorders>
            <w:noWrap/>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Gjethe</w:t>
            </w:r>
          </w:p>
        </w:tc>
        <w:tc>
          <w:tcPr>
            <w:tcW w:w="776" w:type="dxa"/>
            <w:tcBorders>
              <w:top w:val="single" w:sz="4" w:space="0" w:color="auto"/>
              <w:left w:val="nil"/>
              <w:bottom w:val="single" w:sz="4" w:space="0" w:color="auto"/>
              <w:right w:val="single" w:sz="4" w:space="0" w:color="auto"/>
            </w:tcBorders>
            <w:noWrap/>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Herba</w:t>
            </w:r>
          </w:p>
        </w:tc>
        <w:tc>
          <w:tcPr>
            <w:tcW w:w="696" w:type="dxa"/>
            <w:tcBorders>
              <w:top w:val="single" w:sz="4" w:space="0" w:color="auto"/>
              <w:left w:val="nil"/>
              <w:bottom w:val="single" w:sz="4" w:space="0" w:color="auto"/>
              <w:right w:val="single" w:sz="4" w:space="0" w:color="auto"/>
            </w:tcBorders>
            <w:noWrap/>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Fruta</w:t>
            </w:r>
          </w:p>
        </w:tc>
        <w:tc>
          <w:tcPr>
            <w:tcW w:w="616" w:type="dxa"/>
            <w:tcBorders>
              <w:top w:val="single" w:sz="4" w:space="0" w:color="auto"/>
              <w:left w:val="nil"/>
              <w:bottom w:val="single" w:sz="4" w:space="0" w:color="auto"/>
              <w:right w:val="single" w:sz="4" w:space="0" w:color="auto"/>
            </w:tcBorders>
            <w:noWrap/>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fara</w:t>
            </w:r>
          </w:p>
        </w:tc>
        <w:tc>
          <w:tcPr>
            <w:tcW w:w="882" w:type="dxa"/>
            <w:gridSpan w:val="2"/>
            <w:tcBorders>
              <w:top w:val="single" w:sz="4" w:space="0" w:color="auto"/>
              <w:left w:val="nil"/>
              <w:bottom w:val="single" w:sz="4" w:space="0" w:color="auto"/>
              <w:right w:val="single" w:sz="4" w:space="0" w:color="auto"/>
            </w:tcBorders>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esenca te ndryshme</w:t>
            </w:r>
          </w:p>
        </w:tc>
        <w:tc>
          <w:tcPr>
            <w:tcW w:w="848" w:type="dxa"/>
            <w:tcBorders>
              <w:top w:val="single" w:sz="4" w:space="0" w:color="auto"/>
              <w:left w:val="nil"/>
              <w:bottom w:val="single" w:sz="4" w:space="0" w:color="auto"/>
              <w:right w:val="single" w:sz="4" w:space="0" w:color="auto"/>
            </w:tcBorders>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bime te ndryshme</w:t>
            </w:r>
          </w:p>
        </w:tc>
        <w:tc>
          <w:tcPr>
            <w:tcW w:w="736" w:type="dxa"/>
            <w:tcBorders>
              <w:top w:val="single" w:sz="4" w:space="0" w:color="auto"/>
              <w:left w:val="nil"/>
              <w:bottom w:val="single" w:sz="4" w:space="0" w:color="auto"/>
              <w:right w:val="single" w:sz="4" w:space="0" w:color="auto"/>
            </w:tcBorders>
            <w:noWrap/>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Levore</w:t>
            </w:r>
          </w:p>
        </w:tc>
        <w:tc>
          <w:tcPr>
            <w:tcW w:w="955" w:type="dxa"/>
            <w:gridSpan w:val="2"/>
            <w:tcBorders>
              <w:top w:val="single" w:sz="4" w:space="0" w:color="auto"/>
              <w:left w:val="nil"/>
              <w:bottom w:val="single" w:sz="4" w:space="0" w:color="auto"/>
              <w:right w:val="single" w:sz="4" w:space="0" w:color="auto"/>
            </w:tcBorders>
            <w:noWrap/>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Rrenj+ Tub</w:t>
            </w:r>
          </w:p>
        </w:tc>
        <w:tc>
          <w:tcPr>
            <w:tcW w:w="749" w:type="dxa"/>
            <w:tcBorders>
              <w:top w:val="single" w:sz="4" w:space="0" w:color="auto"/>
              <w:left w:val="nil"/>
              <w:bottom w:val="single" w:sz="4" w:space="0" w:color="auto"/>
              <w:right w:val="single" w:sz="4" w:space="0" w:color="auto"/>
            </w:tcBorders>
            <w:noWrap/>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Bis+ sytha</w:t>
            </w:r>
          </w:p>
        </w:tc>
        <w:tc>
          <w:tcPr>
            <w:tcW w:w="661" w:type="dxa"/>
            <w:tcBorders>
              <w:top w:val="single" w:sz="4" w:space="0" w:color="auto"/>
              <w:left w:val="nil"/>
              <w:bottom w:val="single" w:sz="4" w:space="0" w:color="auto"/>
              <w:right w:val="single" w:sz="4" w:space="0" w:color="auto"/>
            </w:tcBorders>
            <w:noWrap/>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Myshk</w:t>
            </w:r>
          </w:p>
        </w:tc>
        <w:tc>
          <w:tcPr>
            <w:tcW w:w="1935" w:type="dxa"/>
            <w:gridSpan w:val="3"/>
            <w:tcBorders>
              <w:top w:val="single" w:sz="8" w:space="0" w:color="auto"/>
              <w:left w:val="nil"/>
              <w:bottom w:val="single" w:sz="8" w:space="0" w:color="auto"/>
              <w:right w:val="single" w:sz="8" w:space="0" w:color="000000"/>
            </w:tcBorders>
            <w:vAlign w:val="center"/>
            <w:hideMark/>
          </w:tcPr>
          <w:p w:rsidR="00236F04" w:rsidRPr="00236F04" w:rsidRDefault="00236F04" w:rsidP="00236F04">
            <w:pPr>
              <w:spacing w:after="0" w:line="240" w:lineRule="auto"/>
              <w:jc w:val="center"/>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Totali prodhim, eksport</w:t>
            </w:r>
          </w:p>
        </w:tc>
      </w:tr>
      <w:tr w:rsidR="00236F04" w:rsidRPr="00236F04" w:rsidTr="00236F04">
        <w:trPr>
          <w:trHeight w:val="330"/>
        </w:trPr>
        <w:tc>
          <w:tcPr>
            <w:tcW w:w="696" w:type="dxa"/>
            <w:gridSpan w:val="2"/>
            <w:tcBorders>
              <w:top w:val="nil"/>
              <w:left w:val="single" w:sz="4" w:space="0" w:color="auto"/>
              <w:bottom w:val="single" w:sz="4" w:space="0" w:color="auto"/>
              <w:right w:val="single" w:sz="4" w:space="0" w:color="auto"/>
            </w:tcBorders>
            <w:noWrap/>
            <w:vAlign w:val="center"/>
            <w:hideMark/>
          </w:tcPr>
          <w:p w:rsidR="00236F04" w:rsidRPr="00236F04" w:rsidRDefault="00236F04" w:rsidP="00236F04">
            <w:pPr>
              <w:spacing w:after="0" w:line="240" w:lineRule="auto"/>
              <w:jc w:val="right"/>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1879</w:t>
            </w:r>
          </w:p>
        </w:tc>
        <w:tc>
          <w:tcPr>
            <w:tcW w:w="739"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right"/>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10494.3</w:t>
            </w:r>
          </w:p>
        </w:tc>
        <w:tc>
          <w:tcPr>
            <w:tcW w:w="776"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right"/>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5190.2</w:t>
            </w:r>
          </w:p>
        </w:tc>
        <w:tc>
          <w:tcPr>
            <w:tcW w:w="696"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right"/>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7216.9</w:t>
            </w:r>
          </w:p>
        </w:tc>
        <w:tc>
          <w:tcPr>
            <w:tcW w:w="616"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right"/>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106.1</w:t>
            </w:r>
          </w:p>
        </w:tc>
        <w:tc>
          <w:tcPr>
            <w:tcW w:w="882" w:type="dxa"/>
            <w:gridSpan w:val="2"/>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 </w:t>
            </w:r>
          </w:p>
        </w:tc>
        <w:tc>
          <w:tcPr>
            <w:tcW w:w="848"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 </w:t>
            </w:r>
          </w:p>
        </w:tc>
        <w:tc>
          <w:tcPr>
            <w:tcW w:w="736"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right"/>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2938.61</w:t>
            </w:r>
          </w:p>
        </w:tc>
        <w:tc>
          <w:tcPr>
            <w:tcW w:w="955" w:type="dxa"/>
            <w:gridSpan w:val="2"/>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right"/>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75297.8</w:t>
            </w:r>
          </w:p>
        </w:tc>
        <w:tc>
          <w:tcPr>
            <w:tcW w:w="749"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right"/>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36202</w:t>
            </w:r>
          </w:p>
        </w:tc>
        <w:tc>
          <w:tcPr>
            <w:tcW w:w="661" w:type="dxa"/>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right"/>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853.2</w:t>
            </w:r>
          </w:p>
        </w:tc>
        <w:tc>
          <w:tcPr>
            <w:tcW w:w="856" w:type="dxa"/>
            <w:gridSpan w:val="2"/>
            <w:tcBorders>
              <w:top w:val="nil"/>
              <w:left w:val="nil"/>
              <w:bottom w:val="single" w:sz="8" w:space="0" w:color="auto"/>
              <w:right w:val="single" w:sz="8" w:space="0" w:color="auto"/>
            </w:tcBorders>
            <w:vAlign w:val="center"/>
            <w:hideMark/>
          </w:tcPr>
          <w:p w:rsidR="00236F04" w:rsidRPr="00236F04" w:rsidRDefault="00236F04" w:rsidP="00236F04">
            <w:pPr>
              <w:spacing w:after="0" w:line="240" w:lineRule="auto"/>
              <w:jc w:val="right"/>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140178</w:t>
            </w:r>
          </w:p>
        </w:tc>
        <w:tc>
          <w:tcPr>
            <w:tcW w:w="1079"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Prodhim(ton)</w:t>
            </w:r>
          </w:p>
        </w:tc>
      </w:tr>
      <w:tr w:rsidR="00236F04" w:rsidRPr="00236F04" w:rsidTr="00236F04">
        <w:trPr>
          <w:trHeight w:val="330"/>
        </w:trPr>
        <w:tc>
          <w:tcPr>
            <w:tcW w:w="696" w:type="dxa"/>
            <w:gridSpan w:val="2"/>
            <w:tcBorders>
              <w:top w:val="nil"/>
              <w:left w:val="single" w:sz="4" w:space="0" w:color="auto"/>
              <w:bottom w:val="single" w:sz="4" w:space="0" w:color="auto"/>
              <w:right w:val="single" w:sz="4" w:space="0" w:color="auto"/>
            </w:tcBorders>
            <w:noWrap/>
            <w:vAlign w:val="bottom"/>
            <w:hideMark/>
          </w:tcPr>
          <w:p w:rsidR="00236F04" w:rsidRPr="007C778A" w:rsidRDefault="00236F04" w:rsidP="00236F04">
            <w:pPr>
              <w:spacing w:after="0" w:line="240" w:lineRule="auto"/>
              <w:jc w:val="right"/>
              <w:rPr>
                <w:rFonts w:ascii="Times New Roman" w:eastAsia="Times New Roman" w:hAnsi="Times New Roman" w:cs="Times New Roman"/>
                <w:sz w:val="16"/>
                <w:szCs w:val="16"/>
              </w:rPr>
            </w:pPr>
            <w:r w:rsidRPr="007C778A">
              <w:rPr>
                <w:rFonts w:ascii="Times New Roman" w:eastAsia="Times New Roman" w:hAnsi="Times New Roman" w:cs="Times New Roman"/>
                <w:sz w:val="16"/>
                <w:szCs w:val="16"/>
              </w:rPr>
              <w:t>272254</w:t>
            </w:r>
          </w:p>
        </w:tc>
        <w:tc>
          <w:tcPr>
            <w:tcW w:w="739" w:type="dxa"/>
            <w:tcBorders>
              <w:top w:val="nil"/>
              <w:left w:val="nil"/>
              <w:bottom w:val="single" w:sz="4" w:space="0" w:color="auto"/>
              <w:right w:val="single" w:sz="4" w:space="0" w:color="auto"/>
            </w:tcBorders>
            <w:noWrap/>
            <w:vAlign w:val="bottom"/>
            <w:hideMark/>
          </w:tcPr>
          <w:p w:rsidR="00236F04" w:rsidRPr="007C778A" w:rsidRDefault="00236F04" w:rsidP="00236F04">
            <w:pPr>
              <w:spacing w:after="0" w:line="240" w:lineRule="auto"/>
              <w:jc w:val="right"/>
              <w:rPr>
                <w:rFonts w:ascii="Times New Roman" w:eastAsia="Times New Roman" w:hAnsi="Times New Roman" w:cs="Times New Roman"/>
                <w:sz w:val="16"/>
                <w:szCs w:val="16"/>
              </w:rPr>
            </w:pPr>
            <w:r w:rsidRPr="007C778A">
              <w:rPr>
                <w:rFonts w:ascii="Times New Roman" w:eastAsia="Times New Roman" w:hAnsi="Times New Roman" w:cs="Times New Roman"/>
                <w:sz w:val="16"/>
                <w:szCs w:val="16"/>
              </w:rPr>
              <w:t>773186</w:t>
            </w:r>
          </w:p>
        </w:tc>
        <w:tc>
          <w:tcPr>
            <w:tcW w:w="776" w:type="dxa"/>
            <w:tcBorders>
              <w:top w:val="nil"/>
              <w:left w:val="nil"/>
              <w:bottom w:val="single" w:sz="4" w:space="0" w:color="auto"/>
              <w:right w:val="single" w:sz="4" w:space="0" w:color="auto"/>
            </w:tcBorders>
            <w:noWrap/>
            <w:vAlign w:val="bottom"/>
            <w:hideMark/>
          </w:tcPr>
          <w:p w:rsidR="00236F04" w:rsidRPr="007C778A" w:rsidRDefault="00236F04" w:rsidP="00236F04">
            <w:pPr>
              <w:spacing w:after="0" w:line="240" w:lineRule="auto"/>
              <w:jc w:val="right"/>
              <w:rPr>
                <w:rFonts w:ascii="Times New Roman" w:eastAsia="Times New Roman" w:hAnsi="Times New Roman" w:cs="Times New Roman"/>
                <w:sz w:val="16"/>
                <w:szCs w:val="16"/>
              </w:rPr>
            </w:pPr>
            <w:r w:rsidRPr="007C778A">
              <w:rPr>
                <w:rFonts w:ascii="Times New Roman" w:eastAsia="Times New Roman" w:hAnsi="Times New Roman" w:cs="Times New Roman"/>
                <w:sz w:val="16"/>
                <w:szCs w:val="16"/>
              </w:rPr>
              <w:t>5815485</w:t>
            </w:r>
          </w:p>
        </w:tc>
        <w:tc>
          <w:tcPr>
            <w:tcW w:w="696" w:type="dxa"/>
            <w:tcBorders>
              <w:top w:val="nil"/>
              <w:left w:val="nil"/>
              <w:bottom w:val="single" w:sz="4" w:space="0" w:color="auto"/>
              <w:right w:val="single" w:sz="4" w:space="0" w:color="auto"/>
            </w:tcBorders>
            <w:noWrap/>
            <w:vAlign w:val="bottom"/>
            <w:hideMark/>
          </w:tcPr>
          <w:p w:rsidR="00236F04" w:rsidRPr="007C778A" w:rsidRDefault="00236F04" w:rsidP="00236F04">
            <w:pPr>
              <w:spacing w:after="0" w:line="240" w:lineRule="auto"/>
              <w:jc w:val="right"/>
              <w:rPr>
                <w:rFonts w:ascii="Times New Roman" w:eastAsia="Times New Roman" w:hAnsi="Times New Roman" w:cs="Times New Roman"/>
                <w:sz w:val="16"/>
                <w:szCs w:val="16"/>
              </w:rPr>
            </w:pPr>
            <w:r w:rsidRPr="007C778A">
              <w:rPr>
                <w:rFonts w:ascii="Times New Roman" w:eastAsia="Times New Roman" w:hAnsi="Times New Roman" w:cs="Times New Roman"/>
                <w:sz w:val="16"/>
                <w:szCs w:val="16"/>
              </w:rPr>
              <w:t>467488</w:t>
            </w:r>
          </w:p>
        </w:tc>
        <w:tc>
          <w:tcPr>
            <w:tcW w:w="616" w:type="dxa"/>
            <w:tcBorders>
              <w:top w:val="nil"/>
              <w:left w:val="nil"/>
              <w:bottom w:val="single" w:sz="4" w:space="0" w:color="auto"/>
              <w:right w:val="single" w:sz="4" w:space="0" w:color="auto"/>
            </w:tcBorders>
            <w:noWrap/>
            <w:vAlign w:val="bottom"/>
            <w:hideMark/>
          </w:tcPr>
          <w:p w:rsidR="00236F04" w:rsidRPr="007C778A" w:rsidRDefault="00236F04" w:rsidP="00236F04">
            <w:pPr>
              <w:spacing w:after="0" w:line="240" w:lineRule="auto"/>
              <w:jc w:val="right"/>
              <w:rPr>
                <w:rFonts w:ascii="Times New Roman" w:eastAsia="Times New Roman" w:hAnsi="Times New Roman" w:cs="Times New Roman"/>
                <w:sz w:val="16"/>
                <w:szCs w:val="16"/>
              </w:rPr>
            </w:pPr>
            <w:r w:rsidRPr="007C778A">
              <w:rPr>
                <w:rFonts w:ascii="Times New Roman" w:eastAsia="Times New Roman" w:hAnsi="Times New Roman" w:cs="Times New Roman"/>
                <w:sz w:val="16"/>
                <w:szCs w:val="16"/>
              </w:rPr>
              <w:t>34244</w:t>
            </w:r>
          </w:p>
        </w:tc>
        <w:tc>
          <w:tcPr>
            <w:tcW w:w="882" w:type="dxa"/>
            <w:gridSpan w:val="2"/>
            <w:tcBorders>
              <w:top w:val="nil"/>
              <w:left w:val="nil"/>
              <w:bottom w:val="single" w:sz="4" w:space="0" w:color="auto"/>
              <w:right w:val="single" w:sz="4" w:space="0" w:color="auto"/>
            </w:tcBorders>
            <w:noWrap/>
            <w:vAlign w:val="bottom"/>
            <w:hideMark/>
          </w:tcPr>
          <w:p w:rsidR="00236F04" w:rsidRPr="007C778A" w:rsidRDefault="00236F04" w:rsidP="00236F04">
            <w:pPr>
              <w:spacing w:after="0" w:line="240" w:lineRule="auto"/>
              <w:jc w:val="right"/>
              <w:rPr>
                <w:rFonts w:ascii="Times New Roman" w:eastAsia="Times New Roman" w:hAnsi="Times New Roman" w:cs="Times New Roman"/>
                <w:sz w:val="16"/>
                <w:szCs w:val="16"/>
              </w:rPr>
            </w:pPr>
            <w:r w:rsidRPr="007C778A">
              <w:rPr>
                <w:rFonts w:ascii="Times New Roman" w:eastAsia="Times New Roman" w:hAnsi="Times New Roman" w:cs="Times New Roman"/>
                <w:sz w:val="16"/>
                <w:szCs w:val="16"/>
              </w:rPr>
              <w:t>29197</w:t>
            </w:r>
          </w:p>
        </w:tc>
        <w:tc>
          <w:tcPr>
            <w:tcW w:w="848" w:type="dxa"/>
            <w:tcBorders>
              <w:top w:val="nil"/>
              <w:left w:val="nil"/>
              <w:bottom w:val="single" w:sz="4" w:space="0" w:color="auto"/>
              <w:right w:val="single" w:sz="4" w:space="0" w:color="auto"/>
            </w:tcBorders>
            <w:noWrap/>
            <w:vAlign w:val="bottom"/>
            <w:hideMark/>
          </w:tcPr>
          <w:p w:rsidR="00236F04" w:rsidRPr="007C778A" w:rsidRDefault="00236F04" w:rsidP="00236F04">
            <w:pPr>
              <w:spacing w:after="0" w:line="240" w:lineRule="auto"/>
              <w:jc w:val="right"/>
              <w:rPr>
                <w:rFonts w:ascii="Times New Roman" w:eastAsia="Times New Roman" w:hAnsi="Times New Roman" w:cs="Times New Roman"/>
                <w:sz w:val="16"/>
                <w:szCs w:val="16"/>
              </w:rPr>
            </w:pPr>
            <w:r w:rsidRPr="007C778A">
              <w:rPr>
                <w:rFonts w:ascii="Times New Roman" w:eastAsia="Times New Roman" w:hAnsi="Times New Roman" w:cs="Times New Roman"/>
                <w:sz w:val="16"/>
                <w:szCs w:val="16"/>
              </w:rPr>
              <w:t>5019618</w:t>
            </w:r>
          </w:p>
        </w:tc>
        <w:tc>
          <w:tcPr>
            <w:tcW w:w="736" w:type="dxa"/>
            <w:tcBorders>
              <w:top w:val="nil"/>
              <w:left w:val="nil"/>
              <w:bottom w:val="single" w:sz="4" w:space="0" w:color="auto"/>
              <w:right w:val="single" w:sz="4" w:space="0" w:color="auto"/>
            </w:tcBorders>
            <w:noWrap/>
            <w:vAlign w:val="bottom"/>
            <w:hideMark/>
          </w:tcPr>
          <w:p w:rsidR="00236F04" w:rsidRPr="007C778A" w:rsidRDefault="00236F04" w:rsidP="00236F04">
            <w:pPr>
              <w:spacing w:after="0" w:line="240" w:lineRule="auto"/>
              <w:jc w:val="right"/>
              <w:rPr>
                <w:rFonts w:ascii="Times New Roman" w:eastAsia="Times New Roman" w:hAnsi="Times New Roman" w:cs="Times New Roman"/>
                <w:sz w:val="16"/>
                <w:szCs w:val="16"/>
              </w:rPr>
            </w:pPr>
            <w:r w:rsidRPr="007C778A">
              <w:rPr>
                <w:rFonts w:ascii="Times New Roman" w:eastAsia="Times New Roman" w:hAnsi="Times New Roman" w:cs="Times New Roman"/>
                <w:sz w:val="16"/>
                <w:szCs w:val="16"/>
              </w:rPr>
              <w:t>32465</w:t>
            </w:r>
          </w:p>
        </w:tc>
        <w:tc>
          <w:tcPr>
            <w:tcW w:w="955" w:type="dxa"/>
            <w:gridSpan w:val="2"/>
            <w:tcBorders>
              <w:top w:val="nil"/>
              <w:left w:val="nil"/>
              <w:bottom w:val="single" w:sz="4" w:space="0" w:color="auto"/>
              <w:right w:val="single" w:sz="4" w:space="0" w:color="auto"/>
            </w:tcBorders>
            <w:noWrap/>
            <w:vAlign w:val="bottom"/>
            <w:hideMark/>
          </w:tcPr>
          <w:p w:rsidR="00236F04" w:rsidRPr="007C778A" w:rsidRDefault="00236F04" w:rsidP="00236F04">
            <w:pPr>
              <w:spacing w:after="0" w:line="240" w:lineRule="auto"/>
              <w:jc w:val="right"/>
              <w:rPr>
                <w:rFonts w:ascii="Times New Roman" w:eastAsia="Times New Roman" w:hAnsi="Times New Roman" w:cs="Times New Roman"/>
                <w:sz w:val="16"/>
                <w:szCs w:val="16"/>
              </w:rPr>
            </w:pPr>
            <w:r w:rsidRPr="007C778A">
              <w:rPr>
                <w:rFonts w:ascii="Times New Roman" w:eastAsia="Times New Roman" w:hAnsi="Times New Roman" w:cs="Times New Roman"/>
                <w:sz w:val="16"/>
                <w:szCs w:val="16"/>
              </w:rPr>
              <w:t>21401</w:t>
            </w:r>
          </w:p>
        </w:tc>
        <w:tc>
          <w:tcPr>
            <w:tcW w:w="749" w:type="dxa"/>
            <w:tcBorders>
              <w:top w:val="nil"/>
              <w:left w:val="nil"/>
              <w:bottom w:val="single" w:sz="4" w:space="0" w:color="auto"/>
              <w:right w:val="single" w:sz="4" w:space="0" w:color="auto"/>
            </w:tcBorders>
            <w:noWrap/>
            <w:vAlign w:val="bottom"/>
            <w:hideMark/>
          </w:tcPr>
          <w:p w:rsidR="00236F04" w:rsidRPr="007C778A" w:rsidRDefault="00236F04" w:rsidP="00236F04">
            <w:pPr>
              <w:spacing w:after="0" w:line="240" w:lineRule="auto"/>
              <w:jc w:val="right"/>
              <w:rPr>
                <w:rFonts w:ascii="Times New Roman" w:eastAsia="Times New Roman" w:hAnsi="Times New Roman" w:cs="Times New Roman"/>
                <w:sz w:val="16"/>
                <w:szCs w:val="16"/>
              </w:rPr>
            </w:pPr>
            <w:r w:rsidRPr="007C778A">
              <w:rPr>
                <w:rFonts w:ascii="Times New Roman" w:eastAsia="Times New Roman" w:hAnsi="Times New Roman" w:cs="Times New Roman"/>
                <w:sz w:val="16"/>
                <w:szCs w:val="16"/>
              </w:rPr>
              <w:t>2600</w:t>
            </w:r>
          </w:p>
        </w:tc>
        <w:tc>
          <w:tcPr>
            <w:tcW w:w="661" w:type="dxa"/>
            <w:tcBorders>
              <w:top w:val="nil"/>
              <w:left w:val="nil"/>
              <w:bottom w:val="single" w:sz="4" w:space="0" w:color="auto"/>
              <w:right w:val="single" w:sz="4" w:space="0" w:color="auto"/>
            </w:tcBorders>
            <w:noWrap/>
            <w:vAlign w:val="center"/>
            <w:hideMark/>
          </w:tcPr>
          <w:p w:rsidR="00236F04" w:rsidRPr="007C778A" w:rsidRDefault="00236F04" w:rsidP="00236F04">
            <w:pPr>
              <w:spacing w:after="0" w:line="240" w:lineRule="auto"/>
              <w:jc w:val="right"/>
              <w:rPr>
                <w:rFonts w:ascii="Times New Roman" w:eastAsia="Times New Roman" w:hAnsi="Times New Roman" w:cs="Times New Roman"/>
                <w:sz w:val="16"/>
                <w:szCs w:val="16"/>
              </w:rPr>
            </w:pPr>
            <w:r w:rsidRPr="007C778A">
              <w:rPr>
                <w:rFonts w:ascii="Times New Roman" w:eastAsia="Times New Roman" w:hAnsi="Times New Roman" w:cs="Times New Roman"/>
                <w:sz w:val="16"/>
                <w:szCs w:val="16"/>
              </w:rPr>
              <w:t>0</w:t>
            </w:r>
          </w:p>
        </w:tc>
        <w:tc>
          <w:tcPr>
            <w:tcW w:w="856" w:type="dxa"/>
            <w:gridSpan w:val="2"/>
            <w:tcBorders>
              <w:top w:val="nil"/>
              <w:left w:val="nil"/>
              <w:bottom w:val="single" w:sz="8" w:space="0" w:color="auto"/>
              <w:right w:val="single" w:sz="8" w:space="0" w:color="auto"/>
            </w:tcBorders>
            <w:vAlign w:val="center"/>
            <w:hideMark/>
          </w:tcPr>
          <w:p w:rsidR="00236F04" w:rsidRPr="007C778A" w:rsidRDefault="00236F04" w:rsidP="00236F04">
            <w:pPr>
              <w:spacing w:after="0" w:line="240" w:lineRule="auto"/>
              <w:jc w:val="right"/>
              <w:rPr>
                <w:rFonts w:ascii="Times New Roman" w:eastAsia="Times New Roman" w:hAnsi="Times New Roman" w:cs="Times New Roman"/>
                <w:sz w:val="16"/>
                <w:szCs w:val="16"/>
              </w:rPr>
            </w:pPr>
            <w:r w:rsidRPr="007C778A">
              <w:rPr>
                <w:rFonts w:ascii="Times New Roman" w:eastAsia="Times New Roman" w:hAnsi="Times New Roman" w:cs="Times New Roman"/>
                <w:sz w:val="16"/>
                <w:szCs w:val="16"/>
              </w:rPr>
              <w:t>12467938</w:t>
            </w:r>
          </w:p>
        </w:tc>
        <w:tc>
          <w:tcPr>
            <w:tcW w:w="1079" w:type="dxa"/>
            <w:tcBorders>
              <w:top w:val="nil"/>
              <w:left w:val="nil"/>
              <w:bottom w:val="single" w:sz="8" w:space="0" w:color="auto"/>
              <w:right w:val="single" w:sz="8" w:space="0" w:color="auto"/>
            </w:tcBorders>
            <w:noWrap/>
            <w:vAlign w:val="center"/>
            <w:hideMark/>
          </w:tcPr>
          <w:p w:rsidR="00236F04" w:rsidRPr="00236F04" w:rsidRDefault="00236F04" w:rsidP="00236F04">
            <w:pPr>
              <w:spacing w:after="0" w:line="240" w:lineRule="auto"/>
              <w:rPr>
                <w:rFonts w:ascii="Times New Roman" w:eastAsia="Times New Roman" w:hAnsi="Times New Roman" w:cs="Times New Roman"/>
                <w:color w:val="000000"/>
                <w:sz w:val="16"/>
                <w:szCs w:val="16"/>
              </w:rPr>
            </w:pPr>
            <w:r w:rsidRPr="00236F04">
              <w:rPr>
                <w:rFonts w:ascii="Times New Roman" w:eastAsia="Times New Roman" w:hAnsi="Times New Roman" w:cs="Times New Roman"/>
                <w:color w:val="000000"/>
                <w:sz w:val="16"/>
                <w:szCs w:val="16"/>
              </w:rPr>
              <w:t>Eksport (Kg)</w:t>
            </w:r>
          </w:p>
        </w:tc>
      </w:tr>
      <w:tr w:rsidR="00236F04" w:rsidRPr="00236F04" w:rsidTr="00236F04">
        <w:trPr>
          <w:gridAfter w:val="2"/>
          <w:wAfter w:w="1092" w:type="dxa"/>
          <w:trHeight w:val="300"/>
        </w:trPr>
        <w:tc>
          <w:tcPr>
            <w:tcW w:w="9197" w:type="dxa"/>
            <w:gridSpan w:val="15"/>
            <w:tcBorders>
              <w:left w:val="nil"/>
              <w:right w:val="nil"/>
            </w:tcBorders>
            <w:noWrap/>
            <w:vAlign w:val="bottom"/>
            <w:hideMark/>
          </w:tcPr>
          <w:p w:rsidR="00D60B7B" w:rsidRDefault="00D60B7B" w:rsidP="00236F04">
            <w:pPr>
              <w:spacing w:after="0" w:line="240" w:lineRule="auto"/>
              <w:jc w:val="center"/>
              <w:rPr>
                <w:rFonts w:ascii="Times New Roman" w:eastAsia="Calibri" w:hAnsi="Times New Roman" w:cs="Times New Roman"/>
                <w:sz w:val="24"/>
                <w:szCs w:val="24"/>
              </w:rPr>
            </w:pPr>
          </w:p>
          <w:p w:rsidR="002A64D6" w:rsidRDefault="002A64D6" w:rsidP="00236F04">
            <w:pPr>
              <w:spacing w:after="0" w:line="240" w:lineRule="auto"/>
              <w:jc w:val="center"/>
              <w:rPr>
                <w:rFonts w:ascii="Times New Roman" w:eastAsia="Calibri" w:hAnsi="Times New Roman" w:cs="Times New Roman"/>
                <w:sz w:val="24"/>
                <w:szCs w:val="24"/>
              </w:rPr>
            </w:pPr>
          </w:p>
          <w:p w:rsidR="00236F04" w:rsidRPr="00236F04" w:rsidRDefault="00D60B7B" w:rsidP="00236F04">
            <w:pPr>
              <w:spacing w:after="0" w:line="240" w:lineRule="auto"/>
              <w:jc w:val="center"/>
              <w:rPr>
                <w:rFonts w:ascii="Times New Roman" w:eastAsia="Times New Roman" w:hAnsi="Times New Roman" w:cs="Times New Roman"/>
                <w:b/>
                <w:bCs/>
                <w:color w:val="000000"/>
              </w:rPr>
            </w:pPr>
            <w:r w:rsidRPr="00236F04">
              <w:rPr>
                <w:rFonts w:ascii="Times New Roman" w:eastAsia="Calibri" w:hAnsi="Times New Roman" w:cs="Times New Roman"/>
                <w:sz w:val="24"/>
                <w:szCs w:val="24"/>
              </w:rPr>
              <w:t xml:space="preserve">Tabela </w:t>
            </w:r>
            <w:r w:rsidR="002A64D6">
              <w:rPr>
                <w:rFonts w:ascii="Times New Roman" w:eastAsia="Calibri" w:hAnsi="Times New Roman" w:cs="Times New Roman"/>
                <w:sz w:val="24"/>
                <w:szCs w:val="24"/>
              </w:rPr>
              <w:t>69</w:t>
            </w:r>
            <w:r>
              <w:rPr>
                <w:rFonts w:ascii="Times New Roman" w:eastAsia="Calibri" w:hAnsi="Times New Roman" w:cs="Times New Roman"/>
                <w:sz w:val="24"/>
                <w:szCs w:val="24"/>
              </w:rPr>
              <w:t xml:space="preserve">. </w:t>
            </w:r>
            <w:r w:rsidR="00236F04" w:rsidRPr="00236F04">
              <w:rPr>
                <w:rFonts w:ascii="Times New Roman" w:eastAsia="Times New Roman" w:hAnsi="Times New Roman" w:cs="Times New Roman"/>
                <w:color w:val="000000"/>
              </w:rPr>
              <w:t>Lloje</w:t>
            </w:r>
            <w:r w:rsidR="00261BD4">
              <w:rPr>
                <w:rFonts w:ascii="Times New Roman" w:eastAsia="Times New Roman" w:hAnsi="Times New Roman" w:cs="Times New Roman"/>
                <w:color w:val="000000"/>
              </w:rPr>
              <w:t>t e bimëve medicinale dhe mjeksore më kryesoret që</w:t>
            </w:r>
            <w:r w:rsidR="00236F04" w:rsidRPr="00236F04">
              <w:rPr>
                <w:rFonts w:ascii="Times New Roman" w:eastAsia="Times New Roman" w:hAnsi="Times New Roman" w:cs="Times New Roman"/>
                <w:color w:val="000000"/>
              </w:rPr>
              <w:t xml:space="preserve"> grumbullohen.</w:t>
            </w:r>
            <w:r w:rsidR="00236F04" w:rsidRPr="00236F04">
              <w:rPr>
                <w:rFonts w:ascii="Times New Roman" w:eastAsia="Times New Roman" w:hAnsi="Times New Roman" w:cs="Times New Roman"/>
                <w:b/>
                <w:bCs/>
                <w:color w:val="000000"/>
              </w:rPr>
              <w:t xml:space="preserve"> </w:t>
            </w:r>
          </w:p>
        </w:tc>
      </w:tr>
      <w:tr w:rsidR="00236F04" w:rsidRPr="00236F04" w:rsidTr="00236F04">
        <w:trPr>
          <w:gridAfter w:val="2"/>
          <w:wAfter w:w="1092" w:type="dxa"/>
          <w:trHeight w:val="300"/>
        </w:trPr>
        <w:tc>
          <w:tcPr>
            <w:tcW w:w="9197" w:type="dxa"/>
            <w:gridSpan w:val="15"/>
            <w:tcBorders>
              <w:left w:val="nil"/>
              <w:bottom w:val="single" w:sz="4" w:space="0" w:color="auto"/>
              <w:right w:val="nil"/>
            </w:tcBorders>
            <w:noWrap/>
            <w:vAlign w:val="bottom"/>
          </w:tcPr>
          <w:p w:rsidR="00236F04" w:rsidRPr="00236F04" w:rsidRDefault="00236F04" w:rsidP="00236F04">
            <w:pPr>
              <w:spacing w:after="0" w:line="240" w:lineRule="auto"/>
              <w:jc w:val="center"/>
              <w:rPr>
                <w:rFonts w:ascii="Times New Roman" w:eastAsia="Times New Roman" w:hAnsi="Times New Roman" w:cs="Times New Roman"/>
                <w:b/>
                <w:bCs/>
                <w:color w:val="000000"/>
              </w:rPr>
            </w:pPr>
          </w:p>
        </w:tc>
      </w:tr>
      <w:tr w:rsidR="00236F04" w:rsidRPr="00236F04" w:rsidTr="00236F04">
        <w:trPr>
          <w:gridAfter w:val="2"/>
          <w:wAfter w:w="1092" w:type="dxa"/>
          <w:trHeight w:val="557"/>
        </w:trPr>
        <w:tc>
          <w:tcPr>
            <w:tcW w:w="550" w:type="dxa"/>
            <w:tcBorders>
              <w:top w:val="nil"/>
              <w:left w:val="single" w:sz="4" w:space="0" w:color="auto"/>
              <w:bottom w:val="single" w:sz="4" w:space="0" w:color="auto"/>
              <w:right w:val="single" w:sz="4" w:space="0" w:color="auto"/>
            </w:tcBorders>
            <w:noWrap/>
            <w:vAlign w:val="center"/>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NR</w:t>
            </w:r>
          </w:p>
        </w:tc>
        <w:tc>
          <w:tcPr>
            <w:tcW w:w="3051" w:type="dxa"/>
            <w:gridSpan w:val="6"/>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EMRI LATINISHT</w:t>
            </w:r>
          </w:p>
        </w:tc>
        <w:tc>
          <w:tcPr>
            <w:tcW w:w="2736" w:type="dxa"/>
            <w:gridSpan w:val="4"/>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EMRI SHQIP</w:t>
            </w:r>
          </w:p>
        </w:tc>
        <w:tc>
          <w:tcPr>
            <w:tcW w:w="1356" w:type="dxa"/>
            <w:gridSpan w:val="2"/>
            <w:tcBorders>
              <w:top w:val="nil"/>
              <w:left w:val="nil"/>
              <w:bottom w:val="single" w:sz="4" w:space="0" w:color="auto"/>
              <w:right w:val="single" w:sz="4" w:space="0" w:color="auto"/>
            </w:tcBorders>
            <w:noWrap/>
            <w:vAlign w:val="center"/>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SIP HA</w:t>
            </w:r>
          </w:p>
        </w:tc>
        <w:tc>
          <w:tcPr>
            <w:tcW w:w="1504" w:type="dxa"/>
            <w:gridSpan w:val="2"/>
            <w:tcBorders>
              <w:top w:val="nil"/>
              <w:left w:val="nil"/>
              <w:bottom w:val="single" w:sz="4" w:space="0" w:color="auto"/>
              <w:right w:val="single" w:sz="4" w:space="0" w:color="auto"/>
            </w:tcBorders>
            <w:vAlign w:val="center"/>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Sasia qe grumbullohet (ton)</w:t>
            </w:r>
          </w:p>
        </w:tc>
      </w:tr>
      <w:tr w:rsidR="00236F04" w:rsidRPr="00236F04" w:rsidTr="00236F04">
        <w:trPr>
          <w:gridAfter w:val="2"/>
          <w:wAfter w:w="1092" w:type="dxa"/>
          <w:trHeight w:val="152"/>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Arbutus unedo</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Mareja </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55497</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32446.0</w:t>
            </w:r>
          </w:p>
        </w:tc>
      </w:tr>
      <w:tr w:rsidR="00236F04" w:rsidRPr="00236F04" w:rsidTr="00236F04">
        <w:trPr>
          <w:gridAfter w:val="2"/>
          <w:wAfter w:w="1092" w:type="dxa"/>
          <w:trHeight w:val="188"/>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Asparagus officinalis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Ferremane</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10829</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206.3</w:t>
            </w:r>
          </w:p>
        </w:tc>
      </w:tr>
      <w:tr w:rsidR="00236F04" w:rsidRPr="00236F04" w:rsidTr="00236F04">
        <w:trPr>
          <w:gridAfter w:val="2"/>
          <w:wAfter w:w="1092" w:type="dxa"/>
          <w:trHeight w:val="215"/>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Bellis perennis </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Luleshqera</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3141</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152.7</w:t>
            </w:r>
          </w:p>
        </w:tc>
      </w:tr>
      <w:tr w:rsidR="00236F04" w:rsidRPr="00236F04" w:rsidTr="00236F04">
        <w:trPr>
          <w:gridAfter w:val="2"/>
          <w:wAfter w:w="1092" w:type="dxa"/>
          <w:trHeight w:val="152"/>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Castanea sativa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Gështenja</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10517</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6940.0</w:t>
            </w:r>
          </w:p>
        </w:tc>
      </w:tr>
      <w:tr w:rsidR="00236F04" w:rsidRPr="00236F04" w:rsidTr="00236F04">
        <w:trPr>
          <w:gridAfter w:val="2"/>
          <w:wAfter w:w="1092" w:type="dxa"/>
          <w:trHeight w:val="98"/>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Cichorium intybus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Çikore</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46795</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269.2</w:t>
            </w:r>
          </w:p>
        </w:tc>
      </w:tr>
      <w:tr w:rsidR="00236F04" w:rsidRPr="00236F04" w:rsidTr="00236F04">
        <w:trPr>
          <w:gridAfter w:val="2"/>
          <w:wAfter w:w="1092" w:type="dxa"/>
          <w:trHeight w:val="125"/>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6</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Colchicum automnale</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Xhirokulli</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1324</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11.2</w:t>
            </w:r>
          </w:p>
        </w:tc>
      </w:tr>
      <w:tr w:rsidR="00236F04" w:rsidRPr="00236F04" w:rsidTr="00236F04">
        <w:trPr>
          <w:gridAfter w:val="2"/>
          <w:wAfter w:w="1092" w:type="dxa"/>
          <w:trHeight w:val="152"/>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7</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Cornus mass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Thanë </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21494</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481.0</w:t>
            </w:r>
          </w:p>
        </w:tc>
      </w:tr>
      <w:tr w:rsidR="00236F04" w:rsidRPr="00236F04" w:rsidTr="00236F04">
        <w:trPr>
          <w:gridAfter w:val="2"/>
          <w:wAfter w:w="1092" w:type="dxa"/>
          <w:trHeight w:val="188"/>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8</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Corylus colurna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Lajthia</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12834</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171.3</w:t>
            </w:r>
          </w:p>
        </w:tc>
      </w:tr>
      <w:tr w:rsidR="00236F04" w:rsidRPr="00236F04" w:rsidTr="00236F04">
        <w:trPr>
          <w:gridAfter w:val="2"/>
          <w:wAfter w:w="1092" w:type="dxa"/>
          <w:trHeight w:val="215"/>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9</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Cotinus Coggygria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Cermedelli</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18304</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77.1</w:t>
            </w:r>
          </w:p>
        </w:tc>
      </w:tr>
      <w:tr w:rsidR="00236F04" w:rsidRPr="00236F04" w:rsidTr="00236F04">
        <w:trPr>
          <w:gridAfter w:val="2"/>
          <w:wAfter w:w="1092" w:type="dxa"/>
          <w:trHeight w:val="152"/>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10</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Crataegus monogyna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Murrizi njebërthamësh</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29270,3</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473.7</w:t>
            </w:r>
          </w:p>
        </w:tc>
      </w:tr>
      <w:tr w:rsidR="00236F04" w:rsidRPr="00236F04" w:rsidTr="00236F04">
        <w:trPr>
          <w:gridAfter w:val="2"/>
          <w:wAfter w:w="1092" w:type="dxa"/>
          <w:trHeight w:val="98"/>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11</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Cynedon dactylon</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Grami </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34025</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993.3</w:t>
            </w:r>
          </w:p>
        </w:tc>
      </w:tr>
      <w:tr w:rsidR="00236F04" w:rsidRPr="00236F04" w:rsidTr="00236F04">
        <w:trPr>
          <w:gridAfter w:val="2"/>
          <w:wAfter w:w="1092" w:type="dxa"/>
          <w:trHeight w:val="125"/>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12</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Fragaria vesca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Luleshtrydhja</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5349</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408.7</w:t>
            </w:r>
          </w:p>
        </w:tc>
      </w:tr>
      <w:tr w:rsidR="00236F04" w:rsidRPr="00236F04" w:rsidTr="00236F04">
        <w:trPr>
          <w:gridAfter w:val="2"/>
          <w:wAfter w:w="1092" w:type="dxa"/>
          <w:trHeight w:val="152"/>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13</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Hypericum perforatum</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Lulja e balsamit</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1233</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179.3</w:t>
            </w:r>
          </w:p>
        </w:tc>
      </w:tr>
      <w:tr w:rsidR="00236F04" w:rsidRPr="00236F04" w:rsidTr="00236F04">
        <w:trPr>
          <w:gridAfter w:val="2"/>
          <w:wAfter w:w="1092" w:type="dxa"/>
          <w:trHeight w:val="98"/>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14</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Juniperus communis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Dëllenja e zezë</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12662</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330.0</w:t>
            </w:r>
          </w:p>
        </w:tc>
      </w:tr>
      <w:tr w:rsidR="00236F04" w:rsidRPr="00236F04" w:rsidTr="00236F04">
        <w:trPr>
          <w:gridAfter w:val="2"/>
          <w:wAfter w:w="1092" w:type="dxa"/>
          <w:trHeight w:val="125"/>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15</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Juniperus oxycedrus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Dëllinjë e kuqe</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58022</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395.5</w:t>
            </w:r>
          </w:p>
        </w:tc>
      </w:tr>
      <w:tr w:rsidR="00236F04" w:rsidRPr="00236F04" w:rsidTr="00236F04">
        <w:trPr>
          <w:gridAfter w:val="2"/>
          <w:wAfter w:w="1092" w:type="dxa"/>
          <w:trHeight w:val="152"/>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16</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Laurus nobilis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Dafina</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788</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254.4</w:t>
            </w:r>
          </w:p>
        </w:tc>
      </w:tr>
      <w:tr w:rsidR="00236F04" w:rsidRPr="00236F04" w:rsidTr="00236F04">
        <w:trPr>
          <w:gridAfter w:val="2"/>
          <w:wAfter w:w="1092" w:type="dxa"/>
          <w:trHeight w:val="98"/>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17</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Malus sylvestris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Molla e eger</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5695,9</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253.1</w:t>
            </w:r>
          </w:p>
        </w:tc>
      </w:tr>
      <w:tr w:rsidR="00236F04" w:rsidRPr="00236F04" w:rsidTr="00236F04">
        <w:trPr>
          <w:gridAfter w:val="2"/>
          <w:wAfter w:w="1092" w:type="dxa"/>
          <w:trHeight w:val="125"/>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18</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Malva sylvestris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Mëllagë e egër </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46415</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52.6</w:t>
            </w:r>
          </w:p>
        </w:tc>
      </w:tr>
      <w:tr w:rsidR="00236F04" w:rsidRPr="00236F04" w:rsidTr="00236F04">
        <w:trPr>
          <w:gridAfter w:val="2"/>
          <w:wAfter w:w="1092" w:type="dxa"/>
          <w:trHeight w:val="242"/>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19</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Matricaria chamomilla </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Kamomili</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332</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0.0</w:t>
            </w:r>
          </w:p>
        </w:tc>
      </w:tr>
      <w:tr w:rsidR="00236F04" w:rsidRPr="00236F04" w:rsidTr="00236F04">
        <w:trPr>
          <w:gridAfter w:val="2"/>
          <w:wAfter w:w="1092" w:type="dxa"/>
          <w:trHeight w:val="1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20</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Melilotus officinalis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Jonxha e egër</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494</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96.5</w:t>
            </w:r>
          </w:p>
        </w:tc>
      </w:tr>
      <w:tr w:rsidR="00236F04" w:rsidRPr="00236F04" w:rsidTr="00236F04">
        <w:trPr>
          <w:gridAfter w:val="2"/>
          <w:wAfter w:w="1092" w:type="dxa"/>
          <w:trHeight w:val="107"/>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21</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Melissa officinalis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Bar blete</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575</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301.5</w:t>
            </w:r>
          </w:p>
        </w:tc>
      </w:tr>
      <w:tr w:rsidR="00236F04" w:rsidRPr="00236F04" w:rsidTr="00236F04">
        <w:trPr>
          <w:gridAfter w:val="2"/>
          <w:wAfter w:w="1092" w:type="dxa"/>
          <w:trHeight w:val="143"/>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22</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Mentha longifolia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Mendra gjethegjate</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29208</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102.0</w:t>
            </w:r>
          </w:p>
        </w:tc>
      </w:tr>
      <w:tr w:rsidR="00236F04" w:rsidRPr="00236F04" w:rsidTr="00236F04">
        <w:trPr>
          <w:gridAfter w:val="2"/>
          <w:wAfter w:w="1092" w:type="dxa"/>
          <w:trHeight w:val="26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23</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Mentha pulegium</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Mendra pulege</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49400</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195.5</w:t>
            </w:r>
          </w:p>
        </w:tc>
      </w:tr>
      <w:tr w:rsidR="00236F04" w:rsidRPr="00236F04" w:rsidTr="00236F04">
        <w:trPr>
          <w:gridAfter w:val="2"/>
          <w:wAfter w:w="1092" w:type="dxa"/>
          <w:trHeight w:val="1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24</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Myrtus communis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Mersina</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2593</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156.5</w:t>
            </w:r>
          </w:p>
        </w:tc>
      </w:tr>
      <w:tr w:rsidR="00236F04" w:rsidRPr="00236F04" w:rsidTr="00236F04">
        <w:trPr>
          <w:gridAfter w:val="2"/>
          <w:wAfter w:w="1092" w:type="dxa"/>
          <w:trHeight w:val="107"/>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25</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Ononis spinosa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Gjuhë nuse </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1985</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329.9</w:t>
            </w:r>
          </w:p>
        </w:tc>
      </w:tr>
      <w:tr w:rsidR="00236F04" w:rsidRPr="00236F04" w:rsidTr="00236F04">
        <w:trPr>
          <w:gridAfter w:val="2"/>
          <w:wAfter w:w="1092" w:type="dxa"/>
          <w:trHeight w:val="143"/>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26</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Origanum Vulgare</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Rigoni I kuq</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23.564</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200.3</w:t>
            </w:r>
          </w:p>
        </w:tc>
      </w:tr>
      <w:tr w:rsidR="00236F04" w:rsidRPr="00236F04" w:rsidTr="00236F04">
        <w:trPr>
          <w:gridAfter w:val="2"/>
          <w:wAfter w:w="1092" w:type="dxa"/>
          <w:trHeight w:val="1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27</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Origanum vulgare vavirride</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Rigoni i bardhe</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20190</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286.0</w:t>
            </w:r>
          </w:p>
        </w:tc>
      </w:tr>
      <w:tr w:rsidR="00236F04" w:rsidRPr="00236F04" w:rsidTr="00236F04">
        <w:trPr>
          <w:gridAfter w:val="2"/>
          <w:wAfter w:w="1092" w:type="dxa"/>
          <w:trHeight w:val="107"/>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28</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Paliuris Spinachristi</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Driza </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5267</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842.0</w:t>
            </w:r>
          </w:p>
        </w:tc>
      </w:tr>
      <w:tr w:rsidR="00236F04" w:rsidRPr="00236F04" w:rsidTr="00236F04">
        <w:trPr>
          <w:gridAfter w:val="2"/>
          <w:wAfter w:w="1092" w:type="dxa"/>
          <w:trHeight w:val="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29</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Papaver rhoeas </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Lulëkuqja </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11935</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56.7</w:t>
            </w:r>
          </w:p>
        </w:tc>
      </w:tr>
      <w:tr w:rsidR="00236F04" w:rsidRPr="00236F04" w:rsidTr="00236F04">
        <w:trPr>
          <w:gridAfter w:val="2"/>
          <w:wAfter w:w="1092" w:type="dxa"/>
          <w:trHeight w:val="8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30</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Pistacia lentiscus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Xina</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1500</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0.0</w:t>
            </w:r>
          </w:p>
        </w:tc>
      </w:tr>
      <w:tr w:rsidR="00236F04" w:rsidRPr="00236F04" w:rsidTr="00236F04">
        <w:trPr>
          <w:gridAfter w:val="2"/>
          <w:wAfter w:w="1092" w:type="dxa"/>
          <w:trHeight w:val="107"/>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31</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Plantago major</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Gjethedelli i madh</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22051</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47.0</w:t>
            </w:r>
          </w:p>
        </w:tc>
      </w:tr>
      <w:tr w:rsidR="00236F04" w:rsidRPr="00236F04" w:rsidTr="00236F04">
        <w:trPr>
          <w:gridAfter w:val="2"/>
          <w:wAfter w:w="1092" w:type="dxa"/>
          <w:trHeight w:val="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32</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Plantago media </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Gjethedelli i ndërmjetëm</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19096</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53.5</w:t>
            </w:r>
          </w:p>
        </w:tc>
      </w:tr>
      <w:tr w:rsidR="00236F04" w:rsidRPr="00236F04" w:rsidTr="00236F04">
        <w:trPr>
          <w:gridAfter w:val="2"/>
          <w:wAfter w:w="1092" w:type="dxa"/>
          <w:trHeight w:val="8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33</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Primula officinalis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Agulice</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1940</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70.8</w:t>
            </w:r>
          </w:p>
        </w:tc>
      </w:tr>
      <w:tr w:rsidR="00236F04" w:rsidRPr="00236F04" w:rsidTr="00236F04">
        <w:trPr>
          <w:gridAfter w:val="2"/>
          <w:wAfter w:w="1092" w:type="dxa"/>
          <w:trHeight w:val="107"/>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34</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Prunus spinosa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Kulumbria</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4765</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133.3</w:t>
            </w:r>
          </w:p>
        </w:tc>
      </w:tr>
      <w:tr w:rsidR="00236F04" w:rsidRPr="00236F04" w:rsidTr="00236F04">
        <w:trPr>
          <w:gridAfter w:val="2"/>
          <w:wAfter w:w="1092" w:type="dxa"/>
          <w:trHeight w:val="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35</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Punica granatum</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Shega e egër</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1180</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144.8</w:t>
            </w:r>
          </w:p>
        </w:tc>
      </w:tr>
      <w:tr w:rsidR="00236F04" w:rsidRPr="00236F04" w:rsidTr="00236F04">
        <w:trPr>
          <w:gridAfter w:val="2"/>
          <w:wAfter w:w="1092" w:type="dxa"/>
          <w:trHeight w:val="1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36</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Quercus aegilops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Valanidhi</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5767</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600.0</w:t>
            </w:r>
          </w:p>
        </w:tc>
      </w:tr>
      <w:tr w:rsidR="00236F04" w:rsidRPr="00236F04" w:rsidTr="00236F04">
        <w:trPr>
          <w:gridAfter w:val="2"/>
          <w:wAfter w:w="1092" w:type="dxa"/>
          <w:trHeight w:val="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37</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Robinia Pseudoacacia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Akacia</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4562</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381.0</w:t>
            </w:r>
          </w:p>
        </w:tc>
      </w:tr>
      <w:tr w:rsidR="00236F04" w:rsidRPr="00236F04" w:rsidTr="00236F04">
        <w:trPr>
          <w:gridAfter w:val="2"/>
          <w:wAfter w:w="1092" w:type="dxa"/>
          <w:trHeight w:val="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lastRenderedPageBreak/>
              <w:t>38</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Rosa canina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Trëndafili  i egër</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6216</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920.5</w:t>
            </w:r>
          </w:p>
        </w:tc>
      </w:tr>
      <w:tr w:rsidR="00236F04" w:rsidRPr="00236F04" w:rsidTr="00236F04">
        <w:trPr>
          <w:gridAfter w:val="2"/>
          <w:wAfter w:w="1092" w:type="dxa"/>
          <w:trHeight w:val="30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39</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Rubus ideaus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Mjedra</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2689</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469.9</w:t>
            </w:r>
          </w:p>
        </w:tc>
      </w:tr>
      <w:tr w:rsidR="00236F04" w:rsidRPr="00236F04" w:rsidTr="00236F04">
        <w:trPr>
          <w:gridAfter w:val="2"/>
          <w:wAfter w:w="1092" w:type="dxa"/>
          <w:trHeight w:val="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40</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Salix alba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Shelgu i bardhë</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307</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1917.5</w:t>
            </w:r>
          </w:p>
        </w:tc>
      </w:tr>
      <w:tr w:rsidR="00236F04" w:rsidRPr="00236F04" w:rsidTr="00236F04">
        <w:trPr>
          <w:gridAfter w:val="2"/>
          <w:wAfter w:w="1092" w:type="dxa"/>
          <w:trHeight w:val="125"/>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41</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Salvia officinalis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Sherebela</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26207</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2389.5</w:t>
            </w:r>
          </w:p>
        </w:tc>
      </w:tr>
      <w:tr w:rsidR="00236F04" w:rsidRPr="00236F04" w:rsidTr="00236F04">
        <w:trPr>
          <w:gridAfter w:val="2"/>
          <w:wAfter w:w="1092" w:type="dxa"/>
          <w:trHeight w:val="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42</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Salvia sclarea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Shengjini</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433</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35.4</w:t>
            </w:r>
          </w:p>
        </w:tc>
      </w:tr>
      <w:tr w:rsidR="00236F04" w:rsidRPr="00236F04" w:rsidTr="00236F04">
        <w:trPr>
          <w:gridAfter w:val="2"/>
          <w:wAfter w:w="1092" w:type="dxa"/>
          <w:trHeight w:val="98"/>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43</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Sambucus ebulus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Shtog </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351</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51.1</w:t>
            </w:r>
          </w:p>
        </w:tc>
      </w:tr>
      <w:tr w:rsidR="00236F04" w:rsidRPr="00236F04" w:rsidTr="00236F04">
        <w:trPr>
          <w:gridAfter w:val="2"/>
          <w:wAfter w:w="1092" w:type="dxa"/>
          <w:trHeight w:val="125"/>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44</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Sambucus nigra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Shtog i zi</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468,05</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108.1</w:t>
            </w:r>
          </w:p>
        </w:tc>
      </w:tr>
      <w:tr w:rsidR="00236F04" w:rsidRPr="00236F04" w:rsidTr="00236F04">
        <w:trPr>
          <w:gridAfter w:val="2"/>
          <w:wAfter w:w="1092" w:type="dxa"/>
          <w:trHeight w:val="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45</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Sambucus obulus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Qingel</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634</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147.2</w:t>
            </w:r>
          </w:p>
        </w:tc>
      </w:tr>
      <w:tr w:rsidR="00236F04" w:rsidRPr="00236F04" w:rsidTr="00236F04">
        <w:trPr>
          <w:gridAfter w:val="2"/>
          <w:wAfter w:w="1092" w:type="dxa"/>
          <w:trHeight w:val="98"/>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46</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Satureia montana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Trumza</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23324</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887.8</w:t>
            </w:r>
          </w:p>
        </w:tc>
      </w:tr>
      <w:tr w:rsidR="00236F04" w:rsidRPr="00236F04" w:rsidTr="00236F04">
        <w:trPr>
          <w:gridAfter w:val="2"/>
          <w:wAfter w:w="1092" w:type="dxa"/>
          <w:trHeight w:val="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47</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Scilla martima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Qepë deti</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2867</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84.8</w:t>
            </w:r>
          </w:p>
        </w:tc>
      </w:tr>
      <w:tr w:rsidR="00236F04" w:rsidRPr="00236F04" w:rsidTr="00236F04">
        <w:trPr>
          <w:gridAfter w:val="2"/>
          <w:wAfter w:w="1092" w:type="dxa"/>
          <w:trHeight w:val="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48</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Sideritis roesseri</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Çaji I malit</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13765</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91.7</w:t>
            </w:r>
          </w:p>
        </w:tc>
      </w:tr>
      <w:tr w:rsidR="00236F04" w:rsidRPr="00236F04" w:rsidTr="00236F04">
        <w:trPr>
          <w:gridAfter w:val="2"/>
          <w:wAfter w:w="1092" w:type="dxa"/>
          <w:trHeight w:val="98"/>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49</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Silybium marienum</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Gjemb gomari </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21436</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61.7</w:t>
            </w:r>
          </w:p>
        </w:tc>
      </w:tr>
      <w:tr w:rsidR="00236F04" w:rsidRPr="00236F04" w:rsidTr="00236F04">
        <w:trPr>
          <w:gridAfter w:val="2"/>
          <w:wAfter w:w="1092" w:type="dxa"/>
          <w:trHeight w:val="125"/>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50</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Tercium polium</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Bar majaselli</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14492</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275.8</w:t>
            </w:r>
          </w:p>
        </w:tc>
      </w:tr>
      <w:tr w:rsidR="00236F04" w:rsidRPr="00236F04" w:rsidTr="00236F04">
        <w:trPr>
          <w:gridAfter w:val="2"/>
          <w:wAfter w:w="1092" w:type="dxa"/>
          <w:trHeight w:val="152"/>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51</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Teucrium chamaedrys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Arrësi dushkvogël</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11950</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261.0</w:t>
            </w:r>
          </w:p>
        </w:tc>
      </w:tr>
      <w:tr w:rsidR="00236F04" w:rsidRPr="00236F04" w:rsidTr="00236F04">
        <w:trPr>
          <w:gridAfter w:val="2"/>
          <w:wAfter w:w="1092" w:type="dxa"/>
          <w:trHeight w:val="98"/>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52</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Thymus vulgaris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 Timusi</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5513</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242.0</w:t>
            </w:r>
          </w:p>
        </w:tc>
      </w:tr>
      <w:tr w:rsidR="00236F04" w:rsidRPr="00236F04" w:rsidTr="00236F04">
        <w:trPr>
          <w:gridAfter w:val="2"/>
          <w:wAfter w:w="1092" w:type="dxa"/>
          <w:trHeight w:val="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53</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Tilia Argentea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Bliri i Argjendtë</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666</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42.0</w:t>
            </w:r>
          </w:p>
        </w:tc>
      </w:tr>
      <w:tr w:rsidR="00236F04" w:rsidRPr="00236F04" w:rsidTr="00236F04">
        <w:trPr>
          <w:gridAfter w:val="2"/>
          <w:wAfter w:w="1092" w:type="dxa"/>
          <w:trHeight w:val="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54</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Tilia platyphyllos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Bliri gjethevogël</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386</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80.9</w:t>
            </w:r>
          </w:p>
        </w:tc>
      </w:tr>
      <w:tr w:rsidR="00236F04" w:rsidRPr="00236F04" w:rsidTr="00236F04">
        <w:trPr>
          <w:gridAfter w:val="2"/>
          <w:wAfter w:w="1092" w:type="dxa"/>
          <w:trHeight w:val="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55</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Trfolium arvense</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Terfili I bardhe</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1329</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84.5</w:t>
            </w:r>
          </w:p>
        </w:tc>
      </w:tr>
      <w:tr w:rsidR="00236F04" w:rsidRPr="00236F04" w:rsidTr="00236F04">
        <w:trPr>
          <w:gridAfter w:val="2"/>
          <w:wAfter w:w="1092" w:type="dxa"/>
          <w:trHeight w:val="125"/>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56</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Trifolium pratense</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Terfili I kuq</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1656</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114.6</w:t>
            </w:r>
          </w:p>
        </w:tc>
      </w:tr>
      <w:tr w:rsidR="00236F04" w:rsidRPr="00236F04" w:rsidTr="00236F04">
        <w:trPr>
          <w:gridAfter w:val="2"/>
          <w:wAfter w:w="1092" w:type="dxa"/>
          <w:trHeight w:val="70"/>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57</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Tussilago farfara</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Thundërmushka</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23217</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286.0</w:t>
            </w:r>
          </w:p>
        </w:tc>
      </w:tr>
      <w:tr w:rsidR="00236F04" w:rsidRPr="00236F04" w:rsidTr="00236F04">
        <w:trPr>
          <w:gridAfter w:val="2"/>
          <w:wAfter w:w="1092" w:type="dxa"/>
          <w:trHeight w:val="98"/>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58</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Vaccinium myrtillus</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Boronica</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14352</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FF"/>
                <w:sz w:val="24"/>
                <w:szCs w:val="24"/>
              </w:rPr>
            </w:pPr>
            <w:r w:rsidRPr="00236F04">
              <w:rPr>
                <w:rFonts w:ascii="Times New Roman" w:eastAsia="Times New Roman" w:hAnsi="Times New Roman" w:cs="Times New Roman"/>
                <w:color w:val="0000FF"/>
                <w:sz w:val="24"/>
                <w:szCs w:val="24"/>
              </w:rPr>
              <w:t>392.4</w:t>
            </w:r>
          </w:p>
        </w:tc>
      </w:tr>
      <w:tr w:rsidR="00236F04" w:rsidRPr="00236F04" w:rsidTr="00236F04">
        <w:trPr>
          <w:gridAfter w:val="2"/>
          <w:wAfter w:w="1092" w:type="dxa"/>
          <w:trHeight w:val="125"/>
        </w:trPr>
        <w:tc>
          <w:tcPr>
            <w:tcW w:w="550"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4"/>
                <w:szCs w:val="24"/>
              </w:rPr>
            </w:pPr>
            <w:r w:rsidRPr="00236F04">
              <w:rPr>
                <w:rFonts w:ascii="Times New Roman" w:eastAsia="Times New Roman" w:hAnsi="Times New Roman" w:cs="Times New Roman"/>
                <w:color w:val="000000"/>
                <w:sz w:val="24"/>
                <w:szCs w:val="24"/>
              </w:rPr>
              <w:t> </w:t>
            </w:r>
          </w:p>
        </w:tc>
        <w:tc>
          <w:tcPr>
            <w:tcW w:w="3051" w:type="dxa"/>
            <w:gridSpan w:val="6"/>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b/>
                <w:bCs/>
                <w:sz w:val="24"/>
                <w:szCs w:val="24"/>
              </w:rPr>
            </w:pPr>
            <w:r w:rsidRPr="00236F04">
              <w:rPr>
                <w:rFonts w:ascii="Times New Roman" w:eastAsia="Times New Roman" w:hAnsi="Times New Roman" w:cs="Times New Roman"/>
                <w:b/>
                <w:bCs/>
                <w:sz w:val="24"/>
                <w:szCs w:val="24"/>
              </w:rPr>
              <w:t xml:space="preserve">Totali </w:t>
            </w:r>
          </w:p>
        </w:tc>
        <w:tc>
          <w:tcPr>
            <w:tcW w:w="2736" w:type="dxa"/>
            <w:gridSpan w:val="4"/>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b/>
                <w:bCs/>
                <w:color w:val="000000"/>
                <w:sz w:val="24"/>
                <w:szCs w:val="24"/>
              </w:rPr>
            </w:pPr>
            <w:r w:rsidRPr="00236F04">
              <w:rPr>
                <w:rFonts w:ascii="Times New Roman" w:eastAsia="Times New Roman" w:hAnsi="Times New Roman" w:cs="Times New Roman"/>
                <w:b/>
                <w:bCs/>
                <w:color w:val="000000"/>
                <w:sz w:val="24"/>
                <w:szCs w:val="24"/>
              </w:rPr>
              <w:t> </w:t>
            </w:r>
          </w:p>
        </w:tc>
        <w:tc>
          <w:tcPr>
            <w:tcW w:w="1356"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b/>
                <w:bCs/>
                <w:color w:val="000000"/>
                <w:sz w:val="24"/>
                <w:szCs w:val="24"/>
              </w:rPr>
            </w:pPr>
            <w:r w:rsidRPr="00236F04">
              <w:rPr>
                <w:rFonts w:ascii="Times New Roman" w:eastAsia="Times New Roman" w:hAnsi="Times New Roman" w:cs="Times New Roman"/>
                <w:b/>
                <w:bCs/>
                <w:color w:val="000000"/>
                <w:sz w:val="24"/>
                <w:szCs w:val="24"/>
              </w:rPr>
              <w:t>693882.564</w:t>
            </w:r>
          </w:p>
        </w:tc>
        <w:tc>
          <w:tcPr>
            <w:tcW w:w="1504" w:type="dxa"/>
            <w:gridSpan w:val="2"/>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b/>
                <w:bCs/>
                <w:color w:val="000000"/>
                <w:sz w:val="24"/>
                <w:szCs w:val="24"/>
              </w:rPr>
            </w:pPr>
            <w:r w:rsidRPr="00236F04">
              <w:rPr>
                <w:rFonts w:ascii="Times New Roman" w:eastAsia="Times New Roman" w:hAnsi="Times New Roman" w:cs="Times New Roman"/>
                <w:b/>
                <w:bCs/>
                <w:color w:val="000000"/>
                <w:sz w:val="24"/>
                <w:szCs w:val="24"/>
              </w:rPr>
              <w:t>57037.2</w:t>
            </w:r>
          </w:p>
        </w:tc>
      </w:tr>
    </w:tbl>
    <w:p w:rsidR="00236F04" w:rsidRPr="00236F04" w:rsidRDefault="00236F04" w:rsidP="00236F04">
      <w:pPr>
        <w:spacing w:after="0" w:line="240" w:lineRule="auto"/>
        <w:jc w:val="both"/>
        <w:rPr>
          <w:rFonts w:ascii="Times New Roman" w:eastAsia="Calibri" w:hAnsi="Times New Roman" w:cs="Times New Roman"/>
          <w:b/>
          <w:bCs/>
          <w:i/>
          <w:iCs/>
          <w:sz w:val="24"/>
          <w:szCs w:val="24"/>
          <w:lang w:val="sq-AL"/>
        </w:rPr>
      </w:pPr>
      <w:r w:rsidRPr="00236F04">
        <w:rPr>
          <w:rFonts w:ascii="Times New Roman" w:eastAsia="Calibri" w:hAnsi="Times New Roman" w:cs="Times New Roman"/>
          <w:b/>
          <w:bCs/>
          <w:i/>
          <w:iCs/>
          <w:sz w:val="24"/>
          <w:szCs w:val="24"/>
          <w:lang w:val="sq-AL"/>
        </w:rPr>
        <w:t>Shënim: Burimi i të</w:t>
      </w:r>
      <w:r w:rsidR="00B475FE">
        <w:rPr>
          <w:rFonts w:ascii="Times New Roman" w:eastAsia="Calibri" w:hAnsi="Times New Roman" w:cs="Times New Roman"/>
          <w:b/>
          <w:bCs/>
          <w:i/>
          <w:iCs/>
          <w:sz w:val="24"/>
          <w:szCs w:val="24"/>
          <w:lang w:val="sq-AL"/>
        </w:rPr>
        <w:t xml:space="preserve"> </w:t>
      </w:r>
      <w:r w:rsidRPr="00236F04">
        <w:rPr>
          <w:rFonts w:ascii="Times New Roman" w:eastAsia="Calibri" w:hAnsi="Times New Roman" w:cs="Times New Roman"/>
          <w:b/>
          <w:bCs/>
          <w:i/>
          <w:iCs/>
          <w:sz w:val="24"/>
          <w:szCs w:val="24"/>
          <w:lang w:val="sq-AL"/>
        </w:rPr>
        <w:t xml:space="preserve">dhënave </w:t>
      </w:r>
      <w:r w:rsidR="00B475FE">
        <w:rPr>
          <w:rFonts w:ascii="Times New Roman" w:eastAsia="Calibri" w:hAnsi="Times New Roman" w:cs="Times New Roman"/>
          <w:b/>
          <w:bCs/>
          <w:i/>
          <w:iCs/>
          <w:sz w:val="24"/>
          <w:szCs w:val="24"/>
          <w:lang w:val="sq-AL"/>
        </w:rPr>
        <w:t>nga inventari i viteve të mëparshëm për bimë</w:t>
      </w:r>
      <w:r w:rsidRPr="00236F04">
        <w:rPr>
          <w:rFonts w:ascii="Times New Roman" w:eastAsia="Calibri" w:hAnsi="Times New Roman" w:cs="Times New Roman"/>
          <w:b/>
          <w:bCs/>
          <w:i/>
          <w:iCs/>
          <w:sz w:val="24"/>
          <w:szCs w:val="24"/>
          <w:lang w:val="sq-AL"/>
        </w:rPr>
        <w:t>t mjek</w:t>
      </w:r>
      <w:r w:rsidR="00B475FE">
        <w:rPr>
          <w:rFonts w:ascii="Times New Roman" w:eastAsia="Calibri" w:hAnsi="Times New Roman" w:cs="Times New Roman"/>
          <w:b/>
          <w:bCs/>
          <w:i/>
          <w:iCs/>
          <w:sz w:val="24"/>
          <w:szCs w:val="24"/>
          <w:lang w:val="sq-AL"/>
        </w:rPr>
        <w:t>ë</w:t>
      </w:r>
      <w:r w:rsidRPr="00236F04">
        <w:rPr>
          <w:rFonts w:ascii="Times New Roman" w:eastAsia="Calibri" w:hAnsi="Times New Roman" w:cs="Times New Roman"/>
          <w:b/>
          <w:bCs/>
          <w:i/>
          <w:iCs/>
          <w:sz w:val="24"/>
          <w:szCs w:val="24"/>
          <w:lang w:val="sq-AL"/>
        </w:rPr>
        <w:t>sore dhe aromatike.</w:t>
      </w:r>
    </w:p>
    <w:tbl>
      <w:tblPr>
        <w:tblW w:w="9800" w:type="dxa"/>
        <w:tblLook w:val="04A0" w:firstRow="1" w:lastRow="0" w:firstColumn="1" w:lastColumn="0" w:noHBand="0" w:noVBand="1"/>
      </w:tblPr>
      <w:tblGrid>
        <w:gridCol w:w="9800"/>
      </w:tblGrid>
      <w:tr w:rsidR="00236F04" w:rsidRPr="00236F04" w:rsidTr="00236F04">
        <w:trPr>
          <w:trHeight w:val="315"/>
        </w:trPr>
        <w:tc>
          <w:tcPr>
            <w:tcW w:w="9800" w:type="dxa"/>
            <w:tcBorders>
              <w:top w:val="nil"/>
              <w:left w:val="nil"/>
              <w:bottom w:val="nil"/>
            </w:tcBorders>
            <w:noWrap/>
            <w:vAlign w:val="bottom"/>
            <w:hideMark/>
          </w:tcPr>
          <w:p w:rsidR="00236F04" w:rsidRPr="00236F04" w:rsidRDefault="002A64D6" w:rsidP="00236F0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Tabela 70</w:t>
            </w:r>
            <w:r w:rsidR="00D60B7B">
              <w:rPr>
                <w:rFonts w:ascii="Times New Roman" w:eastAsia="Times New Roman" w:hAnsi="Times New Roman" w:cs="Times New Roman"/>
                <w:color w:val="000000"/>
                <w:sz w:val="24"/>
                <w:szCs w:val="24"/>
              </w:rPr>
              <w:t>.</w:t>
            </w:r>
            <w:r w:rsidR="00261BD4">
              <w:rPr>
                <w:rFonts w:ascii="Times New Roman" w:eastAsia="Times New Roman" w:hAnsi="Times New Roman" w:cs="Times New Roman"/>
                <w:color w:val="000000"/>
                <w:sz w:val="24"/>
                <w:szCs w:val="24"/>
              </w:rPr>
              <w:t>Sasia e prodhimeve të dyta bimë</w:t>
            </w:r>
            <w:r w:rsidR="00236F04" w:rsidRPr="00236F04">
              <w:rPr>
                <w:rFonts w:ascii="Times New Roman" w:eastAsia="Times New Roman" w:hAnsi="Times New Roman" w:cs="Times New Roman"/>
                <w:color w:val="000000"/>
                <w:sz w:val="24"/>
                <w:szCs w:val="24"/>
              </w:rPr>
              <w:t>ve mjek</w:t>
            </w:r>
            <w:r w:rsidR="00B475FE">
              <w:rPr>
                <w:rFonts w:ascii="Times New Roman" w:eastAsia="Times New Roman" w:hAnsi="Times New Roman" w:cs="Times New Roman"/>
                <w:color w:val="000000"/>
                <w:sz w:val="24"/>
                <w:szCs w:val="24"/>
              </w:rPr>
              <w:t>ë</w:t>
            </w:r>
            <w:r w:rsidR="00236F04" w:rsidRPr="00236F04">
              <w:rPr>
                <w:rFonts w:ascii="Times New Roman" w:eastAsia="Times New Roman" w:hAnsi="Times New Roman" w:cs="Times New Roman"/>
                <w:color w:val="000000"/>
                <w:sz w:val="24"/>
                <w:szCs w:val="24"/>
              </w:rPr>
              <w:t>sore dhe aromatike të grumbulluar</w:t>
            </w:r>
            <w:r w:rsidR="00D60B7B">
              <w:rPr>
                <w:rFonts w:ascii="Times New Roman" w:eastAsia="Times New Roman" w:hAnsi="Times New Roman" w:cs="Times New Roman"/>
                <w:color w:val="000000"/>
                <w:sz w:val="24"/>
                <w:szCs w:val="24"/>
              </w:rPr>
              <w:t>,</w:t>
            </w:r>
            <w:r w:rsidR="00236F04" w:rsidRPr="00236F04">
              <w:rPr>
                <w:rFonts w:ascii="Times New Roman" w:eastAsia="Times New Roman" w:hAnsi="Times New Roman" w:cs="Times New Roman"/>
                <w:color w:val="000000"/>
                <w:sz w:val="24"/>
                <w:szCs w:val="24"/>
              </w:rPr>
              <w:t xml:space="preserve"> 2025. </w:t>
            </w:r>
          </w:p>
          <w:p w:rsidR="00236F04" w:rsidRPr="00236F04" w:rsidRDefault="00236F04" w:rsidP="00236F04">
            <w:pPr>
              <w:spacing w:after="0" w:line="240" w:lineRule="auto"/>
              <w:jc w:val="center"/>
              <w:rPr>
                <w:rFonts w:ascii="Times New Roman" w:eastAsia="Calibri" w:hAnsi="Times New Roman" w:cs="Times New Roman"/>
                <w:sz w:val="24"/>
                <w:szCs w:val="24"/>
              </w:rPr>
            </w:pPr>
          </w:p>
          <w:tbl>
            <w:tblPr>
              <w:tblW w:w="5685" w:type="dxa"/>
              <w:tblLook w:val="04A0" w:firstRow="1" w:lastRow="0" w:firstColumn="1" w:lastColumn="0" w:noHBand="0" w:noVBand="1"/>
            </w:tblPr>
            <w:tblGrid>
              <w:gridCol w:w="551"/>
              <w:gridCol w:w="3569"/>
              <w:gridCol w:w="1565"/>
            </w:tblGrid>
            <w:tr w:rsidR="00236F04" w:rsidRPr="00236F04" w:rsidTr="00236F04">
              <w:trPr>
                <w:trHeight w:val="315"/>
              </w:trPr>
              <w:tc>
                <w:tcPr>
                  <w:tcW w:w="551"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Calibri" w:eastAsia="Times New Roman" w:hAnsi="Calibri" w:cs="Calibri"/>
                      <w:color w:val="000000"/>
                    </w:rPr>
                  </w:pPr>
                  <w:r w:rsidRPr="00236F04">
                    <w:rPr>
                      <w:rFonts w:ascii="Calibri" w:eastAsia="Times New Roman" w:hAnsi="Calibri" w:cs="Calibri"/>
                      <w:color w:val="000000"/>
                    </w:rPr>
                    <w:t>Nr.</w:t>
                  </w:r>
                </w:p>
              </w:tc>
              <w:tc>
                <w:tcPr>
                  <w:tcW w:w="3569" w:type="dxa"/>
                  <w:tcBorders>
                    <w:top w:val="single" w:sz="4" w:space="0" w:color="auto"/>
                    <w:left w:val="nil"/>
                    <w:bottom w:val="single" w:sz="4" w:space="0" w:color="auto"/>
                    <w:right w:val="single" w:sz="4" w:space="0" w:color="auto"/>
                  </w:tcBorders>
                  <w:noWrap/>
                  <w:vAlign w:val="center"/>
                  <w:hideMark/>
                </w:tcPr>
                <w:p w:rsidR="00236F04" w:rsidRPr="00236F04" w:rsidRDefault="00236F04" w:rsidP="00236F04">
                  <w:pPr>
                    <w:spacing w:after="0" w:line="240" w:lineRule="auto"/>
                    <w:jc w:val="center"/>
                    <w:rPr>
                      <w:rFonts w:ascii="Times New Roman" w:eastAsia="Times New Roman" w:hAnsi="Times New Roman" w:cs="Times New Roman"/>
                      <w:b/>
                      <w:bCs/>
                      <w:color w:val="000000"/>
                      <w:sz w:val="20"/>
                      <w:szCs w:val="20"/>
                    </w:rPr>
                  </w:pPr>
                  <w:r w:rsidRPr="00236F04">
                    <w:rPr>
                      <w:rFonts w:ascii="Times New Roman" w:eastAsia="Times New Roman" w:hAnsi="Times New Roman" w:cs="Times New Roman"/>
                      <w:b/>
                      <w:bCs/>
                      <w:color w:val="000000"/>
                      <w:sz w:val="20"/>
                      <w:szCs w:val="20"/>
                    </w:rPr>
                    <w:t xml:space="preserve">LLOJI </w:t>
                  </w:r>
                </w:p>
              </w:tc>
              <w:tc>
                <w:tcPr>
                  <w:tcW w:w="1565" w:type="dxa"/>
                  <w:tcBorders>
                    <w:top w:val="single" w:sz="4" w:space="0" w:color="auto"/>
                    <w:left w:val="nil"/>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b/>
                      <w:bCs/>
                      <w:color w:val="000000"/>
                      <w:sz w:val="20"/>
                      <w:szCs w:val="20"/>
                    </w:rPr>
                  </w:pPr>
                  <w:r w:rsidRPr="00236F04">
                    <w:rPr>
                      <w:rFonts w:ascii="Times New Roman" w:eastAsia="Times New Roman" w:hAnsi="Times New Roman" w:cs="Times New Roman"/>
                      <w:b/>
                      <w:bCs/>
                      <w:color w:val="000000"/>
                      <w:sz w:val="20"/>
                      <w:szCs w:val="20"/>
                    </w:rPr>
                    <w:t>PESHA NETO (KG)</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AGULICE</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35158</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2</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BAR BLETE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32435.56</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3</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BAR GERMANDRI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4</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BAR GJAKU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1500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5</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BAR MACE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800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6</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BAR PATE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10475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7</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BAR PESHKU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11790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8</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BARI I SHPRETKES</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9</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BIMA E GRUAS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10</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BIME MEDICINALE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4706613.76</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11</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BISHT KALI</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45266.85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12</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BISHT QERSHIE</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13</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BORONICE</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5865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14</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BRUSNICE</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1189.2</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15</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CAJ MALI</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20993</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16</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CAJRA TE NDRYSHEM INFUSION</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8959.985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17</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DAFINE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20050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18</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DELLENJE E ZEZE</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66875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19</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DELLINJE E KUQE</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20</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FIER GURI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4500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21</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FLETE DELL I NGUSHTE</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22</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FERRE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476080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23</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MANAFERRE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2340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24</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FLETE MENGJERISHTE</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25</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FRUT MOLLE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8700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26</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FRUT MURRIZI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27</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FRUT TRENDAFILI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30631</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28</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GJUHE NUSE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13890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29</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GRAM</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75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30</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HITHER</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204255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31</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JONXHE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7000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32</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KALENDULA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750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33</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KAMOMIL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519828.25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34</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KINE FUSHE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12800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35</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KONOPICE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34000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36</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LEVORE ARRE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1600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37</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LEVORE DRUNAKUQI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8200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38</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LEVORE FASULE</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8020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39</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LEVORE POROKALLI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5680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40</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BASANI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58475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41</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BLIRI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11325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42</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CIANI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11535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lastRenderedPageBreak/>
                    <w:t>43</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CIANI BLU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7594</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44</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CIANI I KUQ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255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45</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CISTUS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46</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DELE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47</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GESHTENJE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60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48</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KALENDULA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3044</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49</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LEPUSHKE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2500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50</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MANUSHAQE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203</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51</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MESHTEKNE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26045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52</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LULE MURRIZI</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65055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53</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SHQOPE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54</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LULE SHTOGU</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52978</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55</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SHTOGU I ZI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56</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TRENDAFILI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57</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VERBASKUMI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13750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58</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 VERDHE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59</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LULESHTRYDHE E EGER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700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60</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MANAFERRA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131200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61</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MENGJERISHTE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3800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62</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MENISHTE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5010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63</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MENTE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17545.66</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64</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MJEDER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21230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65</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MOLLE E EGER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130390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66</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MOLLE ORGANIKE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2500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67</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MURRIZ</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9000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68</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MUSTAQE MISRI</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900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69</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PELIN I BARDHE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1808</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70</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PETALE LULEDIELLI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71</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PLUHUR RRENJE KOMFREI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22</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72</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QERBASHI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5900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73</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RIGON I BARDHE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65898</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74</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RIGON I KUQ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15440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75</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ROZMARINE</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17957</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76</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RRENJE ALKANE</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77</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RRENJE HISLLE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10325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78</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RRENJE LLAPOJ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8400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79</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RRENJE RRODHE</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550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80</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RRENJE RRUSHKULLI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50340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81</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RRENJE SHPATORE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3481</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82</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RRUSHKULL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20000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83</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SALEP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250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84</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SERICE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3600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85</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SHEREBEL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4486240.55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86</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SHPENDRA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960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87</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SHTOG</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48535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88</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SYTHA PISHE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2400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lastRenderedPageBreak/>
                    <w:t>89</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TERFIL I KUQ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25335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90</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THUNDERMUSHKE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14200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91</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TRUMZE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209414</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92</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URTH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139855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93</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VERBENA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17300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94</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ZHUMRICE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53570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95</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LAVANDER</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96834.1</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96</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 NJEMIJFLETESHI</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6550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97</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THUPRA SHELGU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5435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98</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RRENJE GJUHE NUSE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15220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99</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LENDE LISI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1750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100</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RRUSH ARIU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7740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101</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BARISHTE ZJARRI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4314</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102</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MUSTAQE MISRI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103</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LULE SHURDHE</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336110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104</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MULLAGE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46760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105</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ULLIRI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31570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106</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FLETE EUKALIPTI</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17355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107</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MJEDRE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12135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108</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DELLI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2775</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109</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FLETE LUIZA</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110</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LEPUSHKE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150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111</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GESHTENJE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3750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112</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HISLLE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113</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FLETE MESHTEKNE</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16060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114</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FRASHERI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4000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115</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MURRIZI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8000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116</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TRENDAFILI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4000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117</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MENISHTE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118</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FLETE BLIRI</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10210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119</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ALKEMILA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350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120</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FLETE VESHTULLE</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50.6</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121</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LULESHTRYDHE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122</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ASPERULA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200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123</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QERSHIE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11000</w:t>
                  </w:r>
                </w:p>
              </w:tc>
            </w:tr>
            <w:tr w:rsidR="00236F04" w:rsidRPr="00236F04" w:rsidTr="00236F04">
              <w:trPr>
                <w:trHeight w:val="255"/>
              </w:trPr>
              <w:tc>
                <w:tcPr>
                  <w:tcW w:w="551" w:type="dxa"/>
                  <w:tcBorders>
                    <w:top w:val="nil"/>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Calibri" w:eastAsia="Times New Roman" w:hAnsi="Calibri" w:cs="Calibri"/>
                      <w:color w:val="000000"/>
                    </w:rPr>
                  </w:pPr>
                  <w:r w:rsidRPr="00236F04">
                    <w:rPr>
                      <w:rFonts w:ascii="Calibri" w:eastAsia="Times New Roman" w:hAnsi="Calibri" w:cs="Calibri"/>
                      <w:color w:val="000000"/>
                    </w:rPr>
                    <w:t>124</w:t>
                  </w:r>
                </w:p>
              </w:tc>
              <w:tc>
                <w:tcPr>
                  <w:tcW w:w="3569"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 xml:space="preserve">FLETE VERBASKUMI </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color w:val="000000"/>
                      <w:sz w:val="20"/>
                      <w:szCs w:val="20"/>
                    </w:rPr>
                  </w:pPr>
                  <w:r w:rsidRPr="00236F04">
                    <w:rPr>
                      <w:rFonts w:ascii="Times New Roman" w:eastAsia="Times New Roman" w:hAnsi="Times New Roman" w:cs="Times New Roman"/>
                      <w:color w:val="000000"/>
                      <w:sz w:val="20"/>
                      <w:szCs w:val="20"/>
                    </w:rPr>
                    <w:t>380</w:t>
                  </w:r>
                </w:p>
              </w:tc>
            </w:tr>
            <w:tr w:rsidR="00236F04" w:rsidRPr="00236F04" w:rsidTr="00236F04">
              <w:trPr>
                <w:trHeight w:val="255"/>
              </w:trPr>
              <w:tc>
                <w:tcPr>
                  <w:tcW w:w="4120" w:type="dxa"/>
                  <w:gridSpan w:val="2"/>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b/>
                      <w:bCs/>
                      <w:color w:val="000000"/>
                      <w:sz w:val="20"/>
                      <w:szCs w:val="20"/>
                    </w:rPr>
                  </w:pPr>
                  <w:r w:rsidRPr="00236F04">
                    <w:rPr>
                      <w:rFonts w:ascii="Times New Roman" w:eastAsia="Times New Roman" w:hAnsi="Times New Roman" w:cs="Times New Roman"/>
                      <w:b/>
                      <w:bCs/>
                      <w:color w:val="000000"/>
                      <w:sz w:val="20"/>
                      <w:szCs w:val="20"/>
                    </w:rPr>
                    <w:t>TOTAL</w:t>
                  </w:r>
                </w:p>
              </w:tc>
              <w:tc>
                <w:tcPr>
                  <w:tcW w:w="1565" w:type="dxa"/>
                  <w:tcBorders>
                    <w:top w:val="nil"/>
                    <w:left w:val="nil"/>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b/>
                      <w:bCs/>
                      <w:color w:val="000000"/>
                      <w:sz w:val="20"/>
                      <w:szCs w:val="20"/>
                    </w:rPr>
                  </w:pPr>
                  <w:r w:rsidRPr="00236F04">
                    <w:rPr>
                      <w:rFonts w:ascii="Times New Roman" w:eastAsia="Times New Roman" w:hAnsi="Times New Roman" w:cs="Times New Roman"/>
                      <w:b/>
                      <w:bCs/>
                      <w:color w:val="000000"/>
                      <w:sz w:val="20"/>
                      <w:szCs w:val="20"/>
                    </w:rPr>
                    <w:t>12752889.52</w:t>
                  </w:r>
                </w:p>
              </w:tc>
            </w:tr>
          </w:tbl>
          <w:p w:rsidR="00236F04" w:rsidRPr="00236F04" w:rsidRDefault="00236F04" w:rsidP="00236F04">
            <w:pPr>
              <w:spacing w:after="0" w:line="240" w:lineRule="auto"/>
              <w:jc w:val="center"/>
              <w:rPr>
                <w:rFonts w:ascii="Times New Roman" w:eastAsia="Calibri" w:hAnsi="Times New Roman" w:cs="Times New Roman"/>
                <w:sz w:val="20"/>
                <w:szCs w:val="20"/>
              </w:rPr>
            </w:pPr>
          </w:p>
          <w:p w:rsidR="00236F04" w:rsidRPr="00236F04" w:rsidRDefault="00236F04" w:rsidP="00236F04">
            <w:pPr>
              <w:rPr>
                <w:rFonts w:ascii="Times New Roman" w:eastAsia="Calibri" w:hAnsi="Times New Roman" w:cs="Times New Roman"/>
                <w:b/>
                <w:bCs/>
                <w:color w:val="000000"/>
                <w:sz w:val="24"/>
                <w:szCs w:val="24"/>
              </w:rPr>
            </w:pPr>
            <w:r w:rsidRPr="00236F04">
              <w:rPr>
                <w:rFonts w:ascii="Times New Roman" w:eastAsia="Calibri" w:hAnsi="Times New Roman" w:cs="Times New Roman"/>
                <w:b/>
                <w:bCs/>
                <w:color w:val="000000"/>
                <w:sz w:val="24"/>
                <w:szCs w:val="24"/>
              </w:rPr>
              <w:t xml:space="preserve">Pra sipas tabelës kemi një prodhim prej </w:t>
            </w:r>
            <w:r w:rsidRPr="00236F04">
              <w:rPr>
                <w:rFonts w:ascii="Times New Roman" w:eastAsia="Times New Roman" w:hAnsi="Times New Roman" w:cs="Times New Roman"/>
                <w:b/>
                <w:bCs/>
                <w:color w:val="000000"/>
                <w:sz w:val="24"/>
                <w:szCs w:val="24"/>
              </w:rPr>
              <w:t xml:space="preserve">12752889.52kg dhe </w:t>
            </w:r>
            <w:r w:rsidRPr="00236F04">
              <w:rPr>
                <w:rFonts w:ascii="Times New Roman" w:eastAsia="Calibri" w:hAnsi="Times New Roman" w:cs="Times New Roman"/>
                <w:b/>
                <w:bCs/>
                <w:color w:val="000000"/>
                <w:sz w:val="24"/>
                <w:szCs w:val="24"/>
              </w:rPr>
              <w:t xml:space="preserve">të ardhuara në total 4961732929 lek </w:t>
            </w:r>
          </w:p>
          <w:p w:rsidR="00236F04" w:rsidRPr="00236F04" w:rsidRDefault="00236F04" w:rsidP="00236F04">
            <w:pPr>
              <w:rPr>
                <w:rFonts w:ascii="Times New Roman" w:eastAsia="Calibri" w:hAnsi="Times New Roman" w:cs="Times New Roman"/>
                <w:b/>
                <w:bCs/>
                <w:i/>
                <w:iCs/>
                <w:color w:val="000000"/>
                <w:sz w:val="24"/>
                <w:szCs w:val="24"/>
              </w:rPr>
            </w:pPr>
          </w:p>
        </w:tc>
      </w:tr>
    </w:tbl>
    <w:p w:rsidR="00236F04" w:rsidRDefault="00236F04" w:rsidP="00236F04">
      <w:pPr>
        <w:spacing w:after="0" w:line="240" w:lineRule="auto"/>
        <w:jc w:val="both"/>
        <w:rPr>
          <w:rFonts w:ascii="Times New Roman" w:eastAsia="Calibri" w:hAnsi="Times New Roman" w:cs="Times New Roman"/>
          <w:b/>
          <w:bCs/>
          <w:i/>
          <w:iCs/>
          <w:sz w:val="24"/>
          <w:szCs w:val="24"/>
          <w:lang w:val="sq-AL"/>
        </w:rPr>
      </w:pPr>
      <w:r w:rsidRPr="00236F04">
        <w:rPr>
          <w:rFonts w:ascii="Times New Roman" w:eastAsia="Calibri" w:hAnsi="Times New Roman" w:cs="Times New Roman"/>
          <w:b/>
          <w:bCs/>
          <w:i/>
          <w:iCs/>
          <w:sz w:val="24"/>
          <w:szCs w:val="24"/>
          <w:lang w:val="sq-AL"/>
        </w:rPr>
        <w:lastRenderedPageBreak/>
        <w:t>Shënim: Burimi i të</w:t>
      </w:r>
      <w:r w:rsidR="00E73AE8">
        <w:rPr>
          <w:rFonts w:ascii="Times New Roman" w:eastAsia="Calibri" w:hAnsi="Times New Roman" w:cs="Times New Roman"/>
          <w:b/>
          <w:bCs/>
          <w:i/>
          <w:iCs/>
          <w:sz w:val="24"/>
          <w:szCs w:val="24"/>
          <w:lang w:val="sq-AL"/>
        </w:rPr>
        <w:t xml:space="preserve"> </w:t>
      </w:r>
      <w:r w:rsidR="00B475FE">
        <w:rPr>
          <w:rFonts w:ascii="Times New Roman" w:eastAsia="Calibri" w:hAnsi="Times New Roman" w:cs="Times New Roman"/>
          <w:b/>
          <w:bCs/>
          <w:i/>
          <w:iCs/>
          <w:sz w:val="24"/>
          <w:szCs w:val="24"/>
          <w:lang w:val="sq-AL"/>
        </w:rPr>
        <w:t>dhënave të mësipërme është D</w:t>
      </w:r>
      <w:r w:rsidRPr="00236F04">
        <w:rPr>
          <w:rFonts w:ascii="Times New Roman" w:eastAsia="Calibri" w:hAnsi="Times New Roman" w:cs="Times New Roman"/>
          <w:b/>
          <w:bCs/>
          <w:i/>
          <w:iCs/>
          <w:sz w:val="24"/>
          <w:szCs w:val="24"/>
          <w:lang w:val="sq-AL"/>
        </w:rPr>
        <w:t xml:space="preserve">rejtoria e </w:t>
      </w:r>
      <w:r w:rsidR="00B475FE">
        <w:rPr>
          <w:rFonts w:ascii="Times New Roman" w:eastAsia="Calibri" w:hAnsi="Times New Roman" w:cs="Times New Roman"/>
          <w:b/>
          <w:bCs/>
          <w:i/>
          <w:iCs/>
          <w:sz w:val="24"/>
          <w:szCs w:val="24"/>
          <w:lang w:val="sq-AL"/>
        </w:rPr>
        <w:t>Përgjithshme e D</w:t>
      </w:r>
      <w:r w:rsidRPr="00236F04">
        <w:rPr>
          <w:rFonts w:ascii="Times New Roman" w:eastAsia="Calibri" w:hAnsi="Times New Roman" w:cs="Times New Roman"/>
          <w:b/>
          <w:bCs/>
          <w:i/>
          <w:iCs/>
          <w:sz w:val="24"/>
          <w:szCs w:val="24"/>
          <w:lang w:val="sq-AL"/>
        </w:rPr>
        <w:t>oganave.</w:t>
      </w:r>
    </w:p>
    <w:p w:rsidR="00393692" w:rsidRPr="00236F04" w:rsidRDefault="00393692" w:rsidP="00236F04">
      <w:pPr>
        <w:spacing w:after="0" w:line="240" w:lineRule="auto"/>
        <w:jc w:val="both"/>
        <w:rPr>
          <w:rFonts w:ascii="Times New Roman" w:eastAsia="Calibri" w:hAnsi="Times New Roman" w:cs="Times New Roman"/>
          <w:b/>
          <w:bCs/>
          <w:i/>
          <w:iCs/>
          <w:sz w:val="24"/>
          <w:szCs w:val="24"/>
          <w:lang w:val="sq-AL"/>
        </w:rPr>
      </w:pPr>
    </w:p>
    <w:tbl>
      <w:tblPr>
        <w:tblW w:w="9360" w:type="dxa"/>
        <w:tblLook w:val="04A0" w:firstRow="1" w:lastRow="0" w:firstColumn="1" w:lastColumn="0" w:noHBand="0" w:noVBand="1"/>
      </w:tblPr>
      <w:tblGrid>
        <w:gridCol w:w="707"/>
        <w:gridCol w:w="1056"/>
        <w:gridCol w:w="6014"/>
        <w:gridCol w:w="1799"/>
      </w:tblGrid>
      <w:tr w:rsidR="00236F04" w:rsidRPr="00236F04" w:rsidTr="00236F04">
        <w:trPr>
          <w:trHeight w:val="360"/>
        </w:trPr>
        <w:tc>
          <w:tcPr>
            <w:tcW w:w="9360" w:type="dxa"/>
            <w:gridSpan w:val="4"/>
            <w:tcBorders>
              <w:top w:val="nil"/>
              <w:left w:val="nil"/>
              <w:bottom w:val="single" w:sz="4" w:space="0" w:color="auto"/>
              <w:right w:val="nil"/>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b/>
                <w:bCs/>
                <w:sz w:val="24"/>
                <w:szCs w:val="24"/>
                <w:lang w:val="sq-AL"/>
              </w:rPr>
            </w:pPr>
          </w:p>
          <w:p w:rsidR="00236F04" w:rsidRPr="00236F04" w:rsidRDefault="00E73AE8" w:rsidP="00236F04">
            <w:pPr>
              <w:spacing w:after="0" w:line="240" w:lineRule="auto"/>
              <w:jc w:val="center"/>
              <w:rPr>
                <w:rFonts w:ascii="Times New Roman" w:eastAsia="Times New Roman" w:hAnsi="Times New Roman" w:cs="Times New Roman"/>
                <w:b/>
                <w:bCs/>
                <w:sz w:val="24"/>
                <w:szCs w:val="24"/>
              </w:rPr>
            </w:pPr>
            <w:r w:rsidRPr="00236F04">
              <w:rPr>
                <w:rFonts w:ascii="Times New Roman" w:eastAsia="Calibri" w:hAnsi="Times New Roman" w:cs="Times New Roman"/>
                <w:sz w:val="24"/>
                <w:szCs w:val="24"/>
              </w:rPr>
              <w:t xml:space="preserve">Tabela </w:t>
            </w:r>
            <w:r w:rsidR="002A64D6">
              <w:rPr>
                <w:rFonts w:ascii="Times New Roman" w:eastAsia="Calibri" w:hAnsi="Times New Roman" w:cs="Times New Roman"/>
                <w:sz w:val="24"/>
                <w:szCs w:val="24"/>
              </w:rPr>
              <w:t>71</w:t>
            </w:r>
            <w:r>
              <w:rPr>
                <w:rFonts w:ascii="Times New Roman" w:eastAsia="Calibri" w:hAnsi="Times New Roman" w:cs="Times New Roman"/>
                <w:sz w:val="24"/>
                <w:szCs w:val="24"/>
              </w:rPr>
              <w:t xml:space="preserve">. </w:t>
            </w:r>
            <w:r w:rsidR="00261BD4">
              <w:rPr>
                <w:rFonts w:ascii="Times New Roman" w:eastAsia="Times New Roman" w:hAnsi="Times New Roman" w:cs="Times New Roman"/>
                <w:sz w:val="24"/>
                <w:szCs w:val="24"/>
              </w:rPr>
              <w:t>Numri total i llojeve të</w:t>
            </w:r>
            <w:r w:rsidR="00236F04" w:rsidRPr="00236F04">
              <w:rPr>
                <w:rFonts w:ascii="Times New Roman" w:eastAsia="Times New Roman" w:hAnsi="Times New Roman" w:cs="Times New Roman"/>
                <w:sz w:val="24"/>
                <w:szCs w:val="24"/>
              </w:rPr>
              <w:t xml:space="preserve"> mbrojtura </w:t>
            </w:r>
            <w:r w:rsidR="00B475FE">
              <w:rPr>
                <w:rFonts w:ascii="Times New Roman" w:eastAsia="Times New Roman" w:hAnsi="Times New Roman" w:cs="Times New Roman"/>
                <w:sz w:val="24"/>
                <w:szCs w:val="24"/>
              </w:rPr>
              <w:t xml:space="preserve">të BMA </w:t>
            </w:r>
            <w:r w:rsidR="00236F04" w:rsidRPr="00236F04">
              <w:rPr>
                <w:rFonts w:ascii="Times New Roman" w:eastAsia="Times New Roman" w:hAnsi="Times New Roman" w:cs="Times New Roman"/>
                <w:sz w:val="24"/>
                <w:szCs w:val="24"/>
              </w:rPr>
              <w:t>sipas kategorive</w:t>
            </w:r>
            <w:r w:rsidR="00236F04" w:rsidRPr="00236F04">
              <w:rPr>
                <w:rFonts w:ascii="Times New Roman" w:eastAsia="Times New Roman" w:hAnsi="Times New Roman" w:cs="Times New Roman"/>
                <w:b/>
                <w:bCs/>
                <w:sz w:val="24"/>
                <w:szCs w:val="24"/>
              </w:rPr>
              <w:t xml:space="preserve"> </w:t>
            </w:r>
          </w:p>
        </w:tc>
      </w:tr>
      <w:tr w:rsidR="00236F04" w:rsidRPr="00236F04" w:rsidTr="00236F04">
        <w:trPr>
          <w:trHeight w:val="270"/>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b/>
                <w:bCs/>
                <w:sz w:val="24"/>
                <w:szCs w:val="24"/>
              </w:rPr>
            </w:pPr>
            <w:r w:rsidRPr="00236F04">
              <w:rPr>
                <w:rFonts w:ascii="Times New Roman" w:eastAsia="Times New Roman" w:hAnsi="Times New Roman" w:cs="Times New Roman"/>
                <w:b/>
                <w:bCs/>
                <w:sz w:val="24"/>
                <w:szCs w:val="24"/>
              </w:rPr>
              <w:t>Nr</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b/>
                <w:bCs/>
                <w:sz w:val="24"/>
                <w:szCs w:val="24"/>
              </w:rPr>
            </w:pPr>
            <w:r w:rsidRPr="00236F04">
              <w:rPr>
                <w:rFonts w:ascii="Times New Roman" w:eastAsia="Times New Roman" w:hAnsi="Times New Roman" w:cs="Times New Roman"/>
                <w:b/>
                <w:bCs/>
                <w:sz w:val="24"/>
                <w:szCs w:val="24"/>
              </w:rPr>
              <w:t>Kagoria</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b/>
                <w:bCs/>
                <w:sz w:val="24"/>
                <w:szCs w:val="24"/>
              </w:rPr>
            </w:pPr>
            <w:r w:rsidRPr="00236F04">
              <w:rPr>
                <w:rFonts w:ascii="Times New Roman" w:eastAsia="Times New Roman" w:hAnsi="Times New Roman" w:cs="Times New Roman"/>
                <w:b/>
                <w:bCs/>
                <w:sz w:val="24"/>
                <w:szCs w:val="24"/>
              </w:rPr>
              <w:t xml:space="preserve">Emertimi i kategoris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b/>
                <w:bCs/>
                <w:sz w:val="24"/>
                <w:szCs w:val="24"/>
              </w:rPr>
            </w:pPr>
            <w:r w:rsidRPr="00236F04">
              <w:rPr>
                <w:rFonts w:ascii="Times New Roman" w:eastAsia="Times New Roman" w:hAnsi="Times New Roman" w:cs="Times New Roman"/>
                <w:b/>
                <w:bCs/>
                <w:sz w:val="24"/>
                <w:szCs w:val="24"/>
              </w:rPr>
              <w:t>nr. i llojeve</w:t>
            </w:r>
          </w:p>
        </w:tc>
      </w:tr>
      <w:tr w:rsidR="00236F04" w:rsidRPr="00236F04" w:rsidTr="00236F04">
        <w:trPr>
          <w:trHeight w:val="255"/>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lastRenderedPageBreak/>
              <w:t>1</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EX</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Lloje te zhdukura</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0</w:t>
            </w:r>
          </w:p>
        </w:tc>
      </w:tr>
      <w:tr w:rsidR="00236F04" w:rsidRPr="00236F04" w:rsidTr="00236F04">
        <w:trPr>
          <w:trHeight w:val="255"/>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393692" w:rsidP="00236F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2C4833">
              <w:rPr>
                <w:rFonts w:ascii="Times New Roman" w:eastAsia="Times New Roman" w:hAnsi="Times New Roman" w:cs="Times New Roman"/>
                <w:sz w:val="24"/>
                <w:szCs w:val="24"/>
              </w:rPr>
              <w:t>Ë</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Lloje te zhdukura si gjendje spontane</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0</w:t>
            </w:r>
          </w:p>
        </w:tc>
      </w:tr>
      <w:tr w:rsidR="00236F04" w:rsidRPr="00236F04" w:rsidTr="00236F04">
        <w:trPr>
          <w:trHeight w:val="255"/>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CR</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Lloje te rrezikuara ne menyre kritike</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54</w:t>
            </w:r>
          </w:p>
        </w:tc>
      </w:tr>
      <w:tr w:rsidR="00236F04" w:rsidRPr="00236F04" w:rsidTr="00236F04">
        <w:trPr>
          <w:trHeight w:val="255"/>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DD</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Lloje me te dhena te pamjaftueshme</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30</w:t>
            </w:r>
          </w:p>
        </w:tc>
      </w:tr>
      <w:tr w:rsidR="00236F04" w:rsidRPr="00236F04" w:rsidTr="00236F04">
        <w:trPr>
          <w:trHeight w:val="255"/>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EN</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Lloje te rrezikuara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118</w:t>
            </w:r>
          </w:p>
        </w:tc>
      </w:tr>
      <w:tr w:rsidR="00236F04" w:rsidRPr="00236F04" w:rsidTr="00236F04">
        <w:trPr>
          <w:trHeight w:val="255"/>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6</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LR</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xml:space="preserve">Lloje pak te rrezikuara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60</w:t>
            </w:r>
          </w:p>
        </w:tc>
      </w:tr>
      <w:tr w:rsidR="00236F04" w:rsidRPr="00236F04" w:rsidTr="00236F04">
        <w:trPr>
          <w:trHeight w:val="255"/>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7</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NE</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Lloje jo te vleresuara</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w:t>
            </w:r>
          </w:p>
        </w:tc>
      </w:tr>
      <w:tr w:rsidR="00236F04" w:rsidRPr="00236F04" w:rsidTr="00236F04">
        <w:trPr>
          <w:trHeight w:val="270"/>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8</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VU</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Lloje te perkeqesuara</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96</w:t>
            </w:r>
          </w:p>
        </w:tc>
      </w:tr>
      <w:tr w:rsidR="00236F04" w:rsidRPr="00236F04" w:rsidTr="00236F04">
        <w:trPr>
          <w:trHeight w:val="270"/>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TOTAL</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b/>
                <w:bCs/>
                <w:sz w:val="24"/>
                <w:szCs w:val="24"/>
              </w:rPr>
            </w:pPr>
            <w:r w:rsidRPr="00236F04">
              <w:rPr>
                <w:rFonts w:ascii="Times New Roman" w:eastAsia="Times New Roman" w:hAnsi="Times New Roman" w:cs="Times New Roman"/>
                <w:b/>
                <w:bCs/>
                <w:sz w:val="24"/>
                <w:szCs w:val="24"/>
              </w:rPr>
              <w:t>Gjithsej te listuara</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b/>
                <w:bCs/>
                <w:sz w:val="24"/>
                <w:szCs w:val="24"/>
              </w:rPr>
            </w:pPr>
            <w:r w:rsidRPr="00236F04">
              <w:rPr>
                <w:rFonts w:ascii="Times New Roman" w:eastAsia="Times New Roman" w:hAnsi="Times New Roman" w:cs="Times New Roman"/>
                <w:b/>
                <w:bCs/>
                <w:sz w:val="24"/>
                <w:szCs w:val="24"/>
              </w:rPr>
              <w:t>361</w:t>
            </w:r>
          </w:p>
        </w:tc>
      </w:tr>
      <w:tr w:rsidR="00236F04" w:rsidRPr="00236F04" w:rsidTr="00236F04">
        <w:trPr>
          <w:trHeight w:val="255"/>
        </w:trPr>
        <w:tc>
          <w:tcPr>
            <w:tcW w:w="707" w:type="dxa"/>
            <w:tcBorders>
              <w:top w:val="single" w:sz="4" w:space="0" w:color="auto"/>
              <w:left w:val="nil"/>
              <w:right w:val="nil"/>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b/>
                <w:bCs/>
                <w:sz w:val="24"/>
                <w:szCs w:val="24"/>
              </w:rPr>
            </w:pPr>
          </w:p>
        </w:tc>
        <w:tc>
          <w:tcPr>
            <w:tcW w:w="1045" w:type="dxa"/>
            <w:tcBorders>
              <w:top w:val="single" w:sz="4" w:space="0" w:color="auto"/>
              <w:left w:val="nil"/>
              <w:right w:val="nil"/>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p>
        </w:tc>
        <w:tc>
          <w:tcPr>
            <w:tcW w:w="5808" w:type="dxa"/>
            <w:tcBorders>
              <w:top w:val="single" w:sz="4" w:space="0" w:color="auto"/>
              <w:left w:val="nil"/>
              <w:right w:val="nil"/>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p>
          <w:p w:rsidR="00236F04" w:rsidRPr="00236F04" w:rsidRDefault="00236F04" w:rsidP="00236F04">
            <w:pPr>
              <w:spacing w:after="0" w:line="240" w:lineRule="auto"/>
              <w:ind w:left="-1485" w:firstLine="1485"/>
              <w:rPr>
                <w:rFonts w:ascii="Times New Roman" w:eastAsia="Times New Roman" w:hAnsi="Times New Roman" w:cs="Times New Roman"/>
                <w:sz w:val="24"/>
                <w:szCs w:val="24"/>
              </w:rPr>
            </w:pPr>
          </w:p>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Calibri" w:hAnsi="Times New Roman" w:cs="Times New Roman"/>
                <w:noProof/>
                <w:sz w:val="24"/>
                <w:szCs w:val="24"/>
                <w:bdr w:val="single" w:sz="8" w:space="0" w:color="auto"/>
              </w:rPr>
              <w:drawing>
                <wp:inline distT="0" distB="0" distL="0" distR="0" wp14:anchorId="0FDB118F" wp14:editId="623D588A">
                  <wp:extent cx="3657600" cy="2752725"/>
                  <wp:effectExtent l="0" t="0" r="0" b="9525"/>
                  <wp:docPr id="66" name="Chart 1">
                    <a:extLst xmlns:a="http://schemas.openxmlformats.org/drawingml/2006/main">
                      <a:ext uri="{FF2B5EF4-FFF2-40B4-BE49-F238E27FC236}">
                        <a16:creationId xmlns:a16="http://schemas.microsoft.com/office/drawing/2014/main" id="{727661E4-7D19-87A9-C807-8BE7E45258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1"/>
                    </a:graphicData>
                  </a:graphic>
                </wp:inline>
              </w:drawing>
            </w:r>
          </w:p>
        </w:tc>
        <w:tc>
          <w:tcPr>
            <w:tcW w:w="1800" w:type="dxa"/>
            <w:tcBorders>
              <w:top w:val="single" w:sz="4" w:space="0" w:color="auto"/>
              <w:left w:val="nil"/>
              <w:right w:val="nil"/>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p>
        </w:tc>
      </w:tr>
      <w:tr w:rsidR="00236F04" w:rsidRPr="00236F04" w:rsidTr="00236F04">
        <w:trPr>
          <w:trHeight w:val="330"/>
        </w:trPr>
        <w:tc>
          <w:tcPr>
            <w:tcW w:w="9360" w:type="dxa"/>
            <w:gridSpan w:val="4"/>
            <w:tcBorders>
              <w:top w:val="nil"/>
              <w:left w:val="nil"/>
              <w:right w:val="nil"/>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b/>
                <w:bCs/>
                <w:sz w:val="24"/>
                <w:szCs w:val="24"/>
              </w:rPr>
            </w:pPr>
          </w:p>
          <w:p w:rsidR="00236F04" w:rsidRPr="00236F04" w:rsidRDefault="002A64D6" w:rsidP="00236F04">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Tabela 72</w:t>
            </w:r>
            <w:r w:rsidR="00E73AE8">
              <w:rPr>
                <w:rFonts w:ascii="Times New Roman" w:eastAsia="Times New Roman" w:hAnsi="Times New Roman" w:cs="Times New Roman"/>
                <w:sz w:val="24"/>
                <w:szCs w:val="24"/>
              </w:rPr>
              <w:t xml:space="preserve">. </w:t>
            </w:r>
            <w:r w:rsidR="00B475FE">
              <w:rPr>
                <w:rFonts w:ascii="Times New Roman" w:eastAsia="Times New Roman" w:hAnsi="Times New Roman" w:cs="Times New Roman"/>
                <w:sz w:val="24"/>
                <w:szCs w:val="24"/>
              </w:rPr>
              <w:t>Numri i llojeve të rrezikuara të</w:t>
            </w:r>
            <w:r w:rsidR="00236F04" w:rsidRPr="00236F04">
              <w:rPr>
                <w:rFonts w:ascii="Times New Roman" w:eastAsia="Times New Roman" w:hAnsi="Times New Roman" w:cs="Times New Roman"/>
                <w:sz w:val="24"/>
                <w:szCs w:val="24"/>
              </w:rPr>
              <w:t xml:space="preserve"> BMA</w:t>
            </w:r>
            <w:r w:rsidR="00236F04" w:rsidRPr="00236F04">
              <w:rPr>
                <w:rFonts w:ascii="Times New Roman" w:eastAsia="Calibri" w:hAnsi="Times New Roman" w:cs="Times New Roman"/>
                <w:b/>
                <w:bCs/>
                <w:sz w:val="24"/>
                <w:szCs w:val="24"/>
              </w:rPr>
              <w:t xml:space="preserve"> </w:t>
            </w:r>
          </w:p>
          <w:p w:rsidR="00236F04" w:rsidRPr="00236F04" w:rsidRDefault="00236F04" w:rsidP="00236F04">
            <w:pPr>
              <w:spacing w:after="0" w:line="240" w:lineRule="auto"/>
              <w:jc w:val="center"/>
              <w:rPr>
                <w:rFonts w:ascii="Times New Roman" w:eastAsia="Calibri" w:hAnsi="Times New Roman" w:cs="Times New Roman"/>
                <w:sz w:val="24"/>
                <w:szCs w:val="24"/>
              </w:rPr>
            </w:pPr>
          </w:p>
          <w:p w:rsidR="00236F04" w:rsidRPr="00236F04" w:rsidRDefault="00236F04" w:rsidP="00236F04">
            <w:pPr>
              <w:spacing w:after="0" w:line="240" w:lineRule="auto"/>
              <w:jc w:val="center"/>
              <w:rPr>
                <w:rFonts w:ascii="Times New Roman" w:eastAsia="Times New Roman" w:hAnsi="Times New Roman" w:cs="Times New Roman"/>
                <w:b/>
                <w:bCs/>
                <w:sz w:val="24"/>
                <w:szCs w:val="24"/>
              </w:rPr>
            </w:pPr>
          </w:p>
        </w:tc>
      </w:tr>
      <w:tr w:rsidR="00236F04" w:rsidRPr="00236F04" w:rsidTr="00236F04">
        <w:trPr>
          <w:trHeight w:val="255"/>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0"/>
                <w:szCs w:val="20"/>
              </w:rPr>
            </w:pPr>
            <w:r w:rsidRPr="00236F04">
              <w:rPr>
                <w:rFonts w:ascii="Times New Roman" w:eastAsia="Times New Roman" w:hAnsi="Times New Roman" w:cs="Times New Roman"/>
                <w:b/>
                <w:bCs/>
                <w:sz w:val="20"/>
                <w:szCs w:val="20"/>
              </w:rPr>
              <w:t>Nr</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0"/>
                <w:szCs w:val="20"/>
              </w:rPr>
            </w:pPr>
            <w:r w:rsidRPr="00236F04">
              <w:rPr>
                <w:rFonts w:ascii="Times New Roman" w:eastAsia="Times New Roman" w:hAnsi="Times New Roman" w:cs="Times New Roman"/>
                <w:b/>
                <w:bCs/>
                <w:sz w:val="20"/>
                <w:szCs w:val="20"/>
              </w:rPr>
              <w:t>Kagoria</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0"/>
                <w:szCs w:val="20"/>
              </w:rPr>
            </w:pPr>
            <w:r w:rsidRPr="00236F04">
              <w:rPr>
                <w:rFonts w:ascii="Times New Roman" w:eastAsia="Times New Roman" w:hAnsi="Times New Roman" w:cs="Times New Roman"/>
                <w:b/>
                <w:bCs/>
                <w:sz w:val="20"/>
                <w:szCs w:val="20"/>
              </w:rPr>
              <w:t>Emertimi i kategoris</w:t>
            </w:r>
            <w:r w:rsidR="00B475FE">
              <w:rPr>
                <w:rFonts w:ascii="Times New Roman" w:eastAsia="Times New Roman" w:hAnsi="Times New Roman" w:cs="Times New Roman"/>
                <w:b/>
                <w:bCs/>
                <w:sz w:val="20"/>
                <w:szCs w:val="20"/>
              </w:rPr>
              <w:t>ë</w:t>
            </w:r>
            <w:r w:rsidRPr="00236F04">
              <w:rPr>
                <w:rFonts w:ascii="Times New Roman" w:eastAsia="Times New Roman" w:hAnsi="Times New Roman" w:cs="Times New Roman"/>
                <w:b/>
                <w:bCs/>
                <w:sz w:val="20"/>
                <w:szCs w:val="20"/>
              </w:rPr>
              <w:t xml:space="preserve">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sz w:val="20"/>
                <w:szCs w:val="20"/>
              </w:rPr>
            </w:pPr>
            <w:r w:rsidRPr="00236F04">
              <w:rPr>
                <w:rFonts w:ascii="Times New Roman" w:eastAsia="Times New Roman" w:hAnsi="Times New Roman" w:cs="Times New Roman"/>
                <w:b/>
                <w:bCs/>
                <w:sz w:val="20"/>
                <w:szCs w:val="20"/>
              </w:rPr>
              <w:t>nr. i llojeve</w:t>
            </w:r>
          </w:p>
        </w:tc>
      </w:tr>
      <w:tr w:rsidR="00236F04" w:rsidRPr="00236F04" w:rsidTr="00236F04">
        <w:trPr>
          <w:trHeight w:val="255"/>
        </w:trPr>
        <w:tc>
          <w:tcPr>
            <w:tcW w:w="707" w:type="dxa"/>
            <w:tcBorders>
              <w:top w:val="single" w:sz="4" w:space="0" w:color="auto"/>
              <w:left w:val="single" w:sz="4" w:space="0" w:color="auto"/>
              <w:bottom w:val="single" w:sz="4" w:space="0" w:color="auto"/>
              <w:right w:val="single" w:sz="4" w:space="0" w:color="auto"/>
            </w:tcBorders>
            <w:noWrap/>
            <w:vAlign w:val="bottom"/>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w:t>
            </w:r>
          </w:p>
        </w:tc>
        <w:tc>
          <w:tcPr>
            <w:tcW w:w="1045" w:type="dxa"/>
            <w:tcBorders>
              <w:top w:val="single" w:sz="4" w:space="0" w:color="auto"/>
              <w:left w:val="single" w:sz="4" w:space="0" w:color="auto"/>
              <w:bottom w:val="single" w:sz="4" w:space="0" w:color="auto"/>
              <w:right w:val="single" w:sz="4" w:space="0" w:color="auto"/>
            </w:tcBorders>
            <w:noWrap/>
            <w:vAlign w:val="bottom"/>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EX</w:t>
            </w:r>
          </w:p>
        </w:tc>
        <w:tc>
          <w:tcPr>
            <w:tcW w:w="5808" w:type="dxa"/>
            <w:tcBorders>
              <w:top w:val="single" w:sz="4" w:space="0" w:color="auto"/>
              <w:left w:val="single" w:sz="4" w:space="0" w:color="auto"/>
              <w:bottom w:val="single" w:sz="4" w:space="0" w:color="auto"/>
              <w:right w:val="single" w:sz="4" w:space="0" w:color="auto"/>
            </w:tcBorders>
            <w:noWrap/>
            <w:vAlign w:val="bottom"/>
          </w:tcPr>
          <w:p w:rsidR="00236F04" w:rsidRPr="00236F04" w:rsidRDefault="000A6658" w:rsidP="00236F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Lloje të</w:t>
            </w:r>
            <w:r w:rsidR="00236F04" w:rsidRPr="00236F04">
              <w:rPr>
                <w:rFonts w:ascii="Times New Roman" w:eastAsia="Times New Roman" w:hAnsi="Times New Roman" w:cs="Times New Roman"/>
                <w:sz w:val="24"/>
                <w:szCs w:val="24"/>
              </w:rPr>
              <w:t xml:space="preserve"> zhdukura</w:t>
            </w:r>
          </w:p>
        </w:tc>
        <w:tc>
          <w:tcPr>
            <w:tcW w:w="1800" w:type="dxa"/>
            <w:tcBorders>
              <w:top w:val="single" w:sz="4" w:space="0" w:color="auto"/>
              <w:left w:val="single" w:sz="4" w:space="0" w:color="auto"/>
              <w:bottom w:val="single" w:sz="4" w:space="0" w:color="auto"/>
              <w:right w:val="single" w:sz="4" w:space="0" w:color="auto"/>
            </w:tcBorders>
            <w:noWrap/>
            <w:vAlign w:val="bottom"/>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0</w:t>
            </w:r>
          </w:p>
        </w:tc>
      </w:tr>
      <w:tr w:rsidR="00236F04" w:rsidRPr="00236F04" w:rsidTr="00236F04">
        <w:trPr>
          <w:trHeight w:val="255"/>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2</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E67F4D" w:rsidP="00236F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2C4833">
              <w:rPr>
                <w:rFonts w:ascii="Times New Roman" w:eastAsia="Times New Roman" w:hAnsi="Times New Roman" w:cs="Times New Roman"/>
                <w:sz w:val="24"/>
                <w:szCs w:val="24"/>
              </w:rPr>
              <w:t>Ë</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0A6658" w:rsidP="00236F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Lloje të</w:t>
            </w:r>
            <w:r w:rsidR="00236F04" w:rsidRPr="00236F04">
              <w:rPr>
                <w:rFonts w:ascii="Times New Roman" w:eastAsia="Times New Roman" w:hAnsi="Times New Roman" w:cs="Times New Roman"/>
                <w:sz w:val="24"/>
                <w:szCs w:val="24"/>
              </w:rPr>
              <w:t xml:space="preserve"> zhdukura si gjendje spontane</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0</w:t>
            </w:r>
          </w:p>
        </w:tc>
      </w:tr>
      <w:tr w:rsidR="00236F04" w:rsidRPr="00236F04" w:rsidTr="00236F04">
        <w:trPr>
          <w:trHeight w:val="255"/>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CR</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0A6658" w:rsidP="00236F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Lloje të rrezikuara në mënyrë</w:t>
            </w:r>
            <w:r w:rsidR="00236F04" w:rsidRPr="00236F04">
              <w:rPr>
                <w:rFonts w:ascii="Times New Roman" w:eastAsia="Times New Roman" w:hAnsi="Times New Roman" w:cs="Times New Roman"/>
                <w:sz w:val="24"/>
                <w:szCs w:val="24"/>
              </w:rPr>
              <w:t xml:space="preserve"> kritike</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8</w:t>
            </w:r>
          </w:p>
        </w:tc>
      </w:tr>
      <w:tr w:rsidR="00236F04" w:rsidRPr="00236F04" w:rsidTr="00236F04">
        <w:trPr>
          <w:trHeight w:val="255"/>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DD</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0A6658" w:rsidP="00236F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Lloje me të dhëna të</w:t>
            </w:r>
            <w:r w:rsidR="00236F04" w:rsidRPr="00236F04">
              <w:rPr>
                <w:rFonts w:ascii="Times New Roman" w:eastAsia="Times New Roman" w:hAnsi="Times New Roman" w:cs="Times New Roman"/>
                <w:sz w:val="24"/>
                <w:szCs w:val="24"/>
              </w:rPr>
              <w:t xml:space="preserve"> pamjaftueshme</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0</w:t>
            </w:r>
          </w:p>
        </w:tc>
      </w:tr>
      <w:tr w:rsidR="00236F04" w:rsidRPr="00236F04" w:rsidTr="00236F04">
        <w:trPr>
          <w:trHeight w:val="255"/>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5</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EN</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0A6658" w:rsidP="00236F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Lloje të</w:t>
            </w:r>
            <w:r w:rsidR="00236F04" w:rsidRPr="00236F04">
              <w:rPr>
                <w:rFonts w:ascii="Times New Roman" w:eastAsia="Times New Roman" w:hAnsi="Times New Roman" w:cs="Times New Roman"/>
                <w:sz w:val="24"/>
                <w:szCs w:val="24"/>
              </w:rPr>
              <w:t xml:space="preserve"> rrezikuara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10</w:t>
            </w:r>
          </w:p>
        </w:tc>
      </w:tr>
      <w:tr w:rsidR="00236F04" w:rsidRPr="00236F04" w:rsidTr="00236F04">
        <w:trPr>
          <w:trHeight w:val="255"/>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6</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LR</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0A6658" w:rsidP="00236F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Lloje pak të</w:t>
            </w:r>
            <w:r w:rsidR="00236F04" w:rsidRPr="00236F04">
              <w:rPr>
                <w:rFonts w:ascii="Times New Roman" w:eastAsia="Times New Roman" w:hAnsi="Times New Roman" w:cs="Times New Roman"/>
                <w:sz w:val="24"/>
                <w:szCs w:val="24"/>
              </w:rPr>
              <w:t xml:space="preserve"> rrezikuara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4</w:t>
            </w:r>
          </w:p>
        </w:tc>
      </w:tr>
      <w:tr w:rsidR="00236F04" w:rsidRPr="00236F04" w:rsidTr="00236F04">
        <w:trPr>
          <w:trHeight w:val="255"/>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7</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NE</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0A6658" w:rsidP="00236F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Lloje jo të vlerë</w:t>
            </w:r>
            <w:r w:rsidR="00236F04" w:rsidRPr="00236F04">
              <w:rPr>
                <w:rFonts w:ascii="Times New Roman" w:eastAsia="Times New Roman" w:hAnsi="Times New Roman" w:cs="Times New Roman"/>
                <w:sz w:val="24"/>
                <w:szCs w:val="24"/>
              </w:rPr>
              <w:t>suara</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0</w:t>
            </w:r>
          </w:p>
        </w:tc>
      </w:tr>
      <w:tr w:rsidR="00236F04" w:rsidRPr="00236F04" w:rsidTr="00236F04">
        <w:trPr>
          <w:trHeight w:val="270"/>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right"/>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8</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VU</w:t>
            </w:r>
          </w:p>
        </w:tc>
        <w:tc>
          <w:tcPr>
            <w:tcW w:w="5808"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0A6658" w:rsidP="00236F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Lloje të përkeqë</w:t>
            </w:r>
            <w:r w:rsidR="00236F04" w:rsidRPr="00236F04">
              <w:rPr>
                <w:rFonts w:ascii="Times New Roman" w:eastAsia="Times New Roman" w:hAnsi="Times New Roman" w:cs="Times New Roman"/>
                <w:sz w:val="24"/>
                <w:szCs w:val="24"/>
              </w:rPr>
              <w:t>suara</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8</w:t>
            </w:r>
          </w:p>
        </w:tc>
      </w:tr>
      <w:tr w:rsidR="00236F04" w:rsidRPr="00236F04" w:rsidTr="00236F04">
        <w:trPr>
          <w:trHeight w:val="270"/>
        </w:trPr>
        <w:tc>
          <w:tcPr>
            <w:tcW w:w="707"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 </w:t>
            </w:r>
          </w:p>
        </w:tc>
        <w:tc>
          <w:tcPr>
            <w:tcW w:w="6853" w:type="dxa"/>
            <w:gridSpan w:val="2"/>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rPr>
                <w:rFonts w:ascii="Times New Roman" w:eastAsia="Times New Roman" w:hAnsi="Times New Roman" w:cs="Times New Roman"/>
                <w:sz w:val="24"/>
                <w:szCs w:val="24"/>
              </w:rPr>
            </w:pPr>
            <w:r w:rsidRPr="00236F04">
              <w:rPr>
                <w:rFonts w:ascii="Times New Roman" w:eastAsia="Times New Roman" w:hAnsi="Times New Roman" w:cs="Times New Roman"/>
                <w:sz w:val="24"/>
                <w:szCs w:val="24"/>
              </w:rPr>
              <w:t>TOTAL</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236F04" w:rsidRPr="00236F04" w:rsidRDefault="00236F04" w:rsidP="00236F04">
            <w:pPr>
              <w:spacing w:after="0" w:line="240" w:lineRule="auto"/>
              <w:jc w:val="center"/>
              <w:rPr>
                <w:rFonts w:ascii="Times New Roman" w:eastAsia="Times New Roman" w:hAnsi="Times New Roman" w:cs="Times New Roman"/>
                <w:b/>
                <w:bCs/>
                <w:sz w:val="24"/>
                <w:szCs w:val="24"/>
              </w:rPr>
            </w:pPr>
            <w:r w:rsidRPr="00236F04">
              <w:rPr>
                <w:rFonts w:ascii="Times New Roman" w:eastAsia="Times New Roman" w:hAnsi="Times New Roman" w:cs="Times New Roman"/>
                <w:b/>
                <w:bCs/>
                <w:sz w:val="24"/>
                <w:szCs w:val="24"/>
              </w:rPr>
              <w:t>30</w:t>
            </w:r>
          </w:p>
        </w:tc>
      </w:tr>
    </w:tbl>
    <w:p w:rsidR="00236F04" w:rsidRPr="00236F04" w:rsidRDefault="00236F04" w:rsidP="00236F04">
      <w:pPr>
        <w:spacing w:after="0" w:line="240" w:lineRule="auto"/>
        <w:jc w:val="both"/>
        <w:rPr>
          <w:rFonts w:ascii="Times New Roman" w:eastAsia="Times New Roman" w:hAnsi="Times New Roman" w:cs="Times New Roman"/>
          <w:b/>
          <w:bCs/>
          <w:sz w:val="24"/>
          <w:szCs w:val="24"/>
        </w:rPr>
      </w:pPr>
    </w:p>
    <w:p w:rsidR="00236F04" w:rsidRPr="00236F04" w:rsidRDefault="00236F04" w:rsidP="00236F04">
      <w:pPr>
        <w:spacing w:after="0" w:line="240" w:lineRule="auto"/>
        <w:jc w:val="both"/>
        <w:rPr>
          <w:rFonts w:ascii="Times New Roman" w:eastAsia="Times New Roman" w:hAnsi="Times New Roman" w:cs="Times New Roman"/>
          <w:b/>
          <w:bCs/>
          <w:sz w:val="24"/>
          <w:szCs w:val="24"/>
        </w:rPr>
      </w:pPr>
    </w:p>
    <w:p w:rsidR="00236F04" w:rsidRPr="00236F04" w:rsidRDefault="00236F04" w:rsidP="00236F04">
      <w:pPr>
        <w:spacing w:after="0" w:line="240" w:lineRule="auto"/>
        <w:jc w:val="both"/>
        <w:rPr>
          <w:rFonts w:ascii="Times New Roman" w:eastAsia="Calibri" w:hAnsi="Times New Roman" w:cs="Times New Roman"/>
          <w:lang w:val="sq-AL"/>
        </w:rPr>
      </w:pPr>
      <w:r w:rsidRPr="00236F04">
        <w:rPr>
          <w:rFonts w:ascii="Times New Roman" w:eastAsia="Calibri" w:hAnsi="Times New Roman" w:cs="Times New Roman"/>
          <w:noProof/>
        </w:rPr>
        <w:lastRenderedPageBreak/>
        <w:drawing>
          <wp:inline distT="0" distB="0" distL="0" distR="0" wp14:anchorId="667A8BCF" wp14:editId="065270B3">
            <wp:extent cx="5353050" cy="2733675"/>
            <wp:effectExtent l="0" t="0" r="0" b="9525"/>
            <wp:docPr id="67" name="Chart 1">
              <a:extLst xmlns:a="http://schemas.openxmlformats.org/drawingml/2006/main">
                <a:ext uri="{FF2B5EF4-FFF2-40B4-BE49-F238E27FC236}">
                  <a16:creationId xmlns:a16="http://schemas.microsoft.com/office/drawing/2014/main" id="{ED619BB8-8A15-4921-EE38-35E864A4C4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2"/>
              </a:graphicData>
            </a:graphic>
          </wp:inline>
        </w:drawing>
      </w:r>
    </w:p>
    <w:p w:rsidR="00236F04" w:rsidRPr="00236F04" w:rsidRDefault="00236F04" w:rsidP="00236F04">
      <w:pPr>
        <w:spacing w:after="0" w:line="240" w:lineRule="auto"/>
        <w:jc w:val="both"/>
        <w:rPr>
          <w:rFonts w:ascii="Times New Roman" w:eastAsia="Calibri" w:hAnsi="Times New Roman" w:cs="Times New Roman"/>
          <w:lang w:val="sq-AL"/>
        </w:rPr>
      </w:pPr>
    </w:p>
    <w:p w:rsidR="00236F04" w:rsidRPr="00236F04" w:rsidRDefault="00236F04" w:rsidP="00236F04">
      <w:pPr>
        <w:spacing w:after="0" w:line="240" w:lineRule="auto"/>
        <w:jc w:val="both"/>
        <w:rPr>
          <w:rFonts w:ascii="Times New Roman" w:eastAsia="Calibri" w:hAnsi="Times New Roman" w:cs="Times New Roman"/>
          <w:lang w:val="sq-AL"/>
        </w:rPr>
      </w:pPr>
    </w:p>
    <w:p w:rsidR="00BD2329" w:rsidRPr="00E73AE8" w:rsidRDefault="00FA091C" w:rsidP="00807975">
      <w:pPr>
        <w:pStyle w:val="ListParagraph"/>
        <w:numPr>
          <w:ilvl w:val="1"/>
          <w:numId w:val="126"/>
        </w:numPr>
        <w:rPr>
          <w:rFonts w:ascii="Times New Roman" w:eastAsia="Calibri" w:hAnsi="Times New Roman" w:cs="Times New Roman"/>
          <w:b/>
          <w:iCs/>
          <w:sz w:val="24"/>
          <w:szCs w:val="24"/>
          <w:lang w:val="it-IT"/>
        </w:rPr>
      </w:pPr>
      <w:r w:rsidRPr="00E73AE8">
        <w:rPr>
          <w:rFonts w:ascii="Times New Roman" w:eastAsia="Calibri" w:hAnsi="Times New Roman" w:cs="Times New Roman"/>
          <w:b/>
          <w:iCs/>
          <w:sz w:val="24"/>
          <w:szCs w:val="24"/>
          <w:lang w:val="it-IT"/>
        </w:rPr>
        <w:t>Burimet gjenetike pyjore në habitatin e pishave mesdhetare</w:t>
      </w:r>
    </w:p>
    <w:p w:rsidR="003D58A9" w:rsidRPr="003D58A9" w:rsidRDefault="000A6658" w:rsidP="003D58A9">
      <w:pPr>
        <w:spacing w:after="0" w:line="240" w:lineRule="auto"/>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Njohja e gje</w:t>
      </w:r>
      <w:r w:rsidR="003D58A9" w:rsidRPr="003D58A9">
        <w:rPr>
          <w:rFonts w:ascii="Times New Roman" w:eastAsia="Calibri" w:hAnsi="Times New Roman" w:cs="Times New Roman"/>
          <w:sz w:val="24"/>
          <w:szCs w:val="24"/>
          <w:lang w:val="it-IT"/>
        </w:rPr>
        <w:t xml:space="preserve">ndjes së rrjetit të burimeve gjenetike pyjor </w:t>
      </w:r>
      <w:r w:rsidR="003D58A9">
        <w:rPr>
          <w:rFonts w:ascii="Times New Roman" w:eastAsia="Calibri" w:hAnsi="Times New Roman" w:cs="Times New Roman"/>
          <w:sz w:val="24"/>
          <w:szCs w:val="24"/>
          <w:lang w:val="it-IT"/>
        </w:rPr>
        <w:t xml:space="preserve"> kryhet </w:t>
      </w:r>
      <w:r w:rsidR="003D58A9" w:rsidRPr="003D58A9">
        <w:rPr>
          <w:rFonts w:ascii="Times New Roman" w:eastAsia="Calibri" w:hAnsi="Times New Roman" w:cs="Times New Roman"/>
          <w:sz w:val="24"/>
          <w:szCs w:val="24"/>
          <w:lang w:val="it-IT"/>
        </w:rPr>
        <w:t>nëpërmjet eksplorimit, grumbullimit të dhënave dhe evidentimi</w:t>
      </w:r>
      <w:r w:rsidR="00ED2CD9">
        <w:rPr>
          <w:rFonts w:ascii="Times New Roman" w:eastAsia="Calibri" w:hAnsi="Times New Roman" w:cs="Times New Roman"/>
          <w:sz w:val="24"/>
          <w:szCs w:val="24"/>
          <w:lang w:val="it-IT"/>
        </w:rPr>
        <w:t>t</w:t>
      </w:r>
      <w:r w:rsidR="003D58A9" w:rsidRPr="003D58A9">
        <w:rPr>
          <w:rFonts w:ascii="Times New Roman" w:eastAsia="Calibri" w:hAnsi="Times New Roman" w:cs="Times New Roman"/>
          <w:sz w:val="24"/>
          <w:szCs w:val="24"/>
          <w:lang w:val="it-IT"/>
        </w:rPr>
        <w:t xml:space="preserve"> </w:t>
      </w:r>
      <w:r w:rsidR="00ED2CD9">
        <w:rPr>
          <w:rFonts w:ascii="Times New Roman" w:eastAsia="Calibri" w:hAnsi="Times New Roman" w:cs="Times New Roman"/>
          <w:sz w:val="24"/>
          <w:szCs w:val="24"/>
          <w:lang w:val="it-IT"/>
        </w:rPr>
        <w:t xml:space="preserve">të </w:t>
      </w:r>
      <w:r w:rsidR="003D58A9" w:rsidRPr="003D58A9">
        <w:rPr>
          <w:rFonts w:ascii="Times New Roman" w:eastAsia="Calibri" w:hAnsi="Times New Roman" w:cs="Times New Roman"/>
          <w:sz w:val="24"/>
          <w:szCs w:val="24"/>
          <w:lang w:val="it-IT"/>
        </w:rPr>
        <w:t>problematikave të konstatuara gjatë vëzhgimit.</w:t>
      </w:r>
    </w:p>
    <w:p w:rsidR="005617F3" w:rsidRDefault="003D58A9" w:rsidP="009F4908">
      <w:pPr>
        <w:pStyle w:val="NoSpacing"/>
        <w:jc w:val="both"/>
        <w:rPr>
          <w:rFonts w:ascii="Times New Roman" w:eastAsia="Calibri" w:hAnsi="Times New Roman" w:cs="Times New Roman"/>
          <w:color w:val="000000"/>
          <w:sz w:val="24"/>
          <w:szCs w:val="24"/>
          <w:lang w:val="it-IT"/>
        </w:rPr>
      </w:pPr>
      <w:r w:rsidRPr="003D58A9">
        <w:rPr>
          <w:rFonts w:ascii="Times New Roman" w:eastAsia="Calibri" w:hAnsi="Times New Roman" w:cs="Times New Roman"/>
          <w:sz w:val="24"/>
          <w:szCs w:val="24"/>
          <w:lang w:val="it-IT"/>
        </w:rPr>
        <w:t>P</w:t>
      </w:r>
      <w:r w:rsidRPr="003D58A9">
        <w:rPr>
          <w:rFonts w:ascii="Times New Roman" w:eastAsia="Calibri" w:hAnsi="Times New Roman" w:cs="Times New Roman"/>
          <w:bCs/>
          <w:sz w:val="24"/>
          <w:szCs w:val="24"/>
          <w:lang w:val="it-IT"/>
        </w:rPr>
        <w:t>ë</w:t>
      </w:r>
      <w:r w:rsidRPr="003D58A9">
        <w:rPr>
          <w:rFonts w:ascii="Times New Roman" w:eastAsia="Calibri" w:hAnsi="Times New Roman" w:cs="Times New Roman"/>
          <w:sz w:val="24"/>
          <w:szCs w:val="24"/>
          <w:lang w:val="it-IT"/>
        </w:rPr>
        <w:t xml:space="preserve">r këtë qëllim </w:t>
      </w:r>
      <w:r w:rsidR="00ED2CD9">
        <w:rPr>
          <w:rFonts w:ascii="Times New Roman" w:eastAsia="Calibri" w:hAnsi="Times New Roman" w:cs="Times New Roman"/>
          <w:sz w:val="24"/>
          <w:szCs w:val="24"/>
          <w:lang w:val="it-IT"/>
        </w:rPr>
        <w:t xml:space="preserve"> nga Agjencia Kombëtare e </w:t>
      </w:r>
      <w:r w:rsidR="00E67F4D">
        <w:rPr>
          <w:rFonts w:ascii="Times New Roman" w:eastAsia="Calibri" w:hAnsi="Times New Roman" w:cs="Times New Roman"/>
          <w:sz w:val="24"/>
          <w:szCs w:val="24"/>
          <w:lang w:val="it-IT"/>
        </w:rPr>
        <w:t xml:space="preserve">Pyjeve </w:t>
      </w:r>
      <w:r w:rsidR="00ED2CD9">
        <w:rPr>
          <w:rFonts w:ascii="Times New Roman" w:eastAsia="Calibri" w:hAnsi="Times New Roman" w:cs="Times New Roman"/>
          <w:sz w:val="24"/>
          <w:szCs w:val="24"/>
          <w:lang w:val="it-IT"/>
        </w:rPr>
        <w:t xml:space="preserve">është </w:t>
      </w:r>
      <w:r w:rsidRPr="003D58A9">
        <w:rPr>
          <w:rFonts w:ascii="Times New Roman" w:eastAsia="Calibri" w:hAnsi="Times New Roman" w:cs="Times New Roman"/>
          <w:sz w:val="24"/>
          <w:szCs w:val="24"/>
          <w:lang w:val="it-IT"/>
        </w:rPr>
        <w:t>verifik</w:t>
      </w:r>
      <w:r w:rsidR="00ED2CD9">
        <w:rPr>
          <w:rFonts w:ascii="Times New Roman" w:eastAsia="Calibri" w:hAnsi="Times New Roman" w:cs="Times New Roman"/>
          <w:sz w:val="24"/>
          <w:szCs w:val="24"/>
          <w:lang w:val="it-IT"/>
        </w:rPr>
        <w:t xml:space="preserve">uar </w:t>
      </w:r>
      <w:r w:rsidRPr="003D58A9">
        <w:rPr>
          <w:rFonts w:ascii="Times New Roman" w:eastAsia="Calibri" w:hAnsi="Times New Roman" w:cs="Times New Roman"/>
          <w:sz w:val="24"/>
          <w:szCs w:val="24"/>
          <w:lang w:val="it-IT"/>
        </w:rPr>
        <w:t xml:space="preserve"> n</w:t>
      </w:r>
      <w:r w:rsidRPr="003D58A9">
        <w:rPr>
          <w:rFonts w:ascii="Times New Roman" w:eastAsia="Calibri" w:hAnsi="Times New Roman" w:cs="Times New Roman"/>
          <w:bCs/>
          <w:sz w:val="24"/>
          <w:szCs w:val="24"/>
          <w:lang w:val="it-IT"/>
        </w:rPr>
        <w:t>ë</w:t>
      </w:r>
      <w:r w:rsidRPr="003D58A9">
        <w:rPr>
          <w:rFonts w:ascii="Times New Roman" w:eastAsia="Calibri" w:hAnsi="Times New Roman" w:cs="Times New Roman"/>
          <w:sz w:val="24"/>
          <w:szCs w:val="24"/>
          <w:lang w:val="it-IT"/>
        </w:rPr>
        <w:t xml:space="preserve"> terren rrjeti i burimeve gjeneti</w:t>
      </w:r>
      <w:r w:rsidR="000A6658">
        <w:rPr>
          <w:rFonts w:ascii="Times New Roman" w:eastAsia="Calibri" w:hAnsi="Times New Roman" w:cs="Times New Roman"/>
          <w:sz w:val="24"/>
          <w:szCs w:val="24"/>
          <w:lang w:val="it-IT"/>
        </w:rPr>
        <w:t>ke për llojin pishë medhetare.</w:t>
      </w:r>
      <w:r w:rsidR="00ED2CD9" w:rsidRPr="00ED2CD9">
        <w:rPr>
          <w:rFonts w:ascii="Times New Roman" w:eastAsia="Calibri" w:hAnsi="Times New Roman" w:cs="Times New Roman"/>
          <w:color w:val="000000"/>
          <w:sz w:val="24"/>
          <w:szCs w:val="24"/>
          <w:lang w:val="it-IT"/>
        </w:rPr>
        <w:t>V</w:t>
      </w:r>
      <w:r w:rsidR="00ED2CD9">
        <w:rPr>
          <w:rFonts w:ascii="Times New Roman" w:eastAsia="Calibri" w:hAnsi="Times New Roman" w:cs="Times New Roman"/>
          <w:color w:val="000000"/>
          <w:sz w:val="24"/>
          <w:szCs w:val="24"/>
          <w:lang w:val="it-IT"/>
        </w:rPr>
        <w:t>ë</w:t>
      </w:r>
      <w:r w:rsidR="00ED2CD9" w:rsidRPr="00ED2CD9">
        <w:rPr>
          <w:rFonts w:ascii="Times New Roman" w:eastAsia="Calibri" w:hAnsi="Times New Roman" w:cs="Times New Roman"/>
          <w:color w:val="000000"/>
          <w:sz w:val="24"/>
          <w:szCs w:val="24"/>
          <w:lang w:val="it-IT"/>
        </w:rPr>
        <w:t xml:space="preserve">zhgimet dhe matjet janë kryer ne rrjetin e </w:t>
      </w:r>
      <w:r w:rsidR="00ED2CD9">
        <w:rPr>
          <w:rFonts w:ascii="Times New Roman" w:eastAsia="Calibri" w:hAnsi="Times New Roman" w:cs="Times New Roman"/>
          <w:color w:val="000000"/>
          <w:sz w:val="24"/>
          <w:szCs w:val="24"/>
          <w:lang w:val="it-IT"/>
        </w:rPr>
        <w:t>sipërfaqeve provë</w:t>
      </w:r>
      <w:r w:rsidR="00ED2CD9" w:rsidRPr="00ED2CD9">
        <w:rPr>
          <w:rFonts w:ascii="Times New Roman" w:eastAsia="Calibri" w:hAnsi="Times New Roman" w:cs="Times New Roman"/>
          <w:color w:val="000000"/>
          <w:sz w:val="24"/>
          <w:szCs w:val="24"/>
          <w:lang w:val="it-IT"/>
        </w:rPr>
        <w:t xml:space="preserve"> ne 14 bashki përkatësisht në 17 vendmatje</w:t>
      </w:r>
      <w:r w:rsidR="00ED2CD9">
        <w:rPr>
          <w:rFonts w:ascii="Times New Roman" w:eastAsia="Calibri" w:hAnsi="Times New Roman" w:cs="Times New Roman"/>
          <w:color w:val="000000"/>
          <w:sz w:val="24"/>
          <w:szCs w:val="24"/>
          <w:lang w:val="it-IT"/>
        </w:rPr>
        <w:t xml:space="preserve"> </w:t>
      </w:r>
      <w:r w:rsidR="00ED2CD9" w:rsidRPr="00ED2CD9">
        <w:rPr>
          <w:rFonts w:ascii="Times New Roman" w:eastAsia="Calibri" w:hAnsi="Times New Roman" w:cs="Times New Roman"/>
          <w:color w:val="000000"/>
          <w:sz w:val="24"/>
          <w:szCs w:val="24"/>
          <w:lang w:val="it-IT"/>
        </w:rPr>
        <w:t>në terr</w:t>
      </w:r>
      <w:r w:rsidR="00ED2CD9">
        <w:rPr>
          <w:rFonts w:ascii="Times New Roman" w:eastAsia="Calibri" w:hAnsi="Times New Roman" w:cs="Times New Roman"/>
          <w:color w:val="000000"/>
          <w:sz w:val="24"/>
          <w:szCs w:val="24"/>
          <w:lang w:val="it-IT"/>
        </w:rPr>
        <w:t>e</w:t>
      </w:r>
      <w:r w:rsidR="00ED2CD9" w:rsidRPr="00ED2CD9">
        <w:rPr>
          <w:rFonts w:ascii="Times New Roman" w:eastAsia="Calibri" w:hAnsi="Times New Roman" w:cs="Times New Roman"/>
          <w:color w:val="000000"/>
          <w:sz w:val="24"/>
          <w:szCs w:val="24"/>
          <w:lang w:val="it-IT"/>
        </w:rPr>
        <w:t>n për llojin pishë mesdhetare</w:t>
      </w:r>
      <w:r w:rsidR="00856264">
        <w:rPr>
          <w:rFonts w:ascii="Times New Roman" w:eastAsia="Calibri" w:hAnsi="Times New Roman" w:cs="Times New Roman"/>
          <w:color w:val="000000"/>
          <w:sz w:val="24"/>
          <w:szCs w:val="24"/>
          <w:lang w:val="it-IT"/>
        </w:rPr>
        <w:t>.</w:t>
      </w:r>
      <w:r w:rsidR="00ED2CD9" w:rsidRPr="00ED2CD9">
        <w:rPr>
          <w:rFonts w:ascii="Times New Roman" w:eastAsia="Calibri" w:hAnsi="Times New Roman" w:cs="Times New Roman"/>
          <w:color w:val="000000"/>
          <w:sz w:val="24"/>
          <w:szCs w:val="24"/>
          <w:lang w:val="it-IT"/>
        </w:rPr>
        <w:t xml:space="preserve"> </w:t>
      </w:r>
    </w:p>
    <w:p w:rsidR="009F4908" w:rsidRPr="009F4908" w:rsidRDefault="009F4908" w:rsidP="009F4908">
      <w:pPr>
        <w:pStyle w:val="NoSpacing"/>
        <w:jc w:val="both"/>
        <w:rPr>
          <w:rFonts w:ascii="Times New Roman" w:eastAsia="MS Mincho" w:hAnsi="Times New Roman" w:cs="Times New Roman"/>
          <w:sz w:val="24"/>
          <w:szCs w:val="24"/>
        </w:rPr>
      </w:pPr>
      <w:r w:rsidRPr="009F4908">
        <w:rPr>
          <w:rFonts w:ascii="Times New Roman" w:eastAsia="Calibri" w:hAnsi="Times New Roman" w:cs="Times New Roman"/>
          <w:sz w:val="24"/>
          <w:szCs w:val="24"/>
        </w:rPr>
        <w:t>P</w:t>
      </w:r>
      <w:r w:rsidRPr="009F4908">
        <w:rPr>
          <w:rFonts w:ascii="Times New Roman" w:eastAsia="Calibri" w:hAnsi="Times New Roman" w:cs="Times New Roman"/>
          <w:bCs/>
          <w:sz w:val="24"/>
          <w:szCs w:val="24"/>
        </w:rPr>
        <w:t>ë</w:t>
      </w:r>
      <w:r w:rsidRPr="009F4908">
        <w:rPr>
          <w:rFonts w:ascii="Times New Roman" w:eastAsia="Calibri" w:hAnsi="Times New Roman" w:cs="Times New Roman"/>
          <w:sz w:val="24"/>
          <w:szCs w:val="24"/>
        </w:rPr>
        <w:t>r marrjen e t</w:t>
      </w:r>
      <w:r w:rsidRPr="009F4908">
        <w:rPr>
          <w:rFonts w:ascii="Times New Roman" w:eastAsia="Calibri" w:hAnsi="Times New Roman" w:cs="Times New Roman"/>
          <w:bCs/>
          <w:sz w:val="24"/>
          <w:szCs w:val="24"/>
        </w:rPr>
        <w:t>ë</w:t>
      </w:r>
      <w:r w:rsidRPr="009F4908">
        <w:rPr>
          <w:rFonts w:ascii="Times New Roman" w:eastAsia="Calibri" w:hAnsi="Times New Roman" w:cs="Times New Roman"/>
          <w:sz w:val="24"/>
          <w:szCs w:val="24"/>
        </w:rPr>
        <w:t xml:space="preserve"> dh</w:t>
      </w:r>
      <w:r w:rsidRPr="009F4908">
        <w:rPr>
          <w:rFonts w:ascii="Times New Roman" w:eastAsia="Calibri" w:hAnsi="Times New Roman" w:cs="Times New Roman"/>
          <w:bCs/>
          <w:sz w:val="24"/>
          <w:szCs w:val="24"/>
        </w:rPr>
        <w:t>ë</w:t>
      </w:r>
      <w:r w:rsidRPr="009F4908">
        <w:rPr>
          <w:rFonts w:ascii="Times New Roman" w:eastAsia="Calibri" w:hAnsi="Times New Roman" w:cs="Times New Roman"/>
          <w:sz w:val="24"/>
          <w:szCs w:val="24"/>
        </w:rPr>
        <w:t>nave t</w:t>
      </w:r>
      <w:r w:rsidRPr="009F4908">
        <w:rPr>
          <w:rFonts w:ascii="Times New Roman" w:eastAsia="Calibri" w:hAnsi="Times New Roman" w:cs="Times New Roman"/>
          <w:bCs/>
          <w:sz w:val="24"/>
          <w:szCs w:val="24"/>
        </w:rPr>
        <w:t>ë</w:t>
      </w:r>
      <w:r w:rsidRPr="009F4908">
        <w:rPr>
          <w:rFonts w:ascii="Times New Roman" w:eastAsia="Calibri" w:hAnsi="Times New Roman" w:cs="Times New Roman"/>
          <w:sz w:val="24"/>
          <w:szCs w:val="24"/>
        </w:rPr>
        <w:t xml:space="preserve"> grumbujve pyjor</w:t>
      </w:r>
      <w:r w:rsidRPr="009F4908">
        <w:rPr>
          <w:rFonts w:ascii="Times New Roman" w:eastAsia="Calibri" w:hAnsi="Times New Roman" w:cs="Times New Roman"/>
          <w:bCs/>
          <w:sz w:val="24"/>
          <w:szCs w:val="24"/>
        </w:rPr>
        <w:t>ë</w:t>
      </w:r>
      <w:r w:rsidRPr="009F4908">
        <w:rPr>
          <w:rFonts w:ascii="Times New Roman" w:eastAsia="Calibri" w:hAnsi="Times New Roman" w:cs="Times New Roman"/>
          <w:sz w:val="24"/>
          <w:szCs w:val="24"/>
        </w:rPr>
        <w:t xml:space="preserve"> q</w:t>
      </w:r>
      <w:r w:rsidRPr="009F4908">
        <w:rPr>
          <w:rFonts w:ascii="Times New Roman" w:eastAsia="Calibri" w:hAnsi="Times New Roman" w:cs="Times New Roman"/>
          <w:bCs/>
          <w:sz w:val="24"/>
          <w:szCs w:val="24"/>
        </w:rPr>
        <w:t>ë</w:t>
      </w:r>
      <w:r w:rsidRPr="009F4908">
        <w:rPr>
          <w:rFonts w:ascii="Times New Roman" w:eastAsia="Calibri" w:hAnsi="Times New Roman" w:cs="Times New Roman"/>
          <w:sz w:val="24"/>
          <w:szCs w:val="24"/>
        </w:rPr>
        <w:t xml:space="preserve"> do t</w:t>
      </w:r>
      <w:r w:rsidRPr="009F4908">
        <w:rPr>
          <w:rFonts w:ascii="Times New Roman" w:eastAsia="Calibri" w:hAnsi="Times New Roman" w:cs="Times New Roman"/>
          <w:bCs/>
          <w:sz w:val="24"/>
          <w:szCs w:val="24"/>
        </w:rPr>
        <w:t>ë</w:t>
      </w:r>
      <w:r w:rsidRPr="009F4908">
        <w:rPr>
          <w:rFonts w:ascii="Times New Roman" w:eastAsia="Calibri" w:hAnsi="Times New Roman" w:cs="Times New Roman"/>
          <w:sz w:val="24"/>
          <w:szCs w:val="24"/>
        </w:rPr>
        <w:t xml:space="preserve"> paraqesin vlera p</w:t>
      </w:r>
      <w:r w:rsidRPr="009F4908">
        <w:rPr>
          <w:rFonts w:ascii="Times New Roman" w:eastAsia="Calibri" w:hAnsi="Times New Roman" w:cs="Times New Roman"/>
          <w:bCs/>
          <w:sz w:val="24"/>
          <w:szCs w:val="24"/>
        </w:rPr>
        <w:t>ë</w:t>
      </w:r>
      <w:r w:rsidRPr="009F4908">
        <w:rPr>
          <w:rFonts w:ascii="Times New Roman" w:eastAsia="Calibri" w:hAnsi="Times New Roman" w:cs="Times New Roman"/>
          <w:sz w:val="24"/>
          <w:szCs w:val="24"/>
        </w:rPr>
        <w:t>r konservimin e burimeve gjenetike, organizohet anketimi n</w:t>
      </w:r>
      <w:r w:rsidRPr="009F4908">
        <w:rPr>
          <w:rFonts w:ascii="Times New Roman" w:eastAsia="Calibri" w:hAnsi="Times New Roman" w:cs="Times New Roman"/>
          <w:bCs/>
          <w:sz w:val="24"/>
          <w:szCs w:val="24"/>
        </w:rPr>
        <w:t>ë</w:t>
      </w:r>
      <w:r w:rsidRPr="009F4908">
        <w:rPr>
          <w:rFonts w:ascii="Times New Roman" w:eastAsia="Calibri" w:hAnsi="Times New Roman" w:cs="Times New Roman"/>
          <w:sz w:val="24"/>
          <w:szCs w:val="24"/>
        </w:rPr>
        <w:t xml:space="preserve"> shkall</w:t>
      </w:r>
      <w:r w:rsidRPr="009F4908">
        <w:rPr>
          <w:rFonts w:ascii="Times New Roman" w:eastAsia="Calibri" w:hAnsi="Times New Roman" w:cs="Times New Roman"/>
          <w:bCs/>
          <w:sz w:val="24"/>
          <w:szCs w:val="24"/>
        </w:rPr>
        <w:t>ë</w:t>
      </w:r>
      <w:r w:rsidRPr="009F4908">
        <w:rPr>
          <w:rFonts w:ascii="Times New Roman" w:eastAsia="Calibri" w:hAnsi="Times New Roman" w:cs="Times New Roman"/>
          <w:sz w:val="24"/>
          <w:szCs w:val="24"/>
        </w:rPr>
        <w:t xml:space="preserve"> bashki</w:t>
      </w:r>
      <w:r>
        <w:rPr>
          <w:rFonts w:ascii="Times New Roman" w:eastAsia="Calibri" w:hAnsi="Times New Roman" w:cs="Times New Roman"/>
          <w:sz w:val="24"/>
          <w:szCs w:val="24"/>
        </w:rPr>
        <w:t>e</w:t>
      </w:r>
      <w:r w:rsidR="00856264">
        <w:rPr>
          <w:rFonts w:ascii="Times New Roman" w:eastAsia="Calibri" w:hAnsi="Times New Roman" w:cs="Times New Roman"/>
          <w:sz w:val="24"/>
          <w:szCs w:val="24"/>
        </w:rPr>
        <w:t xml:space="preserve">. </w:t>
      </w:r>
      <w:r w:rsidRPr="009F4908">
        <w:rPr>
          <w:rFonts w:ascii="Times New Roman" w:eastAsia="MS Mincho" w:hAnsi="Times New Roman" w:cs="Times New Roman"/>
          <w:sz w:val="24"/>
          <w:szCs w:val="24"/>
        </w:rPr>
        <w:t>Aktivitetet q</w:t>
      </w:r>
      <w:r w:rsidRPr="009F4908">
        <w:rPr>
          <w:rFonts w:ascii="Times New Roman" w:eastAsia="MS Mincho" w:hAnsi="Times New Roman" w:cs="Times New Roman"/>
          <w:bCs/>
          <w:sz w:val="24"/>
          <w:szCs w:val="24"/>
        </w:rPr>
        <w:t>ë</w:t>
      </w:r>
      <w:r w:rsidR="00856264">
        <w:rPr>
          <w:rFonts w:ascii="Times New Roman" w:eastAsia="MS Mincho" w:hAnsi="Times New Roman" w:cs="Times New Roman"/>
          <w:sz w:val="24"/>
          <w:szCs w:val="24"/>
        </w:rPr>
        <w:t xml:space="preserve"> u kry</w:t>
      </w:r>
      <w:r w:rsidRPr="009F4908">
        <w:rPr>
          <w:rFonts w:ascii="Times New Roman" w:eastAsia="MS Mincho" w:hAnsi="Times New Roman" w:cs="Times New Roman"/>
          <w:sz w:val="24"/>
          <w:szCs w:val="24"/>
        </w:rPr>
        <w:t>en n</w:t>
      </w:r>
      <w:r w:rsidRPr="009F4908">
        <w:rPr>
          <w:rFonts w:ascii="Times New Roman" w:eastAsia="MS Mincho" w:hAnsi="Times New Roman" w:cs="Times New Roman"/>
          <w:bCs/>
          <w:sz w:val="24"/>
          <w:szCs w:val="24"/>
        </w:rPr>
        <w:t>ë</w:t>
      </w:r>
      <w:r w:rsidRPr="009F4908">
        <w:rPr>
          <w:rFonts w:ascii="Times New Roman" w:eastAsia="MS Mincho" w:hAnsi="Times New Roman" w:cs="Times New Roman"/>
          <w:sz w:val="24"/>
          <w:szCs w:val="24"/>
        </w:rPr>
        <w:t xml:space="preserve"> funksion t</w:t>
      </w:r>
      <w:r w:rsidRPr="009F4908">
        <w:rPr>
          <w:rFonts w:ascii="Times New Roman" w:eastAsia="MS Mincho" w:hAnsi="Times New Roman" w:cs="Times New Roman"/>
          <w:bCs/>
          <w:sz w:val="24"/>
          <w:szCs w:val="24"/>
        </w:rPr>
        <w:t>ë</w:t>
      </w:r>
      <w:r w:rsidRPr="009F4908">
        <w:rPr>
          <w:rFonts w:ascii="Times New Roman" w:eastAsia="MS Mincho" w:hAnsi="Times New Roman" w:cs="Times New Roman"/>
          <w:sz w:val="24"/>
          <w:szCs w:val="24"/>
        </w:rPr>
        <w:t xml:space="preserve"> p</w:t>
      </w:r>
      <w:r w:rsidRPr="009F4908">
        <w:rPr>
          <w:rFonts w:ascii="Times New Roman" w:eastAsia="MS Mincho" w:hAnsi="Times New Roman" w:cs="Times New Roman"/>
          <w:bCs/>
          <w:sz w:val="24"/>
          <w:szCs w:val="24"/>
        </w:rPr>
        <w:t>ë</w:t>
      </w:r>
      <w:r w:rsidRPr="009F4908">
        <w:rPr>
          <w:rFonts w:ascii="Times New Roman" w:eastAsia="MS Mincho" w:hAnsi="Times New Roman" w:cs="Times New Roman"/>
          <w:sz w:val="24"/>
          <w:szCs w:val="24"/>
        </w:rPr>
        <w:t>rmbushjes s</w:t>
      </w:r>
      <w:r w:rsidRPr="009F4908">
        <w:rPr>
          <w:rFonts w:ascii="Times New Roman" w:eastAsia="MS Mincho" w:hAnsi="Times New Roman" w:cs="Times New Roman"/>
          <w:bCs/>
          <w:sz w:val="24"/>
          <w:szCs w:val="24"/>
        </w:rPr>
        <w:t>ë</w:t>
      </w:r>
      <w:r w:rsidRPr="009F4908">
        <w:rPr>
          <w:rFonts w:ascii="Times New Roman" w:eastAsia="MS Mincho" w:hAnsi="Times New Roman" w:cs="Times New Roman"/>
          <w:sz w:val="24"/>
          <w:szCs w:val="24"/>
        </w:rPr>
        <w:t xml:space="preserve"> objektivit janë:</w:t>
      </w:r>
    </w:p>
    <w:p w:rsidR="00856264" w:rsidRPr="00856264" w:rsidRDefault="00856264" w:rsidP="00856264">
      <w:pPr>
        <w:spacing w:after="0" w:line="240" w:lineRule="auto"/>
        <w:jc w:val="both"/>
        <w:rPr>
          <w:rFonts w:ascii="Times New Roman" w:hAnsi="Times New Roman" w:cs="Times New Roman"/>
          <w:sz w:val="24"/>
          <w:szCs w:val="24"/>
        </w:rPr>
      </w:pPr>
      <w:r w:rsidRPr="00856264">
        <w:rPr>
          <w:rFonts w:ascii="Times New Roman" w:hAnsi="Times New Roman" w:cs="Times New Roman"/>
          <w:sz w:val="24"/>
          <w:szCs w:val="24"/>
        </w:rPr>
        <w:t>Kufizimi i rajoneve potenciale n</w:t>
      </w:r>
      <w:r w:rsidRPr="00856264">
        <w:rPr>
          <w:rFonts w:ascii="Times New Roman" w:hAnsi="Times New Roman" w:cs="Times New Roman"/>
          <w:bCs/>
          <w:sz w:val="24"/>
          <w:szCs w:val="24"/>
        </w:rPr>
        <w:t>ë</w:t>
      </w:r>
      <w:r w:rsidRPr="00856264">
        <w:rPr>
          <w:rFonts w:ascii="Times New Roman" w:hAnsi="Times New Roman" w:cs="Times New Roman"/>
          <w:sz w:val="24"/>
          <w:szCs w:val="24"/>
        </w:rPr>
        <w:t xml:space="preserve"> hart</w:t>
      </w:r>
      <w:r w:rsidRPr="00856264">
        <w:rPr>
          <w:rFonts w:ascii="Times New Roman" w:hAnsi="Times New Roman" w:cs="Times New Roman"/>
          <w:bCs/>
          <w:sz w:val="24"/>
          <w:szCs w:val="24"/>
        </w:rPr>
        <w:t>ë</w:t>
      </w:r>
      <w:r w:rsidRPr="00856264">
        <w:rPr>
          <w:rFonts w:ascii="Times New Roman" w:hAnsi="Times New Roman" w:cs="Times New Roman"/>
          <w:sz w:val="24"/>
          <w:szCs w:val="24"/>
        </w:rPr>
        <w:t>. Njohja n</w:t>
      </w:r>
      <w:r w:rsidRPr="00856264">
        <w:rPr>
          <w:rFonts w:ascii="Times New Roman" w:hAnsi="Times New Roman" w:cs="Times New Roman"/>
          <w:bCs/>
          <w:sz w:val="24"/>
          <w:szCs w:val="24"/>
        </w:rPr>
        <w:t>ë</w:t>
      </w:r>
      <w:r w:rsidRPr="00856264">
        <w:rPr>
          <w:rFonts w:ascii="Times New Roman" w:hAnsi="Times New Roman" w:cs="Times New Roman"/>
          <w:sz w:val="24"/>
          <w:szCs w:val="24"/>
        </w:rPr>
        <w:t xml:space="preserve"> vend e popullatave p</w:t>
      </w:r>
      <w:r w:rsidRPr="00856264">
        <w:rPr>
          <w:rFonts w:ascii="Times New Roman" w:hAnsi="Times New Roman" w:cs="Times New Roman"/>
          <w:bCs/>
          <w:sz w:val="24"/>
          <w:szCs w:val="24"/>
        </w:rPr>
        <w:t>ë</w:t>
      </w:r>
      <w:r w:rsidRPr="00856264">
        <w:rPr>
          <w:rFonts w:ascii="Times New Roman" w:hAnsi="Times New Roman" w:cs="Times New Roman"/>
          <w:sz w:val="24"/>
          <w:szCs w:val="24"/>
        </w:rPr>
        <w:t>r t</w:t>
      </w:r>
      <w:r w:rsidRPr="00856264">
        <w:rPr>
          <w:rFonts w:ascii="Times New Roman" w:hAnsi="Times New Roman" w:cs="Times New Roman"/>
          <w:bCs/>
          <w:sz w:val="24"/>
          <w:szCs w:val="24"/>
        </w:rPr>
        <w:t>ë</w:t>
      </w:r>
      <w:r w:rsidRPr="00856264">
        <w:rPr>
          <w:rFonts w:ascii="Times New Roman" w:hAnsi="Times New Roman" w:cs="Times New Roman"/>
          <w:sz w:val="24"/>
          <w:szCs w:val="24"/>
        </w:rPr>
        <w:t xml:space="preserve"> kufizuar zonat e veçanta t</w:t>
      </w:r>
      <w:r w:rsidRPr="00856264">
        <w:rPr>
          <w:rFonts w:ascii="Times New Roman" w:hAnsi="Times New Roman" w:cs="Times New Roman"/>
          <w:bCs/>
          <w:sz w:val="24"/>
          <w:szCs w:val="24"/>
        </w:rPr>
        <w:t>ë</w:t>
      </w:r>
      <w:r w:rsidRPr="00856264">
        <w:rPr>
          <w:rFonts w:ascii="Times New Roman" w:hAnsi="Times New Roman" w:cs="Times New Roman"/>
          <w:sz w:val="24"/>
          <w:szCs w:val="24"/>
        </w:rPr>
        <w:t xml:space="preserve"> konservimit nëpërmjet t</w:t>
      </w:r>
      <w:r w:rsidRPr="00856264">
        <w:rPr>
          <w:rFonts w:ascii="Times New Roman" w:hAnsi="Times New Roman" w:cs="Times New Roman"/>
          <w:bCs/>
          <w:sz w:val="24"/>
          <w:szCs w:val="24"/>
        </w:rPr>
        <w:t>ë</w:t>
      </w:r>
      <w:r w:rsidRPr="00856264">
        <w:rPr>
          <w:rFonts w:ascii="Times New Roman" w:hAnsi="Times New Roman" w:cs="Times New Roman"/>
          <w:sz w:val="24"/>
          <w:szCs w:val="24"/>
        </w:rPr>
        <w:t xml:space="preserve"> dh</w:t>
      </w:r>
      <w:r w:rsidRPr="00856264">
        <w:rPr>
          <w:rFonts w:ascii="Times New Roman" w:hAnsi="Times New Roman" w:cs="Times New Roman"/>
          <w:bCs/>
          <w:sz w:val="24"/>
          <w:szCs w:val="24"/>
        </w:rPr>
        <w:t>ë</w:t>
      </w:r>
      <w:r w:rsidRPr="00856264">
        <w:rPr>
          <w:rFonts w:ascii="Times New Roman" w:hAnsi="Times New Roman" w:cs="Times New Roman"/>
          <w:sz w:val="24"/>
          <w:szCs w:val="24"/>
        </w:rPr>
        <w:t>nave t</w:t>
      </w:r>
      <w:r w:rsidRPr="00856264">
        <w:rPr>
          <w:rFonts w:ascii="Times New Roman" w:hAnsi="Times New Roman" w:cs="Times New Roman"/>
          <w:bCs/>
          <w:sz w:val="24"/>
          <w:szCs w:val="24"/>
        </w:rPr>
        <w:t>ë</w:t>
      </w:r>
      <w:r w:rsidRPr="00856264">
        <w:rPr>
          <w:rFonts w:ascii="Times New Roman" w:hAnsi="Times New Roman" w:cs="Times New Roman"/>
          <w:sz w:val="24"/>
          <w:szCs w:val="24"/>
        </w:rPr>
        <w:t xml:space="preserve"> grumbulluara si: Kufizimi dhe kartelizimi i zonave t</w:t>
      </w:r>
      <w:r w:rsidRPr="00856264">
        <w:rPr>
          <w:rFonts w:ascii="Times New Roman" w:hAnsi="Times New Roman" w:cs="Times New Roman"/>
          <w:bCs/>
          <w:sz w:val="24"/>
          <w:szCs w:val="24"/>
        </w:rPr>
        <w:t>ë</w:t>
      </w:r>
      <w:r w:rsidRPr="00856264">
        <w:rPr>
          <w:rFonts w:ascii="Times New Roman" w:hAnsi="Times New Roman" w:cs="Times New Roman"/>
          <w:sz w:val="24"/>
          <w:szCs w:val="24"/>
        </w:rPr>
        <w:t xml:space="preserve"> vler</w:t>
      </w:r>
      <w:r w:rsidRPr="00856264">
        <w:rPr>
          <w:rFonts w:ascii="Times New Roman" w:hAnsi="Times New Roman" w:cs="Times New Roman"/>
          <w:bCs/>
          <w:sz w:val="24"/>
          <w:szCs w:val="24"/>
        </w:rPr>
        <w:t>ë</w:t>
      </w:r>
      <w:r w:rsidRPr="00856264">
        <w:rPr>
          <w:rFonts w:ascii="Times New Roman" w:hAnsi="Times New Roman" w:cs="Times New Roman"/>
          <w:sz w:val="24"/>
          <w:szCs w:val="24"/>
        </w:rPr>
        <w:t>suara p</w:t>
      </w:r>
      <w:r w:rsidRPr="00856264">
        <w:rPr>
          <w:rFonts w:ascii="Times New Roman" w:hAnsi="Times New Roman" w:cs="Times New Roman"/>
          <w:bCs/>
          <w:sz w:val="24"/>
          <w:szCs w:val="24"/>
        </w:rPr>
        <w:t>ë</w:t>
      </w:r>
      <w:r w:rsidRPr="00856264">
        <w:rPr>
          <w:rFonts w:ascii="Times New Roman" w:hAnsi="Times New Roman" w:cs="Times New Roman"/>
          <w:sz w:val="24"/>
          <w:szCs w:val="24"/>
        </w:rPr>
        <w:t>r konservimin e burimeve gjenetike pyjore; P</w:t>
      </w:r>
      <w:r w:rsidRPr="00856264">
        <w:rPr>
          <w:rFonts w:ascii="Times New Roman" w:hAnsi="Times New Roman" w:cs="Times New Roman"/>
          <w:bCs/>
          <w:sz w:val="24"/>
          <w:szCs w:val="24"/>
        </w:rPr>
        <w:t>ë</w:t>
      </w:r>
      <w:r w:rsidRPr="00856264">
        <w:rPr>
          <w:rFonts w:ascii="Times New Roman" w:hAnsi="Times New Roman" w:cs="Times New Roman"/>
          <w:sz w:val="24"/>
          <w:szCs w:val="24"/>
        </w:rPr>
        <w:t>rshkrimi i grumbujve pyjor dhe i kushteve ekologjike t</w:t>
      </w:r>
      <w:r w:rsidRPr="00856264">
        <w:rPr>
          <w:rFonts w:ascii="Times New Roman" w:hAnsi="Times New Roman" w:cs="Times New Roman"/>
          <w:bCs/>
          <w:sz w:val="24"/>
          <w:szCs w:val="24"/>
        </w:rPr>
        <w:t>ë</w:t>
      </w:r>
      <w:r w:rsidRPr="00856264">
        <w:rPr>
          <w:rFonts w:ascii="Times New Roman" w:hAnsi="Times New Roman" w:cs="Times New Roman"/>
          <w:sz w:val="24"/>
          <w:szCs w:val="24"/>
        </w:rPr>
        <w:t xml:space="preserve"> tij; Plot</w:t>
      </w:r>
      <w:r w:rsidRPr="00856264">
        <w:rPr>
          <w:rFonts w:ascii="Times New Roman" w:hAnsi="Times New Roman" w:cs="Times New Roman"/>
          <w:bCs/>
          <w:sz w:val="24"/>
          <w:szCs w:val="24"/>
        </w:rPr>
        <w:t>ë</w:t>
      </w:r>
      <w:r w:rsidRPr="00856264">
        <w:rPr>
          <w:rFonts w:ascii="Times New Roman" w:hAnsi="Times New Roman" w:cs="Times New Roman"/>
          <w:sz w:val="24"/>
          <w:szCs w:val="24"/>
        </w:rPr>
        <w:t>simi i nj</w:t>
      </w:r>
      <w:r w:rsidRPr="00856264">
        <w:rPr>
          <w:rFonts w:ascii="Times New Roman" w:hAnsi="Times New Roman" w:cs="Times New Roman"/>
          <w:bCs/>
          <w:sz w:val="24"/>
          <w:szCs w:val="24"/>
        </w:rPr>
        <w:t>ë</w:t>
      </w:r>
      <w:r w:rsidRPr="00856264">
        <w:rPr>
          <w:rFonts w:ascii="Times New Roman" w:hAnsi="Times New Roman" w:cs="Times New Roman"/>
          <w:sz w:val="24"/>
          <w:szCs w:val="24"/>
        </w:rPr>
        <w:t xml:space="preserve"> dokumentacioni individual p</w:t>
      </w:r>
      <w:r w:rsidRPr="00856264">
        <w:rPr>
          <w:rFonts w:ascii="Times New Roman" w:hAnsi="Times New Roman" w:cs="Times New Roman"/>
          <w:bCs/>
          <w:sz w:val="24"/>
          <w:szCs w:val="24"/>
        </w:rPr>
        <w:t>ë</w:t>
      </w:r>
      <w:r w:rsidRPr="00856264">
        <w:rPr>
          <w:rFonts w:ascii="Times New Roman" w:hAnsi="Times New Roman" w:cs="Times New Roman"/>
          <w:sz w:val="24"/>
          <w:szCs w:val="24"/>
        </w:rPr>
        <w:t>r mbajtjen e t</w:t>
      </w:r>
      <w:r w:rsidRPr="00856264">
        <w:rPr>
          <w:rFonts w:ascii="Times New Roman" w:hAnsi="Times New Roman" w:cs="Times New Roman"/>
          <w:bCs/>
          <w:sz w:val="24"/>
          <w:szCs w:val="24"/>
        </w:rPr>
        <w:t>ë</w:t>
      </w:r>
      <w:r w:rsidRPr="00856264">
        <w:rPr>
          <w:rFonts w:ascii="Times New Roman" w:hAnsi="Times New Roman" w:cs="Times New Roman"/>
          <w:sz w:val="24"/>
          <w:szCs w:val="24"/>
        </w:rPr>
        <w:t xml:space="preserve"> dh</w:t>
      </w:r>
      <w:r w:rsidRPr="00856264">
        <w:rPr>
          <w:rFonts w:ascii="Times New Roman" w:hAnsi="Times New Roman" w:cs="Times New Roman"/>
          <w:bCs/>
          <w:sz w:val="24"/>
          <w:szCs w:val="24"/>
        </w:rPr>
        <w:t>ë</w:t>
      </w:r>
      <w:r w:rsidRPr="00856264">
        <w:rPr>
          <w:rFonts w:ascii="Times New Roman" w:hAnsi="Times New Roman" w:cs="Times New Roman"/>
          <w:sz w:val="24"/>
          <w:szCs w:val="24"/>
        </w:rPr>
        <w:t>nave p</w:t>
      </w:r>
      <w:r w:rsidRPr="00856264">
        <w:rPr>
          <w:rFonts w:ascii="Times New Roman" w:hAnsi="Times New Roman" w:cs="Times New Roman"/>
          <w:bCs/>
          <w:sz w:val="24"/>
          <w:szCs w:val="24"/>
        </w:rPr>
        <w:t>ë</w:t>
      </w:r>
      <w:r w:rsidRPr="00856264">
        <w:rPr>
          <w:rFonts w:ascii="Times New Roman" w:hAnsi="Times New Roman" w:cs="Times New Roman"/>
          <w:sz w:val="24"/>
          <w:szCs w:val="24"/>
        </w:rPr>
        <w:t>rkat</w:t>
      </w:r>
      <w:r w:rsidRPr="00856264">
        <w:rPr>
          <w:rFonts w:ascii="Times New Roman" w:hAnsi="Times New Roman" w:cs="Times New Roman"/>
          <w:bCs/>
          <w:sz w:val="24"/>
          <w:szCs w:val="24"/>
        </w:rPr>
        <w:t>ë</w:t>
      </w:r>
      <w:r w:rsidRPr="00856264">
        <w:rPr>
          <w:rFonts w:ascii="Times New Roman" w:hAnsi="Times New Roman" w:cs="Times New Roman"/>
          <w:sz w:val="24"/>
          <w:szCs w:val="24"/>
        </w:rPr>
        <w:t>se p</w:t>
      </w:r>
      <w:r w:rsidRPr="00856264">
        <w:rPr>
          <w:rFonts w:ascii="Times New Roman" w:hAnsi="Times New Roman" w:cs="Times New Roman"/>
          <w:bCs/>
          <w:sz w:val="24"/>
          <w:szCs w:val="24"/>
        </w:rPr>
        <w:t>ë</w:t>
      </w:r>
      <w:r w:rsidRPr="00856264">
        <w:rPr>
          <w:rFonts w:ascii="Times New Roman" w:hAnsi="Times New Roman" w:cs="Times New Roman"/>
          <w:sz w:val="24"/>
          <w:szCs w:val="24"/>
        </w:rPr>
        <w:t>r çdo RNI (rezervë natyrore) dhe p</w:t>
      </w:r>
      <w:r w:rsidRPr="00856264">
        <w:rPr>
          <w:rFonts w:ascii="Times New Roman" w:hAnsi="Times New Roman" w:cs="Times New Roman"/>
          <w:bCs/>
          <w:sz w:val="24"/>
          <w:szCs w:val="24"/>
        </w:rPr>
        <w:t>ë</w:t>
      </w:r>
      <w:r w:rsidRPr="00856264">
        <w:rPr>
          <w:rFonts w:ascii="Times New Roman" w:hAnsi="Times New Roman" w:cs="Times New Roman"/>
          <w:sz w:val="24"/>
          <w:szCs w:val="24"/>
        </w:rPr>
        <w:t>rpunimin e t</w:t>
      </w:r>
      <w:r w:rsidRPr="00856264">
        <w:rPr>
          <w:rFonts w:ascii="Times New Roman" w:hAnsi="Times New Roman" w:cs="Times New Roman"/>
          <w:bCs/>
          <w:sz w:val="24"/>
          <w:szCs w:val="24"/>
        </w:rPr>
        <w:t>ë</w:t>
      </w:r>
      <w:r w:rsidRPr="00856264">
        <w:rPr>
          <w:rFonts w:ascii="Times New Roman" w:hAnsi="Times New Roman" w:cs="Times New Roman"/>
          <w:sz w:val="24"/>
          <w:szCs w:val="24"/>
        </w:rPr>
        <w:t xml:space="preserve"> dh</w:t>
      </w:r>
      <w:r w:rsidRPr="00856264">
        <w:rPr>
          <w:rFonts w:ascii="Times New Roman" w:hAnsi="Times New Roman" w:cs="Times New Roman"/>
          <w:bCs/>
          <w:sz w:val="24"/>
          <w:szCs w:val="24"/>
        </w:rPr>
        <w:t>ë</w:t>
      </w:r>
      <w:r w:rsidRPr="00856264">
        <w:rPr>
          <w:rFonts w:ascii="Times New Roman" w:hAnsi="Times New Roman" w:cs="Times New Roman"/>
          <w:sz w:val="24"/>
          <w:szCs w:val="24"/>
        </w:rPr>
        <w:t>nave p</w:t>
      </w:r>
      <w:r w:rsidRPr="00856264">
        <w:rPr>
          <w:rFonts w:ascii="Times New Roman" w:hAnsi="Times New Roman" w:cs="Times New Roman"/>
          <w:bCs/>
          <w:sz w:val="24"/>
          <w:szCs w:val="24"/>
        </w:rPr>
        <w:t>ë</w:t>
      </w:r>
      <w:r w:rsidRPr="00856264">
        <w:rPr>
          <w:rFonts w:ascii="Times New Roman" w:hAnsi="Times New Roman" w:cs="Times New Roman"/>
          <w:sz w:val="24"/>
          <w:szCs w:val="24"/>
        </w:rPr>
        <w:t>r klasifikimin e burimeve gjenetike.</w:t>
      </w:r>
      <w:r w:rsidR="00026154">
        <w:rPr>
          <w:rFonts w:ascii="Times New Roman" w:hAnsi="Times New Roman" w:cs="Times New Roman"/>
          <w:sz w:val="24"/>
          <w:szCs w:val="24"/>
        </w:rPr>
        <w:t xml:space="preserve"> </w:t>
      </w:r>
      <w:r w:rsidRPr="00856264">
        <w:rPr>
          <w:rFonts w:ascii="Times New Roman" w:eastAsia="Calibri" w:hAnsi="Times New Roman" w:cs="Times New Roman"/>
          <w:sz w:val="24"/>
          <w:szCs w:val="24"/>
        </w:rPr>
        <w:t>Vëzhgimet u konkretizuan me m</w:t>
      </w:r>
      <w:r w:rsidR="00026154">
        <w:rPr>
          <w:rFonts w:ascii="Times New Roman" w:eastAsia="Calibri" w:hAnsi="Times New Roman" w:cs="Times New Roman"/>
          <w:sz w:val="24"/>
          <w:szCs w:val="24"/>
        </w:rPr>
        <w:t>arrjen e një numri të domosdoshë</w:t>
      </w:r>
      <w:r w:rsidRPr="00856264">
        <w:rPr>
          <w:rFonts w:ascii="Times New Roman" w:eastAsia="Calibri" w:hAnsi="Times New Roman" w:cs="Times New Roman"/>
          <w:sz w:val="24"/>
          <w:szCs w:val="24"/>
        </w:rPr>
        <w:t>m të sip</w:t>
      </w:r>
      <w:r w:rsidRPr="00856264">
        <w:rPr>
          <w:rFonts w:ascii="Times New Roman" w:eastAsia="Calibri" w:hAnsi="Times New Roman" w:cs="Times New Roman"/>
          <w:bCs/>
          <w:sz w:val="24"/>
          <w:szCs w:val="24"/>
        </w:rPr>
        <w:t>ë</w:t>
      </w:r>
      <w:r w:rsidRPr="00856264">
        <w:rPr>
          <w:rFonts w:ascii="Times New Roman" w:eastAsia="Calibri" w:hAnsi="Times New Roman" w:cs="Times New Roman"/>
          <w:sz w:val="24"/>
          <w:szCs w:val="24"/>
        </w:rPr>
        <w:t>rfaqeve prov</w:t>
      </w:r>
      <w:r w:rsidRPr="00856264">
        <w:rPr>
          <w:rFonts w:ascii="Times New Roman" w:eastAsia="Calibri" w:hAnsi="Times New Roman" w:cs="Times New Roman"/>
          <w:bCs/>
          <w:sz w:val="24"/>
          <w:szCs w:val="24"/>
        </w:rPr>
        <w:t>ë</w:t>
      </w:r>
      <w:r w:rsidRPr="00856264">
        <w:rPr>
          <w:rFonts w:ascii="Times New Roman" w:eastAsia="Calibri" w:hAnsi="Times New Roman" w:cs="Times New Roman"/>
          <w:sz w:val="24"/>
          <w:szCs w:val="24"/>
        </w:rPr>
        <w:t xml:space="preserve"> në formë rrethore me rreze (11.28m) ose 400m</w:t>
      </w:r>
      <w:r w:rsidRPr="00856264">
        <w:rPr>
          <w:rFonts w:ascii="Times New Roman" w:eastAsia="Calibri" w:hAnsi="Times New Roman" w:cs="Times New Roman"/>
          <w:sz w:val="24"/>
          <w:szCs w:val="24"/>
          <w:vertAlign w:val="superscript"/>
        </w:rPr>
        <w:t>2,</w:t>
      </w:r>
      <w:r w:rsidRPr="00856264">
        <w:rPr>
          <w:rFonts w:ascii="Times New Roman" w:eastAsia="Calibri" w:hAnsi="Times New Roman" w:cs="Times New Roman"/>
          <w:sz w:val="24"/>
          <w:szCs w:val="24"/>
        </w:rPr>
        <w:t xml:space="preserve"> brenda s</w:t>
      </w:r>
      <w:r w:rsidRPr="00856264">
        <w:rPr>
          <w:rFonts w:ascii="Times New Roman" w:eastAsia="Calibri" w:hAnsi="Times New Roman" w:cs="Times New Roman"/>
          <w:bCs/>
          <w:sz w:val="24"/>
          <w:szCs w:val="24"/>
        </w:rPr>
        <w:t>ë</w:t>
      </w:r>
      <w:r w:rsidRPr="00856264">
        <w:rPr>
          <w:rFonts w:ascii="Times New Roman" w:eastAsia="Calibri" w:hAnsi="Times New Roman" w:cs="Times New Roman"/>
          <w:sz w:val="24"/>
          <w:szCs w:val="24"/>
        </w:rPr>
        <w:t xml:space="preserve"> cilës u kryen matjet e treguesve</w:t>
      </w:r>
      <w:r w:rsidR="00026154">
        <w:rPr>
          <w:rFonts w:ascii="Times New Roman" w:eastAsia="Calibri" w:hAnsi="Times New Roman" w:cs="Times New Roman"/>
          <w:sz w:val="24"/>
          <w:szCs w:val="24"/>
        </w:rPr>
        <w:t xml:space="preserve"> diametri, distancë, lloji drunor </w:t>
      </w:r>
      <w:r w:rsidRPr="00856264">
        <w:rPr>
          <w:rFonts w:ascii="Times New Roman" w:eastAsia="Calibri" w:hAnsi="Times New Roman" w:cs="Times New Roman"/>
          <w:sz w:val="24"/>
          <w:szCs w:val="24"/>
        </w:rPr>
        <w:t xml:space="preserve"> sipas specifikimeve p</w:t>
      </w:r>
      <w:r w:rsidRPr="00856264">
        <w:rPr>
          <w:rFonts w:ascii="Times New Roman" w:eastAsia="Calibri" w:hAnsi="Times New Roman" w:cs="Times New Roman"/>
          <w:bCs/>
          <w:sz w:val="24"/>
          <w:szCs w:val="24"/>
        </w:rPr>
        <w:t>ë</w:t>
      </w:r>
      <w:r w:rsidRPr="00856264">
        <w:rPr>
          <w:rFonts w:ascii="Times New Roman" w:eastAsia="Calibri" w:hAnsi="Times New Roman" w:cs="Times New Roman"/>
          <w:sz w:val="24"/>
          <w:szCs w:val="24"/>
        </w:rPr>
        <w:t>rkatëse</w:t>
      </w:r>
      <w:r>
        <w:rPr>
          <w:rFonts w:ascii="Times New Roman" w:eastAsia="Calibri" w:hAnsi="Times New Roman" w:cs="Times New Roman"/>
          <w:sz w:val="24"/>
          <w:szCs w:val="24"/>
        </w:rPr>
        <w:t>.</w:t>
      </w:r>
    </w:p>
    <w:p w:rsidR="00026154" w:rsidRPr="00026154" w:rsidRDefault="00026154" w:rsidP="00026154">
      <w:pPr>
        <w:spacing w:after="0" w:line="240" w:lineRule="auto"/>
        <w:jc w:val="both"/>
        <w:rPr>
          <w:rFonts w:ascii="Times New Roman" w:hAnsi="Times New Roman" w:cs="Times New Roman"/>
          <w:sz w:val="24"/>
          <w:szCs w:val="24"/>
        </w:rPr>
      </w:pPr>
      <w:r w:rsidRPr="00026154">
        <w:rPr>
          <w:rFonts w:ascii="Times New Roman" w:hAnsi="Times New Roman" w:cs="Times New Roman"/>
          <w:sz w:val="24"/>
          <w:szCs w:val="24"/>
        </w:rPr>
        <w:t>Gjithashtu, p</w:t>
      </w:r>
      <w:r w:rsidRPr="00026154">
        <w:rPr>
          <w:rFonts w:ascii="Times New Roman" w:hAnsi="Times New Roman" w:cs="Times New Roman"/>
          <w:bCs/>
          <w:sz w:val="24"/>
          <w:szCs w:val="24"/>
        </w:rPr>
        <w:t>ër</w:t>
      </w:r>
      <w:r w:rsidRPr="00026154">
        <w:rPr>
          <w:rFonts w:ascii="Times New Roman" w:hAnsi="Times New Roman" w:cs="Times New Roman"/>
          <w:sz w:val="24"/>
          <w:szCs w:val="24"/>
        </w:rPr>
        <w:t xml:space="preserve"> popullatat e reja (të kultivuara) u mundësua edhe shqyrtimi i origjinës (për sip</w:t>
      </w:r>
      <w:r w:rsidRPr="00026154">
        <w:rPr>
          <w:rFonts w:ascii="Times New Roman" w:hAnsi="Times New Roman" w:cs="Times New Roman"/>
          <w:bCs/>
          <w:sz w:val="24"/>
          <w:szCs w:val="24"/>
        </w:rPr>
        <w:t>ë</w:t>
      </w:r>
      <w:r w:rsidRPr="00026154">
        <w:rPr>
          <w:rFonts w:ascii="Times New Roman" w:hAnsi="Times New Roman" w:cs="Times New Roman"/>
          <w:sz w:val="24"/>
          <w:szCs w:val="24"/>
        </w:rPr>
        <w:t>rfaqet që do t</w:t>
      </w:r>
      <w:r w:rsidRPr="00026154">
        <w:rPr>
          <w:rFonts w:ascii="Times New Roman" w:hAnsi="Times New Roman" w:cs="Times New Roman"/>
          <w:bCs/>
          <w:sz w:val="24"/>
          <w:szCs w:val="24"/>
        </w:rPr>
        <w:t>ë</w:t>
      </w:r>
      <w:r w:rsidRPr="00026154">
        <w:rPr>
          <w:rFonts w:ascii="Times New Roman" w:hAnsi="Times New Roman" w:cs="Times New Roman"/>
          <w:sz w:val="24"/>
          <w:szCs w:val="24"/>
        </w:rPr>
        <w:t xml:space="preserve"> luajne rolin e RNI-së)  p</w:t>
      </w:r>
      <w:r w:rsidRPr="00026154">
        <w:rPr>
          <w:rFonts w:ascii="Times New Roman" w:hAnsi="Times New Roman" w:cs="Times New Roman"/>
          <w:bCs/>
          <w:sz w:val="24"/>
          <w:szCs w:val="24"/>
        </w:rPr>
        <w:t>ë</w:t>
      </w:r>
      <w:r w:rsidRPr="00026154">
        <w:rPr>
          <w:rFonts w:ascii="Times New Roman" w:hAnsi="Times New Roman" w:cs="Times New Roman"/>
          <w:sz w:val="24"/>
          <w:szCs w:val="24"/>
        </w:rPr>
        <w:t>r çdo lloj si m</w:t>
      </w:r>
      <w:r w:rsidRPr="00026154">
        <w:rPr>
          <w:rFonts w:ascii="Times New Roman" w:hAnsi="Times New Roman" w:cs="Times New Roman"/>
          <w:bCs/>
          <w:sz w:val="24"/>
          <w:szCs w:val="24"/>
        </w:rPr>
        <w:t>ë</w:t>
      </w:r>
      <w:r w:rsidRPr="00026154">
        <w:rPr>
          <w:rFonts w:ascii="Times New Roman" w:hAnsi="Times New Roman" w:cs="Times New Roman"/>
          <w:sz w:val="24"/>
          <w:szCs w:val="24"/>
        </w:rPr>
        <w:t xml:space="preserve"> posht</w:t>
      </w:r>
      <w:r w:rsidRPr="00026154">
        <w:rPr>
          <w:rFonts w:ascii="Times New Roman" w:hAnsi="Times New Roman" w:cs="Times New Roman"/>
          <w:bCs/>
          <w:sz w:val="24"/>
          <w:szCs w:val="24"/>
        </w:rPr>
        <w:t>ë</w:t>
      </w:r>
      <w:r w:rsidRPr="00026154">
        <w:rPr>
          <w:rFonts w:ascii="Times New Roman" w:hAnsi="Times New Roman" w:cs="Times New Roman"/>
          <w:sz w:val="24"/>
          <w:szCs w:val="24"/>
        </w:rPr>
        <w:t>:</w:t>
      </w:r>
    </w:p>
    <w:p w:rsidR="00026154" w:rsidRPr="00026154" w:rsidRDefault="00026154" w:rsidP="00807975">
      <w:pPr>
        <w:numPr>
          <w:ilvl w:val="0"/>
          <w:numId w:val="136"/>
        </w:numPr>
        <w:spacing w:after="0" w:line="240" w:lineRule="auto"/>
        <w:jc w:val="both"/>
        <w:rPr>
          <w:rFonts w:ascii="Times New Roman" w:hAnsi="Times New Roman" w:cs="Times New Roman"/>
          <w:b/>
          <w:sz w:val="24"/>
          <w:szCs w:val="24"/>
        </w:rPr>
      </w:pPr>
      <w:r w:rsidRPr="00026154">
        <w:rPr>
          <w:rFonts w:ascii="Times New Roman" w:hAnsi="Times New Roman" w:cs="Times New Roman"/>
          <w:b/>
          <w:sz w:val="24"/>
          <w:szCs w:val="24"/>
        </w:rPr>
        <w:t>Pishë egër me origjinë nga,</w:t>
      </w:r>
    </w:p>
    <w:p w:rsidR="00026154" w:rsidRPr="00026154" w:rsidRDefault="00026154" w:rsidP="00807975">
      <w:pPr>
        <w:numPr>
          <w:ilvl w:val="0"/>
          <w:numId w:val="137"/>
        </w:numPr>
        <w:spacing w:after="0" w:line="240" w:lineRule="auto"/>
        <w:jc w:val="both"/>
        <w:rPr>
          <w:rFonts w:ascii="Times New Roman" w:hAnsi="Times New Roman" w:cs="Times New Roman"/>
          <w:sz w:val="24"/>
          <w:szCs w:val="24"/>
        </w:rPr>
      </w:pPr>
      <w:r w:rsidRPr="00026154">
        <w:rPr>
          <w:rFonts w:ascii="Times New Roman" w:hAnsi="Times New Roman" w:cs="Times New Roman"/>
          <w:sz w:val="24"/>
          <w:szCs w:val="24"/>
        </w:rPr>
        <w:t>Pisha e Divjakës</w:t>
      </w:r>
    </w:p>
    <w:p w:rsidR="00026154" w:rsidRPr="00026154" w:rsidRDefault="00026154" w:rsidP="00807975">
      <w:pPr>
        <w:numPr>
          <w:ilvl w:val="0"/>
          <w:numId w:val="137"/>
        </w:numPr>
        <w:spacing w:after="0" w:line="240" w:lineRule="auto"/>
        <w:jc w:val="both"/>
        <w:rPr>
          <w:rFonts w:ascii="Times New Roman" w:hAnsi="Times New Roman" w:cs="Times New Roman"/>
          <w:sz w:val="24"/>
          <w:szCs w:val="24"/>
        </w:rPr>
      </w:pPr>
      <w:r w:rsidRPr="00026154">
        <w:rPr>
          <w:rFonts w:ascii="Times New Roman" w:hAnsi="Times New Roman" w:cs="Times New Roman"/>
          <w:sz w:val="24"/>
          <w:szCs w:val="24"/>
        </w:rPr>
        <w:t>P</w:t>
      </w:r>
      <w:r w:rsidR="000A6658">
        <w:rPr>
          <w:rFonts w:ascii="Times New Roman" w:hAnsi="Times New Roman" w:cs="Times New Roman"/>
          <w:sz w:val="24"/>
          <w:szCs w:val="24"/>
        </w:rPr>
        <w:t>ish</w:t>
      </w:r>
      <w:r w:rsidRPr="00026154">
        <w:rPr>
          <w:rFonts w:ascii="Times New Roman" w:hAnsi="Times New Roman" w:cs="Times New Roman"/>
          <w:sz w:val="24"/>
          <w:szCs w:val="24"/>
        </w:rPr>
        <w:t xml:space="preserve"> Poro- Fier</w:t>
      </w:r>
    </w:p>
    <w:p w:rsidR="00026154" w:rsidRPr="00026154" w:rsidRDefault="00026154" w:rsidP="00807975">
      <w:pPr>
        <w:numPr>
          <w:ilvl w:val="0"/>
          <w:numId w:val="136"/>
        </w:numPr>
        <w:spacing w:after="0" w:line="240" w:lineRule="auto"/>
        <w:jc w:val="both"/>
        <w:rPr>
          <w:rFonts w:ascii="Times New Roman" w:hAnsi="Times New Roman" w:cs="Times New Roman"/>
          <w:b/>
          <w:sz w:val="24"/>
          <w:szCs w:val="24"/>
        </w:rPr>
      </w:pPr>
      <w:r w:rsidRPr="00026154">
        <w:rPr>
          <w:rFonts w:ascii="Times New Roman" w:hAnsi="Times New Roman" w:cs="Times New Roman"/>
          <w:b/>
          <w:sz w:val="24"/>
          <w:szCs w:val="24"/>
        </w:rPr>
        <w:t>Pisha e butë me origjinë nga,</w:t>
      </w:r>
    </w:p>
    <w:p w:rsidR="00026154" w:rsidRPr="00026154" w:rsidRDefault="00026154" w:rsidP="00807975">
      <w:pPr>
        <w:numPr>
          <w:ilvl w:val="0"/>
          <w:numId w:val="138"/>
        </w:numPr>
        <w:spacing w:after="0" w:line="240" w:lineRule="auto"/>
        <w:jc w:val="both"/>
        <w:rPr>
          <w:rFonts w:ascii="Times New Roman" w:hAnsi="Times New Roman" w:cs="Times New Roman"/>
          <w:sz w:val="24"/>
          <w:szCs w:val="24"/>
        </w:rPr>
      </w:pPr>
      <w:r w:rsidRPr="00026154">
        <w:rPr>
          <w:rFonts w:ascii="Times New Roman" w:hAnsi="Times New Roman" w:cs="Times New Roman"/>
          <w:sz w:val="24"/>
          <w:szCs w:val="24"/>
        </w:rPr>
        <w:t>Pisha e Divjakës</w:t>
      </w:r>
    </w:p>
    <w:p w:rsidR="00026154" w:rsidRPr="00026154" w:rsidRDefault="000A6658" w:rsidP="00807975">
      <w:pPr>
        <w:numPr>
          <w:ilvl w:val="0"/>
          <w:numId w:val="1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Pish </w:t>
      </w:r>
      <w:r w:rsidR="00026154" w:rsidRPr="00026154">
        <w:rPr>
          <w:rFonts w:ascii="Times New Roman" w:hAnsi="Times New Roman" w:cs="Times New Roman"/>
          <w:sz w:val="24"/>
          <w:szCs w:val="24"/>
        </w:rPr>
        <w:t>Poro- Fier</w:t>
      </w:r>
    </w:p>
    <w:p w:rsidR="00026154" w:rsidRPr="00026154" w:rsidRDefault="00026154" w:rsidP="00807975">
      <w:pPr>
        <w:numPr>
          <w:ilvl w:val="0"/>
          <w:numId w:val="136"/>
        </w:numPr>
        <w:spacing w:after="0" w:line="240" w:lineRule="auto"/>
        <w:jc w:val="both"/>
        <w:rPr>
          <w:rFonts w:ascii="Times New Roman" w:hAnsi="Times New Roman" w:cs="Times New Roman"/>
          <w:b/>
          <w:sz w:val="24"/>
          <w:szCs w:val="24"/>
        </w:rPr>
      </w:pPr>
      <w:r w:rsidRPr="00026154">
        <w:rPr>
          <w:rFonts w:ascii="Times New Roman" w:hAnsi="Times New Roman" w:cs="Times New Roman"/>
          <w:b/>
          <w:sz w:val="24"/>
          <w:szCs w:val="24"/>
        </w:rPr>
        <w:t>Pisha e detit me origjinë nga,</w:t>
      </w:r>
    </w:p>
    <w:p w:rsidR="00026154" w:rsidRPr="00026154" w:rsidRDefault="00026154" w:rsidP="00807975">
      <w:pPr>
        <w:numPr>
          <w:ilvl w:val="0"/>
          <w:numId w:val="139"/>
        </w:numPr>
        <w:spacing w:after="0" w:line="240" w:lineRule="auto"/>
        <w:jc w:val="both"/>
        <w:rPr>
          <w:rFonts w:ascii="Times New Roman" w:hAnsi="Times New Roman" w:cs="Times New Roman"/>
          <w:sz w:val="24"/>
          <w:szCs w:val="24"/>
        </w:rPr>
      </w:pPr>
      <w:r w:rsidRPr="00026154">
        <w:rPr>
          <w:rFonts w:ascii="Times New Roman" w:hAnsi="Times New Roman" w:cs="Times New Roman"/>
          <w:sz w:val="24"/>
          <w:szCs w:val="24"/>
        </w:rPr>
        <w:t>Golem – Kavajë</w:t>
      </w:r>
    </w:p>
    <w:p w:rsidR="00856264" w:rsidRDefault="00856264" w:rsidP="009F4908">
      <w:pPr>
        <w:pStyle w:val="ListParagraph"/>
        <w:ind w:left="0"/>
        <w:rPr>
          <w:rFonts w:ascii="Times New Roman" w:eastAsia="Calibri" w:hAnsi="Times New Roman" w:cs="Times New Roman"/>
          <w:sz w:val="24"/>
          <w:szCs w:val="24"/>
        </w:rPr>
      </w:pPr>
    </w:p>
    <w:p w:rsidR="00422A16" w:rsidRPr="00422A16" w:rsidRDefault="00026154" w:rsidP="00422A16">
      <w:pPr>
        <w:pStyle w:val="NoSpacing"/>
        <w:jc w:val="both"/>
        <w:rPr>
          <w:rFonts w:ascii="Times New Roman" w:eastAsia="MS Mincho" w:hAnsi="Times New Roman" w:cs="Times New Roman"/>
          <w:sz w:val="24"/>
          <w:szCs w:val="24"/>
        </w:rPr>
      </w:pPr>
      <w:r w:rsidRPr="00026154">
        <w:rPr>
          <w:rFonts w:ascii="Times New Roman" w:eastAsia="Calibri" w:hAnsi="Times New Roman" w:cs="Times New Roman"/>
          <w:sz w:val="24"/>
          <w:szCs w:val="24"/>
        </w:rPr>
        <w:t>Ruajtja dhe përdorimi i burimeve gjenetike pyjore, janë çështje thelbësore për të përshpejtuar përshtatjen gjenetike të drurëve e popullatave të tyre në mjedise të reja dhe për të ruajtur kapacitetin adaptiv të tyre në evolucionin e mëtejshëm të pyjeve në Shqipëri</w:t>
      </w:r>
      <w:r w:rsidR="00422A16" w:rsidRPr="00422A16">
        <w:rPr>
          <w:rFonts w:ascii="Times New Roman" w:eastAsia="Calibri" w:hAnsi="Times New Roman" w:cs="Times New Roman"/>
          <w:sz w:val="24"/>
          <w:szCs w:val="24"/>
        </w:rPr>
        <w:t xml:space="preserve"> Kur është e mundur, duhet të promovohet edhe restaurimi i habitateve i cili ve në përdorim teknologjitë e inxhinierisë ekologjike, sidomos në zonat ku ndikimi i njeriut është më i lartë, të tilla si; në afërsi të qendrave të mëdha urbane, industriale, agronomike dhe në veçanti për rehabilitimin e e parqeve kombëtare të dëmtuar.</w:t>
      </w:r>
      <w:r w:rsidR="00422A16" w:rsidRPr="00422A16">
        <w:rPr>
          <w:rFonts w:ascii="Times New Roman" w:eastAsia="MS Mincho" w:hAnsi="Times New Roman" w:cs="Times New Roman"/>
          <w:sz w:val="24"/>
          <w:szCs w:val="24"/>
        </w:rPr>
        <w:t xml:space="preserve"> Vlerësimi i burimeve gjenetike pyjore për llojet e pishave mesdhetare ka për qëllim:</w:t>
      </w:r>
    </w:p>
    <w:p w:rsidR="00422A16" w:rsidRPr="00422A16" w:rsidRDefault="00422A16" w:rsidP="00422A16">
      <w:pPr>
        <w:spacing w:after="0" w:line="240" w:lineRule="auto"/>
        <w:jc w:val="both"/>
        <w:rPr>
          <w:rFonts w:ascii="Times New Roman" w:hAnsi="Times New Roman" w:cs="Times New Roman"/>
          <w:sz w:val="24"/>
          <w:szCs w:val="24"/>
        </w:rPr>
      </w:pPr>
      <w:r w:rsidRPr="00422A16">
        <w:rPr>
          <w:rFonts w:ascii="Times New Roman" w:hAnsi="Times New Roman" w:cs="Times New Roman"/>
          <w:sz w:val="24"/>
          <w:szCs w:val="24"/>
        </w:rPr>
        <w:sym w:font="Symbol" w:char="F0A8"/>
      </w:r>
      <w:r w:rsidRPr="00422A16">
        <w:rPr>
          <w:rFonts w:ascii="Times New Roman" w:hAnsi="Times New Roman" w:cs="Times New Roman"/>
          <w:sz w:val="24"/>
          <w:szCs w:val="24"/>
        </w:rPr>
        <w:t xml:space="preserve"> Të ruaj evidentimin më të mirë të diversitetit gjenetike të tyre.</w:t>
      </w:r>
    </w:p>
    <w:p w:rsidR="00422A16" w:rsidRPr="00422A16" w:rsidRDefault="00422A16" w:rsidP="00422A16">
      <w:pPr>
        <w:spacing w:after="0" w:line="240" w:lineRule="auto"/>
        <w:jc w:val="both"/>
        <w:rPr>
          <w:rFonts w:ascii="Times New Roman" w:hAnsi="Times New Roman" w:cs="Times New Roman"/>
          <w:sz w:val="24"/>
          <w:szCs w:val="24"/>
        </w:rPr>
      </w:pPr>
      <w:r w:rsidRPr="00422A16">
        <w:rPr>
          <w:rFonts w:ascii="Times New Roman" w:hAnsi="Times New Roman" w:cs="Times New Roman"/>
          <w:sz w:val="24"/>
          <w:szCs w:val="24"/>
        </w:rPr>
        <w:sym w:font="Symbol" w:char="F0A8"/>
      </w:r>
      <w:r w:rsidRPr="00422A16">
        <w:rPr>
          <w:rFonts w:ascii="Times New Roman" w:hAnsi="Times New Roman" w:cs="Times New Roman"/>
          <w:sz w:val="24"/>
          <w:szCs w:val="24"/>
        </w:rPr>
        <w:t>Të përcaktojë prioritetet lidhur me llojin në popullatat e zgjedhura për të realizuar mundësinë e konservimit të tyre.</w:t>
      </w:r>
    </w:p>
    <w:p w:rsidR="00422A16" w:rsidRPr="00422A16" w:rsidRDefault="00422A16" w:rsidP="00422A16">
      <w:pPr>
        <w:spacing w:after="0" w:line="240" w:lineRule="auto"/>
        <w:jc w:val="both"/>
        <w:rPr>
          <w:rFonts w:ascii="Times New Roman" w:hAnsi="Times New Roman" w:cs="Times New Roman"/>
          <w:sz w:val="24"/>
          <w:szCs w:val="24"/>
        </w:rPr>
      </w:pPr>
      <w:r w:rsidRPr="00422A16">
        <w:rPr>
          <w:rFonts w:ascii="Times New Roman" w:hAnsi="Times New Roman" w:cs="Times New Roman"/>
          <w:sz w:val="24"/>
          <w:szCs w:val="24"/>
        </w:rPr>
        <w:sym w:font="Symbol" w:char="F0A8"/>
      </w:r>
      <w:r w:rsidRPr="00422A16">
        <w:rPr>
          <w:rFonts w:ascii="Times New Roman" w:hAnsi="Times New Roman" w:cs="Times New Roman"/>
          <w:sz w:val="24"/>
          <w:szCs w:val="24"/>
        </w:rPr>
        <w:t>Të evidentojë shpërndarjen faktike të rezervave natyrore gjenetike (RNI) dhe të përcaktojë masat silvikulturore për trajtimin dhe mirëmbajtjen e tyre.</w:t>
      </w:r>
    </w:p>
    <w:p w:rsidR="00422A16" w:rsidRPr="00422A16" w:rsidRDefault="00422A16" w:rsidP="00422A16">
      <w:pPr>
        <w:spacing w:after="0" w:line="240" w:lineRule="auto"/>
        <w:jc w:val="both"/>
        <w:rPr>
          <w:rFonts w:ascii="Times New Roman" w:hAnsi="Times New Roman" w:cs="Times New Roman"/>
          <w:sz w:val="24"/>
          <w:szCs w:val="24"/>
        </w:rPr>
      </w:pPr>
      <w:r w:rsidRPr="00422A16">
        <w:rPr>
          <w:rFonts w:ascii="Times New Roman" w:hAnsi="Times New Roman" w:cs="Times New Roman"/>
          <w:sz w:val="24"/>
          <w:szCs w:val="24"/>
        </w:rPr>
        <w:sym w:font="Symbol" w:char="F0A8"/>
      </w:r>
      <w:r w:rsidRPr="00422A16">
        <w:rPr>
          <w:rFonts w:ascii="Times New Roman" w:hAnsi="Times New Roman" w:cs="Times New Roman"/>
          <w:sz w:val="24"/>
          <w:szCs w:val="24"/>
        </w:rPr>
        <w:t>Të studjojë aspektet e ruajtjes e përdorimit të RNI-ve në masën e konservimit “in situ” në mënyrë që të jetë e garantuar në të njëjtën kohë ruajtja e variabilitetit thelbësor gjenetik të përfaqsuar.</w:t>
      </w:r>
    </w:p>
    <w:p w:rsidR="00422A16" w:rsidRPr="00422A16" w:rsidRDefault="00422A16" w:rsidP="00422A16">
      <w:pPr>
        <w:spacing w:after="0" w:line="240" w:lineRule="auto"/>
        <w:jc w:val="both"/>
        <w:rPr>
          <w:rFonts w:ascii="Times New Roman" w:hAnsi="Times New Roman" w:cs="Times New Roman"/>
          <w:sz w:val="24"/>
          <w:szCs w:val="24"/>
        </w:rPr>
      </w:pPr>
      <w:r w:rsidRPr="00422A16">
        <w:rPr>
          <w:rFonts w:ascii="Times New Roman" w:hAnsi="Times New Roman" w:cs="Times New Roman"/>
          <w:sz w:val="24"/>
          <w:szCs w:val="24"/>
        </w:rPr>
        <w:sym w:font="Symbol" w:char="F0A8"/>
      </w:r>
      <w:r w:rsidRPr="00422A16">
        <w:rPr>
          <w:rFonts w:ascii="Times New Roman" w:hAnsi="Times New Roman" w:cs="Times New Roman"/>
          <w:sz w:val="24"/>
          <w:szCs w:val="24"/>
        </w:rPr>
        <w:t>Të arrijë në përfundime rreth strategjisë së konservimit të RNI-ve në përputhje me politikat pyjore dhe kërkesave të nivelit të organizimit të sektorit pyjor për të ardhmen.</w:t>
      </w:r>
    </w:p>
    <w:p w:rsidR="00422A16" w:rsidRPr="00422A16" w:rsidRDefault="00422A16" w:rsidP="00422A16">
      <w:pPr>
        <w:spacing w:after="0" w:line="240" w:lineRule="auto"/>
        <w:jc w:val="both"/>
        <w:rPr>
          <w:rFonts w:ascii="Times New Roman" w:hAnsi="Times New Roman" w:cs="Times New Roman"/>
          <w:sz w:val="24"/>
          <w:szCs w:val="24"/>
        </w:rPr>
      </w:pPr>
      <w:r w:rsidRPr="00422A16">
        <w:rPr>
          <w:rFonts w:ascii="Times New Roman" w:hAnsi="Times New Roman" w:cs="Times New Roman"/>
          <w:sz w:val="24"/>
          <w:szCs w:val="24"/>
        </w:rPr>
        <w:sym w:font="Symbol" w:char="F0A8"/>
      </w:r>
      <w:r w:rsidRPr="00422A16">
        <w:rPr>
          <w:rFonts w:ascii="Times New Roman" w:hAnsi="Times New Roman" w:cs="Times New Roman"/>
          <w:sz w:val="24"/>
          <w:szCs w:val="24"/>
        </w:rPr>
        <w:t>Të kontribojë në përcaktimin e nevojave potenciale konservuese të pasurisë gjenetike pyjore.</w:t>
      </w:r>
    </w:p>
    <w:p w:rsidR="00422A16" w:rsidRPr="00422A16" w:rsidRDefault="00422A16" w:rsidP="00422A16">
      <w:pPr>
        <w:spacing w:after="0" w:line="240" w:lineRule="auto"/>
        <w:jc w:val="both"/>
        <w:rPr>
          <w:rFonts w:ascii="Times New Roman" w:hAnsi="Times New Roman" w:cs="Times New Roman"/>
          <w:sz w:val="24"/>
          <w:szCs w:val="24"/>
        </w:rPr>
      </w:pPr>
      <w:r w:rsidRPr="00422A16">
        <w:rPr>
          <w:rFonts w:ascii="Times New Roman" w:hAnsi="Times New Roman" w:cs="Times New Roman"/>
          <w:sz w:val="24"/>
          <w:szCs w:val="24"/>
        </w:rPr>
        <w:sym w:font="Symbol" w:char="F0A8"/>
      </w:r>
      <w:r w:rsidRPr="00422A16">
        <w:rPr>
          <w:rFonts w:ascii="Times New Roman" w:hAnsi="Times New Roman" w:cs="Times New Roman"/>
          <w:sz w:val="24"/>
          <w:szCs w:val="24"/>
        </w:rPr>
        <w:t>Të kontribojë në ngritjen e rrjetit potencial e përdorues sipas prioriteteve operacional të grumbujve pyjor farorë, për plotësimin e nevojave ripërtëritëse adekuate.</w:t>
      </w:r>
    </w:p>
    <w:p w:rsidR="00422A16" w:rsidRPr="00422A16" w:rsidRDefault="00422A16" w:rsidP="00422A16">
      <w:pPr>
        <w:spacing w:after="0" w:line="240" w:lineRule="auto"/>
        <w:jc w:val="both"/>
        <w:rPr>
          <w:rFonts w:ascii="Times New Roman" w:hAnsi="Times New Roman" w:cs="Times New Roman"/>
          <w:b/>
          <w:bCs/>
          <w:sz w:val="24"/>
          <w:szCs w:val="24"/>
        </w:rPr>
      </w:pPr>
      <w:r w:rsidRPr="00422A16">
        <w:rPr>
          <w:rFonts w:ascii="Times New Roman" w:hAnsi="Times New Roman" w:cs="Times New Roman"/>
          <w:sz w:val="24"/>
          <w:szCs w:val="24"/>
        </w:rPr>
        <w:sym w:font="Symbol" w:char="F0A8"/>
      </w:r>
      <w:r w:rsidRPr="00422A16">
        <w:rPr>
          <w:rFonts w:ascii="Times New Roman" w:hAnsi="Times New Roman" w:cs="Times New Roman"/>
          <w:sz w:val="24"/>
          <w:szCs w:val="24"/>
        </w:rPr>
        <w:t>Të kontribojë në orientimin për etapat e mëvonëshme të një programi në fushën e përmirësimit gjenetik të drurëve pyjor.</w:t>
      </w:r>
    </w:p>
    <w:p w:rsidR="00E73AE8" w:rsidRPr="00FA091C" w:rsidRDefault="00E73AE8" w:rsidP="00FA091C">
      <w:pPr>
        <w:pStyle w:val="ListParagraph"/>
        <w:ind w:left="0"/>
        <w:rPr>
          <w:rFonts w:ascii="Arial" w:eastAsia="Times New Roman" w:hAnsi="Arial" w:cs="Arial"/>
          <w:b/>
          <w:color w:val="3D5265"/>
          <w:sz w:val="24"/>
          <w:szCs w:val="24"/>
        </w:rPr>
      </w:pPr>
    </w:p>
    <w:p w:rsidR="004D7AA4" w:rsidRPr="009C1DA3" w:rsidRDefault="00E67F4D" w:rsidP="004D7AA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8.5</w:t>
      </w:r>
      <w:r w:rsidR="009E6FC6" w:rsidRPr="009C1DA3">
        <w:rPr>
          <w:rFonts w:ascii="Times New Roman" w:eastAsia="Times New Roman" w:hAnsi="Times New Roman" w:cs="Times New Roman"/>
          <w:b/>
          <w:sz w:val="24"/>
          <w:szCs w:val="24"/>
        </w:rPr>
        <w:t xml:space="preserve"> </w:t>
      </w:r>
      <w:r w:rsidR="004D7AA4" w:rsidRPr="009C1DA3">
        <w:rPr>
          <w:rFonts w:ascii="Times New Roman" w:eastAsia="Times New Roman" w:hAnsi="Times New Roman" w:cs="Times New Roman"/>
          <w:b/>
          <w:sz w:val="24"/>
          <w:szCs w:val="24"/>
        </w:rPr>
        <w:t>Sh</w:t>
      </w:r>
      <w:r w:rsidR="003D58A9">
        <w:rPr>
          <w:rFonts w:ascii="Times New Roman" w:eastAsia="Times New Roman" w:hAnsi="Times New Roman" w:cs="Times New Roman"/>
          <w:b/>
          <w:sz w:val="24"/>
          <w:szCs w:val="24"/>
        </w:rPr>
        <w:t xml:space="preserve">ëndeti në </w:t>
      </w:r>
      <w:r w:rsidR="004D7AA4" w:rsidRPr="009C1DA3">
        <w:rPr>
          <w:rFonts w:ascii="Times New Roman" w:eastAsia="Times New Roman" w:hAnsi="Times New Roman" w:cs="Times New Roman"/>
          <w:b/>
          <w:sz w:val="24"/>
          <w:szCs w:val="24"/>
        </w:rPr>
        <w:t>pyje</w:t>
      </w:r>
    </w:p>
    <w:p w:rsidR="00422A16" w:rsidRPr="00422A16" w:rsidRDefault="00422A16" w:rsidP="00422A16">
      <w:pPr>
        <w:tabs>
          <w:tab w:val="right" w:pos="630"/>
        </w:tabs>
        <w:spacing w:after="0" w:line="240" w:lineRule="auto"/>
        <w:jc w:val="both"/>
        <w:rPr>
          <w:rFonts w:ascii="Times New Roman" w:eastAsia="Calibri" w:hAnsi="Times New Roman" w:cs="Times New Roman"/>
          <w:sz w:val="24"/>
          <w:szCs w:val="24"/>
          <w:lang w:val="it-IT"/>
        </w:rPr>
      </w:pPr>
      <w:r w:rsidRPr="00422A16">
        <w:rPr>
          <w:rFonts w:ascii="Times New Roman" w:eastAsia="Calibri" w:hAnsi="Times New Roman" w:cs="Times New Roman"/>
          <w:sz w:val="24"/>
          <w:szCs w:val="24"/>
          <w:lang w:val="it-IT"/>
        </w:rPr>
        <w:t xml:space="preserve">Monitorimi i gjendjes shëndetësore dhe vitalitetit është përqëndruar në llojet kryesore që përbëjnë fondin pyjor të vendit tonë dhe është përqëndruar në treguesit </w:t>
      </w:r>
      <w:r w:rsidR="007F227B">
        <w:rPr>
          <w:rFonts w:ascii="Times New Roman" w:eastAsia="Calibri" w:hAnsi="Times New Roman" w:cs="Times New Roman"/>
          <w:sz w:val="24"/>
          <w:szCs w:val="24"/>
          <w:lang w:val="it-IT"/>
        </w:rPr>
        <w:t>e parametrave të fenomenit të ç</w:t>
      </w:r>
      <w:r w:rsidRPr="00422A16">
        <w:rPr>
          <w:rFonts w:ascii="Times New Roman" w:eastAsia="Calibri" w:hAnsi="Times New Roman" w:cs="Times New Roman"/>
          <w:sz w:val="24"/>
          <w:szCs w:val="24"/>
          <w:lang w:val="it-IT"/>
        </w:rPr>
        <w:t>ngjyrosjes (tjetërsimit të ngj</w:t>
      </w:r>
      <w:r w:rsidR="007F227B">
        <w:rPr>
          <w:rFonts w:ascii="Times New Roman" w:eastAsia="Calibri" w:hAnsi="Times New Roman" w:cs="Times New Roman"/>
          <w:sz w:val="24"/>
          <w:szCs w:val="24"/>
          <w:lang w:val="it-IT"/>
        </w:rPr>
        <w:t>yrës së halave ose gjetheve), ç</w:t>
      </w:r>
      <w:r w:rsidRPr="00422A16">
        <w:rPr>
          <w:rFonts w:ascii="Times New Roman" w:eastAsia="Calibri" w:hAnsi="Times New Roman" w:cs="Times New Roman"/>
          <w:sz w:val="24"/>
          <w:szCs w:val="24"/>
          <w:lang w:val="it-IT"/>
        </w:rPr>
        <w:t>hal</w:t>
      </w:r>
      <w:r w:rsidR="007F227B">
        <w:rPr>
          <w:rFonts w:ascii="Times New Roman" w:eastAsia="Calibri" w:hAnsi="Times New Roman" w:cs="Times New Roman"/>
          <w:sz w:val="24"/>
          <w:szCs w:val="24"/>
          <w:lang w:val="it-IT"/>
        </w:rPr>
        <w:t>ëzimit (rënies së halave) dhe ç</w:t>
      </w:r>
      <w:r w:rsidRPr="00422A16">
        <w:rPr>
          <w:rFonts w:ascii="Times New Roman" w:eastAsia="Calibri" w:hAnsi="Times New Roman" w:cs="Times New Roman"/>
          <w:sz w:val="24"/>
          <w:szCs w:val="24"/>
          <w:lang w:val="it-IT"/>
        </w:rPr>
        <w:t xml:space="preserve">gjethëzimit (rënies së gjetheve), evidentimin e dëmtuesve dhe sëmundjeve të llojeve kryesore pyjore etj. </w:t>
      </w:r>
    </w:p>
    <w:p w:rsidR="00422A16" w:rsidRDefault="00BF365F" w:rsidP="00422A16">
      <w:pPr>
        <w:tabs>
          <w:tab w:val="right" w:pos="630"/>
        </w:tabs>
        <w:spacing w:after="0" w:line="240" w:lineRule="auto"/>
        <w:jc w:val="both"/>
        <w:rPr>
          <w:rFonts w:ascii="Times New Roman" w:eastAsia="Calibri" w:hAnsi="Times New Roman" w:cs="Times New Roman"/>
          <w:bCs/>
          <w:iCs/>
          <w:sz w:val="24"/>
          <w:szCs w:val="24"/>
          <w:lang w:val="it-IT"/>
        </w:rPr>
      </w:pPr>
      <w:r w:rsidRPr="00BF365F">
        <w:rPr>
          <w:rFonts w:ascii="Times New Roman" w:eastAsia="Calibri" w:hAnsi="Times New Roman" w:cs="Times New Roman"/>
          <w:sz w:val="24"/>
          <w:szCs w:val="24"/>
          <w:lang w:val="it-IT"/>
        </w:rPr>
        <w:t>Pë</w:t>
      </w:r>
      <w:r w:rsidRPr="00BF365F">
        <w:rPr>
          <w:rFonts w:ascii="Times New Roman" w:eastAsia="Calibri" w:hAnsi="Times New Roman" w:cs="Times New Roman"/>
          <w:bCs/>
          <w:sz w:val="24"/>
          <w:szCs w:val="24"/>
          <w:lang w:val="it-IT"/>
        </w:rPr>
        <w:t>r vitin 2025, monitorimi është kryer</w:t>
      </w:r>
      <w:r w:rsidRPr="00BF365F">
        <w:rPr>
          <w:rFonts w:ascii="Times New Roman" w:eastAsia="Calibri" w:hAnsi="Times New Roman" w:cs="Times New Roman"/>
          <w:sz w:val="24"/>
          <w:szCs w:val="24"/>
          <w:lang w:val="it-IT"/>
        </w:rPr>
        <w:t xml:space="preserve"> brenda rrjetit të konservimit të burimeve gjenetike të llojeve</w:t>
      </w:r>
      <w:r w:rsidRPr="00BF365F">
        <w:rPr>
          <w:rFonts w:ascii="Times New Roman" w:eastAsia="Calibri" w:hAnsi="Times New Roman" w:cs="Times New Roman"/>
          <w:b/>
          <w:color w:val="000000"/>
          <w:sz w:val="24"/>
          <w:szCs w:val="24"/>
          <w:lang w:val="it-IT"/>
        </w:rPr>
        <w:t xml:space="preserve">; </w:t>
      </w:r>
      <w:r w:rsidRPr="00BF365F">
        <w:rPr>
          <w:rFonts w:ascii="Times New Roman" w:eastAsia="Calibri" w:hAnsi="Times New Roman" w:cs="Times New Roman"/>
          <w:color w:val="000000"/>
          <w:sz w:val="24"/>
          <w:szCs w:val="24"/>
          <w:lang w:val="it-IT"/>
        </w:rPr>
        <w:t>pishë e zezë, pisha mesdhetare, arrnen, hormoq, hartinë, bredh i bardhë, rrobull, ah, gështenjë, llojeve të dushqeve</w:t>
      </w:r>
      <w:r w:rsidRPr="00BF365F">
        <w:rPr>
          <w:rFonts w:ascii="Times New Roman" w:eastAsia="Calibri" w:hAnsi="Times New Roman" w:cs="Times New Roman"/>
          <w:sz w:val="24"/>
          <w:szCs w:val="24"/>
          <w:lang w:val="it-IT"/>
        </w:rPr>
        <w:t xml:space="preserve"> si dhe vlerësimi i sëmundjeve dhe dëmtuesve që kanë prekur llojet  pyjore në masive të ndryshme në shkallë kombëtare. Ky monitorim është përqëndruar në bashkitë me sipërfaqe më të madhe të fondit pyjor, ku dhe është ngritur rrjeti i sipërfaqeve provë, si dhe në masive që nuk përfshihen në këto sipërfaqe. Konkretisht në bashkitë:</w:t>
      </w:r>
      <w:r w:rsidRPr="00BF365F">
        <w:rPr>
          <w:rFonts w:ascii="Times New Roman" w:eastAsia="Calibri" w:hAnsi="Times New Roman" w:cs="Times New Roman"/>
          <w:bCs/>
          <w:i/>
          <w:iCs/>
          <w:sz w:val="24"/>
          <w:szCs w:val="24"/>
          <w:lang w:val="it-IT"/>
        </w:rPr>
        <w:t xml:space="preserve"> </w:t>
      </w:r>
      <w:r w:rsidRPr="00BF365F">
        <w:rPr>
          <w:rFonts w:ascii="Times New Roman" w:eastAsia="Calibri" w:hAnsi="Times New Roman" w:cs="Times New Roman"/>
          <w:bCs/>
          <w:iCs/>
          <w:sz w:val="24"/>
          <w:szCs w:val="24"/>
          <w:lang w:val="it-IT"/>
        </w:rPr>
        <w:t>Berat, Poliçan, Skrapar, Dibër, Bulqizë, Mat, Klos, Krujë, Elbasan, Gramsh, Librazhd, Prenjas, Belsh, Peqin, Divjakë, Lushnje, Mallakastër, Gjirokastër, Libohovë, Tepelenë, Memaliaj, Përmet, Këlcyrë, Pogradec, Korçë, Maliq, Pustec,  Kolonjë, Kukës, Has, Tropojë, Lezhë, Mirditë, Shkodër, Malësi e Madhe, Pukë, Fushë-Arrëz, Vau i Dejës, Tiranë, Kavajë, Vlorë, Selenicë, Himarë, Delvinë</w:t>
      </w:r>
      <w:r w:rsidRPr="00BF365F">
        <w:rPr>
          <w:rFonts w:ascii="Times New Roman" w:eastAsia="Calibri" w:hAnsi="Times New Roman" w:cs="Times New Roman"/>
          <w:bCs/>
          <w:i/>
          <w:iCs/>
          <w:sz w:val="24"/>
          <w:szCs w:val="24"/>
          <w:lang w:val="it-IT"/>
        </w:rPr>
        <w:t xml:space="preserve">, </w:t>
      </w:r>
      <w:r w:rsidRPr="00BF365F">
        <w:rPr>
          <w:rFonts w:ascii="Times New Roman" w:eastAsia="Calibri" w:hAnsi="Times New Roman" w:cs="Times New Roman"/>
          <w:bCs/>
          <w:iCs/>
          <w:sz w:val="24"/>
          <w:szCs w:val="24"/>
          <w:lang w:val="it-IT"/>
        </w:rPr>
        <w:t>Finiq, etj</w:t>
      </w:r>
    </w:p>
    <w:p w:rsidR="00277086" w:rsidRPr="00422A16" w:rsidRDefault="00277086" w:rsidP="00422A16">
      <w:pPr>
        <w:tabs>
          <w:tab w:val="right" w:pos="630"/>
        </w:tabs>
        <w:spacing w:after="0" w:line="240" w:lineRule="auto"/>
        <w:jc w:val="both"/>
        <w:rPr>
          <w:rFonts w:ascii="Times New Roman" w:eastAsia="Calibri" w:hAnsi="Times New Roman" w:cs="Times New Roman"/>
          <w:b/>
          <w:lang w:val="it-IT"/>
        </w:rPr>
      </w:pPr>
    </w:p>
    <w:p w:rsidR="00BF365F" w:rsidRDefault="00BF365F" w:rsidP="00BF365F">
      <w:pPr>
        <w:spacing w:after="0" w:line="240" w:lineRule="auto"/>
        <w:jc w:val="both"/>
        <w:rPr>
          <w:rFonts w:ascii="Times New Roman" w:eastAsia="Calibri" w:hAnsi="Times New Roman" w:cs="Times New Roman"/>
          <w:b/>
          <w:color w:val="000000"/>
          <w:szCs w:val="24"/>
          <w:lang w:val="it-IT"/>
        </w:rPr>
      </w:pPr>
    </w:p>
    <w:p w:rsidR="000A6658" w:rsidRDefault="000A6658" w:rsidP="00BF365F">
      <w:pPr>
        <w:spacing w:after="0" w:line="240" w:lineRule="auto"/>
        <w:jc w:val="both"/>
        <w:rPr>
          <w:rFonts w:ascii="Times New Roman" w:eastAsia="Calibri" w:hAnsi="Times New Roman" w:cs="Times New Roman"/>
          <w:b/>
          <w:color w:val="000000"/>
          <w:szCs w:val="24"/>
          <w:lang w:val="it-IT"/>
        </w:rPr>
      </w:pPr>
    </w:p>
    <w:p w:rsidR="00BF365F" w:rsidRPr="00277086" w:rsidRDefault="002A64D6" w:rsidP="000A6658">
      <w:pPr>
        <w:spacing w:after="0" w:line="240" w:lineRule="auto"/>
        <w:jc w:val="center"/>
        <w:rPr>
          <w:rFonts w:ascii="Times New Roman" w:eastAsia="Calibri" w:hAnsi="Times New Roman" w:cs="Times New Roman"/>
          <w:szCs w:val="24"/>
          <w:lang w:val="it-IT"/>
        </w:rPr>
      </w:pPr>
      <w:r>
        <w:rPr>
          <w:rFonts w:ascii="Times New Roman" w:eastAsia="Calibri" w:hAnsi="Times New Roman" w:cs="Times New Roman"/>
          <w:bCs/>
          <w:color w:val="000000"/>
          <w:sz w:val="24"/>
          <w:szCs w:val="24"/>
        </w:rPr>
        <w:lastRenderedPageBreak/>
        <w:t>Tabela 73</w:t>
      </w:r>
      <w:r w:rsidR="00BF365F" w:rsidRPr="00277086">
        <w:rPr>
          <w:rFonts w:ascii="Times New Roman" w:eastAsia="Calibri" w:hAnsi="Times New Roman" w:cs="Times New Roman"/>
          <w:bCs/>
          <w:color w:val="000000"/>
          <w:sz w:val="24"/>
          <w:szCs w:val="24"/>
        </w:rPr>
        <w:t xml:space="preserve">. </w:t>
      </w:r>
      <w:r w:rsidR="00BF365F" w:rsidRPr="00277086">
        <w:rPr>
          <w:rFonts w:ascii="Times New Roman" w:eastAsia="Calibri" w:hAnsi="Times New Roman" w:cs="Times New Roman"/>
          <w:color w:val="000000"/>
          <w:sz w:val="24"/>
          <w:szCs w:val="24"/>
          <w:lang w:val="it-IT"/>
        </w:rPr>
        <w:t xml:space="preserve">Përcaktimi i </w:t>
      </w:r>
      <w:r w:rsidR="00BF365F" w:rsidRPr="00277086">
        <w:rPr>
          <w:rFonts w:ascii="Times New Roman" w:eastAsia="Calibri" w:hAnsi="Times New Roman" w:cs="Times New Roman"/>
          <w:sz w:val="24"/>
          <w:szCs w:val="24"/>
          <w:lang w:val="it-IT"/>
        </w:rPr>
        <w:t>çhalëzimit / çgjethëzimit, dhe çngjyrosjes.</w:t>
      </w:r>
    </w:p>
    <w:p w:rsidR="00BF365F" w:rsidRPr="00BF365F" w:rsidRDefault="00BF365F" w:rsidP="00BF365F">
      <w:pPr>
        <w:spacing w:after="0" w:line="240" w:lineRule="auto"/>
        <w:ind w:firstLine="720"/>
        <w:jc w:val="both"/>
        <w:rPr>
          <w:rFonts w:ascii="Times New Roman" w:eastAsia="Calibri" w:hAnsi="Times New Roman" w:cs="Times New Roman"/>
          <w:b/>
          <w:sz w:val="24"/>
          <w:szCs w:val="24"/>
          <w:lang w:val="it-IT"/>
        </w:rPr>
      </w:pPr>
      <w:r w:rsidRPr="00BF365F">
        <w:rPr>
          <w:rFonts w:ascii="Times New Roman" w:eastAsia="Calibri" w:hAnsi="Times New Roman" w:cs="Times New Roman"/>
          <w:sz w:val="24"/>
          <w:szCs w:val="24"/>
          <w:lang w:val="it-IT"/>
        </w:rPr>
        <w:t xml:space="preserve">                                                        </w:t>
      </w:r>
    </w:p>
    <w:tbl>
      <w:tblPr>
        <w:tblW w:w="0" w:type="auto"/>
        <w:tblInd w:w="2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9"/>
        <w:gridCol w:w="4009"/>
        <w:gridCol w:w="4050"/>
      </w:tblGrid>
      <w:tr w:rsidR="00BF365F" w:rsidRPr="00BF365F" w:rsidTr="00132717">
        <w:tc>
          <w:tcPr>
            <w:tcW w:w="959" w:type="dxa"/>
          </w:tcPr>
          <w:p w:rsidR="00BF365F" w:rsidRPr="00BF365F" w:rsidRDefault="00BF365F" w:rsidP="00BF365F">
            <w:pPr>
              <w:spacing w:after="0" w:line="240" w:lineRule="auto"/>
              <w:jc w:val="both"/>
              <w:rPr>
                <w:rFonts w:ascii="Times New Roman" w:eastAsia="Calibri" w:hAnsi="Times New Roman" w:cs="Times New Roman"/>
                <w:b/>
                <w:i/>
                <w:szCs w:val="20"/>
              </w:rPr>
            </w:pPr>
            <w:r w:rsidRPr="00BF365F">
              <w:rPr>
                <w:rFonts w:ascii="Times New Roman" w:eastAsia="Calibri" w:hAnsi="Times New Roman" w:cs="Times New Roman"/>
                <w:b/>
                <w:i/>
                <w:szCs w:val="20"/>
              </w:rPr>
              <w:t>Klasat</w:t>
            </w:r>
          </w:p>
        </w:tc>
        <w:tc>
          <w:tcPr>
            <w:tcW w:w="4009" w:type="dxa"/>
          </w:tcPr>
          <w:p w:rsidR="00BF365F" w:rsidRPr="00BF365F" w:rsidRDefault="00BF365F" w:rsidP="00BF365F">
            <w:pPr>
              <w:spacing w:after="0" w:line="240" w:lineRule="auto"/>
              <w:jc w:val="both"/>
              <w:rPr>
                <w:rFonts w:ascii="Times New Roman" w:eastAsia="Calibri" w:hAnsi="Times New Roman" w:cs="Times New Roman"/>
                <w:b/>
                <w:i/>
                <w:szCs w:val="20"/>
              </w:rPr>
            </w:pPr>
            <w:r w:rsidRPr="00BF365F">
              <w:rPr>
                <w:rFonts w:ascii="Times New Roman" w:eastAsia="Calibri" w:hAnsi="Times New Roman" w:cs="Times New Roman"/>
                <w:b/>
                <w:i/>
                <w:szCs w:val="20"/>
              </w:rPr>
              <w:t xml:space="preserve">Shkalla e </w:t>
            </w:r>
            <w:r>
              <w:rPr>
                <w:rFonts w:ascii="Times New Roman" w:eastAsia="Calibri" w:hAnsi="Times New Roman" w:cs="Times New Roman"/>
                <w:b/>
                <w:i/>
                <w:szCs w:val="20"/>
              </w:rPr>
              <w:t>ç</w:t>
            </w:r>
            <w:r w:rsidRPr="00BF365F">
              <w:rPr>
                <w:rFonts w:ascii="Times New Roman" w:eastAsia="Calibri" w:hAnsi="Times New Roman" w:cs="Times New Roman"/>
                <w:b/>
                <w:i/>
                <w:szCs w:val="20"/>
              </w:rPr>
              <w:t>halëzimi</w:t>
            </w:r>
            <w:r>
              <w:rPr>
                <w:rFonts w:ascii="Times New Roman" w:eastAsia="Calibri" w:hAnsi="Times New Roman" w:cs="Times New Roman"/>
                <w:b/>
                <w:i/>
                <w:szCs w:val="20"/>
              </w:rPr>
              <w:t>t /ç</w:t>
            </w:r>
            <w:r w:rsidRPr="00BF365F">
              <w:rPr>
                <w:rFonts w:ascii="Times New Roman" w:eastAsia="Calibri" w:hAnsi="Times New Roman" w:cs="Times New Roman"/>
                <w:b/>
                <w:i/>
                <w:szCs w:val="20"/>
              </w:rPr>
              <w:t xml:space="preserve">gjethëzimit </w:t>
            </w:r>
          </w:p>
        </w:tc>
        <w:tc>
          <w:tcPr>
            <w:tcW w:w="4050" w:type="dxa"/>
          </w:tcPr>
          <w:p w:rsidR="00BF365F" w:rsidRPr="00BF365F" w:rsidRDefault="00BF365F" w:rsidP="00BF365F">
            <w:pPr>
              <w:spacing w:after="0" w:line="240" w:lineRule="auto"/>
              <w:jc w:val="both"/>
              <w:rPr>
                <w:rFonts w:ascii="Times New Roman" w:eastAsia="Calibri" w:hAnsi="Times New Roman" w:cs="Times New Roman"/>
                <w:b/>
                <w:i/>
                <w:szCs w:val="20"/>
                <w:lang w:val="es-MX"/>
              </w:rPr>
            </w:pPr>
            <w:r w:rsidRPr="00BF365F">
              <w:rPr>
                <w:rFonts w:ascii="Times New Roman" w:eastAsia="Calibri" w:hAnsi="Times New Roman" w:cs="Times New Roman"/>
                <w:b/>
                <w:i/>
                <w:szCs w:val="20"/>
                <w:lang w:val="es-MX"/>
              </w:rPr>
              <w:t>Përqindja e humbjes halave (gjetheve)</w:t>
            </w:r>
          </w:p>
        </w:tc>
      </w:tr>
      <w:tr w:rsidR="00BF365F" w:rsidRPr="00BF365F" w:rsidTr="00132717">
        <w:trPr>
          <w:trHeight w:val="228"/>
        </w:trPr>
        <w:tc>
          <w:tcPr>
            <w:tcW w:w="959"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0</w:t>
            </w:r>
          </w:p>
        </w:tc>
        <w:tc>
          <w:tcPr>
            <w:tcW w:w="4009" w:type="dxa"/>
          </w:tcPr>
          <w:p w:rsidR="00BF365F" w:rsidRPr="00BF365F" w:rsidRDefault="005617F3" w:rsidP="00BF365F">
            <w:pPr>
              <w:spacing w:after="0" w:line="240" w:lineRule="auto"/>
              <w:jc w:val="both"/>
              <w:rPr>
                <w:rFonts w:ascii="Times New Roman" w:eastAsia="Calibri" w:hAnsi="Times New Roman" w:cs="Times New Roman"/>
                <w:szCs w:val="20"/>
              </w:rPr>
            </w:pPr>
            <w:r>
              <w:rPr>
                <w:rFonts w:ascii="Times New Roman" w:eastAsia="Calibri" w:hAnsi="Times New Roman" w:cs="Times New Roman"/>
                <w:szCs w:val="20"/>
              </w:rPr>
              <w:t>Të pa ç</w:t>
            </w:r>
            <w:r w:rsidR="00BF365F" w:rsidRPr="00BF365F">
              <w:rPr>
                <w:rFonts w:ascii="Times New Roman" w:eastAsia="Calibri" w:hAnsi="Times New Roman" w:cs="Times New Roman"/>
                <w:szCs w:val="20"/>
              </w:rPr>
              <w:t>halëzuara</w:t>
            </w:r>
          </w:p>
        </w:tc>
        <w:tc>
          <w:tcPr>
            <w:tcW w:w="4050"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0-10 %</w:t>
            </w:r>
          </w:p>
        </w:tc>
      </w:tr>
      <w:tr w:rsidR="00BF365F" w:rsidRPr="00BF365F" w:rsidTr="00132717">
        <w:tc>
          <w:tcPr>
            <w:tcW w:w="959"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1</w:t>
            </w:r>
          </w:p>
        </w:tc>
        <w:tc>
          <w:tcPr>
            <w:tcW w:w="4009" w:type="dxa"/>
          </w:tcPr>
          <w:p w:rsidR="00BF365F" w:rsidRPr="00BF365F" w:rsidRDefault="005617F3" w:rsidP="00BF365F">
            <w:pPr>
              <w:spacing w:after="0" w:line="240" w:lineRule="auto"/>
              <w:jc w:val="both"/>
              <w:rPr>
                <w:rFonts w:ascii="Times New Roman" w:eastAsia="Calibri" w:hAnsi="Times New Roman" w:cs="Times New Roman"/>
                <w:szCs w:val="20"/>
              </w:rPr>
            </w:pPr>
            <w:r>
              <w:rPr>
                <w:rFonts w:ascii="Times New Roman" w:eastAsia="Calibri" w:hAnsi="Times New Roman" w:cs="Times New Roman"/>
                <w:szCs w:val="20"/>
              </w:rPr>
              <w:t>Lehtësisht të ç</w:t>
            </w:r>
            <w:r w:rsidR="00BF365F" w:rsidRPr="00BF365F">
              <w:rPr>
                <w:rFonts w:ascii="Times New Roman" w:eastAsia="Calibri" w:hAnsi="Times New Roman" w:cs="Times New Roman"/>
                <w:szCs w:val="20"/>
              </w:rPr>
              <w:t>halëzuara</w:t>
            </w:r>
          </w:p>
        </w:tc>
        <w:tc>
          <w:tcPr>
            <w:tcW w:w="4050"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11-25%</w:t>
            </w:r>
          </w:p>
        </w:tc>
      </w:tr>
      <w:tr w:rsidR="00BF365F" w:rsidRPr="00BF365F" w:rsidTr="00132717">
        <w:tc>
          <w:tcPr>
            <w:tcW w:w="959"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2</w:t>
            </w:r>
          </w:p>
        </w:tc>
        <w:tc>
          <w:tcPr>
            <w:tcW w:w="4009" w:type="dxa"/>
          </w:tcPr>
          <w:p w:rsidR="00BF365F" w:rsidRPr="00BF365F" w:rsidRDefault="005617F3" w:rsidP="00BF365F">
            <w:pPr>
              <w:spacing w:after="0" w:line="240" w:lineRule="auto"/>
              <w:jc w:val="both"/>
              <w:rPr>
                <w:rFonts w:ascii="Times New Roman" w:eastAsia="Calibri" w:hAnsi="Times New Roman" w:cs="Times New Roman"/>
                <w:szCs w:val="20"/>
              </w:rPr>
            </w:pPr>
            <w:r>
              <w:rPr>
                <w:rFonts w:ascii="Times New Roman" w:eastAsia="Calibri" w:hAnsi="Times New Roman" w:cs="Times New Roman"/>
                <w:szCs w:val="20"/>
              </w:rPr>
              <w:t>Mesatarisht  të ç</w:t>
            </w:r>
            <w:r w:rsidR="00BF365F" w:rsidRPr="00BF365F">
              <w:rPr>
                <w:rFonts w:ascii="Times New Roman" w:eastAsia="Calibri" w:hAnsi="Times New Roman" w:cs="Times New Roman"/>
                <w:szCs w:val="20"/>
              </w:rPr>
              <w:t>halëzuara</w:t>
            </w:r>
          </w:p>
        </w:tc>
        <w:tc>
          <w:tcPr>
            <w:tcW w:w="4050"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26-60 %</w:t>
            </w:r>
          </w:p>
        </w:tc>
      </w:tr>
      <w:tr w:rsidR="00BF365F" w:rsidRPr="00BF365F" w:rsidTr="00132717">
        <w:tc>
          <w:tcPr>
            <w:tcW w:w="959"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3</w:t>
            </w:r>
          </w:p>
        </w:tc>
        <w:tc>
          <w:tcPr>
            <w:tcW w:w="4009" w:type="dxa"/>
          </w:tcPr>
          <w:p w:rsidR="00BF365F" w:rsidRPr="00BF365F" w:rsidRDefault="005617F3" w:rsidP="00BF365F">
            <w:pPr>
              <w:spacing w:after="0" w:line="240" w:lineRule="auto"/>
              <w:jc w:val="both"/>
              <w:rPr>
                <w:rFonts w:ascii="Times New Roman" w:eastAsia="Calibri" w:hAnsi="Times New Roman" w:cs="Times New Roman"/>
                <w:szCs w:val="20"/>
              </w:rPr>
            </w:pPr>
            <w:r>
              <w:rPr>
                <w:rFonts w:ascii="Times New Roman" w:eastAsia="Calibri" w:hAnsi="Times New Roman" w:cs="Times New Roman"/>
                <w:szCs w:val="20"/>
              </w:rPr>
              <w:t>Shumë të ç</w:t>
            </w:r>
            <w:r w:rsidR="00BF365F" w:rsidRPr="00BF365F">
              <w:rPr>
                <w:rFonts w:ascii="Times New Roman" w:eastAsia="Calibri" w:hAnsi="Times New Roman" w:cs="Times New Roman"/>
                <w:szCs w:val="20"/>
              </w:rPr>
              <w:t>halëzuara</w:t>
            </w:r>
          </w:p>
        </w:tc>
        <w:tc>
          <w:tcPr>
            <w:tcW w:w="4050"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61-99%</w:t>
            </w:r>
          </w:p>
        </w:tc>
      </w:tr>
      <w:tr w:rsidR="00BF365F" w:rsidRPr="00BF365F" w:rsidTr="00132717">
        <w:tc>
          <w:tcPr>
            <w:tcW w:w="959"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4</w:t>
            </w:r>
          </w:p>
        </w:tc>
        <w:tc>
          <w:tcPr>
            <w:tcW w:w="4009" w:type="dxa"/>
          </w:tcPr>
          <w:p w:rsidR="00BF365F" w:rsidRPr="00BF365F" w:rsidRDefault="005617F3" w:rsidP="00BF365F">
            <w:pPr>
              <w:spacing w:after="0" w:line="240" w:lineRule="auto"/>
              <w:jc w:val="both"/>
              <w:rPr>
                <w:rFonts w:ascii="Times New Roman" w:eastAsia="Calibri" w:hAnsi="Times New Roman" w:cs="Times New Roman"/>
                <w:szCs w:val="20"/>
              </w:rPr>
            </w:pPr>
            <w:r>
              <w:rPr>
                <w:rFonts w:ascii="Times New Roman" w:eastAsia="Calibri" w:hAnsi="Times New Roman" w:cs="Times New Roman"/>
                <w:szCs w:val="20"/>
              </w:rPr>
              <w:t>Komplet të ç</w:t>
            </w:r>
            <w:r w:rsidR="00BF365F" w:rsidRPr="00BF365F">
              <w:rPr>
                <w:rFonts w:ascii="Times New Roman" w:eastAsia="Calibri" w:hAnsi="Times New Roman" w:cs="Times New Roman"/>
                <w:szCs w:val="20"/>
              </w:rPr>
              <w:t xml:space="preserve">halëzura </w:t>
            </w:r>
          </w:p>
        </w:tc>
        <w:tc>
          <w:tcPr>
            <w:tcW w:w="4050"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100%</w:t>
            </w:r>
          </w:p>
        </w:tc>
      </w:tr>
    </w:tbl>
    <w:p w:rsidR="00BF365F" w:rsidRPr="00BF365F" w:rsidRDefault="00BF365F" w:rsidP="00BF365F">
      <w:pPr>
        <w:spacing w:after="0" w:line="240" w:lineRule="auto"/>
        <w:jc w:val="both"/>
        <w:rPr>
          <w:rFonts w:ascii="Times New Roman" w:eastAsia="Calibri" w:hAnsi="Times New Roman" w:cs="Times New Roman"/>
          <w:b/>
          <w:bCs/>
          <w:sz w:val="12"/>
          <w:szCs w:val="24"/>
        </w:rPr>
      </w:pPr>
    </w:p>
    <w:p w:rsidR="00BF365F" w:rsidRPr="00BF365F" w:rsidRDefault="00BF365F" w:rsidP="00BF365F">
      <w:pPr>
        <w:spacing w:after="0" w:line="240" w:lineRule="auto"/>
        <w:jc w:val="both"/>
        <w:rPr>
          <w:rFonts w:ascii="Times New Roman" w:eastAsia="Calibri" w:hAnsi="Times New Roman" w:cs="Times New Roman"/>
          <w:sz w:val="24"/>
          <w:szCs w:val="24"/>
        </w:rPr>
      </w:pPr>
      <w:r w:rsidRPr="00BF365F">
        <w:rPr>
          <w:rFonts w:ascii="Times New Roman" w:eastAsia="Calibri" w:hAnsi="Times New Roman" w:cs="Times New Roman"/>
          <w:sz w:val="24"/>
          <w:szCs w:val="24"/>
        </w:rPr>
        <w:t xml:space="preserve">                       </w:t>
      </w:r>
    </w:p>
    <w:tbl>
      <w:tblPr>
        <w:tblW w:w="0" w:type="auto"/>
        <w:tblInd w:w="2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8"/>
        <w:gridCol w:w="3240"/>
        <w:gridCol w:w="4770"/>
      </w:tblGrid>
      <w:tr w:rsidR="00BF365F" w:rsidRPr="00BF365F" w:rsidTr="00132717">
        <w:tc>
          <w:tcPr>
            <w:tcW w:w="1008" w:type="dxa"/>
          </w:tcPr>
          <w:p w:rsidR="00BF365F" w:rsidRPr="00BF365F" w:rsidRDefault="00BF365F" w:rsidP="00BF365F">
            <w:pPr>
              <w:spacing w:after="0" w:line="240" w:lineRule="auto"/>
              <w:jc w:val="both"/>
              <w:rPr>
                <w:rFonts w:ascii="Times New Roman" w:eastAsia="Calibri" w:hAnsi="Times New Roman" w:cs="Times New Roman"/>
                <w:b/>
                <w:i/>
                <w:sz w:val="24"/>
                <w:szCs w:val="24"/>
              </w:rPr>
            </w:pPr>
            <w:r w:rsidRPr="00BF365F">
              <w:rPr>
                <w:rFonts w:ascii="Times New Roman" w:eastAsia="Calibri" w:hAnsi="Times New Roman" w:cs="Times New Roman"/>
                <w:b/>
                <w:i/>
                <w:sz w:val="24"/>
                <w:szCs w:val="24"/>
              </w:rPr>
              <w:t xml:space="preserve">  </w:t>
            </w:r>
          </w:p>
        </w:tc>
        <w:tc>
          <w:tcPr>
            <w:tcW w:w="3240" w:type="dxa"/>
          </w:tcPr>
          <w:p w:rsidR="00BF365F" w:rsidRPr="00BF365F" w:rsidRDefault="00BF365F" w:rsidP="00BF365F">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Ç</w:t>
            </w:r>
            <w:r w:rsidRPr="00BF365F">
              <w:rPr>
                <w:rFonts w:ascii="Times New Roman" w:eastAsia="Calibri" w:hAnsi="Times New Roman" w:cs="Times New Roman"/>
                <w:b/>
                <w:i/>
                <w:sz w:val="24"/>
                <w:szCs w:val="24"/>
              </w:rPr>
              <w:t>ngjyrosja</w:t>
            </w:r>
          </w:p>
        </w:tc>
        <w:tc>
          <w:tcPr>
            <w:tcW w:w="4770" w:type="dxa"/>
          </w:tcPr>
          <w:p w:rsidR="00BF365F" w:rsidRPr="00BF365F" w:rsidRDefault="00BF365F" w:rsidP="00BF365F">
            <w:pPr>
              <w:spacing w:after="0" w:line="240" w:lineRule="auto"/>
              <w:jc w:val="both"/>
              <w:rPr>
                <w:rFonts w:ascii="Times New Roman" w:eastAsia="Calibri" w:hAnsi="Times New Roman" w:cs="Times New Roman"/>
                <w:b/>
                <w:i/>
                <w:sz w:val="24"/>
                <w:szCs w:val="24"/>
              </w:rPr>
            </w:pPr>
            <w:r w:rsidRPr="00BF365F">
              <w:rPr>
                <w:rFonts w:ascii="Times New Roman" w:eastAsia="Calibri" w:hAnsi="Times New Roman" w:cs="Times New Roman"/>
                <w:b/>
                <w:i/>
                <w:sz w:val="24"/>
                <w:szCs w:val="24"/>
              </w:rPr>
              <w:t xml:space="preserve">Përqindja e halave /gjetheve të </w:t>
            </w:r>
            <w:r>
              <w:rPr>
                <w:rFonts w:ascii="Times New Roman" w:eastAsia="Calibri" w:hAnsi="Times New Roman" w:cs="Times New Roman"/>
                <w:b/>
                <w:i/>
                <w:sz w:val="24"/>
                <w:szCs w:val="24"/>
              </w:rPr>
              <w:t>ç</w:t>
            </w:r>
            <w:r w:rsidRPr="00BF365F">
              <w:rPr>
                <w:rFonts w:ascii="Times New Roman" w:eastAsia="Calibri" w:hAnsi="Times New Roman" w:cs="Times New Roman"/>
                <w:b/>
                <w:i/>
                <w:sz w:val="24"/>
                <w:szCs w:val="24"/>
              </w:rPr>
              <w:t>ngjyrosura</w:t>
            </w:r>
          </w:p>
        </w:tc>
      </w:tr>
      <w:tr w:rsidR="00BF365F" w:rsidRPr="00BF365F" w:rsidTr="00132717">
        <w:trPr>
          <w:trHeight w:val="228"/>
        </w:trPr>
        <w:tc>
          <w:tcPr>
            <w:tcW w:w="1008"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0</w:t>
            </w:r>
          </w:p>
        </w:tc>
        <w:tc>
          <w:tcPr>
            <w:tcW w:w="3240" w:type="dxa"/>
          </w:tcPr>
          <w:p w:rsidR="00BF365F" w:rsidRPr="00BF365F" w:rsidRDefault="005617F3" w:rsidP="00BF36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Nuk ka ç</w:t>
            </w:r>
            <w:r w:rsidR="00BF365F" w:rsidRPr="00BF365F">
              <w:rPr>
                <w:rFonts w:ascii="Times New Roman" w:eastAsia="Calibri" w:hAnsi="Times New Roman" w:cs="Times New Roman"/>
                <w:sz w:val="24"/>
                <w:szCs w:val="24"/>
              </w:rPr>
              <w:t>ngjyrosje</w:t>
            </w:r>
          </w:p>
        </w:tc>
        <w:tc>
          <w:tcPr>
            <w:tcW w:w="4770"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0-10 %</w:t>
            </w:r>
          </w:p>
        </w:tc>
      </w:tr>
      <w:tr w:rsidR="00BF365F" w:rsidRPr="00BF365F" w:rsidTr="00132717">
        <w:tc>
          <w:tcPr>
            <w:tcW w:w="1008"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1</w:t>
            </w:r>
          </w:p>
        </w:tc>
        <w:tc>
          <w:tcPr>
            <w:tcW w:w="3240" w:type="dxa"/>
          </w:tcPr>
          <w:p w:rsidR="00BF365F" w:rsidRPr="00BF365F" w:rsidRDefault="005617F3" w:rsidP="00BF36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Çngjyrosje e lehtë</w:t>
            </w:r>
          </w:p>
        </w:tc>
        <w:tc>
          <w:tcPr>
            <w:tcW w:w="4770"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11-25%</w:t>
            </w:r>
          </w:p>
        </w:tc>
      </w:tr>
      <w:tr w:rsidR="00BF365F" w:rsidRPr="00BF365F" w:rsidTr="00132717">
        <w:tc>
          <w:tcPr>
            <w:tcW w:w="1008"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2</w:t>
            </w:r>
          </w:p>
        </w:tc>
        <w:tc>
          <w:tcPr>
            <w:tcW w:w="3240" w:type="dxa"/>
          </w:tcPr>
          <w:p w:rsidR="00BF365F" w:rsidRPr="00BF365F" w:rsidRDefault="005617F3" w:rsidP="00BF36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Ç</w:t>
            </w:r>
            <w:r w:rsidR="00BF365F" w:rsidRPr="00BF365F">
              <w:rPr>
                <w:rFonts w:ascii="Times New Roman" w:eastAsia="Calibri" w:hAnsi="Times New Roman" w:cs="Times New Roman"/>
                <w:sz w:val="24"/>
                <w:szCs w:val="24"/>
              </w:rPr>
              <w:t>ngjyrosje e mesme</w:t>
            </w:r>
          </w:p>
        </w:tc>
        <w:tc>
          <w:tcPr>
            <w:tcW w:w="4770"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26-60 %</w:t>
            </w:r>
          </w:p>
        </w:tc>
      </w:tr>
      <w:tr w:rsidR="00BF365F" w:rsidRPr="00BF365F" w:rsidTr="00132717">
        <w:tc>
          <w:tcPr>
            <w:tcW w:w="1008"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3</w:t>
            </w:r>
          </w:p>
        </w:tc>
        <w:tc>
          <w:tcPr>
            <w:tcW w:w="3240" w:type="dxa"/>
          </w:tcPr>
          <w:p w:rsidR="00BF365F" w:rsidRPr="00BF365F" w:rsidRDefault="005617F3" w:rsidP="00BF36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Ç</w:t>
            </w:r>
            <w:r w:rsidR="00BF365F" w:rsidRPr="00BF365F">
              <w:rPr>
                <w:rFonts w:ascii="Times New Roman" w:eastAsia="Calibri" w:hAnsi="Times New Roman" w:cs="Times New Roman"/>
                <w:sz w:val="24"/>
                <w:szCs w:val="24"/>
              </w:rPr>
              <w:t>ngjyrosje e shkallës së lartë</w:t>
            </w:r>
          </w:p>
        </w:tc>
        <w:tc>
          <w:tcPr>
            <w:tcW w:w="4770"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61-99%</w:t>
            </w:r>
          </w:p>
        </w:tc>
      </w:tr>
      <w:tr w:rsidR="00BF365F" w:rsidRPr="00BF365F" w:rsidTr="00132717">
        <w:tc>
          <w:tcPr>
            <w:tcW w:w="1008"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4</w:t>
            </w:r>
          </w:p>
        </w:tc>
        <w:tc>
          <w:tcPr>
            <w:tcW w:w="3240" w:type="dxa"/>
          </w:tcPr>
          <w:p w:rsidR="00BF365F" w:rsidRPr="00BF365F" w:rsidRDefault="005617F3" w:rsidP="00BF36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Komplet e ç</w:t>
            </w:r>
            <w:r w:rsidR="00BF365F" w:rsidRPr="00BF365F">
              <w:rPr>
                <w:rFonts w:ascii="Times New Roman" w:eastAsia="Calibri" w:hAnsi="Times New Roman" w:cs="Times New Roman"/>
                <w:sz w:val="24"/>
                <w:szCs w:val="24"/>
              </w:rPr>
              <w:t>ngjyrosur</w:t>
            </w:r>
          </w:p>
        </w:tc>
        <w:tc>
          <w:tcPr>
            <w:tcW w:w="4770" w:type="dxa"/>
          </w:tcPr>
          <w:p w:rsidR="00BF365F" w:rsidRPr="00BF365F" w:rsidRDefault="00BF365F" w:rsidP="00BF365F">
            <w:pPr>
              <w:spacing w:after="0" w:line="240" w:lineRule="auto"/>
              <w:jc w:val="both"/>
              <w:rPr>
                <w:rFonts w:ascii="Times New Roman" w:eastAsia="Calibri" w:hAnsi="Times New Roman" w:cs="Times New Roman"/>
                <w:szCs w:val="20"/>
              </w:rPr>
            </w:pPr>
            <w:r w:rsidRPr="00BF365F">
              <w:rPr>
                <w:rFonts w:ascii="Times New Roman" w:eastAsia="Calibri" w:hAnsi="Times New Roman" w:cs="Times New Roman"/>
                <w:szCs w:val="20"/>
              </w:rPr>
              <w:t>100%</w:t>
            </w:r>
          </w:p>
        </w:tc>
      </w:tr>
    </w:tbl>
    <w:p w:rsidR="00BF365F" w:rsidRPr="00BF365F" w:rsidRDefault="00BF365F" w:rsidP="00BF365F">
      <w:pPr>
        <w:spacing w:after="0" w:line="240" w:lineRule="auto"/>
        <w:jc w:val="both"/>
        <w:rPr>
          <w:rFonts w:ascii="Times New Roman" w:eastAsia="Calibri" w:hAnsi="Times New Roman" w:cs="Times New Roman"/>
          <w:b/>
          <w:sz w:val="24"/>
          <w:szCs w:val="24"/>
        </w:rPr>
      </w:pPr>
      <w:r w:rsidRPr="00BF365F">
        <w:rPr>
          <w:rFonts w:ascii="Times New Roman" w:eastAsia="Calibri" w:hAnsi="Times New Roman" w:cs="Times New Roman"/>
          <w:sz w:val="24"/>
          <w:szCs w:val="24"/>
        </w:rPr>
        <w:t xml:space="preserve">                </w:t>
      </w:r>
    </w:p>
    <w:p w:rsidR="002A4FDB" w:rsidRPr="002D586E" w:rsidRDefault="002A4FDB" w:rsidP="00807975">
      <w:pPr>
        <w:pStyle w:val="ListParagraph"/>
        <w:numPr>
          <w:ilvl w:val="0"/>
          <w:numId w:val="140"/>
        </w:num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2D586E">
        <w:rPr>
          <w:rFonts w:ascii="Times New Roman" w:eastAsia="Calibri" w:hAnsi="Times New Roman" w:cs="Times New Roman"/>
          <w:b/>
          <w:bCs/>
          <w:color w:val="000000"/>
          <w:sz w:val="24"/>
          <w:szCs w:val="24"/>
        </w:rPr>
        <w:t>Rënia e halave-gjetheve</w:t>
      </w:r>
    </w:p>
    <w:p w:rsidR="002A4FDB" w:rsidRDefault="002A4FDB" w:rsidP="002A4FDB">
      <w:pPr>
        <w:autoSpaceDE w:val="0"/>
        <w:autoSpaceDN w:val="0"/>
        <w:adjustRightInd w:val="0"/>
        <w:spacing w:after="0" w:line="240" w:lineRule="auto"/>
        <w:jc w:val="both"/>
        <w:rPr>
          <w:rFonts w:ascii="Times New Roman" w:eastAsia="Calibri" w:hAnsi="Times New Roman" w:cs="Times New Roman"/>
          <w:color w:val="000000"/>
          <w:sz w:val="24"/>
          <w:szCs w:val="24"/>
        </w:rPr>
      </w:pPr>
      <w:r w:rsidRPr="002A4FDB">
        <w:rPr>
          <w:rFonts w:ascii="Times New Roman" w:eastAsia="Calibri" w:hAnsi="Times New Roman" w:cs="Times New Roman"/>
          <w:color w:val="000000"/>
          <w:sz w:val="24"/>
          <w:szCs w:val="24"/>
        </w:rPr>
        <w:t>Gj</w:t>
      </w:r>
      <w:r>
        <w:rPr>
          <w:rFonts w:ascii="Times New Roman" w:eastAsia="Calibri" w:hAnsi="Times New Roman" w:cs="Times New Roman"/>
          <w:color w:val="000000"/>
          <w:sz w:val="24"/>
          <w:szCs w:val="24"/>
        </w:rPr>
        <w:t>i</w:t>
      </w:r>
      <w:r w:rsidRPr="002A4FDB">
        <w:rPr>
          <w:rFonts w:ascii="Times New Roman" w:eastAsia="Calibri" w:hAnsi="Times New Roman" w:cs="Times New Roman"/>
          <w:color w:val="000000"/>
          <w:sz w:val="24"/>
          <w:szCs w:val="24"/>
        </w:rPr>
        <w:t>thmonë ndaj faktorëve të ndryshëm gjethet dhe halat e drurëve pyjor reagojnë, ndaj kushteve klimatike dhe ekstremet e motit, ata reagojnë gjithashtu edhe nga shkalla e ekspozimit të drurëve pyjor ndaj nivelit të prekjes prej sëmundjeve kërpudhore dhe dëmtimeve nga insektet. Vëzhgimet e kryera ndaj fenomenit të rënies së halave për llojet e halorve dhe rënia e gjetheve për llojet fletorë, tregojnë se ka rritje në përqindjen gjatë këtij viti, këto janë argument për të treguar një përkeq</w:t>
      </w:r>
      <w:r w:rsidR="005F41BE">
        <w:rPr>
          <w:rFonts w:ascii="Times New Roman" w:eastAsia="Calibri" w:hAnsi="Times New Roman" w:cs="Times New Roman"/>
          <w:color w:val="000000"/>
          <w:sz w:val="24"/>
          <w:szCs w:val="24"/>
        </w:rPr>
        <w:t>ë</w:t>
      </w:r>
      <w:r w:rsidRPr="002A4FDB">
        <w:rPr>
          <w:rFonts w:ascii="Times New Roman" w:eastAsia="Calibri" w:hAnsi="Times New Roman" w:cs="Times New Roman"/>
          <w:color w:val="000000"/>
          <w:sz w:val="24"/>
          <w:szCs w:val="24"/>
        </w:rPr>
        <w:t>sim në gjendjen e kurorave të drurëve. Këto reagime të drurëve kanë ardhur si rezultat i ndikimit nga thatësira, mungesa e lagështirës ajrore dhe ujit, të cilat kanë shkaktuar rënien e halave e gjetheve. Dëmtimet e insekteve dhe sëmundjeve kërpudhore, në kombinim me rritjen e vulnerabilitetit të shkaktuar nga ngarkesat e depozitimit, kushtet e motit, dhe faktorë të tjerë antropogjenë, të cilat janë të lidhura ngusht me këto trende. Si rrjedhojë e këtyre ndikimeve kemi një përkeqësim në llojin bush si pasojë e shkallës së lartë të prekjes nga dëmtuesit d</w:t>
      </w:r>
      <w:r w:rsidR="005F41BE">
        <w:rPr>
          <w:rFonts w:ascii="Times New Roman" w:eastAsia="Calibri" w:hAnsi="Times New Roman" w:cs="Times New Roman"/>
          <w:color w:val="000000"/>
          <w:sz w:val="24"/>
          <w:szCs w:val="24"/>
        </w:rPr>
        <w:t>he sëmundjet kemi një tharje ma</w:t>
      </w:r>
      <w:r w:rsidRPr="002A4FDB">
        <w:rPr>
          <w:rFonts w:ascii="Times New Roman" w:eastAsia="Calibri" w:hAnsi="Times New Roman" w:cs="Times New Roman"/>
          <w:color w:val="000000"/>
          <w:sz w:val="24"/>
          <w:szCs w:val="24"/>
        </w:rPr>
        <w:t>sive si lloj në të gjithë arealin e përhapjes së tij, një fenomen i veçantë këtë vit</w:t>
      </w:r>
      <w:r w:rsidR="005F41BE">
        <w:rPr>
          <w:rFonts w:ascii="Times New Roman" w:eastAsia="Calibri" w:hAnsi="Times New Roman" w:cs="Times New Roman"/>
          <w:color w:val="000000"/>
          <w:sz w:val="24"/>
          <w:szCs w:val="24"/>
        </w:rPr>
        <w:t>,</w:t>
      </w:r>
      <w:r w:rsidRPr="002A4FDB">
        <w:rPr>
          <w:rFonts w:ascii="Times New Roman" w:eastAsia="Calibri" w:hAnsi="Times New Roman" w:cs="Times New Roman"/>
          <w:color w:val="000000"/>
          <w:sz w:val="24"/>
          <w:szCs w:val="24"/>
        </w:rPr>
        <w:t xml:space="preserve"> ishte edhe prekja e llojit gështënjë nga dëmtuesi i grerëzës Aziatike e cila preku të gjitha grumbujt me llojin gë</w:t>
      </w:r>
      <w:r w:rsidR="005617F3">
        <w:rPr>
          <w:rFonts w:ascii="Times New Roman" w:eastAsia="Calibri" w:hAnsi="Times New Roman" w:cs="Times New Roman"/>
          <w:color w:val="000000"/>
          <w:sz w:val="24"/>
          <w:szCs w:val="24"/>
        </w:rPr>
        <w:t>shte</w:t>
      </w:r>
      <w:r w:rsidRPr="002A4FDB">
        <w:rPr>
          <w:rFonts w:ascii="Times New Roman" w:eastAsia="Calibri" w:hAnsi="Times New Roman" w:cs="Times New Roman"/>
          <w:color w:val="000000"/>
          <w:sz w:val="24"/>
          <w:szCs w:val="24"/>
        </w:rPr>
        <w:t>një në të gjith</w:t>
      </w:r>
      <w:r w:rsidR="005617F3">
        <w:rPr>
          <w:rFonts w:ascii="Times New Roman" w:eastAsia="Calibri" w:hAnsi="Times New Roman" w:cs="Times New Roman"/>
          <w:color w:val="000000"/>
          <w:sz w:val="24"/>
          <w:szCs w:val="24"/>
        </w:rPr>
        <w:t>ë</w:t>
      </w:r>
      <w:r w:rsidRPr="002A4FDB">
        <w:rPr>
          <w:rFonts w:ascii="Times New Roman" w:eastAsia="Calibri" w:hAnsi="Times New Roman" w:cs="Times New Roman"/>
          <w:color w:val="000000"/>
          <w:sz w:val="24"/>
          <w:szCs w:val="24"/>
        </w:rPr>
        <w:t xml:space="preserve"> ter</w:t>
      </w:r>
      <w:r>
        <w:rPr>
          <w:rFonts w:ascii="Times New Roman" w:eastAsia="Calibri" w:hAnsi="Times New Roman" w:cs="Times New Roman"/>
          <w:color w:val="000000"/>
          <w:sz w:val="24"/>
          <w:szCs w:val="24"/>
        </w:rPr>
        <w:t>r</w:t>
      </w:r>
      <w:r w:rsidRPr="002A4FDB">
        <w:rPr>
          <w:rFonts w:ascii="Times New Roman" w:eastAsia="Calibri" w:hAnsi="Times New Roman" w:cs="Times New Roman"/>
          <w:color w:val="000000"/>
          <w:sz w:val="24"/>
          <w:szCs w:val="24"/>
        </w:rPr>
        <w:t xml:space="preserve">itorin. </w:t>
      </w:r>
    </w:p>
    <w:p w:rsidR="005F41BE" w:rsidRDefault="005F41BE" w:rsidP="002A4FDB">
      <w:pPr>
        <w:autoSpaceDE w:val="0"/>
        <w:autoSpaceDN w:val="0"/>
        <w:adjustRightInd w:val="0"/>
        <w:spacing w:after="0" w:line="240" w:lineRule="auto"/>
        <w:jc w:val="both"/>
        <w:rPr>
          <w:rFonts w:ascii="Times New Roman" w:eastAsia="Calibri" w:hAnsi="Times New Roman" w:cs="Times New Roman"/>
          <w:color w:val="000000"/>
          <w:sz w:val="24"/>
          <w:szCs w:val="24"/>
        </w:rPr>
      </w:pPr>
    </w:p>
    <w:p w:rsidR="002A4FDB" w:rsidRPr="002A4FDB" w:rsidRDefault="002A4FDB" w:rsidP="002A4FDB">
      <w:pPr>
        <w:autoSpaceDE w:val="0"/>
        <w:autoSpaceDN w:val="0"/>
        <w:adjustRightInd w:val="0"/>
        <w:spacing w:after="0" w:line="240" w:lineRule="auto"/>
        <w:jc w:val="both"/>
        <w:rPr>
          <w:rFonts w:ascii="Times New Roman" w:eastAsia="Calibri" w:hAnsi="Times New Roman" w:cs="Times New Roman"/>
          <w:color w:val="000000"/>
          <w:sz w:val="24"/>
          <w:szCs w:val="24"/>
        </w:rPr>
      </w:pPr>
    </w:p>
    <w:p w:rsidR="002A4FDB" w:rsidRPr="002D586E" w:rsidRDefault="002A4FDB" w:rsidP="00807975">
      <w:pPr>
        <w:pStyle w:val="ListParagraph"/>
        <w:numPr>
          <w:ilvl w:val="0"/>
          <w:numId w:val="141"/>
        </w:num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2D586E">
        <w:rPr>
          <w:rFonts w:ascii="Times New Roman" w:eastAsia="Calibri" w:hAnsi="Times New Roman" w:cs="Times New Roman"/>
          <w:b/>
          <w:bCs/>
          <w:color w:val="000000"/>
          <w:sz w:val="24"/>
          <w:szCs w:val="24"/>
        </w:rPr>
        <w:t>Dëmtimi nga insektet dhe sëmundjet</w:t>
      </w:r>
    </w:p>
    <w:p w:rsidR="002D586E" w:rsidRDefault="002D586E" w:rsidP="002D586E">
      <w:pPr>
        <w:keepNext/>
        <w:keepLines/>
        <w:spacing w:after="0" w:line="240" w:lineRule="auto"/>
        <w:jc w:val="both"/>
        <w:outlineLvl w:val="0"/>
        <w:rPr>
          <w:rFonts w:ascii="Times New Roman" w:eastAsia="Times New Roman" w:hAnsi="Times New Roman" w:cs="Times New Roman"/>
          <w:b/>
          <w:bCs/>
          <w:sz w:val="24"/>
          <w:szCs w:val="16"/>
        </w:rPr>
      </w:pPr>
    </w:p>
    <w:p w:rsidR="002D586E" w:rsidRPr="002D586E" w:rsidRDefault="002D586E" w:rsidP="002D586E">
      <w:pPr>
        <w:keepNext/>
        <w:keepLines/>
        <w:spacing w:after="0" w:line="240" w:lineRule="auto"/>
        <w:jc w:val="both"/>
        <w:outlineLvl w:val="0"/>
        <w:rPr>
          <w:rFonts w:ascii="Times New Roman" w:eastAsia="Times New Roman" w:hAnsi="Times New Roman" w:cs="Times New Roman"/>
          <w:b/>
          <w:bCs/>
          <w:sz w:val="24"/>
          <w:szCs w:val="16"/>
        </w:rPr>
      </w:pPr>
      <w:r>
        <w:rPr>
          <w:rFonts w:ascii="Times New Roman" w:eastAsia="Times New Roman" w:hAnsi="Times New Roman" w:cs="Times New Roman"/>
          <w:b/>
          <w:bCs/>
          <w:sz w:val="24"/>
          <w:szCs w:val="16"/>
        </w:rPr>
        <w:t>-</w:t>
      </w:r>
      <w:r w:rsidRPr="002D586E">
        <w:rPr>
          <w:rFonts w:ascii="Times New Roman" w:eastAsia="Times New Roman" w:hAnsi="Times New Roman" w:cs="Times New Roman"/>
          <w:b/>
          <w:bCs/>
          <w:sz w:val="24"/>
          <w:szCs w:val="16"/>
        </w:rPr>
        <w:t>Dëmtuesit kryesore për gjininë Pishë, (</w:t>
      </w:r>
      <w:r w:rsidRPr="002D586E">
        <w:rPr>
          <w:rFonts w:ascii="Times New Roman" w:eastAsia="Times New Roman" w:hAnsi="Times New Roman" w:cs="Times New Roman"/>
          <w:b/>
          <w:bCs/>
          <w:i/>
          <w:sz w:val="24"/>
          <w:szCs w:val="16"/>
        </w:rPr>
        <w:t>Pinus spp.</w:t>
      </w:r>
      <w:r w:rsidRPr="002D586E">
        <w:rPr>
          <w:rFonts w:ascii="Times New Roman" w:eastAsia="Times New Roman" w:hAnsi="Times New Roman" w:cs="Times New Roman"/>
          <w:b/>
          <w:bCs/>
          <w:sz w:val="24"/>
          <w:szCs w:val="16"/>
        </w:rPr>
        <w:t>).</w:t>
      </w:r>
    </w:p>
    <w:p w:rsidR="002D586E" w:rsidRDefault="002D586E" w:rsidP="002D586E">
      <w:pPr>
        <w:keepNext/>
        <w:keepLines/>
        <w:spacing w:after="0" w:line="240" w:lineRule="auto"/>
        <w:jc w:val="both"/>
        <w:outlineLvl w:val="0"/>
        <w:rPr>
          <w:rFonts w:ascii="Times New Roman" w:eastAsia="Times New Roman" w:hAnsi="Times New Roman" w:cs="Times New Roman"/>
          <w:b/>
          <w:bCs/>
          <w:sz w:val="24"/>
          <w:szCs w:val="16"/>
        </w:rPr>
      </w:pPr>
    </w:p>
    <w:p w:rsidR="002D586E" w:rsidRPr="002D586E" w:rsidRDefault="002D586E" w:rsidP="002D586E">
      <w:pPr>
        <w:keepNext/>
        <w:keepLines/>
        <w:spacing w:after="0" w:line="240" w:lineRule="auto"/>
        <w:jc w:val="both"/>
        <w:outlineLvl w:val="0"/>
        <w:rPr>
          <w:rFonts w:ascii="Times New Roman" w:eastAsia="Times New Roman" w:hAnsi="Times New Roman" w:cs="Times New Roman"/>
          <w:b/>
          <w:bCs/>
          <w:i/>
          <w:sz w:val="24"/>
          <w:szCs w:val="16"/>
          <w:u w:val="single"/>
        </w:rPr>
      </w:pPr>
      <w:r w:rsidRPr="002D586E">
        <w:rPr>
          <w:rFonts w:ascii="Times New Roman" w:eastAsia="Times New Roman" w:hAnsi="Times New Roman" w:cs="Times New Roman"/>
          <w:b/>
          <w:bCs/>
          <w:i/>
          <w:sz w:val="24"/>
          <w:szCs w:val="16"/>
          <w:u w:val="single"/>
        </w:rPr>
        <w:t>Dëmtuesit për llojin e pishës së zezë</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Procesionaria e pishës (</w:t>
      </w:r>
      <w:r w:rsidRPr="002D586E">
        <w:rPr>
          <w:rFonts w:ascii="Times New Roman" w:eastAsia="Calibri" w:hAnsi="Times New Roman" w:cs="Times New Roman"/>
          <w:i/>
          <w:sz w:val="24"/>
          <w:szCs w:val="24"/>
          <w:lang w:val="it-IT"/>
        </w:rPr>
        <w:t>Thaumetopoea pityocampa</w:t>
      </w:r>
      <w:r w:rsidRPr="002D586E">
        <w:rPr>
          <w:rFonts w:ascii="Times New Roman" w:eastAsia="Calibri" w:hAnsi="Times New Roman" w:cs="Times New Roman"/>
          <w:sz w:val="24"/>
          <w:szCs w:val="24"/>
          <w:lang w:val="it-IT"/>
        </w:rPr>
        <w:t>, Den and Schiff),</w:t>
      </w:r>
      <w:r w:rsidRPr="002D586E">
        <w:rPr>
          <w:rFonts w:ascii="Times New Roman" w:eastAsia="Calibri" w:hAnsi="Times New Roman" w:cs="Times New Roman"/>
          <w:sz w:val="24"/>
          <w:szCs w:val="24"/>
        </w:rPr>
        <w:t xml:space="preserve"> më problematike paraqitet në bashkitë; Pukë, Fushë – Arrëz, Kukës, Mirditë, Bulqizë, Kolonjë, Pogradec, Korçë, Peshkopi, Mat, Klos, Shkodër, Malësi e Madhe, Vaui Dejës, Vlorë, Librazhd, Prenjas, Pogradec, Gramsh dhe Elbasan, etj.</w:t>
      </w:r>
    </w:p>
    <w:p w:rsidR="002D586E" w:rsidRPr="002D586E" w:rsidRDefault="002D586E" w:rsidP="002D586E">
      <w:pPr>
        <w:spacing w:after="0" w:line="240" w:lineRule="auto"/>
        <w:jc w:val="both"/>
        <w:rPr>
          <w:rFonts w:ascii="Times New Roman" w:eastAsia="Calibri" w:hAnsi="Times New Roman" w:cs="Times New Roman"/>
          <w:sz w:val="24"/>
          <w:szCs w:val="24"/>
        </w:rPr>
      </w:pPr>
      <w:r w:rsidRPr="002D586E">
        <w:rPr>
          <w:rFonts w:ascii="Times New Roman" w:eastAsia="Calibri" w:hAnsi="Times New Roman" w:cs="Times New Roman"/>
          <w:sz w:val="24"/>
          <w:szCs w:val="24"/>
          <w:lang w:val="it-IT"/>
        </w:rPr>
        <w:t xml:space="preserve">Biskperdredhesi i pishës ( </w:t>
      </w:r>
      <w:r w:rsidRPr="002D586E">
        <w:rPr>
          <w:rFonts w:ascii="Times New Roman" w:eastAsia="Calibri" w:hAnsi="Times New Roman" w:cs="Times New Roman"/>
          <w:i/>
          <w:sz w:val="24"/>
          <w:szCs w:val="24"/>
          <w:lang w:val="it-IT"/>
        </w:rPr>
        <w:t>Rhyacionia boliana</w:t>
      </w:r>
      <w:r w:rsidRPr="002D586E">
        <w:rPr>
          <w:rFonts w:ascii="Times New Roman" w:eastAsia="Calibri" w:hAnsi="Times New Roman" w:cs="Times New Roman"/>
          <w:sz w:val="24"/>
          <w:szCs w:val="24"/>
          <w:lang w:val="it-IT"/>
        </w:rPr>
        <w:t xml:space="preserve">, Den and Schiff), </w:t>
      </w:r>
      <w:r w:rsidRPr="002D586E">
        <w:rPr>
          <w:rFonts w:ascii="Times New Roman" w:eastAsia="Calibri" w:hAnsi="Times New Roman" w:cs="Times New Roman"/>
          <w:sz w:val="24"/>
          <w:szCs w:val="24"/>
        </w:rPr>
        <w:t>më problematike paraqitet në bashkitë; Skrapar, Berat, Vlorë, Pukë, Shkodër , Mat.</w:t>
      </w:r>
    </w:p>
    <w:p w:rsidR="002D586E" w:rsidRPr="002D586E" w:rsidRDefault="002D586E" w:rsidP="002D586E">
      <w:pPr>
        <w:spacing w:after="0" w:line="240" w:lineRule="auto"/>
        <w:jc w:val="both"/>
        <w:rPr>
          <w:rFonts w:ascii="Times New Roman" w:eastAsia="Calibri" w:hAnsi="Times New Roman" w:cs="Times New Roman"/>
          <w:sz w:val="24"/>
          <w:szCs w:val="24"/>
        </w:rPr>
      </w:pPr>
      <w:r w:rsidRPr="002D586E">
        <w:rPr>
          <w:rFonts w:ascii="Times New Roman" w:eastAsia="Calibri" w:hAnsi="Times New Roman" w:cs="Times New Roman"/>
          <w:sz w:val="24"/>
          <w:szCs w:val="24"/>
          <w:lang w:val="it-IT"/>
        </w:rPr>
        <w:t>Kuqeziu i halave (</w:t>
      </w:r>
      <w:r w:rsidRPr="002D586E">
        <w:rPr>
          <w:rFonts w:ascii="Times New Roman" w:eastAsia="Calibri" w:hAnsi="Times New Roman" w:cs="Times New Roman"/>
          <w:i/>
          <w:sz w:val="24"/>
          <w:szCs w:val="24"/>
          <w:lang w:val="it-IT"/>
        </w:rPr>
        <w:t>Haematoloma darsatum</w:t>
      </w:r>
      <w:r w:rsidRPr="002D586E">
        <w:rPr>
          <w:rFonts w:ascii="Times New Roman" w:eastAsia="Calibri" w:hAnsi="Times New Roman" w:cs="Times New Roman"/>
          <w:sz w:val="24"/>
          <w:szCs w:val="24"/>
          <w:lang w:val="it-IT"/>
        </w:rPr>
        <w:t xml:space="preserve"> Ahrens),</w:t>
      </w:r>
      <w:r w:rsidRPr="002D586E">
        <w:rPr>
          <w:rFonts w:ascii="Times New Roman" w:eastAsia="Calibri" w:hAnsi="Times New Roman" w:cs="Times New Roman"/>
          <w:sz w:val="24"/>
          <w:szCs w:val="24"/>
        </w:rPr>
        <w:t xml:space="preserve"> ka një përhapje në habitatet e pishave në të </w:t>
      </w:r>
      <w:r w:rsidRPr="002D586E">
        <w:rPr>
          <w:rFonts w:ascii="Times New Roman" w:eastAsia="Calibri" w:hAnsi="Times New Roman" w:cs="Times New Roman"/>
          <w:sz w:val="24"/>
          <w:szCs w:val="24"/>
        </w:rPr>
        <w:lastRenderedPageBreak/>
        <w:t>gjithë territorin e vendit.</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bCs/>
          <w:sz w:val="24"/>
          <w:szCs w:val="24"/>
        </w:rPr>
        <w:t>Nematoda (</w:t>
      </w:r>
      <w:r w:rsidRPr="002D586E">
        <w:rPr>
          <w:rFonts w:ascii="Times New Roman" w:eastAsia="Calibri" w:hAnsi="Times New Roman" w:cs="Times New Roman"/>
          <w:bCs/>
          <w:i/>
          <w:sz w:val="24"/>
          <w:szCs w:val="24"/>
        </w:rPr>
        <w:t>Bursaphelenchus xylophilus</w:t>
      </w:r>
      <w:r w:rsidRPr="002D586E">
        <w:rPr>
          <w:rFonts w:ascii="Times New Roman" w:eastAsia="Calibri" w:hAnsi="Times New Roman" w:cs="Times New Roman"/>
          <w:bCs/>
          <w:sz w:val="24"/>
          <w:szCs w:val="24"/>
        </w:rPr>
        <w:t xml:space="preserve"> et Buhrer), në bashkitë; Shkodër, Pukë, Kukës, Mat, Bulqizë, Gramsh, Kurbin, Durës, kavajë dhe Korçë</w:t>
      </w:r>
      <w:r w:rsidRPr="002D586E">
        <w:rPr>
          <w:rFonts w:ascii="Times New Roman" w:eastAsia="Calibri" w:hAnsi="Times New Roman" w:cs="Times New Roman"/>
          <w:sz w:val="24"/>
          <w:szCs w:val="24"/>
          <w:lang w:val="it-IT"/>
        </w:rPr>
        <w:t>.</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Piralida e pishës (</w:t>
      </w:r>
      <w:r w:rsidRPr="002D586E">
        <w:rPr>
          <w:rFonts w:ascii="Times New Roman" w:eastAsia="Calibri" w:hAnsi="Times New Roman" w:cs="Times New Roman"/>
          <w:i/>
          <w:sz w:val="24"/>
          <w:szCs w:val="24"/>
          <w:lang w:val="it-IT"/>
        </w:rPr>
        <w:t>Dioryctria sylvestrella</w:t>
      </w:r>
      <w:r w:rsidRPr="002D586E">
        <w:rPr>
          <w:rFonts w:ascii="Times New Roman" w:eastAsia="Calibri" w:hAnsi="Times New Roman" w:cs="Times New Roman"/>
          <w:sz w:val="24"/>
          <w:szCs w:val="24"/>
          <w:lang w:val="it-IT"/>
        </w:rPr>
        <w:t xml:space="preserve"> Ratz), në bashkitë; Pukë, Dibër, Mat</w:t>
      </w:r>
    </w:p>
    <w:p w:rsidR="002D586E" w:rsidRPr="002D586E" w:rsidRDefault="002D586E" w:rsidP="002D586E">
      <w:pPr>
        <w:spacing w:after="0" w:line="240" w:lineRule="auto"/>
        <w:jc w:val="both"/>
        <w:rPr>
          <w:rFonts w:ascii="Times New Roman" w:eastAsia="Calibri" w:hAnsi="Times New Roman" w:cs="Times New Roman"/>
          <w:b/>
          <w:i/>
          <w:sz w:val="24"/>
          <w:szCs w:val="24"/>
          <w:u w:val="single"/>
        </w:rPr>
      </w:pPr>
      <w:r w:rsidRPr="002D586E">
        <w:rPr>
          <w:rFonts w:ascii="Times New Roman" w:eastAsia="Calibri" w:hAnsi="Times New Roman" w:cs="Times New Roman"/>
          <w:b/>
          <w:i/>
          <w:szCs w:val="24"/>
          <w:u w:val="single"/>
        </w:rPr>
        <w:t xml:space="preserve">Dëmtuesit për llojet e pishave mesdhetare </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Krasitesi (</w:t>
      </w:r>
      <w:r w:rsidRPr="002D586E">
        <w:rPr>
          <w:rFonts w:ascii="Times New Roman" w:eastAsia="Calibri" w:hAnsi="Times New Roman" w:cs="Times New Roman"/>
          <w:i/>
          <w:sz w:val="24"/>
          <w:szCs w:val="24"/>
          <w:lang w:val="it-IT"/>
        </w:rPr>
        <w:t>Tonicus Minor</w:t>
      </w:r>
      <w:r w:rsidRPr="002D586E">
        <w:rPr>
          <w:rFonts w:ascii="Times New Roman" w:eastAsia="Calibri" w:hAnsi="Times New Roman" w:cs="Times New Roman"/>
          <w:sz w:val="24"/>
          <w:szCs w:val="24"/>
          <w:lang w:val="it-IT"/>
        </w:rPr>
        <w:t xml:space="preserve"> Htg), </w:t>
      </w:r>
      <w:r w:rsidRPr="002D586E">
        <w:rPr>
          <w:rFonts w:ascii="Times New Roman" w:eastAsia="Calibri" w:hAnsi="Times New Roman" w:cs="Times New Roman"/>
          <w:sz w:val="24"/>
          <w:szCs w:val="24"/>
        </w:rPr>
        <w:t>në bashkitë: Skrapar, Berat, Vlorë Përmet, Mat, Fier, Lushnjë</w:t>
      </w:r>
    </w:p>
    <w:p w:rsidR="002D586E" w:rsidRPr="002D586E" w:rsidRDefault="002D586E" w:rsidP="002D586E">
      <w:pPr>
        <w:spacing w:after="0" w:line="240" w:lineRule="auto"/>
        <w:jc w:val="both"/>
        <w:rPr>
          <w:rFonts w:ascii="Times New Roman" w:eastAsia="Calibri" w:hAnsi="Times New Roman" w:cs="Times New Roman"/>
          <w:sz w:val="24"/>
          <w:szCs w:val="24"/>
        </w:rPr>
      </w:pPr>
      <w:r w:rsidRPr="002D586E">
        <w:rPr>
          <w:rFonts w:ascii="Times New Roman" w:eastAsia="Calibri" w:hAnsi="Times New Roman" w:cs="Times New Roman"/>
          <w:sz w:val="24"/>
          <w:szCs w:val="24"/>
          <w:lang w:val="it-IT"/>
        </w:rPr>
        <w:t>Skolitet e pishës (</w:t>
      </w:r>
      <w:r w:rsidRPr="002D586E">
        <w:rPr>
          <w:rFonts w:ascii="Times New Roman" w:eastAsia="Calibri" w:hAnsi="Times New Roman" w:cs="Times New Roman"/>
          <w:i/>
          <w:sz w:val="24"/>
          <w:szCs w:val="24"/>
          <w:lang w:val="it-IT"/>
        </w:rPr>
        <w:t>Ips sexdentitus</w:t>
      </w:r>
      <w:r w:rsidRPr="002D586E">
        <w:rPr>
          <w:rFonts w:ascii="Times New Roman" w:eastAsia="Calibri" w:hAnsi="Times New Roman" w:cs="Times New Roman"/>
          <w:sz w:val="24"/>
          <w:szCs w:val="24"/>
          <w:lang w:val="it-IT"/>
        </w:rPr>
        <w:t xml:space="preserve"> Berner),</w:t>
      </w:r>
      <w:r w:rsidRPr="002D586E">
        <w:rPr>
          <w:rFonts w:ascii="Times New Roman" w:eastAsia="Calibri" w:hAnsi="Times New Roman" w:cs="Times New Roman"/>
          <w:sz w:val="24"/>
          <w:szCs w:val="24"/>
        </w:rPr>
        <w:t xml:space="preserve"> në bashkitë:</w:t>
      </w:r>
      <w:r w:rsidRPr="002D586E">
        <w:rPr>
          <w:rFonts w:ascii="Times New Roman" w:eastAsia="Calibri" w:hAnsi="Times New Roman" w:cs="Times New Roman"/>
          <w:sz w:val="24"/>
          <w:szCs w:val="24"/>
          <w:lang w:val="it-IT"/>
        </w:rPr>
        <w:t xml:space="preserve"> </w:t>
      </w:r>
      <w:r w:rsidRPr="002D586E">
        <w:rPr>
          <w:rFonts w:ascii="Times New Roman" w:eastAsia="Calibri" w:hAnsi="Times New Roman" w:cs="Times New Roman"/>
          <w:sz w:val="24"/>
          <w:szCs w:val="24"/>
        </w:rPr>
        <w:t xml:space="preserve">Skrapar, Tiranë, Vlorë, Berat. </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Hundëgjati i pishës (</w:t>
      </w:r>
      <w:r w:rsidRPr="002D586E">
        <w:rPr>
          <w:rFonts w:ascii="Times New Roman" w:eastAsia="Calibri" w:hAnsi="Times New Roman" w:cs="Times New Roman"/>
          <w:i/>
          <w:sz w:val="24"/>
          <w:szCs w:val="24"/>
          <w:lang w:val="it-IT"/>
        </w:rPr>
        <w:t>Pissodes castaneus</w:t>
      </w:r>
      <w:r w:rsidRPr="002D586E">
        <w:rPr>
          <w:rFonts w:ascii="Times New Roman" w:eastAsia="Calibri" w:hAnsi="Times New Roman" w:cs="Times New Roman"/>
          <w:sz w:val="24"/>
          <w:szCs w:val="24"/>
          <w:lang w:val="it-IT"/>
        </w:rPr>
        <w:t xml:space="preserve"> De Geer),</w:t>
      </w:r>
      <w:r w:rsidRPr="002D586E">
        <w:rPr>
          <w:rFonts w:ascii="Times New Roman" w:eastAsia="Calibri" w:hAnsi="Times New Roman" w:cs="Times New Roman"/>
          <w:sz w:val="24"/>
          <w:szCs w:val="24"/>
        </w:rPr>
        <w:t xml:space="preserve"> ku më i atakuar është në zonën e pishës së detit dhe pishës së egër në zonën bregdetare.</w:t>
      </w:r>
      <w:r w:rsidRPr="002D586E">
        <w:rPr>
          <w:rFonts w:ascii="Times New Roman" w:eastAsia="Calibri" w:hAnsi="Times New Roman" w:cs="Times New Roman"/>
          <w:sz w:val="24"/>
          <w:szCs w:val="24"/>
          <w:lang w:val="it-IT"/>
        </w:rPr>
        <w:t xml:space="preserve"> </w:t>
      </w:r>
    </w:p>
    <w:p w:rsidR="002D586E" w:rsidRPr="002D586E" w:rsidRDefault="002D586E" w:rsidP="002D586E">
      <w:pPr>
        <w:spacing w:after="0" w:line="240" w:lineRule="auto"/>
        <w:jc w:val="both"/>
        <w:rPr>
          <w:rFonts w:ascii="Times New Roman" w:eastAsia="Calibri" w:hAnsi="Times New Roman" w:cs="Times New Roman"/>
          <w:bCs/>
          <w:sz w:val="24"/>
          <w:szCs w:val="24"/>
          <w:lang w:val="it-IT"/>
        </w:rPr>
      </w:pPr>
      <w:r w:rsidRPr="002D586E">
        <w:rPr>
          <w:rFonts w:ascii="Times New Roman" w:eastAsia="Calibri" w:hAnsi="Times New Roman" w:cs="Times New Roman"/>
          <w:bCs/>
          <w:sz w:val="24"/>
          <w:szCs w:val="24"/>
          <w:lang w:val="it-IT"/>
        </w:rPr>
        <w:t>Nematoda (</w:t>
      </w:r>
      <w:r w:rsidRPr="002D586E">
        <w:rPr>
          <w:rFonts w:ascii="Times New Roman" w:eastAsia="Calibri" w:hAnsi="Times New Roman" w:cs="Times New Roman"/>
          <w:bCs/>
          <w:i/>
          <w:sz w:val="24"/>
          <w:szCs w:val="24"/>
          <w:lang w:val="it-IT"/>
        </w:rPr>
        <w:t>Bursaphelenchus xylophilus</w:t>
      </w:r>
      <w:r w:rsidRPr="002D586E">
        <w:rPr>
          <w:rFonts w:ascii="Times New Roman" w:eastAsia="Calibri" w:hAnsi="Times New Roman" w:cs="Times New Roman"/>
          <w:bCs/>
          <w:sz w:val="24"/>
          <w:szCs w:val="24"/>
          <w:lang w:val="it-IT"/>
        </w:rPr>
        <w:t xml:space="preserve"> et Buhrer), në bashkitë; Shkodër, Kurbin, Durës, Kavajë.</w:t>
      </w:r>
    </w:p>
    <w:p w:rsidR="002D586E" w:rsidRDefault="002D586E" w:rsidP="002D586E">
      <w:pPr>
        <w:tabs>
          <w:tab w:val="center" w:pos="4680"/>
          <w:tab w:val="right" w:pos="9360"/>
        </w:tabs>
        <w:spacing w:after="0" w:line="240" w:lineRule="auto"/>
        <w:rPr>
          <w:rFonts w:ascii="Times New Roman" w:eastAsia="Calibri" w:hAnsi="Times New Roman" w:cs="Times New Roman"/>
          <w:bCs/>
          <w:sz w:val="24"/>
          <w:szCs w:val="24"/>
          <w:lang w:val="it-IT"/>
        </w:rPr>
      </w:pPr>
      <w:r w:rsidRPr="002D586E">
        <w:rPr>
          <w:rFonts w:ascii="Times New Roman" w:eastAsia="Calibri" w:hAnsi="Times New Roman" w:cs="Times New Roman"/>
          <w:bCs/>
          <w:i/>
          <w:iCs/>
          <w:sz w:val="24"/>
          <w:szCs w:val="24"/>
          <w:lang w:val="it-IT"/>
        </w:rPr>
        <w:t>B</w:t>
      </w:r>
      <w:r w:rsidRPr="002D586E">
        <w:rPr>
          <w:rFonts w:ascii="Times New Roman" w:eastAsia="Calibri" w:hAnsi="Times New Roman" w:cs="Times New Roman"/>
          <w:bCs/>
          <w:sz w:val="24"/>
          <w:szCs w:val="24"/>
          <w:lang w:val="it-IT"/>
        </w:rPr>
        <w:t>reshkëza e pishës së butë</w:t>
      </w:r>
      <w:r w:rsidRPr="002D586E">
        <w:rPr>
          <w:rFonts w:ascii="Times New Roman" w:eastAsia="Calibri" w:hAnsi="Times New Roman" w:cs="Times New Roman"/>
          <w:b/>
          <w:sz w:val="24"/>
          <w:szCs w:val="24"/>
          <w:lang w:val="it-IT"/>
        </w:rPr>
        <w:t xml:space="preserve"> </w:t>
      </w:r>
      <w:r w:rsidRPr="002D586E">
        <w:rPr>
          <w:rFonts w:ascii="Times New Roman" w:eastAsia="Calibri" w:hAnsi="Times New Roman" w:cs="Times New Roman"/>
          <w:bCs/>
          <w:sz w:val="24"/>
          <w:szCs w:val="24"/>
          <w:lang w:val="it-IT"/>
        </w:rPr>
        <w:t>(</w:t>
      </w:r>
      <w:r w:rsidRPr="002D586E">
        <w:rPr>
          <w:rFonts w:ascii="Times New Roman" w:eastAsia="Calibri" w:hAnsi="Times New Roman" w:cs="Times New Roman"/>
          <w:bCs/>
          <w:i/>
          <w:iCs/>
          <w:sz w:val="24"/>
          <w:szCs w:val="24"/>
          <w:lang w:val="it-IT"/>
        </w:rPr>
        <w:t>Toumeyella parvicorns. Cockerrel</w:t>
      </w:r>
      <w:r w:rsidRPr="002D586E">
        <w:rPr>
          <w:rFonts w:ascii="Times New Roman" w:eastAsia="Calibri" w:hAnsi="Times New Roman" w:cs="Times New Roman"/>
          <w:b/>
          <w:sz w:val="24"/>
          <w:szCs w:val="24"/>
          <w:lang w:val="it-IT"/>
        </w:rPr>
        <w:t xml:space="preserve">), </w:t>
      </w:r>
      <w:r w:rsidRPr="002D586E">
        <w:rPr>
          <w:rFonts w:ascii="Times New Roman" w:eastAsia="Calibri" w:hAnsi="Times New Roman" w:cs="Times New Roman"/>
          <w:bCs/>
          <w:sz w:val="24"/>
          <w:szCs w:val="24"/>
          <w:lang w:val="it-IT"/>
        </w:rPr>
        <w:t>në bashkitë:</w:t>
      </w:r>
      <w:r w:rsidRPr="002D586E">
        <w:rPr>
          <w:rFonts w:ascii="Times New Roman" w:eastAsia="Calibri" w:hAnsi="Times New Roman" w:cs="Times New Roman"/>
          <w:b/>
          <w:sz w:val="24"/>
          <w:szCs w:val="24"/>
          <w:lang w:val="it-IT"/>
        </w:rPr>
        <w:t xml:space="preserve"> </w:t>
      </w:r>
      <w:r w:rsidRPr="002D586E">
        <w:rPr>
          <w:rFonts w:ascii="Times New Roman" w:eastAsia="Calibri" w:hAnsi="Times New Roman" w:cs="Times New Roman"/>
          <w:bCs/>
          <w:sz w:val="24"/>
          <w:szCs w:val="24"/>
          <w:lang w:val="it-IT"/>
        </w:rPr>
        <w:t>Shkodër, Kurbin, Durës, Kavajë, Fier, Vlorë, etj.</w:t>
      </w:r>
    </w:p>
    <w:p w:rsidR="000E35BA" w:rsidRDefault="000E35BA" w:rsidP="002A4FDB">
      <w:pPr>
        <w:jc w:val="both"/>
        <w:rPr>
          <w:rFonts w:ascii="Times New Roman" w:eastAsia="Calibri" w:hAnsi="Times New Roman" w:cs="Times New Roman"/>
          <w:sz w:val="24"/>
          <w:szCs w:val="24"/>
        </w:rPr>
      </w:pPr>
    </w:p>
    <w:p w:rsidR="002D586E" w:rsidRPr="002D586E" w:rsidRDefault="002D586E" w:rsidP="002D586E">
      <w:pPr>
        <w:spacing w:after="0" w:line="240" w:lineRule="auto"/>
        <w:jc w:val="both"/>
        <w:rPr>
          <w:rFonts w:ascii="Times New Roman" w:eastAsia="Calibri" w:hAnsi="Times New Roman" w:cs="Times New Roman"/>
          <w:b/>
          <w:sz w:val="24"/>
          <w:szCs w:val="24"/>
          <w:lang w:val="it-IT"/>
        </w:rPr>
      </w:pPr>
      <w:r>
        <w:rPr>
          <w:rFonts w:ascii="Times New Roman" w:eastAsia="Calibri" w:hAnsi="Times New Roman" w:cs="Times New Roman"/>
          <w:b/>
          <w:sz w:val="24"/>
          <w:szCs w:val="24"/>
          <w:lang w:val="it-IT"/>
        </w:rPr>
        <w:t>-</w:t>
      </w:r>
      <w:r w:rsidRPr="002D586E">
        <w:rPr>
          <w:rFonts w:ascii="Times New Roman" w:eastAsia="Calibri" w:hAnsi="Times New Roman" w:cs="Times New Roman"/>
          <w:b/>
          <w:sz w:val="24"/>
          <w:szCs w:val="24"/>
          <w:lang w:val="it-IT"/>
        </w:rPr>
        <w:t>Për gjininë Bredh (</w:t>
      </w:r>
      <w:r w:rsidRPr="002D586E">
        <w:rPr>
          <w:rFonts w:ascii="Times New Roman" w:eastAsia="Calibri" w:hAnsi="Times New Roman" w:cs="Times New Roman"/>
          <w:b/>
          <w:i/>
          <w:sz w:val="24"/>
          <w:szCs w:val="24"/>
          <w:lang w:val="it-IT"/>
        </w:rPr>
        <w:t>Abies</w:t>
      </w:r>
      <w:r w:rsidRPr="002D586E">
        <w:rPr>
          <w:rFonts w:ascii="Times New Roman" w:eastAsia="Calibri" w:hAnsi="Times New Roman" w:cs="Times New Roman"/>
          <w:b/>
          <w:sz w:val="24"/>
          <w:szCs w:val="24"/>
          <w:lang w:val="it-IT"/>
        </w:rPr>
        <w:t>)</w:t>
      </w:r>
    </w:p>
    <w:p w:rsidR="002D586E" w:rsidRDefault="002D586E" w:rsidP="002D586E">
      <w:pPr>
        <w:spacing w:after="0" w:line="240" w:lineRule="auto"/>
        <w:jc w:val="both"/>
        <w:rPr>
          <w:rFonts w:ascii="Times New Roman" w:eastAsia="Calibri" w:hAnsi="Times New Roman" w:cs="Times New Roman"/>
          <w:sz w:val="24"/>
          <w:szCs w:val="24"/>
          <w:lang w:val="it-IT"/>
        </w:rPr>
      </w:pP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Skolitet e trungut dhe degëve të bredhit (</w:t>
      </w:r>
      <w:r w:rsidRPr="002D586E">
        <w:rPr>
          <w:rFonts w:ascii="Times New Roman" w:eastAsia="Calibri" w:hAnsi="Times New Roman" w:cs="Times New Roman"/>
          <w:i/>
          <w:sz w:val="24"/>
          <w:szCs w:val="24"/>
          <w:lang w:val="it-IT"/>
        </w:rPr>
        <w:t>Cryphalus piceae</w:t>
      </w:r>
      <w:r w:rsidRPr="002D586E">
        <w:rPr>
          <w:rFonts w:ascii="Times New Roman" w:eastAsia="Calibri" w:hAnsi="Times New Roman" w:cs="Times New Roman"/>
          <w:sz w:val="24"/>
          <w:szCs w:val="24"/>
          <w:lang w:val="it-IT"/>
        </w:rPr>
        <w:t xml:space="preserve"> Ratz); dëmtues ky i gjendur në bashkitë: Vlorë, Tropojë, Berat, Skrapar, Kolonjë, Korçë dhe Përmet. </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Turigjati i bredhit (</w:t>
      </w:r>
      <w:r w:rsidRPr="002D586E">
        <w:rPr>
          <w:rFonts w:ascii="Times New Roman" w:eastAsia="Calibri" w:hAnsi="Times New Roman" w:cs="Times New Roman"/>
          <w:i/>
          <w:sz w:val="24"/>
          <w:szCs w:val="24"/>
          <w:lang w:val="it-IT"/>
        </w:rPr>
        <w:t>Pissades piceae</w:t>
      </w:r>
      <w:r w:rsidRPr="002D586E">
        <w:rPr>
          <w:rFonts w:ascii="Times New Roman" w:eastAsia="Calibri" w:hAnsi="Times New Roman" w:cs="Times New Roman"/>
          <w:sz w:val="24"/>
          <w:szCs w:val="24"/>
          <w:lang w:val="it-IT"/>
        </w:rPr>
        <w:t xml:space="preserve">), ku më i përhapur është në bashkitë; Përmet, Tropojë, Kolonjë. </w:t>
      </w:r>
    </w:p>
    <w:p w:rsidR="002D586E" w:rsidRPr="002D586E" w:rsidRDefault="002D586E" w:rsidP="002D586E">
      <w:pPr>
        <w:spacing w:after="0" w:line="240" w:lineRule="auto"/>
        <w:jc w:val="both"/>
        <w:rPr>
          <w:rFonts w:ascii="Times New Roman" w:eastAsia="Calibri" w:hAnsi="Times New Roman" w:cs="Times New Roman"/>
          <w:b/>
          <w:i/>
          <w:sz w:val="24"/>
          <w:szCs w:val="24"/>
          <w:u w:val="single"/>
        </w:rPr>
      </w:pPr>
      <w:r w:rsidRPr="002D586E">
        <w:rPr>
          <w:rFonts w:ascii="Times New Roman" w:eastAsia="Calibri" w:hAnsi="Times New Roman" w:cs="Times New Roman"/>
          <w:b/>
          <w:i/>
          <w:sz w:val="24"/>
          <w:szCs w:val="24"/>
          <w:u w:val="single"/>
        </w:rPr>
        <w:t>Gjinia Selvi (Cupressus)</w:t>
      </w:r>
    </w:p>
    <w:p w:rsidR="002D586E" w:rsidRPr="002D586E" w:rsidRDefault="002D586E" w:rsidP="002D586E">
      <w:pPr>
        <w:spacing w:after="0" w:line="240" w:lineRule="auto"/>
        <w:jc w:val="both"/>
        <w:rPr>
          <w:rFonts w:ascii="Times New Roman" w:eastAsia="Calibri" w:hAnsi="Times New Roman" w:cs="Times New Roman"/>
          <w:sz w:val="24"/>
          <w:szCs w:val="24"/>
        </w:rPr>
      </w:pPr>
      <w:r w:rsidRPr="002D586E">
        <w:rPr>
          <w:rFonts w:ascii="Times New Roman" w:eastAsia="Calibri" w:hAnsi="Times New Roman" w:cs="Times New Roman"/>
          <w:sz w:val="24"/>
          <w:szCs w:val="24"/>
        </w:rPr>
        <w:t>Morri i selvisë (C</w:t>
      </w:r>
      <w:r w:rsidRPr="002D586E">
        <w:rPr>
          <w:rFonts w:ascii="Times New Roman" w:eastAsia="Calibri" w:hAnsi="Times New Roman" w:cs="Times New Roman"/>
          <w:i/>
          <w:sz w:val="24"/>
          <w:szCs w:val="24"/>
        </w:rPr>
        <w:t>inara cupressi</w:t>
      </w:r>
      <w:r w:rsidRPr="002D586E">
        <w:rPr>
          <w:rFonts w:ascii="Times New Roman" w:eastAsia="Calibri" w:hAnsi="Times New Roman" w:cs="Times New Roman"/>
          <w:sz w:val="24"/>
          <w:szCs w:val="24"/>
        </w:rPr>
        <w:t xml:space="preserve"> Buckson), në bashkitë; Berat, Vlorë, Përmet. </w:t>
      </w:r>
    </w:p>
    <w:p w:rsidR="002D586E" w:rsidRPr="002D586E" w:rsidRDefault="002D586E" w:rsidP="002D586E">
      <w:pPr>
        <w:spacing w:after="0" w:line="240" w:lineRule="auto"/>
        <w:jc w:val="both"/>
        <w:rPr>
          <w:rFonts w:ascii="Times New Roman" w:eastAsia="Calibri" w:hAnsi="Times New Roman" w:cs="Times New Roman"/>
          <w:sz w:val="24"/>
          <w:szCs w:val="24"/>
        </w:rPr>
      </w:pPr>
      <w:r w:rsidRPr="002D586E">
        <w:rPr>
          <w:rFonts w:ascii="Times New Roman" w:eastAsia="Calibri" w:hAnsi="Times New Roman" w:cs="Times New Roman"/>
          <w:sz w:val="24"/>
          <w:szCs w:val="24"/>
        </w:rPr>
        <w:t>Skolitet e selvisë (</w:t>
      </w:r>
      <w:r w:rsidRPr="002D586E">
        <w:rPr>
          <w:rFonts w:ascii="Times New Roman" w:eastAsia="Calibri" w:hAnsi="Times New Roman" w:cs="Times New Roman"/>
          <w:i/>
          <w:sz w:val="24"/>
          <w:szCs w:val="24"/>
        </w:rPr>
        <w:t>Phlesinus aubie, thuyae</w:t>
      </w:r>
      <w:r w:rsidRPr="002D586E">
        <w:rPr>
          <w:rFonts w:ascii="Times New Roman" w:eastAsia="Calibri" w:hAnsi="Times New Roman" w:cs="Times New Roman"/>
          <w:sz w:val="24"/>
          <w:szCs w:val="24"/>
        </w:rPr>
        <w:t xml:space="preserve"> Pires), në bashkitë; Berat, Vlorë, Përmet.</w:t>
      </w:r>
    </w:p>
    <w:p w:rsidR="002D586E" w:rsidRPr="002D586E" w:rsidRDefault="002D586E" w:rsidP="002D586E">
      <w:pPr>
        <w:spacing w:after="0" w:line="240" w:lineRule="auto"/>
        <w:jc w:val="both"/>
        <w:rPr>
          <w:rFonts w:ascii="Times New Roman" w:eastAsia="Calibri" w:hAnsi="Times New Roman" w:cs="Times New Roman"/>
          <w:b/>
          <w:i/>
          <w:sz w:val="24"/>
          <w:szCs w:val="24"/>
          <w:u w:val="single"/>
        </w:rPr>
      </w:pPr>
      <w:r w:rsidRPr="002D586E">
        <w:rPr>
          <w:rFonts w:ascii="Times New Roman" w:eastAsia="Calibri" w:hAnsi="Times New Roman" w:cs="Times New Roman"/>
          <w:b/>
          <w:i/>
          <w:sz w:val="24"/>
          <w:szCs w:val="24"/>
          <w:u w:val="single"/>
        </w:rPr>
        <w:t>Gjinia e Ahut (Fagus sylvatica)</w:t>
      </w:r>
    </w:p>
    <w:p w:rsidR="002D586E" w:rsidRPr="002D586E" w:rsidRDefault="002D586E" w:rsidP="002D586E">
      <w:pPr>
        <w:spacing w:after="0" w:line="240" w:lineRule="auto"/>
        <w:jc w:val="both"/>
        <w:rPr>
          <w:rFonts w:ascii="Times New Roman" w:eastAsia="Calibri" w:hAnsi="Times New Roman" w:cs="Times New Roman"/>
          <w:sz w:val="24"/>
          <w:szCs w:val="24"/>
        </w:rPr>
      </w:pPr>
      <w:r w:rsidRPr="002D586E">
        <w:rPr>
          <w:rFonts w:ascii="Times New Roman" w:eastAsia="Calibri" w:hAnsi="Times New Roman" w:cs="Times New Roman"/>
          <w:sz w:val="24"/>
          <w:szCs w:val="24"/>
        </w:rPr>
        <w:t>Miza e Ahut (</w:t>
      </w:r>
      <w:r w:rsidRPr="002D586E">
        <w:rPr>
          <w:rFonts w:ascii="Times New Roman" w:eastAsia="Calibri" w:hAnsi="Times New Roman" w:cs="Times New Roman"/>
          <w:i/>
          <w:sz w:val="24"/>
          <w:szCs w:val="24"/>
        </w:rPr>
        <w:t>Micola fagi</w:t>
      </w:r>
      <w:r w:rsidRPr="002D586E">
        <w:rPr>
          <w:rFonts w:ascii="Times New Roman" w:eastAsia="Calibri" w:hAnsi="Times New Roman" w:cs="Times New Roman"/>
          <w:sz w:val="24"/>
          <w:szCs w:val="24"/>
        </w:rPr>
        <w:t xml:space="preserve"> Hartig), në bashkitë; Tropojë, Kukës, Has, Pukë, Shkodër, Librazhd, Kolonjë, Korçë, Pogradec. </w:t>
      </w:r>
    </w:p>
    <w:p w:rsidR="002D586E" w:rsidRDefault="002D586E" w:rsidP="002D586E">
      <w:pPr>
        <w:spacing w:after="0" w:line="240" w:lineRule="auto"/>
        <w:jc w:val="both"/>
        <w:rPr>
          <w:rFonts w:ascii="Times New Roman" w:eastAsia="Calibri" w:hAnsi="Times New Roman" w:cs="Times New Roman"/>
          <w:sz w:val="24"/>
          <w:szCs w:val="24"/>
        </w:rPr>
      </w:pPr>
      <w:r w:rsidRPr="002D586E">
        <w:rPr>
          <w:rFonts w:ascii="Times New Roman" w:eastAsia="Calibri" w:hAnsi="Times New Roman" w:cs="Times New Roman"/>
          <w:sz w:val="24"/>
          <w:szCs w:val="24"/>
        </w:rPr>
        <w:t>Turigjati i ahut (</w:t>
      </w:r>
      <w:r w:rsidRPr="002D586E">
        <w:rPr>
          <w:rFonts w:ascii="Times New Roman" w:eastAsia="Calibri" w:hAnsi="Times New Roman" w:cs="Times New Roman"/>
          <w:i/>
          <w:sz w:val="24"/>
          <w:szCs w:val="24"/>
        </w:rPr>
        <w:t>Rhynchaenus fagi</w:t>
      </w:r>
      <w:r w:rsidRPr="002D586E">
        <w:rPr>
          <w:rFonts w:ascii="Times New Roman" w:eastAsia="Calibri" w:hAnsi="Times New Roman" w:cs="Times New Roman"/>
          <w:sz w:val="24"/>
          <w:szCs w:val="24"/>
        </w:rPr>
        <w:t xml:space="preserve"> L.); në sipërfaqet monitoruese të bashkive; Kukës, Tropojë, Shkodër, Korçë, Fushë </w:t>
      </w:r>
      <w:r>
        <w:rPr>
          <w:rFonts w:ascii="Times New Roman" w:eastAsia="Calibri" w:hAnsi="Times New Roman" w:cs="Times New Roman"/>
          <w:sz w:val="24"/>
          <w:szCs w:val="24"/>
        </w:rPr>
        <w:t>–</w:t>
      </w:r>
      <w:r w:rsidRPr="002D586E">
        <w:rPr>
          <w:rFonts w:ascii="Times New Roman" w:eastAsia="Calibri" w:hAnsi="Times New Roman" w:cs="Times New Roman"/>
          <w:sz w:val="24"/>
          <w:szCs w:val="24"/>
        </w:rPr>
        <w:t xml:space="preserve"> Arrëz</w:t>
      </w:r>
    </w:p>
    <w:p w:rsidR="002D586E" w:rsidRPr="002D586E" w:rsidRDefault="002D586E" w:rsidP="002D586E">
      <w:pPr>
        <w:spacing w:after="0" w:line="240" w:lineRule="auto"/>
        <w:jc w:val="both"/>
        <w:rPr>
          <w:rFonts w:ascii="Times New Roman" w:eastAsia="Calibri" w:hAnsi="Times New Roman" w:cs="Times New Roman"/>
          <w:sz w:val="24"/>
          <w:szCs w:val="24"/>
        </w:rPr>
      </w:pPr>
      <w:r w:rsidRPr="002D586E">
        <w:rPr>
          <w:rFonts w:ascii="Times New Roman" w:eastAsia="Calibri" w:hAnsi="Times New Roman" w:cs="Times New Roman"/>
          <w:sz w:val="24"/>
          <w:szCs w:val="24"/>
        </w:rPr>
        <w:t>Morri i ahut (</w:t>
      </w:r>
      <w:r w:rsidRPr="002D586E">
        <w:rPr>
          <w:rFonts w:ascii="Times New Roman" w:eastAsia="Calibri" w:hAnsi="Times New Roman" w:cs="Times New Roman"/>
          <w:i/>
          <w:sz w:val="24"/>
          <w:szCs w:val="24"/>
        </w:rPr>
        <w:t>Phyllaphis fagi</w:t>
      </w:r>
      <w:r w:rsidRPr="002D586E">
        <w:rPr>
          <w:rFonts w:ascii="Times New Roman" w:eastAsia="Calibri" w:hAnsi="Times New Roman" w:cs="Times New Roman"/>
          <w:sz w:val="24"/>
          <w:szCs w:val="24"/>
        </w:rPr>
        <w:t xml:space="preserve"> L), është i përhapur në të gjitha sipërfaqet e monitorimit në shkallë vendi. </w:t>
      </w:r>
    </w:p>
    <w:p w:rsidR="002D586E" w:rsidRPr="002D586E" w:rsidRDefault="002D586E" w:rsidP="002D586E">
      <w:pPr>
        <w:spacing w:after="0" w:line="240" w:lineRule="auto"/>
        <w:jc w:val="both"/>
        <w:rPr>
          <w:rFonts w:ascii="Times New Roman" w:eastAsia="Calibri" w:hAnsi="Times New Roman" w:cs="Times New Roman"/>
          <w:sz w:val="24"/>
          <w:szCs w:val="24"/>
        </w:rPr>
      </w:pPr>
      <w:r w:rsidRPr="002D586E">
        <w:rPr>
          <w:rFonts w:ascii="Times New Roman" w:eastAsia="Calibri" w:hAnsi="Times New Roman" w:cs="Times New Roman"/>
          <w:sz w:val="24"/>
          <w:szCs w:val="24"/>
        </w:rPr>
        <w:t>Breshka e lëvores së Ahut (</w:t>
      </w:r>
      <w:r w:rsidRPr="002D586E">
        <w:rPr>
          <w:rFonts w:ascii="Times New Roman" w:eastAsia="Calibri" w:hAnsi="Times New Roman" w:cs="Times New Roman"/>
          <w:i/>
          <w:sz w:val="24"/>
          <w:szCs w:val="24"/>
        </w:rPr>
        <w:t>Cryptococcus fagisuga</w:t>
      </w:r>
      <w:r w:rsidRPr="002D586E">
        <w:rPr>
          <w:rFonts w:ascii="Times New Roman" w:eastAsia="Calibri" w:hAnsi="Times New Roman" w:cs="Times New Roman"/>
          <w:sz w:val="24"/>
          <w:szCs w:val="24"/>
        </w:rPr>
        <w:t xml:space="preserve"> Lindinger); e përhapur në të gjitha ahishtet e moçme.</w:t>
      </w:r>
    </w:p>
    <w:p w:rsidR="002D586E" w:rsidRPr="002D586E" w:rsidRDefault="002D586E" w:rsidP="002D586E">
      <w:pPr>
        <w:spacing w:after="0" w:line="240" w:lineRule="auto"/>
        <w:jc w:val="both"/>
        <w:rPr>
          <w:rFonts w:ascii="Times New Roman" w:eastAsia="Calibri" w:hAnsi="Times New Roman" w:cs="Times New Roman"/>
          <w:b/>
          <w:i/>
          <w:sz w:val="24"/>
          <w:szCs w:val="24"/>
          <w:u w:val="single"/>
          <w:lang w:val="pt-BR"/>
        </w:rPr>
      </w:pPr>
      <w:r w:rsidRPr="002D586E">
        <w:rPr>
          <w:rFonts w:ascii="Times New Roman" w:eastAsia="Calibri" w:hAnsi="Times New Roman" w:cs="Times New Roman"/>
          <w:b/>
          <w:i/>
          <w:sz w:val="24"/>
          <w:szCs w:val="24"/>
          <w:u w:val="single"/>
          <w:lang w:val="pt-BR"/>
        </w:rPr>
        <w:t>Gjinia e dushqeve (Quercus spp.)</w:t>
      </w:r>
    </w:p>
    <w:p w:rsidR="002D586E" w:rsidRPr="002D586E" w:rsidRDefault="002D586E" w:rsidP="002D586E">
      <w:pPr>
        <w:spacing w:after="0" w:line="240" w:lineRule="auto"/>
        <w:jc w:val="both"/>
        <w:rPr>
          <w:rFonts w:ascii="Times New Roman" w:eastAsia="Calibri" w:hAnsi="Times New Roman" w:cs="Times New Roman"/>
          <w:sz w:val="24"/>
          <w:szCs w:val="24"/>
          <w:lang w:val="pt-BR"/>
        </w:rPr>
      </w:pPr>
      <w:r w:rsidRPr="002D586E">
        <w:rPr>
          <w:rFonts w:ascii="Times New Roman" w:eastAsia="Calibri" w:hAnsi="Times New Roman" w:cs="Times New Roman"/>
          <w:sz w:val="24"/>
          <w:szCs w:val="24"/>
          <w:lang w:val="pt-BR"/>
        </w:rPr>
        <w:t>Vemja e dushkut (</w:t>
      </w:r>
      <w:r w:rsidRPr="002D586E">
        <w:rPr>
          <w:rFonts w:ascii="Times New Roman" w:eastAsia="Calibri" w:hAnsi="Times New Roman" w:cs="Times New Roman"/>
          <w:i/>
          <w:sz w:val="24"/>
          <w:szCs w:val="24"/>
          <w:lang w:val="pt-BR"/>
        </w:rPr>
        <w:t xml:space="preserve">Limantria dispar </w:t>
      </w:r>
      <w:r w:rsidRPr="002D586E">
        <w:rPr>
          <w:rFonts w:ascii="Times New Roman" w:eastAsia="Calibri" w:hAnsi="Times New Roman" w:cs="Times New Roman"/>
          <w:sz w:val="24"/>
          <w:szCs w:val="24"/>
          <w:lang w:val="pt-BR"/>
        </w:rPr>
        <w:t>L), në bashkitë: Maliq, Kukës, Has, Pukë, Shkodër, Mirditë, Librazhd, Pogradec, Gramsh, Librazhd dhe Kolonjë.</w:t>
      </w:r>
    </w:p>
    <w:p w:rsidR="002D586E" w:rsidRPr="002D586E" w:rsidRDefault="002D586E" w:rsidP="002D586E">
      <w:pPr>
        <w:spacing w:after="0" w:line="240" w:lineRule="auto"/>
        <w:jc w:val="both"/>
        <w:rPr>
          <w:rFonts w:ascii="Times New Roman" w:eastAsia="Calibri" w:hAnsi="Times New Roman" w:cs="Times New Roman"/>
          <w:sz w:val="24"/>
          <w:szCs w:val="24"/>
          <w:lang w:val="pt-BR"/>
        </w:rPr>
      </w:pPr>
      <w:r w:rsidRPr="002D586E">
        <w:rPr>
          <w:rFonts w:ascii="Times New Roman" w:eastAsia="Calibri" w:hAnsi="Times New Roman" w:cs="Times New Roman"/>
          <w:sz w:val="24"/>
          <w:szCs w:val="24"/>
          <w:lang w:val="pt-BR"/>
        </w:rPr>
        <w:t>Gjethpërdredhësja e dushkut (</w:t>
      </w:r>
      <w:r w:rsidRPr="002D586E">
        <w:rPr>
          <w:rFonts w:ascii="Times New Roman" w:eastAsia="Calibri" w:hAnsi="Times New Roman" w:cs="Times New Roman"/>
          <w:i/>
          <w:sz w:val="24"/>
          <w:szCs w:val="24"/>
          <w:lang w:val="pt-BR"/>
        </w:rPr>
        <w:t>Tortrix viridana</w:t>
      </w:r>
      <w:r w:rsidRPr="002D586E">
        <w:rPr>
          <w:rFonts w:ascii="Times New Roman" w:eastAsia="Calibri" w:hAnsi="Times New Roman" w:cs="Times New Roman"/>
          <w:sz w:val="24"/>
          <w:szCs w:val="24"/>
          <w:lang w:val="pt-BR"/>
        </w:rPr>
        <w:t xml:space="preserve"> L), në bashkitë: Maliq, Pustec, Has, Mirditë, Mat, Kukës, Shkodër dhe Gramsh.</w:t>
      </w:r>
    </w:p>
    <w:p w:rsidR="002D586E" w:rsidRPr="002D586E" w:rsidRDefault="002D586E" w:rsidP="002D586E">
      <w:pPr>
        <w:spacing w:after="0" w:line="240" w:lineRule="auto"/>
        <w:jc w:val="both"/>
        <w:rPr>
          <w:rFonts w:ascii="Times New Roman" w:eastAsia="Calibri" w:hAnsi="Times New Roman" w:cs="Times New Roman"/>
          <w:sz w:val="24"/>
          <w:szCs w:val="24"/>
          <w:lang w:val="pt-BR"/>
        </w:rPr>
      </w:pPr>
      <w:r w:rsidRPr="002D586E">
        <w:rPr>
          <w:rFonts w:ascii="Times New Roman" w:eastAsia="Calibri" w:hAnsi="Times New Roman" w:cs="Times New Roman"/>
          <w:sz w:val="24"/>
          <w:szCs w:val="24"/>
          <w:lang w:val="pt-BR"/>
        </w:rPr>
        <w:t>Krizomela e dushkut (</w:t>
      </w:r>
      <w:r w:rsidRPr="002D586E">
        <w:rPr>
          <w:rFonts w:ascii="Times New Roman" w:eastAsia="Calibri" w:hAnsi="Times New Roman" w:cs="Times New Roman"/>
          <w:i/>
          <w:sz w:val="24"/>
          <w:szCs w:val="24"/>
          <w:lang w:val="pt-BR"/>
        </w:rPr>
        <w:t>Altica quercetarum</w:t>
      </w:r>
      <w:r w:rsidRPr="002D586E">
        <w:rPr>
          <w:rFonts w:ascii="Times New Roman" w:eastAsia="Calibri" w:hAnsi="Times New Roman" w:cs="Times New Roman"/>
          <w:sz w:val="24"/>
          <w:szCs w:val="24"/>
          <w:lang w:val="pt-BR"/>
        </w:rPr>
        <w:t>), në të gjitha dushkajat ku gjendet llojit Bulger.</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Proçesionaria e dushkut (</w:t>
      </w:r>
      <w:r w:rsidRPr="002D586E">
        <w:rPr>
          <w:rFonts w:ascii="Times New Roman" w:eastAsia="Calibri" w:hAnsi="Times New Roman" w:cs="Times New Roman"/>
          <w:i/>
          <w:sz w:val="24"/>
          <w:szCs w:val="24"/>
          <w:lang w:val="it-IT"/>
        </w:rPr>
        <w:t>Thaumetopoea processionea</w:t>
      </w:r>
      <w:r w:rsidRPr="002D586E">
        <w:rPr>
          <w:rFonts w:ascii="Times New Roman" w:eastAsia="Calibri" w:hAnsi="Times New Roman" w:cs="Times New Roman"/>
          <w:sz w:val="24"/>
          <w:szCs w:val="24"/>
          <w:lang w:val="it-IT"/>
        </w:rPr>
        <w:t xml:space="preserve"> L),</w:t>
      </w:r>
      <w:r w:rsidRPr="002D586E">
        <w:rPr>
          <w:rFonts w:ascii="Times New Roman" w:eastAsia="Calibri" w:hAnsi="Times New Roman" w:cs="Times New Roman"/>
          <w:sz w:val="24"/>
          <w:szCs w:val="24"/>
        </w:rPr>
        <w:t xml:space="preserve"> në bashkitë</w:t>
      </w:r>
      <w:r w:rsidRPr="002D586E">
        <w:rPr>
          <w:rFonts w:ascii="Times New Roman" w:eastAsia="Calibri" w:hAnsi="Times New Roman" w:cs="Times New Roman"/>
          <w:sz w:val="24"/>
          <w:szCs w:val="24"/>
          <w:lang w:val="it-IT"/>
        </w:rPr>
        <w:t>; Pogradec, Maliq, Vlorë, Tiranë, Berat dhe Has.</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Matësi skeletues (</w:t>
      </w:r>
      <w:r w:rsidRPr="002D586E">
        <w:rPr>
          <w:rFonts w:ascii="Times New Roman" w:eastAsia="Calibri" w:hAnsi="Times New Roman" w:cs="Times New Roman"/>
          <w:i/>
          <w:sz w:val="24"/>
          <w:szCs w:val="24"/>
          <w:lang w:val="it-IT"/>
        </w:rPr>
        <w:t xml:space="preserve">Erannis defoliaria </w:t>
      </w:r>
      <w:r w:rsidRPr="002D586E">
        <w:rPr>
          <w:rFonts w:ascii="Times New Roman" w:eastAsia="Calibri" w:hAnsi="Times New Roman" w:cs="Times New Roman"/>
          <w:sz w:val="24"/>
          <w:szCs w:val="24"/>
          <w:lang w:val="it-IT"/>
        </w:rPr>
        <w:t>Cleck),</w:t>
      </w:r>
      <w:r w:rsidRPr="002D586E">
        <w:rPr>
          <w:rFonts w:ascii="Times New Roman" w:eastAsia="Calibri" w:hAnsi="Times New Roman" w:cs="Times New Roman"/>
          <w:sz w:val="24"/>
          <w:szCs w:val="24"/>
        </w:rPr>
        <w:t xml:space="preserve"> në bashkitë</w:t>
      </w:r>
      <w:r w:rsidRPr="002D586E">
        <w:rPr>
          <w:rFonts w:ascii="Times New Roman" w:eastAsia="Calibri" w:hAnsi="Times New Roman" w:cs="Times New Roman"/>
          <w:sz w:val="24"/>
          <w:szCs w:val="24"/>
          <w:lang w:val="it-IT"/>
        </w:rPr>
        <w:t>; Kukës, Has, Pukë, Mirditë, Dibër.</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Skolitet e dushqeve (</w:t>
      </w:r>
      <w:r w:rsidRPr="002D586E">
        <w:rPr>
          <w:rFonts w:ascii="Times New Roman" w:eastAsia="Calibri" w:hAnsi="Times New Roman" w:cs="Times New Roman"/>
          <w:i/>
          <w:sz w:val="24"/>
          <w:szCs w:val="24"/>
          <w:lang w:val="it-IT"/>
        </w:rPr>
        <w:t>Scolitus inric</w:t>
      </w:r>
      <w:r w:rsidRPr="002D586E">
        <w:rPr>
          <w:rFonts w:ascii="Times New Roman" w:eastAsia="Calibri" w:hAnsi="Times New Roman" w:cs="Times New Roman"/>
          <w:sz w:val="24"/>
          <w:szCs w:val="24"/>
          <w:lang w:val="it-IT"/>
        </w:rPr>
        <w:t>atus Ratz.), në gjitha sipërfaqet e dushqeve në shkallë vendi.</w:t>
      </w:r>
    </w:p>
    <w:p w:rsidR="002D586E" w:rsidRPr="002D586E" w:rsidRDefault="005617F3" w:rsidP="002D586E">
      <w:pPr>
        <w:spacing w:after="0" w:line="240" w:lineRule="auto"/>
        <w:jc w:val="both"/>
        <w:rPr>
          <w:rFonts w:ascii="Times New Roman" w:eastAsia="Calibri" w:hAnsi="Times New Roman" w:cs="Times New Roman"/>
          <w:b/>
          <w:i/>
          <w:sz w:val="24"/>
          <w:szCs w:val="24"/>
          <w:u w:val="single"/>
          <w:lang w:val="it-IT"/>
        </w:rPr>
      </w:pPr>
      <w:r>
        <w:rPr>
          <w:rFonts w:ascii="Times New Roman" w:eastAsia="Calibri" w:hAnsi="Times New Roman" w:cs="Times New Roman"/>
          <w:b/>
          <w:i/>
          <w:sz w:val="24"/>
          <w:szCs w:val="24"/>
          <w:u w:val="single"/>
          <w:lang w:val="it-IT"/>
        </w:rPr>
        <w:t>Gjinia gështe</w:t>
      </w:r>
      <w:r w:rsidR="002D586E" w:rsidRPr="002D586E">
        <w:rPr>
          <w:rFonts w:ascii="Times New Roman" w:eastAsia="Calibri" w:hAnsi="Times New Roman" w:cs="Times New Roman"/>
          <w:b/>
          <w:i/>
          <w:sz w:val="24"/>
          <w:szCs w:val="24"/>
          <w:u w:val="single"/>
          <w:lang w:val="it-IT"/>
        </w:rPr>
        <w:t>një (Castanetum.L)</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 xml:space="preserve">Grerëza aziatike e gështenjës </w:t>
      </w:r>
      <w:r w:rsidRPr="002D586E">
        <w:rPr>
          <w:rFonts w:ascii="Times New Roman" w:eastAsia="Calibri" w:hAnsi="Times New Roman" w:cs="Times New Roman"/>
          <w:bCs/>
          <w:i/>
          <w:iCs/>
          <w:sz w:val="24"/>
          <w:szCs w:val="24"/>
          <w:lang w:val="it-IT"/>
        </w:rPr>
        <w:t>(Dryocosmus kuriphilus)</w:t>
      </w:r>
      <w:r w:rsidRPr="002D586E">
        <w:rPr>
          <w:rFonts w:ascii="Times New Roman" w:eastAsia="Calibri" w:hAnsi="Times New Roman" w:cs="Times New Roman"/>
          <w:bCs/>
          <w:sz w:val="24"/>
          <w:szCs w:val="24"/>
          <w:lang w:val="it-IT"/>
        </w:rPr>
        <w:t>,</w:t>
      </w:r>
      <w:r w:rsidRPr="002D586E">
        <w:rPr>
          <w:rFonts w:ascii="Times New Roman" w:eastAsia="Calibri" w:hAnsi="Times New Roman" w:cs="Times New Roman"/>
          <w:sz w:val="24"/>
          <w:szCs w:val="24"/>
          <w:lang w:val="it-IT"/>
        </w:rPr>
        <w:t xml:space="preserve"> e përhapur në të gjithë territorin e vendit sidomos në masivet me gështënjë në: Tropjë, Shkodër, Malësi e Madhe, Pukë, Pogradec, etj.</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Krimbi i gështenjës (</w:t>
      </w:r>
      <w:r w:rsidRPr="002D586E">
        <w:rPr>
          <w:rFonts w:ascii="Times New Roman" w:eastAsia="Calibri" w:hAnsi="Times New Roman" w:cs="Times New Roman"/>
          <w:i/>
          <w:sz w:val="24"/>
          <w:szCs w:val="24"/>
          <w:lang w:val="it-IT"/>
        </w:rPr>
        <w:t>Carpocapsa Splendona</w:t>
      </w:r>
      <w:r w:rsidRPr="002D586E">
        <w:rPr>
          <w:rFonts w:ascii="Times New Roman" w:eastAsia="Calibri" w:hAnsi="Times New Roman" w:cs="Times New Roman"/>
          <w:sz w:val="24"/>
          <w:szCs w:val="24"/>
          <w:lang w:val="it-IT"/>
        </w:rPr>
        <w:t xml:space="preserve"> Hb), në bashkitë: Tropojë, Shkodër, Kukës, Pukë, </w:t>
      </w:r>
      <w:r w:rsidRPr="002D586E">
        <w:rPr>
          <w:rFonts w:ascii="Times New Roman" w:eastAsia="Calibri" w:hAnsi="Times New Roman" w:cs="Times New Roman"/>
          <w:sz w:val="24"/>
          <w:szCs w:val="24"/>
          <w:lang w:val="it-IT"/>
        </w:rPr>
        <w:lastRenderedPageBreak/>
        <w:t>Tiranë, Pogradec.</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Turigjati i gështenjës (</w:t>
      </w:r>
      <w:r w:rsidRPr="002D586E">
        <w:rPr>
          <w:rFonts w:ascii="Times New Roman" w:eastAsia="Calibri" w:hAnsi="Times New Roman" w:cs="Times New Roman"/>
          <w:i/>
          <w:sz w:val="24"/>
          <w:szCs w:val="24"/>
          <w:lang w:val="it-IT"/>
        </w:rPr>
        <w:t>Corculio elephas</w:t>
      </w:r>
      <w:r w:rsidRPr="002D586E">
        <w:rPr>
          <w:rFonts w:ascii="Times New Roman" w:eastAsia="Calibri" w:hAnsi="Times New Roman" w:cs="Times New Roman"/>
          <w:sz w:val="24"/>
          <w:szCs w:val="24"/>
          <w:lang w:val="it-IT"/>
        </w:rPr>
        <w:t xml:space="preserve"> Gyll), në bashkitë: Shkodër, Kukës, Mat, Librazhd, Korçë.</w:t>
      </w:r>
    </w:p>
    <w:p w:rsidR="000E35BA" w:rsidRDefault="00261BD4" w:rsidP="002D586E">
      <w:pPr>
        <w:spacing w:after="0" w:line="240" w:lineRule="auto"/>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Minusja e gjetheve të gështe</w:t>
      </w:r>
      <w:r w:rsidR="002D586E" w:rsidRPr="002D586E">
        <w:rPr>
          <w:rFonts w:ascii="Times New Roman" w:eastAsia="Calibri" w:hAnsi="Times New Roman" w:cs="Times New Roman"/>
          <w:sz w:val="24"/>
          <w:szCs w:val="24"/>
          <w:lang w:val="it-IT"/>
        </w:rPr>
        <w:t>njës (</w:t>
      </w:r>
      <w:r w:rsidR="002D586E" w:rsidRPr="002D586E">
        <w:rPr>
          <w:rFonts w:ascii="Times New Roman" w:eastAsia="Calibri" w:hAnsi="Times New Roman" w:cs="Times New Roman"/>
          <w:i/>
          <w:sz w:val="24"/>
          <w:szCs w:val="24"/>
          <w:lang w:val="it-IT"/>
        </w:rPr>
        <w:t>Titischeria complonella</w:t>
      </w:r>
      <w:r w:rsidR="002D586E" w:rsidRPr="002D586E">
        <w:rPr>
          <w:rFonts w:ascii="Times New Roman" w:eastAsia="Calibri" w:hAnsi="Times New Roman" w:cs="Times New Roman"/>
          <w:sz w:val="24"/>
          <w:szCs w:val="24"/>
          <w:lang w:val="it-IT"/>
        </w:rPr>
        <w:t xml:space="preserve"> Hb), në bashkitë: Shkodër, Kukës, Pukë, </w:t>
      </w:r>
      <w:r w:rsidR="000E35BA" w:rsidRPr="002D586E">
        <w:rPr>
          <w:rFonts w:ascii="Times New Roman" w:eastAsia="Calibri" w:hAnsi="Times New Roman" w:cs="Times New Roman"/>
          <w:sz w:val="24"/>
          <w:szCs w:val="24"/>
          <w:lang w:val="it-IT"/>
        </w:rPr>
        <w:t>Pogradec.</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p>
    <w:p w:rsidR="00FF4C1A" w:rsidRDefault="00FF4C1A" w:rsidP="002D586E">
      <w:pPr>
        <w:spacing w:after="0" w:line="240" w:lineRule="auto"/>
        <w:jc w:val="both"/>
        <w:rPr>
          <w:rFonts w:ascii="Times New Roman" w:eastAsia="Calibri" w:hAnsi="Times New Roman" w:cs="Times New Roman"/>
          <w:b/>
          <w:sz w:val="24"/>
          <w:szCs w:val="24"/>
          <w:lang w:val="it-IT"/>
        </w:rPr>
      </w:pPr>
    </w:p>
    <w:p w:rsidR="002D586E" w:rsidRPr="002D586E" w:rsidRDefault="002D586E" w:rsidP="002D586E">
      <w:pPr>
        <w:spacing w:after="0" w:line="240" w:lineRule="auto"/>
        <w:jc w:val="both"/>
        <w:rPr>
          <w:rFonts w:ascii="Times New Roman" w:eastAsia="Calibri" w:hAnsi="Times New Roman" w:cs="Times New Roman"/>
          <w:b/>
          <w:sz w:val="24"/>
          <w:szCs w:val="24"/>
          <w:lang w:val="it-IT"/>
        </w:rPr>
      </w:pPr>
      <w:r>
        <w:rPr>
          <w:rFonts w:ascii="Times New Roman" w:eastAsia="Calibri" w:hAnsi="Times New Roman" w:cs="Times New Roman"/>
          <w:b/>
          <w:sz w:val="24"/>
          <w:szCs w:val="24"/>
          <w:lang w:val="it-IT"/>
        </w:rPr>
        <w:t>-</w:t>
      </w:r>
      <w:r w:rsidRPr="002D586E">
        <w:rPr>
          <w:rFonts w:ascii="Times New Roman" w:eastAsia="Calibri" w:hAnsi="Times New Roman" w:cs="Times New Roman"/>
          <w:b/>
          <w:sz w:val="24"/>
          <w:szCs w:val="24"/>
          <w:lang w:val="it-IT"/>
        </w:rPr>
        <w:t>Dëmtuesit për fletorë të tjerë</w:t>
      </w:r>
    </w:p>
    <w:p w:rsidR="002D586E" w:rsidRDefault="002D586E" w:rsidP="002D586E">
      <w:pPr>
        <w:spacing w:after="0" w:line="240" w:lineRule="auto"/>
        <w:jc w:val="both"/>
        <w:rPr>
          <w:rFonts w:ascii="Times New Roman" w:eastAsia="Calibri" w:hAnsi="Times New Roman" w:cs="Times New Roman"/>
          <w:sz w:val="24"/>
          <w:szCs w:val="24"/>
          <w:lang w:val="it-IT"/>
        </w:rPr>
      </w:pPr>
    </w:p>
    <w:p w:rsidR="002D586E" w:rsidRPr="002D586E" w:rsidRDefault="002D586E" w:rsidP="002D586E">
      <w:pPr>
        <w:spacing w:after="0" w:line="240" w:lineRule="auto"/>
        <w:jc w:val="both"/>
        <w:rPr>
          <w:rFonts w:ascii="Times New Roman" w:eastAsia="Calibri" w:hAnsi="Times New Roman" w:cs="Times New Roman"/>
          <w:b/>
          <w:sz w:val="24"/>
          <w:szCs w:val="24"/>
        </w:rPr>
      </w:pPr>
      <w:r w:rsidRPr="002D586E">
        <w:rPr>
          <w:rFonts w:ascii="Times New Roman" w:eastAsia="Calibri" w:hAnsi="Times New Roman" w:cs="Times New Roman"/>
          <w:sz w:val="24"/>
          <w:szCs w:val="24"/>
          <w:lang w:val="it-IT"/>
        </w:rPr>
        <w:t>Krizomela e plepit (</w:t>
      </w:r>
      <w:r w:rsidRPr="002D586E">
        <w:rPr>
          <w:rFonts w:ascii="Times New Roman" w:eastAsia="Calibri" w:hAnsi="Times New Roman" w:cs="Times New Roman"/>
          <w:i/>
          <w:sz w:val="24"/>
          <w:szCs w:val="24"/>
          <w:lang w:val="it-IT"/>
        </w:rPr>
        <w:t>Melasoma populic</w:t>
      </w:r>
      <w:r w:rsidRPr="002D586E">
        <w:rPr>
          <w:rFonts w:ascii="Times New Roman" w:eastAsia="Calibri" w:hAnsi="Times New Roman" w:cs="Times New Roman"/>
          <w:sz w:val="24"/>
          <w:szCs w:val="24"/>
          <w:lang w:val="it-IT"/>
        </w:rPr>
        <w:t>), në bashkitë; Berat, Vlorë, Fier.</w:t>
      </w:r>
      <w:r w:rsidRPr="002D586E">
        <w:rPr>
          <w:rFonts w:ascii="Times New Roman" w:eastAsia="Calibri" w:hAnsi="Times New Roman" w:cs="Times New Roman"/>
          <w:sz w:val="24"/>
          <w:szCs w:val="24"/>
          <w:lang w:val="sq-AL"/>
        </w:rPr>
        <w:t xml:space="preserve"> Kolonjë.</w:t>
      </w:r>
    </w:p>
    <w:p w:rsidR="002D586E" w:rsidRPr="002D586E" w:rsidRDefault="002D586E" w:rsidP="002D586E">
      <w:pPr>
        <w:spacing w:after="0" w:line="240" w:lineRule="auto"/>
        <w:jc w:val="both"/>
        <w:rPr>
          <w:rFonts w:ascii="Times New Roman" w:eastAsia="Calibri" w:hAnsi="Times New Roman" w:cs="Times New Roman"/>
          <w:sz w:val="24"/>
          <w:szCs w:val="24"/>
        </w:rPr>
      </w:pPr>
      <w:r w:rsidRPr="002D586E">
        <w:rPr>
          <w:rFonts w:ascii="Times New Roman" w:eastAsia="Calibri" w:hAnsi="Times New Roman" w:cs="Times New Roman"/>
          <w:sz w:val="24"/>
          <w:szCs w:val="24"/>
        </w:rPr>
        <w:t>Saperda e plepit (</w:t>
      </w:r>
      <w:r w:rsidRPr="002D586E">
        <w:rPr>
          <w:rFonts w:ascii="Times New Roman" w:eastAsia="Calibri" w:hAnsi="Times New Roman" w:cs="Times New Roman"/>
          <w:i/>
          <w:sz w:val="24"/>
          <w:szCs w:val="24"/>
        </w:rPr>
        <w:t>Saperda charcharis</w:t>
      </w:r>
      <w:r w:rsidRPr="002D586E">
        <w:rPr>
          <w:rFonts w:ascii="Times New Roman" w:eastAsia="Calibri" w:hAnsi="Times New Roman" w:cs="Times New Roman"/>
          <w:sz w:val="24"/>
          <w:szCs w:val="24"/>
        </w:rPr>
        <w:t>-L), në bashkitë; Fier, Kuçovë.</w:t>
      </w:r>
    </w:p>
    <w:p w:rsidR="002D586E" w:rsidRPr="002D586E" w:rsidRDefault="002D586E" w:rsidP="002D586E">
      <w:pPr>
        <w:spacing w:after="0" w:line="240" w:lineRule="auto"/>
        <w:jc w:val="both"/>
        <w:rPr>
          <w:rFonts w:ascii="Times New Roman" w:eastAsia="Calibri" w:hAnsi="Times New Roman" w:cs="Times New Roman"/>
          <w:sz w:val="24"/>
          <w:szCs w:val="24"/>
        </w:rPr>
      </w:pPr>
      <w:r w:rsidRPr="002D586E">
        <w:rPr>
          <w:rFonts w:ascii="Times New Roman" w:eastAsia="Calibri" w:hAnsi="Times New Roman" w:cs="Times New Roman"/>
          <w:sz w:val="24"/>
          <w:szCs w:val="24"/>
        </w:rPr>
        <w:t>Pleshti i dafinës (</w:t>
      </w:r>
      <w:r w:rsidRPr="002D586E">
        <w:rPr>
          <w:rFonts w:ascii="Times New Roman" w:eastAsia="Calibri" w:hAnsi="Times New Roman" w:cs="Times New Roman"/>
          <w:i/>
          <w:sz w:val="24"/>
          <w:szCs w:val="24"/>
        </w:rPr>
        <w:t>Trioza alacris</w:t>
      </w:r>
      <w:r w:rsidRPr="002D586E">
        <w:rPr>
          <w:rFonts w:ascii="Times New Roman" w:eastAsia="Calibri" w:hAnsi="Times New Roman" w:cs="Times New Roman"/>
          <w:sz w:val="24"/>
          <w:szCs w:val="24"/>
        </w:rPr>
        <w:t xml:space="preserve">); Tiranë, etj. </w:t>
      </w:r>
    </w:p>
    <w:p w:rsidR="002D586E" w:rsidRPr="002D586E" w:rsidRDefault="002D586E" w:rsidP="002D586E">
      <w:pPr>
        <w:spacing w:after="0" w:line="240" w:lineRule="auto"/>
        <w:jc w:val="both"/>
        <w:rPr>
          <w:rFonts w:ascii="Times New Roman" w:eastAsia="Calibri" w:hAnsi="Times New Roman" w:cs="Times New Roman"/>
          <w:sz w:val="24"/>
          <w:szCs w:val="24"/>
        </w:rPr>
      </w:pPr>
      <w:r w:rsidRPr="002D586E">
        <w:rPr>
          <w:rFonts w:ascii="Times New Roman" w:eastAsia="Calibri" w:hAnsi="Times New Roman" w:cs="Times New Roman"/>
          <w:sz w:val="24"/>
          <w:szCs w:val="24"/>
        </w:rPr>
        <w:t>Krizomela e vidhit (</w:t>
      </w:r>
      <w:r w:rsidRPr="002D586E">
        <w:rPr>
          <w:rFonts w:ascii="Times New Roman" w:eastAsia="Calibri" w:hAnsi="Times New Roman" w:cs="Times New Roman"/>
          <w:i/>
          <w:sz w:val="24"/>
          <w:szCs w:val="24"/>
        </w:rPr>
        <w:t>Xyphantria cunea</w:t>
      </w:r>
      <w:r w:rsidRPr="002D586E">
        <w:rPr>
          <w:rFonts w:ascii="Times New Roman" w:eastAsia="Calibri" w:hAnsi="Times New Roman" w:cs="Times New Roman"/>
          <w:sz w:val="24"/>
          <w:szCs w:val="24"/>
        </w:rPr>
        <w:t>); në shkallë vendi ku takohet ky lloj.</w:t>
      </w:r>
    </w:p>
    <w:p w:rsidR="002D586E" w:rsidRPr="002D586E" w:rsidRDefault="002D586E" w:rsidP="002D586E">
      <w:pPr>
        <w:spacing w:after="0" w:line="240" w:lineRule="auto"/>
        <w:jc w:val="both"/>
        <w:rPr>
          <w:rFonts w:ascii="Times New Roman" w:eastAsia="Calibri" w:hAnsi="Times New Roman" w:cs="Times New Roman"/>
          <w:sz w:val="24"/>
          <w:szCs w:val="24"/>
          <w:lang w:val="fi-FI"/>
        </w:rPr>
      </w:pPr>
      <w:r w:rsidRPr="002D586E">
        <w:rPr>
          <w:rFonts w:ascii="Times New Roman" w:eastAsia="Calibri" w:hAnsi="Times New Roman" w:cs="Times New Roman"/>
          <w:sz w:val="24"/>
          <w:szCs w:val="24"/>
        </w:rPr>
        <w:t>Minuesja e gjetheve të rrapit (</w:t>
      </w:r>
      <w:r w:rsidRPr="002D586E">
        <w:rPr>
          <w:rFonts w:ascii="Times New Roman" w:eastAsia="Calibri" w:hAnsi="Times New Roman" w:cs="Times New Roman"/>
          <w:i/>
          <w:sz w:val="24"/>
          <w:szCs w:val="24"/>
        </w:rPr>
        <w:t>Lithocollettis platania</w:t>
      </w:r>
      <w:r w:rsidRPr="002D586E">
        <w:rPr>
          <w:rFonts w:ascii="Times New Roman" w:eastAsia="Calibri" w:hAnsi="Times New Roman" w:cs="Times New Roman"/>
          <w:sz w:val="24"/>
          <w:szCs w:val="24"/>
        </w:rPr>
        <w:t xml:space="preserve">. </w:t>
      </w:r>
      <w:r w:rsidRPr="002D586E">
        <w:rPr>
          <w:rFonts w:ascii="Times New Roman" w:eastAsia="Calibri" w:hAnsi="Times New Roman" w:cs="Times New Roman"/>
          <w:sz w:val="24"/>
          <w:szCs w:val="24"/>
          <w:lang w:val="fi-FI"/>
        </w:rPr>
        <w:t>Stainton), përgjatë lumenjve Drino dhe Vjosë.</w:t>
      </w:r>
    </w:p>
    <w:p w:rsidR="002D586E" w:rsidRPr="002D586E" w:rsidRDefault="002D586E" w:rsidP="002D586E">
      <w:pPr>
        <w:spacing w:after="0" w:line="240" w:lineRule="auto"/>
        <w:jc w:val="both"/>
        <w:rPr>
          <w:rFonts w:ascii="Times New Roman" w:eastAsia="Calibri" w:hAnsi="Times New Roman" w:cs="Times New Roman"/>
          <w:sz w:val="24"/>
          <w:szCs w:val="24"/>
          <w:lang w:val="sq-AL"/>
        </w:rPr>
      </w:pPr>
      <w:r w:rsidRPr="002D586E">
        <w:rPr>
          <w:rFonts w:ascii="Times New Roman" w:eastAsia="Calibri" w:hAnsi="Times New Roman" w:cs="Times New Roman"/>
          <w:sz w:val="24"/>
          <w:szCs w:val="24"/>
          <w:lang w:val="sq-AL"/>
        </w:rPr>
        <w:t>Turigjati i plepit (</w:t>
      </w:r>
      <w:r w:rsidRPr="002D586E">
        <w:rPr>
          <w:rFonts w:ascii="Times New Roman" w:eastAsia="Calibri" w:hAnsi="Times New Roman" w:cs="Times New Roman"/>
          <w:i/>
          <w:sz w:val="24"/>
          <w:szCs w:val="24"/>
          <w:lang w:val="sq-AL"/>
        </w:rPr>
        <w:t>Cryotorhynchus lapathi.</w:t>
      </w:r>
      <w:r w:rsidRPr="002D586E">
        <w:rPr>
          <w:rFonts w:ascii="Times New Roman" w:eastAsia="Calibri" w:hAnsi="Times New Roman" w:cs="Times New Roman"/>
          <w:sz w:val="24"/>
          <w:szCs w:val="24"/>
          <w:lang w:val="sq-AL"/>
        </w:rPr>
        <w:t xml:space="preserve"> L), Kolonjë.</w:t>
      </w:r>
    </w:p>
    <w:p w:rsidR="002D586E" w:rsidRPr="002D586E" w:rsidRDefault="002D586E" w:rsidP="002D586E">
      <w:pPr>
        <w:spacing w:after="0" w:line="240" w:lineRule="auto"/>
        <w:jc w:val="both"/>
        <w:rPr>
          <w:rFonts w:ascii="Times New Roman" w:eastAsia="Calibri" w:hAnsi="Times New Roman" w:cs="Times New Roman"/>
          <w:sz w:val="24"/>
          <w:szCs w:val="24"/>
          <w:lang w:val="sq-AL"/>
        </w:rPr>
      </w:pPr>
      <w:r w:rsidRPr="002D586E">
        <w:rPr>
          <w:rFonts w:ascii="Times New Roman" w:eastAsia="Calibri" w:hAnsi="Times New Roman" w:cs="Times New Roman"/>
          <w:sz w:val="24"/>
          <w:szCs w:val="24"/>
          <w:lang w:val="sq-AL"/>
        </w:rPr>
        <w:t>Grerëza e vogël e plepit (</w:t>
      </w:r>
      <w:r w:rsidRPr="002D586E">
        <w:rPr>
          <w:rFonts w:ascii="Times New Roman" w:eastAsia="Calibri" w:hAnsi="Times New Roman" w:cs="Times New Roman"/>
          <w:i/>
          <w:sz w:val="24"/>
          <w:szCs w:val="24"/>
          <w:lang w:val="sq-AL"/>
        </w:rPr>
        <w:t>Paranthrene tabaniformis</w:t>
      </w:r>
      <w:r w:rsidRPr="002D586E">
        <w:rPr>
          <w:rFonts w:ascii="Times New Roman" w:eastAsia="Calibri" w:hAnsi="Times New Roman" w:cs="Times New Roman"/>
          <w:sz w:val="24"/>
          <w:szCs w:val="24"/>
          <w:lang w:val="sq-AL"/>
        </w:rPr>
        <w:t xml:space="preserve"> Rott), Kolonjë, Fier.</w:t>
      </w:r>
    </w:p>
    <w:p w:rsidR="002D586E" w:rsidRPr="002D586E" w:rsidRDefault="002D586E" w:rsidP="002D586E">
      <w:pPr>
        <w:spacing w:after="0" w:line="240" w:lineRule="auto"/>
        <w:jc w:val="both"/>
        <w:rPr>
          <w:rFonts w:ascii="Times New Roman" w:eastAsia="Calibri" w:hAnsi="Times New Roman" w:cs="Times New Roman"/>
          <w:sz w:val="24"/>
          <w:szCs w:val="24"/>
          <w:lang w:val="sq-AL"/>
        </w:rPr>
      </w:pPr>
      <w:r w:rsidRPr="002D586E">
        <w:rPr>
          <w:rFonts w:ascii="Times New Roman" w:eastAsia="Calibri" w:hAnsi="Times New Roman" w:cs="Times New Roman"/>
          <w:sz w:val="24"/>
          <w:szCs w:val="24"/>
          <w:lang w:val="sq-AL"/>
        </w:rPr>
        <w:t>Vemja e bushit e cila ka sjelle fenomenin e therjes masive te këtij lloji.</w:t>
      </w:r>
    </w:p>
    <w:p w:rsidR="002D586E" w:rsidRDefault="002D586E" w:rsidP="002D586E">
      <w:pPr>
        <w:spacing w:after="0" w:line="240" w:lineRule="auto"/>
        <w:jc w:val="both"/>
        <w:rPr>
          <w:rFonts w:ascii="Times New Roman" w:eastAsia="Calibri" w:hAnsi="Times New Roman" w:cs="Times New Roman"/>
          <w:sz w:val="24"/>
          <w:szCs w:val="24"/>
          <w:lang w:val="sq-AL"/>
        </w:rPr>
      </w:pPr>
      <w:r w:rsidRPr="002D586E">
        <w:rPr>
          <w:rFonts w:ascii="Times New Roman" w:eastAsia="Calibri" w:hAnsi="Times New Roman" w:cs="Times New Roman"/>
          <w:sz w:val="24"/>
          <w:szCs w:val="24"/>
          <w:lang w:val="sq-AL"/>
        </w:rPr>
        <w:t>Problemi i tharjes së llojit Hormoq në ekonominë pyjore “Lugina e Valbonës”, ku kostatuan tharje të llojit brënda sipërfa</w:t>
      </w:r>
      <w:r w:rsidR="005617F3">
        <w:rPr>
          <w:rFonts w:ascii="Times New Roman" w:eastAsia="Calibri" w:hAnsi="Times New Roman" w:cs="Times New Roman"/>
          <w:sz w:val="24"/>
          <w:szCs w:val="24"/>
          <w:lang w:val="sq-AL"/>
        </w:rPr>
        <w:t>qe</w:t>
      </w:r>
      <w:r w:rsidRPr="002D586E">
        <w:rPr>
          <w:rFonts w:ascii="Times New Roman" w:eastAsia="Calibri" w:hAnsi="Times New Roman" w:cs="Times New Roman"/>
          <w:sz w:val="24"/>
          <w:szCs w:val="24"/>
          <w:lang w:val="sq-AL"/>
        </w:rPr>
        <w:t>s së monitorimit (tharja e disa drurëve).</w:t>
      </w:r>
    </w:p>
    <w:p w:rsidR="000E35BA" w:rsidRDefault="000E35BA" w:rsidP="002D586E">
      <w:pPr>
        <w:jc w:val="both"/>
        <w:rPr>
          <w:rFonts w:ascii="Times New Roman" w:eastAsia="Calibri" w:hAnsi="Times New Roman" w:cs="Times New Roman"/>
          <w:b/>
          <w:sz w:val="24"/>
          <w:szCs w:val="24"/>
        </w:rPr>
      </w:pPr>
    </w:p>
    <w:p w:rsidR="000E35BA" w:rsidRDefault="002D586E" w:rsidP="002D586E">
      <w:pPr>
        <w:jc w:val="both"/>
        <w:rPr>
          <w:rFonts w:ascii="Times New Roman" w:eastAsia="Calibri" w:hAnsi="Times New Roman" w:cs="Times New Roman"/>
          <w:b/>
          <w:sz w:val="24"/>
          <w:szCs w:val="24"/>
        </w:rPr>
      </w:pPr>
      <w:r>
        <w:rPr>
          <w:rFonts w:ascii="Times New Roman" w:eastAsia="Calibri" w:hAnsi="Times New Roman" w:cs="Times New Roman"/>
          <w:b/>
          <w:sz w:val="24"/>
          <w:szCs w:val="24"/>
        </w:rPr>
        <w:t>-</w:t>
      </w:r>
      <w:r w:rsidRPr="002D586E">
        <w:rPr>
          <w:rFonts w:ascii="Times New Roman" w:eastAsia="Calibri" w:hAnsi="Times New Roman" w:cs="Times New Roman"/>
          <w:b/>
          <w:sz w:val="24"/>
          <w:szCs w:val="24"/>
        </w:rPr>
        <w:t>Sëm</w:t>
      </w:r>
      <w:r w:rsidR="000E35BA">
        <w:rPr>
          <w:rFonts w:ascii="Times New Roman" w:eastAsia="Calibri" w:hAnsi="Times New Roman" w:cs="Times New Roman"/>
          <w:b/>
          <w:sz w:val="24"/>
          <w:szCs w:val="24"/>
        </w:rPr>
        <w:t xml:space="preserve">undjet </w:t>
      </w:r>
      <w:r w:rsidR="000E35BA" w:rsidRPr="002D586E">
        <w:rPr>
          <w:rFonts w:ascii="Times New Roman" w:eastAsia="Calibri" w:hAnsi="Times New Roman" w:cs="Times New Roman"/>
          <w:b/>
          <w:sz w:val="24"/>
          <w:szCs w:val="24"/>
        </w:rPr>
        <w:t>kryesore</w:t>
      </w:r>
    </w:p>
    <w:p w:rsidR="002D586E" w:rsidRPr="002D586E" w:rsidRDefault="002D586E" w:rsidP="002D586E">
      <w:pPr>
        <w:keepNext/>
        <w:keepLines/>
        <w:spacing w:after="0" w:line="240" w:lineRule="auto"/>
        <w:jc w:val="both"/>
        <w:outlineLvl w:val="0"/>
        <w:rPr>
          <w:rFonts w:ascii="Times New Roman" w:eastAsia="Times New Roman" w:hAnsi="Times New Roman" w:cs="Times New Roman"/>
          <w:b/>
          <w:bCs/>
          <w:sz w:val="24"/>
          <w:szCs w:val="16"/>
          <w:lang w:val="sq-AL"/>
        </w:rPr>
      </w:pPr>
      <w:r w:rsidRPr="002D586E">
        <w:rPr>
          <w:rFonts w:ascii="Times New Roman" w:eastAsia="Times New Roman" w:hAnsi="Times New Roman" w:cs="Times New Roman"/>
          <w:b/>
          <w:bCs/>
          <w:sz w:val="24"/>
          <w:szCs w:val="16"/>
          <w:lang w:val="sq-AL"/>
        </w:rPr>
        <w:t>Sëmundjet më problematikë për gjininë Pishë, (</w:t>
      </w:r>
      <w:r w:rsidRPr="002D586E">
        <w:rPr>
          <w:rFonts w:ascii="Times New Roman" w:eastAsia="Times New Roman" w:hAnsi="Times New Roman" w:cs="Times New Roman"/>
          <w:b/>
          <w:bCs/>
          <w:i/>
          <w:sz w:val="24"/>
          <w:szCs w:val="16"/>
          <w:lang w:val="sq-AL"/>
        </w:rPr>
        <w:t>Pinus spp</w:t>
      </w:r>
      <w:r w:rsidRPr="002D586E">
        <w:rPr>
          <w:rFonts w:ascii="Times New Roman" w:eastAsia="Times New Roman" w:hAnsi="Times New Roman" w:cs="Times New Roman"/>
          <w:b/>
          <w:bCs/>
          <w:sz w:val="24"/>
          <w:szCs w:val="16"/>
          <w:lang w:val="sq-AL"/>
        </w:rPr>
        <w:t>.).</w:t>
      </w:r>
    </w:p>
    <w:p w:rsidR="002D586E" w:rsidRPr="002D586E" w:rsidRDefault="002D586E" w:rsidP="002D586E">
      <w:pPr>
        <w:spacing w:after="0" w:line="240" w:lineRule="auto"/>
        <w:jc w:val="both"/>
        <w:rPr>
          <w:rFonts w:ascii="Times New Roman" w:eastAsia="Calibri" w:hAnsi="Times New Roman" w:cs="Times New Roman"/>
          <w:sz w:val="24"/>
          <w:szCs w:val="24"/>
          <w:lang w:val="sq-AL"/>
        </w:rPr>
      </w:pPr>
      <w:r w:rsidRPr="002D586E">
        <w:rPr>
          <w:rFonts w:ascii="Times New Roman" w:eastAsia="Calibri" w:hAnsi="Times New Roman" w:cs="Times New Roman"/>
          <w:sz w:val="24"/>
          <w:szCs w:val="24"/>
          <w:lang w:val="sq-AL"/>
        </w:rPr>
        <w:t>Shyta e zakonshme (</w:t>
      </w:r>
      <w:r w:rsidRPr="002D586E">
        <w:rPr>
          <w:rFonts w:ascii="Times New Roman" w:eastAsia="Calibri" w:hAnsi="Times New Roman" w:cs="Times New Roman"/>
          <w:i/>
          <w:sz w:val="24"/>
          <w:szCs w:val="24"/>
          <w:lang w:val="sq-AL"/>
        </w:rPr>
        <w:t>Lophodermium pinastri</w:t>
      </w:r>
      <w:r w:rsidRPr="002D586E">
        <w:rPr>
          <w:rFonts w:ascii="Times New Roman" w:eastAsia="Calibri" w:hAnsi="Times New Roman" w:cs="Times New Roman"/>
          <w:sz w:val="24"/>
          <w:szCs w:val="24"/>
          <w:lang w:val="sq-AL"/>
        </w:rPr>
        <w:t xml:space="preserve">), në bashkitë, Pukë, Kukës, Gramsh, Pogradec, Kolonjë, Dibër, Korçë. </w:t>
      </w:r>
    </w:p>
    <w:p w:rsidR="002D586E" w:rsidRPr="002D586E" w:rsidRDefault="002D586E" w:rsidP="002D586E">
      <w:pPr>
        <w:spacing w:after="0" w:line="240" w:lineRule="auto"/>
        <w:jc w:val="both"/>
        <w:rPr>
          <w:rFonts w:ascii="Times New Roman" w:eastAsia="Calibri" w:hAnsi="Times New Roman" w:cs="Times New Roman"/>
          <w:sz w:val="24"/>
          <w:szCs w:val="24"/>
        </w:rPr>
      </w:pPr>
      <w:r w:rsidRPr="002D586E">
        <w:rPr>
          <w:rFonts w:ascii="Times New Roman" w:eastAsia="Calibri" w:hAnsi="Times New Roman" w:cs="Times New Roman"/>
          <w:sz w:val="24"/>
          <w:szCs w:val="24"/>
        </w:rPr>
        <w:t>Ndryshku i halave (</w:t>
      </w:r>
      <w:r w:rsidRPr="002D586E">
        <w:rPr>
          <w:rFonts w:ascii="Times New Roman" w:eastAsia="Calibri" w:hAnsi="Times New Roman" w:cs="Times New Roman"/>
          <w:i/>
          <w:sz w:val="24"/>
          <w:szCs w:val="24"/>
        </w:rPr>
        <w:t>Cronartium ribicola</w:t>
      </w:r>
      <w:r w:rsidRPr="002D586E">
        <w:rPr>
          <w:rFonts w:ascii="Times New Roman" w:eastAsia="Calibri" w:hAnsi="Times New Roman" w:cs="Times New Roman"/>
          <w:sz w:val="24"/>
          <w:szCs w:val="24"/>
        </w:rPr>
        <w:t xml:space="preserve"> Fisch); i përhapur në të gjithë territorin e vendit. </w:t>
      </w:r>
    </w:p>
    <w:p w:rsidR="002D586E" w:rsidRPr="002D586E" w:rsidRDefault="000A6658" w:rsidP="002D586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Ç</w:t>
      </w:r>
      <w:r w:rsidR="002D586E" w:rsidRPr="002D586E">
        <w:rPr>
          <w:rFonts w:ascii="Times New Roman" w:eastAsia="Calibri" w:hAnsi="Times New Roman" w:cs="Times New Roman"/>
          <w:sz w:val="24"/>
          <w:szCs w:val="24"/>
        </w:rPr>
        <w:t>ngjyrosja e halave (</w:t>
      </w:r>
      <w:r w:rsidR="002D586E" w:rsidRPr="002D586E">
        <w:rPr>
          <w:rFonts w:ascii="Times New Roman" w:eastAsia="Calibri" w:hAnsi="Times New Roman" w:cs="Times New Roman"/>
          <w:i/>
          <w:sz w:val="24"/>
          <w:szCs w:val="24"/>
        </w:rPr>
        <w:t>Diplodia mutila</w:t>
      </w:r>
      <w:r w:rsidR="002D586E" w:rsidRPr="002D586E">
        <w:rPr>
          <w:rFonts w:ascii="Times New Roman" w:eastAsia="Calibri" w:hAnsi="Times New Roman" w:cs="Times New Roman"/>
          <w:sz w:val="24"/>
          <w:szCs w:val="24"/>
        </w:rPr>
        <w:t>); në shkallë vendi, më e theksuar është në objektet e pyllëzuara.</w:t>
      </w:r>
    </w:p>
    <w:p w:rsidR="002D586E" w:rsidRDefault="002D586E" w:rsidP="002D586E">
      <w:pPr>
        <w:spacing w:after="0" w:line="240" w:lineRule="auto"/>
        <w:jc w:val="both"/>
        <w:rPr>
          <w:rFonts w:ascii="Times New Roman" w:eastAsia="Calibri" w:hAnsi="Times New Roman" w:cs="Times New Roman"/>
          <w:b/>
          <w:sz w:val="24"/>
          <w:szCs w:val="24"/>
        </w:rPr>
      </w:pPr>
      <w:r w:rsidRPr="002D586E">
        <w:rPr>
          <w:rFonts w:ascii="Times New Roman" w:eastAsia="Calibri" w:hAnsi="Times New Roman" w:cs="Times New Roman"/>
          <w:b/>
          <w:sz w:val="24"/>
          <w:szCs w:val="24"/>
        </w:rPr>
        <w:t>Bredh (</w:t>
      </w:r>
      <w:r w:rsidRPr="002D586E">
        <w:rPr>
          <w:rFonts w:ascii="Times New Roman" w:eastAsia="Calibri" w:hAnsi="Times New Roman" w:cs="Times New Roman"/>
          <w:b/>
          <w:i/>
          <w:sz w:val="24"/>
          <w:szCs w:val="24"/>
        </w:rPr>
        <w:t>Abies</w:t>
      </w:r>
      <w:r w:rsidRPr="002D586E">
        <w:rPr>
          <w:rFonts w:ascii="Times New Roman" w:eastAsia="Calibri" w:hAnsi="Times New Roman" w:cs="Times New Roman"/>
          <w:b/>
          <w:sz w:val="24"/>
          <w:szCs w:val="24"/>
        </w:rPr>
        <w:t>)</w:t>
      </w:r>
    </w:p>
    <w:p w:rsidR="002D586E" w:rsidRPr="002D586E" w:rsidRDefault="002D586E" w:rsidP="002D586E">
      <w:pPr>
        <w:spacing w:after="0" w:line="240" w:lineRule="auto"/>
        <w:jc w:val="both"/>
        <w:rPr>
          <w:rFonts w:ascii="Times New Roman" w:eastAsia="Calibri" w:hAnsi="Times New Roman" w:cs="Times New Roman"/>
          <w:sz w:val="24"/>
          <w:szCs w:val="24"/>
        </w:rPr>
      </w:pPr>
      <w:r w:rsidRPr="002D586E">
        <w:rPr>
          <w:rFonts w:ascii="Times New Roman" w:eastAsia="Calibri" w:hAnsi="Times New Roman" w:cs="Times New Roman"/>
          <w:sz w:val="24"/>
          <w:szCs w:val="24"/>
        </w:rPr>
        <w:t>Rrëzimi i halave të bredhit (</w:t>
      </w:r>
      <w:r w:rsidRPr="002D586E">
        <w:rPr>
          <w:rFonts w:ascii="Times New Roman" w:eastAsia="Calibri" w:hAnsi="Times New Roman" w:cs="Times New Roman"/>
          <w:i/>
          <w:sz w:val="24"/>
          <w:szCs w:val="24"/>
        </w:rPr>
        <w:t>Lophodermium nervisequm</w:t>
      </w:r>
      <w:r w:rsidRPr="002D586E">
        <w:rPr>
          <w:rFonts w:ascii="Times New Roman" w:eastAsia="Calibri" w:hAnsi="Times New Roman" w:cs="Times New Roman"/>
          <w:sz w:val="24"/>
          <w:szCs w:val="24"/>
        </w:rPr>
        <w:t xml:space="preserve"> D.C), në bashkitë; Tropojë, Vlorë, Kolonjë, Përmet etj.</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Nxirja e halave (</w:t>
      </w:r>
      <w:r w:rsidRPr="002D586E">
        <w:rPr>
          <w:rFonts w:ascii="Times New Roman" w:eastAsia="Calibri" w:hAnsi="Times New Roman" w:cs="Times New Roman"/>
          <w:i/>
          <w:sz w:val="24"/>
          <w:szCs w:val="24"/>
          <w:lang w:val="it-IT"/>
        </w:rPr>
        <w:t>Trichesphaeria parasitica</w:t>
      </w:r>
      <w:r w:rsidRPr="002D586E">
        <w:rPr>
          <w:rFonts w:ascii="Times New Roman" w:eastAsia="Calibri" w:hAnsi="Times New Roman" w:cs="Times New Roman"/>
          <w:sz w:val="24"/>
          <w:szCs w:val="24"/>
          <w:lang w:val="it-IT"/>
        </w:rPr>
        <w:t xml:space="preserve"> Hartig),</w:t>
      </w:r>
      <w:r w:rsidRPr="002D586E">
        <w:rPr>
          <w:rFonts w:ascii="Times New Roman" w:eastAsia="Calibri" w:hAnsi="Times New Roman" w:cs="Times New Roman"/>
          <w:sz w:val="24"/>
          <w:szCs w:val="24"/>
        </w:rPr>
        <w:t xml:space="preserve"> në bashkitë:</w:t>
      </w:r>
      <w:r w:rsidRPr="002D586E">
        <w:rPr>
          <w:rFonts w:ascii="Times New Roman" w:eastAsia="Calibri" w:hAnsi="Times New Roman" w:cs="Times New Roman"/>
          <w:sz w:val="24"/>
          <w:szCs w:val="24"/>
          <w:lang w:val="it-IT"/>
        </w:rPr>
        <w:t xml:space="preserve"> Tropojë, Pukë Korçë. </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Ndryshku kërpudhor i halave (</w:t>
      </w:r>
      <w:r w:rsidRPr="002D586E">
        <w:rPr>
          <w:rFonts w:ascii="Times New Roman" w:eastAsia="Calibri" w:hAnsi="Times New Roman" w:cs="Times New Roman"/>
          <w:i/>
          <w:sz w:val="24"/>
          <w:szCs w:val="24"/>
          <w:lang w:val="it-IT"/>
        </w:rPr>
        <w:t>Hrysomyta rhedendria</w:t>
      </w:r>
      <w:r w:rsidRPr="002D586E">
        <w:rPr>
          <w:rFonts w:ascii="Times New Roman" w:eastAsia="Calibri" w:hAnsi="Times New Roman" w:cs="Times New Roman"/>
          <w:sz w:val="24"/>
          <w:szCs w:val="24"/>
          <w:lang w:val="it-IT"/>
        </w:rPr>
        <w:t>), i përhapur në të gjithë vendin.</w:t>
      </w:r>
    </w:p>
    <w:p w:rsidR="002D586E" w:rsidRPr="002D586E" w:rsidRDefault="002D586E" w:rsidP="002D586E">
      <w:pPr>
        <w:spacing w:after="0" w:line="240" w:lineRule="auto"/>
        <w:jc w:val="both"/>
        <w:rPr>
          <w:rFonts w:ascii="Times New Roman" w:eastAsia="Calibri" w:hAnsi="Times New Roman" w:cs="Times New Roman"/>
          <w:b/>
          <w:sz w:val="24"/>
          <w:szCs w:val="24"/>
          <w:lang w:val="it-IT"/>
        </w:rPr>
      </w:pPr>
      <w:r w:rsidRPr="002D586E">
        <w:rPr>
          <w:rFonts w:ascii="Times New Roman" w:eastAsia="Calibri" w:hAnsi="Times New Roman" w:cs="Times New Roman"/>
          <w:sz w:val="24"/>
          <w:szCs w:val="24"/>
          <w:lang w:val="it-IT"/>
        </w:rPr>
        <w:t>S</w:t>
      </w:r>
      <w:r w:rsidRPr="002D586E">
        <w:rPr>
          <w:rFonts w:ascii="Times New Roman" w:eastAsia="Calibri" w:hAnsi="Times New Roman" w:cs="Times New Roman"/>
          <w:b/>
          <w:sz w:val="24"/>
          <w:szCs w:val="24"/>
          <w:lang w:val="it-IT"/>
        </w:rPr>
        <w:t>elvi (</w:t>
      </w:r>
      <w:r w:rsidRPr="002D586E">
        <w:rPr>
          <w:rFonts w:ascii="Times New Roman" w:eastAsia="Calibri" w:hAnsi="Times New Roman" w:cs="Times New Roman"/>
          <w:b/>
          <w:i/>
          <w:sz w:val="24"/>
          <w:szCs w:val="24"/>
          <w:lang w:val="it-IT"/>
        </w:rPr>
        <w:t>Cuppressus</w:t>
      </w:r>
      <w:r w:rsidRPr="002D586E">
        <w:rPr>
          <w:rFonts w:ascii="Times New Roman" w:eastAsia="Calibri" w:hAnsi="Times New Roman" w:cs="Times New Roman"/>
          <w:b/>
          <w:sz w:val="24"/>
          <w:szCs w:val="24"/>
          <w:lang w:val="it-IT"/>
        </w:rPr>
        <w:t>)</w:t>
      </w:r>
    </w:p>
    <w:p w:rsidR="00FF4C1A" w:rsidRPr="00FF4C1A"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Kanceri i selvisë (</w:t>
      </w:r>
      <w:r w:rsidRPr="002D586E">
        <w:rPr>
          <w:rFonts w:ascii="Times New Roman" w:eastAsia="Calibri" w:hAnsi="Times New Roman" w:cs="Times New Roman"/>
          <w:i/>
          <w:sz w:val="24"/>
          <w:szCs w:val="24"/>
          <w:lang w:val="it-IT"/>
        </w:rPr>
        <w:t>Seiridium cardinale</w:t>
      </w:r>
      <w:r w:rsidRPr="002D586E">
        <w:rPr>
          <w:rFonts w:ascii="Times New Roman" w:eastAsia="Calibri" w:hAnsi="Times New Roman" w:cs="Times New Roman"/>
          <w:sz w:val="24"/>
          <w:szCs w:val="24"/>
          <w:lang w:val="it-IT"/>
        </w:rPr>
        <w:t xml:space="preserve">), </w:t>
      </w:r>
      <w:r w:rsidRPr="002D586E">
        <w:rPr>
          <w:rFonts w:ascii="Times New Roman" w:eastAsia="Calibri" w:hAnsi="Times New Roman" w:cs="Times New Roman"/>
          <w:sz w:val="24"/>
          <w:szCs w:val="24"/>
        </w:rPr>
        <w:t>në bashkitë:</w:t>
      </w:r>
      <w:r w:rsidRPr="002D586E">
        <w:rPr>
          <w:rFonts w:ascii="Times New Roman" w:eastAsia="Calibri" w:hAnsi="Times New Roman" w:cs="Times New Roman"/>
          <w:sz w:val="24"/>
          <w:szCs w:val="24"/>
          <w:lang w:val="it-IT"/>
        </w:rPr>
        <w:t xml:space="preserve"> Berat, Përmet, Vlorë.</w:t>
      </w:r>
    </w:p>
    <w:p w:rsidR="00FF4C1A" w:rsidRDefault="00FF4C1A" w:rsidP="002D586E">
      <w:pPr>
        <w:spacing w:after="0" w:line="240" w:lineRule="auto"/>
        <w:jc w:val="both"/>
        <w:rPr>
          <w:rFonts w:ascii="Times New Roman" w:eastAsia="Calibri" w:hAnsi="Times New Roman" w:cs="Times New Roman"/>
          <w:b/>
          <w:sz w:val="24"/>
          <w:szCs w:val="24"/>
          <w:lang w:val="it-IT"/>
        </w:rPr>
      </w:pPr>
    </w:p>
    <w:p w:rsidR="002D586E" w:rsidRPr="00FF4C1A"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b/>
          <w:sz w:val="24"/>
          <w:szCs w:val="24"/>
          <w:lang w:val="it-IT"/>
        </w:rPr>
        <w:t>Ah (</w:t>
      </w:r>
      <w:r w:rsidRPr="002D586E">
        <w:rPr>
          <w:rFonts w:ascii="Times New Roman" w:eastAsia="Calibri" w:hAnsi="Times New Roman" w:cs="Times New Roman"/>
          <w:b/>
          <w:i/>
          <w:sz w:val="24"/>
          <w:szCs w:val="24"/>
          <w:lang w:val="it-IT"/>
        </w:rPr>
        <w:t>Fagus sylvatica</w:t>
      </w:r>
      <w:r w:rsidRPr="002D586E">
        <w:rPr>
          <w:rFonts w:ascii="Times New Roman" w:eastAsia="Calibri" w:hAnsi="Times New Roman" w:cs="Times New Roman"/>
          <w:b/>
          <w:sz w:val="24"/>
          <w:szCs w:val="24"/>
          <w:lang w:val="it-IT"/>
        </w:rPr>
        <w:t>)</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Kanceri i ahut (</w:t>
      </w:r>
      <w:r w:rsidRPr="002D586E">
        <w:rPr>
          <w:rFonts w:ascii="Times New Roman" w:eastAsia="Calibri" w:hAnsi="Times New Roman" w:cs="Times New Roman"/>
          <w:i/>
          <w:sz w:val="24"/>
          <w:szCs w:val="24"/>
          <w:lang w:val="it-IT"/>
        </w:rPr>
        <w:t>Nectia ditt</w:t>
      </w:r>
      <w:r w:rsidRPr="002D586E">
        <w:rPr>
          <w:rFonts w:ascii="Times New Roman" w:eastAsia="Calibri" w:hAnsi="Times New Roman" w:cs="Times New Roman"/>
          <w:sz w:val="24"/>
          <w:szCs w:val="24"/>
          <w:lang w:val="it-IT"/>
        </w:rPr>
        <w:t xml:space="preserve">isima), në të gjitha ahishtet e moçme </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Vrugu i Ahut (</w:t>
      </w:r>
      <w:r w:rsidRPr="002D586E">
        <w:rPr>
          <w:rFonts w:ascii="Times New Roman" w:eastAsia="Calibri" w:hAnsi="Times New Roman" w:cs="Times New Roman"/>
          <w:i/>
          <w:sz w:val="24"/>
          <w:szCs w:val="24"/>
          <w:lang w:val="it-IT"/>
        </w:rPr>
        <w:t>Phytophthora fagi</w:t>
      </w:r>
      <w:r w:rsidRPr="002D586E">
        <w:rPr>
          <w:rFonts w:ascii="Times New Roman" w:eastAsia="Calibri" w:hAnsi="Times New Roman" w:cs="Times New Roman"/>
          <w:sz w:val="24"/>
          <w:szCs w:val="24"/>
          <w:lang w:val="it-IT"/>
        </w:rPr>
        <w:t xml:space="preserve">), </w:t>
      </w:r>
      <w:r w:rsidRPr="002D586E">
        <w:rPr>
          <w:rFonts w:ascii="Times New Roman" w:eastAsia="Calibri" w:hAnsi="Times New Roman" w:cs="Times New Roman"/>
          <w:sz w:val="24"/>
          <w:szCs w:val="24"/>
        </w:rPr>
        <w:t>në bashkitë</w:t>
      </w:r>
      <w:r w:rsidRPr="002D586E">
        <w:rPr>
          <w:rFonts w:ascii="Times New Roman" w:eastAsia="Calibri" w:hAnsi="Times New Roman" w:cs="Times New Roman"/>
          <w:sz w:val="24"/>
          <w:szCs w:val="24"/>
          <w:lang w:val="it-IT"/>
        </w:rPr>
        <w:t xml:space="preserve">: Shkodër, Kukës, Has. </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Kalbëzimi i ahut (</w:t>
      </w:r>
      <w:r w:rsidRPr="002D586E">
        <w:rPr>
          <w:rFonts w:ascii="Times New Roman" w:eastAsia="Calibri" w:hAnsi="Times New Roman" w:cs="Times New Roman"/>
          <w:i/>
          <w:sz w:val="24"/>
          <w:szCs w:val="24"/>
          <w:lang w:val="it-IT"/>
        </w:rPr>
        <w:t>Fome fomentarius</w:t>
      </w:r>
      <w:r w:rsidRPr="002D586E">
        <w:rPr>
          <w:rFonts w:ascii="Times New Roman" w:eastAsia="Calibri" w:hAnsi="Times New Roman" w:cs="Times New Roman"/>
          <w:sz w:val="24"/>
          <w:szCs w:val="24"/>
          <w:lang w:val="it-IT"/>
        </w:rPr>
        <w:t>), Librazhd, Has, Prrenjas (sipërfaqet e pa shfrytëzuara)</w:t>
      </w:r>
    </w:p>
    <w:p w:rsidR="002D586E" w:rsidRPr="002D586E" w:rsidRDefault="002D586E" w:rsidP="002D586E">
      <w:pPr>
        <w:spacing w:after="0" w:line="240" w:lineRule="auto"/>
        <w:jc w:val="both"/>
        <w:rPr>
          <w:rFonts w:ascii="Times New Roman" w:eastAsia="Calibri" w:hAnsi="Times New Roman" w:cs="Times New Roman"/>
          <w:b/>
          <w:sz w:val="24"/>
          <w:szCs w:val="24"/>
          <w:lang w:val="it-IT"/>
        </w:rPr>
      </w:pPr>
      <w:r w:rsidRPr="002D586E">
        <w:rPr>
          <w:rFonts w:ascii="Times New Roman" w:eastAsia="Calibri" w:hAnsi="Times New Roman" w:cs="Times New Roman"/>
          <w:b/>
          <w:sz w:val="24"/>
          <w:szCs w:val="24"/>
          <w:lang w:val="it-IT"/>
        </w:rPr>
        <w:t>Dushqeve (</w:t>
      </w:r>
      <w:r w:rsidRPr="002D586E">
        <w:rPr>
          <w:rFonts w:ascii="Times New Roman" w:eastAsia="Calibri" w:hAnsi="Times New Roman" w:cs="Times New Roman"/>
          <w:b/>
          <w:i/>
          <w:sz w:val="24"/>
          <w:szCs w:val="24"/>
          <w:lang w:val="it-IT"/>
        </w:rPr>
        <w:t>Quercus</w:t>
      </w:r>
      <w:r w:rsidRPr="002D586E">
        <w:rPr>
          <w:rFonts w:ascii="Times New Roman" w:eastAsia="Calibri" w:hAnsi="Times New Roman" w:cs="Times New Roman"/>
          <w:b/>
          <w:sz w:val="24"/>
          <w:szCs w:val="24"/>
          <w:lang w:val="it-IT"/>
        </w:rPr>
        <w:t>)</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Hiri i dushkut (</w:t>
      </w:r>
      <w:r w:rsidRPr="002D586E">
        <w:rPr>
          <w:rFonts w:ascii="Times New Roman" w:eastAsia="Calibri" w:hAnsi="Times New Roman" w:cs="Times New Roman"/>
          <w:i/>
          <w:sz w:val="24"/>
          <w:szCs w:val="24"/>
          <w:lang w:val="it-IT"/>
        </w:rPr>
        <w:t>Microsphaera alphitoides</w:t>
      </w:r>
      <w:r w:rsidRPr="002D586E">
        <w:rPr>
          <w:rFonts w:ascii="Times New Roman" w:eastAsia="Calibri" w:hAnsi="Times New Roman" w:cs="Times New Roman"/>
          <w:sz w:val="24"/>
          <w:szCs w:val="24"/>
          <w:lang w:val="it-IT"/>
        </w:rPr>
        <w:t>), në bashkitë; Kukës, Has, Shkodër, Mat, Mirditë, Klos, Librazhd, Maliq, Pustec, Kolonjë, Korçë etj.</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Kanceri i dushkut (</w:t>
      </w:r>
      <w:r w:rsidRPr="002D586E">
        <w:rPr>
          <w:rFonts w:ascii="Times New Roman" w:eastAsia="Calibri" w:hAnsi="Times New Roman" w:cs="Times New Roman"/>
          <w:i/>
          <w:sz w:val="24"/>
          <w:szCs w:val="24"/>
          <w:lang w:val="it-IT"/>
        </w:rPr>
        <w:t>Cryphonectria parasitica</w:t>
      </w:r>
      <w:r w:rsidRPr="002D586E">
        <w:rPr>
          <w:rFonts w:ascii="Times New Roman" w:eastAsia="Calibri" w:hAnsi="Times New Roman" w:cs="Times New Roman"/>
          <w:sz w:val="24"/>
          <w:szCs w:val="24"/>
          <w:lang w:val="it-IT"/>
        </w:rPr>
        <w:t xml:space="preserve">); në të gjitha dushkajat e trajtuara për dru zjarri në të gjithë territorin e vendit. </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lastRenderedPageBreak/>
        <w:t>Tharja e majave të lisit (</w:t>
      </w:r>
      <w:r w:rsidRPr="002D586E">
        <w:rPr>
          <w:rFonts w:ascii="Times New Roman" w:eastAsia="Calibri" w:hAnsi="Times New Roman" w:cs="Times New Roman"/>
          <w:i/>
          <w:sz w:val="24"/>
          <w:szCs w:val="24"/>
          <w:lang w:val="it-IT"/>
        </w:rPr>
        <w:t>Botryosphaera sterensi),</w:t>
      </w:r>
      <w:r w:rsidRPr="002D586E">
        <w:rPr>
          <w:rFonts w:ascii="Times New Roman" w:eastAsia="Calibri" w:hAnsi="Times New Roman" w:cs="Times New Roman"/>
          <w:sz w:val="24"/>
          <w:szCs w:val="24"/>
          <w:lang w:val="it-IT"/>
        </w:rPr>
        <w:t xml:space="preserve"> në bashkitë; Kukës, Kolonjë, Mirditë, Mat etj. </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Eshka e dushkut (</w:t>
      </w:r>
      <w:r w:rsidRPr="002D586E">
        <w:rPr>
          <w:rFonts w:ascii="Times New Roman" w:eastAsia="Calibri" w:hAnsi="Times New Roman" w:cs="Times New Roman"/>
          <w:i/>
          <w:sz w:val="24"/>
          <w:szCs w:val="24"/>
          <w:lang w:val="it-IT"/>
        </w:rPr>
        <w:t>Polyperus dryphilus</w:t>
      </w:r>
      <w:r w:rsidRPr="002D586E">
        <w:rPr>
          <w:rFonts w:ascii="Times New Roman" w:eastAsia="Calibri" w:hAnsi="Times New Roman" w:cs="Times New Roman"/>
          <w:sz w:val="24"/>
          <w:szCs w:val="24"/>
          <w:lang w:val="it-IT"/>
        </w:rPr>
        <w:t xml:space="preserve">); në dushkajat që kanë kaluar moshën e shfrytëzimit. </w:t>
      </w:r>
    </w:p>
    <w:p w:rsidR="002D586E" w:rsidRPr="002D586E" w:rsidRDefault="002D586E" w:rsidP="002D586E">
      <w:pPr>
        <w:spacing w:after="0" w:line="240" w:lineRule="auto"/>
        <w:jc w:val="both"/>
        <w:rPr>
          <w:rFonts w:ascii="Times New Roman" w:eastAsia="Calibri" w:hAnsi="Times New Roman" w:cs="Times New Roman"/>
          <w:sz w:val="24"/>
          <w:szCs w:val="24"/>
        </w:rPr>
      </w:pPr>
      <w:r w:rsidRPr="002D586E">
        <w:rPr>
          <w:rFonts w:ascii="Times New Roman" w:eastAsia="Calibri" w:hAnsi="Times New Roman" w:cs="Times New Roman"/>
          <w:sz w:val="24"/>
          <w:szCs w:val="24"/>
        </w:rPr>
        <w:t>Kalbëzimi i dushkut (</w:t>
      </w:r>
      <w:r w:rsidRPr="002D586E">
        <w:rPr>
          <w:rFonts w:ascii="Times New Roman" w:eastAsia="Calibri" w:hAnsi="Times New Roman" w:cs="Times New Roman"/>
          <w:i/>
          <w:sz w:val="24"/>
          <w:szCs w:val="24"/>
        </w:rPr>
        <w:t>Armillaria mellea</w:t>
      </w:r>
      <w:r w:rsidRPr="002D586E">
        <w:rPr>
          <w:rFonts w:ascii="Times New Roman" w:eastAsia="Calibri" w:hAnsi="Times New Roman" w:cs="Times New Roman"/>
          <w:sz w:val="24"/>
          <w:szCs w:val="24"/>
        </w:rPr>
        <w:t>), në bashkitë; Librazhd, Berat, Shkodër, Kukës etj.</w:t>
      </w:r>
    </w:p>
    <w:p w:rsidR="002D586E" w:rsidRPr="002D586E" w:rsidRDefault="002D586E" w:rsidP="002D586E">
      <w:pPr>
        <w:spacing w:after="0" w:line="240" w:lineRule="auto"/>
        <w:jc w:val="both"/>
        <w:rPr>
          <w:rFonts w:ascii="Times New Roman" w:eastAsia="Calibri" w:hAnsi="Times New Roman" w:cs="Times New Roman"/>
          <w:b/>
          <w:sz w:val="24"/>
          <w:szCs w:val="24"/>
        </w:rPr>
      </w:pPr>
      <w:r w:rsidRPr="002D586E">
        <w:rPr>
          <w:rFonts w:ascii="Times New Roman" w:eastAsia="Calibri" w:hAnsi="Times New Roman" w:cs="Times New Roman"/>
          <w:b/>
          <w:sz w:val="24"/>
          <w:szCs w:val="24"/>
        </w:rPr>
        <w:t>Gështenja (</w:t>
      </w:r>
      <w:r w:rsidRPr="002D586E">
        <w:rPr>
          <w:rFonts w:ascii="Times New Roman" w:eastAsia="Calibri" w:hAnsi="Times New Roman" w:cs="Times New Roman"/>
          <w:b/>
          <w:i/>
          <w:sz w:val="24"/>
          <w:szCs w:val="24"/>
        </w:rPr>
        <w:t>Castanetum</w:t>
      </w:r>
      <w:r w:rsidRPr="002D586E">
        <w:rPr>
          <w:rFonts w:ascii="Times New Roman" w:eastAsia="Calibri" w:hAnsi="Times New Roman" w:cs="Times New Roman"/>
          <w:b/>
          <w:sz w:val="24"/>
          <w:szCs w:val="24"/>
        </w:rPr>
        <w:t>)</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Kanceri i gështenjës (</w:t>
      </w:r>
      <w:r w:rsidRPr="002D586E">
        <w:rPr>
          <w:rFonts w:ascii="Times New Roman" w:eastAsia="Calibri" w:hAnsi="Times New Roman" w:cs="Times New Roman"/>
          <w:i/>
          <w:iCs/>
          <w:sz w:val="24"/>
          <w:szCs w:val="24"/>
          <w:lang w:val="it-IT"/>
        </w:rPr>
        <w:t>Cryphonectria parasitica</w:t>
      </w:r>
      <w:r w:rsidRPr="002D586E">
        <w:rPr>
          <w:rFonts w:ascii="Times New Roman" w:eastAsia="Calibri" w:hAnsi="Times New Roman" w:cs="Times New Roman"/>
          <w:sz w:val="24"/>
          <w:szCs w:val="24"/>
          <w:lang w:val="it-IT"/>
        </w:rPr>
        <w:t>), e përhapur në të gjithë territorin e vendit.</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Sëmundja e bojës (</w:t>
      </w:r>
      <w:r w:rsidRPr="002D586E">
        <w:rPr>
          <w:rFonts w:ascii="Times New Roman" w:eastAsia="Calibri" w:hAnsi="Times New Roman" w:cs="Times New Roman"/>
          <w:i/>
          <w:sz w:val="24"/>
          <w:szCs w:val="24"/>
          <w:lang w:val="it-IT"/>
        </w:rPr>
        <w:t>Phytoftora cambirora</w:t>
      </w:r>
      <w:r w:rsidRPr="002D586E">
        <w:rPr>
          <w:rFonts w:ascii="Times New Roman" w:eastAsia="Calibri" w:hAnsi="Times New Roman" w:cs="Times New Roman"/>
          <w:sz w:val="24"/>
          <w:szCs w:val="24"/>
          <w:lang w:val="it-IT"/>
        </w:rPr>
        <w:t>), e përhapur në të gjithë territorin e vendit.</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 xml:space="preserve">Ndryshku i gështenjës ( </w:t>
      </w:r>
      <w:r w:rsidRPr="002D586E">
        <w:rPr>
          <w:rFonts w:ascii="Times New Roman" w:eastAsia="Calibri" w:hAnsi="Times New Roman" w:cs="Times New Roman"/>
          <w:i/>
          <w:sz w:val="24"/>
          <w:szCs w:val="24"/>
          <w:lang w:val="it-IT"/>
        </w:rPr>
        <w:t>Mycosparella maculiformis</w:t>
      </w:r>
      <w:r w:rsidRPr="002D586E">
        <w:rPr>
          <w:rFonts w:ascii="Times New Roman" w:eastAsia="Calibri" w:hAnsi="Times New Roman" w:cs="Times New Roman"/>
          <w:sz w:val="24"/>
          <w:szCs w:val="24"/>
          <w:lang w:val="it-IT"/>
        </w:rPr>
        <w:t>). Këto sëmundje janë problematike</w:t>
      </w:r>
      <w:r w:rsidR="005617F3">
        <w:rPr>
          <w:rFonts w:ascii="Times New Roman" w:eastAsia="Calibri" w:hAnsi="Times New Roman" w:cs="Times New Roman"/>
          <w:sz w:val="24"/>
          <w:szCs w:val="24"/>
          <w:lang w:val="it-IT"/>
        </w:rPr>
        <w:t xml:space="preserve"> për të gjitha masivet me gështe</w:t>
      </w:r>
      <w:r w:rsidRPr="002D586E">
        <w:rPr>
          <w:rFonts w:ascii="Times New Roman" w:eastAsia="Calibri" w:hAnsi="Times New Roman" w:cs="Times New Roman"/>
          <w:sz w:val="24"/>
          <w:szCs w:val="24"/>
          <w:lang w:val="it-IT"/>
        </w:rPr>
        <w:t xml:space="preserve">një në vendin tonë. </w:t>
      </w:r>
    </w:p>
    <w:p w:rsidR="000E35BA" w:rsidRDefault="000E35BA" w:rsidP="002D586E">
      <w:pPr>
        <w:spacing w:after="0" w:line="240" w:lineRule="auto"/>
        <w:jc w:val="both"/>
        <w:rPr>
          <w:rFonts w:ascii="Times New Roman" w:eastAsia="Calibri" w:hAnsi="Times New Roman" w:cs="Times New Roman"/>
          <w:b/>
          <w:sz w:val="24"/>
          <w:szCs w:val="24"/>
          <w:lang w:val="it-IT"/>
        </w:rPr>
      </w:pPr>
    </w:p>
    <w:p w:rsidR="00FF4C1A" w:rsidRDefault="00FF4C1A" w:rsidP="00FF4C1A">
      <w:pPr>
        <w:spacing w:after="0" w:line="240" w:lineRule="auto"/>
        <w:jc w:val="both"/>
        <w:rPr>
          <w:rFonts w:ascii="Times New Roman" w:eastAsia="Calibri" w:hAnsi="Times New Roman" w:cs="Times New Roman"/>
          <w:b/>
          <w:sz w:val="24"/>
          <w:szCs w:val="24"/>
          <w:lang w:val="it-IT"/>
        </w:rPr>
      </w:pPr>
      <w:r w:rsidRPr="002D586E">
        <w:rPr>
          <w:rFonts w:ascii="Times New Roman" w:eastAsia="Calibri" w:hAnsi="Times New Roman" w:cs="Times New Roman"/>
          <w:b/>
          <w:sz w:val="24"/>
          <w:szCs w:val="24"/>
          <w:lang w:val="it-IT"/>
        </w:rPr>
        <w:t>Për fletorë të tjerë</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Tharja e llojit bush, thuajse në të gjithë arealin e përhapjes në shkallë vendi.</w:t>
      </w:r>
    </w:p>
    <w:p w:rsidR="002D586E" w:rsidRPr="002D586E" w:rsidRDefault="002D586E" w:rsidP="002D586E">
      <w:pPr>
        <w:spacing w:after="0" w:line="240" w:lineRule="auto"/>
        <w:jc w:val="both"/>
        <w:rPr>
          <w:rFonts w:ascii="Times New Roman" w:eastAsia="Calibri" w:hAnsi="Times New Roman" w:cs="Times New Roman"/>
          <w:i/>
          <w:iCs/>
          <w:sz w:val="24"/>
          <w:szCs w:val="24"/>
          <w:lang w:val="it-IT"/>
        </w:rPr>
      </w:pPr>
      <w:r w:rsidRPr="002D586E">
        <w:rPr>
          <w:rFonts w:ascii="Times New Roman" w:eastAsia="Calibri" w:hAnsi="Times New Roman" w:cs="Times New Roman"/>
          <w:sz w:val="24"/>
          <w:szCs w:val="24"/>
          <w:lang w:val="it-IT"/>
        </w:rPr>
        <w:t>Tharja e vidhave</w:t>
      </w:r>
      <w:r w:rsidRPr="002D586E">
        <w:rPr>
          <w:rFonts w:ascii="Times New Roman" w:eastAsia="Calibri" w:hAnsi="Times New Roman" w:cs="Times New Roman"/>
          <w:i/>
          <w:iCs/>
          <w:sz w:val="24"/>
          <w:szCs w:val="24"/>
          <w:lang w:val="it-IT"/>
        </w:rPr>
        <w:t xml:space="preserve"> (Ceratostomella ulmi), </w:t>
      </w:r>
      <w:r w:rsidRPr="002D586E">
        <w:rPr>
          <w:rFonts w:ascii="Times New Roman" w:eastAsia="Calibri" w:hAnsi="Times New Roman" w:cs="Times New Roman"/>
          <w:sz w:val="24"/>
          <w:szCs w:val="24"/>
          <w:lang w:val="it-IT"/>
        </w:rPr>
        <w:t>në shkallë vendi</w:t>
      </w:r>
      <w:r w:rsidRPr="002D586E">
        <w:rPr>
          <w:rFonts w:ascii="Times New Roman" w:eastAsia="Calibri" w:hAnsi="Times New Roman" w:cs="Times New Roman"/>
          <w:i/>
          <w:iCs/>
          <w:sz w:val="24"/>
          <w:szCs w:val="24"/>
          <w:lang w:val="it-IT"/>
        </w:rPr>
        <w:t>.</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Njollosja e zezë e panjës (</w:t>
      </w:r>
      <w:r w:rsidRPr="002D586E">
        <w:rPr>
          <w:rFonts w:ascii="Times New Roman" w:eastAsia="Calibri" w:hAnsi="Times New Roman" w:cs="Times New Roman"/>
          <w:i/>
          <w:sz w:val="24"/>
          <w:szCs w:val="24"/>
          <w:lang w:val="it-IT"/>
        </w:rPr>
        <w:t>Rhytizma acerinum</w:t>
      </w:r>
      <w:r w:rsidRPr="002D586E">
        <w:rPr>
          <w:rFonts w:ascii="Times New Roman" w:eastAsia="Calibri" w:hAnsi="Times New Roman" w:cs="Times New Roman"/>
          <w:sz w:val="24"/>
          <w:szCs w:val="24"/>
          <w:lang w:val="it-IT"/>
        </w:rPr>
        <w:t xml:space="preserve"> Pers), në bashkitë: Kolonjë, Korçë, Kukës, Mat etj.</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Njollat e murrme të gjethes së dafinës (</w:t>
      </w:r>
      <w:r w:rsidRPr="002D586E">
        <w:rPr>
          <w:rFonts w:ascii="Times New Roman" w:eastAsia="Calibri" w:hAnsi="Times New Roman" w:cs="Times New Roman"/>
          <w:i/>
          <w:sz w:val="24"/>
          <w:szCs w:val="24"/>
          <w:lang w:val="it-IT"/>
        </w:rPr>
        <w:t>Phyllastica lauri</w:t>
      </w:r>
      <w:r w:rsidRPr="002D586E">
        <w:rPr>
          <w:rFonts w:ascii="Times New Roman" w:eastAsia="Calibri" w:hAnsi="Times New Roman" w:cs="Times New Roman"/>
          <w:sz w:val="24"/>
          <w:szCs w:val="24"/>
          <w:lang w:val="it-IT"/>
        </w:rPr>
        <w:t>), Tiran, Berat.</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Vjezhdulla e zakonshme (</w:t>
      </w:r>
      <w:r w:rsidRPr="002D586E">
        <w:rPr>
          <w:rFonts w:ascii="Times New Roman" w:eastAsia="Calibri" w:hAnsi="Times New Roman" w:cs="Times New Roman"/>
          <w:i/>
          <w:sz w:val="24"/>
          <w:szCs w:val="24"/>
          <w:lang w:val="it-IT"/>
        </w:rPr>
        <w:t>Viscum album</w:t>
      </w:r>
      <w:r w:rsidRPr="002D586E">
        <w:rPr>
          <w:rFonts w:ascii="Times New Roman" w:eastAsia="Calibri" w:hAnsi="Times New Roman" w:cs="Times New Roman"/>
          <w:sz w:val="24"/>
          <w:szCs w:val="24"/>
          <w:lang w:val="it-IT"/>
        </w:rPr>
        <w:t>), në të gjitha pyjet e lartë me pishë, ah dhe dushk.</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Ndryshku i gjetheve të plepit (</w:t>
      </w:r>
      <w:r w:rsidRPr="002D586E">
        <w:rPr>
          <w:rFonts w:ascii="Times New Roman" w:eastAsia="Calibri" w:hAnsi="Times New Roman" w:cs="Times New Roman"/>
          <w:i/>
          <w:sz w:val="24"/>
          <w:szCs w:val="24"/>
          <w:lang w:val="it-IT"/>
        </w:rPr>
        <w:t>Melampsora alli  populina</w:t>
      </w:r>
      <w:r w:rsidRPr="002D586E">
        <w:rPr>
          <w:rFonts w:ascii="Times New Roman" w:eastAsia="Calibri" w:hAnsi="Times New Roman" w:cs="Times New Roman"/>
          <w:sz w:val="24"/>
          <w:szCs w:val="24"/>
          <w:lang w:val="it-IT"/>
        </w:rPr>
        <w:t>). E përhapur në të gjitha plepishtet e kultivuara.</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Eshka e ahut, e përhapur në grumbujt e ahut me moshë mbi 100 vjeçarë</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Antraknoza e arrës (</w:t>
      </w:r>
      <w:r w:rsidRPr="002D586E">
        <w:rPr>
          <w:rFonts w:ascii="Times New Roman" w:eastAsia="Calibri" w:hAnsi="Times New Roman" w:cs="Times New Roman"/>
          <w:i/>
          <w:sz w:val="24"/>
          <w:szCs w:val="24"/>
          <w:lang w:val="it-IT"/>
        </w:rPr>
        <w:t>Merassonia juglandis</w:t>
      </w:r>
      <w:r w:rsidRPr="002D586E">
        <w:rPr>
          <w:rFonts w:ascii="Times New Roman" w:eastAsia="Calibri" w:hAnsi="Times New Roman" w:cs="Times New Roman"/>
          <w:sz w:val="24"/>
          <w:szCs w:val="24"/>
          <w:lang w:val="it-IT"/>
        </w:rPr>
        <w:t xml:space="preserve">), </w:t>
      </w:r>
      <w:r w:rsidRPr="002D586E">
        <w:rPr>
          <w:rFonts w:ascii="Times New Roman" w:eastAsia="Calibri" w:hAnsi="Times New Roman" w:cs="Times New Roman"/>
          <w:sz w:val="24"/>
          <w:szCs w:val="24"/>
        </w:rPr>
        <w:t>në bashkitë</w:t>
      </w:r>
      <w:r w:rsidRPr="002D586E">
        <w:rPr>
          <w:rFonts w:ascii="Times New Roman" w:eastAsia="Calibri" w:hAnsi="Times New Roman" w:cs="Times New Roman"/>
          <w:sz w:val="24"/>
          <w:szCs w:val="24"/>
          <w:lang w:val="it-IT"/>
        </w:rPr>
        <w:t>: Librazhd, Kolonjë.</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sq-AL"/>
        </w:rPr>
        <w:t>Deformimi i gjetheve të plepit (</w:t>
      </w:r>
      <w:r w:rsidRPr="002D586E">
        <w:rPr>
          <w:rFonts w:ascii="Times New Roman" w:eastAsia="Calibri" w:hAnsi="Times New Roman" w:cs="Times New Roman"/>
          <w:i/>
          <w:sz w:val="24"/>
          <w:szCs w:val="24"/>
          <w:lang w:val="sq-AL"/>
        </w:rPr>
        <w:t>Taphrina aurea</w:t>
      </w:r>
      <w:r w:rsidRPr="002D586E">
        <w:rPr>
          <w:rFonts w:ascii="Times New Roman" w:eastAsia="Calibri" w:hAnsi="Times New Roman" w:cs="Times New Roman"/>
          <w:sz w:val="24"/>
          <w:szCs w:val="24"/>
          <w:lang w:val="sq-AL"/>
        </w:rPr>
        <w:t xml:space="preserve"> Fr), në sipërfaqen monitoruese të Kolonjës dhe Tepelenës.</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Anekroza e rrapit (</w:t>
      </w:r>
      <w:r w:rsidRPr="002D586E">
        <w:rPr>
          <w:rFonts w:ascii="Times New Roman" w:eastAsia="Calibri" w:hAnsi="Times New Roman" w:cs="Times New Roman"/>
          <w:i/>
          <w:sz w:val="24"/>
          <w:szCs w:val="24"/>
          <w:lang w:val="it-IT"/>
        </w:rPr>
        <w:t>Gnomonia veneta</w:t>
      </w:r>
      <w:r w:rsidRPr="002D586E">
        <w:rPr>
          <w:rFonts w:ascii="Times New Roman" w:eastAsia="Calibri" w:hAnsi="Times New Roman" w:cs="Times New Roman"/>
          <w:sz w:val="24"/>
          <w:szCs w:val="24"/>
          <w:lang w:val="it-IT"/>
        </w:rPr>
        <w:t xml:space="preserve">.Kleb), </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Tharja e rrapit (</w:t>
      </w:r>
      <w:r w:rsidRPr="002D586E">
        <w:rPr>
          <w:rFonts w:ascii="Times New Roman" w:eastAsia="Calibri" w:hAnsi="Times New Roman" w:cs="Times New Roman"/>
          <w:i/>
          <w:iCs/>
          <w:sz w:val="24"/>
          <w:szCs w:val="24"/>
          <w:lang w:val="it-IT"/>
        </w:rPr>
        <w:t>Genomonia platani.Kleb</w:t>
      </w:r>
      <w:r w:rsidRPr="002D586E">
        <w:rPr>
          <w:rFonts w:ascii="Times New Roman" w:eastAsia="Calibri" w:hAnsi="Times New Roman" w:cs="Times New Roman"/>
          <w:sz w:val="24"/>
          <w:szCs w:val="24"/>
          <w:lang w:val="it-IT"/>
        </w:rPr>
        <w:t>) dhe (Gloeosporium platania), përgjatë shtretërve të lumenjve Drino dhe Vjosë.</w:t>
      </w:r>
    </w:p>
    <w:p w:rsidR="002D586E" w:rsidRPr="002D586E" w:rsidRDefault="002D586E" w:rsidP="002D586E">
      <w:pPr>
        <w:spacing w:after="0" w:line="240" w:lineRule="auto"/>
        <w:jc w:val="both"/>
        <w:rPr>
          <w:rFonts w:ascii="Times New Roman" w:eastAsia="Calibri" w:hAnsi="Times New Roman" w:cs="Times New Roman"/>
          <w:sz w:val="24"/>
          <w:szCs w:val="24"/>
          <w:lang w:val="it-IT"/>
        </w:rPr>
      </w:pPr>
      <w:r w:rsidRPr="002D586E">
        <w:rPr>
          <w:rFonts w:ascii="Times New Roman" w:eastAsia="Calibri" w:hAnsi="Times New Roman" w:cs="Times New Roman"/>
          <w:sz w:val="24"/>
          <w:szCs w:val="24"/>
          <w:lang w:val="it-IT"/>
        </w:rPr>
        <w:t>Sëmundja e bushit e përhapur në të gjitha masivet me këtë lloj.</w:t>
      </w:r>
    </w:p>
    <w:p w:rsidR="002D586E" w:rsidRPr="002D586E" w:rsidRDefault="002D586E" w:rsidP="002D586E">
      <w:pPr>
        <w:spacing w:after="0" w:line="240" w:lineRule="auto"/>
        <w:jc w:val="both"/>
        <w:rPr>
          <w:rFonts w:ascii="Times New Roman" w:eastAsia="Calibri" w:hAnsi="Times New Roman" w:cs="Times New Roman"/>
          <w:sz w:val="24"/>
          <w:szCs w:val="24"/>
          <w:lang w:val="sq-AL"/>
        </w:rPr>
      </w:pPr>
      <w:r w:rsidRPr="002D586E">
        <w:rPr>
          <w:rFonts w:ascii="Times New Roman" w:eastAsia="Calibri" w:hAnsi="Times New Roman" w:cs="Times New Roman"/>
          <w:sz w:val="24"/>
          <w:szCs w:val="24"/>
          <w:lang w:val="sq-AL"/>
        </w:rPr>
        <w:t xml:space="preserve">Problemi i tharjes së llojit Hormoq në ekonominë pyjore “Lugina e Valbonës”, ku kostatuan </w:t>
      </w:r>
      <w:r w:rsidR="003F55C0">
        <w:rPr>
          <w:rFonts w:ascii="Times New Roman" w:eastAsia="Calibri" w:hAnsi="Times New Roman" w:cs="Times New Roman"/>
          <w:sz w:val="24"/>
          <w:szCs w:val="24"/>
          <w:lang w:val="sq-AL"/>
        </w:rPr>
        <w:t>tharje të llojit brënda sipërfaqe</w:t>
      </w:r>
      <w:r w:rsidRPr="002D586E">
        <w:rPr>
          <w:rFonts w:ascii="Times New Roman" w:eastAsia="Calibri" w:hAnsi="Times New Roman" w:cs="Times New Roman"/>
          <w:sz w:val="24"/>
          <w:szCs w:val="24"/>
          <w:lang w:val="sq-AL"/>
        </w:rPr>
        <w:t>s së monitorimit (tharja e disa drurëve).</w:t>
      </w:r>
    </w:p>
    <w:p w:rsidR="002D586E" w:rsidRDefault="002D586E" w:rsidP="002D586E">
      <w:pPr>
        <w:spacing w:after="0" w:line="240" w:lineRule="auto"/>
        <w:jc w:val="both"/>
        <w:rPr>
          <w:rFonts w:ascii="Times New Roman" w:eastAsia="Calibri" w:hAnsi="Times New Roman" w:cs="Times New Roman"/>
          <w:b/>
          <w:sz w:val="24"/>
          <w:szCs w:val="24"/>
        </w:rPr>
      </w:pPr>
    </w:p>
    <w:p w:rsidR="00C8462B" w:rsidRPr="00C8462B" w:rsidRDefault="000F53CF" w:rsidP="00C8462B">
      <w:pPr>
        <w:spacing w:after="0" w:line="240" w:lineRule="auto"/>
        <w:jc w:val="both"/>
        <w:rPr>
          <w:rFonts w:ascii="Times New Roman" w:eastAsia="Times New Roman" w:hAnsi="Times New Roman" w:cs="Times New Roman"/>
          <w:b/>
          <w:sz w:val="24"/>
          <w:szCs w:val="20"/>
          <w:lang w:val="it-IT"/>
        </w:rPr>
      </w:pPr>
      <w:r>
        <w:rPr>
          <w:rFonts w:ascii="Times New Roman" w:eastAsia="Times New Roman" w:hAnsi="Times New Roman" w:cs="Times New Roman"/>
          <w:b/>
          <w:sz w:val="24"/>
          <w:szCs w:val="20"/>
          <w:lang w:val="it-IT"/>
        </w:rPr>
        <w:t xml:space="preserve">8.5.1 </w:t>
      </w:r>
      <w:r w:rsidR="00132717" w:rsidRPr="00C8462B">
        <w:rPr>
          <w:rFonts w:ascii="Times New Roman" w:eastAsia="Times New Roman" w:hAnsi="Times New Roman" w:cs="Times New Roman"/>
          <w:b/>
          <w:sz w:val="24"/>
          <w:szCs w:val="20"/>
          <w:lang w:val="it-IT"/>
        </w:rPr>
        <w:t xml:space="preserve">Përfundime </w:t>
      </w:r>
    </w:p>
    <w:p w:rsidR="00C8462B" w:rsidRPr="00C8462B" w:rsidRDefault="00C8462B" w:rsidP="00C8462B">
      <w:pPr>
        <w:tabs>
          <w:tab w:val="center" w:pos="4680"/>
          <w:tab w:val="right" w:pos="9360"/>
        </w:tabs>
        <w:spacing w:after="0" w:line="240" w:lineRule="auto"/>
        <w:jc w:val="both"/>
        <w:rPr>
          <w:rFonts w:ascii="Times New Roman" w:eastAsia="Calibri" w:hAnsi="Times New Roman" w:cs="Times New Roman"/>
          <w:b/>
          <w:bCs/>
          <w:spacing w:val="2"/>
          <w:sz w:val="24"/>
          <w:szCs w:val="24"/>
          <w:lang w:val="it-IT"/>
        </w:rPr>
      </w:pPr>
    </w:p>
    <w:p w:rsidR="00C8462B" w:rsidRDefault="005617F3" w:rsidP="00C8462B">
      <w:pPr>
        <w:tabs>
          <w:tab w:val="center" w:pos="4680"/>
          <w:tab w:val="right" w:pos="9360"/>
        </w:tabs>
        <w:spacing w:after="0" w:line="240" w:lineRule="auto"/>
        <w:jc w:val="both"/>
        <w:rPr>
          <w:rFonts w:ascii="Times New Roman" w:eastAsia="Calibri" w:hAnsi="Times New Roman" w:cs="Times New Roman"/>
          <w:b/>
          <w:bCs/>
          <w:spacing w:val="2"/>
          <w:sz w:val="24"/>
          <w:szCs w:val="24"/>
        </w:rPr>
      </w:pPr>
      <w:r>
        <w:rPr>
          <w:rFonts w:ascii="Times New Roman" w:eastAsia="Calibri" w:hAnsi="Times New Roman" w:cs="Times New Roman"/>
          <w:b/>
          <w:bCs/>
          <w:spacing w:val="2"/>
          <w:sz w:val="24"/>
          <w:szCs w:val="24"/>
        </w:rPr>
        <w:t>Ç</w:t>
      </w:r>
      <w:r w:rsidR="00C8462B" w:rsidRPr="00C8462B">
        <w:rPr>
          <w:rFonts w:ascii="Times New Roman" w:eastAsia="Calibri" w:hAnsi="Times New Roman" w:cs="Times New Roman"/>
          <w:b/>
          <w:bCs/>
          <w:spacing w:val="2"/>
          <w:sz w:val="24"/>
          <w:szCs w:val="24"/>
        </w:rPr>
        <w:t>halëzimi (rënia e halave), për llojet halorë</w:t>
      </w:r>
    </w:p>
    <w:p w:rsidR="00C85CEB" w:rsidRPr="00C8462B" w:rsidRDefault="00C85CEB" w:rsidP="00C8462B">
      <w:pPr>
        <w:tabs>
          <w:tab w:val="center" w:pos="4680"/>
          <w:tab w:val="right" w:pos="9360"/>
        </w:tabs>
        <w:spacing w:after="0" w:line="240" w:lineRule="auto"/>
        <w:jc w:val="both"/>
        <w:rPr>
          <w:rFonts w:ascii="Times New Roman" w:eastAsia="Calibri" w:hAnsi="Times New Roman" w:cs="Times New Roman"/>
          <w:b/>
          <w:bCs/>
          <w:spacing w:val="2"/>
          <w:sz w:val="24"/>
          <w:szCs w:val="24"/>
        </w:rPr>
      </w:pP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eastAsia="sq-AL"/>
        </w:rPr>
      </w:pPr>
      <w:r w:rsidRPr="00C8462B">
        <w:rPr>
          <w:rFonts w:ascii="Times New Roman" w:eastAsia="Times New Roman" w:hAnsi="Times New Roman" w:cs="Times New Roman"/>
          <w:bCs/>
          <w:spacing w:val="2"/>
          <w:sz w:val="24"/>
          <w:szCs w:val="24"/>
          <w:lang w:eastAsia="sq-AL"/>
        </w:rPr>
        <w:t xml:space="preserve">- </w:t>
      </w:r>
      <w:r w:rsidRPr="00C8462B">
        <w:rPr>
          <w:rFonts w:ascii="Times New Roman" w:eastAsia="Times New Roman" w:hAnsi="Times New Roman" w:cs="Times New Roman"/>
          <w:b/>
          <w:spacing w:val="2"/>
          <w:sz w:val="24"/>
          <w:szCs w:val="24"/>
          <w:lang w:eastAsia="sq-AL"/>
        </w:rPr>
        <w:t>Për llojin pishë e zezë,</w:t>
      </w:r>
      <w:r w:rsidRPr="00C8462B">
        <w:rPr>
          <w:rFonts w:ascii="Times New Roman" w:eastAsia="Times New Roman" w:hAnsi="Times New Roman" w:cs="Times New Roman"/>
          <w:bCs/>
          <w:spacing w:val="2"/>
          <w:sz w:val="24"/>
          <w:szCs w:val="24"/>
          <w:lang w:eastAsia="sq-AL"/>
        </w:rPr>
        <w:t xml:space="preserve"> përqindja e rënies së halave në klasën e tretë (61-100%) në vitin 2024 ishte 12.64%, kurse në vitin 2025 është 11.51% pra kemi një r</w:t>
      </w:r>
      <w:r w:rsidR="00AD541D">
        <w:rPr>
          <w:rFonts w:ascii="Times New Roman" w:eastAsia="Times New Roman" w:hAnsi="Times New Roman" w:cs="Times New Roman"/>
          <w:bCs/>
          <w:spacing w:val="2"/>
          <w:sz w:val="24"/>
          <w:szCs w:val="24"/>
          <w:lang w:eastAsia="sq-AL"/>
        </w:rPr>
        <w:t>ënie</w:t>
      </w:r>
      <w:r w:rsidRPr="00C8462B">
        <w:rPr>
          <w:rFonts w:ascii="Times New Roman" w:eastAsia="Times New Roman" w:hAnsi="Times New Roman" w:cs="Times New Roman"/>
          <w:bCs/>
          <w:spacing w:val="2"/>
          <w:sz w:val="24"/>
          <w:szCs w:val="24"/>
          <w:lang w:eastAsia="sq-AL"/>
        </w:rPr>
        <w:t xml:space="preserve"> 1.10%, kurse</w:t>
      </w:r>
      <w:r w:rsidR="007F227B">
        <w:rPr>
          <w:rFonts w:ascii="Times New Roman" w:eastAsia="Times New Roman" w:hAnsi="Times New Roman" w:cs="Times New Roman"/>
          <w:bCs/>
          <w:spacing w:val="2"/>
          <w:sz w:val="24"/>
          <w:szCs w:val="24"/>
          <w:lang w:eastAsia="sq-AL"/>
        </w:rPr>
        <w:t xml:space="preserve"> në klasën e katërt nuk kemi (f</w:t>
      </w:r>
      <w:r w:rsidRPr="00C8462B">
        <w:rPr>
          <w:rFonts w:ascii="Times New Roman" w:eastAsia="Times New Roman" w:hAnsi="Times New Roman" w:cs="Times New Roman"/>
          <w:bCs/>
          <w:spacing w:val="2"/>
          <w:sz w:val="24"/>
          <w:szCs w:val="24"/>
          <w:lang w:eastAsia="sq-AL"/>
        </w:rPr>
        <w:t>enomenin e tharjes komplet të drurëve). Ky fenomen është takuar më së shumti në masivet e pyllëzuar jashtë arealit të vet dhe në terrene të eroduara e që janë shumë të cekëta. Faktor tjetër që ka ndikuar në këtë gjendje është, shkalla e ulët e prekjes nga dëmtuesi i proçesonaries së pishës dhe temperaturat e larta.</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eastAsia="sq-AL"/>
        </w:rPr>
      </w:pPr>
      <w:r w:rsidRPr="00C8462B">
        <w:rPr>
          <w:rFonts w:ascii="Times New Roman" w:eastAsia="Times New Roman" w:hAnsi="Times New Roman" w:cs="Times New Roman"/>
          <w:bCs/>
          <w:spacing w:val="2"/>
          <w:sz w:val="24"/>
          <w:szCs w:val="24"/>
          <w:lang w:eastAsia="sq-AL"/>
        </w:rPr>
        <w:t xml:space="preserve">- </w:t>
      </w:r>
      <w:r w:rsidRPr="00C8462B">
        <w:rPr>
          <w:rFonts w:ascii="Times New Roman" w:eastAsia="Times New Roman" w:hAnsi="Times New Roman" w:cs="Times New Roman"/>
          <w:b/>
          <w:spacing w:val="2"/>
          <w:sz w:val="24"/>
          <w:szCs w:val="24"/>
          <w:lang w:eastAsia="sq-AL"/>
        </w:rPr>
        <w:t>Për llojin e pishave mesdhetare,</w:t>
      </w:r>
      <w:r w:rsidRPr="00C8462B">
        <w:rPr>
          <w:rFonts w:ascii="Times New Roman" w:eastAsia="Times New Roman" w:hAnsi="Times New Roman" w:cs="Times New Roman"/>
          <w:bCs/>
          <w:spacing w:val="2"/>
          <w:sz w:val="24"/>
          <w:szCs w:val="24"/>
          <w:lang w:eastAsia="sq-AL"/>
        </w:rPr>
        <w:t xml:space="preserve"> kemi ndryshime të vlerave në krahasim me vitet e mëparshme, në klasën e tretë (61-100%) në vitin 2024 ishte 10.85%, në vitin 2</w:t>
      </w:r>
      <w:r w:rsidR="00AD541D">
        <w:rPr>
          <w:rFonts w:ascii="Times New Roman" w:eastAsia="Times New Roman" w:hAnsi="Times New Roman" w:cs="Times New Roman"/>
          <w:bCs/>
          <w:spacing w:val="2"/>
          <w:sz w:val="24"/>
          <w:szCs w:val="24"/>
          <w:lang w:eastAsia="sq-AL"/>
        </w:rPr>
        <w:t xml:space="preserve">025 është 7.25 %, pra kemi një </w:t>
      </w:r>
      <w:r w:rsidRPr="00C8462B">
        <w:rPr>
          <w:rFonts w:ascii="Times New Roman" w:eastAsia="Times New Roman" w:hAnsi="Times New Roman" w:cs="Times New Roman"/>
          <w:bCs/>
          <w:spacing w:val="2"/>
          <w:sz w:val="24"/>
          <w:szCs w:val="24"/>
          <w:lang w:eastAsia="sq-AL"/>
        </w:rPr>
        <w:t>rënie me 3.6%, kurse</w:t>
      </w:r>
      <w:r w:rsidR="005617F3">
        <w:rPr>
          <w:rFonts w:ascii="Times New Roman" w:eastAsia="Times New Roman" w:hAnsi="Times New Roman" w:cs="Times New Roman"/>
          <w:bCs/>
          <w:spacing w:val="2"/>
          <w:sz w:val="24"/>
          <w:szCs w:val="24"/>
          <w:lang w:eastAsia="sq-AL"/>
        </w:rPr>
        <w:t xml:space="preserve"> në klasën e katërt nuk kemi (f</w:t>
      </w:r>
      <w:r w:rsidRPr="00C8462B">
        <w:rPr>
          <w:rFonts w:ascii="Times New Roman" w:eastAsia="Times New Roman" w:hAnsi="Times New Roman" w:cs="Times New Roman"/>
          <w:bCs/>
          <w:spacing w:val="2"/>
          <w:sz w:val="24"/>
          <w:szCs w:val="24"/>
          <w:lang w:eastAsia="sq-AL"/>
        </w:rPr>
        <w:t xml:space="preserve">enomenin e tharjes komplet të drurëve).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eastAsia="sq-AL"/>
        </w:rPr>
      </w:pPr>
      <w:r w:rsidRPr="00C8462B">
        <w:rPr>
          <w:rFonts w:ascii="Times New Roman" w:eastAsia="Times New Roman" w:hAnsi="Times New Roman" w:cs="Times New Roman"/>
          <w:bCs/>
          <w:spacing w:val="2"/>
          <w:sz w:val="24"/>
          <w:szCs w:val="24"/>
          <w:lang w:eastAsia="sq-AL"/>
        </w:rPr>
        <w:t xml:space="preserve"> </w:t>
      </w:r>
      <w:r w:rsidRPr="00C8462B">
        <w:rPr>
          <w:rFonts w:ascii="Times New Roman" w:eastAsia="Times New Roman" w:hAnsi="Times New Roman" w:cs="Times New Roman"/>
          <w:b/>
          <w:spacing w:val="2"/>
          <w:sz w:val="24"/>
          <w:szCs w:val="24"/>
          <w:lang w:eastAsia="sq-AL"/>
        </w:rPr>
        <w:t>- Për llojin bredh,</w:t>
      </w:r>
      <w:r w:rsidRPr="00C8462B">
        <w:rPr>
          <w:rFonts w:ascii="Times New Roman" w:eastAsia="Times New Roman" w:hAnsi="Times New Roman" w:cs="Times New Roman"/>
          <w:bCs/>
          <w:spacing w:val="2"/>
          <w:sz w:val="24"/>
          <w:szCs w:val="24"/>
          <w:lang w:eastAsia="sq-AL"/>
        </w:rPr>
        <w:t xml:space="preserve"> kemi ndryshime të vlerave në krahasim me vitet e mëparshme, në klasën e tretë (61-100%) në vitin 2024 ishte 9.09%, në vitin 2</w:t>
      </w:r>
      <w:r w:rsidR="00AD541D">
        <w:rPr>
          <w:rFonts w:ascii="Times New Roman" w:eastAsia="Times New Roman" w:hAnsi="Times New Roman" w:cs="Times New Roman"/>
          <w:bCs/>
          <w:spacing w:val="2"/>
          <w:sz w:val="24"/>
          <w:szCs w:val="24"/>
          <w:lang w:eastAsia="sq-AL"/>
        </w:rPr>
        <w:t xml:space="preserve">025 është 8.68 %, pra kemi një </w:t>
      </w:r>
      <w:r w:rsidRPr="00C8462B">
        <w:rPr>
          <w:rFonts w:ascii="Times New Roman" w:eastAsia="Times New Roman" w:hAnsi="Times New Roman" w:cs="Times New Roman"/>
          <w:bCs/>
          <w:spacing w:val="2"/>
          <w:sz w:val="24"/>
          <w:szCs w:val="24"/>
          <w:lang w:eastAsia="sq-AL"/>
        </w:rPr>
        <w:t>rënie me 0.41% kurse</w:t>
      </w:r>
      <w:r w:rsidR="005617F3">
        <w:rPr>
          <w:rFonts w:ascii="Times New Roman" w:eastAsia="Times New Roman" w:hAnsi="Times New Roman" w:cs="Times New Roman"/>
          <w:bCs/>
          <w:spacing w:val="2"/>
          <w:sz w:val="24"/>
          <w:szCs w:val="24"/>
          <w:lang w:eastAsia="sq-AL"/>
        </w:rPr>
        <w:t xml:space="preserve"> në klasën e katërt nuk kemi (f</w:t>
      </w:r>
      <w:r w:rsidRPr="00C8462B">
        <w:rPr>
          <w:rFonts w:ascii="Times New Roman" w:eastAsia="Times New Roman" w:hAnsi="Times New Roman" w:cs="Times New Roman"/>
          <w:bCs/>
          <w:spacing w:val="2"/>
          <w:sz w:val="24"/>
          <w:szCs w:val="24"/>
          <w:lang w:eastAsia="sq-AL"/>
        </w:rPr>
        <w:t xml:space="preserve">enomenin e tharjes komplet të drurëve).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eastAsia="sq-AL"/>
        </w:rPr>
      </w:pPr>
      <w:r w:rsidRPr="00C8462B">
        <w:rPr>
          <w:rFonts w:ascii="Times New Roman" w:eastAsia="Times New Roman" w:hAnsi="Times New Roman" w:cs="Times New Roman"/>
          <w:bCs/>
          <w:spacing w:val="2"/>
          <w:sz w:val="24"/>
          <w:szCs w:val="24"/>
          <w:lang w:eastAsia="sq-AL"/>
        </w:rPr>
        <w:t>-</w:t>
      </w:r>
      <w:r w:rsidRPr="00C8462B">
        <w:rPr>
          <w:rFonts w:ascii="Times New Roman" w:eastAsia="Times New Roman" w:hAnsi="Times New Roman" w:cs="Times New Roman"/>
          <w:b/>
          <w:spacing w:val="2"/>
          <w:sz w:val="24"/>
          <w:szCs w:val="24"/>
          <w:lang w:eastAsia="sq-AL"/>
        </w:rPr>
        <w:t>Për llojet halorë e tjerë,</w:t>
      </w:r>
      <w:r w:rsidRPr="00C8462B">
        <w:rPr>
          <w:rFonts w:ascii="Times New Roman" w:eastAsia="Times New Roman" w:hAnsi="Times New Roman" w:cs="Times New Roman"/>
          <w:bCs/>
          <w:spacing w:val="2"/>
          <w:sz w:val="24"/>
          <w:szCs w:val="24"/>
          <w:lang w:eastAsia="sq-AL"/>
        </w:rPr>
        <w:t xml:space="preserve"> kemi ndryshime të vlerave në krahasim me vitet e mëparshme, në </w:t>
      </w:r>
      <w:r w:rsidRPr="00C8462B">
        <w:rPr>
          <w:rFonts w:ascii="Times New Roman" w:eastAsia="Times New Roman" w:hAnsi="Times New Roman" w:cs="Times New Roman"/>
          <w:bCs/>
          <w:spacing w:val="2"/>
          <w:sz w:val="24"/>
          <w:szCs w:val="24"/>
          <w:lang w:eastAsia="sq-AL"/>
        </w:rPr>
        <w:lastRenderedPageBreak/>
        <w:t>klasën e tretë (61-100%) në vitin 2024 ishte 10.95%, kurse në vitin2</w:t>
      </w:r>
      <w:r w:rsidR="00AD541D">
        <w:rPr>
          <w:rFonts w:ascii="Times New Roman" w:eastAsia="Times New Roman" w:hAnsi="Times New Roman" w:cs="Times New Roman"/>
          <w:bCs/>
          <w:spacing w:val="2"/>
          <w:sz w:val="24"/>
          <w:szCs w:val="24"/>
          <w:lang w:eastAsia="sq-AL"/>
        </w:rPr>
        <w:t xml:space="preserve"> </w:t>
      </w:r>
      <w:r w:rsidRPr="00C8462B">
        <w:rPr>
          <w:rFonts w:ascii="Times New Roman" w:eastAsia="Times New Roman" w:hAnsi="Times New Roman" w:cs="Times New Roman"/>
          <w:bCs/>
          <w:spacing w:val="2"/>
          <w:sz w:val="24"/>
          <w:szCs w:val="24"/>
          <w:lang w:eastAsia="sq-AL"/>
        </w:rPr>
        <w:t>025 është 11.37% pra kemi një rritje 0.42% kurse</w:t>
      </w:r>
      <w:r w:rsidR="005617F3">
        <w:rPr>
          <w:rFonts w:ascii="Times New Roman" w:eastAsia="Times New Roman" w:hAnsi="Times New Roman" w:cs="Times New Roman"/>
          <w:bCs/>
          <w:spacing w:val="2"/>
          <w:sz w:val="24"/>
          <w:szCs w:val="24"/>
          <w:lang w:eastAsia="sq-AL"/>
        </w:rPr>
        <w:t xml:space="preserve"> në klasën e katërt nuk kemi (f</w:t>
      </w:r>
      <w:r w:rsidRPr="00C8462B">
        <w:rPr>
          <w:rFonts w:ascii="Times New Roman" w:eastAsia="Times New Roman" w:hAnsi="Times New Roman" w:cs="Times New Roman"/>
          <w:bCs/>
          <w:spacing w:val="2"/>
          <w:sz w:val="24"/>
          <w:szCs w:val="24"/>
          <w:lang w:eastAsia="sq-AL"/>
        </w:rPr>
        <w:t xml:space="preserve">enomenin e tharjes komplet të drurëve). </w:t>
      </w:r>
    </w:p>
    <w:p w:rsidR="00FF4C1A" w:rsidRDefault="00FF4C1A" w:rsidP="00C8462B">
      <w:pPr>
        <w:spacing w:after="0" w:line="240" w:lineRule="auto"/>
        <w:jc w:val="both"/>
        <w:rPr>
          <w:rFonts w:ascii="Times New Roman" w:eastAsia="Times New Roman" w:hAnsi="Times New Roman" w:cs="Times New Roman"/>
          <w:b/>
          <w:bCs/>
          <w:spacing w:val="2"/>
          <w:sz w:val="24"/>
          <w:szCs w:val="24"/>
          <w:lang w:eastAsia="sq-AL"/>
        </w:rPr>
      </w:pPr>
    </w:p>
    <w:p w:rsidR="00FF4C1A" w:rsidRDefault="00FF4C1A" w:rsidP="00C8462B">
      <w:pPr>
        <w:spacing w:after="0" w:line="240" w:lineRule="auto"/>
        <w:jc w:val="both"/>
        <w:rPr>
          <w:rFonts w:ascii="Times New Roman" w:eastAsia="Times New Roman" w:hAnsi="Times New Roman" w:cs="Times New Roman"/>
          <w:b/>
          <w:bCs/>
          <w:spacing w:val="2"/>
          <w:sz w:val="24"/>
          <w:szCs w:val="24"/>
          <w:lang w:eastAsia="sq-AL"/>
        </w:rPr>
      </w:pPr>
      <w:r w:rsidRPr="00B01713">
        <w:rPr>
          <w:noProof/>
          <w:bdr w:val="single" w:sz="12" w:space="0" w:color="auto"/>
          <w14:ligatures w14:val="standardContextual"/>
        </w:rPr>
        <w:drawing>
          <wp:inline distT="0" distB="0" distL="0" distR="0" wp14:anchorId="23BA371B" wp14:editId="39E0C380">
            <wp:extent cx="5353050" cy="2057400"/>
            <wp:effectExtent l="0" t="0" r="19050" b="19050"/>
            <wp:docPr id="35" name="Chart 1">
              <a:extLst xmlns:a="http://schemas.openxmlformats.org/drawingml/2006/main">
                <a:ext uri="{FF2B5EF4-FFF2-40B4-BE49-F238E27FC236}">
                  <a16:creationId xmlns:a16="http://schemas.microsoft.com/office/drawing/2014/main" id="{514C744A-A6A0-20CB-D610-9AB5D24B8F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3"/>
              </a:graphicData>
            </a:graphic>
          </wp:inline>
        </w:drawing>
      </w:r>
    </w:p>
    <w:p w:rsidR="00FF4C1A" w:rsidRDefault="00FF4C1A" w:rsidP="00C8462B">
      <w:pPr>
        <w:spacing w:after="0" w:line="240" w:lineRule="auto"/>
        <w:jc w:val="both"/>
        <w:rPr>
          <w:rFonts w:ascii="Times New Roman" w:eastAsia="Times New Roman" w:hAnsi="Times New Roman" w:cs="Times New Roman"/>
          <w:b/>
          <w:bCs/>
          <w:spacing w:val="2"/>
          <w:sz w:val="24"/>
          <w:szCs w:val="24"/>
          <w:lang w:eastAsia="sq-AL"/>
        </w:rPr>
      </w:pPr>
    </w:p>
    <w:p w:rsidR="00C8462B" w:rsidRDefault="005617F3" w:rsidP="00C8462B">
      <w:pPr>
        <w:spacing w:after="0" w:line="240" w:lineRule="auto"/>
        <w:jc w:val="both"/>
        <w:rPr>
          <w:rFonts w:ascii="Times New Roman" w:eastAsia="Times New Roman" w:hAnsi="Times New Roman" w:cs="Times New Roman"/>
          <w:b/>
          <w:bCs/>
          <w:spacing w:val="2"/>
          <w:sz w:val="24"/>
          <w:szCs w:val="24"/>
          <w:lang w:eastAsia="sq-AL"/>
        </w:rPr>
      </w:pPr>
      <w:r>
        <w:rPr>
          <w:rFonts w:ascii="Times New Roman" w:eastAsia="Times New Roman" w:hAnsi="Times New Roman" w:cs="Times New Roman"/>
          <w:b/>
          <w:bCs/>
          <w:spacing w:val="2"/>
          <w:sz w:val="24"/>
          <w:szCs w:val="24"/>
          <w:lang w:eastAsia="sq-AL"/>
        </w:rPr>
        <w:t>Ç</w:t>
      </w:r>
      <w:r w:rsidR="00C8462B" w:rsidRPr="00C8462B">
        <w:rPr>
          <w:rFonts w:ascii="Times New Roman" w:eastAsia="Times New Roman" w:hAnsi="Times New Roman" w:cs="Times New Roman"/>
          <w:b/>
          <w:bCs/>
          <w:spacing w:val="2"/>
          <w:sz w:val="24"/>
          <w:szCs w:val="24"/>
          <w:lang w:eastAsia="sq-AL"/>
        </w:rPr>
        <w:t xml:space="preserve">gjethëzimi (rënia e gjetheve) për llojet fletorë </w:t>
      </w:r>
    </w:p>
    <w:p w:rsidR="00FF4C1A" w:rsidRPr="00C8462B" w:rsidRDefault="00FF4C1A" w:rsidP="00C8462B">
      <w:pPr>
        <w:spacing w:after="0" w:line="240" w:lineRule="auto"/>
        <w:jc w:val="both"/>
        <w:rPr>
          <w:rFonts w:ascii="Times New Roman" w:eastAsia="Times New Roman" w:hAnsi="Times New Roman" w:cs="Times New Roman"/>
          <w:b/>
          <w:bCs/>
          <w:spacing w:val="2"/>
          <w:sz w:val="24"/>
          <w:szCs w:val="24"/>
          <w:lang w:eastAsia="sq-AL"/>
        </w:rPr>
      </w:pP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eastAsia="sq-AL"/>
        </w:rPr>
      </w:pPr>
      <w:r w:rsidRPr="00C8462B">
        <w:rPr>
          <w:rFonts w:ascii="Times New Roman" w:eastAsia="Times New Roman" w:hAnsi="Times New Roman" w:cs="Times New Roman"/>
          <w:b/>
          <w:spacing w:val="2"/>
          <w:sz w:val="24"/>
          <w:szCs w:val="24"/>
          <w:lang w:eastAsia="sq-AL"/>
        </w:rPr>
        <w:t>- Për llojin ah dhe mështeknë</w:t>
      </w:r>
      <w:r w:rsidRPr="00C8462B">
        <w:rPr>
          <w:rFonts w:ascii="Times New Roman" w:eastAsia="Times New Roman" w:hAnsi="Times New Roman" w:cs="Times New Roman"/>
          <w:bCs/>
          <w:spacing w:val="2"/>
          <w:sz w:val="24"/>
          <w:szCs w:val="24"/>
          <w:lang w:eastAsia="sq-AL"/>
        </w:rPr>
        <w:t>, kemi ndryshime të vlerave në krahasim me vitet e mëparshme, në klasën e tretë (61-100%) në vitin 2024 ishte 12.59%, në vitin 20</w:t>
      </w:r>
      <w:r w:rsidR="003F55C0">
        <w:rPr>
          <w:rFonts w:ascii="Times New Roman" w:eastAsia="Times New Roman" w:hAnsi="Times New Roman" w:cs="Times New Roman"/>
          <w:bCs/>
          <w:spacing w:val="2"/>
          <w:sz w:val="24"/>
          <w:szCs w:val="24"/>
          <w:lang w:eastAsia="sq-AL"/>
        </w:rPr>
        <w:t xml:space="preserve">25 është 11.23 %, pra kemi një </w:t>
      </w:r>
      <w:r w:rsidRPr="00C8462B">
        <w:rPr>
          <w:rFonts w:ascii="Times New Roman" w:eastAsia="Times New Roman" w:hAnsi="Times New Roman" w:cs="Times New Roman"/>
          <w:bCs/>
          <w:spacing w:val="2"/>
          <w:sz w:val="24"/>
          <w:szCs w:val="24"/>
          <w:lang w:eastAsia="sq-AL"/>
        </w:rPr>
        <w:t>rënie me 1.36%, kurse</w:t>
      </w:r>
      <w:r w:rsidR="005617F3">
        <w:rPr>
          <w:rFonts w:ascii="Times New Roman" w:eastAsia="Times New Roman" w:hAnsi="Times New Roman" w:cs="Times New Roman"/>
          <w:bCs/>
          <w:spacing w:val="2"/>
          <w:sz w:val="24"/>
          <w:szCs w:val="24"/>
          <w:lang w:eastAsia="sq-AL"/>
        </w:rPr>
        <w:t xml:space="preserve"> në klasën e katërt nuk kemi (f</w:t>
      </w:r>
      <w:r w:rsidRPr="00C8462B">
        <w:rPr>
          <w:rFonts w:ascii="Times New Roman" w:eastAsia="Times New Roman" w:hAnsi="Times New Roman" w:cs="Times New Roman"/>
          <w:bCs/>
          <w:spacing w:val="2"/>
          <w:sz w:val="24"/>
          <w:szCs w:val="24"/>
          <w:lang w:eastAsia="sq-AL"/>
        </w:rPr>
        <w:t xml:space="preserve">enomenin e tharjes komplet të drurëve).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eastAsia="sq-AL"/>
        </w:rPr>
      </w:pPr>
      <w:r w:rsidRPr="00C8462B">
        <w:rPr>
          <w:rFonts w:ascii="Times New Roman" w:eastAsia="Times New Roman" w:hAnsi="Times New Roman" w:cs="Times New Roman"/>
          <w:b/>
          <w:spacing w:val="2"/>
          <w:sz w:val="24"/>
          <w:szCs w:val="24"/>
          <w:lang w:eastAsia="sq-AL"/>
        </w:rPr>
        <w:t>- Për llojet e dushqeve dhe gështenjë,</w:t>
      </w:r>
      <w:r w:rsidRPr="00C8462B">
        <w:rPr>
          <w:rFonts w:ascii="Times New Roman" w:eastAsia="Times New Roman" w:hAnsi="Times New Roman" w:cs="Times New Roman"/>
          <w:bCs/>
          <w:spacing w:val="2"/>
          <w:sz w:val="24"/>
          <w:szCs w:val="24"/>
          <w:lang w:eastAsia="sq-AL"/>
        </w:rPr>
        <w:t xml:space="preserve"> kemi ndryshime të vlerave në krahasim me vitet e mëparshme, në klasën e tretë (61-100%) në vitin 2024 ishte 10.86%, kurse në vitin 2</w:t>
      </w:r>
      <w:r w:rsidR="0085180A">
        <w:rPr>
          <w:rFonts w:ascii="Times New Roman" w:eastAsia="Times New Roman" w:hAnsi="Times New Roman" w:cs="Times New Roman"/>
          <w:bCs/>
          <w:spacing w:val="2"/>
          <w:sz w:val="24"/>
          <w:szCs w:val="24"/>
          <w:lang w:eastAsia="sq-AL"/>
        </w:rPr>
        <w:t xml:space="preserve">025 është 9.13 %, </w:t>
      </w:r>
      <w:r w:rsidR="003F55C0">
        <w:rPr>
          <w:rFonts w:ascii="Times New Roman" w:eastAsia="Times New Roman" w:hAnsi="Times New Roman" w:cs="Times New Roman"/>
          <w:bCs/>
          <w:spacing w:val="2"/>
          <w:sz w:val="24"/>
          <w:szCs w:val="24"/>
          <w:lang w:eastAsia="sq-AL"/>
        </w:rPr>
        <w:t>me</w:t>
      </w:r>
      <w:r w:rsidR="0085180A">
        <w:rPr>
          <w:rFonts w:ascii="Times New Roman" w:eastAsia="Times New Roman" w:hAnsi="Times New Roman" w:cs="Times New Roman"/>
          <w:bCs/>
          <w:spacing w:val="2"/>
          <w:sz w:val="24"/>
          <w:szCs w:val="24"/>
          <w:lang w:eastAsia="sq-AL"/>
        </w:rPr>
        <w:t xml:space="preserve"> një </w:t>
      </w:r>
      <w:r w:rsidRPr="00C8462B">
        <w:rPr>
          <w:rFonts w:ascii="Times New Roman" w:eastAsia="Times New Roman" w:hAnsi="Times New Roman" w:cs="Times New Roman"/>
          <w:bCs/>
          <w:spacing w:val="2"/>
          <w:sz w:val="24"/>
          <w:szCs w:val="24"/>
          <w:lang w:eastAsia="sq-AL"/>
        </w:rPr>
        <w:t xml:space="preserve">rënie </w:t>
      </w:r>
      <w:r w:rsidR="003F55C0">
        <w:rPr>
          <w:rFonts w:ascii="Times New Roman" w:eastAsia="Times New Roman" w:hAnsi="Times New Roman" w:cs="Times New Roman"/>
          <w:bCs/>
          <w:spacing w:val="2"/>
          <w:sz w:val="24"/>
          <w:szCs w:val="24"/>
          <w:lang w:eastAsia="sq-AL"/>
        </w:rPr>
        <w:t>prej</w:t>
      </w:r>
      <w:r w:rsidRPr="00C8462B">
        <w:rPr>
          <w:rFonts w:ascii="Times New Roman" w:eastAsia="Times New Roman" w:hAnsi="Times New Roman" w:cs="Times New Roman"/>
          <w:bCs/>
          <w:spacing w:val="2"/>
          <w:sz w:val="24"/>
          <w:szCs w:val="24"/>
          <w:lang w:eastAsia="sq-AL"/>
        </w:rPr>
        <w:t xml:space="preserve"> 1.37%, kurse</w:t>
      </w:r>
      <w:r w:rsidR="005617F3">
        <w:rPr>
          <w:rFonts w:ascii="Times New Roman" w:eastAsia="Times New Roman" w:hAnsi="Times New Roman" w:cs="Times New Roman"/>
          <w:bCs/>
          <w:spacing w:val="2"/>
          <w:sz w:val="24"/>
          <w:szCs w:val="24"/>
          <w:lang w:eastAsia="sq-AL"/>
        </w:rPr>
        <w:t xml:space="preserve"> në klasën e katërt nuk kemi (f</w:t>
      </w:r>
      <w:r w:rsidRPr="00C8462B">
        <w:rPr>
          <w:rFonts w:ascii="Times New Roman" w:eastAsia="Times New Roman" w:hAnsi="Times New Roman" w:cs="Times New Roman"/>
          <w:bCs/>
          <w:spacing w:val="2"/>
          <w:sz w:val="24"/>
          <w:szCs w:val="24"/>
          <w:lang w:eastAsia="sq-AL"/>
        </w:rPr>
        <w:t xml:space="preserve">enomenin e tharjes komplet të drurëve </w:t>
      </w:r>
    </w:p>
    <w:p w:rsidR="00C8462B" w:rsidRPr="000F53CF" w:rsidRDefault="00C8462B" w:rsidP="00C8462B">
      <w:pPr>
        <w:spacing w:after="0" w:line="240" w:lineRule="auto"/>
        <w:jc w:val="both"/>
        <w:rPr>
          <w:rFonts w:ascii="Times New Roman" w:eastAsia="Times New Roman" w:hAnsi="Times New Roman" w:cs="Times New Roman"/>
          <w:bCs/>
          <w:spacing w:val="2"/>
          <w:sz w:val="24"/>
          <w:szCs w:val="24"/>
          <w:lang w:eastAsia="sq-AL"/>
        </w:rPr>
      </w:pPr>
      <w:r w:rsidRPr="00C8462B">
        <w:rPr>
          <w:rFonts w:ascii="Times New Roman" w:eastAsia="Times New Roman" w:hAnsi="Times New Roman" w:cs="Times New Roman"/>
          <w:b/>
          <w:spacing w:val="2"/>
          <w:sz w:val="24"/>
          <w:szCs w:val="24"/>
          <w:lang w:eastAsia="sq-AL"/>
        </w:rPr>
        <w:t>- Për fletorët e tjerë,</w:t>
      </w:r>
      <w:r w:rsidRPr="00C8462B">
        <w:rPr>
          <w:rFonts w:ascii="Times New Roman" w:eastAsia="Times New Roman" w:hAnsi="Times New Roman" w:cs="Times New Roman"/>
          <w:bCs/>
          <w:spacing w:val="2"/>
          <w:sz w:val="24"/>
          <w:szCs w:val="24"/>
          <w:lang w:eastAsia="sq-AL"/>
        </w:rPr>
        <w:t xml:space="preserve"> kemi ndryshime të vlerave në krahasim me vitet e mëparshme, në klasën e tretë (61-100%) në vitin 2024 ishte 11.55%, kurse në vitin 20</w:t>
      </w:r>
      <w:r w:rsidR="003F55C0">
        <w:rPr>
          <w:rFonts w:ascii="Times New Roman" w:eastAsia="Times New Roman" w:hAnsi="Times New Roman" w:cs="Times New Roman"/>
          <w:bCs/>
          <w:spacing w:val="2"/>
          <w:sz w:val="24"/>
          <w:szCs w:val="24"/>
          <w:lang w:eastAsia="sq-AL"/>
        </w:rPr>
        <w:t xml:space="preserve">25 është 10.35 %, pra kemi një </w:t>
      </w:r>
      <w:r w:rsidRPr="00C8462B">
        <w:rPr>
          <w:rFonts w:ascii="Times New Roman" w:eastAsia="Times New Roman" w:hAnsi="Times New Roman" w:cs="Times New Roman"/>
          <w:bCs/>
          <w:spacing w:val="2"/>
          <w:sz w:val="24"/>
          <w:szCs w:val="24"/>
          <w:lang w:eastAsia="sq-AL"/>
        </w:rPr>
        <w:t>rënie me 1.20%, kurse</w:t>
      </w:r>
      <w:r w:rsidR="005617F3">
        <w:rPr>
          <w:rFonts w:ascii="Times New Roman" w:eastAsia="Times New Roman" w:hAnsi="Times New Roman" w:cs="Times New Roman"/>
          <w:bCs/>
          <w:spacing w:val="2"/>
          <w:sz w:val="24"/>
          <w:szCs w:val="24"/>
          <w:lang w:eastAsia="sq-AL"/>
        </w:rPr>
        <w:t xml:space="preserve"> në klasën e katërt nuk kemi (f</w:t>
      </w:r>
      <w:r w:rsidRPr="00C8462B">
        <w:rPr>
          <w:rFonts w:ascii="Times New Roman" w:eastAsia="Times New Roman" w:hAnsi="Times New Roman" w:cs="Times New Roman"/>
          <w:bCs/>
          <w:spacing w:val="2"/>
          <w:sz w:val="24"/>
          <w:szCs w:val="24"/>
          <w:lang w:eastAsia="sq-AL"/>
        </w:rPr>
        <w:t xml:space="preserve">enomenin e tharjes komplet të drurëve </w:t>
      </w:r>
    </w:p>
    <w:p w:rsidR="00FF4C1A" w:rsidRDefault="00FF4C1A" w:rsidP="00C8462B">
      <w:pPr>
        <w:spacing w:after="0" w:line="240" w:lineRule="auto"/>
        <w:jc w:val="both"/>
        <w:rPr>
          <w:rFonts w:ascii="Times New Roman" w:eastAsia="Times New Roman" w:hAnsi="Times New Roman" w:cs="Times New Roman"/>
          <w:b/>
          <w:bCs/>
          <w:sz w:val="24"/>
          <w:szCs w:val="24"/>
          <w:lang w:val="en-GB" w:eastAsia="sq-AL"/>
        </w:rPr>
      </w:pPr>
      <w:r w:rsidRPr="00B01713">
        <w:rPr>
          <w:noProof/>
          <w:bdr w:val="single" w:sz="12" w:space="0" w:color="auto"/>
          <w14:ligatures w14:val="standardContextual"/>
        </w:rPr>
        <w:drawing>
          <wp:inline distT="0" distB="0" distL="0" distR="0" wp14:anchorId="7EB8E448" wp14:editId="161A95BF">
            <wp:extent cx="5143500" cy="2314575"/>
            <wp:effectExtent l="0" t="0" r="19050" b="9525"/>
            <wp:docPr id="36" name="Chart 1">
              <a:extLst xmlns:a="http://schemas.openxmlformats.org/drawingml/2006/main">
                <a:ext uri="{FF2B5EF4-FFF2-40B4-BE49-F238E27FC236}">
                  <a16:creationId xmlns:a16="http://schemas.microsoft.com/office/drawing/2014/main" id="{24597E30-CFD1-2D32-0223-3A61A7306B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4"/>
              </a:graphicData>
            </a:graphic>
          </wp:inline>
        </w:drawing>
      </w:r>
    </w:p>
    <w:p w:rsidR="00FF4C1A" w:rsidRPr="00C8462B" w:rsidRDefault="00FF4C1A" w:rsidP="00C8462B">
      <w:pPr>
        <w:spacing w:after="0" w:line="240" w:lineRule="auto"/>
        <w:jc w:val="both"/>
        <w:rPr>
          <w:rFonts w:ascii="Times New Roman" w:eastAsia="Times New Roman" w:hAnsi="Times New Roman" w:cs="Times New Roman"/>
          <w:b/>
          <w:bCs/>
          <w:sz w:val="24"/>
          <w:szCs w:val="24"/>
          <w:lang w:val="en-GB" w:eastAsia="sq-AL"/>
        </w:rPr>
      </w:pPr>
    </w:p>
    <w:p w:rsidR="005617F3" w:rsidRDefault="005617F3" w:rsidP="00C8462B">
      <w:pPr>
        <w:spacing w:after="0" w:line="240" w:lineRule="auto"/>
        <w:jc w:val="both"/>
        <w:rPr>
          <w:rFonts w:ascii="Times New Roman" w:eastAsia="Times New Roman" w:hAnsi="Times New Roman" w:cs="Times New Roman"/>
          <w:b/>
          <w:bCs/>
          <w:sz w:val="24"/>
          <w:szCs w:val="24"/>
          <w:lang w:val="en-GB" w:eastAsia="sq-AL"/>
        </w:rPr>
      </w:pPr>
    </w:p>
    <w:p w:rsidR="005617F3" w:rsidRDefault="005617F3" w:rsidP="00C8462B">
      <w:pPr>
        <w:spacing w:after="0" w:line="240" w:lineRule="auto"/>
        <w:jc w:val="both"/>
        <w:rPr>
          <w:rFonts w:ascii="Times New Roman" w:eastAsia="Times New Roman" w:hAnsi="Times New Roman" w:cs="Times New Roman"/>
          <w:b/>
          <w:bCs/>
          <w:sz w:val="24"/>
          <w:szCs w:val="24"/>
          <w:lang w:val="en-GB" w:eastAsia="sq-AL"/>
        </w:rPr>
      </w:pPr>
    </w:p>
    <w:p w:rsidR="00C8462B" w:rsidRPr="00C8462B" w:rsidRDefault="005617F3" w:rsidP="00C8462B">
      <w:pPr>
        <w:spacing w:after="0" w:line="240" w:lineRule="auto"/>
        <w:jc w:val="both"/>
        <w:rPr>
          <w:rFonts w:ascii="Times New Roman" w:eastAsia="Times New Roman" w:hAnsi="Times New Roman" w:cs="Times New Roman"/>
          <w:b/>
          <w:bCs/>
          <w:sz w:val="24"/>
          <w:szCs w:val="24"/>
          <w:lang w:val="en-GB" w:eastAsia="sq-AL"/>
        </w:rPr>
      </w:pPr>
      <w:r>
        <w:rPr>
          <w:rFonts w:ascii="Times New Roman" w:eastAsia="Times New Roman" w:hAnsi="Times New Roman" w:cs="Times New Roman"/>
          <w:b/>
          <w:bCs/>
          <w:sz w:val="24"/>
          <w:szCs w:val="24"/>
          <w:lang w:val="en-GB" w:eastAsia="sq-AL"/>
        </w:rPr>
        <w:t>Ç</w:t>
      </w:r>
      <w:r w:rsidR="00C8462B" w:rsidRPr="00C8462B">
        <w:rPr>
          <w:rFonts w:ascii="Times New Roman" w:eastAsia="Times New Roman" w:hAnsi="Times New Roman" w:cs="Times New Roman"/>
          <w:b/>
          <w:bCs/>
          <w:sz w:val="24"/>
          <w:szCs w:val="24"/>
          <w:lang w:val="en-GB" w:eastAsia="sq-AL"/>
        </w:rPr>
        <w:t>ngjyrosja (tjetërsimi i ngjyrës së halave dhe gjetheve)</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eastAsia="sq-AL"/>
        </w:rPr>
      </w:pPr>
      <w:r w:rsidRPr="00C8462B">
        <w:rPr>
          <w:rFonts w:ascii="Times New Roman" w:eastAsia="Times New Roman" w:hAnsi="Times New Roman" w:cs="Times New Roman"/>
          <w:bCs/>
          <w:spacing w:val="2"/>
          <w:sz w:val="24"/>
          <w:szCs w:val="24"/>
          <w:lang w:eastAsia="sq-AL"/>
        </w:rPr>
        <w:t>Nga të dhënat e grumbulluara</w:t>
      </w:r>
      <w:r w:rsidR="003F55C0">
        <w:rPr>
          <w:rFonts w:ascii="Times New Roman" w:eastAsia="Times New Roman" w:hAnsi="Times New Roman" w:cs="Times New Roman"/>
          <w:bCs/>
          <w:spacing w:val="2"/>
          <w:sz w:val="24"/>
          <w:szCs w:val="24"/>
          <w:lang w:eastAsia="sq-AL"/>
        </w:rPr>
        <w:t xml:space="preserve"> gjatë këtij viti, fenomeni i ç</w:t>
      </w:r>
      <w:r w:rsidRPr="00C8462B">
        <w:rPr>
          <w:rFonts w:ascii="Times New Roman" w:eastAsia="Times New Roman" w:hAnsi="Times New Roman" w:cs="Times New Roman"/>
          <w:bCs/>
          <w:spacing w:val="2"/>
          <w:sz w:val="24"/>
          <w:szCs w:val="24"/>
          <w:lang w:eastAsia="sq-AL"/>
        </w:rPr>
        <w:t xml:space="preserve">ngjyrosjes për llojet halorë rezulton;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eastAsia="sq-AL"/>
        </w:rPr>
      </w:pPr>
      <w:r w:rsidRPr="00C8462B">
        <w:rPr>
          <w:rFonts w:ascii="Times New Roman" w:eastAsia="Times New Roman" w:hAnsi="Times New Roman" w:cs="Times New Roman"/>
          <w:bCs/>
          <w:spacing w:val="2"/>
          <w:sz w:val="24"/>
          <w:szCs w:val="24"/>
          <w:lang w:eastAsia="sq-AL"/>
        </w:rPr>
        <w:t xml:space="preserve">- </w:t>
      </w:r>
      <w:r w:rsidRPr="00C8462B">
        <w:rPr>
          <w:rFonts w:ascii="Times New Roman" w:eastAsia="Times New Roman" w:hAnsi="Times New Roman" w:cs="Times New Roman"/>
          <w:b/>
          <w:spacing w:val="2"/>
          <w:sz w:val="24"/>
          <w:szCs w:val="24"/>
          <w:lang w:eastAsia="sq-AL"/>
        </w:rPr>
        <w:t>Për llojin pishë e zezë,</w:t>
      </w:r>
      <w:r w:rsidRPr="00C8462B">
        <w:rPr>
          <w:rFonts w:ascii="Times New Roman" w:eastAsia="Times New Roman" w:hAnsi="Times New Roman" w:cs="Times New Roman"/>
          <w:bCs/>
          <w:spacing w:val="2"/>
          <w:sz w:val="24"/>
          <w:szCs w:val="24"/>
          <w:lang w:eastAsia="sq-AL"/>
        </w:rPr>
        <w:t xml:space="preserve"> përqindja e ç’ngjyrosja e halave në klasën e tretë (61-100%) në vitin 2024 ishte 10.73%, kurse në vitin 2025 është 9.66 %, pra kemi </w:t>
      </w:r>
      <w:r w:rsidR="003F55C0">
        <w:rPr>
          <w:rFonts w:ascii="Times New Roman" w:eastAsia="Times New Roman" w:hAnsi="Times New Roman" w:cs="Times New Roman"/>
          <w:bCs/>
          <w:spacing w:val="2"/>
          <w:sz w:val="24"/>
          <w:szCs w:val="24"/>
          <w:lang w:eastAsia="sq-AL"/>
        </w:rPr>
        <w:t>ulje</w:t>
      </w:r>
      <w:r w:rsidRPr="00C8462B">
        <w:rPr>
          <w:rFonts w:ascii="Times New Roman" w:eastAsia="Times New Roman" w:hAnsi="Times New Roman" w:cs="Times New Roman"/>
          <w:bCs/>
          <w:spacing w:val="2"/>
          <w:sz w:val="24"/>
          <w:szCs w:val="24"/>
          <w:lang w:eastAsia="sq-AL"/>
        </w:rPr>
        <w:t xml:space="preserve"> me 1.06%, kurse</w:t>
      </w:r>
      <w:r w:rsidR="005617F3">
        <w:rPr>
          <w:rFonts w:ascii="Times New Roman" w:eastAsia="Times New Roman" w:hAnsi="Times New Roman" w:cs="Times New Roman"/>
          <w:bCs/>
          <w:spacing w:val="2"/>
          <w:sz w:val="24"/>
          <w:szCs w:val="24"/>
          <w:lang w:eastAsia="sq-AL"/>
        </w:rPr>
        <w:t xml:space="preserve"> në klasën e katërt nuk kemi (f</w:t>
      </w:r>
      <w:r w:rsidRPr="00C8462B">
        <w:rPr>
          <w:rFonts w:ascii="Times New Roman" w:eastAsia="Times New Roman" w:hAnsi="Times New Roman" w:cs="Times New Roman"/>
          <w:bCs/>
          <w:spacing w:val="2"/>
          <w:sz w:val="24"/>
          <w:szCs w:val="24"/>
          <w:lang w:eastAsia="sq-AL"/>
        </w:rPr>
        <w:t xml:space="preserve">enomenin e tharjes komplet të drurëve).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eastAsia="sq-AL"/>
        </w:rPr>
      </w:pPr>
      <w:r w:rsidRPr="00C8462B">
        <w:rPr>
          <w:rFonts w:ascii="Times New Roman" w:eastAsia="Times New Roman" w:hAnsi="Times New Roman" w:cs="Times New Roman"/>
          <w:bCs/>
          <w:spacing w:val="2"/>
          <w:sz w:val="24"/>
          <w:szCs w:val="24"/>
          <w:lang w:eastAsia="sq-AL"/>
        </w:rPr>
        <w:t xml:space="preserve">- </w:t>
      </w:r>
      <w:r w:rsidRPr="00C8462B">
        <w:rPr>
          <w:rFonts w:ascii="Times New Roman" w:eastAsia="Times New Roman" w:hAnsi="Times New Roman" w:cs="Times New Roman"/>
          <w:b/>
          <w:spacing w:val="2"/>
          <w:sz w:val="24"/>
          <w:szCs w:val="24"/>
          <w:lang w:eastAsia="sq-AL"/>
        </w:rPr>
        <w:t>Për llojin e pishave mesdhetare,</w:t>
      </w:r>
      <w:r w:rsidRPr="00C8462B">
        <w:rPr>
          <w:rFonts w:ascii="Times New Roman" w:eastAsia="Times New Roman" w:hAnsi="Times New Roman" w:cs="Times New Roman"/>
          <w:bCs/>
          <w:spacing w:val="2"/>
          <w:sz w:val="24"/>
          <w:szCs w:val="24"/>
          <w:lang w:eastAsia="sq-AL"/>
        </w:rPr>
        <w:t xml:space="preserve"> kemi ndryshime të vlerave në krahasim me vitet e mëparshme, në klasën e tretë (61-100%) në vitin 2024 ishte 8.50%, kurse në vitin </w:t>
      </w:r>
      <w:r w:rsidR="003F55C0">
        <w:rPr>
          <w:rFonts w:ascii="Times New Roman" w:eastAsia="Times New Roman" w:hAnsi="Times New Roman" w:cs="Times New Roman"/>
          <w:bCs/>
          <w:spacing w:val="2"/>
          <w:sz w:val="24"/>
          <w:szCs w:val="24"/>
          <w:lang w:eastAsia="sq-AL"/>
        </w:rPr>
        <w:t xml:space="preserve">2025 është 7.25%, pra kemi një </w:t>
      </w:r>
      <w:r w:rsidRPr="00C8462B">
        <w:rPr>
          <w:rFonts w:ascii="Times New Roman" w:eastAsia="Times New Roman" w:hAnsi="Times New Roman" w:cs="Times New Roman"/>
          <w:bCs/>
          <w:spacing w:val="2"/>
          <w:sz w:val="24"/>
          <w:szCs w:val="24"/>
          <w:lang w:eastAsia="sq-AL"/>
        </w:rPr>
        <w:t>rënie me 1.25%, kurse</w:t>
      </w:r>
      <w:r w:rsidR="005617F3">
        <w:rPr>
          <w:rFonts w:ascii="Times New Roman" w:eastAsia="Times New Roman" w:hAnsi="Times New Roman" w:cs="Times New Roman"/>
          <w:bCs/>
          <w:spacing w:val="2"/>
          <w:sz w:val="24"/>
          <w:szCs w:val="24"/>
          <w:lang w:eastAsia="sq-AL"/>
        </w:rPr>
        <w:t xml:space="preserve"> në klasën e katërt nuk kemi (f</w:t>
      </w:r>
      <w:r w:rsidRPr="00C8462B">
        <w:rPr>
          <w:rFonts w:ascii="Times New Roman" w:eastAsia="Times New Roman" w:hAnsi="Times New Roman" w:cs="Times New Roman"/>
          <w:bCs/>
          <w:spacing w:val="2"/>
          <w:sz w:val="24"/>
          <w:szCs w:val="24"/>
          <w:lang w:eastAsia="sq-AL"/>
        </w:rPr>
        <w:t xml:space="preserve">enomenin e tharjes komplet të drurëve).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eastAsia="sq-AL"/>
        </w:rPr>
      </w:pPr>
      <w:r w:rsidRPr="00C8462B">
        <w:rPr>
          <w:rFonts w:ascii="Times New Roman" w:eastAsia="Times New Roman" w:hAnsi="Times New Roman" w:cs="Times New Roman"/>
          <w:bCs/>
          <w:spacing w:val="2"/>
          <w:sz w:val="24"/>
          <w:szCs w:val="24"/>
          <w:lang w:eastAsia="sq-AL"/>
        </w:rPr>
        <w:t xml:space="preserve"> </w:t>
      </w:r>
      <w:r w:rsidRPr="00C8462B">
        <w:rPr>
          <w:rFonts w:ascii="Times New Roman" w:eastAsia="Times New Roman" w:hAnsi="Times New Roman" w:cs="Times New Roman"/>
          <w:b/>
          <w:spacing w:val="2"/>
          <w:sz w:val="24"/>
          <w:szCs w:val="24"/>
          <w:lang w:eastAsia="sq-AL"/>
        </w:rPr>
        <w:t>- Për llojin bredh,</w:t>
      </w:r>
      <w:r w:rsidRPr="00C8462B">
        <w:rPr>
          <w:rFonts w:ascii="Times New Roman" w:eastAsia="Times New Roman" w:hAnsi="Times New Roman" w:cs="Times New Roman"/>
          <w:bCs/>
          <w:spacing w:val="2"/>
          <w:sz w:val="24"/>
          <w:szCs w:val="24"/>
          <w:lang w:eastAsia="sq-AL"/>
        </w:rPr>
        <w:t xml:space="preserve"> kemi ndryshime të vlerave në krahasim me vitet e mëparshme, në klasën e tretë (61-100%) në vitin 2024 ishte 9.45%, kurse në vitin 2</w:t>
      </w:r>
      <w:r w:rsidR="003F55C0">
        <w:rPr>
          <w:rFonts w:ascii="Times New Roman" w:eastAsia="Times New Roman" w:hAnsi="Times New Roman" w:cs="Times New Roman"/>
          <w:bCs/>
          <w:spacing w:val="2"/>
          <w:sz w:val="24"/>
          <w:szCs w:val="24"/>
          <w:lang w:eastAsia="sq-AL"/>
        </w:rPr>
        <w:t xml:space="preserve">025 është 8.68 %, pra kemi një </w:t>
      </w:r>
      <w:r w:rsidRPr="00C8462B">
        <w:rPr>
          <w:rFonts w:ascii="Times New Roman" w:eastAsia="Times New Roman" w:hAnsi="Times New Roman" w:cs="Times New Roman"/>
          <w:bCs/>
          <w:spacing w:val="2"/>
          <w:sz w:val="24"/>
          <w:szCs w:val="24"/>
          <w:lang w:eastAsia="sq-AL"/>
        </w:rPr>
        <w:t>rënie me 0.77% kurse</w:t>
      </w:r>
      <w:r w:rsidR="005617F3">
        <w:rPr>
          <w:rFonts w:ascii="Times New Roman" w:eastAsia="Times New Roman" w:hAnsi="Times New Roman" w:cs="Times New Roman"/>
          <w:bCs/>
          <w:spacing w:val="2"/>
          <w:sz w:val="24"/>
          <w:szCs w:val="24"/>
          <w:lang w:eastAsia="sq-AL"/>
        </w:rPr>
        <w:t xml:space="preserve"> në klasën e katërt nuk kemi (f</w:t>
      </w:r>
      <w:r w:rsidRPr="00C8462B">
        <w:rPr>
          <w:rFonts w:ascii="Times New Roman" w:eastAsia="Times New Roman" w:hAnsi="Times New Roman" w:cs="Times New Roman"/>
          <w:bCs/>
          <w:spacing w:val="2"/>
          <w:sz w:val="24"/>
          <w:szCs w:val="24"/>
          <w:lang w:eastAsia="sq-AL"/>
        </w:rPr>
        <w:t xml:space="preserve">enomenin e tharjes komplet të drurëve). </w:t>
      </w:r>
    </w:p>
    <w:p w:rsidR="00C8462B" w:rsidRDefault="00C8462B" w:rsidP="00C8462B">
      <w:pPr>
        <w:spacing w:after="0" w:line="240" w:lineRule="auto"/>
        <w:jc w:val="both"/>
        <w:rPr>
          <w:rFonts w:ascii="Times New Roman" w:eastAsia="Times New Roman" w:hAnsi="Times New Roman" w:cs="Times New Roman"/>
          <w:bCs/>
          <w:spacing w:val="2"/>
          <w:sz w:val="24"/>
          <w:szCs w:val="24"/>
          <w:lang w:eastAsia="sq-AL"/>
        </w:rPr>
      </w:pPr>
      <w:r w:rsidRPr="00C8462B">
        <w:rPr>
          <w:rFonts w:ascii="Times New Roman" w:eastAsia="Times New Roman" w:hAnsi="Times New Roman" w:cs="Times New Roman"/>
          <w:bCs/>
          <w:spacing w:val="2"/>
          <w:sz w:val="24"/>
          <w:szCs w:val="24"/>
          <w:lang w:eastAsia="sq-AL"/>
        </w:rPr>
        <w:t>-</w:t>
      </w:r>
      <w:r w:rsidRPr="00C8462B">
        <w:rPr>
          <w:rFonts w:ascii="Times New Roman" w:eastAsia="Times New Roman" w:hAnsi="Times New Roman" w:cs="Times New Roman"/>
          <w:b/>
          <w:spacing w:val="2"/>
          <w:sz w:val="24"/>
          <w:szCs w:val="24"/>
          <w:lang w:eastAsia="sq-AL"/>
        </w:rPr>
        <w:t>Për llojet halorë e tjerë,</w:t>
      </w:r>
      <w:r w:rsidRPr="00C8462B">
        <w:rPr>
          <w:rFonts w:ascii="Times New Roman" w:eastAsia="Times New Roman" w:hAnsi="Times New Roman" w:cs="Times New Roman"/>
          <w:bCs/>
          <w:spacing w:val="2"/>
          <w:sz w:val="24"/>
          <w:szCs w:val="24"/>
          <w:lang w:eastAsia="sq-AL"/>
        </w:rPr>
        <w:t xml:space="preserve"> kemi ndryshime të vlerave në krahasim me vitet e mëparshme, në klasën e tretë (61-100%) në vitin 2024 ishte 12.95%, kurse në vitin 20</w:t>
      </w:r>
      <w:r w:rsidR="005617F3">
        <w:rPr>
          <w:rFonts w:ascii="Times New Roman" w:eastAsia="Times New Roman" w:hAnsi="Times New Roman" w:cs="Times New Roman"/>
          <w:bCs/>
          <w:spacing w:val="2"/>
          <w:sz w:val="24"/>
          <w:szCs w:val="24"/>
          <w:lang w:eastAsia="sq-AL"/>
        </w:rPr>
        <w:t xml:space="preserve">25 është 11.37 %, pra kemi një </w:t>
      </w:r>
      <w:r w:rsidRPr="00C8462B">
        <w:rPr>
          <w:rFonts w:ascii="Times New Roman" w:eastAsia="Times New Roman" w:hAnsi="Times New Roman" w:cs="Times New Roman"/>
          <w:bCs/>
          <w:spacing w:val="2"/>
          <w:sz w:val="24"/>
          <w:szCs w:val="24"/>
          <w:lang w:eastAsia="sq-AL"/>
        </w:rPr>
        <w:t>rënie me 1.58% kurse në klasën</w:t>
      </w:r>
      <w:r w:rsidR="005617F3">
        <w:rPr>
          <w:rFonts w:ascii="Times New Roman" w:eastAsia="Times New Roman" w:hAnsi="Times New Roman" w:cs="Times New Roman"/>
          <w:bCs/>
          <w:spacing w:val="2"/>
          <w:sz w:val="24"/>
          <w:szCs w:val="24"/>
          <w:lang w:eastAsia="sq-AL"/>
        </w:rPr>
        <w:t xml:space="preserve"> e katërt nuk kemi (f</w:t>
      </w:r>
      <w:r w:rsidRPr="00C8462B">
        <w:rPr>
          <w:rFonts w:ascii="Times New Roman" w:eastAsia="Times New Roman" w:hAnsi="Times New Roman" w:cs="Times New Roman"/>
          <w:bCs/>
          <w:spacing w:val="2"/>
          <w:sz w:val="24"/>
          <w:szCs w:val="24"/>
          <w:lang w:eastAsia="sq-AL"/>
        </w:rPr>
        <w:t xml:space="preserve">enomenin e tharjes komplet të drurëve). </w:t>
      </w:r>
    </w:p>
    <w:p w:rsidR="00FF4C1A" w:rsidRDefault="00FF4C1A" w:rsidP="00C8462B">
      <w:pPr>
        <w:spacing w:after="0" w:line="240" w:lineRule="auto"/>
        <w:jc w:val="both"/>
        <w:rPr>
          <w:rFonts w:ascii="Times New Roman" w:eastAsia="Times New Roman" w:hAnsi="Times New Roman" w:cs="Times New Roman"/>
          <w:bCs/>
          <w:spacing w:val="2"/>
          <w:sz w:val="24"/>
          <w:szCs w:val="24"/>
          <w:lang w:eastAsia="sq-AL"/>
        </w:rPr>
      </w:pPr>
    </w:p>
    <w:p w:rsidR="00FF4C1A" w:rsidRDefault="00FF4C1A" w:rsidP="00C8462B">
      <w:pPr>
        <w:spacing w:after="0" w:line="240" w:lineRule="auto"/>
        <w:jc w:val="both"/>
        <w:rPr>
          <w:rFonts w:ascii="Times New Roman" w:eastAsia="Times New Roman" w:hAnsi="Times New Roman" w:cs="Times New Roman"/>
          <w:bCs/>
          <w:spacing w:val="2"/>
          <w:sz w:val="24"/>
          <w:szCs w:val="24"/>
          <w:lang w:eastAsia="sq-AL"/>
        </w:rPr>
      </w:pPr>
      <w:r w:rsidRPr="00B01713">
        <w:rPr>
          <w:noProof/>
          <w:bdr w:val="single" w:sz="12" w:space="0" w:color="auto"/>
          <w14:ligatures w14:val="standardContextual"/>
        </w:rPr>
        <w:drawing>
          <wp:inline distT="0" distB="0" distL="0" distR="0" wp14:anchorId="14EF6FF8" wp14:editId="40A73DAF">
            <wp:extent cx="5848350" cy="2162175"/>
            <wp:effectExtent l="0" t="0" r="0" b="9525"/>
            <wp:docPr id="59" name="Chart 1">
              <a:extLst xmlns:a="http://schemas.openxmlformats.org/drawingml/2006/main">
                <a:ext uri="{FF2B5EF4-FFF2-40B4-BE49-F238E27FC236}">
                  <a16:creationId xmlns:a16="http://schemas.microsoft.com/office/drawing/2014/main" id="{65DAF147-C6DE-6047-027E-96DA0E79C1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5"/>
              </a:graphicData>
            </a:graphic>
          </wp:inline>
        </w:drawing>
      </w:r>
    </w:p>
    <w:p w:rsidR="00FF4C1A" w:rsidRDefault="00FF4C1A" w:rsidP="00C8462B">
      <w:pPr>
        <w:spacing w:after="0" w:line="240" w:lineRule="auto"/>
        <w:jc w:val="both"/>
        <w:rPr>
          <w:rFonts w:ascii="Times New Roman" w:eastAsia="Times New Roman" w:hAnsi="Times New Roman" w:cs="Times New Roman"/>
          <w:bCs/>
          <w:spacing w:val="2"/>
          <w:sz w:val="24"/>
          <w:szCs w:val="24"/>
          <w:lang w:eastAsia="sq-AL"/>
        </w:rPr>
      </w:pPr>
    </w:p>
    <w:p w:rsidR="00FF4C1A" w:rsidRPr="00C8462B" w:rsidRDefault="00FF4C1A" w:rsidP="00C8462B">
      <w:pPr>
        <w:spacing w:after="0" w:line="240" w:lineRule="auto"/>
        <w:jc w:val="both"/>
        <w:rPr>
          <w:rFonts w:ascii="Times New Roman" w:eastAsia="Times New Roman" w:hAnsi="Times New Roman" w:cs="Times New Roman"/>
          <w:bCs/>
          <w:spacing w:val="2"/>
          <w:sz w:val="24"/>
          <w:szCs w:val="24"/>
          <w:lang w:eastAsia="sq-AL"/>
        </w:rPr>
      </w:pPr>
    </w:p>
    <w:p w:rsidR="00C8462B" w:rsidRPr="003F55C0" w:rsidRDefault="005617F3" w:rsidP="00C8462B">
      <w:pPr>
        <w:spacing w:after="0" w:line="240" w:lineRule="auto"/>
        <w:jc w:val="both"/>
        <w:rPr>
          <w:rFonts w:ascii="Times New Roman" w:eastAsia="Times New Roman" w:hAnsi="Times New Roman" w:cs="Times New Roman"/>
          <w:bCs/>
          <w:spacing w:val="2"/>
          <w:sz w:val="24"/>
          <w:szCs w:val="24"/>
          <w:u w:val="single"/>
          <w:lang w:eastAsia="sq-AL"/>
        </w:rPr>
      </w:pPr>
      <w:r w:rsidRPr="003F55C0">
        <w:rPr>
          <w:rFonts w:ascii="Times New Roman" w:eastAsia="Times New Roman" w:hAnsi="Times New Roman" w:cs="Times New Roman"/>
          <w:b/>
          <w:bCs/>
          <w:spacing w:val="2"/>
          <w:sz w:val="24"/>
          <w:szCs w:val="24"/>
          <w:u w:val="single"/>
          <w:lang w:eastAsia="sq-AL"/>
        </w:rPr>
        <w:t>Ç</w:t>
      </w:r>
      <w:r w:rsidR="003F55C0" w:rsidRPr="003F55C0">
        <w:rPr>
          <w:rFonts w:ascii="Times New Roman" w:eastAsia="Times New Roman" w:hAnsi="Times New Roman" w:cs="Times New Roman"/>
          <w:b/>
          <w:bCs/>
          <w:spacing w:val="2"/>
          <w:sz w:val="24"/>
          <w:szCs w:val="24"/>
          <w:u w:val="single"/>
          <w:lang w:eastAsia="sq-AL"/>
        </w:rPr>
        <w:t>ngjyrosja e</w:t>
      </w:r>
      <w:r w:rsidR="00C8462B" w:rsidRPr="003F55C0">
        <w:rPr>
          <w:rFonts w:ascii="Times New Roman" w:eastAsia="Times New Roman" w:hAnsi="Times New Roman" w:cs="Times New Roman"/>
          <w:b/>
          <w:bCs/>
          <w:spacing w:val="2"/>
          <w:sz w:val="24"/>
          <w:szCs w:val="24"/>
          <w:u w:val="single"/>
          <w:lang w:eastAsia="sq-AL"/>
        </w:rPr>
        <w:t xml:space="preserve"> gjetheve</w:t>
      </w:r>
    </w:p>
    <w:p w:rsidR="00C8462B" w:rsidRPr="00C8462B" w:rsidRDefault="00C8462B" w:rsidP="00C8462B">
      <w:pPr>
        <w:spacing w:after="0" w:line="240" w:lineRule="auto"/>
        <w:jc w:val="both"/>
        <w:rPr>
          <w:rFonts w:ascii="Times New Roman" w:eastAsia="Times New Roman" w:hAnsi="Times New Roman" w:cs="Times New Roman"/>
          <w:b/>
          <w:bCs/>
          <w:i/>
          <w:spacing w:val="2"/>
          <w:sz w:val="24"/>
          <w:szCs w:val="24"/>
          <w:lang w:eastAsia="sq-AL"/>
        </w:rPr>
      </w:pPr>
      <w:r w:rsidRPr="00C8462B">
        <w:rPr>
          <w:rFonts w:ascii="Times New Roman" w:eastAsia="Times New Roman" w:hAnsi="Times New Roman" w:cs="Times New Roman"/>
          <w:bCs/>
          <w:spacing w:val="2"/>
          <w:sz w:val="24"/>
          <w:szCs w:val="24"/>
          <w:lang w:eastAsia="sq-AL"/>
        </w:rPr>
        <w:t xml:space="preserve">Nga </w:t>
      </w:r>
      <w:r w:rsidR="003F55C0">
        <w:rPr>
          <w:rFonts w:ascii="Times New Roman" w:eastAsia="Times New Roman" w:hAnsi="Times New Roman" w:cs="Times New Roman"/>
          <w:bCs/>
          <w:spacing w:val="2"/>
          <w:sz w:val="24"/>
          <w:szCs w:val="24"/>
          <w:lang w:eastAsia="sq-AL"/>
        </w:rPr>
        <w:t>vëzhgimet</w:t>
      </w:r>
      <w:r w:rsidRPr="00C8462B">
        <w:rPr>
          <w:rFonts w:ascii="Times New Roman" w:eastAsia="Times New Roman" w:hAnsi="Times New Roman" w:cs="Times New Roman"/>
          <w:bCs/>
          <w:spacing w:val="2"/>
          <w:sz w:val="24"/>
          <w:szCs w:val="24"/>
          <w:lang w:eastAsia="sq-AL"/>
        </w:rPr>
        <w:t xml:space="preserve"> në terren të sipërfaqeve të llojeve fletorë, fenomeni i </w:t>
      </w:r>
      <w:r w:rsidR="003F55C0">
        <w:rPr>
          <w:rFonts w:ascii="Times New Roman" w:eastAsia="Times New Roman" w:hAnsi="Times New Roman" w:cs="Times New Roman"/>
          <w:spacing w:val="2"/>
          <w:sz w:val="24"/>
          <w:szCs w:val="24"/>
          <w:lang w:eastAsia="sq-AL"/>
        </w:rPr>
        <w:t>ç</w:t>
      </w:r>
      <w:r w:rsidRPr="00C8462B">
        <w:rPr>
          <w:rFonts w:ascii="Times New Roman" w:eastAsia="Times New Roman" w:hAnsi="Times New Roman" w:cs="Times New Roman"/>
          <w:spacing w:val="2"/>
          <w:sz w:val="24"/>
          <w:szCs w:val="24"/>
          <w:lang w:eastAsia="sq-AL"/>
        </w:rPr>
        <w:t>ngjyrosjes së gjetheve</w:t>
      </w:r>
      <w:r w:rsidRPr="00C8462B">
        <w:rPr>
          <w:rFonts w:ascii="Times New Roman" w:eastAsia="Times New Roman" w:hAnsi="Times New Roman" w:cs="Times New Roman"/>
          <w:b/>
          <w:bCs/>
          <w:i/>
          <w:spacing w:val="2"/>
          <w:sz w:val="24"/>
          <w:szCs w:val="24"/>
          <w:lang w:eastAsia="sq-AL"/>
        </w:rPr>
        <w:t xml:space="preserve"> </w:t>
      </w:r>
      <w:r w:rsidRPr="00C8462B">
        <w:rPr>
          <w:rFonts w:ascii="Times New Roman" w:eastAsia="Times New Roman" w:hAnsi="Times New Roman" w:cs="Times New Roman"/>
          <w:bCs/>
          <w:spacing w:val="2"/>
          <w:sz w:val="24"/>
          <w:szCs w:val="24"/>
          <w:lang w:eastAsia="sq-AL"/>
        </w:rPr>
        <w:t>rezulton si më poshtë:</w:t>
      </w:r>
      <w:r w:rsidRPr="00C8462B">
        <w:rPr>
          <w:rFonts w:ascii="Times New Roman" w:eastAsia="Times New Roman" w:hAnsi="Times New Roman" w:cs="Times New Roman"/>
          <w:b/>
          <w:bCs/>
          <w:i/>
          <w:spacing w:val="2"/>
          <w:sz w:val="24"/>
          <w:szCs w:val="24"/>
          <w:lang w:eastAsia="sq-AL"/>
        </w:rPr>
        <w:t xml:space="preserve">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eastAsia="sq-AL"/>
        </w:rPr>
      </w:pPr>
      <w:r w:rsidRPr="00C8462B">
        <w:rPr>
          <w:rFonts w:ascii="Times New Roman" w:eastAsia="Times New Roman" w:hAnsi="Times New Roman" w:cs="Times New Roman"/>
          <w:b/>
          <w:spacing w:val="2"/>
          <w:sz w:val="24"/>
          <w:szCs w:val="24"/>
          <w:lang w:eastAsia="sq-AL"/>
        </w:rPr>
        <w:t>- Për llojin ah</w:t>
      </w:r>
      <w:r w:rsidRPr="00C8462B">
        <w:rPr>
          <w:rFonts w:ascii="Times New Roman" w:eastAsia="Times New Roman" w:hAnsi="Times New Roman" w:cs="Times New Roman"/>
          <w:bCs/>
          <w:spacing w:val="2"/>
          <w:sz w:val="24"/>
          <w:szCs w:val="24"/>
          <w:lang w:eastAsia="sq-AL"/>
        </w:rPr>
        <w:t>,</w:t>
      </w:r>
      <w:r w:rsidRPr="00C8462B">
        <w:rPr>
          <w:rFonts w:ascii="Times New Roman" w:eastAsia="Times New Roman" w:hAnsi="Times New Roman" w:cs="Times New Roman"/>
          <w:b/>
          <w:spacing w:val="2"/>
          <w:sz w:val="24"/>
          <w:szCs w:val="24"/>
          <w:lang w:eastAsia="sq-AL"/>
        </w:rPr>
        <w:t>mështeknë</w:t>
      </w:r>
      <w:r w:rsidRPr="00C8462B">
        <w:rPr>
          <w:rFonts w:ascii="Times New Roman" w:eastAsia="Times New Roman" w:hAnsi="Times New Roman" w:cs="Times New Roman"/>
          <w:bCs/>
          <w:spacing w:val="2"/>
          <w:sz w:val="24"/>
          <w:szCs w:val="24"/>
          <w:lang w:eastAsia="sq-AL"/>
        </w:rPr>
        <w:t xml:space="preserve"> kemi ndryshime të vlerave në krahasim me vitet e mëparshme, në klasën e tretë (61-100%) në vitin 2024 ishte 14.15%, kurse në vitin 20</w:t>
      </w:r>
      <w:r w:rsidR="003F55C0">
        <w:rPr>
          <w:rFonts w:ascii="Times New Roman" w:eastAsia="Times New Roman" w:hAnsi="Times New Roman" w:cs="Times New Roman"/>
          <w:bCs/>
          <w:spacing w:val="2"/>
          <w:sz w:val="24"/>
          <w:szCs w:val="24"/>
          <w:lang w:eastAsia="sq-AL"/>
        </w:rPr>
        <w:t xml:space="preserve">25 është 13.17 %, pra kemi një </w:t>
      </w:r>
      <w:r w:rsidRPr="00C8462B">
        <w:rPr>
          <w:rFonts w:ascii="Times New Roman" w:eastAsia="Times New Roman" w:hAnsi="Times New Roman" w:cs="Times New Roman"/>
          <w:bCs/>
          <w:spacing w:val="2"/>
          <w:sz w:val="24"/>
          <w:szCs w:val="24"/>
          <w:lang w:eastAsia="sq-AL"/>
        </w:rPr>
        <w:t>rënie me 0.98%, kurse</w:t>
      </w:r>
      <w:r w:rsidR="005617F3">
        <w:rPr>
          <w:rFonts w:ascii="Times New Roman" w:eastAsia="Times New Roman" w:hAnsi="Times New Roman" w:cs="Times New Roman"/>
          <w:bCs/>
          <w:spacing w:val="2"/>
          <w:sz w:val="24"/>
          <w:szCs w:val="24"/>
          <w:lang w:eastAsia="sq-AL"/>
        </w:rPr>
        <w:t xml:space="preserve"> në klasën e katërt nuk kemi (f</w:t>
      </w:r>
      <w:r w:rsidRPr="00C8462B">
        <w:rPr>
          <w:rFonts w:ascii="Times New Roman" w:eastAsia="Times New Roman" w:hAnsi="Times New Roman" w:cs="Times New Roman"/>
          <w:bCs/>
          <w:spacing w:val="2"/>
          <w:sz w:val="24"/>
          <w:szCs w:val="24"/>
          <w:lang w:eastAsia="sq-AL"/>
        </w:rPr>
        <w:t xml:space="preserve">enomenin e tharjes komplet të drurëve).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eastAsia="sq-AL"/>
        </w:rPr>
      </w:pPr>
      <w:r w:rsidRPr="00C8462B">
        <w:rPr>
          <w:rFonts w:ascii="Times New Roman" w:eastAsia="Times New Roman" w:hAnsi="Times New Roman" w:cs="Times New Roman"/>
          <w:b/>
          <w:spacing w:val="2"/>
          <w:sz w:val="24"/>
          <w:szCs w:val="24"/>
          <w:lang w:eastAsia="sq-AL"/>
        </w:rPr>
        <w:t>- Për llojet e dushqeve dhe llojit gështenjë,</w:t>
      </w:r>
      <w:r w:rsidRPr="00C8462B">
        <w:rPr>
          <w:rFonts w:ascii="Times New Roman" w:eastAsia="Times New Roman" w:hAnsi="Times New Roman" w:cs="Times New Roman"/>
          <w:bCs/>
          <w:spacing w:val="2"/>
          <w:sz w:val="24"/>
          <w:szCs w:val="24"/>
          <w:lang w:eastAsia="sq-AL"/>
        </w:rPr>
        <w:t xml:space="preserve"> kemi ndryshime të vlerave në krahasim me vitet e mëparshme, në klasën e tretë (61-100%) në vitin 2024 ishte 12.06%, kurse në vitin 2025 është 10.75 %, pra kemi një </w:t>
      </w:r>
      <w:r w:rsidR="003F55C0">
        <w:rPr>
          <w:rFonts w:ascii="Times New Roman" w:eastAsia="Times New Roman" w:hAnsi="Times New Roman" w:cs="Times New Roman"/>
          <w:bCs/>
          <w:spacing w:val="2"/>
          <w:sz w:val="24"/>
          <w:szCs w:val="24"/>
          <w:lang w:eastAsia="sq-AL"/>
        </w:rPr>
        <w:t>ulje</w:t>
      </w:r>
      <w:r w:rsidRPr="00C8462B">
        <w:rPr>
          <w:rFonts w:ascii="Times New Roman" w:eastAsia="Times New Roman" w:hAnsi="Times New Roman" w:cs="Times New Roman"/>
          <w:bCs/>
          <w:spacing w:val="2"/>
          <w:sz w:val="24"/>
          <w:szCs w:val="24"/>
          <w:lang w:eastAsia="sq-AL"/>
        </w:rPr>
        <w:t xml:space="preserve"> me 1.31%, kurse në klasën e katërt </w:t>
      </w:r>
      <w:r w:rsidR="005617F3">
        <w:rPr>
          <w:rFonts w:ascii="Times New Roman" w:eastAsia="Times New Roman" w:hAnsi="Times New Roman" w:cs="Times New Roman"/>
          <w:bCs/>
          <w:spacing w:val="2"/>
          <w:sz w:val="24"/>
          <w:szCs w:val="24"/>
          <w:lang w:eastAsia="sq-AL"/>
        </w:rPr>
        <w:t>nuk kemi (f</w:t>
      </w:r>
      <w:r w:rsidRPr="00C8462B">
        <w:rPr>
          <w:rFonts w:ascii="Times New Roman" w:eastAsia="Times New Roman" w:hAnsi="Times New Roman" w:cs="Times New Roman"/>
          <w:bCs/>
          <w:spacing w:val="2"/>
          <w:sz w:val="24"/>
          <w:szCs w:val="24"/>
          <w:lang w:eastAsia="sq-AL"/>
        </w:rPr>
        <w:t xml:space="preserve">enomenin e tharjes komplet të drurëve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eastAsia="sq-AL"/>
        </w:rPr>
      </w:pPr>
      <w:r w:rsidRPr="00C8462B">
        <w:rPr>
          <w:rFonts w:ascii="Times New Roman" w:eastAsia="Times New Roman" w:hAnsi="Times New Roman" w:cs="Times New Roman"/>
          <w:b/>
          <w:spacing w:val="2"/>
          <w:sz w:val="24"/>
          <w:szCs w:val="24"/>
          <w:lang w:eastAsia="sq-AL"/>
        </w:rPr>
        <w:t>- Për fletorët e tjerë,</w:t>
      </w:r>
      <w:r w:rsidRPr="00C8462B">
        <w:rPr>
          <w:rFonts w:ascii="Times New Roman" w:eastAsia="Times New Roman" w:hAnsi="Times New Roman" w:cs="Times New Roman"/>
          <w:bCs/>
          <w:spacing w:val="2"/>
          <w:sz w:val="24"/>
          <w:szCs w:val="24"/>
          <w:lang w:eastAsia="sq-AL"/>
        </w:rPr>
        <w:t xml:space="preserve"> kemi ndryshime të vlerave në krahasim me vitet e mëparshme, në klasën e tretë (61-100%) në vitin 2024 ishte 14.09%, kurse në vitin 20</w:t>
      </w:r>
      <w:r w:rsidR="005617F3">
        <w:rPr>
          <w:rFonts w:ascii="Times New Roman" w:eastAsia="Times New Roman" w:hAnsi="Times New Roman" w:cs="Times New Roman"/>
          <w:bCs/>
          <w:spacing w:val="2"/>
          <w:sz w:val="24"/>
          <w:szCs w:val="24"/>
          <w:lang w:eastAsia="sq-AL"/>
        </w:rPr>
        <w:t xml:space="preserve">25 është 12.85 %, pra kemi një </w:t>
      </w:r>
      <w:r w:rsidRPr="00C8462B">
        <w:rPr>
          <w:rFonts w:ascii="Times New Roman" w:eastAsia="Times New Roman" w:hAnsi="Times New Roman" w:cs="Times New Roman"/>
          <w:bCs/>
          <w:spacing w:val="2"/>
          <w:sz w:val="24"/>
          <w:szCs w:val="24"/>
          <w:lang w:eastAsia="sq-AL"/>
        </w:rPr>
        <w:lastRenderedPageBreak/>
        <w:t>rënie me 1.24%, kurse</w:t>
      </w:r>
      <w:r w:rsidR="005617F3">
        <w:rPr>
          <w:rFonts w:ascii="Times New Roman" w:eastAsia="Times New Roman" w:hAnsi="Times New Roman" w:cs="Times New Roman"/>
          <w:bCs/>
          <w:spacing w:val="2"/>
          <w:sz w:val="24"/>
          <w:szCs w:val="24"/>
          <w:lang w:eastAsia="sq-AL"/>
        </w:rPr>
        <w:t xml:space="preserve"> në klasën e katërt nuk kemi (f</w:t>
      </w:r>
      <w:r w:rsidRPr="00C8462B">
        <w:rPr>
          <w:rFonts w:ascii="Times New Roman" w:eastAsia="Times New Roman" w:hAnsi="Times New Roman" w:cs="Times New Roman"/>
          <w:bCs/>
          <w:spacing w:val="2"/>
          <w:sz w:val="24"/>
          <w:szCs w:val="24"/>
          <w:lang w:eastAsia="sq-AL"/>
        </w:rPr>
        <w:t xml:space="preserve">enomenin e tharjes komplet të drurëve </w:t>
      </w:r>
    </w:p>
    <w:p w:rsidR="00C8462B" w:rsidRPr="00C8462B" w:rsidRDefault="00C8462B" w:rsidP="00C8462B">
      <w:pPr>
        <w:spacing w:after="0" w:line="240" w:lineRule="auto"/>
        <w:jc w:val="both"/>
        <w:rPr>
          <w:rFonts w:ascii="Times New Roman" w:eastAsia="Times New Roman" w:hAnsi="Times New Roman" w:cs="Times New Roman"/>
          <w:b/>
          <w:sz w:val="24"/>
          <w:szCs w:val="20"/>
        </w:rPr>
      </w:pPr>
    </w:p>
    <w:p w:rsidR="000F53CF" w:rsidRDefault="000F53CF" w:rsidP="00C8462B">
      <w:pPr>
        <w:spacing w:after="0" w:line="240" w:lineRule="auto"/>
        <w:jc w:val="both"/>
        <w:rPr>
          <w:rFonts w:ascii="Times New Roman" w:eastAsia="Times New Roman" w:hAnsi="Times New Roman" w:cs="Times New Roman"/>
          <w:b/>
          <w:sz w:val="24"/>
          <w:szCs w:val="20"/>
          <w:lang w:val="it-IT"/>
        </w:rPr>
      </w:pPr>
    </w:p>
    <w:p w:rsidR="00C8462B" w:rsidRDefault="00C8462B" w:rsidP="00C8462B">
      <w:pPr>
        <w:spacing w:after="0" w:line="240" w:lineRule="auto"/>
        <w:jc w:val="both"/>
        <w:rPr>
          <w:rFonts w:ascii="Times New Roman" w:eastAsia="Times New Roman" w:hAnsi="Times New Roman" w:cs="Times New Roman"/>
          <w:b/>
          <w:sz w:val="24"/>
          <w:szCs w:val="20"/>
          <w:lang w:val="it-IT"/>
        </w:rPr>
      </w:pPr>
      <w:r w:rsidRPr="00C8462B">
        <w:rPr>
          <w:rFonts w:ascii="Times New Roman" w:eastAsia="Times New Roman" w:hAnsi="Times New Roman" w:cs="Times New Roman"/>
          <w:b/>
          <w:sz w:val="24"/>
          <w:szCs w:val="20"/>
          <w:lang w:val="it-IT"/>
        </w:rPr>
        <w:t>Përfundime mbi shkallën e prekjes  së pyjeve nga dëmtuesit kryesorë të tyre.</w:t>
      </w:r>
    </w:p>
    <w:p w:rsidR="000F53CF" w:rsidRPr="00C8462B" w:rsidRDefault="000F53CF" w:rsidP="00C8462B">
      <w:pPr>
        <w:spacing w:after="0" w:line="240" w:lineRule="auto"/>
        <w:jc w:val="both"/>
        <w:rPr>
          <w:rFonts w:ascii="Times New Roman" w:eastAsia="Times New Roman" w:hAnsi="Times New Roman" w:cs="Times New Roman"/>
          <w:b/>
          <w:sz w:val="24"/>
          <w:szCs w:val="20"/>
          <w:lang w:val="it-IT"/>
        </w:rPr>
      </w:pPr>
    </w:p>
    <w:p w:rsidR="00C8462B" w:rsidRPr="00C8462B" w:rsidRDefault="00C8462B" w:rsidP="00C8462B">
      <w:pPr>
        <w:tabs>
          <w:tab w:val="center" w:pos="4680"/>
          <w:tab w:val="right" w:pos="9360"/>
        </w:tabs>
        <w:spacing w:after="0" w:line="240" w:lineRule="auto"/>
        <w:jc w:val="both"/>
        <w:rPr>
          <w:rFonts w:ascii="Times New Roman" w:eastAsia="Calibri" w:hAnsi="Times New Roman" w:cs="Times New Roman"/>
          <w:spacing w:val="2"/>
          <w:sz w:val="24"/>
          <w:szCs w:val="24"/>
          <w:lang w:val="it-IT"/>
        </w:rPr>
      </w:pPr>
      <w:r w:rsidRPr="00C8462B">
        <w:rPr>
          <w:rFonts w:ascii="Times New Roman" w:eastAsia="Calibri" w:hAnsi="Times New Roman" w:cs="Times New Roman"/>
          <w:sz w:val="24"/>
          <w:szCs w:val="24"/>
          <w:lang w:val="it-IT"/>
        </w:rPr>
        <w:t>Nga përpunimi i të dhënave të grumbulluar</w:t>
      </w:r>
      <w:r w:rsidR="003F55C0">
        <w:rPr>
          <w:rFonts w:ascii="Times New Roman" w:eastAsia="Calibri" w:hAnsi="Times New Roman" w:cs="Times New Roman"/>
          <w:sz w:val="24"/>
          <w:szCs w:val="24"/>
          <w:lang w:val="it-IT"/>
        </w:rPr>
        <w:t>a</w:t>
      </w:r>
      <w:r w:rsidRPr="00C8462B">
        <w:rPr>
          <w:rFonts w:ascii="Times New Roman" w:eastAsia="Calibri" w:hAnsi="Times New Roman" w:cs="Times New Roman"/>
          <w:sz w:val="24"/>
          <w:szCs w:val="24"/>
          <w:lang w:val="it-IT"/>
        </w:rPr>
        <w:t xml:space="preserve"> në terren në të gjitha sipërfaqet provë të terrenit, shkalla e prekjes nga dëmtuesit kryesorë</w:t>
      </w:r>
      <w:r w:rsidRPr="00C8462B">
        <w:rPr>
          <w:rFonts w:ascii="Times New Roman" w:eastAsia="Calibri" w:hAnsi="Times New Roman" w:cs="Times New Roman"/>
          <w:spacing w:val="2"/>
          <w:sz w:val="24"/>
          <w:szCs w:val="24"/>
          <w:lang w:val="it-IT"/>
        </w:rPr>
        <w:t xml:space="preserve">, për vitin 2025 rezulton si më poshtë;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val="it-IT" w:eastAsia="sq-AL"/>
        </w:rPr>
      </w:pPr>
      <w:r w:rsidRPr="00C8462B">
        <w:rPr>
          <w:rFonts w:ascii="Times New Roman" w:eastAsia="Times New Roman" w:hAnsi="Times New Roman" w:cs="Times New Roman"/>
          <w:bCs/>
          <w:spacing w:val="2"/>
          <w:sz w:val="24"/>
          <w:szCs w:val="24"/>
          <w:lang w:val="it-IT" w:eastAsia="sq-AL"/>
        </w:rPr>
        <w:t xml:space="preserve">- </w:t>
      </w:r>
      <w:r w:rsidRPr="00C8462B">
        <w:rPr>
          <w:rFonts w:ascii="Times New Roman" w:eastAsia="Times New Roman" w:hAnsi="Times New Roman" w:cs="Times New Roman"/>
          <w:b/>
          <w:spacing w:val="2"/>
          <w:sz w:val="24"/>
          <w:szCs w:val="24"/>
          <w:lang w:val="it-IT" w:eastAsia="sq-AL"/>
        </w:rPr>
        <w:t>Për llojin pishë e zezë,</w:t>
      </w:r>
      <w:r w:rsidRPr="00C8462B">
        <w:rPr>
          <w:rFonts w:ascii="Times New Roman" w:eastAsia="Times New Roman" w:hAnsi="Times New Roman" w:cs="Times New Roman"/>
          <w:bCs/>
          <w:spacing w:val="2"/>
          <w:sz w:val="24"/>
          <w:szCs w:val="24"/>
          <w:lang w:val="it-IT" w:eastAsia="sq-AL"/>
        </w:rPr>
        <w:t xml:space="preserve"> përqindja e prekjes nga dëmtuesit, në klasën e tretë (61-100%) në vitin 2024 ishte 11.04%, kurse në vitin 2</w:t>
      </w:r>
      <w:r w:rsidR="005617F3">
        <w:rPr>
          <w:rFonts w:ascii="Times New Roman" w:eastAsia="Times New Roman" w:hAnsi="Times New Roman" w:cs="Times New Roman"/>
          <w:bCs/>
          <w:spacing w:val="2"/>
          <w:sz w:val="24"/>
          <w:szCs w:val="24"/>
          <w:lang w:val="it-IT" w:eastAsia="sq-AL"/>
        </w:rPr>
        <w:t xml:space="preserve">025 është 9.55 %, pra kemi një </w:t>
      </w:r>
      <w:r w:rsidRPr="00C8462B">
        <w:rPr>
          <w:rFonts w:ascii="Times New Roman" w:eastAsia="Times New Roman" w:hAnsi="Times New Roman" w:cs="Times New Roman"/>
          <w:bCs/>
          <w:spacing w:val="2"/>
          <w:sz w:val="24"/>
          <w:szCs w:val="24"/>
          <w:lang w:val="it-IT" w:eastAsia="sq-AL"/>
        </w:rPr>
        <w:t>rënie me 1.50%, kurse</w:t>
      </w:r>
      <w:r w:rsidR="005617F3">
        <w:rPr>
          <w:rFonts w:ascii="Times New Roman" w:eastAsia="Times New Roman" w:hAnsi="Times New Roman" w:cs="Times New Roman"/>
          <w:bCs/>
          <w:spacing w:val="2"/>
          <w:sz w:val="24"/>
          <w:szCs w:val="24"/>
          <w:lang w:val="it-IT" w:eastAsia="sq-AL"/>
        </w:rPr>
        <w:t xml:space="preserve"> në klasën e katërt nuk kemi (f</w:t>
      </w:r>
      <w:r w:rsidRPr="00C8462B">
        <w:rPr>
          <w:rFonts w:ascii="Times New Roman" w:eastAsia="Times New Roman" w:hAnsi="Times New Roman" w:cs="Times New Roman"/>
          <w:bCs/>
          <w:spacing w:val="2"/>
          <w:sz w:val="24"/>
          <w:szCs w:val="24"/>
          <w:lang w:val="it-IT" w:eastAsia="sq-AL"/>
        </w:rPr>
        <w:t xml:space="preserve">enomenin e tharjes komplet të drurëve).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val="it-IT" w:eastAsia="sq-AL"/>
        </w:rPr>
      </w:pPr>
      <w:r w:rsidRPr="00C8462B">
        <w:rPr>
          <w:rFonts w:ascii="Times New Roman" w:eastAsia="Times New Roman" w:hAnsi="Times New Roman" w:cs="Times New Roman"/>
          <w:bCs/>
          <w:spacing w:val="2"/>
          <w:sz w:val="24"/>
          <w:szCs w:val="24"/>
          <w:lang w:val="it-IT" w:eastAsia="sq-AL"/>
        </w:rPr>
        <w:t xml:space="preserve">- </w:t>
      </w:r>
      <w:r w:rsidRPr="00C8462B">
        <w:rPr>
          <w:rFonts w:ascii="Times New Roman" w:eastAsia="Times New Roman" w:hAnsi="Times New Roman" w:cs="Times New Roman"/>
          <w:b/>
          <w:spacing w:val="2"/>
          <w:sz w:val="24"/>
          <w:szCs w:val="24"/>
          <w:lang w:val="it-IT" w:eastAsia="sq-AL"/>
        </w:rPr>
        <w:t>Për llojin e pishave mesdhetare,</w:t>
      </w:r>
      <w:r w:rsidRPr="00C8462B">
        <w:rPr>
          <w:rFonts w:ascii="Times New Roman" w:eastAsia="Times New Roman" w:hAnsi="Times New Roman" w:cs="Times New Roman"/>
          <w:bCs/>
          <w:spacing w:val="2"/>
          <w:sz w:val="24"/>
          <w:szCs w:val="24"/>
          <w:lang w:val="it-IT" w:eastAsia="sq-AL"/>
        </w:rPr>
        <w:t xml:space="preserve"> kemi ndryshime</w:t>
      </w:r>
      <w:r w:rsidR="003F55C0">
        <w:rPr>
          <w:rFonts w:ascii="Times New Roman" w:eastAsia="Times New Roman" w:hAnsi="Times New Roman" w:cs="Times New Roman"/>
          <w:bCs/>
          <w:spacing w:val="2"/>
          <w:sz w:val="24"/>
          <w:szCs w:val="24"/>
          <w:lang w:val="it-IT" w:eastAsia="sq-AL"/>
        </w:rPr>
        <w:t xml:space="preserve"> të vlerave në krahasim me vitin</w:t>
      </w:r>
      <w:r w:rsidRPr="00C8462B">
        <w:rPr>
          <w:rFonts w:ascii="Times New Roman" w:eastAsia="Times New Roman" w:hAnsi="Times New Roman" w:cs="Times New Roman"/>
          <w:bCs/>
          <w:spacing w:val="2"/>
          <w:sz w:val="24"/>
          <w:szCs w:val="24"/>
          <w:lang w:val="it-IT" w:eastAsia="sq-AL"/>
        </w:rPr>
        <w:t xml:space="preserve"> e mëparshme, në klasën e tretë (61-100%) në vitin 2024 ishte 6.44%, kurse në vitin 2025 është 5.21 %</w:t>
      </w:r>
      <w:r w:rsidR="003F55C0">
        <w:rPr>
          <w:rFonts w:ascii="Times New Roman" w:eastAsia="Times New Roman" w:hAnsi="Times New Roman" w:cs="Times New Roman"/>
          <w:bCs/>
          <w:spacing w:val="2"/>
          <w:sz w:val="24"/>
          <w:szCs w:val="24"/>
          <w:lang w:val="it-IT" w:eastAsia="sq-AL"/>
        </w:rPr>
        <w:t xml:space="preserve">, pra kemi një </w:t>
      </w:r>
      <w:r w:rsidRPr="00C8462B">
        <w:rPr>
          <w:rFonts w:ascii="Times New Roman" w:eastAsia="Times New Roman" w:hAnsi="Times New Roman" w:cs="Times New Roman"/>
          <w:bCs/>
          <w:spacing w:val="2"/>
          <w:sz w:val="24"/>
          <w:szCs w:val="24"/>
          <w:lang w:val="it-IT" w:eastAsia="sq-AL"/>
        </w:rPr>
        <w:t>rënie me 1.23%, kurse</w:t>
      </w:r>
      <w:r w:rsidR="005617F3">
        <w:rPr>
          <w:rFonts w:ascii="Times New Roman" w:eastAsia="Times New Roman" w:hAnsi="Times New Roman" w:cs="Times New Roman"/>
          <w:bCs/>
          <w:spacing w:val="2"/>
          <w:sz w:val="24"/>
          <w:szCs w:val="24"/>
          <w:lang w:val="it-IT" w:eastAsia="sq-AL"/>
        </w:rPr>
        <w:t xml:space="preserve"> në klasën e katërt nuk kemi (f</w:t>
      </w:r>
      <w:r w:rsidRPr="00C8462B">
        <w:rPr>
          <w:rFonts w:ascii="Times New Roman" w:eastAsia="Times New Roman" w:hAnsi="Times New Roman" w:cs="Times New Roman"/>
          <w:bCs/>
          <w:spacing w:val="2"/>
          <w:sz w:val="24"/>
          <w:szCs w:val="24"/>
          <w:lang w:val="it-IT" w:eastAsia="sq-AL"/>
        </w:rPr>
        <w:t xml:space="preserve">enomenin e tharjes komplet të drurëve).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val="it-IT" w:eastAsia="sq-AL"/>
        </w:rPr>
      </w:pPr>
      <w:r w:rsidRPr="00C8462B">
        <w:rPr>
          <w:rFonts w:ascii="Times New Roman" w:eastAsia="Times New Roman" w:hAnsi="Times New Roman" w:cs="Times New Roman"/>
          <w:bCs/>
          <w:spacing w:val="2"/>
          <w:sz w:val="24"/>
          <w:szCs w:val="24"/>
          <w:lang w:val="it-IT" w:eastAsia="sq-AL"/>
        </w:rPr>
        <w:t xml:space="preserve"> </w:t>
      </w:r>
      <w:r w:rsidRPr="00C8462B">
        <w:rPr>
          <w:rFonts w:ascii="Times New Roman" w:eastAsia="Times New Roman" w:hAnsi="Times New Roman" w:cs="Times New Roman"/>
          <w:b/>
          <w:spacing w:val="2"/>
          <w:sz w:val="24"/>
          <w:szCs w:val="24"/>
          <w:lang w:val="it-IT" w:eastAsia="sq-AL"/>
        </w:rPr>
        <w:t>- Për llojin bredh,</w:t>
      </w:r>
      <w:r w:rsidRPr="00C8462B">
        <w:rPr>
          <w:rFonts w:ascii="Times New Roman" w:eastAsia="Times New Roman" w:hAnsi="Times New Roman" w:cs="Times New Roman"/>
          <w:bCs/>
          <w:spacing w:val="2"/>
          <w:sz w:val="24"/>
          <w:szCs w:val="24"/>
          <w:lang w:val="it-IT" w:eastAsia="sq-AL"/>
        </w:rPr>
        <w:t xml:space="preserve"> në klasën e tretë (61-100%) në vitin 2024 ishte 5.48%, kurse në vitin 2</w:t>
      </w:r>
      <w:r w:rsidR="001C33A4">
        <w:rPr>
          <w:rFonts w:ascii="Times New Roman" w:eastAsia="Times New Roman" w:hAnsi="Times New Roman" w:cs="Times New Roman"/>
          <w:bCs/>
          <w:spacing w:val="2"/>
          <w:sz w:val="24"/>
          <w:szCs w:val="24"/>
          <w:lang w:val="it-IT" w:eastAsia="sq-AL"/>
        </w:rPr>
        <w:t xml:space="preserve">025 është 4.11 %, pra kemi një </w:t>
      </w:r>
      <w:r w:rsidRPr="00C8462B">
        <w:rPr>
          <w:rFonts w:ascii="Times New Roman" w:eastAsia="Times New Roman" w:hAnsi="Times New Roman" w:cs="Times New Roman"/>
          <w:bCs/>
          <w:spacing w:val="2"/>
          <w:sz w:val="24"/>
          <w:szCs w:val="24"/>
          <w:lang w:val="it-IT" w:eastAsia="sq-AL"/>
        </w:rPr>
        <w:t>rënie me 1.37% kurse</w:t>
      </w:r>
      <w:r w:rsidR="005617F3">
        <w:rPr>
          <w:rFonts w:ascii="Times New Roman" w:eastAsia="Times New Roman" w:hAnsi="Times New Roman" w:cs="Times New Roman"/>
          <w:bCs/>
          <w:spacing w:val="2"/>
          <w:sz w:val="24"/>
          <w:szCs w:val="24"/>
          <w:lang w:val="it-IT" w:eastAsia="sq-AL"/>
        </w:rPr>
        <w:t xml:space="preserve"> në klasën e katërt nuk kemi (f</w:t>
      </w:r>
      <w:r w:rsidRPr="00C8462B">
        <w:rPr>
          <w:rFonts w:ascii="Times New Roman" w:eastAsia="Times New Roman" w:hAnsi="Times New Roman" w:cs="Times New Roman"/>
          <w:bCs/>
          <w:spacing w:val="2"/>
          <w:sz w:val="24"/>
          <w:szCs w:val="24"/>
          <w:lang w:val="it-IT" w:eastAsia="sq-AL"/>
        </w:rPr>
        <w:t xml:space="preserve">enomenin e tharjes komplet të drurëve). </w:t>
      </w:r>
    </w:p>
    <w:p w:rsidR="00C8462B" w:rsidRDefault="00C8462B" w:rsidP="00C8462B">
      <w:pPr>
        <w:spacing w:after="0" w:line="240" w:lineRule="auto"/>
        <w:jc w:val="both"/>
        <w:rPr>
          <w:rFonts w:ascii="Times New Roman" w:eastAsia="Times New Roman" w:hAnsi="Times New Roman" w:cs="Times New Roman"/>
          <w:bCs/>
          <w:spacing w:val="2"/>
          <w:sz w:val="24"/>
          <w:szCs w:val="24"/>
          <w:lang w:val="it-IT" w:eastAsia="sq-AL"/>
        </w:rPr>
      </w:pPr>
      <w:r w:rsidRPr="00C8462B">
        <w:rPr>
          <w:rFonts w:ascii="Times New Roman" w:eastAsia="Times New Roman" w:hAnsi="Times New Roman" w:cs="Times New Roman"/>
          <w:bCs/>
          <w:spacing w:val="2"/>
          <w:sz w:val="24"/>
          <w:szCs w:val="24"/>
          <w:lang w:val="it-IT" w:eastAsia="sq-AL"/>
        </w:rPr>
        <w:t>-</w:t>
      </w:r>
      <w:r w:rsidRPr="00C8462B">
        <w:rPr>
          <w:rFonts w:ascii="Times New Roman" w:eastAsia="Times New Roman" w:hAnsi="Times New Roman" w:cs="Times New Roman"/>
          <w:b/>
          <w:spacing w:val="2"/>
          <w:sz w:val="24"/>
          <w:szCs w:val="24"/>
          <w:lang w:val="it-IT" w:eastAsia="sq-AL"/>
        </w:rPr>
        <w:t>Për llojet halorë e tjerë,</w:t>
      </w:r>
      <w:r w:rsidRPr="00C8462B">
        <w:rPr>
          <w:rFonts w:ascii="Times New Roman" w:eastAsia="Times New Roman" w:hAnsi="Times New Roman" w:cs="Times New Roman"/>
          <w:bCs/>
          <w:spacing w:val="2"/>
          <w:sz w:val="24"/>
          <w:szCs w:val="24"/>
          <w:lang w:val="it-IT" w:eastAsia="sq-AL"/>
        </w:rPr>
        <w:t xml:space="preserve"> në klasën e tretë (61-100%) në vitin 2024 ishte 8.31%, kurse në vitin 2</w:t>
      </w:r>
      <w:r w:rsidR="005617F3">
        <w:rPr>
          <w:rFonts w:ascii="Times New Roman" w:eastAsia="Times New Roman" w:hAnsi="Times New Roman" w:cs="Times New Roman"/>
          <w:bCs/>
          <w:spacing w:val="2"/>
          <w:sz w:val="24"/>
          <w:szCs w:val="24"/>
          <w:lang w:val="it-IT" w:eastAsia="sq-AL"/>
        </w:rPr>
        <w:t xml:space="preserve">025 është 7.22 %, pra kemi një </w:t>
      </w:r>
      <w:r w:rsidRPr="00C8462B">
        <w:rPr>
          <w:rFonts w:ascii="Times New Roman" w:eastAsia="Times New Roman" w:hAnsi="Times New Roman" w:cs="Times New Roman"/>
          <w:bCs/>
          <w:spacing w:val="2"/>
          <w:sz w:val="24"/>
          <w:szCs w:val="24"/>
          <w:lang w:val="it-IT" w:eastAsia="sq-AL"/>
        </w:rPr>
        <w:t>rënie me 1.09% kurse në klasën</w:t>
      </w:r>
      <w:r w:rsidR="005617F3">
        <w:rPr>
          <w:rFonts w:ascii="Times New Roman" w:eastAsia="Times New Roman" w:hAnsi="Times New Roman" w:cs="Times New Roman"/>
          <w:bCs/>
          <w:spacing w:val="2"/>
          <w:sz w:val="24"/>
          <w:szCs w:val="24"/>
          <w:lang w:val="it-IT" w:eastAsia="sq-AL"/>
        </w:rPr>
        <w:t xml:space="preserve"> e katërt nuk kemi (f</w:t>
      </w:r>
      <w:r w:rsidRPr="00C8462B">
        <w:rPr>
          <w:rFonts w:ascii="Times New Roman" w:eastAsia="Times New Roman" w:hAnsi="Times New Roman" w:cs="Times New Roman"/>
          <w:bCs/>
          <w:spacing w:val="2"/>
          <w:sz w:val="24"/>
          <w:szCs w:val="24"/>
          <w:lang w:val="it-IT" w:eastAsia="sq-AL"/>
        </w:rPr>
        <w:t xml:space="preserve">enomenin e tharjes komplet të drurëve). </w:t>
      </w:r>
    </w:p>
    <w:p w:rsidR="00FF4C1A" w:rsidRDefault="00FF4C1A" w:rsidP="00C8462B">
      <w:pPr>
        <w:spacing w:after="0" w:line="240" w:lineRule="auto"/>
        <w:jc w:val="both"/>
        <w:rPr>
          <w:rFonts w:ascii="Times New Roman" w:eastAsia="Times New Roman" w:hAnsi="Times New Roman" w:cs="Times New Roman"/>
          <w:bCs/>
          <w:spacing w:val="2"/>
          <w:sz w:val="24"/>
          <w:szCs w:val="24"/>
          <w:lang w:val="it-IT" w:eastAsia="sq-AL"/>
        </w:rPr>
      </w:pPr>
    </w:p>
    <w:p w:rsidR="00FF4C1A" w:rsidRDefault="00FF4C1A" w:rsidP="00C8462B">
      <w:pPr>
        <w:spacing w:after="0" w:line="240" w:lineRule="auto"/>
        <w:jc w:val="both"/>
        <w:rPr>
          <w:rFonts w:ascii="Times New Roman" w:eastAsia="Times New Roman" w:hAnsi="Times New Roman" w:cs="Times New Roman"/>
          <w:bCs/>
          <w:spacing w:val="2"/>
          <w:sz w:val="24"/>
          <w:szCs w:val="24"/>
          <w:lang w:val="it-IT" w:eastAsia="sq-AL"/>
        </w:rPr>
      </w:pPr>
      <w:r w:rsidRPr="00053A7F">
        <w:rPr>
          <w:noProof/>
          <w:bdr w:val="single" w:sz="12" w:space="0" w:color="auto"/>
          <w14:ligatures w14:val="standardContextual"/>
        </w:rPr>
        <w:drawing>
          <wp:inline distT="0" distB="0" distL="0" distR="0" wp14:anchorId="6AF62C14" wp14:editId="0105DC60">
            <wp:extent cx="5915025" cy="2676525"/>
            <wp:effectExtent l="0" t="0" r="9525" b="9525"/>
            <wp:docPr id="61" name="Chart 1">
              <a:extLst xmlns:a="http://schemas.openxmlformats.org/drawingml/2006/main">
                <a:ext uri="{FF2B5EF4-FFF2-40B4-BE49-F238E27FC236}">
                  <a16:creationId xmlns:a16="http://schemas.microsoft.com/office/drawing/2014/main" id="{B395038A-B320-D011-5102-32B58AAC81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6"/>
              </a:graphicData>
            </a:graphic>
          </wp:inline>
        </w:drawing>
      </w:r>
    </w:p>
    <w:p w:rsidR="00FF4C1A" w:rsidRPr="00C8462B" w:rsidRDefault="00FF4C1A" w:rsidP="00C8462B">
      <w:pPr>
        <w:spacing w:after="0" w:line="240" w:lineRule="auto"/>
        <w:jc w:val="both"/>
        <w:rPr>
          <w:rFonts w:ascii="Times New Roman" w:eastAsia="Times New Roman" w:hAnsi="Times New Roman" w:cs="Times New Roman"/>
          <w:bCs/>
          <w:spacing w:val="2"/>
          <w:sz w:val="24"/>
          <w:szCs w:val="24"/>
          <w:lang w:val="it-IT" w:eastAsia="sq-AL"/>
        </w:rPr>
      </w:pPr>
    </w:p>
    <w:p w:rsidR="00C8462B" w:rsidRPr="00FF4C1A" w:rsidRDefault="00C8462B" w:rsidP="00C8462B">
      <w:pPr>
        <w:spacing w:after="0" w:line="240" w:lineRule="auto"/>
        <w:jc w:val="both"/>
        <w:rPr>
          <w:rFonts w:ascii="Times New Roman" w:eastAsia="Times New Roman" w:hAnsi="Times New Roman" w:cs="Times New Roman"/>
          <w:b/>
          <w:spacing w:val="2"/>
          <w:sz w:val="24"/>
          <w:szCs w:val="24"/>
          <w:lang w:val="it-IT" w:eastAsia="sq-AL"/>
        </w:rPr>
      </w:pPr>
      <w:r w:rsidRPr="00C8462B">
        <w:rPr>
          <w:rFonts w:ascii="Times New Roman" w:eastAsia="Times New Roman" w:hAnsi="Times New Roman" w:cs="Times New Roman"/>
          <w:b/>
          <w:spacing w:val="2"/>
          <w:sz w:val="24"/>
          <w:szCs w:val="24"/>
          <w:lang w:val="it-IT" w:eastAsia="sq-AL"/>
        </w:rPr>
        <w:t>- Për llojin ah</w:t>
      </w:r>
      <w:r w:rsidRPr="00C8462B">
        <w:rPr>
          <w:rFonts w:ascii="Times New Roman" w:eastAsia="Times New Roman" w:hAnsi="Times New Roman" w:cs="Times New Roman"/>
          <w:bCs/>
          <w:spacing w:val="2"/>
          <w:sz w:val="24"/>
          <w:szCs w:val="24"/>
          <w:lang w:val="it-IT" w:eastAsia="sq-AL"/>
        </w:rPr>
        <w:t xml:space="preserve">, </w:t>
      </w:r>
      <w:r w:rsidR="001C33A4">
        <w:rPr>
          <w:rFonts w:ascii="Times New Roman" w:eastAsia="Times New Roman" w:hAnsi="Times New Roman" w:cs="Times New Roman"/>
          <w:b/>
          <w:spacing w:val="2"/>
          <w:sz w:val="24"/>
          <w:szCs w:val="24"/>
          <w:lang w:val="it-IT" w:eastAsia="sq-AL"/>
        </w:rPr>
        <w:t>mështe</w:t>
      </w:r>
      <w:r w:rsidRPr="00C8462B">
        <w:rPr>
          <w:rFonts w:ascii="Times New Roman" w:eastAsia="Times New Roman" w:hAnsi="Times New Roman" w:cs="Times New Roman"/>
          <w:b/>
          <w:spacing w:val="2"/>
          <w:sz w:val="24"/>
          <w:szCs w:val="24"/>
          <w:lang w:val="it-IT" w:eastAsia="sq-AL"/>
        </w:rPr>
        <w:t>knë</w:t>
      </w:r>
      <w:r w:rsidRPr="00C8462B">
        <w:rPr>
          <w:rFonts w:ascii="Times New Roman" w:eastAsia="Times New Roman" w:hAnsi="Times New Roman" w:cs="Times New Roman"/>
          <w:bCs/>
          <w:spacing w:val="2"/>
          <w:sz w:val="24"/>
          <w:szCs w:val="24"/>
          <w:lang w:val="it-IT" w:eastAsia="sq-AL"/>
        </w:rPr>
        <w:t xml:space="preserve"> kemi ndryshime</w:t>
      </w:r>
      <w:r w:rsidR="001C33A4">
        <w:rPr>
          <w:rFonts w:ascii="Times New Roman" w:eastAsia="Times New Roman" w:hAnsi="Times New Roman" w:cs="Times New Roman"/>
          <w:bCs/>
          <w:spacing w:val="2"/>
          <w:sz w:val="24"/>
          <w:szCs w:val="24"/>
          <w:lang w:val="it-IT" w:eastAsia="sq-AL"/>
        </w:rPr>
        <w:t xml:space="preserve"> të vlerave në krahasim me vitin e mëparshëm</w:t>
      </w:r>
      <w:r w:rsidRPr="00C8462B">
        <w:rPr>
          <w:rFonts w:ascii="Times New Roman" w:eastAsia="Times New Roman" w:hAnsi="Times New Roman" w:cs="Times New Roman"/>
          <w:bCs/>
          <w:spacing w:val="2"/>
          <w:sz w:val="24"/>
          <w:szCs w:val="24"/>
          <w:lang w:val="it-IT" w:eastAsia="sq-AL"/>
        </w:rPr>
        <w:t xml:space="preserve">, në klasën e tretë (61-100%) në vitin 2024 ishte 8.88%, kurse në vitin 2025 është 7.18 %, pra kemi një </w:t>
      </w:r>
      <w:r w:rsidR="001C33A4">
        <w:rPr>
          <w:rFonts w:ascii="Times New Roman" w:eastAsia="Times New Roman" w:hAnsi="Times New Roman" w:cs="Times New Roman"/>
          <w:bCs/>
          <w:spacing w:val="2"/>
          <w:sz w:val="24"/>
          <w:szCs w:val="24"/>
          <w:lang w:val="it-IT" w:eastAsia="sq-AL"/>
        </w:rPr>
        <w:t xml:space="preserve">ulje me </w:t>
      </w:r>
      <w:r w:rsidRPr="00C8462B">
        <w:rPr>
          <w:rFonts w:ascii="Times New Roman" w:eastAsia="Times New Roman" w:hAnsi="Times New Roman" w:cs="Times New Roman"/>
          <w:bCs/>
          <w:spacing w:val="2"/>
          <w:sz w:val="24"/>
          <w:szCs w:val="24"/>
          <w:lang w:val="it-IT" w:eastAsia="sq-AL"/>
        </w:rPr>
        <w:t xml:space="preserve">1.70%, kurse në klasën e </w:t>
      </w:r>
      <w:r w:rsidR="001C33A4">
        <w:rPr>
          <w:rFonts w:ascii="Times New Roman" w:eastAsia="Times New Roman" w:hAnsi="Times New Roman" w:cs="Times New Roman"/>
          <w:bCs/>
          <w:spacing w:val="2"/>
          <w:sz w:val="24"/>
          <w:szCs w:val="24"/>
          <w:lang w:val="it-IT" w:eastAsia="sq-AL"/>
        </w:rPr>
        <w:t>katërt nuk kemi (f</w:t>
      </w:r>
      <w:r w:rsidRPr="00C8462B">
        <w:rPr>
          <w:rFonts w:ascii="Times New Roman" w:eastAsia="Times New Roman" w:hAnsi="Times New Roman" w:cs="Times New Roman"/>
          <w:bCs/>
          <w:spacing w:val="2"/>
          <w:sz w:val="24"/>
          <w:szCs w:val="24"/>
          <w:lang w:val="it-IT" w:eastAsia="sq-AL"/>
        </w:rPr>
        <w:t>enomenin e tharjes kom</w:t>
      </w:r>
      <w:r w:rsidR="001C33A4">
        <w:rPr>
          <w:rFonts w:ascii="Times New Roman" w:eastAsia="Times New Roman" w:hAnsi="Times New Roman" w:cs="Times New Roman"/>
          <w:bCs/>
          <w:spacing w:val="2"/>
          <w:sz w:val="24"/>
          <w:szCs w:val="24"/>
          <w:lang w:val="it-IT" w:eastAsia="sq-AL"/>
        </w:rPr>
        <w:t>p</w:t>
      </w:r>
      <w:r w:rsidRPr="00C8462B">
        <w:rPr>
          <w:rFonts w:ascii="Times New Roman" w:eastAsia="Times New Roman" w:hAnsi="Times New Roman" w:cs="Times New Roman"/>
          <w:bCs/>
          <w:spacing w:val="2"/>
          <w:sz w:val="24"/>
          <w:szCs w:val="24"/>
          <w:lang w:val="it-IT" w:eastAsia="sq-AL"/>
        </w:rPr>
        <w:t xml:space="preserve">let të drurëve).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val="it-IT" w:eastAsia="sq-AL"/>
        </w:rPr>
      </w:pPr>
      <w:r w:rsidRPr="00C8462B">
        <w:rPr>
          <w:rFonts w:ascii="Times New Roman" w:eastAsia="Times New Roman" w:hAnsi="Times New Roman" w:cs="Times New Roman"/>
          <w:b/>
          <w:spacing w:val="2"/>
          <w:sz w:val="24"/>
          <w:szCs w:val="24"/>
          <w:lang w:val="it-IT" w:eastAsia="sq-AL"/>
        </w:rPr>
        <w:t>- Për llojet e dushqeve dhe llojit gështenjë,</w:t>
      </w:r>
      <w:r w:rsidRPr="00C8462B">
        <w:rPr>
          <w:rFonts w:ascii="Times New Roman" w:eastAsia="Times New Roman" w:hAnsi="Times New Roman" w:cs="Times New Roman"/>
          <w:bCs/>
          <w:spacing w:val="2"/>
          <w:sz w:val="24"/>
          <w:szCs w:val="24"/>
          <w:lang w:val="it-IT" w:eastAsia="sq-AL"/>
        </w:rPr>
        <w:t xml:space="preserve"> në klasën e tretë (61-100%) në vitin 2024 ishte 14.69%, kurse në vitin 2025 është 13.22 %, pra kemi një rënie me 1.47%, kurse</w:t>
      </w:r>
      <w:r w:rsidR="001C33A4">
        <w:rPr>
          <w:rFonts w:ascii="Times New Roman" w:eastAsia="Times New Roman" w:hAnsi="Times New Roman" w:cs="Times New Roman"/>
          <w:bCs/>
          <w:spacing w:val="2"/>
          <w:sz w:val="24"/>
          <w:szCs w:val="24"/>
          <w:lang w:val="it-IT" w:eastAsia="sq-AL"/>
        </w:rPr>
        <w:t xml:space="preserve"> në klasën e katërt nuk kemi (f</w:t>
      </w:r>
      <w:r w:rsidRPr="00C8462B">
        <w:rPr>
          <w:rFonts w:ascii="Times New Roman" w:eastAsia="Times New Roman" w:hAnsi="Times New Roman" w:cs="Times New Roman"/>
          <w:bCs/>
          <w:spacing w:val="2"/>
          <w:sz w:val="24"/>
          <w:szCs w:val="24"/>
          <w:lang w:val="it-IT" w:eastAsia="sq-AL"/>
        </w:rPr>
        <w:t xml:space="preserve">enomenin e tharjes komplet të drurëve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val="it-IT" w:eastAsia="sq-AL"/>
        </w:rPr>
      </w:pPr>
      <w:r w:rsidRPr="00C8462B">
        <w:rPr>
          <w:rFonts w:ascii="Times New Roman" w:eastAsia="Times New Roman" w:hAnsi="Times New Roman" w:cs="Times New Roman"/>
          <w:b/>
          <w:spacing w:val="2"/>
          <w:sz w:val="24"/>
          <w:szCs w:val="24"/>
          <w:lang w:val="it-IT" w:eastAsia="sq-AL"/>
        </w:rPr>
        <w:t>- Për fletorët e tjerë,</w:t>
      </w:r>
      <w:r w:rsidRPr="00C8462B">
        <w:rPr>
          <w:rFonts w:ascii="Times New Roman" w:eastAsia="Times New Roman" w:hAnsi="Times New Roman" w:cs="Times New Roman"/>
          <w:bCs/>
          <w:spacing w:val="2"/>
          <w:sz w:val="24"/>
          <w:szCs w:val="24"/>
          <w:lang w:val="it-IT" w:eastAsia="sq-AL"/>
        </w:rPr>
        <w:t xml:space="preserve"> kemi ndryshime të vlerave në krahasim me vitet e mëparshme, në klasën e tretë (61-100%) në vitin 2024 ishte 17.94%, kurse në vitin 2025 është 16.53 %, pra kemi një </w:t>
      </w:r>
      <w:r w:rsidRPr="00C8462B">
        <w:rPr>
          <w:rFonts w:ascii="Times New Roman" w:eastAsia="Times New Roman" w:hAnsi="Times New Roman" w:cs="Times New Roman"/>
          <w:bCs/>
          <w:spacing w:val="2"/>
          <w:sz w:val="24"/>
          <w:szCs w:val="24"/>
          <w:lang w:val="it-IT" w:eastAsia="sq-AL"/>
        </w:rPr>
        <w:lastRenderedPageBreak/>
        <w:t>rënie me 1.41%, kurse</w:t>
      </w:r>
      <w:r w:rsidR="001C33A4">
        <w:rPr>
          <w:rFonts w:ascii="Times New Roman" w:eastAsia="Times New Roman" w:hAnsi="Times New Roman" w:cs="Times New Roman"/>
          <w:bCs/>
          <w:spacing w:val="2"/>
          <w:sz w:val="24"/>
          <w:szCs w:val="24"/>
          <w:lang w:val="it-IT" w:eastAsia="sq-AL"/>
        </w:rPr>
        <w:t xml:space="preserve"> në klasën e katërt nuk kemi (f</w:t>
      </w:r>
      <w:r w:rsidRPr="00C8462B">
        <w:rPr>
          <w:rFonts w:ascii="Times New Roman" w:eastAsia="Times New Roman" w:hAnsi="Times New Roman" w:cs="Times New Roman"/>
          <w:bCs/>
          <w:spacing w:val="2"/>
          <w:sz w:val="24"/>
          <w:szCs w:val="24"/>
          <w:lang w:val="it-IT" w:eastAsia="sq-AL"/>
        </w:rPr>
        <w:t>enomenin e tharjes komplet të drurëve</w:t>
      </w:r>
      <w:r w:rsidR="001C33A4">
        <w:rPr>
          <w:rFonts w:ascii="Times New Roman" w:eastAsia="Times New Roman" w:hAnsi="Times New Roman" w:cs="Times New Roman"/>
          <w:bCs/>
          <w:spacing w:val="2"/>
          <w:sz w:val="24"/>
          <w:szCs w:val="24"/>
          <w:lang w:val="it-IT" w:eastAsia="sq-AL"/>
        </w:rPr>
        <w:t>).</w:t>
      </w:r>
      <w:r w:rsidRPr="00C8462B">
        <w:rPr>
          <w:rFonts w:ascii="Times New Roman" w:eastAsia="Times New Roman" w:hAnsi="Times New Roman" w:cs="Times New Roman"/>
          <w:bCs/>
          <w:spacing w:val="2"/>
          <w:sz w:val="24"/>
          <w:szCs w:val="24"/>
          <w:lang w:val="it-IT" w:eastAsia="sq-AL"/>
        </w:rPr>
        <w:t xml:space="preserve"> </w:t>
      </w:r>
    </w:p>
    <w:p w:rsidR="00FF4C1A" w:rsidRDefault="00FF4C1A" w:rsidP="00C8462B">
      <w:pPr>
        <w:spacing w:after="0" w:line="240" w:lineRule="auto"/>
        <w:jc w:val="both"/>
        <w:rPr>
          <w:rFonts w:ascii="Times New Roman" w:eastAsia="Times New Roman" w:hAnsi="Times New Roman" w:cs="Times New Roman"/>
          <w:b/>
          <w:sz w:val="24"/>
          <w:szCs w:val="20"/>
          <w:lang w:val="it-IT"/>
        </w:rPr>
      </w:pPr>
    </w:p>
    <w:p w:rsidR="00FF4C1A" w:rsidRDefault="00FF4C1A" w:rsidP="00C8462B">
      <w:pPr>
        <w:spacing w:after="0" w:line="240" w:lineRule="auto"/>
        <w:jc w:val="both"/>
        <w:rPr>
          <w:rFonts w:ascii="Times New Roman" w:eastAsia="Times New Roman" w:hAnsi="Times New Roman" w:cs="Times New Roman"/>
          <w:b/>
          <w:sz w:val="24"/>
          <w:szCs w:val="20"/>
          <w:lang w:val="it-IT"/>
        </w:rPr>
      </w:pPr>
    </w:p>
    <w:p w:rsidR="00FF4C1A" w:rsidRDefault="00FF4C1A" w:rsidP="00C8462B">
      <w:pPr>
        <w:spacing w:after="0" w:line="240" w:lineRule="auto"/>
        <w:jc w:val="both"/>
        <w:rPr>
          <w:rFonts w:ascii="Times New Roman" w:eastAsia="Times New Roman" w:hAnsi="Times New Roman" w:cs="Times New Roman"/>
          <w:b/>
          <w:sz w:val="24"/>
          <w:szCs w:val="20"/>
          <w:lang w:val="it-IT"/>
        </w:rPr>
      </w:pPr>
      <w:r w:rsidRPr="00053A7F">
        <w:rPr>
          <w:noProof/>
          <w:bdr w:val="single" w:sz="12" w:space="0" w:color="auto"/>
          <w14:ligatures w14:val="standardContextual"/>
        </w:rPr>
        <w:drawing>
          <wp:inline distT="0" distB="0" distL="0" distR="0" wp14:anchorId="58E411EF" wp14:editId="4090ED78">
            <wp:extent cx="5619750" cy="2066925"/>
            <wp:effectExtent l="0" t="0" r="0" b="9525"/>
            <wp:docPr id="62" name="Chart 1">
              <a:extLst xmlns:a="http://schemas.openxmlformats.org/drawingml/2006/main">
                <a:ext uri="{FF2B5EF4-FFF2-40B4-BE49-F238E27FC236}">
                  <a16:creationId xmlns:a16="http://schemas.microsoft.com/office/drawing/2014/main" id="{EC80479B-1B65-7CB1-E3E4-C35759E98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7"/>
              </a:graphicData>
            </a:graphic>
          </wp:inline>
        </w:drawing>
      </w:r>
    </w:p>
    <w:p w:rsidR="00FF4C1A" w:rsidRDefault="00FF4C1A" w:rsidP="00C8462B">
      <w:pPr>
        <w:spacing w:after="0" w:line="240" w:lineRule="auto"/>
        <w:jc w:val="both"/>
        <w:rPr>
          <w:rFonts w:ascii="Times New Roman" w:eastAsia="Times New Roman" w:hAnsi="Times New Roman" w:cs="Times New Roman"/>
          <w:b/>
          <w:sz w:val="24"/>
          <w:szCs w:val="20"/>
          <w:lang w:val="it-IT"/>
        </w:rPr>
      </w:pPr>
    </w:p>
    <w:p w:rsidR="00FF4C1A" w:rsidRPr="00C8462B" w:rsidRDefault="00FF4C1A" w:rsidP="00C8462B">
      <w:pPr>
        <w:spacing w:after="0" w:line="240" w:lineRule="auto"/>
        <w:jc w:val="both"/>
        <w:rPr>
          <w:rFonts w:ascii="Times New Roman" w:eastAsia="Times New Roman" w:hAnsi="Times New Roman" w:cs="Times New Roman"/>
          <w:b/>
          <w:sz w:val="24"/>
          <w:szCs w:val="20"/>
          <w:lang w:val="it-IT"/>
        </w:rPr>
      </w:pPr>
    </w:p>
    <w:p w:rsidR="00C8462B" w:rsidRPr="00C8462B" w:rsidRDefault="00C8462B" w:rsidP="00C8462B">
      <w:pPr>
        <w:spacing w:after="0" w:line="240" w:lineRule="auto"/>
        <w:jc w:val="both"/>
        <w:rPr>
          <w:rFonts w:ascii="Times New Roman" w:eastAsia="Times New Roman" w:hAnsi="Times New Roman" w:cs="Times New Roman"/>
          <w:b/>
          <w:sz w:val="24"/>
          <w:szCs w:val="20"/>
          <w:lang w:val="it-IT"/>
        </w:rPr>
      </w:pPr>
      <w:r w:rsidRPr="00C8462B">
        <w:rPr>
          <w:rFonts w:ascii="Times New Roman" w:eastAsia="Times New Roman" w:hAnsi="Times New Roman" w:cs="Times New Roman"/>
          <w:b/>
          <w:sz w:val="24"/>
          <w:szCs w:val="20"/>
          <w:lang w:val="it-IT"/>
        </w:rPr>
        <w:t>Përfundime për shka</w:t>
      </w:r>
      <w:r w:rsidR="00132717">
        <w:rPr>
          <w:rFonts w:ascii="Times New Roman" w:eastAsia="Times New Roman" w:hAnsi="Times New Roman" w:cs="Times New Roman"/>
          <w:b/>
          <w:sz w:val="24"/>
          <w:szCs w:val="20"/>
          <w:lang w:val="it-IT"/>
        </w:rPr>
        <w:t>l</w:t>
      </w:r>
      <w:r w:rsidRPr="00C8462B">
        <w:rPr>
          <w:rFonts w:ascii="Times New Roman" w:eastAsia="Times New Roman" w:hAnsi="Times New Roman" w:cs="Times New Roman"/>
          <w:b/>
          <w:sz w:val="24"/>
          <w:szCs w:val="20"/>
          <w:lang w:val="it-IT"/>
        </w:rPr>
        <w:t>lën e prekjes nga sëmundjet.</w:t>
      </w:r>
    </w:p>
    <w:p w:rsidR="00FF4C1A" w:rsidRDefault="00FF4C1A" w:rsidP="00C8462B">
      <w:pPr>
        <w:tabs>
          <w:tab w:val="center" w:pos="4680"/>
          <w:tab w:val="right" w:pos="9360"/>
        </w:tabs>
        <w:spacing w:after="0" w:line="240" w:lineRule="auto"/>
        <w:jc w:val="both"/>
        <w:rPr>
          <w:rFonts w:ascii="Times New Roman" w:eastAsia="Calibri" w:hAnsi="Times New Roman" w:cs="Times New Roman"/>
          <w:sz w:val="24"/>
          <w:szCs w:val="24"/>
          <w:lang w:val="it-IT"/>
        </w:rPr>
      </w:pPr>
    </w:p>
    <w:p w:rsidR="00C8462B" w:rsidRPr="00C8462B" w:rsidRDefault="00C8462B" w:rsidP="00C8462B">
      <w:pPr>
        <w:tabs>
          <w:tab w:val="center" w:pos="4680"/>
          <w:tab w:val="right" w:pos="9360"/>
        </w:tabs>
        <w:spacing w:after="0" w:line="240" w:lineRule="auto"/>
        <w:jc w:val="both"/>
        <w:rPr>
          <w:rFonts w:ascii="Times New Roman" w:eastAsia="Calibri" w:hAnsi="Times New Roman" w:cs="Times New Roman"/>
          <w:spacing w:val="2"/>
          <w:sz w:val="24"/>
          <w:szCs w:val="24"/>
          <w:lang w:val="it-IT"/>
        </w:rPr>
      </w:pPr>
      <w:r w:rsidRPr="00C8462B">
        <w:rPr>
          <w:rFonts w:ascii="Times New Roman" w:eastAsia="Calibri" w:hAnsi="Times New Roman" w:cs="Times New Roman"/>
          <w:sz w:val="24"/>
          <w:szCs w:val="24"/>
          <w:lang w:val="it-IT"/>
        </w:rPr>
        <w:t>Shkalla e prekjes nga sëmundjet kryesore të monitoruar sipas klasave</w:t>
      </w:r>
      <w:r w:rsidRPr="00C8462B">
        <w:rPr>
          <w:rFonts w:ascii="Times New Roman" w:eastAsia="Calibri" w:hAnsi="Times New Roman" w:cs="Times New Roman"/>
          <w:spacing w:val="2"/>
          <w:sz w:val="24"/>
          <w:szCs w:val="24"/>
          <w:lang w:val="it-IT"/>
        </w:rPr>
        <w:t xml:space="preserve"> të vlerësimit, për vitin 2025 rezulton;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val="it-IT" w:eastAsia="sq-AL"/>
        </w:rPr>
      </w:pPr>
      <w:r w:rsidRPr="00C8462B">
        <w:rPr>
          <w:rFonts w:ascii="Times New Roman" w:eastAsia="Times New Roman" w:hAnsi="Times New Roman" w:cs="Times New Roman"/>
          <w:bCs/>
          <w:spacing w:val="2"/>
          <w:sz w:val="24"/>
          <w:szCs w:val="24"/>
          <w:lang w:val="it-IT" w:eastAsia="sq-AL"/>
        </w:rPr>
        <w:t xml:space="preserve">- </w:t>
      </w:r>
      <w:r w:rsidRPr="00C8462B">
        <w:rPr>
          <w:rFonts w:ascii="Times New Roman" w:eastAsia="Times New Roman" w:hAnsi="Times New Roman" w:cs="Times New Roman"/>
          <w:b/>
          <w:spacing w:val="2"/>
          <w:sz w:val="24"/>
          <w:szCs w:val="24"/>
          <w:lang w:val="it-IT" w:eastAsia="sq-AL"/>
        </w:rPr>
        <w:t>Për llojin pishë e zezë,</w:t>
      </w:r>
      <w:r w:rsidRPr="00C8462B">
        <w:rPr>
          <w:rFonts w:ascii="Times New Roman" w:eastAsia="Times New Roman" w:hAnsi="Times New Roman" w:cs="Times New Roman"/>
          <w:bCs/>
          <w:spacing w:val="2"/>
          <w:sz w:val="24"/>
          <w:szCs w:val="24"/>
          <w:lang w:val="it-IT" w:eastAsia="sq-AL"/>
        </w:rPr>
        <w:t xml:space="preserve"> </w:t>
      </w:r>
      <w:r w:rsidR="001C33A4">
        <w:rPr>
          <w:rFonts w:ascii="Times New Roman" w:eastAsia="Times New Roman" w:hAnsi="Times New Roman" w:cs="Times New Roman"/>
          <w:bCs/>
          <w:spacing w:val="2"/>
          <w:sz w:val="24"/>
          <w:szCs w:val="24"/>
          <w:lang w:val="it-IT" w:eastAsia="sq-AL"/>
        </w:rPr>
        <w:t xml:space="preserve">shkalla e prekjes </w:t>
      </w:r>
      <w:r w:rsidRPr="00C8462B">
        <w:rPr>
          <w:rFonts w:ascii="Times New Roman" w:eastAsia="Times New Roman" w:hAnsi="Times New Roman" w:cs="Times New Roman"/>
          <w:bCs/>
          <w:spacing w:val="2"/>
          <w:sz w:val="24"/>
          <w:szCs w:val="24"/>
          <w:lang w:val="it-IT" w:eastAsia="sq-AL"/>
        </w:rPr>
        <w:t xml:space="preserve"> në klasën e tretë (61-100%) në vitin 2024 ishte 6.70%, kurse në vitin 2025 është 5.52 %, pra kemi një rënie me 1.18%, kurse</w:t>
      </w:r>
      <w:r w:rsidR="001C33A4">
        <w:rPr>
          <w:rFonts w:ascii="Times New Roman" w:eastAsia="Times New Roman" w:hAnsi="Times New Roman" w:cs="Times New Roman"/>
          <w:bCs/>
          <w:spacing w:val="2"/>
          <w:sz w:val="24"/>
          <w:szCs w:val="24"/>
          <w:lang w:val="it-IT" w:eastAsia="sq-AL"/>
        </w:rPr>
        <w:t xml:space="preserve"> në klasën e katërt nuk kemi (f</w:t>
      </w:r>
      <w:r w:rsidRPr="00C8462B">
        <w:rPr>
          <w:rFonts w:ascii="Times New Roman" w:eastAsia="Times New Roman" w:hAnsi="Times New Roman" w:cs="Times New Roman"/>
          <w:bCs/>
          <w:spacing w:val="2"/>
          <w:sz w:val="24"/>
          <w:szCs w:val="24"/>
          <w:lang w:val="it-IT" w:eastAsia="sq-AL"/>
        </w:rPr>
        <w:t xml:space="preserve">enomenin e tharjes komplet të drurëve).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val="it-IT" w:eastAsia="sq-AL"/>
        </w:rPr>
      </w:pPr>
      <w:r w:rsidRPr="00C8462B">
        <w:rPr>
          <w:rFonts w:ascii="Times New Roman" w:eastAsia="Times New Roman" w:hAnsi="Times New Roman" w:cs="Times New Roman"/>
          <w:bCs/>
          <w:spacing w:val="2"/>
          <w:sz w:val="24"/>
          <w:szCs w:val="24"/>
          <w:lang w:val="it-IT" w:eastAsia="sq-AL"/>
        </w:rPr>
        <w:t xml:space="preserve">- </w:t>
      </w:r>
      <w:r w:rsidRPr="00C8462B">
        <w:rPr>
          <w:rFonts w:ascii="Times New Roman" w:eastAsia="Times New Roman" w:hAnsi="Times New Roman" w:cs="Times New Roman"/>
          <w:b/>
          <w:spacing w:val="2"/>
          <w:sz w:val="24"/>
          <w:szCs w:val="24"/>
          <w:lang w:val="it-IT" w:eastAsia="sq-AL"/>
        </w:rPr>
        <w:t>Për llojin e pishave mesdhetare,</w:t>
      </w:r>
      <w:r w:rsidRPr="00C8462B">
        <w:rPr>
          <w:rFonts w:ascii="Times New Roman" w:eastAsia="Times New Roman" w:hAnsi="Times New Roman" w:cs="Times New Roman"/>
          <w:bCs/>
          <w:spacing w:val="2"/>
          <w:sz w:val="24"/>
          <w:szCs w:val="24"/>
          <w:lang w:val="it-IT" w:eastAsia="sq-AL"/>
        </w:rPr>
        <w:t xml:space="preserve"> kemi ndryshime të vlerave në krahasim me vitet e mëparshme, në klasën e tretë (61-100%) në vitin 2024 ishte 13.23%, kurse në vitin 2025 është 11.58 %, </w:t>
      </w:r>
      <w:r w:rsidR="001C33A4">
        <w:rPr>
          <w:rFonts w:ascii="Times New Roman" w:eastAsia="Times New Roman" w:hAnsi="Times New Roman" w:cs="Times New Roman"/>
          <w:bCs/>
          <w:spacing w:val="2"/>
          <w:sz w:val="24"/>
          <w:szCs w:val="24"/>
          <w:lang w:val="it-IT" w:eastAsia="sq-AL"/>
        </w:rPr>
        <w:t>duke u ulur</w:t>
      </w:r>
      <w:r w:rsidRPr="00C8462B">
        <w:rPr>
          <w:rFonts w:ascii="Times New Roman" w:eastAsia="Times New Roman" w:hAnsi="Times New Roman" w:cs="Times New Roman"/>
          <w:bCs/>
          <w:spacing w:val="2"/>
          <w:sz w:val="24"/>
          <w:szCs w:val="24"/>
          <w:lang w:val="it-IT" w:eastAsia="sq-AL"/>
        </w:rPr>
        <w:t xml:space="preserve"> me 1.65%, kurse në klasën e katërt </w:t>
      </w:r>
      <w:r w:rsidR="001C33A4">
        <w:rPr>
          <w:rFonts w:ascii="Times New Roman" w:eastAsia="Times New Roman" w:hAnsi="Times New Roman" w:cs="Times New Roman"/>
          <w:bCs/>
          <w:spacing w:val="2"/>
          <w:sz w:val="24"/>
          <w:szCs w:val="24"/>
          <w:lang w:val="it-IT" w:eastAsia="sq-AL"/>
        </w:rPr>
        <w:t>nuk kemi (f</w:t>
      </w:r>
      <w:r w:rsidRPr="00C8462B">
        <w:rPr>
          <w:rFonts w:ascii="Times New Roman" w:eastAsia="Times New Roman" w:hAnsi="Times New Roman" w:cs="Times New Roman"/>
          <w:bCs/>
          <w:spacing w:val="2"/>
          <w:sz w:val="24"/>
          <w:szCs w:val="24"/>
          <w:lang w:val="it-IT" w:eastAsia="sq-AL"/>
        </w:rPr>
        <w:t xml:space="preserve">enomenin e tharjes komplet të drurëve). </w:t>
      </w:r>
    </w:p>
    <w:p w:rsidR="00C8462B" w:rsidRDefault="00C8462B" w:rsidP="00C8462B">
      <w:pPr>
        <w:pStyle w:val="BodyText"/>
        <w:spacing w:after="0"/>
        <w:jc w:val="both"/>
        <w:rPr>
          <w:bCs/>
          <w:spacing w:val="2"/>
          <w:lang w:val="it-IT" w:eastAsia="sq-AL"/>
        </w:rPr>
      </w:pPr>
      <w:r w:rsidRPr="00C8462B">
        <w:rPr>
          <w:bCs/>
          <w:spacing w:val="2"/>
          <w:lang w:val="it-IT" w:eastAsia="sq-AL"/>
        </w:rPr>
        <w:t xml:space="preserve"> </w:t>
      </w:r>
      <w:r w:rsidRPr="00C8462B">
        <w:rPr>
          <w:b/>
          <w:spacing w:val="2"/>
          <w:lang w:val="it-IT" w:eastAsia="sq-AL"/>
        </w:rPr>
        <w:t>- Për llojin bredh,</w:t>
      </w:r>
      <w:r w:rsidRPr="00C8462B">
        <w:rPr>
          <w:bCs/>
          <w:spacing w:val="2"/>
          <w:lang w:val="it-IT" w:eastAsia="sq-AL"/>
        </w:rPr>
        <w:t xml:space="preserve"> kemi ndryshime të vlerave në krahasim me vitet e mëparshme, në klasën e tretë (61-100%) në vitin 2024 ishte 9.44%, kurse në vitin 2025 është 8.78 %, pra kemi një </w:t>
      </w:r>
      <w:r w:rsidR="001C33A4">
        <w:rPr>
          <w:bCs/>
          <w:spacing w:val="2"/>
          <w:lang w:val="it-IT" w:eastAsia="sq-AL"/>
        </w:rPr>
        <w:t>ulje</w:t>
      </w:r>
      <w:r w:rsidRPr="00C8462B">
        <w:rPr>
          <w:bCs/>
          <w:spacing w:val="2"/>
          <w:lang w:val="it-IT" w:eastAsia="sq-AL"/>
        </w:rPr>
        <w:t xml:space="preserve"> me  0.66% kurse</w:t>
      </w:r>
      <w:r w:rsidR="001C33A4">
        <w:rPr>
          <w:bCs/>
          <w:spacing w:val="2"/>
          <w:lang w:val="it-IT" w:eastAsia="sq-AL"/>
        </w:rPr>
        <w:t xml:space="preserve"> në klasën e katërt nuk kemi (f</w:t>
      </w:r>
      <w:r w:rsidRPr="00C8462B">
        <w:rPr>
          <w:bCs/>
          <w:spacing w:val="2"/>
          <w:lang w:val="it-IT" w:eastAsia="sq-AL"/>
        </w:rPr>
        <w:t xml:space="preserve">enomenin e tharjes komplet të drurëve). </w:t>
      </w:r>
    </w:p>
    <w:p w:rsidR="000F53CF" w:rsidRPr="00C85CEB" w:rsidRDefault="000F53CF" w:rsidP="000F53CF">
      <w:pPr>
        <w:pStyle w:val="BodyText"/>
        <w:spacing w:after="0"/>
        <w:jc w:val="both"/>
        <w:rPr>
          <w:bCs/>
          <w:spacing w:val="2"/>
          <w:lang w:val="it-IT" w:eastAsia="sq-AL"/>
        </w:rPr>
      </w:pPr>
      <w:r w:rsidRPr="00C85CEB">
        <w:rPr>
          <w:bCs/>
          <w:spacing w:val="2"/>
          <w:lang w:val="it-IT" w:eastAsia="sq-AL"/>
        </w:rPr>
        <w:t>-</w:t>
      </w:r>
      <w:r w:rsidRPr="00C85CEB">
        <w:rPr>
          <w:b/>
          <w:spacing w:val="2"/>
          <w:lang w:val="it-IT" w:eastAsia="sq-AL"/>
        </w:rPr>
        <w:t>Për llojet halorë e tjerë,</w:t>
      </w:r>
      <w:r w:rsidRPr="00C85CEB">
        <w:rPr>
          <w:bCs/>
          <w:spacing w:val="2"/>
          <w:lang w:val="it-IT" w:eastAsia="sq-AL"/>
        </w:rPr>
        <w:t xml:space="preserve"> </w:t>
      </w:r>
      <w:r w:rsidR="001C33A4">
        <w:rPr>
          <w:bCs/>
          <w:spacing w:val="2"/>
          <w:lang w:val="it-IT" w:eastAsia="sq-AL"/>
        </w:rPr>
        <w:t>shkalla e prekjes</w:t>
      </w:r>
      <w:r w:rsidRPr="00C85CEB">
        <w:rPr>
          <w:bCs/>
          <w:spacing w:val="2"/>
          <w:lang w:val="it-IT" w:eastAsia="sq-AL"/>
        </w:rPr>
        <w:t xml:space="preserve"> në klasën e tretë (61-100%) në vitin 2024 ishte 13.06%, kurse në vitin 20</w:t>
      </w:r>
      <w:r w:rsidR="001C33A4">
        <w:rPr>
          <w:bCs/>
          <w:spacing w:val="2"/>
          <w:lang w:val="it-IT" w:eastAsia="sq-AL"/>
        </w:rPr>
        <w:t xml:space="preserve">25 është 11.61 %, pra kemi një </w:t>
      </w:r>
      <w:r w:rsidRPr="00C85CEB">
        <w:rPr>
          <w:bCs/>
          <w:spacing w:val="2"/>
          <w:lang w:val="it-IT" w:eastAsia="sq-AL"/>
        </w:rPr>
        <w:t>rënie me 1.45% kurse</w:t>
      </w:r>
      <w:r w:rsidR="001C33A4">
        <w:rPr>
          <w:bCs/>
          <w:spacing w:val="2"/>
          <w:lang w:val="it-IT" w:eastAsia="sq-AL"/>
        </w:rPr>
        <w:t xml:space="preserve"> në klasën e katërt nuk kemi (f</w:t>
      </w:r>
      <w:r w:rsidRPr="00C85CEB">
        <w:rPr>
          <w:bCs/>
          <w:spacing w:val="2"/>
          <w:lang w:val="it-IT" w:eastAsia="sq-AL"/>
        </w:rPr>
        <w:t>enomenin e tharjes kom</w:t>
      </w:r>
      <w:r w:rsidR="001C33A4">
        <w:rPr>
          <w:bCs/>
          <w:spacing w:val="2"/>
          <w:lang w:val="it-IT" w:eastAsia="sq-AL"/>
        </w:rPr>
        <w:t>p</w:t>
      </w:r>
      <w:r w:rsidRPr="00C85CEB">
        <w:rPr>
          <w:bCs/>
          <w:spacing w:val="2"/>
          <w:lang w:val="it-IT" w:eastAsia="sq-AL"/>
        </w:rPr>
        <w:t xml:space="preserve">let të drurëve). </w:t>
      </w:r>
    </w:p>
    <w:p w:rsidR="00FF4C1A" w:rsidRDefault="00FF4C1A" w:rsidP="00C8462B">
      <w:pPr>
        <w:pStyle w:val="BodyText"/>
        <w:spacing w:after="0"/>
        <w:jc w:val="both"/>
        <w:rPr>
          <w:bCs/>
          <w:spacing w:val="2"/>
          <w:lang w:val="it-IT" w:eastAsia="sq-AL"/>
        </w:rPr>
      </w:pPr>
    </w:p>
    <w:p w:rsidR="00FF4C1A" w:rsidRDefault="000F53CF" w:rsidP="00C8462B">
      <w:pPr>
        <w:pStyle w:val="BodyText"/>
        <w:spacing w:after="0"/>
        <w:jc w:val="both"/>
        <w:rPr>
          <w:bCs/>
          <w:spacing w:val="2"/>
          <w:lang w:val="it-IT" w:eastAsia="sq-AL"/>
        </w:rPr>
      </w:pPr>
      <w:r w:rsidRPr="007755FD">
        <w:rPr>
          <w:noProof/>
          <w:bdr w:val="single" w:sz="12" w:space="0" w:color="auto"/>
          <w14:ligatures w14:val="standardContextual"/>
        </w:rPr>
        <w:lastRenderedPageBreak/>
        <w:drawing>
          <wp:inline distT="0" distB="0" distL="0" distR="0" wp14:anchorId="12F2EC43" wp14:editId="0C5E8DC0">
            <wp:extent cx="5895975" cy="2124075"/>
            <wp:effectExtent l="0" t="0" r="9525" b="9525"/>
            <wp:docPr id="63" name="Chart 1">
              <a:extLst xmlns:a="http://schemas.openxmlformats.org/drawingml/2006/main">
                <a:ext uri="{FF2B5EF4-FFF2-40B4-BE49-F238E27FC236}">
                  <a16:creationId xmlns:a16="http://schemas.microsoft.com/office/drawing/2014/main" id="{21B170EE-E159-D350-47F2-2246415BF6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8"/>
              </a:graphicData>
            </a:graphic>
          </wp:inline>
        </w:drawing>
      </w:r>
    </w:p>
    <w:p w:rsidR="00FF4C1A" w:rsidRDefault="00FF4C1A" w:rsidP="00C8462B">
      <w:pPr>
        <w:pStyle w:val="BodyText"/>
        <w:spacing w:after="0"/>
        <w:jc w:val="both"/>
        <w:rPr>
          <w:bCs/>
          <w:spacing w:val="2"/>
          <w:lang w:val="it-IT" w:eastAsia="sq-AL"/>
        </w:rPr>
      </w:pPr>
    </w:p>
    <w:p w:rsidR="00FF4C1A" w:rsidRPr="00C8462B" w:rsidRDefault="00FF4C1A" w:rsidP="00C8462B">
      <w:pPr>
        <w:pStyle w:val="BodyText"/>
        <w:spacing w:after="0"/>
        <w:jc w:val="both"/>
        <w:rPr>
          <w:bCs/>
          <w:spacing w:val="2"/>
          <w:lang w:val="it-IT" w:eastAsia="sq-AL"/>
        </w:rPr>
      </w:pP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val="it-IT" w:eastAsia="sq-AL"/>
        </w:rPr>
      </w:pPr>
      <w:r w:rsidRPr="00C8462B">
        <w:rPr>
          <w:rFonts w:ascii="Times New Roman" w:eastAsia="Times New Roman" w:hAnsi="Times New Roman" w:cs="Times New Roman"/>
          <w:b/>
          <w:spacing w:val="2"/>
          <w:sz w:val="24"/>
          <w:szCs w:val="24"/>
          <w:lang w:val="it-IT" w:eastAsia="sq-AL"/>
        </w:rPr>
        <w:t>- Për llojin ah</w:t>
      </w:r>
      <w:r w:rsidRPr="00C8462B">
        <w:rPr>
          <w:rFonts w:ascii="Times New Roman" w:eastAsia="Times New Roman" w:hAnsi="Times New Roman" w:cs="Times New Roman"/>
          <w:bCs/>
          <w:spacing w:val="2"/>
          <w:sz w:val="24"/>
          <w:szCs w:val="24"/>
          <w:lang w:val="it-IT" w:eastAsia="sq-AL"/>
        </w:rPr>
        <w:t xml:space="preserve">, </w:t>
      </w:r>
      <w:r w:rsidRPr="00C8462B">
        <w:rPr>
          <w:rFonts w:ascii="Times New Roman" w:eastAsia="Times New Roman" w:hAnsi="Times New Roman" w:cs="Times New Roman"/>
          <w:b/>
          <w:spacing w:val="2"/>
          <w:sz w:val="24"/>
          <w:szCs w:val="24"/>
          <w:lang w:val="it-IT" w:eastAsia="sq-AL"/>
        </w:rPr>
        <w:t xml:space="preserve">mështeknë </w:t>
      </w:r>
      <w:r w:rsidRPr="00C8462B">
        <w:rPr>
          <w:rFonts w:ascii="Times New Roman" w:eastAsia="Times New Roman" w:hAnsi="Times New Roman" w:cs="Times New Roman"/>
          <w:bCs/>
          <w:spacing w:val="2"/>
          <w:sz w:val="24"/>
          <w:szCs w:val="24"/>
          <w:lang w:val="it-IT" w:eastAsia="sq-AL"/>
        </w:rPr>
        <w:t xml:space="preserve"> </w:t>
      </w:r>
      <w:r w:rsidR="001C33A4">
        <w:rPr>
          <w:rFonts w:ascii="Times New Roman" w:eastAsia="Times New Roman" w:hAnsi="Times New Roman" w:cs="Times New Roman"/>
          <w:bCs/>
          <w:spacing w:val="2"/>
          <w:sz w:val="24"/>
          <w:szCs w:val="24"/>
          <w:lang w:val="it-IT" w:eastAsia="sq-AL"/>
        </w:rPr>
        <w:t>shkalla e prekjes</w:t>
      </w:r>
      <w:r w:rsidRPr="00C8462B">
        <w:rPr>
          <w:rFonts w:ascii="Times New Roman" w:eastAsia="Times New Roman" w:hAnsi="Times New Roman" w:cs="Times New Roman"/>
          <w:bCs/>
          <w:spacing w:val="2"/>
          <w:sz w:val="24"/>
          <w:szCs w:val="24"/>
          <w:lang w:val="it-IT" w:eastAsia="sq-AL"/>
        </w:rPr>
        <w:t xml:space="preserve"> në klasën e tretë (61-100%) në vitin 2024 ishte 13.55%, kurse në vitin 2025 është 11.25%, pra kemi një </w:t>
      </w:r>
      <w:r w:rsidR="001C33A4">
        <w:rPr>
          <w:rFonts w:ascii="Times New Roman" w:eastAsia="Times New Roman" w:hAnsi="Times New Roman" w:cs="Times New Roman"/>
          <w:bCs/>
          <w:spacing w:val="2"/>
          <w:sz w:val="24"/>
          <w:szCs w:val="24"/>
          <w:lang w:val="it-IT" w:eastAsia="sq-AL"/>
        </w:rPr>
        <w:t>ulje</w:t>
      </w:r>
      <w:r w:rsidRPr="00C8462B">
        <w:rPr>
          <w:rFonts w:ascii="Times New Roman" w:eastAsia="Times New Roman" w:hAnsi="Times New Roman" w:cs="Times New Roman"/>
          <w:bCs/>
          <w:spacing w:val="2"/>
          <w:sz w:val="24"/>
          <w:szCs w:val="24"/>
          <w:lang w:val="it-IT" w:eastAsia="sq-AL"/>
        </w:rPr>
        <w:t xml:space="preserve"> me 2.30%, kurse</w:t>
      </w:r>
      <w:r w:rsidR="001C33A4">
        <w:rPr>
          <w:rFonts w:ascii="Times New Roman" w:eastAsia="Times New Roman" w:hAnsi="Times New Roman" w:cs="Times New Roman"/>
          <w:bCs/>
          <w:spacing w:val="2"/>
          <w:sz w:val="24"/>
          <w:szCs w:val="24"/>
          <w:lang w:val="it-IT" w:eastAsia="sq-AL"/>
        </w:rPr>
        <w:t xml:space="preserve"> në klasën e katërt nuk kemi (f</w:t>
      </w:r>
      <w:r w:rsidRPr="00C8462B">
        <w:rPr>
          <w:rFonts w:ascii="Times New Roman" w:eastAsia="Times New Roman" w:hAnsi="Times New Roman" w:cs="Times New Roman"/>
          <w:bCs/>
          <w:spacing w:val="2"/>
          <w:sz w:val="24"/>
          <w:szCs w:val="24"/>
          <w:lang w:val="it-IT" w:eastAsia="sq-AL"/>
        </w:rPr>
        <w:t>enomenin e tharjes kom</w:t>
      </w:r>
      <w:r w:rsidR="001C33A4">
        <w:rPr>
          <w:rFonts w:ascii="Times New Roman" w:eastAsia="Times New Roman" w:hAnsi="Times New Roman" w:cs="Times New Roman"/>
          <w:bCs/>
          <w:spacing w:val="2"/>
          <w:sz w:val="24"/>
          <w:szCs w:val="24"/>
          <w:lang w:val="it-IT" w:eastAsia="sq-AL"/>
        </w:rPr>
        <w:t>p</w:t>
      </w:r>
      <w:r w:rsidRPr="00C8462B">
        <w:rPr>
          <w:rFonts w:ascii="Times New Roman" w:eastAsia="Times New Roman" w:hAnsi="Times New Roman" w:cs="Times New Roman"/>
          <w:bCs/>
          <w:spacing w:val="2"/>
          <w:sz w:val="24"/>
          <w:szCs w:val="24"/>
          <w:lang w:val="it-IT" w:eastAsia="sq-AL"/>
        </w:rPr>
        <w:t xml:space="preserve">let të drurëve). </w:t>
      </w:r>
    </w:p>
    <w:p w:rsidR="00C8462B" w:rsidRPr="00C8462B" w:rsidRDefault="00C8462B" w:rsidP="00C8462B">
      <w:pPr>
        <w:spacing w:after="0" w:line="240" w:lineRule="auto"/>
        <w:jc w:val="both"/>
        <w:rPr>
          <w:rFonts w:ascii="Times New Roman" w:eastAsia="Times New Roman" w:hAnsi="Times New Roman" w:cs="Times New Roman"/>
          <w:bCs/>
          <w:spacing w:val="2"/>
          <w:sz w:val="24"/>
          <w:szCs w:val="24"/>
          <w:lang w:val="it-IT" w:eastAsia="sq-AL"/>
        </w:rPr>
      </w:pPr>
      <w:r w:rsidRPr="00C8462B">
        <w:rPr>
          <w:rFonts w:ascii="Times New Roman" w:eastAsia="Times New Roman" w:hAnsi="Times New Roman" w:cs="Times New Roman"/>
          <w:b/>
          <w:spacing w:val="2"/>
          <w:sz w:val="24"/>
          <w:szCs w:val="24"/>
          <w:lang w:val="it-IT" w:eastAsia="sq-AL"/>
        </w:rPr>
        <w:t>- Për llojet e dushqeve dhe llojit gështenjë,</w:t>
      </w:r>
      <w:r w:rsidRPr="00C8462B">
        <w:rPr>
          <w:rFonts w:ascii="Times New Roman" w:eastAsia="Times New Roman" w:hAnsi="Times New Roman" w:cs="Times New Roman"/>
          <w:bCs/>
          <w:spacing w:val="2"/>
          <w:sz w:val="24"/>
          <w:szCs w:val="24"/>
          <w:lang w:val="it-IT" w:eastAsia="sq-AL"/>
        </w:rPr>
        <w:t xml:space="preserve"> kemi ndryshime të vlerave në krahasim me vitet e mëparshme, në klasën e tretë (61-100%) në vitin 2024 ishte 15.10%, kurse në vitin 20</w:t>
      </w:r>
      <w:r w:rsidR="008D464B">
        <w:rPr>
          <w:rFonts w:ascii="Times New Roman" w:eastAsia="Times New Roman" w:hAnsi="Times New Roman" w:cs="Times New Roman"/>
          <w:bCs/>
          <w:spacing w:val="2"/>
          <w:sz w:val="24"/>
          <w:szCs w:val="24"/>
          <w:lang w:val="it-IT" w:eastAsia="sq-AL"/>
        </w:rPr>
        <w:t xml:space="preserve">25 është 13.54 %, pra kemi një </w:t>
      </w:r>
      <w:r w:rsidRPr="00C8462B">
        <w:rPr>
          <w:rFonts w:ascii="Times New Roman" w:eastAsia="Times New Roman" w:hAnsi="Times New Roman" w:cs="Times New Roman"/>
          <w:bCs/>
          <w:spacing w:val="2"/>
          <w:sz w:val="24"/>
          <w:szCs w:val="24"/>
          <w:lang w:val="it-IT" w:eastAsia="sq-AL"/>
        </w:rPr>
        <w:t>rënie me 1.56%, kurse</w:t>
      </w:r>
      <w:r w:rsidR="008D464B">
        <w:rPr>
          <w:rFonts w:ascii="Times New Roman" w:eastAsia="Times New Roman" w:hAnsi="Times New Roman" w:cs="Times New Roman"/>
          <w:bCs/>
          <w:spacing w:val="2"/>
          <w:sz w:val="24"/>
          <w:szCs w:val="24"/>
          <w:lang w:val="it-IT" w:eastAsia="sq-AL"/>
        </w:rPr>
        <w:t xml:space="preserve"> në klasën e katërt nuk kemi (f</w:t>
      </w:r>
      <w:r w:rsidRPr="00C8462B">
        <w:rPr>
          <w:rFonts w:ascii="Times New Roman" w:eastAsia="Times New Roman" w:hAnsi="Times New Roman" w:cs="Times New Roman"/>
          <w:bCs/>
          <w:spacing w:val="2"/>
          <w:sz w:val="24"/>
          <w:szCs w:val="24"/>
          <w:lang w:val="it-IT" w:eastAsia="sq-AL"/>
        </w:rPr>
        <w:t>enomenin e tharjes kom</w:t>
      </w:r>
      <w:r w:rsidR="008D464B">
        <w:rPr>
          <w:rFonts w:ascii="Times New Roman" w:eastAsia="Times New Roman" w:hAnsi="Times New Roman" w:cs="Times New Roman"/>
          <w:bCs/>
          <w:spacing w:val="2"/>
          <w:sz w:val="24"/>
          <w:szCs w:val="24"/>
          <w:lang w:val="it-IT" w:eastAsia="sq-AL"/>
        </w:rPr>
        <w:t>p</w:t>
      </w:r>
      <w:r w:rsidRPr="00C8462B">
        <w:rPr>
          <w:rFonts w:ascii="Times New Roman" w:eastAsia="Times New Roman" w:hAnsi="Times New Roman" w:cs="Times New Roman"/>
          <w:bCs/>
          <w:spacing w:val="2"/>
          <w:sz w:val="24"/>
          <w:szCs w:val="24"/>
          <w:lang w:val="it-IT" w:eastAsia="sq-AL"/>
        </w:rPr>
        <w:t xml:space="preserve">let të drurëve </w:t>
      </w:r>
    </w:p>
    <w:p w:rsidR="00C85CEB" w:rsidRDefault="00C8462B" w:rsidP="00C8462B">
      <w:pPr>
        <w:spacing w:after="0" w:line="240" w:lineRule="auto"/>
        <w:jc w:val="both"/>
        <w:rPr>
          <w:rFonts w:ascii="Times New Roman" w:eastAsia="Times New Roman" w:hAnsi="Times New Roman" w:cs="Times New Roman"/>
          <w:bCs/>
          <w:spacing w:val="2"/>
          <w:sz w:val="24"/>
          <w:szCs w:val="24"/>
          <w:lang w:val="it-IT" w:eastAsia="sq-AL"/>
        </w:rPr>
      </w:pPr>
      <w:r w:rsidRPr="00C8462B">
        <w:rPr>
          <w:rFonts w:ascii="Times New Roman" w:eastAsia="Times New Roman" w:hAnsi="Times New Roman" w:cs="Times New Roman"/>
          <w:b/>
          <w:spacing w:val="2"/>
          <w:sz w:val="24"/>
          <w:szCs w:val="24"/>
          <w:lang w:val="it-IT" w:eastAsia="sq-AL"/>
        </w:rPr>
        <w:t>- Për fletorët e tjerë,</w:t>
      </w:r>
      <w:r w:rsidRPr="00C8462B">
        <w:rPr>
          <w:rFonts w:ascii="Times New Roman" w:eastAsia="Times New Roman" w:hAnsi="Times New Roman" w:cs="Times New Roman"/>
          <w:bCs/>
          <w:spacing w:val="2"/>
          <w:sz w:val="24"/>
          <w:szCs w:val="24"/>
          <w:lang w:val="it-IT" w:eastAsia="sq-AL"/>
        </w:rPr>
        <w:t xml:space="preserve"> </w:t>
      </w:r>
      <w:r w:rsidR="008D464B">
        <w:rPr>
          <w:rFonts w:ascii="Times New Roman" w:eastAsia="Times New Roman" w:hAnsi="Times New Roman" w:cs="Times New Roman"/>
          <w:bCs/>
          <w:spacing w:val="2"/>
          <w:sz w:val="24"/>
          <w:szCs w:val="24"/>
          <w:lang w:val="it-IT" w:eastAsia="sq-AL"/>
        </w:rPr>
        <w:t xml:space="preserve">shkalla e prekjes </w:t>
      </w:r>
      <w:r w:rsidRPr="00C8462B">
        <w:rPr>
          <w:rFonts w:ascii="Times New Roman" w:eastAsia="Times New Roman" w:hAnsi="Times New Roman" w:cs="Times New Roman"/>
          <w:bCs/>
          <w:spacing w:val="2"/>
          <w:sz w:val="24"/>
          <w:szCs w:val="24"/>
          <w:lang w:val="it-IT" w:eastAsia="sq-AL"/>
        </w:rPr>
        <w:t xml:space="preserve">në klasën e tretë (61-100%) në vitin 2024 ishte 13.84%, kurse në vitin 2025 është 11.91%, pra kemi </w:t>
      </w:r>
      <w:r w:rsidR="008D464B">
        <w:rPr>
          <w:rFonts w:ascii="Times New Roman" w:eastAsia="Times New Roman" w:hAnsi="Times New Roman" w:cs="Times New Roman"/>
          <w:bCs/>
          <w:spacing w:val="2"/>
          <w:sz w:val="24"/>
          <w:szCs w:val="24"/>
          <w:lang w:val="it-IT" w:eastAsia="sq-AL"/>
        </w:rPr>
        <w:t xml:space="preserve">ulje  me </w:t>
      </w:r>
      <w:r w:rsidRPr="00C8462B">
        <w:rPr>
          <w:rFonts w:ascii="Times New Roman" w:eastAsia="Times New Roman" w:hAnsi="Times New Roman" w:cs="Times New Roman"/>
          <w:bCs/>
          <w:spacing w:val="2"/>
          <w:sz w:val="24"/>
          <w:szCs w:val="24"/>
          <w:lang w:val="it-IT" w:eastAsia="sq-AL"/>
        </w:rPr>
        <w:t>1.93%, kurse në klasën e katër</w:t>
      </w:r>
      <w:r w:rsidR="008D464B">
        <w:rPr>
          <w:rFonts w:ascii="Times New Roman" w:eastAsia="Times New Roman" w:hAnsi="Times New Roman" w:cs="Times New Roman"/>
          <w:bCs/>
          <w:spacing w:val="2"/>
          <w:sz w:val="24"/>
          <w:szCs w:val="24"/>
          <w:lang w:val="it-IT" w:eastAsia="sq-AL"/>
        </w:rPr>
        <w:t>t nuk kemi f</w:t>
      </w:r>
      <w:r w:rsidRPr="00C8462B">
        <w:rPr>
          <w:rFonts w:ascii="Times New Roman" w:eastAsia="Times New Roman" w:hAnsi="Times New Roman" w:cs="Times New Roman"/>
          <w:bCs/>
          <w:spacing w:val="2"/>
          <w:sz w:val="24"/>
          <w:szCs w:val="24"/>
          <w:lang w:val="it-IT" w:eastAsia="sq-AL"/>
        </w:rPr>
        <w:t>enomenin e tharjes komplet të drurëve.</w:t>
      </w:r>
    </w:p>
    <w:p w:rsidR="000F53CF" w:rsidRDefault="000F53CF" w:rsidP="00C8462B">
      <w:pPr>
        <w:spacing w:after="0" w:line="240" w:lineRule="auto"/>
        <w:jc w:val="both"/>
        <w:rPr>
          <w:rFonts w:ascii="Times New Roman" w:eastAsia="Times New Roman" w:hAnsi="Times New Roman" w:cs="Times New Roman"/>
          <w:bCs/>
          <w:spacing w:val="2"/>
          <w:sz w:val="24"/>
          <w:szCs w:val="24"/>
          <w:lang w:val="it-IT" w:eastAsia="sq-AL"/>
        </w:rPr>
      </w:pPr>
    </w:p>
    <w:p w:rsidR="000F53CF" w:rsidRDefault="000F53CF" w:rsidP="00C8462B">
      <w:pPr>
        <w:spacing w:after="0" w:line="240" w:lineRule="auto"/>
        <w:jc w:val="both"/>
        <w:rPr>
          <w:rFonts w:ascii="Times New Roman" w:eastAsia="Times New Roman" w:hAnsi="Times New Roman" w:cs="Times New Roman"/>
          <w:bCs/>
          <w:spacing w:val="2"/>
          <w:sz w:val="24"/>
          <w:szCs w:val="24"/>
          <w:lang w:val="it-IT" w:eastAsia="sq-AL"/>
        </w:rPr>
      </w:pPr>
      <w:r w:rsidRPr="00DE5ADC">
        <w:rPr>
          <w:noProof/>
          <w:bdr w:val="single" w:sz="12" w:space="0" w:color="auto"/>
          <w14:ligatures w14:val="standardContextual"/>
        </w:rPr>
        <w:drawing>
          <wp:inline distT="0" distB="0" distL="0" distR="0" wp14:anchorId="2270B633" wp14:editId="590A85E3">
            <wp:extent cx="5810250" cy="1962150"/>
            <wp:effectExtent l="0" t="0" r="0" b="0"/>
            <wp:docPr id="310" name="Chart 1">
              <a:extLst xmlns:a="http://schemas.openxmlformats.org/drawingml/2006/main">
                <a:ext uri="{FF2B5EF4-FFF2-40B4-BE49-F238E27FC236}">
                  <a16:creationId xmlns:a16="http://schemas.microsoft.com/office/drawing/2014/main" id="{729C0BD3-C5CC-B5A4-4401-965EA24BE3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9"/>
              </a:graphicData>
            </a:graphic>
          </wp:inline>
        </w:drawing>
      </w:r>
    </w:p>
    <w:p w:rsidR="000F53CF" w:rsidRDefault="000F53CF" w:rsidP="00C8462B">
      <w:pPr>
        <w:spacing w:after="0" w:line="240" w:lineRule="auto"/>
        <w:jc w:val="both"/>
        <w:rPr>
          <w:rFonts w:ascii="Times New Roman" w:eastAsia="Times New Roman" w:hAnsi="Times New Roman" w:cs="Times New Roman"/>
          <w:bCs/>
          <w:spacing w:val="2"/>
          <w:sz w:val="24"/>
          <w:szCs w:val="24"/>
          <w:lang w:val="it-IT" w:eastAsia="sq-AL"/>
        </w:rPr>
      </w:pPr>
    </w:p>
    <w:p w:rsidR="00C8462B" w:rsidRPr="00C8462B" w:rsidRDefault="00C8462B" w:rsidP="00C8462B">
      <w:pPr>
        <w:tabs>
          <w:tab w:val="center" w:pos="4680"/>
          <w:tab w:val="right" w:pos="9360"/>
        </w:tabs>
        <w:spacing w:after="0" w:line="240" w:lineRule="auto"/>
        <w:jc w:val="both"/>
        <w:rPr>
          <w:rFonts w:ascii="Times New Roman" w:eastAsia="Calibri" w:hAnsi="Times New Roman" w:cs="Times New Roman"/>
          <w:color w:val="000000"/>
          <w:sz w:val="24"/>
          <w:szCs w:val="24"/>
          <w:lang w:val="it-IT"/>
        </w:rPr>
      </w:pPr>
      <w:r w:rsidRPr="00C8462B">
        <w:rPr>
          <w:rFonts w:ascii="Times New Roman" w:eastAsia="Calibri" w:hAnsi="Times New Roman" w:cs="Times New Roman"/>
          <w:color w:val="000000"/>
          <w:sz w:val="24"/>
          <w:szCs w:val="24"/>
          <w:lang w:val="it-IT"/>
        </w:rPr>
        <w:t>Bazuar në gjendjen problematike që është parë vitet e fundit për llojin rrap (</w:t>
      </w:r>
      <w:r w:rsidRPr="00C8462B">
        <w:rPr>
          <w:rFonts w:ascii="Times New Roman" w:eastAsia="Calibri" w:hAnsi="Times New Roman" w:cs="Times New Roman"/>
          <w:i/>
          <w:color w:val="000000"/>
          <w:sz w:val="24"/>
          <w:szCs w:val="24"/>
          <w:lang w:val="it-IT"/>
        </w:rPr>
        <w:t>Platanus orientalis</w:t>
      </w:r>
      <w:r w:rsidRPr="00C8462B">
        <w:rPr>
          <w:rFonts w:ascii="Times New Roman" w:eastAsia="Calibri" w:hAnsi="Times New Roman" w:cs="Times New Roman"/>
          <w:color w:val="000000"/>
          <w:sz w:val="24"/>
          <w:szCs w:val="24"/>
          <w:lang w:val="it-IT"/>
        </w:rPr>
        <w:t>), në shtretërit e lumenjve; Shkumbin, Mat, Vjosë dhe Drino, në përmbushje të detyrimit ligjor, janë kryer verifikime në terren të gjendjes së llojit rrap që shtrihet përgjatë</w:t>
      </w:r>
      <w:r w:rsidR="008D464B">
        <w:rPr>
          <w:rFonts w:ascii="Times New Roman" w:eastAsia="Calibri" w:hAnsi="Times New Roman" w:cs="Times New Roman"/>
          <w:color w:val="000000"/>
          <w:sz w:val="24"/>
          <w:szCs w:val="24"/>
          <w:lang w:val="it-IT"/>
        </w:rPr>
        <w:t xml:space="preserve"> </w:t>
      </w:r>
      <w:r w:rsidRPr="00C8462B">
        <w:rPr>
          <w:rFonts w:ascii="Times New Roman" w:eastAsia="Calibri" w:hAnsi="Times New Roman" w:cs="Times New Roman"/>
          <w:color w:val="000000"/>
          <w:sz w:val="24"/>
          <w:szCs w:val="24"/>
          <w:lang w:val="it-IT"/>
        </w:rPr>
        <w:t xml:space="preserve">brigjeve të këtyre lumenjve. </w:t>
      </w:r>
    </w:p>
    <w:p w:rsidR="00C8462B" w:rsidRPr="00C8462B" w:rsidRDefault="00C8462B" w:rsidP="00C8462B">
      <w:pPr>
        <w:spacing w:after="0" w:line="240" w:lineRule="auto"/>
        <w:jc w:val="both"/>
        <w:rPr>
          <w:rFonts w:ascii="Times New Roman" w:eastAsia="Calibri" w:hAnsi="Times New Roman" w:cs="Times New Roman"/>
          <w:color w:val="000000"/>
          <w:sz w:val="24"/>
          <w:szCs w:val="24"/>
          <w:lang w:val="it-IT"/>
        </w:rPr>
      </w:pPr>
      <w:r w:rsidRPr="00C8462B">
        <w:rPr>
          <w:rFonts w:ascii="Times New Roman" w:eastAsia="Calibri" w:hAnsi="Times New Roman" w:cs="Times New Roman"/>
          <w:color w:val="000000"/>
          <w:sz w:val="24"/>
          <w:szCs w:val="24"/>
          <w:lang w:val="it-IT"/>
        </w:rPr>
        <w:t>Në këto basene ujëmbledhës fenomeni i tharjes së llo</w:t>
      </w:r>
      <w:r w:rsidR="008D464B">
        <w:rPr>
          <w:rFonts w:ascii="Times New Roman" w:eastAsia="Calibri" w:hAnsi="Times New Roman" w:cs="Times New Roman"/>
          <w:color w:val="000000"/>
          <w:sz w:val="24"/>
          <w:szCs w:val="24"/>
          <w:lang w:val="it-IT"/>
        </w:rPr>
        <w:t>jit rrap ka disa vite që është sh</w:t>
      </w:r>
      <w:r w:rsidRPr="00C8462B">
        <w:rPr>
          <w:rFonts w:ascii="Times New Roman" w:eastAsia="Calibri" w:hAnsi="Times New Roman" w:cs="Times New Roman"/>
          <w:color w:val="000000"/>
          <w:sz w:val="24"/>
          <w:szCs w:val="24"/>
          <w:lang w:val="it-IT"/>
        </w:rPr>
        <w:t>faqur si fenomen;</w:t>
      </w:r>
    </w:p>
    <w:p w:rsidR="00C8462B" w:rsidRPr="00C8462B" w:rsidRDefault="00C8462B" w:rsidP="00C8462B">
      <w:pPr>
        <w:spacing w:after="0" w:line="240" w:lineRule="auto"/>
        <w:contextualSpacing/>
        <w:jc w:val="both"/>
        <w:rPr>
          <w:rFonts w:ascii="Times New Roman" w:eastAsia="Calibri" w:hAnsi="Times New Roman" w:cs="Times New Roman"/>
          <w:color w:val="000000"/>
          <w:sz w:val="24"/>
          <w:szCs w:val="24"/>
          <w:lang w:val="it-IT"/>
        </w:rPr>
      </w:pPr>
      <w:r w:rsidRPr="00C8462B">
        <w:rPr>
          <w:rFonts w:ascii="Times New Roman" w:eastAsia="Calibri" w:hAnsi="Times New Roman" w:cs="Times New Roman"/>
          <w:color w:val="000000"/>
          <w:sz w:val="24"/>
          <w:szCs w:val="24"/>
          <w:lang w:val="it-IT"/>
        </w:rPr>
        <w:t>Kjo tharje vërehet gjatë gjithë gjatësisë së shtreteve të lumenjve, ku janë të pranishëm drurë të tharë komplet, drurë të tharë rreth 50% të masës së tyre dhe drurë tek të cilët ka nisur tharja.</w:t>
      </w:r>
    </w:p>
    <w:p w:rsidR="00C8462B" w:rsidRPr="00C8462B" w:rsidRDefault="00C8462B" w:rsidP="00C8462B">
      <w:pPr>
        <w:spacing w:after="0" w:line="240" w:lineRule="auto"/>
        <w:contextualSpacing/>
        <w:jc w:val="both"/>
        <w:rPr>
          <w:rFonts w:ascii="Times New Roman" w:eastAsia="Calibri" w:hAnsi="Times New Roman" w:cs="Times New Roman"/>
          <w:color w:val="000000"/>
          <w:sz w:val="24"/>
          <w:szCs w:val="24"/>
          <w:lang w:val="it-IT"/>
        </w:rPr>
      </w:pPr>
      <w:r w:rsidRPr="00C8462B">
        <w:rPr>
          <w:rFonts w:ascii="Times New Roman" w:eastAsia="Calibri" w:hAnsi="Times New Roman" w:cs="Times New Roman"/>
          <w:color w:val="000000"/>
          <w:sz w:val="24"/>
          <w:szCs w:val="24"/>
          <w:lang w:val="it-IT"/>
        </w:rPr>
        <w:lastRenderedPageBreak/>
        <w:t>Fenomeni vërehet edhe në drurët që janë shumë pranë njëri</w:t>
      </w:r>
      <w:r w:rsidR="008D464B">
        <w:rPr>
          <w:rFonts w:ascii="Times New Roman" w:eastAsia="Calibri" w:hAnsi="Times New Roman" w:cs="Times New Roman"/>
          <w:color w:val="000000"/>
          <w:sz w:val="24"/>
          <w:szCs w:val="24"/>
          <w:lang w:val="it-IT"/>
        </w:rPr>
        <w:t>-</w:t>
      </w:r>
      <w:r w:rsidRPr="00C8462B">
        <w:rPr>
          <w:rFonts w:ascii="Times New Roman" w:eastAsia="Calibri" w:hAnsi="Times New Roman" w:cs="Times New Roman"/>
          <w:color w:val="000000"/>
          <w:sz w:val="24"/>
          <w:szCs w:val="24"/>
          <w:lang w:val="it-IT"/>
        </w:rPr>
        <w:t xml:space="preserve"> tjetrit një është i tharë kurse tjetri është në gjëndje të mirë vëgjetative. </w:t>
      </w:r>
    </w:p>
    <w:p w:rsidR="00C8462B" w:rsidRPr="00C8462B" w:rsidRDefault="00C8462B" w:rsidP="00C8462B">
      <w:pPr>
        <w:spacing w:after="0" w:line="240" w:lineRule="auto"/>
        <w:jc w:val="both"/>
        <w:rPr>
          <w:rFonts w:ascii="Times New Roman" w:eastAsia="Calibri" w:hAnsi="Times New Roman" w:cs="Times New Roman"/>
          <w:color w:val="000000"/>
          <w:sz w:val="24"/>
          <w:szCs w:val="24"/>
          <w:lang w:val="it-IT"/>
        </w:rPr>
      </w:pPr>
      <w:r w:rsidRPr="00C8462B">
        <w:rPr>
          <w:rFonts w:ascii="Times New Roman" w:eastAsia="Calibri" w:hAnsi="Times New Roman" w:cs="Times New Roman"/>
          <w:color w:val="000000"/>
          <w:sz w:val="24"/>
          <w:szCs w:val="24"/>
          <w:lang w:val="it-IT"/>
        </w:rPr>
        <w:t>Dëmtues</w:t>
      </w:r>
      <w:r w:rsidR="008D464B">
        <w:rPr>
          <w:rFonts w:ascii="Times New Roman" w:eastAsia="Calibri" w:hAnsi="Times New Roman" w:cs="Times New Roman"/>
          <w:color w:val="000000"/>
          <w:sz w:val="24"/>
          <w:szCs w:val="24"/>
          <w:lang w:val="it-IT"/>
        </w:rPr>
        <w:t>it</w:t>
      </w:r>
      <w:r w:rsidRPr="00C8462B">
        <w:rPr>
          <w:rFonts w:ascii="Times New Roman" w:eastAsia="Calibri" w:hAnsi="Times New Roman" w:cs="Times New Roman"/>
          <w:color w:val="000000"/>
          <w:sz w:val="24"/>
          <w:szCs w:val="24"/>
          <w:lang w:val="it-IT"/>
        </w:rPr>
        <w:t xml:space="preserve"> më kryesor të konstatuar në këtë sipërfaqe monitoruese do të përmendim; </w:t>
      </w:r>
    </w:p>
    <w:p w:rsidR="00C8462B" w:rsidRPr="008D464B" w:rsidRDefault="00C8462B" w:rsidP="00807975">
      <w:pPr>
        <w:pStyle w:val="ListParagraph"/>
        <w:numPr>
          <w:ilvl w:val="0"/>
          <w:numId w:val="158"/>
        </w:numPr>
        <w:spacing w:after="0" w:line="240" w:lineRule="auto"/>
        <w:jc w:val="both"/>
        <w:rPr>
          <w:rFonts w:ascii="Times New Roman" w:eastAsia="Calibri" w:hAnsi="Times New Roman" w:cs="Times New Roman"/>
          <w:color w:val="000000"/>
          <w:sz w:val="24"/>
          <w:szCs w:val="24"/>
          <w:lang w:val="it-IT"/>
        </w:rPr>
      </w:pPr>
      <w:r w:rsidRPr="008D464B">
        <w:rPr>
          <w:rFonts w:ascii="Times New Roman" w:eastAsia="Calibri" w:hAnsi="Times New Roman" w:cs="Times New Roman"/>
          <w:color w:val="000000"/>
          <w:sz w:val="24"/>
          <w:szCs w:val="24"/>
          <w:lang w:val="it-IT"/>
        </w:rPr>
        <w:t>Minuesja e gjetheve të rrapit (</w:t>
      </w:r>
      <w:r w:rsidRPr="008D464B">
        <w:rPr>
          <w:rFonts w:ascii="Times New Roman" w:eastAsia="Calibri" w:hAnsi="Times New Roman" w:cs="Times New Roman"/>
          <w:i/>
          <w:color w:val="000000"/>
          <w:sz w:val="24"/>
          <w:szCs w:val="24"/>
          <w:lang w:val="it-IT"/>
        </w:rPr>
        <w:t>Lithocollettis platania</w:t>
      </w:r>
      <w:r w:rsidRPr="008D464B">
        <w:rPr>
          <w:rFonts w:ascii="Times New Roman" w:eastAsia="Calibri" w:hAnsi="Times New Roman" w:cs="Times New Roman"/>
          <w:color w:val="000000"/>
          <w:sz w:val="24"/>
          <w:szCs w:val="24"/>
          <w:lang w:val="it-IT"/>
        </w:rPr>
        <w:t>. Stainton).</w:t>
      </w:r>
    </w:p>
    <w:p w:rsidR="00C8462B" w:rsidRPr="008D464B" w:rsidRDefault="00C8462B" w:rsidP="00807975">
      <w:pPr>
        <w:pStyle w:val="ListParagraph"/>
        <w:numPr>
          <w:ilvl w:val="0"/>
          <w:numId w:val="158"/>
        </w:numPr>
        <w:spacing w:after="0" w:line="240" w:lineRule="auto"/>
        <w:jc w:val="both"/>
        <w:rPr>
          <w:rFonts w:ascii="Times New Roman" w:eastAsia="Calibri" w:hAnsi="Times New Roman" w:cs="Times New Roman"/>
          <w:color w:val="000000"/>
          <w:sz w:val="24"/>
          <w:szCs w:val="24"/>
          <w:lang w:val="it-IT"/>
        </w:rPr>
      </w:pPr>
      <w:r w:rsidRPr="008D464B">
        <w:rPr>
          <w:rFonts w:ascii="Times New Roman" w:eastAsia="Calibri" w:hAnsi="Times New Roman" w:cs="Times New Roman"/>
          <w:color w:val="000000"/>
          <w:sz w:val="24"/>
          <w:szCs w:val="24"/>
          <w:lang w:val="it-IT"/>
        </w:rPr>
        <w:t>Anekroza e rrapit (</w:t>
      </w:r>
      <w:r w:rsidRPr="008D464B">
        <w:rPr>
          <w:rFonts w:ascii="Times New Roman" w:eastAsia="Calibri" w:hAnsi="Times New Roman" w:cs="Times New Roman"/>
          <w:i/>
          <w:color w:val="000000"/>
          <w:sz w:val="24"/>
          <w:szCs w:val="24"/>
          <w:lang w:val="it-IT"/>
        </w:rPr>
        <w:t>Gnomonia veneta</w:t>
      </w:r>
      <w:r w:rsidRPr="008D464B">
        <w:rPr>
          <w:rFonts w:ascii="Times New Roman" w:eastAsia="Calibri" w:hAnsi="Times New Roman" w:cs="Times New Roman"/>
          <w:color w:val="000000"/>
          <w:sz w:val="24"/>
          <w:szCs w:val="24"/>
          <w:lang w:val="it-IT"/>
        </w:rPr>
        <w:t>.Kleb), (</w:t>
      </w:r>
      <w:r w:rsidRPr="008D464B">
        <w:rPr>
          <w:rFonts w:ascii="Times New Roman" w:eastAsia="Calibri" w:hAnsi="Times New Roman" w:cs="Times New Roman"/>
          <w:i/>
          <w:color w:val="000000"/>
          <w:sz w:val="24"/>
          <w:szCs w:val="24"/>
          <w:lang w:val="it-IT"/>
        </w:rPr>
        <w:t>Genomonia platani</w:t>
      </w:r>
      <w:r w:rsidRPr="008D464B">
        <w:rPr>
          <w:rFonts w:ascii="Times New Roman" w:eastAsia="Calibri" w:hAnsi="Times New Roman" w:cs="Times New Roman"/>
          <w:color w:val="000000"/>
          <w:sz w:val="24"/>
          <w:szCs w:val="24"/>
          <w:lang w:val="it-IT"/>
        </w:rPr>
        <w:t>.Kleb) dhe (</w:t>
      </w:r>
      <w:r w:rsidRPr="008D464B">
        <w:rPr>
          <w:rFonts w:ascii="Times New Roman" w:eastAsia="Calibri" w:hAnsi="Times New Roman" w:cs="Times New Roman"/>
          <w:i/>
          <w:color w:val="000000"/>
          <w:sz w:val="24"/>
          <w:szCs w:val="24"/>
          <w:lang w:val="it-IT"/>
        </w:rPr>
        <w:t>Gloeosporium platania</w:t>
      </w:r>
      <w:r w:rsidRPr="008D464B">
        <w:rPr>
          <w:rFonts w:ascii="Times New Roman" w:eastAsia="Calibri" w:hAnsi="Times New Roman" w:cs="Times New Roman"/>
          <w:color w:val="000000"/>
          <w:sz w:val="24"/>
          <w:szCs w:val="24"/>
          <w:lang w:val="it-IT"/>
        </w:rPr>
        <w:t xml:space="preserve">). </w:t>
      </w:r>
    </w:p>
    <w:p w:rsidR="00C8462B" w:rsidRPr="008D464B" w:rsidRDefault="00C8462B" w:rsidP="00807975">
      <w:pPr>
        <w:pStyle w:val="ListParagraph"/>
        <w:numPr>
          <w:ilvl w:val="0"/>
          <w:numId w:val="158"/>
        </w:numPr>
        <w:spacing w:after="0" w:line="240" w:lineRule="auto"/>
        <w:jc w:val="both"/>
        <w:rPr>
          <w:rFonts w:ascii="Times New Roman" w:eastAsia="Calibri" w:hAnsi="Times New Roman" w:cs="Times New Roman"/>
          <w:color w:val="000000"/>
          <w:sz w:val="24"/>
          <w:szCs w:val="24"/>
          <w:lang w:val="it-IT"/>
        </w:rPr>
      </w:pPr>
      <w:r w:rsidRPr="008D464B">
        <w:rPr>
          <w:rFonts w:ascii="Times New Roman" w:eastAsia="Calibri" w:hAnsi="Times New Roman" w:cs="Times New Roman"/>
          <w:color w:val="000000"/>
          <w:sz w:val="24"/>
          <w:szCs w:val="24"/>
          <w:lang w:val="it-IT"/>
        </w:rPr>
        <w:t xml:space="preserve">Një sëmundje tjetër e hasur në llojin bush është tharja e këtij lloji. Gjatë monitorimeve të kryera në terren, pothuajse në të gjithë arealin e përhapjes së llojit bush, është takuar tharja e këtij lloji. Ky fenomen është gjerësisht i përhapur në territoret e bashkisë Gramsh, Shkodër, Burrel, Vlorë, Maliq, Librazhd, etj. </w:t>
      </w:r>
    </w:p>
    <w:p w:rsidR="00C8462B" w:rsidRPr="008D464B" w:rsidRDefault="00C8462B" w:rsidP="00807975">
      <w:pPr>
        <w:pStyle w:val="ListParagraph"/>
        <w:numPr>
          <w:ilvl w:val="0"/>
          <w:numId w:val="158"/>
        </w:numPr>
        <w:spacing w:after="0" w:line="240" w:lineRule="auto"/>
        <w:jc w:val="both"/>
        <w:rPr>
          <w:rFonts w:ascii="Times New Roman" w:eastAsia="Calibri" w:hAnsi="Times New Roman" w:cs="Times New Roman"/>
          <w:color w:val="000000"/>
          <w:sz w:val="24"/>
          <w:szCs w:val="24"/>
          <w:lang w:val="it-IT"/>
        </w:rPr>
      </w:pPr>
      <w:r w:rsidRPr="008D464B">
        <w:rPr>
          <w:rFonts w:ascii="Times New Roman" w:eastAsia="Calibri" w:hAnsi="Times New Roman" w:cs="Times New Roman"/>
          <w:color w:val="000000"/>
          <w:sz w:val="24"/>
          <w:szCs w:val="24"/>
          <w:lang w:val="it-IT"/>
        </w:rPr>
        <w:t>Fenomeni i tharjes masive të llojit bush është i pranishëm në të gj</w:t>
      </w:r>
      <w:r w:rsidR="00D3274B">
        <w:rPr>
          <w:rFonts w:ascii="Times New Roman" w:eastAsia="Calibri" w:hAnsi="Times New Roman" w:cs="Times New Roman"/>
          <w:color w:val="000000"/>
          <w:sz w:val="24"/>
          <w:szCs w:val="24"/>
          <w:lang w:val="it-IT"/>
        </w:rPr>
        <w:t>itha sipërfaqet ku rritet që nga</w:t>
      </w:r>
      <w:r w:rsidRPr="008D464B">
        <w:rPr>
          <w:rFonts w:ascii="Times New Roman" w:eastAsia="Calibri" w:hAnsi="Times New Roman" w:cs="Times New Roman"/>
          <w:color w:val="000000"/>
          <w:sz w:val="24"/>
          <w:szCs w:val="24"/>
          <w:lang w:val="it-IT"/>
        </w:rPr>
        <w:t xml:space="preserve"> pjesët e luginave të lumenjve Mat dhe Shkumbin edhe në lartësitë e masiveve qoftë si lloj më vete edhe si nën pyll.</w:t>
      </w:r>
    </w:p>
    <w:p w:rsidR="00C8462B" w:rsidRPr="008D464B" w:rsidRDefault="00C8462B" w:rsidP="00807975">
      <w:pPr>
        <w:pStyle w:val="ListParagraph"/>
        <w:numPr>
          <w:ilvl w:val="0"/>
          <w:numId w:val="158"/>
        </w:numPr>
        <w:spacing w:after="0" w:line="240" w:lineRule="auto"/>
        <w:jc w:val="both"/>
        <w:rPr>
          <w:rFonts w:ascii="Times New Roman" w:eastAsia="Calibri" w:hAnsi="Times New Roman" w:cs="Times New Roman"/>
          <w:color w:val="000000"/>
          <w:sz w:val="24"/>
          <w:szCs w:val="24"/>
          <w:lang w:val="it-IT"/>
        </w:rPr>
      </w:pPr>
      <w:r w:rsidRPr="008D464B">
        <w:rPr>
          <w:rFonts w:ascii="Times New Roman" w:eastAsia="Calibri" w:hAnsi="Times New Roman" w:cs="Times New Roman"/>
          <w:color w:val="000000"/>
          <w:sz w:val="24"/>
          <w:szCs w:val="24"/>
          <w:lang w:val="it-IT"/>
        </w:rPr>
        <w:t>Fenomeni i tharjes së llojit Hormoq në luginën e Valbonës është një fenomen që u konstatua gjatë këtij viti dhe është vetëm në drurë të veçantë.</w:t>
      </w:r>
    </w:p>
    <w:p w:rsidR="00C8462B" w:rsidRPr="008D464B" w:rsidRDefault="00C8462B" w:rsidP="00807975">
      <w:pPr>
        <w:pStyle w:val="ListParagraph"/>
        <w:numPr>
          <w:ilvl w:val="0"/>
          <w:numId w:val="158"/>
        </w:numPr>
        <w:spacing w:after="0" w:line="240" w:lineRule="auto"/>
        <w:jc w:val="both"/>
        <w:rPr>
          <w:rFonts w:ascii="Times New Roman" w:eastAsia="Calibri" w:hAnsi="Times New Roman" w:cs="Times New Roman"/>
          <w:color w:val="000000"/>
          <w:sz w:val="24"/>
          <w:szCs w:val="24"/>
          <w:lang w:val="it-IT"/>
        </w:rPr>
      </w:pPr>
      <w:r w:rsidRPr="008D464B">
        <w:rPr>
          <w:rFonts w:ascii="Times New Roman" w:eastAsia="Calibri" w:hAnsi="Times New Roman" w:cs="Times New Roman"/>
          <w:color w:val="000000"/>
          <w:sz w:val="24"/>
          <w:szCs w:val="24"/>
          <w:lang w:val="it-IT"/>
        </w:rPr>
        <w:t>Fenomeni i prekjes së llojit gështënjë nga grerëza Aziatike është i përhapu</w:t>
      </w:r>
      <w:r w:rsidR="00D3274B">
        <w:rPr>
          <w:rFonts w:ascii="Times New Roman" w:eastAsia="Calibri" w:hAnsi="Times New Roman" w:cs="Times New Roman"/>
          <w:color w:val="000000"/>
          <w:sz w:val="24"/>
          <w:szCs w:val="24"/>
          <w:lang w:val="it-IT"/>
        </w:rPr>
        <w:t>r në të gjithë masivet me gështe</w:t>
      </w:r>
      <w:r w:rsidRPr="008D464B">
        <w:rPr>
          <w:rFonts w:ascii="Times New Roman" w:eastAsia="Calibri" w:hAnsi="Times New Roman" w:cs="Times New Roman"/>
          <w:color w:val="000000"/>
          <w:sz w:val="24"/>
          <w:szCs w:val="24"/>
          <w:lang w:val="it-IT"/>
        </w:rPr>
        <w:t>një, është një fenomen që është shfaqur para disa viteve por këtë vit pati shumë dëmtime në prodhimtarinë e llojit.</w:t>
      </w:r>
    </w:p>
    <w:p w:rsidR="00C8462B" w:rsidRPr="00C8462B" w:rsidRDefault="00C8462B" w:rsidP="00807975">
      <w:pPr>
        <w:pStyle w:val="Header"/>
        <w:numPr>
          <w:ilvl w:val="0"/>
          <w:numId w:val="158"/>
        </w:numPr>
        <w:jc w:val="both"/>
        <w:rPr>
          <w:rFonts w:ascii="Times New Roman" w:eastAsia="Calibri" w:hAnsi="Times New Roman" w:cs="Times New Roman"/>
          <w:bCs/>
          <w:sz w:val="24"/>
          <w:szCs w:val="24"/>
          <w:lang w:val="it-IT"/>
        </w:rPr>
      </w:pPr>
      <w:r w:rsidRPr="00C8462B">
        <w:rPr>
          <w:rFonts w:ascii="Times New Roman" w:eastAsia="Calibri" w:hAnsi="Times New Roman" w:cs="Times New Roman"/>
          <w:bCs/>
          <w:sz w:val="24"/>
          <w:szCs w:val="24"/>
          <w:lang w:val="it-IT"/>
        </w:rPr>
        <w:t xml:space="preserve">Fenomeni i prekjes se grumbujve pyjor të llojit pishë </w:t>
      </w:r>
      <w:r w:rsidR="00D3274B">
        <w:rPr>
          <w:rFonts w:ascii="Times New Roman" w:eastAsia="Calibri" w:hAnsi="Times New Roman" w:cs="Times New Roman"/>
          <w:bCs/>
          <w:sz w:val="24"/>
          <w:szCs w:val="24"/>
          <w:lang w:val="it-IT"/>
        </w:rPr>
        <w:t xml:space="preserve">e </w:t>
      </w:r>
      <w:r w:rsidRPr="00C8462B">
        <w:rPr>
          <w:rFonts w:ascii="Times New Roman" w:eastAsia="Calibri" w:hAnsi="Times New Roman" w:cs="Times New Roman"/>
          <w:bCs/>
          <w:sz w:val="24"/>
          <w:szCs w:val="24"/>
          <w:lang w:val="it-IT"/>
        </w:rPr>
        <w:t>butë (</w:t>
      </w:r>
      <w:r w:rsidRPr="00C8462B">
        <w:rPr>
          <w:rFonts w:ascii="Times New Roman" w:eastAsia="Calibri" w:hAnsi="Times New Roman" w:cs="Times New Roman"/>
          <w:bCs/>
          <w:i/>
          <w:iCs/>
          <w:sz w:val="24"/>
          <w:szCs w:val="24"/>
          <w:lang w:val="it-IT"/>
        </w:rPr>
        <w:t>Pinus pinea</w:t>
      </w:r>
      <w:r w:rsidRPr="00C8462B">
        <w:rPr>
          <w:rFonts w:ascii="Times New Roman" w:eastAsia="Calibri" w:hAnsi="Times New Roman" w:cs="Times New Roman"/>
          <w:bCs/>
          <w:sz w:val="24"/>
          <w:szCs w:val="24"/>
          <w:lang w:val="it-IT"/>
        </w:rPr>
        <w:t xml:space="preserve"> L), nga breshkëza e pishës së butë (</w:t>
      </w:r>
      <w:r w:rsidRPr="00C8462B">
        <w:rPr>
          <w:rFonts w:ascii="Times New Roman" w:eastAsia="Calibri" w:hAnsi="Times New Roman" w:cs="Times New Roman"/>
          <w:bCs/>
          <w:i/>
          <w:iCs/>
          <w:sz w:val="24"/>
          <w:szCs w:val="24"/>
          <w:lang w:val="it-IT"/>
        </w:rPr>
        <w:t>Toumeyella parvicorns. Cockerrel</w:t>
      </w:r>
      <w:r w:rsidRPr="00C8462B">
        <w:rPr>
          <w:rFonts w:ascii="Times New Roman" w:eastAsia="Calibri" w:hAnsi="Times New Roman" w:cs="Times New Roman"/>
          <w:bCs/>
          <w:sz w:val="24"/>
          <w:szCs w:val="24"/>
          <w:lang w:val="it-IT"/>
        </w:rPr>
        <w:t xml:space="preserve"> në qarqet dhe bashkitë ku ky lloj zë një sipërfaqe të konsiderueshme, si zona bregdetare.</w:t>
      </w:r>
    </w:p>
    <w:p w:rsidR="00C85CEB" w:rsidRDefault="00C85CEB" w:rsidP="00C85CEB">
      <w:pPr>
        <w:spacing w:after="0" w:line="240" w:lineRule="auto"/>
        <w:jc w:val="both"/>
        <w:rPr>
          <w:rFonts w:ascii="Times New Roman" w:eastAsia="Calibri" w:hAnsi="Times New Roman" w:cs="Times New Roman"/>
          <w:b/>
          <w:sz w:val="24"/>
          <w:szCs w:val="24"/>
          <w:lang w:val="it-IT"/>
        </w:rPr>
      </w:pPr>
    </w:p>
    <w:p w:rsidR="00C85CEB" w:rsidRPr="00C85CEB" w:rsidRDefault="00C85CEB" w:rsidP="00C85CEB">
      <w:pPr>
        <w:spacing w:after="0" w:line="240" w:lineRule="auto"/>
        <w:jc w:val="both"/>
        <w:rPr>
          <w:rFonts w:ascii="Times New Roman" w:eastAsia="Calibri" w:hAnsi="Times New Roman" w:cs="Times New Roman"/>
          <w:b/>
          <w:sz w:val="24"/>
          <w:szCs w:val="24"/>
          <w:lang w:val="it-IT"/>
        </w:rPr>
      </w:pPr>
      <w:r w:rsidRPr="00C85CEB">
        <w:rPr>
          <w:rFonts w:ascii="Times New Roman" w:eastAsia="Calibri" w:hAnsi="Times New Roman" w:cs="Times New Roman"/>
          <w:b/>
          <w:sz w:val="24"/>
          <w:szCs w:val="24"/>
          <w:lang w:val="it-IT"/>
        </w:rPr>
        <w:t>Shkaqet kryesore që kanë ndikuar në gjendjen shëndetësore të fondit pyjor janë;</w:t>
      </w:r>
    </w:p>
    <w:p w:rsidR="00C85CEB" w:rsidRPr="00C85CEB" w:rsidRDefault="00C85CEB" w:rsidP="00C85CEB">
      <w:pPr>
        <w:spacing w:after="0" w:line="240" w:lineRule="auto"/>
        <w:jc w:val="both"/>
        <w:rPr>
          <w:rFonts w:ascii="Times New Roman" w:eastAsia="Calibri" w:hAnsi="Times New Roman" w:cs="Times New Roman"/>
          <w:sz w:val="24"/>
          <w:szCs w:val="24"/>
          <w:lang w:val="it-IT"/>
        </w:rPr>
      </w:pPr>
      <w:r w:rsidRPr="00C85CEB">
        <w:rPr>
          <w:rFonts w:ascii="Times New Roman" w:eastAsia="Calibri" w:hAnsi="Times New Roman" w:cs="Times New Roman"/>
          <w:sz w:val="24"/>
          <w:szCs w:val="24"/>
          <w:lang w:val="it-IT"/>
        </w:rPr>
        <w:t>1. Faktorët klimatikë si temperaturat ekstreme të ulta dhe të larta kanë patur ndikimin e tyre në fenomenin e ç’ngjyrosjes dhe të ç’halëzimit si dhe atë të zjarreve të rëna para fillimit dhe gjatë  vegjetacionit.</w:t>
      </w:r>
    </w:p>
    <w:p w:rsidR="00C85CEB" w:rsidRPr="00C85CEB" w:rsidRDefault="00C85CEB" w:rsidP="00C85CEB">
      <w:pPr>
        <w:spacing w:after="0" w:line="240" w:lineRule="auto"/>
        <w:jc w:val="both"/>
        <w:rPr>
          <w:rFonts w:ascii="Times New Roman" w:eastAsia="Calibri" w:hAnsi="Times New Roman" w:cs="Times New Roman"/>
          <w:sz w:val="24"/>
          <w:szCs w:val="24"/>
          <w:lang w:val="it-IT"/>
        </w:rPr>
      </w:pPr>
      <w:r w:rsidRPr="00C85CEB">
        <w:rPr>
          <w:rFonts w:ascii="Times New Roman" w:eastAsia="Calibri" w:hAnsi="Times New Roman" w:cs="Times New Roman"/>
          <w:sz w:val="24"/>
          <w:szCs w:val="24"/>
          <w:lang w:val="it-IT"/>
        </w:rPr>
        <w:t>2. Shkalla e prekjes nga dëmtuesit dhe sëmundjet ka qenë në varësi të ciklit biologjik të zhvillimit të tyre ku dëmtuesi i procesonaries së pishës është shfaqur me një shkallë përhapje dhe prekje më të</w:t>
      </w:r>
      <w:r w:rsidR="00D3274B">
        <w:rPr>
          <w:rFonts w:ascii="Times New Roman" w:eastAsia="Calibri" w:hAnsi="Times New Roman" w:cs="Times New Roman"/>
          <w:sz w:val="24"/>
          <w:szCs w:val="24"/>
          <w:lang w:val="it-IT"/>
        </w:rPr>
        <w:t xml:space="preserve"> ulët në krahasim me vitet e më</w:t>
      </w:r>
      <w:r w:rsidRPr="00C85CEB">
        <w:rPr>
          <w:rFonts w:ascii="Times New Roman" w:eastAsia="Calibri" w:hAnsi="Times New Roman" w:cs="Times New Roman"/>
          <w:sz w:val="24"/>
          <w:szCs w:val="24"/>
          <w:lang w:val="it-IT"/>
        </w:rPr>
        <w:t>parshme.</w:t>
      </w:r>
    </w:p>
    <w:p w:rsidR="00C85CEB" w:rsidRPr="00C85CEB" w:rsidRDefault="00C85CEB" w:rsidP="00C85CEB">
      <w:pPr>
        <w:spacing w:after="0" w:line="240" w:lineRule="auto"/>
        <w:jc w:val="both"/>
        <w:rPr>
          <w:rFonts w:ascii="Times New Roman" w:eastAsia="Calibri" w:hAnsi="Times New Roman" w:cs="Times New Roman"/>
          <w:sz w:val="24"/>
          <w:szCs w:val="24"/>
          <w:lang w:val="it-IT"/>
        </w:rPr>
      </w:pPr>
      <w:r w:rsidRPr="00C85CEB">
        <w:rPr>
          <w:rFonts w:ascii="Times New Roman" w:eastAsia="Calibri" w:hAnsi="Times New Roman" w:cs="Times New Roman"/>
          <w:sz w:val="24"/>
          <w:szCs w:val="24"/>
          <w:lang w:val="it-IT"/>
        </w:rPr>
        <w:t xml:space="preserve">Kanceri dhe grerëza aziatike në gështenjë ka qenë i pranishëm gjatë gjithë vitit. </w:t>
      </w:r>
    </w:p>
    <w:p w:rsidR="002A4FDB" w:rsidRPr="00803C1E" w:rsidRDefault="00C85CEB" w:rsidP="00803C1E">
      <w:pPr>
        <w:spacing w:after="0" w:line="240" w:lineRule="auto"/>
        <w:jc w:val="both"/>
        <w:rPr>
          <w:rFonts w:ascii="Times New Roman" w:eastAsia="Calibri" w:hAnsi="Times New Roman" w:cs="Times New Roman"/>
          <w:sz w:val="24"/>
          <w:szCs w:val="24"/>
        </w:rPr>
      </w:pPr>
      <w:r w:rsidRPr="00C85CEB">
        <w:rPr>
          <w:rFonts w:ascii="Times New Roman" w:eastAsia="Calibri" w:hAnsi="Times New Roman" w:cs="Times New Roman"/>
          <w:sz w:val="24"/>
          <w:szCs w:val="24"/>
        </w:rPr>
        <w:t xml:space="preserve">Hiri i dushkut </w:t>
      </w:r>
      <w:r w:rsidR="000E35BA">
        <w:rPr>
          <w:rFonts w:ascii="Times New Roman" w:eastAsia="Calibri" w:hAnsi="Times New Roman" w:cs="Times New Roman"/>
          <w:sz w:val="24"/>
          <w:szCs w:val="24"/>
        </w:rPr>
        <w:t>ka qenë prez</w:t>
      </w:r>
      <w:r w:rsidRPr="00C85CEB">
        <w:rPr>
          <w:rFonts w:ascii="Times New Roman" w:eastAsia="Calibri" w:hAnsi="Times New Roman" w:cs="Times New Roman"/>
          <w:sz w:val="24"/>
          <w:szCs w:val="24"/>
        </w:rPr>
        <w:t>ent deri në muajin korrik</w:t>
      </w:r>
    </w:p>
    <w:p w:rsidR="00382561" w:rsidRPr="002A64D6" w:rsidRDefault="003D58A9" w:rsidP="002A64D6">
      <w:pPr>
        <w:pStyle w:val="ListParagraph"/>
        <w:keepNext/>
        <w:keepLines/>
        <w:numPr>
          <w:ilvl w:val="1"/>
          <w:numId w:val="126"/>
        </w:numPr>
        <w:spacing w:before="360" w:after="80" w:line="276" w:lineRule="auto"/>
        <w:outlineLvl w:val="0"/>
        <w:rPr>
          <w:rFonts w:ascii="Times New Roman" w:eastAsia="Times New Roman" w:hAnsi="Times New Roman" w:cs="Times New Roman"/>
          <w:b/>
          <w:bCs/>
          <w:iCs/>
          <w:sz w:val="24"/>
          <w:szCs w:val="24"/>
          <w:lang w:val="it-IT"/>
        </w:rPr>
      </w:pPr>
      <w:r w:rsidRPr="002A64D6">
        <w:rPr>
          <w:rFonts w:ascii="Times New Roman" w:eastAsia="Times New Roman" w:hAnsi="Times New Roman" w:cs="Times New Roman"/>
          <w:b/>
          <w:iCs/>
          <w:sz w:val="24"/>
          <w:szCs w:val="24"/>
          <w:lang w:val="it-IT"/>
        </w:rPr>
        <w:t xml:space="preserve">Vlerësimi i specieve drunore dhe bimëve aromatiko-mjekësore të kërcënuara dhe në rrezik zhdukjeje”. </w:t>
      </w:r>
    </w:p>
    <w:p w:rsidR="002A64D6" w:rsidRPr="002A64D6" w:rsidRDefault="002A64D6" w:rsidP="002A64D6">
      <w:pPr>
        <w:pStyle w:val="ListParagraph"/>
        <w:keepNext/>
        <w:keepLines/>
        <w:spacing w:before="360" w:after="80" w:line="276" w:lineRule="auto"/>
        <w:ind w:left="360"/>
        <w:outlineLvl w:val="0"/>
        <w:rPr>
          <w:rFonts w:ascii="Times New Roman" w:eastAsia="Times New Roman" w:hAnsi="Times New Roman" w:cs="Times New Roman"/>
          <w:b/>
          <w:bCs/>
          <w:iCs/>
          <w:sz w:val="24"/>
          <w:szCs w:val="24"/>
          <w:lang w:val="it-IT"/>
        </w:rPr>
      </w:pPr>
    </w:p>
    <w:p w:rsidR="00382561" w:rsidRPr="00382561" w:rsidRDefault="00382561" w:rsidP="00803C1E">
      <w:pPr>
        <w:jc w:val="both"/>
        <w:rPr>
          <w:rFonts w:ascii="Times New Roman" w:eastAsia="Calibri" w:hAnsi="Times New Roman" w:cs="Times New Roman"/>
          <w:b/>
          <w:i/>
          <w:sz w:val="24"/>
          <w:szCs w:val="24"/>
          <w:u w:val="single"/>
          <w:lang w:val="sq-AL"/>
        </w:rPr>
      </w:pPr>
      <w:r w:rsidRPr="00382561">
        <w:rPr>
          <w:rFonts w:ascii="Times New Roman" w:eastAsia="Calibri" w:hAnsi="Times New Roman" w:cs="Times New Roman"/>
          <w:b/>
          <w:i/>
          <w:sz w:val="24"/>
          <w:szCs w:val="24"/>
          <w:u w:val="single"/>
          <w:lang w:val="sq-AL"/>
        </w:rPr>
        <w:t>Speciet drunore</w:t>
      </w:r>
    </w:p>
    <w:p w:rsidR="003406C7" w:rsidRDefault="00803C1E" w:rsidP="00382561">
      <w:pPr>
        <w:spacing w:after="0" w:line="240" w:lineRule="auto"/>
        <w:jc w:val="both"/>
        <w:rPr>
          <w:rFonts w:ascii="Times New Roman" w:eastAsia="Calibri" w:hAnsi="Times New Roman" w:cs="Times New Roman"/>
          <w:sz w:val="24"/>
          <w:szCs w:val="24"/>
        </w:rPr>
      </w:pPr>
      <w:r w:rsidRPr="00803C1E">
        <w:rPr>
          <w:rFonts w:ascii="Times New Roman" w:eastAsia="Calibri" w:hAnsi="Times New Roman" w:cs="Times New Roman"/>
          <w:sz w:val="24"/>
          <w:szCs w:val="24"/>
          <w:lang w:val="sq-AL"/>
        </w:rPr>
        <w:t>Aktiviteti njerëzor vendin tonë ka patur dhe akoma ushtron një ndikim të fortë në ekosistemet natyrore dhe gjysëm natyrore, duke bërë që një pjesë e bimëve dhe kafshëve të jenë zhdukur, një pjesë e konsiderueshme llojesh bimore e shtazore janë të rallë e që mund të rrezikohen për tu zhdukur në të ardhmen dhe një numër edhe më i madh llojesh të konsiderohen të rralla e në gjendje të keqësuar, pra të konsiderohen lloje të kërcënuara. Njohja e gjendjes aktuale në të cilat ndodhen taksonet drunore tashmë të identifikuara si të rrezikuara</w:t>
      </w:r>
      <w:r>
        <w:rPr>
          <w:rFonts w:ascii="Times New Roman" w:eastAsia="Calibri" w:hAnsi="Times New Roman" w:cs="Times New Roman"/>
          <w:sz w:val="24"/>
          <w:szCs w:val="24"/>
          <w:lang w:val="sq-AL"/>
        </w:rPr>
        <w:t>.</w:t>
      </w:r>
    </w:p>
    <w:p w:rsidR="009A543B" w:rsidRDefault="009A543B" w:rsidP="00C169AF">
      <w:pPr>
        <w:spacing w:after="0" w:line="240" w:lineRule="auto"/>
        <w:jc w:val="both"/>
        <w:rPr>
          <w:rFonts w:ascii="Times New Roman" w:eastAsia="Calibri" w:hAnsi="Times New Roman" w:cs="Times New Roman"/>
          <w:b/>
          <w:iCs/>
          <w:sz w:val="24"/>
          <w:szCs w:val="24"/>
          <w:lang w:val="it-IT"/>
        </w:rPr>
      </w:pPr>
    </w:p>
    <w:p w:rsidR="00D3274B" w:rsidRDefault="00D3274B" w:rsidP="00C169AF">
      <w:pPr>
        <w:spacing w:after="0" w:line="240" w:lineRule="auto"/>
        <w:jc w:val="both"/>
        <w:rPr>
          <w:rFonts w:ascii="Times New Roman" w:eastAsia="Calibri" w:hAnsi="Times New Roman" w:cs="Times New Roman"/>
          <w:b/>
          <w:iCs/>
          <w:sz w:val="24"/>
          <w:szCs w:val="24"/>
          <w:lang w:val="it-IT"/>
        </w:rPr>
      </w:pPr>
    </w:p>
    <w:p w:rsidR="00C169AF" w:rsidRDefault="002A64D6" w:rsidP="000F53CF">
      <w:pPr>
        <w:spacing w:after="0" w:line="240" w:lineRule="auto"/>
        <w:jc w:val="center"/>
        <w:rPr>
          <w:rFonts w:ascii="Times New Roman" w:eastAsia="Calibri" w:hAnsi="Times New Roman" w:cs="Times New Roman"/>
          <w:iCs/>
          <w:sz w:val="24"/>
          <w:szCs w:val="24"/>
          <w:lang w:val="it-IT"/>
        </w:rPr>
      </w:pPr>
      <w:r>
        <w:rPr>
          <w:rFonts w:ascii="Times New Roman" w:eastAsia="Calibri" w:hAnsi="Times New Roman" w:cs="Times New Roman"/>
          <w:iCs/>
          <w:sz w:val="24"/>
          <w:szCs w:val="24"/>
          <w:lang w:val="it-IT"/>
        </w:rPr>
        <w:lastRenderedPageBreak/>
        <w:t>Tabela 74.</w:t>
      </w:r>
      <w:r w:rsidR="000F53CF" w:rsidRPr="000F53CF">
        <w:rPr>
          <w:rFonts w:ascii="Times New Roman" w:eastAsia="Calibri" w:hAnsi="Times New Roman" w:cs="Times New Roman"/>
          <w:iCs/>
          <w:sz w:val="24"/>
          <w:szCs w:val="24"/>
          <w:lang w:val="it-IT"/>
        </w:rPr>
        <w:t xml:space="preserve"> </w:t>
      </w:r>
      <w:r w:rsidR="00C169AF" w:rsidRPr="000F53CF">
        <w:rPr>
          <w:rFonts w:ascii="Times New Roman" w:eastAsia="Calibri" w:hAnsi="Times New Roman" w:cs="Times New Roman"/>
          <w:iCs/>
          <w:sz w:val="24"/>
          <w:szCs w:val="24"/>
          <w:lang w:val="it-IT"/>
        </w:rPr>
        <w:t>Lista e llojeve</w:t>
      </w:r>
      <w:r>
        <w:rPr>
          <w:rFonts w:ascii="Times New Roman" w:eastAsia="Calibri" w:hAnsi="Times New Roman" w:cs="Times New Roman"/>
          <w:iCs/>
          <w:sz w:val="24"/>
          <w:szCs w:val="24"/>
          <w:lang w:val="it-IT"/>
        </w:rPr>
        <w:t xml:space="preserve"> drunore</w:t>
      </w:r>
      <w:r w:rsidR="00C169AF" w:rsidRPr="000F53CF">
        <w:rPr>
          <w:rFonts w:ascii="Times New Roman" w:eastAsia="Calibri" w:hAnsi="Times New Roman" w:cs="Times New Roman"/>
          <w:iCs/>
          <w:sz w:val="24"/>
          <w:szCs w:val="24"/>
          <w:lang w:val="it-IT"/>
        </w:rPr>
        <w:t xml:space="preserve"> dhe statusi</w:t>
      </w:r>
    </w:p>
    <w:p w:rsidR="000F53CF" w:rsidRPr="000F53CF" w:rsidRDefault="000F53CF" w:rsidP="000F53CF">
      <w:pPr>
        <w:spacing w:after="0" w:line="240" w:lineRule="auto"/>
        <w:jc w:val="center"/>
        <w:rPr>
          <w:rFonts w:ascii="Times New Roman" w:eastAsia="Calibri" w:hAnsi="Times New Roman" w:cs="Times New Roman"/>
          <w:iCs/>
          <w:sz w:val="24"/>
          <w:szCs w:val="24"/>
          <w:lang w:val="it-IT"/>
        </w:rPr>
      </w:pPr>
    </w:p>
    <w:tbl>
      <w:tblPr>
        <w:tblStyle w:val="TableGrid"/>
        <w:tblW w:w="0" w:type="auto"/>
        <w:tblLook w:val="04A0" w:firstRow="1" w:lastRow="0" w:firstColumn="1" w:lastColumn="0" w:noHBand="0" w:noVBand="1"/>
      </w:tblPr>
      <w:tblGrid>
        <w:gridCol w:w="648"/>
        <w:gridCol w:w="2716"/>
        <w:gridCol w:w="2844"/>
        <w:gridCol w:w="3368"/>
      </w:tblGrid>
      <w:tr w:rsidR="00C169AF" w:rsidRPr="00C169AF" w:rsidTr="00376E24">
        <w:tc>
          <w:tcPr>
            <w:tcW w:w="64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Nr</w:t>
            </w:r>
          </w:p>
        </w:tc>
        <w:tc>
          <w:tcPr>
            <w:tcW w:w="2716"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Lloji emri latinisht</w:t>
            </w:r>
          </w:p>
        </w:tc>
        <w:tc>
          <w:tcPr>
            <w:tcW w:w="2844"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Emri shqip</w:t>
            </w:r>
          </w:p>
        </w:tc>
        <w:tc>
          <w:tcPr>
            <w:tcW w:w="3368" w:type="dxa"/>
          </w:tcPr>
          <w:p w:rsidR="00C169AF" w:rsidRPr="00C169AF" w:rsidRDefault="00D3274B" w:rsidP="00C169AF">
            <w:pPr>
              <w:jc w:val="both"/>
              <w:rPr>
                <w:rFonts w:ascii="Times New Roman" w:eastAsia="Calibri" w:hAnsi="Times New Roman" w:cs="Times New Roman"/>
                <w:b/>
                <w:bCs/>
                <w:sz w:val="24"/>
                <w:szCs w:val="24"/>
                <w:lang w:val="it-IT"/>
              </w:rPr>
            </w:pPr>
            <w:r>
              <w:rPr>
                <w:rFonts w:ascii="Times New Roman" w:eastAsia="Calibri" w:hAnsi="Times New Roman" w:cs="Times New Roman"/>
                <w:b/>
                <w:bCs/>
                <w:sz w:val="24"/>
                <w:szCs w:val="24"/>
                <w:lang w:val="it-IT"/>
              </w:rPr>
              <w:t>Stausi i kërcënimit sipas listës së</w:t>
            </w:r>
            <w:r w:rsidR="00C169AF" w:rsidRPr="00C169AF">
              <w:rPr>
                <w:rFonts w:ascii="Times New Roman" w:eastAsia="Calibri" w:hAnsi="Times New Roman" w:cs="Times New Roman"/>
                <w:b/>
                <w:bCs/>
                <w:sz w:val="24"/>
                <w:szCs w:val="24"/>
                <w:lang w:val="it-IT"/>
              </w:rPr>
              <w:t xml:space="preserve"> kuqe (IUCN)</w:t>
            </w:r>
          </w:p>
        </w:tc>
      </w:tr>
      <w:tr w:rsidR="00C169AF" w:rsidRPr="00C169AF" w:rsidTr="00376E24">
        <w:tc>
          <w:tcPr>
            <w:tcW w:w="64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1</w:t>
            </w:r>
          </w:p>
        </w:tc>
        <w:tc>
          <w:tcPr>
            <w:tcW w:w="2716"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i/>
                <w:iCs/>
                <w:sz w:val="24"/>
                <w:szCs w:val="24"/>
                <w:lang w:val="de-DE"/>
              </w:rPr>
              <w:t>Pinus heldreichii Crist</w:t>
            </w:r>
          </w:p>
        </w:tc>
        <w:tc>
          <w:tcPr>
            <w:tcW w:w="2844" w:type="dxa"/>
          </w:tcPr>
          <w:p w:rsidR="00C169AF" w:rsidRPr="00C169AF" w:rsidRDefault="00C169AF" w:rsidP="00C169AF">
            <w:pPr>
              <w:jc w:val="both"/>
              <w:rPr>
                <w:rFonts w:ascii="Times New Roman" w:eastAsia="Calibri" w:hAnsi="Times New Roman" w:cs="Times New Roman"/>
                <w:bCs/>
                <w:sz w:val="24"/>
                <w:szCs w:val="24"/>
                <w:lang w:val="it-IT"/>
              </w:rPr>
            </w:pPr>
            <w:r w:rsidRPr="00C169AF">
              <w:rPr>
                <w:rFonts w:ascii="Times New Roman" w:eastAsia="Calibri" w:hAnsi="Times New Roman" w:cs="Times New Roman"/>
                <w:sz w:val="24"/>
                <w:szCs w:val="24"/>
                <w:lang w:val="de-DE"/>
              </w:rPr>
              <w:t>Rrobulli</w:t>
            </w:r>
          </w:p>
        </w:tc>
        <w:tc>
          <w:tcPr>
            <w:tcW w:w="336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Vu D2</w:t>
            </w:r>
          </w:p>
        </w:tc>
      </w:tr>
      <w:tr w:rsidR="00C169AF" w:rsidRPr="00C169AF" w:rsidTr="00376E24">
        <w:tc>
          <w:tcPr>
            <w:tcW w:w="64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2</w:t>
            </w:r>
          </w:p>
        </w:tc>
        <w:tc>
          <w:tcPr>
            <w:tcW w:w="2716"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i/>
                <w:iCs/>
                <w:sz w:val="24"/>
                <w:szCs w:val="24"/>
              </w:rPr>
              <w:t>Pinus peuce Gris</w:t>
            </w:r>
          </w:p>
        </w:tc>
        <w:tc>
          <w:tcPr>
            <w:tcW w:w="2844" w:type="dxa"/>
          </w:tcPr>
          <w:p w:rsidR="00C169AF" w:rsidRPr="00C169AF" w:rsidRDefault="00C169AF" w:rsidP="00C169AF">
            <w:pPr>
              <w:jc w:val="both"/>
              <w:rPr>
                <w:rFonts w:ascii="Times New Roman" w:eastAsia="Calibri" w:hAnsi="Times New Roman" w:cs="Times New Roman"/>
                <w:bCs/>
                <w:sz w:val="24"/>
                <w:szCs w:val="24"/>
                <w:lang w:val="it-IT"/>
              </w:rPr>
            </w:pPr>
            <w:r w:rsidRPr="00C169AF">
              <w:rPr>
                <w:rFonts w:ascii="Times New Roman" w:eastAsia="Calibri" w:hAnsi="Times New Roman" w:cs="Times New Roman"/>
                <w:bCs/>
                <w:sz w:val="24"/>
                <w:szCs w:val="24"/>
                <w:lang w:val="it-IT"/>
              </w:rPr>
              <w:t>Arneni</w:t>
            </w:r>
          </w:p>
        </w:tc>
        <w:tc>
          <w:tcPr>
            <w:tcW w:w="336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EN A1b</w:t>
            </w:r>
          </w:p>
        </w:tc>
      </w:tr>
      <w:tr w:rsidR="00C169AF" w:rsidRPr="00C169AF" w:rsidTr="00376E24">
        <w:tc>
          <w:tcPr>
            <w:tcW w:w="64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3</w:t>
            </w:r>
          </w:p>
        </w:tc>
        <w:tc>
          <w:tcPr>
            <w:tcW w:w="2716"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i/>
                <w:iCs/>
                <w:sz w:val="24"/>
                <w:szCs w:val="24"/>
              </w:rPr>
              <w:t>Quercus ilex L</w:t>
            </w:r>
          </w:p>
        </w:tc>
        <w:tc>
          <w:tcPr>
            <w:tcW w:w="2844" w:type="dxa"/>
          </w:tcPr>
          <w:p w:rsidR="00C169AF" w:rsidRPr="00C169AF" w:rsidRDefault="00C169AF" w:rsidP="00C169AF">
            <w:pPr>
              <w:jc w:val="both"/>
              <w:rPr>
                <w:rFonts w:ascii="Times New Roman" w:eastAsia="Calibri" w:hAnsi="Times New Roman" w:cs="Times New Roman"/>
                <w:bCs/>
                <w:sz w:val="24"/>
                <w:szCs w:val="24"/>
                <w:lang w:val="it-IT"/>
              </w:rPr>
            </w:pPr>
            <w:r w:rsidRPr="00C169AF">
              <w:rPr>
                <w:rFonts w:ascii="Times New Roman" w:eastAsia="Calibri" w:hAnsi="Times New Roman" w:cs="Times New Roman"/>
                <w:bCs/>
                <w:sz w:val="24"/>
                <w:szCs w:val="24"/>
                <w:lang w:val="it-IT"/>
              </w:rPr>
              <w:t>Ilqja</w:t>
            </w:r>
          </w:p>
        </w:tc>
        <w:tc>
          <w:tcPr>
            <w:tcW w:w="336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EN A1b</w:t>
            </w:r>
          </w:p>
        </w:tc>
      </w:tr>
      <w:tr w:rsidR="00C169AF" w:rsidRPr="00C169AF" w:rsidTr="00376E24">
        <w:tc>
          <w:tcPr>
            <w:tcW w:w="64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4</w:t>
            </w:r>
          </w:p>
        </w:tc>
        <w:tc>
          <w:tcPr>
            <w:tcW w:w="2716"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i/>
                <w:iCs/>
                <w:sz w:val="24"/>
                <w:szCs w:val="24"/>
              </w:rPr>
              <w:t>Quercus robur L</w:t>
            </w:r>
          </w:p>
        </w:tc>
        <w:tc>
          <w:tcPr>
            <w:tcW w:w="2844" w:type="dxa"/>
          </w:tcPr>
          <w:p w:rsidR="00C169AF" w:rsidRPr="00C169AF" w:rsidRDefault="00C169AF" w:rsidP="00C169AF">
            <w:pPr>
              <w:jc w:val="both"/>
              <w:rPr>
                <w:rFonts w:ascii="Times New Roman" w:eastAsia="Calibri" w:hAnsi="Times New Roman" w:cs="Times New Roman"/>
                <w:bCs/>
                <w:sz w:val="24"/>
                <w:szCs w:val="24"/>
                <w:lang w:val="it-IT"/>
              </w:rPr>
            </w:pPr>
            <w:r w:rsidRPr="00C169AF">
              <w:rPr>
                <w:rFonts w:ascii="Times New Roman" w:eastAsia="Calibri" w:hAnsi="Times New Roman" w:cs="Times New Roman"/>
                <w:bCs/>
                <w:sz w:val="24"/>
                <w:szCs w:val="24"/>
                <w:lang w:val="it-IT"/>
              </w:rPr>
              <w:t>Rrenja</w:t>
            </w:r>
          </w:p>
        </w:tc>
        <w:tc>
          <w:tcPr>
            <w:tcW w:w="336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Vu A1b</w:t>
            </w:r>
          </w:p>
        </w:tc>
      </w:tr>
      <w:tr w:rsidR="00C169AF" w:rsidRPr="00C169AF" w:rsidTr="00376E24">
        <w:tc>
          <w:tcPr>
            <w:tcW w:w="64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5</w:t>
            </w:r>
          </w:p>
        </w:tc>
        <w:tc>
          <w:tcPr>
            <w:tcW w:w="2716"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i/>
                <w:iCs/>
                <w:sz w:val="24"/>
                <w:szCs w:val="24"/>
                <w:lang w:val="it-IT"/>
              </w:rPr>
              <w:t>Corylus colurna L</w:t>
            </w:r>
          </w:p>
        </w:tc>
        <w:tc>
          <w:tcPr>
            <w:tcW w:w="2844" w:type="dxa"/>
          </w:tcPr>
          <w:p w:rsidR="00C169AF" w:rsidRPr="00C169AF" w:rsidRDefault="00C169AF" w:rsidP="00C169AF">
            <w:pPr>
              <w:jc w:val="both"/>
              <w:rPr>
                <w:rFonts w:ascii="Times New Roman" w:eastAsia="Calibri" w:hAnsi="Times New Roman" w:cs="Times New Roman"/>
                <w:bCs/>
                <w:sz w:val="24"/>
                <w:szCs w:val="24"/>
                <w:lang w:val="it-IT"/>
              </w:rPr>
            </w:pPr>
            <w:r w:rsidRPr="00C169AF">
              <w:rPr>
                <w:rFonts w:ascii="Times New Roman" w:eastAsia="Calibri" w:hAnsi="Times New Roman" w:cs="Times New Roman"/>
                <w:sz w:val="24"/>
                <w:szCs w:val="24"/>
                <w:lang w:val="it-IT"/>
              </w:rPr>
              <w:t>Lajthia e egër</w:t>
            </w:r>
          </w:p>
        </w:tc>
        <w:tc>
          <w:tcPr>
            <w:tcW w:w="336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EN A1b</w:t>
            </w:r>
          </w:p>
        </w:tc>
      </w:tr>
      <w:tr w:rsidR="00C169AF" w:rsidRPr="00C169AF" w:rsidTr="00376E24">
        <w:tc>
          <w:tcPr>
            <w:tcW w:w="64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6</w:t>
            </w:r>
          </w:p>
        </w:tc>
        <w:tc>
          <w:tcPr>
            <w:tcW w:w="2716"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i/>
                <w:iCs/>
                <w:sz w:val="24"/>
                <w:szCs w:val="24"/>
                <w:lang w:val="it-IT"/>
              </w:rPr>
              <w:t>Arbutus andrachne L</w:t>
            </w:r>
          </w:p>
        </w:tc>
        <w:tc>
          <w:tcPr>
            <w:tcW w:w="2844" w:type="dxa"/>
          </w:tcPr>
          <w:p w:rsidR="00C169AF" w:rsidRPr="00C169AF" w:rsidRDefault="00C169AF" w:rsidP="00C169AF">
            <w:pPr>
              <w:jc w:val="both"/>
              <w:rPr>
                <w:rFonts w:ascii="Times New Roman" w:eastAsia="Calibri" w:hAnsi="Times New Roman" w:cs="Times New Roman"/>
                <w:bCs/>
                <w:sz w:val="24"/>
                <w:szCs w:val="24"/>
                <w:lang w:val="it-IT"/>
              </w:rPr>
            </w:pPr>
            <w:r w:rsidRPr="00C169AF">
              <w:rPr>
                <w:rFonts w:ascii="Times New Roman" w:eastAsia="Calibri" w:hAnsi="Times New Roman" w:cs="Times New Roman"/>
                <w:sz w:val="24"/>
                <w:szCs w:val="24"/>
                <w:lang w:val="it-IT"/>
              </w:rPr>
              <w:t>Drukuqja ose Mallagjeri</w:t>
            </w:r>
          </w:p>
        </w:tc>
        <w:tc>
          <w:tcPr>
            <w:tcW w:w="336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Vu A2b</w:t>
            </w:r>
          </w:p>
        </w:tc>
      </w:tr>
      <w:tr w:rsidR="00C169AF" w:rsidRPr="00C169AF" w:rsidTr="00376E24">
        <w:tc>
          <w:tcPr>
            <w:tcW w:w="64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7</w:t>
            </w:r>
          </w:p>
        </w:tc>
        <w:tc>
          <w:tcPr>
            <w:tcW w:w="2716"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i/>
                <w:sz w:val="24"/>
                <w:szCs w:val="24"/>
                <w:lang w:val="it-IT"/>
              </w:rPr>
              <w:t>Celtis tourneforti</w:t>
            </w:r>
          </w:p>
        </w:tc>
        <w:tc>
          <w:tcPr>
            <w:tcW w:w="2844" w:type="dxa"/>
          </w:tcPr>
          <w:p w:rsidR="00C169AF" w:rsidRPr="00C169AF" w:rsidRDefault="00C169AF" w:rsidP="00C169AF">
            <w:pPr>
              <w:jc w:val="both"/>
              <w:rPr>
                <w:rFonts w:ascii="Times New Roman" w:eastAsia="Calibri" w:hAnsi="Times New Roman" w:cs="Times New Roman"/>
                <w:bCs/>
                <w:sz w:val="24"/>
                <w:szCs w:val="24"/>
                <w:lang w:val="it-IT"/>
              </w:rPr>
            </w:pPr>
            <w:r w:rsidRPr="00C169AF">
              <w:rPr>
                <w:rFonts w:ascii="Times New Roman" w:eastAsia="Calibri" w:hAnsi="Times New Roman" w:cs="Times New Roman"/>
                <w:sz w:val="24"/>
                <w:szCs w:val="24"/>
                <w:lang w:val="it-IT"/>
              </w:rPr>
              <w:t>Caraci i turnefortit</w:t>
            </w:r>
          </w:p>
        </w:tc>
        <w:tc>
          <w:tcPr>
            <w:tcW w:w="336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Vu</w:t>
            </w:r>
          </w:p>
        </w:tc>
      </w:tr>
      <w:tr w:rsidR="00C169AF" w:rsidRPr="00C169AF" w:rsidTr="00376E24">
        <w:tc>
          <w:tcPr>
            <w:tcW w:w="64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8</w:t>
            </w:r>
          </w:p>
        </w:tc>
        <w:tc>
          <w:tcPr>
            <w:tcW w:w="2716" w:type="dxa"/>
          </w:tcPr>
          <w:p w:rsidR="00C169AF" w:rsidRPr="00C169AF" w:rsidRDefault="00C169AF" w:rsidP="00C169AF">
            <w:pPr>
              <w:jc w:val="both"/>
              <w:rPr>
                <w:rFonts w:ascii="Times New Roman" w:eastAsia="Calibri" w:hAnsi="Times New Roman" w:cs="Times New Roman"/>
                <w:i/>
                <w:sz w:val="24"/>
                <w:szCs w:val="24"/>
                <w:lang w:val="it-IT"/>
              </w:rPr>
            </w:pPr>
            <w:r w:rsidRPr="00C169AF">
              <w:rPr>
                <w:rFonts w:ascii="Times New Roman" w:eastAsia="Calibri" w:hAnsi="Times New Roman" w:cs="Times New Roman"/>
                <w:i/>
                <w:sz w:val="24"/>
                <w:szCs w:val="24"/>
                <w:lang w:val="it-IT"/>
              </w:rPr>
              <w:t>Juniperus exelsa</w:t>
            </w:r>
          </w:p>
        </w:tc>
        <w:tc>
          <w:tcPr>
            <w:tcW w:w="2844" w:type="dxa"/>
          </w:tcPr>
          <w:p w:rsidR="00C169AF" w:rsidRPr="00C169AF" w:rsidRDefault="00C169AF" w:rsidP="00C169AF">
            <w:pPr>
              <w:jc w:val="both"/>
              <w:rPr>
                <w:rFonts w:ascii="Times New Roman" w:eastAsia="Calibri" w:hAnsi="Times New Roman" w:cs="Times New Roman"/>
                <w:bCs/>
                <w:sz w:val="24"/>
                <w:szCs w:val="24"/>
                <w:lang w:val="it-IT"/>
              </w:rPr>
            </w:pPr>
            <w:r w:rsidRPr="00C169AF">
              <w:rPr>
                <w:rFonts w:ascii="Times New Roman" w:eastAsia="Calibri" w:hAnsi="Times New Roman" w:cs="Times New Roman"/>
                <w:sz w:val="24"/>
                <w:szCs w:val="24"/>
                <w:lang w:val="it-IT"/>
              </w:rPr>
              <w:t>Venja</w:t>
            </w:r>
          </w:p>
        </w:tc>
        <w:tc>
          <w:tcPr>
            <w:tcW w:w="336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CR 1b</w:t>
            </w:r>
          </w:p>
        </w:tc>
      </w:tr>
      <w:tr w:rsidR="00C169AF" w:rsidRPr="00C169AF" w:rsidTr="00376E24">
        <w:tc>
          <w:tcPr>
            <w:tcW w:w="64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9</w:t>
            </w:r>
          </w:p>
        </w:tc>
        <w:tc>
          <w:tcPr>
            <w:tcW w:w="2716" w:type="dxa"/>
          </w:tcPr>
          <w:p w:rsidR="00C169AF" w:rsidRPr="00C169AF" w:rsidRDefault="00C169AF" w:rsidP="00C169AF">
            <w:pPr>
              <w:jc w:val="both"/>
              <w:rPr>
                <w:rFonts w:ascii="Times New Roman" w:eastAsia="Calibri" w:hAnsi="Times New Roman" w:cs="Times New Roman"/>
                <w:i/>
                <w:sz w:val="24"/>
                <w:szCs w:val="24"/>
                <w:lang w:val="it-IT"/>
              </w:rPr>
            </w:pPr>
            <w:r w:rsidRPr="00C169AF">
              <w:rPr>
                <w:rFonts w:ascii="Times New Roman" w:eastAsia="Calibri" w:hAnsi="Times New Roman" w:cs="Times New Roman"/>
                <w:i/>
                <w:iCs/>
                <w:sz w:val="24"/>
                <w:szCs w:val="24"/>
                <w:lang w:val="it-IT"/>
              </w:rPr>
              <w:t>Betula Pendula</w:t>
            </w:r>
          </w:p>
        </w:tc>
        <w:tc>
          <w:tcPr>
            <w:tcW w:w="2844" w:type="dxa"/>
          </w:tcPr>
          <w:p w:rsidR="00C169AF" w:rsidRPr="00C169AF" w:rsidRDefault="00C169AF" w:rsidP="00C169AF">
            <w:pPr>
              <w:jc w:val="both"/>
              <w:rPr>
                <w:rFonts w:ascii="Times New Roman" w:eastAsia="Calibri" w:hAnsi="Times New Roman" w:cs="Times New Roman"/>
                <w:sz w:val="24"/>
                <w:szCs w:val="24"/>
                <w:lang w:val="it-IT"/>
              </w:rPr>
            </w:pPr>
            <w:r w:rsidRPr="00C169AF">
              <w:rPr>
                <w:rFonts w:ascii="Times New Roman" w:eastAsia="Calibri" w:hAnsi="Times New Roman" w:cs="Times New Roman"/>
                <w:sz w:val="24"/>
                <w:szCs w:val="24"/>
                <w:lang w:val="it-IT"/>
              </w:rPr>
              <w:t>Mështekna</w:t>
            </w:r>
          </w:p>
        </w:tc>
        <w:tc>
          <w:tcPr>
            <w:tcW w:w="336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CR B2e</w:t>
            </w:r>
          </w:p>
        </w:tc>
      </w:tr>
      <w:tr w:rsidR="00C169AF" w:rsidRPr="00C169AF" w:rsidTr="00376E24">
        <w:tc>
          <w:tcPr>
            <w:tcW w:w="64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10</w:t>
            </w:r>
          </w:p>
        </w:tc>
        <w:tc>
          <w:tcPr>
            <w:tcW w:w="2716" w:type="dxa"/>
          </w:tcPr>
          <w:p w:rsidR="00C169AF" w:rsidRPr="00C169AF" w:rsidRDefault="00C169AF" w:rsidP="00C169AF">
            <w:pPr>
              <w:jc w:val="both"/>
              <w:rPr>
                <w:rFonts w:ascii="Times New Roman" w:eastAsia="Calibri" w:hAnsi="Times New Roman" w:cs="Times New Roman"/>
                <w:i/>
                <w:iCs/>
                <w:sz w:val="24"/>
                <w:szCs w:val="24"/>
                <w:lang w:val="it-IT"/>
              </w:rPr>
            </w:pPr>
            <w:r w:rsidRPr="00C169AF">
              <w:rPr>
                <w:rFonts w:ascii="Times New Roman" w:eastAsia="Calibri" w:hAnsi="Times New Roman" w:cs="Times New Roman"/>
                <w:i/>
                <w:iCs/>
                <w:sz w:val="24"/>
                <w:szCs w:val="24"/>
              </w:rPr>
              <w:t>Aesculus hippocastanum</w:t>
            </w:r>
          </w:p>
        </w:tc>
        <w:tc>
          <w:tcPr>
            <w:tcW w:w="2844" w:type="dxa"/>
          </w:tcPr>
          <w:p w:rsidR="00C169AF" w:rsidRPr="00C169AF" w:rsidRDefault="00C169AF" w:rsidP="00C169AF">
            <w:pPr>
              <w:jc w:val="both"/>
              <w:rPr>
                <w:rFonts w:ascii="Times New Roman" w:eastAsia="Calibri" w:hAnsi="Times New Roman" w:cs="Times New Roman"/>
                <w:sz w:val="24"/>
                <w:szCs w:val="24"/>
                <w:lang w:val="it-IT"/>
              </w:rPr>
            </w:pPr>
            <w:r w:rsidRPr="00C169AF">
              <w:rPr>
                <w:rFonts w:ascii="Times New Roman" w:eastAsia="Calibri" w:hAnsi="Times New Roman" w:cs="Times New Roman"/>
                <w:sz w:val="24"/>
                <w:szCs w:val="24"/>
              </w:rPr>
              <w:t>Gështenja e Kalit</w:t>
            </w:r>
          </w:p>
        </w:tc>
        <w:tc>
          <w:tcPr>
            <w:tcW w:w="336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CR A1a</w:t>
            </w:r>
          </w:p>
        </w:tc>
      </w:tr>
      <w:tr w:rsidR="00C169AF" w:rsidRPr="00C169AF" w:rsidTr="00376E24">
        <w:tc>
          <w:tcPr>
            <w:tcW w:w="64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11</w:t>
            </w:r>
          </w:p>
        </w:tc>
        <w:tc>
          <w:tcPr>
            <w:tcW w:w="2716" w:type="dxa"/>
          </w:tcPr>
          <w:p w:rsidR="00C169AF" w:rsidRPr="00C169AF" w:rsidRDefault="00C169AF" w:rsidP="00C169AF">
            <w:pPr>
              <w:jc w:val="both"/>
              <w:rPr>
                <w:rFonts w:ascii="Times New Roman" w:eastAsia="Calibri" w:hAnsi="Times New Roman" w:cs="Times New Roman"/>
                <w:i/>
                <w:iCs/>
                <w:sz w:val="24"/>
                <w:szCs w:val="24"/>
              </w:rPr>
            </w:pPr>
            <w:r w:rsidRPr="00C169AF">
              <w:rPr>
                <w:rFonts w:ascii="Times New Roman" w:eastAsia="Calibri" w:hAnsi="Times New Roman" w:cs="Times New Roman"/>
                <w:i/>
                <w:iCs/>
                <w:sz w:val="24"/>
                <w:szCs w:val="24"/>
              </w:rPr>
              <w:t>Quercus aegilops L</w:t>
            </w:r>
          </w:p>
        </w:tc>
        <w:tc>
          <w:tcPr>
            <w:tcW w:w="2844" w:type="dxa"/>
          </w:tcPr>
          <w:p w:rsidR="00C169AF" w:rsidRPr="00C169AF" w:rsidRDefault="00C169AF" w:rsidP="00C169AF">
            <w:pPr>
              <w:jc w:val="both"/>
              <w:rPr>
                <w:rFonts w:ascii="Times New Roman" w:eastAsia="Calibri" w:hAnsi="Times New Roman" w:cs="Times New Roman"/>
                <w:sz w:val="24"/>
                <w:szCs w:val="24"/>
              </w:rPr>
            </w:pPr>
            <w:r w:rsidRPr="00C169AF">
              <w:rPr>
                <w:rFonts w:ascii="Times New Roman" w:eastAsia="Calibri" w:hAnsi="Times New Roman" w:cs="Times New Roman"/>
                <w:sz w:val="24"/>
                <w:szCs w:val="24"/>
              </w:rPr>
              <w:t>Valanidhi</w:t>
            </w:r>
          </w:p>
        </w:tc>
        <w:tc>
          <w:tcPr>
            <w:tcW w:w="336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CR A1b</w:t>
            </w:r>
          </w:p>
        </w:tc>
      </w:tr>
      <w:tr w:rsidR="00C169AF" w:rsidRPr="00C169AF" w:rsidTr="00376E24">
        <w:tc>
          <w:tcPr>
            <w:tcW w:w="64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12</w:t>
            </w:r>
          </w:p>
        </w:tc>
        <w:tc>
          <w:tcPr>
            <w:tcW w:w="2716" w:type="dxa"/>
          </w:tcPr>
          <w:p w:rsidR="00C169AF" w:rsidRPr="00C169AF" w:rsidRDefault="00C169AF" w:rsidP="00C169AF">
            <w:pPr>
              <w:jc w:val="both"/>
              <w:rPr>
                <w:rFonts w:ascii="Times New Roman" w:eastAsia="Calibri" w:hAnsi="Times New Roman" w:cs="Times New Roman"/>
                <w:i/>
                <w:iCs/>
                <w:sz w:val="24"/>
                <w:szCs w:val="24"/>
              </w:rPr>
            </w:pPr>
            <w:r w:rsidRPr="00C169AF">
              <w:rPr>
                <w:rFonts w:ascii="Times New Roman" w:eastAsia="Calibri" w:hAnsi="Times New Roman" w:cs="Times New Roman"/>
                <w:i/>
                <w:iCs/>
                <w:sz w:val="24"/>
                <w:szCs w:val="24"/>
              </w:rPr>
              <w:t>Pinus Silvestris</w:t>
            </w:r>
          </w:p>
        </w:tc>
        <w:tc>
          <w:tcPr>
            <w:tcW w:w="2844" w:type="dxa"/>
          </w:tcPr>
          <w:p w:rsidR="00C169AF" w:rsidRPr="00C169AF" w:rsidRDefault="00C169AF" w:rsidP="00C169AF">
            <w:pPr>
              <w:jc w:val="both"/>
              <w:rPr>
                <w:rFonts w:ascii="Times New Roman" w:eastAsia="Calibri" w:hAnsi="Times New Roman" w:cs="Times New Roman"/>
                <w:sz w:val="24"/>
                <w:szCs w:val="24"/>
              </w:rPr>
            </w:pPr>
            <w:r w:rsidRPr="00C169AF">
              <w:rPr>
                <w:rFonts w:ascii="Times New Roman" w:eastAsia="Calibri" w:hAnsi="Times New Roman" w:cs="Times New Roman"/>
                <w:sz w:val="24"/>
                <w:szCs w:val="24"/>
              </w:rPr>
              <w:t>Hartina</w:t>
            </w:r>
          </w:p>
        </w:tc>
        <w:tc>
          <w:tcPr>
            <w:tcW w:w="336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CR A1b</w:t>
            </w:r>
          </w:p>
        </w:tc>
      </w:tr>
      <w:tr w:rsidR="00C169AF" w:rsidRPr="00C169AF" w:rsidTr="00376E24">
        <w:tc>
          <w:tcPr>
            <w:tcW w:w="64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13</w:t>
            </w:r>
          </w:p>
        </w:tc>
        <w:tc>
          <w:tcPr>
            <w:tcW w:w="2716" w:type="dxa"/>
          </w:tcPr>
          <w:p w:rsidR="00C169AF" w:rsidRPr="00C169AF" w:rsidRDefault="00C169AF" w:rsidP="00C169AF">
            <w:pPr>
              <w:jc w:val="both"/>
              <w:rPr>
                <w:rFonts w:ascii="Times New Roman" w:eastAsia="Calibri" w:hAnsi="Times New Roman" w:cs="Times New Roman"/>
                <w:i/>
                <w:iCs/>
                <w:sz w:val="24"/>
                <w:szCs w:val="24"/>
              </w:rPr>
            </w:pPr>
            <w:r w:rsidRPr="00C169AF">
              <w:rPr>
                <w:rFonts w:ascii="Times New Roman" w:eastAsia="Calibri" w:hAnsi="Times New Roman" w:cs="Times New Roman"/>
                <w:i/>
                <w:iCs/>
                <w:sz w:val="24"/>
                <w:szCs w:val="24"/>
              </w:rPr>
              <w:t>Tilia Platyphyllos</w:t>
            </w:r>
          </w:p>
        </w:tc>
        <w:tc>
          <w:tcPr>
            <w:tcW w:w="2844" w:type="dxa"/>
          </w:tcPr>
          <w:p w:rsidR="00C169AF" w:rsidRPr="00C169AF" w:rsidRDefault="00C169AF" w:rsidP="00C169AF">
            <w:pPr>
              <w:jc w:val="both"/>
              <w:rPr>
                <w:rFonts w:ascii="Times New Roman" w:eastAsia="Calibri" w:hAnsi="Times New Roman" w:cs="Times New Roman"/>
                <w:sz w:val="24"/>
                <w:szCs w:val="24"/>
              </w:rPr>
            </w:pPr>
            <w:r w:rsidRPr="00C169AF">
              <w:rPr>
                <w:rFonts w:ascii="Times New Roman" w:eastAsia="Calibri" w:hAnsi="Times New Roman" w:cs="Times New Roman"/>
                <w:sz w:val="24"/>
                <w:szCs w:val="24"/>
              </w:rPr>
              <w:t>Bliri gjethegjërë</w:t>
            </w:r>
          </w:p>
        </w:tc>
        <w:tc>
          <w:tcPr>
            <w:tcW w:w="336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Cr A1c</w:t>
            </w:r>
          </w:p>
        </w:tc>
      </w:tr>
      <w:tr w:rsidR="00C169AF" w:rsidRPr="00C169AF" w:rsidTr="00376E24">
        <w:tc>
          <w:tcPr>
            <w:tcW w:w="64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14</w:t>
            </w:r>
          </w:p>
        </w:tc>
        <w:tc>
          <w:tcPr>
            <w:tcW w:w="2716" w:type="dxa"/>
          </w:tcPr>
          <w:p w:rsidR="00C169AF" w:rsidRPr="00C169AF" w:rsidRDefault="00C169AF" w:rsidP="00C169AF">
            <w:pPr>
              <w:jc w:val="both"/>
              <w:rPr>
                <w:rFonts w:ascii="Times New Roman" w:eastAsia="Calibri" w:hAnsi="Times New Roman" w:cs="Times New Roman"/>
                <w:i/>
                <w:iCs/>
                <w:sz w:val="24"/>
                <w:szCs w:val="24"/>
              </w:rPr>
            </w:pPr>
            <w:r w:rsidRPr="00C169AF">
              <w:rPr>
                <w:rFonts w:ascii="Times New Roman" w:eastAsia="Calibri" w:hAnsi="Times New Roman" w:cs="Times New Roman"/>
                <w:i/>
                <w:iCs/>
                <w:sz w:val="24"/>
                <w:szCs w:val="24"/>
              </w:rPr>
              <w:t>Taxus baccata</w:t>
            </w:r>
          </w:p>
        </w:tc>
        <w:tc>
          <w:tcPr>
            <w:tcW w:w="2844" w:type="dxa"/>
          </w:tcPr>
          <w:p w:rsidR="00C169AF" w:rsidRPr="00C169AF" w:rsidRDefault="00C169AF" w:rsidP="00C169AF">
            <w:pPr>
              <w:jc w:val="both"/>
              <w:rPr>
                <w:rFonts w:ascii="Times New Roman" w:eastAsia="Calibri" w:hAnsi="Times New Roman" w:cs="Times New Roman"/>
                <w:sz w:val="24"/>
                <w:szCs w:val="24"/>
              </w:rPr>
            </w:pPr>
            <w:r w:rsidRPr="00C169AF">
              <w:rPr>
                <w:rFonts w:ascii="Times New Roman" w:eastAsia="Calibri" w:hAnsi="Times New Roman" w:cs="Times New Roman"/>
                <w:sz w:val="24"/>
                <w:szCs w:val="24"/>
              </w:rPr>
              <w:t>Tisi</w:t>
            </w:r>
          </w:p>
        </w:tc>
        <w:tc>
          <w:tcPr>
            <w:tcW w:w="3368" w:type="dxa"/>
          </w:tcPr>
          <w:p w:rsidR="00C169AF" w:rsidRPr="00C169AF" w:rsidRDefault="00C169AF" w:rsidP="00C169AF">
            <w:pPr>
              <w:jc w:val="both"/>
              <w:rPr>
                <w:rFonts w:ascii="Times New Roman" w:eastAsia="Calibri" w:hAnsi="Times New Roman" w:cs="Times New Roman"/>
                <w:b/>
                <w:bCs/>
                <w:sz w:val="24"/>
                <w:szCs w:val="24"/>
                <w:lang w:val="it-IT"/>
              </w:rPr>
            </w:pPr>
            <w:r w:rsidRPr="00C169AF">
              <w:rPr>
                <w:rFonts w:ascii="Times New Roman" w:eastAsia="Calibri" w:hAnsi="Times New Roman" w:cs="Times New Roman"/>
                <w:b/>
                <w:bCs/>
                <w:sz w:val="24"/>
                <w:szCs w:val="24"/>
                <w:lang w:val="it-IT"/>
              </w:rPr>
              <w:t>VU A1b</w:t>
            </w:r>
          </w:p>
        </w:tc>
      </w:tr>
    </w:tbl>
    <w:p w:rsidR="00C169AF" w:rsidRPr="00C169AF" w:rsidRDefault="00C169AF" w:rsidP="00C169AF">
      <w:pPr>
        <w:spacing w:after="0" w:line="240" w:lineRule="auto"/>
        <w:jc w:val="both"/>
        <w:rPr>
          <w:rFonts w:ascii="Times New Roman" w:hAnsi="Times New Roman" w:cs="Times New Roman"/>
          <w:b/>
          <w:bCs/>
          <w:sz w:val="24"/>
          <w:szCs w:val="24"/>
        </w:rPr>
      </w:pPr>
    </w:p>
    <w:p w:rsidR="00C169AF" w:rsidRPr="00C169AF" w:rsidRDefault="00C169AF" w:rsidP="00C169AF">
      <w:pPr>
        <w:spacing w:after="0" w:line="240" w:lineRule="auto"/>
        <w:jc w:val="both"/>
        <w:rPr>
          <w:rFonts w:ascii="Times New Roman" w:hAnsi="Times New Roman" w:cs="Times New Roman"/>
          <w:b/>
          <w:bCs/>
          <w:sz w:val="24"/>
          <w:szCs w:val="24"/>
        </w:rPr>
      </w:pPr>
    </w:p>
    <w:p w:rsidR="00C169AF" w:rsidRPr="00C169AF" w:rsidRDefault="00C169AF" w:rsidP="00C169AF">
      <w:pPr>
        <w:spacing w:after="0" w:line="240" w:lineRule="auto"/>
        <w:jc w:val="both"/>
        <w:rPr>
          <w:rFonts w:ascii="Times New Roman" w:eastAsia="Calibri" w:hAnsi="Times New Roman" w:cs="Times New Roman"/>
          <w:iCs/>
          <w:sz w:val="24"/>
          <w:szCs w:val="24"/>
          <w:lang w:val="it-IT"/>
        </w:rPr>
      </w:pPr>
      <w:r w:rsidRPr="00C169AF">
        <w:rPr>
          <w:rFonts w:ascii="Times New Roman" w:eastAsia="Calibri" w:hAnsi="Times New Roman" w:cs="Times New Roman"/>
          <w:iCs/>
          <w:sz w:val="24"/>
          <w:szCs w:val="24"/>
          <w:lang w:val="it-IT"/>
        </w:rPr>
        <w:t>Me fillimin e vegjetacionit e deri në fund të tij gjatë vitit 2025, janë realizuar një sërë ekspeditash në terren,  në lidhje me monitorimin e llojeve drunore të rralla dhe të kërcënuara dhe në rrezik zhdukjeje në vendin tonë.</w:t>
      </w:r>
    </w:p>
    <w:p w:rsidR="00C169AF" w:rsidRPr="00C169AF" w:rsidRDefault="00C169AF" w:rsidP="00C169AF">
      <w:pPr>
        <w:spacing w:after="0" w:line="240" w:lineRule="auto"/>
        <w:jc w:val="both"/>
        <w:rPr>
          <w:rFonts w:ascii="Times New Roman" w:eastAsia="Calibri" w:hAnsi="Times New Roman" w:cs="Times New Roman"/>
          <w:sz w:val="24"/>
          <w:szCs w:val="24"/>
          <w:lang w:val="it-IT"/>
        </w:rPr>
      </w:pPr>
      <w:r w:rsidRPr="00C169AF">
        <w:rPr>
          <w:rFonts w:ascii="Times New Roman" w:eastAsia="Calibri" w:hAnsi="Times New Roman" w:cs="Times New Roman"/>
          <w:sz w:val="24"/>
          <w:szCs w:val="24"/>
          <w:lang w:val="it-IT"/>
        </w:rPr>
        <w:t>Për të patur një informacion sa më saktë lidhur me llojet drunore të kërcënuara dhe në rrezik zhdukjeje  janë ndjekur këto hapa:</w:t>
      </w:r>
    </w:p>
    <w:p w:rsidR="00C169AF" w:rsidRPr="00C169AF" w:rsidRDefault="00C169AF" w:rsidP="00807975">
      <w:pPr>
        <w:numPr>
          <w:ilvl w:val="0"/>
          <w:numId w:val="142"/>
        </w:numPr>
        <w:spacing w:after="0" w:line="240" w:lineRule="auto"/>
        <w:ind w:left="0"/>
        <w:jc w:val="both"/>
        <w:rPr>
          <w:rFonts w:ascii="Times New Roman" w:eastAsia="Times New Roman" w:hAnsi="Times New Roman" w:cs="Times New Roman"/>
          <w:sz w:val="24"/>
          <w:szCs w:val="24"/>
          <w:lang w:val="it-IT" w:eastAsia="sq-AL"/>
        </w:rPr>
      </w:pPr>
      <w:r w:rsidRPr="00C169AF">
        <w:rPr>
          <w:rFonts w:ascii="Times New Roman" w:eastAsia="Times New Roman" w:hAnsi="Times New Roman" w:cs="Times New Roman"/>
          <w:sz w:val="24"/>
          <w:szCs w:val="24"/>
          <w:lang w:val="it-IT" w:eastAsia="sq-AL"/>
        </w:rPr>
        <w:t>Është bërë grumbullimi i informacionit lidhur me përhapjen e llojeve të marra në studim në territoret e lartpërmendura.</w:t>
      </w:r>
    </w:p>
    <w:p w:rsidR="00C169AF" w:rsidRPr="00C169AF" w:rsidRDefault="00C169AF" w:rsidP="00807975">
      <w:pPr>
        <w:numPr>
          <w:ilvl w:val="0"/>
          <w:numId w:val="142"/>
        </w:numPr>
        <w:spacing w:after="0" w:line="240" w:lineRule="auto"/>
        <w:ind w:left="0"/>
        <w:jc w:val="both"/>
        <w:rPr>
          <w:rFonts w:ascii="Times New Roman" w:eastAsia="Times New Roman" w:hAnsi="Times New Roman" w:cs="Times New Roman"/>
          <w:sz w:val="24"/>
          <w:szCs w:val="24"/>
          <w:lang w:val="it-IT" w:eastAsia="sq-AL"/>
        </w:rPr>
      </w:pPr>
      <w:r w:rsidRPr="00C169AF">
        <w:rPr>
          <w:rFonts w:ascii="Times New Roman" w:eastAsia="Times New Roman" w:hAnsi="Times New Roman" w:cs="Times New Roman"/>
          <w:sz w:val="24"/>
          <w:szCs w:val="24"/>
          <w:lang w:val="it-IT" w:eastAsia="sq-AL"/>
        </w:rPr>
        <w:t>Skedimi i materialeve bibliografike që trajtojnë problematikën e monitorimit të specieve pyjore të kërcënuara e në rrezik zhdukje.</w:t>
      </w:r>
    </w:p>
    <w:p w:rsidR="00C169AF" w:rsidRPr="00C169AF" w:rsidRDefault="00C169AF" w:rsidP="00807975">
      <w:pPr>
        <w:numPr>
          <w:ilvl w:val="0"/>
          <w:numId w:val="142"/>
        </w:numPr>
        <w:spacing w:after="0" w:line="240" w:lineRule="auto"/>
        <w:ind w:left="0"/>
        <w:jc w:val="both"/>
        <w:rPr>
          <w:rFonts w:ascii="Times New Roman" w:eastAsia="Times New Roman" w:hAnsi="Times New Roman" w:cs="Times New Roman"/>
          <w:sz w:val="24"/>
          <w:szCs w:val="24"/>
          <w:lang w:val="it-IT" w:eastAsia="sq-AL"/>
        </w:rPr>
      </w:pPr>
      <w:r w:rsidRPr="00C169AF">
        <w:rPr>
          <w:rFonts w:ascii="Times New Roman" w:eastAsia="Times New Roman" w:hAnsi="Times New Roman" w:cs="Times New Roman"/>
          <w:sz w:val="24"/>
          <w:szCs w:val="24"/>
          <w:lang w:val="it-IT" w:eastAsia="sq-AL"/>
        </w:rPr>
        <w:t>Janë plotësimuar skedat tip të terrenit, për grumbullimin e të dhënave në siperfaqet e ngritura për monitorimin e specieve të kërcënuara, për drurët ekzemplarë apo grup drurët e llojit drunor të kërcënuar.</w:t>
      </w:r>
    </w:p>
    <w:p w:rsidR="00C169AF" w:rsidRPr="00C169AF" w:rsidRDefault="00C169AF" w:rsidP="00807975">
      <w:pPr>
        <w:numPr>
          <w:ilvl w:val="0"/>
          <w:numId w:val="142"/>
        </w:numPr>
        <w:spacing w:after="0" w:line="240" w:lineRule="auto"/>
        <w:ind w:left="0"/>
        <w:jc w:val="both"/>
        <w:rPr>
          <w:rFonts w:ascii="Times New Roman" w:eastAsia="Times New Roman" w:hAnsi="Times New Roman" w:cs="Times New Roman"/>
          <w:sz w:val="24"/>
          <w:szCs w:val="24"/>
          <w:lang w:val="it-IT" w:eastAsia="sq-AL"/>
        </w:rPr>
      </w:pPr>
      <w:r w:rsidRPr="00C169AF">
        <w:rPr>
          <w:rFonts w:ascii="Times New Roman" w:eastAsia="Times New Roman" w:hAnsi="Times New Roman" w:cs="Times New Roman"/>
          <w:sz w:val="24"/>
          <w:szCs w:val="24"/>
          <w:lang w:val="it-IT" w:eastAsia="sq-AL"/>
        </w:rPr>
        <w:t>Janë kryer matje në sipërfaqet monitoruese duke grumbulluar parametrat dendrometrike për drurët brenda sipërfaqes së monitorimit, janë marrë të dhënat mbi gjendjen fitosanitare dhe vegjetative të drurëve, nënpyllit bimësisë barishtore etj.</w:t>
      </w:r>
    </w:p>
    <w:p w:rsidR="00D3274B" w:rsidRDefault="00D3274B" w:rsidP="00C169AF">
      <w:pPr>
        <w:spacing w:after="0" w:line="240" w:lineRule="auto"/>
        <w:jc w:val="both"/>
        <w:rPr>
          <w:rFonts w:ascii="Times New Roman" w:eastAsia="Calibri" w:hAnsi="Times New Roman" w:cs="Times New Roman"/>
          <w:sz w:val="24"/>
          <w:szCs w:val="24"/>
          <w:lang w:val="it-IT"/>
        </w:rPr>
      </w:pPr>
    </w:p>
    <w:p w:rsidR="00C169AF" w:rsidRPr="00C169AF" w:rsidRDefault="00C169AF" w:rsidP="00C169AF">
      <w:pPr>
        <w:spacing w:after="0" w:line="240" w:lineRule="auto"/>
        <w:jc w:val="both"/>
        <w:rPr>
          <w:rFonts w:ascii="Times New Roman" w:eastAsia="Calibri" w:hAnsi="Times New Roman" w:cs="Times New Roman"/>
          <w:bCs/>
          <w:sz w:val="24"/>
          <w:szCs w:val="24"/>
          <w:lang w:val="it-IT"/>
        </w:rPr>
      </w:pPr>
      <w:r w:rsidRPr="00C169AF">
        <w:rPr>
          <w:rFonts w:ascii="Times New Roman" w:eastAsia="Calibri" w:hAnsi="Times New Roman" w:cs="Times New Roman"/>
          <w:sz w:val="24"/>
          <w:szCs w:val="24"/>
          <w:lang w:val="it-IT"/>
        </w:rPr>
        <w:t xml:space="preserve">Njohja e gjendjes </w:t>
      </w:r>
      <w:r w:rsidRPr="00C169AF">
        <w:rPr>
          <w:rFonts w:ascii="Times New Roman" w:eastAsia="Calibri" w:hAnsi="Times New Roman" w:cs="Times New Roman"/>
          <w:bCs/>
          <w:sz w:val="24"/>
          <w:szCs w:val="24"/>
          <w:lang w:val="it-IT"/>
        </w:rPr>
        <w:t>së llojeve drunore të kërcënuara ose në rrezik zhdukjeje, u bë nëpërmjet eksplorimit, verifikimit dhe grumbullimit të dhënave në terren për çdo grumbull drurësh ose individ të veçantë të takuar.</w:t>
      </w:r>
    </w:p>
    <w:p w:rsidR="00C169AF" w:rsidRPr="00C169AF" w:rsidRDefault="00C169AF" w:rsidP="00C169AF">
      <w:pPr>
        <w:spacing w:after="0" w:line="240" w:lineRule="auto"/>
        <w:jc w:val="both"/>
        <w:rPr>
          <w:rFonts w:ascii="Times New Roman" w:eastAsia="Calibri" w:hAnsi="Times New Roman" w:cs="Times New Roman"/>
          <w:bCs/>
          <w:sz w:val="24"/>
          <w:szCs w:val="24"/>
          <w:lang w:val="it-IT"/>
        </w:rPr>
      </w:pPr>
      <w:r w:rsidRPr="00C169AF">
        <w:rPr>
          <w:rFonts w:ascii="Times New Roman" w:eastAsia="Calibri" w:hAnsi="Times New Roman" w:cs="Times New Roman"/>
          <w:bCs/>
          <w:sz w:val="24"/>
          <w:szCs w:val="24"/>
          <w:lang w:val="it-IT"/>
        </w:rPr>
        <w:t>Gjatë ekspeditave të terrenit, përveç marrjes së të dhënave dhe plotësimit të skedave tip të terrenit, për çdo grumbull, grup drurësh apo individ të veçantë janë bërë fotografi. Për llojet e kërcënuara ku janë ngritur sipërfaqe monitorimi të përherëshme me madhësi 400 m</w:t>
      </w:r>
      <w:r w:rsidRPr="00C169AF">
        <w:rPr>
          <w:rFonts w:ascii="Times New Roman" w:eastAsia="Calibri" w:hAnsi="Times New Roman" w:cs="Times New Roman"/>
          <w:bCs/>
          <w:sz w:val="24"/>
          <w:szCs w:val="24"/>
          <w:vertAlign w:val="superscript"/>
          <w:lang w:val="it-IT"/>
        </w:rPr>
        <w:t xml:space="preserve">2 </w:t>
      </w:r>
      <w:r w:rsidRPr="00C169AF">
        <w:rPr>
          <w:rFonts w:ascii="Times New Roman" w:eastAsia="Calibri" w:hAnsi="Times New Roman" w:cs="Times New Roman"/>
          <w:bCs/>
          <w:sz w:val="24"/>
          <w:szCs w:val="24"/>
          <w:lang w:val="it-IT"/>
        </w:rPr>
        <w:t xml:space="preserve">, është bërë matja e drurëve brenda sipërfaqes prove duke marrë të dhënat dendrometrike të drurëve të kontrollit brenda sipërfaqes provë. </w:t>
      </w:r>
    </w:p>
    <w:p w:rsidR="000F53CF" w:rsidRDefault="000F53CF" w:rsidP="00C169AF">
      <w:pPr>
        <w:spacing w:after="0" w:line="240" w:lineRule="auto"/>
        <w:jc w:val="both"/>
        <w:rPr>
          <w:rFonts w:ascii="Times New Roman" w:eastAsia="Times New Roman" w:hAnsi="Times New Roman" w:cs="Times New Roman"/>
          <w:bCs/>
          <w:sz w:val="24"/>
          <w:szCs w:val="24"/>
          <w:lang w:val="it-IT" w:eastAsia="sq-AL"/>
        </w:rPr>
      </w:pPr>
    </w:p>
    <w:p w:rsidR="000F53CF" w:rsidRDefault="000F53CF" w:rsidP="00C169AF">
      <w:pPr>
        <w:spacing w:after="0" w:line="240" w:lineRule="auto"/>
        <w:jc w:val="both"/>
        <w:rPr>
          <w:rFonts w:ascii="Times New Roman" w:eastAsia="Calibri" w:hAnsi="Times New Roman" w:cs="Times New Roman"/>
          <w:b/>
          <w:iCs/>
          <w:sz w:val="24"/>
          <w:szCs w:val="24"/>
          <w:lang w:val="it-IT"/>
        </w:rPr>
      </w:pPr>
    </w:p>
    <w:p w:rsidR="000F53CF" w:rsidRDefault="000F53CF" w:rsidP="00C169AF">
      <w:pPr>
        <w:spacing w:after="0" w:line="240" w:lineRule="auto"/>
        <w:jc w:val="both"/>
        <w:rPr>
          <w:rFonts w:ascii="Times New Roman" w:eastAsia="Calibri" w:hAnsi="Times New Roman" w:cs="Times New Roman"/>
          <w:b/>
          <w:iCs/>
          <w:sz w:val="24"/>
          <w:szCs w:val="24"/>
          <w:lang w:val="it-IT"/>
        </w:rPr>
      </w:pPr>
    </w:p>
    <w:p w:rsidR="00C169AF" w:rsidRPr="00C169AF" w:rsidRDefault="00C169AF" w:rsidP="00C169AF">
      <w:pPr>
        <w:spacing w:after="0" w:line="240" w:lineRule="auto"/>
        <w:jc w:val="both"/>
        <w:rPr>
          <w:rFonts w:ascii="Times New Roman" w:eastAsia="Calibri" w:hAnsi="Times New Roman" w:cs="Times New Roman"/>
          <w:b/>
          <w:i/>
          <w:iCs/>
          <w:sz w:val="24"/>
          <w:szCs w:val="24"/>
          <w:lang w:val="de-DE"/>
        </w:rPr>
      </w:pPr>
      <w:r w:rsidRPr="00C169AF">
        <w:rPr>
          <w:rFonts w:ascii="Times New Roman" w:eastAsia="Calibri" w:hAnsi="Times New Roman" w:cs="Times New Roman"/>
          <w:b/>
          <w:iCs/>
          <w:sz w:val="24"/>
          <w:szCs w:val="24"/>
          <w:lang w:val="it-IT"/>
        </w:rPr>
        <w:t>Rrobull (</w:t>
      </w:r>
      <w:r w:rsidRPr="00C169AF">
        <w:rPr>
          <w:rFonts w:ascii="Times New Roman" w:eastAsia="Calibri" w:hAnsi="Times New Roman" w:cs="Times New Roman"/>
          <w:b/>
          <w:i/>
          <w:iCs/>
          <w:sz w:val="24"/>
          <w:szCs w:val="24"/>
          <w:lang w:val="de-DE"/>
        </w:rPr>
        <w:t>Pinus heldreichii Crist)</w:t>
      </w:r>
    </w:p>
    <w:p w:rsidR="00C169AF" w:rsidRPr="00C169AF" w:rsidRDefault="00C169AF" w:rsidP="00C169AF">
      <w:pPr>
        <w:spacing w:after="0" w:line="240" w:lineRule="auto"/>
        <w:jc w:val="both"/>
        <w:rPr>
          <w:rFonts w:ascii="Times New Roman" w:eastAsia="Calibri" w:hAnsi="Times New Roman" w:cs="Times New Roman"/>
          <w:sz w:val="24"/>
          <w:szCs w:val="24"/>
          <w:lang w:val="it-IT"/>
        </w:rPr>
      </w:pPr>
      <w:r w:rsidRPr="00C169AF">
        <w:rPr>
          <w:rFonts w:ascii="Times New Roman" w:eastAsia="Calibri" w:hAnsi="Times New Roman" w:cs="Times New Roman"/>
          <w:iCs/>
          <w:sz w:val="24"/>
          <w:szCs w:val="24"/>
          <w:lang w:val="it-IT"/>
        </w:rPr>
        <w:t>Për llojin rrobull gjatë këtij viti janë kryer monitorimet në sipërfaqet e ngritura për këtë lloj</w:t>
      </w:r>
      <w:r w:rsidR="00D3274B">
        <w:rPr>
          <w:rFonts w:ascii="Times New Roman" w:eastAsia="Calibri" w:hAnsi="Times New Roman" w:cs="Times New Roman"/>
          <w:iCs/>
          <w:sz w:val="24"/>
          <w:szCs w:val="24"/>
          <w:lang w:val="it-IT"/>
        </w:rPr>
        <w:t xml:space="preserve"> në</w:t>
      </w:r>
      <w:r w:rsidRPr="00C169AF">
        <w:rPr>
          <w:rFonts w:ascii="Times New Roman" w:eastAsia="Calibri" w:hAnsi="Times New Roman" w:cs="Times New Roman"/>
          <w:iCs/>
          <w:sz w:val="24"/>
          <w:szCs w:val="24"/>
          <w:lang w:val="it-IT"/>
        </w:rPr>
        <w:t xml:space="preserve"> vitet e mëparshme. </w:t>
      </w:r>
    </w:p>
    <w:p w:rsidR="00C169AF" w:rsidRPr="00C169AF" w:rsidRDefault="00C169AF" w:rsidP="00C169AF">
      <w:pPr>
        <w:spacing w:after="0" w:line="240" w:lineRule="auto"/>
        <w:jc w:val="both"/>
        <w:rPr>
          <w:rFonts w:ascii="Times New Roman" w:eastAsia="Calibri" w:hAnsi="Times New Roman" w:cs="Times New Roman"/>
          <w:sz w:val="24"/>
          <w:szCs w:val="24"/>
          <w:lang w:val="it-IT"/>
        </w:rPr>
      </w:pPr>
      <w:r w:rsidRPr="00C169AF">
        <w:rPr>
          <w:rFonts w:ascii="Times New Roman" w:eastAsia="Calibri" w:hAnsi="Times New Roman" w:cs="Times New Roman"/>
          <w:sz w:val="24"/>
          <w:szCs w:val="24"/>
          <w:lang w:val="it-IT"/>
        </w:rPr>
        <w:t>Lartësia mesatare e grumbullit është 18 metra. Nënpylli përbëhet nga lloji dëllinjë, ndërsa si bimë barishtore takohen graminacet dhe leguminoset. Rrobulli ka një një gjendje shumë të mirë vegjetative. Në përgjithësi në të gjitha sipërfaqet e monitorimit, lloji ka një gjendje të mirë fitosanitare dhe vegjetative.</w:t>
      </w:r>
    </w:p>
    <w:p w:rsidR="00C169AF" w:rsidRPr="00C169AF" w:rsidRDefault="00C169AF" w:rsidP="00C169AF">
      <w:pPr>
        <w:spacing w:after="0" w:line="240" w:lineRule="auto"/>
        <w:jc w:val="both"/>
        <w:rPr>
          <w:rFonts w:ascii="Times New Roman" w:eastAsia="Calibri" w:hAnsi="Times New Roman" w:cs="Times New Roman"/>
          <w:b/>
          <w:i/>
          <w:iCs/>
          <w:sz w:val="24"/>
          <w:szCs w:val="24"/>
          <w:lang w:val="it-IT"/>
        </w:rPr>
      </w:pPr>
      <w:r w:rsidRPr="00C169AF">
        <w:rPr>
          <w:rFonts w:ascii="Times New Roman" w:eastAsia="Calibri" w:hAnsi="Times New Roman" w:cs="Times New Roman"/>
          <w:b/>
          <w:iCs/>
          <w:sz w:val="24"/>
          <w:szCs w:val="24"/>
          <w:lang w:val="it-IT"/>
        </w:rPr>
        <w:t>Arnen (</w:t>
      </w:r>
      <w:r w:rsidRPr="00C169AF">
        <w:rPr>
          <w:rFonts w:ascii="Times New Roman" w:eastAsia="Calibri" w:hAnsi="Times New Roman" w:cs="Times New Roman"/>
          <w:b/>
          <w:i/>
          <w:iCs/>
          <w:sz w:val="24"/>
          <w:szCs w:val="24"/>
          <w:lang w:val="it-IT"/>
        </w:rPr>
        <w:t>Pinus peuce Gris)</w:t>
      </w:r>
    </w:p>
    <w:p w:rsidR="00C169AF" w:rsidRPr="00C169AF" w:rsidRDefault="00C169AF" w:rsidP="00C169AF">
      <w:pPr>
        <w:spacing w:after="0" w:line="240" w:lineRule="auto"/>
        <w:jc w:val="both"/>
        <w:rPr>
          <w:rFonts w:ascii="Times New Roman" w:eastAsia="Calibri" w:hAnsi="Times New Roman" w:cs="Times New Roman"/>
          <w:bCs/>
          <w:sz w:val="24"/>
          <w:szCs w:val="24"/>
        </w:rPr>
      </w:pPr>
      <w:r w:rsidRPr="00C169AF">
        <w:rPr>
          <w:rFonts w:ascii="Times New Roman" w:eastAsia="Calibri" w:hAnsi="Times New Roman" w:cs="Times New Roman"/>
          <w:bCs/>
          <w:iCs/>
          <w:sz w:val="24"/>
          <w:szCs w:val="24"/>
          <w:lang w:val="it-IT"/>
        </w:rPr>
        <w:t xml:space="preserve">Për llojin arne janë kontrolluar sipërfaqet e monitorimit në </w:t>
      </w:r>
    </w:p>
    <w:p w:rsidR="00C169AF" w:rsidRPr="00C169AF" w:rsidRDefault="00C169AF" w:rsidP="00C169AF">
      <w:pPr>
        <w:spacing w:after="0" w:line="240" w:lineRule="auto"/>
        <w:jc w:val="both"/>
        <w:rPr>
          <w:rFonts w:ascii="Times New Roman" w:eastAsia="Calibri" w:hAnsi="Times New Roman" w:cs="Times New Roman"/>
          <w:bCs/>
          <w:sz w:val="24"/>
          <w:szCs w:val="24"/>
        </w:rPr>
      </w:pPr>
      <w:r w:rsidRPr="00C169AF">
        <w:rPr>
          <w:rFonts w:ascii="Times New Roman" w:eastAsia="Calibri" w:hAnsi="Times New Roman" w:cs="Times New Roman"/>
          <w:bCs/>
          <w:sz w:val="24"/>
          <w:szCs w:val="24"/>
        </w:rPr>
        <w:t xml:space="preserve">Lloji është i përzier me llojin mështekën dhe ka drurë të rrallë të shpërndarë kryesisht rreth liqenit dhe në çeltirat e rrugëve. Në këtë sipërfaqe lloji arne, bashkëshoqërohet me llojet bredh dhe ah. Nënpylli mungon. </w:t>
      </w:r>
    </w:p>
    <w:p w:rsidR="00C169AF" w:rsidRPr="00C169AF" w:rsidRDefault="00C169AF" w:rsidP="00C169AF">
      <w:pPr>
        <w:spacing w:after="0" w:line="240" w:lineRule="auto"/>
        <w:jc w:val="both"/>
        <w:rPr>
          <w:rFonts w:ascii="Times New Roman" w:eastAsia="Calibri" w:hAnsi="Times New Roman" w:cs="Times New Roman"/>
          <w:b/>
          <w:iCs/>
          <w:sz w:val="24"/>
          <w:szCs w:val="24"/>
        </w:rPr>
      </w:pPr>
      <w:r w:rsidRPr="00C169AF">
        <w:rPr>
          <w:rFonts w:ascii="Times New Roman" w:eastAsia="Calibri" w:hAnsi="Times New Roman" w:cs="Times New Roman"/>
          <w:b/>
          <w:iCs/>
          <w:sz w:val="24"/>
          <w:szCs w:val="24"/>
        </w:rPr>
        <w:t>Hartina (</w:t>
      </w:r>
      <w:r w:rsidRPr="00C169AF">
        <w:rPr>
          <w:rFonts w:ascii="Times New Roman" w:eastAsia="Calibri" w:hAnsi="Times New Roman" w:cs="Times New Roman"/>
          <w:b/>
          <w:i/>
          <w:iCs/>
          <w:sz w:val="24"/>
          <w:szCs w:val="24"/>
        </w:rPr>
        <w:t>Pinus Silvestris</w:t>
      </w:r>
      <w:r w:rsidRPr="00C169AF">
        <w:rPr>
          <w:rFonts w:ascii="Times New Roman" w:eastAsia="Calibri" w:hAnsi="Times New Roman" w:cs="Times New Roman"/>
          <w:b/>
          <w:iCs/>
          <w:sz w:val="24"/>
          <w:szCs w:val="24"/>
        </w:rPr>
        <w:t>)</w:t>
      </w:r>
    </w:p>
    <w:p w:rsidR="00C169AF" w:rsidRPr="00C169AF" w:rsidRDefault="00C169AF" w:rsidP="00C169AF">
      <w:pPr>
        <w:spacing w:after="0" w:line="240" w:lineRule="auto"/>
        <w:jc w:val="both"/>
        <w:rPr>
          <w:rFonts w:ascii="Times New Roman" w:eastAsia="Calibri" w:hAnsi="Times New Roman" w:cs="Times New Roman"/>
          <w:iCs/>
          <w:sz w:val="24"/>
          <w:szCs w:val="24"/>
          <w:lang w:val="it-IT"/>
        </w:rPr>
      </w:pPr>
      <w:r w:rsidRPr="00C169AF">
        <w:rPr>
          <w:rFonts w:ascii="Times New Roman" w:eastAsia="Calibri" w:hAnsi="Times New Roman" w:cs="Times New Roman"/>
          <w:iCs/>
          <w:sz w:val="24"/>
          <w:szCs w:val="24"/>
          <w:lang w:val="it-IT"/>
        </w:rPr>
        <w:t xml:space="preserve">Për llojin hartinë, të dhënat janë grumbulluar në sipërfaqen e monitorimit që ndodhet, në Ekonominë Pyjore Sogorë-Mali i Grabovës. Sipërfaqja është në lartësinë 1500 metër mbi nivelin e detit. Gjendja vegjetative e grumbullit është shumë e mirë dhe arrin lartësinë mesatare 16.5 metër. </w:t>
      </w:r>
    </w:p>
    <w:p w:rsidR="00C169AF" w:rsidRPr="00C169AF" w:rsidRDefault="00C169AF" w:rsidP="00C169AF">
      <w:pPr>
        <w:shd w:val="clear" w:color="auto" w:fill="FFFFFF"/>
        <w:spacing w:after="0" w:line="240" w:lineRule="auto"/>
        <w:jc w:val="both"/>
        <w:rPr>
          <w:rFonts w:ascii="Times New Roman" w:eastAsia="Calibri" w:hAnsi="Times New Roman" w:cs="Times New Roman"/>
          <w:b/>
          <w:sz w:val="24"/>
          <w:szCs w:val="24"/>
          <w:lang w:val="it-IT"/>
        </w:rPr>
      </w:pPr>
      <w:r w:rsidRPr="00C169AF">
        <w:rPr>
          <w:rFonts w:ascii="Times New Roman" w:eastAsia="Calibri" w:hAnsi="Times New Roman" w:cs="Times New Roman"/>
          <w:b/>
          <w:sz w:val="24"/>
          <w:szCs w:val="24"/>
          <w:lang w:val="it-IT"/>
        </w:rPr>
        <w:t>Ilqja (</w:t>
      </w:r>
      <w:r w:rsidRPr="00C169AF">
        <w:rPr>
          <w:rFonts w:ascii="Times New Roman" w:eastAsia="Calibri" w:hAnsi="Times New Roman" w:cs="Times New Roman"/>
          <w:b/>
          <w:i/>
          <w:iCs/>
          <w:sz w:val="24"/>
          <w:szCs w:val="24"/>
          <w:lang w:val="it-IT"/>
        </w:rPr>
        <w:t>Quercus ilex L</w:t>
      </w:r>
      <w:r w:rsidRPr="00C169AF">
        <w:rPr>
          <w:rFonts w:ascii="Times New Roman" w:eastAsia="Calibri" w:hAnsi="Times New Roman" w:cs="Times New Roman"/>
          <w:b/>
          <w:sz w:val="24"/>
          <w:szCs w:val="24"/>
          <w:lang w:val="it-IT"/>
        </w:rPr>
        <w:t xml:space="preserve">  )</w:t>
      </w:r>
    </w:p>
    <w:p w:rsidR="00C169AF" w:rsidRPr="00C169AF" w:rsidRDefault="00C169AF" w:rsidP="00C169AF">
      <w:pPr>
        <w:spacing w:after="0" w:line="240" w:lineRule="auto"/>
        <w:jc w:val="both"/>
        <w:rPr>
          <w:rFonts w:ascii="Times New Roman" w:eastAsia="Times New Roman" w:hAnsi="Times New Roman" w:cs="Times New Roman"/>
          <w:sz w:val="24"/>
          <w:szCs w:val="24"/>
          <w:lang w:val="it-IT" w:eastAsia="sq-AL"/>
        </w:rPr>
      </w:pPr>
      <w:r w:rsidRPr="00C169AF">
        <w:rPr>
          <w:rFonts w:ascii="Times New Roman" w:eastAsia="Times New Roman" w:hAnsi="Times New Roman" w:cs="Times New Roman"/>
          <w:sz w:val="24"/>
          <w:szCs w:val="24"/>
          <w:lang w:val="it-IT" w:eastAsia="sq-AL"/>
        </w:rPr>
        <w:t>Për këtë lloj është bërë verifikimi dhe marrja e të dhënave tek pika e e përhershme e monitorimit. Grumbulli është në gjendje shumë të mirë vegjetative. Ilqja në këtë sipërfaqe është e përzier me llojet qarr, mare, lofatë dhe shqopë dhe dëllinjë kokërrmadhe.</w:t>
      </w:r>
      <w:r>
        <w:rPr>
          <w:rFonts w:ascii="Times New Roman" w:eastAsia="Times New Roman" w:hAnsi="Times New Roman" w:cs="Times New Roman"/>
          <w:sz w:val="24"/>
          <w:szCs w:val="24"/>
          <w:lang w:val="it-IT" w:eastAsia="sq-AL"/>
        </w:rPr>
        <w:t xml:space="preserve"> Mbulesa barishtore perbehet </w:t>
      </w:r>
      <w:r w:rsidRPr="00C169AF">
        <w:rPr>
          <w:rFonts w:ascii="Times New Roman" w:eastAsia="Times New Roman" w:hAnsi="Times New Roman" w:cs="Times New Roman"/>
          <w:sz w:val="24"/>
          <w:szCs w:val="24"/>
          <w:lang w:val="it-IT" w:eastAsia="sq-AL"/>
        </w:rPr>
        <w:t xml:space="preserve">nga pteriodifite (fjeret) dhe </w:t>
      </w:r>
      <w:r w:rsidRPr="00C169AF">
        <w:rPr>
          <w:rFonts w:ascii="Times New Roman" w:eastAsia="Times New Roman" w:hAnsi="Times New Roman" w:cs="Times New Roman"/>
          <w:i/>
          <w:sz w:val="24"/>
          <w:szCs w:val="24"/>
          <w:lang w:val="it-IT" w:eastAsia="sq-AL"/>
        </w:rPr>
        <w:t>Rubus ideaus</w:t>
      </w:r>
      <w:r w:rsidRPr="00C169AF">
        <w:rPr>
          <w:rFonts w:ascii="Times New Roman" w:eastAsia="Times New Roman" w:hAnsi="Times New Roman" w:cs="Times New Roman"/>
          <w:sz w:val="24"/>
          <w:szCs w:val="24"/>
          <w:lang w:val="it-IT" w:eastAsia="sq-AL"/>
        </w:rPr>
        <w:t xml:space="preserve"> Lloji në këtë sipërfaqe ka një moshë mbi 100 vjeçare. Gjendja vegjetative paraqitet e mirë uniforme, kurorëdendësia 100%. </w:t>
      </w:r>
    </w:p>
    <w:p w:rsidR="00C169AF" w:rsidRPr="00C169AF" w:rsidRDefault="00C169AF" w:rsidP="00C169AF">
      <w:pPr>
        <w:shd w:val="clear" w:color="auto" w:fill="FFFFFF"/>
        <w:spacing w:after="0" w:line="240" w:lineRule="auto"/>
        <w:jc w:val="both"/>
        <w:rPr>
          <w:rFonts w:ascii="Times New Roman" w:eastAsia="Calibri" w:hAnsi="Times New Roman" w:cs="Times New Roman"/>
          <w:b/>
          <w:i/>
          <w:iCs/>
          <w:sz w:val="24"/>
          <w:szCs w:val="24"/>
          <w:lang w:val="it-IT"/>
        </w:rPr>
      </w:pPr>
      <w:r w:rsidRPr="00C169AF">
        <w:rPr>
          <w:rFonts w:ascii="Times New Roman" w:eastAsia="Calibri" w:hAnsi="Times New Roman" w:cs="Times New Roman"/>
          <w:b/>
          <w:sz w:val="24"/>
          <w:szCs w:val="24"/>
          <w:lang w:val="it-IT"/>
        </w:rPr>
        <w:t>Rrenja (</w:t>
      </w:r>
      <w:r w:rsidRPr="00C169AF">
        <w:rPr>
          <w:rFonts w:ascii="Times New Roman" w:eastAsia="Calibri" w:hAnsi="Times New Roman" w:cs="Times New Roman"/>
          <w:b/>
          <w:i/>
          <w:iCs/>
          <w:sz w:val="24"/>
          <w:szCs w:val="24"/>
          <w:lang w:val="it-IT"/>
        </w:rPr>
        <w:t>Quercus robur L)</w:t>
      </w:r>
    </w:p>
    <w:p w:rsidR="00C169AF" w:rsidRPr="00C169AF" w:rsidRDefault="00C169AF" w:rsidP="00C169AF">
      <w:pPr>
        <w:spacing w:after="0" w:line="240" w:lineRule="auto"/>
        <w:jc w:val="both"/>
        <w:rPr>
          <w:rFonts w:ascii="Times New Roman" w:eastAsia="Calibri" w:hAnsi="Times New Roman" w:cs="Times New Roman"/>
          <w:sz w:val="24"/>
          <w:szCs w:val="24"/>
          <w:lang w:val="it-IT"/>
        </w:rPr>
      </w:pPr>
      <w:r w:rsidRPr="00C169AF">
        <w:rPr>
          <w:rFonts w:ascii="Times New Roman" w:eastAsia="Calibri" w:hAnsi="Times New Roman" w:cs="Times New Roman"/>
          <w:sz w:val="24"/>
          <w:szCs w:val="24"/>
          <w:lang w:val="es-ES"/>
        </w:rPr>
        <w:t>Për llojin rrenjë është ngritur sipërfaqja e monitorimit në ekonominë pyjore ‘’Lumi Seman’’, në vendin e quajtur Kunora, në bashkinë e Fierit. Është shpallur monument natyre kategoría e III sipas IUCN-së.</w:t>
      </w:r>
    </w:p>
    <w:p w:rsidR="00C169AF" w:rsidRPr="00C169AF" w:rsidRDefault="00C169AF" w:rsidP="00C169AF">
      <w:pPr>
        <w:spacing w:after="0" w:line="240" w:lineRule="auto"/>
        <w:jc w:val="both"/>
        <w:rPr>
          <w:rFonts w:ascii="Times New Roman" w:eastAsia="Calibri" w:hAnsi="Times New Roman" w:cs="Times New Roman"/>
          <w:b/>
          <w:bCs/>
          <w:noProof/>
          <w:sz w:val="24"/>
          <w:szCs w:val="24"/>
          <w:lang w:val="it-IT"/>
        </w:rPr>
      </w:pPr>
      <w:r w:rsidRPr="00C169AF">
        <w:rPr>
          <w:rFonts w:ascii="Times New Roman" w:eastAsia="Calibri" w:hAnsi="Times New Roman" w:cs="Times New Roman"/>
          <w:sz w:val="24"/>
          <w:szCs w:val="24"/>
          <w:lang w:val="it-IT"/>
        </w:rPr>
        <w:t>Llloji rrenjë është takuar edhe në bashkinë Shkodër tek Rezervati i Velipojës, sipërfaqe kjo me madhësi 0.5 ha dhe ka një lartësi prej 5 metër mbi nivelin e detit. Loji paraqitet në gjendje të mirë vegjetative dhe gjendje të mirë fitosanitare.</w:t>
      </w:r>
      <w:r w:rsidRPr="00C169AF">
        <w:rPr>
          <w:rFonts w:ascii="Times New Roman" w:eastAsia="Calibri" w:hAnsi="Times New Roman" w:cs="Times New Roman"/>
          <w:b/>
          <w:bCs/>
          <w:noProof/>
          <w:sz w:val="24"/>
          <w:szCs w:val="24"/>
          <w:lang w:val="it-IT"/>
        </w:rPr>
        <w:t xml:space="preserve"> </w:t>
      </w:r>
    </w:p>
    <w:p w:rsidR="00C169AF" w:rsidRPr="00C169AF" w:rsidRDefault="00C169AF" w:rsidP="00C169AF">
      <w:pPr>
        <w:spacing w:after="0" w:line="240" w:lineRule="auto"/>
        <w:jc w:val="both"/>
        <w:rPr>
          <w:rFonts w:ascii="Times New Roman" w:eastAsia="Calibri" w:hAnsi="Times New Roman" w:cs="Times New Roman"/>
          <w:b/>
          <w:i/>
          <w:iCs/>
          <w:sz w:val="24"/>
          <w:szCs w:val="24"/>
          <w:lang w:val="it-IT"/>
        </w:rPr>
      </w:pPr>
      <w:r w:rsidRPr="00C169AF">
        <w:rPr>
          <w:rFonts w:ascii="Times New Roman" w:eastAsia="Calibri" w:hAnsi="Times New Roman" w:cs="Times New Roman"/>
          <w:b/>
          <w:iCs/>
          <w:sz w:val="24"/>
          <w:szCs w:val="24"/>
          <w:lang w:val="it-IT"/>
        </w:rPr>
        <w:t>Lajthi e egër (</w:t>
      </w:r>
      <w:r w:rsidRPr="00C169AF">
        <w:rPr>
          <w:rFonts w:ascii="Times New Roman" w:eastAsia="Calibri" w:hAnsi="Times New Roman" w:cs="Times New Roman"/>
          <w:b/>
          <w:i/>
          <w:iCs/>
          <w:sz w:val="24"/>
          <w:szCs w:val="24"/>
          <w:lang w:val="it-IT"/>
        </w:rPr>
        <w:t>Corylus colurna L)</w:t>
      </w:r>
    </w:p>
    <w:p w:rsidR="00C169AF" w:rsidRPr="00C169AF" w:rsidRDefault="00C169AF" w:rsidP="00C169AF">
      <w:pPr>
        <w:spacing w:after="0" w:line="240" w:lineRule="auto"/>
        <w:jc w:val="both"/>
        <w:rPr>
          <w:rFonts w:ascii="Times New Roman" w:eastAsia="Calibri" w:hAnsi="Times New Roman" w:cs="Times New Roman"/>
          <w:iCs/>
          <w:sz w:val="24"/>
          <w:szCs w:val="24"/>
          <w:lang w:val="it-IT"/>
        </w:rPr>
      </w:pPr>
      <w:r w:rsidRPr="00C169AF">
        <w:rPr>
          <w:rFonts w:ascii="Times New Roman" w:eastAsia="Calibri" w:hAnsi="Times New Roman" w:cs="Times New Roman"/>
          <w:iCs/>
          <w:sz w:val="24"/>
          <w:szCs w:val="24"/>
          <w:lang w:val="it-IT"/>
        </w:rPr>
        <w:t>Për llojin lajthi e egër janë kontrolluar sipërfaqet e monitorimit të ngritura në bashkinë e Libohovës dhe të Pustecit. Në këtë sipërfaqe lloji lajthi e egër është shoqëruese e llojeve; shkozë, mëllezë, krekëz, dëllinjë, murriz, bunge etj. Gjendja vegjetative e drurëve është mesatare dhe 80% e tyre kanë majat e thara.</w:t>
      </w:r>
    </w:p>
    <w:p w:rsidR="00C169AF" w:rsidRPr="00C169AF" w:rsidRDefault="00C169AF" w:rsidP="00C169AF">
      <w:pPr>
        <w:spacing w:after="0" w:line="240" w:lineRule="auto"/>
        <w:jc w:val="both"/>
        <w:rPr>
          <w:rFonts w:ascii="Times New Roman" w:eastAsia="Calibri" w:hAnsi="Times New Roman" w:cs="Times New Roman"/>
          <w:sz w:val="24"/>
          <w:szCs w:val="24"/>
          <w:lang w:val="it-IT"/>
        </w:rPr>
      </w:pPr>
      <w:r w:rsidRPr="00C169AF">
        <w:rPr>
          <w:rFonts w:ascii="Times New Roman" w:eastAsia="Calibri" w:hAnsi="Times New Roman" w:cs="Times New Roman"/>
          <w:sz w:val="24"/>
          <w:szCs w:val="24"/>
          <w:lang w:val="it-IT"/>
        </w:rPr>
        <w:t xml:space="preserve">Në bashkinë Krumë, në Ekonominë pyjore ‘’Tejdrini i Bardhë’’, në lartësinë 950 metra mbi nivelin e detit janë takuar drurë të rrallë të  llojit lajthi e egër me lartësi 3-5 metra. </w:t>
      </w:r>
    </w:p>
    <w:p w:rsidR="00C169AF" w:rsidRPr="00C169AF" w:rsidRDefault="00C169AF" w:rsidP="00C169AF">
      <w:pPr>
        <w:spacing w:after="0" w:line="240" w:lineRule="auto"/>
        <w:jc w:val="both"/>
        <w:rPr>
          <w:rFonts w:ascii="Times New Roman" w:eastAsia="Calibri" w:hAnsi="Times New Roman" w:cs="Times New Roman"/>
          <w:sz w:val="24"/>
          <w:szCs w:val="24"/>
          <w:lang w:val="it-IT"/>
        </w:rPr>
      </w:pPr>
      <w:r w:rsidRPr="00C169AF">
        <w:rPr>
          <w:rFonts w:ascii="Times New Roman" w:eastAsia="Calibri" w:hAnsi="Times New Roman" w:cs="Times New Roman"/>
          <w:sz w:val="24"/>
          <w:szCs w:val="24"/>
          <w:lang w:val="it-IT"/>
        </w:rPr>
        <w:t xml:space="preserve">Llojet e tjera pyjore pjesëmarrëse janë, bunga, frashëri, krekëza, dëllinja, shkoza si dhe panjë mali. </w:t>
      </w:r>
    </w:p>
    <w:p w:rsidR="00382561" w:rsidRPr="00382561" w:rsidRDefault="00382561" w:rsidP="00382561">
      <w:pPr>
        <w:shd w:val="clear" w:color="auto" w:fill="FFFFFF"/>
        <w:spacing w:after="0" w:line="240" w:lineRule="auto"/>
        <w:jc w:val="both"/>
        <w:rPr>
          <w:rFonts w:ascii="Times New Roman" w:eastAsia="Calibri" w:hAnsi="Times New Roman" w:cs="Times New Roman"/>
          <w:b/>
          <w:i/>
          <w:iCs/>
          <w:sz w:val="24"/>
          <w:szCs w:val="24"/>
          <w:lang w:val="it-IT"/>
        </w:rPr>
      </w:pPr>
      <w:r w:rsidRPr="00382561">
        <w:rPr>
          <w:rFonts w:ascii="Times New Roman" w:eastAsia="Calibri" w:hAnsi="Times New Roman" w:cs="Times New Roman"/>
          <w:b/>
          <w:sz w:val="24"/>
          <w:szCs w:val="24"/>
          <w:lang w:val="it-IT"/>
        </w:rPr>
        <w:t>Drunakuqja (</w:t>
      </w:r>
      <w:r w:rsidRPr="00382561">
        <w:rPr>
          <w:rFonts w:ascii="Times New Roman" w:eastAsia="Calibri" w:hAnsi="Times New Roman" w:cs="Times New Roman"/>
          <w:b/>
          <w:i/>
          <w:iCs/>
          <w:sz w:val="24"/>
          <w:szCs w:val="24"/>
          <w:lang w:val="it-IT"/>
        </w:rPr>
        <w:t>Arbutus andrachne L)</w:t>
      </w:r>
    </w:p>
    <w:p w:rsidR="00382561" w:rsidRPr="00382561" w:rsidRDefault="00382561" w:rsidP="00382561">
      <w:pPr>
        <w:spacing w:after="0" w:line="240" w:lineRule="auto"/>
        <w:jc w:val="both"/>
        <w:rPr>
          <w:rFonts w:ascii="Times New Roman" w:eastAsia="Calibri" w:hAnsi="Times New Roman" w:cs="Times New Roman"/>
          <w:sz w:val="24"/>
          <w:szCs w:val="24"/>
          <w:lang w:val="it-IT"/>
        </w:rPr>
      </w:pPr>
      <w:r w:rsidRPr="00382561">
        <w:rPr>
          <w:rFonts w:ascii="Times New Roman" w:eastAsia="Calibri" w:hAnsi="Times New Roman" w:cs="Times New Roman"/>
          <w:sz w:val="24"/>
          <w:szCs w:val="24"/>
          <w:lang w:val="it-IT"/>
        </w:rPr>
        <w:t xml:space="preserve">Gjatë këtij viti janë kontrolluar sipërfaqet monitoruese që janë ngritur vitet e mëparshme. Konkretish në bashkinë Përmet në Ekonominë pyjore ‘’Bredhi i Hotovës’’ në lartësinë 750 metër mbi nivelin e detit, është ngritur sipërfaqja monitoruese për llojin drunakuqe. </w:t>
      </w:r>
    </w:p>
    <w:p w:rsidR="00382561" w:rsidRPr="00382561" w:rsidRDefault="00382561" w:rsidP="00382561">
      <w:pPr>
        <w:spacing w:after="0" w:line="240" w:lineRule="auto"/>
        <w:jc w:val="both"/>
        <w:rPr>
          <w:rFonts w:ascii="Times New Roman" w:eastAsia="Calibri" w:hAnsi="Times New Roman" w:cs="Times New Roman"/>
          <w:sz w:val="24"/>
          <w:szCs w:val="24"/>
          <w:lang w:val="sq-AL"/>
        </w:rPr>
      </w:pPr>
      <w:r w:rsidRPr="00382561">
        <w:rPr>
          <w:rFonts w:ascii="Times New Roman" w:eastAsia="Calibri" w:hAnsi="Times New Roman" w:cs="Times New Roman"/>
          <w:bCs/>
          <w:sz w:val="24"/>
          <w:szCs w:val="24"/>
          <w:lang w:val="it-IT"/>
        </w:rPr>
        <w:t xml:space="preserve">Lloji drunakuqe është monitoruar edhe afër teqes së Ali Bostivanit në Përmet. </w:t>
      </w:r>
    </w:p>
    <w:p w:rsidR="00382561" w:rsidRPr="00382561" w:rsidRDefault="00382561" w:rsidP="00382561">
      <w:pPr>
        <w:spacing w:after="0" w:line="240" w:lineRule="auto"/>
        <w:jc w:val="both"/>
        <w:rPr>
          <w:rFonts w:ascii="Times New Roman" w:eastAsia="Calibri" w:hAnsi="Times New Roman" w:cs="Times New Roman"/>
          <w:sz w:val="24"/>
          <w:szCs w:val="24"/>
          <w:lang w:val="sq-AL"/>
        </w:rPr>
      </w:pPr>
      <w:r w:rsidRPr="00382561">
        <w:rPr>
          <w:rFonts w:ascii="Times New Roman" w:eastAsia="Calibri" w:hAnsi="Times New Roman" w:cs="Times New Roman"/>
          <w:sz w:val="24"/>
          <w:szCs w:val="24"/>
          <w:lang w:val="sq-AL"/>
        </w:rPr>
        <w:lastRenderedPageBreak/>
        <w:t>Gjendja vegjetative e grumbullit të drunakuqes është e mirë, gjithashtu lloji ka gjendje të mirë fitosanitare.</w:t>
      </w:r>
    </w:p>
    <w:p w:rsidR="00382561" w:rsidRPr="00382561" w:rsidRDefault="00382561" w:rsidP="00382561">
      <w:pPr>
        <w:spacing w:after="0" w:line="240" w:lineRule="auto"/>
        <w:jc w:val="both"/>
        <w:rPr>
          <w:rFonts w:ascii="Times New Roman" w:eastAsia="Calibri" w:hAnsi="Times New Roman" w:cs="Times New Roman"/>
          <w:sz w:val="24"/>
          <w:szCs w:val="24"/>
          <w:lang w:val="sq-AL"/>
        </w:rPr>
      </w:pPr>
      <w:r w:rsidRPr="00382561">
        <w:rPr>
          <w:rFonts w:ascii="Times New Roman" w:eastAsia="Calibri" w:hAnsi="Times New Roman" w:cs="Times New Roman"/>
          <w:sz w:val="24"/>
          <w:szCs w:val="24"/>
          <w:lang w:val="sq-AL"/>
        </w:rPr>
        <w:t>N</w:t>
      </w:r>
      <w:r w:rsidRPr="00382561">
        <w:rPr>
          <w:rFonts w:ascii="Times New Roman" w:eastAsia="Calibri" w:hAnsi="Times New Roman" w:cs="Times New Roman"/>
          <w:bCs/>
          <w:sz w:val="24"/>
          <w:szCs w:val="24"/>
          <w:lang w:val="sq-AL"/>
        </w:rPr>
        <w:t>ë</w:t>
      </w:r>
      <w:r w:rsidRPr="00382561">
        <w:rPr>
          <w:rFonts w:ascii="Times New Roman" w:eastAsia="Calibri" w:hAnsi="Times New Roman" w:cs="Times New Roman"/>
          <w:sz w:val="24"/>
          <w:szCs w:val="24"/>
          <w:lang w:val="sq-AL"/>
        </w:rPr>
        <w:t xml:space="preserve"> sip</w:t>
      </w:r>
      <w:r w:rsidRPr="00382561">
        <w:rPr>
          <w:rFonts w:ascii="Times New Roman" w:eastAsia="Calibri" w:hAnsi="Times New Roman" w:cs="Times New Roman"/>
          <w:bCs/>
          <w:sz w:val="24"/>
          <w:szCs w:val="24"/>
          <w:lang w:val="sq-AL"/>
        </w:rPr>
        <w:t>ë</w:t>
      </w:r>
      <w:r w:rsidRPr="00382561">
        <w:rPr>
          <w:rFonts w:ascii="Times New Roman" w:eastAsia="Calibri" w:hAnsi="Times New Roman" w:cs="Times New Roman"/>
          <w:sz w:val="24"/>
          <w:szCs w:val="24"/>
          <w:lang w:val="sq-AL"/>
        </w:rPr>
        <w:t>rfaqen e ngriur p</w:t>
      </w:r>
      <w:r w:rsidRPr="00382561">
        <w:rPr>
          <w:rFonts w:ascii="Times New Roman" w:eastAsia="Calibri" w:hAnsi="Times New Roman" w:cs="Times New Roman"/>
          <w:bCs/>
          <w:sz w:val="24"/>
          <w:szCs w:val="24"/>
          <w:lang w:val="sq-AL"/>
        </w:rPr>
        <w:t>ë</w:t>
      </w:r>
      <w:r w:rsidRPr="00382561">
        <w:rPr>
          <w:rFonts w:ascii="Times New Roman" w:eastAsia="Calibri" w:hAnsi="Times New Roman" w:cs="Times New Roman"/>
          <w:sz w:val="24"/>
          <w:szCs w:val="24"/>
          <w:lang w:val="sq-AL"/>
        </w:rPr>
        <w:t xml:space="preserve">r monitorim u listuan llojet  pjesëmarrëse të tilla si: Drunakuqja </w:t>
      </w:r>
      <w:r w:rsidRPr="00382561">
        <w:rPr>
          <w:rFonts w:ascii="Times New Roman" w:eastAsia="Calibri" w:hAnsi="Times New Roman" w:cs="Times New Roman"/>
          <w:i/>
          <w:iCs/>
          <w:sz w:val="24"/>
          <w:szCs w:val="24"/>
          <w:lang w:val="sq-AL"/>
        </w:rPr>
        <w:t>Arbutus andrachne L</w:t>
      </w:r>
      <w:r w:rsidRPr="00382561">
        <w:rPr>
          <w:rFonts w:ascii="Times New Roman" w:eastAsia="Calibri" w:hAnsi="Times New Roman" w:cs="Times New Roman"/>
          <w:b/>
          <w:bCs/>
          <w:i/>
          <w:iCs/>
          <w:sz w:val="24"/>
          <w:szCs w:val="24"/>
          <w:lang w:val="sq-AL"/>
        </w:rPr>
        <w:t xml:space="preserve">, </w:t>
      </w:r>
      <w:r w:rsidRPr="00382561">
        <w:rPr>
          <w:rFonts w:ascii="Times New Roman" w:eastAsia="Calibri" w:hAnsi="Times New Roman" w:cs="Times New Roman"/>
          <w:sz w:val="24"/>
          <w:szCs w:val="24"/>
          <w:lang w:val="sq-AL"/>
        </w:rPr>
        <w:t xml:space="preserve">Mare, cermedell </w:t>
      </w:r>
      <w:r w:rsidRPr="00382561">
        <w:rPr>
          <w:rFonts w:ascii="Times New Roman" w:eastAsia="Calibri" w:hAnsi="Times New Roman" w:cs="Times New Roman"/>
          <w:i/>
          <w:iCs/>
          <w:sz w:val="24"/>
          <w:szCs w:val="24"/>
          <w:lang w:val="sq-AL"/>
        </w:rPr>
        <w:t>Cotinus coccygria</w:t>
      </w:r>
      <w:r w:rsidRPr="00382561">
        <w:rPr>
          <w:rFonts w:ascii="Times New Roman" w:eastAsia="Calibri" w:hAnsi="Times New Roman" w:cs="Times New Roman"/>
          <w:sz w:val="24"/>
          <w:szCs w:val="24"/>
          <w:lang w:val="sq-AL"/>
        </w:rPr>
        <w:t xml:space="preserve"> </w:t>
      </w:r>
      <w:r w:rsidRPr="00382561">
        <w:rPr>
          <w:rFonts w:ascii="Times New Roman" w:eastAsia="Calibri" w:hAnsi="Times New Roman" w:cs="Times New Roman"/>
          <w:i/>
          <w:iCs/>
          <w:sz w:val="24"/>
          <w:szCs w:val="24"/>
          <w:lang w:val="sq-AL"/>
        </w:rPr>
        <w:t>Scop</w:t>
      </w:r>
      <w:r w:rsidRPr="00382561">
        <w:rPr>
          <w:rFonts w:ascii="Times New Roman" w:eastAsia="Calibri" w:hAnsi="Times New Roman" w:cs="Times New Roman"/>
          <w:sz w:val="24"/>
          <w:szCs w:val="24"/>
          <w:lang w:val="sq-AL"/>
        </w:rPr>
        <w:t>,  krifsh</w:t>
      </w:r>
      <w:r w:rsidRPr="00382561">
        <w:rPr>
          <w:rFonts w:ascii="Times New Roman" w:eastAsia="Calibri" w:hAnsi="Times New Roman" w:cs="Times New Roman"/>
          <w:bCs/>
          <w:sz w:val="24"/>
          <w:szCs w:val="24"/>
          <w:lang w:val="sq-AL"/>
        </w:rPr>
        <w:t xml:space="preserve">ë </w:t>
      </w:r>
      <w:r w:rsidRPr="00382561">
        <w:rPr>
          <w:rFonts w:ascii="Times New Roman" w:eastAsia="Calibri" w:hAnsi="Times New Roman" w:cs="Times New Roman"/>
          <w:i/>
          <w:iCs/>
          <w:sz w:val="24"/>
          <w:szCs w:val="24"/>
          <w:lang w:val="sq-AL"/>
        </w:rPr>
        <w:t>Phillyrea media L</w:t>
      </w:r>
      <w:r w:rsidRPr="00382561">
        <w:rPr>
          <w:rFonts w:ascii="Times New Roman" w:eastAsia="Calibri" w:hAnsi="Times New Roman" w:cs="Times New Roman"/>
          <w:sz w:val="24"/>
          <w:szCs w:val="24"/>
          <w:lang w:val="sq-AL"/>
        </w:rPr>
        <w:t>, lofat</w:t>
      </w:r>
      <w:r w:rsidRPr="00382561">
        <w:rPr>
          <w:rFonts w:ascii="Times New Roman" w:eastAsia="Calibri" w:hAnsi="Times New Roman" w:cs="Times New Roman"/>
          <w:bCs/>
          <w:sz w:val="24"/>
          <w:szCs w:val="24"/>
          <w:lang w:val="sq-AL"/>
        </w:rPr>
        <w:t>ë</w:t>
      </w:r>
      <w:r w:rsidRPr="00382561">
        <w:rPr>
          <w:rFonts w:ascii="Times New Roman" w:eastAsia="Calibri" w:hAnsi="Times New Roman" w:cs="Times New Roman"/>
          <w:sz w:val="24"/>
          <w:szCs w:val="24"/>
          <w:lang w:val="sq-AL"/>
        </w:rPr>
        <w:t xml:space="preserve"> </w:t>
      </w:r>
      <w:r w:rsidRPr="00382561">
        <w:rPr>
          <w:rFonts w:ascii="Times New Roman" w:eastAsia="Calibri" w:hAnsi="Times New Roman" w:cs="Times New Roman"/>
          <w:i/>
          <w:iCs/>
          <w:sz w:val="24"/>
          <w:szCs w:val="24"/>
          <w:lang w:val="sq-AL"/>
        </w:rPr>
        <w:t>Cercis siliquastrum L</w:t>
      </w:r>
      <w:r w:rsidRPr="00382561">
        <w:rPr>
          <w:rFonts w:ascii="Times New Roman" w:eastAsia="Calibri" w:hAnsi="Times New Roman" w:cs="Times New Roman"/>
          <w:sz w:val="24"/>
          <w:szCs w:val="24"/>
          <w:lang w:val="sq-AL"/>
        </w:rPr>
        <w:t>, frash</w:t>
      </w:r>
      <w:r w:rsidRPr="00382561">
        <w:rPr>
          <w:rFonts w:ascii="Times New Roman" w:eastAsia="Calibri" w:hAnsi="Times New Roman" w:cs="Times New Roman"/>
          <w:bCs/>
          <w:sz w:val="24"/>
          <w:szCs w:val="24"/>
          <w:lang w:val="sq-AL"/>
        </w:rPr>
        <w:t>ë</w:t>
      </w:r>
      <w:r w:rsidRPr="00382561">
        <w:rPr>
          <w:rFonts w:ascii="Times New Roman" w:eastAsia="Calibri" w:hAnsi="Times New Roman" w:cs="Times New Roman"/>
          <w:sz w:val="24"/>
          <w:szCs w:val="24"/>
          <w:lang w:val="sq-AL"/>
        </w:rPr>
        <w:t xml:space="preserve">r </w:t>
      </w:r>
      <w:r w:rsidRPr="00382561">
        <w:rPr>
          <w:rFonts w:ascii="Times New Roman" w:eastAsia="Calibri" w:hAnsi="Times New Roman" w:cs="Times New Roman"/>
          <w:i/>
          <w:iCs/>
          <w:sz w:val="24"/>
          <w:szCs w:val="24"/>
          <w:lang w:val="sq-AL"/>
        </w:rPr>
        <w:t>Fraxinus ornus L</w:t>
      </w:r>
      <w:r w:rsidRPr="00382561">
        <w:rPr>
          <w:rFonts w:ascii="Times New Roman" w:eastAsia="Calibri" w:hAnsi="Times New Roman" w:cs="Times New Roman"/>
          <w:sz w:val="24"/>
          <w:szCs w:val="24"/>
          <w:lang w:val="sq-AL"/>
        </w:rPr>
        <w:t>, shkoz</w:t>
      </w:r>
      <w:r w:rsidRPr="00382561">
        <w:rPr>
          <w:rFonts w:ascii="Times New Roman" w:eastAsia="Calibri" w:hAnsi="Times New Roman" w:cs="Times New Roman"/>
          <w:bCs/>
          <w:sz w:val="24"/>
          <w:szCs w:val="24"/>
          <w:lang w:val="sq-AL"/>
        </w:rPr>
        <w:t>ë</w:t>
      </w:r>
      <w:r w:rsidRPr="00382561">
        <w:rPr>
          <w:rFonts w:ascii="Times New Roman" w:eastAsia="Calibri" w:hAnsi="Times New Roman" w:cs="Times New Roman"/>
          <w:sz w:val="24"/>
          <w:szCs w:val="24"/>
          <w:lang w:val="sq-AL"/>
        </w:rPr>
        <w:t xml:space="preserve"> e bardh</w:t>
      </w:r>
      <w:r w:rsidRPr="00382561">
        <w:rPr>
          <w:rFonts w:ascii="Times New Roman" w:eastAsia="Calibri" w:hAnsi="Times New Roman" w:cs="Times New Roman"/>
          <w:bCs/>
          <w:sz w:val="24"/>
          <w:szCs w:val="24"/>
          <w:lang w:val="sq-AL"/>
        </w:rPr>
        <w:t>ë</w:t>
      </w:r>
      <w:r w:rsidRPr="00382561">
        <w:rPr>
          <w:rFonts w:ascii="Times New Roman" w:eastAsia="Calibri" w:hAnsi="Times New Roman" w:cs="Times New Roman"/>
          <w:sz w:val="24"/>
          <w:szCs w:val="24"/>
          <w:lang w:val="sq-AL"/>
        </w:rPr>
        <w:t xml:space="preserve"> </w:t>
      </w:r>
      <w:r w:rsidRPr="00382561">
        <w:rPr>
          <w:rFonts w:ascii="Times New Roman" w:eastAsia="Calibri" w:hAnsi="Times New Roman" w:cs="Times New Roman"/>
          <w:i/>
          <w:iCs/>
          <w:sz w:val="24"/>
          <w:szCs w:val="24"/>
          <w:lang w:val="sq-AL"/>
        </w:rPr>
        <w:t>Carpinus betulus L</w:t>
      </w:r>
      <w:r w:rsidRPr="00382561">
        <w:rPr>
          <w:rFonts w:ascii="Times New Roman" w:eastAsia="Calibri" w:hAnsi="Times New Roman" w:cs="Times New Roman"/>
          <w:sz w:val="24"/>
          <w:szCs w:val="24"/>
          <w:lang w:val="sq-AL"/>
        </w:rPr>
        <w:t>, than</w:t>
      </w:r>
      <w:r w:rsidRPr="00382561">
        <w:rPr>
          <w:rFonts w:ascii="Times New Roman" w:eastAsia="Calibri" w:hAnsi="Times New Roman" w:cs="Times New Roman"/>
          <w:bCs/>
          <w:sz w:val="24"/>
          <w:szCs w:val="24"/>
          <w:lang w:val="sq-AL"/>
        </w:rPr>
        <w:t>ë</w:t>
      </w:r>
      <w:r w:rsidRPr="00382561">
        <w:rPr>
          <w:rFonts w:ascii="Times New Roman" w:eastAsia="Calibri" w:hAnsi="Times New Roman" w:cs="Times New Roman"/>
          <w:sz w:val="24"/>
          <w:szCs w:val="24"/>
          <w:lang w:val="sq-AL"/>
        </w:rPr>
        <w:t xml:space="preserve"> </w:t>
      </w:r>
      <w:r w:rsidRPr="00382561">
        <w:rPr>
          <w:rFonts w:ascii="Times New Roman" w:eastAsia="Calibri" w:hAnsi="Times New Roman" w:cs="Times New Roman"/>
          <w:i/>
          <w:iCs/>
          <w:sz w:val="24"/>
          <w:szCs w:val="24"/>
          <w:lang w:val="sq-AL"/>
        </w:rPr>
        <w:t>Cornus mas L</w:t>
      </w:r>
      <w:r w:rsidRPr="00382561">
        <w:rPr>
          <w:rFonts w:ascii="Times New Roman" w:eastAsia="Calibri" w:hAnsi="Times New Roman" w:cs="Times New Roman"/>
          <w:sz w:val="24"/>
          <w:szCs w:val="24"/>
          <w:lang w:val="sq-AL"/>
        </w:rPr>
        <w:t>. Bimësia barishtore që gjendet në sipërfaqen e monitorimit është e rrallë dhe janë kryesisht të familjes leguminose.</w:t>
      </w:r>
    </w:p>
    <w:p w:rsidR="00382561" w:rsidRPr="00382561" w:rsidRDefault="00382561" w:rsidP="00382561">
      <w:pPr>
        <w:spacing w:after="0" w:line="240" w:lineRule="auto"/>
        <w:jc w:val="both"/>
        <w:rPr>
          <w:rFonts w:ascii="Times New Roman" w:eastAsia="Times New Roman" w:hAnsi="Times New Roman" w:cs="Times New Roman"/>
          <w:b/>
          <w:sz w:val="24"/>
          <w:szCs w:val="24"/>
          <w:lang w:val="sq-AL" w:eastAsia="sq-AL"/>
        </w:rPr>
      </w:pPr>
      <w:r w:rsidRPr="00382561">
        <w:rPr>
          <w:rFonts w:ascii="Times New Roman" w:eastAsia="Times New Roman" w:hAnsi="Times New Roman" w:cs="Times New Roman"/>
          <w:b/>
          <w:sz w:val="24"/>
          <w:szCs w:val="24"/>
          <w:lang w:val="sq-AL" w:eastAsia="sq-AL"/>
        </w:rPr>
        <w:t>Valanidhi</w:t>
      </w:r>
      <w:r w:rsidRPr="00382561">
        <w:rPr>
          <w:rFonts w:ascii="Times New Roman" w:eastAsia="Times New Roman" w:hAnsi="Times New Roman" w:cs="Times New Roman"/>
          <w:i/>
          <w:iCs/>
          <w:sz w:val="24"/>
          <w:szCs w:val="24"/>
          <w:lang w:val="sq-AL" w:eastAsia="sq-AL"/>
        </w:rPr>
        <w:t xml:space="preserve"> (</w:t>
      </w:r>
      <w:r w:rsidRPr="00382561">
        <w:rPr>
          <w:rFonts w:ascii="Times New Roman" w:eastAsia="Times New Roman" w:hAnsi="Times New Roman" w:cs="Times New Roman"/>
          <w:b/>
          <w:i/>
          <w:iCs/>
          <w:sz w:val="24"/>
          <w:szCs w:val="24"/>
          <w:lang w:val="sq-AL" w:eastAsia="sq-AL"/>
        </w:rPr>
        <w:t>Quercus aegilops L)</w:t>
      </w:r>
      <w:r w:rsidRPr="00382561">
        <w:rPr>
          <w:rFonts w:ascii="Times New Roman" w:eastAsia="Times New Roman" w:hAnsi="Times New Roman" w:cs="Times New Roman"/>
          <w:b/>
          <w:sz w:val="24"/>
          <w:szCs w:val="24"/>
          <w:lang w:val="sq-AL" w:eastAsia="sq-AL"/>
        </w:rPr>
        <w:t xml:space="preserve"> </w:t>
      </w:r>
    </w:p>
    <w:p w:rsidR="00382561" w:rsidRPr="00382561" w:rsidRDefault="00382561" w:rsidP="00382561">
      <w:pPr>
        <w:spacing w:after="0" w:line="240" w:lineRule="auto"/>
        <w:jc w:val="both"/>
        <w:rPr>
          <w:rFonts w:ascii="Times New Roman" w:eastAsia="Times New Roman" w:hAnsi="Times New Roman" w:cs="Times New Roman"/>
          <w:sz w:val="24"/>
          <w:szCs w:val="24"/>
          <w:lang w:eastAsia="sq-AL"/>
        </w:rPr>
      </w:pPr>
      <w:r w:rsidRPr="00382561">
        <w:rPr>
          <w:rFonts w:ascii="Times New Roman" w:eastAsia="Times New Roman" w:hAnsi="Times New Roman" w:cs="Times New Roman"/>
          <w:sz w:val="24"/>
          <w:szCs w:val="24"/>
          <w:lang w:val="sq-AL" w:eastAsia="sq-AL"/>
        </w:rPr>
        <w:t xml:space="preserve">Për këtë lloj janë marrë të dhënat në sipërfaqet e monitorimit të ngritura në bashkinë Himarë. Sipërfaqja e parë është marrë në Ekonominë pyjore Borsh, në vendin e quajtur ‘’Kthesat e Borshit’’ Gjendja vegjetative është shumë e mire, gjithashtu ka nje gjendje të mirë fitosanitare. </w:t>
      </w:r>
      <w:r w:rsidRPr="00382561">
        <w:rPr>
          <w:rFonts w:ascii="Times New Roman" w:eastAsia="Times New Roman" w:hAnsi="Times New Roman" w:cs="Times New Roman"/>
          <w:sz w:val="24"/>
          <w:szCs w:val="24"/>
          <w:lang w:eastAsia="sq-AL"/>
        </w:rPr>
        <w:t xml:space="preserve">Valanidhi bashkëshoqërohet nga llojet prrall, shpatore dhe sherebelë e egër. Sipërfaqja është shkëmbore dhe shkëmbi amnor gëlqeror. </w:t>
      </w:r>
    </w:p>
    <w:p w:rsidR="00382561" w:rsidRPr="00382561" w:rsidRDefault="00382561" w:rsidP="00382561">
      <w:pPr>
        <w:spacing w:after="0" w:line="240" w:lineRule="auto"/>
        <w:jc w:val="both"/>
        <w:rPr>
          <w:rFonts w:ascii="Times New Roman" w:eastAsia="Times New Roman" w:hAnsi="Times New Roman" w:cs="Times New Roman"/>
          <w:sz w:val="24"/>
          <w:szCs w:val="24"/>
          <w:lang w:eastAsia="sq-AL"/>
        </w:rPr>
      </w:pPr>
      <w:r w:rsidRPr="00382561">
        <w:rPr>
          <w:rFonts w:ascii="Times New Roman" w:eastAsia="Times New Roman" w:hAnsi="Times New Roman" w:cs="Times New Roman"/>
          <w:sz w:val="24"/>
          <w:szCs w:val="24"/>
          <w:lang w:eastAsia="sq-AL"/>
        </w:rPr>
        <w:t>Gjithashtu është kryer dhe monitorimi i llojit valanidh në sipërfaqen tjetër të monitorimit të ngritur në vendin e quajtur kthesat e Pilurit. Drurët kanë një diametër mesatar 45 cm dhe lartësi prej rreth 10 m. Shkëmbi amnor është gëlqeror. Vegjetacioni në këtë zonë është në kushte eksteme për shkak të mungesës së reshjeve, sidomos gjatë periudhës së verës ku defiçiti ujor përbën një faktor kufizues për zhvillimin e bimësisë në këtë zonë. Bimësia barishtore mbulon 100% të sipërfaqes dhe është e shumëllojshme. Toka është gurishtore dhe me përmbajtje të konsiderueshme gurësh në sipërfaqe.</w:t>
      </w:r>
    </w:p>
    <w:p w:rsidR="00382561" w:rsidRPr="00382561" w:rsidRDefault="00382561" w:rsidP="00382561">
      <w:pPr>
        <w:shd w:val="clear" w:color="auto" w:fill="FFFFFF"/>
        <w:spacing w:after="0" w:line="240" w:lineRule="auto"/>
        <w:jc w:val="both"/>
        <w:rPr>
          <w:rFonts w:ascii="Times New Roman" w:eastAsia="Calibri" w:hAnsi="Times New Roman" w:cs="Times New Roman"/>
          <w:b/>
          <w:sz w:val="24"/>
          <w:szCs w:val="24"/>
          <w:lang w:val="it-IT"/>
        </w:rPr>
      </w:pPr>
      <w:r w:rsidRPr="00382561">
        <w:rPr>
          <w:rFonts w:ascii="Times New Roman" w:eastAsia="Calibri" w:hAnsi="Times New Roman" w:cs="Times New Roman"/>
          <w:b/>
          <w:sz w:val="24"/>
          <w:szCs w:val="24"/>
          <w:lang w:val="it-IT"/>
        </w:rPr>
        <w:t>Caraca e Tournefortit (</w:t>
      </w:r>
      <w:r w:rsidRPr="00382561">
        <w:rPr>
          <w:rFonts w:ascii="Times New Roman" w:eastAsia="Calibri" w:hAnsi="Times New Roman" w:cs="Times New Roman"/>
          <w:b/>
          <w:i/>
          <w:sz w:val="24"/>
          <w:szCs w:val="24"/>
          <w:lang w:val="it-IT"/>
        </w:rPr>
        <w:t>Celtis Tourneforti)</w:t>
      </w:r>
      <w:r w:rsidRPr="00382561">
        <w:rPr>
          <w:rFonts w:ascii="Times New Roman" w:eastAsia="Calibri" w:hAnsi="Times New Roman" w:cs="Times New Roman"/>
          <w:b/>
          <w:sz w:val="24"/>
          <w:szCs w:val="24"/>
          <w:lang w:val="it-IT"/>
        </w:rPr>
        <w:t xml:space="preserve"> </w:t>
      </w:r>
    </w:p>
    <w:p w:rsidR="00382561" w:rsidRPr="00382561" w:rsidRDefault="00382561" w:rsidP="00382561">
      <w:pPr>
        <w:spacing w:after="0" w:line="240" w:lineRule="auto"/>
        <w:jc w:val="both"/>
        <w:rPr>
          <w:rFonts w:ascii="Times New Roman" w:eastAsia="Calibri" w:hAnsi="Times New Roman" w:cs="Times New Roman"/>
          <w:sz w:val="24"/>
          <w:szCs w:val="24"/>
          <w:lang w:val="it-IT"/>
        </w:rPr>
      </w:pPr>
      <w:r w:rsidRPr="00382561">
        <w:rPr>
          <w:rFonts w:ascii="Times New Roman" w:eastAsia="Calibri" w:hAnsi="Times New Roman" w:cs="Times New Roman"/>
          <w:sz w:val="24"/>
          <w:szCs w:val="24"/>
          <w:lang w:val="sq-AL"/>
        </w:rPr>
        <w:t>Monitorimi gjatë këtij viti për këtë lloj</w:t>
      </w:r>
      <w:r w:rsidRPr="00382561">
        <w:rPr>
          <w:rFonts w:ascii="Times New Roman" w:eastAsia="Calibri" w:hAnsi="Times New Roman" w:cs="Times New Roman"/>
          <w:sz w:val="24"/>
          <w:szCs w:val="24"/>
          <w:lang w:val="it-IT"/>
        </w:rPr>
        <w:t>, është kryer në pikën e monitorimit në bashkinë Pustec, në afërsi të fshatit Gollomboç, e cila ndodhet në buzë të rrugës automobilistike. Ky lloj ndodhet vetëm në këtë territor të parkut dhe numri i drurëve është shumë i vogël. Sipërfaqja ka një lartësi 870 metër mbi nivelin e detit dhe kundrejtim Juglindor. Sipërfaqja ndodhet brenda zonës strikt të mbrojtur. Llojet e tjera pyjore me të cilat shoqërojnë caracën e Kaukazit janë; frashëri, fiku i egër, bulgeri, dëllinja etj. Bimësia barishtore ështe e familjes graminace dhe leguminose. Gjendja vegjetative e këtij lloji duket e mirë.</w:t>
      </w:r>
    </w:p>
    <w:p w:rsidR="00382561" w:rsidRPr="00382561" w:rsidRDefault="00382561" w:rsidP="00382561">
      <w:pPr>
        <w:spacing w:after="0" w:line="240" w:lineRule="auto"/>
        <w:jc w:val="both"/>
        <w:rPr>
          <w:rFonts w:ascii="Times New Roman" w:eastAsia="Calibri" w:hAnsi="Times New Roman" w:cs="Times New Roman"/>
          <w:b/>
          <w:i/>
          <w:sz w:val="24"/>
          <w:szCs w:val="24"/>
          <w:lang w:val="it-IT"/>
        </w:rPr>
      </w:pPr>
      <w:r w:rsidRPr="00382561">
        <w:rPr>
          <w:rFonts w:ascii="Times New Roman" w:eastAsia="Calibri" w:hAnsi="Times New Roman" w:cs="Times New Roman"/>
          <w:b/>
          <w:sz w:val="24"/>
          <w:szCs w:val="24"/>
          <w:lang w:val="it-IT"/>
        </w:rPr>
        <w:t xml:space="preserve">Tisi </w:t>
      </w:r>
      <w:r w:rsidRPr="00382561">
        <w:rPr>
          <w:rFonts w:ascii="Times New Roman" w:eastAsia="Calibri" w:hAnsi="Times New Roman" w:cs="Times New Roman"/>
          <w:b/>
          <w:i/>
          <w:sz w:val="24"/>
          <w:szCs w:val="24"/>
          <w:lang w:val="it-IT"/>
        </w:rPr>
        <w:t>(Taxus baccata Tisi)</w:t>
      </w:r>
    </w:p>
    <w:p w:rsidR="00382561" w:rsidRPr="00382561" w:rsidRDefault="00382561" w:rsidP="00382561">
      <w:pPr>
        <w:spacing w:after="0" w:line="240" w:lineRule="auto"/>
        <w:jc w:val="both"/>
        <w:rPr>
          <w:rFonts w:ascii="Times New Roman" w:eastAsia="Calibri" w:hAnsi="Times New Roman" w:cs="Times New Roman"/>
          <w:sz w:val="24"/>
          <w:szCs w:val="24"/>
          <w:lang w:val="it-IT"/>
        </w:rPr>
      </w:pPr>
      <w:r w:rsidRPr="00382561">
        <w:rPr>
          <w:rFonts w:ascii="Times New Roman" w:eastAsia="Calibri" w:hAnsi="Times New Roman" w:cs="Times New Roman"/>
          <w:sz w:val="24"/>
          <w:szCs w:val="24"/>
          <w:lang w:val="it-IT"/>
        </w:rPr>
        <w:t xml:space="preserve">Monitorimi për këtë lloj është bërë në individët që ndodhen në rrethin e Dibrës në Zall-Dardhë. </w:t>
      </w:r>
    </w:p>
    <w:p w:rsidR="00382561" w:rsidRPr="00382561" w:rsidRDefault="00382561" w:rsidP="00382561">
      <w:pPr>
        <w:spacing w:after="0" w:line="240" w:lineRule="auto"/>
        <w:jc w:val="both"/>
        <w:rPr>
          <w:rFonts w:ascii="Times New Roman" w:eastAsia="Calibri" w:hAnsi="Times New Roman" w:cs="Times New Roman"/>
          <w:sz w:val="24"/>
          <w:szCs w:val="24"/>
        </w:rPr>
      </w:pPr>
      <w:r w:rsidRPr="00382561">
        <w:rPr>
          <w:rFonts w:ascii="Times New Roman" w:eastAsia="Calibri" w:hAnsi="Times New Roman" w:cs="Times New Roman"/>
          <w:sz w:val="24"/>
          <w:szCs w:val="24"/>
          <w:lang w:val="it-IT"/>
        </w:rPr>
        <w:t xml:space="preserve">Gjithashtu është kryer edhe monitorimi në parkun kombëtar ‘’Shebenik- Jabllanicë të bashkisë Librazhd, në Ekonominë pyjore ‘’Sterblevë’’, tek vendi i quajtur ‘’Liqeni i Dragoit’’. </w:t>
      </w:r>
      <w:r w:rsidRPr="00382561">
        <w:rPr>
          <w:rFonts w:ascii="Times New Roman" w:eastAsia="Calibri" w:hAnsi="Times New Roman" w:cs="Times New Roman"/>
          <w:sz w:val="24"/>
          <w:szCs w:val="24"/>
        </w:rPr>
        <w:t>Druri i Tisit gjendet mbi një tokë shkëmbore me kundrejtim Juglindor. Lloji Tis bashkëshoqërohet nga lloji Ah.</w:t>
      </w:r>
    </w:p>
    <w:p w:rsidR="00382561" w:rsidRPr="00382561" w:rsidRDefault="00382561" w:rsidP="00382561">
      <w:pPr>
        <w:spacing w:after="0" w:line="240" w:lineRule="auto"/>
        <w:jc w:val="both"/>
        <w:rPr>
          <w:rFonts w:ascii="Times New Roman" w:eastAsia="Calibri" w:hAnsi="Times New Roman" w:cs="Times New Roman"/>
          <w:b/>
          <w:i/>
          <w:iCs/>
          <w:sz w:val="24"/>
          <w:szCs w:val="24"/>
          <w:lang w:val="it-IT"/>
        </w:rPr>
      </w:pPr>
      <w:r w:rsidRPr="00382561">
        <w:rPr>
          <w:rFonts w:ascii="Times New Roman" w:eastAsia="Calibri" w:hAnsi="Times New Roman" w:cs="Times New Roman"/>
          <w:b/>
          <w:iCs/>
          <w:sz w:val="24"/>
          <w:szCs w:val="24"/>
          <w:lang w:val="it-IT"/>
        </w:rPr>
        <w:t>Venja (</w:t>
      </w:r>
      <w:r w:rsidRPr="00382561">
        <w:rPr>
          <w:rFonts w:ascii="Times New Roman" w:eastAsia="Calibri" w:hAnsi="Times New Roman" w:cs="Times New Roman"/>
          <w:b/>
          <w:i/>
          <w:iCs/>
          <w:sz w:val="24"/>
          <w:szCs w:val="24"/>
          <w:lang w:val="it-IT"/>
        </w:rPr>
        <w:t>Juniperus exelsa)</w:t>
      </w:r>
    </w:p>
    <w:p w:rsidR="00382561" w:rsidRPr="00382561" w:rsidRDefault="00382561" w:rsidP="00382561">
      <w:pPr>
        <w:spacing w:after="0" w:line="240" w:lineRule="auto"/>
        <w:jc w:val="both"/>
        <w:rPr>
          <w:rFonts w:ascii="Times New Roman" w:eastAsia="Calibri" w:hAnsi="Times New Roman" w:cs="Times New Roman"/>
          <w:iCs/>
          <w:sz w:val="24"/>
          <w:szCs w:val="24"/>
          <w:lang w:val="it-IT"/>
        </w:rPr>
      </w:pPr>
      <w:r w:rsidRPr="00382561">
        <w:rPr>
          <w:rFonts w:ascii="Times New Roman" w:eastAsia="Calibri" w:hAnsi="Times New Roman" w:cs="Times New Roman"/>
          <w:iCs/>
          <w:sz w:val="24"/>
          <w:szCs w:val="24"/>
          <w:lang w:val="it-IT"/>
        </w:rPr>
        <w:t>Për Venjën (</w:t>
      </w:r>
      <w:r w:rsidRPr="00382561">
        <w:rPr>
          <w:rFonts w:ascii="Times New Roman" w:eastAsia="Calibri" w:hAnsi="Times New Roman" w:cs="Times New Roman"/>
          <w:i/>
          <w:iCs/>
          <w:sz w:val="24"/>
          <w:szCs w:val="24"/>
          <w:lang w:val="it-IT"/>
        </w:rPr>
        <w:t>Juniperus Exelsa</w:t>
      </w:r>
      <w:r w:rsidRPr="00382561">
        <w:rPr>
          <w:rFonts w:ascii="Times New Roman" w:eastAsia="Calibri" w:hAnsi="Times New Roman" w:cs="Times New Roman"/>
          <w:iCs/>
          <w:sz w:val="24"/>
          <w:szCs w:val="24"/>
          <w:lang w:val="it-IT"/>
        </w:rPr>
        <w:t xml:space="preserve">), të dhënat mbi gjendjen vegjetative dhe fitosanitare të këtij lloji janë marrë në dy sipërfaqe monitorimi në bashkinë Libohovë. Sipërfaqja e parë është marrë në  Ekonominë kullosore ‘’Zagori’’, parcelat  14, 16. Venja takohet në një lartësi 1050 metër mbi nivelin e detit. Drurët janë të rrallë të shpërndarë, në gjendjë mesatare vegjetative dhe ndonjë dru është i prekur nga tharja e majave. Bimësia barishtore është e shumëllojshme me një shkallë mbulimi 100%. </w:t>
      </w:r>
    </w:p>
    <w:p w:rsidR="00382561" w:rsidRPr="00382561" w:rsidRDefault="00382561" w:rsidP="00382561">
      <w:pPr>
        <w:spacing w:after="0" w:line="240" w:lineRule="auto"/>
        <w:jc w:val="both"/>
        <w:rPr>
          <w:rFonts w:ascii="Times New Roman" w:eastAsia="Calibri" w:hAnsi="Times New Roman" w:cs="Times New Roman"/>
          <w:iCs/>
          <w:sz w:val="24"/>
          <w:szCs w:val="24"/>
          <w:lang w:val="it-IT"/>
        </w:rPr>
      </w:pPr>
      <w:r w:rsidRPr="00382561">
        <w:rPr>
          <w:rFonts w:ascii="Times New Roman" w:eastAsia="Calibri" w:hAnsi="Times New Roman" w:cs="Times New Roman"/>
          <w:iCs/>
          <w:sz w:val="24"/>
          <w:szCs w:val="24"/>
          <w:lang w:val="it-IT"/>
        </w:rPr>
        <w:t>Në Ekonominë pyjore ‘’Sheper’’, venja formon grumbuj në një lartësi mesatare 800-900 metër mbi nivelin e detit. Lloji paraqitet në gjendje të mirë vegjetative, edhe pse toka është gurishtore dhe e cekët. Si bimësi barishtore takohen graminacet, leguminoset dhe sherebela.</w:t>
      </w:r>
    </w:p>
    <w:p w:rsidR="00382561" w:rsidRPr="00382561" w:rsidRDefault="00E45600" w:rsidP="00382561">
      <w:pPr>
        <w:spacing w:after="0" w:line="240" w:lineRule="auto"/>
        <w:jc w:val="both"/>
        <w:rPr>
          <w:rFonts w:ascii="Times New Roman" w:eastAsia="Calibri" w:hAnsi="Times New Roman" w:cs="Times New Roman"/>
          <w:b/>
          <w:i/>
          <w:iCs/>
          <w:sz w:val="24"/>
          <w:szCs w:val="24"/>
          <w:lang w:val="it-IT"/>
        </w:rPr>
      </w:pPr>
      <w:r>
        <w:rPr>
          <w:rFonts w:ascii="Times New Roman" w:eastAsia="Calibri" w:hAnsi="Times New Roman" w:cs="Times New Roman"/>
          <w:b/>
          <w:iCs/>
          <w:sz w:val="24"/>
          <w:szCs w:val="24"/>
          <w:lang w:val="it-IT"/>
        </w:rPr>
        <w:t>Gë</w:t>
      </w:r>
      <w:r w:rsidR="00382561" w:rsidRPr="00382561">
        <w:rPr>
          <w:rFonts w:ascii="Times New Roman" w:eastAsia="Calibri" w:hAnsi="Times New Roman" w:cs="Times New Roman"/>
          <w:b/>
          <w:iCs/>
          <w:sz w:val="24"/>
          <w:szCs w:val="24"/>
          <w:lang w:val="it-IT"/>
        </w:rPr>
        <w:t xml:space="preserve">shtenja e kalit </w:t>
      </w:r>
      <w:r w:rsidR="00382561" w:rsidRPr="00382561">
        <w:rPr>
          <w:rFonts w:ascii="Times New Roman" w:eastAsia="Calibri" w:hAnsi="Times New Roman" w:cs="Times New Roman"/>
          <w:b/>
          <w:i/>
          <w:iCs/>
          <w:sz w:val="24"/>
          <w:szCs w:val="24"/>
          <w:lang w:val="it-IT"/>
        </w:rPr>
        <w:t>(Aesculus hippocastanum)</w:t>
      </w:r>
    </w:p>
    <w:p w:rsidR="00E45600" w:rsidRDefault="00382561" w:rsidP="00382561">
      <w:pPr>
        <w:spacing w:after="0" w:line="240" w:lineRule="auto"/>
        <w:jc w:val="both"/>
        <w:rPr>
          <w:rFonts w:ascii="Times New Roman" w:eastAsia="Calibri" w:hAnsi="Times New Roman" w:cs="Times New Roman"/>
          <w:sz w:val="24"/>
          <w:szCs w:val="24"/>
          <w:lang w:val="it-IT"/>
        </w:rPr>
      </w:pPr>
      <w:r w:rsidRPr="00382561">
        <w:rPr>
          <w:rFonts w:ascii="Times New Roman" w:eastAsia="Calibri" w:hAnsi="Times New Roman" w:cs="Times New Roman"/>
          <w:sz w:val="24"/>
          <w:szCs w:val="24"/>
          <w:lang w:val="it-IT"/>
        </w:rPr>
        <w:t xml:space="preserve">Lloji gështenjë e egër është takuar në bashkinë Prrenjas në Ekonominë pyjore Stravaj. </w:t>
      </w:r>
    </w:p>
    <w:p w:rsidR="00382561" w:rsidRPr="00382561" w:rsidRDefault="00382561" w:rsidP="00382561">
      <w:pPr>
        <w:spacing w:after="0" w:line="240" w:lineRule="auto"/>
        <w:jc w:val="both"/>
        <w:rPr>
          <w:rFonts w:ascii="Times New Roman" w:eastAsia="Calibri" w:hAnsi="Times New Roman" w:cs="Times New Roman"/>
          <w:sz w:val="24"/>
          <w:szCs w:val="24"/>
          <w:lang w:val="it-IT"/>
        </w:rPr>
      </w:pPr>
      <w:r w:rsidRPr="00382561">
        <w:rPr>
          <w:rFonts w:ascii="Times New Roman" w:eastAsia="Calibri" w:hAnsi="Times New Roman" w:cs="Times New Roman"/>
          <w:sz w:val="24"/>
          <w:szCs w:val="24"/>
          <w:lang w:val="it-IT"/>
        </w:rPr>
        <w:lastRenderedPageBreak/>
        <w:t>Këtu gjenden disa ekzemplarë drurë. Lartësia mbi nivelin e detit në pikën ku janë marrë koordinatat gjeografike është 840 metër. Llojet pyjore të tjera të cilat bashkëshoqërojnë gështenjën janë; ahu, frashëri, shkoza, lajthia, ndërsa si bimë barishtore kryesojnë llojet e familjes graminace, fiery etj.</w:t>
      </w:r>
    </w:p>
    <w:p w:rsidR="00382561" w:rsidRPr="00382561" w:rsidRDefault="00382561" w:rsidP="00382561">
      <w:pPr>
        <w:spacing w:after="0" w:line="240" w:lineRule="auto"/>
        <w:jc w:val="both"/>
        <w:rPr>
          <w:rFonts w:ascii="Times New Roman" w:eastAsia="Calibri" w:hAnsi="Times New Roman" w:cs="Times New Roman"/>
          <w:iCs/>
          <w:sz w:val="24"/>
          <w:szCs w:val="24"/>
          <w:lang w:val="it-IT"/>
        </w:rPr>
      </w:pPr>
      <w:r w:rsidRPr="00382561">
        <w:rPr>
          <w:rFonts w:ascii="Times New Roman" w:eastAsia="Calibri" w:hAnsi="Times New Roman" w:cs="Times New Roman"/>
          <w:iCs/>
          <w:sz w:val="24"/>
          <w:szCs w:val="24"/>
          <w:lang w:val="it-IT"/>
        </w:rPr>
        <w:t xml:space="preserve">Lloji gështenjë e kalit gjithashtu gjendet në bashkinë Tepelenë, Ekonominë pyjore ‘’Kurvelesh Progonat’’, në lartësinë 950 metër mbi nivelin e detit. Drurët janë të rrallë dhe të shpërndarë duke formuar grup drurësh. Sipërfaqja ku takohet lloji gështenjë e kalit ka kundrejtim verior, me një pjerrësi 30%. Drurët janë në gjendje të mirë vegjetative dhe fitosanitare. </w:t>
      </w:r>
    </w:p>
    <w:p w:rsidR="00382561" w:rsidRPr="00382561" w:rsidRDefault="00E45600" w:rsidP="00382561">
      <w:pPr>
        <w:spacing w:after="0" w:line="240" w:lineRule="auto"/>
        <w:jc w:val="both"/>
        <w:rPr>
          <w:rFonts w:ascii="Times New Roman" w:eastAsia="Calibri" w:hAnsi="Times New Roman" w:cs="Times New Roman"/>
          <w:b/>
          <w:i/>
          <w:iCs/>
          <w:sz w:val="24"/>
          <w:szCs w:val="24"/>
          <w:lang w:val="it-IT"/>
        </w:rPr>
      </w:pPr>
      <w:r>
        <w:rPr>
          <w:rFonts w:ascii="Times New Roman" w:eastAsia="Calibri" w:hAnsi="Times New Roman" w:cs="Times New Roman"/>
          <w:b/>
          <w:iCs/>
          <w:sz w:val="24"/>
          <w:szCs w:val="24"/>
          <w:lang w:val="it-IT"/>
        </w:rPr>
        <w:t>Më</w:t>
      </w:r>
      <w:r w:rsidR="00382561" w:rsidRPr="00382561">
        <w:rPr>
          <w:rFonts w:ascii="Times New Roman" w:eastAsia="Calibri" w:hAnsi="Times New Roman" w:cs="Times New Roman"/>
          <w:b/>
          <w:iCs/>
          <w:sz w:val="24"/>
          <w:szCs w:val="24"/>
          <w:lang w:val="it-IT"/>
        </w:rPr>
        <w:t>shtekna (</w:t>
      </w:r>
      <w:r w:rsidR="00382561" w:rsidRPr="00382561">
        <w:rPr>
          <w:rFonts w:ascii="Times New Roman" w:eastAsia="Calibri" w:hAnsi="Times New Roman" w:cs="Times New Roman"/>
          <w:b/>
          <w:i/>
          <w:iCs/>
          <w:sz w:val="24"/>
          <w:szCs w:val="24"/>
          <w:lang w:val="it-IT"/>
        </w:rPr>
        <w:t>Betula Pendula)</w:t>
      </w:r>
    </w:p>
    <w:p w:rsidR="00382561" w:rsidRPr="00382561" w:rsidRDefault="00382561" w:rsidP="00382561">
      <w:pPr>
        <w:spacing w:after="0" w:line="240" w:lineRule="auto"/>
        <w:jc w:val="both"/>
        <w:rPr>
          <w:rFonts w:ascii="Times New Roman" w:eastAsia="Calibri" w:hAnsi="Times New Roman" w:cs="Times New Roman"/>
          <w:sz w:val="24"/>
          <w:szCs w:val="24"/>
          <w:lang w:val="it-IT"/>
        </w:rPr>
      </w:pPr>
      <w:r w:rsidRPr="00382561">
        <w:rPr>
          <w:rFonts w:ascii="Times New Roman" w:eastAsia="Calibri" w:hAnsi="Times New Roman" w:cs="Times New Roman"/>
          <w:iCs/>
          <w:sz w:val="24"/>
          <w:szCs w:val="24"/>
          <w:lang w:val="it-IT"/>
        </w:rPr>
        <w:t>Për këtë lloj janë ngritur sipërfaqet e përherëshme të monitorimit, sipërfaqe këto me madhësi 400m</w:t>
      </w:r>
      <w:r w:rsidRPr="00382561">
        <w:rPr>
          <w:rFonts w:ascii="Times New Roman" w:eastAsia="Calibri" w:hAnsi="Times New Roman" w:cs="Times New Roman"/>
          <w:iCs/>
          <w:sz w:val="24"/>
          <w:szCs w:val="24"/>
          <w:vertAlign w:val="superscript"/>
          <w:lang w:val="it-IT"/>
        </w:rPr>
        <w:t>2</w:t>
      </w:r>
      <w:r w:rsidRPr="00382561">
        <w:rPr>
          <w:rFonts w:ascii="Times New Roman" w:eastAsia="Calibri" w:hAnsi="Times New Roman" w:cs="Times New Roman"/>
          <w:iCs/>
          <w:sz w:val="24"/>
          <w:szCs w:val="24"/>
          <w:lang w:val="it-IT"/>
        </w:rPr>
        <w:t>. Lloji i mështeknës (</w:t>
      </w:r>
      <w:r w:rsidRPr="00382561">
        <w:rPr>
          <w:rFonts w:ascii="Times New Roman" w:eastAsia="Calibri" w:hAnsi="Times New Roman" w:cs="Times New Roman"/>
          <w:i/>
          <w:iCs/>
          <w:sz w:val="24"/>
          <w:szCs w:val="24"/>
          <w:lang w:val="it-IT"/>
        </w:rPr>
        <w:t>Betula pendula</w:t>
      </w:r>
      <w:r w:rsidRPr="00382561">
        <w:rPr>
          <w:rFonts w:ascii="Times New Roman" w:eastAsia="Calibri" w:hAnsi="Times New Roman" w:cs="Times New Roman"/>
          <w:iCs/>
          <w:sz w:val="24"/>
          <w:szCs w:val="24"/>
          <w:lang w:val="it-IT"/>
        </w:rPr>
        <w:t>) është takuar në Shishtavec të Kukësit. Në këtë vend grumbulli i mështeknës shtrihet në një lartësi 1420 metra mbi nivelin e detit. Lartësia mesatare e llojit është rreth 27 metër. Si nënpyll takohen llojet; trëndafil i egër, kumbull e egër, murriz etj, ndërsa bimët barishtore të takuara në sipërfaqen e monitorimit janë luleshtrydhja, manushaqja, agulicja. Gjendja vegjetative e llojit është shume e mirë, por takohen drurë të rrëzuar nga era.</w:t>
      </w:r>
      <w:r w:rsidRPr="00382561">
        <w:rPr>
          <w:rFonts w:ascii="Times New Roman" w:eastAsia="Calibri" w:hAnsi="Times New Roman" w:cs="Times New Roman"/>
          <w:sz w:val="24"/>
          <w:szCs w:val="24"/>
          <w:lang w:val="it-IT"/>
        </w:rPr>
        <w:t xml:space="preserve"> </w:t>
      </w:r>
    </w:p>
    <w:p w:rsidR="00382561" w:rsidRPr="00382561" w:rsidRDefault="00382561" w:rsidP="00382561">
      <w:pPr>
        <w:spacing w:after="0" w:line="240" w:lineRule="auto"/>
        <w:jc w:val="both"/>
        <w:rPr>
          <w:rFonts w:ascii="Times New Roman" w:eastAsia="Calibri" w:hAnsi="Times New Roman" w:cs="Times New Roman"/>
          <w:sz w:val="24"/>
          <w:szCs w:val="24"/>
          <w:lang w:val="it-IT"/>
        </w:rPr>
      </w:pPr>
      <w:r w:rsidRPr="00382561">
        <w:rPr>
          <w:rFonts w:ascii="Times New Roman" w:eastAsia="Calibri" w:hAnsi="Times New Roman" w:cs="Times New Roman"/>
          <w:sz w:val="24"/>
          <w:szCs w:val="24"/>
          <w:lang w:val="it-IT"/>
        </w:rPr>
        <w:t>Për llojin mështekën është marrë edhe një sipërfaqe monitorimi në Ekonominë pyjore ‘’Kastriot Sllove’’ të bashkisë Dibër. Grumbulli është në lartësinë 1160 metra mbi nivelin e detit. Sipërfaqja e monitorimit e ngritur me madhësi 400 m</w:t>
      </w:r>
      <w:r w:rsidRPr="00382561">
        <w:rPr>
          <w:rFonts w:ascii="Times New Roman" w:eastAsia="Calibri" w:hAnsi="Times New Roman" w:cs="Times New Roman"/>
          <w:sz w:val="24"/>
          <w:szCs w:val="24"/>
          <w:vertAlign w:val="superscript"/>
          <w:lang w:val="it-IT"/>
        </w:rPr>
        <w:t>2</w:t>
      </w:r>
      <w:r w:rsidRPr="00382561">
        <w:rPr>
          <w:rFonts w:ascii="Times New Roman" w:eastAsia="Calibri" w:hAnsi="Times New Roman" w:cs="Times New Roman"/>
          <w:sz w:val="24"/>
          <w:szCs w:val="24"/>
          <w:lang w:val="it-IT"/>
        </w:rPr>
        <w:t xml:space="preserve">, ka një pjerrësi 3%, kundrejtim Verilindor. Gjendja vegjetative e grumbullit është e mirë dhe drurët kanë një lartësi mesatare 24 metër. Nënpylli thuajse mungon përveç ndonjë dëllinje të rrallë ndërsa si bimë barishtore takohen graminacet dhe leguminoset. </w:t>
      </w:r>
    </w:p>
    <w:p w:rsidR="00382561" w:rsidRPr="00382561" w:rsidRDefault="00382561" w:rsidP="00382561">
      <w:pPr>
        <w:spacing w:after="0" w:line="240" w:lineRule="auto"/>
        <w:jc w:val="both"/>
        <w:rPr>
          <w:rFonts w:ascii="Times New Roman" w:eastAsia="Calibri" w:hAnsi="Times New Roman" w:cs="Times New Roman"/>
          <w:sz w:val="24"/>
          <w:szCs w:val="24"/>
          <w:lang w:val="it-IT"/>
        </w:rPr>
      </w:pPr>
      <w:r w:rsidRPr="00382561">
        <w:rPr>
          <w:rFonts w:ascii="Times New Roman" w:eastAsia="Calibri" w:hAnsi="Times New Roman" w:cs="Times New Roman"/>
          <w:sz w:val="24"/>
          <w:szCs w:val="24"/>
          <w:lang w:val="it-IT"/>
        </w:rPr>
        <w:t xml:space="preserve">Gjithashtu për llojin mështekën që gjendet e përzier me llojin hormoq, është marrë nja sipërfaqe në bashkinë Kukës, në Ekonominë pyjore ‘’Shishtavec Zapod’’, në vendin e quajtur tek NBU-ja. Grumbulli është në moshë të re, rreth 40 vjec, me kurorëdendësi 0.9. Përvec llojeve Mështekën dhe hormoq takohen dhe lloje të tilla si; ah, dëllinjë e zezë por me pjesëmarrje të vogël. </w:t>
      </w:r>
    </w:p>
    <w:p w:rsidR="00382561" w:rsidRPr="00382561" w:rsidRDefault="00382561" w:rsidP="00382561">
      <w:pPr>
        <w:spacing w:after="0" w:line="240" w:lineRule="auto"/>
        <w:jc w:val="both"/>
        <w:rPr>
          <w:rFonts w:ascii="Times New Roman" w:eastAsia="Calibri" w:hAnsi="Times New Roman" w:cs="Times New Roman"/>
          <w:sz w:val="24"/>
          <w:szCs w:val="24"/>
          <w:lang w:val="it-IT"/>
        </w:rPr>
      </w:pPr>
      <w:r w:rsidRPr="00382561">
        <w:rPr>
          <w:rFonts w:ascii="Times New Roman" w:eastAsia="Calibri" w:hAnsi="Times New Roman" w:cs="Times New Roman"/>
          <w:sz w:val="24"/>
          <w:szCs w:val="24"/>
          <w:lang w:val="it-IT"/>
        </w:rPr>
        <w:t xml:space="preserve">Duhet përmendur që lloji i mështeknës është në gjendje të mirë vegjetative si në grumbujt pyjor të formuar natyralisht që gjendet si lloj i vetëm, por edhe në grumbujt natyror ku gjendet e përzier me lloje të tjera drunore. </w:t>
      </w:r>
    </w:p>
    <w:p w:rsidR="003406C7" w:rsidRDefault="003406C7" w:rsidP="00382561">
      <w:pPr>
        <w:rPr>
          <w:rFonts w:ascii="Times New Roman" w:eastAsia="Calibri" w:hAnsi="Times New Roman" w:cs="Times New Roman"/>
          <w:iCs/>
          <w:sz w:val="24"/>
          <w:szCs w:val="24"/>
          <w:lang w:val="it-IT"/>
        </w:rPr>
      </w:pPr>
    </w:p>
    <w:p w:rsidR="00382561" w:rsidRPr="009A543B" w:rsidRDefault="009A543B" w:rsidP="00382561">
      <w:pPr>
        <w:rPr>
          <w:rFonts w:ascii="Times New Roman" w:eastAsia="Calibri" w:hAnsi="Times New Roman" w:cs="Times New Roman"/>
          <w:b/>
          <w:i/>
          <w:iCs/>
          <w:sz w:val="24"/>
          <w:szCs w:val="24"/>
          <w:lang w:val="it-IT"/>
        </w:rPr>
      </w:pPr>
      <w:r w:rsidRPr="009A543B">
        <w:rPr>
          <w:rFonts w:ascii="Times New Roman" w:eastAsia="Calibri" w:hAnsi="Times New Roman" w:cs="Times New Roman"/>
          <w:b/>
          <w:i/>
          <w:iCs/>
          <w:sz w:val="24"/>
          <w:szCs w:val="24"/>
          <w:lang w:val="it-IT"/>
        </w:rPr>
        <w:t>Bimët aromatik</w:t>
      </w:r>
      <w:r w:rsidR="00E45600">
        <w:rPr>
          <w:rFonts w:ascii="Times New Roman" w:eastAsia="Calibri" w:hAnsi="Times New Roman" w:cs="Times New Roman"/>
          <w:b/>
          <w:i/>
          <w:iCs/>
          <w:sz w:val="24"/>
          <w:szCs w:val="24"/>
          <w:lang w:val="it-IT"/>
        </w:rPr>
        <w:t>e</w:t>
      </w:r>
      <w:r w:rsidRPr="009A543B">
        <w:rPr>
          <w:rFonts w:ascii="Times New Roman" w:eastAsia="Calibri" w:hAnsi="Times New Roman" w:cs="Times New Roman"/>
          <w:b/>
          <w:i/>
          <w:iCs/>
          <w:sz w:val="24"/>
          <w:szCs w:val="24"/>
          <w:lang w:val="it-IT"/>
        </w:rPr>
        <w:t>-mjekësore</w:t>
      </w:r>
    </w:p>
    <w:p w:rsidR="009A543B" w:rsidRPr="009A543B" w:rsidRDefault="009A543B" w:rsidP="009A543B">
      <w:pPr>
        <w:spacing w:after="0" w:line="240" w:lineRule="auto"/>
        <w:jc w:val="both"/>
        <w:rPr>
          <w:rFonts w:ascii="Times New Roman" w:eastAsia="Calibri" w:hAnsi="Times New Roman" w:cs="Times New Roman"/>
          <w:b/>
        </w:rPr>
      </w:pPr>
      <w:r w:rsidRPr="009A543B">
        <w:rPr>
          <w:rFonts w:ascii="Times New Roman" w:eastAsia="Calibri" w:hAnsi="Times New Roman" w:cs="Times New Roman"/>
          <w:sz w:val="24"/>
          <w:szCs w:val="24"/>
        </w:rPr>
        <w:t>Bimët mjekësore dhe aromatike janë pjesë e atyre produkteve të biodiversitetit që mund të përdoren për përfitime ekonomike. Kohët e fundit, sektori i bimëve mjekësore po udhëhiqet nga kërkesat e tregut kombëtar dhe ndërkombëtar. Me qëllim që të mbështetet ruajtja dhe mbrojtja e biodiversitetit për bimët mjekësore dhe aromatike, ekziston nevoja për të rritur njohuritë e atyre që janë të përfshirë në mbrojtjen, administrimin por edhe atyre që bëjnë pjesë në sektorin privat e që janë pjesë e zinxhirit të produktit</w:t>
      </w:r>
      <w:r>
        <w:rPr>
          <w:rFonts w:ascii="Times New Roman" w:eastAsia="Calibri" w:hAnsi="Times New Roman" w:cs="Times New Roman"/>
          <w:sz w:val="24"/>
          <w:szCs w:val="24"/>
        </w:rPr>
        <w:t>.</w:t>
      </w:r>
      <w:r w:rsidRPr="009A543B">
        <w:rPr>
          <w:rFonts w:ascii="Times New Roman" w:eastAsia="Calibri" w:hAnsi="Times New Roman" w:cs="Times New Roman"/>
          <w:b/>
        </w:rPr>
        <w:t xml:space="preserve"> </w:t>
      </w:r>
    </w:p>
    <w:p w:rsidR="00F42629" w:rsidRPr="00F42629" w:rsidRDefault="009A543B" w:rsidP="00F42629">
      <w:pPr>
        <w:tabs>
          <w:tab w:val="left" w:pos="-720"/>
        </w:tabs>
        <w:suppressAutoHyphens/>
        <w:spacing w:after="0" w:line="240" w:lineRule="auto"/>
        <w:jc w:val="both"/>
        <w:rPr>
          <w:rFonts w:ascii="Times New Roman" w:eastAsia="Calibri" w:hAnsi="Times New Roman" w:cs="Times New Roman"/>
          <w:iCs/>
          <w:sz w:val="24"/>
          <w:szCs w:val="24"/>
          <w:lang w:val="it-IT"/>
        </w:rPr>
      </w:pPr>
      <w:r w:rsidRPr="00F42629">
        <w:rPr>
          <w:rFonts w:ascii="Times New Roman" w:eastAsia="Calibri" w:hAnsi="Times New Roman" w:cs="Times New Roman"/>
          <w:bCs/>
          <w:sz w:val="24"/>
          <w:szCs w:val="24"/>
        </w:rPr>
        <w:t xml:space="preserve">Eshte realizuar vlerësimi i gjendjes, </w:t>
      </w:r>
      <w:r w:rsidRPr="00F42629">
        <w:rPr>
          <w:rFonts w:ascii="Times New Roman" w:eastAsia="Calibri" w:hAnsi="Times New Roman" w:cs="Times New Roman"/>
          <w:sz w:val="24"/>
          <w:szCs w:val="24"/>
          <w:lang w:val="it-IT"/>
        </w:rPr>
        <w:t>kontrolli i numrit të ekzemplarëve, përshkrimit të gjendjes vegjetative, prodhimtarisë, gjendjes fitosanitare si dhe janë përshkruar karakteristikat e terrenit</w:t>
      </w:r>
      <w:r w:rsidR="00F16C47" w:rsidRPr="00F42629">
        <w:rPr>
          <w:rFonts w:ascii="Times New Roman" w:eastAsia="Calibri" w:hAnsi="Times New Roman" w:cs="Times New Roman"/>
          <w:sz w:val="24"/>
          <w:szCs w:val="24"/>
          <w:lang w:val="it-IT"/>
        </w:rPr>
        <w:t>.</w:t>
      </w:r>
      <w:r w:rsidR="00F16C47" w:rsidRPr="00F42629">
        <w:rPr>
          <w:rFonts w:ascii="Times New Roman" w:eastAsia="Calibri" w:hAnsi="Times New Roman" w:cs="Times New Roman"/>
          <w:bCs/>
          <w:sz w:val="24"/>
          <w:szCs w:val="24"/>
          <w:lang w:val="it-IT"/>
        </w:rPr>
        <w:t xml:space="preserve"> </w:t>
      </w:r>
    </w:p>
    <w:p w:rsidR="00F42629" w:rsidRPr="00F42629" w:rsidRDefault="00F42629" w:rsidP="00F42629">
      <w:pPr>
        <w:pStyle w:val="ListParagraph"/>
        <w:tabs>
          <w:tab w:val="left" w:pos="-720"/>
        </w:tabs>
        <w:suppressAutoHyphens/>
        <w:spacing w:after="0" w:line="240" w:lineRule="auto"/>
        <w:jc w:val="both"/>
        <w:rPr>
          <w:rFonts w:ascii="Times New Roman" w:eastAsia="Calibri" w:hAnsi="Times New Roman" w:cs="Times New Roman"/>
          <w:iCs/>
          <w:sz w:val="24"/>
          <w:szCs w:val="24"/>
          <w:lang w:val="it-IT"/>
        </w:rPr>
      </w:pPr>
    </w:p>
    <w:p w:rsidR="00F16C47" w:rsidRPr="00F42629" w:rsidRDefault="00F16C47" w:rsidP="00807975">
      <w:pPr>
        <w:pStyle w:val="ListParagraph"/>
        <w:numPr>
          <w:ilvl w:val="0"/>
          <w:numId w:val="160"/>
        </w:numPr>
        <w:tabs>
          <w:tab w:val="left" w:pos="-720"/>
        </w:tabs>
        <w:suppressAutoHyphens/>
        <w:spacing w:after="0" w:line="240" w:lineRule="auto"/>
        <w:jc w:val="both"/>
        <w:rPr>
          <w:rFonts w:ascii="Times New Roman" w:eastAsia="Calibri" w:hAnsi="Times New Roman" w:cs="Times New Roman"/>
          <w:iCs/>
          <w:sz w:val="24"/>
          <w:szCs w:val="24"/>
          <w:lang w:val="it-IT"/>
        </w:rPr>
      </w:pPr>
      <w:r w:rsidRPr="00F42629">
        <w:rPr>
          <w:rFonts w:ascii="Times New Roman" w:eastAsia="Calibri" w:hAnsi="Times New Roman" w:cs="Times New Roman"/>
          <w:bCs/>
          <w:sz w:val="24"/>
          <w:szCs w:val="24"/>
          <w:lang w:val="it-IT"/>
        </w:rPr>
        <w:t>Për llojet</w:t>
      </w:r>
      <w:r w:rsidRPr="00F42629">
        <w:rPr>
          <w:rFonts w:ascii="Times New Roman" w:eastAsia="Calibri" w:hAnsi="Times New Roman" w:cs="Times New Roman"/>
          <w:b/>
          <w:bCs/>
          <w:sz w:val="24"/>
          <w:szCs w:val="24"/>
          <w:lang w:val="it-IT"/>
        </w:rPr>
        <w:t xml:space="preserve"> </w:t>
      </w:r>
      <w:r w:rsidRPr="00F42629">
        <w:rPr>
          <w:rFonts w:ascii="Times New Roman" w:eastAsia="Calibri" w:hAnsi="Times New Roman" w:cs="Times New Roman"/>
          <w:bCs/>
          <w:sz w:val="24"/>
          <w:szCs w:val="24"/>
          <w:lang w:val="it-IT"/>
        </w:rPr>
        <w:t>Salep,</w:t>
      </w:r>
      <w:r w:rsidRPr="00F42629">
        <w:rPr>
          <w:rFonts w:ascii="Times New Roman" w:eastAsia="Calibri" w:hAnsi="Times New Roman" w:cs="Times New Roman"/>
          <w:b/>
          <w:bCs/>
          <w:sz w:val="24"/>
          <w:szCs w:val="24"/>
          <w:lang w:val="it-IT"/>
        </w:rPr>
        <w:t xml:space="preserve"> </w:t>
      </w:r>
      <w:r w:rsidRPr="00F42629">
        <w:rPr>
          <w:rFonts w:ascii="Times New Roman" w:eastAsia="Calibri" w:hAnsi="Times New Roman" w:cs="Times New Roman"/>
          <w:bCs/>
          <w:sz w:val="24"/>
          <w:szCs w:val="24"/>
          <w:lang w:val="it-IT"/>
        </w:rPr>
        <w:t>(</w:t>
      </w:r>
      <w:r w:rsidRPr="00F42629">
        <w:rPr>
          <w:rFonts w:ascii="Times New Roman" w:eastAsia="Calibri" w:hAnsi="Times New Roman" w:cs="Times New Roman"/>
          <w:i/>
          <w:iCs/>
          <w:sz w:val="24"/>
          <w:szCs w:val="24"/>
          <w:lang w:val="it-IT"/>
        </w:rPr>
        <w:t>Orchis. Ssp) dhe</w:t>
      </w:r>
      <w:r w:rsidRPr="00F42629">
        <w:rPr>
          <w:rFonts w:ascii="Times New Roman" w:eastAsia="Calibri" w:hAnsi="Times New Roman" w:cs="Times New Roman"/>
          <w:sz w:val="24"/>
          <w:szCs w:val="24"/>
          <w:lang w:val="it-IT"/>
        </w:rPr>
        <w:t xml:space="preserve"> </w:t>
      </w:r>
      <w:r w:rsidRPr="00F42629">
        <w:rPr>
          <w:rFonts w:ascii="Times New Roman" w:eastAsia="Calibri" w:hAnsi="Times New Roman" w:cs="Times New Roman"/>
          <w:bCs/>
          <w:sz w:val="24"/>
          <w:szCs w:val="24"/>
          <w:lang w:val="it-IT"/>
        </w:rPr>
        <w:t>Xhirokull,</w:t>
      </w:r>
      <w:r w:rsidRPr="00F42629">
        <w:rPr>
          <w:rFonts w:ascii="Times New Roman" w:eastAsia="Calibri" w:hAnsi="Times New Roman" w:cs="Times New Roman"/>
          <w:sz w:val="24"/>
          <w:szCs w:val="24"/>
          <w:lang w:val="it-IT"/>
        </w:rPr>
        <w:t xml:space="preserve"> (</w:t>
      </w:r>
      <w:r w:rsidRPr="00F42629">
        <w:rPr>
          <w:rFonts w:ascii="Times New Roman" w:eastAsia="Calibri" w:hAnsi="Times New Roman" w:cs="Times New Roman"/>
          <w:i/>
          <w:iCs/>
          <w:sz w:val="24"/>
          <w:szCs w:val="24"/>
          <w:lang w:val="it-IT"/>
        </w:rPr>
        <w:t xml:space="preserve">Calchicum automnale) </w:t>
      </w:r>
      <w:r w:rsidRPr="00F42629">
        <w:rPr>
          <w:rFonts w:ascii="Times New Roman" w:eastAsia="Calibri" w:hAnsi="Times New Roman" w:cs="Times New Roman"/>
          <w:iCs/>
          <w:sz w:val="24"/>
          <w:szCs w:val="24"/>
          <w:lang w:val="it-IT"/>
        </w:rPr>
        <w:t>në qarkun e Gjirokastrës (Këlcyrë, Përmet), Vlorës ( Vlorë, Delvinë) dhe në qarkun Durrës (Durrës)</w:t>
      </w:r>
    </w:p>
    <w:p w:rsidR="00F16C47" w:rsidRPr="00F42629" w:rsidRDefault="00F16C47" w:rsidP="00807975">
      <w:pPr>
        <w:pStyle w:val="ListParagraph"/>
        <w:numPr>
          <w:ilvl w:val="0"/>
          <w:numId w:val="159"/>
        </w:numPr>
        <w:tabs>
          <w:tab w:val="left" w:pos="-720"/>
        </w:tabs>
        <w:suppressAutoHyphens/>
        <w:spacing w:after="0" w:line="240" w:lineRule="auto"/>
        <w:jc w:val="both"/>
        <w:rPr>
          <w:rFonts w:ascii="Times New Roman" w:eastAsia="Calibri" w:hAnsi="Times New Roman" w:cs="Times New Roman"/>
          <w:iCs/>
          <w:sz w:val="24"/>
          <w:szCs w:val="24"/>
          <w:lang w:val="it-IT"/>
        </w:rPr>
      </w:pPr>
      <w:r w:rsidRPr="00F42629">
        <w:rPr>
          <w:rFonts w:ascii="Times New Roman" w:eastAsia="Calibri" w:hAnsi="Times New Roman" w:cs="Times New Roman"/>
          <w:sz w:val="24"/>
          <w:szCs w:val="24"/>
          <w:lang w:val="it-IT"/>
        </w:rPr>
        <w:t>Për llojin Boronicë</w:t>
      </w:r>
      <w:r w:rsidRPr="00F42629">
        <w:rPr>
          <w:rFonts w:ascii="Times New Roman" w:eastAsia="Calibri" w:hAnsi="Times New Roman" w:cs="Times New Roman"/>
          <w:b/>
          <w:sz w:val="24"/>
          <w:szCs w:val="24"/>
          <w:lang w:val="it-IT"/>
        </w:rPr>
        <w:t xml:space="preserve"> </w:t>
      </w:r>
      <w:r w:rsidRPr="00F42629">
        <w:rPr>
          <w:rFonts w:ascii="Times New Roman" w:eastAsia="Calibri" w:hAnsi="Times New Roman" w:cs="Times New Roman"/>
          <w:sz w:val="24"/>
          <w:szCs w:val="24"/>
          <w:lang w:val="it-IT"/>
        </w:rPr>
        <w:t>(</w:t>
      </w:r>
      <w:r w:rsidRPr="00F42629">
        <w:rPr>
          <w:rFonts w:ascii="Times New Roman" w:eastAsia="Calibri" w:hAnsi="Times New Roman" w:cs="Times New Roman"/>
          <w:i/>
          <w:sz w:val="24"/>
          <w:szCs w:val="24"/>
          <w:lang w:val="it-IT"/>
        </w:rPr>
        <w:t>Vaccinium myrtilus</w:t>
      </w:r>
      <w:r w:rsidRPr="00F42629">
        <w:rPr>
          <w:rFonts w:ascii="Times New Roman" w:eastAsia="Calibri" w:hAnsi="Times New Roman" w:cs="Times New Roman"/>
          <w:sz w:val="24"/>
          <w:szCs w:val="24"/>
          <w:lang w:val="it-IT"/>
        </w:rPr>
        <w:t>), qarkun Kukës (Kukës dhe Tropojë) , Dibër (Bulqizë) dhe qarkun Korce (Pogradec)</w:t>
      </w:r>
      <w:r w:rsidRPr="00F42629">
        <w:rPr>
          <w:rFonts w:ascii="Times New Roman" w:eastAsia="Calibri" w:hAnsi="Times New Roman" w:cs="Times New Roman"/>
          <w:iCs/>
          <w:sz w:val="24"/>
          <w:szCs w:val="24"/>
          <w:lang w:val="it-IT"/>
        </w:rPr>
        <w:t xml:space="preserve"> </w:t>
      </w:r>
    </w:p>
    <w:p w:rsidR="00F16C47" w:rsidRPr="00F42629" w:rsidRDefault="00F16C47" w:rsidP="00807975">
      <w:pPr>
        <w:pStyle w:val="ListParagraph"/>
        <w:numPr>
          <w:ilvl w:val="0"/>
          <w:numId w:val="159"/>
        </w:numPr>
        <w:spacing w:after="0" w:line="240" w:lineRule="auto"/>
        <w:jc w:val="both"/>
        <w:rPr>
          <w:rFonts w:ascii="Times New Roman" w:eastAsia="Calibri" w:hAnsi="Times New Roman" w:cs="Times New Roman"/>
          <w:sz w:val="24"/>
          <w:szCs w:val="24"/>
          <w:lang w:val="it-IT"/>
        </w:rPr>
      </w:pPr>
      <w:r w:rsidRPr="00F42629">
        <w:rPr>
          <w:rFonts w:ascii="Times New Roman" w:eastAsia="Calibri" w:hAnsi="Times New Roman" w:cs="Times New Roman"/>
          <w:sz w:val="24"/>
          <w:szCs w:val="24"/>
          <w:lang w:val="it-IT"/>
        </w:rPr>
        <w:t>Për llojin Sherbelë</w:t>
      </w:r>
      <w:r w:rsidRPr="00F42629">
        <w:rPr>
          <w:rFonts w:ascii="Times New Roman" w:eastAsia="Calibri" w:hAnsi="Times New Roman" w:cs="Times New Roman"/>
          <w:b/>
          <w:sz w:val="24"/>
          <w:szCs w:val="24"/>
          <w:lang w:val="it-IT"/>
        </w:rPr>
        <w:t xml:space="preserve"> </w:t>
      </w:r>
      <w:r w:rsidRPr="00F42629">
        <w:rPr>
          <w:rFonts w:ascii="Times New Roman" w:eastAsia="Calibri" w:hAnsi="Times New Roman" w:cs="Times New Roman"/>
          <w:sz w:val="24"/>
          <w:szCs w:val="24"/>
          <w:lang w:val="it-IT"/>
        </w:rPr>
        <w:t>(</w:t>
      </w:r>
      <w:r w:rsidRPr="00F42629">
        <w:rPr>
          <w:rFonts w:ascii="Times New Roman" w:eastAsia="Calibri" w:hAnsi="Times New Roman" w:cs="Times New Roman"/>
          <w:bCs/>
          <w:i/>
          <w:iCs/>
          <w:sz w:val="24"/>
          <w:szCs w:val="24"/>
          <w:lang w:val="it-IT"/>
        </w:rPr>
        <w:t xml:space="preserve">Salvia officinalis), </w:t>
      </w:r>
      <w:r w:rsidRPr="00F42629">
        <w:rPr>
          <w:rFonts w:ascii="Times New Roman" w:eastAsia="Calibri" w:hAnsi="Times New Roman" w:cs="Times New Roman"/>
          <w:bCs/>
          <w:iCs/>
          <w:sz w:val="24"/>
          <w:szCs w:val="24"/>
          <w:lang w:val="it-IT"/>
        </w:rPr>
        <w:t xml:space="preserve">në </w:t>
      </w:r>
      <w:r w:rsidRPr="00F42629">
        <w:rPr>
          <w:rFonts w:ascii="Times New Roman" w:eastAsia="Calibri" w:hAnsi="Times New Roman" w:cs="Times New Roman"/>
          <w:sz w:val="24"/>
          <w:szCs w:val="24"/>
          <w:lang w:val="it-IT"/>
        </w:rPr>
        <w:t xml:space="preserve">qarkqe Gjirokastër dhe Vlorë (territoret e bashkive; Gjirokastër, Vlorë Dropull, Libohovë), Shkodër (territoret e bashkive; Shkodër, </w:t>
      </w:r>
      <w:r w:rsidRPr="00F42629">
        <w:rPr>
          <w:rFonts w:ascii="Times New Roman" w:eastAsia="Calibri" w:hAnsi="Times New Roman" w:cs="Times New Roman"/>
          <w:sz w:val="24"/>
          <w:szCs w:val="24"/>
          <w:lang w:val="it-IT"/>
        </w:rPr>
        <w:lastRenderedPageBreak/>
        <w:t xml:space="preserve">Malësi e Madhe, Fushë-Arrëz), Korçë (territorin e bashkisë Kolonjë), qarkun Dibër (territorin e bashkisë Bulqizë). </w:t>
      </w:r>
    </w:p>
    <w:p w:rsidR="00F42629" w:rsidRDefault="00F42629" w:rsidP="00F16C47">
      <w:pPr>
        <w:spacing w:after="0" w:line="240" w:lineRule="auto"/>
        <w:jc w:val="both"/>
        <w:rPr>
          <w:rFonts w:ascii="Times New Roman" w:eastAsia="Calibri" w:hAnsi="Times New Roman" w:cs="Times New Roman"/>
          <w:sz w:val="24"/>
          <w:szCs w:val="24"/>
          <w:lang w:val="it-IT"/>
        </w:rPr>
      </w:pPr>
    </w:p>
    <w:p w:rsidR="00F42629" w:rsidRPr="00F42629" w:rsidRDefault="00F42629" w:rsidP="00F42629">
      <w:pPr>
        <w:spacing w:after="0" w:line="240" w:lineRule="auto"/>
        <w:jc w:val="both"/>
        <w:rPr>
          <w:rFonts w:ascii="Times New Roman" w:eastAsia="Times New Roman" w:hAnsi="Times New Roman" w:cs="Times New Roman"/>
          <w:b/>
          <w:sz w:val="24"/>
          <w:szCs w:val="24"/>
          <w:lang w:val="it-IT"/>
        </w:rPr>
      </w:pPr>
      <w:r w:rsidRPr="00F42629">
        <w:rPr>
          <w:rFonts w:ascii="Times New Roman" w:eastAsia="Times New Roman" w:hAnsi="Times New Roman" w:cs="Times New Roman"/>
          <w:b/>
          <w:sz w:val="24"/>
          <w:szCs w:val="24"/>
          <w:lang w:val="it-IT"/>
        </w:rPr>
        <w:t>Kultura e Sherebelës</w:t>
      </w:r>
    </w:p>
    <w:p w:rsidR="00F16C47" w:rsidRPr="00F16C47" w:rsidRDefault="00F42629" w:rsidP="00F16C47">
      <w:pPr>
        <w:spacing w:after="0" w:line="240" w:lineRule="auto"/>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Gjatë</w:t>
      </w:r>
      <w:r w:rsidR="00F16C47">
        <w:rPr>
          <w:rFonts w:ascii="Times New Roman" w:eastAsia="Calibri" w:hAnsi="Times New Roman" w:cs="Times New Roman"/>
          <w:sz w:val="24"/>
          <w:szCs w:val="24"/>
          <w:lang w:val="it-IT"/>
        </w:rPr>
        <w:t xml:space="preserve">  vitit 2025, </w:t>
      </w:r>
      <w:r w:rsidR="00F16C47" w:rsidRPr="00F16C47">
        <w:rPr>
          <w:rFonts w:ascii="Times New Roman" w:eastAsia="Calibri" w:hAnsi="Times New Roman" w:cs="Times New Roman"/>
          <w:sz w:val="24"/>
          <w:szCs w:val="24"/>
          <w:lang w:val="it-IT"/>
        </w:rPr>
        <w:t xml:space="preserve">përveç kontrollit të sipërfaqeve të ngritura gjatë viteve paraardhëse, janë ngritur dhe disa sipërfaqe të tjera në rajone të ndryshme të vendit tonë. Është bërë verfikikimi i të gjitha sipërfaqeve monitoruese të ngritura në vitet paraardhëse, si dhe janë ngritur dhe disa sipërfaqe të reja, përfaqësuese me këtë kulturë. </w:t>
      </w:r>
    </w:p>
    <w:p w:rsidR="00F16C47" w:rsidRPr="00F16C47" w:rsidRDefault="00F16C47" w:rsidP="00F16C47">
      <w:pPr>
        <w:spacing w:after="0" w:line="240" w:lineRule="auto"/>
        <w:jc w:val="both"/>
        <w:rPr>
          <w:rFonts w:ascii="Times New Roman" w:eastAsia="Times New Roman" w:hAnsi="Times New Roman" w:cs="Times New Roman"/>
          <w:sz w:val="24"/>
          <w:szCs w:val="24"/>
          <w:lang w:val="it-IT"/>
        </w:rPr>
      </w:pPr>
      <w:r w:rsidRPr="00F16C47">
        <w:rPr>
          <w:rFonts w:ascii="Times New Roman" w:eastAsia="Times New Roman" w:hAnsi="Times New Roman" w:cs="Times New Roman"/>
          <w:sz w:val="24"/>
          <w:szCs w:val="24"/>
          <w:lang w:val="it-IT"/>
        </w:rPr>
        <w:t xml:space="preserve">Gjëndja vegjetative dhe fitosanitare e sherbelës në këtë sipërfaqe monitoruese paraqitej shumë e mire. Duke qenë se është afër rrugës, sipërfaqja është e ndotur me mbeturina urbane të ndryshme (kanaçe dhe plastika të hedhura). </w:t>
      </w:r>
    </w:p>
    <w:p w:rsidR="007B1640" w:rsidRDefault="00F16C47" w:rsidP="00F16C47">
      <w:pPr>
        <w:spacing w:after="0" w:line="240" w:lineRule="auto"/>
        <w:jc w:val="both"/>
        <w:rPr>
          <w:rFonts w:ascii="Times New Roman" w:eastAsia="Times New Roman" w:hAnsi="Times New Roman" w:cs="Times New Roman"/>
          <w:sz w:val="24"/>
          <w:szCs w:val="24"/>
          <w:lang w:val="it-IT"/>
        </w:rPr>
      </w:pPr>
      <w:r w:rsidRPr="00F16C47">
        <w:rPr>
          <w:rFonts w:ascii="Times New Roman" w:eastAsia="Times New Roman" w:hAnsi="Times New Roman" w:cs="Times New Roman"/>
          <w:sz w:val="24"/>
          <w:szCs w:val="24"/>
          <w:lang w:val="it-IT"/>
        </w:rPr>
        <w:t>Gjëndja e kulturës së sherbelës në këtë sipërfaqe parqitet e mirë dhe jo e dëmtuar. Numri i bimëve brenda sipërafqes monitoruese rezultonte të kishte një rritje të leht</w:t>
      </w:r>
      <w:r w:rsidR="007B1640">
        <w:rPr>
          <w:rFonts w:ascii="Times New Roman" w:eastAsia="Times New Roman" w:hAnsi="Times New Roman" w:cs="Times New Roman"/>
          <w:sz w:val="24"/>
          <w:szCs w:val="24"/>
          <w:lang w:val="it-IT"/>
        </w:rPr>
        <w:t>ë me atë të viteve paraardhëse.</w:t>
      </w:r>
    </w:p>
    <w:p w:rsidR="00F16C47" w:rsidRPr="007B1640" w:rsidRDefault="00F16C47" w:rsidP="00F16C47">
      <w:pPr>
        <w:spacing w:after="0" w:line="240" w:lineRule="auto"/>
        <w:jc w:val="both"/>
        <w:rPr>
          <w:rFonts w:ascii="Times New Roman" w:eastAsia="Times New Roman" w:hAnsi="Times New Roman" w:cs="Times New Roman"/>
          <w:sz w:val="24"/>
          <w:szCs w:val="24"/>
          <w:lang w:val="it-IT"/>
        </w:rPr>
      </w:pPr>
      <w:r w:rsidRPr="00F16C47">
        <w:rPr>
          <w:rFonts w:ascii="Times New Roman" w:eastAsia="Calibri" w:hAnsi="Times New Roman" w:cs="Times New Roman"/>
          <w:sz w:val="24"/>
          <w:szCs w:val="24"/>
          <w:lang w:val="it-IT"/>
        </w:rPr>
        <w:t>Nga kontaktet e kryera me specialistët e bashkisë dhe me disa grumbullues të bimëve medicinale në këtë rreth, rezulton se lloji nuk ka qenë në gjendje të mirë vegjetative, kjo si rezultat i temperaturave të larta dhe pa reshje gjatë muajve të verës.</w:t>
      </w:r>
    </w:p>
    <w:p w:rsidR="00F16C47" w:rsidRPr="00F16C47" w:rsidRDefault="00F16C47" w:rsidP="00F16C47">
      <w:pPr>
        <w:spacing w:after="0" w:line="240" w:lineRule="auto"/>
        <w:jc w:val="both"/>
        <w:rPr>
          <w:rFonts w:ascii="Times New Roman" w:eastAsia="Calibri" w:hAnsi="Times New Roman" w:cs="Times New Roman"/>
          <w:sz w:val="24"/>
          <w:szCs w:val="24"/>
          <w:lang w:val="it-IT"/>
        </w:rPr>
      </w:pPr>
      <w:r w:rsidRPr="00F16C47">
        <w:rPr>
          <w:rFonts w:ascii="Times New Roman" w:eastAsia="Calibri" w:hAnsi="Times New Roman" w:cs="Times New Roman"/>
          <w:sz w:val="24"/>
          <w:szCs w:val="24"/>
          <w:lang w:val="it-IT"/>
        </w:rPr>
        <w:t xml:space="preserve">Nga ana e tyre u shpreh shqetësimi për informacionin e pakët që kishin grumbulluesit e këtyre bimëve në lidhje me teknikat dhe kushtet e zhfrytëzimit racional të kësaj pasurie. Ky ishte dhe një ndër problemet kryesore i cili po ndikon mjaft negativisht dhe po bën të mundur që një pjesë e kësaj bimësie të rrezikohet për tu zhdukur. </w:t>
      </w:r>
    </w:p>
    <w:p w:rsidR="00F16C47" w:rsidRPr="00F16C47" w:rsidRDefault="00F16C47" w:rsidP="00F16C47">
      <w:pPr>
        <w:spacing w:after="0" w:line="240" w:lineRule="auto"/>
        <w:jc w:val="both"/>
        <w:rPr>
          <w:rFonts w:ascii="Times New Roman" w:eastAsia="Calibri" w:hAnsi="Times New Roman" w:cs="Times New Roman"/>
          <w:b/>
          <w:bCs/>
          <w:sz w:val="24"/>
          <w:szCs w:val="24"/>
          <w:lang w:val="it-IT"/>
        </w:rPr>
      </w:pPr>
      <w:r w:rsidRPr="00F16C47">
        <w:rPr>
          <w:rFonts w:ascii="Times New Roman" w:eastAsia="Calibri" w:hAnsi="Times New Roman" w:cs="Times New Roman"/>
          <w:b/>
          <w:bCs/>
          <w:sz w:val="24"/>
          <w:szCs w:val="24"/>
          <w:lang w:val="it-IT"/>
        </w:rPr>
        <w:t>Kultura e Çajit të malit (</w:t>
      </w:r>
      <w:r w:rsidRPr="00F16C47">
        <w:rPr>
          <w:rFonts w:ascii="Times New Roman" w:eastAsia="Calibri" w:hAnsi="Times New Roman" w:cs="Times New Roman"/>
          <w:i/>
          <w:iCs/>
          <w:sz w:val="24"/>
          <w:szCs w:val="24"/>
          <w:lang w:val="it-IT"/>
        </w:rPr>
        <w:t>Sideritis roheseri)</w:t>
      </w:r>
    </w:p>
    <w:p w:rsidR="00F16C47" w:rsidRPr="00F16C47" w:rsidRDefault="00F16C47" w:rsidP="00F16C47">
      <w:pPr>
        <w:spacing w:after="0" w:line="240" w:lineRule="auto"/>
        <w:jc w:val="both"/>
        <w:rPr>
          <w:rFonts w:ascii="Times New Roman" w:eastAsia="Calibri" w:hAnsi="Times New Roman" w:cs="Times New Roman"/>
          <w:sz w:val="24"/>
          <w:szCs w:val="24"/>
          <w:lang w:val="it-IT"/>
        </w:rPr>
      </w:pPr>
      <w:r w:rsidRPr="00F16C47">
        <w:rPr>
          <w:rFonts w:ascii="Times New Roman" w:eastAsia="Calibri" w:hAnsi="Times New Roman" w:cs="Times New Roman"/>
          <w:sz w:val="24"/>
          <w:szCs w:val="24"/>
          <w:lang w:val="it-IT"/>
        </w:rPr>
        <w:t>Nga verifikimi i bërë në terren, themi se numri i bimëve brenda siperfaqes është  i lartë  dhe përsa i përket gjëndjes fitosantare dhe vegjetative, paraqiten shumë  mirë.</w:t>
      </w:r>
    </w:p>
    <w:p w:rsidR="00F16C47" w:rsidRPr="00F16C47" w:rsidRDefault="00F16C47" w:rsidP="00F16C47">
      <w:pPr>
        <w:spacing w:after="0" w:line="240" w:lineRule="auto"/>
        <w:jc w:val="both"/>
        <w:rPr>
          <w:rFonts w:ascii="Times New Roman" w:eastAsia="Calibri" w:hAnsi="Times New Roman" w:cs="Times New Roman"/>
          <w:sz w:val="24"/>
          <w:szCs w:val="24"/>
          <w:lang w:val="it-IT"/>
        </w:rPr>
      </w:pPr>
      <w:r w:rsidRPr="00F16C47">
        <w:rPr>
          <w:rFonts w:ascii="Times New Roman" w:eastAsia="Calibri" w:hAnsi="Times New Roman" w:cs="Times New Roman"/>
          <w:sz w:val="24"/>
          <w:szCs w:val="24"/>
          <w:lang w:val="it-IT"/>
        </w:rPr>
        <w:t>Megjithëse kjo zonë bën pjesë në kategorine e dytë të I.U.C.N, kategori e cila i takon statusit të Parkut Kombëtar,  është vënë re se grumbullimi i kuturës së Çajit të malit kryhet masivisht, pasi ai kërkohet mjaft si nga tregu vendas ashtu dhe nga tregu i huaj.</w:t>
      </w:r>
    </w:p>
    <w:p w:rsidR="00F16C47" w:rsidRPr="00F16C47" w:rsidRDefault="00F16C47" w:rsidP="00F16C47">
      <w:pPr>
        <w:spacing w:after="0" w:line="240" w:lineRule="auto"/>
        <w:jc w:val="both"/>
        <w:rPr>
          <w:rFonts w:ascii="Times New Roman" w:eastAsia="Calibri" w:hAnsi="Times New Roman" w:cs="Times New Roman"/>
          <w:sz w:val="24"/>
          <w:szCs w:val="24"/>
          <w:lang w:val="it-IT"/>
        </w:rPr>
      </w:pPr>
      <w:r w:rsidRPr="00F16C47">
        <w:rPr>
          <w:rFonts w:ascii="Times New Roman" w:eastAsia="Calibri" w:hAnsi="Times New Roman" w:cs="Times New Roman"/>
          <w:sz w:val="24"/>
          <w:szCs w:val="24"/>
          <w:lang w:val="it-IT"/>
        </w:rPr>
        <w:t>Nga kontrolli dhe verifikimi i numurit të bimëve të bëra brenda kësaj sipërfaqeje rezultoise ka gjendje të mirë fitosantare.</w:t>
      </w:r>
    </w:p>
    <w:p w:rsidR="00F16C47" w:rsidRPr="00F16C47" w:rsidRDefault="00F16C47" w:rsidP="00F16C47">
      <w:pPr>
        <w:spacing w:after="0" w:line="240" w:lineRule="auto"/>
        <w:jc w:val="both"/>
        <w:rPr>
          <w:rFonts w:ascii="Times New Roman" w:eastAsia="Calibri" w:hAnsi="Times New Roman" w:cs="Times New Roman"/>
          <w:b/>
          <w:bCs/>
          <w:sz w:val="24"/>
          <w:szCs w:val="24"/>
          <w:lang w:val="it-IT"/>
        </w:rPr>
      </w:pPr>
      <w:r w:rsidRPr="00F16C47">
        <w:rPr>
          <w:rFonts w:ascii="Times New Roman" w:eastAsia="Calibri" w:hAnsi="Times New Roman" w:cs="Times New Roman"/>
          <w:b/>
          <w:bCs/>
          <w:sz w:val="24"/>
          <w:szCs w:val="24"/>
          <w:lang w:val="it-IT"/>
        </w:rPr>
        <w:t>Kultura e Salepit (Orchiss. sp )</w:t>
      </w:r>
    </w:p>
    <w:p w:rsidR="00F16C47" w:rsidRPr="00F16C47" w:rsidRDefault="00F16C47" w:rsidP="00F16C47">
      <w:pPr>
        <w:spacing w:after="0" w:line="240" w:lineRule="auto"/>
        <w:jc w:val="both"/>
        <w:rPr>
          <w:rFonts w:ascii="Times New Roman" w:eastAsia="Calibri" w:hAnsi="Times New Roman" w:cs="Times New Roman"/>
          <w:sz w:val="24"/>
          <w:szCs w:val="24"/>
          <w:lang w:val="it-IT"/>
        </w:rPr>
      </w:pPr>
      <w:r w:rsidRPr="00F16C47">
        <w:rPr>
          <w:rFonts w:ascii="Times New Roman" w:eastAsia="Calibri" w:hAnsi="Times New Roman" w:cs="Times New Roman"/>
          <w:sz w:val="24"/>
          <w:szCs w:val="24"/>
          <w:lang w:val="it-IT"/>
        </w:rPr>
        <w:t>Nga kontaktet e kryera me specialistët e Shërbimit Pyjor pranë Bashkisë  dhe me grumbullues të kësaj kulture rezuton se kjo kulture sa vjen dhe po rrezikohet.</w:t>
      </w:r>
    </w:p>
    <w:p w:rsidR="00F16C47" w:rsidRPr="00F16C47" w:rsidRDefault="007B1640" w:rsidP="00F16C47">
      <w:pPr>
        <w:spacing w:after="0" w:line="240" w:lineRule="auto"/>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Kjo gjë u vu re edhe në sipër</w:t>
      </w:r>
      <w:r w:rsidR="00F16C47" w:rsidRPr="00F16C47">
        <w:rPr>
          <w:rFonts w:ascii="Times New Roman" w:eastAsia="Calibri" w:hAnsi="Times New Roman" w:cs="Times New Roman"/>
          <w:sz w:val="24"/>
          <w:szCs w:val="24"/>
          <w:lang w:val="it-IT"/>
        </w:rPr>
        <w:t>f</w:t>
      </w:r>
      <w:r>
        <w:rPr>
          <w:rFonts w:ascii="Times New Roman" w:eastAsia="Calibri" w:hAnsi="Times New Roman" w:cs="Times New Roman"/>
          <w:sz w:val="24"/>
          <w:szCs w:val="24"/>
          <w:lang w:val="it-IT"/>
        </w:rPr>
        <w:t>a</w:t>
      </w:r>
      <w:r w:rsidR="00F16C47" w:rsidRPr="00F16C47">
        <w:rPr>
          <w:rFonts w:ascii="Times New Roman" w:eastAsia="Calibri" w:hAnsi="Times New Roman" w:cs="Times New Roman"/>
          <w:sz w:val="24"/>
          <w:szCs w:val="24"/>
          <w:lang w:val="it-IT"/>
        </w:rPr>
        <w:t xml:space="preserve">qen e ngritur nga ana jonë pasi rezultoi se kishim nje numer bimesh te pa ndryshuar nga viti kaluar  dhe një gjëndje vegjetative e cila ishtë më e dobët se në vitin parardhës, gjë kjo e cila vinte si pasojë e mos zbatimit të rregullave të grumbullimit nga ana e personave të paliçensuar. </w:t>
      </w:r>
    </w:p>
    <w:p w:rsidR="00F16C47" w:rsidRPr="00F16C47" w:rsidRDefault="00F16C47" w:rsidP="00F16C47">
      <w:pPr>
        <w:spacing w:after="0" w:line="240" w:lineRule="auto"/>
        <w:jc w:val="both"/>
        <w:rPr>
          <w:rFonts w:ascii="Times New Roman" w:eastAsia="Calibri" w:hAnsi="Times New Roman" w:cs="Times New Roman"/>
          <w:b/>
          <w:bCs/>
          <w:i/>
          <w:iCs/>
          <w:sz w:val="24"/>
          <w:szCs w:val="24"/>
          <w:lang w:val="it-IT"/>
        </w:rPr>
      </w:pPr>
      <w:r w:rsidRPr="00F16C47">
        <w:rPr>
          <w:rFonts w:ascii="Times New Roman" w:eastAsia="Calibri" w:hAnsi="Times New Roman" w:cs="Times New Roman"/>
          <w:b/>
          <w:bCs/>
          <w:sz w:val="24"/>
          <w:szCs w:val="24"/>
        </w:rPr>
        <w:t xml:space="preserve">Kultura e Xhirokullit </w:t>
      </w:r>
      <w:r w:rsidRPr="00F16C47">
        <w:rPr>
          <w:rFonts w:ascii="Times New Roman" w:eastAsia="Calibri" w:hAnsi="Times New Roman" w:cs="Times New Roman"/>
          <w:b/>
          <w:bCs/>
          <w:i/>
          <w:iCs/>
          <w:sz w:val="24"/>
          <w:szCs w:val="24"/>
        </w:rPr>
        <w:t>(Colchicum automnale</w:t>
      </w:r>
      <w:r w:rsidRPr="00F16C47">
        <w:rPr>
          <w:rFonts w:ascii="Times New Roman" w:eastAsia="Calibri" w:hAnsi="Times New Roman" w:cs="Times New Roman"/>
          <w:b/>
          <w:bCs/>
          <w:i/>
          <w:iCs/>
          <w:sz w:val="24"/>
          <w:szCs w:val="24"/>
          <w:lang w:val="it-IT"/>
        </w:rPr>
        <w:t>)</w:t>
      </w:r>
    </w:p>
    <w:p w:rsidR="00F16C47" w:rsidRPr="00F16C47" w:rsidRDefault="00F16C47" w:rsidP="00F16C47">
      <w:pPr>
        <w:spacing w:after="0" w:line="240" w:lineRule="auto"/>
        <w:jc w:val="both"/>
        <w:rPr>
          <w:rFonts w:ascii="Times New Roman" w:eastAsia="Calibri" w:hAnsi="Times New Roman" w:cs="Times New Roman"/>
          <w:b/>
          <w:bCs/>
          <w:sz w:val="24"/>
          <w:szCs w:val="24"/>
          <w:lang w:val="it-IT"/>
        </w:rPr>
      </w:pPr>
      <w:r w:rsidRPr="00F16C47">
        <w:rPr>
          <w:rFonts w:ascii="Times New Roman" w:eastAsia="Calibri" w:hAnsi="Times New Roman" w:cs="Times New Roman"/>
          <w:sz w:val="24"/>
          <w:szCs w:val="24"/>
          <w:lang w:val="it-IT"/>
        </w:rPr>
        <w:t>Për të bërë të mundur moniotorimin e kësaj kulture në rrajonin e marrë në studim është bërë verifikimi i sipërfaqes monitoruese të ngritur në zonën e Ballabanit (Përmet), ku paraqitet kjo situatë.</w:t>
      </w:r>
    </w:p>
    <w:p w:rsidR="00F16C47" w:rsidRPr="00F16C47" w:rsidRDefault="00F16C47" w:rsidP="00F16C47">
      <w:pPr>
        <w:spacing w:after="0" w:line="240" w:lineRule="auto"/>
        <w:jc w:val="both"/>
        <w:rPr>
          <w:rFonts w:ascii="Times New Roman" w:eastAsia="Calibri" w:hAnsi="Times New Roman" w:cs="Times New Roman"/>
          <w:sz w:val="24"/>
          <w:szCs w:val="24"/>
          <w:lang w:val="de-DE"/>
        </w:rPr>
      </w:pPr>
      <w:r w:rsidRPr="00F16C47">
        <w:rPr>
          <w:rFonts w:ascii="Times New Roman" w:eastAsia="Calibri" w:hAnsi="Times New Roman" w:cs="Times New Roman"/>
          <w:sz w:val="24"/>
          <w:szCs w:val="24"/>
          <w:lang w:val="de-DE"/>
        </w:rPr>
        <w:t>Përsa i takon gjendjes vegjetative të bimëve, themi që kanë një gjendje të mirë vegjetative dhe se ka një rritje të lehtë të numrit të bimëve.</w:t>
      </w:r>
    </w:p>
    <w:p w:rsidR="00F16C47" w:rsidRPr="00F16C47" w:rsidRDefault="00F16C47" w:rsidP="00F16C47">
      <w:pPr>
        <w:spacing w:after="0" w:line="240" w:lineRule="auto"/>
        <w:jc w:val="both"/>
        <w:rPr>
          <w:rFonts w:ascii="Times New Roman" w:eastAsia="Calibri" w:hAnsi="Times New Roman" w:cs="Times New Roman"/>
          <w:sz w:val="24"/>
          <w:szCs w:val="24"/>
          <w:lang w:val="it-IT"/>
        </w:rPr>
      </w:pPr>
      <w:r w:rsidRPr="00F16C47">
        <w:rPr>
          <w:rFonts w:ascii="Times New Roman" w:eastAsia="Calibri" w:hAnsi="Times New Roman" w:cs="Times New Roman"/>
          <w:b/>
          <w:bCs/>
          <w:sz w:val="24"/>
          <w:szCs w:val="24"/>
          <w:lang w:val="it-IT"/>
        </w:rPr>
        <w:t xml:space="preserve">Sipërfaqja monitoruese me </w:t>
      </w:r>
      <w:r w:rsidR="00261BD4">
        <w:rPr>
          <w:rFonts w:ascii="Times New Roman" w:eastAsia="Calibri" w:hAnsi="Times New Roman" w:cs="Times New Roman"/>
          <w:b/>
          <w:sz w:val="24"/>
          <w:szCs w:val="24"/>
          <w:lang w:val="it-IT"/>
        </w:rPr>
        <w:t>Boronicë</w:t>
      </w:r>
      <w:r w:rsidRPr="00F16C47">
        <w:rPr>
          <w:rFonts w:ascii="Times New Roman" w:eastAsia="Calibri" w:hAnsi="Times New Roman" w:cs="Times New Roman"/>
          <w:b/>
          <w:sz w:val="24"/>
          <w:szCs w:val="24"/>
          <w:lang w:val="it-IT"/>
        </w:rPr>
        <w:t xml:space="preserve"> </w:t>
      </w:r>
      <w:r w:rsidRPr="00F16C47">
        <w:rPr>
          <w:rFonts w:ascii="Times New Roman" w:eastAsia="Calibri" w:hAnsi="Times New Roman" w:cs="Times New Roman"/>
          <w:sz w:val="24"/>
          <w:szCs w:val="24"/>
          <w:lang w:val="it-IT"/>
        </w:rPr>
        <w:t>(</w:t>
      </w:r>
      <w:r w:rsidRPr="00F16C47">
        <w:rPr>
          <w:rFonts w:ascii="Times New Roman" w:eastAsia="Calibri" w:hAnsi="Times New Roman" w:cs="Times New Roman"/>
          <w:i/>
          <w:sz w:val="24"/>
          <w:szCs w:val="24"/>
          <w:lang w:val="it-IT"/>
        </w:rPr>
        <w:t>Vaccinium myrtillus</w:t>
      </w:r>
      <w:r w:rsidRPr="00F16C47">
        <w:rPr>
          <w:rFonts w:ascii="Times New Roman" w:eastAsia="Calibri" w:hAnsi="Times New Roman" w:cs="Times New Roman"/>
          <w:sz w:val="24"/>
          <w:szCs w:val="24"/>
          <w:lang w:val="it-IT"/>
        </w:rPr>
        <w:t>), në Tropojë, Kukës dhe Bulqizë.</w:t>
      </w:r>
    </w:p>
    <w:p w:rsidR="00F16C47" w:rsidRPr="00F16C47" w:rsidRDefault="00261BD4" w:rsidP="00F16C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Gje</w:t>
      </w:r>
      <w:r w:rsidR="00F16C47" w:rsidRPr="00F16C47">
        <w:rPr>
          <w:rFonts w:ascii="Times New Roman" w:eastAsia="Calibri" w:hAnsi="Times New Roman" w:cs="Times New Roman"/>
          <w:sz w:val="24"/>
          <w:szCs w:val="24"/>
        </w:rPr>
        <w:t>ndja vegjeta</w:t>
      </w:r>
      <w:r>
        <w:rPr>
          <w:rFonts w:ascii="Times New Roman" w:eastAsia="Calibri" w:hAnsi="Times New Roman" w:cs="Times New Roman"/>
          <w:sz w:val="24"/>
          <w:szCs w:val="24"/>
        </w:rPr>
        <w:t>tive dhe fitosanitare e boronicë</w:t>
      </w:r>
      <w:r w:rsidR="00F16C47" w:rsidRPr="00F16C47">
        <w:rPr>
          <w:rFonts w:ascii="Times New Roman" w:eastAsia="Calibri" w:hAnsi="Times New Roman" w:cs="Times New Roman"/>
          <w:sz w:val="24"/>
          <w:szCs w:val="24"/>
        </w:rPr>
        <w:t>s në këtë sipërfaqe mo</w:t>
      </w:r>
      <w:r>
        <w:rPr>
          <w:rFonts w:ascii="Times New Roman" w:eastAsia="Calibri" w:hAnsi="Times New Roman" w:cs="Times New Roman"/>
          <w:sz w:val="24"/>
          <w:szCs w:val="24"/>
        </w:rPr>
        <w:t>nitoruese paraqitej shumë e mirë</w:t>
      </w:r>
      <w:r w:rsidR="00F16C47" w:rsidRPr="00F16C47">
        <w:rPr>
          <w:rFonts w:ascii="Times New Roman" w:eastAsia="Calibri" w:hAnsi="Times New Roman" w:cs="Times New Roman"/>
          <w:sz w:val="24"/>
          <w:szCs w:val="24"/>
        </w:rPr>
        <w:t>.</w:t>
      </w:r>
    </w:p>
    <w:p w:rsidR="00F16C47" w:rsidRPr="00F16C47" w:rsidRDefault="00F16C47" w:rsidP="00F16C47">
      <w:pPr>
        <w:spacing w:after="0" w:line="240" w:lineRule="auto"/>
        <w:jc w:val="both"/>
        <w:rPr>
          <w:rFonts w:ascii="Times New Roman" w:eastAsia="Calibri" w:hAnsi="Times New Roman" w:cs="Times New Roman"/>
          <w:sz w:val="24"/>
          <w:szCs w:val="24"/>
          <w:lang w:val="de-DE"/>
        </w:rPr>
      </w:pPr>
    </w:p>
    <w:p w:rsidR="00F16C47" w:rsidRPr="00F16C47" w:rsidRDefault="00F16C47" w:rsidP="00F16C47">
      <w:pPr>
        <w:spacing w:after="0" w:line="240" w:lineRule="auto"/>
        <w:jc w:val="both"/>
        <w:rPr>
          <w:rFonts w:ascii="Times New Roman" w:eastAsia="Calibri" w:hAnsi="Times New Roman" w:cs="Times New Roman"/>
          <w:b/>
          <w:sz w:val="24"/>
          <w:szCs w:val="24"/>
        </w:rPr>
      </w:pPr>
    </w:p>
    <w:p w:rsidR="000F53CF" w:rsidRDefault="000F53CF" w:rsidP="00382561">
      <w:pPr>
        <w:rPr>
          <w:rFonts w:ascii="Times New Roman" w:eastAsia="Calibri" w:hAnsi="Times New Roman" w:cs="Times New Roman"/>
          <w:sz w:val="24"/>
          <w:szCs w:val="24"/>
        </w:rPr>
      </w:pPr>
    </w:p>
    <w:p w:rsidR="003406C7" w:rsidRPr="00E67F4D" w:rsidRDefault="00E67F4D" w:rsidP="003406C7">
      <w:pPr>
        <w:rPr>
          <w:rFonts w:ascii="Times New Roman" w:eastAsia="Calibri" w:hAnsi="Times New Roman" w:cs="Times New Roman"/>
          <w:b/>
          <w:sz w:val="24"/>
          <w:szCs w:val="24"/>
        </w:rPr>
      </w:pPr>
      <w:r w:rsidRPr="00E67F4D">
        <w:rPr>
          <w:rFonts w:ascii="Times New Roman" w:eastAsia="Calibri" w:hAnsi="Times New Roman" w:cs="Times New Roman"/>
          <w:b/>
          <w:sz w:val="24"/>
          <w:szCs w:val="24"/>
        </w:rPr>
        <w:t>8.7</w:t>
      </w:r>
      <w:r w:rsidR="00BD2329" w:rsidRPr="00E67F4D">
        <w:rPr>
          <w:rFonts w:ascii="Times New Roman" w:eastAsia="Calibri" w:hAnsi="Times New Roman" w:cs="Times New Roman"/>
          <w:b/>
          <w:sz w:val="24"/>
          <w:szCs w:val="24"/>
        </w:rPr>
        <w:t xml:space="preserve">  </w:t>
      </w:r>
      <w:r w:rsidR="003406C7" w:rsidRPr="00E67F4D">
        <w:rPr>
          <w:rFonts w:ascii="Times New Roman" w:eastAsia="Calibri" w:hAnsi="Times New Roman" w:cs="Times New Roman"/>
          <w:b/>
          <w:sz w:val="24"/>
          <w:szCs w:val="24"/>
        </w:rPr>
        <w:t>Objektivat strategjik</w:t>
      </w:r>
      <w:r w:rsidR="00C846E8">
        <w:rPr>
          <w:rFonts w:ascii="Times New Roman" w:eastAsia="Calibri" w:hAnsi="Times New Roman" w:cs="Times New Roman"/>
          <w:b/>
          <w:sz w:val="24"/>
          <w:szCs w:val="24"/>
        </w:rPr>
        <w:t>ë</w:t>
      </w:r>
    </w:p>
    <w:p w:rsidR="003406C7" w:rsidRPr="003406C7" w:rsidRDefault="003406C7" w:rsidP="003D58A9">
      <w:pPr>
        <w:jc w:val="both"/>
        <w:rPr>
          <w:rFonts w:ascii="Times New Roman" w:eastAsia="Calibri" w:hAnsi="Times New Roman" w:cs="Times New Roman"/>
          <w:sz w:val="24"/>
          <w:szCs w:val="24"/>
        </w:rPr>
      </w:pPr>
      <w:r w:rsidRPr="003406C7">
        <w:rPr>
          <w:rFonts w:ascii="Times New Roman" w:eastAsia="Calibri" w:hAnsi="Times New Roman" w:cs="Times New Roman"/>
          <w:sz w:val="24"/>
          <w:szCs w:val="24"/>
        </w:rPr>
        <w:t>V</w:t>
      </w:r>
      <w:r>
        <w:rPr>
          <w:rFonts w:ascii="Times New Roman" w:eastAsia="Calibri" w:hAnsi="Times New Roman" w:cs="Times New Roman"/>
          <w:sz w:val="24"/>
          <w:szCs w:val="24"/>
        </w:rPr>
        <w:t>KM</w:t>
      </w:r>
      <w:r w:rsidRPr="003406C7">
        <w:rPr>
          <w:rFonts w:ascii="Times New Roman" w:eastAsia="Calibri" w:hAnsi="Times New Roman" w:cs="Times New Roman"/>
          <w:sz w:val="24"/>
          <w:szCs w:val="24"/>
        </w:rPr>
        <w:t xml:space="preserve"> Nr. 814, datë 31.12.2018</w:t>
      </w:r>
      <w:r>
        <w:rPr>
          <w:rFonts w:ascii="Times New Roman" w:eastAsia="Calibri" w:hAnsi="Times New Roman" w:cs="Times New Roman"/>
          <w:sz w:val="24"/>
          <w:szCs w:val="24"/>
        </w:rPr>
        <w:t>“P</w:t>
      </w:r>
      <w:r w:rsidRPr="003406C7">
        <w:rPr>
          <w:rFonts w:ascii="Times New Roman" w:eastAsia="Calibri" w:hAnsi="Times New Roman" w:cs="Times New Roman"/>
          <w:sz w:val="24"/>
          <w:szCs w:val="24"/>
        </w:rPr>
        <w:t>ër miratimin e dokumen</w:t>
      </w:r>
      <w:r w:rsidR="00265E19">
        <w:rPr>
          <w:rFonts w:ascii="Times New Roman" w:eastAsia="Calibri" w:hAnsi="Times New Roman" w:cs="Times New Roman"/>
          <w:sz w:val="24"/>
          <w:szCs w:val="24"/>
        </w:rPr>
        <w:t>tit të politikave për pyjet në S</w:t>
      </w:r>
      <w:r w:rsidRPr="003406C7">
        <w:rPr>
          <w:rFonts w:ascii="Times New Roman" w:eastAsia="Calibri" w:hAnsi="Times New Roman" w:cs="Times New Roman"/>
          <w:sz w:val="24"/>
          <w:szCs w:val="24"/>
        </w:rPr>
        <w:t>hqipëri, 2019–2030”</w:t>
      </w:r>
    </w:p>
    <w:p w:rsidR="003406C7" w:rsidRPr="003406C7" w:rsidRDefault="00C846E8" w:rsidP="003D58A9">
      <w:pPr>
        <w:jc w:val="both"/>
        <w:rPr>
          <w:rFonts w:ascii="Times New Roman" w:eastAsia="Calibri" w:hAnsi="Times New Roman" w:cs="Times New Roman"/>
          <w:sz w:val="24"/>
          <w:szCs w:val="24"/>
        </w:rPr>
      </w:pPr>
      <w:r>
        <w:rPr>
          <w:rFonts w:ascii="Times New Roman" w:eastAsia="Calibri" w:hAnsi="Times New Roman" w:cs="Times New Roman"/>
          <w:sz w:val="24"/>
          <w:szCs w:val="24"/>
        </w:rPr>
        <w:t>Që</w:t>
      </w:r>
      <w:r w:rsidR="003406C7" w:rsidRPr="003406C7">
        <w:rPr>
          <w:rFonts w:ascii="Times New Roman" w:eastAsia="Calibri" w:hAnsi="Times New Roman" w:cs="Times New Roman"/>
          <w:sz w:val="24"/>
          <w:szCs w:val="24"/>
        </w:rPr>
        <w:t xml:space="preserve">llimi  ynë fundor është mirëqenia, siguria, paqe dhe harmoni e qytetarëve, ndaj dhe </w:t>
      </w:r>
      <w:r>
        <w:rPr>
          <w:rFonts w:ascii="Times New Roman" w:eastAsia="Calibri" w:hAnsi="Times New Roman" w:cs="Times New Roman"/>
          <w:sz w:val="24"/>
          <w:szCs w:val="24"/>
        </w:rPr>
        <w:t>synimi</w:t>
      </w:r>
      <w:r w:rsidR="003406C7" w:rsidRPr="003406C7">
        <w:rPr>
          <w:rFonts w:ascii="Times New Roman" w:eastAsia="Calibri" w:hAnsi="Times New Roman" w:cs="Times New Roman"/>
          <w:sz w:val="24"/>
          <w:szCs w:val="24"/>
        </w:rPr>
        <w:t xml:space="preserve"> që duam të arrijmë nga "Pyjet që duam" është  kontribut i qëndrueshëm për një jetë më të mirë për shoqer</w:t>
      </w:r>
      <w:r>
        <w:rPr>
          <w:rFonts w:ascii="Times New Roman" w:eastAsia="Calibri" w:hAnsi="Times New Roman" w:cs="Times New Roman"/>
          <w:sz w:val="24"/>
          <w:szCs w:val="24"/>
        </w:rPr>
        <w:t>inë sot dhe brezat e së ardhmes</w:t>
      </w:r>
      <w:r w:rsidR="003406C7" w:rsidRPr="003406C7">
        <w:rPr>
          <w:rFonts w:ascii="Times New Roman" w:eastAsia="Calibri" w:hAnsi="Times New Roman" w:cs="Times New Roman"/>
          <w:sz w:val="24"/>
          <w:szCs w:val="24"/>
        </w:rPr>
        <w:t>". Mjedisi</w:t>
      </w:r>
      <w:r>
        <w:rPr>
          <w:rFonts w:ascii="Times New Roman" w:eastAsia="Calibri" w:hAnsi="Times New Roman" w:cs="Times New Roman"/>
          <w:sz w:val="24"/>
          <w:szCs w:val="24"/>
        </w:rPr>
        <w:t xml:space="preserve"> në përgjithësi dhe pyjet në veç</w:t>
      </w:r>
      <w:r w:rsidR="003406C7" w:rsidRPr="003406C7">
        <w:rPr>
          <w:rFonts w:ascii="Times New Roman" w:eastAsia="Calibri" w:hAnsi="Times New Roman" w:cs="Times New Roman"/>
          <w:sz w:val="24"/>
          <w:szCs w:val="24"/>
        </w:rPr>
        <w:t>anti, janë skena ku zhvillohet jeta njerëzore, aktiviteti ekonomik dhe ushtrohet qeverisja, ndaj cilësia dhe gjendja e pyjeve kanë një</w:t>
      </w:r>
      <w:r>
        <w:rPr>
          <w:rFonts w:ascii="Times New Roman" w:eastAsia="Calibri" w:hAnsi="Times New Roman" w:cs="Times New Roman"/>
          <w:sz w:val="24"/>
          <w:szCs w:val="24"/>
        </w:rPr>
        <w:t xml:space="preserve"> </w:t>
      </w:r>
      <w:r w:rsidR="003406C7" w:rsidRPr="003406C7">
        <w:rPr>
          <w:rFonts w:ascii="Times New Roman" w:eastAsia="Calibri" w:hAnsi="Times New Roman" w:cs="Times New Roman"/>
          <w:sz w:val="24"/>
          <w:szCs w:val="24"/>
        </w:rPr>
        <w:t>ndikim thelbësor në disa dime</w:t>
      </w:r>
      <w:r>
        <w:rPr>
          <w:rFonts w:ascii="Times New Roman" w:eastAsia="Calibri" w:hAnsi="Times New Roman" w:cs="Times New Roman"/>
          <w:sz w:val="24"/>
          <w:szCs w:val="24"/>
        </w:rPr>
        <w:t>n</w:t>
      </w:r>
      <w:r w:rsidR="003406C7" w:rsidRPr="003406C7">
        <w:rPr>
          <w:rFonts w:ascii="Times New Roman" w:eastAsia="Calibri" w:hAnsi="Times New Roman" w:cs="Times New Roman"/>
          <w:sz w:val="24"/>
          <w:szCs w:val="24"/>
        </w:rPr>
        <w:t>sione, duke dhënë një kontribut të rëndësishem në cilësinë e ajrit, ujit, tokës, biodiversitetit, në mbrojtjen nga përmbytjet, në zhvillimin e bujqësisë, energjisë e turizmit, në uljen e varfërisë, zhvendosjet e popullsisë, z</w:t>
      </w:r>
      <w:r>
        <w:rPr>
          <w:rFonts w:ascii="Times New Roman" w:eastAsia="Calibri" w:hAnsi="Times New Roman" w:cs="Times New Roman"/>
          <w:sz w:val="24"/>
          <w:szCs w:val="24"/>
        </w:rPr>
        <w:t>butjen e konfl</w:t>
      </w:r>
      <w:r w:rsidR="003406C7" w:rsidRPr="003406C7">
        <w:rPr>
          <w:rFonts w:ascii="Times New Roman" w:eastAsia="Calibri" w:hAnsi="Times New Roman" w:cs="Times New Roman"/>
          <w:sz w:val="24"/>
          <w:szCs w:val="24"/>
        </w:rPr>
        <w:t>ikteve, zbutjen e pa barazive m</w:t>
      </w:r>
      <w:r>
        <w:rPr>
          <w:rFonts w:ascii="Times New Roman" w:eastAsia="Calibri" w:hAnsi="Times New Roman" w:cs="Times New Roman"/>
          <w:sz w:val="24"/>
          <w:szCs w:val="24"/>
        </w:rPr>
        <w:t>e baza sociale, gjinore, etnike</w:t>
      </w:r>
      <w:r w:rsidR="003406C7" w:rsidRPr="003406C7">
        <w:rPr>
          <w:rFonts w:ascii="Times New Roman" w:eastAsia="Calibri" w:hAnsi="Times New Roman" w:cs="Times New Roman"/>
          <w:sz w:val="24"/>
          <w:szCs w:val="24"/>
        </w:rPr>
        <w:t xml:space="preserve"> dhe sigurinë e vendit.</w:t>
      </w:r>
    </w:p>
    <w:p w:rsidR="003406C7" w:rsidRPr="003406C7" w:rsidRDefault="003406C7" w:rsidP="003D58A9">
      <w:pPr>
        <w:jc w:val="both"/>
        <w:rPr>
          <w:rFonts w:ascii="Times New Roman" w:eastAsia="Calibri" w:hAnsi="Times New Roman" w:cs="Times New Roman"/>
          <w:sz w:val="24"/>
          <w:szCs w:val="24"/>
        </w:rPr>
      </w:pPr>
      <w:r w:rsidRPr="003406C7">
        <w:rPr>
          <w:rFonts w:ascii="Times New Roman" w:eastAsia="Calibri" w:hAnsi="Times New Roman" w:cs="Times New Roman"/>
          <w:sz w:val="24"/>
          <w:szCs w:val="24"/>
        </w:rPr>
        <w:t>Synimet kryesore afatgjata për t'u realizuar deri në vitin 2030 nga politikat për pyjet, janë:</w:t>
      </w:r>
    </w:p>
    <w:p w:rsidR="003406C7" w:rsidRPr="003406C7" w:rsidRDefault="003406C7" w:rsidP="003D58A9">
      <w:pPr>
        <w:jc w:val="both"/>
        <w:rPr>
          <w:rFonts w:ascii="Times New Roman" w:eastAsia="Calibri" w:hAnsi="Times New Roman" w:cs="Times New Roman"/>
          <w:sz w:val="24"/>
          <w:szCs w:val="24"/>
        </w:rPr>
      </w:pPr>
      <w:r w:rsidRPr="003406C7">
        <w:rPr>
          <w:rFonts w:ascii="Times New Roman" w:eastAsia="Calibri" w:hAnsi="Times New Roman" w:cs="Times New Roman"/>
          <w:sz w:val="24"/>
          <w:szCs w:val="24"/>
        </w:rPr>
        <w:t xml:space="preserve">● Synimi Strategjik 1 </w:t>
      </w:r>
      <w:r w:rsidRPr="003406C7">
        <w:rPr>
          <w:rFonts w:ascii="Times New Roman" w:eastAsia="Calibri" w:hAnsi="Times New Roman" w:cs="Times New Roman"/>
          <w:b/>
          <w:sz w:val="24"/>
          <w:szCs w:val="24"/>
        </w:rPr>
        <w:t>"Administrimi i Mirë"</w:t>
      </w:r>
      <w:r w:rsidRPr="003406C7">
        <w:rPr>
          <w:rFonts w:ascii="Times New Roman" w:eastAsia="Calibri" w:hAnsi="Times New Roman" w:cs="Times New Roman"/>
          <w:sz w:val="24"/>
          <w:szCs w:val="24"/>
        </w:rPr>
        <w:t xml:space="preserve">:Kthimi i trendit pozitiv në pyje duke synuar një rritje të volumit të përgjithshëm të fondit pyjor  rreth 20% më shumë të volumit të përgjithshëm aktual. </w:t>
      </w:r>
    </w:p>
    <w:p w:rsidR="003406C7" w:rsidRPr="003406C7" w:rsidRDefault="003406C7" w:rsidP="003D58A9">
      <w:pPr>
        <w:jc w:val="both"/>
        <w:rPr>
          <w:rFonts w:ascii="Times New Roman" w:eastAsia="Calibri" w:hAnsi="Times New Roman" w:cs="Times New Roman"/>
          <w:sz w:val="24"/>
          <w:szCs w:val="24"/>
        </w:rPr>
      </w:pPr>
      <w:r w:rsidRPr="003406C7">
        <w:rPr>
          <w:rFonts w:ascii="Times New Roman" w:eastAsia="Calibri" w:hAnsi="Times New Roman" w:cs="Times New Roman"/>
          <w:sz w:val="24"/>
          <w:szCs w:val="24"/>
        </w:rPr>
        <w:t xml:space="preserve">● Synimi Strategjik, 2 </w:t>
      </w:r>
      <w:r w:rsidRPr="003406C7">
        <w:rPr>
          <w:rFonts w:ascii="Times New Roman" w:eastAsia="Calibri" w:hAnsi="Times New Roman" w:cs="Times New Roman"/>
          <w:b/>
          <w:sz w:val="24"/>
          <w:szCs w:val="24"/>
        </w:rPr>
        <w:t>"Organizim Funksional"</w:t>
      </w:r>
      <w:r w:rsidRPr="003406C7">
        <w:rPr>
          <w:rFonts w:ascii="Times New Roman" w:eastAsia="Calibri" w:hAnsi="Times New Roman" w:cs="Times New Roman"/>
          <w:sz w:val="24"/>
          <w:szCs w:val="24"/>
        </w:rPr>
        <w:t>:Ngritja, venia në funksionim dhe fuqizirni i një sistemi organizativ institucional eficent dhe efikas, nga qendra deri në fshat, që vepron sipas standardeve dhe praktikave më të mira, i organizuar në mënyrë funksionale, me infomacion, dije dhe kapacite</w:t>
      </w:r>
      <w:r w:rsidR="00C846E8">
        <w:rPr>
          <w:rFonts w:ascii="Times New Roman" w:eastAsia="Calibri" w:hAnsi="Times New Roman" w:cs="Times New Roman"/>
          <w:sz w:val="24"/>
          <w:szCs w:val="24"/>
        </w:rPr>
        <w:t>te të duhura profesionale dhe me</w:t>
      </w:r>
      <w:r w:rsidRPr="003406C7">
        <w:rPr>
          <w:rFonts w:ascii="Times New Roman" w:eastAsia="Calibri" w:hAnsi="Times New Roman" w:cs="Times New Roman"/>
          <w:sz w:val="24"/>
          <w:szCs w:val="24"/>
        </w:rPr>
        <w:t>naxheriale,</w:t>
      </w:r>
      <w:r w:rsidR="00C846E8">
        <w:rPr>
          <w:rFonts w:ascii="Times New Roman" w:eastAsia="Calibri" w:hAnsi="Times New Roman" w:cs="Times New Roman"/>
          <w:sz w:val="24"/>
          <w:szCs w:val="24"/>
        </w:rPr>
        <w:t xml:space="preserve"> </w:t>
      </w:r>
      <w:r w:rsidRPr="003406C7">
        <w:rPr>
          <w:rFonts w:ascii="Times New Roman" w:eastAsia="Calibri" w:hAnsi="Times New Roman" w:cs="Times New Roman"/>
          <w:sz w:val="24"/>
          <w:szCs w:val="24"/>
        </w:rPr>
        <w:t>duke ngritur dhe mirëmbajtur një bazë të dhënash të plotë dhe të qëndrueshme, dhe me infrastrukturë e teknologji mode</w:t>
      </w:r>
      <w:r w:rsidR="00C846E8">
        <w:rPr>
          <w:rFonts w:ascii="Times New Roman" w:eastAsia="Calibri" w:hAnsi="Times New Roman" w:cs="Times New Roman"/>
          <w:sz w:val="24"/>
          <w:szCs w:val="24"/>
        </w:rPr>
        <w:t>rn</w:t>
      </w:r>
      <w:r w:rsidRPr="003406C7">
        <w:rPr>
          <w:rFonts w:ascii="Times New Roman" w:eastAsia="Calibri" w:hAnsi="Times New Roman" w:cs="Times New Roman"/>
          <w:sz w:val="24"/>
          <w:szCs w:val="24"/>
        </w:rPr>
        <w:t>e.</w:t>
      </w:r>
    </w:p>
    <w:p w:rsidR="003406C7" w:rsidRPr="003406C7" w:rsidRDefault="003406C7" w:rsidP="003D58A9">
      <w:pPr>
        <w:jc w:val="both"/>
        <w:rPr>
          <w:rFonts w:ascii="Times New Roman" w:eastAsia="Calibri" w:hAnsi="Times New Roman" w:cs="Times New Roman"/>
          <w:sz w:val="24"/>
          <w:szCs w:val="24"/>
        </w:rPr>
      </w:pPr>
    </w:p>
    <w:p w:rsidR="003406C7" w:rsidRPr="003406C7" w:rsidRDefault="003406C7" w:rsidP="003D58A9">
      <w:pPr>
        <w:jc w:val="both"/>
        <w:rPr>
          <w:rFonts w:ascii="Times New Roman" w:eastAsia="Calibri" w:hAnsi="Times New Roman" w:cs="Times New Roman"/>
          <w:sz w:val="24"/>
          <w:szCs w:val="24"/>
        </w:rPr>
      </w:pPr>
      <w:r w:rsidRPr="003406C7">
        <w:rPr>
          <w:rFonts w:ascii="Times New Roman" w:eastAsia="Calibri" w:hAnsi="Times New Roman" w:cs="Times New Roman"/>
          <w:sz w:val="24"/>
          <w:szCs w:val="24"/>
        </w:rPr>
        <w:t xml:space="preserve">● Synimi Strategjik 3 </w:t>
      </w:r>
      <w:r w:rsidRPr="003406C7">
        <w:rPr>
          <w:rFonts w:ascii="Times New Roman" w:eastAsia="Calibri" w:hAnsi="Times New Roman" w:cs="Times New Roman"/>
          <w:b/>
          <w:sz w:val="24"/>
          <w:szCs w:val="24"/>
        </w:rPr>
        <w:t>"Shfrytëzim i Qëndrueshëm"</w:t>
      </w:r>
      <w:r w:rsidRPr="003406C7">
        <w:rPr>
          <w:rFonts w:ascii="Times New Roman" w:eastAsia="Calibri" w:hAnsi="Times New Roman" w:cs="Times New Roman"/>
          <w:sz w:val="24"/>
          <w:szCs w:val="24"/>
        </w:rPr>
        <w:t>:Përdorim i burimeve pyjore në mënyrë të qëndrueshme dhe në funksion të zhvillimit të vendit, duke optimizuar përdorimin dhe vlerën e tij, duke balancuar përdorimet e ndryshme në maksimumin e vlerës që mund të marrim përkundrejt mundësisë që pyjet kanë për të dhënë, pa cënuar vazhdueshmërinë e jetës dhe ciklit të pyllit, si dhe të ardhmen e brezave. Pozicionimin e pyjeve si element qendor në vlerën e paketës turistike, në bregdet, mal, historik apo kulturor, fuqizmin e industrisë përpunuese të produktev</w:t>
      </w:r>
      <w:r w:rsidR="00C846E8">
        <w:rPr>
          <w:rFonts w:ascii="Times New Roman" w:eastAsia="Calibri" w:hAnsi="Times New Roman" w:cs="Times New Roman"/>
          <w:sz w:val="24"/>
          <w:szCs w:val="24"/>
        </w:rPr>
        <w:t>e të dyta si një element i rëndë</w:t>
      </w:r>
      <w:r w:rsidRPr="003406C7">
        <w:rPr>
          <w:rFonts w:ascii="Times New Roman" w:eastAsia="Calibri" w:hAnsi="Times New Roman" w:cs="Times New Roman"/>
          <w:sz w:val="24"/>
          <w:szCs w:val="24"/>
        </w:rPr>
        <w:t>sishëm i zhvillimit rural dhe pozicionimin e pyjeve dhe ekonominë e gjelbër, si një burim punësimi dhe garantimi të ciklit ekonomik të vendit.</w:t>
      </w:r>
    </w:p>
    <w:p w:rsidR="003406C7" w:rsidRDefault="003406C7" w:rsidP="003D58A9">
      <w:pPr>
        <w:jc w:val="both"/>
        <w:rPr>
          <w:rFonts w:ascii="Times New Roman" w:eastAsia="Calibri" w:hAnsi="Times New Roman" w:cs="Times New Roman"/>
          <w:sz w:val="24"/>
          <w:szCs w:val="24"/>
        </w:rPr>
      </w:pPr>
      <w:r w:rsidRPr="003406C7">
        <w:rPr>
          <w:rFonts w:ascii="Times New Roman" w:eastAsia="Calibri" w:hAnsi="Times New Roman" w:cs="Times New Roman"/>
          <w:sz w:val="24"/>
          <w:szCs w:val="24"/>
        </w:rPr>
        <w:t xml:space="preserve">● Synimi Strategjik 4 </w:t>
      </w:r>
      <w:r w:rsidRPr="003406C7">
        <w:rPr>
          <w:rFonts w:ascii="Times New Roman" w:eastAsia="Calibri" w:hAnsi="Times New Roman" w:cs="Times New Roman"/>
          <w:b/>
          <w:sz w:val="24"/>
          <w:szCs w:val="24"/>
        </w:rPr>
        <w:t>"Shërbime Cilësore":</w:t>
      </w:r>
      <w:r w:rsidRPr="003406C7">
        <w:rPr>
          <w:rFonts w:ascii="Times New Roman" w:eastAsia="Calibri" w:hAnsi="Times New Roman" w:cs="Times New Roman"/>
          <w:sz w:val="24"/>
          <w:szCs w:val="24"/>
        </w:rPr>
        <w:t>Shërbime cilësore ndaj pyjeve, të integruara në kohën dhe vendin e duhur, duke synuar rritjen e shpejtë, mbrojtjen e duhur, cilësinë e kërkuar, përmirësimin e sipërfaqeve të djegura apo të dëmtuara në vitet e fundi</w:t>
      </w:r>
      <w:r w:rsidR="00BD2329">
        <w:rPr>
          <w:rFonts w:ascii="Times New Roman" w:eastAsia="Calibri" w:hAnsi="Times New Roman" w:cs="Times New Roman"/>
          <w:sz w:val="24"/>
          <w:szCs w:val="24"/>
        </w:rPr>
        <w:t>t.</w:t>
      </w:r>
    </w:p>
    <w:p w:rsidR="00E67F4D" w:rsidRDefault="00E67F4D" w:rsidP="004D7AA4">
      <w:pPr>
        <w:rPr>
          <w:rFonts w:ascii="Arial" w:eastAsia="Times New Roman" w:hAnsi="Arial" w:cs="Arial"/>
          <w:color w:val="3D5265"/>
          <w:sz w:val="24"/>
          <w:szCs w:val="24"/>
        </w:rPr>
      </w:pPr>
    </w:p>
    <w:p w:rsidR="000F53CF" w:rsidRDefault="000F53CF" w:rsidP="004D7AA4">
      <w:pPr>
        <w:rPr>
          <w:rFonts w:ascii="Arial" w:eastAsia="Times New Roman" w:hAnsi="Arial" w:cs="Arial"/>
          <w:color w:val="3D5265"/>
          <w:sz w:val="24"/>
          <w:szCs w:val="24"/>
        </w:rPr>
      </w:pPr>
    </w:p>
    <w:p w:rsidR="000F53CF" w:rsidRDefault="000F53CF" w:rsidP="004D7AA4">
      <w:pPr>
        <w:rPr>
          <w:rFonts w:ascii="Arial" w:eastAsia="Times New Roman" w:hAnsi="Arial" w:cs="Arial"/>
          <w:color w:val="3D5265"/>
          <w:sz w:val="24"/>
          <w:szCs w:val="24"/>
        </w:rPr>
      </w:pPr>
    </w:p>
    <w:p w:rsidR="009E6FC6" w:rsidRPr="00E67F4D" w:rsidRDefault="00E67F4D" w:rsidP="004D7AA4">
      <w:pPr>
        <w:rPr>
          <w:rFonts w:ascii="Times New Roman" w:eastAsia="Times New Roman" w:hAnsi="Times New Roman" w:cs="Times New Roman"/>
          <w:b/>
          <w:sz w:val="24"/>
          <w:szCs w:val="24"/>
        </w:rPr>
      </w:pPr>
      <w:r w:rsidRPr="00E67F4D">
        <w:rPr>
          <w:rFonts w:ascii="Times New Roman" w:eastAsia="Times New Roman" w:hAnsi="Times New Roman" w:cs="Times New Roman"/>
          <w:b/>
          <w:sz w:val="24"/>
          <w:szCs w:val="24"/>
        </w:rPr>
        <w:t>8.8</w:t>
      </w:r>
      <w:r w:rsidR="009E6FC6" w:rsidRPr="00E67F4D">
        <w:rPr>
          <w:rFonts w:ascii="Times New Roman" w:eastAsia="Times New Roman" w:hAnsi="Times New Roman" w:cs="Times New Roman"/>
          <w:b/>
          <w:sz w:val="24"/>
          <w:szCs w:val="24"/>
        </w:rPr>
        <w:t xml:space="preserve"> Zonat e mbrojtura</w:t>
      </w:r>
    </w:p>
    <w:p w:rsidR="00E67F4D" w:rsidRPr="00E67F4D" w:rsidRDefault="00E67F4D" w:rsidP="00E67F4D">
      <w:pPr>
        <w:spacing w:after="0" w:line="240" w:lineRule="auto"/>
        <w:jc w:val="both"/>
        <w:rPr>
          <w:rFonts w:ascii="Times New Roman" w:eastAsia="Times New Roman" w:hAnsi="Times New Roman" w:cs="Times New Roman"/>
          <w:b/>
          <w:color w:val="000000"/>
          <w:sz w:val="24"/>
          <w:szCs w:val="24"/>
          <w:u w:color="000000"/>
          <w:lang w:val="sq-AL"/>
        </w:rPr>
      </w:pPr>
      <w:r w:rsidRPr="00E67F4D">
        <w:rPr>
          <w:rFonts w:ascii="Times New Roman" w:eastAsia="Times New Roman" w:hAnsi="Times New Roman" w:cs="Times New Roman"/>
          <w:color w:val="000000"/>
          <w:sz w:val="24"/>
          <w:szCs w:val="24"/>
          <w:u w:color="000000"/>
          <w:lang w:val="en-GB"/>
        </w:rPr>
        <w:t>Rrjeti Kombëtar i Zo</w:t>
      </w:r>
      <w:r w:rsidR="00C846E8">
        <w:rPr>
          <w:rFonts w:ascii="Times New Roman" w:eastAsia="Times New Roman" w:hAnsi="Times New Roman" w:cs="Times New Roman"/>
          <w:color w:val="000000"/>
          <w:sz w:val="24"/>
          <w:szCs w:val="24"/>
          <w:u w:color="000000"/>
          <w:lang w:val="en-GB"/>
        </w:rPr>
        <w:t>nave të Mbrojtura në vendin tonë</w:t>
      </w:r>
      <w:r w:rsidRPr="00E67F4D">
        <w:rPr>
          <w:rFonts w:ascii="Times New Roman" w:eastAsia="Times New Roman" w:hAnsi="Times New Roman" w:cs="Times New Roman"/>
          <w:color w:val="000000"/>
          <w:sz w:val="24"/>
          <w:szCs w:val="24"/>
          <w:u w:color="000000"/>
          <w:lang w:val="en-GB"/>
        </w:rPr>
        <w:t>, përbëhet nga kategoritë sipas klasifikimit të Institutit Ndërkombëtar të Ruajtjes së Natyrës (IUCN), si më poshtë:</w:t>
      </w:r>
    </w:p>
    <w:p w:rsidR="00E67F4D" w:rsidRPr="00E67F4D" w:rsidRDefault="00E67F4D" w:rsidP="00E67F4D">
      <w:pPr>
        <w:spacing w:after="0" w:line="240" w:lineRule="auto"/>
        <w:rPr>
          <w:rFonts w:ascii="Times New Roman" w:eastAsia="Times New Roman" w:hAnsi="Times New Roman" w:cs="Times New Roman"/>
          <w:i/>
          <w:color w:val="000000"/>
          <w:sz w:val="24"/>
          <w:szCs w:val="24"/>
          <w:u w:color="000000"/>
          <w:lang w:val="en-GB"/>
        </w:rPr>
      </w:pPr>
    </w:p>
    <w:tbl>
      <w:tblPr>
        <w:tblW w:w="9214" w:type="dxa"/>
        <w:tblInd w:w="-5" w:type="dxa"/>
        <w:tblLook w:val="04A0" w:firstRow="1" w:lastRow="0" w:firstColumn="1" w:lastColumn="0" w:noHBand="0" w:noVBand="1"/>
      </w:tblPr>
      <w:tblGrid>
        <w:gridCol w:w="1123"/>
        <w:gridCol w:w="3954"/>
        <w:gridCol w:w="970"/>
        <w:gridCol w:w="1243"/>
        <w:gridCol w:w="1924"/>
      </w:tblGrid>
      <w:tr w:rsidR="00E67F4D" w:rsidRPr="00E67F4D" w:rsidTr="00E67F4D">
        <w:trPr>
          <w:trHeight w:val="630"/>
        </w:trPr>
        <w:tc>
          <w:tcPr>
            <w:tcW w:w="1123" w:type="dxa"/>
            <w:tcBorders>
              <w:top w:val="single" w:sz="4" w:space="0" w:color="auto"/>
              <w:left w:val="single" w:sz="4" w:space="0" w:color="auto"/>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b/>
                <w:color w:val="000000"/>
                <w:sz w:val="24"/>
                <w:szCs w:val="24"/>
                <w:u w:color="000000"/>
                <w:lang w:val="sq-AL"/>
              </w:rPr>
            </w:pPr>
            <w:r w:rsidRPr="00E67F4D">
              <w:rPr>
                <w:rFonts w:ascii="Times New Roman" w:eastAsia="Times New Roman" w:hAnsi="Times New Roman" w:cs="Times New Roman"/>
                <w:b/>
                <w:color w:val="000000"/>
                <w:sz w:val="24"/>
                <w:szCs w:val="24"/>
                <w:u w:color="000000"/>
                <w:lang w:val="sq-AL"/>
              </w:rPr>
              <w:t>Nr.</w:t>
            </w:r>
          </w:p>
        </w:tc>
        <w:tc>
          <w:tcPr>
            <w:tcW w:w="3954" w:type="dxa"/>
            <w:tcBorders>
              <w:top w:val="single" w:sz="4" w:space="0" w:color="auto"/>
              <w:left w:val="nil"/>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b/>
                <w:color w:val="000000"/>
                <w:sz w:val="24"/>
                <w:szCs w:val="24"/>
                <w:u w:color="000000"/>
                <w:lang w:val="sq-AL"/>
              </w:rPr>
            </w:pPr>
            <w:r w:rsidRPr="00E67F4D">
              <w:rPr>
                <w:rFonts w:ascii="Times New Roman" w:eastAsia="Times New Roman" w:hAnsi="Times New Roman" w:cs="Times New Roman"/>
                <w:b/>
                <w:color w:val="000000"/>
                <w:sz w:val="24"/>
                <w:szCs w:val="24"/>
                <w:u w:color="000000"/>
                <w:lang w:val="sq-AL"/>
              </w:rPr>
              <w:t>Emërtimi i kategorisë së zonës së mbrojtur mjedisore</w:t>
            </w:r>
          </w:p>
        </w:tc>
        <w:tc>
          <w:tcPr>
            <w:tcW w:w="970" w:type="dxa"/>
            <w:tcBorders>
              <w:top w:val="single" w:sz="4" w:space="0" w:color="auto"/>
              <w:left w:val="nil"/>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b/>
                <w:color w:val="000000"/>
                <w:sz w:val="24"/>
                <w:szCs w:val="24"/>
                <w:u w:color="000000"/>
                <w:lang w:val="sq-AL"/>
              </w:rPr>
            </w:pPr>
            <w:r w:rsidRPr="00E67F4D">
              <w:rPr>
                <w:rFonts w:ascii="Times New Roman" w:eastAsia="Times New Roman" w:hAnsi="Times New Roman" w:cs="Times New Roman"/>
                <w:b/>
                <w:color w:val="000000"/>
                <w:sz w:val="24"/>
                <w:szCs w:val="24"/>
                <w:u w:color="000000"/>
                <w:lang w:val="sq-AL"/>
              </w:rPr>
              <w:t>Nr.</w:t>
            </w:r>
          </w:p>
        </w:tc>
        <w:tc>
          <w:tcPr>
            <w:tcW w:w="1243" w:type="dxa"/>
            <w:tcBorders>
              <w:top w:val="single" w:sz="4" w:space="0" w:color="auto"/>
              <w:left w:val="nil"/>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b/>
                <w:color w:val="000000"/>
                <w:sz w:val="24"/>
                <w:szCs w:val="24"/>
                <w:u w:color="000000"/>
                <w:lang w:val="sq-AL"/>
              </w:rPr>
            </w:pPr>
            <w:r w:rsidRPr="00E67F4D">
              <w:rPr>
                <w:rFonts w:ascii="Times New Roman" w:eastAsia="Times New Roman" w:hAnsi="Times New Roman" w:cs="Times New Roman"/>
                <w:b/>
                <w:color w:val="000000"/>
                <w:sz w:val="24"/>
                <w:szCs w:val="24"/>
                <w:u w:color="000000"/>
                <w:lang w:val="sq-AL"/>
              </w:rPr>
              <w:t>Kategoria</w:t>
            </w:r>
          </w:p>
        </w:tc>
        <w:tc>
          <w:tcPr>
            <w:tcW w:w="1924" w:type="dxa"/>
            <w:tcBorders>
              <w:top w:val="single" w:sz="4" w:space="0" w:color="auto"/>
              <w:left w:val="nil"/>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b/>
                <w:color w:val="000000"/>
                <w:sz w:val="24"/>
                <w:szCs w:val="24"/>
                <w:u w:color="000000"/>
                <w:lang w:val="sq-AL"/>
              </w:rPr>
            </w:pPr>
            <w:r w:rsidRPr="00E67F4D">
              <w:rPr>
                <w:rFonts w:ascii="Times New Roman" w:eastAsia="Times New Roman" w:hAnsi="Times New Roman" w:cs="Times New Roman"/>
                <w:b/>
                <w:color w:val="000000"/>
                <w:sz w:val="24"/>
                <w:szCs w:val="24"/>
                <w:u w:color="000000"/>
                <w:lang w:val="sq-AL"/>
              </w:rPr>
              <w:t>Sip. në Ha</w:t>
            </w:r>
          </w:p>
        </w:tc>
      </w:tr>
      <w:tr w:rsidR="00E67F4D" w:rsidRPr="00E67F4D" w:rsidTr="00E67F4D">
        <w:trPr>
          <w:trHeight w:val="375"/>
        </w:trPr>
        <w:tc>
          <w:tcPr>
            <w:tcW w:w="1123" w:type="dxa"/>
            <w:tcBorders>
              <w:top w:val="nil"/>
              <w:left w:val="single" w:sz="4" w:space="0" w:color="auto"/>
              <w:bottom w:val="single" w:sz="4" w:space="0" w:color="auto"/>
              <w:right w:val="single" w:sz="4" w:space="0" w:color="auto"/>
            </w:tcBorders>
            <w:vAlign w:val="center"/>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p>
        </w:tc>
        <w:tc>
          <w:tcPr>
            <w:tcW w:w="3954" w:type="dxa"/>
            <w:tcBorders>
              <w:top w:val="nil"/>
              <w:left w:val="nil"/>
              <w:bottom w:val="single" w:sz="4" w:space="0" w:color="auto"/>
              <w:right w:val="single" w:sz="4" w:space="0" w:color="auto"/>
            </w:tcBorders>
            <w:vAlign w:val="center"/>
          </w:tcPr>
          <w:p w:rsidR="00E67F4D" w:rsidRPr="00E67F4D" w:rsidRDefault="00E67F4D" w:rsidP="00E67F4D">
            <w:pPr>
              <w:spacing w:after="0" w:line="240" w:lineRule="auto"/>
              <w:jc w:val="both"/>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Gjithsej</w:t>
            </w:r>
          </w:p>
        </w:tc>
        <w:tc>
          <w:tcPr>
            <w:tcW w:w="970" w:type="dxa"/>
            <w:tcBorders>
              <w:top w:val="nil"/>
              <w:left w:val="nil"/>
              <w:bottom w:val="single" w:sz="4" w:space="0" w:color="auto"/>
              <w:right w:val="single" w:sz="4" w:space="0" w:color="auto"/>
            </w:tcBorders>
            <w:vAlign w:val="center"/>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777</w:t>
            </w:r>
          </w:p>
        </w:tc>
        <w:tc>
          <w:tcPr>
            <w:tcW w:w="1243" w:type="dxa"/>
            <w:tcBorders>
              <w:top w:val="nil"/>
              <w:left w:val="nil"/>
              <w:bottom w:val="single" w:sz="4" w:space="0" w:color="auto"/>
              <w:right w:val="single" w:sz="4" w:space="0" w:color="auto"/>
            </w:tcBorders>
            <w:vAlign w:val="center"/>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p>
        </w:tc>
        <w:tc>
          <w:tcPr>
            <w:tcW w:w="1924" w:type="dxa"/>
            <w:tcBorders>
              <w:top w:val="nil"/>
              <w:left w:val="nil"/>
              <w:bottom w:val="single" w:sz="4" w:space="0" w:color="auto"/>
              <w:right w:val="single" w:sz="4" w:space="0" w:color="auto"/>
            </w:tcBorders>
            <w:vAlign w:val="center"/>
          </w:tcPr>
          <w:p w:rsidR="00E67F4D" w:rsidRPr="00E67F4D" w:rsidRDefault="00E67F4D" w:rsidP="00E67F4D">
            <w:pPr>
              <w:spacing w:after="0" w:line="240" w:lineRule="auto"/>
              <w:rPr>
                <w:rFonts w:ascii="Times New Roman" w:eastAsia="Times New Roman" w:hAnsi="Times New Roman" w:cs="Times New Roman"/>
                <w:b/>
                <w:bCs/>
                <w:color w:val="000000"/>
                <w:sz w:val="24"/>
                <w:szCs w:val="24"/>
                <w:u w:color="000000"/>
                <w:lang w:val="sq-AL"/>
              </w:rPr>
            </w:pPr>
            <w:r w:rsidRPr="00E67F4D">
              <w:rPr>
                <w:rFonts w:ascii="Times New Roman" w:eastAsia="Times New Roman" w:hAnsi="Times New Roman" w:cs="Times New Roman"/>
                <w:b/>
                <w:bCs/>
                <w:color w:val="000000"/>
                <w:sz w:val="24"/>
                <w:szCs w:val="24"/>
                <w:u w:color="000000"/>
                <w:lang w:val="sq-AL"/>
              </w:rPr>
              <w:t>625550.63</w:t>
            </w:r>
          </w:p>
        </w:tc>
      </w:tr>
      <w:tr w:rsidR="00E67F4D" w:rsidRPr="00E67F4D" w:rsidTr="00E67F4D">
        <w:trPr>
          <w:trHeight w:val="375"/>
        </w:trPr>
        <w:tc>
          <w:tcPr>
            <w:tcW w:w="1123" w:type="dxa"/>
            <w:tcBorders>
              <w:top w:val="nil"/>
              <w:left w:val="single" w:sz="4" w:space="0" w:color="auto"/>
              <w:bottom w:val="single" w:sz="4" w:space="0" w:color="auto"/>
              <w:right w:val="single" w:sz="4" w:space="0" w:color="auto"/>
            </w:tcBorders>
            <w:vAlign w:val="center"/>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1</w:t>
            </w:r>
          </w:p>
        </w:tc>
        <w:tc>
          <w:tcPr>
            <w:tcW w:w="3954" w:type="dxa"/>
            <w:tcBorders>
              <w:top w:val="nil"/>
              <w:left w:val="nil"/>
              <w:bottom w:val="single" w:sz="4" w:space="0" w:color="auto"/>
              <w:right w:val="single" w:sz="4" w:space="0" w:color="auto"/>
            </w:tcBorders>
            <w:vAlign w:val="center"/>
          </w:tcPr>
          <w:p w:rsidR="00E67F4D" w:rsidRPr="00E67F4D" w:rsidRDefault="00E67F4D" w:rsidP="00E67F4D">
            <w:pPr>
              <w:spacing w:after="0" w:line="240" w:lineRule="auto"/>
              <w:jc w:val="both"/>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Rezervë Strikte Natyrore</w:t>
            </w:r>
          </w:p>
        </w:tc>
        <w:tc>
          <w:tcPr>
            <w:tcW w:w="970" w:type="dxa"/>
            <w:tcBorders>
              <w:top w:val="nil"/>
              <w:left w:val="nil"/>
              <w:bottom w:val="single" w:sz="4" w:space="0" w:color="auto"/>
              <w:right w:val="single" w:sz="4" w:space="0" w:color="auto"/>
            </w:tcBorders>
            <w:vAlign w:val="center"/>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0</w:t>
            </w:r>
          </w:p>
        </w:tc>
        <w:tc>
          <w:tcPr>
            <w:tcW w:w="1243" w:type="dxa"/>
            <w:tcBorders>
              <w:top w:val="nil"/>
              <w:left w:val="nil"/>
              <w:bottom w:val="single" w:sz="4" w:space="0" w:color="auto"/>
              <w:right w:val="single" w:sz="4" w:space="0" w:color="auto"/>
            </w:tcBorders>
            <w:vAlign w:val="center"/>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I</w:t>
            </w:r>
          </w:p>
        </w:tc>
        <w:tc>
          <w:tcPr>
            <w:tcW w:w="1924" w:type="dxa"/>
            <w:tcBorders>
              <w:top w:val="nil"/>
              <w:left w:val="nil"/>
              <w:bottom w:val="single" w:sz="4" w:space="0" w:color="auto"/>
              <w:right w:val="single" w:sz="4" w:space="0" w:color="auto"/>
            </w:tcBorders>
            <w:vAlign w:val="center"/>
          </w:tcPr>
          <w:p w:rsidR="00E67F4D" w:rsidRPr="00E67F4D" w:rsidRDefault="00E67F4D" w:rsidP="00E67F4D">
            <w:pPr>
              <w:spacing w:after="0" w:line="240" w:lineRule="auto"/>
              <w:rPr>
                <w:rFonts w:ascii="Times New Roman" w:eastAsia="Times New Roman" w:hAnsi="Times New Roman" w:cs="Times New Roman"/>
                <w:b/>
                <w:bCs/>
                <w:color w:val="000000"/>
                <w:sz w:val="24"/>
                <w:szCs w:val="24"/>
                <w:u w:color="000000"/>
                <w:lang w:val="sq-AL"/>
              </w:rPr>
            </w:pPr>
            <w:r w:rsidRPr="00E67F4D">
              <w:rPr>
                <w:rFonts w:ascii="Times New Roman" w:eastAsia="Times New Roman" w:hAnsi="Times New Roman" w:cs="Times New Roman"/>
                <w:b/>
                <w:bCs/>
                <w:color w:val="000000"/>
                <w:sz w:val="24"/>
                <w:szCs w:val="24"/>
                <w:u w:color="000000"/>
                <w:lang w:val="sq-AL"/>
              </w:rPr>
              <w:t>0</w:t>
            </w:r>
          </w:p>
        </w:tc>
      </w:tr>
      <w:tr w:rsidR="00E67F4D" w:rsidRPr="00E67F4D" w:rsidTr="00E67F4D">
        <w:trPr>
          <w:trHeight w:val="375"/>
        </w:trPr>
        <w:tc>
          <w:tcPr>
            <w:tcW w:w="1123" w:type="dxa"/>
            <w:tcBorders>
              <w:top w:val="nil"/>
              <w:left w:val="single" w:sz="4" w:space="0" w:color="auto"/>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2</w:t>
            </w:r>
          </w:p>
        </w:tc>
        <w:tc>
          <w:tcPr>
            <w:tcW w:w="3954"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jc w:val="both"/>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 xml:space="preserve">Park Kombëtar </w:t>
            </w:r>
          </w:p>
        </w:tc>
        <w:tc>
          <w:tcPr>
            <w:tcW w:w="970"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 xml:space="preserve"> 12</w:t>
            </w:r>
          </w:p>
        </w:tc>
        <w:tc>
          <w:tcPr>
            <w:tcW w:w="1243"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II</w:t>
            </w:r>
          </w:p>
        </w:tc>
        <w:tc>
          <w:tcPr>
            <w:tcW w:w="1924"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b/>
                <w:bCs/>
                <w:color w:val="000000"/>
                <w:sz w:val="24"/>
                <w:szCs w:val="24"/>
                <w:u w:color="000000"/>
                <w:lang w:val="sq-AL"/>
              </w:rPr>
              <w:t>313923,77</w:t>
            </w:r>
          </w:p>
        </w:tc>
      </w:tr>
      <w:tr w:rsidR="00E67F4D" w:rsidRPr="00E67F4D" w:rsidTr="00E67F4D">
        <w:trPr>
          <w:trHeight w:val="315"/>
        </w:trPr>
        <w:tc>
          <w:tcPr>
            <w:tcW w:w="1123" w:type="dxa"/>
            <w:tcBorders>
              <w:top w:val="nil"/>
              <w:left w:val="single" w:sz="4" w:space="0" w:color="auto"/>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3</w:t>
            </w:r>
          </w:p>
        </w:tc>
        <w:tc>
          <w:tcPr>
            <w:tcW w:w="3954"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jc w:val="both"/>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 xml:space="preserve">Monumente Natyre </w:t>
            </w:r>
          </w:p>
        </w:tc>
        <w:tc>
          <w:tcPr>
            <w:tcW w:w="970"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724</w:t>
            </w:r>
          </w:p>
        </w:tc>
        <w:tc>
          <w:tcPr>
            <w:tcW w:w="1243"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III</w:t>
            </w:r>
          </w:p>
        </w:tc>
        <w:tc>
          <w:tcPr>
            <w:tcW w:w="1924"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rPr>
                <w:rFonts w:ascii="Times New Roman" w:eastAsia="Times New Roman" w:hAnsi="Times New Roman" w:cs="Times New Roman"/>
                <w:b/>
                <w:bCs/>
                <w:color w:val="000000"/>
                <w:sz w:val="24"/>
                <w:szCs w:val="24"/>
                <w:u w:color="000000"/>
                <w:lang w:val="sq-AL"/>
              </w:rPr>
            </w:pPr>
            <w:r w:rsidRPr="00E67F4D">
              <w:rPr>
                <w:rFonts w:ascii="Times New Roman" w:eastAsia="Times New Roman" w:hAnsi="Times New Roman" w:cs="Times New Roman"/>
                <w:b/>
                <w:bCs/>
                <w:color w:val="000000"/>
                <w:sz w:val="24"/>
                <w:szCs w:val="24"/>
                <w:u w:color="000000"/>
                <w:lang w:val="sq-AL"/>
              </w:rPr>
              <w:t>85.50</w:t>
            </w:r>
          </w:p>
        </w:tc>
      </w:tr>
      <w:tr w:rsidR="00E67F4D" w:rsidRPr="00E67F4D" w:rsidTr="00E67F4D">
        <w:trPr>
          <w:trHeight w:val="375"/>
        </w:trPr>
        <w:tc>
          <w:tcPr>
            <w:tcW w:w="1123" w:type="dxa"/>
            <w:tcBorders>
              <w:top w:val="nil"/>
              <w:left w:val="single" w:sz="4" w:space="0" w:color="auto"/>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4</w:t>
            </w:r>
          </w:p>
        </w:tc>
        <w:tc>
          <w:tcPr>
            <w:tcW w:w="3954"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 xml:space="preserve">Rezervat Natyror i Menaxhuar/Park Natyror </w:t>
            </w:r>
          </w:p>
        </w:tc>
        <w:tc>
          <w:tcPr>
            <w:tcW w:w="970"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 xml:space="preserve">  28</w:t>
            </w:r>
          </w:p>
        </w:tc>
        <w:tc>
          <w:tcPr>
            <w:tcW w:w="1243"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IV</w:t>
            </w:r>
          </w:p>
        </w:tc>
        <w:tc>
          <w:tcPr>
            <w:tcW w:w="1924" w:type="dxa"/>
            <w:tcBorders>
              <w:top w:val="nil"/>
              <w:left w:val="nil"/>
              <w:bottom w:val="single" w:sz="4" w:space="0" w:color="auto"/>
              <w:right w:val="single" w:sz="4" w:space="0" w:color="auto"/>
            </w:tcBorders>
            <w:noWrap/>
            <w:vAlign w:val="center"/>
            <w:hideMark/>
          </w:tcPr>
          <w:p w:rsidR="00E67F4D" w:rsidRPr="00E67F4D" w:rsidRDefault="00E67F4D" w:rsidP="00E67F4D">
            <w:pPr>
              <w:spacing w:after="0" w:line="240" w:lineRule="auto"/>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b/>
                <w:color w:val="000000"/>
                <w:sz w:val="24"/>
                <w:szCs w:val="24"/>
                <w:u w:color="000000"/>
                <w:lang w:val="sq-AL"/>
              </w:rPr>
              <w:t>217814.68</w:t>
            </w:r>
          </w:p>
        </w:tc>
      </w:tr>
      <w:tr w:rsidR="00E67F4D" w:rsidRPr="00E67F4D" w:rsidTr="00E67F4D">
        <w:trPr>
          <w:trHeight w:val="315"/>
        </w:trPr>
        <w:tc>
          <w:tcPr>
            <w:tcW w:w="1123" w:type="dxa"/>
            <w:tcBorders>
              <w:top w:val="nil"/>
              <w:left w:val="single" w:sz="4" w:space="0" w:color="auto"/>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5</w:t>
            </w:r>
          </w:p>
        </w:tc>
        <w:tc>
          <w:tcPr>
            <w:tcW w:w="3954"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jc w:val="both"/>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 xml:space="preserve">Peizazh i Mbrojtur </w:t>
            </w:r>
          </w:p>
        </w:tc>
        <w:tc>
          <w:tcPr>
            <w:tcW w:w="970"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 xml:space="preserve"> 11</w:t>
            </w:r>
          </w:p>
        </w:tc>
        <w:tc>
          <w:tcPr>
            <w:tcW w:w="1243"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V</w:t>
            </w:r>
          </w:p>
        </w:tc>
        <w:tc>
          <w:tcPr>
            <w:tcW w:w="1924" w:type="dxa"/>
            <w:tcBorders>
              <w:top w:val="nil"/>
              <w:left w:val="nil"/>
              <w:bottom w:val="single" w:sz="4" w:space="0" w:color="auto"/>
              <w:right w:val="single" w:sz="4" w:space="0" w:color="auto"/>
            </w:tcBorders>
            <w:noWrap/>
            <w:vAlign w:val="bottom"/>
            <w:hideMark/>
          </w:tcPr>
          <w:p w:rsidR="00E67F4D" w:rsidRPr="00E67F4D" w:rsidRDefault="00E67F4D" w:rsidP="00E67F4D">
            <w:pPr>
              <w:spacing w:after="0" w:line="240" w:lineRule="auto"/>
              <w:rPr>
                <w:rFonts w:ascii="Times New Roman" w:eastAsia="Times New Roman" w:hAnsi="Times New Roman" w:cs="Times New Roman"/>
                <w:b/>
                <w:bCs/>
                <w:color w:val="000000"/>
                <w:sz w:val="24"/>
                <w:szCs w:val="24"/>
                <w:u w:color="000000"/>
                <w:lang w:val="sq-AL"/>
              </w:rPr>
            </w:pPr>
            <w:r w:rsidRPr="00E67F4D">
              <w:rPr>
                <w:rFonts w:ascii="Times New Roman" w:eastAsia="Times New Roman" w:hAnsi="Times New Roman" w:cs="Times New Roman"/>
                <w:b/>
                <w:bCs/>
                <w:color w:val="000000"/>
                <w:sz w:val="24"/>
                <w:szCs w:val="24"/>
                <w:u w:color="000000"/>
                <w:lang w:val="sq-AL"/>
              </w:rPr>
              <w:t>82426.68</w:t>
            </w:r>
          </w:p>
        </w:tc>
      </w:tr>
      <w:tr w:rsidR="00E67F4D" w:rsidRPr="00E67F4D" w:rsidTr="00E67F4D">
        <w:trPr>
          <w:trHeight w:val="315"/>
        </w:trPr>
        <w:tc>
          <w:tcPr>
            <w:tcW w:w="1123" w:type="dxa"/>
            <w:tcBorders>
              <w:top w:val="nil"/>
              <w:left w:val="single" w:sz="4" w:space="0" w:color="auto"/>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6</w:t>
            </w:r>
          </w:p>
        </w:tc>
        <w:tc>
          <w:tcPr>
            <w:tcW w:w="3954"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jc w:val="both"/>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Zonë e Mbrojtur të Burimeve të Menaxhuara</w:t>
            </w:r>
          </w:p>
        </w:tc>
        <w:tc>
          <w:tcPr>
            <w:tcW w:w="970"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jc w:val="center"/>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2</w:t>
            </w:r>
          </w:p>
        </w:tc>
        <w:tc>
          <w:tcPr>
            <w:tcW w:w="1243"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      VI</w:t>
            </w:r>
          </w:p>
        </w:tc>
        <w:tc>
          <w:tcPr>
            <w:tcW w:w="1924" w:type="dxa"/>
            <w:tcBorders>
              <w:top w:val="nil"/>
              <w:left w:val="nil"/>
              <w:bottom w:val="single" w:sz="4" w:space="0" w:color="auto"/>
              <w:right w:val="single" w:sz="4" w:space="0" w:color="auto"/>
            </w:tcBorders>
            <w:vAlign w:val="center"/>
            <w:hideMark/>
          </w:tcPr>
          <w:p w:rsidR="00E67F4D" w:rsidRPr="00E67F4D" w:rsidRDefault="00E67F4D" w:rsidP="00E67F4D">
            <w:pPr>
              <w:spacing w:after="0" w:line="240" w:lineRule="auto"/>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b/>
                <w:bCs/>
                <w:color w:val="000000"/>
                <w:sz w:val="24"/>
                <w:szCs w:val="24"/>
                <w:u w:color="000000"/>
                <w:lang w:val="sq-AL"/>
              </w:rPr>
              <w:t>11300.00</w:t>
            </w:r>
          </w:p>
        </w:tc>
      </w:tr>
    </w:tbl>
    <w:p w:rsidR="00E67F4D" w:rsidRPr="00E67F4D" w:rsidRDefault="00E67F4D" w:rsidP="00E67F4D">
      <w:pPr>
        <w:spacing w:after="0" w:line="240" w:lineRule="auto"/>
        <w:jc w:val="both"/>
        <w:rPr>
          <w:rFonts w:ascii="Times New Roman" w:eastAsia="Times New Roman" w:hAnsi="Times New Roman" w:cs="Times New Roman"/>
          <w:color w:val="000000"/>
          <w:sz w:val="24"/>
          <w:szCs w:val="24"/>
          <w:u w:color="000000"/>
          <w:lang w:val="sq-AL"/>
        </w:rPr>
      </w:pPr>
      <w:r w:rsidRPr="00E67F4D">
        <w:rPr>
          <w:rFonts w:ascii="Times New Roman" w:eastAsia="Times New Roman" w:hAnsi="Times New Roman" w:cs="Times New Roman"/>
          <w:color w:val="000000"/>
          <w:sz w:val="24"/>
          <w:szCs w:val="24"/>
          <w:u w:color="000000"/>
          <w:lang w:val="sq-AL"/>
        </w:rPr>
        <w:t xml:space="preserve">                            </w:t>
      </w:r>
    </w:p>
    <w:p w:rsidR="00E67F4D" w:rsidRPr="00E67F4D" w:rsidRDefault="00E67F4D" w:rsidP="00E67F4D">
      <w:pPr>
        <w:spacing w:after="0" w:line="23" w:lineRule="atLeast"/>
        <w:rPr>
          <w:rFonts w:ascii="Times New Roman" w:eastAsia="Times New Roman" w:hAnsi="Times New Roman" w:cs="Times New Roman"/>
          <w:color w:val="000000"/>
          <w:sz w:val="16"/>
          <w:szCs w:val="16"/>
          <w:u w:color="000000"/>
          <w:lang w:val="it-IT"/>
        </w:rPr>
      </w:pPr>
    </w:p>
    <w:p w:rsidR="00E67F4D" w:rsidRPr="00E67F4D" w:rsidRDefault="00C846E8" w:rsidP="00807975">
      <w:pPr>
        <w:numPr>
          <w:ilvl w:val="0"/>
          <w:numId w:val="133"/>
        </w:numPr>
        <w:spacing w:after="0" w:line="23" w:lineRule="atLeast"/>
        <w:rPr>
          <w:rFonts w:ascii="Times New Roman" w:eastAsia="Times New Roman" w:hAnsi="Times New Roman" w:cs="Times New Roman"/>
          <w:color w:val="000000"/>
          <w:sz w:val="24"/>
          <w:szCs w:val="24"/>
          <w:u w:color="000000"/>
          <w:lang w:val="it-IT"/>
        </w:rPr>
      </w:pPr>
      <w:r>
        <w:rPr>
          <w:rFonts w:ascii="Times New Roman" w:eastAsia="Times New Roman" w:hAnsi="Times New Roman" w:cs="Times New Roman"/>
          <w:color w:val="000000"/>
          <w:sz w:val="24"/>
          <w:szCs w:val="24"/>
          <w:u w:color="000000"/>
          <w:lang w:val="it-IT"/>
        </w:rPr>
        <w:t>Sipë</w:t>
      </w:r>
      <w:r w:rsidR="00E67F4D" w:rsidRPr="00E67F4D">
        <w:rPr>
          <w:rFonts w:ascii="Times New Roman" w:eastAsia="Times New Roman" w:hAnsi="Times New Roman" w:cs="Times New Roman"/>
          <w:color w:val="000000"/>
          <w:sz w:val="24"/>
          <w:szCs w:val="24"/>
          <w:u w:color="000000"/>
          <w:lang w:val="it-IT"/>
        </w:rPr>
        <w:t>rfaqja tokësore e Zonave të Mbrojtura mjedisore është 544572,2 ha., e shprehur në përqindje rezulton afërsisht 87 %.</w:t>
      </w:r>
    </w:p>
    <w:p w:rsidR="00E67F4D" w:rsidRPr="00E67F4D" w:rsidRDefault="00E67F4D" w:rsidP="00807975">
      <w:pPr>
        <w:numPr>
          <w:ilvl w:val="0"/>
          <w:numId w:val="133"/>
        </w:numPr>
        <w:spacing w:after="0" w:line="23" w:lineRule="atLeast"/>
        <w:rPr>
          <w:rFonts w:ascii="Times New Roman" w:eastAsia="Times New Roman" w:hAnsi="Times New Roman" w:cs="Times New Roman"/>
          <w:color w:val="000000"/>
          <w:sz w:val="24"/>
          <w:szCs w:val="24"/>
          <w:u w:color="000000"/>
          <w:lang w:val="it-IT"/>
        </w:rPr>
      </w:pPr>
      <w:r w:rsidRPr="00E67F4D">
        <w:rPr>
          <w:rFonts w:ascii="Times New Roman" w:eastAsia="Times New Roman" w:hAnsi="Times New Roman" w:cs="Times New Roman"/>
          <w:color w:val="000000"/>
          <w:sz w:val="24"/>
          <w:szCs w:val="24"/>
          <w:u w:color="000000"/>
          <w:lang w:val="it-IT"/>
        </w:rPr>
        <w:t>Sipërfaqja ujore e Zonave të Mbrojtura është 80978,4 ha, e shprehur në përqindje rezulton afërsisht 13 %.</w:t>
      </w:r>
    </w:p>
    <w:p w:rsidR="00E67F4D" w:rsidRPr="00E67F4D" w:rsidRDefault="00E67F4D" w:rsidP="00807975">
      <w:pPr>
        <w:numPr>
          <w:ilvl w:val="0"/>
          <w:numId w:val="133"/>
        </w:numPr>
        <w:spacing w:after="0" w:line="23" w:lineRule="atLeast"/>
        <w:rPr>
          <w:rFonts w:ascii="Times New Roman" w:eastAsia="Times New Roman" w:hAnsi="Times New Roman" w:cs="Times New Roman"/>
          <w:color w:val="000000"/>
          <w:sz w:val="24"/>
          <w:szCs w:val="24"/>
          <w:u w:color="000000"/>
          <w:lang w:val="it-IT"/>
        </w:rPr>
      </w:pPr>
      <w:r w:rsidRPr="00E67F4D">
        <w:rPr>
          <w:rFonts w:ascii="Times New Roman" w:eastAsia="Times New Roman" w:hAnsi="Times New Roman" w:cs="Times New Roman"/>
          <w:color w:val="000000"/>
          <w:sz w:val="24"/>
          <w:szCs w:val="24"/>
          <w:u w:color="000000"/>
          <w:lang w:val="it-IT"/>
        </w:rPr>
        <w:t xml:space="preserve">Sipërfaqja totale e Zonave të Mbrojtura mjedisore është </w:t>
      </w:r>
      <w:r w:rsidRPr="00E67F4D">
        <w:rPr>
          <w:rFonts w:ascii="Times New Roman" w:eastAsia="Times New Roman" w:hAnsi="Times New Roman" w:cs="Times New Roman"/>
          <w:color w:val="000000"/>
          <w:sz w:val="24"/>
          <w:szCs w:val="24"/>
          <w:u w:color="000000"/>
          <w:lang w:val="sq-AL"/>
        </w:rPr>
        <w:t>21.76 % e sipërfaqes të Republikës  së Shqipërisë.</w:t>
      </w:r>
    </w:p>
    <w:p w:rsidR="00783834" w:rsidRDefault="00783834" w:rsidP="004D7AA4">
      <w:pPr>
        <w:rPr>
          <w:rFonts w:ascii="Times New Roman" w:eastAsia="Times New Roman" w:hAnsi="Times New Roman" w:cs="Times New Roman"/>
          <w:color w:val="000000"/>
          <w:sz w:val="24"/>
          <w:szCs w:val="24"/>
          <w:u w:color="000000"/>
          <w:lang w:val="en-GB"/>
        </w:rPr>
      </w:pPr>
    </w:p>
    <w:p w:rsidR="00AE5C1A" w:rsidRDefault="00783834" w:rsidP="004D7AA4">
      <w:pPr>
        <w:rPr>
          <w:rFonts w:ascii="Times New Roman" w:eastAsia="Times New Roman" w:hAnsi="Times New Roman" w:cs="Times New Roman"/>
          <w:color w:val="000000"/>
          <w:sz w:val="24"/>
          <w:szCs w:val="24"/>
          <w:u w:color="000000"/>
          <w:lang w:val="en-GB"/>
        </w:rPr>
      </w:pPr>
      <w:r>
        <w:rPr>
          <w:rFonts w:ascii="Times New Roman" w:eastAsia="Times New Roman" w:hAnsi="Times New Roman" w:cs="Times New Roman"/>
          <w:color w:val="000000"/>
          <w:sz w:val="24"/>
          <w:szCs w:val="24"/>
          <w:u w:color="000000"/>
          <w:lang w:val="en-GB"/>
        </w:rPr>
        <w:t>Sipërfaqja totale e zonave të mbrojtura për vitin 2025 është 625550 ha duke shënuar një rritje të sipërfaqes së tyre krahasuar me vitin 2024 që ishte 624,610 ha.</w:t>
      </w:r>
    </w:p>
    <w:p w:rsidR="00AE5C1A" w:rsidRPr="00AE5C1A" w:rsidRDefault="00AE5C1A" w:rsidP="00AE5C1A">
      <w:pPr>
        <w:rPr>
          <w:rFonts w:ascii="Arial" w:eastAsia="Times New Roman" w:hAnsi="Arial" w:cs="Arial"/>
          <w:color w:val="3D5265"/>
          <w:sz w:val="24"/>
          <w:szCs w:val="24"/>
        </w:rPr>
      </w:pPr>
      <w:r>
        <w:rPr>
          <w:rFonts w:ascii="Times New Roman" w:eastAsia="Times New Roman" w:hAnsi="Times New Roman" w:cs="Times New Roman"/>
          <w:color w:val="000000"/>
          <w:sz w:val="24"/>
          <w:szCs w:val="24"/>
          <w:u w:color="000000"/>
          <w:lang w:val="en-GB"/>
        </w:rPr>
        <w:t>S</w:t>
      </w:r>
      <w:r w:rsidRPr="00AE5C1A">
        <w:rPr>
          <w:rFonts w:ascii="Times New Roman" w:eastAsia="Times New Roman" w:hAnsi="Times New Roman" w:cs="Times New Roman"/>
          <w:color w:val="000000"/>
          <w:sz w:val="24"/>
          <w:szCs w:val="24"/>
          <w:u w:color="000000"/>
          <w:lang w:val="en-GB"/>
        </w:rPr>
        <w:t>istemi i vetëm i Kodeve për Sistemin e Zonave të Mbrojtura Mjedisore është ai sipas Rrjetit të Zonave Emerald për Shqipërinë</w:t>
      </w:r>
      <w:r>
        <w:rPr>
          <w:rFonts w:ascii="Arial" w:eastAsia="Times New Roman" w:hAnsi="Arial" w:cs="Arial"/>
          <w:color w:val="3D5265"/>
          <w:sz w:val="24"/>
          <w:szCs w:val="24"/>
        </w:rPr>
        <w:t xml:space="preserve"> </w:t>
      </w:r>
      <w:r w:rsidRPr="00AE5C1A">
        <w:rPr>
          <w:rFonts w:ascii="Times New Roman" w:eastAsia="Times New Roman" w:hAnsi="Times New Roman" w:cs="Times New Roman"/>
          <w:color w:val="000000"/>
          <w:sz w:val="24"/>
          <w:szCs w:val="24"/>
          <w:u w:color="000000"/>
          <w:lang w:val="en-GB"/>
        </w:rPr>
        <w:t xml:space="preserve">duke identifikuar 25 Zona të Mbrojtura si potenciale për tu përfshirë në Rrjetin Emerald. </w:t>
      </w:r>
    </w:p>
    <w:p w:rsidR="00AE5C1A" w:rsidRPr="000F53CF" w:rsidRDefault="00AE5C1A" w:rsidP="00AE5C1A">
      <w:pPr>
        <w:spacing w:after="0" w:line="240" w:lineRule="auto"/>
        <w:jc w:val="center"/>
        <w:rPr>
          <w:rFonts w:ascii="Times New Roman" w:eastAsia="Times New Roman" w:hAnsi="Times New Roman" w:cs="Times New Roman"/>
          <w:color w:val="000000"/>
          <w:sz w:val="24"/>
          <w:szCs w:val="24"/>
          <w:u w:color="000000"/>
          <w:lang w:val="en-GB"/>
        </w:rPr>
      </w:pPr>
      <w:r w:rsidRPr="000F53CF">
        <w:rPr>
          <w:rFonts w:ascii="Times New Roman" w:eastAsia="Times New Roman" w:hAnsi="Times New Roman" w:cs="Times New Roman"/>
          <w:color w:val="000000"/>
          <w:sz w:val="24"/>
          <w:szCs w:val="24"/>
          <w:u w:color="000000"/>
          <w:lang w:val="en-GB"/>
        </w:rPr>
        <w:t xml:space="preserve">Tabela. </w:t>
      </w:r>
      <w:r w:rsidR="002A64D6">
        <w:rPr>
          <w:rFonts w:ascii="Times New Roman" w:eastAsia="Times New Roman" w:hAnsi="Times New Roman" w:cs="Times New Roman"/>
          <w:color w:val="000000"/>
          <w:sz w:val="24"/>
          <w:szCs w:val="24"/>
          <w:u w:color="000000"/>
          <w:lang w:val="en-GB"/>
        </w:rPr>
        <w:t>75</w:t>
      </w:r>
      <w:r w:rsidR="000F53CF" w:rsidRPr="000F53CF">
        <w:rPr>
          <w:rFonts w:ascii="Times New Roman" w:eastAsia="Times New Roman" w:hAnsi="Times New Roman" w:cs="Times New Roman"/>
          <w:color w:val="000000"/>
          <w:sz w:val="24"/>
          <w:szCs w:val="24"/>
          <w:u w:color="000000"/>
          <w:lang w:val="en-GB"/>
        </w:rPr>
        <w:t xml:space="preserve"> </w:t>
      </w:r>
      <w:r w:rsidRPr="000F53CF">
        <w:rPr>
          <w:rFonts w:ascii="Times New Roman" w:eastAsia="Times New Roman" w:hAnsi="Times New Roman" w:cs="Times New Roman"/>
          <w:color w:val="000000"/>
          <w:sz w:val="24"/>
          <w:szCs w:val="24"/>
          <w:u w:color="000000"/>
          <w:lang w:val="en-GB"/>
        </w:rPr>
        <w:t>Rrjeti i Zonave Emerald për Shqipërinë</w:t>
      </w:r>
    </w:p>
    <w:p w:rsidR="00AE5C1A" w:rsidRPr="00AE5C1A" w:rsidRDefault="00AE5C1A" w:rsidP="00AE5C1A">
      <w:pPr>
        <w:spacing w:after="0" w:line="240" w:lineRule="auto"/>
        <w:jc w:val="both"/>
        <w:rPr>
          <w:rFonts w:ascii="Times New Roman" w:eastAsia="Times New Roman" w:hAnsi="Times New Roman" w:cs="Times New Roman"/>
          <w:i/>
          <w:color w:val="000000"/>
          <w:sz w:val="24"/>
          <w:szCs w:val="24"/>
          <w:u w:color="000000"/>
          <w:lang w:val="en-GB"/>
        </w:rPr>
      </w:pPr>
    </w:p>
    <w:tbl>
      <w:tblPr>
        <w:tblStyle w:val="TableGrid13"/>
        <w:tblW w:w="5000" w:type="pct"/>
        <w:tblLook w:val="04A0" w:firstRow="1" w:lastRow="0" w:firstColumn="1" w:lastColumn="0" w:noHBand="0" w:noVBand="1"/>
      </w:tblPr>
      <w:tblGrid>
        <w:gridCol w:w="1630"/>
        <w:gridCol w:w="5664"/>
        <w:gridCol w:w="1253"/>
        <w:gridCol w:w="1029"/>
      </w:tblGrid>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Kodi</w:t>
            </w:r>
          </w:p>
        </w:tc>
        <w:tc>
          <w:tcPr>
            <w:tcW w:w="2961"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Emri</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Kategoria sipas IUCN</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Territori</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AL0000001</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Parku Kombëtar Llogara</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1.010</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AL0000002</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Parku Kombëtar Pisha e Divjakës</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1.250</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AL0000003</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Parku Kombëtar Prespë</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27.750</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AL0000004</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Parku Kombëtar Butrint</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2.500</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AL0000005</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Rezervë Strikte Natyrore Allamani</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1.650</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lastRenderedPageBreak/>
              <w:t>AL0000006</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Parku Kombëtar Tomorr</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4.000</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AL0000007</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Parku Kombëtar Dajt (i zgjeruar)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29.347</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AL0000008</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Peisazh i Mbrojtur Vjosë - Nartë</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V</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19.412</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AL0000009</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Rezervat Natyror i Menaxhuar, Liqeni Shkodrës</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IV</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26.535</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AL00000010</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Parku Kombëtar i Alpeve (i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77.458</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AL00000011</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Parku Kombëtar Kurora e Lurës - Kunorë - Valmore - Zall Gjoçaj (i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16.596</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AL00000012</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Parku Kombëtar Bredhi i Hotovës-Dangëlli</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14.973</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AL00000013</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Peizazh i Mbrojtur i Moravës (i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V</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29.155</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AL00000014</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Parku Kombëtar Karaburun - Orikum - Dukat (i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33.036</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AL00000015</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Peizazh i Mbrojtur Bizë - Brosh - Bërdhet (i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V</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4.594</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AL00000016</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Parku Kombëtar Karavasta (i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19.677</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AL00000017</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 xml:space="preserve">Rezervat Natyror i Menaxhuar Shëngjin - Ishëm </w:t>
            </w:r>
          </w:p>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IV</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30.000</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AL00000018</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Rezervat Natyror i Menaxhuar Kuturman - Qafë Bush</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IV</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4.210</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AL00000019</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Peizazh i Mbrojtur Pogradec</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V</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24.350</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AL00000020</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Parku Kombëtar Gërmenj - Shelegur - Leskovik - Piskal (i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30.421</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AL00000021</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Peizazh i Mbrojtur Lumi Buna</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V</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22.479</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AL00000022</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Parku Kombëtar Rajcë - Shebenik</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33.927</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AL00000023</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Parku Kombëtar Korab</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31.360</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AL00000024</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 xml:space="preserve">Rezervat Natyror i Menaxhuar Rrushkull - Ishëm </w:t>
            </w:r>
          </w:p>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IV</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2.030</w:t>
            </w:r>
          </w:p>
        </w:tc>
      </w:tr>
      <w:tr w:rsidR="00AE5C1A" w:rsidRPr="00AE5C1A" w:rsidTr="003B21F0">
        <w:tc>
          <w:tcPr>
            <w:tcW w:w="855"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AL00000025</w:t>
            </w:r>
          </w:p>
        </w:tc>
        <w:tc>
          <w:tcPr>
            <w:tcW w:w="2961" w:type="pct"/>
            <w:tcBorders>
              <w:top w:val="single" w:sz="4" w:space="0" w:color="auto"/>
              <w:left w:val="single" w:sz="4" w:space="0" w:color="auto"/>
              <w:bottom w:val="single" w:sz="4" w:space="0" w:color="auto"/>
              <w:right w:val="single" w:sz="4" w:space="0" w:color="auto"/>
            </w:tcBorders>
            <w:hideMark/>
          </w:tcPr>
          <w:p w:rsidR="00AE5C1A" w:rsidRPr="00AE5C1A" w:rsidRDefault="00AE5C1A" w:rsidP="00AE5C1A">
            <w:pPr>
              <w:jc w:val="both"/>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Rezervat Natyror i Menaxhuar Berzanë</w:t>
            </w:r>
          </w:p>
        </w:tc>
        <w:tc>
          <w:tcPr>
            <w:tcW w:w="658"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IV</w:t>
            </w:r>
          </w:p>
        </w:tc>
        <w:tc>
          <w:tcPr>
            <w:tcW w:w="526" w:type="pct"/>
            <w:tcBorders>
              <w:top w:val="single" w:sz="4" w:space="0" w:color="auto"/>
              <w:left w:val="single" w:sz="4" w:space="0" w:color="auto"/>
              <w:bottom w:val="single" w:sz="4" w:space="0" w:color="auto"/>
              <w:right w:val="single" w:sz="4" w:space="0" w:color="auto"/>
            </w:tcBorders>
            <w:vAlign w:val="center"/>
            <w:hideMark/>
          </w:tcPr>
          <w:p w:rsidR="00AE5C1A" w:rsidRPr="00AE5C1A" w:rsidRDefault="00AE5C1A" w:rsidP="00AE5C1A">
            <w:pPr>
              <w:jc w:val="center"/>
              <w:rPr>
                <w:rFonts w:ascii="Times New Roman" w:eastAsia="Times New Roman" w:hAnsi="Times New Roman"/>
                <w:color w:val="000000"/>
                <w:sz w:val="24"/>
                <w:szCs w:val="24"/>
                <w:u w:color="000000"/>
                <w:lang w:val="en-GB"/>
              </w:rPr>
            </w:pPr>
            <w:r w:rsidRPr="00AE5C1A">
              <w:rPr>
                <w:rFonts w:ascii="Times New Roman" w:eastAsia="Times New Roman" w:hAnsi="Times New Roman"/>
                <w:color w:val="000000"/>
                <w:sz w:val="24"/>
                <w:szCs w:val="24"/>
                <w:u w:color="000000"/>
                <w:lang w:val="en-GB"/>
              </w:rPr>
              <w:t>1.298</w:t>
            </w:r>
          </w:p>
        </w:tc>
      </w:tr>
    </w:tbl>
    <w:p w:rsidR="00F16C47" w:rsidRDefault="00F16C47" w:rsidP="00AE5C1A">
      <w:pPr>
        <w:spacing w:after="0" w:line="240" w:lineRule="auto"/>
        <w:rPr>
          <w:rFonts w:ascii="Times New Roman" w:eastAsia="Times New Roman" w:hAnsi="Times New Roman" w:cs="Times New Roman"/>
          <w:b/>
          <w:color w:val="000000"/>
          <w:sz w:val="24"/>
          <w:szCs w:val="24"/>
          <w:u w:color="000000"/>
          <w:lang w:val="en-GB"/>
        </w:rPr>
      </w:pPr>
    </w:p>
    <w:p w:rsidR="00F16C47" w:rsidRPr="00AE5C1A" w:rsidRDefault="00F16C47" w:rsidP="00AE5C1A">
      <w:pPr>
        <w:spacing w:after="0" w:line="240" w:lineRule="auto"/>
        <w:rPr>
          <w:rFonts w:ascii="Times New Roman" w:eastAsia="Times New Roman" w:hAnsi="Times New Roman" w:cs="Times New Roman"/>
          <w:b/>
          <w:color w:val="000000"/>
          <w:sz w:val="24"/>
          <w:szCs w:val="24"/>
          <w:u w:color="000000"/>
          <w:lang w:val="en-GB"/>
        </w:rPr>
      </w:pPr>
    </w:p>
    <w:p w:rsidR="00AE5C1A" w:rsidRPr="00AE5C1A" w:rsidRDefault="00AE5C1A" w:rsidP="00807975">
      <w:pPr>
        <w:pStyle w:val="ListParagraph"/>
        <w:numPr>
          <w:ilvl w:val="0"/>
          <w:numId w:val="134"/>
        </w:numPr>
        <w:rPr>
          <w:rFonts w:ascii="Times New Roman" w:eastAsia="Times New Roman" w:hAnsi="Times New Roman" w:cs="Times New Roman"/>
          <w:b/>
          <w:color w:val="000000"/>
          <w:sz w:val="24"/>
          <w:szCs w:val="24"/>
          <w:u w:color="000000"/>
          <w:lang w:val="en-GB"/>
        </w:rPr>
      </w:pPr>
      <w:r w:rsidRPr="00AE5C1A">
        <w:rPr>
          <w:rFonts w:ascii="Times New Roman" w:eastAsia="Times New Roman" w:hAnsi="Times New Roman" w:cs="Times New Roman"/>
          <w:b/>
          <w:color w:val="000000"/>
          <w:sz w:val="24"/>
          <w:szCs w:val="24"/>
          <w:u w:color="000000"/>
          <w:lang w:val="en-GB"/>
        </w:rPr>
        <w:t xml:space="preserve">Biodiversiteti </w:t>
      </w:r>
    </w:p>
    <w:p w:rsidR="003B6006" w:rsidRDefault="003B6006" w:rsidP="00AE5C1A">
      <w:pPr>
        <w:spacing w:after="0" w:line="240" w:lineRule="auto"/>
        <w:jc w:val="both"/>
        <w:rPr>
          <w:rFonts w:ascii="Times New Roman" w:eastAsia="Times New Roman" w:hAnsi="Times New Roman" w:cs="Times New Roman"/>
          <w:color w:val="000000"/>
          <w:sz w:val="24"/>
          <w:szCs w:val="24"/>
          <w:u w:color="000000"/>
          <w:lang w:val="en-GB"/>
        </w:rPr>
      </w:pPr>
      <w:r w:rsidRPr="003B6006">
        <w:rPr>
          <w:rFonts w:ascii="Times New Roman" w:eastAsia="Times New Roman" w:hAnsi="Times New Roman" w:cs="Times New Roman"/>
          <w:color w:val="000000"/>
          <w:sz w:val="24"/>
          <w:szCs w:val="24"/>
          <w:u w:color="000000"/>
          <w:lang w:val="en-GB"/>
        </w:rPr>
        <w:t>Në VKM-në nr. 31, datë 20.1.2016 për “Miratimin e Dokumentit të Politikave Strategjike për mbrojtjen e Biodiversitetit”, përfshihet</w:t>
      </w:r>
      <w:r>
        <w:rPr>
          <w:rFonts w:ascii="Times New Roman" w:eastAsia="Times New Roman" w:hAnsi="Times New Roman" w:cs="Times New Roman"/>
          <w:color w:val="000000"/>
          <w:sz w:val="24"/>
          <w:szCs w:val="24"/>
          <w:u w:color="000000"/>
          <w:lang w:val="en-GB"/>
        </w:rPr>
        <w:t xml:space="preserve"> lista e kuqe e florës ku paraqiten llojet e kërcënuara dhe të mbrojtura të florës. Gjithashtu </w:t>
      </w:r>
      <w:r w:rsidRPr="003B6006">
        <w:rPr>
          <w:rFonts w:ascii="Times New Roman" w:eastAsia="Times New Roman" w:hAnsi="Times New Roman" w:cs="Times New Roman"/>
          <w:color w:val="000000"/>
          <w:sz w:val="24"/>
          <w:szCs w:val="24"/>
          <w:u w:color="000000"/>
          <w:lang w:val="en-GB"/>
        </w:rPr>
        <w:t>anek</w:t>
      </w:r>
      <w:r>
        <w:rPr>
          <w:rFonts w:ascii="Times New Roman" w:eastAsia="Times New Roman" w:hAnsi="Times New Roman" w:cs="Times New Roman"/>
          <w:color w:val="000000"/>
          <w:sz w:val="24"/>
          <w:szCs w:val="24"/>
          <w:u w:color="000000"/>
          <w:lang w:val="en-GB"/>
        </w:rPr>
        <w:t>set nr. 5 dhe nr. 6, përmbajnë l</w:t>
      </w:r>
      <w:r w:rsidRPr="003B6006">
        <w:rPr>
          <w:rFonts w:ascii="Times New Roman" w:eastAsia="Times New Roman" w:hAnsi="Times New Roman" w:cs="Times New Roman"/>
          <w:color w:val="000000"/>
          <w:sz w:val="24"/>
          <w:szCs w:val="24"/>
          <w:u w:color="000000"/>
          <w:lang w:val="en-GB"/>
        </w:rPr>
        <w:t xml:space="preserve">istën e gjitarëve </w:t>
      </w:r>
      <w:r w:rsidR="00765B3C">
        <w:rPr>
          <w:rFonts w:ascii="Times New Roman" w:eastAsia="Times New Roman" w:hAnsi="Times New Roman" w:cs="Times New Roman"/>
          <w:color w:val="000000"/>
          <w:sz w:val="24"/>
          <w:szCs w:val="24"/>
          <w:u w:color="000000"/>
          <w:lang w:val="en-GB"/>
        </w:rPr>
        <w:t>dhe l</w:t>
      </w:r>
      <w:r w:rsidR="00765B3C" w:rsidRPr="003B6006">
        <w:rPr>
          <w:rFonts w:ascii="Times New Roman" w:eastAsia="Times New Roman" w:hAnsi="Times New Roman" w:cs="Times New Roman"/>
          <w:color w:val="000000"/>
          <w:sz w:val="24"/>
          <w:szCs w:val="24"/>
          <w:u w:color="000000"/>
          <w:lang w:val="en-GB"/>
        </w:rPr>
        <w:t xml:space="preserve">istën e shpendëve </w:t>
      </w:r>
      <w:r w:rsidRPr="003B6006">
        <w:rPr>
          <w:rFonts w:ascii="Times New Roman" w:eastAsia="Times New Roman" w:hAnsi="Times New Roman" w:cs="Times New Roman"/>
          <w:color w:val="000000"/>
          <w:sz w:val="24"/>
          <w:szCs w:val="24"/>
          <w:u w:color="000000"/>
          <w:lang w:val="en-GB"/>
        </w:rPr>
        <w:t>të përfshi</w:t>
      </w:r>
      <w:r>
        <w:rPr>
          <w:rFonts w:ascii="Times New Roman" w:eastAsia="Times New Roman" w:hAnsi="Times New Roman" w:cs="Times New Roman"/>
          <w:color w:val="000000"/>
          <w:sz w:val="24"/>
          <w:szCs w:val="24"/>
          <w:u w:color="000000"/>
          <w:lang w:val="en-GB"/>
        </w:rPr>
        <w:t>rë në listën e kuqe (2013)</w:t>
      </w:r>
      <w:r w:rsidR="00765B3C">
        <w:rPr>
          <w:rFonts w:ascii="Times New Roman" w:eastAsia="Times New Roman" w:hAnsi="Times New Roman" w:cs="Times New Roman"/>
          <w:color w:val="000000"/>
          <w:sz w:val="24"/>
          <w:szCs w:val="24"/>
          <w:u w:color="000000"/>
          <w:lang w:val="en-GB"/>
        </w:rPr>
        <w:t xml:space="preserve"> që përbëjnë llojet e faunës së egër.</w:t>
      </w:r>
    </w:p>
    <w:p w:rsidR="003B6006" w:rsidRDefault="003B6006" w:rsidP="00AE5C1A">
      <w:pPr>
        <w:spacing w:after="0" w:line="240" w:lineRule="auto"/>
        <w:jc w:val="both"/>
        <w:rPr>
          <w:rFonts w:ascii="Times New Roman" w:eastAsia="Times New Roman" w:hAnsi="Times New Roman" w:cs="Times New Roman"/>
          <w:color w:val="000000"/>
          <w:sz w:val="24"/>
          <w:szCs w:val="24"/>
          <w:u w:color="000000"/>
          <w:lang w:val="en-GB"/>
        </w:rPr>
      </w:pPr>
    </w:p>
    <w:p w:rsidR="00AE5C1A" w:rsidRDefault="00AE5C1A" w:rsidP="00AE5C1A">
      <w:pPr>
        <w:spacing w:after="0" w:line="240" w:lineRule="auto"/>
        <w:jc w:val="both"/>
        <w:rPr>
          <w:rFonts w:ascii="Times New Roman" w:eastAsia="Times New Roman" w:hAnsi="Times New Roman" w:cs="Times New Roman"/>
          <w:color w:val="000000"/>
          <w:sz w:val="24"/>
          <w:szCs w:val="24"/>
          <w:u w:color="000000"/>
          <w:lang w:val="en-GB"/>
        </w:rPr>
      </w:pPr>
      <w:r w:rsidRPr="00AE5C1A">
        <w:rPr>
          <w:rFonts w:ascii="Times New Roman" w:eastAsia="Times New Roman" w:hAnsi="Times New Roman" w:cs="Times New Roman"/>
          <w:color w:val="000000"/>
          <w:sz w:val="24"/>
          <w:szCs w:val="24"/>
          <w:u w:color="000000"/>
          <w:lang w:val="en-GB"/>
        </w:rPr>
        <w:t xml:space="preserve">Numërimi Ndërkombëtar i Shpendëve Dimërues </w:t>
      </w:r>
      <w:r>
        <w:rPr>
          <w:rFonts w:ascii="Times New Roman" w:eastAsia="Times New Roman" w:hAnsi="Times New Roman" w:cs="Times New Roman"/>
          <w:color w:val="000000"/>
          <w:sz w:val="24"/>
          <w:szCs w:val="24"/>
          <w:u w:color="000000"/>
          <w:lang w:val="en-GB"/>
        </w:rPr>
        <w:t xml:space="preserve"> ujorë </w:t>
      </w:r>
      <w:r w:rsidRPr="00AE5C1A">
        <w:rPr>
          <w:rFonts w:ascii="Times New Roman" w:eastAsia="Times New Roman" w:hAnsi="Times New Roman" w:cs="Times New Roman"/>
          <w:color w:val="000000"/>
          <w:sz w:val="24"/>
          <w:szCs w:val="24"/>
          <w:u w:color="000000"/>
          <w:lang w:val="en-GB"/>
        </w:rPr>
        <w:t>në Shqipëri</w:t>
      </w:r>
      <w:r>
        <w:rPr>
          <w:rFonts w:ascii="Times New Roman" w:eastAsia="Times New Roman" w:hAnsi="Times New Roman" w:cs="Times New Roman"/>
          <w:color w:val="000000"/>
          <w:sz w:val="24"/>
          <w:szCs w:val="24"/>
          <w:u w:color="000000"/>
          <w:lang w:val="en-GB"/>
        </w:rPr>
        <w:t>,</w:t>
      </w:r>
      <w:r w:rsidRPr="00AE5C1A">
        <w:rPr>
          <w:rFonts w:ascii="Times New Roman" w:eastAsia="Times New Roman" w:hAnsi="Times New Roman" w:cs="Times New Roman"/>
          <w:color w:val="000000"/>
          <w:sz w:val="24"/>
          <w:szCs w:val="24"/>
          <w:u w:color="000000"/>
          <w:lang w:val="en-GB"/>
        </w:rPr>
        <w:t xml:space="preserve"> prej vitit 2016 e në vazhdim organizohet nga AKZM në muajn janar, me përfshirjen e Administratave të Zonave të Mbrojtura në të 12 qarqet me mbështetjen e ekspertëve ornitolog dhe specialistëve e vullnetarëve.  </w:t>
      </w:r>
    </w:p>
    <w:p w:rsidR="003E4775" w:rsidRDefault="003E4775" w:rsidP="003B21F0">
      <w:pPr>
        <w:spacing w:line="254" w:lineRule="auto"/>
        <w:jc w:val="both"/>
        <w:rPr>
          <w:rFonts w:ascii="Times New Roman" w:eastAsia="Times New Roman" w:hAnsi="Times New Roman" w:cs="Times New Roman"/>
          <w:color w:val="000000"/>
          <w:sz w:val="24"/>
          <w:szCs w:val="24"/>
          <w:u w:color="000000"/>
          <w:lang w:val="en-GB"/>
        </w:rPr>
      </w:pPr>
    </w:p>
    <w:p w:rsidR="00765B3C" w:rsidRDefault="003B6006" w:rsidP="003B21F0">
      <w:pPr>
        <w:spacing w:line="254" w:lineRule="auto"/>
        <w:jc w:val="both"/>
        <w:rPr>
          <w:rFonts w:ascii="Times New Roman" w:eastAsia="Times New Roman" w:hAnsi="Times New Roman" w:cs="Times New Roman"/>
          <w:color w:val="000000"/>
          <w:sz w:val="24"/>
          <w:szCs w:val="24"/>
          <w:u w:color="000000"/>
          <w:lang w:val="en-GB"/>
        </w:rPr>
      </w:pPr>
      <w:r>
        <w:rPr>
          <w:rFonts w:ascii="Times New Roman" w:eastAsia="Times New Roman" w:hAnsi="Times New Roman" w:cs="Times New Roman"/>
          <w:color w:val="000000"/>
          <w:sz w:val="24"/>
          <w:szCs w:val="24"/>
          <w:u w:color="000000"/>
          <w:lang w:val="en-GB"/>
        </w:rPr>
        <w:t>Ky Census</w:t>
      </w:r>
      <w:r w:rsidR="00AE5C1A" w:rsidRPr="00AE5C1A">
        <w:rPr>
          <w:rFonts w:ascii="Times New Roman" w:eastAsia="Times New Roman" w:hAnsi="Times New Roman" w:cs="Times New Roman"/>
          <w:color w:val="000000"/>
          <w:sz w:val="24"/>
          <w:szCs w:val="24"/>
          <w:u w:color="000000"/>
          <w:lang w:val="en-GB"/>
        </w:rPr>
        <w:t xml:space="preserve"> mbulon 3</w:t>
      </w:r>
      <w:r w:rsidR="00282CB7">
        <w:rPr>
          <w:rFonts w:ascii="Times New Roman" w:eastAsia="Times New Roman" w:hAnsi="Times New Roman" w:cs="Times New Roman"/>
          <w:color w:val="000000"/>
          <w:sz w:val="24"/>
          <w:szCs w:val="24"/>
          <w:u w:color="000000"/>
          <w:lang w:val="en-GB"/>
        </w:rPr>
        <w:t>5</w:t>
      </w:r>
      <w:r w:rsidR="00AE5C1A" w:rsidRPr="00AE5C1A">
        <w:rPr>
          <w:rFonts w:ascii="Times New Roman" w:eastAsia="Times New Roman" w:hAnsi="Times New Roman" w:cs="Times New Roman"/>
          <w:color w:val="000000"/>
          <w:sz w:val="24"/>
          <w:szCs w:val="24"/>
          <w:u w:color="000000"/>
          <w:lang w:val="en-GB"/>
        </w:rPr>
        <w:t xml:space="preserve"> vendnumërime (ligatina, lumenj, liqene, rezervuare, ekosisteme bregdetare etj), në të gjithë vendin </w:t>
      </w:r>
      <w:r w:rsidR="00AE5C1A">
        <w:rPr>
          <w:rFonts w:ascii="Times New Roman" w:eastAsia="Times New Roman" w:hAnsi="Times New Roman" w:cs="Times New Roman"/>
          <w:color w:val="000000"/>
          <w:sz w:val="24"/>
          <w:szCs w:val="24"/>
          <w:u w:color="000000"/>
          <w:lang w:val="en-GB"/>
        </w:rPr>
        <w:t>tonë.</w:t>
      </w:r>
      <w:r>
        <w:rPr>
          <w:rFonts w:ascii="Times New Roman" w:eastAsia="Times New Roman" w:hAnsi="Times New Roman" w:cs="Times New Roman"/>
          <w:color w:val="000000"/>
          <w:sz w:val="24"/>
          <w:szCs w:val="24"/>
          <w:u w:color="000000"/>
          <w:lang w:val="en-GB"/>
        </w:rPr>
        <w:t xml:space="preserve"> </w:t>
      </w:r>
      <w:r w:rsidRPr="003B6006">
        <w:rPr>
          <w:rFonts w:ascii="Times New Roman" w:eastAsia="Times New Roman" w:hAnsi="Times New Roman" w:cs="Times New Roman"/>
          <w:color w:val="000000"/>
          <w:sz w:val="24"/>
          <w:szCs w:val="24"/>
          <w:u w:color="000000"/>
          <w:lang w:val="en-GB"/>
        </w:rPr>
        <w:t>Për vitin 2025 në total u regjistruan 64 lloje (specie) shpendësh, me një numër total individësh prej 112516.</w:t>
      </w:r>
      <w:r>
        <w:rPr>
          <w:rFonts w:ascii="Times New Roman" w:eastAsia="Times New Roman" w:hAnsi="Times New Roman" w:cs="Times New Roman"/>
          <w:color w:val="000000"/>
          <w:sz w:val="24"/>
          <w:szCs w:val="24"/>
          <w:u w:color="000000"/>
          <w:lang w:val="en-GB"/>
        </w:rPr>
        <w:t xml:space="preserve"> </w:t>
      </w:r>
      <w:r w:rsidRPr="003B6006">
        <w:rPr>
          <w:rFonts w:ascii="Times New Roman" w:eastAsia="Times New Roman" w:hAnsi="Times New Roman" w:cs="Times New Roman"/>
          <w:color w:val="000000"/>
          <w:sz w:val="24"/>
          <w:szCs w:val="24"/>
          <w:u w:color="000000"/>
          <w:lang w:val="en-GB"/>
        </w:rPr>
        <w:t xml:space="preserve">Lloji me numër më të madh të individëve, është bajza </w:t>
      </w:r>
      <w:r w:rsidRPr="003B6006">
        <w:rPr>
          <w:rFonts w:ascii="Times New Roman" w:eastAsia="Times New Roman" w:hAnsi="Times New Roman" w:cs="Times New Roman"/>
          <w:i/>
          <w:color w:val="000000"/>
          <w:sz w:val="24"/>
          <w:szCs w:val="24"/>
          <w:u w:color="000000"/>
          <w:lang w:val="en-GB"/>
        </w:rPr>
        <w:t>(Fulica atra)</w:t>
      </w:r>
      <w:r w:rsidRPr="003B6006">
        <w:rPr>
          <w:rFonts w:ascii="Times New Roman" w:eastAsia="Times New Roman" w:hAnsi="Times New Roman" w:cs="Times New Roman"/>
          <w:color w:val="000000"/>
          <w:sz w:val="24"/>
          <w:szCs w:val="24"/>
          <w:u w:color="000000"/>
          <w:lang w:val="en-GB"/>
        </w:rPr>
        <w:t>.</w:t>
      </w:r>
      <w:r>
        <w:rPr>
          <w:rFonts w:ascii="Times New Roman" w:eastAsia="Times New Roman" w:hAnsi="Times New Roman" w:cs="Times New Roman"/>
          <w:color w:val="000000"/>
          <w:sz w:val="24"/>
          <w:szCs w:val="24"/>
          <w:u w:color="000000"/>
          <w:lang w:val="en-GB"/>
        </w:rPr>
        <w:t xml:space="preserve"> </w:t>
      </w:r>
      <w:r w:rsidRPr="003B6006">
        <w:rPr>
          <w:rFonts w:ascii="Times New Roman" w:eastAsia="Times New Roman" w:hAnsi="Times New Roman" w:cs="Times New Roman"/>
          <w:color w:val="000000"/>
          <w:sz w:val="24"/>
          <w:szCs w:val="24"/>
          <w:u w:color="000000"/>
          <w:lang w:val="en-GB"/>
        </w:rPr>
        <w:t xml:space="preserve">Ndër </w:t>
      </w:r>
      <w:r w:rsidR="003B21F0">
        <w:rPr>
          <w:rFonts w:ascii="Times New Roman" w:eastAsia="Times New Roman" w:hAnsi="Times New Roman" w:cs="Times New Roman"/>
          <w:color w:val="000000"/>
          <w:sz w:val="24"/>
          <w:szCs w:val="24"/>
          <w:u w:color="000000"/>
          <w:lang w:val="en-GB"/>
        </w:rPr>
        <w:t>vite, duke filluar nga viti 2020</w:t>
      </w:r>
      <w:r w:rsidRPr="003B6006">
        <w:rPr>
          <w:rFonts w:ascii="Times New Roman" w:eastAsia="Times New Roman" w:hAnsi="Times New Roman" w:cs="Times New Roman"/>
          <w:color w:val="000000"/>
          <w:sz w:val="24"/>
          <w:szCs w:val="24"/>
          <w:u w:color="000000"/>
          <w:lang w:val="en-GB"/>
        </w:rPr>
        <w:t xml:space="preserve"> – 2025</w:t>
      </w:r>
      <w:r>
        <w:rPr>
          <w:rFonts w:ascii="Times New Roman" w:eastAsia="Times New Roman" w:hAnsi="Times New Roman" w:cs="Times New Roman"/>
          <w:color w:val="000000"/>
          <w:sz w:val="24"/>
          <w:szCs w:val="24"/>
          <w:u w:color="000000"/>
          <w:lang w:val="en-GB"/>
        </w:rPr>
        <w:t>, rezultojnë</w:t>
      </w:r>
      <w:r w:rsidRPr="003B6006">
        <w:rPr>
          <w:rFonts w:ascii="Times New Roman" w:eastAsia="Times New Roman" w:hAnsi="Times New Roman" w:cs="Times New Roman"/>
          <w:color w:val="000000"/>
          <w:sz w:val="24"/>
          <w:szCs w:val="24"/>
          <w:u w:color="000000"/>
          <w:lang w:val="en-GB"/>
        </w:rPr>
        <w:t xml:space="preserve"> këto të dhëna</w:t>
      </w:r>
    </w:p>
    <w:p w:rsidR="00FE1F1B" w:rsidRDefault="00FE1F1B" w:rsidP="003B21F0">
      <w:pPr>
        <w:spacing w:line="254" w:lineRule="auto"/>
        <w:jc w:val="both"/>
        <w:rPr>
          <w:rFonts w:ascii="Times New Roman" w:eastAsia="Times New Roman" w:hAnsi="Times New Roman" w:cs="Times New Roman"/>
          <w:color w:val="000000"/>
          <w:sz w:val="24"/>
          <w:szCs w:val="24"/>
          <w:u w:color="000000"/>
          <w:lang w:val="en-GB"/>
        </w:rPr>
      </w:pPr>
    </w:p>
    <w:p w:rsidR="00FE1F1B" w:rsidRPr="003B21F0" w:rsidRDefault="00FE1F1B" w:rsidP="003B21F0">
      <w:pPr>
        <w:spacing w:line="254" w:lineRule="auto"/>
        <w:jc w:val="both"/>
        <w:rPr>
          <w:rFonts w:ascii="Times New Roman" w:eastAsia="Times New Roman" w:hAnsi="Times New Roman" w:cs="Times New Roman"/>
          <w:color w:val="000000"/>
          <w:sz w:val="24"/>
          <w:szCs w:val="24"/>
          <w:u w:color="000000"/>
          <w:lang w:val="en-GB"/>
        </w:rPr>
      </w:pPr>
      <w:r>
        <w:rPr>
          <w:rFonts w:ascii="Times New Roman" w:eastAsia="Times New Roman" w:hAnsi="Times New Roman" w:cs="Times New Roman"/>
          <w:color w:val="000000"/>
          <w:sz w:val="24"/>
          <w:szCs w:val="24"/>
          <w:u w:color="000000"/>
          <w:lang w:val="en-GB"/>
        </w:rPr>
        <w:lastRenderedPageBreak/>
        <w:t xml:space="preserve">                  Tabela 76. </w:t>
      </w:r>
      <w:r w:rsidRPr="00AE5C1A">
        <w:rPr>
          <w:rFonts w:ascii="Times New Roman" w:eastAsia="Times New Roman" w:hAnsi="Times New Roman" w:cs="Times New Roman"/>
          <w:color w:val="000000"/>
          <w:sz w:val="24"/>
          <w:szCs w:val="24"/>
          <w:u w:color="000000"/>
          <w:lang w:val="en-GB"/>
        </w:rPr>
        <w:t xml:space="preserve">Numërimi Ndërkombëtar i Shpendëve Dimërues </w:t>
      </w:r>
      <w:r>
        <w:rPr>
          <w:rFonts w:ascii="Times New Roman" w:eastAsia="Times New Roman" w:hAnsi="Times New Roman" w:cs="Times New Roman"/>
          <w:color w:val="000000"/>
          <w:sz w:val="24"/>
          <w:szCs w:val="24"/>
          <w:u w:color="000000"/>
          <w:lang w:val="en-GB"/>
        </w:rPr>
        <w:t xml:space="preserve"> ujorë</w:t>
      </w:r>
    </w:p>
    <w:tbl>
      <w:tblPr>
        <w:tblW w:w="9241" w:type="dxa"/>
        <w:tblLook w:val="04A0" w:firstRow="1" w:lastRow="0" w:firstColumn="1" w:lastColumn="0" w:noHBand="0" w:noVBand="1"/>
      </w:tblPr>
      <w:tblGrid>
        <w:gridCol w:w="2040"/>
        <w:gridCol w:w="801"/>
        <w:gridCol w:w="417"/>
        <w:gridCol w:w="811"/>
        <w:gridCol w:w="457"/>
        <w:gridCol w:w="12"/>
        <w:gridCol w:w="744"/>
        <w:gridCol w:w="396"/>
        <w:gridCol w:w="24"/>
        <w:gridCol w:w="12"/>
        <w:gridCol w:w="720"/>
        <w:gridCol w:w="417"/>
        <w:gridCol w:w="13"/>
        <w:gridCol w:w="653"/>
        <w:gridCol w:w="417"/>
        <w:gridCol w:w="11"/>
        <w:gridCol w:w="745"/>
        <w:gridCol w:w="540"/>
        <w:gridCol w:w="11"/>
      </w:tblGrid>
      <w:tr w:rsidR="003B21F0" w:rsidRPr="003B21F0" w:rsidTr="003B21F0">
        <w:trPr>
          <w:trHeight w:val="300"/>
        </w:trPr>
        <w:tc>
          <w:tcPr>
            <w:tcW w:w="2040"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Vendnumërimet</w:t>
            </w:r>
          </w:p>
        </w:tc>
        <w:tc>
          <w:tcPr>
            <w:tcW w:w="1218" w:type="dxa"/>
            <w:gridSpan w:val="2"/>
            <w:tcBorders>
              <w:top w:val="single" w:sz="4" w:space="0" w:color="auto"/>
              <w:left w:val="nil"/>
              <w:bottom w:val="single" w:sz="4" w:space="0" w:color="auto"/>
              <w:right w:val="single" w:sz="4" w:space="0" w:color="auto"/>
            </w:tcBorders>
            <w:shd w:val="clear" w:color="000000" w:fill="C6E0B4"/>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2020</w:t>
            </w:r>
          </w:p>
        </w:tc>
        <w:tc>
          <w:tcPr>
            <w:tcW w:w="1280" w:type="dxa"/>
            <w:gridSpan w:val="3"/>
            <w:tcBorders>
              <w:top w:val="single" w:sz="4" w:space="0" w:color="auto"/>
              <w:left w:val="nil"/>
              <w:bottom w:val="single" w:sz="4" w:space="0" w:color="auto"/>
              <w:right w:val="single" w:sz="4" w:space="0" w:color="auto"/>
            </w:tcBorders>
            <w:shd w:val="clear" w:color="000000" w:fill="C6E0B4"/>
            <w:noWrap/>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2021</w:t>
            </w:r>
          </w:p>
        </w:tc>
        <w:tc>
          <w:tcPr>
            <w:tcW w:w="1176" w:type="dxa"/>
            <w:gridSpan w:val="4"/>
            <w:tcBorders>
              <w:top w:val="single" w:sz="4" w:space="0" w:color="auto"/>
              <w:left w:val="nil"/>
              <w:bottom w:val="single" w:sz="4" w:space="0" w:color="auto"/>
              <w:right w:val="single" w:sz="4" w:space="0" w:color="auto"/>
            </w:tcBorders>
            <w:shd w:val="clear" w:color="000000" w:fill="C6E0B4"/>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rPr>
              <w:t>2022</w:t>
            </w:r>
          </w:p>
        </w:tc>
        <w:tc>
          <w:tcPr>
            <w:tcW w:w="1150" w:type="dxa"/>
            <w:gridSpan w:val="3"/>
            <w:tcBorders>
              <w:top w:val="single" w:sz="4" w:space="0" w:color="auto"/>
              <w:left w:val="nil"/>
              <w:bottom w:val="single" w:sz="4" w:space="0" w:color="auto"/>
              <w:right w:val="single" w:sz="4" w:space="0" w:color="auto"/>
            </w:tcBorders>
            <w:shd w:val="clear" w:color="000000" w:fill="C6E0B4"/>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2023</w:t>
            </w:r>
          </w:p>
        </w:tc>
        <w:tc>
          <w:tcPr>
            <w:tcW w:w="1081" w:type="dxa"/>
            <w:gridSpan w:val="3"/>
            <w:tcBorders>
              <w:top w:val="single" w:sz="4" w:space="0" w:color="auto"/>
              <w:left w:val="nil"/>
              <w:bottom w:val="single" w:sz="4" w:space="0" w:color="auto"/>
              <w:right w:val="single" w:sz="4" w:space="0" w:color="auto"/>
            </w:tcBorders>
            <w:shd w:val="clear" w:color="000000" w:fill="C6E0B4"/>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2024</w:t>
            </w:r>
          </w:p>
        </w:tc>
        <w:tc>
          <w:tcPr>
            <w:tcW w:w="1296" w:type="dxa"/>
            <w:gridSpan w:val="3"/>
            <w:tcBorders>
              <w:top w:val="single" w:sz="4" w:space="0" w:color="auto"/>
              <w:left w:val="nil"/>
              <w:bottom w:val="single" w:sz="4" w:space="0" w:color="auto"/>
              <w:right w:val="single" w:sz="4" w:space="0" w:color="auto"/>
            </w:tcBorders>
            <w:shd w:val="clear" w:color="000000" w:fill="C6E0B4"/>
            <w:noWrap/>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rPr>
              <w:t>2025</w:t>
            </w:r>
          </w:p>
        </w:tc>
      </w:tr>
      <w:tr w:rsidR="003B21F0" w:rsidRPr="003B21F0" w:rsidTr="003B21F0">
        <w:trPr>
          <w:gridAfter w:val="1"/>
          <w:wAfter w:w="11" w:type="dxa"/>
          <w:trHeight w:val="300"/>
        </w:trPr>
        <w:tc>
          <w:tcPr>
            <w:tcW w:w="2040" w:type="dxa"/>
            <w:vMerge/>
            <w:tcBorders>
              <w:top w:val="single" w:sz="4" w:space="0" w:color="auto"/>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p>
        </w:tc>
        <w:tc>
          <w:tcPr>
            <w:tcW w:w="801"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Ind</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Sp</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Ind</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Sp</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Ind</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Sp</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Ind</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Sp</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Ind</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Sp</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Ind</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Sp</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Karavasta</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42235</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55</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34241</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53</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25670</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50</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25757</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52</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24543</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47</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26533</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49</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Kune-Vain</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8901</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32</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9458</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41</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14429</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36</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11534</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32</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10487</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33</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11154</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32</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Liqeni_Shkodrës</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40998</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23</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20098</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20</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29252</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24</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32089</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23</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18416</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23</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23899</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23</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 xml:space="preserve">Prespa e Madhe </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13101</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22</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21294</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20</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11736</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26</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6884</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21</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6176</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21</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5048</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22</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Ohër</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11012</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21</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17900</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20</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12354</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24</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7137</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22</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6878</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21</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8315</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18</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Narta</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15125</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38</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11291</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39</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14407</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36</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14742</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42</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10724</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40</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13763</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41</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Thana</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2430</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19</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9850</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21</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11442</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27</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1722</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22</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2414</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26</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3004</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16</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Butrinti</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2534</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33</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2348</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31</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4269</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29</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2430</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30</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3172</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32</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2510</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33</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Lalzi</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2557</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21</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7278</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26</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4103</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31</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3498</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18</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2952</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20</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4142</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29</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Orikumi</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1940</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23</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1006</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19</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1213</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17</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969</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21</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1333</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21</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1320</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15</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Buna-Velipoje</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2218</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22</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1646</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22</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1570</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20</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807</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15</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511</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18</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554</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7</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Patok</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1771</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19</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1981</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23</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1199</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25</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1020</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19</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1781</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20</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1745</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13</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Fierza</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1225</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12</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624</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7</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1179</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12</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1399</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10</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1626</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688</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13</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Liqeni i Tiranës</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471</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309</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7</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403</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600</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3823</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486</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Vau i Dejes</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1281</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1201</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10</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1044</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12</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187</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436</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547</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Prespa e Vogël</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7</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70</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79</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307</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168</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10</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435</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12</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Shena-Vlash</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657</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13</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128</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219</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7</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186</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15</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15</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212</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16</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Karpen</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80</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96</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138</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7</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91</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173</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255</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10</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Seman</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625</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15</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40</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352</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10</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94</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119</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12</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279</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Banja</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178</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83</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7</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140</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198</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463</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238</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Belshi</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421</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207</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10</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389</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375</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540</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14</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521</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15</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Liqeni i Farkës</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62</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48</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121</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59</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15</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28</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Rezervari i Bulos</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99</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10</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157</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147</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453</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559</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1057</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13</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Syri i Kaltër</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57</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53</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53</w:t>
            </w:r>
          </w:p>
        </w:tc>
        <w:tc>
          <w:tcPr>
            <w:tcW w:w="420" w:type="dxa"/>
            <w:gridSpan w:val="2"/>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w:t>
            </w:r>
          </w:p>
        </w:tc>
        <w:tc>
          <w:tcPr>
            <w:tcW w:w="732"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73</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69</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69</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Liqeni i Ulzës</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24</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14</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86</w:t>
            </w:r>
          </w:p>
        </w:tc>
        <w:tc>
          <w:tcPr>
            <w:tcW w:w="396"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c>
          <w:tcPr>
            <w:tcW w:w="756" w:type="dxa"/>
            <w:gridSpan w:val="3"/>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44</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4</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76</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90</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Rezervuari i Kasharit</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216</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28</w:t>
            </w:r>
          </w:p>
        </w:tc>
        <w:tc>
          <w:tcPr>
            <w:tcW w:w="396"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w:t>
            </w:r>
          </w:p>
        </w:tc>
        <w:tc>
          <w:tcPr>
            <w:tcW w:w="756" w:type="dxa"/>
            <w:gridSpan w:val="3"/>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2</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22</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Rezervuari i Paskuqanit</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250</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62</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227</w:t>
            </w:r>
          </w:p>
        </w:tc>
        <w:tc>
          <w:tcPr>
            <w:tcW w:w="396"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c>
          <w:tcPr>
            <w:tcW w:w="756" w:type="dxa"/>
            <w:gridSpan w:val="3"/>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747</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5</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407</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134</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Liqeni i Tapizës</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320</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27</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77</w:t>
            </w:r>
          </w:p>
        </w:tc>
        <w:tc>
          <w:tcPr>
            <w:tcW w:w="396"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w:t>
            </w:r>
          </w:p>
        </w:tc>
        <w:tc>
          <w:tcPr>
            <w:tcW w:w="756" w:type="dxa"/>
            <w:gridSpan w:val="3"/>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146</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8</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137</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110</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Liqeni i Bovillës</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w:t>
            </w:r>
          </w:p>
        </w:tc>
        <w:tc>
          <w:tcPr>
            <w:tcW w:w="396"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w:t>
            </w:r>
          </w:p>
        </w:tc>
        <w:tc>
          <w:tcPr>
            <w:tcW w:w="756" w:type="dxa"/>
            <w:gridSpan w:val="3"/>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Rezervuari i Kujanit</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363</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8</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560</w:t>
            </w:r>
          </w:p>
        </w:tc>
        <w:tc>
          <w:tcPr>
            <w:tcW w:w="396"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10</w:t>
            </w:r>
          </w:p>
        </w:tc>
        <w:tc>
          <w:tcPr>
            <w:tcW w:w="756" w:type="dxa"/>
            <w:gridSpan w:val="3"/>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207</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9</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272</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10</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372</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10</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Këneta e Roskovecit</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29</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w:t>
            </w:r>
          </w:p>
        </w:tc>
        <w:tc>
          <w:tcPr>
            <w:tcW w:w="396"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w:t>
            </w:r>
          </w:p>
        </w:tc>
        <w:tc>
          <w:tcPr>
            <w:tcW w:w="756" w:type="dxa"/>
            <w:gridSpan w:val="3"/>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2</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1</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Rezervuari i Kusit</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w:t>
            </w:r>
          </w:p>
        </w:tc>
        <w:tc>
          <w:tcPr>
            <w:tcW w:w="396"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2</w:t>
            </w:r>
          </w:p>
        </w:tc>
        <w:tc>
          <w:tcPr>
            <w:tcW w:w="756" w:type="dxa"/>
            <w:gridSpan w:val="3"/>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15</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1</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33</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68</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3</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Rezervuari i Gjançit</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126</w:t>
            </w:r>
          </w:p>
        </w:tc>
        <w:tc>
          <w:tcPr>
            <w:tcW w:w="396"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w:t>
            </w:r>
          </w:p>
        </w:tc>
        <w:tc>
          <w:tcPr>
            <w:tcW w:w="756" w:type="dxa"/>
            <w:gridSpan w:val="3"/>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77</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7</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92</w:t>
            </w:r>
          </w:p>
        </w:tc>
        <w:tc>
          <w:tcPr>
            <w:tcW w:w="417" w:type="dxa"/>
            <w:tcBorders>
              <w:top w:val="nil"/>
              <w:left w:val="nil"/>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w:t>
            </w:r>
          </w:p>
        </w:tc>
        <w:tc>
          <w:tcPr>
            <w:tcW w:w="756" w:type="dxa"/>
            <w:gridSpan w:val="2"/>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186</w:t>
            </w:r>
          </w:p>
        </w:tc>
        <w:tc>
          <w:tcPr>
            <w:tcW w:w="540"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7</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Rezervuari</w:t>
            </w:r>
          </w:p>
        </w:tc>
        <w:tc>
          <w:tcPr>
            <w:tcW w:w="801" w:type="dxa"/>
            <w:vMerge w:val="restart"/>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417" w:type="dxa"/>
            <w:vMerge w:val="restart"/>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811" w:type="dxa"/>
            <w:vMerge w:val="restart"/>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457" w:type="dxa"/>
            <w:vMerge w:val="restart"/>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756" w:type="dxa"/>
            <w:gridSpan w:val="2"/>
            <w:vMerge w:val="restart"/>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Calibri" w:hAnsi="Times New Roman" w:cs="Times New Roman"/>
                <w:color w:val="000000"/>
                <w:sz w:val="18"/>
                <w:szCs w:val="18"/>
                <w:u w:color="000000"/>
                <w:lang w:val="sq-AL"/>
              </w:rPr>
              <w:t> </w:t>
            </w:r>
          </w:p>
        </w:tc>
        <w:tc>
          <w:tcPr>
            <w:tcW w:w="396" w:type="dxa"/>
            <w:vMerge w:val="restart"/>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75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9</w:t>
            </w:r>
          </w:p>
        </w:tc>
        <w:tc>
          <w:tcPr>
            <w:tcW w:w="417" w:type="dxa"/>
            <w:vMerge w:val="restart"/>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1</w:t>
            </w:r>
          </w:p>
        </w:tc>
        <w:tc>
          <w:tcPr>
            <w:tcW w:w="666" w:type="dxa"/>
            <w:gridSpan w:val="2"/>
            <w:vMerge w:val="restart"/>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0</w:t>
            </w:r>
          </w:p>
        </w:tc>
        <w:tc>
          <w:tcPr>
            <w:tcW w:w="417" w:type="dxa"/>
            <w:vMerge w:val="restart"/>
            <w:tcBorders>
              <w:top w:val="nil"/>
              <w:left w:val="single" w:sz="4" w:space="0" w:color="auto"/>
              <w:bottom w:val="single" w:sz="4" w:space="0" w:color="auto"/>
              <w:right w:val="nil"/>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0</w:t>
            </w:r>
          </w:p>
        </w:tc>
        <w:tc>
          <w:tcPr>
            <w:tcW w:w="756" w:type="dxa"/>
            <w:gridSpan w:val="2"/>
            <w:vMerge w:val="restart"/>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0</w:t>
            </w:r>
          </w:p>
        </w:tc>
        <w:tc>
          <w:tcPr>
            <w:tcW w:w="540" w:type="dxa"/>
            <w:vMerge w:val="restart"/>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Shtyllë</w:t>
            </w:r>
          </w:p>
        </w:tc>
        <w:tc>
          <w:tcPr>
            <w:tcW w:w="801" w:type="dxa"/>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417" w:type="dxa"/>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811" w:type="dxa"/>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457" w:type="dxa"/>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756" w:type="dxa"/>
            <w:gridSpan w:val="2"/>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396" w:type="dxa"/>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756" w:type="dxa"/>
            <w:gridSpan w:val="3"/>
            <w:vMerge/>
            <w:tcBorders>
              <w:top w:val="single" w:sz="4" w:space="0" w:color="auto"/>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417" w:type="dxa"/>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666" w:type="dxa"/>
            <w:gridSpan w:val="2"/>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417" w:type="dxa"/>
            <w:vMerge/>
            <w:tcBorders>
              <w:top w:val="nil"/>
              <w:left w:val="single" w:sz="4" w:space="0" w:color="auto"/>
              <w:bottom w:val="single" w:sz="4" w:space="0" w:color="auto"/>
              <w:right w:val="nil"/>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756" w:type="dxa"/>
            <w:gridSpan w:val="2"/>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540" w:type="dxa"/>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Rezervuari</w:t>
            </w:r>
          </w:p>
        </w:tc>
        <w:tc>
          <w:tcPr>
            <w:tcW w:w="801" w:type="dxa"/>
            <w:vMerge w:val="restart"/>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417" w:type="dxa"/>
            <w:vMerge w:val="restart"/>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811" w:type="dxa"/>
            <w:vMerge w:val="restart"/>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457" w:type="dxa"/>
            <w:vMerge w:val="restart"/>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756" w:type="dxa"/>
            <w:gridSpan w:val="2"/>
            <w:vMerge w:val="restart"/>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Calibri" w:hAnsi="Times New Roman" w:cs="Times New Roman"/>
                <w:color w:val="000000"/>
                <w:sz w:val="18"/>
                <w:szCs w:val="18"/>
                <w:u w:color="000000"/>
                <w:lang w:val="sq-AL"/>
              </w:rPr>
              <w:t> </w:t>
            </w:r>
          </w:p>
        </w:tc>
        <w:tc>
          <w:tcPr>
            <w:tcW w:w="396" w:type="dxa"/>
            <w:vMerge w:val="restart"/>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 </w:t>
            </w:r>
          </w:p>
        </w:tc>
        <w:tc>
          <w:tcPr>
            <w:tcW w:w="75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426</w:t>
            </w:r>
          </w:p>
        </w:tc>
        <w:tc>
          <w:tcPr>
            <w:tcW w:w="417" w:type="dxa"/>
            <w:vMerge w:val="restart"/>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6</w:t>
            </w:r>
          </w:p>
        </w:tc>
        <w:tc>
          <w:tcPr>
            <w:tcW w:w="666" w:type="dxa"/>
            <w:gridSpan w:val="2"/>
            <w:vMerge w:val="restart"/>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164</w:t>
            </w:r>
          </w:p>
        </w:tc>
        <w:tc>
          <w:tcPr>
            <w:tcW w:w="417" w:type="dxa"/>
            <w:vMerge w:val="restart"/>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lang w:val="sq-AL"/>
              </w:rPr>
              <w:t>6</w:t>
            </w:r>
          </w:p>
        </w:tc>
        <w:tc>
          <w:tcPr>
            <w:tcW w:w="756" w:type="dxa"/>
            <w:gridSpan w:val="2"/>
            <w:vMerge w:val="restart"/>
            <w:tcBorders>
              <w:top w:val="nil"/>
              <w:left w:val="single" w:sz="4" w:space="0" w:color="auto"/>
              <w:bottom w:val="single" w:sz="4" w:space="0" w:color="000000"/>
              <w:right w:val="single" w:sz="4" w:space="0" w:color="auto"/>
            </w:tcBorders>
            <w:noWrap/>
            <w:vAlign w:val="bottom"/>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290</w:t>
            </w:r>
          </w:p>
        </w:tc>
        <w:tc>
          <w:tcPr>
            <w:tcW w:w="540" w:type="dxa"/>
            <w:vMerge w:val="restart"/>
            <w:tcBorders>
              <w:top w:val="nil"/>
              <w:left w:val="single" w:sz="4" w:space="0" w:color="auto"/>
              <w:bottom w:val="single" w:sz="4" w:space="0" w:color="000000"/>
              <w:right w:val="single" w:sz="4" w:space="0" w:color="auto"/>
            </w:tcBorders>
            <w:noWrap/>
            <w:vAlign w:val="bottom"/>
            <w:hideMark/>
          </w:tcPr>
          <w:p w:rsidR="003B21F0" w:rsidRPr="003B21F0" w:rsidRDefault="003B21F0" w:rsidP="003B21F0">
            <w:pPr>
              <w:spacing w:after="0" w:line="240" w:lineRule="auto"/>
              <w:jc w:val="right"/>
              <w:rPr>
                <w:rFonts w:ascii="Times New Roman" w:eastAsia="Times New Roman" w:hAnsi="Times New Roman" w:cs="Times New Roman"/>
                <w:color w:val="000000"/>
                <w:sz w:val="18"/>
                <w:szCs w:val="18"/>
                <w:u w:color="000000"/>
              </w:rPr>
            </w:pPr>
            <w:r w:rsidRPr="003B21F0">
              <w:rPr>
                <w:rFonts w:ascii="Times New Roman" w:eastAsia="Times New Roman" w:hAnsi="Times New Roman" w:cs="Times New Roman"/>
                <w:color w:val="000000"/>
                <w:sz w:val="18"/>
                <w:szCs w:val="18"/>
                <w:u w:color="000000"/>
              </w:rPr>
              <w:t>11</w:t>
            </w: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Thumanës</w:t>
            </w:r>
          </w:p>
        </w:tc>
        <w:tc>
          <w:tcPr>
            <w:tcW w:w="801" w:type="dxa"/>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417" w:type="dxa"/>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811" w:type="dxa"/>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457" w:type="dxa"/>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756" w:type="dxa"/>
            <w:gridSpan w:val="2"/>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396" w:type="dxa"/>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756" w:type="dxa"/>
            <w:gridSpan w:val="3"/>
            <w:vMerge/>
            <w:tcBorders>
              <w:top w:val="single" w:sz="4" w:space="0" w:color="auto"/>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417" w:type="dxa"/>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666" w:type="dxa"/>
            <w:gridSpan w:val="2"/>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417" w:type="dxa"/>
            <w:vMerge/>
            <w:tcBorders>
              <w:top w:val="nil"/>
              <w:left w:val="single" w:sz="4" w:space="0" w:color="auto"/>
              <w:bottom w:val="single" w:sz="4" w:space="0" w:color="auto"/>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756" w:type="dxa"/>
            <w:gridSpan w:val="2"/>
            <w:vMerge/>
            <w:tcBorders>
              <w:top w:val="nil"/>
              <w:left w:val="single" w:sz="4" w:space="0" w:color="auto"/>
              <w:bottom w:val="single" w:sz="4" w:space="0" w:color="000000"/>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c>
          <w:tcPr>
            <w:tcW w:w="540" w:type="dxa"/>
            <w:vMerge/>
            <w:tcBorders>
              <w:top w:val="nil"/>
              <w:left w:val="single" w:sz="4" w:space="0" w:color="auto"/>
              <w:bottom w:val="single" w:sz="4" w:space="0" w:color="000000"/>
              <w:right w:val="single" w:sz="4" w:space="0" w:color="auto"/>
            </w:tcBorders>
            <w:vAlign w:val="center"/>
            <w:hideMark/>
          </w:tcPr>
          <w:p w:rsidR="003B21F0" w:rsidRPr="003B21F0" w:rsidRDefault="003B21F0" w:rsidP="003B21F0">
            <w:pPr>
              <w:spacing w:after="0" w:line="240" w:lineRule="auto"/>
              <w:rPr>
                <w:rFonts w:ascii="Times New Roman" w:eastAsia="Times New Roman" w:hAnsi="Times New Roman" w:cs="Times New Roman"/>
                <w:color w:val="000000"/>
                <w:sz w:val="18"/>
                <w:szCs w:val="18"/>
                <w:u w:color="000000"/>
              </w:rPr>
            </w:pPr>
          </w:p>
        </w:tc>
      </w:tr>
      <w:tr w:rsidR="003B21F0" w:rsidRPr="003B21F0" w:rsidTr="003B21F0">
        <w:trPr>
          <w:gridAfter w:val="1"/>
          <w:wAfter w:w="11" w:type="dxa"/>
          <w:trHeight w:val="300"/>
        </w:trPr>
        <w:tc>
          <w:tcPr>
            <w:tcW w:w="2040" w:type="dxa"/>
            <w:tcBorders>
              <w:top w:val="nil"/>
              <w:left w:val="single" w:sz="4" w:space="0" w:color="auto"/>
              <w:bottom w:val="single" w:sz="4" w:space="0" w:color="auto"/>
              <w:right w:val="single" w:sz="4" w:space="0" w:color="auto"/>
            </w:tcBorders>
            <w:noWrap/>
            <w:vAlign w:val="center"/>
            <w:hideMark/>
          </w:tcPr>
          <w:p w:rsidR="003B21F0" w:rsidRPr="003B21F0" w:rsidRDefault="003B21F0" w:rsidP="003B21F0">
            <w:pPr>
              <w:spacing w:after="0" w:line="240" w:lineRule="auto"/>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lastRenderedPageBreak/>
              <w:t xml:space="preserve"> Total</w:t>
            </w:r>
          </w:p>
        </w:tc>
        <w:tc>
          <w:tcPr>
            <w:tcW w:w="80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150,804</w:t>
            </w:r>
          </w:p>
        </w:tc>
        <w:tc>
          <w:tcPr>
            <w:tcW w:w="41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67</w:t>
            </w:r>
          </w:p>
        </w:tc>
        <w:tc>
          <w:tcPr>
            <w:tcW w:w="811"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142376</w:t>
            </w:r>
          </w:p>
        </w:tc>
        <w:tc>
          <w:tcPr>
            <w:tcW w:w="457" w:type="dxa"/>
            <w:tcBorders>
              <w:top w:val="nil"/>
              <w:left w:val="nil"/>
              <w:bottom w:val="single" w:sz="4" w:space="0" w:color="auto"/>
              <w:right w:val="single" w:sz="4" w:space="0" w:color="auto"/>
            </w:tcBorders>
            <w:noWrap/>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64</w:t>
            </w:r>
          </w:p>
        </w:tc>
        <w:tc>
          <w:tcPr>
            <w:tcW w:w="75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138494</w:t>
            </w:r>
          </w:p>
        </w:tc>
        <w:tc>
          <w:tcPr>
            <w:tcW w:w="396"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center"/>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64</w:t>
            </w:r>
          </w:p>
        </w:tc>
        <w:tc>
          <w:tcPr>
            <w:tcW w:w="756" w:type="dxa"/>
            <w:gridSpan w:val="3"/>
            <w:tcBorders>
              <w:top w:val="single" w:sz="4" w:space="0" w:color="auto"/>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114293</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rPr>
              <w:t>66</w:t>
            </w:r>
          </w:p>
        </w:tc>
        <w:tc>
          <w:tcPr>
            <w:tcW w:w="666" w:type="dxa"/>
            <w:gridSpan w:val="2"/>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rPr>
              <w:t>99527</w:t>
            </w:r>
          </w:p>
        </w:tc>
        <w:tc>
          <w:tcPr>
            <w:tcW w:w="417" w:type="dxa"/>
            <w:tcBorders>
              <w:top w:val="nil"/>
              <w:left w:val="nil"/>
              <w:bottom w:val="single" w:sz="4" w:space="0" w:color="auto"/>
              <w:right w:val="single" w:sz="4" w:space="0" w:color="auto"/>
            </w:tcBorders>
            <w:vAlign w:val="center"/>
            <w:hideMark/>
          </w:tcPr>
          <w:p w:rsidR="003B21F0" w:rsidRPr="003B21F0" w:rsidRDefault="003B21F0" w:rsidP="003B21F0">
            <w:pPr>
              <w:spacing w:after="0" w:line="240" w:lineRule="auto"/>
              <w:jc w:val="right"/>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60</w:t>
            </w:r>
          </w:p>
        </w:tc>
        <w:tc>
          <w:tcPr>
            <w:tcW w:w="756" w:type="dxa"/>
            <w:gridSpan w:val="2"/>
            <w:tcBorders>
              <w:top w:val="nil"/>
              <w:left w:val="nil"/>
              <w:bottom w:val="single" w:sz="4" w:space="0" w:color="auto"/>
              <w:right w:val="single" w:sz="4" w:space="0" w:color="auto"/>
            </w:tcBorders>
            <w:noWrap/>
            <w:vAlign w:val="bottom"/>
            <w:hideMark/>
          </w:tcPr>
          <w:p w:rsidR="003B21F0" w:rsidRPr="003B21F0" w:rsidRDefault="003B21F0" w:rsidP="003B21F0">
            <w:pPr>
              <w:spacing w:after="0" w:line="240" w:lineRule="auto"/>
              <w:jc w:val="right"/>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lang w:val="sq-AL"/>
              </w:rPr>
              <w:t>112516</w:t>
            </w:r>
          </w:p>
        </w:tc>
        <w:tc>
          <w:tcPr>
            <w:tcW w:w="540" w:type="dxa"/>
            <w:tcBorders>
              <w:top w:val="nil"/>
              <w:left w:val="nil"/>
              <w:bottom w:val="single" w:sz="4" w:space="0" w:color="auto"/>
              <w:right w:val="single" w:sz="4" w:space="0" w:color="auto"/>
            </w:tcBorders>
            <w:noWrap/>
            <w:vAlign w:val="bottom"/>
            <w:hideMark/>
          </w:tcPr>
          <w:p w:rsidR="003B21F0" w:rsidRPr="003B21F0" w:rsidRDefault="003B21F0" w:rsidP="003B21F0">
            <w:pPr>
              <w:spacing w:after="0" w:line="240" w:lineRule="auto"/>
              <w:jc w:val="right"/>
              <w:rPr>
                <w:rFonts w:ascii="Times New Roman" w:eastAsia="Times New Roman" w:hAnsi="Times New Roman" w:cs="Times New Roman"/>
                <w:b/>
                <w:bCs/>
                <w:color w:val="000000"/>
                <w:sz w:val="18"/>
                <w:szCs w:val="18"/>
                <w:u w:color="000000"/>
              </w:rPr>
            </w:pPr>
            <w:r w:rsidRPr="003B21F0">
              <w:rPr>
                <w:rFonts w:ascii="Times New Roman" w:eastAsia="Times New Roman" w:hAnsi="Times New Roman" w:cs="Times New Roman"/>
                <w:b/>
                <w:bCs/>
                <w:color w:val="000000"/>
                <w:sz w:val="18"/>
                <w:szCs w:val="18"/>
                <w:u w:color="000000"/>
              </w:rPr>
              <w:t>64</w:t>
            </w:r>
          </w:p>
        </w:tc>
      </w:tr>
    </w:tbl>
    <w:p w:rsidR="003E4775" w:rsidRDefault="003E4775" w:rsidP="003E4775">
      <w:pPr>
        <w:spacing w:after="0" w:line="240" w:lineRule="auto"/>
        <w:jc w:val="both"/>
        <w:rPr>
          <w:sz w:val="24"/>
          <w:szCs w:val="24"/>
        </w:rPr>
      </w:pPr>
    </w:p>
    <w:p w:rsidR="003E4775" w:rsidRDefault="003E4775" w:rsidP="003E4775">
      <w:pPr>
        <w:spacing w:after="0" w:line="240" w:lineRule="auto"/>
        <w:jc w:val="both"/>
        <w:rPr>
          <w:rFonts w:ascii="Times New Roman" w:eastAsia="Times New Roman" w:hAnsi="Times New Roman" w:cs="Times New Roman"/>
          <w:color w:val="000000"/>
          <w:sz w:val="24"/>
          <w:szCs w:val="24"/>
          <w:u w:color="000000"/>
          <w:lang w:val="en-GB"/>
        </w:rPr>
      </w:pPr>
      <w:r w:rsidRPr="003E4775">
        <w:rPr>
          <w:rFonts w:ascii="Times New Roman" w:eastAsia="Times New Roman" w:hAnsi="Times New Roman" w:cs="Times New Roman"/>
          <w:color w:val="000000"/>
          <w:sz w:val="24"/>
          <w:szCs w:val="24"/>
          <w:u w:color="000000"/>
          <w:lang w:val="en-GB"/>
        </w:rPr>
        <w:t>Agjencia Kombëtare e Zonave të Mbrojtura (AKZM), që nga 6-mujori i dytë i vitit 2017 e në vazhdim është përfshirë në kryerjen e punës, për ndjekjen permanente, të Vëzhgim-Monitorimit të Faunës së Egër, në territoret e sistemit të Zonave të Mbrojtura Mjedisore, sipas specieve të përcaktuara për këtë qëllim. Në Vëzhgim - Monitorim, janë gjithsej 40 specie, si më poshtë vijon:</w:t>
      </w:r>
    </w:p>
    <w:p w:rsidR="003E4775" w:rsidRPr="003E4775" w:rsidRDefault="003E4775" w:rsidP="003E4775">
      <w:pPr>
        <w:spacing w:after="0" w:line="240" w:lineRule="auto"/>
        <w:jc w:val="both"/>
        <w:rPr>
          <w:rFonts w:ascii="Times New Roman" w:eastAsia="Times New Roman" w:hAnsi="Times New Roman" w:cs="Times New Roman"/>
          <w:color w:val="000000"/>
          <w:sz w:val="24"/>
          <w:szCs w:val="24"/>
          <w:u w:color="000000"/>
          <w:lang w:val="en-GB"/>
        </w:rPr>
      </w:pP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Ariu i Murmë (</w:t>
      </w:r>
      <w:r w:rsidRPr="003E4775">
        <w:rPr>
          <w:rFonts w:ascii="Times New Roman" w:eastAsia="Calibri" w:hAnsi="Times New Roman" w:cs="Times New Roman"/>
          <w:i/>
          <w:color w:val="000000"/>
          <w:sz w:val="24"/>
          <w:szCs w:val="24"/>
          <w:u w:color="000000"/>
          <w:lang w:val="sq-AL"/>
        </w:rPr>
        <w:t>Ursus arctos</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Mace e Egër (</w:t>
      </w:r>
      <w:r w:rsidRPr="003E4775">
        <w:rPr>
          <w:rFonts w:ascii="Times New Roman" w:eastAsia="Calibri" w:hAnsi="Times New Roman" w:cs="Times New Roman"/>
          <w:i/>
          <w:color w:val="000000"/>
          <w:sz w:val="24"/>
          <w:szCs w:val="24"/>
          <w:u w:color="000000"/>
          <w:lang w:val="sq-AL"/>
        </w:rPr>
        <w:t>Felis silvestris</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Rrëqebulli (</w:t>
      </w:r>
      <w:r w:rsidRPr="003E4775">
        <w:rPr>
          <w:rFonts w:ascii="Times New Roman" w:eastAsia="Calibri" w:hAnsi="Times New Roman" w:cs="Times New Roman"/>
          <w:i/>
          <w:color w:val="000000"/>
          <w:sz w:val="24"/>
          <w:szCs w:val="24"/>
          <w:u w:color="000000"/>
          <w:lang w:val="sq-AL"/>
        </w:rPr>
        <w:t>Lynx lynx balcanicus</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Lundërza (</w:t>
      </w:r>
      <w:r w:rsidRPr="003E4775">
        <w:rPr>
          <w:rFonts w:ascii="Times New Roman" w:eastAsia="Calibri" w:hAnsi="Times New Roman" w:cs="Times New Roman"/>
          <w:i/>
          <w:color w:val="000000"/>
          <w:sz w:val="24"/>
          <w:szCs w:val="24"/>
          <w:u w:color="000000"/>
          <w:lang w:val="sq-AL"/>
        </w:rPr>
        <w:t>Lutra lutra</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Dhia e Egër (</w:t>
      </w:r>
      <w:r w:rsidRPr="003E4775">
        <w:rPr>
          <w:rFonts w:ascii="Times New Roman" w:eastAsia="Calibri" w:hAnsi="Times New Roman" w:cs="Times New Roman"/>
          <w:i/>
          <w:color w:val="000000"/>
          <w:sz w:val="24"/>
          <w:szCs w:val="24"/>
          <w:u w:color="000000"/>
          <w:lang w:val="sq-AL"/>
        </w:rPr>
        <w:t>Rupicarpa rupicarpa</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Kaprolli (</w:t>
      </w:r>
      <w:r w:rsidRPr="003E4775">
        <w:rPr>
          <w:rFonts w:ascii="Times New Roman" w:eastAsia="Calibri" w:hAnsi="Times New Roman" w:cs="Times New Roman"/>
          <w:i/>
          <w:color w:val="000000"/>
          <w:sz w:val="24"/>
          <w:szCs w:val="24"/>
          <w:u w:color="000000"/>
          <w:lang w:val="sq-AL"/>
        </w:rPr>
        <w:t>Capreolus capreolus</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Baldosa (</w:t>
      </w:r>
      <w:r w:rsidRPr="003E4775">
        <w:rPr>
          <w:rFonts w:ascii="Times New Roman" w:eastAsia="Calibri" w:hAnsi="Times New Roman" w:cs="Times New Roman"/>
          <w:i/>
          <w:color w:val="000000"/>
          <w:sz w:val="24"/>
          <w:szCs w:val="24"/>
          <w:u w:color="000000"/>
          <w:lang w:val="sq-AL"/>
        </w:rPr>
        <w:t>Meles meles</w:t>
      </w:r>
      <w:r w:rsidRPr="003E4775">
        <w:rPr>
          <w:rFonts w:ascii="Times New Roman" w:eastAsia="Calibri" w:hAnsi="Times New Roman" w:cs="Times New Roman"/>
          <w:color w:val="000000"/>
          <w:sz w:val="24"/>
          <w:szCs w:val="24"/>
          <w:u w:color="000000"/>
          <w:lang w:val="sq-AL"/>
        </w:rPr>
        <w:t>),</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Ujku (</w:t>
      </w:r>
      <w:r w:rsidRPr="003E4775">
        <w:rPr>
          <w:rFonts w:ascii="Times New Roman" w:eastAsia="Calibri" w:hAnsi="Times New Roman" w:cs="Times New Roman"/>
          <w:i/>
          <w:color w:val="000000"/>
          <w:sz w:val="24"/>
          <w:szCs w:val="24"/>
          <w:u w:color="000000"/>
          <w:lang w:val="sq-AL"/>
        </w:rPr>
        <w:t>Canis lupus</w:t>
      </w:r>
      <w:r w:rsidRPr="003E4775">
        <w:rPr>
          <w:rFonts w:ascii="Times New Roman" w:eastAsia="Calibri" w:hAnsi="Times New Roman" w:cs="Times New Roman"/>
          <w:color w:val="000000"/>
          <w:sz w:val="24"/>
          <w:szCs w:val="24"/>
          <w:u w:color="000000"/>
          <w:lang w:val="sq-AL"/>
        </w:rPr>
        <w:t>),</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Çakalli (</w:t>
      </w:r>
      <w:r w:rsidRPr="003E4775">
        <w:rPr>
          <w:rFonts w:ascii="Times New Roman" w:eastAsia="Calibri" w:hAnsi="Times New Roman" w:cs="Times New Roman"/>
          <w:i/>
          <w:color w:val="000000"/>
          <w:sz w:val="24"/>
          <w:szCs w:val="24"/>
          <w:u w:color="000000"/>
          <w:lang w:val="sq-AL"/>
        </w:rPr>
        <w:t>Canis aureus</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Derri i Egër (</w:t>
      </w:r>
      <w:r w:rsidRPr="003E4775">
        <w:rPr>
          <w:rFonts w:ascii="Times New Roman" w:eastAsia="Calibri" w:hAnsi="Times New Roman" w:cs="Times New Roman"/>
          <w:i/>
          <w:color w:val="000000"/>
          <w:sz w:val="24"/>
          <w:szCs w:val="24"/>
          <w:u w:color="000000"/>
          <w:lang w:val="sq-AL"/>
        </w:rPr>
        <w:t>Sus scrofa</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Lepuri i Egër (</w:t>
      </w:r>
      <w:r w:rsidRPr="003E4775">
        <w:rPr>
          <w:rFonts w:ascii="Times New Roman" w:eastAsia="Calibri" w:hAnsi="Times New Roman" w:cs="Times New Roman"/>
          <w:i/>
          <w:color w:val="000000"/>
          <w:sz w:val="24"/>
          <w:szCs w:val="24"/>
          <w:u w:color="000000"/>
          <w:lang w:val="sq-AL"/>
        </w:rPr>
        <w:t>Lepus europacus</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Dhelpra (</w:t>
      </w:r>
      <w:r w:rsidRPr="003E4775">
        <w:rPr>
          <w:rFonts w:ascii="Times New Roman" w:eastAsia="Calibri" w:hAnsi="Times New Roman" w:cs="Times New Roman"/>
          <w:i/>
          <w:color w:val="000000"/>
          <w:sz w:val="24"/>
          <w:szCs w:val="24"/>
          <w:u w:color="000000"/>
          <w:lang w:val="sq-AL"/>
        </w:rPr>
        <w:t>Vulpes vulpes</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Zardafi/Kunadhja Gushëverdhë (</w:t>
      </w:r>
      <w:r w:rsidRPr="003E4775">
        <w:rPr>
          <w:rFonts w:ascii="Times New Roman" w:eastAsia="Calibri" w:hAnsi="Times New Roman" w:cs="Times New Roman"/>
          <w:i/>
          <w:color w:val="000000"/>
          <w:sz w:val="24"/>
          <w:szCs w:val="24"/>
          <w:u w:color="000000"/>
          <w:lang w:val="sq-AL"/>
        </w:rPr>
        <w:t>Martes martes</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Shqarthi/Kunadhja Gushëbardhë (</w:t>
      </w:r>
      <w:r w:rsidRPr="003E4775">
        <w:rPr>
          <w:rFonts w:ascii="Times New Roman" w:eastAsia="Calibri" w:hAnsi="Times New Roman" w:cs="Times New Roman"/>
          <w:i/>
          <w:color w:val="000000"/>
          <w:sz w:val="24"/>
          <w:szCs w:val="24"/>
          <w:u w:color="000000"/>
          <w:lang w:val="sq-AL"/>
        </w:rPr>
        <w:t>Martes foina</w:t>
      </w:r>
      <w:r w:rsidRPr="003E4775">
        <w:rPr>
          <w:rFonts w:ascii="Times New Roman" w:eastAsia="Calibri" w:hAnsi="Times New Roman" w:cs="Times New Roman"/>
          <w:color w:val="000000"/>
          <w:sz w:val="24"/>
          <w:szCs w:val="24"/>
          <w:u w:color="000000"/>
          <w:lang w:val="sq-AL"/>
        </w:rPr>
        <w:t>),</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Kryekuqe e Madhe (</w:t>
      </w:r>
      <w:r w:rsidRPr="003E4775">
        <w:rPr>
          <w:rFonts w:ascii="Times New Roman" w:eastAsia="Calibri" w:hAnsi="Times New Roman" w:cs="Times New Roman"/>
          <w:i/>
          <w:color w:val="000000"/>
          <w:sz w:val="24"/>
          <w:szCs w:val="24"/>
          <w:u w:color="000000"/>
          <w:lang w:val="sq-AL"/>
        </w:rPr>
        <w:t>Anas penelope</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Kryekuqe Qafëgjelbër (</w:t>
      </w:r>
      <w:r w:rsidRPr="003E4775">
        <w:rPr>
          <w:rFonts w:ascii="Times New Roman" w:eastAsia="Calibri" w:hAnsi="Times New Roman" w:cs="Times New Roman"/>
          <w:i/>
          <w:color w:val="000000"/>
          <w:sz w:val="24"/>
          <w:szCs w:val="24"/>
          <w:u w:color="000000"/>
          <w:lang w:val="sq-AL"/>
        </w:rPr>
        <w:t>Anas platyrhynchos</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Grilla (</w:t>
      </w:r>
      <w:r w:rsidRPr="003E4775">
        <w:rPr>
          <w:rFonts w:ascii="Times New Roman" w:eastAsia="Calibri" w:hAnsi="Times New Roman" w:cs="Times New Roman"/>
          <w:i/>
          <w:color w:val="000000"/>
          <w:sz w:val="24"/>
          <w:szCs w:val="24"/>
          <w:u w:color="000000"/>
          <w:lang w:val="sq-AL"/>
        </w:rPr>
        <w:t>Anas crecca</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Rosa Bishtëgjelë (</w:t>
      </w:r>
      <w:r w:rsidRPr="003E4775">
        <w:rPr>
          <w:rFonts w:ascii="Times New Roman" w:eastAsia="Calibri" w:hAnsi="Times New Roman" w:cs="Times New Roman"/>
          <w:i/>
          <w:color w:val="000000"/>
          <w:sz w:val="24"/>
          <w:szCs w:val="24"/>
          <w:u w:color="000000"/>
          <w:lang w:val="sq-AL"/>
        </w:rPr>
        <w:t>Anas acuta</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Rosa e Përhime (</w:t>
      </w:r>
      <w:r w:rsidRPr="003E4775">
        <w:rPr>
          <w:rFonts w:ascii="Times New Roman" w:eastAsia="Calibri" w:hAnsi="Times New Roman" w:cs="Times New Roman"/>
          <w:i/>
          <w:color w:val="000000"/>
          <w:sz w:val="24"/>
          <w:szCs w:val="24"/>
          <w:u w:color="000000"/>
          <w:lang w:val="sq-AL"/>
        </w:rPr>
        <w:t>Anas strepera</w:t>
      </w:r>
      <w:r w:rsidRPr="003E4775">
        <w:rPr>
          <w:rFonts w:ascii="Times New Roman" w:eastAsia="Calibri" w:hAnsi="Times New Roman" w:cs="Times New Roman"/>
          <w:color w:val="000000"/>
          <w:sz w:val="24"/>
          <w:szCs w:val="24"/>
          <w:u w:color="000000"/>
          <w:lang w:val="sq-AL"/>
        </w:rPr>
        <w:t>),</w:t>
      </w:r>
    </w:p>
    <w:p w:rsidR="003E4775" w:rsidRPr="003E4775" w:rsidRDefault="003E4775" w:rsidP="00807975">
      <w:pPr>
        <w:numPr>
          <w:ilvl w:val="0"/>
          <w:numId w:val="135"/>
        </w:numPr>
        <w:spacing w:after="0" w:line="256"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Sqepluga (</w:t>
      </w:r>
      <w:r w:rsidRPr="003E4775">
        <w:rPr>
          <w:rFonts w:ascii="Times New Roman" w:eastAsia="Calibri" w:hAnsi="Times New Roman" w:cs="Times New Roman"/>
          <w:i/>
          <w:color w:val="000000"/>
          <w:sz w:val="24"/>
          <w:szCs w:val="24"/>
          <w:u w:color="000000"/>
          <w:lang w:val="sq-AL"/>
        </w:rPr>
        <w:t>Anas clypeata</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Marsatorja (</w:t>
      </w:r>
      <w:r w:rsidRPr="003E4775">
        <w:rPr>
          <w:rFonts w:ascii="Times New Roman" w:eastAsia="Calibri" w:hAnsi="Times New Roman" w:cs="Times New Roman"/>
          <w:i/>
          <w:color w:val="000000"/>
          <w:sz w:val="24"/>
          <w:szCs w:val="24"/>
          <w:u w:color="000000"/>
          <w:lang w:val="sq-AL"/>
        </w:rPr>
        <w:t>Anas querquedula</w:t>
      </w:r>
      <w:r w:rsidRPr="003E4775">
        <w:rPr>
          <w:rFonts w:ascii="Times New Roman" w:eastAsia="Calibri" w:hAnsi="Times New Roman" w:cs="Times New Roman"/>
          <w:color w:val="000000"/>
          <w:sz w:val="24"/>
          <w:szCs w:val="24"/>
          <w:u w:color="000000"/>
          <w:lang w:val="sq-AL"/>
        </w:rPr>
        <w:t>),</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Shapka e Ujit (</w:t>
      </w:r>
      <w:r w:rsidRPr="003E4775">
        <w:rPr>
          <w:rFonts w:ascii="Times New Roman" w:eastAsia="Calibri" w:hAnsi="Times New Roman" w:cs="Times New Roman"/>
          <w:i/>
          <w:color w:val="000000"/>
          <w:sz w:val="24"/>
          <w:szCs w:val="24"/>
          <w:u w:color="000000"/>
          <w:lang w:val="sq-AL"/>
        </w:rPr>
        <w:t>Gallinago gallinago</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Bajza (</w:t>
      </w:r>
      <w:r w:rsidRPr="003E4775">
        <w:rPr>
          <w:rFonts w:ascii="Times New Roman" w:eastAsia="Calibri" w:hAnsi="Times New Roman" w:cs="Times New Roman"/>
          <w:i/>
          <w:color w:val="000000"/>
          <w:sz w:val="24"/>
          <w:szCs w:val="24"/>
          <w:u w:color="000000"/>
          <w:lang w:val="sq-AL"/>
        </w:rPr>
        <w:t>Fulica atra</w:t>
      </w:r>
      <w:r w:rsidRPr="003E4775">
        <w:rPr>
          <w:rFonts w:ascii="Times New Roman" w:eastAsia="Calibri" w:hAnsi="Times New Roman" w:cs="Times New Roman"/>
          <w:color w:val="000000"/>
          <w:sz w:val="24"/>
          <w:szCs w:val="24"/>
          <w:u w:color="000000"/>
          <w:lang w:val="sq-AL"/>
        </w:rPr>
        <w:t xml:space="preserve">), </w:t>
      </w:r>
    </w:p>
    <w:p w:rsidR="003E4775" w:rsidRPr="003E4775" w:rsidRDefault="00C846E8"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Pr>
          <w:rFonts w:ascii="Times New Roman" w:eastAsia="Calibri" w:hAnsi="Times New Roman" w:cs="Times New Roman"/>
          <w:color w:val="000000"/>
          <w:sz w:val="24"/>
          <w:szCs w:val="24"/>
          <w:u w:color="000000"/>
          <w:lang w:val="sq-AL"/>
        </w:rPr>
        <w:t>Thëllëz</w:t>
      </w:r>
      <w:r w:rsidR="003E4775" w:rsidRPr="003E4775">
        <w:rPr>
          <w:rFonts w:ascii="Times New Roman" w:eastAsia="Calibri" w:hAnsi="Times New Roman" w:cs="Times New Roman"/>
          <w:color w:val="000000"/>
          <w:sz w:val="24"/>
          <w:szCs w:val="24"/>
          <w:u w:color="000000"/>
          <w:lang w:val="sq-AL"/>
        </w:rPr>
        <w:t>a e Malit (</w:t>
      </w:r>
      <w:r w:rsidR="003E4775" w:rsidRPr="003E4775">
        <w:rPr>
          <w:rFonts w:ascii="Times New Roman" w:eastAsia="Calibri" w:hAnsi="Times New Roman" w:cs="Times New Roman"/>
          <w:i/>
          <w:color w:val="000000"/>
          <w:sz w:val="24"/>
          <w:szCs w:val="24"/>
          <w:u w:color="000000"/>
          <w:lang w:val="sq-AL"/>
        </w:rPr>
        <w:t>Alectoris graeca</w:t>
      </w:r>
      <w:r w:rsidR="003E4775"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Pëllumb i Egër (</w:t>
      </w:r>
      <w:r w:rsidRPr="003E4775">
        <w:rPr>
          <w:rFonts w:ascii="Times New Roman" w:eastAsia="Calibri" w:hAnsi="Times New Roman" w:cs="Times New Roman"/>
          <w:i/>
          <w:color w:val="000000"/>
          <w:sz w:val="24"/>
          <w:szCs w:val="24"/>
          <w:u w:color="000000"/>
          <w:lang w:val="sq-AL"/>
        </w:rPr>
        <w:t>Columba livia</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Shapka (</w:t>
      </w:r>
      <w:r w:rsidRPr="003E4775">
        <w:rPr>
          <w:rFonts w:ascii="Times New Roman" w:eastAsia="Calibri" w:hAnsi="Times New Roman" w:cs="Times New Roman"/>
          <w:i/>
          <w:color w:val="000000"/>
          <w:sz w:val="24"/>
          <w:szCs w:val="24"/>
          <w:u w:color="000000"/>
          <w:lang w:val="sq-AL"/>
        </w:rPr>
        <w:t>Scolopax rusticola</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Turtulli (</w:t>
      </w:r>
      <w:r w:rsidRPr="003E4775">
        <w:rPr>
          <w:rFonts w:ascii="Times New Roman" w:eastAsia="Calibri" w:hAnsi="Times New Roman" w:cs="Times New Roman"/>
          <w:i/>
          <w:color w:val="000000"/>
          <w:sz w:val="24"/>
          <w:szCs w:val="24"/>
          <w:u w:color="000000"/>
          <w:lang w:val="sq-AL"/>
        </w:rPr>
        <w:t>Streptopelia turtur</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Shkurta (</w:t>
      </w:r>
      <w:r w:rsidRPr="003E4775">
        <w:rPr>
          <w:rFonts w:ascii="Times New Roman" w:eastAsia="Calibri" w:hAnsi="Times New Roman" w:cs="Times New Roman"/>
          <w:i/>
          <w:color w:val="000000"/>
          <w:sz w:val="24"/>
          <w:szCs w:val="24"/>
          <w:u w:color="000000"/>
          <w:lang w:val="sq-AL"/>
        </w:rPr>
        <w:t>Coturnix coturnix</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Lauresha (</w:t>
      </w:r>
      <w:r w:rsidRPr="003E4775">
        <w:rPr>
          <w:rFonts w:ascii="Times New Roman" w:eastAsia="Calibri" w:hAnsi="Times New Roman" w:cs="Times New Roman"/>
          <w:i/>
          <w:color w:val="000000"/>
          <w:sz w:val="24"/>
          <w:szCs w:val="24"/>
          <w:u w:color="000000"/>
          <w:lang w:val="sq-AL"/>
        </w:rPr>
        <w:t>Alauda arvensis</w:t>
      </w:r>
      <w:r w:rsidRPr="003E4775">
        <w:rPr>
          <w:rFonts w:ascii="Times New Roman" w:eastAsia="Calibri" w:hAnsi="Times New Roman" w:cs="Times New Roman"/>
          <w:color w:val="000000"/>
          <w:sz w:val="24"/>
          <w:szCs w:val="24"/>
          <w:u w:color="000000"/>
          <w:lang w:val="sq-AL"/>
        </w:rPr>
        <w:t xml:space="preserve">), </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Pelikani Kaçurrel (</w:t>
      </w:r>
      <w:r w:rsidRPr="003E4775">
        <w:rPr>
          <w:rFonts w:ascii="Times New Roman" w:eastAsia="Calibri" w:hAnsi="Times New Roman" w:cs="Times New Roman"/>
          <w:i/>
          <w:color w:val="000000"/>
          <w:sz w:val="24"/>
          <w:szCs w:val="24"/>
          <w:u w:color="000000"/>
          <w:lang w:val="sq-AL"/>
        </w:rPr>
        <w:t>Pelecanus cripus</w:t>
      </w:r>
      <w:r w:rsidRPr="003E4775">
        <w:rPr>
          <w:rFonts w:ascii="Times New Roman" w:eastAsia="Calibri" w:hAnsi="Times New Roman" w:cs="Times New Roman"/>
          <w:color w:val="000000"/>
          <w:sz w:val="24"/>
          <w:szCs w:val="24"/>
          <w:u w:color="000000"/>
          <w:lang w:val="sq-AL"/>
        </w:rPr>
        <w:t>),</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Kryekuqja e Mjeme (</w:t>
      </w:r>
      <w:r w:rsidRPr="003E4775">
        <w:rPr>
          <w:rFonts w:ascii="Times New Roman" w:eastAsia="Calibri" w:hAnsi="Times New Roman" w:cs="Times New Roman"/>
          <w:i/>
          <w:color w:val="000000"/>
          <w:sz w:val="24"/>
          <w:szCs w:val="24"/>
          <w:u w:color="000000"/>
          <w:lang w:val="sq-AL"/>
        </w:rPr>
        <w:t>Aythea ferina</w:t>
      </w:r>
      <w:r w:rsidRPr="003E4775">
        <w:rPr>
          <w:rFonts w:ascii="Times New Roman" w:eastAsia="Calibri" w:hAnsi="Times New Roman" w:cs="Times New Roman"/>
          <w:color w:val="000000"/>
          <w:sz w:val="24"/>
          <w:szCs w:val="24"/>
          <w:u w:color="000000"/>
          <w:lang w:val="sq-AL"/>
        </w:rPr>
        <w:t>),</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Kryekuqja e Vogël (</w:t>
      </w:r>
      <w:r w:rsidRPr="003E4775">
        <w:rPr>
          <w:rFonts w:ascii="Times New Roman" w:eastAsia="Calibri" w:hAnsi="Times New Roman" w:cs="Times New Roman"/>
          <w:i/>
          <w:color w:val="000000"/>
          <w:sz w:val="24"/>
          <w:szCs w:val="24"/>
          <w:u w:color="000000"/>
          <w:lang w:val="sq-AL"/>
        </w:rPr>
        <w:t>Aythea nyroca</w:t>
      </w:r>
      <w:r w:rsidRPr="003E4775">
        <w:rPr>
          <w:rFonts w:ascii="Times New Roman" w:eastAsia="Calibri" w:hAnsi="Times New Roman" w:cs="Times New Roman"/>
          <w:color w:val="000000"/>
          <w:sz w:val="24"/>
          <w:szCs w:val="24"/>
          <w:u w:color="000000"/>
          <w:lang w:val="sq-AL"/>
        </w:rPr>
        <w:t>),</w:t>
      </w:r>
    </w:p>
    <w:p w:rsid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Zhytraku i Madh (</w:t>
      </w:r>
      <w:r w:rsidRPr="003E4775">
        <w:rPr>
          <w:rFonts w:ascii="Times New Roman" w:eastAsia="Calibri" w:hAnsi="Times New Roman" w:cs="Times New Roman"/>
          <w:i/>
          <w:color w:val="000000"/>
          <w:sz w:val="24"/>
          <w:szCs w:val="24"/>
          <w:u w:color="000000"/>
          <w:lang w:val="sq-AL"/>
        </w:rPr>
        <w:t>Mergus merganser</w:t>
      </w:r>
      <w:r w:rsidRPr="003E4775">
        <w:rPr>
          <w:rFonts w:ascii="Times New Roman" w:eastAsia="Calibri" w:hAnsi="Times New Roman" w:cs="Times New Roman"/>
          <w:color w:val="000000"/>
          <w:sz w:val="24"/>
          <w:szCs w:val="24"/>
          <w:u w:color="000000"/>
          <w:lang w:val="sq-AL"/>
        </w:rPr>
        <w:t>),</w:t>
      </w:r>
    </w:p>
    <w:p w:rsidR="003E4775" w:rsidRPr="003E4775" w:rsidRDefault="003E4775" w:rsidP="00807975">
      <w:pPr>
        <w:pStyle w:val="ListParagraph"/>
        <w:numPr>
          <w:ilvl w:val="0"/>
          <w:numId w:val="135"/>
        </w:numPr>
        <w:spacing w:after="0" w:line="240" w:lineRule="auto"/>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 xml:space="preserve">   Karabullaku Madh (</w:t>
      </w:r>
      <w:r w:rsidRPr="003E4775">
        <w:rPr>
          <w:rFonts w:ascii="Times New Roman" w:eastAsia="Calibri" w:hAnsi="Times New Roman" w:cs="Times New Roman"/>
          <w:i/>
          <w:color w:val="000000"/>
          <w:sz w:val="24"/>
          <w:szCs w:val="24"/>
          <w:u w:color="000000"/>
          <w:lang w:val="sq-AL"/>
        </w:rPr>
        <w:t>Phalacrocorax corba</w:t>
      </w:r>
      <w:r w:rsidRPr="003E4775">
        <w:rPr>
          <w:rFonts w:ascii="Times New Roman" w:eastAsia="Calibri" w:hAnsi="Times New Roman" w:cs="Times New Roman"/>
          <w:color w:val="000000"/>
          <w:sz w:val="24"/>
          <w:szCs w:val="24"/>
          <w:u w:color="000000"/>
          <w:lang w:val="sq-AL"/>
        </w:rPr>
        <w:t>),</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Karabullaku me Çafkë (</w:t>
      </w:r>
      <w:r w:rsidRPr="003E4775">
        <w:rPr>
          <w:rFonts w:ascii="Times New Roman" w:eastAsia="Calibri" w:hAnsi="Times New Roman" w:cs="Times New Roman"/>
          <w:i/>
          <w:color w:val="000000"/>
          <w:sz w:val="24"/>
          <w:szCs w:val="24"/>
          <w:u w:color="000000"/>
          <w:lang w:val="sq-AL"/>
        </w:rPr>
        <w:t>Phalacrocorax aristotelis</w:t>
      </w:r>
      <w:r w:rsidRPr="003E4775">
        <w:rPr>
          <w:rFonts w:ascii="Times New Roman" w:eastAsia="Calibri" w:hAnsi="Times New Roman" w:cs="Times New Roman"/>
          <w:color w:val="000000"/>
          <w:sz w:val="24"/>
          <w:szCs w:val="24"/>
          <w:u w:color="000000"/>
          <w:lang w:val="sq-AL"/>
        </w:rPr>
        <w:t>),</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Pelikani Rozë (</w:t>
      </w:r>
      <w:r w:rsidRPr="003E4775">
        <w:rPr>
          <w:rFonts w:ascii="Times New Roman" w:eastAsia="Calibri" w:hAnsi="Times New Roman" w:cs="Times New Roman"/>
          <w:i/>
          <w:color w:val="000000"/>
          <w:sz w:val="24"/>
          <w:szCs w:val="24"/>
          <w:u w:color="000000"/>
          <w:lang w:val="sq-AL"/>
        </w:rPr>
        <w:t>Pelecanus onocrotalus</w:t>
      </w:r>
      <w:r w:rsidRPr="003E4775">
        <w:rPr>
          <w:rFonts w:ascii="Times New Roman" w:eastAsia="Calibri" w:hAnsi="Times New Roman" w:cs="Times New Roman"/>
          <w:color w:val="000000"/>
          <w:sz w:val="24"/>
          <w:szCs w:val="24"/>
          <w:u w:color="000000"/>
          <w:lang w:val="sq-AL"/>
        </w:rPr>
        <w:t>),</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lastRenderedPageBreak/>
        <w:t>Çafka e Përhime (</w:t>
      </w:r>
      <w:r w:rsidRPr="003E4775">
        <w:rPr>
          <w:rFonts w:ascii="Times New Roman" w:eastAsia="Calibri" w:hAnsi="Times New Roman" w:cs="Times New Roman"/>
          <w:i/>
          <w:color w:val="000000"/>
          <w:sz w:val="24"/>
          <w:szCs w:val="24"/>
          <w:u w:color="000000"/>
          <w:lang w:val="sq-AL"/>
        </w:rPr>
        <w:t>Ardea cinerea</w:t>
      </w:r>
      <w:r w:rsidRPr="003E4775">
        <w:rPr>
          <w:rFonts w:ascii="Times New Roman" w:eastAsia="Calibri" w:hAnsi="Times New Roman" w:cs="Times New Roman"/>
          <w:color w:val="000000"/>
          <w:sz w:val="24"/>
          <w:szCs w:val="24"/>
          <w:u w:color="000000"/>
          <w:lang w:val="sq-AL"/>
        </w:rPr>
        <w:t>),</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Karabullaku i Vogël (</w:t>
      </w:r>
      <w:r w:rsidRPr="003E4775">
        <w:rPr>
          <w:rFonts w:ascii="Times New Roman" w:eastAsia="Calibri" w:hAnsi="Times New Roman" w:cs="Times New Roman"/>
          <w:i/>
          <w:color w:val="000000"/>
          <w:sz w:val="24"/>
          <w:szCs w:val="24"/>
          <w:u w:color="000000"/>
          <w:lang w:val="sq-AL"/>
        </w:rPr>
        <w:t>Phalacrocorax pygmeus</w:t>
      </w:r>
      <w:r w:rsidRPr="003E4775">
        <w:rPr>
          <w:rFonts w:ascii="Times New Roman" w:eastAsia="Calibri" w:hAnsi="Times New Roman" w:cs="Times New Roman"/>
          <w:color w:val="000000"/>
          <w:sz w:val="24"/>
          <w:szCs w:val="24"/>
          <w:u w:color="000000"/>
          <w:lang w:val="sq-AL"/>
        </w:rPr>
        <w:t>),</w:t>
      </w:r>
    </w:p>
    <w:p w:rsidR="003E4775" w:rsidRPr="003E4775" w:rsidRDefault="003E4775" w:rsidP="008079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Murrcaku (</w:t>
      </w:r>
      <w:r w:rsidRPr="003E4775">
        <w:rPr>
          <w:rFonts w:ascii="Times New Roman" w:eastAsia="Calibri" w:hAnsi="Times New Roman" w:cs="Times New Roman"/>
          <w:i/>
          <w:color w:val="000000"/>
          <w:sz w:val="24"/>
          <w:szCs w:val="24"/>
          <w:u w:color="000000"/>
          <w:lang w:val="sq-AL"/>
        </w:rPr>
        <w:t>Netta rufina</w:t>
      </w:r>
      <w:r w:rsidRPr="003E4775">
        <w:rPr>
          <w:rFonts w:ascii="Times New Roman" w:eastAsia="Calibri" w:hAnsi="Times New Roman" w:cs="Times New Roman"/>
          <w:color w:val="000000"/>
          <w:sz w:val="24"/>
          <w:szCs w:val="24"/>
          <w:u w:color="000000"/>
          <w:lang w:val="sq-AL"/>
        </w:rPr>
        <w:t>),</w:t>
      </w:r>
    </w:p>
    <w:p w:rsidR="000F53CF" w:rsidRDefault="00C846E8" w:rsidP="003E4775">
      <w:pPr>
        <w:numPr>
          <w:ilvl w:val="0"/>
          <w:numId w:val="135"/>
        </w:numPr>
        <w:spacing w:after="0" w:line="240" w:lineRule="auto"/>
        <w:contextualSpacing/>
        <w:jc w:val="both"/>
        <w:rPr>
          <w:rFonts w:ascii="Times New Roman" w:eastAsia="Calibri" w:hAnsi="Times New Roman" w:cs="Times New Roman"/>
          <w:color w:val="000000"/>
          <w:sz w:val="24"/>
          <w:szCs w:val="24"/>
          <w:u w:color="000000"/>
          <w:lang w:val="sq-AL"/>
        </w:rPr>
      </w:pPr>
      <w:r>
        <w:rPr>
          <w:rFonts w:ascii="Times New Roman" w:eastAsia="Calibri" w:hAnsi="Times New Roman" w:cs="Times New Roman"/>
          <w:color w:val="000000"/>
          <w:sz w:val="24"/>
          <w:szCs w:val="24"/>
          <w:u w:color="000000"/>
          <w:lang w:val="sq-AL"/>
        </w:rPr>
        <w:t>Dallë</w:t>
      </w:r>
      <w:r w:rsidR="003E4775" w:rsidRPr="003E4775">
        <w:rPr>
          <w:rFonts w:ascii="Times New Roman" w:eastAsia="Calibri" w:hAnsi="Times New Roman" w:cs="Times New Roman"/>
          <w:color w:val="000000"/>
          <w:sz w:val="24"/>
          <w:szCs w:val="24"/>
          <w:u w:color="000000"/>
          <w:lang w:val="sq-AL"/>
        </w:rPr>
        <w:t>ndyshja Faqebardhë e Detit (</w:t>
      </w:r>
      <w:r w:rsidR="003E4775" w:rsidRPr="003E4775">
        <w:rPr>
          <w:rFonts w:ascii="Times New Roman" w:eastAsia="Calibri" w:hAnsi="Times New Roman" w:cs="Times New Roman"/>
          <w:i/>
          <w:color w:val="000000"/>
          <w:sz w:val="24"/>
          <w:szCs w:val="24"/>
          <w:u w:color="000000"/>
          <w:lang w:val="sq-AL"/>
        </w:rPr>
        <w:t>Chlidonias hybrida</w:t>
      </w:r>
      <w:r w:rsidR="003E4775" w:rsidRPr="003E4775">
        <w:rPr>
          <w:rFonts w:ascii="Times New Roman" w:eastAsia="Calibri" w:hAnsi="Times New Roman" w:cs="Times New Roman"/>
          <w:color w:val="000000"/>
          <w:sz w:val="24"/>
          <w:szCs w:val="24"/>
          <w:u w:color="000000"/>
          <w:lang w:val="sq-AL"/>
        </w:rPr>
        <w:t>).</w:t>
      </w:r>
    </w:p>
    <w:p w:rsidR="00FE1F1B" w:rsidRPr="00FE1F1B" w:rsidRDefault="00FE1F1B" w:rsidP="00FE1F1B">
      <w:pPr>
        <w:spacing w:after="0" w:line="240" w:lineRule="auto"/>
        <w:ind w:left="720"/>
        <w:contextualSpacing/>
        <w:jc w:val="both"/>
        <w:rPr>
          <w:rFonts w:ascii="Times New Roman" w:eastAsia="Calibri" w:hAnsi="Times New Roman" w:cs="Times New Roman"/>
          <w:color w:val="000000"/>
          <w:sz w:val="24"/>
          <w:szCs w:val="24"/>
          <w:u w:color="000000"/>
          <w:lang w:val="sq-AL"/>
        </w:rPr>
      </w:pPr>
    </w:p>
    <w:p w:rsidR="003E4775" w:rsidRPr="003E4775" w:rsidRDefault="003E4775" w:rsidP="003E4775">
      <w:pPr>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Nga këto specie, 13 janë gjitarë dhe 27 prej tyre janë shpendë. Speciet e gjitarëve grupohen në gjitarë të mëdhenj, të mesëm dhe gjitarë të vegjël, sikundër shpendët grupohen  në ujorë e jo ujorë.</w:t>
      </w:r>
    </w:p>
    <w:p w:rsidR="003E4775" w:rsidRPr="003E4775" w:rsidRDefault="003E4775" w:rsidP="003E4775">
      <w:pPr>
        <w:spacing w:after="0" w:line="240" w:lineRule="auto"/>
        <w:jc w:val="both"/>
        <w:rPr>
          <w:rFonts w:ascii="Times New Roman" w:eastAsia="Calibri" w:hAnsi="Times New Roman" w:cs="Times New Roman"/>
          <w:color w:val="000000"/>
          <w:sz w:val="24"/>
          <w:szCs w:val="24"/>
          <w:u w:color="000000"/>
          <w:lang w:val="sq-AL"/>
        </w:rPr>
      </w:pPr>
      <w:r w:rsidRPr="003E4775">
        <w:rPr>
          <w:rFonts w:ascii="Times New Roman" w:eastAsia="Calibri" w:hAnsi="Times New Roman" w:cs="Times New Roman"/>
          <w:color w:val="000000"/>
          <w:sz w:val="24"/>
          <w:szCs w:val="24"/>
          <w:u w:color="000000"/>
          <w:lang w:val="sq-AL"/>
        </w:rPr>
        <w:t>Nga këto 40 specie, 17 prej tyre janë shpallur objekt gjuetie, kurse 23 të tjerat, konsiderohen specie kryesore të faunës së egër, ndaj janë përcaktuar për vëzhgim dhe monitorim.</w:t>
      </w:r>
    </w:p>
    <w:p w:rsidR="003E4775" w:rsidRPr="003E4775" w:rsidRDefault="003E4775" w:rsidP="003E4775">
      <w:pPr>
        <w:spacing w:after="120" w:line="240" w:lineRule="auto"/>
        <w:jc w:val="both"/>
        <w:rPr>
          <w:rFonts w:ascii="Times New Roman" w:eastAsia="Times New Roman" w:hAnsi="Times New Roman" w:cs="Times New Roman"/>
          <w:color w:val="000000"/>
          <w:sz w:val="24"/>
          <w:szCs w:val="24"/>
          <w:u w:color="000000"/>
          <w:lang w:val="en-GB"/>
        </w:rPr>
      </w:pPr>
      <w:r w:rsidRPr="003E4775">
        <w:rPr>
          <w:rFonts w:ascii="Times New Roman" w:eastAsia="Times New Roman" w:hAnsi="Times New Roman" w:cs="Times New Roman"/>
          <w:color w:val="000000"/>
          <w:sz w:val="24"/>
          <w:szCs w:val="24"/>
          <w:u w:color="000000"/>
          <w:lang w:val="en-GB"/>
        </w:rPr>
        <w:t>Procesi, realizohet nëpërmjet punës së përditëshme të Rangers-ave (Rojeve Mjedisore), sipas AdZM-ve në të 12-të qarqet e vendit.</w:t>
      </w:r>
    </w:p>
    <w:p w:rsidR="003E4775" w:rsidRPr="003E4775" w:rsidRDefault="003E4775" w:rsidP="003E4775">
      <w:pPr>
        <w:spacing w:after="120" w:line="240" w:lineRule="auto"/>
        <w:jc w:val="both"/>
        <w:rPr>
          <w:rFonts w:ascii="Times New Roman" w:eastAsia="Times New Roman" w:hAnsi="Times New Roman" w:cs="Times New Roman"/>
          <w:color w:val="000000"/>
          <w:sz w:val="24"/>
          <w:szCs w:val="24"/>
          <w:u w:color="000000"/>
          <w:lang w:val="sq-AL"/>
        </w:rPr>
      </w:pPr>
      <w:r w:rsidRPr="003E4775">
        <w:rPr>
          <w:rFonts w:ascii="Times New Roman" w:eastAsia="Times New Roman" w:hAnsi="Times New Roman" w:cs="Times New Roman"/>
          <w:color w:val="000000"/>
          <w:sz w:val="24"/>
          <w:szCs w:val="24"/>
          <w:u w:color="000000"/>
          <w:lang w:val="sq-AL"/>
        </w:rPr>
        <w:t>Bazuar në Direktivën e Këshillit të Europës nr. 92/43/EEC e dates 21 maj 1992, mbi ruajtjen e habitateve natyrore dhe të faunës e florës së egër (Direktiva e Habitateve), dhe gjithashtu në Direktivën  e Këshillit të Europë nr. 79/409/EEC e datës 2 prill 1979 mbi ruajtjen e shpendëve të egër (Direktiva e Shpendëve), AKZM ka krijuar një Sistem të Monitorimit të Faunës së Egër “AKZM-SiMF”, si sistem kombëtar i monitorimit, i njehsuar me sistemin e BIONNA-s, si sistem ndërkombëtar i monitorimit. Vazhdon të praktikohet hedhja online e të dhënave nëpërmjet aplikimit të këtij sistemi të ri, në mënyrë të përditësuar.</w:t>
      </w:r>
    </w:p>
    <w:p w:rsidR="003E4775" w:rsidRPr="003E4775" w:rsidRDefault="003E4775" w:rsidP="003E4775">
      <w:pPr>
        <w:spacing w:after="0" w:line="240" w:lineRule="auto"/>
        <w:jc w:val="both"/>
        <w:rPr>
          <w:rFonts w:ascii="Times New Roman" w:eastAsia="Calibri" w:hAnsi="Times New Roman" w:cs="Times New Roman"/>
          <w:color w:val="000000"/>
          <w:sz w:val="24"/>
          <w:szCs w:val="24"/>
          <w:u w:color="000000"/>
          <w:lang w:val="sq-AL"/>
        </w:rPr>
      </w:pPr>
      <w:r w:rsidRPr="003E4775">
        <w:rPr>
          <w:rFonts w:ascii="Times New Roman" w:eastAsia="Times New Roman" w:hAnsi="Times New Roman" w:cs="Times New Roman"/>
          <w:color w:val="000000"/>
          <w:sz w:val="24"/>
          <w:szCs w:val="24"/>
          <w:u w:color="000000"/>
          <w:lang w:val="sq-AL"/>
        </w:rPr>
        <w:t xml:space="preserve">Evidentimi i specieve dhe identifikimi i tyre realizohet sipas këtyre </w:t>
      </w:r>
      <w:r w:rsidRPr="003E4775">
        <w:rPr>
          <w:rFonts w:ascii="Times New Roman" w:eastAsia="Calibri" w:hAnsi="Times New Roman" w:cs="Times New Roman"/>
          <w:color w:val="000000"/>
          <w:sz w:val="24"/>
          <w:szCs w:val="24"/>
          <w:u w:color="000000"/>
          <w:lang w:val="sq-AL"/>
        </w:rPr>
        <w:t>mënyrave:</w:t>
      </w:r>
      <w:r w:rsidRPr="003E4775">
        <w:rPr>
          <w:rFonts w:ascii="Times New Roman" w:eastAsia="Calibri" w:hAnsi="Times New Roman" w:cs="Times New Roman"/>
          <w:b/>
          <w:i/>
          <w:color w:val="000000"/>
          <w:sz w:val="24"/>
          <w:szCs w:val="24"/>
          <w:u w:color="000000"/>
          <w:lang w:val="sq-AL"/>
        </w:rPr>
        <w:t xml:space="preserve"> </w:t>
      </w:r>
      <w:r w:rsidRPr="003E4775">
        <w:rPr>
          <w:rFonts w:ascii="Times New Roman" w:eastAsia="Calibri" w:hAnsi="Times New Roman" w:cs="Times New Roman"/>
          <w:color w:val="000000"/>
          <w:sz w:val="24"/>
          <w:szCs w:val="24"/>
          <w:u w:color="000000"/>
          <w:lang w:val="sq-AL"/>
        </w:rPr>
        <w:t>Kamera Kurth, Vrojtim direkt, Jashtëqitje, Gjurmë, Tjetër (Pupla, Qime etj). Përveç këtyre, në tërësinë e të dhënave të Rangers-ave, në bashkëpunim me specialistët e AdZM-së përkatëse, janë plotësuar edhe informacioni për datën, orën, koordinatat në gradë Decimal, pra jo në UTM dhe vendin e identifikimit (zonë e mbrojtur apo jo dhe emri popullor), konfliktet e ndodhura, lloji i dëmit të shkaktuar dhe koha e kryerjes së tij, ngordhjet e konstatuara në F. Egër (koha, shkaku, mënyra e ngordhjes dhe gjinia e mosha për specien e ngordhur), pa përjashtuar këtu shënime apo sqarime të tjera specifike për çdo rast, sipas zonave të mbrojtura ku është kryer Vëzhgim-Monitorimi.</w:t>
      </w:r>
    </w:p>
    <w:p w:rsidR="003E4775" w:rsidRPr="003E4775" w:rsidRDefault="003E4775" w:rsidP="003E4775">
      <w:pPr>
        <w:spacing w:after="0" w:line="240" w:lineRule="auto"/>
        <w:ind w:left="720"/>
        <w:contextualSpacing/>
        <w:jc w:val="both"/>
        <w:rPr>
          <w:rFonts w:ascii="Times New Roman" w:eastAsia="Calibri" w:hAnsi="Times New Roman" w:cs="Times New Roman"/>
          <w:color w:val="000000"/>
          <w:sz w:val="24"/>
          <w:szCs w:val="24"/>
          <w:u w:color="000000"/>
          <w:lang w:val="sq-AL"/>
        </w:rPr>
      </w:pPr>
      <w:r w:rsidRPr="003E4775">
        <w:rPr>
          <w:rFonts w:ascii="Times New Roman" w:eastAsia="Times New Roman" w:hAnsi="Times New Roman" w:cs="Times New Roman"/>
          <w:b/>
          <w:bCs/>
          <w:color w:val="000000"/>
          <w:sz w:val="24"/>
          <w:szCs w:val="24"/>
          <w:u w:color="000000"/>
          <w:lang w:val="sq-AL"/>
        </w:rPr>
        <w:t xml:space="preserve">                       </w:t>
      </w:r>
      <w:r w:rsidRPr="003E4775">
        <w:rPr>
          <w:rFonts w:ascii="Times New Roman" w:eastAsia="Calibri" w:hAnsi="Times New Roman" w:cs="Times New Roman"/>
          <w:color w:val="000000"/>
          <w:sz w:val="24"/>
          <w:szCs w:val="24"/>
          <w:u w:color="000000"/>
          <w:lang w:val="sq-AL"/>
        </w:rPr>
        <w:t xml:space="preserve">    </w:t>
      </w:r>
    </w:p>
    <w:p w:rsidR="003B21F0" w:rsidRDefault="003B21F0" w:rsidP="00E67F4D">
      <w:pPr>
        <w:rPr>
          <w:rFonts w:ascii="Times New Roman" w:eastAsia="Calibri" w:hAnsi="Times New Roman" w:cs="Times New Roman"/>
          <w:sz w:val="24"/>
          <w:szCs w:val="24"/>
        </w:rPr>
      </w:pPr>
    </w:p>
    <w:p w:rsidR="00E67F4D" w:rsidRPr="003E4775" w:rsidRDefault="00E67F4D" w:rsidP="00E67F4D">
      <w:pPr>
        <w:rPr>
          <w:rFonts w:ascii="Times New Roman" w:eastAsia="Calibri" w:hAnsi="Times New Roman" w:cs="Times New Roman"/>
          <w:b/>
          <w:sz w:val="24"/>
          <w:szCs w:val="24"/>
        </w:rPr>
      </w:pPr>
      <w:r w:rsidRPr="003E4775">
        <w:rPr>
          <w:rFonts w:ascii="Times New Roman" w:eastAsia="Calibri" w:hAnsi="Times New Roman" w:cs="Times New Roman"/>
          <w:b/>
          <w:sz w:val="24"/>
          <w:szCs w:val="24"/>
        </w:rPr>
        <w:t>8.9 Rekomandime</w:t>
      </w:r>
    </w:p>
    <w:p w:rsidR="00DD43D3" w:rsidRPr="00DD43D3" w:rsidRDefault="00DD43D3" w:rsidP="00807975">
      <w:pPr>
        <w:pStyle w:val="ListParagraph"/>
        <w:numPr>
          <w:ilvl w:val="0"/>
          <w:numId w:val="143"/>
        </w:numPr>
        <w:spacing w:after="0" w:line="240" w:lineRule="auto"/>
        <w:jc w:val="both"/>
        <w:rPr>
          <w:rFonts w:ascii="Times New Roman" w:eastAsia="Calibri" w:hAnsi="Times New Roman" w:cs="Times New Roman"/>
          <w:b/>
          <w:sz w:val="24"/>
          <w:szCs w:val="24"/>
        </w:rPr>
      </w:pPr>
      <w:r w:rsidRPr="00DD43D3">
        <w:rPr>
          <w:rFonts w:ascii="Times New Roman" w:eastAsia="Calibri" w:hAnsi="Times New Roman" w:cs="Times New Roman"/>
          <w:b/>
          <w:sz w:val="24"/>
          <w:szCs w:val="24"/>
        </w:rPr>
        <w:t>Sh</w:t>
      </w:r>
      <w:r w:rsidR="000F53CF">
        <w:rPr>
          <w:rFonts w:ascii="Times New Roman" w:eastAsia="Calibri" w:hAnsi="Times New Roman" w:cs="Times New Roman"/>
          <w:b/>
          <w:sz w:val="24"/>
          <w:szCs w:val="24"/>
        </w:rPr>
        <w:t>ë</w:t>
      </w:r>
      <w:r w:rsidRPr="00DD43D3">
        <w:rPr>
          <w:rFonts w:ascii="Times New Roman" w:eastAsia="Calibri" w:hAnsi="Times New Roman" w:cs="Times New Roman"/>
          <w:b/>
          <w:sz w:val="24"/>
          <w:szCs w:val="24"/>
        </w:rPr>
        <w:t>ndeti n</w:t>
      </w:r>
      <w:r w:rsidR="000F53CF">
        <w:rPr>
          <w:rFonts w:ascii="Times New Roman" w:eastAsia="Calibri" w:hAnsi="Times New Roman" w:cs="Times New Roman"/>
          <w:b/>
          <w:sz w:val="24"/>
          <w:szCs w:val="24"/>
        </w:rPr>
        <w:t>ë</w:t>
      </w:r>
      <w:r w:rsidRPr="00DD43D3">
        <w:rPr>
          <w:rFonts w:ascii="Times New Roman" w:eastAsia="Calibri" w:hAnsi="Times New Roman" w:cs="Times New Roman"/>
          <w:b/>
          <w:sz w:val="24"/>
          <w:szCs w:val="24"/>
        </w:rPr>
        <w:t xml:space="preserve"> pyje</w:t>
      </w:r>
    </w:p>
    <w:p w:rsidR="00DD43D3" w:rsidRDefault="00F16C47" w:rsidP="00DD43D3">
      <w:pPr>
        <w:pStyle w:val="ListParagraph"/>
        <w:spacing w:after="0" w:line="240" w:lineRule="auto"/>
        <w:ind w:left="0"/>
        <w:jc w:val="both"/>
        <w:rPr>
          <w:rFonts w:ascii="Times New Roman" w:eastAsia="Calibri" w:hAnsi="Times New Roman" w:cs="Times New Roman"/>
          <w:sz w:val="24"/>
          <w:szCs w:val="24"/>
        </w:rPr>
      </w:pPr>
      <w:r w:rsidRPr="00F16C47">
        <w:rPr>
          <w:rFonts w:ascii="Times New Roman" w:eastAsia="Calibri" w:hAnsi="Times New Roman" w:cs="Times New Roman"/>
          <w:sz w:val="24"/>
          <w:szCs w:val="24"/>
        </w:rPr>
        <w:t>Në vazhdim sugjerohet që të shfrytëzohen të gjitha të dhënat e grumbulluar dhe përpunuar sipas metodologjisë, paraqitjen e gjendjes fitosanitare të pyjeve dhe hartografimi (GSI) të llojeve të eksploruar dhe i rrjetit të konservimit të burimeve gjenetike për këta l</w:t>
      </w:r>
      <w:r w:rsidR="00C846E8">
        <w:rPr>
          <w:rFonts w:ascii="Times New Roman" w:eastAsia="Calibri" w:hAnsi="Times New Roman" w:cs="Times New Roman"/>
          <w:sz w:val="24"/>
          <w:szCs w:val="24"/>
        </w:rPr>
        <w:t>loje. Treguesit dhe pikat e sipërfaqeve provë</w:t>
      </w:r>
      <w:r w:rsidRPr="00F16C47">
        <w:rPr>
          <w:rFonts w:ascii="Times New Roman" w:eastAsia="Calibri" w:hAnsi="Times New Roman" w:cs="Times New Roman"/>
          <w:sz w:val="24"/>
          <w:szCs w:val="24"/>
        </w:rPr>
        <w:t xml:space="preserve"> me ko</w:t>
      </w:r>
      <w:r w:rsidR="00C846E8">
        <w:rPr>
          <w:rFonts w:ascii="Times New Roman" w:eastAsia="Calibri" w:hAnsi="Times New Roman" w:cs="Times New Roman"/>
          <w:sz w:val="24"/>
          <w:szCs w:val="24"/>
        </w:rPr>
        <w:t>o</w:t>
      </w:r>
      <w:r w:rsidRPr="00F16C47">
        <w:rPr>
          <w:rFonts w:ascii="Times New Roman" w:eastAsia="Calibri" w:hAnsi="Times New Roman" w:cs="Times New Roman"/>
          <w:sz w:val="24"/>
          <w:szCs w:val="24"/>
        </w:rPr>
        <w:t>rdinatat dhe</w:t>
      </w:r>
      <w:r w:rsidR="00C846E8">
        <w:rPr>
          <w:rFonts w:ascii="Times New Roman" w:eastAsia="Calibri" w:hAnsi="Times New Roman" w:cs="Times New Roman"/>
          <w:sz w:val="24"/>
          <w:szCs w:val="24"/>
        </w:rPr>
        <w:t xml:space="preserve"> të dhënat e grumbulluara në terren do te materi</w:t>
      </w:r>
      <w:r w:rsidR="00DD43D3" w:rsidRPr="00DD43D3">
        <w:rPr>
          <w:rFonts w:ascii="Times New Roman" w:eastAsia="Calibri" w:hAnsi="Times New Roman" w:cs="Times New Roman"/>
          <w:sz w:val="24"/>
          <w:szCs w:val="24"/>
        </w:rPr>
        <w:t>alizohen ne hartat përkatese në sistemin GIS.</w:t>
      </w:r>
    </w:p>
    <w:p w:rsidR="00DD43D3" w:rsidRPr="00DD43D3" w:rsidRDefault="00DD43D3" w:rsidP="00DD43D3">
      <w:pPr>
        <w:spacing w:after="0" w:line="240" w:lineRule="auto"/>
        <w:contextualSpacing/>
        <w:jc w:val="both"/>
        <w:rPr>
          <w:rFonts w:ascii="Times New Roman" w:eastAsia="Calibri" w:hAnsi="Times New Roman" w:cs="Times New Roman"/>
          <w:color w:val="000000"/>
          <w:sz w:val="24"/>
          <w:szCs w:val="24"/>
        </w:rPr>
      </w:pPr>
      <w:r w:rsidRPr="00DD43D3">
        <w:rPr>
          <w:rFonts w:ascii="Times New Roman" w:eastAsia="Calibri" w:hAnsi="Times New Roman" w:cs="Times New Roman"/>
          <w:color w:val="000000"/>
          <w:sz w:val="24"/>
          <w:szCs w:val="24"/>
        </w:rPr>
        <w:t>Mar</w:t>
      </w:r>
      <w:r w:rsidR="00C846E8">
        <w:rPr>
          <w:rFonts w:ascii="Times New Roman" w:eastAsia="Calibri" w:hAnsi="Times New Roman" w:cs="Times New Roman"/>
          <w:color w:val="000000"/>
          <w:sz w:val="24"/>
          <w:szCs w:val="24"/>
        </w:rPr>
        <w:t>r</w:t>
      </w:r>
      <w:r w:rsidRPr="00DD43D3">
        <w:rPr>
          <w:rFonts w:ascii="Times New Roman" w:eastAsia="Calibri" w:hAnsi="Times New Roman" w:cs="Times New Roman"/>
          <w:color w:val="000000"/>
          <w:sz w:val="24"/>
          <w:szCs w:val="24"/>
        </w:rPr>
        <w:t>ja e përgjegjësisë dhe ndërgjegjësimi nga specialistët e pyjeve, organet e pushtetit vendor, fermerët që merren me menaxhimin e fondit pyjor</w:t>
      </w:r>
      <w:r w:rsidR="00C846E8">
        <w:rPr>
          <w:rFonts w:ascii="Times New Roman" w:eastAsia="Calibri" w:hAnsi="Times New Roman" w:cs="Times New Roman"/>
          <w:color w:val="000000"/>
          <w:sz w:val="24"/>
          <w:szCs w:val="24"/>
        </w:rPr>
        <w:t>, për mbështetjen të specialistë</w:t>
      </w:r>
      <w:r w:rsidRPr="00DD43D3">
        <w:rPr>
          <w:rFonts w:ascii="Times New Roman" w:eastAsia="Calibri" w:hAnsi="Times New Roman" w:cs="Times New Roman"/>
          <w:color w:val="000000"/>
          <w:sz w:val="24"/>
          <w:szCs w:val="24"/>
        </w:rPr>
        <w:t>ve dhe personelit të vrojtim sinjalizimit të Agjencisë Kombëtare të Pyjeve.</w:t>
      </w:r>
    </w:p>
    <w:p w:rsidR="00DD43D3" w:rsidRPr="00DD43D3" w:rsidRDefault="00DD43D3" w:rsidP="00DD43D3">
      <w:pPr>
        <w:spacing w:after="0" w:line="240" w:lineRule="auto"/>
        <w:contextualSpacing/>
        <w:jc w:val="both"/>
        <w:rPr>
          <w:rFonts w:ascii="Times New Roman" w:eastAsia="Calibri" w:hAnsi="Times New Roman" w:cs="Times New Roman"/>
          <w:color w:val="000000"/>
          <w:sz w:val="24"/>
          <w:szCs w:val="24"/>
        </w:rPr>
      </w:pPr>
      <w:r w:rsidRPr="00DD43D3">
        <w:rPr>
          <w:rFonts w:ascii="Times New Roman" w:eastAsia="Calibri" w:hAnsi="Times New Roman" w:cs="Times New Roman"/>
          <w:color w:val="000000"/>
          <w:sz w:val="24"/>
          <w:szCs w:val="24"/>
        </w:rPr>
        <w:t>2. Hartimi dhe zbatimi i masave për mbajtjen nën</w:t>
      </w:r>
      <w:r w:rsidR="00C846E8">
        <w:rPr>
          <w:rFonts w:ascii="Times New Roman" w:eastAsia="Calibri" w:hAnsi="Times New Roman" w:cs="Times New Roman"/>
          <w:color w:val="000000"/>
          <w:sz w:val="24"/>
          <w:szCs w:val="24"/>
        </w:rPr>
        <w:t xml:space="preserve"> </w:t>
      </w:r>
      <w:r w:rsidRPr="00DD43D3">
        <w:rPr>
          <w:rFonts w:ascii="Times New Roman" w:eastAsia="Calibri" w:hAnsi="Times New Roman" w:cs="Times New Roman"/>
          <w:color w:val="000000"/>
          <w:sz w:val="24"/>
          <w:szCs w:val="24"/>
        </w:rPr>
        <w:t>kontroll dhe minimizimin e shkallës së prekjes, nga dëmtuesit, sëmundjet më problematike, me përdorimin e metodave: silvikulturore, fiziko-mekanike, biologjike, dhe karantina pyjore.</w:t>
      </w:r>
    </w:p>
    <w:p w:rsidR="00DD43D3" w:rsidRPr="00DD43D3" w:rsidRDefault="00DD43D3" w:rsidP="00DD43D3">
      <w:pPr>
        <w:spacing w:after="0" w:line="240" w:lineRule="auto"/>
        <w:contextualSpacing/>
        <w:jc w:val="both"/>
        <w:rPr>
          <w:rFonts w:ascii="Times New Roman" w:eastAsia="Calibri" w:hAnsi="Times New Roman" w:cs="Times New Roman"/>
          <w:color w:val="000000"/>
          <w:sz w:val="24"/>
          <w:szCs w:val="24"/>
        </w:rPr>
      </w:pPr>
      <w:r w:rsidRPr="00DD43D3">
        <w:rPr>
          <w:rFonts w:ascii="Times New Roman" w:eastAsia="Calibri" w:hAnsi="Times New Roman" w:cs="Times New Roman"/>
          <w:color w:val="000000"/>
          <w:sz w:val="24"/>
          <w:szCs w:val="24"/>
        </w:rPr>
        <w:t xml:space="preserve">a) Metoda silvikulturore të tilla si; mbjelljen e farave dhe kalemëve të pastra e fidanave të </w:t>
      </w:r>
      <w:r w:rsidRPr="00DD43D3">
        <w:rPr>
          <w:rFonts w:ascii="Times New Roman" w:eastAsia="Calibri" w:hAnsi="Times New Roman" w:cs="Times New Roman"/>
          <w:color w:val="000000"/>
          <w:sz w:val="24"/>
          <w:szCs w:val="24"/>
        </w:rPr>
        <w:lastRenderedPageBreak/>
        <w:t>shëndoshë, kryerjen e punimeve mirëmbajtëse, krijimin e pyjeve të përzier (halorë me fletorë) etj.</w:t>
      </w:r>
    </w:p>
    <w:p w:rsidR="00DD43D3" w:rsidRPr="00DD43D3" w:rsidRDefault="00DD43D3" w:rsidP="00DD43D3">
      <w:pPr>
        <w:spacing w:after="0" w:line="240" w:lineRule="auto"/>
        <w:contextualSpacing/>
        <w:jc w:val="both"/>
        <w:rPr>
          <w:rFonts w:ascii="Times New Roman" w:eastAsia="Calibri" w:hAnsi="Times New Roman" w:cs="Times New Roman"/>
          <w:color w:val="000000"/>
          <w:sz w:val="24"/>
          <w:szCs w:val="24"/>
        </w:rPr>
      </w:pPr>
      <w:r w:rsidRPr="00DD43D3">
        <w:rPr>
          <w:rFonts w:ascii="Times New Roman" w:eastAsia="Calibri" w:hAnsi="Times New Roman" w:cs="Times New Roman"/>
          <w:color w:val="000000"/>
          <w:sz w:val="24"/>
          <w:szCs w:val="24"/>
        </w:rPr>
        <w:t xml:space="preserve"> b) Metoda fiziko-mekanike, e cila konsisto</w:t>
      </w:r>
      <w:r w:rsidR="00C846E8">
        <w:rPr>
          <w:rFonts w:ascii="Times New Roman" w:eastAsia="Calibri" w:hAnsi="Times New Roman" w:cs="Times New Roman"/>
          <w:color w:val="000000"/>
          <w:sz w:val="24"/>
          <w:szCs w:val="24"/>
        </w:rPr>
        <w:t>n</w:t>
      </w:r>
      <w:r w:rsidRPr="00DD43D3">
        <w:rPr>
          <w:rFonts w:ascii="Times New Roman" w:eastAsia="Calibri" w:hAnsi="Times New Roman" w:cs="Times New Roman"/>
          <w:color w:val="000000"/>
          <w:sz w:val="24"/>
          <w:szCs w:val="24"/>
        </w:rPr>
        <w:t xml:space="preserve"> në marrjen e masave për eleminimin e vezëve të dëmtuesve, vendosjen e brezave, vendosjen e drurëve kurth, prerjen dhe shfarosjen e çerdheve (qeskave), grumbullimin dhe largimin e insekteve, heqjen e drurëve e degëve të prekura nga d</w:t>
      </w:r>
      <w:r w:rsidR="00C846E8">
        <w:rPr>
          <w:rFonts w:ascii="Times New Roman" w:eastAsia="Calibri" w:hAnsi="Times New Roman" w:cs="Times New Roman"/>
          <w:color w:val="000000"/>
          <w:sz w:val="24"/>
          <w:szCs w:val="24"/>
        </w:rPr>
        <w:t>ëmtuesit dhe sëmundjet dhe asgjë</w:t>
      </w:r>
      <w:r w:rsidRPr="00DD43D3">
        <w:rPr>
          <w:rFonts w:ascii="Times New Roman" w:eastAsia="Calibri" w:hAnsi="Times New Roman" w:cs="Times New Roman"/>
          <w:color w:val="000000"/>
          <w:sz w:val="24"/>
          <w:szCs w:val="24"/>
        </w:rPr>
        <w:t>simi i tyre.</w:t>
      </w:r>
    </w:p>
    <w:p w:rsidR="00DD43D3" w:rsidRPr="00DD43D3" w:rsidRDefault="00DD43D3" w:rsidP="00DD43D3">
      <w:pPr>
        <w:spacing w:after="0" w:line="240" w:lineRule="auto"/>
        <w:contextualSpacing/>
        <w:jc w:val="both"/>
        <w:rPr>
          <w:rFonts w:ascii="Times New Roman" w:eastAsia="Calibri" w:hAnsi="Times New Roman" w:cs="Times New Roman"/>
          <w:color w:val="000000"/>
          <w:sz w:val="24"/>
          <w:szCs w:val="24"/>
        </w:rPr>
      </w:pPr>
      <w:r w:rsidRPr="00DD43D3">
        <w:rPr>
          <w:rFonts w:ascii="Times New Roman" w:eastAsia="Calibri" w:hAnsi="Times New Roman" w:cs="Times New Roman"/>
          <w:color w:val="000000"/>
          <w:sz w:val="24"/>
          <w:szCs w:val="24"/>
        </w:rPr>
        <w:t>c) Metoda kimike të konsistojë në përdorimin e pesticideve nëpërmjet; pluhrosjeve, spërkatjeve, etj.</w:t>
      </w:r>
    </w:p>
    <w:p w:rsidR="00DD43D3" w:rsidRDefault="00DD43D3" w:rsidP="00DD43D3">
      <w:pPr>
        <w:spacing w:after="0" w:line="240" w:lineRule="auto"/>
        <w:contextualSpacing/>
        <w:jc w:val="both"/>
        <w:rPr>
          <w:rFonts w:ascii="Times New Roman" w:eastAsia="Calibri" w:hAnsi="Times New Roman" w:cs="Times New Roman"/>
          <w:color w:val="000000"/>
          <w:sz w:val="24"/>
          <w:szCs w:val="24"/>
        </w:rPr>
      </w:pPr>
      <w:r w:rsidRPr="00DD43D3">
        <w:rPr>
          <w:rFonts w:ascii="Times New Roman" w:eastAsia="Calibri" w:hAnsi="Times New Roman" w:cs="Times New Roman"/>
          <w:color w:val="000000"/>
          <w:sz w:val="24"/>
          <w:szCs w:val="24"/>
        </w:rPr>
        <w:t xml:space="preserve">d) Metoda biologjike të konsistojë në përdorimin e organizmave të gjalla për zhdukjen e dëmtuesve. </w:t>
      </w:r>
    </w:p>
    <w:p w:rsidR="00BC25EE" w:rsidRPr="00BC25EE" w:rsidRDefault="00BC25EE" w:rsidP="00BC25EE">
      <w:pPr>
        <w:spacing w:after="0" w:line="240" w:lineRule="auto"/>
        <w:jc w:val="both"/>
        <w:rPr>
          <w:rFonts w:ascii="Times New Roman" w:eastAsia="Times New Roman" w:hAnsi="Times New Roman" w:cs="Times New Roman"/>
          <w:color w:val="000000"/>
          <w:sz w:val="24"/>
          <w:szCs w:val="24"/>
          <w:lang w:val="it-IT"/>
        </w:rPr>
      </w:pPr>
      <w:r w:rsidRPr="00BC25EE">
        <w:rPr>
          <w:rFonts w:ascii="Times New Roman" w:eastAsia="Times New Roman" w:hAnsi="Times New Roman" w:cs="Times New Roman"/>
          <w:color w:val="000000"/>
          <w:sz w:val="24"/>
          <w:szCs w:val="24"/>
          <w:lang w:val="it-IT"/>
        </w:rPr>
        <w:t>Mbajtja nën</w:t>
      </w:r>
      <w:r w:rsidR="00C846E8">
        <w:rPr>
          <w:rFonts w:ascii="Times New Roman" w:eastAsia="Times New Roman" w:hAnsi="Times New Roman" w:cs="Times New Roman"/>
          <w:color w:val="000000"/>
          <w:sz w:val="24"/>
          <w:szCs w:val="24"/>
          <w:lang w:val="it-IT"/>
        </w:rPr>
        <w:t xml:space="preserve"> </w:t>
      </w:r>
      <w:r w:rsidRPr="00BC25EE">
        <w:rPr>
          <w:rFonts w:ascii="Times New Roman" w:eastAsia="Times New Roman" w:hAnsi="Times New Roman" w:cs="Times New Roman"/>
          <w:color w:val="000000"/>
          <w:sz w:val="24"/>
          <w:szCs w:val="24"/>
          <w:lang w:val="it-IT"/>
        </w:rPr>
        <w:t>kontroll e sëmundjeve dhe dëmtuesve, ku shkalla e prekjes është më e madhe se kufijtë   kritikë të lejueshëm.</w:t>
      </w:r>
    </w:p>
    <w:p w:rsidR="00BC25EE" w:rsidRPr="00BC25EE" w:rsidRDefault="00BC25EE" w:rsidP="00BC25EE">
      <w:pPr>
        <w:spacing w:after="0" w:line="240" w:lineRule="auto"/>
        <w:jc w:val="both"/>
        <w:rPr>
          <w:rFonts w:ascii="Times New Roman" w:eastAsia="Times New Roman" w:hAnsi="Times New Roman" w:cs="Times New Roman"/>
          <w:color w:val="000000"/>
          <w:sz w:val="24"/>
          <w:szCs w:val="24"/>
          <w:lang w:val="it-IT"/>
        </w:rPr>
      </w:pPr>
      <w:r w:rsidRPr="00BC25EE">
        <w:rPr>
          <w:rFonts w:ascii="Times New Roman" w:eastAsia="Times New Roman" w:hAnsi="Times New Roman" w:cs="Times New Roman"/>
          <w:color w:val="000000"/>
          <w:sz w:val="24"/>
          <w:szCs w:val="24"/>
          <w:lang w:val="it-IT"/>
        </w:rPr>
        <w:t xml:space="preserve">Kryerja e një studimi të hollësishëm për të përcaktuar të gjitha sipërfaqet dhe drurët e tharë nga ekstremet e temperaturave për llojet ekualipt, palma dhe mimosa si dhe rekomandimin e duhur për zvëndesimin e këtyrë drurëve të tharë.                                                            </w:t>
      </w:r>
    </w:p>
    <w:p w:rsidR="00BC25EE" w:rsidRPr="00BC25EE" w:rsidRDefault="00BC25EE" w:rsidP="00BC25EE">
      <w:pPr>
        <w:spacing w:after="0" w:line="240" w:lineRule="auto"/>
        <w:jc w:val="both"/>
        <w:rPr>
          <w:rFonts w:ascii="Times New Roman" w:eastAsia="Times New Roman" w:hAnsi="Times New Roman" w:cs="Times New Roman"/>
          <w:color w:val="000000"/>
          <w:sz w:val="24"/>
          <w:szCs w:val="24"/>
          <w:lang w:val="it-IT"/>
        </w:rPr>
      </w:pPr>
      <w:r w:rsidRPr="00BC25EE">
        <w:rPr>
          <w:rFonts w:ascii="Times New Roman" w:eastAsia="Times New Roman" w:hAnsi="Times New Roman" w:cs="Times New Roman"/>
          <w:color w:val="000000"/>
          <w:sz w:val="24"/>
          <w:szCs w:val="24"/>
          <w:lang w:val="it-IT"/>
        </w:rPr>
        <w:t>Mar</w:t>
      </w:r>
      <w:r w:rsidR="00C846E8">
        <w:rPr>
          <w:rFonts w:ascii="Times New Roman" w:eastAsia="Times New Roman" w:hAnsi="Times New Roman" w:cs="Times New Roman"/>
          <w:color w:val="000000"/>
          <w:sz w:val="24"/>
          <w:szCs w:val="24"/>
          <w:lang w:val="it-IT"/>
        </w:rPr>
        <w:t>r</w:t>
      </w:r>
      <w:r w:rsidRPr="00BC25EE">
        <w:rPr>
          <w:rFonts w:ascii="Times New Roman" w:eastAsia="Times New Roman" w:hAnsi="Times New Roman" w:cs="Times New Roman"/>
          <w:color w:val="000000"/>
          <w:sz w:val="24"/>
          <w:szCs w:val="24"/>
          <w:lang w:val="it-IT"/>
        </w:rPr>
        <w:t>ja e një studimi të hollësish</w:t>
      </w:r>
      <w:r w:rsidR="00C846E8">
        <w:rPr>
          <w:rFonts w:ascii="Times New Roman" w:eastAsia="Times New Roman" w:hAnsi="Times New Roman" w:cs="Times New Roman"/>
          <w:color w:val="000000"/>
          <w:sz w:val="24"/>
          <w:szCs w:val="24"/>
          <w:lang w:val="it-IT"/>
        </w:rPr>
        <w:t>ëm</w:t>
      </w:r>
      <w:r w:rsidRPr="00BC25EE">
        <w:rPr>
          <w:rFonts w:ascii="Times New Roman" w:eastAsia="Times New Roman" w:hAnsi="Times New Roman" w:cs="Times New Roman"/>
          <w:color w:val="000000"/>
          <w:sz w:val="24"/>
          <w:szCs w:val="24"/>
          <w:lang w:val="it-IT"/>
        </w:rPr>
        <w:t xml:space="preserve"> për përcaktimin e shkaqeve që kanë sjellë fenomenin  e tharjes  së llojit rrap , dushk dhe  plep.  </w:t>
      </w:r>
    </w:p>
    <w:p w:rsidR="00BC25EE" w:rsidRPr="00BC25EE" w:rsidRDefault="00BC25EE" w:rsidP="00BC25EE">
      <w:pPr>
        <w:spacing w:after="0" w:line="240" w:lineRule="auto"/>
        <w:jc w:val="both"/>
        <w:rPr>
          <w:rFonts w:ascii="Times New Roman" w:eastAsia="Times New Roman" w:hAnsi="Times New Roman" w:cs="Times New Roman"/>
          <w:color w:val="000000"/>
          <w:sz w:val="24"/>
          <w:szCs w:val="24"/>
          <w:lang w:val="it-IT"/>
        </w:rPr>
      </w:pPr>
      <w:r w:rsidRPr="00BC25EE">
        <w:rPr>
          <w:rFonts w:ascii="Times New Roman" w:eastAsia="Times New Roman" w:hAnsi="Times New Roman" w:cs="Times New Roman"/>
          <w:color w:val="000000"/>
          <w:sz w:val="24"/>
          <w:szCs w:val="24"/>
          <w:lang w:val="it-IT"/>
        </w:rPr>
        <w:t>Identifikimi i të gjitha</w:t>
      </w:r>
      <w:r w:rsidR="00C846E8">
        <w:rPr>
          <w:rFonts w:ascii="Times New Roman" w:eastAsia="Times New Roman" w:hAnsi="Times New Roman" w:cs="Times New Roman"/>
          <w:color w:val="000000"/>
          <w:sz w:val="24"/>
          <w:szCs w:val="24"/>
          <w:lang w:val="it-IT"/>
        </w:rPr>
        <w:t xml:space="preserve"> sipërfaqeve të llojeve të pisha</w:t>
      </w:r>
      <w:r w:rsidRPr="00BC25EE">
        <w:rPr>
          <w:rFonts w:ascii="Times New Roman" w:eastAsia="Times New Roman" w:hAnsi="Times New Roman" w:cs="Times New Roman"/>
          <w:color w:val="000000"/>
          <w:sz w:val="24"/>
          <w:szCs w:val="24"/>
          <w:lang w:val="it-IT"/>
        </w:rPr>
        <w:t>ve mesdhetare të prekura nga dëmtuesi i procesionares së pishës si dhe mar</w:t>
      </w:r>
      <w:r w:rsidR="00C846E8">
        <w:rPr>
          <w:rFonts w:ascii="Times New Roman" w:eastAsia="Times New Roman" w:hAnsi="Times New Roman" w:cs="Times New Roman"/>
          <w:color w:val="000000"/>
          <w:sz w:val="24"/>
          <w:szCs w:val="24"/>
          <w:lang w:val="it-IT"/>
        </w:rPr>
        <w:t>r</w:t>
      </w:r>
      <w:r w:rsidRPr="00BC25EE">
        <w:rPr>
          <w:rFonts w:ascii="Times New Roman" w:eastAsia="Times New Roman" w:hAnsi="Times New Roman" w:cs="Times New Roman"/>
          <w:color w:val="000000"/>
          <w:sz w:val="24"/>
          <w:szCs w:val="24"/>
          <w:lang w:val="it-IT"/>
        </w:rPr>
        <w:t>ja e masave për mbajtjen nën kontroll të këtij dëmtuesi.</w:t>
      </w:r>
    </w:p>
    <w:p w:rsidR="00BC25EE" w:rsidRPr="00BC25EE" w:rsidRDefault="00C846E8" w:rsidP="00BC25EE">
      <w:pPr>
        <w:spacing w:after="0" w:line="240" w:lineRule="auto"/>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Studim</w:t>
      </w:r>
      <w:r w:rsidR="00BC25EE" w:rsidRPr="00BC25EE">
        <w:rPr>
          <w:rFonts w:ascii="Times New Roman" w:eastAsia="Times New Roman" w:hAnsi="Times New Roman" w:cs="Times New Roman"/>
          <w:color w:val="000000"/>
          <w:sz w:val="24"/>
          <w:szCs w:val="24"/>
          <w:lang w:val="it-IT"/>
        </w:rPr>
        <w:t xml:space="preserve"> për përcaktimin e mundësisë së rehabilitimit të sipërfaqeve të përshkuar</w:t>
      </w:r>
      <w:r>
        <w:rPr>
          <w:rFonts w:ascii="Times New Roman" w:eastAsia="Times New Roman" w:hAnsi="Times New Roman" w:cs="Times New Roman"/>
          <w:color w:val="000000"/>
          <w:sz w:val="24"/>
          <w:szCs w:val="24"/>
          <w:lang w:val="it-IT"/>
        </w:rPr>
        <w:t>a</w:t>
      </w:r>
      <w:r w:rsidR="00BC25EE" w:rsidRPr="00BC25EE">
        <w:rPr>
          <w:rFonts w:ascii="Times New Roman" w:eastAsia="Times New Roman" w:hAnsi="Times New Roman" w:cs="Times New Roman"/>
          <w:color w:val="000000"/>
          <w:sz w:val="24"/>
          <w:szCs w:val="24"/>
          <w:lang w:val="it-IT"/>
        </w:rPr>
        <w:t xml:space="preserve"> dhe të djegura nga zjar</w:t>
      </w:r>
      <w:r>
        <w:rPr>
          <w:rFonts w:ascii="Times New Roman" w:eastAsia="Times New Roman" w:hAnsi="Times New Roman" w:cs="Times New Roman"/>
          <w:color w:val="000000"/>
          <w:sz w:val="24"/>
          <w:szCs w:val="24"/>
          <w:lang w:val="it-IT"/>
        </w:rPr>
        <w:t>ret në vitet</w:t>
      </w:r>
      <w:r w:rsidR="00BC25EE" w:rsidRPr="00BC25EE">
        <w:rPr>
          <w:rFonts w:ascii="Times New Roman" w:eastAsia="Times New Roman" w:hAnsi="Times New Roman" w:cs="Times New Roman"/>
          <w:color w:val="000000"/>
          <w:sz w:val="24"/>
          <w:szCs w:val="24"/>
          <w:lang w:val="it-IT"/>
        </w:rPr>
        <w:t xml:space="preserve"> e mëparshme q</w:t>
      </w:r>
      <w:r w:rsidR="00783774">
        <w:rPr>
          <w:rFonts w:ascii="Times New Roman" w:eastAsia="Times New Roman" w:hAnsi="Times New Roman" w:cs="Times New Roman"/>
          <w:color w:val="000000"/>
          <w:sz w:val="24"/>
          <w:szCs w:val="24"/>
          <w:lang w:val="it-IT"/>
        </w:rPr>
        <w:t>ë nuk kanë mundësi të ripërtërih</w:t>
      </w:r>
      <w:r w:rsidR="00BC25EE" w:rsidRPr="00BC25EE">
        <w:rPr>
          <w:rFonts w:ascii="Times New Roman" w:eastAsia="Times New Roman" w:hAnsi="Times New Roman" w:cs="Times New Roman"/>
          <w:color w:val="000000"/>
          <w:sz w:val="24"/>
          <w:szCs w:val="24"/>
          <w:lang w:val="it-IT"/>
        </w:rPr>
        <w:t xml:space="preserve">en në mënyrë natyrale.  </w:t>
      </w:r>
    </w:p>
    <w:p w:rsidR="00BC25EE" w:rsidRPr="00BC25EE" w:rsidRDefault="00BC25EE" w:rsidP="00BC25EE">
      <w:pPr>
        <w:spacing w:after="0" w:line="240" w:lineRule="auto"/>
        <w:jc w:val="both"/>
        <w:rPr>
          <w:rFonts w:ascii="Times New Roman" w:eastAsia="Times New Roman" w:hAnsi="Times New Roman" w:cs="Times New Roman"/>
          <w:b/>
          <w:color w:val="000000"/>
          <w:sz w:val="24"/>
          <w:szCs w:val="24"/>
          <w:lang w:val="it-IT"/>
        </w:rPr>
      </w:pPr>
      <w:r w:rsidRPr="00BC25EE">
        <w:rPr>
          <w:rFonts w:ascii="Times New Roman" w:eastAsia="Times New Roman" w:hAnsi="Times New Roman" w:cs="Times New Roman"/>
          <w:color w:val="000000"/>
          <w:sz w:val="24"/>
          <w:szCs w:val="24"/>
          <w:lang w:val="it-IT"/>
        </w:rPr>
        <w:t>Mar</w:t>
      </w:r>
      <w:r w:rsidR="00783774">
        <w:rPr>
          <w:rFonts w:ascii="Times New Roman" w:eastAsia="Times New Roman" w:hAnsi="Times New Roman" w:cs="Times New Roman"/>
          <w:color w:val="000000"/>
          <w:sz w:val="24"/>
          <w:szCs w:val="24"/>
          <w:lang w:val="it-IT"/>
        </w:rPr>
        <w:t>r</w:t>
      </w:r>
      <w:r w:rsidRPr="00BC25EE">
        <w:rPr>
          <w:rFonts w:ascii="Times New Roman" w:eastAsia="Times New Roman" w:hAnsi="Times New Roman" w:cs="Times New Roman"/>
          <w:color w:val="000000"/>
          <w:sz w:val="24"/>
          <w:szCs w:val="24"/>
          <w:lang w:val="it-IT"/>
        </w:rPr>
        <w:t>jen e masave  për parandalimin e fenomeneve të zjar</w:t>
      </w:r>
      <w:r w:rsidR="00783774">
        <w:rPr>
          <w:rFonts w:ascii="Times New Roman" w:eastAsia="Times New Roman" w:hAnsi="Times New Roman" w:cs="Times New Roman"/>
          <w:color w:val="000000"/>
          <w:sz w:val="24"/>
          <w:szCs w:val="24"/>
          <w:lang w:val="it-IT"/>
        </w:rPr>
        <w:t>r</w:t>
      </w:r>
      <w:r w:rsidRPr="00BC25EE">
        <w:rPr>
          <w:rFonts w:ascii="Times New Roman" w:eastAsia="Times New Roman" w:hAnsi="Times New Roman" w:cs="Times New Roman"/>
          <w:color w:val="000000"/>
          <w:sz w:val="24"/>
          <w:szCs w:val="24"/>
          <w:lang w:val="it-IT"/>
        </w:rPr>
        <w:t>eve si;  ndërgjegjësimin e komunitetit, ndërtimin  e brezave mbrojtës, vënia  para</w:t>
      </w:r>
      <w:r w:rsidR="00783774">
        <w:rPr>
          <w:rFonts w:ascii="Times New Roman" w:eastAsia="Times New Roman" w:hAnsi="Times New Roman" w:cs="Times New Roman"/>
          <w:color w:val="000000"/>
          <w:sz w:val="24"/>
          <w:szCs w:val="24"/>
          <w:lang w:val="it-IT"/>
        </w:rPr>
        <w:t xml:space="preserve"> </w:t>
      </w:r>
      <w:r w:rsidRPr="00BC25EE">
        <w:rPr>
          <w:rFonts w:ascii="Times New Roman" w:eastAsia="Times New Roman" w:hAnsi="Times New Roman" w:cs="Times New Roman"/>
          <w:color w:val="000000"/>
          <w:sz w:val="24"/>
          <w:szCs w:val="24"/>
          <w:lang w:val="it-IT"/>
        </w:rPr>
        <w:t>përgjegjësis</w:t>
      </w:r>
      <w:r w:rsidR="00783774">
        <w:rPr>
          <w:rFonts w:ascii="Times New Roman" w:eastAsia="Times New Roman" w:hAnsi="Times New Roman" w:cs="Times New Roman"/>
          <w:color w:val="000000"/>
          <w:sz w:val="24"/>
          <w:szCs w:val="24"/>
          <w:lang w:val="it-IT"/>
        </w:rPr>
        <w:t xml:space="preserve">ë të gjithë kundravajtësit që </w:t>
      </w:r>
      <w:r w:rsidRPr="00BC25EE">
        <w:rPr>
          <w:rFonts w:ascii="Times New Roman" w:eastAsia="Times New Roman" w:hAnsi="Times New Roman" w:cs="Times New Roman"/>
          <w:color w:val="000000"/>
          <w:sz w:val="24"/>
          <w:szCs w:val="24"/>
          <w:lang w:val="it-IT"/>
        </w:rPr>
        <w:t>shkaktojnë</w:t>
      </w:r>
      <w:r w:rsidRPr="00BC25EE">
        <w:rPr>
          <w:rFonts w:ascii="Times New Roman" w:eastAsia="Times New Roman" w:hAnsi="Times New Roman" w:cs="Times New Roman"/>
          <w:b/>
          <w:i/>
          <w:color w:val="000000"/>
          <w:sz w:val="24"/>
          <w:szCs w:val="24"/>
          <w:lang w:val="it-IT"/>
        </w:rPr>
        <w:t xml:space="preserve">  </w:t>
      </w:r>
      <w:r w:rsidRPr="00BC25EE">
        <w:rPr>
          <w:rFonts w:ascii="Times New Roman" w:eastAsia="Times New Roman" w:hAnsi="Times New Roman" w:cs="Times New Roman"/>
          <w:color w:val="000000"/>
          <w:sz w:val="24"/>
          <w:szCs w:val="24"/>
          <w:lang w:val="it-IT"/>
        </w:rPr>
        <w:t>zja</w:t>
      </w:r>
      <w:r w:rsidR="00783774">
        <w:rPr>
          <w:rFonts w:ascii="Times New Roman" w:eastAsia="Times New Roman" w:hAnsi="Times New Roman" w:cs="Times New Roman"/>
          <w:color w:val="000000"/>
          <w:sz w:val="24"/>
          <w:szCs w:val="24"/>
          <w:lang w:val="it-IT"/>
        </w:rPr>
        <w:t>r</w:t>
      </w:r>
      <w:r w:rsidRPr="00BC25EE">
        <w:rPr>
          <w:rFonts w:ascii="Times New Roman" w:eastAsia="Times New Roman" w:hAnsi="Times New Roman" w:cs="Times New Roman"/>
          <w:color w:val="000000"/>
          <w:sz w:val="24"/>
          <w:szCs w:val="24"/>
          <w:lang w:val="it-IT"/>
        </w:rPr>
        <w:t xml:space="preserve">ret, etj.                                 </w:t>
      </w:r>
    </w:p>
    <w:p w:rsidR="00BC25EE" w:rsidRDefault="00BC25EE" w:rsidP="00DD43D3">
      <w:pPr>
        <w:spacing w:after="0" w:line="240" w:lineRule="auto"/>
        <w:contextualSpacing/>
        <w:jc w:val="both"/>
        <w:rPr>
          <w:rFonts w:ascii="Times New Roman" w:eastAsia="Calibri" w:hAnsi="Times New Roman" w:cs="Times New Roman"/>
          <w:color w:val="000000"/>
          <w:sz w:val="24"/>
          <w:szCs w:val="24"/>
        </w:rPr>
      </w:pPr>
    </w:p>
    <w:p w:rsidR="00BC25EE" w:rsidRDefault="00BC25EE" w:rsidP="00DD43D3">
      <w:pPr>
        <w:spacing w:after="0" w:line="240" w:lineRule="auto"/>
        <w:contextualSpacing/>
        <w:jc w:val="both"/>
        <w:rPr>
          <w:rFonts w:ascii="Times New Roman" w:eastAsia="Calibri" w:hAnsi="Times New Roman" w:cs="Times New Roman"/>
          <w:color w:val="000000"/>
          <w:sz w:val="24"/>
          <w:szCs w:val="24"/>
        </w:rPr>
      </w:pPr>
    </w:p>
    <w:p w:rsidR="0043196F" w:rsidRPr="0043196F" w:rsidRDefault="0043196F" w:rsidP="00807975">
      <w:pPr>
        <w:pStyle w:val="ListParagraph"/>
        <w:numPr>
          <w:ilvl w:val="0"/>
          <w:numId w:val="146"/>
        </w:numPr>
        <w:spacing w:after="0" w:line="240" w:lineRule="auto"/>
        <w:jc w:val="both"/>
        <w:rPr>
          <w:rFonts w:ascii="Times New Roman" w:eastAsia="Calibri" w:hAnsi="Times New Roman" w:cs="Times New Roman"/>
          <w:b/>
          <w:color w:val="000000"/>
          <w:sz w:val="24"/>
          <w:szCs w:val="24"/>
        </w:rPr>
      </w:pPr>
      <w:r w:rsidRPr="0043196F">
        <w:rPr>
          <w:rFonts w:ascii="Times New Roman" w:eastAsia="Calibri" w:hAnsi="Times New Roman" w:cs="Times New Roman"/>
          <w:b/>
          <w:color w:val="000000"/>
          <w:sz w:val="24"/>
          <w:szCs w:val="24"/>
        </w:rPr>
        <w:t>P</w:t>
      </w:r>
      <w:r w:rsidR="000F53CF">
        <w:rPr>
          <w:rFonts w:ascii="Times New Roman" w:eastAsia="Calibri" w:hAnsi="Times New Roman" w:cs="Times New Roman"/>
          <w:b/>
          <w:color w:val="000000"/>
          <w:sz w:val="24"/>
          <w:szCs w:val="24"/>
        </w:rPr>
        <w:t>ë</w:t>
      </w:r>
      <w:r w:rsidRPr="0043196F">
        <w:rPr>
          <w:rFonts w:ascii="Times New Roman" w:eastAsia="Calibri" w:hAnsi="Times New Roman" w:cs="Times New Roman"/>
          <w:b/>
          <w:color w:val="000000"/>
          <w:sz w:val="24"/>
          <w:szCs w:val="24"/>
        </w:rPr>
        <w:t>r llojin pish</w:t>
      </w:r>
      <w:r w:rsidR="000F53CF">
        <w:rPr>
          <w:rFonts w:ascii="Times New Roman" w:eastAsia="Calibri" w:hAnsi="Times New Roman" w:cs="Times New Roman"/>
          <w:b/>
          <w:color w:val="000000"/>
          <w:sz w:val="24"/>
          <w:szCs w:val="24"/>
        </w:rPr>
        <w:t>ë</w:t>
      </w:r>
      <w:r w:rsidRPr="0043196F">
        <w:rPr>
          <w:rFonts w:ascii="Times New Roman" w:eastAsia="Calibri" w:hAnsi="Times New Roman" w:cs="Times New Roman"/>
          <w:b/>
          <w:color w:val="000000"/>
          <w:sz w:val="24"/>
          <w:szCs w:val="24"/>
        </w:rPr>
        <w:t xml:space="preserve"> e zez</w:t>
      </w:r>
      <w:r w:rsidR="000F53CF">
        <w:rPr>
          <w:rFonts w:ascii="Times New Roman" w:eastAsia="Calibri" w:hAnsi="Times New Roman" w:cs="Times New Roman"/>
          <w:b/>
          <w:color w:val="000000"/>
          <w:sz w:val="24"/>
          <w:szCs w:val="24"/>
        </w:rPr>
        <w:t>ë</w:t>
      </w:r>
    </w:p>
    <w:p w:rsidR="0043196F" w:rsidRPr="00DD43D3" w:rsidRDefault="0043196F" w:rsidP="00DD43D3">
      <w:pPr>
        <w:spacing w:after="0" w:line="240" w:lineRule="auto"/>
        <w:contextualSpacing/>
        <w:jc w:val="both"/>
        <w:rPr>
          <w:rFonts w:ascii="Times New Roman" w:eastAsia="Calibri" w:hAnsi="Times New Roman" w:cs="Times New Roman"/>
          <w:sz w:val="24"/>
          <w:szCs w:val="24"/>
        </w:rPr>
      </w:pPr>
    </w:p>
    <w:p w:rsidR="0043196F" w:rsidRPr="0043196F" w:rsidRDefault="0043196F" w:rsidP="0043196F">
      <w:pPr>
        <w:spacing w:after="0" w:line="240" w:lineRule="auto"/>
        <w:jc w:val="both"/>
        <w:rPr>
          <w:rFonts w:ascii="Times New Roman" w:eastAsia="Times New Roman" w:hAnsi="Times New Roman" w:cs="Times New Roman"/>
          <w:bCs/>
          <w:iCs/>
          <w:sz w:val="24"/>
          <w:szCs w:val="24"/>
          <w:lang w:val="it-IT"/>
        </w:rPr>
      </w:pPr>
      <w:r w:rsidRPr="0043196F">
        <w:rPr>
          <w:rFonts w:ascii="Times New Roman" w:eastAsia="Times New Roman" w:hAnsi="Times New Roman" w:cs="Times New Roman"/>
          <w:bCs/>
          <w:iCs/>
          <w:sz w:val="24"/>
          <w:szCs w:val="24"/>
          <w:lang w:val="it-IT"/>
        </w:rPr>
        <w:t>Mbajtjen nën kontroll të sëmundjeve dhe dëmtuesve, ku shkalla e prekje</w:t>
      </w:r>
      <w:r w:rsidR="00783774">
        <w:rPr>
          <w:rFonts w:ascii="Times New Roman" w:eastAsia="Times New Roman" w:hAnsi="Times New Roman" w:cs="Times New Roman"/>
          <w:bCs/>
          <w:iCs/>
          <w:sz w:val="24"/>
          <w:szCs w:val="24"/>
          <w:lang w:val="it-IT"/>
        </w:rPr>
        <w:t xml:space="preserve">s është më e madhe se kufijtë  </w:t>
      </w:r>
      <w:r w:rsidRPr="0043196F">
        <w:rPr>
          <w:rFonts w:ascii="Times New Roman" w:eastAsia="Times New Roman" w:hAnsi="Times New Roman" w:cs="Times New Roman"/>
          <w:bCs/>
          <w:iCs/>
          <w:sz w:val="24"/>
          <w:szCs w:val="24"/>
          <w:lang w:val="it-IT"/>
        </w:rPr>
        <w:t>kritikë të lejueshëm.</w:t>
      </w:r>
    </w:p>
    <w:p w:rsidR="0043196F" w:rsidRPr="0043196F" w:rsidRDefault="0043196F" w:rsidP="0043196F">
      <w:pPr>
        <w:spacing w:after="0" w:line="240" w:lineRule="auto"/>
        <w:jc w:val="both"/>
        <w:rPr>
          <w:rFonts w:ascii="Times New Roman" w:eastAsia="Times New Roman" w:hAnsi="Times New Roman" w:cs="Times New Roman"/>
          <w:b/>
          <w:bCs/>
          <w:i/>
          <w:iCs/>
          <w:sz w:val="24"/>
          <w:szCs w:val="24"/>
          <w:lang w:val="it-IT"/>
        </w:rPr>
      </w:pPr>
      <w:r w:rsidRPr="0043196F">
        <w:rPr>
          <w:rFonts w:ascii="Times New Roman" w:eastAsia="Times New Roman" w:hAnsi="Times New Roman" w:cs="Times New Roman"/>
          <w:bCs/>
          <w:iCs/>
          <w:sz w:val="24"/>
          <w:szCs w:val="24"/>
          <w:lang w:val="it-IT"/>
        </w:rPr>
        <w:t>Identifikimi i të gjitha sipërfaqeve të llojeve të pishave të prekura nga dëmtuesi i procesonaries së pishës si dhe marrja e masave për mbajtjen nën kontroll të këtij dëmtuesi</w:t>
      </w:r>
      <w:r w:rsidRPr="0043196F">
        <w:rPr>
          <w:rFonts w:ascii="Times New Roman" w:eastAsia="Times New Roman" w:hAnsi="Times New Roman" w:cs="Times New Roman"/>
          <w:b/>
          <w:bCs/>
          <w:i/>
          <w:iCs/>
          <w:sz w:val="24"/>
          <w:szCs w:val="24"/>
          <w:lang w:val="it-IT"/>
        </w:rPr>
        <w:t>.</w:t>
      </w:r>
    </w:p>
    <w:p w:rsidR="00BC25EE" w:rsidRPr="00BC25EE" w:rsidRDefault="00BC25EE" w:rsidP="00BC25EE">
      <w:pPr>
        <w:spacing w:after="0" w:line="240" w:lineRule="auto"/>
        <w:jc w:val="both"/>
        <w:rPr>
          <w:rFonts w:ascii="Times New Roman" w:hAnsi="Times New Roman" w:cs="Times New Roman"/>
          <w:bCs/>
          <w:iCs/>
          <w:sz w:val="24"/>
          <w:szCs w:val="24"/>
          <w:lang w:val="sq-AL"/>
        </w:rPr>
      </w:pPr>
      <w:r w:rsidRPr="00BC25EE">
        <w:rPr>
          <w:rFonts w:ascii="Times New Roman" w:hAnsi="Times New Roman" w:cs="Times New Roman"/>
          <w:bCs/>
          <w:iCs/>
          <w:sz w:val="24"/>
          <w:szCs w:val="24"/>
          <w:lang w:val="sq-AL"/>
        </w:rPr>
        <w:t xml:space="preserve">Aplikimi i luftimit të integruar (metoda mekanike me atë biologjike, i kombinuar kjo me ruajtjen e parazitëve dhe larvave të dëmtuesit. Në këtë rast, do të priten vetëm qeskat me larva, të cilat dallohen qartë nga ngjyra e bardhë karakteristike e gjendjes së tyre. </w:t>
      </w:r>
    </w:p>
    <w:p w:rsidR="00BC25EE" w:rsidRPr="00BC25EE" w:rsidRDefault="00BC25EE" w:rsidP="00BC25EE">
      <w:pPr>
        <w:tabs>
          <w:tab w:val="center" w:pos="4680"/>
          <w:tab w:val="right" w:pos="9360"/>
        </w:tabs>
        <w:spacing w:after="0" w:line="240" w:lineRule="auto"/>
        <w:jc w:val="both"/>
        <w:rPr>
          <w:rFonts w:ascii="Times New Roman" w:eastAsia="Calibri" w:hAnsi="Times New Roman" w:cs="Times New Roman"/>
          <w:bCs/>
          <w:iCs/>
          <w:sz w:val="24"/>
          <w:szCs w:val="24"/>
          <w:lang w:val="sq-AL"/>
        </w:rPr>
      </w:pPr>
      <w:r w:rsidRPr="00BC25EE">
        <w:rPr>
          <w:rFonts w:ascii="Times New Roman" w:eastAsia="Calibri" w:hAnsi="Times New Roman" w:cs="Times New Roman"/>
          <w:bCs/>
          <w:iCs/>
          <w:sz w:val="24"/>
          <w:szCs w:val="24"/>
          <w:lang w:val="sq-AL"/>
        </w:rPr>
        <w:t>Nisur nga dëmi që ka shkaktuar dëmtuesi i proçesonaries së pishës, sugjerojmë se duhet të ndërhyhet me metodën biologjike të luftimit të këtij dëmtuesi.</w:t>
      </w:r>
    </w:p>
    <w:p w:rsidR="00BC25EE" w:rsidRPr="00BC25EE" w:rsidRDefault="00BC25EE" w:rsidP="00BC25EE">
      <w:pPr>
        <w:spacing w:after="0" w:line="240" w:lineRule="auto"/>
        <w:jc w:val="both"/>
        <w:rPr>
          <w:rFonts w:ascii="Times New Roman" w:hAnsi="Times New Roman" w:cs="Times New Roman"/>
          <w:bCs/>
          <w:iCs/>
          <w:sz w:val="24"/>
          <w:szCs w:val="24"/>
          <w:lang w:val="sq-AL"/>
        </w:rPr>
      </w:pPr>
      <w:r w:rsidRPr="00BC25EE">
        <w:rPr>
          <w:rFonts w:ascii="Times New Roman" w:hAnsi="Times New Roman" w:cs="Times New Roman"/>
          <w:bCs/>
          <w:iCs/>
          <w:sz w:val="24"/>
          <w:szCs w:val="24"/>
          <w:lang w:val="sq-AL"/>
        </w:rPr>
        <w:t xml:space="preserve">Në kërto kushte del e nevojshme riprodhimi në masë të insektit që ushqehet me larvën e dëmtuesit (koleopterit Calosoma sycophanta), në kuadrin e luftës biologjike ndaj proçesionares. </w:t>
      </w:r>
    </w:p>
    <w:p w:rsidR="00BC25EE" w:rsidRPr="00BC25EE" w:rsidRDefault="00BC25EE" w:rsidP="00BC25EE">
      <w:pPr>
        <w:spacing w:after="0" w:line="240" w:lineRule="auto"/>
        <w:jc w:val="both"/>
        <w:rPr>
          <w:rFonts w:ascii="Times New Roman" w:hAnsi="Times New Roman" w:cs="Times New Roman"/>
          <w:bCs/>
          <w:iCs/>
          <w:sz w:val="24"/>
          <w:szCs w:val="24"/>
          <w:lang w:val="sq-AL"/>
        </w:rPr>
      </w:pPr>
      <w:r w:rsidRPr="00BC25EE">
        <w:rPr>
          <w:rFonts w:ascii="Times New Roman" w:hAnsi="Times New Roman" w:cs="Times New Roman"/>
          <w:bCs/>
          <w:iCs/>
          <w:sz w:val="24"/>
          <w:szCs w:val="24"/>
          <w:lang w:val="sq-AL"/>
        </w:rPr>
        <w:t>Aplikimi i luftimit të integruar (metoda mekanike me atë biologjike, i kombinuar kjo me ruajtjen e parazitëve dhe larvave të dëmtuesit për luftimin e dëmtuesit të</w:t>
      </w:r>
      <w:r w:rsidR="00783774">
        <w:rPr>
          <w:rFonts w:ascii="Times New Roman" w:hAnsi="Times New Roman" w:cs="Times New Roman"/>
          <w:bCs/>
          <w:iCs/>
          <w:sz w:val="24"/>
          <w:szCs w:val="24"/>
          <w:lang w:val="sq-AL"/>
        </w:rPr>
        <w:t xml:space="preserve"> grerzës aziatike që dëmton gështe</w:t>
      </w:r>
      <w:r w:rsidRPr="00BC25EE">
        <w:rPr>
          <w:rFonts w:ascii="Times New Roman" w:hAnsi="Times New Roman" w:cs="Times New Roman"/>
          <w:bCs/>
          <w:iCs/>
          <w:sz w:val="24"/>
          <w:szCs w:val="24"/>
          <w:lang w:val="sq-AL"/>
        </w:rPr>
        <w:t xml:space="preserve">njën. </w:t>
      </w:r>
    </w:p>
    <w:p w:rsidR="00BC25EE" w:rsidRPr="00BC25EE" w:rsidRDefault="00BC25EE" w:rsidP="00BC25EE">
      <w:pPr>
        <w:spacing w:after="0" w:line="240" w:lineRule="auto"/>
        <w:jc w:val="both"/>
        <w:rPr>
          <w:rFonts w:ascii="Times New Roman" w:hAnsi="Times New Roman" w:cs="Times New Roman"/>
          <w:bCs/>
          <w:iCs/>
          <w:sz w:val="24"/>
          <w:szCs w:val="24"/>
          <w:lang w:val="sq-AL"/>
        </w:rPr>
      </w:pPr>
      <w:r>
        <w:rPr>
          <w:rFonts w:ascii="Times New Roman" w:hAnsi="Times New Roman" w:cs="Times New Roman"/>
          <w:bCs/>
          <w:iCs/>
          <w:sz w:val="24"/>
          <w:szCs w:val="24"/>
          <w:lang w:val="sq-AL"/>
        </w:rPr>
        <w:t>A</w:t>
      </w:r>
      <w:r w:rsidRPr="00BC25EE">
        <w:rPr>
          <w:rFonts w:ascii="Times New Roman" w:hAnsi="Times New Roman" w:cs="Times New Roman"/>
          <w:bCs/>
          <w:iCs/>
          <w:sz w:val="24"/>
          <w:szCs w:val="24"/>
          <w:lang w:val="sq-AL"/>
        </w:rPr>
        <w:t xml:space="preserve">plikimi i luftimit të integruar (metoda mekanike me atë biologjike, i kombinuar) për luftimin e dëmtuesve dhe sëmundjeve të llojit bush. </w:t>
      </w:r>
    </w:p>
    <w:p w:rsidR="00BC25EE" w:rsidRPr="00BC25EE" w:rsidRDefault="00BC25EE" w:rsidP="00BC25EE">
      <w:pPr>
        <w:spacing w:after="0" w:line="240" w:lineRule="auto"/>
        <w:jc w:val="both"/>
        <w:rPr>
          <w:rFonts w:ascii="Times New Roman" w:hAnsi="Times New Roman" w:cs="Times New Roman"/>
          <w:sz w:val="24"/>
          <w:szCs w:val="24"/>
          <w:lang w:val="sq-AL"/>
        </w:rPr>
      </w:pPr>
      <w:r w:rsidRPr="00BC25EE">
        <w:rPr>
          <w:rFonts w:ascii="Times New Roman" w:hAnsi="Times New Roman" w:cs="Times New Roman"/>
          <w:bCs/>
          <w:iCs/>
          <w:sz w:val="24"/>
          <w:szCs w:val="24"/>
          <w:lang w:val="sq-AL"/>
        </w:rPr>
        <w:t>Përcaktimi i dëmtuesve dhe sëmundjeve që kanë sjellë fenomenin e tharjes së llojit hormoq.</w:t>
      </w:r>
    </w:p>
    <w:p w:rsidR="00BC25EE" w:rsidRPr="00BC25EE" w:rsidRDefault="00BC25EE" w:rsidP="00BC25EE">
      <w:pPr>
        <w:spacing w:after="0" w:line="240" w:lineRule="auto"/>
        <w:jc w:val="both"/>
        <w:rPr>
          <w:rFonts w:ascii="Times New Roman" w:hAnsi="Times New Roman" w:cs="Times New Roman"/>
          <w:sz w:val="24"/>
          <w:szCs w:val="24"/>
          <w:lang w:val="sq-AL"/>
        </w:rPr>
      </w:pPr>
    </w:p>
    <w:p w:rsidR="000F53CF" w:rsidRDefault="000F53CF" w:rsidP="00DD43D3">
      <w:pPr>
        <w:pStyle w:val="ListParagraph"/>
        <w:spacing w:after="0" w:line="240" w:lineRule="auto"/>
        <w:ind w:left="0"/>
        <w:jc w:val="both"/>
        <w:rPr>
          <w:rFonts w:ascii="Times New Roman" w:eastAsia="Calibri" w:hAnsi="Times New Roman" w:cs="Times New Roman"/>
          <w:sz w:val="24"/>
          <w:szCs w:val="24"/>
        </w:rPr>
      </w:pPr>
    </w:p>
    <w:p w:rsidR="00DD43D3" w:rsidRPr="00DD43D3" w:rsidRDefault="00783774" w:rsidP="00807975">
      <w:pPr>
        <w:pStyle w:val="ListParagraph"/>
        <w:numPr>
          <w:ilvl w:val="0"/>
          <w:numId w:val="144"/>
        </w:num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Llojet drunore të kërcënuara dhe në</w:t>
      </w:r>
      <w:r w:rsidR="00DD43D3" w:rsidRPr="00DD43D3">
        <w:rPr>
          <w:rFonts w:ascii="Times New Roman" w:eastAsia="Calibri" w:hAnsi="Times New Roman" w:cs="Times New Roman"/>
          <w:b/>
          <w:sz w:val="24"/>
          <w:szCs w:val="24"/>
        </w:rPr>
        <w:t xml:space="preserve"> rrezik zhdukje</w:t>
      </w:r>
      <w:r>
        <w:rPr>
          <w:rFonts w:ascii="Times New Roman" w:eastAsia="Calibri" w:hAnsi="Times New Roman" w:cs="Times New Roman"/>
          <w:b/>
          <w:sz w:val="24"/>
          <w:szCs w:val="24"/>
        </w:rPr>
        <w:t>je</w:t>
      </w:r>
    </w:p>
    <w:p w:rsidR="00783774" w:rsidRDefault="00783774" w:rsidP="00DD43D3">
      <w:pPr>
        <w:jc w:val="both"/>
        <w:rPr>
          <w:rFonts w:ascii="Times New Roman" w:hAnsi="Times New Roman" w:cs="Times New Roman"/>
          <w:sz w:val="24"/>
          <w:szCs w:val="24"/>
        </w:rPr>
      </w:pPr>
    </w:p>
    <w:p w:rsidR="00DD43D3" w:rsidRPr="00DD43D3" w:rsidRDefault="00DD43D3" w:rsidP="00DD43D3">
      <w:pPr>
        <w:jc w:val="both"/>
        <w:rPr>
          <w:rFonts w:ascii="Times New Roman" w:hAnsi="Times New Roman" w:cs="Times New Roman"/>
          <w:sz w:val="24"/>
          <w:szCs w:val="24"/>
        </w:rPr>
      </w:pPr>
      <w:r w:rsidRPr="00DD43D3">
        <w:rPr>
          <w:rFonts w:ascii="Times New Roman" w:hAnsi="Times New Roman" w:cs="Times New Roman"/>
          <w:sz w:val="24"/>
          <w:szCs w:val="24"/>
        </w:rPr>
        <w:t>Sensibilizimi i komunitetit rural për llojet e kërcënuara dhe në rrezik zhdukjeje, në vendet ku takohen këto lloje duke propoganduar vlerat e tyre dhe rrezikun që u kanoset, do të ishte tepër i nevojshëm, pasi do të ndikonte tek komuniteti pët të treguar më tepër kujdes ndaj këtyre llojeve. Ndikimet e shumta të njeriut mbi botën e gjallë mund të ulin ose rrisin shum</w:t>
      </w:r>
      <w:r w:rsidR="00783774">
        <w:rPr>
          <w:rFonts w:ascii="Times New Roman" w:hAnsi="Times New Roman" w:cs="Times New Roman"/>
          <w:sz w:val="24"/>
          <w:szCs w:val="24"/>
        </w:rPr>
        <w:t>ë</w:t>
      </w:r>
      <w:r w:rsidRPr="00DD43D3">
        <w:rPr>
          <w:rFonts w:ascii="Times New Roman" w:hAnsi="Times New Roman" w:cs="Times New Roman"/>
          <w:sz w:val="24"/>
          <w:szCs w:val="24"/>
        </w:rPr>
        <w:t>llojshmërinë e specieve në një zonë të caktuar.</w:t>
      </w:r>
    </w:p>
    <w:p w:rsidR="00BD2329" w:rsidRPr="00DD43D3" w:rsidRDefault="00DD43D3" w:rsidP="00DD43D3">
      <w:pPr>
        <w:jc w:val="both"/>
        <w:rPr>
          <w:rFonts w:ascii="Times New Roman" w:hAnsi="Times New Roman" w:cs="Times New Roman"/>
          <w:sz w:val="24"/>
          <w:szCs w:val="24"/>
        </w:rPr>
      </w:pPr>
      <w:r w:rsidRPr="00DD43D3">
        <w:rPr>
          <w:rFonts w:ascii="Times New Roman" w:hAnsi="Times New Roman" w:cs="Times New Roman"/>
          <w:sz w:val="24"/>
          <w:szCs w:val="24"/>
        </w:rPr>
        <w:t>Mbrojtja më e mirë ndaj pakësimit të shum</w:t>
      </w:r>
      <w:r w:rsidR="00783774">
        <w:rPr>
          <w:rFonts w:ascii="Times New Roman" w:hAnsi="Times New Roman" w:cs="Times New Roman"/>
          <w:sz w:val="24"/>
          <w:szCs w:val="24"/>
        </w:rPr>
        <w:t>ë</w:t>
      </w:r>
      <w:r w:rsidRPr="00DD43D3">
        <w:rPr>
          <w:rFonts w:ascii="Times New Roman" w:hAnsi="Times New Roman" w:cs="Times New Roman"/>
          <w:sz w:val="24"/>
          <w:szCs w:val="24"/>
        </w:rPr>
        <w:t>llojshmërisë biologjike është futja e konservimit ‚‘in situ‘‘ (metodë konservimi që trashëgon heqjen e burimeve embrionale si; farë, polen, individ nga vendbanimi i tyre origjinal ose mjediset natyrore, dhe konservimit ‚‘‘ex situ‘‘ metodë konservmi</w:t>
      </w:r>
    </w:p>
    <w:p w:rsidR="00DD43D3" w:rsidRPr="00783774" w:rsidRDefault="00DD43D3" w:rsidP="00DD43D3">
      <w:pPr>
        <w:spacing w:after="0" w:line="240" w:lineRule="auto"/>
        <w:jc w:val="both"/>
        <w:rPr>
          <w:rFonts w:ascii="Times New Roman" w:eastAsia="Calibri" w:hAnsi="Times New Roman" w:cs="Times New Roman"/>
          <w:sz w:val="24"/>
          <w:szCs w:val="24"/>
          <w:lang w:val="de-DE"/>
        </w:rPr>
      </w:pPr>
      <w:r w:rsidRPr="00DD43D3">
        <w:rPr>
          <w:rFonts w:ascii="Times New Roman" w:eastAsia="Calibri" w:hAnsi="Times New Roman" w:cs="Times New Roman"/>
          <w:sz w:val="24"/>
          <w:szCs w:val="24"/>
          <w:lang w:val="de-DE"/>
        </w:rPr>
        <w:t>Për disa prej llojeve si;</w:t>
      </w:r>
      <w:r w:rsidRPr="00DD43D3">
        <w:rPr>
          <w:rFonts w:ascii="Times New Roman" w:eastAsia="Calibri" w:hAnsi="Times New Roman" w:cs="Times New Roman"/>
          <w:sz w:val="24"/>
          <w:szCs w:val="24"/>
          <w:lang w:val="it-IT"/>
        </w:rPr>
        <w:t xml:space="preserve"> Caracën e Kaukazit (</w:t>
      </w:r>
      <w:r w:rsidRPr="00DD43D3">
        <w:rPr>
          <w:rFonts w:ascii="Times New Roman" w:eastAsia="Calibri" w:hAnsi="Times New Roman" w:cs="Times New Roman"/>
          <w:i/>
          <w:sz w:val="24"/>
          <w:szCs w:val="24"/>
          <w:lang w:val="it-IT"/>
        </w:rPr>
        <w:t>Celtis Tourneforti,</w:t>
      </w:r>
      <w:r w:rsidR="00783774">
        <w:rPr>
          <w:rFonts w:ascii="Times New Roman" w:eastAsia="Calibri" w:hAnsi="Times New Roman" w:cs="Times New Roman"/>
          <w:sz w:val="24"/>
          <w:szCs w:val="24"/>
          <w:lang w:val="de-DE"/>
        </w:rPr>
        <w:t xml:space="preserve">, Rrenjën </w:t>
      </w:r>
      <w:r w:rsidRPr="00DD43D3">
        <w:rPr>
          <w:rFonts w:ascii="Times New Roman" w:eastAsia="Calibri" w:hAnsi="Times New Roman" w:cs="Times New Roman"/>
          <w:sz w:val="24"/>
          <w:szCs w:val="24"/>
          <w:lang w:val="it-IT"/>
        </w:rPr>
        <w:t>(</w:t>
      </w:r>
      <w:r w:rsidRPr="00DD43D3">
        <w:rPr>
          <w:rFonts w:ascii="Times New Roman" w:eastAsia="Calibri" w:hAnsi="Times New Roman" w:cs="Times New Roman"/>
          <w:i/>
          <w:iCs/>
          <w:sz w:val="24"/>
          <w:szCs w:val="24"/>
          <w:lang w:val="it-IT"/>
        </w:rPr>
        <w:t>Quercus robur L)</w:t>
      </w:r>
      <w:r w:rsidRPr="00DD43D3">
        <w:rPr>
          <w:rFonts w:ascii="Times New Roman" w:eastAsia="Calibri" w:hAnsi="Times New Roman" w:cs="Times New Roman"/>
          <w:sz w:val="24"/>
          <w:szCs w:val="24"/>
          <w:lang w:val="de-DE"/>
        </w:rPr>
        <w:t>, Gështenjën e kalit (</w:t>
      </w:r>
      <w:r w:rsidRPr="00DD43D3">
        <w:rPr>
          <w:rFonts w:ascii="Times New Roman" w:eastAsia="Calibri" w:hAnsi="Times New Roman" w:cs="Times New Roman"/>
          <w:i/>
          <w:iCs/>
          <w:sz w:val="24"/>
          <w:szCs w:val="24"/>
          <w:lang w:val="it-IT"/>
        </w:rPr>
        <w:t>Aesculus hippocastanum</w:t>
      </w:r>
      <w:r w:rsidRPr="00DD43D3">
        <w:rPr>
          <w:rFonts w:ascii="Times New Roman" w:eastAsia="Calibri" w:hAnsi="Times New Roman" w:cs="Times New Roman"/>
          <w:sz w:val="24"/>
          <w:szCs w:val="24"/>
          <w:lang w:val="it-IT"/>
        </w:rPr>
        <w:t>)</w:t>
      </w:r>
      <w:r w:rsidRPr="00DD43D3">
        <w:rPr>
          <w:rFonts w:ascii="Times New Roman" w:eastAsia="Calibri" w:hAnsi="Times New Roman" w:cs="Times New Roman"/>
          <w:sz w:val="24"/>
          <w:szCs w:val="24"/>
          <w:lang w:val="de-DE"/>
        </w:rPr>
        <w:t xml:space="preserve">, Lajthinë e egër </w:t>
      </w:r>
      <w:r w:rsidRPr="00DD43D3">
        <w:rPr>
          <w:rFonts w:ascii="Times New Roman" w:eastAsia="Calibri" w:hAnsi="Times New Roman" w:cs="Times New Roman"/>
          <w:sz w:val="24"/>
          <w:szCs w:val="24"/>
          <w:lang w:val="it-IT"/>
        </w:rPr>
        <w:t>(</w:t>
      </w:r>
      <w:r w:rsidRPr="00DD43D3">
        <w:rPr>
          <w:rFonts w:ascii="Times New Roman" w:eastAsia="Calibri" w:hAnsi="Times New Roman" w:cs="Times New Roman"/>
          <w:i/>
          <w:iCs/>
          <w:sz w:val="24"/>
          <w:szCs w:val="24"/>
          <w:lang w:val="it-IT"/>
        </w:rPr>
        <w:t>Corylus colurna L)</w:t>
      </w:r>
      <w:r w:rsidRPr="00DD43D3">
        <w:rPr>
          <w:rFonts w:ascii="Times New Roman" w:eastAsia="Calibri" w:hAnsi="Times New Roman" w:cs="Times New Roman"/>
          <w:sz w:val="24"/>
          <w:szCs w:val="24"/>
          <w:lang w:val="de-DE"/>
        </w:rPr>
        <w:t xml:space="preserve"> etj që janë në kufijtë ekstrem të rrezikimit, është e nevojshme ngritja e rrjetit </w:t>
      </w:r>
      <w:r w:rsidR="00783774">
        <w:rPr>
          <w:rFonts w:ascii="Times New Roman" w:eastAsia="Calibri" w:hAnsi="Times New Roman" w:cs="Times New Roman"/>
          <w:sz w:val="24"/>
          <w:szCs w:val="24"/>
          <w:lang w:val="de-DE"/>
        </w:rPr>
        <w:t xml:space="preserve">të konservimit ‘in-situ‘‘ dhe </w:t>
      </w:r>
      <w:r w:rsidRPr="00DD43D3">
        <w:rPr>
          <w:rFonts w:ascii="Times New Roman" w:eastAsia="Calibri" w:hAnsi="Times New Roman" w:cs="Times New Roman"/>
          <w:sz w:val="24"/>
          <w:szCs w:val="24"/>
          <w:lang w:val="de-DE"/>
        </w:rPr>
        <w:t>‘‘ex-situ‘‘ për këto lloje.</w:t>
      </w:r>
    </w:p>
    <w:p w:rsidR="00DD43D3" w:rsidRPr="00DD43D3" w:rsidRDefault="00DD43D3" w:rsidP="00DD43D3">
      <w:pPr>
        <w:spacing w:after="0" w:line="240" w:lineRule="auto"/>
        <w:jc w:val="both"/>
        <w:rPr>
          <w:rFonts w:ascii="Times New Roman" w:eastAsia="Calibri" w:hAnsi="Times New Roman" w:cs="Times New Roman"/>
          <w:sz w:val="24"/>
          <w:szCs w:val="24"/>
          <w:lang w:val="de-DE"/>
        </w:rPr>
      </w:pPr>
      <w:r w:rsidRPr="00DD43D3">
        <w:rPr>
          <w:rFonts w:ascii="Times New Roman" w:eastAsia="Calibri" w:hAnsi="Times New Roman" w:cs="Times New Roman"/>
          <w:sz w:val="24"/>
          <w:szCs w:val="24"/>
          <w:lang w:val="de-DE"/>
        </w:rPr>
        <w:t>Grumbullimi i farave nga këto pika monitorimi dhe prodhimi i fi</w:t>
      </w:r>
      <w:r w:rsidR="00783774">
        <w:rPr>
          <w:rFonts w:ascii="Times New Roman" w:eastAsia="Calibri" w:hAnsi="Times New Roman" w:cs="Times New Roman"/>
          <w:sz w:val="24"/>
          <w:szCs w:val="24"/>
          <w:lang w:val="de-DE"/>
        </w:rPr>
        <w:t xml:space="preserve">danëve për pyllëzim të këtyre  </w:t>
      </w:r>
      <w:r w:rsidRPr="00DD43D3">
        <w:rPr>
          <w:rFonts w:ascii="Times New Roman" w:eastAsia="Calibri" w:hAnsi="Times New Roman" w:cs="Times New Roman"/>
          <w:sz w:val="24"/>
          <w:szCs w:val="24"/>
          <w:lang w:val="de-DE"/>
        </w:rPr>
        <w:t>llojeve në arealin e përhapjes së tyre, do të ndihmonte në ruajtje</w:t>
      </w:r>
      <w:r w:rsidR="00783774">
        <w:rPr>
          <w:rFonts w:ascii="Times New Roman" w:eastAsia="Calibri" w:hAnsi="Times New Roman" w:cs="Times New Roman"/>
          <w:sz w:val="24"/>
          <w:szCs w:val="24"/>
          <w:lang w:val="de-DE"/>
        </w:rPr>
        <w:t xml:space="preserve">n dhe shtimin e këtyre llojeve </w:t>
      </w:r>
      <w:r w:rsidRPr="00DD43D3">
        <w:rPr>
          <w:rFonts w:ascii="Times New Roman" w:eastAsia="Calibri" w:hAnsi="Times New Roman" w:cs="Times New Roman"/>
          <w:sz w:val="24"/>
          <w:szCs w:val="24"/>
          <w:lang w:val="de-DE"/>
        </w:rPr>
        <w:t xml:space="preserve"> në të ardhmen</w:t>
      </w:r>
      <w:r w:rsidR="00783774">
        <w:rPr>
          <w:rFonts w:ascii="Times New Roman" w:eastAsia="Calibri" w:hAnsi="Times New Roman" w:cs="Times New Roman"/>
          <w:sz w:val="24"/>
          <w:szCs w:val="24"/>
          <w:lang w:val="de-DE"/>
        </w:rPr>
        <w:t>.</w:t>
      </w:r>
      <w:r w:rsidRPr="00DD43D3">
        <w:rPr>
          <w:rFonts w:ascii="Times New Roman" w:eastAsia="Calibri" w:hAnsi="Times New Roman" w:cs="Times New Roman"/>
          <w:sz w:val="24"/>
          <w:szCs w:val="24"/>
          <w:lang w:val="de-DE"/>
        </w:rPr>
        <w:t xml:space="preserve"> </w:t>
      </w:r>
    </w:p>
    <w:p w:rsidR="00DD43D3" w:rsidRPr="00DD43D3" w:rsidRDefault="00DD43D3" w:rsidP="00DD43D3">
      <w:pPr>
        <w:spacing w:after="0" w:line="240" w:lineRule="auto"/>
        <w:jc w:val="both"/>
        <w:rPr>
          <w:rFonts w:ascii="Times New Roman" w:eastAsia="Calibri" w:hAnsi="Times New Roman" w:cs="Times New Roman"/>
          <w:sz w:val="24"/>
          <w:szCs w:val="24"/>
          <w:lang w:val="de-DE"/>
        </w:rPr>
      </w:pPr>
      <w:r w:rsidRPr="00DD43D3">
        <w:rPr>
          <w:rFonts w:ascii="Times New Roman" w:eastAsia="Calibri" w:hAnsi="Times New Roman" w:cs="Times New Roman"/>
          <w:sz w:val="24"/>
          <w:szCs w:val="24"/>
          <w:lang w:val="de-DE"/>
        </w:rPr>
        <w:t>Në vendet ku takohen këto lloje të vihen tabela informuese pë</w:t>
      </w:r>
      <w:r w:rsidR="00783774">
        <w:rPr>
          <w:rFonts w:ascii="Times New Roman" w:eastAsia="Calibri" w:hAnsi="Times New Roman" w:cs="Times New Roman"/>
          <w:sz w:val="24"/>
          <w:szCs w:val="24"/>
          <w:lang w:val="de-DE"/>
        </w:rPr>
        <w:t xml:space="preserve">r vlerat dhe kujdesin që duhet </w:t>
      </w:r>
      <w:r w:rsidRPr="00DD43D3">
        <w:rPr>
          <w:rFonts w:ascii="Times New Roman" w:eastAsia="Calibri" w:hAnsi="Times New Roman" w:cs="Times New Roman"/>
          <w:sz w:val="24"/>
          <w:szCs w:val="24"/>
          <w:lang w:val="de-DE"/>
        </w:rPr>
        <w:t>treguar ndaj këtyre llojeve, në mënyrë që të sigurohet mbrojtja e tyre, për ti patur në vazhdimësi dhe në të ardhmen.</w:t>
      </w:r>
    </w:p>
    <w:p w:rsidR="00DD43D3" w:rsidRDefault="00DD43D3" w:rsidP="00E0358A">
      <w:pPr>
        <w:rPr>
          <w:b/>
          <w:sz w:val="24"/>
          <w:szCs w:val="24"/>
        </w:rPr>
      </w:pPr>
    </w:p>
    <w:p w:rsidR="0043196F" w:rsidRDefault="0043196F" w:rsidP="00807975">
      <w:pPr>
        <w:pStyle w:val="ListParagraph"/>
        <w:numPr>
          <w:ilvl w:val="0"/>
          <w:numId w:val="145"/>
        </w:numPr>
        <w:spacing w:after="0" w:line="240" w:lineRule="auto"/>
        <w:jc w:val="both"/>
        <w:rPr>
          <w:rFonts w:ascii="Times New Roman" w:eastAsia="Calibri" w:hAnsi="Times New Roman" w:cs="Times New Roman"/>
          <w:b/>
          <w:sz w:val="24"/>
          <w:szCs w:val="24"/>
          <w:lang w:val="it-IT"/>
        </w:rPr>
      </w:pPr>
      <w:r w:rsidRPr="0043196F">
        <w:rPr>
          <w:rFonts w:ascii="Times New Roman" w:eastAsia="Calibri" w:hAnsi="Times New Roman" w:cs="Times New Roman"/>
          <w:b/>
          <w:sz w:val="24"/>
          <w:szCs w:val="24"/>
          <w:lang w:val="it-IT"/>
        </w:rPr>
        <w:t>Bim</w:t>
      </w:r>
      <w:r w:rsidR="000F53CF">
        <w:rPr>
          <w:rFonts w:ascii="Times New Roman" w:eastAsia="Calibri" w:hAnsi="Times New Roman" w:cs="Times New Roman"/>
          <w:b/>
          <w:sz w:val="24"/>
          <w:szCs w:val="24"/>
          <w:lang w:val="it-IT"/>
        </w:rPr>
        <w:t>ë</w:t>
      </w:r>
      <w:r w:rsidRPr="0043196F">
        <w:rPr>
          <w:rFonts w:ascii="Times New Roman" w:eastAsia="Calibri" w:hAnsi="Times New Roman" w:cs="Times New Roman"/>
          <w:b/>
          <w:sz w:val="24"/>
          <w:szCs w:val="24"/>
          <w:lang w:val="it-IT"/>
        </w:rPr>
        <w:t>t aromatiko- mjek</w:t>
      </w:r>
      <w:r w:rsidR="000F53CF">
        <w:rPr>
          <w:rFonts w:ascii="Times New Roman" w:eastAsia="Calibri" w:hAnsi="Times New Roman" w:cs="Times New Roman"/>
          <w:b/>
          <w:sz w:val="24"/>
          <w:szCs w:val="24"/>
          <w:lang w:val="it-IT"/>
        </w:rPr>
        <w:t>ë</w:t>
      </w:r>
      <w:r w:rsidRPr="0043196F">
        <w:rPr>
          <w:rFonts w:ascii="Times New Roman" w:eastAsia="Calibri" w:hAnsi="Times New Roman" w:cs="Times New Roman"/>
          <w:b/>
          <w:sz w:val="24"/>
          <w:szCs w:val="24"/>
          <w:lang w:val="it-IT"/>
        </w:rPr>
        <w:t>sore</w:t>
      </w:r>
    </w:p>
    <w:p w:rsidR="00FE1F1B" w:rsidRPr="0043196F" w:rsidRDefault="00FE1F1B" w:rsidP="00FE1F1B">
      <w:pPr>
        <w:pStyle w:val="ListParagraph"/>
        <w:spacing w:after="0" w:line="240" w:lineRule="auto"/>
        <w:jc w:val="both"/>
        <w:rPr>
          <w:rFonts w:ascii="Times New Roman" w:eastAsia="Calibri" w:hAnsi="Times New Roman" w:cs="Times New Roman"/>
          <w:b/>
          <w:sz w:val="24"/>
          <w:szCs w:val="24"/>
          <w:lang w:val="it-IT"/>
        </w:rPr>
      </w:pPr>
    </w:p>
    <w:p w:rsidR="0043196F" w:rsidRPr="0043196F" w:rsidRDefault="00783774" w:rsidP="0043196F">
      <w:pPr>
        <w:spacing w:after="0" w:line="240" w:lineRule="auto"/>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R</w:t>
      </w:r>
      <w:r w:rsidR="0043196F" w:rsidRPr="0043196F">
        <w:rPr>
          <w:rFonts w:ascii="Times New Roman" w:eastAsia="Calibri" w:hAnsi="Times New Roman" w:cs="Times New Roman"/>
          <w:sz w:val="24"/>
          <w:szCs w:val="24"/>
          <w:lang w:val="it-IT"/>
        </w:rPr>
        <w:t>ekomandojmë kufizimin e grumbullimit të tyre, në mënyrë që këto bimë ti kemi në vazhdimësi edhe në të ardhmen.</w:t>
      </w:r>
    </w:p>
    <w:p w:rsidR="0043196F" w:rsidRPr="0043196F" w:rsidRDefault="0043196F" w:rsidP="0043196F">
      <w:pPr>
        <w:spacing w:after="0" w:line="240" w:lineRule="auto"/>
        <w:jc w:val="both"/>
        <w:rPr>
          <w:rFonts w:ascii="Times New Roman" w:eastAsia="Calibri" w:hAnsi="Times New Roman" w:cs="Times New Roman"/>
          <w:sz w:val="24"/>
          <w:szCs w:val="24"/>
          <w:lang w:val="it-IT"/>
        </w:rPr>
      </w:pPr>
      <w:r w:rsidRPr="0043196F">
        <w:rPr>
          <w:rFonts w:ascii="Times New Roman" w:eastAsia="Calibri" w:hAnsi="Times New Roman" w:cs="Times New Roman"/>
          <w:sz w:val="24"/>
          <w:szCs w:val="24"/>
          <w:lang w:val="it-IT"/>
        </w:rPr>
        <w:t>Sensibilizimi i komunitetit ku grumbullohen këto bimë, përmes vendosjes së tabelave në vendet ku rriten këto bimë për rëndësinë e tyre dhe shkallën e kërcënimit për zhdukje.</w:t>
      </w:r>
    </w:p>
    <w:p w:rsidR="0043196F" w:rsidRPr="0043196F" w:rsidRDefault="0043196F" w:rsidP="0043196F">
      <w:pPr>
        <w:spacing w:after="0" w:line="240" w:lineRule="auto"/>
        <w:jc w:val="both"/>
        <w:rPr>
          <w:rFonts w:ascii="Times New Roman" w:eastAsia="Calibri" w:hAnsi="Times New Roman" w:cs="Times New Roman"/>
          <w:sz w:val="24"/>
          <w:szCs w:val="24"/>
          <w:lang w:val="it-IT"/>
        </w:rPr>
      </w:pPr>
      <w:r w:rsidRPr="0043196F">
        <w:rPr>
          <w:rFonts w:ascii="Times New Roman" w:eastAsia="Calibri" w:hAnsi="Times New Roman" w:cs="Times New Roman"/>
          <w:sz w:val="24"/>
          <w:szCs w:val="24"/>
          <w:lang w:val="it-IT"/>
        </w:rPr>
        <w:t xml:space="preserve">Hartimi i një strategjie për ruajtjen dhe përdorimin e burimeve bimore lokale në shkallë kombëtare dhe sidomos i atyre specieve që janë në rrezik zhdukjeje. Nëpërmjet kësaj strategjie duhet të parashikohet grumbullimi, mbrojtja, studimi, ruajtja </w:t>
      </w:r>
      <w:r w:rsidR="00783774">
        <w:rPr>
          <w:rFonts w:ascii="Times New Roman" w:eastAsia="Calibri" w:hAnsi="Times New Roman" w:cs="Times New Roman"/>
          <w:sz w:val="24"/>
          <w:szCs w:val="24"/>
          <w:lang w:val="it-IT"/>
        </w:rPr>
        <w:t>“</w:t>
      </w:r>
      <w:r w:rsidRPr="0043196F">
        <w:rPr>
          <w:rFonts w:ascii="Times New Roman" w:eastAsia="Calibri" w:hAnsi="Times New Roman" w:cs="Times New Roman"/>
          <w:sz w:val="24"/>
          <w:szCs w:val="24"/>
          <w:lang w:val="it-IT"/>
        </w:rPr>
        <w:t>in situ</w:t>
      </w:r>
      <w:r w:rsidR="00783774">
        <w:rPr>
          <w:rFonts w:ascii="Times New Roman" w:eastAsia="Calibri" w:hAnsi="Times New Roman" w:cs="Times New Roman"/>
          <w:sz w:val="24"/>
          <w:szCs w:val="24"/>
          <w:lang w:val="it-IT"/>
        </w:rPr>
        <w:t>”</w:t>
      </w:r>
      <w:r w:rsidRPr="0043196F">
        <w:rPr>
          <w:rFonts w:ascii="Times New Roman" w:eastAsia="Calibri" w:hAnsi="Times New Roman" w:cs="Times New Roman"/>
          <w:sz w:val="24"/>
          <w:szCs w:val="24"/>
          <w:lang w:val="it-IT"/>
        </w:rPr>
        <w:t xml:space="preserve"> dhe përdorimi i burimeve gjenetike bimore. Në këtë drejtim merr rëndësi kombinimi i teknikave të ruajtjes së burimeve gjenetike: në bankat gjenetike (ex situ) dhe në vendorigjinë (in situ). </w:t>
      </w:r>
    </w:p>
    <w:p w:rsidR="0043196F" w:rsidRPr="0043196F" w:rsidRDefault="0043196F" w:rsidP="0043196F">
      <w:pPr>
        <w:spacing w:after="0" w:line="240" w:lineRule="auto"/>
        <w:jc w:val="both"/>
        <w:rPr>
          <w:rFonts w:ascii="Times New Roman" w:eastAsia="Times New Roman" w:hAnsi="Times New Roman" w:cs="Times New Roman"/>
          <w:b/>
          <w:szCs w:val="24"/>
          <w:lang w:val="it-IT"/>
        </w:rPr>
      </w:pPr>
    </w:p>
    <w:p w:rsidR="0043196F" w:rsidRPr="00DD43D3" w:rsidRDefault="0043196F" w:rsidP="00E0358A">
      <w:pPr>
        <w:rPr>
          <w:b/>
          <w:sz w:val="24"/>
          <w:szCs w:val="24"/>
        </w:rPr>
      </w:pPr>
    </w:p>
    <w:p w:rsidR="00BD2329" w:rsidRDefault="00BD2329" w:rsidP="00E0358A">
      <w:pPr>
        <w:rPr>
          <w:sz w:val="24"/>
          <w:szCs w:val="24"/>
        </w:rPr>
      </w:pPr>
    </w:p>
    <w:p w:rsidR="00BD2329" w:rsidRDefault="00BD2329" w:rsidP="00E0358A">
      <w:pPr>
        <w:rPr>
          <w:sz w:val="24"/>
          <w:szCs w:val="24"/>
        </w:rPr>
      </w:pPr>
    </w:p>
    <w:p w:rsidR="00BD2329" w:rsidRDefault="00BD2329" w:rsidP="00E0358A">
      <w:pPr>
        <w:rPr>
          <w:sz w:val="24"/>
          <w:szCs w:val="24"/>
        </w:rPr>
      </w:pPr>
    </w:p>
    <w:p w:rsidR="00BD2329" w:rsidRDefault="00BD2329" w:rsidP="00E0358A">
      <w:pPr>
        <w:rPr>
          <w:sz w:val="24"/>
          <w:szCs w:val="24"/>
        </w:rPr>
      </w:pPr>
    </w:p>
    <w:p w:rsidR="00BD2329" w:rsidRDefault="00BD2329" w:rsidP="00E0358A">
      <w:pPr>
        <w:rPr>
          <w:sz w:val="24"/>
          <w:szCs w:val="24"/>
        </w:rPr>
      </w:pPr>
    </w:p>
    <w:p w:rsidR="00BD2329" w:rsidRDefault="00BD2329" w:rsidP="00E0358A">
      <w:pPr>
        <w:rPr>
          <w:sz w:val="24"/>
          <w:szCs w:val="24"/>
        </w:rPr>
      </w:pPr>
    </w:p>
    <w:p w:rsidR="00BD2329" w:rsidRDefault="00BD2329" w:rsidP="00E0358A">
      <w:pPr>
        <w:rPr>
          <w:sz w:val="24"/>
          <w:szCs w:val="24"/>
        </w:rPr>
      </w:pPr>
    </w:p>
    <w:p w:rsidR="00564C07" w:rsidRDefault="00564C07" w:rsidP="00E0358A">
      <w:pPr>
        <w:rPr>
          <w:sz w:val="24"/>
          <w:szCs w:val="24"/>
        </w:rPr>
      </w:pPr>
    </w:p>
    <w:p w:rsidR="00564C07" w:rsidRDefault="00564C07" w:rsidP="00E0358A">
      <w:pPr>
        <w:rPr>
          <w:sz w:val="24"/>
          <w:szCs w:val="24"/>
        </w:rPr>
      </w:pPr>
    </w:p>
    <w:p w:rsidR="00564C07" w:rsidRDefault="00564C07" w:rsidP="00E0358A">
      <w:pPr>
        <w:rPr>
          <w:sz w:val="24"/>
          <w:szCs w:val="24"/>
        </w:rPr>
      </w:pPr>
    </w:p>
    <w:p w:rsidR="00E73AE8" w:rsidRDefault="00E73AE8" w:rsidP="00E0358A">
      <w:pPr>
        <w:rPr>
          <w:sz w:val="24"/>
          <w:szCs w:val="24"/>
        </w:rPr>
      </w:pPr>
    </w:p>
    <w:p w:rsidR="00E73AE8" w:rsidRDefault="00E73AE8" w:rsidP="00E0358A">
      <w:pPr>
        <w:rPr>
          <w:sz w:val="24"/>
          <w:szCs w:val="24"/>
        </w:rPr>
      </w:pPr>
    </w:p>
    <w:p w:rsidR="00E73AE8" w:rsidRDefault="00E73AE8" w:rsidP="00E0358A">
      <w:pPr>
        <w:rPr>
          <w:sz w:val="24"/>
          <w:szCs w:val="24"/>
        </w:rPr>
      </w:pPr>
    </w:p>
    <w:p w:rsidR="004D7AA4" w:rsidRPr="00E73AE8" w:rsidRDefault="00E73AE8" w:rsidP="00E73AE8">
      <w:pPr>
        <w:jc w:val="center"/>
        <w:rPr>
          <w:rFonts w:ascii="Times New Roman" w:hAnsi="Times New Roman" w:cs="Times New Roman"/>
          <w:b/>
          <w:sz w:val="24"/>
          <w:szCs w:val="24"/>
        </w:rPr>
      </w:pPr>
      <w:r w:rsidRPr="00E73AE8">
        <w:rPr>
          <w:rFonts w:ascii="Times New Roman" w:hAnsi="Times New Roman" w:cs="Times New Roman"/>
          <w:b/>
          <w:sz w:val="24"/>
          <w:szCs w:val="24"/>
        </w:rPr>
        <w:t>KAPITULLI 9</w:t>
      </w:r>
    </w:p>
    <w:p w:rsidR="009E6FC6" w:rsidRPr="00E73AE8" w:rsidRDefault="00E73AE8" w:rsidP="00E73AE8">
      <w:pPr>
        <w:jc w:val="center"/>
        <w:rPr>
          <w:rFonts w:ascii="Times New Roman" w:hAnsi="Times New Roman" w:cs="Times New Roman"/>
          <w:b/>
          <w:sz w:val="24"/>
          <w:szCs w:val="24"/>
        </w:rPr>
      </w:pPr>
      <w:r w:rsidRPr="00E73AE8">
        <w:rPr>
          <w:rFonts w:ascii="Times New Roman" w:hAnsi="Times New Roman" w:cs="Times New Roman"/>
          <w:b/>
          <w:sz w:val="24"/>
          <w:szCs w:val="24"/>
        </w:rPr>
        <w:t>NDRYSHIMET KLIMATIKE</w:t>
      </w:r>
    </w:p>
    <w:p w:rsidR="00BD2329" w:rsidRPr="00E73AE8" w:rsidRDefault="00BD2329" w:rsidP="00E73AE8">
      <w:pPr>
        <w:jc w:val="center"/>
        <w:rPr>
          <w:rFonts w:ascii="Times New Roman" w:hAnsi="Times New Roman" w:cs="Times New Roman"/>
          <w:b/>
          <w:sz w:val="24"/>
          <w:szCs w:val="24"/>
        </w:rPr>
      </w:pPr>
    </w:p>
    <w:p w:rsidR="00BD2329" w:rsidRDefault="00833A2A" w:rsidP="00E0358A">
      <w:pPr>
        <w:rPr>
          <w:sz w:val="24"/>
          <w:szCs w:val="24"/>
        </w:rPr>
      </w:pPr>
      <w:r>
        <w:rPr>
          <w:noProof/>
        </w:rPr>
        <w:drawing>
          <wp:inline distT="0" distB="0" distL="0" distR="0" wp14:anchorId="18AC5874" wp14:editId="26CA20F3">
            <wp:extent cx="5943600" cy="3344545"/>
            <wp:effectExtent l="0" t="0" r="0" b="8255"/>
            <wp:docPr id="373" name="Picture 373" descr="Ndryshimet klimatike - Ale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dryshimet klimatike - Alert.al"/>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p>
    <w:p w:rsidR="00BD2329" w:rsidRDefault="00BD2329" w:rsidP="00E0358A">
      <w:pPr>
        <w:rPr>
          <w:sz w:val="24"/>
          <w:szCs w:val="24"/>
        </w:rPr>
      </w:pPr>
    </w:p>
    <w:p w:rsidR="00BD2329" w:rsidRDefault="00BD2329" w:rsidP="00E0358A">
      <w:pPr>
        <w:rPr>
          <w:sz w:val="24"/>
          <w:szCs w:val="24"/>
        </w:rPr>
      </w:pPr>
    </w:p>
    <w:p w:rsidR="002D5177" w:rsidRDefault="002D5177" w:rsidP="00E0358A">
      <w:pPr>
        <w:rPr>
          <w:sz w:val="24"/>
          <w:szCs w:val="24"/>
        </w:rPr>
      </w:pPr>
    </w:p>
    <w:p w:rsidR="002D5177" w:rsidRPr="009559E2" w:rsidRDefault="00D67779" w:rsidP="00440261">
      <w:pPr>
        <w:jc w:val="center"/>
        <w:rPr>
          <w:rFonts w:ascii="Times New Roman" w:hAnsi="Times New Roman" w:cs="Times New Roman"/>
          <w:b/>
          <w:sz w:val="24"/>
          <w:szCs w:val="24"/>
        </w:rPr>
      </w:pPr>
      <w:r w:rsidRPr="009559E2">
        <w:rPr>
          <w:rFonts w:ascii="Times New Roman" w:hAnsi="Times New Roman" w:cs="Times New Roman"/>
          <w:b/>
          <w:sz w:val="24"/>
          <w:szCs w:val="24"/>
        </w:rPr>
        <w:lastRenderedPageBreak/>
        <w:t xml:space="preserve">Kapitulli </w:t>
      </w:r>
      <w:r w:rsidR="00CB1F77">
        <w:rPr>
          <w:rFonts w:ascii="Times New Roman" w:hAnsi="Times New Roman" w:cs="Times New Roman"/>
          <w:b/>
          <w:sz w:val="24"/>
          <w:szCs w:val="24"/>
        </w:rPr>
        <w:t xml:space="preserve"> 9</w:t>
      </w:r>
    </w:p>
    <w:p w:rsidR="002D5177" w:rsidRPr="009559E2" w:rsidRDefault="00654129" w:rsidP="00440261">
      <w:pPr>
        <w:jc w:val="center"/>
        <w:rPr>
          <w:rFonts w:ascii="Times New Roman" w:hAnsi="Times New Roman" w:cs="Times New Roman"/>
          <w:b/>
          <w:sz w:val="24"/>
          <w:szCs w:val="24"/>
        </w:rPr>
      </w:pPr>
      <w:r w:rsidRPr="009559E2">
        <w:rPr>
          <w:rFonts w:ascii="Times New Roman" w:hAnsi="Times New Roman" w:cs="Times New Roman"/>
          <w:b/>
          <w:sz w:val="24"/>
          <w:szCs w:val="24"/>
        </w:rPr>
        <w:t xml:space="preserve">Ndryshimet </w:t>
      </w:r>
      <w:r w:rsidR="002D5177" w:rsidRPr="009559E2">
        <w:rPr>
          <w:rFonts w:ascii="Times New Roman" w:hAnsi="Times New Roman" w:cs="Times New Roman"/>
          <w:b/>
          <w:sz w:val="24"/>
          <w:szCs w:val="24"/>
        </w:rPr>
        <w:t xml:space="preserve"> klim</w:t>
      </w:r>
      <w:r w:rsidRPr="009559E2">
        <w:rPr>
          <w:rFonts w:ascii="Times New Roman" w:hAnsi="Times New Roman" w:cs="Times New Roman"/>
          <w:b/>
          <w:sz w:val="24"/>
          <w:szCs w:val="24"/>
        </w:rPr>
        <w:t>atike</w:t>
      </w:r>
      <w:r w:rsidR="002D5177" w:rsidRPr="009559E2">
        <w:rPr>
          <w:rFonts w:ascii="Times New Roman" w:hAnsi="Times New Roman" w:cs="Times New Roman"/>
          <w:b/>
          <w:sz w:val="24"/>
          <w:szCs w:val="24"/>
        </w:rPr>
        <w:t xml:space="preserve"> </w:t>
      </w:r>
    </w:p>
    <w:p w:rsidR="002D5177" w:rsidRDefault="002D5177" w:rsidP="00E0358A">
      <w:pPr>
        <w:rPr>
          <w:sz w:val="24"/>
          <w:szCs w:val="24"/>
        </w:rPr>
      </w:pPr>
    </w:p>
    <w:p w:rsidR="007B5F14" w:rsidRDefault="00CB1F77" w:rsidP="004A74BB">
      <w:pPr>
        <w:rPr>
          <w:sz w:val="24"/>
          <w:szCs w:val="24"/>
        </w:rPr>
      </w:pPr>
      <w:r>
        <w:rPr>
          <w:rFonts w:ascii="Times New Roman" w:hAnsi="Times New Roman" w:cs="Times New Roman"/>
          <w:b/>
          <w:sz w:val="24"/>
          <w:szCs w:val="24"/>
        </w:rPr>
        <w:t>9</w:t>
      </w:r>
      <w:r w:rsidR="007655ED" w:rsidRPr="009559E2">
        <w:rPr>
          <w:rFonts w:ascii="Times New Roman" w:hAnsi="Times New Roman" w:cs="Times New Roman"/>
          <w:b/>
          <w:sz w:val="24"/>
          <w:szCs w:val="24"/>
        </w:rPr>
        <w:t>.1</w:t>
      </w:r>
      <w:r w:rsidR="007655ED" w:rsidRPr="007655ED">
        <w:rPr>
          <w:rFonts w:ascii="Times New Roman" w:eastAsia="Aptos" w:hAnsi="Times New Roman" w:cs="Times New Roman"/>
          <w:b/>
          <w:bCs/>
          <w:kern w:val="2"/>
          <w:sz w:val="24"/>
          <w:szCs w:val="24"/>
          <w14:ligatures w14:val="standardContextual"/>
        </w:rPr>
        <w:t xml:space="preserve"> Konteksti global i ndryshimeve klimatike</w:t>
      </w:r>
    </w:p>
    <w:p w:rsidR="007655ED" w:rsidRPr="007655ED" w:rsidRDefault="007655ED" w:rsidP="009559E2">
      <w:p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 xml:space="preserve">Ndryshimet klimatike përfaqësojnë një nga sfidat më të mëdha globale të shekullit XXI. Sipas Panelit Ndërqeveritar për Ndryshimet Klimatike (IPCC), aktivitetet njerëzore kanë shkaktuar rritjen e temperaturës mesatare globale me rreth </w:t>
      </w:r>
      <w:r w:rsidRPr="007655ED">
        <w:rPr>
          <w:rFonts w:ascii="Times New Roman" w:eastAsia="Aptos" w:hAnsi="Times New Roman" w:cs="Times New Roman"/>
          <w:b/>
          <w:bCs/>
          <w:kern w:val="2"/>
          <w:sz w:val="24"/>
          <w:szCs w:val="24"/>
          <w14:ligatures w14:val="standardContextual"/>
        </w:rPr>
        <w:t>1.0°C krahasuar me periudhën para</w:t>
      </w:r>
      <w:r w:rsidRPr="007655ED">
        <w:rPr>
          <w:rFonts w:ascii="Times New Roman" w:eastAsia="Aptos" w:hAnsi="Times New Roman" w:cs="Times New Roman"/>
          <w:b/>
          <w:bCs/>
          <w:kern w:val="2"/>
          <w:sz w:val="24"/>
          <w:szCs w:val="24"/>
          <w14:ligatures w14:val="standardContextual"/>
        </w:rPr>
        <w:noBreakHyphen/>
        <w:t>industriale</w:t>
      </w:r>
      <w:r w:rsidRPr="007655ED">
        <w:rPr>
          <w:rFonts w:ascii="Times New Roman" w:eastAsia="Aptos" w:hAnsi="Times New Roman" w:cs="Times New Roman"/>
          <w:kern w:val="2"/>
          <w:sz w:val="24"/>
          <w:szCs w:val="24"/>
          <w14:ligatures w14:val="standardContextual"/>
        </w:rPr>
        <w:t xml:space="preserve">, me një interval të mundshëm nga 0.8°C deri në 1.2°C. Nëse trendi aktual i emetimeve vazhdon, ngrohja globale pritet të arrijë </w:t>
      </w:r>
      <w:r w:rsidRPr="007655ED">
        <w:rPr>
          <w:rFonts w:ascii="Times New Roman" w:eastAsia="Aptos" w:hAnsi="Times New Roman" w:cs="Times New Roman"/>
          <w:b/>
          <w:bCs/>
          <w:kern w:val="2"/>
          <w:sz w:val="24"/>
          <w:szCs w:val="24"/>
          <w14:ligatures w14:val="standardContextual"/>
        </w:rPr>
        <w:t>1.5°C në periudhën 2030–2052</w:t>
      </w:r>
      <w:r w:rsidRPr="007655ED">
        <w:rPr>
          <w:rFonts w:ascii="Times New Roman" w:eastAsia="Aptos" w:hAnsi="Times New Roman" w:cs="Times New Roman"/>
          <w:kern w:val="2"/>
          <w:sz w:val="24"/>
          <w:szCs w:val="24"/>
          <w14:ligatures w14:val="standardContextual"/>
        </w:rPr>
        <w:t xml:space="preserve">. </w:t>
      </w:r>
    </w:p>
    <w:p w:rsidR="007655ED" w:rsidRDefault="007655ED" w:rsidP="009559E2">
      <w:p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Kjo rritje temperaturash shoqërohet me:</w:t>
      </w:r>
    </w:p>
    <w:p w:rsidR="009559E2" w:rsidRPr="007655ED" w:rsidRDefault="009559E2" w:rsidP="009559E2">
      <w:pPr>
        <w:spacing w:after="0" w:line="240" w:lineRule="auto"/>
        <w:jc w:val="both"/>
        <w:rPr>
          <w:rFonts w:ascii="Times New Roman" w:eastAsia="Aptos" w:hAnsi="Times New Roman" w:cs="Times New Roman"/>
          <w:kern w:val="2"/>
          <w:sz w:val="24"/>
          <w:szCs w:val="24"/>
          <w14:ligatures w14:val="standardContextual"/>
        </w:rPr>
      </w:pPr>
    </w:p>
    <w:p w:rsidR="007655ED" w:rsidRPr="007655ED" w:rsidRDefault="007655ED" w:rsidP="00807975">
      <w:pPr>
        <w:numPr>
          <w:ilvl w:val="0"/>
          <w:numId w:val="36"/>
        </w:num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shtim të fenomeneve ekstreme klimatike (valë të nxehti, reshje intensive, thatësira);</w:t>
      </w:r>
    </w:p>
    <w:p w:rsidR="007655ED" w:rsidRPr="007655ED" w:rsidRDefault="007655ED" w:rsidP="00807975">
      <w:pPr>
        <w:numPr>
          <w:ilvl w:val="0"/>
          <w:numId w:val="36"/>
        </w:num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rritje të nivelit të detit dhe rreziqe për zonat bregdetare;</w:t>
      </w:r>
    </w:p>
    <w:p w:rsidR="007655ED" w:rsidRPr="007655ED" w:rsidRDefault="007655ED" w:rsidP="00807975">
      <w:pPr>
        <w:numPr>
          <w:ilvl w:val="0"/>
          <w:numId w:val="36"/>
        </w:num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pasoja serioze për biodiversitetin dhe ekosistemet;</w:t>
      </w:r>
    </w:p>
    <w:p w:rsidR="007655ED" w:rsidRPr="007655ED" w:rsidRDefault="007655ED" w:rsidP="00807975">
      <w:pPr>
        <w:numPr>
          <w:ilvl w:val="0"/>
          <w:numId w:val="36"/>
        </w:num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 xml:space="preserve">ndikime në shëndetin publik, sigurinë ushqimore, furnizimin me ujë dhe zhvillimin ekonomik. </w:t>
      </w:r>
    </w:p>
    <w:p w:rsidR="009559E2" w:rsidRDefault="009559E2" w:rsidP="009559E2">
      <w:pPr>
        <w:spacing w:after="0" w:line="240" w:lineRule="auto"/>
        <w:jc w:val="both"/>
        <w:rPr>
          <w:rFonts w:ascii="Times New Roman" w:eastAsia="Aptos" w:hAnsi="Times New Roman" w:cs="Times New Roman"/>
          <w:kern w:val="2"/>
          <w:sz w:val="24"/>
          <w:szCs w:val="24"/>
          <w14:ligatures w14:val="standardContextual"/>
        </w:rPr>
      </w:pPr>
    </w:p>
    <w:p w:rsidR="007655ED" w:rsidRPr="007655ED" w:rsidRDefault="007655ED" w:rsidP="009559E2">
      <w:p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Raporti i gjashtë i IPCC (AR6) thekson se edhe në skenarin optimist të mbajtjes së ngrohjes pranë 1.5°C, disa pasoja janë tashmë të pashmangshme, ndërsa vonesat në veprim do të rrisin ndjeshëm humbjet dhe dëmet.</w:t>
      </w:r>
    </w:p>
    <w:p w:rsidR="007655ED" w:rsidRDefault="007655ED" w:rsidP="009559E2">
      <w:pPr>
        <w:spacing w:after="0" w:line="240" w:lineRule="auto"/>
        <w:rPr>
          <w:rFonts w:ascii="Times New Roman" w:eastAsia="Times New Roman" w:hAnsi="Times New Roman" w:cs="Times New Roman"/>
          <w:sz w:val="24"/>
          <w:szCs w:val="24"/>
          <w:lang w:val="sq-AL"/>
        </w:rPr>
      </w:pPr>
    </w:p>
    <w:p w:rsidR="007655ED" w:rsidRPr="007655ED" w:rsidRDefault="00CB1F77" w:rsidP="007655ED">
      <w:pPr>
        <w:spacing w:line="278" w:lineRule="auto"/>
        <w:jc w:val="both"/>
        <w:rPr>
          <w:rFonts w:ascii="Times New Roman" w:eastAsia="Aptos" w:hAnsi="Times New Roman" w:cs="Times New Roman"/>
          <w:b/>
          <w:bCs/>
          <w:kern w:val="2"/>
          <w:sz w:val="24"/>
          <w:szCs w:val="24"/>
          <w14:ligatures w14:val="standardContextual"/>
        </w:rPr>
      </w:pPr>
      <w:r>
        <w:rPr>
          <w:rFonts w:ascii="Times New Roman" w:eastAsia="Aptos" w:hAnsi="Times New Roman" w:cs="Times New Roman"/>
          <w:b/>
          <w:bCs/>
          <w:kern w:val="2"/>
          <w:sz w:val="24"/>
          <w:szCs w:val="24"/>
          <w14:ligatures w14:val="standardContextual"/>
        </w:rPr>
        <w:t>9</w:t>
      </w:r>
      <w:r w:rsidR="007655ED">
        <w:rPr>
          <w:rFonts w:ascii="Times New Roman" w:eastAsia="Aptos" w:hAnsi="Times New Roman" w:cs="Times New Roman"/>
          <w:b/>
          <w:bCs/>
          <w:kern w:val="2"/>
          <w:sz w:val="24"/>
          <w:szCs w:val="24"/>
          <w14:ligatures w14:val="standardContextual"/>
        </w:rPr>
        <w:t xml:space="preserve">.2 </w:t>
      </w:r>
      <w:r w:rsidR="007655ED" w:rsidRPr="007655ED">
        <w:rPr>
          <w:rFonts w:ascii="Times New Roman" w:eastAsia="Aptos" w:hAnsi="Times New Roman" w:cs="Times New Roman"/>
          <w:b/>
          <w:bCs/>
          <w:kern w:val="2"/>
          <w:sz w:val="24"/>
          <w:szCs w:val="24"/>
          <w14:ligatures w14:val="standardContextual"/>
        </w:rPr>
        <w:t>Kuadri ndërkombëtar për veprim klimatik</w:t>
      </w:r>
    </w:p>
    <w:p w:rsidR="007655ED" w:rsidRPr="007655ED" w:rsidRDefault="007655ED" w:rsidP="007655ED">
      <w:pPr>
        <w:spacing w:line="278"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Përpjekjet globale për adresimin e ndryshimeve klimatike bazohen në tre instrumente kryesore:</w:t>
      </w:r>
    </w:p>
    <w:p w:rsidR="007655ED" w:rsidRDefault="007655ED" w:rsidP="00807975">
      <w:pPr>
        <w:numPr>
          <w:ilvl w:val="0"/>
          <w:numId w:val="37"/>
        </w:num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b/>
          <w:bCs/>
          <w:kern w:val="2"/>
          <w:sz w:val="24"/>
          <w:szCs w:val="24"/>
          <w14:ligatures w14:val="standardContextual"/>
        </w:rPr>
        <w:t>Konventa Kuadër e OKB</w:t>
      </w:r>
      <w:r w:rsidRPr="007655ED">
        <w:rPr>
          <w:rFonts w:ascii="Times New Roman" w:eastAsia="Aptos" w:hAnsi="Times New Roman" w:cs="Times New Roman"/>
          <w:b/>
          <w:bCs/>
          <w:kern w:val="2"/>
          <w:sz w:val="24"/>
          <w:szCs w:val="24"/>
          <w14:ligatures w14:val="standardContextual"/>
        </w:rPr>
        <w:noBreakHyphen/>
        <w:t>së për Ndryshimet Klimatike (UNFCCC)</w:t>
      </w:r>
      <w:r w:rsidRPr="007655ED">
        <w:rPr>
          <w:rFonts w:ascii="Times New Roman" w:eastAsia="Aptos" w:hAnsi="Times New Roman" w:cs="Times New Roman"/>
          <w:kern w:val="2"/>
          <w:sz w:val="24"/>
          <w:szCs w:val="24"/>
          <w14:ligatures w14:val="standardContextual"/>
        </w:rPr>
        <w:t>,</w:t>
      </w:r>
    </w:p>
    <w:p w:rsidR="009559E2" w:rsidRPr="007655ED" w:rsidRDefault="009559E2" w:rsidP="009559E2">
      <w:pPr>
        <w:spacing w:after="0" w:line="240" w:lineRule="auto"/>
        <w:ind w:left="720"/>
        <w:jc w:val="both"/>
        <w:rPr>
          <w:rFonts w:ascii="Times New Roman" w:eastAsia="Aptos" w:hAnsi="Times New Roman" w:cs="Times New Roman"/>
          <w:kern w:val="2"/>
          <w:sz w:val="24"/>
          <w:szCs w:val="24"/>
          <w14:ligatures w14:val="standardContextual"/>
        </w:rPr>
      </w:pPr>
    </w:p>
    <w:p w:rsidR="007655ED" w:rsidRDefault="007655ED" w:rsidP="00807975">
      <w:pPr>
        <w:numPr>
          <w:ilvl w:val="0"/>
          <w:numId w:val="37"/>
        </w:num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b/>
          <w:bCs/>
          <w:kern w:val="2"/>
          <w:sz w:val="24"/>
          <w:szCs w:val="24"/>
          <w14:ligatures w14:val="standardContextual"/>
        </w:rPr>
        <w:t>Protokolli i Kiotos</w:t>
      </w:r>
      <w:r w:rsidRPr="007655ED">
        <w:rPr>
          <w:rFonts w:ascii="Times New Roman" w:eastAsia="Aptos" w:hAnsi="Times New Roman" w:cs="Times New Roman"/>
          <w:kern w:val="2"/>
          <w:sz w:val="24"/>
          <w:szCs w:val="24"/>
          <w14:ligatures w14:val="standardContextual"/>
        </w:rPr>
        <w:t>,</w:t>
      </w:r>
    </w:p>
    <w:p w:rsidR="009559E2" w:rsidRPr="007655ED" w:rsidRDefault="009559E2" w:rsidP="009559E2">
      <w:pPr>
        <w:spacing w:after="0" w:line="240" w:lineRule="auto"/>
        <w:ind w:left="720"/>
        <w:jc w:val="both"/>
        <w:rPr>
          <w:rFonts w:ascii="Times New Roman" w:eastAsia="Aptos" w:hAnsi="Times New Roman" w:cs="Times New Roman"/>
          <w:kern w:val="2"/>
          <w:sz w:val="24"/>
          <w:szCs w:val="24"/>
          <w14:ligatures w14:val="standardContextual"/>
        </w:rPr>
      </w:pPr>
    </w:p>
    <w:p w:rsidR="007655ED" w:rsidRPr="007655ED" w:rsidRDefault="007655ED" w:rsidP="00807975">
      <w:pPr>
        <w:numPr>
          <w:ilvl w:val="0"/>
          <w:numId w:val="37"/>
        </w:num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b/>
          <w:bCs/>
          <w:kern w:val="2"/>
          <w:sz w:val="24"/>
          <w:szCs w:val="24"/>
          <w14:ligatures w14:val="standardContextual"/>
        </w:rPr>
        <w:t>Marrëveshja e Parisit</w:t>
      </w:r>
      <w:r w:rsidRPr="007655ED">
        <w:rPr>
          <w:rFonts w:ascii="Times New Roman" w:eastAsia="Aptos" w:hAnsi="Times New Roman" w:cs="Times New Roman"/>
          <w:kern w:val="2"/>
          <w:sz w:val="24"/>
          <w:szCs w:val="24"/>
          <w14:ligatures w14:val="standardContextual"/>
        </w:rPr>
        <w:t>.</w:t>
      </w:r>
    </w:p>
    <w:p w:rsidR="009559E2" w:rsidRDefault="009559E2" w:rsidP="009559E2">
      <w:pPr>
        <w:spacing w:after="0" w:line="240" w:lineRule="auto"/>
        <w:jc w:val="both"/>
        <w:rPr>
          <w:rFonts w:ascii="Times New Roman" w:eastAsia="Aptos" w:hAnsi="Times New Roman" w:cs="Times New Roman"/>
          <w:kern w:val="2"/>
          <w:sz w:val="24"/>
          <w:szCs w:val="24"/>
          <w14:ligatures w14:val="standardContextual"/>
        </w:rPr>
      </w:pPr>
    </w:p>
    <w:p w:rsidR="007655ED" w:rsidRPr="007655ED" w:rsidRDefault="007655ED" w:rsidP="009559E2">
      <w:p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 xml:space="preserve">Shqipëria është Palë e UNFCCC që prej vitit </w:t>
      </w:r>
      <w:r w:rsidRPr="007655ED">
        <w:rPr>
          <w:rFonts w:ascii="Times New Roman" w:eastAsia="Aptos" w:hAnsi="Times New Roman" w:cs="Times New Roman"/>
          <w:b/>
          <w:bCs/>
          <w:kern w:val="2"/>
          <w:sz w:val="24"/>
          <w:szCs w:val="24"/>
          <w14:ligatures w14:val="standardContextual"/>
        </w:rPr>
        <w:t>1994</w:t>
      </w:r>
      <w:r w:rsidRPr="007655ED">
        <w:rPr>
          <w:rFonts w:ascii="Times New Roman" w:eastAsia="Aptos" w:hAnsi="Times New Roman" w:cs="Times New Roman"/>
          <w:kern w:val="2"/>
          <w:sz w:val="24"/>
          <w:szCs w:val="24"/>
          <w14:ligatures w14:val="standardContextual"/>
        </w:rPr>
        <w:t xml:space="preserve">, ka ratifikuar Protokollin e Kiotos në </w:t>
      </w:r>
      <w:r w:rsidRPr="007655ED">
        <w:rPr>
          <w:rFonts w:ascii="Times New Roman" w:eastAsia="Aptos" w:hAnsi="Times New Roman" w:cs="Times New Roman"/>
          <w:b/>
          <w:bCs/>
          <w:kern w:val="2"/>
          <w:sz w:val="24"/>
          <w:szCs w:val="24"/>
          <w14:ligatures w14:val="standardContextual"/>
        </w:rPr>
        <w:t>2005</w:t>
      </w:r>
      <w:r w:rsidRPr="007655ED">
        <w:rPr>
          <w:rFonts w:ascii="Times New Roman" w:eastAsia="Aptos" w:hAnsi="Times New Roman" w:cs="Times New Roman"/>
          <w:kern w:val="2"/>
          <w:sz w:val="24"/>
          <w:szCs w:val="24"/>
          <w14:ligatures w14:val="standardContextual"/>
        </w:rPr>
        <w:t xml:space="preserve"> dhe Marrëveshjen e Parisit në </w:t>
      </w:r>
      <w:r w:rsidRPr="007655ED">
        <w:rPr>
          <w:rFonts w:ascii="Times New Roman" w:eastAsia="Aptos" w:hAnsi="Times New Roman" w:cs="Times New Roman"/>
          <w:b/>
          <w:bCs/>
          <w:kern w:val="2"/>
          <w:sz w:val="24"/>
          <w:szCs w:val="24"/>
          <w14:ligatures w14:val="standardContextual"/>
        </w:rPr>
        <w:t>2016</w:t>
      </w:r>
      <w:r w:rsidRPr="007655ED">
        <w:rPr>
          <w:rFonts w:ascii="Times New Roman" w:eastAsia="Aptos" w:hAnsi="Times New Roman" w:cs="Times New Roman"/>
          <w:kern w:val="2"/>
          <w:sz w:val="24"/>
          <w:szCs w:val="24"/>
          <w14:ligatures w14:val="standardContextual"/>
        </w:rPr>
        <w:t xml:space="preserve">, duke marrë përsipër detyrimet për raportimin e emetimeve të gazeve serrë dhe ndërmarrjen e masave për zbutje dhe përshtatje ndaj ndryshimeve klimatike. </w:t>
      </w:r>
    </w:p>
    <w:p w:rsidR="007655ED" w:rsidRPr="007655ED" w:rsidRDefault="007655ED" w:rsidP="009559E2">
      <w:pPr>
        <w:spacing w:after="0" w:line="240" w:lineRule="auto"/>
        <w:jc w:val="both"/>
        <w:rPr>
          <w:rFonts w:ascii="Times New Roman" w:eastAsia="Aptos" w:hAnsi="Times New Roman" w:cs="Times New Roman"/>
          <w:kern w:val="2"/>
          <w:sz w:val="24"/>
          <w:szCs w:val="24"/>
          <w14:ligatures w14:val="standardContextual"/>
        </w:rPr>
      </w:pPr>
    </w:p>
    <w:p w:rsidR="007655ED" w:rsidRPr="007655ED" w:rsidRDefault="00CB1F77" w:rsidP="009559E2">
      <w:pPr>
        <w:spacing w:after="0" w:line="240" w:lineRule="auto"/>
        <w:jc w:val="both"/>
        <w:rPr>
          <w:rFonts w:ascii="Times New Roman" w:eastAsia="Aptos" w:hAnsi="Times New Roman" w:cs="Times New Roman"/>
          <w:b/>
          <w:bCs/>
          <w:kern w:val="2"/>
          <w:sz w:val="24"/>
          <w:szCs w:val="24"/>
          <w14:ligatures w14:val="standardContextual"/>
        </w:rPr>
      </w:pPr>
      <w:r>
        <w:rPr>
          <w:rFonts w:ascii="Times New Roman" w:eastAsia="Aptos" w:hAnsi="Times New Roman" w:cs="Times New Roman"/>
          <w:b/>
          <w:bCs/>
          <w:kern w:val="2"/>
          <w:sz w:val="24"/>
          <w:szCs w:val="24"/>
          <w14:ligatures w14:val="standardContextual"/>
        </w:rPr>
        <w:t>9.3</w:t>
      </w:r>
      <w:r w:rsidR="007655ED">
        <w:rPr>
          <w:rFonts w:ascii="Times New Roman" w:eastAsia="Aptos" w:hAnsi="Times New Roman" w:cs="Times New Roman"/>
          <w:b/>
          <w:bCs/>
          <w:kern w:val="2"/>
          <w:sz w:val="24"/>
          <w:szCs w:val="24"/>
          <w14:ligatures w14:val="standardContextual"/>
        </w:rPr>
        <w:t xml:space="preserve"> </w:t>
      </w:r>
      <w:r w:rsidR="007655ED" w:rsidRPr="007655ED">
        <w:rPr>
          <w:rFonts w:ascii="Times New Roman" w:eastAsia="Aptos" w:hAnsi="Times New Roman" w:cs="Times New Roman"/>
          <w:b/>
          <w:bCs/>
          <w:kern w:val="2"/>
          <w:sz w:val="24"/>
          <w:szCs w:val="24"/>
          <w14:ligatures w14:val="standardContextual"/>
        </w:rPr>
        <w:t>Situata e ndryshimeve klimatike në Shqipëri</w:t>
      </w:r>
    </w:p>
    <w:p w:rsidR="007655ED" w:rsidRDefault="007655ED" w:rsidP="009559E2">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val="sq-AL"/>
        </w:rPr>
      </w:pPr>
    </w:p>
    <w:p w:rsidR="007655ED" w:rsidRPr="007655ED" w:rsidRDefault="007655ED" w:rsidP="00807975">
      <w:pPr>
        <w:pStyle w:val="ListParagraph"/>
        <w:numPr>
          <w:ilvl w:val="0"/>
          <w:numId w:val="40"/>
        </w:num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val="sq-AL"/>
        </w:rPr>
      </w:pPr>
      <w:r w:rsidRPr="007655ED">
        <w:rPr>
          <w:rFonts w:ascii="Times New Roman" w:eastAsia="Times New Roman" w:hAnsi="Times New Roman" w:cs="Times New Roman"/>
          <w:b/>
          <w:sz w:val="24"/>
          <w:szCs w:val="24"/>
          <w:lang w:val="sq-AL"/>
        </w:rPr>
        <w:t xml:space="preserve">Klima </w:t>
      </w:r>
    </w:p>
    <w:p w:rsidR="007655ED" w:rsidRDefault="007655ED" w:rsidP="009559E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p>
    <w:p w:rsidR="007655ED" w:rsidRPr="00EA0841" w:rsidRDefault="007655ED" w:rsidP="009559E2">
      <w:pPr>
        <w:spacing w:after="0" w:line="240" w:lineRule="auto"/>
        <w:jc w:val="both"/>
        <w:rPr>
          <w:rFonts w:ascii="Times New Roman" w:hAnsi="Times New Roman" w:cs="Times New Roman"/>
        </w:rPr>
      </w:pPr>
      <w:r>
        <w:rPr>
          <w:rFonts w:ascii="Times New Roman" w:eastAsia="Times New Roman" w:hAnsi="Times New Roman" w:cs="Times New Roman"/>
          <w:sz w:val="24"/>
          <w:szCs w:val="24"/>
          <w:lang w:val="sq-AL"/>
        </w:rPr>
        <w:t xml:space="preserve">Niveli i reshjeve dhe temperatura e ajrit në stacionet e monitoruara nga </w:t>
      </w:r>
      <w:r w:rsidRPr="00EA0841">
        <w:rPr>
          <w:rFonts w:ascii="Times New Roman" w:hAnsi="Times New Roman" w:cs="Times New Roman"/>
        </w:rPr>
        <w:t xml:space="preserve">Instituti </w:t>
      </w:r>
      <w:r>
        <w:rPr>
          <w:rFonts w:ascii="Times New Roman" w:hAnsi="Times New Roman" w:cs="Times New Roman"/>
        </w:rPr>
        <w:t>i</w:t>
      </w:r>
      <w:r w:rsidRPr="00EA0841">
        <w:rPr>
          <w:rFonts w:ascii="Times New Roman" w:hAnsi="Times New Roman" w:cs="Times New Roman"/>
        </w:rPr>
        <w:t xml:space="preserve"> Gjeoshkencave, Energjisë, Ujit dhe Mjedisit</w:t>
      </w:r>
      <w:r w:rsidR="009559E2">
        <w:rPr>
          <w:rFonts w:ascii="Times New Roman" w:hAnsi="Times New Roman" w:cs="Times New Roman"/>
        </w:rPr>
        <w:t>.</w:t>
      </w:r>
    </w:p>
    <w:p w:rsidR="007655ED" w:rsidRDefault="007655ED" w:rsidP="009559E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p>
    <w:p w:rsidR="007655ED" w:rsidRPr="002D5177" w:rsidRDefault="007655ED" w:rsidP="009559E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p>
    <w:tbl>
      <w:tblPr>
        <w:tblW w:w="1089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9"/>
        <w:gridCol w:w="773"/>
        <w:gridCol w:w="748"/>
        <w:gridCol w:w="810"/>
        <w:gridCol w:w="900"/>
        <w:gridCol w:w="900"/>
        <w:gridCol w:w="990"/>
        <w:gridCol w:w="1061"/>
        <w:gridCol w:w="850"/>
        <w:gridCol w:w="1004"/>
        <w:gridCol w:w="955"/>
      </w:tblGrid>
      <w:tr w:rsidR="007655ED" w:rsidRPr="002D5177" w:rsidTr="009559E2">
        <w:trPr>
          <w:trHeight w:val="856"/>
        </w:trPr>
        <w:tc>
          <w:tcPr>
            <w:tcW w:w="1899" w:type="dxa"/>
          </w:tcPr>
          <w:p w:rsidR="007655ED" w:rsidRPr="009559E2" w:rsidRDefault="007655ED" w:rsidP="00061DF1">
            <w:pPr>
              <w:rPr>
                <w:rFonts w:ascii="Times New Roman" w:eastAsia="Calibri" w:hAnsi="Times New Roman" w:cs="Times New Roman"/>
                <w:b/>
              </w:rPr>
            </w:pPr>
            <w:r w:rsidRPr="009559E2">
              <w:rPr>
                <w:rFonts w:ascii="Times New Roman" w:eastAsia="Calibri" w:hAnsi="Times New Roman" w:cs="Times New Roman"/>
                <w:b/>
              </w:rPr>
              <w:lastRenderedPageBreak/>
              <w:t>Vendmatja</w:t>
            </w:r>
          </w:p>
        </w:tc>
        <w:tc>
          <w:tcPr>
            <w:tcW w:w="773" w:type="dxa"/>
          </w:tcPr>
          <w:p w:rsidR="007655ED" w:rsidRPr="009559E2" w:rsidRDefault="007655ED" w:rsidP="00061DF1">
            <w:pPr>
              <w:rPr>
                <w:rFonts w:ascii="Times New Roman" w:eastAsia="Calibri" w:hAnsi="Times New Roman" w:cs="Times New Roman"/>
                <w:b/>
                <w:sz w:val="20"/>
                <w:szCs w:val="20"/>
              </w:rPr>
            </w:pPr>
            <w:r w:rsidRPr="009559E2">
              <w:rPr>
                <w:rFonts w:ascii="Times New Roman" w:eastAsia="Calibri" w:hAnsi="Times New Roman" w:cs="Times New Roman"/>
                <w:b/>
                <w:sz w:val="20"/>
                <w:szCs w:val="20"/>
              </w:rPr>
              <w:t>Belsh</w:t>
            </w:r>
          </w:p>
        </w:tc>
        <w:tc>
          <w:tcPr>
            <w:tcW w:w="748" w:type="dxa"/>
          </w:tcPr>
          <w:p w:rsidR="007655ED" w:rsidRPr="009559E2" w:rsidRDefault="009559E2" w:rsidP="00061DF1">
            <w:pPr>
              <w:rPr>
                <w:rFonts w:ascii="Times New Roman" w:eastAsia="Calibri" w:hAnsi="Times New Roman" w:cs="Times New Roman"/>
                <w:b/>
                <w:sz w:val="20"/>
                <w:szCs w:val="20"/>
              </w:rPr>
            </w:pPr>
            <w:r>
              <w:rPr>
                <w:rFonts w:ascii="Times New Roman" w:eastAsia="Calibri" w:hAnsi="Times New Roman" w:cs="Times New Roman"/>
                <w:b/>
                <w:sz w:val="20"/>
                <w:szCs w:val="20"/>
              </w:rPr>
              <w:t>Korçë</w:t>
            </w:r>
          </w:p>
        </w:tc>
        <w:tc>
          <w:tcPr>
            <w:tcW w:w="810" w:type="dxa"/>
          </w:tcPr>
          <w:p w:rsidR="007655ED" w:rsidRPr="009559E2" w:rsidRDefault="007655ED" w:rsidP="00061DF1">
            <w:pPr>
              <w:rPr>
                <w:rFonts w:ascii="Times New Roman" w:eastAsia="Calibri" w:hAnsi="Times New Roman" w:cs="Times New Roman"/>
                <w:b/>
                <w:sz w:val="20"/>
                <w:szCs w:val="20"/>
              </w:rPr>
            </w:pPr>
            <w:r w:rsidRPr="009559E2">
              <w:rPr>
                <w:rFonts w:ascii="Times New Roman" w:eastAsia="Calibri" w:hAnsi="Times New Roman" w:cs="Times New Roman"/>
                <w:b/>
                <w:sz w:val="20"/>
                <w:szCs w:val="20"/>
              </w:rPr>
              <w:t>Gojan</w:t>
            </w:r>
          </w:p>
        </w:tc>
        <w:tc>
          <w:tcPr>
            <w:tcW w:w="900" w:type="dxa"/>
          </w:tcPr>
          <w:p w:rsidR="007655ED" w:rsidRPr="009559E2" w:rsidRDefault="009559E2" w:rsidP="00061DF1">
            <w:pPr>
              <w:rPr>
                <w:rFonts w:ascii="Times New Roman" w:eastAsia="Calibri" w:hAnsi="Times New Roman" w:cs="Times New Roman"/>
                <w:b/>
                <w:sz w:val="20"/>
                <w:szCs w:val="20"/>
              </w:rPr>
            </w:pPr>
            <w:r>
              <w:rPr>
                <w:rFonts w:ascii="Times New Roman" w:eastAsia="Calibri" w:hAnsi="Times New Roman" w:cs="Times New Roman"/>
                <w:b/>
                <w:sz w:val="20"/>
                <w:szCs w:val="20"/>
              </w:rPr>
              <w:t>Durrë</w:t>
            </w:r>
            <w:r w:rsidR="007655ED" w:rsidRPr="009559E2">
              <w:rPr>
                <w:rFonts w:ascii="Times New Roman" w:eastAsia="Calibri" w:hAnsi="Times New Roman" w:cs="Times New Roman"/>
                <w:b/>
                <w:sz w:val="20"/>
                <w:szCs w:val="20"/>
              </w:rPr>
              <w:t>s</w:t>
            </w:r>
          </w:p>
        </w:tc>
        <w:tc>
          <w:tcPr>
            <w:tcW w:w="900" w:type="dxa"/>
          </w:tcPr>
          <w:p w:rsidR="007655ED" w:rsidRPr="009559E2" w:rsidRDefault="007655ED" w:rsidP="00061DF1">
            <w:pPr>
              <w:rPr>
                <w:rFonts w:ascii="Times New Roman" w:eastAsia="Calibri" w:hAnsi="Times New Roman" w:cs="Times New Roman"/>
                <w:b/>
                <w:sz w:val="20"/>
                <w:szCs w:val="20"/>
              </w:rPr>
            </w:pPr>
            <w:r w:rsidRPr="009559E2">
              <w:rPr>
                <w:rFonts w:ascii="Times New Roman" w:eastAsia="Calibri" w:hAnsi="Times New Roman" w:cs="Times New Roman"/>
                <w:b/>
                <w:sz w:val="20"/>
                <w:szCs w:val="20"/>
              </w:rPr>
              <w:t>Klos</w:t>
            </w:r>
          </w:p>
        </w:tc>
        <w:tc>
          <w:tcPr>
            <w:tcW w:w="990" w:type="dxa"/>
          </w:tcPr>
          <w:p w:rsidR="007655ED" w:rsidRPr="009559E2" w:rsidRDefault="007655ED" w:rsidP="00061DF1">
            <w:pPr>
              <w:rPr>
                <w:rFonts w:ascii="Times New Roman" w:eastAsia="Calibri" w:hAnsi="Times New Roman" w:cs="Times New Roman"/>
                <w:b/>
                <w:sz w:val="20"/>
                <w:szCs w:val="20"/>
              </w:rPr>
            </w:pPr>
            <w:r w:rsidRPr="009559E2">
              <w:rPr>
                <w:rFonts w:ascii="Times New Roman" w:eastAsia="Calibri" w:hAnsi="Times New Roman" w:cs="Times New Roman"/>
                <w:b/>
                <w:sz w:val="20"/>
                <w:szCs w:val="20"/>
              </w:rPr>
              <w:t>Orikum</w:t>
            </w:r>
          </w:p>
        </w:tc>
        <w:tc>
          <w:tcPr>
            <w:tcW w:w="1061" w:type="dxa"/>
          </w:tcPr>
          <w:p w:rsidR="007655ED" w:rsidRPr="009559E2" w:rsidRDefault="007655ED" w:rsidP="00061DF1">
            <w:pPr>
              <w:rPr>
                <w:rFonts w:ascii="Times New Roman" w:eastAsia="Calibri" w:hAnsi="Times New Roman" w:cs="Times New Roman"/>
                <w:b/>
                <w:sz w:val="20"/>
                <w:szCs w:val="20"/>
              </w:rPr>
            </w:pPr>
            <w:r w:rsidRPr="009559E2">
              <w:rPr>
                <w:rFonts w:ascii="Times New Roman" w:eastAsia="Calibri" w:hAnsi="Times New Roman" w:cs="Times New Roman"/>
                <w:b/>
                <w:sz w:val="20"/>
                <w:szCs w:val="20"/>
              </w:rPr>
              <w:t>Konispol</w:t>
            </w:r>
          </w:p>
        </w:tc>
        <w:tc>
          <w:tcPr>
            <w:tcW w:w="850" w:type="dxa"/>
          </w:tcPr>
          <w:p w:rsidR="007655ED" w:rsidRPr="009559E2" w:rsidRDefault="007655ED" w:rsidP="00061DF1">
            <w:pPr>
              <w:rPr>
                <w:rFonts w:ascii="Times New Roman" w:eastAsia="Calibri" w:hAnsi="Times New Roman" w:cs="Times New Roman"/>
                <w:b/>
                <w:sz w:val="20"/>
                <w:szCs w:val="20"/>
              </w:rPr>
            </w:pPr>
            <w:r w:rsidRPr="009559E2">
              <w:rPr>
                <w:rFonts w:ascii="Times New Roman" w:eastAsia="Calibri" w:hAnsi="Times New Roman" w:cs="Times New Roman"/>
                <w:b/>
                <w:sz w:val="20"/>
                <w:szCs w:val="20"/>
              </w:rPr>
              <w:t>Kuc</w:t>
            </w:r>
          </w:p>
        </w:tc>
        <w:tc>
          <w:tcPr>
            <w:tcW w:w="1004" w:type="dxa"/>
          </w:tcPr>
          <w:p w:rsidR="007655ED" w:rsidRPr="009559E2" w:rsidRDefault="007655ED" w:rsidP="00061DF1">
            <w:pPr>
              <w:rPr>
                <w:rFonts w:ascii="Times New Roman" w:eastAsia="Calibri" w:hAnsi="Times New Roman" w:cs="Times New Roman"/>
                <w:b/>
                <w:sz w:val="20"/>
                <w:szCs w:val="20"/>
              </w:rPr>
            </w:pPr>
            <w:r w:rsidRPr="009559E2">
              <w:rPr>
                <w:rFonts w:ascii="Times New Roman" w:eastAsia="Calibri" w:hAnsi="Times New Roman" w:cs="Times New Roman"/>
                <w:b/>
                <w:sz w:val="20"/>
                <w:szCs w:val="20"/>
              </w:rPr>
              <w:t>Koplik</w:t>
            </w:r>
          </w:p>
        </w:tc>
        <w:tc>
          <w:tcPr>
            <w:tcW w:w="955" w:type="dxa"/>
          </w:tcPr>
          <w:p w:rsidR="007655ED" w:rsidRPr="009559E2" w:rsidRDefault="007655ED" w:rsidP="00061DF1">
            <w:pPr>
              <w:rPr>
                <w:rFonts w:ascii="Times New Roman" w:eastAsia="Calibri" w:hAnsi="Times New Roman" w:cs="Times New Roman"/>
                <w:b/>
                <w:sz w:val="20"/>
                <w:szCs w:val="20"/>
              </w:rPr>
            </w:pPr>
            <w:r w:rsidRPr="009559E2">
              <w:rPr>
                <w:rFonts w:ascii="Times New Roman" w:eastAsia="Calibri" w:hAnsi="Times New Roman" w:cs="Times New Roman"/>
                <w:b/>
                <w:sz w:val="20"/>
                <w:szCs w:val="20"/>
              </w:rPr>
              <w:t>Pustec</w:t>
            </w:r>
          </w:p>
        </w:tc>
      </w:tr>
      <w:tr w:rsidR="007655ED" w:rsidRPr="002D5177" w:rsidTr="009559E2">
        <w:trPr>
          <w:trHeight w:val="856"/>
        </w:trPr>
        <w:tc>
          <w:tcPr>
            <w:tcW w:w="1899" w:type="dxa"/>
          </w:tcPr>
          <w:p w:rsidR="007655ED" w:rsidRPr="009559E2" w:rsidRDefault="007655ED" w:rsidP="00061DF1">
            <w:pPr>
              <w:jc w:val="center"/>
              <w:rPr>
                <w:rFonts w:ascii="Times New Roman" w:eastAsia="Calibri" w:hAnsi="Times New Roman" w:cs="Times New Roman"/>
                <w:b/>
              </w:rPr>
            </w:pPr>
            <w:r w:rsidRPr="009559E2">
              <w:rPr>
                <w:rFonts w:ascii="Times New Roman" w:eastAsia="Calibri" w:hAnsi="Times New Roman" w:cs="Times New Roman"/>
                <w:b/>
              </w:rPr>
              <w:t>Reshjet vjetore në mm</w:t>
            </w:r>
          </w:p>
        </w:tc>
        <w:tc>
          <w:tcPr>
            <w:tcW w:w="773"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958.1</w:t>
            </w:r>
          </w:p>
        </w:tc>
        <w:tc>
          <w:tcPr>
            <w:tcW w:w="748"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631.9</w:t>
            </w:r>
          </w:p>
        </w:tc>
        <w:tc>
          <w:tcPr>
            <w:tcW w:w="810"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158.5</w:t>
            </w:r>
          </w:p>
        </w:tc>
        <w:tc>
          <w:tcPr>
            <w:tcW w:w="900"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1491.3</w:t>
            </w:r>
          </w:p>
        </w:tc>
        <w:tc>
          <w:tcPr>
            <w:tcW w:w="900"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1168.6</w:t>
            </w:r>
          </w:p>
        </w:tc>
        <w:tc>
          <w:tcPr>
            <w:tcW w:w="990"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1381.0</w:t>
            </w:r>
          </w:p>
        </w:tc>
        <w:tc>
          <w:tcPr>
            <w:tcW w:w="1061"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1470.0</w:t>
            </w:r>
          </w:p>
        </w:tc>
        <w:tc>
          <w:tcPr>
            <w:tcW w:w="850"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2867.9</w:t>
            </w:r>
          </w:p>
        </w:tc>
        <w:tc>
          <w:tcPr>
            <w:tcW w:w="1004"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1375.5</w:t>
            </w:r>
          </w:p>
        </w:tc>
        <w:tc>
          <w:tcPr>
            <w:tcW w:w="955"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858.1</w:t>
            </w:r>
          </w:p>
        </w:tc>
      </w:tr>
      <w:tr w:rsidR="007655ED" w:rsidRPr="002D5177" w:rsidTr="009559E2">
        <w:trPr>
          <w:trHeight w:val="856"/>
        </w:trPr>
        <w:tc>
          <w:tcPr>
            <w:tcW w:w="1899" w:type="dxa"/>
          </w:tcPr>
          <w:p w:rsidR="007655ED" w:rsidRPr="009559E2" w:rsidRDefault="007655ED" w:rsidP="00061DF1">
            <w:pPr>
              <w:jc w:val="center"/>
              <w:rPr>
                <w:rFonts w:ascii="Times New Roman" w:eastAsia="Calibri" w:hAnsi="Times New Roman" w:cs="Times New Roman"/>
                <w:b/>
              </w:rPr>
            </w:pPr>
            <w:r w:rsidRPr="009559E2">
              <w:rPr>
                <w:rFonts w:ascii="Times New Roman" w:eastAsia="Calibri" w:hAnsi="Times New Roman" w:cs="Times New Roman"/>
                <w:b/>
              </w:rPr>
              <w:t>Temperatura vjetore e ajrit në gradë celsius</w:t>
            </w:r>
          </w:p>
        </w:tc>
        <w:tc>
          <w:tcPr>
            <w:tcW w:w="773" w:type="dxa"/>
          </w:tcPr>
          <w:p w:rsidR="007655ED" w:rsidRPr="00EA0841" w:rsidRDefault="007655ED" w:rsidP="00061DF1">
            <w:pPr>
              <w:jc w:val="center"/>
              <w:rPr>
                <w:rFonts w:ascii="Times New Roman" w:eastAsia="Calibri" w:hAnsi="Times New Roman" w:cs="Times New Roman"/>
              </w:rPr>
            </w:pPr>
            <w:r w:rsidRPr="00EA0841">
              <w:rPr>
                <w:rFonts w:ascii="Times New Roman" w:eastAsia="Calibri" w:hAnsi="Times New Roman" w:cs="Times New Roman"/>
              </w:rPr>
              <w:t>17.1</w:t>
            </w:r>
          </w:p>
        </w:tc>
        <w:tc>
          <w:tcPr>
            <w:tcW w:w="748"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13.4</w:t>
            </w:r>
          </w:p>
        </w:tc>
        <w:tc>
          <w:tcPr>
            <w:tcW w:w="810"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15.5</w:t>
            </w:r>
          </w:p>
        </w:tc>
        <w:tc>
          <w:tcPr>
            <w:tcW w:w="900"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17.9</w:t>
            </w:r>
          </w:p>
        </w:tc>
        <w:tc>
          <w:tcPr>
            <w:tcW w:w="900"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15.7</w:t>
            </w:r>
          </w:p>
        </w:tc>
        <w:tc>
          <w:tcPr>
            <w:tcW w:w="990"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17.2</w:t>
            </w:r>
          </w:p>
        </w:tc>
        <w:tc>
          <w:tcPr>
            <w:tcW w:w="1061"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17.7</w:t>
            </w:r>
          </w:p>
        </w:tc>
        <w:tc>
          <w:tcPr>
            <w:tcW w:w="850"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13.8</w:t>
            </w:r>
          </w:p>
        </w:tc>
        <w:tc>
          <w:tcPr>
            <w:tcW w:w="1004"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17.2</w:t>
            </w:r>
          </w:p>
        </w:tc>
        <w:tc>
          <w:tcPr>
            <w:tcW w:w="955" w:type="dxa"/>
          </w:tcPr>
          <w:p w:rsidR="007655ED" w:rsidRPr="00EA0841" w:rsidRDefault="007655ED" w:rsidP="00061DF1">
            <w:pPr>
              <w:rPr>
                <w:rFonts w:ascii="Times New Roman" w:eastAsia="Calibri" w:hAnsi="Times New Roman" w:cs="Times New Roman"/>
              </w:rPr>
            </w:pPr>
            <w:r w:rsidRPr="00EA0841">
              <w:rPr>
                <w:rFonts w:ascii="Times New Roman" w:eastAsia="Calibri" w:hAnsi="Times New Roman" w:cs="Times New Roman"/>
              </w:rPr>
              <w:t>13.1</w:t>
            </w:r>
          </w:p>
        </w:tc>
      </w:tr>
    </w:tbl>
    <w:p w:rsidR="007655ED" w:rsidRPr="00EA0841" w:rsidRDefault="007655ED" w:rsidP="007655ED">
      <w:pPr>
        <w:rPr>
          <w:rFonts w:ascii="Times New Roman" w:hAnsi="Times New Roman" w:cs="Times New Roman"/>
        </w:rPr>
      </w:pPr>
      <w:r w:rsidRPr="00EA0841">
        <w:rPr>
          <w:rFonts w:ascii="Times New Roman" w:hAnsi="Times New Roman" w:cs="Times New Roman"/>
        </w:rPr>
        <w:t xml:space="preserve">Burimi: Instituti </w:t>
      </w:r>
      <w:r>
        <w:rPr>
          <w:rFonts w:ascii="Times New Roman" w:hAnsi="Times New Roman" w:cs="Times New Roman"/>
        </w:rPr>
        <w:t>i</w:t>
      </w:r>
      <w:r w:rsidRPr="00EA0841">
        <w:rPr>
          <w:rFonts w:ascii="Times New Roman" w:hAnsi="Times New Roman" w:cs="Times New Roman"/>
        </w:rPr>
        <w:t xml:space="preserve"> Gjeoshkencave, Energjisë, Ujit dhe Mjedisit</w:t>
      </w:r>
    </w:p>
    <w:p w:rsidR="007655ED" w:rsidRDefault="007655ED" w:rsidP="007655ED">
      <w:pPr>
        <w:spacing w:after="0" w:line="240" w:lineRule="auto"/>
        <w:jc w:val="both"/>
        <w:textAlignment w:val="baseline"/>
        <w:rPr>
          <w:rFonts w:ascii="Times New Roman" w:eastAsia="Times New Roman" w:hAnsi="Times New Roman" w:cs="Times New Roman"/>
          <w:b/>
          <w:color w:val="000000"/>
          <w:sz w:val="24"/>
          <w:szCs w:val="24"/>
          <w:u w:color="000000"/>
          <w:bdr w:val="none" w:sz="0" w:space="0" w:color="auto" w:frame="1"/>
        </w:rPr>
      </w:pPr>
    </w:p>
    <w:p w:rsidR="007655ED" w:rsidRPr="009559E2" w:rsidRDefault="007655ED" w:rsidP="00807975">
      <w:pPr>
        <w:pStyle w:val="ListParagraph"/>
        <w:numPr>
          <w:ilvl w:val="0"/>
          <w:numId w:val="41"/>
        </w:numPr>
        <w:spacing w:after="0" w:line="240" w:lineRule="auto"/>
        <w:jc w:val="both"/>
        <w:textAlignment w:val="baseline"/>
        <w:rPr>
          <w:rFonts w:ascii="Times New Roman" w:eastAsia="Times New Roman" w:hAnsi="Times New Roman" w:cs="Times New Roman"/>
          <w:b/>
          <w:color w:val="000000"/>
          <w:sz w:val="24"/>
          <w:szCs w:val="24"/>
          <w:u w:color="000000"/>
          <w:bdr w:val="none" w:sz="0" w:space="0" w:color="auto" w:frame="1"/>
        </w:rPr>
      </w:pPr>
      <w:r w:rsidRPr="009559E2">
        <w:rPr>
          <w:rFonts w:ascii="Times New Roman" w:eastAsia="Times New Roman" w:hAnsi="Times New Roman" w:cs="Times New Roman"/>
          <w:b/>
          <w:color w:val="000000"/>
          <w:sz w:val="24"/>
          <w:szCs w:val="24"/>
          <w:u w:color="000000"/>
          <w:bdr w:val="none" w:sz="0" w:space="0" w:color="auto" w:frame="1"/>
        </w:rPr>
        <w:t>Substancat ozonholluese</w:t>
      </w:r>
    </w:p>
    <w:p w:rsidR="007655ED" w:rsidRDefault="007655ED" w:rsidP="007655ED">
      <w:pPr>
        <w:spacing w:after="0" w:line="240" w:lineRule="auto"/>
        <w:jc w:val="both"/>
        <w:textAlignment w:val="baseline"/>
        <w:rPr>
          <w:rFonts w:ascii="Times New Roman" w:eastAsia="Times New Roman" w:hAnsi="Times New Roman" w:cs="Times New Roman"/>
          <w:color w:val="000000"/>
          <w:sz w:val="24"/>
          <w:szCs w:val="24"/>
          <w:u w:color="000000"/>
          <w:bdr w:val="none" w:sz="0" w:space="0" w:color="auto" w:frame="1"/>
        </w:rPr>
      </w:pPr>
    </w:p>
    <w:p w:rsidR="007655ED" w:rsidRPr="00EA0841" w:rsidRDefault="007655ED" w:rsidP="007655ED">
      <w:pPr>
        <w:spacing w:after="0" w:line="240" w:lineRule="auto"/>
        <w:jc w:val="both"/>
        <w:textAlignment w:val="baseline"/>
        <w:rPr>
          <w:rFonts w:ascii="Times New Roman" w:eastAsia="Times New Roman" w:hAnsi="Times New Roman" w:cs="Times New Roman"/>
          <w:color w:val="000000"/>
          <w:sz w:val="24"/>
          <w:szCs w:val="24"/>
          <w:u w:color="000000"/>
        </w:rPr>
      </w:pPr>
      <w:r w:rsidRPr="00EA0841">
        <w:rPr>
          <w:rFonts w:ascii="Times New Roman" w:eastAsia="Times New Roman" w:hAnsi="Times New Roman" w:cs="Times New Roman"/>
          <w:color w:val="000000"/>
          <w:sz w:val="24"/>
          <w:szCs w:val="24"/>
          <w:u w:color="000000"/>
          <w:bdr w:val="none" w:sz="0" w:space="0" w:color="auto" w:frame="1"/>
        </w:rPr>
        <w:t>Bazuar në raportimet e subjekteve të autorizuar me kuotë vjetore importi për vitet</w:t>
      </w:r>
      <w:r w:rsidRPr="00EA0841">
        <w:rPr>
          <w:rFonts w:ascii="Times New Roman" w:eastAsia="Times New Roman" w:hAnsi="Times New Roman" w:cs="Times New Roman"/>
          <w:b/>
          <w:bCs/>
          <w:color w:val="000000"/>
          <w:sz w:val="24"/>
          <w:szCs w:val="24"/>
          <w:u w:color="000000"/>
          <w:bdr w:val="none" w:sz="0" w:space="0" w:color="auto" w:frame="1"/>
        </w:rPr>
        <w:t> 2023-2024,</w:t>
      </w:r>
      <w:r w:rsidRPr="00EA0841">
        <w:rPr>
          <w:rFonts w:ascii="Times New Roman" w:eastAsia="Times New Roman" w:hAnsi="Times New Roman" w:cs="Times New Roman"/>
          <w:color w:val="000000"/>
          <w:sz w:val="24"/>
          <w:szCs w:val="24"/>
          <w:u w:color="000000"/>
          <w:bdr w:val="none" w:sz="0" w:space="0" w:color="auto" w:frame="1"/>
        </w:rPr>
        <w:t> </w:t>
      </w:r>
      <w:r w:rsidRPr="00EA0841">
        <w:rPr>
          <w:rFonts w:ascii="Times New Roman" w:eastAsia="Times New Roman" w:hAnsi="Times New Roman" w:cs="Times New Roman"/>
          <w:color w:val="000000"/>
          <w:sz w:val="24"/>
          <w:szCs w:val="24"/>
          <w:u w:color="000000"/>
        </w:rPr>
        <w:t>sasia totale vjetore e importuar e substancave të kontrolluara </w:t>
      </w:r>
      <w:r w:rsidR="00876BC2">
        <w:rPr>
          <w:rFonts w:ascii="Times New Roman" w:eastAsia="Times New Roman" w:hAnsi="Times New Roman" w:cs="Times New Roman"/>
          <w:color w:val="000000"/>
          <w:sz w:val="24"/>
          <w:szCs w:val="24"/>
          <w:u w:color="000000"/>
          <w:bdr w:val="none" w:sz="0" w:space="0" w:color="auto" w:frame="1"/>
        </w:rPr>
        <w:t>ozonholluese</w:t>
      </w:r>
      <w:r w:rsidRPr="00EA0841">
        <w:rPr>
          <w:rFonts w:ascii="Times New Roman" w:eastAsia="Times New Roman" w:hAnsi="Times New Roman" w:cs="Times New Roman"/>
          <w:color w:val="000000"/>
          <w:sz w:val="24"/>
          <w:szCs w:val="24"/>
          <w:u w:color="000000"/>
          <w:bdr w:val="none" w:sz="0" w:space="0" w:color="auto" w:frame="1"/>
        </w:rPr>
        <w:t>, </w:t>
      </w:r>
      <w:r w:rsidRPr="00EA0841">
        <w:rPr>
          <w:rFonts w:ascii="Times New Roman" w:eastAsia="Times New Roman" w:hAnsi="Times New Roman" w:cs="Times New Roman"/>
          <w:color w:val="000000"/>
          <w:sz w:val="24"/>
          <w:szCs w:val="24"/>
          <w:u w:color="000000"/>
        </w:rPr>
        <w:t>ka qënë si më poshtë: </w:t>
      </w:r>
    </w:p>
    <w:p w:rsidR="007655ED" w:rsidRPr="00EA0841" w:rsidRDefault="007655ED" w:rsidP="007655ED">
      <w:pPr>
        <w:spacing w:after="0" w:line="240" w:lineRule="auto"/>
        <w:jc w:val="both"/>
        <w:textAlignment w:val="baseline"/>
        <w:rPr>
          <w:rFonts w:ascii="Times New Roman" w:eastAsia="Times New Roman" w:hAnsi="Times New Roman" w:cs="Times New Roman"/>
          <w:color w:val="000000"/>
          <w:sz w:val="24"/>
          <w:szCs w:val="24"/>
          <w:u w:color="000000"/>
        </w:rPr>
      </w:pPr>
    </w:p>
    <w:p w:rsidR="007655ED" w:rsidRPr="00EA0841" w:rsidRDefault="007655ED" w:rsidP="007655ED">
      <w:pPr>
        <w:spacing w:after="0" w:line="240" w:lineRule="auto"/>
        <w:jc w:val="both"/>
        <w:textAlignment w:val="baseline"/>
        <w:rPr>
          <w:rFonts w:ascii="Times New Roman" w:eastAsia="Times New Roman" w:hAnsi="Times New Roman" w:cs="Times New Roman"/>
          <w:color w:val="000000"/>
          <w:sz w:val="24"/>
          <w:szCs w:val="24"/>
          <w:u w:color="000000"/>
        </w:rPr>
      </w:pPr>
      <w:r w:rsidRPr="00EA0841">
        <w:rPr>
          <w:rFonts w:ascii="Times New Roman" w:eastAsia="Times New Roman" w:hAnsi="Times New Roman" w:cs="Times New Roman"/>
          <w:color w:val="000000"/>
          <w:sz w:val="24"/>
          <w:szCs w:val="24"/>
          <w:u w:color="000000"/>
        </w:rPr>
        <w:t>Për vitin </w:t>
      </w:r>
      <w:r w:rsidRPr="00EA0841">
        <w:rPr>
          <w:rFonts w:ascii="Times New Roman" w:eastAsia="Times New Roman" w:hAnsi="Times New Roman" w:cs="Times New Roman"/>
          <w:b/>
          <w:bCs/>
          <w:color w:val="000000"/>
          <w:sz w:val="24"/>
          <w:szCs w:val="24"/>
          <w:u w:color="000000"/>
        </w:rPr>
        <w:t>2023</w:t>
      </w:r>
      <w:r w:rsidRPr="00EA0841">
        <w:rPr>
          <w:rFonts w:ascii="Times New Roman" w:eastAsia="Times New Roman" w:hAnsi="Times New Roman" w:cs="Times New Roman"/>
          <w:color w:val="000000"/>
          <w:sz w:val="24"/>
          <w:szCs w:val="24"/>
          <w:u w:color="000000"/>
        </w:rPr>
        <w:t>: sasia e importuar ka qënë </w:t>
      </w:r>
      <w:r w:rsidRPr="00EA0841">
        <w:rPr>
          <w:rFonts w:ascii="Times New Roman" w:eastAsia="Times New Roman" w:hAnsi="Times New Roman" w:cs="Times New Roman"/>
          <w:b/>
          <w:bCs/>
          <w:color w:val="000000"/>
          <w:sz w:val="24"/>
          <w:szCs w:val="24"/>
          <w:u w:val="single" w:color="000000"/>
        </w:rPr>
        <w:t>39,490.48 kg</w:t>
      </w:r>
      <w:r w:rsidRPr="00EA0841">
        <w:rPr>
          <w:rFonts w:ascii="Times New Roman" w:eastAsia="Times New Roman" w:hAnsi="Times New Roman" w:cs="Times New Roman"/>
          <w:color w:val="000000"/>
          <w:sz w:val="24"/>
          <w:szCs w:val="24"/>
          <w:u w:val="single" w:color="000000"/>
        </w:rPr>
        <w:t>. </w:t>
      </w:r>
      <w:r w:rsidR="00876BC2">
        <w:rPr>
          <w:rFonts w:ascii="Times New Roman" w:eastAsia="Times New Roman" w:hAnsi="Times New Roman" w:cs="Times New Roman"/>
          <w:color w:val="000000"/>
          <w:sz w:val="24"/>
          <w:szCs w:val="24"/>
          <w:u w:color="000000"/>
        </w:rPr>
        <w:t>Sasia maks</w:t>
      </w:r>
      <w:r w:rsidRPr="00EA0841">
        <w:rPr>
          <w:rFonts w:ascii="Times New Roman" w:eastAsia="Times New Roman" w:hAnsi="Times New Roman" w:cs="Times New Roman"/>
          <w:color w:val="000000"/>
          <w:sz w:val="24"/>
          <w:szCs w:val="24"/>
          <w:u w:color="000000"/>
        </w:rPr>
        <w:t>imale e lejuar ishte </w:t>
      </w:r>
      <w:r w:rsidRPr="00EA0841">
        <w:rPr>
          <w:rFonts w:ascii="Times New Roman" w:eastAsia="Times New Roman" w:hAnsi="Times New Roman" w:cs="Times New Roman"/>
          <w:b/>
          <w:bCs/>
          <w:color w:val="000000"/>
          <w:sz w:val="24"/>
          <w:szCs w:val="24"/>
          <w:u w:color="000000"/>
        </w:rPr>
        <w:t>50 Ton</w:t>
      </w:r>
      <w:r w:rsidRPr="00EA0841">
        <w:rPr>
          <w:rFonts w:ascii="Times New Roman" w:eastAsia="Times New Roman" w:hAnsi="Times New Roman" w:cs="Times New Roman"/>
          <w:color w:val="000000"/>
          <w:sz w:val="24"/>
          <w:szCs w:val="24"/>
          <w:u w:color="000000"/>
        </w:rPr>
        <w:t> (50 000 kg). </w:t>
      </w:r>
    </w:p>
    <w:p w:rsidR="007655ED" w:rsidRPr="00EA0841" w:rsidRDefault="007655ED" w:rsidP="007655ED">
      <w:pPr>
        <w:spacing w:after="0" w:line="240" w:lineRule="auto"/>
        <w:jc w:val="both"/>
        <w:textAlignment w:val="baseline"/>
        <w:rPr>
          <w:rFonts w:ascii="Times New Roman" w:eastAsia="Times New Roman" w:hAnsi="Times New Roman" w:cs="Times New Roman"/>
          <w:color w:val="000000"/>
          <w:sz w:val="24"/>
          <w:szCs w:val="24"/>
          <w:u w:color="000000"/>
        </w:rPr>
      </w:pPr>
    </w:p>
    <w:p w:rsidR="007655ED" w:rsidRPr="00EA0841" w:rsidRDefault="007655ED" w:rsidP="007655ED">
      <w:pPr>
        <w:spacing w:after="0" w:line="240" w:lineRule="auto"/>
        <w:jc w:val="both"/>
        <w:textAlignment w:val="baseline"/>
        <w:rPr>
          <w:rFonts w:ascii="Times New Roman" w:eastAsia="Times New Roman" w:hAnsi="Times New Roman" w:cs="Times New Roman"/>
          <w:color w:val="000000"/>
          <w:sz w:val="24"/>
          <w:szCs w:val="24"/>
          <w:u w:color="000000"/>
        </w:rPr>
      </w:pPr>
      <w:r w:rsidRPr="00EA0841">
        <w:rPr>
          <w:rFonts w:ascii="Times New Roman" w:eastAsia="Times New Roman" w:hAnsi="Times New Roman" w:cs="Times New Roman"/>
          <w:color w:val="000000"/>
          <w:sz w:val="24"/>
          <w:szCs w:val="24"/>
          <w:u w:color="000000"/>
        </w:rPr>
        <w:t>Për vitin </w:t>
      </w:r>
      <w:r w:rsidRPr="00EA0841">
        <w:rPr>
          <w:rFonts w:ascii="Times New Roman" w:eastAsia="Times New Roman" w:hAnsi="Times New Roman" w:cs="Times New Roman"/>
          <w:b/>
          <w:bCs/>
          <w:color w:val="000000"/>
          <w:sz w:val="24"/>
          <w:szCs w:val="24"/>
          <w:u w:color="000000"/>
        </w:rPr>
        <w:t>2024</w:t>
      </w:r>
      <w:r w:rsidRPr="00EA0841">
        <w:rPr>
          <w:rFonts w:ascii="Times New Roman" w:eastAsia="Times New Roman" w:hAnsi="Times New Roman" w:cs="Times New Roman"/>
          <w:color w:val="000000"/>
          <w:sz w:val="24"/>
          <w:szCs w:val="24"/>
          <w:u w:color="000000"/>
        </w:rPr>
        <w:t>: sasia e importuar ka qënë </w:t>
      </w:r>
      <w:r w:rsidRPr="00EA0841">
        <w:rPr>
          <w:rFonts w:ascii="Times New Roman" w:eastAsia="Times New Roman" w:hAnsi="Times New Roman" w:cs="Times New Roman"/>
          <w:b/>
          <w:bCs/>
          <w:color w:val="000000"/>
          <w:sz w:val="24"/>
          <w:szCs w:val="24"/>
          <w:u w:val="single" w:color="000000"/>
        </w:rPr>
        <w:t>44,961.6 kg</w:t>
      </w:r>
      <w:r w:rsidRPr="00EA0841">
        <w:rPr>
          <w:rFonts w:ascii="Times New Roman" w:eastAsia="Times New Roman" w:hAnsi="Times New Roman" w:cs="Times New Roman"/>
          <w:color w:val="000000"/>
          <w:sz w:val="24"/>
          <w:szCs w:val="24"/>
          <w:u w:val="single" w:color="000000"/>
        </w:rPr>
        <w:t>. </w:t>
      </w:r>
      <w:r w:rsidR="00876BC2">
        <w:rPr>
          <w:rFonts w:ascii="Times New Roman" w:eastAsia="Times New Roman" w:hAnsi="Times New Roman" w:cs="Times New Roman"/>
          <w:color w:val="000000"/>
          <w:sz w:val="24"/>
          <w:szCs w:val="24"/>
          <w:u w:color="000000"/>
        </w:rPr>
        <w:t>Sasia maks</w:t>
      </w:r>
      <w:r w:rsidRPr="00EA0841">
        <w:rPr>
          <w:rFonts w:ascii="Times New Roman" w:eastAsia="Times New Roman" w:hAnsi="Times New Roman" w:cs="Times New Roman"/>
          <w:color w:val="000000"/>
          <w:sz w:val="24"/>
          <w:szCs w:val="24"/>
          <w:u w:color="000000"/>
        </w:rPr>
        <w:t>imale e lejuar ishte </w:t>
      </w:r>
      <w:r w:rsidRPr="00EA0841">
        <w:rPr>
          <w:rFonts w:ascii="Times New Roman" w:eastAsia="Times New Roman" w:hAnsi="Times New Roman" w:cs="Times New Roman"/>
          <w:b/>
          <w:bCs/>
          <w:color w:val="000000"/>
          <w:sz w:val="24"/>
          <w:szCs w:val="24"/>
          <w:u w:color="000000"/>
        </w:rPr>
        <w:t>45 Ton</w:t>
      </w:r>
      <w:r w:rsidRPr="00EA0841">
        <w:rPr>
          <w:rFonts w:ascii="Times New Roman" w:eastAsia="Times New Roman" w:hAnsi="Times New Roman" w:cs="Times New Roman"/>
          <w:color w:val="000000"/>
          <w:sz w:val="24"/>
          <w:szCs w:val="24"/>
          <w:u w:color="000000"/>
        </w:rPr>
        <w:t> (45 000 kg). </w:t>
      </w:r>
    </w:p>
    <w:p w:rsidR="007655ED" w:rsidRPr="00EA0841" w:rsidRDefault="007655ED" w:rsidP="007655ED">
      <w:pPr>
        <w:spacing w:after="0" w:line="240" w:lineRule="auto"/>
        <w:jc w:val="both"/>
        <w:textAlignment w:val="baseline"/>
        <w:rPr>
          <w:rFonts w:ascii="Times New Roman" w:eastAsia="Times New Roman" w:hAnsi="Times New Roman" w:cs="Times New Roman"/>
          <w:color w:val="000000"/>
          <w:sz w:val="24"/>
          <w:szCs w:val="24"/>
          <w:u w:color="000000"/>
        </w:rPr>
      </w:pPr>
    </w:p>
    <w:p w:rsidR="007655ED" w:rsidRPr="00EA0841" w:rsidRDefault="007655ED" w:rsidP="007655ED">
      <w:pPr>
        <w:spacing w:after="0" w:line="240" w:lineRule="auto"/>
        <w:jc w:val="both"/>
        <w:textAlignment w:val="baseline"/>
        <w:rPr>
          <w:rFonts w:ascii="Times New Roman" w:eastAsia="Times New Roman" w:hAnsi="Times New Roman" w:cs="Times New Roman"/>
          <w:color w:val="000000"/>
          <w:sz w:val="24"/>
          <w:szCs w:val="24"/>
          <w:u w:color="000000"/>
        </w:rPr>
      </w:pPr>
      <w:r w:rsidRPr="00EA0841">
        <w:rPr>
          <w:rFonts w:ascii="Times New Roman" w:eastAsia="Times New Roman" w:hAnsi="Times New Roman" w:cs="Times New Roman"/>
          <w:color w:val="000000"/>
          <w:sz w:val="24"/>
          <w:szCs w:val="24"/>
          <w:u w:color="000000"/>
        </w:rPr>
        <w:t>Për vitin </w:t>
      </w:r>
      <w:r w:rsidRPr="00EA0841">
        <w:rPr>
          <w:rFonts w:ascii="Times New Roman" w:eastAsia="Times New Roman" w:hAnsi="Times New Roman" w:cs="Times New Roman"/>
          <w:b/>
          <w:bCs/>
          <w:color w:val="000000"/>
          <w:sz w:val="24"/>
          <w:szCs w:val="24"/>
          <w:u w:color="000000"/>
        </w:rPr>
        <w:t>2025</w:t>
      </w:r>
      <w:r w:rsidRPr="00EA0841">
        <w:rPr>
          <w:rFonts w:ascii="Times New Roman" w:eastAsia="Times New Roman" w:hAnsi="Times New Roman" w:cs="Times New Roman"/>
          <w:color w:val="000000"/>
          <w:sz w:val="24"/>
          <w:szCs w:val="24"/>
          <w:u w:color="000000"/>
        </w:rPr>
        <w:t>, raportimet vjetore të subjekteve janë në proces dhe nuk kemi ende një vlerë totale sa është importuar. Bazuar në autorizimet e lëshuara nga Ministria e Mjedisit sasia totale e lejuar për tu importuar </w:t>
      </w:r>
      <w:r w:rsidRPr="00EA0841">
        <w:rPr>
          <w:rFonts w:ascii="Times New Roman" w:eastAsia="Times New Roman" w:hAnsi="Times New Roman" w:cs="Times New Roman"/>
          <w:color w:val="000000"/>
          <w:sz w:val="24"/>
          <w:szCs w:val="24"/>
          <w:u w:color="000000"/>
          <w:bdr w:val="none" w:sz="0" w:space="0" w:color="auto" w:frame="1"/>
        </w:rPr>
        <w:t>për vitin 2025 ë</w:t>
      </w:r>
      <w:r w:rsidRPr="00EA0841">
        <w:rPr>
          <w:rFonts w:ascii="Times New Roman" w:eastAsia="Times New Roman" w:hAnsi="Times New Roman" w:cs="Times New Roman"/>
          <w:color w:val="000000"/>
          <w:sz w:val="24"/>
          <w:szCs w:val="24"/>
          <w:u w:color="000000"/>
        </w:rPr>
        <w:t>shtë </w:t>
      </w:r>
      <w:r w:rsidRPr="00EA0841">
        <w:rPr>
          <w:rFonts w:ascii="Times New Roman" w:eastAsia="Times New Roman" w:hAnsi="Times New Roman" w:cs="Times New Roman"/>
          <w:b/>
          <w:bCs/>
          <w:color w:val="000000"/>
          <w:sz w:val="24"/>
          <w:szCs w:val="24"/>
          <w:u w:color="000000"/>
        </w:rPr>
        <w:t>27 Ton</w:t>
      </w:r>
      <w:r w:rsidRPr="00EA0841">
        <w:rPr>
          <w:rFonts w:ascii="Times New Roman" w:eastAsia="Times New Roman" w:hAnsi="Times New Roman" w:cs="Times New Roman"/>
          <w:color w:val="000000"/>
          <w:sz w:val="24"/>
          <w:szCs w:val="24"/>
          <w:u w:color="000000"/>
        </w:rPr>
        <w:t> (27 000 kg). </w:t>
      </w:r>
    </w:p>
    <w:p w:rsidR="007655ED" w:rsidRDefault="007655ED" w:rsidP="007655ED">
      <w:pPr>
        <w:spacing w:line="278" w:lineRule="auto"/>
        <w:jc w:val="both"/>
        <w:rPr>
          <w:rFonts w:ascii="Times New Roman" w:eastAsia="Aptos" w:hAnsi="Times New Roman" w:cs="Times New Roman"/>
          <w:b/>
          <w:bCs/>
          <w:kern w:val="2"/>
          <w:sz w:val="24"/>
          <w:szCs w:val="24"/>
          <w14:ligatures w14:val="standardContextual"/>
        </w:rPr>
      </w:pPr>
    </w:p>
    <w:p w:rsidR="007655ED" w:rsidRPr="009559E2" w:rsidRDefault="007655ED" w:rsidP="00807975">
      <w:pPr>
        <w:pStyle w:val="ListParagraph"/>
        <w:numPr>
          <w:ilvl w:val="0"/>
          <w:numId w:val="42"/>
        </w:numPr>
        <w:spacing w:line="278" w:lineRule="auto"/>
        <w:jc w:val="both"/>
        <w:rPr>
          <w:rFonts w:ascii="Times New Roman" w:eastAsia="Aptos" w:hAnsi="Times New Roman" w:cs="Times New Roman"/>
          <w:b/>
          <w:bCs/>
          <w:kern w:val="2"/>
          <w:sz w:val="24"/>
          <w:szCs w:val="24"/>
          <w14:ligatures w14:val="standardContextual"/>
        </w:rPr>
      </w:pPr>
      <w:r w:rsidRPr="009559E2">
        <w:rPr>
          <w:rFonts w:ascii="Times New Roman" w:eastAsia="Aptos" w:hAnsi="Times New Roman" w:cs="Times New Roman"/>
          <w:b/>
          <w:bCs/>
          <w:kern w:val="2"/>
          <w:sz w:val="24"/>
          <w:szCs w:val="24"/>
          <w14:ligatures w14:val="standardContextual"/>
        </w:rPr>
        <w:t>Tendencat e emetimeve të gazeve serrë</w:t>
      </w:r>
    </w:p>
    <w:p w:rsidR="007655ED" w:rsidRPr="007655ED" w:rsidRDefault="007655ED" w:rsidP="009559E2">
      <w:p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 xml:space="preserve">Sipas Inventarit Kombëtar të Gazeve Serrë për periudhën </w:t>
      </w:r>
      <w:r w:rsidRPr="007655ED">
        <w:rPr>
          <w:rFonts w:ascii="Times New Roman" w:eastAsia="Aptos" w:hAnsi="Times New Roman" w:cs="Times New Roman"/>
          <w:b/>
          <w:bCs/>
          <w:kern w:val="2"/>
          <w:sz w:val="24"/>
          <w:szCs w:val="24"/>
          <w14:ligatures w14:val="standardContextual"/>
        </w:rPr>
        <w:t>1990–2024</w:t>
      </w:r>
      <w:r w:rsidRPr="007655ED">
        <w:rPr>
          <w:rFonts w:ascii="Times New Roman" w:eastAsia="Aptos" w:hAnsi="Times New Roman" w:cs="Times New Roman"/>
          <w:kern w:val="2"/>
          <w:sz w:val="24"/>
          <w:szCs w:val="24"/>
          <w14:ligatures w14:val="standardContextual"/>
        </w:rPr>
        <w:t xml:space="preserve">, emetimet totale të Shqipërisë (pa përfshirë sektorin LULUCF) në vitin 2024 ishin rreth </w:t>
      </w:r>
      <w:r w:rsidRPr="007655ED">
        <w:rPr>
          <w:rFonts w:ascii="Times New Roman" w:eastAsia="Aptos" w:hAnsi="Times New Roman" w:cs="Times New Roman"/>
          <w:b/>
          <w:bCs/>
          <w:kern w:val="2"/>
          <w:sz w:val="24"/>
          <w:szCs w:val="24"/>
          <w14:ligatures w14:val="standardContextual"/>
        </w:rPr>
        <w:t>6,195 kt CO</w:t>
      </w:r>
      <w:r w:rsidRPr="007655ED">
        <w:rPr>
          <w:rFonts w:ascii="Cambria Math" w:eastAsia="Aptos" w:hAnsi="Cambria Math" w:cs="Cambria Math"/>
          <w:b/>
          <w:bCs/>
          <w:kern w:val="2"/>
          <w:sz w:val="24"/>
          <w:szCs w:val="24"/>
          <w14:ligatures w14:val="standardContextual"/>
        </w:rPr>
        <w:t>₂</w:t>
      </w:r>
      <w:r w:rsidRPr="007655ED">
        <w:rPr>
          <w:rFonts w:ascii="Times New Roman" w:eastAsia="Aptos" w:hAnsi="Times New Roman" w:cs="Times New Roman"/>
          <w:b/>
          <w:bCs/>
          <w:kern w:val="2"/>
          <w:sz w:val="24"/>
          <w:szCs w:val="24"/>
          <w14:ligatures w14:val="standardContextual"/>
        </w:rPr>
        <w:noBreakHyphen/>
        <w:t>eq</w:t>
      </w:r>
      <w:r w:rsidRPr="007655ED">
        <w:rPr>
          <w:rFonts w:ascii="Times New Roman" w:eastAsia="Aptos" w:hAnsi="Times New Roman" w:cs="Times New Roman"/>
          <w:kern w:val="2"/>
          <w:sz w:val="24"/>
          <w:szCs w:val="24"/>
          <w14:ligatures w14:val="standardContextual"/>
        </w:rPr>
        <w:t xml:space="preserve">, që përfaqëson një </w:t>
      </w:r>
      <w:r w:rsidRPr="007655ED">
        <w:rPr>
          <w:rFonts w:ascii="Times New Roman" w:eastAsia="Aptos" w:hAnsi="Times New Roman" w:cs="Times New Roman"/>
          <w:b/>
          <w:bCs/>
          <w:kern w:val="2"/>
          <w:sz w:val="24"/>
          <w:szCs w:val="24"/>
          <w14:ligatures w14:val="standardContextual"/>
        </w:rPr>
        <w:t>ulje prej rreth 37.5% krahasuar me vitin 1990</w:t>
      </w:r>
      <w:r w:rsidRPr="007655ED">
        <w:rPr>
          <w:rFonts w:ascii="Times New Roman" w:eastAsia="Aptos" w:hAnsi="Times New Roman" w:cs="Times New Roman"/>
          <w:kern w:val="2"/>
          <w:sz w:val="24"/>
          <w:szCs w:val="24"/>
          <w14:ligatures w14:val="standardContextual"/>
        </w:rPr>
        <w:t xml:space="preserve">. </w:t>
      </w:r>
      <w:hyperlink r:id="rId261" w:history="1"/>
    </w:p>
    <w:p w:rsidR="007655ED" w:rsidRPr="007655ED" w:rsidRDefault="007655ED" w:rsidP="007655ED">
      <w:pPr>
        <w:spacing w:line="278"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Struktura sektoriale e emetimeve në vitin 2024 është:</w:t>
      </w:r>
    </w:p>
    <w:p w:rsidR="007655ED" w:rsidRPr="007655ED" w:rsidRDefault="007655ED" w:rsidP="00807975">
      <w:pPr>
        <w:numPr>
          <w:ilvl w:val="0"/>
          <w:numId w:val="38"/>
        </w:numPr>
        <w:spacing w:line="278"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b/>
          <w:bCs/>
          <w:kern w:val="2"/>
          <w:sz w:val="24"/>
          <w:szCs w:val="24"/>
          <w14:ligatures w14:val="standardContextual"/>
        </w:rPr>
        <w:t>Energjia</w:t>
      </w:r>
      <w:r w:rsidR="00783774">
        <w:rPr>
          <w:rFonts w:ascii="Times New Roman" w:eastAsia="Aptos" w:hAnsi="Times New Roman" w:cs="Times New Roman"/>
          <w:b/>
          <w:bCs/>
          <w:kern w:val="2"/>
          <w:sz w:val="24"/>
          <w:szCs w:val="24"/>
          <w14:ligatures w14:val="standardContextual"/>
        </w:rPr>
        <w:t xml:space="preserve"> dhe transporti</w:t>
      </w:r>
      <w:r w:rsidRPr="007655ED">
        <w:rPr>
          <w:rFonts w:ascii="Times New Roman" w:eastAsia="Aptos" w:hAnsi="Times New Roman" w:cs="Times New Roman"/>
          <w:kern w:val="2"/>
          <w:sz w:val="24"/>
          <w:szCs w:val="24"/>
          <w14:ligatures w14:val="standardContextual"/>
        </w:rPr>
        <w:t>: 48.8%</w:t>
      </w:r>
    </w:p>
    <w:p w:rsidR="007655ED" w:rsidRPr="007655ED" w:rsidRDefault="007655ED" w:rsidP="00807975">
      <w:pPr>
        <w:numPr>
          <w:ilvl w:val="0"/>
          <w:numId w:val="38"/>
        </w:numPr>
        <w:spacing w:line="278"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b/>
          <w:bCs/>
          <w:kern w:val="2"/>
          <w:sz w:val="24"/>
          <w:szCs w:val="24"/>
          <w14:ligatures w14:val="standardContextual"/>
        </w:rPr>
        <w:t>Bujqësia</w:t>
      </w:r>
      <w:r w:rsidRPr="007655ED">
        <w:rPr>
          <w:rFonts w:ascii="Times New Roman" w:eastAsia="Aptos" w:hAnsi="Times New Roman" w:cs="Times New Roman"/>
          <w:kern w:val="2"/>
          <w:sz w:val="24"/>
          <w:szCs w:val="24"/>
          <w14:ligatures w14:val="standardContextual"/>
        </w:rPr>
        <w:t>: 21.6%</w:t>
      </w:r>
    </w:p>
    <w:p w:rsidR="007655ED" w:rsidRPr="007655ED" w:rsidRDefault="007655ED" w:rsidP="00807975">
      <w:pPr>
        <w:numPr>
          <w:ilvl w:val="0"/>
          <w:numId w:val="38"/>
        </w:numPr>
        <w:spacing w:line="278"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b/>
          <w:bCs/>
          <w:kern w:val="2"/>
          <w:sz w:val="24"/>
          <w:szCs w:val="24"/>
          <w14:ligatures w14:val="standardContextual"/>
        </w:rPr>
        <w:t>Proceset industriale (IPPU)</w:t>
      </w:r>
      <w:r w:rsidRPr="007655ED">
        <w:rPr>
          <w:rFonts w:ascii="Times New Roman" w:eastAsia="Aptos" w:hAnsi="Times New Roman" w:cs="Times New Roman"/>
          <w:kern w:val="2"/>
          <w:sz w:val="24"/>
          <w:szCs w:val="24"/>
          <w14:ligatures w14:val="standardContextual"/>
        </w:rPr>
        <w:t>: 15.6%</w:t>
      </w:r>
    </w:p>
    <w:p w:rsidR="007655ED" w:rsidRPr="007655ED" w:rsidRDefault="007655ED" w:rsidP="00807975">
      <w:pPr>
        <w:numPr>
          <w:ilvl w:val="0"/>
          <w:numId w:val="38"/>
        </w:numPr>
        <w:spacing w:line="278"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b/>
          <w:bCs/>
          <w:kern w:val="2"/>
          <w:sz w:val="24"/>
          <w:szCs w:val="24"/>
          <w14:ligatures w14:val="standardContextual"/>
        </w:rPr>
        <w:t>Mbetjet</w:t>
      </w:r>
      <w:r w:rsidRPr="007655ED">
        <w:rPr>
          <w:rFonts w:ascii="Times New Roman" w:eastAsia="Aptos" w:hAnsi="Times New Roman" w:cs="Times New Roman"/>
          <w:kern w:val="2"/>
          <w:sz w:val="24"/>
          <w:szCs w:val="24"/>
          <w14:ligatures w14:val="standardContextual"/>
        </w:rPr>
        <w:t xml:space="preserve">: 14.1%. </w:t>
      </w:r>
    </w:p>
    <w:p w:rsidR="007655ED" w:rsidRPr="007655ED" w:rsidRDefault="007655ED" w:rsidP="009559E2">
      <w:p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Burimet kryesore të emetimeve përfshijnë transportin rrugor (sidomos përdorimin e naftës), industrinë e çimentos, përpunimin e mineraleve jometalike, menaxhimin e mbetjeve dhe blegtorinë.</w:t>
      </w:r>
    </w:p>
    <w:p w:rsidR="007655ED" w:rsidRPr="007655ED" w:rsidRDefault="007655ED" w:rsidP="009559E2">
      <w:p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lastRenderedPageBreak/>
        <w:t>Të dhënat tregojnë se sektori i transportit rrugor është kontribuesi kryesor në em</w:t>
      </w:r>
      <w:r w:rsidR="00783774">
        <w:rPr>
          <w:rFonts w:ascii="Times New Roman" w:eastAsia="Aptos" w:hAnsi="Times New Roman" w:cs="Times New Roman"/>
          <w:kern w:val="2"/>
          <w:sz w:val="24"/>
          <w:szCs w:val="24"/>
          <w14:ligatures w14:val="standardContextual"/>
        </w:rPr>
        <w:t>etimet e gaz</w:t>
      </w:r>
      <w:r w:rsidRPr="007655ED">
        <w:rPr>
          <w:rFonts w:ascii="Times New Roman" w:eastAsia="Aptos" w:hAnsi="Times New Roman" w:cs="Times New Roman"/>
          <w:kern w:val="2"/>
          <w:sz w:val="24"/>
          <w:szCs w:val="24"/>
          <w14:ligatures w14:val="standardContextual"/>
        </w:rPr>
        <w:t>e</w:t>
      </w:r>
      <w:r w:rsidR="00783774">
        <w:rPr>
          <w:rFonts w:ascii="Times New Roman" w:eastAsia="Aptos" w:hAnsi="Times New Roman" w:cs="Times New Roman"/>
          <w:kern w:val="2"/>
          <w:sz w:val="24"/>
          <w:szCs w:val="24"/>
          <w14:ligatures w14:val="standardContextual"/>
        </w:rPr>
        <w:t>ve</w:t>
      </w:r>
      <w:r w:rsidRPr="007655ED">
        <w:rPr>
          <w:rFonts w:ascii="Times New Roman" w:eastAsia="Aptos" w:hAnsi="Times New Roman" w:cs="Times New Roman"/>
          <w:kern w:val="2"/>
          <w:sz w:val="24"/>
          <w:szCs w:val="24"/>
          <w14:ligatures w14:val="standardContextual"/>
        </w:rPr>
        <w:t xml:space="preserve"> serrë (GHG), me naftën (diesel) që përbën 18% të trendit të rritjes së em</w:t>
      </w:r>
      <w:r w:rsidR="00783774">
        <w:rPr>
          <w:rFonts w:ascii="Times New Roman" w:eastAsia="Aptos" w:hAnsi="Times New Roman" w:cs="Times New Roman"/>
          <w:kern w:val="2"/>
          <w:sz w:val="24"/>
          <w:szCs w:val="24"/>
          <w14:ligatures w14:val="standardContextual"/>
        </w:rPr>
        <w:t>etimeve</w:t>
      </w:r>
      <w:r w:rsidRPr="007655ED">
        <w:rPr>
          <w:rFonts w:ascii="Times New Roman" w:eastAsia="Aptos" w:hAnsi="Times New Roman" w:cs="Times New Roman"/>
          <w:kern w:val="2"/>
          <w:sz w:val="24"/>
          <w:szCs w:val="24"/>
          <w14:ligatures w14:val="standardContextual"/>
        </w:rPr>
        <w:t xml:space="preserve"> midis viteve 1990 dhe 2024. Prodhimi i çimentos dhe sektorët e mineraleve jo-metalike gjithashtu kanë një ndikim të rëndësishëm, duke kontribuar përkatësisht 14.2% dhe 10.6% në rritjen e em</w:t>
      </w:r>
      <w:r w:rsidR="00783774">
        <w:rPr>
          <w:rFonts w:ascii="Times New Roman" w:eastAsia="Aptos" w:hAnsi="Times New Roman" w:cs="Times New Roman"/>
          <w:kern w:val="2"/>
          <w:sz w:val="24"/>
          <w:szCs w:val="24"/>
          <w14:ligatures w14:val="standardContextual"/>
        </w:rPr>
        <w:t>etimeve</w:t>
      </w:r>
      <w:r w:rsidRPr="007655ED">
        <w:rPr>
          <w:rFonts w:ascii="Times New Roman" w:eastAsia="Aptos" w:hAnsi="Times New Roman" w:cs="Times New Roman"/>
          <w:kern w:val="2"/>
          <w:sz w:val="24"/>
          <w:szCs w:val="24"/>
          <w14:ligatures w14:val="standardContextual"/>
        </w:rPr>
        <w:t>.</w:t>
      </w:r>
    </w:p>
    <w:p w:rsidR="007655ED" w:rsidRPr="007655ED" w:rsidRDefault="007655ED" w:rsidP="009559E2">
      <w:p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Depozitimi i mbetjeve të ngurta dhe em</w:t>
      </w:r>
      <w:r w:rsidR="00783774">
        <w:rPr>
          <w:rFonts w:ascii="Times New Roman" w:eastAsia="Aptos" w:hAnsi="Times New Roman" w:cs="Times New Roman"/>
          <w:kern w:val="2"/>
          <w:sz w:val="24"/>
          <w:szCs w:val="24"/>
          <w14:ligatures w14:val="standardContextual"/>
        </w:rPr>
        <w:t>etimet</w:t>
      </w:r>
      <w:r w:rsidRPr="007655ED">
        <w:rPr>
          <w:rFonts w:ascii="Times New Roman" w:eastAsia="Aptos" w:hAnsi="Times New Roman" w:cs="Times New Roman"/>
          <w:kern w:val="2"/>
          <w:sz w:val="24"/>
          <w:szCs w:val="24"/>
          <w14:ligatures w14:val="standardContextual"/>
        </w:rPr>
        <w:t xml:space="preserve"> nga lopët janë faktorë të tjerë të rëndësishëm, duke kontribuar mbi 17% së bashku në trendin e përgjithshëm. Em</w:t>
      </w:r>
      <w:r w:rsidR="00783774">
        <w:rPr>
          <w:rFonts w:ascii="Times New Roman" w:eastAsia="Aptos" w:hAnsi="Times New Roman" w:cs="Times New Roman"/>
          <w:kern w:val="2"/>
          <w:sz w:val="24"/>
          <w:szCs w:val="24"/>
          <w14:ligatures w14:val="standardContextual"/>
        </w:rPr>
        <w:t>etimet</w:t>
      </w:r>
      <w:r w:rsidRPr="007655ED">
        <w:rPr>
          <w:rFonts w:ascii="Times New Roman" w:eastAsia="Aptos" w:hAnsi="Times New Roman" w:cs="Times New Roman"/>
          <w:kern w:val="2"/>
          <w:sz w:val="24"/>
          <w:szCs w:val="24"/>
          <w14:ligatures w14:val="standardContextual"/>
        </w:rPr>
        <w:t xml:space="preserve"> e metanit (CH4) dhe oksidit nitroz (N2O) nga sektorët bujqësorë dhe trajtimi i ujërave të zeza janë gjithashtu të dukshme, duke pasqyruar ndikimin e aktiviteteve të ndryshme ekonomike dhe menaxhimit të burimeve natyrore.</w:t>
      </w:r>
    </w:p>
    <w:p w:rsidR="007655ED" w:rsidRPr="007655ED" w:rsidRDefault="007655ED" w:rsidP="009559E2">
      <w:p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Sektori rezidencial dhe ai komercial/institucional kontribuojnë më pak në emisionet e CO2, por janë të pranishëm në analizë, ndërsa lundrimi vendas dhe prodhimi i karburanteve të ngurta kanë një pjesë më të vogël në totalin e em</w:t>
      </w:r>
      <w:r w:rsidR="00783774">
        <w:rPr>
          <w:rFonts w:ascii="Times New Roman" w:eastAsia="Aptos" w:hAnsi="Times New Roman" w:cs="Times New Roman"/>
          <w:kern w:val="2"/>
          <w:sz w:val="24"/>
          <w:szCs w:val="24"/>
          <w14:ligatures w14:val="standardContextual"/>
        </w:rPr>
        <w:t>etimeve</w:t>
      </w:r>
      <w:r w:rsidRPr="007655ED">
        <w:rPr>
          <w:rFonts w:ascii="Times New Roman" w:eastAsia="Aptos" w:hAnsi="Times New Roman" w:cs="Times New Roman"/>
          <w:kern w:val="2"/>
          <w:sz w:val="24"/>
          <w:szCs w:val="24"/>
          <w14:ligatures w14:val="standardContextual"/>
        </w:rPr>
        <w:t>.</w:t>
      </w:r>
    </w:p>
    <w:p w:rsidR="007655ED" w:rsidRPr="007655ED" w:rsidRDefault="007655ED" w:rsidP="009559E2">
      <w:pPr>
        <w:spacing w:after="0" w:line="240"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Në përgjithësi, kjo analizë tregon një diversitet burimesh em</w:t>
      </w:r>
      <w:r w:rsidR="00783774">
        <w:rPr>
          <w:rFonts w:ascii="Times New Roman" w:eastAsia="Aptos" w:hAnsi="Times New Roman" w:cs="Times New Roman"/>
          <w:kern w:val="2"/>
          <w:sz w:val="24"/>
          <w:szCs w:val="24"/>
          <w14:ligatures w14:val="standardContextual"/>
        </w:rPr>
        <w:t>etimi me një përqë</w:t>
      </w:r>
      <w:r w:rsidRPr="007655ED">
        <w:rPr>
          <w:rFonts w:ascii="Times New Roman" w:eastAsia="Aptos" w:hAnsi="Times New Roman" w:cs="Times New Roman"/>
          <w:kern w:val="2"/>
          <w:sz w:val="24"/>
          <w:szCs w:val="24"/>
          <w14:ligatures w14:val="standardContextual"/>
        </w:rPr>
        <w:t>ndrim të rëndësishëm në sektorët energjetikë dhe industrialë, si dhe në sektorin bujqësor dhe menaxhimin e mbetjeve, duke theksuar nevojën për masa të syn</w:t>
      </w:r>
      <w:r w:rsidR="00A60649">
        <w:rPr>
          <w:rFonts w:ascii="Times New Roman" w:eastAsia="Aptos" w:hAnsi="Times New Roman" w:cs="Times New Roman"/>
          <w:kern w:val="2"/>
          <w:sz w:val="24"/>
          <w:szCs w:val="24"/>
          <w14:ligatures w14:val="standardContextual"/>
        </w:rPr>
        <w:t>uara për reduktimin e emetimeve</w:t>
      </w:r>
      <w:r w:rsidRPr="007655ED">
        <w:rPr>
          <w:rFonts w:ascii="Times New Roman" w:eastAsia="Aptos" w:hAnsi="Times New Roman" w:cs="Times New Roman"/>
          <w:kern w:val="2"/>
          <w:sz w:val="24"/>
          <w:szCs w:val="24"/>
          <w14:ligatures w14:val="standardContextual"/>
        </w:rPr>
        <w:t xml:space="preserve"> në këto fusha kyçe</w:t>
      </w:r>
      <w:r w:rsidR="009559E2">
        <w:rPr>
          <w:rFonts w:ascii="Times New Roman" w:eastAsia="Aptos" w:hAnsi="Times New Roman" w:cs="Times New Roman"/>
          <w:kern w:val="2"/>
          <w:sz w:val="24"/>
          <w:szCs w:val="24"/>
          <w14:ligatures w14:val="standardContextual"/>
        </w:rPr>
        <w:t>.</w:t>
      </w:r>
    </w:p>
    <w:p w:rsidR="009559E2" w:rsidRDefault="009559E2" w:rsidP="007655ED">
      <w:pPr>
        <w:widowControl w:val="0"/>
        <w:autoSpaceDE w:val="0"/>
        <w:autoSpaceDN w:val="0"/>
        <w:spacing w:after="80" w:line="288" w:lineRule="auto"/>
        <w:jc w:val="both"/>
        <w:rPr>
          <w:rFonts w:ascii="Times New Roman" w:eastAsia="Aptos" w:hAnsi="Times New Roman" w:cs="Times New Roman"/>
          <w:kern w:val="2"/>
          <w:sz w:val="24"/>
          <w:szCs w:val="24"/>
          <w14:ligatures w14:val="standardContextual"/>
        </w:rPr>
      </w:pPr>
    </w:p>
    <w:p w:rsidR="007655ED" w:rsidRPr="007655ED" w:rsidRDefault="009559E2" w:rsidP="007655ED">
      <w:pPr>
        <w:widowControl w:val="0"/>
        <w:autoSpaceDE w:val="0"/>
        <w:autoSpaceDN w:val="0"/>
        <w:spacing w:after="80" w:line="288"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Tabela </w:t>
      </w:r>
      <w:r w:rsidR="00FE1F1B">
        <w:rPr>
          <w:rFonts w:ascii="Times New Roman" w:eastAsia="Aptos" w:hAnsi="Times New Roman" w:cs="Times New Roman"/>
          <w:kern w:val="2"/>
          <w:sz w:val="24"/>
          <w:szCs w:val="24"/>
          <w14:ligatures w14:val="standardContextual"/>
        </w:rPr>
        <w:t xml:space="preserve"> 7</w:t>
      </w:r>
      <w:r w:rsidR="000F53CF">
        <w:rPr>
          <w:rFonts w:ascii="Times New Roman" w:eastAsia="Aptos" w:hAnsi="Times New Roman" w:cs="Times New Roman"/>
          <w:kern w:val="2"/>
          <w:sz w:val="24"/>
          <w:szCs w:val="24"/>
          <w14:ligatures w14:val="standardContextual"/>
        </w:rPr>
        <w:t>7</w:t>
      </w:r>
      <w:r>
        <w:rPr>
          <w:rFonts w:ascii="Times New Roman" w:eastAsia="Aptos" w:hAnsi="Times New Roman" w:cs="Times New Roman"/>
          <w:kern w:val="2"/>
          <w:sz w:val="24"/>
          <w:szCs w:val="24"/>
          <w14:ligatures w14:val="standardContextual"/>
        </w:rPr>
        <w:t>. Vlerësimi i ndotësve më të mëdhenj në</w:t>
      </w:r>
      <w:r w:rsidR="007655ED" w:rsidRPr="007655ED">
        <w:rPr>
          <w:rFonts w:ascii="Times New Roman" w:eastAsia="Aptos" w:hAnsi="Times New Roman" w:cs="Times New Roman"/>
          <w:kern w:val="2"/>
          <w:sz w:val="24"/>
          <w:szCs w:val="24"/>
          <w14:ligatures w14:val="standardContextual"/>
        </w:rPr>
        <w:t xml:space="preserve"> vitin 2024 krahasuar me vitin 1990.</w:t>
      </w:r>
    </w:p>
    <w:tbl>
      <w:tblPr>
        <w:tblW w:w="95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60"/>
        <w:gridCol w:w="2194"/>
        <w:gridCol w:w="567"/>
        <w:gridCol w:w="1006"/>
        <w:gridCol w:w="1183"/>
        <w:gridCol w:w="1068"/>
        <w:gridCol w:w="1120"/>
        <w:gridCol w:w="1139"/>
      </w:tblGrid>
      <w:tr w:rsidR="007655ED" w:rsidRPr="007655ED" w:rsidTr="007655ED">
        <w:trPr>
          <w:tblHeade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b/>
                <w:bCs/>
                <w:kern w:val="2"/>
                <w:sz w:val="20"/>
                <w:szCs w:val="20"/>
                <w:lang w:bidi="en-US"/>
                <w14:ligatures w14:val="standardContextual"/>
              </w:rPr>
            </w:pPr>
            <w:r w:rsidRPr="007655ED">
              <w:rPr>
                <w:rFonts w:ascii="Times New Roman" w:eastAsia="Aptos" w:hAnsi="Times New Roman" w:cs="Times New Roman"/>
                <w:b/>
                <w:bCs/>
                <w:kern w:val="2"/>
                <w:sz w:val="20"/>
                <w:szCs w:val="20"/>
                <w:lang w:bidi="en-US"/>
                <w14:ligatures w14:val="standardContextual"/>
              </w:rPr>
              <w:t>Kodi CRT</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b/>
                <w:bCs/>
                <w:kern w:val="2"/>
                <w:sz w:val="20"/>
                <w:szCs w:val="20"/>
                <w:lang w:bidi="en-US"/>
                <w14:ligatures w14:val="standardContextual"/>
              </w:rPr>
            </w:pPr>
            <w:r w:rsidRPr="007655ED">
              <w:rPr>
                <w:rFonts w:ascii="Times New Roman" w:eastAsia="Aptos" w:hAnsi="Times New Roman" w:cs="Times New Roman"/>
                <w:b/>
                <w:bCs/>
                <w:kern w:val="2"/>
                <w:sz w:val="20"/>
                <w:szCs w:val="20"/>
                <w:lang w:bidi="en-US"/>
                <w14:ligatures w14:val="standardContextual"/>
              </w:rPr>
              <w:t>Kategoria CRT</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b/>
                <w:bCs/>
                <w:kern w:val="2"/>
                <w:sz w:val="20"/>
                <w:szCs w:val="20"/>
                <w:lang w:bidi="en-US"/>
                <w14:ligatures w14:val="standardContextual"/>
              </w:rPr>
            </w:pPr>
            <w:r w:rsidRPr="007655ED">
              <w:rPr>
                <w:rFonts w:ascii="Times New Roman" w:eastAsia="Aptos" w:hAnsi="Times New Roman" w:cs="Times New Roman"/>
                <w:b/>
                <w:bCs/>
                <w:kern w:val="2"/>
                <w:sz w:val="20"/>
                <w:szCs w:val="20"/>
                <w:lang w:bidi="en-US"/>
                <w14:ligatures w14:val="standardContextual"/>
              </w:rPr>
              <w:t>GHG</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b/>
                <w:bCs/>
                <w:kern w:val="2"/>
                <w:sz w:val="20"/>
                <w:szCs w:val="20"/>
                <w:lang w:bidi="en-US"/>
                <w14:ligatures w14:val="standardContextual"/>
              </w:rPr>
            </w:pPr>
            <w:r w:rsidRPr="007655ED">
              <w:rPr>
                <w:rFonts w:ascii="Times New Roman" w:eastAsia="Aptos" w:hAnsi="Times New Roman" w:cs="Times New Roman"/>
                <w:b/>
                <w:bCs/>
                <w:kern w:val="2"/>
                <w:sz w:val="20"/>
                <w:szCs w:val="20"/>
                <w:lang w:bidi="en-US"/>
                <w14:ligatures w14:val="standardContextual"/>
              </w:rPr>
              <w:t>Viti Bazë (1990) Vlerësim Ex,0</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b/>
                <w:bCs/>
                <w:kern w:val="2"/>
                <w:sz w:val="20"/>
                <w:szCs w:val="20"/>
                <w:lang w:bidi="en-US"/>
                <w14:ligatures w14:val="standardContextual"/>
              </w:rPr>
            </w:pPr>
            <w:r w:rsidRPr="007655ED">
              <w:rPr>
                <w:rFonts w:ascii="Times New Roman" w:eastAsia="Aptos" w:hAnsi="Times New Roman" w:cs="Times New Roman"/>
                <w:b/>
                <w:bCs/>
                <w:kern w:val="2"/>
                <w:sz w:val="20"/>
                <w:szCs w:val="20"/>
                <w:lang w:bidi="en-US"/>
                <w14:ligatures w14:val="standardContextual"/>
              </w:rPr>
              <w:t>Viti i fundit (2024) Vlerësim Ex,t</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b/>
                <w:bCs/>
                <w:kern w:val="2"/>
                <w:sz w:val="20"/>
                <w:szCs w:val="20"/>
                <w:lang w:bidi="en-US"/>
                <w14:ligatures w14:val="standardContextual"/>
              </w:rPr>
            </w:pPr>
            <w:r w:rsidRPr="007655ED">
              <w:rPr>
                <w:rFonts w:ascii="Times New Roman" w:eastAsia="Aptos" w:hAnsi="Times New Roman" w:cs="Times New Roman"/>
                <w:b/>
                <w:bCs/>
                <w:kern w:val="2"/>
                <w:sz w:val="20"/>
                <w:szCs w:val="20"/>
                <w:lang w:bidi="en-US"/>
                <w14:ligatures w14:val="standardContextual"/>
              </w:rPr>
              <w:t>Vlerësimi i trendit Lx,t</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b/>
                <w:bCs/>
                <w:kern w:val="2"/>
                <w:sz w:val="20"/>
                <w:szCs w:val="20"/>
                <w:lang w:bidi="en-US"/>
                <w14:ligatures w14:val="standardContextual"/>
              </w:rPr>
            </w:pPr>
            <w:r w:rsidRPr="007655ED">
              <w:rPr>
                <w:rFonts w:ascii="Times New Roman" w:eastAsia="Aptos" w:hAnsi="Times New Roman" w:cs="Times New Roman"/>
                <w:b/>
                <w:bCs/>
                <w:kern w:val="2"/>
                <w:sz w:val="20"/>
                <w:szCs w:val="20"/>
                <w:lang w:bidi="en-US"/>
                <w14:ligatures w14:val="standardContextual"/>
              </w:rPr>
              <w:t>% Kontributi në trend</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b/>
                <w:bCs/>
                <w:kern w:val="2"/>
                <w:sz w:val="20"/>
                <w:szCs w:val="20"/>
                <w:lang w:bidi="en-US"/>
                <w14:ligatures w14:val="standardContextual"/>
              </w:rPr>
            </w:pPr>
            <w:r w:rsidRPr="007655ED">
              <w:rPr>
                <w:rFonts w:ascii="Times New Roman" w:eastAsia="Aptos" w:hAnsi="Times New Roman" w:cs="Times New Roman"/>
                <w:b/>
                <w:bCs/>
                <w:kern w:val="2"/>
                <w:sz w:val="20"/>
                <w:szCs w:val="20"/>
                <w:lang w:bidi="en-US"/>
                <w14:ligatures w14:val="standardContextual"/>
              </w:rPr>
              <w:t>Totali kumulativ i Lx,t</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 A 3 b Naftë (diesel)</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Transporti rrugor</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CO2</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526</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1 155</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0.119</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18.0%</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18.0%</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2 A 1</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Prodhimi i çimentos</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CO2</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351</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910</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0.093</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14.2%</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32.1%</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 A 2 f solide</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Minerale jo</w:t>
            </w:r>
            <w:r w:rsidRPr="007655ED">
              <w:rPr>
                <w:rFonts w:ascii="Times New Roman" w:eastAsia="Aptos" w:hAnsi="Times New Roman" w:cs="Times New Roman"/>
                <w:kern w:val="2"/>
                <w:sz w:val="20"/>
                <w:szCs w:val="20"/>
                <w:lang w:bidi="en-US"/>
                <w14:ligatures w14:val="standardContextual"/>
              </w:rPr>
              <w:noBreakHyphen/>
              <w:t>metalike</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CO2</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681</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0.070</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10.6%</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42.7%</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5 A</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Depozitimi i mbetjeve të ngurta</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CH4</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223</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656</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0.067</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10.2%</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52.9%</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3 A 1</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Lopë</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CH4</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787</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484</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0.050</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7.5%</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60.4%</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 A 3 b biomasë</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Transporti rrugor</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CO2</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391</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0.040</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6.1%</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66.5%</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3 D 1</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Emisione direkte N2O nga tokat e menaxhuara</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N2O</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771</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345</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0.035</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5.4%</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71.9%</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 A 4 b lëngje</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Rezidencial</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CO2</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293</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226</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0.023</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3.5%</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75.4%</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 A 3 b Benzinë</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Transporti rrugor</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CO2</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185</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201</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0.021</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3.1%</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78.5%</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3 A 2</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Dele</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CH4</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185</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148</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0.015</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2.3%</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80.9%</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 A 4 a lëngje</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Komercial/institucional</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CO2</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135</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0.014</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2.1%</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83.0%</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lastRenderedPageBreak/>
              <w:t>1 A 2 f lëngje</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Minerale jo</w:t>
            </w:r>
            <w:r w:rsidRPr="007655ED">
              <w:rPr>
                <w:rFonts w:ascii="Times New Roman" w:eastAsia="Aptos" w:hAnsi="Times New Roman" w:cs="Times New Roman"/>
                <w:kern w:val="2"/>
                <w:sz w:val="20"/>
                <w:szCs w:val="20"/>
                <w:lang w:bidi="en-US"/>
                <w14:ligatures w14:val="standardContextual"/>
              </w:rPr>
              <w:noBreakHyphen/>
              <w:t>metalike</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CO2</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124</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0.013</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1.9%</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84.9%</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3 B 1</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Lopë</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CH4</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254</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122</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0.013</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1.9%</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86.8%</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3 A 4 d</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Dhi</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CH4</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138</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89</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0.009</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1.4%</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88.2%</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5 D</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Trajtimi dhe shkarkimi i ujërave të zeza</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CH4</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173</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82</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0.008</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1.3%</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89.4%</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 A 3 d Naftë/gaz</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Lundrim vendas</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CO2</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67</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0.007</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1.0%</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90.5%</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 A 1 c gaz</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Prodhimi i karburanteve të ngurta dhe industri të tjera energjie</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CO2</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67</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0.007</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1.0%</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91.5%</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 A 3 d Benzinë</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Lundrim vendas</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CO2</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63</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0.006</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1.0%</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92.5%</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5 D</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Trajtimi dhe shkarkimi i ujërave të zeza</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N2O</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48</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51</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0.005</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0.8%</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93.3%</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 A 2 e gaz</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Përpunimi i ushqimit, pijeve dhe duhanit</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CO2</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31</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0.003</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0.5%</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93.8%</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 A 2 g iii lëngje</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Miniera (përjashtuar karburantet) dhe gurorë</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CO2</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29</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0.003</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0.5%</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94.2%</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2 C 1</w: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Prodhimi i hekurit dhe çelikut</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CO2</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138</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28</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0.003</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0.4%</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94.7%</w:t>
            </w:r>
          </w:p>
        </w:tc>
      </w:tr>
      <w:tr w:rsidR="007655ED" w:rsidRPr="007655ED" w:rsidTr="007655ED">
        <w:trPr>
          <w:tblCellSpacing w:w="15" w:type="dxa"/>
        </w:trPr>
        <w:tc>
          <w:tcPr>
            <w:tcW w:w="1215"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1 B 2 c</w:t>
            </w:r>
            <w:r w:rsidR="0064059F">
              <w:rPr>
                <w:rFonts w:ascii="Times New Roman" w:eastAsia="Aptos" w:hAnsi="Times New Roman" w:cs="Times New Roman"/>
                <w:kern w:val="2"/>
                <w:sz w:val="20"/>
                <w:szCs w:val="20"/>
                <w:lang w:bidi="en-US"/>
                <w14:ligatures w14:val="standardContextual"/>
              </w:rPr>
              <w:pict>
                <v:rect id="_x0000_i1027" style="width:0;height:1.5pt" o:hralign="center" o:hrstd="t" o:hr="t" fillcolor="#a0a0a0" stroked="f"/>
              </w:pict>
            </w:r>
          </w:p>
        </w:tc>
        <w:tc>
          <w:tcPr>
            <w:tcW w:w="216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Djegie dhe flakërim</w:t>
            </w:r>
          </w:p>
        </w:tc>
        <w:tc>
          <w:tcPr>
            <w:tcW w:w="537"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CH4</w:t>
            </w:r>
          </w:p>
        </w:tc>
        <w:tc>
          <w:tcPr>
            <w:tcW w:w="976"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58</w:t>
            </w:r>
          </w:p>
        </w:tc>
        <w:tc>
          <w:tcPr>
            <w:tcW w:w="1153"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27</w:t>
            </w:r>
          </w:p>
        </w:tc>
        <w:tc>
          <w:tcPr>
            <w:tcW w:w="1038"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0.003</w:t>
            </w:r>
          </w:p>
        </w:tc>
        <w:tc>
          <w:tcPr>
            <w:tcW w:w="1090"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0.4%</w:t>
            </w:r>
          </w:p>
        </w:tc>
        <w:tc>
          <w:tcPr>
            <w:tcW w:w="1094" w:type="dxa"/>
            <w:vAlign w:val="center"/>
            <w:hideMark/>
          </w:tcPr>
          <w:p w:rsidR="007655ED" w:rsidRPr="007655ED" w:rsidRDefault="007655ED" w:rsidP="007655ED">
            <w:pPr>
              <w:widowControl w:val="0"/>
              <w:autoSpaceDE w:val="0"/>
              <w:autoSpaceDN w:val="0"/>
              <w:spacing w:after="80" w:line="288" w:lineRule="auto"/>
              <w:jc w:val="both"/>
              <w:rPr>
                <w:rFonts w:ascii="Times New Roman" w:eastAsia="Aptos" w:hAnsi="Times New Roman" w:cs="Times New Roman"/>
                <w:kern w:val="2"/>
                <w:sz w:val="20"/>
                <w:szCs w:val="20"/>
                <w:lang w:bidi="en-US"/>
                <w14:ligatures w14:val="standardContextual"/>
              </w:rPr>
            </w:pPr>
            <w:r w:rsidRPr="007655ED">
              <w:rPr>
                <w:rFonts w:ascii="Times New Roman" w:eastAsia="Aptos" w:hAnsi="Times New Roman" w:cs="Times New Roman"/>
                <w:kern w:val="2"/>
                <w:sz w:val="20"/>
                <w:szCs w:val="20"/>
                <w:lang w:bidi="en-US"/>
                <w14:ligatures w14:val="standardContextual"/>
              </w:rPr>
              <w:t>95.1%</w:t>
            </w:r>
          </w:p>
        </w:tc>
      </w:tr>
    </w:tbl>
    <w:p w:rsidR="007655ED" w:rsidRPr="007655ED" w:rsidRDefault="007655ED" w:rsidP="007655ED">
      <w:pPr>
        <w:spacing w:line="278" w:lineRule="auto"/>
        <w:jc w:val="both"/>
        <w:rPr>
          <w:rFonts w:ascii="Times New Roman" w:eastAsia="Aptos" w:hAnsi="Times New Roman" w:cs="Times New Roman"/>
          <w:kern w:val="2"/>
          <w:sz w:val="24"/>
          <w:szCs w:val="24"/>
          <w14:ligatures w14:val="standardContextual"/>
        </w:rPr>
      </w:pPr>
    </w:p>
    <w:p w:rsidR="007655ED" w:rsidRPr="009559E2" w:rsidRDefault="007655ED" w:rsidP="00807975">
      <w:pPr>
        <w:pStyle w:val="ListParagraph"/>
        <w:numPr>
          <w:ilvl w:val="0"/>
          <w:numId w:val="43"/>
        </w:numPr>
        <w:spacing w:line="278" w:lineRule="auto"/>
        <w:jc w:val="both"/>
        <w:rPr>
          <w:rFonts w:ascii="Times New Roman" w:eastAsia="Aptos" w:hAnsi="Times New Roman" w:cs="Times New Roman"/>
          <w:b/>
          <w:bCs/>
          <w:kern w:val="2"/>
          <w:sz w:val="24"/>
          <w:szCs w:val="24"/>
          <w14:ligatures w14:val="standardContextual"/>
        </w:rPr>
      </w:pPr>
      <w:r w:rsidRPr="009559E2">
        <w:rPr>
          <w:rFonts w:ascii="Times New Roman" w:eastAsia="Aptos" w:hAnsi="Times New Roman" w:cs="Times New Roman"/>
          <w:b/>
          <w:bCs/>
          <w:kern w:val="2"/>
          <w:sz w:val="24"/>
          <w:szCs w:val="24"/>
          <w14:ligatures w14:val="standardContextual"/>
        </w:rPr>
        <w:t>Ndikimet dhe ndjeshmëria ndaj klimës</w:t>
      </w:r>
    </w:p>
    <w:p w:rsidR="007655ED" w:rsidRPr="007655ED" w:rsidRDefault="007655ED" w:rsidP="007655ED">
      <w:pPr>
        <w:spacing w:line="278"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 xml:space="preserve">Shqipëria konsiderohet </w:t>
      </w:r>
      <w:r w:rsidRPr="007655ED">
        <w:rPr>
          <w:rFonts w:ascii="Times New Roman" w:eastAsia="Aptos" w:hAnsi="Times New Roman" w:cs="Times New Roman"/>
          <w:b/>
          <w:bCs/>
          <w:kern w:val="2"/>
          <w:sz w:val="24"/>
          <w:szCs w:val="24"/>
          <w14:ligatures w14:val="standardContextual"/>
        </w:rPr>
        <w:t>veçanërisht e ndjeshme</w:t>
      </w:r>
      <w:r w:rsidRPr="007655ED">
        <w:rPr>
          <w:rFonts w:ascii="Times New Roman" w:eastAsia="Aptos" w:hAnsi="Times New Roman" w:cs="Times New Roman"/>
          <w:kern w:val="2"/>
          <w:sz w:val="24"/>
          <w:szCs w:val="24"/>
          <w14:ligatures w14:val="standardContextual"/>
        </w:rPr>
        <w:t xml:space="preserve"> ndaj ndryshimeve klimatike. Rreziqet kryesore përfshijnë:</w:t>
      </w:r>
    </w:p>
    <w:p w:rsidR="007655ED" w:rsidRPr="007655ED" w:rsidRDefault="007655ED" w:rsidP="00807975">
      <w:pPr>
        <w:numPr>
          <w:ilvl w:val="0"/>
          <w:numId w:val="39"/>
        </w:numPr>
        <w:spacing w:line="278"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b/>
          <w:bCs/>
          <w:kern w:val="2"/>
          <w:sz w:val="24"/>
          <w:szCs w:val="24"/>
          <w14:ligatures w14:val="standardContextual"/>
        </w:rPr>
        <w:t>thatësira dhe përmbytje</w:t>
      </w:r>
      <w:r w:rsidRPr="007655ED">
        <w:rPr>
          <w:rFonts w:ascii="Times New Roman" w:eastAsia="Aptos" w:hAnsi="Times New Roman" w:cs="Times New Roman"/>
          <w:kern w:val="2"/>
          <w:sz w:val="24"/>
          <w:szCs w:val="24"/>
          <w14:ligatures w14:val="standardContextual"/>
        </w:rPr>
        <w:t xml:space="preserve">, që ndikojnë drejtpërdrejt </w:t>
      </w:r>
      <w:r w:rsidR="00A60649">
        <w:rPr>
          <w:rFonts w:ascii="Times New Roman" w:eastAsia="Aptos" w:hAnsi="Times New Roman" w:cs="Times New Roman"/>
          <w:kern w:val="2"/>
          <w:sz w:val="24"/>
          <w:szCs w:val="24"/>
          <w14:ligatures w14:val="standardContextual"/>
        </w:rPr>
        <w:t xml:space="preserve">në </w:t>
      </w:r>
      <w:r w:rsidRPr="007655ED">
        <w:rPr>
          <w:rFonts w:ascii="Times New Roman" w:eastAsia="Aptos" w:hAnsi="Times New Roman" w:cs="Times New Roman"/>
          <w:kern w:val="2"/>
          <w:sz w:val="24"/>
          <w:szCs w:val="24"/>
          <w14:ligatures w14:val="standardContextual"/>
        </w:rPr>
        <w:t>sektorin e ujit dhe bujqësinë;</w:t>
      </w:r>
    </w:p>
    <w:p w:rsidR="007655ED" w:rsidRPr="007655ED" w:rsidRDefault="007655ED" w:rsidP="00807975">
      <w:pPr>
        <w:numPr>
          <w:ilvl w:val="0"/>
          <w:numId w:val="39"/>
        </w:numPr>
        <w:spacing w:line="278"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b/>
          <w:bCs/>
          <w:kern w:val="2"/>
          <w:sz w:val="24"/>
          <w:szCs w:val="24"/>
          <w14:ligatures w14:val="standardContextual"/>
        </w:rPr>
        <w:t>zjarre pyjore</w:t>
      </w:r>
      <w:r w:rsidRPr="007655ED">
        <w:rPr>
          <w:rFonts w:ascii="Times New Roman" w:eastAsia="Aptos" w:hAnsi="Times New Roman" w:cs="Times New Roman"/>
          <w:kern w:val="2"/>
          <w:sz w:val="24"/>
          <w:szCs w:val="24"/>
          <w14:ligatures w14:val="standardContextual"/>
        </w:rPr>
        <w:t>, veçanërisht në zonat bregdetare dhe qendrore;</w:t>
      </w:r>
    </w:p>
    <w:p w:rsidR="007655ED" w:rsidRPr="007655ED" w:rsidRDefault="007655ED" w:rsidP="00807975">
      <w:pPr>
        <w:numPr>
          <w:ilvl w:val="0"/>
          <w:numId w:val="39"/>
        </w:numPr>
        <w:spacing w:line="278"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b/>
          <w:bCs/>
          <w:kern w:val="2"/>
          <w:sz w:val="24"/>
          <w:szCs w:val="24"/>
          <w14:ligatures w14:val="standardContextual"/>
        </w:rPr>
        <w:t>valë të nxehti</w:t>
      </w:r>
      <w:r w:rsidRPr="007655ED">
        <w:rPr>
          <w:rFonts w:ascii="Times New Roman" w:eastAsia="Aptos" w:hAnsi="Times New Roman" w:cs="Times New Roman"/>
          <w:kern w:val="2"/>
          <w:sz w:val="24"/>
          <w:szCs w:val="24"/>
          <w14:ligatures w14:val="standardContextual"/>
        </w:rPr>
        <w:t>, me pasoja për shëndetin publik;</w:t>
      </w:r>
    </w:p>
    <w:p w:rsidR="007655ED" w:rsidRPr="007655ED" w:rsidRDefault="007655ED" w:rsidP="00807975">
      <w:pPr>
        <w:numPr>
          <w:ilvl w:val="0"/>
          <w:numId w:val="39"/>
        </w:numPr>
        <w:spacing w:line="278"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b/>
          <w:bCs/>
          <w:kern w:val="2"/>
          <w:sz w:val="24"/>
          <w:szCs w:val="24"/>
          <w14:ligatures w14:val="standardContextual"/>
        </w:rPr>
        <w:lastRenderedPageBreak/>
        <w:t>ndryshime në biodiversitet dhe peshkim</w:t>
      </w:r>
      <w:r w:rsidRPr="007655ED">
        <w:rPr>
          <w:rFonts w:ascii="Times New Roman" w:eastAsia="Aptos" w:hAnsi="Times New Roman" w:cs="Times New Roman"/>
          <w:kern w:val="2"/>
          <w:sz w:val="24"/>
          <w:szCs w:val="24"/>
          <w14:ligatures w14:val="standardContextual"/>
        </w:rPr>
        <w:t xml:space="preserve">, të lidhura me rritjen e temperaturës së ujit të detit. </w:t>
      </w:r>
    </w:p>
    <w:p w:rsidR="007655ED" w:rsidRPr="007655ED" w:rsidRDefault="007655ED" w:rsidP="007655ED">
      <w:pPr>
        <w:spacing w:line="278"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Reduktimi i reshjeve dhe i borës pritet të çojë në ulje të disponueshmërisë së ujërave sipërfaqësore, duke rritur presionin mbi burimet natyrore dhe ekonominë rurale.</w:t>
      </w:r>
    </w:p>
    <w:p w:rsidR="007655ED" w:rsidRPr="007655ED" w:rsidRDefault="007655ED" w:rsidP="007655ED">
      <w:pPr>
        <w:spacing w:line="278" w:lineRule="auto"/>
        <w:jc w:val="both"/>
        <w:rPr>
          <w:rFonts w:ascii="Times New Roman" w:eastAsia="Aptos" w:hAnsi="Times New Roman" w:cs="Times New Roman"/>
          <w:kern w:val="2"/>
          <w:sz w:val="24"/>
          <w:szCs w:val="24"/>
          <w14:ligatures w14:val="standardContextual"/>
        </w:rPr>
      </w:pPr>
    </w:p>
    <w:p w:rsidR="007655ED" w:rsidRPr="007655ED" w:rsidRDefault="00CB1F77" w:rsidP="007655ED">
      <w:pPr>
        <w:spacing w:line="278" w:lineRule="auto"/>
        <w:jc w:val="both"/>
        <w:rPr>
          <w:rFonts w:ascii="Times New Roman" w:eastAsia="Aptos" w:hAnsi="Times New Roman" w:cs="Times New Roman"/>
          <w:b/>
          <w:bCs/>
          <w:kern w:val="2"/>
          <w:sz w:val="24"/>
          <w:szCs w:val="24"/>
          <w14:ligatures w14:val="standardContextual"/>
        </w:rPr>
      </w:pPr>
      <w:r>
        <w:rPr>
          <w:rFonts w:ascii="Times New Roman" w:eastAsia="Aptos" w:hAnsi="Times New Roman" w:cs="Times New Roman"/>
          <w:b/>
          <w:bCs/>
          <w:kern w:val="2"/>
          <w:sz w:val="24"/>
          <w:szCs w:val="24"/>
          <w14:ligatures w14:val="standardContextual"/>
        </w:rPr>
        <w:t>9</w:t>
      </w:r>
      <w:r w:rsidR="009559E2">
        <w:rPr>
          <w:rFonts w:ascii="Times New Roman" w:eastAsia="Aptos" w:hAnsi="Times New Roman" w:cs="Times New Roman"/>
          <w:b/>
          <w:bCs/>
          <w:kern w:val="2"/>
          <w:sz w:val="24"/>
          <w:szCs w:val="24"/>
          <w14:ligatures w14:val="standardContextual"/>
        </w:rPr>
        <w:t>.</w:t>
      </w:r>
      <w:r w:rsidR="007655ED" w:rsidRPr="007655ED">
        <w:rPr>
          <w:rFonts w:ascii="Times New Roman" w:eastAsia="Aptos" w:hAnsi="Times New Roman" w:cs="Times New Roman"/>
          <w:b/>
          <w:bCs/>
          <w:kern w:val="2"/>
          <w:sz w:val="24"/>
          <w:szCs w:val="24"/>
          <w14:ligatures w14:val="standardContextual"/>
        </w:rPr>
        <w:t>4. Përfundime</w:t>
      </w:r>
    </w:p>
    <w:p w:rsidR="007655ED" w:rsidRPr="007655ED" w:rsidRDefault="007655ED" w:rsidP="007655ED">
      <w:pPr>
        <w:spacing w:line="278" w:lineRule="auto"/>
        <w:jc w:val="both"/>
        <w:rPr>
          <w:rFonts w:ascii="Times New Roman" w:eastAsia="Aptos" w:hAnsi="Times New Roman" w:cs="Times New Roman"/>
          <w:kern w:val="2"/>
          <w:sz w:val="24"/>
          <w:szCs w:val="24"/>
          <w14:ligatures w14:val="standardContextual"/>
        </w:rPr>
      </w:pPr>
      <w:r w:rsidRPr="007655ED">
        <w:rPr>
          <w:rFonts w:ascii="Times New Roman" w:eastAsia="Aptos" w:hAnsi="Times New Roman" w:cs="Times New Roman"/>
          <w:kern w:val="2"/>
          <w:sz w:val="24"/>
          <w:szCs w:val="24"/>
          <w14:ligatures w14:val="standardContextual"/>
        </w:rPr>
        <w:t xml:space="preserve">Ndryshimet klimatike përbëjnë një rrezik të rëndësishëm për zhvillimin e qëndrueshëm të Shqipërisë. Megjithëse vendi ka shënuar ulje të konsiderueshme të emetimeve që nga viti 1990, sfidat mbeten të mëdha, veçanërisht në sektorin e energjisë, transportit dhe mbetjeve. Forcimi i politikave klimatike, përmirësimi i sistemeve të raportimit dhe investimet në energji të rinovueshme dhe masa përshtatëse janë thelbësore për të përballuar ndikimet e ardhshme të ndryshimeve klimatike.  </w:t>
      </w:r>
    </w:p>
    <w:p w:rsidR="00124F57" w:rsidRPr="006D69C4" w:rsidRDefault="00CB1F77" w:rsidP="006D69C4">
      <w:pPr>
        <w:keepNext/>
        <w:keepLines/>
        <w:spacing w:before="480" w:after="0" w:line="276" w:lineRule="auto"/>
        <w:jc w:val="both"/>
        <w:outlineLvl w:val="0"/>
        <w:rPr>
          <w:rFonts w:ascii="Times New Roman" w:eastAsia="Times New Roman" w:hAnsi="Times New Roman" w:cs="Times New Roman"/>
          <w:b/>
          <w:bCs/>
          <w:sz w:val="24"/>
          <w:szCs w:val="24"/>
          <w:lang w:val="sq-AL"/>
        </w:rPr>
      </w:pPr>
      <w:r>
        <w:rPr>
          <w:rFonts w:ascii="Times New Roman" w:eastAsia="Aptos" w:hAnsi="Times New Roman" w:cs="Times New Roman"/>
          <w:b/>
          <w:kern w:val="2"/>
          <w:sz w:val="24"/>
          <w:szCs w:val="24"/>
          <w14:ligatures w14:val="standardContextual"/>
        </w:rPr>
        <w:t>9</w:t>
      </w:r>
      <w:r w:rsidR="009559E2" w:rsidRPr="006D69C4">
        <w:rPr>
          <w:rFonts w:ascii="Times New Roman" w:eastAsia="Aptos" w:hAnsi="Times New Roman" w:cs="Times New Roman"/>
          <w:b/>
          <w:kern w:val="2"/>
          <w:sz w:val="24"/>
          <w:szCs w:val="24"/>
          <w14:ligatures w14:val="standardContextual"/>
        </w:rPr>
        <w:t>.5</w:t>
      </w:r>
      <w:r w:rsidR="009559E2" w:rsidRPr="006D69C4">
        <w:rPr>
          <w:rFonts w:ascii="Times New Roman" w:eastAsia="Aptos" w:hAnsi="Times New Roman" w:cs="Times New Roman"/>
          <w:kern w:val="2"/>
          <w:sz w:val="24"/>
          <w:szCs w:val="24"/>
          <w14:ligatures w14:val="standardContextual"/>
        </w:rPr>
        <w:t xml:space="preserve"> </w:t>
      </w:r>
      <w:r w:rsidR="006D69C4">
        <w:rPr>
          <w:rFonts w:ascii="Times New Roman" w:eastAsia="Times New Roman" w:hAnsi="Times New Roman" w:cs="Times New Roman"/>
          <w:b/>
          <w:bCs/>
          <w:sz w:val="24"/>
          <w:szCs w:val="24"/>
          <w:lang w:val="sq-AL"/>
        </w:rPr>
        <w:t>Objektivat strategjk për energjinë dhe klimë</w:t>
      </w:r>
      <w:r w:rsidR="00124F57" w:rsidRPr="006D69C4">
        <w:rPr>
          <w:rFonts w:ascii="Times New Roman" w:eastAsia="Times New Roman" w:hAnsi="Times New Roman" w:cs="Times New Roman"/>
          <w:b/>
          <w:bCs/>
          <w:sz w:val="24"/>
          <w:szCs w:val="24"/>
          <w:lang w:val="sq-AL"/>
        </w:rPr>
        <w:t>n</w:t>
      </w:r>
    </w:p>
    <w:p w:rsidR="00DD3BBF" w:rsidRPr="00BC3D1F" w:rsidRDefault="00DD3BBF" w:rsidP="00807975">
      <w:pPr>
        <w:pStyle w:val="ListParagraph"/>
        <w:keepNext/>
        <w:keepLines/>
        <w:numPr>
          <w:ilvl w:val="0"/>
          <w:numId w:val="44"/>
        </w:numPr>
        <w:spacing w:before="480" w:after="0" w:line="276" w:lineRule="auto"/>
        <w:jc w:val="both"/>
        <w:outlineLvl w:val="0"/>
        <w:rPr>
          <w:rFonts w:ascii="Times New Roman" w:eastAsia="Times New Roman" w:hAnsi="Times New Roman" w:cs="Times New Roman"/>
          <w:b/>
          <w:bCs/>
          <w:sz w:val="24"/>
          <w:szCs w:val="24"/>
          <w:lang w:val="sq-AL"/>
        </w:rPr>
      </w:pPr>
      <w:r w:rsidRPr="00BC3D1F">
        <w:rPr>
          <w:rFonts w:ascii="Times New Roman" w:eastAsia="Times New Roman" w:hAnsi="Times New Roman" w:cs="Times New Roman"/>
          <w:b/>
          <w:bCs/>
          <w:sz w:val="24"/>
          <w:szCs w:val="24"/>
          <w:lang w:val="sq-AL"/>
        </w:rPr>
        <w:t>Strategjia Kombëtare e Energjisë 2018-2030 (Shqipëri)</w:t>
      </w:r>
    </w:p>
    <w:p w:rsidR="00DD3BBF" w:rsidRPr="006D69C4" w:rsidRDefault="00DD3BBF" w:rsidP="00BC3D1F">
      <w:pPr>
        <w:spacing w:after="0" w:line="240" w:lineRule="auto"/>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Strategjia Kombëtare e Energjisë 2018-2030 është dokumenti kryesor politik dhe strategjik që orienton zhvillimin afatmesëm dhe afatgjatë të sektorit energjetik në Shqipëri. Ajo është miratuar me Vendim të Këshillit të Ministrave nr. 480, datë 31.07.2018, dhe synon krijimin e një sistemi energjetik të qëndrueshëm, të sigurt dhe të integruar me tregun rajonal dhe atë europian.</w:t>
      </w:r>
    </w:p>
    <w:p w:rsidR="00DD3BBF" w:rsidRPr="006D69C4" w:rsidRDefault="00DD3BBF" w:rsidP="00BC3D1F">
      <w:pPr>
        <w:keepNext/>
        <w:keepLines/>
        <w:spacing w:after="0" w:line="240" w:lineRule="auto"/>
        <w:jc w:val="both"/>
        <w:outlineLvl w:val="1"/>
        <w:rPr>
          <w:rFonts w:ascii="Times New Roman" w:eastAsia="Times New Roman" w:hAnsi="Times New Roman" w:cs="Times New Roman"/>
          <w:b/>
          <w:bCs/>
          <w:sz w:val="24"/>
          <w:szCs w:val="24"/>
        </w:rPr>
      </w:pPr>
      <w:r w:rsidRPr="006D69C4">
        <w:rPr>
          <w:rFonts w:ascii="Times New Roman" w:eastAsia="Times New Roman" w:hAnsi="Times New Roman" w:cs="Times New Roman"/>
          <w:b/>
          <w:bCs/>
          <w:sz w:val="24"/>
          <w:szCs w:val="24"/>
          <w:lang w:val="sq-AL"/>
        </w:rPr>
        <w:t>Qëllimi i Strategjisë</w:t>
      </w:r>
    </w:p>
    <w:p w:rsidR="00DD3BBF" w:rsidRPr="006D69C4" w:rsidRDefault="00DD3BBF" w:rsidP="00BC3D1F">
      <w:pPr>
        <w:spacing w:after="0" w:line="240" w:lineRule="auto"/>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Qëllimi kryesor i Strategjisë Kombëtare të Energjisë 2018–2030 është të sigurojë furnizim të qëndrueshëm dhe të përballueshëm me energji për ekonominë dhe qytetarët, duke shfrytëzuar në mënyrë optimale burimet kombëtare të energjisë, duke rritur sigurinë energjetike, konkurrueshmërinë e tregut dhe duke reduktuar ndikimin negativ në mjedis dhe ndryshimet klimatike.</w:t>
      </w:r>
    </w:p>
    <w:p w:rsidR="00DD3BBF" w:rsidRPr="006D69C4" w:rsidRDefault="00DD3BBF" w:rsidP="00BC3D1F">
      <w:pPr>
        <w:keepNext/>
        <w:keepLines/>
        <w:spacing w:after="0" w:line="240" w:lineRule="auto"/>
        <w:jc w:val="both"/>
        <w:outlineLvl w:val="1"/>
        <w:rPr>
          <w:rFonts w:ascii="Times New Roman" w:eastAsia="Times New Roman" w:hAnsi="Times New Roman" w:cs="Times New Roman"/>
          <w:b/>
          <w:bCs/>
          <w:sz w:val="24"/>
          <w:szCs w:val="24"/>
          <w:lang w:val="sq-AL"/>
        </w:rPr>
      </w:pPr>
      <w:r w:rsidRPr="006D69C4">
        <w:rPr>
          <w:rFonts w:ascii="Times New Roman" w:eastAsia="Times New Roman" w:hAnsi="Times New Roman" w:cs="Times New Roman"/>
          <w:b/>
          <w:bCs/>
          <w:sz w:val="24"/>
          <w:szCs w:val="24"/>
          <w:lang w:val="sq-AL"/>
        </w:rPr>
        <w:t>Objektivat Kryesore</w:t>
      </w:r>
    </w:p>
    <w:p w:rsidR="00DD3BBF" w:rsidRPr="006D69C4" w:rsidRDefault="00DD3BBF" w:rsidP="00BC3D1F">
      <w:pPr>
        <w:spacing w:after="0" w:line="240" w:lineRule="auto"/>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Strategjia përcakton disa objektiva kryesore që duhet të arrihen deri në vitin 2030:</w:t>
      </w:r>
    </w:p>
    <w:p w:rsidR="00DD3BBF" w:rsidRPr="006D69C4" w:rsidRDefault="00DD3BBF" w:rsidP="00820C3D">
      <w:pPr>
        <w:numPr>
          <w:ilvl w:val="0"/>
          <w:numId w:val="12"/>
        </w:numPr>
        <w:spacing w:after="0" w:line="240"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Zhvillimin e burimeve kombëtare të energjisë, me qëllim shfrytëzimin optimal dhe të qëndrueshëm të potencialeve energjitike vendase.</w:t>
      </w:r>
    </w:p>
    <w:p w:rsidR="00DD3BBF" w:rsidRPr="006D69C4" w:rsidRDefault="00DD3BBF" w:rsidP="00820C3D">
      <w:pPr>
        <w:numPr>
          <w:ilvl w:val="0"/>
          <w:numId w:val="12"/>
        </w:numPr>
        <w:spacing w:after="0" w:line="240"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Krijimin e një sistemi energjitik të integruar në nivel rajonal, të harmonizuar me tregjet energjitike të rajonit dhe Bashkimit Evropian.</w:t>
      </w:r>
    </w:p>
    <w:p w:rsidR="00DD3BBF" w:rsidRPr="006D69C4" w:rsidRDefault="00DD3BBF" w:rsidP="00820C3D">
      <w:pPr>
        <w:numPr>
          <w:ilvl w:val="0"/>
          <w:numId w:val="12"/>
        </w:numPr>
        <w:spacing w:after="0" w:line="240"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Diversifikimin e burimeve dhe teknologjive të energjisë, për të reduktuar varësinë nga burime të vetme dhe për të rritur qëndrueshmërinë e sistemit energjitik.</w:t>
      </w:r>
    </w:p>
    <w:p w:rsidR="00DD3BBF" w:rsidRPr="006D69C4" w:rsidRDefault="00DD3BBF" w:rsidP="00820C3D">
      <w:pPr>
        <w:numPr>
          <w:ilvl w:val="0"/>
          <w:numId w:val="12"/>
        </w:numPr>
        <w:spacing w:after="200" w:line="276"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Funksionimin e sektorit energjitik mbi parimet e tregu</w:t>
      </w:r>
      <w:r w:rsidR="00A60649">
        <w:rPr>
          <w:rFonts w:ascii="Times New Roman" w:eastAsia="Times New Roman" w:hAnsi="Times New Roman" w:cs="Times New Roman"/>
          <w:sz w:val="24"/>
          <w:szCs w:val="24"/>
          <w:lang w:val="sq-AL"/>
        </w:rPr>
        <w:t>t, duke nxitur konkurencën, efiç</w:t>
      </w:r>
      <w:r w:rsidRPr="006D69C4">
        <w:rPr>
          <w:rFonts w:ascii="Times New Roman" w:eastAsia="Times New Roman" w:hAnsi="Times New Roman" w:cs="Times New Roman"/>
          <w:sz w:val="24"/>
          <w:szCs w:val="24"/>
          <w:lang w:val="sq-AL"/>
        </w:rPr>
        <w:t>iencën ekonomike dhe transparencën.</w:t>
      </w:r>
    </w:p>
    <w:p w:rsidR="00DD3BBF" w:rsidRPr="006D69C4" w:rsidRDefault="00DD3BBF" w:rsidP="00820C3D">
      <w:pPr>
        <w:numPr>
          <w:ilvl w:val="0"/>
          <w:numId w:val="12"/>
        </w:numPr>
        <w:spacing w:after="200" w:line="276"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Përmbushjen e kërkesës për energji të ekonomisë dhe popullsisë, në mbështjetje të zhvillimit të qëndrueshëm ekonomik  dhe social.</w:t>
      </w:r>
    </w:p>
    <w:p w:rsidR="00DD3BBF" w:rsidRPr="006D69C4" w:rsidRDefault="00DD3BBF" w:rsidP="00820C3D">
      <w:pPr>
        <w:numPr>
          <w:ilvl w:val="0"/>
          <w:numId w:val="12"/>
        </w:numPr>
        <w:spacing w:after="0" w:line="240"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 xml:space="preserve">Garantimin e sigurisë dhe cilësisë së furnizimit me energji, për të siguruar furnizim të </w:t>
      </w:r>
      <w:r w:rsidRPr="006D69C4">
        <w:rPr>
          <w:rFonts w:ascii="Times New Roman" w:eastAsia="Times New Roman" w:hAnsi="Times New Roman" w:cs="Times New Roman"/>
          <w:sz w:val="24"/>
          <w:szCs w:val="24"/>
          <w:lang w:val="sq-AL"/>
        </w:rPr>
        <w:lastRenderedPageBreak/>
        <w:t>vazhdueshëm, të besueshëm dhe cilësor.</w:t>
      </w:r>
    </w:p>
    <w:p w:rsidR="00DD3BBF" w:rsidRPr="006D69C4" w:rsidRDefault="00DD3BBF" w:rsidP="00820C3D">
      <w:pPr>
        <w:numPr>
          <w:ilvl w:val="0"/>
          <w:numId w:val="12"/>
        </w:numPr>
        <w:spacing w:after="0" w:line="240"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Mbrojtjen e mjedisit dhe reduktimin e ndikimeve negative mjedisore, përmes përdorimit të burimeve të pastra dhe teknologjive me ndikim të ulët mjedisor.</w:t>
      </w:r>
    </w:p>
    <w:p w:rsidR="00DD3BBF" w:rsidRPr="006D69C4" w:rsidRDefault="00DD3BBF" w:rsidP="00820C3D">
      <w:pPr>
        <w:numPr>
          <w:ilvl w:val="0"/>
          <w:numId w:val="12"/>
        </w:numPr>
        <w:spacing w:after="0" w:line="240"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Mbështetjen e veprimeve për klimën, duke kontribuar në reduktimin e emetimeve të gazrave serrë dhe përshtatjen ndaj ndryshimeve klimatike.</w:t>
      </w:r>
    </w:p>
    <w:p w:rsidR="00DD3BBF" w:rsidRPr="006D69C4" w:rsidRDefault="00DD3BBF" w:rsidP="00820C3D">
      <w:pPr>
        <w:numPr>
          <w:ilvl w:val="0"/>
          <w:numId w:val="12"/>
        </w:numPr>
        <w:spacing w:after="0" w:line="240"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Rritjen e mirëqenies së shoqërisë me kosto sociale të përballueshme, duke garantuar akses të drejtë  në energji dhe minimizuar ndikimet sociale  të politikave energjitike.</w:t>
      </w:r>
    </w:p>
    <w:p w:rsidR="00DD3BBF" w:rsidRPr="006D69C4" w:rsidRDefault="00DD3BBF" w:rsidP="00FE1F1B">
      <w:pPr>
        <w:spacing w:after="0" w:line="240" w:lineRule="auto"/>
        <w:contextualSpacing/>
        <w:jc w:val="both"/>
        <w:rPr>
          <w:rFonts w:ascii="Times New Roman" w:eastAsia="Times New Roman" w:hAnsi="Times New Roman" w:cs="Times New Roman"/>
          <w:sz w:val="24"/>
          <w:szCs w:val="24"/>
          <w:lang w:val="sq-AL"/>
        </w:rPr>
      </w:pPr>
    </w:p>
    <w:p w:rsidR="00DD3BBF" w:rsidRPr="006D69C4" w:rsidRDefault="00DD3BBF" w:rsidP="006D69C4">
      <w:pPr>
        <w:keepNext/>
        <w:keepLines/>
        <w:spacing w:before="200" w:after="0" w:line="276" w:lineRule="auto"/>
        <w:jc w:val="both"/>
        <w:outlineLvl w:val="1"/>
        <w:rPr>
          <w:rFonts w:ascii="Times New Roman" w:eastAsia="Times New Roman" w:hAnsi="Times New Roman" w:cs="Times New Roman"/>
          <w:b/>
          <w:bCs/>
          <w:sz w:val="24"/>
          <w:szCs w:val="24"/>
          <w:lang w:val="sq-AL"/>
        </w:rPr>
      </w:pPr>
      <w:r w:rsidRPr="006D69C4">
        <w:rPr>
          <w:rFonts w:ascii="Times New Roman" w:eastAsia="Times New Roman" w:hAnsi="Times New Roman" w:cs="Times New Roman"/>
          <w:b/>
          <w:bCs/>
          <w:sz w:val="24"/>
          <w:szCs w:val="24"/>
          <w:lang w:val="sq-AL"/>
        </w:rPr>
        <w:t>Targetet Kryesore të Strategjisë deri në 2030</w:t>
      </w:r>
    </w:p>
    <w:p w:rsidR="00DD3BBF" w:rsidRPr="006D69C4" w:rsidRDefault="00DD3BBF" w:rsidP="006D69C4">
      <w:pPr>
        <w:spacing w:after="200" w:line="276" w:lineRule="auto"/>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Strategjia përcakton objektiva të matshme (targete) për periudhën deri në vitin 2030, ndër të cilat:</w:t>
      </w:r>
    </w:p>
    <w:p w:rsidR="00DD3BBF" w:rsidRPr="006D69C4" w:rsidRDefault="00DD3BBF" w:rsidP="00820C3D">
      <w:pPr>
        <w:numPr>
          <w:ilvl w:val="0"/>
          <w:numId w:val="11"/>
        </w:numPr>
        <w:spacing w:after="200" w:line="276"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Vazhdimin e reduktimit të humbjeve në rrjetin e shpërndarjes së energjisë elektrike nga 26.4% në vitin 2017 në 10% në vitin 2030.</w:t>
      </w:r>
    </w:p>
    <w:p w:rsidR="00DD3BBF" w:rsidRPr="006D69C4" w:rsidRDefault="00DD3BBF" w:rsidP="00820C3D">
      <w:pPr>
        <w:numPr>
          <w:ilvl w:val="0"/>
          <w:numId w:val="11"/>
        </w:numPr>
        <w:spacing w:after="200" w:line="276"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 xml:space="preserve"> Vazhdimin e rritjes së arketimeve të energjisë elektrike nga 90% në vitin 2018 në 98% në vitin 2030.</w:t>
      </w:r>
    </w:p>
    <w:p w:rsidR="00DD3BBF" w:rsidRPr="006D69C4" w:rsidRDefault="00DD3BBF" w:rsidP="00820C3D">
      <w:pPr>
        <w:numPr>
          <w:ilvl w:val="0"/>
          <w:numId w:val="11"/>
        </w:numPr>
        <w:spacing w:after="200" w:line="276"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Rritjen e kontributit të burimeve primare të energjisë kundrejt furnizimit total me burime primare të energjisë në nivelin 52.5% në vitin 2030.</w:t>
      </w:r>
    </w:p>
    <w:p w:rsidR="00DD3BBF" w:rsidRPr="006D69C4" w:rsidRDefault="00DD3BBF" w:rsidP="00820C3D">
      <w:pPr>
        <w:numPr>
          <w:ilvl w:val="0"/>
          <w:numId w:val="11"/>
        </w:numPr>
        <w:spacing w:after="200" w:line="276"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Shkalla e hapjes së tregut të energjisë elektrike të arrijë 100% në vitin 2025 duke ndërtuar njëkohësisht një skemë të thjeshtë dhe të zbatueshme në drejtim të mbrojtjes së konsumatorëve familjarë me të ardhura të ulëta.</w:t>
      </w:r>
    </w:p>
    <w:p w:rsidR="00DD3BBF" w:rsidRPr="006D69C4" w:rsidRDefault="00DD3BBF" w:rsidP="00820C3D">
      <w:pPr>
        <w:numPr>
          <w:ilvl w:val="0"/>
          <w:numId w:val="11"/>
        </w:numPr>
        <w:spacing w:after="200" w:line="276"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Ekonomia dhe shoqëria shqiptare të arrijë një nivel kursimi të energjisë kundrejt konsumit total me 15% në vitin 2030.</w:t>
      </w:r>
    </w:p>
    <w:p w:rsidR="00DD3BBF" w:rsidRPr="006D69C4" w:rsidRDefault="00DD3BBF" w:rsidP="00820C3D">
      <w:pPr>
        <w:numPr>
          <w:ilvl w:val="0"/>
          <w:numId w:val="11"/>
        </w:numPr>
        <w:spacing w:after="200" w:line="276"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Targeti i energjive të rinovueshme kundrejt konsumit total të arrijë në nivelin 42% në vitin 2030.</w:t>
      </w:r>
    </w:p>
    <w:p w:rsidR="00DD3BBF" w:rsidRPr="006D69C4" w:rsidRDefault="00DD3BBF" w:rsidP="00820C3D">
      <w:pPr>
        <w:numPr>
          <w:ilvl w:val="0"/>
          <w:numId w:val="11"/>
        </w:numPr>
        <w:spacing w:after="200" w:line="276"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Reduktim i emetimeve GHG kundrejt totalit të arrijë 11.5% në vitin 2030.</w:t>
      </w:r>
    </w:p>
    <w:p w:rsidR="00DD3BBF" w:rsidRPr="006D69C4" w:rsidRDefault="00DD3BBF" w:rsidP="00820C3D">
      <w:pPr>
        <w:numPr>
          <w:ilvl w:val="0"/>
          <w:numId w:val="11"/>
        </w:numPr>
        <w:spacing w:after="200" w:line="276" w:lineRule="auto"/>
        <w:contextualSpacing/>
        <w:jc w:val="both"/>
        <w:rPr>
          <w:rFonts w:ascii="Times New Roman" w:eastAsia="Times New Roman" w:hAnsi="Times New Roman" w:cs="Times New Roman"/>
          <w:sz w:val="24"/>
          <w:szCs w:val="24"/>
          <w:lang w:val="sq-AL"/>
        </w:rPr>
      </w:pPr>
      <w:r w:rsidRPr="006D69C4">
        <w:rPr>
          <w:rFonts w:ascii="Times New Roman" w:eastAsia="Times New Roman" w:hAnsi="Times New Roman" w:cs="Times New Roman"/>
          <w:sz w:val="24"/>
          <w:szCs w:val="24"/>
          <w:lang w:val="sq-AL"/>
        </w:rPr>
        <w:t>Penetrimi i gazit natyror kundrejt furnizimit total me burime primare të energjisë të arrijë në nivelin 20% në vitin 2030.</w:t>
      </w:r>
    </w:p>
    <w:p w:rsidR="00DD3BBF" w:rsidRPr="006D69C4" w:rsidRDefault="00DD3BBF" w:rsidP="006D69C4">
      <w:pPr>
        <w:spacing w:after="200" w:line="276" w:lineRule="auto"/>
        <w:jc w:val="both"/>
        <w:rPr>
          <w:rFonts w:ascii="Times New Roman" w:eastAsia="Times New Roman" w:hAnsi="Times New Roman" w:cs="Times New Roman"/>
          <w:sz w:val="24"/>
          <w:szCs w:val="24"/>
          <w:lang w:val="sq-AL"/>
        </w:rPr>
      </w:pPr>
    </w:p>
    <w:p w:rsidR="00124F57" w:rsidRPr="00BC3D1F" w:rsidRDefault="00BC3D1F" w:rsidP="00807975">
      <w:pPr>
        <w:pStyle w:val="ListParagraph"/>
        <w:numPr>
          <w:ilvl w:val="0"/>
          <w:numId w:val="45"/>
        </w:numPr>
        <w:spacing w:after="200" w:line="276" w:lineRule="auto"/>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Plani  Kombëtar për Energjinë dhe Klimë</w:t>
      </w:r>
      <w:r w:rsidR="00124F57" w:rsidRPr="00BC3D1F">
        <w:rPr>
          <w:rFonts w:ascii="Times New Roman" w:eastAsia="Times New Roman" w:hAnsi="Times New Roman" w:cs="Times New Roman"/>
          <w:b/>
          <w:sz w:val="24"/>
          <w:szCs w:val="24"/>
          <w:lang w:val="sq-AL"/>
        </w:rPr>
        <w:t>n</w:t>
      </w:r>
    </w:p>
    <w:p w:rsidR="00BC3D1F" w:rsidRDefault="00124F57" w:rsidP="00BC3D1F">
      <w:pPr>
        <w:spacing w:after="0" w:line="240" w:lineRule="auto"/>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xml:space="preserve">Planet kombëtare ekzistuese që janë marrë në konsideratë në hartimin e këtij dokumenti përfshijnë Strategjinë Kombëtare për Energjinë dhe Kontributin Kombëtar të Përcaktuar (NDC). Shqipëria është përfshirë në procesin e krijimit të një tregu të brendshëm mbështetës në fushën e energjisë dhe në garantimin e sigurisë së energjisë, efiçencës së energjisë dhe mbrojtjes së mjedisit, përfshirë këtu edhe reduktimin e shkarkimeve të GES të përshkuara dhe paraqitura në një sërë masash të planifikuara dhe investimesh të identifikuara në dokumente politike të ndryshme. </w:t>
      </w:r>
    </w:p>
    <w:p w:rsidR="00124F57" w:rsidRDefault="00124F57" w:rsidP="006D69C4">
      <w:pPr>
        <w:jc w:val="both"/>
        <w:rPr>
          <w:rFonts w:ascii="Times New Roman" w:eastAsia="Calibri" w:hAnsi="Times New Roman" w:cs="Times New Roman"/>
          <w:sz w:val="24"/>
          <w:szCs w:val="24"/>
        </w:rPr>
      </w:pPr>
    </w:p>
    <w:p w:rsidR="00FE1F1B" w:rsidRPr="006D69C4" w:rsidRDefault="00FE1F1B" w:rsidP="006D69C4">
      <w:pPr>
        <w:jc w:val="both"/>
        <w:rPr>
          <w:rFonts w:ascii="Times New Roman" w:eastAsia="Calibri" w:hAnsi="Times New Roman" w:cs="Times New Roman"/>
          <w:sz w:val="24"/>
          <w:szCs w:val="24"/>
        </w:rPr>
      </w:pPr>
    </w:p>
    <w:p w:rsidR="00124F57" w:rsidRPr="006D69C4" w:rsidRDefault="00124F57" w:rsidP="006D69C4">
      <w:pPr>
        <w:jc w:val="both"/>
        <w:rPr>
          <w:rFonts w:ascii="Times New Roman" w:eastAsia="Calibri" w:hAnsi="Times New Roman" w:cs="Times New Roman"/>
          <w:b/>
          <w:sz w:val="24"/>
          <w:szCs w:val="24"/>
          <w:u w:val="single"/>
        </w:rPr>
      </w:pPr>
      <w:r w:rsidRPr="006D69C4">
        <w:rPr>
          <w:rFonts w:ascii="Times New Roman" w:eastAsia="Calibri" w:hAnsi="Times New Roman" w:cs="Times New Roman"/>
          <w:b/>
          <w:sz w:val="24"/>
          <w:szCs w:val="24"/>
          <w:u w:val="single"/>
        </w:rPr>
        <w:lastRenderedPageBreak/>
        <w:t>Dimensioni i dekarbonizimit</w:t>
      </w: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Shkarkimet dhe eliminimi i GES-ve</w:t>
      </w:r>
    </w:p>
    <w:p w:rsidR="00124F57" w:rsidRPr="006D69C4" w:rsidRDefault="00124F57" w:rsidP="00BC3D1F">
      <w:pPr>
        <w:spacing w:after="0" w:line="240" w:lineRule="auto"/>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Shqipëria synon reduktimin e shkarkimeve të saj të CO</w:t>
      </w:r>
      <w:r w:rsidRPr="00A60649">
        <w:rPr>
          <w:rFonts w:ascii="Times New Roman" w:eastAsia="Calibri" w:hAnsi="Times New Roman" w:cs="Times New Roman"/>
          <w:sz w:val="24"/>
          <w:szCs w:val="24"/>
          <w:vertAlign w:val="subscript"/>
        </w:rPr>
        <w:t>2</w:t>
      </w:r>
      <w:r w:rsidRPr="006D69C4">
        <w:rPr>
          <w:rFonts w:ascii="Times New Roman" w:eastAsia="Calibri" w:hAnsi="Times New Roman" w:cs="Times New Roman"/>
          <w:sz w:val="24"/>
          <w:szCs w:val="24"/>
        </w:rPr>
        <w:t xml:space="preserve"> me 11,5% krahasuar me skenarin bazë për periudhën 2016 deri në 2030. 80% e reduktimit të shkarkimeve të GES-ve në shkallë kombëtare do të arrihet në sektorët e energjisë (me fokus të veçantë te transporti), bujqësisë dhe ndryshimit të përdorimit të tokës dhe pyjeve (LUCF).</w:t>
      </w:r>
    </w:p>
    <w:p w:rsidR="00124F57" w:rsidRPr="006D69C4" w:rsidRDefault="00124F57" w:rsidP="006D69C4">
      <w:pPr>
        <w:jc w:val="both"/>
        <w:rPr>
          <w:rFonts w:ascii="Times New Roman" w:eastAsia="Calibri" w:hAnsi="Times New Roman" w:cs="Times New Roman"/>
          <w:sz w:val="24"/>
          <w:szCs w:val="24"/>
        </w:rPr>
      </w:pPr>
    </w:p>
    <w:p w:rsidR="00124F57" w:rsidRPr="006D69C4" w:rsidRDefault="00124F57" w:rsidP="006D69C4">
      <w:pPr>
        <w:jc w:val="both"/>
        <w:rPr>
          <w:rFonts w:ascii="Times New Roman" w:eastAsia="Calibri" w:hAnsi="Times New Roman" w:cs="Times New Roman"/>
          <w:b/>
          <w:sz w:val="24"/>
          <w:szCs w:val="24"/>
        </w:rPr>
      </w:pPr>
      <w:r w:rsidRPr="006D69C4">
        <w:rPr>
          <w:rFonts w:ascii="Times New Roman" w:eastAsia="Calibri" w:hAnsi="Times New Roman" w:cs="Times New Roman"/>
          <w:b/>
          <w:sz w:val="24"/>
          <w:szCs w:val="24"/>
        </w:rPr>
        <w:t xml:space="preserve">Objektivat kryesore: </w:t>
      </w:r>
    </w:p>
    <w:p w:rsidR="00124F57" w:rsidRPr="006D69C4" w:rsidRDefault="00124F57" w:rsidP="006D69C4">
      <w:pPr>
        <w:jc w:val="both"/>
        <w:rPr>
          <w:rFonts w:ascii="Times New Roman" w:eastAsia="Calibri" w:hAnsi="Times New Roman" w:cs="Times New Roman"/>
          <w:b/>
          <w:sz w:val="24"/>
          <w:szCs w:val="24"/>
        </w:rPr>
      </w:pPr>
      <w:r w:rsidRPr="006D69C4">
        <w:rPr>
          <w:rFonts w:ascii="Times New Roman" w:eastAsia="Calibri" w:hAnsi="Times New Roman" w:cs="Times New Roman"/>
          <w:b/>
          <w:sz w:val="24"/>
          <w:szCs w:val="24"/>
        </w:rPr>
        <w:t>Sektori i transporti</w:t>
      </w:r>
    </w:p>
    <w:p w:rsidR="00124F57" w:rsidRPr="006D69C4" w:rsidRDefault="00124F57" w:rsidP="009820EB">
      <w:pPr>
        <w:spacing w:after="0" w:line="240" w:lineRule="auto"/>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Përmirësimi i infrastrukturës së terminaleve të udhëtarëve;</w:t>
      </w:r>
    </w:p>
    <w:p w:rsidR="00124F57" w:rsidRPr="006D69C4" w:rsidRDefault="00124F57" w:rsidP="009820EB">
      <w:pPr>
        <w:spacing w:after="0" w:line="240" w:lineRule="auto"/>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xml:space="preserve"> ●Rritja e efiçencës së rrjetit të autobusëve ekstra urbanë; dhe </w:t>
      </w:r>
    </w:p>
    <w:p w:rsidR="00124F57" w:rsidRPr="006D69C4" w:rsidRDefault="00124F57" w:rsidP="009820EB">
      <w:pPr>
        <w:spacing w:after="0" w:line="240" w:lineRule="auto"/>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xml:space="preserve"> ●Reduktim i shkarkimeve të CO2 të shkaktuara nga rrjeti i autobusëve ekstra urbanë.</w:t>
      </w:r>
    </w:p>
    <w:p w:rsidR="00124F57" w:rsidRPr="006D69C4" w:rsidRDefault="00124F57" w:rsidP="006D69C4">
      <w:pPr>
        <w:jc w:val="both"/>
        <w:rPr>
          <w:rFonts w:ascii="Times New Roman" w:eastAsia="Calibri" w:hAnsi="Times New Roman" w:cs="Times New Roman"/>
          <w:b/>
          <w:sz w:val="24"/>
          <w:szCs w:val="24"/>
          <w:u w:val="single"/>
        </w:rPr>
      </w:pPr>
    </w:p>
    <w:p w:rsidR="00124F57" w:rsidRPr="006D69C4" w:rsidRDefault="00124F57" w:rsidP="006D69C4">
      <w:pPr>
        <w:jc w:val="both"/>
        <w:rPr>
          <w:rFonts w:ascii="Times New Roman" w:eastAsia="Calibri" w:hAnsi="Times New Roman" w:cs="Times New Roman"/>
          <w:b/>
          <w:sz w:val="24"/>
          <w:szCs w:val="24"/>
          <w:u w:val="single"/>
        </w:rPr>
      </w:pPr>
      <w:r w:rsidRPr="006D69C4">
        <w:rPr>
          <w:rFonts w:ascii="Times New Roman" w:eastAsia="Calibri" w:hAnsi="Times New Roman" w:cs="Times New Roman"/>
          <w:b/>
          <w:sz w:val="24"/>
          <w:szCs w:val="24"/>
          <w:u w:val="single"/>
        </w:rPr>
        <w:t>Sektori i ndërtimit</w:t>
      </w: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●Nxitja e përdorimit të gjerë të energjive të rinovueshme për ngrohje dhe ftohje</w:t>
      </w:r>
    </w:p>
    <w:p w:rsidR="00124F57" w:rsidRPr="006D69C4" w:rsidRDefault="00124F57" w:rsidP="006D69C4">
      <w:pPr>
        <w:jc w:val="both"/>
        <w:rPr>
          <w:rFonts w:ascii="Times New Roman" w:eastAsia="Calibri" w:hAnsi="Times New Roman" w:cs="Times New Roman"/>
          <w:b/>
          <w:sz w:val="24"/>
          <w:szCs w:val="24"/>
          <w:u w:val="single"/>
        </w:rPr>
      </w:pPr>
      <w:r w:rsidRPr="006D69C4">
        <w:rPr>
          <w:rFonts w:ascii="Times New Roman" w:eastAsia="Calibri" w:hAnsi="Times New Roman" w:cs="Times New Roman"/>
          <w:b/>
          <w:sz w:val="24"/>
          <w:szCs w:val="24"/>
          <w:u w:val="single"/>
        </w:rPr>
        <w:t>Sektori industrial</w:t>
      </w: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●Ngritja e ETS-së në Shqipëri do të kontribuojë në arritjen e synimit të NDC-së për reduktimin e shkarkimeve të GES-ve nga sektori i industrisë, si dhe të synimit të PKEK-së për dekarbonizimin e ekonomisë. Reduktimi i synuar me 50% i shkarkimeve të GES-ve nga sektori i industrisë, deri në vitin 2030</w:t>
      </w: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●Harmonizimi i garantuar me legjislacionin Acquis të BE-së për ndryshimet klimatike dhe përmbushja e kërkesave të KKKBNK-së përmes prezantimit të një mekanizmi për monitorimin dhe raportimin e rregullt të shkarkimeve të GES-ve dhe informacioneve të tjera lidhur me ndryshimet klimatike.</w:t>
      </w:r>
    </w:p>
    <w:p w:rsidR="00124F57" w:rsidRPr="006D69C4" w:rsidRDefault="00124F57" w:rsidP="006D69C4">
      <w:pPr>
        <w:jc w:val="both"/>
        <w:rPr>
          <w:rFonts w:ascii="Times New Roman" w:eastAsia="Calibri" w:hAnsi="Times New Roman" w:cs="Times New Roman"/>
          <w:b/>
          <w:sz w:val="24"/>
          <w:szCs w:val="24"/>
          <w:u w:val="single"/>
        </w:rPr>
      </w:pPr>
      <w:r w:rsidRPr="006D69C4">
        <w:rPr>
          <w:rFonts w:ascii="Times New Roman" w:eastAsia="Calibri" w:hAnsi="Times New Roman" w:cs="Times New Roman"/>
          <w:b/>
          <w:sz w:val="24"/>
          <w:szCs w:val="24"/>
          <w:u w:val="single"/>
        </w:rPr>
        <w:t>Sektori i bujqësisë</w:t>
      </w: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Nxitja e bujqësisë organike, intensifikimi i bujqësisë organike në sektorin e bujqësisë dhe përmirësimi i metodave të plehërimit.</w:t>
      </w: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Ngritja e një mekanizmi të përhershëm kombëtar të monitorimit të tokave dhe aktiviteteve bujqësore në lidhje me shkarkimet e CO</w:t>
      </w:r>
      <w:r w:rsidRPr="00A60649">
        <w:rPr>
          <w:rFonts w:ascii="Times New Roman" w:eastAsia="Calibri" w:hAnsi="Times New Roman" w:cs="Times New Roman"/>
          <w:sz w:val="24"/>
          <w:szCs w:val="24"/>
          <w:vertAlign w:val="subscript"/>
        </w:rPr>
        <w:t>2</w:t>
      </w:r>
      <w:r w:rsidRPr="006D69C4">
        <w:rPr>
          <w:rFonts w:ascii="Times New Roman" w:eastAsia="Calibri" w:hAnsi="Times New Roman" w:cs="Times New Roman"/>
          <w:sz w:val="24"/>
          <w:szCs w:val="24"/>
        </w:rPr>
        <w:t>.</w:t>
      </w: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Ndalimi i djegies së mbetjeve bujqësore në mjedise të hapura.</w:t>
      </w:r>
    </w:p>
    <w:p w:rsidR="00124F57" w:rsidRPr="006D69C4" w:rsidRDefault="00124F57" w:rsidP="006D69C4">
      <w:pPr>
        <w:jc w:val="both"/>
        <w:rPr>
          <w:rFonts w:ascii="Times New Roman" w:eastAsia="Calibri" w:hAnsi="Times New Roman" w:cs="Times New Roman"/>
          <w:b/>
          <w:sz w:val="24"/>
          <w:szCs w:val="24"/>
          <w:u w:val="single"/>
        </w:rPr>
      </w:pPr>
      <w:r w:rsidRPr="006D69C4">
        <w:rPr>
          <w:rFonts w:ascii="Times New Roman" w:eastAsia="Calibri" w:hAnsi="Times New Roman" w:cs="Times New Roman"/>
          <w:b/>
          <w:sz w:val="24"/>
          <w:szCs w:val="24"/>
          <w:u w:val="single"/>
        </w:rPr>
        <w:t>Sektori i menaxhimit të mbetjeve</w:t>
      </w: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xml:space="preserve">● Mundësimi i grumbullimit dhe trajtimit të mbetjeve në mënyrë të integruar, në përputhje me standardet e BE-së, në sajë të përmirësimit të menaxhimit të mbetjeve. Ngritja e një sistemi për menaxhimin e integruar të rrymave të tjera të mbetjeve bashkiake, që bazohet në hierarkinë e </w:t>
      </w:r>
      <w:r w:rsidRPr="006D69C4">
        <w:rPr>
          <w:rFonts w:ascii="Times New Roman" w:eastAsia="Calibri" w:hAnsi="Times New Roman" w:cs="Times New Roman"/>
          <w:sz w:val="24"/>
          <w:szCs w:val="24"/>
        </w:rPr>
        <w:lastRenderedPageBreak/>
        <w:t>mbetjeve.</w:t>
      </w: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Mundësimi i grumbullimit dhe trajtimit të mbetjeve në mënyrë të integruar, në përputhje me standardet e BE-së, në sajë të përmirësimit të menaxhimit të mbetjeve. Transporti i mbetjeve në impiantet e transformimit të mbetjeve në energji.</w:t>
      </w: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Rritja e numrit të impianteve të trajtimit të ujërave të përdorura në Shqipëri dhe e përqindjes së popullsisë së lidhur me impiant trajtimi të ujërave të përdorura</w:t>
      </w:r>
    </w:p>
    <w:p w:rsidR="00124F57" w:rsidRPr="006D69C4" w:rsidRDefault="00124F57" w:rsidP="006D69C4">
      <w:pPr>
        <w:jc w:val="both"/>
        <w:rPr>
          <w:rFonts w:ascii="Times New Roman" w:eastAsia="Calibri" w:hAnsi="Times New Roman" w:cs="Times New Roman"/>
          <w:b/>
          <w:sz w:val="24"/>
          <w:szCs w:val="24"/>
          <w:u w:val="single"/>
        </w:rPr>
      </w:pPr>
      <w:r w:rsidRPr="006D69C4">
        <w:rPr>
          <w:rFonts w:ascii="Times New Roman" w:eastAsia="Calibri" w:hAnsi="Times New Roman" w:cs="Times New Roman"/>
          <w:b/>
          <w:sz w:val="24"/>
          <w:szCs w:val="24"/>
          <w:u w:val="single"/>
        </w:rPr>
        <w:t>Ndryshimi i përdorimit të tokës dhe pyjet</w:t>
      </w: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Ripyllëzimi i zonave brenda fondit pyjor, fokusimi në zonat me dëmtime nga zjarri dhe shpyllëzimi masiv, zgjerimi me zona të reja të orientuara kryesisht te agropylltaria, gjelbërimi urban dhe rrugor, çka do të sjellin rigjenerimin e pyjeve dhe rritjen e kapacitetit të tyre të përthithjes së karbonit</w:t>
      </w: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●Përmirësimi i menaxhimit të qëndrueshëm të pyjeve me qëllim përmirësimin e përthithjes së karbonit dhe mbrojtjen e biodiversitetit</w:t>
      </w:r>
    </w:p>
    <w:p w:rsidR="00124F57" w:rsidRPr="006D69C4" w:rsidRDefault="00124F57" w:rsidP="006D69C4">
      <w:pPr>
        <w:jc w:val="both"/>
        <w:rPr>
          <w:rFonts w:ascii="Times New Roman" w:eastAsia="Calibri" w:hAnsi="Times New Roman" w:cs="Times New Roman"/>
          <w:sz w:val="24"/>
          <w:szCs w:val="24"/>
        </w:rPr>
      </w:pPr>
    </w:p>
    <w:p w:rsidR="00124F57" w:rsidRPr="009820EB" w:rsidRDefault="009820EB" w:rsidP="00807975">
      <w:pPr>
        <w:pStyle w:val="ListParagraph"/>
        <w:numPr>
          <w:ilvl w:val="0"/>
          <w:numId w:val="45"/>
        </w:numPr>
        <w:jc w:val="both"/>
        <w:rPr>
          <w:rFonts w:ascii="Times New Roman" w:eastAsia="Calibri" w:hAnsi="Times New Roman" w:cs="Times New Roman"/>
          <w:b/>
          <w:sz w:val="24"/>
          <w:szCs w:val="24"/>
          <w:u w:val="single"/>
        </w:rPr>
      </w:pPr>
      <w:r w:rsidRPr="009820EB">
        <w:rPr>
          <w:rFonts w:ascii="Times New Roman" w:eastAsia="Calibri" w:hAnsi="Times New Roman" w:cs="Times New Roman"/>
          <w:b/>
          <w:sz w:val="24"/>
          <w:szCs w:val="24"/>
        </w:rPr>
        <w:t>Energji</w:t>
      </w:r>
      <w:r w:rsidR="00D37903">
        <w:rPr>
          <w:rFonts w:ascii="Times New Roman" w:eastAsia="Calibri" w:hAnsi="Times New Roman" w:cs="Times New Roman"/>
          <w:b/>
          <w:sz w:val="24"/>
          <w:szCs w:val="24"/>
        </w:rPr>
        <w:t>a</w:t>
      </w:r>
      <w:r w:rsidRPr="009820EB">
        <w:rPr>
          <w:rFonts w:ascii="Times New Roman" w:eastAsia="Calibri" w:hAnsi="Times New Roman" w:cs="Times New Roman"/>
          <w:b/>
          <w:sz w:val="24"/>
          <w:szCs w:val="24"/>
        </w:rPr>
        <w:t xml:space="preserve"> e R</w:t>
      </w:r>
      <w:r w:rsidR="00124F57" w:rsidRPr="009820EB">
        <w:rPr>
          <w:rFonts w:ascii="Times New Roman" w:eastAsia="Calibri" w:hAnsi="Times New Roman" w:cs="Times New Roman"/>
          <w:b/>
          <w:sz w:val="24"/>
          <w:szCs w:val="24"/>
        </w:rPr>
        <w:t>inovueshme</w:t>
      </w:r>
    </w:p>
    <w:p w:rsidR="00124F57" w:rsidRPr="006D69C4" w:rsidRDefault="00124F57" w:rsidP="006D69C4">
      <w:pPr>
        <w:jc w:val="both"/>
        <w:rPr>
          <w:rFonts w:ascii="Times New Roman" w:eastAsia="Calibri" w:hAnsi="Times New Roman" w:cs="Times New Roman"/>
          <w:b/>
          <w:sz w:val="24"/>
          <w:szCs w:val="24"/>
          <w:u w:val="single"/>
        </w:rPr>
      </w:pPr>
      <w:r w:rsidRPr="006D69C4">
        <w:rPr>
          <w:rFonts w:ascii="Times New Roman" w:eastAsia="Calibri" w:hAnsi="Times New Roman" w:cs="Times New Roman"/>
          <w:sz w:val="24"/>
          <w:szCs w:val="24"/>
        </w:rPr>
        <w:t xml:space="preserve">Pjesët që zë energjia e rinovueshme në konsumin final të energjisë , nga 33.5% (skenari </w:t>
      </w:r>
      <w:r w:rsidR="002C4833">
        <w:rPr>
          <w:rFonts w:ascii="Times New Roman" w:eastAsia="Calibri" w:hAnsi="Times New Roman" w:cs="Times New Roman"/>
          <w:sz w:val="24"/>
          <w:szCs w:val="24"/>
        </w:rPr>
        <w:t>Ë</w:t>
      </w:r>
      <w:r w:rsidRPr="006D69C4">
        <w:rPr>
          <w:rFonts w:ascii="Times New Roman" w:eastAsia="Calibri" w:hAnsi="Times New Roman" w:cs="Times New Roman"/>
          <w:sz w:val="24"/>
          <w:szCs w:val="24"/>
        </w:rPr>
        <w:t xml:space="preserve">EM) në 54.4% ne vitin 2030 (skenari </w:t>
      </w:r>
      <w:r w:rsidR="002C4833">
        <w:rPr>
          <w:rFonts w:ascii="Times New Roman" w:eastAsia="Calibri" w:hAnsi="Times New Roman" w:cs="Times New Roman"/>
          <w:sz w:val="24"/>
          <w:szCs w:val="24"/>
        </w:rPr>
        <w:t>Ë</w:t>
      </w:r>
      <w:r w:rsidRPr="006D69C4">
        <w:rPr>
          <w:rFonts w:ascii="Times New Roman" w:eastAsia="Calibri" w:hAnsi="Times New Roman" w:cs="Times New Roman"/>
          <w:sz w:val="24"/>
          <w:szCs w:val="24"/>
        </w:rPr>
        <w:t xml:space="preserve">AM). </w:t>
      </w:r>
    </w:p>
    <w:p w:rsidR="00124F57" w:rsidRPr="006D69C4" w:rsidRDefault="00124F57" w:rsidP="009820EB">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xml:space="preserve">Përqindja e </w:t>
      </w:r>
      <w:r w:rsidR="009820EB">
        <w:rPr>
          <w:rFonts w:ascii="Times New Roman" w:eastAsia="Calibri" w:hAnsi="Times New Roman" w:cs="Times New Roman"/>
          <w:sz w:val="24"/>
          <w:szCs w:val="24"/>
        </w:rPr>
        <w:t>burimeve të rinovueshme të energjisë (BRE)</w:t>
      </w:r>
      <w:r w:rsidRPr="006D69C4">
        <w:rPr>
          <w:rFonts w:ascii="Times New Roman" w:eastAsia="Calibri" w:hAnsi="Times New Roman" w:cs="Times New Roman"/>
          <w:sz w:val="24"/>
          <w:szCs w:val="24"/>
        </w:rPr>
        <w:t xml:space="preserve"> në kërkesën finale për energji [</w:t>
      </w:r>
      <w:r w:rsidR="009820EB">
        <w:rPr>
          <w:rFonts w:ascii="Times New Roman" w:eastAsia="Calibri" w:hAnsi="Times New Roman" w:cs="Times New Roman"/>
          <w:sz w:val="24"/>
          <w:szCs w:val="24"/>
        </w:rPr>
        <w:t>%</w:t>
      </w:r>
      <w:r w:rsidRPr="006D69C4">
        <w:rPr>
          <w:rFonts w:ascii="Times New Roman" w:eastAsia="Calibri" w:hAnsi="Times New Roman" w:cs="Times New Roman"/>
          <w:sz w:val="24"/>
          <w:szCs w:val="24"/>
        </w:rPr>
        <w:t>] siç është projektuar me masat shtesë për vitin 2030 (Vlerat mbi 100% janë për shkak të eksp</w:t>
      </w:r>
      <w:r w:rsidR="009820EB">
        <w:rPr>
          <w:rFonts w:ascii="Times New Roman" w:eastAsia="Calibri" w:hAnsi="Times New Roman" w:cs="Times New Roman"/>
          <w:sz w:val="24"/>
          <w:szCs w:val="24"/>
        </w:rPr>
        <w:t>orteve të energjisë elektrike) janë:</w:t>
      </w:r>
    </w:p>
    <w:p w:rsidR="00124F57" w:rsidRPr="006D69C4" w:rsidRDefault="00124F57" w:rsidP="006D69C4">
      <w:pPr>
        <w:ind w:left="720"/>
        <w:contextualSpacing/>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xml:space="preserve">BRE - Energji elektrike: 178.1 %* </w:t>
      </w:r>
    </w:p>
    <w:p w:rsidR="00124F57" w:rsidRPr="006D69C4" w:rsidRDefault="00124F57" w:rsidP="006D69C4">
      <w:pPr>
        <w:ind w:left="720"/>
        <w:contextualSpacing/>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xml:space="preserve">BRE - Transport: 34.6 % </w:t>
      </w:r>
    </w:p>
    <w:p w:rsidR="00124F57" w:rsidRPr="006D69C4" w:rsidRDefault="00124F57" w:rsidP="006D69C4">
      <w:pPr>
        <w:ind w:left="720"/>
        <w:contextualSpacing/>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BRE - Ngrohje dhe ftohje: 16.6 %</w:t>
      </w:r>
    </w:p>
    <w:p w:rsidR="00124F57" w:rsidRPr="006D69C4" w:rsidRDefault="00124F57" w:rsidP="006D69C4">
      <w:pPr>
        <w:jc w:val="both"/>
        <w:rPr>
          <w:rFonts w:ascii="Times New Roman" w:eastAsia="Calibri" w:hAnsi="Times New Roman" w:cs="Times New Roman"/>
          <w:b/>
          <w:sz w:val="24"/>
          <w:szCs w:val="24"/>
        </w:rPr>
      </w:pPr>
    </w:p>
    <w:p w:rsidR="00124F57" w:rsidRPr="006D69C4" w:rsidRDefault="00124F57" w:rsidP="006D69C4">
      <w:pPr>
        <w:jc w:val="both"/>
        <w:rPr>
          <w:rFonts w:ascii="Times New Roman" w:eastAsia="Calibri" w:hAnsi="Times New Roman" w:cs="Times New Roman"/>
          <w:b/>
          <w:sz w:val="24"/>
          <w:szCs w:val="24"/>
          <w:u w:val="single"/>
        </w:rPr>
      </w:pPr>
      <w:r w:rsidRPr="006D69C4">
        <w:rPr>
          <w:rFonts w:ascii="Times New Roman" w:eastAsia="Calibri" w:hAnsi="Times New Roman" w:cs="Times New Roman"/>
          <w:b/>
          <w:sz w:val="24"/>
          <w:szCs w:val="24"/>
        </w:rPr>
        <w:t>Objektivat</w:t>
      </w: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Nxitja e rritjes së prodhimit të energjisë nga burimet e rinovueshme për të garantuar një zhvillim të qëndrueshëm në Republikën e Shqipërisë, në përputhje me detyrimet në kuadër të Traktatit të Komunitetit të Energjisë,deri në vitin 2030 (42%) lidhur me përqindjen e burimeve të rinovueshme në raport me Konsumin Final Bruto të Energjisë.</w:t>
      </w: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Rritja e kapacitetit të energjisë së rinovueshme (eolike dhe fotovoltaike) me anë të organizimit të ankandeve dhe propozimit të një skeme mbështetjeje në formën e kontratave për diferencë .</w:t>
      </w: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Rritja e elektrifikimit në sektorin e transportit, 10% automjete elektrike (nga e gjithë flota), deri në vitin 2030</w:t>
      </w:r>
      <w:r w:rsidR="00A60649">
        <w:rPr>
          <w:rFonts w:ascii="Times New Roman" w:eastAsia="Calibri" w:hAnsi="Times New Roman" w:cs="Times New Roman"/>
          <w:sz w:val="24"/>
          <w:szCs w:val="24"/>
        </w:rPr>
        <w:t>.</w:t>
      </w:r>
    </w:p>
    <w:p w:rsidR="00124F57" w:rsidRPr="006D69C4" w:rsidRDefault="00124F57" w:rsidP="00D37903">
      <w:pPr>
        <w:spacing w:after="0"/>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xml:space="preserve">●Zhvillimi i konceptit të “industrisë së gjelbër”, duke promovuar dhe mbështetur shfrytëzimin e </w:t>
      </w:r>
    </w:p>
    <w:p w:rsidR="00124F57" w:rsidRPr="006D69C4" w:rsidRDefault="00124F57" w:rsidP="00D37903">
      <w:pPr>
        <w:spacing w:after="0"/>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lastRenderedPageBreak/>
        <w:t>aplikimeve në shkallë të vogël të energjisë së rinovueshme në s</w:t>
      </w:r>
      <w:r w:rsidR="00D37903">
        <w:rPr>
          <w:rFonts w:ascii="Times New Roman" w:eastAsia="Calibri" w:hAnsi="Times New Roman" w:cs="Times New Roman"/>
          <w:sz w:val="24"/>
          <w:szCs w:val="24"/>
        </w:rPr>
        <w:t xml:space="preserve">ektorin industrial joushqimor, </w:t>
      </w:r>
      <w:r w:rsidRPr="006D69C4">
        <w:rPr>
          <w:rFonts w:ascii="Times New Roman" w:eastAsia="Calibri" w:hAnsi="Times New Roman" w:cs="Times New Roman"/>
          <w:sz w:val="24"/>
          <w:szCs w:val="24"/>
        </w:rPr>
        <w:t>si dhe zhvillimi i kapaciteteve teknike dhe aftësive të biznesit me qëllim inkurajimin e sipërmarrjes.</w:t>
      </w:r>
    </w:p>
    <w:p w:rsidR="00124F57" w:rsidRPr="006D69C4" w:rsidRDefault="00124F57" w:rsidP="006D69C4">
      <w:pPr>
        <w:jc w:val="both"/>
        <w:rPr>
          <w:rFonts w:ascii="Times New Roman" w:eastAsia="Calibri" w:hAnsi="Times New Roman" w:cs="Times New Roman"/>
          <w:b/>
          <w:sz w:val="24"/>
          <w:szCs w:val="24"/>
        </w:rPr>
      </w:pPr>
    </w:p>
    <w:p w:rsidR="00124F57" w:rsidRPr="00D37903" w:rsidRDefault="00D37903" w:rsidP="00807975">
      <w:pPr>
        <w:pStyle w:val="ListParagraph"/>
        <w:numPr>
          <w:ilvl w:val="0"/>
          <w:numId w:val="46"/>
        </w:numPr>
        <w:jc w:val="both"/>
        <w:rPr>
          <w:rFonts w:ascii="Times New Roman" w:eastAsia="Calibri" w:hAnsi="Times New Roman" w:cs="Times New Roman"/>
          <w:b/>
          <w:sz w:val="24"/>
          <w:szCs w:val="24"/>
        </w:rPr>
      </w:pPr>
      <w:r w:rsidRPr="00D37903">
        <w:rPr>
          <w:rFonts w:ascii="Times New Roman" w:eastAsia="Calibri" w:hAnsi="Times New Roman" w:cs="Times New Roman"/>
          <w:b/>
          <w:sz w:val="24"/>
          <w:szCs w:val="24"/>
        </w:rPr>
        <w:t>Efiçenca</w:t>
      </w:r>
      <w:r w:rsidR="005E1133">
        <w:rPr>
          <w:rFonts w:ascii="Times New Roman" w:eastAsia="Calibri" w:hAnsi="Times New Roman" w:cs="Times New Roman"/>
          <w:b/>
          <w:sz w:val="24"/>
          <w:szCs w:val="24"/>
        </w:rPr>
        <w:t xml:space="preserve"> e</w:t>
      </w:r>
      <w:r w:rsidR="00124F57" w:rsidRPr="00D37903">
        <w:rPr>
          <w:rFonts w:ascii="Times New Roman" w:eastAsia="Calibri" w:hAnsi="Times New Roman" w:cs="Times New Roman"/>
          <w:b/>
          <w:sz w:val="24"/>
          <w:szCs w:val="24"/>
        </w:rPr>
        <w:t xml:space="preserve"> energjisë</w:t>
      </w:r>
    </w:p>
    <w:p w:rsidR="00124F57" w:rsidRPr="006D69C4" w:rsidRDefault="00124F57" w:rsidP="006D69C4">
      <w:pPr>
        <w:spacing w:after="0"/>
        <w:ind w:left="360"/>
        <w:jc w:val="both"/>
        <w:rPr>
          <w:rFonts w:ascii="Times New Roman" w:eastAsia="Calibri" w:hAnsi="Times New Roman" w:cs="Times New Roman"/>
          <w:sz w:val="24"/>
          <w:szCs w:val="24"/>
        </w:rPr>
      </w:pP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xml:space="preserve">-Konsumi final i energjisë   në skenarin </w:t>
      </w:r>
      <w:r w:rsidR="002C4833">
        <w:rPr>
          <w:rFonts w:ascii="Times New Roman" w:eastAsia="Calibri" w:hAnsi="Times New Roman" w:cs="Times New Roman"/>
          <w:sz w:val="24"/>
          <w:szCs w:val="24"/>
        </w:rPr>
        <w:t>Ë</w:t>
      </w:r>
      <w:r w:rsidRPr="006D69C4">
        <w:rPr>
          <w:rFonts w:ascii="Times New Roman" w:eastAsia="Calibri" w:hAnsi="Times New Roman" w:cs="Times New Roman"/>
          <w:sz w:val="24"/>
          <w:szCs w:val="24"/>
        </w:rPr>
        <w:t xml:space="preserve">EM   rritet (në krahasim me vitin 2018) me 20,8% deri në vitin 2030, në skenarin </w:t>
      </w:r>
      <w:r w:rsidR="002C4833">
        <w:rPr>
          <w:rFonts w:ascii="Times New Roman" w:eastAsia="Calibri" w:hAnsi="Times New Roman" w:cs="Times New Roman"/>
          <w:sz w:val="24"/>
          <w:szCs w:val="24"/>
        </w:rPr>
        <w:t>Ë</w:t>
      </w:r>
      <w:r w:rsidRPr="006D69C4">
        <w:rPr>
          <w:rFonts w:ascii="Times New Roman" w:eastAsia="Calibri" w:hAnsi="Times New Roman" w:cs="Times New Roman"/>
          <w:sz w:val="24"/>
          <w:szCs w:val="24"/>
        </w:rPr>
        <w:t>AM vetëm 10,7% deri në vitin 2030</w:t>
      </w:r>
    </w:p>
    <w:p w:rsidR="00124F57" w:rsidRPr="006D69C4" w:rsidRDefault="00124F57" w:rsidP="006D69C4">
      <w:pPr>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-Objektivi i kursimit të energjisë lidhur me konsumin final të energjisë është parashikuar në vlerën 15,5% në 2030 krahasuar me skenarët bazë përkatës për vitet e lartpërmendura</w:t>
      </w:r>
    </w:p>
    <w:p w:rsidR="00124F57" w:rsidRPr="006D69C4" w:rsidRDefault="00124F57" w:rsidP="006D69C4">
      <w:pPr>
        <w:jc w:val="both"/>
        <w:rPr>
          <w:rFonts w:ascii="Times New Roman" w:eastAsia="Calibri" w:hAnsi="Times New Roman" w:cs="Times New Roman"/>
          <w:b/>
          <w:sz w:val="24"/>
          <w:szCs w:val="24"/>
          <w:u w:val="single"/>
        </w:rPr>
      </w:pPr>
      <w:r w:rsidRPr="006D69C4">
        <w:rPr>
          <w:rFonts w:ascii="Times New Roman" w:eastAsia="Calibri" w:hAnsi="Times New Roman" w:cs="Times New Roman"/>
          <w:b/>
          <w:sz w:val="24"/>
          <w:szCs w:val="24"/>
          <w:u w:val="single"/>
        </w:rPr>
        <w:t>Objektivat</w:t>
      </w:r>
    </w:p>
    <w:p w:rsidR="00124F57" w:rsidRPr="006D69C4" w:rsidRDefault="00124F57" w:rsidP="00D37903">
      <w:pPr>
        <w:spacing w:after="0"/>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Ngritja e një kuadri rregullator që siguron informacione transparente në lidhje me efiçencën e lëndës djegëse dhe shkarkimet e CO</w:t>
      </w:r>
      <w:r w:rsidRPr="00A60649">
        <w:rPr>
          <w:rFonts w:ascii="Times New Roman" w:eastAsia="Calibri" w:hAnsi="Times New Roman" w:cs="Times New Roman"/>
          <w:sz w:val="24"/>
          <w:szCs w:val="24"/>
          <w:vertAlign w:val="subscript"/>
        </w:rPr>
        <w:t>2</w:t>
      </w:r>
      <w:r w:rsidRPr="006D69C4">
        <w:rPr>
          <w:rFonts w:ascii="Times New Roman" w:eastAsia="Calibri" w:hAnsi="Times New Roman" w:cs="Times New Roman"/>
          <w:sz w:val="24"/>
          <w:szCs w:val="24"/>
        </w:rPr>
        <w:t xml:space="preserve"> të automjeteve të reja të transportit të udhëtarëve në shitje ose për qira.</w:t>
      </w:r>
    </w:p>
    <w:p w:rsidR="00124F57" w:rsidRPr="006D69C4" w:rsidRDefault="00124F57" w:rsidP="006D69C4">
      <w:pPr>
        <w:spacing w:after="0"/>
        <w:jc w:val="both"/>
        <w:rPr>
          <w:rFonts w:ascii="Times New Roman" w:eastAsia="Calibri" w:hAnsi="Times New Roman" w:cs="Times New Roman"/>
          <w:sz w:val="24"/>
          <w:szCs w:val="24"/>
        </w:rPr>
      </w:pPr>
    </w:p>
    <w:p w:rsidR="00124F57" w:rsidRPr="006D69C4" w:rsidRDefault="00124F57" w:rsidP="006D69C4">
      <w:pPr>
        <w:spacing w:after="0"/>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 xml:space="preserve">● Krijimi i stacioneve të karikimit elektrik për të rritur qëndrueshmërinë e përgjithshme të Sistemit të Lëvizshmërisë Rrugore dhe Urbane dhe reduktimin e shkarkimeve të GES-ve që vijnë nga sektori i transportit, </w:t>
      </w:r>
      <w:r w:rsidR="00A60649">
        <w:rPr>
          <w:rFonts w:ascii="Times New Roman" w:eastAsia="Calibri" w:hAnsi="Times New Roman" w:cs="Times New Roman"/>
          <w:sz w:val="24"/>
          <w:szCs w:val="24"/>
        </w:rPr>
        <w:t xml:space="preserve">përmes </w:t>
      </w:r>
      <w:r w:rsidRPr="006D69C4">
        <w:rPr>
          <w:rFonts w:ascii="Times New Roman" w:eastAsia="Calibri" w:hAnsi="Times New Roman" w:cs="Times New Roman"/>
          <w:sz w:val="24"/>
          <w:szCs w:val="24"/>
        </w:rPr>
        <w:t>vënies në përdorim të infrastrukturës së karikimit.</w:t>
      </w:r>
    </w:p>
    <w:p w:rsidR="00124F57" w:rsidRPr="006D69C4" w:rsidRDefault="00124F57" w:rsidP="006D69C4">
      <w:pPr>
        <w:spacing w:after="0"/>
        <w:jc w:val="both"/>
        <w:rPr>
          <w:rFonts w:ascii="Times New Roman" w:eastAsia="Calibri" w:hAnsi="Times New Roman" w:cs="Times New Roman"/>
          <w:sz w:val="24"/>
          <w:szCs w:val="24"/>
        </w:rPr>
      </w:pPr>
    </w:p>
    <w:p w:rsidR="00124F57" w:rsidRPr="006D69C4" w:rsidRDefault="00124F57" w:rsidP="006D69C4">
      <w:pPr>
        <w:spacing w:after="0"/>
        <w:jc w:val="both"/>
        <w:rPr>
          <w:rFonts w:ascii="Times New Roman" w:eastAsia="Calibri" w:hAnsi="Times New Roman" w:cs="Times New Roman"/>
          <w:sz w:val="24"/>
          <w:szCs w:val="24"/>
        </w:rPr>
      </w:pPr>
      <w:r w:rsidRPr="006D69C4">
        <w:rPr>
          <w:rFonts w:ascii="Times New Roman" w:eastAsia="Calibri" w:hAnsi="Times New Roman" w:cs="Times New Roman"/>
          <w:sz w:val="24"/>
          <w:szCs w:val="24"/>
        </w:rPr>
        <w:t>●Promovimi dhe mbështetja e përdorimit të lëndëve djegëse alternative/të pastra dhe automjeteve me efiçencë energjie si mënyra për gjenerimin e ndikimeve më të konsiderueshme, me anë të reduktimit të konsumit të energjisë dhe, kryesisht, me anë të reduktimit të shkarkimeve të GES-ve përmes skemave mbështetëse të automjeteve efiçente dhe atyre ekologjike. Arritja deri në vitin 2030 e objektivit prej 14% për burimet e rinovueshme në transport</w:t>
      </w:r>
      <w:r w:rsidR="00A60649">
        <w:rPr>
          <w:rFonts w:ascii="Times New Roman" w:eastAsia="Calibri" w:hAnsi="Times New Roman" w:cs="Times New Roman"/>
          <w:sz w:val="24"/>
          <w:szCs w:val="24"/>
        </w:rPr>
        <w:t>.</w:t>
      </w:r>
    </w:p>
    <w:p w:rsidR="00DD3BBF" w:rsidRDefault="00DD3BBF" w:rsidP="00E0358A">
      <w:pPr>
        <w:rPr>
          <w:sz w:val="24"/>
          <w:szCs w:val="24"/>
        </w:rPr>
      </w:pPr>
    </w:p>
    <w:p w:rsidR="00F80F07" w:rsidRPr="007A2BD0" w:rsidRDefault="00CB1F77" w:rsidP="00E0358A">
      <w:pPr>
        <w:rPr>
          <w:rFonts w:ascii="Times New Roman" w:hAnsi="Times New Roman" w:cs="Times New Roman"/>
          <w:b/>
          <w:sz w:val="24"/>
          <w:szCs w:val="24"/>
        </w:rPr>
      </w:pPr>
      <w:r>
        <w:rPr>
          <w:rFonts w:ascii="Times New Roman" w:hAnsi="Times New Roman" w:cs="Times New Roman"/>
          <w:b/>
          <w:sz w:val="24"/>
          <w:szCs w:val="24"/>
        </w:rPr>
        <w:t>9</w:t>
      </w:r>
      <w:r w:rsidR="007A2BD0" w:rsidRPr="007A2BD0">
        <w:rPr>
          <w:rFonts w:ascii="Times New Roman" w:hAnsi="Times New Roman" w:cs="Times New Roman"/>
          <w:b/>
          <w:sz w:val="24"/>
          <w:szCs w:val="24"/>
        </w:rPr>
        <w:t xml:space="preserve">.6 </w:t>
      </w:r>
      <w:r w:rsidR="00F80F07" w:rsidRPr="007A2BD0">
        <w:rPr>
          <w:rFonts w:ascii="Times New Roman" w:hAnsi="Times New Roman" w:cs="Times New Roman"/>
          <w:b/>
          <w:sz w:val="24"/>
          <w:szCs w:val="24"/>
        </w:rPr>
        <w:t xml:space="preserve"> Masat per zbutjen dhe </w:t>
      </w:r>
      <w:r w:rsidR="006F11E9">
        <w:rPr>
          <w:rFonts w:ascii="Times New Roman" w:hAnsi="Times New Roman" w:cs="Times New Roman"/>
          <w:b/>
          <w:sz w:val="24"/>
          <w:szCs w:val="24"/>
        </w:rPr>
        <w:t>përshtatjen</w:t>
      </w:r>
      <w:r w:rsidR="00F80F07" w:rsidRPr="007A2BD0">
        <w:rPr>
          <w:rFonts w:ascii="Times New Roman" w:hAnsi="Times New Roman" w:cs="Times New Roman"/>
          <w:b/>
          <w:sz w:val="24"/>
          <w:szCs w:val="24"/>
        </w:rPr>
        <w:t xml:space="preserve"> e ndryshimeve klimatike</w:t>
      </w:r>
    </w:p>
    <w:p w:rsidR="007A2BD0" w:rsidRPr="006F11E9" w:rsidRDefault="007A2BD0" w:rsidP="007A2BD0">
      <w:pPr>
        <w:suppressAutoHyphens/>
        <w:spacing w:before="120" w:after="180" w:line="276" w:lineRule="auto"/>
        <w:jc w:val="both"/>
        <w:rPr>
          <w:rFonts w:ascii="Times New Roman" w:eastAsia="Times New Roman" w:hAnsi="Times New Roman" w:cs="Times New Roman"/>
          <w:bCs/>
          <w:sz w:val="24"/>
          <w:szCs w:val="24"/>
          <w:lang w:val="en-GB" w:eastAsia="ar-SA"/>
        </w:rPr>
      </w:pPr>
      <w:r w:rsidRPr="006F11E9">
        <w:rPr>
          <w:rFonts w:ascii="Times New Roman" w:eastAsia="Times New Roman" w:hAnsi="Times New Roman" w:cs="Times New Roman"/>
          <w:bCs/>
          <w:sz w:val="24"/>
          <w:szCs w:val="24"/>
          <w:lang w:val="en-GB" w:eastAsia="ar-SA"/>
        </w:rPr>
        <w:t xml:space="preserve">Kontributi </w:t>
      </w:r>
      <w:r w:rsidR="00061DF1" w:rsidRPr="006F11E9">
        <w:rPr>
          <w:rFonts w:ascii="Times New Roman" w:eastAsia="Times New Roman" w:hAnsi="Times New Roman" w:cs="Times New Roman"/>
          <w:bCs/>
          <w:sz w:val="24"/>
          <w:szCs w:val="24"/>
          <w:lang w:val="en-GB" w:eastAsia="ar-SA"/>
        </w:rPr>
        <w:t xml:space="preserve">i dytë </w:t>
      </w:r>
      <w:r w:rsidRPr="006F11E9">
        <w:rPr>
          <w:rFonts w:ascii="Times New Roman" w:eastAsia="Times New Roman" w:hAnsi="Times New Roman" w:cs="Times New Roman"/>
          <w:bCs/>
          <w:sz w:val="24"/>
          <w:szCs w:val="24"/>
          <w:lang w:val="en-GB" w:eastAsia="ar-SA"/>
        </w:rPr>
        <w:t xml:space="preserve">Kombëtar i Pikësynuar </w:t>
      </w:r>
      <w:r w:rsidR="006F11E9" w:rsidRPr="006F11E9">
        <w:rPr>
          <w:rFonts w:ascii="Times New Roman" w:eastAsia="Times New Roman" w:hAnsi="Times New Roman" w:cs="Times New Roman"/>
          <w:bCs/>
          <w:sz w:val="24"/>
          <w:szCs w:val="24"/>
          <w:lang w:val="en-GB" w:eastAsia="ar-SA"/>
        </w:rPr>
        <w:t xml:space="preserve">ka përcaktuar masat për zbutjen dhe </w:t>
      </w:r>
      <w:r w:rsidR="006F11E9">
        <w:rPr>
          <w:rFonts w:ascii="Times New Roman" w:eastAsia="Times New Roman" w:hAnsi="Times New Roman" w:cs="Times New Roman"/>
          <w:bCs/>
          <w:sz w:val="24"/>
          <w:szCs w:val="24"/>
          <w:lang w:val="en-GB" w:eastAsia="ar-SA"/>
        </w:rPr>
        <w:t>përshtatjen e ndryshimeve klimatike</w:t>
      </w:r>
      <w:r w:rsidR="006F11E9" w:rsidRPr="006F11E9">
        <w:rPr>
          <w:rFonts w:ascii="Times New Roman" w:eastAsia="Times New Roman" w:hAnsi="Times New Roman" w:cs="Times New Roman"/>
          <w:bCs/>
          <w:sz w:val="24"/>
          <w:szCs w:val="24"/>
          <w:lang w:val="en-GB" w:eastAsia="ar-SA"/>
        </w:rPr>
        <w:t xml:space="preserve"> të cilat paraqiten si vijon:</w:t>
      </w:r>
    </w:p>
    <w:p w:rsidR="006F11E9" w:rsidRPr="000F53CF" w:rsidRDefault="006F11E9" w:rsidP="000F53CF">
      <w:pPr>
        <w:suppressAutoHyphens/>
        <w:spacing w:before="120" w:after="180" w:line="276" w:lineRule="auto"/>
        <w:jc w:val="center"/>
        <w:rPr>
          <w:rFonts w:ascii="Times New Roman" w:eastAsia="Times New Roman" w:hAnsi="Times New Roman" w:cs="Times New Roman"/>
          <w:bCs/>
          <w:sz w:val="24"/>
          <w:szCs w:val="24"/>
          <w:lang w:val="en-GB" w:eastAsia="ar-SA"/>
        </w:rPr>
      </w:pPr>
      <w:r w:rsidRPr="000F53CF">
        <w:rPr>
          <w:rFonts w:ascii="Times New Roman" w:eastAsia="Times New Roman" w:hAnsi="Times New Roman" w:cs="Times New Roman"/>
          <w:bCs/>
          <w:sz w:val="24"/>
          <w:szCs w:val="24"/>
          <w:lang w:val="en-CA" w:eastAsia="ar-SA"/>
        </w:rPr>
        <w:t xml:space="preserve">Tabela </w:t>
      </w:r>
      <w:r w:rsidR="00FE1F1B">
        <w:rPr>
          <w:rFonts w:ascii="Times New Roman" w:eastAsia="Times New Roman" w:hAnsi="Times New Roman" w:cs="Times New Roman"/>
          <w:bCs/>
          <w:sz w:val="24"/>
          <w:szCs w:val="24"/>
          <w:lang w:val="en-CA" w:eastAsia="ar-SA"/>
        </w:rPr>
        <w:t>77.</w:t>
      </w:r>
      <w:r w:rsidRPr="000F53CF">
        <w:rPr>
          <w:rFonts w:ascii="Times New Roman" w:eastAsia="Times New Roman" w:hAnsi="Times New Roman" w:cs="Times New Roman"/>
          <w:bCs/>
          <w:sz w:val="24"/>
          <w:szCs w:val="24"/>
          <w:lang w:val="en-CA" w:eastAsia="ar-SA"/>
        </w:rPr>
        <w:t xml:space="preserve"> Temat kryesore të masave të planifikuara të zbutjes</w:t>
      </w:r>
    </w:p>
    <w:tbl>
      <w:tblPr>
        <w:tblW w:w="5000" w:type="pct"/>
        <w:tblCellMar>
          <w:left w:w="0" w:type="dxa"/>
          <w:right w:w="0" w:type="dxa"/>
        </w:tblCellMar>
        <w:tblLook w:val="04A0" w:firstRow="1" w:lastRow="0" w:firstColumn="1" w:lastColumn="0" w:noHBand="0" w:noVBand="1"/>
      </w:tblPr>
      <w:tblGrid>
        <w:gridCol w:w="1304"/>
        <w:gridCol w:w="2499"/>
        <w:gridCol w:w="5773"/>
      </w:tblGrid>
      <w:tr w:rsidR="006F11E9" w:rsidRPr="006F11E9" w:rsidTr="00053914">
        <w:tc>
          <w:tcPr>
            <w:tcW w:w="633" w:type="pct"/>
            <w:vMerge w:val="restart"/>
            <w:tcBorders>
              <w:top w:val="single" w:sz="8" w:space="0" w:color="9CC2E5"/>
              <w:left w:val="single" w:sz="8" w:space="0" w:color="9CC2E5"/>
              <w:bottom w:val="single" w:sz="8" w:space="0" w:color="9CC2E5"/>
              <w:right w:val="single" w:sz="8" w:space="0" w:color="9CC2E5"/>
            </w:tcBorders>
            <w:shd w:val="clear" w:color="auto" w:fill="DEEAF6"/>
            <w:tcMar>
              <w:top w:w="0" w:type="dxa"/>
              <w:left w:w="108" w:type="dxa"/>
              <w:bottom w:w="0" w:type="dxa"/>
              <w:right w:w="108" w:type="dxa"/>
            </w:tcMar>
            <w:hideMark/>
          </w:tcPr>
          <w:p w:rsidR="006F11E9" w:rsidRPr="006F11E9" w:rsidRDefault="006F11E9" w:rsidP="006F11E9">
            <w:pPr>
              <w:suppressAutoHyphens/>
              <w:spacing w:after="0" w:line="240" w:lineRule="auto"/>
              <w:rPr>
                <w:rFonts w:ascii="Times New Roman" w:eastAsia="Times New Roman" w:hAnsi="Times New Roman" w:cs="Times New Roman"/>
                <w:b/>
                <w:bCs/>
                <w:lang w:val="fr-FR" w:eastAsia="ar-SA"/>
              </w:rPr>
            </w:pPr>
            <w:r w:rsidRPr="006F11E9">
              <w:rPr>
                <w:rFonts w:ascii="Times New Roman" w:eastAsia="Times New Roman" w:hAnsi="Times New Roman" w:cs="Times New Roman"/>
                <w:b/>
                <w:bCs/>
                <w:lang w:val="en-GB" w:eastAsia="ar-SA"/>
              </w:rPr>
              <w:t>Energji</w:t>
            </w:r>
          </w:p>
        </w:tc>
        <w:tc>
          <w:tcPr>
            <w:tcW w:w="1329" w:type="pct"/>
            <w:vMerge w:val="restart"/>
            <w:tcBorders>
              <w:top w:val="single" w:sz="8" w:space="0" w:color="9CC2E5"/>
              <w:left w:val="nil"/>
              <w:right w:val="single" w:sz="8" w:space="0" w:color="9CC2E5"/>
            </w:tcBorders>
            <w:shd w:val="clear" w:color="auto" w:fill="DEEAF6"/>
            <w:tcMar>
              <w:top w:w="0" w:type="dxa"/>
              <w:left w:w="108" w:type="dxa"/>
              <w:bottom w:w="0" w:type="dxa"/>
              <w:right w:w="108" w:type="dxa"/>
            </w:tcMar>
            <w:vAlign w:val="center"/>
            <w:hideMark/>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eastAsia="ar-SA"/>
              </w:rPr>
              <w:t>Zbatimi i Strategjisë Kombëtare të Energjisë</w:t>
            </w:r>
          </w:p>
        </w:tc>
        <w:tc>
          <w:tcPr>
            <w:tcW w:w="3038" w:type="pct"/>
            <w:tcBorders>
              <w:top w:val="single" w:sz="8" w:space="0" w:color="9CC2E5"/>
              <w:left w:val="nil"/>
              <w:bottom w:val="single" w:sz="8" w:space="0" w:color="9CC2E5"/>
              <w:right w:val="single" w:sz="8" w:space="0" w:color="9CC2E5"/>
            </w:tcBorders>
            <w:shd w:val="clear" w:color="auto" w:fill="DEEAF6"/>
            <w:tcMar>
              <w:top w:w="0" w:type="dxa"/>
              <w:left w:w="108" w:type="dxa"/>
              <w:bottom w:w="0" w:type="dxa"/>
              <w:right w:w="108" w:type="dxa"/>
            </w:tcMar>
            <w:hideMark/>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eastAsia="ar-SA"/>
              </w:rPr>
              <w:t>Zvogëlimi i humbjeve teknike të energjisë elektrike në transmetim, humbjeve jo-teknike dhe humbjeve teknike të energjisë elektrike në shpërndarje</w:t>
            </w:r>
          </w:p>
        </w:tc>
      </w:tr>
      <w:tr w:rsidR="006F11E9" w:rsidRPr="006F11E9" w:rsidTr="00053914">
        <w:tc>
          <w:tcPr>
            <w:tcW w:w="633" w:type="pct"/>
            <w:vMerge/>
            <w:tcBorders>
              <w:top w:val="single" w:sz="8" w:space="0" w:color="9CC2E5"/>
              <w:left w:val="single" w:sz="8" w:space="0" w:color="9CC2E5"/>
              <w:bottom w:val="single" w:sz="8" w:space="0" w:color="9CC2E5"/>
              <w:right w:val="single" w:sz="8" w:space="0" w:color="9CC2E5"/>
            </w:tcBorders>
            <w:vAlign w:val="center"/>
            <w:hideMark/>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vAlign w:val="center"/>
            <w:hideMark/>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tcMar>
              <w:top w:w="0" w:type="dxa"/>
              <w:left w:w="108" w:type="dxa"/>
              <w:bottom w:w="0" w:type="dxa"/>
              <w:right w:w="108" w:type="dxa"/>
            </w:tcMar>
            <w:hideMark/>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eastAsia="ar-SA"/>
              </w:rPr>
              <w:t>Hapja e tregut të energjisë elektrike</w:t>
            </w:r>
          </w:p>
        </w:tc>
      </w:tr>
      <w:tr w:rsidR="006F11E9" w:rsidRPr="006F11E9" w:rsidTr="00053914">
        <w:tc>
          <w:tcPr>
            <w:tcW w:w="633" w:type="pct"/>
            <w:vMerge/>
            <w:tcBorders>
              <w:top w:val="single" w:sz="8" w:space="0" w:color="9CC2E5"/>
              <w:left w:val="single" w:sz="8" w:space="0" w:color="9CC2E5"/>
              <w:bottom w:val="single" w:sz="8" w:space="0" w:color="9CC2E5"/>
              <w:right w:val="single" w:sz="8" w:space="0" w:color="9CC2E5"/>
            </w:tcBorders>
            <w:vAlign w:val="center"/>
            <w:hideMark/>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vAlign w:val="center"/>
            <w:hideMark/>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hideMark/>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eastAsia="ar-SA"/>
              </w:rPr>
              <w:t>Rritja e vetëmjaftueshmërisë së burimeve primare të energjisë vendase kundrejt furnizimit total me energji primare</w:t>
            </w:r>
          </w:p>
        </w:tc>
      </w:tr>
      <w:tr w:rsidR="006F11E9" w:rsidRPr="006F11E9" w:rsidTr="00053914">
        <w:tc>
          <w:tcPr>
            <w:tcW w:w="633" w:type="pct"/>
            <w:vMerge/>
            <w:tcBorders>
              <w:top w:val="single" w:sz="8" w:space="0" w:color="9CC2E5"/>
              <w:left w:val="single" w:sz="8" w:space="0" w:color="9CC2E5"/>
              <w:bottom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eastAsia="ar-SA"/>
              </w:rPr>
            </w:pPr>
            <w:r w:rsidRPr="006F11E9">
              <w:rPr>
                <w:rFonts w:ascii="Times New Roman" w:eastAsia="Times New Roman" w:hAnsi="Times New Roman" w:cs="Times New Roman"/>
                <w:lang w:eastAsia="ar-SA"/>
              </w:rPr>
              <w:t>Ulja e importeve të burimeve të energjisë kundrejt furnizimit total me energji primare</w:t>
            </w:r>
          </w:p>
        </w:tc>
      </w:tr>
      <w:tr w:rsidR="006F11E9" w:rsidRPr="006F11E9" w:rsidTr="00053914">
        <w:tc>
          <w:tcPr>
            <w:tcW w:w="633" w:type="pct"/>
            <w:vMerge/>
            <w:tcBorders>
              <w:top w:val="single" w:sz="8" w:space="0" w:color="9CC2E5"/>
              <w:left w:val="single" w:sz="8" w:space="0" w:color="9CC2E5"/>
              <w:bottom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eastAsia="ar-SA"/>
              </w:rPr>
            </w:pPr>
            <w:r w:rsidRPr="006F11E9">
              <w:rPr>
                <w:rFonts w:ascii="Times New Roman" w:eastAsia="Times New Roman" w:hAnsi="Times New Roman" w:cs="Times New Roman"/>
                <w:lang w:eastAsia="ar-SA"/>
              </w:rPr>
              <w:t>Rritni efikasitetin e energjisë</w:t>
            </w:r>
          </w:p>
        </w:tc>
      </w:tr>
      <w:tr w:rsidR="006F11E9" w:rsidRPr="006F11E9" w:rsidTr="00053914">
        <w:tc>
          <w:tcPr>
            <w:tcW w:w="633" w:type="pct"/>
            <w:vMerge/>
            <w:tcBorders>
              <w:top w:val="single" w:sz="8" w:space="0" w:color="9CC2E5"/>
              <w:left w:val="single" w:sz="8" w:space="0" w:color="9CC2E5"/>
              <w:bottom w:val="single" w:sz="8" w:space="0" w:color="9CC2E5"/>
              <w:right w:val="single" w:sz="8" w:space="0" w:color="9CC2E5"/>
            </w:tcBorders>
            <w:vAlign w:val="center"/>
            <w:hideMark/>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vAlign w:val="center"/>
            <w:hideMark/>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tcMar>
              <w:top w:w="0" w:type="dxa"/>
              <w:left w:w="108" w:type="dxa"/>
              <w:bottom w:w="0" w:type="dxa"/>
              <w:right w:w="108" w:type="dxa"/>
            </w:tcMar>
            <w:hideMark/>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eastAsia="ar-SA"/>
              </w:rPr>
              <w:t>Rritja e përdorimit të energjisë së rinovueshme në furnizimin total me energji primare</w:t>
            </w:r>
          </w:p>
        </w:tc>
      </w:tr>
      <w:tr w:rsidR="006F11E9" w:rsidRPr="006F11E9" w:rsidTr="00053914">
        <w:tc>
          <w:tcPr>
            <w:tcW w:w="633" w:type="pct"/>
            <w:vMerge/>
            <w:tcBorders>
              <w:top w:val="single" w:sz="8" w:space="0" w:color="9CC2E5"/>
              <w:left w:val="single" w:sz="8" w:space="0" w:color="9CC2E5"/>
              <w:bottom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eastAsia="ar-SA"/>
              </w:rPr>
              <w:t>Rritja e pjesës së biokarburanteve në sektorin e transportit (BAU)</w:t>
            </w:r>
          </w:p>
        </w:tc>
      </w:tr>
      <w:tr w:rsidR="006F11E9" w:rsidRPr="006F11E9" w:rsidTr="00053914">
        <w:tc>
          <w:tcPr>
            <w:tcW w:w="633" w:type="pct"/>
            <w:vMerge/>
            <w:tcBorders>
              <w:top w:val="single" w:sz="8" w:space="0" w:color="9CC2E5"/>
              <w:left w:val="single" w:sz="8" w:space="0" w:color="9CC2E5"/>
              <w:bottom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eastAsia="ar-SA"/>
              </w:rPr>
              <w:t>Rritja e depërtimit të gazit natyror kundrejt furnizimit total me energji primare</w:t>
            </w:r>
          </w:p>
        </w:tc>
      </w:tr>
      <w:tr w:rsidR="006F11E9" w:rsidRPr="006F11E9" w:rsidTr="00053914">
        <w:tc>
          <w:tcPr>
            <w:tcW w:w="633" w:type="pct"/>
            <w:vMerge/>
            <w:tcBorders>
              <w:top w:val="single" w:sz="8" w:space="0" w:color="9CC2E5"/>
              <w:left w:val="single" w:sz="8" w:space="0" w:color="9CC2E5"/>
              <w:bottom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bottom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eastAsia="ar-SA"/>
              </w:rPr>
              <w:t>Rritja e flotës së automjeteve elektrike dhe transferimit të biçikletave</w:t>
            </w:r>
          </w:p>
        </w:tc>
      </w:tr>
      <w:tr w:rsidR="006F11E9" w:rsidRPr="006F11E9" w:rsidTr="00053914">
        <w:tc>
          <w:tcPr>
            <w:tcW w:w="633" w:type="pct"/>
            <w:vMerge w:val="restart"/>
            <w:tcBorders>
              <w:top w:val="nil"/>
              <w:left w:val="single" w:sz="8" w:space="0" w:color="9CC2E5"/>
              <w:bottom w:val="single" w:sz="8" w:space="0" w:color="9CC2E5"/>
              <w:right w:val="single" w:sz="8" w:space="0" w:color="9CC2E5"/>
            </w:tcBorders>
            <w:tcMar>
              <w:top w:w="0" w:type="dxa"/>
              <w:left w:w="108" w:type="dxa"/>
              <w:bottom w:w="0" w:type="dxa"/>
              <w:right w:w="108" w:type="dxa"/>
            </w:tcMar>
            <w:hideMark/>
          </w:tcPr>
          <w:p w:rsidR="006F11E9" w:rsidRPr="006F11E9" w:rsidRDefault="006F11E9" w:rsidP="006F11E9">
            <w:pPr>
              <w:suppressAutoHyphens/>
              <w:spacing w:after="0" w:line="240" w:lineRule="auto"/>
              <w:rPr>
                <w:rFonts w:ascii="Times New Roman" w:eastAsia="Times New Roman" w:hAnsi="Times New Roman" w:cs="Times New Roman"/>
                <w:b/>
                <w:bCs/>
                <w:lang w:val="fr-FR" w:eastAsia="ar-SA"/>
              </w:rPr>
            </w:pPr>
            <w:r>
              <w:rPr>
                <w:rFonts w:ascii="Times New Roman" w:eastAsia="Times New Roman" w:hAnsi="Times New Roman" w:cs="Times New Roman"/>
                <w:b/>
                <w:bCs/>
                <w:lang w:val="en-GB" w:eastAsia="ar-SA"/>
              </w:rPr>
              <w:t>Industria</w:t>
            </w:r>
          </w:p>
        </w:tc>
        <w:tc>
          <w:tcPr>
            <w:tcW w:w="1329" w:type="pct"/>
            <w:vMerge w:val="restart"/>
            <w:tcBorders>
              <w:top w:val="nil"/>
              <w:left w:val="nil"/>
              <w:bottom w:val="single" w:sz="8" w:space="0" w:color="9CC2E5"/>
              <w:right w:val="single" w:sz="8" w:space="0" w:color="9CC2E5"/>
            </w:tcBorders>
            <w:tcMar>
              <w:top w:w="0" w:type="dxa"/>
              <w:left w:w="108" w:type="dxa"/>
              <w:bottom w:w="0" w:type="dxa"/>
              <w:right w:w="108" w:type="dxa"/>
            </w:tcMar>
            <w:hideMark/>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eastAsia="ar-SA"/>
              </w:rPr>
              <w:t>Protokolli i Montrealit që përfshin amendamentin e Kigalit për të ulur konsumin e gazrave F, në veçanti të HFC-ve</w:t>
            </w:r>
          </w:p>
        </w:tc>
        <w:tc>
          <w:tcPr>
            <w:tcW w:w="3038" w:type="pct"/>
            <w:tcBorders>
              <w:top w:val="nil"/>
              <w:left w:val="nil"/>
              <w:bottom w:val="single" w:sz="8" w:space="0" w:color="9CC2E5"/>
              <w:right w:val="single" w:sz="8" w:space="0" w:color="9CC2E5"/>
            </w:tcBorders>
            <w:tcMar>
              <w:top w:w="0" w:type="dxa"/>
              <w:left w:w="108" w:type="dxa"/>
              <w:bottom w:w="0" w:type="dxa"/>
              <w:right w:w="108" w:type="dxa"/>
            </w:tcMar>
            <w:hideMark/>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Zhvilloni një skemë monitorimi për gazrat F</w:t>
            </w:r>
          </w:p>
        </w:tc>
      </w:tr>
      <w:tr w:rsidR="006F11E9" w:rsidRPr="006F11E9" w:rsidTr="00053914">
        <w:tc>
          <w:tcPr>
            <w:tcW w:w="633" w:type="pct"/>
            <w:vMerge/>
            <w:tcBorders>
              <w:top w:val="nil"/>
              <w:left w:val="single" w:sz="8" w:space="0" w:color="9CC2E5"/>
              <w:bottom w:val="single" w:sz="8" w:space="0" w:color="9CC2E5"/>
              <w:right w:val="single" w:sz="8" w:space="0" w:color="9CC2E5"/>
            </w:tcBorders>
            <w:vAlign w:val="center"/>
            <w:hideMark/>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top w:val="nil"/>
              <w:left w:val="nil"/>
              <w:bottom w:val="single" w:sz="8" w:space="0" w:color="9CC2E5"/>
              <w:right w:val="single" w:sz="8" w:space="0" w:color="9CC2E5"/>
            </w:tcBorders>
            <w:vAlign w:val="center"/>
            <w:hideMark/>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hideMark/>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Zhvilloni një strategji dhe/ose plane sektoriale për të ulur konsumin e HFC-ve.</w:t>
            </w:r>
          </w:p>
        </w:tc>
      </w:tr>
      <w:tr w:rsidR="006F11E9" w:rsidRPr="006F11E9" w:rsidTr="00053914">
        <w:tc>
          <w:tcPr>
            <w:tcW w:w="633" w:type="pct"/>
            <w:vMerge w:val="restart"/>
            <w:tcBorders>
              <w:top w:val="nil"/>
              <w:left w:val="single" w:sz="8" w:space="0" w:color="9CC2E5"/>
              <w:right w:val="single" w:sz="8" w:space="0" w:color="9CC2E5"/>
            </w:tcBorders>
            <w:tcMar>
              <w:top w:w="0" w:type="dxa"/>
              <w:left w:w="108" w:type="dxa"/>
              <w:bottom w:w="0" w:type="dxa"/>
              <w:right w:w="108" w:type="dxa"/>
            </w:tcMar>
            <w:hideMark/>
          </w:tcPr>
          <w:p w:rsidR="006F11E9" w:rsidRPr="006F11E9" w:rsidRDefault="006F11E9" w:rsidP="006F11E9">
            <w:pPr>
              <w:suppressAutoHyphens/>
              <w:spacing w:after="0" w:line="240" w:lineRule="auto"/>
              <w:rPr>
                <w:rFonts w:ascii="Times New Roman" w:eastAsia="Times New Roman" w:hAnsi="Times New Roman" w:cs="Times New Roman"/>
                <w:b/>
                <w:bCs/>
                <w:lang w:val="fr-FR" w:eastAsia="ar-SA"/>
              </w:rPr>
            </w:pPr>
            <w:r w:rsidRPr="006F11E9">
              <w:rPr>
                <w:rFonts w:ascii="Times New Roman" w:eastAsia="Times New Roman" w:hAnsi="Times New Roman" w:cs="Times New Roman"/>
                <w:b/>
                <w:bCs/>
                <w:lang w:val="en-GB" w:eastAsia="ar-SA"/>
              </w:rPr>
              <w:t>Mbeturinat</w:t>
            </w:r>
          </w:p>
        </w:tc>
        <w:tc>
          <w:tcPr>
            <w:tcW w:w="1329" w:type="pct"/>
            <w:vMerge w:val="restart"/>
            <w:tcBorders>
              <w:top w:val="nil"/>
              <w:left w:val="nil"/>
              <w:right w:val="single" w:sz="8" w:space="0" w:color="9CC2E5"/>
            </w:tcBorders>
            <w:tcMar>
              <w:top w:w="0" w:type="dxa"/>
              <w:left w:w="108" w:type="dxa"/>
              <w:bottom w:w="0" w:type="dxa"/>
              <w:right w:w="108" w:type="dxa"/>
            </w:tcMar>
            <w:hideMark/>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Menaxhim dhe monitorim i përmirësuar në lidhje me nënsektorin e deponive</w:t>
            </w:r>
          </w:p>
        </w:tc>
        <w:tc>
          <w:tcPr>
            <w:tcW w:w="3038" w:type="pct"/>
            <w:tcBorders>
              <w:top w:val="nil"/>
              <w:left w:val="nil"/>
              <w:bottom w:val="single" w:sz="8" w:space="0" w:color="9CC2E5"/>
              <w:right w:val="single" w:sz="8" w:space="0" w:color="9CC2E5"/>
            </w:tcBorders>
            <w:tcMar>
              <w:top w:w="0" w:type="dxa"/>
              <w:left w:w="108" w:type="dxa"/>
              <w:bottom w:w="0" w:type="dxa"/>
              <w:right w:w="108" w:type="dxa"/>
            </w:tcMar>
            <w:hideMark/>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eastAsia="ar-SA"/>
              </w:rPr>
              <w:t>Ulja me 35% (krahasuar me vitin 2010) e sasisë së mbetjeve bio që shkojnë në deponi deri në vitin 2025</w:t>
            </w:r>
          </w:p>
        </w:tc>
      </w:tr>
      <w:tr w:rsidR="006F11E9" w:rsidRPr="006F11E9" w:rsidTr="00053914">
        <w:tc>
          <w:tcPr>
            <w:tcW w:w="633" w:type="pct"/>
            <w:vMerge/>
            <w:tcBorders>
              <w:left w:val="single" w:sz="8" w:space="0" w:color="9CC2E5"/>
              <w:right w:val="single" w:sz="8" w:space="0" w:color="9CC2E5"/>
            </w:tcBorders>
            <w:vAlign w:val="center"/>
            <w:hideMark/>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bottom w:val="single" w:sz="8" w:space="0" w:color="9CC2E5"/>
              <w:right w:val="single" w:sz="8" w:space="0" w:color="9CC2E5"/>
            </w:tcBorders>
            <w:shd w:val="clear" w:color="auto" w:fill="DEEAF6"/>
            <w:tcMar>
              <w:top w:w="0" w:type="dxa"/>
              <w:left w:w="108" w:type="dxa"/>
              <w:bottom w:w="0" w:type="dxa"/>
              <w:right w:w="108" w:type="dxa"/>
            </w:tcMar>
            <w:hideMark/>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hideMark/>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eastAsia="ar-SA"/>
              </w:rPr>
              <w:t>Merrni në konsideratë kategoritë e ndryshme të mbeturinave kur kryeni inventarin në vend të atyre me shumicë.</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tcBorders>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Vendosja e një instalimi për kapjen e metanit</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Organizoni ngritjen e instalimeve të kapjes së metanit në deponitë e mbeturinave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val="restart"/>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Menaxhim dhe monitorim i përmirësuar në lidhje me nënsektorin e kompostimit</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eastAsia="ar-SA"/>
              </w:rPr>
            </w:pPr>
            <w:r w:rsidRPr="006F11E9">
              <w:rPr>
                <w:rFonts w:ascii="Times New Roman" w:eastAsia="Times New Roman" w:hAnsi="Times New Roman" w:cs="Times New Roman"/>
                <w:lang w:val="en-GB" w:eastAsia="ar-SA"/>
              </w:rPr>
              <w:t>Organizoni zhvillimin e sektorit të kompostimit për të rritur sasinë e mbeturinave të kompostuara.</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Zhvilloni mjete komunikimi për të rritur ndërgjegjësimin midis industrive dhe popullsisë mbi kompostimin e mbetjeve organike.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Menaxhim dhe monitorim i përmirësuar në lidhje me nënsektorin e djegies</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Përmirësimi i sektorit të djegies së mbeturinave (mundësisht me rikuperimin e energjisë) për të trajtuar mbetjet MS</w:t>
            </w:r>
            <w:r w:rsidR="002C4833">
              <w:rPr>
                <w:rFonts w:ascii="Times New Roman" w:eastAsia="Times New Roman" w:hAnsi="Times New Roman" w:cs="Times New Roman"/>
                <w:lang w:val="en-GB" w:eastAsia="ar-SA"/>
              </w:rPr>
              <w:t>Ë</w:t>
            </w:r>
            <w:r w:rsidRPr="006F11E9">
              <w:rPr>
                <w:rFonts w:ascii="Times New Roman" w:eastAsia="Times New Roman" w:hAnsi="Times New Roman" w:cs="Times New Roman"/>
                <w:lang w:val="en-GB" w:eastAsia="ar-SA"/>
              </w:rPr>
              <w:t xml:space="preserve"> dhe mbetjet klinike.</w:t>
            </w:r>
          </w:p>
        </w:tc>
      </w:tr>
      <w:tr w:rsidR="006F11E9" w:rsidRPr="006F11E9" w:rsidTr="00053914">
        <w:tc>
          <w:tcPr>
            <w:tcW w:w="633" w:type="pct"/>
            <w:vMerge/>
            <w:tcBorders>
              <w:left w:val="single" w:sz="8" w:space="0" w:color="9CC2E5"/>
              <w:bottom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Ulja e sasisë së mbeturinave të djegura në zjarre të hapura</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Zvogëlimi i zjarreve të mbeturinave dhe zvogëlimi i sasisë së mbeturinave të djegura në zjarre të hapura</w:t>
            </w:r>
          </w:p>
        </w:tc>
      </w:tr>
      <w:tr w:rsidR="006F11E9" w:rsidRPr="006F11E9" w:rsidTr="00053914">
        <w:tc>
          <w:tcPr>
            <w:tcW w:w="633" w:type="pct"/>
            <w:vMerge w:val="restart"/>
            <w:tcBorders>
              <w:top w:val="nil"/>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r w:rsidRPr="006F11E9">
              <w:rPr>
                <w:rFonts w:ascii="Times New Roman" w:eastAsia="Times New Roman" w:hAnsi="Times New Roman" w:cs="Times New Roman"/>
                <w:b/>
                <w:bCs/>
                <w:lang w:val="fr-FR" w:eastAsia="ar-SA"/>
              </w:rPr>
              <w:t>Bujqësi</w:t>
            </w:r>
          </w:p>
        </w:tc>
        <w:tc>
          <w:tcPr>
            <w:tcW w:w="1329"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Promovimi i prodhimit dhe konkurrueshmërisë bujqësore shqiptare</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Rritje në prodhim</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val="restart"/>
            <w:tcBorders>
              <w:top w:val="nil"/>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Përmirësimi i plehërimit me azot duke aplikuar sasinë e duhur</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Zbatimi i monitorimit të përmirësuar të azotit për të korrat për të zvogëluar inputet e azotit mineral</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Zhvillimi i bujqësisë organike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Përfshirja e më shumë bishtajoreve në rotacionet e të korrave, duke ndihmuar në uljen e inputeve të azotit mineral</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Trajnim për fermerët mbi përmirësimin e plehërimit me azot (mjete për të monitoruar plehërimin, balancën e azotit…)</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Përmirësimi i plehërimit me azot duke aplikuar burimin e duhur</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 xml:space="preserve">Ulje e konsumit të uresë, e zëvendësuar nga lloje të tjera të plehrave që nuk lëshojnë </w:t>
            </w:r>
            <w:r w:rsidRPr="006F11E9">
              <w:rPr>
                <w:rFonts w:ascii="Times New Roman" w:eastAsia="Times New Roman" w:hAnsi="Times New Roman" w:cs="Times New Roman"/>
                <w:vertAlign w:val="subscript"/>
                <w:lang w:val="en-GB" w:eastAsia="ar-SA"/>
              </w:rPr>
              <w:t xml:space="preserve">CO2 </w:t>
            </w:r>
            <w:r w:rsidRPr="006F11E9">
              <w:rPr>
                <w:rFonts w:ascii="Times New Roman" w:eastAsia="Times New Roman" w:hAnsi="Times New Roman" w:cs="Times New Roman"/>
                <w:lang w:val="en-GB" w:eastAsia="ar-SA"/>
              </w:rPr>
              <w:t>.</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Rritja e kohës së kaluar në kullotë</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Promovimi i kullotjes në fermat e bagëtive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val="restart"/>
            <w:tcBorders>
              <w:top w:val="nil"/>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 xml:space="preserve">Optimizimi i ushqyerjes </w:t>
            </w:r>
            <w:r w:rsidRPr="006F11E9">
              <w:rPr>
                <w:rFonts w:ascii="Times New Roman" w:eastAsia="Times New Roman" w:hAnsi="Times New Roman" w:cs="Times New Roman"/>
                <w:lang w:val="en-GB" w:eastAsia="ar-SA"/>
              </w:rPr>
              <w:lastRenderedPageBreak/>
              <w:t xml:space="preserve">së kafshëve me qëllim uljen e emetimeve të </w:t>
            </w:r>
            <w:r w:rsidRPr="006F11E9">
              <w:rPr>
                <w:rFonts w:ascii="Times New Roman" w:eastAsia="Times New Roman" w:hAnsi="Times New Roman" w:cs="Times New Roman"/>
                <w:vertAlign w:val="subscript"/>
                <w:lang w:val="en-GB" w:eastAsia="ar-SA"/>
              </w:rPr>
              <w:t xml:space="preserve">N2O </w:t>
            </w:r>
            <w:r w:rsidRPr="006F11E9">
              <w:rPr>
                <w:rFonts w:ascii="Times New Roman" w:eastAsia="Times New Roman" w:hAnsi="Times New Roman" w:cs="Times New Roman"/>
                <w:lang w:val="en-GB" w:eastAsia="ar-SA"/>
              </w:rPr>
              <w:t xml:space="preserve">dhe </w:t>
            </w:r>
            <w:r w:rsidRPr="006F11E9">
              <w:rPr>
                <w:rFonts w:ascii="Times New Roman" w:eastAsia="Times New Roman" w:hAnsi="Times New Roman" w:cs="Times New Roman"/>
                <w:vertAlign w:val="subscript"/>
                <w:lang w:val="en-GB" w:eastAsia="ar-SA"/>
              </w:rPr>
              <w:t>CH4</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lastRenderedPageBreak/>
              <w:t>Zhvillimi i monitorimit preciz për ushqyerjen e bagëtive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Shtimi i 1% lipideve në ushqimin për bagëtinë e strehuar</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val="restart"/>
            <w:tcBorders>
              <w:top w:val="nil"/>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Çështje të përgjithshme</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Rritja e kapacitetit teknik</w:t>
            </w:r>
          </w:p>
        </w:tc>
      </w:tr>
      <w:tr w:rsidR="006F11E9" w:rsidRPr="006F11E9" w:rsidTr="00053914">
        <w:tc>
          <w:tcPr>
            <w:tcW w:w="633" w:type="pct"/>
            <w:vMerge/>
            <w:tcBorders>
              <w:left w:val="single" w:sz="8" w:space="0" w:color="9CC2E5"/>
              <w:bottom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Rritja e ndërgjegjësimit</w:t>
            </w:r>
          </w:p>
        </w:tc>
      </w:tr>
      <w:tr w:rsidR="006F11E9" w:rsidRPr="006F11E9" w:rsidTr="00053914">
        <w:tc>
          <w:tcPr>
            <w:tcW w:w="633" w:type="pct"/>
            <w:vMerge w:val="restart"/>
            <w:tcBorders>
              <w:top w:val="nil"/>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r>
              <w:rPr>
                <w:rFonts w:ascii="Times New Roman" w:eastAsia="Times New Roman" w:hAnsi="Times New Roman" w:cs="Times New Roman"/>
                <w:b/>
                <w:bCs/>
                <w:lang w:val="en-GB" w:eastAsia="ar-SA"/>
              </w:rPr>
              <w:t>Përdorimi i pyjeve dhe tokës</w:t>
            </w:r>
          </w:p>
        </w:tc>
        <w:tc>
          <w:tcPr>
            <w:tcW w:w="1329"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Energjia: ndryshime në përzierjen e lëndës djegëse, zvogëlimi i përdorimit të drurit të zjarrit. Moratoriumi për drurin e zjarrit</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Ulja e përdorimit të drurit të zjarrit</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val="restart"/>
            <w:tcBorders>
              <w:top w:val="nil"/>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Zonat e reja të pyllëzimit</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Përcaktimi i zonave që do të pyllëzohen, Financimi i fidanëve dhe mbjellja - krijimi i çerdheve pyjore dhe planeve të mbarështimit.</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Mbroni zonat e pyllëzuara nga vdekshmëria, kullotja dhe nga konvertimi në përdorime të tjera të tokës.</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val="restart"/>
            <w:tcBorders>
              <w:top w:val="nil"/>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Menaxhim dhe monitorim i përmirësuar për të parandaluar zjarret në pyje</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Organizimi i misioneve të shpeshta monitoruese për zjarrfikësit gjatë sezonit të zjarreve - Përcaktimi i planeve për parandalimin e zjarreve dhe trajnimi specifik për stafin e kualifikuar për parandalimin e zjarreve dhe përdorimin e pajisjeve moderne dhe efikase (IBECA)</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Organizoni trajnime mbi teknikat e menaxhimit të pyjeve për të parandaluar zjarret në pyje midis punonjësve të pyjeve.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Zhvilloni mjete komunikimi për të rritur ndërgjegjësimin tek njerëzit</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Ngritja e një baze të dhënash kombëtare për kadastrën e zjarreve në pyje (GIS)</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val="restart"/>
            <w:tcBorders>
              <w:top w:val="nil"/>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Përmirësimi i efikasitetit të korrjes së druve të zjarrit</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Trajnimi dhe komunikimi</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Futja e teknikave dhe pajisjeve teknologjike moderne që konsistojnë në optimizimin e shfrytëzimit të pyjeve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Monitorimi dhe kontrolli i prerjes nga rojet e pyjeve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val="restart"/>
            <w:tcBorders>
              <w:top w:val="nil"/>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Menaxhim i qëndrueshëm i pyjeve</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Organizoni trajnime mbi teknikat e menaxhimit të pyjeve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Përmirësimi i burimeve të menaxhimit të pyjeve për të kryer praktika më të qëndrueshme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Rritja e sipërfaqes nën menaxhim të qëndrueshëm silvikulturor, për të përmirësuar kushtet e pyjeve, për të rritur produktivitetin pyjor, për të mbështetur zhvillimin shumëfunksional të pyjeve.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Ngritja e forumit pyjor (gjithëpërfshirës), për të diskutuar ofrimin e mbështetjes për vendimet kryesore të politikave pyjore që lidhen me zhvillimin e pylltarisë në vend.</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Promovimi i certifikimit të pyjeve, produkteve drusore dhe jodrusore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val="restart"/>
            <w:tcBorders>
              <w:top w:val="nil"/>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Menaxhim i qëndrueshëm i kullotave për të rritur sekuestrimin e karbonit dhe për të mbrojtur biodiversitetin</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Promovimi i kullotjes në fermat e bagëtive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color w:val="000000"/>
                <w:lang w:val="en-GB" w:eastAsia="fr-FR"/>
              </w:rPr>
              <w:t>Përmirësimi i burimeve për të zhvilluar mbrojtjen e kullotave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color w:val="000000"/>
                <w:lang w:val="en-GB" w:eastAsia="fr-FR"/>
              </w:rPr>
              <w:t>Përmirësimi i burimeve për të zhvilluar mbjelljen e gardheve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Zhvillimi i një etikete për fermat që sekuestrojnë karbonin dhe produktet e tyre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color w:val="000000"/>
                <w:lang w:val="en-GB" w:eastAsia="fr-FR"/>
              </w:rPr>
              <w:t>Komunikimi dhe shpërndarja e informacionit për operatorët e fermave dhe kooperativat/sindikatat</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val="restart"/>
            <w:tcBorders>
              <w:top w:val="nil"/>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Menaxhim i qëndrueshëm i tokës bujqësore</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color w:val="000000"/>
                <w:lang w:val="en-GB" w:eastAsia="fr-FR"/>
              </w:rPr>
            </w:pPr>
            <w:r w:rsidRPr="006F11E9">
              <w:rPr>
                <w:rFonts w:ascii="Times New Roman" w:eastAsia="Times New Roman" w:hAnsi="Times New Roman" w:cs="Times New Roman"/>
                <w:color w:val="000000"/>
                <w:lang w:val="en-GB" w:eastAsia="fr-FR"/>
              </w:rPr>
              <w:t>Përmirësimi i burimeve për të zhvilluar mbrojtjen e tokës bujqësore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jc w:val="center"/>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color w:val="000000"/>
                <w:lang w:val="en-GB" w:eastAsia="fr-FR"/>
              </w:rPr>
            </w:pPr>
            <w:r w:rsidRPr="006F11E9">
              <w:rPr>
                <w:rFonts w:ascii="Times New Roman" w:eastAsia="Times New Roman" w:hAnsi="Times New Roman" w:cs="Times New Roman"/>
                <w:color w:val="000000"/>
                <w:lang w:val="en-GB" w:eastAsia="ar-SA"/>
              </w:rPr>
              <w:t>Optimizimi i menaxhimit të mbetjeve dhe përmirësimi i ndryshimeve organike për të rritur ruajtjen e karbonit në tokë dhe për të zëvendësuar plehrat kimike,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jc w:val="center"/>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color w:val="000000"/>
                <w:lang w:val="en-GB" w:eastAsia="fr-FR"/>
              </w:rPr>
            </w:pPr>
            <w:r w:rsidRPr="006F11E9">
              <w:rPr>
                <w:rFonts w:ascii="Times New Roman" w:eastAsia="Times New Roman" w:hAnsi="Times New Roman" w:cs="Times New Roman"/>
                <w:color w:val="000000"/>
                <w:lang w:val="en-GB" w:eastAsia="fr-FR"/>
              </w:rPr>
              <w:t>Zhvillimi i zonave me pemë frutore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jc w:val="center"/>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color w:val="000000"/>
                <w:lang w:val="en-GB" w:eastAsia="fr-FR"/>
              </w:rPr>
            </w:pPr>
            <w:r w:rsidRPr="006F11E9">
              <w:rPr>
                <w:rFonts w:ascii="Times New Roman" w:eastAsia="Times New Roman" w:hAnsi="Times New Roman" w:cs="Times New Roman"/>
                <w:color w:val="000000"/>
                <w:lang w:val="en-GB" w:eastAsia="fr-FR"/>
              </w:rPr>
              <w:t>Përmirësimi i burimeve për të zhvilluar mbjelljen e gardheve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jc w:val="center"/>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color w:val="000000"/>
                <w:lang w:val="en-GB" w:eastAsia="fr-FR"/>
              </w:rPr>
            </w:pPr>
            <w:r w:rsidRPr="006F11E9">
              <w:rPr>
                <w:rFonts w:ascii="Times New Roman" w:eastAsia="Times New Roman" w:hAnsi="Times New Roman" w:cs="Times New Roman"/>
                <w:color w:val="000000"/>
                <w:lang w:val="en-GB" w:eastAsia="fr-FR"/>
              </w:rPr>
              <w:t>Përmirësimi i burimeve për të zhvilluar agropylltarinë</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jc w:val="center"/>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color w:val="000000"/>
                <w:lang w:val="en-GB" w:eastAsia="fr-FR"/>
              </w:rPr>
            </w:pPr>
            <w:r w:rsidRPr="006F11E9">
              <w:rPr>
                <w:rFonts w:ascii="Times New Roman" w:eastAsia="Times New Roman" w:hAnsi="Times New Roman" w:cs="Times New Roman"/>
                <w:lang w:val="en-GB" w:eastAsia="ar-SA"/>
              </w:rPr>
              <w:t>Zhvillimi i një etikete për fermat që sekuestrojnë karbonin dhe produktet e tyre</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jc w:val="center"/>
              <w:rPr>
                <w:rFonts w:ascii="Times New Roman" w:eastAsia="Times New Roman" w:hAnsi="Times New Roman" w:cs="Times New Roman"/>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color w:val="000000"/>
                <w:lang w:val="en-GB" w:eastAsia="fr-FR"/>
              </w:rPr>
            </w:pPr>
            <w:r w:rsidRPr="006F11E9">
              <w:rPr>
                <w:rFonts w:ascii="Times New Roman" w:eastAsia="Times New Roman" w:hAnsi="Times New Roman" w:cs="Times New Roman"/>
                <w:color w:val="000000"/>
                <w:lang w:val="en-GB" w:eastAsia="fr-FR"/>
              </w:rPr>
              <w:t>Komunikimi dhe shpërndarja e informacionit për operatorët e fermave dhe kooperativat/sindikatat</w:t>
            </w:r>
          </w:p>
        </w:tc>
      </w:tr>
      <w:tr w:rsidR="006F11E9" w:rsidRPr="006F11E9" w:rsidTr="00053914">
        <w:tc>
          <w:tcPr>
            <w:tcW w:w="633" w:type="pct"/>
            <w:vMerge/>
            <w:tcBorders>
              <w:left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val="restart"/>
            <w:tcBorders>
              <w:top w:val="nil"/>
              <w:left w:val="nil"/>
              <w:right w:val="single" w:sz="8" w:space="0" w:color="9CC2E5"/>
            </w:tcBorders>
            <w:shd w:val="clear" w:color="auto" w:fill="DEEAF6"/>
            <w:tcMar>
              <w:top w:w="0" w:type="dxa"/>
              <w:left w:w="108" w:type="dxa"/>
              <w:bottom w:w="0" w:type="dxa"/>
              <w:right w:w="108" w:type="dxa"/>
            </w:tcMar>
            <w:vAlign w:val="center"/>
          </w:tcPr>
          <w:p w:rsidR="006F11E9" w:rsidRPr="006F11E9" w:rsidRDefault="006F11E9" w:rsidP="006F11E9">
            <w:pPr>
              <w:suppressAutoHyphens/>
              <w:spacing w:after="0" w:line="240" w:lineRule="auto"/>
              <w:rPr>
                <w:rFonts w:ascii="Times New Roman" w:eastAsia="Times New Roman" w:hAnsi="Times New Roman" w:cs="Times New Roman"/>
                <w:lang w:val="en-GB" w:eastAsia="ar-SA"/>
              </w:rPr>
            </w:pPr>
            <w:r w:rsidRPr="006F11E9">
              <w:rPr>
                <w:rFonts w:ascii="Times New Roman" w:eastAsia="Times New Roman" w:hAnsi="Times New Roman" w:cs="Times New Roman"/>
                <w:lang w:val="en-GB" w:eastAsia="ar-SA"/>
              </w:rPr>
              <w:t>Çështje të përgjithshme</w:t>
            </w: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color w:val="000000"/>
                <w:lang w:val="en-GB" w:eastAsia="fr-FR"/>
              </w:rPr>
            </w:pPr>
            <w:r w:rsidRPr="006F11E9">
              <w:rPr>
                <w:rFonts w:ascii="Times New Roman" w:eastAsia="Times New Roman" w:hAnsi="Times New Roman" w:cs="Times New Roman"/>
                <w:color w:val="000000"/>
                <w:lang w:val="en-GB" w:eastAsia="fr-FR"/>
              </w:rPr>
              <w:t>Përmirësimi i statistikave pyjore</w:t>
            </w:r>
          </w:p>
        </w:tc>
      </w:tr>
      <w:tr w:rsidR="006F11E9" w:rsidRPr="006F11E9" w:rsidTr="00053914">
        <w:tc>
          <w:tcPr>
            <w:tcW w:w="633" w:type="pct"/>
            <w:vMerge/>
            <w:tcBorders>
              <w:left w:val="single" w:sz="8" w:space="0" w:color="9CC2E5"/>
              <w:bottom w:val="single" w:sz="8" w:space="0" w:color="9CC2E5"/>
              <w:right w:val="single" w:sz="8" w:space="0" w:color="9CC2E5"/>
            </w:tcBorders>
            <w:vAlign w:val="center"/>
          </w:tcPr>
          <w:p w:rsidR="006F11E9" w:rsidRPr="006F11E9" w:rsidRDefault="006F11E9" w:rsidP="006F11E9">
            <w:pPr>
              <w:suppressAutoHyphens/>
              <w:spacing w:after="0" w:line="240" w:lineRule="auto"/>
              <w:rPr>
                <w:rFonts w:ascii="Times New Roman" w:eastAsia="Times New Roman" w:hAnsi="Times New Roman" w:cs="Times New Roman"/>
                <w:b/>
                <w:bCs/>
                <w:lang w:val="en-GB" w:eastAsia="ar-SA"/>
              </w:rPr>
            </w:pPr>
          </w:p>
        </w:tc>
        <w:tc>
          <w:tcPr>
            <w:tcW w:w="1329" w:type="pct"/>
            <w:vMerge/>
            <w:tcBorders>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jc w:val="center"/>
              <w:rPr>
                <w:rFonts w:ascii="Times New Roman" w:eastAsia="Times New Roman" w:hAnsi="Times New Roman" w:cs="Times New Roman"/>
                <w:b/>
                <w:bCs/>
                <w:lang w:val="en-GB" w:eastAsia="ar-SA"/>
              </w:rPr>
            </w:pPr>
          </w:p>
        </w:tc>
        <w:tc>
          <w:tcPr>
            <w:tcW w:w="3038" w:type="pct"/>
            <w:tcBorders>
              <w:top w:val="nil"/>
              <w:left w:val="nil"/>
              <w:bottom w:val="single" w:sz="8" w:space="0" w:color="9CC2E5"/>
              <w:right w:val="single" w:sz="8" w:space="0" w:color="9CC2E5"/>
            </w:tcBorders>
            <w:shd w:val="clear" w:color="auto" w:fill="DEEAF6"/>
            <w:tcMar>
              <w:top w:w="0" w:type="dxa"/>
              <w:left w:w="108" w:type="dxa"/>
              <w:bottom w:w="0" w:type="dxa"/>
              <w:right w:w="108" w:type="dxa"/>
            </w:tcMar>
          </w:tcPr>
          <w:p w:rsidR="006F11E9" w:rsidRPr="006F11E9" w:rsidRDefault="006F11E9" w:rsidP="006F11E9">
            <w:pPr>
              <w:suppressAutoHyphens/>
              <w:spacing w:after="0" w:line="240" w:lineRule="auto"/>
              <w:rPr>
                <w:rFonts w:ascii="Times New Roman" w:eastAsia="Times New Roman" w:hAnsi="Times New Roman" w:cs="Times New Roman"/>
                <w:color w:val="000000"/>
                <w:lang w:val="en-GB" w:eastAsia="fr-FR"/>
              </w:rPr>
            </w:pPr>
            <w:r w:rsidRPr="006F11E9">
              <w:rPr>
                <w:rFonts w:ascii="Times New Roman" w:eastAsia="Times New Roman" w:hAnsi="Times New Roman" w:cs="Times New Roman"/>
                <w:color w:val="000000"/>
                <w:lang w:val="en-GB" w:eastAsia="ar-SA"/>
              </w:rPr>
              <w:t>Forcimi i sistemit të kërkimit, zhvillimit teknologjik dhe inovacionit në pyje dhe kullota që do të kryhet nga institucionet arsimore dhe shkencore.</w:t>
            </w:r>
          </w:p>
        </w:tc>
      </w:tr>
    </w:tbl>
    <w:p w:rsidR="006F11E9" w:rsidRPr="006F11E9" w:rsidRDefault="006F11E9" w:rsidP="006F11E9">
      <w:pPr>
        <w:suppressAutoHyphens/>
        <w:spacing w:before="120" w:after="180" w:line="276" w:lineRule="auto"/>
        <w:jc w:val="both"/>
        <w:rPr>
          <w:rFonts w:ascii="Times New Roman" w:eastAsia="Times New Roman" w:hAnsi="Times New Roman" w:cs="Times New Roman"/>
          <w:lang w:val="en-GB" w:eastAsia="ar-SA"/>
        </w:rPr>
      </w:pPr>
    </w:p>
    <w:p w:rsidR="006F11E9" w:rsidRPr="000F53CF" w:rsidRDefault="006F11E9" w:rsidP="000F53CF">
      <w:pPr>
        <w:suppressAutoHyphens/>
        <w:spacing w:after="200" w:line="240" w:lineRule="auto"/>
        <w:jc w:val="center"/>
        <w:rPr>
          <w:rFonts w:ascii="Times New Roman" w:eastAsia="Times New Roman" w:hAnsi="Times New Roman" w:cs="Times New Roman"/>
          <w:iCs/>
          <w:sz w:val="24"/>
          <w:szCs w:val="24"/>
          <w:lang w:val="en-CA" w:eastAsia="ar-SA"/>
        </w:rPr>
      </w:pPr>
      <w:bookmarkStart w:id="58" w:name="_Ref71811670"/>
      <w:r w:rsidRPr="000F53CF">
        <w:rPr>
          <w:rFonts w:ascii="Times New Roman" w:eastAsia="Times New Roman" w:hAnsi="Times New Roman" w:cs="Times New Roman"/>
          <w:iCs/>
          <w:sz w:val="24"/>
          <w:szCs w:val="24"/>
          <w:lang w:val="en-CA" w:eastAsia="ar-SA"/>
        </w:rPr>
        <w:t xml:space="preserve">Tabela </w:t>
      </w:r>
      <w:bookmarkEnd w:id="58"/>
      <w:r w:rsidR="00FE1F1B">
        <w:rPr>
          <w:rFonts w:ascii="Times New Roman" w:eastAsia="Times New Roman" w:hAnsi="Times New Roman" w:cs="Times New Roman"/>
          <w:iCs/>
          <w:sz w:val="24"/>
          <w:szCs w:val="24"/>
          <w:lang w:val="en-CA" w:eastAsia="ar-SA"/>
        </w:rPr>
        <w:t>78</w:t>
      </w:r>
      <w:r w:rsidRPr="000F53CF">
        <w:rPr>
          <w:rFonts w:ascii="Times New Roman" w:eastAsia="Times New Roman" w:hAnsi="Times New Roman" w:cs="Times New Roman"/>
          <w:iCs/>
          <w:sz w:val="24"/>
          <w:szCs w:val="24"/>
          <w:lang w:val="en-CA" w:eastAsia="ar-SA"/>
        </w:rPr>
        <w:t>. Temat kryesore të masave të planifikuara të përshtatjes</w:t>
      </w:r>
    </w:p>
    <w:tbl>
      <w:tblPr>
        <w:tblStyle w:val="GridTable4-Accent511"/>
        <w:tblW w:w="5000" w:type="pct"/>
        <w:tblLook w:val="0480" w:firstRow="0" w:lastRow="0" w:firstColumn="1" w:lastColumn="0" w:noHBand="0" w:noVBand="1"/>
      </w:tblPr>
      <w:tblGrid>
        <w:gridCol w:w="2554"/>
        <w:gridCol w:w="1366"/>
        <w:gridCol w:w="5656"/>
      </w:tblGrid>
      <w:tr w:rsidR="006F11E9" w:rsidRPr="006F11E9" w:rsidTr="00053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vMerge w:val="restart"/>
          </w:tcPr>
          <w:p w:rsidR="006F11E9" w:rsidRPr="006F11E9" w:rsidRDefault="006F11E9" w:rsidP="006F11E9">
            <w:pPr>
              <w:suppressAutoHyphens/>
              <w:spacing w:before="60" w:after="60" w:line="276" w:lineRule="auto"/>
              <w:jc w:val="both"/>
              <w:rPr>
                <w:rFonts w:ascii="Times New Roman" w:hAnsi="Times New Roman" w:cs="Times New Roman"/>
                <w:lang w:val="en-GB" w:eastAsia="ar-SA"/>
              </w:rPr>
            </w:pPr>
            <w:r w:rsidRPr="006F11E9">
              <w:rPr>
                <w:rFonts w:ascii="Times New Roman" w:hAnsi="Times New Roman" w:cs="Times New Roman"/>
                <w:lang w:val="en-GB" w:eastAsia="ar-SA"/>
              </w:rPr>
              <w:t>Forcimi i mjedisit të favorshëm</w:t>
            </w:r>
          </w:p>
        </w:tc>
        <w:tc>
          <w:tcPr>
            <w:tcW w:w="713" w:type="pct"/>
            <w:vMerge w:val="restart"/>
          </w:tcPr>
          <w:p w:rsidR="006F11E9" w:rsidRPr="006F11E9" w:rsidRDefault="006F11E9" w:rsidP="006F11E9">
            <w:pPr>
              <w:suppressAutoHyphens/>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lang w:val="en-GB" w:eastAsia="ar-SA"/>
              </w:rPr>
              <w:t>Politika dhe qeverisja</w:t>
            </w:r>
          </w:p>
        </w:tc>
        <w:tc>
          <w:tcPr>
            <w:tcW w:w="2953" w:type="pct"/>
          </w:tcPr>
          <w:p w:rsidR="006F11E9" w:rsidRPr="006F11E9" w:rsidRDefault="006F11E9" w:rsidP="006F11E9">
            <w:pPr>
              <w:suppressAutoHyphens/>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lang w:val="en-GB" w:eastAsia="ar-SA"/>
              </w:rPr>
              <w:t>Forcimi i kuadrit institucional (p.sh., koordinimi)</w:t>
            </w:r>
          </w:p>
        </w:tc>
      </w:tr>
      <w:tr w:rsidR="006F11E9" w:rsidRPr="006F11E9" w:rsidTr="00053914">
        <w:tc>
          <w:tcPr>
            <w:cnfStyle w:val="001000000000" w:firstRow="0" w:lastRow="0" w:firstColumn="1" w:lastColumn="0" w:oddVBand="0" w:evenVBand="0" w:oddHBand="0" w:evenHBand="0" w:firstRowFirstColumn="0" w:firstRowLastColumn="0" w:lastRowFirstColumn="0" w:lastRowLastColumn="0"/>
            <w:tcW w:w="1334" w:type="pct"/>
            <w:vMerge/>
          </w:tcPr>
          <w:p w:rsidR="006F11E9" w:rsidRPr="006F11E9" w:rsidRDefault="006F11E9" w:rsidP="006F11E9">
            <w:pPr>
              <w:suppressAutoHyphens/>
              <w:spacing w:before="60" w:after="60" w:line="276" w:lineRule="auto"/>
              <w:jc w:val="both"/>
              <w:rPr>
                <w:rFonts w:ascii="Times New Roman" w:hAnsi="Times New Roman" w:cs="Times New Roman"/>
                <w:lang w:val="en-GB" w:eastAsia="ar-SA"/>
              </w:rPr>
            </w:pPr>
          </w:p>
        </w:tc>
        <w:tc>
          <w:tcPr>
            <w:tcW w:w="713" w:type="pct"/>
            <w:vMerge/>
          </w:tcPr>
          <w:p w:rsidR="006F11E9" w:rsidRPr="006F11E9" w:rsidRDefault="006F11E9" w:rsidP="006F11E9">
            <w:pPr>
              <w:suppressAutoHyphens/>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ar-SA"/>
              </w:rPr>
            </w:pPr>
          </w:p>
        </w:tc>
        <w:tc>
          <w:tcPr>
            <w:tcW w:w="2953" w:type="pct"/>
          </w:tcPr>
          <w:p w:rsidR="006F11E9" w:rsidRPr="006F11E9" w:rsidRDefault="006F11E9" w:rsidP="006F11E9">
            <w:pPr>
              <w:suppressAutoHyphens/>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lang w:val="en-GB" w:eastAsia="ar-SA"/>
              </w:rPr>
              <w:t>Forcimi i kuadrit të politikave: zhvillimi dhe miratimi i ligjeve, politikave, rregulloreve dhe planeve, duke përfshirë planet e veprimit, dhe integrimi i tyre.</w:t>
            </w:r>
          </w:p>
        </w:tc>
      </w:tr>
      <w:tr w:rsidR="006F11E9" w:rsidRPr="006F11E9" w:rsidTr="00053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vMerge/>
          </w:tcPr>
          <w:p w:rsidR="006F11E9" w:rsidRPr="006F11E9" w:rsidRDefault="006F11E9" w:rsidP="006F11E9">
            <w:pPr>
              <w:suppressAutoHyphens/>
              <w:spacing w:before="60" w:after="60" w:line="276" w:lineRule="auto"/>
              <w:jc w:val="both"/>
              <w:rPr>
                <w:rFonts w:ascii="Times New Roman" w:hAnsi="Times New Roman" w:cs="Times New Roman"/>
                <w:lang w:val="en-GB" w:eastAsia="ar-SA"/>
              </w:rPr>
            </w:pPr>
          </w:p>
        </w:tc>
        <w:tc>
          <w:tcPr>
            <w:tcW w:w="713" w:type="pct"/>
            <w:vMerge/>
          </w:tcPr>
          <w:p w:rsidR="006F11E9" w:rsidRPr="006F11E9" w:rsidRDefault="006F11E9" w:rsidP="006F11E9">
            <w:pPr>
              <w:suppressAutoHyphens/>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ar-SA"/>
              </w:rPr>
            </w:pPr>
          </w:p>
        </w:tc>
        <w:tc>
          <w:tcPr>
            <w:tcW w:w="2953" w:type="pct"/>
          </w:tcPr>
          <w:p w:rsidR="006F11E9" w:rsidRPr="006F11E9" w:rsidRDefault="006F11E9" w:rsidP="006F11E9">
            <w:pPr>
              <w:suppressAutoHyphens/>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lang w:val="en-GB" w:eastAsia="ar-SA"/>
              </w:rPr>
              <w:t>Rritja e fondeve për përshtatjen ndaj ndryshimeve klimatike: financimi dhe planifikimi fiskal</w:t>
            </w:r>
          </w:p>
        </w:tc>
      </w:tr>
      <w:tr w:rsidR="006F11E9" w:rsidRPr="006F11E9" w:rsidTr="00053914">
        <w:tc>
          <w:tcPr>
            <w:cnfStyle w:val="001000000000" w:firstRow="0" w:lastRow="0" w:firstColumn="1" w:lastColumn="0" w:oddVBand="0" w:evenVBand="0" w:oddHBand="0" w:evenHBand="0" w:firstRowFirstColumn="0" w:firstRowLastColumn="0" w:lastRowFirstColumn="0" w:lastRowLastColumn="0"/>
            <w:tcW w:w="1334" w:type="pct"/>
            <w:vMerge/>
          </w:tcPr>
          <w:p w:rsidR="006F11E9" w:rsidRPr="006F11E9" w:rsidRDefault="006F11E9" w:rsidP="006F11E9">
            <w:pPr>
              <w:suppressAutoHyphens/>
              <w:spacing w:before="60" w:after="60" w:line="276" w:lineRule="auto"/>
              <w:jc w:val="both"/>
              <w:rPr>
                <w:rFonts w:ascii="Times New Roman" w:hAnsi="Times New Roman" w:cs="Times New Roman"/>
                <w:lang w:val="en-GB" w:eastAsia="ar-SA"/>
              </w:rPr>
            </w:pPr>
          </w:p>
        </w:tc>
        <w:tc>
          <w:tcPr>
            <w:tcW w:w="713" w:type="pct"/>
            <w:vMerge w:val="restart"/>
          </w:tcPr>
          <w:p w:rsidR="006F11E9" w:rsidRPr="006F11E9" w:rsidRDefault="006F11E9" w:rsidP="006F11E9">
            <w:pPr>
              <w:suppressAutoHyphens/>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lang w:val="en-GB" w:eastAsia="ar-SA"/>
              </w:rPr>
              <w:t>Kapaciteti shkencor, teknik dhe shoqëror</w:t>
            </w:r>
          </w:p>
        </w:tc>
        <w:tc>
          <w:tcPr>
            <w:tcW w:w="2953" w:type="pct"/>
          </w:tcPr>
          <w:p w:rsidR="006F11E9" w:rsidRPr="006F11E9" w:rsidRDefault="006F11E9" w:rsidP="006F11E9">
            <w:pPr>
              <w:suppressAutoHyphens/>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lang w:val="en-GB" w:eastAsia="ar-SA"/>
              </w:rPr>
              <w:t>Gjeneroni prova shkencore për të mbështetur vendimmarrjen mbi Përshtatjen ndaj Ndryshimeve Klimatike (CCA)</w:t>
            </w:r>
          </w:p>
        </w:tc>
      </w:tr>
      <w:tr w:rsidR="006F11E9" w:rsidRPr="006F11E9" w:rsidTr="00053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vMerge/>
          </w:tcPr>
          <w:p w:rsidR="006F11E9" w:rsidRPr="006F11E9" w:rsidRDefault="006F11E9" w:rsidP="006F11E9">
            <w:pPr>
              <w:suppressAutoHyphens/>
              <w:spacing w:before="60" w:after="60" w:line="276" w:lineRule="auto"/>
              <w:jc w:val="both"/>
              <w:rPr>
                <w:rFonts w:ascii="Times New Roman" w:hAnsi="Times New Roman" w:cs="Times New Roman"/>
                <w:lang w:val="en-GB" w:eastAsia="ar-SA"/>
              </w:rPr>
            </w:pPr>
          </w:p>
        </w:tc>
        <w:tc>
          <w:tcPr>
            <w:tcW w:w="713" w:type="pct"/>
            <w:vMerge/>
          </w:tcPr>
          <w:p w:rsidR="006F11E9" w:rsidRPr="006F11E9" w:rsidRDefault="006F11E9" w:rsidP="006F11E9">
            <w:pPr>
              <w:suppressAutoHyphens/>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ar-SA"/>
              </w:rPr>
            </w:pPr>
          </w:p>
        </w:tc>
        <w:tc>
          <w:tcPr>
            <w:tcW w:w="2953" w:type="pct"/>
          </w:tcPr>
          <w:p w:rsidR="006F11E9" w:rsidRPr="006F11E9" w:rsidRDefault="006F11E9" w:rsidP="006F11E9">
            <w:pPr>
              <w:suppressAutoHyphens/>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lang w:val="en-GB" w:eastAsia="ar-SA"/>
              </w:rPr>
              <w:t>Përmirësoni kapacitetin teknik</w:t>
            </w:r>
          </w:p>
        </w:tc>
      </w:tr>
      <w:tr w:rsidR="006F11E9" w:rsidRPr="006F11E9" w:rsidTr="00053914">
        <w:tc>
          <w:tcPr>
            <w:cnfStyle w:val="001000000000" w:firstRow="0" w:lastRow="0" w:firstColumn="1" w:lastColumn="0" w:oddVBand="0" w:evenVBand="0" w:oddHBand="0" w:evenHBand="0" w:firstRowFirstColumn="0" w:firstRowLastColumn="0" w:lastRowFirstColumn="0" w:lastRowLastColumn="0"/>
            <w:tcW w:w="1334" w:type="pct"/>
            <w:vMerge/>
          </w:tcPr>
          <w:p w:rsidR="006F11E9" w:rsidRPr="006F11E9" w:rsidRDefault="006F11E9" w:rsidP="006F11E9">
            <w:pPr>
              <w:suppressAutoHyphens/>
              <w:spacing w:before="60" w:after="60" w:line="276" w:lineRule="auto"/>
              <w:jc w:val="both"/>
              <w:rPr>
                <w:rFonts w:ascii="Times New Roman" w:hAnsi="Times New Roman" w:cs="Times New Roman"/>
                <w:lang w:val="en-GB" w:eastAsia="ar-SA"/>
              </w:rPr>
            </w:pPr>
          </w:p>
        </w:tc>
        <w:tc>
          <w:tcPr>
            <w:tcW w:w="713" w:type="pct"/>
            <w:vMerge/>
          </w:tcPr>
          <w:p w:rsidR="006F11E9" w:rsidRPr="006F11E9" w:rsidRDefault="006F11E9" w:rsidP="006F11E9">
            <w:pPr>
              <w:suppressAutoHyphens/>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ar-SA"/>
              </w:rPr>
            </w:pPr>
          </w:p>
        </w:tc>
        <w:tc>
          <w:tcPr>
            <w:tcW w:w="2953" w:type="pct"/>
          </w:tcPr>
          <w:p w:rsidR="006F11E9" w:rsidRPr="006F11E9" w:rsidRDefault="006F11E9" w:rsidP="006F11E9">
            <w:pPr>
              <w:suppressAutoHyphens/>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color w:val="000000"/>
                <w:lang w:val="en-GB" w:eastAsia="ar-SA"/>
              </w:rPr>
              <w:t>Rritja e ndërgjegjësimit</w:t>
            </w:r>
          </w:p>
        </w:tc>
      </w:tr>
      <w:tr w:rsidR="006F11E9" w:rsidRPr="006F11E9" w:rsidTr="00053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rsidR="006F11E9" w:rsidRPr="006F11E9" w:rsidRDefault="006F11E9" w:rsidP="006F11E9">
            <w:pPr>
              <w:suppressAutoHyphens/>
              <w:spacing w:before="60" w:after="60" w:line="276" w:lineRule="auto"/>
              <w:jc w:val="both"/>
              <w:rPr>
                <w:rFonts w:ascii="Times New Roman" w:hAnsi="Times New Roman" w:cs="Times New Roman"/>
                <w:lang w:val="en-GB" w:eastAsia="ar-SA"/>
              </w:rPr>
            </w:pPr>
            <w:r w:rsidRPr="006F11E9">
              <w:rPr>
                <w:rFonts w:ascii="Times New Roman" w:hAnsi="Times New Roman" w:cs="Times New Roman"/>
                <w:lang w:val="en-GB" w:eastAsia="ar-SA"/>
              </w:rPr>
              <w:t>Infrastrukturë banesore dhe prodhuese që i reziston klimës, akomodime dhe asete turistike, si dhe objekte shëndetësore (dhe të tjera sociale)</w:t>
            </w:r>
          </w:p>
        </w:tc>
        <w:tc>
          <w:tcPr>
            <w:tcW w:w="713" w:type="pct"/>
            <w:vMerge w:val="restart"/>
          </w:tcPr>
          <w:p w:rsidR="006F11E9" w:rsidRPr="006F11E9" w:rsidRDefault="006F11E9" w:rsidP="006F11E9">
            <w:pPr>
              <w:suppressAutoHyphens/>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lang w:val="en-GB" w:eastAsia="ar-SA"/>
              </w:rPr>
              <w:t>Dorëzimi i ndryshimeve klimatike</w:t>
            </w:r>
          </w:p>
        </w:tc>
        <w:tc>
          <w:tcPr>
            <w:tcW w:w="2953" w:type="pct"/>
          </w:tcPr>
          <w:p w:rsidR="006F11E9" w:rsidRPr="006F11E9" w:rsidRDefault="006F11E9" w:rsidP="006F11E9">
            <w:pPr>
              <w:suppressAutoHyphens/>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color w:val="000000"/>
                <w:lang w:val="en-GB" w:eastAsia="ar-SA"/>
              </w:rPr>
              <w:t>Ndërtesa dhe objekte bregdetare rezistente ndaj klimës për të parandaluar dëmtime dhe degradime të mëtejshme</w:t>
            </w:r>
          </w:p>
        </w:tc>
      </w:tr>
      <w:tr w:rsidR="006F11E9" w:rsidRPr="006F11E9" w:rsidTr="00053914">
        <w:tc>
          <w:tcPr>
            <w:cnfStyle w:val="001000000000" w:firstRow="0" w:lastRow="0" w:firstColumn="1" w:lastColumn="0" w:oddVBand="0" w:evenVBand="0" w:oddHBand="0" w:evenHBand="0" w:firstRowFirstColumn="0" w:firstRowLastColumn="0" w:lastRowFirstColumn="0" w:lastRowLastColumn="0"/>
            <w:tcW w:w="1334" w:type="pct"/>
            <w:vMerge w:val="restart"/>
          </w:tcPr>
          <w:p w:rsidR="006F11E9" w:rsidRPr="006F11E9" w:rsidRDefault="006F11E9" w:rsidP="006F11E9">
            <w:pPr>
              <w:suppressAutoHyphens/>
              <w:spacing w:before="60" w:after="60" w:line="276" w:lineRule="auto"/>
              <w:jc w:val="both"/>
              <w:rPr>
                <w:rFonts w:ascii="Times New Roman" w:hAnsi="Times New Roman" w:cs="Times New Roman"/>
                <w:lang w:val="en-GB" w:eastAsia="ar-SA"/>
              </w:rPr>
            </w:pPr>
            <w:r w:rsidRPr="006F11E9">
              <w:rPr>
                <w:rFonts w:ascii="Times New Roman" w:hAnsi="Times New Roman" w:cs="Times New Roman"/>
                <w:lang w:val="en-GB" w:eastAsia="ar-SA"/>
              </w:rPr>
              <w:t>Përshtatja e mjedisit të ndërtuar mbështetës</w:t>
            </w:r>
          </w:p>
        </w:tc>
        <w:tc>
          <w:tcPr>
            <w:tcW w:w="713" w:type="pct"/>
            <w:vMerge/>
          </w:tcPr>
          <w:p w:rsidR="006F11E9" w:rsidRPr="006F11E9" w:rsidRDefault="006F11E9" w:rsidP="006F11E9">
            <w:pPr>
              <w:suppressAutoHyphens/>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ar-SA"/>
              </w:rPr>
            </w:pPr>
          </w:p>
        </w:tc>
        <w:tc>
          <w:tcPr>
            <w:tcW w:w="2953" w:type="pct"/>
          </w:tcPr>
          <w:p w:rsidR="006F11E9" w:rsidRPr="006F11E9" w:rsidRDefault="006F11E9" w:rsidP="006F11E9">
            <w:pPr>
              <w:suppressAutoHyphens/>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lang w:val="en-GB" w:eastAsia="ar-SA"/>
              </w:rPr>
              <w:t>Ujë</w:t>
            </w:r>
          </w:p>
        </w:tc>
      </w:tr>
      <w:tr w:rsidR="006F11E9" w:rsidRPr="006F11E9" w:rsidTr="00053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vMerge/>
          </w:tcPr>
          <w:p w:rsidR="006F11E9" w:rsidRPr="006F11E9" w:rsidRDefault="006F11E9" w:rsidP="006F11E9">
            <w:pPr>
              <w:suppressAutoHyphens/>
              <w:spacing w:before="60" w:after="60" w:line="276" w:lineRule="auto"/>
              <w:jc w:val="both"/>
              <w:rPr>
                <w:rFonts w:ascii="Times New Roman" w:hAnsi="Times New Roman" w:cs="Times New Roman"/>
                <w:lang w:val="en-GB" w:eastAsia="ar-SA"/>
              </w:rPr>
            </w:pPr>
          </w:p>
        </w:tc>
        <w:tc>
          <w:tcPr>
            <w:tcW w:w="713" w:type="pct"/>
            <w:vMerge/>
          </w:tcPr>
          <w:p w:rsidR="006F11E9" w:rsidRPr="006F11E9" w:rsidRDefault="006F11E9" w:rsidP="006F11E9">
            <w:pPr>
              <w:suppressAutoHyphens/>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ar-SA"/>
              </w:rPr>
            </w:pPr>
          </w:p>
        </w:tc>
        <w:tc>
          <w:tcPr>
            <w:tcW w:w="2953" w:type="pct"/>
          </w:tcPr>
          <w:p w:rsidR="006F11E9" w:rsidRPr="006F11E9" w:rsidRDefault="006F11E9" w:rsidP="006F11E9">
            <w:pPr>
              <w:suppressAutoHyphens/>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lang w:val="en-GB" w:eastAsia="ar-SA"/>
              </w:rPr>
              <w:t>Energji</w:t>
            </w:r>
          </w:p>
        </w:tc>
      </w:tr>
      <w:tr w:rsidR="006F11E9" w:rsidRPr="006F11E9" w:rsidTr="00053914">
        <w:tc>
          <w:tcPr>
            <w:cnfStyle w:val="001000000000" w:firstRow="0" w:lastRow="0" w:firstColumn="1" w:lastColumn="0" w:oddVBand="0" w:evenVBand="0" w:oddHBand="0" w:evenHBand="0" w:firstRowFirstColumn="0" w:firstRowLastColumn="0" w:lastRowFirstColumn="0" w:lastRowLastColumn="0"/>
            <w:tcW w:w="1334" w:type="pct"/>
            <w:vMerge/>
          </w:tcPr>
          <w:p w:rsidR="006F11E9" w:rsidRPr="006F11E9" w:rsidRDefault="006F11E9" w:rsidP="006F11E9">
            <w:pPr>
              <w:suppressAutoHyphens/>
              <w:spacing w:before="60" w:after="60" w:line="276" w:lineRule="auto"/>
              <w:jc w:val="both"/>
              <w:rPr>
                <w:rFonts w:ascii="Times New Roman" w:hAnsi="Times New Roman" w:cs="Times New Roman"/>
                <w:lang w:val="en-GB" w:eastAsia="ar-SA"/>
              </w:rPr>
            </w:pPr>
          </w:p>
        </w:tc>
        <w:tc>
          <w:tcPr>
            <w:tcW w:w="713" w:type="pct"/>
            <w:vMerge/>
          </w:tcPr>
          <w:p w:rsidR="006F11E9" w:rsidRPr="006F11E9" w:rsidRDefault="006F11E9" w:rsidP="006F11E9">
            <w:pPr>
              <w:suppressAutoHyphens/>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ar-SA"/>
              </w:rPr>
            </w:pPr>
          </w:p>
        </w:tc>
        <w:tc>
          <w:tcPr>
            <w:tcW w:w="2953" w:type="pct"/>
          </w:tcPr>
          <w:p w:rsidR="006F11E9" w:rsidRPr="006F11E9" w:rsidRDefault="006F11E9" w:rsidP="006F11E9">
            <w:pPr>
              <w:suppressAutoHyphens/>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color w:val="000000"/>
                <w:lang w:val="en-GB" w:eastAsia="ar-SA"/>
              </w:rPr>
              <w:t>Transporti</w:t>
            </w:r>
          </w:p>
        </w:tc>
      </w:tr>
      <w:tr w:rsidR="006F11E9" w:rsidRPr="006F11E9" w:rsidTr="00053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vMerge/>
          </w:tcPr>
          <w:p w:rsidR="006F11E9" w:rsidRPr="006F11E9" w:rsidRDefault="006F11E9" w:rsidP="006F11E9">
            <w:pPr>
              <w:suppressAutoHyphens/>
              <w:spacing w:before="60" w:after="60" w:line="276" w:lineRule="auto"/>
              <w:jc w:val="both"/>
              <w:rPr>
                <w:rFonts w:ascii="Times New Roman" w:hAnsi="Times New Roman" w:cs="Times New Roman"/>
                <w:lang w:val="en-GB" w:eastAsia="ar-SA"/>
              </w:rPr>
            </w:pPr>
          </w:p>
        </w:tc>
        <w:tc>
          <w:tcPr>
            <w:tcW w:w="713" w:type="pct"/>
            <w:vMerge/>
          </w:tcPr>
          <w:p w:rsidR="006F11E9" w:rsidRPr="006F11E9" w:rsidRDefault="006F11E9" w:rsidP="006F11E9">
            <w:pPr>
              <w:suppressAutoHyphens/>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ar-SA"/>
              </w:rPr>
            </w:pPr>
          </w:p>
        </w:tc>
        <w:tc>
          <w:tcPr>
            <w:tcW w:w="2953" w:type="pct"/>
          </w:tcPr>
          <w:p w:rsidR="006F11E9" w:rsidRPr="006F11E9" w:rsidRDefault="006F11E9" w:rsidP="006F11E9">
            <w:pPr>
              <w:suppressAutoHyphens/>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color w:val="000000"/>
                <w:lang w:val="en-GB" w:eastAsia="ar-SA"/>
              </w:rPr>
              <w:t>Telekomunikacion</w:t>
            </w:r>
          </w:p>
        </w:tc>
      </w:tr>
      <w:tr w:rsidR="006F11E9" w:rsidRPr="006F11E9" w:rsidTr="00053914">
        <w:tc>
          <w:tcPr>
            <w:cnfStyle w:val="001000000000" w:firstRow="0" w:lastRow="0" w:firstColumn="1" w:lastColumn="0" w:oddVBand="0" w:evenVBand="0" w:oddHBand="0" w:evenHBand="0" w:firstRowFirstColumn="0" w:firstRowLastColumn="0" w:lastRowFirstColumn="0" w:lastRowLastColumn="0"/>
            <w:tcW w:w="1334" w:type="pct"/>
            <w:vMerge w:val="restart"/>
          </w:tcPr>
          <w:p w:rsidR="006F11E9" w:rsidRPr="006F11E9" w:rsidRDefault="006F11E9" w:rsidP="006F11E9">
            <w:pPr>
              <w:suppressAutoHyphens/>
              <w:spacing w:before="60" w:after="60" w:line="276" w:lineRule="auto"/>
              <w:jc w:val="both"/>
              <w:rPr>
                <w:rFonts w:ascii="Times New Roman" w:hAnsi="Times New Roman" w:cs="Times New Roman"/>
                <w:lang w:val="en-GB" w:eastAsia="ar-SA"/>
              </w:rPr>
            </w:pPr>
            <w:r w:rsidRPr="006F11E9">
              <w:rPr>
                <w:rFonts w:ascii="Times New Roman" w:hAnsi="Times New Roman" w:cs="Times New Roman"/>
                <w:lang w:val="en-GB" w:eastAsia="ar-SA"/>
              </w:rPr>
              <w:t>Përshtatja e mjedisit natyror mbështetës</w:t>
            </w:r>
          </w:p>
        </w:tc>
        <w:tc>
          <w:tcPr>
            <w:tcW w:w="713" w:type="pct"/>
            <w:vMerge/>
          </w:tcPr>
          <w:p w:rsidR="006F11E9" w:rsidRPr="006F11E9" w:rsidRDefault="006F11E9" w:rsidP="006F11E9">
            <w:pPr>
              <w:suppressAutoHyphens/>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ar-SA"/>
              </w:rPr>
            </w:pPr>
          </w:p>
        </w:tc>
        <w:tc>
          <w:tcPr>
            <w:tcW w:w="2953" w:type="pct"/>
          </w:tcPr>
          <w:p w:rsidR="006F11E9" w:rsidRPr="006F11E9" w:rsidRDefault="006F11E9" w:rsidP="006F11E9">
            <w:pPr>
              <w:suppressAutoHyphens/>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lang w:val="en-GB" w:eastAsia="ar-SA"/>
              </w:rPr>
              <w:t xml:space="preserve">Të miratohen qasje të integruara, të bazuara në ekosistem dhe/ose zgjidhje të bazuara në natyrë </w:t>
            </w:r>
          </w:p>
        </w:tc>
      </w:tr>
      <w:tr w:rsidR="006F11E9" w:rsidRPr="006F11E9" w:rsidTr="00053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vMerge/>
          </w:tcPr>
          <w:p w:rsidR="006F11E9" w:rsidRPr="006F11E9" w:rsidRDefault="006F11E9" w:rsidP="006F11E9">
            <w:pPr>
              <w:suppressAutoHyphens/>
              <w:spacing w:before="60" w:after="60" w:line="276" w:lineRule="auto"/>
              <w:jc w:val="both"/>
              <w:rPr>
                <w:rFonts w:ascii="Times New Roman" w:hAnsi="Times New Roman" w:cs="Times New Roman"/>
                <w:lang w:val="en-GB" w:eastAsia="ar-SA"/>
              </w:rPr>
            </w:pPr>
          </w:p>
        </w:tc>
        <w:tc>
          <w:tcPr>
            <w:tcW w:w="713" w:type="pct"/>
            <w:vMerge/>
          </w:tcPr>
          <w:p w:rsidR="006F11E9" w:rsidRPr="006F11E9" w:rsidRDefault="006F11E9" w:rsidP="006F11E9">
            <w:pPr>
              <w:suppressAutoHyphens/>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ar-SA"/>
              </w:rPr>
            </w:pPr>
          </w:p>
        </w:tc>
        <w:tc>
          <w:tcPr>
            <w:tcW w:w="2953" w:type="pct"/>
          </w:tcPr>
          <w:p w:rsidR="006F11E9" w:rsidRPr="006F11E9" w:rsidRDefault="006F11E9" w:rsidP="006F11E9">
            <w:pPr>
              <w:suppressAutoHyphens/>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color w:val="000000"/>
                <w:lang w:val="en-GB" w:eastAsia="ar-SA"/>
              </w:rPr>
              <w:t>Forcimi i sistemit të zonave të mbrojtura, duke përfshirë ekosistemet bregdetare dhe detare, për ruajtje efektive dhe përdorim të qëndrueshëm.</w:t>
            </w:r>
          </w:p>
        </w:tc>
      </w:tr>
      <w:tr w:rsidR="006F11E9" w:rsidRPr="006F11E9" w:rsidTr="00053914">
        <w:tc>
          <w:tcPr>
            <w:cnfStyle w:val="001000000000" w:firstRow="0" w:lastRow="0" w:firstColumn="1" w:lastColumn="0" w:oddVBand="0" w:evenVBand="0" w:oddHBand="0" w:evenHBand="0" w:firstRowFirstColumn="0" w:firstRowLastColumn="0" w:lastRowFirstColumn="0" w:lastRowLastColumn="0"/>
            <w:tcW w:w="1334" w:type="pct"/>
            <w:vMerge/>
          </w:tcPr>
          <w:p w:rsidR="006F11E9" w:rsidRPr="006F11E9" w:rsidRDefault="006F11E9" w:rsidP="006F11E9">
            <w:pPr>
              <w:suppressAutoHyphens/>
              <w:spacing w:before="60" w:after="60" w:line="276" w:lineRule="auto"/>
              <w:jc w:val="both"/>
              <w:rPr>
                <w:rFonts w:ascii="Times New Roman" w:hAnsi="Times New Roman" w:cs="Times New Roman"/>
                <w:lang w:val="en-GB" w:eastAsia="ar-SA"/>
              </w:rPr>
            </w:pPr>
          </w:p>
        </w:tc>
        <w:tc>
          <w:tcPr>
            <w:tcW w:w="713" w:type="pct"/>
            <w:vMerge/>
          </w:tcPr>
          <w:p w:rsidR="006F11E9" w:rsidRPr="006F11E9" w:rsidRDefault="006F11E9" w:rsidP="006F11E9">
            <w:pPr>
              <w:suppressAutoHyphens/>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ar-SA"/>
              </w:rPr>
            </w:pPr>
          </w:p>
        </w:tc>
        <w:tc>
          <w:tcPr>
            <w:tcW w:w="2953" w:type="pct"/>
          </w:tcPr>
          <w:p w:rsidR="006F11E9" w:rsidRPr="006F11E9" w:rsidRDefault="006F11E9" w:rsidP="006F11E9">
            <w:pPr>
              <w:suppressAutoHyphens/>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eastAsia="ar-SA"/>
              </w:rPr>
            </w:pPr>
            <w:r w:rsidRPr="006F11E9">
              <w:rPr>
                <w:rFonts w:ascii="Times New Roman" w:hAnsi="Times New Roman" w:cs="Times New Roman"/>
                <w:color w:val="000000"/>
                <w:lang w:val="en-GB" w:eastAsia="ar-SA"/>
              </w:rPr>
              <w:t>Promovoni bujqësinë, pylltarinë dhe peshkimin e qëndrueshëm dhe të zgjuar ndaj klimës</w:t>
            </w:r>
          </w:p>
        </w:tc>
      </w:tr>
      <w:tr w:rsidR="006F11E9" w:rsidRPr="006F11E9" w:rsidTr="00053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rsidR="006F11E9" w:rsidRPr="006F11E9" w:rsidRDefault="006F11E9" w:rsidP="006F11E9">
            <w:pPr>
              <w:suppressAutoHyphens/>
              <w:spacing w:before="60" w:after="60" w:line="276" w:lineRule="auto"/>
              <w:jc w:val="both"/>
              <w:rPr>
                <w:rFonts w:ascii="Times New Roman" w:hAnsi="Times New Roman" w:cs="Times New Roman"/>
                <w:lang w:val="en-GB" w:eastAsia="ar-SA"/>
              </w:rPr>
            </w:pPr>
            <w:r w:rsidRPr="006F11E9">
              <w:rPr>
                <w:rFonts w:ascii="Times New Roman" w:hAnsi="Times New Roman" w:cs="Times New Roman"/>
                <w:lang w:val="en-GB" w:eastAsia="ar-SA"/>
              </w:rPr>
              <w:t>Forcimi i menaxhimit të rrezikut nga fatkeqësitë</w:t>
            </w:r>
          </w:p>
        </w:tc>
      </w:tr>
      <w:tr w:rsidR="006F11E9" w:rsidRPr="006F11E9" w:rsidTr="00053914">
        <w:tc>
          <w:tcPr>
            <w:cnfStyle w:val="001000000000" w:firstRow="0" w:lastRow="0" w:firstColumn="1" w:lastColumn="0" w:oddVBand="0" w:evenVBand="0" w:oddHBand="0" w:evenHBand="0" w:firstRowFirstColumn="0" w:firstRowLastColumn="0" w:lastRowFirstColumn="0" w:lastRowLastColumn="0"/>
            <w:tcW w:w="5000" w:type="pct"/>
            <w:gridSpan w:val="3"/>
          </w:tcPr>
          <w:p w:rsidR="006F11E9" w:rsidRPr="006F11E9" w:rsidRDefault="006F11E9" w:rsidP="006F11E9">
            <w:pPr>
              <w:suppressAutoHyphens/>
              <w:spacing w:before="60" w:after="60" w:line="276" w:lineRule="auto"/>
              <w:jc w:val="both"/>
              <w:rPr>
                <w:rFonts w:ascii="Times New Roman" w:hAnsi="Times New Roman" w:cs="Times New Roman"/>
                <w:lang w:val="en-GB" w:eastAsia="ar-SA"/>
              </w:rPr>
            </w:pPr>
            <w:r w:rsidRPr="006F11E9">
              <w:rPr>
                <w:rFonts w:ascii="Times New Roman" w:hAnsi="Times New Roman" w:cs="Times New Roman"/>
                <w:lang w:val="en-GB" w:eastAsia="ar-SA"/>
              </w:rPr>
              <w:t>Promovimi i barazisë gjinore në aspektin e përshtatjes ndaj ndryshimeve klimatike</w:t>
            </w:r>
          </w:p>
        </w:tc>
      </w:tr>
    </w:tbl>
    <w:p w:rsidR="006F11E9" w:rsidRPr="006F11E9" w:rsidRDefault="006F11E9" w:rsidP="006F11E9">
      <w:pPr>
        <w:suppressAutoHyphens/>
        <w:spacing w:before="120" w:after="180" w:line="276" w:lineRule="auto"/>
        <w:jc w:val="both"/>
        <w:rPr>
          <w:rFonts w:ascii="Times New Roman" w:eastAsia="Times New Roman" w:hAnsi="Times New Roman" w:cs="Times New Roman"/>
          <w:lang w:val="sq" w:eastAsia="ar-SA"/>
        </w:rPr>
      </w:pPr>
    </w:p>
    <w:p w:rsidR="004D7AA4" w:rsidRPr="006F11E9" w:rsidRDefault="004D7AA4" w:rsidP="00E0358A">
      <w:pPr>
        <w:rPr>
          <w:rFonts w:ascii="Times New Roman" w:hAnsi="Times New Roman" w:cs="Times New Roman"/>
        </w:rPr>
      </w:pPr>
    </w:p>
    <w:p w:rsidR="004C6B80" w:rsidRDefault="004C6B80" w:rsidP="00E0358A">
      <w:pPr>
        <w:rPr>
          <w:sz w:val="24"/>
          <w:szCs w:val="24"/>
        </w:rPr>
      </w:pPr>
    </w:p>
    <w:p w:rsidR="004C6B80" w:rsidRDefault="004C6B80" w:rsidP="00E0358A">
      <w:pPr>
        <w:rPr>
          <w:sz w:val="24"/>
          <w:szCs w:val="24"/>
        </w:rPr>
      </w:pPr>
    </w:p>
    <w:p w:rsidR="004C6B80" w:rsidRDefault="004C6B80" w:rsidP="00E0358A">
      <w:pPr>
        <w:rPr>
          <w:sz w:val="24"/>
          <w:szCs w:val="24"/>
        </w:rPr>
      </w:pPr>
    </w:p>
    <w:p w:rsidR="004C6B80" w:rsidRDefault="004C6B80" w:rsidP="00E0358A">
      <w:pPr>
        <w:rPr>
          <w:sz w:val="24"/>
          <w:szCs w:val="24"/>
        </w:rPr>
      </w:pPr>
    </w:p>
    <w:p w:rsidR="004C6B80" w:rsidRDefault="004C6B80" w:rsidP="00E0358A">
      <w:pPr>
        <w:rPr>
          <w:sz w:val="24"/>
          <w:szCs w:val="24"/>
        </w:rPr>
      </w:pPr>
    </w:p>
    <w:p w:rsidR="004C6B80" w:rsidRDefault="004C6B80" w:rsidP="00E0358A">
      <w:pPr>
        <w:rPr>
          <w:sz w:val="24"/>
          <w:szCs w:val="24"/>
        </w:rPr>
      </w:pPr>
    </w:p>
    <w:p w:rsidR="004C6B80" w:rsidRDefault="004C6B80" w:rsidP="00E0358A">
      <w:pPr>
        <w:rPr>
          <w:sz w:val="24"/>
          <w:szCs w:val="24"/>
        </w:rPr>
      </w:pPr>
    </w:p>
    <w:p w:rsidR="004C6B80" w:rsidRDefault="004C6B80" w:rsidP="00E0358A">
      <w:pPr>
        <w:rPr>
          <w:sz w:val="24"/>
          <w:szCs w:val="24"/>
        </w:rPr>
      </w:pPr>
    </w:p>
    <w:p w:rsidR="004C6B80" w:rsidRDefault="004C6B80" w:rsidP="00E0358A">
      <w:pPr>
        <w:rPr>
          <w:sz w:val="24"/>
          <w:szCs w:val="24"/>
        </w:rPr>
      </w:pPr>
    </w:p>
    <w:p w:rsidR="004C6B80" w:rsidRDefault="004C6B80" w:rsidP="00E0358A">
      <w:pPr>
        <w:rPr>
          <w:sz w:val="24"/>
          <w:szCs w:val="24"/>
        </w:rPr>
      </w:pPr>
    </w:p>
    <w:p w:rsidR="0025415C" w:rsidRDefault="0025415C" w:rsidP="00E0358A">
      <w:pPr>
        <w:rPr>
          <w:sz w:val="24"/>
          <w:szCs w:val="24"/>
        </w:rPr>
      </w:pPr>
    </w:p>
    <w:p w:rsidR="0025415C" w:rsidRDefault="0025415C" w:rsidP="00E0358A">
      <w:pPr>
        <w:rPr>
          <w:sz w:val="24"/>
          <w:szCs w:val="24"/>
        </w:rPr>
      </w:pPr>
    </w:p>
    <w:p w:rsidR="0025415C" w:rsidRDefault="0025415C" w:rsidP="00E0358A">
      <w:pPr>
        <w:rPr>
          <w:sz w:val="24"/>
          <w:szCs w:val="24"/>
        </w:rPr>
      </w:pPr>
    </w:p>
    <w:p w:rsidR="0025415C" w:rsidRDefault="0025415C" w:rsidP="00E0358A">
      <w:pPr>
        <w:rPr>
          <w:sz w:val="24"/>
          <w:szCs w:val="24"/>
        </w:rPr>
      </w:pPr>
    </w:p>
    <w:p w:rsidR="0025415C" w:rsidRDefault="0025415C" w:rsidP="00E0358A">
      <w:pPr>
        <w:rPr>
          <w:sz w:val="24"/>
          <w:szCs w:val="24"/>
        </w:rPr>
      </w:pPr>
    </w:p>
    <w:p w:rsidR="0025415C" w:rsidRDefault="0025415C" w:rsidP="00E0358A">
      <w:pPr>
        <w:rPr>
          <w:sz w:val="24"/>
          <w:szCs w:val="24"/>
        </w:rPr>
      </w:pPr>
    </w:p>
    <w:p w:rsidR="0025415C" w:rsidRDefault="0025415C" w:rsidP="00E0358A">
      <w:pPr>
        <w:rPr>
          <w:sz w:val="24"/>
          <w:szCs w:val="24"/>
        </w:rPr>
      </w:pPr>
    </w:p>
    <w:p w:rsidR="0025415C" w:rsidRDefault="0025415C" w:rsidP="00E0358A">
      <w:pPr>
        <w:rPr>
          <w:sz w:val="24"/>
          <w:szCs w:val="24"/>
        </w:rPr>
      </w:pPr>
    </w:p>
    <w:p w:rsidR="0025415C" w:rsidRDefault="0025415C" w:rsidP="00E0358A">
      <w:pPr>
        <w:rPr>
          <w:sz w:val="24"/>
          <w:szCs w:val="24"/>
        </w:rPr>
      </w:pPr>
    </w:p>
    <w:p w:rsidR="0025415C" w:rsidRDefault="0025415C" w:rsidP="00E0358A">
      <w:pPr>
        <w:rPr>
          <w:sz w:val="24"/>
          <w:szCs w:val="24"/>
        </w:rPr>
      </w:pPr>
    </w:p>
    <w:p w:rsidR="0025415C" w:rsidRDefault="0025415C" w:rsidP="00E0358A">
      <w:pPr>
        <w:rPr>
          <w:sz w:val="24"/>
          <w:szCs w:val="24"/>
        </w:rPr>
      </w:pPr>
    </w:p>
    <w:p w:rsidR="0025415C" w:rsidRDefault="0025415C" w:rsidP="00E0358A">
      <w:pPr>
        <w:rPr>
          <w:sz w:val="24"/>
          <w:szCs w:val="24"/>
        </w:rPr>
      </w:pPr>
    </w:p>
    <w:p w:rsidR="000F53CF" w:rsidRDefault="000F53CF" w:rsidP="00E0358A">
      <w:pPr>
        <w:rPr>
          <w:sz w:val="24"/>
          <w:szCs w:val="24"/>
        </w:rPr>
      </w:pPr>
    </w:p>
    <w:p w:rsidR="000F53CF" w:rsidRDefault="000F53CF" w:rsidP="00E0358A">
      <w:pPr>
        <w:rPr>
          <w:sz w:val="24"/>
          <w:szCs w:val="24"/>
        </w:rPr>
      </w:pPr>
    </w:p>
    <w:p w:rsidR="0025415C" w:rsidRDefault="0025415C" w:rsidP="00E0358A">
      <w:pPr>
        <w:rPr>
          <w:sz w:val="24"/>
          <w:szCs w:val="24"/>
        </w:rPr>
      </w:pPr>
    </w:p>
    <w:p w:rsidR="004D7AA4" w:rsidRPr="00325CAD" w:rsidRDefault="00325CAD" w:rsidP="00325CAD">
      <w:pPr>
        <w:jc w:val="center"/>
        <w:rPr>
          <w:rFonts w:ascii="Times New Roman" w:hAnsi="Times New Roman" w:cs="Times New Roman"/>
          <w:b/>
          <w:sz w:val="24"/>
          <w:szCs w:val="24"/>
        </w:rPr>
      </w:pPr>
      <w:r w:rsidRPr="00325CAD">
        <w:rPr>
          <w:rFonts w:ascii="Times New Roman" w:hAnsi="Times New Roman" w:cs="Times New Roman"/>
          <w:b/>
          <w:sz w:val="24"/>
          <w:szCs w:val="24"/>
        </w:rPr>
        <w:t>KAPITULLI 10</w:t>
      </w:r>
    </w:p>
    <w:p w:rsidR="00F80F07" w:rsidRPr="00325CAD" w:rsidRDefault="00F80F07" w:rsidP="00325CAD">
      <w:pPr>
        <w:jc w:val="center"/>
        <w:rPr>
          <w:rFonts w:ascii="Times New Roman" w:hAnsi="Times New Roman" w:cs="Times New Roman"/>
          <w:b/>
          <w:sz w:val="24"/>
          <w:szCs w:val="24"/>
        </w:rPr>
      </w:pPr>
      <w:r w:rsidRPr="00325CAD">
        <w:rPr>
          <w:rFonts w:ascii="Times New Roman" w:hAnsi="Times New Roman" w:cs="Times New Roman"/>
          <w:b/>
          <w:sz w:val="24"/>
          <w:szCs w:val="24"/>
        </w:rPr>
        <w:t xml:space="preserve">EKONOMIA QARKULLUESE DHE </w:t>
      </w:r>
      <w:r w:rsidR="004C6B80" w:rsidRPr="00325CAD">
        <w:rPr>
          <w:rFonts w:ascii="Times New Roman" w:hAnsi="Times New Roman" w:cs="Times New Roman"/>
          <w:b/>
          <w:sz w:val="24"/>
          <w:szCs w:val="24"/>
        </w:rPr>
        <w:t>MBETJET</w:t>
      </w:r>
    </w:p>
    <w:p w:rsidR="004C6B80" w:rsidRDefault="004C6B80" w:rsidP="00E0358A">
      <w:pPr>
        <w:rPr>
          <w:sz w:val="24"/>
          <w:szCs w:val="24"/>
        </w:rPr>
      </w:pPr>
    </w:p>
    <w:p w:rsidR="004C6B80" w:rsidRDefault="004C6B80" w:rsidP="00E0358A">
      <w:pPr>
        <w:rPr>
          <w:sz w:val="24"/>
          <w:szCs w:val="24"/>
        </w:rPr>
      </w:pPr>
    </w:p>
    <w:p w:rsidR="004C6B80" w:rsidRDefault="00833A2A" w:rsidP="00E0358A">
      <w:pPr>
        <w:rPr>
          <w:sz w:val="24"/>
          <w:szCs w:val="24"/>
        </w:rPr>
      </w:pPr>
      <w:r>
        <w:rPr>
          <w:sz w:val="24"/>
          <w:szCs w:val="24"/>
        </w:rPr>
        <w:t xml:space="preserve">    </w:t>
      </w:r>
      <w:r>
        <w:rPr>
          <w:noProof/>
        </w:rPr>
        <w:drawing>
          <wp:inline distT="0" distB="0" distL="0" distR="0" wp14:anchorId="2544BA74" wp14:editId="58B1C6C9">
            <wp:extent cx="5451406" cy="3066415"/>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469934" cy="3076837"/>
                    </a:xfrm>
                    <a:prstGeom prst="rect">
                      <a:avLst/>
                    </a:prstGeom>
                    <a:noFill/>
                  </pic:spPr>
                </pic:pic>
              </a:graphicData>
            </a:graphic>
          </wp:inline>
        </w:drawing>
      </w:r>
    </w:p>
    <w:p w:rsidR="00360B51" w:rsidRDefault="00360B51" w:rsidP="00E0358A">
      <w:pPr>
        <w:rPr>
          <w:sz w:val="24"/>
          <w:szCs w:val="24"/>
        </w:rPr>
      </w:pPr>
    </w:p>
    <w:p w:rsidR="00325CAD" w:rsidRDefault="00325CAD" w:rsidP="00E0358A">
      <w:pPr>
        <w:rPr>
          <w:sz w:val="24"/>
          <w:szCs w:val="24"/>
        </w:rPr>
      </w:pPr>
    </w:p>
    <w:p w:rsidR="00804098" w:rsidRDefault="00804098" w:rsidP="00E0358A">
      <w:pPr>
        <w:rPr>
          <w:sz w:val="24"/>
          <w:szCs w:val="24"/>
        </w:rPr>
      </w:pPr>
      <w:bookmarkStart w:id="59" w:name="_Hlk228279072"/>
    </w:p>
    <w:p w:rsidR="00833A2A" w:rsidRDefault="00833A2A" w:rsidP="00E0358A">
      <w:pPr>
        <w:rPr>
          <w:sz w:val="24"/>
          <w:szCs w:val="24"/>
        </w:rPr>
      </w:pPr>
    </w:p>
    <w:p w:rsidR="00360B51" w:rsidRPr="00360B51" w:rsidRDefault="00360B51" w:rsidP="00360B51">
      <w:pPr>
        <w:spacing w:after="0" w:line="240" w:lineRule="auto"/>
        <w:jc w:val="center"/>
        <w:rPr>
          <w:rFonts w:ascii="Times New Roman" w:eastAsia="Times New Roman" w:hAnsi="Times New Roman" w:cs="Times New Roman"/>
          <w:b/>
          <w:color w:val="000000"/>
          <w:sz w:val="24"/>
          <w:szCs w:val="24"/>
          <w:u w:color="000000"/>
          <w:lang w:val="sq-AL"/>
        </w:rPr>
      </w:pPr>
      <w:r w:rsidRPr="00360B51">
        <w:rPr>
          <w:rFonts w:ascii="Times New Roman" w:eastAsia="Times New Roman" w:hAnsi="Times New Roman" w:cs="Times New Roman"/>
          <w:b/>
          <w:color w:val="000000"/>
          <w:sz w:val="24"/>
          <w:szCs w:val="24"/>
          <w:u w:color="000000"/>
          <w:lang w:val="sq-AL"/>
        </w:rPr>
        <w:t>Kapitulli</w:t>
      </w:r>
      <w:r w:rsidR="00325CAD">
        <w:rPr>
          <w:rFonts w:ascii="Times New Roman" w:eastAsia="Times New Roman" w:hAnsi="Times New Roman" w:cs="Times New Roman"/>
          <w:b/>
          <w:color w:val="000000"/>
          <w:sz w:val="24"/>
          <w:szCs w:val="24"/>
          <w:u w:color="000000"/>
          <w:lang w:val="sq-AL"/>
        </w:rPr>
        <w:t xml:space="preserve"> 10</w:t>
      </w:r>
    </w:p>
    <w:p w:rsidR="00360B51" w:rsidRPr="00360B51" w:rsidRDefault="00360B51" w:rsidP="00360B51">
      <w:pPr>
        <w:spacing w:after="0" w:line="240" w:lineRule="auto"/>
        <w:jc w:val="center"/>
        <w:rPr>
          <w:rFonts w:ascii="Times New Roman" w:eastAsia="Times New Roman" w:hAnsi="Times New Roman" w:cs="Times New Roman"/>
          <w:b/>
          <w:color w:val="000000"/>
          <w:sz w:val="24"/>
          <w:szCs w:val="24"/>
          <w:u w:color="000000"/>
          <w:lang w:val="sq-AL"/>
        </w:rPr>
      </w:pPr>
      <w:r w:rsidRPr="00360B51">
        <w:rPr>
          <w:rFonts w:ascii="Times New Roman" w:eastAsia="Times New Roman" w:hAnsi="Times New Roman" w:cs="Times New Roman"/>
          <w:b/>
          <w:color w:val="000000"/>
          <w:sz w:val="24"/>
          <w:szCs w:val="24"/>
          <w:u w:color="000000"/>
          <w:lang w:val="sq-AL"/>
        </w:rPr>
        <w:t>Ekonomia qarkulluese dhe mbetjet</w:t>
      </w:r>
    </w:p>
    <w:p w:rsidR="00360B51" w:rsidRDefault="00360B51" w:rsidP="00360B51">
      <w:pPr>
        <w:spacing w:after="0" w:line="240" w:lineRule="auto"/>
        <w:jc w:val="both"/>
        <w:rPr>
          <w:rFonts w:ascii="Times New Roman" w:eastAsia="Times New Roman" w:hAnsi="Times New Roman" w:cs="Times New Roman"/>
          <w:color w:val="000000"/>
          <w:sz w:val="24"/>
          <w:szCs w:val="24"/>
          <w:u w:color="000000"/>
          <w:lang w:val="sq-AL"/>
        </w:rPr>
      </w:pPr>
    </w:p>
    <w:p w:rsidR="00360B51" w:rsidRDefault="00360B51" w:rsidP="00360B51">
      <w:pPr>
        <w:spacing w:after="0" w:line="240" w:lineRule="auto"/>
        <w:jc w:val="both"/>
        <w:rPr>
          <w:rFonts w:ascii="Times New Roman" w:eastAsia="Times New Roman" w:hAnsi="Times New Roman" w:cs="Times New Roman"/>
          <w:b/>
          <w:color w:val="000000"/>
          <w:sz w:val="24"/>
          <w:szCs w:val="24"/>
          <w:u w:color="000000"/>
          <w:lang w:val="sq-AL"/>
        </w:rPr>
      </w:pPr>
    </w:p>
    <w:p w:rsidR="00360B51" w:rsidRPr="00360B51" w:rsidRDefault="00325CAD" w:rsidP="00360B51">
      <w:pPr>
        <w:spacing w:after="0" w:line="240" w:lineRule="auto"/>
        <w:jc w:val="both"/>
        <w:rPr>
          <w:rFonts w:ascii="Times New Roman" w:eastAsia="Times New Roman" w:hAnsi="Times New Roman" w:cs="Times New Roman"/>
          <w:b/>
          <w:color w:val="000000"/>
          <w:sz w:val="24"/>
          <w:szCs w:val="24"/>
          <w:u w:color="000000"/>
          <w:lang w:val="sq-AL"/>
        </w:rPr>
      </w:pPr>
      <w:r>
        <w:rPr>
          <w:rFonts w:ascii="Times New Roman" w:eastAsia="Times New Roman" w:hAnsi="Times New Roman" w:cs="Times New Roman"/>
          <w:b/>
          <w:color w:val="000000"/>
          <w:sz w:val="24"/>
          <w:szCs w:val="24"/>
          <w:u w:color="000000"/>
          <w:lang w:val="sq-AL"/>
        </w:rPr>
        <w:t>10.1</w:t>
      </w:r>
      <w:r w:rsidR="00804098">
        <w:rPr>
          <w:rFonts w:ascii="Times New Roman" w:eastAsia="Times New Roman" w:hAnsi="Times New Roman" w:cs="Times New Roman"/>
          <w:b/>
          <w:color w:val="000000"/>
          <w:sz w:val="24"/>
          <w:szCs w:val="24"/>
          <w:u w:color="000000"/>
          <w:lang w:val="sq-AL"/>
        </w:rPr>
        <w:t xml:space="preserve"> </w:t>
      </w:r>
      <w:r w:rsidR="00360B51" w:rsidRPr="00360B51">
        <w:rPr>
          <w:rFonts w:ascii="Times New Roman" w:eastAsia="Times New Roman" w:hAnsi="Times New Roman" w:cs="Times New Roman"/>
          <w:b/>
          <w:color w:val="000000"/>
          <w:sz w:val="24"/>
          <w:szCs w:val="24"/>
          <w:u w:color="000000"/>
          <w:lang w:val="sq-AL"/>
        </w:rPr>
        <w:t xml:space="preserve">Ekonomia  qarkulluese </w:t>
      </w:r>
    </w:p>
    <w:p w:rsidR="00360B51" w:rsidRDefault="00360B51" w:rsidP="00360B51">
      <w:pPr>
        <w:spacing w:after="0" w:line="240" w:lineRule="auto"/>
        <w:jc w:val="both"/>
        <w:rPr>
          <w:rFonts w:ascii="Times New Roman" w:eastAsia="Times New Roman" w:hAnsi="Times New Roman" w:cs="Times New Roman"/>
          <w:color w:val="000000"/>
          <w:sz w:val="24"/>
          <w:szCs w:val="24"/>
          <w:u w:color="000000"/>
          <w:lang w:val="sq-AL"/>
        </w:rPr>
      </w:pPr>
    </w:p>
    <w:p w:rsidR="00360B51" w:rsidRPr="00360B51" w:rsidRDefault="00360B51" w:rsidP="00360B51">
      <w:pPr>
        <w:spacing w:after="0" w:line="240" w:lineRule="auto"/>
        <w:jc w:val="both"/>
        <w:rPr>
          <w:rFonts w:ascii="Times New Roman" w:eastAsia="Times New Roman" w:hAnsi="Times New Roman" w:cs="Times New Roman"/>
          <w:color w:val="000000"/>
          <w:sz w:val="24"/>
          <w:szCs w:val="24"/>
          <w:u w:color="000000"/>
          <w:lang w:val="sq-AL"/>
        </w:rPr>
      </w:pPr>
      <w:r w:rsidRPr="00360B51">
        <w:rPr>
          <w:rFonts w:ascii="Times New Roman" w:eastAsia="Times New Roman" w:hAnsi="Times New Roman" w:cs="Times New Roman"/>
          <w:color w:val="000000"/>
          <w:sz w:val="24"/>
          <w:szCs w:val="24"/>
          <w:u w:color="000000"/>
          <w:lang w:val="sq-AL"/>
        </w:rPr>
        <w:t>Ekonomia qarkulluese synon përdorimin sa më efikas të burimeve natyrore, duke zgjatur ciklin e jetës së produkteve përmes ripërdorimit, riciklimit dhe rikuperimit të materialeve. Në këtë model, mbetjet konsiderohen si burime që mund të riintegrohen në procesin ekonomik. Zbatimi i ekonomisë qarkulluese kontribuon jo vetëm në mbrojtjen e mjedisit, por edhe në nxitjen e zhvillimit ekonomik të qëndrueshëm.</w:t>
      </w:r>
    </w:p>
    <w:p w:rsidR="00360B51" w:rsidRPr="00360B51" w:rsidRDefault="00360B51" w:rsidP="00360B51">
      <w:pPr>
        <w:spacing w:after="0" w:line="240" w:lineRule="auto"/>
        <w:jc w:val="both"/>
        <w:rPr>
          <w:rFonts w:ascii="Times New Roman" w:eastAsia="Times New Roman" w:hAnsi="Times New Roman" w:cs="Times New Roman"/>
          <w:color w:val="000000"/>
          <w:sz w:val="24"/>
          <w:szCs w:val="24"/>
          <w:u w:color="000000"/>
          <w:lang w:val="sq-AL"/>
        </w:rPr>
      </w:pPr>
    </w:p>
    <w:p w:rsidR="00360B51" w:rsidRPr="00360B51" w:rsidRDefault="00531C09" w:rsidP="00360B51">
      <w:pPr>
        <w:spacing w:after="0" w:line="240" w:lineRule="auto"/>
        <w:jc w:val="both"/>
        <w:rPr>
          <w:rFonts w:ascii="Times New Roman" w:eastAsia="Times New Roman" w:hAnsi="Times New Roman" w:cs="Times New Roman"/>
          <w:color w:val="000000"/>
          <w:sz w:val="24"/>
          <w:szCs w:val="24"/>
          <w:u w:color="000000"/>
          <w:lang w:val="sq-AL"/>
        </w:rPr>
      </w:pPr>
      <w:r>
        <w:rPr>
          <w:rFonts w:ascii="Times New Roman" w:eastAsia="Times New Roman" w:hAnsi="Times New Roman" w:cs="Times New Roman"/>
          <w:color w:val="000000"/>
          <w:sz w:val="24"/>
          <w:szCs w:val="24"/>
          <w:u w:color="000000"/>
          <w:lang w:val="sq-AL"/>
        </w:rPr>
        <w:t>V</w:t>
      </w:r>
      <w:r w:rsidR="00360B51" w:rsidRPr="00360B51">
        <w:rPr>
          <w:rFonts w:ascii="Times New Roman" w:eastAsia="Times New Roman" w:hAnsi="Times New Roman" w:cs="Times New Roman"/>
          <w:color w:val="000000"/>
          <w:sz w:val="24"/>
          <w:szCs w:val="24"/>
          <w:u w:color="000000"/>
          <w:lang w:val="sq-AL"/>
        </w:rPr>
        <w:t xml:space="preserve">itet e fundit janë ndërmarrë hapa të rëndësishëm </w:t>
      </w:r>
      <w:r>
        <w:rPr>
          <w:rFonts w:ascii="Times New Roman" w:eastAsia="Times New Roman" w:hAnsi="Times New Roman" w:cs="Times New Roman"/>
          <w:color w:val="000000"/>
          <w:sz w:val="24"/>
          <w:szCs w:val="24"/>
          <w:u w:color="000000"/>
          <w:lang w:val="sq-AL"/>
        </w:rPr>
        <w:t xml:space="preserve">drejt </w:t>
      </w:r>
      <w:r w:rsidRPr="00360B51">
        <w:rPr>
          <w:rFonts w:ascii="Times New Roman" w:eastAsia="Times New Roman" w:hAnsi="Times New Roman" w:cs="Times New Roman"/>
          <w:color w:val="000000"/>
          <w:sz w:val="24"/>
          <w:szCs w:val="24"/>
          <w:u w:color="000000"/>
          <w:lang w:val="sq-AL"/>
        </w:rPr>
        <w:t>zbatimi</w:t>
      </w:r>
      <w:r>
        <w:rPr>
          <w:rFonts w:ascii="Times New Roman" w:eastAsia="Times New Roman" w:hAnsi="Times New Roman" w:cs="Times New Roman"/>
          <w:color w:val="000000"/>
          <w:sz w:val="24"/>
          <w:szCs w:val="24"/>
          <w:u w:color="000000"/>
          <w:lang w:val="sq-AL"/>
        </w:rPr>
        <w:t>t të</w:t>
      </w:r>
      <w:r w:rsidRPr="00360B51">
        <w:rPr>
          <w:rFonts w:ascii="Times New Roman" w:eastAsia="Times New Roman" w:hAnsi="Times New Roman" w:cs="Times New Roman"/>
          <w:color w:val="000000"/>
          <w:sz w:val="24"/>
          <w:szCs w:val="24"/>
          <w:u w:color="000000"/>
          <w:lang w:val="sq-AL"/>
        </w:rPr>
        <w:t xml:space="preserve"> parimeve të ekonomisë qarkulluese</w:t>
      </w:r>
      <w:r>
        <w:rPr>
          <w:rFonts w:ascii="Times New Roman" w:eastAsia="Times New Roman" w:hAnsi="Times New Roman" w:cs="Times New Roman"/>
          <w:color w:val="000000"/>
          <w:sz w:val="24"/>
          <w:szCs w:val="24"/>
          <w:u w:color="000000"/>
          <w:lang w:val="sq-AL"/>
        </w:rPr>
        <w:t>.</w:t>
      </w:r>
      <w:r w:rsidRPr="00360B51">
        <w:rPr>
          <w:rFonts w:ascii="Times New Roman" w:eastAsia="Times New Roman" w:hAnsi="Times New Roman" w:cs="Times New Roman"/>
          <w:color w:val="000000"/>
          <w:sz w:val="24"/>
          <w:szCs w:val="24"/>
          <w:u w:color="000000"/>
          <w:lang w:val="sq-AL"/>
        </w:rPr>
        <w:t xml:space="preserve"> </w:t>
      </w:r>
      <w:r w:rsidR="00360B51" w:rsidRPr="00360B51">
        <w:rPr>
          <w:rFonts w:ascii="Times New Roman" w:eastAsia="Times New Roman" w:hAnsi="Times New Roman" w:cs="Times New Roman"/>
          <w:color w:val="000000"/>
          <w:sz w:val="24"/>
          <w:szCs w:val="24"/>
          <w:u w:color="000000"/>
          <w:lang w:val="sq-AL"/>
        </w:rPr>
        <w:t>Mbështetja e Bashkimit Evropian dhe e organizatave ndërkombëtare ka qenë thelbësore për hartimin e strategjive, përmirësimin e kuadrit ligjor dhe financimin e projekteve që lidhen me menaxhimin e mbetjeve dhe riciklimin. Paralelisht, disa bashki kanë nisur iniciativa konkrete, si ndarja e mbetjeve në burim dhe përpunimin e mbetjeve or</w:t>
      </w:r>
      <w:r w:rsidR="00804098">
        <w:rPr>
          <w:rFonts w:ascii="Times New Roman" w:eastAsia="Times New Roman" w:hAnsi="Times New Roman" w:cs="Times New Roman"/>
          <w:color w:val="000000"/>
          <w:sz w:val="24"/>
          <w:szCs w:val="24"/>
          <w:u w:color="000000"/>
          <w:lang w:val="sq-AL"/>
        </w:rPr>
        <w:t xml:space="preserve">ganike për përdorim në bujqësi. </w:t>
      </w:r>
      <w:r w:rsidR="00360B51" w:rsidRPr="00360B51">
        <w:rPr>
          <w:rFonts w:ascii="Times New Roman" w:eastAsia="Times New Roman" w:hAnsi="Times New Roman" w:cs="Times New Roman"/>
          <w:color w:val="000000"/>
          <w:sz w:val="24"/>
          <w:szCs w:val="24"/>
          <w:u w:color="000000"/>
          <w:lang w:val="sq-AL"/>
        </w:rPr>
        <w:t>Gjithashtu, nxitja dhe hapja e kompanive të riciklimit të qelqit në Shqipëri përbën një hap të rëndësishëm drejt menaxhimit të qëndrueshëm të mbetjeve dhe mbrojtjes së mjedisit.</w:t>
      </w:r>
    </w:p>
    <w:p w:rsidR="00360B51" w:rsidRPr="00360B51" w:rsidRDefault="00360B51" w:rsidP="00360B51">
      <w:pPr>
        <w:spacing w:after="0" w:line="240" w:lineRule="auto"/>
        <w:jc w:val="both"/>
        <w:rPr>
          <w:rFonts w:ascii="Times New Roman" w:eastAsia="Times New Roman" w:hAnsi="Times New Roman" w:cs="Times New Roman"/>
          <w:color w:val="000000"/>
          <w:sz w:val="24"/>
          <w:szCs w:val="24"/>
          <w:u w:color="000000"/>
          <w:lang w:val="sq-AL"/>
        </w:rPr>
      </w:pPr>
    </w:p>
    <w:p w:rsidR="00360B51" w:rsidRPr="00360B51" w:rsidRDefault="00360B51" w:rsidP="00360B51">
      <w:pPr>
        <w:spacing w:after="0" w:line="240" w:lineRule="auto"/>
        <w:jc w:val="both"/>
        <w:rPr>
          <w:rFonts w:ascii="Times New Roman" w:eastAsia="Times New Roman" w:hAnsi="Times New Roman" w:cs="Times New Roman"/>
          <w:color w:val="000000"/>
          <w:sz w:val="24"/>
          <w:szCs w:val="24"/>
          <w:u w:color="000000"/>
          <w:lang w:val="sq-AL"/>
        </w:rPr>
      </w:pPr>
      <w:r w:rsidRPr="00360B51">
        <w:rPr>
          <w:rFonts w:ascii="Times New Roman" w:eastAsia="Times New Roman" w:hAnsi="Times New Roman" w:cs="Times New Roman"/>
          <w:color w:val="000000"/>
          <w:sz w:val="24"/>
          <w:szCs w:val="24"/>
          <w:u w:color="000000"/>
          <w:lang w:val="sq-AL"/>
        </w:rPr>
        <w:t>Në vitin 2020 u miratua Strategjia e rishikuar e Menaxhimit të Integruar të Mbetjeve për periudhën 2020–2035, e cila forcoi harmonizimin me standardet e Bashkimit Evropian dhe përcaktoi objektiva të përditësuara për zbatimin e saj.</w:t>
      </w:r>
    </w:p>
    <w:p w:rsidR="00360B51" w:rsidRPr="00360B51" w:rsidRDefault="00360B51" w:rsidP="00360B51">
      <w:pPr>
        <w:spacing w:after="0" w:line="240" w:lineRule="auto"/>
        <w:jc w:val="both"/>
        <w:rPr>
          <w:rFonts w:ascii="Times New Roman" w:eastAsia="Times New Roman" w:hAnsi="Times New Roman" w:cs="Times New Roman"/>
          <w:color w:val="000000"/>
          <w:sz w:val="24"/>
          <w:szCs w:val="24"/>
          <w:u w:color="000000"/>
          <w:lang w:val="sq-AL"/>
        </w:rPr>
      </w:pPr>
    </w:p>
    <w:p w:rsidR="00804098" w:rsidRPr="00804098" w:rsidRDefault="00360B51" w:rsidP="00804098">
      <w:pPr>
        <w:spacing w:after="0" w:line="240" w:lineRule="auto"/>
        <w:jc w:val="both"/>
        <w:rPr>
          <w:rFonts w:ascii="Times New Roman" w:eastAsia="Calibri" w:hAnsi="Times New Roman" w:cs="Times New Roman"/>
          <w:color w:val="000000"/>
          <w:sz w:val="24"/>
          <w:szCs w:val="24"/>
          <w:lang w:val="sq-AL"/>
        </w:rPr>
      </w:pPr>
      <w:r w:rsidRPr="00360B51">
        <w:rPr>
          <w:rFonts w:ascii="Times New Roman" w:eastAsia="Times New Roman" w:hAnsi="Times New Roman" w:cs="Times New Roman"/>
          <w:color w:val="000000"/>
          <w:sz w:val="24"/>
          <w:szCs w:val="24"/>
          <w:u w:color="000000"/>
          <w:lang w:val="sq-AL"/>
        </w:rPr>
        <w:t>Shqipëria ka integruar parimet e ekonomisë qarkulluese në Strategjinë për Menaxhimin e Integruar të Mbetjeve dhe në Planin e Veprimit për periudhën 2020–2035. Min</w:t>
      </w:r>
      <w:r w:rsidR="00531C09">
        <w:rPr>
          <w:rFonts w:ascii="Times New Roman" w:eastAsia="Times New Roman" w:hAnsi="Times New Roman" w:cs="Times New Roman"/>
          <w:color w:val="000000"/>
          <w:sz w:val="24"/>
          <w:szCs w:val="24"/>
          <w:u w:color="000000"/>
          <w:lang w:val="sq-AL"/>
        </w:rPr>
        <w:t>istria e Mjedisit ka hartuar Ligjin N</w:t>
      </w:r>
      <w:r w:rsidRPr="00360B51">
        <w:rPr>
          <w:rFonts w:ascii="Times New Roman" w:eastAsia="Times New Roman" w:hAnsi="Times New Roman" w:cs="Times New Roman"/>
          <w:color w:val="000000"/>
          <w:sz w:val="24"/>
          <w:szCs w:val="24"/>
          <w:u w:color="000000"/>
          <w:lang w:val="sq-AL"/>
        </w:rPr>
        <w:t>r. 57/2025 “Për menaxhimin e integruar të mbetjeve”, i cili ka transpozuar Direktivën Kuadër të Mbetjeve ku është integruar gjithashtu dhe konc</w:t>
      </w:r>
      <w:r w:rsidR="00A60649">
        <w:rPr>
          <w:rFonts w:ascii="Times New Roman" w:eastAsia="Times New Roman" w:hAnsi="Times New Roman" w:cs="Times New Roman"/>
          <w:color w:val="000000"/>
          <w:sz w:val="24"/>
          <w:szCs w:val="24"/>
          <w:u w:color="000000"/>
          <w:lang w:val="sq-AL"/>
        </w:rPr>
        <w:t>ep</w:t>
      </w:r>
      <w:r w:rsidRPr="00360B51">
        <w:rPr>
          <w:rFonts w:ascii="Times New Roman" w:eastAsia="Times New Roman" w:hAnsi="Times New Roman" w:cs="Times New Roman"/>
          <w:color w:val="000000"/>
          <w:sz w:val="24"/>
          <w:szCs w:val="24"/>
          <w:u w:color="000000"/>
          <w:lang w:val="sq-AL"/>
        </w:rPr>
        <w:t>ti i ekonomisë qarkulluese.</w:t>
      </w:r>
      <w:r w:rsidR="00531C09">
        <w:rPr>
          <w:rFonts w:ascii="Times New Roman" w:eastAsia="Times New Roman" w:hAnsi="Times New Roman" w:cs="Times New Roman"/>
          <w:color w:val="000000"/>
          <w:sz w:val="24"/>
          <w:szCs w:val="24"/>
          <w:u w:color="000000"/>
          <w:lang w:val="sq-AL"/>
        </w:rPr>
        <w:t xml:space="preserve"> </w:t>
      </w:r>
      <w:r w:rsidR="00804098" w:rsidRPr="00804098">
        <w:rPr>
          <w:rFonts w:ascii="Times New Roman" w:eastAsia="Calibri" w:hAnsi="Times New Roman" w:cs="Times New Roman"/>
          <w:color w:val="000000"/>
          <w:sz w:val="24"/>
          <w:szCs w:val="24"/>
          <w:lang w:val="sq-AL"/>
        </w:rPr>
        <w:t xml:space="preserve">Objekti i këtij ligji është përcaktimi i rregullave për funksionimin e sistemit për menaxhimin e integruar të mbetjeve dhe zbatimi i hierarkisë së mbetjeve dhe masave për arritjen e objektivave të mëposhtëm: </w:t>
      </w:r>
    </w:p>
    <w:p w:rsidR="00804098" w:rsidRPr="00804098" w:rsidRDefault="00804098" w:rsidP="00804098">
      <w:pPr>
        <w:spacing w:after="0" w:line="240" w:lineRule="auto"/>
        <w:ind w:firstLine="284"/>
        <w:jc w:val="both"/>
        <w:rPr>
          <w:rFonts w:ascii="Times New Roman" w:eastAsia="Calibri" w:hAnsi="Times New Roman" w:cs="Times New Roman"/>
          <w:color w:val="000000"/>
          <w:sz w:val="24"/>
          <w:szCs w:val="24"/>
          <w:lang w:val="sq-AL"/>
        </w:rPr>
      </w:pPr>
      <w:r w:rsidRPr="00804098">
        <w:rPr>
          <w:rFonts w:ascii="Times New Roman" w:eastAsia="Calibri" w:hAnsi="Times New Roman" w:cs="Times New Roman"/>
          <w:color w:val="000000"/>
          <w:sz w:val="24"/>
          <w:szCs w:val="24"/>
          <w:lang w:val="sq-AL"/>
        </w:rPr>
        <w:t xml:space="preserve">a) parandalimin ose pakësimin e mbetjeve; </w:t>
      </w:r>
    </w:p>
    <w:p w:rsidR="00804098" w:rsidRPr="00804098" w:rsidRDefault="00804098" w:rsidP="00804098">
      <w:pPr>
        <w:spacing w:after="0" w:line="240" w:lineRule="auto"/>
        <w:ind w:firstLine="284"/>
        <w:jc w:val="both"/>
        <w:rPr>
          <w:rFonts w:ascii="Times New Roman" w:eastAsia="Calibri" w:hAnsi="Times New Roman" w:cs="Times New Roman"/>
          <w:color w:val="000000"/>
          <w:sz w:val="24"/>
          <w:szCs w:val="24"/>
          <w:lang w:val="sq-AL"/>
        </w:rPr>
      </w:pPr>
      <w:r w:rsidRPr="00804098">
        <w:rPr>
          <w:rFonts w:ascii="Times New Roman" w:eastAsia="Calibri" w:hAnsi="Times New Roman" w:cs="Times New Roman"/>
          <w:color w:val="000000"/>
          <w:sz w:val="24"/>
          <w:szCs w:val="24"/>
          <w:lang w:val="sq-AL"/>
        </w:rPr>
        <w:t xml:space="preserve">b) parandalimin ose pakësimin e ndikimeve negative nga krijimi dhe menaxhimi i mbetjeve; </w:t>
      </w:r>
    </w:p>
    <w:p w:rsidR="00804098" w:rsidRDefault="00804098" w:rsidP="00804098">
      <w:pPr>
        <w:spacing w:after="0" w:line="240" w:lineRule="auto"/>
        <w:jc w:val="both"/>
        <w:rPr>
          <w:rFonts w:ascii="Times New Roman" w:eastAsia="Calibri" w:hAnsi="Times New Roman" w:cs="Times New Roman"/>
          <w:color w:val="000000"/>
          <w:sz w:val="24"/>
          <w:szCs w:val="24"/>
          <w:lang w:val="sq-AL"/>
        </w:rPr>
      </w:pPr>
      <w:r>
        <w:rPr>
          <w:rFonts w:ascii="Times New Roman" w:eastAsia="Calibri" w:hAnsi="Times New Roman" w:cs="Times New Roman"/>
          <w:color w:val="000000"/>
          <w:sz w:val="24"/>
          <w:szCs w:val="24"/>
          <w:lang w:val="sq-AL"/>
        </w:rPr>
        <w:t xml:space="preserve">     </w:t>
      </w:r>
      <w:r w:rsidRPr="00804098">
        <w:rPr>
          <w:rFonts w:ascii="Times New Roman" w:eastAsia="Calibri" w:hAnsi="Times New Roman" w:cs="Times New Roman"/>
          <w:color w:val="000000"/>
          <w:sz w:val="24"/>
          <w:szCs w:val="24"/>
          <w:lang w:val="sq-AL"/>
        </w:rPr>
        <w:t xml:space="preserve">c) zvogëlimin e ndikimit të përdorimit të burimeve dhe përmirësimin e eficiencës së </w:t>
      </w:r>
    </w:p>
    <w:p w:rsidR="00804098" w:rsidRDefault="00804098" w:rsidP="00804098">
      <w:pPr>
        <w:spacing w:after="0" w:line="240" w:lineRule="auto"/>
        <w:jc w:val="both"/>
        <w:rPr>
          <w:rFonts w:ascii="Times New Roman" w:eastAsia="Times New Roman" w:hAnsi="Times New Roman" w:cs="Times New Roman"/>
          <w:color w:val="000000"/>
          <w:sz w:val="24"/>
          <w:szCs w:val="24"/>
          <w:u w:color="000000"/>
          <w:lang w:val="sq-AL"/>
        </w:rPr>
      </w:pPr>
      <w:r>
        <w:rPr>
          <w:rFonts w:ascii="Times New Roman" w:eastAsia="Calibri" w:hAnsi="Times New Roman" w:cs="Times New Roman"/>
          <w:color w:val="000000"/>
          <w:sz w:val="24"/>
          <w:szCs w:val="24"/>
          <w:lang w:val="sq-AL"/>
        </w:rPr>
        <w:t xml:space="preserve">        </w:t>
      </w:r>
      <w:r w:rsidRPr="00804098">
        <w:rPr>
          <w:rFonts w:ascii="Times New Roman" w:eastAsia="Calibri" w:hAnsi="Times New Roman" w:cs="Times New Roman"/>
          <w:color w:val="000000"/>
          <w:sz w:val="24"/>
          <w:szCs w:val="24"/>
          <w:lang w:val="sq-AL"/>
        </w:rPr>
        <w:t xml:space="preserve">përdorimit të tyre. </w:t>
      </w:r>
      <w:r w:rsidR="0046345D" w:rsidRPr="00804098">
        <w:rPr>
          <w:rFonts w:ascii="Times New Roman" w:eastAsia="Times New Roman" w:hAnsi="Times New Roman" w:cs="Times New Roman"/>
          <w:color w:val="000000"/>
          <w:sz w:val="24"/>
          <w:szCs w:val="24"/>
          <w:u w:color="000000"/>
          <w:lang w:val="sq-AL"/>
        </w:rPr>
        <w:t xml:space="preserve"> </w:t>
      </w:r>
    </w:p>
    <w:p w:rsidR="00804098" w:rsidRDefault="00804098" w:rsidP="00804098">
      <w:pPr>
        <w:spacing w:after="0" w:line="240" w:lineRule="auto"/>
        <w:jc w:val="both"/>
        <w:rPr>
          <w:rFonts w:ascii="Times New Roman" w:eastAsia="Times New Roman" w:hAnsi="Times New Roman" w:cs="Times New Roman"/>
          <w:color w:val="000000"/>
          <w:sz w:val="24"/>
          <w:szCs w:val="24"/>
          <w:u w:color="000000"/>
          <w:lang w:val="sq-AL"/>
        </w:rPr>
      </w:pPr>
    </w:p>
    <w:p w:rsidR="00360B51" w:rsidRPr="00360B51" w:rsidRDefault="0046345D" w:rsidP="00804098">
      <w:pPr>
        <w:spacing w:after="0" w:line="240" w:lineRule="auto"/>
        <w:jc w:val="both"/>
        <w:rPr>
          <w:rFonts w:ascii="Times New Roman" w:eastAsia="Times New Roman" w:hAnsi="Times New Roman" w:cs="Times New Roman"/>
          <w:color w:val="000000"/>
          <w:sz w:val="24"/>
          <w:szCs w:val="24"/>
          <w:u w:color="000000"/>
          <w:lang w:val="sq-AL"/>
        </w:rPr>
      </w:pPr>
      <w:r>
        <w:rPr>
          <w:rFonts w:ascii="Times New Roman" w:eastAsia="Times New Roman" w:hAnsi="Times New Roman" w:cs="Times New Roman"/>
          <w:color w:val="000000"/>
          <w:sz w:val="24"/>
          <w:szCs w:val="24"/>
          <w:u w:color="000000"/>
          <w:lang w:val="sq-AL"/>
        </w:rPr>
        <w:t xml:space="preserve">Gjithashtu bazuar në këtë ligj, </w:t>
      </w:r>
      <w:r w:rsidR="008D7C9D">
        <w:rPr>
          <w:rFonts w:ascii="Times New Roman" w:eastAsia="Times New Roman" w:hAnsi="Times New Roman" w:cs="Times New Roman"/>
          <w:color w:val="000000"/>
          <w:sz w:val="24"/>
          <w:szCs w:val="24"/>
          <w:u w:color="000000"/>
          <w:lang w:val="sq-AL"/>
        </w:rPr>
        <w:t xml:space="preserve"> N</w:t>
      </w:r>
      <w:r>
        <w:rPr>
          <w:rFonts w:ascii="Times New Roman" w:eastAsia="Times New Roman" w:hAnsi="Times New Roman" w:cs="Times New Roman"/>
          <w:color w:val="000000"/>
          <w:sz w:val="24"/>
          <w:szCs w:val="24"/>
          <w:u w:color="000000"/>
          <w:lang w:val="sq-AL"/>
        </w:rPr>
        <w:t>eni nr 22, Agjencia Kombëtare e Ekonomisë së Mbetjeve (AKEM) është përcaktuar person juridik e organizuar në formën e një shoqërie aksionare. Për përmbushjen e qëllimit dhe objektivave të Ligjit N</w:t>
      </w:r>
      <w:r w:rsidRPr="00360B51">
        <w:rPr>
          <w:rFonts w:ascii="Times New Roman" w:eastAsia="Times New Roman" w:hAnsi="Times New Roman" w:cs="Times New Roman"/>
          <w:color w:val="000000"/>
          <w:sz w:val="24"/>
          <w:szCs w:val="24"/>
          <w:u w:color="000000"/>
          <w:lang w:val="sq-AL"/>
        </w:rPr>
        <w:t>r. 57/2025 “Për menaxhimin e integruar të mbetjeve</w:t>
      </w:r>
      <w:r>
        <w:rPr>
          <w:rFonts w:ascii="Times New Roman" w:eastAsia="Times New Roman" w:hAnsi="Times New Roman" w:cs="Times New Roman"/>
          <w:color w:val="000000"/>
          <w:sz w:val="24"/>
          <w:szCs w:val="24"/>
          <w:u w:color="000000"/>
          <w:lang w:val="sq-AL"/>
        </w:rPr>
        <w:t>”, AKEM ushtron kompetencat në fushën e menaxhimit të integruar të mbetjeve.</w:t>
      </w:r>
      <w:r w:rsidR="008D7C9D">
        <w:rPr>
          <w:rFonts w:ascii="Times New Roman" w:eastAsia="Times New Roman" w:hAnsi="Times New Roman" w:cs="Times New Roman"/>
          <w:color w:val="000000"/>
          <w:sz w:val="24"/>
          <w:szCs w:val="24"/>
          <w:u w:color="000000"/>
          <w:lang w:val="sq-AL"/>
        </w:rPr>
        <w:t xml:space="preserve"> </w:t>
      </w:r>
    </w:p>
    <w:p w:rsidR="00360B51" w:rsidRPr="00360B51" w:rsidRDefault="00360B51" w:rsidP="00360B51">
      <w:pPr>
        <w:spacing w:after="0" w:line="240" w:lineRule="auto"/>
        <w:jc w:val="both"/>
        <w:rPr>
          <w:rFonts w:ascii="Times New Roman" w:eastAsia="Times New Roman" w:hAnsi="Times New Roman" w:cs="Times New Roman"/>
          <w:color w:val="000000"/>
          <w:sz w:val="24"/>
          <w:szCs w:val="24"/>
          <w:u w:color="000000"/>
          <w:lang w:val="sq-AL"/>
        </w:rPr>
      </w:pPr>
    </w:p>
    <w:p w:rsidR="00360B51" w:rsidRPr="00C23EBA" w:rsidRDefault="00360B51" w:rsidP="00C23EBA">
      <w:pPr>
        <w:spacing w:after="0" w:line="240" w:lineRule="auto"/>
        <w:jc w:val="both"/>
        <w:rPr>
          <w:rFonts w:ascii="Times New Roman" w:eastAsia="Times New Roman" w:hAnsi="Times New Roman" w:cs="Times New Roman"/>
          <w:color w:val="000000"/>
          <w:sz w:val="24"/>
          <w:szCs w:val="24"/>
          <w:u w:color="000000"/>
          <w:lang w:val="sq-AL"/>
        </w:rPr>
      </w:pPr>
      <w:r w:rsidRPr="00360B51">
        <w:rPr>
          <w:rFonts w:ascii="Times New Roman" w:eastAsia="Times New Roman" w:hAnsi="Times New Roman" w:cs="Times New Roman"/>
          <w:color w:val="000000"/>
          <w:sz w:val="24"/>
          <w:szCs w:val="24"/>
          <w:u w:color="000000"/>
          <w:lang w:val="sq-AL"/>
        </w:rPr>
        <w:t>Aktualisht janë duke u draftuar disa projektvendime, të cilat do të transpozojnë direktivat e Bashkimit Europian, duke sjellë një përqasje tjetër duke kaluar nga ekonomia lineare drejtë ekonomisë qarkulluese.</w:t>
      </w:r>
    </w:p>
    <w:p w:rsidR="002C4E4E" w:rsidRPr="002C4E4E" w:rsidRDefault="002C4E4E" w:rsidP="002C4E4E">
      <w:pPr>
        <w:jc w:val="both"/>
        <w:rPr>
          <w:rFonts w:ascii="Times New Roman" w:eastAsia="Times New Roman" w:hAnsi="Times New Roman" w:cs="Times New Roman"/>
          <w:b/>
          <w:bCs/>
          <w:color w:val="000000"/>
          <w:sz w:val="24"/>
          <w:szCs w:val="24"/>
          <w:u w:color="000000"/>
          <w:lang w:val="sq-AL"/>
        </w:rPr>
      </w:pPr>
      <w:r>
        <w:rPr>
          <w:rFonts w:ascii="Times New Roman" w:eastAsia="Times New Roman" w:hAnsi="Times New Roman" w:cs="Times New Roman"/>
          <w:b/>
          <w:bCs/>
          <w:color w:val="000000"/>
          <w:sz w:val="24"/>
          <w:szCs w:val="24"/>
          <w:u w:color="000000"/>
          <w:lang w:val="sq-AL"/>
        </w:rPr>
        <w:lastRenderedPageBreak/>
        <w:t xml:space="preserve">10.1.1 </w:t>
      </w:r>
      <w:r w:rsidRPr="002C4E4E">
        <w:rPr>
          <w:rFonts w:ascii="Times New Roman" w:eastAsia="Times New Roman" w:hAnsi="Times New Roman" w:cs="Times New Roman"/>
          <w:b/>
          <w:bCs/>
          <w:color w:val="000000"/>
          <w:sz w:val="24"/>
          <w:szCs w:val="24"/>
          <w:u w:color="000000"/>
          <w:lang w:val="sq-AL"/>
        </w:rPr>
        <w:t>Treguesit e Ekonomisë Qarkulluese</w:t>
      </w:r>
    </w:p>
    <w:p w:rsidR="002C4E4E" w:rsidRPr="002C4E4E" w:rsidRDefault="002C4E4E" w:rsidP="002C4E4E">
      <w:pPr>
        <w:jc w:val="both"/>
        <w:rPr>
          <w:rFonts w:ascii="Times New Roman" w:eastAsia="Times New Roman" w:hAnsi="Times New Roman" w:cs="Times New Roman"/>
          <w:color w:val="000000"/>
          <w:sz w:val="24"/>
          <w:szCs w:val="24"/>
          <w:u w:color="000000"/>
          <w:lang w:val="sq-AL"/>
        </w:rPr>
      </w:pPr>
      <w:r w:rsidRPr="002C4E4E">
        <w:rPr>
          <w:rFonts w:ascii="Times New Roman" w:eastAsia="Times New Roman" w:hAnsi="Times New Roman" w:cs="Times New Roman"/>
          <w:color w:val="000000"/>
          <w:sz w:val="24"/>
          <w:szCs w:val="24"/>
          <w:u w:color="000000"/>
          <w:lang w:val="sq-AL"/>
        </w:rPr>
        <w:t>Është shënuar progres në avancimin e tranzicionit drejt ekonomisë qarkulluese në Shqipëri. Krijimi i Agjencisë Kombëtare të Ekonomisë së Mbetjeve (AKEM) ka forcuar kuadrin institucional për koordinimin dhe monitorimin e menaxhimit të mbetjeve në nivel kombëtar. Gjithashtu, miratimi dhe zhvillimi i mëtejshëm i Sistemit të Informacionit Mjedisor (SIM), së bashku me përdorimin më të gjerë të Treguesve Kryesorë të Performancës (KPI), kanë përmirësuar disponueshmërinë e të dhënave dhe kanë forcuar bazën për monitorimin dhe raportimin e treguesve të ekonomisë qarkulluese.</w:t>
      </w:r>
    </w:p>
    <w:p w:rsidR="002C4E4E" w:rsidRPr="002C4E4E" w:rsidRDefault="002C4E4E" w:rsidP="002C4E4E">
      <w:pPr>
        <w:jc w:val="both"/>
        <w:rPr>
          <w:rFonts w:ascii="Times New Roman" w:eastAsia="Times New Roman" w:hAnsi="Times New Roman" w:cs="Times New Roman"/>
          <w:color w:val="000000"/>
          <w:sz w:val="24"/>
          <w:szCs w:val="24"/>
          <w:u w:color="000000"/>
          <w:lang w:val="sq-AL"/>
        </w:rPr>
      </w:pPr>
      <w:r w:rsidRPr="002C4E4E">
        <w:rPr>
          <w:rFonts w:ascii="Times New Roman" w:eastAsia="Times New Roman" w:hAnsi="Times New Roman" w:cs="Times New Roman"/>
          <w:color w:val="000000"/>
          <w:sz w:val="24"/>
          <w:szCs w:val="24"/>
          <w:u w:color="000000"/>
          <w:lang w:val="sq-AL"/>
        </w:rPr>
        <w:t>Progres i rëndësishëm është arritur gjithashtu në forcimin e kuadrit ligjor. Miratimi i Ligjit nr. 74/2025 “Për përgjegjësitë e zgjeruara të prodhuesit (PZP)” ka krijuar bazën ligjore për organizimin dhe financimin e grumbullimit të veçuar dhe riciklimit të mbetjeve të ambalazheve, mbetjeve të pajisjeve elektrike dhe elektronike (MPEE), baterive dhe akumulatorëve, vajrave të përdorura dhe automjeteve në fund të jetës.</w:t>
      </w:r>
    </w:p>
    <w:p w:rsidR="002C4E4E" w:rsidRPr="002C4E4E" w:rsidRDefault="002C4E4E" w:rsidP="002C4E4E">
      <w:pPr>
        <w:jc w:val="both"/>
        <w:rPr>
          <w:rFonts w:ascii="Times New Roman" w:eastAsia="Times New Roman" w:hAnsi="Times New Roman" w:cs="Times New Roman"/>
          <w:color w:val="000000"/>
          <w:sz w:val="24"/>
          <w:szCs w:val="24"/>
          <w:u w:color="000000"/>
          <w:lang w:val="sq-AL"/>
        </w:rPr>
      </w:pPr>
      <w:r w:rsidRPr="002C4E4E">
        <w:rPr>
          <w:rFonts w:ascii="Times New Roman" w:eastAsia="Times New Roman" w:hAnsi="Times New Roman" w:cs="Times New Roman"/>
          <w:color w:val="000000"/>
          <w:sz w:val="24"/>
          <w:szCs w:val="24"/>
          <w:u w:color="000000"/>
          <w:lang w:val="sq-AL"/>
        </w:rPr>
        <w:t>Përparim i mëtejshëm është bërë nëpërmjet aktiviteteve ndërgjegjësuese dhe programeve të ngritjes së kapaciteteve të zbatuara nga institucionet kombëtare dhe partnerët ndërkombëtarë. Projektet pilot për grumbullimin e veçuar dhe kompostimin e mbetjeve te gjelbra kanë vijuar në disa bashki, ndërsa përdorimi i treguesve të performancës në nivel vendor është zgjeruar.</w:t>
      </w:r>
    </w:p>
    <w:p w:rsidR="002C4E4E" w:rsidRPr="002C4E4E" w:rsidRDefault="002C4E4E" w:rsidP="002C4E4E">
      <w:pPr>
        <w:jc w:val="both"/>
        <w:rPr>
          <w:rFonts w:ascii="Times New Roman" w:eastAsia="Times New Roman" w:hAnsi="Times New Roman" w:cs="Times New Roman"/>
          <w:color w:val="000000"/>
          <w:sz w:val="24"/>
          <w:szCs w:val="24"/>
          <w:u w:color="000000"/>
          <w:lang w:val="sq-AL"/>
        </w:rPr>
      </w:pPr>
      <w:r w:rsidRPr="002C4E4E">
        <w:rPr>
          <w:rFonts w:ascii="Times New Roman" w:eastAsia="Times New Roman" w:hAnsi="Times New Roman" w:cs="Times New Roman"/>
          <w:color w:val="000000"/>
          <w:sz w:val="24"/>
          <w:szCs w:val="24"/>
          <w:u w:color="000000"/>
          <w:lang w:val="sq-AL"/>
        </w:rPr>
        <w:t>Pavarësisht këtyre arritjeve, mbeten sfida të rëndësishme. Instrumentet ekonomike që synojnë promovimin e parimeve të ekonomisë qarkulluese, duke përfshirë taksën e depozitimit në landfill, sistemet e kthimit të depozitës, skemat “paguaj sipas sasisë mbetjeve që hedh” dhe stimujt fiskalë për ripërdorimin dhe riciklimin, ende nuk janë zbatuar. Disponueshmëria e të dhënave për disa tregues të ekonomisë qarkulluese mbetet e kufizuar, ndërsa informacioni lidhur me flukset e materialeve, prokurimin publik të gjelbër, shpenzimet për kërkim dhe zhvillim, si dhe përhapjen e modeleve qarkulluese të biznesit, vazhdon të jetë i pamjaftueshëm.</w:t>
      </w:r>
    </w:p>
    <w:p w:rsidR="002C4E4E" w:rsidRPr="002C4E4E" w:rsidRDefault="002C4E4E" w:rsidP="002C4E4E">
      <w:pPr>
        <w:jc w:val="both"/>
        <w:rPr>
          <w:rFonts w:ascii="Times New Roman" w:eastAsia="Times New Roman" w:hAnsi="Times New Roman" w:cs="Times New Roman"/>
          <w:color w:val="000000"/>
          <w:sz w:val="24"/>
          <w:szCs w:val="24"/>
          <w:u w:color="000000"/>
          <w:lang w:val="sq-AL"/>
        </w:rPr>
      </w:pPr>
      <w:r w:rsidRPr="002C4E4E">
        <w:rPr>
          <w:rFonts w:ascii="Times New Roman" w:eastAsia="Times New Roman" w:hAnsi="Times New Roman" w:cs="Times New Roman"/>
          <w:color w:val="000000"/>
          <w:sz w:val="24"/>
          <w:szCs w:val="24"/>
          <w:u w:color="000000"/>
          <w:lang w:val="sq-AL"/>
        </w:rPr>
        <w:t>Në tërësi, zbatimi i rekomandimeve të Udhërrëfyesit për Ekonominë Qarkulluese mund të konsiderohet se ka shënuar progres të moderuar, ku shumica e masave janë zbatuar pjesërisht. Forcimi i kapaciteteve institucionale, funksionalizimi i skemave të PZP-së, vendosja e instrumenteve ekonomike, përmirësimi i mbledhjes dhe raportimit të të dhënave, si dhe mbështetja e mëtejshme e modeleve qarkulluese të biznesit mbeten prioritete për vitet e ardhshme dhe janë thelbësore për përafrimin me Paketën e Ekonomisë Qarkulluese të Bashkimit Evropian dhe procesin e anëtarësimit në BE.</w:t>
      </w:r>
    </w:p>
    <w:p w:rsidR="002C4E4E" w:rsidRPr="002C4E4E" w:rsidRDefault="002C4E4E" w:rsidP="002C4E4E">
      <w:pPr>
        <w:jc w:val="both"/>
        <w:rPr>
          <w:rFonts w:ascii="Times New Roman" w:eastAsia="Times New Roman" w:hAnsi="Times New Roman" w:cs="Times New Roman"/>
          <w:color w:val="000000"/>
          <w:sz w:val="24"/>
          <w:szCs w:val="24"/>
          <w:u w:color="000000"/>
          <w:lang w:val="sq-AL"/>
        </w:rPr>
      </w:pPr>
      <w:r w:rsidRPr="002C4E4E">
        <w:rPr>
          <w:rFonts w:ascii="Times New Roman" w:eastAsia="Times New Roman" w:hAnsi="Times New Roman" w:cs="Times New Roman"/>
          <w:color w:val="000000"/>
          <w:sz w:val="24"/>
          <w:szCs w:val="24"/>
          <w:u w:color="000000"/>
          <w:lang w:val="sq-AL"/>
        </w:rPr>
        <w:t>Tabela në vijim paraqet gjendjen e treguesve të Udhërrëfyesit për Ekonominë Qarkulluese, sipas përcaktimeve të dokumentit të OECD-së “Roadmap to</w:t>
      </w:r>
      <w:r w:rsidR="002C4833">
        <w:rPr>
          <w:rFonts w:ascii="Times New Roman" w:eastAsia="Times New Roman" w:hAnsi="Times New Roman" w:cs="Times New Roman"/>
          <w:color w:val="000000"/>
          <w:sz w:val="24"/>
          <w:szCs w:val="24"/>
          <w:u w:color="000000"/>
          <w:lang w:val="sq-AL"/>
        </w:rPr>
        <w:t>ë</w:t>
      </w:r>
      <w:r w:rsidRPr="002C4E4E">
        <w:rPr>
          <w:rFonts w:ascii="Times New Roman" w:eastAsia="Times New Roman" w:hAnsi="Times New Roman" w:cs="Times New Roman"/>
          <w:color w:val="000000"/>
          <w:sz w:val="24"/>
          <w:szCs w:val="24"/>
          <w:u w:color="000000"/>
          <w:lang w:val="sq-AL"/>
        </w:rPr>
        <w:t>ards Circular Economy in Albania” (“Udhërrëfyesi drejt Ekonomisë Qarkulluese në Shqipëri”).</w:t>
      </w:r>
    </w:p>
    <w:p w:rsidR="00531C09" w:rsidRDefault="00531C09" w:rsidP="00E0358A">
      <w:pPr>
        <w:rPr>
          <w:sz w:val="24"/>
          <w:szCs w:val="24"/>
        </w:rPr>
      </w:pPr>
    </w:p>
    <w:p w:rsidR="00DB739E" w:rsidRDefault="00DB739E" w:rsidP="00E0358A">
      <w:pPr>
        <w:rPr>
          <w:sz w:val="24"/>
          <w:szCs w:val="24"/>
        </w:rPr>
      </w:pPr>
    </w:p>
    <w:p w:rsidR="00DB739E" w:rsidRDefault="00DB739E" w:rsidP="00E0358A">
      <w:pPr>
        <w:rPr>
          <w:sz w:val="24"/>
          <w:szCs w:val="24"/>
        </w:rPr>
      </w:pPr>
    </w:p>
    <w:p w:rsidR="002C4E4E" w:rsidRDefault="0000381E" w:rsidP="00E0358A">
      <w:pPr>
        <w:rPr>
          <w:sz w:val="24"/>
          <w:szCs w:val="24"/>
        </w:rPr>
      </w:pPr>
      <w:r>
        <w:rPr>
          <w:rFonts w:ascii="Times New Roman" w:hAnsi="Times New Roman" w:cs="Times New Roman"/>
          <w:sz w:val="24"/>
          <w:szCs w:val="24"/>
        </w:rPr>
        <w:lastRenderedPageBreak/>
        <w:t xml:space="preserve">               </w:t>
      </w:r>
      <w:r w:rsidR="002C4E4E" w:rsidRPr="0000381E">
        <w:rPr>
          <w:rFonts w:ascii="Times New Roman" w:hAnsi="Times New Roman" w:cs="Times New Roman"/>
          <w:sz w:val="24"/>
          <w:szCs w:val="24"/>
        </w:rPr>
        <w:t xml:space="preserve">Tabela </w:t>
      </w:r>
      <w:r w:rsidR="00FE1F1B">
        <w:rPr>
          <w:rFonts w:ascii="Times New Roman" w:hAnsi="Times New Roman" w:cs="Times New Roman"/>
          <w:sz w:val="24"/>
          <w:szCs w:val="24"/>
        </w:rPr>
        <w:t>79</w:t>
      </w:r>
      <w:r w:rsidRPr="0000381E">
        <w:rPr>
          <w:rFonts w:ascii="Times New Roman" w:eastAsia="Times New Roman" w:hAnsi="Times New Roman" w:cs="Times New Roman"/>
          <w:color w:val="000000"/>
          <w:sz w:val="24"/>
          <w:szCs w:val="24"/>
          <w:u w:color="000000"/>
          <w:lang w:val="sq-AL"/>
        </w:rPr>
        <w:t xml:space="preserve"> </w:t>
      </w:r>
      <w:r>
        <w:rPr>
          <w:rFonts w:ascii="Times New Roman" w:eastAsia="Times New Roman" w:hAnsi="Times New Roman" w:cs="Times New Roman"/>
          <w:color w:val="000000"/>
          <w:sz w:val="24"/>
          <w:szCs w:val="24"/>
          <w:u w:color="000000"/>
          <w:lang w:val="sq-AL"/>
        </w:rPr>
        <w:t>.</w:t>
      </w:r>
      <w:r w:rsidRPr="0000381E">
        <w:rPr>
          <w:rFonts w:ascii="Times New Roman" w:eastAsia="Times New Roman" w:hAnsi="Times New Roman" w:cs="Times New Roman"/>
          <w:color w:val="000000"/>
          <w:sz w:val="24"/>
          <w:szCs w:val="24"/>
          <w:u w:color="000000"/>
          <w:lang w:val="sq-AL"/>
        </w:rPr>
        <w:t>Treguesit e Udhërrëfyesit për Ekonominë Qarkulluese</w:t>
      </w:r>
    </w:p>
    <w:tbl>
      <w:tblPr>
        <w:tblStyle w:val="TableGrid"/>
        <w:tblW w:w="10710" w:type="dxa"/>
        <w:tblInd w:w="-522" w:type="dxa"/>
        <w:tblLook w:val="04A0" w:firstRow="1" w:lastRow="0" w:firstColumn="1" w:lastColumn="0" w:noHBand="0" w:noVBand="1"/>
      </w:tblPr>
      <w:tblGrid>
        <w:gridCol w:w="2274"/>
        <w:gridCol w:w="1927"/>
        <w:gridCol w:w="1601"/>
        <w:gridCol w:w="1571"/>
        <w:gridCol w:w="1738"/>
        <w:gridCol w:w="1599"/>
      </w:tblGrid>
      <w:tr w:rsidR="00DB739E" w:rsidTr="001D6570">
        <w:tc>
          <w:tcPr>
            <w:tcW w:w="2274" w:type="dxa"/>
          </w:tcPr>
          <w:p w:rsidR="00DB739E" w:rsidRPr="00004369" w:rsidRDefault="00DB739E" w:rsidP="00B63FAE">
            <w:pPr>
              <w:rPr>
                <w:rFonts w:ascii="Times New Roman" w:hAnsi="Times New Roman" w:cs="Times New Roman"/>
                <w:b/>
                <w:bCs/>
                <w:sz w:val="20"/>
                <w:szCs w:val="20"/>
                <w:lang w:val="en-GB"/>
              </w:rPr>
            </w:pPr>
            <w:r w:rsidRPr="00004369">
              <w:rPr>
                <w:rFonts w:ascii="Times New Roman" w:hAnsi="Times New Roman" w:cs="Times New Roman"/>
                <w:b/>
                <w:bCs/>
                <w:sz w:val="20"/>
                <w:szCs w:val="20"/>
                <w:lang w:val="en-GB"/>
              </w:rPr>
              <w:t>Treguesi</w:t>
            </w:r>
          </w:p>
        </w:tc>
        <w:tc>
          <w:tcPr>
            <w:tcW w:w="1927" w:type="dxa"/>
          </w:tcPr>
          <w:p w:rsidR="00DB739E" w:rsidRPr="00004369" w:rsidRDefault="00DB739E" w:rsidP="00B63FAE">
            <w:pPr>
              <w:rPr>
                <w:rFonts w:ascii="Times New Roman" w:hAnsi="Times New Roman" w:cs="Times New Roman"/>
                <w:b/>
                <w:bCs/>
                <w:sz w:val="20"/>
                <w:szCs w:val="20"/>
                <w:lang w:val="en-GB"/>
              </w:rPr>
            </w:pPr>
            <w:r w:rsidRPr="00004369">
              <w:rPr>
                <w:rFonts w:ascii="Times New Roman" w:hAnsi="Times New Roman" w:cs="Times New Roman"/>
                <w:b/>
                <w:bCs/>
                <w:sz w:val="20"/>
                <w:szCs w:val="20"/>
                <w:lang w:val="en-GB"/>
              </w:rPr>
              <w:t>Përshkrimi</w:t>
            </w:r>
          </w:p>
        </w:tc>
        <w:tc>
          <w:tcPr>
            <w:tcW w:w="1601" w:type="dxa"/>
          </w:tcPr>
          <w:p w:rsidR="00DB739E" w:rsidRPr="00004369" w:rsidRDefault="00DB739E" w:rsidP="00B63FAE">
            <w:pPr>
              <w:rPr>
                <w:rFonts w:ascii="Times New Roman" w:hAnsi="Times New Roman" w:cs="Times New Roman"/>
                <w:b/>
                <w:bCs/>
                <w:sz w:val="20"/>
                <w:szCs w:val="20"/>
                <w:lang w:val="en-GB"/>
              </w:rPr>
            </w:pPr>
            <w:r w:rsidRPr="00004369">
              <w:rPr>
                <w:rFonts w:ascii="Times New Roman" w:hAnsi="Times New Roman" w:cs="Times New Roman"/>
                <w:b/>
                <w:bCs/>
                <w:sz w:val="20"/>
                <w:szCs w:val="20"/>
                <w:lang w:val="en-GB"/>
              </w:rPr>
              <w:t>Lidhja me rekomandimin</w:t>
            </w:r>
          </w:p>
        </w:tc>
        <w:tc>
          <w:tcPr>
            <w:tcW w:w="1571" w:type="dxa"/>
          </w:tcPr>
          <w:p w:rsidR="00DB739E" w:rsidRPr="00004369" w:rsidRDefault="00DB739E" w:rsidP="00B63FAE">
            <w:pPr>
              <w:rPr>
                <w:rFonts w:ascii="Times New Roman" w:hAnsi="Times New Roman" w:cs="Times New Roman"/>
                <w:b/>
                <w:bCs/>
                <w:sz w:val="20"/>
                <w:szCs w:val="20"/>
                <w:lang w:val="en-GB"/>
              </w:rPr>
            </w:pPr>
            <w:r w:rsidRPr="00004369">
              <w:rPr>
                <w:rFonts w:ascii="Times New Roman" w:hAnsi="Times New Roman" w:cs="Times New Roman"/>
                <w:b/>
                <w:bCs/>
                <w:sz w:val="20"/>
                <w:szCs w:val="20"/>
                <w:lang w:val="en-GB"/>
              </w:rPr>
              <w:t>Burimi</w:t>
            </w:r>
          </w:p>
        </w:tc>
        <w:tc>
          <w:tcPr>
            <w:tcW w:w="1738" w:type="dxa"/>
          </w:tcPr>
          <w:p w:rsidR="00DB739E" w:rsidRPr="00004369" w:rsidRDefault="00DB739E" w:rsidP="00B63FAE">
            <w:pPr>
              <w:rPr>
                <w:rFonts w:ascii="Times New Roman" w:hAnsi="Times New Roman" w:cs="Times New Roman"/>
                <w:b/>
                <w:bCs/>
                <w:sz w:val="20"/>
                <w:szCs w:val="20"/>
                <w:lang w:val="es-ES"/>
              </w:rPr>
            </w:pPr>
            <w:r>
              <w:rPr>
                <w:rFonts w:ascii="Times New Roman" w:hAnsi="Times New Roman" w:cs="Times New Roman"/>
                <w:b/>
                <w:bCs/>
                <w:sz w:val="20"/>
                <w:szCs w:val="20"/>
                <w:lang w:val="es-ES"/>
              </w:rPr>
              <w:t xml:space="preserve">Vlera e treguesit – Të dhënat e </w:t>
            </w:r>
            <w:r w:rsidRPr="00004369">
              <w:rPr>
                <w:rFonts w:ascii="Times New Roman" w:hAnsi="Times New Roman" w:cs="Times New Roman"/>
                <w:b/>
                <w:bCs/>
                <w:sz w:val="20"/>
                <w:szCs w:val="20"/>
                <w:lang w:val="es-ES"/>
              </w:rPr>
              <w:t>disponueshme në shkurt 2024</w:t>
            </w:r>
          </w:p>
        </w:tc>
        <w:tc>
          <w:tcPr>
            <w:tcW w:w="1599" w:type="dxa"/>
          </w:tcPr>
          <w:p w:rsidR="00DB739E" w:rsidRPr="00004369" w:rsidRDefault="00DB739E" w:rsidP="00B63FAE">
            <w:pPr>
              <w:rPr>
                <w:rFonts w:ascii="Times New Roman" w:hAnsi="Times New Roman" w:cs="Times New Roman"/>
                <w:b/>
                <w:bCs/>
                <w:sz w:val="20"/>
                <w:szCs w:val="20"/>
                <w:lang w:val="en-GB"/>
              </w:rPr>
            </w:pPr>
            <w:r w:rsidRPr="00004369">
              <w:rPr>
                <w:rFonts w:ascii="Times New Roman" w:hAnsi="Times New Roman" w:cs="Times New Roman"/>
                <w:b/>
                <w:bCs/>
                <w:sz w:val="20"/>
                <w:szCs w:val="20"/>
                <w:lang w:val="en-GB"/>
              </w:rPr>
              <w:t>Gjendja në vitin 2025</w:t>
            </w:r>
          </w:p>
        </w:tc>
      </w:tr>
      <w:tr w:rsidR="00DB739E" w:rsidTr="001D6570">
        <w:tc>
          <w:tcPr>
            <w:tcW w:w="2274"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Të ardhurat tatimore ose kursimet e gjeneruara nga instrumentet fiskale të lidhura me ekonominë qarkulluese</w:t>
            </w:r>
          </w:p>
        </w:tc>
        <w:tc>
          <w:tcPr>
            <w:tcW w:w="1927"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Shuma (ALL)</w:t>
            </w:r>
          </w:p>
        </w:tc>
        <w:tc>
          <w:tcPr>
            <w:tcW w:w="160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Zbatohet për të gjitha rekomandimet që lidhen me instrumentet fiskale</w:t>
            </w:r>
          </w:p>
        </w:tc>
        <w:tc>
          <w:tcPr>
            <w:tcW w:w="1571" w:type="dxa"/>
          </w:tcPr>
          <w:p w:rsidR="00DB739E" w:rsidRPr="00004369" w:rsidRDefault="00DB739E" w:rsidP="00B63FAE">
            <w:pPr>
              <w:rPr>
                <w:rFonts w:ascii="Times New Roman" w:hAnsi="Times New Roman" w:cs="Times New Roman"/>
                <w:sz w:val="20"/>
                <w:szCs w:val="20"/>
                <w:lang w:val="es-ES"/>
              </w:rPr>
            </w:pPr>
            <w:r w:rsidRPr="00004369">
              <w:rPr>
                <w:rFonts w:ascii="Times New Roman" w:hAnsi="Times New Roman" w:cs="Times New Roman"/>
                <w:sz w:val="20"/>
                <w:szCs w:val="20"/>
                <w:lang w:val="es-ES"/>
              </w:rPr>
              <w:t>Të dhëna nga Ministria e Financave dhe Ekonomisë</w:t>
            </w:r>
          </w:p>
        </w:tc>
        <w:tc>
          <w:tcPr>
            <w:tcW w:w="1738" w:type="dxa"/>
          </w:tcPr>
          <w:p w:rsidR="00DB739E" w:rsidRPr="00004369" w:rsidRDefault="00DB739E" w:rsidP="00B63FAE">
            <w:pPr>
              <w:rPr>
                <w:rFonts w:ascii="Times New Roman" w:hAnsi="Times New Roman" w:cs="Times New Roman"/>
                <w:sz w:val="20"/>
                <w:szCs w:val="20"/>
                <w:lang w:val="es-ES"/>
              </w:rPr>
            </w:pPr>
            <w:r w:rsidRPr="00004369">
              <w:rPr>
                <w:rFonts w:ascii="Times New Roman" w:hAnsi="Times New Roman" w:cs="Times New Roman"/>
                <w:sz w:val="20"/>
                <w:szCs w:val="20"/>
                <w:lang w:val="es-ES"/>
              </w:rPr>
              <w:t>Nuk janë planifikuar të ardhura; kostot vlerësohen 29–44 milionë euro/vit dhe 456 milionë euro deri në vitin 2032 (RIA)</w:t>
            </w:r>
          </w:p>
        </w:tc>
        <w:tc>
          <w:tcPr>
            <w:tcW w:w="1599" w:type="dxa"/>
          </w:tcPr>
          <w:p w:rsidR="00DB739E" w:rsidRPr="00004369" w:rsidRDefault="00DB739E" w:rsidP="00B63FAE">
            <w:pPr>
              <w:rPr>
                <w:rFonts w:ascii="Times New Roman" w:hAnsi="Times New Roman" w:cs="Times New Roman"/>
                <w:sz w:val="20"/>
                <w:szCs w:val="20"/>
                <w:lang w:val="es-ES"/>
              </w:rPr>
            </w:pPr>
            <w:r w:rsidRPr="00004369">
              <w:rPr>
                <w:rFonts w:ascii="Times New Roman" w:hAnsi="Times New Roman" w:cs="Times New Roman"/>
                <w:sz w:val="20"/>
                <w:szCs w:val="20"/>
                <w:lang w:val="es-ES"/>
              </w:rPr>
              <w:t>Nuk janë zbatuar taksa të dedikuara për ekonominë qarkulluese.</w:t>
            </w:r>
          </w:p>
        </w:tc>
      </w:tr>
      <w:tr w:rsidR="00DB739E" w:rsidTr="001D6570">
        <w:tc>
          <w:tcPr>
            <w:tcW w:w="2274" w:type="dxa"/>
          </w:tcPr>
          <w:p w:rsidR="00DB739E" w:rsidRPr="00004369" w:rsidRDefault="00DB739E" w:rsidP="00B63FAE">
            <w:pPr>
              <w:rPr>
                <w:rFonts w:ascii="Times New Roman" w:hAnsi="Times New Roman" w:cs="Times New Roman"/>
                <w:sz w:val="20"/>
                <w:szCs w:val="20"/>
                <w:lang w:val="es-ES"/>
              </w:rPr>
            </w:pPr>
            <w:r w:rsidRPr="00004369">
              <w:rPr>
                <w:rFonts w:ascii="Times New Roman" w:hAnsi="Times New Roman" w:cs="Times New Roman"/>
                <w:sz w:val="20"/>
                <w:szCs w:val="20"/>
                <w:lang w:val="es-ES"/>
              </w:rPr>
              <w:t>Norma e rikuperimit të mbetjeve të ambalazheve</w:t>
            </w:r>
          </w:p>
        </w:tc>
        <w:tc>
          <w:tcPr>
            <w:tcW w:w="1927" w:type="dxa"/>
          </w:tcPr>
          <w:p w:rsidR="00DB739E" w:rsidRPr="00004369" w:rsidRDefault="00DB739E" w:rsidP="00B63FAE">
            <w:pPr>
              <w:rPr>
                <w:rFonts w:ascii="Times New Roman" w:hAnsi="Times New Roman" w:cs="Times New Roman"/>
                <w:sz w:val="20"/>
                <w:szCs w:val="20"/>
                <w:lang w:val="es-ES"/>
              </w:rPr>
            </w:pPr>
            <w:r w:rsidRPr="00004369">
              <w:rPr>
                <w:rFonts w:ascii="Times New Roman" w:hAnsi="Times New Roman" w:cs="Times New Roman"/>
                <w:sz w:val="20"/>
                <w:szCs w:val="20"/>
                <w:lang w:val="es-ES"/>
              </w:rPr>
              <w:t>Raporti i mbetjeve të ambalazheve të përgatitura për ripërdorim, ricikluara ose të rikuperuara materialisht ndaj sasisë së mbetjeve të gjeneruara (%)</w:t>
            </w:r>
          </w:p>
        </w:tc>
        <w:tc>
          <w:tcPr>
            <w:tcW w:w="1601" w:type="dxa"/>
          </w:tcPr>
          <w:p w:rsidR="00DB739E" w:rsidRPr="00004369" w:rsidRDefault="00DB739E" w:rsidP="00B63FAE">
            <w:pPr>
              <w:rPr>
                <w:rFonts w:ascii="Times New Roman" w:hAnsi="Times New Roman" w:cs="Times New Roman"/>
                <w:sz w:val="20"/>
                <w:szCs w:val="20"/>
                <w:lang w:val="es-ES"/>
              </w:rPr>
            </w:pPr>
          </w:p>
        </w:tc>
        <w:tc>
          <w:tcPr>
            <w:tcW w:w="157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INSTAT / AKEM</w:t>
            </w:r>
          </w:p>
        </w:tc>
        <w:tc>
          <w:tcPr>
            <w:tcW w:w="1738"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18.9% në vitin 2022</w:t>
            </w:r>
          </w:p>
        </w:tc>
        <w:tc>
          <w:tcPr>
            <w:tcW w:w="1599"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Nuk ka normë kombëtare të përditësuar për vitin 2025.</w:t>
            </w:r>
          </w:p>
        </w:tc>
      </w:tr>
      <w:tr w:rsidR="00DB739E" w:rsidTr="001D6570">
        <w:tc>
          <w:tcPr>
            <w:tcW w:w="2274"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Krijimi i një Fondi të Veçantë për Ekonominë Qarkulluese</w:t>
            </w:r>
          </w:p>
        </w:tc>
        <w:tc>
          <w:tcPr>
            <w:tcW w:w="1927"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Tregues specifik për monitorimin e krijimit të fondit (po/jo)</w:t>
            </w:r>
          </w:p>
        </w:tc>
        <w:tc>
          <w:tcPr>
            <w:tcW w:w="1601" w:type="dxa"/>
          </w:tcPr>
          <w:p w:rsidR="00DB739E" w:rsidRPr="00004369" w:rsidRDefault="00DB739E" w:rsidP="00B63FAE">
            <w:pPr>
              <w:rPr>
                <w:rFonts w:ascii="Times New Roman" w:hAnsi="Times New Roman" w:cs="Times New Roman"/>
                <w:sz w:val="20"/>
                <w:szCs w:val="20"/>
                <w:lang w:val="en-GB"/>
              </w:rPr>
            </w:pPr>
          </w:p>
        </w:tc>
        <w:tc>
          <w:tcPr>
            <w:tcW w:w="1571" w:type="dxa"/>
          </w:tcPr>
          <w:p w:rsidR="00DB739E" w:rsidRPr="00004369" w:rsidRDefault="00DB739E" w:rsidP="00B63FAE">
            <w:pPr>
              <w:rPr>
                <w:rFonts w:ascii="Times New Roman" w:hAnsi="Times New Roman" w:cs="Times New Roman"/>
                <w:sz w:val="20"/>
                <w:szCs w:val="20"/>
                <w:lang w:val="es-ES"/>
              </w:rPr>
            </w:pPr>
            <w:r w:rsidRPr="00004369">
              <w:rPr>
                <w:rFonts w:ascii="Times New Roman" w:hAnsi="Times New Roman" w:cs="Times New Roman"/>
                <w:sz w:val="20"/>
                <w:szCs w:val="20"/>
                <w:lang w:val="es-ES"/>
              </w:rPr>
              <w:t>Ministria e Turizmit dhe Mjedisit / Ministria e Financave dhe Ekonomisë</w:t>
            </w:r>
          </w:p>
        </w:tc>
        <w:tc>
          <w:tcPr>
            <w:tcW w:w="1738"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Jo</w:t>
            </w:r>
          </w:p>
        </w:tc>
        <w:tc>
          <w:tcPr>
            <w:tcW w:w="1599"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Nuk është krijuar fond i veçantë.</w:t>
            </w:r>
          </w:p>
        </w:tc>
      </w:tr>
      <w:tr w:rsidR="00DB739E" w:rsidTr="001D6570">
        <w:tc>
          <w:tcPr>
            <w:tcW w:w="2274"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Pjesa e të ardhurave të shpërndara për Fondin e Veçantë për Ekonominë Qarkulluese</w:t>
            </w:r>
          </w:p>
        </w:tc>
        <w:tc>
          <w:tcPr>
            <w:tcW w:w="1927"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Të ardhurat e mbledhura për zbatimin e ligjit për PZP (%; ALL)</w:t>
            </w:r>
          </w:p>
        </w:tc>
        <w:tc>
          <w:tcPr>
            <w:tcW w:w="160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Zbatimi efektiv i skemave të planifikuara të PZP-së</w:t>
            </w:r>
          </w:p>
        </w:tc>
        <w:tc>
          <w:tcPr>
            <w:tcW w:w="1571" w:type="dxa"/>
          </w:tcPr>
          <w:p w:rsidR="00DB739E" w:rsidRPr="00004369" w:rsidRDefault="00DB739E" w:rsidP="00B63FAE">
            <w:pPr>
              <w:rPr>
                <w:rFonts w:ascii="Times New Roman" w:hAnsi="Times New Roman" w:cs="Times New Roman"/>
                <w:sz w:val="20"/>
                <w:szCs w:val="20"/>
                <w:lang w:val="es-ES"/>
              </w:rPr>
            </w:pPr>
            <w:r w:rsidRPr="00004369">
              <w:rPr>
                <w:rFonts w:ascii="Times New Roman" w:hAnsi="Times New Roman" w:cs="Times New Roman"/>
                <w:sz w:val="20"/>
                <w:szCs w:val="20"/>
                <w:lang w:val="es-ES"/>
              </w:rPr>
              <w:t>Ministria e Turizmit dhe Mjedisit / Ministria e Financave dhe Ekonomisë</w:t>
            </w:r>
          </w:p>
        </w:tc>
        <w:tc>
          <w:tcPr>
            <w:tcW w:w="1738"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Jo</w:t>
            </w:r>
          </w:p>
        </w:tc>
        <w:tc>
          <w:tcPr>
            <w:tcW w:w="1599"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Nuk zbatohet. Nuk janë gjeneruar të ardhura. Nuk është ngritur sistem i kthimit të depozitës.</w:t>
            </w:r>
          </w:p>
        </w:tc>
      </w:tr>
      <w:tr w:rsidR="00DB739E" w:rsidTr="001D6570">
        <w:tc>
          <w:tcPr>
            <w:tcW w:w="2274"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Krijimi i një programi për mbështetjen e skemave të kreditimit për ripërdorim dhe riciklim</w:t>
            </w:r>
          </w:p>
        </w:tc>
        <w:tc>
          <w:tcPr>
            <w:tcW w:w="1927"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Tregues specifik për monitorimin e krijimit të programit (po/jo)</w:t>
            </w:r>
          </w:p>
        </w:tc>
        <w:tc>
          <w:tcPr>
            <w:tcW w:w="160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Vendosja e skemave të kreditimit për riciklim dhe ripërdorim</w:t>
            </w:r>
          </w:p>
        </w:tc>
        <w:tc>
          <w:tcPr>
            <w:tcW w:w="157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Ministria e Financave; bashkitë</w:t>
            </w:r>
          </w:p>
        </w:tc>
        <w:tc>
          <w:tcPr>
            <w:tcW w:w="1738"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Jo</w:t>
            </w:r>
          </w:p>
        </w:tc>
        <w:tc>
          <w:tcPr>
            <w:tcW w:w="1599"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Nuk është krijuar.</w:t>
            </w:r>
          </w:p>
        </w:tc>
      </w:tr>
      <w:tr w:rsidR="00DB739E" w:rsidTr="001D6570">
        <w:tc>
          <w:tcPr>
            <w:tcW w:w="2274"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Vendgrumbullimet e paligjshme te mbetjeve</w:t>
            </w:r>
          </w:p>
        </w:tc>
        <w:tc>
          <w:tcPr>
            <w:tcW w:w="1927"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Ndryshimi i numrit të vendgrumbullimeve të paligjshme dhe sasisë së mbetjeve të hedhura në mënyrë të paligjshme (m³)</w:t>
            </w:r>
          </w:p>
        </w:tc>
        <w:tc>
          <w:tcPr>
            <w:tcW w:w="1601" w:type="dxa"/>
          </w:tcPr>
          <w:p w:rsidR="00DB739E" w:rsidRPr="00004369" w:rsidRDefault="00DB739E" w:rsidP="00B63FAE">
            <w:pPr>
              <w:rPr>
                <w:rFonts w:ascii="Times New Roman" w:hAnsi="Times New Roman" w:cs="Times New Roman"/>
                <w:sz w:val="20"/>
                <w:szCs w:val="20"/>
                <w:lang w:val="en-GB"/>
              </w:rPr>
            </w:pPr>
          </w:p>
        </w:tc>
        <w:tc>
          <w:tcPr>
            <w:tcW w:w="157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INSTAT</w:t>
            </w:r>
          </w:p>
        </w:tc>
        <w:tc>
          <w:tcPr>
            <w:tcW w:w="1738"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n/a</w:t>
            </w:r>
          </w:p>
        </w:tc>
        <w:tc>
          <w:tcPr>
            <w:tcW w:w="1599"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Monitorimi ka vazhduar. Nuk ka tregues kombëtar të konsoliduar.</w:t>
            </w:r>
          </w:p>
        </w:tc>
      </w:tr>
      <w:tr w:rsidR="00DB739E" w:rsidTr="001D6570">
        <w:tc>
          <w:tcPr>
            <w:tcW w:w="2274"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Të ardhurat nga taksa e landfillit</w:t>
            </w:r>
          </w:p>
        </w:tc>
        <w:tc>
          <w:tcPr>
            <w:tcW w:w="1927"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Shuma (ALL)</w:t>
            </w:r>
          </w:p>
        </w:tc>
        <w:tc>
          <w:tcPr>
            <w:tcW w:w="160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Zbatimi i zbritjeve të taksës së landfillit për ndarje të mirë dhe nivele të larta riciklimi</w:t>
            </w:r>
          </w:p>
        </w:tc>
        <w:tc>
          <w:tcPr>
            <w:tcW w:w="1571" w:type="dxa"/>
          </w:tcPr>
          <w:p w:rsidR="00DB739E" w:rsidRPr="00004369" w:rsidRDefault="00DB739E" w:rsidP="00B63FAE">
            <w:pPr>
              <w:rPr>
                <w:rFonts w:ascii="Times New Roman" w:hAnsi="Times New Roman" w:cs="Times New Roman"/>
                <w:sz w:val="20"/>
                <w:szCs w:val="20"/>
                <w:lang w:val="es-ES"/>
              </w:rPr>
            </w:pPr>
            <w:r w:rsidRPr="00004369">
              <w:rPr>
                <w:rFonts w:ascii="Times New Roman" w:hAnsi="Times New Roman" w:cs="Times New Roman"/>
                <w:sz w:val="20"/>
                <w:szCs w:val="20"/>
                <w:lang w:val="es-ES"/>
              </w:rPr>
              <w:t>Ministria e Financave dhe Ekonomisë</w:t>
            </w:r>
          </w:p>
        </w:tc>
        <w:tc>
          <w:tcPr>
            <w:tcW w:w="1738"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Nuk ekziston taksë landfilli me zbritje</w:t>
            </w:r>
          </w:p>
        </w:tc>
        <w:tc>
          <w:tcPr>
            <w:tcW w:w="1599" w:type="dxa"/>
          </w:tcPr>
          <w:p w:rsidR="00DB739E" w:rsidRPr="00004369" w:rsidRDefault="00DB739E" w:rsidP="00B63FAE">
            <w:pPr>
              <w:rPr>
                <w:rFonts w:ascii="Times New Roman" w:hAnsi="Times New Roman" w:cs="Times New Roman"/>
                <w:sz w:val="20"/>
                <w:szCs w:val="20"/>
                <w:lang w:val="es-ES"/>
              </w:rPr>
            </w:pPr>
            <w:r w:rsidRPr="00004369">
              <w:rPr>
                <w:rFonts w:ascii="Times New Roman" w:hAnsi="Times New Roman" w:cs="Times New Roman"/>
                <w:sz w:val="20"/>
                <w:szCs w:val="20"/>
                <w:lang w:val="es-ES"/>
              </w:rPr>
              <w:t>Nuk është futur taksa e landfillit apo tarifimi i diferencuar.</w:t>
            </w:r>
          </w:p>
        </w:tc>
      </w:tr>
      <w:tr w:rsidR="00DB739E" w:rsidTr="001D6570">
        <w:tc>
          <w:tcPr>
            <w:tcW w:w="2274"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lastRenderedPageBreak/>
              <w:t>Mbulimi i shërbimit të grumbullimit të mbetjeve</w:t>
            </w:r>
          </w:p>
        </w:tc>
        <w:tc>
          <w:tcPr>
            <w:tcW w:w="1927"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Pjesa e familjeve që kanë akses në një shërbim të besueshëm grumbullimi</w:t>
            </w:r>
          </w:p>
        </w:tc>
        <w:tc>
          <w:tcPr>
            <w:tcW w:w="160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Reformimi i tarifave familjare dhe promovimi i skemave "paguaj sipas sasisë që hedh"</w:t>
            </w:r>
          </w:p>
        </w:tc>
        <w:tc>
          <w:tcPr>
            <w:tcW w:w="157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Ministria e Turizmit dhe Mjedisit; bashkitë</w:t>
            </w:r>
          </w:p>
        </w:tc>
        <w:tc>
          <w:tcPr>
            <w:tcW w:w="1738"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89.2%</w:t>
            </w:r>
          </w:p>
        </w:tc>
        <w:tc>
          <w:tcPr>
            <w:tcW w:w="1599"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Shërbimi është përmirësuar në disa bashki; mbulimi kombëtar tejkalon 92%, ndërsa disa bashki kanë arritur mbulim të plotë.</w:t>
            </w:r>
          </w:p>
        </w:tc>
      </w:tr>
      <w:tr w:rsidR="00DB739E" w:rsidTr="001D6570">
        <w:tc>
          <w:tcPr>
            <w:tcW w:w="2274"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Fushata ndërgjegjësuese për tarifat e mbetjeve</w:t>
            </w:r>
          </w:p>
        </w:tc>
        <w:tc>
          <w:tcPr>
            <w:tcW w:w="1927"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Monitorimi i zbatimit të iniciativave të ndërgjegjësimit publik</w:t>
            </w:r>
          </w:p>
        </w:tc>
        <w:tc>
          <w:tcPr>
            <w:tcW w:w="1601" w:type="dxa"/>
          </w:tcPr>
          <w:p w:rsidR="00DB739E" w:rsidRPr="00004369" w:rsidRDefault="00DB739E" w:rsidP="00B63FAE">
            <w:pPr>
              <w:rPr>
                <w:rFonts w:ascii="Times New Roman" w:hAnsi="Times New Roman" w:cs="Times New Roman"/>
                <w:sz w:val="20"/>
                <w:szCs w:val="20"/>
                <w:lang w:val="en-GB"/>
              </w:rPr>
            </w:pPr>
          </w:p>
        </w:tc>
        <w:tc>
          <w:tcPr>
            <w:tcW w:w="157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Ministria e Turizmit dhe Mjedisit; bashkitë</w:t>
            </w:r>
          </w:p>
        </w:tc>
        <w:tc>
          <w:tcPr>
            <w:tcW w:w="1738"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Fushatat vazhduan përmes projekteve ndërkombëtare dhe nismave vendore</w:t>
            </w:r>
          </w:p>
        </w:tc>
        <w:tc>
          <w:tcPr>
            <w:tcW w:w="1599"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Fushatat vazhduan përmes projekteve ndërkombëtare dhe nismave vendore.</w:t>
            </w:r>
          </w:p>
        </w:tc>
      </w:tr>
      <w:tr w:rsidR="00DB739E" w:rsidTr="001D6570">
        <w:tc>
          <w:tcPr>
            <w:tcW w:w="2274"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Gjenerimi i mbetjeve</w:t>
            </w:r>
          </w:p>
        </w:tc>
        <w:tc>
          <w:tcPr>
            <w:tcW w:w="1927"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Gjenerimi i mbetjeve urbane për frymë (kg/banor); gjenerimi i mbetjeve për njësi GDP</w:t>
            </w:r>
          </w:p>
        </w:tc>
        <w:tc>
          <w:tcPr>
            <w:tcW w:w="1601" w:type="dxa"/>
          </w:tcPr>
          <w:p w:rsidR="00DB739E" w:rsidRPr="00004369" w:rsidRDefault="00DB739E" w:rsidP="00B63FAE">
            <w:pPr>
              <w:rPr>
                <w:rFonts w:ascii="Times New Roman" w:hAnsi="Times New Roman" w:cs="Times New Roman"/>
                <w:sz w:val="20"/>
                <w:szCs w:val="20"/>
                <w:lang w:val="en-GB"/>
              </w:rPr>
            </w:pPr>
          </w:p>
        </w:tc>
        <w:tc>
          <w:tcPr>
            <w:tcW w:w="157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INSTAT</w:t>
            </w:r>
          </w:p>
        </w:tc>
        <w:tc>
          <w:tcPr>
            <w:tcW w:w="1738"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261 kg/banor/vit</w:t>
            </w:r>
          </w:p>
        </w:tc>
        <w:tc>
          <w:tcPr>
            <w:tcW w:w="1599"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Rreth 209 kg/banor/vit sipas të dhënave të raportuara për vitin 2025.</w:t>
            </w:r>
          </w:p>
        </w:tc>
      </w:tr>
      <w:tr w:rsidR="00DB739E" w:rsidTr="001D6570">
        <w:tc>
          <w:tcPr>
            <w:tcW w:w="2274"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Grumbullimi i ndarë</w:t>
            </w:r>
          </w:p>
        </w:tc>
        <w:tc>
          <w:tcPr>
            <w:tcW w:w="1927"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Pjesa e mbetjeve urbane të mbledhura veçmas ndaj totalit (%)</w:t>
            </w:r>
          </w:p>
        </w:tc>
        <w:tc>
          <w:tcPr>
            <w:tcW w:w="1601" w:type="dxa"/>
          </w:tcPr>
          <w:p w:rsidR="00DB739E" w:rsidRPr="00004369" w:rsidRDefault="00DB739E" w:rsidP="00B63FAE">
            <w:pPr>
              <w:rPr>
                <w:rFonts w:ascii="Times New Roman" w:hAnsi="Times New Roman" w:cs="Times New Roman"/>
                <w:sz w:val="20"/>
                <w:szCs w:val="20"/>
                <w:lang w:val="en-GB"/>
              </w:rPr>
            </w:pPr>
          </w:p>
        </w:tc>
        <w:tc>
          <w:tcPr>
            <w:tcW w:w="157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INSTAT</w:t>
            </w:r>
          </w:p>
        </w:tc>
        <w:tc>
          <w:tcPr>
            <w:tcW w:w="1738"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25.2%</w:t>
            </w:r>
          </w:p>
        </w:tc>
        <w:tc>
          <w:tcPr>
            <w:tcW w:w="1599" w:type="dxa"/>
          </w:tcPr>
          <w:p w:rsidR="00DB739E" w:rsidRPr="00004369" w:rsidRDefault="00DB739E" w:rsidP="00B63FAE">
            <w:pPr>
              <w:rPr>
                <w:rFonts w:ascii="Times New Roman" w:hAnsi="Times New Roman" w:cs="Times New Roman"/>
                <w:sz w:val="20"/>
                <w:szCs w:val="20"/>
                <w:lang w:val="de-DE"/>
              </w:rPr>
            </w:pPr>
            <w:r w:rsidRPr="00004369">
              <w:rPr>
                <w:rFonts w:ascii="Times New Roman" w:hAnsi="Times New Roman" w:cs="Times New Roman"/>
                <w:sz w:val="20"/>
                <w:szCs w:val="20"/>
                <w:lang w:val="en-GB"/>
              </w:rPr>
              <w:t xml:space="preserve">Grumbullimi i ndarë është zgjeruar në bashkitë pilot. </w:t>
            </w:r>
            <w:r w:rsidRPr="00004369">
              <w:rPr>
                <w:rFonts w:ascii="Times New Roman" w:hAnsi="Times New Roman" w:cs="Times New Roman"/>
                <w:sz w:val="20"/>
                <w:szCs w:val="20"/>
                <w:lang w:val="de-DE"/>
              </w:rPr>
              <w:t>Performanca kombëtare mbetet e kufizuar.</w:t>
            </w:r>
          </w:p>
        </w:tc>
      </w:tr>
      <w:tr w:rsidR="00DB739E" w:rsidTr="001D6570">
        <w:tc>
          <w:tcPr>
            <w:tcW w:w="2274"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Përdorimi i kompostimit në shtëpi</w:t>
            </w:r>
          </w:p>
        </w:tc>
        <w:tc>
          <w:tcPr>
            <w:tcW w:w="1927" w:type="dxa"/>
          </w:tcPr>
          <w:p w:rsidR="00DB739E" w:rsidRPr="00004369" w:rsidRDefault="00DB739E" w:rsidP="00B63FAE">
            <w:pPr>
              <w:rPr>
                <w:rFonts w:ascii="Times New Roman" w:hAnsi="Times New Roman" w:cs="Times New Roman"/>
                <w:sz w:val="20"/>
                <w:szCs w:val="20"/>
                <w:lang w:val="de-DE"/>
              </w:rPr>
            </w:pPr>
            <w:r w:rsidRPr="00004369">
              <w:rPr>
                <w:rFonts w:ascii="Times New Roman" w:hAnsi="Times New Roman" w:cs="Times New Roman"/>
                <w:sz w:val="20"/>
                <w:szCs w:val="20"/>
                <w:lang w:val="de-DE"/>
              </w:rPr>
              <w:t>Mat shkallën e kompostimit familjar</w:t>
            </w:r>
          </w:p>
        </w:tc>
        <w:tc>
          <w:tcPr>
            <w:tcW w:w="1601" w:type="dxa"/>
          </w:tcPr>
          <w:p w:rsidR="00DB739E" w:rsidRPr="00004369" w:rsidRDefault="00DB739E" w:rsidP="00B63FAE">
            <w:pPr>
              <w:rPr>
                <w:rFonts w:ascii="Times New Roman" w:hAnsi="Times New Roman" w:cs="Times New Roman"/>
                <w:sz w:val="20"/>
                <w:szCs w:val="20"/>
                <w:lang w:val="de-DE"/>
              </w:rPr>
            </w:pPr>
          </w:p>
        </w:tc>
        <w:tc>
          <w:tcPr>
            <w:tcW w:w="157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Bashkitë</w:t>
            </w:r>
          </w:p>
        </w:tc>
        <w:tc>
          <w:tcPr>
            <w:tcW w:w="1738"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n/a</w:t>
            </w:r>
          </w:p>
        </w:tc>
        <w:tc>
          <w:tcPr>
            <w:tcW w:w="1599" w:type="dxa"/>
          </w:tcPr>
          <w:p w:rsidR="00DB739E" w:rsidRPr="00004369" w:rsidRDefault="00DB739E" w:rsidP="00B63FAE">
            <w:pPr>
              <w:rPr>
                <w:rFonts w:ascii="Times New Roman" w:hAnsi="Times New Roman" w:cs="Times New Roman"/>
                <w:sz w:val="20"/>
                <w:szCs w:val="20"/>
                <w:lang w:val="de-DE"/>
              </w:rPr>
            </w:pPr>
            <w:r w:rsidRPr="00004369">
              <w:rPr>
                <w:rFonts w:ascii="Times New Roman" w:hAnsi="Times New Roman" w:cs="Times New Roman"/>
                <w:sz w:val="20"/>
                <w:szCs w:val="20"/>
                <w:lang w:val="de-DE"/>
              </w:rPr>
              <w:t>Ende nuk ka të dhëna.</w:t>
            </w:r>
          </w:p>
        </w:tc>
      </w:tr>
      <w:tr w:rsidR="00DB739E" w:rsidTr="001D6570">
        <w:tc>
          <w:tcPr>
            <w:tcW w:w="2274" w:type="dxa"/>
          </w:tcPr>
          <w:p w:rsidR="00DB739E" w:rsidRPr="00004369" w:rsidRDefault="00DB739E" w:rsidP="00B63FAE">
            <w:pPr>
              <w:rPr>
                <w:rFonts w:ascii="Times New Roman" w:hAnsi="Times New Roman" w:cs="Times New Roman"/>
                <w:sz w:val="20"/>
                <w:szCs w:val="20"/>
                <w:lang w:val="de-DE"/>
              </w:rPr>
            </w:pPr>
            <w:r w:rsidRPr="00004369">
              <w:rPr>
                <w:rFonts w:ascii="Times New Roman" w:hAnsi="Times New Roman" w:cs="Times New Roman"/>
                <w:sz w:val="20"/>
                <w:szCs w:val="20"/>
                <w:lang w:val="de-DE"/>
              </w:rPr>
              <w:t>Të ardhurat tatimore të dedikuara për mbulimin e kostove mjedisore gjatë kulmit të turizmit</w:t>
            </w:r>
          </w:p>
        </w:tc>
        <w:tc>
          <w:tcPr>
            <w:tcW w:w="1927" w:type="dxa"/>
          </w:tcPr>
          <w:p w:rsidR="00DB739E" w:rsidRPr="00004369" w:rsidRDefault="00DB739E" w:rsidP="00B63FAE">
            <w:pPr>
              <w:rPr>
                <w:rFonts w:ascii="Times New Roman" w:hAnsi="Times New Roman" w:cs="Times New Roman"/>
                <w:sz w:val="20"/>
                <w:szCs w:val="20"/>
                <w:lang w:val="de-DE"/>
              </w:rPr>
            </w:pPr>
            <w:r w:rsidRPr="00004369">
              <w:rPr>
                <w:rFonts w:ascii="Times New Roman" w:hAnsi="Times New Roman" w:cs="Times New Roman"/>
                <w:sz w:val="20"/>
                <w:szCs w:val="20"/>
                <w:lang w:val="de-DE"/>
              </w:rPr>
              <w:t>Pjesa e të ardhurave që mbulon kostot shtesë mjedisore</w:t>
            </w:r>
          </w:p>
        </w:tc>
        <w:tc>
          <w:tcPr>
            <w:tcW w:w="1601" w:type="dxa"/>
          </w:tcPr>
          <w:p w:rsidR="00DB739E" w:rsidRPr="00004369" w:rsidRDefault="00DB739E" w:rsidP="00B63FAE">
            <w:pPr>
              <w:rPr>
                <w:rFonts w:ascii="Times New Roman" w:hAnsi="Times New Roman" w:cs="Times New Roman"/>
                <w:sz w:val="20"/>
                <w:szCs w:val="20"/>
                <w:lang w:val="es-ES"/>
              </w:rPr>
            </w:pPr>
            <w:r w:rsidRPr="00004369">
              <w:rPr>
                <w:rFonts w:ascii="Times New Roman" w:hAnsi="Times New Roman" w:cs="Times New Roman"/>
                <w:sz w:val="20"/>
                <w:szCs w:val="20"/>
                <w:lang w:val="es-ES"/>
              </w:rPr>
              <w:t>Vendosja e një takse turistike</w:t>
            </w:r>
          </w:p>
        </w:tc>
        <w:tc>
          <w:tcPr>
            <w:tcW w:w="157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Bashkitë</w:t>
            </w:r>
          </w:p>
        </w:tc>
        <w:tc>
          <w:tcPr>
            <w:tcW w:w="1738"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456 milionë euro deri në vitin 2032</w:t>
            </w:r>
          </w:p>
        </w:tc>
        <w:tc>
          <w:tcPr>
            <w:tcW w:w="1599"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Taksa turistike ekziston, por nuk ka të dhëna të sakta dhe të ardhurat nuk janë të dedikuara posaçërisht për kostot mjedisore.</w:t>
            </w:r>
          </w:p>
        </w:tc>
      </w:tr>
      <w:tr w:rsidR="00DB739E" w:rsidTr="001D6570">
        <w:tc>
          <w:tcPr>
            <w:tcW w:w="2274" w:type="dxa"/>
          </w:tcPr>
          <w:p w:rsidR="00DB739E" w:rsidRPr="00004369" w:rsidRDefault="00DB739E" w:rsidP="00B63FAE">
            <w:pPr>
              <w:rPr>
                <w:rFonts w:ascii="Times New Roman" w:hAnsi="Times New Roman" w:cs="Times New Roman"/>
                <w:sz w:val="20"/>
                <w:szCs w:val="20"/>
                <w:lang w:val="es-ES"/>
              </w:rPr>
            </w:pPr>
            <w:r w:rsidRPr="00004369">
              <w:rPr>
                <w:rFonts w:ascii="Times New Roman" w:hAnsi="Times New Roman" w:cs="Times New Roman"/>
                <w:sz w:val="20"/>
                <w:szCs w:val="20"/>
                <w:lang w:val="es-ES"/>
              </w:rPr>
              <w:t>Nxjerrja vendase e lëndëve të para</w:t>
            </w:r>
          </w:p>
        </w:tc>
        <w:tc>
          <w:tcPr>
            <w:tcW w:w="1927"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Mijë ton</w:t>
            </w:r>
          </w:p>
        </w:tc>
        <w:tc>
          <w:tcPr>
            <w:tcW w:w="1601" w:type="dxa"/>
          </w:tcPr>
          <w:p w:rsidR="00DB739E" w:rsidRPr="00004369" w:rsidRDefault="00DB739E" w:rsidP="00B63FAE">
            <w:pPr>
              <w:rPr>
                <w:rFonts w:ascii="Times New Roman" w:hAnsi="Times New Roman" w:cs="Times New Roman"/>
                <w:sz w:val="20"/>
                <w:szCs w:val="20"/>
                <w:lang w:val="es-ES"/>
              </w:rPr>
            </w:pPr>
            <w:r w:rsidRPr="00004369">
              <w:rPr>
                <w:rFonts w:ascii="Times New Roman" w:hAnsi="Times New Roman" w:cs="Times New Roman"/>
                <w:sz w:val="20"/>
                <w:szCs w:val="20"/>
                <w:lang w:val="es-ES"/>
              </w:rPr>
              <w:t>Vendosja e taksave për materialet e nxjerra</w:t>
            </w:r>
          </w:p>
        </w:tc>
        <w:tc>
          <w:tcPr>
            <w:tcW w:w="157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INSTAT</w:t>
            </w:r>
          </w:p>
        </w:tc>
        <w:tc>
          <w:tcPr>
            <w:tcW w:w="1738"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Të dhënat nuk janë të disponueshme</w:t>
            </w:r>
          </w:p>
        </w:tc>
        <w:tc>
          <w:tcPr>
            <w:tcW w:w="1599"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Të dhënat nuk janë të disponueshme.</w:t>
            </w:r>
          </w:p>
        </w:tc>
      </w:tr>
      <w:tr w:rsidR="00DB739E" w:rsidTr="001D6570">
        <w:tc>
          <w:tcPr>
            <w:tcW w:w="2274" w:type="dxa"/>
          </w:tcPr>
          <w:p w:rsidR="00DB739E" w:rsidRPr="00004369" w:rsidRDefault="00DB739E" w:rsidP="00B63FAE">
            <w:pPr>
              <w:rPr>
                <w:rFonts w:ascii="Times New Roman" w:hAnsi="Times New Roman" w:cs="Times New Roman"/>
                <w:sz w:val="20"/>
                <w:szCs w:val="20"/>
                <w:lang w:val="es-ES"/>
              </w:rPr>
            </w:pPr>
            <w:r w:rsidRPr="00004369">
              <w:rPr>
                <w:rFonts w:ascii="Times New Roman" w:hAnsi="Times New Roman" w:cs="Times New Roman"/>
                <w:sz w:val="20"/>
                <w:szCs w:val="20"/>
                <w:lang w:val="es-ES"/>
              </w:rPr>
              <w:t>Konsumi vendas i materialeve të para</w:t>
            </w:r>
          </w:p>
        </w:tc>
        <w:tc>
          <w:tcPr>
            <w:tcW w:w="1927" w:type="dxa"/>
          </w:tcPr>
          <w:p w:rsidR="00DB739E" w:rsidRPr="00004369" w:rsidRDefault="00DB739E" w:rsidP="00B63FAE">
            <w:pPr>
              <w:rPr>
                <w:rFonts w:ascii="Times New Roman" w:hAnsi="Times New Roman" w:cs="Times New Roman"/>
                <w:sz w:val="20"/>
                <w:szCs w:val="20"/>
                <w:lang w:val="es-ES"/>
              </w:rPr>
            </w:pPr>
            <w:r w:rsidRPr="00004369">
              <w:rPr>
                <w:rFonts w:ascii="Times New Roman" w:hAnsi="Times New Roman" w:cs="Times New Roman"/>
                <w:sz w:val="20"/>
                <w:szCs w:val="20"/>
                <w:lang w:val="es-ES"/>
              </w:rPr>
              <w:t>Sasia e materialeve të virgjëra të përdorura nga ekonomia (mijë ton)</w:t>
            </w:r>
          </w:p>
        </w:tc>
        <w:tc>
          <w:tcPr>
            <w:tcW w:w="1601" w:type="dxa"/>
          </w:tcPr>
          <w:p w:rsidR="00DB739E" w:rsidRPr="00004369" w:rsidRDefault="00DB739E" w:rsidP="00B63FAE">
            <w:pPr>
              <w:rPr>
                <w:rFonts w:ascii="Times New Roman" w:hAnsi="Times New Roman" w:cs="Times New Roman"/>
                <w:sz w:val="20"/>
                <w:szCs w:val="20"/>
                <w:lang w:val="es-ES"/>
              </w:rPr>
            </w:pPr>
          </w:p>
        </w:tc>
        <w:tc>
          <w:tcPr>
            <w:tcW w:w="157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INSTAT</w:t>
            </w:r>
          </w:p>
        </w:tc>
        <w:tc>
          <w:tcPr>
            <w:tcW w:w="1738"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Të dhënat nuk janë të disponueshme</w:t>
            </w:r>
          </w:p>
        </w:tc>
        <w:tc>
          <w:tcPr>
            <w:tcW w:w="1599"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Të dhënat nuk janë të disponueshme.</w:t>
            </w:r>
          </w:p>
        </w:tc>
      </w:tr>
      <w:tr w:rsidR="00DB739E" w:rsidTr="001D6570">
        <w:tc>
          <w:tcPr>
            <w:tcW w:w="2274"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Prokurimi publik i gjelbër</w:t>
            </w:r>
          </w:p>
        </w:tc>
        <w:tc>
          <w:tcPr>
            <w:tcW w:w="1927"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Pesha e kontratave të gjelbra në vëllim dhe vlerë (%)</w:t>
            </w:r>
          </w:p>
        </w:tc>
        <w:tc>
          <w:tcPr>
            <w:tcW w:w="1601" w:type="dxa"/>
          </w:tcPr>
          <w:p w:rsidR="00DB739E" w:rsidRPr="00004369" w:rsidRDefault="00DB739E" w:rsidP="00B63FAE">
            <w:pPr>
              <w:rPr>
                <w:rFonts w:ascii="Times New Roman" w:hAnsi="Times New Roman" w:cs="Times New Roman"/>
                <w:sz w:val="20"/>
                <w:szCs w:val="20"/>
                <w:lang w:val="de-DE"/>
              </w:rPr>
            </w:pPr>
            <w:r w:rsidRPr="00004369">
              <w:rPr>
                <w:rFonts w:ascii="Times New Roman" w:hAnsi="Times New Roman" w:cs="Times New Roman"/>
                <w:sz w:val="20"/>
                <w:szCs w:val="20"/>
                <w:lang w:val="de-DE"/>
              </w:rPr>
              <w:t>Futja e prokurimit publik të gjelbër</w:t>
            </w:r>
          </w:p>
        </w:tc>
        <w:tc>
          <w:tcPr>
            <w:tcW w:w="157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Agjencia e Prokurimit Publik</w:t>
            </w:r>
          </w:p>
        </w:tc>
        <w:tc>
          <w:tcPr>
            <w:tcW w:w="1738"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n/a</w:t>
            </w:r>
          </w:p>
        </w:tc>
        <w:tc>
          <w:tcPr>
            <w:tcW w:w="1599"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Nuk ka tregues kombëtar të disponueshëm.</w:t>
            </w:r>
          </w:p>
        </w:tc>
      </w:tr>
      <w:tr w:rsidR="00DB739E" w:rsidTr="001D6570">
        <w:tc>
          <w:tcPr>
            <w:tcW w:w="2274"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lastRenderedPageBreak/>
              <w:t>Produktet/shërbimet që mbulohen nga kriteret minimale të përmbajtjes së ricikluar</w:t>
            </w:r>
          </w:p>
        </w:tc>
        <w:tc>
          <w:tcPr>
            <w:tcW w:w="1927"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Numri</w:t>
            </w:r>
          </w:p>
        </w:tc>
        <w:tc>
          <w:tcPr>
            <w:tcW w:w="160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Futja e kërkesave minimale për përmbajtje të ricikluar</w:t>
            </w:r>
          </w:p>
        </w:tc>
        <w:tc>
          <w:tcPr>
            <w:tcW w:w="1571"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Agjencia e Prokurimit Publik</w:t>
            </w:r>
          </w:p>
        </w:tc>
        <w:tc>
          <w:tcPr>
            <w:tcW w:w="1738"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n/a</w:t>
            </w:r>
          </w:p>
        </w:tc>
        <w:tc>
          <w:tcPr>
            <w:tcW w:w="1599" w:type="dxa"/>
          </w:tcPr>
          <w:p w:rsidR="00DB739E" w:rsidRPr="00004369" w:rsidRDefault="00DB739E" w:rsidP="00B63FAE">
            <w:pPr>
              <w:rPr>
                <w:rFonts w:ascii="Times New Roman" w:hAnsi="Times New Roman" w:cs="Times New Roman"/>
                <w:sz w:val="20"/>
                <w:szCs w:val="20"/>
                <w:lang w:val="en-GB"/>
              </w:rPr>
            </w:pPr>
            <w:r w:rsidRPr="00004369">
              <w:rPr>
                <w:rFonts w:ascii="Times New Roman" w:hAnsi="Times New Roman" w:cs="Times New Roman"/>
                <w:sz w:val="20"/>
                <w:szCs w:val="20"/>
                <w:lang w:val="en-GB"/>
              </w:rPr>
              <w:t>n/a</w:t>
            </w:r>
          </w:p>
        </w:tc>
      </w:tr>
      <w:tr w:rsidR="00344797" w:rsidTr="00FB3CBF">
        <w:tc>
          <w:tcPr>
            <w:tcW w:w="10710" w:type="dxa"/>
            <w:gridSpan w:val="6"/>
          </w:tcPr>
          <w:p w:rsidR="00344797" w:rsidRPr="00344797" w:rsidRDefault="00344797" w:rsidP="00344797">
            <w:pPr>
              <w:rPr>
                <w:rFonts w:ascii="Times New Roman" w:eastAsia="Aptos" w:hAnsi="Times New Roman" w:cs="Times New Roman"/>
                <w:b/>
                <w:bCs/>
              </w:rPr>
            </w:pPr>
            <w:r w:rsidRPr="00344797">
              <w:rPr>
                <w:rFonts w:ascii="Times New Roman" w:eastAsia="Aptos" w:hAnsi="Times New Roman" w:cs="Times New Roman"/>
                <w:b/>
                <w:bCs/>
              </w:rPr>
              <w:t xml:space="preserve">Modelet qarkulluese të biznesit për ndërmarrjet e vogla dhe të mesme (NVM-të) </w:t>
            </w:r>
          </w:p>
          <w:p w:rsidR="00344797" w:rsidRPr="00004369" w:rsidRDefault="00344797" w:rsidP="00B63FAE">
            <w:pPr>
              <w:rPr>
                <w:rFonts w:ascii="Times New Roman" w:hAnsi="Times New Roman" w:cs="Times New Roman"/>
                <w:sz w:val="20"/>
                <w:szCs w:val="20"/>
                <w:lang w:val="en-GB"/>
              </w:rPr>
            </w:pPr>
          </w:p>
        </w:tc>
      </w:tr>
      <w:tr w:rsidR="00344797" w:rsidTr="001D6570">
        <w:tc>
          <w:tcPr>
            <w:tcW w:w="2274" w:type="dxa"/>
          </w:tcPr>
          <w:p w:rsidR="00344797" w:rsidRPr="00E30B6F" w:rsidRDefault="00344797" w:rsidP="00FB3CBF">
            <w:pPr>
              <w:rPr>
                <w:rFonts w:ascii="Times New Roman" w:hAnsi="Times New Roman"/>
                <w:sz w:val="20"/>
                <w:szCs w:val="20"/>
              </w:rPr>
            </w:pPr>
            <w:r w:rsidRPr="00E30B6F">
              <w:rPr>
                <w:rFonts w:ascii="Times New Roman" w:hAnsi="Times New Roman"/>
                <w:sz w:val="20"/>
                <w:szCs w:val="20"/>
                <w:lang w:val="en-GB"/>
              </w:rPr>
              <w:t>Buxheti i alokuar për projektet e ekonomisë qarkulluese në kuadër të një programi të caktuar</w:t>
            </w:r>
          </w:p>
        </w:tc>
        <w:tc>
          <w:tcPr>
            <w:tcW w:w="1927"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Shuma (ALL)</w:t>
            </w:r>
          </w:p>
        </w:tc>
        <w:tc>
          <w:tcPr>
            <w:tcW w:w="1601"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Futja e thirrjeve për projekte të modeleve qarkulluese të biznesit në kuadër të programeve ekzistuese dhe të reja të financimit që ofrojnë grante dhe kredi me kushte lehtësuese. Mbështetja financiare në formën e granteve dhe kredive duhet të kombinohet me asistencë teknike dhe forma të tjera mbështetjeje për NVM-të.</w:t>
            </w:r>
          </w:p>
        </w:tc>
        <w:tc>
          <w:tcPr>
            <w:tcW w:w="1571"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Të dhënat sigurohen nga Agjencia Shqiptare e Zhvillimit të Investimeve (AIDA)</w:t>
            </w:r>
          </w:p>
        </w:tc>
        <w:tc>
          <w:tcPr>
            <w:tcW w:w="1738" w:type="dxa"/>
          </w:tcPr>
          <w:p w:rsidR="00344797" w:rsidRPr="00E30B6F" w:rsidRDefault="00344797" w:rsidP="00FB3CBF">
            <w:pPr>
              <w:rPr>
                <w:rFonts w:ascii="Times New Roman" w:hAnsi="Times New Roman"/>
                <w:sz w:val="20"/>
                <w:szCs w:val="20"/>
                <w:lang w:val="de-DE"/>
              </w:rPr>
            </w:pPr>
            <w:r w:rsidRPr="00E30B6F">
              <w:rPr>
                <w:rFonts w:ascii="Times New Roman" w:hAnsi="Times New Roman"/>
                <w:sz w:val="20"/>
                <w:szCs w:val="20"/>
                <w:lang w:val="de-DE"/>
              </w:rPr>
              <w:t>14.6 milionë euro nga projektet e GIZ-Albania dhe projektet e financuara nga BE-ja</w:t>
            </w:r>
          </w:p>
        </w:tc>
        <w:tc>
          <w:tcPr>
            <w:tcW w:w="1599" w:type="dxa"/>
          </w:tcPr>
          <w:p w:rsidR="00344797" w:rsidRPr="00E30B6F" w:rsidRDefault="00344797" w:rsidP="00FB3CBF">
            <w:pPr>
              <w:rPr>
                <w:rFonts w:ascii="Times New Roman" w:hAnsi="Times New Roman"/>
                <w:sz w:val="20"/>
                <w:szCs w:val="20"/>
                <w:lang w:val="de-DE"/>
              </w:rPr>
            </w:pPr>
            <w:r w:rsidRPr="00E30B6F">
              <w:rPr>
                <w:rFonts w:ascii="Times New Roman" w:hAnsi="Times New Roman"/>
                <w:sz w:val="20"/>
                <w:szCs w:val="20"/>
                <w:lang w:val="de-DE"/>
              </w:rPr>
              <w:t>Mbështetja ka vazhduar përmes projekteve të GIZ-Albania dhe projekteve të financuara nga BE-ja.</w:t>
            </w:r>
          </w:p>
        </w:tc>
      </w:tr>
      <w:tr w:rsidR="00344797" w:rsidTr="001D6570">
        <w:tc>
          <w:tcPr>
            <w:tcW w:w="2274" w:type="dxa"/>
          </w:tcPr>
          <w:p w:rsidR="00344797" w:rsidRPr="00E30B6F" w:rsidRDefault="00344797" w:rsidP="00FB3CBF">
            <w:pPr>
              <w:rPr>
                <w:rFonts w:ascii="Times New Roman" w:hAnsi="Times New Roman"/>
                <w:sz w:val="20"/>
                <w:szCs w:val="20"/>
                <w:lang w:val="de-DE"/>
              </w:rPr>
            </w:pPr>
            <w:r w:rsidRPr="00E30B6F">
              <w:rPr>
                <w:rFonts w:ascii="Times New Roman" w:hAnsi="Times New Roman"/>
                <w:sz w:val="20"/>
                <w:szCs w:val="20"/>
                <w:lang w:val="de-DE"/>
              </w:rPr>
              <w:t>Kurset e trajnimit mbi modelet qarkulluese të biznesit</w:t>
            </w:r>
          </w:p>
        </w:tc>
        <w:tc>
          <w:tcPr>
            <w:tcW w:w="1927" w:type="dxa"/>
          </w:tcPr>
          <w:p w:rsidR="00344797" w:rsidRPr="00E30B6F" w:rsidRDefault="00344797" w:rsidP="00FB3CBF">
            <w:pPr>
              <w:rPr>
                <w:rFonts w:ascii="Times New Roman" w:hAnsi="Times New Roman"/>
                <w:sz w:val="20"/>
                <w:szCs w:val="20"/>
                <w:lang w:val="de-DE"/>
              </w:rPr>
            </w:pPr>
            <w:r w:rsidRPr="00E30B6F">
              <w:rPr>
                <w:rFonts w:ascii="Times New Roman" w:hAnsi="Times New Roman"/>
                <w:sz w:val="20"/>
                <w:szCs w:val="20"/>
                <w:lang w:val="de-DE"/>
              </w:rPr>
              <w:t>Numri i aktiviteteve të organizuara; numri i moduleve teknike të krijuara në kuadër të programeve të financimit</w:t>
            </w:r>
          </w:p>
        </w:tc>
        <w:tc>
          <w:tcPr>
            <w:tcW w:w="1601" w:type="dxa"/>
          </w:tcPr>
          <w:p w:rsidR="00344797" w:rsidRPr="00E30B6F" w:rsidRDefault="00344797" w:rsidP="00FB3CBF">
            <w:pPr>
              <w:rPr>
                <w:rFonts w:ascii="Times New Roman" w:hAnsi="Times New Roman"/>
                <w:sz w:val="20"/>
                <w:szCs w:val="20"/>
                <w:lang w:val="de-DE"/>
              </w:rPr>
            </w:pPr>
          </w:p>
        </w:tc>
        <w:tc>
          <w:tcPr>
            <w:tcW w:w="1571"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AIDA</w:t>
            </w:r>
          </w:p>
        </w:tc>
        <w:tc>
          <w:tcPr>
            <w:tcW w:w="1738"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Janë organizuar module trajnimi dhe aktivitete për ngritjen e kapaciteteve në kuadër të projektit EU4CELC dhe projekteve të tjera ndërkombëtare në bashkëpunim me ASPA.</w:t>
            </w:r>
          </w:p>
        </w:tc>
      </w:tr>
      <w:tr w:rsidR="00344797" w:rsidTr="001D6570">
        <w:tc>
          <w:tcPr>
            <w:tcW w:w="2274"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NVM-të që përfitojnë mbështetje financiare për krijimin e modeleve të reja qarkulluese të biznesit</w:t>
            </w:r>
          </w:p>
        </w:tc>
        <w:tc>
          <w:tcPr>
            <w:tcW w:w="1927"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Numri i NVM-ve</w:t>
            </w:r>
          </w:p>
        </w:tc>
        <w:tc>
          <w:tcPr>
            <w:tcW w:w="1601" w:type="dxa"/>
          </w:tcPr>
          <w:p w:rsidR="00344797" w:rsidRPr="00E30B6F" w:rsidRDefault="00344797" w:rsidP="00FB3CBF">
            <w:pPr>
              <w:rPr>
                <w:rFonts w:ascii="Times New Roman" w:hAnsi="Times New Roman"/>
                <w:sz w:val="20"/>
                <w:szCs w:val="20"/>
                <w:lang w:val="en-GB"/>
              </w:rPr>
            </w:pPr>
          </w:p>
        </w:tc>
        <w:tc>
          <w:tcPr>
            <w:tcW w:w="1571"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AIDA</w:t>
            </w:r>
          </w:p>
        </w:tc>
        <w:tc>
          <w:tcPr>
            <w:tcW w:w="1738"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Informacion i kufizuar i disponueshëm. Nëpërmjet projektit EU4CELC të zbatuar nga GIZ Albania janë mbështetur 31 kompani.</w:t>
            </w:r>
          </w:p>
        </w:tc>
      </w:tr>
      <w:tr w:rsidR="00344797" w:rsidTr="001D6570">
        <w:tc>
          <w:tcPr>
            <w:tcW w:w="2274"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lastRenderedPageBreak/>
              <w:t>NVM-të që përfitojnë mbështetje jofinanciare për krijimin e modeleve të reja qarkulluese të biznesit</w:t>
            </w:r>
          </w:p>
        </w:tc>
        <w:tc>
          <w:tcPr>
            <w:tcW w:w="1927"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Numri i NVM-ve</w:t>
            </w:r>
          </w:p>
        </w:tc>
        <w:tc>
          <w:tcPr>
            <w:tcW w:w="1601" w:type="dxa"/>
          </w:tcPr>
          <w:p w:rsidR="00344797" w:rsidRPr="00E30B6F" w:rsidRDefault="00344797" w:rsidP="00FB3CBF">
            <w:pPr>
              <w:rPr>
                <w:rFonts w:ascii="Times New Roman" w:hAnsi="Times New Roman"/>
                <w:sz w:val="20"/>
                <w:szCs w:val="20"/>
                <w:lang w:val="en-GB"/>
              </w:rPr>
            </w:pPr>
          </w:p>
        </w:tc>
        <w:tc>
          <w:tcPr>
            <w:tcW w:w="1571"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AIDA</w:t>
            </w:r>
          </w:p>
        </w:tc>
        <w:tc>
          <w:tcPr>
            <w:tcW w:w="1738"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n/a</w:t>
            </w:r>
          </w:p>
        </w:tc>
      </w:tr>
      <w:tr w:rsidR="00344797" w:rsidTr="001D6570">
        <w:tc>
          <w:tcPr>
            <w:tcW w:w="2274" w:type="dxa"/>
          </w:tcPr>
          <w:p w:rsidR="00344797" w:rsidRPr="00E30B6F" w:rsidRDefault="00344797" w:rsidP="00FB3CBF">
            <w:pPr>
              <w:rPr>
                <w:rFonts w:ascii="Times New Roman" w:hAnsi="Times New Roman"/>
                <w:sz w:val="20"/>
                <w:szCs w:val="20"/>
                <w:lang w:val="es-ES"/>
              </w:rPr>
            </w:pPr>
            <w:r w:rsidRPr="00E30B6F">
              <w:rPr>
                <w:rFonts w:ascii="Times New Roman" w:hAnsi="Times New Roman"/>
                <w:sz w:val="20"/>
                <w:szCs w:val="20"/>
                <w:lang w:val="es-ES"/>
              </w:rPr>
              <w:t>NVM-të e mbështetura nga programet e financimit për zgjerimin e modeleve qarkulluese të biznesit</w:t>
            </w:r>
          </w:p>
        </w:tc>
        <w:tc>
          <w:tcPr>
            <w:tcW w:w="1927"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Numri i NVM-ve</w:t>
            </w:r>
          </w:p>
        </w:tc>
        <w:tc>
          <w:tcPr>
            <w:tcW w:w="1601"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Të shqyrtohet krijimi i një programi të dedikuar financimi për NVM-të për të zgjeruar modelet qarkulluese të biznesit</w:t>
            </w:r>
          </w:p>
        </w:tc>
        <w:tc>
          <w:tcPr>
            <w:tcW w:w="1571"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AIDA</w:t>
            </w:r>
          </w:p>
        </w:tc>
        <w:tc>
          <w:tcPr>
            <w:tcW w:w="1738"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Informacion i kufizuar i disponueshëm.</w:t>
            </w:r>
          </w:p>
        </w:tc>
      </w:tr>
      <w:tr w:rsidR="00344797" w:rsidTr="001D6570">
        <w:tc>
          <w:tcPr>
            <w:tcW w:w="2274"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Krijimi i një platforme për ekonominë qarkulluese</w:t>
            </w:r>
          </w:p>
        </w:tc>
        <w:tc>
          <w:tcPr>
            <w:tcW w:w="1927"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Tregues specifik për monitorimin e krijimit të platformës (po/jo)</w:t>
            </w:r>
          </w:p>
        </w:tc>
        <w:tc>
          <w:tcPr>
            <w:tcW w:w="1601"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Krijimi i një platforme të aktorëve dhe bizneseve të ekonomisë qarkulluese për të forcuar bashkëpunimin, shkëmbimin e informacionit dhe ndarjen e praktikave të mira</w:t>
            </w:r>
          </w:p>
        </w:tc>
        <w:tc>
          <w:tcPr>
            <w:tcW w:w="1571"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Të dhënat sigurohen nga institucioni koordinues (p.sh. Ministria e Turizmit dhe Mjedisit)</w:t>
            </w:r>
          </w:p>
        </w:tc>
        <w:tc>
          <w:tcPr>
            <w:tcW w:w="1738"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Bashkëpunimi ndërmjet aktorëve është përmirësuar, megjithëse ende nuk është krijuar një platformë formale kombëtare.</w:t>
            </w:r>
          </w:p>
        </w:tc>
      </w:tr>
      <w:tr w:rsidR="00344797" w:rsidTr="001D6570">
        <w:tc>
          <w:tcPr>
            <w:tcW w:w="2274"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Numri i anëtarëve të platformës</w:t>
            </w:r>
          </w:p>
        </w:tc>
        <w:tc>
          <w:tcPr>
            <w:tcW w:w="1927"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Numri</w:t>
            </w:r>
          </w:p>
        </w:tc>
        <w:tc>
          <w:tcPr>
            <w:tcW w:w="1601" w:type="dxa"/>
          </w:tcPr>
          <w:p w:rsidR="00344797" w:rsidRPr="00E30B6F" w:rsidRDefault="00344797" w:rsidP="00FB3CBF">
            <w:pPr>
              <w:rPr>
                <w:rFonts w:ascii="Times New Roman" w:hAnsi="Times New Roman"/>
                <w:sz w:val="20"/>
                <w:szCs w:val="20"/>
                <w:lang w:val="en-GB"/>
              </w:rPr>
            </w:pPr>
          </w:p>
        </w:tc>
        <w:tc>
          <w:tcPr>
            <w:tcW w:w="1571"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Të dhënat sigurohen nga institucioni koordinues (p.sh. Ministria e Turizmit dhe Mjedisit)</w:t>
            </w:r>
          </w:p>
        </w:tc>
        <w:tc>
          <w:tcPr>
            <w:tcW w:w="1738"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344797" w:rsidRPr="00DE0E2D" w:rsidRDefault="00344797" w:rsidP="00FB3CBF">
            <w:pPr>
              <w:pStyle w:val="BodyText"/>
            </w:pPr>
            <w:r w:rsidRPr="00E30B6F">
              <w:rPr>
                <w:sz w:val="20"/>
                <w:szCs w:val="20"/>
                <w:lang w:val="en-GB"/>
              </w:rPr>
              <w:t xml:space="preserve">Në kuadër të projektit EU4CELC të GIZ-Albania është krijuar platforma online për ekonominë qarkulluese </w:t>
            </w:r>
            <w:hyperlink r:id="rId263" w:history="1">
              <w:r w:rsidRPr="00DE0E2D">
                <w:rPr>
                  <w:rStyle w:val="Hyperlink"/>
                  <w:rFonts w:eastAsiaTheme="majorEastAsia"/>
                </w:rPr>
                <w:t>Circular Hub Albania</w:t>
              </w:r>
            </w:hyperlink>
          </w:p>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w:t>
            </w:r>
          </w:p>
        </w:tc>
      </w:tr>
      <w:tr w:rsidR="00344797" w:rsidTr="001D6570">
        <w:tc>
          <w:tcPr>
            <w:tcW w:w="2274"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Numri i aktiviteteve/</w:t>
            </w:r>
            <w:r w:rsidR="002C4833">
              <w:rPr>
                <w:rFonts w:ascii="Times New Roman" w:hAnsi="Times New Roman"/>
                <w:sz w:val="20"/>
                <w:szCs w:val="20"/>
                <w:lang w:val="en-GB"/>
              </w:rPr>
              <w:t>ë</w:t>
            </w:r>
            <w:r w:rsidRPr="00E30B6F">
              <w:rPr>
                <w:rFonts w:ascii="Times New Roman" w:hAnsi="Times New Roman"/>
                <w:sz w:val="20"/>
                <w:szCs w:val="20"/>
                <w:lang w:val="en-GB"/>
              </w:rPr>
              <w:t>orkshopeve të organizuara në kuadër të platformës</w:t>
            </w:r>
          </w:p>
        </w:tc>
        <w:tc>
          <w:tcPr>
            <w:tcW w:w="1927"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Numri</w:t>
            </w:r>
          </w:p>
        </w:tc>
        <w:tc>
          <w:tcPr>
            <w:tcW w:w="1601" w:type="dxa"/>
          </w:tcPr>
          <w:p w:rsidR="00344797" w:rsidRPr="00E30B6F" w:rsidRDefault="00344797" w:rsidP="00FB3CBF">
            <w:pPr>
              <w:rPr>
                <w:rFonts w:ascii="Times New Roman" w:hAnsi="Times New Roman"/>
                <w:sz w:val="20"/>
                <w:szCs w:val="20"/>
                <w:lang w:val="en-GB"/>
              </w:rPr>
            </w:pPr>
          </w:p>
        </w:tc>
        <w:tc>
          <w:tcPr>
            <w:tcW w:w="1571"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Të dhënat sigurohen nga institucioni koordinues (p.sh. Ministria e Turizmit dhe Mjedisit)</w:t>
            </w:r>
          </w:p>
        </w:tc>
        <w:tc>
          <w:tcPr>
            <w:tcW w:w="1738"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344797" w:rsidRPr="00E30B6F" w:rsidRDefault="00344797" w:rsidP="00FB3CBF">
            <w:pPr>
              <w:rPr>
                <w:rFonts w:ascii="Times New Roman" w:hAnsi="Times New Roman"/>
                <w:sz w:val="20"/>
                <w:szCs w:val="20"/>
                <w:lang w:val="en-GB"/>
              </w:rPr>
            </w:pPr>
            <w:r w:rsidRPr="00E30B6F">
              <w:rPr>
                <w:rFonts w:ascii="Times New Roman" w:hAnsi="Times New Roman"/>
                <w:sz w:val="20"/>
                <w:szCs w:val="20"/>
                <w:lang w:val="en-GB"/>
              </w:rPr>
              <w:t>Janë organizuar pesë module trajnimi dhe aktivitete për ngritjen e kapaciteteve nga ASPA dhe TAIGA.</w:t>
            </w:r>
          </w:p>
        </w:tc>
      </w:tr>
      <w:tr w:rsidR="001B6488" w:rsidTr="001D6570">
        <w:tc>
          <w:tcPr>
            <w:tcW w:w="2274" w:type="dxa"/>
          </w:tcPr>
          <w:p w:rsidR="001B6488" w:rsidRPr="00E30B6F" w:rsidRDefault="001B6488" w:rsidP="00FB3CBF">
            <w:pPr>
              <w:rPr>
                <w:rFonts w:ascii="Times New Roman" w:hAnsi="Times New Roman"/>
                <w:sz w:val="20"/>
                <w:szCs w:val="20"/>
              </w:rPr>
            </w:pPr>
            <w:r w:rsidRPr="00E30B6F">
              <w:rPr>
                <w:rFonts w:ascii="Times New Roman" w:hAnsi="Times New Roman"/>
                <w:sz w:val="20"/>
                <w:szCs w:val="20"/>
                <w:lang w:val="en-GB"/>
              </w:rPr>
              <w:lastRenderedPageBreak/>
              <w:t>Shpenzimet për kërkim, zhvillim dhe inovacion në fushën e mjedisit nga sektori shtetëror dhe ai i biznesit</w:t>
            </w:r>
          </w:p>
        </w:tc>
        <w:tc>
          <w:tcPr>
            <w:tcW w:w="1927"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Shpenzimet bruto për kërkim dhe zhvillim (GERD) (%)</w:t>
            </w:r>
          </w:p>
        </w:tc>
        <w:tc>
          <w:tcPr>
            <w:tcW w:w="1601"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Mbështetja e bashkëpunimit ndërmjet NVM-ve dhe akademisë, si dhe bashkëpunimi rajonal dhe ndërkombëtar në kërkim, zhvillim dhe inovacion</w:t>
            </w:r>
          </w:p>
        </w:tc>
        <w:tc>
          <w:tcPr>
            <w:tcW w:w="1571"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Treguesi do të zhvillohet mbi bazën e Eurostat nga Agjencia për Kërkim, Teknologji dhe Inovacion. Të dhënat do të sigurohen nga Agjencia Kombëtare për Kërkimin Shkencor dhe Inovacionin ose AIDA</w:t>
            </w:r>
          </w:p>
        </w:tc>
        <w:tc>
          <w:tcPr>
            <w:tcW w:w="1738"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n/a</w:t>
            </w:r>
          </w:p>
        </w:tc>
      </w:tr>
      <w:tr w:rsidR="001B6488" w:rsidTr="001D6570">
        <w:tc>
          <w:tcPr>
            <w:tcW w:w="2274"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Aktivitetet e organizuara për lidhjen e investitorëve me sipërmarrësit (matchmaking)</w:t>
            </w:r>
          </w:p>
        </w:tc>
        <w:tc>
          <w:tcPr>
            <w:tcW w:w="1927"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Numri i aktiviteteve</w:t>
            </w:r>
          </w:p>
        </w:tc>
        <w:tc>
          <w:tcPr>
            <w:tcW w:w="1601"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Organizimi i aktiviteteve për lidhjen e investitorëve me sipërmarrësit</w:t>
            </w:r>
          </w:p>
        </w:tc>
        <w:tc>
          <w:tcPr>
            <w:tcW w:w="1571"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AIDA</w:t>
            </w:r>
          </w:p>
        </w:tc>
        <w:tc>
          <w:tcPr>
            <w:tcW w:w="1738"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n/a</w:t>
            </w:r>
          </w:p>
        </w:tc>
      </w:tr>
      <w:tr w:rsidR="001B6488" w:rsidTr="001D6570">
        <w:tc>
          <w:tcPr>
            <w:tcW w:w="2274"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Fushatat ndërgjegjësuese për ekonominë qarkulluese</w:t>
            </w:r>
          </w:p>
        </w:tc>
        <w:tc>
          <w:tcPr>
            <w:tcW w:w="1927"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Numri i fushatave</w:t>
            </w:r>
          </w:p>
        </w:tc>
        <w:tc>
          <w:tcPr>
            <w:tcW w:w="1601"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Rritja e ndërgjegjësimit për ekonominë qarkulluese dhe modelet qarkulluese të biznesit për NVM-të përmes fushatave të komunikimit dhe programeve të trajnimit, duke përfshirë promovimin e praktikave të mira dhe mundësive të financimit</w:t>
            </w:r>
          </w:p>
        </w:tc>
        <w:tc>
          <w:tcPr>
            <w:tcW w:w="1571"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Të dhënat sigurohen nga AIDA, dhomat e tregtisë dhe industrisë</w:t>
            </w:r>
          </w:p>
        </w:tc>
        <w:tc>
          <w:tcPr>
            <w:tcW w:w="1738"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Aktivitetet kanë vazhduar përmes projekteve të GIZ-Albania, BE-së dhe projekteve të tjera.</w:t>
            </w:r>
          </w:p>
        </w:tc>
      </w:tr>
      <w:tr w:rsidR="001B6488" w:rsidTr="001D6570">
        <w:tc>
          <w:tcPr>
            <w:tcW w:w="2274"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Ndërgjegjësimi i NVM-ve mbi modelet qarkulluese të biznesit</w:t>
            </w:r>
          </w:p>
        </w:tc>
        <w:tc>
          <w:tcPr>
            <w:tcW w:w="1927"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Përqindja e NVM-ve që kanë njohuri mbi ekonominë qarkulluese</w:t>
            </w:r>
          </w:p>
        </w:tc>
        <w:tc>
          <w:tcPr>
            <w:tcW w:w="1601" w:type="dxa"/>
          </w:tcPr>
          <w:p w:rsidR="001B6488" w:rsidRPr="00E30B6F" w:rsidRDefault="001B6488" w:rsidP="00FB3CBF">
            <w:pPr>
              <w:rPr>
                <w:rFonts w:ascii="Times New Roman" w:hAnsi="Times New Roman"/>
                <w:sz w:val="20"/>
                <w:szCs w:val="20"/>
                <w:lang w:val="en-GB"/>
              </w:rPr>
            </w:pPr>
          </w:p>
        </w:tc>
        <w:tc>
          <w:tcPr>
            <w:tcW w:w="1571"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Këshilli i Bashkëpunimit Rajonal (anketa Balkan Barometer) ose anketa kombëtare</w:t>
            </w:r>
          </w:p>
        </w:tc>
        <w:tc>
          <w:tcPr>
            <w:tcW w:w="1738"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n/a</w:t>
            </w:r>
          </w:p>
        </w:tc>
      </w:tr>
      <w:tr w:rsidR="001B6488" w:rsidTr="001D6570">
        <w:tc>
          <w:tcPr>
            <w:tcW w:w="2274" w:type="dxa"/>
          </w:tcPr>
          <w:p w:rsidR="001B6488" w:rsidRPr="00E30B6F" w:rsidRDefault="001B6488" w:rsidP="00FB3CBF">
            <w:pPr>
              <w:rPr>
                <w:rFonts w:ascii="Times New Roman" w:hAnsi="Times New Roman"/>
                <w:sz w:val="20"/>
                <w:szCs w:val="20"/>
              </w:rPr>
            </w:pPr>
            <w:r w:rsidRPr="00E30B6F">
              <w:rPr>
                <w:rFonts w:ascii="Times New Roman" w:hAnsi="Times New Roman"/>
                <w:sz w:val="20"/>
                <w:szCs w:val="20"/>
                <w:lang w:val="en-GB"/>
              </w:rPr>
              <w:lastRenderedPageBreak/>
              <w:t>Fushatat ndërgjegjësuese për reduktimin e mbetjeve ushqimore në sektorin e turizmit</w:t>
            </w:r>
          </w:p>
        </w:tc>
        <w:tc>
          <w:tcPr>
            <w:tcW w:w="1927"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Numri i fushatave; numri i restoranteve/hoteleve të përfshira</w:t>
            </w:r>
          </w:p>
        </w:tc>
        <w:tc>
          <w:tcPr>
            <w:tcW w:w="1601"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Vazhdimi i lehtësimit të shkëmbimit të praktikave dhe të mësimit ndërmjet aktorëve, duke përfshirë zhvillimin ndërsektorial të njohurive</w:t>
            </w:r>
          </w:p>
        </w:tc>
        <w:tc>
          <w:tcPr>
            <w:tcW w:w="1571"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Të dhënat sigurohen nga Ministria e Turizmit dhe Mjedisit</w:t>
            </w:r>
          </w:p>
        </w:tc>
        <w:tc>
          <w:tcPr>
            <w:tcW w:w="1738"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n/a</w:t>
            </w:r>
          </w:p>
        </w:tc>
      </w:tr>
      <w:tr w:rsidR="001B6488" w:rsidTr="001D6570">
        <w:tc>
          <w:tcPr>
            <w:tcW w:w="2274"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Fushatat ndërgjegjësuese për reduktimin e mbetjeve tekstile</w:t>
            </w:r>
          </w:p>
        </w:tc>
        <w:tc>
          <w:tcPr>
            <w:tcW w:w="1927"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Numri i fushatave; numri i bizneseve të përfshira</w:t>
            </w:r>
          </w:p>
        </w:tc>
        <w:tc>
          <w:tcPr>
            <w:tcW w:w="1601" w:type="dxa"/>
          </w:tcPr>
          <w:p w:rsidR="001B6488" w:rsidRPr="00E30B6F" w:rsidRDefault="001B6488" w:rsidP="00FB3CBF">
            <w:pPr>
              <w:rPr>
                <w:rFonts w:ascii="Times New Roman" w:hAnsi="Times New Roman"/>
                <w:sz w:val="20"/>
                <w:szCs w:val="20"/>
                <w:lang w:val="en-GB"/>
              </w:rPr>
            </w:pPr>
          </w:p>
        </w:tc>
        <w:tc>
          <w:tcPr>
            <w:tcW w:w="1571" w:type="dxa"/>
          </w:tcPr>
          <w:p w:rsidR="001B6488" w:rsidRPr="00E30B6F" w:rsidRDefault="001B6488" w:rsidP="00FB3CBF">
            <w:pPr>
              <w:rPr>
                <w:rFonts w:ascii="Times New Roman" w:hAnsi="Times New Roman"/>
                <w:sz w:val="20"/>
                <w:szCs w:val="20"/>
                <w:lang w:val="es-ES"/>
              </w:rPr>
            </w:pPr>
            <w:r w:rsidRPr="00E30B6F">
              <w:rPr>
                <w:rFonts w:ascii="Times New Roman" w:hAnsi="Times New Roman"/>
                <w:sz w:val="20"/>
                <w:szCs w:val="20"/>
                <w:lang w:val="es-ES"/>
              </w:rPr>
              <w:t>Të dhënat sigurohen nga AIDA ose Ministria e Financave dhe Ekonomisë</w:t>
            </w:r>
          </w:p>
        </w:tc>
        <w:tc>
          <w:tcPr>
            <w:tcW w:w="1738"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n/a</w:t>
            </w:r>
          </w:p>
        </w:tc>
      </w:tr>
      <w:tr w:rsidR="001B6488" w:rsidTr="001D6570">
        <w:trPr>
          <w:trHeight w:val="2438"/>
        </w:trPr>
        <w:tc>
          <w:tcPr>
            <w:tcW w:w="2274"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Integrimi i edukimit për ekonominë qarkulluese në programet universitare</w:t>
            </w:r>
          </w:p>
        </w:tc>
        <w:tc>
          <w:tcPr>
            <w:tcW w:w="1927"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Tregues specifik për monitorimin e zbatimit të rekomandimit (po/jo)</w:t>
            </w:r>
          </w:p>
        </w:tc>
        <w:tc>
          <w:tcPr>
            <w:tcW w:w="1601"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Mbështetja e ngritjes së kapaciteteve, aftësive sipërmarrëse dhe formimit profesional në fushën e ekonomisë qarkulluese</w:t>
            </w:r>
          </w:p>
        </w:tc>
        <w:tc>
          <w:tcPr>
            <w:tcW w:w="1571"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Të dhënat sigurohen nga Ministria e Arsimit dhe Sportit</w:t>
            </w:r>
          </w:p>
        </w:tc>
        <w:tc>
          <w:tcPr>
            <w:tcW w:w="1738"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Është arritur progres. Tematikat e ekonomisë qarkulluese po integrohen gjithnjë e më shumë në programet e arsimit të lartë.</w:t>
            </w:r>
          </w:p>
        </w:tc>
      </w:tr>
      <w:tr w:rsidR="00344797" w:rsidTr="001D6570">
        <w:tc>
          <w:tcPr>
            <w:tcW w:w="2274" w:type="dxa"/>
          </w:tcPr>
          <w:p w:rsidR="00344797" w:rsidRPr="001B6488" w:rsidRDefault="001B6488" w:rsidP="00B63FAE">
            <w:pPr>
              <w:rPr>
                <w:rFonts w:ascii="Times New Roman" w:hAnsi="Times New Roman" w:cs="Times New Roman"/>
                <w:b/>
                <w:sz w:val="20"/>
                <w:szCs w:val="20"/>
                <w:lang w:val="en-GB"/>
              </w:rPr>
            </w:pPr>
            <w:r w:rsidRPr="001B6488">
              <w:rPr>
                <w:rFonts w:ascii="Times New Roman" w:hAnsi="Times New Roman" w:cs="Times New Roman"/>
                <w:b/>
                <w:sz w:val="20"/>
                <w:szCs w:val="20"/>
                <w:lang w:val="en-GB"/>
              </w:rPr>
              <w:t>Plastika</w:t>
            </w:r>
          </w:p>
        </w:tc>
        <w:tc>
          <w:tcPr>
            <w:tcW w:w="1927" w:type="dxa"/>
          </w:tcPr>
          <w:p w:rsidR="00344797" w:rsidRPr="00004369" w:rsidRDefault="00344797" w:rsidP="00B63FAE">
            <w:pPr>
              <w:rPr>
                <w:rFonts w:ascii="Times New Roman" w:hAnsi="Times New Roman" w:cs="Times New Roman"/>
                <w:sz w:val="20"/>
                <w:szCs w:val="20"/>
                <w:lang w:val="en-GB"/>
              </w:rPr>
            </w:pPr>
          </w:p>
        </w:tc>
        <w:tc>
          <w:tcPr>
            <w:tcW w:w="1601" w:type="dxa"/>
          </w:tcPr>
          <w:p w:rsidR="00344797" w:rsidRPr="00004369" w:rsidRDefault="00344797" w:rsidP="00B63FAE">
            <w:pPr>
              <w:rPr>
                <w:rFonts w:ascii="Times New Roman" w:hAnsi="Times New Roman" w:cs="Times New Roman"/>
                <w:sz w:val="20"/>
                <w:szCs w:val="20"/>
                <w:lang w:val="en-GB"/>
              </w:rPr>
            </w:pPr>
          </w:p>
        </w:tc>
        <w:tc>
          <w:tcPr>
            <w:tcW w:w="1571" w:type="dxa"/>
          </w:tcPr>
          <w:p w:rsidR="00344797" w:rsidRPr="00004369" w:rsidRDefault="00344797" w:rsidP="00B63FAE">
            <w:pPr>
              <w:rPr>
                <w:rFonts w:ascii="Times New Roman" w:hAnsi="Times New Roman" w:cs="Times New Roman"/>
                <w:sz w:val="20"/>
                <w:szCs w:val="20"/>
                <w:lang w:val="en-GB"/>
              </w:rPr>
            </w:pPr>
          </w:p>
        </w:tc>
        <w:tc>
          <w:tcPr>
            <w:tcW w:w="1738" w:type="dxa"/>
          </w:tcPr>
          <w:p w:rsidR="00344797" w:rsidRPr="00004369" w:rsidRDefault="00344797" w:rsidP="00B63FAE">
            <w:pPr>
              <w:rPr>
                <w:rFonts w:ascii="Times New Roman" w:hAnsi="Times New Roman" w:cs="Times New Roman"/>
                <w:sz w:val="20"/>
                <w:szCs w:val="20"/>
                <w:lang w:val="en-GB"/>
              </w:rPr>
            </w:pPr>
          </w:p>
        </w:tc>
        <w:tc>
          <w:tcPr>
            <w:tcW w:w="1599" w:type="dxa"/>
          </w:tcPr>
          <w:p w:rsidR="00344797" w:rsidRPr="00004369" w:rsidRDefault="00344797" w:rsidP="00B63FAE">
            <w:pPr>
              <w:rPr>
                <w:rFonts w:ascii="Times New Roman" w:hAnsi="Times New Roman" w:cs="Times New Roman"/>
                <w:sz w:val="20"/>
                <w:szCs w:val="20"/>
                <w:lang w:val="en-GB"/>
              </w:rPr>
            </w:pPr>
          </w:p>
        </w:tc>
      </w:tr>
      <w:tr w:rsidR="001B6488" w:rsidTr="001D6570">
        <w:tc>
          <w:tcPr>
            <w:tcW w:w="2274" w:type="dxa"/>
          </w:tcPr>
          <w:p w:rsidR="001B6488" w:rsidRPr="00E30B6F" w:rsidRDefault="001B6488" w:rsidP="00FB3CBF">
            <w:pPr>
              <w:rPr>
                <w:rFonts w:ascii="Times New Roman" w:hAnsi="Times New Roman"/>
                <w:sz w:val="20"/>
                <w:szCs w:val="20"/>
                <w:lang w:val="es-ES"/>
              </w:rPr>
            </w:pPr>
            <w:r w:rsidRPr="00E30B6F">
              <w:rPr>
                <w:rFonts w:ascii="Times New Roman" w:hAnsi="Times New Roman"/>
                <w:sz w:val="20"/>
                <w:szCs w:val="20"/>
                <w:lang w:val="es-ES"/>
              </w:rPr>
              <w:t>Vendosja e skemave të PZP-së të parashikuara me ligj</w:t>
            </w:r>
          </w:p>
        </w:tc>
        <w:tc>
          <w:tcPr>
            <w:tcW w:w="1927"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Tregues specifik për monitorimin e zbatimit të skemave të PZP-së</w:t>
            </w:r>
          </w:p>
        </w:tc>
        <w:tc>
          <w:tcPr>
            <w:tcW w:w="1601"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Përmirësimi i menaxhimit të mbetjeve në përgjithësi: grumbullimi i veçuar i mbetjeve plastike (dhe mbetjeve të tjera të ambalazheve) dhe zbatimi i skemës së përgjegjësisë së zgjeruar të prodhuesit për ambalazhet, përfshirë ambalazhet plastike</w:t>
            </w:r>
          </w:p>
        </w:tc>
        <w:tc>
          <w:tcPr>
            <w:tcW w:w="1571"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Të dhënat sigurohen nga Ministria e Turizmit dhe Mjedisit</w:t>
            </w:r>
          </w:p>
        </w:tc>
        <w:tc>
          <w:tcPr>
            <w:tcW w:w="1738"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1B6488" w:rsidRPr="00E30B6F" w:rsidRDefault="001B6488" w:rsidP="00FB3CBF">
            <w:pPr>
              <w:rPr>
                <w:rFonts w:ascii="Times New Roman" w:hAnsi="Times New Roman"/>
                <w:sz w:val="20"/>
                <w:szCs w:val="20"/>
                <w:lang w:val="en-GB"/>
              </w:rPr>
            </w:pPr>
            <w:r w:rsidRPr="00E30B6F">
              <w:rPr>
                <w:rFonts w:ascii="Times New Roman" w:hAnsi="Times New Roman"/>
                <w:sz w:val="20"/>
                <w:szCs w:val="20"/>
                <w:lang w:val="en-GB"/>
              </w:rPr>
              <w:t>Është arritur progres i rëndësishëm me miratimin e Ligjit nr. 74/2025 “Për përgjegjësitë e zgjeruara të prodhuesit”. Përgatitja e akteve nënligjore të nevojshme është në proces për të krijuar bazat për zbatimin operacional të tij.</w:t>
            </w:r>
          </w:p>
        </w:tc>
      </w:tr>
      <w:tr w:rsidR="00FB3CBF" w:rsidTr="001D6570">
        <w:tc>
          <w:tcPr>
            <w:tcW w:w="2274" w:type="dxa"/>
          </w:tcPr>
          <w:p w:rsidR="00FB3CBF" w:rsidRPr="00E30B6F" w:rsidRDefault="00FB3CBF" w:rsidP="00FB3CBF">
            <w:pPr>
              <w:rPr>
                <w:rFonts w:ascii="Times New Roman" w:hAnsi="Times New Roman"/>
                <w:sz w:val="20"/>
                <w:szCs w:val="20"/>
                <w:lang w:val="de-DE"/>
              </w:rPr>
            </w:pPr>
            <w:r w:rsidRPr="00E30B6F">
              <w:rPr>
                <w:rFonts w:ascii="Times New Roman" w:hAnsi="Times New Roman"/>
                <w:sz w:val="20"/>
                <w:szCs w:val="20"/>
                <w:lang w:val="de-DE"/>
              </w:rPr>
              <w:t>Infrastruktura e grumbullimit e instaluar</w:t>
            </w:r>
          </w:p>
        </w:tc>
        <w:tc>
          <w:tcPr>
            <w:tcW w:w="1927" w:type="dxa"/>
          </w:tcPr>
          <w:p w:rsidR="00FB3CBF" w:rsidRPr="00E30B6F" w:rsidRDefault="00FB3CBF" w:rsidP="00FB3CBF">
            <w:pPr>
              <w:rPr>
                <w:rFonts w:ascii="Times New Roman" w:hAnsi="Times New Roman"/>
                <w:sz w:val="20"/>
                <w:szCs w:val="20"/>
                <w:lang w:val="de-DE"/>
              </w:rPr>
            </w:pPr>
            <w:r w:rsidRPr="00E30B6F">
              <w:rPr>
                <w:rFonts w:ascii="Times New Roman" w:hAnsi="Times New Roman"/>
                <w:sz w:val="20"/>
                <w:szCs w:val="20"/>
                <w:lang w:val="de-DE"/>
              </w:rPr>
              <w:t>Numri i infrastrukturave të grumbullimit të instaluara</w:t>
            </w:r>
          </w:p>
        </w:tc>
        <w:tc>
          <w:tcPr>
            <w:tcW w:w="1601" w:type="dxa"/>
          </w:tcPr>
          <w:p w:rsidR="00FB3CBF" w:rsidRPr="00E30B6F" w:rsidRDefault="00FB3CBF" w:rsidP="00FB3CBF">
            <w:pPr>
              <w:rPr>
                <w:rFonts w:ascii="Times New Roman" w:hAnsi="Times New Roman"/>
                <w:sz w:val="20"/>
                <w:szCs w:val="20"/>
                <w:lang w:val="de-DE"/>
              </w:rPr>
            </w:pPr>
            <w:r w:rsidRPr="00E30B6F">
              <w:rPr>
                <w:rFonts w:ascii="Times New Roman" w:hAnsi="Times New Roman"/>
                <w:sz w:val="20"/>
                <w:szCs w:val="20"/>
                <w:lang w:val="de-DE"/>
              </w:rPr>
              <w:t>Të shqyrtohet vendosja e një sistemi të kthimit të depozitës për shishet plastike</w:t>
            </w:r>
          </w:p>
        </w:tc>
        <w:tc>
          <w:tcPr>
            <w:tcW w:w="1571"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Të dhënat sigurohen nga Ministria e Turizmit dhe Mjedisit</w:t>
            </w:r>
          </w:p>
        </w:tc>
        <w:tc>
          <w:tcPr>
            <w:tcW w:w="1738"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n/a</w:t>
            </w:r>
          </w:p>
        </w:tc>
      </w:tr>
      <w:tr w:rsidR="00FB3CBF" w:rsidTr="001D6570">
        <w:tc>
          <w:tcPr>
            <w:tcW w:w="2274"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lastRenderedPageBreak/>
              <w:t>Grumbullimi i shisheve plastike</w:t>
            </w:r>
          </w:p>
        </w:tc>
        <w:tc>
          <w:tcPr>
            <w:tcW w:w="1927"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Pjesa e grumbullimit të veçuar të shisheve plastike nga të gjitha shishet njëpërdorimëshe të hedhura në treg (%)</w:t>
            </w:r>
          </w:p>
        </w:tc>
        <w:tc>
          <w:tcPr>
            <w:tcW w:w="1601" w:type="dxa"/>
          </w:tcPr>
          <w:p w:rsidR="00FB3CBF" w:rsidRPr="00E30B6F" w:rsidRDefault="00FB3CBF" w:rsidP="00FB3CBF">
            <w:pPr>
              <w:rPr>
                <w:rFonts w:ascii="Times New Roman" w:hAnsi="Times New Roman"/>
                <w:sz w:val="20"/>
                <w:szCs w:val="20"/>
                <w:lang w:val="en-GB"/>
              </w:rPr>
            </w:pPr>
          </w:p>
        </w:tc>
        <w:tc>
          <w:tcPr>
            <w:tcW w:w="1571"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738"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Nuk ka tregues kombëtar të disponueshëm.</w:t>
            </w:r>
          </w:p>
        </w:tc>
      </w:tr>
      <w:tr w:rsidR="00FB3CBF" w:rsidTr="001D6570">
        <w:tc>
          <w:tcPr>
            <w:tcW w:w="2274"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Vendosja e ndalimit të plotë të qeseve plastike njëpërdorimëshe (përafrim i plotë me Direktivën e BE-së për Plastikën Njëpërdorimëshe)</w:t>
            </w:r>
          </w:p>
        </w:tc>
        <w:tc>
          <w:tcPr>
            <w:tcW w:w="1927" w:type="dxa"/>
          </w:tcPr>
          <w:p w:rsidR="00FB3CBF" w:rsidRPr="00E30B6F" w:rsidRDefault="00FB3CBF" w:rsidP="00FB3CBF">
            <w:pPr>
              <w:rPr>
                <w:rFonts w:ascii="Times New Roman" w:hAnsi="Times New Roman"/>
                <w:sz w:val="20"/>
                <w:szCs w:val="20"/>
                <w:lang w:val="es-ES"/>
              </w:rPr>
            </w:pPr>
            <w:r w:rsidRPr="00E30B6F">
              <w:rPr>
                <w:rFonts w:ascii="Times New Roman" w:hAnsi="Times New Roman"/>
                <w:sz w:val="20"/>
                <w:szCs w:val="20"/>
                <w:lang w:val="es-ES"/>
              </w:rPr>
              <w:t>Tregues specifik për monitorimin e vendosjes së ndalimit (po/jo)</w:t>
            </w:r>
          </w:p>
        </w:tc>
        <w:tc>
          <w:tcPr>
            <w:tcW w:w="1601" w:type="dxa"/>
          </w:tcPr>
          <w:p w:rsidR="00FB3CBF" w:rsidRPr="00E30B6F" w:rsidRDefault="00FB3CBF" w:rsidP="00FB3CBF">
            <w:pPr>
              <w:rPr>
                <w:rFonts w:ascii="Times New Roman" w:hAnsi="Times New Roman"/>
                <w:sz w:val="20"/>
                <w:szCs w:val="20"/>
                <w:lang w:val="es-ES"/>
              </w:rPr>
            </w:pPr>
            <w:r w:rsidRPr="00E30B6F">
              <w:rPr>
                <w:rFonts w:ascii="Times New Roman" w:hAnsi="Times New Roman"/>
                <w:sz w:val="20"/>
                <w:szCs w:val="20"/>
                <w:lang w:val="es-ES"/>
              </w:rPr>
              <w:t>Vendosja e taksave dhe/ose ndalimeve për produkte të caktuara plastike njëpërdorimëshe</w:t>
            </w:r>
          </w:p>
        </w:tc>
        <w:tc>
          <w:tcPr>
            <w:tcW w:w="1571"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Të dhënat sigurohen nga Ministria e Turizmit dhe Mjedisit</w:t>
            </w:r>
          </w:p>
        </w:tc>
        <w:tc>
          <w:tcPr>
            <w:tcW w:w="1738"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Po</w:t>
            </w:r>
          </w:p>
        </w:tc>
        <w:tc>
          <w:tcPr>
            <w:tcW w:w="1599"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I zbatuar.</w:t>
            </w:r>
          </w:p>
        </w:tc>
      </w:tr>
      <w:tr w:rsidR="00FB3CBF" w:rsidTr="001D6570">
        <w:tc>
          <w:tcPr>
            <w:tcW w:w="2274" w:type="dxa"/>
          </w:tcPr>
          <w:p w:rsidR="00FB3CBF" w:rsidRPr="00E30B6F" w:rsidRDefault="00FB3CBF" w:rsidP="00FB3CBF">
            <w:pPr>
              <w:rPr>
                <w:rFonts w:ascii="Times New Roman" w:hAnsi="Times New Roman"/>
                <w:sz w:val="20"/>
                <w:szCs w:val="20"/>
              </w:rPr>
            </w:pPr>
            <w:r w:rsidRPr="00E30B6F">
              <w:rPr>
                <w:rFonts w:ascii="Times New Roman" w:hAnsi="Times New Roman"/>
                <w:sz w:val="20"/>
                <w:szCs w:val="20"/>
                <w:lang w:val="en-GB"/>
              </w:rPr>
              <w:t>Tarifat e moduluara ekologjikisht në kuadër të PZP-së për ambalazhet</w:t>
            </w:r>
          </w:p>
        </w:tc>
        <w:tc>
          <w:tcPr>
            <w:tcW w:w="1927" w:type="dxa"/>
          </w:tcPr>
          <w:p w:rsidR="00FB3CBF" w:rsidRPr="00E30B6F" w:rsidRDefault="00FB3CBF" w:rsidP="00FB3CBF">
            <w:pPr>
              <w:rPr>
                <w:rFonts w:ascii="Times New Roman" w:hAnsi="Times New Roman"/>
                <w:sz w:val="20"/>
                <w:szCs w:val="20"/>
                <w:lang w:val="es-ES"/>
              </w:rPr>
            </w:pPr>
            <w:r w:rsidRPr="00E30B6F">
              <w:rPr>
                <w:rFonts w:ascii="Times New Roman" w:hAnsi="Times New Roman"/>
                <w:sz w:val="20"/>
                <w:szCs w:val="20"/>
                <w:lang w:val="es-ES"/>
              </w:rPr>
              <w:t>Tregues specifik për monitorimin e vendosjes së tarifave (po/jo)</w:t>
            </w:r>
          </w:p>
        </w:tc>
        <w:tc>
          <w:tcPr>
            <w:tcW w:w="1601" w:type="dxa"/>
          </w:tcPr>
          <w:p w:rsidR="00FB3CBF" w:rsidRPr="00E30B6F" w:rsidRDefault="00FB3CBF" w:rsidP="00FB3CBF">
            <w:pPr>
              <w:rPr>
                <w:rFonts w:ascii="Times New Roman" w:hAnsi="Times New Roman"/>
                <w:sz w:val="20"/>
                <w:szCs w:val="20"/>
                <w:lang w:val="es-ES"/>
              </w:rPr>
            </w:pPr>
            <w:r w:rsidRPr="00E30B6F">
              <w:rPr>
                <w:rFonts w:ascii="Times New Roman" w:hAnsi="Times New Roman"/>
                <w:sz w:val="20"/>
                <w:szCs w:val="20"/>
                <w:lang w:val="es-ES"/>
              </w:rPr>
              <w:t>Futja e tarifave të moduluara ekologjikisht për ambalazhet plastike</w:t>
            </w:r>
          </w:p>
        </w:tc>
        <w:tc>
          <w:tcPr>
            <w:tcW w:w="1571"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Të dhënat sigurohen nga Ministria e Turizmit dhe Mjedisit</w:t>
            </w:r>
          </w:p>
        </w:tc>
        <w:tc>
          <w:tcPr>
            <w:tcW w:w="1738"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n/a</w:t>
            </w:r>
          </w:p>
        </w:tc>
      </w:tr>
      <w:tr w:rsidR="00FB3CBF" w:rsidTr="001D6570">
        <w:tc>
          <w:tcPr>
            <w:tcW w:w="2274"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Financimi dhe trajnimet për teknologjitë e reja të riciklimit</w:t>
            </w:r>
          </w:p>
        </w:tc>
        <w:tc>
          <w:tcPr>
            <w:tcW w:w="1927"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Numri i programeve për inovacion dhe aktivitete kërkimore-shkencore në fushën e plastikës</w:t>
            </w:r>
          </w:p>
        </w:tc>
        <w:tc>
          <w:tcPr>
            <w:tcW w:w="1601"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Mbështetja dhe zgjerimi i inovacionit për materiale plastike më të riciklueshme, teknologji dhe procese të riciklimit të plastikës</w:t>
            </w:r>
          </w:p>
        </w:tc>
        <w:tc>
          <w:tcPr>
            <w:tcW w:w="1571"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Të dhënat sigurohen nga Agjencia Kombëtare për Kërkimin Shkencor dhe Inovacionin, AIDA dhe Fondi i Inovacionit</w:t>
            </w:r>
          </w:p>
        </w:tc>
        <w:tc>
          <w:tcPr>
            <w:tcW w:w="1738"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Progres i kufizuar përmes projekteve të mbështetura nga donatorët.</w:t>
            </w:r>
          </w:p>
        </w:tc>
      </w:tr>
      <w:tr w:rsidR="00FB3CBF" w:rsidTr="001D6570">
        <w:tc>
          <w:tcPr>
            <w:tcW w:w="2274"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Shpenzimet publike për kërkim dhe zhvillim në lidhje me riciklimin e plastikës</w:t>
            </w:r>
          </w:p>
        </w:tc>
        <w:tc>
          <w:tcPr>
            <w:tcW w:w="1927"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Shuma (ALL)</w:t>
            </w:r>
          </w:p>
        </w:tc>
        <w:tc>
          <w:tcPr>
            <w:tcW w:w="1601" w:type="dxa"/>
          </w:tcPr>
          <w:p w:rsidR="00FB3CBF" w:rsidRPr="00E30B6F" w:rsidRDefault="00FB3CBF" w:rsidP="00FB3CBF">
            <w:pPr>
              <w:rPr>
                <w:rFonts w:ascii="Times New Roman" w:hAnsi="Times New Roman"/>
                <w:sz w:val="20"/>
                <w:szCs w:val="20"/>
                <w:lang w:val="en-GB"/>
              </w:rPr>
            </w:pPr>
          </w:p>
        </w:tc>
        <w:tc>
          <w:tcPr>
            <w:tcW w:w="1571"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Të dhënat sigurohen nga Agjencia Kombëtare për Kërkimin Shkencor dhe Inovacionin</w:t>
            </w:r>
          </w:p>
        </w:tc>
        <w:tc>
          <w:tcPr>
            <w:tcW w:w="1738" w:type="dxa"/>
          </w:tcPr>
          <w:p w:rsidR="00FB3CBF" w:rsidRPr="0096339F" w:rsidRDefault="00FB3CBF" w:rsidP="00FB3CBF">
            <w:pPr>
              <w:rPr>
                <w:rFonts w:ascii="Times New Roman" w:hAnsi="Times New Roman"/>
                <w:b/>
                <w:sz w:val="20"/>
                <w:szCs w:val="20"/>
                <w:lang w:val="en-GB"/>
              </w:rPr>
            </w:pPr>
            <w:r w:rsidRPr="0096339F">
              <w:rPr>
                <w:rFonts w:ascii="Times New Roman" w:hAnsi="Times New Roman"/>
                <w:b/>
                <w:sz w:val="20"/>
                <w:szCs w:val="20"/>
                <w:lang w:val="en-GB"/>
              </w:rPr>
              <w:t>n/a</w:t>
            </w:r>
          </w:p>
        </w:tc>
        <w:tc>
          <w:tcPr>
            <w:tcW w:w="1599"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n/a</w:t>
            </w:r>
          </w:p>
        </w:tc>
      </w:tr>
      <w:tr w:rsidR="00FB3CBF" w:rsidTr="001D6570">
        <w:tc>
          <w:tcPr>
            <w:tcW w:w="2274"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lastRenderedPageBreak/>
              <w:t>Aktivitetet ndërgjegjësuese për reduktimin, ripërdorimin dhe riciklimin e plastikës, të orientuara drejt bizneseve</w:t>
            </w:r>
          </w:p>
        </w:tc>
        <w:tc>
          <w:tcPr>
            <w:tcW w:w="1927"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Numri i aktiviteteve</w:t>
            </w:r>
          </w:p>
        </w:tc>
        <w:tc>
          <w:tcPr>
            <w:tcW w:w="1601"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Rritja e ndërgjegjësimit dhe edukimi i bizneseve, autoriteteve publike dhe familjeve për parandalimin e mbetjeve plastike, projektimin qarkor dhe hedhjen e pakontrolluar të mbetjeve (fushata, katalogë, platforma online; integrimi i ekonomisë qarkulluese në programet arsimore në shkolla)</w:t>
            </w:r>
          </w:p>
        </w:tc>
        <w:tc>
          <w:tcPr>
            <w:tcW w:w="1571"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Të dhënat sigurohen nga Ministria e Turizmit dhe Mjedisit</w:t>
            </w:r>
          </w:p>
        </w:tc>
        <w:tc>
          <w:tcPr>
            <w:tcW w:w="1738"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Kanë vazhduar përmes projekteve kombëtare dhe ndërkombëtare.</w:t>
            </w:r>
          </w:p>
        </w:tc>
      </w:tr>
      <w:tr w:rsidR="00FB3CBF" w:rsidTr="001D6570">
        <w:tc>
          <w:tcPr>
            <w:tcW w:w="2274" w:type="dxa"/>
          </w:tcPr>
          <w:p w:rsidR="00FB3CBF" w:rsidRPr="00E30B6F" w:rsidRDefault="00FB3CBF" w:rsidP="00FB3CBF">
            <w:pPr>
              <w:rPr>
                <w:rFonts w:ascii="Times New Roman" w:hAnsi="Times New Roman"/>
                <w:sz w:val="20"/>
                <w:szCs w:val="20"/>
              </w:rPr>
            </w:pPr>
            <w:r w:rsidRPr="00E30B6F">
              <w:rPr>
                <w:rFonts w:ascii="Times New Roman" w:hAnsi="Times New Roman"/>
                <w:sz w:val="20"/>
                <w:szCs w:val="20"/>
                <w:lang w:val="en-GB"/>
              </w:rPr>
              <w:t>Fushatat e ndërgjegjësimit dhe edukimit publik mbi mbetjet plastike dhe mbeturinat detare</w:t>
            </w:r>
          </w:p>
        </w:tc>
        <w:tc>
          <w:tcPr>
            <w:tcW w:w="1927"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Numri i fushatave</w:t>
            </w:r>
          </w:p>
        </w:tc>
        <w:tc>
          <w:tcPr>
            <w:tcW w:w="1601" w:type="dxa"/>
          </w:tcPr>
          <w:p w:rsidR="00FB3CBF" w:rsidRPr="00E30B6F" w:rsidRDefault="00FB3CBF" w:rsidP="00FB3CBF">
            <w:pPr>
              <w:rPr>
                <w:rFonts w:ascii="Times New Roman" w:hAnsi="Times New Roman"/>
                <w:sz w:val="20"/>
                <w:szCs w:val="20"/>
                <w:lang w:val="en-GB"/>
              </w:rPr>
            </w:pPr>
          </w:p>
        </w:tc>
        <w:tc>
          <w:tcPr>
            <w:tcW w:w="1571"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Të dhënat sigurohen nga Ministria e Turizmit dhe Mjedisit</w:t>
            </w:r>
          </w:p>
        </w:tc>
        <w:tc>
          <w:tcPr>
            <w:tcW w:w="1738"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n/a</w:t>
            </w:r>
          </w:p>
        </w:tc>
        <w:tc>
          <w:tcPr>
            <w:tcW w:w="1599" w:type="dxa"/>
          </w:tcPr>
          <w:p w:rsidR="00FB3CBF" w:rsidRPr="00E30B6F" w:rsidRDefault="00FB3CBF" w:rsidP="00FB3CBF">
            <w:pPr>
              <w:rPr>
                <w:rFonts w:ascii="Times New Roman" w:hAnsi="Times New Roman"/>
                <w:sz w:val="20"/>
                <w:szCs w:val="20"/>
                <w:lang w:val="en-GB"/>
              </w:rPr>
            </w:pPr>
            <w:r w:rsidRPr="00E30B6F">
              <w:rPr>
                <w:rFonts w:ascii="Times New Roman" w:hAnsi="Times New Roman"/>
                <w:sz w:val="20"/>
                <w:szCs w:val="20"/>
                <w:lang w:val="en-GB"/>
              </w:rPr>
              <w:t>Kanë vazhduar përmes projekteve të ndryshme (projekti MLP i GIZ-Albania) dhe aktiviteteve ndërgjegjësuese.</w:t>
            </w:r>
          </w:p>
        </w:tc>
      </w:tr>
      <w:tr w:rsidR="001D6570" w:rsidTr="001D6570">
        <w:tc>
          <w:tcPr>
            <w:tcW w:w="2274" w:type="dxa"/>
          </w:tcPr>
          <w:p w:rsidR="001D6570" w:rsidRPr="00E30B6F" w:rsidRDefault="001D6570" w:rsidP="003021DE">
            <w:pPr>
              <w:rPr>
                <w:rFonts w:ascii="Times New Roman" w:hAnsi="Times New Roman"/>
                <w:sz w:val="20"/>
                <w:szCs w:val="20"/>
                <w:lang w:val="en-GB"/>
              </w:rPr>
            </w:pPr>
            <w:r w:rsidRPr="00E30B6F">
              <w:rPr>
                <w:rFonts w:ascii="Times New Roman" w:hAnsi="Times New Roman"/>
                <w:sz w:val="20"/>
                <w:szCs w:val="20"/>
                <w:lang w:val="en-GB"/>
              </w:rPr>
              <w:t>Katalogët ose platformat elektronike rajonale dhe bashkiake për informacion mbi parandalimin e mbetjeve plastike</w:t>
            </w:r>
          </w:p>
        </w:tc>
        <w:tc>
          <w:tcPr>
            <w:tcW w:w="1927" w:type="dxa"/>
          </w:tcPr>
          <w:p w:rsidR="001D6570" w:rsidRPr="00E30B6F" w:rsidRDefault="001D6570" w:rsidP="003021DE">
            <w:pPr>
              <w:rPr>
                <w:rFonts w:ascii="Times New Roman" w:hAnsi="Times New Roman"/>
                <w:sz w:val="20"/>
                <w:szCs w:val="20"/>
                <w:lang w:val="en-GB"/>
              </w:rPr>
            </w:pPr>
            <w:r w:rsidRPr="00E30B6F">
              <w:rPr>
                <w:rFonts w:ascii="Times New Roman" w:hAnsi="Times New Roman"/>
                <w:sz w:val="20"/>
                <w:szCs w:val="20"/>
                <w:lang w:val="en-GB"/>
              </w:rPr>
              <w:t>Numri i platformave të krijuara; numri i materialeve dhe burimeve të disponueshme online; niveli i përdorimit të platformës</w:t>
            </w:r>
          </w:p>
        </w:tc>
        <w:tc>
          <w:tcPr>
            <w:tcW w:w="1601" w:type="dxa"/>
          </w:tcPr>
          <w:p w:rsidR="001D6570" w:rsidRPr="00E30B6F" w:rsidRDefault="001D6570" w:rsidP="003021DE">
            <w:pPr>
              <w:rPr>
                <w:rFonts w:ascii="Times New Roman" w:hAnsi="Times New Roman"/>
                <w:sz w:val="20"/>
                <w:szCs w:val="20"/>
                <w:lang w:val="en-GB"/>
              </w:rPr>
            </w:pPr>
          </w:p>
        </w:tc>
        <w:tc>
          <w:tcPr>
            <w:tcW w:w="1571" w:type="dxa"/>
          </w:tcPr>
          <w:p w:rsidR="001D6570" w:rsidRPr="00E30B6F" w:rsidRDefault="001D6570" w:rsidP="003021DE">
            <w:pPr>
              <w:rPr>
                <w:rFonts w:ascii="Times New Roman" w:hAnsi="Times New Roman"/>
                <w:sz w:val="20"/>
                <w:szCs w:val="20"/>
                <w:lang w:val="de-DE"/>
              </w:rPr>
            </w:pPr>
            <w:r w:rsidRPr="00E30B6F">
              <w:rPr>
                <w:rFonts w:ascii="Times New Roman" w:hAnsi="Times New Roman"/>
                <w:sz w:val="20"/>
                <w:szCs w:val="20"/>
                <w:lang w:val="de-DE"/>
              </w:rPr>
              <w:t>Të dhënat sigurohen nga autoritetet rajonale ose bashkiake</w:t>
            </w:r>
          </w:p>
        </w:tc>
        <w:tc>
          <w:tcPr>
            <w:tcW w:w="1738" w:type="dxa"/>
          </w:tcPr>
          <w:p w:rsidR="001D6570" w:rsidRPr="00E30B6F" w:rsidRDefault="001D6570" w:rsidP="003021DE">
            <w:pPr>
              <w:rPr>
                <w:rFonts w:ascii="Times New Roman" w:hAnsi="Times New Roman"/>
                <w:sz w:val="20"/>
                <w:szCs w:val="20"/>
                <w:lang w:val="en-GB"/>
              </w:rPr>
            </w:pPr>
            <w:r w:rsidRPr="00E30B6F">
              <w:rPr>
                <w:rFonts w:ascii="Times New Roman" w:hAnsi="Times New Roman"/>
                <w:sz w:val="20"/>
                <w:szCs w:val="20"/>
                <w:lang w:val="en-GB"/>
              </w:rPr>
              <w:t>0</w:t>
            </w:r>
          </w:p>
        </w:tc>
        <w:tc>
          <w:tcPr>
            <w:tcW w:w="1599" w:type="dxa"/>
          </w:tcPr>
          <w:p w:rsidR="001D6570" w:rsidRPr="00E30B6F" w:rsidRDefault="001D6570" w:rsidP="003021DE">
            <w:pPr>
              <w:rPr>
                <w:rFonts w:ascii="Times New Roman" w:hAnsi="Times New Roman"/>
                <w:sz w:val="20"/>
                <w:szCs w:val="20"/>
                <w:lang w:val="en-GB"/>
              </w:rPr>
            </w:pPr>
            <w:r w:rsidRPr="00E30B6F">
              <w:rPr>
                <w:rFonts w:ascii="Times New Roman" w:hAnsi="Times New Roman"/>
                <w:sz w:val="20"/>
                <w:szCs w:val="20"/>
                <w:lang w:val="en-GB"/>
              </w:rPr>
              <w:t>Nuk është krijuar një platformë kombëtare e dedikuar.</w:t>
            </w:r>
          </w:p>
        </w:tc>
      </w:tr>
      <w:tr w:rsidR="001D6570" w:rsidTr="001D6570">
        <w:tc>
          <w:tcPr>
            <w:tcW w:w="2274" w:type="dxa"/>
          </w:tcPr>
          <w:p w:rsidR="001D6570" w:rsidRPr="00E30B6F" w:rsidRDefault="001D6570" w:rsidP="003021DE">
            <w:pPr>
              <w:rPr>
                <w:rFonts w:ascii="Times New Roman" w:hAnsi="Times New Roman"/>
                <w:sz w:val="20"/>
                <w:szCs w:val="20"/>
                <w:lang w:val="es-ES"/>
              </w:rPr>
            </w:pPr>
            <w:r w:rsidRPr="00E30B6F">
              <w:rPr>
                <w:rFonts w:ascii="Times New Roman" w:hAnsi="Times New Roman"/>
                <w:sz w:val="20"/>
                <w:szCs w:val="20"/>
                <w:lang w:val="es-ES"/>
              </w:rPr>
              <w:t>Ekonomia qarkulluese në sistemin arsimor</w:t>
            </w:r>
          </w:p>
        </w:tc>
        <w:tc>
          <w:tcPr>
            <w:tcW w:w="1927" w:type="dxa"/>
          </w:tcPr>
          <w:p w:rsidR="001D6570" w:rsidRPr="00E30B6F" w:rsidRDefault="001D6570" w:rsidP="003021DE">
            <w:pPr>
              <w:rPr>
                <w:rFonts w:ascii="Times New Roman" w:hAnsi="Times New Roman"/>
                <w:sz w:val="20"/>
                <w:szCs w:val="20"/>
                <w:lang w:val="es-ES"/>
              </w:rPr>
            </w:pPr>
            <w:r w:rsidRPr="00E30B6F">
              <w:rPr>
                <w:rFonts w:ascii="Times New Roman" w:hAnsi="Times New Roman"/>
                <w:sz w:val="20"/>
                <w:szCs w:val="20"/>
                <w:lang w:val="es-ES"/>
              </w:rPr>
              <w:t>Numri i studentëve të edukuar ose trajnuar në fushat e ekonomisë qarkulluese; numri i aktiviteteve të organizuara në lidhje me veprimtaritë pedagogjike të ekonomisë qarkulluese</w:t>
            </w:r>
          </w:p>
        </w:tc>
        <w:tc>
          <w:tcPr>
            <w:tcW w:w="1601" w:type="dxa"/>
          </w:tcPr>
          <w:p w:rsidR="001D6570" w:rsidRPr="00E30B6F" w:rsidRDefault="001D6570" w:rsidP="003021DE">
            <w:pPr>
              <w:rPr>
                <w:rFonts w:ascii="Times New Roman" w:hAnsi="Times New Roman"/>
                <w:sz w:val="20"/>
                <w:szCs w:val="20"/>
                <w:lang w:val="es-ES"/>
              </w:rPr>
            </w:pPr>
          </w:p>
        </w:tc>
        <w:tc>
          <w:tcPr>
            <w:tcW w:w="1571" w:type="dxa"/>
          </w:tcPr>
          <w:p w:rsidR="001D6570" w:rsidRPr="00E30B6F" w:rsidRDefault="001D6570" w:rsidP="003021DE">
            <w:pPr>
              <w:rPr>
                <w:rFonts w:ascii="Times New Roman" w:hAnsi="Times New Roman"/>
                <w:sz w:val="20"/>
                <w:szCs w:val="20"/>
                <w:lang w:val="en-GB"/>
              </w:rPr>
            </w:pPr>
            <w:r w:rsidRPr="00E30B6F">
              <w:rPr>
                <w:rFonts w:ascii="Times New Roman" w:hAnsi="Times New Roman"/>
                <w:sz w:val="20"/>
                <w:szCs w:val="20"/>
                <w:lang w:val="en-GB"/>
              </w:rPr>
              <w:t>Të dhënat sigurohen nga Ministria e Arsimit, Sportit dhe Rinisë</w:t>
            </w:r>
          </w:p>
        </w:tc>
        <w:tc>
          <w:tcPr>
            <w:tcW w:w="1738" w:type="dxa"/>
          </w:tcPr>
          <w:p w:rsidR="001D6570" w:rsidRPr="00E30B6F" w:rsidRDefault="001D6570" w:rsidP="003021DE">
            <w:pPr>
              <w:rPr>
                <w:rFonts w:ascii="Times New Roman" w:hAnsi="Times New Roman"/>
                <w:sz w:val="20"/>
                <w:szCs w:val="20"/>
                <w:lang w:val="en-GB"/>
              </w:rPr>
            </w:pPr>
            <w:r w:rsidRPr="00E30B6F">
              <w:rPr>
                <w:rFonts w:ascii="Times New Roman" w:hAnsi="Times New Roman"/>
                <w:sz w:val="20"/>
                <w:szCs w:val="20"/>
                <w:lang w:val="en-GB"/>
              </w:rPr>
              <w:t>Programi i parë Bachelor në Ekonominë Qarkulluese në Universitetin e Durrësit – aplikimi në proces, përgjigjja pritet në korrik (30–35 studentë në vit)</w:t>
            </w:r>
          </w:p>
        </w:tc>
        <w:tc>
          <w:tcPr>
            <w:tcW w:w="1599" w:type="dxa"/>
          </w:tcPr>
          <w:p w:rsidR="001D6570" w:rsidRPr="00E30B6F" w:rsidRDefault="001D6570" w:rsidP="003021DE">
            <w:pPr>
              <w:rPr>
                <w:rFonts w:ascii="Times New Roman" w:hAnsi="Times New Roman"/>
                <w:sz w:val="20"/>
                <w:szCs w:val="20"/>
                <w:lang w:val="en-GB"/>
              </w:rPr>
            </w:pPr>
            <w:r w:rsidRPr="00E30B6F">
              <w:rPr>
                <w:rFonts w:ascii="Times New Roman" w:hAnsi="Times New Roman"/>
                <w:sz w:val="20"/>
                <w:szCs w:val="20"/>
                <w:lang w:val="en-GB"/>
              </w:rPr>
              <w:t>Është shënuar progres përmes zhvillimit të kurrikulave dhe aktiviteteve ndërgjegjësuese.</w:t>
            </w:r>
          </w:p>
        </w:tc>
      </w:tr>
      <w:tr w:rsidR="001D6570" w:rsidTr="001D6570">
        <w:tc>
          <w:tcPr>
            <w:tcW w:w="2274" w:type="dxa"/>
          </w:tcPr>
          <w:p w:rsidR="001D6570" w:rsidRPr="00E30B6F" w:rsidRDefault="001D6570" w:rsidP="003021DE">
            <w:pPr>
              <w:rPr>
                <w:rFonts w:ascii="Times New Roman" w:hAnsi="Times New Roman"/>
                <w:sz w:val="20"/>
                <w:szCs w:val="20"/>
                <w:lang w:val="en-GB"/>
              </w:rPr>
            </w:pPr>
            <w:r w:rsidRPr="00E30B6F">
              <w:rPr>
                <w:rFonts w:ascii="Times New Roman" w:hAnsi="Times New Roman"/>
                <w:sz w:val="20"/>
                <w:szCs w:val="20"/>
                <w:lang w:val="en-GB"/>
              </w:rPr>
              <w:lastRenderedPageBreak/>
              <w:t>Miratimi i një strategjie me të gjithë elementët e nevojshëm (afat kohor, buxhet, institucion përgjegjës, proces konsultimi)</w:t>
            </w:r>
          </w:p>
        </w:tc>
        <w:tc>
          <w:tcPr>
            <w:tcW w:w="1927" w:type="dxa"/>
          </w:tcPr>
          <w:p w:rsidR="001D6570" w:rsidRPr="00E30B6F" w:rsidRDefault="001D6570" w:rsidP="003021DE">
            <w:pPr>
              <w:rPr>
                <w:rFonts w:ascii="Times New Roman" w:hAnsi="Times New Roman"/>
                <w:sz w:val="20"/>
                <w:szCs w:val="20"/>
                <w:lang w:val="en-GB"/>
              </w:rPr>
            </w:pPr>
            <w:r w:rsidRPr="00E30B6F">
              <w:rPr>
                <w:rFonts w:ascii="Times New Roman" w:hAnsi="Times New Roman"/>
                <w:sz w:val="20"/>
                <w:szCs w:val="20"/>
                <w:lang w:val="en-GB"/>
              </w:rPr>
              <w:t>Tregues specifik për monitorimin e miratimit të strategjisë (po/jo)</w:t>
            </w:r>
          </w:p>
        </w:tc>
        <w:tc>
          <w:tcPr>
            <w:tcW w:w="1601" w:type="dxa"/>
          </w:tcPr>
          <w:p w:rsidR="001D6570" w:rsidRPr="00E30B6F" w:rsidRDefault="001D6570" w:rsidP="003021DE">
            <w:pPr>
              <w:rPr>
                <w:rFonts w:ascii="Times New Roman" w:hAnsi="Times New Roman"/>
                <w:sz w:val="20"/>
                <w:szCs w:val="20"/>
                <w:lang w:val="en-GB"/>
              </w:rPr>
            </w:pPr>
            <w:r w:rsidRPr="00E30B6F">
              <w:rPr>
                <w:rFonts w:ascii="Times New Roman" w:hAnsi="Times New Roman"/>
                <w:sz w:val="20"/>
                <w:szCs w:val="20"/>
                <w:lang w:val="en-GB"/>
              </w:rPr>
              <w:t>Hartimi i një strategjie për frenimin e ndotjes nga plastika, përfshirë mbetjet plastike detare</w:t>
            </w:r>
          </w:p>
        </w:tc>
        <w:tc>
          <w:tcPr>
            <w:tcW w:w="1571" w:type="dxa"/>
          </w:tcPr>
          <w:p w:rsidR="001D6570" w:rsidRPr="00E30B6F" w:rsidRDefault="001D6570" w:rsidP="003021DE">
            <w:pPr>
              <w:rPr>
                <w:rFonts w:ascii="Times New Roman" w:hAnsi="Times New Roman"/>
                <w:sz w:val="20"/>
                <w:szCs w:val="20"/>
                <w:lang w:val="en-GB"/>
              </w:rPr>
            </w:pPr>
            <w:r w:rsidRPr="00E30B6F">
              <w:rPr>
                <w:rFonts w:ascii="Times New Roman" w:hAnsi="Times New Roman"/>
                <w:sz w:val="20"/>
                <w:szCs w:val="20"/>
                <w:lang w:val="en-GB"/>
              </w:rPr>
              <w:t>Të dhënat sigurohen nga Ministria e Turizmit dhe Mjedisit</w:t>
            </w:r>
          </w:p>
        </w:tc>
        <w:tc>
          <w:tcPr>
            <w:tcW w:w="1738" w:type="dxa"/>
          </w:tcPr>
          <w:p w:rsidR="001D6570" w:rsidRPr="00E30B6F" w:rsidRDefault="001D6570" w:rsidP="003021DE">
            <w:pPr>
              <w:rPr>
                <w:rFonts w:ascii="Times New Roman" w:hAnsi="Times New Roman"/>
                <w:sz w:val="20"/>
                <w:szCs w:val="20"/>
                <w:lang w:val="en-GB"/>
              </w:rPr>
            </w:pPr>
          </w:p>
        </w:tc>
        <w:tc>
          <w:tcPr>
            <w:tcW w:w="1599" w:type="dxa"/>
          </w:tcPr>
          <w:p w:rsidR="001D6570" w:rsidRPr="00E30B6F" w:rsidRDefault="001D6570" w:rsidP="003021DE">
            <w:pPr>
              <w:rPr>
                <w:rFonts w:ascii="Times New Roman" w:hAnsi="Times New Roman"/>
                <w:sz w:val="20"/>
                <w:szCs w:val="20"/>
                <w:lang w:val="en-GB"/>
              </w:rPr>
            </w:pPr>
            <w:r w:rsidRPr="00E30B6F">
              <w:rPr>
                <w:rFonts w:ascii="Times New Roman" w:hAnsi="Times New Roman"/>
                <w:sz w:val="20"/>
                <w:szCs w:val="20"/>
                <w:lang w:val="en-GB"/>
              </w:rPr>
              <w:t>Ende nuk është miratuar një strategji gjithëpërfshirëse.</w:t>
            </w:r>
          </w:p>
        </w:tc>
      </w:tr>
    </w:tbl>
    <w:p w:rsidR="00FE1F1B" w:rsidRDefault="00FE1F1B" w:rsidP="0000381E">
      <w:pPr>
        <w:spacing w:after="0" w:line="240" w:lineRule="auto"/>
        <w:jc w:val="both"/>
        <w:rPr>
          <w:color w:val="FF0000"/>
          <w:sz w:val="24"/>
          <w:szCs w:val="24"/>
        </w:rPr>
      </w:pPr>
    </w:p>
    <w:p w:rsidR="002C4E4E" w:rsidRPr="002C4E4E" w:rsidRDefault="002C4E4E" w:rsidP="0000381E">
      <w:pPr>
        <w:spacing w:after="0" w:line="240" w:lineRule="auto"/>
        <w:jc w:val="both"/>
        <w:rPr>
          <w:rFonts w:ascii="Times New Roman" w:eastAsia="Aptos" w:hAnsi="Times New Roman" w:cs="Times New Roman"/>
          <w:sz w:val="24"/>
          <w:szCs w:val="24"/>
          <w:lang w:val="en-GB"/>
        </w:rPr>
      </w:pPr>
      <w:r w:rsidRPr="002C4E4E">
        <w:rPr>
          <w:rFonts w:ascii="Times New Roman" w:eastAsia="Aptos" w:hAnsi="Times New Roman" w:cs="Times New Roman"/>
          <w:sz w:val="24"/>
          <w:szCs w:val="24"/>
          <w:lang w:val="en-GB"/>
        </w:rPr>
        <w:t>Sfidat e Shqipërisë në avancimin e tranzicionit drejt ekonomisë qarkulluese lidhen kryesisht me zbatimin efektiv të kuadrit ligjor të përafruar me direktivat e Bashkimit Evropian, vendosjen e instrumenteve ekonomike, monitorimin e treguesve të ekonomisë qarkulluese, promovimin dhe përhapjen e modeleve qarkulluese të biznesit, si dhe mbylljen e cikleve të materialeve, veçanërisht të plastikës, me vëmendje të veçantë ndaj mbetjeve detare.</w:t>
      </w:r>
    </w:p>
    <w:p w:rsidR="002C4E4E" w:rsidRPr="002C4E4E" w:rsidRDefault="002C4E4E" w:rsidP="0000381E">
      <w:pPr>
        <w:spacing w:after="0" w:line="240" w:lineRule="auto"/>
        <w:jc w:val="both"/>
        <w:rPr>
          <w:rFonts w:ascii="Times New Roman" w:eastAsia="Aptos" w:hAnsi="Times New Roman" w:cs="Times New Roman"/>
          <w:sz w:val="24"/>
          <w:szCs w:val="24"/>
          <w:lang w:val="en-GB"/>
        </w:rPr>
      </w:pPr>
      <w:r w:rsidRPr="002C4E4E">
        <w:rPr>
          <w:rFonts w:ascii="Times New Roman" w:eastAsia="Aptos" w:hAnsi="Times New Roman" w:cs="Times New Roman"/>
          <w:sz w:val="24"/>
          <w:szCs w:val="24"/>
          <w:lang w:val="en-GB"/>
        </w:rPr>
        <w:t>Një nga faktorët kryesorë që ndikon në tranzicionin drejt ekonomisë qarkulluese është riciklimi i mbetjeve. Strategjia e Menaxhimit të Integruar të Mbetjeve 2020–2035 ka përcaktuar si objektiv arritjen e një norme riciklimi prej 55% të mbetjeve urbane deri në vitin 2035. Gjatë vitit 2025 është shënuar progres i rëndësishëm në forcimin e kuadrit institucional dhe ligjor, veçanërisht nëpërmjet miratimit të Ligjit nr. 57/2025 “Për Menaxhimin e Integruar të Mbetjeve” dhe Ligjit nr. 74/2025 “Për përgjegjësitë e zgjeruara të prodhuesit (PZP)”, i cili krijon bazën ligjore për rritjen e normave të grumbullimit të veçuar dhe riciklimit për rrjedhat prioritare të mbetjeve. Megjithatë, normat e riciklimit mbeten ende nën objektivat e përcaktuara nga Bashkimi Evropian dhe nevojiten përpjekje të mëtejshme për funksionalizimin e skemave të PZP-së dhe zgjerimin e sistemeve të grumbullimit të veçuar.</w:t>
      </w:r>
    </w:p>
    <w:p w:rsidR="0000381E" w:rsidRPr="00F47F68" w:rsidRDefault="002C4E4E" w:rsidP="0000381E">
      <w:pPr>
        <w:spacing w:after="120" w:line="240" w:lineRule="auto"/>
        <w:jc w:val="both"/>
        <w:rPr>
          <w:rFonts w:ascii="Times New Roman" w:eastAsia="Aptos" w:hAnsi="Times New Roman" w:cs="Times New Roman"/>
          <w:sz w:val="24"/>
          <w:szCs w:val="24"/>
          <w:lang w:val="en-GB"/>
        </w:rPr>
      </w:pPr>
      <w:r w:rsidRPr="002C4E4E">
        <w:rPr>
          <w:rFonts w:ascii="Times New Roman" w:eastAsia="Aptos" w:hAnsi="Times New Roman" w:cs="Times New Roman"/>
          <w:sz w:val="24"/>
          <w:szCs w:val="24"/>
          <w:lang w:val="en-GB"/>
        </w:rPr>
        <w:t>Ky raport paraqet informacion mbi sasitë dhe përbërjen e mbetjeve dhe ofron një analizë të mbetjeve të gjeneruara gjatë vitit 2025. Ai shqyrton tendencat, sfidat dhe mundësitë që lidhen me menaxhimin e mbetjeve dhe tranzicionin drejt ekonomisë qarkulluese në Shqipëri. Vëmendje e veçantë i kushtohet identifikimit të mangësive në mbledhjen dhe raportimin e të dhënave, me qëllim përmirësimin e cilësisë, saktësisë dhe besueshmërisë së raportimeve të ardhshme. Forcimi i cilësisë së të dhënave dhe i sistemeve të informacionit mbetet thelbësor për zhvillimin dhe zbatimin e politikave efektive të menaxhimit të mbetjeve, si dhe për mbështetjen e përafrimit të Shqipërisë me Paketën e Ekonomisë Qarkulluese të Bashkimit Evropian dhe procesin e anëtarësimit në BE.</w:t>
      </w:r>
    </w:p>
    <w:p w:rsidR="000C1D0D" w:rsidRPr="00BA3F62" w:rsidRDefault="00BA3F62" w:rsidP="00807975">
      <w:pPr>
        <w:pStyle w:val="ListParagraph"/>
        <w:numPr>
          <w:ilvl w:val="1"/>
          <w:numId w:val="168"/>
        </w:numPr>
        <w:rPr>
          <w:rFonts w:ascii="Times New Roman" w:hAnsi="Times New Roman" w:cs="Times New Roman"/>
          <w:b/>
          <w:sz w:val="24"/>
          <w:szCs w:val="24"/>
        </w:rPr>
      </w:pPr>
      <w:r>
        <w:rPr>
          <w:rFonts w:ascii="Times New Roman" w:hAnsi="Times New Roman" w:cs="Times New Roman"/>
          <w:b/>
          <w:sz w:val="24"/>
          <w:szCs w:val="24"/>
        </w:rPr>
        <w:t xml:space="preserve"> </w:t>
      </w:r>
      <w:r w:rsidR="00F47F68" w:rsidRPr="00BA3F62">
        <w:rPr>
          <w:rFonts w:ascii="Times New Roman" w:hAnsi="Times New Roman" w:cs="Times New Roman"/>
          <w:b/>
          <w:sz w:val="24"/>
          <w:szCs w:val="24"/>
        </w:rPr>
        <w:t>Vlerësimi i gjendjes</w:t>
      </w:r>
    </w:p>
    <w:p w:rsidR="00F80F07" w:rsidRPr="00BA3F62" w:rsidRDefault="00BA3F62" w:rsidP="00BA3F62">
      <w:pPr>
        <w:rPr>
          <w:rFonts w:ascii="Times New Roman" w:hAnsi="Times New Roman" w:cs="Times New Roman"/>
          <w:b/>
          <w:sz w:val="24"/>
          <w:szCs w:val="24"/>
        </w:rPr>
      </w:pPr>
      <w:r>
        <w:rPr>
          <w:rFonts w:ascii="Times New Roman" w:hAnsi="Times New Roman" w:cs="Times New Roman"/>
          <w:b/>
          <w:sz w:val="24"/>
          <w:szCs w:val="24"/>
        </w:rPr>
        <w:t xml:space="preserve">10.2.1 </w:t>
      </w:r>
      <w:r w:rsidR="00F80F07" w:rsidRPr="00BA3F62">
        <w:rPr>
          <w:rFonts w:ascii="Times New Roman" w:hAnsi="Times New Roman" w:cs="Times New Roman"/>
          <w:b/>
          <w:sz w:val="24"/>
          <w:szCs w:val="24"/>
        </w:rPr>
        <w:t xml:space="preserve">Gjenerimi i mbetjeve </w:t>
      </w:r>
      <w:r w:rsidR="00360B51" w:rsidRPr="00BA3F62">
        <w:rPr>
          <w:rFonts w:ascii="Times New Roman" w:hAnsi="Times New Roman" w:cs="Times New Roman"/>
          <w:b/>
          <w:sz w:val="24"/>
          <w:szCs w:val="24"/>
        </w:rPr>
        <w:t xml:space="preserve"> bashkia</w:t>
      </w:r>
      <w:r w:rsidR="004B54BC" w:rsidRPr="00BA3F62">
        <w:rPr>
          <w:rFonts w:ascii="Times New Roman" w:hAnsi="Times New Roman" w:cs="Times New Roman"/>
          <w:b/>
          <w:sz w:val="24"/>
          <w:szCs w:val="24"/>
        </w:rPr>
        <w:t>ke</w:t>
      </w:r>
    </w:p>
    <w:p w:rsidR="004B54BC" w:rsidRPr="004B54BC" w:rsidRDefault="004B54BC" w:rsidP="00FE1F1B">
      <w:pPr>
        <w:spacing w:after="0" w:line="240" w:lineRule="auto"/>
        <w:jc w:val="both"/>
        <w:rPr>
          <w:rFonts w:ascii="Times New Roman" w:hAnsi="Times New Roman" w:cs="Times New Roman"/>
          <w:sz w:val="24"/>
          <w:szCs w:val="24"/>
        </w:rPr>
      </w:pPr>
      <w:r w:rsidRPr="004B54BC">
        <w:rPr>
          <w:rFonts w:ascii="Times New Roman" w:hAnsi="Times New Roman" w:cs="Times New Roman"/>
          <w:sz w:val="24"/>
          <w:szCs w:val="24"/>
        </w:rPr>
        <w:t xml:space="preserve">Bashkitë janë institucionet kryesore për menaxhimin e mbetjeve bashkiake. Raportimet nga bashkitë për gjenerimin e mbetjeve grumbullohen nga Agjencia Kombëtare e Ekonomisë të Mbetjeve. Sasitë e gjeneruara të mbetjeve  për vitin 2025 sipas zonave të ndara paraqitet në tabelën </w:t>
      </w:r>
      <w:r w:rsidR="00B24E99">
        <w:rPr>
          <w:rFonts w:ascii="Times New Roman" w:hAnsi="Times New Roman" w:cs="Times New Roman"/>
          <w:sz w:val="24"/>
          <w:szCs w:val="24"/>
        </w:rPr>
        <w:t>82</w:t>
      </w:r>
      <w:r w:rsidRPr="004B54BC">
        <w:rPr>
          <w:rFonts w:ascii="Times New Roman" w:hAnsi="Times New Roman" w:cs="Times New Roman"/>
          <w:sz w:val="24"/>
          <w:szCs w:val="24"/>
        </w:rPr>
        <w:t>.</w:t>
      </w:r>
      <w:r>
        <w:rPr>
          <w:rFonts w:ascii="Times New Roman" w:hAnsi="Times New Roman" w:cs="Times New Roman"/>
          <w:sz w:val="24"/>
          <w:szCs w:val="24"/>
        </w:rPr>
        <w:t xml:space="preserve"> </w:t>
      </w:r>
      <w:r w:rsidRPr="005D1C8C">
        <w:rPr>
          <w:rFonts w:ascii="Times New Roman" w:eastAsia="Times New Roman" w:hAnsi="Times New Roman" w:cs="Times New Roman"/>
          <w:color w:val="000000"/>
          <w:sz w:val="24"/>
          <w:szCs w:val="24"/>
        </w:rPr>
        <w:t>Totali</w:t>
      </w:r>
      <w:r>
        <w:rPr>
          <w:rFonts w:ascii="Times New Roman" w:eastAsia="Times New Roman" w:hAnsi="Times New Roman" w:cs="Times New Roman"/>
          <w:color w:val="000000"/>
          <w:sz w:val="24"/>
          <w:szCs w:val="24"/>
        </w:rPr>
        <w:t xml:space="preserve"> i</w:t>
      </w:r>
      <w:r w:rsidRPr="005D1C8C">
        <w:rPr>
          <w:rFonts w:ascii="Times New Roman" w:eastAsia="Times New Roman" w:hAnsi="Times New Roman" w:cs="Times New Roman"/>
          <w:color w:val="000000"/>
          <w:sz w:val="24"/>
          <w:szCs w:val="24"/>
        </w:rPr>
        <w:t xml:space="preserve"> mbetjeve është llogaritur duke mbledhur sasitë e rrymave të ndara</w:t>
      </w:r>
      <w:r w:rsidR="00A60649">
        <w:rPr>
          <w:rFonts w:ascii="Times New Roman" w:eastAsia="Times New Roman" w:hAnsi="Times New Roman" w:cs="Times New Roman"/>
          <w:color w:val="000000"/>
          <w:sz w:val="24"/>
          <w:szCs w:val="24"/>
        </w:rPr>
        <w:t>.</w:t>
      </w:r>
    </w:p>
    <w:p w:rsidR="000C1D0D" w:rsidRDefault="000C1D0D" w:rsidP="00FE1F1B">
      <w:pPr>
        <w:spacing w:after="0" w:line="240" w:lineRule="auto"/>
        <w:jc w:val="both"/>
        <w:rPr>
          <w:rFonts w:ascii="Times New Roman" w:hAnsi="Times New Roman" w:cs="Times New Roman"/>
          <w:sz w:val="24"/>
          <w:szCs w:val="24"/>
        </w:rPr>
      </w:pPr>
      <w:r w:rsidRPr="003141BF">
        <w:rPr>
          <w:rFonts w:ascii="Times New Roman" w:hAnsi="Times New Roman" w:cs="Times New Roman"/>
          <w:sz w:val="24"/>
          <w:szCs w:val="24"/>
        </w:rPr>
        <w:t>Sasia më e madhe e mbetjeve të gjeneruara  në total  për vitin 2025 është në zonën e menaxhimit Tiranë-Durrës me 474617 ton/vit  duke vijuar me zonën e menaxhimit Shkodër-Lezhë  me një sasi 90215 ton/vit.</w:t>
      </w:r>
      <w:r>
        <w:rPr>
          <w:rFonts w:ascii="Times New Roman" w:hAnsi="Times New Roman" w:cs="Times New Roman"/>
          <w:sz w:val="24"/>
          <w:szCs w:val="24"/>
        </w:rPr>
        <w:t xml:space="preserve"> Ndërsa sasia më e ulët e gjenerimit të mbetjeve është në zonën e Kukësit me 18510 ton/vit.</w:t>
      </w:r>
    </w:p>
    <w:p w:rsidR="000C1D0D" w:rsidRDefault="000C1D0D" w:rsidP="00FE1F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Përsa i përket gjenerimit të mbetjeve për person/kg/vit vlerësohet se zona e Korçës ka sasinë më të ulët me 115 kg/vit. Sasia më e madhe është në zonën e menaxhimit Tiranë-Durrës </w:t>
      </w:r>
      <w:r w:rsidR="000F6A97">
        <w:rPr>
          <w:rFonts w:ascii="Times New Roman" w:hAnsi="Times New Roman" w:cs="Times New Roman"/>
          <w:sz w:val="24"/>
          <w:szCs w:val="24"/>
        </w:rPr>
        <w:t>me 281 kg/vit për person duke u</w:t>
      </w:r>
      <w:r>
        <w:rPr>
          <w:rFonts w:ascii="Times New Roman" w:hAnsi="Times New Roman" w:cs="Times New Roman"/>
          <w:sz w:val="24"/>
          <w:szCs w:val="24"/>
        </w:rPr>
        <w:t xml:space="preserve"> ndjekur nga zona Vlora Jug-Gjirokastër me 278 kg/vit për person.</w:t>
      </w:r>
    </w:p>
    <w:p w:rsidR="009C6C64" w:rsidRPr="003141BF" w:rsidRDefault="001D30D5" w:rsidP="00FE1F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Në tabelën në vijim paraqitet situata për 10 bashkitë </w:t>
      </w:r>
      <w:r w:rsidR="001E4E06">
        <w:rPr>
          <w:rFonts w:ascii="Times New Roman" w:hAnsi="Times New Roman" w:cs="Times New Roman"/>
          <w:sz w:val="24"/>
          <w:szCs w:val="24"/>
        </w:rPr>
        <w:t>që kanë gjeneruar më shumë mbetje, 2025.</w:t>
      </w:r>
    </w:p>
    <w:p w:rsidR="002C4E4E" w:rsidRDefault="002C4E4E" w:rsidP="00FE1F1B">
      <w:pPr>
        <w:spacing w:after="0" w:line="240" w:lineRule="auto"/>
        <w:jc w:val="both"/>
        <w:rPr>
          <w:rFonts w:ascii="Times New Roman" w:eastAsia="Aptos" w:hAnsi="Times New Roman" w:cs="Times New Roman"/>
          <w:sz w:val="24"/>
          <w:szCs w:val="24"/>
          <w:lang w:val="en-GB"/>
        </w:rPr>
      </w:pPr>
      <w:r w:rsidRPr="002C4E4E">
        <w:rPr>
          <w:rFonts w:ascii="Times New Roman" w:eastAsia="Aptos" w:hAnsi="Times New Roman" w:cs="Times New Roman"/>
          <w:sz w:val="24"/>
          <w:szCs w:val="24"/>
          <w:lang w:val="en-GB"/>
        </w:rPr>
        <w:t>Bazuar në të dhënat vjetore të raportuara, dhjetë bashkitë që kanë gjeneruar sasinë më të madhe të mbetjeve urbane gjatë vitit 2025 paraqiten në Tabelën 2. Bashkitë e Tiranës dhe Durrësit ruajnë të njëjtën tendencë si në vitin e kaluar, duke regjistruar sasitë më të larta të mbetjeve urbane të gjeneruara. Bashkia e Tiranës ka gjeneruar sasinë më të madhe të mbetjeve, me 288,583 tonë në vit, e ndjekur nga Bashkia e Durrësit me 144,117 tonë në vit dhe Bashkia e Shkodrës me 37,340 tonë në vit.</w:t>
      </w:r>
    </w:p>
    <w:p w:rsidR="00FE1F1B" w:rsidRPr="002C4E4E" w:rsidRDefault="00FE1F1B" w:rsidP="00FE1F1B">
      <w:pPr>
        <w:spacing w:after="0" w:line="240" w:lineRule="auto"/>
        <w:jc w:val="both"/>
        <w:rPr>
          <w:rFonts w:ascii="Times New Roman" w:hAnsi="Times New Roman" w:cs="Times New Roman"/>
          <w:b/>
          <w:sz w:val="24"/>
          <w:szCs w:val="24"/>
        </w:rPr>
      </w:pPr>
    </w:p>
    <w:p w:rsidR="002C4E4E" w:rsidRPr="002C4E4E" w:rsidRDefault="00FE1F1B" w:rsidP="002C4E4E">
      <w:pPr>
        <w:jc w:val="both"/>
        <w:rPr>
          <w:rFonts w:ascii="Times New Roman" w:eastAsia="Aptos" w:hAnsi="Times New Roman" w:cs="Times New Roman"/>
          <w:sz w:val="24"/>
          <w:szCs w:val="24"/>
          <w:lang w:val="en-GB"/>
        </w:rPr>
      </w:pPr>
      <w:r>
        <w:rPr>
          <w:rFonts w:ascii="Times New Roman" w:eastAsia="Aptos" w:hAnsi="Times New Roman" w:cs="Times New Roman"/>
          <w:sz w:val="24"/>
          <w:szCs w:val="24"/>
          <w:lang w:val="en-GB"/>
        </w:rPr>
        <w:t xml:space="preserve">              Tabela 79</w:t>
      </w:r>
      <w:r w:rsidR="002C4E4E" w:rsidRPr="002C4E4E">
        <w:rPr>
          <w:rFonts w:ascii="Times New Roman" w:eastAsia="Aptos" w:hAnsi="Times New Roman" w:cs="Times New Roman"/>
          <w:sz w:val="24"/>
          <w:szCs w:val="24"/>
          <w:lang w:val="en-GB"/>
        </w:rPr>
        <w:t>. Dhjetë bashkitë me gjenerimin</w:t>
      </w:r>
      <w:r>
        <w:rPr>
          <w:rFonts w:ascii="Times New Roman" w:eastAsia="Aptos" w:hAnsi="Times New Roman" w:cs="Times New Roman"/>
          <w:sz w:val="24"/>
          <w:szCs w:val="24"/>
          <w:lang w:val="en-GB"/>
        </w:rPr>
        <w:t xml:space="preserve"> më të lartë të mbetjeve urbane</w:t>
      </w:r>
    </w:p>
    <w:tbl>
      <w:tblPr>
        <w:tblStyle w:val="TableGrid121"/>
        <w:tblW w:w="0" w:type="auto"/>
        <w:tblLook w:val="04A0" w:firstRow="1" w:lastRow="0" w:firstColumn="1" w:lastColumn="0" w:noHBand="0" w:noVBand="1"/>
      </w:tblPr>
      <w:tblGrid>
        <w:gridCol w:w="603"/>
        <w:gridCol w:w="1316"/>
        <w:gridCol w:w="2104"/>
        <w:gridCol w:w="5553"/>
      </w:tblGrid>
      <w:tr w:rsidR="002C4E4E" w:rsidRPr="002C4E4E" w:rsidTr="00406968">
        <w:tc>
          <w:tcPr>
            <w:tcW w:w="625" w:type="dxa"/>
            <w:shd w:val="clear" w:color="auto" w:fill="E2EFD9" w:themeFill="accent6" w:themeFillTint="33"/>
            <w:hideMark/>
          </w:tcPr>
          <w:p w:rsidR="002C4E4E" w:rsidRPr="002C4E4E" w:rsidRDefault="002C4E4E" w:rsidP="002C4E4E">
            <w:pPr>
              <w:jc w:val="both"/>
              <w:rPr>
                <w:rFonts w:ascii="Times New Roman" w:hAnsi="Times New Roman" w:cs="Times New Roman"/>
                <w:b/>
                <w:bCs/>
                <w:sz w:val="24"/>
                <w:szCs w:val="24"/>
                <w:lang w:val="en-GB"/>
              </w:rPr>
            </w:pPr>
            <w:r w:rsidRPr="002C4E4E">
              <w:rPr>
                <w:rFonts w:ascii="Times New Roman" w:hAnsi="Times New Roman" w:cs="Times New Roman"/>
                <w:b/>
                <w:bCs/>
                <w:sz w:val="24"/>
                <w:szCs w:val="24"/>
                <w:lang w:val="en-GB"/>
              </w:rPr>
              <w:t>Nr.</w:t>
            </w:r>
          </w:p>
        </w:tc>
        <w:tc>
          <w:tcPr>
            <w:tcW w:w="1440" w:type="dxa"/>
            <w:shd w:val="clear" w:color="auto" w:fill="E2EFD9" w:themeFill="accent6" w:themeFillTint="33"/>
            <w:hideMark/>
          </w:tcPr>
          <w:p w:rsidR="002C4E4E" w:rsidRPr="002C4E4E" w:rsidRDefault="002C4E4E" w:rsidP="002C4E4E">
            <w:pPr>
              <w:jc w:val="both"/>
              <w:rPr>
                <w:rFonts w:ascii="Times New Roman" w:hAnsi="Times New Roman" w:cs="Times New Roman"/>
                <w:b/>
                <w:bCs/>
                <w:sz w:val="24"/>
                <w:szCs w:val="24"/>
                <w:lang w:val="en-GB"/>
              </w:rPr>
            </w:pPr>
            <w:r w:rsidRPr="002C4E4E">
              <w:rPr>
                <w:rFonts w:ascii="Times New Roman" w:hAnsi="Times New Roman" w:cs="Times New Roman"/>
                <w:b/>
                <w:bCs/>
                <w:sz w:val="24"/>
                <w:szCs w:val="24"/>
                <w:lang w:val="en-GB"/>
              </w:rPr>
              <w:t>Bashkia</w:t>
            </w:r>
          </w:p>
        </w:tc>
        <w:tc>
          <w:tcPr>
            <w:tcW w:w="2610" w:type="dxa"/>
            <w:shd w:val="clear" w:color="auto" w:fill="E2EFD9" w:themeFill="accent6" w:themeFillTint="33"/>
            <w:hideMark/>
          </w:tcPr>
          <w:p w:rsidR="002C4E4E" w:rsidRPr="002C4E4E" w:rsidRDefault="002C4E4E" w:rsidP="002C4E4E">
            <w:pPr>
              <w:jc w:val="both"/>
              <w:rPr>
                <w:rFonts w:ascii="Times New Roman" w:hAnsi="Times New Roman" w:cs="Times New Roman"/>
                <w:b/>
                <w:bCs/>
                <w:sz w:val="24"/>
                <w:szCs w:val="24"/>
                <w:lang w:val="en-GB"/>
              </w:rPr>
            </w:pPr>
            <w:r w:rsidRPr="002C4E4E">
              <w:rPr>
                <w:rFonts w:ascii="Times New Roman" w:hAnsi="Times New Roman" w:cs="Times New Roman"/>
                <w:b/>
                <w:bCs/>
                <w:sz w:val="24"/>
                <w:szCs w:val="24"/>
                <w:lang w:val="en-GB"/>
              </w:rPr>
              <w:t>Mbetje urbane (ton)</w:t>
            </w:r>
          </w:p>
        </w:tc>
        <w:tc>
          <w:tcPr>
            <w:tcW w:w="7504" w:type="dxa"/>
            <w:shd w:val="clear" w:color="auto" w:fill="E2EFD9" w:themeFill="accent6" w:themeFillTint="33"/>
            <w:hideMark/>
          </w:tcPr>
          <w:p w:rsidR="002C4E4E" w:rsidRPr="002C4E4E" w:rsidRDefault="002C4E4E" w:rsidP="002C4E4E">
            <w:pPr>
              <w:jc w:val="both"/>
              <w:rPr>
                <w:rFonts w:ascii="Times New Roman" w:hAnsi="Times New Roman" w:cs="Times New Roman"/>
                <w:b/>
                <w:bCs/>
                <w:sz w:val="24"/>
                <w:szCs w:val="24"/>
                <w:lang w:val="en-GB"/>
              </w:rPr>
            </w:pPr>
            <w:r w:rsidRPr="002C4E4E">
              <w:rPr>
                <w:rFonts w:ascii="Times New Roman" w:hAnsi="Times New Roman" w:cs="Times New Roman"/>
                <w:b/>
                <w:bCs/>
                <w:sz w:val="24"/>
                <w:szCs w:val="24"/>
                <w:lang w:val="en-GB"/>
              </w:rPr>
              <w:t>Pesha ndaj gjenerimit total kombëtar të mbetjeve sipas bashkive (%)</w:t>
            </w:r>
          </w:p>
        </w:tc>
      </w:tr>
      <w:tr w:rsidR="002C4E4E" w:rsidRPr="002C4E4E" w:rsidTr="00406968">
        <w:tc>
          <w:tcPr>
            <w:tcW w:w="625"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1</w:t>
            </w:r>
          </w:p>
        </w:tc>
        <w:tc>
          <w:tcPr>
            <w:tcW w:w="1440"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Tiranë</w:t>
            </w:r>
          </w:p>
        </w:tc>
        <w:tc>
          <w:tcPr>
            <w:tcW w:w="2610"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288,583</w:t>
            </w:r>
          </w:p>
        </w:tc>
        <w:tc>
          <w:tcPr>
            <w:tcW w:w="7504"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34.07%</w:t>
            </w:r>
          </w:p>
        </w:tc>
      </w:tr>
      <w:tr w:rsidR="002C4E4E" w:rsidRPr="002C4E4E" w:rsidTr="00406968">
        <w:tc>
          <w:tcPr>
            <w:tcW w:w="625"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2</w:t>
            </w:r>
          </w:p>
        </w:tc>
        <w:tc>
          <w:tcPr>
            <w:tcW w:w="1440"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Durrës</w:t>
            </w:r>
          </w:p>
        </w:tc>
        <w:tc>
          <w:tcPr>
            <w:tcW w:w="2610"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144,117</w:t>
            </w:r>
          </w:p>
        </w:tc>
        <w:tc>
          <w:tcPr>
            <w:tcW w:w="7504"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17.02%</w:t>
            </w:r>
          </w:p>
        </w:tc>
      </w:tr>
      <w:tr w:rsidR="002C4E4E" w:rsidRPr="002C4E4E" w:rsidTr="00406968">
        <w:tc>
          <w:tcPr>
            <w:tcW w:w="625"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3</w:t>
            </w:r>
          </w:p>
        </w:tc>
        <w:tc>
          <w:tcPr>
            <w:tcW w:w="1440"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Kavajë</w:t>
            </w:r>
          </w:p>
        </w:tc>
        <w:tc>
          <w:tcPr>
            <w:tcW w:w="2610"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46,362</w:t>
            </w:r>
          </w:p>
        </w:tc>
        <w:tc>
          <w:tcPr>
            <w:tcW w:w="7504"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5.47%</w:t>
            </w:r>
          </w:p>
        </w:tc>
      </w:tr>
      <w:tr w:rsidR="002C4E4E" w:rsidRPr="002C4E4E" w:rsidTr="00406968">
        <w:tc>
          <w:tcPr>
            <w:tcW w:w="625"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4</w:t>
            </w:r>
          </w:p>
        </w:tc>
        <w:tc>
          <w:tcPr>
            <w:tcW w:w="1440"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Shkodër</w:t>
            </w:r>
          </w:p>
        </w:tc>
        <w:tc>
          <w:tcPr>
            <w:tcW w:w="2610"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37,340</w:t>
            </w:r>
          </w:p>
        </w:tc>
        <w:tc>
          <w:tcPr>
            <w:tcW w:w="7504"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4.41%</w:t>
            </w:r>
          </w:p>
        </w:tc>
      </w:tr>
      <w:tr w:rsidR="002C4E4E" w:rsidRPr="002C4E4E" w:rsidTr="00406968">
        <w:tc>
          <w:tcPr>
            <w:tcW w:w="625"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5</w:t>
            </w:r>
          </w:p>
        </w:tc>
        <w:tc>
          <w:tcPr>
            <w:tcW w:w="1440"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Elbasan</w:t>
            </w:r>
          </w:p>
        </w:tc>
        <w:tc>
          <w:tcPr>
            <w:tcW w:w="2610"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33,488</w:t>
            </w:r>
          </w:p>
        </w:tc>
        <w:tc>
          <w:tcPr>
            <w:tcW w:w="7504"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3.95%</w:t>
            </w:r>
          </w:p>
        </w:tc>
      </w:tr>
      <w:tr w:rsidR="002C4E4E" w:rsidRPr="002C4E4E" w:rsidTr="00406968">
        <w:tc>
          <w:tcPr>
            <w:tcW w:w="625"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6</w:t>
            </w:r>
          </w:p>
        </w:tc>
        <w:tc>
          <w:tcPr>
            <w:tcW w:w="1440"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Kamëz</w:t>
            </w:r>
          </w:p>
        </w:tc>
        <w:tc>
          <w:tcPr>
            <w:tcW w:w="2610"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33,399</w:t>
            </w:r>
          </w:p>
        </w:tc>
        <w:tc>
          <w:tcPr>
            <w:tcW w:w="7504"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3.94%</w:t>
            </w:r>
          </w:p>
        </w:tc>
      </w:tr>
      <w:tr w:rsidR="002C4E4E" w:rsidRPr="002C4E4E" w:rsidTr="00406968">
        <w:tc>
          <w:tcPr>
            <w:tcW w:w="625"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7</w:t>
            </w:r>
          </w:p>
        </w:tc>
        <w:tc>
          <w:tcPr>
            <w:tcW w:w="1440"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Vlorë</w:t>
            </w:r>
          </w:p>
        </w:tc>
        <w:tc>
          <w:tcPr>
            <w:tcW w:w="2610"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32,333</w:t>
            </w:r>
          </w:p>
        </w:tc>
        <w:tc>
          <w:tcPr>
            <w:tcW w:w="7504"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3.82%</w:t>
            </w:r>
          </w:p>
        </w:tc>
      </w:tr>
      <w:tr w:rsidR="002C4E4E" w:rsidRPr="002C4E4E" w:rsidTr="00406968">
        <w:tc>
          <w:tcPr>
            <w:tcW w:w="625"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8</w:t>
            </w:r>
          </w:p>
        </w:tc>
        <w:tc>
          <w:tcPr>
            <w:tcW w:w="1440"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Fier</w:t>
            </w:r>
          </w:p>
        </w:tc>
        <w:tc>
          <w:tcPr>
            <w:tcW w:w="2610"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26,360</w:t>
            </w:r>
          </w:p>
        </w:tc>
        <w:tc>
          <w:tcPr>
            <w:tcW w:w="7504"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3.11%</w:t>
            </w:r>
          </w:p>
        </w:tc>
      </w:tr>
      <w:tr w:rsidR="002C4E4E" w:rsidRPr="002C4E4E" w:rsidTr="00406968">
        <w:tc>
          <w:tcPr>
            <w:tcW w:w="625"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9</w:t>
            </w:r>
          </w:p>
        </w:tc>
        <w:tc>
          <w:tcPr>
            <w:tcW w:w="1440"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Korçë</w:t>
            </w:r>
          </w:p>
        </w:tc>
        <w:tc>
          <w:tcPr>
            <w:tcW w:w="2610"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21,260</w:t>
            </w:r>
          </w:p>
        </w:tc>
        <w:tc>
          <w:tcPr>
            <w:tcW w:w="7504"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2.51%</w:t>
            </w:r>
          </w:p>
        </w:tc>
      </w:tr>
      <w:tr w:rsidR="002C4E4E" w:rsidRPr="002C4E4E" w:rsidTr="00406968">
        <w:tc>
          <w:tcPr>
            <w:tcW w:w="625"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10</w:t>
            </w:r>
          </w:p>
        </w:tc>
        <w:tc>
          <w:tcPr>
            <w:tcW w:w="1440" w:type="dxa"/>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sz w:val="24"/>
                <w:szCs w:val="24"/>
                <w:lang w:val="en-GB"/>
              </w:rPr>
              <w:t>Lezhë</w:t>
            </w:r>
          </w:p>
        </w:tc>
        <w:tc>
          <w:tcPr>
            <w:tcW w:w="2610"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20,576</w:t>
            </w:r>
          </w:p>
        </w:tc>
        <w:tc>
          <w:tcPr>
            <w:tcW w:w="7504"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sz w:val="24"/>
                <w:szCs w:val="24"/>
                <w:lang w:val="en-GB"/>
              </w:rPr>
              <w:t>2.43%</w:t>
            </w:r>
          </w:p>
        </w:tc>
      </w:tr>
      <w:tr w:rsidR="002C4E4E" w:rsidRPr="002C4E4E" w:rsidTr="00406968">
        <w:tc>
          <w:tcPr>
            <w:tcW w:w="2065" w:type="dxa"/>
            <w:gridSpan w:val="2"/>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b/>
                <w:bCs/>
                <w:sz w:val="24"/>
                <w:szCs w:val="24"/>
                <w:lang w:val="en-GB"/>
              </w:rPr>
              <w:t>Bashkitë e tjera</w:t>
            </w:r>
          </w:p>
        </w:tc>
        <w:tc>
          <w:tcPr>
            <w:tcW w:w="2610"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b/>
                <w:bCs/>
                <w:sz w:val="24"/>
                <w:szCs w:val="24"/>
                <w:lang w:val="en-GB"/>
              </w:rPr>
              <w:t>163,153</w:t>
            </w:r>
          </w:p>
        </w:tc>
        <w:tc>
          <w:tcPr>
            <w:tcW w:w="7504"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b/>
                <w:bCs/>
                <w:sz w:val="24"/>
                <w:szCs w:val="24"/>
                <w:lang w:val="en-GB"/>
              </w:rPr>
              <w:t>19.26%</w:t>
            </w:r>
          </w:p>
        </w:tc>
      </w:tr>
      <w:tr w:rsidR="002C4E4E" w:rsidRPr="002C4E4E" w:rsidTr="00406968">
        <w:tc>
          <w:tcPr>
            <w:tcW w:w="2065" w:type="dxa"/>
            <w:gridSpan w:val="2"/>
            <w:hideMark/>
          </w:tcPr>
          <w:p w:rsidR="002C4E4E" w:rsidRPr="002C4E4E" w:rsidRDefault="002C4E4E" w:rsidP="002C4E4E">
            <w:pPr>
              <w:jc w:val="both"/>
              <w:rPr>
                <w:rFonts w:ascii="Times New Roman" w:hAnsi="Times New Roman" w:cs="Times New Roman"/>
                <w:sz w:val="24"/>
                <w:szCs w:val="24"/>
                <w:lang w:val="en-GB"/>
              </w:rPr>
            </w:pPr>
            <w:r w:rsidRPr="002C4E4E">
              <w:rPr>
                <w:rFonts w:ascii="Times New Roman" w:hAnsi="Times New Roman" w:cs="Times New Roman"/>
                <w:b/>
                <w:bCs/>
                <w:sz w:val="24"/>
                <w:szCs w:val="24"/>
                <w:lang w:val="en-GB"/>
              </w:rPr>
              <w:t>Totali</w:t>
            </w:r>
          </w:p>
        </w:tc>
        <w:tc>
          <w:tcPr>
            <w:tcW w:w="2610"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b/>
                <w:bCs/>
                <w:sz w:val="24"/>
                <w:szCs w:val="24"/>
                <w:lang w:val="en-GB"/>
              </w:rPr>
              <w:t>846,971</w:t>
            </w:r>
          </w:p>
        </w:tc>
        <w:tc>
          <w:tcPr>
            <w:tcW w:w="7504" w:type="dxa"/>
            <w:hideMark/>
          </w:tcPr>
          <w:p w:rsidR="002C4E4E" w:rsidRPr="002C4E4E" w:rsidRDefault="002C4E4E" w:rsidP="002C4E4E">
            <w:pPr>
              <w:jc w:val="right"/>
              <w:rPr>
                <w:rFonts w:ascii="Times New Roman" w:hAnsi="Times New Roman" w:cs="Times New Roman"/>
                <w:sz w:val="24"/>
                <w:szCs w:val="24"/>
                <w:lang w:val="en-GB"/>
              </w:rPr>
            </w:pPr>
            <w:r w:rsidRPr="002C4E4E">
              <w:rPr>
                <w:rFonts w:ascii="Times New Roman" w:hAnsi="Times New Roman" w:cs="Times New Roman"/>
                <w:b/>
                <w:bCs/>
                <w:sz w:val="24"/>
                <w:szCs w:val="24"/>
                <w:lang w:val="en-GB"/>
              </w:rPr>
              <w:t>100.00%</w:t>
            </w:r>
          </w:p>
        </w:tc>
      </w:tr>
    </w:tbl>
    <w:p w:rsidR="002C4E4E" w:rsidRDefault="0000381E" w:rsidP="002C4E4E">
      <w:pPr>
        <w:jc w:val="both"/>
        <w:rPr>
          <w:rFonts w:ascii="Times New Roman" w:eastAsia="Aptos" w:hAnsi="Times New Roman" w:cs="Times New Roman"/>
          <w:sz w:val="24"/>
          <w:szCs w:val="24"/>
          <w:lang w:val="en-GB"/>
        </w:rPr>
      </w:pPr>
      <w:r>
        <w:rPr>
          <w:rFonts w:ascii="Times New Roman" w:eastAsia="Aptos" w:hAnsi="Times New Roman" w:cs="Times New Roman"/>
          <w:sz w:val="24"/>
          <w:szCs w:val="24"/>
          <w:lang w:val="en-GB"/>
        </w:rPr>
        <w:t>N</w:t>
      </w:r>
      <w:r w:rsidR="002C4E4E" w:rsidRPr="002C4E4E">
        <w:rPr>
          <w:rFonts w:ascii="Times New Roman" w:eastAsia="Aptos" w:hAnsi="Times New Roman" w:cs="Times New Roman"/>
          <w:sz w:val="24"/>
          <w:szCs w:val="24"/>
          <w:lang w:val="en-GB"/>
        </w:rPr>
        <w:t>ë vijim paraq</w:t>
      </w:r>
      <w:r>
        <w:rPr>
          <w:rFonts w:ascii="Times New Roman" w:eastAsia="Aptos" w:hAnsi="Times New Roman" w:cs="Times New Roman"/>
          <w:sz w:val="24"/>
          <w:szCs w:val="24"/>
          <w:lang w:val="en-GB"/>
        </w:rPr>
        <w:t>itet shpërndarja</w:t>
      </w:r>
      <w:r w:rsidR="002C4E4E" w:rsidRPr="002C4E4E">
        <w:rPr>
          <w:rFonts w:ascii="Times New Roman" w:eastAsia="Aptos" w:hAnsi="Times New Roman" w:cs="Times New Roman"/>
          <w:sz w:val="24"/>
          <w:szCs w:val="24"/>
          <w:lang w:val="en-GB"/>
        </w:rPr>
        <w:t xml:space="preserve"> e gjenerimit të mbetjeve urbane ndërmjet dhjetë bashkive që kanë gjeneruar sasitë më të mëdha të mbetjeve gjatë vitit 2025.</w:t>
      </w:r>
    </w:p>
    <w:p w:rsidR="00F47F68" w:rsidRDefault="00F47F68" w:rsidP="002C4E4E">
      <w:pPr>
        <w:jc w:val="both"/>
        <w:rPr>
          <w:rFonts w:ascii="Times New Roman" w:eastAsia="Aptos" w:hAnsi="Times New Roman" w:cs="Times New Roman"/>
          <w:sz w:val="24"/>
          <w:szCs w:val="24"/>
          <w:lang w:val="en-GB"/>
        </w:rPr>
      </w:pPr>
    </w:p>
    <w:p w:rsidR="00F47F68" w:rsidRPr="002C4E4E" w:rsidRDefault="00F47F68" w:rsidP="002C4E4E">
      <w:pPr>
        <w:jc w:val="both"/>
        <w:rPr>
          <w:rFonts w:ascii="Times New Roman" w:eastAsia="Aptos" w:hAnsi="Times New Roman" w:cs="Times New Roman"/>
          <w:sz w:val="24"/>
          <w:szCs w:val="24"/>
          <w:lang w:val="en-GB"/>
        </w:rPr>
      </w:pPr>
      <w:r w:rsidRPr="00F47F68">
        <w:rPr>
          <w:rFonts w:ascii="Times New Roman" w:eastAsia="Aptos" w:hAnsi="Times New Roman" w:cs="Times New Roman"/>
          <w:noProof/>
          <w:sz w:val="24"/>
          <w:szCs w:val="24"/>
        </w:rPr>
        <w:drawing>
          <wp:inline distT="0" distB="0" distL="0" distR="0" wp14:anchorId="03BF3A9F" wp14:editId="5A38A17A">
            <wp:extent cx="4619625" cy="2733675"/>
            <wp:effectExtent l="0" t="0" r="9525" b="9525"/>
            <wp:docPr id="3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4670444" cy="2763747"/>
                    </a:xfrm>
                    <a:prstGeom prst="rect">
                      <a:avLst/>
                    </a:prstGeom>
                    <a:noFill/>
                    <a:ln>
                      <a:noFill/>
                    </a:ln>
                  </pic:spPr>
                </pic:pic>
              </a:graphicData>
            </a:graphic>
          </wp:inline>
        </w:drawing>
      </w:r>
    </w:p>
    <w:p w:rsidR="009C6C64" w:rsidRDefault="009C6C64" w:rsidP="000C1D0D">
      <w:pPr>
        <w:jc w:val="both"/>
        <w:rPr>
          <w:rFonts w:ascii="Times New Roman" w:hAnsi="Times New Roman" w:cs="Times New Roman"/>
          <w:b/>
          <w:sz w:val="24"/>
          <w:szCs w:val="24"/>
        </w:rPr>
      </w:pPr>
    </w:p>
    <w:p w:rsidR="00F47F68" w:rsidRPr="00F47F68" w:rsidRDefault="00F47F68" w:rsidP="00F47F68">
      <w:pPr>
        <w:jc w:val="both"/>
        <w:rPr>
          <w:rFonts w:ascii="Times New Roman" w:eastAsia="Aptos" w:hAnsi="Times New Roman" w:cs="Times New Roman"/>
          <w:sz w:val="24"/>
          <w:szCs w:val="24"/>
          <w:lang w:val="en-GB"/>
        </w:rPr>
      </w:pPr>
      <w:r w:rsidRPr="00F47F68">
        <w:rPr>
          <w:rFonts w:ascii="Times New Roman" w:eastAsia="Aptos" w:hAnsi="Times New Roman" w:cs="Times New Roman"/>
          <w:sz w:val="24"/>
          <w:szCs w:val="24"/>
          <w:lang w:val="en-GB"/>
        </w:rPr>
        <w:t>Tabela e mëposhtme paraqet situatën për dhjetë bashkitë që kanë gjeneruar sasinë më të vogël të mbetjeve urbane gjatë vitit 2025.</w:t>
      </w:r>
      <w:r w:rsidR="00B24E99" w:rsidRPr="00B24E99">
        <w:rPr>
          <w:rFonts w:ascii="Times New Roman" w:eastAsia="Aptos" w:hAnsi="Times New Roman" w:cs="Times New Roman"/>
          <w:sz w:val="24"/>
          <w:szCs w:val="24"/>
          <w:lang w:val="en-GB"/>
        </w:rPr>
        <w:t xml:space="preserve"> </w:t>
      </w:r>
      <w:r w:rsidR="00B24E99" w:rsidRPr="00F47F68">
        <w:rPr>
          <w:rFonts w:ascii="Times New Roman" w:eastAsia="Aptos" w:hAnsi="Times New Roman" w:cs="Times New Roman"/>
          <w:sz w:val="24"/>
          <w:szCs w:val="24"/>
          <w:lang w:val="en-GB"/>
        </w:rPr>
        <w:t>Bashkia e Selenicës regjistroi nivelin më të ulët të gjenerimi</w:t>
      </w:r>
      <w:r w:rsidR="00B24E99">
        <w:rPr>
          <w:rFonts w:ascii="Times New Roman" w:eastAsia="Aptos" w:hAnsi="Times New Roman" w:cs="Times New Roman"/>
          <w:sz w:val="24"/>
          <w:szCs w:val="24"/>
          <w:lang w:val="en-GB"/>
        </w:rPr>
        <w:t>t të mbetjeve, me vetëm 195 ton</w:t>
      </w:r>
      <w:r w:rsidR="00B24E99" w:rsidRPr="00F47F68">
        <w:rPr>
          <w:rFonts w:ascii="Times New Roman" w:eastAsia="Aptos" w:hAnsi="Times New Roman" w:cs="Times New Roman"/>
          <w:sz w:val="24"/>
          <w:szCs w:val="24"/>
          <w:lang w:val="en-GB"/>
        </w:rPr>
        <w:t xml:space="preserve"> në vit</w:t>
      </w:r>
      <w:r w:rsidR="00B24E99">
        <w:rPr>
          <w:rFonts w:ascii="Times New Roman" w:eastAsia="Aptos" w:hAnsi="Times New Roman" w:cs="Times New Roman"/>
          <w:sz w:val="24"/>
          <w:szCs w:val="24"/>
          <w:lang w:val="en-GB"/>
        </w:rPr>
        <w:t>.</w:t>
      </w:r>
    </w:p>
    <w:p w:rsidR="00F47F68" w:rsidRPr="00F47F68" w:rsidRDefault="00B24E99" w:rsidP="00F47F68">
      <w:pPr>
        <w:jc w:val="both"/>
        <w:rPr>
          <w:rFonts w:ascii="Times New Roman" w:eastAsia="Aptos" w:hAnsi="Times New Roman" w:cs="Times New Roman"/>
          <w:sz w:val="24"/>
          <w:szCs w:val="24"/>
          <w:lang w:val="en-GB"/>
        </w:rPr>
      </w:pPr>
      <w:r>
        <w:rPr>
          <w:rFonts w:ascii="Times New Roman" w:eastAsia="Aptos" w:hAnsi="Times New Roman" w:cs="Times New Roman"/>
          <w:sz w:val="24"/>
          <w:szCs w:val="24"/>
          <w:lang w:val="en-GB"/>
        </w:rPr>
        <w:t xml:space="preserve">          </w:t>
      </w:r>
      <w:r w:rsidR="00FE1F1B">
        <w:rPr>
          <w:rFonts w:ascii="Times New Roman" w:eastAsia="Aptos" w:hAnsi="Times New Roman" w:cs="Times New Roman"/>
          <w:sz w:val="24"/>
          <w:szCs w:val="24"/>
          <w:lang w:val="en-GB"/>
        </w:rPr>
        <w:t>Tabela 80.</w:t>
      </w:r>
      <w:r w:rsidR="00F47F68" w:rsidRPr="00F47F68">
        <w:rPr>
          <w:rFonts w:ascii="Times New Roman" w:eastAsia="Aptos" w:hAnsi="Times New Roman" w:cs="Times New Roman"/>
          <w:sz w:val="24"/>
          <w:szCs w:val="24"/>
          <w:lang w:val="en-GB"/>
        </w:rPr>
        <w:t xml:space="preserve"> Dhjetë bashkitë me gjenerimin më të ulët të mbetjeve urbane</w:t>
      </w:r>
    </w:p>
    <w:tbl>
      <w:tblPr>
        <w:tblW w:w="6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73"/>
        <w:gridCol w:w="1113"/>
        <w:gridCol w:w="1893"/>
        <w:gridCol w:w="3044"/>
      </w:tblGrid>
      <w:tr w:rsidR="00F47F68" w:rsidRPr="00F47F68" w:rsidTr="0000381E">
        <w:trPr>
          <w:trHeight w:val="323"/>
          <w:jc w:val="center"/>
        </w:trPr>
        <w:tc>
          <w:tcPr>
            <w:tcW w:w="450" w:type="dxa"/>
            <w:shd w:val="clear" w:color="auto" w:fill="E2EFD9" w:themeFill="accent6" w:themeFillTint="33"/>
            <w:vAlign w:val="center"/>
            <w:hideMark/>
          </w:tcPr>
          <w:p w:rsidR="00F47F68" w:rsidRPr="007C7F7C" w:rsidRDefault="00F47F68" w:rsidP="007C7F7C">
            <w:pPr>
              <w:spacing w:after="0" w:line="240" w:lineRule="auto"/>
              <w:jc w:val="center"/>
              <w:rPr>
                <w:rFonts w:ascii="Times New Roman" w:eastAsia="Times New Roman" w:hAnsi="Times New Roman" w:cs="Times New Roman"/>
                <w:b/>
                <w:bCs/>
                <w:color w:val="000000"/>
                <w:lang w:val="en-GB" w:eastAsia="en-GB"/>
              </w:rPr>
            </w:pPr>
            <w:r w:rsidRPr="007C7F7C">
              <w:rPr>
                <w:rFonts w:ascii="Times New Roman" w:eastAsia="Times New Roman" w:hAnsi="Times New Roman" w:cs="Times New Roman"/>
                <w:b/>
                <w:bCs/>
                <w:color w:val="000000"/>
                <w:lang w:val="en-GB" w:eastAsia="en-GB"/>
              </w:rPr>
              <w:t xml:space="preserve">Nr </w:t>
            </w:r>
          </w:p>
        </w:tc>
        <w:tc>
          <w:tcPr>
            <w:tcW w:w="1114" w:type="dxa"/>
            <w:shd w:val="clear" w:color="auto" w:fill="E2EFD9" w:themeFill="accent6" w:themeFillTint="33"/>
            <w:vAlign w:val="center"/>
            <w:hideMark/>
          </w:tcPr>
          <w:p w:rsidR="00F47F68" w:rsidRPr="007C7F7C" w:rsidRDefault="00F47F68" w:rsidP="007C7F7C">
            <w:pPr>
              <w:spacing w:after="0" w:line="240" w:lineRule="auto"/>
              <w:rPr>
                <w:rFonts w:ascii="Times New Roman" w:eastAsia="Times New Roman" w:hAnsi="Times New Roman" w:cs="Times New Roman"/>
                <w:b/>
                <w:bCs/>
                <w:color w:val="000000"/>
                <w:lang w:val="en-GB" w:eastAsia="en-GB"/>
              </w:rPr>
            </w:pPr>
            <w:r w:rsidRPr="007C7F7C">
              <w:rPr>
                <w:rFonts w:ascii="Times New Roman" w:eastAsia="Times New Roman" w:hAnsi="Times New Roman" w:cs="Times New Roman"/>
                <w:b/>
                <w:bCs/>
                <w:color w:val="000000"/>
                <w:lang w:val="en-GB" w:eastAsia="en-GB"/>
              </w:rPr>
              <w:t xml:space="preserve">Bashkia </w:t>
            </w:r>
          </w:p>
        </w:tc>
        <w:tc>
          <w:tcPr>
            <w:tcW w:w="1899" w:type="dxa"/>
            <w:shd w:val="clear" w:color="auto" w:fill="E2EFD9" w:themeFill="accent6" w:themeFillTint="33"/>
            <w:vAlign w:val="center"/>
            <w:hideMark/>
          </w:tcPr>
          <w:p w:rsidR="00F47F68" w:rsidRPr="007C7F7C" w:rsidRDefault="0000381E" w:rsidP="007C7F7C">
            <w:pPr>
              <w:spacing w:after="0" w:line="240" w:lineRule="auto"/>
              <w:jc w:val="center"/>
              <w:rPr>
                <w:rFonts w:ascii="Times New Roman" w:eastAsia="Times New Roman" w:hAnsi="Times New Roman" w:cs="Times New Roman"/>
                <w:b/>
                <w:bCs/>
                <w:color w:val="000000"/>
                <w:lang w:val="en-GB" w:eastAsia="en-GB"/>
              </w:rPr>
            </w:pPr>
            <w:r w:rsidRPr="007C7F7C">
              <w:rPr>
                <w:rFonts w:ascii="Times New Roman" w:eastAsia="Times New Roman" w:hAnsi="Times New Roman" w:cs="Times New Roman"/>
                <w:b/>
                <w:bCs/>
                <w:color w:val="000000"/>
                <w:lang w:val="en-GB" w:eastAsia="en-GB"/>
              </w:rPr>
              <w:t>Num</w:t>
            </w:r>
            <w:r w:rsidR="00F47F68" w:rsidRPr="007C7F7C">
              <w:rPr>
                <w:rFonts w:ascii="Times New Roman" w:eastAsia="Times New Roman" w:hAnsi="Times New Roman" w:cs="Times New Roman"/>
                <w:b/>
                <w:bCs/>
                <w:color w:val="000000"/>
                <w:lang w:val="en-GB" w:eastAsia="en-GB"/>
              </w:rPr>
              <w:t>ri i banorëve</w:t>
            </w:r>
          </w:p>
        </w:tc>
        <w:tc>
          <w:tcPr>
            <w:tcW w:w="3060" w:type="dxa"/>
            <w:shd w:val="clear" w:color="auto" w:fill="E2EFD9" w:themeFill="accent6" w:themeFillTint="33"/>
            <w:vAlign w:val="center"/>
            <w:hideMark/>
          </w:tcPr>
          <w:p w:rsidR="00F47F68" w:rsidRPr="007C7F7C" w:rsidRDefault="00F47F68" w:rsidP="007C7F7C">
            <w:pPr>
              <w:spacing w:after="0" w:line="240" w:lineRule="auto"/>
              <w:jc w:val="center"/>
              <w:rPr>
                <w:rFonts w:ascii="Times New Roman" w:eastAsia="Times New Roman" w:hAnsi="Times New Roman" w:cs="Times New Roman"/>
                <w:b/>
                <w:bCs/>
                <w:color w:val="000000"/>
                <w:lang w:val="en-GB" w:eastAsia="en-GB"/>
              </w:rPr>
            </w:pPr>
            <w:r w:rsidRPr="007C7F7C">
              <w:rPr>
                <w:rFonts w:ascii="Times New Roman" w:eastAsia="Times New Roman" w:hAnsi="Times New Roman" w:cs="Times New Roman"/>
                <w:b/>
                <w:bCs/>
                <w:color w:val="000000"/>
                <w:lang w:val="en-GB" w:eastAsia="en-GB"/>
              </w:rPr>
              <w:t>Mbetjet urbane t/</w:t>
            </w:r>
            <w:r w:rsidR="0000381E" w:rsidRPr="007C7F7C">
              <w:rPr>
                <w:rFonts w:ascii="Times New Roman" w:eastAsia="Times New Roman" w:hAnsi="Times New Roman" w:cs="Times New Roman"/>
                <w:b/>
                <w:bCs/>
                <w:color w:val="000000"/>
                <w:lang w:val="en-GB" w:eastAsia="en-GB"/>
              </w:rPr>
              <w:t>vit</w:t>
            </w:r>
          </w:p>
        </w:tc>
      </w:tr>
      <w:tr w:rsidR="00F47F68" w:rsidRPr="00F47F68" w:rsidTr="00B24E99">
        <w:trPr>
          <w:trHeight w:val="395"/>
          <w:jc w:val="center"/>
        </w:trPr>
        <w:tc>
          <w:tcPr>
            <w:tcW w:w="450"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b/>
                <w:bCs/>
                <w:color w:val="000000"/>
                <w:lang w:val="en-GB" w:eastAsia="en-GB"/>
              </w:rPr>
            </w:pPr>
            <w:r w:rsidRPr="007C7F7C">
              <w:rPr>
                <w:rFonts w:ascii="Times New Roman" w:eastAsia="Times New Roman" w:hAnsi="Times New Roman" w:cs="Times New Roman"/>
                <w:b/>
                <w:bCs/>
                <w:color w:val="000000"/>
                <w:lang w:val="en-GB" w:eastAsia="en-GB"/>
              </w:rPr>
              <w:t xml:space="preserve">   1 </w:t>
            </w:r>
          </w:p>
        </w:tc>
        <w:tc>
          <w:tcPr>
            <w:tcW w:w="1114"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Delvinë </w:t>
            </w:r>
          </w:p>
        </w:tc>
        <w:tc>
          <w:tcPr>
            <w:tcW w:w="1899"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17,224 </w:t>
            </w:r>
          </w:p>
        </w:tc>
        <w:tc>
          <w:tcPr>
            <w:tcW w:w="3060"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1,210 </w:t>
            </w:r>
          </w:p>
        </w:tc>
      </w:tr>
      <w:tr w:rsidR="00F47F68" w:rsidRPr="00F47F68" w:rsidTr="007C7F7C">
        <w:trPr>
          <w:trHeight w:val="395"/>
          <w:jc w:val="center"/>
        </w:trPr>
        <w:tc>
          <w:tcPr>
            <w:tcW w:w="450"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b/>
                <w:bCs/>
                <w:color w:val="000000"/>
                <w:lang w:val="en-GB" w:eastAsia="en-GB"/>
              </w:rPr>
            </w:pPr>
            <w:r w:rsidRPr="007C7F7C">
              <w:rPr>
                <w:rFonts w:ascii="Times New Roman" w:eastAsia="Times New Roman" w:hAnsi="Times New Roman" w:cs="Times New Roman"/>
                <w:b/>
                <w:bCs/>
                <w:color w:val="000000"/>
                <w:lang w:val="en-GB" w:eastAsia="en-GB"/>
              </w:rPr>
              <w:t xml:space="preserve">   2 </w:t>
            </w:r>
          </w:p>
        </w:tc>
        <w:tc>
          <w:tcPr>
            <w:tcW w:w="1114"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Libohovë </w:t>
            </w:r>
          </w:p>
        </w:tc>
        <w:tc>
          <w:tcPr>
            <w:tcW w:w="1899"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2,765 </w:t>
            </w:r>
          </w:p>
        </w:tc>
        <w:tc>
          <w:tcPr>
            <w:tcW w:w="3060"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1,000 </w:t>
            </w:r>
          </w:p>
        </w:tc>
      </w:tr>
      <w:tr w:rsidR="00F47F68" w:rsidRPr="00F47F68" w:rsidTr="00B24E99">
        <w:trPr>
          <w:trHeight w:val="350"/>
          <w:jc w:val="center"/>
        </w:trPr>
        <w:tc>
          <w:tcPr>
            <w:tcW w:w="450"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b/>
                <w:bCs/>
                <w:color w:val="000000"/>
                <w:lang w:val="en-GB" w:eastAsia="en-GB"/>
              </w:rPr>
            </w:pPr>
            <w:r w:rsidRPr="007C7F7C">
              <w:rPr>
                <w:rFonts w:ascii="Times New Roman" w:eastAsia="Times New Roman" w:hAnsi="Times New Roman" w:cs="Times New Roman"/>
                <w:b/>
                <w:bCs/>
                <w:color w:val="000000"/>
                <w:lang w:val="en-GB" w:eastAsia="en-GB"/>
              </w:rPr>
              <w:t xml:space="preserve">   3 </w:t>
            </w:r>
          </w:p>
        </w:tc>
        <w:tc>
          <w:tcPr>
            <w:tcW w:w="1114"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Kolonjë </w:t>
            </w:r>
          </w:p>
        </w:tc>
        <w:tc>
          <w:tcPr>
            <w:tcW w:w="1899"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11,070 </w:t>
            </w:r>
          </w:p>
        </w:tc>
        <w:tc>
          <w:tcPr>
            <w:tcW w:w="3060"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929 </w:t>
            </w:r>
          </w:p>
        </w:tc>
      </w:tr>
      <w:tr w:rsidR="00F47F68" w:rsidRPr="00F47F68" w:rsidTr="00B24E99">
        <w:trPr>
          <w:trHeight w:val="278"/>
          <w:jc w:val="center"/>
        </w:trPr>
        <w:tc>
          <w:tcPr>
            <w:tcW w:w="450"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b/>
                <w:bCs/>
                <w:color w:val="000000"/>
                <w:lang w:val="en-GB" w:eastAsia="en-GB"/>
              </w:rPr>
            </w:pPr>
            <w:r w:rsidRPr="007C7F7C">
              <w:rPr>
                <w:rFonts w:ascii="Times New Roman" w:eastAsia="Times New Roman" w:hAnsi="Times New Roman" w:cs="Times New Roman"/>
                <w:b/>
                <w:bCs/>
                <w:color w:val="000000"/>
                <w:lang w:val="en-GB" w:eastAsia="en-GB"/>
              </w:rPr>
              <w:t xml:space="preserve">   4 </w:t>
            </w:r>
          </w:p>
        </w:tc>
        <w:tc>
          <w:tcPr>
            <w:tcW w:w="1114"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Finiq </w:t>
            </w:r>
          </w:p>
        </w:tc>
        <w:tc>
          <w:tcPr>
            <w:tcW w:w="1899"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18,020 </w:t>
            </w:r>
          </w:p>
        </w:tc>
        <w:tc>
          <w:tcPr>
            <w:tcW w:w="3060"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929 </w:t>
            </w:r>
          </w:p>
        </w:tc>
      </w:tr>
      <w:tr w:rsidR="00F47F68" w:rsidRPr="00F47F68" w:rsidTr="0000381E">
        <w:trPr>
          <w:trHeight w:val="290"/>
          <w:jc w:val="center"/>
        </w:trPr>
        <w:tc>
          <w:tcPr>
            <w:tcW w:w="450"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b/>
                <w:bCs/>
                <w:color w:val="000000"/>
                <w:lang w:val="en-GB" w:eastAsia="en-GB"/>
              </w:rPr>
            </w:pPr>
            <w:r w:rsidRPr="007C7F7C">
              <w:rPr>
                <w:rFonts w:ascii="Times New Roman" w:eastAsia="Times New Roman" w:hAnsi="Times New Roman" w:cs="Times New Roman"/>
                <w:b/>
                <w:bCs/>
                <w:color w:val="000000"/>
                <w:lang w:val="en-GB" w:eastAsia="en-GB"/>
              </w:rPr>
              <w:t xml:space="preserve">   5 </w:t>
            </w:r>
          </w:p>
        </w:tc>
        <w:tc>
          <w:tcPr>
            <w:tcW w:w="1114"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Këlcyrë </w:t>
            </w:r>
          </w:p>
        </w:tc>
        <w:tc>
          <w:tcPr>
            <w:tcW w:w="1899"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11,890 </w:t>
            </w:r>
          </w:p>
        </w:tc>
        <w:tc>
          <w:tcPr>
            <w:tcW w:w="3060"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894 </w:t>
            </w:r>
          </w:p>
        </w:tc>
      </w:tr>
      <w:tr w:rsidR="00F47F68" w:rsidRPr="00F47F68" w:rsidTr="0000381E">
        <w:trPr>
          <w:trHeight w:val="290"/>
          <w:jc w:val="center"/>
        </w:trPr>
        <w:tc>
          <w:tcPr>
            <w:tcW w:w="450"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b/>
                <w:bCs/>
                <w:color w:val="000000"/>
                <w:lang w:val="en-GB" w:eastAsia="en-GB"/>
              </w:rPr>
            </w:pPr>
            <w:r w:rsidRPr="007C7F7C">
              <w:rPr>
                <w:rFonts w:ascii="Times New Roman" w:eastAsia="Times New Roman" w:hAnsi="Times New Roman" w:cs="Times New Roman"/>
                <w:b/>
                <w:bCs/>
                <w:color w:val="000000"/>
                <w:lang w:val="en-GB" w:eastAsia="en-GB"/>
              </w:rPr>
              <w:t xml:space="preserve">   6 </w:t>
            </w:r>
          </w:p>
        </w:tc>
        <w:tc>
          <w:tcPr>
            <w:tcW w:w="1114"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Konispol </w:t>
            </w:r>
          </w:p>
        </w:tc>
        <w:tc>
          <w:tcPr>
            <w:tcW w:w="1899"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9,843 </w:t>
            </w:r>
          </w:p>
        </w:tc>
        <w:tc>
          <w:tcPr>
            <w:tcW w:w="3060"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793 </w:t>
            </w:r>
          </w:p>
        </w:tc>
      </w:tr>
      <w:tr w:rsidR="00F47F68" w:rsidRPr="00F47F68" w:rsidTr="0000381E">
        <w:trPr>
          <w:trHeight w:val="340"/>
          <w:jc w:val="center"/>
        </w:trPr>
        <w:tc>
          <w:tcPr>
            <w:tcW w:w="450"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b/>
                <w:bCs/>
                <w:color w:val="000000"/>
                <w:lang w:val="en-GB" w:eastAsia="en-GB"/>
              </w:rPr>
            </w:pPr>
            <w:r w:rsidRPr="007C7F7C">
              <w:rPr>
                <w:rFonts w:ascii="Times New Roman" w:eastAsia="Times New Roman" w:hAnsi="Times New Roman" w:cs="Times New Roman"/>
                <w:b/>
                <w:bCs/>
                <w:color w:val="000000"/>
                <w:lang w:val="en-GB" w:eastAsia="en-GB"/>
              </w:rPr>
              <w:t xml:space="preserve">   7 </w:t>
            </w:r>
          </w:p>
        </w:tc>
        <w:tc>
          <w:tcPr>
            <w:tcW w:w="1114"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Memaliaj </w:t>
            </w:r>
          </w:p>
        </w:tc>
        <w:tc>
          <w:tcPr>
            <w:tcW w:w="1899"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18,840 </w:t>
            </w:r>
          </w:p>
        </w:tc>
        <w:tc>
          <w:tcPr>
            <w:tcW w:w="3060"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749 </w:t>
            </w:r>
          </w:p>
        </w:tc>
      </w:tr>
      <w:tr w:rsidR="00F47F68" w:rsidRPr="00F47F68" w:rsidTr="0000381E">
        <w:trPr>
          <w:trHeight w:val="290"/>
          <w:jc w:val="center"/>
        </w:trPr>
        <w:tc>
          <w:tcPr>
            <w:tcW w:w="450"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b/>
                <w:bCs/>
                <w:color w:val="000000"/>
                <w:lang w:val="en-GB" w:eastAsia="en-GB"/>
              </w:rPr>
            </w:pPr>
            <w:r w:rsidRPr="007C7F7C">
              <w:rPr>
                <w:rFonts w:ascii="Times New Roman" w:eastAsia="Times New Roman" w:hAnsi="Times New Roman" w:cs="Times New Roman"/>
                <w:b/>
                <w:bCs/>
                <w:color w:val="000000"/>
                <w:lang w:val="en-GB" w:eastAsia="en-GB"/>
              </w:rPr>
              <w:t xml:space="preserve">   8 </w:t>
            </w:r>
          </w:p>
        </w:tc>
        <w:tc>
          <w:tcPr>
            <w:tcW w:w="1114"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Klos </w:t>
            </w:r>
          </w:p>
        </w:tc>
        <w:tc>
          <w:tcPr>
            <w:tcW w:w="1899"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19,740 </w:t>
            </w:r>
          </w:p>
        </w:tc>
        <w:tc>
          <w:tcPr>
            <w:tcW w:w="3060"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677 </w:t>
            </w:r>
          </w:p>
        </w:tc>
      </w:tr>
      <w:tr w:rsidR="00F47F68" w:rsidRPr="00F47F68" w:rsidTr="0000381E">
        <w:trPr>
          <w:trHeight w:val="290"/>
          <w:jc w:val="center"/>
        </w:trPr>
        <w:tc>
          <w:tcPr>
            <w:tcW w:w="450"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b/>
                <w:bCs/>
                <w:color w:val="000000"/>
                <w:lang w:val="en-GB" w:eastAsia="en-GB"/>
              </w:rPr>
            </w:pPr>
            <w:r w:rsidRPr="007C7F7C">
              <w:rPr>
                <w:rFonts w:ascii="Times New Roman" w:eastAsia="Times New Roman" w:hAnsi="Times New Roman" w:cs="Times New Roman"/>
                <w:b/>
                <w:bCs/>
                <w:color w:val="000000"/>
                <w:lang w:val="en-GB" w:eastAsia="en-GB"/>
              </w:rPr>
              <w:t xml:space="preserve">   9 </w:t>
            </w:r>
          </w:p>
        </w:tc>
        <w:tc>
          <w:tcPr>
            <w:tcW w:w="1114"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Devoll </w:t>
            </w:r>
          </w:p>
        </w:tc>
        <w:tc>
          <w:tcPr>
            <w:tcW w:w="1899"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40,418 </w:t>
            </w:r>
          </w:p>
        </w:tc>
        <w:tc>
          <w:tcPr>
            <w:tcW w:w="3060"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668 </w:t>
            </w:r>
          </w:p>
        </w:tc>
      </w:tr>
      <w:tr w:rsidR="00F47F68" w:rsidRPr="00F47F68" w:rsidTr="0000381E">
        <w:trPr>
          <w:trHeight w:val="290"/>
          <w:jc w:val="center"/>
        </w:trPr>
        <w:tc>
          <w:tcPr>
            <w:tcW w:w="450"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b/>
                <w:bCs/>
                <w:color w:val="000000"/>
                <w:lang w:val="en-GB" w:eastAsia="en-GB"/>
              </w:rPr>
            </w:pPr>
            <w:r w:rsidRPr="007C7F7C">
              <w:rPr>
                <w:rFonts w:ascii="Times New Roman" w:eastAsia="Times New Roman" w:hAnsi="Times New Roman" w:cs="Times New Roman"/>
                <w:b/>
                <w:bCs/>
                <w:color w:val="000000"/>
                <w:lang w:val="en-GB" w:eastAsia="en-GB"/>
              </w:rPr>
              <w:t xml:space="preserve"> 10 </w:t>
            </w:r>
          </w:p>
        </w:tc>
        <w:tc>
          <w:tcPr>
            <w:tcW w:w="1114" w:type="dxa"/>
            <w:shd w:val="clear" w:color="auto" w:fill="FFFFFF" w:themeFill="background1"/>
            <w:vAlign w:val="center"/>
            <w:hideMark/>
          </w:tcPr>
          <w:p w:rsidR="00F47F68" w:rsidRPr="007C7F7C" w:rsidRDefault="00F47F68" w:rsidP="00B24E99">
            <w:pPr>
              <w:spacing w:after="0" w:line="240" w:lineRule="auto"/>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Selenicë </w:t>
            </w:r>
          </w:p>
        </w:tc>
        <w:tc>
          <w:tcPr>
            <w:tcW w:w="1899"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9,850 </w:t>
            </w:r>
          </w:p>
        </w:tc>
        <w:tc>
          <w:tcPr>
            <w:tcW w:w="3060" w:type="dxa"/>
            <w:shd w:val="clear" w:color="auto" w:fill="FFFFFF" w:themeFill="background1"/>
            <w:vAlign w:val="center"/>
            <w:hideMark/>
          </w:tcPr>
          <w:p w:rsidR="00F47F68" w:rsidRPr="007C7F7C" w:rsidRDefault="00F47F68" w:rsidP="00B24E99">
            <w:pPr>
              <w:spacing w:after="0" w:line="240" w:lineRule="auto"/>
              <w:jc w:val="right"/>
              <w:rPr>
                <w:rFonts w:ascii="Times New Roman" w:eastAsia="Times New Roman" w:hAnsi="Times New Roman" w:cs="Times New Roman"/>
                <w:color w:val="000000"/>
                <w:lang w:val="en-GB" w:eastAsia="en-GB"/>
              </w:rPr>
            </w:pPr>
            <w:r w:rsidRPr="007C7F7C">
              <w:rPr>
                <w:rFonts w:ascii="Times New Roman" w:eastAsia="Times New Roman" w:hAnsi="Times New Roman" w:cs="Times New Roman"/>
                <w:color w:val="000000"/>
                <w:lang w:val="en-GB" w:eastAsia="en-GB"/>
              </w:rPr>
              <w:t xml:space="preserve">                 195 </w:t>
            </w:r>
          </w:p>
        </w:tc>
      </w:tr>
    </w:tbl>
    <w:p w:rsidR="00F47F68" w:rsidRDefault="00F47F68" w:rsidP="00B24E99">
      <w:pPr>
        <w:spacing w:after="0" w:line="240" w:lineRule="auto"/>
        <w:jc w:val="both"/>
        <w:rPr>
          <w:rFonts w:ascii="Times New Roman" w:eastAsia="Aptos" w:hAnsi="Times New Roman" w:cs="Times New Roman"/>
          <w:sz w:val="24"/>
          <w:szCs w:val="24"/>
          <w:lang w:val="en-GB"/>
        </w:rPr>
      </w:pPr>
      <w:r w:rsidRPr="00F47F68">
        <w:rPr>
          <w:rFonts w:ascii="Times New Roman" w:eastAsia="Aptos" w:hAnsi="Times New Roman" w:cs="Times New Roman"/>
          <w:sz w:val="24"/>
          <w:szCs w:val="24"/>
          <w:lang w:val="en-GB"/>
        </w:rPr>
        <w:t>Gjenerimi i mbetjeve arriti nivelin më të lartë në vitin paraardhës, pas së cilit u vu re një rënie e sasive të raportuara</w:t>
      </w:r>
      <w:r w:rsidR="007C7F7C">
        <w:rPr>
          <w:rFonts w:ascii="Times New Roman" w:eastAsia="Aptos" w:hAnsi="Times New Roman" w:cs="Times New Roman"/>
          <w:sz w:val="24"/>
          <w:szCs w:val="24"/>
          <w:lang w:val="en-GB"/>
        </w:rPr>
        <w:t xml:space="preserve"> për vitin</w:t>
      </w:r>
      <w:r w:rsidR="00B24E99">
        <w:rPr>
          <w:rFonts w:ascii="Times New Roman" w:eastAsia="Aptos" w:hAnsi="Times New Roman" w:cs="Times New Roman"/>
          <w:sz w:val="24"/>
          <w:szCs w:val="24"/>
          <w:lang w:val="en-GB"/>
        </w:rPr>
        <w:t xml:space="preserve"> </w:t>
      </w:r>
      <w:r w:rsidR="007C7F7C">
        <w:rPr>
          <w:rFonts w:ascii="Times New Roman" w:eastAsia="Aptos" w:hAnsi="Times New Roman" w:cs="Times New Roman"/>
          <w:sz w:val="24"/>
          <w:szCs w:val="24"/>
          <w:lang w:val="en-GB"/>
        </w:rPr>
        <w:t>2025</w:t>
      </w:r>
      <w:r w:rsidRPr="00F47F68">
        <w:rPr>
          <w:rFonts w:ascii="Times New Roman" w:eastAsia="Aptos" w:hAnsi="Times New Roman" w:cs="Times New Roman"/>
          <w:sz w:val="24"/>
          <w:szCs w:val="24"/>
          <w:lang w:val="en-GB"/>
        </w:rPr>
        <w:t>. Kjo rënie mund të shpjegohet pjesërisht me emigrimin e popullsisë dhe uljen e numrit të banorëve rezidentë.</w:t>
      </w:r>
    </w:p>
    <w:p w:rsidR="00B24E99" w:rsidRPr="00F47F68" w:rsidRDefault="00B24E99" w:rsidP="00B24E99">
      <w:pPr>
        <w:spacing w:after="0" w:line="240" w:lineRule="auto"/>
        <w:jc w:val="both"/>
        <w:rPr>
          <w:rFonts w:ascii="Times New Roman" w:eastAsia="Aptos" w:hAnsi="Times New Roman" w:cs="Times New Roman"/>
          <w:sz w:val="24"/>
          <w:szCs w:val="24"/>
          <w:lang w:val="en-GB"/>
        </w:rPr>
      </w:pPr>
    </w:p>
    <w:p w:rsidR="00F47F68" w:rsidRPr="00F47F68" w:rsidRDefault="00F47F68" w:rsidP="00F47F68">
      <w:pPr>
        <w:jc w:val="both"/>
        <w:rPr>
          <w:rFonts w:ascii="Times New Roman" w:eastAsia="Aptos" w:hAnsi="Times New Roman" w:cs="Times New Roman"/>
          <w:sz w:val="24"/>
          <w:szCs w:val="24"/>
          <w:lang w:val="en-GB"/>
        </w:rPr>
      </w:pPr>
      <w:r w:rsidRPr="00F47F68">
        <w:rPr>
          <w:rFonts w:ascii="Times New Roman" w:eastAsia="Aptos" w:hAnsi="Times New Roman" w:cs="Times New Roman"/>
          <w:sz w:val="24"/>
          <w:szCs w:val="24"/>
          <w:lang w:val="en-GB"/>
        </w:rPr>
        <w:t>Tabela</w:t>
      </w:r>
      <w:r w:rsidR="00FE1F1B">
        <w:rPr>
          <w:rFonts w:ascii="Times New Roman" w:eastAsia="Aptos" w:hAnsi="Times New Roman" w:cs="Times New Roman"/>
          <w:sz w:val="24"/>
          <w:szCs w:val="24"/>
          <w:lang w:val="en-GB"/>
        </w:rPr>
        <w:t xml:space="preserve"> 81</w:t>
      </w:r>
      <w:r w:rsidRPr="00F47F68">
        <w:rPr>
          <w:rFonts w:ascii="Times New Roman" w:eastAsia="Aptos" w:hAnsi="Times New Roman" w:cs="Times New Roman"/>
          <w:sz w:val="24"/>
          <w:szCs w:val="24"/>
          <w:lang w:val="en-GB"/>
        </w:rPr>
        <w:t>. Tendenca e gjenerimit të mbetjeve gjatë gjashtë viteve të fundit (2020–2025)</w:t>
      </w:r>
    </w:p>
    <w:tbl>
      <w:tblPr>
        <w:tblpPr w:leftFromText="180" w:rightFromText="180" w:vertAnchor="text" w:horzAnchor="margin" w:tblpY="108"/>
        <w:tblW w:w="3780" w:type="dxa"/>
        <w:tblLook w:val="04A0" w:firstRow="1" w:lastRow="0" w:firstColumn="1" w:lastColumn="0" w:noHBand="0" w:noVBand="1"/>
      </w:tblPr>
      <w:tblGrid>
        <w:gridCol w:w="1255"/>
        <w:gridCol w:w="2525"/>
      </w:tblGrid>
      <w:tr w:rsidR="00CC05F5" w:rsidRPr="00F47F68" w:rsidTr="00CC05F5">
        <w:trPr>
          <w:trHeight w:val="290"/>
        </w:trPr>
        <w:tc>
          <w:tcPr>
            <w:tcW w:w="1255" w:type="dxa"/>
            <w:tcBorders>
              <w:top w:val="single" w:sz="4" w:space="0" w:color="auto"/>
              <w:left w:val="single" w:sz="4" w:space="0" w:color="auto"/>
              <w:bottom w:val="single" w:sz="4" w:space="0" w:color="auto"/>
              <w:right w:val="single" w:sz="4" w:space="0" w:color="auto"/>
            </w:tcBorders>
            <w:shd w:val="clear" w:color="000000" w:fill="E2EFD9"/>
            <w:vAlign w:val="center"/>
            <w:hideMark/>
          </w:tcPr>
          <w:p w:rsidR="00CC05F5" w:rsidRPr="00F47F68" w:rsidRDefault="00CC05F5" w:rsidP="00CC05F5">
            <w:pPr>
              <w:jc w:val="center"/>
              <w:rPr>
                <w:rFonts w:ascii="Times New Roman" w:eastAsia="Aptos" w:hAnsi="Times New Roman" w:cs="Times New Roman"/>
                <w:b/>
                <w:bCs/>
                <w:sz w:val="24"/>
                <w:szCs w:val="24"/>
                <w:lang w:val="en-GB"/>
              </w:rPr>
            </w:pPr>
            <w:r w:rsidRPr="00F47F68">
              <w:rPr>
                <w:rFonts w:ascii="Times New Roman" w:eastAsia="Aptos" w:hAnsi="Times New Roman" w:cs="Times New Roman"/>
                <w:b/>
                <w:bCs/>
                <w:sz w:val="24"/>
                <w:szCs w:val="24"/>
                <w:lang w:val="en-GB"/>
              </w:rPr>
              <w:t>Viti</w:t>
            </w:r>
          </w:p>
        </w:tc>
        <w:tc>
          <w:tcPr>
            <w:tcW w:w="2525" w:type="dxa"/>
            <w:tcBorders>
              <w:top w:val="single" w:sz="4" w:space="0" w:color="auto"/>
              <w:left w:val="nil"/>
              <w:bottom w:val="single" w:sz="4" w:space="0" w:color="auto"/>
              <w:right w:val="single" w:sz="4" w:space="0" w:color="auto"/>
            </w:tcBorders>
            <w:shd w:val="clear" w:color="000000" w:fill="E2EFD9"/>
            <w:vAlign w:val="center"/>
            <w:hideMark/>
          </w:tcPr>
          <w:p w:rsidR="00CC05F5" w:rsidRPr="00F47F68" w:rsidRDefault="00CC05F5" w:rsidP="00CC05F5">
            <w:pPr>
              <w:jc w:val="center"/>
              <w:rPr>
                <w:rFonts w:ascii="Times New Roman" w:eastAsia="Aptos" w:hAnsi="Times New Roman" w:cs="Times New Roman"/>
                <w:b/>
                <w:bCs/>
                <w:sz w:val="24"/>
                <w:szCs w:val="24"/>
                <w:lang w:val="fr-FR"/>
              </w:rPr>
            </w:pPr>
            <w:r w:rsidRPr="00F47F68">
              <w:rPr>
                <w:rFonts w:ascii="Times New Roman" w:eastAsia="Aptos" w:hAnsi="Times New Roman" w:cs="Times New Roman"/>
                <w:b/>
                <w:bCs/>
                <w:sz w:val="24"/>
                <w:szCs w:val="24"/>
                <w:lang w:val="fr-FR"/>
              </w:rPr>
              <w:t>Mbetjet urbane te menaxhuara (ton)</w:t>
            </w:r>
          </w:p>
        </w:tc>
      </w:tr>
      <w:tr w:rsidR="00CC05F5" w:rsidRPr="00F47F68" w:rsidTr="00CC05F5">
        <w:trPr>
          <w:trHeight w:val="290"/>
        </w:trPr>
        <w:tc>
          <w:tcPr>
            <w:tcW w:w="1255" w:type="dxa"/>
            <w:tcBorders>
              <w:top w:val="nil"/>
              <w:left w:val="single" w:sz="4" w:space="0" w:color="auto"/>
              <w:bottom w:val="single" w:sz="4" w:space="0" w:color="auto"/>
              <w:right w:val="single" w:sz="4" w:space="0" w:color="auto"/>
            </w:tcBorders>
            <w:vAlign w:val="center"/>
            <w:hideMark/>
          </w:tcPr>
          <w:p w:rsidR="00CC05F5" w:rsidRPr="00F47F68" w:rsidRDefault="00CC05F5" w:rsidP="00CC05F5">
            <w:pPr>
              <w:jc w:val="both"/>
              <w:rPr>
                <w:rFonts w:ascii="Times New Roman" w:eastAsia="Aptos" w:hAnsi="Times New Roman" w:cs="Times New Roman"/>
                <w:bCs/>
                <w:sz w:val="24"/>
                <w:szCs w:val="24"/>
                <w:lang w:val="en-GB"/>
              </w:rPr>
            </w:pPr>
            <w:r w:rsidRPr="00F47F68">
              <w:rPr>
                <w:rFonts w:ascii="Times New Roman" w:eastAsia="Aptos" w:hAnsi="Times New Roman" w:cs="Times New Roman"/>
                <w:bCs/>
                <w:sz w:val="24"/>
                <w:szCs w:val="24"/>
                <w:lang w:val="en-GB"/>
              </w:rPr>
              <w:t>2020</w:t>
            </w:r>
          </w:p>
        </w:tc>
        <w:tc>
          <w:tcPr>
            <w:tcW w:w="2525" w:type="dxa"/>
            <w:tcBorders>
              <w:top w:val="nil"/>
              <w:left w:val="nil"/>
              <w:bottom w:val="single" w:sz="4" w:space="0" w:color="auto"/>
              <w:right w:val="single" w:sz="4" w:space="0" w:color="auto"/>
            </w:tcBorders>
            <w:vAlign w:val="center"/>
            <w:hideMark/>
          </w:tcPr>
          <w:p w:rsidR="00CC05F5" w:rsidRPr="00F47F68" w:rsidRDefault="00CC05F5" w:rsidP="00CC05F5">
            <w:pPr>
              <w:jc w:val="right"/>
              <w:rPr>
                <w:rFonts w:ascii="Times New Roman" w:eastAsia="Aptos" w:hAnsi="Times New Roman" w:cs="Times New Roman"/>
                <w:bCs/>
                <w:sz w:val="24"/>
                <w:szCs w:val="24"/>
                <w:lang w:val="en-GB"/>
              </w:rPr>
            </w:pPr>
            <w:r w:rsidRPr="00F47F68">
              <w:rPr>
                <w:rFonts w:ascii="Times New Roman" w:eastAsia="Aptos" w:hAnsi="Times New Roman" w:cs="Times New Roman"/>
                <w:bCs/>
                <w:sz w:val="24"/>
                <w:szCs w:val="24"/>
                <w:lang w:val="en-GB"/>
              </w:rPr>
              <w:t>1,170,000</w:t>
            </w:r>
          </w:p>
        </w:tc>
      </w:tr>
      <w:tr w:rsidR="00CC05F5" w:rsidRPr="00F47F68" w:rsidTr="00CC05F5">
        <w:trPr>
          <w:trHeight w:val="290"/>
        </w:trPr>
        <w:tc>
          <w:tcPr>
            <w:tcW w:w="1255" w:type="dxa"/>
            <w:tcBorders>
              <w:top w:val="nil"/>
              <w:left w:val="single" w:sz="4" w:space="0" w:color="auto"/>
              <w:bottom w:val="single" w:sz="4" w:space="0" w:color="auto"/>
              <w:right w:val="single" w:sz="4" w:space="0" w:color="auto"/>
            </w:tcBorders>
            <w:vAlign w:val="center"/>
            <w:hideMark/>
          </w:tcPr>
          <w:p w:rsidR="00CC05F5" w:rsidRPr="00F47F68" w:rsidRDefault="00CC05F5" w:rsidP="00CC05F5">
            <w:pPr>
              <w:jc w:val="both"/>
              <w:rPr>
                <w:rFonts w:ascii="Times New Roman" w:eastAsia="Aptos" w:hAnsi="Times New Roman" w:cs="Times New Roman"/>
                <w:bCs/>
                <w:sz w:val="24"/>
                <w:szCs w:val="24"/>
                <w:lang w:val="en-GB"/>
              </w:rPr>
            </w:pPr>
            <w:r w:rsidRPr="00F47F68">
              <w:rPr>
                <w:rFonts w:ascii="Times New Roman" w:eastAsia="Aptos" w:hAnsi="Times New Roman" w:cs="Times New Roman"/>
                <w:bCs/>
                <w:sz w:val="24"/>
                <w:szCs w:val="24"/>
                <w:lang w:val="en-GB"/>
              </w:rPr>
              <w:t>2021</w:t>
            </w:r>
          </w:p>
        </w:tc>
        <w:tc>
          <w:tcPr>
            <w:tcW w:w="2525" w:type="dxa"/>
            <w:tcBorders>
              <w:top w:val="nil"/>
              <w:left w:val="nil"/>
              <w:bottom w:val="single" w:sz="4" w:space="0" w:color="auto"/>
              <w:right w:val="single" w:sz="4" w:space="0" w:color="auto"/>
            </w:tcBorders>
            <w:vAlign w:val="center"/>
            <w:hideMark/>
          </w:tcPr>
          <w:p w:rsidR="00CC05F5" w:rsidRPr="00F47F68" w:rsidRDefault="00CC05F5" w:rsidP="00CC05F5">
            <w:pPr>
              <w:jc w:val="right"/>
              <w:rPr>
                <w:rFonts w:ascii="Times New Roman" w:eastAsia="Aptos" w:hAnsi="Times New Roman" w:cs="Times New Roman"/>
                <w:bCs/>
                <w:sz w:val="24"/>
                <w:szCs w:val="24"/>
                <w:lang w:val="en-GB"/>
              </w:rPr>
            </w:pPr>
            <w:r w:rsidRPr="00F47F68">
              <w:rPr>
                <w:rFonts w:ascii="Times New Roman" w:eastAsia="Aptos" w:hAnsi="Times New Roman" w:cs="Times New Roman"/>
                <w:bCs/>
                <w:sz w:val="24"/>
                <w:szCs w:val="24"/>
                <w:lang w:val="en-GB"/>
              </w:rPr>
              <w:t>875,105</w:t>
            </w:r>
          </w:p>
        </w:tc>
      </w:tr>
      <w:tr w:rsidR="00CC05F5" w:rsidRPr="00F47F68" w:rsidTr="00CC05F5">
        <w:trPr>
          <w:trHeight w:val="290"/>
        </w:trPr>
        <w:tc>
          <w:tcPr>
            <w:tcW w:w="1255" w:type="dxa"/>
            <w:tcBorders>
              <w:top w:val="nil"/>
              <w:left w:val="single" w:sz="4" w:space="0" w:color="auto"/>
              <w:bottom w:val="single" w:sz="4" w:space="0" w:color="auto"/>
              <w:right w:val="single" w:sz="4" w:space="0" w:color="auto"/>
            </w:tcBorders>
            <w:vAlign w:val="center"/>
            <w:hideMark/>
          </w:tcPr>
          <w:p w:rsidR="00CC05F5" w:rsidRPr="00F47F68" w:rsidRDefault="00CC05F5" w:rsidP="00CC05F5">
            <w:pPr>
              <w:jc w:val="both"/>
              <w:rPr>
                <w:rFonts w:ascii="Times New Roman" w:eastAsia="Aptos" w:hAnsi="Times New Roman" w:cs="Times New Roman"/>
                <w:bCs/>
                <w:sz w:val="24"/>
                <w:szCs w:val="24"/>
                <w:lang w:val="en-GB"/>
              </w:rPr>
            </w:pPr>
            <w:r w:rsidRPr="00F47F68">
              <w:rPr>
                <w:rFonts w:ascii="Times New Roman" w:eastAsia="Aptos" w:hAnsi="Times New Roman" w:cs="Times New Roman"/>
                <w:bCs/>
                <w:sz w:val="24"/>
                <w:szCs w:val="24"/>
                <w:lang w:val="en-GB"/>
              </w:rPr>
              <w:t>2022</w:t>
            </w:r>
          </w:p>
        </w:tc>
        <w:tc>
          <w:tcPr>
            <w:tcW w:w="2525" w:type="dxa"/>
            <w:tcBorders>
              <w:top w:val="nil"/>
              <w:left w:val="nil"/>
              <w:bottom w:val="single" w:sz="4" w:space="0" w:color="auto"/>
              <w:right w:val="single" w:sz="4" w:space="0" w:color="auto"/>
            </w:tcBorders>
            <w:vAlign w:val="center"/>
            <w:hideMark/>
          </w:tcPr>
          <w:p w:rsidR="00CC05F5" w:rsidRPr="00F47F68" w:rsidRDefault="00CC05F5" w:rsidP="00CC05F5">
            <w:pPr>
              <w:jc w:val="right"/>
              <w:rPr>
                <w:rFonts w:ascii="Times New Roman" w:eastAsia="Aptos" w:hAnsi="Times New Roman" w:cs="Times New Roman"/>
                <w:bCs/>
                <w:sz w:val="24"/>
                <w:szCs w:val="24"/>
                <w:lang w:val="en-GB"/>
              </w:rPr>
            </w:pPr>
            <w:r w:rsidRPr="00F47F68">
              <w:rPr>
                <w:rFonts w:ascii="Times New Roman" w:eastAsia="Aptos" w:hAnsi="Times New Roman" w:cs="Times New Roman"/>
                <w:bCs/>
                <w:sz w:val="24"/>
                <w:szCs w:val="24"/>
                <w:lang w:val="en-GB"/>
              </w:rPr>
              <w:t>820,322</w:t>
            </w:r>
          </w:p>
        </w:tc>
      </w:tr>
      <w:tr w:rsidR="00CC05F5" w:rsidRPr="00F47F68" w:rsidTr="00CC05F5">
        <w:trPr>
          <w:trHeight w:val="290"/>
        </w:trPr>
        <w:tc>
          <w:tcPr>
            <w:tcW w:w="1255" w:type="dxa"/>
            <w:tcBorders>
              <w:top w:val="nil"/>
              <w:left w:val="single" w:sz="4" w:space="0" w:color="auto"/>
              <w:bottom w:val="single" w:sz="4" w:space="0" w:color="auto"/>
              <w:right w:val="single" w:sz="4" w:space="0" w:color="auto"/>
            </w:tcBorders>
            <w:vAlign w:val="center"/>
            <w:hideMark/>
          </w:tcPr>
          <w:p w:rsidR="00CC05F5" w:rsidRPr="00F47F68" w:rsidRDefault="00CC05F5" w:rsidP="00CC05F5">
            <w:pPr>
              <w:jc w:val="both"/>
              <w:rPr>
                <w:rFonts w:ascii="Times New Roman" w:eastAsia="Aptos" w:hAnsi="Times New Roman" w:cs="Times New Roman"/>
                <w:bCs/>
                <w:sz w:val="24"/>
                <w:szCs w:val="24"/>
                <w:lang w:val="en-GB"/>
              </w:rPr>
            </w:pPr>
            <w:r w:rsidRPr="00F47F68">
              <w:rPr>
                <w:rFonts w:ascii="Times New Roman" w:eastAsia="Aptos" w:hAnsi="Times New Roman" w:cs="Times New Roman"/>
                <w:bCs/>
                <w:sz w:val="24"/>
                <w:szCs w:val="24"/>
                <w:lang w:val="en-GB"/>
              </w:rPr>
              <w:t>2023</w:t>
            </w:r>
          </w:p>
        </w:tc>
        <w:tc>
          <w:tcPr>
            <w:tcW w:w="2525" w:type="dxa"/>
            <w:tcBorders>
              <w:top w:val="nil"/>
              <w:left w:val="nil"/>
              <w:bottom w:val="single" w:sz="4" w:space="0" w:color="auto"/>
              <w:right w:val="single" w:sz="4" w:space="0" w:color="auto"/>
            </w:tcBorders>
            <w:vAlign w:val="center"/>
            <w:hideMark/>
          </w:tcPr>
          <w:p w:rsidR="00CC05F5" w:rsidRPr="00F47F68" w:rsidRDefault="00CC05F5" w:rsidP="00CC05F5">
            <w:pPr>
              <w:jc w:val="right"/>
              <w:rPr>
                <w:rFonts w:ascii="Times New Roman" w:eastAsia="Aptos" w:hAnsi="Times New Roman" w:cs="Times New Roman"/>
                <w:bCs/>
                <w:sz w:val="24"/>
                <w:szCs w:val="24"/>
                <w:lang w:val="en-GB"/>
              </w:rPr>
            </w:pPr>
            <w:r w:rsidRPr="00F47F68">
              <w:rPr>
                <w:rFonts w:ascii="Times New Roman" w:eastAsia="Aptos" w:hAnsi="Times New Roman" w:cs="Times New Roman"/>
                <w:bCs/>
                <w:sz w:val="24"/>
                <w:szCs w:val="24"/>
                <w:lang w:val="en-GB"/>
              </w:rPr>
              <w:t>844,157</w:t>
            </w:r>
          </w:p>
        </w:tc>
      </w:tr>
      <w:tr w:rsidR="00CC05F5" w:rsidRPr="00F47F68" w:rsidTr="00CC05F5">
        <w:trPr>
          <w:trHeight w:val="290"/>
        </w:trPr>
        <w:tc>
          <w:tcPr>
            <w:tcW w:w="1255" w:type="dxa"/>
            <w:tcBorders>
              <w:top w:val="nil"/>
              <w:left w:val="single" w:sz="4" w:space="0" w:color="auto"/>
              <w:bottom w:val="single" w:sz="4" w:space="0" w:color="auto"/>
              <w:right w:val="single" w:sz="4" w:space="0" w:color="auto"/>
            </w:tcBorders>
            <w:vAlign w:val="center"/>
            <w:hideMark/>
          </w:tcPr>
          <w:p w:rsidR="00CC05F5" w:rsidRPr="00F47F68" w:rsidRDefault="00CC05F5" w:rsidP="00CC05F5">
            <w:pPr>
              <w:jc w:val="both"/>
              <w:rPr>
                <w:rFonts w:ascii="Times New Roman" w:eastAsia="Aptos" w:hAnsi="Times New Roman" w:cs="Times New Roman"/>
                <w:bCs/>
                <w:sz w:val="24"/>
                <w:szCs w:val="24"/>
                <w:lang w:val="en-GB"/>
              </w:rPr>
            </w:pPr>
            <w:r w:rsidRPr="00F47F68">
              <w:rPr>
                <w:rFonts w:ascii="Times New Roman" w:eastAsia="Aptos" w:hAnsi="Times New Roman" w:cs="Times New Roman"/>
                <w:bCs/>
                <w:sz w:val="24"/>
                <w:szCs w:val="24"/>
                <w:lang w:val="en-GB"/>
              </w:rPr>
              <w:t>2024</w:t>
            </w:r>
          </w:p>
        </w:tc>
        <w:tc>
          <w:tcPr>
            <w:tcW w:w="2525" w:type="dxa"/>
            <w:tcBorders>
              <w:top w:val="nil"/>
              <w:left w:val="nil"/>
              <w:bottom w:val="single" w:sz="4" w:space="0" w:color="auto"/>
              <w:right w:val="single" w:sz="4" w:space="0" w:color="auto"/>
            </w:tcBorders>
            <w:vAlign w:val="center"/>
            <w:hideMark/>
          </w:tcPr>
          <w:p w:rsidR="00CC05F5" w:rsidRPr="00F47F68" w:rsidRDefault="00CC05F5" w:rsidP="00CC05F5">
            <w:pPr>
              <w:jc w:val="right"/>
              <w:rPr>
                <w:rFonts w:ascii="Times New Roman" w:eastAsia="Aptos" w:hAnsi="Times New Roman" w:cs="Times New Roman"/>
                <w:bCs/>
                <w:sz w:val="24"/>
                <w:szCs w:val="24"/>
                <w:lang w:val="en-GB"/>
              </w:rPr>
            </w:pPr>
            <w:r w:rsidRPr="00F47F68">
              <w:rPr>
                <w:rFonts w:ascii="Times New Roman" w:eastAsia="Aptos" w:hAnsi="Times New Roman" w:cs="Times New Roman"/>
                <w:bCs/>
                <w:sz w:val="24"/>
                <w:szCs w:val="24"/>
                <w:lang w:val="en-GB"/>
              </w:rPr>
              <w:t>870,883</w:t>
            </w:r>
          </w:p>
        </w:tc>
      </w:tr>
      <w:tr w:rsidR="00CC05F5" w:rsidRPr="00F47F68" w:rsidTr="00B24E99">
        <w:trPr>
          <w:trHeight w:val="305"/>
        </w:trPr>
        <w:tc>
          <w:tcPr>
            <w:tcW w:w="1255" w:type="dxa"/>
            <w:tcBorders>
              <w:top w:val="nil"/>
              <w:left w:val="single" w:sz="4" w:space="0" w:color="auto"/>
              <w:bottom w:val="single" w:sz="4" w:space="0" w:color="auto"/>
              <w:right w:val="single" w:sz="4" w:space="0" w:color="auto"/>
            </w:tcBorders>
            <w:vAlign w:val="center"/>
            <w:hideMark/>
          </w:tcPr>
          <w:p w:rsidR="00CC05F5" w:rsidRPr="00F47F68" w:rsidRDefault="00CC05F5" w:rsidP="00CC05F5">
            <w:pPr>
              <w:jc w:val="both"/>
              <w:rPr>
                <w:rFonts w:ascii="Times New Roman" w:eastAsia="Aptos" w:hAnsi="Times New Roman" w:cs="Times New Roman"/>
                <w:bCs/>
                <w:sz w:val="24"/>
                <w:szCs w:val="24"/>
                <w:lang w:val="en-GB"/>
              </w:rPr>
            </w:pPr>
            <w:r w:rsidRPr="00F47F68">
              <w:rPr>
                <w:rFonts w:ascii="Times New Roman" w:eastAsia="Aptos" w:hAnsi="Times New Roman" w:cs="Times New Roman"/>
                <w:bCs/>
                <w:sz w:val="24"/>
                <w:szCs w:val="24"/>
                <w:lang w:val="en-GB"/>
              </w:rPr>
              <w:t>2025</w:t>
            </w:r>
          </w:p>
        </w:tc>
        <w:tc>
          <w:tcPr>
            <w:tcW w:w="2525" w:type="dxa"/>
            <w:tcBorders>
              <w:top w:val="nil"/>
              <w:left w:val="nil"/>
              <w:bottom w:val="single" w:sz="4" w:space="0" w:color="auto"/>
              <w:right w:val="single" w:sz="4" w:space="0" w:color="auto"/>
            </w:tcBorders>
            <w:vAlign w:val="center"/>
            <w:hideMark/>
          </w:tcPr>
          <w:p w:rsidR="00CC05F5" w:rsidRPr="00F47F68" w:rsidRDefault="00CC05F5" w:rsidP="00CC05F5">
            <w:pPr>
              <w:jc w:val="right"/>
              <w:rPr>
                <w:rFonts w:ascii="Times New Roman" w:eastAsia="Aptos" w:hAnsi="Times New Roman" w:cs="Times New Roman"/>
                <w:bCs/>
                <w:sz w:val="24"/>
                <w:szCs w:val="24"/>
                <w:lang w:val="en-GB"/>
              </w:rPr>
            </w:pPr>
            <w:r w:rsidRPr="00F47F68">
              <w:rPr>
                <w:rFonts w:ascii="Times New Roman" w:eastAsia="Aptos" w:hAnsi="Times New Roman" w:cs="Times New Roman"/>
                <w:bCs/>
                <w:sz w:val="24"/>
                <w:szCs w:val="24"/>
                <w:lang w:val="en-GB"/>
              </w:rPr>
              <w:t>846,971</w:t>
            </w:r>
          </w:p>
        </w:tc>
      </w:tr>
    </w:tbl>
    <w:p w:rsidR="00F47F68" w:rsidRPr="00F47F68" w:rsidRDefault="00F47F68" w:rsidP="00F47F68">
      <w:pPr>
        <w:jc w:val="center"/>
        <w:rPr>
          <w:rFonts w:ascii="Times New Roman" w:eastAsia="Aptos" w:hAnsi="Times New Roman" w:cs="Times New Roman"/>
          <w:sz w:val="24"/>
          <w:szCs w:val="24"/>
          <w:lang w:val="es-ES"/>
        </w:rPr>
      </w:pPr>
      <w:r w:rsidRPr="00F47F68">
        <w:rPr>
          <w:rFonts w:ascii="Times New Roman" w:eastAsia="Aptos" w:hAnsi="Times New Roman" w:cs="Times New Roman"/>
          <w:noProof/>
          <w14:ligatures w14:val="standardContextual"/>
        </w:rPr>
        <w:drawing>
          <wp:inline distT="0" distB="0" distL="0" distR="0" wp14:anchorId="4997BC9B" wp14:editId="5D2B66BD">
            <wp:extent cx="3838575" cy="2266950"/>
            <wp:effectExtent l="0" t="0" r="9525" b="19050"/>
            <wp:docPr id="316" name="Chart 1">
              <a:extLst xmlns:a="http://schemas.openxmlformats.org/drawingml/2006/main">
                <a:ext uri="{FF2B5EF4-FFF2-40B4-BE49-F238E27FC236}">
                  <a16:creationId xmlns:a16="http://schemas.microsoft.com/office/drawing/2014/main" id="{2C60D3C0-3799-D811-7479-E9CC0D0431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5"/>
              </a:graphicData>
            </a:graphic>
          </wp:inline>
        </w:drawing>
      </w:r>
    </w:p>
    <w:bookmarkEnd w:id="59"/>
    <w:p w:rsidR="001E4E06" w:rsidRPr="001E4E06" w:rsidRDefault="001E4E06" w:rsidP="001E4E06">
      <w:pPr>
        <w:jc w:val="both"/>
        <w:rPr>
          <w:rFonts w:ascii="Times New Roman" w:hAnsi="Times New Roman" w:cs="Times New Roman"/>
          <w:sz w:val="24"/>
          <w:szCs w:val="24"/>
        </w:rPr>
        <w:sectPr w:rsidR="001E4E06" w:rsidRPr="001E4E06" w:rsidSect="00623566">
          <w:headerReference w:type="default" r:id="rId266"/>
          <w:footerReference w:type="default" r:id="rId267"/>
          <w:pgSz w:w="12240" w:h="15840"/>
          <w:pgMar w:top="1440" w:right="1440" w:bottom="1440" w:left="1440" w:header="720" w:footer="720" w:gutter="0"/>
          <w:pgNumType w:start="0"/>
          <w:cols w:space="720"/>
          <w:titlePg/>
          <w:docGrid w:linePitch="360"/>
        </w:sectPr>
      </w:pPr>
      <w:r w:rsidRPr="001E4E06">
        <w:rPr>
          <w:rFonts w:ascii="Times New Roman" w:hAnsi="Times New Roman" w:cs="Times New Roman"/>
          <w:sz w:val="24"/>
          <w:szCs w:val="24"/>
        </w:rPr>
        <w:lastRenderedPageBreak/>
        <w:t>Referuar trendit të gjenerimit të mbetjeve në 5 viteve fundit, vërehet ulje e s</w:t>
      </w:r>
      <w:r w:rsidR="007C7F7C">
        <w:rPr>
          <w:rFonts w:ascii="Times New Roman" w:hAnsi="Times New Roman" w:cs="Times New Roman"/>
          <w:sz w:val="24"/>
          <w:szCs w:val="24"/>
        </w:rPr>
        <w:t xml:space="preserve">asisë të mbetjeve të </w:t>
      </w:r>
      <w:r w:rsidRPr="001E4E06">
        <w:rPr>
          <w:rFonts w:ascii="Times New Roman" w:hAnsi="Times New Roman" w:cs="Times New Roman"/>
          <w:sz w:val="24"/>
          <w:szCs w:val="24"/>
        </w:rPr>
        <w:t>menaxhuara në vitin 2025(846,971 ton) krahasuar me vitin 2024 (870,883 ton).</w:t>
      </w:r>
    </w:p>
    <w:p w:rsidR="00DD3BBF" w:rsidRPr="000C1D0D" w:rsidRDefault="00B24E99" w:rsidP="00066FF4">
      <w:pPr>
        <w:jc w:val="center"/>
        <w:rPr>
          <w:rFonts w:ascii="Times New Roman" w:hAnsi="Times New Roman" w:cs="Times New Roman"/>
          <w:sz w:val="24"/>
          <w:szCs w:val="24"/>
        </w:rPr>
      </w:pPr>
      <w:r>
        <w:rPr>
          <w:rFonts w:ascii="Times New Roman" w:hAnsi="Times New Roman" w:cs="Times New Roman"/>
          <w:sz w:val="24"/>
          <w:szCs w:val="24"/>
        </w:rPr>
        <w:lastRenderedPageBreak/>
        <w:t>Tabela 82</w:t>
      </w:r>
      <w:r w:rsidR="000C1D0D" w:rsidRPr="000C1D0D">
        <w:rPr>
          <w:rFonts w:ascii="Times New Roman" w:hAnsi="Times New Roman" w:cs="Times New Roman"/>
          <w:sz w:val="24"/>
          <w:szCs w:val="24"/>
        </w:rPr>
        <w:t xml:space="preserve"> Të dhënat e gjen</w:t>
      </w:r>
      <w:r w:rsidR="00066FF4">
        <w:rPr>
          <w:rFonts w:ascii="Times New Roman" w:hAnsi="Times New Roman" w:cs="Times New Roman"/>
          <w:sz w:val="24"/>
          <w:szCs w:val="24"/>
        </w:rPr>
        <w:t>e</w:t>
      </w:r>
      <w:r w:rsidR="000C1D0D" w:rsidRPr="000C1D0D">
        <w:rPr>
          <w:rFonts w:ascii="Times New Roman" w:hAnsi="Times New Roman" w:cs="Times New Roman"/>
          <w:sz w:val="24"/>
          <w:szCs w:val="24"/>
        </w:rPr>
        <w:t>rimit të mbetjeve sipas zonave të menaxhimit</w:t>
      </w:r>
    </w:p>
    <w:tbl>
      <w:tblPr>
        <w:tblStyle w:val="TableGrid"/>
        <w:tblW w:w="14149" w:type="dxa"/>
        <w:tblInd w:w="-1175" w:type="dxa"/>
        <w:tblLook w:val="04A0" w:firstRow="1" w:lastRow="0" w:firstColumn="1" w:lastColumn="0" w:noHBand="0" w:noVBand="1"/>
      </w:tblPr>
      <w:tblGrid>
        <w:gridCol w:w="2529"/>
        <w:gridCol w:w="1099"/>
        <w:gridCol w:w="1035"/>
        <w:gridCol w:w="1031"/>
        <w:gridCol w:w="1044"/>
        <w:gridCol w:w="1155"/>
        <w:gridCol w:w="1053"/>
        <w:gridCol w:w="1044"/>
        <w:gridCol w:w="941"/>
        <w:gridCol w:w="1044"/>
        <w:gridCol w:w="944"/>
        <w:gridCol w:w="1230"/>
      </w:tblGrid>
      <w:tr w:rsidR="003141BF" w:rsidRPr="003141BF" w:rsidTr="003141BF">
        <w:tc>
          <w:tcPr>
            <w:tcW w:w="2529" w:type="dxa"/>
          </w:tcPr>
          <w:p w:rsidR="003141BF" w:rsidRPr="003141BF" w:rsidRDefault="003141BF" w:rsidP="00DD3BBF">
            <w:pPr>
              <w:rPr>
                <w:rFonts w:ascii="Times New Roman" w:eastAsia="Calibri" w:hAnsi="Times New Roman" w:cs="Times New Roman"/>
                <w:b/>
                <w:sz w:val="20"/>
                <w:szCs w:val="20"/>
              </w:rPr>
            </w:pPr>
            <w:bookmarkStart w:id="60" w:name="_Hlk228279139"/>
            <w:r w:rsidRPr="003141BF">
              <w:rPr>
                <w:rFonts w:ascii="Times New Roman" w:eastAsia="Calibri" w:hAnsi="Times New Roman" w:cs="Times New Roman"/>
                <w:b/>
                <w:sz w:val="20"/>
                <w:szCs w:val="20"/>
              </w:rPr>
              <w:t>Të dhënat e informacionit</w:t>
            </w:r>
          </w:p>
        </w:tc>
        <w:tc>
          <w:tcPr>
            <w:tcW w:w="1099" w:type="dxa"/>
          </w:tcPr>
          <w:p w:rsidR="003141BF" w:rsidRPr="003141BF" w:rsidRDefault="003141BF" w:rsidP="00DD3BBF">
            <w:pPr>
              <w:rPr>
                <w:rFonts w:ascii="Times New Roman" w:eastAsia="Calibri" w:hAnsi="Times New Roman" w:cs="Times New Roman"/>
                <w:b/>
                <w:sz w:val="20"/>
                <w:szCs w:val="20"/>
              </w:rPr>
            </w:pPr>
            <w:r w:rsidRPr="003141BF">
              <w:rPr>
                <w:rFonts w:ascii="Times New Roman" w:eastAsia="Calibri" w:hAnsi="Times New Roman" w:cs="Times New Roman"/>
                <w:b/>
                <w:sz w:val="20"/>
                <w:szCs w:val="20"/>
              </w:rPr>
              <w:t>Kodi i Katalogut Shqiptar</w:t>
            </w:r>
          </w:p>
        </w:tc>
        <w:tc>
          <w:tcPr>
            <w:tcW w:w="1035" w:type="dxa"/>
          </w:tcPr>
          <w:p w:rsidR="003141BF" w:rsidRPr="003141BF" w:rsidRDefault="003141BF" w:rsidP="00DD3BBF">
            <w:pPr>
              <w:rPr>
                <w:rFonts w:ascii="Times New Roman" w:eastAsia="Calibri" w:hAnsi="Times New Roman" w:cs="Times New Roman"/>
                <w:b/>
                <w:sz w:val="20"/>
                <w:szCs w:val="20"/>
              </w:rPr>
            </w:pPr>
            <w:r w:rsidRPr="003141BF">
              <w:rPr>
                <w:rFonts w:ascii="Times New Roman" w:eastAsia="Calibri" w:hAnsi="Times New Roman" w:cs="Times New Roman"/>
                <w:b/>
                <w:sz w:val="20"/>
                <w:szCs w:val="20"/>
              </w:rPr>
              <w:t>1. ZM Shkodër-Lezhë</w:t>
            </w:r>
          </w:p>
        </w:tc>
        <w:tc>
          <w:tcPr>
            <w:tcW w:w="1031" w:type="dxa"/>
          </w:tcPr>
          <w:p w:rsidR="003141BF" w:rsidRPr="003141BF" w:rsidRDefault="003141BF" w:rsidP="00DD3BBF">
            <w:pPr>
              <w:rPr>
                <w:rFonts w:ascii="Times New Roman" w:eastAsia="Calibri" w:hAnsi="Times New Roman" w:cs="Times New Roman"/>
                <w:b/>
                <w:sz w:val="20"/>
                <w:szCs w:val="20"/>
              </w:rPr>
            </w:pPr>
            <w:r w:rsidRPr="003141BF">
              <w:rPr>
                <w:rFonts w:ascii="Times New Roman" w:eastAsia="Calibri" w:hAnsi="Times New Roman" w:cs="Times New Roman"/>
                <w:b/>
                <w:sz w:val="20"/>
                <w:szCs w:val="20"/>
              </w:rPr>
              <w:t>2. ZM Kukës</w:t>
            </w:r>
          </w:p>
        </w:tc>
        <w:tc>
          <w:tcPr>
            <w:tcW w:w="1044" w:type="dxa"/>
          </w:tcPr>
          <w:p w:rsidR="003141BF" w:rsidRPr="003141BF" w:rsidRDefault="003141BF" w:rsidP="00DD3BBF">
            <w:pPr>
              <w:rPr>
                <w:rFonts w:ascii="Times New Roman" w:eastAsia="Calibri" w:hAnsi="Times New Roman" w:cs="Times New Roman"/>
                <w:b/>
                <w:sz w:val="20"/>
                <w:szCs w:val="20"/>
              </w:rPr>
            </w:pPr>
            <w:r w:rsidRPr="003141BF">
              <w:rPr>
                <w:rFonts w:ascii="Times New Roman" w:eastAsia="Calibri" w:hAnsi="Times New Roman" w:cs="Times New Roman"/>
                <w:b/>
                <w:sz w:val="20"/>
                <w:szCs w:val="20"/>
              </w:rPr>
              <w:t>3. ZM Dibër</w:t>
            </w:r>
          </w:p>
        </w:tc>
        <w:tc>
          <w:tcPr>
            <w:tcW w:w="1155" w:type="dxa"/>
          </w:tcPr>
          <w:p w:rsidR="003141BF" w:rsidRPr="003141BF" w:rsidRDefault="003141BF" w:rsidP="00DD3BBF">
            <w:pPr>
              <w:rPr>
                <w:rFonts w:ascii="Times New Roman" w:eastAsia="Calibri" w:hAnsi="Times New Roman" w:cs="Times New Roman"/>
                <w:b/>
                <w:sz w:val="20"/>
                <w:szCs w:val="20"/>
              </w:rPr>
            </w:pPr>
            <w:r w:rsidRPr="003141BF">
              <w:rPr>
                <w:rFonts w:ascii="Times New Roman" w:eastAsia="Calibri" w:hAnsi="Times New Roman" w:cs="Times New Roman"/>
                <w:b/>
                <w:sz w:val="20"/>
                <w:szCs w:val="20"/>
              </w:rPr>
              <w:t>4. ZM Tiranë-Durrës</w:t>
            </w:r>
          </w:p>
        </w:tc>
        <w:tc>
          <w:tcPr>
            <w:tcW w:w="1053" w:type="dxa"/>
          </w:tcPr>
          <w:p w:rsidR="003141BF" w:rsidRPr="003141BF" w:rsidRDefault="003141BF" w:rsidP="00DD3BBF">
            <w:pPr>
              <w:rPr>
                <w:rFonts w:ascii="Times New Roman" w:eastAsia="Calibri" w:hAnsi="Times New Roman" w:cs="Times New Roman"/>
                <w:b/>
                <w:sz w:val="20"/>
                <w:szCs w:val="20"/>
              </w:rPr>
            </w:pPr>
            <w:r w:rsidRPr="003141BF">
              <w:rPr>
                <w:rFonts w:ascii="Times New Roman" w:eastAsia="Calibri" w:hAnsi="Times New Roman" w:cs="Times New Roman"/>
                <w:b/>
                <w:sz w:val="20"/>
                <w:szCs w:val="20"/>
              </w:rPr>
              <w:t>5. ZM Elbasan</w:t>
            </w:r>
          </w:p>
        </w:tc>
        <w:tc>
          <w:tcPr>
            <w:tcW w:w="1044" w:type="dxa"/>
          </w:tcPr>
          <w:p w:rsidR="003141BF" w:rsidRPr="003141BF" w:rsidRDefault="003141BF" w:rsidP="00DD3BBF">
            <w:pPr>
              <w:rPr>
                <w:rFonts w:ascii="Times New Roman" w:eastAsia="Calibri" w:hAnsi="Times New Roman" w:cs="Times New Roman"/>
                <w:b/>
                <w:sz w:val="20"/>
                <w:szCs w:val="20"/>
              </w:rPr>
            </w:pPr>
            <w:r w:rsidRPr="003141BF">
              <w:rPr>
                <w:rFonts w:ascii="Times New Roman" w:eastAsia="Calibri" w:hAnsi="Times New Roman" w:cs="Times New Roman"/>
                <w:b/>
                <w:sz w:val="20"/>
                <w:szCs w:val="20"/>
              </w:rPr>
              <w:t>6. ZM Fier</w:t>
            </w:r>
          </w:p>
        </w:tc>
        <w:tc>
          <w:tcPr>
            <w:tcW w:w="941" w:type="dxa"/>
          </w:tcPr>
          <w:p w:rsidR="003141BF" w:rsidRPr="003141BF" w:rsidRDefault="003141BF" w:rsidP="00DD3BBF">
            <w:pPr>
              <w:rPr>
                <w:rFonts w:ascii="Times New Roman" w:eastAsia="Calibri" w:hAnsi="Times New Roman" w:cs="Times New Roman"/>
                <w:b/>
                <w:sz w:val="20"/>
                <w:szCs w:val="20"/>
              </w:rPr>
            </w:pPr>
            <w:r w:rsidRPr="003141BF">
              <w:rPr>
                <w:rFonts w:ascii="Times New Roman" w:eastAsia="Calibri" w:hAnsi="Times New Roman" w:cs="Times New Roman"/>
                <w:b/>
                <w:sz w:val="20"/>
                <w:szCs w:val="20"/>
              </w:rPr>
              <w:t>7. ZM BERAT</w:t>
            </w:r>
          </w:p>
        </w:tc>
        <w:tc>
          <w:tcPr>
            <w:tcW w:w="1044" w:type="dxa"/>
          </w:tcPr>
          <w:p w:rsidR="003141BF" w:rsidRPr="003141BF" w:rsidRDefault="003141BF" w:rsidP="00DD3BBF">
            <w:pPr>
              <w:rPr>
                <w:rFonts w:ascii="Times New Roman" w:eastAsia="Calibri" w:hAnsi="Times New Roman" w:cs="Times New Roman"/>
                <w:b/>
                <w:sz w:val="20"/>
                <w:szCs w:val="20"/>
              </w:rPr>
            </w:pPr>
            <w:r w:rsidRPr="003141BF">
              <w:rPr>
                <w:rFonts w:ascii="Times New Roman" w:eastAsia="Calibri" w:hAnsi="Times New Roman" w:cs="Times New Roman"/>
                <w:b/>
                <w:sz w:val="20"/>
                <w:szCs w:val="20"/>
              </w:rPr>
              <w:t>8. ZM Korçë</w:t>
            </w:r>
          </w:p>
        </w:tc>
        <w:tc>
          <w:tcPr>
            <w:tcW w:w="944" w:type="dxa"/>
          </w:tcPr>
          <w:p w:rsidR="003141BF" w:rsidRPr="003141BF" w:rsidRDefault="003141BF" w:rsidP="00DD3BBF">
            <w:pPr>
              <w:rPr>
                <w:rFonts w:ascii="Times New Roman" w:eastAsia="Calibri" w:hAnsi="Times New Roman" w:cs="Times New Roman"/>
                <w:b/>
                <w:sz w:val="20"/>
                <w:szCs w:val="20"/>
              </w:rPr>
            </w:pPr>
            <w:r w:rsidRPr="003141BF">
              <w:rPr>
                <w:rFonts w:ascii="Times New Roman" w:eastAsia="Calibri" w:hAnsi="Times New Roman" w:cs="Times New Roman"/>
                <w:b/>
                <w:sz w:val="20"/>
                <w:szCs w:val="20"/>
              </w:rPr>
              <w:t xml:space="preserve">9. ZM Vlora Veri </w:t>
            </w:r>
          </w:p>
        </w:tc>
        <w:tc>
          <w:tcPr>
            <w:tcW w:w="1230" w:type="dxa"/>
          </w:tcPr>
          <w:p w:rsidR="003141BF" w:rsidRPr="003141BF" w:rsidRDefault="003141BF" w:rsidP="00DD3BBF">
            <w:pPr>
              <w:rPr>
                <w:rFonts w:ascii="Times New Roman" w:eastAsia="Calibri" w:hAnsi="Times New Roman" w:cs="Times New Roman"/>
                <w:b/>
                <w:sz w:val="20"/>
                <w:szCs w:val="20"/>
              </w:rPr>
            </w:pPr>
            <w:r w:rsidRPr="003141BF">
              <w:rPr>
                <w:rFonts w:ascii="Times New Roman" w:eastAsia="Calibri" w:hAnsi="Times New Roman" w:cs="Times New Roman"/>
                <w:b/>
                <w:sz w:val="20"/>
                <w:szCs w:val="20"/>
              </w:rPr>
              <w:t>10. ZM Vlora Jug-Gjirokastër</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Numri i banorëve</w:t>
            </w:r>
          </w:p>
        </w:tc>
        <w:tc>
          <w:tcPr>
            <w:tcW w:w="1099" w:type="dxa"/>
          </w:tcPr>
          <w:p w:rsidR="003141BF" w:rsidRPr="003141BF" w:rsidRDefault="003141BF" w:rsidP="000C508D">
            <w:pPr>
              <w:rPr>
                <w:rFonts w:ascii="Times New Roman" w:eastAsia="Calibri" w:hAnsi="Times New Roman" w:cs="Times New Roman"/>
                <w:sz w:val="20"/>
                <w:szCs w:val="20"/>
              </w:rPr>
            </w:pPr>
          </w:p>
        </w:tc>
        <w:tc>
          <w:tcPr>
            <w:tcW w:w="1035" w:type="dxa"/>
            <w:tcBorders>
              <w:top w:val="single" w:sz="4" w:space="0" w:color="auto"/>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442356</w:t>
            </w:r>
          </w:p>
        </w:tc>
        <w:tc>
          <w:tcPr>
            <w:tcW w:w="1031" w:type="dxa"/>
            <w:tcBorders>
              <w:top w:val="single" w:sz="4" w:space="0" w:color="auto"/>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81527</w:t>
            </w:r>
          </w:p>
        </w:tc>
        <w:tc>
          <w:tcPr>
            <w:tcW w:w="1044" w:type="dxa"/>
            <w:tcBorders>
              <w:top w:val="single" w:sz="4" w:space="0" w:color="auto"/>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146752</w:t>
            </w:r>
          </w:p>
        </w:tc>
        <w:tc>
          <w:tcPr>
            <w:tcW w:w="1155" w:type="dxa"/>
            <w:tcBorders>
              <w:top w:val="single" w:sz="4" w:space="0" w:color="auto"/>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1321209</w:t>
            </w:r>
          </w:p>
        </w:tc>
        <w:tc>
          <w:tcPr>
            <w:tcW w:w="1053" w:type="dxa"/>
            <w:tcBorders>
              <w:top w:val="single" w:sz="4" w:space="0" w:color="auto"/>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377511</w:t>
            </w:r>
          </w:p>
        </w:tc>
        <w:tc>
          <w:tcPr>
            <w:tcW w:w="1044" w:type="dxa"/>
            <w:tcBorders>
              <w:top w:val="single" w:sz="4" w:space="0" w:color="auto"/>
              <w:left w:val="single" w:sz="4" w:space="0" w:color="auto"/>
              <w:bottom w:val="single" w:sz="4" w:space="0" w:color="auto"/>
              <w:right w:val="single" w:sz="4" w:space="0" w:color="auto"/>
            </w:tcBorders>
            <w:shd w:val="clear" w:color="000000" w:fill="DBDBDB"/>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462681</w:t>
            </w:r>
          </w:p>
        </w:tc>
        <w:tc>
          <w:tcPr>
            <w:tcW w:w="941" w:type="dxa"/>
            <w:tcBorders>
              <w:top w:val="single" w:sz="4" w:space="0" w:color="auto"/>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226193</w:t>
            </w:r>
          </w:p>
        </w:tc>
        <w:tc>
          <w:tcPr>
            <w:tcW w:w="1044" w:type="dxa"/>
            <w:tcBorders>
              <w:top w:val="single" w:sz="4" w:space="0" w:color="auto"/>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208140</w:t>
            </w:r>
          </w:p>
        </w:tc>
        <w:tc>
          <w:tcPr>
            <w:tcW w:w="944" w:type="dxa"/>
            <w:tcBorders>
              <w:top w:val="single" w:sz="4" w:space="0" w:color="auto"/>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9850</w:t>
            </w:r>
          </w:p>
        </w:tc>
        <w:tc>
          <w:tcPr>
            <w:tcW w:w="1230" w:type="dxa"/>
            <w:tcBorders>
              <w:top w:val="single" w:sz="4" w:space="0" w:color="auto"/>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188719</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Sasia e mbetjeve për person kg/vit</w:t>
            </w:r>
          </w:p>
        </w:tc>
        <w:tc>
          <w:tcPr>
            <w:tcW w:w="1099" w:type="dxa"/>
          </w:tcPr>
          <w:p w:rsidR="003141BF" w:rsidRPr="003141BF" w:rsidRDefault="003141BF" w:rsidP="000C508D">
            <w:pPr>
              <w:rPr>
                <w:rFonts w:ascii="Times New Roman" w:eastAsia="Calibri" w:hAnsi="Times New Roman" w:cs="Times New Roman"/>
                <w:sz w:val="20"/>
                <w:szCs w:val="20"/>
              </w:rPr>
            </w:pPr>
          </w:p>
        </w:tc>
        <w:tc>
          <w:tcPr>
            <w:tcW w:w="1035" w:type="dxa"/>
            <w:tcBorders>
              <w:top w:val="nil"/>
              <w:left w:val="single" w:sz="4" w:space="0" w:color="auto"/>
              <w:bottom w:val="single" w:sz="4" w:space="0" w:color="auto"/>
              <w:right w:val="single" w:sz="4" w:space="0" w:color="auto"/>
            </w:tcBorders>
            <w:shd w:val="clear" w:color="auto" w:fill="auto"/>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196</w:t>
            </w:r>
          </w:p>
        </w:tc>
        <w:tc>
          <w:tcPr>
            <w:tcW w:w="1031" w:type="dxa"/>
            <w:tcBorders>
              <w:top w:val="nil"/>
              <w:left w:val="single" w:sz="4" w:space="0" w:color="auto"/>
              <w:bottom w:val="single" w:sz="4" w:space="0" w:color="auto"/>
              <w:right w:val="single" w:sz="4" w:space="0" w:color="auto"/>
            </w:tcBorders>
            <w:shd w:val="clear" w:color="auto" w:fill="auto"/>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258</w:t>
            </w:r>
          </w:p>
        </w:tc>
        <w:tc>
          <w:tcPr>
            <w:tcW w:w="1044" w:type="dxa"/>
            <w:tcBorders>
              <w:top w:val="nil"/>
              <w:left w:val="single" w:sz="4" w:space="0" w:color="auto"/>
              <w:bottom w:val="single" w:sz="4" w:space="0" w:color="auto"/>
              <w:right w:val="single" w:sz="4" w:space="0" w:color="auto"/>
            </w:tcBorders>
            <w:shd w:val="clear" w:color="auto" w:fill="auto"/>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142</w:t>
            </w:r>
          </w:p>
        </w:tc>
        <w:tc>
          <w:tcPr>
            <w:tcW w:w="1155" w:type="dxa"/>
            <w:tcBorders>
              <w:top w:val="nil"/>
              <w:left w:val="single" w:sz="4" w:space="0" w:color="auto"/>
              <w:bottom w:val="single" w:sz="4" w:space="0" w:color="auto"/>
              <w:right w:val="single" w:sz="4" w:space="0" w:color="auto"/>
            </w:tcBorders>
            <w:shd w:val="clear" w:color="auto" w:fill="auto"/>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280</w:t>
            </w:r>
          </w:p>
        </w:tc>
        <w:tc>
          <w:tcPr>
            <w:tcW w:w="1053" w:type="dxa"/>
            <w:tcBorders>
              <w:top w:val="nil"/>
              <w:left w:val="single" w:sz="4" w:space="0" w:color="auto"/>
              <w:bottom w:val="single" w:sz="4" w:space="0" w:color="auto"/>
              <w:right w:val="single" w:sz="4" w:space="0" w:color="auto"/>
            </w:tcBorders>
            <w:shd w:val="clear" w:color="auto" w:fill="auto"/>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175</w:t>
            </w:r>
          </w:p>
        </w:tc>
        <w:tc>
          <w:tcPr>
            <w:tcW w:w="1044" w:type="dxa"/>
            <w:tcBorders>
              <w:top w:val="nil"/>
              <w:left w:val="single" w:sz="4" w:space="0" w:color="auto"/>
              <w:bottom w:val="single" w:sz="4" w:space="0" w:color="auto"/>
              <w:right w:val="single" w:sz="4" w:space="0" w:color="auto"/>
            </w:tcBorders>
            <w:shd w:val="clear" w:color="auto" w:fill="auto"/>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205</w:t>
            </w:r>
          </w:p>
        </w:tc>
        <w:tc>
          <w:tcPr>
            <w:tcW w:w="941" w:type="dxa"/>
            <w:tcBorders>
              <w:top w:val="nil"/>
              <w:left w:val="single" w:sz="4" w:space="0" w:color="auto"/>
              <w:bottom w:val="single" w:sz="4" w:space="0" w:color="auto"/>
              <w:right w:val="nil"/>
            </w:tcBorders>
            <w:shd w:val="clear" w:color="auto" w:fill="auto"/>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197</w:t>
            </w:r>
          </w:p>
        </w:tc>
        <w:tc>
          <w:tcPr>
            <w:tcW w:w="1044" w:type="dxa"/>
            <w:tcBorders>
              <w:top w:val="nil"/>
              <w:left w:val="single" w:sz="4" w:space="0" w:color="auto"/>
              <w:bottom w:val="single" w:sz="4" w:space="0" w:color="auto"/>
              <w:right w:val="single" w:sz="4" w:space="0" w:color="auto"/>
            </w:tcBorders>
            <w:shd w:val="clear" w:color="auto" w:fill="auto"/>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115</w:t>
            </w:r>
          </w:p>
        </w:tc>
        <w:tc>
          <w:tcPr>
            <w:tcW w:w="944" w:type="dxa"/>
            <w:tcBorders>
              <w:top w:val="nil"/>
              <w:left w:val="single" w:sz="4" w:space="0" w:color="auto"/>
              <w:bottom w:val="single" w:sz="4" w:space="0" w:color="auto"/>
              <w:right w:val="single" w:sz="4" w:space="0" w:color="auto"/>
            </w:tcBorders>
            <w:shd w:val="clear" w:color="auto" w:fill="auto"/>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 </w:t>
            </w:r>
          </w:p>
        </w:tc>
        <w:tc>
          <w:tcPr>
            <w:tcW w:w="1230" w:type="dxa"/>
            <w:tcBorders>
              <w:top w:val="nil"/>
              <w:left w:val="nil"/>
              <w:bottom w:val="single" w:sz="4" w:space="0" w:color="auto"/>
              <w:right w:val="single" w:sz="4" w:space="0" w:color="auto"/>
            </w:tcBorders>
            <w:shd w:val="clear" w:color="auto" w:fill="auto"/>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278</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Sasia e mbetjeve organike ( shtëpiake) ton/ vit</w:t>
            </w:r>
          </w:p>
        </w:tc>
        <w:tc>
          <w:tcPr>
            <w:tcW w:w="109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20</w:t>
            </w:r>
          </w:p>
        </w:tc>
        <w:tc>
          <w:tcPr>
            <w:tcW w:w="1035"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51719</w:t>
            </w:r>
          </w:p>
        </w:tc>
        <w:tc>
          <w:tcPr>
            <w:tcW w:w="1031" w:type="dxa"/>
            <w:tcBorders>
              <w:top w:val="nil"/>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6762</w:t>
            </w:r>
          </w:p>
        </w:tc>
        <w:tc>
          <w:tcPr>
            <w:tcW w:w="1044" w:type="dxa"/>
            <w:tcBorders>
              <w:top w:val="nil"/>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9369</w:t>
            </w:r>
          </w:p>
        </w:tc>
        <w:tc>
          <w:tcPr>
            <w:tcW w:w="1155" w:type="dxa"/>
            <w:tcBorders>
              <w:top w:val="nil"/>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207483</w:t>
            </w:r>
          </w:p>
        </w:tc>
        <w:tc>
          <w:tcPr>
            <w:tcW w:w="1053"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20679</w:t>
            </w:r>
          </w:p>
        </w:tc>
        <w:tc>
          <w:tcPr>
            <w:tcW w:w="1044" w:type="dxa"/>
            <w:tcBorders>
              <w:top w:val="nil"/>
              <w:left w:val="single" w:sz="4" w:space="0" w:color="auto"/>
              <w:bottom w:val="single" w:sz="4" w:space="0" w:color="auto"/>
              <w:right w:val="single" w:sz="4" w:space="0" w:color="auto"/>
            </w:tcBorders>
            <w:shd w:val="clear" w:color="000000" w:fill="DBDBDB"/>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34781</w:t>
            </w:r>
          </w:p>
        </w:tc>
        <w:tc>
          <w:tcPr>
            <w:tcW w:w="941" w:type="dxa"/>
            <w:tcBorders>
              <w:top w:val="nil"/>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17517</w:t>
            </w:r>
          </w:p>
        </w:tc>
        <w:tc>
          <w:tcPr>
            <w:tcW w:w="1044"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34466</w:t>
            </w:r>
          </w:p>
        </w:tc>
        <w:tc>
          <w:tcPr>
            <w:tcW w:w="944" w:type="dxa"/>
            <w:tcBorders>
              <w:top w:val="nil"/>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195</w:t>
            </w:r>
          </w:p>
        </w:tc>
        <w:tc>
          <w:tcPr>
            <w:tcW w:w="1230" w:type="dxa"/>
            <w:tcBorders>
              <w:top w:val="nil"/>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26454</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Sasia e mbetjeve inerte ton/ vit</w:t>
            </w:r>
          </w:p>
        </w:tc>
        <w:tc>
          <w:tcPr>
            <w:tcW w:w="109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17 09 04</w:t>
            </w:r>
          </w:p>
        </w:tc>
        <w:tc>
          <w:tcPr>
            <w:tcW w:w="1035"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4256</w:t>
            </w:r>
          </w:p>
        </w:tc>
        <w:tc>
          <w:tcPr>
            <w:tcW w:w="1031" w:type="dxa"/>
            <w:tcBorders>
              <w:top w:val="nil"/>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3532</w:t>
            </w:r>
          </w:p>
        </w:tc>
        <w:tc>
          <w:tcPr>
            <w:tcW w:w="1044" w:type="dxa"/>
            <w:tcBorders>
              <w:top w:val="nil"/>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3633</w:t>
            </w:r>
          </w:p>
        </w:tc>
        <w:tc>
          <w:tcPr>
            <w:tcW w:w="1155" w:type="dxa"/>
            <w:tcBorders>
              <w:top w:val="nil"/>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36935</w:t>
            </w:r>
          </w:p>
        </w:tc>
        <w:tc>
          <w:tcPr>
            <w:tcW w:w="1053"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1994</w:t>
            </w:r>
          </w:p>
        </w:tc>
        <w:tc>
          <w:tcPr>
            <w:tcW w:w="1044" w:type="dxa"/>
            <w:tcBorders>
              <w:top w:val="nil"/>
              <w:left w:val="single" w:sz="4" w:space="0" w:color="auto"/>
              <w:bottom w:val="single" w:sz="4" w:space="0" w:color="auto"/>
              <w:right w:val="single" w:sz="4" w:space="0" w:color="auto"/>
            </w:tcBorders>
            <w:shd w:val="clear" w:color="000000" w:fill="DBDBDB"/>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3412</w:t>
            </w:r>
          </w:p>
        </w:tc>
        <w:tc>
          <w:tcPr>
            <w:tcW w:w="941" w:type="dxa"/>
            <w:tcBorders>
              <w:top w:val="nil"/>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3000</w:t>
            </w:r>
          </w:p>
        </w:tc>
        <w:tc>
          <w:tcPr>
            <w:tcW w:w="1044"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2438</w:t>
            </w:r>
          </w:p>
        </w:tc>
        <w:tc>
          <w:tcPr>
            <w:tcW w:w="944" w:type="dxa"/>
            <w:tcBorders>
              <w:top w:val="nil"/>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0</w:t>
            </w:r>
          </w:p>
        </w:tc>
        <w:tc>
          <w:tcPr>
            <w:tcW w:w="1230" w:type="dxa"/>
            <w:tcBorders>
              <w:top w:val="nil"/>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2289</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Sasia e mbetjeve spitalore  ton/ vit</w:t>
            </w:r>
          </w:p>
        </w:tc>
        <w:tc>
          <w:tcPr>
            <w:tcW w:w="109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18 01 10</w:t>
            </w:r>
          </w:p>
        </w:tc>
        <w:tc>
          <w:tcPr>
            <w:tcW w:w="1035"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w:t>
            </w:r>
          </w:p>
        </w:tc>
        <w:tc>
          <w:tcPr>
            <w:tcW w:w="1031" w:type="dxa"/>
            <w:tcBorders>
              <w:top w:val="nil"/>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0</w:t>
            </w:r>
          </w:p>
        </w:tc>
        <w:tc>
          <w:tcPr>
            <w:tcW w:w="1044" w:type="dxa"/>
            <w:tcBorders>
              <w:top w:val="nil"/>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311</w:t>
            </w:r>
          </w:p>
        </w:tc>
        <w:tc>
          <w:tcPr>
            <w:tcW w:w="1155" w:type="dxa"/>
            <w:tcBorders>
              <w:top w:val="nil"/>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486</w:t>
            </w:r>
          </w:p>
        </w:tc>
        <w:tc>
          <w:tcPr>
            <w:tcW w:w="1053"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1470</w:t>
            </w:r>
          </w:p>
        </w:tc>
        <w:tc>
          <w:tcPr>
            <w:tcW w:w="1044" w:type="dxa"/>
            <w:tcBorders>
              <w:top w:val="nil"/>
              <w:left w:val="single" w:sz="4" w:space="0" w:color="auto"/>
              <w:bottom w:val="single" w:sz="4" w:space="0" w:color="auto"/>
              <w:right w:val="single" w:sz="4" w:space="0" w:color="auto"/>
            </w:tcBorders>
            <w:shd w:val="clear" w:color="000000" w:fill="DBDBDB"/>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0</w:t>
            </w:r>
          </w:p>
        </w:tc>
        <w:tc>
          <w:tcPr>
            <w:tcW w:w="941" w:type="dxa"/>
            <w:tcBorders>
              <w:top w:val="nil"/>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0</w:t>
            </w:r>
          </w:p>
        </w:tc>
        <w:tc>
          <w:tcPr>
            <w:tcW w:w="1044"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6701</w:t>
            </w:r>
          </w:p>
        </w:tc>
        <w:tc>
          <w:tcPr>
            <w:tcW w:w="944" w:type="dxa"/>
            <w:tcBorders>
              <w:top w:val="nil"/>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0</w:t>
            </w:r>
          </w:p>
        </w:tc>
        <w:tc>
          <w:tcPr>
            <w:tcW w:w="1230" w:type="dxa"/>
            <w:tcBorders>
              <w:top w:val="nil"/>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0</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Sasia e mbetjeve plastike ton /vit</w:t>
            </w:r>
          </w:p>
        </w:tc>
        <w:tc>
          <w:tcPr>
            <w:tcW w:w="109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17 02 03    15 01 02</w:t>
            </w:r>
          </w:p>
        </w:tc>
        <w:tc>
          <w:tcPr>
            <w:tcW w:w="1035"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9683</w:t>
            </w:r>
          </w:p>
        </w:tc>
        <w:tc>
          <w:tcPr>
            <w:tcW w:w="1031" w:type="dxa"/>
            <w:tcBorders>
              <w:top w:val="nil"/>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2010</w:t>
            </w:r>
          </w:p>
        </w:tc>
        <w:tc>
          <w:tcPr>
            <w:tcW w:w="1044" w:type="dxa"/>
            <w:tcBorders>
              <w:top w:val="nil"/>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1537</w:t>
            </w:r>
          </w:p>
        </w:tc>
        <w:tc>
          <w:tcPr>
            <w:tcW w:w="1155" w:type="dxa"/>
            <w:tcBorders>
              <w:top w:val="nil"/>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57720</w:t>
            </w:r>
          </w:p>
        </w:tc>
        <w:tc>
          <w:tcPr>
            <w:tcW w:w="1053"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5106</w:t>
            </w:r>
          </w:p>
        </w:tc>
        <w:tc>
          <w:tcPr>
            <w:tcW w:w="1044" w:type="dxa"/>
            <w:tcBorders>
              <w:top w:val="nil"/>
              <w:left w:val="single" w:sz="4" w:space="0" w:color="auto"/>
              <w:bottom w:val="single" w:sz="4" w:space="0" w:color="auto"/>
              <w:right w:val="single" w:sz="4" w:space="0" w:color="auto"/>
            </w:tcBorders>
            <w:shd w:val="clear" w:color="000000" w:fill="DBDBDB"/>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3769</w:t>
            </w:r>
          </w:p>
        </w:tc>
        <w:tc>
          <w:tcPr>
            <w:tcW w:w="941" w:type="dxa"/>
            <w:tcBorders>
              <w:top w:val="nil"/>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1378</w:t>
            </w:r>
          </w:p>
        </w:tc>
        <w:tc>
          <w:tcPr>
            <w:tcW w:w="1044"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1402</w:t>
            </w:r>
          </w:p>
        </w:tc>
        <w:tc>
          <w:tcPr>
            <w:tcW w:w="944" w:type="dxa"/>
            <w:tcBorders>
              <w:top w:val="nil"/>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0</w:t>
            </w:r>
          </w:p>
        </w:tc>
        <w:tc>
          <w:tcPr>
            <w:tcW w:w="1230" w:type="dxa"/>
            <w:tcBorders>
              <w:top w:val="nil"/>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4132</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Sasia e mbetjeve të qelqit   ton/ vit</w:t>
            </w:r>
          </w:p>
        </w:tc>
        <w:tc>
          <w:tcPr>
            <w:tcW w:w="109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15 01 07</w:t>
            </w:r>
          </w:p>
        </w:tc>
        <w:tc>
          <w:tcPr>
            <w:tcW w:w="1035"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4087</w:t>
            </w:r>
          </w:p>
        </w:tc>
        <w:tc>
          <w:tcPr>
            <w:tcW w:w="1031" w:type="dxa"/>
            <w:tcBorders>
              <w:top w:val="nil"/>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1761</w:t>
            </w:r>
          </w:p>
        </w:tc>
        <w:tc>
          <w:tcPr>
            <w:tcW w:w="1044" w:type="dxa"/>
            <w:tcBorders>
              <w:top w:val="nil"/>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691</w:t>
            </w:r>
          </w:p>
        </w:tc>
        <w:tc>
          <w:tcPr>
            <w:tcW w:w="1155" w:type="dxa"/>
            <w:tcBorders>
              <w:top w:val="nil"/>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23782</w:t>
            </w:r>
          </w:p>
        </w:tc>
        <w:tc>
          <w:tcPr>
            <w:tcW w:w="1053"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2578</w:t>
            </w:r>
          </w:p>
        </w:tc>
        <w:tc>
          <w:tcPr>
            <w:tcW w:w="1044" w:type="dxa"/>
            <w:tcBorders>
              <w:top w:val="nil"/>
              <w:left w:val="single" w:sz="4" w:space="0" w:color="auto"/>
              <w:bottom w:val="single" w:sz="4" w:space="0" w:color="auto"/>
              <w:right w:val="single" w:sz="4" w:space="0" w:color="auto"/>
            </w:tcBorders>
            <w:shd w:val="clear" w:color="000000" w:fill="DBDBDB"/>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1766</w:t>
            </w:r>
          </w:p>
        </w:tc>
        <w:tc>
          <w:tcPr>
            <w:tcW w:w="941" w:type="dxa"/>
            <w:tcBorders>
              <w:top w:val="nil"/>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503</w:t>
            </w:r>
          </w:p>
        </w:tc>
        <w:tc>
          <w:tcPr>
            <w:tcW w:w="1044"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654</w:t>
            </w:r>
          </w:p>
        </w:tc>
        <w:tc>
          <w:tcPr>
            <w:tcW w:w="944" w:type="dxa"/>
            <w:tcBorders>
              <w:top w:val="nil"/>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0</w:t>
            </w:r>
          </w:p>
        </w:tc>
        <w:tc>
          <w:tcPr>
            <w:tcW w:w="1230" w:type="dxa"/>
            <w:tcBorders>
              <w:top w:val="nil"/>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2410</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Sasia e mbetjeve metalike  ton/ vit</w:t>
            </w:r>
          </w:p>
        </w:tc>
        <w:tc>
          <w:tcPr>
            <w:tcW w:w="109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17 04 07   15 01 04</w:t>
            </w:r>
          </w:p>
        </w:tc>
        <w:tc>
          <w:tcPr>
            <w:tcW w:w="1035"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1507</w:t>
            </w:r>
          </w:p>
        </w:tc>
        <w:tc>
          <w:tcPr>
            <w:tcW w:w="1031" w:type="dxa"/>
            <w:tcBorders>
              <w:top w:val="nil"/>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420</w:t>
            </w:r>
          </w:p>
        </w:tc>
        <w:tc>
          <w:tcPr>
            <w:tcW w:w="1044" w:type="dxa"/>
            <w:tcBorders>
              <w:top w:val="nil"/>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760</w:t>
            </w:r>
          </w:p>
        </w:tc>
        <w:tc>
          <w:tcPr>
            <w:tcW w:w="1155" w:type="dxa"/>
            <w:tcBorders>
              <w:top w:val="nil"/>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47064</w:t>
            </w:r>
          </w:p>
        </w:tc>
        <w:tc>
          <w:tcPr>
            <w:tcW w:w="1053"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1136</w:t>
            </w:r>
          </w:p>
        </w:tc>
        <w:tc>
          <w:tcPr>
            <w:tcW w:w="1044" w:type="dxa"/>
            <w:tcBorders>
              <w:top w:val="nil"/>
              <w:left w:val="single" w:sz="4" w:space="0" w:color="auto"/>
              <w:bottom w:val="single" w:sz="4" w:space="0" w:color="auto"/>
              <w:right w:val="single" w:sz="4" w:space="0" w:color="auto"/>
            </w:tcBorders>
            <w:shd w:val="clear" w:color="000000" w:fill="DBDBDB"/>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462</w:t>
            </w:r>
          </w:p>
        </w:tc>
        <w:tc>
          <w:tcPr>
            <w:tcW w:w="941" w:type="dxa"/>
            <w:tcBorders>
              <w:top w:val="nil"/>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209</w:t>
            </w:r>
          </w:p>
        </w:tc>
        <w:tc>
          <w:tcPr>
            <w:tcW w:w="1044"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402</w:t>
            </w:r>
          </w:p>
        </w:tc>
        <w:tc>
          <w:tcPr>
            <w:tcW w:w="944" w:type="dxa"/>
            <w:tcBorders>
              <w:top w:val="nil"/>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0</w:t>
            </w:r>
          </w:p>
        </w:tc>
        <w:tc>
          <w:tcPr>
            <w:tcW w:w="1230" w:type="dxa"/>
            <w:tcBorders>
              <w:top w:val="nil"/>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840</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Sasia e mbetjeve të drurit ton/m³</w:t>
            </w:r>
          </w:p>
        </w:tc>
        <w:tc>
          <w:tcPr>
            <w:tcW w:w="109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17 02 01       15 01 03</w:t>
            </w:r>
          </w:p>
        </w:tc>
        <w:tc>
          <w:tcPr>
            <w:tcW w:w="1035"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4347</w:t>
            </w:r>
          </w:p>
        </w:tc>
        <w:tc>
          <w:tcPr>
            <w:tcW w:w="1031" w:type="dxa"/>
            <w:tcBorders>
              <w:top w:val="nil"/>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518</w:t>
            </w:r>
          </w:p>
        </w:tc>
        <w:tc>
          <w:tcPr>
            <w:tcW w:w="1044" w:type="dxa"/>
            <w:tcBorders>
              <w:top w:val="nil"/>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1183</w:t>
            </w:r>
          </w:p>
        </w:tc>
        <w:tc>
          <w:tcPr>
            <w:tcW w:w="1155" w:type="dxa"/>
            <w:tcBorders>
              <w:top w:val="nil"/>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13826</w:t>
            </w:r>
          </w:p>
        </w:tc>
        <w:tc>
          <w:tcPr>
            <w:tcW w:w="1053"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1176</w:t>
            </w:r>
          </w:p>
        </w:tc>
        <w:tc>
          <w:tcPr>
            <w:tcW w:w="1044" w:type="dxa"/>
            <w:tcBorders>
              <w:top w:val="nil"/>
              <w:left w:val="single" w:sz="4" w:space="0" w:color="auto"/>
              <w:bottom w:val="single" w:sz="4" w:space="0" w:color="auto"/>
              <w:right w:val="single" w:sz="4" w:space="0" w:color="auto"/>
            </w:tcBorders>
            <w:shd w:val="clear" w:color="000000" w:fill="DBDBDB"/>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336</w:t>
            </w:r>
          </w:p>
        </w:tc>
        <w:tc>
          <w:tcPr>
            <w:tcW w:w="941" w:type="dxa"/>
            <w:tcBorders>
              <w:top w:val="nil"/>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2004</w:t>
            </w:r>
          </w:p>
        </w:tc>
        <w:tc>
          <w:tcPr>
            <w:tcW w:w="1044"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569</w:t>
            </w:r>
          </w:p>
        </w:tc>
        <w:tc>
          <w:tcPr>
            <w:tcW w:w="944" w:type="dxa"/>
            <w:tcBorders>
              <w:top w:val="nil"/>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0</w:t>
            </w:r>
          </w:p>
        </w:tc>
        <w:tc>
          <w:tcPr>
            <w:tcW w:w="1230" w:type="dxa"/>
            <w:tcBorders>
              <w:top w:val="nil"/>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871</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Sasia e mbetjeve  të letër dhe kartonit ton /vit</w:t>
            </w:r>
          </w:p>
        </w:tc>
        <w:tc>
          <w:tcPr>
            <w:tcW w:w="109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15 01 01      03 03 08</w:t>
            </w:r>
          </w:p>
        </w:tc>
        <w:tc>
          <w:tcPr>
            <w:tcW w:w="1035"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7644</w:t>
            </w:r>
          </w:p>
        </w:tc>
        <w:tc>
          <w:tcPr>
            <w:tcW w:w="1031" w:type="dxa"/>
            <w:tcBorders>
              <w:top w:val="nil"/>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2251</w:t>
            </w:r>
          </w:p>
        </w:tc>
        <w:tc>
          <w:tcPr>
            <w:tcW w:w="1044" w:type="dxa"/>
            <w:tcBorders>
              <w:top w:val="nil"/>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3312</w:t>
            </w:r>
          </w:p>
        </w:tc>
        <w:tc>
          <w:tcPr>
            <w:tcW w:w="1155" w:type="dxa"/>
            <w:tcBorders>
              <w:top w:val="nil"/>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60861</w:t>
            </w:r>
          </w:p>
        </w:tc>
        <w:tc>
          <w:tcPr>
            <w:tcW w:w="1053"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3278</w:t>
            </w:r>
          </w:p>
        </w:tc>
        <w:tc>
          <w:tcPr>
            <w:tcW w:w="1044" w:type="dxa"/>
            <w:tcBorders>
              <w:top w:val="nil"/>
              <w:left w:val="single" w:sz="4" w:space="0" w:color="auto"/>
              <w:bottom w:val="single" w:sz="4" w:space="0" w:color="auto"/>
              <w:right w:val="single" w:sz="4" w:space="0" w:color="auto"/>
            </w:tcBorders>
            <w:shd w:val="clear" w:color="000000" w:fill="DBDBDB"/>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725</w:t>
            </w:r>
          </w:p>
        </w:tc>
        <w:tc>
          <w:tcPr>
            <w:tcW w:w="941" w:type="dxa"/>
            <w:tcBorders>
              <w:top w:val="nil"/>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1136</w:t>
            </w:r>
          </w:p>
        </w:tc>
        <w:tc>
          <w:tcPr>
            <w:tcW w:w="1044"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1240</w:t>
            </w:r>
          </w:p>
        </w:tc>
        <w:tc>
          <w:tcPr>
            <w:tcW w:w="944" w:type="dxa"/>
            <w:tcBorders>
              <w:top w:val="nil"/>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0</w:t>
            </w:r>
          </w:p>
        </w:tc>
        <w:tc>
          <w:tcPr>
            <w:tcW w:w="1230" w:type="dxa"/>
            <w:tcBorders>
              <w:top w:val="nil"/>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3244</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Sasia e mbetjeve te baterive të dala jashtë përdorimit ton/ vit</w:t>
            </w:r>
          </w:p>
        </w:tc>
        <w:tc>
          <w:tcPr>
            <w:tcW w:w="109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16 06  16 06 01*  16 06 06*</w:t>
            </w:r>
          </w:p>
        </w:tc>
        <w:tc>
          <w:tcPr>
            <w:tcW w:w="1035"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12</w:t>
            </w:r>
          </w:p>
        </w:tc>
        <w:tc>
          <w:tcPr>
            <w:tcW w:w="1031" w:type="dxa"/>
            <w:tcBorders>
              <w:top w:val="nil"/>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124</w:t>
            </w:r>
          </w:p>
        </w:tc>
        <w:tc>
          <w:tcPr>
            <w:tcW w:w="1044" w:type="dxa"/>
            <w:tcBorders>
              <w:top w:val="nil"/>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110</w:t>
            </w:r>
          </w:p>
        </w:tc>
        <w:tc>
          <w:tcPr>
            <w:tcW w:w="1155" w:type="dxa"/>
            <w:tcBorders>
              <w:top w:val="nil"/>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15</w:t>
            </w:r>
          </w:p>
        </w:tc>
        <w:tc>
          <w:tcPr>
            <w:tcW w:w="1053"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1606</w:t>
            </w:r>
          </w:p>
        </w:tc>
        <w:tc>
          <w:tcPr>
            <w:tcW w:w="1044" w:type="dxa"/>
            <w:tcBorders>
              <w:top w:val="nil"/>
              <w:left w:val="single" w:sz="4" w:space="0" w:color="auto"/>
              <w:bottom w:val="single" w:sz="4" w:space="0" w:color="auto"/>
              <w:right w:val="single" w:sz="4" w:space="0" w:color="auto"/>
            </w:tcBorders>
            <w:shd w:val="clear" w:color="000000" w:fill="DBDBDB"/>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2029</w:t>
            </w:r>
          </w:p>
        </w:tc>
        <w:tc>
          <w:tcPr>
            <w:tcW w:w="941" w:type="dxa"/>
            <w:tcBorders>
              <w:top w:val="nil"/>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0</w:t>
            </w:r>
          </w:p>
        </w:tc>
        <w:tc>
          <w:tcPr>
            <w:tcW w:w="1044"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w:t>
            </w:r>
          </w:p>
        </w:tc>
        <w:tc>
          <w:tcPr>
            <w:tcW w:w="944" w:type="dxa"/>
            <w:tcBorders>
              <w:top w:val="nil"/>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0</w:t>
            </w:r>
          </w:p>
        </w:tc>
        <w:tc>
          <w:tcPr>
            <w:tcW w:w="1230" w:type="dxa"/>
            <w:tcBorders>
              <w:top w:val="nil"/>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Sasia e mbetjeve te gomave  të dala jashtë përdorimit ton/ vit</w:t>
            </w:r>
          </w:p>
        </w:tc>
        <w:tc>
          <w:tcPr>
            <w:tcW w:w="109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16 01 03    400400 00</w:t>
            </w:r>
          </w:p>
        </w:tc>
        <w:tc>
          <w:tcPr>
            <w:tcW w:w="1035"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11</w:t>
            </w:r>
          </w:p>
        </w:tc>
        <w:tc>
          <w:tcPr>
            <w:tcW w:w="1031" w:type="dxa"/>
            <w:tcBorders>
              <w:top w:val="nil"/>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72</w:t>
            </w:r>
          </w:p>
        </w:tc>
        <w:tc>
          <w:tcPr>
            <w:tcW w:w="1044" w:type="dxa"/>
            <w:tcBorders>
              <w:top w:val="nil"/>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475</w:t>
            </w:r>
          </w:p>
        </w:tc>
        <w:tc>
          <w:tcPr>
            <w:tcW w:w="1155" w:type="dxa"/>
            <w:tcBorders>
              <w:top w:val="nil"/>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146</w:t>
            </w:r>
          </w:p>
        </w:tc>
        <w:tc>
          <w:tcPr>
            <w:tcW w:w="1053"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1258</w:t>
            </w:r>
          </w:p>
        </w:tc>
        <w:tc>
          <w:tcPr>
            <w:tcW w:w="1044" w:type="dxa"/>
            <w:tcBorders>
              <w:top w:val="nil"/>
              <w:left w:val="single" w:sz="4" w:space="0" w:color="auto"/>
              <w:bottom w:val="single" w:sz="4" w:space="0" w:color="auto"/>
              <w:right w:val="single" w:sz="4" w:space="0" w:color="auto"/>
            </w:tcBorders>
            <w:shd w:val="clear" w:color="000000" w:fill="DBDBDB"/>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18</w:t>
            </w:r>
          </w:p>
        </w:tc>
        <w:tc>
          <w:tcPr>
            <w:tcW w:w="941" w:type="dxa"/>
            <w:tcBorders>
              <w:top w:val="nil"/>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0</w:t>
            </w:r>
          </w:p>
        </w:tc>
        <w:tc>
          <w:tcPr>
            <w:tcW w:w="1044"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105</w:t>
            </w:r>
          </w:p>
        </w:tc>
        <w:tc>
          <w:tcPr>
            <w:tcW w:w="944" w:type="dxa"/>
            <w:tcBorders>
              <w:top w:val="nil"/>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0</w:t>
            </w:r>
          </w:p>
        </w:tc>
        <w:tc>
          <w:tcPr>
            <w:tcW w:w="1230" w:type="dxa"/>
            <w:tcBorders>
              <w:top w:val="nil"/>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24</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Sasia e mbetjeve te vajrave të përdorur</w:t>
            </w:r>
            <w:r>
              <w:rPr>
                <w:rFonts w:ascii="Times New Roman" w:eastAsia="Calibri" w:hAnsi="Times New Roman" w:cs="Times New Roman"/>
                <w:sz w:val="20"/>
                <w:szCs w:val="20"/>
              </w:rPr>
              <w:t xml:space="preserve"> ton/vit</w:t>
            </w:r>
          </w:p>
        </w:tc>
        <w:tc>
          <w:tcPr>
            <w:tcW w:w="109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12 01 06*    12 01 10*</w:t>
            </w:r>
          </w:p>
        </w:tc>
        <w:tc>
          <w:tcPr>
            <w:tcW w:w="1035"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9</w:t>
            </w:r>
          </w:p>
        </w:tc>
        <w:tc>
          <w:tcPr>
            <w:tcW w:w="1031" w:type="dxa"/>
            <w:tcBorders>
              <w:top w:val="nil"/>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294</w:t>
            </w:r>
          </w:p>
        </w:tc>
        <w:tc>
          <w:tcPr>
            <w:tcW w:w="1044" w:type="dxa"/>
            <w:tcBorders>
              <w:top w:val="nil"/>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241</w:t>
            </w:r>
          </w:p>
        </w:tc>
        <w:tc>
          <w:tcPr>
            <w:tcW w:w="1155" w:type="dxa"/>
            <w:tcBorders>
              <w:top w:val="nil"/>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w:t>
            </w:r>
          </w:p>
        </w:tc>
        <w:tc>
          <w:tcPr>
            <w:tcW w:w="1053"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1034</w:t>
            </w:r>
          </w:p>
        </w:tc>
        <w:tc>
          <w:tcPr>
            <w:tcW w:w="1044" w:type="dxa"/>
            <w:tcBorders>
              <w:top w:val="nil"/>
              <w:left w:val="single" w:sz="4" w:space="0" w:color="auto"/>
              <w:bottom w:val="single" w:sz="4" w:space="0" w:color="auto"/>
              <w:right w:val="single" w:sz="4" w:space="0" w:color="auto"/>
            </w:tcBorders>
            <w:shd w:val="clear" w:color="000000" w:fill="DBDBDB"/>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30</w:t>
            </w:r>
          </w:p>
        </w:tc>
        <w:tc>
          <w:tcPr>
            <w:tcW w:w="941" w:type="dxa"/>
            <w:tcBorders>
              <w:top w:val="nil"/>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0</w:t>
            </w:r>
          </w:p>
        </w:tc>
        <w:tc>
          <w:tcPr>
            <w:tcW w:w="1044"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118</w:t>
            </w:r>
          </w:p>
        </w:tc>
        <w:tc>
          <w:tcPr>
            <w:tcW w:w="944" w:type="dxa"/>
            <w:tcBorders>
              <w:top w:val="nil"/>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0</w:t>
            </w:r>
          </w:p>
        </w:tc>
        <w:tc>
          <w:tcPr>
            <w:tcW w:w="1230" w:type="dxa"/>
            <w:tcBorders>
              <w:top w:val="nil"/>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 xml:space="preserve">Sasia e mbetjeve nga produktet e kafsheve </w:t>
            </w:r>
            <w:r>
              <w:rPr>
                <w:rFonts w:ascii="Times New Roman" w:eastAsia="Calibri" w:hAnsi="Times New Roman" w:cs="Times New Roman"/>
                <w:sz w:val="20"/>
                <w:szCs w:val="20"/>
              </w:rPr>
              <w:t>ton/vit</w:t>
            </w:r>
          </w:p>
        </w:tc>
        <w:tc>
          <w:tcPr>
            <w:tcW w:w="109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02 01 02</w:t>
            </w:r>
          </w:p>
        </w:tc>
        <w:tc>
          <w:tcPr>
            <w:tcW w:w="1035"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200</w:t>
            </w:r>
          </w:p>
        </w:tc>
        <w:tc>
          <w:tcPr>
            <w:tcW w:w="1031" w:type="dxa"/>
            <w:tcBorders>
              <w:top w:val="nil"/>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44</w:t>
            </w:r>
          </w:p>
        </w:tc>
        <w:tc>
          <w:tcPr>
            <w:tcW w:w="1044" w:type="dxa"/>
            <w:tcBorders>
              <w:top w:val="nil"/>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111</w:t>
            </w:r>
          </w:p>
        </w:tc>
        <w:tc>
          <w:tcPr>
            <w:tcW w:w="1155" w:type="dxa"/>
            <w:tcBorders>
              <w:top w:val="nil"/>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4857</w:t>
            </w:r>
          </w:p>
        </w:tc>
        <w:tc>
          <w:tcPr>
            <w:tcW w:w="1053"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954</w:t>
            </w:r>
          </w:p>
        </w:tc>
        <w:tc>
          <w:tcPr>
            <w:tcW w:w="1044" w:type="dxa"/>
            <w:tcBorders>
              <w:top w:val="nil"/>
              <w:left w:val="single" w:sz="4" w:space="0" w:color="auto"/>
              <w:bottom w:val="single" w:sz="4" w:space="0" w:color="auto"/>
              <w:right w:val="single" w:sz="4" w:space="0" w:color="auto"/>
            </w:tcBorders>
            <w:shd w:val="clear" w:color="000000" w:fill="DBDBDB"/>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214</w:t>
            </w:r>
          </w:p>
        </w:tc>
        <w:tc>
          <w:tcPr>
            <w:tcW w:w="941" w:type="dxa"/>
            <w:tcBorders>
              <w:top w:val="nil"/>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342</w:t>
            </w:r>
          </w:p>
        </w:tc>
        <w:tc>
          <w:tcPr>
            <w:tcW w:w="1044"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28</w:t>
            </w:r>
          </w:p>
        </w:tc>
        <w:tc>
          <w:tcPr>
            <w:tcW w:w="944" w:type="dxa"/>
            <w:tcBorders>
              <w:top w:val="nil"/>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0</w:t>
            </w:r>
          </w:p>
        </w:tc>
        <w:tc>
          <w:tcPr>
            <w:tcW w:w="1230" w:type="dxa"/>
            <w:tcBorders>
              <w:top w:val="nil"/>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46</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Sasia e mbetjeve  të produkteve të tekstilit</w:t>
            </w:r>
            <w:r>
              <w:rPr>
                <w:rFonts w:ascii="Times New Roman" w:eastAsia="Calibri" w:hAnsi="Times New Roman" w:cs="Times New Roman"/>
                <w:sz w:val="20"/>
                <w:szCs w:val="20"/>
              </w:rPr>
              <w:t xml:space="preserve"> ton/vit</w:t>
            </w:r>
          </w:p>
        </w:tc>
        <w:tc>
          <w:tcPr>
            <w:tcW w:w="109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04         15 09 04</w:t>
            </w:r>
          </w:p>
        </w:tc>
        <w:tc>
          <w:tcPr>
            <w:tcW w:w="1035"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2805</w:t>
            </w:r>
          </w:p>
        </w:tc>
        <w:tc>
          <w:tcPr>
            <w:tcW w:w="1031" w:type="dxa"/>
            <w:tcBorders>
              <w:top w:val="nil"/>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600</w:t>
            </w:r>
          </w:p>
        </w:tc>
        <w:tc>
          <w:tcPr>
            <w:tcW w:w="1044" w:type="dxa"/>
            <w:tcBorders>
              <w:top w:val="nil"/>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687</w:t>
            </w:r>
          </w:p>
        </w:tc>
        <w:tc>
          <w:tcPr>
            <w:tcW w:w="1155" w:type="dxa"/>
            <w:tcBorders>
              <w:top w:val="nil"/>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20875</w:t>
            </w:r>
          </w:p>
        </w:tc>
        <w:tc>
          <w:tcPr>
            <w:tcW w:w="1053"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1705</w:t>
            </w:r>
          </w:p>
        </w:tc>
        <w:tc>
          <w:tcPr>
            <w:tcW w:w="1044" w:type="dxa"/>
            <w:tcBorders>
              <w:top w:val="nil"/>
              <w:left w:val="single" w:sz="4" w:space="0" w:color="auto"/>
              <w:bottom w:val="single" w:sz="4" w:space="0" w:color="auto"/>
              <w:right w:val="single" w:sz="4" w:space="0" w:color="auto"/>
            </w:tcBorders>
            <w:shd w:val="clear" w:color="000000" w:fill="DBDBDB"/>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90</w:t>
            </w:r>
          </w:p>
        </w:tc>
        <w:tc>
          <w:tcPr>
            <w:tcW w:w="941" w:type="dxa"/>
            <w:tcBorders>
              <w:top w:val="nil"/>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535</w:t>
            </w:r>
          </w:p>
        </w:tc>
        <w:tc>
          <w:tcPr>
            <w:tcW w:w="1044"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605</w:t>
            </w:r>
          </w:p>
        </w:tc>
        <w:tc>
          <w:tcPr>
            <w:tcW w:w="944" w:type="dxa"/>
            <w:tcBorders>
              <w:top w:val="nil"/>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0</w:t>
            </w:r>
          </w:p>
        </w:tc>
        <w:tc>
          <w:tcPr>
            <w:tcW w:w="1230" w:type="dxa"/>
            <w:tcBorders>
              <w:top w:val="nil"/>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747</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Sasia e mbetjeve elektrike dhe elektronike</w:t>
            </w:r>
            <w:r>
              <w:rPr>
                <w:rFonts w:ascii="Times New Roman" w:eastAsia="Calibri" w:hAnsi="Times New Roman" w:cs="Times New Roman"/>
                <w:sz w:val="20"/>
                <w:szCs w:val="20"/>
              </w:rPr>
              <w:t xml:space="preserve"> ton/vit</w:t>
            </w:r>
          </w:p>
        </w:tc>
        <w:tc>
          <w:tcPr>
            <w:tcW w:w="109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16 02       20 01 36</w:t>
            </w:r>
          </w:p>
        </w:tc>
        <w:tc>
          <w:tcPr>
            <w:tcW w:w="1035"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740</w:t>
            </w:r>
          </w:p>
        </w:tc>
        <w:tc>
          <w:tcPr>
            <w:tcW w:w="1031" w:type="dxa"/>
            <w:tcBorders>
              <w:top w:val="nil"/>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123</w:t>
            </w:r>
          </w:p>
        </w:tc>
        <w:tc>
          <w:tcPr>
            <w:tcW w:w="1044" w:type="dxa"/>
            <w:tcBorders>
              <w:top w:val="nil"/>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471</w:t>
            </w:r>
          </w:p>
        </w:tc>
        <w:tc>
          <w:tcPr>
            <w:tcW w:w="1155" w:type="dxa"/>
            <w:tcBorders>
              <w:top w:val="nil"/>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568</w:t>
            </w:r>
          </w:p>
        </w:tc>
        <w:tc>
          <w:tcPr>
            <w:tcW w:w="1053"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834</w:t>
            </w:r>
          </w:p>
        </w:tc>
        <w:tc>
          <w:tcPr>
            <w:tcW w:w="1044" w:type="dxa"/>
            <w:tcBorders>
              <w:top w:val="nil"/>
              <w:left w:val="single" w:sz="4" w:space="0" w:color="auto"/>
              <w:bottom w:val="single" w:sz="4" w:space="0" w:color="auto"/>
              <w:right w:val="single" w:sz="4" w:space="0" w:color="auto"/>
            </w:tcBorders>
            <w:shd w:val="clear" w:color="000000" w:fill="DBDBDB"/>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47</w:t>
            </w:r>
          </w:p>
        </w:tc>
        <w:tc>
          <w:tcPr>
            <w:tcW w:w="941" w:type="dxa"/>
            <w:tcBorders>
              <w:top w:val="nil"/>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174</w:t>
            </w:r>
          </w:p>
        </w:tc>
        <w:tc>
          <w:tcPr>
            <w:tcW w:w="1044"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191</w:t>
            </w:r>
          </w:p>
        </w:tc>
        <w:tc>
          <w:tcPr>
            <w:tcW w:w="944" w:type="dxa"/>
            <w:tcBorders>
              <w:top w:val="nil"/>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0</w:t>
            </w:r>
          </w:p>
        </w:tc>
        <w:tc>
          <w:tcPr>
            <w:tcW w:w="1230" w:type="dxa"/>
            <w:tcBorders>
              <w:top w:val="nil"/>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64</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lastRenderedPageBreak/>
              <w:t>Sasia e mbetjeve të depozituara në landfill</w:t>
            </w:r>
            <w:r>
              <w:rPr>
                <w:rFonts w:ascii="Times New Roman" w:eastAsia="Calibri" w:hAnsi="Times New Roman" w:cs="Times New Roman"/>
                <w:sz w:val="20"/>
                <w:szCs w:val="20"/>
              </w:rPr>
              <w:t xml:space="preserve"> ton/vit</w:t>
            </w:r>
          </w:p>
        </w:tc>
        <w:tc>
          <w:tcPr>
            <w:tcW w:w="1099" w:type="dxa"/>
          </w:tcPr>
          <w:p w:rsidR="003141BF" w:rsidRPr="003141BF" w:rsidRDefault="003141BF" w:rsidP="000C508D">
            <w:pPr>
              <w:rPr>
                <w:rFonts w:ascii="Times New Roman" w:eastAsia="Calibri" w:hAnsi="Times New Roman" w:cs="Times New Roman"/>
                <w:sz w:val="20"/>
                <w:szCs w:val="20"/>
              </w:rPr>
            </w:pPr>
          </w:p>
        </w:tc>
        <w:tc>
          <w:tcPr>
            <w:tcW w:w="1035"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81949</w:t>
            </w:r>
          </w:p>
        </w:tc>
        <w:tc>
          <w:tcPr>
            <w:tcW w:w="1031" w:type="dxa"/>
            <w:tcBorders>
              <w:top w:val="nil"/>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22058</w:t>
            </w:r>
          </w:p>
        </w:tc>
        <w:tc>
          <w:tcPr>
            <w:tcW w:w="1044" w:type="dxa"/>
            <w:tcBorders>
              <w:top w:val="nil"/>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14402</w:t>
            </w:r>
          </w:p>
        </w:tc>
        <w:tc>
          <w:tcPr>
            <w:tcW w:w="1155" w:type="dxa"/>
            <w:tcBorders>
              <w:top w:val="nil"/>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434330</w:t>
            </w:r>
          </w:p>
        </w:tc>
        <w:tc>
          <w:tcPr>
            <w:tcW w:w="1053"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43454</w:t>
            </w:r>
          </w:p>
        </w:tc>
        <w:tc>
          <w:tcPr>
            <w:tcW w:w="1044" w:type="dxa"/>
            <w:tcBorders>
              <w:top w:val="nil"/>
              <w:left w:val="single" w:sz="4" w:space="0" w:color="auto"/>
              <w:bottom w:val="single" w:sz="4" w:space="0" w:color="auto"/>
              <w:right w:val="single" w:sz="4" w:space="0" w:color="auto"/>
            </w:tcBorders>
            <w:shd w:val="clear" w:color="000000" w:fill="D9D9D9"/>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34662</w:t>
            </w:r>
          </w:p>
        </w:tc>
        <w:tc>
          <w:tcPr>
            <w:tcW w:w="941" w:type="dxa"/>
            <w:tcBorders>
              <w:top w:val="nil"/>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31058</w:t>
            </w:r>
          </w:p>
        </w:tc>
        <w:tc>
          <w:tcPr>
            <w:tcW w:w="1044"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43084</w:t>
            </w:r>
          </w:p>
        </w:tc>
        <w:tc>
          <w:tcPr>
            <w:tcW w:w="944" w:type="dxa"/>
            <w:tcBorders>
              <w:top w:val="nil"/>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48533</w:t>
            </w:r>
          </w:p>
        </w:tc>
        <w:tc>
          <w:tcPr>
            <w:tcW w:w="1230" w:type="dxa"/>
            <w:tcBorders>
              <w:top w:val="nil"/>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42114</w:t>
            </w:r>
          </w:p>
        </w:tc>
      </w:tr>
      <w:tr w:rsidR="003141BF" w:rsidRPr="003141BF" w:rsidTr="003141BF">
        <w:tc>
          <w:tcPr>
            <w:tcW w:w="2529" w:type="dxa"/>
          </w:tcPr>
          <w:p w:rsidR="003141BF" w:rsidRPr="003141BF" w:rsidRDefault="003141BF" w:rsidP="000C508D">
            <w:pPr>
              <w:rPr>
                <w:rFonts w:ascii="Times New Roman" w:eastAsia="Calibri" w:hAnsi="Times New Roman" w:cs="Times New Roman"/>
                <w:sz w:val="20"/>
                <w:szCs w:val="20"/>
              </w:rPr>
            </w:pPr>
            <w:r w:rsidRPr="003141BF">
              <w:rPr>
                <w:rFonts w:ascii="Times New Roman" w:eastAsia="Calibri" w:hAnsi="Times New Roman" w:cs="Times New Roman"/>
                <w:sz w:val="20"/>
                <w:szCs w:val="20"/>
              </w:rPr>
              <w:t xml:space="preserve">Sasia e mbetjeve të depozituara në </w:t>
            </w:r>
            <w:r>
              <w:rPr>
                <w:rFonts w:ascii="Times New Roman" w:eastAsia="Calibri" w:hAnsi="Times New Roman" w:cs="Times New Roman"/>
                <w:sz w:val="20"/>
                <w:szCs w:val="20"/>
              </w:rPr>
              <w:t xml:space="preserve">incinerator ton/vit </w:t>
            </w:r>
          </w:p>
        </w:tc>
        <w:tc>
          <w:tcPr>
            <w:tcW w:w="1099" w:type="dxa"/>
            <w:tcBorders>
              <w:bottom w:val="single" w:sz="4" w:space="0" w:color="auto"/>
            </w:tcBorders>
          </w:tcPr>
          <w:p w:rsidR="003141BF" w:rsidRPr="003141BF" w:rsidRDefault="003141BF" w:rsidP="000C508D">
            <w:pPr>
              <w:rPr>
                <w:rFonts w:ascii="Times New Roman" w:eastAsia="Calibri" w:hAnsi="Times New Roman" w:cs="Times New Roman"/>
                <w:sz w:val="20"/>
                <w:szCs w:val="20"/>
              </w:rPr>
            </w:pPr>
          </w:p>
        </w:tc>
        <w:tc>
          <w:tcPr>
            <w:tcW w:w="1035"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w:t>
            </w:r>
          </w:p>
        </w:tc>
        <w:tc>
          <w:tcPr>
            <w:tcW w:w="1031" w:type="dxa"/>
            <w:tcBorders>
              <w:top w:val="nil"/>
              <w:left w:val="single" w:sz="4" w:space="0" w:color="auto"/>
              <w:bottom w:val="single" w:sz="4" w:space="0" w:color="auto"/>
              <w:right w:val="single" w:sz="4" w:space="0" w:color="auto"/>
            </w:tcBorders>
            <w:shd w:val="clear" w:color="000000" w:fill="FFF2CC"/>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0</w:t>
            </w:r>
          </w:p>
        </w:tc>
        <w:tc>
          <w:tcPr>
            <w:tcW w:w="1044" w:type="dxa"/>
            <w:tcBorders>
              <w:top w:val="nil"/>
              <w:left w:val="single" w:sz="4" w:space="0" w:color="auto"/>
              <w:bottom w:val="single" w:sz="4" w:space="0" w:color="auto"/>
              <w:right w:val="single" w:sz="4" w:space="0" w:color="auto"/>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0</w:t>
            </w:r>
          </w:p>
        </w:tc>
        <w:tc>
          <w:tcPr>
            <w:tcW w:w="1155" w:type="dxa"/>
            <w:tcBorders>
              <w:top w:val="nil"/>
              <w:left w:val="single" w:sz="4" w:space="0" w:color="auto"/>
              <w:bottom w:val="single" w:sz="4" w:space="0" w:color="auto"/>
              <w:right w:val="single" w:sz="4" w:space="0" w:color="auto"/>
            </w:tcBorders>
            <w:shd w:val="clear" w:color="000000" w:fill="E8FEEF"/>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9497</w:t>
            </w:r>
          </w:p>
        </w:tc>
        <w:tc>
          <w:tcPr>
            <w:tcW w:w="1053"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9688</w:t>
            </w:r>
          </w:p>
        </w:tc>
        <w:tc>
          <w:tcPr>
            <w:tcW w:w="1044" w:type="dxa"/>
            <w:tcBorders>
              <w:top w:val="nil"/>
              <w:left w:val="single" w:sz="4" w:space="0" w:color="auto"/>
              <w:bottom w:val="single" w:sz="4" w:space="0" w:color="auto"/>
              <w:right w:val="single" w:sz="4" w:space="0" w:color="auto"/>
            </w:tcBorders>
            <w:shd w:val="clear" w:color="000000" w:fill="D9D9D9"/>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21624</w:t>
            </w:r>
          </w:p>
        </w:tc>
        <w:tc>
          <w:tcPr>
            <w:tcW w:w="941" w:type="dxa"/>
            <w:tcBorders>
              <w:top w:val="nil"/>
              <w:left w:val="single" w:sz="4" w:space="0" w:color="auto"/>
              <w:bottom w:val="single" w:sz="4" w:space="0" w:color="auto"/>
              <w:right w:val="nil"/>
            </w:tcBorders>
            <w:shd w:val="clear" w:color="000000" w:fill="BDD7EE"/>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0</w:t>
            </w:r>
          </w:p>
        </w:tc>
        <w:tc>
          <w:tcPr>
            <w:tcW w:w="1044" w:type="dxa"/>
            <w:tcBorders>
              <w:top w:val="nil"/>
              <w:left w:val="single" w:sz="4" w:space="0" w:color="auto"/>
              <w:bottom w:val="single" w:sz="4" w:space="0" w:color="auto"/>
              <w:right w:val="single" w:sz="4" w:space="0" w:color="auto"/>
            </w:tcBorders>
            <w:shd w:val="clear" w:color="000000" w:fill="FEE8ED"/>
            <w:vAlign w:val="center"/>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0</w:t>
            </w:r>
          </w:p>
        </w:tc>
        <w:tc>
          <w:tcPr>
            <w:tcW w:w="944" w:type="dxa"/>
            <w:tcBorders>
              <w:top w:val="nil"/>
              <w:left w:val="single" w:sz="4" w:space="0" w:color="auto"/>
              <w:bottom w:val="single" w:sz="4" w:space="0" w:color="auto"/>
              <w:right w:val="single" w:sz="4" w:space="0" w:color="auto"/>
            </w:tcBorders>
            <w:shd w:val="clear" w:color="000000" w:fill="FCE4D6"/>
            <w:vAlign w:val="center"/>
          </w:tcPr>
          <w:p w:rsidR="003141BF" w:rsidRPr="003141BF" w:rsidRDefault="003141BF" w:rsidP="000C508D">
            <w:pPr>
              <w:jc w:val="right"/>
              <w:rPr>
                <w:rFonts w:ascii="Times New Roman" w:hAnsi="Times New Roman" w:cs="Times New Roman"/>
                <w:b/>
                <w:bCs/>
                <w:sz w:val="20"/>
                <w:szCs w:val="20"/>
              </w:rPr>
            </w:pPr>
            <w:r w:rsidRPr="003141BF">
              <w:rPr>
                <w:rFonts w:ascii="Times New Roman" w:hAnsi="Times New Roman" w:cs="Times New Roman"/>
                <w:b/>
                <w:bCs/>
                <w:sz w:val="20"/>
                <w:szCs w:val="20"/>
              </w:rPr>
              <w:t>0</w:t>
            </w:r>
          </w:p>
        </w:tc>
        <w:tc>
          <w:tcPr>
            <w:tcW w:w="1230" w:type="dxa"/>
            <w:tcBorders>
              <w:top w:val="nil"/>
              <w:left w:val="nil"/>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0</w:t>
            </w:r>
          </w:p>
        </w:tc>
      </w:tr>
      <w:tr w:rsidR="003141BF" w:rsidRPr="003141BF" w:rsidTr="003141BF">
        <w:tc>
          <w:tcPr>
            <w:tcW w:w="2529" w:type="dxa"/>
          </w:tcPr>
          <w:p w:rsidR="003141BF" w:rsidRDefault="003141BF" w:rsidP="000C508D">
            <w:pPr>
              <w:rPr>
                <w:rFonts w:ascii="Times New Roman" w:eastAsia="Calibri" w:hAnsi="Times New Roman" w:cs="Times New Roman"/>
                <w:b/>
                <w:sz w:val="20"/>
                <w:szCs w:val="20"/>
              </w:rPr>
            </w:pPr>
            <w:r w:rsidRPr="003141BF">
              <w:rPr>
                <w:rFonts w:ascii="Times New Roman" w:eastAsia="Calibri" w:hAnsi="Times New Roman" w:cs="Times New Roman"/>
                <w:b/>
                <w:sz w:val="20"/>
                <w:szCs w:val="20"/>
              </w:rPr>
              <w:t>Totali</w:t>
            </w:r>
          </w:p>
          <w:p w:rsidR="003141BF" w:rsidRPr="003141BF" w:rsidRDefault="003141BF" w:rsidP="000C508D">
            <w:pPr>
              <w:rPr>
                <w:rFonts w:ascii="Times New Roman" w:eastAsia="Calibri" w:hAnsi="Times New Roman" w:cs="Times New Roman"/>
                <w:b/>
                <w:sz w:val="20"/>
                <w:szCs w:val="20"/>
              </w:rPr>
            </w:pPr>
          </w:p>
        </w:tc>
        <w:tc>
          <w:tcPr>
            <w:tcW w:w="1099" w:type="dxa"/>
            <w:tcBorders>
              <w:top w:val="single" w:sz="4" w:space="0" w:color="auto"/>
              <w:bottom w:val="single" w:sz="4" w:space="0" w:color="auto"/>
              <w:right w:val="single" w:sz="4" w:space="0" w:color="auto"/>
            </w:tcBorders>
          </w:tcPr>
          <w:p w:rsidR="003141BF" w:rsidRPr="003141BF" w:rsidRDefault="003141BF" w:rsidP="000C508D">
            <w:pPr>
              <w:rPr>
                <w:rFonts w:ascii="Times New Roman" w:eastAsia="Calibri" w:hAnsi="Times New Roman" w:cs="Times New Roman"/>
                <w:b/>
                <w:sz w:val="20"/>
                <w:szCs w:val="20"/>
              </w:rPr>
            </w:pPr>
          </w:p>
        </w:tc>
        <w:tc>
          <w:tcPr>
            <w:tcW w:w="1035" w:type="dxa"/>
            <w:tcBorders>
              <w:top w:val="single" w:sz="4" w:space="0" w:color="auto"/>
              <w:left w:val="single" w:sz="4" w:space="0" w:color="auto"/>
              <w:bottom w:val="single" w:sz="4" w:space="0" w:color="auto"/>
              <w:right w:val="single" w:sz="4" w:space="0" w:color="auto"/>
            </w:tcBorders>
            <w:shd w:val="clear" w:color="000000" w:fill="FEE8ED"/>
            <w:vAlign w:val="bottom"/>
          </w:tcPr>
          <w:p w:rsidR="003141BF" w:rsidRPr="003141BF" w:rsidRDefault="003141BF" w:rsidP="000C508D">
            <w:pPr>
              <w:jc w:val="right"/>
              <w:rPr>
                <w:rFonts w:ascii="Times New Roman" w:hAnsi="Times New Roman" w:cs="Times New Roman"/>
                <w:b/>
                <w:color w:val="000000"/>
                <w:sz w:val="20"/>
                <w:szCs w:val="20"/>
              </w:rPr>
            </w:pPr>
            <w:r w:rsidRPr="003141BF">
              <w:rPr>
                <w:rFonts w:ascii="Times New Roman" w:hAnsi="Times New Roman" w:cs="Times New Roman"/>
                <w:b/>
                <w:color w:val="000000"/>
                <w:sz w:val="20"/>
                <w:szCs w:val="20"/>
              </w:rPr>
              <w:t>90215.4</w:t>
            </w:r>
          </w:p>
        </w:tc>
        <w:tc>
          <w:tcPr>
            <w:tcW w:w="1031" w:type="dxa"/>
            <w:tcBorders>
              <w:top w:val="single" w:sz="4" w:space="0" w:color="auto"/>
              <w:left w:val="single" w:sz="4" w:space="0" w:color="auto"/>
              <w:bottom w:val="single" w:sz="4" w:space="0" w:color="auto"/>
              <w:right w:val="single" w:sz="4" w:space="0" w:color="auto"/>
            </w:tcBorders>
            <w:shd w:val="clear" w:color="000000" w:fill="FFF2CC"/>
            <w:vAlign w:val="bottom"/>
          </w:tcPr>
          <w:p w:rsidR="003141BF" w:rsidRPr="003141BF" w:rsidRDefault="003141BF" w:rsidP="000C508D">
            <w:pPr>
              <w:jc w:val="right"/>
              <w:rPr>
                <w:rFonts w:ascii="Times New Roman" w:hAnsi="Times New Roman" w:cs="Times New Roman"/>
                <w:b/>
                <w:color w:val="000000"/>
                <w:sz w:val="20"/>
                <w:szCs w:val="20"/>
              </w:rPr>
            </w:pPr>
            <w:r w:rsidRPr="003141BF">
              <w:rPr>
                <w:rFonts w:ascii="Times New Roman" w:hAnsi="Times New Roman" w:cs="Times New Roman"/>
                <w:b/>
                <w:color w:val="000000"/>
                <w:sz w:val="20"/>
                <w:szCs w:val="20"/>
              </w:rPr>
              <w:t>18510</w:t>
            </w:r>
          </w:p>
        </w:tc>
        <w:tc>
          <w:tcPr>
            <w:tcW w:w="1044" w:type="dxa"/>
            <w:tcBorders>
              <w:top w:val="single" w:sz="4" w:space="0" w:color="auto"/>
              <w:left w:val="single" w:sz="4" w:space="0" w:color="auto"/>
              <w:bottom w:val="single" w:sz="4" w:space="0" w:color="auto"/>
              <w:right w:val="single" w:sz="4" w:space="0" w:color="auto"/>
            </w:tcBorders>
            <w:shd w:val="clear" w:color="000000" w:fill="BDD7EE"/>
            <w:vAlign w:val="bottom"/>
          </w:tcPr>
          <w:p w:rsidR="003141BF" w:rsidRPr="003141BF" w:rsidRDefault="003141BF" w:rsidP="000C508D">
            <w:pPr>
              <w:jc w:val="right"/>
              <w:rPr>
                <w:rFonts w:ascii="Times New Roman" w:hAnsi="Times New Roman" w:cs="Times New Roman"/>
                <w:b/>
                <w:color w:val="000000"/>
                <w:sz w:val="20"/>
                <w:szCs w:val="20"/>
              </w:rPr>
            </w:pPr>
            <w:r w:rsidRPr="003141BF">
              <w:rPr>
                <w:rFonts w:ascii="Times New Roman" w:hAnsi="Times New Roman" w:cs="Times New Roman"/>
                <w:b/>
                <w:color w:val="000000"/>
                <w:sz w:val="20"/>
                <w:szCs w:val="20"/>
              </w:rPr>
              <w:t>22890.5</w:t>
            </w:r>
          </w:p>
        </w:tc>
        <w:tc>
          <w:tcPr>
            <w:tcW w:w="1155" w:type="dxa"/>
            <w:tcBorders>
              <w:top w:val="single" w:sz="4" w:space="0" w:color="auto"/>
              <w:left w:val="single" w:sz="4" w:space="0" w:color="auto"/>
              <w:bottom w:val="single" w:sz="4" w:space="0" w:color="auto"/>
              <w:right w:val="single" w:sz="4" w:space="0" w:color="auto"/>
            </w:tcBorders>
            <w:shd w:val="clear" w:color="000000" w:fill="E8FEEF"/>
            <w:vAlign w:val="bottom"/>
          </w:tcPr>
          <w:p w:rsidR="003141BF" w:rsidRPr="003141BF" w:rsidRDefault="003141BF" w:rsidP="000C508D">
            <w:pPr>
              <w:jc w:val="right"/>
              <w:rPr>
                <w:rFonts w:ascii="Times New Roman" w:hAnsi="Times New Roman" w:cs="Times New Roman"/>
                <w:b/>
                <w:color w:val="000000"/>
                <w:sz w:val="20"/>
                <w:szCs w:val="20"/>
              </w:rPr>
            </w:pPr>
            <w:r w:rsidRPr="003141BF">
              <w:rPr>
                <w:rFonts w:ascii="Times New Roman" w:hAnsi="Times New Roman" w:cs="Times New Roman"/>
                <w:b/>
                <w:color w:val="000000"/>
                <w:sz w:val="20"/>
                <w:szCs w:val="20"/>
              </w:rPr>
              <w:t>474616.7</w:t>
            </w:r>
          </w:p>
        </w:tc>
        <w:tc>
          <w:tcPr>
            <w:tcW w:w="1053" w:type="dxa"/>
            <w:tcBorders>
              <w:top w:val="single" w:sz="4" w:space="0" w:color="auto"/>
              <w:left w:val="single" w:sz="4" w:space="0" w:color="auto"/>
              <w:bottom w:val="single" w:sz="4" w:space="0" w:color="auto"/>
              <w:right w:val="single" w:sz="4" w:space="0" w:color="auto"/>
            </w:tcBorders>
            <w:shd w:val="clear" w:color="000000" w:fill="FEE8ED"/>
            <w:vAlign w:val="bottom"/>
          </w:tcPr>
          <w:p w:rsidR="003141BF" w:rsidRPr="003141BF" w:rsidRDefault="003141BF" w:rsidP="000C508D">
            <w:pPr>
              <w:jc w:val="right"/>
              <w:rPr>
                <w:rFonts w:ascii="Times New Roman" w:hAnsi="Times New Roman" w:cs="Times New Roman"/>
                <w:b/>
                <w:color w:val="000000"/>
                <w:sz w:val="20"/>
                <w:szCs w:val="20"/>
              </w:rPr>
            </w:pPr>
            <w:r w:rsidRPr="003141BF">
              <w:rPr>
                <w:rFonts w:ascii="Times New Roman" w:hAnsi="Times New Roman" w:cs="Times New Roman"/>
                <w:b/>
                <w:color w:val="000000"/>
                <w:sz w:val="20"/>
                <w:szCs w:val="20"/>
              </w:rPr>
              <w:t>54531.63</w:t>
            </w:r>
          </w:p>
        </w:tc>
        <w:tc>
          <w:tcPr>
            <w:tcW w:w="1044" w:type="dxa"/>
            <w:tcBorders>
              <w:top w:val="single" w:sz="4" w:space="0" w:color="auto"/>
              <w:left w:val="single" w:sz="4" w:space="0" w:color="auto"/>
              <w:bottom w:val="single" w:sz="4" w:space="0" w:color="auto"/>
              <w:right w:val="single" w:sz="4" w:space="0" w:color="auto"/>
            </w:tcBorders>
            <w:shd w:val="clear" w:color="000000" w:fill="D9D9D9"/>
            <w:vAlign w:val="bottom"/>
          </w:tcPr>
          <w:p w:rsidR="003141BF" w:rsidRPr="003141BF" w:rsidRDefault="003141BF" w:rsidP="000C508D">
            <w:pPr>
              <w:jc w:val="right"/>
              <w:rPr>
                <w:rFonts w:ascii="Times New Roman" w:hAnsi="Times New Roman" w:cs="Times New Roman"/>
                <w:b/>
                <w:color w:val="000000"/>
                <w:sz w:val="20"/>
                <w:szCs w:val="20"/>
              </w:rPr>
            </w:pPr>
            <w:r w:rsidRPr="003141BF">
              <w:rPr>
                <w:rFonts w:ascii="Times New Roman" w:hAnsi="Times New Roman" w:cs="Times New Roman"/>
                <w:b/>
                <w:color w:val="000000"/>
                <w:sz w:val="20"/>
                <w:szCs w:val="20"/>
              </w:rPr>
              <w:t>56386.8</w:t>
            </w:r>
          </w:p>
        </w:tc>
        <w:tc>
          <w:tcPr>
            <w:tcW w:w="941" w:type="dxa"/>
            <w:tcBorders>
              <w:top w:val="single" w:sz="4" w:space="0" w:color="auto"/>
              <w:left w:val="single" w:sz="4" w:space="0" w:color="auto"/>
              <w:bottom w:val="single" w:sz="4" w:space="0" w:color="auto"/>
              <w:right w:val="single" w:sz="4" w:space="0" w:color="auto"/>
            </w:tcBorders>
            <w:shd w:val="clear" w:color="000000" w:fill="BDD7EE"/>
            <w:vAlign w:val="bottom"/>
          </w:tcPr>
          <w:p w:rsidR="003141BF" w:rsidRPr="003141BF" w:rsidRDefault="003141BF" w:rsidP="000C508D">
            <w:pPr>
              <w:jc w:val="right"/>
              <w:rPr>
                <w:rFonts w:ascii="Times New Roman" w:hAnsi="Times New Roman" w:cs="Times New Roman"/>
                <w:b/>
                <w:color w:val="000000"/>
                <w:sz w:val="20"/>
                <w:szCs w:val="20"/>
              </w:rPr>
            </w:pPr>
            <w:r w:rsidRPr="003141BF">
              <w:rPr>
                <w:rFonts w:ascii="Times New Roman" w:hAnsi="Times New Roman" w:cs="Times New Roman"/>
                <w:b/>
                <w:color w:val="000000"/>
                <w:sz w:val="20"/>
                <w:szCs w:val="20"/>
              </w:rPr>
              <w:t>31058.8</w:t>
            </w:r>
          </w:p>
        </w:tc>
        <w:tc>
          <w:tcPr>
            <w:tcW w:w="1044" w:type="dxa"/>
            <w:tcBorders>
              <w:top w:val="single" w:sz="4" w:space="0" w:color="auto"/>
              <w:left w:val="single" w:sz="4" w:space="0" w:color="auto"/>
              <w:bottom w:val="single" w:sz="4" w:space="0" w:color="auto"/>
              <w:right w:val="single" w:sz="4" w:space="0" w:color="auto"/>
            </w:tcBorders>
            <w:shd w:val="clear" w:color="000000" w:fill="FEE8ED"/>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45809.7</w:t>
            </w:r>
          </w:p>
        </w:tc>
        <w:tc>
          <w:tcPr>
            <w:tcW w:w="944" w:type="dxa"/>
            <w:tcBorders>
              <w:top w:val="single" w:sz="4" w:space="0" w:color="auto"/>
              <w:left w:val="single" w:sz="4" w:space="0" w:color="auto"/>
              <w:bottom w:val="single" w:sz="4" w:space="0" w:color="auto"/>
              <w:right w:val="single" w:sz="4" w:space="0" w:color="auto"/>
            </w:tcBorders>
            <w:shd w:val="clear" w:color="000000" w:fill="FCE4D6"/>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48728.0</w:t>
            </w:r>
          </w:p>
        </w:tc>
        <w:tc>
          <w:tcPr>
            <w:tcW w:w="1230" w:type="dxa"/>
            <w:tcBorders>
              <w:top w:val="single" w:sz="4" w:space="0" w:color="auto"/>
              <w:left w:val="single" w:sz="4" w:space="0" w:color="auto"/>
              <w:bottom w:val="single" w:sz="4" w:space="0" w:color="auto"/>
              <w:right w:val="single" w:sz="4" w:space="0" w:color="auto"/>
            </w:tcBorders>
            <w:shd w:val="clear" w:color="000000" w:fill="E2EFDA"/>
            <w:vAlign w:val="bottom"/>
          </w:tcPr>
          <w:p w:rsidR="003141BF" w:rsidRPr="003141BF" w:rsidRDefault="003141BF" w:rsidP="000C508D">
            <w:pPr>
              <w:jc w:val="right"/>
              <w:rPr>
                <w:rFonts w:ascii="Times New Roman" w:hAnsi="Times New Roman" w:cs="Times New Roman"/>
                <w:b/>
                <w:bCs/>
                <w:color w:val="000000"/>
                <w:sz w:val="20"/>
                <w:szCs w:val="20"/>
              </w:rPr>
            </w:pPr>
            <w:r w:rsidRPr="003141BF">
              <w:rPr>
                <w:rFonts w:ascii="Times New Roman" w:hAnsi="Times New Roman" w:cs="Times New Roman"/>
                <w:b/>
                <w:bCs/>
                <w:color w:val="000000"/>
                <w:sz w:val="20"/>
                <w:szCs w:val="20"/>
              </w:rPr>
              <w:t>42333</w:t>
            </w:r>
          </w:p>
        </w:tc>
      </w:tr>
    </w:tbl>
    <w:bookmarkEnd w:id="60"/>
    <w:p w:rsidR="00DD3BBF" w:rsidRPr="00A6377E" w:rsidRDefault="009C6C64" w:rsidP="00E0358A">
      <w:pPr>
        <w:rPr>
          <w:rFonts w:ascii="Times New Roman" w:hAnsi="Times New Roman" w:cs="Times New Roman"/>
        </w:rPr>
      </w:pPr>
      <w:r w:rsidRPr="00A6377E">
        <w:rPr>
          <w:rFonts w:ascii="Times New Roman" w:hAnsi="Times New Roman" w:cs="Times New Roman"/>
        </w:rPr>
        <w:t>Burimi: Agjencia Kombëtare e Ekonomisë së Mbetjeve</w:t>
      </w:r>
    </w:p>
    <w:p w:rsidR="009C6C64" w:rsidRPr="00A6377E" w:rsidRDefault="009C6C64" w:rsidP="00E0358A">
      <w:pPr>
        <w:rPr>
          <w:rFonts w:ascii="Times New Roman" w:hAnsi="Times New Roman" w:cs="Times New Roman"/>
        </w:rPr>
      </w:pPr>
      <w:r w:rsidRPr="00A6377E">
        <w:rPr>
          <w:rFonts w:ascii="Times New Roman" w:hAnsi="Times New Roman" w:cs="Times New Roman"/>
        </w:rPr>
        <w:t>Shënim</w:t>
      </w:r>
      <w:r w:rsidR="00A6377E">
        <w:rPr>
          <w:rFonts w:ascii="Times New Roman" w:hAnsi="Times New Roman" w:cs="Times New Roman"/>
        </w:rPr>
        <w:t xml:space="preserve">:  Totali, </w:t>
      </w:r>
      <w:r w:rsidRPr="00A6377E">
        <w:rPr>
          <w:rFonts w:ascii="Times New Roman" w:hAnsi="Times New Roman" w:cs="Times New Roman"/>
        </w:rPr>
        <w:t xml:space="preserve"> i referohet sasisë të mbetjeve sipas rrymave.</w:t>
      </w:r>
    </w:p>
    <w:p w:rsidR="002D5177" w:rsidRDefault="002D5177" w:rsidP="00E0358A">
      <w:pPr>
        <w:rPr>
          <w:sz w:val="24"/>
          <w:szCs w:val="24"/>
        </w:rPr>
      </w:pPr>
    </w:p>
    <w:p w:rsidR="000C1D0D" w:rsidRDefault="000C1D0D" w:rsidP="00E0358A">
      <w:pPr>
        <w:rPr>
          <w:sz w:val="24"/>
          <w:szCs w:val="24"/>
        </w:rPr>
      </w:pPr>
    </w:p>
    <w:p w:rsidR="000C1D0D" w:rsidRDefault="000C1D0D" w:rsidP="00E0358A">
      <w:pPr>
        <w:rPr>
          <w:sz w:val="24"/>
          <w:szCs w:val="24"/>
        </w:rPr>
      </w:pPr>
    </w:p>
    <w:p w:rsidR="000C1D0D" w:rsidRDefault="000C1D0D" w:rsidP="00E0358A">
      <w:pPr>
        <w:rPr>
          <w:sz w:val="24"/>
          <w:szCs w:val="24"/>
        </w:rPr>
      </w:pPr>
    </w:p>
    <w:p w:rsidR="000C1D0D" w:rsidRDefault="000C1D0D" w:rsidP="00E0358A">
      <w:pPr>
        <w:rPr>
          <w:sz w:val="24"/>
          <w:szCs w:val="24"/>
        </w:rPr>
      </w:pPr>
    </w:p>
    <w:p w:rsidR="000C1D0D" w:rsidRDefault="000C1D0D" w:rsidP="00E0358A">
      <w:pPr>
        <w:rPr>
          <w:sz w:val="24"/>
          <w:szCs w:val="24"/>
        </w:rPr>
      </w:pPr>
    </w:p>
    <w:p w:rsidR="000C1D0D" w:rsidRDefault="000C1D0D" w:rsidP="00E0358A">
      <w:pPr>
        <w:rPr>
          <w:sz w:val="24"/>
          <w:szCs w:val="24"/>
        </w:rPr>
      </w:pPr>
    </w:p>
    <w:p w:rsidR="000C1D0D" w:rsidRDefault="000C1D0D" w:rsidP="00E0358A">
      <w:pPr>
        <w:rPr>
          <w:sz w:val="24"/>
          <w:szCs w:val="24"/>
        </w:rPr>
      </w:pPr>
    </w:p>
    <w:p w:rsidR="000C1D0D" w:rsidRDefault="000C1D0D" w:rsidP="00E0358A">
      <w:pPr>
        <w:rPr>
          <w:sz w:val="24"/>
          <w:szCs w:val="24"/>
        </w:rPr>
      </w:pPr>
    </w:p>
    <w:p w:rsidR="000C1D0D" w:rsidRDefault="000C1D0D" w:rsidP="00E0358A">
      <w:pPr>
        <w:rPr>
          <w:sz w:val="24"/>
          <w:szCs w:val="24"/>
        </w:rPr>
      </w:pPr>
    </w:p>
    <w:p w:rsidR="000C1D0D" w:rsidRDefault="000C1D0D" w:rsidP="00E0358A">
      <w:pPr>
        <w:rPr>
          <w:sz w:val="24"/>
          <w:szCs w:val="24"/>
        </w:rPr>
      </w:pPr>
    </w:p>
    <w:p w:rsidR="000C1D0D" w:rsidRDefault="000C1D0D" w:rsidP="00E0358A">
      <w:pPr>
        <w:rPr>
          <w:sz w:val="24"/>
          <w:szCs w:val="24"/>
        </w:rPr>
      </w:pPr>
    </w:p>
    <w:p w:rsidR="000C1D0D" w:rsidRDefault="000C1D0D" w:rsidP="00E0358A">
      <w:pPr>
        <w:rPr>
          <w:sz w:val="24"/>
          <w:szCs w:val="24"/>
        </w:rPr>
      </w:pPr>
    </w:p>
    <w:p w:rsidR="000C1D0D" w:rsidRDefault="000C1D0D" w:rsidP="00E0358A">
      <w:pPr>
        <w:rPr>
          <w:sz w:val="24"/>
          <w:szCs w:val="24"/>
        </w:rPr>
      </w:pPr>
    </w:p>
    <w:p w:rsidR="00DD3BBF" w:rsidRPr="00BA3F62" w:rsidRDefault="002D5177" w:rsidP="00807975">
      <w:pPr>
        <w:pStyle w:val="ListParagraph"/>
        <w:numPr>
          <w:ilvl w:val="2"/>
          <w:numId w:val="169"/>
        </w:numPr>
        <w:rPr>
          <w:rFonts w:ascii="Times New Roman" w:hAnsi="Times New Roman" w:cs="Times New Roman"/>
          <w:b/>
          <w:sz w:val="24"/>
          <w:szCs w:val="24"/>
        </w:rPr>
      </w:pPr>
      <w:bookmarkStart w:id="61" w:name="_Hlk228279252"/>
      <w:r w:rsidRPr="00BA3F62">
        <w:rPr>
          <w:rFonts w:ascii="Times New Roman" w:hAnsi="Times New Roman" w:cs="Times New Roman"/>
          <w:b/>
          <w:sz w:val="24"/>
          <w:szCs w:val="24"/>
        </w:rPr>
        <w:t>Mbetjet nga bujqësia</w:t>
      </w:r>
    </w:p>
    <w:p w:rsidR="00BA3F62" w:rsidRPr="00BA3F62" w:rsidRDefault="00BA3F62" w:rsidP="00BA3F62">
      <w:pPr>
        <w:jc w:val="both"/>
        <w:rPr>
          <w:rFonts w:ascii="Times New Roman" w:hAnsi="Times New Roman" w:cs="Times New Roman"/>
          <w:sz w:val="24"/>
          <w:szCs w:val="24"/>
        </w:rPr>
      </w:pPr>
      <w:r w:rsidRPr="00BA3F62">
        <w:rPr>
          <w:rFonts w:ascii="Times New Roman" w:hAnsi="Times New Roman" w:cs="Times New Roman"/>
          <w:sz w:val="24"/>
          <w:szCs w:val="24"/>
        </w:rPr>
        <w:t>Aktivitetet bujqësore gjenerojnë sasi të konsiderueshme të mbetjeve biodegraduese, të cilat rrjedhin nga prodhimi bimor dhe blegtoral. Menaxhimi dhe valorizimi i duhur i këtyre rrjedhave të mbetjeve, duke përfshirë kompostimin dhe operacionet e tjera të rikuperimit, kontribuojnë në përdorimin efikas të burimeve dhe mbështesin tranzicionin drejt bioekonomisë qarkulluese.</w:t>
      </w:r>
    </w:p>
    <w:p w:rsidR="002D5177" w:rsidRDefault="00BA3F62" w:rsidP="00BA3F62">
      <w:pPr>
        <w:jc w:val="both"/>
        <w:rPr>
          <w:rFonts w:ascii="Times New Roman" w:hAnsi="Times New Roman" w:cs="Times New Roman"/>
          <w:sz w:val="24"/>
          <w:szCs w:val="24"/>
        </w:rPr>
      </w:pPr>
      <w:r w:rsidRPr="00BA3F62">
        <w:rPr>
          <w:rFonts w:ascii="Times New Roman" w:hAnsi="Times New Roman" w:cs="Times New Roman"/>
          <w:sz w:val="24"/>
          <w:szCs w:val="24"/>
        </w:rPr>
        <w:t>Sasia totale e llogaritur e mbetjeve bujqësore gjatë vitit 2025 vlerësohet në rreth 3,280 tonë.  Krahasuar me vitin 2024 ku ishin afersisht 2,628.2 t (1,993 ton mbetje dhe 635,221 litra mbetje) gjate vitit 2025 jane rritur 24.8%.</w:t>
      </w:r>
    </w:p>
    <w:p w:rsidR="00BA3F62" w:rsidRPr="00BA3F62" w:rsidRDefault="00B24E99" w:rsidP="00BA3F62">
      <w:pPr>
        <w:jc w:val="center"/>
        <w:rPr>
          <w:rFonts w:ascii="Times New Roman" w:hAnsi="Times New Roman" w:cs="Times New Roman"/>
          <w:sz w:val="24"/>
          <w:szCs w:val="24"/>
        </w:rPr>
      </w:pPr>
      <w:r>
        <w:rPr>
          <w:rFonts w:ascii="Times New Roman" w:eastAsia="Aptos" w:hAnsi="Times New Roman" w:cs="Times New Roman"/>
          <w:sz w:val="24"/>
          <w:szCs w:val="24"/>
          <w:lang w:val="es-ES"/>
        </w:rPr>
        <w:t>Tabela 83</w:t>
      </w:r>
      <w:r w:rsidR="00BA3F62">
        <w:rPr>
          <w:rFonts w:ascii="Times New Roman" w:eastAsia="Aptos" w:hAnsi="Times New Roman" w:cs="Times New Roman"/>
          <w:sz w:val="24"/>
          <w:szCs w:val="24"/>
          <w:lang w:val="es-ES"/>
        </w:rPr>
        <w:t xml:space="preserve">. </w:t>
      </w:r>
      <w:r w:rsidR="00BA3F62" w:rsidRPr="00BA3F62">
        <w:rPr>
          <w:rFonts w:ascii="Times New Roman" w:eastAsia="Aptos" w:hAnsi="Times New Roman" w:cs="Times New Roman"/>
          <w:sz w:val="24"/>
          <w:szCs w:val="24"/>
          <w:lang w:val="es-ES"/>
        </w:rPr>
        <w:t>Gjenerimi i mbetjeve bujqësore sipas qarqeve, 2025</w:t>
      </w:r>
    </w:p>
    <w:tbl>
      <w:tblPr>
        <w:tblW w:w="15470" w:type="dxa"/>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4"/>
        <w:gridCol w:w="1143"/>
        <w:gridCol w:w="1099"/>
        <w:gridCol w:w="1206"/>
        <w:gridCol w:w="1122"/>
        <w:gridCol w:w="936"/>
        <w:gridCol w:w="1107"/>
        <w:gridCol w:w="1087"/>
        <w:gridCol w:w="1037"/>
        <w:gridCol w:w="1229"/>
        <w:gridCol w:w="1007"/>
        <w:gridCol w:w="770"/>
        <w:gridCol w:w="1037"/>
        <w:gridCol w:w="1066"/>
      </w:tblGrid>
      <w:tr w:rsidR="00AA0DFA" w:rsidRPr="006074CB" w:rsidTr="00360B51">
        <w:trPr>
          <w:trHeight w:val="1290"/>
        </w:trPr>
        <w:tc>
          <w:tcPr>
            <w:tcW w:w="1741" w:type="dxa"/>
          </w:tcPr>
          <w:p w:rsidR="006074CB" w:rsidRPr="006074CB" w:rsidRDefault="00A60649" w:rsidP="006074CB">
            <w:pPr>
              <w:rPr>
                <w:rFonts w:ascii="Times New Roman" w:eastAsia="Calibri" w:hAnsi="Times New Roman" w:cs="Times New Roman"/>
                <w:b/>
                <w:sz w:val="18"/>
                <w:szCs w:val="18"/>
              </w:rPr>
            </w:pPr>
            <w:r>
              <w:rPr>
                <w:rFonts w:ascii="Times New Roman" w:eastAsia="Calibri" w:hAnsi="Times New Roman" w:cs="Times New Roman"/>
                <w:b/>
                <w:sz w:val="18"/>
                <w:szCs w:val="18"/>
              </w:rPr>
              <w:t>Të dhë</w:t>
            </w:r>
            <w:r w:rsidR="006074CB" w:rsidRPr="006074CB">
              <w:rPr>
                <w:rFonts w:ascii="Times New Roman" w:eastAsia="Calibri" w:hAnsi="Times New Roman" w:cs="Times New Roman"/>
                <w:b/>
                <w:sz w:val="18"/>
                <w:szCs w:val="18"/>
              </w:rPr>
              <w:t>nat e informacionit</w:t>
            </w:r>
          </w:p>
        </w:tc>
        <w:tc>
          <w:tcPr>
            <w:tcW w:w="1261" w:type="dxa"/>
          </w:tcPr>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Kodi i katalogut shqiptar</w:t>
            </w:r>
          </w:p>
        </w:tc>
        <w:tc>
          <w:tcPr>
            <w:tcW w:w="1106" w:type="dxa"/>
          </w:tcPr>
          <w:p w:rsidR="006074CB" w:rsidRPr="006074CB" w:rsidRDefault="00A60649"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Tiranë</w:t>
            </w:r>
          </w:p>
        </w:tc>
        <w:tc>
          <w:tcPr>
            <w:tcW w:w="1206" w:type="dxa"/>
          </w:tcPr>
          <w:p w:rsidR="006074CB" w:rsidRPr="006074CB" w:rsidRDefault="00A60649"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Durrë</w:t>
            </w:r>
            <w:r w:rsidR="006074CB" w:rsidRPr="006074CB">
              <w:rPr>
                <w:rFonts w:ascii="Times New Roman" w:eastAsia="Calibri" w:hAnsi="Times New Roman" w:cs="Times New Roman"/>
                <w:b/>
                <w:sz w:val="18"/>
                <w:szCs w:val="18"/>
              </w:rPr>
              <w:t>s</w:t>
            </w:r>
          </w:p>
        </w:tc>
        <w:tc>
          <w:tcPr>
            <w:tcW w:w="1173" w:type="dxa"/>
          </w:tcPr>
          <w:p w:rsidR="006074CB" w:rsidRPr="006074CB" w:rsidRDefault="00A60649"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Shkodë</w:t>
            </w:r>
            <w:r w:rsidR="006074CB" w:rsidRPr="006074CB">
              <w:rPr>
                <w:rFonts w:ascii="Times New Roman" w:eastAsia="Calibri" w:hAnsi="Times New Roman" w:cs="Times New Roman"/>
                <w:b/>
                <w:sz w:val="18"/>
                <w:szCs w:val="18"/>
              </w:rPr>
              <w:t>r</w:t>
            </w:r>
          </w:p>
        </w:tc>
        <w:tc>
          <w:tcPr>
            <w:tcW w:w="936" w:type="dxa"/>
          </w:tcPr>
          <w:p w:rsidR="006074CB" w:rsidRPr="006074CB" w:rsidRDefault="00A60649"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Vlorë</w:t>
            </w:r>
          </w:p>
        </w:tc>
        <w:tc>
          <w:tcPr>
            <w:tcW w:w="1119" w:type="dxa"/>
          </w:tcPr>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Elbasan</w:t>
            </w:r>
          </w:p>
        </w:tc>
        <w:tc>
          <w:tcPr>
            <w:tcW w:w="906" w:type="dxa"/>
          </w:tcPr>
          <w:p w:rsidR="006074CB" w:rsidRPr="006074CB" w:rsidRDefault="00A60649"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Korçë</w:t>
            </w:r>
          </w:p>
        </w:tc>
        <w:tc>
          <w:tcPr>
            <w:tcW w:w="1037" w:type="dxa"/>
          </w:tcPr>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Fier</w:t>
            </w:r>
          </w:p>
        </w:tc>
        <w:tc>
          <w:tcPr>
            <w:tcW w:w="1297" w:type="dxa"/>
          </w:tcPr>
          <w:p w:rsidR="006074CB" w:rsidRPr="006074CB" w:rsidRDefault="00A60649"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Gjirokastë</w:t>
            </w:r>
            <w:r w:rsidR="006074CB" w:rsidRPr="006074CB">
              <w:rPr>
                <w:rFonts w:ascii="Times New Roman" w:eastAsia="Calibri" w:hAnsi="Times New Roman" w:cs="Times New Roman"/>
                <w:b/>
                <w:sz w:val="18"/>
                <w:szCs w:val="18"/>
              </w:rPr>
              <w:t>r</w:t>
            </w:r>
          </w:p>
        </w:tc>
        <w:tc>
          <w:tcPr>
            <w:tcW w:w="893" w:type="dxa"/>
          </w:tcPr>
          <w:p w:rsidR="006074CB" w:rsidRPr="006074CB" w:rsidRDefault="00A60649"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Lezhë</w:t>
            </w:r>
          </w:p>
        </w:tc>
        <w:tc>
          <w:tcPr>
            <w:tcW w:w="838" w:type="dxa"/>
          </w:tcPr>
          <w:p w:rsidR="006074CB" w:rsidRPr="006074CB" w:rsidRDefault="00A60649"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Dibë</w:t>
            </w:r>
            <w:r w:rsidR="006074CB" w:rsidRPr="006074CB">
              <w:rPr>
                <w:rFonts w:ascii="Times New Roman" w:eastAsia="Calibri" w:hAnsi="Times New Roman" w:cs="Times New Roman"/>
                <w:b/>
                <w:sz w:val="18"/>
                <w:szCs w:val="18"/>
              </w:rPr>
              <w:t>r</w:t>
            </w:r>
          </w:p>
        </w:tc>
        <w:tc>
          <w:tcPr>
            <w:tcW w:w="997" w:type="dxa"/>
          </w:tcPr>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Berat</w:t>
            </w:r>
          </w:p>
        </w:tc>
        <w:tc>
          <w:tcPr>
            <w:tcW w:w="960" w:type="dxa"/>
          </w:tcPr>
          <w:p w:rsidR="006074CB" w:rsidRPr="006074CB" w:rsidRDefault="00A60649"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Kukë</w:t>
            </w:r>
            <w:r w:rsidR="006074CB" w:rsidRPr="006074CB">
              <w:rPr>
                <w:rFonts w:ascii="Times New Roman" w:eastAsia="Calibri" w:hAnsi="Times New Roman" w:cs="Times New Roman"/>
                <w:b/>
                <w:sz w:val="18"/>
                <w:szCs w:val="18"/>
              </w:rPr>
              <w:t>s</w:t>
            </w:r>
          </w:p>
        </w:tc>
      </w:tr>
      <w:tr w:rsidR="00AA0DFA" w:rsidRPr="006074CB" w:rsidTr="00360B51">
        <w:trPr>
          <w:trHeight w:val="1290"/>
        </w:trPr>
        <w:tc>
          <w:tcPr>
            <w:tcW w:w="1741" w:type="dxa"/>
          </w:tcPr>
          <w:p w:rsidR="006074CB" w:rsidRPr="006074CB" w:rsidRDefault="006074CB" w:rsidP="006074CB">
            <w:pPr>
              <w:rPr>
                <w:rFonts w:ascii="Times New Roman" w:eastAsia="Calibri" w:hAnsi="Times New Roman" w:cs="Times New Roman"/>
                <w:b/>
                <w:sz w:val="18"/>
                <w:szCs w:val="18"/>
              </w:rPr>
            </w:pPr>
            <w:r w:rsidRPr="006074CB">
              <w:rPr>
                <w:rFonts w:ascii="Times New Roman" w:eastAsia="Calibri" w:hAnsi="Times New Roman" w:cs="Times New Roman"/>
                <w:b/>
                <w:sz w:val="18"/>
                <w:szCs w:val="18"/>
              </w:rPr>
              <w:t xml:space="preserve">Sasia </w:t>
            </w:r>
            <w:r w:rsidR="002A4F7E">
              <w:rPr>
                <w:rFonts w:ascii="Times New Roman" w:eastAsia="Calibri" w:hAnsi="Times New Roman" w:cs="Times New Roman"/>
                <w:b/>
                <w:sz w:val="18"/>
                <w:szCs w:val="18"/>
              </w:rPr>
              <w:t>e mbetjeve bimore dhe shtazore të</w:t>
            </w:r>
            <w:r w:rsidRPr="006074CB">
              <w:rPr>
                <w:rFonts w:ascii="Times New Roman" w:eastAsia="Calibri" w:hAnsi="Times New Roman" w:cs="Times New Roman"/>
                <w:b/>
                <w:sz w:val="18"/>
                <w:szCs w:val="18"/>
              </w:rPr>
              <w:t xml:space="preserve"> pakompostuara</w:t>
            </w:r>
          </w:p>
        </w:tc>
        <w:tc>
          <w:tcPr>
            <w:tcW w:w="1261" w:type="dxa"/>
          </w:tcPr>
          <w:p w:rsidR="006074CB" w:rsidRPr="006074CB" w:rsidRDefault="006074CB" w:rsidP="006074CB">
            <w:pPr>
              <w:jc w:val="both"/>
              <w:rPr>
                <w:rFonts w:ascii="Times New Roman" w:eastAsia="Calibri" w:hAnsi="Times New Roman" w:cs="Times New Roman"/>
                <w:sz w:val="18"/>
                <w:szCs w:val="18"/>
              </w:rPr>
            </w:pPr>
            <w:r w:rsidRPr="006074CB">
              <w:rPr>
                <w:rFonts w:ascii="Times New Roman" w:eastAsia="Calibri" w:hAnsi="Times New Roman" w:cs="Times New Roman"/>
                <w:sz w:val="18"/>
                <w:szCs w:val="18"/>
              </w:rPr>
              <w:t>19 05 02</w:t>
            </w:r>
          </w:p>
        </w:tc>
        <w:tc>
          <w:tcPr>
            <w:tcW w:w="1106" w:type="dxa"/>
          </w:tcPr>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1458.</w:t>
            </w:r>
            <w:r w:rsidR="00A60649">
              <w:rPr>
                <w:rFonts w:ascii="Times New Roman" w:eastAsia="Calibri" w:hAnsi="Times New Roman" w:cs="Times New Roman"/>
                <w:b/>
                <w:sz w:val="18"/>
                <w:szCs w:val="18"/>
              </w:rPr>
              <w:t>82 Ton/ 403033.75 Litra/832 copë</w:t>
            </w:r>
            <w:r w:rsidRPr="006074CB">
              <w:rPr>
                <w:rFonts w:ascii="Times New Roman" w:eastAsia="Calibri" w:hAnsi="Times New Roman" w:cs="Times New Roman"/>
                <w:b/>
                <w:sz w:val="18"/>
                <w:szCs w:val="18"/>
              </w:rPr>
              <w:t xml:space="preserve"> Produkte ushqimore/ Pije Freskuese</w:t>
            </w:r>
          </w:p>
        </w:tc>
        <w:tc>
          <w:tcPr>
            <w:tcW w:w="1206" w:type="dxa"/>
          </w:tcPr>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521.2 Ton/</w:t>
            </w:r>
            <w:r w:rsidR="00A60649">
              <w:rPr>
                <w:rFonts w:ascii="Times New Roman" w:eastAsia="Calibri" w:hAnsi="Times New Roman" w:cs="Times New Roman"/>
                <w:b/>
                <w:sz w:val="18"/>
                <w:szCs w:val="18"/>
              </w:rPr>
              <w:t>9112.88 Litra/991545 Kokrra vezë</w:t>
            </w:r>
            <w:r w:rsidRPr="006074CB">
              <w:rPr>
                <w:rFonts w:ascii="Times New Roman" w:eastAsia="Calibri" w:hAnsi="Times New Roman" w:cs="Times New Roman"/>
                <w:b/>
                <w:sz w:val="18"/>
                <w:szCs w:val="18"/>
              </w:rPr>
              <w:t xml:space="preserve"> Produkte ushqimore/ Pije Freskuese</w:t>
            </w:r>
          </w:p>
        </w:tc>
        <w:tc>
          <w:tcPr>
            <w:tcW w:w="1173" w:type="dxa"/>
          </w:tcPr>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28.36 Ton/ 1560 Litra Produkte ushqimore</w:t>
            </w:r>
          </w:p>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Pije freskuese</w:t>
            </w:r>
          </w:p>
          <w:p w:rsidR="006074CB" w:rsidRPr="006074CB" w:rsidRDefault="006074CB" w:rsidP="006074CB">
            <w:pPr>
              <w:jc w:val="both"/>
              <w:rPr>
                <w:rFonts w:ascii="Times New Roman" w:eastAsia="Calibri" w:hAnsi="Times New Roman" w:cs="Times New Roman"/>
                <w:b/>
                <w:sz w:val="18"/>
                <w:szCs w:val="18"/>
              </w:rPr>
            </w:pPr>
          </w:p>
        </w:tc>
        <w:tc>
          <w:tcPr>
            <w:tcW w:w="936" w:type="dxa"/>
          </w:tcPr>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1.06 Ton/ 88039 Litra Produkte</w:t>
            </w:r>
          </w:p>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 xml:space="preserve"> Pije freskuese</w:t>
            </w:r>
          </w:p>
        </w:tc>
        <w:tc>
          <w:tcPr>
            <w:tcW w:w="1119" w:type="dxa"/>
          </w:tcPr>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1.6 Ton/6800</w:t>
            </w:r>
          </w:p>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Litra/35</w:t>
            </w:r>
          </w:p>
          <w:p w:rsidR="006074CB" w:rsidRPr="006074CB" w:rsidRDefault="00A60649"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 xml:space="preserve">Kokrra vezë Produkte </w:t>
            </w:r>
            <w:r w:rsidR="006074CB" w:rsidRPr="006074CB">
              <w:rPr>
                <w:rFonts w:ascii="Times New Roman" w:eastAsia="Calibri" w:hAnsi="Times New Roman" w:cs="Times New Roman"/>
                <w:b/>
                <w:sz w:val="18"/>
                <w:szCs w:val="18"/>
              </w:rPr>
              <w:t>ushqimor</w:t>
            </w:r>
            <w:r>
              <w:rPr>
                <w:rFonts w:ascii="Times New Roman" w:eastAsia="Calibri" w:hAnsi="Times New Roman" w:cs="Times New Roman"/>
                <w:b/>
                <w:sz w:val="18"/>
                <w:szCs w:val="18"/>
              </w:rPr>
              <w:t>e</w:t>
            </w:r>
            <w:r w:rsidR="00AA0DFA">
              <w:rPr>
                <w:rFonts w:ascii="Times New Roman" w:eastAsia="Calibri" w:hAnsi="Times New Roman" w:cs="Times New Roman"/>
                <w:b/>
                <w:sz w:val="18"/>
                <w:szCs w:val="18"/>
              </w:rPr>
              <w:t xml:space="preserve">/ </w:t>
            </w:r>
            <w:r w:rsidR="006074CB" w:rsidRPr="006074CB">
              <w:rPr>
                <w:rFonts w:ascii="Times New Roman" w:eastAsia="Calibri" w:hAnsi="Times New Roman" w:cs="Times New Roman"/>
                <w:b/>
                <w:sz w:val="18"/>
                <w:szCs w:val="18"/>
              </w:rPr>
              <w:t>Pije freskuese</w:t>
            </w:r>
          </w:p>
        </w:tc>
        <w:tc>
          <w:tcPr>
            <w:tcW w:w="906" w:type="dxa"/>
          </w:tcPr>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3.15 Ton</w:t>
            </w:r>
            <w:r w:rsidR="00EF7E16">
              <w:rPr>
                <w:rFonts w:ascii="Times New Roman" w:eastAsia="Calibri" w:hAnsi="Times New Roman" w:cs="Times New Roman"/>
                <w:b/>
                <w:sz w:val="18"/>
                <w:szCs w:val="18"/>
              </w:rPr>
              <w:t xml:space="preserve"> </w:t>
            </w:r>
            <w:r w:rsidRPr="006074CB">
              <w:rPr>
                <w:rFonts w:ascii="Times New Roman" w:eastAsia="Calibri" w:hAnsi="Times New Roman" w:cs="Times New Roman"/>
                <w:b/>
                <w:sz w:val="18"/>
                <w:szCs w:val="18"/>
              </w:rPr>
              <w:t>/</w:t>
            </w:r>
            <w:r w:rsidR="00EF7E16">
              <w:rPr>
                <w:rFonts w:ascii="Times New Roman" w:eastAsia="Calibri" w:hAnsi="Times New Roman" w:cs="Times New Roman"/>
                <w:b/>
                <w:sz w:val="18"/>
                <w:szCs w:val="18"/>
              </w:rPr>
              <w:t xml:space="preserve"> 11</w:t>
            </w:r>
            <w:r w:rsidRPr="006074CB">
              <w:rPr>
                <w:rFonts w:ascii="Times New Roman" w:eastAsia="Calibri" w:hAnsi="Times New Roman" w:cs="Times New Roman"/>
                <w:b/>
                <w:sz w:val="18"/>
                <w:szCs w:val="18"/>
              </w:rPr>
              <w:t>60 Litra/</w:t>
            </w:r>
          </w:p>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75210</w:t>
            </w:r>
          </w:p>
          <w:p w:rsidR="006074CB" w:rsidRPr="006074CB" w:rsidRDefault="00A60649"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Kokrra Vezë Produkt ushqimo</w:t>
            </w:r>
            <w:r w:rsidR="006074CB" w:rsidRPr="006074CB">
              <w:rPr>
                <w:rFonts w:ascii="Times New Roman" w:eastAsia="Calibri" w:hAnsi="Times New Roman" w:cs="Times New Roman"/>
                <w:b/>
                <w:sz w:val="18"/>
                <w:szCs w:val="18"/>
              </w:rPr>
              <w:t>re/</w:t>
            </w:r>
            <w:r>
              <w:rPr>
                <w:rFonts w:ascii="Times New Roman" w:eastAsia="Calibri" w:hAnsi="Times New Roman" w:cs="Times New Roman"/>
                <w:b/>
                <w:sz w:val="18"/>
                <w:szCs w:val="18"/>
              </w:rPr>
              <w:t xml:space="preserve"> </w:t>
            </w:r>
            <w:r w:rsidR="006074CB" w:rsidRPr="006074CB">
              <w:rPr>
                <w:rFonts w:ascii="Times New Roman" w:eastAsia="Calibri" w:hAnsi="Times New Roman" w:cs="Times New Roman"/>
                <w:b/>
                <w:sz w:val="18"/>
                <w:szCs w:val="18"/>
              </w:rPr>
              <w:t>Pi</w:t>
            </w:r>
            <w:r>
              <w:rPr>
                <w:rFonts w:ascii="Times New Roman" w:eastAsia="Calibri" w:hAnsi="Times New Roman" w:cs="Times New Roman"/>
                <w:b/>
                <w:sz w:val="18"/>
                <w:szCs w:val="18"/>
              </w:rPr>
              <w:t>je</w:t>
            </w:r>
            <w:r w:rsidR="00AA0DFA">
              <w:rPr>
                <w:rFonts w:ascii="Times New Roman" w:eastAsia="Calibri" w:hAnsi="Times New Roman" w:cs="Times New Roman"/>
                <w:b/>
                <w:sz w:val="18"/>
                <w:szCs w:val="18"/>
              </w:rPr>
              <w:t xml:space="preserve"> Fresku</w:t>
            </w:r>
            <w:r w:rsidR="006074CB" w:rsidRPr="006074CB">
              <w:rPr>
                <w:rFonts w:ascii="Times New Roman" w:eastAsia="Calibri" w:hAnsi="Times New Roman" w:cs="Times New Roman"/>
                <w:b/>
                <w:sz w:val="18"/>
                <w:szCs w:val="18"/>
              </w:rPr>
              <w:t>ese</w:t>
            </w:r>
          </w:p>
        </w:tc>
        <w:tc>
          <w:tcPr>
            <w:tcW w:w="1037" w:type="dxa"/>
          </w:tcPr>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71.76 Ton/</w:t>
            </w:r>
          </w:p>
          <w:p w:rsidR="006074CB" w:rsidRPr="006074CB" w:rsidRDefault="00AA0DFA"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 xml:space="preserve">Produkte </w:t>
            </w:r>
            <w:r w:rsidR="006074CB" w:rsidRPr="006074CB">
              <w:rPr>
                <w:rFonts w:ascii="Times New Roman" w:eastAsia="Calibri" w:hAnsi="Times New Roman" w:cs="Times New Roman"/>
                <w:b/>
                <w:sz w:val="18"/>
                <w:szCs w:val="18"/>
              </w:rPr>
              <w:t>ushqimore</w:t>
            </w:r>
          </w:p>
        </w:tc>
        <w:tc>
          <w:tcPr>
            <w:tcW w:w="1297" w:type="dxa"/>
          </w:tcPr>
          <w:p w:rsidR="00EF7E16"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114.07 Ton/</w:t>
            </w:r>
          </w:p>
          <w:p w:rsidR="006074CB" w:rsidRPr="006074CB" w:rsidRDefault="00EF7E16"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526419.31 Lit</w:t>
            </w:r>
            <w:r w:rsidR="006074CB" w:rsidRPr="006074CB">
              <w:rPr>
                <w:rFonts w:ascii="Times New Roman" w:eastAsia="Calibri" w:hAnsi="Times New Roman" w:cs="Times New Roman"/>
                <w:b/>
                <w:sz w:val="18"/>
                <w:szCs w:val="18"/>
              </w:rPr>
              <w:t>ra</w:t>
            </w:r>
          </w:p>
          <w:p w:rsidR="006074CB" w:rsidRPr="006074CB" w:rsidRDefault="00EF7E16"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Produkte ushqimore/ Pije Fres</w:t>
            </w:r>
            <w:r w:rsidR="006074CB" w:rsidRPr="006074CB">
              <w:rPr>
                <w:rFonts w:ascii="Times New Roman" w:eastAsia="Calibri" w:hAnsi="Times New Roman" w:cs="Times New Roman"/>
                <w:b/>
                <w:sz w:val="18"/>
                <w:szCs w:val="18"/>
              </w:rPr>
              <w:t>kuese</w:t>
            </w:r>
          </w:p>
        </w:tc>
        <w:tc>
          <w:tcPr>
            <w:tcW w:w="893" w:type="dxa"/>
          </w:tcPr>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2.23 Ton /720 Litra</w:t>
            </w:r>
          </w:p>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Produk</w:t>
            </w:r>
            <w:r w:rsidR="00EF7E16">
              <w:rPr>
                <w:rFonts w:ascii="Times New Roman" w:eastAsia="Calibri" w:hAnsi="Times New Roman" w:cs="Times New Roman"/>
                <w:b/>
                <w:sz w:val="18"/>
                <w:szCs w:val="18"/>
              </w:rPr>
              <w:t>t</w:t>
            </w:r>
            <w:r w:rsidR="00AA0DFA">
              <w:rPr>
                <w:rFonts w:ascii="Times New Roman" w:eastAsia="Calibri" w:hAnsi="Times New Roman" w:cs="Times New Roman"/>
                <w:b/>
                <w:sz w:val="18"/>
                <w:szCs w:val="18"/>
              </w:rPr>
              <w:t xml:space="preserve"> </w:t>
            </w:r>
            <w:r w:rsidRPr="006074CB">
              <w:rPr>
                <w:rFonts w:ascii="Times New Roman" w:eastAsia="Calibri" w:hAnsi="Times New Roman" w:cs="Times New Roman"/>
                <w:b/>
                <w:sz w:val="18"/>
                <w:szCs w:val="18"/>
              </w:rPr>
              <w:t>ushqim</w:t>
            </w:r>
            <w:r w:rsidR="00EF7E16">
              <w:rPr>
                <w:rFonts w:ascii="Times New Roman" w:eastAsia="Calibri" w:hAnsi="Times New Roman" w:cs="Times New Roman"/>
                <w:b/>
                <w:sz w:val="18"/>
                <w:szCs w:val="18"/>
              </w:rPr>
              <w:t>or</w:t>
            </w:r>
            <w:r w:rsidRPr="006074CB">
              <w:rPr>
                <w:rFonts w:ascii="Times New Roman" w:eastAsia="Calibri" w:hAnsi="Times New Roman" w:cs="Times New Roman"/>
                <w:b/>
                <w:sz w:val="18"/>
                <w:szCs w:val="18"/>
              </w:rPr>
              <w:t>/</w:t>
            </w:r>
          </w:p>
          <w:p w:rsidR="006074CB" w:rsidRPr="006074CB" w:rsidRDefault="00AA0DFA"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Pije fresku</w:t>
            </w:r>
            <w:r w:rsidR="006074CB" w:rsidRPr="006074CB">
              <w:rPr>
                <w:rFonts w:ascii="Times New Roman" w:eastAsia="Calibri" w:hAnsi="Times New Roman" w:cs="Times New Roman"/>
                <w:b/>
                <w:sz w:val="18"/>
                <w:szCs w:val="18"/>
              </w:rPr>
              <w:t>ese</w:t>
            </w:r>
          </w:p>
        </w:tc>
        <w:tc>
          <w:tcPr>
            <w:tcW w:w="838" w:type="dxa"/>
          </w:tcPr>
          <w:p w:rsidR="006074CB" w:rsidRPr="006074CB" w:rsidRDefault="006074CB" w:rsidP="006074CB">
            <w:pPr>
              <w:jc w:val="both"/>
              <w:rPr>
                <w:rFonts w:ascii="Times New Roman" w:eastAsia="Calibri" w:hAnsi="Times New Roman" w:cs="Times New Roman"/>
                <w:b/>
                <w:sz w:val="18"/>
                <w:szCs w:val="18"/>
              </w:rPr>
            </w:pPr>
          </w:p>
        </w:tc>
        <w:tc>
          <w:tcPr>
            <w:tcW w:w="997" w:type="dxa"/>
          </w:tcPr>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11.85</w:t>
            </w:r>
          </w:p>
          <w:p w:rsidR="006074CB" w:rsidRPr="006074CB" w:rsidRDefault="00EF7E16"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Ton/ Produkte ushqi</w:t>
            </w:r>
            <w:r w:rsidR="006074CB" w:rsidRPr="006074CB">
              <w:rPr>
                <w:rFonts w:ascii="Times New Roman" w:eastAsia="Calibri" w:hAnsi="Times New Roman" w:cs="Times New Roman"/>
                <w:b/>
                <w:sz w:val="18"/>
                <w:szCs w:val="18"/>
              </w:rPr>
              <w:t>more</w:t>
            </w:r>
          </w:p>
        </w:tc>
        <w:tc>
          <w:tcPr>
            <w:tcW w:w="960" w:type="dxa"/>
          </w:tcPr>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20 Ton</w:t>
            </w:r>
          </w:p>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Produkte</w:t>
            </w:r>
          </w:p>
          <w:p w:rsidR="006074CB" w:rsidRPr="006074CB" w:rsidRDefault="00EF7E16"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Ushqi</w:t>
            </w:r>
            <w:r w:rsidR="006074CB" w:rsidRPr="006074CB">
              <w:rPr>
                <w:rFonts w:ascii="Times New Roman" w:eastAsia="Calibri" w:hAnsi="Times New Roman" w:cs="Times New Roman"/>
                <w:b/>
                <w:sz w:val="18"/>
                <w:szCs w:val="18"/>
              </w:rPr>
              <w:t>more</w:t>
            </w:r>
          </w:p>
        </w:tc>
      </w:tr>
      <w:tr w:rsidR="00AA0DFA" w:rsidRPr="006074CB" w:rsidTr="00360B51">
        <w:trPr>
          <w:trHeight w:val="1290"/>
        </w:trPr>
        <w:tc>
          <w:tcPr>
            <w:tcW w:w="1741" w:type="dxa"/>
          </w:tcPr>
          <w:p w:rsidR="006074CB" w:rsidRPr="006074CB" w:rsidRDefault="009B75BF" w:rsidP="006074CB">
            <w:pPr>
              <w:rPr>
                <w:rFonts w:ascii="Times New Roman" w:eastAsia="Calibri" w:hAnsi="Times New Roman" w:cs="Times New Roman"/>
                <w:b/>
                <w:sz w:val="18"/>
                <w:szCs w:val="18"/>
              </w:rPr>
            </w:pPr>
            <w:r>
              <w:rPr>
                <w:rFonts w:ascii="Times New Roman" w:eastAsia="Calibri" w:hAnsi="Times New Roman" w:cs="Times New Roman"/>
                <w:b/>
                <w:sz w:val="18"/>
                <w:szCs w:val="18"/>
              </w:rPr>
              <w:t>Sasia e mbetjeve të dekompozuara në</w:t>
            </w:r>
            <w:r w:rsidR="006074CB" w:rsidRPr="006074CB">
              <w:rPr>
                <w:rFonts w:ascii="Times New Roman" w:eastAsia="Calibri" w:hAnsi="Times New Roman" w:cs="Times New Roman"/>
                <w:b/>
                <w:sz w:val="18"/>
                <w:szCs w:val="18"/>
              </w:rPr>
              <w:t xml:space="preserve"> Landfill Ton/ Vit</w:t>
            </w:r>
          </w:p>
        </w:tc>
        <w:tc>
          <w:tcPr>
            <w:tcW w:w="1261" w:type="dxa"/>
          </w:tcPr>
          <w:p w:rsidR="006074CB" w:rsidRPr="006074CB" w:rsidRDefault="006074CB" w:rsidP="006074CB">
            <w:pPr>
              <w:jc w:val="both"/>
              <w:rPr>
                <w:rFonts w:ascii="Times New Roman" w:eastAsia="Calibri" w:hAnsi="Times New Roman" w:cs="Times New Roman"/>
                <w:sz w:val="18"/>
                <w:szCs w:val="18"/>
              </w:rPr>
            </w:pPr>
          </w:p>
        </w:tc>
        <w:tc>
          <w:tcPr>
            <w:tcW w:w="1106" w:type="dxa"/>
          </w:tcPr>
          <w:p w:rsidR="006074CB" w:rsidRPr="006074CB" w:rsidRDefault="006074CB" w:rsidP="006074CB">
            <w:pPr>
              <w:jc w:val="both"/>
              <w:rPr>
                <w:rFonts w:ascii="Times New Roman" w:eastAsia="Calibri" w:hAnsi="Times New Roman" w:cs="Times New Roman"/>
                <w:sz w:val="18"/>
                <w:szCs w:val="18"/>
              </w:rPr>
            </w:pPr>
            <w:r w:rsidRPr="006074CB">
              <w:rPr>
                <w:rFonts w:ascii="Times New Roman" w:eastAsia="Calibri" w:hAnsi="Times New Roman" w:cs="Times New Roman"/>
                <w:sz w:val="18"/>
                <w:szCs w:val="18"/>
              </w:rPr>
              <w:t>0.72 Ton</w:t>
            </w:r>
          </w:p>
        </w:tc>
        <w:tc>
          <w:tcPr>
            <w:tcW w:w="1206" w:type="dxa"/>
          </w:tcPr>
          <w:p w:rsidR="006074CB" w:rsidRPr="006074CB" w:rsidRDefault="006074CB" w:rsidP="006074CB">
            <w:pPr>
              <w:jc w:val="both"/>
              <w:rPr>
                <w:rFonts w:ascii="Times New Roman" w:eastAsia="Calibri" w:hAnsi="Times New Roman" w:cs="Times New Roman"/>
                <w:b/>
                <w:sz w:val="18"/>
                <w:szCs w:val="18"/>
              </w:rPr>
            </w:pPr>
          </w:p>
        </w:tc>
        <w:tc>
          <w:tcPr>
            <w:tcW w:w="1173" w:type="dxa"/>
          </w:tcPr>
          <w:p w:rsidR="006074CB" w:rsidRPr="006074CB" w:rsidRDefault="006074CB" w:rsidP="006074CB">
            <w:pPr>
              <w:jc w:val="both"/>
              <w:rPr>
                <w:rFonts w:ascii="Times New Roman" w:eastAsia="Calibri" w:hAnsi="Times New Roman" w:cs="Times New Roman"/>
                <w:b/>
                <w:sz w:val="18"/>
                <w:szCs w:val="18"/>
              </w:rPr>
            </w:pPr>
          </w:p>
        </w:tc>
        <w:tc>
          <w:tcPr>
            <w:tcW w:w="936" w:type="dxa"/>
          </w:tcPr>
          <w:p w:rsidR="006074CB" w:rsidRPr="006074CB" w:rsidRDefault="006074CB" w:rsidP="006074CB">
            <w:pPr>
              <w:jc w:val="both"/>
              <w:rPr>
                <w:rFonts w:ascii="Times New Roman" w:eastAsia="Calibri" w:hAnsi="Times New Roman" w:cs="Times New Roman"/>
                <w:b/>
                <w:sz w:val="18"/>
                <w:szCs w:val="18"/>
              </w:rPr>
            </w:pPr>
          </w:p>
        </w:tc>
        <w:tc>
          <w:tcPr>
            <w:tcW w:w="1119" w:type="dxa"/>
          </w:tcPr>
          <w:p w:rsidR="006074CB" w:rsidRPr="006074CB" w:rsidRDefault="006074CB" w:rsidP="006074CB">
            <w:pPr>
              <w:jc w:val="both"/>
              <w:rPr>
                <w:rFonts w:ascii="Times New Roman" w:eastAsia="Calibri" w:hAnsi="Times New Roman" w:cs="Times New Roman"/>
                <w:b/>
                <w:sz w:val="18"/>
                <w:szCs w:val="18"/>
              </w:rPr>
            </w:pPr>
          </w:p>
        </w:tc>
        <w:tc>
          <w:tcPr>
            <w:tcW w:w="906" w:type="dxa"/>
          </w:tcPr>
          <w:p w:rsidR="006074CB" w:rsidRPr="006074CB" w:rsidRDefault="006074CB" w:rsidP="006074CB">
            <w:pPr>
              <w:jc w:val="both"/>
              <w:rPr>
                <w:rFonts w:ascii="Times New Roman" w:eastAsia="Calibri" w:hAnsi="Times New Roman" w:cs="Times New Roman"/>
                <w:b/>
                <w:sz w:val="18"/>
                <w:szCs w:val="18"/>
              </w:rPr>
            </w:pPr>
          </w:p>
        </w:tc>
        <w:tc>
          <w:tcPr>
            <w:tcW w:w="1037" w:type="dxa"/>
          </w:tcPr>
          <w:p w:rsidR="006074CB" w:rsidRPr="006074CB" w:rsidRDefault="006074CB" w:rsidP="006074CB">
            <w:pPr>
              <w:jc w:val="both"/>
              <w:rPr>
                <w:rFonts w:ascii="Times New Roman" w:eastAsia="Calibri" w:hAnsi="Times New Roman" w:cs="Times New Roman"/>
                <w:b/>
                <w:sz w:val="18"/>
                <w:szCs w:val="18"/>
              </w:rPr>
            </w:pPr>
          </w:p>
        </w:tc>
        <w:tc>
          <w:tcPr>
            <w:tcW w:w="1297" w:type="dxa"/>
          </w:tcPr>
          <w:p w:rsidR="006074CB" w:rsidRPr="006074CB" w:rsidRDefault="006074CB" w:rsidP="006074CB">
            <w:pPr>
              <w:jc w:val="both"/>
              <w:rPr>
                <w:rFonts w:ascii="Times New Roman" w:eastAsia="Calibri" w:hAnsi="Times New Roman" w:cs="Times New Roman"/>
                <w:b/>
                <w:sz w:val="18"/>
                <w:szCs w:val="18"/>
              </w:rPr>
            </w:pPr>
          </w:p>
        </w:tc>
        <w:tc>
          <w:tcPr>
            <w:tcW w:w="893" w:type="dxa"/>
          </w:tcPr>
          <w:p w:rsidR="006074CB" w:rsidRPr="006074CB" w:rsidRDefault="006074CB" w:rsidP="006074CB">
            <w:pPr>
              <w:jc w:val="both"/>
              <w:rPr>
                <w:rFonts w:ascii="Times New Roman" w:eastAsia="Calibri" w:hAnsi="Times New Roman" w:cs="Times New Roman"/>
                <w:b/>
                <w:sz w:val="18"/>
                <w:szCs w:val="18"/>
              </w:rPr>
            </w:pPr>
          </w:p>
        </w:tc>
        <w:tc>
          <w:tcPr>
            <w:tcW w:w="838" w:type="dxa"/>
          </w:tcPr>
          <w:p w:rsidR="006074CB" w:rsidRPr="006074CB" w:rsidRDefault="006074CB" w:rsidP="006074CB">
            <w:pPr>
              <w:jc w:val="both"/>
              <w:rPr>
                <w:rFonts w:ascii="Times New Roman" w:eastAsia="Calibri" w:hAnsi="Times New Roman" w:cs="Times New Roman"/>
                <w:b/>
                <w:sz w:val="18"/>
                <w:szCs w:val="18"/>
              </w:rPr>
            </w:pPr>
          </w:p>
        </w:tc>
        <w:tc>
          <w:tcPr>
            <w:tcW w:w="997" w:type="dxa"/>
          </w:tcPr>
          <w:p w:rsidR="006074CB" w:rsidRPr="006074CB" w:rsidRDefault="006074CB" w:rsidP="006074CB">
            <w:pPr>
              <w:jc w:val="both"/>
              <w:rPr>
                <w:rFonts w:ascii="Times New Roman" w:eastAsia="Calibri" w:hAnsi="Times New Roman" w:cs="Times New Roman"/>
                <w:b/>
                <w:sz w:val="18"/>
                <w:szCs w:val="18"/>
              </w:rPr>
            </w:pPr>
          </w:p>
        </w:tc>
        <w:tc>
          <w:tcPr>
            <w:tcW w:w="960" w:type="dxa"/>
          </w:tcPr>
          <w:p w:rsidR="006074CB" w:rsidRPr="006074CB" w:rsidRDefault="006074CB" w:rsidP="006074CB">
            <w:pPr>
              <w:jc w:val="both"/>
              <w:rPr>
                <w:rFonts w:ascii="Times New Roman" w:eastAsia="Calibri" w:hAnsi="Times New Roman" w:cs="Times New Roman"/>
                <w:b/>
                <w:sz w:val="18"/>
                <w:szCs w:val="18"/>
              </w:rPr>
            </w:pPr>
          </w:p>
        </w:tc>
      </w:tr>
      <w:tr w:rsidR="00AA0DFA" w:rsidRPr="006074CB" w:rsidTr="00360B51">
        <w:trPr>
          <w:trHeight w:val="1290"/>
        </w:trPr>
        <w:tc>
          <w:tcPr>
            <w:tcW w:w="1741" w:type="dxa"/>
          </w:tcPr>
          <w:p w:rsidR="006074CB" w:rsidRPr="006074CB" w:rsidRDefault="009B75BF" w:rsidP="009B75BF">
            <w:pPr>
              <w:rPr>
                <w:rFonts w:ascii="Times New Roman" w:eastAsia="Calibri" w:hAnsi="Times New Roman" w:cs="Times New Roman"/>
                <w:b/>
                <w:sz w:val="18"/>
                <w:szCs w:val="18"/>
              </w:rPr>
            </w:pPr>
            <w:r>
              <w:rPr>
                <w:rFonts w:ascii="Times New Roman" w:eastAsia="Calibri" w:hAnsi="Times New Roman" w:cs="Times New Roman"/>
                <w:b/>
                <w:sz w:val="18"/>
                <w:szCs w:val="18"/>
              </w:rPr>
              <w:lastRenderedPageBreak/>
              <w:t>Sasia e mbetjeve të</w:t>
            </w:r>
            <w:r w:rsidR="006074CB" w:rsidRPr="006074CB">
              <w:rPr>
                <w:rFonts w:ascii="Times New Roman" w:eastAsia="Calibri" w:hAnsi="Times New Roman" w:cs="Times New Roman"/>
                <w:b/>
                <w:sz w:val="18"/>
                <w:szCs w:val="18"/>
              </w:rPr>
              <w:t xml:space="preserve"> </w:t>
            </w:r>
            <w:r>
              <w:rPr>
                <w:rFonts w:ascii="Times New Roman" w:eastAsia="Calibri" w:hAnsi="Times New Roman" w:cs="Times New Roman"/>
                <w:b/>
                <w:sz w:val="18"/>
                <w:szCs w:val="18"/>
              </w:rPr>
              <w:t>trajtuara në incenera</w:t>
            </w:r>
            <w:r w:rsidR="006074CB" w:rsidRPr="006074CB">
              <w:rPr>
                <w:rFonts w:ascii="Times New Roman" w:eastAsia="Calibri" w:hAnsi="Times New Roman" w:cs="Times New Roman"/>
                <w:b/>
                <w:sz w:val="18"/>
                <w:szCs w:val="18"/>
              </w:rPr>
              <w:t>tor Ton/ Vit</w:t>
            </w:r>
          </w:p>
        </w:tc>
        <w:tc>
          <w:tcPr>
            <w:tcW w:w="1261" w:type="dxa"/>
          </w:tcPr>
          <w:p w:rsidR="006074CB" w:rsidRPr="006074CB" w:rsidRDefault="006074CB" w:rsidP="006074CB">
            <w:pPr>
              <w:jc w:val="both"/>
              <w:rPr>
                <w:rFonts w:ascii="Times New Roman" w:eastAsia="Calibri" w:hAnsi="Times New Roman" w:cs="Times New Roman"/>
                <w:sz w:val="18"/>
                <w:szCs w:val="18"/>
              </w:rPr>
            </w:pPr>
          </w:p>
        </w:tc>
        <w:tc>
          <w:tcPr>
            <w:tcW w:w="1106" w:type="dxa"/>
          </w:tcPr>
          <w:p w:rsidR="006074CB" w:rsidRPr="006074CB" w:rsidRDefault="006074CB" w:rsidP="006074CB">
            <w:pPr>
              <w:jc w:val="both"/>
              <w:rPr>
                <w:rFonts w:ascii="Times New Roman" w:eastAsia="Calibri" w:hAnsi="Times New Roman" w:cs="Times New Roman"/>
                <w:sz w:val="18"/>
                <w:szCs w:val="18"/>
              </w:rPr>
            </w:pPr>
            <w:r w:rsidRPr="006074CB">
              <w:rPr>
                <w:rFonts w:ascii="Times New Roman" w:eastAsia="Calibri" w:hAnsi="Times New Roman" w:cs="Times New Roman"/>
                <w:sz w:val="18"/>
                <w:szCs w:val="18"/>
              </w:rPr>
              <w:t>0.98057</w:t>
            </w:r>
          </w:p>
          <w:p w:rsidR="006074CB" w:rsidRPr="006074CB" w:rsidRDefault="006074CB" w:rsidP="006074CB">
            <w:pPr>
              <w:jc w:val="both"/>
              <w:rPr>
                <w:rFonts w:ascii="Times New Roman" w:eastAsia="Calibri" w:hAnsi="Times New Roman" w:cs="Times New Roman"/>
                <w:sz w:val="18"/>
                <w:szCs w:val="18"/>
              </w:rPr>
            </w:pPr>
            <w:r w:rsidRPr="006074CB">
              <w:rPr>
                <w:rFonts w:ascii="Times New Roman" w:eastAsia="Calibri" w:hAnsi="Times New Roman" w:cs="Times New Roman"/>
                <w:sz w:val="18"/>
                <w:szCs w:val="18"/>
              </w:rPr>
              <w:t>Ton</w:t>
            </w:r>
          </w:p>
        </w:tc>
        <w:tc>
          <w:tcPr>
            <w:tcW w:w="1206" w:type="dxa"/>
          </w:tcPr>
          <w:p w:rsidR="006074CB" w:rsidRPr="006074CB" w:rsidRDefault="006074CB" w:rsidP="006074CB">
            <w:pPr>
              <w:jc w:val="both"/>
              <w:rPr>
                <w:rFonts w:ascii="Times New Roman" w:eastAsia="Calibri" w:hAnsi="Times New Roman" w:cs="Times New Roman"/>
                <w:sz w:val="18"/>
                <w:szCs w:val="18"/>
              </w:rPr>
            </w:pPr>
          </w:p>
        </w:tc>
        <w:tc>
          <w:tcPr>
            <w:tcW w:w="1173" w:type="dxa"/>
          </w:tcPr>
          <w:p w:rsidR="006074CB" w:rsidRPr="006074CB" w:rsidRDefault="006074CB" w:rsidP="006074CB">
            <w:pPr>
              <w:jc w:val="both"/>
              <w:rPr>
                <w:rFonts w:ascii="Times New Roman" w:eastAsia="Calibri" w:hAnsi="Times New Roman" w:cs="Times New Roman"/>
                <w:b/>
                <w:sz w:val="18"/>
                <w:szCs w:val="18"/>
              </w:rPr>
            </w:pPr>
          </w:p>
        </w:tc>
        <w:tc>
          <w:tcPr>
            <w:tcW w:w="936" w:type="dxa"/>
          </w:tcPr>
          <w:p w:rsidR="006074CB" w:rsidRPr="006074CB" w:rsidRDefault="006074CB" w:rsidP="006074CB">
            <w:pPr>
              <w:jc w:val="both"/>
              <w:rPr>
                <w:rFonts w:ascii="Times New Roman" w:eastAsia="Calibri" w:hAnsi="Times New Roman" w:cs="Times New Roman"/>
                <w:b/>
                <w:sz w:val="18"/>
                <w:szCs w:val="18"/>
              </w:rPr>
            </w:pPr>
          </w:p>
        </w:tc>
        <w:tc>
          <w:tcPr>
            <w:tcW w:w="1119" w:type="dxa"/>
          </w:tcPr>
          <w:p w:rsidR="006074CB" w:rsidRPr="006074CB" w:rsidRDefault="006074CB" w:rsidP="006074CB">
            <w:pPr>
              <w:jc w:val="both"/>
              <w:rPr>
                <w:rFonts w:ascii="Times New Roman" w:eastAsia="Calibri" w:hAnsi="Times New Roman" w:cs="Times New Roman"/>
                <w:b/>
                <w:sz w:val="18"/>
                <w:szCs w:val="18"/>
              </w:rPr>
            </w:pPr>
          </w:p>
        </w:tc>
        <w:tc>
          <w:tcPr>
            <w:tcW w:w="906" w:type="dxa"/>
          </w:tcPr>
          <w:p w:rsidR="006074CB" w:rsidRPr="006074CB" w:rsidRDefault="006074CB" w:rsidP="006074CB">
            <w:pPr>
              <w:jc w:val="both"/>
              <w:rPr>
                <w:rFonts w:ascii="Times New Roman" w:eastAsia="Calibri" w:hAnsi="Times New Roman" w:cs="Times New Roman"/>
                <w:b/>
                <w:sz w:val="18"/>
                <w:szCs w:val="18"/>
              </w:rPr>
            </w:pPr>
          </w:p>
        </w:tc>
        <w:tc>
          <w:tcPr>
            <w:tcW w:w="1037" w:type="dxa"/>
          </w:tcPr>
          <w:p w:rsidR="006074CB" w:rsidRPr="006074CB" w:rsidRDefault="00EF7E16" w:rsidP="006074CB">
            <w:pPr>
              <w:jc w:val="both"/>
              <w:rPr>
                <w:rFonts w:ascii="Times New Roman" w:eastAsia="Calibri" w:hAnsi="Times New Roman" w:cs="Times New Roman"/>
                <w:b/>
                <w:sz w:val="18"/>
                <w:szCs w:val="18"/>
              </w:rPr>
            </w:pPr>
            <w:r>
              <w:rPr>
                <w:rFonts w:ascii="Times New Roman" w:eastAsia="Calibri" w:hAnsi="Times New Roman" w:cs="Times New Roman"/>
                <w:b/>
                <w:sz w:val="18"/>
                <w:szCs w:val="18"/>
              </w:rPr>
              <w:t>0.017992 Ton</w:t>
            </w:r>
          </w:p>
          <w:p w:rsidR="006074CB" w:rsidRPr="006074CB" w:rsidRDefault="006074CB" w:rsidP="006074CB">
            <w:pPr>
              <w:jc w:val="both"/>
              <w:rPr>
                <w:rFonts w:ascii="Times New Roman" w:eastAsia="Calibri" w:hAnsi="Times New Roman" w:cs="Times New Roman"/>
                <w:b/>
                <w:sz w:val="18"/>
                <w:szCs w:val="18"/>
              </w:rPr>
            </w:pPr>
            <w:r w:rsidRPr="006074CB">
              <w:rPr>
                <w:rFonts w:ascii="Times New Roman" w:eastAsia="Calibri" w:hAnsi="Times New Roman" w:cs="Times New Roman"/>
                <w:b/>
                <w:sz w:val="18"/>
                <w:szCs w:val="18"/>
              </w:rPr>
              <w:t>7.38 Litra</w:t>
            </w:r>
          </w:p>
        </w:tc>
        <w:tc>
          <w:tcPr>
            <w:tcW w:w="1297" w:type="dxa"/>
          </w:tcPr>
          <w:p w:rsidR="006074CB" w:rsidRPr="006074CB" w:rsidRDefault="006074CB" w:rsidP="006074CB">
            <w:pPr>
              <w:jc w:val="both"/>
              <w:rPr>
                <w:rFonts w:ascii="Times New Roman" w:eastAsia="Calibri" w:hAnsi="Times New Roman" w:cs="Times New Roman"/>
                <w:b/>
                <w:sz w:val="18"/>
                <w:szCs w:val="18"/>
              </w:rPr>
            </w:pPr>
          </w:p>
        </w:tc>
        <w:tc>
          <w:tcPr>
            <w:tcW w:w="893" w:type="dxa"/>
          </w:tcPr>
          <w:p w:rsidR="006074CB" w:rsidRPr="006074CB" w:rsidRDefault="006074CB" w:rsidP="006074CB">
            <w:pPr>
              <w:jc w:val="both"/>
              <w:rPr>
                <w:rFonts w:ascii="Times New Roman" w:eastAsia="Calibri" w:hAnsi="Times New Roman" w:cs="Times New Roman"/>
                <w:b/>
                <w:sz w:val="18"/>
                <w:szCs w:val="18"/>
              </w:rPr>
            </w:pPr>
          </w:p>
        </w:tc>
        <w:tc>
          <w:tcPr>
            <w:tcW w:w="838" w:type="dxa"/>
          </w:tcPr>
          <w:p w:rsidR="006074CB" w:rsidRPr="006074CB" w:rsidRDefault="006074CB" w:rsidP="006074CB">
            <w:pPr>
              <w:jc w:val="both"/>
              <w:rPr>
                <w:rFonts w:ascii="Times New Roman" w:eastAsia="Calibri" w:hAnsi="Times New Roman" w:cs="Times New Roman"/>
                <w:b/>
                <w:sz w:val="18"/>
                <w:szCs w:val="18"/>
              </w:rPr>
            </w:pPr>
          </w:p>
        </w:tc>
        <w:tc>
          <w:tcPr>
            <w:tcW w:w="997" w:type="dxa"/>
          </w:tcPr>
          <w:p w:rsidR="006074CB" w:rsidRPr="006074CB" w:rsidRDefault="006074CB" w:rsidP="006074CB">
            <w:pPr>
              <w:jc w:val="both"/>
              <w:rPr>
                <w:rFonts w:ascii="Times New Roman" w:eastAsia="Calibri" w:hAnsi="Times New Roman" w:cs="Times New Roman"/>
                <w:b/>
                <w:sz w:val="18"/>
                <w:szCs w:val="18"/>
              </w:rPr>
            </w:pPr>
          </w:p>
        </w:tc>
        <w:tc>
          <w:tcPr>
            <w:tcW w:w="960" w:type="dxa"/>
          </w:tcPr>
          <w:p w:rsidR="006074CB" w:rsidRPr="006074CB" w:rsidRDefault="006074CB" w:rsidP="006074CB">
            <w:pPr>
              <w:jc w:val="both"/>
              <w:rPr>
                <w:rFonts w:ascii="Times New Roman" w:eastAsia="Calibri" w:hAnsi="Times New Roman" w:cs="Times New Roman"/>
                <w:b/>
                <w:sz w:val="18"/>
                <w:szCs w:val="18"/>
              </w:rPr>
            </w:pPr>
          </w:p>
        </w:tc>
      </w:tr>
      <w:bookmarkEnd w:id="61"/>
    </w:tbl>
    <w:p w:rsidR="006074CB" w:rsidRDefault="006074CB" w:rsidP="00E0358A">
      <w:pPr>
        <w:rPr>
          <w:sz w:val="24"/>
          <w:szCs w:val="24"/>
        </w:rPr>
        <w:sectPr w:rsidR="006074CB" w:rsidSect="00EB61BF">
          <w:pgSz w:w="15840" w:h="12240" w:orient="landscape"/>
          <w:pgMar w:top="1440" w:right="1440" w:bottom="1440" w:left="1440" w:header="720" w:footer="720" w:gutter="0"/>
          <w:cols w:space="720"/>
          <w:docGrid w:linePitch="360"/>
        </w:sectPr>
      </w:pPr>
    </w:p>
    <w:p w:rsidR="00DD3BBF" w:rsidRDefault="00DD3BBF" w:rsidP="00E0358A">
      <w:pPr>
        <w:rPr>
          <w:sz w:val="24"/>
          <w:szCs w:val="24"/>
        </w:rPr>
      </w:pPr>
    </w:p>
    <w:p w:rsidR="000B7599" w:rsidRPr="000B7599" w:rsidRDefault="00BA3F62" w:rsidP="000B7599">
      <w:pPr>
        <w:widowControl w:val="0"/>
        <w:tabs>
          <w:tab w:val="left" w:pos="1139"/>
        </w:tabs>
        <w:autoSpaceDE w:val="0"/>
        <w:autoSpaceDN w:val="0"/>
        <w:spacing w:after="0" w:line="240" w:lineRule="auto"/>
        <w:outlineLvl w:val="6"/>
        <w:rPr>
          <w:rFonts w:ascii="Times New Roman" w:eastAsia="Times New Roman" w:hAnsi="Times New Roman" w:cs="Times New Roman"/>
          <w:b/>
          <w:bCs/>
          <w:sz w:val="24"/>
          <w:szCs w:val="24"/>
          <w:lang w:val="sq-AL"/>
        </w:rPr>
      </w:pPr>
      <w:bookmarkStart w:id="62" w:name="_Hlk228283921"/>
      <w:r>
        <w:rPr>
          <w:rFonts w:ascii="Times New Roman" w:eastAsia="Times New Roman" w:hAnsi="Times New Roman" w:cs="Times New Roman"/>
          <w:b/>
          <w:bCs/>
          <w:sz w:val="24"/>
          <w:szCs w:val="24"/>
          <w:lang w:val="sq-AL"/>
        </w:rPr>
        <w:t xml:space="preserve">10.2.3 </w:t>
      </w:r>
      <w:r w:rsidR="000B7599" w:rsidRPr="000B7599">
        <w:rPr>
          <w:rFonts w:ascii="Times New Roman" w:eastAsia="Times New Roman" w:hAnsi="Times New Roman" w:cs="Times New Roman"/>
          <w:b/>
          <w:bCs/>
          <w:sz w:val="24"/>
          <w:szCs w:val="24"/>
          <w:lang w:val="sq-AL"/>
        </w:rPr>
        <w:t>Transferimi</w:t>
      </w:r>
      <w:r w:rsidR="000B7599" w:rsidRPr="000B7599">
        <w:rPr>
          <w:rFonts w:ascii="Times New Roman" w:eastAsia="Times New Roman" w:hAnsi="Times New Roman" w:cs="Times New Roman"/>
          <w:b/>
          <w:bCs/>
          <w:spacing w:val="-6"/>
          <w:sz w:val="24"/>
          <w:szCs w:val="24"/>
          <w:lang w:val="sq-AL"/>
        </w:rPr>
        <w:t xml:space="preserve"> </w:t>
      </w:r>
      <w:r w:rsidR="000B7599" w:rsidRPr="000B7599">
        <w:rPr>
          <w:rFonts w:ascii="Times New Roman" w:eastAsia="Times New Roman" w:hAnsi="Times New Roman" w:cs="Times New Roman"/>
          <w:b/>
          <w:bCs/>
          <w:sz w:val="24"/>
          <w:szCs w:val="24"/>
          <w:lang w:val="sq-AL"/>
        </w:rPr>
        <w:t>i</w:t>
      </w:r>
      <w:r w:rsidR="000B7599" w:rsidRPr="000B7599">
        <w:rPr>
          <w:rFonts w:ascii="Times New Roman" w:eastAsia="Times New Roman" w:hAnsi="Times New Roman" w:cs="Times New Roman"/>
          <w:b/>
          <w:bCs/>
          <w:spacing w:val="-6"/>
          <w:sz w:val="24"/>
          <w:szCs w:val="24"/>
          <w:lang w:val="sq-AL"/>
        </w:rPr>
        <w:t xml:space="preserve"> </w:t>
      </w:r>
      <w:r w:rsidR="000B7599" w:rsidRPr="000B7599">
        <w:rPr>
          <w:rFonts w:ascii="Times New Roman" w:eastAsia="Times New Roman" w:hAnsi="Times New Roman" w:cs="Times New Roman"/>
          <w:b/>
          <w:bCs/>
          <w:sz w:val="24"/>
          <w:szCs w:val="24"/>
          <w:lang w:val="sq-AL"/>
        </w:rPr>
        <w:t>mbetjeve</w:t>
      </w:r>
      <w:r w:rsidR="000B7599" w:rsidRPr="000B7599">
        <w:rPr>
          <w:rFonts w:ascii="Times New Roman" w:eastAsia="Times New Roman" w:hAnsi="Times New Roman" w:cs="Times New Roman"/>
          <w:b/>
          <w:bCs/>
          <w:spacing w:val="-6"/>
          <w:sz w:val="24"/>
          <w:szCs w:val="24"/>
          <w:lang w:val="sq-AL"/>
        </w:rPr>
        <w:t xml:space="preserve"> </w:t>
      </w:r>
      <w:r w:rsidR="000B7599" w:rsidRPr="000B7599">
        <w:rPr>
          <w:rFonts w:ascii="Times New Roman" w:eastAsia="Times New Roman" w:hAnsi="Times New Roman" w:cs="Times New Roman"/>
          <w:b/>
          <w:bCs/>
          <w:spacing w:val="-2"/>
          <w:sz w:val="24"/>
          <w:szCs w:val="24"/>
          <w:lang w:val="sq-AL"/>
        </w:rPr>
        <w:t>industriale</w:t>
      </w:r>
    </w:p>
    <w:p w:rsidR="000B7599" w:rsidRPr="000B7599" w:rsidRDefault="000B7599" w:rsidP="000B7599">
      <w:pPr>
        <w:widowControl w:val="0"/>
        <w:autoSpaceDE w:val="0"/>
        <w:autoSpaceDN w:val="0"/>
        <w:spacing w:before="16" w:after="0" w:line="240" w:lineRule="auto"/>
        <w:rPr>
          <w:rFonts w:ascii="Times New Roman" w:eastAsia="Times New Roman" w:hAnsi="Times New Roman" w:cs="Times New Roman"/>
          <w:b/>
          <w:sz w:val="18"/>
          <w:szCs w:val="18"/>
          <w:lang w:val="sq-AL"/>
        </w:rPr>
      </w:pPr>
    </w:p>
    <w:p w:rsidR="000B7599" w:rsidRPr="000B7599" w:rsidRDefault="000B7599" w:rsidP="000B7599">
      <w:pPr>
        <w:widowControl w:val="0"/>
        <w:autoSpaceDE w:val="0"/>
        <w:autoSpaceDN w:val="0"/>
        <w:spacing w:after="0" w:line="240" w:lineRule="auto"/>
        <w:jc w:val="both"/>
        <w:rPr>
          <w:rFonts w:ascii="Times New Roman" w:eastAsia="Times New Roman" w:hAnsi="Times New Roman" w:cs="Times New Roman"/>
          <w:sz w:val="24"/>
          <w:szCs w:val="24"/>
          <w:lang w:val="sq-AL"/>
        </w:rPr>
      </w:pPr>
      <w:r w:rsidRPr="000B7599">
        <w:rPr>
          <w:rFonts w:ascii="Times New Roman" w:eastAsia="Times New Roman" w:hAnsi="Times New Roman" w:cs="Times New Roman"/>
          <w:sz w:val="24"/>
          <w:szCs w:val="24"/>
          <w:lang w:val="sq-AL"/>
        </w:rPr>
        <w:t>Në mbështetje të VKM Nr. 229, datë 23.04.2014, “Për miratimin e rregullave për transferimin e mbetjeve jo të rrezikshme dhe informacionit që duhet të përfshihet në dokumentin e transferimit”, të</w:t>
      </w:r>
      <w:r w:rsidRPr="000B7599">
        <w:rPr>
          <w:rFonts w:ascii="Times New Roman" w:eastAsia="Times New Roman" w:hAnsi="Times New Roman" w:cs="Times New Roman"/>
          <w:spacing w:val="-10"/>
          <w:sz w:val="24"/>
          <w:szCs w:val="24"/>
          <w:lang w:val="sq-AL"/>
        </w:rPr>
        <w:t xml:space="preserve"> </w:t>
      </w:r>
      <w:r w:rsidRPr="000B7599">
        <w:rPr>
          <w:rFonts w:ascii="Times New Roman" w:eastAsia="Times New Roman" w:hAnsi="Times New Roman" w:cs="Times New Roman"/>
          <w:sz w:val="24"/>
          <w:szCs w:val="24"/>
          <w:lang w:val="sq-AL"/>
        </w:rPr>
        <w:t>ndryshuar,</w:t>
      </w:r>
      <w:r w:rsidRPr="000B7599">
        <w:rPr>
          <w:rFonts w:ascii="Times New Roman" w:eastAsia="Times New Roman" w:hAnsi="Times New Roman" w:cs="Times New Roman"/>
          <w:spacing w:val="-8"/>
          <w:sz w:val="24"/>
          <w:szCs w:val="24"/>
          <w:lang w:val="sq-AL"/>
        </w:rPr>
        <w:t xml:space="preserve"> </w:t>
      </w:r>
      <w:r w:rsidRPr="000B7599">
        <w:rPr>
          <w:rFonts w:ascii="Times New Roman" w:eastAsia="Times New Roman" w:hAnsi="Times New Roman" w:cs="Times New Roman"/>
          <w:sz w:val="24"/>
          <w:szCs w:val="24"/>
          <w:lang w:val="sq-AL"/>
        </w:rPr>
        <w:t>VKM</w:t>
      </w:r>
      <w:r w:rsidRPr="000B7599">
        <w:rPr>
          <w:rFonts w:ascii="Times New Roman" w:eastAsia="Times New Roman" w:hAnsi="Times New Roman" w:cs="Times New Roman"/>
          <w:spacing w:val="-8"/>
          <w:sz w:val="24"/>
          <w:szCs w:val="24"/>
          <w:lang w:val="sq-AL"/>
        </w:rPr>
        <w:t xml:space="preserve"> </w:t>
      </w:r>
      <w:r w:rsidRPr="000B7599">
        <w:rPr>
          <w:rFonts w:ascii="Times New Roman" w:eastAsia="Times New Roman" w:hAnsi="Times New Roman" w:cs="Times New Roman"/>
          <w:sz w:val="24"/>
          <w:szCs w:val="24"/>
          <w:lang w:val="sq-AL"/>
        </w:rPr>
        <w:t>Nr.</w:t>
      </w:r>
      <w:r w:rsidRPr="000B7599">
        <w:rPr>
          <w:rFonts w:ascii="Times New Roman" w:eastAsia="Times New Roman" w:hAnsi="Times New Roman" w:cs="Times New Roman"/>
          <w:spacing w:val="-9"/>
          <w:sz w:val="24"/>
          <w:szCs w:val="24"/>
          <w:lang w:val="sq-AL"/>
        </w:rPr>
        <w:t xml:space="preserve"> </w:t>
      </w:r>
      <w:r w:rsidRPr="000B7599">
        <w:rPr>
          <w:rFonts w:ascii="Times New Roman" w:eastAsia="Times New Roman" w:hAnsi="Times New Roman" w:cs="Times New Roman"/>
          <w:sz w:val="24"/>
          <w:szCs w:val="24"/>
          <w:lang w:val="sq-AL"/>
        </w:rPr>
        <w:t>371,</w:t>
      </w:r>
      <w:r w:rsidRPr="000B7599">
        <w:rPr>
          <w:rFonts w:ascii="Times New Roman" w:eastAsia="Times New Roman" w:hAnsi="Times New Roman" w:cs="Times New Roman"/>
          <w:spacing w:val="-8"/>
          <w:sz w:val="24"/>
          <w:szCs w:val="24"/>
          <w:lang w:val="sq-AL"/>
        </w:rPr>
        <w:t xml:space="preserve"> </w:t>
      </w:r>
      <w:r w:rsidRPr="000B7599">
        <w:rPr>
          <w:rFonts w:ascii="Times New Roman" w:eastAsia="Times New Roman" w:hAnsi="Times New Roman" w:cs="Times New Roman"/>
          <w:sz w:val="24"/>
          <w:szCs w:val="24"/>
          <w:lang w:val="sq-AL"/>
        </w:rPr>
        <w:t>datë</w:t>
      </w:r>
      <w:r w:rsidRPr="000B7599">
        <w:rPr>
          <w:rFonts w:ascii="Times New Roman" w:eastAsia="Times New Roman" w:hAnsi="Times New Roman" w:cs="Times New Roman"/>
          <w:spacing w:val="-9"/>
          <w:sz w:val="24"/>
          <w:szCs w:val="24"/>
          <w:lang w:val="sq-AL"/>
        </w:rPr>
        <w:t xml:space="preserve"> </w:t>
      </w:r>
      <w:r w:rsidRPr="000B7599">
        <w:rPr>
          <w:rFonts w:ascii="Times New Roman" w:eastAsia="Times New Roman" w:hAnsi="Times New Roman" w:cs="Times New Roman"/>
          <w:sz w:val="24"/>
          <w:szCs w:val="24"/>
          <w:lang w:val="sq-AL"/>
        </w:rPr>
        <w:t>11.06.2014,</w:t>
      </w:r>
      <w:r w:rsidRPr="000B7599">
        <w:rPr>
          <w:rFonts w:ascii="Times New Roman" w:eastAsia="Times New Roman" w:hAnsi="Times New Roman" w:cs="Times New Roman"/>
          <w:spacing w:val="-8"/>
          <w:sz w:val="24"/>
          <w:szCs w:val="24"/>
          <w:lang w:val="sq-AL"/>
        </w:rPr>
        <w:t xml:space="preserve"> </w:t>
      </w:r>
      <w:r w:rsidRPr="000B7599">
        <w:rPr>
          <w:rFonts w:ascii="Times New Roman" w:eastAsia="Times New Roman" w:hAnsi="Times New Roman" w:cs="Times New Roman"/>
          <w:sz w:val="24"/>
          <w:szCs w:val="24"/>
          <w:lang w:val="sq-AL"/>
        </w:rPr>
        <w:t>“Për</w:t>
      </w:r>
      <w:r w:rsidRPr="000B7599">
        <w:rPr>
          <w:rFonts w:ascii="Times New Roman" w:eastAsia="Times New Roman" w:hAnsi="Times New Roman" w:cs="Times New Roman"/>
          <w:spacing w:val="-8"/>
          <w:sz w:val="24"/>
          <w:szCs w:val="24"/>
          <w:lang w:val="sq-AL"/>
        </w:rPr>
        <w:t xml:space="preserve"> </w:t>
      </w:r>
      <w:r w:rsidRPr="000B7599">
        <w:rPr>
          <w:rFonts w:ascii="Times New Roman" w:eastAsia="Times New Roman" w:hAnsi="Times New Roman" w:cs="Times New Roman"/>
          <w:sz w:val="24"/>
          <w:szCs w:val="24"/>
          <w:lang w:val="sq-AL"/>
        </w:rPr>
        <w:t>miratimin</w:t>
      </w:r>
      <w:r w:rsidRPr="000B7599">
        <w:rPr>
          <w:rFonts w:ascii="Times New Roman" w:eastAsia="Times New Roman" w:hAnsi="Times New Roman" w:cs="Times New Roman"/>
          <w:spacing w:val="-8"/>
          <w:sz w:val="24"/>
          <w:szCs w:val="24"/>
          <w:lang w:val="sq-AL"/>
        </w:rPr>
        <w:t xml:space="preserve"> </w:t>
      </w:r>
      <w:r w:rsidRPr="000B7599">
        <w:rPr>
          <w:rFonts w:ascii="Times New Roman" w:eastAsia="Times New Roman" w:hAnsi="Times New Roman" w:cs="Times New Roman"/>
          <w:sz w:val="24"/>
          <w:szCs w:val="24"/>
          <w:lang w:val="sq-AL"/>
        </w:rPr>
        <w:t>e</w:t>
      </w:r>
      <w:r w:rsidRPr="000B7599">
        <w:rPr>
          <w:rFonts w:ascii="Times New Roman" w:eastAsia="Times New Roman" w:hAnsi="Times New Roman" w:cs="Times New Roman"/>
          <w:spacing w:val="-7"/>
          <w:sz w:val="24"/>
          <w:szCs w:val="24"/>
          <w:lang w:val="sq-AL"/>
        </w:rPr>
        <w:t xml:space="preserve"> </w:t>
      </w:r>
      <w:r w:rsidRPr="000B7599">
        <w:rPr>
          <w:rFonts w:ascii="Times New Roman" w:eastAsia="Times New Roman" w:hAnsi="Times New Roman" w:cs="Times New Roman"/>
          <w:sz w:val="24"/>
          <w:szCs w:val="24"/>
          <w:lang w:val="sq-AL"/>
        </w:rPr>
        <w:t>rregullave</w:t>
      </w:r>
      <w:r w:rsidRPr="000B7599">
        <w:rPr>
          <w:rFonts w:ascii="Times New Roman" w:eastAsia="Times New Roman" w:hAnsi="Times New Roman" w:cs="Times New Roman"/>
          <w:spacing w:val="-9"/>
          <w:sz w:val="24"/>
          <w:szCs w:val="24"/>
          <w:lang w:val="sq-AL"/>
        </w:rPr>
        <w:t xml:space="preserve"> </w:t>
      </w:r>
      <w:r w:rsidRPr="000B7599">
        <w:rPr>
          <w:rFonts w:ascii="Times New Roman" w:eastAsia="Times New Roman" w:hAnsi="Times New Roman" w:cs="Times New Roman"/>
          <w:sz w:val="24"/>
          <w:szCs w:val="24"/>
          <w:lang w:val="sq-AL"/>
        </w:rPr>
        <w:t>për</w:t>
      </w:r>
      <w:r w:rsidRPr="000B7599">
        <w:rPr>
          <w:rFonts w:ascii="Times New Roman" w:eastAsia="Times New Roman" w:hAnsi="Times New Roman" w:cs="Times New Roman"/>
          <w:spacing w:val="-8"/>
          <w:sz w:val="24"/>
          <w:szCs w:val="24"/>
          <w:lang w:val="sq-AL"/>
        </w:rPr>
        <w:t xml:space="preserve"> </w:t>
      </w:r>
      <w:r w:rsidRPr="000B7599">
        <w:rPr>
          <w:rFonts w:ascii="Times New Roman" w:eastAsia="Times New Roman" w:hAnsi="Times New Roman" w:cs="Times New Roman"/>
          <w:sz w:val="24"/>
          <w:szCs w:val="24"/>
          <w:lang w:val="sq-AL"/>
        </w:rPr>
        <w:t>dorëzimin</w:t>
      </w:r>
      <w:r w:rsidRPr="000B7599">
        <w:rPr>
          <w:rFonts w:ascii="Times New Roman" w:eastAsia="Times New Roman" w:hAnsi="Times New Roman" w:cs="Times New Roman"/>
          <w:spacing w:val="-8"/>
          <w:sz w:val="24"/>
          <w:szCs w:val="24"/>
          <w:lang w:val="sq-AL"/>
        </w:rPr>
        <w:t xml:space="preserve"> </w:t>
      </w:r>
      <w:r w:rsidRPr="000B7599">
        <w:rPr>
          <w:rFonts w:ascii="Times New Roman" w:eastAsia="Times New Roman" w:hAnsi="Times New Roman" w:cs="Times New Roman"/>
          <w:sz w:val="24"/>
          <w:szCs w:val="24"/>
          <w:lang w:val="sq-AL"/>
        </w:rPr>
        <w:t>e</w:t>
      </w:r>
      <w:r w:rsidRPr="000B7599">
        <w:rPr>
          <w:rFonts w:ascii="Times New Roman" w:eastAsia="Times New Roman" w:hAnsi="Times New Roman" w:cs="Times New Roman"/>
          <w:spacing w:val="-10"/>
          <w:sz w:val="24"/>
          <w:szCs w:val="24"/>
          <w:lang w:val="sq-AL"/>
        </w:rPr>
        <w:t xml:space="preserve"> </w:t>
      </w:r>
      <w:r w:rsidRPr="000B7599">
        <w:rPr>
          <w:rFonts w:ascii="Times New Roman" w:eastAsia="Times New Roman" w:hAnsi="Times New Roman" w:cs="Times New Roman"/>
          <w:sz w:val="24"/>
          <w:szCs w:val="24"/>
          <w:lang w:val="sq-AL"/>
        </w:rPr>
        <w:t>mbetjeve të rrezikshme dhe të dokumentit të dorëzimit të tyre”, të ndryshuar, si dhe Urdhërit të Ministrit të Mjedisit Nr. 135 datë 16.04.2015 “Për Miratimin e Mënyrës së Administrimit të Formatit të Rregjistrit të Transfertave Individuale dhe të Rregjistrit Kombëtar të Transfertave si dhe Mënyrën e Administrimit të tyre”, Agjencia Kombëtare e Mjedisit mban dhe përditëson rregjistrin e transfertave të mbetjeve të kompanive që janë të pajisura me Kod Unik.</w:t>
      </w:r>
    </w:p>
    <w:p w:rsidR="000B7599" w:rsidRPr="000B7599" w:rsidRDefault="000B7599" w:rsidP="000B7599">
      <w:pPr>
        <w:widowControl w:val="0"/>
        <w:autoSpaceDE w:val="0"/>
        <w:autoSpaceDN w:val="0"/>
        <w:spacing w:before="9" w:after="0" w:line="240" w:lineRule="auto"/>
        <w:rPr>
          <w:rFonts w:ascii="Times New Roman" w:eastAsia="Times New Roman" w:hAnsi="Times New Roman" w:cs="Times New Roman"/>
          <w:sz w:val="18"/>
          <w:szCs w:val="18"/>
          <w:lang w:val="sq-AL"/>
        </w:rPr>
      </w:pPr>
    </w:p>
    <w:p w:rsidR="002D5177" w:rsidRPr="003A31D9" w:rsidRDefault="000B7599" w:rsidP="00E0358A">
      <w:pPr>
        <w:rPr>
          <w:rFonts w:ascii="Times New Roman" w:hAnsi="Times New Roman" w:cs="Times New Roman"/>
          <w:lang w:val="sq-AL"/>
        </w:rPr>
      </w:pPr>
      <w:r w:rsidRPr="00BA3F62">
        <w:rPr>
          <w:rFonts w:ascii="Times New Roman" w:eastAsia="Times New Roman" w:hAnsi="Times New Roman" w:cs="Times New Roman"/>
          <w:lang w:val="sq-AL"/>
        </w:rPr>
        <w:t>Tabela</w:t>
      </w:r>
      <w:r w:rsidR="00B24E99">
        <w:rPr>
          <w:rFonts w:ascii="Times New Roman" w:eastAsia="Times New Roman" w:hAnsi="Times New Roman" w:cs="Times New Roman"/>
          <w:lang w:val="sq-AL"/>
        </w:rPr>
        <w:t xml:space="preserve"> 84</w:t>
      </w:r>
      <w:r w:rsidRPr="00BA3F62">
        <w:rPr>
          <w:rFonts w:ascii="Times New Roman" w:eastAsia="Times New Roman" w:hAnsi="Times New Roman" w:cs="Times New Roman"/>
          <w:spacing w:val="-3"/>
          <w:lang w:val="sq-AL"/>
        </w:rPr>
        <w:t xml:space="preserve"> </w:t>
      </w:r>
      <w:r w:rsidRPr="00BA3F62">
        <w:rPr>
          <w:rFonts w:ascii="Times New Roman" w:eastAsia="Times New Roman" w:hAnsi="Times New Roman" w:cs="Times New Roman"/>
          <w:lang w:val="sq-AL"/>
        </w:rPr>
        <w:t>.</w:t>
      </w:r>
      <w:r w:rsidRPr="00BA3F62">
        <w:rPr>
          <w:rFonts w:ascii="Times New Roman" w:eastAsia="Times New Roman" w:hAnsi="Times New Roman" w:cs="Times New Roman"/>
          <w:spacing w:val="-5"/>
          <w:lang w:val="sq-AL"/>
        </w:rPr>
        <w:t xml:space="preserve"> </w:t>
      </w:r>
      <w:r w:rsidRPr="00BA3F62">
        <w:rPr>
          <w:rFonts w:ascii="Times New Roman" w:hAnsi="Times New Roman" w:cs="Times New Roman"/>
          <w:lang w:val="sq-AL"/>
        </w:rPr>
        <w:t xml:space="preserve">Transferimi i mbetjeve </w:t>
      </w:r>
      <w:r w:rsidRPr="00BA3F62">
        <w:rPr>
          <w:rFonts w:ascii="Times New Roman" w:hAnsi="Times New Roman" w:cs="Times New Roman"/>
        </w:rPr>
        <w:t xml:space="preserve">jo të rrezikshme </w:t>
      </w:r>
      <w:r w:rsidRPr="00BA3F62">
        <w:rPr>
          <w:rFonts w:ascii="Times New Roman" w:hAnsi="Times New Roman" w:cs="Times New Roman"/>
          <w:lang w:val="sq-AL"/>
        </w:rPr>
        <w:t xml:space="preserve"> nga subjekte të pajisur</w:t>
      </w:r>
      <w:r w:rsidRPr="00BA3F62">
        <w:rPr>
          <w:rFonts w:ascii="Times New Roman" w:hAnsi="Times New Roman" w:cs="Times New Roman"/>
        </w:rPr>
        <w:t xml:space="preserve"> </w:t>
      </w:r>
      <w:r w:rsidR="00BA3F62" w:rsidRPr="00BA3F62">
        <w:rPr>
          <w:rFonts w:ascii="Times New Roman" w:hAnsi="Times New Roman" w:cs="Times New Roman"/>
          <w:lang w:val="sq-AL"/>
        </w:rPr>
        <w:t xml:space="preserve">me Kod Unik, </w:t>
      </w:r>
      <w:r w:rsidRPr="00BA3F62">
        <w:rPr>
          <w:rFonts w:ascii="Times New Roman" w:hAnsi="Times New Roman" w:cs="Times New Roman"/>
          <w:lang w:val="sq-AL"/>
        </w:rPr>
        <w:t>2025</w:t>
      </w:r>
      <w:bookmarkStart w:id="63" w:name="_Hlk228284006"/>
      <w:bookmarkEnd w:id="62"/>
    </w:p>
    <w:tbl>
      <w:tblPr>
        <w:tblW w:w="104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0"/>
        <w:gridCol w:w="2160"/>
      </w:tblGrid>
      <w:tr w:rsidR="003A31D9" w:rsidRPr="003A31D9" w:rsidTr="003A31D9">
        <w:trPr>
          <w:trHeight w:val="485"/>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b/>
                <w:sz w:val="24"/>
                <w:szCs w:val="24"/>
              </w:rPr>
            </w:pPr>
            <w:r w:rsidRPr="003A31D9">
              <w:rPr>
                <w:rFonts w:ascii="Times New Roman" w:eastAsia="Calibri" w:hAnsi="Times New Roman" w:cs="Times New Roman"/>
                <w:sz w:val="24"/>
                <w:szCs w:val="24"/>
              </w:rPr>
              <w:t xml:space="preserve">                                          </w:t>
            </w:r>
            <w:r w:rsidRPr="003A31D9">
              <w:rPr>
                <w:rFonts w:ascii="Times New Roman" w:eastAsia="Calibri" w:hAnsi="Times New Roman" w:cs="Times New Roman"/>
                <w:b/>
                <w:sz w:val="24"/>
                <w:szCs w:val="24"/>
              </w:rPr>
              <w:t>Mbetje jo të rrezikshme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b/>
                <w:sz w:val="24"/>
                <w:szCs w:val="24"/>
              </w:rPr>
            </w:pPr>
            <w:r w:rsidRPr="003A31D9">
              <w:rPr>
                <w:rFonts w:ascii="Times New Roman" w:eastAsia="Calibri" w:hAnsi="Times New Roman" w:cs="Times New Roman"/>
                <w:b/>
                <w:sz w:val="24"/>
                <w:szCs w:val="24"/>
              </w:rPr>
              <w:t>Sasia  e totalit, kg</w:t>
            </w:r>
          </w:p>
        </w:tc>
      </w:tr>
      <w:tr w:rsidR="003A31D9" w:rsidRPr="003A31D9" w:rsidTr="003A31D9">
        <w:trPr>
          <w:trHeight w:val="54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sz w:val="24"/>
                <w:szCs w:val="24"/>
              </w:rPr>
            </w:pPr>
            <w:r w:rsidRPr="003A31D9">
              <w:rPr>
                <w:rFonts w:ascii="Times New Roman" w:eastAsia="Calibri" w:hAnsi="Times New Roman" w:cs="Times New Roman"/>
                <w:sz w:val="24"/>
                <w:szCs w:val="24"/>
              </w:rPr>
              <w:t>03 03 08 -Mbetje që dalin nga seleksionimi i letrave dhe kartonëve të destinuar për riciklim</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sz w:val="24"/>
                <w:szCs w:val="24"/>
              </w:rPr>
            </w:pPr>
            <w:r w:rsidRPr="003A31D9">
              <w:rPr>
                <w:rFonts w:ascii="Times New Roman" w:eastAsia="Calibri" w:hAnsi="Times New Roman" w:cs="Times New Roman"/>
                <w:sz w:val="24"/>
                <w:szCs w:val="24"/>
              </w:rPr>
              <w:t>146180</w:t>
            </w:r>
          </w:p>
        </w:tc>
      </w:tr>
      <w:tr w:rsidR="003A31D9" w:rsidRPr="003A31D9" w:rsidTr="003A31D9">
        <w:trPr>
          <w:trHeight w:val="215"/>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sz w:val="24"/>
                <w:szCs w:val="24"/>
              </w:rPr>
            </w:pPr>
            <w:r w:rsidRPr="003A31D9">
              <w:rPr>
                <w:rFonts w:ascii="Times New Roman" w:eastAsia="Calibri" w:hAnsi="Times New Roman" w:cs="Times New Roman"/>
                <w:sz w:val="24"/>
                <w:szCs w:val="24"/>
              </w:rPr>
              <w:t xml:space="preserve">20 01 01 -Letër dhe karton    </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213766162</w:t>
            </w:r>
          </w:p>
        </w:tc>
      </w:tr>
      <w:tr w:rsidR="003A31D9" w:rsidRPr="003A31D9" w:rsidTr="003A31D9">
        <w:trPr>
          <w:trHeight w:val="377"/>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sz w:val="24"/>
                <w:szCs w:val="24"/>
              </w:rPr>
            </w:pPr>
            <w:r w:rsidRPr="003A31D9">
              <w:rPr>
                <w:rFonts w:ascii="Times New Roman" w:eastAsia="Calibri" w:hAnsi="Times New Roman" w:cs="Times New Roman"/>
                <w:sz w:val="24"/>
                <w:szCs w:val="24"/>
              </w:rPr>
              <w:t>20 03 01 - Mbetjet e perziera urbane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276704013</w:t>
            </w:r>
          </w:p>
        </w:tc>
      </w:tr>
      <w:tr w:rsidR="003A31D9" w:rsidRPr="003A31D9" w:rsidTr="003A31D9">
        <w:trPr>
          <w:trHeight w:val="665"/>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sz w:val="24"/>
                <w:szCs w:val="24"/>
              </w:rPr>
            </w:pPr>
            <w:r w:rsidRPr="003A31D9">
              <w:rPr>
                <w:rFonts w:ascii="Times New Roman" w:eastAsia="Calibri" w:hAnsi="Times New Roman" w:cs="Times New Roman"/>
                <w:sz w:val="24"/>
                <w:szCs w:val="24"/>
              </w:rPr>
              <w:t>04 01 09/04 02 22- Mbetje që vijnë nga veshjet dhe lustrimet/Mbetje që vijnë nga veshjet dhe lustrimet/ Mbetje të fibrave tekstile të përpunuara</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sz w:val="24"/>
                <w:szCs w:val="24"/>
              </w:rPr>
            </w:pPr>
            <w:r w:rsidRPr="003A31D9">
              <w:rPr>
                <w:rFonts w:ascii="Times New Roman" w:eastAsia="Calibri" w:hAnsi="Times New Roman" w:cs="Times New Roman"/>
                <w:sz w:val="24"/>
                <w:szCs w:val="24"/>
              </w:rPr>
              <w:t>1900</w:t>
            </w:r>
          </w:p>
        </w:tc>
      </w:tr>
      <w:tr w:rsidR="003A31D9" w:rsidRPr="003A31D9" w:rsidTr="003A31D9">
        <w:trPr>
          <w:trHeight w:val="33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sz w:val="24"/>
                <w:szCs w:val="24"/>
              </w:rPr>
            </w:pPr>
            <w:r w:rsidRPr="003A31D9">
              <w:rPr>
                <w:rFonts w:ascii="Times New Roman" w:eastAsia="Calibri" w:hAnsi="Times New Roman" w:cs="Times New Roman"/>
                <w:sz w:val="24"/>
                <w:szCs w:val="24"/>
              </w:rPr>
              <w:t>20 01 11- Tekstilet</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22136107.72</w:t>
            </w:r>
          </w:p>
        </w:tc>
      </w:tr>
      <w:tr w:rsidR="003A31D9" w:rsidRPr="003A31D9" w:rsidTr="003A31D9">
        <w:trPr>
          <w:trHeight w:val="33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sz w:val="24"/>
                <w:szCs w:val="24"/>
              </w:rPr>
            </w:pPr>
            <w:r w:rsidRPr="003A31D9">
              <w:rPr>
                <w:rFonts w:ascii="Times New Roman" w:eastAsia="Calibri" w:hAnsi="Times New Roman" w:cs="Times New Roman"/>
                <w:sz w:val="24"/>
                <w:szCs w:val="24"/>
              </w:rPr>
              <w:t>20 01 99- Mbetjet urbane të paspecifikuara</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sz w:val="24"/>
                <w:szCs w:val="24"/>
              </w:rPr>
            </w:pPr>
            <w:r w:rsidRPr="003A31D9">
              <w:rPr>
                <w:rFonts w:ascii="Times New Roman" w:eastAsia="Calibri" w:hAnsi="Times New Roman" w:cs="Times New Roman"/>
                <w:sz w:val="24"/>
                <w:szCs w:val="24"/>
              </w:rPr>
              <w:t>3480</w:t>
            </w:r>
          </w:p>
        </w:tc>
      </w:tr>
      <w:tr w:rsidR="003A31D9" w:rsidRPr="003A31D9" w:rsidTr="003A31D9">
        <w:trPr>
          <w:trHeight w:val="404"/>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sz w:val="24"/>
                <w:szCs w:val="24"/>
              </w:rPr>
            </w:pPr>
            <w:r w:rsidRPr="003A31D9">
              <w:rPr>
                <w:rFonts w:ascii="Times New Roman" w:eastAsia="Calibri" w:hAnsi="Times New Roman" w:cs="Times New Roman"/>
                <w:sz w:val="24"/>
                <w:szCs w:val="24"/>
              </w:rPr>
              <w:t>19 03 05-Mbetje të stabilizuara të tjera nga ato të përmendura në 19 03 04</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1082150</w:t>
            </w:r>
          </w:p>
        </w:tc>
      </w:tr>
      <w:tr w:rsidR="003A31D9" w:rsidRPr="003A31D9" w:rsidTr="003A31D9">
        <w:trPr>
          <w:trHeight w:val="54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sz w:val="24"/>
                <w:szCs w:val="24"/>
              </w:rPr>
            </w:pPr>
            <w:r w:rsidRPr="003A31D9">
              <w:rPr>
                <w:rFonts w:ascii="Times New Roman" w:eastAsia="Calibri" w:hAnsi="Times New Roman" w:cs="Times New Roman"/>
                <w:sz w:val="24"/>
                <w:szCs w:val="24"/>
              </w:rPr>
              <w:t>20 01 01/ 03 03 08-Letër dhe karton/Mbetje që dalin nga seleksionimi i letrave dhe kartonëve të destinuar për riciklim</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3671192.3</w:t>
            </w:r>
          </w:p>
        </w:tc>
      </w:tr>
      <w:tr w:rsidR="003A31D9" w:rsidRPr="003A31D9" w:rsidTr="003A31D9">
        <w:trPr>
          <w:trHeight w:val="42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760"/>
              </w:tabs>
              <w:rPr>
                <w:rFonts w:ascii="Times New Roman" w:eastAsia="Calibri" w:hAnsi="Times New Roman" w:cs="Times New Roman"/>
                <w:sz w:val="24"/>
                <w:szCs w:val="24"/>
              </w:rPr>
            </w:pPr>
            <w:r w:rsidRPr="003A31D9">
              <w:rPr>
                <w:rFonts w:ascii="Times New Roman" w:eastAsia="Calibri" w:hAnsi="Times New Roman" w:cs="Times New Roman"/>
                <w:sz w:val="24"/>
                <w:szCs w:val="24"/>
              </w:rPr>
              <w:t>15 01 01-Mbetje ambalazhi letre dhe kartoni</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1066815</w:t>
            </w:r>
          </w:p>
        </w:tc>
      </w:tr>
      <w:tr w:rsidR="003A31D9" w:rsidRPr="003A31D9" w:rsidTr="003A31D9">
        <w:trPr>
          <w:trHeight w:val="413"/>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760"/>
              </w:tabs>
              <w:rPr>
                <w:rFonts w:ascii="Times New Roman" w:eastAsia="Calibri" w:hAnsi="Times New Roman" w:cs="Times New Roman"/>
                <w:sz w:val="24"/>
                <w:szCs w:val="24"/>
              </w:rPr>
            </w:pPr>
            <w:r w:rsidRPr="003A31D9">
              <w:rPr>
                <w:rFonts w:ascii="Times New Roman" w:eastAsia="Calibri" w:hAnsi="Times New Roman" w:cs="Times New Roman"/>
                <w:sz w:val="24"/>
                <w:szCs w:val="24"/>
              </w:rPr>
              <w:t>15 01 02-Mbetje ambalazhi plastike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125889</w:t>
            </w:r>
          </w:p>
        </w:tc>
      </w:tr>
      <w:tr w:rsidR="003A31D9" w:rsidRPr="003A31D9" w:rsidTr="003A31D9">
        <w:trPr>
          <w:trHeight w:val="395"/>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760"/>
              </w:tabs>
              <w:rPr>
                <w:rFonts w:ascii="Times New Roman" w:eastAsia="Calibri" w:hAnsi="Times New Roman" w:cs="Times New Roman"/>
                <w:sz w:val="24"/>
                <w:szCs w:val="24"/>
              </w:rPr>
            </w:pPr>
            <w:r w:rsidRPr="003A31D9">
              <w:rPr>
                <w:rFonts w:ascii="Times New Roman" w:eastAsia="Calibri" w:hAnsi="Times New Roman" w:cs="Times New Roman"/>
                <w:sz w:val="24"/>
                <w:szCs w:val="24"/>
              </w:rPr>
              <w:t>20 03 04-Llumra nga gropat septike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1517877</w:t>
            </w:r>
          </w:p>
        </w:tc>
      </w:tr>
      <w:tr w:rsidR="003A31D9" w:rsidRPr="003A31D9" w:rsidTr="003A31D9">
        <w:trPr>
          <w:trHeight w:val="87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760"/>
              </w:tabs>
              <w:rPr>
                <w:rFonts w:ascii="Times New Roman" w:eastAsia="Calibri" w:hAnsi="Times New Roman" w:cs="Times New Roman"/>
                <w:sz w:val="24"/>
                <w:szCs w:val="24"/>
              </w:rPr>
            </w:pPr>
            <w:r w:rsidRPr="003A31D9">
              <w:rPr>
                <w:rFonts w:ascii="Times New Roman" w:eastAsia="Calibri" w:hAnsi="Times New Roman" w:cs="Times New Roman"/>
                <w:sz w:val="24"/>
                <w:szCs w:val="24"/>
              </w:rPr>
              <w:t>17 01 01/17 01 02/ 17 01 07/ 17 05 04-Beton/Tulla/Përzierje të betonit, tullave, tjegullave dhe qeramikës, të tjera nga ato të përmendura në 17 01 06/Dhera dhe gurë, të tjera nga ato të përmendura në 17 05 03</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ind w:firstLine="720"/>
              <w:jc w:val="right"/>
              <w:rPr>
                <w:rFonts w:ascii="Times New Roman" w:eastAsia="Calibri" w:hAnsi="Times New Roman" w:cs="Times New Roman"/>
                <w:sz w:val="24"/>
                <w:szCs w:val="24"/>
              </w:rPr>
            </w:pPr>
            <w:r w:rsidRPr="003A31D9">
              <w:rPr>
                <w:rFonts w:ascii="Times New Roman" w:eastAsia="Calibri" w:hAnsi="Times New Roman" w:cs="Times New Roman"/>
                <w:sz w:val="24"/>
                <w:szCs w:val="24"/>
              </w:rPr>
              <w:t>12820</w:t>
            </w:r>
          </w:p>
        </w:tc>
      </w:tr>
      <w:tr w:rsidR="003A31D9" w:rsidRPr="003A31D9" w:rsidTr="003A31D9">
        <w:trPr>
          <w:trHeight w:val="44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760"/>
              </w:tabs>
              <w:rPr>
                <w:rFonts w:ascii="Times New Roman" w:eastAsia="Calibri" w:hAnsi="Times New Roman" w:cs="Times New Roman"/>
                <w:sz w:val="24"/>
                <w:szCs w:val="24"/>
              </w:rPr>
            </w:pPr>
            <w:r w:rsidRPr="003A31D9">
              <w:rPr>
                <w:rFonts w:ascii="Times New Roman" w:eastAsia="Calibri" w:hAnsi="Times New Roman" w:cs="Times New Roman"/>
                <w:sz w:val="24"/>
                <w:szCs w:val="24"/>
              </w:rPr>
              <w:t>16 01 03-Goma jashtë përdorimit</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255151.38</w:t>
            </w:r>
          </w:p>
        </w:tc>
      </w:tr>
      <w:tr w:rsidR="003A31D9" w:rsidRPr="003A31D9" w:rsidTr="003A31D9">
        <w:trPr>
          <w:trHeight w:val="62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760"/>
              </w:tabs>
              <w:rPr>
                <w:rFonts w:ascii="Times New Roman" w:eastAsia="Calibri" w:hAnsi="Times New Roman" w:cs="Times New Roman"/>
                <w:sz w:val="24"/>
                <w:szCs w:val="24"/>
              </w:rPr>
            </w:pPr>
            <w:r w:rsidRPr="003A31D9">
              <w:rPr>
                <w:rFonts w:ascii="Times New Roman" w:eastAsia="Calibri" w:hAnsi="Times New Roman" w:cs="Times New Roman"/>
                <w:sz w:val="24"/>
                <w:szCs w:val="24"/>
              </w:rPr>
              <w:t>02 03 04/ 02 07 04-Lëndë të papërshtatshme për konsum apo përpunim/Lëndë të papërshtatshme për konsum apo përpunim</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ind w:firstLine="720"/>
              <w:jc w:val="right"/>
              <w:rPr>
                <w:rFonts w:ascii="Times New Roman" w:eastAsia="Calibri" w:hAnsi="Times New Roman" w:cs="Times New Roman"/>
                <w:sz w:val="24"/>
                <w:szCs w:val="24"/>
              </w:rPr>
            </w:pPr>
            <w:r w:rsidRPr="003A31D9">
              <w:rPr>
                <w:rFonts w:ascii="Times New Roman" w:eastAsia="Calibri" w:hAnsi="Times New Roman" w:cs="Times New Roman"/>
                <w:sz w:val="24"/>
                <w:szCs w:val="24"/>
              </w:rPr>
              <w:t>93023</w:t>
            </w:r>
          </w:p>
        </w:tc>
      </w:tr>
      <w:tr w:rsidR="003A31D9" w:rsidRPr="003A31D9" w:rsidTr="003A31D9">
        <w:trPr>
          <w:trHeight w:val="395"/>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760"/>
              </w:tabs>
              <w:rPr>
                <w:rFonts w:ascii="Times New Roman" w:eastAsia="Calibri" w:hAnsi="Times New Roman" w:cs="Times New Roman"/>
                <w:sz w:val="24"/>
                <w:szCs w:val="24"/>
              </w:rPr>
            </w:pPr>
            <w:r w:rsidRPr="003A31D9">
              <w:rPr>
                <w:rFonts w:ascii="Times New Roman" w:eastAsia="Calibri" w:hAnsi="Times New Roman" w:cs="Times New Roman"/>
                <w:sz w:val="24"/>
                <w:szCs w:val="24"/>
              </w:rPr>
              <w:lastRenderedPageBreak/>
              <w:t>20 01 01/04 02 22-Letër dhe karton/Mbetje të fibrave tekstile të përpunuara</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ind w:firstLine="720"/>
              <w:jc w:val="right"/>
              <w:rPr>
                <w:rFonts w:ascii="Times New Roman" w:eastAsia="Calibri" w:hAnsi="Times New Roman" w:cs="Times New Roman"/>
                <w:sz w:val="24"/>
                <w:szCs w:val="24"/>
              </w:rPr>
            </w:pPr>
            <w:r w:rsidRPr="003A31D9">
              <w:rPr>
                <w:rFonts w:ascii="Times New Roman" w:eastAsia="Calibri" w:hAnsi="Times New Roman" w:cs="Times New Roman"/>
                <w:sz w:val="24"/>
                <w:szCs w:val="24"/>
              </w:rPr>
              <w:t>2260</w:t>
            </w:r>
          </w:p>
        </w:tc>
      </w:tr>
      <w:tr w:rsidR="003A31D9" w:rsidRPr="003A31D9" w:rsidTr="003A31D9">
        <w:trPr>
          <w:trHeight w:val="395"/>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760"/>
              </w:tabs>
              <w:rPr>
                <w:rFonts w:ascii="Times New Roman" w:eastAsia="Calibri" w:hAnsi="Times New Roman" w:cs="Times New Roman"/>
                <w:sz w:val="24"/>
                <w:szCs w:val="24"/>
              </w:rPr>
            </w:pPr>
            <w:r w:rsidRPr="003A31D9">
              <w:rPr>
                <w:rFonts w:ascii="Times New Roman" w:eastAsia="Calibri" w:hAnsi="Times New Roman" w:cs="Times New Roman"/>
                <w:sz w:val="24"/>
                <w:szCs w:val="24"/>
              </w:rPr>
              <w:t>20 01 01/20 01 39 -Letër dhe karton/Plastik</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38818</w:t>
            </w:r>
          </w:p>
        </w:tc>
      </w:tr>
      <w:tr w:rsidR="003A31D9" w:rsidRPr="003A31D9" w:rsidTr="003A31D9">
        <w:trPr>
          <w:trHeight w:val="72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1470"/>
              </w:tabs>
              <w:rPr>
                <w:rFonts w:ascii="Times New Roman" w:eastAsia="Calibri" w:hAnsi="Times New Roman" w:cs="Times New Roman"/>
                <w:sz w:val="24"/>
                <w:szCs w:val="24"/>
              </w:rPr>
            </w:pPr>
            <w:r w:rsidRPr="003A31D9">
              <w:rPr>
                <w:rFonts w:ascii="Times New Roman" w:eastAsia="Calibri" w:hAnsi="Times New Roman" w:cs="Times New Roman"/>
                <w:sz w:val="24"/>
                <w:szCs w:val="24"/>
              </w:rPr>
              <w:t>19 08 14-Llumra nga trajtime të tjera të ujërave të ndotura industriale të tjera nga ato të përmendura në 19 08 13</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ind w:firstLine="720"/>
              <w:jc w:val="right"/>
              <w:rPr>
                <w:rFonts w:ascii="Times New Roman" w:eastAsia="Calibri" w:hAnsi="Times New Roman" w:cs="Times New Roman"/>
                <w:sz w:val="24"/>
                <w:szCs w:val="24"/>
              </w:rPr>
            </w:pPr>
            <w:r w:rsidRPr="003A31D9">
              <w:rPr>
                <w:rFonts w:ascii="Times New Roman" w:eastAsia="Calibri" w:hAnsi="Times New Roman" w:cs="Times New Roman"/>
                <w:sz w:val="24"/>
                <w:szCs w:val="24"/>
              </w:rPr>
              <w:t>66540</w:t>
            </w:r>
          </w:p>
        </w:tc>
      </w:tr>
      <w:tr w:rsidR="003A31D9" w:rsidRPr="003A31D9" w:rsidTr="003A31D9">
        <w:trPr>
          <w:trHeight w:val="35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760"/>
              </w:tabs>
              <w:rPr>
                <w:rFonts w:ascii="Times New Roman" w:eastAsia="Calibri" w:hAnsi="Times New Roman" w:cs="Times New Roman"/>
                <w:sz w:val="24"/>
                <w:szCs w:val="24"/>
              </w:rPr>
            </w:pPr>
            <w:r w:rsidRPr="003A31D9">
              <w:rPr>
                <w:rFonts w:ascii="Times New Roman" w:eastAsia="Calibri" w:hAnsi="Times New Roman" w:cs="Times New Roman"/>
                <w:sz w:val="24"/>
                <w:szCs w:val="24"/>
              </w:rPr>
              <w:t>02 01 01-Llumra që vijnë nga larja dhe pastrami</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ind w:firstLine="720"/>
              <w:jc w:val="right"/>
              <w:rPr>
                <w:rFonts w:ascii="Times New Roman" w:eastAsia="Calibri" w:hAnsi="Times New Roman" w:cs="Times New Roman"/>
                <w:sz w:val="24"/>
                <w:szCs w:val="24"/>
              </w:rPr>
            </w:pPr>
            <w:r w:rsidRPr="003A31D9">
              <w:rPr>
                <w:rFonts w:ascii="Times New Roman" w:eastAsia="Calibri" w:hAnsi="Times New Roman" w:cs="Times New Roman"/>
                <w:sz w:val="24"/>
                <w:szCs w:val="24"/>
              </w:rPr>
              <w:t>40640</w:t>
            </w:r>
          </w:p>
        </w:tc>
      </w:tr>
      <w:tr w:rsidR="003A31D9" w:rsidRPr="003A31D9" w:rsidTr="003A31D9">
        <w:trPr>
          <w:trHeight w:val="42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760"/>
              </w:tabs>
              <w:rPr>
                <w:rFonts w:ascii="Times New Roman" w:eastAsia="Calibri" w:hAnsi="Times New Roman" w:cs="Times New Roman"/>
                <w:sz w:val="24"/>
                <w:szCs w:val="24"/>
              </w:rPr>
            </w:pPr>
            <w:r w:rsidRPr="003A31D9">
              <w:rPr>
                <w:rFonts w:ascii="Times New Roman" w:eastAsia="Calibri" w:hAnsi="Times New Roman" w:cs="Times New Roman"/>
                <w:sz w:val="24"/>
                <w:szCs w:val="24"/>
              </w:rPr>
              <w:t>17 08 02-Materiale ndërtimi me gips, të tjera nga ato të përmendura në 17 08 01</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27280</w:t>
            </w:r>
          </w:p>
        </w:tc>
      </w:tr>
      <w:tr w:rsidR="003A31D9" w:rsidRPr="003A31D9" w:rsidTr="003A31D9">
        <w:trPr>
          <w:trHeight w:val="683"/>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760"/>
              </w:tabs>
              <w:rPr>
                <w:rFonts w:ascii="Times New Roman" w:eastAsia="Calibri" w:hAnsi="Times New Roman" w:cs="Times New Roman"/>
                <w:sz w:val="24"/>
                <w:szCs w:val="24"/>
              </w:rPr>
            </w:pPr>
            <w:r w:rsidRPr="003A31D9">
              <w:rPr>
                <w:rFonts w:ascii="Times New Roman" w:eastAsia="Calibri" w:hAnsi="Times New Roman" w:cs="Times New Roman"/>
                <w:sz w:val="24"/>
                <w:szCs w:val="24"/>
              </w:rPr>
              <w:t>15 01 01/15 01 02/15 01 06-Mbetje ambalazhi letre dhe kartoni/ Mbetje ambalazhi plastike/Mbetje ambalazhi</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1200"/>
              </w:tabs>
              <w:ind w:firstLine="720"/>
              <w:jc w:val="right"/>
              <w:rPr>
                <w:rFonts w:ascii="Times New Roman" w:eastAsia="Calibri" w:hAnsi="Times New Roman" w:cs="Times New Roman"/>
                <w:sz w:val="24"/>
                <w:szCs w:val="24"/>
              </w:rPr>
            </w:pPr>
            <w:r w:rsidRPr="003A31D9">
              <w:rPr>
                <w:rFonts w:ascii="Times New Roman" w:eastAsia="Calibri" w:hAnsi="Times New Roman" w:cs="Times New Roman"/>
                <w:bCs/>
                <w:sz w:val="24"/>
                <w:szCs w:val="24"/>
              </w:rPr>
              <w:t>8560</w:t>
            </w:r>
          </w:p>
        </w:tc>
      </w:tr>
      <w:tr w:rsidR="003A31D9" w:rsidRPr="003A31D9" w:rsidTr="003A31D9">
        <w:trPr>
          <w:trHeight w:val="206"/>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1275"/>
              </w:tabs>
              <w:rPr>
                <w:rFonts w:ascii="Times New Roman" w:eastAsia="Calibri" w:hAnsi="Times New Roman" w:cs="Times New Roman"/>
                <w:sz w:val="24"/>
                <w:szCs w:val="24"/>
              </w:rPr>
            </w:pPr>
            <w:r w:rsidRPr="003A31D9">
              <w:rPr>
                <w:rFonts w:ascii="Times New Roman" w:eastAsia="Calibri" w:hAnsi="Times New Roman" w:cs="Times New Roman"/>
                <w:sz w:val="24"/>
                <w:szCs w:val="24"/>
              </w:rPr>
              <w:t>15 01 07-Mbetje ambalazhi qelqi</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23800</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1395"/>
              </w:tabs>
              <w:rPr>
                <w:rFonts w:ascii="Times New Roman" w:eastAsia="Calibri" w:hAnsi="Times New Roman" w:cs="Times New Roman"/>
                <w:sz w:val="24"/>
                <w:szCs w:val="24"/>
              </w:rPr>
            </w:pPr>
            <w:r w:rsidRPr="003A31D9">
              <w:rPr>
                <w:rFonts w:ascii="Times New Roman" w:eastAsia="Calibri" w:hAnsi="Times New Roman" w:cs="Times New Roman"/>
                <w:sz w:val="24"/>
                <w:szCs w:val="24"/>
              </w:rPr>
              <w:t>20 01 38-Mbetje druri të tjera nga ato të përmendura në 20 01 37</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36914</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1395"/>
              </w:tabs>
              <w:rPr>
                <w:rFonts w:ascii="Times New Roman" w:eastAsia="Calibri" w:hAnsi="Times New Roman" w:cs="Times New Roman"/>
                <w:sz w:val="24"/>
                <w:szCs w:val="24"/>
              </w:rPr>
            </w:pPr>
            <w:r w:rsidRPr="003A31D9">
              <w:rPr>
                <w:rFonts w:ascii="Times New Roman" w:eastAsia="Calibri" w:hAnsi="Times New Roman" w:cs="Times New Roman"/>
                <w:sz w:val="24"/>
                <w:szCs w:val="24"/>
              </w:rPr>
              <w:t>04 01 01-Mbetje nga rrjepjet dhe prerjet</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35840</w:t>
            </w:r>
          </w:p>
        </w:tc>
      </w:tr>
      <w:tr w:rsidR="003A31D9" w:rsidRPr="003A31D9" w:rsidTr="003A31D9">
        <w:trPr>
          <w:trHeight w:val="87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1395"/>
              </w:tabs>
              <w:rPr>
                <w:rFonts w:ascii="Times New Roman" w:eastAsia="Calibri" w:hAnsi="Times New Roman" w:cs="Times New Roman"/>
                <w:sz w:val="24"/>
                <w:szCs w:val="24"/>
              </w:rPr>
            </w:pPr>
            <w:r w:rsidRPr="003A31D9">
              <w:rPr>
                <w:rFonts w:ascii="Times New Roman" w:eastAsia="Calibri" w:hAnsi="Times New Roman" w:cs="Times New Roman"/>
                <w:sz w:val="24"/>
                <w:szCs w:val="24"/>
              </w:rPr>
              <w:t>04 01 01/04 01 09/ 04 01 99/ 04 02 22- Mbetje nga rrjepjet dhe prerjet/Mbetje që vijnë nga veshjet dhe lustrimet/Mbetje të tjera të paspecifikuara/Mbetje të fibrave tekstile të përpunuara</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13750</w:t>
            </w:r>
          </w:p>
          <w:p w:rsidR="003A31D9" w:rsidRPr="003A31D9" w:rsidRDefault="003A31D9" w:rsidP="003A31D9">
            <w:pPr>
              <w:ind w:firstLine="720"/>
              <w:jc w:val="right"/>
              <w:rPr>
                <w:rFonts w:ascii="Times New Roman" w:eastAsia="Calibri" w:hAnsi="Times New Roman" w:cs="Times New Roman"/>
                <w:sz w:val="24"/>
                <w:szCs w:val="24"/>
              </w:rPr>
            </w:pPr>
          </w:p>
        </w:tc>
      </w:tr>
      <w:tr w:rsidR="003A31D9" w:rsidRPr="003A31D9" w:rsidTr="003A31D9">
        <w:trPr>
          <w:trHeight w:val="476"/>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1395"/>
              </w:tabs>
              <w:rPr>
                <w:rFonts w:ascii="Times New Roman" w:eastAsia="Calibri" w:hAnsi="Times New Roman" w:cs="Times New Roman"/>
                <w:sz w:val="24"/>
                <w:szCs w:val="24"/>
              </w:rPr>
            </w:pPr>
            <w:r w:rsidRPr="003A31D9">
              <w:rPr>
                <w:rFonts w:ascii="Times New Roman" w:eastAsia="Calibri" w:hAnsi="Times New Roman" w:cs="Times New Roman"/>
                <w:sz w:val="24"/>
                <w:szCs w:val="24"/>
              </w:rPr>
              <w:t>07 02 13-Mbetje plastike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194360</w:t>
            </w:r>
          </w:p>
        </w:tc>
      </w:tr>
      <w:tr w:rsidR="003A31D9" w:rsidRPr="003A31D9" w:rsidTr="003A31D9">
        <w:trPr>
          <w:trHeight w:val="26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1305"/>
              </w:tabs>
              <w:rPr>
                <w:rFonts w:ascii="Times New Roman" w:eastAsia="Calibri" w:hAnsi="Times New Roman" w:cs="Times New Roman"/>
                <w:sz w:val="24"/>
                <w:szCs w:val="24"/>
              </w:rPr>
            </w:pPr>
            <w:r w:rsidRPr="003A31D9">
              <w:rPr>
                <w:rFonts w:ascii="Times New Roman" w:eastAsia="Calibri" w:hAnsi="Times New Roman" w:cs="Times New Roman"/>
                <w:sz w:val="24"/>
                <w:szCs w:val="24"/>
              </w:rPr>
              <w:t>12 01 05-Mbetje plastike nga format dhe tornimet</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76540</w:t>
            </w:r>
          </w:p>
        </w:tc>
      </w:tr>
      <w:tr w:rsidR="003A31D9" w:rsidRPr="003A31D9" w:rsidTr="003A31D9">
        <w:trPr>
          <w:trHeight w:val="44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1395"/>
              </w:tabs>
              <w:rPr>
                <w:rFonts w:ascii="Times New Roman" w:eastAsia="Calibri" w:hAnsi="Times New Roman" w:cs="Times New Roman"/>
                <w:sz w:val="24"/>
                <w:szCs w:val="24"/>
              </w:rPr>
            </w:pPr>
            <w:r w:rsidRPr="003A31D9">
              <w:rPr>
                <w:rFonts w:ascii="Times New Roman" w:eastAsia="Calibri" w:hAnsi="Times New Roman" w:cs="Times New Roman"/>
                <w:sz w:val="24"/>
                <w:szCs w:val="24"/>
              </w:rPr>
              <w:t>01 04 10-Mbetje pluhurash, të tjera nga ato të përmendura në 01 04 07</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1660</w:t>
            </w:r>
          </w:p>
        </w:tc>
      </w:tr>
      <w:tr w:rsidR="003A31D9" w:rsidRPr="003A31D9" w:rsidTr="003A31D9">
        <w:trPr>
          <w:trHeight w:val="60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sz w:val="24"/>
                <w:szCs w:val="24"/>
              </w:rPr>
            </w:pPr>
            <w:r w:rsidRPr="003A31D9">
              <w:rPr>
                <w:rFonts w:ascii="Times New Roman" w:eastAsia="Calibri" w:hAnsi="Times New Roman" w:cs="Times New Roman"/>
                <w:sz w:val="24"/>
                <w:szCs w:val="24"/>
              </w:rPr>
              <w:t>02 02 02/20 03 99 - Mbetje që vijnë nga indet shtazore/Mbetjet urbane të paspecifikuara</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525442</w:t>
            </w:r>
          </w:p>
        </w:tc>
      </w:tr>
      <w:tr w:rsidR="003A31D9" w:rsidRPr="003A31D9" w:rsidTr="003A31D9">
        <w:trPr>
          <w:trHeight w:val="305"/>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sz w:val="24"/>
                <w:szCs w:val="24"/>
              </w:rPr>
            </w:pPr>
            <w:r w:rsidRPr="003A31D9">
              <w:rPr>
                <w:rFonts w:ascii="Times New Roman" w:eastAsia="Calibri" w:hAnsi="Times New Roman" w:cs="Times New Roman"/>
                <w:sz w:val="24"/>
                <w:szCs w:val="24"/>
              </w:rPr>
              <w:t>04 01 09-Mbetje që vijnë nga veshjet dhe lustrimet</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350020</w:t>
            </w:r>
          </w:p>
        </w:tc>
      </w:tr>
      <w:tr w:rsidR="003A31D9" w:rsidRPr="003A31D9" w:rsidTr="003A31D9">
        <w:trPr>
          <w:trHeight w:val="287"/>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sz w:val="24"/>
                <w:szCs w:val="24"/>
              </w:rPr>
            </w:pPr>
            <w:r w:rsidRPr="003A31D9">
              <w:rPr>
                <w:rFonts w:ascii="Times New Roman" w:eastAsia="Calibri" w:hAnsi="Times New Roman" w:cs="Times New Roman"/>
                <w:sz w:val="24"/>
                <w:szCs w:val="24"/>
              </w:rPr>
              <w:t>10 03 05-Mbetje të aluminit</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47805</w:t>
            </w:r>
          </w:p>
        </w:tc>
      </w:tr>
      <w:tr w:rsidR="003A31D9" w:rsidRPr="003A31D9" w:rsidTr="003A31D9">
        <w:trPr>
          <w:trHeight w:val="467"/>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sz w:val="24"/>
                <w:szCs w:val="24"/>
              </w:rPr>
            </w:pPr>
            <w:r w:rsidRPr="003A31D9">
              <w:rPr>
                <w:rFonts w:ascii="Times New Roman" w:eastAsia="Calibri" w:hAnsi="Times New Roman" w:cs="Times New Roman"/>
                <w:sz w:val="24"/>
                <w:szCs w:val="24"/>
              </w:rPr>
              <w:t>20 01 08-Mbetje të biodegradueshme nga kuzhinat dhe mensat</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8260</w:t>
            </w:r>
          </w:p>
        </w:tc>
      </w:tr>
      <w:tr w:rsidR="003A31D9" w:rsidRPr="003A31D9" w:rsidTr="003A31D9">
        <w:trPr>
          <w:trHeight w:val="60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sz w:val="24"/>
                <w:szCs w:val="24"/>
              </w:rPr>
            </w:pPr>
            <w:r w:rsidRPr="003A31D9">
              <w:rPr>
                <w:rFonts w:ascii="Times New Roman" w:eastAsia="Calibri" w:hAnsi="Times New Roman" w:cs="Times New Roman"/>
                <w:sz w:val="24"/>
                <w:szCs w:val="24"/>
              </w:rPr>
              <w:t>08 01 12/16 01 19-Mbetje të bojërave dhe llaqeve, të tjera nga ato të përmendura në 08 01 11/Plastika</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320</w:t>
            </w:r>
          </w:p>
        </w:tc>
      </w:tr>
      <w:tr w:rsidR="003A31D9" w:rsidRPr="003A31D9" w:rsidTr="003A31D9">
        <w:trPr>
          <w:trHeight w:val="431"/>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sz w:val="24"/>
                <w:szCs w:val="24"/>
              </w:rPr>
            </w:pPr>
            <w:r w:rsidRPr="003A31D9">
              <w:rPr>
                <w:rFonts w:ascii="Times New Roman" w:eastAsia="Calibri" w:hAnsi="Times New Roman" w:cs="Times New Roman"/>
                <w:sz w:val="24"/>
                <w:szCs w:val="24"/>
              </w:rPr>
              <w:t>04 02 22-Mbetje të fibrave tekstile të përpunuara</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138560</w:t>
            </w:r>
          </w:p>
        </w:tc>
      </w:tr>
      <w:tr w:rsidR="003A31D9" w:rsidRPr="003A31D9" w:rsidTr="003A31D9">
        <w:trPr>
          <w:trHeight w:val="431"/>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sz w:val="24"/>
                <w:szCs w:val="24"/>
              </w:rPr>
            </w:pPr>
            <w:r w:rsidRPr="003A31D9">
              <w:rPr>
                <w:rFonts w:ascii="Times New Roman" w:eastAsia="Calibri" w:hAnsi="Times New Roman" w:cs="Times New Roman"/>
                <w:sz w:val="24"/>
                <w:szCs w:val="24"/>
              </w:rPr>
              <w:t>20 03 99-Mbetjet urbane të paspecifikuara</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12135460</w:t>
            </w:r>
          </w:p>
        </w:tc>
      </w:tr>
      <w:tr w:rsidR="003A31D9" w:rsidRPr="003A31D9" w:rsidTr="003A31D9">
        <w:trPr>
          <w:trHeight w:val="54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sz w:val="24"/>
                <w:szCs w:val="24"/>
              </w:rPr>
            </w:pPr>
            <w:r w:rsidRPr="003A31D9">
              <w:rPr>
                <w:rFonts w:ascii="Times New Roman" w:eastAsia="Calibri" w:hAnsi="Times New Roman" w:cs="Times New Roman"/>
                <w:sz w:val="24"/>
                <w:szCs w:val="24"/>
              </w:rPr>
              <w:t>16 01 17/16 01 18/16 01 12-Metale ferrore/ Metale joferrore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794.4</w:t>
            </w:r>
          </w:p>
        </w:tc>
      </w:tr>
      <w:tr w:rsidR="003A31D9" w:rsidRPr="003A31D9" w:rsidTr="003A31D9">
        <w:trPr>
          <w:trHeight w:val="395"/>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16 01 19-Plastika</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512829</w:t>
            </w:r>
          </w:p>
        </w:tc>
      </w:tr>
      <w:tr w:rsidR="003A31D9" w:rsidRPr="003A31D9" w:rsidTr="003A31D9">
        <w:trPr>
          <w:trHeight w:val="215"/>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sz w:val="24"/>
                <w:szCs w:val="24"/>
              </w:rPr>
            </w:pPr>
            <w:r w:rsidRPr="003A31D9">
              <w:rPr>
                <w:rFonts w:ascii="Times New Roman" w:eastAsia="Calibri" w:hAnsi="Times New Roman" w:cs="Times New Roman"/>
                <w:sz w:val="24"/>
                <w:szCs w:val="24"/>
              </w:rPr>
              <w:t>19 01 12-Hira fundore dhe numra, të tjera nga ato të përmendura në 19 01 1</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5100</w:t>
            </w:r>
          </w:p>
        </w:tc>
      </w:tr>
      <w:tr w:rsidR="003A31D9" w:rsidRPr="003A31D9" w:rsidTr="003A31D9">
        <w:trPr>
          <w:trHeight w:val="467"/>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lastRenderedPageBreak/>
              <w:t>19 01 16-Tankera për gaze të lëngshme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9.4</w:t>
            </w:r>
          </w:p>
        </w:tc>
      </w:tr>
      <w:tr w:rsidR="003A31D9" w:rsidRPr="003A31D9" w:rsidTr="003A31D9">
        <w:trPr>
          <w:trHeight w:val="87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03 01 05-Pluhur sharre, ashklat, copa prej druri, panele me materiale grimcore dhe me pllaka, të tjera nga ato të përmendura në 03 01 04</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582068</w:t>
            </w:r>
          </w:p>
        </w:tc>
      </w:tr>
      <w:tr w:rsidR="003A31D9" w:rsidRPr="003A31D9" w:rsidTr="003A31D9">
        <w:trPr>
          <w:trHeight w:val="870"/>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tabs>
                <w:tab w:val="left" w:pos="2835"/>
              </w:tabs>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 xml:space="preserve">03 01 05/20 01 39/20 01 40 -Pluhur sharre, ashklat, copa prej druri, panele me materiale grimcore dhe me pllaka, të tjera nga ato të përmendura në 03 01 04/Plastikët/Metalet   </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11200</w:t>
            </w:r>
          </w:p>
          <w:p w:rsidR="003A31D9" w:rsidRPr="003A31D9" w:rsidRDefault="003A31D9" w:rsidP="003A31D9">
            <w:pPr>
              <w:jc w:val="right"/>
              <w:rPr>
                <w:rFonts w:ascii="Times New Roman" w:eastAsia="Calibri" w:hAnsi="Times New Roman" w:cs="Times New Roman"/>
                <w:color w:val="000000"/>
                <w:sz w:val="24"/>
                <w:szCs w:val="24"/>
              </w:rPr>
            </w:pPr>
          </w:p>
        </w:tc>
      </w:tr>
      <w:tr w:rsidR="003A31D9" w:rsidRPr="003A31D9" w:rsidTr="003A31D9">
        <w:trPr>
          <w:trHeight w:val="35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12 01 01-Tallash të metaleve ferrore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1051286</w:t>
            </w:r>
          </w:p>
        </w:tc>
      </w:tr>
      <w:tr w:rsidR="003A31D9" w:rsidRPr="003A31D9" w:rsidTr="003A31D9">
        <w:trPr>
          <w:trHeight w:val="69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 xml:space="preserve">01 04 12-Sterile dhe mbetje të tjera që vijnë nga larja dhe  astrami I mineraleve, të tjera nga ato të përmendura në 01 04 07 dhe 01 04 11        </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1140"/>
              </w:tabs>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17220</w:t>
            </w:r>
          </w:p>
        </w:tc>
      </w:tr>
      <w:tr w:rsidR="003A31D9" w:rsidRPr="003A31D9" w:rsidTr="003A31D9">
        <w:trPr>
          <w:trHeight w:val="87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02 03 04/02 05 01/ 02 07 04-Lëndë të papërshtatshme për konsum apo përpunim/    Lëndë të papërshtatshme për konsum apo përpunim/ Lëndë të papërshtatshme për konsum apo përpunim</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tabs>
                <w:tab w:val="left" w:pos="1140"/>
              </w:tabs>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17100</w:t>
            </w:r>
          </w:p>
          <w:p w:rsidR="003A31D9" w:rsidRPr="003A31D9" w:rsidRDefault="003A31D9" w:rsidP="003A31D9">
            <w:pPr>
              <w:tabs>
                <w:tab w:val="left" w:pos="1140"/>
              </w:tabs>
              <w:ind w:firstLine="720"/>
              <w:jc w:val="right"/>
              <w:rPr>
                <w:rFonts w:ascii="Times New Roman" w:eastAsia="Calibri" w:hAnsi="Times New Roman" w:cs="Times New Roman"/>
                <w:sz w:val="24"/>
                <w:szCs w:val="24"/>
              </w:rPr>
            </w:pPr>
          </w:p>
        </w:tc>
      </w:tr>
      <w:tr w:rsidR="003A31D9" w:rsidRPr="003A31D9" w:rsidTr="003A31D9">
        <w:trPr>
          <w:trHeight w:val="431"/>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 xml:space="preserve">02 05 01-Lëndë të papërshtatshme për konsum apo përpunim   </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1140"/>
              </w:tabs>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1060</w:t>
            </w:r>
          </w:p>
        </w:tc>
      </w:tr>
      <w:tr w:rsidR="003A31D9" w:rsidRPr="003A31D9" w:rsidTr="003A31D9">
        <w:trPr>
          <w:trHeight w:val="953"/>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02 03 04/02 05 01/ 02 07 04-Lëndë të papërshtatshme për konsum apo përpunim  / Lëndë të papërshtatshme për konsum apo përpunim  02 05 01/</w:t>
            </w:r>
            <w:r w:rsidRPr="003A31D9">
              <w:rPr>
                <w:rFonts w:ascii="Times New Roman" w:eastAsia="Calibri" w:hAnsi="Times New Roman" w:cs="Times New Roman"/>
                <w:bCs/>
                <w:sz w:val="24"/>
                <w:szCs w:val="24"/>
              </w:rPr>
              <w:br/>
              <w:t>Lëndë të papërshtatshme për konsum apo përpunim   02 07 04</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tabs>
                <w:tab w:val="left" w:pos="1140"/>
              </w:tabs>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13560</w:t>
            </w:r>
          </w:p>
          <w:p w:rsidR="003A31D9" w:rsidRPr="003A31D9" w:rsidRDefault="003A31D9" w:rsidP="003A31D9">
            <w:pPr>
              <w:tabs>
                <w:tab w:val="left" w:pos="1140"/>
              </w:tabs>
              <w:ind w:firstLine="720"/>
              <w:jc w:val="right"/>
              <w:rPr>
                <w:rFonts w:ascii="Times New Roman" w:eastAsia="Calibri" w:hAnsi="Times New Roman" w:cs="Times New Roman"/>
                <w:sz w:val="24"/>
                <w:szCs w:val="24"/>
              </w:rPr>
            </w:pPr>
          </w:p>
        </w:tc>
      </w:tr>
      <w:tr w:rsidR="003A31D9" w:rsidRPr="003A31D9" w:rsidTr="003A31D9">
        <w:trPr>
          <w:trHeight w:val="683"/>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 xml:space="preserve">02 03 04 / 20 03 02-Lëndë të papërshtatshme për konsum apo përpunim   /Mbetje nga tregjet  </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115283.6</w:t>
            </w:r>
          </w:p>
        </w:tc>
      </w:tr>
      <w:tr w:rsidR="003A31D9" w:rsidRPr="003A31D9" w:rsidTr="003A31D9">
        <w:trPr>
          <w:trHeight w:val="87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02 03 04 ;02 06 01;02 05 01;02 07 04 ;02 02 03 Lëndë të papërshtatshme për konsum apo përpunim</w:t>
            </w:r>
            <w:r w:rsidRPr="003A31D9">
              <w:rPr>
                <w:rFonts w:ascii="Times New Roman" w:eastAsia="Calibri" w:hAnsi="Times New Roman" w:cs="Times New Roman"/>
                <w:bCs/>
                <w:sz w:val="24"/>
                <w:szCs w:val="24"/>
              </w:rPr>
              <w:br/>
              <w:t>Lëndë të papërshtatshme për konsum apo përpunim</w:t>
            </w:r>
            <w:r w:rsidRPr="003A31D9">
              <w:rPr>
                <w:rFonts w:ascii="Times New Roman" w:eastAsia="Calibri" w:hAnsi="Times New Roman" w:cs="Times New Roman"/>
                <w:bCs/>
                <w:sz w:val="24"/>
                <w:szCs w:val="24"/>
              </w:rPr>
              <w:br/>
              <w:t>Lëndë të papershtatshme per konsum apo perpunim</w:t>
            </w:r>
            <w:r w:rsidRPr="003A31D9">
              <w:rPr>
                <w:rFonts w:ascii="Times New Roman" w:eastAsia="Calibri" w:hAnsi="Times New Roman" w:cs="Times New Roman"/>
                <w:bCs/>
                <w:sz w:val="24"/>
                <w:szCs w:val="24"/>
              </w:rPr>
              <w:br/>
              <w:t xml:space="preserve">Lëndë të papershtatshme per konsum apo perpunim     </w:t>
            </w:r>
          </w:p>
          <w:p w:rsidR="003A31D9" w:rsidRPr="003A31D9" w:rsidRDefault="003A31D9" w:rsidP="003A31D9">
            <w:pPr>
              <w:tabs>
                <w:tab w:val="left" w:pos="2835"/>
              </w:tabs>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Materiale të papërshtatshme për konsum apo për përpunim</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tabs>
                <w:tab w:val="left" w:pos="1140"/>
              </w:tabs>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2840</w:t>
            </w:r>
          </w:p>
          <w:p w:rsidR="003A31D9" w:rsidRPr="003A31D9" w:rsidRDefault="003A31D9" w:rsidP="003A31D9">
            <w:pPr>
              <w:tabs>
                <w:tab w:val="left" w:pos="1140"/>
              </w:tabs>
              <w:ind w:firstLine="720"/>
              <w:jc w:val="right"/>
              <w:rPr>
                <w:rFonts w:ascii="Times New Roman" w:eastAsia="Calibri" w:hAnsi="Times New Roman" w:cs="Times New Roman"/>
                <w:sz w:val="24"/>
                <w:szCs w:val="24"/>
              </w:rPr>
            </w:pPr>
          </w:p>
        </w:tc>
      </w:tr>
      <w:tr w:rsidR="003A31D9" w:rsidRPr="003A31D9" w:rsidTr="003A31D9">
        <w:trPr>
          <w:trHeight w:val="683"/>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02 07 04-Lëndë të papërshtatshme për</w:t>
            </w:r>
            <w:r w:rsidRPr="003A31D9">
              <w:rPr>
                <w:rFonts w:ascii="Times New Roman" w:eastAsia="Calibri" w:hAnsi="Times New Roman" w:cs="Times New Roman"/>
                <w:bCs/>
                <w:sz w:val="24"/>
                <w:szCs w:val="24"/>
              </w:rPr>
              <w:br/>
              <w:t xml:space="preserve">konsum apo përpunim     </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1140"/>
              </w:tabs>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113720</w:t>
            </w:r>
          </w:p>
        </w:tc>
      </w:tr>
      <w:tr w:rsidR="003A31D9" w:rsidRPr="003A31D9" w:rsidTr="003A31D9">
        <w:trPr>
          <w:trHeight w:val="87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02 03 04;02 06 01;02 05 01;02 07 04;15 01 01;15 01 06;15 01 07-Lëndë të papërshtatshme për konsum apo përpunim</w:t>
            </w:r>
            <w:r w:rsidRPr="003A31D9">
              <w:rPr>
                <w:rFonts w:ascii="Times New Roman" w:eastAsia="Calibri" w:hAnsi="Times New Roman" w:cs="Times New Roman"/>
                <w:bCs/>
                <w:sz w:val="24"/>
                <w:szCs w:val="24"/>
              </w:rPr>
              <w:br/>
              <w:t>Lëndë të papërshtatshme për konsum apo përpunim</w:t>
            </w:r>
            <w:r w:rsidRPr="003A31D9">
              <w:rPr>
                <w:rFonts w:ascii="Times New Roman" w:eastAsia="Calibri" w:hAnsi="Times New Roman" w:cs="Times New Roman"/>
                <w:bCs/>
                <w:sz w:val="24"/>
                <w:szCs w:val="24"/>
              </w:rPr>
              <w:br/>
              <w:t>Lëndë të papershtatshme per konsum apo perpunim</w:t>
            </w:r>
            <w:r w:rsidRPr="003A31D9">
              <w:rPr>
                <w:rFonts w:ascii="Times New Roman" w:eastAsia="Calibri" w:hAnsi="Times New Roman" w:cs="Times New Roman"/>
                <w:bCs/>
                <w:sz w:val="24"/>
                <w:szCs w:val="24"/>
              </w:rPr>
              <w:br/>
              <w:t>Lëndë të papershtatshme per konsum apo perpunim</w:t>
            </w:r>
            <w:r w:rsidRPr="003A31D9">
              <w:rPr>
                <w:rFonts w:ascii="Times New Roman" w:eastAsia="Calibri" w:hAnsi="Times New Roman" w:cs="Times New Roman"/>
                <w:bCs/>
                <w:sz w:val="24"/>
                <w:szCs w:val="24"/>
              </w:rPr>
              <w:br/>
              <w:t xml:space="preserve">Mbetje ambalazhi leter dhe kartoni </w:t>
            </w:r>
            <w:r w:rsidRPr="003A31D9">
              <w:rPr>
                <w:rFonts w:ascii="Times New Roman" w:eastAsia="Calibri" w:hAnsi="Times New Roman" w:cs="Times New Roman"/>
                <w:bCs/>
                <w:sz w:val="24"/>
                <w:szCs w:val="24"/>
              </w:rPr>
              <w:br/>
              <w:t>Mbetje ambalazhi</w:t>
            </w:r>
            <w:r w:rsidRPr="003A31D9">
              <w:rPr>
                <w:rFonts w:ascii="Times New Roman" w:eastAsia="Calibri" w:hAnsi="Times New Roman" w:cs="Times New Roman"/>
                <w:bCs/>
                <w:sz w:val="24"/>
                <w:szCs w:val="24"/>
              </w:rPr>
              <w:br/>
              <w:t>Mbetje ambalazhi qelqi</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tabs>
                <w:tab w:val="left" w:pos="1140"/>
              </w:tabs>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18835</w:t>
            </w:r>
          </w:p>
          <w:p w:rsidR="003A31D9" w:rsidRPr="003A31D9" w:rsidRDefault="003A31D9" w:rsidP="003A31D9">
            <w:pPr>
              <w:tabs>
                <w:tab w:val="left" w:pos="1140"/>
              </w:tabs>
              <w:ind w:firstLine="720"/>
              <w:jc w:val="right"/>
              <w:rPr>
                <w:rFonts w:ascii="Times New Roman" w:eastAsia="Calibri" w:hAnsi="Times New Roman" w:cs="Times New Roman"/>
                <w:sz w:val="24"/>
                <w:szCs w:val="24"/>
              </w:rPr>
            </w:pPr>
          </w:p>
        </w:tc>
      </w:tr>
      <w:tr w:rsidR="003A31D9" w:rsidRPr="003A31D9" w:rsidTr="003A31D9">
        <w:trPr>
          <w:trHeight w:val="69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 xml:space="preserve">20 01 01/20 01 39/12 01 01- Letër e karton / Plastikët                                                    Tallash të metaleve ferrore  </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tabs>
                <w:tab w:val="left" w:pos="1140"/>
              </w:tabs>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21270</w:t>
            </w:r>
          </w:p>
        </w:tc>
      </w:tr>
      <w:tr w:rsidR="003A31D9" w:rsidRPr="003A31D9" w:rsidTr="003A31D9">
        <w:trPr>
          <w:trHeight w:val="44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lastRenderedPageBreak/>
              <w:t xml:space="preserve">02 07 05-Llumra që vijnë nga trajtimi në vend i rrjedhjeve </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17380</w:t>
            </w:r>
          </w:p>
        </w:tc>
      </w:tr>
      <w:tr w:rsidR="003A31D9" w:rsidRPr="003A31D9" w:rsidTr="003A31D9">
        <w:trPr>
          <w:trHeight w:val="395"/>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2835"/>
              </w:tabs>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 xml:space="preserve">02 07 04-Materiale të papërshtatshme për konsum apo për përpunim              </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1140"/>
              </w:tabs>
              <w:ind w:firstLine="72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5460</w:t>
            </w:r>
          </w:p>
        </w:tc>
      </w:tr>
      <w:tr w:rsidR="003A31D9" w:rsidRPr="003A31D9" w:rsidTr="003A31D9">
        <w:trPr>
          <w:trHeight w:val="64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sz w:val="24"/>
                <w:szCs w:val="24"/>
              </w:rPr>
            </w:pPr>
            <w:r w:rsidRPr="003A31D9">
              <w:rPr>
                <w:rFonts w:ascii="Times New Roman" w:eastAsia="Calibri" w:hAnsi="Times New Roman" w:cs="Times New Roman"/>
                <w:sz w:val="24"/>
                <w:szCs w:val="24"/>
              </w:rPr>
              <w:br w:type="page"/>
            </w:r>
            <w:r w:rsidRPr="003A31D9">
              <w:rPr>
                <w:rFonts w:ascii="Times New Roman" w:eastAsia="Calibri" w:hAnsi="Times New Roman" w:cs="Times New Roman"/>
                <w:bCs/>
                <w:sz w:val="24"/>
                <w:szCs w:val="24"/>
              </w:rPr>
              <w:t>02 02 03 /  02 07 04  /  20 03 99 -Materiale të papërshtatshme për konsum apo për përpunim / Lëndë të papërshtatshme për konsum apo përpunim/     Mbetjet urbane të paspecifikuar</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4790</w:t>
            </w:r>
          </w:p>
          <w:p w:rsidR="003A31D9" w:rsidRPr="003A31D9" w:rsidRDefault="003A31D9" w:rsidP="003A31D9">
            <w:pPr>
              <w:jc w:val="right"/>
              <w:rPr>
                <w:rFonts w:ascii="Times New Roman" w:eastAsia="Calibri" w:hAnsi="Times New Roman" w:cs="Times New Roman"/>
                <w:sz w:val="24"/>
                <w:szCs w:val="24"/>
              </w:rPr>
            </w:pPr>
          </w:p>
        </w:tc>
      </w:tr>
      <w:tr w:rsidR="003A31D9" w:rsidRPr="003A31D9" w:rsidTr="003A31D9">
        <w:trPr>
          <w:trHeight w:val="45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 xml:space="preserve">04 02 09-Materiale të përziera (tekstile të imprenjuara, elastomere, plastomere) </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13170</w:t>
            </w:r>
          </w:p>
        </w:tc>
      </w:tr>
      <w:tr w:rsidR="003A31D9" w:rsidRPr="003A31D9" w:rsidTr="003A31D9">
        <w:trPr>
          <w:trHeight w:val="566"/>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 xml:space="preserve">04 02 09 / 04 02 99-Materiale të përziera (tekstile të imprenjuara, elastomere, plastomere)  Mbetje të tjera të paspecifikuara  </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440</w:t>
            </w:r>
          </w:p>
        </w:tc>
      </w:tr>
      <w:tr w:rsidR="003A31D9" w:rsidRPr="003A31D9" w:rsidTr="003A31D9">
        <w:trPr>
          <w:trHeight w:val="683"/>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bCs/>
                <w:sz w:val="24"/>
                <w:szCs w:val="24"/>
                <w:highlight w:val="yellow"/>
              </w:rPr>
            </w:pPr>
            <w:r w:rsidRPr="003A31D9">
              <w:rPr>
                <w:rFonts w:ascii="Times New Roman" w:eastAsia="Calibri" w:hAnsi="Times New Roman" w:cs="Times New Roman"/>
                <w:bCs/>
                <w:sz w:val="24"/>
                <w:szCs w:val="24"/>
              </w:rPr>
              <w:t xml:space="preserve">15 01 01/15 01 02 -Mbetje ambalazhi letre dhe kartoni                                         Mbetje ambalazhi plastike  </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Calibri" w:eastAsia="Calibri" w:hAnsi="Calibri" w:cs="Calibri"/>
                <w:color w:val="000000"/>
              </w:rPr>
            </w:pPr>
            <w:r w:rsidRPr="003A31D9">
              <w:rPr>
                <w:rFonts w:ascii="Calibri" w:eastAsia="Calibri" w:hAnsi="Calibri" w:cs="Calibri"/>
                <w:color w:val="000000"/>
              </w:rPr>
              <w:t>19005</w:t>
            </w:r>
          </w:p>
        </w:tc>
      </w:tr>
      <w:tr w:rsidR="003A31D9" w:rsidRPr="003A31D9" w:rsidTr="003A31D9">
        <w:trPr>
          <w:trHeight w:val="71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 xml:space="preserve">15 01 02/15 01 04/16 01 03 - Mbetje ambalazhi plastike                                                                   Mbetje ambalazhi metalike     Goma jashtë përdorimit     </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11240</w:t>
            </w:r>
          </w:p>
        </w:tc>
      </w:tr>
      <w:tr w:rsidR="003A31D9" w:rsidRPr="003A31D9" w:rsidTr="003A31D9">
        <w:trPr>
          <w:trHeight w:val="287"/>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 xml:space="preserve">15 01 06-Mbetje ambalazhi  </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1250</w:t>
            </w:r>
          </w:p>
        </w:tc>
      </w:tr>
      <w:tr w:rsidR="003A31D9" w:rsidRPr="003A31D9" w:rsidTr="003A31D9">
        <w:trPr>
          <w:trHeight w:val="64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 xml:space="preserve">20 01 38/08 03 15 -    Mbetje druri të tjera të përmendura ne 20 01 37  / Llumra të bojërave të tjera nga ato të përmendura në 08 03 14     </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3511</w:t>
            </w:r>
          </w:p>
        </w:tc>
      </w:tr>
      <w:tr w:rsidR="003A31D9" w:rsidRPr="003A31D9" w:rsidTr="003A31D9">
        <w:trPr>
          <w:trHeight w:val="413"/>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02 01 02-Mbetje nga indet e kafshëve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138.8</w:t>
            </w:r>
          </w:p>
        </w:tc>
      </w:tr>
      <w:tr w:rsidR="003A31D9" w:rsidRPr="003A31D9" w:rsidTr="003A31D9">
        <w:trPr>
          <w:trHeight w:val="395"/>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02 02 02- Mbetje nga indet e kafshëve</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20394147</w:t>
            </w:r>
          </w:p>
        </w:tc>
      </w:tr>
      <w:tr w:rsidR="003A31D9" w:rsidRPr="003A31D9" w:rsidTr="003A31D9">
        <w:trPr>
          <w:trHeight w:val="642"/>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 xml:space="preserve">01 04 13-Mbetje që vijnë nga prerja dhe sharrimi i gurëve, të tjera nga ato të përmendura në 01 04 07    </w:t>
            </w:r>
          </w:p>
          <w:p w:rsidR="003A31D9" w:rsidRPr="003A31D9" w:rsidRDefault="003A31D9" w:rsidP="003A31D9">
            <w:pPr>
              <w:spacing w:after="0" w:line="240" w:lineRule="auto"/>
              <w:ind w:left="310"/>
              <w:rPr>
                <w:rFonts w:ascii="Times New Roman" w:eastAsia="Calibri" w:hAnsi="Times New Roman" w:cs="Times New Roman"/>
                <w:bCs/>
                <w:sz w:val="24"/>
                <w:szCs w:val="24"/>
              </w:rPr>
            </w:pP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4028430</w:t>
            </w:r>
          </w:p>
          <w:p w:rsidR="003A31D9" w:rsidRPr="003A31D9" w:rsidRDefault="003A31D9" w:rsidP="003A31D9">
            <w:pPr>
              <w:spacing w:after="0" w:line="240" w:lineRule="auto"/>
              <w:jc w:val="right"/>
              <w:rPr>
                <w:rFonts w:ascii="Times New Roman" w:eastAsia="Calibri" w:hAnsi="Times New Roman" w:cs="Times New Roman"/>
                <w:bCs/>
                <w:sz w:val="24"/>
                <w:szCs w:val="24"/>
              </w:rPr>
            </w:pPr>
          </w:p>
        </w:tc>
      </w:tr>
      <w:tr w:rsidR="003A31D9" w:rsidRPr="003A31D9" w:rsidTr="003A31D9">
        <w:trPr>
          <w:trHeight w:val="1475"/>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16 01 0;16 01 17;16 01 18;16 01 19-Mjete jashtë përdorimit që nuk përmbajnë lëngje apo komponentë të tjera të rrezikshme</w:t>
            </w:r>
            <w:r w:rsidRPr="003A31D9">
              <w:rPr>
                <w:rFonts w:ascii="Times New Roman" w:eastAsia="Calibri" w:hAnsi="Times New Roman" w:cs="Times New Roman"/>
                <w:bCs/>
                <w:sz w:val="24"/>
                <w:szCs w:val="24"/>
              </w:rPr>
              <w:br/>
              <w:t>Metale ferrore</w:t>
            </w:r>
            <w:r w:rsidRPr="003A31D9">
              <w:rPr>
                <w:rFonts w:ascii="Times New Roman" w:eastAsia="Calibri" w:hAnsi="Times New Roman" w:cs="Times New Roman"/>
                <w:bCs/>
                <w:sz w:val="24"/>
                <w:szCs w:val="24"/>
              </w:rPr>
              <w:br/>
              <w:t>Metale joferrore</w:t>
            </w:r>
            <w:r w:rsidRPr="003A31D9">
              <w:rPr>
                <w:rFonts w:ascii="Times New Roman" w:eastAsia="Calibri" w:hAnsi="Times New Roman" w:cs="Times New Roman"/>
                <w:bCs/>
                <w:sz w:val="24"/>
                <w:szCs w:val="24"/>
              </w:rPr>
              <w:br/>
              <w:t xml:space="preserve">Plastika                                  </w:t>
            </w:r>
          </w:p>
          <w:p w:rsidR="003A31D9" w:rsidRPr="003A31D9" w:rsidRDefault="003A31D9" w:rsidP="003A31D9">
            <w:pPr>
              <w:spacing w:after="0" w:line="240" w:lineRule="auto"/>
              <w:ind w:left="310"/>
              <w:rPr>
                <w:rFonts w:ascii="Times New Roman" w:eastAsia="Calibri" w:hAnsi="Times New Roman" w:cs="Times New Roman"/>
                <w:bCs/>
                <w:sz w:val="24"/>
                <w:szCs w:val="24"/>
              </w:rPr>
            </w:pP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980</w:t>
            </w:r>
          </w:p>
          <w:p w:rsidR="003A31D9" w:rsidRPr="003A31D9" w:rsidRDefault="003A31D9" w:rsidP="003A31D9">
            <w:pPr>
              <w:spacing w:after="0" w:line="240" w:lineRule="auto"/>
              <w:jc w:val="right"/>
              <w:rPr>
                <w:rFonts w:ascii="Times New Roman" w:eastAsia="Calibri" w:hAnsi="Times New Roman" w:cs="Times New Roman"/>
                <w:bCs/>
                <w:sz w:val="24"/>
                <w:szCs w:val="24"/>
              </w:rPr>
            </w:pPr>
          </w:p>
        </w:tc>
      </w:tr>
      <w:tr w:rsidR="003A31D9" w:rsidRPr="003A31D9" w:rsidTr="003A31D9">
        <w:trPr>
          <w:trHeight w:val="642"/>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 xml:space="preserve">20 01 36 / 20 01 38-Pajisjet e skaduara elektrike dhe elektronike, të tjera nga ato të përmendura në 20 01 21, 20 01 23 dhe 20 01 35  /                                                               Mbetje druri të tjera nga ato të përmendura në 20 01 37            </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1160</w:t>
            </w:r>
          </w:p>
          <w:p w:rsidR="003A31D9" w:rsidRPr="003A31D9" w:rsidRDefault="003A31D9" w:rsidP="003A31D9">
            <w:pPr>
              <w:spacing w:after="0" w:line="240" w:lineRule="auto"/>
              <w:jc w:val="right"/>
              <w:rPr>
                <w:rFonts w:ascii="Times New Roman" w:eastAsia="Calibri" w:hAnsi="Times New Roman" w:cs="Times New Roman"/>
                <w:bCs/>
                <w:sz w:val="24"/>
                <w:szCs w:val="24"/>
              </w:rPr>
            </w:pPr>
          </w:p>
        </w:tc>
      </w:tr>
      <w:tr w:rsidR="003A31D9" w:rsidRPr="003A31D9" w:rsidTr="003A31D9">
        <w:trPr>
          <w:trHeight w:val="323"/>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 xml:space="preserve">12 01 03-Tallash te metaleve joferrore      </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20200</w:t>
            </w:r>
          </w:p>
        </w:tc>
      </w:tr>
      <w:tr w:rsidR="003A31D9" w:rsidRPr="003A31D9" w:rsidTr="003A31D9">
        <w:trPr>
          <w:trHeight w:val="332"/>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01 10-Veshjet</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8078</w:t>
            </w:r>
          </w:p>
        </w:tc>
      </w:tr>
      <w:tr w:rsidR="003A31D9" w:rsidRPr="003A31D9" w:rsidTr="003A31D9">
        <w:trPr>
          <w:trHeight w:val="413"/>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19 01-Mbetje nga iceneratorët ose piroliza e mbetjeve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60</w:t>
            </w:r>
          </w:p>
        </w:tc>
      </w:tr>
      <w:tr w:rsidR="003A31D9" w:rsidRPr="003A31D9" w:rsidTr="003A31D9">
        <w:trPr>
          <w:trHeight w:val="659"/>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sz w:val="24"/>
                <w:szCs w:val="24"/>
              </w:rPr>
            </w:pPr>
            <w:r w:rsidRPr="003A31D9">
              <w:rPr>
                <w:rFonts w:ascii="Times New Roman" w:eastAsia="Calibri" w:hAnsi="Times New Roman" w:cs="Times New Roman"/>
                <w:sz w:val="24"/>
                <w:szCs w:val="24"/>
              </w:rPr>
              <w:br w:type="page"/>
            </w:r>
            <w:r w:rsidRPr="003A31D9">
              <w:rPr>
                <w:rFonts w:ascii="Times New Roman" w:eastAsia="Calibri" w:hAnsi="Times New Roman" w:cs="Times New Roman"/>
                <w:bCs/>
                <w:sz w:val="24"/>
                <w:szCs w:val="24"/>
              </w:rPr>
              <w:t>20 01/ 20 01 39- Fraksionet e ndara (përveç 15 01)/Plastikët)</w:t>
            </w:r>
          </w:p>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01 01/20 01 39/20 01 11 - Letër dhe karton/Plastikët/Tekstilet</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14210</w:t>
            </w:r>
          </w:p>
          <w:p w:rsidR="003A31D9" w:rsidRPr="003A31D9" w:rsidRDefault="003A31D9" w:rsidP="003A31D9">
            <w:pPr>
              <w:spacing w:after="0" w:line="240" w:lineRule="auto"/>
              <w:jc w:val="right"/>
              <w:rPr>
                <w:rFonts w:ascii="Times New Roman" w:eastAsia="Calibri" w:hAnsi="Times New Roman" w:cs="Times New Roman"/>
                <w:sz w:val="24"/>
                <w:szCs w:val="24"/>
              </w:rPr>
            </w:pPr>
          </w:p>
        </w:tc>
      </w:tr>
      <w:tr w:rsidR="003A31D9" w:rsidRPr="003A31D9" w:rsidTr="003A31D9">
        <w:trPr>
          <w:trHeight w:val="260"/>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01 11/20 01 39 - Tekstilet/Plastikët</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5289.19</w:t>
            </w:r>
          </w:p>
        </w:tc>
      </w:tr>
      <w:tr w:rsidR="003A31D9" w:rsidRPr="003A31D9" w:rsidTr="003A31D9">
        <w:trPr>
          <w:trHeight w:val="332"/>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01 39-Plastikë</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2297331</w:t>
            </w:r>
          </w:p>
        </w:tc>
      </w:tr>
      <w:tr w:rsidR="003A31D9" w:rsidRPr="003A31D9" w:rsidTr="003A31D9">
        <w:trPr>
          <w:trHeight w:val="440"/>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lastRenderedPageBreak/>
              <w:t>03 01 05/15 01 05/18 02 03-Pluhur sharre, ashklat, copa prej druri, panele me materiale grimcore dhe me pllaka, të tjera nga ato të përmendura në 03 01 04/Mbetje ambalazhi të përbëra/Mbetjet, grumbullimi dhe asgjësimi i të cilave nuk u nënshtrohen kërkesave të veçanta  për të parandaluar infeksionet.</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77580</w:t>
            </w:r>
          </w:p>
          <w:p w:rsidR="003A31D9" w:rsidRPr="003A31D9" w:rsidRDefault="003A31D9" w:rsidP="003A31D9">
            <w:pPr>
              <w:spacing w:after="0" w:line="240" w:lineRule="auto"/>
              <w:ind w:left="900"/>
              <w:jc w:val="right"/>
              <w:rPr>
                <w:rFonts w:ascii="Times New Roman" w:eastAsia="Calibri" w:hAnsi="Times New Roman" w:cs="Times New Roman"/>
                <w:bCs/>
                <w:sz w:val="24"/>
                <w:szCs w:val="24"/>
              </w:rPr>
            </w:pPr>
          </w:p>
        </w:tc>
      </w:tr>
      <w:tr w:rsidR="003A31D9" w:rsidRPr="003A31D9" w:rsidTr="003A31D9">
        <w:trPr>
          <w:trHeight w:val="710"/>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15 01 01/15 01 02/15 01 05/15 01 06- Mbetje ambalazhi letre dhe kartoni/Mbetje ambalazhi plastike/Mbetje ambalazhi të përbëra/Mbetje ambalazhi</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40940</w:t>
            </w:r>
          </w:p>
          <w:p w:rsidR="003A31D9" w:rsidRPr="003A31D9" w:rsidRDefault="003A31D9" w:rsidP="003A31D9">
            <w:pPr>
              <w:spacing w:after="0" w:line="240" w:lineRule="auto"/>
              <w:ind w:left="900"/>
              <w:jc w:val="right"/>
              <w:rPr>
                <w:rFonts w:ascii="Times New Roman" w:eastAsia="Calibri" w:hAnsi="Times New Roman" w:cs="Times New Roman"/>
                <w:bCs/>
                <w:sz w:val="24"/>
                <w:szCs w:val="24"/>
              </w:rPr>
            </w:pPr>
          </w:p>
        </w:tc>
      </w:tr>
      <w:tr w:rsidR="003A31D9" w:rsidRPr="003A31D9" w:rsidTr="003A31D9">
        <w:trPr>
          <w:trHeight w:val="350"/>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16 01 17-Metale ferrore</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765252.1</w:t>
            </w:r>
          </w:p>
        </w:tc>
      </w:tr>
      <w:tr w:rsidR="003A31D9" w:rsidRPr="003A31D9" w:rsidTr="003A31D9">
        <w:trPr>
          <w:trHeight w:val="332"/>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03 01/20 01 99-Mbetjet e përziera urbane/Fraksione të tjera të paspecifikuara</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3288440</w:t>
            </w:r>
          </w:p>
        </w:tc>
      </w:tr>
      <w:tr w:rsidR="003A31D9" w:rsidRPr="003A31D9" w:rsidTr="003A31D9">
        <w:trPr>
          <w:trHeight w:val="642"/>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03 99/04 02 99/20 02 01/20 01 01-Fraksione të tjera të paspecifikuara/Mbetje të tjera të paspecifikuara/Mbetje të biodegradueshme/Letër dhe karton</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17790</w:t>
            </w:r>
          </w:p>
        </w:tc>
      </w:tr>
      <w:tr w:rsidR="003A31D9" w:rsidRPr="003A31D9" w:rsidTr="003A31D9">
        <w:trPr>
          <w:trHeight w:val="71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03 99/20 02 01/04 02 99/20 01 01-Fraksione të tjera të paspecifikuara/Mbetje të tjera të paspecifikuara/Mbetje të biodegradueshme/Letër dhe karton</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17240</w:t>
            </w:r>
          </w:p>
          <w:p w:rsidR="003A31D9" w:rsidRPr="003A31D9" w:rsidRDefault="003A31D9" w:rsidP="003A31D9">
            <w:pPr>
              <w:spacing w:after="0" w:line="240" w:lineRule="auto"/>
              <w:ind w:left="900"/>
              <w:jc w:val="right"/>
              <w:rPr>
                <w:rFonts w:ascii="Times New Roman" w:eastAsia="Calibri" w:hAnsi="Times New Roman" w:cs="Times New Roman"/>
                <w:bCs/>
                <w:sz w:val="24"/>
                <w:szCs w:val="24"/>
              </w:rPr>
            </w:pPr>
          </w:p>
        </w:tc>
      </w:tr>
      <w:tr w:rsidR="003A31D9" w:rsidRPr="003A31D9" w:rsidTr="003A31D9">
        <w:trPr>
          <w:trHeight w:val="620"/>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01 11/20 01 10/20 03 99/20 01 01/20 01 39-Tekstilet/Veshjet/Mbetjet urbane të paspecifikuara/Letër dhe karton/Plastikët</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16519.9</w:t>
            </w:r>
          </w:p>
          <w:p w:rsidR="003A31D9" w:rsidRPr="003A31D9" w:rsidRDefault="003A31D9" w:rsidP="003A31D9">
            <w:pPr>
              <w:spacing w:after="0" w:line="240" w:lineRule="auto"/>
              <w:ind w:left="900"/>
              <w:jc w:val="right"/>
              <w:rPr>
                <w:rFonts w:ascii="Times New Roman" w:eastAsia="Calibri" w:hAnsi="Times New Roman" w:cs="Times New Roman"/>
                <w:bCs/>
                <w:sz w:val="24"/>
                <w:szCs w:val="24"/>
              </w:rPr>
            </w:pPr>
          </w:p>
        </w:tc>
      </w:tr>
      <w:tr w:rsidR="003A31D9" w:rsidRPr="003A31D9" w:rsidTr="003A31D9">
        <w:trPr>
          <w:trHeight w:val="890"/>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15 01 01/15 01 03/15 01 05/15 01 09/15 02 03/20 01 11/20 01 40 -Mbetje ambalazhi letre dhe kartoni/Mbetje ambalazhi druri/Mbetje ambalazhi të përbëra/Mbetje ambalazhi tekstili/Absorbente, materiale filtrues, copa rroba thithëse, të tjera nga ato të përmendura në 15 02 02/Tekstilet/Metalet</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45580</w:t>
            </w:r>
          </w:p>
          <w:p w:rsidR="003A31D9" w:rsidRPr="003A31D9" w:rsidRDefault="003A31D9" w:rsidP="003A31D9">
            <w:pPr>
              <w:spacing w:after="0" w:line="240" w:lineRule="auto"/>
              <w:ind w:left="900"/>
              <w:jc w:val="right"/>
              <w:rPr>
                <w:rFonts w:ascii="Times New Roman" w:eastAsia="Calibri" w:hAnsi="Times New Roman" w:cs="Times New Roman"/>
                <w:bCs/>
                <w:sz w:val="24"/>
                <w:szCs w:val="24"/>
              </w:rPr>
            </w:pPr>
          </w:p>
        </w:tc>
      </w:tr>
      <w:tr w:rsidR="003A31D9" w:rsidRPr="003A31D9" w:rsidTr="003A31D9">
        <w:trPr>
          <w:trHeight w:val="710"/>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15 01 01/20 01 39/20 01 11-Mbetje ambalazhi letre dhe kartoni/Letër dhe karton/Tekstilet</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9760</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19 03-Mbetje të stabilizuara të ngurtësuara</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58740</w:t>
            </w:r>
          </w:p>
        </w:tc>
      </w:tr>
      <w:tr w:rsidR="003A31D9" w:rsidRPr="003A31D9" w:rsidTr="003A31D9">
        <w:trPr>
          <w:trHeight w:val="440"/>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03 01 05/ 15 01 05/15 02 03-Pluhur sharre, ashklat, copa prej druri, panele me materiale grimcore dhe me pllaka, të tjera nga ato të përmendura në 03 01 04/Mbetje ambalazhi të përbëra/Absorbente, materiale filtrues, copa rroba thithëse, të tjera nga ato të përmendura në 15 02 02</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jc w:val="right"/>
              <w:rPr>
                <w:rFonts w:ascii="Times New Roman" w:eastAsia="Calibri" w:hAnsi="Times New Roman" w:cs="Times New Roman"/>
                <w:bCs/>
                <w:color w:val="FF0000"/>
                <w:sz w:val="24"/>
                <w:szCs w:val="24"/>
              </w:rPr>
            </w:pPr>
          </w:p>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149140</w:t>
            </w:r>
          </w:p>
          <w:p w:rsidR="003A31D9" w:rsidRPr="003A31D9" w:rsidRDefault="003A31D9" w:rsidP="003A31D9">
            <w:pPr>
              <w:spacing w:after="0" w:line="240" w:lineRule="auto"/>
              <w:jc w:val="right"/>
              <w:rPr>
                <w:rFonts w:ascii="Times New Roman" w:eastAsia="Calibri" w:hAnsi="Times New Roman" w:cs="Times New Roman"/>
                <w:bCs/>
                <w:color w:val="FF0000"/>
                <w:sz w:val="24"/>
                <w:szCs w:val="24"/>
              </w:rPr>
            </w:pPr>
          </w:p>
          <w:p w:rsidR="003A31D9" w:rsidRPr="003A31D9" w:rsidRDefault="003A31D9" w:rsidP="003A31D9">
            <w:pPr>
              <w:spacing w:after="0" w:line="240" w:lineRule="auto"/>
              <w:ind w:left="900"/>
              <w:jc w:val="right"/>
              <w:rPr>
                <w:rFonts w:ascii="Times New Roman" w:eastAsia="Calibri" w:hAnsi="Times New Roman" w:cs="Times New Roman"/>
                <w:bCs/>
                <w:color w:val="FF0000"/>
                <w:sz w:val="24"/>
                <w:szCs w:val="24"/>
              </w:rPr>
            </w:pPr>
          </w:p>
        </w:tc>
      </w:tr>
      <w:tr w:rsidR="003A31D9" w:rsidRPr="003A31D9" w:rsidTr="003A31D9">
        <w:trPr>
          <w:trHeight w:val="737"/>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15 01 01/15 01 02/15 01 05/15 01 06-Mbetje ambalazhi letre dhe kartoni/Mbetje ambalazhi plastike/Mbetje ambalazhi të përbëra/Mbetje ambalazhi</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10260</w:t>
            </w:r>
          </w:p>
        </w:tc>
      </w:tr>
      <w:tr w:rsidR="003A31D9" w:rsidRPr="003A31D9" w:rsidTr="003A31D9">
        <w:trPr>
          <w:trHeight w:val="908"/>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15 01 03/15 01 05/15 01 09/15 02 03/20 01 11-Mbetje ambalazhi druri/Mbetje ambalazhi të përbëra/Mbetje ambalazhi tekstili/Absorbente, materiale filtrues, copa rroba thithëse, të tjera nga ato të përmendura në 15 02 02/Tekstilet</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39040</w:t>
            </w:r>
          </w:p>
          <w:p w:rsidR="003A31D9" w:rsidRPr="003A31D9" w:rsidRDefault="003A31D9" w:rsidP="003A31D9">
            <w:pPr>
              <w:spacing w:after="0" w:line="240" w:lineRule="auto"/>
              <w:ind w:left="900"/>
              <w:jc w:val="right"/>
              <w:rPr>
                <w:rFonts w:ascii="Times New Roman" w:eastAsia="Calibri" w:hAnsi="Times New Roman" w:cs="Times New Roman"/>
                <w:bCs/>
                <w:sz w:val="24"/>
                <w:szCs w:val="24"/>
              </w:rPr>
            </w:pPr>
          </w:p>
        </w:tc>
      </w:tr>
      <w:tr w:rsidR="003A31D9" w:rsidRPr="003A31D9" w:rsidTr="003A31D9">
        <w:trPr>
          <w:trHeight w:val="395"/>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15 01 16-Mbetje ambalazhi</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4600</w:t>
            </w:r>
          </w:p>
        </w:tc>
      </w:tr>
      <w:tr w:rsidR="003A31D9" w:rsidRPr="003A31D9" w:rsidTr="003A31D9">
        <w:trPr>
          <w:trHeight w:val="440"/>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16 01 17/20 01 40-Metale ferrore/Metalet</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800</w:t>
            </w:r>
          </w:p>
        </w:tc>
      </w:tr>
      <w:tr w:rsidR="003A31D9" w:rsidRPr="003A31D9" w:rsidTr="003A31D9">
        <w:trPr>
          <w:trHeight w:val="62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03 01/20 01 99/20 01 01/20 01 39-Mbetjet e përziera urbane/ Mbetjet urbane të paspecifikuara/Letër dhe karton/Plastikët</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3860680</w:t>
            </w:r>
          </w:p>
          <w:p w:rsidR="003A31D9" w:rsidRPr="003A31D9" w:rsidRDefault="003A31D9" w:rsidP="003A31D9">
            <w:pPr>
              <w:spacing w:after="0" w:line="240" w:lineRule="auto"/>
              <w:ind w:left="900"/>
              <w:jc w:val="right"/>
              <w:rPr>
                <w:rFonts w:ascii="Times New Roman" w:eastAsia="Calibri" w:hAnsi="Times New Roman" w:cs="Times New Roman"/>
                <w:bCs/>
                <w:sz w:val="24"/>
                <w:szCs w:val="24"/>
              </w:rPr>
            </w:pPr>
          </w:p>
        </w:tc>
      </w:tr>
      <w:tr w:rsidR="003A31D9" w:rsidRPr="003A31D9" w:rsidTr="003A31D9">
        <w:trPr>
          <w:trHeight w:val="35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03 02-Mbetje nga tregjet</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22903.5</w:t>
            </w:r>
          </w:p>
        </w:tc>
      </w:tr>
      <w:tr w:rsidR="003A31D9" w:rsidRPr="003A31D9" w:rsidTr="003A31D9">
        <w:trPr>
          <w:trHeight w:val="35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17 02 01-Dru</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4723</w:t>
            </w:r>
          </w:p>
        </w:tc>
      </w:tr>
      <w:tr w:rsidR="003A31D9" w:rsidRPr="003A31D9" w:rsidTr="003A31D9">
        <w:trPr>
          <w:trHeight w:val="323"/>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17 02 02-Qelqe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445</w:t>
            </w:r>
          </w:p>
        </w:tc>
      </w:tr>
      <w:tr w:rsidR="003A31D9" w:rsidRPr="003A31D9" w:rsidTr="003A31D9">
        <w:trPr>
          <w:trHeight w:val="602"/>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lastRenderedPageBreak/>
              <w:t>17 09 04- Mbetje të përziera nga ndërtimi dhe të prishjeve, të tjera nga ato të përmendura në 17 09 01, 17 09 02 dhe 17 09 03</w:t>
            </w:r>
          </w:p>
          <w:p w:rsidR="003A31D9" w:rsidRPr="003A31D9" w:rsidRDefault="003A31D9" w:rsidP="003A31D9">
            <w:pPr>
              <w:spacing w:after="0" w:line="240" w:lineRule="auto"/>
              <w:ind w:left="900"/>
              <w:rPr>
                <w:rFonts w:ascii="Times New Roman" w:eastAsia="Calibri" w:hAnsi="Times New Roman" w:cs="Times New Roman"/>
                <w:bCs/>
                <w:sz w:val="24"/>
                <w:szCs w:val="24"/>
              </w:rPr>
            </w:pP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299427</w:t>
            </w:r>
          </w:p>
          <w:p w:rsidR="003A31D9" w:rsidRPr="003A31D9" w:rsidRDefault="003A31D9" w:rsidP="003A31D9">
            <w:pPr>
              <w:spacing w:after="0" w:line="240" w:lineRule="auto"/>
              <w:ind w:left="900"/>
              <w:jc w:val="right"/>
              <w:rPr>
                <w:rFonts w:ascii="Times New Roman" w:eastAsia="Calibri" w:hAnsi="Times New Roman" w:cs="Times New Roman"/>
                <w:bCs/>
                <w:sz w:val="24"/>
                <w:szCs w:val="24"/>
              </w:rPr>
            </w:pPr>
          </w:p>
        </w:tc>
      </w:tr>
      <w:tr w:rsidR="003A31D9" w:rsidRPr="003A31D9" w:rsidTr="003A31D9">
        <w:trPr>
          <w:trHeight w:val="44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17 01 01-Beton</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168934</w:t>
            </w:r>
          </w:p>
        </w:tc>
      </w:tr>
      <w:tr w:rsidR="003A31D9" w:rsidRPr="003A31D9" w:rsidTr="003A31D9">
        <w:trPr>
          <w:trHeight w:val="305"/>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17 01 02- Tulla</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1320</w:t>
            </w:r>
          </w:p>
        </w:tc>
      </w:tr>
      <w:tr w:rsidR="003A31D9" w:rsidRPr="003A31D9" w:rsidTr="003A31D9">
        <w:trPr>
          <w:trHeight w:val="260"/>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02 02- Dhera dhe gurë</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91680</w:t>
            </w:r>
          </w:p>
        </w:tc>
      </w:tr>
      <w:tr w:rsidR="003A31D9" w:rsidRPr="003A31D9" w:rsidTr="003A31D9">
        <w:trPr>
          <w:trHeight w:val="33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17 05 06-Balta, të tjera nga ato të përmendura në 17 05 05</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1111</w:t>
            </w:r>
          </w:p>
        </w:tc>
      </w:tr>
      <w:tr w:rsidR="003A31D9" w:rsidRPr="003A31D9" w:rsidTr="003A31D9">
        <w:trPr>
          <w:trHeight w:val="575"/>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15 01 01/15 01 07/15 01 04/15 01 03-Mbetje ambalazhi letre dhe kartoni/Mbetje ambalazhi qelqi.Mbetje ambalazhi metalike/Mbetje ambalazhi druri</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6700</w:t>
            </w:r>
          </w:p>
          <w:p w:rsidR="003A31D9" w:rsidRPr="003A31D9" w:rsidRDefault="003A31D9" w:rsidP="003A31D9">
            <w:pPr>
              <w:spacing w:after="0" w:line="240" w:lineRule="auto"/>
              <w:ind w:left="900"/>
              <w:jc w:val="right"/>
              <w:rPr>
                <w:rFonts w:ascii="Times New Roman" w:eastAsia="Calibri" w:hAnsi="Times New Roman" w:cs="Times New Roman"/>
                <w:bCs/>
                <w:sz w:val="24"/>
                <w:szCs w:val="24"/>
              </w:rPr>
            </w:pPr>
          </w:p>
        </w:tc>
      </w:tr>
      <w:tr w:rsidR="003A31D9" w:rsidRPr="003A31D9" w:rsidTr="003A31D9">
        <w:trPr>
          <w:trHeight w:val="35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01 02/20 01 11- Qelq/Tekstile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350</w:t>
            </w:r>
          </w:p>
        </w:tc>
      </w:tr>
      <w:tr w:rsidR="003A31D9" w:rsidRPr="003A31D9" w:rsidTr="003A31D9">
        <w:trPr>
          <w:trHeight w:val="26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01 11/ 20 03 01-Tekstilet/ Mbetjet e përziera urbane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217620</w:t>
            </w:r>
          </w:p>
        </w:tc>
      </w:tr>
      <w:tr w:rsidR="003A31D9" w:rsidRPr="003A31D9" w:rsidTr="003A31D9">
        <w:trPr>
          <w:trHeight w:val="413"/>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01 11/15 01 02-Tekstilet/Mbetje ambalazhi plastike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12860</w:t>
            </w:r>
          </w:p>
        </w:tc>
      </w:tr>
      <w:tr w:rsidR="003A31D9" w:rsidRPr="003A31D9" w:rsidTr="003A31D9">
        <w:trPr>
          <w:trHeight w:val="35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19 12 02-Metale ferrore</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189130</w:t>
            </w:r>
          </w:p>
        </w:tc>
      </w:tr>
      <w:tr w:rsidR="003A31D9" w:rsidRPr="003A31D9" w:rsidTr="003A31D9">
        <w:trPr>
          <w:trHeight w:val="350"/>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03 06-Mbetje nga pastrimi i ujërave të zeza</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328710</w:t>
            </w:r>
          </w:p>
        </w:tc>
      </w:tr>
      <w:tr w:rsidR="003A31D9" w:rsidRPr="003A31D9" w:rsidTr="003A31D9">
        <w:trPr>
          <w:trHeight w:val="377"/>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11 05 01/11 05 02-Zinku i rëndë/Hi zinku</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73,712</w:t>
            </w:r>
          </w:p>
        </w:tc>
      </w:tr>
      <w:tr w:rsidR="003A31D9" w:rsidRPr="003A31D9" w:rsidTr="003A31D9">
        <w:trPr>
          <w:trHeight w:val="305"/>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19 12 01- Leter dhe Karton</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1666760</w:t>
            </w:r>
          </w:p>
        </w:tc>
      </w:tr>
      <w:tr w:rsidR="003A31D9" w:rsidRPr="003A31D9" w:rsidTr="003A31D9">
        <w:trPr>
          <w:trHeight w:val="287"/>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19 12 03-Metale joferrore</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21400</w:t>
            </w:r>
          </w:p>
        </w:tc>
      </w:tr>
      <w:tr w:rsidR="003A31D9" w:rsidRPr="003A31D9" w:rsidTr="003A31D9">
        <w:trPr>
          <w:trHeight w:val="350"/>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19 12 04-Plastik dhe gomë</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1267970</w:t>
            </w:r>
          </w:p>
        </w:tc>
      </w:tr>
      <w:tr w:rsidR="003A31D9" w:rsidRPr="003A31D9" w:rsidTr="003A31D9">
        <w:trPr>
          <w:trHeight w:val="683"/>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03/20 03 01/20 03 99-Mbetje të tjera urbane/ Mbetjet e përziera urbane/ Mbetjet urbane të paspecifikuara</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11160</w:t>
            </w:r>
          </w:p>
          <w:p w:rsidR="003A31D9" w:rsidRPr="003A31D9" w:rsidRDefault="003A31D9" w:rsidP="003A31D9">
            <w:pPr>
              <w:spacing w:after="0" w:line="240" w:lineRule="auto"/>
              <w:ind w:left="900"/>
              <w:jc w:val="right"/>
              <w:rPr>
                <w:rFonts w:ascii="Times New Roman" w:eastAsia="Calibri" w:hAnsi="Times New Roman" w:cs="Times New Roman"/>
                <w:bCs/>
                <w:sz w:val="24"/>
                <w:szCs w:val="24"/>
              </w:rPr>
            </w:pPr>
          </w:p>
        </w:tc>
      </w:tr>
      <w:tr w:rsidR="003A31D9" w:rsidRPr="003A31D9" w:rsidTr="003A31D9">
        <w:trPr>
          <w:trHeight w:val="60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02 03 04/20 01 01-Lëndë të papërshtatshme për konsum apo përpunim/ Letër dhe karton</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30</w:t>
            </w:r>
          </w:p>
          <w:p w:rsidR="003A31D9" w:rsidRPr="003A31D9" w:rsidRDefault="003A31D9" w:rsidP="003A31D9">
            <w:pPr>
              <w:spacing w:after="0" w:line="240" w:lineRule="auto"/>
              <w:ind w:left="900"/>
              <w:jc w:val="right"/>
              <w:rPr>
                <w:rFonts w:ascii="Times New Roman" w:eastAsia="Calibri" w:hAnsi="Times New Roman" w:cs="Times New Roman"/>
                <w:bCs/>
                <w:sz w:val="24"/>
                <w:szCs w:val="24"/>
              </w:rPr>
            </w:pP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01 02- Qelq</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662909</w:t>
            </w:r>
          </w:p>
        </w:tc>
      </w:tr>
      <w:tr w:rsidR="003A31D9" w:rsidRPr="003A31D9" w:rsidTr="003A31D9">
        <w:trPr>
          <w:trHeight w:val="683"/>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01 01/ 20 01 02/ 20 01 08/20 01 11/20 01 39/ 20 01 40 -Letër dhe karton/ Qelq/ Mbetje të biodegradueshme nga kuzhinat dhe mensat/ Tekstilet/ Plastikët/ Metalet</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476700</w:t>
            </w:r>
          </w:p>
        </w:tc>
      </w:tr>
      <w:tr w:rsidR="003A31D9" w:rsidRPr="003A31D9" w:rsidTr="003A31D9">
        <w:trPr>
          <w:trHeight w:val="35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10 06 01-Zgjyra nga prodhimi primar dhe dytësor</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12366200</w:t>
            </w:r>
          </w:p>
        </w:tc>
      </w:tr>
      <w:tr w:rsidR="003A31D9" w:rsidRPr="003A31D9" w:rsidTr="003A31D9">
        <w:trPr>
          <w:trHeight w:val="60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19 03/19 03 05-Mbetje të stabilizuara të ngurtësuara/Mbetje të stabilizuara të tjera nga ato të përmendura në 19 03 04</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253120</w:t>
            </w:r>
          </w:p>
          <w:p w:rsidR="003A31D9" w:rsidRPr="003A31D9" w:rsidRDefault="003A31D9" w:rsidP="003A31D9">
            <w:pPr>
              <w:spacing w:after="0" w:line="240" w:lineRule="auto"/>
              <w:ind w:left="900"/>
              <w:jc w:val="right"/>
              <w:rPr>
                <w:rFonts w:ascii="Times New Roman" w:eastAsia="Calibri" w:hAnsi="Times New Roman" w:cs="Times New Roman"/>
                <w:bCs/>
                <w:sz w:val="24"/>
                <w:szCs w:val="24"/>
              </w:rPr>
            </w:pPr>
          </w:p>
        </w:tc>
      </w:tr>
      <w:tr w:rsidR="003A31D9" w:rsidRPr="003A31D9" w:rsidTr="003A31D9">
        <w:trPr>
          <w:trHeight w:val="53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19 10 04-Fraksione të lehta dhe pluhura të tjera nga ato të përmendura në 19 10 03</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59150</w:t>
            </w:r>
          </w:p>
          <w:p w:rsidR="003A31D9" w:rsidRPr="003A31D9" w:rsidRDefault="003A31D9" w:rsidP="003A31D9">
            <w:pPr>
              <w:spacing w:after="0" w:line="240" w:lineRule="auto"/>
              <w:ind w:left="900"/>
              <w:jc w:val="right"/>
              <w:rPr>
                <w:rFonts w:ascii="Times New Roman" w:eastAsia="Calibri" w:hAnsi="Times New Roman" w:cs="Times New Roman"/>
                <w:bCs/>
                <w:sz w:val="24"/>
                <w:szCs w:val="24"/>
              </w:rPr>
            </w:pPr>
          </w:p>
        </w:tc>
      </w:tr>
      <w:tr w:rsidR="003A31D9" w:rsidRPr="003A31D9" w:rsidTr="003A31D9">
        <w:trPr>
          <w:trHeight w:val="33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01 25 -Vajra dhe dhjamëra ushqimore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592592</w:t>
            </w:r>
          </w:p>
        </w:tc>
      </w:tr>
      <w:tr w:rsidR="003A31D9" w:rsidRPr="003A31D9" w:rsidTr="003A31D9">
        <w:trPr>
          <w:trHeight w:val="33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03 04/20 03 06-Llumra nga gropat septike/Mbetje nga pastrimi i ujërave të zeza</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447985</w:t>
            </w:r>
          </w:p>
        </w:tc>
      </w:tr>
      <w:tr w:rsidR="003A31D9" w:rsidRPr="003A31D9" w:rsidTr="003A31D9">
        <w:trPr>
          <w:trHeight w:val="60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17 01 07-Përzierje të betonit, tullave, tjegullave dhe qeramikës, të tjera nga ato të përmendura në 17 01 06</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293966</w:t>
            </w:r>
          </w:p>
          <w:p w:rsidR="003A31D9" w:rsidRPr="003A31D9" w:rsidRDefault="003A31D9" w:rsidP="003A31D9">
            <w:pPr>
              <w:spacing w:after="0" w:line="240" w:lineRule="auto"/>
              <w:ind w:left="900"/>
              <w:jc w:val="right"/>
              <w:rPr>
                <w:rFonts w:ascii="Times New Roman" w:eastAsia="Calibri" w:hAnsi="Times New Roman" w:cs="Times New Roman"/>
                <w:bCs/>
                <w:sz w:val="24"/>
                <w:szCs w:val="24"/>
              </w:rPr>
            </w:pPr>
          </w:p>
        </w:tc>
      </w:tr>
      <w:tr w:rsidR="003A31D9" w:rsidRPr="003A31D9" w:rsidTr="003A31D9">
        <w:trPr>
          <w:trHeight w:val="35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16 03 04-Mbetje inorganike që përmbajnë substanca ndryshe nga ato të 16 03 03</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8300</w:t>
            </w:r>
          </w:p>
        </w:tc>
      </w:tr>
      <w:tr w:rsidR="003A31D9" w:rsidRPr="003A31D9" w:rsidTr="003A31D9">
        <w:trPr>
          <w:trHeight w:val="413"/>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15 01 04-Mbetje ambalazhi metalike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689636</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lastRenderedPageBreak/>
              <w:t>01 05 99-Mbetje të tjera të paspecifikuara</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563</w:t>
            </w:r>
          </w:p>
        </w:tc>
      </w:tr>
      <w:tr w:rsidR="003A31D9" w:rsidRPr="003A31D9" w:rsidTr="003A31D9">
        <w:trPr>
          <w:trHeight w:val="35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02 01 - Mbetje të biodegradueshme</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30520</w:t>
            </w:r>
          </w:p>
        </w:tc>
      </w:tr>
      <w:tr w:rsidR="003A31D9" w:rsidRPr="003A31D9" w:rsidTr="003A31D9">
        <w:trPr>
          <w:trHeight w:val="350"/>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01 - Fraksionet e ndara (përveç 15 01)</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31569</w:t>
            </w:r>
          </w:p>
        </w:tc>
      </w:tr>
      <w:tr w:rsidR="003A31D9" w:rsidRPr="003A31D9" w:rsidTr="003A31D9">
        <w:trPr>
          <w:trHeight w:val="602"/>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15 01 01/19 12 01/20 01 01-Mbetje ambalazhi letre dhe kartoni/Letër e karton/Letër dhe karton</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269120.95</w:t>
            </w:r>
          </w:p>
        </w:tc>
      </w:tr>
      <w:tr w:rsidR="003A31D9" w:rsidRPr="003A31D9" w:rsidTr="003A31D9">
        <w:trPr>
          <w:trHeight w:val="35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17 05 04-Dhera dhe gurë, të tjera nga ato të përmendura në 17 05 03</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22,772</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sz w:val="24"/>
                <w:szCs w:val="24"/>
              </w:rPr>
            </w:pPr>
            <w:r w:rsidRPr="003A31D9">
              <w:rPr>
                <w:rFonts w:ascii="Times New Roman" w:eastAsia="Calibri" w:hAnsi="Times New Roman" w:cs="Times New Roman"/>
                <w:sz w:val="24"/>
                <w:szCs w:val="24"/>
              </w:rPr>
              <w:t>17 04 01 - Bakër, bronz, tunxh</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1155725.36</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sz w:val="24"/>
                <w:szCs w:val="24"/>
              </w:rPr>
            </w:pPr>
            <w:r w:rsidRPr="003A31D9">
              <w:rPr>
                <w:rFonts w:ascii="Times New Roman" w:eastAsia="Calibri" w:hAnsi="Times New Roman" w:cs="Times New Roman"/>
                <w:sz w:val="24"/>
                <w:szCs w:val="24"/>
              </w:rPr>
              <w:t>17 04 02- Alumin</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3598392</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sz w:val="24"/>
                <w:szCs w:val="24"/>
              </w:rPr>
            </w:pPr>
            <w:r w:rsidRPr="003A31D9">
              <w:rPr>
                <w:rFonts w:ascii="Times New Roman" w:eastAsia="Calibri" w:hAnsi="Times New Roman" w:cs="Times New Roman"/>
                <w:sz w:val="24"/>
                <w:szCs w:val="24"/>
              </w:rPr>
              <w:t>17 04 05- Hekur dhe çelik</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246630.1</w:t>
            </w:r>
          </w:p>
        </w:tc>
      </w:tr>
      <w:tr w:rsidR="003A31D9" w:rsidRPr="003A31D9" w:rsidTr="003A31D9">
        <w:trPr>
          <w:trHeight w:val="323"/>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945"/>
              </w:tabs>
              <w:rPr>
                <w:rFonts w:ascii="Times New Roman" w:eastAsia="Calibri" w:hAnsi="Times New Roman" w:cs="Times New Roman"/>
                <w:sz w:val="24"/>
                <w:szCs w:val="24"/>
              </w:rPr>
            </w:pPr>
            <w:r w:rsidRPr="003A31D9">
              <w:rPr>
                <w:rFonts w:ascii="Times New Roman" w:eastAsia="Calibri" w:hAnsi="Times New Roman" w:cs="Times New Roman"/>
                <w:sz w:val="24"/>
                <w:szCs w:val="24"/>
              </w:rPr>
              <w:t>17 04 04 -Zink</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740585</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1515"/>
              </w:tabs>
              <w:rPr>
                <w:rFonts w:ascii="Times New Roman" w:eastAsia="Calibri" w:hAnsi="Times New Roman" w:cs="Times New Roman"/>
                <w:sz w:val="24"/>
                <w:szCs w:val="24"/>
              </w:rPr>
            </w:pPr>
            <w:r w:rsidRPr="003A31D9">
              <w:rPr>
                <w:rFonts w:ascii="Times New Roman" w:eastAsia="Calibri" w:hAnsi="Times New Roman" w:cs="Times New Roman"/>
                <w:sz w:val="24"/>
                <w:szCs w:val="24"/>
              </w:rPr>
              <w:t>19 13 08 - Mbetje të lëngshme ujore dhe koncentratet ujore nga rehabilitimi i ujërave nëntokësore, të tjera nga ato të përmendura në 19 13 07</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1515"/>
              </w:tabs>
              <w:ind w:firstLine="720"/>
              <w:jc w:val="right"/>
              <w:rPr>
                <w:rFonts w:ascii="Times New Roman" w:eastAsia="Calibri" w:hAnsi="Times New Roman" w:cs="Times New Roman"/>
                <w:sz w:val="24"/>
                <w:szCs w:val="24"/>
              </w:rPr>
            </w:pPr>
            <w:r w:rsidRPr="003A31D9">
              <w:rPr>
                <w:rFonts w:ascii="Times New Roman" w:eastAsia="Calibri" w:hAnsi="Times New Roman" w:cs="Times New Roman"/>
                <w:sz w:val="24"/>
                <w:szCs w:val="24"/>
              </w:rPr>
              <w:t>6494637</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945"/>
              </w:tabs>
              <w:rPr>
                <w:rFonts w:ascii="Times New Roman" w:eastAsia="Calibri" w:hAnsi="Times New Roman" w:cs="Times New Roman"/>
                <w:sz w:val="24"/>
                <w:szCs w:val="24"/>
              </w:rPr>
            </w:pPr>
            <w:r w:rsidRPr="003A31D9">
              <w:rPr>
                <w:rFonts w:ascii="Times New Roman" w:eastAsia="Calibri" w:hAnsi="Times New Roman" w:cs="Times New Roman"/>
                <w:sz w:val="24"/>
                <w:szCs w:val="24"/>
              </w:rPr>
              <w:t>20 01 40 - Metalet</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4374676</w:t>
            </w:r>
          </w:p>
        </w:tc>
      </w:tr>
      <w:tr w:rsidR="003A31D9" w:rsidRPr="003A31D9" w:rsidTr="003A31D9">
        <w:trPr>
          <w:trHeight w:val="413"/>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945"/>
              </w:tabs>
              <w:rPr>
                <w:rFonts w:ascii="Times New Roman" w:eastAsia="Calibri" w:hAnsi="Times New Roman" w:cs="Times New Roman"/>
                <w:sz w:val="24"/>
                <w:szCs w:val="24"/>
              </w:rPr>
            </w:pPr>
            <w:r w:rsidRPr="003A31D9">
              <w:rPr>
                <w:rFonts w:ascii="Times New Roman" w:eastAsia="Calibri" w:hAnsi="Times New Roman" w:cs="Times New Roman"/>
                <w:sz w:val="24"/>
                <w:szCs w:val="24"/>
              </w:rPr>
              <w:t>18 01 01 - Bisturitë, shiringa, instrumente të mprehta (përveç 18 01 03)</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104677.32</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945"/>
              </w:tabs>
              <w:rPr>
                <w:rFonts w:ascii="Times New Roman" w:eastAsia="Calibri" w:hAnsi="Times New Roman" w:cs="Times New Roman"/>
                <w:sz w:val="24"/>
                <w:szCs w:val="24"/>
              </w:rPr>
            </w:pPr>
            <w:r w:rsidRPr="003A31D9">
              <w:rPr>
                <w:rFonts w:ascii="Times New Roman" w:eastAsia="Calibri" w:hAnsi="Times New Roman" w:cs="Times New Roman"/>
                <w:sz w:val="24"/>
                <w:szCs w:val="24"/>
              </w:rPr>
              <w:t>18 01 01/18 01 03 - Bisturitë, shiringa, instrumente të mprehta (përveç 18 01 03)/Mbetjet, grumbullimi dhe asgjësimi i të cilave u nënshtrohen kërkesave të veçanta për të parandaluar infeksionet</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ind w:firstLine="720"/>
              <w:jc w:val="right"/>
              <w:rPr>
                <w:rFonts w:ascii="Times New Roman" w:eastAsia="Calibri" w:hAnsi="Times New Roman" w:cs="Times New Roman"/>
                <w:sz w:val="24"/>
                <w:szCs w:val="24"/>
              </w:rPr>
            </w:pPr>
          </w:p>
          <w:p w:rsidR="003A31D9" w:rsidRPr="003A31D9" w:rsidRDefault="003A31D9" w:rsidP="003A31D9">
            <w:pPr>
              <w:jc w:val="right"/>
              <w:rPr>
                <w:rFonts w:ascii="Times New Roman" w:eastAsia="Calibri" w:hAnsi="Times New Roman" w:cs="Times New Roman"/>
                <w:sz w:val="24"/>
                <w:szCs w:val="24"/>
              </w:rPr>
            </w:pPr>
            <w:r w:rsidRPr="003A31D9">
              <w:rPr>
                <w:rFonts w:ascii="Times New Roman" w:eastAsia="Calibri" w:hAnsi="Times New Roman" w:cs="Times New Roman"/>
                <w:sz w:val="24"/>
                <w:szCs w:val="24"/>
              </w:rPr>
              <w:t>60306.5</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945"/>
              </w:tabs>
              <w:rPr>
                <w:rFonts w:ascii="Times New Roman" w:eastAsia="Calibri" w:hAnsi="Times New Roman" w:cs="Times New Roman"/>
                <w:sz w:val="24"/>
                <w:szCs w:val="24"/>
              </w:rPr>
            </w:pPr>
            <w:r w:rsidRPr="003A31D9">
              <w:rPr>
                <w:rFonts w:ascii="Times New Roman" w:eastAsia="Calibri" w:hAnsi="Times New Roman" w:cs="Times New Roman"/>
                <w:sz w:val="24"/>
                <w:szCs w:val="24"/>
              </w:rPr>
              <w:t>18 01 02-Pjesë të trupit dhe organe, përfshirë qeset e gjakut dhe rezervat e gjakut dhe rezervat e gjakut (përveç 18 01 03)</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ind w:firstLine="720"/>
              <w:jc w:val="right"/>
              <w:rPr>
                <w:rFonts w:ascii="Times New Roman" w:eastAsia="Calibri" w:hAnsi="Times New Roman" w:cs="Times New Roman"/>
                <w:sz w:val="24"/>
                <w:szCs w:val="24"/>
              </w:rPr>
            </w:pPr>
            <w:r w:rsidRPr="003A31D9">
              <w:rPr>
                <w:rFonts w:ascii="Times New Roman" w:eastAsia="Calibri" w:hAnsi="Times New Roman" w:cs="Times New Roman"/>
                <w:sz w:val="24"/>
                <w:szCs w:val="24"/>
              </w:rPr>
              <w:t>60067.59</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945"/>
              </w:tabs>
              <w:rPr>
                <w:rFonts w:ascii="Times New Roman" w:eastAsia="Calibri" w:hAnsi="Times New Roman" w:cs="Times New Roman"/>
                <w:sz w:val="24"/>
                <w:szCs w:val="24"/>
              </w:rPr>
            </w:pPr>
            <w:r w:rsidRPr="003A31D9">
              <w:rPr>
                <w:rFonts w:ascii="Times New Roman" w:eastAsia="Calibri" w:hAnsi="Times New Roman" w:cs="Times New Roman"/>
                <w:sz w:val="24"/>
                <w:szCs w:val="24"/>
              </w:rPr>
              <w:t>18 01 04-Mbetjet, grumbullimi dhe asgjësimi i të cilave nuk u nënshtrohen kërkesave të veçanta për të parandaluar infeksionet (p.sh. fasha, gips, çarçafë, veshje njëpërdorimëshe, pelena etj.)</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ind w:firstLine="720"/>
              <w:jc w:val="right"/>
              <w:rPr>
                <w:rFonts w:ascii="Times New Roman" w:eastAsia="Calibri" w:hAnsi="Times New Roman" w:cs="Times New Roman"/>
                <w:sz w:val="24"/>
                <w:szCs w:val="24"/>
              </w:rPr>
            </w:pPr>
            <w:r w:rsidRPr="003A31D9">
              <w:rPr>
                <w:rFonts w:ascii="Times New Roman" w:eastAsia="Calibri" w:hAnsi="Times New Roman" w:cs="Times New Roman"/>
                <w:sz w:val="24"/>
                <w:szCs w:val="24"/>
              </w:rPr>
              <w:t>1855.2</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945"/>
              </w:tabs>
              <w:rPr>
                <w:rFonts w:ascii="Times New Roman" w:eastAsia="Calibri" w:hAnsi="Times New Roman" w:cs="Times New Roman"/>
                <w:sz w:val="24"/>
                <w:szCs w:val="24"/>
              </w:rPr>
            </w:pPr>
            <w:r w:rsidRPr="003A31D9">
              <w:rPr>
                <w:rFonts w:ascii="Times New Roman" w:eastAsia="Calibri" w:hAnsi="Times New Roman" w:cs="Times New Roman"/>
                <w:sz w:val="24"/>
                <w:szCs w:val="24"/>
              </w:rPr>
              <w:t>18 01 07- Kimikate të tjera nga ato të përmendura në 18 01 06</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167.7</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945"/>
              </w:tabs>
              <w:rPr>
                <w:rFonts w:ascii="Times New Roman" w:eastAsia="Calibri" w:hAnsi="Times New Roman" w:cs="Times New Roman"/>
                <w:sz w:val="24"/>
                <w:szCs w:val="24"/>
              </w:rPr>
            </w:pPr>
            <w:r w:rsidRPr="003A31D9">
              <w:rPr>
                <w:rFonts w:ascii="Times New Roman" w:eastAsia="Calibri" w:hAnsi="Times New Roman" w:cs="Times New Roman"/>
                <w:sz w:val="24"/>
                <w:szCs w:val="24"/>
              </w:rPr>
              <w:t>18 01 09- Medikamente të tjera përveç atyre të përmendura në 18 01 08</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43217.78</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945"/>
              </w:tabs>
              <w:rPr>
                <w:rFonts w:ascii="Times New Roman" w:eastAsia="Calibri" w:hAnsi="Times New Roman" w:cs="Times New Roman"/>
                <w:sz w:val="24"/>
                <w:szCs w:val="24"/>
              </w:rPr>
            </w:pPr>
            <w:r w:rsidRPr="003A31D9">
              <w:rPr>
                <w:rFonts w:ascii="Times New Roman" w:eastAsia="Calibri" w:hAnsi="Times New Roman" w:cs="Times New Roman"/>
                <w:sz w:val="24"/>
                <w:szCs w:val="24"/>
              </w:rPr>
              <w:t>18 02 01-Bisturi, shiringa, instrumente të mprehta (përveç 18 02 02)</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15058.75</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tabs>
                <w:tab w:val="left" w:pos="945"/>
              </w:tabs>
              <w:rPr>
                <w:rFonts w:ascii="Times New Roman" w:eastAsia="Calibri" w:hAnsi="Times New Roman" w:cs="Times New Roman"/>
                <w:sz w:val="24"/>
                <w:szCs w:val="24"/>
              </w:rPr>
            </w:pPr>
            <w:r w:rsidRPr="003A31D9">
              <w:rPr>
                <w:rFonts w:ascii="Times New Roman" w:eastAsia="Calibri" w:hAnsi="Times New Roman" w:cs="Times New Roman"/>
                <w:sz w:val="24"/>
                <w:szCs w:val="24"/>
              </w:rPr>
              <w:t>18 02 01/18 02 02-Bisturi, shiringa, instrumente të mprehta (përveç 18 02 02)/Mbetjet, grumbullimi dhe asgjësimi i të cilave u nënshtrohen kërkesave të veçanta për të parandaluar infeksionet</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ind w:firstLine="720"/>
              <w:jc w:val="right"/>
              <w:rPr>
                <w:rFonts w:ascii="Times New Roman" w:eastAsia="Calibri" w:hAnsi="Times New Roman" w:cs="Times New Roman"/>
                <w:sz w:val="24"/>
                <w:szCs w:val="24"/>
              </w:rPr>
            </w:pPr>
            <w:r w:rsidRPr="003A31D9">
              <w:rPr>
                <w:rFonts w:ascii="Times New Roman" w:eastAsia="Calibri" w:hAnsi="Times New Roman" w:cs="Times New Roman"/>
                <w:sz w:val="24"/>
                <w:szCs w:val="24"/>
              </w:rPr>
              <w:t>72.5</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hAnsi="Times New Roman" w:cs="Times New Roman"/>
                <w:bCs/>
                <w:color w:val="000000"/>
                <w:sz w:val="24"/>
                <w:szCs w:val="24"/>
              </w:rPr>
            </w:pPr>
            <w:r w:rsidRPr="003A31D9">
              <w:rPr>
                <w:rFonts w:ascii="Times New Roman" w:eastAsia="Calibri" w:hAnsi="Times New Roman" w:cs="Times New Roman"/>
                <w:bCs/>
                <w:color w:val="000000"/>
                <w:sz w:val="24"/>
                <w:szCs w:val="24"/>
              </w:rPr>
              <w:t>19 01 12-Hira fundore dhe numra, të tjera nga ato të përmendura në 19 01 11</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spacing w:after="0" w:line="240" w:lineRule="auto"/>
              <w:ind w:left="900"/>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5100</w:t>
            </w:r>
          </w:p>
        </w:tc>
      </w:tr>
      <w:tr w:rsidR="003A31D9" w:rsidRPr="003A31D9" w:rsidTr="003A31D9">
        <w:trPr>
          <w:trHeight w:val="62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 xml:space="preserve">16 05 09-Kimikate të skaduara, të tjera nga ato të përmendura në 16 05 06, 16 05 07 dhe 16 05 08 </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340</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16 06 05-Bateri dhe akumulatorë të tjerë</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24373</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lastRenderedPageBreak/>
              <w:t>15 01 04/15 01 10- Mbetje ambalazhi metalike/Mbetje ambalazhi që përmbajnë ose janë të kontaminuara me substanca të rrezikshme</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7210</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18 01 01/18 01 02/18 01 03- Bisturitë, shiringa, instrumente të mprehta (përveç 18 01 03)/ Pjesë të trupit dhe organe, përfshirë qeset e gjakut dhe rezervat e gjakut dhe rezervat e gjakut (përveç 18 01 03)/ Mbetjet, grumbullimi dhe asgjësimi i të cilave u nënshtrohen kërkesave të veçanta për të parandaluar infeksionet</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29.8</w:t>
            </w:r>
          </w:p>
          <w:p w:rsidR="003A31D9" w:rsidRPr="003A31D9" w:rsidRDefault="003A31D9" w:rsidP="003A31D9">
            <w:pPr>
              <w:jc w:val="right"/>
              <w:rPr>
                <w:rFonts w:ascii="Times New Roman" w:eastAsia="Calibri" w:hAnsi="Times New Roman" w:cs="Times New Roman"/>
                <w:bCs/>
                <w:sz w:val="24"/>
                <w:szCs w:val="24"/>
              </w:rPr>
            </w:pP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18 01 01/18 02 01- Bisturitë, shiringa, instrumente të mprehta (përveç 18 01 03)/ Bisturi, shiringa, instrumente të mprehta (përveç 18 02 02)</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95588.1</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16 06 02-Bateri Ni-Cd</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24170</w:t>
            </w:r>
          </w:p>
        </w:tc>
      </w:tr>
      <w:tr w:rsidR="003A31D9" w:rsidRPr="003A31D9" w:rsidTr="003A31D9">
        <w:trPr>
          <w:trHeight w:val="458"/>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04 01 14 - Llumra nga bojërat dhe llaqet, të tjera nga ato të përmendura në 08 01 13</w:t>
            </w:r>
          </w:p>
        </w:tc>
        <w:tc>
          <w:tcPr>
            <w:tcW w:w="216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jc w:val="right"/>
              <w:rPr>
                <w:rFonts w:ascii="Times New Roman" w:eastAsia="Calibri" w:hAnsi="Times New Roman" w:cs="Times New Roman"/>
                <w:sz w:val="24"/>
                <w:szCs w:val="24"/>
              </w:rPr>
            </w:pPr>
            <w:r w:rsidRPr="003A31D9">
              <w:rPr>
                <w:rFonts w:ascii="Times New Roman" w:eastAsia="Calibri" w:hAnsi="Times New Roman" w:cs="Times New Roman"/>
                <w:sz w:val="24"/>
                <w:szCs w:val="24"/>
              </w:rPr>
              <w:t>1</w:t>
            </w:r>
          </w:p>
        </w:tc>
      </w:tr>
      <w:tr w:rsidR="003A31D9" w:rsidRPr="003A31D9" w:rsidTr="003A31D9">
        <w:trPr>
          <w:trHeight w:val="620"/>
        </w:trPr>
        <w:tc>
          <w:tcPr>
            <w:tcW w:w="8280" w:type="dxa"/>
            <w:tcBorders>
              <w:top w:val="single" w:sz="4" w:space="0" w:color="auto"/>
              <w:left w:val="single" w:sz="4" w:space="0" w:color="auto"/>
              <w:bottom w:val="single" w:sz="4" w:space="0" w:color="auto"/>
              <w:right w:val="single" w:sz="4" w:space="0" w:color="auto"/>
            </w:tcBorders>
            <w:hideMark/>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16 02 16-Komponentë të rrezikshëm të hequra nga pajisjet skarco, të tjerë nga ata të përmendur në 16 02 15</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649.385</w:t>
            </w:r>
          </w:p>
        </w:tc>
      </w:tr>
      <w:tr w:rsidR="003A31D9" w:rsidRPr="003A31D9" w:rsidTr="003A31D9">
        <w:trPr>
          <w:trHeight w:val="602"/>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19 02 03-Mbetje të përziera paraprakisht, të kompozuara vetëm nga mbetje të parrezikshme</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3980</w:t>
            </w:r>
          </w:p>
        </w:tc>
      </w:tr>
      <w:tr w:rsidR="003A31D9" w:rsidRPr="003A31D9" w:rsidTr="003A31D9">
        <w:trPr>
          <w:trHeight w:val="368"/>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17 04 10-Kabllo që përmbajnë naftë, bitum apo substanca të tjera të rrezikshme</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485</w:t>
            </w:r>
          </w:p>
        </w:tc>
      </w:tr>
      <w:tr w:rsidR="003A31D9" w:rsidRPr="003A31D9" w:rsidTr="003A31D9">
        <w:trPr>
          <w:trHeight w:val="602"/>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01 11/04 02 22- Tekstilet/Mbetje që vijnë nga veshjet dhe lustrimet/ Mbetje të fibrave tekstile të përpunuara</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1170</w:t>
            </w:r>
          </w:p>
        </w:tc>
      </w:tr>
      <w:tr w:rsidR="003A31D9" w:rsidRPr="003A31D9" w:rsidTr="003A31D9">
        <w:trPr>
          <w:trHeight w:val="377"/>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19 10 02-Mbetje joferrore</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14130</w:t>
            </w:r>
          </w:p>
        </w:tc>
      </w:tr>
      <w:tr w:rsidR="003A31D9" w:rsidRPr="003A31D9" w:rsidTr="003A31D9">
        <w:trPr>
          <w:trHeight w:val="287"/>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12 01 02-Pluhur dhe pjesë të imëta të metaleve ferrore</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21960</w:t>
            </w:r>
          </w:p>
        </w:tc>
      </w:tr>
      <w:tr w:rsidR="003A31D9" w:rsidRPr="003A31D9" w:rsidTr="003A31D9">
        <w:trPr>
          <w:trHeight w:val="287"/>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17 01 01/16 01 03-Beton/Goma jashtë përdorimit</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Calibri" w:eastAsia="Calibri" w:hAnsi="Calibri" w:cs="Calibri"/>
                <w:color w:val="000000"/>
              </w:rPr>
              <w:t>46400</w:t>
            </w:r>
          </w:p>
        </w:tc>
      </w:tr>
      <w:tr w:rsidR="003A31D9" w:rsidRPr="003A31D9" w:rsidTr="003A31D9">
        <w:trPr>
          <w:trHeight w:val="287"/>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sz w:val="24"/>
                <w:szCs w:val="24"/>
              </w:rPr>
              <w:t>20 01 01/16 01 19-Leter dhe karton/plastika</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Calibri" w:eastAsia="Calibri" w:hAnsi="Calibri" w:cs="Calibri"/>
                <w:color w:val="000000"/>
              </w:rPr>
            </w:pPr>
            <w:r w:rsidRPr="003A31D9">
              <w:rPr>
                <w:rFonts w:ascii="Calibri" w:eastAsia="Calibri" w:hAnsi="Calibri" w:cs="Calibri"/>
                <w:color w:val="000000"/>
              </w:rPr>
              <w:t>26678</w:t>
            </w:r>
          </w:p>
        </w:tc>
      </w:tr>
      <w:tr w:rsidR="003A31D9" w:rsidRPr="003A31D9" w:rsidTr="003A31D9">
        <w:trPr>
          <w:trHeight w:val="575"/>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color w:val="000000"/>
                <w:sz w:val="24"/>
                <w:szCs w:val="24"/>
              </w:rPr>
            </w:pPr>
            <w:r w:rsidRPr="003A31D9">
              <w:rPr>
                <w:rFonts w:ascii="Times New Roman" w:eastAsia="Calibri" w:hAnsi="Times New Roman" w:cs="Times New Roman"/>
                <w:bCs/>
                <w:color w:val="000000"/>
                <w:sz w:val="24"/>
                <w:szCs w:val="24"/>
              </w:rPr>
              <w:t>19 08 14- Llumra nga trajtime të tjera të ujërave të ndotura industriale të tjera nga ato të përmendura në 19 08 13</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27840</w:t>
            </w:r>
          </w:p>
        </w:tc>
      </w:tr>
      <w:tr w:rsidR="003A31D9" w:rsidRPr="003A31D9" w:rsidTr="003A31D9">
        <w:trPr>
          <w:trHeight w:val="287"/>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color w:val="000000"/>
                <w:sz w:val="24"/>
                <w:szCs w:val="24"/>
              </w:rPr>
            </w:pPr>
            <w:r w:rsidRPr="003A31D9">
              <w:rPr>
                <w:rFonts w:ascii="Times New Roman" w:eastAsia="Calibri" w:hAnsi="Times New Roman" w:cs="Times New Roman"/>
                <w:bCs/>
                <w:color w:val="000000"/>
                <w:sz w:val="24"/>
                <w:szCs w:val="24"/>
              </w:rPr>
              <w:t>02 02 03 /  02 03 04  -Materiale të papërshtatshme për konsum apo për përpunim/Lëndë të papërshtatshme për konsum apo përpunim</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8961.9</w:t>
            </w:r>
          </w:p>
        </w:tc>
      </w:tr>
      <w:tr w:rsidR="003A31D9" w:rsidRPr="003A31D9" w:rsidTr="003A31D9">
        <w:trPr>
          <w:trHeight w:val="287"/>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color w:val="000000"/>
                <w:sz w:val="24"/>
                <w:szCs w:val="24"/>
              </w:rPr>
            </w:pPr>
            <w:r w:rsidRPr="003A31D9">
              <w:rPr>
                <w:rFonts w:ascii="Times New Roman" w:eastAsia="Calibri" w:hAnsi="Times New Roman" w:cs="Times New Roman"/>
                <w:bCs/>
                <w:color w:val="000000"/>
                <w:sz w:val="24"/>
                <w:szCs w:val="24"/>
              </w:rPr>
              <w:t>04 02 09-Materiale të përziera (tekstile të imprenjuara, elastomere, plastomere)</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1980</w:t>
            </w:r>
          </w:p>
        </w:tc>
      </w:tr>
      <w:tr w:rsidR="003A31D9" w:rsidRPr="003A31D9" w:rsidTr="003A31D9">
        <w:trPr>
          <w:trHeight w:val="287"/>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color w:val="000000"/>
                <w:sz w:val="24"/>
                <w:szCs w:val="24"/>
              </w:rPr>
            </w:pPr>
            <w:r w:rsidRPr="003A31D9">
              <w:rPr>
                <w:rFonts w:ascii="Times New Roman" w:eastAsia="Calibri" w:hAnsi="Times New Roman" w:cs="Times New Roman"/>
                <w:bCs/>
                <w:color w:val="000000"/>
                <w:sz w:val="24"/>
                <w:szCs w:val="24"/>
              </w:rPr>
              <w:t>15 01 01/15 01 07/15 01 02/ 15 01 06/20 01 39-Mbetje ambalazhi letre dhe kartoni</w:t>
            </w:r>
            <w:r w:rsidRPr="003A31D9">
              <w:rPr>
                <w:rFonts w:ascii="Times New Roman" w:eastAsia="Calibri" w:hAnsi="Times New Roman" w:cs="Times New Roman"/>
                <w:bCs/>
                <w:color w:val="000000"/>
                <w:sz w:val="24"/>
                <w:szCs w:val="24"/>
              </w:rPr>
              <w:br/>
              <w:t>15 01 02 Mbetje ambalazhi plastike, Mbetje ambalazhi, Mbetje ambalazhi qelqi/Plastiket</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72400</w:t>
            </w:r>
          </w:p>
          <w:p w:rsidR="003A31D9" w:rsidRPr="003A31D9" w:rsidRDefault="003A31D9" w:rsidP="003A31D9">
            <w:pPr>
              <w:jc w:val="right"/>
              <w:rPr>
                <w:rFonts w:ascii="Times New Roman" w:eastAsia="Calibri" w:hAnsi="Times New Roman" w:cs="Times New Roman"/>
                <w:color w:val="000000"/>
                <w:sz w:val="24"/>
                <w:szCs w:val="24"/>
              </w:rPr>
            </w:pPr>
          </w:p>
        </w:tc>
      </w:tr>
      <w:tr w:rsidR="003A31D9" w:rsidRPr="003A31D9" w:rsidTr="003A31D9">
        <w:trPr>
          <w:trHeight w:val="287"/>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color w:val="000000"/>
                <w:sz w:val="24"/>
                <w:szCs w:val="24"/>
              </w:rPr>
            </w:pPr>
            <w:r w:rsidRPr="003A31D9">
              <w:rPr>
                <w:rFonts w:ascii="Times New Roman" w:eastAsia="Calibri" w:hAnsi="Times New Roman" w:cs="Times New Roman"/>
                <w:bCs/>
                <w:color w:val="000000"/>
                <w:sz w:val="24"/>
                <w:szCs w:val="24"/>
              </w:rPr>
              <w:t>02 01 02-Mbetje nga indet e kafshëve</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94.2</w:t>
            </w:r>
          </w:p>
        </w:tc>
      </w:tr>
      <w:tr w:rsidR="003A31D9" w:rsidRPr="003A31D9" w:rsidTr="003A31D9">
        <w:trPr>
          <w:trHeight w:val="638"/>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color w:val="000000"/>
                <w:sz w:val="24"/>
                <w:szCs w:val="24"/>
              </w:rPr>
            </w:pPr>
            <w:r w:rsidRPr="003A31D9">
              <w:rPr>
                <w:rFonts w:ascii="Times New Roman" w:eastAsia="Calibri" w:hAnsi="Times New Roman" w:cs="Times New Roman"/>
                <w:bCs/>
                <w:color w:val="000000"/>
                <w:sz w:val="24"/>
                <w:szCs w:val="24"/>
              </w:rPr>
              <w:t>20 01 08/ 20 01 39-Mbetje të biodegradueshme nga kuzhinat dhe mensat/ mbetje urbane te paspecifikuara</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1078</w:t>
            </w:r>
          </w:p>
        </w:tc>
      </w:tr>
      <w:tr w:rsidR="003A31D9" w:rsidRPr="003A31D9" w:rsidTr="003A31D9">
        <w:trPr>
          <w:trHeight w:val="287"/>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color w:val="000000"/>
                <w:sz w:val="24"/>
                <w:szCs w:val="24"/>
              </w:rPr>
            </w:pPr>
            <w:r w:rsidRPr="003A31D9">
              <w:rPr>
                <w:rFonts w:ascii="Times New Roman" w:eastAsia="Calibri" w:hAnsi="Times New Roman" w:cs="Times New Roman"/>
                <w:bCs/>
                <w:color w:val="000000"/>
                <w:sz w:val="24"/>
                <w:szCs w:val="24"/>
              </w:rPr>
              <w:lastRenderedPageBreak/>
              <w:t>01 04 08/08 04 10-Mbetje zhavorri dhe mbetje gurësh të tjera nga ato të përmendura në 01 04 07/Mbetje të ngjitësve dhe stukove të tjera nga ato të përmendura në 08 04 09</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18070</w:t>
            </w:r>
          </w:p>
        </w:tc>
      </w:tr>
      <w:tr w:rsidR="003A31D9" w:rsidRPr="003A31D9" w:rsidTr="003A31D9">
        <w:trPr>
          <w:trHeight w:val="287"/>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sz w:val="24"/>
                <w:szCs w:val="24"/>
              </w:rPr>
            </w:pPr>
            <w:r w:rsidRPr="003A31D9">
              <w:rPr>
                <w:rFonts w:ascii="Times New Roman" w:eastAsia="Calibri" w:hAnsi="Times New Roman" w:cs="Times New Roman"/>
                <w:bCs/>
                <w:color w:val="000000"/>
                <w:sz w:val="24"/>
                <w:szCs w:val="24"/>
              </w:rPr>
              <w:t>16 01 17/16 01 19/ 16 01 12-Metale ferrore/ Metale joferrore/Plastika</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1513.3</w:t>
            </w:r>
          </w:p>
        </w:tc>
      </w:tr>
      <w:tr w:rsidR="003A31D9" w:rsidRPr="003A31D9" w:rsidTr="003A31D9">
        <w:trPr>
          <w:trHeight w:val="287"/>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color w:val="000000"/>
                <w:sz w:val="24"/>
                <w:szCs w:val="24"/>
              </w:rPr>
            </w:pPr>
            <w:r w:rsidRPr="003A31D9">
              <w:rPr>
                <w:rFonts w:ascii="Times New Roman" w:eastAsia="Calibri" w:hAnsi="Times New Roman" w:cs="Times New Roman"/>
                <w:bCs/>
                <w:color w:val="000000"/>
                <w:sz w:val="24"/>
                <w:szCs w:val="24"/>
              </w:rPr>
              <w:t>16 01 19/16 01 03-Plastike/Goma jashtë përdorimit</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700</w:t>
            </w:r>
          </w:p>
        </w:tc>
      </w:tr>
      <w:tr w:rsidR="003A31D9" w:rsidRPr="003A31D9" w:rsidTr="003A31D9">
        <w:trPr>
          <w:trHeight w:val="287"/>
        </w:trPr>
        <w:tc>
          <w:tcPr>
            <w:tcW w:w="828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rPr>
                <w:rFonts w:ascii="Times New Roman" w:eastAsia="Calibri" w:hAnsi="Times New Roman" w:cs="Times New Roman"/>
                <w:bCs/>
                <w:color w:val="000000"/>
                <w:sz w:val="24"/>
                <w:szCs w:val="24"/>
              </w:rPr>
            </w:pPr>
            <w:r w:rsidRPr="003A31D9">
              <w:rPr>
                <w:rFonts w:ascii="Times New Roman" w:eastAsia="Calibri" w:hAnsi="Times New Roman" w:cs="Times New Roman"/>
                <w:bCs/>
                <w:color w:val="000000"/>
                <w:sz w:val="24"/>
                <w:szCs w:val="24"/>
              </w:rPr>
              <w:t>12 01 01-Tallash të metaleve ferrore/20 01 01 -Letër dhe karton/20 01 39 Plastikë</w:t>
            </w:r>
          </w:p>
        </w:tc>
        <w:tc>
          <w:tcPr>
            <w:tcW w:w="2160" w:type="dxa"/>
            <w:tcBorders>
              <w:top w:val="single" w:sz="4" w:space="0" w:color="auto"/>
              <w:left w:val="single" w:sz="4" w:space="0" w:color="auto"/>
              <w:bottom w:val="single" w:sz="4" w:space="0" w:color="auto"/>
              <w:right w:val="single" w:sz="4" w:space="0" w:color="auto"/>
            </w:tcBorders>
          </w:tcPr>
          <w:p w:rsidR="003A31D9" w:rsidRPr="003A31D9" w:rsidRDefault="003A31D9" w:rsidP="003A31D9">
            <w:pPr>
              <w:jc w:val="right"/>
              <w:rPr>
                <w:rFonts w:ascii="Times New Roman" w:eastAsia="Calibri" w:hAnsi="Times New Roman" w:cs="Times New Roman"/>
                <w:color w:val="000000"/>
                <w:sz w:val="24"/>
                <w:szCs w:val="24"/>
              </w:rPr>
            </w:pPr>
            <w:r w:rsidRPr="003A31D9">
              <w:rPr>
                <w:rFonts w:ascii="Times New Roman" w:eastAsia="Calibri" w:hAnsi="Times New Roman" w:cs="Times New Roman"/>
                <w:color w:val="000000"/>
                <w:sz w:val="24"/>
                <w:szCs w:val="24"/>
              </w:rPr>
              <w:t>16630</w:t>
            </w:r>
          </w:p>
        </w:tc>
      </w:tr>
    </w:tbl>
    <w:p w:rsidR="00EB61BF" w:rsidRDefault="00EB61BF" w:rsidP="00963BAC">
      <w:pPr>
        <w:spacing w:after="0" w:line="240" w:lineRule="auto"/>
        <w:rPr>
          <w:sz w:val="24"/>
          <w:szCs w:val="24"/>
        </w:rPr>
      </w:pPr>
    </w:p>
    <w:p w:rsidR="000B7599" w:rsidRDefault="000B7599" w:rsidP="000B7599">
      <w:pPr>
        <w:widowControl w:val="0"/>
        <w:autoSpaceDE w:val="0"/>
        <w:autoSpaceDN w:val="0"/>
        <w:spacing w:after="0" w:line="240" w:lineRule="auto"/>
        <w:ind w:right="1119"/>
        <w:jc w:val="both"/>
        <w:rPr>
          <w:rFonts w:ascii="Times New Roman" w:eastAsia="Times New Roman" w:hAnsi="Times New Roman" w:cs="Times New Roman"/>
          <w:sz w:val="24"/>
          <w:szCs w:val="24"/>
          <w:lang w:val="sq-AL"/>
        </w:rPr>
      </w:pPr>
    </w:p>
    <w:p w:rsidR="004A74BB" w:rsidRDefault="000B7599" w:rsidP="00BA3F62">
      <w:pPr>
        <w:rPr>
          <w:rFonts w:ascii="Times New Roman" w:hAnsi="Times New Roman" w:cs="Times New Roman"/>
          <w:lang w:val="sq-AL"/>
        </w:rPr>
      </w:pPr>
      <w:r w:rsidRPr="00BA3F62">
        <w:rPr>
          <w:rFonts w:ascii="Times New Roman" w:eastAsia="Times New Roman" w:hAnsi="Times New Roman" w:cs="Times New Roman"/>
          <w:sz w:val="24"/>
          <w:szCs w:val="24"/>
          <w:lang w:val="sq-AL"/>
        </w:rPr>
        <w:t>Tabela</w:t>
      </w:r>
      <w:r w:rsidR="00B24E99">
        <w:rPr>
          <w:rFonts w:ascii="Times New Roman" w:eastAsia="Times New Roman" w:hAnsi="Times New Roman" w:cs="Times New Roman"/>
          <w:sz w:val="24"/>
          <w:szCs w:val="24"/>
          <w:lang w:val="sq-AL"/>
        </w:rPr>
        <w:t xml:space="preserve"> 8</w:t>
      </w:r>
      <w:r w:rsidR="003A31D9">
        <w:rPr>
          <w:rFonts w:ascii="Times New Roman" w:eastAsia="Times New Roman" w:hAnsi="Times New Roman" w:cs="Times New Roman"/>
          <w:sz w:val="24"/>
          <w:szCs w:val="24"/>
          <w:lang w:val="sq-AL"/>
        </w:rPr>
        <w:t>5</w:t>
      </w:r>
      <w:r w:rsidRPr="00BA3F62">
        <w:rPr>
          <w:rFonts w:ascii="Times New Roman" w:eastAsia="Times New Roman" w:hAnsi="Times New Roman" w:cs="Times New Roman"/>
          <w:spacing w:val="-3"/>
          <w:sz w:val="24"/>
          <w:szCs w:val="24"/>
          <w:lang w:val="sq-AL"/>
        </w:rPr>
        <w:t xml:space="preserve"> </w:t>
      </w:r>
      <w:r w:rsidRPr="00BA3F62">
        <w:rPr>
          <w:rFonts w:ascii="Times New Roman" w:eastAsia="Times New Roman" w:hAnsi="Times New Roman" w:cs="Times New Roman"/>
          <w:sz w:val="24"/>
          <w:szCs w:val="24"/>
          <w:lang w:val="sq-AL"/>
        </w:rPr>
        <w:t>.</w:t>
      </w:r>
      <w:r w:rsidRPr="00BA3F62">
        <w:rPr>
          <w:rFonts w:ascii="Times New Roman" w:eastAsia="Times New Roman" w:hAnsi="Times New Roman" w:cs="Times New Roman"/>
          <w:spacing w:val="-5"/>
          <w:sz w:val="24"/>
          <w:szCs w:val="24"/>
          <w:lang w:val="sq-AL"/>
        </w:rPr>
        <w:t xml:space="preserve"> </w:t>
      </w:r>
      <w:r w:rsidRPr="00BA3F62">
        <w:rPr>
          <w:rFonts w:ascii="Times New Roman" w:hAnsi="Times New Roman" w:cs="Times New Roman"/>
          <w:lang w:val="sq-AL"/>
        </w:rPr>
        <w:t xml:space="preserve">Transferimi i mbetjeve </w:t>
      </w:r>
      <w:r w:rsidRPr="00BA3F62">
        <w:rPr>
          <w:rFonts w:ascii="Times New Roman" w:hAnsi="Times New Roman" w:cs="Times New Roman"/>
        </w:rPr>
        <w:t xml:space="preserve"> të rrezikshme </w:t>
      </w:r>
      <w:r w:rsidRPr="00BA3F62">
        <w:rPr>
          <w:rFonts w:ascii="Times New Roman" w:hAnsi="Times New Roman" w:cs="Times New Roman"/>
          <w:lang w:val="sq-AL"/>
        </w:rPr>
        <w:t xml:space="preserve"> nga subjekte të pajisur</w:t>
      </w:r>
      <w:r w:rsidRPr="00BA3F62">
        <w:rPr>
          <w:rFonts w:ascii="Times New Roman" w:hAnsi="Times New Roman" w:cs="Times New Roman"/>
        </w:rPr>
        <w:t xml:space="preserve"> </w:t>
      </w:r>
      <w:r w:rsidRPr="00BA3F62">
        <w:rPr>
          <w:rFonts w:ascii="Times New Roman" w:hAnsi="Times New Roman" w:cs="Times New Roman"/>
          <w:lang w:val="sq-AL"/>
        </w:rPr>
        <w:t>me Kod Unik, 2025</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6"/>
        <w:gridCol w:w="2249"/>
      </w:tblGrid>
      <w:tr w:rsidR="003A31D9" w:rsidRPr="00357C2F" w:rsidTr="003A31D9">
        <w:trPr>
          <w:trHeight w:val="60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Mbetje të rrezikshme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eastAsia="Calibri" w:hAnsi="Times New Roman" w:cs="Times New Roman"/>
                <w:b/>
                <w:sz w:val="24"/>
                <w:szCs w:val="24"/>
              </w:rPr>
            </w:pPr>
            <w:r w:rsidRPr="00357C2F">
              <w:rPr>
                <w:rFonts w:ascii="Times New Roman" w:eastAsia="Calibri" w:hAnsi="Times New Roman" w:cs="Times New Roman"/>
                <w:b/>
                <w:sz w:val="24"/>
                <w:szCs w:val="24"/>
              </w:rPr>
              <w:t>Sasia total në kg</w:t>
            </w:r>
          </w:p>
        </w:tc>
      </w:tr>
      <w:tr w:rsidR="003A31D9" w:rsidRPr="00357C2F" w:rsidTr="003A31D9">
        <w:trPr>
          <w:trHeight w:val="350"/>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sz w:val="24"/>
                <w:szCs w:val="24"/>
              </w:rPr>
            </w:pPr>
            <w:r>
              <w:rPr>
                <w:rFonts w:ascii="Times New Roman" w:eastAsia="Calibri" w:hAnsi="Times New Roman" w:cs="Times New Roman"/>
                <w:sz w:val="24"/>
                <w:szCs w:val="24"/>
              </w:rPr>
              <w:t>16 06 01* - Bateri plumbi</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1092330</w:t>
            </w:r>
          </w:p>
          <w:p w:rsidR="003A31D9" w:rsidRPr="00357C2F" w:rsidRDefault="003A31D9" w:rsidP="003A31D9">
            <w:pPr>
              <w:jc w:val="right"/>
              <w:rPr>
                <w:rFonts w:ascii="Times New Roman" w:eastAsia="Calibri" w:hAnsi="Times New Roman" w:cs="Times New Roman"/>
                <w:sz w:val="24"/>
                <w:szCs w:val="24"/>
              </w:rPr>
            </w:pPr>
          </w:p>
        </w:tc>
      </w:tr>
      <w:tr w:rsidR="003A31D9" w:rsidRPr="00357C2F" w:rsidTr="003A31D9">
        <w:trPr>
          <w:trHeight w:val="33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05 01 03*-Llumra të fundit të depozitave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ind w:firstLine="720"/>
              <w:jc w:val="right"/>
              <w:rPr>
                <w:rFonts w:ascii="Times New Roman" w:eastAsia="Calibri" w:hAnsi="Times New Roman" w:cs="Times New Roman"/>
                <w:sz w:val="24"/>
                <w:szCs w:val="24"/>
              </w:rPr>
            </w:pPr>
            <w:r w:rsidRPr="00357C2F">
              <w:rPr>
                <w:rFonts w:ascii="Times New Roman" w:eastAsia="Calibri" w:hAnsi="Times New Roman" w:cs="Times New Roman"/>
                <w:sz w:val="24"/>
                <w:szCs w:val="24"/>
              </w:rPr>
              <w:t>8733140</w:t>
            </w:r>
          </w:p>
        </w:tc>
      </w:tr>
      <w:tr w:rsidR="003A31D9" w:rsidRPr="00357C2F" w:rsidTr="003A31D9">
        <w:trPr>
          <w:trHeight w:val="323"/>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13 05 02*-Llumra nga seperatorët ujë/naftë</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ind w:firstLine="720"/>
              <w:jc w:val="right"/>
              <w:rPr>
                <w:rFonts w:ascii="Times New Roman" w:eastAsia="Calibri" w:hAnsi="Times New Roman" w:cs="Times New Roman"/>
                <w:sz w:val="24"/>
                <w:szCs w:val="24"/>
              </w:rPr>
            </w:pPr>
            <w:r w:rsidRPr="00357C2F">
              <w:rPr>
                <w:rFonts w:ascii="Times New Roman" w:eastAsia="Calibri" w:hAnsi="Times New Roman" w:cs="Times New Roman"/>
                <w:sz w:val="24"/>
                <w:szCs w:val="24"/>
              </w:rPr>
              <w:t>1402440</w:t>
            </w:r>
          </w:p>
        </w:tc>
      </w:tr>
      <w:tr w:rsidR="003A31D9" w:rsidRPr="00357C2F" w:rsidTr="003A31D9">
        <w:trPr>
          <w:trHeight w:val="395"/>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13 08 02* - Emulsione të tjerë</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ind w:firstLine="720"/>
              <w:jc w:val="right"/>
              <w:rPr>
                <w:rFonts w:ascii="Times New Roman" w:eastAsia="Calibri" w:hAnsi="Times New Roman" w:cs="Times New Roman"/>
                <w:sz w:val="24"/>
                <w:szCs w:val="24"/>
              </w:rPr>
            </w:pPr>
            <w:r w:rsidRPr="00357C2F">
              <w:rPr>
                <w:rFonts w:ascii="Times New Roman" w:eastAsia="Calibri" w:hAnsi="Times New Roman" w:cs="Times New Roman"/>
                <w:sz w:val="24"/>
                <w:szCs w:val="24"/>
              </w:rPr>
              <w:t>16110710</w:t>
            </w:r>
          </w:p>
        </w:tc>
      </w:tr>
      <w:tr w:rsidR="003A31D9" w:rsidRPr="00357C2F" w:rsidTr="003A31D9">
        <w:trPr>
          <w:trHeight w:val="368"/>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13 02 06* -Vaj sintetik motori, ingranazhi dhe lubrifikues</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1076035</w:t>
            </w:r>
          </w:p>
        </w:tc>
      </w:tr>
      <w:tr w:rsidR="003A31D9" w:rsidRPr="00357C2F" w:rsidTr="003A31D9">
        <w:trPr>
          <w:trHeight w:val="620"/>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18 01 03*- Mbetjet, grumbullimi dhe asgjësimi i të cilave u nënshtrohen kërkesave të veçanta për të parandaluar infeksionet</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1421140.96</w:t>
            </w:r>
          </w:p>
        </w:tc>
      </w:tr>
      <w:tr w:rsidR="003A31D9" w:rsidRPr="00357C2F" w:rsidTr="003A31D9">
        <w:trPr>
          <w:trHeight w:val="458"/>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18 01 08* -Medikamente citostatike dhe citotoksike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7757.97</w:t>
            </w:r>
          </w:p>
        </w:tc>
      </w:tr>
      <w:tr w:rsidR="003A31D9" w:rsidRPr="00357C2F" w:rsidTr="003A31D9">
        <w:trPr>
          <w:trHeight w:val="647"/>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18 02 02*- Mbetjet, grumbullimi dhe asgjësimi i të cilave u nënshtrohen kërkesave të veçanta për të parandaluar infeksionet</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5065.5</w:t>
            </w:r>
          </w:p>
        </w:tc>
      </w:tr>
      <w:tr w:rsidR="003A31D9" w:rsidRPr="00357C2F" w:rsidTr="003A31D9">
        <w:trPr>
          <w:trHeight w:val="60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01 05 06*-Baltë dhe mbetje të tjera nga shpimet që përmbajnë substanca të rrezikshme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3533080</w:t>
            </w:r>
          </w:p>
        </w:tc>
      </w:tr>
      <w:tr w:rsidR="003A31D9" w:rsidRPr="00357C2F" w:rsidTr="003A31D9">
        <w:trPr>
          <w:trHeight w:val="350"/>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16 07 08*-Mbetje që kanë naftë</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ind w:firstLine="720"/>
              <w:jc w:val="right"/>
              <w:rPr>
                <w:rFonts w:ascii="Times New Roman" w:eastAsia="Calibri" w:hAnsi="Times New Roman" w:cs="Times New Roman"/>
                <w:sz w:val="24"/>
                <w:szCs w:val="24"/>
              </w:rPr>
            </w:pPr>
            <w:r w:rsidRPr="00357C2F">
              <w:rPr>
                <w:rFonts w:ascii="Times New Roman" w:eastAsia="Calibri" w:hAnsi="Times New Roman" w:cs="Times New Roman"/>
                <w:sz w:val="24"/>
                <w:szCs w:val="24"/>
              </w:rPr>
              <w:t>650</w:t>
            </w:r>
          </w:p>
        </w:tc>
      </w:tr>
      <w:tr w:rsidR="003A31D9" w:rsidRPr="00357C2F" w:rsidTr="003A31D9">
        <w:trPr>
          <w:trHeight w:val="620"/>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10 12 09/13 02 06*-Mbetje të ngurta nga trajtimet e gazeve, që përmbajnë substanca të rrezikshme/Vaj sintetik motori, ingranazhi dhe lubrifikues</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ind w:firstLine="720"/>
              <w:jc w:val="right"/>
              <w:rPr>
                <w:rFonts w:ascii="Times New Roman" w:eastAsia="Calibri" w:hAnsi="Times New Roman" w:cs="Times New Roman"/>
                <w:sz w:val="24"/>
                <w:szCs w:val="24"/>
              </w:rPr>
            </w:pPr>
            <w:r w:rsidRPr="00357C2F">
              <w:rPr>
                <w:rFonts w:ascii="Times New Roman" w:eastAsia="Calibri" w:hAnsi="Times New Roman" w:cs="Times New Roman"/>
                <w:sz w:val="24"/>
                <w:szCs w:val="24"/>
              </w:rPr>
              <w:t>720</w:t>
            </w:r>
          </w:p>
        </w:tc>
      </w:tr>
      <w:tr w:rsidR="003A31D9" w:rsidRPr="00357C2F" w:rsidTr="003A31D9">
        <w:trPr>
          <w:trHeight w:val="377"/>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20 01 29*-Detergjent që përmbajnë substanca të rrezikshme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6026</w:t>
            </w:r>
          </w:p>
        </w:tc>
      </w:tr>
      <w:tr w:rsidR="003A31D9" w:rsidRPr="00357C2F" w:rsidTr="003A31D9">
        <w:trPr>
          <w:trHeight w:val="368"/>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16 01 07*-Filtra vaji, naftë</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625919</w:t>
            </w:r>
          </w:p>
        </w:tc>
      </w:tr>
      <w:tr w:rsidR="003A31D9" w:rsidRPr="00357C2F" w:rsidTr="003A31D9">
        <w:trPr>
          <w:trHeight w:val="485"/>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bCs/>
                <w:sz w:val="24"/>
                <w:szCs w:val="24"/>
              </w:rPr>
            </w:pPr>
            <w:r>
              <w:rPr>
                <w:rFonts w:ascii="Times New Roman" w:eastAsia="Calibri" w:hAnsi="Times New Roman" w:cs="Times New Roman"/>
                <w:bCs/>
                <w:sz w:val="24"/>
                <w:szCs w:val="24"/>
              </w:rPr>
              <w:t>19 01 13*-Hi fluturues që përmban substanca të rrezikshme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42018.7</w:t>
            </w:r>
          </w:p>
        </w:tc>
      </w:tr>
      <w:tr w:rsidR="003A31D9" w:rsidRPr="00357C2F" w:rsidTr="003A31D9">
        <w:trPr>
          <w:trHeight w:val="890"/>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bCs/>
                <w:sz w:val="24"/>
                <w:szCs w:val="24"/>
              </w:rPr>
            </w:pPr>
            <w:r w:rsidRPr="00A649F6">
              <w:rPr>
                <w:rFonts w:ascii="Times New Roman" w:eastAsia="Calibri" w:hAnsi="Times New Roman" w:cs="Times New Roman"/>
                <w:bCs/>
                <w:sz w:val="24"/>
                <w:szCs w:val="24"/>
              </w:rPr>
              <w:lastRenderedPageBreak/>
              <w:t>15 02 02 */ 16 01 07*-Absorbente, material filtrues (duke përfshirë filtra naftë të paspecifikuar) dhe rroba mbrojtëse të kontaminuara nga  astrami  /   Filtra vaji, naftë</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13220</w:t>
            </w:r>
          </w:p>
          <w:p w:rsidR="003A31D9" w:rsidRPr="00357C2F" w:rsidRDefault="003A31D9" w:rsidP="003A31D9">
            <w:pPr>
              <w:ind w:firstLine="720"/>
              <w:jc w:val="right"/>
              <w:rPr>
                <w:rFonts w:ascii="Times New Roman" w:eastAsia="Calibri" w:hAnsi="Times New Roman" w:cs="Times New Roman"/>
                <w:sz w:val="24"/>
                <w:szCs w:val="24"/>
              </w:rPr>
            </w:pPr>
          </w:p>
        </w:tc>
      </w:tr>
      <w:tr w:rsidR="003A31D9" w:rsidRPr="004464C1" w:rsidTr="003A31D9">
        <w:trPr>
          <w:trHeight w:val="800"/>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16 05 08*-Kimikate të skaduara organike, që konsistojnë ose përmbajnë substanca të rrezikshme</w:t>
            </w:r>
          </w:p>
        </w:tc>
        <w:tc>
          <w:tcPr>
            <w:tcW w:w="2249" w:type="dxa"/>
            <w:tcBorders>
              <w:top w:val="single" w:sz="4" w:space="0" w:color="auto"/>
              <w:left w:val="single" w:sz="4" w:space="0" w:color="auto"/>
              <w:bottom w:val="single" w:sz="4" w:space="0" w:color="auto"/>
              <w:right w:val="single" w:sz="4" w:space="0" w:color="auto"/>
            </w:tcBorders>
            <w:hideMark/>
          </w:tcPr>
          <w:p w:rsidR="003A31D9" w:rsidRPr="004464C1" w:rsidRDefault="003A31D9" w:rsidP="003A31D9">
            <w:pPr>
              <w:jc w:val="right"/>
              <w:rPr>
                <w:rFonts w:ascii="Times New Roman" w:eastAsiaTheme="minorHAnsi" w:hAnsi="Times New Roman" w:cs="Times New Roman"/>
                <w:color w:val="000000"/>
                <w:sz w:val="24"/>
                <w:szCs w:val="24"/>
              </w:rPr>
            </w:pPr>
            <w:r w:rsidRPr="004464C1">
              <w:rPr>
                <w:rFonts w:ascii="Times New Roman" w:hAnsi="Times New Roman" w:cs="Times New Roman"/>
                <w:color w:val="000000"/>
                <w:sz w:val="24"/>
                <w:szCs w:val="24"/>
              </w:rPr>
              <w:t>17827.4</w:t>
            </w:r>
          </w:p>
        </w:tc>
      </w:tr>
      <w:tr w:rsidR="003A31D9" w:rsidRPr="00357C2F" w:rsidTr="003A31D9">
        <w:trPr>
          <w:trHeight w:val="458"/>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11 01 11*-Lëngje ujore të shpëlarjes, që përmbajnë substanca të rrezikshme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2652090</w:t>
            </w:r>
          </w:p>
        </w:tc>
      </w:tr>
      <w:tr w:rsidR="003A31D9" w:rsidRPr="00357C2F" w:rsidTr="003A31D9">
        <w:trPr>
          <w:trHeight w:val="620"/>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15 01 10*-Mbetje ambalazhi që përmbajnë ose janë të kontaminuara me substanca të rrezikshme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122646.5</w:t>
            </w:r>
          </w:p>
        </w:tc>
      </w:tr>
      <w:tr w:rsidR="003A31D9" w:rsidRPr="00357C2F" w:rsidTr="003A31D9">
        <w:trPr>
          <w:trHeight w:val="960"/>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15 01 10/08 03 17*-Mbetje ambalazhi që përmbajnë ose janë të kontaminuara me substanca të rrezikshme/ Mbetje nga boja e printit, që përmbajnë substancë të rrezikshme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ind w:firstLine="720"/>
              <w:jc w:val="right"/>
              <w:rPr>
                <w:rFonts w:ascii="Times New Roman" w:eastAsia="Calibri" w:hAnsi="Times New Roman" w:cs="Times New Roman"/>
                <w:sz w:val="24"/>
                <w:szCs w:val="24"/>
              </w:rPr>
            </w:pPr>
            <w:r w:rsidRPr="00357C2F">
              <w:rPr>
                <w:rFonts w:ascii="Times New Roman" w:eastAsia="Calibri" w:hAnsi="Times New Roman" w:cs="Times New Roman"/>
                <w:sz w:val="24"/>
                <w:szCs w:val="24"/>
              </w:rPr>
              <w:t>920</w:t>
            </w:r>
          </w:p>
        </w:tc>
      </w:tr>
      <w:tr w:rsidR="003A31D9" w:rsidRPr="00357C2F" w:rsidTr="003A31D9">
        <w:trPr>
          <w:trHeight w:val="960"/>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15 01 10/16 05 08*-Mbetje ambalazhi që përmbajnë ose janë të kontaminuara me substanca të rrezikshme/Kimikate të skaduara organike, që konsistojnë ose përmbajnë substanca të rrezikshme</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ind w:firstLine="720"/>
              <w:jc w:val="right"/>
              <w:rPr>
                <w:rFonts w:ascii="Times New Roman" w:eastAsia="Calibri" w:hAnsi="Times New Roman" w:cs="Times New Roman"/>
                <w:sz w:val="24"/>
                <w:szCs w:val="24"/>
              </w:rPr>
            </w:pPr>
            <w:r w:rsidRPr="00357C2F">
              <w:rPr>
                <w:rFonts w:ascii="Times New Roman" w:eastAsia="Calibri" w:hAnsi="Times New Roman" w:cs="Times New Roman"/>
                <w:sz w:val="24"/>
                <w:szCs w:val="24"/>
              </w:rPr>
              <w:t>407.1</w:t>
            </w:r>
          </w:p>
          <w:p w:rsidR="003A31D9" w:rsidRPr="00357C2F" w:rsidRDefault="003A31D9" w:rsidP="003A31D9">
            <w:pPr>
              <w:jc w:val="right"/>
              <w:rPr>
                <w:rFonts w:ascii="Times New Roman" w:eastAsia="Calibri" w:hAnsi="Times New Roman" w:cs="Times New Roman"/>
                <w:sz w:val="24"/>
                <w:szCs w:val="24"/>
              </w:rPr>
            </w:pPr>
          </w:p>
        </w:tc>
      </w:tr>
      <w:tr w:rsidR="003A31D9" w:rsidRPr="00357C2F" w:rsidTr="003A31D9">
        <w:trPr>
          <w:trHeight w:val="647"/>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15 01 10/16 01 07*/16 06 01-Mbetje ambalazhi që përmbajnë ose janë të kontaminuara me substanca të rrezikshme/Filtra vaji, naftë/Bateri plumbi</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ind w:firstLine="720"/>
              <w:jc w:val="right"/>
              <w:rPr>
                <w:rFonts w:ascii="Times New Roman" w:eastAsia="Calibri" w:hAnsi="Times New Roman" w:cs="Times New Roman"/>
                <w:sz w:val="24"/>
                <w:szCs w:val="24"/>
              </w:rPr>
            </w:pPr>
            <w:r w:rsidRPr="00357C2F">
              <w:rPr>
                <w:rFonts w:ascii="Times New Roman" w:eastAsia="Calibri" w:hAnsi="Times New Roman" w:cs="Times New Roman"/>
                <w:sz w:val="24"/>
                <w:szCs w:val="24"/>
              </w:rPr>
              <w:t>906</w:t>
            </w:r>
          </w:p>
        </w:tc>
      </w:tr>
      <w:tr w:rsidR="003A31D9" w:rsidRPr="00357C2F" w:rsidTr="003A31D9">
        <w:trPr>
          <w:trHeight w:val="42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08 03 17* -Mbetje nga boja e printit, që përmbajnë substancë të rrezikshme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ind w:firstLine="720"/>
              <w:jc w:val="right"/>
              <w:rPr>
                <w:rFonts w:ascii="Times New Roman" w:eastAsia="Calibri" w:hAnsi="Times New Roman" w:cs="Times New Roman"/>
                <w:sz w:val="24"/>
                <w:szCs w:val="24"/>
              </w:rPr>
            </w:pPr>
            <w:r w:rsidRPr="00357C2F">
              <w:rPr>
                <w:rFonts w:ascii="Times New Roman" w:eastAsia="Calibri" w:hAnsi="Times New Roman" w:cs="Times New Roman"/>
                <w:sz w:val="24"/>
                <w:szCs w:val="24"/>
              </w:rPr>
              <w:t>1198.4</w:t>
            </w:r>
          </w:p>
        </w:tc>
      </w:tr>
      <w:tr w:rsidR="003A31D9" w:rsidRPr="00357C2F" w:rsidTr="003A31D9">
        <w:trPr>
          <w:trHeight w:val="960"/>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20 01 35*-Pajisjet e skaduara elektrike dhe elektronike, të tjera nga ato të përmendura në 20 01 21 dhe 20 01 23 që përmbajnë komponentë të rrezikshëm</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ind w:firstLine="720"/>
              <w:jc w:val="right"/>
              <w:rPr>
                <w:rFonts w:ascii="Times New Roman" w:eastAsia="Calibri" w:hAnsi="Times New Roman" w:cs="Times New Roman"/>
                <w:sz w:val="24"/>
                <w:szCs w:val="24"/>
              </w:rPr>
            </w:pPr>
            <w:r w:rsidRPr="00357C2F">
              <w:rPr>
                <w:rFonts w:ascii="Times New Roman" w:eastAsia="Calibri" w:hAnsi="Times New Roman" w:cs="Times New Roman"/>
                <w:sz w:val="24"/>
                <w:szCs w:val="24"/>
              </w:rPr>
              <w:t>20567.5</w:t>
            </w:r>
          </w:p>
        </w:tc>
      </w:tr>
      <w:tr w:rsidR="003A31D9" w:rsidRPr="00357C2F" w:rsidTr="003A31D9">
        <w:trPr>
          <w:trHeight w:val="638"/>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10 03 19*-Pluhur nga oxhakët e gazeve që përmbajnë substanca të rrezikshme</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jc w:val="right"/>
              <w:rPr>
                <w:rFonts w:ascii="Times New Roman" w:eastAsia="Calibri" w:hAnsi="Times New Roman" w:cs="Times New Roman"/>
                <w:sz w:val="24"/>
                <w:szCs w:val="24"/>
              </w:rPr>
            </w:pPr>
            <w:r w:rsidRPr="00357C2F">
              <w:rPr>
                <w:rFonts w:ascii="Times New Roman" w:eastAsia="Calibri" w:hAnsi="Times New Roman" w:cs="Times New Roman"/>
                <w:sz w:val="24"/>
                <w:szCs w:val="24"/>
              </w:rPr>
              <w:t>198530</w:t>
            </w:r>
          </w:p>
        </w:tc>
      </w:tr>
      <w:tr w:rsidR="003A31D9" w:rsidRPr="00357C2F" w:rsidTr="003A31D9">
        <w:trPr>
          <w:trHeight w:val="395"/>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11 01 16*-Acide të tjera të paspecifikuara</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225660</w:t>
            </w:r>
          </w:p>
        </w:tc>
      </w:tr>
      <w:tr w:rsidR="003A31D9" w:rsidRPr="00357C2F" w:rsidTr="003A31D9">
        <w:trPr>
          <w:trHeight w:val="395"/>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19 07 02*-Rrjedhje nga landfillët që përmbajnë substanca të rrezikshme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1229140</w:t>
            </w:r>
          </w:p>
        </w:tc>
      </w:tr>
      <w:tr w:rsidR="003A31D9" w:rsidRPr="00357C2F" w:rsidTr="003A31D9">
        <w:trPr>
          <w:trHeight w:val="350"/>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sz w:val="24"/>
                <w:szCs w:val="24"/>
              </w:rPr>
            </w:pPr>
            <w:r>
              <w:rPr>
                <w:rFonts w:ascii="Times New Roman" w:eastAsia="Calibri" w:hAnsi="Times New Roman" w:cs="Times New Roman"/>
                <w:sz w:val="24"/>
                <w:szCs w:val="24"/>
              </w:rPr>
              <w:t>11 01 05*-Shëllira acide për heqjen e skorieve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261470</w:t>
            </w:r>
          </w:p>
        </w:tc>
      </w:tr>
      <w:tr w:rsidR="003A31D9" w:rsidRPr="00357C2F" w:rsidTr="003A31D9">
        <w:trPr>
          <w:trHeight w:val="332"/>
        </w:trPr>
        <w:tc>
          <w:tcPr>
            <w:tcW w:w="7666" w:type="dxa"/>
            <w:tcBorders>
              <w:top w:val="single" w:sz="4" w:space="0" w:color="auto"/>
              <w:left w:val="single" w:sz="4" w:space="0" w:color="auto"/>
              <w:bottom w:val="single" w:sz="4" w:space="0" w:color="auto"/>
              <w:right w:val="single" w:sz="4" w:space="0" w:color="auto"/>
            </w:tcBorders>
          </w:tcPr>
          <w:p w:rsidR="003A31D9" w:rsidRPr="004C481A" w:rsidRDefault="003A31D9" w:rsidP="003A31D9">
            <w:pPr>
              <w:tabs>
                <w:tab w:val="left" w:pos="945"/>
              </w:tabs>
              <w:spacing w:after="0" w:line="240" w:lineRule="auto"/>
            </w:pPr>
            <w:r>
              <w:fldChar w:fldCharType="begin"/>
            </w:r>
            <w:r>
              <w:instrText xml:space="preserve"> LINK Excel.Sheet.12 "C:\\Users\\C.S.T\\Downloads\\mbetjet_2025_rgjm.xlsx" "Sheet1!R1C53" \a \f 4 \h  \* MERGEFORMAT </w:instrText>
            </w:r>
            <w:r>
              <w:fldChar w:fldCharType="separate"/>
            </w:r>
            <w:r>
              <w:rPr>
                <w:rFonts w:ascii="Times New Roman" w:eastAsia="Times New Roman" w:hAnsi="Times New Roman" w:cs="Times New Roman"/>
                <w:bCs/>
                <w:color w:val="000000"/>
                <w:sz w:val="24"/>
                <w:szCs w:val="24"/>
              </w:rPr>
              <w:t>10 03 08*-Zgjyra kripore nga prodhimi dytësor</w:t>
            </w:r>
          </w:p>
          <w:p w:rsidR="003A31D9" w:rsidRDefault="003A31D9" w:rsidP="003A31D9">
            <w:pPr>
              <w:tabs>
                <w:tab w:val="left" w:pos="94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fldChar w:fldCharType="end"/>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2078660</w:t>
            </w:r>
          </w:p>
        </w:tc>
      </w:tr>
      <w:tr w:rsidR="003A31D9" w:rsidRPr="00357C2F" w:rsidTr="003A31D9">
        <w:trPr>
          <w:trHeight w:val="710"/>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19 08 13*-Llumra që përmbajnë  astrami  të rrezikshme nga trajtime të tjera të ujërave të ndotura  astrami   mineraleve metalore      </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48660</w:t>
            </w:r>
          </w:p>
        </w:tc>
      </w:tr>
      <w:tr w:rsidR="003A31D9" w:rsidRPr="00357C2F" w:rsidTr="003A31D9">
        <w:trPr>
          <w:trHeight w:val="530"/>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20 01 35*/ 16 02 13*-Pajisjet e skaduara elektrike dhe elektronike, të tjera nga ato të përmendura në 20 01 21 dhe 20 01 23 që përmbajnë komponentë të rrezikshëm. Pajisje skarco, që kanë përbërës të rrezikshëm 16 02 09 deri 16 02 12    </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tabs>
                <w:tab w:val="left" w:pos="945"/>
              </w:tabs>
              <w:ind w:firstLine="720"/>
              <w:jc w:val="right"/>
              <w:rPr>
                <w:rFonts w:ascii="Times New Roman" w:eastAsia="Calibri" w:hAnsi="Times New Roman" w:cs="Times New Roman"/>
                <w:bCs/>
                <w:sz w:val="24"/>
                <w:szCs w:val="24"/>
              </w:rPr>
            </w:pPr>
            <w:r w:rsidRPr="00357C2F">
              <w:rPr>
                <w:rFonts w:ascii="Times New Roman" w:eastAsia="Calibri" w:hAnsi="Times New Roman" w:cs="Times New Roman"/>
                <w:bCs/>
                <w:sz w:val="24"/>
                <w:szCs w:val="24"/>
              </w:rPr>
              <w:t>18720</w:t>
            </w:r>
          </w:p>
          <w:p w:rsidR="003A31D9" w:rsidRPr="00357C2F" w:rsidRDefault="003A31D9" w:rsidP="003A31D9">
            <w:pPr>
              <w:tabs>
                <w:tab w:val="left" w:pos="945"/>
              </w:tabs>
              <w:ind w:firstLine="720"/>
              <w:jc w:val="right"/>
              <w:rPr>
                <w:rFonts w:ascii="Times New Roman" w:eastAsia="Calibri" w:hAnsi="Times New Roman" w:cs="Times New Roman"/>
                <w:sz w:val="24"/>
                <w:szCs w:val="24"/>
              </w:rPr>
            </w:pPr>
          </w:p>
        </w:tc>
      </w:tr>
      <w:tr w:rsidR="003A31D9" w:rsidRPr="00357C2F" w:rsidTr="003A31D9">
        <w:trPr>
          <w:trHeight w:val="368"/>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12 01 12*-Parafinat dhe yndyrat e shpenzuara     </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26320</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13 02 08*-Vajra te tjera motori, ingranazhi delubrifikante </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eastAsia="Calibri" w:hAnsi="Times New Roman" w:cs="Times New Roman"/>
                <w:bCs/>
                <w:sz w:val="24"/>
                <w:szCs w:val="24"/>
              </w:rPr>
            </w:pPr>
            <w:r w:rsidRPr="00357C2F">
              <w:rPr>
                <w:rFonts w:ascii="Times New Roman" w:eastAsia="Calibri" w:hAnsi="Times New Roman" w:cs="Times New Roman"/>
                <w:bCs/>
                <w:sz w:val="24"/>
                <w:szCs w:val="24"/>
              </w:rPr>
              <w:t>920</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13 02 08*/ 15 02 02*-Vajra të tjera motori, ingranazhi delubrifikante  /  Absorbente, material filtrues (duke përfshirë filtra naftë të paspecifikuar) dhe rroba mbrojtëse të kontaminuara nga  astrami                            </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eastAsia="Calibri" w:hAnsi="Times New Roman" w:cs="Times New Roman"/>
                <w:bCs/>
                <w:sz w:val="24"/>
                <w:szCs w:val="24"/>
              </w:rPr>
            </w:pPr>
            <w:r w:rsidRPr="00357C2F">
              <w:rPr>
                <w:rFonts w:ascii="Times New Roman" w:eastAsia="Calibri" w:hAnsi="Times New Roman" w:cs="Times New Roman"/>
                <w:bCs/>
                <w:sz w:val="24"/>
                <w:szCs w:val="24"/>
              </w:rPr>
              <w:t>1420</w:t>
            </w:r>
          </w:p>
        </w:tc>
      </w:tr>
      <w:tr w:rsidR="003A31D9" w:rsidRPr="00357C2F" w:rsidTr="003A31D9">
        <w:trPr>
          <w:trHeight w:val="530"/>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Cs/>
                <w:sz w:val="24"/>
                <w:szCs w:val="24"/>
              </w:rPr>
            </w:pPr>
            <w:r>
              <w:rPr>
                <w:rFonts w:ascii="Times New Roman" w:eastAsia="Calibri" w:hAnsi="Times New Roman" w:cs="Times New Roman"/>
                <w:bCs/>
                <w:sz w:val="24"/>
                <w:szCs w:val="24"/>
              </w:rPr>
              <w:t>10 04 01*-Zgjyra nga prodhimi primar dhe dytësor</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eastAsia="Calibri" w:hAnsi="Times New Roman" w:cs="Times New Roman"/>
                <w:bCs/>
                <w:sz w:val="24"/>
                <w:szCs w:val="24"/>
              </w:rPr>
            </w:pPr>
            <w:r w:rsidRPr="00357C2F">
              <w:rPr>
                <w:rFonts w:ascii="Times New Roman" w:eastAsia="Calibri" w:hAnsi="Times New Roman" w:cs="Times New Roman"/>
                <w:bCs/>
                <w:sz w:val="24"/>
                <w:szCs w:val="24"/>
              </w:rPr>
              <w:t>234330</w:t>
            </w:r>
          </w:p>
        </w:tc>
      </w:tr>
      <w:tr w:rsidR="003A31D9" w:rsidRPr="00357C2F" w:rsidTr="003A31D9">
        <w:trPr>
          <w:trHeight w:val="530"/>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Cs/>
                <w:sz w:val="24"/>
                <w:szCs w:val="24"/>
              </w:rPr>
            </w:pPr>
            <w:r>
              <w:rPr>
                <w:rFonts w:ascii="Times New Roman" w:eastAsia="Calibri" w:hAnsi="Times New Roman" w:cs="Times New Roman"/>
                <w:bCs/>
                <w:sz w:val="24"/>
                <w:szCs w:val="24"/>
              </w:rPr>
              <w:t>13 02 05*-Vajra motori, ingranazhesh dhe lubrifikues të paklorinuar me bazë minerale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155300</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Cs/>
                <w:sz w:val="24"/>
                <w:szCs w:val="24"/>
              </w:rPr>
            </w:pPr>
            <w:r>
              <w:rPr>
                <w:rFonts w:ascii="Times New Roman" w:eastAsia="Calibri" w:hAnsi="Times New Roman" w:cs="Times New Roman"/>
                <w:bCs/>
                <w:sz w:val="24"/>
                <w:szCs w:val="24"/>
              </w:rPr>
              <w:t>13 04 01*-Vajra të ndotura anijesh nga lundrimi pranë tokës</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1962687</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Cs/>
                <w:sz w:val="24"/>
                <w:szCs w:val="24"/>
              </w:rPr>
            </w:pPr>
            <w:r>
              <w:rPr>
                <w:rFonts w:ascii="Times New Roman" w:eastAsia="Calibri" w:hAnsi="Times New Roman" w:cs="Times New Roman"/>
                <w:bCs/>
                <w:sz w:val="24"/>
                <w:szCs w:val="24"/>
              </w:rPr>
              <w:t>13 04 03*- Vajra të ndotura nga lundrime të tjera</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11021904</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Cs/>
                <w:sz w:val="24"/>
                <w:szCs w:val="24"/>
              </w:rPr>
            </w:pPr>
            <w:r>
              <w:rPr>
                <w:rFonts w:ascii="Times New Roman" w:eastAsia="Calibri" w:hAnsi="Times New Roman" w:cs="Times New Roman"/>
                <w:bCs/>
                <w:sz w:val="24"/>
                <w:szCs w:val="24"/>
              </w:rPr>
              <w:t>13 01 10*-Vaj hidraulik i paklorinuar me bazë minerale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eastAsia="Calibri" w:hAnsi="Times New Roman" w:cs="Times New Roman"/>
                <w:bCs/>
                <w:sz w:val="24"/>
                <w:szCs w:val="24"/>
              </w:rPr>
            </w:pPr>
            <w:r w:rsidRPr="00357C2F">
              <w:rPr>
                <w:rFonts w:ascii="Times New Roman" w:eastAsia="Calibri" w:hAnsi="Times New Roman" w:cs="Times New Roman"/>
                <w:bCs/>
                <w:sz w:val="24"/>
                <w:szCs w:val="24"/>
              </w:rPr>
              <w:t>2000</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Cs/>
                <w:sz w:val="24"/>
                <w:szCs w:val="24"/>
              </w:rPr>
            </w:pPr>
            <w:r>
              <w:rPr>
                <w:rFonts w:ascii="Times New Roman" w:eastAsia="Calibri" w:hAnsi="Times New Roman" w:cs="Times New Roman"/>
                <w:bCs/>
                <w:sz w:val="24"/>
                <w:szCs w:val="24"/>
              </w:rPr>
              <w:t>15 02 02*-Absorbente, material filtrues (duke përfshirë filtra naftë të paspecifikuar) dhe rroba mbrojtëse të kontaminuara nga substanca të rrezikshme</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65844</w:t>
            </w:r>
          </w:p>
          <w:p w:rsidR="003A31D9" w:rsidRPr="00357C2F" w:rsidRDefault="003A31D9" w:rsidP="003A31D9">
            <w:pPr>
              <w:jc w:val="right"/>
              <w:rPr>
                <w:rFonts w:ascii="Times New Roman" w:eastAsia="Calibri" w:hAnsi="Times New Roman" w:cs="Times New Roman"/>
                <w:bCs/>
                <w:sz w:val="24"/>
                <w:szCs w:val="24"/>
              </w:rPr>
            </w:pP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Cs/>
                <w:sz w:val="24"/>
                <w:szCs w:val="24"/>
              </w:rPr>
            </w:pPr>
            <w:r>
              <w:rPr>
                <w:rFonts w:ascii="Times New Roman" w:eastAsia="Calibri" w:hAnsi="Times New Roman" w:cs="Times New Roman"/>
                <w:bCs/>
                <w:sz w:val="24"/>
                <w:szCs w:val="24"/>
              </w:rPr>
              <w:t>13 05 08*-Përzierje mbetjesh nga seperatorët ujë/naftë</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eastAsia="Calibri" w:hAnsi="Times New Roman" w:cs="Times New Roman"/>
                <w:bCs/>
                <w:sz w:val="24"/>
                <w:szCs w:val="24"/>
              </w:rPr>
            </w:pPr>
            <w:r w:rsidRPr="00357C2F">
              <w:rPr>
                <w:rFonts w:ascii="Times New Roman" w:eastAsia="Calibri" w:hAnsi="Times New Roman" w:cs="Times New Roman"/>
                <w:bCs/>
                <w:sz w:val="24"/>
                <w:szCs w:val="24"/>
              </w:rPr>
              <w:t>4823860</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Cs/>
                <w:sz w:val="24"/>
                <w:szCs w:val="24"/>
              </w:rPr>
            </w:pPr>
            <w:r>
              <w:rPr>
                <w:rFonts w:ascii="Times New Roman" w:eastAsia="Calibri" w:hAnsi="Times New Roman" w:cs="Times New Roman"/>
                <w:bCs/>
                <w:sz w:val="24"/>
                <w:szCs w:val="24"/>
              </w:rPr>
              <w:t>18 01 01/18 01 03*/18 02 01/18 02 02-Bisturitë, shiringa, instrumente të mprehta (përveç 18 01 03)/Mbetjet, grumbullimi dhe asgjësimi i të cilave u nënshtrohen kërkesave të veçanta për të parandaluar infeksionet/Bisturi, shiringa, instrumente të mprehta (përveç 18 02 02/Mbetjet, grumbullimi dhe asgjësimi i të cilave u nënshtrohen kërkesave të veçanta për të parandaluar infeksionet.</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jc w:val="right"/>
              <w:rPr>
                <w:rFonts w:ascii="Times New Roman" w:eastAsia="Calibri" w:hAnsi="Times New Roman" w:cs="Times New Roman"/>
                <w:bCs/>
                <w:sz w:val="24"/>
                <w:szCs w:val="24"/>
              </w:rPr>
            </w:pPr>
            <w:r w:rsidRPr="00357C2F">
              <w:rPr>
                <w:rFonts w:ascii="Times New Roman" w:eastAsia="Calibri" w:hAnsi="Times New Roman" w:cs="Times New Roman"/>
                <w:bCs/>
                <w:sz w:val="24"/>
                <w:szCs w:val="24"/>
              </w:rPr>
              <w:t>198408.2</w:t>
            </w:r>
          </w:p>
          <w:p w:rsidR="003A31D9" w:rsidRPr="00357C2F" w:rsidRDefault="003A31D9" w:rsidP="003A31D9">
            <w:pPr>
              <w:jc w:val="right"/>
              <w:rPr>
                <w:rFonts w:ascii="Times New Roman" w:eastAsia="Calibri" w:hAnsi="Times New Roman" w:cs="Times New Roman"/>
                <w:bCs/>
                <w:sz w:val="24"/>
                <w:szCs w:val="24"/>
              </w:rPr>
            </w:pP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Cs/>
                <w:sz w:val="24"/>
                <w:szCs w:val="24"/>
              </w:rPr>
            </w:pPr>
            <w:r w:rsidRPr="00E74DB6">
              <w:rPr>
                <w:rFonts w:ascii="Times New Roman" w:eastAsia="Calibri" w:hAnsi="Times New Roman" w:cs="Times New Roman"/>
                <w:bCs/>
                <w:sz w:val="24"/>
                <w:szCs w:val="24"/>
              </w:rPr>
              <w:t>13 01 01*/13 02 05*/13 02 06*/13 07 03*-Vajra hidraulike që përmbajnë PCB/ Vajra motori, ingranazhesh dhe lubrifikues të paklorinuar me bazë minerale/ Vaj sintetik motori, ingranazhi dhe lubrifikues/ Lëndë të tjera djegëse përfshi edhe përzierjet</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53020</w:t>
            </w:r>
          </w:p>
          <w:p w:rsidR="003A31D9" w:rsidRPr="00357C2F" w:rsidRDefault="003A31D9" w:rsidP="003A31D9">
            <w:pPr>
              <w:jc w:val="right"/>
              <w:rPr>
                <w:rFonts w:ascii="Times New Roman" w:eastAsia="Calibri" w:hAnsi="Times New Roman" w:cs="Times New Roman"/>
                <w:bCs/>
                <w:sz w:val="24"/>
                <w:szCs w:val="24"/>
              </w:rPr>
            </w:pP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Cs/>
                <w:sz w:val="24"/>
                <w:szCs w:val="24"/>
              </w:rPr>
            </w:pPr>
            <w:r w:rsidRPr="00E74DB6">
              <w:rPr>
                <w:rFonts w:ascii="Times New Roman" w:eastAsia="Calibri" w:hAnsi="Times New Roman" w:cs="Times New Roman"/>
                <w:bCs/>
                <w:sz w:val="24"/>
                <w:szCs w:val="24"/>
              </w:rPr>
              <w:t>10 02 07*-Mbetje të ngurta nga trajtimet e gazeve, që përmbajnë substanca të rrezikshme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3723670</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tcPr>
          <w:p w:rsidR="003A31D9" w:rsidRPr="000441C7" w:rsidRDefault="003A31D9" w:rsidP="003A31D9">
            <w:pPr>
              <w:rPr>
                <w:rFonts w:ascii="Times New Roman" w:eastAsia="Calibri" w:hAnsi="Times New Roman" w:cs="Times New Roman"/>
                <w:bCs/>
                <w:sz w:val="24"/>
                <w:szCs w:val="24"/>
                <w:highlight w:val="yellow"/>
              </w:rPr>
            </w:pPr>
            <w:r w:rsidRPr="00E74DB6">
              <w:rPr>
                <w:rFonts w:ascii="Times New Roman" w:eastAsia="Calibri" w:hAnsi="Times New Roman" w:cs="Times New Roman"/>
                <w:bCs/>
                <w:sz w:val="24"/>
                <w:szCs w:val="24"/>
              </w:rPr>
              <w:t>01 05 05*-Baltë dhe mbetje të tjera nga shpimet për naftë hidrokarbure</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266000</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Cs/>
                <w:sz w:val="24"/>
                <w:szCs w:val="24"/>
              </w:rPr>
            </w:pPr>
            <w:r w:rsidRPr="00E74DB6">
              <w:rPr>
                <w:rFonts w:ascii="Times New Roman" w:eastAsia="Calibri" w:hAnsi="Times New Roman" w:cs="Times New Roman"/>
                <w:bCs/>
                <w:sz w:val="24"/>
                <w:szCs w:val="24"/>
              </w:rPr>
              <w:t>08 03 14*-Llumra të bojërave që përmbajnë substancë të rrezikshme</w:t>
            </w:r>
            <w:r>
              <w:rPr>
                <w:rFonts w:ascii="Times New Roman" w:eastAsia="Calibri" w:hAnsi="Times New Roman" w:cs="Times New Roman"/>
                <w:bCs/>
                <w:sz w:val="24"/>
                <w:szCs w:val="24"/>
              </w:rPr>
              <w:t xml:space="preserve"> </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eastAsia="Calibri" w:hAnsi="Times New Roman" w:cs="Times New Roman"/>
                <w:bCs/>
                <w:sz w:val="24"/>
                <w:szCs w:val="24"/>
              </w:rPr>
            </w:pPr>
            <w:r w:rsidRPr="00357C2F">
              <w:rPr>
                <w:rFonts w:ascii="Times New Roman" w:eastAsia="Calibri" w:hAnsi="Times New Roman" w:cs="Times New Roman"/>
                <w:bCs/>
                <w:sz w:val="24"/>
                <w:szCs w:val="24"/>
              </w:rPr>
              <w:t>4670</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Cs/>
                <w:sz w:val="24"/>
                <w:szCs w:val="24"/>
              </w:rPr>
            </w:pPr>
            <w:r w:rsidRPr="00E74DB6">
              <w:rPr>
                <w:rFonts w:ascii="Times New Roman" w:eastAsia="Calibri" w:hAnsi="Times New Roman" w:cs="Times New Roman"/>
                <w:bCs/>
                <w:sz w:val="24"/>
                <w:szCs w:val="24"/>
              </w:rPr>
              <w:t>08 03 12*- Mbetje të bojërave që përmbajnë substancë të rrezikshme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eastAsia="Calibri" w:hAnsi="Times New Roman" w:cs="Times New Roman"/>
                <w:bCs/>
                <w:sz w:val="24"/>
                <w:szCs w:val="24"/>
              </w:rPr>
            </w:pPr>
            <w:r w:rsidRPr="00357C2F">
              <w:rPr>
                <w:rFonts w:ascii="Times New Roman" w:eastAsia="Calibri" w:hAnsi="Times New Roman" w:cs="Times New Roman"/>
                <w:bCs/>
                <w:sz w:val="24"/>
                <w:szCs w:val="24"/>
              </w:rPr>
              <w:t>2277</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16 05 06*-Kimikate laboratori qe konsistojnë ose përmbajnë substanca të rrezikshme përfshirë përzierje të kimikateve laboratorike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1190</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rPr>
                <w:rFonts w:ascii="Times New Roman" w:hAnsi="Times New Roman" w:cs="Times New Roman"/>
                <w:sz w:val="24"/>
                <w:szCs w:val="24"/>
              </w:rPr>
            </w:pPr>
            <w:r>
              <w:rPr>
                <w:rFonts w:ascii="Times New Roman" w:hAnsi="Times New Roman" w:cs="Times New Roman"/>
                <w:sz w:val="24"/>
                <w:szCs w:val="24"/>
              </w:rPr>
              <w:t>16 10 01*-Mbetje të lëngshme ujore, që kanë substanca të rrezikshme</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sz w:val="24"/>
                <w:szCs w:val="24"/>
              </w:rPr>
            </w:pPr>
            <w:r w:rsidRPr="00357C2F">
              <w:rPr>
                <w:rFonts w:ascii="Times New Roman" w:hAnsi="Times New Roman" w:cs="Times New Roman"/>
                <w:sz w:val="24"/>
                <w:szCs w:val="24"/>
              </w:rPr>
              <w:t>865</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hideMark/>
          </w:tcPr>
          <w:p w:rsidR="003A31D9" w:rsidRDefault="003A31D9" w:rsidP="003A31D9">
            <w:pPr>
              <w:tabs>
                <w:tab w:val="left" w:pos="945"/>
              </w:tabs>
              <w:rPr>
                <w:rFonts w:ascii="Times New Roman" w:eastAsia="Calibri" w:hAnsi="Times New Roman" w:cs="Times New Roman"/>
                <w:bCs/>
                <w:sz w:val="24"/>
                <w:szCs w:val="24"/>
              </w:rPr>
            </w:pPr>
            <w:r>
              <w:rPr>
                <w:rFonts w:ascii="Times New Roman" w:eastAsia="Calibri" w:hAnsi="Times New Roman" w:cs="Times New Roman"/>
                <w:bCs/>
                <w:sz w:val="24"/>
                <w:szCs w:val="24"/>
              </w:rPr>
              <w:t>05 01 15* - Argjila që dalin nga filtrimet</w:t>
            </w:r>
          </w:p>
        </w:tc>
        <w:tc>
          <w:tcPr>
            <w:tcW w:w="2249" w:type="dxa"/>
            <w:tcBorders>
              <w:top w:val="single" w:sz="4" w:space="0" w:color="auto"/>
              <w:left w:val="single" w:sz="4" w:space="0" w:color="auto"/>
              <w:bottom w:val="single" w:sz="4" w:space="0" w:color="auto"/>
              <w:right w:val="single" w:sz="4" w:space="0" w:color="auto"/>
            </w:tcBorders>
            <w:hideMark/>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1045000</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tcPr>
          <w:p w:rsidR="003A31D9" w:rsidRDefault="003A31D9" w:rsidP="003A31D9">
            <w:pPr>
              <w:tabs>
                <w:tab w:val="left" w:pos="945"/>
              </w:tabs>
              <w:rPr>
                <w:rFonts w:ascii="Times New Roman" w:eastAsia="Calibri" w:hAnsi="Times New Roman" w:cs="Times New Roman"/>
                <w:bCs/>
                <w:sz w:val="24"/>
                <w:szCs w:val="24"/>
              </w:rPr>
            </w:pPr>
            <w:r w:rsidRPr="00E74DB6">
              <w:rPr>
                <w:rFonts w:ascii="Times New Roman" w:eastAsia="Calibri" w:hAnsi="Times New Roman" w:cs="Times New Roman"/>
                <w:bCs/>
                <w:sz w:val="24"/>
                <w:szCs w:val="24"/>
              </w:rPr>
              <w:t>10 03 09*-Zgjyra të zeza nga prodhimi dytësor</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27030</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tcPr>
          <w:p w:rsidR="003A31D9" w:rsidRPr="00BE099F" w:rsidRDefault="003A31D9" w:rsidP="003A31D9">
            <w:pPr>
              <w:rPr>
                <w:rFonts w:ascii="Times New Roman" w:hAnsi="Times New Roman" w:cs="Times New Roman"/>
                <w:bCs/>
                <w:color w:val="000000"/>
                <w:sz w:val="24"/>
                <w:szCs w:val="24"/>
              </w:rPr>
            </w:pPr>
            <w:r w:rsidRPr="00BE099F">
              <w:rPr>
                <w:rFonts w:ascii="Times New Roman" w:hAnsi="Times New Roman" w:cs="Times New Roman"/>
                <w:bCs/>
                <w:color w:val="000000"/>
                <w:sz w:val="24"/>
                <w:szCs w:val="24"/>
              </w:rPr>
              <w:t>15 01 10*/16 01 07*-Mbetje ambalazhi që përmbajnë ose janë të kontaminuara me substanca të rrezikshme/Filtra vaji, naftë</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27555</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tcPr>
          <w:p w:rsidR="003A31D9" w:rsidRDefault="003A31D9" w:rsidP="003A31D9">
            <w:pPr>
              <w:tabs>
                <w:tab w:val="left" w:pos="945"/>
              </w:tabs>
              <w:rPr>
                <w:rFonts w:ascii="Times New Roman" w:eastAsia="Calibri" w:hAnsi="Times New Roman" w:cs="Times New Roman"/>
                <w:bCs/>
                <w:sz w:val="24"/>
                <w:szCs w:val="24"/>
              </w:rPr>
            </w:pPr>
            <w:r w:rsidRPr="00BE099F">
              <w:rPr>
                <w:rFonts w:ascii="Times New Roman" w:eastAsia="Calibri" w:hAnsi="Times New Roman" w:cs="Times New Roman"/>
                <w:bCs/>
                <w:sz w:val="24"/>
                <w:szCs w:val="24"/>
              </w:rPr>
              <w:t>16 01 07*/16 06 01*-Filtra vaji, naftë/Bateri plumbi</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1004</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tcPr>
          <w:p w:rsidR="003A31D9" w:rsidRPr="00BE099F" w:rsidRDefault="003A31D9" w:rsidP="003A31D9">
            <w:pPr>
              <w:tabs>
                <w:tab w:val="left" w:pos="945"/>
              </w:tabs>
              <w:rPr>
                <w:rFonts w:ascii="Times New Roman" w:eastAsia="Calibri" w:hAnsi="Times New Roman" w:cs="Times New Roman"/>
                <w:bCs/>
                <w:sz w:val="24"/>
                <w:szCs w:val="24"/>
              </w:rPr>
            </w:pPr>
            <w:r w:rsidRPr="00BE099F">
              <w:rPr>
                <w:rFonts w:ascii="Times New Roman" w:eastAsia="Calibri" w:hAnsi="Times New Roman" w:cs="Times New Roman"/>
                <w:bCs/>
                <w:sz w:val="24"/>
                <w:szCs w:val="24"/>
              </w:rPr>
              <w:t>16 05 08*/15 01 10*/16 05 07*-Kimikate të skaduara organike, që konsistojnë ose përmbajnë substanca të rrezikshme/Mbetje ambalazhi që përmbajnë ose janë të kontaminuara me substanca të rrezikshme/</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8045.05</w:t>
            </w:r>
          </w:p>
          <w:p w:rsidR="003A31D9" w:rsidRPr="00357C2F" w:rsidRDefault="003A31D9" w:rsidP="003A31D9">
            <w:pPr>
              <w:jc w:val="right"/>
              <w:rPr>
                <w:rFonts w:ascii="Times New Roman" w:hAnsi="Times New Roman" w:cs="Times New Roman"/>
                <w:color w:val="000000"/>
                <w:sz w:val="24"/>
                <w:szCs w:val="24"/>
              </w:rPr>
            </w:pP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tcPr>
          <w:p w:rsidR="003A31D9" w:rsidRPr="00BE099F" w:rsidRDefault="003A31D9" w:rsidP="003A31D9">
            <w:pPr>
              <w:tabs>
                <w:tab w:val="left" w:pos="945"/>
              </w:tabs>
              <w:rPr>
                <w:rFonts w:ascii="Times New Roman" w:eastAsia="Calibri" w:hAnsi="Times New Roman" w:cs="Times New Roman"/>
                <w:bCs/>
                <w:sz w:val="24"/>
                <w:szCs w:val="24"/>
              </w:rPr>
            </w:pPr>
            <w:r w:rsidRPr="00BE099F">
              <w:rPr>
                <w:rFonts w:ascii="Times New Roman" w:eastAsia="Calibri" w:hAnsi="Times New Roman" w:cs="Times New Roman"/>
                <w:bCs/>
                <w:sz w:val="24"/>
                <w:szCs w:val="24"/>
              </w:rPr>
              <w:t>17 01 06*/17 01 07-Përzierje ose fraksione të ndara betoni, tullash, tjegulla dhe qera</w:t>
            </w:r>
            <w:r>
              <w:rPr>
                <w:rFonts w:ascii="Times New Roman" w:eastAsia="Calibri" w:hAnsi="Times New Roman" w:cs="Times New Roman"/>
                <w:bCs/>
                <w:sz w:val="24"/>
                <w:szCs w:val="24"/>
              </w:rPr>
              <w:t>mikës që përmbajnë substanca të</w:t>
            </w:r>
            <w:r w:rsidRPr="00BE099F">
              <w:rPr>
                <w:rFonts w:ascii="Times New Roman" w:eastAsia="Calibri" w:hAnsi="Times New Roman" w:cs="Times New Roman"/>
                <w:bCs/>
                <w:sz w:val="24"/>
                <w:szCs w:val="24"/>
              </w:rPr>
              <w:t>rrezikshme/Përzierje të betonit, tullave, tjegullave dhe qeramikës, të tjera nga ato të përmendura në 17 01 06</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12820</w:t>
            </w:r>
          </w:p>
          <w:p w:rsidR="003A31D9" w:rsidRPr="00357C2F" w:rsidRDefault="003A31D9" w:rsidP="003A31D9">
            <w:pPr>
              <w:jc w:val="right"/>
              <w:rPr>
                <w:rFonts w:ascii="Times New Roman" w:hAnsi="Times New Roman" w:cs="Times New Roman"/>
                <w:color w:val="000000"/>
                <w:sz w:val="24"/>
                <w:szCs w:val="24"/>
              </w:rPr>
            </w:pP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tcPr>
          <w:p w:rsidR="003A31D9" w:rsidRPr="00BE099F" w:rsidRDefault="003A31D9" w:rsidP="003A31D9">
            <w:pPr>
              <w:tabs>
                <w:tab w:val="left" w:pos="945"/>
              </w:tabs>
              <w:rPr>
                <w:rFonts w:ascii="Times New Roman" w:eastAsia="Calibri" w:hAnsi="Times New Roman" w:cs="Times New Roman"/>
                <w:bCs/>
                <w:sz w:val="24"/>
                <w:szCs w:val="24"/>
              </w:rPr>
            </w:pPr>
            <w:r w:rsidRPr="00BE099F">
              <w:rPr>
                <w:rFonts w:ascii="Times New Roman" w:eastAsia="Calibri" w:hAnsi="Times New Roman" w:cs="Times New Roman"/>
                <w:bCs/>
                <w:sz w:val="24"/>
                <w:szCs w:val="24"/>
              </w:rPr>
              <w:t>17 02 04*-Dru, qelq dhe plastika që përmbajnë substancë të rrezikshme</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1100</w:t>
            </w:r>
          </w:p>
        </w:tc>
      </w:tr>
      <w:tr w:rsidR="003A31D9" w:rsidRPr="00357C2F" w:rsidTr="003A31D9">
        <w:trPr>
          <w:trHeight w:val="692"/>
        </w:trPr>
        <w:tc>
          <w:tcPr>
            <w:tcW w:w="7666" w:type="dxa"/>
            <w:tcBorders>
              <w:top w:val="single" w:sz="4" w:space="0" w:color="auto"/>
              <w:left w:val="single" w:sz="4" w:space="0" w:color="auto"/>
              <w:bottom w:val="single" w:sz="4" w:space="0" w:color="auto"/>
              <w:right w:val="single" w:sz="4" w:space="0" w:color="auto"/>
            </w:tcBorders>
          </w:tcPr>
          <w:p w:rsidR="003A31D9" w:rsidRPr="00BE099F" w:rsidRDefault="003A31D9" w:rsidP="003A31D9">
            <w:pPr>
              <w:tabs>
                <w:tab w:val="left" w:pos="945"/>
              </w:tabs>
              <w:rPr>
                <w:rFonts w:ascii="Times New Roman" w:eastAsia="Calibri" w:hAnsi="Times New Roman" w:cs="Times New Roman"/>
                <w:bCs/>
                <w:sz w:val="24"/>
                <w:szCs w:val="24"/>
              </w:rPr>
            </w:pPr>
            <w:r w:rsidRPr="004C481A">
              <w:rPr>
                <w:rFonts w:ascii="Times New Roman" w:eastAsia="Calibri" w:hAnsi="Times New Roman" w:cs="Times New Roman"/>
                <w:bCs/>
                <w:sz w:val="24"/>
                <w:szCs w:val="24"/>
              </w:rPr>
              <w:t xml:space="preserve">19 02 04*- Mbetje të përziera paraprakisht, të kompozuara nga të paktën një </w:t>
            </w:r>
            <w:r>
              <w:rPr>
                <w:rFonts w:ascii="Times New Roman" w:eastAsia="Calibri" w:hAnsi="Times New Roman" w:cs="Times New Roman"/>
                <w:bCs/>
                <w:sz w:val="24"/>
                <w:szCs w:val="24"/>
              </w:rPr>
              <w:t xml:space="preserve">të </w:t>
            </w:r>
            <w:r w:rsidRPr="004C481A">
              <w:rPr>
                <w:rFonts w:ascii="Times New Roman" w:eastAsia="Calibri" w:hAnsi="Times New Roman" w:cs="Times New Roman"/>
                <w:bCs/>
                <w:sz w:val="24"/>
                <w:szCs w:val="24"/>
              </w:rPr>
              <w:t>rrezikshme</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141790</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tcPr>
          <w:p w:rsidR="003A31D9" w:rsidRPr="00BE099F" w:rsidRDefault="003A31D9" w:rsidP="003A31D9">
            <w:pPr>
              <w:tabs>
                <w:tab w:val="left" w:pos="945"/>
              </w:tabs>
              <w:rPr>
                <w:rFonts w:ascii="Times New Roman" w:eastAsia="Calibri" w:hAnsi="Times New Roman" w:cs="Times New Roman"/>
                <w:bCs/>
                <w:sz w:val="24"/>
                <w:szCs w:val="24"/>
              </w:rPr>
            </w:pPr>
            <w:r w:rsidRPr="004C481A">
              <w:rPr>
                <w:rFonts w:ascii="Times New Roman" w:eastAsia="Calibri" w:hAnsi="Times New Roman" w:cs="Times New Roman"/>
                <w:bCs/>
                <w:sz w:val="24"/>
                <w:szCs w:val="24"/>
              </w:rPr>
              <w:t>19 04 02*- Hi fluturues dhe mbetje të tjera nga trajtimi i gazeve</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190702</w:t>
            </w:r>
          </w:p>
        </w:tc>
      </w:tr>
      <w:tr w:rsidR="003A31D9" w:rsidRPr="00357C2F" w:rsidTr="003A31D9">
        <w:trPr>
          <w:trHeight w:val="512"/>
        </w:trPr>
        <w:tc>
          <w:tcPr>
            <w:tcW w:w="7666" w:type="dxa"/>
            <w:tcBorders>
              <w:top w:val="single" w:sz="4" w:space="0" w:color="auto"/>
              <w:left w:val="single" w:sz="4" w:space="0" w:color="auto"/>
              <w:bottom w:val="single" w:sz="4" w:space="0" w:color="auto"/>
              <w:right w:val="single" w:sz="4" w:space="0" w:color="auto"/>
            </w:tcBorders>
          </w:tcPr>
          <w:p w:rsidR="003A31D9" w:rsidRPr="00BE099F" w:rsidRDefault="003A31D9" w:rsidP="003A31D9">
            <w:pPr>
              <w:tabs>
                <w:tab w:val="left" w:pos="945"/>
              </w:tabs>
              <w:rPr>
                <w:rFonts w:ascii="Times New Roman" w:eastAsia="Calibri" w:hAnsi="Times New Roman" w:cs="Times New Roman"/>
                <w:bCs/>
                <w:sz w:val="24"/>
                <w:szCs w:val="24"/>
              </w:rPr>
            </w:pPr>
            <w:r w:rsidRPr="002503B4">
              <w:rPr>
                <w:rFonts w:ascii="Times New Roman" w:eastAsia="Calibri" w:hAnsi="Times New Roman" w:cs="Times New Roman"/>
                <w:bCs/>
                <w:sz w:val="24"/>
                <w:szCs w:val="24"/>
              </w:rPr>
              <w:t>20 01 37*-Mbetje druri që përmbajnë substanca të rrezikshme</w:t>
            </w:r>
          </w:p>
        </w:tc>
        <w:tc>
          <w:tcPr>
            <w:tcW w:w="2249" w:type="dxa"/>
            <w:tcBorders>
              <w:top w:val="single" w:sz="4" w:space="0" w:color="auto"/>
              <w:left w:val="single" w:sz="4" w:space="0" w:color="auto"/>
              <w:bottom w:val="single" w:sz="4" w:space="0" w:color="auto"/>
              <w:right w:val="single" w:sz="4" w:space="0" w:color="auto"/>
            </w:tcBorders>
          </w:tcPr>
          <w:p w:rsidR="003A31D9" w:rsidRPr="00357C2F" w:rsidRDefault="003A31D9" w:rsidP="003A31D9">
            <w:pPr>
              <w:jc w:val="right"/>
              <w:rPr>
                <w:rFonts w:ascii="Times New Roman" w:hAnsi="Times New Roman" w:cs="Times New Roman"/>
                <w:color w:val="000000"/>
                <w:sz w:val="24"/>
                <w:szCs w:val="24"/>
              </w:rPr>
            </w:pPr>
            <w:r w:rsidRPr="00357C2F">
              <w:rPr>
                <w:rFonts w:ascii="Times New Roman" w:hAnsi="Times New Roman" w:cs="Times New Roman"/>
                <w:color w:val="000000"/>
                <w:sz w:val="24"/>
                <w:szCs w:val="24"/>
              </w:rPr>
              <w:t>5020</w:t>
            </w:r>
          </w:p>
        </w:tc>
      </w:tr>
    </w:tbl>
    <w:p w:rsidR="003A31D9" w:rsidRDefault="003A31D9" w:rsidP="003A31D9">
      <w:pPr>
        <w:spacing w:after="0" w:line="240" w:lineRule="auto"/>
        <w:jc w:val="both"/>
        <w:rPr>
          <w:rFonts w:ascii="Times New Roman" w:eastAsia="Calibri" w:hAnsi="Times New Roman" w:cs="Times New Roman"/>
          <w:sz w:val="24"/>
          <w:szCs w:val="24"/>
        </w:rPr>
      </w:pPr>
    </w:p>
    <w:p w:rsidR="004A74BB" w:rsidRPr="003A31D9" w:rsidRDefault="00770740" w:rsidP="003A31D9">
      <w:pPr>
        <w:spacing w:after="0" w:line="240" w:lineRule="auto"/>
        <w:jc w:val="both"/>
        <w:rPr>
          <w:rFonts w:ascii="Calibri" w:eastAsia="Times New Roman" w:hAnsi="Calibri" w:cs="Calibri"/>
          <w:color w:val="000000"/>
        </w:rPr>
      </w:pPr>
      <w:r w:rsidRPr="00770740">
        <w:rPr>
          <w:rFonts w:ascii="Times New Roman" w:eastAsia="Calibri" w:hAnsi="Times New Roman" w:cs="Times New Roman"/>
          <w:sz w:val="24"/>
          <w:szCs w:val="24"/>
        </w:rPr>
        <w:t xml:space="preserve">Gjatë vitit 2025 janë transferuar/trajtuar rreth </w:t>
      </w:r>
      <w:r w:rsidR="003A31D9" w:rsidRPr="003A31D9">
        <w:rPr>
          <w:rFonts w:ascii="Times New Roman" w:eastAsia="Times New Roman" w:hAnsi="Times New Roman" w:cs="Times New Roman"/>
          <w:color w:val="000000"/>
          <w:sz w:val="24"/>
          <w:szCs w:val="24"/>
        </w:rPr>
        <w:t>674,077,904</w:t>
      </w:r>
      <w:r w:rsidR="003A31D9">
        <w:rPr>
          <w:rFonts w:ascii="Calibri" w:eastAsia="Times New Roman" w:hAnsi="Calibri" w:cs="Calibri"/>
          <w:color w:val="000000"/>
        </w:rPr>
        <w:t xml:space="preserve"> </w:t>
      </w:r>
      <w:r w:rsidR="003A31D9">
        <w:rPr>
          <w:rFonts w:ascii="Calibri" w:eastAsia="Times New Roman" w:hAnsi="Calibri" w:cs="Times New Roman"/>
          <w:color w:val="000000"/>
        </w:rPr>
        <w:t xml:space="preserve"> </w:t>
      </w:r>
      <w:r w:rsidRPr="00770740">
        <w:rPr>
          <w:rFonts w:ascii="Times New Roman" w:eastAsia="Calibri" w:hAnsi="Times New Roman" w:cs="Times New Roman"/>
          <w:sz w:val="24"/>
          <w:szCs w:val="24"/>
        </w:rPr>
        <w:t>kg mbetje të parrezikshme dhe të rrezikshme në total</w:t>
      </w:r>
      <w:r w:rsidR="00FD4C4D">
        <w:rPr>
          <w:rFonts w:ascii="Times New Roman" w:eastAsia="Calibri" w:hAnsi="Times New Roman" w:cs="Times New Roman"/>
          <w:sz w:val="24"/>
          <w:szCs w:val="24"/>
        </w:rPr>
        <w:t>.</w:t>
      </w:r>
    </w:p>
    <w:p w:rsidR="00F556BB" w:rsidRDefault="00B24E99" w:rsidP="003A31D9">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Tabela </w:t>
      </w:r>
      <w:r w:rsidR="00BA3F62">
        <w:rPr>
          <w:rFonts w:ascii="Times New Roman" w:eastAsia="Calibri" w:hAnsi="Times New Roman" w:cs="Times New Roman"/>
          <w:sz w:val="24"/>
          <w:szCs w:val="24"/>
        </w:rPr>
        <w:t>8</w:t>
      </w:r>
      <w:r w:rsidR="003A31D9">
        <w:rPr>
          <w:rFonts w:ascii="Times New Roman" w:eastAsia="Calibri" w:hAnsi="Times New Roman" w:cs="Times New Roman"/>
          <w:sz w:val="24"/>
          <w:szCs w:val="24"/>
        </w:rPr>
        <w:t>6</w:t>
      </w:r>
      <w:r w:rsidR="00BA3F62">
        <w:rPr>
          <w:rFonts w:ascii="Times New Roman" w:eastAsia="Calibri" w:hAnsi="Times New Roman" w:cs="Times New Roman"/>
          <w:sz w:val="24"/>
          <w:szCs w:val="24"/>
        </w:rPr>
        <w:t xml:space="preserve">. </w:t>
      </w:r>
      <w:r w:rsidR="00F556BB">
        <w:rPr>
          <w:rFonts w:ascii="Times New Roman" w:eastAsia="Calibri" w:hAnsi="Times New Roman" w:cs="Times New Roman"/>
          <w:sz w:val="24"/>
          <w:szCs w:val="24"/>
        </w:rPr>
        <w:t>Tendenca e transferimit të mbetjeve industrial</w:t>
      </w:r>
      <w:r w:rsidR="005A0F11">
        <w:rPr>
          <w:rFonts w:ascii="Times New Roman" w:eastAsia="Calibri" w:hAnsi="Times New Roman" w:cs="Times New Roman"/>
          <w:sz w:val="24"/>
          <w:szCs w:val="24"/>
        </w:rPr>
        <w:t>e</w:t>
      </w:r>
    </w:p>
    <w:tbl>
      <w:tblPr>
        <w:tblStyle w:val="TableGrid"/>
        <w:tblW w:w="0" w:type="auto"/>
        <w:tblLook w:val="04A0" w:firstRow="1" w:lastRow="0" w:firstColumn="1" w:lastColumn="0" w:noHBand="0" w:noVBand="1"/>
      </w:tblPr>
      <w:tblGrid>
        <w:gridCol w:w="4608"/>
        <w:gridCol w:w="1620"/>
        <w:gridCol w:w="1800"/>
        <w:gridCol w:w="1548"/>
      </w:tblGrid>
      <w:tr w:rsidR="00F556BB" w:rsidTr="005A0F11">
        <w:tc>
          <w:tcPr>
            <w:tcW w:w="4608" w:type="dxa"/>
          </w:tcPr>
          <w:p w:rsidR="00F556BB" w:rsidRDefault="00F556BB" w:rsidP="00FD4C4D">
            <w:pPr>
              <w:jc w:val="both"/>
              <w:rPr>
                <w:rFonts w:ascii="Times New Roman" w:eastAsia="Calibri" w:hAnsi="Times New Roman" w:cs="Times New Roman"/>
                <w:sz w:val="24"/>
                <w:szCs w:val="24"/>
              </w:rPr>
            </w:pPr>
          </w:p>
        </w:tc>
        <w:tc>
          <w:tcPr>
            <w:tcW w:w="1620" w:type="dxa"/>
          </w:tcPr>
          <w:p w:rsidR="00F556BB" w:rsidRDefault="00F556BB" w:rsidP="00FD4C4D">
            <w:pPr>
              <w:jc w:val="both"/>
              <w:rPr>
                <w:rFonts w:ascii="Times New Roman" w:eastAsia="Calibri" w:hAnsi="Times New Roman" w:cs="Times New Roman"/>
                <w:sz w:val="24"/>
                <w:szCs w:val="24"/>
              </w:rPr>
            </w:pPr>
            <w:r>
              <w:rPr>
                <w:rFonts w:ascii="Times New Roman" w:eastAsia="Calibri" w:hAnsi="Times New Roman" w:cs="Times New Roman"/>
                <w:sz w:val="24"/>
                <w:szCs w:val="24"/>
              </w:rPr>
              <w:t>2023</w:t>
            </w:r>
          </w:p>
        </w:tc>
        <w:tc>
          <w:tcPr>
            <w:tcW w:w="1800" w:type="dxa"/>
          </w:tcPr>
          <w:p w:rsidR="00F556BB" w:rsidRDefault="00F556BB" w:rsidP="00FD4C4D">
            <w:pPr>
              <w:jc w:val="both"/>
              <w:rPr>
                <w:rFonts w:ascii="Times New Roman" w:eastAsia="Calibri" w:hAnsi="Times New Roman" w:cs="Times New Roman"/>
                <w:sz w:val="24"/>
                <w:szCs w:val="24"/>
              </w:rPr>
            </w:pPr>
            <w:r>
              <w:rPr>
                <w:rFonts w:ascii="Times New Roman" w:eastAsia="Calibri" w:hAnsi="Times New Roman" w:cs="Times New Roman"/>
                <w:sz w:val="24"/>
                <w:szCs w:val="24"/>
              </w:rPr>
              <w:t>2024</w:t>
            </w:r>
          </w:p>
        </w:tc>
        <w:tc>
          <w:tcPr>
            <w:tcW w:w="1548" w:type="dxa"/>
          </w:tcPr>
          <w:p w:rsidR="00F556BB" w:rsidRDefault="00F556BB" w:rsidP="00FD4C4D">
            <w:pPr>
              <w:jc w:val="both"/>
              <w:rPr>
                <w:rFonts w:ascii="Times New Roman" w:eastAsia="Calibri" w:hAnsi="Times New Roman" w:cs="Times New Roman"/>
                <w:sz w:val="24"/>
                <w:szCs w:val="24"/>
              </w:rPr>
            </w:pPr>
            <w:r>
              <w:rPr>
                <w:rFonts w:ascii="Times New Roman" w:eastAsia="Calibri" w:hAnsi="Times New Roman" w:cs="Times New Roman"/>
                <w:sz w:val="24"/>
                <w:szCs w:val="24"/>
              </w:rPr>
              <w:t>2025</w:t>
            </w:r>
          </w:p>
        </w:tc>
      </w:tr>
      <w:tr w:rsidR="00F556BB" w:rsidTr="005A0F11">
        <w:tc>
          <w:tcPr>
            <w:tcW w:w="4608" w:type="dxa"/>
          </w:tcPr>
          <w:p w:rsidR="00F556BB" w:rsidRDefault="00F556BB" w:rsidP="00FD4C4D">
            <w:pPr>
              <w:jc w:val="both"/>
              <w:rPr>
                <w:rFonts w:ascii="Times New Roman" w:eastAsia="Calibri" w:hAnsi="Times New Roman" w:cs="Times New Roman"/>
                <w:sz w:val="24"/>
                <w:szCs w:val="24"/>
              </w:rPr>
            </w:pPr>
            <w:r>
              <w:rPr>
                <w:rFonts w:ascii="Times New Roman" w:eastAsia="Calibri" w:hAnsi="Times New Roman" w:cs="Times New Roman"/>
                <w:sz w:val="24"/>
                <w:szCs w:val="24"/>
              </w:rPr>
              <w:t>Sasia totale  e mbetjeve industriale (ton)</w:t>
            </w:r>
          </w:p>
        </w:tc>
        <w:tc>
          <w:tcPr>
            <w:tcW w:w="1620" w:type="dxa"/>
          </w:tcPr>
          <w:p w:rsidR="00F556BB" w:rsidRDefault="00F556BB" w:rsidP="00FD4C4D">
            <w:pPr>
              <w:jc w:val="both"/>
              <w:rPr>
                <w:rFonts w:ascii="Times New Roman" w:eastAsia="Calibri" w:hAnsi="Times New Roman" w:cs="Times New Roman"/>
                <w:sz w:val="24"/>
                <w:szCs w:val="24"/>
              </w:rPr>
            </w:pPr>
            <w:r>
              <w:rPr>
                <w:rFonts w:ascii="Times New Roman" w:eastAsia="Calibri" w:hAnsi="Times New Roman" w:cs="Times New Roman"/>
                <w:sz w:val="24"/>
                <w:szCs w:val="24"/>
              </w:rPr>
              <w:t>72,230</w:t>
            </w:r>
          </w:p>
        </w:tc>
        <w:tc>
          <w:tcPr>
            <w:tcW w:w="1800" w:type="dxa"/>
          </w:tcPr>
          <w:p w:rsidR="00F556BB" w:rsidRDefault="00F556BB" w:rsidP="00FD4C4D">
            <w:pPr>
              <w:jc w:val="both"/>
              <w:rPr>
                <w:rFonts w:ascii="Times New Roman" w:eastAsia="Calibri" w:hAnsi="Times New Roman" w:cs="Times New Roman"/>
                <w:sz w:val="24"/>
                <w:szCs w:val="24"/>
              </w:rPr>
            </w:pPr>
            <w:r>
              <w:rPr>
                <w:rFonts w:ascii="Times New Roman" w:eastAsia="Calibri" w:hAnsi="Times New Roman" w:cs="Times New Roman"/>
                <w:sz w:val="24"/>
                <w:szCs w:val="24"/>
              </w:rPr>
              <w:t>1,412,662</w:t>
            </w:r>
          </w:p>
        </w:tc>
        <w:tc>
          <w:tcPr>
            <w:tcW w:w="1548" w:type="dxa"/>
          </w:tcPr>
          <w:p w:rsidR="00F556BB" w:rsidRPr="003A31D9" w:rsidRDefault="003A31D9" w:rsidP="00FD4C4D">
            <w:pPr>
              <w:jc w:val="both"/>
              <w:rPr>
                <w:rFonts w:ascii="Times New Roman" w:eastAsia="Calibri" w:hAnsi="Times New Roman" w:cs="Times New Roman"/>
                <w:sz w:val="24"/>
                <w:szCs w:val="24"/>
              </w:rPr>
            </w:pPr>
            <w:r w:rsidRPr="003A31D9">
              <w:rPr>
                <w:rFonts w:ascii="Times New Roman" w:eastAsia="Times New Roman" w:hAnsi="Times New Roman" w:cs="Times New Roman"/>
                <w:color w:val="000000"/>
                <w:sz w:val="24"/>
                <w:szCs w:val="24"/>
              </w:rPr>
              <w:t>674,078</w:t>
            </w:r>
          </w:p>
        </w:tc>
      </w:tr>
    </w:tbl>
    <w:p w:rsidR="003A31D9" w:rsidRDefault="003A31D9" w:rsidP="003A31D9">
      <w:pPr>
        <w:spacing w:after="0" w:line="240" w:lineRule="auto"/>
        <w:jc w:val="both"/>
        <w:rPr>
          <w:rFonts w:ascii="Times New Roman" w:eastAsia="Calibri" w:hAnsi="Times New Roman" w:cs="Times New Roman"/>
          <w:sz w:val="24"/>
          <w:szCs w:val="24"/>
        </w:rPr>
      </w:pPr>
    </w:p>
    <w:p w:rsidR="005A0F11" w:rsidRDefault="005A0F11" w:rsidP="003A31D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Shihet një ulje e sasisë të  mbetjeve të transferuara gjatë vitit 2025 krahasuar me vitin 2024.</w:t>
      </w:r>
    </w:p>
    <w:p w:rsidR="003A31D9" w:rsidRDefault="003A31D9" w:rsidP="003A31D9">
      <w:pPr>
        <w:spacing w:after="0" w:line="240" w:lineRule="auto"/>
        <w:jc w:val="both"/>
        <w:rPr>
          <w:rFonts w:ascii="Times New Roman" w:eastAsia="Calibri" w:hAnsi="Times New Roman" w:cs="Times New Roman"/>
          <w:sz w:val="24"/>
          <w:szCs w:val="24"/>
        </w:rPr>
      </w:pPr>
    </w:p>
    <w:p w:rsidR="00963BAC" w:rsidRPr="00F545EA" w:rsidRDefault="007E02EB" w:rsidP="00963BAC">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10.2.4 </w:t>
      </w:r>
      <w:r w:rsidR="00FD4C4D">
        <w:rPr>
          <w:rFonts w:ascii="Times New Roman" w:eastAsia="Calibri" w:hAnsi="Times New Roman" w:cs="Times New Roman"/>
          <w:b/>
          <w:sz w:val="24"/>
          <w:szCs w:val="24"/>
        </w:rPr>
        <w:t>Mbetjet nga Shë</w:t>
      </w:r>
      <w:r w:rsidR="00963BAC" w:rsidRPr="00F545EA">
        <w:rPr>
          <w:rFonts w:ascii="Times New Roman" w:eastAsia="Calibri" w:hAnsi="Times New Roman" w:cs="Times New Roman"/>
          <w:b/>
          <w:sz w:val="24"/>
          <w:szCs w:val="24"/>
        </w:rPr>
        <w:t>ndetësia</w:t>
      </w:r>
    </w:p>
    <w:p w:rsidR="00F545EA" w:rsidRPr="007E02EB" w:rsidRDefault="004A74BB" w:rsidP="003A31D9">
      <w:pPr>
        <w:spacing w:after="0" w:line="240" w:lineRule="auto"/>
        <w:jc w:val="both"/>
        <w:rPr>
          <w:rFonts w:ascii="Times New Roman" w:eastAsia="Calibri" w:hAnsi="Times New Roman" w:cs="Times New Roman"/>
          <w:sz w:val="24"/>
          <w:szCs w:val="24"/>
        </w:rPr>
      </w:pPr>
      <w:r w:rsidRPr="00F545EA">
        <w:rPr>
          <w:rFonts w:ascii="Times New Roman" w:eastAsia="Calibri" w:hAnsi="Times New Roman" w:cs="Times New Roman"/>
          <w:sz w:val="24"/>
          <w:szCs w:val="24"/>
        </w:rPr>
        <w:t>Në tabelat e mëposhtme paraqiten të dhënat vjetore mbi sasitë e mbetjeve të rrezikshme spitalore të prodhuara nga s</w:t>
      </w:r>
      <w:r w:rsidR="00F545EA" w:rsidRPr="00F545EA">
        <w:rPr>
          <w:rFonts w:ascii="Times New Roman" w:eastAsia="Calibri" w:hAnsi="Times New Roman" w:cs="Times New Roman"/>
          <w:sz w:val="24"/>
          <w:szCs w:val="24"/>
        </w:rPr>
        <w:t>p</w:t>
      </w:r>
      <w:r w:rsidRPr="00F545EA">
        <w:rPr>
          <w:rFonts w:ascii="Times New Roman" w:eastAsia="Calibri" w:hAnsi="Times New Roman" w:cs="Times New Roman"/>
          <w:sz w:val="24"/>
          <w:szCs w:val="24"/>
        </w:rPr>
        <w:t>italet publike dhe jopublike</w:t>
      </w:r>
      <w:r w:rsidR="00F545EA" w:rsidRPr="00F545EA">
        <w:rPr>
          <w:rFonts w:ascii="Times New Roman" w:eastAsia="Calibri" w:hAnsi="Times New Roman" w:cs="Times New Roman"/>
          <w:sz w:val="24"/>
          <w:szCs w:val="24"/>
        </w:rPr>
        <w:t xml:space="preserve"> si dhe nga Njësitë </w:t>
      </w:r>
      <w:r w:rsidR="00F545EA">
        <w:rPr>
          <w:rFonts w:ascii="Times New Roman" w:eastAsia="Calibri" w:hAnsi="Times New Roman" w:cs="Times New Roman"/>
          <w:sz w:val="24"/>
          <w:szCs w:val="24"/>
        </w:rPr>
        <w:t>V</w:t>
      </w:r>
      <w:r w:rsidR="00F545EA" w:rsidRPr="00F545EA">
        <w:rPr>
          <w:rFonts w:ascii="Times New Roman" w:eastAsia="Calibri" w:hAnsi="Times New Roman" w:cs="Times New Roman"/>
          <w:sz w:val="24"/>
          <w:szCs w:val="24"/>
        </w:rPr>
        <w:t>endore të Kujdesit Shëndetësor</w:t>
      </w:r>
      <w:r w:rsidR="00700512">
        <w:rPr>
          <w:rFonts w:ascii="Times New Roman" w:eastAsia="Calibri" w:hAnsi="Times New Roman" w:cs="Times New Roman"/>
          <w:sz w:val="24"/>
          <w:szCs w:val="24"/>
        </w:rPr>
        <w:t>.</w:t>
      </w:r>
      <w:r w:rsidR="007E02EB" w:rsidRPr="007E02EB">
        <w:rPr>
          <w:rFonts w:ascii="Times New Roman" w:eastAsia="Calibri" w:hAnsi="Times New Roman" w:cs="Times New Roman"/>
          <w:bCs/>
          <w:sz w:val="24"/>
          <w:szCs w:val="24"/>
          <w:lang w:val="en-GB"/>
        </w:rPr>
        <w:t xml:space="preserve"> Këto të dhëna ofrojnë një pasqyrë të gjenerimit të mbetjeve të kujdesit shëndetësor dhe mundësojnë vlerësimin e tendencave dhe të efektivitetit të praktikave të menaxhimit të mbetjeve në këtë sektor</w:t>
      </w:r>
    </w:p>
    <w:p w:rsidR="00963BAC" w:rsidRPr="007E02EB" w:rsidRDefault="007E02EB" w:rsidP="00963BA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B24E99">
        <w:rPr>
          <w:rFonts w:ascii="Times New Roman" w:eastAsia="Calibri" w:hAnsi="Times New Roman" w:cs="Times New Roman"/>
          <w:sz w:val="24"/>
          <w:szCs w:val="24"/>
        </w:rPr>
        <w:t>Tabela 8</w:t>
      </w:r>
      <w:r w:rsidR="003A31D9">
        <w:rPr>
          <w:rFonts w:ascii="Times New Roman" w:eastAsia="Calibri" w:hAnsi="Times New Roman" w:cs="Times New Roman"/>
          <w:sz w:val="24"/>
          <w:szCs w:val="24"/>
        </w:rPr>
        <w:t>7</w:t>
      </w:r>
      <w:r w:rsidRPr="007E02EB">
        <w:rPr>
          <w:rFonts w:ascii="Times New Roman" w:eastAsia="Calibri" w:hAnsi="Times New Roman" w:cs="Times New Roman"/>
          <w:sz w:val="24"/>
          <w:szCs w:val="24"/>
        </w:rPr>
        <w:t>.</w:t>
      </w:r>
      <w:r w:rsidR="003A31D9">
        <w:rPr>
          <w:rFonts w:ascii="Times New Roman" w:eastAsia="Calibri" w:hAnsi="Times New Roman" w:cs="Times New Roman"/>
          <w:sz w:val="24"/>
          <w:szCs w:val="24"/>
        </w:rPr>
        <w:t xml:space="preserve"> </w:t>
      </w:r>
      <w:r w:rsidR="00F545EA" w:rsidRPr="007E02EB">
        <w:rPr>
          <w:rFonts w:ascii="Times New Roman" w:eastAsia="Calibri" w:hAnsi="Times New Roman" w:cs="Times New Roman"/>
          <w:sz w:val="24"/>
          <w:szCs w:val="24"/>
        </w:rPr>
        <w:t>Mbetjet nga spitalet publike dhe jo publike, viti 2025</w:t>
      </w:r>
    </w:p>
    <w:tbl>
      <w:tblPr>
        <w:tblW w:w="8931" w:type="dxa"/>
        <w:tblInd w:w="-5" w:type="dxa"/>
        <w:tblLook w:val="04A0" w:firstRow="1" w:lastRow="0" w:firstColumn="1" w:lastColumn="0" w:noHBand="0" w:noVBand="1"/>
      </w:tblPr>
      <w:tblGrid>
        <w:gridCol w:w="1506"/>
        <w:gridCol w:w="1755"/>
        <w:gridCol w:w="5670"/>
      </w:tblGrid>
      <w:tr w:rsidR="00002E0A" w:rsidRPr="00002E0A" w:rsidTr="00F47F68">
        <w:trPr>
          <w:trHeight w:val="315"/>
        </w:trPr>
        <w:tc>
          <w:tcPr>
            <w:tcW w:w="1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20" w:after="20" w:line="240" w:lineRule="auto"/>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eastAsia="sq-AL"/>
              </w:rPr>
              <w:t>QARKU</w:t>
            </w:r>
          </w:p>
        </w:tc>
        <w:tc>
          <w:tcPr>
            <w:tcW w:w="1755" w:type="dxa"/>
            <w:tcBorders>
              <w:top w:val="single" w:sz="4" w:space="0" w:color="auto"/>
              <w:left w:val="nil"/>
              <w:bottom w:val="single" w:sz="4" w:space="0" w:color="auto"/>
              <w:right w:val="single" w:sz="4" w:space="0" w:color="auto"/>
            </w:tcBorders>
            <w:shd w:val="clear" w:color="auto" w:fill="auto"/>
            <w:noWrap/>
            <w:vAlign w:val="center"/>
            <w:hideMark/>
          </w:tcPr>
          <w:p w:rsidR="00002E0A" w:rsidRPr="00002E0A" w:rsidRDefault="00002E0A" w:rsidP="00002E0A">
            <w:pPr>
              <w:spacing w:before="20" w:after="20" w:line="240" w:lineRule="auto"/>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eastAsia="sq-AL"/>
              </w:rPr>
              <w:t>Sasia e prodhuar (kg)</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rsidR="00002E0A" w:rsidRPr="00002E0A" w:rsidRDefault="00002E0A" w:rsidP="00002E0A">
            <w:pPr>
              <w:spacing w:before="20" w:after="20" w:line="240" w:lineRule="auto"/>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eastAsia="sq-AL"/>
              </w:rPr>
              <w:t>Kontratë me subjektet e licensuar për trajtimin e mbetjeve spitalore</w:t>
            </w:r>
          </w:p>
        </w:tc>
      </w:tr>
      <w:tr w:rsidR="00002E0A" w:rsidRPr="00002E0A" w:rsidTr="00F47F68">
        <w:trPr>
          <w:trHeight w:val="315"/>
        </w:trPr>
        <w:tc>
          <w:tcPr>
            <w:tcW w:w="1506" w:type="dxa"/>
            <w:tcBorders>
              <w:top w:val="nil"/>
              <w:left w:val="single" w:sz="4"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both"/>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eastAsia="sq-AL"/>
              </w:rPr>
              <w:t>Berat</w:t>
            </w:r>
          </w:p>
        </w:tc>
        <w:tc>
          <w:tcPr>
            <w:tcW w:w="175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right"/>
              <w:rPr>
                <w:rFonts w:ascii="Times New Roman" w:eastAsia="Times New Roman" w:hAnsi="Times New Roman" w:cs="Times New Roman"/>
                <w:color w:val="000000"/>
                <w:sz w:val="24"/>
                <w:szCs w:val="24"/>
                <w:lang w:val="sq-AL" w:eastAsia="sq-AL"/>
              </w:rPr>
            </w:pPr>
            <w:r w:rsidRPr="00002E0A">
              <w:rPr>
                <w:rFonts w:ascii="Times New Roman" w:eastAsia="Times New Roman" w:hAnsi="Times New Roman" w:cs="Times New Roman"/>
                <w:color w:val="000000"/>
                <w:sz w:val="24"/>
                <w:szCs w:val="24"/>
                <w:lang w:val="sq-AL" w:eastAsia="sq-AL"/>
              </w:rPr>
              <w:t>20,130.20</w:t>
            </w:r>
          </w:p>
        </w:tc>
        <w:tc>
          <w:tcPr>
            <w:tcW w:w="5670" w:type="dxa"/>
            <w:tcBorders>
              <w:top w:val="nil"/>
              <w:left w:val="nil"/>
              <w:bottom w:val="single" w:sz="4" w:space="0" w:color="auto"/>
              <w:right w:val="single" w:sz="4" w:space="0" w:color="auto"/>
            </w:tcBorders>
            <w:shd w:val="clear" w:color="auto" w:fill="auto"/>
            <w:noWrap/>
            <w:vAlign w:val="center"/>
          </w:tcPr>
          <w:p w:rsidR="00002E0A" w:rsidRPr="00002E0A" w:rsidRDefault="00002E0A" w:rsidP="00002E0A">
            <w:pPr>
              <w:spacing w:before="40" w:after="40" w:line="240" w:lineRule="auto"/>
              <w:rPr>
                <w:rFonts w:ascii="Times New Roman" w:eastAsia="Times New Roman" w:hAnsi="Times New Roman" w:cs="Times New Roman"/>
                <w:color w:val="000000"/>
                <w:sz w:val="24"/>
                <w:szCs w:val="24"/>
                <w:lang w:eastAsia="sq-AL"/>
              </w:rPr>
            </w:pPr>
            <w:r w:rsidRPr="00002E0A">
              <w:rPr>
                <w:rFonts w:ascii="Times New Roman" w:eastAsia="Times New Roman" w:hAnsi="Times New Roman" w:cs="Times New Roman"/>
                <w:color w:val="000000"/>
                <w:sz w:val="24"/>
                <w:szCs w:val="24"/>
                <w:lang w:eastAsia="sq-AL"/>
              </w:rPr>
              <w:t>Medi-Tel shpk, Pura Medical shpk, Eco Riciklim shpk</w:t>
            </w:r>
          </w:p>
        </w:tc>
      </w:tr>
      <w:tr w:rsidR="00002E0A" w:rsidRPr="00002E0A" w:rsidTr="00F47F68">
        <w:trPr>
          <w:trHeight w:val="315"/>
        </w:trPr>
        <w:tc>
          <w:tcPr>
            <w:tcW w:w="1506" w:type="dxa"/>
            <w:tcBorders>
              <w:top w:val="nil"/>
              <w:left w:val="single" w:sz="4"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both"/>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eastAsia="sq-AL"/>
              </w:rPr>
              <w:t>Durres</w:t>
            </w:r>
          </w:p>
        </w:tc>
        <w:tc>
          <w:tcPr>
            <w:tcW w:w="1755" w:type="dxa"/>
            <w:tcBorders>
              <w:top w:val="nil"/>
              <w:left w:val="single" w:sz="8"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right"/>
              <w:rPr>
                <w:rFonts w:ascii="Times New Roman" w:eastAsia="Times New Roman" w:hAnsi="Times New Roman" w:cs="Times New Roman"/>
                <w:color w:val="000000"/>
                <w:sz w:val="24"/>
                <w:szCs w:val="24"/>
                <w:lang w:val="sq-AL" w:eastAsia="sq-AL"/>
              </w:rPr>
            </w:pPr>
            <w:r w:rsidRPr="00002E0A">
              <w:rPr>
                <w:rFonts w:ascii="Times New Roman" w:eastAsia="Times New Roman" w:hAnsi="Times New Roman" w:cs="Times New Roman"/>
                <w:color w:val="000000"/>
                <w:sz w:val="24"/>
                <w:szCs w:val="24"/>
                <w:lang w:val="sq-AL" w:eastAsia="sq-AL"/>
              </w:rPr>
              <w:t>73,092.40</w:t>
            </w:r>
          </w:p>
        </w:tc>
        <w:tc>
          <w:tcPr>
            <w:tcW w:w="5670" w:type="dxa"/>
            <w:tcBorders>
              <w:top w:val="nil"/>
              <w:left w:val="nil"/>
              <w:bottom w:val="single" w:sz="4" w:space="0" w:color="auto"/>
              <w:right w:val="single" w:sz="4" w:space="0" w:color="auto"/>
            </w:tcBorders>
            <w:shd w:val="clear" w:color="auto" w:fill="auto"/>
            <w:noWrap/>
            <w:vAlign w:val="center"/>
          </w:tcPr>
          <w:p w:rsidR="00002E0A" w:rsidRPr="00002E0A" w:rsidRDefault="00002E0A" w:rsidP="00002E0A">
            <w:pPr>
              <w:spacing w:before="40" w:after="40" w:line="240" w:lineRule="auto"/>
              <w:rPr>
                <w:rFonts w:ascii="Times New Roman" w:eastAsia="Times New Roman" w:hAnsi="Times New Roman" w:cs="Times New Roman"/>
                <w:color w:val="000000"/>
                <w:sz w:val="24"/>
                <w:szCs w:val="24"/>
                <w:lang w:eastAsia="sq-AL"/>
              </w:rPr>
            </w:pPr>
            <w:r w:rsidRPr="00002E0A">
              <w:rPr>
                <w:rFonts w:ascii="Times New Roman" w:eastAsia="Times New Roman" w:hAnsi="Times New Roman" w:cs="Times New Roman"/>
                <w:color w:val="000000"/>
                <w:sz w:val="24"/>
                <w:szCs w:val="24"/>
                <w:lang w:eastAsia="sq-AL"/>
              </w:rPr>
              <w:t>Vale Recycling shpk, Eco Riciklim shpk</w:t>
            </w:r>
          </w:p>
        </w:tc>
      </w:tr>
      <w:tr w:rsidR="00002E0A" w:rsidRPr="00002E0A" w:rsidTr="00F47F68">
        <w:trPr>
          <w:trHeight w:val="315"/>
        </w:trPr>
        <w:tc>
          <w:tcPr>
            <w:tcW w:w="1506" w:type="dxa"/>
            <w:tcBorders>
              <w:top w:val="nil"/>
              <w:left w:val="single" w:sz="4"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both"/>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eastAsia="sq-AL"/>
              </w:rPr>
              <w:t>Elbasan</w:t>
            </w:r>
          </w:p>
        </w:tc>
        <w:tc>
          <w:tcPr>
            <w:tcW w:w="1755" w:type="dxa"/>
            <w:tcBorders>
              <w:top w:val="nil"/>
              <w:left w:val="single" w:sz="8"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right"/>
              <w:rPr>
                <w:rFonts w:ascii="Times New Roman" w:eastAsia="Times New Roman" w:hAnsi="Times New Roman" w:cs="Times New Roman"/>
                <w:color w:val="000000"/>
                <w:sz w:val="24"/>
                <w:szCs w:val="24"/>
                <w:lang w:val="sq-AL" w:eastAsia="sq-AL"/>
              </w:rPr>
            </w:pPr>
            <w:r w:rsidRPr="00002E0A">
              <w:rPr>
                <w:rFonts w:ascii="Times New Roman" w:eastAsia="Times New Roman" w:hAnsi="Times New Roman" w:cs="Times New Roman"/>
                <w:color w:val="000000"/>
                <w:sz w:val="24"/>
                <w:szCs w:val="24"/>
                <w:lang w:val="sq-AL" w:eastAsia="sq-AL"/>
              </w:rPr>
              <w:t>26,782.50</w:t>
            </w:r>
          </w:p>
        </w:tc>
        <w:tc>
          <w:tcPr>
            <w:tcW w:w="5670" w:type="dxa"/>
            <w:tcBorders>
              <w:top w:val="nil"/>
              <w:left w:val="nil"/>
              <w:bottom w:val="single" w:sz="4" w:space="0" w:color="auto"/>
              <w:right w:val="single" w:sz="4" w:space="0" w:color="auto"/>
            </w:tcBorders>
            <w:shd w:val="clear" w:color="auto" w:fill="auto"/>
            <w:noWrap/>
            <w:vAlign w:val="center"/>
          </w:tcPr>
          <w:p w:rsidR="00002E0A" w:rsidRPr="00002E0A" w:rsidRDefault="00002E0A" w:rsidP="00002E0A">
            <w:pPr>
              <w:spacing w:before="40" w:after="40" w:line="240" w:lineRule="auto"/>
              <w:rPr>
                <w:rFonts w:ascii="Times New Roman" w:eastAsia="Times New Roman" w:hAnsi="Times New Roman" w:cs="Times New Roman"/>
                <w:color w:val="000000"/>
                <w:sz w:val="24"/>
                <w:szCs w:val="24"/>
                <w:lang w:eastAsia="sq-AL"/>
              </w:rPr>
            </w:pPr>
            <w:r w:rsidRPr="00002E0A">
              <w:rPr>
                <w:rFonts w:ascii="Times New Roman" w:eastAsia="Times New Roman" w:hAnsi="Times New Roman" w:cs="Times New Roman"/>
                <w:color w:val="000000"/>
                <w:sz w:val="24"/>
                <w:szCs w:val="24"/>
                <w:lang w:eastAsia="sq-AL"/>
              </w:rPr>
              <w:t>Medi-Tel shpk, Vale Recycling shpk, Pura Medical shpk, Eco Riciklim shpk</w:t>
            </w:r>
          </w:p>
        </w:tc>
      </w:tr>
      <w:tr w:rsidR="00002E0A" w:rsidRPr="00002E0A" w:rsidTr="00F47F68">
        <w:trPr>
          <w:trHeight w:val="315"/>
        </w:trPr>
        <w:tc>
          <w:tcPr>
            <w:tcW w:w="1506" w:type="dxa"/>
            <w:tcBorders>
              <w:top w:val="nil"/>
              <w:left w:val="single" w:sz="4"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both"/>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eastAsia="sq-AL"/>
              </w:rPr>
              <w:t>Fier</w:t>
            </w:r>
          </w:p>
        </w:tc>
        <w:tc>
          <w:tcPr>
            <w:tcW w:w="1755" w:type="dxa"/>
            <w:tcBorders>
              <w:top w:val="nil"/>
              <w:left w:val="single" w:sz="8"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right"/>
              <w:rPr>
                <w:rFonts w:ascii="Times New Roman" w:eastAsia="Times New Roman" w:hAnsi="Times New Roman" w:cs="Times New Roman"/>
                <w:color w:val="000000"/>
                <w:sz w:val="24"/>
                <w:szCs w:val="24"/>
                <w:lang w:val="sq-AL" w:eastAsia="sq-AL"/>
              </w:rPr>
            </w:pPr>
            <w:r w:rsidRPr="00002E0A">
              <w:rPr>
                <w:rFonts w:ascii="Times New Roman" w:eastAsia="Times New Roman" w:hAnsi="Times New Roman" w:cs="Times New Roman"/>
                <w:color w:val="000000"/>
                <w:sz w:val="24"/>
                <w:szCs w:val="24"/>
                <w:lang w:val="sq-AL" w:eastAsia="sq-AL"/>
              </w:rPr>
              <w:t>92,359.62</w:t>
            </w:r>
          </w:p>
        </w:tc>
        <w:tc>
          <w:tcPr>
            <w:tcW w:w="5670" w:type="dxa"/>
            <w:tcBorders>
              <w:top w:val="nil"/>
              <w:left w:val="nil"/>
              <w:bottom w:val="single" w:sz="4" w:space="0" w:color="auto"/>
              <w:right w:val="single" w:sz="4" w:space="0" w:color="auto"/>
            </w:tcBorders>
            <w:shd w:val="clear" w:color="auto" w:fill="auto"/>
            <w:noWrap/>
            <w:vAlign w:val="center"/>
          </w:tcPr>
          <w:p w:rsidR="00002E0A" w:rsidRPr="00002E0A" w:rsidRDefault="00002E0A" w:rsidP="00002E0A">
            <w:pPr>
              <w:spacing w:before="40" w:after="40" w:line="240" w:lineRule="auto"/>
              <w:rPr>
                <w:rFonts w:ascii="Times New Roman" w:eastAsia="Times New Roman" w:hAnsi="Times New Roman" w:cs="Times New Roman"/>
                <w:color w:val="000000"/>
                <w:sz w:val="24"/>
                <w:szCs w:val="24"/>
                <w:lang w:eastAsia="sq-AL"/>
              </w:rPr>
            </w:pPr>
            <w:r w:rsidRPr="00002E0A">
              <w:rPr>
                <w:rFonts w:ascii="Times New Roman" w:eastAsia="Times New Roman" w:hAnsi="Times New Roman" w:cs="Times New Roman"/>
                <w:color w:val="000000"/>
                <w:sz w:val="24"/>
                <w:szCs w:val="24"/>
                <w:lang w:eastAsia="sq-AL"/>
              </w:rPr>
              <w:t>Vale Recycling shpk, Eco Riciklim shpk</w:t>
            </w:r>
          </w:p>
        </w:tc>
      </w:tr>
      <w:tr w:rsidR="00002E0A" w:rsidRPr="00002E0A" w:rsidTr="00F47F68">
        <w:trPr>
          <w:trHeight w:val="315"/>
        </w:trPr>
        <w:tc>
          <w:tcPr>
            <w:tcW w:w="1506" w:type="dxa"/>
            <w:tcBorders>
              <w:top w:val="nil"/>
              <w:left w:val="single" w:sz="4"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both"/>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eastAsia="sq-AL"/>
              </w:rPr>
              <w:t>Gjirokastër</w:t>
            </w:r>
          </w:p>
        </w:tc>
        <w:tc>
          <w:tcPr>
            <w:tcW w:w="1755" w:type="dxa"/>
            <w:tcBorders>
              <w:top w:val="nil"/>
              <w:left w:val="single" w:sz="8"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right"/>
              <w:rPr>
                <w:rFonts w:ascii="Times New Roman" w:eastAsia="Times New Roman" w:hAnsi="Times New Roman" w:cs="Times New Roman"/>
                <w:color w:val="000000"/>
                <w:sz w:val="24"/>
                <w:szCs w:val="24"/>
                <w:lang w:val="sq-AL" w:eastAsia="sq-AL"/>
              </w:rPr>
            </w:pPr>
            <w:r w:rsidRPr="00002E0A">
              <w:rPr>
                <w:rFonts w:ascii="Times New Roman" w:eastAsia="Times New Roman" w:hAnsi="Times New Roman" w:cs="Times New Roman"/>
                <w:color w:val="000000"/>
                <w:sz w:val="24"/>
                <w:szCs w:val="24"/>
                <w:lang w:val="sq-AL" w:eastAsia="sq-AL"/>
              </w:rPr>
              <w:t>28,927.20</w:t>
            </w:r>
          </w:p>
          <w:p w:rsidR="00002E0A" w:rsidRPr="00002E0A" w:rsidRDefault="00002E0A" w:rsidP="00002E0A">
            <w:pPr>
              <w:spacing w:before="40" w:after="40" w:line="240" w:lineRule="auto"/>
              <w:jc w:val="right"/>
              <w:rPr>
                <w:rFonts w:ascii="Times New Roman" w:eastAsia="Times New Roman" w:hAnsi="Times New Roman" w:cs="Times New Roman"/>
                <w:color w:val="000000"/>
                <w:sz w:val="24"/>
                <w:szCs w:val="24"/>
                <w:lang w:val="sq-AL" w:eastAsia="sq-AL"/>
              </w:rPr>
            </w:pPr>
          </w:p>
        </w:tc>
        <w:tc>
          <w:tcPr>
            <w:tcW w:w="5670" w:type="dxa"/>
            <w:tcBorders>
              <w:top w:val="nil"/>
              <w:left w:val="nil"/>
              <w:bottom w:val="single" w:sz="4" w:space="0" w:color="auto"/>
              <w:right w:val="single" w:sz="4" w:space="0" w:color="auto"/>
            </w:tcBorders>
            <w:shd w:val="clear" w:color="auto" w:fill="auto"/>
            <w:noWrap/>
            <w:vAlign w:val="center"/>
          </w:tcPr>
          <w:p w:rsidR="00002E0A" w:rsidRPr="00002E0A" w:rsidRDefault="00002E0A" w:rsidP="00002E0A">
            <w:pPr>
              <w:spacing w:before="40" w:after="40" w:line="240" w:lineRule="auto"/>
              <w:rPr>
                <w:rFonts w:ascii="Times New Roman" w:eastAsia="Times New Roman" w:hAnsi="Times New Roman" w:cs="Times New Roman"/>
                <w:color w:val="000000"/>
                <w:sz w:val="24"/>
                <w:szCs w:val="24"/>
                <w:lang w:eastAsia="sq-AL"/>
              </w:rPr>
            </w:pPr>
            <w:r w:rsidRPr="00002E0A">
              <w:rPr>
                <w:rFonts w:ascii="Times New Roman" w:eastAsia="Times New Roman" w:hAnsi="Times New Roman" w:cs="Times New Roman"/>
                <w:color w:val="000000"/>
                <w:sz w:val="24"/>
                <w:szCs w:val="24"/>
                <w:lang w:eastAsia="sq-AL"/>
              </w:rPr>
              <w:t>Medi-Tel shpk, Pura Medical shpk, Eco Riciklim shpk</w:t>
            </w:r>
          </w:p>
        </w:tc>
      </w:tr>
      <w:tr w:rsidR="00002E0A" w:rsidRPr="00002E0A" w:rsidTr="00F47F68">
        <w:trPr>
          <w:trHeight w:val="315"/>
        </w:trPr>
        <w:tc>
          <w:tcPr>
            <w:tcW w:w="1506" w:type="dxa"/>
            <w:tcBorders>
              <w:top w:val="nil"/>
              <w:left w:val="single" w:sz="4"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both"/>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eastAsia="sq-AL"/>
              </w:rPr>
              <w:t>Korçë</w:t>
            </w:r>
          </w:p>
        </w:tc>
        <w:tc>
          <w:tcPr>
            <w:tcW w:w="1755" w:type="dxa"/>
            <w:tcBorders>
              <w:top w:val="nil"/>
              <w:left w:val="single" w:sz="8"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right"/>
              <w:rPr>
                <w:rFonts w:ascii="Times New Roman" w:eastAsia="Times New Roman" w:hAnsi="Times New Roman" w:cs="Times New Roman"/>
                <w:color w:val="000000"/>
                <w:sz w:val="24"/>
                <w:szCs w:val="24"/>
                <w:lang w:val="sq-AL" w:eastAsia="sq-AL"/>
              </w:rPr>
            </w:pPr>
            <w:r w:rsidRPr="00002E0A">
              <w:rPr>
                <w:rFonts w:ascii="Times New Roman" w:eastAsia="Times New Roman" w:hAnsi="Times New Roman" w:cs="Times New Roman"/>
                <w:color w:val="000000"/>
                <w:sz w:val="24"/>
                <w:szCs w:val="24"/>
                <w:lang w:val="sq-AL" w:eastAsia="sq-AL"/>
              </w:rPr>
              <w:t>20,192.60</w:t>
            </w:r>
          </w:p>
        </w:tc>
        <w:tc>
          <w:tcPr>
            <w:tcW w:w="5670" w:type="dxa"/>
            <w:tcBorders>
              <w:top w:val="nil"/>
              <w:left w:val="nil"/>
              <w:bottom w:val="single" w:sz="4" w:space="0" w:color="auto"/>
              <w:right w:val="single" w:sz="4" w:space="0" w:color="auto"/>
            </w:tcBorders>
            <w:shd w:val="clear" w:color="auto" w:fill="auto"/>
            <w:noWrap/>
            <w:vAlign w:val="center"/>
          </w:tcPr>
          <w:p w:rsidR="00002E0A" w:rsidRPr="00002E0A" w:rsidRDefault="00002E0A" w:rsidP="00002E0A">
            <w:pPr>
              <w:spacing w:before="40" w:after="40" w:line="240" w:lineRule="auto"/>
              <w:rPr>
                <w:rFonts w:ascii="Times New Roman" w:eastAsia="Times New Roman" w:hAnsi="Times New Roman" w:cs="Times New Roman"/>
                <w:color w:val="000000"/>
                <w:sz w:val="24"/>
                <w:szCs w:val="24"/>
                <w:lang w:eastAsia="sq-AL"/>
              </w:rPr>
            </w:pPr>
            <w:r w:rsidRPr="00002E0A">
              <w:rPr>
                <w:rFonts w:ascii="Times New Roman" w:eastAsia="Times New Roman" w:hAnsi="Times New Roman" w:cs="Times New Roman"/>
                <w:color w:val="000000"/>
                <w:sz w:val="24"/>
                <w:szCs w:val="24"/>
                <w:lang w:eastAsia="sq-AL"/>
              </w:rPr>
              <w:t>Medi-Tel shpk, Pura Medical shpk, Eco Riciklim shpk, Vale Recycling shpk</w:t>
            </w:r>
          </w:p>
        </w:tc>
      </w:tr>
      <w:tr w:rsidR="00002E0A" w:rsidRPr="00002E0A" w:rsidTr="00F47F68">
        <w:trPr>
          <w:trHeight w:val="315"/>
        </w:trPr>
        <w:tc>
          <w:tcPr>
            <w:tcW w:w="1506" w:type="dxa"/>
            <w:tcBorders>
              <w:top w:val="nil"/>
              <w:left w:val="single" w:sz="4"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both"/>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eastAsia="sq-AL"/>
              </w:rPr>
              <w:t>Vlorë</w:t>
            </w:r>
          </w:p>
        </w:tc>
        <w:tc>
          <w:tcPr>
            <w:tcW w:w="1755" w:type="dxa"/>
            <w:tcBorders>
              <w:top w:val="nil"/>
              <w:left w:val="single" w:sz="8"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right"/>
              <w:rPr>
                <w:rFonts w:ascii="Times New Roman" w:eastAsia="Times New Roman" w:hAnsi="Times New Roman" w:cs="Times New Roman"/>
                <w:color w:val="000000"/>
                <w:sz w:val="24"/>
                <w:szCs w:val="24"/>
                <w:lang w:val="sq-AL" w:eastAsia="sq-AL"/>
              </w:rPr>
            </w:pPr>
            <w:r w:rsidRPr="00002E0A">
              <w:rPr>
                <w:rFonts w:ascii="Times New Roman" w:eastAsia="Times New Roman" w:hAnsi="Times New Roman" w:cs="Times New Roman"/>
                <w:color w:val="000000"/>
                <w:sz w:val="24"/>
                <w:szCs w:val="24"/>
                <w:lang w:val="sq-AL" w:eastAsia="sq-AL"/>
              </w:rPr>
              <w:t>39,950.46</w:t>
            </w:r>
          </w:p>
        </w:tc>
        <w:tc>
          <w:tcPr>
            <w:tcW w:w="5670" w:type="dxa"/>
            <w:tcBorders>
              <w:top w:val="nil"/>
              <w:left w:val="nil"/>
              <w:bottom w:val="single" w:sz="4" w:space="0" w:color="auto"/>
              <w:right w:val="single" w:sz="4" w:space="0" w:color="auto"/>
            </w:tcBorders>
            <w:shd w:val="clear" w:color="auto" w:fill="auto"/>
            <w:noWrap/>
            <w:vAlign w:val="center"/>
          </w:tcPr>
          <w:p w:rsidR="00002E0A" w:rsidRPr="00002E0A" w:rsidRDefault="00002E0A" w:rsidP="00002E0A">
            <w:pPr>
              <w:spacing w:before="40" w:after="40" w:line="240" w:lineRule="auto"/>
              <w:rPr>
                <w:rFonts w:ascii="Times New Roman" w:eastAsia="Times New Roman" w:hAnsi="Times New Roman" w:cs="Times New Roman"/>
                <w:color w:val="000000"/>
                <w:sz w:val="24"/>
                <w:szCs w:val="24"/>
                <w:lang w:eastAsia="sq-AL"/>
              </w:rPr>
            </w:pPr>
            <w:r w:rsidRPr="00002E0A">
              <w:rPr>
                <w:rFonts w:ascii="Times New Roman" w:eastAsia="Times New Roman" w:hAnsi="Times New Roman" w:cs="Times New Roman"/>
                <w:color w:val="000000"/>
                <w:sz w:val="24"/>
                <w:szCs w:val="24"/>
                <w:lang w:eastAsia="sq-AL"/>
              </w:rPr>
              <w:t>Medi-Tel shpk, Eco Riciklim shpk</w:t>
            </w:r>
          </w:p>
        </w:tc>
      </w:tr>
      <w:tr w:rsidR="00002E0A" w:rsidRPr="00002E0A" w:rsidTr="00F47F68">
        <w:trPr>
          <w:trHeight w:val="315"/>
        </w:trPr>
        <w:tc>
          <w:tcPr>
            <w:tcW w:w="1506" w:type="dxa"/>
            <w:tcBorders>
              <w:top w:val="nil"/>
              <w:left w:val="single" w:sz="4"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both"/>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eastAsia="sq-AL"/>
              </w:rPr>
              <w:t>Tiranë</w:t>
            </w:r>
          </w:p>
        </w:tc>
        <w:tc>
          <w:tcPr>
            <w:tcW w:w="1755" w:type="dxa"/>
            <w:tcBorders>
              <w:top w:val="nil"/>
              <w:left w:val="single" w:sz="8"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right"/>
              <w:rPr>
                <w:rFonts w:ascii="Times New Roman" w:eastAsia="Times New Roman" w:hAnsi="Times New Roman" w:cs="Times New Roman"/>
                <w:color w:val="000000"/>
                <w:sz w:val="24"/>
                <w:szCs w:val="24"/>
                <w:lang w:val="sq-AL" w:eastAsia="sq-AL"/>
              </w:rPr>
            </w:pPr>
            <w:r w:rsidRPr="00002E0A">
              <w:rPr>
                <w:rFonts w:ascii="Times New Roman" w:eastAsia="Times New Roman" w:hAnsi="Times New Roman" w:cs="Times New Roman"/>
                <w:color w:val="000000"/>
                <w:sz w:val="24"/>
                <w:szCs w:val="24"/>
                <w:lang w:val="sq-AL" w:eastAsia="sq-AL"/>
              </w:rPr>
              <w:t>713,720.79</w:t>
            </w:r>
          </w:p>
        </w:tc>
        <w:tc>
          <w:tcPr>
            <w:tcW w:w="5670" w:type="dxa"/>
            <w:tcBorders>
              <w:top w:val="nil"/>
              <w:left w:val="nil"/>
              <w:bottom w:val="single" w:sz="4" w:space="0" w:color="auto"/>
              <w:right w:val="single" w:sz="4" w:space="0" w:color="auto"/>
            </w:tcBorders>
            <w:shd w:val="clear" w:color="auto" w:fill="auto"/>
            <w:noWrap/>
            <w:vAlign w:val="center"/>
          </w:tcPr>
          <w:p w:rsidR="00002E0A" w:rsidRPr="00002E0A" w:rsidRDefault="00002E0A" w:rsidP="00002E0A">
            <w:pPr>
              <w:spacing w:before="40" w:after="40" w:line="240" w:lineRule="auto"/>
              <w:rPr>
                <w:rFonts w:ascii="Times New Roman" w:eastAsia="Times New Roman" w:hAnsi="Times New Roman" w:cs="Times New Roman"/>
                <w:color w:val="000000"/>
                <w:sz w:val="24"/>
                <w:szCs w:val="24"/>
                <w:lang w:eastAsia="sq-AL"/>
              </w:rPr>
            </w:pPr>
            <w:r w:rsidRPr="00002E0A">
              <w:rPr>
                <w:rFonts w:ascii="Times New Roman" w:eastAsia="Times New Roman" w:hAnsi="Times New Roman" w:cs="Times New Roman"/>
                <w:color w:val="000000"/>
                <w:sz w:val="24"/>
                <w:szCs w:val="24"/>
                <w:lang w:eastAsia="sq-AL"/>
              </w:rPr>
              <w:t>Medi-Tel shpk, Vale Recycling shpk, Eco Riciklim shpk, Pura Medical shpk</w:t>
            </w:r>
          </w:p>
        </w:tc>
      </w:tr>
      <w:tr w:rsidR="00002E0A" w:rsidRPr="00002E0A" w:rsidTr="00F47F68">
        <w:trPr>
          <w:trHeight w:val="315"/>
        </w:trPr>
        <w:tc>
          <w:tcPr>
            <w:tcW w:w="1506" w:type="dxa"/>
            <w:tcBorders>
              <w:top w:val="nil"/>
              <w:left w:val="single" w:sz="4"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both"/>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eastAsia="sq-AL"/>
              </w:rPr>
              <w:t>Lezhë</w:t>
            </w:r>
          </w:p>
        </w:tc>
        <w:tc>
          <w:tcPr>
            <w:tcW w:w="1755" w:type="dxa"/>
            <w:tcBorders>
              <w:top w:val="nil"/>
              <w:left w:val="single" w:sz="8"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right"/>
              <w:rPr>
                <w:rFonts w:ascii="Times New Roman" w:eastAsia="Times New Roman" w:hAnsi="Times New Roman" w:cs="Times New Roman"/>
                <w:color w:val="000000"/>
                <w:sz w:val="24"/>
                <w:szCs w:val="24"/>
                <w:lang w:val="sq-AL" w:eastAsia="sq-AL"/>
              </w:rPr>
            </w:pPr>
            <w:r w:rsidRPr="00002E0A">
              <w:rPr>
                <w:rFonts w:ascii="Times New Roman" w:eastAsia="Times New Roman" w:hAnsi="Times New Roman" w:cs="Times New Roman"/>
                <w:color w:val="000000"/>
                <w:sz w:val="24"/>
                <w:szCs w:val="24"/>
                <w:lang w:val="sq-AL" w:eastAsia="sq-AL"/>
              </w:rPr>
              <w:t>16,363.00</w:t>
            </w:r>
          </w:p>
        </w:tc>
        <w:tc>
          <w:tcPr>
            <w:tcW w:w="5670" w:type="dxa"/>
            <w:tcBorders>
              <w:top w:val="nil"/>
              <w:left w:val="nil"/>
              <w:bottom w:val="single" w:sz="4" w:space="0" w:color="auto"/>
              <w:right w:val="single" w:sz="4" w:space="0" w:color="auto"/>
            </w:tcBorders>
            <w:shd w:val="clear" w:color="auto" w:fill="auto"/>
            <w:noWrap/>
            <w:vAlign w:val="center"/>
          </w:tcPr>
          <w:p w:rsidR="00002E0A" w:rsidRPr="00002E0A" w:rsidRDefault="00002E0A" w:rsidP="00002E0A">
            <w:pPr>
              <w:spacing w:before="40" w:after="40" w:line="240" w:lineRule="auto"/>
              <w:rPr>
                <w:rFonts w:ascii="Times New Roman" w:eastAsia="Times New Roman" w:hAnsi="Times New Roman" w:cs="Times New Roman"/>
                <w:color w:val="000000"/>
                <w:sz w:val="24"/>
                <w:szCs w:val="24"/>
                <w:lang w:eastAsia="sq-AL"/>
              </w:rPr>
            </w:pPr>
            <w:r w:rsidRPr="00002E0A">
              <w:rPr>
                <w:rFonts w:ascii="Times New Roman" w:eastAsia="Times New Roman" w:hAnsi="Times New Roman" w:cs="Times New Roman"/>
                <w:color w:val="000000"/>
                <w:sz w:val="24"/>
                <w:szCs w:val="24"/>
                <w:lang w:eastAsia="sq-AL"/>
              </w:rPr>
              <w:t>Vale Recycling shpk</w:t>
            </w:r>
          </w:p>
        </w:tc>
      </w:tr>
      <w:tr w:rsidR="00002E0A" w:rsidRPr="00002E0A" w:rsidTr="00F47F68">
        <w:trPr>
          <w:trHeight w:val="315"/>
        </w:trPr>
        <w:tc>
          <w:tcPr>
            <w:tcW w:w="1506" w:type="dxa"/>
            <w:tcBorders>
              <w:top w:val="nil"/>
              <w:left w:val="single" w:sz="4"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both"/>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eastAsia="sq-AL"/>
              </w:rPr>
              <w:t>Shkodër</w:t>
            </w:r>
          </w:p>
        </w:tc>
        <w:tc>
          <w:tcPr>
            <w:tcW w:w="1755" w:type="dxa"/>
            <w:tcBorders>
              <w:top w:val="nil"/>
              <w:left w:val="single" w:sz="8"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right"/>
              <w:rPr>
                <w:rFonts w:ascii="Times New Roman" w:eastAsia="Times New Roman" w:hAnsi="Times New Roman" w:cs="Times New Roman"/>
                <w:color w:val="000000"/>
                <w:sz w:val="24"/>
                <w:szCs w:val="24"/>
                <w:lang w:val="sq-AL" w:eastAsia="sq-AL"/>
              </w:rPr>
            </w:pPr>
            <w:r w:rsidRPr="00002E0A">
              <w:rPr>
                <w:rFonts w:ascii="Times New Roman" w:eastAsia="Times New Roman" w:hAnsi="Times New Roman" w:cs="Times New Roman"/>
                <w:color w:val="000000"/>
                <w:sz w:val="24"/>
                <w:szCs w:val="24"/>
                <w:lang w:val="sq-AL" w:eastAsia="sq-AL"/>
              </w:rPr>
              <w:t>206,890.97</w:t>
            </w:r>
          </w:p>
        </w:tc>
        <w:tc>
          <w:tcPr>
            <w:tcW w:w="5670" w:type="dxa"/>
            <w:tcBorders>
              <w:top w:val="nil"/>
              <w:left w:val="nil"/>
              <w:bottom w:val="single" w:sz="4" w:space="0" w:color="auto"/>
              <w:right w:val="single" w:sz="4" w:space="0" w:color="auto"/>
            </w:tcBorders>
            <w:shd w:val="clear" w:color="auto" w:fill="auto"/>
            <w:noWrap/>
            <w:vAlign w:val="center"/>
          </w:tcPr>
          <w:p w:rsidR="00002E0A" w:rsidRPr="00002E0A" w:rsidRDefault="00002E0A" w:rsidP="00002E0A">
            <w:pPr>
              <w:spacing w:before="40" w:after="40" w:line="240" w:lineRule="auto"/>
              <w:rPr>
                <w:rFonts w:ascii="Times New Roman" w:eastAsia="Times New Roman" w:hAnsi="Times New Roman" w:cs="Times New Roman"/>
                <w:color w:val="000000"/>
                <w:sz w:val="24"/>
                <w:szCs w:val="24"/>
                <w:lang w:eastAsia="sq-AL"/>
              </w:rPr>
            </w:pPr>
            <w:r w:rsidRPr="00002E0A">
              <w:rPr>
                <w:rFonts w:ascii="Times New Roman" w:eastAsia="Times New Roman" w:hAnsi="Times New Roman" w:cs="Times New Roman"/>
                <w:color w:val="000000"/>
                <w:sz w:val="24"/>
                <w:szCs w:val="24"/>
                <w:lang w:eastAsia="sq-AL"/>
              </w:rPr>
              <w:t>Eco Riciklim shpk shpk, Vale Recycling shpk</w:t>
            </w:r>
          </w:p>
        </w:tc>
      </w:tr>
      <w:tr w:rsidR="00002E0A" w:rsidRPr="00002E0A" w:rsidTr="00F47F68">
        <w:trPr>
          <w:trHeight w:val="315"/>
        </w:trPr>
        <w:tc>
          <w:tcPr>
            <w:tcW w:w="1506" w:type="dxa"/>
            <w:tcBorders>
              <w:top w:val="nil"/>
              <w:left w:val="single" w:sz="4"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both"/>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eastAsia="sq-AL"/>
              </w:rPr>
              <w:t>Kukës</w:t>
            </w:r>
          </w:p>
        </w:tc>
        <w:tc>
          <w:tcPr>
            <w:tcW w:w="1755" w:type="dxa"/>
            <w:tcBorders>
              <w:top w:val="nil"/>
              <w:left w:val="single" w:sz="8"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right"/>
              <w:rPr>
                <w:rFonts w:ascii="Times New Roman" w:eastAsia="Times New Roman" w:hAnsi="Times New Roman" w:cs="Times New Roman"/>
                <w:color w:val="000000"/>
                <w:sz w:val="24"/>
                <w:szCs w:val="24"/>
                <w:lang w:val="sq-AL" w:eastAsia="sq-AL"/>
              </w:rPr>
            </w:pPr>
            <w:r w:rsidRPr="00002E0A">
              <w:rPr>
                <w:rFonts w:ascii="Times New Roman" w:eastAsia="Times New Roman" w:hAnsi="Times New Roman" w:cs="Times New Roman"/>
                <w:color w:val="000000"/>
                <w:sz w:val="24"/>
                <w:szCs w:val="24"/>
                <w:lang w:val="sq-AL" w:eastAsia="sq-AL"/>
              </w:rPr>
              <w:t>20,700.00</w:t>
            </w:r>
          </w:p>
        </w:tc>
        <w:tc>
          <w:tcPr>
            <w:tcW w:w="5670" w:type="dxa"/>
            <w:tcBorders>
              <w:top w:val="nil"/>
              <w:left w:val="nil"/>
              <w:bottom w:val="single" w:sz="4" w:space="0" w:color="auto"/>
              <w:right w:val="single" w:sz="4" w:space="0" w:color="auto"/>
            </w:tcBorders>
            <w:shd w:val="clear" w:color="auto" w:fill="auto"/>
            <w:noWrap/>
            <w:vAlign w:val="center"/>
          </w:tcPr>
          <w:p w:rsidR="00002E0A" w:rsidRPr="00002E0A" w:rsidRDefault="00002E0A" w:rsidP="00002E0A">
            <w:pPr>
              <w:spacing w:before="40" w:after="40" w:line="240" w:lineRule="auto"/>
              <w:rPr>
                <w:rFonts w:ascii="Times New Roman" w:eastAsia="Times New Roman" w:hAnsi="Times New Roman" w:cs="Times New Roman"/>
                <w:color w:val="000000"/>
                <w:sz w:val="24"/>
                <w:szCs w:val="24"/>
                <w:lang w:eastAsia="sq-AL"/>
              </w:rPr>
            </w:pPr>
            <w:r w:rsidRPr="00002E0A">
              <w:rPr>
                <w:rFonts w:ascii="Times New Roman" w:eastAsia="Times New Roman" w:hAnsi="Times New Roman" w:cs="Times New Roman"/>
                <w:color w:val="000000"/>
                <w:sz w:val="24"/>
                <w:szCs w:val="24"/>
                <w:lang w:eastAsia="sq-AL"/>
              </w:rPr>
              <w:t>Vale Recycling shpk</w:t>
            </w:r>
          </w:p>
        </w:tc>
      </w:tr>
      <w:tr w:rsidR="00002E0A" w:rsidRPr="00002E0A" w:rsidTr="00F47F68">
        <w:trPr>
          <w:trHeight w:val="315"/>
        </w:trPr>
        <w:tc>
          <w:tcPr>
            <w:tcW w:w="1506" w:type="dxa"/>
            <w:tcBorders>
              <w:top w:val="nil"/>
              <w:left w:val="single" w:sz="4"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both"/>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eastAsia="sq-AL"/>
              </w:rPr>
              <w:t>Dibër</w:t>
            </w:r>
          </w:p>
        </w:tc>
        <w:tc>
          <w:tcPr>
            <w:tcW w:w="1755" w:type="dxa"/>
            <w:tcBorders>
              <w:top w:val="nil"/>
              <w:left w:val="single" w:sz="8" w:space="0" w:color="auto"/>
              <w:bottom w:val="single" w:sz="8"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right"/>
              <w:rPr>
                <w:rFonts w:ascii="Times New Roman" w:eastAsia="Times New Roman" w:hAnsi="Times New Roman" w:cs="Times New Roman"/>
                <w:color w:val="000000"/>
                <w:sz w:val="24"/>
                <w:szCs w:val="24"/>
                <w:lang w:val="sq-AL" w:eastAsia="sq-AL"/>
              </w:rPr>
            </w:pPr>
            <w:r w:rsidRPr="00002E0A">
              <w:rPr>
                <w:rFonts w:ascii="Times New Roman" w:eastAsia="Times New Roman" w:hAnsi="Times New Roman" w:cs="Times New Roman"/>
                <w:color w:val="000000"/>
                <w:sz w:val="24"/>
                <w:szCs w:val="24"/>
                <w:lang w:val="sq-AL" w:eastAsia="sq-AL"/>
              </w:rPr>
              <w:t>19,528.20</w:t>
            </w:r>
          </w:p>
        </w:tc>
        <w:tc>
          <w:tcPr>
            <w:tcW w:w="5670" w:type="dxa"/>
            <w:tcBorders>
              <w:top w:val="nil"/>
              <w:left w:val="nil"/>
              <w:bottom w:val="single" w:sz="4" w:space="0" w:color="auto"/>
              <w:right w:val="single" w:sz="4" w:space="0" w:color="auto"/>
            </w:tcBorders>
            <w:shd w:val="clear" w:color="auto" w:fill="auto"/>
            <w:noWrap/>
            <w:vAlign w:val="center"/>
          </w:tcPr>
          <w:p w:rsidR="00002E0A" w:rsidRPr="00002E0A" w:rsidRDefault="00002E0A" w:rsidP="00002E0A">
            <w:pPr>
              <w:spacing w:before="40" w:after="40" w:line="240" w:lineRule="auto"/>
              <w:rPr>
                <w:rFonts w:ascii="Times New Roman" w:eastAsia="Times New Roman" w:hAnsi="Times New Roman" w:cs="Times New Roman"/>
                <w:color w:val="000000"/>
                <w:sz w:val="24"/>
                <w:szCs w:val="24"/>
                <w:lang w:eastAsia="sq-AL"/>
              </w:rPr>
            </w:pPr>
            <w:r w:rsidRPr="00002E0A">
              <w:rPr>
                <w:rFonts w:ascii="Times New Roman" w:eastAsia="Times New Roman" w:hAnsi="Times New Roman" w:cs="Times New Roman"/>
                <w:color w:val="000000"/>
                <w:sz w:val="24"/>
                <w:szCs w:val="24"/>
                <w:lang w:eastAsia="sq-AL"/>
              </w:rPr>
              <w:t>Medi-Tel shpk, Vale Recycling shpk</w:t>
            </w:r>
          </w:p>
        </w:tc>
      </w:tr>
      <w:tr w:rsidR="00002E0A" w:rsidRPr="00002E0A" w:rsidTr="00F47F68">
        <w:trPr>
          <w:trHeight w:val="315"/>
        </w:trPr>
        <w:tc>
          <w:tcPr>
            <w:tcW w:w="1506" w:type="dxa"/>
            <w:tcBorders>
              <w:top w:val="nil"/>
              <w:left w:val="single" w:sz="4" w:space="0" w:color="auto"/>
              <w:bottom w:val="single" w:sz="4" w:space="0" w:color="auto"/>
              <w:right w:val="single" w:sz="4" w:space="0" w:color="auto"/>
            </w:tcBorders>
            <w:shd w:val="clear" w:color="auto" w:fill="auto"/>
            <w:noWrap/>
            <w:vAlign w:val="center"/>
            <w:hideMark/>
          </w:tcPr>
          <w:p w:rsidR="00002E0A" w:rsidRPr="00002E0A" w:rsidRDefault="00002E0A" w:rsidP="00002E0A">
            <w:pPr>
              <w:spacing w:before="40" w:after="40" w:line="240" w:lineRule="auto"/>
              <w:jc w:val="both"/>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eastAsia="sq-AL"/>
              </w:rPr>
              <w:t> Total</w:t>
            </w:r>
          </w:p>
        </w:tc>
        <w:tc>
          <w:tcPr>
            <w:tcW w:w="7425" w:type="dxa"/>
            <w:gridSpan w:val="2"/>
            <w:tcBorders>
              <w:top w:val="nil"/>
              <w:left w:val="single" w:sz="4" w:space="0" w:color="auto"/>
              <w:bottom w:val="single" w:sz="8" w:space="0" w:color="auto"/>
              <w:right w:val="single" w:sz="4" w:space="0" w:color="auto"/>
            </w:tcBorders>
            <w:shd w:val="clear" w:color="auto" w:fill="auto"/>
            <w:noWrap/>
            <w:vAlign w:val="bottom"/>
            <w:hideMark/>
          </w:tcPr>
          <w:p w:rsidR="00002E0A" w:rsidRPr="00002E0A" w:rsidRDefault="00002E0A" w:rsidP="00002E0A">
            <w:pPr>
              <w:spacing w:before="40" w:beforeAutospacing="1" w:after="40" w:afterAutospacing="1" w:line="240" w:lineRule="auto"/>
              <w:rPr>
                <w:rFonts w:ascii="Times New Roman" w:eastAsia="Times New Roman" w:hAnsi="Times New Roman" w:cs="Times New Roman"/>
                <w:b/>
                <w:bCs/>
                <w:color w:val="000000"/>
                <w:sz w:val="24"/>
                <w:szCs w:val="24"/>
                <w:lang w:eastAsia="sq-AL"/>
              </w:rPr>
            </w:pPr>
            <w:r w:rsidRPr="00002E0A">
              <w:rPr>
                <w:rFonts w:ascii="Times New Roman" w:eastAsia="Times New Roman" w:hAnsi="Times New Roman" w:cs="Times New Roman"/>
                <w:b/>
                <w:bCs/>
                <w:color w:val="000000"/>
                <w:sz w:val="24"/>
                <w:szCs w:val="24"/>
                <w:lang w:val="sq-AL" w:eastAsia="sq-AL"/>
              </w:rPr>
              <w:t xml:space="preserve">    1,278,637.94</w:t>
            </w:r>
          </w:p>
        </w:tc>
      </w:tr>
    </w:tbl>
    <w:p w:rsidR="00963BAC" w:rsidRDefault="00963BAC" w:rsidP="00963BAC">
      <w:pPr>
        <w:rPr>
          <w:rFonts w:ascii="Times New Roman" w:eastAsia="Calibri" w:hAnsi="Times New Roman" w:cs="Times New Roman"/>
          <w:sz w:val="24"/>
          <w:szCs w:val="24"/>
        </w:rPr>
      </w:pPr>
    </w:p>
    <w:p w:rsidR="00066FF4" w:rsidRPr="004A74BB" w:rsidRDefault="00066FF4" w:rsidP="00B24E99">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Gjatë vitit 2025, janë gjeneruar në total </w:t>
      </w:r>
      <w:r w:rsidR="00002E0A">
        <w:rPr>
          <w:rFonts w:ascii="Times New Roman" w:eastAsia="Calibri" w:hAnsi="Times New Roman" w:cs="Times New Roman"/>
          <w:sz w:val="24"/>
          <w:szCs w:val="24"/>
        </w:rPr>
        <w:t xml:space="preserve">rreth </w:t>
      </w:r>
      <w:r w:rsidR="00002E0A">
        <w:rPr>
          <w:rFonts w:ascii="Times New Roman" w:eastAsia="Calibri" w:hAnsi="Times New Roman" w:cs="Times New Roman"/>
          <w:b/>
          <w:sz w:val="24"/>
          <w:szCs w:val="24"/>
        </w:rPr>
        <w:t>1,278,638</w:t>
      </w:r>
      <w:r>
        <w:rPr>
          <w:rFonts w:ascii="Times New Roman" w:eastAsia="Calibri" w:hAnsi="Times New Roman" w:cs="Times New Roman"/>
          <w:b/>
          <w:sz w:val="24"/>
          <w:szCs w:val="24"/>
        </w:rPr>
        <w:t xml:space="preserve"> kg </w:t>
      </w:r>
      <w:r w:rsidRPr="00700512">
        <w:rPr>
          <w:rFonts w:ascii="Times New Roman" w:eastAsia="Calibri" w:hAnsi="Times New Roman" w:cs="Times New Roman"/>
          <w:sz w:val="24"/>
          <w:szCs w:val="24"/>
        </w:rPr>
        <w:t>mbetje nga spitalet publike dhe jo publike.</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 Sasia më e madhe e mbetjeve spitalore </w:t>
      </w:r>
      <w:r w:rsidR="00002E0A">
        <w:rPr>
          <w:rFonts w:ascii="Times New Roman" w:eastAsia="Calibri" w:hAnsi="Times New Roman" w:cs="Times New Roman"/>
          <w:sz w:val="24"/>
          <w:szCs w:val="24"/>
        </w:rPr>
        <w:t>është gjeneruar në Tiranë me 713,721</w:t>
      </w:r>
      <w:r>
        <w:rPr>
          <w:rFonts w:ascii="Times New Roman" w:eastAsia="Calibri" w:hAnsi="Times New Roman" w:cs="Times New Roman"/>
          <w:sz w:val="24"/>
          <w:szCs w:val="24"/>
        </w:rPr>
        <w:t xml:space="preserve"> kg</w:t>
      </w:r>
      <w:r w:rsidR="00700512">
        <w:rPr>
          <w:rFonts w:ascii="Times New Roman" w:eastAsia="Calibri" w:hAnsi="Times New Roman" w:cs="Times New Roman"/>
          <w:sz w:val="24"/>
          <w:szCs w:val="24"/>
        </w:rPr>
        <w:t xml:space="preserve"> duke vijuar me Shkodrën ku janë gjeneruar </w:t>
      </w:r>
      <w:r w:rsidR="00700512" w:rsidRPr="004A74BB">
        <w:rPr>
          <w:rFonts w:ascii="Times New Roman" w:eastAsia="Calibri" w:hAnsi="Times New Roman" w:cs="Times New Roman"/>
          <w:sz w:val="24"/>
          <w:szCs w:val="24"/>
        </w:rPr>
        <w:t>206,89</w:t>
      </w:r>
      <w:r w:rsidR="00700512">
        <w:rPr>
          <w:rFonts w:ascii="Times New Roman" w:eastAsia="Calibri" w:hAnsi="Times New Roman" w:cs="Times New Roman"/>
          <w:sz w:val="24"/>
          <w:szCs w:val="24"/>
        </w:rPr>
        <w:t>1 kg. Sasia më e ulët ë</w:t>
      </w:r>
      <w:r w:rsidR="009B75BF">
        <w:rPr>
          <w:rFonts w:ascii="Times New Roman" w:eastAsia="Calibri" w:hAnsi="Times New Roman" w:cs="Times New Roman"/>
          <w:sz w:val="24"/>
          <w:szCs w:val="24"/>
        </w:rPr>
        <w:t>shtë gjenerura në Lezhë me 16,3</w:t>
      </w:r>
      <w:r w:rsidR="00700512">
        <w:rPr>
          <w:rFonts w:ascii="Times New Roman" w:eastAsia="Calibri" w:hAnsi="Times New Roman" w:cs="Times New Roman"/>
          <w:sz w:val="24"/>
          <w:szCs w:val="24"/>
        </w:rPr>
        <w:t>6</w:t>
      </w:r>
      <w:r w:rsidR="009B75BF">
        <w:rPr>
          <w:rFonts w:ascii="Times New Roman" w:eastAsia="Calibri" w:hAnsi="Times New Roman" w:cs="Times New Roman"/>
          <w:sz w:val="24"/>
          <w:szCs w:val="24"/>
        </w:rPr>
        <w:t>3</w:t>
      </w:r>
      <w:r w:rsidR="00700512">
        <w:rPr>
          <w:rFonts w:ascii="Times New Roman" w:eastAsia="Calibri" w:hAnsi="Times New Roman" w:cs="Times New Roman"/>
          <w:sz w:val="24"/>
          <w:szCs w:val="24"/>
        </w:rPr>
        <w:t xml:space="preserve"> kg.</w:t>
      </w:r>
    </w:p>
    <w:p w:rsidR="00963BAC" w:rsidRPr="00F545EA" w:rsidRDefault="00963BAC" w:rsidP="00963BAC">
      <w:pPr>
        <w:rPr>
          <w:rFonts w:ascii="Times New Roman" w:eastAsia="Calibri" w:hAnsi="Times New Roman" w:cs="Times New Roman"/>
          <w:b/>
          <w:sz w:val="24"/>
          <w:szCs w:val="24"/>
        </w:rPr>
      </w:pPr>
      <w:r w:rsidRPr="004A74BB">
        <w:rPr>
          <w:rFonts w:ascii="Times New Roman" w:eastAsia="Calibri" w:hAnsi="Times New Roman" w:cs="Times New Roman"/>
          <w:sz w:val="24"/>
          <w:szCs w:val="24"/>
        </w:rPr>
        <w:t xml:space="preserve">                  </w:t>
      </w:r>
      <w:r w:rsidR="00B24E99">
        <w:rPr>
          <w:rFonts w:ascii="Times New Roman" w:eastAsia="Calibri" w:hAnsi="Times New Roman" w:cs="Times New Roman"/>
          <w:sz w:val="24"/>
          <w:szCs w:val="24"/>
        </w:rPr>
        <w:t>Tabela 8</w:t>
      </w:r>
      <w:r w:rsidR="003A31D9">
        <w:rPr>
          <w:rFonts w:ascii="Times New Roman" w:eastAsia="Calibri" w:hAnsi="Times New Roman" w:cs="Times New Roman"/>
          <w:sz w:val="24"/>
          <w:szCs w:val="24"/>
        </w:rPr>
        <w:t>8.</w:t>
      </w:r>
      <w:r w:rsidR="007E02EB">
        <w:rPr>
          <w:rFonts w:ascii="Times New Roman" w:eastAsia="Calibri" w:hAnsi="Times New Roman" w:cs="Times New Roman"/>
          <w:sz w:val="24"/>
          <w:szCs w:val="24"/>
        </w:rPr>
        <w:t xml:space="preserve"> </w:t>
      </w:r>
      <w:r w:rsidR="00F545EA" w:rsidRPr="007E02EB">
        <w:rPr>
          <w:rFonts w:ascii="Times New Roman" w:eastAsia="Calibri" w:hAnsi="Times New Roman" w:cs="Times New Roman"/>
          <w:sz w:val="24"/>
          <w:szCs w:val="24"/>
        </w:rPr>
        <w:t xml:space="preserve">Mbetjet </w:t>
      </w:r>
      <w:r w:rsidRPr="007E02EB">
        <w:rPr>
          <w:rFonts w:ascii="Times New Roman" w:eastAsia="Calibri" w:hAnsi="Times New Roman" w:cs="Times New Roman"/>
          <w:sz w:val="24"/>
          <w:szCs w:val="24"/>
        </w:rPr>
        <w:t xml:space="preserve"> </w:t>
      </w:r>
      <w:r w:rsidR="00F545EA" w:rsidRPr="007E02EB">
        <w:rPr>
          <w:rFonts w:ascii="Times New Roman" w:eastAsia="Calibri" w:hAnsi="Times New Roman" w:cs="Times New Roman"/>
          <w:sz w:val="24"/>
          <w:szCs w:val="24"/>
        </w:rPr>
        <w:t>nga N</w:t>
      </w:r>
      <w:r w:rsidR="00531C09" w:rsidRPr="007E02EB">
        <w:rPr>
          <w:rFonts w:ascii="Times New Roman" w:eastAsia="Calibri" w:hAnsi="Times New Roman" w:cs="Times New Roman"/>
          <w:sz w:val="24"/>
          <w:szCs w:val="24"/>
        </w:rPr>
        <w:t>jë</w:t>
      </w:r>
      <w:r w:rsidR="00F545EA" w:rsidRPr="007E02EB">
        <w:rPr>
          <w:rFonts w:ascii="Times New Roman" w:eastAsia="Calibri" w:hAnsi="Times New Roman" w:cs="Times New Roman"/>
          <w:sz w:val="24"/>
          <w:szCs w:val="24"/>
        </w:rPr>
        <w:t>sitë Vendore të Kujdesit Shëndetësor, viti 2025</w:t>
      </w:r>
    </w:p>
    <w:tbl>
      <w:tblPr>
        <w:tblW w:w="9473" w:type="dxa"/>
        <w:tblInd w:w="-5" w:type="dxa"/>
        <w:tblLook w:val="04A0" w:firstRow="1" w:lastRow="0" w:firstColumn="1" w:lastColumn="0" w:noHBand="0" w:noVBand="1"/>
      </w:tblPr>
      <w:tblGrid>
        <w:gridCol w:w="1418"/>
        <w:gridCol w:w="1417"/>
        <w:gridCol w:w="4126"/>
        <w:gridCol w:w="876"/>
        <w:gridCol w:w="1636"/>
      </w:tblGrid>
      <w:tr w:rsidR="00531C09" w:rsidRPr="00531C09" w:rsidTr="00531C09">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20" w:after="20" w:line="240" w:lineRule="auto"/>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color w:val="000000"/>
                <w:sz w:val="24"/>
                <w:szCs w:val="24"/>
                <w:lang w:eastAsia="sq-AL"/>
              </w:rPr>
              <w:t>QARKU</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531C09" w:rsidRPr="00531C09" w:rsidRDefault="00531C09" w:rsidP="00531C09">
            <w:pPr>
              <w:spacing w:before="20" w:after="20" w:line="240" w:lineRule="auto"/>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color w:val="000000"/>
                <w:sz w:val="24"/>
                <w:szCs w:val="24"/>
                <w:lang w:eastAsia="sq-AL"/>
              </w:rPr>
              <w:t>Sasia e prodhuar (kg)</w:t>
            </w:r>
          </w:p>
        </w:tc>
        <w:tc>
          <w:tcPr>
            <w:tcW w:w="4126" w:type="dxa"/>
            <w:tcBorders>
              <w:top w:val="single" w:sz="4" w:space="0" w:color="auto"/>
              <w:left w:val="nil"/>
              <w:bottom w:val="single" w:sz="4" w:space="0" w:color="auto"/>
              <w:right w:val="single" w:sz="4" w:space="0" w:color="auto"/>
            </w:tcBorders>
            <w:shd w:val="clear" w:color="auto" w:fill="auto"/>
            <w:noWrap/>
            <w:vAlign w:val="center"/>
            <w:hideMark/>
          </w:tcPr>
          <w:p w:rsidR="00531C09" w:rsidRPr="00531C09" w:rsidRDefault="00531C09" w:rsidP="00531C09">
            <w:pPr>
              <w:spacing w:before="20" w:after="20" w:line="240" w:lineRule="auto"/>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color w:val="000000"/>
                <w:sz w:val="24"/>
                <w:szCs w:val="24"/>
                <w:lang w:eastAsia="sq-AL"/>
              </w:rPr>
              <w:t>Kontratë me subjektet e licensuar për trajtimin e mbetjeve spitalore</w:t>
            </w:r>
          </w:p>
        </w:tc>
        <w:tc>
          <w:tcPr>
            <w:tcW w:w="876" w:type="dxa"/>
            <w:tcBorders>
              <w:top w:val="single" w:sz="4" w:space="0" w:color="auto"/>
              <w:left w:val="nil"/>
              <w:bottom w:val="single" w:sz="4" w:space="0" w:color="auto"/>
              <w:right w:val="single" w:sz="4" w:space="0" w:color="auto"/>
            </w:tcBorders>
            <w:shd w:val="clear" w:color="auto" w:fill="auto"/>
            <w:vAlign w:val="center"/>
          </w:tcPr>
          <w:p w:rsidR="00531C09" w:rsidRPr="00531C09" w:rsidRDefault="00531C09" w:rsidP="00531C09">
            <w:pPr>
              <w:spacing w:before="20" w:after="20" w:line="240" w:lineRule="auto"/>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color w:val="000000"/>
                <w:sz w:val="24"/>
                <w:szCs w:val="24"/>
                <w:lang w:eastAsia="sq-AL"/>
              </w:rPr>
              <w:t>Sasia (kg)</w:t>
            </w:r>
          </w:p>
        </w:tc>
        <w:tc>
          <w:tcPr>
            <w:tcW w:w="1636" w:type="dxa"/>
            <w:tcBorders>
              <w:top w:val="single" w:sz="4" w:space="0" w:color="auto"/>
              <w:left w:val="nil"/>
              <w:bottom w:val="single" w:sz="4" w:space="0" w:color="auto"/>
              <w:right w:val="single" w:sz="4" w:space="0" w:color="auto"/>
            </w:tcBorders>
            <w:shd w:val="clear" w:color="auto" w:fill="auto"/>
            <w:vAlign w:val="center"/>
          </w:tcPr>
          <w:p w:rsidR="00531C09" w:rsidRPr="00531C09" w:rsidRDefault="00531C09" w:rsidP="00531C09">
            <w:pPr>
              <w:spacing w:before="20" w:after="20" w:line="240" w:lineRule="auto"/>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color w:val="000000"/>
                <w:sz w:val="24"/>
                <w:szCs w:val="24"/>
                <w:lang w:eastAsia="sq-AL"/>
              </w:rPr>
              <w:t>Trajtuar nga QSH</w:t>
            </w:r>
          </w:p>
        </w:tc>
      </w:tr>
      <w:tr w:rsidR="00531C09" w:rsidRPr="00531C09" w:rsidTr="00531C09">
        <w:trPr>
          <w:trHeight w:val="31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both"/>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color w:val="000000"/>
                <w:sz w:val="24"/>
                <w:szCs w:val="24"/>
                <w:lang w:eastAsia="sq-AL"/>
              </w:rPr>
              <w:t>Berat</w:t>
            </w:r>
          </w:p>
        </w:tc>
        <w:tc>
          <w:tcPr>
            <w:tcW w:w="141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val="sq-AL" w:eastAsia="sq-AL"/>
              </w:rPr>
              <w:t xml:space="preserve">  2,301.71      </w:t>
            </w:r>
          </w:p>
        </w:tc>
        <w:tc>
          <w:tcPr>
            <w:tcW w:w="4126" w:type="dxa"/>
            <w:tcBorders>
              <w:top w:val="nil"/>
              <w:left w:val="nil"/>
              <w:bottom w:val="single" w:sz="4" w:space="0" w:color="auto"/>
              <w:right w:val="single" w:sz="4" w:space="0" w:color="auto"/>
            </w:tcBorders>
            <w:shd w:val="clear" w:color="auto" w:fill="auto"/>
            <w:noWrap/>
            <w:vAlign w:val="center"/>
          </w:tcPr>
          <w:p w:rsidR="00531C09" w:rsidRPr="00531C09" w:rsidRDefault="00531C09" w:rsidP="00531C09">
            <w:pPr>
              <w:spacing w:before="40" w:after="40" w:line="240" w:lineRule="auto"/>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eastAsia="sq-AL"/>
              </w:rPr>
              <w:t>Medi-Tel shpk, Pura Medical shpk</w:t>
            </w:r>
          </w:p>
        </w:tc>
        <w:tc>
          <w:tcPr>
            <w:tcW w:w="876" w:type="dxa"/>
            <w:tcBorders>
              <w:top w:val="single" w:sz="8" w:space="0" w:color="auto"/>
              <w:left w:val="single" w:sz="8" w:space="0" w:color="auto"/>
              <w:bottom w:val="single" w:sz="4" w:space="0" w:color="auto"/>
              <w:right w:val="single" w:sz="4" w:space="0" w:color="auto"/>
            </w:tcBorders>
            <w:shd w:val="clear" w:color="auto" w:fill="auto"/>
            <w:vAlign w:val="center"/>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val="sq-AL" w:eastAsia="sq-AL"/>
              </w:rPr>
              <w:t>10.00</w:t>
            </w:r>
          </w:p>
        </w:tc>
        <w:tc>
          <w:tcPr>
            <w:tcW w:w="1636" w:type="dxa"/>
            <w:tcBorders>
              <w:top w:val="nil"/>
              <w:left w:val="nil"/>
              <w:bottom w:val="single" w:sz="4" w:space="0" w:color="auto"/>
              <w:right w:val="single" w:sz="4" w:space="0" w:color="auto"/>
            </w:tcBorders>
            <w:vAlign w:val="center"/>
          </w:tcPr>
          <w:p w:rsidR="00531C09" w:rsidRPr="00531C09" w:rsidRDefault="00531C09" w:rsidP="00531C09">
            <w:pPr>
              <w:spacing w:before="40" w:after="40" w:line="240" w:lineRule="auto"/>
              <w:jc w:val="both"/>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eastAsia="sq-AL"/>
              </w:rPr>
              <w:t>djegie </w:t>
            </w:r>
          </w:p>
        </w:tc>
      </w:tr>
      <w:tr w:rsidR="00531C09" w:rsidRPr="00531C09" w:rsidTr="00531C09">
        <w:trPr>
          <w:trHeight w:val="31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both"/>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sz w:val="24"/>
                <w:szCs w:val="24"/>
                <w:lang w:val="sq-AL" w:eastAsia="sq-AL"/>
              </w:rPr>
              <w:t>Durres</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val="sq-AL" w:eastAsia="sq-AL"/>
              </w:rPr>
              <w:t xml:space="preserve">8,122.39      </w:t>
            </w:r>
          </w:p>
        </w:tc>
        <w:tc>
          <w:tcPr>
            <w:tcW w:w="4126" w:type="dxa"/>
            <w:tcBorders>
              <w:top w:val="nil"/>
              <w:left w:val="nil"/>
              <w:bottom w:val="single" w:sz="4" w:space="0" w:color="auto"/>
              <w:right w:val="single" w:sz="4" w:space="0" w:color="auto"/>
            </w:tcBorders>
            <w:shd w:val="clear" w:color="auto" w:fill="auto"/>
            <w:noWrap/>
            <w:vAlign w:val="center"/>
          </w:tcPr>
          <w:p w:rsidR="00531C09" w:rsidRPr="00531C09" w:rsidRDefault="00531C09" w:rsidP="00531C09">
            <w:pPr>
              <w:spacing w:before="40" w:after="40" w:line="240" w:lineRule="auto"/>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eastAsia="sq-AL"/>
              </w:rPr>
              <w:t>Medi-Tel shpk, Vale Recycling shpk, Eco Riciklim shpk shpk</w:t>
            </w:r>
          </w:p>
        </w:tc>
        <w:tc>
          <w:tcPr>
            <w:tcW w:w="876" w:type="dxa"/>
            <w:tcBorders>
              <w:top w:val="nil"/>
              <w:left w:val="single" w:sz="8" w:space="0" w:color="auto"/>
              <w:bottom w:val="single" w:sz="4" w:space="0" w:color="auto"/>
              <w:right w:val="single" w:sz="4" w:space="0" w:color="auto"/>
            </w:tcBorders>
            <w:shd w:val="clear" w:color="auto" w:fill="auto"/>
            <w:vAlign w:val="center"/>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p>
        </w:tc>
        <w:tc>
          <w:tcPr>
            <w:tcW w:w="1636" w:type="dxa"/>
            <w:tcBorders>
              <w:top w:val="nil"/>
              <w:left w:val="nil"/>
              <w:bottom w:val="single" w:sz="4" w:space="0" w:color="auto"/>
              <w:right w:val="single" w:sz="4" w:space="0" w:color="auto"/>
            </w:tcBorders>
            <w:vAlign w:val="center"/>
          </w:tcPr>
          <w:p w:rsidR="00531C09" w:rsidRPr="00531C09" w:rsidRDefault="00531C09" w:rsidP="00531C09">
            <w:pPr>
              <w:spacing w:before="40" w:after="40" w:line="240" w:lineRule="auto"/>
              <w:jc w:val="both"/>
              <w:rPr>
                <w:rFonts w:ascii="Times New Roman" w:eastAsia="Times New Roman" w:hAnsi="Times New Roman" w:cs="Times New Roman"/>
                <w:color w:val="000000"/>
                <w:sz w:val="24"/>
                <w:szCs w:val="24"/>
                <w:lang w:eastAsia="sq-AL"/>
              </w:rPr>
            </w:pPr>
          </w:p>
        </w:tc>
      </w:tr>
      <w:tr w:rsidR="00531C09" w:rsidRPr="00531C09" w:rsidTr="00531C09">
        <w:trPr>
          <w:trHeight w:val="31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both"/>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sz w:val="24"/>
                <w:szCs w:val="24"/>
                <w:lang w:val="sq-AL" w:eastAsia="sq-AL"/>
              </w:rPr>
              <w:t>Elbasan</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val="sq-AL" w:eastAsia="sq-AL"/>
              </w:rPr>
              <w:t xml:space="preserve">8,356.60      </w:t>
            </w:r>
          </w:p>
        </w:tc>
        <w:tc>
          <w:tcPr>
            <w:tcW w:w="4126" w:type="dxa"/>
            <w:tcBorders>
              <w:top w:val="nil"/>
              <w:left w:val="nil"/>
              <w:bottom w:val="single" w:sz="4" w:space="0" w:color="auto"/>
              <w:right w:val="single" w:sz="4" w:space="0" w:color="auto"/>
            </w:tcBorders>
            <w:shd w:val="clear" w:color="auto" w:fill="auto"/>
            <w:noWrap/>
            <w:vAlign w:val="center"/>
          </w:tcPr>
          <w:p w:rsidR="00531C09" w:rsidRPr="00531C09" w:rsidRDefault="00531C09" w:rsidP="00531C09">
            <w:pPr>
              <w:spacing w:before="40" w:after="40" w:line="240" w:lineRule="auto"/>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eastAsia="sq-AL"/>
              </w:rPr>
              <w:t>Medi-Tel shpk, Vale Recycling shpk, Pura Medical shpk, Eco Riciklim shpk</w:t>
            </w:r>
          </w:p>
        </w:tc>
        <w:tc>
          <w:tcPr>
            <w:tcW w:w="876" w:type="dxa"/>
            <w:tcBorders>
              <w:top w:val="nil"/>
              <w:left w:val="single" w:sz="8" w:space="0" w:color="auto"/>
              <w:bottom w:val="single" w:sz="4" w:space="0" w:color="auto"/>
              <w:right w:val="single" w:sz="4" w:space="0" w:color="auto"/>
            </w:tcBorders>
            <w:shd w:val="clear" w:color="auto" w:fill="auto"/>
            <w:vAlign w:val="center"/>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p>
        </w:tc>
        <w:tc>
          <w:tcPr>
            <w:tcW w:w="1636" w:type="dxa"/>
            <w:tcBorders>
              <w:top w:val="nil"/>
              <w:left w:val="nil"/>
              <w:bottom w:val="single" w:sz="4" w:space="0" w:color="auto"/>
              <w:right w:val="single" w:sz="4" w:space="0" w:color="auto"/>
            </w:tcBorders>
            <w:vAlign w:val="center"/>
          </w:tcPr>
          <w:p w:rsidR="00531C09" w:rsidRPr="00531C09" w:rsidRDefault="00531C09" w:rsidP="00531C09">
            <w:pPr>
              <w:spacing w:before="40" w:after="40" w:line="240" w:lineRule="auto"/>
              <w:jc w:val="both"/>
              <w:rPr>
                <w:rFonts w:ascii="Times New Roman" w:eastAsia="Times New Roman" w:hAnsi="Times New Roman" w:cs="Times New Roman"/>
                <w:color w:val="000000"/>
                <w:sz w:val="24"/>
                <w:szCs w:val="24"/>
                <w:lang w:eastAsia="sq-AL"/>
              </w:rPr>
            </w:pPr>
          </w:p>
        </w:tc>
      </w:tr>
      <w:tr w:rsidR="00531C09" w:rsidRPr="00531C09" w:rsidTr="00531C09">
        <w:trPr>
          <w:trHeight w:val="31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both"/>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sz w:val="24"/>
                <w:szCs w:val="24"/>
                <w:lang w:val="sq-AL" w:eastAsia="sq-AL"/>
              </w:rPr>
              <w:t>Fier</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val="sq-AL" w:eastAsia="sq-AL"/>
              </w:rPr>
              <w:t xml:space="preserve">6,585.53      </w:t>
            </w:r>
          </w:p>
        </w:tc>
        <w:tc>
          <w:tcPr>
            <w:tcW w:w="4126" w:type="dxa"/>
            <w:tcBorders>
              <w:top w:val="nil"/>
              <w:left w:val="nil"/>
              <w:bottom w:val="single" w:sz="4" w:space="0" w:color="auto"/>
              <w:right w:val="single" w:sz="4" w:space="0" w:color="auto"/>
            </w:tcBorders>
            <w:shd w:val="clear" w:color="auto" w:fill="auto"/>
            <w:noWrap/>
            <w:vAlign w:val="center"/>
          </w:tcPr>
          <w:p w:rsidR="00531C09" w:rsidRPr="00531C09" w:rsidRDefault="00531C09" w:rsidP="00531C09">
            <w:pPr>
              <w:spacing w:before="40" w:after="40" w:line="240" w:lineRule="auto"/>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eastAsia="sq-AL"/>
              </w:rPr>
              <w:t>Medi-Tel shpk, Vale Recycling shpk, Pura Medical shpk</w:t>
            </w:r>
          </w:p>
        </w:tc>
        <w:tc>
          <w:tcPr>
            <w:tcW w:w="876" w:type="dxa"/>
            <w:tcBorders>
              <w:top w:val="nil"/>
              <w:left w:val="single" w:sz="8" w:space="0" w:color="auto"/>
              <w:bottom w:val="single" w:sz="4" w:space="0" w:color="auto"/>
              <w:right w:val="single" w:sz="4" w:space="0" w:color="auto"/>
            </w:tcBorders>
            <w:shd w:val="clear" w:color="auto" w:fill="auto"/>
            <w:vAlign w:val="center"/>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p>
        </w:tc>
        <w:tc>
          <w:tcPr>
            <w:tcW w:w="1636" w:type="dxa"/>
            <w:tcBorders>
              <w:top w:val="nil"/>
              <w:left w:val="nil"/>
              <w:bottom w:val="single" w:sz="4" w:space="0" w:color="auto"/>
              <w:right w:val="single" w:sz="4" w:space="0" w:color="auto"/>
            </w:tcBorders>
            <w:vAlign w:val="center"/>
          </w:tcPr>
          <w:p w:rsidR="00531C09" w:rsidRPr="00531C09" w:rsidRDefault="00531C09" w:rsidP="00531C09">
            <w:pPr>
              <w:spacing w:before="40" w:after="40" w:line="240" w:lineRule="auto"/>
              <w:jc w:val="both"/>
              <w:rPr>
                <w:rFonts w:ascii="Times New Roman" w:eastAsia="Times New Roman" w:hAnsi="Times New Roman" w:cs="Times New Roman"/>
                <w:color w:val="000000"/>
                <w:sz w:val="24"/>
                <w:szCs w:val="24"/>
                <w:lang w:eastAsia="sq-AL"/>
              </w:rPr>
            </w:pPr>
          </w:p>
        </w:tc>
      </w:tr>
      <w:tr w:rsidR="00531C09" w:rsidRPr="00531C09" w:rsidTr="00531C09">
        <w:trPr>
          <w:trHeight w:val="31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both"/>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sz w:val="24"/>
                <w:szCs w:val="24"/>
                <w:lang w:val="sq-AL" w:eastAsia="sq-AL"/>
              </w:rPr>
              <w:t>Gjirokastër</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val="sq-AL" w:eastAsia="sq-AL"/>
              </w:rPr>
              <w:t xml:space="preserve">1,684.20      </w:t>
            </w:r>
          </w:p>
        </w:tc>
        <w:tc>
          <w:tcPr>
            <w:tcW w:w="4126" w:type="dxa"/>
            <w:tcBorders>
              <w:top w:val="nil"/>
              <w:left w:val="nil"/>
              <w:bottom w:val="single" w:sz="4" w:space="0" w:color="auto"/>
              <w:right w:val="single" w:sz="4" w:space="0" w:color="auto"/>
            </w:tcBorders>
            <w:shd w:val="clear" w:color="auto" w:fill="auto"/>
            <w:noWrap/>
            <w:vAlign w:val="center"/>
          </w:tcPr>
          <w:p w:rsidR="00531C09" w:rsidRPr="00531C09" w:rsidRDefault="00531C09" w:rsidP="00531C09">
            <w:pPr>
              <w:spacing w:before="40" w:after="40" w:line="240" w:lineRule="auto"/>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eastAsia="sq-AL"/>
              </w:rPr>
              <w:t>Medi-Tel shpk, Pura Medical shpk</w:t>
            </w:r>
          </w:p>
        </w:tc>
        <w:tc>
          <w:tcPr>
            <w:tcW w:w="876" w:type="dxa"/>
            <w:tcBorders>
              <w:top w:val="nil"/>
              <w:left w:val="single" w:sz="8" w:space="0" w:color="auto"/>
              <w:bottom w:val="single" w:sz="4" w:space="0" w:color="auto"/>
              <w:right w:val="single" w:sz="4" w:space="0" w:color="auto"/>
            </w:tcBorders>
            <w:shd w:val="clear" w:color="auto" w:fill="auto"/>
            <w:vAlign w:val="center"/>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p>
        </w:tc>
        <w:tc>
          <w:tcPr>
            <w:tcW w:w="1636" w:type="dxa"/>
            <w:tcBorders>
              <w:top w:val="nil"/>
              <w:left w:val="nil"/>
              <w:bottom w:val="single" w:sz="4" w:space="0" w:color="auto"/>
              <w:right w:val="single" w:sz="4" w:space="0" w:color="auto"/>
            </w:tcBorders>
            <w:vAlign w:val="center"/>
          </w:tcPr>
          <w:p w:rsidR="00531C09" w:rsidRPr="00531C09" w:rsidRDefault="00531C09" w:rsidP="00531C09">
            <w:pPr>
              <w:spacing w:before="40" w:after="40" w:line="240" w:lineRule="auto"/>
              <w:jc w:val="both"/>
              <w:rPr>
                <w:rFonts w:ascii="Times New Roman" w:eastAsia="Times New Roman" w:hAnsi="Times New Roman" w:cs="Times New Roman"/>
                <w:color w:val="000000"/>
                <w:sz w:val="24"/>
                <w:szCs w:val="24"/>
                <w:lang w:eastAsia="sq-AL"/>
              </w:rPr>
            </w:pPr>
          </w:p>
        </w:tc>
      </w:tr>
      <w:tr w:rsidR="00531C09" w:rsidRPr="00531C09" w:rsidTr="00531C09">
        <w:trPr>
          <w:trHeight w:val="31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both"/>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sz w:val="24"/>
                <w:szCs w:val="24"/>
                <w:lang w:val="sq-AL" w:eastAsia="sq-AL"/>
              </w:rPr>
              <w:lastRenderedPageBreak/>
              <w:t>Korçë</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val="sq-AL" w:eastAsia="sq-AL"/>
              </w:rPr>
              <w:t xml:space="preserve">2,913.68      </w:t>
            </w:r>
          </w:p>
        </w:tc>
        <w:tc>
          <w:tcPr>
            <w:tcW w:w="4126" w:type="dxa"/>
            <w:tcBorders>
              <w:top w:val="nil"/>
              <w:left w:val="nil"/>
              <w:bottom w:val="single" w:sz="4" w:space="0" w:color="auto"/>
              <w:right w:val="single" w:sz="4" w:space="0" w:color="auto"/>
            </w:tcBorders>
            <w:shd w:val="clear" w:color="auto" w:fill="auto"/>
            <w:noWrap/>
            <w:vAlign w:val="center"/>
          </w:tcPr>
          <w:p w:rsidR="00531C09" w:rsidRPr="00531C09" w:rsidRDefault="00531C09" w:rsidP="00531C09">
            <w:pPr>
              <w:spacing w:before="40" w:after="40" w:line="240" w:lineRule="auto"/>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eastAsia="sq-AL"/>
              </w:rPr>
              <w:t>Medi-Tel shpk, Pura Medical shpk, Eco Riciklim shpk</w:t>
            </w:r>
          </w:p>
        </w:tc>
        <w:tc>
          <w:tcPr>
            <w:tcW w:w="876" w:type="dxa"/>
            <w:tcBorders>
              <w:top w:val="nil"/>
              <w:left w:val="single" w:sz="8" w:space="0" w:color="auto"/>
              <w:bottom w:val="single" w:sz="4" w:space="0" w:color="auto"/>
              <w:right w:val="single" w:sz="4" w:space="0" w:color="auto"/>
            </w:tcBorders>
            <w:shd w:val="clear" w:color="auto" w:fill="auto"/>
            <w:vAlign w:val="center"/>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p>
        </w:tc>
        <w:tc>
          <w:tcPr>
            <w:tcW w:w="1636" w:type="dxa"/>
            <w:tcBorders>
              <w:top w:val="nil"/>
              <w:left w:val="nil"/>
              <w:bottom w:val="single" w:sz="4" w:space="0" w:color="auto"/>
              <w:right w:val="single" w:sz="4" w:space="0" w:color="auto"/>
            </w:tcBorders>
            <w:vAlign w:val="center"/>
          </w:tcPr>
          <w:p w:rsidR="00531C09" w:rsidRPr="00531C09" w:rsidRDefault="00531C09" w:rsidP="00531C09">
            <w:pPr>
              <w:spacing w:before="40" w:after="40" w:line="240" w:lineRule="auto"/>
              <w:jc w:val="both"/>
              <w:rPr>
                <w:rFonts w:ascii="Times New Roman" w:eastAsia="Times New Roman" w:hAnsi="Times New Roman" w:cs="Times New Roman"/>
                <w:color w:val="000000"/>
                <w:sz w:val="24"/>
                <w:szCs w:val="24"/>
                <w:lang w:eastAsia="sq-AL"/>
              </w:rPr>
            </w:pPr>
          </w:p>
        </w:tc>
      </w:tr>
      <w:tr w:rsidR="00531C09" w:rsidRPr="00531C09" w:rsidTr="00531C09">
        <w:trPr>
          <w:trHeight w:val="31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both"/>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sz w:val="24"/>
                <w:szCs w:val="24"/>
                <w:lang w:val="sq-AL" w:eastAsia="sq-AL"/>
              </w:rPr>
              <w:t>Vlorë</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val="sq-AL" w:eastAsia="sq-AL"/>
              </w:rPr>
              <w:t xml:space="preserve">5,303.80           </w:t>
            </w:r>
          </w:p>
        </w:tc>
        <w:tc>
          <w:tcPr>
            <w:tcW w:w="4126" w:type="dxa"/>
            <w:tcBorders>
              <w:top w:val="nil"/>
              <w:left w:val="nil"/>
              <w:bottom w:val="single" w:sz="4" w:space="0" w:color="auto"/>
              <w:right w:val="single" w:sz="4" w:space="0" w:color="auto"/>
            </w:tcBorders>
            <w:shd w:val="clear" w:color="auto" w:fill="auto"/>
            <w:noWrap/>
            <w:vAlign w:val="center"/>
          </w:tcPr>
          <w:p w:rsidR="00531C09" w:rsidRPr="00531C09" w:rsidRDefault="00531C09" w:rsidP="00531C09">
            <w:pPr>
              <w:spacing w:before="40" w:after="40" w:line="240" w:lineRule="auto"/>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eastAsia="sq-AL"/>
              </w:rPr>
              <w:t>Medi-Tel shpk, Pura Medical shpk, Eco Riciklim shpk</w:t>
            </w:r>
          </w:p>
        </w:tc>
        <w:tc>
          <w:tcPr>
            <w:tcW w:w="876" w:type="dxa"/>
            <w:tcBorders>
              <w:top w:val="nil"/>
              <w:left w:val="single" w:sz="8" w:space="0" w:color="auto"/>
              <w:bottom w:val="single" w:sz="4" w:space="0" w:color="auto"/>
              <w:right w:val="single" w:sz="4" w:space="0" w:color="auto"/>
            </w:tcBorders>
            <w:shd w:val="clear" w:color="auto" w:fill="auto"/>
            <w:vAlign w:val="center"/>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p>
        </w:tc>
        <w:tc>
          <w:tcPr>
            <w:tcW w:w="1636" w:type="dxa"/>
            <w:tcBorders>
              <w:top w:val="nil"/>
              <w:left w:val="nil"/>
              <w:bottom w:val="single" w:sz="4" w:space="0" w:color="auto"/>
              <w:right w:val="single" w:sz="4" w:space="0" w:color="auto"/>
            </w:tcBorders>
            <w:vAlign w:val="center"/>
          </w:tcPr>
          <w:p w:rsidR="00531C09" w:rsidRPr="00531C09" w:rsidRDefault="00531C09" w:rsidP="00531C09">
            <w:pPr>
              <w:spacing w:before="40" w:after="40" w:line="240" w:lineRule="auto"/>
              <w:jc w:val="both"/>
              <w:rPr>
                <w:rFonts w:ascii="Times New Roman" w:eastAsia="Times New Roman" w:hAnsi="Times New Roman" w:cs="Times New Roman"/>
                <w:color w:val="000000"/>
                <w:sz w:val="24"/>
                <w:szCs w:val="24"/>
                <w:lang w:eastAsia="sq-AL"/>
              </w:rPr>
            </w:pPr>
          </w:p>
        </w:tc>
      </w:tr>
      <w:tr w:rsidR="00531C09" w:rsidRPr="00531C09" w:rsidTr="00531C09">
        <w:trPr>
          <w:trHeight w:val="31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both"/>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sz w:val="24"/>
                <w:szCs w:val="24"/>
                <w:lang w:val="sq-AL" w:eastAsia="sq-AL"/>
              </w:rPr>
              <w:t>Tiranë</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val="sq-AL" w:eastAsia="sq-AL"/>
              </w:rPr>
              <w:t xml:space="preserve">30,262.77      </w:t>
            </w:r>
          </w:p>
        </w:tc>
        <w:tc>
          <w:tcPr>
            <w:tcW w:w="4126" w:type="dxa"/>
            <w:tcBorders>
              <w:top w:val="nil"/>
              <w:left w:val="nil"/>
              <w:bottom w:val="single" w:sz="4" w:space="0" w:color="auto"/>
              <w:right w:val="single" w:sz="4" w:space="0" w:color="auto"/>
            </w:tcBorders>
            <w:shd w:val="clear" w:color="auto" w:fill="auto"/>
            <w:noWrap/>
            <w:vAlign w:val="center"/>
          </w:tcPr>
          <w:p w:rsidR="00531C09" w:rsidRPr="00531C09" w:rsidRDefault="00531C09" w:rsidP="00531C09">
            <w:pPr>
              <w:spacing w:before="40" w:after="40" w:line="240" w:lineRule="auto"/>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eastAsia="sq-AL"/>
              </w:rPr>
              <w:t>Medi-Tel shpk, Vale Recycling shpk, Eco Riciklim shpk, Pura Medical shpk</w:t>
            </w:r>
          </w:p>
        </w:tc>
        <w:tc>
          <w:tcPr>
            <w:tcW w:w="876" w:type="dxa"/>
            <w:tcBorders>
              <w:top w:val="nil"/>
              <w:left w:val="single" w:sz="8" w:space="0" w:color="auto"/>
              <w:bottom w:val="single" w:sz="4" w:space="0" w:color="auto"/>
              <w:right w:val="single" w:sz="4" w:space="0" w:color="auto"/>
            </w:tcBorders>
            <w:shd w:val="clear" w:color="auto" w:fill="auto"/>
            <w:vAlign w:val="center"/>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p>
        </w:tc>
        <w:tc>
          <w:tcPr>
            <w:tcW w:w="1636" w:type="dxa"/>
            <w:tcBorders>
              <w:top w:val="nil"/>
              <w:left w:val="nil"/>
              <w:bottom w:val="single" w:sz="4" w:space="0" w:color="auto"/>
              <w:right w:val="single" w:sz="4" w:space="0" w:color="auto"/>
            </w:tcBorders>
            <w:vAlign w:val="center"/>
          </w:tcPr>
          <w:p w:rsidR="00531C09" w:rsidRPr="00531C09" w:rsidRDefault="00531C09" w:rsidP="00531C09">
            <w:pPr>
              <w:spacing w:before="40" w:after="40" w:line="240" w:lineRule="auto"/>
              <w:jc w:val="both"/>
              <w:rPr>
                <w:rFonts w:ascii="Times New Roman" w:eastAsia="Times New Roman" w:hAnsi="Times New Roman" w:cs="Times New Roman"/>
                <w:color w:val="000000"/>
                <w:sz w:val="24"/>
                <w:szCs w:val="24"/>
                <w:lang w:eastAsia="sq-AL"/>
              </w:rPr>
            </w:pPr>
          </w:p>
        </w:tc>
      </w:tr>
      <w:tr w:rsidR="00531C09" w:rsidRPr="00531C09" w:rsidTr="00531C09">
        <w:trPr>
          <w:trHeight w:val="31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both"/>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sz w:val="24"/>
                <w:szCs w:val="24"/>
                <w:lang w:val="sq-AL" w:eastAsia="sq-AL"/>
              </w:rPr>
              <w:t>Lezhë</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val="sq-AL" w:eastAsia="sq-AL"/>
              </w:rPr>
              <w:t xml:space="preserve">3,449.30      </w:t>
            </w:r>
          </w:p>
        </w:tc>
        <w:tc>
          <w:tcPr>
            <w:tcW w:w="4126" w:type="dxa"/>
            <w:tcBorders>
              <w:top w:val="nil"/>
              <w:left w:val="nil"/>
              <w:bottom w:val="single" w:sz="4" w:space="0" w:color="auto"/>
              <w:right w:val="single" w:sz="4" w:space="0" w:color="auto"/>
            </w:tcBorders>
            <w:shd w:val="clear" w:color="auto" w:fill="auto"/>
            <w:noWrap/>
            <w:vAlign w:val="center"/>
          </w:tcPr>
          <w:p w:rsidR="00531C09" w:rsidRPr="00531C09" w:rsidRDefault="00531C09" w:rsidP="00531C09">
            <w:pPr>
              <w:spacing w:before="40" w:after="40" w:line="240" w:lineRule="auto"/>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eastAsia="sq-AL"/>
              </w:rPr>
              <w:t>Medi-Tel shpk, Vale Recycling shpk</w:t>
            </w:r>
          </w:p>
        </w:tc>
        <w:tc>
          <w:tcPr>
            <w:tcW w:w="876" w:type="dxa"/>
            <w:tcBorders>
              <w:top w:val="nil"/>
              <w:left w:val="single" w:sz="8" w:space="0" w:color="auto"/>
              <w:bottom w:val="single" w:sz="4" w:space="0" w:color="auto"/>
              <w:right w:val="single" w:sz="4" w:space="0" w:color="auto"/>
            </w:tcBorders>
            <w:shd w:val="clear" w:color="auto" w:fill="auto"/>
            <w:vAlign w:val="center"/>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p>
        </w:tc>
        <w:tc>
          <w:tcPr>
            <w:tcW w:w="1636" w:type="dxa"/>
            <w:tcBorders>
              <w:top w:val="nil"/>
              <w:left w:val="single" w:sz="8" w:space="0" w:color="auto"/>
              <w:bottom w:val="single" w:sz="4" w:space="0" w:color="auto"/>
              <w:right w:val="single" w:sz="4" w:space="0" w:color="auto"/>
            </w:tcBorders>
            <w:shd w:val="clear" w:color="auto" w:fill="auto"/>
            <w:vAlign w:val="center"/>
          </w:tcPr>
          <w:p w:rsidR="00531C09" w:rsidRPr="00531C09" w:rsidRDefault="00531C09" w:rsidP="00531C09">
            <w:pPr>
              <w:spacing w:before="40" w:after="40" w:line="240" w:lineRule="auto"/>
              <w:jc w:val="both"/>
              <w:rPr>
                <w:rFonts w:ascii="Times New Roman" w:eastAsia="Times New Roman" w:hAnsi="Times New Roman" w:cs="Times New Roman"/>
                <w:color w:val="000000"/>
                <w:sz w:val="24"/>
                <w:szCs w:val="24"/>
                <w:lang w:eastAsia="sq-AL"/>
              </w:rPr>
            </w:pPr>
          </w:p>
        </w:tc>
      </w:tr>
      <w:tr w:rsidR="00531C09" w:rsidRPr="00531C09" w:rsidTr="00531C09">
        <w:trPr>
          <w:trHeight w:val="31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both"/>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sz w:val="24"/>
                <w:szCs w:val="24"/>
                <w:lang w:val="sq-AL" w:eastAsia="sq-AL"/>
              </w:rPr>
              <w:t>Shkodër</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val="sq-AL" w:eastAsia="sq-AL"/>
              </w:rPr>
              <w:t xml:space="preserve">3,210.39      </w:t>
            </w:r>
          </w:p>
        </w:tc>
        <w:tc>
          <w:tcPr>
            <w:tcW w:w="4126" w:type="dxa"/>
            <w:tcBorders>
              <w:top w:val="nil"/>
              <w:left w:val="nil"/>
              <w:bottom w:val="single" w:sz="4" w:space="0" w:color="auto"/>
              <w:right w:val="single" w:sz="4" w:space="0" w:color="auto"/>
            </w:tcBorders>
            <w:shd w:val="clear" w:color="auto" w:fill="auto"/>
            <w:noWrap/>
            <w:vAlign w:val="center"/>
          </w:tcPr>
          <w:p w:rsidR="00531C09" w:rsidRPr="00531C09" w:rsidRDefault="00531C09" w:rsidP="00531C09">
            <w:pPr>
              <w:spacing w:before="40" w:after="40" w:line="240" w:lineRule="auto"/>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eastAsia="sq-AL"/>
              </w:rPr>
              <w:t>Medi-Tel shpk, Pura Medical shpk, Vale Recycling shpk</w:t>
            </w:r>
          </w:p>
        </w:tc>
        <w:tc>
          <w:tcPr>
            <w:tcW w:w="876" w:type="dxa"/>
            <w:tcBorders>
              <w:top w:val="nil"/>
              <w:left w:val="single" w:sz="8" w:space="0" w:color="auto"/>
              <w:bottom w:val="single" w:sz="4" w:space="0" w:color="auto"/>
              <w:right w:val="single" w:sz="4" w:space="0" w:color="auto"/>
            </w:tcBorders>
            <w:shd w:val="clear" w:color="auto" w:fill="auto"/>
            <w:vAlign w:val="center"/>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p>
        </w:tc>
        <w:tc>
          <w:tcPr>
            <w:tcW w:w="1636" w:type="dxa"/>
            <w:tcBorders>
              <w:top w:val="nil"/>
              <w:left w:val="nil"/>
              <w:bottom w:val="single" w:sz="4" w:space="0" w:color="auto"/>
              <w:right w:val="single" w:sz="4" w:space="0" w:color="auto"/>
            </w:tcBorders>
            <w:vAlign w:val="center"/>
          </w:tcPr>
          <w:p w:rsidR="00531C09" w:rsidRPr="00531C09" w:rsidRDefault="00531C09" w:rsidP="00531C09">
            <w:pPr>
              <w:spacing w:before="40" w:after="40" w:line="240" w:lineRule="auto"/>
              <w:jc w:val="both"/>
              <w:rPr>
                <w:rFonts w:ascii="Times New Roman" w:eastAsia="Times New Roman" w:hAnsi="Times New Roman" w:cs="Times New Roman"/>
                <w:color w:val="000000"/>
                <w:sz w:val="24"/>
                <w:szCs w:val="24"/>
                <w:lang w:eastAsia="sq-AL"/>
              </w:rPr>
            </w:pPr>
          </w:p>
        </w:tc>
      </w:tr>
      <w:tr w:rsidR="00531C09" w:rsidRPr="00531C09" w:rsidTr="00531C09">
        <w:trPr>
          <w:trHeight w:val="31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both"/>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sz w:val="24"/>
                <w:szCs w:val="24"/>
                <w:lang w:val="sq-AL" w:eastAsia="sq-AL"/>
              </w:rPr>
              <w:t>Kukës</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val="sq-AL" w:eastAsia="sq-AL"/>
              </w:rPr>
              <w:t xml:space="preserve">1,220.20      </w:t>
            </w:r>
          </w:p>
        </w:tc>
        <w:tc>
          <w:tcPr>
            <w:tcW w:w="4126" w:type="dxa"/>
            <w:tcBorders>
              <w:top w:val="nil"/>
              <w:left w:val="nil"/>
              <w:bottom w:val="single" w:sz="4" w:space="0" w:color="auto"/>
              <w:right w:val="single" w:sz="4" w:space="0" w:color="auto"/>
            </w:tcBorders>
            <w:shd w:val="clear" w:color="auto" w:fill="auto"/>
            <w:noWrap/>
            <w:vAlign w:val="center"/>
          </w:tcPr>
          <w:p w:rsidR="00531C09" w:rsidRPr="00531C09" w:rsidRDefault="00531C09" w:rsidP="00531C09">
            <w:pPr>
              <w:spacing w:before="40" w:after="40" w:line="240" w:lineRule="auto"/>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eastAsia="sq-AL"/>
              </w:rPr>
              <w:t>Medi-Tel shpk, Vale Recycling shpk</w:t>
            </w:r>
          </w:p>
        </w:tc>
        <w:tc>
          <w:tcPr>
            <w:tcW w:w="876" w:type="dxa"/>
            <w:tcBorders>
              <w:top w:val="nil"/>
              <w:left w:val="single" w:sz="8" w:space="0" w:color="auto"/>
              <w:bottom w:val="single" w:sz="4" w:space="0" w:color="auto"/>
              <w:right w:val="single" w:sz="4" w:space="0" w:color="auto"/>
            </w:tcBorders>
            <w:shd w:val="clear" w:color="auto" w:fill="auto"/>
            <w:vAlign w:val="center"/>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val="sq-AL" w:eastAsia="sq-AL"/>
              </w:rPr>
              <w:t>67.10</w:t>
            </w:r>
          </w:p>
        </w:tc>
        <w:tc>
          <w:tcPr>
            <w:tcW w:w="1636" w:type="dxa"/>
            <w:tcBorders>
              <w:top w:val="nil"/>
              <w:left w:val="nil"/>
              <w:bottom w:val="single" w:sz="4" w:space="0" w:color="auto"/>
              <w:right w:val="single" w:sz="4" w:space="0" w:color="auto"/>
            </w:tcBorders>
            <w:vAlign w:val="center"/>
          </w:tcPr>
          <w:p w:rsidR="00531C09" w:rsidRPr="00531C09" w:rsidRDefault="00531C09" w:rsidP="00531C09">
            <w:pPr>
              <w:spacing w:before="40" w:after="40" w:line="240" w:lineRule="auto"/>
              <w:jc w:val="both"/>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eastAsia="sq-AL"/>
              </w:rPr>
              <w:t>djegie</w:t>
            </w:r>
          </w:p>
        </w:tc>
      </w:tr>
      <w:tr w:rsidR="00531C09" w:rsidRPr="00531C09" w:rsidTr="00531C09">
        <w:trPr>
          <w:trHeight w:val="31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both"/>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color w:val="000000"/>
                <w:sz w:val="24"/>
                <w:szCs w:val="24"/>
                <w:lang w:eastAsia="sq-AL"/>
              </w:rPr>
              <w:t>Dibër</w:t>
            </w:r>
          </w:p>
        </w:tc>
        <w:tc>
          <w:tcPr>
            <w:tcW w:w="1417" w:type="dxa"/>
            <w:tcBorders>
              <w:top w:val="nil"/>
              <w:left w:val="single" w:sz="8" w:space="0" w:color="auto"/>
              <w:bottom w:val="single" w:sz="8"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val="sq-AL" w:eastAsia="sq-AL"/>
              </w:rPr>
              <w:t xml:space="preserve">2,080.94      </w:t>
            </w:r>
          </w:p>
        </w:tc>
        <w:tc>
          <w:tcPr>
            <w:tcW w:w="4126" w:type="dxa"/>
            <w:tcBorders>
              <w:top w:val="nil"/>
              <w:left w:val="nil"/>
              <w:bottom w:val="single" w:sz="4" w:space="0" w:color="auto"/>
              <w:right w:val="single" w:sz="4" w:space="0" w:color="auto"/>
            </w:tcBorders>
            <w:shd w:val="clear" w:color="auto" w:fill="auto"/>
            <w:noWrap/>
            <w:vAlign w:val="center"/>
          </w:tcPr>
          <w:p w:rsidR="00531C09" w:rsidRPr="00531C09" w:rsidRDefault="00531C09" w:rsidP="00531C09">
            <w:pPr>
              <w:spacing w:before="40" w:after="40" w:line="240" w:lineRule="auto"/>
              <w:rPr>
                <w:rFonts w:ascii="Times New Roman" w:eastAsia="Times New Roman" w:hAnsi="Times New Roman" w:cs="Times New Roman"/>
                <w:color w:val="000000"/>
                <w:sz w:val="24"/>
                <w:szCs w:val="24"/>
                <w:lang w:eastAsia="sq-AL"/>
              </w:rPr>
            </w:pPr>
            <w:r w:rsidRPr="00531C09">
              <w:rPr>
                <w:rFonts w:ascii="Times New Roman" w:eastAsia="Times New Roman" w:hAnsi="Times New Roman" w:cs="Times New Roman"/>
                <w:color w:val="000000"/>
                <w:sz w:val="24"/>
                <w:szCs w:val="24"/>
                <w:lang w:eastAsia="sq-AL"/>
              </w:rPr>
              <w:t>Medi-Tel shpk, Vale Recycling shpk</w:t>
            </w:r>
          </w:p>
        </w:tc>
        <w:tc>
          <w:tcPr>
            <w:tcW w:w="876" w:type="dxa"/>
            <w:tcBorders>
              <w:top w:val="nil"/>
              <w:left w:val="single" w:sz="8" w:space="0" w:color="auto"/>
              <w:bottom w:val="single" w:sz="8" w:space="0" w:color="auto"/>
              <w:right w:val="single" w:sz="4" w:space="0" w:color="auto"/>
            </w:tcBorders>
            <w:shd w:val="clear" w:color="auto" w:fill="auto"/>
            <w:vAlign w:val="center"/>
          </w:tcPr>
          <w:p w:rsidR="00531C09" w:rsidRPr="00531C09" w:rsidRDefault="00531C09" w:rsidP="00531C09">
            <w:pPr>
              <w:spacing w:before="40" w:after="40" w:line="240" w:lineRule="auto"/>
              <w:jc w:val="right"/>
              <w:rPr>
                <w:rFonts w:ascii="Times New Roman" w:eastAsia="Times New Roman" w:hAnsi="Times New Roman" w:cs="Times New Roman"/>
                <w:color w:val="000000"/>
                <w:sz w:val="24"/>
                <w:szCs w:val="24"/>
                <w:lang w:eastAsia="sq-AL"/>
              </w:rPr>
            </w:pPr>
          </w:p>
        </w:tc>
        <w:tc>
          <w:tcPr>
            <w:tcW w:w="1636" w:type="dxa"/>
            <w:tcBorders>
              <w:top w:val="nil"/>
              <w:left w:val="nil"/>
              <w:bottom w:val="single" w:sz="4" w:space="0" w:color="auto"/>
              <w:right w:val="single" w:sz="4" w:space="0" w:color="auto"/>
            </w:tcBorders>
            <w:vAlign w:val="center"/>
          </w:tcPr>
          <w:p w:rsidR="00531C09" w:rsidRPr="00531C09" w:rsidRDefault="00531C09" w:rsidP="00531C09">
            <w:pPr>
              <w:spacing w:before="40" w:after="40" w:line="240" w:lineRule="auto"/>
              <w:jc w:val="both"/>
              <w:rPr>
                <w:rFonts w:ascii="Times New Roman" w:eastAsia="Times New Roman" w:hAnsi="Times New Roman" w:cs="Times New Roman"/>
                <w:color w:val="000000"/>
                <w:sz w:val="24"/>
                <w:szCs w:val="24"/>
                <w:lang w:eastAsia="sq-AL"/>
              </w:rPr>
            </w:pPr>
          </w:p>
        </w:tc>
      </w:tr>
      <w:tr w:rsidR="00531C09" w:rsidRPr="00531C09" w:rsidTr="00531C09">
        <w:trPr>
          <w:trHeight w:val="31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531C09" w:rsidRPr="00531C09" w:rsidRDefault="00531C09" w:rsidP="00531C09">
            <w:pPr>
              <w:spacing w:before="40" w:after="40" w:line="240" w:lineRule="auto"/>
              <w:jc w:val="both"/>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color w:val="000000"/>
                <w:sz w:val="24"/>
                <w:szCs w:val="24"/>
                <w:lang w:eastAsia="sq-AL"/>
              </w:rPr>
              <w:t> Total</w:t>
            </w:r>
          </w:p>
        </w:tc>
        <w:tc>
          <w:tcPr>
            <w:tcW w:w="5543" w:type="dxa"/>
            <w:gridSpan w:val="2"/>
            <w:tcBorders>
              <w:top w:val="nil"/>
              <w:left w:val="single" w:sz="4" w:space="0" w:color="auto"/>
              <w:bottom w:val="single" w:sz="8" w:space="0" w:color="auto"/>
              <w:right w:val="single" w:sz="4" w:space="0" w:color="auto"/>
            </w:tcBorders>
            <w:shd w:val="clear" w:color="auto" w:fill="auto"/>
            <w:noWrap/>
            <w:vAlign w:val="bottom"/>
            <w:hideMark/>
          </w:tcPr>
          <w:p w:rsidR="00531C09" w:rsidRPr="00531C09" w:rsidRDefault="00531C09" w:rsidP="00531C09">
            <w:pPr>
              <w:spacing w:before="40" w:after="40" w:line="240" w:lineRule="auto"/>
              <w:jc w:val="both"/>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color w:val="000000"/>
                <w:sz w:val="24"/>
                <w:szCs w:val="24"/>
                <w:lang w:val="sq-AL" w:eastAsia="sq-AL"/>
              </w:rPr>
              <w:t xml:space="preserve">    75,491.51      </w:t>
            </w:r>
          </w:p>
        </w:tc>
        <w:tc>
          <w:tcPr>
            <w:tcW w:w="2512" w:type="dxa"/>
            <w:gridSpan w:val="2"/>
            <w:tcBorders>
              <w:top w:val="nil"/>
              <w:left w:val="nil"/>
              <w:bottom w:val="single" w:sz="8" w:space="0" w:color="auto"/>
              <w:right w:val="single" w:sz="4" w:space="0" w:color="auto"/>
            </w:tcBorders>
            <w:shd w:val="clear" w:color="auto" w:fill="auto"/>
            <w:vAlign w:val="center"/>
          </w:tcPr>
          <w:p w:rsidR="00531C09" w:rsidRPr="00531C09" w:rsidRDefault="00531C09" w:rsidP="00531C09">
            <w:pPr>
              <w:spacing w:before="40" w:after="40" w:line="240" w:lineRule="auto"/>
              <w:jc w:val="both"/>
              <w:rPr>
                <w:rFonts w:ascii="Times New Roman" w:eastAsia="Times New Roman" w:hAnsi="Times New Roman" w:cs="Times New Roman"/>
                <w:b/>
                <w:bCs/>
                <w:color w:val="000000"/>
                <w:sz w:val="24"/>
                <w:szCs w:val="24"/>
                <w:lang w:eastAsia="sq-AL"/>
              </w:rPr>
            </w:pPr>
            <w:r w:rsidRPr="00531C09">
              <w:rPr>
                <w:rFonts w:ascii="Times New Roman" w:eastAsia="Times New Roman" w:hAnsi="Times New Roman" w:cs="Times New Roman"/>
                <w:b/>
                <w:bCs/>
                <w:color w:val="000000"/>
                <w:sz w:val="24"/>
                <w:szCs w:val="24"/>
                <w:lang w:val="sq-AL" w:eastAsia="sq-AL"/>
              </w:rPr>
              <w:t xml:space="preserve">  77.10</w:t>
            </w:r>
          </w:p>
        </w:tc>
      </w:tr>
    </w:tbl>
    <w:p w:rsidR="00493867" w:rsidRDefault="004550DE" w:rsidP="007E02EB">
      <w:pPr>
        <w:jc w:val="both"/>
        <w:rPr>
          <w:rFonts w:ascii="Times New Roman" w:eastAsia="Calibri" w:hAnsi="Times New Roman" w:cs="Times New Roman"/>
          <w:bCs/>
          <w:sz w:val="24"/>
          <w:szCs w:val="24"/>
          <w:lang w:val="en-GB"/>
        </w:rPr>
      </w:pPr>
      <w:r>
        <w:rPr>
          <w:rFonts w:ascii="Times New Roman" w:eastAsia="Calibri" w:hAnsi="Times New Roman" w:cs="Times New Roman"/>
          <w:bCs/>
          <w:sz w:val="24"/>
          <w:szCs w:val="24"/>
          <w:lang w:val="en-GB"/>
        </w:rPr>
        <w:t xml:space="preserve">Për vitin 2025 sasia e mbetjeve të gjeneruara nga </w:t>
      </w:r>
      <w:r w:rsidR="00493867" w:rsidRPr="007E02EB">
        <w:rPr>
          <w:rFonts w:ascii="Times New Roman" w:eastAsia="Calibri" w:hAnsi="Times New Roman" w:cs="Times New Roman"/>
          <w:sz w:val="24"/>
          <w:szCs w:val="24"/>
        </w:rPr>
        <w:t>Njësitë Vendore të Kujdesit Shëndetësor</w:t>
      </w:r>
      <w:r w:rsidR="00493867" w:rsidRPr="007E02EB">
        <w:rPr>
          <w:rFonts w:ascii="Times New Roman" w:eastAsia="Calibri" w:hAnsi="Times New Roman" w:cs="Times New Roman"/>
          <w:bCs/>
          <w:sz w:val="24"/>
          <w:szCs w:val="24"/>
          <w:lang w:val="en-GB"/>
        </w:rPr>
        <w:t xml:space="preserve"> </w:t>
      </w:r>
      <w:r w:rsidR="00493867">
        <w:rPr>
          <w:rFonts w:ascii="Times New Roman" w:eastAsia="Calibri" w:hAnsi="Times New Roman" w:cs="Times New Roman"/>
          <w:bCs/>
          <w:sz w:val="24"/>
          <w:szCs w:val="24"/>
          <w:lang w:val="en-GB"/>
        </w:rPr>
        <w:t xml:space="preserve"> është 75,491 kg. </w:t>
      </w:r>
    </w:p>
    <w:p w:rsidR="007E02EB" w:rsidRPr="007E02EB" w:rsidRDefault="007E02EB" w:rsidP="007E02EB">
      <w:pPr>
        <w:jc w:val="both"/>
        <w:rPr>
          <w:rFonts w:ascii="Times New Roman" w:eastAsia="Calibri" w:hAnsi="Times New Roman" w:cs="Times New Roman"/>
          <w:bCs/>
          <w:sz w:val="24"/>
          <w:szCs w:val="24"/>
          <w:lang w:val="en-GB"/>
        </w:rPr>
      </w:pPr>
      <w:r w:rsidRPr="007E02EB">
        <w:rPr>
          <w:rFonts w:ascii="Times New Roman" w:eastAsia="Calibri" w:hAnsi="Times New Roman" w:cs="Times New Roman"/>
          <w:bCs/>
          <w:sz w:val="24"/>
          <w:szCs w:val="24"/>
          <w:lang w:val="en-GB"/>
        </w:rPr>
        <w:t>Sasia totale e vlerësuar e mbetjeve të kujdesit shëndetësor për viti</w:t>
      </w:r>
      <w:r w:rsidR="00493867">
        <w:rPr>
          <w:rFonts w:ascii="Times New Roman" w:eastAsia="Calibri" w:hAnsi="Times New Roman" w:cs="Times New Roman"/>
          <w:bCs/>
          <w:sz w:val="24"/>
          <w:szCs w:val="24"/>
          <w:lang w:val="en-GB"/>
        </w:rPr>
        <w:t>n 2025 është rreth 1,352.15 ton</w:t>
      </w:r>
      <w:r w:rsidRPr="007E02EB">
        <w:rPr>
          <w:rFonts w:ascii="Times New Roman" w:eastAsia="Calibri" w:hAnsi="Times New Roman" w:cs="Times New Roman"/>
          <w:bCs/>
          <w:sz w:val="24"/>
          <w:szCs w:val="24"/>
          <w:lang w:val="en-GB"/>
        </w:rPr>
        <w:t>.</w:t>
      </w:r>
    </w:p>
    <w:p w:rsidR="007E02EB" w:rsidRPr="007E02EB" w:rsidRDefault="007E02EB" w:rsidP="007E02EB">
      <w:pPr>
        <w:jc w:val="both"/>
        <w:rPr>
          <w:rFonts w:ascii="Times New Roman" w:eastAsia="Calibri" w:hAnsi="Times New Roman" w:cs="Times New Roman"/>
          <w:b/>
          <w:bCs/>
          <w:sz w:val="24"/>
          <w:szCs w:val="24"/>
          <w:lang w:val="en-GB"/>
        </w:rPr>
      </w:pPr>
      <w:r w:rsidRPr="007E02EB">
        <w:rPr>
          <w:rFonts w:ascii="Times New Roman" w:eastAsia="Calibri" w:hAnsi="Times New Roman" w:cs="Times New Roman"/>
          <w:b/>
          <w:sz w:val="24"/>
          <w:szCs w:val="24"/>
        </w:rPr>
        <w:t>10.2.5</w:t>
      </w:r>
      <w:r w:rsidRPr="007E02EB">
        <w:rPr>
          <w:rFonts w:ascii="Times New Roman" w:eastAsia="Calibri" w:hAnsi="Times New Roman" w:cs="Times New Roman"/>
          <w:b/>
          <w:bCs/>
          <w:sz w:val="24"/>
          <w:szCs w:val="24"/>
          <w:lang w:val="en-GB"/>
        </w:rPr>
        <w:t xml:space="preserve"> Riciklimi i Mbetjeve</w:t>
      </w:r>
    </w:p>
    <w:p w:rsidR="007E02EB" w:rsidRPr="007E02EB" w:rsidRDefault="007E02EB" w:rsidP="007E02EB">
      <w:pPr>
        <w:jc w:val="both"/>
        <w:rPr>
          <w:rFonts w:ascii="Times New Roman" w:eastAsia="Calibri" w:hAnsi="Times New Roman" w:cs="Times New Roman"/>
          <w:bCs/>
          <w:sz w:val="24"/>
          <w:szCs w:val="24"/>
          <w:lang w:val="en-GB"/>
        </w:rPr>
      </w:pPr>
      <w:r w:rsidRPr="007E02EB">
        <w:rPr>
          <w:rFonts w:ascii="Times New Roman" w:eastAsia="Calibri" w:hAnsi="Times New Roman" w:cs="Times New Roman"/>
          <w:bCs/>
          <w:sz w:val="24"/>
          <w:szCs w:val="24"/>
          <w:lang w:val="en-GB"/>
        </w:rPr>
        <w:t>Riciklimi i mbetjeve luan një rol kyç në përmirësimin e efikasitetit të përdorimit të burimeve dhe në uljen e varësisë nga lëndët e para parësore. Aktivitetet e riciklimit kontribuojnë në devijimin e mbetjeve nga depozitimi në landfill, në reduktimin e presioneve mjedisore dhe në mbështetjen e zhvillimit të tregut të lëndëve të para dytësore.</w:t>
      </w:r>
    </w:p>
    <w:p w:rsidR="007E02EB" w:rsidRPr="007E02EB" w:rsidRDefault="007E02EB" w:rsidP="007E02EB">
      <w:pPr>
        <w:jc w:val="both"/>
        <w:rPr>
          <w:rFonts w:ascii="Times New Roman" w:eastAsia="Calibri" w:hAnsi="Times New Roman" w:cs="Times New Roman"/>
          <w:bCs/>
          <w:sz w:val="24"/>
          <w:szCs w:val="24"/>
          <w:lang w:val="en-GB"/>
        </w:rPr>
      </w:pPr>
      <w:r w:rsidRPr="007E02EB">
        <w:rPr>
          <w:rFonts w:ascii="Times New Roman" w:eastAsia="Calibri" w:hAnsi="Times New Roman" w:cs="Times New Roman"/>
          <w:bCs/>
          <w:sz w:val="24"/>
          <w:szCs w:val="24"/>
          <w:lang w:val="en-GB"/>
        </w:rPr>
        <w:t xml:space="preserve">Disa bashki kanë raportuar </w:t>
      </w:r>
      <w:r w:rsidRPr="007E02EB">
        <w:rPr>
          <w:rFonts w:ascii="Times New Roman" w:eastAsia="Calibri" w:hAnsi="Times New Roman" w:cs="Times New Roman"/>
          <w:sz w:val="24"/>
          <w:szCs w:val="24"/>
          <w:lang w:val="en-GB"/>
        </w:rPr>
        <w:t>grumbullim i veçuar i materialeve të riciklueshme</w:t>
      </w:r>
      <w:r>
        <w:rPr>
          <w:rFonts w:ascii="Times New Roman" w:eastAsia="Calibri" w:hAnsi="Times New Roman" w:cs="Times New Roman"/>
          <w:bCs/>
          <w:sz w:val="24"/>
          <w:szCs w:val="24"/>
          <w:lang w:val="en-GB"/>
        </w:rPr>
        <w:t>, siç paraqitet në tabelën në vijim</w:t>
      </w:r>
      <w:r w:rsidRPr="007E02EB">
        <w:rPr>
          <w:rFonts w:ascii="Times New Roman" w:eastAsia="Calibri" w:hAnsi="Times New Roman" w:cs="Times New Roman"/>
          <w:bCs/>
          <w:sz w:val="24"/>
          <w:szCs w:val="24"/>
          <w:lang w:val="en-GB"/>
        </w:rPr>
        <w:t>.</w:t>
      </w:r>
    </w:p>
    <w:p w:rsidR="007E02EB" w:rsidRDefault="00B24E99" w:rsidP="007E02EB">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Tabela 8</w:t>
      </w:r>
      <w:r w:rsidR="003A31D9">
        <w:rPr>
          <w:rFonts w:ascii="Times New Roman" w:eastAsia="Calibri" w:hAnsi="Times New Roman" w:cs="Times New Roman"/>
          <w:sz w:val="24"/>
          <w:szCs w:val="24"/>
          <w:lang w:val="en-GB"/>
        </w:rPr>
        <w:t>9</w:t>
      </w:r>
      <w:r w:rsidR="007E02EB" w:rsidRPr="007E02EB">
        <w:rPr>
          <w:rFonts w:ascii="Times New Roman" w:eastAsia="Calibri" w:hAnsi="Times New Roman" w:cs="Times New Roman"/>
          <w:sz w:val="24"/>
          <w:szCs w:val="24"/>
          <w:lang w:val="en-GB"/>
        </w:rPr>
        <w:t>. Bashkitë që kanë raportuar grumbullim i veçuar i materialeve të riciklueshme</w:t>
      </w:r>
    </w:p>
    <w:p w:rsidR="007E02EB" w:rsidRPr="007E02EB" w:rsidRDefault="007E02EB" w:rsidP="007E02EB">
      <w:pPr>
        <w:jc w:val="both"/>
        <w:rPr>
          <w:rFonts w:ascii="Times New Roman" w:eastAsia="Calibri" w:hAnsi="Times New Roman" w:cs="Times New Roman"/>
          <w:sz w:val="24"/>
          <w:szCs w:val="24"/>
          <w:lang w:val="en-GB"/>
        </w:rPr>
      </w:pPr>
      <w:r w:rsidRPr="007E02EB">
        <w:rPr>
          <w:rFonts w:ascii="Times New Roman" w:eastAsia="Aptos" w:hAnsi="Times New Roman" w:cs="Times New Roman"/>
          <w:noProof/>
        </w:rPr>
        <w:drawing>
          <wp:inline distT="0" distB="0" distL="0" distR="0" wp14:anchorId="21535480" wp14:editId="14DD7C75">
            <wp:extent cx="5493385" cy="1821815"/>
            <wp:effectExtent l="0" t="0" r="0" b="6985"/>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493385" cy="1821815"/>
                    </a:xfrm>
                    <a:prstGeom prst="rect">
                      <a:avLst/>
                    </a:prstGeom>
                    <a:noFill/>
                    <a:ln>
                      <a:noFill/>
                    </a:ln>
                  </pic:spPr>
                </pic:pic>
              </a:graphicData>
            </a:graphic>
          </wp:inline>
        </w:drawing>
      </w:r>
    </w:p>
    <w:p w:rsidR="007E02EB" w:rsidRDefault="006A0E47" w:rsidP="00963BAC">
      <w:pPr>
        <w:rPr>
          <w:rFonts w:ascii="Times New Roman" w:eastAsia="Calibri" w:hAnsi="Times New Roman" w:cs="Times New Roman"/>
          <w:b/>
          <w:sz w:val="24"/>
          <w:szCs w:val="24"/>
        </w:rPr>
      </w:pPr>
      <w:r w:rsidRPr="006A0E47">
        <w:rPr>
          <w:rFonts w:ascii="Times New Roman" w:eastAsia="Calibri" w:hAnsi="Times New Roman" w:cs="Times New Roman"/>
          <w:b/>
          <w:sz w:val="24"/>
          <w:szCs w:val="24"/>
        </w:rPr>
        <w:t>10.2.6 Eksporti i mbetjeve</w:t>
      </w:r>
    </w:p>
    <w:p w:rsidR="006A0E47" w:rsidRDefault="00DD5125" w:rsidP="00DD5125">
      <w:pPr>
        <w:jc w:val="both"/>
        <w:rPr>
          <w:rFonts w:ascii="Times New Roman" w:eastAsia="Calibri" w:hAnsi="Times New Roman" w:cs="Times New Roman"/>
          <w:sz w:val="24"/>
          <w:szCs w:val="24"/>
        </w:rPr>
      </w:pPr>
      <w:r w:rsidRPr="00DD5125">
        <w:rPr>
          <w:rFonts w:ascii="Times New Roman" w:eastAsia="Calibri" w:hAnsi="Times New Roman" w:cs="Times New Roman"/>
          <w:sz w:val="24"/>
          <w:szCs w:val="24"/>
        </w:rPr>
        <w:t xml:space="preserve">Sasia totale e mbetjeve te rrezikshme dhe të parrezikshme të eksportuara nga subjekte të ndryshme për vitin 2025 është </w:t>
      </w:r>
      <w:r w:rsidR="00936709">
        <w:rPr>
          <w:rFonts w:ascii="Times New Roman" w:eastAsia="Calibri" w:hAnsi="Times New Roman" w:cs="Times New Roman"/>
          <w:sz w:val="24"/>
          <w:szCs w:val="24"/>
        </w:rPr>
        <w:t>21,275 Ton.</w:t>
      </w:r>
    </w:p>
    <w:p w:rsidR="00EF2219" w:rsidRDefault="00B24E99" w:rsidP="003A31D9">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Tabela </w:t>
      </w:r>
      <w:r w:rsidR="003A31D9">
        <w:rPr>
          <w:rFonts w:ascii="Times New Roman" w:eastAsia="Calibri" w:hAnsi="Times New Roman" w:cs="Times New Roman"/>
          <w:sz w:val="24"/>
          <w:szCs w:val="24"/>
        </w:rPr>
        <w:t>90</w:t>
      </w:r>
      <w:r>
        <w:rPr>
          <w:rFonts w:ascii="Times New Roman" w:eastAsia="Calibri" w:hAnsi="Times New Roman" w:cs="Times New Roman"/>
          <w:sz w:val="24"/>
          <w:szCs w:val="24"/>
        </w:rPr>
        <w:t>.</w:t>
      </w:r>
      <w:r w:rsidR="00EF2219">
        <w:rPr>
          <w:rFonts w:ascii="Times New Roman" w:eastAsia="Calibri" w:hAnsi="Times New Roman" w:cs="Times New Roman"/>
          <w:sz w:val="24"/>
          <w:szCs w:val="24"/>
        </w:rPr>
        <w:t xml:space="preserve"> Tendenca e eksportit te mbetjeve të rrezikshme dhe  jo të rrezikshme</w:t>
      </w:r>
    </w:p>
    <w:tbl>
      <w:tblPr>
        <w:tblStyle w:val="TableGrid"/>
        <w:tblW w:w="0" w:type="auto"/>
        <w:tblLook w:val="04A0" w:firstRow="1" w:lastRow="0" w:firstColumn="1" w:lastColumn="0" w:noHBand="0" w:noVBand="1"/>
      </w:tblPr>
      <w:tblGrid>
        <w:gridCol w:w="4068"/>
        <w:gridCol w:w="1530"/>
        <w:gridCol w:w="1620"/>
        <w:gridCol w:w="1530"/>
      </w:tblGrid>
      <w:tr w:rsidR="00EF2219" w:rsidTr="00936709">
        <w:tc>
          <w:tcPr>
            <w:tcW w:w="4068" w:type="dxa"/>
          </w:tcPr>
          <w:p w:rsidR="00EF2219" w:rsidRDefault="00EF2219" w:rsidP="00DD5125">
            <w:pPr>
              <w:jc w:val="both"/>
              <w:rPr>
                <w:rFonts w:ascii="Times New Roman" w:eastAsia="Calibri" w:hAnsi="Times New Roman" w:cs="Times New Roman"/>
                <w:sz w:val="24"/>
                <w:szCs w:val="24"/>
              </w:rPr>
            </w:pPr>
          </w:p>
        </w:tc>
        <w:tc>
          <w:tcPr>
            <w:tcW w:w="1530" w:type="dxa"/>
          </w:tcPr>
          <w:p w:rsidR="00EF2219" w:rsidRDefault="00EF2219" w:rsidP="00DD5125">
            <w:pPr>
              <w:jc w:val="both"/>
              <w:rPr>
                <w:rFonts w:ascii="Times New Roman" w:eastAsia="Calibri" w:hAnsi="Times New Roman" w:cs="Times New Roman"/>
                <w:sz w:val="24"/>
                <w:szCs w:val="24"/>
              </w:rPr>
            </w:pPr>
            <w:r>
              <w:rPr>
                <w:rFonts w:ascii="Times New Roman" w:eastAsia="Calibri" w:hAnsi="Times New Roman" w:cs="Times New Roman"/>
                <w:sz w:val="24"/>
                <w:szCs w:val="24"/>
              </w:rPr>
              <w:t>2023</w:t>
            </w:r>
          </w:p>
        </w:tc>
        <w:tc>
          <w:tcPr>
            <w:tcW w:w="1620" w:type="dxa"/>
          </w:tcPr>
          <w:p w:rsidR="00EF2219" w:rsidRDefault="00EF2219" w:rsidP="00DD5125">
            <w:pPr>
              <w:jc w:val="both"/>
              <w:rPr>
                <w:rFonts w:ascii="Times New Roman" w:eastAsia="Calibri" w:hAnsi="Times New Roman" w:cs="Times New Roman"/>
                <w:sz w:val="24"/>
                <w:szCs w:val="24"/>
              </w:rPr>
            </w:pPr>
            <w:r>
              <w:rPr>
                <w:rFonts w:ascii="Times New Roman" w:eastAsia="Calibri" w:hAnsi="Times New Roman" w:cs="Times New Roman"/>
                <w:sz w:val="24"/>
                <w:szCs w:val="24"/>
              </w:rPr>
              <w:t>2024</w:t>
            </w:r>
          </w:p>
        </w:tc>
        <w:tc>
          <w:tcPr>
            <w:tcW w:w="1530" w:type="dxa"/>
          </w:tcPr>
          <w:p w:rsidR="00EF2219" w:rsidRDefault="00EF2219" w:rsidP="00DD5125">
            <w:pPr>
              <w:jc w:val="both"/>
              <w:rPr>
                <w:rFonts w:ascii="Times New Roman" w:eastAsia="Calibri" w:hAnsi="Times New Roman" w:cs="Times New Roman"/>
                <w:sz w:val="24"/>
                <w:szCs w:val="24"/>
              </w:rPr>
            </w:pPr>
            <w:r>
              <w:rPr>
                <w:rFonts w:ascii="Times New Roman" w:eastAsia="Calibri" w:hAnsi="Times New Roman" w:cs="Times New Roman"/>
                <w:sz w:val="24"/>
                <w:szCs w:val="24"/>
              </w:rPr>
              <w:t>2025</w:t>
            </w:r>
          </w:p>
        </w:tc>
      </w:tr>
      <w:tr w:rsidR="00EF2219" w:rsidTr="00936709">
        <w:tc>
          <w:tcPr>
            <w:tcW w:w="4068" w:type="dxa"/>
          </w:tcPr>
          <w:p w:rsidR="00EF2219" w:rsidRDefault="00EF2219" w:rsidP="00DD5125">
            <w:pPr>
              <w:jc w:val="both"/>
              <w:rPr>
                <w:rFonts w:ascii="Times New Roman" w:eastAsia="Calibri" w:hAnsi="Times New Roman" w:cs="Times New Roman"/>
                <w:sz w:val="24"/>
                <w:szCs w:val="24"/>
              </w:rPr>
            </w:pPr>
            <w:r>
              <w:rPr>
                <w:rFonts w:ascii="Times New Roman" w:eastAsia="Calibri" w:hAnsi="Times New Roman" w:cs="Times New Roman"/>
                <w:sz w:val="24"/>
                <w:szCs w:val="24"/>
              </w:rPr>
              <w:t>Sasia totale e eksportuar e mbetjeve të rrezikshm</w:t>
            </w:r>
            <w:r w:rsidR="00936709">
              <w:rPr>
                <w:rFonts w:ascii="Times New Roman" w:eastAsia="Calibri" w:hAnsi="Times New Roman" w:cs="Times New Roman"/>
                <w:sz w:val="24"/>
                <w:szCs w:val="24"/>
              </w:rPr>
              <w:t>e</w:t>
            </w:r>
            <w:r>
              <w:rPr>
                <w:rFonts w:ascii="Times New Roman" w:eastAsia="Calibri" w:hAnsi="Times New Roman" w:cs="Times New Roman"/>
                <w:sz w:val="24"/>
                <w:szCs w:val="24"/>
              </w:rPr>
              <w:t xml:space="preserve"> dhe jo të rrezikshme </w:t>
            </w:r>
            <w:r w:rsidR="00936709">
              <w:rPr>
                <w:rFonts w:ascii="Times New Roman" w:eastAsia="Calibri" w:hAnsi="Times New Roman" w:cs="Times New Roman"/>
                <w:sz w:val="24"/>
                <w:szCs w:val="24"/>
              </w:rPr>
              <w:t>(</w:t>
            </w:r>
            <w:r>
              <w:rPr>
                <w:rFonts w:ascii="Times New Roman" w:eastAsia="Calibri" w:hAnsi="Times New Roman" w:cs="Times New Roman"/>
                <w:sz w:val="24"/>
                <w:szCs w:val="24"/>
              </w:rPr>
              <w:t>në Ton</w:t>
            </w:r>
            <w:r w:rsidR="00936709">
              <w:rPr>
                <w:rFonts w:ascii="Times New Roman" w:eastAsia="Calibri" w:hAnsi="Times New Roman" w:cs="Times New Roman"/>
                <w:sz w:val="24"/>
                <w:szCs w:val="24"/>
              </w:rPr>
              <w:t>)</w:t>
            </w:r>
          </w:p>
        </w:tc>
        <w:tc>
          <w:tcPr>
            <w:tcW w:w="1530" w:type="dxa"/>
          </w:tcPr>
          <w:p w:rsidR="00EF2219" w:rsidRDefault="008A2EB8" w:rsidP="00DD5125">
            <w:pPr>
              <w:jc w:val="both"/>
              <w:rPr>
                <w:rFonts w:ascii="Times New Roman" w:eastAsia="Calibri" w:hAnsi="Times New Roman" w:cs="Times New Roman"/>
                <w:sz w:val="24"/>
                <w:szCs w:val="24"/>
              </w:rPr>
            </w:pPr>
            <w:r>
              <w:rPr>
                <w:rFonts w:ascii="Times New Roman" w:eastAsia="Calibri" w:hAnsi="Times New Roman" w:cs="Times New Roman"/>
                <w:sz w:val="24"/>
                <w:szCs w:val="24"/>
              </w:rPr>
              <w:t>11,637 Ton</w:t>
            </w:r>
          </w:p>
        </w:tc>
        <w:tc>
          <w:tcPr>
            <w:tcW w:w="1620" w:type="dxa"/>
          </w:tcPr>
          <w:p w:rsidR="00EF2219" w:rsidRDefault="003170B7" w:rsidP="00DD5125">
            <w:pPr>
              <w:jc w:val="both"/>
              <w:rPr>
                <w:rFonts w:ascii="Times New Roman" w:eastAsia="Calibri" w:hAnsi="Times New Roman" w:cs="Times New Roman"/>
                <w:sz w:val="24"/>
                <w:szCs w:val="24"/>
              </w:rPr>
            </w:pPr>
            <w:r>
              <w:rPr>
                <w:rFonts w:ascii="Times New Roman" w:eastAsia="Calibri" w:hAnsi="Times New Roman" w:cs="Times New Roman"/>
                <w:sz w:val="24"/>
                <w:szCs w:val="24"/>
              </w:rPr>
              <w:t>60,521 Ton</w:t>
            </w:r>
          </w:p>
        </w:tc>
        <w:tc>
          <w:tcPr>
            <w:tcW w:w="1530" w:type="dxa"/>
          </w:tcPr>
          <w:p w:rsidR="00EF2219" w:rsidRDefault="003170B7" w:rsidP="00DD5125">
            <w:pPr>
              <w:jc w:val="both"/>
              <w:rPr>
                <w:rFonts w:ascii="Times New Roman" w:eastAsia="Calibri" w:hAnsi="Times New Roman" w:cs="Times New Roman"/>
                <w:sz w:val="24"/>
                <w:szCs w:val="24"/>
              </w:rPr>
            </w:pPr>
            <w:r>
              <w:rPr>
                <w:rFonts w:ascii="Times New Roman" w:eastAsia="Calibri" w:hAnsi="Times New Roman" w:cs="Times New Roman"/>
                <w:sz w:val="24"/>
                <w:szCs w:val="24"/>
              </w:rPr>
              <w:t>21,275 Ton</w:t>
            </w:r>
          </w:p>
        </w:tc>
      </w:tr>
    </w:tbl>
    <w:p w:rsidR="00DD5125" w:rsidRPr="00DD5125" w:rsidRDefault="00936709" w:rsidP="00DD5125">
      <w:pPr>
        <w:jc w:val="both"/>
        <w:rPr>
          <w:rFonts w:ascii="Times New Roman" w:eastAsia="Calibri" w:hAnsi="Times New Roman" w:cs="Times New Roman"/>
          <w:sz w:val="24"/>
          <w:szCs w:val="24"/>
        </w:rPr>
      </w:pPr>
      <w:r>
        <w:rPr>
          <w:rFonts w:ascii="Times New Roman" w:eastAsia="Calibri" w:hAnsi="Times New Roman" w:cs="Times New Roman"/>
          <w:sz w:val="24"/>
          <w:szCs w:val="24"/>
        </w:rPr>
        <w:t>Vlerësohet se kemi ulje të sasisë të mbetjeve të eksportuara gjatë vitit 2025 krahasuar me vitin 2024 ku janë eksportuar 60,521 ton.</w:t>
      </w:r>
    </w:p>
    <w:bookmarkEnd w:id="63"/>
    <w:p w:rsidR="00B63FAE" w:rsidRPr="00493867" w:rsidRDefault="00B63FAE" w:rsidP="00B63FAE">
      <w:pPr>
        <w:rPr>
          <w:rFonts w:ascii="Times New Roman" w:eastAsia="Aptos" w:hAnsi="Times New Roman" w:cs="Times New Roman"/>
          <w:b/>
          <w:bCs/>
          <w:sz w:val="24"/>
          <w:szCs w:val="24"/>
          <w:lang w:val="en-GB"/>
        </w:rPr>
      </w:pPr>
      <w:r w:rsidRPr="00493867">
        <w:rPr>
          <w:rFonts w:ascii="Times New Roman" w:hAnsi="Times New Roman" w:cs="Times New Roman"/>
          <w:b/>
          <w:sz w:val="24"/>
          <w:szCs w:val="24"/>
        </w:rPr>
        <w:t>10.3</w:t>
      </w:r>
      <w:r w:rsidR="007E02EB" w:rsidRPr="00493867">
        <w:rPr>
          <w:sz w:val="24"/>
          <w:szCs w:val="24"/>
        </w:rPr>
        <w:t xml:space="preserve"> </w:t>
      </w:r>
      <w:r w:rsidRPr="00493867">
        <w:rPr>
          <w:rFonts w:ascii="Times New Roman" w:eastAsia="Aptos" w:hAnsi="Times New Roman" w:cs="Times New Roman"/>
          <w:b/>
          <w:bCs/>
          <w:sz w:val="24"/>
          <w:szCs w:val="24"/>
          <w:lang w:val="en-GB"/>
        </w:rPr>
        <w:t>Treguesit Kryesorë të Performancës (KPI)</w:t>
      </w:r>
    </w:p>
    <w:p w:rsidR="00B63FAE" w:rsidRPr="00493867" w:rsidRDefault="00B63FAE" w:rsidP="00B63FAE">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VKM nr. 538, datë 22.09.2021, “Për miratimin e rregullave për mbajtjen, përditësimin dhe publikimin e statistikave të mbetjeve”, përcakton Treguesit Kryesorë të Performancës (KPI) që përdoren për vlerësimin e shërbimeve të menaxhimit të mbetjeve bashkiake.</w:t>
      </w:r>
    </w:p>
    <w:p w:rsidR="00B63FAE" w:rsidRPr="00493867" w:rsidRDefault="00B63FAE" w:rsidP="00B63FAE">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Projekti “EU for Circular Economy and Livable Cities”, i zbatuar nga GIZ në bashkëpunim të ngushtë me Ministrinë e Mjedisit (MoM) dhe Agjencinë Kombëtare të Mjedisit (AKM), vijoi gjatë vitit 2025 mbështetjen për 15 bashki partnere në monitorimin dhe përmirësimin e performancës së menaxhimit të mbetjeve nëpërmjet aplikimit të treguesve KPI.</w:t>
      </w:r>
    </w:p>
    <w:p w:rsidR="00B63FAE" w:rsidRPr="00493867" w:rsidRDefault="00B63FAE" w:rsidP="00B63FAE">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Pesëmbëdhjetë bashkitë partnere janë: Shkodër, Lezhë, Kukës, Cërrik, Belsh, Roskovec, Gramsh, Prrenjas, Pogradec, Himarë, Sarandë, Përmet, Këlcyrë, Tepelenë dhe Gjirokastër.</w:t>
      </w:r>
    </w:p>
    <w:p w:rsidR="00B63FAE" w:rsidRPr="00493867" w:rsidRDefault="00B63FAE" w:rsidP="00B63FAE">
      <w:pPr>
        <w:jc w:val="both"/>
        <w:rPr>
          <w:rFonts w:ascii="Times New Roman" w:eastAsia="Aptos" w:hAnsi="Times New Roman" w:cs="Times New Roman"/>
          <w:b/>
          <w:bCs/>
          <w:sz w:val="24"/>
          <w:szCs w:val="24"/>
          <w:lang w:val="en-GB"/>
        </w:rPr>
      </w:pPr>
    </w:p>
    <w:p w:rsidR="00B63FAE" w:rsidRPr="00493867" w:rsidRDefault="00B63FAE" w:rsidP="00B63FAE">
      <w:pPr>
        <w:jc w:val="both"/>
        <w:rPr>
          <w:rFonts w:ascii="Times New Roman" w:eastAsia="Aptos" w:hAnsi="Times New Roman" w:cs="Times New Roman"/>
          <w:b/>
          <w:bCs/>
          <w:sz w:val="24"/>
          <w:szCs w:val="24"/>
          <w:lang w:val="en-GB"/>
        </w:rPr>
      </w:pPr>
      <w:r w:rsidRPr="00493867">
        <w:rPr>
          <w:rFonts w:ascii="Times New Roman" w:eastAsia="Aptos" w:hAnsi="Times New Roman" w:cs="Times New Roman"/>
          <w:b/>
          <w:bCs/>
          <w:sz w:val="24"/>
          <w:szCs w:val="24"/>
          <w:lang w:val="en-GB"/>
        </w:rPr>
        <w:t>10.3.1 Përmbledhje e Treguesve të Performancës për vitin 2025</w:t>
      </w:r>
    </w:p>
    <w:p w:rsidR="00B63FAE" w:rsidRPr="00493867" w:rsidRDefault="00B63FAE" w:rsidP="00B63FAE">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Paketa e treguesve KPI përfshin treguesit e mëposhtëm:</w:t>
      </w:r>
    </w:p>
    <w:p w:rsidR="00B63FAE" w:rsidRPr="00493867" w:rsidRDefault="00B63FAE" w:rsidP="00807975">
      <w:pPr>
        <w:numPr>
          <w:ilvl w:val="0"/>
          <w:numId w:val="170"/>
        </w:num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 xml:space="preserve">C1: Mbulimi i shërbimit të menaxhimit të mbetjeve; </w:t>
      </w:r>
    </w:p>
    <w:p w:rsidR="00B63FAE" w:rsidRPr="00493867" w:rsidRDefault="00B63FAE" w:rsidP="00807975">
      <w:pPr>
        <w:numPr>
          <w:ilvl w:val="0"/>
          <w:numId w:val="170"/>
        </w:num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 xml:space="preserve">C2: Pastërtia e territorit; </w:t>
      </w:r>
    </w:p>
    <w:p w:rsidR="00B63FAE" w:rsidRPr="00493867" w:rsidRDefault="00B63FAE" w:rsidP="00807975">
      <w:pPr>
        <w:numPr>
          <w:ilvl w:val="0"/>
          <w:numId w:val="170"/>
        </w:num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 xml:space="preserve">C3: Kënaqësia e publikut me shërbimin; </w:t>
      </w:r>
    </w:p>
    <w:p w:rsidR="00B63FAE" w:rsidRPr="00493867" w:rsidRDefault="00B63FAE" w:rsidP="00807975">
      <w:pPr>
        <w:numPr>
          <w:ilvl w:val="0"/>
          <w:numId w:val="170"/>
        </w:numPr>
        <w:jc w:val="both"/>
        <w:rPr>
          <w:rFonts w:ascii="Times New Roman" w:eastAsia="Aptos" w:hAnsi="Times New Roman" w:cs="Times New Roman"/>
          <w:sz w:val="24"/>
          <w:szCs w:val="24"/>
          <w:lang w:val="es-ES"/>
        </w:rPr>
      </w:pPr>
      <w:r w:rsidRPr="00493867">
        <w:rPr>
          <w:rFonts w:ascii="Times New Roman" w:eastAsia="Aptos" w:hAnsi="Times New Roman" w:cs="Times New Roman"/>
          <w:sz w:val="24"/>
          <w:szCs w:val="24"/>
          <w:lang w:val="es-ES"/>
        </w:rPr>
        <w:t xml:space="preserve">D1: Mbetjet e grumbulluara të ndara; </w:t>
      </w:r>
    </w:p>
    <w:p w:rsidR="00B63FAE" w:rsidRPr="00493867" w:rsidRDefault="00B63FAE" w:rsidP="00807975">
      <w:pPr>
        <w:numPr>
          <w:ilvl w:val="0"/>
          <w:numId w:val="170"/>
        </w:numPr>
        <w:jc w:val="both"/>
        <w:rPr>
          <w:rFonts w:ascii="Times New Roman" w:eastAsia="Aptos" w:hAnsi="Times New Roman" w:cs="Times New Roman"/>
          <w:sz w:val="24"/>
          <w:szCs w:val="24"/>
          <w:lang w:val="es-ES"/>
        </w:rPr>
      </w:pPr>
      <w:r w:rsidRPr="00493867">
        <w:rPr>
          <w:rFonts w:ascii="Times New Roman" w:eastAsia="Aptos" w:hAnsi="Times New Roman" w:cs="Times New Roman"/>
          <w:sz w:val="24"/>
          <w:szCs w:val="24"/>
          <w:lang w:val="es-ES"/>
        </w:rPr>
        <w:t xml:space="preserve">D2: Përputhshmëria e trajtimit të mbetjeve me legjislacionin; </w:t>
      </w:r>
    </w:p>
    <w:p w:rsidR="00B63FAE" w:rsidRPr="00493867" w:rsidRDefault="00B63FAE" w:rsidP="00807975">
      <w:pPr>
        <w:numPr>
          <w:ilvl w:val="0"/>
          <w:numId w:val="170"/>
        </w:num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 xml:space="preserve">E1: Rikuperimi i kostove; </w:t>
      </w:r>
    </w:p>
    <w:p w:rsidR="00B63FAE" w:rsidRPr="00493867" w:rsidRDefault="00B63FAE" w:rsidP="00807975">
      <w:pPr>
        <w:numPr>
          <w:ilvl w:val="0"/>
          <w:numId w:val="170"/>
        </w:numPr>
        <w:jc w:val="both"/>
        <w:rPr>
          <w:rFonts w:ascii="Times New Roman" w:eastAsia="Aptos" w:hAnsi="Times New Roman" w:cs="Times New Roman"/>
          <w:sz w:val="24"/>
          <w:szCs w:val="24"/>
          <w:lang w:val="de-DE"/>
        </w:rPr>
      </w:pPr>
      <w:r w:rsidRPr="00493867">
        <w:rPr>
          <w:rFonts w:ascii="Times New Roman" w:eastAsia="Aptos" w:hAnsi="Times New Roman" w:cs="Times New Roman"/>
          <w:sz w:val="24"/>
          <w:szCs w:val="24"/>
          <w:lang w:val="de-DE"/>
        </w:rPr>
        <w:t xml:space="preserve">E2: Efikasiteti i arkëtimit të tarifës; </w:t>
      </w:r>
    </w:p>
    <w:p w:rsidR="00B63FAE" w:rsidRPr="00493867" w:rsidRDefault="00B63FAE" w:rsidP="00807975">
      <w:pPr>
        <w:numPr>
          <w:ilvl w:val="0"/>
          <w:numId w:val="170"/>
        </w:numPr>
        <w:jc w:val="both"/>
        <w:rPr>
          <w:rFonts w:ascii="Times New Roman" w:eastAsia="Aptos" w:hAnsi="Times New Roman" w:cs="Times New Roman"/>
          <w:sz w:val="24"/>
          <w:szCs w:val="24"/>
          <w:lang w:val="de-DE"/>
        </w:rPr>
      </w:pPr>
      <w:r w:rsidRPr="00493867">
        <w:rPr>
          <w:rFonts w:ascii="Times New Roman" w:eastAsia="Aptos" w:hAnsi="Times New Roman" w:cs="Times New Roman"/>
          <w:sz w:val="24"/>
          <w:szCs w:val="24"/>
          <w:lang w:val="de-DE"/>
        </w:rPr>
        <w:t xml:space="preserve">Kostoja për ton dhe kostoja për frymë; </w:t>
      </w:r>
    </w:p>
    <w:p w:rsidR="00B63FAE" w:rsidRPr="00493867" w:rsidRDefault="00B63FAE" w:rsidP="00807975">
      <w:pPr>
        <w:numPr>
          <w:ilvl w:val="0"/>
          <w:numId w:val="170"/>
        </w:numPr>
        <w:jc w:val="both"/>
        <w:rPr>
          <w:rFonts w:ascii="Times New Roman" w:eastAsia="Aptos" w:hAnsi="Times New Roman" w:cs="Times New Roman"/>
          <w:sz w:val="24"/>
          <w:szCs w:val="24"/>
          <w:lang w:val="es-ES"/>
        </w:rPr>
      </w:pPr>
      <w:r w:rsidRPr="00493867">
        <w:rPr>
          <w:rFonts w:ascii="Times New Roman" w:eastAsia="Aptos" w:hAnsi="Times New Roman" w:cs="Times New Roman"/>
          <w:sz w:val="24"/>
          <w:szCs w:val="24"/>
          <w:lang w:val="es-ES"/>
        </w:rPr>
        <w:t xml:space="preserve">G: Cilësia e ofrimit të shërbimit. </w:t>
      </w:r>
    </w:p>
    <w:p w:rsidR="00B63FAE" w:rsidRPr="00493867" w:rsidRDefault="00B63FAE" w:rsidP="00B63FAE">
      <w:pPr>
        <w:jc w:val="both"/>
        <w:rPr>
          <w:rFonts w:ascii="Times New Roman" w:eastAsia="Aptos" w:hAnsi="Times New Roman" w:cs="Times New Roman"/>
          <w:sz w:val="24"/>
          <w:szCs w:val="24"/>
          <w:lang w:val="es-ES"/>
        </w:rPr>
      </w:pPr>
      <w:r w:rsidRPr="00493867">
        <w:rPr>
          <w:rFonts w:ascii="Times New Roman" w:eastAsia="Aptos" w:hAnsi="Times New Roman" w:cs="Times New Roman"/>
          <w:sz w:val="24"/>
          <w:szCs w:val="24"/>
          <w:lang w:val="es-ES"/>
        </w:rPr>
        <w:t xml:space="preserve">Vlerësimi për vitin 2025 tregon përmirësime të rëndësishme në përputhshmërinë e trajtimit të mbetjeve me kërkesat ligjore, në nivelin e kënaqësisë së publikut dhe në aktivitetet e ndarjes së mbetjeve në burim në disa bashki. Megjithatë, performanca mbetet e pabarabartë ndërmjet bashkive, veçanërisht në aspektin e qëndrueshmërisë financiare, ndarjes së mbetjeve dhe cilësisë </w:t>
      </w:r>
      <w:r w:rsidRPr="00493867">
        <w:rPr>
          <w:rFonts w:ascii="Times New Roman" w:eastAsia="Aptos" w:hAnsi="Times New Roman" w:cs="Times New Roman"/>
          <w:sz w:val="24"/>
          <w:szCs w:val="24"/>
          <w:lang w:val="es-ES"/>
        </w:rPr>
        <w:lastRenderedPageBreak/>
        <w:t>së përgjithshme të shërbimit.</w:t>
      </w:r>
    </w:p>
    <w:p w:rsidR="00B63FAE" w:rsidRPr="00493867" w:rsidRDefault="00B63FAE" w:rsidP="00B63FAE">
      <w:pPr>
        <w:jc w:val="both"/>
        <w:rPr>
          <w:rFonts w:ascii="Times New Roman" w:eastAsia="Aptos" w:hAnsi="Times New Roman" w:cs="Times New Roman"/>
          <w:sz w:val="24"/>
          <w:szCs w:val="24"/>
          <w:lang w:val="es-ES"/>
        </w:rPr>
      </w:pPr>
      <w:r w:rsidRPr="00493867">
        <w:rPr>
          <w:rFonts w:ascii="Times New Roman" w:eastAsia="Aptos" w:hAnsi="Times New Roman" w:cs="Times New Roman"/>
          <w:sz w:val="24"/>
          <w:szCs w:val="24"/>
          <w:lang w:val="es-ES"/>
        </w:rPr>
        <w:t>Zbatimi i vazhdueshëm i treguesve KPI përbën një instrument të rëndësishëm krahasues për vlerësimin e performancës së bashkive, identifikimin e dobësive dhe orientimin e politikave vendore dhe kombëtare drejt objektivave të ekonomisë qarkulluese dhe përafrimit me standardet e Bashkimit Evropian për menaxhimin e mbetjeve.</w:t>
      </w:r>
    </w:p>
    <w:p w:rsidR="00B63FAE" w:rsidRPr="00493867" w:rsidRDefault="00B63FAE" w:rsidP="00B63FAE">
      <w:pPr>
        <w:jc w:val="both"/>
        <w:rPr>
          <w:rFonts w:ascii="Times New Roman" w:eastAsia="Aptos" w:hAnsi="Times New Roman" w:cs="Times New Roman"/>
          <w:b/>
          <w:bCs/>
          <w:sz w:val="24"/>
          <w:szCs w:val="24"/>
          <w:lang w:val="en-GB"/>
        </w:rPr>
      </w:pPr>
      <w:r w:rsidRPr="00493867">
        <w:rPr>
          <w:rFonts w:ascii="Times New Roman" w:eastAsia="Aptos" w:hAnsi="Times New Roman" w:cs="Times New Roman"/>
          <w:b/>
          <w:bCs/>
          <w:sz w:val="24"/>
          <w:szCs w:val="24"/>
          <w:lang w:val="en-GB"/>
        </w:rPr>
        <w:t xml:space="preserve">10.3.2 </w:t>
      </w:r>
      <w:r w:rsidR="004550DE" w:rsidRPr="00493867">
        <w:rPr>
          <w:rFonts w:ascii="Times New Roman" w:eastAsia="Aptos" w:hAnsi="Times New Roman" w:cs="Times New Roman"/>
          <w:b/>
          <w:bCs/>
          <w:sz w:val="24"/>
          <w:szCs w:val="24"/>
          <w:lang w:val="en-GB"/>
        </w:rPr>
        <w:t>Bashkitë me Performancën më të m</w:t>
      </w:r>
      <w:r w:rsidRPr="00493867">
        <w:rPr>
          <w:rFonts w:ascii="Times New Roman" w:eastAsia="Aptos" w:hAnsi="Times New Roman" w:cs="Times New Roman"/>
          <w:b/>
          <w:bCs/>
          <w:sz w:val="24"/>
          <w:szCs w:val="24"/>
          <w:lang w:val="en-GB"/>
        </w:rPr>
        <w:t>irë në vitin 2025</w:t>
      </w:r>
    </w:p>
    <w:p w:rsidR="00B63FAE" w:rsidRPr="00493867" w:rsidRDefault="00B63FAE" w:rsidP="00B63FAE">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Bazuar në vlerësimin e përgjithshëm të të gjithë treguesve dhe performancën mesatare të bashkive, bashkitë me performancën më të mirë gjatë vitit 2025 janë:</w:t>
      </w:r>
    </w:p>
    <w:p w:rsidR="00B63FAE" w:rsidRPr="00493867" w:rsidRDefault="00B63FAE" w:rsidP="00807975">
      <w:pPr>
        <w:numPr>
          <w:ilvl w:val="0"/>
          <w:numId w:val="171"/>
        </w:numPr>
        <w:jc w:val="both"/>
        <w:rPr>
          <w:rFonts w:ascii="Times New Roman" w:eastAsia="Aptos" w:hAnsi="Times New Roman" w:cs="Times New Roman"/>
          <w:sz w:val="24"/>
          <w:szCs w:val="24"/>
          <w:lang w:val="en-GB"/>
        </w:rPr>
      </w:pPr>
      <w:r w:rsidRPr="00493867">
        <w:rPr>
          <w:rFonts w:ascii="Times New Roman" w:eastAsia="Aptos" w:hAnsi="Times New Roman" w:cs="Times New Roman"/>
          <w:b/>
          <w:bCs/>
          <w:sz w:val="24"/>
          <w:szCs w:val="24"/>
          <w:lang w:val="en-GB"/>
        </w:rPr>
        <w:t>Shkodra</w:t>
      </w:r>
      <w:r w:rsidRPr="00493867">
        <w:rPr>
          <w:rFonts w:ascii="Times New Roman" w:eastAsia="Aptos" w:hAnsi="Times New Roman" w:cs="Times New Roman"/>
          <w:sz w:val="24"/>
          <w:szCs w:val="24"/>
          <w:lang w:val="en-GB"/>
        </w:rPr>
        <w:t xml:space="preserve">, e cila mbetet bashkia me performancën më të qëndrueshme, duke arritur mbulim të shërbimit mbi 100%, kënaqësi të publikut në nivel 100%, përputhshmëri të plotë të trajtimit të mbetjeve dhe rezultatin më të lartë për cilësinë e shërbimit (91.7%). Pavarësisht rritjes së kostove operacionale krahasuar me vitet e mëparshme, Shkodra vazhdon të përfaqësojë sistemin më të balancuar të menaxhimit të mbetjeve bashkiake. </w:t>
      </w:r>
    </w:p>
    <w:p w:rsidR="00B63FAE" w:rsidRPr="00493867" w:rsidRDefault="00B63FAE" w:rsidP="00807975">
      <w:pPr>
        <w:numPr>
          <w:ilvl w:val="0"/>
          <w:numId w:val="171"/>
        </w:numPr>
        <w:jc w:val="both"/>
        <w:rPr>
          <w:rFonts w:ascii="Times New Roman" w:eastAsia="Aptos" w:hAnsi="Times New Roman" w:cs="Times New Roman"/>
          <w:sz w:val="24"/>
          <w:szCs w:val="24"/>
          <w:lang w:val="en-GB"/>
        </w:rPr>
      </w:pPr>
      <w:r w:rsidRPr="00493867">
        <w:rPr>
          <w:rFonts w:ascii="Times New Roman" w:eastAsia="Aptos" w:hAnsi="Times New Roman" w:cs="Times New Roman"/>
          <w:b/>
          <w:bCs/>
          <w:sz w:val="24"/>
          <w:szCs w:val="24"/>
          <w:lang w:val="en-GB"/>
        </w:rPr>
        <w:t>Saranda</w:t>
      </w:r>
      <w:r w:rsidRPr="00493867">
        <w:rPr>
          <w:rFonts w:ascii="Times New Roman" w:eastAsia="Aptos" w:hAnsi="Times New Roman" w:cs="Times New Roman"/>
          <w:sz w:val="24"/>
          <w:szCs w:val="24"/>
          <w:lang w:val="en-GB"/>
        </w:rPr>
        <w:t xml:space="preserve">, e cila renditet ndër bashkitë me performancën më të mirë falë nivelit të lartë të mbulimit të shërbimit (96.9%), përputhshmërisë së trajtimit me legjislacionin (99.5%), rikuperimit të kostove (91.5%) dhe cilësisë së shërbimit (83.3%). Sfida kryesore e kësaj bashkie mbetet kostoja e lartë për frymë, e ndikuar kryesisht nga sezonaliteti turistik. </w:t>
      </w:r>
    </w:p>
    <w:p w:rsidR="00B63FAE" w:rsidRPr="00493867" w:rsidRDefault="00B63FAE" w:rsidP="00807975">
      <w:pPr>
        <w:numPr>
          <w:ilvl w:val="0"/>
          <w:numId w:val="171"/>
        </w:numPr>
        <w:jc w:val="both"/>
        <w:rPr>
          <w:rFonts w:ascii="Times New Roman" w:eastAsia="Aptos" w:hAnsi="Times New Roman" w:cs="Times New Roman"/>
          <w:sz w:val="24"/>
          <w:szCs w:val="24"/>
          <w:lang w:val="en-GB"/>
        </w:rPr>
      </w:pPr>
      <w:r w:rsidRPr="00493867">
        <w:rPr>
          <w:rFonts w:ascii="Times New Roman" w:eastAsia="Aptos" w:hAnsi="Times New Roman" w:cs="Times New Roman"/>
          <w:b/>
          <w:bCs/>
          <w:sz w:val="24"/>
          <w:szCs w:val="24"/>
          <w:lang w:val="en-GB"/>
        </w:rPr>
        <w:t>Himara</w:t>
      </w:r>
      <w:r w:rsidRPr="00493867">
        <w:rPr>
          <w:rFonts w:ascii="Times New Roman" w:eastAsia="Aptos" w:hAnsi="Times New Roman" w:cs="Times New Roman"/>
          <w:sz w:val="24"/>
          <w:szCs w:val="24"/>
          <w:lang w:val="en-GB"/>
        </w:rPr>
        <w:t xml:space="preserve">, e cila regjistroi përmirësime të ndjeshme në kënaqësinë e publikut, rikuperimin e kostove dhe efikasitetin e arkëtimit të tarifave, duke ruajtur njëkohësisht nivele të larta të mbulimit të shërbimit dhe përputhshmërisë së trajtimit. Megjithatë, ajo mbetet bashkia me koston më të lartë për ton dhe për frymë. </w:t>
      </w:r>
    </w:p>
    <w:p w:rsidR="00B63FAE" w:rsidRPr="00493867" w:rsidRDefault="00B63FAE" w:rsidP="00807975">
      <w:pPr>
        <w:numPr>
          <w:ilvl w:val="0"/>
          <w:numId w:val="171"/>
        </w:numPr>
        <w:jc w:val="both"/>
        <w:rPr>
          <w:rFonts w:ascii="Times New Roman" w:eastAsia="Aptos" w:hAnsi="Times New Roman" w:cs="Times New Roman"/>
          <w:sz w:val="24"/>
          <w:szCs w:val="24"/>
          <w:lang w:val="en-GB"/>
        </w:rPr>
      </w:pPr>
      <w:r w:rsidRPr="00493867">
        <w:rPr>
          <w:rFonts w:ascii="Times New Roman" w:eastAsia="Aptos" w:hAnsi="Times New Roman" w:cs="Times New Roman"/>
          <w:b/>
          <w:bCs/>
          <w:sz w:val="24"/>
          <w:szCs w:val="24"/>
          <w:lang w:val="en-GB"/>
        </w:rPr>
        <w:t>Belshi</w:t>
      </w:r>
      <w:r w:rsidRPr="00493867">
        <w:rPr>
          <w:rFonts w:ascii="Times New Roman" w:eastAsia="Aptos" w:hAnsi="Times New Roman" w:cs="Times New Roman"/>
          <w:sz w:val="24"/>
          <w:szCs w:val="24"/>
          <w:lang w:val="en-GB"/>
        </w:rPr>
        <w:t xml:space="preserve">, i cili demonstroi progres të jashtëzakonshëm në ndarjen e mbetjeve në burim, duke e rritur këtë tregues nga 8.0% në vitin 2024 në 34.4% në vitin 2025, ndërkohë që përmirësoi ndjeshëm edhe performancën në rikuperimin e kostove. </w:t>
      </w:r>
    </w:p>
    <w:p w:rsidR="00B63FAE" w:rsidRPr="00493867" w:rsidRDefault="00B63FAE" w:rsidP="00807975">
      <w:pPr>
        <w:numPr>
          <w:ilvl w:val="0"/>
          <w:numId w:val="171"/>
        </w:numPr>
        <w:jc w:val="both"/>
        <w:rPr>
          <w:rFonts w:ascii="Times New Roman" w:eastAsia="Aptos" w:hAnsi="Times New Roman" w:cs="Times New Roman"/>
          <w:sz w:val="24"/>
          <w:szCs w:val="24"/>
          <w:lang w:val="en-GB"/>
        </w:rPr>
      </w:pPr>
      <w:r w:rsidRPr="00493867">
        <w:rPr>
          <w:rFonts w:ascii="Times New Roman" w:eastAsia="Aptos" w:hAnsi="Times New Roman" w:cs="Times New Roman"/>
          <w:b/>
          <w:bCs/>
          <w:sz w:val="24"/>
          <w:szCs w:val="24"/>
          <w:lang w:val="en-GB"/>
        </w:rPr>
        <w:t>Roskoveci</w:t>
      </w:r>
      <w:r w:rsidRPr="00493867">
        <w:rPr>
          <w:rFonts w:ascii="Times New Roman" w:eastAsia="Aptos" w:hAnsi="Times New Roman" w:cs="Times New Roman"/>
          <w:sz w:val="24"/>
          <w:szCs w:val="24"/>
          <w:lang w:val="en-GB"/>
        </w:rPr>
        <w:t>, i cili vijoi progresin e qëndrueshëm në ndarjen dhe trajtimin e mbetjeve, duke arritur në 20.2% të mbetjeve të grumbulluara veçmas, ndërsa ruajti një nivel të kënaqshëm të cilësisë së shërbimit.</w:t>
      </w:r>
    </w:p>
    <w:p w:rsidR="00A64C7E" w:rsidRPr="00B63FAE" w:rsidRDefault="00B63FAE" w:rsidP="00B63FAE">
      <w:pPr>
        <w:rPr>
          <w:rFonts w:ascii="Times New Roman" w:hAnsi="Times New Roman" w:cs="Times New Roman"/>
          <w:sz w:val="24"/>
          <w:szCs w:val="24"/>
        </w:rPr>
      </w:pPr>
      <w:r>
        <w:rPr>
          <w:rFonts w:ascii="Times New Roman" w:hAnsi="Times New Roman" w:cs="Times New Roman"/>
          <w:sz w:val="24"/>
          <w:szCs w:val="24"/>
        </w:rPr>
        <w:t xml:space="preserve">                                              </w:t>
      </w:r>
      <w:r w:rsidR="00DD5125">
        <w:rPr>
          <w:rFonts w:ascii="Times New Roman" w:hAnsi="Times New Roman" w:cs="Times New Roman"/>
          <w:sz w:val="24"/>
          <w:szCs w:val="24"/>
        </w:rPr>
        <w:t xml:space="preserve">Tabela </w:t>
      </w:r>
      <w:r w:rsidR="00B24E99">
        <w:rPr>
          <w:rFonts w:ascii="Times New Roman" w:hAnsi="Times New Roman" w:cs="Times New Roman"/>
          <w:sz w:val="24"/>
          <w:szCs w:val="24"/>
        </w:rPr>
        <w:t>9</w:t>
      </w:r>
      <w:r w:rsidR="003A31D9">
        <w:rPr>
          <w:rFonts w:ascii="Times New Roman" w:hAnsi="Times New Roman" w:cs="Times New Roman"/>
          <w:sz w:val="24"/>
          <w:szCs w:val="24"/>
        </w:rPr>
        <w:t>1</w:t>
      </w:r>
      <w:r w:rsidRPr="00B63FAE">
        <w:rPr>
          <w:rFonts w:ascii="Times New Roman" w:hAnsi="Times New Roman" w:cs="Times New Roman"/>
          <w:sz w:val="24"/>
          <w:szCs w:val="24"/>
        </w:rPr>
        <w:t xml:space="preserve">. </w:t>
      </w:r>
      <w:r w:rsidR="002E3D6D">
        <w:rPr>
          <w:rFonts w:ascii="Times New Roman" w:hAnsi="Times New Roman" w:cs="Times New Roman"/>
          <w:sz w:val="24"/>
          <w:szCs w:val="24"/>
        </w:rPr>
        <w:t>Treguesit kryesor të performancës,</w:t>
      </w:r>
      <w:r w:rsidRPr="00B63FAE">
        <w:rPr>
          <w:rFonts w:ascii="Times New Roman" w:hAnsi="Times New Roman" w:cs="Times New Roman"/>
          <w:sz w:val="24"/>
          <w:szCs w:val="24"/>
        </w:rPr>
        <w:t xml:space="preserve"> 2025</w:t>
      </w:r>
    </w:p>
    <w:tbl>
      <w:tblPr>
        <w:tblW w:w="5245" w:type="pct"/>
        <w:tblInd w:w="-650" w:type="dxa"/>
        <w:tblLayout w:type="fixed"/>
        <w:tblLook w:val="04A0" w:firstRow="1" w:lastRow="0" w:firstColumn="1" w:lastColumn="0" w:noHBand="0" w:noVBand="1"/>
      </w:tblPr>
      <w:tblGrid>
        <w:gridCol w:w="1228"/>
        <w:gridCol w:w="547"/>
        <w:gridCol w:w="609"/>
        <w:gridCol w:w="585"/>
        <w:gridCol w:w="552"/>
        <w:gridCol w:w="625"/>
        <w:gridCol w:w="609"/>
        <w:gridCol w:w="546"/>
        <w:gridCol w:w="546"/>
        <w:gridCol w:w="609"/>
        <w:gridCol w:w="546"/>
        <w:gridCol w:w="609"/>
        <w:gridCol w:w="609"/>
        <w:gridCol w:w="607"/>
        <w:gridCol w:w="609"/>
        <w:gridCol w:w="609"/>
      </w:tblGrid>
      <w:tr w:rsidR="00B63FAE" w:rsidRPr="00B63FAE" w:rsidTr="00B63FAE">
        <w:trPr>
          <w:cantSplit/>
          <w:trHeight w:val="1156"/>
        </w:trPr>
        <w:tc>
          <w:tcPr>
            <w:tcW w:w="611" w:type="pct"/>
            <w:tcBorders>
              <w:top w:val="nil"/>
              <w:left w:val="nil"/>
              <w:bottom w:val="nil"/>
              <w:right w:val="nil"/>
            </w:tcBorders>
            <w:noWrap/>
            <w:vAlign w:val="bottom"/>
            <w:hideMark/>
          </w:tcPr>
          <w:p w:rsidR="00B63FAE" w:rsidRPr="00B63FAE" w:rsidRDefault="00B63FAE" w:rsidP="00B63FAE">
            <w:pPr>
              <w:spacing w:after="0" w:line="278" w:lineRule="auto"/>
              <w:rPr>
                <w:rFonts w:ascii="Times New Roman" w:eastAsia="Aptos" w:hAnsi="Times New Roman" w:cs="Times New Roman"/>
                <w:kern w:val="2"/>
                <w:sz w:val="14"/>
                <w:szCs w:val="14"/>
                <w:lang w:val="en-GB" w:eastAsia="en-GB"/>
                <w14:ligatures w14:val="standardContextual"/>
              </w:rPr>
            </w:pPr>
            <w:r w:rsidRPr="00B63FAE">
              <w:rPr>
                <w:rFonts w:ascii="Times New Roman" w:eastAsia="Aptos" w:hAnsi="Times New Roman" w:cs="Times New Roman"/>
                <w:color w:val="000000"/>
                <w:kern w:val="2"/>
                <w:sz w:val="14"/>
                <w:szCs w:val="14"/>
                <w:lang w:val="en-GB"/>
                <w14:ligatures w14:val="standardContextual"/>
              </w:rPr>
              <w:t>Indikatori</w:t>
            </w:r>
          </w:p>
        </w:tc>
        <w:tc>
          <w:tcPr>
            <w:tcW w:w="272" w:type="pct"/>
            <w:tcBorders>
              <w:top w:val="nil"/>
              <w:left w:val="nil"/>
              <w:bottom w:val="nil"/>
              <w:right w:val="single" w:sz="8" w:space="0" w:color="auto"/>
            </w:tcBorders>
            <w:shd w:val="clear" w:color="auto" w:fill="F2F2F2" w:themeFill="background1" w:themeFillShade="F2"/>
            <w:noWrap/>
            <w:textDirection w:val="btLr"/>
            <w:vAlign w:val="center"/>
            <w:hideMark/>
          </w:tcPr>
          <w:p w:rsidR="00B63FAE" w:rsidRPr="00B63FAE" w:rsidRDefault="00B63FAE" w:rsidP="00B63FAE">
            <w:pPr>
              <w:spacing w:after="0" w:line="278" w:lineRule="auto"/>
              <w:ind w:left="113" w:right="113"/>
              <w:rPr>
                <w:rFonts w:ascii="Aptos Narrow" w:eastAsia="Aptos" w:hAnsi="Aptos Narrow" w:cs="Times New Roman"/>
                <w:b/>
                <w:bCs/>
                <w:color w:val="000000"/>
                <w:kern w:val="2"/>
                <w:sz w:val="14"/>
                <w:szCs w:val="14"/>
                <w:lang w:val="en-GB" w:eastAsia="en-GB"/>
                <w14:ligatures w14:val="standardContextual"/>
              </w:rPr>
            </w:pPr>
            <w:r w:rsidRPr="00B63FAE">
              <w:rPr>
                <w:rFonts w:ascii="Aptos Narrow" w:eastAsia="Aptos" w:hAnsi="Aptos Narrow" w:cs="Times New Roman"/>
                <w:b/>
                <w:bCs/>
                <w:color w:val="000000"/>
                <w:kern w:val="2"/>
                <w:sz w:val="14"/>
                <w:szCs w:val="14"/>
                <w:lang w:val="en-GB" w:eastAsia="en-GB"/>
                <w14:ligatures w14:val="standardContextual"/>
              </w:rPr>
              <w:t>Belsh</w:t>
            </w:r>
          </w:p>
        </w:tc>
        <w:tc>
          <w:tcPr>
            <w:tcW w:w="303" w:type="pct"/>
            <w:tcBorders>
              <w:top w:val="nil"/>
              <w:left w:val="single" w:sz="8" w:space="0" w:color="auto"/>
              <w:bottom w:val="nil"/>
              <w:right w:val="single" w:sz="8" w:space="0" w:color="auto"/>
            </w:tcBorders>
            <w:shd w:val="clear" w:color="auto" w:fill="F2F2F2" w:themeFill="background1" w:themeFillShade="F2"/>
            <w:noWrap/>
            <w:textDirection w:val="btLr"/>
            <w:vAlign w:val="center"/>
            <w:hideMark/>
          </w:tcPr>
          <w:p w:rsidR="00B63FAE" w:rsidRPr="00B63FAE" w:rsidRDefault="00B63FAE" w:rsidP="00B63FAE">
            <w:pPr>
              <w:spacing w:after="0" w:line="278" w:lineRule="auto"/>
              <w:ind w:left="113" w:right="113"/>
              <w:rPr>
                <w:rFonts w:ascii="Aptos Narrow" w:eastAsia="Aptos" w:hAnsi="Aptos Narrow" w:cs="Times New Roman"/>
                <w:b/>
                <w:bCs/>
                <w:color w:val="000000"/>
                <w:kern w:val="2"/>
                <w:sz w:val="14"/>
                <w:szCs w:val="14"/>
                <w:lang w:val="en-GB" w:eastAsia="en-GB"/>
                <w14:ligatures w14:val="standardContextual"/>
              </w:rPr>
            </w:pPr>
            <w:r w:rsidRPr="00B63FAE">
              <w:rPr>
                <w:rFonts w:ascii="Aptos Narrow" w:eastAsia="Aptos" w:hAnsi="Aptos Narrow" w:cs="Times New Roman"/>
                <w:b/>
                <w:bCs/>
                <w:color w:val="000000"/>
                <w:kern w:val="2"/>
                <w:sz w:val="14"/>
                <w:szCs w:val="14"/>
                <w:lang w:val="en-GB" w:eastAsia="en-GB"/>
                <w14:ligatures w14:val="standardContextual"/>
              </w:rPr>
              <w:t>Cerrik</w:t>
            </w:r>
          </w:p>
        </w:tc>
        <w:tc>
          <w:tcPr>
            <w:tcW w:w="291" w:type="pct"/>
            <w:tcBorders>
              <w:top w:val="nil"/>
              <w:left w:val="single" w:sz="8" w:space="0" w:color="auto"/>
              <w:bottom w:val="nil"/>
              <w:right w:val="single" w:sz="8" w:space="0" w:color="auto"/>
            </w:tcBorders>
            <w:shd w:val="clear" w:color="auto" w:fill="F2F2F2" w:themeFill="background1" w:themeFillShade="F2"/>
            <w:noWrap/>
            <w:textDirection w:val="btLr"/>
            <w:vAlign w:val="center"/>
            <w:hideMark/>
          </w:tcPr>
          <w:p w:rsidR="00B63FAE" w:rsidRPr="00B63FAE" w:rsidRDefault="00B63FAE" w:rsidP="00B63FAE">
            <w:pPr>
              <w:spacing w:after="0" w:line="278" w:lineRule="auto"/>
              <w:ind w:left="113" w:right="113"/>
              <w:rPr>
                <w:rFonts w:ascii="Aptos Narrow" w:eastAsia="Aptos" w:hAnsi="Aptos Narrow" w:cs="Times New Roman"/>
                <w:b/>
                <w:bCs/>
                <w:color w:val="000000"/>
                <w:kern w:val="2"/>
                <w:sz w:val="14"/>
                <w:szCs w:val="14"/>
                <w:lang w:val="en-GB" w:eastAsia="en-GB"/>
                <w14:ligatures w14:val="standardContextual"/>
              </w:rPr>
            </w:pPr>
            <w:r w:rsidRPr="00B63FAE">
              <w:rPr>
                <w:rFonts w:ascii="Aptos Narrow" w:eastAsia="Aptos" w:hAnsi="Aptos Narrow" w:cs="Times New Roman"/>
                <w:b/>
                <w:bCs/>
                <w:color w:val="000000"/>
                <w:kern w:val="2"/>
                <w:sz w:val="14"/>
                <w:szCs w:val="14"/>
                <w:lang w:val="en-GB" w:eastAsia="en-GB"/>
                <w14:ligatures w14:val="standardContextual"/>
              </w:rPr>
              <w:t>Gjirokaster</w:t>
            </w:r>
          </w:p>
        </w:tc>
        <w:tc>
          <w:tcPr>
            <w:tcW w:w="275" w:type="pct"/>
            <w:tcBorders>
              <w:top w:val="nil"/>
              <w:left w:val="single" w:sz="8" w:space="0" w:color="auto"/>
              <w:bottom w:val="nil"/>
              <w:right w:val="single" w:sz="8" w:space="0" w:color="auto"/>
            </w:tcBorders>
            <w:shd w:val="clear" w:color="auto" w:fill="F2F2F2" w:themeFill="background1" w:themeFillShade="F2"/>
            <w:noWrap/>
            <w:textDirection w:val="btLr"/>
            <w:vAlign w:val="center"/>
            <w:hideMark/>
          </w:tcPr>
          <w:p w:rsidR="00B63FAE" w:rsidRPr="00B63FAE" w:rsidRDefault="00B63FAE" w:rsidP="00B63FAE">
            <w:pPr>
              <w:spacing w:after="0" w:line="278" w:lineRule="auto"/>
              <w:ind w:left="113" w:right="113"/>
              <w:rPr>
                <w:rFonts w:ascii="Aptos Narrow" w:eastAsia="Aptos" w:hAnsi="Aptos Narrow" w:cs="Times New Roman"/>
                <w:b/>
                <w:bCs/>
                <w:color w:val="000000"/>
                <w:kern w:val="2"/>
                <w:sz w:val="14"/>
                <w:szCs w:val="14"/>
                <w:lang w:val="en-GB" w:eastAsia="en-GB"/>
                <w14:ligatures w14:val="standardContextual"/>
              </w:rPr>
            </w:pPr>
            <w:r w:rsidRPr="00B63FAE">
              <w:rPr>
                <w:rFonts w:ascii="Aptos Narrow" w:eastAsia="Aptos" w:hAnsi="Aptos Narrow" w:cs="Times New Roman"/>
                <w:b/>
                <w:bCs/>
                <w:color w:val="000000"/>
                <w:kern w:val="2"/>
                <w:sz w:val="14"/>
                <w:szCs w:val="14"/>
                <w:lang w:val="en-GB" w:eastAsia="en-GB"/>
                <w14:ligatures w14:val="standardContextual"/>
              </w:rPr>
              <w:t>Gramsh</w:t>
            </w:r>
          </w:p>
        </w:tc>
        <w:tc>
          <w:tcPr>
            <w:tcW w:w="311" w:type="pct"/>
            <w:tcBorders>
              <w:top w:val="nil"/>
              <w:left w:val="single" w:sz="8" w:space="0" w:color="auto"/>
              <w:bottom w:val="nil"/>
              <w:right w:val="single" w:sz="8" w:space="0" w:color="auto"/>
            </w:tcBorders>
            <w:shd w:val="clear" w:color="auto" w:fill="F2F2F2" w:themeFill="background1" w:themeFillShade="F2"/>
            <w:noWrap/>
            <w:textDirection w:val="btLr"/>
            <w:vAlign w:val="center"/>
            <w:hideMark/>
          </w:tcPr>
          <w:p w:rsidR="00B63FAE" w:rsidRPr="00B63FAE" w:rsidRDefault="00B63FAE" w:rsidP="00B63FAE">
            <w:pPr>
              <w:spacing w:after="0" w:line="278" w:lineRule="auto"/>
              <w:ind w:left="113" w:right="113"/>
              <w:rPr>
                <w:rFonts w:ascii="Aptos Narrow" w:eastAsia="Aptos" w:hAnsi="Aptos Narrow" w:cs="Times New Roman"/>
                <w:b/>
                <w:bCs/>
                <w:color w:val="000000"/>
                <w:kern w:val="2"/>
                <w:sz w:val="14"/>
                <w:szCs w:val="14"/>
                <w:lang w:val="en-GB" w:eastAsia="en-GB"/>
                <w14:ligatures w14:val="standardContextual"/>
              </w:rPr>
            </w:pPr>
            <w:r w:rsidRPr="00B63FAE">
              <w:rPr>
                <w:rFonts w:ascii="Aptos Narrow" w:eastAsia="Aptos" w:hAnsi="Aptos Narrow" w:cs="Times New Roman"/>
                <w:b/>
                <w:bCs/>
                <w:color w:val="000000"/>
                <w:kern w:val="2"/>
                <w:sz w:val="14"/>
                <w:szCs w:val="14"/>
                <w:lang w:val="en-GB" w:eastAsia="en-GB"/>
                <w14:ligatures w14:val="standardContextual"/>
              </w:rPr>
              <w:t>Himara</w:t>
            </w:r>
          </w:p>
        </w:tc>
        <w:tc>
          <w:tcPr>
            <w:tcW w:w="303" w:type="pct"/>
            <w:tcBorders>
              <w:top w:val="nil"/>
              <w:left w:val="single" w:sz="8" w:space="0" w:color="auto"/>
              <w:bottom w:val="nil"/>
              <w:right w:val="single" w:sz="8" w:space="0" w:color="auto"/>
            </w:tcBorders>
            <w:shd w:val="clear" w:color="auto" w:fill="F2F2F2" w:themeFill="background1" w:themeFillShade="F2"/>
            <w:noWrap/>
            <w:textDirection w:val="btLr"/>
            <w:vAlign w:val="center"/>
            <w:hideMark/>
          </w:tcPr>
          <w:p w:rsidR="00B63FAE" w:rsidRPr="00B63FAE" w:rsidRDefault="00B63FAE" w:rsidP="00B63FAE">
            <w:pPr>
              <w:spacing w:after="0" w:line="278" w:lineRule="auto"/>
              <w:ind w:left="113" w:right="113"/>
              <w:rPr>
                <w:rFonts w:ascii="Aptos Narrow" w:eastAsia="Aptos" w:hAnsi="Aptos Narrow" w:cs="Times New Roman"/>
                <w:b/>
                <w:bCs/>
                <w:color w:val="000000"/>
                <w:kern w:val="2"/>
                <w:sz w:val="14"/>
                <w:szCs w:val="14"/>
                <w:lang w:val="en-GB" w:eastAsia="en-GB"/>
                <w14:ligatures w14:val="standardContextual"/>
              </w:rPr>
            </w:pPr>
            <w:r w:rsidRPr="00B63FAE">
              <w:rPr>
                <w:rFonts w:ascii="Aptos Narrow" w:eastAsia="Aptos" w:hAnsi="Aptos Narrow" w:cs="Times New Roman"/>
                <w:b/>
                <w:bCs/>
                <w:color w:val="000000"/>
                <w:kern w:val="2"/>
                <w:sz w:val="14"/>
                <w:szCs w:val="14"/>
                <w:lang w:val="en-GB" w:eastAsia="en-GB"/>
                <w14:ligatures w14:val="standardContextual"/>
              </w:rPr>
              <w:t>Kelcyra</w:t>
            </w:r>
          </w:p>
        </w:tc>
        <w:tc>
          <w:tcPr>
            <w:tcW w:w="272" w:type="pct"/>
            <w:tcBorders>
              <w:top w:val="nil"/>
              <w:left w:val="single" w:sz="8" w:space="0" w:color="auto"/>
              <w:bottom w:val="nil"/>
              <w:right w:val="single" w:sz="8" w:space="0" w:color="auto"/>
            </w:tcBorders>
            <w:shd w:val="clear" w:color="auto" w:fill="F2F2F2" w:themeFill="background1" w:themeFillShade="F2"/>
            <w:noWrap/>
            <w:textDirection w:val="btLr"/>
            <w:vAlign w:val="center"/>
            <w:hideMark/>
          </w:tcPr>
          <w:p w:rsidR="00B63FAE" w:rsidRPr="00B63FAE" w:rsidRDefault="00B63FAE" w:rsidP="00B63FAE">
            <w:pPr>
              <w:spacing w:after="0" w:line="278" w:lineRule="auto"/>
              <w:ind w:left="113" w:right="113"/>
              <w:rPr>
                <w:rFonts w:ascii="Aptos Narrow" w:eastAsia="Aptos" w:hAnsi="Aptos Narrow" w:cs="Times New Roman"/>
                <w:b/>
                <w:bCs/>
                <w:color w:val="000000"/>
                <w:kern w:val="2"/>
                <w:sz w:val="14"/>
                <w:szCs w:val="14"/>
                <w:lang w:val="en-GB" w:eastAsia="en-GB"/>
                <w14:ligatures w14:val="standardContextual"/>
              </w:rPr>
            </w:pPr>
            <w:r w:rsidRPr="00B63FAE">
              <w:rPr>
                <w:rFonts w:ascii="Aptos Narrow" w:eastAsia="Aptos" w:hAnsi="Aptos Narrow" w:cs="Times New Roman"/>
                <w:b/>
                <w:bCs/>
                <w:color w:val="000000"/>
                <w:kern w:val="2"/>
                <w:sz w:val="14"/>
                <w:szCs w:val="14"/>
                <w:lang w:val="en-GB" w:eastAsia="en-GB"/>
                <w14:ligatures w14:val="standardContextual"/>
              </w:rPr>
              <w:t>Kukes</w:t>
            </w:r>
          </w:p>
        </w:tc>
        <w:tc>
          <w:tcPr>
            <w:tcW w:w="272" w:type="pct"/>
            <w:tcBorders>
              <w:top w:val="nil"/>
              <w:left w:val="single" w:sz="8" w:space="0" w:color="auto"/>
              <w:bottom w:val="nil"/>
              <w:right w:val="single" w:sz="8" w:space="0" w:color="auto"/>
            </w:tcBorders>
            <w:shd w:val="clear" w:color="auto" w:fill="F2F2F2" w:themeFill="background1" w:themeFillShade="F2"/>
            <w:noWrap/>
            <w:textDirection w:val="btLr"/>
            <w:vAlign w:val="center"/>
            <w:hideMark/>
          </w:tcPr>
          <w:p w:rsidR="00B63FAE" w:rsidRPr="00B63FAE" w:rsidRDefault="00B63FAE" w:rsidP="00B63FAE">
            <w:pPr>
              <w:spacing w:after="0" w:line="278" w:lineRule="auto"/>
              <w:ind w:left="113" w:right="113"/>
              <w:rPr>
                <w:rFonts w:ascii="Aptos Narrow" w:eastAsia="Aptos" w:hAnsi="Aptos Narrow" w:cs="Times New Roman"/>
                <w:b/>
                <w:bCs/>
                <w:color w:val="000000"/>
                <w:kern w:val="2"/>
                <w:sz w:val="14"/>
                <w:szCs w:val="14"/>
                <w:lang w:val="en-GB" w:eastAsia="en-GB"/>
                <w14:ligatures w14:val="standardContextual"/>
              </w:rPr>
            </w:pPr>
            <w:r w:rsidRPr="00B63FAE">
              <w:rPr>
                <w:rFonts w:ascii="Aptos Narrow" w:eastAsia="Aptos" w:hAnsi="Aptos Narrow" w:cs="Times New Roman"/>
                <w:b/>
                <w:bCs/>
                <w:color w:val="000000"/>
                <w:kern w:val="2"/>
                <w:sz w:val="14"/>
                <w:szCs w:val="14"/>
                <w:lang w:val="en-GB" w:eastAsia="en-GB"/>
                <w14:ligatures w14:val="standardContextual"/>
              </w:rPr>
              <w:t>Lezhe</w:t>
            </w:r>
          </w:p>
        </w:tc>
        <w:tc>
          <w:tcPr>
            <w:tcW w:w="303" w:type="pct"/>
            <w:tcBorders>
              <w:top w:val="nil"/>
              <w:left w:val="single" w:sz="8" w:space="0" w:color="auto"/>
              <w:bottom w:val="nil"/>
              <w:right w:val="single" w:sz="8" w:space="0" w:color="auto"/>
            </w:tcBorders>
            <w:shd w:val="clear" w:color="auto" w:fill="F2F2F2" w:themeFill="background1" w:themeFillShade="F2"/>
            <w:noWrap/>
            <w:textDirection w:val="btLr"/>
            <w:vAlign w:val="center"/>
            <w:hideMark/>
          </w:tcPr>
          <w:p w:rsidR="00B63FAE" w:rsidRPr="00B63FAE" w:rsidRDefault="00B63FAE" w:rsidP="00B63FAE">
            <w:pPr>
              <w:spacing w:after="0" w:line="278" w:lineRule="auto"/>
              <w:ind w:left="113" w:right="113"/>
              <w:rPr>
                <w:rFonts w:ascii="Aptos Narrow" w:eastAsia="Aptos" w:hAnsi="Aptos Narrow" w:cs="Times New Roman"/>
                <w:b/>
                <w:bCs/>
                <w:color w:val="000000"/>
                <w:kern w:val="2"/>
                <w:sz w:val="14"/>
                <w:szCs w:val="14"/>
                <w:lang w:val="en-GB" w:eastAsia="en-GB"/>
                <w14:ligatures w14:val="standardContextual"/>
              </w:rPr>
            </w:pPr>
            <w:r w:rsidRPr="00B63FAE">
              <w:rPr>
                <w:rFonts w:ascii="Aptos Narrow" w:eastAsia="Aptos" w:hAnsi="Aptos Narrow" w:cs="Times New Roman"/>
                <w:b/>
                <w:bCs/>
                <w:color w:val="000000"/>
                <w:kern w:val="2"/>
                <w:sz w:val="14"/>
                <w:szCs w:val="14"/>
                <w:lang w:val="en-GB" w:eastAsia="en-GB"/>
                <w14:ligatures w14:val="standardContextual"/>
              </w:rPr>
              <w:t>Permet</w:t>
            </w:r>
          </w:p>
        </w:tc>
        <w:tc>
          <w:tcPr>
            <w:tcW w:w="272" w:type="pct"/>
            <w:tcBorders>
              <w:top w:val="nil"/>
              <w:left w:val="single" w:sz="8" w:space="0" w:color="auto"/>
              <w:bottom w:val="nil"/>
              <w:right w:val="single" w:sz="8" w:space="0" w:color="auto"/>
            </w:tcBorders>
            <w:shd w:val="clear" w:color="auto" w:fill="F2F2F2" w:themeFill="background1" w:themeFillShade="F2"/>
            <w:noWrap/>
            <w:textDirection w:val="btLr"/>
            <w:vAlign w:val="center"/>
            <w:hideMark/>
          </w:tcPr>
          <w:p w:rsidR="00B63FAE" w:rsidRPr="00B63FAE" w:rsidRDefault="00B63FAE" w:rsidP="00B63FAE">
            <w:pPr>
              <w:spacing w:after="0" w:line="278" w:lineRule="auto"/>
              <w:ind w:left="113" w:right="113"/>
              <w:rPr>
                <w:rFonts w:ascii="Aptos Narrow" w:eastAsia="Aptos" w:hAnsi="Aptos Narrow" w:cs="Times New Roman"/>
                <w:b/>
                <w:bCs/>
                <w:color w:val="000000"/>
                <w:kern w:val="2"/>
                <w:sz w:val="14"/>
                <w:szCs w:val="14"/>
                <w:lang w:val="en-GB" w:eastAsia="en-GB"/>
                <w14:ligatures w14:val="standardContextual"/>
              </w:rPr>
            </w:pPr>
            <w:r w:rsidRPr="00B63FAE">
              <w:rPr>
                <w:rFonts w:ascii="Aptos Narrow" w:eastAsia="Aptos" w:hAnsi="Aptos Narrow" w:cs="Times New Roman"/>
                <w:b/>
                <w:bCs/>
                <w:color w:val="000000"/>
                <w:kern w:val="2"/>
                <w:sz w:val="14"/>
                <w:szCs w:val="14"/>
                <w:lang w:val="en-GB" w:eastAsia="en-GB"/>
                <w14:ligatures w14:val="standardContextual"/>
              </w:rPr>
              <w:t>Roskovec</w:t>
            </w:r>
          </w:p>
        </w:tc>
        <w:tc>
          <w:tcPr>
            <w:tcW w:w="303" w:type="pct"/>
            <w:tcBorders>
              <w:top w:val="nil"/>
              <w:left w:val="single" w:sz="8" w:space="0" w:color="auto"/>
              <w:bottom w:val="nil"/>
              <w:right w:val="single" w:sz="8" w:space="0" w:color="auto"/>
            </w:tcBorders>
            <w:shd w:val="clear" w:color="auto" w:fill="F2F2F2" w:themeFill="background1" w:themeFillShade="F2"/>
            <w:noWrap/>
            <w:textDirection w:val="btLr"/>
            <w:vAlign w:val="center"/>
            <w:hideMark/>
          </w:tcPr>
          <w:p w:rsidR="00B63FAE" w:rsidRPr="00B63FAE" w:rsidRDefault="00B63FAE" w:rsidP="00B63FAE">
            <w:pPr>
              <w:spacing w:after="0" w:line="278" w:lineRule="auto"/>
              <w:ind w:left="113" w:right="113"/>
              <w:rPr>
                <w:rFonts w:ascii="Aptos Narrow" w:eastAsia="Aptos" w:hAnsi="Aptos Narrow" w:cs="Times New Roman"/>
                <w:b/>
                <w:bCs/>
                <w:color w:val="000000"/>
                <w:kern w:val="2"/>
                <w:sz w:val="14"/>
                <w:szCs w:val="14"/>
                <w:lang w:val="en-GB" w:eastAsia="en-GB"/>
                <w14:ligatures w14:val="standardContextual"/>
              </w:rPr>
            </w:pPr>
            <w:r w:rsidRPr="00B63FAE">
              <w:rPr>
                <w:rFonts w:ascii="Aptos Narrow" w:eastAsia="Aptos" w:hAnsi="Aptos Narrow" w:cs="Times New Roman"/>
                <w:b/>
                <w:bCs/>
                <w:color w:val="000000"/>
                <w:kern w:val="2"/>
                <w:sz w:val="14"/>
                <w:szCs w:val="14"/>
                <w:lang w:val="en-GB" w:eastAsia="en-GB"/>
                <w14:ligatures w14:val="standardContextual"/>
              </w:rPr>
              <w:t>Saranda</w:t>
            </w:r>
          </w:p>
        </w:tc>
        <w:tc>
          <w:tcPr>
            <w:tcW w:w="303" w:type="pct"/>
            <w:tcBorders>
              <w:top w:val="nil"/>
              <w:left w:val="single" w:sz="8" w:space="0" w:color="auto"/>
              <w:bottom w:val="nil"/>
              <w:right w:val="single" w:sz="8" w:space="0" w:color="auto"/>
            </w:tcBorders>
            <w:shd w:val="clear" w:color="auto" w:fill="F2F2F2" w:themeFill="background1" w:themeFillShade="F2"/>
            <w:noWrap/>
            <w:textDirection w:val="btLr"/>
            <w:vAlign w:val="center"/>
            <w:hideMark/>
          </w:tcPr>
          <w:p w:rsidR="00B63FAE" w:rsidRPr="00B63FAE" w:rsidRDefault="00B63FAE" w:rsidP="00B63FAE">
            <w:pPr>
              <w:spacing w:after="0" w:line="278" w:lineRule="auto"/>
              <w:ind w:left="113" w:right="113"/>
              <w:rPr>
                <w:rFonts w:ascii="Aptos Narrow" w:eastAsia="Aptos" w:hAnsi="Aptos Narrow" w:cs="Times New Roman"/>
                <w:b/>
                <w:bCs/>
                <w:color w:val="000000"/>
                <w:kern w:val="2"/>
                <w:sz w:val="14"/>
                <w:szCs w:val="14"/>
                <w:lang w:val="en-GB" w:eastAsia="en-GB"/>
                <w14:ligatures w14:val="standardContextual"/>
              </w:rPr>
            </w:pPr>
            <w:r w:rsidRPr="00B63FAE">
              <w:rPr>
                <w:rFonts w:ascii="Aptos Narrow" w:eastAsia="Aptos" w:hAnsi="Aptos Narrow" w:cs="Times New Roman"/>
                <w:b/>
                <w:bCs/>
                <w:color w:val="000000"/>
                <w:kern w:val="2"/>
                <w:sz w:val="14"/>
                <w:szCs w:val="14"/>
                <w:lang w:val="en-GB" w:eastAsia="en-GB"/>
                <w14:ligatures w14:val="standardContextual"/>
              </w:rPr>
              <w:t>Shkoder</w:t>
            </w:r>
          </w:p>
        </w:tc>
        <w:tc>
          <w:tcPr>
            <w:tcW w:w="302" w:type="pct"/>
            <w:tcBorders>
              <w:top w:val="nil"/>
              <w:left w:val="single" w:sz="8" w:space="0" w:color="auto"/>
              <w:bottom w:val="nil"/>
              <w:right w:val="single" w:sz="8" w:space="0" w:color="auto"/>
            </w:tcBorders>
            <w:shd w:val="clear" w:color="auto" w:fill="F2F2F2" w:themeFill="background1" w:themeFillShade="F2"/>
            <w:noWrap/>
            <w:textDirection w:val="btLr"/>
            <w:vAlign w:val="center"/>
            <w:hideMark/>
          </w:tcPr>
          <w:p w:rsidR="00B63FAE" w:rsidRPr="00B63FAE" w:rsidRDefault="00B63FAE" w:rsidP="00B63FAE">
            <w:pPr>
              <w:spacing w:after="0" w:line="278" w:lineRule="auto"/>
              <w:ind w:left="113" w:right="113"/>
              <w:rPr>
                <w:rFonts w:ascii="Aptos Narrow" w:eastAsia="Aptos" w:hAnsi="Aptos Narrow" w:cs="Times New Roman"/>
                <w:b/>
                <w:bCs/>
                <w:color w:val="000000"/>
                <w:kern w:val="2"/>
                <w:sz w:val="14"/>
                <w:szCs w:val="14"/>
                <w:lang w:val="en-GB" w:eastAsia="en-GB"/>
                <w14:ligatures w14:val="standardContextual"/>
              </w:rPr>
            </w:pPr>
            <w:r w:rsidRPr="00B63FAE">
              <w:rPr>
                <w:rFonts w:ascii="Aptos Narrow" w:eastAsia="Aptos" w:hAnsi="Aptos Narrow" w:cs="Times New Roman"/>
                <w:b/>
                <w:bCs/>
                <w:color w:val="000000"/>
                <w:kern w:val="2"/>
                <w:sz w:val="14"/>
                <w:szCs w:val="14"/>
                <w:lang w:val="en-GB" w:eastAsia="en-GB"/>
                <w14:ligatures w14:val="standardContextual"/>
              </w:rPr>
              <w:t>Prrenjas</w:t>
            </w:r>
          </w:p>
        </w:tc>
        <w:tc>
          <w:tcPr>
            <w:tcW w:w="303" w:type="pct"/>
            <w:tcBorders>
              <w:top w:val="nil"/>
              <w:left w:val="single" w:sz="8" w:space="0" w:color="auto"/>
              <w:bottom w:val="nil"/>
              <w:right w:val="single" w:sz="8" w:space="0" w:color="auto"/>
            </w:tcBorders>
            <w:shd w:val="clear" w:color="auto" w:fill="F2F2F2" w:themeFill="background1" w:themeFillShade="F2"/>
            <w:noWrap/>
            <w:textDirection w:val="btLr"/>
            <w:vAlign w:val="center"/>
            <w:hideMark/>
          </w:tcPr>
          <w:p w:rsidR="00B63FAE" w:rsidRPr="00B63FAE" w:rsidRDefault="00B63FAE" w:rsidP="00B63FAE">
            <w:pPr>
              <w:spacing w:after="0" w:line="278" w:lineRule="auto"/>
              <w:ind w:left="113" w:right="113"/>
              <w:rPr>
                <w:rFonts w:ascii="Aptos Narrow" w:eastAsia="Aptos" w:hAnsi="Aptos Narrow" w:cs="Times New Roman"/>
                <w:b/>
                <w:bCs/>
                <w:color w:val="000000"/>
                <w:kern w:val="2"/>
                <w:sz w:val="14"/>
                <w:szCs w:val="14"/>
                <w:lang w:val="en-GB" w:eastAsia="en-GB"/>
                <w14:ligatures w14:val="standardContextual"/>
              </w:rPr>
            </w:pPr>
            <w:r w:rsidRPr="00B63FAE">
              <w:rPr>
                <w:rFonts w:ascii="Aptos Narrow" w:eastAsia="Aptos" w:hAnsi="Aptos Narrow" w:cs="Times New Roman"/>
                <w:b/>
                <w:bCs/>
                <w:color w:val="000000"/>
                <w:kern w:val="2"/>
                <w:sz w:val="14"/>
                <w:szCs w:val="14"/>
                <w:lang w:val="en-GB" w:eastAsia="en-GB"/>
                <w14:ligatures w14:val="standardContextual"/>
              </w:rPr>
              <w:t>Pogradec</w:t>
            </w:r>
          </w:p>
        </w:tc>
        <w:tc>
          <w:tcPr>
            <w:tcW w:w="303" w:type="pct"/>
            <w:tcBorders>
              <w:top w:val="nil"/>
              <w:left w:val="single" w:sz="8" w:space="0" w:color="auto"/>
              <w:bottom w:val="nil"/>
              <w:right w:val="nil"/>
            </w:tcBorders>
            <w:shd w:val="clear" w:color="auto" w:fill="F2F2F2" w:themeFill="background1" w:themeFillShade="F2"/>
            <w:noWrap/>
            <w:textDirection w:val="btLr"/>
            <w:vAlign w:val="center"/>
            <w:hideMark/>
          </w:tcPr>
          <w:p w:rsidR="00B63FAE" w:rsidRPr="00B63FAE" w:rsidRDefault="00B63FAE" w:rsidP="00B63FAE">
            <w:pPr>
              <w:spacing w:after="0" w:line="278" w:lineRule="auto"/>
              <w:ind w:left="113" w:right="113"/>
              <w:rPr>
                <w:rFonts w:ascii="Aptos Narrow" w:eastAsia="Aptos" w:hAnsi="Aptos Narrow" w:cs="Times New Roman"/>
                <w:b/>
                <w:bCs/>
                <w:color w:val="000000"/>
                <w:kern w:val="2"/>
                <w:sz w:val="14"/>
                <w:szCs w:val="14"/>
                <w:lang w:val="en-GB" w:eastAsia="en-GB"/>
                <w14:ligatures w14:val="standardContextual"/>
              </w:rPr>
            </w:pPr>
            <w:r w:rsidRPr="00B63FAE">
              <w:rPr>
                <w:rFonts w:ascii="Aptos Narrow" w:eastAsia="Aptos" w:hAnsi="Aptos Narrow" w:cs="Times New Roman"/>
                <w:b/>
                <w:bCs/>
                <w:color w:val="000000"/>
                <w:kern w:val="2"/>
                <w:sz w:val="14"/>
                <w:szCs w:val="14"/>
                <w:lang w:val="en-GB" w:eastAsia="en-GB"/>
                <w14:ligatures w14:val="standardContextual"/>
              </w:rPr>
              <w:t>Tepelene</w:t>
            </w:r>
          </w:p>
        </w:tc>
      </w:tr>
      <w:tr w:rsidR="00B63FAE" w:rsidRPr="00B63FAE" w:rsidTr="00B63FAE">
        <w:trPr>
          <w:trHeight w:val="510"/>
        </w:trPr>
        <w:tc>
          <w:tcPr>
            <w:tcW w:w="611" w:type="pct"/>
            <w:vAlign w:val="center"/>
            <w:hideMark/>
          </w:tcPr>
          <w:p w:rsidR="00B63FAE" w:rsidRPr="00B63FAE" w:rsidRDefault="00B63FAE" w:rsidP="00B63FAE">
            <w:pPr>
              <w:spacing w:after="0" w:line="278" w:lineRule="auto"/>
              <w:rPr>
                <w:rFonts w:ascii="Times New Roman" w:eastAsia="Aptos" w:hAnsi="Times New Roman" w:cs="Times New Roman"/>
                <w:color w:val="000000"/>
                <w:kern w:val="2"/>
                <w:sz w:val="14"/>
                <w:szCs w:val="14"/>
                <w:lang w:val="en-GB"/>
                <w14:ligatures w14:val="standardContextual"/>
              </w:rPr>
            </w:pPr>
            <w:r w:rsidRPr="00B63FAE">
              <w:rPr>
                <w:rFonts w:ascii="Times New Roman" w:eastAsia="Aptos" w:hAnsi="Times New Roman" w:cs="Times New Roman"/>
                <w:color w:val="000000"/>
                <w:kern w:val="2"/>
                <w:sz w:val="14"/>
                <w:szCs w:val="14"/>
                <w:lang w:val="en-GB"/>
                <w14:ligatures w14:val="standardContextual"/>
              </w:rPr>
              <w:t>Treguesi C1. Mbulimi i shërbimit të menaxhimit të mbetjeve (%)</w:t>
            </w:r>
          </w:p>
        </w:tc>
        <w:tc>
          <w:tcPr>
            <w:tcW w:w="272" w:type="pct"/>
            <w:tcBorders>
              <w:top w:val="single" w:sz="8" w:space="0" w:color="auto"/>
              <w:left w:val="nil"/>
              <w:bottom w:val="single" w:sz="4"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46.8%</w:t>
            </w:r>
          </w:p>
        </w:tc>
        <w:tc>
          <w:tcPr>
            <w:tcW w:w="303" w:type="pct"/>
            <w:tcBorders>
              <w:top w:val="single" w:sz="8" w:space="0" w:color="auto"/>
              <w:left w:val="single" w:sz="8" w:space="0" w:color="auto"/>
              <w:bottom w:val="single" w:sz="4" w:space="0" w:color="auto"/>
              <w:right w:val="single" w:sz="8" w:space="0" w:color="auto"/>
            </w:tcBorders>
            <w:shd w:val="clear" w:color="000000" w:fill="BAD780"/>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96.3%</w:t>
            </w:r>
          </w:p>
        </w:tc>
        <w:tc>
          <w:tcPr>
            <w:tcW w:w="291" w:type="pct"/>
            <w:tcBorders>
              <w:top w:val="single" w:sz="8" w:space="0" w:color="auto"/>
              <w:left w:val="single" w:sz="8" w:space="0" w:color="auto"/>
              <w:bottom w:val="single" w:sz="4" w:space="0" w:color="auto"/>
              <w:right w:val="single" w:sz="8" w:space="0" w:color="auto"/>
            </w:tcBorders>
            <w:shd w:val="clear" w:color="000000" w:fill="D5DF82"/>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94.5%</w:t>
            </w:r>
          </w:p>
        </w:tc>
        <w:tc>
          <w:tcPr>
            <w:tcW w:w="275" w:type="pct"/>
            <w:tcBorders>
              <w:top w:val="single" w:sz="8" w:space="0" w:color="auto"/>
              <w:left w:val="single" w:sz="8" w:space="0" w:color="auto"/>
              <w:bottom w:val="single" w:sz="4" w:space="0" w:color="auto"/>
              <w:right w:val="single" w:sz="8" w:space="0" w:color="auto"/>
            </w:tcBorders>
            <w:shd w:val="clear" w:color="000000" w:fill="F98D72"/>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59.5%</w:t>
            </w:r>
          </w:p>
        </w:tc>
        <w:tc>
          <w:tcPr>
            <w:tcW w:w="311" w:type="pct"/>
            <w:tcBorders>
              <w:top w:val="single" w:sz="8" w:space="0" w:color="auto"/>
              <w:left w:val="single" w:sz="8" w:space="0" w:color="auto"/>
              <w:bottom w:val="single" w:sz="4" w:space="0" w:color="auto"/>
              <w:right w:val="single" w:sz="8" w:space="0" w:color="auto"/>
            </w:tcBorders>
            <w:shd w:val="clear" w:color="000000" w:fill="B9D780"/>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96.4%</w:t>
            </w:r>
          </w:p>
        </w:tc>
        <w:tc>
          <w:tcPr>
            <w:tcW w:w="303" w:type="pct"/>
            <w:tcBorders>
              <w:top w:val="single" w:sz="8" w:space="0" w:color="auto"/>
              <w:left w:val="single" w:sz="8" w:space="0" w:color="auto"/>
              <w:bottom w:val="single" w:sz="4" w:space="0" w:color="auto"/>
              <w:right w:val="single" w:sz="8" w:space="0" w:color="auto"/>
            </w:tcBorders>
            <w:shd w:val="clear" w:color="000000" w:fill="FCBC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75.7%</w:t>
            </w:r>
          </w:p>
        </w:tc>
        <w:tc>
          <w:tcPr>
            <w:tcW w:w="272" w:type="pct"/>
            <w:tcBorders>
              <w:top w:val="single" w:sz="8" w:space="0" w:color="auto"/>
              <w:left w:val="single" w:sz="8" w:space="0" w:color="auto"/>
              <w:bottom w:val="single" w:sz="4" w:space="0" w:color="auto"/>
              <w:right w:val="single" w:sz="8" w:space="0" w:color="auto"/>
            </w:tcBorders>
            <w:shd w:val="clear" w:color="000000" w:fill="A6D27F"/>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97.7%</w:t>
            </w:r>
          </w:p>
        </w:tc>
        <w:tc>
          <w:tcPr>
            <w:tcW w:w="272" w:type="pct"/>
            <w:tcBorders>
              <w:top w:val="single" w:sz="8" w:space="0" w:color="auto"/>
              <w:left w:val="single" w:sz="8" w:space="0" w:color="auto"/>
              <w:bottom w:val="single" w:sz="4" w:space="0" w:color="auto"/>
              <w:right w:val="single" w:sz="8" w:space="0" w:color="auto"/>
            </w:tcBorders>
            <w:shd w:val="clear" w:color="000000" w:fill="FEDA80"/>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86.0%</w:t>
            </w:r>
          </w:p>
        </w:tc>
        <w:tc>
          <w:tcPr>
            <w:tcW w:w="303" w:type="pct"/>
            <w:tcBorders>
              <w:top w:val="single" w:sz="8" w:space="0" w:color="auto"/>
              <w:left w:val="single" w:sz="8" w:space="0" w:color="auto"/>
              <w:bottom w:val="single" w:sz="4"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91.5%</w:t>
            </w:r>
          </w:p>
        </w:tc>
        <w:tc>
          <w:tcPr>
            <w:tcW w:w="272" w:type="pct"/>
            <w:tcBorders>
              <w:top w:val="single" w:sz="8" w:space="0" w:color="auto"/>
              <w:left w:val="single" w:sz="8" w:space="0" w:color="auto"/>
              <w:bottom w:val="single" w:sz="4" w:space="0" w:color="auto"/>
              <w:right w:val="single" w:sz="8" w:space="0" w:color="auto"/>
            </w:tcBorders>
            <w:shd w:val="clear" w:color="000000" w:fill="FBEA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91.9%</w:t>
            </w:r>
          </w:p>
        </w:tc>
        <w:tc>
          <w:tcPr>
            <w:tcW w:w="303" w:type="pct"/>
            <w:tcBorders>
              <w:top w:val="single" w:sz="8" w:space="0" w:color="auto"/>
              <w:left w:val="single" w:sz="8" w:space="0" w:color="auto"/>
              <w:bottom w:val="single" w:sz="4" w:space="0" w:color="auto"/>
              <w:right w:val="single" w:sz="8" w:space="0" w:color="auto"/>
            </w:tcBorders>
            <w:shd w:val="clear" w:color="000000" w:fill="B1D580"/>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96.9%</w:t>
            </w:r>
          </w:p>
        </w:tc>
        <w:tc>
          <w:tcPr>
            <w:tcW w:w="303" w:type="pct"/>
            <w:tcBorders>
              <w:top w:val="single" w:sz="8"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102.3%</w:t>
            </w:r>
          </w:p>
        </w:tc>
        <w:tc>
          <w:tcPr>
            <w:tcW w:w="302" w:type="pct"/>
            <w:tcBorders>
              <w:top w:val="single" w:sz="8" w:space="0" w:color="auto"/>
              <w:left w:val="single" w:sz="8" w:space="0" w:color="auto"/>
              <w:bottom w:val="single" w:sz="4" w:space="0" w:color="auto"/>
              <w:right w:val="single" w:sz="8" w:space="0" w:color="auto"/>
            </w:tcBorders>
            <w:shd w:val="clear" w:color="000000" w:fill="FCBB7A"/>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75.3%</w:t>
            </w:r>
          </w:p>
        </w:tc>
        <w:tc>
          <w:tcPr>
            <w:tcW w:w="303" w:type="pct"/>
            <w:tcBorders>
              <w:top w:val="single" w:sz="8" w:space="0" w:color="auto"/>
              <w:left w:val="single" w:sz="8" w:space="0" w:color="auto"/>
              <w:bottom w:val="single" w:sz="4" w:space="0" w:color="auto"/>
              <w:right w:val="single" w:sz="8" w:space="0" w:color="auto"/>
            </w:tcBorders>
            <w:shd w:val="clear" w:color="000000" w:fill="FDD780"/>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84.8%</w:t>
            </w:r>
          </w:p>
        </w:tc>
        <w:tc>
          <w:tcPr>
            <w:tcW w:w="303" w:type="pct"/>
            <w:tcBorders>
              <w:top w:val="single" w:sz="8" w:space="0" w:color="auto"/>
              <w:left w:val="single" w:sz="8" w:space="0" w:color="auto"/>
              <w:bottom w:val="single" w:sz="4" w:space="0" w:color="auto"/>
              <w:right w:val="nil"/>
            </w:tcBorders>
            <w:shd w:val="clear" w:color="000000" w:fill="FEE582"/>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89.6%</w:t>
            </w:r>
          </w:p>
        </w:tc>
      </w:tr>
      <w:tr w:rsidR="00B63FAE" w:rsidRPr="00B63FAE" w:rsidTr="00B63FAE">
        <w:trPr>
          <w:trHeight w:val="510"/>
        </w:trPr>
        <w:tc>
          <w:tcPr>
            <w:tcW w:w="611" w:type="pct"/>
            <w:vAlign w:val="center"/>
            <w:hideMark/>
          </w:tcPr>
          <w:p w:rsidR="00B63FAE" w:rsidRPr="00B63FAE" w:rsidRDefault="00B63FAE" w:rsidP="00B63FAE">
            <w:pPr>
              <w:spacing w:after="0" w:line="278" w:lineRule="auto"/>
              <w:rPr>
                <w:rFonts w:ascii="Times New Roman" w:eastAsia="Aptos" w:hAnsi="Times New Roman" w:cs="Times New Roman"/>
                <w:color w:val="000000"/>
                <w:kern w:val="2"/>
                <w:sz w:val="14"/>
                <w:szCs w:val="14"/>
                <w:lang w:val="es-ES"/>
                <w14:ligatures w14:val="standardContextual"/>
              </w:rPr>
            </w:pPr>
            <w:r w:rsidRPr="00B63FAE">
              <w:rPr>
                <w:rFonts w:ascii="Times New Roman" w:eastAsia="Aptos" w:hAnsi="Times New Roman" w:cs="Times New Roman"/>
                <w:color w:val="000000"/>
                <w:kern w:val="2"/>
                <w:sz w:val="14"/>
                <w:szCs w:val="14"/>
                <w:lang w:val="es-ES"/>
                <w14:ligatures w14:val="standardContextual"/>
              </w:rPr>
              <w:t>Treguesi C2. Pastërtia e territorit</w:t>
            </w:r>
          </w:p>
        </w:tc>
        <w:tc>
          <w:tcPr>
            <w:tcW w:w="272" w:type="pct"/>
            <w:tcBorders>
              <w:top w:val="single" w:sz="4" w:space="0" w:color="auto"/>
              <w:left w:val="nil"/>
              <w:bottom w:val="single" w:sz="4" w:space="0" w:color="auto"/>
              <w:right w:val="single" w:sz="8" w:space="0" w:color="auto"/>
            </w:tcBorders>
            <w:shd w:val="clear" w:color="000000" w:fill="FCBF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60.0%</w:t>
            </w:r>
          </w:p>
        </w:tc>
        <w:tc>
          <w:tcPr>
            <w:tcW w:w="303" w:type="pct"/>
            <w:tcBorders>
              <w:top w:val="single" w:sz="4" w:space="0" w:color="auto"/>
              <w:left w:val="single" w:sz="8" w:space="0" w:color="auto"/>
              <w:bottom w:val="single" w:sz="4" w:space="0" w:color="auto"/>
              <w:right w:val="single" w:sz="8" w:space="0" w:color="auto"/>
            </w:tcBorders>
            <w:shd w:val="clear" w:color="000000" w:fill="FA9473"/>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50.0%</w:t>
            </w:r>
          </w:p>
        </w:tc>
        <w:tc>
          <w:tcPr>
            <w:tcW w:w="291"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85.0%</w:t>
            </w:r>
          </w:p>
        </w:tc>
        <w:tc>
          <w:tcPr>
            <w:tcW w:w="275" w:type="pct"/>
            <w:tcBorders>
              <w:top w:val="single" w:sz="4" w:space="0" w:color="auto"/>
              <w:left w:val="single" w:sz="8" w:space="0" w:color="auto"/>
              <w:bottom w:val="single" w:sz="4" w:space="0" w:color="auto"/>
              <w:right w:val="single" w:sz="8" w:space="0" w:color="auto"/>
            </w:tcBorders>
            <w:shd w:val="clear" w:color="000000" w:fill="FDD57F"/>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65.0%</w:t>
            </w:r>
          </w:p>
        </w:tc>
        <w:tc>
          <w:tcPr>
            <w:tcW w:w="311"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85.0%</w:t>
            </w:r>
          </w:p>
        </w:tc>
        <w:tc>
          <w:tcPr>
            <w:tcW w:w="303" w:type="pct"/>
            <w:tcBorders>
              <w:top w:val="single" w:sz="4" w:space="0" w:color="auto"/>
              <w:left w:val="single" w:sz="8" w:space="0" w:color="auto"/>
              <w:bottom w:val="single" w:sz="4"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40.0%</w:t>
            </w:r>
          </w:p>
        </w:tc>
        <w:tc>
          <w:tcPr>
            <w:tcW w:w="272" w:type="pct"/>
            <w:tcBorders>
              <w:top w:val="single" w:sz="4" w:space="0" w:color="auto"/>
              <w:left w:val="single" w:sz="8" w:space="0" w:color="auto"/>
              <w:bottom w:val="single" w:sz="4"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70.0%</w:t>
            </w:r>
          </w:p>
        </w:tc>
        <w:tc>
          <w:tcPr>
            <w:tcW w:w="272" w:type="pct"/>
            <w:tcBorders>
              <w:top w:val="single" w:sz="4" w:space="0" w:color="auto"/>
              <w:left w:val="single" w:sz="8" w:space="0" w:color="auto"/>
              <w:bottom w:val="single" w:sz="4" w:space="0" w:color="auto"/>
              <w:right w:val="single" w:sz="8" w:space="0" w:color="auto"/>
            </w:tcBorders>
            <w:shd w:val="clear" w:color="000000" w:fill="CBDC81"/>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75.0%</w:t>
            </w:r>
          </w:p>
        </w:tc>
        <w:tc>
          <w:tcPr>
            <w:tcW w:w="303" w:type="pct"/>
            <w:tcBorders>
              <w:top w:val="single" w:sz="4" w:space="0" w:color="auto"/>
              <w:left w:val="single" w:sz="8" w:space="0" w:color="auto"/>
              <w:bottom w:val="single" w:sz="4" w:space="0" w:color="auto"/>
              <w:right w:val="single" w:sz="8" w:space="0" w:color="auto"/>
            </w:tcBorders>
            <w:shd w:val="clear" w:color="000000" w:fill="CBDC81"/>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75.0%</w:t>
            </w:r>
          </w:p>
        </w:tc>
        <w:tc>
          <w:tcPr>
            <w:tcW w:w="272" w:type="pct"/>
            <w:tcBorders>
              <w:top w:val="single" w:sz="4" w:space="0" w:color="auto"/>
              <w:left w:val="single" w:sz="8" w:space="0" w:color="auto"/>
              <w:bottom w:val="single" w:sz="4"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70.0%</w:t>
            </w:r>
          </w:p>
        </w:tc>
        <w:tc>
          <w:tcPr>
            <w:tcW w:w="303" w:type="pct"/>
            <w:tcBorders>
              <w:top w:val="single" w:sz="4" w:space="0" w:color="auto"/>
              <w:left w:val="single" w:sz="8" w:space="0" w:color="auto"/>
              <w:bottom w:val="single" w:sz="4"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70.0%</w:t>
            </w:r>
          </w:p>
        </w:tc>
        <w:tc>
          <w:tcPr>
            <w:tcW w:w="303" w:type="pct"/>
            <w:tcBorders>
              <w:top w:val="single" w:sz="4" w:space="0" w:color="auto"/>
              <w:left w:val="single" w:sz="8" w:space="0" w:color="auto"/>
              <w:bottom w:val="single" w:sz="4" w:space="0" w:color="auto"/>
              <w:right w:val="single" w:sz="8" w:space="0" w:color="auto"/>
            </w:tcBorders>
            <w:shd w:val="clear" w:color="000000" w:fill="97CD7E"/>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80.0%</w:t>
            </w:r>
          </w:p>
        </w:tc>
        <w:tc>
          <w:tcPr>
            <w:tcW w:w="302" w:type="pct"/>
            <w:tcBorders>
              <w:top w:val="single" w:sz="4" w:space="0" w:color="auto"/>
              <w:left w:val="single" w:sz="8" w:space="0" w:color="auto"/>
              <w:bottom w:val="single" w:sz="4"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70.0%</w:t>
            </w:r>
          </w:p>
        </w:tc>
        <w:tc>
          <w:tcPr>
            <w:tcW w:w="303" w:type="pct"/>
            <w:tcBorders>
              <w:top w:val="single" w:sz="4" w:space="0" w:color="auto"/>
              <w:left w:val="single" w:sz="8" w:space="0" w:color="auto"/>
              <w:bottom w:val="single" w:sz="4"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70.0%</w:t>
            </w:r>
          </w:p>
        </w:tc>
        <w:tc>
          <w:tcPr>
            <w:tcW w:w="303" w:type="pct"/>
            <w:tcBorders>
              <w:top w:val="single" w:sz="4" w:space="0" w:color="auto"/>
              <w:left w:val="single" w:sz="8" w:space="0" w:color="auto"/>
              <w:bottom w:val="single" w:sz="4" w:space="0" w:color="auto"/>
              <w:right w:val="nil"/>
            </w:tcBorders>
            <w:shd w:val="clear" w:color="000000" w:fill="CBDC81"/>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75.0%</w:t>
            </w:r>
          </w:p>
        </w:tc>
      </w:tr>
      <w:tr w:rsidR="00B63FAE" w:rsidRPr="00B63FAE" w:rsidTr="00B63FAE">
        <w:trPr>
          <w:trHeight w:val="510"/>
        </w:trPr>
        <w:tc>
          <w:tcPr>
            <w:tcW w:w="611" w:type="pct"/>
            <w:vAlign w:val="center"/>
            <w:hideMark/>
          </w:tcPr>
          <w:p w:rsidR="00B63FAE" w:rsidRPr="00B63FAE" w:rsidRDefault="00B63FAE" w:rsidP="00B63FAE">
            <w:pPr>
              <w:spacing w:after="0" w:line="278" w:lineRule="auto"/>
              <w:rPr>
                <w:rFonts w:ascii="Times New Roman" w:eastAsia="Aptos" w:hAnsi="Times New Roman" w:cs="Times New Roman"/>
                <w:color w:val="000000"/>
                <w:kern w:val="2"/>
                <w:sz w:val="14"/>
                <w:szCs w:val="14"/>
                <w:lang w:val="en-GB"/>
                <w14:ligatures w14:val="standardContextual"/>
              </w:rPr>
            </w:pPr>
            <w:r w:rsidRPr="00B63FAE">
              <w:rPr>
                <w:rFonts w:ascii="Times New Roman" w:eastAsia="Aptos" w:hAnsi="Times New Roman" w:cs="Times New Roman"/>
                <w:color w:val="000000"/>
                <w:kern w:val="2"/>
                <w:sz w:val="14"/>
                <w:szCs w:val="14"/>
                <w:lang w:val="en-GB"/>
                <w14:ligatures w14:val="standardContextual"/>
              </w:rPr>
              <w:lastRenderedPageBreak/>
              <w:t>Treguesi C3. Kënaqësia e publikut ndaj ofrimit të shërbimit</w:t>
            </w:r>
          </w:p>
        </w:tc>
        <w:tc>
          <w:tcPr>
            <w:tcW w:w="272" w:type="pct"/>
            <w:tcBorders>
              <w:top w:val="single" w:sz="4" w:space="0" w:color="auto"/>
              <w:left w:val="nil"/>
              <w:bottom w:val="single" w:sz="4" w:space="0" w:color="auto"/>
              <w:right w:val="single" w:sz="8" w:space="0" w:color="auto"/>
            </w:tcBorders>
            <w:shd w:val="clear" w:color="000000" w:fill="FDCA7D"/>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73.3%</w:t>
            </w:r>
          </w:p>
        </w:tc>
        <w:tc>
          <w:tcPr>
            <w:tcW w:w="303" w:type="pct"/>
            <w:tcBorders>
              <w:top w:val="single" w:sz="4" w:space="0" w:color="auto"/>
              <w:left w:val="single" w:sz="8" w:space="0" w:color="auto"/>
              <w:bottom w:val="single" w:sz="4" w:space="0" w:color="auto"/>
              <w:right w:val="single" w:sz="8" w:space="0" w:color="auto"/>
            </w:tcBorders>
            <w:shd w:val="clear" w:color="000000" w:fill="FEDC81"/>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82.4%</w:t>
            </w:r>
          </w:p>
        </w:tc>
        <w:tc>
          <w:tcPr>
            <w:tcW w:w="291" w:type="pct"/>
            <w:tcBorders>
              <w:top w:val="single" w:sz="4" w:space="0" w:color="auto"/>
              <w:left w:val="single" w:sz="8" w:space="0" w:color="auto"/>
              <w:bottom w:val="single" w:sz="4"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89.6%</w:t>
            </w:r>
          </w:p>
        </w:tc>
        <w:tc>
          <w:tcPr>
            <w:tcW w:w="275" w:type="pct"/>
            <w:tcBorders>
              <w:top w:val="single" w:sz="4" w:space="0" w:color="auto"/>
              <w:left w:val="single" w:sz="8" w:space="0" w:color="auto"/>
              <w:bottom w:val="single" w:sz="4" w:space="0" w:color="auto"/>
              <w:right w:val="single" w:sz="8" w:space="0" w:color="auto"/>
            </w:tcBorders>
            <w:shd w:val="clear" w:color="000000" w:fill="FBAF78"/>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60.0%</w:t>
            </w:r>
          </w:p>
        </w:tc>
        <w:tc>
          <w:tcPr>
            <w:tcW w:w="311" w:type="pct"/>
            <w:tcBorders>
              <w:top w:val="single" w:sz="4" w:space="0" w:color="auto"/>
              <w:left w:val="single" w:sz="8" w:space="0" w:color="auto"/>
              <w:bottom w:val="single" w:sz="4" w:space="0" w:color="auto"/>
              <w:right w:val="single" w:sz="8" w:space="0" w:color="auto"/>
            </w:tcBorders>
            <w:shd w:val="clear" w:color="000000" w:fill="FBAF78"/>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60.0%</w:t>
            </w:r>
          </w:p>
        </w:tc>
        <w:tc>
          <w:tcPr>
            <w:tcW w:w="303" w:type="pct"/>
            <w:tcBorders>
              <w:top w:val="single" w:sz="4" w:space="0" w:color="auto"/>
              <w:left w:val="single" w:sz="8" w:space="0" w:color="auto"/>
              <w:bottom w:val="single" w:sz="4"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25.0%</w:t>
            </w:r>
          </w:p>
        </w:tc>
        <w:tc>
          <w:tcPr>
            <w:tcW w:w="272"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100.0%</w:t>
            </w:r>
          </w:p>
        </w:tc>
        <w:tc>
          <w:tcPr>
            <w:tcW w:w="272"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100.0%</w:t>
            </w:r>
          </w:p>
        </w:tc>
        <w:tc>
          <w:tcPr>
            <w:tcW w:w="303"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100.0%</w:t>
            </w:r>
          </w:p>
        </w:tc>
        <w:tc>
          <w:tcPr>
            <w:tcW w:w="272"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100.0%</w:t>
            </w:r>
          </w:p>
        </w:tc>
        <w:tc>
          <w:tcPr>
            <w:tcW w:w="303" w:type="pct"/>
            <w:tcBorders>
              <w:top w:val="single" w:sz="4" w:space="0" w:color="auto"/>
              <w:left w:val="single" w:sz="8" w:space="0" w:color="auto"/>
              <w:bottom w:val="single" w:sz="4" w:space="0" w:color="auto"/>
              <w:right w:val="single" w:sz="8" w:space="0" w:color="auto"/>
            </w:tcBorders>
            <w:shd w:val="clear" w:color="000000" w:fill="FEE883"/>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88.2%</w:t>
            </w:r>
          </w:p>
        </w:tc>
        <w:tc>
          <w:tcPr>
            <w:tcW w:w="303"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100.0%</w:t>
            </w:r>
          </w:p>
        </w:tc>
        <w:tc>
          <w:tcPr>
            <w:tcW w:w="302"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100.0%</w:t>
            </w:r>
          </w:p>
        </w:tc>
        <w:tc>
          <w:tcPr>
            <w:tcW w:w="303" w:type="pct"/>
            <w:tcBorders>
              <w:top w:val="single" w:sz="4" w:space="0" w:color="auto"/>
              <w:left w:val="single" w:sz="8" w:space="0" w:color="auto"/>
              <w:bottom w:val="single" w:sz="4" w:space="0" w:color="auto"/>
              <w:right w:val="single" w:sz="8" w:space="0" w:color="auto"/>
            </w:tcBorders>
            <w:shd w:val="clear" w:color="000000" w:fill="C4DA81"/>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93.5%</w:t>
            </w:r>
          </w:p>
        </w:tc>
        <w:tc>
          <w:tcPr>
            <w:tcW w:w="303" w:type="pct"/>
            <w:tcBorders>
              <w:top w:val="single" w:sz="4" w:space="0" w:color="auto"/>
              <w:left w:val="single" w:sz="8" w:space="0" w:color="auto"/>
              <w:bottom w:val="single" w:sz="4" w:space="0" w:color="auto"/>
              <w:right w:val="nil"/>
            </w:tcBorders>
            <w:shd w:val="clear" w:color="000000" w:fill="FBAF78"/>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60.0%</w:t>
            </w:r>
          </w:p>
        </w:tc>
      </w:tr>
      <w:tr w:rsidR="00B63FAE" w:rsidRPr="00B63FAE" w:rsidTr="00B63FAE">
        <w:trPr>
          <w:trHeight w:val="510"/>
        </w:trPr>
        <w:tc>
          <w:tcPr>
            <w:tcW w:w="611" w:type="pct"/>
            <w:vAlign w:val="center"/>
            <w:hideMark/>
          </w:tcPr>
          <w:p w:rsidR="00B63FAE" w:rsidRPr="00B63FAE" w:rsidRDefault="00B63FAE" w:rsidP="00B63FAE">
            <w:pPr>
              <w:spacing w:after="0" w:line="278" w:lineRule="auto"/>
              <w:rPr>
                <w:rFonts w:ascii="Times New Roman" w:eastAsia="Aptos" w:hAnsi="Times New Roman" w:cs="Times New Roman"/>
                <w:color w:val="000000"/>
                <w:kern w:val="2"/>
                <w:sz w:val="14"/>
                <w:szCs w:val="14"/>
                <w:lang w:val="es-ES"/>
                <w14:ligatures w14:val="standardContextual"/>
              </w:rPr>
            </w:pPr>
            <w:r w:rsidRPr="00B63FAE">
              <w:rPr>
                <w:rFonts w:ascii="Times New Roman" w:eastAsia="Aptos" w:hAnsi="Times New Roman" w:cs="Times New Roman"/>
                <w:color w:val="000000"/>
                <w:kern w:val="2"/>
                <w:sz w:val="14"/>
                <w:szCs w:val="14"/>
                <w:lang w:val="es-ES"/>
                <w14:ligatures w14:val="standardContextual"/>
              </w:rPr>
              <w:t>Treguesi D1. Mbetjet e grumbulluara të ndara në burim</w:t>
            </w:r>
          </w:p>
        </w:tc>
        <w:tc>
          <w:tcPr>
            <w:tcW w:w="272" w:type="pct"/>
            <w:tcBorders>
              <w:top w:val="single" w:sz="4" w:space="0" w:color="auto"/>
              <w:left w:val="nil"/>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34.4%</w:t>
            </w:r>
          </w:p>
        </w:tc>
        <w:tc>
          <w:tcPr>
            <w:tcW w:w="303" w:type="pct"/>
            <w:tcBorders>
              <w:top w:val="single" w:sz="4" w:space="0" w:color="auto"/>
              <w:left w:val="single" w:sz="8" w:space="0" w:color="auto"/>
              <w:bottom w:val="single" w:sz="4" w:space="0" w:color="auto"/>
              <w:right w:val="single" w:sz="8" w:space="0" w:color="auto"/>
            </w:tcBorders>
            <w:shd w:val="clear" w:color="000000" w:fill="B1D580"/>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17.3%</w:t>
            </w:r>
          </w:p>
        </w:tc>
        <w:tc>
          <w:tcPr>
            <w:tcW w:w="291" w:type="pct"/>
            <w:tcBorders>
              <w:top w:val="single" w:sz="4" w:space="0" w:color="auto"/>
              <w:left w:val="single" w:sz="8" w:space="0" w:color="auto"/>
              <w:bottom w:val="single" w:sz="4"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0.0%</w:t>
            </w:r>
          </w:p>
        </w:tc>
        <w:tc>
          <w:tcPr>
            <w:tcW w:w="275" w:type="pct"/>
            <w:tcBorders>
              <w:top w:val="single" w:sz="4" w:space="0" w:color="auto"/>
              <w:left w:val="single" w:sz="8" w:space="0" w:color="auto"/>
              <w:bottom w:val="single" w:sz="4"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0.0%</w:t>
            </w:r>
          </w:p>
        </w:tc>
        <w:tc>
          <w:tcPr>
            <w:tcW w:w="311" w:type="pct"/>
            <w:tcBorders>
              <w:top w:val="single" w:sz="4" w:space="0" w:color="auto"/>
              <w:left w:val="single" w:sz="8" w:space="0" w:color="auto"/>
              <w:bottom w:val="single" w:sz="4"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0.1%</w:t>
            </w:r>
          </w:p>
        </w:tc>
        <w:tc>
          <w:tcPr>
            <w:tcW w:w="303" w:type="pct"/>
            <w:tcBorders>
              <w:top w:val="single" w:sz="4" w:space="0" w:color="auto"/>
              <w:left w:val="single" w:sz="8" w:space="0" w:color="auto"/>
              <w:bottom w:val="single" w:sz="4"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0.0%</w:t>
            </w:r>
          </w:p>
        </w:tc>
        <w:tc>
          <w:tcPr>
            <w:tcW w:w="272" w:type="pct"/>
            <w:tcBorders>
              <w:top w:val="single" w:sz="4" w:space="0" w:color="auto"/>
              <w:left w:val="single" w:sz="8" w:space="0" w:color="auto"/>
              <w:bottom w:val="single" w:sz="4"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0.0%</w:t>
            </w:r>
          </w:p>
        </w:tc>
        <w:tc>
          <w:tcPr>
            <w:tcW w:w="272" w:type="pct"/>
            <w:tcBorders>
              <w:top w:val="single" w:sz="4" w:space="0" w:color="auto"/>
              <w:left w:val="single" w:sz="8" w:space="0" w:color="auto"/>
              <w:bottom w:val="single" w:sz="4"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0.0%</w:t>
            </w:r>
          </w:p>
        </w:tc>
        <w:tc>
          <w:tcPr>
            <w:tcW w:w="303" w:type="pct"/>
            <w:tcBorders>
              <w:top w:val="single" w:sz="4" w:space="0" w:color="auto"/>
              <w:left w:val="single" w:sz="8" w:space="0" w:color="auto"/>
              <w:bottom w:val="single" w:sz="4"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0.1%</w:t>
            </w:r>
          </w:p>
        </w:tc>
        <w:tc>
          <w:tcPr>
            <w:tcW w:w="272" w:type="pct"/>
            <w:tcBorders>
              <w:top w:val="single" w:sz="4" w:space="0" w:color="auto"/>
              <w:left w:val="single" w:sz="8" w:space="0" w:color="auto"/>
              <w:bottom w:val="single" w:sz="4" w:space="0" w:color="auto"/>
              <w:right w:val="single" w:sz="8" w:space="0" w:color="auto"/>
            </w:tcBorders>
            <w:shd w:val="clear" w:color="000000" w:fill="A4D17F"/>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20.2%</w:t>
            </w:r>
          </w:p>
        </w:tc>
        <w:tc>
          <w:tcPr>
            <w:tcW w:w="303" w:type="pct"/>
            <w:tcBorders>
              <w:top w:val="single" w:sz="4" w:space="0" w:color="auto"/>
              <w:left w:val="single" w:sz="8" w:space="0" w:color="auto"/>
              <w:bottom w:val="single" w:sz="4" w:space="0" w:color="auto"/>
              <w:right w:val="single" w:sz="8" w:space="0" w:color="auto"/>
            </w:tcBorders>
            <w:shd w:val="clear" w:color="000000" w:fill="FD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0.5%</w:t>
            </w:r>
          </w:p>
        </w:tc>
        <w:tc>
          <w:tcPr>
            <w:tcW w:w="303" w:type="pct"/>
            <w:tcBorders>
              <w:top w:val="single" w:sz="4" w:space="0" w:color="auto"/>
              <w:left w:val="single" w:sz="8" w:space="0" w:color="auto"/>
              <w:bottom w:val="single" w:sz="4"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0.0%</w:t>
            </w:r>
          </w:p>
        </w:tc>
        <w:tc>
          <w:tcPr>
            <w:tcW w:w="302" w:type="pct"/>
            <w:tcBorders>
              <w:top w:val="single" w:sz="4" w:space="0" w:color="auto"/>
              <w:left w:val="single" w:sz="8" w:space="0" w:color="auto"/>
              <w:bottom w:val="single" w:sz="4" w:space="0" w:color="auto"/>
              <w:right w:val="single" w:sz="8" w:space="0" w:color="auto"/>
            </w:tcBorders>
            <w:shd w:val="clear" w:color="000000" w:fill="FE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0.4%</w:t>
            </w:r>
          </w:p>
        </w:tc>
        <w:tc>
          <w:tcPr>
            <w:tcW w:w="303" w:type="pct"/>
            <w:tcBorders>
              <w:top w:val="single" w:sz="4" w:space="0" w:color="auto"/>
              <w:left w:val="single" w:sz="8" w:space="0" w:color="auto"/>
              <w:bottom w:val="single" w:sz="4"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0.0%</w:t>
            </w:r>
          </w:p>
        </w:tc>
        <w:tc>
          <w:tcPr>
            <w:tcW w:w="303" w:type="pct"/>
            <w:tcBorders>
              <w:top w:val="single" w:sz="4" w:space="0" w:color="auto"/>
              <w:left w:val="single" w:sz="8" w:space="0" w:color="auto"/>
              <w:bottom w:val="single" w:sz="4" w:space="0" w:color="auto"/>
              <w:right w:val="nil"/>
            </w:tcBorders>
            <w:shd w:val="clear" w:color="auto"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0.0%</w:t>
            </w:r>
          </w:p>
        </w:tc>
      </w:tr>
      <w:tr w:rsidR="00B63FAE" w:rsidRPr="00B63FAE" w:rsidTr="00B63FAE">
        <w:trPr>
          <w:trHeight w:val="510"/>
        </w:trPr>
        <w:tc>
          <w:tcPr>
            <w:tcW w:w="611" w:type="pct"/>
            <w:vAlign w:val="center"/>
            <w:hideMark/>
          </w:tcPr>
          <w:p w:rsidR="00B63FAE" w:rsidRPr="00B63FAE" w:rsidRDefault="00B63FAE" w:rsidP="00B63FAE">
            <w:pPr>
              <w:spacing w:after="0" w:line="278" w:lineRule="auto"/>
              <w:rPr>
                <w:rFonts w:ascii="Times New Roman" w:eastAsia="Aptos" w:hAnsi="Times New Roman" w:cs="Times New Roman"/>
                <w:color w:val="000000"/>
                <w:kern w:val="2"/>
                <w:sz w:val="14"/>
                <w:szCs w:val="14"/>
                <w:lang w:val="en-GB"/>
                <w14:ligatures w14:val="standardContextual"/>
              </w:rPr>
            </w:pPr>
            <w:r w:rsidRPr="00B63FAE">
              <w:rPr>
                <w:rFonts w:ascii="Times New Roman" w:eastAsia="Aptos" w:hAnsi="Times New Roman" w:cs="Times New Roman"/>
                <w:color w:val="000000"/>
                <w:kern w:val="2"/>
                <w:sz w:val="14"/>
                <w:szCs w:val="14"/>
                <w:lang w:val="en-GB"/>
                <w14:ligatures w14:val="standardContextual"/>
              </w:rPr>
              <w:t>Treguesi D2. Niveli i trajtimit të mbetjeve në përputhje me legjislacionin</w:t>
            </w:r>
          </w:p>
        </w:tc>
        <w:tc>
          <w:tcPr>
            <w:tcW w:w="272" w:type="pct"/>
            <w:tcBorders>
              <w:top w:val="single" w:sz="4" w:space="0" w:color="auto"/>
              <w:left w:val="nil"/>
              <w:bottom w:val="single" w:sz="4"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100.0%</w:t>
            </w:r>
          </w:p>
        </w:tc>
        <w:tc>
          <w:tcPr>
            <w:tcW w:w="303"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100.0%</w:t>
            </w:r>
          </w:p>
        </w:tc>
        <w:tc>
          <w:tcPr>
            <w:tcW w:w="291" w:type="pct"/>
            <w:tcBorders>
              <w:top w:val="single" w:sz="4" w:space="0" w:color="auto"/>
              <w:left w:val="single" w:sz="8" w:space="0" w:color="auto"/>
              <w:bottom w:val="single" w:sz="4"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0.0%</w:t>
            </w:r>
          </w:p>
        </w:tc>
        <w:tc>
          <w:tcPr>
            <w:tcW w:w="275" w:type="pct"/>
            <w:tcBorders>
              <w:top w:val="single" w:sz="4" w:space="0" w:color="auto"/>
              <w:left w:val="single" w:sz="8" w:space="0" w:color="auto"/>
              <w:bottom w:val="single" w:sz="4" w:space="0" w:color="auto"/>
              <w:right w:val="single" w:sz="8" w:space="0" w:color="auto"/>
            </w:tcBorders>
            <w:shd w:val="clear" w:color="000000" w:fill="FEEA83"/>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100.0%</w:t>
            </w:r>
          </w:p>
        </w:tc>
        <w:tc>
          <w:tcPr>
            <w:tcW w:w="311" w:type="pct"/>
            <w:tcBorders>
              <w:top w:val="single" w:sz="4" w:space="0" w:color="auto"/>
              <w:left w:val="single" w:sz="8" w:space="0" w:color="auto"/>
              <w:bottom w:val="single" w:sz="4" w:space="0" w:color="auto"/>
              <w:right w:val="single" w:sz="8" w:space="0" w:color="auto"/>
            </w:tcBorders>
            <w:shd w:val="clear" w:color="000000" w:fill="FEEA83"/>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99.9%</w:t>
            </w:r>
          </w:p>
        </w:tc>
        <w:tc>
          <w:tcPr>
            <w:tcW w:w="303"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100.0%</w:t>
            </w:r>
          </w:p>
        </w:tc>
        <w:tc>
          <w:tcPr>
            <w:tcW w:w="272" w:type="pct"/>
            <w:tcBorders>
              <w:top w:val="single" w:sz="4" w:space="0" w:color="auto"/>
              <w:left w:val="single" w:sz="8" w:space="0" w:color="auto"/>
              <w:bottom w:val="single" w:sz="4"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0.0%</w:t>
            </w:r>
          </w:p>
        </w:tc>
        <w:tc>
          <w:tcPr>
            <w:tcW w:w="272"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100.0%</w:t>
            </w:r>
          </w:p>
        </w:tc>
        <w:tc>
          <w:tcPr>
            <w:tcW w:w="303" w:type="pct"/>
            <w:tcBorders>
              <w:top w:val="single" w:sz="4" w:space="0" w:color="auto"/>
              <w:left w:val="single" w:sz="8" w:space="0" w:color="auto"/>
              <w:bottom w:val="single" w:sz="4" w:space="0" w:color="auto"/>
              <w:right w:val="single" w:sz="8" w:space="0" w:color="auto"/>
            </w:tcBorders>
            <w:shd w:val="clear" w:color="000000" w:fill="FEEA83"/>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99.9%</w:t>
            </w:r>
          </w:p>
        </w:tc>
        <w:tc>
          <w:tcPr>
            <w:tcW w:w="272" w:type="pct"/>
            <w:tcBorders>
              <w:top w:val="single" w:sz="4" w:space="0" w:color="auto"/>
              <w:left w:val="single" w:sz="8" w:space="0" w:color="auto"/>
              <w:bottom w:val="single" w:sz="4" w:space="0" w:color="auto"/>
              <w:right w:val="single" w:sz="8" w:space="0" w:color="auto"/>
            </w:tcBorders>
            <w:shd w:val="clear" w:color="000000" w:fill="FDD07E"/>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79.8%</w:t>
            </w:r>
          </w:p>
        </w:tc>
        <w:tc>
          <w:tcPr>
            <w:tcW w:w="303" w:type="pct"/>
            <w:tcBorders>
              <w:top w:val="single" w:sz="4" w:space="0" w:color="auto"/>
              <w:left w:val="single" w:sz="8" w:space="0" w:color="auto"/>
              <w:bottom w:val="single" w:sz="4" w:space="0" w:color="auto"/>
              <w:right w:val="single" w:sz="8" w:space="0" w:color="auto"/>
            </w:tcBorders>
            <w:shd w:val="clear" w:color="000000" w:fill="FEEA83"/>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99.5%</w:t>
            </w:r>
          </w:p>
        </w:tc>
        <w:tc>
          <w:tcPr>
            <w:tcW w:w="303"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100.0%</w:t>
            </w:r>
          </w:p>
        </w:tc>
        <w:tc>
          <w:tcPr>
            <w:tcW w:w="302"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100.0%</w:t>
            </w:r>
          </w:p>
        </w:tc>
        <w:tc>
          <w:tcPr>
            <w:tcW w:w="303"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100.0%</w:t>
            </w:r>
          </w:p>
        </w:tc>
        <w:tc>
          <w:tcPr>
            <w:tcW w:w="303" w:type="pct"/>
            <w:tcBorders>
              <w:top w:val="single" w:sz="4" w:space="0" w:color="auto"/>
              <w:left w:val="single" w:sz="8" w:space="0" w:color="auto"/>
              <w:bottom w:val="single" w:sz="4" w:space="0" w:color="auto"/>
              <w:right w:val="nil"/>
            </w:tcBorders>
            <w:shd w:val="clear" w:color="auto"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0.0%</w:t>
            </w:r>
          </w:p>
        </w:tc>
      </w:tr>
      <w:tr w:rsidR="00B63FAE" w:rsidRPr="00B63FAE" w:rsidTr="00B63FAE">
        <w:trPr>
          <w:trHeight w:val="510"/>
        </w:trPr>
        <w:tc>
          <w:tcPr>
            <w:tcW w:w="611" w:type="pct"/>
            <w:vAlign w:val="center"/>
            <w:hideMark/>
          </w:tcPr>
          <w:p w:rsidR="00B63FAE" w:rsidRPr="00B63FAE" w:rsidRDefault="00B63FAE" w:rsidP="00B63FAE">
            <w:pPr>
              <w:spacing w:after="0" w:line="278" w:lineRule="auto"/>
              <w:rPr>
                <w:rFonts w:ascii="Times New Roman" w:eastAsia="Aptos" w:hAnsi="Times New Roman" w:cs="Times New Roman"/>
                <w:color w:val="000000"/>
                <w:kern w:val="2"/>
                <w:sz w:val="14"/>
                <w:szCs w:val="14"/>
                <w:lang w:val="en-GB"/>
                <w14:ligatures w14:val="standardContextual"/>
              </w:rPr>
            </w:pPr>
            <w:r w:rsidRPr="00B63FAE">
              <w:rPr>
                <w:rFonts w:ascii="Times New Roman" w:eastAsia="Aptos" w:hAnsi="Times New Roman" w:cs="Times New Roman"/>
                <w:color w:val="000000"/>
                <w:kern w:val="2"/>
                <w:sz w:val="14"/>
                <w:szCs w:val="14"/>
                <w:lang w:val="en-GB"/>
                <w14:ligatures w14:val="standardContextual"/>
              </w:rPr>
              <w:t>Treguesi E1. Rikuperimi i kostove</w:t>
            </w:r>
          </w:p>
        </w:tc>
        <w:tc>
          <w:tcPr>
            <w:tcW w:w="272" w:type="pct"/>
            <w:tcBorders>
              <w:top w:val="single" w:sz="4" w:space="0" w:color="auto"/>
              <w:left w:val="nil"/>
              <w:bottom w:val="single" w:sz="4" w:space="0" w:color="auto"/>
              <w:right w:val="single" w:sz="8" w:space="0" w:color="auto"/>
            </w:tcBorders>
            <w:shd w:val="clear" w:color="000000" w:fill="82C77D"/>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90.2%</w:t>
            </w:r>
          </w:p>
        </w:tc>
        <w:tc>
          <w:tcPr>
            <w:tcW w:w="303" w:type="pct"/>
            <w:tcBorders>
              <w:top w:val="single" w:sz="4" w:space="0" w:color="auto"/>
              <w:left w:val="single" w:sz="8" w:space="0" w:color="auto"/>
              <w:bottom w:val="single" w:sz="4" w:space="0" w:color="auto"/>
              <w:right w:val="single" w:sz="8" w:space="0" w:color="auto"/>
            </w:tcBorders>
            <w:shd w:val="clear" w:color="000000" w:fill="FED980"/>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43.1%</w:t>
            </w:r>
          </w:p>
        </w:tc>
        <w:tc>
          <w:tcPr>
            <w:tcW w:w="291" w:type="pct"/>
            <w:tcBorders>
              <w:top w:val="single" w:sz="4" w:space="0" w:color="auto"/>
              <w:left w:val="single" w:sz="8" w:space="0" w:color="auto"/>
              <w:bottom w:val="single" w:sz="4"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47.2%</w:t>
            </w:r>
          </w:p>
        </w:tc>
        <w:tc>
          <w:tcPr>
            <w:tcW w:w="275" w:type="pct"/>
            <w:tcBorders>
              <w:top w:val="single" w:sz="4" w:space="0" w:color="auto"/>
              <w:left w:val="single" w:sz="8" w:space="0" w:color="auto"/>
              <w:bottom w:val="single" w:sz="4" w:space="0" w:color="auto"/>
              <w:right w:val="single" w:sz="8" w:space="0" w:color="auto"/>
            </w:tcBorders>
            <w:shd w:val="clear" w:color="000000" w:fill="FBB279"/>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34.3%</w:t>
            </w:r>
          </w:p>
        </w:tc>
        <w:tc>
          <w:tcPr>
            <w:tcW w:w="311" w:type="pct"/>
            <w:tcBorders>
              <w:top w:val="single" w:sz="4" w:space="0" w:color="auto"/>
              <w:left w:val="single" w:sz="8" w:space="0" w:color="auto"/>
              <w:bottom w:val="single" w:sz="4" w:space="0" w:color="auto"/>
              <w:right w:val="single" w:sz="8" w:space="0" w:color="auto"/>
            </w:tcBorders>
            <w:shd w:val="clear" w:color="000000" w:fill="68C07C"/>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99.3%</w:t>
            </w:r>
          </w:p>
        </w:tc>
        <w:tc>
          <w:tcPr>
            <w:tcW w:w="303" w:type="pct"/>
            <w:tcBorders>
              <w:top w:val="single" w:sz="4" w:space="0" w:color="auto"/>
              <w:left w:val="single" w:sz="8" w:space="0" w:color="auto"/>
              <w:bottom w:val="single" w:sz="4"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17.5%</w:t>
            </w:r>
          </w:p>
        </w:tc>
        <w:tc>
          <w:tcPr>
            <w:tcW w:w="272"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100.7%</w:t>
            </w:r>
          </w:p>
        </w:tc>
        <w:tc>
          <w:tcPr>
            <w:tcW w:w="272" w:type="pct"/>
            <w:tcBorders>
              <w:top w:val="single" w:sz="4" w:space="0" w:color="auto"/>
              <w:left w:val="single" w:sz="8" w:space="0" w:color="auto"/>
              <w:bottom w:val="single" w:sz="4" w:space="0" w:color="auto"/>
              <w:right w:val="single" w:sz="8" w:space="0" w:color="auto"/>
            </w:tcBorders>
            <w:shd w:val="clear" w:color="000000" w:fill="D0DE82"/>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63.5%</w:t>
            </w:r>
          </w:p>
        </w:tc>
        <w:tc>
          <w:tcPr>
            <w:tcW w:w="303" w:type="pct"/>
            <w:tcBorders>
              <w:top w:val="single" w:sz="4" w:space="0" w:color="auto"/>
              <w:left w:val="single" w:sz="8" w:space="0" w:color="auto"/>
              <w:bottom w:val="single" w:sz="4" w:space="0" w:color="auto"/>
              <w:right w:val="single" w:sz="8" w:space="0" w:color="auto"/>
            </w:tcBorders>
            <w:shd w:val="clear" w:color="000000" w:fill="FA9B7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29.0%</w:t>
            </w:r>
          </w:p>
        </w:tc>
        <w:tc>
          <w:tcPr>
            <w:tcW w:w="272" w:type="pct"/>
            <w:tcBorders>
              <w:top w:val="single" w:sz="4" w:space="0" w:color="auto"/>
              <w:left w:val="single" w:sz="8" w:space="0" w:color="auto"/>
              <w:bottom w:val="single" w:sz="4" w:space="0" w:color="auto"/>
              <w:right w:val="single" w:sz="8" w:space="0" w:color="auto"/>
            </w:tcBorders>
            <w:shd w:val="clear" w:color="000000" w:fill="FBA676"/>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31.6%</w:t>
            </w:r>
          </w:p>
        </w:tc>
        <w:tc>
          <w:tcPr>
            <w:tcW w:w="303" w:type="pct"/>
            <w:tcBorders>
              <w:top w:val="single" w:sz="4" w:space="0" w:color="auto"/>
              <w:left w:val="single" w:sz="8" w:space="0" w:color="auto"/>
              <w:bottom w:val="single" w:sz="4" w:space="0" w:color="auto"/>
              <w:right w:val="single" w:sz="8" w:space="0" w:color="auto"/>
            </w:tcBorders>
            <w:shd w:val="clear" w:color="000000" w:fill="7EC67D"/>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91.5%</w:t>
            </w:r>
          </w:p>
        </w:tc>
        <w:tc>
          <w:tcPr>
            <w:tcW w:w="303" w:type="pct"/>
            <w:tcBorders>
              <w:top w:val="single" w:sz="4" w:space="0" w:color="auto"/>
              <w:left w:val="single" w:sz="8" w:space="0" w:color="auto"/>
              <w:bottom w:val="single" w:sz="4" w:space="0" w:color="auto"/>
              <w:right w:val="single" w:sz="8" w:space="0" w:color="auto"/>
            </w:tcBorders>
            <w:shd w:val="clear" w:color="000000" w:fill="D2DE82"/>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62.8%</w:t>
            </w:r>
          </w:p>
        </w:tc>
        <w:tc>
          <w:tcPr>
            <w:tcW w:w="302" w:type="pct"/>
            <w:tcBorders>
              <w:top w:val="single" w:sz="4" w:space="0" w:color="auto"/>
              <w:left w:val="single" w:sz="8" w:space="0" w:color="auto"/>
              <w:bottom w:val="single" w:sz="4" w:space="0" w:color="auto"/>
              <w:right w:val="single" w:sz="8" w:space="0" w:color="auto"/>
            </w:tcBorders>
            <w:shd w:val="clear" w:color="000000" w:fill="FEE182"/>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45.0%</w:t>
            </w:r>
          </w:p>
        </w:tc>
        <w:tc>
          <w:tcPr>
            <w:tcW w:w="303" w:type="pct"/>
            <w:tcBorders>
              <w:top w:val="single" w:sz="4" w:space="0" w:color="auto"/>
              <w:left w:val="single" w:sz="8" w:space="0" w:color="auto"/>
              <w:bottom w:val="single" w:sz="4" w:space="0" w:color="auto"/>
              <w:right w:val="single" w:sz="8" w:space="0" w:color="auto"/>
            </w:tcBorders>
            <w:shd w:val="clear" w:color="000000" w:fill="B5D680"/>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72.9%</w:t>
            </w:r>
          </w:p>
        </w:tc>
        <w:tc>
          <w:tcPr>
            <w:tcW w:w="303" w:type="pct"/>
            <w:tcBorders>
              <w:top w:val="single" w:sz="4" w:space="0" w:color="auto"/>
              <w:left w:val="single" w:sz="8" w:space="0" w:color="auto"/>
              <w:bottom w:val="single" w:sz="4" w:space="0" w:color="auto"/>
              <w:right w:val="nil"/>
            </w:tcBorders>
            <w:shd w:val="clear" w:color="000000" w:fill="F86D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18.4%</w:t>
            </w:r>
          </w:p>
        </w:tc>
      </w:tr>
      <w:tr w:rsidR="00B63FAE" w:rsidRPr="00B63FAE" w:rsidTr="00B63FAE">
        <w:trPr>
          <w:trHeight w:val="510"/>
        </w:trPr>
        <w:tc>
          <w:tcPr>
            <w:tcW w:w="611" w:type="pct"/>
            <w:vAlign w:val="center"/>
            <w:hideMark/>
          </w:tcPr>
          <w:p w:rsidR="00B63FAE" w:rsidRPr="00B63FAE" w:rsidRDefault="00B63FAE" w:rsidP="00B63FAE">
            <w:pPr>
              <w:spacing w:after="0" w:line="278" w:lineRule="auto"/>
              <w:rPr>
                <w:rFonts w:ascii="Times New Roman" w:eastAsia="Aptos" w:hAnsi="Times New Roman" w:cs="Times New Roman"/>
                <w:color w:val="000000"/>
                <w:kern w:val="2"/>
                <w:sz w:val="14"/>
                <w:szCs w:val="14"/>
                <w:lang w:val="es-ES"/>
                <w14:ligatures w14:val="standardContextual"/>
              </w:rPr>
            </w:pPr>
            <w:r w:rsidRPr="00B63FAE">
              <w:rPr>
                <w:rFonts w:ascii="Times New Roman" w:eastAsia="Aptos" w:hAnsi="Times New Roman" w:cs="Times New Roman"/>
                <w:color w:val="000000"/>
                <w:kern w:val="2"/>
                <w:sz w:val="14"/>
                <w:szCs w:val="14"/>
                <w:lang w:val="es-ES"/>
                <w14:ligatures w14:val="standardContextual"/>
              </w:rPr>
              <w:t>Treguesi E2. Efikasiteti i mbledhjes së tarifave</w:t>
            </w:r>
          </w:p>
        </w:tc>
        <w:tc>
          <w:tcPr>
            <w:tcW w:w="272" w:type="pct"/>
            <w:tcBorders>
              <w:top w:val="single" w:sz="4" w:space="0" w:color="auto"/>
              <w:left w:val="nil"/>
              <w:bottom w:val="single" w:sz="4" w:space="0" w:color="auto"/>
              <w:right w:val="single" w:sz="8" w:space="0" w:color="auto"/>
            </w:tcBorders>
            <w:shd w:val="clear" w:color="000000" w:fill="FBAC77"/>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70.6%</w:t>
            </w:r>
          </w:p>
        </w:tc>
        <w:tc>
          <w:tcPr>
            <w:tcW w:w="303" w:type="pct"/>
            <w:tcBorders>
              <w:top w:val="single" w:sz="4" w:space="0" w:color="auto"/>
              <w:left w:val="single" w:sz="8" w:space="0" w:color="auto"/>
              <w:bottom w:val="single" w:sz="4" w:space="0" w:color="auto"/>
              <w:right w:val="single" w:sz="8" w:space="0" w:color="auto"/>
            </w:tcBorders>
            <w:shd w:val="clear" w:color="000000" w:fill="FEE282"/>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87.2%</w:t>
            </w:r>
          </w:p>
        </w:tc>
        <w:tc>
          <w:tcPr>
            <w:tcW w:w="291" w:type="pct"/>
            <w:tcBorders>
              <w:top w:val="single" w:sz="4" w:space="0" w:color="auto"/>
              <w:left w:val="single" w:sz="8" w:space="0" w:color="auto"/>
              <w:bottom w:val="single" w:sz="4"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89.8%</w:t>
            </w:r>
          </w:p>
        </w:tc>
        <w:tc>
          <w:tcPr>
            <w:tcW w:w="275" w:type="pct"/>
            <w:tcBorders>
              <w:top w:val="single" w:sz="4" w:space="0" w:color="auto"/>
              <w:left w:val="single" w:sz="8" w:space="0" w:color="auto"/>
              <w:bottom w:val="single" w:sz="4" w:space="0" w:color="auto"/>
              <w:right w:val="single" w:sz="8" w:space="0" w:color="auto"/>
            </w:tcBorders>
            <w:shd w:val="clear" w:color="000000" w:fill="FBA476"/>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68.1%</w:t>
            </w:r>
          </w:p>
        </w:tc>
        <w:tc>
          <w:tcPr>
            <w:tcW w:w="311" w:type="pct"/>
            <w:tcBorders>
              <w:top w:val="single" w:sz="4" w:space="0" w:color="auto"/>
              <w:left w:val="single" w:sz="8" w:space="0" w:color="auto"/>
              <w:bottom w:val="single" w:sz="4" w:space="0" w:color="auto"/>
              <w:right w:val="single" w:sz="8" w:space="0" w:color="auto"/>
            </w:tcBorders>
            <w:shd w:val="clear" w:color="000000" w:fill="92CC7E"/>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143.6%</w:t>
            </w:r>
          </w:p>
        </w:tc>
        <w:tc>
          <w:tcPr>
            <w:tcW w:w="303" w:type="pct"/>
            <w:tcBorders>
              <w:top w:val="single" w:sz="4" w:space="0" w:color="auto"/>
              <w:left w:val="single" w:sz="8" w:space="0" w:color="auto"/>
              <w:bottom w:val="single" w:sz="4" w:space="0" w:color="auto"/>
              <w:right w:val="single" w:sz="8" w:space="0" w:color="auto"/>
            </w:tcBorders>
            <w:shd w:val="clear" w:color="000000" w:fill="FCBB7A"/>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75.1%</w:t>
            </w:r>
          </w:p>
        </w:tc>
        <w:tc>
          <w:tcPr>
            <w:tcW w:w="272"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166.6%</w:t>
            </w:r>
          </w:p>
        </w:tc>
        <w:tc>
          <w:tcPr>
            <w:tcW w:w="272" w:type="pct"/>
            <w:tcBorders>
              <w:top w:val="single" w:sz="4" w:space="0" w:color="auto"/>
              <w:left w:val="single" w:sz="8" w:space="0" w:color="auto"/>
              <w:bottom w:val="single" w:sz="4" w:space="0" w:color="auto"/>
              <w:right w:val="single" w:sz="8" w:space="0" w:color="auto"/>
            </w:tcBorders>
            <w:shd w:val="clear" w:color="000000" w:fill="F3E8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96.1%</w:t>
            </w:r>
          </w:p>
        </w:tc>
        <w:tc>
          <w:tcPr>
            <w:tcW w:w="303" w:type="pct"/>
            <w:tcBorders>
              <w:top w:val="single" w:sz="4" w:space="0" w:color="auto"/>
              <w:left w:val="single" w:sz="8" w:space="0" w:color="auto"/>
              <w:bottom w:val="single" w:sz="4" w:space="0" w:color="auto"/>
              <w:right w:val="single" w:sz="8" w:space="0" w:color="auto"/>
            </w:tcBorders>
            <w:shd w:val="clear" w:color="000000" w:fill="BFD981"/>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121.7%</w:t>
            </w:r>
          </w:p>
        </w:tc>
        <w:tc>
          <w:tcPr>
            <w:tcW w:w="272" w:type="pct"/>
            <w:tcBorders>
              <w:top w:val="single" w:sz="4" w:space="0" w:color="auto"/>
              <w:left w:val="single" w:sz="8" w:space="0" w:color="auto"/>
              <w:bottom w:val="single" w:sz="4" w:space="0" w:color="auto"/>
              <w:right w:val="single" w:sz="8" w:space="0" w:color="auto"/>
            </w:tcBorders>
            <w:shd w:val="clear" w:color="000000" w:fill="F8776D"/>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54.5%</w:t>
            </w:r>
          </w:p>
        </w:tc>
        <w:tc>
          <w:tcPr>
            <w:tcW w:w="303" w:type="pct"/>
            <w:tcBorders>
              <w:top w:val="single" w:sz="4" w:space="0" w:color="auto"/>
              <w:left w:val="single" w:sz="8" w:space="0" w:color="auto"/>
              <w:bottom w:val="single" w:sz="4" w:space="0" w:color="auto"/>
              <w:right w:val="single" w:sz="8" w:space="0" w:color="auto"/>
            </w:tcBorders>
            <w:shd w:val="clear" w:color="000000" w:fill="FCEA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91.6%</w:t>
            </w:r>
          </w:p>
        </w:tc>
        <w:tc>
          <w:tcPr>
            <w:tcW w:w="303" w:type="pct"/>
            <w:tcBorders>
              <w:top w:val="single" w:sz="4" w:space="0" w:color="auto"/>
              <w:left w:val="single" w:sz="8" w:space="0" w:color="auto"/>
              <w:bottom w:val="single" w:sz="4" w:space="0" w:color="auto"/>
              <w:right w:val="single" w:sz="8" w:space="0" w:color="auto"/>
            </w:tcBorders>
            <w:shd w:val="clear" w:color="000000" w:fill="EFE7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98.0%</w:t>
            </w:r>
          </w:p>
        </w:tc>
        <w:tc>
          <w:tcPr>
            <w:tcW w:w="302" w:type="pct"/>
            <w:tcBorders>
              <w:top w:val="single" w:sz="4" w:space="0" w:color="auto"/>
              <w:left w:val="single" w:sz="8" w:space="0" w:color="auto"/>
              <w:bottom w:val="single" w:sz="4"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49.9%</w:t>
            </w:r>
          </w:p>
        </w:tc>
        <w:tc>
          <w:tcPr>
            <w:tcW w:w="303" w:type="pct"/>
            <w:tcBorders>
              <w:top w:val="single" w:sz="4" w:space="0" w:color="auto"/>
              <w:left w:val="single" w:sz="8" w:space="0" w:color="auto"/>
              <w:bottom w:val="single" w:sz="4" w:space="0" w:color="auto"/>
              <w:right w:val="single" w:sz="8" w:space="0" w:color="auto"/>
            </w:tcBorders>
            <w:shd w:val="clear" w:color="000000" w:fill="FCBB7A"/>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75.2%</w:t>
            </w:r>
          </w:p>
        </w:tc>
        <w:tc>
          <w:tcPr>
            <w:tcW w:w="303" w:type="pct"/>
            <w:tcBorders>
              <w:top w:val="single" w:sz="4" w:space="0" w:color="auto"/>
              <w:left w:val="single" w:sz="8" w:space="0" w:color="auto"/>
              <w:bottom w:val="single" w:sz="4" w:space="0" w:color="auto"/>
              <w:right w:val="nil"/>
            </w:tcBorders>
            <w:shd w:val="clear" w:color="000000" w:fill="A4D17F"/>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134.6%</w:t>
            </w:r>
          </w:p>
        </w:tc>
      </w:tr>
      <w:tr w:rsidR="00B63FAE" w:rsidRPr="00B63FAE" w:rsidTr="00B63FAE">
        <w:trPr>
          <w:trHeight w:val="510"/>
        </w:trPr>
        <w:tc>
          <w:tcPr>
            <w:tcW w:w="611" w:type="pct"/>
            <w:vAlign w:val="center"/>
            <w:hideMark/>
          </w:tcPr>
          <w:p w:rsidR="00B63FAE" w:rsidRPr="00B63FAE" w:rsidRDefault="00B63FAE" w:rsidP="00B63FAE">
            <w:pPr>
              <w:spacing w:after="0" w:line="278" w:lineRule="auto"/>
              <w:rPr>
                <w:rFonts w:ascii="Times New Roman" w:eastAsia="Aptos" w:hAnsi="Times New Roman" w:cs="Times New Roman"/>
                <w:color w:val="000000"/>
                <w:kern w:val="2"/>
                <w:sz w:val="14"/>
                <w:szCs w:val="14"/>
                <w:lang w:val="en-GB"/>
                <w14:ligatures w14:val="standardContextual"/>
              </w:rPr>
            </w:pPr>
            <w:r w:rsidRPr="00B63FAE">
              <w:rPr>
                <w:rFonts w:ascii="Times New Roman" w:eastAsia="Aptos" w:hAnsi="Times New Roman" w:cs="Times New Roman"/>
                <w:color w:val="000000"/>
                <w:kern w:val="2"/>
                <w:sz w:val="14"/>
                <w:szCs w:val="14"/>
                <w:lang w:val="en-GB"/>
                <w14:ligatures w14:val="standardContextual"/>
              </w:rPr>
              <w:t>Treguesi: Kosto për ton</w:t>
            </w:r>
          </w:p>
        </w:tc>
        <w:tc>
          <w:tcPr>
            <w:tcW w:w="272" w:type="pct"/>
            <w:tcBorders>
              <w:top w:val="single" w:sz="4" w:space="0" w:color="auto"/>
              <w:left w:val="nil"/>
              <w:bottom w:val="single" w:sz="4" w:space="0" w:color="auto"/>
              <w:right w:val="single" w:sz="8" w:space="0" w:color="auto"/>
            </w:tcBorders>
            <w:shd w:val="clear" w:color="000000" w:fill="C9DB80"/>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7,476.5</w:t>
            </w:r>
          </w:p>
        </w:tc>
        <w:tc>
          <w:tcPr>
            <w:tcW w:w="303" w:type="pct"/>
            <w:tcBorders>
              <w:top w:val="single" w:sz="4" w:space="0" w:color="auto"/>
              <w:left w:val="single" w:sz="8" w:space="0" w:color="auto"/>
              <w:bottom w:val="single" w:sz="4" w:space="0" w:color="auto"/>
              <w:right w:val="single" w:sz="8" w:space="0" w:color="auto"/>
            </w:tcBorders>
            <w:shd w:val="clear" w:color="000000" w:fill="F2E783"/>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8,779.5</w:t>
            </w:r>
          </w:p>
        </w:tc>
        <w:tc>
          <w:tcPr>
            <w:tcW w:w="291" w:type="pct"/>
            <w:tcBorders>
              <w:top w:val="single" w:sz="4" w:space="0" w:color="auto"/>
              <w:left w:val="single" w:sz="8" w:space="0" w:color="auto"/>
              <w:bottom w:val="single" w:sz="4" w:space="0" w:color="auto"/>
              <w:right w:val="single" w:sz="8" w:space="0" w:color="auto"/>
            </w:tcBorders>
            <w:shd w:val="clear" w:color="000000" w:fill="FDC67D"/>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11,317.0</w:t>
            </w:r>
          </w:p>
        </w:tc>
        <w:tc>
          <w:tcPr>
            <w:tcW w:w="275" w:type="pct"/>
            <w:tcBorders>
              <w:top w:val="single" w:sz="4" w:space="0" w:color="auto"/>
              <w:left w:val="single" w:sz="8" w:space="0" w:color="auto"/>
              <w:bottom w:val="single" w:sz="4" w:space="0" w:color="auto"/>
              <w:right w:val="single" w:sz="8" w:space="0" w:color="auto"/>
            </w:tcBorders>
            <w:shd w:val="clear" w:color="000000" w:fill="F3E783"/>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8,815.5</w:t>
            </w:r>
          </w:p>
        </w:tc>
        <w:tc>
          <w:tcPr>
            <w:tcW w:w="311" w:type="pct"/>
            <w:tcBorders>
              <w:top w:val="single" w:sz="4" w:space="0" w:color="auto"/>
              <w:left w:val="single" w:sz="8" w:space="0" w:color="auto"/>
              <w:bottom w:val="single" w:sz="4"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16,548.6</w:t>
            </w:r>
          </w:p>
        </w:tc>
        <w:tc>
          <w:tcPr>
            <w:tcW w:w="303" w:type="pct"/>
            <w:tcBorders>
              <w:top w:val="single" w:sz="4" w:space="0" w:color="auto"/>
              <w:left w:val="single" w:sz="8" w:space="0" w:color="auto"/>
              <w:bottom w:val="single" w:sz="4" w:space="0" w:color="auto"/>
              <w:right w:val="single" w:sz="8" w:space="0" w:color="auto"/>
            </w:tcBorders>
            <w:shd w:val="clear" w:color="000000" w:fill="8CC97D"/>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5,537.7</w:t>
            </w:r>
          </w:p>
        </w:tc>
        <w:tc>
          <w:tcPr>
            <w:tcW w:w="272"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4,231.3</w:t>
            </w:r>
          </w:p>
        </w:tc>
        <w:tc>
          <w:tcPr>
            <w:tcW w:w="272" w:type="pct"/>
            <w:tcBorders>
              <w:top w:val="single" w:sz="4" w:space="0" w:color="auto"/>
              <w:left w:val="single" w:sz="8" w:space="0" w:color="auto"/>
              <w:bottom w:val="single" w:sz="4" w:space="0" w:color="auto"/>
              <w:right w:val="single" w:sz="8" w:space="0" w:color="auto"/>
            </w:tcBorders>
            <w:shd w:val="clear" w:color="000000" w:fill="6CC0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4,537.2</w:t>
            </w:r>
          </w:p>
        </w:tc>
        <w:tc>
          <w:tcPr>
            <w:tcW w:w="303" w:type="pct"/>
            <w:tcBorders>
              <w:top w:val="single" w:sz="4" w:space="0" w:color="auto"/>
              <w:left w:val="single" w:sz="8" w:space="0" w:color="auto"/>
              <w:bottom w:val="single" w:sz="4" w:space="0" w:color="auto"/>
              <w:right w:val="single" w:sz="8" w:space="0" w:color="auto"/>
            </w:tcBorders>
            <w:shd w:val="clear" w:color="000000" w:fill="FCAB78"/>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12,824.3</w:t>
            </w:r>
          </w:p>
        </w:tc>
        <w:tc>
          <w:tcPr>
            <w:tcW w:w="272" w:type="pct"/>
            <w:tcBorders>
              <w:top w:val="single" w:sz="4" w:space="0" w:color="auto"/>
              <w:left w:val="single" w:sz="8" w:space="0" w:color="auto"/>
              <w:bottom w:val="single" w:sz="4" w:space="0" w:color="auto"/>
              <w:right w:val="single" w:sz="8" w:space="0" w:color="auto"/>
            </w:tcBorders>
            <w:shd w:val="clear" w:color="000000" w:fill="F0E683"/>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8,745.7</w:t>
            </w:r>
          </w:p>
        </w:tc>
        <w:tc>
          <w:tcPr>
            <w:tcW w:w="303" w:type="pct"/>
            <w:tcBorders>
              <w:top w:val="single" w:sz="4" w:space="0" w:color="auto"/>
              <w:left w:val="single" w:sz="8" w:space="0" w:color="auto"/>
              <w:bottom w:val="single" w:sz="4" w:space="0" w:color="auto"/>
              <w:right w:val="single" w:sz="8" w:space="0" w:color="auto"/>
            </w:tcBorders>
            <w:shd w:val="clear" w:color="000000" w:fill="FDBE7C"/>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11,739.0</w:t>
            </w:r>
          </w:p>
        </w:tc>
        <w:tc>
          <w:tcPr>
            <w:tcW w:w="303" w:type="pct"/>
            <w:tcBorders>
              <w:top w:val="single" w:sz="4" w:space="0" w:color="auto"/>
              <w:left w:val="single" w:sz="8" w:space="0" w:color="auto"/>
              <w:bottom w:val="single" w:sz="4"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9,190.9</w:t>
            </w:r>
          </w:p>
        </w:tc>
        <w:tc>
          <w:tcPr>
            <w:tcW w:w="302" w:type="pct"/>
            <w:tcBorders>
              <w:top w:val="single" w:sz="4" w:space="0" w:color="auto"/>
              <w:left w:val="single" w:sz="8" w:space="0" w:color="auto"/>
              <w:bottom w:val="single" w:sz="4" w:space="0" w:color="auto"/>
              <w:right w:val="single" w:sz="8" w:space="0" w:color="auto"/>
            </w:tcBorders>
            <w:shd w:val="clear" w:color="000000" w:fill="FFE7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9,446.2</w:t>
            </w:r>
          </w:p>
        </w:tc>
        <w:tc>
          <w:tcPr>
            <w:tcW w:w="303" w:type="pct"/>
            <w:tcBorders>
              <w:top w:val="single" w:sz="4" w:space="0" w:color="auto"/>
              <w:left w:val="single" w:sz="8" w:space="0" w:color="auto"/>
              <w:bottom w:val="single" w:sz="4" w:space="0" w:color="auto"/>
              <w:right w:val="single" w:sz="8" w:space="0" w:color="auto"/>
            </w:tcBorders>
            <w:shd w:val="clear" w:color="000000" w:fill="FED17F"/>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10,706.2</w:t>
            </w:r>
          </w:p>
        </w:tc>
        <w:tc>
          <w:tcPr>
            <w:tcW w:w="303" w:type="pct"/>
            <w:tcBorders>
              <w:top w:val="single" w:sz="4" w:space="0" w:color="auto"/>
              <w:left w:val="single" w:sz="8" w:space="0" w:color="auto"/>
              <w:bottom w:val="single" w:sz="4" w:space="0" w:color="auto"/>
              <w:right w:val="nil"/>
            </w:tcBorders>
            <w:shd w:val="clear" w:color="000000" w:fill="FB987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13,943.6</w:t>
            </w:r>
          </w:p>
        </w:tc>
      </w:tr>
      <w:tr w:rsidR="00B63FAE" w:rsidRPr="00B63FAE" w:rsidTr="00B63FAE">
        <w:trPr>
          <w:trHeight w:val="510"/>
        </w:trPr>
        <w:tc>
          <w:tcPr>
            <w:tcW w:w="611" w:type="pct"/>
            <w:vAlign w:val="center"/>
            <w:hideMark/>
          </w:tcPr>
          <w:p w:rsidR="00B63FAE" w:rsidRPr="00B63FAE" w:rsidRDefault="00B63FAE" w:rsidP="00B63FAE">
            <w:pPr>
              <w:spacing w:after="0" w:line="278" w:lineRule="auto"/>
              <w:rPr>
                <w:rFonts w:ascii="Times New Roman" w:eastAsia="Aptos" w:hAnsi="Times New Roman" w:cs="Times New Roman"/>
                <w:color w:val="000000"/>
                <w:kern w:val="2"/>
                <w:sz w:val="14"/>
                <w:szCs w:val="14"/>
                <w:lang w:val="en-GB"/>
                <w14:ligatures w14:val="standardContextual"/>
              </w:rPr>
            </w:pPr>
            <w:r w:rsidRPr="00B63FAE">
              <w:rPr>
                <w:rFonts w:ascii="Times New Roman" w:eastAsia="Aptos" w:hAnsi="Times New Roman" w:cs="Times New Roman"/>
                <w:color w:val="000000"/>
                <w:kern w:val="2"/>
                <w:sz w:val="14"/>
                <w:szCs w:val="14"/>
                <w:lang w:val="en-GB"/>
                <w14:ligatures w14:val="standardContextual"/>
              </w:rPr>
              <w:t>Treguesi: Kosto për frymë</w:t>
            </w:r>
          </w:p>
        </w:tc>
        <w:tc>
          <w:tcPr>
            <w:tcW w:w="272" w:type="pct"/>
            <w:tcBorders>
              <w:top w:val="single" w:sz="4" w:space="0" w:color="auto"/>
              <w:left w:val="nil"/>
              <w:bottom w:val="single" w:sz="4" w:space="0" w:color="auto"/>
              <w:right w:val="single" w:sz="8" w:space="0" w:color="auto"/>
            </w:tcBorders>
            <w:shd w:val="clear" w:color="000000" w:fill="78C47C"/>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769.1</w:t>
            </w:r>
          </w:p>
        </w:tc>
        <w:tc>
          <w:tcPr>
            <w:tcW w:w="303" w:type="pct"/>
            <w:tcBorders>
              <w:top w:val="single" w:sz="4" w:space="0" w:color="auto"/>
              <w:left w:val="single" w:sz="8" w:space="0" w:color="auto"/>
              <w:bottom w:val="single" w:sz="4"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1,829.6</w:t>
            </w:r>
          </w:p>
        </w:tc>
        <w:tc>
          <w:tcPr>
            <w:tcW w:w="291" w:type="pct"/>
            <w:tcBorders>
              <w:top w:val="single" w:sz="4" w:space="0" w:color="auto"/>
              <w:left w:val="single" w:sz="8" w:space="0" w:color="auto"/>
              <w:bottom w:val="single" w:sz="4" w:space="0" w:color="auto"/>
              <w:right w:val="single" w:sz="8" w:space="0" w:color="auto"/>
            </w:tcBorders>
            <w:shd w:val="clear" w:color="000000" w:fill="FFDB81"/>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2,742.4</w:t>
            </w:r>
          </w:p>
        </w:tc>
        <w:tc>
          <w:tcPr>
            <w:tcW w:w="275" w:type="pct"/>
            <w:tcBorders>
              <w:top w:val="single" w:sz="4" w:space="0" w:color="auto"/>
              <w:left w:val="single" w:sz="8" w:space="0" w:color="auto"/>
              <w:bottom w:val="single" w:sz="4"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596.4</w:t>
            </w:r>
          </w:p>
        </w:tc>
        <w:tc>
          <w:tcPr>
            <w:tcW w:w="311" w:type="pct"/>
            <w:tcBorders>
              <w:top w:val="single" w:sz="4" w:space="0" w:color="auto"/>
              <w:left w:val="single" w:sz="8" w:space="0" w:color="auto"/>
              <w:bottom w:val="single" w:sz="4"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8,870.2</w:t>
            </w:r>
          </w:p>
        </w:tc>
        <w:tc>
          <w:tcPr>
            <w:tcW w:w="303" w:type="pct"/>
            <w:tcBorders>
              <w:top w:val="single" w:sz="4" w:space="0" w:color="auto"/>
              <w:left w:val="single" w:sz="8" w:space="0" w:color="auto"/>
              <w:bottom w:val="single" w:sz="4" w:space="0" w:color="auto"/>
              <w:right w:val="single" w:sz="8" w:space="0" w:color="auto"/>
            </w:tcBorders>
            <w:shd w:val="clear" w:color="000000" w:fill="91CB7D"/>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966.8</w:t>
            </w:r>
          </w:p>
        </w:tc>
        <w:tc>
          <w:tcPr>
            <w:tcW w:w="272" w:type="pct"/>
            <w:tcBorders>
              <w:top w:val="single" w:sz="4" w:space="0" w:color="auto"/>
              <w:left w:val="single" w:sz="8" w:space="0" w:color="auto"/>
              <w:bottom w:val="single" w:sz="4" w:space="0" w:color="auto"/>
              <w:right w:val="single" w:sz="8" w:space="0" w:color="auto"/>
            </w:tcBorders>
            <w:shd w:val="clear" w:color="000000" w:fill="92CB7D"/>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974.2</w:t>
            </w:r>
          </w:p>
        </w:tc>
        <w:tc>
          <w:tcPr>
            <w:tcW w:w="272" w:type="pct"/>
            <w:tcBorders>
              <w:top w:val="single" w:sz="4" w:space="0" w:color="auto"/>
              <w:left w:val="single" w:sz="8" w:space="0" w:color="auto"/>
              <w:bottom w:val="single" w:sz="4" w:space="0" w:color="auto"/>
              <w:right w:val="single" w:sz="8" w:space="0" w:color="auto"/>
            </w:tcBorders>
            <w:shd w:val="clear" w:color="000000" w:fill="FFE683"/>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2,128.6</w:t>
            </w:r>
          </w:p>
        </w:tc>
        <w:tc>
          <w:tcPr>
            <w:tcW w:w="303" w:type="pct"/>
            <w:tcBorders>
              <w:top w:val="single" w:sz="4" w:space="0" w:color="auto"/>
              <w:left w:val="single" w:sz="8" w:space="0" w:color="auto"/>
              <w:bottom w:val="single" w:sz="4" w:space="0" w:color="auto"/>
              <w:right w:val="single" w:sz="8" w:space="0" w:color="auto"/>
            </w:tcBorders>
            <w:shd w:val="clear" w:color="000000" w:fill="FED480"/>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3,105.7</w:t>
            </w:r>
          </w:p>
        </w:tc>
        <w:tc>
          <w:tcPr>
            <w:tcW w:w="272" w:type="pct"/>
            <w:tcBorders>
              <w:top w:val="single" w:sz="4" w:space="0" w:color="auto"/>
              <w:left w:val="single" w:sz="8" w:space="0" w:color="auto"/>
              <w:bottom w:val="single" w:sz="4" w:space="0" w:color="auto"/>
              <w:right w:val="single" w:sz="8" w:space="0" w:color="auto"/>
            </w:tcBorders>
            <w:shd w:val="clear" w:color="000000" w:fill="D9E081"/>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1,536.8</w:t>
            </w:r>
          </w:p>
        </w:tc>
        <w:tc>
          <w:tcPr>
            <w:tcW w:w="303" w:type="pct"/>
            <w:tcBorders>
              <w:top w:val="single" w:sz="4" w:space="0" w:color="auto"/>
              <w:left w:val="single" w:sz="8" w:space="0" w:color="auto"/>
              <w:bottom w:val="single" w:sz="4" w:space="0" w:color="auto"/>
              <w:right w:val="single" w:sz="8" w:space="0" w:color="auto"/>
            </w:tcBorders>
            <w:shd w:val="clear" w:color="000000" w:fill="FB9A75"/>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6,233.4</w:t>
            </w:r>
          </w:p>
        </w:tc>
        <w:tc>
          <w:tcPr>
            <w:tcW w:w="303" w:type="pct"/>
            <w:tcBorders>
              <w:top w:val="single" w:sz="4" w:space="0" w:color="auto"/>
              <w:left w:val="single" w:sz="8" w:space="0" w:color="auto"/>
              <w:bottom w:val="single" w:sz="4" w:space="0" w:color="auto"/>
              <w:right w:val="single" w:sz="8" w:space="0" w:color="auto"/>
            </w:tcBorders>
            <w:shd w:val="clear" w:color="000000" w:fill="FFDF82"/>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2,504.6</w:t>
            </w:r>
          </w:p>
        </w:tc>
        <w:tc>
          <w:tcPr>
            <w:tcW w:w="302" w:type="pct"/>
            <w:tcBorders>
              <w:top w:val="single" w:sz="4" w:space="0" w:color="auto"/>
              <w:left w:val="single" w:sz="8" w:space="0" w:color="auto"/>
              <w:bottom w:val="single" w:sz="4" w:space="0" w:color="auto"/>
              <w:right w:val="single" w:sz="8" w:space="0" w:color="auto"/>
            </w:tcBorders>
            <w:shd w:val="clear" w:color="000000" w:fill="A8D27F"/>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1,148.7</w:t>
            </w:r>
          </w:p>
        </w:tc>
        <w:tc>
          <w:tcPr>
            <w:tcW w:w="303" w:type="pct"/>
            <w:tcBorders>
              <w:top w:val="single" w:sz="4" w:space="0" w:color="auto"/>
              <w:left w:val="single" w:sz="8" w:space="0" w:color="auto"/>
              <w:bottom w:val="single" w:sz="4" w:space="0" w:color="auto"/>
              <w:right w:val="single" w:sz="8" w:space="0" w:color="auto"/>
            </w:tcBorders>
            <w:shd w:val="clear" w:color="000000" w:fill="FFE283"/>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2,353.5</w:t>
            </w:r>
          </w:p>
        </w:tc>
        <w:tc>
          <w:tcPr>
            <w:tcW w:w="303" w:type="pct"/>
            <w:tcBorders>
              <w:top w:val="single" w:sz="4" w:space="0" w:color="auto"/>
              <w:left w:val="single" w:sz="8" w:space="0" w:color="auto"/>
              <w:bottom w:val="single" w:sz="4" w:space="0" w:color="auto"/>
              <w:right w:val="nil"/>
            </w:tcBorders>
            <w:shd w:val="clear" w:color="000000" w:fill="99CD7E"/>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1,030.6</w:t>
            </w:r>
          </w:p>
        </w:tc>
      </w:tr>
      <w:tr w:rsidR="00B63FAE" w:rsidRPr="00B63FAE" w:rsidTr="00B63FAE">
        <w:trPr>
          <w:trHeight w:val="510"/>
        </w:trPr>
        <w:tc>
          <w:tcPr>
            <w:tcW w:w="611" w:type="pct"/>
            <w:noWrap/>
            <w:vAlign w:val="center"/>
            <w:hideMark/>
          </w:tcPr>
          <w:p w:rsidR="00B63FAE" w:rsidRPr="00B63FAE" w:rsidRDefault="00B63FAE" w:rsidP="00B63FAE">
            <w:pPr>
              <w:spacing w:after="0" w:line="278" w:lineRule="auto"/>
              <w:rPr>
                <w:rFonts w:ascii="Times New Roman" w:eastAsia="Aptos" w:hAnsi="Times New Roman" w:cs="Times New Roman"/>
                <w:color w:val="000000"/>
                <w:kern w:val="2"/>
                <w:sz w:val="14"/>
                <w:szCs w:val="14"/>
                <w:lang w:val="es-ES"/>
                <w14:ligatures w14:val="standardContextual"/>
              </w:rPr>
            </w:pPr>
            <w:r w:rsidRPr="00B63FAE">
              <w:rPr>
                <w:rFonts w:ascii="Times New Roman" w:eastAsia="Aptos" w:hAnsi="Times New Roman" w:cs="Times New Roman"/>
                <w:color w:val="000000"/>
                <w:kern w:val="2"/>
                <w:sz w:val="14"/>
                <w:szCs w:val="14"/>
                <w:lang w:val="es-ES"/>
                <w14:ligatures w14:val="standardContextual"/>
              </w:rPr>
              <w:t>Treguesi G. Cilësia e ofrimit të shërbimit</w:t>
            </w:r>
          </w:p>
        </w:tc>
        <w:tc>
          <w:tcPr>
            <w:tcW w:w="272" w:type="pct"/>
            <w:tcBorders>
              <w:top w:val="single" w:sz="4" w:space="0" w:color="auto"/>
              <w:left w:val="nil"/>
              <w:bottom w:val="single" w:sz="8"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66.7%</w:t>
            </w:r>
          </w:p>
        </w:tc>
        <w:tc>
          <w:tcPr>
            <w:tcW w:w="303" w:type="pct"/>
            <w:tcBorders>
              <w:top w:val="single" w:sz="4" w:space="0" w:color="auto"/>
              <w:left w:val="single" w:sz="8" w:space="0" w:color="auto"/>
              <w:bottom w:val="single" w:sz="8" w:space="0" w:color="auto"/>
              <w:right w:val="single" w:sz="8" w:space="0" w:color="auto"/>
            </w:tcBorders>
            <w:shd w:val="clear" w:color="000000" w:fill="FBA476"/>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41.7%</w:t>
            </w:r>
          </w:p>
        </w:tc>
        <w:tc>
          <w:tcPr>
            <w:tcW w:w="291" w:type="pct"/>
            <w:tcBorders>
              <w:top w:val="single" w:sz="4" w:space="0" w:color="auto"/>
              <w:left w:val="single" w:sz="8" w:space="0" w:color="auto"/>
              <w:bottom w:val="single" w:sz="8" w:space="0" w:color="auto"/>
              <w:right w:val="single" w:sz="8" w:space="0" w:color="auto"/>
            </w:tcBorders>
            <w:shd w:val="clear" w:color="000000" w:fill="FDC77D"/>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54.2%</w:t>
            </w:r>
          </w:p>
        </w:tc>
        <w:tc>
          <w:tcPr>
            <w:tcW w:w="275" w:type="pct"/>
            <w:tcBorders>
              <w:top w:val="single" w:sz="4" w:space="0" w:color="auto"/>
              <w:left w:val="single" w:sz="8" w:space="0" w:color="auto"/>
              <w:bottom w:val="single" w:sz="8" w:space="0" w:color="auto"/>
              <w:right w:val="single" w:sz="8" w:space="0" w:color="auto"/>
            </w:tcBorders>
            <w:shd w:val="clear" w:color="000000" w:fill="FBA476"/>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41.7%</w:t>
            </w:r>
          </w:p>
        </w:tc>
        <w:tc>
          <w:tcPr>
            <w:tcW w:w="311" w:type="pct"/>
            <w:tcBorders>
              <w:top w:val="single" w:sz="4" w:space="0" w:color="auto"/>
              <w:left w:val="single" w:sz="8" w:space="0" w:color="auto"/>
              <w:bottom w:val="single" w:sz="8" w:space="0" w:color="auto"/>
              <w:right w:val="single" w:sz="8" w:space="0" w:color="auto"/>
            </w:tcBorders>
            <w:shd w:val="clear" w:color="000000" w:fill="E5E483"/>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70.8%</w:t>
            </w:r>
          </w:p>
        </w:tc>
        <w:tc>
          <w:tcPr>
            <w:tcW w:w="303" w:type="pct"/>
            <w:tcBorders>
              <w:top w:val="single" w:sz="4" w:space="0" w:color="auto"/>
              <w:left w:val="single" w:sz="8" w:space="0" w:color="auto"/>
              <w:bottom w:val="single" w:sz="8" w:space="0" w:color="auto"/>
              <w:right w:val="single" w:sz="8" w:space="0" w:color="auto"/>
            </w:tcBorders>
            <w:shd w:val="clear" w:color="000000" w:fill="F8696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20.8%</w:t>
            </w:r>
          </w:p>
        </w:tc>
        <w:tc>
          <w:tcPr>
            <w:tcW w:w="272" w:type="pct"/>
            <w:tcBorders>
              <w:top w:val="single" w:sz="4" w:space="0" w:color="auto"/>
              <w:left w:val="single" w:sz="8" w:space="0" w:color="auto"/>
              <w:bottom w:val="single" w:sz="8" w:space="0" w:color="auto"/>
              <w:right w:val="single" w:sz="8" w:space="0" w:color="auto"/>
            </w:tcBorders>
            <w:shd w:val="clear" w:color="000000" w:fill="F8746D"/>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25.0%</w:t>
            </w:r>
          </w:p>
        </w:tc>
        <w:tc>
          <w:tcPr>
            <w:tcW w:w="272" w:type="pct"/>
            <w:tcBorders>
              <w:top w:val="single" w:sz="4" w:space="0" w:color="auto"/>
              <w:left w:val="single" w:sz="8" w:space="0" w:color="auto"/>
              <w:bottom w:val="single" w:sz="8"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66.7%</w:t>
            </w:r>
          </w:p>
        </w:tc>
        <w:tc>
          <w:tcPr>
            <w:tcW w:w="303" w:type="pct"/>
            <w:tcBorders>
              <w:top w:val="single" w:sz="4" w:space="0" w:color="auto"/>
              <w:left w:val="single" w:sz="8" w:space="0" w:color="auto"/>
              <w:bottom w:val="single" w:sz="8"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66.7%</w:t>
            </w:r>
          </w:p>
        </w:tc>
        <w:tc>
          <w:tcPr>
            <w:tcW w:w="272" w:type="pct"/>
            <w:tcBorders>
              <w:top w:val="single" w:sz="4" w:space="0" w:color="auto"/>
              <w:left w:val="single" w:sz="8" w:space="0" w:color="auto"/>
              <w:bottom w:val="single" w:sz="8" w:space="0" w:color="auto"/>
              <w:right w:val="single" w:sz="8" w:space="0" w:color="auto"/>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66.7%</w:t>
            </w:r>
          </w:p>
        </w:tc>
        <w:tc>
          <w:tcPr>
            <w:tcW w:w="303" w:type="pct"/>
            <w:tcBorders>
              <w:top w:val="single" w:sz="4" w:space="0" w:color="auto"/>
              <w:left w:val="single" w:sz="8" w:space="0" w:color="auto"/>
              <w:bottom w:val="single" w:sz="8" w:space="0" w:color="auto"/>
              <w:right w:val="single" w:sz="8" w:space="0" w:color="auto"/>
            </w:tcBorders>
            <w:shd w:val="clear" w:color="000000" w:fill="97CD7E"/>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83.3%</w:t>
            </w:r>
          </w:p>
        </w:tc>
        <w:tc>
          <w:tcPr>
            <w:tcW w:w="303" w:type="pct"/>
            <w:tcBorders>
              <w:top w:val="single" w:sz="4" w:space="0" w:color="auto"/>
              <w:left w:val="single" w:sz="8" w:space="0" w:color="auto"/>
              <w:bottom w:val="single" w:sz="8" w:space="0" w:color="auto"/>
              <w:right w:val="single" w:sz="8" w:space="0" w:color="auto"/>
            </w:tcBorders>
            <w:shd w:val="clear" w:color="000000" w:fill="63BE7B"/>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91.7%</w:t>
            </w:r>
          </w:p>
        </w:tc>
        <w:tc>
          <w:tcPr>
            <w:tcW w:w="302" w:type="pct"/>
            <w:tcBorders>
              <w:top w:val="single" w:sz="4" w:space="0" w:color="auto"/>
              <w:left w:val="single" w:sz="8" w:space="0" w:color="auto"/>
              <w:bottom w:val="single" w:sz="8" w:space="0" w:color="auto"/>
              <w:right w:val="single" w:sz="8" w:space="0" w:color="auto"/>
            </w:tcBorders>
            <w:shd w:val="clear" w:color="000000" w:fill="FBAF78"/>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45.8%</w:t>
            </w:r>
          </w:p>
        </w:tc>
        <w:tc>
          <w:tcPr>
            <w:tcW w:w="303" w:type="pct"/>
            <w:tcBorders>
              <w:top w:val="single" w:sz="4" w:space="0" w:color="auto"/>
              <w:left w:val="single" w:sz="8" w:space="0" w:color="auto"/>
              <w:bottom w:val="single" w:sz="8" w:space="0" w:color="auto"/>
              <w:right w:val="single" w:sz="8" w:space="0" w:color="auto"/>
            </w:tcBorders>
            <w:shd w:val="clear" w:color="000000" w:fill="F8746D"/>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25.0%</w:t>
            </w:r>
          </w:p>
        </w:tc>
        <w:tc>
          <w:tcPr>
            <w:tcW w:w="303" w:type="pct"/>
            <w:tcBorders>
              <w:top w:val="single" w:sz="4" w:space="0" w:color="auto"/>
              <w:left w:val="single" w:sz="8" w:space="0" w:color="auto"/>
              <w:bottom w:val="single" w:sz="8" w:space="0" w:color="auto"/>
              <w:right w:val="nil"/>
            </w:tcBorders>
            <w:shd w:val="clear" w:color="000000" w:fill="FFEB84"/>
            <w:noWrap/>
            <w:vAlign w:val="center"/>
            <w:hideMark/>
          </w:tcPr>
          <w:p w:rsidR="00B63FAE" w:rsidRPr="00B63FAE" w:rsidRDefault="00B63FAE" w:rsidP="00B63FAE">
            <w:pPr>
              <w:spacing w:after="0" w:line="278" w:lineRule="auto"/>
              <w:rPr>
                <w:rFonts w:ascii="Aptos Narrow" w:eastAsia="Aptos" w:hAnsi="Aptos Narrow" w:cs="Times New Roman"/>
                <w:color w:val="000000"/>
                <w:kern w:val="2"/>
                <w:sz w:val="14"/>
                <w:szCs w:val="14"/>
                <w:lang w:val="en-GB" w:eastAsia="en-GB"/>
                <w14:ligatures w14:val="standardContextual"/>
              </w:rPr>
            </w:pPr>
            <w:r w:rsidRPr="00B63FAE">
              <w:rPr>
                <w:rFonts w:ascii="Aptos Narrow" w:eastAsia="Aptos" w:hAnsi="Aptos Narrow" w:cs="Times New Roman"/>
                <w:color w:val="000000"/>
                <w:kern w:val="2"/>
                <w:sz w:val="14"/>
                <w:szCs w:val="14"/>
                <w:lang w:val="en-GB" w:eastAsia="en-GB"/>
                <w14:ligatures w14:val="standardContextual"/>
              </w:rPr>
              <w:t>66.7%</w:t>
            </w:r>
          </w:p>
        </w:tc>
      </w:tr>
    </w:tbl>
    <w:p w:rsidR="00A64C7E" w:rsidRDefault="00A64C7E" w:rsidP="00E0358A">
      <w:pPr>
        <w:rPr>
          <w:sz w:val="24"/>
          <w:szCs w:val="24"/>
        </w:rPr>
      </w:pPr>
    </w:p>
    <w:p w:rsidR="002E3D6D" w:rsidRPr="00493867" w:rsidRDefault="002E3D6D" w:rsidP="002E3D6D">
      <w:pPr>
        <w:rPr>
          <w:rFonts w:ascii="Times New Roman" w:eastAsia="Aptos" w:hAnsi="Times New Roman" w:cs="Times New Roman"/>
          <w:b/>
          <w:bCs/>
          <w:sz w:val="24"/>
          <w:szCs w:val="24"/>
          <w:lang w:val="en-GB"/>
        </w:rPr>
      </w:pPr>
      <w:bookmarkStart w:id="64" w:name="_Hlk228284065"/>
      <w:r w:rsidRPr="00493867">
        <w:rPr>
          <w:rFonts w:ascii="Times New Roman" w:hAnsi="Times New Roman" w:cs="Times New Roman"/>
          <w:b/>
          <w:sz w:val="24"/>
          <w:szCs w:val="24"/>
        </w:rPr>
        <w:t>10.3.3</w:t>
      </w:r>
      <w:r w:rsidRPr="00493867">
        <w:rPr>
          <w:rFonts w:ascii="Times New Roman" w:eastAsia="Aptos" w:hAnsi="Times New Roman" w:cs="Times New Roman"/>
          <w:b/>
          <w:bCs/>
          <w:sz w:val="24"/>
          <w:szCs w:val="24"/>
          <w:lang w:val="en-GB"/>
        </w:rPr>
        <w:t xml:space="preserve"> Fushat me Shqetësimet Kryesore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 xml:space="preserve">Bazuar në vlerësimin e performancës për vitin 2025, bashkitë që përballen me sfidat më të mëdha janë: </w:t>
      </w:r>
    </w:p>
    <w:p w:rsidR="002E3D6D" w:rsidRPr="00493867" w:rsidRDefault="002E3D6D" w:rsidP="00807975">
      <w:pPr>
        <w:numPr>
          <w:ilvl w:val="0"/>
          <w:numId w:val="172"/>
        </w:numPr>
        <w:jc w:val="both"/>
        <w:rPr>
          <w:rFonts w:ascii="Times New Roman" w:eastAsia="Aptos" w:hAnsi="Times New Roman" w:cs="Times New Roman"/>
          <w:sz w:val="24"/>
          <w:szCs w:val="24"/>
          <w:lang w:val="en-GB"/>
        </w:rPr>
      </w:pPr>
      <w:r w:rsidRPr="00493867">
        <w:rPr>
          <w:rFonts w:ascii="Times New Roman" w:eastAsia="Aptos" w:hAnsi="Times New Roman" w:cs="Times New Roman"/>
          <w:b/>
          <w:bCs/>
          <w:sz w:val="24"/>
          <w:szCs w:val="24"/>
          <w:lang w:val="en-GB"/>
        </w:rPr>
        <w:t>Kukësi</w:t>
      </w:r>
      <w:r w:rsidRPr="00493867">
        <w:rPr>
          <w:rFonts w:ascii="Times New Roman" w:eastAsia="Aptos" w:hAnsi="Times New Roman" w:cs="Times New Roman"/>
          <w:sz w:val="24"/>
          <w:szCs w:val="24"/>
          <w:lang w:val="en-GB"/>
        </w:rPr>
        <w:t xml:space="preserve">, i cili, pavarësisht se raporton mbulim të lartë të shërbimit dhe tregues të mirë financiarë, vazhdon të raportojë 0% përputhshmëri të trajtimit të mbetjeve me legjislacionin. Mungesa e infrastrukturës së peshimit dhe vlerësimi i sasive të mbetjeve bazuar në vëllimin e mjeteve të transportit ngre shqetësime lidhur me besueshmërinë e të dhënave. </w:t>
      </w:r>
    </w:p>
    <w:p w:rsidR="002E3D6D" w:rsidRPr="00493867" w:rsidRDefault="002E3D6D" w:rsidP="00807975">
      <w:pPr>
        <w:numPr>
          <w:ilvl w:val="0"/>
          <w:numId w:val="172"/>
        </w:numPr>
        <w:jc w:val="both"/>
        <w:rPr>
          <w:rFonts w:ascii="Times New Roman" w:eastAsia="Aptos" w:hAnsi="Times New Roman" w:cs="Times New Roman"/>
          <w:sz w:val="24"/>
          <w:szCs w:val="24"/>
          <w:lang w:val="en-GB"/>
        </w:rPr>
      </w:pPr>
      <w:r w:rsidRPr="00493867">
        <w:rPr>
          <w:rFonts w:ascii="Times New Roman" w:eastAsia="Aptos" w:hAnsi="Times New Roman" w:cs="Times New Roman"/>
          <w:b/>
          <w:bCs/>
          <w:sz w:val="24"/>
          <w:szCs w:val="24"/>
          <w:lang w:val="en-GB"/>
        </w:rPr>
        <w:t>Këlcyra</w:t>
      </w:r>
      <w:r w:rsidRPr="00493867">
        <w:rPr>
          <w:rFonts w:ascii="Times New Roman" w:eastAsia="Aptos" w:hAnsi="Times New Roman" w:cs="Times New Roman"/>
          <w:sz w:val="24"/>
          <w:szCs w:val="24"/>
          <w:lang w:val="en-GB"/>
        </w:rPr>
        <w:t xml:space="preserve">, e cila ka përmirësuar ndjeshëm përputhshmërinë e trajtimit deri në 100%, por vazhdon të regjistrojë nivele shumë të ulëta të kënaqësisë së publikut (25%), cilësi të dobët të shërbimit (20.8%) dhe nivel shumë të ulët të rikuperimit të kostove (17.5%). </w:t>
      </w:r>
    </w:p>
    <w:p w:rsidR="002E3D6D" w:rsidRPr="00493867" w:rsidRDefault="002E3D6D" w:rsidP="00807975">
      <w:pPr>
        <w:numPr>
          <w:ilvl w:val="0"/>
          <w:numId w:val="172"/>
        </w:numPr>
        <w:jc w:val="both"/>
        <w:rPr>
          <w:rFonts w:ascii="Times New Roman" w:eastAsia="Aptos" w:hAnsi="Times New Roman" w:cs="Times New Roman"/>
          <w:sz w:val="24"/>
          <w:szCs w:val="24"/>
          <w:lang w:val="en-GB"/>
        </w:rPr>
      </w:pPr>
      <w:r w:rsidRPr="00493867">
        <w:rPr>
          <w:rFonts w:ascii="Times New Roman" w:eastAsia="Aptos" w:hAnsi="Times New Roman" w:cs="Times New Roman"/>
          <w:b/>
          <w:bCs/>
          <w:sz w:val="24"/>
          <w:szCs w:val="24"/>
          <w:lang w:val="en-GB"/>
        </w:rPr>
        <w:t>Gjirokastra</w:t>
      </w:r>
      <w:r w:rsidRPr="00493867">
        <w:rPr>
          <w:rFonts w:ascii="Times New Roman" w:eastAsia="Aptos" w:hAnsi="Times New Roman" w:cs="Times New Roman"/>
          <w:sz w:val="24"/>
          <w:szCs w:val="24"/>
          <w:lang w:val="en-GB"/>
        </w:rPr>
        <w:t xml:space="preserve">, e cila ruan një nivel të lartë të pastërtisë së territorit (85%), por vazhdon të raportojë 0% ndarje të mbetjeve në burim dhe 0% përputhshmëri të trajtimit, duke evidentuar nevojën për investime në infrastrukturën e trajtimit dhe në masat e ekonomisë qarkulluese. </w:t>
      </w:r>
    </w:p>
    <w:p w:rsidR="002E3D6D" w:rsidRPr="00493867" w:rsidRDefault="002E3D6D" w:rsidP="00807975">
      <w:pPr>
        <w:numPr>
          <w:ilvl w:val="0"/>
          <w:numId w:val="172"/>
        </w:numPr>
        <w:jc w:val="both"/>
        <w:rPr>
          <w:rFonts w:ascii="Times New Roman" w:eastAsia="Aptos" w:hAnsi="Times New Roman" w:cs="Times New Roman"/>
          <w:sz w:val="24"/>
          <w:szCs w:val="24"/>
          <w:lang w:val="en-GB"/>
        </w:rPr>
      </w:pPr>
      <w:r w:rsidRPr="00493867">
        <w:rPr>
          <w:rFonts w:ascii="Times New Roman" w:eastAsia="Aptos" w:hAnsi="Times New Roman" w:cs="Times New Roman"/>
          <w:b/>
          <w:bCs/>
          <w:sz w:val="24"/>
          <w:szCs w:val="24"/>
          <w:lang w:val="en-GB"/>
        </w:rPr>
        <w:t>Tepelena</w:t>
      </w:r>
      <w:r w:rsidRPr="00493867">
        <w:rPr>
          <w:rFonts w:ascii="Times New Roman" w:eastAsia="Aptos" w:hAnsi="Times New Roman" w:cs="Times New Roman"/>
          <w:sz w:val="24"/>
          <w:szCs w:val="24"/>
          <w:lang w:val="en-GB"/>
        </w:rPr>
        <w:t xml:space="preserve">, e cila ka përmirësuar mbulimin dhe cilësinë e shërbimit, por vazhdon të mos raportojë trajtim të mbetjeve në përputhje me kërkesat ligjore dhe ka një nivel shumë të ulët të rikuperimit të kostove (18.4%). </w:t>
      </w:r>
    </w:p>
    <w:p w:rsidR="002E3D6D" w:rsidRPr="00493867" w:rsidRDefault="002E3D6D" w:rsidP="00807975">
      <w:pPr>
        <w:numPr>
          <w:ilvl w:val="0"/>
          <w:numId w:val="172"/>
        </w:numPr>
        <w:jc w:val="both"/>
        <w:rPr>
          <w:rFonts w:ascii="Times New Roman" w:eastAsia="Aptos" w:hAnsi="Times New Roman" w:cs="Times New Roman"/>
          <w:sz w:val="24"/>
          <w:szCs w:val="24"/>
          <w:lang w:val="en-GB"/>
        </w:rPr>
      </w:pPr>
      <w:r w:rsidRPr="00493867">
        <w:rPr>
          <w:rFonts w:ascii="Times New Roman" w:eastAsia="Aptos" w:hAnsi="Times New Roman" w:cs="Times New Roman"/>
          <w:b/>
          <w:bCs/>
          <w:sz w:val="24"/>
          <w:szCs w:val="24"/>
          <w:lang w:val="en-GB"/>
        </w:rPr>
        <w:t>Prrenjasi</w:t>
      </w:r>
      <w:r w:rsidRPr="00493867">
        <w:rPr>
          <w:rFonts w:ascii="Times New Roman" w:eastAsia="Aptos" w:hAnsi="Times New Roman" w:cs="Times New Roman"/>
          <w:sz w:val="24"/>
          <w:szCs w:val="24"/>
          <w:lang w:val="en-GB"/>
        </w:rPr>
        <w:t xml:space="preserve"> dhe </w:t>
      </w:r>
      <w:r w:rsidRPr="00493867">
        <w:rPr>
          <w:rFonts w:ascii="Times New Roman" w:eastAsia="Aptos" w:hAnsi="Times New Roman" w:cs="Times New Roman"/>
          <w:b/>
          <w:bCs/>
          <w:sz w:val="24"/>
          <w:szCs w:val="24"/>
          <w:lang w:val="en-GB"/>
        </w:rPr>
        <w:t>Pogradeci</w:t>
      </w:r>
      <w:r w:rsidRPr="00493867">
        <w:rPr>
          <w:rFonts w:ascii="Times New Roman" w:eastAsia="Aptos" w:hAnsi="Times New Roman" w:cs="Times New Roman"/>
          <w:sz w:val="24"/>
          <w:szCs w:val="24"/>
          <w:lang w:val="en-GB"/>
        </w:rPr>
        <w:t xml:space="preserve">, të cilët kanë përmirësuar kënaqësinë e publikut dhe aksesin në </w:t>
      </w:r>
      <w:r w:rsidRPr="00493867">
        <w:rPr>
          <w:rFonts w:ascii="Times New Roman" w:eastAsia="Aptos" w:hAnsi="Times New Roman" w:cs="Times New Roman"/>
          <w:sz w:val="24"/>
          <w:szCs w:val="24"/>
          <w:lang w:val="en-GB"/>
        </w:rPr>
        <w:lastRenderedPageBreak/>
        <w:t>shërbim, por treguesit financiarë dhe të kostove kërkojnë verifikime të mëtejshme për shkak të ndryshimeve në planifikimin financiar dhe vonesave në kryerjen e pagesave.</w:t>
      </w:r>
    </w:p>
    <w:p w:rsidR="00493867" w:rsidRPr="00493867" w:rsidRDefault="00493867" w:rsidP="002E3D6D">
      <w:pPr>
        <w:jc w:val="both"/>
        <w:rPr>
          <w:rFonts w:ascii="Times New Roman" w:eastAsia="Aptos" w:hAnsi="Times New Roman" w:cs="Times New Roman"/>
          <w:sz w:val="24"/>
          <w:szCs w:val="24"/>
        </w:rPr>
      </w:pPr>
    </w:p>
    <w:p w:rsidR="002E3D6D" w:rsidRPr="00493867" w:rsidRDefault="002E3D6D" w:rsidP="002E3D6D">
      <w:pPr>
        <w:jc w:val="both"/>
        <w:rPr>
          <w:rFonts w:ascii="Times New Roman" w:eastAsia="Aptos" w:hAnsi="Times New Roman" w:cs="Times New Roman"/>
          <w:b/>
          <w:bCs/>
          <w:sz w:val="24"/>
          <w:szCs w:val="24"/>
          <w:lang w:val="en-GB"/>
        </w:rPr>
      </w:pPr>
      <w:r w:rsidRPr="00493867">
        <w:rPr>
          <w:rFonts w:ascii="Times New Roman" w:eastAsia="Aptos" w:hAnsi="Times New Roman" w:cs="Times New Roman"/>
          <w:b/>
          <w:bCs/>
          <w:sz w:val="24"/>
          <w:szCs w:val="24"/>
          <w:lang w:val="en-GB"/>
        </w:rPr>
        <w:t>10.3.4 Bashkitë që Zbatojnë Ndarjen në Burim dhe Trajtimin e Mbetjeve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 xml:space="preserve">Ashtu si në vitet e mëparshme, vetëm një numër i kufizuar bashkish po zbatojnë në mënyrë aktive sistemet e ndarjes në burim dhe trajtimit të mbetjeve, të mbështetura nga projekti. </w:t>
      </w:r>
    </w:p>
    <w:p w:rsidR="002E3D6D" w:rsidRPr="00493867" w:rsidRDefault="002E3D6D" w:rsidP="00807975">
      <w:pPr>
        <w:numPr>
          <w:ilvl w:val="0"/>
          <w:numId w:val="173"/>
        </w:numPr>
        <w:jc w:val="both"/>
        <w:rPr>
          <w:rFonts w:ascii="Times New Roman" w:eastAsia="Aptos" w:hAnsi="Times New Roman" w:cs="Times New Roman"/>
          <w:sz w:val="24"/>
          <w:szCs w:val="24"/>
          <w:lang w:val="en-GB"/>
        </w:rPr>
      </w:pPr>
      <w:r w:rsidRPr="00493867">
        <w:rPr>
          <w:rFonts w:ascii="Times New Roman" w:eastAsia="Aptos" w:hAnsi="Times New Roman" w:cs="Times New Roman"/>
          <w:b/>
          <w:bCs/>
          <w:sz w:val="24"/>
          <w:szCs w:val="24"/>
          <w:lang w:val="en-GB"/>
        </w:rPr>
        <w:t>Belshi</w:t>
      </w:r>
      <w:r w:rsidRPr="00493867">
        <w:rPr>
          <w:rFonts w:ascii="Times New Roman" w:eastAsia="Aptos" w:hAnsi="Times New Roman" w:cs="Times New Roman"/>
          <w:sz w:val="24"/>
          <w:szCs w:val="24"/>
          <w:lang w:val="en-GB"/>
        </w:rPr>
        <w:t xml:space="preserve"> raportoi nivelin më të lartë të ndarjes në burim, me 34.4%, kryesisht falë funksionimit të suksesshëm të sistemit të kompostimit të mbetjeve të gjelbra. Ky rezultat përfaqëson performancën më të mirë në drejtim të ekonomisë qarkulluese ndërmjet bashkive partnere. </w:t>
      </w:r>
    </w:p>
    <w:p w:rsidR="002E3D6D" w:rsidRPr="00493867" w:rsidRDefault="002E3D6D" w:rsidP="00807975">
      <w:pPr>
        <w:numPr>
          <w:ilvl w:val="0"/>
          <w:numId w:val="173"/>
        </w:numPr>
        <w:jc w:val="both"/>
        <w:rPr>
          <w:rFonts w:ascii="Times New Roman" w:eastAsia="Aptos" w:hAnsi="Times New Roman" w:cs="Times New Roman"/>
          <w:sz w:val="24"/>
          <w:szCs w:val="24"/>
          <w:lang w:val="en-GB"/>
        </w:rPr>
      </w:pPr>
      <w:r w:rsidRPr="00493867">
        <w:rPr>
          <w:rFonts w:ascii="Times New Roman" w:eastAsia="Aptos" w:hAnsi="Times New Roman" w:cs="Times New Roman"/>
          <w:b/>
          <w:bCs/>
          <w:sz w:val="24"/>
          <w:szCs w:val="24"/>
          <w:lang w:val="en-GB"/>
        </w:rPr>
        <w:t>Roskoveci</w:t>
      </w:r>
      <w:r w:rsidRPr="00493867">
        <w:rPr>
          <w:rFonts w:ascii="Times New Roman" w:eastAsia="Aptos" w:hAnsi="Times New Roman" w:cs="Times New Roman"/>
          <w:sz w:val="24"/>
          <w:szCs w:val="24"/>
          <w:lang w:val="en-GB"/>
        </w:rPr>
        <w:t xml:space="preserve"> vazhdoi progresin e qëndrueshëm, duke arritur një normë të ndarjes në burim prej 20.2%, kryesisht nëpërmjet kompostimit të mbetjeve të gjelbra dhe aktiviteteve të rikuperimit të materialeve. </w:t>
      </w:r>
    </w:p>
    <w:p w:rsidR="002E3D6D" w:rsidRPr="00493867" w:rsidRDefault="002E3D6D" w:rsidP="00807975">
      <w:pPr>
        <w:numPr>
          <w:ilvl w:val="0"/>
          <w:numId w:val="173"/>
        </w:numPr>
        <w:jc w:val="both"/>
        <w:rPr>
          <w:rFonts w:ascii="Times New Roman" w:eastAsia="Aptos" w:hAnsi="Times New Roman" w:cs="Times New Roman"/>
          <w:sz w:val="24"/>
          <w:szCs w:val="24"/>
          <w:lang w:val="en-GB"/>
        </w:rPr>
      </w:pPr>
      <w:r w:rsidRPr="00493867">
        <w:rPr>
          <w:rFonts w:ascii="Times New Roman" w:eastAsia="Aptos" w:hAnsi="Times New Roman" w:cs="Times New Roman"/>
          <w:b/>
          <w:bCs/>
          <w:sz w:val="24"/>
          <w:szCs w:val="24"/>
          <w:lang w:val="en-GB"/>
        </w:rPr>
        <w:t>Cërriku</w:t>
      </w:r>
      <w:r w:rsidRPr="00493867">
        <w:rPr>
          <w:rFonts w:ascii="Times New Roman" w:eastAsia="Aptos" w:hAnsi="Times New Roman" w:cs="Times New Roman"/>
          <w:sz w:val="24"/>
          <w:szCs w:val="24"/>
          <w:lang w:val="en-GB"/>
        </w:rPr>
        <w:t xml:space="preserve"> ruajti një performancë të mirë me 17.3% të mbetjeve të grumbulluara veçmas, duke konfirmuar funksionimin e vazhdueshëm të sistemit të kompostimit dhe rikuperimit. </w:t>
      </w:r>
    </w:p>
    <w:p w:rsidR="002E3D6D" w:rsidRPr="00493867" w:rsidRDefault="002E3D6D" w:rsidP="00807975">
      <w:pPr>
        <w:numPr>
          <w:ilvl w:val="0"/>
          <w:numId w:val="173"/>
        </w:numPr>
        <w:jc w:val="both"/>
        <w:rPr>
          <w:rFonts w:ascii="Times New Roman" w:eastAsia="Aptos" w:hAnsi="Times New Roman" w:cs="Times New Roman"/>
          <w:sz w:val="24"/>
          <w:szCs w:val="24"/>
          <w:lang w:val="en-GB"/>
        </w:rPr>
      </w:pPr>
      <w:r w:rsidRPr="00493867">
        <w:rPr>
          <w:rFonts w:ascii="Times New Roman" w:eastAsia="Aptos" w:hAnsi="Times New Roman" w:cs="Times New Roman"/>
          <w:b/>
          <w:bCs/>
          <w:sz w:val="24"/>
          <w:szCs w:val="24"/>
          <w:lang w:val="en-GB"/>
        </w:rPr>
        <w:t>Saranda</w:t>
      </w:r>
      <w:r w:rsidRPr="00493867">
        <w:rPr>
          <w:rFonts w:ascii="Times New Roman" w:eastAsia="Aptos" w:hAnsi="Times New Roman" w:cs="Times New Roman"/>
          <w:sz w:val="24"/>
          <w:szCs w:val="24"/>
          <w:lang w:val="en-GB"/>
        </w:rPr>
        <w:t xml:space="preserve"> dhe </w:t>
      </w:r>
      <w:r w:rsidRPr="00493867">
        <w:rPr>
          <w:rFonts w:ascii="Times New Roman" w:eastAsia="Aptos" w:hAnsi="Times New Roman" w:cs="Times New Roman"/>
          <w:b/>
          <w:bCs/>
          <w:sz w:val="24"/>
          <w:szCs w:val="24"/>
          <w:lang w:val="en-GB"/>
        </w:rPr>
        <w:t>Prrenjasi</w:t>
      </w:r>
      <w:r w:rsidRPr="00493867">
        <w:rPr>
          <w:rFonts w:ascii="Times New Roman" w:eastAsia="Aptos" w:hAnsi="Times New Roman" w:cs="Times New Roman"/>
          <w:sz w:val="24"/>
          <w:szCs w:val="24"/>
          <w:lang w:val="en-GB"/>
        </w:rPr>
        <w:t xml:space="preserve"> raportuan nivele relativisht të ulëta të ndarjes në burim, por kanë filluar zbatimin e sistemeve të grumbullimit të ndarë dhe të aktiviteteve të trajtimit për materialet e riciklueshme. </w:t>
      </w:r>
      <w:r w:rsidRPr="00493867">
        <w:rPr>
          <w:rFonts w:ascii="Times New Roman" w:eastAsia="Aptos" w:hAnsi="Times New Roman" w:cs="Times New Roman"/>
          <w:b/>
          <w:bCs/>
          <w:sz w:val="24"/>
          <w:szCs w:val="24"/>
          <w:lang w:val="en-GB"/>
        </w:rPr>
        <w:t>Përmeti</w:t>
      </w:r>
      <w:r w:rsidRPr="00493867">
        <w:rPr>
          <w:rFonts w:ascii="Times New Roman" w:eastAsia="Aptos" w:hAnsi="Times New Roman" w:cs="Times New Roman"/>
          <w:sz w:val="24"/>
          <w:szCs w:val="24"/>
          <w:lang w:val="en-GB"/>
        </w:rPr>
        <w:t xml:space="preserve"> është bashkia më e re që ka filluar këto aktivitete në fund të vitit 2025. </w:t>
      </w:r>
    </w:p>
    <w:p w:rsidR="002E3D6D" w:rsidRPr="00493867" w:rsidRDefault="002E3D6D" w:rsidP="00807975">
      <w:pPr>
        <w:numPr>
          <w:ilvl w:val="0"/>
          <w:numId w:val="173"/>
        </w:num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Shumica e bashkive të tjera vazhdojnë të raportojnë nivele minimale ose zero të ndarjes në burim, duke konfirmuar se grumbullimi i veçuar i mbetjeve ende nuk është shndërruar në një shërbim standard bashkiak për të gjitha bashkitë partnere.</w:t>
      </w:r>
    </w:p>
    <w:p w:rsidR="002E3D6D" w:rsidRPr="00493867" w:rsidRDefault="002E3D6D" w:rsidP="00B63FAE">
      <w:pPr>
        <w:rPr>
          <w:rFonts w:ascii="Times New Roman" w:hAnsi="Times New Roman" w:cs="Times New Roman"/>
          <w:b/>
          <w:sz w:val="24"/>
          <w:szCs w:val="24"/>
        </w:rPr>
      </w:pPr>
    </w:p>
    <w:p w:rsidR="00B63FAE" w:rsidRPr="000C1D0D" w:rsidRDefault="00B63FAE" w:rsidP="00B63FAE">
      <w:pPr>
        <w:rPr>
          <w:rFonts w:ascii="Times New Roman" w:hAnsi="Times New Roman" w:cs="Times New Roman"/>
          <w:b/>
          <w:sz w:val="24"/>
          <w:szCs w:val="24"/>
        </w:rPr>
      </w:pPr>
      <w:r>
        <w:rPr>
          <w:rFonts w:ascii="Times New Roman" w:hAnsi="Times New Roman" w:cs="Times New Roman"/>
          <w:b/>
          <w:sz w:val="24"/>
          <w:szCs w:val="24"/>
        </w:rPr>
        <w:t xml:space="preserve">10.4 </w:t>
      </w:r>
      <w:r w:rsidRPr="000C1D0D">
        <w:rPr>
          <w:rFonts w:ascii="Times New Roman" w:hAnsi="Times New Roman" w:cs="Times New Roman"/>
          <w:b/>
          <w:sz w:val="24"/>
          <w:szCs w:val="24"/>
        </w:rPr>
        <w:t>Objektivat strategjik</w:t>
      </w:r>
      <w:r>
        <w:rPr>
          <w:rFonts w:ascii="Times New Roman" w:hAnsi="Times New Roman" w:cs="Times New Roman"/>
          <w:b/>
          <w:sz w:val="24"/>
          <w:szCs w:val="24"/>
        </w:rPr>
        <w:t>ë</w:t>
      </w:r>
      <w:r w:rsidRPr="000C1D0D">
        <w:rPr>
          <w:rFonts w:ascii="Times New Roman" w:hAnsi="Times New Roman" w:cs="Times New Roman"/>
          <w:b/>
          <w:sz w:val="24"/>
          <w:szCs w:val="24"/>
        </w:rPr>
        <w:t xml:space="preserve"> për mbetjet</w:t>
      </w:r>
    </w:p>
    <w:p w:rsidR="00B63FAE" w:rsidRPr="006074CB" w:rsidRDefault="00B63FAE" w:rsidP="00B63FAE">
      <w:pPr>
        <w:autoSpaceDE w:val="0"/>
        <w:autoSpaceDN w:val="0"/>
        <w:adjustRightInd w:val="0"/>
        <w:spacing w:after="0" w:line="240" w:lineRule="auto"/>
        <w:jc w:val="both"/>
        <w:rPr>
          <w:rFonts w:ascii="Times New Roman" w:eastAsia="Calibri" w:hAnsi="Times New Roman" w:cs="Times New Roman"/>
          <w:b/>
          <w:sz w:val="24"/>
          <w:szCs w:val="24"/>
        </w:rPr>
      </w:pPr>
      <w:r w:rsidRPr="006074CB">
        <w:rPr>
          <w:rFonts w:ascii="Times New Roman" w:eastAsia="Calibri" w:hAnsi="Times New Roman" w:cs="Times New Roman"/>
          <w:b/>
          <w:sz w:val="24"/>
          <w:szCs w:val="24"/>
        </w:rPr>
        <w:t xml:space="preserve">Strategjia </w:t>
      </w:r>
      <w:r>
        <w:rPr>
          <w:rFonts w:ascii="Times New Roman" w:eastAsia="Calibri" w:hAnsi="Times New Roman" w:cs="Times New Roman"/>
          <w:b/>
          <w:sz w:val="24"/>
          <w:szCs w:val="24"/>
        </w:rPr>
        <w:t>K</w:t>
      </w:r>
      <w:r w:rsidRPr="006074CB">
        <w:rPr>
          <w:rFonts w:ascii="Times New Roman" w:eastAsia="Calibri" w:hAnsi="Times New Roman" w:cs="Times New Roman"/>
          <w:b/>
          <w:sz w:val="24"/>
          <w:szCs w:val="24"/>
        </w:rPr>
        <w:t xml:space="preserve">ombëtare e </w:t>
      </w:r>
      <w:r>
        <w:rPr>
          <w:rFonts w:ascii="Times New Roman" w:eastAsia="Calibri" w:hAnsi="Times New Roman" w:cs="Times New Roman"/>
          <w:b/>
          <w:sz w:val="24"/>
          <w:szCs w:val="24"/>
        </w:rPr>
        <w:t>M</w:t>
      </w:r>
      <w:r w:rsidRPr="006074CB">
        <w:rPr>
          <w:rFonts w:ascii="Times New Roman" w:eastAsia="Calibri" w:hAnsi="Times New Roman" w:cs="Times New Roman"/>
          <w:b/>
          <w:sz w:val="24"/>
          <w:szCs w:val="24"/>
        </w:rPr>
        <w:t xml:space="preserve">enaxhimit të </w:t>
      </w:r>
      <w:r>
        <w:rPr>
          <w:rFonts w:ascii="Times New Roman" w:eastAsia="Calibri" w:hAnsi="Times New Roman" w:cs="Times New Roman"/>
          <w:b/>
          <w:sz w:val="24"/>
          <w:szCs w:val="24"/>
        </w:rPr>
        <w:t>Integruar të Mbetjeve dhe Plani Kombëtar i V</w:t>
      </w:r>
      <w:r w:rsidRPr="006074CB">
        <w:rPr>
          <w:rFonts w:ascii="Times New Roman" w:eastAsia="Calibri" w:hAnsi="Times New Roman" w:cs="Times New Roman"/>
          <w:b/>
          <w:sz w:val="24"/>
          <w:szCs w:val="24"/>
        </w:rPr>
        <w:t>eprimit, 2020–2035</w:t>
      </w:r>
    </w:p>
    <w:p w:rsidR="00B63FAE" w:rsidRPr="006074CB" w:rsidRDefault="00B63FAE" w:rsidP="00B63FAE">
      <w:pPr>
        <w:autoSpaceDE w:val="0"/>
        <w:autoSpaceDN w:val="0"/>
        <w:adjustRightInd w:val="0"/>
        <w:spacing w:after="0" w:line="240" w:lineRule="auto"/>
        <w:jc w:val="both"/>
        <w:rPr>
          <w:rFonts w:ascii="Times New Roman" w:eastAsia="Calibri" w:hAnsi="Times New Roman" w:cs="Times New Roman"/>
          <w:b/>
          <w:sz w:val="24"/>
          <w:szCs w:val="24"/>
        </w:rPr>
      </w:pPr>
    </w:p>
    <w:p w:rsidR="00B63FAE" w:rsidRPr="006074CB" w:rsidRDefault="00B63FAE" w:rsidP="00B63FAE">
      <w:pPr>
        <w:autoSpaceDE w:val="0"/>
        <w:autoSpaceDN w:val="0"/>
        <w:adjustRightInd w:val="0"/>
        <w:spacing w:after="0" w:line="240" w:lineRule="auto"/>
        <w:jc w:val="both"/>
        <w:rPr>
          <w:rFonts w:ascii="Times New Roman" w:eastAsia="Calibri" w:hAnsi="Times New Roman" w:cs="Times New Roman"/>
          <w:sz w:val="24"/>
          <w:szCs w:val="24"/>
        </w:rPr>
      </w:pPr>
      <w:r w:rsidRPr="006074CB">
        <w:rPr>
          <w:rFonts w:ascii="Times New Roman" w:eastAsia="Calibri" w:hAnsi="Times New Roman" w:cs="Times New Roman"/>
          <w:sz w:val="24"/>
          <w:szCs w:val="24"/>
        </w:rPr>
        <w:t>Dokumenti i politikave strategjike i rishikuar i menaxhimit të integruar të mbetjeve zhvillohet</w:t>
      </w:r>
      <w:r>
        <w:rPr>
          <w:rFonts w:ascii="Times New Roman" w:eastAsia="Calibri" w:hAnsi="Times New Roman" w:cs="Times New Roman"/>
          <w:sz w:val="24"/>
          <w:szCs w:val="24"/>
        </w:rPr>
        <w:t xml:space="preserve"> </w:t>
      </w:r>
      <w:r w:rsidRPr="006074CB">
        <w:rPr>
          <w:rFonts w:ascii="Times New Roman" w:eastAsia="Calibri" w:hAnsi="Times New Roman" w:cs="Times New Roman"/>
          <w:sz w:val="24"/>
          <w:szCs w:val="24"/>
        </w:rPr>
        <w:t>mbi vizionin ose perceptimin e konceptit “zero mbetje”, që</w:t>
      </w:r>
      <w:r>
        <w:rPr>
          <w:rFonts w:ascii="Times New Roman" w:eastAsia="Calibri" w:hAnsi="Times New Roman" w:cs="Times New Roman"/>
          <w:sz w:val="24"/>
          <w:szCs w:val="24"/>
        </w:rPr>
        <w:t xml:space="preserve"> mbetjet të grumbullohen dhe të </w:t>
      </w:r>
      <w:r w:rsidRPr="006074CB">
        <w:rPr>
          <w:rFonts w:ascii="Times New Roman" w:eastAsia="Calibri" w:hAnsi="Times New Roman" w:cs="Times New Roman"/>
          <w:sz w:val="24"/>
          <w:szCs w:val="24"/>
        </w:rPr>
        <w:t>trajtohen si lëndë të para dhe menaxhimi të bëhet në përput</w:t>
      </w:r>
      <w:r>
        <w:rPr>
          <w:rFonts w:ascii="Times New Roman" w:eastAsia="Calibri" w:hAnsi="Times New Roman" w:cs="Times New Roman"/>
          <w:sz w:val="24"/>
          <w:szCs w:val="24"/>
        </w:rPr>
        <w:t xml:space="preserve">hje me konceptin e sistemeve të </w:t>
      </w:r>
      <w:r w:rsidRPr="006074CB">
        <w:rPr>
          <w:rFonts w:ascii="Times New Roman" w:eastAsia="Calibri" w:hAnsi="Times New Roman" w:cs="Times New Roman"/>
          <w:sz w:val="24"/>
          <w:szCs w:val="24"/>
        </w:rPr>
        <w:t>ekonomive qarkulluese, në shërbim të përdorimit me kriter dhe të ruajtjes së burimeve të lëndëve</w:t>
      </w:r>
    </w:p>
    <w:p w:rsidR="00B63FAE" w:rsidRPr="006074CB" w:rsidRDefault="00B63FAE" w:rsidP="00B63FAE">
      <w:pPr>
        <w:autoSpaceDE w:val="0"/>
        <w:autoSpaceDN w:val="0"/>
        <w:adjustRightInd w:val="0"/>
        <w:spacing w:after="0" w:line="240" w:lineRule="auto"/>
        <w:jc w:val="both"/>
        <w:rPr>
          <w:rFonts w:ascii="Times New Roman" w:eastAsia="Calibri" w:hAnsi="Times New Roman" w:cs="Times New Roman"/>
          <w:sz w:val="24"/>
          <w:szCs w:val="24"/>
        </w:rPr>
      </w:pPr>
      <w:r w:rsidRPr="006074CB">
        <w:rPr>
          <w:rFonts w:ascii="Times New Roman" w:eastAsia="Calibri" w:hAnsi="Times New Roman" w:cs="Times New Roman"/>
          <w:sz w:val="24"/>
          <w:szCs w:val="24"/>
        </w:rPr>
        <w:t>të para. Dokumenti i politikave strategjike ka si qëllim kryesor të japë drejtimet strategjike dhe të</w:t>
      </w:r>
    </w:p>
    <w:p w:rsidR="00B63FAE" w:rsidRPr="006074CB" w:rsidRDefault="00B63FAE" w:rsidP="00B63FAE">
      <w:pPr>
        <w:autoSpaceDE w:val="0"/>
        <w:autoSpaceDN w:val="0"/>
        <w:adjustRightInd w:val="0"/>
        <w:spacing w:after="0" w:line="240" w:lineRule="auto"/>
        <w:jc w:val="both"/>
        <w:rPr>
          <w:rFonts w:ascii="Times New Roman" w:eastAsia="Calibri" w:hAnsi="Times New Roman" w:cs="Times New Roman"/>
          <w:sz w:val="24"/>
          <w:szCs w:val="24"/>
        </w:rPr>
      </w:pPr>
      <w:r w:rsidRPr="006074CB">
        <w:rPr>
          <w:rFonts w:ascii="Times New Roman" w:eastAsia="Calibri" w:hAnsi="Times New Roman" w:cs="Times New Roman"/>
          <w:sz w:val="24"/>
          <w:szCs w:val="24"/>
        </w:rPr>
        <w:t>përcaktojë një sërë masash që ndihmojnë vendin për t’u anëtarësuar në Bashkimin Evropian</w:t>
      </w:r>
      <w:r>
        <w:rPr>
          <w:rFonts w:ascii="Times New Roman" w:eastAsia="Calibri" w:hAnsi="Times New Roman" w:cs="Times New Roman"/>
          <w:sz w:val="24"/>
          <w:szCs w:val="24"/>
        </w:rPr>
        <w:t>.</w:t>
      </w:r>
    </w:p>
    <w:p w:rsidR="00B63FAE" w:rsidRPr="006074CB" w:rsidRDefault="00B63FAE" w:rsidP="00B63FAE">
      <w:pPr>
        <w:autoSpaceDE w:val="0"/>
        <w:autoSpaceDN w:val="0"/>
        <w:adjustRightInd w:val="0"/>
        <w:spacing w:after="0" w:line="240" w:lineRule="auto"/>
        <w:jc w:val="both"/>
        <w:rPr>
          <w:rFonts w:ascii="Times New Roman" w:eastAsia="Calibri" w:hAnsi="Times New Roman" w:cs="Times New Roman"/>
          <w:b/>
          <w:sz w:val="24"/>
          <w:szCs w:val="24"/>
        </w:rPr>
      </w:pPr>
    </w:p>
    <w:p w:rsidR="00B63FAE" w:rsidRPr="006074CB" w:rsidRDefault="00B63FAE" w:rsidP="00B63FAE">
      <w:pPr>
        <w:autoSpaceDE w:val="0"/>
        <w:autoSpaceDN w:val="0"/>
        <w:adjustRightInd w:val="0"/>
        <w:spacing w:after="0" w:line="240" w:lineRule="auto"/>
        <w:jc w:val="both"/>
        <w:rPr>
          <w:rFonts w:ascii="Times New Roman" w:eastAsia="Calibri" w:hAnsi="Times New Roman" w:cs="Times New Roman"/>
          <w:b/>
          <w:sz w:val="24"/>
          <w:szCs w:val="24"/>
        </w:rPr>
      </w:pPr>
      <w:r w:rsidRPr="006074CB">
        <w:rPr>
          <w:rFonts w:ascii="Times New Roman" w:eastAsia="Calibri" w:hAnsi="Times New Roman" w:cs="Times New Roman"/>
          <w:b/>
          <w:sz w:val="24"/>
          <w:szCs w:val="24"/>
        </w:rPr>
        <w:t>Vizioni</w:t>
      </w:r>
    </w:p>
    <w:p w:rsidR="00B63FAE" w:rsidRPr="006074CB" w:rsidRDefault="00B63FAE" w:rsidP="00B63FAE">
      <w:pPr>
        <w:autoSpaceDE w:val="0"/>
        <w:autoSpaceDN w:val="0"/>
        <w:adjustRightInd w:val="0"/>
        <w:spacing w:after="0" w:line="240" w:lineRule="auto"/>
        <w:jc w:val="both"/>
        <w:rPr>
          <w:rFonts w:ascii="Times New Roman" w:eastAsia="Calibri" w:hAnsi="Times New Roman" w:cs="Times New Roman"/>
          <w:b/>
          <w:sz w:val="24"/>
          <w:szCs w:val="24"/>
        </w:rPr>
      </w:pPr>
      <w:r w:rsidRPr="006074CB">
        <w:rPr>
          <w:rFonts w:ascii="Times New Roman" w:eastAsia="Calibri" w:hAnsi="Times New Roman" w:cs="Times New Roman"/>
          <w:b/>
          <w:sz w:val="24"/>
          <w:szCs w:val="24"/>
        </w:rPr>
        <w:t>“Krijimi i një kuadri strategjik dhe rregullator në Shqipëri, për të ulur sasinë e mbetjeve të</w:t>
      </w:r>
    </w:p>
    <w:p w:rsidR="00B63FAE" w:rsidRPr="006074CB" w:rsidRDefault="00B63FAE" w:rsidP="00B63FAE">
      <w:pPr>
        <w:autoSpaceDE w:val="0"/>
        <w:autoSpaceDN w:val="0"/>
        <w:adjustRightInd w:val="0"/>
        <w:spacing w:after="0" w:line="240" w:lineRule="auto"/>
        <w:jc w:val="both"/>
        <w:rPr>
          <w:rFonts w:ascii="Times New Roman" w:eastAsia="Calibri" w:hAnsi="Times New Roman" w:cs="Times New Roman"/>
          <w:b/>
          <w:sz w:val="24"/>
          <w:szCs w:val="24"/>
        </w:rPr>
      </w:pPr>
      <w:r w:rsidRPr="006074CB">
        <w:rPr>
          <w:rFonts w:ascii="Times New Roman" w:eastAsia="Calibri" w:hAnsi="Times New Roman" w:cs="Times New Roman"/>
          <w:b/>
          <w:sz w:val="24"/>
          <w:szCs w:val="24"/>
        </w:rPr>
        <w:t>gjeneruara dhe për të menaxhuar në mënyrë të integruar mbetjet e gjeneruara në linjë me</w:t>
      </w:r>
    </w:p>
    <w:p w:rsidR="00B63FAE" w:rsidRPr="006074CB" w:rsidRDefault="00B63FAE" w:rsidP="00B63FAE">
      <w:pPr>
        <w:autoSpaceDE w:val="0"/>
        <w:autoSpaceDN w:val="0"/>
        <w:adjustRightInd w:val="0"/>
        <w:spacing w:after="0" w:line="240" w:lineRule="auto"/>
        <w:jc w:val="both"/>
        <w:rPr>
          <w:rFonts w:ascii="Times New Roman" w:eastAsia="Calibri" w:hAnsi="Times New Roman" w:cs="Times New Roman"/>
          <w:b/>
          <w:sz w:val="24"/>
          <w:szCs w:val="24"/>
        </w:rPr>
      </w:pPr>
      <w:r w:rsidRPr="006074CB">
        <w:rPr>
          <w:rFonts w:ascii="Times New Roman" w:eastAsia="Calibri" w:hAnsi="Times New Roman" w:cs="Times New Roman"/>
          <w:b/>
          <w:sz w:val="24"/>
          <w:szCs w:val="24"/>
        </w:rPr>
        <w:t>objektivat e direktivës kuadër të mbetjeve të BE-së dhe marrëveshjet ndërkombëtare”.</w:t>
      </w:r>
    </w:p>
    <w:p w:rsidR="00B63FAE" w:rsidRDefault="00B63FAE" w:rsidP="00B63FAE">
      <w:pPr>
        <w:rPr>
          <w:sz w:val="24"/>
          <w:szCs w:val="24"/>
        </w:rPr>
      </w:pPr>
    </w:p>
    <w:p w:rsidR="00B63FAE" w:rsidRPr="00190128" w:rsidRDefault="00B63FAE" w:rsidP="00807975">
      <w:pPr>
        <w:pStyle w:val="ListParagraph"/>
        <w:numPr>
          <w:ilvl w:val="0"/>
          <w:numId w:val="147"/>
        </w:numPr>
        <w:rPr>
          <w:sz w:val="24"/>
          <w:szCs w:val="24"/>
        </w:rPr>
      </w:pPr>
      <w:r w:rsidRPr="00190128">
        <w:rPr>
          <w:rFonts w:ascii="Times New Roman" w:hAnsi="Times New Roman" w:cs="Times New Roman"/>
          <w:b/>
          <w:sz w:val="24"/>
          <w:szCs w:val="24"/>
        </w:rPr>
        <w:t>Objektivat sipas rrymave të mbetjeve</w:t>
      </w:r>
      <w:r w:rsidRPr="00190128">
        <w:rPr>
          <w:sz w:val="24"/>
          <w:szCs w:val="24"/>
        </w:rPr>
        <w:t xml:space="preserve">: </w:t>
      </w:r>
    </w:p>
    <w:p w:rsidR="003A31D9" w:rsidRPr="00190128" w:rsidRDefault="003A31D9" w:rsidP="00B63FAE">
      <w:pPr>
        <w:rPr>
          <w:rFonts w:ascii="Times New Roman" w:hAnsi="Times New Roman" w:cs="Times New Roman"/>
          <w:b/>
          <w:sz w:val="24"/>
          <w:szCs w:val="24"/>
          <w:u w:val="single"/>
        </w:rPr>
      </w:pPr>
    </w:p>
    <w:tbl>
      <w:tblPr>
        <w:tblW w:w="9288" w:type="dxa"/>
        <w:tblLook w:val="04A0" w:firstRow="1" w:lastRow="0" w:firstColumn="1" w:lastColumn="0" w:noHBand="0" w:noVBand="1"/>
      </w:tblPr>
      <w:tblGrid>
        <w:gridCol w:w="1908"/>
        <w:gridCol w:w="1980"/>
        <w:gridCol w:w="2340"/>
        <w:gridCol w:w="3060"/>
      </w:tblGrid>
      <w:tr w:rsidR="00B63FAE" w:rsidRPr="00F52890" w:rsidTr="003A31D9">
        <w:trPr>
          <w:trHeight w:val="281"/>
        </w:trPr>
        <w:tc>
          <w:tcPr>
            <w:tcW w:w="1908" w:type="dxa"/>
            <w:vMerge w:val="restart"/>
            <w:tcBorders>
              <w:top w:val="single" w:sz="8" w:space="0" w:color="auto"/>
              <w:left w:val="single" w:sz="8" w:space="0" w:color="auto"/>
              <w:bottom w:val="single" w:sz="8" w:space="0" w:color="000000"/>
              <w:right w:val="single" w:sz="8" w:space="0" w:color="auto"/>
            </w:tcBorders>
            <w:shd w:val="clear" w:color="000000" w:fill="A9D08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Rrymat e mbetjeve</w:t>
            </w:r>
          </w:p>
        </w:tc>
        <w:tc>
          <w:tcPr>
            <w:tcW w:w="7380" w:type="dxa"/>
            <w:gridSpan w:val="3"/>
            <w:tcBorders>
              <w:top w:val="single" w:sz="8" w:space="0" w:color="auto"/>
              <w:left w:val="nil"/>
              <w:bottom w:val="single" w:sz="8" w:space="0" w:color="auto"/>
              <w:right w:val="nil"/>
            </w:tcBorders>
            <w:shd w:val="clear" w:color="000000" w:fill="A9D08E"/>
            <w:vAlign w:val="center"/>
            <w:hideMark/>
          </w:tcPr>
          <w:p w:rsidR="00B63FAE" w:rsidRPr="00F52890" w:rsidRDefault="00B63FAE" w:rsidP="00B63FAE">
            <w:pPr>
              <w:spacing w:after="0" w:line="240" w:lineRule="auto"/>
              <w:jc w:val="center"/>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Objektivi</w:t>
            </w:r>
          </w:p>
        </w:tc>
      </w:tr>
      <w:tr w:rsidR="00B63FAE" w:rsidRPr="00F52890" w:rsidTr="003A31D9">
        <w:trPr>
          <w:trHeight w:val="254"/>
        </w:trPr>
        <w:tc>
          <w:tcPr>
            <w:tcW w:w="1908" w:type="dxa"/>
            <w:vMerge/>
            <w:tcBorders>
              <w:top w:val="single" w:sz="8" w:space="0" w:color="auto"/>
              <w:left w:val="single" w:sz="8" w:space="0" w:color="auto"/>
              <w:bottom w:val="single" w:sz="8" w:space="0" w:color="000000"/>
              <w:right w:val="single" w:sz="8" w:space="0" w:color="auto"/>
            </w:tcBorders>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7380" w:type="dxa"/>
            <w:gridSpan w:val="3"/>
            <w:tcBorders>
              <w:top w:val="single" w:sz="8" w:space="0" w:color="auto"/>
              <w:left w:val="nil"/>
              <w:bottom w:val="single" w:sz="8" w:space="0" w:color="auto"/>
              <w:right w:val="single" w:sz="8" w:space="0" w:color="000000"/>
            </w:tcBorders>
            <w:shd w:val="clear" w:color="000000" w:fill="A9D08E"/>
            <w:vAlign w:val="center"/>
            <w:hideMark/>
          </w:tcPr>
          <w:p w:rsidR="00B63FAE" w:rsidRPr="00F52890" w:rsidRDefault="00B63FAE" w:rsidP="00B63FAE">
            <w:pPr>
              <w:spacing w:after="0" w:line="240" w:lineRule="auto"/>
              <w:jc w:val="center"/>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Riciklim</w:t>
            </w:r>
          </w:p>
        </w:tc>
      </w:tr>
      <w:tr w:rsidR="00B63FAE" w:rsidRPr="00F52890" w:rsidTr="003A31D9">
        <w:trPr>
          <w:trHeight w:val="263"/>
        </w:trPr>
        <w:tc>
          <w:tcPr>
            <w:tcW w:w="1908" w:type="dxa"/>
            <w:tcBorders>
              <w:top w:val="nil"/>
              <w:left w:val="single" w:sz="8" w:space="0" w:color="auto"/>
              <w:bottom w:val="single" w:sz="8" w:space="0" w:color="auto"/>
              <w:right w:val="single" w:sz="8" w:space="0" w:color="auto"/>
            </w:tcBorders>
            <w:shd w:val="clear" w:color="000000" w:fill="A9D08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 </w:t>
            </w:r>
          </w:p>
        </w:tc>
        <w:tc>
          <w:tcPr>
            <w:tcW w:w="1980" w:type="dxa"/>
            <w:tcBorders>
              <w:top w:val="nil"/>
              <w:left w:val="nil"/>
              <w:bottom w:val="single" w:sz="8" w:space="0" w:color="auto"/>
              <w:right w:val="single" w:sz="8" w:space="0" w:color="auto"/>
            </w:tcBorders>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2025</w:t>
            </w:r>
          </w:p>
        </w:tc>
        <w:tc>
          <w:tcPr>
            <w:tcW w:w="2340" w:type="dxa"/>
            <w:tcBorders>
              <w:top w:val="nil"/>
              <w:left w:val="nil"/>
              <w:bottom w:val="single" w:sz="8" w:space="0" w:color="auto"/>
              <w:right w:val="single" w:sz="8" w:space="0" w:color="auto"/>
            </w:tcBorders>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2030</w:t>
            </w:r>
          </w:p>
        </w:tc>
        <w:tc>
          <w:tcPr>
            <w:tcW w:w="3060" w:type="dxa"/>
            <w:tcBorders>
              <w:top w:val="nil"/>
              <w:left w:val="nil"/>
              <w:bottom w:val="single" w:sz="8" w:space="0" w:color="auto"/>
              <w:right w:val="single" w:sz="8" w:space="0" w:color="auto"/>
            </w:tcBorders>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2035</w:t>
            </w:r>
          </w:p>
        </w:tc>
      </w:tr>
      <w:tr w:rsidR="00B63FAE" w:rsidRPr="00F52890" w:rsidTr="003A31D9">
        <w:trPr>
          <w:trHeight w:val="956"/>
        </w:trPr>
        <w:tc>
          <w:tcPr>
            <w:tcW w:w="1908" w:type="dxa"/>
            <w:tcBorders>
              <w:top w:val="nil"/>
              <w:left w:val="single" w:sz="8" w:space="0" w:color="auto"/>
              <w:bottom w:val="single" w:sz="8" w:space="0" w:color="auto"/>
              <w:right w:val="single" w:sz="8" w:space="0" w:color="auto"/>
            </w:tcBorders>
            <w:shd w:val="clear" w:color="000000" w:fill="A9D08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Mbetje nga paketimet</w:t>
            </w:r>
          </w:p>
        </w:tc>
        <w:tc>
          <w:tcPr>
            <w:tcW w:w="198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 </w:t>
            </w:r>
          </w:p>
        </w:tc>
        <w:tc>
          <w:tcPr>
            <w:tcW w:w="234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 </w:t>
            </w:r>
          </w:p>
        </w:tc>
        <w:tc>
          <w:tcPr>
            <w:tcW w:w="306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 </w:t>
            </w:r>
          </w:p>
        </w:tc>
      </w:tr>
      <w:tr w:rsidR="00B63FAE" w:rsidRPr="00F52890" w:rsidTr="003A31D9">
        <w:trPr>
          <w:trHeight w:val="956"/>
        </w:trPr>
        <w:tc>
          <w:tcPr>
            <w:tcW w:w="1908" w:type="dxa"/>
            <w:tcBorders>
              <w:top w:val="nil"/>
              <w:left w:val="single" w:sz="8" w:space="0" w:color="auto"/>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rPr>
            </w:pPr>
            <w:r w:rsidRPr="00F52890">
              <w:rPr>
                <w:rFonts w:ascii="Times New Roman" w:eastAsia="Times New Roman" w:hAnsi="Times New Roman" w:cs="Times New Roman"/>
                <w:color w:val="000000"/>
              </w:rPr>
              <w:t>Letër dhe karton</w:t>
            </w:r>
          </w:p>
        </w:tc>
        <w:tc>
          <w:tcPr>
            <w:tcW w:w="198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b/>
                <w:bCs/>
                <w:color w:val="000000"/>
                <w:sz w:val="24"/>
                <w:szCs w:val="24"/>
              </w:rPr>
              <w:t>&gt;=10%</w:t>
            </w:r>
            <w:r>
              <w:rPr>
                <w:rFonts w:ascii="Times New Roman" w:eastAsia="Times New Roman" w:hAnsi="Times New Roman" w:cs="Times New Roman"/>
                <w:color w:val="000000"/>
                <w:sz w:val="24"/>
                <w:szCs w:val="24"/>
              </w:rPr>
              <w:t xml:space="preserve"> e total letë</w:t>
            </w:r>
            <w:r w:rsidRPr="00F52890">
              <w:rPr>
                <w:rFonts w:ascii="Times New Roman" w:eastAsia="Times New Roman" w:hAnsi="Times New Roman" w:cs="Times New Roman"/>
                <w:color w:val="000000"/>
                <w:sz w:val="24"/>
                <w:szCs w:val="24"/>
              </w:rPr>
              <w:t>r+karton</w:t>
            </w:r>
          </w:p>
        </w:tc>
        <w:tc>
          <w:tcPr>
            <w:tcW w:w="234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b/>
                <w:bCs/>
                <w:color w:val="000000"/>
                <w:sz w:val="24"/>
                <w:szCs w:val="24"/>
              </w:rPr>
              <w:t>&gt;=30%</w:t>
            </w:r>
            <w:r>
              <w:rPr>
                <w:rFonts w:ascii="Times New Roman" w:eastAsia="Times New Roman" w:hAnsi="Times New Roman" w:cs="Times New Roman"/>
                <w:color w:val="000000"/>
                <w:sz w:val="24"/>
                <w:szCs w:val="24"/>
              </w:rPr>
              <w:t xml:space="preserve"> e total letë</w:t>
            </w:r>
            <w:r w:rsidRPr="00F52890">
              <w:rPr>
                <w:rFonts w:ascii="Times New Roman" w:eastAsia="Times New Roman" w:hAnsi="Times New Roman" w:cs="Times New Roman"/>
                <w:color w:val="000000"/>
                <w:sz w:val="24"/>
                <w:szCs w:val="24"/>
              </w:rPr>
              <w:t>r+karton</w:t>
            </w:r>
          </w:p>
        </w:tc>
        <w:tc>
          <w:tcPr>
            <w:tcW w:w="306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b/>
                <w:bCs/>
                <w:color w:val="000000"/>
                <w:sz w:val="24"/>
                <w:szCs w:val="24"/>
              </w:rPr>
              <w:t>&gt;=60%</w:t>
            </w:r>
            <w:r>
              <w:rPr>
                <w:rFonts w:ascii="Times New Roman" w:eastAsia="Times New Roman" w:hAnsi="Times New Roman" w:cs="Times New Roman"/>
                <w:color w:val="000000"/>
                <w:sz w:val="24"/>
                <w:szCs w:val="24"/>
              </w:rPr>
              <w:t xml:space="preserve"> e total letë</w:t>
            </w:r>
            <w:r w:rsidRPr="00F52890">
              <w:rPr>
                <w:rFonts w:ascii="Times New Roman" w:eastAsia="Times New Roman" w:hAnsi="Times New Roman" w:cs="Times New Roman"/>
                <w:color w:val="000000"/>
                <w:sz w:val="24"/>
                <w:szCs w:val="24"/>
              </w:rPr>
              <w:t>r+karton</w:t>
            </w:r>
          </w:p>
        </w:tc>
      </w:tr>
      <w:tr w:rsidR="00B63FAE" w:rsidRPr="00F52890" w:rsidTr="003A31D9">
        <w:trPr>
          <w:trHeight w:val="523"/>
        </w:trPr>
        <w:tc>
          <w:tcPr>
            <w:tcW w:w="1908" w:type="dxa"/>
            <w:tcBorders>
              <w:top w:val="nil"/>
              <w:left w:val="single" w:sz="8" w:space="0" w:color="auto"/>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rPr>
            </w:pPr>
            <w:r w:rsidRPr="00F52890">
              <w:rPr>
                <w:rFonts w:ascii="Times New Roman" w:eastAsia="Times New Roman" w:hAnsi="Times New Roman" w:cs="Times New Roman"/>
                <w:color w:val="000000"/>
              </w:rPr>
              <w:t>Metale</w:t>
            </w:r>
          </w:p>
        </w:tc>
        <w:tc>
          <w:tcPr>
            <w:tcW w:w="198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&gt;=10% e total metaleve</w:t>
            </w:r>
          </w:p>
        </w:tc>
        <w:tc>
          <w:tcPr>
            <w:tcW w:w="234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&gt;=30% e total metaleve</w:t>
            </w:r>
          </w:p>
        </w:tc>
        <w:tc>
          <w:tcPr>
            <w:tcW w:w="306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&gt;=50% e total metaleve</w:t>
            </w:r>
          </w:p>
        </w:tc>
      </w:tr>
      <w:tr w:rsidR="00B63FAE" w:rsidRPr="00F52890" w:rsidTr="003A31D9">
        <w:trPr>
          <w:trHeight w:val="523"/>
        </w:trPr>
        <w:tc>
          <w:tcPr>
            <w:tcW w:w="1908" w:type="dxa"/>
            <w:tcBorders>
              <w:top w:val="nil"/>
              <w:left w:val="single" w:sz="8" w:space="0" w:color="auto"/>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rPr>
            </w:pPr>
            <w:r w:rsidRPr="00F52890">
              <w:rPr>
                <w:rFonts w:ascii="Times New Roman" w:eastAsia="Times New Roman" w:hAnsi="Times New Roman" w:cs="Times New Roman"/>
                <w:color w:val="000000"/>
              </w:rPr>
              <w:t>Plastikë</w:t>
            </w:r>
          </w:p>
        </w:tc>
        <w:tc>
          <w:tcPr>
            <w:tcW w:w="198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b/>
                <w:bCs/>
                <w:color w:val="000000"/>
                <w:sz w:val="24"/>
                <w:szCs w:val="24"/>
              </w:rPr>
              <w:t>&gt;=6%</w:t>
            </w:r>
            <w:r w:rsidRPr="00F52890">
              <w:rPr>
                <w:rFonts w:ascii="Times New Roman" w:eastAsia="Times New Roman" w:hAnsi="Times New Roman" w:cs="Times New Roman"/>
                <w:color w:val="000000"/>
                <w:sz w:val="24"/>
                <w:szCs w:val="24"/>
              </w:rPr>
              <w:t xml:space="preserve"> e total plastikë</w:t>
            </w:r>
          </w:p>
        </w:tc>
        <w:tc>
          <w:tcPr>
            <w:tcW w:w="234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b/>
                <w:bCs/>
                <w:color w:val="000000"/>
                <w:sz w:val="24"/>
                <w:szCs w:val="24"/>
              </w:rPr>
              <w:t>&gt;=12%</w:t>
            </w:r>
            <w:r w:rsidRPr="00F52890">
              <w:rPr>
                <w:rFonts w:ascii="Times New Roman" w:eastAsia="Times New Roman" w:hAnsi="Times New Roman" w:cs="Times New Roman"/>
                <w:color w:val="000000"/>
                <w:sz w:val="24"/>
                <w:szCs w:val="24"/>
              </w:rPr>
              <w:t xml:space="preserve"> e total plastikë</w:t>
            </w:r>
          </w:p>
        </w:tc>
        <w:tc>
          <w:tcPr>
            <w:tcW w:w="306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b/>
                <w:bCs/>
                <w:color w:val="000000"/>
                <w:sz w:val="24"/>
                <w:szCs w:val="24"/>
              </w:rPr>
              <w:t>&gt;=22.5%</w:t>
            </w:r>
            <w:r w:rsidRPr="00F52890">
              <w:rPr>
                <w:rFonts w:ascii="Times New Roman" w:eastAsia="Times New Roman" w:hAnsi="Times New Roman" w:cs="Times New Roman"/>
                <w:color w:val="000000"/>
                <w:sz w:val="24"/>
                <w:szCs w:val="24"/>
              </w:rPr>
              <w:t xml:space="preserve"> e total plastikë</w:t>
            </w:r>
          </w:p>
        </w:tc>
      </w:tr>
      <w:tr w:rsidR="00B63FAE" w:rsidRPr="00F52890" w:rsidTr="003A31D9">
        <w:trPr>
          <w:trHeight w:val="523"/>
        </w:trPr>
        <w:tc>
          <w:tcPr>
            <w:tcW w:w="1908" w:type="dxa"/>
            <w:tcBorders>
              <w:top w:val="nil"/>
              <w:left w:val="single" w:sz="8" w:space="0" w:color="auto"/>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rPr>
            </w:pPr>
            <w:r w:rsidRPr="00F52890">
              <w:rPr>
                <w:rFonts w:ascii="Times New Roman" w:eastAsia="Times New Roman" w:hAnsi="Times New Roman" w:cs="Times New Roman"/>
                <w:color w:val="000000"/>
              </w:rPr>
              <w:t>Qelq</w:t>
            </w:r>
          </w:p>
        </w:tc>
        <w:tc>
          <w:tcPr>
            <w:tcW w:w="198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&gt;=10% e total qelq</w:t>
            </w:r>
          </w:p>
        </w:tc>
        <w:tc>
          <w:tcPr>
            <w:tcW w:w="234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&gt;=30% e total qelq</w:t>
            </w:r>
          </w:p>
        </w:tc>
        <w:tc>
          <w:tcPr>
            <w:tcW w:w="306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&gt;=60% e total qelq</w:t>
            </w:r>
          </w:p>
        </w:tc>
      </w:tr>
      <w:tr w:rsidR="00B63FAE" w:rsidRPr="00F52890" w:rsidTr="003A31D9">
        <w:trPr>
          <w:trHeight w:val="523"/>
        </w:trPr>
        <w:tc>
          <w:tcPr>
            <w:tcW w:w="1908" w:type="dxa"/>
            <w:tcBorders>
              <w:top w:val="nil"/>
              <w:left w:val="single" w:sz="8" w:space="0" w:color="auto"/>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rPr>
            </w:pPr>
            <w:r w:rsidRPr="00F52890">
              <w:rPr>
                <w:rFonts w:ascii="Times New Roman" w:eastAsia="Times New Roman" w:hAnsi="Times New Roman" w:cs="Times New Roman"/>
                <w:color w:val="000000"/>
              </w:rPr>
              <w:t>Dru</w:t>
            </w:r>
          </w:p>
        </w:tc>
        <w:tc>
          <w:tcPr>
            <w:tcW w:w="198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&gt;=5% e total dru</w:t>
            </w:r>
          </w:p>
        </w:tc>
        <w:tc>
          <w:tcPr>
            <w:tcW w:w="234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&gt;=10% e total dru</w:t>
            </w:r>
          </w:p>
        </w:tc>
        <w:tc>
          <w:tcPr>
            <w:tcW w:w="3060" w:type="dxa"/>
            <w:tcBorders>
              <w:top w:val="nil"/>
              <w:left w:val="nil"/>
              <w:bottom w:val="single" w:sz="8" w:space="0" w:color="auto"/>
              <w:right w:val="single" w:sz="8" w:space="0" w:color="auto"/>
            </w:tcBorders>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&gt;=15% e total dru</w:t>
            </w:r>
          </w:p>
        </w:tc>
      </w:tr>
    </w:tbl>
    <w:p w:rsidR="00B63FAE" w:rsidRPr="00F52890" w:rsidRDefault="00B63FAE" w:rsidP="00B63FAE">
      <w:pPr>
        <w:spacing w:before="120" w:after="120" w:line="240" w:lineRule="auto"/>
        <w:rPr>
          <w:rFonts w:ascii="Arial" w:eastAsia="Times New Roman" w:hAnsi="Arial" w:cs="Times New Roman"/>
          <w:b/>
          <w:bCs/>
          <w:sz w:val="20"/>
          <w:szCs w:val="20"/>
          <w:lang w:val="en-GB" w:eastAsia="de-DE"/>
        </w:rPr>
      </w:pPr>
    </w:p>
    <w:tbl>
      <w:tblPr>
        <w:tblW w:w="932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6"/>
        <w:gridCol w:w="1442"/>
        <w:gridCol w:w="1442"/>
        <w:gridCol w:w="2182"/>
      </w:tblGrid>
      <w:tr w:rsidR="00B63FAE" w:rsidRPr="00F52890" w:rsidTr="00B63FAE">
        <w:trPr>
          <w:trHeight w:val="171"/>
        </w:trPr>
        <w:tc>
          <w:tcPr>
            <w:tcW w:w="4256" w:type="dxa"/>
            <w:vMerge w:val="restart"/>
            <w:shd w:val="clear" w:color="000000" w:fill="A9D08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Mbetje të biodegradueshme</w:t>
            </w:r>
          </w:p>
        </w:tc>
        <w:tc>
          <w:tcPr>
            <w:tcW w:w="5066" w:type="dxa"/>
            <w:gridSpan w:val="3"/>
            <w:shd w:val="clear" w:color="000000" w:fill="A9D08E"/>
            <w:vAlign w:val="center"/>
            <w:hideMark/>
          </w:tcPr>
          <w:p w:rsidR="00B63FAE" w:rsidRPr="00F52890" w:rsidRDefault="00B63FAE" w:rsidP="00B63FAE">
            <w:pPr>
              <w:spacing w:after="0" w:line="240" w:lineRule="auto"/>
              <w:jc w:val="center"/>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Reduktim Objektivat</w:t>
            </w:r>
          </w:p>
        </w:tc>
      </w:tr>
      <w:tr w:rsidR="00B63FAE" w:rsidRPr="00F52890" w:rsidTr="00B63FAE">
        <w:trPr>
          <w:trHeight w:val="171"/>
        </w:trPr>
        <w:tc>
          <w:tcPr>
            <w:tcW w:w="4256" w:type="dxa"/>
            <w:vMerg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5066" w:type="dxa"/>
            <w:gridSpan w:val="3"/>
            <w:shd w:val="clear" w:color="000000" w:fill="A9D08E"/>
            <w:vAlign w:val="center"/>
            <w:hideMark/>
          </w:tcPr>
          <w:p w:rsidR="00B63FAE" w:rsidRPr="00F52890" w:rsidRDefault="00B63FAE" w:rsidP="00B63FAE">
            <w:pPr>
              <w:spacing w:after="0" w:line="240" w:lineRule="auto"/>
              <w:jc w:val="center"/>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Vitet</w:t>
            </w:r>
          </w:p>
        </w:tc>
      </w:tr>
      <w:tr w:rsidR="00B63FAE" w:rsidRPr="00F52890" w:rsidTr="00B63FAE">
        <w:trPr>
          <w:trHeight w:val="327"/>
        </w:trPr>
        <w:tc>
          <w:tcPr>
            <w:tcW w:w="4256" w:type="dxa"/>
            <w:vMerg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1442" w:type="dxa"/>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2025</w:t>
            </w:r>
          </w:p>
        </w:tc>
        <w:tc>
          <w:tcPr>
            <w:tcW w:w="1442" w:type="dxa"/>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2030</w:t>
            </w:r>
          </w:p>
        </w:tc>
        <w:tc>
          <w:tcPr>
            <w:tcW w:w="2182" w:type="dxa"/>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2035</w:t>
            </w:r>
          </w:p>
        </w:tc>
      </w:tr>
      <w:tr w:rsidR="00B63FAE" w:rsidRPr="00F52890" w:rsidTr="00B63FAE">
        <w:trPr>
          <w:trHeight w:val="171"/>
        </w:trPr>
        <w:tc>
          <w:tcPr>
            <w:tcW w:w="4256" w:type="dxa"/>
            <w:vMerg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1442" w:type="dxa"/>
            <w:shd w:val="clear" w:color="auto" w:fill="auto"/>
            <w:vAlign w:val="center"/>
            <w:hideMark/>
          </w:tcPr>
          <w:p w:rsidR="00B63FAE" w:rsidRPr="00F52890" w:rsidRDefault="00B63FAE" w:rsidP="00B63FAE">
            <w:pPr>
              <w:spacing w:after="0" w:line="240" w:lineRule="auto"/>
              <w:jc w:val="right"/>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75%</w:t>
            </w:r>
          </w:p>
        </w:tc>
        <w:tc>
          <w:tcPr>
            <w:tcW w:w="1442" w:type="dxa"/>
            <w:shd w:val="clear" w:color="auto" w:fill="auto"/>
            <w:vAlign w:val="center"/>
            <w:hideMark/>
          </w:tcPr>
          <w:p w:rsidR="00B63FAE" w:rsidRPr="00F52890" w:rsidRDefault="00B63FAE" w:rsidP="00B63FAE">
            <w:pPr>
              <w:spacing w:after="0" w:line="240" w:lineRule="auto"/>
              <w:jc w:val="right"/>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55%</w:t>
            </w:r>
          </w:p>
        </w:tc>
        <w:tc>
          <w:tcPr>
            <w:tcW w:w="2182" w:type="dxa"/>
            <w:shd w:val="clear" w:color="auto" w:fill="auto"/>
            <w:vAlign w:val="center"/>
            <w:hideMark/>
          </w:tcPr>
          <w:p w:rsidR="00B63FAE" w:rsidRPr="00F52890" w:rsidRDefault="00B63FAE" w:rsidP="00B63FAE">
            <w:pPr>
              <w:spacing w:after="0" w:line="240" w:lineRule="auto"/>
              <w:jc w:val="right"/>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35%</w:t>
            </w:r>
          </w:p>
        </w:tc>
      </w:tr>
      <w:tr w:rsidR="00B63FAE" w:rsidRPr="00F52890" w:rsidTr="00B63FAE">
        <w:trPr>
          <w:trHeight w:val="333"/>
        </w:trPr>
        <w:tc>
          <w:tcPr>
            <w:tcW w:w="4256" w:type="dxa"/>
            <w:vMerge w:val="restart"/>
            <w:shd w:val="clear" w:color="000000" w:fill="A9D08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Mbetje nga prishjet dhe ndërtimet</w:t>
            </w:r>
          </w:p>
        </w:tc>
        <w:tc>
          <w:tcPr>
            <w:tcW w:w="5066" w:type="dxa"/>
            <w:gridSpan w:val="3"/>
            <w:shd w:val="clear" w:color="000000" w:fill="A9D08E"/>
            <w:vAlign w:val="center"/>
            <w:hideMark/>
          </w:tcPr>
          <w:p w:rsidR="00B63FAE" w:rsidRPr="00F52890" w:rsidRDefault="00B63FAE" w:rsidP="00B63FAE">
            <w:pPr>
              <w:spacing w:after="0" w:line="240" w:lineRule="auto"/>
              <w:jc w:val="center"/>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Reduktim / Riciklim Objektivat</w:t>
            </w:r>
          </w:p>
        </w:tc>
      </w:tr>
      <w:tr w:rsidR="00B63FAE" w:rsidRPr="00F52890" w:rsidTr="00B63FAE">
        <w:trPr>
          <w:trHeight w:val="193"/>
        </w:trPr>
        <w:tc>
          <w:tcPr>
            <w:tcW w:w="4256" w:type="dxa"/>
            <w:vMerge/>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p>
        </w:tc>
        <w:tc>
          <w:tcPr>
            <w:tcW w:w="5066" w:type="dxa"/>
            <w:gridSpan w:val="3"/>
            <w:shd w:val="clear" w:color="000000" w:fill="A9D08E"/>
            <w:vAlign w:val="center"/>
            <w:hideMark/>
          </w:tcPr>
          <w:p w:rsidR="00B63FAE" w:rsidRPr="00F52890" w:rsidRDefault="00B63FAE" w:rsidP="00B63FAE">
            <w:pPr>
              <w:spacing w:after="0" w:line="240" w:lineRule="auto"/>
              <w:jc w:val="center"/>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Vitet</w:t>
            </w:r>
          </w:p>
        </w:tc>
      </w:tr>
      <w:tr w:rsidR="00B63FAE" w:rsidRPr="00F52890" w:rsidTr="00B63FAE">
        <w:trPr>
          <w:trHeight w:val="333"/>
        </w:trPr>
        <w:tc>
          <w:tcPr>
            <w:tcW w:w="4256" w:type="dxa"/>
            <w:vMerge/>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p>
        </w:tc>
        <w:tc>
          <w:tcPr>
            <w:tcW w:w="1442" w:type="dxa"/>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2025</w:t>
            </w:r>
          </w:p>
        </w:tc>
        <w:tc>
          <w:tcPr>
            <w:tcW w:w="1442" w:type="dxa"/>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2030</w:t>
            </w:r>
          </w:p>
        </w:tc>
        <w:tc>
          <w:tcPr>
            <w:tcW w:w="2182" w:type="dxa"/>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2035</w:t>
            </w:r>
          </w:p>
        </w:tc>
      </w:tr>
      <w:tr w:rsidR="00B63FAE" w:rsidRPr="00F52890" w:rsidTr="00B63FAE">
        <w:trPr>
          <w:trHeight w:val="333"/>
        </w:trPr>
        <w:tc>
          <w:tcPr>
            <w:tcW w:w="4256" w:type="dxa"/>
            <w:vMerge/>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p>
        </w:tc>
        <w:tc>
          <w:tcPr>
            <w:tcW w:w="1442" w:type="dxa"/>
            <w:shd w:val="clear" w:color="auto" w:fill="auto"/>
            <w:vAlign w:val="center"/>
            <w:hideMark/>
          </w:tcPr>
          <w:p w:rsidR="00B63FAE" w:rsidRPr="00F52890" w:rsidRDefault="00B63FAE" w:rsidP="00B63FAE">
            <w:pPr>
              <w:spacing w:after="0" w:line="240" w:lineRule="auto"/>
              <w:jc w:val="right"/>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30%</w:t>
            </w:r>
          </w:p>
        </w:tc>
        <w:tc>
          <w:tcPr>
            <w:tcW w:w="1442" w:type="dxa"/>
            <w:shd w:val="clear" w:color="auto" w:fill="auto"/>
            <w:vAlign w:val="center"/>
            <w:hideMark/>
          </w:tcPr>
          <w:p w:rsidR="00B63FAE" w:rsidRPr="00F52890" w:rsidRDefault="00B63FAE" w:rsidP="00B63FAE">
            <w:pPr>
              <w:spacing w:after="0" w:line="240" w:lineRule="auto"/>
              <w:jc w:val="right"/>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50%</w:t>
            </w:r>
          </w:p>
        </w:tc>
        <w:tc>
          <w:tcPr>
            <w:tcW w:w="2182" w:type="dxa"/>
            <w:shd w:val="clear" w:color="auto" w:fill="auto"/>
            <w:vAlign w:val="center"/>
            <w:hideMark/>
          </w:tcPr>
          <w:p w:rsidR="00B63FAE" w:rsidRPr="00F52890" w:rsidRDefault="00B63FAE" w:rsidP="00B63FAE">
            <w:pPr>
              <w:spacing w:after="0" w:line="240" w:lineRule="auto"/>
              <w:jc w:val="right"/>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70%</w:t>
            </w:r>
          </w:p>
        </w:tc>
      </w:tr>
    </w:tbl>
    <w:p w:rsidR="00B63FAE" w:rsidRPr="00F52890" w:rsidRDefault="00B63FAE" w:rsidP="00B63FAE"/>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864"/>
        <w:gridCol w:w="1120"/>
        <w:gridCol w:w="1398"/>
        <w:gridCol w:w="1202"/>
        <w:gridCol w:w="1120"/>
        <w:gridCol w:w="1538"/>
      </w:tblGrid>
      <w:tr w:rsidR="00B63FAE" w:rsidRPr="00F52890" w:rsidTr="003A31D9">
        <w:trPr>
          <w:trHeight w:val="302"/>
        </w:trPr>
        <w:tc>
          <w:tcPr>
            <w:tcW w:w="2136" w:type="dxa"/>
            <w:vMerge w:val="restart"/>
            <w:shd w:val="clear" w:color="000000" w:fill="A9D08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Mbetjet e makinave në fund të jetës</w:t>
            </w:r>
          </w:p>
        </w:tc>
        <w:tc>
          <w:tcPr>
            <w:tcW w:w="3382" w:type="dxa"/>
            <w:gridSpan w:val="3"/>
            <w:shd w:val="clear" w:color="000000" w:fill="A9D08E"/>
            <w:vAlign w:val="center"/>
            <w:hideMark/>
          </w:tcPr>
          <w:p w:rsidR="00B63FAE" w:rsidRPr="00F52890" w:rsidRDefault="00B63FAE" w:rsidP="00B63FAE">
            <w:pPr>
              <w:spacing w:after="0" w:line="240" w:lineRule="auto"/>
              <w:jc w:val="center"/>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Rikuperim Objektivat</w:t>
            </w:r>
          </w:p>
        </w:tc>
        <w:tc>
          <w:tcPr>
            <w:tcW w:w="3860" w:type="dxa"/>
            <w:gridSpan w:val="3"/>
            <w:shd w:val="clear" w:color="000000" w:fill="A9D08E"/>
            <w:vAlign w:val="center"/>
            <w:hideMark/>
          </w:tcPr>
          <w:p w:rsidR="00B63FAE" w:rsidRPr="00F52890" w:rsidRDefault="00B63FAE" w:rsidP="00B63FAE">
            <w:pPr>
              <w:spacing w:after="0" w:line="240" w:lineRule="auto"/>
              <w:jc w:val="center"/>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Riciklim Objektivat</w:t>
            </w:r>
          </w:p>
        </w:tc>
      </w:tr>
      <w:tr w:rsidR="00B63FAE" w:rsidRPr="00F52890" w:rsidTr="003A31D9">
        <w:trPr>
          <w:trHeight w:val="166"/>
        </w:trPr>
        <w:tc>
          <w:tcPr>
            <w:tcW w:w="2136" w:type="dxa"/>
            <w:vMerg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3382" w:type="dxa"/>
            <w:gridSpan w:val="3"/>
            <w:shd w:val="clear" w:color="000000" w:fill="A9D08E"/>
            <w:vAlign w:val="center"/>
            <w:hideMark/>
          </w:tcPr>
          <w:p w:rsidR="00B63FAE" w:rsidRPr="00F52890" w:rsidRDefault="00B63FAE" w:rsidP="00B63FAE">
            <w:pPr>
              <w:spacing w:after="0" w:line="240" w:lineRule="auto"/>
              <w:jc w:val="center"/>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Vitet</w:t>
            </w:r>
          </w:p>
        </w:tc>
        <w:tc>
          <w:tcPr>
            <w:tcW w:w="3860" w:type="dxa"/>
            <w:gridSpan w:val="3"/>
            <w:shd w:val="clear" w:color="000000" w:fill="A9D08E"/>
            <w:vAlign w:val="center"/>
            <w:hideMark/>
          </w:tcPr>
          <w:p w:rsidR="00B63FAE" w:rsidRPr="00F52890" w:rsidRDefault="00B63FAE" w:rsidP="00B63FAE">
            <w:pPr>
              <w:spacing w:after="0" w:line="240" w:lineRule="auto"/>
              <w:jc w:val="center"/>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Vitet</w:t>
            </w:r>
          </w:p>
        </w:tc>
      </w:tr>
      <w:tr w:rsidR="00B63FAE" w:rsidRPr="00F52890" w:rsidTr="003A31D9">
        <w:trPr>
          <w:trHeight w:val="317"/>
        </w:trPr>
        <w:tc>
          <w:tcPr>
            <w:tcW w:w="2136" w:type="dxa"/>
            <w:vMerg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864" w:type="dxa"/>
            <w:shd w:val="clear" w:color="000000" w:fill="A9D08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 </w:t>
            </w:r>
          </w:p>
        </w:tc>
        <w:tc>
          <w:tcPr>
            <w:tcW w:w="1120" w:type="dxa"/>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2030</w:t>
            </w:r>
          </w:p>
        </w:tc>
        <w:tc>
          <w:tcPr>
            <w:tcW w:w="1398" w:type="dxa"/>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2035</w:t>
            </w:r>
          </w:p>
        </w:tc>
        <w:tc>
          <w:tcPr>
            <w:tcW w:w="1202" w:type="dxa"/>
            <w:shd w:val="clear" w:color="000000" w:fill="A9D08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 2025</w:t>
            </w:r>
          </w:p>
        </w:tc>
        <w:tc>
          <w:tcPr>
            <w:tcW w:w="1120" w:type="dxa"/>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2030</w:t>
            </w:r>
          </w:p>
        </w:tc>
        <w:tc>
          <w:tcPr>
            <w:tcW w:w="1538" w:type="dxa"/>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2035</w:t>
            </w:r>
          </w:p>
        </w:tc>
      </w:tr>
      <w:tr w:rsidR="00B63FAE" w:rsidRPr="00F52890" w:rsidTr="003A31D9">
        <w:trPr>
          <w:trHeight w:val="317"/>
        </w:trPr>
        <w:tc>
          <w:tcPr>
            <w:tcW w:w="2136" w:type="dxa"/>
            <w:vMerg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864" w:type="dxa"/>
            <w:shd w:val="clear" w:color="auto" w:fill="auto"/>
            <w:vAlign w:val="center"/>
            <w:hideMark/>
          </w:tcPr>
          <w:p w:rsidR="00B63FAE" w:rsidRPr="00832A2E" w:rsidRDefault="00B63FAE" w:rsidP="00B63FAE">
            <w:pPr>
              <w:spacing w:after="0" w:line="240" w:lineRule="auto"/>
              <w:rPr>
                <w:rFonts w:ascii="Times New Roman" w:eastAsia="Times New Roman" w:hAnsi="Times New Roman" w:cs="Times New Roman"/>
                <w:b/>
                <w:bCs/>
                <w:color w:val="000000"/>
                <w:sz w:val="24"/>
                <w:szCs w:val="24"/>
              </w:rPr>
            </w:pPr>
            <w:r w:rsidRPr="00832A2E">
              <w:rPr>
                <w:rFonts w:ascii="Times New Roman" w:eastAsia="Times New Roman" w:hAnsi="Times New Roman" w:cs="Times New Roman"/>
                <w:b/>
                <w:bCs/>
                <w:color w:val="000000"/>
                <w:sz w:val="24"/>
                <w:szCs w:val="24"/>
              </w:rPr>
              <w:t> </w:t>
            </w:r>
          </w:p>
        </w:tc>
        <w:tc>
          <w:tcPr>
            <w:tcW w:w="1120" w:type="dxa"/>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&gt;=85%</w:t>
            </w:r>
          </w:p>
        </w:tc>
        <w:tc>
          <w:tcPr>
            <w:tcW w:w="1398" w:type="dxa"/>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&gt;=90%</w:t>
            </w:r>
          </w:p>
        </w:tc>
        <w:tc>
          <w:tcPr>
            <w:tcW w:w="1202" w:type="dxa"/>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 </w:t>
            </w:r>
          </w:p>
        </w:tc>
        <w:tc>
          <w:tcPr>
            <w:tcW w:w="1120" w:type="dxa"/>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&gt;=80%</w:t>
            </w:r>
          </w:p>
        </w:tc>
        <w:tc>
          <w:tcPr>
            <w:tcW w:w="1538" w:type="dxa"/>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&gt;=85%</w:t>
            </w:r>
          </w:p>
        </w:tc>
      </w:tr>
      <w:tr w:rsidR="00B63FAE" w:rsidRPr="00F52890" w:rsidTr="003A31D9">
        <w:trPr>
          <w:trHeight w:val="317"/>
        </w:trPr>
        <w:tc>
          <w:tcPr>
            <w:tcW w:w="2136" w:type="dxa"/>
            <w:vAlign w:val="center"/>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864" w:type="dxa"/>
            <w:shd w:val="clear" w:color="auto" w:fill="auto"/>
            <w:vAlign w:val="center"/>
          </w:tcPr>
          <w:p w:rsidR="00B63FAE" w:rsidRPr="00832A2E" w:rsidRDefault="00B63FAE" w:rsidP="00B63FAE">
            <w:pPr>
              <w:spacing w:after="0" w:line="240" w:lineRule="auto"/>
              <w:rPr>
                <w:rFonts w:ascii="Times New Roman" w:eastAsia="Times New Roman" w:hAnsi="Times New Roman" w:cs="Times New Roman"/>
                <w:b/>
                <w:bCs/>
                <w:color w:val="000000"/>
                <w:sz w:val="24"/>
                <w:szCs w:val="24"/>
              </w:rPr>
            </w:pPr>
          </w:p>
        </w:tc>
        <w:tc>
          <w:tcPr>
            <w:tcW w:w="1120" w:type="dxa"/>
            <w:shd w:val="clear" w:color="auto" w:fill="auto"/>
            <w:vAlign w:val="center"/>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1398" w:type="dxa"/>
            <w:shd w:val="clear" w:color="auto" w:fill="auto"/>
            <w:vAlign w:val="center"/>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1202" w:type="dxa"/>
            <w:shd w:val="clear" w:color="auto" w:fill="auto"/>
            <w:vAlign w:val="center"/>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1120" w:type="dxa"/>
            <w:shd w:val="clear" w:color="auto" w:fill="auto"/>
            <w:vAlign w:val="center"/>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1538" w:type="dxa"/>
            <w:shd w:val="clear" w:color="auto" w:fill="auto"/>
            <w:vAlign w:val="center"/>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r>
      <w:tr w:rsidR="00B63FAE" w:rsidRPr="00F52890" w:rsidTr="003A31D9">
        <w:trPr>
          <w:trHeight w:val="317"/>
        </w:trPr>
        <w:tc>
          <w:tcPr>
            <w:tcW w:w="2136" w:type="dxa"/>
            <w:vAlign w:val="center"/>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864" w:type="dxa"/>
            <w:shd w:val="clear" w:color="auto" w:fill="auto"/>
            <w:vAlign w:val="center"/>
          </w:tcPr>
          <w:p w:rsidR="00B63FAE" w:rsidRPr="00832A2E" w:rsidRDefault="00B63FAE" w:rsidP="00B63FAE">
            <w:pPr>
              <w:spacing w:after="0" w:line="240" w:lineRule="auto"/>
              <w:rPr>
                <w:rFonts w:ascii="Times New Roman" w:eastAsia="Times New Roman" w:hAnsi="Times New Roman" w:cs="Times New Roman"/>
                <w:b/>
                <w:bCs/>
                <w:color w:val="000000"/>
                <w:sz w:val="24"/>
                <w:szCs w:val="24"/>
              </w:rPr>
            </w:pPr>
          </w:p>
        </w:tc>
        <w:tc>
          <w:tcPr>
            <w:tcW w:w="1120" w:type="dxa"/>
            <w:shd w:val="clear" w:color="auto" w:fill="auto"/>
            <w:vAlign w:val="center"/>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1398" w:type="dxa"/>
            <w:shd w:val="clear" w:color="auto" w:fill="auto"/>
            <w:vAlign w:val="center"/>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1202" w:type="dxa"/>
            <w:shd w:val="clear" w:color="auto" w:fill="auto"/>
            <w:vAlign w:val="center"/>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1120" w:type="dxa"/>
            <w:shd w:val="clear" w:color="auto" w:fill="auto"/>
            <w:vAlign w:val="center"/>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1538" w:type="dxa"/>
            <w:shd w:val="clear" w:color="auto" w:fill="auto"/>
            <w:vAlign w:val="center"/>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r>
    </w:tbl>
    <w:p w:rsidR="00B63FAE" w:rsidRDefault="00B63FAE" w:rsidP="00B63FAE">
      <w:pPr>
        <w:rPr>
          <w:sz w:val="24"/>
          <w:szCs w:val="24"/>
        </w:rPr>
      </w:pPr>
    </w:p>
    <w:p w:rsidR="003A31D9" w:rsidRDefault="003A31D9" w:rsidP="00B63FAE">
      <w:pPr>
        <w:rPr>
          <w:sz w:val="24"/>
          <w:szCs w:val="24"/>
        </w:rPr>
      </w:pPr>
    </w:p>
    <w:tbl>
      <w:tblPr>
        <w:tblpPr w:leftFromText="180" w:rightFromText="180" w:vertAnchor="text" w:horzAnchor="margin" w:tblpY="166"/>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2"/>
        <w:gridCol w:w="1499"/>
        <w:gridCol w:w="1499"/>
        <w:gridCol w:w="2648"/>
      </w:tblGrid>
      <w:tr w:rsidR="00B63FAE" w:rsidRPr="00F52890" w:rsidTr="003A31D9">
        <w:trPr>
          <w:trHeight w:val="142"/>
        </w:trPr>
        <w:tc>
          <w:tcPr>
            <w:tcW w:w="3642" w:type="dxa"/>
            <w:vMerge w:val="restart"/>
            <w:shd w:val="clear" w:color="000000" w:fill="A9D08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Bateri</w:t>
            </w:r>
          </w:p>
        </w:tc>
        <w:tc>
          <w:tcPr>
            <w:tcW w:w="5646" w:type="dxa"/>
            <w:gridSpan w:val="3"/>
            <w:shd w:val="clear" w:color="000000" w:fill="A9D08E"/>
            <w:vAlign w:val="center"/>
            <w:hideMark/>
          </w:tcPr>
          <w:p w:rsidR="00B63FAE" w:rsidRPr="00F52890" w:rsidRDefault="00B63FAE" w:rsidP="00B63FAE">
            <w:pPr>
              <w:spacing w:after="0" w:line="240" w:lineRule="auto"/>
              <w:jc w:val="center"/>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Riciklim Objektivat</w:t>
            </w:r>
          </w:p>
        </w:tc>
      </w:tr>
      <w:tr w:rsidR="00B63FAE" w:rsidRPr="00F52890" w:rsidTr="003A31D9">
        <w:trPr>
          <w:trHeight w:val="142"/>
        </w:trPr>
        <w:tc>
          <w:tcPr>
            <w:tcW w:w="3642" w:type="dxa"/>
            <w:vMerg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5646" w:type="dxa"/>
            <w:gridSpan w:val="3"/>
            <w:shd w:val="clear" w:color="000000" w:fill="A9D08E"/>
            <w:vAlign w:val="center"/>
            <w:hideMark/>
          </w:tcPr>
          <w:p w:rsidR="00B63FAE" w:rsidRPr="00F52890" w:rsidRDefault="00B63FAE" w:rsidP="00B63FAE">
            <w:pPr>
              <w:spacing w:after="0" w:line="240" w:lineRule="auto"/>
              <w:jc w:val="center"/>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Vitet</w:t>
            </w:r>
          </w:p>
        </w:tc>
      </w:tr>
      <w:tr w:rsidR="00B63FAE" w:rsidRPr="00F52890" w:rsidTr="003A31D9">
        <w:trPr>
          <w:trHeight w:val="272"/>
        </w:trPr>
        <w:tc>
          <w:tcPr>
            <w:tcW w:w="3642" w:type="dxa"/>
            <w:vMerg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1499" w:type="dxa"/>
            <w:shd w:val="clear" w:color="000000" w:fill="A9D08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 2025</w:t>
            </w:r>
          </w:p>
        </w:tc>
        <w:tc>
          <w:tcPr>
            <w:tcW w:w="1499" w:type="dxa"/>
            <w:shd w:val="clear" w:color="000000" w:fill="A9D08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2030</w:t>
            </w:r>
          </w:p>
        </w:tc>
        <w:tc>
          <w:tcPr>
            <w:tcW w:w="2648" w:type="dxa"/>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2035</w:t>
            </w:r>
          </w:p>
        </w:tc>
      </w:tr>
      <w:tr w:rsidR="00B63FAE" w:rsidRPr="00F52890" w:rsidTr="003A31D9">
        <w:trPr>
          <w:trHeight w:val="558"/>
        </w:trPr>
        <w:tc>
          <w:tcPr>
            <w:tcW w:w="3642" w:type="dxa"/>
            <w:vMerg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1499" w:type="dxa"/>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 </w:t>
            </w:r>
          </w:p>
        </w:tc>
        <w:tc>
          <w:tcPr>
            <w:tcW w:w="1499" w:type="dxa"/>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 </w:t>
            </w:r>
          </w:p>
        </w:tc>
        <w:tc>
          <w:tcPr>
            <w:tcW w:w="2648" w:type="dxa"/>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Midis 50% dhe 75% për materiale të ndryshme</w:t>
            </w:r>
          </w:p>
        </w:tc>
      </w:tr>
    </w:tbl>
    <w:p w:rsidR="00B63FAE" w:rsidRDefault="00B63FAE" w:rsidP="00B63FAE">
      <w:pPr>
        <w:rPr>
          <w:sz w:val="24"/>
          <w:szCs w:val="24"/>
        </w:rPr>
      </w:pPr>
    </w:p>
    <w:tbl>
      <w:tblPr>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1023"/>
        <w:gridCol w:w="1023"/>
        <w:gridCol w:w="1607"/>
        <w:gridCol w:w="1013"/>
        <w:gridCol w:w="1171"/>
        <w:gridCol w:w="1640"/>
      </w:tblGrid>
      <w:tr w:rsidR="00B63FAE" w:rsidRPr="00F52890" w:rsidTr="003A31D9">
        <w:trPr>
          <w:trHeight w:val="129"/>
        </w:trPr>
        <w:tc>
          <w:tcPr>
            <w:tcW w:w="2042" w:type="dxa"/>
            <w:vMerge w:val="restart"/>
            <w:shd w:val="clear" w:color="000000" w:fill="A9D08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M</w:t>
            </w:r>
            <w:r>
              <w:rPr>
                <w:rFonts w:ascii="Times New Roman" w:eastAsia="Times New Roman" w:hAnsi="Times New Roman" w:cs="Times New Roman"/>
                <w:b/>
                <w:bCs/>
                <w:color w:val="000000"/>
                <w:sz w:val="24"/>
                <w:szCs w:val="24"/>
              </w:rPr>
              <w:t xml:space="preserve">betje të </w:t>
            </w:r>
            <w:r w:rsidRPr="00F52890">
              <w:rPr>
                <w:rFonts w:ascii="Times New Roman" w:eastAsia="Times New Roman" w:hAnsi="Times New Roman" w:cs="Times New Roman"/>
                <w:b/>
                <w:bCs/>
                <w:color w:val="000000"/>
                <w:sz w:val="24"/>
                <w:szCs w:val="24"/>
              </w:rPr>
              <w:t>P</w:t>
            </w:r>
            <w:r>
              <w:rPr>
                <w:rFonts w:ascii="Times New Roman" w:eastAsia="Times New Roman" w:hAnsi="Times New Roman" w:cs="Times New Roman"/>
                <w:b/>
                <w:bCs/>
                <w:color w:val="000000"/>
                <w:sz w:val="24"/>
                <w:szCs w:val="24"/>
              </w:rPr>
              <w:t xml:space="preserve">ajisjeve </w:t>
            </w:r>
            <w:r w:rsidRPr="00F52890">
              <w:rPr>
                <w:rFonts w:ascii="Times New Roman" w:eastAsia="Times New Roman" w:hAnsi="Times New Roman" w:cs="Times New Roman"/>
                <w:b/>
                <w:bCs/>
                <w:color w:val="000000"/>
                <w:sz w:val="24"/>
                <w:szCs w:val="24"/>
              </w:rPr>
              <w:t>E</w:t>
            </w:r>
            <w:r>
              <w:rPr>
                <w:rFonts w:ascii="Times New Roman" w:eastAsia="Times New Roman" w:hAnsi="Times New Roman" w:cs="Times New Roman"/>
                <w:b/>
                <w:bCs/>
                <w:color w:val="000000"/>
                <w:sz w:val="24"/>
                <w:szCs w:val="24"/>
              </w:rPr>
              <w:t xml:space="preserve">lektronike dhe </w:t>
            </w:r>
            <w:r w:rsidRPr="00F52890">
              <w:rPr>
                <w:rFonts w:ascii="Times New Roman" w:eastAsia="Times New Roman" w:hAnsi="Times New Roman" w:cs="Times New Roman"/>
                <w:b/>
                <w:bCs/>
                <w:color w:val="000000"/>
                <w:sz w:val="24"/>
                <w:szCs w:val="24"/>
              </w:rPr>
              <w:t>E</w:t>
            </w:r>
            <w:r>
              <w:rPr>
                <w:rFonts w:ascii="Times New Roman" w:eastAsia="Times New Roman" w:hAnsi="Times New Roman" w:cs="Times New Roman"/>
                <w:b/>
                <w:bCs/>
                <w:color w:val="000000"/>
                <w:sz w:val="24"/>
                <w:szCs w:val="24"/>
              </w:rPr>
              <w:t>lektrike</w:t>
            </w:r>
          </w:p>
        </w:tc>
        <w:tc>
          <w:tcPr>
            <w:tcW w:w="3550" w:type="dxa"/>
            <w:gridSpan w:val="3"/>
            <w:shd w:val="clear" w:color="000000" w:fill="A9D08E"/>
            <w:vAlign w:val="center"/>
            <w:hideMark/>
          </w:tcPr>
          <w:p w:rsidR="00B63FAE" w:rsidRPr="00F52890" w:rsidRDefault="00B63FAE" w:rsidP="00B63FAE">
            <w:pPr>
              <w:spacing w:after="0" w:line="240" w:lineRule="auto"/>
              <w:jc w:val="center"/>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Rikuperim Objektivat</w:t>
            </w:r>
          </w:p>
        </w:tc>
        <w:tc>
          <w:tcPr>
            <w:tcW w:w="3717" w:type="dxa"/>
            <w:gridSpan w:val="3"/>
            <w:shd w:val="clear" w:color="000000" w:fill="A9D08E"/>
            <w:vAlign w:val="center"/>
            <w:hideMark/>
          </w:tcPr>
          <w:p w:rsidR="00B63FAE" w:rsidRPr="00F52890" w:rsidRDefault="00B63FAE" w:rsidP="00B63FAE">
            <w:pPr>
              <w:spacing w:after="0" w:line="240" w:lineRule="auto"/>
              <w:jc w:val="center"/>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Riciklim Objektivat</w:t>
            </w:r>
          </w:p>
        </w:tc>
      </w:tr>
      <w:tr w:rsidR="00B63FAE" w:rsidRPr="00F52890" w:rsidTr="003A31D9">
        <w:trPr>
          <w:trHeight w:val="129"/>
        </w:trPr>
        <w:tc>
          <w:tcPr>
            <w:tcW w:w="2042" w:type="dxa"/>
            <w:vMerg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3550" w:type="dxa"/>
            <w:gridSpan w:val="3"/>
            <w:shd w:val="clear" w:color="000000" w:fill="A9D08E"/>
            <w:vAlign w:val="center"/>
            <w:hideMark/>
          </w:tcPr>
          <w:p w:rsidR="00B63FAE" w:rsidRPr="00F52890" w:rsidRDefault="00B63FAE" w:rsidP="00B63FAE">
            <w:pPr>
              <w:spacing w:after="0" w:line="240" w:lineRule="auto"/>
              <w:jc w:val="center"/>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Vitet</w:t>
            </w:r>
          </w:p>
        </w:tc>
        <w:tc>
          <w:tcPr>
            <w:tcW w:w="3717" w:type="dxa"/>
            <w:gridSpan w:val="3"/>
            <w:shd w:val="clear" w:color="000000" w:fill="A9D08E"/>
            <w:vAlign w:val="center"/>
            <w:hideMark/>
          </w:tcPr>
          <w:p w:rsidR="00B63FAE" w:rsidRPr="00F52890" w:rsidRDefault="00B63FAE" w:rsidP="00B63FAE">
            <w:pPr>
              <w:spacing w:after="0" w:line="240" w:lineRule="auto"/>
              <w:jc w:val="center"/>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Vitet</w:t>
            </w:r>
          </w:p>
        </w:tc>
      </w:tr>
      <w:tr w:rsidR="00B63FAE" w:rsidRPr="00F52890" w:rsidTr="003A31D9">
        <w:trPr>
          <w:trHeight w:val="246"/>
        </w:trPr>
        <w:tc>
          <w:tcPr>
            <w:tcW w:w="2042" w:type="dxa"/>
            <w:vMerg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994" w:type="dxa"/>
            <w:shd w:val="clear" w:color="000000" w:fill="A9D08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 2025</w:t>
            </w:r>
          </w:p>
        </w:tc>
        <w:tc>
          <w:tcPr>
            <w:tcW w:w="994" w:type="dxa"/>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2030</w:t>
            </w:r>
          </w:p>
        </w:tc>
        <w:tc>
          <w:tcPr>
            <w:tcW w:w="1562" w:type="dxa"/>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2035</w:t>
            </w:r>
          </w:p>
        </w:tc>
        <w:tc>
          <w:tcPr>
            <w:tcW w:w="985" w:type="dxa"/>
            <w:shd w:val="clear" w:color="000000" w:fill="A9D08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 2025</w:t>
            </w:r>
          </w:p>
        </w:tc>
        <w:tc>
          <w:tcPr>
            <w:tcW w:w="1138" w:type="dxa"/>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2030</w:t>
            </w:r>
          </w:p>
        </w:tc>
        <w:tc>
          <w:tcPr>
            <w:tcW w:w="1594" w:type="dxa"/>
            <w:shd w:val="clear" w:color="000000" w:fill="A9D08E"/>
            <w:vAlign w:val="center"/>
            <w:hideMark/>
          </w:tcPr>
          <w:p w:rsidR="00B63FAE" w:rsidRPr="00F52890" w:rsidRDefault="00B63FAE" w:rsidP="00B63FAE">
            <w:pPr>
              <w:spacing w:after="0" w:line="240" w:lineRule="auto"/>
              <w:jc w:val="right"/>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2035</w:t>
            </w:r>
          </w:p>
        </w:tc>
      </w:tr>
      <w:tr w:rsidR="00B63FAE" w:rsidRPr="00F52890" w:rsidTr="003A31D9">
        <w:trPr>
          <w:trHeight w:val="490"/>
        </w:trPr>
        <w:tc>
          <w:tcPr>
            <w:tcW w:w="2042" w:type="dxa"/>
            <w:vMerge/>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p>
        </w:tc>
        <w:tc>
          <w:tcPr>
            <w:tcW w:w="994" w:type="dxa"/>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 </w:t>
            </w:r>
          </w:p>
        </w:tc>
        <w:tc>
          <w:tcPr>
            <w:tcW w:w="994" w:type="dxa"/>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b/>
                <w:bCs/>
                <w:color w:val="000000"/>
                <w:sz w:val="24"/>
                <w:szCs w:val="24"/>
              </w:rPr>
            </w:pPr>
            <w:r w:rsidRPr="00F52890">
              <w:rPr>
                <w:rFonts w:ascii="Times New Roman" w:eastAsia="Times New Roman" w:hAnsi="Times New Roman" w:cs="Times New Roman"/>
                <w:b/>
                <w:bCs/>
                <w:color w:val="000000"/>
                <w:sz w:val="24"/>
                <w:szCs w:val="24"/>
              </w:rPr>
              <w:t> </w:t>
            </w:r>
          </w:p>
        </w:tc>
        <w:tc>
          <w:tcPr>
            <w:tcW w:w="1562" w:type="dxa"/>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Midis 70% dhe 80% për materiale të ndryshme</w:t>
            </w:r>
          </w:p>
        </w:tc>
        <w:tc>
          <w:tcPr>
            <w:tcW w:w="985" w:type="dxa"/>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 </w:t>
            </w:r>
          </w:p>
        </w:tc>
        <w:tc>
          <w:tcPr>
            <w:tcW w:w="1138" w:type="dxa"/>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 </w:t>
            </w:r>
          </w:p>
        </w:tc>
        <w:tc>
          <w:tcPr>
            <w:tcW w:w="1594" w:type="dxa"/>
            <w:shd w:val="clear" w:color="auto" w:fill="auto"/>
            <w:vAlign w:val="center"/>
            <w:hideMark/>
          </w:tcPr>
          <w:p w:rsidR="00B63FAE" w:rsidRPr="00F52890" w:rsidRDefault="00B63FAE" w:rsidP="00B63FAE">
            <w:pPr>
              <w:spacing w:after="0" w:line="240" w:lineRule="auto"/>
              <w:rPr>
                <w:rFonts w:ascii="Times New Roman" w:eastAsia="Times New Roman" w:hAnsi="Times New Roman" w:cs="Times New Roman"/>
                <w:color w:val="000000"/>
                <w:sz w:val="24"/>
                <w:szCs w:val="24"/>
              </w:rPr>
            </w:pPr>
            <w:r w:rsidRPr="00F52890">
              <w:rPr>
                <w:rFonts w:ascii="Times New Roman" w:eastAsia="Times New Roman" w:hAnsi="Times New Roman" w:cs="Times New Roman"/>
                <w:color w:val="000000"/>
                <w:sz w:val="24"/>
                <w:szCs w:val="24"/>
              </w:rPr>
              <w:t>Midis 50% dhe 75% për materiale të ndryshme</w:t>
            </w:r>
          </w:p>
        </w:tc>
      </w:tr>
    </w:tbl>
    <w:tbl>
      <w:tblPr>
        <w:tblpPr w:leftFromText="180" w:rightFromText="180" w:vertAnchor="text" w:horzAnchor="margin" w:tblpY="300"/>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6"/>
        <w:gridCol w:w="998"/>
        <w:gridCol w:w="998"/>
        <w:gridCol w:w="1572"/>
        <w:gridCol w:w="1074"/>
        <w:gridCol w:w="1026"/>
        <w:gridCol w:w="1484"/>
      </w:tblGrid>
      <w:tr w:rsidR="003A31D9" w:rsidRPr="00190128" w:rsidTr="003A31D9">
        <w:trPr>
          <w:trHeight w:val="163"/>
        </w:trPr>
        <w:tc>
          <w:tcPr>
            <w:tcW w:w="2426" w:type="dxa"/>
            <w:vMerge w:val="restart"/>
            <w:shd w:val="clear" w:color="000000" w:fill="A9D08E"/>
            <w:vAlign w:val="center"/>
            <w:hideMark/>
          </w:tcPr>
          <w:p w:rsidR="003A31D9" w:rsidRPr="00190128" w:rsidRDefault="003A31D9" w:rsidP="003A31D9">
            <w:pPr>
              <w:spacing w:after="0" w:line="240" w:lineRule="auto"/>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Goma</w:t>
            </w:r>
          </w:p>
        </w:tc>
        <w:tc>
          <w:tcPr>
            <w:tcW w:w="3568" w:type="dxa"/>
            <w:gridSpan w:val="3"/>
            <w:shd w:val="clear" w:color="000000" w:fill="A9D08E"/>
            <w:vAlign w:val="center"/>
            <w:hideMark/>
          </w:tcPr>
          <w:p w:rsidR="003A31D9" w:rsidRPr="00190128" w:rsidRDefault="003A31D9" w:rsidP="003A31D9">
            <w:pPr>
              <w:spacing w:after="0" w:line="240" w:lineRule="auto"/>
              <w:jc w:val="center"/>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Rikuperim Objektivat</w:t>
            </w:r>
          </w:p>
        </w:tc>
        <w:tc>
          <w:tcPr>
            <w:tcW w:w="3584" w:type="dxa"/>
            <w:gridSpan w:val="3"/>
            <w:shd w:val="clear" w:color="000000" w:fill="A9D08E"/>
            <w:vAlign w:val="center"/>
            <w:hideMark/>
          </w:tcPr>
          <w:p w:rsidR="003A31D9" w:rsidRPr="00190128" w:rsidRDefault="003A31D9" w:rsidP="003A31D9">
            <w:pPr>
              <w:spacing w:after="0" w:line="240" w:lineRule="auto"/>
              <w:jc w:val="center"/>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Riciklim Objektivat</w:t>
            </w:r>
          </w:p>
        </w:tc>
      </w:tr>
      <w:tr w:rsidR="003A31D9" w:rsidRPr="00190128" w:rsidTr="003A31D9">
        <w:trPr>
          <w:trHeight w:val="153"/>
        </w:trPr>
        <w:tc>
          <w:tcPr>
            <w:tcW w:w="2426" w:type="dxa"/>
            <w:vMerge/>
            <w:vAlign w:val="center"/>
            <w:hideMark/>
          </w:tcPr>
          <w:p w:rsidR="003A31D9" w:rsidRPr="00190128" w:rsidRDefault="003A31D9" w:rsidP="003A31D9">
            <w:pPr>
              <w:spacing w:after="0" w:line="240" w:lineRule="auto"/>
              <w:rPr>
                <w:rFonts w:ascii="Times New Roman" w:eastAsia="Times New Roman" w:hAnsi="Times New Roman" w:cs="Times New Roman"/>
                <w:b/>
                <w:bCs/>
                <w:color w:val="000000"/>
                <w:sz w:val="24"/>
                <w:szCs w:val="24"/>
              </w:rPr>
            </w:pPr>
          </w:p>
        </w:tc>
        <w:tc>
          <w:tcPr>
            <w:tcW w:w="3568" w:type="dxa"/>
            <w:gridSpan w:val="3"/>
            <w:shd w:val="clear" w:color="000000" w:fill="A9D08E"/>
            <w:vAlign w:val="center"/>
            <w:hideMark/>
          </w:tcPr>
          <w:p w:rsidR="003A31D9" w:rsidRPr="00190128" w:rsidRDefault="003A31D9" w:rsidP="003A31D9">
            <w:pPr>
              <w:spacing w:after="0" w:line="240" w:lineRule="auto"/>
              <w:jc w:val="center"/>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Vitet</w:t>
            </w:r>
          </w:p>
        </w:tc>
        <w:tc>
          <w:tcPr>
            <w:tcW w:w="3584" w:type="dxa"/>
            <w:gridSpan w:val="3"/>
            <w:shd w:val="clear" w:color="000000" w:fill="A9D08E"/>
            <w:vAlign w:val="center"/>
            <w:hideMark/>
          </w:tcPr>
          <w:p w:rsidR="003A31D9" w:rsidRPr="00190128" w:rsidRDefault="003A31D9" w:rsidP="003A31D9">
            <w:pPr>
              <w:spacing w:after="0" w:line="240" w:lineRule="auto"/>
              <w:jc w:val="center"/>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Vitet</w:t>
            </w:r>
          </w:p>
        </w:tc>
      </w:tr>
      <w:tr w:rsidR="003A31D9" w:rsidRPr="00190128" w:rsidTr="003A31D9">
        <w:trPr>
          <w:trHeight w:val="313"/>
        </w:trPr>
        <w:tc>
          <w:tcPr>
            <w:tcW w:w="2426" w:type="dxa"/>
            <w:vMerge/>
            <w:vAlign w:val="center"/>
            <w:hideMark/>
          </w:tcPr>
          <w:p w:rsidR="003A31D9" w:rsidRPr="00190128" w:rsidRDefault="003A31D9" w:rsidP="003A31D9">
            <w:pPr>
              <w:spacing w:after="0" w:line="240" w:lineRule="auto"/>
              <w:rPr>
                <w:rFonts w:ascii="Times New Roman" w:eastAsia="Times New Roman" w:hAnsi="Times New Roman" w:cs="Times New Roman"/>
                <w:b/>
                <w:bCs/>
                <w:color w:val="000000"/>
                <w:sz w:val="24"/>
                <w:szCs w:val="24"/>
              </w:rPr>
            </w:pPr>
          </w:p>
        </w:tc>
        <w:tc>
          <w:tcPr>
            <w:tcW w:w="998" w:type="dxa"/>
            <w:shd w:val="clear" w:color="000000" w:fill="A9D08E"/>
            <w:vAlign w:val="center"/>
            <w:hideMark/>
          </w:tcPr>
          <w:p w:rsidR="003A31D9" w:rsidRPr="00190128" w:rsidRDefault="003A31D9" w:rsidP="003A31D9">
            <w:pPr>
              <w:spacing w:after="0" w:line="240" w:lineRule="auto"/>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 2025</w:t>
            </w:r>
          </w:p>
        </w:tc>
        <w:tc>
          <w:tcPr>
            <w:tcW w:w="998" w:type="dxa"/>
            <w:shd w:val="clear" w:color="000000" w:fill="A9D08E"/>
            <w:vAlign w:val="center"/>
            <w:hideMark/>
          </w:tcPr>
          <w:p w:rsidR="003A31D9" w:rsidRPr="00190128" w:rsidRDefault="003A31D9" w:rsidP="003A31D9">
            <w:pPr>
              <w:spacing w:after="0" w:line="240" w:lineRule="auto"/>
              <w:jc w:val="right"/>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2030</w:t>
            </w:r>
          </w:p>
        </w:tc>
        <w:tc>
          <w:tcPr>
            <w:tcW w:w="1572" w:type="dxa"/>
            <w:shd w:val="clear" w:color="000000" w:fill="A9D08E"/>
            <w:vAlign w:val="center"/>
            <w:hideMark/>
          </w:tcPr>
          <w:p w:rsidR="003A31D9" w:rsidRPr="00190128" w:rsidRDefault="003A31D9" w:rsidP="003A31D9">
            <w:pPr>
              <w:spacing w:after="0" w:line="240" w:lineRule="auto"/>
              <w:jc w:val="right"/>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2035</w:t>
            </w:r>
          </w:p>
        </w:tc>
        <w:tc>
          <w:tcPr>
            <w:tcW w:w="1074" w:type="dxa"/>
            <w:shd w:val="clear" w:color="000000" w:fill="A9D08E"/>
            <w:vAlign w:val="center"/>
            <w:hideMark/>
          </w:tcPr>
          <w:p w:rsidR="003A31D9" w:rsidRPr="00190128" w:rsidRDefault="003A31D9" w:rsidP="003A31D9">
            <w:pPr>
              <w:spacing w:after="0" w:line="240" w:lineRule="auto"/>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 2035</w:t>
            </w:r>
          </w:p>
        </w:tc>
        <w:tc>
          <w:tcPr>
            <w:tcW w:w="1026" w:type="dxa"/>
            <w:shd w:val="clear" w:color="000000" w:fill="A9D08E"/>
            <w:vAlign w:val="center"/>
            <w:hideMark/>
          </w:tcPr>
          <w:p w:rsidR="003A31D9" w:rsidRPr="00190128" w:rsidRDefault="003A31D9" w:rsidP="003A31D9">
            <w:pPr>
              <w:spacing w:after="0" w:line="240" w:lineRule="auto"/>
              <w:jc w:val="right"/>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2040</w:t>
            </w:r>
          </w:p>
        </w:tc>
        <w:tc>
          <w:tcPr>
            <w:tcW w:w="1484" w:type="dxa"/>
            <w:shd w:val="clear" w:color="000000" w:fill="A9D08E"/>
            <w:vAlign w:val="center"/>
            <w:hideMark/>
          </w:tcPr>
          <w:p w:rsidR="003A31D9" w:rsidRPr="00190128" w:rsidRDefault="003A31D9" w:rsidP="003A31D9">
            <w:pPr>
              <w:spacing w:after="0" w:line="240" w:lineRule="auto"/>
              <w:jc w:val="right"/>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2045</w:t>
            </w:r>
          </w:p>
        </w:tc>
      </w:tr>
      <w:tr w:rsidR="003A31D9" w:rsidRPr="00190128" w:rsidTr="003A31D9">
        <w:trPr>
          <w:trHeight w:val="323"/>
        </w:trPr>
        <w:tc>
          <w:tcPr>
            <w:tcW w:w="2426" w:type="dxa"/>
            <w:vMerge/>
            <w:vAlign w:val="center"/>
            <w:hideMark/>
          </w:tcPr>
          <w:p w:rsidR="003A31D9" w:rsidRPr="00190128" w:rsidRDefault="003A31D9" w:rsidP="003A31D9">
            <w:pPr>
              <w:spacing w:after="0" w:line="240" w:lineRule="auto"/>
              <w:rPr>
                <w:rFonts w:ascii="Times New Roman" w:eastAsia="Times New Roman" w:hAnsi="Times New Roman" w:cs="Times New Roman"/>
                <w:b/>
                <w:bCs/>
                <w:color w:val="000000"/>
                <w:sz w:val="24"/>
                <w:szCs w:val="24"/>
              </w:rPr>
            </w:pPr>
          </w:p>
        </w:tc>
        <w:tc>
          <w:tcPr>
            <w:tcW w:w="998" w:type="dxa"/>
            <w:shd w:val="clear" w:color="auto" w:fill="auto"/>
            <w:vAlign w:val="center"/>
            <w:hideMark/>
          </w:tcPr>
          <w:p w:rsidR="003A31D9" w:rsidRPr="00190128" w:rsidRDefault="003A31D9" w:rsidP="003A31D9">
            <w:pPr>
              <w:spacing w:after="0" w:line="240" w:lineRule="auto"/>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 </w:t>
            </w:r>
          </w:p>
        </w:tc>
        <w:tc>
          <w:tcPr>
            <w:tcW w:w="998" w:type="dxa"/>
            <w:shd w:val="clear" w:color="auto" w:fill="auto"/>
            <w:vAlign w:val="center"/>
            <w:hideMark/>
          </w:tcPr>
          <w:p w:rsidR="003A31D9" w:rsidRPr="00190128" w:rsidRDefault="003A31D9" w:rsidP="003A31D9">
            <w:pPr>
              <w:spacing w:after="0" w:line="240" w:lineRule="auto"/>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 </w:t>
            </w:r>
          </w:p>
        </w:tc>
        <w:tc>
          <w:tcPr>
            <w:tcW w:w="1572" w:type="dxa"/>
            <w:shd w:val="clear" w:color="auto" w:fill="auto"/>
            <w:vAlign w:val="center"/>
            <w:hideMark/>
          </w:tcPr>
          <w:p w:rsidR="003A31D9" w:rsidRPr="00190128" w:rsidRDefault="003A31D9" w:rsidP="003A31D9">
            <w:pPr>
              <w:spacing w:after="0" w:line="240" w:lineRule="auto"/>
              <w:rPr>
                <w:rFonts w:ascii="Times New Roman" w:eastAsia="Times New Roman" w:hAnsi="Times New Roman" w:cs="Times New Roman"/>
                <w:color w:val="000000"/>
                <w:sz w:val="24"/>
                <w:szCs w:val="24"/>
              </w:rPr>
            </w:pPr>
            <w:r w:rsidRPr="00190128">
              <w:rPr>
                <w:rFonts w:ascii="Times New Roman" w:eastAsia="Times New Roman" w:hAnsi="Times New Roman" w:cs="Times New Roman"/>
                <w:color w:val="000000"/>
                <w:sz w:val="24"/>
                <w:szCs w:val="24"/>
              </w:rPr>
              <w:t>&gt;=65% e peshës</w:t>
            </w:r>
          </w:p>
        </w:tc>
        <w:tc>
          <w:tcPr>
            <w:tcW w:w="1074" w:type="dxa"/>
            <w:shd w:val="clear" w:color="auto" w:fill="auto"/>
            <w:vAlign w:val="center"/>
            <w:hideMark/>
          </w:tcPr>
          <w:p w:rsidR="003A31D9" w:rsidRPr="00190128" w:rsidRDefault="003A31D9" w:rsidP="003A31D9">
            <w:pPr>
              <w:spacing w:after="0" w:line="240" w:lineRule="auto"/>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 </w:t>
            </w:r>
          </w:p>
        </w:tc>
        <w:tc>
          <w:tcPr>
            <w:tcW w:w="1026" w:type="dxa"/>
            <w:shd w:val="clear" w:color="auto" w:fill="auto"/>
            <w:vAlign w:val="center"/>
            <w:hideMark/>
          </w:tcPr>
          <w:p w:rsidR="003A31D9" w:rsidRPr="00190128" w:rsidRDefault="003A31D9" w:rsidP="003A31D9">
            <w:pPr>
              <w:spacing w:after="0" w:line="240" w:lineRule="auto"/>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 </w:t>
            </w:r>
          </w:p>
        </w:tc>
        <w:tc>
          <w:tcPr>
            <w:tcW w:w="1484" w:type="dxa"/>
            <w:shd w:val="clear" w:color="auto" w:fill="auto"/>
            <w:vAlign w:val="center"/>
            <w:hideMark/>
          </w:tcPr>
          <w:p w:rsidR="003A31D9" w:rsidRPr="00190128" w:rsidRDefault="003A31D9" w:rsidP="003A31D9">
            <w:pPr>
              <w:spacing w:after="0" w:line="240" w:lineRule="auto"/>
              <w:rPr>
                <w:rFonts w:ascii="Times New Roman" w:eastAsia="Times New Roman" w:hAnsi="Times New Roman" w:cs="Times New Roman"/>
                <w:color w:val="000000"/>
                <w:sz w:val="24"/>
                <w:szCs w:val="24"/>
              </w:rPr>
            </w:pPr>
            <w:r w:rsidRPr="00190128">
              <w:rPr>
                <w:rFonts w:ascii="Times New Roman" w:eastAsia="Times New Roman" w:hAnsi="Times New Roman" w:cs="Times New Roman"/>
                <w:color w:val="000000"/>
                <w:sz w:val="24"/>
                <w:szCs w:val="24"/>
              </w:rPr>
              <w:t>&gt;=50% e peshës</w:t>
            </w:r>
          </w:p>
        </w:tc>
      </w:tr>
    </w:tbl>
    <w:p w:rsidR="00B63FAE" w:rsidRDefault="00B63FAE" w:rsidP="00B63FAE">
      <w:pPr>
        <w:rPr>
          <w:sz w:val="24"/>
          <w:szCs w:val="24"/>
        </w:rPr>
      </w:pPr>
    </w:p>
    <w:tbl>
      <w:tblPr>
        <w:tblpPr w:leftFromText="180" w:rightFromText="180" w:vertAnchor="text" w:horzAnchor="margin" w:tblpY="-75"/>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6"/>
        <w:gridCol w:w="1439"/>
        <w:gridCol w:w="1439"/>
        <w:gridCol w:w="2914"/>
      </w:tblGrid>
      <w:tr w:rsidR="00B63FAE" w:rsidRPr="00190128" w:rsidTr="003A31D9">
        <w:trPr>
          <w:trHeight w:val="243"/>
        </w:trPr>
        <w:tc>
          <w:tcPr>
            <w:tcW w:w="3496" w:type="dxa"/>
            <w:vMerge w:val="restart"/>
            <w:shd w:val="clear" w:color="000000" w:fill="A9D08E"/>
            <w:vAlign w:val="center"/>
            <w:hideMark/>
          </w:tcPr>
          <w:p w:rsidR="00B63FAE" w:rsidRPr="00190128" w:rsidRDefault="00B63FAE" w:rsidP="00B63FAE">
            <w:pPr>
              <w:spacing w:after="0" w:line="240" w:lineRule="auto"/>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Vajra</w:t>
            </w:r>
          </w:p>
        </w:tc>
        <w:tc>
          <w:tcPr>
            <w:tcW w:w="5792" w:type="dxa"/>
            <w:gridSpan w:val="3"/>
            <w:shd w:val="clear" w:color="000000" w:fill="A9D08E"/>
            <w:vAlign w:val="center"/>
            <w:hideMark/>
          </w:tcPr>
          <w:p w:rsidR="00B63FAE" w:rsidRPr="00190128" w:rsidRDefault="00B63FAE" w:rsidP="00B63FAE">
            <w:pPr>
              <w:spacing w:after="0" w:line="240" w:lineRule="auto"/>
              <w:jc w:val="center"/>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Rikuperim Objektivat</w:t>
            </w:r>
          </w:p>
        </w:tc>
      </w:tr>
      <w:tr w:rsidR="00B63FAE" w:rsidRPr="00190128" w:rsidTr="003A31D9">
        <w:trPr>
          <w:trHeight w:val="243"/>
        </w:trPr>
        <w:tc>
          <w:tcPr>
            <w:tcW w:w="3496" w:type="dxa"/>
            <w:vMerge/>
            <w:vAlign w:val="center"/>
            <w:hideMark/>
          </w:tcPr>
          <w:p w:rsidR="00B63FAE" w:rsidRPr="00190128" w:rsidRDefault="00B63FAE" w:rsidP="00B63FAE">
            <w:pPr>
              <w:spacing w:after="0" w:line="240" w:lineRule="auto"/>
              <w:rPr>
                <w:rFonts w:ascii="Times New Roman" w:eastAsia="Times New Roman" w:hAnsi="Times New Roman" w:cs="Times New Roman"/>
                <w:b/>
                <w:bCs/>
                <w:color w:val="000000"/>
                <w:sz w:val="24"/>
                <w:szCs w:val="24"/>
              </w:rPr>
            </w:pPr>
          </w:p>
        </w:tc>
        <w:tc>
          <w:tcPr>
            <w:tcW w:w="5792" w:type="dxa"/>
            <w:gridSpan w:val="3"/>
            <w:shd w:val="clear" w:color="000000" w:fill="A9D08E"/>
            <w:vAlign w:val="center"/>
            <w:hideMark/>
          </w:tcPr>
          <w:p w:rsidR="00B63FAE" w:rsidRPr="00190128" w:rsidRDefault="00B63FAE" w:rsidP="00B63FAE">
            <w:pPr>
              <w:spacing w:after="0" w:line="240" w:lineRule="auto"/>
              <w:jc w:val="center"/>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Vitet</w:t>
            </w:r>
          </w:p>
        </w:tc>
      </w:tr>
      <w:tr w:rsidR="00B63FAE" w:rsidRPr="00190128" w:rsidTr="003A31D9">
        <w:trPr>
          <w:trHeight w:val="463"/>
        </w:trPr>
        <w:tc>
          <w:tcPr>
            <w:tcW w:w="3496" w:type="dxa"/>
            <w:vMerge/>
            <w:vAlign w:val="center"/>
            <w:hideMark/>
          </w:tcPr>
          <w:p w:rsidR="00B63FAE" w:rsidRPr="00190128" w:rsidRDefault="00B63FAE" w:rsidP="00B63FAE">
            <w:pPr>
              <w:spacing w:after="0" w:line="240" w:lineRule="auto"/>
              <w:rPr>
                <w:rFonts w:ascii="Times New Roman" w:eastAsia="Times New Roman" w:hAnsi="Times New Roman" w:cs="Times New Roman"/>
                <w:b/>
                <w:bCs/>
                <w:color w:val="000000"/>
                <w:sz w:val="24"/>
                <w:szCs w:val="24"/>
              </w:rPr>
            </w:pPr>
          </w:p>
        </w:tc>
        <w:tc>
          <w:tcPr>
            <w:tcW w:w="1439" w:type="dxa"/>
            <w:shd w:val="clear" w:color="000000" w:fill="A9D08E"/>
            <w:vAlign w:val="center"/>
            <w:hideMark/>
          </w:tcPr>
          <w:p w:rsidR="00B63FAE" w:rsidRPr="00190128" w:rsidRDefault="00B63FAE" w:rsidP="00B63FAE">
            <w:pPr>
              <w:spacing w:after="0" w:line="240" w:lineRule="auto"/>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 2025</w:t>
            </w:r>
          </w:p>
        </w:tc>
        <w:tc>
          <w:tcPr>
            <w:tcW w:w="1439" w:type="dxa"/>
            <w:shd w:val="clear" w:color="000000" w:fill="A9D08E"/>
            <w:vAlign w:val="center"/>
            <w:hideMark/>
          </w:tcPr>
          <w:p w:rsidR="00B63FAE" w:rsidRPr="00190128" w:rsidRDefault="00B63FAE" w:rsidP="00B63FAE">
            <w:pPr>
              <w:spacing w:after="0" w:line="240" w:lineRule="auto"/>
              <w:jc w:val="right"/>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2030</w:t>
            </w:r>
          </w:p>
        </w:tc>
        <w:tc>
          <w:tcPr>
            <w:tcW w:w="2914" w:type="dxa"/>
            <w:shd w:val="clear" w:color="000000" w:fill="A9D08E"/>
            <w:vAlign w:val="center"/>
            <w:hideMark/>
          </w:tcPr>
          <w:p w:rsidR="00B63FAE" w:rsidRPr="00190128" w:rsidRDefault="00B63FAE" w:rsidP="00B63FAE">
            <w:pPr>
              <w:spacing w:after="0" w:line="240" w:lineRule="auto"/>
              <w:jc w:val="right"/>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2035</w:t>
            </w:r>
          </w:p>
        </w:tc>
      </w:tr>
      <w:tr w:rsidR="00B63FAE" w:rsidRPr="00190128" w:rsidTr="003A31D9">
        <w:trPr>
          <w:trHeight w:val="479"/>
        </w:trPr>
        <w:tc>
          <w:tcPr>
            <w:tcW w:w="3496" w:type="dxa"/>
            <w:vMerge/>
            <w:vAlign w:val="center"/>
            <w:hideMark/>
          </w:tcPr>
          <w:p w:rsidR="00B63FAE" w:rsidRPr="00190128" w:rsidRDefault="00B63FAE" w:rsidP="00B63FAE">
            <w:pPr>
              <w:spacing w:after="0" w:line="240" w:lineRule="auto"/>
              <w:rPr>
                <w:rFonts w:ascii="Times New Roman" w:eastAsia="Times New Roman" w:hAnsi="Times New Roman" w:cs="Times New Roman"/>
                <w:b/>
                <w:bCs/>
                <w:color w:val="000000"/>
                <w:sz w:val="24"/>
                <w:szCs w:val="24"/>
              </w:rPr>
            </w:pPr>
          </w:p>
        </w:tc>
        <w:tc>
          <w:tcPr>
            <w:tcW w:w="1439" w:type="dxa"/>
            <w:shd w:val="clear" w:color="auto" w:fill="auto"/>
            <w:vAlign w:val="center"/>
            <w:hideMark/>
          </w:tcPr>
          <w:p w:rsidR="00B63FAE" w:rsidRPr="00190128" w:rsidRDefault="00B63FAE" w:rsidP="00B63FAE">
            <w:pPr>
              <w:spacing w:after="0" w:line="240" w:lineRule="auto"/>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 </w:t>
            </w:r>
          </w:p>
        </w:tc>
        <w:tc>
          <w:tcPr>
            <w:tcW w:w="1439" w:type="dxa"/>
            <w:shd w:val="clear" w:color="auto" w:fill="auto"/>
            <w:vAlign w:val="center"/>
            <w:hideMark/>
          </w:tcPr>
          <w:p w:rsidR="00B63FAE" w:rsidRPr="00190128" w:rsidRDefault="00B63FAE" w:rsidP="00B63FAE">
            <w:pPr>
              <w:spacing w:after="0" w:line="240" w:lineRule="auto"/>
              <w:rPr>
                <w:rFonts w:ascii="Times New Roman" w:eastAsia="Times New Roman" w:hAnsi="Times New Roman" w:cs="Times New Roman"/>
                <w:b/>
                <w:bCs/>
                <w:color w:val="000000"/>
                <w:sz w:val="24"/>
                <w:szCs w:val="24"/>
              </w:rPr>
            </w:pPr>
            <w:r w:rsidRPr="00190128">
              <w:rPr>
                <w:rFonts w:ascii="Times New Roman" w:eastAsia="Times New Roman" w:hAnsi="Times New Roman" w:cs="Times New Roman"/>
                <w:b/>
                <w:bCs/>
                <w:color w:val="000000"/>
                <w:sz w:val="24"/>
                <w:szCs w:val="24"/>
              </w:rPr>
              <w:t> </w:t>
            </w:r>
          </w:p>
        </w:tc>
        <w:tc>
          <w:tcPr>
            <w:tcW w:w="2914" w:type="dxa"/>
            <w:shd w:val="clear" w:color="auto" w:fill="auto"/>
            <w:vAlign w:val="center"/>
            <w:hideMark/>
          </w:tcPr>
          <w:p w:rsidR="00B63FAE" w:rsidRPr="00190128" w:rsidRDefault="00B63FAE" w:rsidP="00B63FAE">
            <w:pPr>
              <w:spacing w:after="0" w:line="240" w:lineRule="auto"/>
              <w:rPr>
                <w:rFonts w:ascii="Times New Roman" w:eastAsia="Times New Roman" w:hAnsi="Times New Roman" w:cs="Times New Roman"/>
                <w:color w:val="000000"/>
                <w:sz w:val="24"/>
                <w:szCs w:val="24"/>
              </w:rPr>
            </w:pPr>
            <w:r w:rsidRPr="00190128">
              <w:rPr>
                <w:rFonts w:ascii="Times New Roman" w:eastAsia="Times New Roman" w:hAnsi="Times New Roman" w:cs="Times New Roman"/>
                <w:color w:val="000000"/>
                <w:sz w:val="24"/>
                <w:szCs w:val="24"/>
              </w:rPr>
              <w:t>&gt;=40% e peshës</w:t>
            </w:r>
          </w:p>
        </w:tc>
      </w:tr>
    </w:tbl>
    <w:bookmarkEnd w:id="64"/>
    <w:p w:rsidR="00B63FAE" w:rsidRPr="00071CE6" w:rsidRDefault="00B63FAE" w:rsidP="00B63FAE">
      <w:pPr>
        <w:jc w:val="both"/>
        <w:rPr>
          <w:rFonts w:ascii="Times New Roman" w:eastAsiaTheme="minorHAnsi" w:hAnsi="Times New Roman" w:cs="Times New Roman"/>
          <w:sz w:val="24"/>
          <w:szCs w:val="24"/>
          <w:lang w:eastAsia="ja-JP"/>
        </w:rPr>
      </w:pPr>
      <w:r w:rsidRPr="00071CE6">
        <w:rPr>
          <w:rFonts w:ascii="Times New Roman" w:hAnsi="Times New Roman" w:cs="Times New Roman"/>
          <w:sz w:val="24"/>
          <w:szCs w:val="24"/>
        </w:rPr>
        <w:t>Bazuar në ligjin Nr 74/2025 “Për përgjegjësitë e zgjeruara të subjekteve prodhuese t</w:t>
      </w:r>
      <w:r w:rsidRPr="00071CE6">
        <w:rPr>
          <w:rFonts w:ascii="Times New Roman" w:eastAsiaTheme="minorHAnsi" w:hAnsi="Times New Roman" w:cs="Times New Roman"/>
          <w:sz w:val="24"/>
          <w:szCs w:val="24"/>
          <w:lang w:eastAsia="ja-JP"/>
        </w:rPr>
        <w:t>ë produkteve që gjenerojnë mbetje” neni 4, përcakton se ky ligj zbatohet për të gjitha subjektet prodhuese që ushtrojnë aktivitet</w:t>
      </w:r>
      <w:r>
        <w:rPr>
          <w:rFonts w:ascii="Times New Roman" w:eastAsiaTheme="minorHAnsi" w:hAnsi="Times New Roman" w:cs="Times New Roman"/>
          <w:sz w:val="24"/>
          <w:szCs w:val="24"/>
          <w:lang w:eastAsia="ja-JP"/>
        </w:rPr>
        <w:t>e ekonomike në</w:t>
      </w:r>
      <w:r w:rsidRPr="00071CE6">
        <w:rPr>
          <w:rFonts w:ascii="Times New Roman" w:eastAsiaTheme="minorHAnsi" w:hAnsi="Times New Roman" w:cs="Times New Roman"/>
          <w:sz w:val="24"/>
          <w:szCs w:val="24"/>
          <w:lang w:eastAsia="ja-JP"/>
        </w:rPr>
        <w:t xml:space="preserve"> Republikën e Shqipërisë, n</w:t>
      </w:r>
      <w:r>
        <w:rPr>
          <w:rFonts w:ascii="Times New Roman" w:eastAsiaTheme="minorHAnsi" w:hAnsi="Times New Roman" w:cs="Times New Roman"/>
          <w:sz w:val="24"/>
          <w:szCs w:val="24"/>
          <w:lang w:eastAsia="ja-JP"/>
        </w:rPr>
        <w:t>ën sist</w:t>
      </w:r>
      <w:r w:rsidRPr="00071CE6">
        <w:rPr>
          <w:rFonts w:ascii="Times New Roman" w:eastAsiaTheme="minorHAnsi" w:hAnsi="Times New Roman" w:cs="Times New Roman"/>
          <w:sz w:val="24"/>
          <w:szCs w:val="24"/>
          <w:lang w:eastAsia="ja-JP"/>
        </w:rPr>
        <w:t xml:space="preserve">emin e PZP dhe hedhin për here të </w:t>
      </w:r>
      <w:r>
        <w:rPr>
          <w:rFonts w:ascii="Times New Roman" w:eastAsiaTheme="minorHAnsi" w:hAnsi="Times New Roman" w:cs="Times New Roman"/>
          <w:sz w:val="24"/>
          <w:szCs w:val="24"/>
          <w:lang w:eastAsia="ja-JP"/>
        </w:rPr>
        <w:t>parë</w:t>
      </w:r>
      <w:r w:rsidRPr="00071CE6">
        <w:rPr>
          <w:rFonts w:ascii="Times New Roman" w:eastAsiaTheme="minorHAnsi" w:hAnsi="Times New Roman" w:cs="Times New Roman"/>
          <w:sz w:val="24"/>
          <w:szCs w:val="24"/>
          <w:lang w:eastAsia="ja-JP"/>
        </w:rPr>
        <w:t xml:space="preserve"> në treg produkte që pas përdorimit të tyre krijojnë mbetje n</w:t>
      </w:r>
      <w:r>
        <w:rPr>
          <w:rFonts w:ascii="Times New Roman" w:eastAsiaTheme="minorHAnsi" w:hAnsi="Times New Roman" w:cs="Times New Roman"/>
          <w:sz w:val="24"/>
          <w:szCs w:val="24"/>
          <w:lang w:eastAsia="ja-JP"/>
        </w:rPr>
        <w:t>ë p</w:t>
      </w:r>
      <w:r w:rsidRPr="00071CE6">
        <w:rPr>
          <w:rFonts w:ascii="Times New Roman" w:eastAsiaTheme="minorHAnsi" w:hAnsi="Times New Roman" w:cs="Times New Roman"/>
          <w:sz w:val="24"/>
          <w:szCs w:val="24"/>
          <w:lang w:eastAsia="ja-JP"/>
        </w:rPr>
        <w:t>ërputhje me legjislacionin në fuqi për rrymat specifike të mbetjeve si m</w:t>
      </w:r>
      <w:r>
        <w:rPr>
          <w:rFonts w:ascii="Times New Roman" w:eastAsiaTheme="minorHAnsi" w:hAnsi="Times New Roman" w:cs="Times New Roman"/>
          <w:sz w:val="24"/>
          <w:szCs w:val="24"/>
          <w:lang w:eastAsia="ja-JP"/>
        </w:rPr>
        <w:t>ëposhtë</w:t>
      </w:r>
      <w:r w:rsidRPr="00071CE6">
        <w:rPr>
          <w:rFonts w:ascii="Times New Roman" w:eastAsiaTheme="minorHAnsi" w:hAnsi="Times New Roman" w:cs="Times New Roman"/>
          <w:sz w:val="24"/>
          <w:szCs w:val="24"/>
          <w:lang w:eastAsia="ja-JP"/>
        </w:rPr>
        <w:t>:</w:t>
      </w:r>
    </w:p>
    <w:p w:rsidR="00B63FAE" w:rsidRPr="00071CE6" w:rsidRDefault="00B63FAE" w:rsidP="00807975">
      <w:pPr>
        <w:pStyle w:val="ListParagraph"/>
        <w:numPr>
          <w:ilvl w:val="0"/>
          <w:numId w:val="167"/>
        </w:numPr>
        <w:jc w:val="both"/>
        <w:rPr>
          <w:rFonts w:ascii="Times New Roman" w:eastAsiaTheme="minorHAnsi" w:hAnsi="Times New Roman" w:cs="Times New Roman"/>
          <w:sz w:val="24"/>
          <w:szCs w:val="24"/>
          <w:lang w:eastAsia="ja-JP"/>
        </w:rPr>
      </w:pPr>
      <w:r w:rsidRPr="00071CE6">
        <w:rPr>
          <w:rFonts w:ascii="Times New Roman" w:eastAsiaTheme="minorHAnsi" w:hAnsi="Times New Roman" w:cs="Times New Roman"/>
          <w:sz w:val="24"/>
          <w:szCs w:val="24"/>
          <w:lang w:eastAsia="ja-JP"/>
        </w:rPr>
        <w:t>Ambalazhet dhe mbetjet e tyre</w:t>
      </w:r>
    </w:p>
    <w:p w:rsidR="00B63FAE" w:rsidRPr="00071CE6" w:rsidRDefault="00B63FAE" w:rsidP="00807975">
      <w:pPr>
        <w:pStyle w:val="ListParagraph"/>
        <w:numPr>
          <w:ilvl w:val="0"/>
          <w:numId w:val="167"/>
        </w:numPr>
        <w:jc w:val="both"/>
        <w:rPr>
          <w:rFonts w:ascii="Times New Roman" w:eastAsiaTheme="minorHAnsi" w:hAnsi="Times New Roman" w:cs="Times New Roman"/>
          <w:sz w:val="24"/>
          <w:szCs w:val="24"/>
          <w:lang w:eastAsia="ja-JP"/>
        </w:rPr>
      </w:pPr>
      <w:r w:rsidRPr="00071CE6">
        <w:rPr>
          <w:rFonts w:ascii="Times New Roman" w:eastAsiaTheme="minorHAnsi" w:hAnsi="Times New Roman" w:cs="Times New Roman"/>
          <w:sz w:val="24"/>
          <w:szCs w:val="24"/>
          <w:lang w:eastAsia="ja-JP"/>
        </w:rPr>
        <w:t>Bateritë dhe akumulatorët</w:t>
      </w:r>
    </w:p>
    <w:p w:rsidR="00B63FAE" w:rsidRPr="00071CE6" w:rsidRDefault="00B63FAE" w:rsidP="00807975">
      <w:pPr>
        <w:pStyle w:val="ListParagraph"/>
        <w:numPr>
          <w:ilvl w:val="0"/>
          <w:numId w:val="167"/>
        </w:numPr>
        <w:jc w:val="both"/>
        <w:rPr>
          <w:rFonts w:ascii="Times New Roman" w:eastAsiaTheme="minorHAnsi" w:hAnsi="Times New Roman" w:cs="Times New Roman"/>
          <w:sz w:val="24"/>
          <w:szCs w:val="24"/>
          <w:lang w:eastAsia="ja-JP"/>
        </w:rPr>
      </w:pPr>
      <w:r w:rsidRPr="00071CE6">
        <w:rPr>
          <w:rFonts w:ascii="Times New Roman" w:eastAsiaTheme="minorHAnsi" w:hAnsi="Times New Roman" w:cs="Times New Roman"/>
          <w:sz w:val="24"/>
          <w:szCs w:val="24"/>
          <w:lang w:eastAsia="ja-JP"/>
        </w:rPr>
        <w:t>Automjetet në fund të jetës</w:t>
      </w:r>
    </w:p>
    <w:p w:rsidR="00B63FAE" w:rsidRPr="00071CE6" w:rsidRDefault="00B63FAE" w:rsidP="00807975">
      <w:pPr>
        <w:pStyle w:val="ListParagraph"/>
        <w:numPr>
          <w:ilvl w:val="0"/>
          <w:numId w:val="167"/>
        </w:numPr>
        <w:jc w:val="both"/>
        <w:rPr>
          <w:rFonts w:ascii="Times New Roman" w:eastAsiaTheme="minorHAnsi" w:hAnsi="Times New Roman" w:cs="Times New Roman"/>
          <w:sz w:val="24"/>
          <w:szCs w:val="24"/>
          <w:lang w:eastAsia="ja-JP"/>
        </w:rPr>
      </w:pPr>
      <w:r w:rsidRPr="00071CE6">
        <w:rPr>
          <w:rFonts w:ascii="Times New Roman" w:eastAsiaTheme="minorHAnsi" w:hAnsi="Times New Roman" w:cs="Times New Roman"/>
          <w:sz w:val="24"/>
          <w:szCs w:val="24"/>
          <w:lang w:eastAsia="ja-JP"/>
        </w:rPr>
        <w:t>Mbetjet e pajisjeve elektrike dhe elektronike</w:t>
      </w:r>
    </w:p>
    <w:p w:rsidR="00B63FAE" w:rsidRPr="00071CE6" w:rsidRDefault="00B63FAE" w:rsidP="00807975">
      <w:pPr>
        <w:pStyle w:val="ListParagraph"/>
        <w:numPr>
          <w:ilvl w:val="0"/>
          <w:numId w:val="167"/>
        </w:numPr>
        <w:jc w:val="both"/>
        <w:rPr>
          <w:rFonts w:ascii="Times New Roman" w:hAnsi="Times New Roman" w:cs="Times New Roman"/>
          <w:sz w:val="24"/>
          <w:szCs w:val="24"/>
          <w:lang w:eastAsia="ja-JP"/>
        </w:rPr>
      </w:pPr>
      <w:r w:rsidRPr="00071CE6">
        <w:rPr>
          <w:rFonts w:ascii="Times New Roman" w:eastAsiaTheme="minorHAnsi" w:hAnsi="Times New Roman" w:cs="Times New Roman"/>
          <w:sz w:val="24"/>
          <w:szCs w:val="24"/>
          <w:lang w:eastAsia="ja-JP"/>
        </w:rPr>
        <w:t>Vajrat e përdorura</w:t>
      </w:r>
    </w:p>
    <w:p w:rsidR="006742DC" w:rsidRDefault="006742DC" w:rsidP="00E0358A">
      <w:pPr>
        <w:rPr>
          <w:sz w:val="24"/>
          <w:szCs w:val="24"/>
        </w:rPr>
      </w:pPr>
    </w:p>
    <w:p w:rsidR="002E3D6D" w:rsidRPr="00493867" w:rsidRDefault="002E3D6D" w:rsidP="002E3D6D">
      <w:pPr>
        <w:rPr>
          <w:rFonts w:ascii="Times New Roman" w:hAnsi="Times New Roman" w:cs="Times New Roman"/>
          <w:b/>
          <w:sz w:val="24"/>
          <w:szCs w:val="24"/>
        </w:rPr>
      </w:pPr>
      <w:r w:rsidRPr="00493867">
        <w:rPr>
          <w:rFonts w:ascii="Times New Roman" w:hAnsi="Times New Roman" w:cs="Times New Roman"/>
          <w:b/>
          <w:sz w:val="24"/>
          <w:szCs w:val="24"/>
        </w:rPr>
        <w:lastRenderedPageBreak/>
        <w:t>10.4 Rekomandime</w:t>
      </w:r>
    </w:p>
    <w:p w:rsidR="002E3D6D" w:rsidRPr="00493867" w:rsidRDefault="002E3D6D" w:rsidP="002E3D6D">
      <w:pPr>
        <w:rPr>
          <w:rFonts w:ascii="Times New Roman" w:eastAsia="Aptos" w:hAnsi="Times New Roman" w:cs="Times New Roman"/>
          <w:b/>
          <w:bCs/>
          <w:sz w:val="24"/>
          <w:szCs w:val="24"/>
          <w:lang w:val="en-GB"/>
        </w:rPr>
      </w:pPr>
      <w:r w:rsidRPr="00493867">
        <w:rPr>
          <w:rFonts w:ascii="Times New Roman" w:eastAsia="Aptos" w:hAnsi="Times New Roman" w:cs="Times New Roman"/>
          <w:b/>
          <w:bCs/>
          <w:sz w:val="24"/>
          <w:szCs w:val="24"/>
          <w:lang w:val="en-GB"/>
        </w:rPr>
        <w:t>10.4.1 Ecuria e Zbatimit të Rekomandimeve të Vitit 2025</w:t>
      </w:r>
    </w:p>
    <w:p w:rsidR="002E3D6D" w:rsidRPr="00493867" w:rsidRDefault="002E3D6D" w:rsidP="002E3D6D">
      <w:pPr>
        <w:rPr>
          <w:rFonts w:ascii="Times New Roman" w:eastAsia="Aptos" w:hAnsi="Times New Roman" w:cs="Times New Roman"/>
          <w:b/>
          <w:bCs/>
          <w:sz w:val="24"/>
          <w:szCs w:val="24"/>
          <w:lang w:val="en-GB"/>
        </w:rPr>
      </w:pPr>
      <w:r w:rsidRPr="00493867">
        <w:rPr>
          <w:rFonts w:ascii="Times New Roman" w:eastAsia="Aptos" w:hAnsi="Times New Roman" w:cs="Times New Roman"/>
          <w:b/>
          <w:bCs/>
          <w:sz w:val="24"/>
          <w:szCs w:val="24"/>
          <w:lang w:val="en-GB"/>
        </w:rPr>
        <w:t>Rritja e objektivave të riciklimit për mbetjet e ambalazheve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Duhet të rriten ndjeshëm objektivat e riciklimit për mbetjet e ambalazheve për periudhën 2025–2030. Gjithashtu, duhet të përcaktohen objektiva shtesë për përgatitjen e mbetjeve për ripërdorim dhe riciklim, si dhe për reduktimin e depozitimit të mbetjeve bashkiake në landfill.</w:t>
      </w:r>
    </w:p>
    <w:p w:rsidR="002E3D6D" w:rsidRPr="00493867" w:rsidRDefault="002E3D6D" w:rsidP="002E3D6D">
      <w:pPr>
        <w:ind w:firstLine="720"/>
        <w:jc w:val="both"/>
        <w:rPr>
          <w:rFonts w:ascii="Times New Roman" w:eastAsia="Aptos" w:hAnsi="Times New Roman" w:cs="Times New Roman"/>
          <w:sz w:val="24"/>
          <w:szCs w:val="24"/>
          <w:lang w:val="en-GB"/>
        </w:rPr>
      </w:pPr>
      <w:r w:rsidRPr="00493867">
        <w:rPr>
          <w:rFonts w:ascii="Segoe UI Emoji" w:eastAsia="Aptos" w:hAnsi="Segoe UI Emoji" w:cs="Segoe UI Emoji"/>
          <w:sz w:val="24"/>
          <w:szCs w:val="24"/>
          <w:lang w:val="en-GB"/>
        </w:rPr>
        <w:t>➡</w:t>
      </w:r>
      <w:r w:rsidRPr="00493867">
        <w:rPr>
          <w:rFonts w:ascii="Segoe UI Symbol" w:eastAsia="Aptos" w:hAnsi="Segoe UI Symbol" w:cs="Segoe UI Symbol"/>
          <w:sz w:val="24"/>
          <w:szCs w:val="24"/>
          <w:lang w:val="en-GB"/>
        </w:rPr>
        <w:t>️</w:t>
      </w:r>
      <w:r w:rsidRPr="00493867">
        <w:rPr>
          <w:rFonts w:ascii="Times New Roman" w:eastAsia="Aptos" w:hAnsi="Times New Roman" w:cs="Times New Roman"/>
          <w:sz w:val="24"/>
          <w:szCs w:val="24"/>
          <w:lang w:val="en-GB"/>
        </w:rPr>
        <w:t xml:space="preserve"> Objektivat kombëtare të riciklimit për periudhën 2025–2030 ende nuk janë harmonizuar plotësisht me ato të Bashkimit Evropian. Është arritur progres i kufizuar në përcaktimin e objektivave për përgatitjen e mbetjeve për ripërdorim, ndërsa pjesa më e madhe e mbetjeve bashkiake vazhdon të depozitohet në landfill. Për rrjedhojë, ky rekomandim konsiderohet pjesërisht i zbatuar dhe mbetet prioritet për periudhën në vijim.</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Krijimi i skemave të Përgjegjësisë së Zgjeruar të Prodhuesit (EPR)</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Duhet të krijohen sa më shpejt skemat e Përgjegjësisë së Zgjeruar të Prodhuesit (EPR) për ambalazhet, mbetjet e pajisjeve elektrike dhe elektronike (MPEE), si dhe kategori të tjera produktesh. Skemat EPR konsiderohen instrumenti kryesor për organizimin, zbatimin dhe financimin e grumbullimit të ndarë dhe riciklimit të rrjedhave prioritare të mbetjeve, përfshirë letrën dhe kartonin, ambalazhet plastike, qelqin dhe metalet, MPEE-të, bateritë dhe akumulatorët. Gjithashtu, duhet të merren në konsideratë tekstilet dhe kategori të caktuara të plastikës njëpërdorimshme.</w:t>
      </w:r>
    </w:p>
    <w:p w:rsidR="002E3D6D" w:rsidRPr="00493867" w:rsidRDefault="002E3D6D" w:rsidP="002E3D6D">
      <w:pPr>
        <w:ind w:firstLine="720"/>
        <w:jc w:val="both"/>
        <w:rPr>
          <w:rFonts w:ascii="Times New Roman" w:eastAsia="Aptos" w:hAnsi="Times New Roman" w:cs="Times New Roman"/>
          <w:sz w:val="24"/>
          <w:szCs w:val="24"/>
          <w:lang w:val="en-GB"/>
        </w:rPr>
      </w:pPr>
      <w:r w:rsidRPr="00493867">
        <w:rPr>
          <w:rFonts w:ascii="Segoe UI Emoji" w:eastAsia="Aptos" w:hAnsi="Segoe UI Emoji" w:cs="Segoe UI Emoji"/>
          <w:sz w:val="24"/>
          <w:szCs w:val="24"/>
          <w:lang w:val="en-GB"/>
        </w:rPr>
        <w:t>➡</w:t>
      </w:r>
      <w:r w:rsidRPr="00493867">
        <w:rPr>
          <w:rFonts w:ascii="Segoe UI Symbol" w:eastAsia="Aptos" w:hAnsi="Segoe UI Symbol" w:cs="Segoe UI Symbol"/>
          <w:sz w:val="24"/>
          <w:szCs w:val="24"/>
          <w:lang w:val="en-GB"/>
        </w:rPr>
        <w:t>️</w:t>
      </w:r>
      <w:r w:rsidRPr="00493867">
        <w:rPr>
          <w:rFonts w:ascii="Times New Roman" w:eastAsia="Aptos" w:hAnsi="Times New Roman" w:cs="Times New Roman"/>
          <w:sz w:val="24"/>
          <w:szCs w:val="24"/>
          <w:lang w:val="en-GB"/>
        </w:rPr>
        <w:t xml:space="preserve"> Ligji nr. 74/2025 “Për Përgjegjësinë e Zgjeruar të Prodhuesit” është miratuar, duke krijuar bazën ligjore për organizimin dhe financimin e grumbullimit të ndarë dhe riciklimit të mbetjeve të ambalazheve, mbetjeve të pajisjeve elektrike dhe elektronike, baterive, vajrave të përdorur dhe automjeteve jashtë përdorimit. Megjithatë, skemat EPR ende nuk janë bërë operative, Organizatat e Përgjegjësisë së Prodhuesve (PRO) nuk janë krijuar dhe nuk funksionojnë ende në shkallë kombëtare, ndërsa financimi i drejtpërdrejtë i sistemeve të grumbullimit dhe riciklimit nuk ka filluar. Për këtë arsye, ky rekomandim konsiderohet pjesërisht i zbatuar dhe mbetet prioritet për vitet në vijim.</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Rritja e ndarjes në burim, kompostimit dhe trajtimit anaerobik të bio-mbetjeve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Duhet të rriten aktivitetet e ndarjes në burim, kompostimit dhe trajtimit anaerobik të bio-mbetjeve. Riciklimi i bio-mbetjeve duhet të shndërrohet në prioritet dhe të krijohen mekanizma të përshtatshëm financimi për zhvillimin e infrastrukturës së kompostimit dhe trajtimit anaerobik.</w:t>
      </w:r>
    </w:p>
    <w:p w:rsidR="002E3D6D" w:rsidRPr="00493867" w:rsidRDefault="002E3D6D" w:rsidP="002E3D6D">
      <w:pPr>
        <w:ind w:firstLine="720"/>
        <w:jc w:val="both"/>
        <w:rPr>
          <w:rFonts w:ascii="Times New Roman" w:eastAsia="Aptos" w:hAnsi="Times New Roman" w:cs="Times New Roman"/>
          <w:sz w:val="24"/>
          <w:szCs w:val="24"/>
          <w:lang w:val="en-GB"/>
        </w:rPr>
      </w:pPr>
      <w:r w:rsidRPr="00493867">
        <w:rPr>
          <w:rFonts w:ascii="Segoe UI Emoji" w:eastAsia="Aptos" w:hAnsi="Segoe UI Emoji" w:cs="Segoe UI Emoji"/>
          <w:sz w:val="24"/>
          <w:szCs w:val="24"/>
          <w:lang w:val="en-GB"/>
        </w:rPr>
        <w:t>➡</w:t>
      </w:r>
      <w:r w:rsidRPr="00493867">
        <w:rPr>
          <w:rFonts w:ascii="Segoe UI Symbol" w:eastAsia="Aptos" w:hAnsi="Segoe UI Symbol" w:cs="Segoe UI Symbol"/>
          <w:sz w:val="24"/>
          <w:szCs w:val="24"/>
          <w:lang w:val="en-GB"/>
        </w:rPr>
        <w:t>️</w:t>
      </w:r>
      <w:r w:rsidRPr="00493867">
        <w:rPr>
          <w:rFonts w:ascii="Times New Roman" w:eastAsia="Aptos" w:hAnsi="Times New Roman" w:cs="Times New Roman"/>
          <w:sz w:val="24"/>
          <w:szCs w:val="24"/>
          <w:lang w:val="en-GB"/>
        </w:rPr>
        <w:t xml:space="preserve"> Ndarja në burim dhe trajtimi i bio-mbetjeve kanë vazhduar në disa bashki pilot, veçanërisht në Belsh, Roskovec dhe Cërrik, ku sistemet e kompostimit kanë mbetur funksionale dhe kanë rritur sasitë e mbetjeve të rikuperuara. Megjithatë, ndarja në burim e bio-mbetjeve mbetet e kufizuar në nivel kombëtar dhe pjesa më e madhe e mbetjeve organike vazhdon të depozitohet së bashku me mbetjet e tjera bashkiake. Për rrjedhojë, ky rekomandim konsiderohet pjesërisht i zbatuar dhe mbetet një nga prioritetet kryesore për periudhën në vijim në kuadër të </w:t>
      </w:r>
      <w:r w:rsidRPr="00493867">
        <w:rPr>
          <w:rFonts w:ascii="Times New Roman" w:eastAsia="Aptos" w:hAnsi="Times New Roman" w:cs="Times New Roman"/>
          <w:sz w:val="24"/>
          <w:szCs w:val="24"/>
          <w:lang w:val="en-GB"/>
        </w:rPr>
        <w:lastRenderedPageBreak/>
        <w:t>tranzicionit drejt ekonomisë qarkulluese dhe arritjes së objektivave të Bashkimit Evropian.</w:t>
      </w:r>
    </w:p>
    <w:p w:rsidR="002E3D6D" w:rsidRPr="00493867" w:rsidRDefault="003A31D9" w:rsidP="002E3D6D">
      <w:pPr>
        <w:jc w:val="both"/>
        <w:rPr>
          <w:rFonts w:ascii="Times New Roman" w:eastAsia="Aptos" w:hAnsi="Times New Roman" w:cs="Times New Roman"/>
          <w:sz w:val="24"/>
          <w:szCs w:val="24"/>
          <w:lang w:val="en-GB"/>
        </w:rPr>
      </w:pPr>
      <w:r>
        <w:rPr>
          <w:rFonts w:ascii="Segoe UI Emoji" w:eastAsia="Aptos" w:hAnsi="Segoe UI Emoji" w:cs="Segoe UI Emoji"/>
          <w:sz w:val="24"/>
          <w:szCs w:val="24"/>
          <w:lang w:val="en-GB"/>
        </w:rPr>
        <w:t xml:space="preserve">          </w:t>
      </w:r>
      <w:r w:rsidRPr="00493867">
        <w:rPr>
          <w:rFonts w:ascii="Segoe UI Emoji" w:eastAsia="Aptos" w:hAnsi="Segoe UI Emoji" w:cs="Segoe UI Emoji"/>
          <w:sz w:val="24"/>
          <w:szCs w:val="24"/>
          <w:lang w:val="en-GB"/>
        </w:rPr>
        <w:t>➡️</w:t>
      </w:r>
      <w:r w:rsidR="002E3D6D" w:rsidRPr="00493867">
        <w:rPr>
          <w:rFonts w:ascii="Times New Roman" w:eastAsia="Aptos" w:hAnsi="Times New Roman" w:cs="Times New Roman"/>
          <w:sz w:val="24"/>
          <w:szCs w:val="24"/>
          <w:lang w:val="en-GB"/>
        </w:rPr>
        <w:t>Nxitja e përdorimit të instrumenteve ekonomike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Duhet të promovohet përdorimi i instrumenteve ekonomike për të mbështetur parandalimin e gjenerimit të mbetjeve, ripërdorimin dhe riciklimin. Instrumente të tilla, si taksa e landfillit (për impiantet që nuk përmbushin kërkesat ligjore), duhet të konsiderohen si mjete për të nxitur parandalimin, ndarjen në burim, ripërdorimin dhe riciklimin.</w:t>
      </w:r>
    </w:p>
    <w:p w:rsidR="002E3D6D" w:rsidRPr="00493867" w:rsidRDefault="002E3D6D" w:rsidP="002E3D6D">
      <w:pPr>
        <w:ind w:firstLine="720"/>
        <w:jc w:val="both"/>
        <w:rPr>
          <w:rFonts w:ascii="Times New Roman" w:eastAsia="Aptos" w:hAnsi="Times New Roman" w:cs="Times New Roman"/>
          <w:sz w:val="24"/>
          <w:szCs w:val="24"/>
          <w:lang w:val="en-GB"/>
        </w:rPr>
      </w:pPr>
      <w:r w:rsidRPr="00493867">
        <w:rPr>
          <w:rFonts w:ascii="Segoe UI Emoji" w:eastAsia="Aptos" w:hAnsi="Segoe UI Emoji" w:cs="Segoe UI Emoji"/>
          <w:sz w:val="24"/>
          <w:szCs w:val="24"/>
          <w:lang w:val="en-GB"/>
        </w:rPr>
        <w:t>➡️</w:t>
      </w:r>
      <w:r w:rsidRPr="00493867">
        <w:rPr>
          <w:rFonts w:ascii="Times New Roman" w:eastAsia="Aptos" w:hAnsi="Times New Roman" w:cs="Times New Roman"/>
          <w:sz w:val="24"/>
          <w:szCs w:val="24"/>
          <w:lang w:val="en-GB"/>
        </w:rPr>
        <w:t xml:space="preserve"> Instrumentet kryesore ekonomike që synojnë reduktimin e depozitimit në landfill dhe nxitjen e riciklimit, si taksa e landfillit, skemat “Paguaj sipas Sasisë së Mbetjeve të Gjeneruara” (Pay-As-You-Thro</w:t>
      </w:r>
      <w:r w:rsidR="002C4833">
        <w:rPr>
          <w:rFonts w:ascii="Times New Roman" w:eastAsia="Aptos" w:hAnsi="Times New Roman" w:cs="Times New Roman"/>
          <w:sz w:val="24"/>
          <w:szCs w:val="24"/>
          <w:lang w:val="en-GB"/>
        </w:rPr>
        <w:t>ë</w:t>
      </w:r>
      <w:r w:rsidRPr="00493867">
        <w:rPr>
          <w:rFonts w:ascii="Times New Roman" w:eastAsia="Aptos" w:hAnsi="Times New Roman" w:cs="Times New Roman"/>
          <w:sz w:val="24"/>
          <w:szCs w:val="24"/>
          <w:lang w:val="en-GB"/>
        </w:rPr>
        <w:t>), sistemet e kthimit të depozitës dhe stimujt fiskalë për ripërdorimin, ende nuk janë zbatuar. Për pasojë, ky rekomandim konsiderohet pjesërisht i zbatuar dhe mbetet një prioritet i rëndësishëm për përshpejtimin e tranzicionit drejt ekonomisë qarkulluese.</w:t>
      </w:r>
    </w:p>
    <w:p w:rsidR="002E3D6D" w:rsidRPr="00493867" w:rsidRDefault="00261F77" w:rsidP="002E3D6D">
      <w:pPr>
        <w:jc w:val="both"/>
        <w:rPr>
          <w:rFonts w:ascii="Times New Roman" w:eastAsia="Aptos" w:hAnsi="Times New Roman" w:cs="Times New Roman"/>
          <w:sz w:val="24"/>
          <w:szCs w:val="24"/>
          <w:lang w:val="en-GB"/>
        </w:rPr>
      </w:pPr>
      <w:r>
        <w:rPr>
          <w:rFonts w:ascii="Segoe UI Emoji" w:eastAsia="Aptos" w:hAnsi="Segoe UI Emoji" w:cs="Segoe UI Emoji"/>
          <w:sz w:val="24"/>
          <w:szCs w:val="24"/>
          <w:lang w:val="en-GB"/>
        </w:rPr>
        <w:t xml:space="preserve">    </w:t>
      </w:r>
      <w:r w:rsidR="003A31D9" w:rsidRPr="00493867">
        <w:rPr>
          <w:rFonts w:ascii="Segoe UI Emoji" w:eastAsia="Aptos" w:hAnsi="Segoe UI Emoji" w:cs="Segoe UI Emoji"/>
          <w:sz w:val="24"/>
          <w:szCs w:val="24"/>
          <w:lang w:val="en-GB"/>
        </w:rPr>
        <w:t>➡️</w:t>
      </w:r>
      <w:r w:rsidR="002E3D6D" w:rsidRPr="00493867">
        <w:rPr>
          <w:rFonts w:ascii="Times New Roman" w:eastAsia="Aptos" w:hAnsi="Times New Roman" w:cs="Times New Roman"/>
          <w:sz w:val="24"/>
          <w:szCs w:val="24"/>
          <w:lang w:val="en-GB"/>
        </w:rPr>
        <w:t>Forcimi i kapaciteteve të autoriteteve kombëtare për monitorimin e ekonomisë qarkulluese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Duhet të forcohen kapacitetet e autoriteteve kombëtare për raportimin sipas Kornizës së Monitorimit të Ekonomisë Qarkulluese. Autoritetet kombëtare duhet të pajisen me burime të mjaftueshme njerëzore dhe teknike për planifikimin, zhvillimin, organizimin dhe zbatimin e kërkesave ligjore në sektorin e mbetjeve. Në veçanti, Agjencia Kombëtare e Ekonomisë së Mbetjeve (AKEM) duhet të nisë rishikimin e studimeve të fizibilitetit për zonat e menaxhimit të mbetjeve, me qëllim që infrastruktura e planifikuar të jetë në përputhje me kërkesat e procesit të anëtarësimit në Bashkimin Evropian. Gjithashtu, duhet të sigurohen kapacitete dhe burime të mjaftueshme financiare në nivel vendor për ngritjen e një sistemi modern të menaxhimit të mbetjeve.</w:t>
      </w:r>
    </w:p>
    <w:p w:rsidR="002E3D6D" w:rsidRPr="00493867" w:rsidRDefault="002E3D6D" w:rsidP="002E3D6D">
      <w:pPr>
        <w:ind w:firstLine="720"/>
        <w:jc w:val="both"/>
        <w:rPr>
          <w:rFonts w:ascii="Times New Roman" w:eastAsia="Aptos" w:hAnsi="Times New Roman" w:cs="Times New Roman"/>
          <w:sz w:val="24"/>
          <w:szCs w:val="24"/>
          <w:lang w:val="en-GB"/>
        </w:rPr>
      </w:pPr>
      <w:r w:rsidRPr="00493867">
        <w:rPr>
          <w:rFonts w:ascii="Segoe UI Emoji" w:eastAsia="Aptos" w:hAnsi="Segoe UI Emoji" w:cs="Segoe UI Emoji"/>
          <w:sz w:val="24"/>
          <w:szCs w:val="24"/>
          <w:lang w:val="en-GB"/>
        </w:rPr>
        <w:t>➡</w:t>
      </w:r>
      <w:r w:rsidRPr="00493867">
        <w:rPr>
          <w:rFonts w:ascii="Segoe UI Symbol" w:eastAsia="Aptos" w:hAnsi="Segoe UI Symbol" w:cs="Segoe UI Symbol"/>
          <w:sz w:val="24"/>
          <w:szCs w:val="24"/>
          <w:lang w:val="en-GB"/>
        </w:rPr>
        <w:t>️</w:t>
      </w:r>
      <w:r w:rsidRPr="00493867">
        <w:rPr>
          <w:rFonts w:ascii="Times New Roman" w:eastAsia="Aptos" w:hAnsi="Times New Roman" w:cs="Times New Roman"/>
          <w:sz w:val="24"/>
          <w:szCs w:val="24"/>
          <w:lang w:val="en-GB"/>
        </w:rPr>
        <w:t xml:space="preserve"> Është shënuar progres në forcimin e kapaciteteve institucionale për monitorimin dhe raportimin në sektorin e mbetjeve dhe të ekonomisë qarkulluese. Miratimi dhe zhvillimi i Sistemit të Integruar të Informacionit Mjedisor (SIIM), së bashku me zgjerimin e përdorimit të Treguesve Kryesorë të Performancës (KPI), kanë përmirësuar ndjeshëm bazën e të dhënave për raportim dhe planifikim. Gjithashtu, janë zhvilluar një sërë aktivitetesh për ngritjen e kapaciteteve të institucioneve kombëtare dhe vendore. Megjithatë, kapacitetet njerëzore dhe financiare mbeten të kufizuara, ndërsa rishikimi i studimeve të fizibilitetit për zonat e menaxhimit të mbetjeve dhe përafrimi i infrastrukturës së planifikuar me kërkesat e Paketës së Ekonomisë Qarkulluese të Bashkimit Evropian ende nuk kanë përfunduar. Për këtë arsye, ky rekomandim konsiderohet pjesërisht i zbatuar dhe mbetet prioritet për fazën e ardhshme të procesit të integrimit evropian.</w:t>
      </w:r>
    </w:p>
    <w:p w:rsidR="002E3D6D" w:rsidRPr="00493867" w:rsidRDefault="002E3D6D" w:rsidP="002E3D6D">
      <w:pPr>
        <w:rPr>
          <w:rFonts w:ascii="Times New Roman" w:eastAsia="Aptos" w:hAnsi="Times New Roman" w:cs="Times New Roman"/>
          <w:b/>
          <w:bCs/>
          <w:sz w:val="24"/>
          <w:szCs w:val="24"/>
          <w:lang w:val="en-GB"/>
        </w:rPr>
      </w:pPr>
      <w:r w:rsidRPr="00493867">
        <w:rPr>
          <w:rFonts w:ascii="Times New Roman" w:eastAsia="Aptos" w:hAnsi="Times New Roman" w:cs="Times New Roman"/>
          <w:b/>
          <w:bCs/>
          <w:sz w:val="24"/>
          <w:szCs w:val="24"/>
          <w:lang w:val="en-GB"/>
        </w:rPr>
        <w:t>10.4.2 Rekomandime për vitin 2026</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 xml:space="preserve">Megjithëse gjatë vitit 2025 u arrit progres i rëndësishëm në forcimin e kuadrit institucional dhe ligjor për menaxhimin e mbetjeve dhe tranzicionin drejt ekonomisë qarkulluese, shumica e masave mbeten vetëm pjesërisht të zbatuara dhe sfida të konsiderueshme vazhdojnë të ekzistojnë. Në veçanti, nevojiten përpjekje të mëtejshme për operacionalizimin e sistemit të Përgjegjësisë së Zgjeruar të Prodhuesit (EPR), zgjerimin e grumbullimit të ndarë dhe riciklimit, </w:t>
      </w:r>
      <w:r w:rsidRPr="00493867">
        <w:rPr>
          <w:rFonts w:ascii="Times New Roman" w:eastAsia="Aptos" w:hAnsi="Times New Roman" w:cs="Times New Roman"/>
          <w:sz w:val="24"/>
          <w:szCs w:val="24"/>
          <w:lang w:val="en-GB"/>
        </w:rPr>
        <w:lastRenderedPageBreak/>
        <w:t>përmirësimin e sistemeve të informacionit për mbetjet, forcimin e kapaciteteve institucionale dhe vendosjen e instrumenteve ekonomike që mbështesin parandalimin e gjenerimit të mbetjeve dhe rikuperimin e materialeve. Në kuadër të procesit të anëtarësimit në Bashkimin Evropian dhe nevojës për t'u përafruar me objektivat e Paketës së Ekonomisë Qarkulluese dhe Direktivës Kuadër për Mbetjet, rekomandimet e mëposhtme propozohen si prioritete për vitin 2026.</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I. Konsolidimi i Sistemit të Informacionit Mjedisor</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Duhet të përshpejtohet operacionalizimi i Sistemit të Informacionit Mjedisor (SIM), si platforma kryesore kombëtare për monitorimin dhe raportimin e të dhënave nga të gjithë aktorët e sektorit. SIM do të mbështesë krijimin e një baze kombëtare të të dhënave për mbetjet, me qëllim përmirësimin e menaxhimit të mbetjeve dhe proceseve të vendimmarrjes.</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II. Përshpejtimi i Zbatimit të Objektivave të Ekonomisë Qarkulluese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Pavarësisht progresit të arritur në zhvillimin e kuadrit ligjor dhe strategjik për ekonominë qarkulluese, Shqipëria duhet të përshpejtojë harmonizimin e objektivave kombëtare me kërkesat e Bashkimit Evropian për periudhën 2025–2030. Prioritet duhet t'u jepet miratimit të objektivave kombëtare përpërgatitjen e mbetjeve për ripërdorim, riciklimin e mbetjeve bashkiake dhe reduktimin gradual të depozitimit në landfill, në përputhje me kërkesat e Direktivës Kuadër për Mbetjet dhe Paketës së Ekonomisë Qarkulluese.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III. Operacionalizimi i Plotë i Sistemit të Përgjegjësisë së Zgjeruar të Prodhuesit</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Një prioritet kryesor mbetet përfundimi i akteve nënligjore përkatëse për Përgjegjësinë e Zgjeruar të Prodhuesit (EPR) dhe krijimi i Organizatave të Përgjegjësisë së Prodhuesve (PRO) për ambalazhet, pajisjet elektrike dhe elektronike, bateritë, vajrat e përdorur dhe automjetet jashtë përdorimit, në përputhje me Ligjin nr. 74/2025 “Për Përgjegjësinë e Zgjeruar të Prodhuesit”. Zbatimi i ligjit për EPR-në dhe i legjislacionit përkatës për menaxhimin e integruar të mbetjeve do të sigurojë financim të qëndrueshëm për grumbullimin e ndarë, trajtimin dhe riciklimin e rrjedhave të mbetjeve të mbuluara nga legjislacioni, do të rrisë normat kombëtare të riciklimit dhe do të kontribuojë në uljen e barrës financiare për bashkitë.</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IV. Vendosja e Sistemeve Formale të Ndarjes në Burim në Shkallë Kombëtare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Ndarja e mbetjeve në burim duhet të kapërcejë fazën e projekteve pilot dhe të shndërrohet në një shërbim standard bashkiak në të gjitha bashkitë e vendit. Vëmendje e veçantë duhet t'i kushtohet grumbullimit të ndarë të mbetjeve organike dhe bio-mbetjeve, mbetjeve të ambalazheve, letrës dhe kartonit, qelqit, metaleve dhe tekstileve, duke siguruar njëkohësisht infrastrukturën dhe financimin e nevojshëm për rikuperimin afatgjatë të materialeve dhe arritjen e normave më të larta të riciklimit.</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V. Prioritizimi i Trajtimit të Mbetjeve Organike dhe Bio-mbetjeve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 xml:space="preserve">Mbetjet organike vazhdojnë të përbëjnë fraksionin më të madh të mbetjeve bashkiake dhe, për rrjedhojë, duhet të trajtohen si prioritet kombëtar. Përvojat pozitive të bashkive Belsh, Roskovec dhe Cërrik në menaxhimin e bio-mbetjeve duhet të shërbejnë si modele për ngritjen e sistemeve </w:t>
      </w:r>
      <w:r w:rsidRPr="00493867">
        <w:rPr>
          <w:rFonts w:ascii="Times New Roman" w:eastAsia="Aptos" w:hAnsi="Times New Roman" w:cs="Times New Roman"/>
          <w:sz w:val="24"/>
          <w:szCs w:val="24"/>
          <w:lang w:val="en-GB"/>
        </w:rPr>
        <w:lastRenderedPageBreak/>
        <w:t>të kompostimit në shkallë kombëtare. Në të njëjtën kohë, duhet të fillojë planifikimi dhe zhvillimi i impianteve të para të tretjes anaerobike, me qëllim prodhimin e biogazit, reduktimin e sasive të mbetjeve që depozitohen në landfill dhe zgjatjen e jetëgjatësisë së tyre.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VI. Zbatimi i Instrumenteve Ekonomike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Për të reduktuar varësinë nga landfillët dhe për të nxitur riciklimin, rekomandohet vendosja graduale e instrumenteve ekonomike, duke përfshirë taksën e landfillit, skemat e tarifimit sipas sasisë së mbetjeve të gjeneruara (Pay-As-You-Thro</w:t>
      </w:r>
      <w:r w:rsidR="002C4833">
        <w:rPr>
          <w:rFonts w:ascii="Times New Roman" w:eastAsia="Aptos" w:hAnsi="Times New Roman" w:cs="Times New Roman"/>
          <w:sz w:val="24"/>
          <w:szCs w:val="24"/>
          <w:lang w:val="en-GB"/>
        </w:rPr>
        <w:t>ë</w:t>
      </w:r>
      <w:r w:rsidRPr="00493867">
        <w:rPr>
          <w:rFonts w:ascii="Times New Roman" w:eastAsia="Aptos" w:hAnsi="Times New Roman" w:cs="Times New Roman"/>
          <w:sz w:val="24"/>
          <w:szCs w:val="24"/>
          <w:lang w:val="en-GB"/>
        </w:rPr>
        <w:t>), si dhe vlerësimin e mundësive për zbatimin e një sistemi të kthimit të depozitës (Deposit Return Scheme – DRS) për ambalazhet e pijeve, pasi sistemi EPR të jetë funksional. Këto instrumente duhet të përdoren për të krijuar stimuj ekonomikë për qytetarët, bizneset dhe autoritetet vendore, me objektivin kryesor reduktimin e gjenerimit të mbetjeve.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VII. Rishikimi i Infrastrukturës së Planifikuar të Menaxhimit të Mbetjeve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Në kuadër të procesit të integrimit evropian, duhet të përfundojë rishikimi i studimeve të fizibilitetit për zonat e menaxhimit të mbetjeve, me qëllim që investimet e ardhshme të jenë në përputhje me objektivat e ekonomisë qarkulluese. Infrastruktura e ardhshme duhet të fokusohet në rikuperimin e materialeve, trajtimin biologjik të mbetjeve dhe reduktimin e depozitimit në landfill, duke respektuar hierarkinë e menaxhimit të mbetjeve të Bashkimit Evropian.</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VIII. Forcimi i Rolit të AKEM-it si Operator Kombëtar i Infrastrukturës së Mbetjeve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Roli i AKEM-it si operator kombëtar i infrastrukturës së menaxhimit të mbetjeve duhet të forcohet. Duke marrë në konsideratë përgjegjësitë e reja në administrimin e impianteve të trajtimit të mbetjeve, AKEM duhet të rrisë kapacitetet e saj teknike, financiare dhe operacionale. Kjo kërkon krijimin e strukturave të specializuara të menaxhimit, zhvillimin e procedurave standarde të operimit, hartimin e planeve të biznesit për secilin impiant dhe garantimin e qëndrueshmërisë financiare afatgjatë të sistemit.</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IX. Përmirësimi i Performancës së Bashkive dhe Qëndrueshmërisë Financiare të Shërbimeve të Mbetjeve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Bashkitë duhet të përfundojnë procesin e planifikimit dhe krijimit të strukturave organizative efektive, të afta për t'iu përgjigjur reformës së vazhdueshme të sektorit. Nevojiten përmirësime në efikasitetin financiar, llogaritjen e saktë të kostove të shërbimit dhe përcaktimin e tarifave të përshtatshme.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 xml:space="preserve">Përdorimi i Treguesve Kryesorë të Performancës (KPI) ka dëshmuar se është një instrument efektiv për monitorimin dhe krahasimin e performancës së bashkive. Për këtë arsye, rekomandohet shtrirja e zbatimit të tyre në të gjitha bashkitë, përmirësimi i cilësisë së raportimit të të dhënave dhe rritja e qëndrueshmërisë financiare të shërbimeve të menaxhimit të mbetjeve nëpërmjet rritjes së efikasitetit të arkëtimit të tarifave dhe rikuperimit të kostove. Gjithashtu, këta tregues mund të shërbejnë si bazë për nxitjen e përmirësimit të shërbimeve në nivel vendor dhe për mbështetjen e bashkive në përfitimin e granteve kombëtare dhe skemave të tjera të financimit </w:t>
      </w:r>
      <w:r w:rsidRPr="00493867">
        <w:rPr>
          <w:rFonts w:ascii="Times New Roman" w:eastAsia="Aptos" w:hAnsi="Times New Roman" w:cs="Times New Roman"/>
          <w:sz w:val="24"/>
          <w:szCs w:val="24"/>
          <w:lang w:val="en-GB"/>
        </w:rPr>
        <w:lastRenderedPageBreak/>
        <w:t>për menaxhimin e mbetjeve.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X. Forcimi i Ndërgjegjësimit Publik dhe Pjesëmarrjes së Qytetarëve</w:t>
      </w:r>
    </w:p>
    <w:p w:rsidR="002E3D6D" w:rsidRPr="00493867" w:rsidRDefault="002E3D6D" w:rsidP="002E3D6D">
      <w:pPr>
        <w:jc w:val="both"/>
        <w:rPr>
          <w:rFonts w:ascii="Times New Roman" w:eastAsia="Aptos" w:hAnsi="Times New Roman" w:cs="Times New Roman"/>
          <w:sz w:val="24"/>
          <w:szCs w:val="24"/>
          <w:lang w:val="en-GB"/>
        </w:rPr>
      </w:pPr>
      <w:r w:rsidRPr="00493867">
        <w:rPr>
          <w:rFonts w:ascii="Times New Roman" w:eastAsia="Aptos" w:hAnsi="Times New Roman" w:cs="Times New Roman"/>
          <w:sz w:val="24"/>
          <w:szCs w:val="24"/>
          <w:lang w:val="en-GB"/>
        </w:rPr>
        <w:t>Arritja e objektivave të ekonomisë qarkulluese kërkon ndryshim të sjelljes së qytetarëve dhe bizneseve. Për këtë arsye, programet e edukimit mjedisor, fushatat e ndërgjegjësimit dhe aktivitetet informuese mbi ndarjen e mbetjeve në burim, parandalimin e gjenerimit të mbetjeve, ripërdorimin dhe riciklimin duhet të intensifikohen. Vëmendje e veçantë duhet t'u kushtohet shkollave, komuniteteve lokale dhe sektorit privat, si aktorë kyç për arritjen e objektivave kombëtare për menaxhimin e qëndrueshëm të mbetjeve.</w:t>
      </w:r>
    </w:p>
    <w:p w:rsidR="002E3D6D" w:rsidRPr="00493867" w:rsidRDefault="002E3D6D" w:rsidP="002E3D6D">
      <w:pPr>
        <w:rPr>
          <w:rFonts w:ascii="Times New Roman" w:eastAsia="Aptos" w:hAnsi="Times New Roman" w:cs="Times New Roman"/>
          <w:sz w:val="24"/>
          <w:szCs w:val="24"/>
          <w:lang w:val="en-GB"/>
        </w:rPr>
      </w:pPr>
    </w:p>
    <w:p w:rsidR="002E3D6D" w:rsidRPr="00493867" w:rsidRDefault="002E3D6D" w:rsidP="002E3D6D">
      <w:pPr>
        <w:rPr>
          <w:rFonts w:ascii="Times New Roman" w:eastAsia="Aptos" w:hAnsi="Times New Roman" w:cs="Times New Roman"/>
          <w:sz w:val="24"/>
          <w:szCs w:val="24"/>
          <w:lang w:val="en-GB"/>
        </w:rPr>
      </w:pPr>
    </w:p>
    <w:p w:rsidR="006742DC" w:rsidRPr="00493867" w:rsidRDefault="006742DC" w:rsidP="002E3D6D">
      <w:pPr>
        <w:rPr>
          <w:sz w:val="24"/>
          <w:szCs w:val="24"/>
        </w:rPr>
      </w:pPr>
    </w:p>
    <w:p w:rsidR="006742DC" w:rsidRDefault="006742DC" w:rsidP="00E0358A">
      <w:pPr>
        <w:rPr>
          <w:sz w:val="24"/>
          <w:szCs w:val="24"/>
        </w:rPr>
      </w:pPr>
    </w:p>
    <w:p w:rsidR="006742DC" w:rsidRDefault="006742DC" w:rsidP="00E0358A">
      <w:pPr>
        <w:rPr>
          <w:sz w:val="24"/>
          <w:szCs w:val="24"/>
        </w:rPr>
      </w:pPr>
    </w:p>
    <w:p w:rsidR="006742DC" w:rsidRDefault="006742DC" w:rsidP="00E0358A">
      <w:pPr>
        <w:rPr>
          <w:sz w:val="24"/>
          <w:szCs w:val="24"/>
        </w:rPr>
      </w:pPr>
    </w:p>
    <w:p w:rsidR="006742DC" w:rsidRDefault="006742DC" w:rsidP="00E0358A">
      <w:pPr>
        <w:rPr>
          <w:sz w:val="24"/>
          <w:szCs w:val="24"/>
        </w:rPr>
      </w:pPr>
    </w:p>
    <w:p w:rsidR="003D2017" w:rsidRDefault="003D2017" w:rsidP="00E0358A">
      <w:pPr>
        <w:rPr>
          <w:sz w:val="24"/>
          <w:szCs w:val="24"/>
        </w:rPr>
      </w:pPr>
    </w:p>
    <w:p w:rsidR="00EB5F20" w:rsidRDefault="00EB5F20" w:rsidP="00E0358A">
      <w:pPr>
        <w:rPr>
          <w:sz w:val="24"/>
          <w:szCs w:val="24"/>
        </w:rPr>
      </w:pPr>
    </w:p>
    <w:p w:rsidR="00EB5F20" w:rsidRDefault="00EB5F20" w:rsidP="00E0358A">
      <w:pPr>
        <w:rPr>
          <w:sz w:val="24"/>
          <w:szCs w:val="24"/>
        </w:rPr>
      </w:pPr>
    </w:p>
    <w:p w:rsidR="00EB5F20" w:rsidRDefault="00EB5F20" w:rsidP="00E0358A">
      <w:pPr>
        <w:rPr>
          <w:sz w:val="24"/>
          <w:szCs w:val="24"/>
        </w:rPr>
      </w:pPr>
    </w:p>
    <w:p w:rsidR="00EB5F20" w:rsidRDefault="00EB5F20" w:rsidP="00E0358A">
      <w:pPr>
        <w:rPr>
          <w:sz w:val="24"/>
          <w:szCs w:val="24"/>
        </w:rPr>
      </w:pPr>
    </w:p>
    <w:p w:rsidR="00EB5F20" w:rsidRDefault="00EB5F20" w:rsidP="00E0358A">
      <w:pPr>
        <w:rPr>
          <w:sz w:val="24"/>
          <w:szCs w:val="24"/>
        </w:rPr>
      </w:pPr>
    </w:p>
    <w:p w:rsidR="00EB5F20" w:rsidRDefault="00EB5F20" w:rsidP="00E0358A">
      <w:pPr>
        <w:rPr>
          <w:sz w:val="24"/>
          <w:szCs w:val="24"/>
        </w:rPr>
      </w:pPr>
    </w:p>
    <w:p w:rsidR="00EB5F20" w:rsidRDefault="00EB5F20" w:rsidP="00E0358A">
      <w:pPr>
        <w:rPr>
          <w:sz w:val="24"/>
          <w:szCs w:val="24"/>
        </w:rPr>
      </w:pPr>
    </w:p>
    <w:p w:rsidR="00EB5F20" w:rsidRDefault="00EB5F20" w:rsidP="00E0358A">
      <w:pPr>
        <w:rPr>
          <w:sz w:val="24"/>
          <w:szCs w:val="24"/>
        </w:rPr>
      </w:pPr>
    </w:p>
    <w:p w:rsidR="00EB5F20" w:rsidRDefault="00EB5F20" w:rsidP="00E0358A">
      <w:pPr>
        <w:rPr>
          <w:sz w:val="24"/>
          <w:szCs w:val="24"/>
        </w:rPr>
      </w:pPr>
    </w:p>
    <w:p w:rsidR="00EB5F20" w:rsidRDefault="00EB5F20" w:rsidP="00E0358A">
      <w:pPr>
        <w:rPr>
          <w:sz w:val="24"/>
          <w:szCs w:val="24"/>
        </w:rPr>
      </w:pPr>
    </w:p>
    <w:p w:rsidR="00EB5F20" w:rsidRDefault="00EB5F20" w:rsidP="00E0358A">
      <w:pPr>
        <w:rPr>
          <w:sz w:val="24"/>
          <w:szCs w:val="24"/>
        </w:rPr>
      </w:pPr>
    </w:p>
    <w:p w:rsidR="00EB5F20" w:rsidRDefault="00EB5F20" w:rsidP="00E0358A">
      <w:pPr>
        <w:rPr>
          <w:sz w:val="24"/>
          <w:szCs w:val="24"/>
        </w:rPr>
      </w:pPr>
    </w:p>
    <w:p w:rsidR="00EB5F20" w:rsidRDefault="00EB5F20" w:rsidP="00E0358A">
      <w:pPr>
        <w:rPr>
          <w:sz w:val="24"/>
          <w:szCs w:val="24"/>
        </w:rPr>
      </w:pPr>
    </w:p>
    <w:p w:rsidR="00EB5F20" w:rsidRDefault="00EB5F20" w:rsidP="00E0358A">
      <w:pPr>
        <w:rPr>
          <w:sz w:val="24"/>
          <w:szCs w:val="24"/>
        </w:rPr>
      </w:pPr>
    </w:p>
    <w:p w:rsidR="00EB5F20" w:rsidRDefault="00EB5F20" w:rsidP="00E0358A">
      <w:pPr>
        <w:rPr>
          <w:sz w:val="24"/>
          <w:szCs w:val="24"/>
        </w:rPr>
      </w:pPr>
    </w:p>
    <w:p w:rsidR="00EB5F20" w:rsidRDefault="00EB5F20" w:rsidP="00E0358A">
      <w:pPr>
        <w:rPr>
          <w:sz w:val="24"/>
          <w:szCs w:val="24"/>
        </w:rPr>
      </w:pPr>
    </w:p>
    <w:p w:rsidR="00EB5F20" w:rsidRDefault="00EB5F20" w:rsidP="00E0358A">
      <w:pPr>
        <w:rPr>
          <w:sz w:val="24"/>
          <w:szCs w:val="24"/>
        </w:rPr>
      </w:pPr>
    </w:p>
    <w:p w:rsidR="00EB5F20" w:rsidRDefault="00EB5F20" w:rsidP="00E0358A">
      <w:pPr>
        <w:rPr>
          <w:sz w:val="24"/>
          <w:szCs w:val="24"/>
        </w:rPr>
      </w:pPr>
    </w:p>
    <w:p w:rsidR="00D62190" w:rsidRDefault="00D62190" w:rsidP="00E0358A">
      <w:pPr>
        <w:rPr>
          <w:sz w:val="24"/>
          <w:szCs w:val="24"/>
        </w:rPr>
      </w:pPr>
    </w:p>
    <w:p w:rsidR="00D62190" w:rsidRPr="00CF2D6A" w:rsidRDefault="00D62190" w:rsidP="00CF2D6A">
      <w:pPr>
        <w:jc w:val="center"/>
        <w:rPr>
          <w:rFonts w:ascii="Times New Roman" w:hAnsi="Times New Roman" w:cs="Times New Roman"/>
          <w:b/>
          <w:sz w:val="24"/>
          <w:szCs w:val="24"/>
        </w:rPr>
      </w:pPr>
      <w:r w:rsidRPr="00CF2D6A">
        <w:rPr>
          <w:rFonts w:ascii="Times New Roman" w:hAnsi="Times New Roman" w:cs="Times New Roman"/>
          <w:b/>
          <w:sz w:val="24"/>
          <w:szCs w:val="24"/>
        </w:rPr>
        <w:t>KAPITULLI  11</w:t>
      </w:r>
    </w:p>
    <w:p w:rsidR="00D62190" w:rsidRPr="00CF2D6A" w:rsidRDefault="00CF2D6A" w:rsidP="00CF2D6A">
      <w:pPr>
        <w:jc w:val="center"/>
        <w:rPr>
          <w:rFonts w:ascii="Times New Roman" w:hAnsi="Times New Roman" w:cs="Times New Roman"/>
          <w:b/>
          <w:sz w:val="24"/>
          <w:szCs w:val="24"/>
        </w:rPr>
      </w:pPr>
      <w:r>
        <w:rPr>
          <w:rFonts w:ascii="Times New Roman" w:hAnsi="Times New Roman" w:cs="Times New Roman"/>
          <w:b/>
          <w:sz w:val="24"/>
          <w:szCs w:val="24"/>
        </w:rPr>
        <w:t xml:space="preserve">MENAXHIMI I </w:t>
      </w:r>
      <w:r w:rsidR="00D62190" w:rsidRPr="00CF2D6A">
        <w:rPr>
          <w:rFonts w:ascii="Times New Roman" w:hAnsi="Times New Roman" w:cs="Times New Roman"/>
          <w:b/>
          <w:sz w:val="24"/>
          <w:szCs w:val="24"/>
        </w:rPr>
        <w:t>KIMIKATE</w:t>
      </w:r>
      <w:r>
        <w:rPr>
          <w:rFonts w:ascii="Times New Roman" w:hAnsi="Times New Roman" w:cs="Times New Roman"/>
          <w:b/>
          <w:sz w:val="24"/>
          <w:szCs w:val="24"/>
        </w:rPr>
        <w:t>VE</w:t>
      </w:r>
    </w:p>
    <w:p w:rsidR="00D62190" w:rsidRPr="00CF2D6A" w:rsidRDefault="00D62190" w:rsidP="00CF2D6A">
      <w:pPr>
        <w:jc w:val="center"/>
        <w:rPr>
          <w:rFonts w:ascii="Times New Roman" w:hAnsi="Times New Roman" w:cs="Times New Roman"/>
          <w:b/>
          <w:sz w:val="24"/>
          <w:szCs w:val="24"/>
        </w:rPr>
      </w:pPr>
    </w:p>
    <w:p w:rsidR="00D62190" w:rsidRDefault="00833A2A" w:rsidP="00E0358A">
      <w:pPr>
        <w:rPr>
          <w:sz w:val="24"/>
          <w:szCs w:val="24"/>
        </w:rPr>
      </w:pPr>
      <w:r>
        <w:rPr>
          <w:noProof/>
        </w:rPr>
        <mc:AlternateContent>
          <mc:Choice Requires="wps">
            <w:drawing>
              <wp:anchor distT="0" distB="0" distL="114300" distR="114300" simplePos="0" relativeHeight="251684864" behindDoc="0" locked="0" layoutInCell="1" allowOverlap="1">
                <wp:simplePos x="0" y="0"/>
                <wp:positionH relativeFrom="column">
                  <wp:posOffset>2886075</wp:posOffset>
                </wp:positionH>
                <wp:positionV relativeFrom="paragraph">
                  <wp:posOffset>1195070</wp:posOffset>
                </wp:positionV>
                <wp:extent cx="3048000" cy="781050"/>
                <wp:effectExtent l="57150" t="38100" r="57150" b="76200"/>
                <wp:wrapNone/>
                <wp:docPr id="376" name="Rectangle 376"/>
                <wp:cNvGraphicFramePr/>
                <a:graphic xmlns:a="http://schemas.openxmlformats.org/drawingml/2006/main">
                  <a:graphicData uri="http://schemas.microsoft.com/office/word/2010/wordprocessingShape">
                    <wps:wsp>
                      <wps:cNvSpPr/>
                      <wps:spPr>
                        <a:xfrm>
                          <a:off x="0" y="0"/>
                          <a:ext cx="3048000" cy="781050"/>
                        </a:xfrm>
                        <a:prstGeom prst="rect">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4CDD73" id="Rectangle 376" o:spid="_x0000_s1026" style="position:absolute;margin-left:227.25pt;margin-top:94.1pt;width:240pt;height:61.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" fillcolor="#65a0d7 [3028]" stroked="f">
                <v:fill color2="#5898d4 [3172]" rotate="t" colors="0 #71a6db;.5 #559bdb;1 #438ac9" focus="100%" type="gradient">
                  <o:fill v:ext="view" type="gradientUnscaled"/>
                </v:fill>
                <v:shadow on="t" color="black" opacity="41287f" offset="0,1.5pt"/>
              </v:rect>
            </w:pict>
          </mc:Fallback>
        </mc:AlternateContent>
      </w:r>
      <w:r>
        <w:rPr>
          <w:noProof/>
        </w:rPr>
        <w:drawing>
          <wp:inline distT="0" distB="0" distL="0" distR="0" wp14:anchorId="5347055F" wp14:editId="66A5E10E">
            <wp:extent cx="5943600" cy="3344545"/>
            <wp:effectExtent l="0" t="0" r="0" b="8255"/>
            <wp:docPr id="375" name="Picture 375" descr="Welcome to ECHA's Monthly Update –   March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come to ECHA's Monthly Update –   March 2026"/>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p>
    <w:p w:rsidR="00D62190" w:rsidRDefault="00D62190" w:rsidP="00E0358A">
      <w:pPr>
        <w:rPr>
          <w:sz w:val="24"/>
          <w:szCs w:val="24"/>
        </w:rPr>
      </w:pPr>
    </w:p>
    <w:p w:rsidR="00D62190" w:rsidRDefault="00D62190" w:rsidP="00E0358A">
      <w:pPr>
        <w:rPr>
          <w:sz w:val="24"/>
          <w:szCs w:val="24"/>
        </w:rPr>
      </w:pPr>
    </w:p>
    <w:p w:rsidR="004550DE" w:rsidRDefault="004550DE" w:rsidP="00E0358A">
      <w:pPr>
        <w:rPr>
          <w:sz w:val="24"/>
          <w:szCs w:val="24"/>
        </w:rPr>
      </w:pPr>
    </w:p>
    <w:p w:rsidR="00261F77" w:rsidRDefault="00261F77" w:rsidP="00E0358A">
      <w:pPr>
        <w:rPr>
          <w:sz w:val="24"/>
          <w:szCs w:val="24"/>
        </w:rPr>
      </w:pPr>
    </w:p>
    <w:p w:rsidR="00EB5F20" w:rsidRDefault="00EB5F20" w:rsidP="00E0358A">
      <w:pPr>
        <w:rPr>
          <w:sz w:val="24"/>
          <w:szCs w:val="24"/>
        </w:rPr>
      </w:pPr>
    </w:p>
    <w:p w:rsidR="00D62190" w:rsidRPr="00CF2D6A" w:rsidRDefault="00D62190" w:rsidP="00CF2D6A">
      <w:pPr>
        <w:jc w:val="center"/>
        <w:rPr>
          <w:rFonts w:ascii="Times New Roman" w:hAnsi="Times New Roman" w:cs="Times New Roman"/>
          <w:b/>
          <w:sz w:val="24"/>
          <w:szCs w:val="24"/>
        </w:rPr>
      </w:pPr>
      <w:r w:rsidRPr="00CF2D6A">
        <w:rPr>
          <w:rFonts w:ascii="Times New Roman" w:hAnsi="Times New Roman" w:cs="Times New Roman"/>
          <w:b/>
          <w:sz w:val="24"/>
          <w:szCs w:val="24"/>
        </w:rPr>
        <w:lastRenderedPageBreak/>
        <w:t>Kapitulli 11</w:t>
      </w:r>
    </w:p>
    <w:p w:rsidR="00D62190" w:rsidRPr="00CF2D6A" w:rsidRDefault="00D62190" w:rsidP="00CF2D6A">
      <w:pPr>
        <w:jc w:val="center"/>
        <w:rPr>
          <w:rFonts w:ascii="Times New Roman" w:hAnsi="Times New Roman" w:cs="Times New Roman"/>
          <w:b/>
          <w:sz w:val="24"/>
          <w:szCs w:val="24"/>
        </w:rPr>
      </w:pPr>
      <w:r w:rsidRPr="00CF2D6A">
        <w:rPr>
          <w:rFonts w:ascii="Times New Roman" w:hAnsi="Times New Roman" w:cs="Times New Roman"/>
          <w:b/>
          <w:sz w:val="24"/>
          <w:szCs w:val="24"/>
        </w:rPr>
        <w:t>Kimikatet</w:t>
      </w:r>
    </w:p>
    <w:p w:rsidR="000234DE" w:rsidRDefault="000234DE" w:rsidP="00D72AC3">
      <w:pPr>
        <w:jc w:val="both"/>
        <w:rPr>
          <w:rFonts w:ascii="Times New Roman" w:hAnsi="Times New Roman" w:cs="Times New Roman"/>
          <w:b/>
          <w:sz w:val="24"/>
          <w:szCs w:val="24"/>
        </w:rPr>
      </w:pPr>
    </w:p>
    <w:p w:rsidR="00CF2D6A" w:rsidRPr="00CF2D6A" w:rsidRDefault="00CF2D6A" w:rsidP="00D72AC3">
      <w:pPr>
        <w:jc w:val="both"/>
        <w:rPr>
          <w:rFonts w:ascii="Times New Roman" w:hAnsi="Times New Roman" w:cs="Times New Roman"/>
          <w:b/>
          <w:sz w:val="24"/>
          <w:szCs w:val="24"/>
        </w:rPr>
      </w:pPr>
      <w:r w:rsidRPr="00CF2D6A">
        <w:rPr>
          <w:rFonts w:ascii="Times New Roman" w:hAnsi="Times New Roman" w:cs="Times New Roman"/>
          <w:b/>
          <w:sz w:val="24"/>
          <w:szCs w:val="24"/>
        </w:rPr>
        <w:t>11.1 Të përgjithshme</w:t>
      </w:r>
    </w:p>
    <w:p w:rsidR="00D72AC3" w:rsidRPr="00CF2D6A" w:rsidRDefault="00D72AC3" w:rsidP="00D72AC3">
      <w:pPr>
        <w:jc w:val="both"/>
        <w:rPr>
          <w:rFonts w:ascii="Times New Roman" w:hAnsi="Times New Roman" w:cs="Times New Roman"/>
          <w:sz w:val="24"/>
          <w:szCs w:val="24"/>
        </w:rPr>
      </w:pPr>
      <w:r w:rsidRPr="00CF2D6A">
        <w:rPr>
          <w:rFonts w:ascii="Times New Roman" w:hAnsi="Times New Roman" w:cs="Times New Roman"/>
          <w:sz w:val="24"/>
          <w:szCs w:val="24"/>
        </w:rPr>
        <w:t>Ky raport ka për qëllim informimin mbi funksionimin, veprimtarinë dhe prioritetet e Sektorit të Menaxhimit të Kimikateve.</w:t>
      </w:r>
    </w:p>
    <w:p w:rsidR="00D72AC3" w:rsidRPr="000B46DB" w:rsidRDefault="00D72AC3" w:rsidP="00D72AC3">
      <w:pPr>
        <w:pStyle w:val="NormalWeb"/>
        <w:jc w:val="both"/>
      </w:pPr>
      <w:r w:rsidRPr="000B46DB">
        <w:t>Kimikatet janë substanca që përbëjnë çdo gjë që na rrethon dhe kanë një rëndësi shumë të madhe në jetën e përditshme. Ato gjenden në ajrin që thithim, në ujin që pimë, në ushqimet që konsumojmë dhe në pothuajse çdo material që përdorim. Që nga kohët e lashta, njeriu ka përdorur kimikatet për të përmirësuar jetën, duke krijuar ilaçe, produkte pastrimi, materiale ndërtimi, kozmetikë dhe shumë produkte të tjera të nevojshme. Me zhvillimin e shkencës dhe teknologjisë, përdorimi i kimikateve është bërë edhe më i rëndësishëm për industrinë, mjekësinë, bujqësinë dhe ekonominë globale.</w:t>
      </w:r>
    </w:p>
    <w:p w:rsidR="001B66A2" w:rsidRDefault="00D72AC3" w:rsidP="00D72AC3">
      <w:pPr>
        <w:pStyle w:val="NormalWeb"/>
        <w:jc w:val="both"/>
      </w:pPr>
      <w:r w:rsidRPr="000B46DB">
        <w:t>Kimikatet mund të jenë natyrore ose të krijuara nga njeriu. Disa prej tyre janë të dobishme dhe të domosdoshme për jetën, si oksigjeni dhe uji, ndërsa të tjera mund të jenë të rrezikshme nëse përdoren pa kujdes. Për këtë arsye, studimi i tyre është shumë i rëndësishëm për të kuptuar vetitë, përbërjen dhe reagimet që ndodhin ndërmjet substancave të ndryshme</w:t>
      </w:r>
      <w:r>
        <w:t>.</w:t>
      </w:r>
      <w:r w:rsidR="000234DE">
        <w:t xml:space="preserve"> </w:t>
      </w:r>
      <w:r w:rsidRPr="000B46DB">
        <w:t>Në ditët e sotme, kimikatet kanë ndikim të madh në zhvillimin e shoqërisë moderne. Ato përdoren në prodhimin e barnave që shpëtojnë jetë, në bujqësi për rritjen e prodhimit ushqimor, si dhe në teknologji për krijimin e</w:t>
      </w:r>
      <w:r>
        <w:t xml:space="preserve"> pajisjeve moderne.</w:t>
      </w:r>
      <w:r w:rsidR="001B66A2">
        <w:t xml:space="preserve"> </w:t>
      </w:r>
    </w:p>
    <w:p w:rsidR="001B66A2" w:rsidRDefault="003A09A7" w:rsidP="00D72AC3">
      <w:pPr>
        <w:pStyle w:val="NormalWeb"/>
        <w:jc w:val="both"/>
      </w:pPr>
      <w:r>
        <w:t>Gjatë vitit 2025</w:t>
      </w:r>
      <w:r w:rsidR="000E23DF">
        <w:t xml:space="preserve">,  sasia vjetore e importuar e produkteve plehëruese për përdorim në bujqësi është 34505.9 ton dhe 157064.6 litra. Përsa i përket produkteve pë mbrojtjen e bimëve </w:t>
      </w:r>
      <w:r w:rsidR="001B66A2">
        <w:t xml:space="preserve">janë importuar </w:t>
      </w:r>
      <w:r w:rsidR="000E23DF">
        <w:t xml:space="preserve">807 ton dhe 479162.3 litra. </w:t>
      </w:r>
    </w:p>
    <w:p w:rsidR="000234DE" w:rsidRDefault="000E23DF" w:rsidP="00D72AC3">
      <w:pPr>
        <w:pStyle w:val="NormalWeb"/>
        <w:jc w:val="both"/>
      </w:pPr>
      <w:r>
        <w:t>P</w:t>
      </w:r>
      <w:r w:rsidR="00D72AC3" w:rsidRPr="000B46DB">
        <w:t>ërdorimi i pakontrolluar i disa kimikateve mund të shkaktojë ndotje të mjedisit dhe probleme shëndetësore. Prandaj, është shumë e rëndësishme që njerëzit të informohen dhe të përdorin kimikatet në mënyrë të sigurt dhe të përgjegjshme. Studimi dhe kuptimi i kimikateve na ndihmon të jetojmë më mirë dhe të krijojmë një të ardhme më të zhvilluar dhe më të sigurt për të gjithë.</w:t>
      </w:r>
      <w:r w:rsidR="000234DE">
        <w:t xml:space="preserve"> </w:t>
      </w:r>
    </w:p>
    <w:p w:rsidR="00D72AC3" w:rsidRPr="000234DE" w:rsidRDefault="00D72AC3" w:rsidP="00D72AC3">
      <w:pPr>
        <w:pStyle w:val="NormalWeb"/>
        <w:jc w:val="both"/>
      </w:pPr>
      <w:r w:rsidRPr="000B46DB">
        <w:rPr>
          <w:color w:val="000000"/>
        </w:rPr>
        <w:t>Kimikatet kanë sjellë përfitime të mëdha për shoqërinë në të gjithë botën, luajnë dhe do të vazhdojnë të luajnë një rol të domosdoshëm në jetën e përditshme. Prodhimi, përdorimi dhe tregtia e kimikateve po rritet në të gjitha rajonet e botës ndërsa prodhimi kimikateve në botë dhe shitjet e tyre pritet të dyfishohen deri në vitin 2030. Bashkimi Evropian thekson rëndësinë e kufizimit të ndikimit të kimikateve ne mjedis. Politikat e ndërmarra vitet e fundit prej Bashkimit Evropian bazohen në Strategjinë për kimikatet me qëllim qëndrueshmërinë drejt një mjedisi të pastër</w:t>
      </w:r>
      <w:r>
        <w:rPr>
          <w:color w:val="000000"/>
        </w:rPr>
        <w:t>,</w:t>
      </w:r>
      <w:r w:rsidRPr="000B46DB">
        <w:rPr>
          <w:color w:val="000000"/>
        </w:rPr>
        <w:t xml:space="preserve"> jo-toksik (Chemicals Strategy for Sustainability To</w:t>
      </w:r>
      <w:r w:rsidR="002C4833">
        <w:rPr>
          <w:color w:val="000000"/>
        </w:rPr>
        <w:t>ë</w:t>
      </w:r>
      <w:r w:rsidRPr="000B46DB">
        <w:rPr>
          <w:color w:val="000000"/>
        </w:rPr>
        <w:t>ards a Toxic-Free Environment), ku kimikatet prodhohen dhe përdoren në mënyrë të tillë që të maksimizohet kontributi i tyre në shoqëri, përfshirë arritjen e tranzicionit të gjelbër dhe dixhital por duke shmangur dëmtimin e planetit për brezat e tanishëm dhe ata të ardhshëm.</w:t>
      </w:r>
    </w:p>
    <w:p w:rsidR="00D72AC3" w:rsidRPr="000B46DB" w:rsidRDefault="00D72AC3" w:rsidP="00D72AC3">
      <w:pPr>
        <w:pStyle w:val="NormalWeb"/>
        <w:jc w:val="both"/>
        <w:rPr>
          <w:color w:val="000000"/>
        </w:rPr>
      </w:pPr>
      <w:r w:rsidRPr="000B46DB">
        <w:rPr>
          <w:color w:val="000000"/>
        </w:rPr>
        <w:lastRenderedPageBreak/>
        <w:t>Duke marrë parasysh rreziqet e mundshme për mjedisin dhe shëndetin e njeriut nga ekspozimi ndaj kimikateve, shtetet dhe industritë që operojnë në këtë fushë kanë përgjegjësi të madhe për të siguruar që kimikatet të prodhohen dhe përdoren në mënyrë të sigurt.</w:t>
      </w:r>
    </w:p>
    <w:p w:rsidR="00D72AC3" w:rsidRPr="000B46DB" w:rsidRDefault="00D72AC3" w:rsidP="00D72AC3">
      <w:pPr>
        <w:pStyle w:val="NormalWeb"/>
        <w:jc w:val="both"/>
        <w:rPr>
          <w:color w:val="000000"/>
        </w:rPr>
      </w:pPr>
      <w:r w:rsidRPr="000B46DB">
        <w:rPr>
          <w:color w:val="000000"/>
        </w:rPr>
        <w:t>Ndikimet dhe pasojat e ndotjes nga kimikatet janë më të mëdha në vendet që kanë kapacitete të kufizuara për menaxhimin e kimikateve. Për të adresuar sfidat e menaxhimit të sigurt të kimikateve, vendet duhet të zhvillojnë programe kombëtare në këtë fushë dhe të integrojnë menaxhimin e sigurt të kimikateve në politikat dhe strategjitë shëndetësore dhe mjedisore.</w:t>
      </w:r>
    </w:p>
    <w:p w:rsidR="00D72AC3" w:rsidRPr="000B46DB" w:rsidRDefault="00D72AC3" w:rsidP="00D72AC3">
      <w:pPr>
        <w:pStyle w:val="NormalWeb"/>
        <w:jc w:val="both"/>
        <w:rPr>
          <w:color w:val="000000"/>
        </w:rPr>
      </w:pPr>
      <w:r w:rsidRPr="000B46DB">
        <w:rPr>
          <w:color w:val="000000"/>
        </w:rPr>
        <w:t>Industria e kimikateve është një nga sektorët më të mëdhenj industrialë në botë dhe një sektor që paraqet shumë sfida</w:t>
      </w:r>
      <w:r>
        <w:rPr>
          <w:color w:val="000000"/>
        </w:rPr>
        <w:t xml:space="preserve"> për institucionet rregullatore,</w:t>
      </w:r>
      <w:r w:rsidRPr="000B46DB">
        <w:rPr>
          <w:color w:val="000000"/>
        </w:rPr>
        <w:t xml:space="preserve">prandaj ndjekja e zbatimi i standardeve ndërkombëtare për menaxhimin e kimikateve </w:t>
      </w:r>
      <w:r>
        <w:rPr>
          <w:color w:val="000000"/>
        </w:rPr>
        <w:t>,</w:t>
      </w:r>
      <w:r w:rsidRPr="000B46DB">
        <w:rPr>
          <w:color w:val="000000"/>
        </w:rPr>
        <w:t>jo vetem lehtëson marrëdhëniet tregtare me partnerë të huaj por kontribuon edhe në sigurimin e kimikateve më të sigurta për njerëzit dhe mjedisin, si dhe lehtëson ofrimin e të dhënave të qëndrueshme për insitucionet rregullatore.</w:t>
      </w:r>
    </w:p>
    <w:p w:rsidR="00D72AC3" w:rsidRPr="000B46DB" w:rsidRDefault="00D72AC3" w:rsidP="00D72AC3">
      <w:pPr>
        <w:pStyle w:val="NormalWeb"/>
        <w:jc w:val="both"/>
        <w:rPr>
          <w:color w:val="000000"/>
        </w:rPr>
      </w:pPr>
      <w:r w:rsidRPr="000B46DB">
        <w:rPr>
          <w:color w:val="000000"/>
        </w:rPr>
        <w:t>Menaxhimi i qëndrueshëm i kimikateve është një prioritet kombëtar dhe ndërkombëtar që synon mbrojtjen e shëndetit publik dhe mjedisit nga ndikimet negative të përdorimit dhe menaxhimit të papërshtatshëm të kimikateve.</w:t>
      </w:r>
    </w:p>
    <w:p w:rsidR="00CF2D6A" w:rsidRDefault="00CF2D6A" w:rsidP="00D72AC3">
      <w:pPr>
        <w:pStyle w:val="NormalWeb"/>
        <w:jc w:val="both"/>
        <w:rPr>
          <w:b/>
        </w:rPr>
      </w:pPr>
      <w:r>
        <w:rPr>
          <w:b/>
        </w:rPr>
        <w:t>11.2 Aktiviteti për menaxhimin e kimikateve</w:t>
      </w:r>
    </w:p>
    <w:p w:rsidR="00D72AC3" w:rsidRPr="000B46DB" w:rsidRDefault="00D72AC3" w:rsidP="00D72AC3">
      <w:pPr>
        <w:pStyle w:val="NormalWeb"/>
        <w:jc w:val="both"/>
        <w:rPr>
          <w:color w:val="000000"/>
        </w:rPr>
      </w:pPr>
      <w:r w:rsidRPr="000B46DB">
        <w:rPr>
          <w:b/>
        </w:rPr>
        <w:t>Sektori i Menaxhimit të Kimikateve</w:t>
      </w:r>
      <w:r w:rsidRPr="000B46DB">
        <w:rPr>
          <w:color w:val="000000"/>
        </w:rPr>
        <w:t xml:space="preserve">, funksionon në bazë të </w:t>
      </w:r>
      <w:r w:rsidRPr="000B46DB">
        <w:rPr>
          <w:b/>
          <w:color w:val="000000"/>
        </w:rPr>
        <w:t>Ligjit Nr.27/2016</w:t>
      </w:r>
      <w:r w:rsidRPr="000B46DB">
        <w:rPr>
          <w:color w:val="000000"/>
        </w:rPr>
        <w:t xml:space="preserve"> </w:t>
      </w:r>
      <w:r w:rsidRPr="000B46DB">
        <w:rPr>
          <w:b/>
          <w:color w:val="000000"/>
        </w:rPr>
        <w:t>dhe akteve nënligjore</w:t>
      </w:r>
      <w:r w:rsidRPr="000B46DB">
        <w:rPr>
          <w:color w:val="000000"/>
        </w:rPr>
        <w:t xml:space="preserve"> përkatëse,</w:t>
      </w:r>
      <w:r w:rsidRPr="000B46DB">
        <w:t xml:space="preserve"> për rreziqet që vijnë nga kimikate përmes identifikimit më të mirë dhe të hershëm të vetive të brendshme të substancave kimike. Kjo bëhet konkretisht nga katër proçese, përkatësisht, regjistrimi, vlerësimi, autorizimi dhe kufizimi i kimikateve me qëllim</w:t>
      </w:r>
      <w:r>
        <w:t xml:space="preserve">, </w:t>
      </w:r>
      <w:r w:rsidRPr="000B46DB">
        <w:t xml:space="preserve">mbrojtjen e shëndetit të njeriut dhe mjedisit. Në zbatim të ketij ligji </w:t>
      </w:r>
      <w:r w:rsidRPr="000B46DB">
        <w:rPr>
          <w:color w:val="000000"/>
        </w:rPr>
        <w:t>prodhuesit dhe importuesit u kërkohet të mbledhin informacion mbi vetitë e substancave të tyre kimike, të cilat do të lejojnë trajtimin e tyre të sigurt dhe të regjistrojnë informacionin mbi vetitë e substancave të tyre ki</w:t>
      </w:r>
      <w:r>
        <w:rPr>
          <w:color w:val="000000"/>
        </w:rPr>
        <w:t>mike dhe ta përcjellin në Sektorin e Menaxhimit të K</w:t>
      </w:r>
      <w:r w:rsidRPr="000B46DB">
        <w:rPr>
          <w:color w:val="000000"/>
        </w:rPr>
        <w:t>imikateve e cila menaxhon bazën e të dhënave të nevojshme për të operuar sistemin, bashkërendon vlerësimin e th</w:t>
      </w:r>
      <w:r>
        <w:rPr>
          <w:color w:val="000000"/>
        </w:rPr>
        <w:t>elluar të kimikateve</w:t>
      </w:r>
      <w:r w:rsidRPr="000B46DB">
        <w:rPr>
          <w:color w:val="000000"/>
        </w:rPr>
        <w:t xml:space="preserve"> dhe ndërton një bazë të dhënash publike në të cilën konsumatorët dhe profesionistët mund të gj</w:t>
      </w:r>
      <w:r>
        <w:rPr>
          <w:color w:val="000000"/>
        </w:rPr>
        <w:t>ejnë informacione mbi rreziqet.</w:t>
      </w:r>
      <w:r w:rsidRPr="000B46DB">
        <w:rPr>
          <w:color w:val="000000"/>
        </w:rPr>
        <w:t>Gjithashtu Sekt</w:t>
      </w:r>
      <w:r>
        <w:rPr>
          <w:color w:val="000000"/>
        </w:rPr>
        <w:t xml:space="preserve">ori i Menaxhimit të Kimikateve </w:t>
      </w:r>
      <w:r w:rsidRPr="000B46DB">
        <w:rPr>
          <w:color w:val="000000"/>
        </w:rPr>
        <w:t>kërkon zëvendësimin progresiv të kimikateve më të rrezikshëm (referuar si "substanca me shqetësim shumë të lartë").</w:t>
      </w:r>
    </w:p>
    <w:p w:rsidR="00D72AC3" w:rsidRPr="000B46DB" w:rsidRDefault="00D72AC3" w:rsidP="00D72AC3">
      <w:pPr>
        <w:pStyle w:val="NormalWeb"/>
        <w:jc w:val="both"/>
        <w:rPr>
          <w:color w:val="000000"/>
        </w:rPr>
      </w:pPr>
      <w:r w:rsidRPr="000B46DB">
        <w:rPr>
          <w:color w:val="000000"/>
        </w:rPr>
        <w:t>Sektori ushtron funksione në administrimin e kimikateve, krijimin e regjistrave, analizën e rrezikut dhe bashkëpunimin institucional.</w:t>
      </w:r>
    </w:p>
    <w:p w:rsidR="00D72AC3" w:rsidRPr="000B46DB" w:rsidRDefault="00D72AC3" w:rsidP="00D72AC3">
      <w:pPr>
        <w:pStyle w:val="NormalWeb"/>
        <w:jc w:val="both"/>
        <w:rPr>
          <w:color w:val="000000"/>
        </w:rPr>
      </w:pPr>
      <w:r w:rsidRPr="000B46DB">
        <w:rPr>
          <w:color w:val="000000"/>
        </w:rPr>
        <w:t>Sektori i Menaxhimit të Kimikateve ka një gamë të gjerë detyrash që përfshijnë udhëheqjen dhe menaxhimin e punës për përgatitjen e akteve ligjore dhe nënligjore që lidhen me menaxhimin e kimikateve. Një nga detyrat kryesore është mbajtja e Regjistrit Kombëtar të Kimikateve, duke identifikuar dhe cilësuar kimikate të rrezikshme për shëndetin, dhe propozuar heqjen e tyre nga tregu kur ato përbëjnë kërcënim për shëndetin e njeriut. Gjithashtu, sektori është përgjegjës për mbledhjen, përpunimin dhe regjistrimin e informacionit të lidhur me vlerësimin dhe analizimin e kimikateve, duke siguruar një trajtim të duhur dhe të sigurt të tyre.</w:t>
      </w:r>
    </w:p>
    <w:p w:rsidR="00CF2D6A" w:rsidRDefault="00CF2D6A" w:rsidP="00D72AC3">
      <w:pPr>
        <w:pStyle w:val="NormalWeb"/>
        <w:shd w:val="clear" w:color="auto" w:fill="FFFFFF"/>
        <w:spacing w:before="0" w:beforeAutospacing="0" w:after="0" w:afterAutospacing="0"/>
        <w:jc w:val="both"/>
        <w:rPr>
          <w:b/>
          <w:color w:val="000000"/>
        </w:rPr>
      </w:pPr>
    </w:p>
    <w:p w:rsidR="00D72AC3" w:rsidRPr="000B46DB" w:rsidRDefault="00D72AC3" w:rsidP="00D72AC3">
      <w:pPr>
        <w:pStyle w:val="NormalWeb"/>
        <w:shd w:val="clear" w:color="auto" w:fill="FFFFFF"/>
        <w:spacing w:before="0" w:beforeAutospacing="0" w:after="0" w:afterAutospacing="0"/>
        <w:jc w:val="both"/>
        <w:rPr>
          <w:b/>
          <w:color w:val="000000"/>
        </w:rPr>
      </w:pPr>
      <w:r w:rsidRPr="000B46DB">
        <w:rPr>
          <w:b/>
          <w:color w:val="000000"/>
        </w:rPr>
        <w:lastRenderedPageBreak/>
        <w:t>Helpdesku</w:t>
      </w:r>
    </w:p>
    <w:p w:rsidR="00D72AC3" w:rsidRPr="000B46DB" w:rsidRDefault="00D72AC3" w:rsidP="00D72AC3">
      <w:pPr>
        <w:jc w:val="both"/>
        <w:rPr>
          <w:rFonts w:ascii="Times New Roman" w:hAnsi="Times New Roman" w:cs="Times New Roman"/>
          <w:sz w:val="24"/>
          <w:szCs w:val="24"/>
        </w:rPr>
      </w:pPr>
      <w:r w:rsidRPr="000B46DB">
        <w:rPr>
          <w:rFonts w:ascii="Times New Roman" w:hAnsi="Times New Roman" w:cs="Times New Roman"/>
          <w:sz w:val="24"/>
          <w:szCs w:val="24"/>
        </w:rPr>
        <w:t>Sektori i Menaxhimit të Kimikateve i ka kushtuar një vëmendje të veçantë Helpdeskut, të cilën e ka përditësuar vazhdimisht. Baza ligjore ofron këshilla për prodhuesit, importuesit dhe çdo palë tjetër të interesuar mbi rëndësinë e tyre dhe rëndësinë sipas legjislacionit. Mund të aksesohet në linkun më pos</w:t>
      </w:r>
      <w:r>
        <w:rPr>
          <w:rFonts w:ascii="Times New Roman" w:hAnsi="Times New Roman" w:cs="Times New Roman"/>
          <w:sz w:val="24"/>
          <w:szCs w:val="24"/>
        </w:rPr>
        <w:t xml:space="preserve">htë </w:t>
      </w:r>
      <w:hyperlink r:id="rId270" w:history="1">
        <w:r w:rsidRPr="000B46DB">
          <w:rPr>
            <w:rFonts w:ascii="Arial" w:hAnsi="Arial" w:cs="Arial"/>
            <w:i/>
            <w:color w:val="0070C0"/>
            <w:szCs w:val="27"/>
            <w:u w:val="single"/>
            <w:shd w:val="clear" w:color="auto" w:fill="FFFFFF"/>
          </w:rPr>
          <w:t>https://akm.gov.al,</w:t>
        </w:r>
        <w:r w:rsidRPr="000B46DB">
          <w:rPr>
            <w:rFonts w:ascii="Arial" w:hAnsi="Arial" w:cs="Arial"/>
            <w:bCs/>
            <w:i/>
            <w:iCs/>
            <w:color w:val="0070C0"/>
            <w:szCs w:val="27"/>
            <w:u w:val="single"/>
            <w:shd w:val="clear" w:color="auto" w:fill="FFFFFF"/>
          </w:rPr>
          <w:t>kimikatet</w:t>
        </w:r>
        <w:r w:rsidRPr="000B46DB">
          <w:rPr>
            <w:rFonts w:ascii="Arial" w:hAnsi="Arial" w:cs="Arial"/>
            <w:i/>
            <w:color w:val="0070C0"/>
            <w:szCs w:val="27"/>
            <w:u w:val="single"/>
            <w:shd w:val="clear" w:color="auto" w:fill="FFFFFF"/>
          </w:rPr>
          <w:t>.al</w:t>
        </w:r>
      </w:hyperlink>
      <w:r>
        <w:rPr>
          <w:i/>
          <w:color w:val="0070C0"/>
          <w:sz w:val="18"/>
        </w:rPr>
        <w:t>.</w:t>
      </w:r>
    </w:p>
    <w:p w:rsidR="00D72AC3" w:rsidRPr="000B46DB" w:rsidRDefault="00D72AC3" w:rsidP="00D72AC3">
      <w:pPr>
        <w:jc w:val="both"/>
        <w:rPr>
          <w:rFonts w:ascii="Times New Roman" w:hAnsi="Times New Roman" w:cs="Times New Roman"/>
          <w:sz w:val="24"/>
          <w:szCs w:val="24"/>
        </w:rPr>
      </w:pPr>
      <w:r w:rsidRPr="000B46DB">
        <w:rPr>
          <w:rFonts w:ascii="Times New Roman" w:hAnsi="Times New Roman" w:cs="Times New Roman"/>
          <w:sz w:val="24"/>
          <w:szCs w:val="24"/>
        </w:rPr>
        <w:t>Në faqen e internetit të krijuar për Kimikatet gjatë kësaj periudhe, janë përditësuar informacionet mbi mjedisin dhe kimikatet, legjislacion</w:t>
      </w:r>
      <w:r>
        <w:rPr>
          <w:rFonts w:ascii="Times New Roman" w:hAnsi="Times New Roman" w:cs="Times New Roman"/>
          <w:sz w:val="24"/>
          <w:szCs w:val="24"/>
        </w:rPr>
        <w:t>in, klasifikimin, etiketimin , fletët e të dhënave të sigurisë ( MSDS )</w:t>
      </w:r>
      <w:r w:rsidRPr="000B46DB">
        <w:rPr>
          <w:rFonts w:ascii="Times New Roman" w:hAnsi="Times New Roman" w:cs="Times New Roman"/>
          <w:sz w:val="24"/>
          <w:szCs w:val="24"/>
        </w:rPr>
        <w:t xml:space="preserve">, biocidet dhe më shumë. Gjithashtu, ndërmjet adresës  </w:t>
      </w:r>
      <w:hyperlink r:id="rId271" w:history="1">
        <w:r w:rsidRPr="000B46DB">
          <w:rPr>
            <w:rStyle w:val="Hyperlink"/>
            <w:rFonts w:ascii="Times New Roman" w:hAnsi="Times New Roman" w:cs="Times New Roman"/>
            <w:i/>
            <w:sz w:val="24"/>
            <w:szCs w:val="24"/>
          </w:rPr>
          <w:t>info.kimikatet@akm.gov.al</w:t>
        </w:r>
      </w:hyperlink>
      <w:r w:rsidRPr="000B46DB">
        <w:rPr>
          <w:rFonts w:ascii="Times New Roman" w:hAnsi="Times New Roman" w:cs="Times New Roman"/>
          <w:sz w:val="24"/>
          <w:szCs w:val="24"/>
        </w:rPr>
        <w:t xml:space="preserve"> janë kthyer emai</w:t>
      </w:r>
      <w:r>
        <w:rPr>
          <w:rFonts w:ascii="Times New Roman" w:hAnsi="Times New Roman" w:cs="Times New Roman"/>
          <w:sz w:val="24"/>
          <w:szCs w:val="24"/>
        </w:rPr>
        <w:t>le</w:t>
      </w:r>
      <w:r w:rsidRPr="000B46DB">
        <w:rPr>
          <w:rFonts w:ascii="Times New Roman" w:hAnsi="Times New Roman" w:cs="Times New Roman"/>
          <w:sz w:val="24"/>
          <w:szCs w:val="24"/>
        </w:rPr>
        <w:t>,</w:t>
      </w:r>
      <w:r>
        <w:rPr>
          <w:rFonts w:ascii="Times New Roman" w:hAnsi="Times New Roman" w:cs="Times New Roman"/>
          <w:sz w:val="24"/>
          <w:szCs w:val="24"/>
        </w:rPr>
        <w:t xml:space="preserve"> </w:t>
      </w:r>
      <w:r w:rsidRPr="000B46DB">
        <w:rPr>
          <w:rFonts w:ascii="Times New Roman" w:hAnsi="Times New Roman" w:cs="Times New Roman"/>
          <w:sz w:val="24"/>
          <w:szCs w:val="24"/>
        </w:rPr>
        <w:t>për të ndihmuar prodhuesin,importuesin, subjektet dhe çdo palë tjetër të interesuar në lidhje me çështje të ndryshme për kimikatet.</w:t>
      </w:r>
    </w:p>
    <w:p w:rsidR="00D72AC3" w:rsidRPr="000B46DB" w:rsidRDefault="00D72AC3" w:rsidP="00D72AC3">
      <w:pPr>
        <w:pStyle w:val="NormalWeb"/>
        <w:jc w:val="both"/>
      </w:pPr>
      <w:r w:rsidRPr="000B46DB">
        <w:t>Helpdesku shërben si një pikë kontakti për të gjithë ata që kanë nevojë për informacion rreth rreziqeve që lidhen me kimikatet, mënyrave të sigurta të përdorimit të tyre.</w:t>
      </w:r>
      <w:r>
        <w:t xml:space="preserve"> </w:t>
      </w:r>
      <w:r w:rsidRPr="000B46DB">
        <w:t>Ai gjithashtu ndihmon në rritjen e ndërgjegjësimit publik dhe promovon praktika të përgjegjshme për menaxhimin e substancave kimike, në përputhje me standardet ndërkombëtare dhe konventat për mbrojtjen e mjedisit.</w:t>
      </w:r>
    </w:p>
    <w:p w:rsidR="00D72AC3" w:rsidRPr="000B46DB" w:rsidRDefault="00D72AC3" w:rsidP="00D72AC3">
      <w:pPr>
        <w:pStyle w:val="NormalWeb"/>
        <w:jc w:val="both"/>
      </w:pPr>
      <w:r w:rsidRPr="000B46DB">
        <w:t>Ky mekanizëm është shumë i rëndësishëm për forcimin e sigurisë kimike në vend dhe për krijimin e një bashkëpunimi më të mirë ndërmjet institucioneve, bizneseve dhe qytetarëve.</w:t>
      </w:r>
    </w:p>
    <w:p w:rsidR="00D72AC3" w:rsidRPr="000B46DB" w:rsidRDefault="00CF2D6A" w:rsidP="00D72AC3">
      <w:pPr>
        <w:jc w:val="both"/>
        <w:rPr>
          <w:rFonts w:ascii="Times New Roman" w:hAnsi="Times New Roman" w:cs="Times New Roman"/>
          <w:b/>
          <w:sz w:val="24"/>
          <w:szCs w:val="24"/>
        </w:rPr>
      </w:pPr>
      <w:r>
        <w:rPr>
          <w:rFonts w:ascii="Times New Roman" w:hAnsi="Times New Roman" w:cs="Times New Roman"/>
          <w:b/>
          <w:sz w:val="24"/>
          <w:szCs w:val="24"/>
        </w:rPr>
        <w:t xml:space="preserve">11.3 </w:t>
      </w:r>
      <w:r w:rsidR="00D72AC3" w:rsidRPr="000B46DB">
        <w:rPr>
          <w:rFonts w:ascii="Times New Roman" w:hAnsi="Times New Roman" w:cs="Times New Roman"/>
          <w:b/>
          <w:sz w:val="24"/>
          <w:szCs w:val="24"/>
        </w:rPr>
        <w:t>Bashkëpunimi me institucione ndërkombëtare, ECHA, KEMI etj.</w:t>
      </w:r>
    </w:p>
    <w:p w:rsidR="00D72AC3" w:rsidRPr="000B46DB" w:rsidRDefault="00D72AC3" w:rsidP="00D72AC3">
      <w:pPr>
        <w:pStyle w:val="NormalWeb"/>
        <w:shd w:val="clear" w:color="auto" w:fill="FFFFFF"/>
        <w:spacing w:before="0" w:beforeAutospacing="0" w:after="0" w:afterAutospacing="0"/>
        <w:jc w:val="both"/>
      </w:pPr>
      <w:r w:rsidRPr="000B46DB">
        <w:t xml:space="preserve">Për të përmbushur këtë detyrë gjatë kësaj periudhe dhe në të ardhmen, kemi marrë pjesë në të gjitha takimet dhe trajnimet e organizuara nga Agjencia Evropiane e Kimikateve, ECHA. Gjithashtu kemi punuar për tu përfshirë në rrjetin Helpnet, u miratuam në Mars 2025 si vend Vëzhgues, përkrah vendeve të BE-së, për tu njohur me praktikat më të fundit në ndihmën e subjekteve në vend që operojnë në fushën e kimikateve, kryesisht subjekteve që importojnë kimikate. </w:t>
      </w:r>
    </w:p>
    <w:p w:rsidR="00D72AC3" w:rsidRPr="000B46DB" w:rsidRDefault="00D72AC3" w:rsidP="00D72AC3">
      <w:pPr>
        <w:pStyle w:val="NormalWeb"/>
        <w:jc w:val="both"/>
      </w:pPr>
      <w:r w:rsidRPr="000B46DB">
        <w:rPr>
          <w:rStyle w:val="whitespace-normal"/>
        </w:rPr>
        <w:t>-Gjithashtu S</w:t>
      </w:r>
      <w:r w:rsidR="002C4833">
        <w:rPr>
          <w:rStyle w:val="whitespace-normal"/>
        </w:rPr>
        <w:t>ë</w:t>
      </w:r>
      <w:r w:rsidRPr="000B46DB">
        <w:rPr>
          <w:rStyle w:val="whitespace-normal"/>
        </w:rPr>
        <w:t>edish Chemicals Agency</w:t>
      </w:r>
      <w:r w:rsidRPr="000B46DB">
        <w:t xml:space="preserve"> ka luajtur nj</w:t>
      </w:r>
      <w:r>
        <w:t>ë rol shumë të rëndësishëm në pë</w:t>
      </w:r>
      <w:r w:rsidRPr="000B46DB">
        <w:t xml:space="preserve">rfshirjen e Sektorit në projekte që lidhen me sigurinë kimike, mbrojtjen e mjedisit dhe ndërgjegjësimin e shoqërisë për përdorimin e sigurt të kimikateve. Përmes </w:t>
      </w:r>
      <w:r>
        <w:t>bashkëpunimit dhe ndihmës së tyre</w:t>
      </w:r>
      <w:r w:rsidRPr="000B46DB">
        <w:t>, janë realizuar iniciativa që synojnë të rrisin njohuritë mbi ndikimin e substancave kimike në jetën e përditshme dhe në natyrë. Kjo agjenci ka kontribuar jo vetëm me mbështetje profesionale dhe këshilla teknike, por edhe me promovimin e ideve dhe praktikave të ndryshme. Falë këtij bashkëpunimi Sektori i Menaxhimit te Kimikateve ka marrë pjesë në disa projekte</w:t>
      </w:r>
      <w:r w:rsidR="00A803C7">
        <w:t xml:space="preserve"> dhe trajnime të ndryshme me fok</w:t>
      </w:r>
      <w:r w:rsidRPr="000B46DB">
        <w:t>us kimikatet. Mbështetja e kësaj agjencie tregon rëndësinë që ka bashkëpunimi ndërkombëtar në përballimin e sfidave që lidhen me kimikatet dhe mbrojtjen e mjedisit. Ky kontribut mbetet një shembull i qartë se si shkenca, edukimi dhe përgjegjësia mund të bashkohen për të ndërtuar një të ardhme më të mirë dhe më të sigurt.</w:t>
      </w:r>
    </w:p>
    <w:p w:rsidR="00D72AC3" w:rsidRPr="000B46DB" w:rsidRDefault="00D72AC3" w:rsidP="00D72AC3">
      <w:pPr>
        <w:pStyle w:val="NormalWeb"/>
        <w:shd w:val="clear" w:color="auto" w:fill="FFFFFF"/>
        <w:spacing w:before="0" w:beforeAutospacing="0" w:after="0" w:afterAutospacing="0"/>
        <w:jc w:val="both"/>
        <w:rPr>
          <w:color w:val="000000"/>
        </w:rPr>
      </w:pPr>
      <w:r w:rsidRPr="000B46DB">
        <w:t>Në kuadër të Konventës së Roterdamit dhe Stokholmit, Sektori</w:t>
      </w:r>
      <w:r w:rsidRPr="000B46DB">
        <w:rPr>
          <w:color w:val="000000"/>
        </w:rPr>
        <w:t xml:space="preserve"> ka marrë pjesë në COP</w:t>
      </w:r>
      <w:r>
        <w:rPr>
          <w:color w:val="000000"/>
        </w:rPr>
        <w:t xml:space="preserve"> </w:t>
      </w:r>
      <w:r w:rsidRPr="000B46DB">
        <w:rPr>
          <w:color w:val="000000"/>
        </w:rPr>
        <w:t>11 dhe COP</w:t>
      </w:r>
      <w:r>
        <w:rPr>
          <w:color w:val="000000"/>
        </w:rPr>
        <w:t xml:space="preserve"> </w:t>
      </w:r>
      <w:r w:rsidRPr="000B46DB">
        <w:rPr>
          <w:color w:val="000000"/>
        </w:rPr>
        <w:t>12 dhe ka përmbushur detyrimet në kuadër të tyre duke raportuar ne lidhje me kimikate të ndryshme.</w:t>
      </w:r>
    </w:p>
    <w:p w:rsidR="00D72AC3" w:rsidRPr="000B46DB" w:rsidRDefault="00D72AC3" w:rsidP="00D72AC3">
      <w:pPr>
        <w:pStyle w:val="NormalWeb"/>
        <w:shd w:val="clear" w:color="auto" w:fill="FFFFFF"/>
        <w:spacing w:before="0" w:beforeAutospacing="0" w:after="0" w:afterAutospacing="0"/>
        <w:jc w:val="both"/>
      </w:pPr>
      <w:r w:rsidRPr="000B46DB">
        <w:t xml:space="preserve">Pjesëmarrja jonë në aktivitetet dhe projektet që lidhen me </w:t>
      </w:r>
      <w:r w:rsidRPr="000B46DB">
        <w:rPr>
          <w:rStyle w:val="whitespace-normal"/>
        </w:rPr>
        <w:t>Rotterdam Convention</w:t>
      </w:r>
      <w:r w:rsidRPr="000B46DB">
        <w:t xml:space="preserve"> dhe </w:t>
      </w:r>
      <w:r w:rsidRPr="000B46DB">
        <w:rPr>
          <w:rStyle w:val="whitespace-normal"/>
        </w:rPr>
        <w:t xml:space="preserve">Stockholm </w:t>
      </w:r>
      <w:r w:rsidRPr="000B46DB">
        <w:rPr>
          <w:rStyle w:val="whitespace-normal"/>
        </w:rPr>
        <w:lastRenderedPageBreak/>
        <w:t>Convention</w:t>
      </w:r>
      <w:r w:rsidRPr="000B46DB">
        <w:t xml:space="preserve"> ka qenë një përvojë shumë e rëndësishme e cila na ka ndihmuar të kuptojmë më mirë sfidat globale që lidhen me kimikatet e rrezikshme dhe mbrojtjen e mjedisit. Këto konventa ndërkombëtare kanë si qëllim mbrojtjen e shëndetit të njeriut dhe të natyrës nga efektet negative të substancave kimike, duke promovuar kontrollin, menaxhimin dhe përdorimin e tyre në mënyrë të sigurt dhe të përgjegjshme.</w:t>
      </w:r>
    </w:p>
    <w:p w:rsidR="00D72AC3" w:rsidRPr="000B46DB" w:rsidRDefault="00D72AC3" w:rsidP="00D72AC3">
      <w:pPr>
        <w:pStyle w:val="NormalWeb"/>
        <w:jc w:val="both"/>
      </w:pPr>
      <w:r w:rsidRPr="000B46DB">
        <w:t>Përmes pjesëmarrjes sonë në COP 11 dhe 12 dhe aktivitetet e organizuara, kemi pasur mundësinë të mësojmë më shumë rreth ndikimit që kimikatet e rrezikshme kanë në mjedis dhe në jetën e njerëzve, si dhe rëndësinë e bashkëpunimit ndërkombëtar për zgjidhjen e këtyre sfidave. Gjithashtu, kjo përvojë na ka ndihmuar të zhvillojmë aftësi të reja, të ndajmë ide dhe të ndërgjegjësohemi më shumë për rëndësinë e mbrojtjes së mjedisit dhe përdorimit të sigurt të substancave kimike. Përmes bashkëpunimit, dijes dhe përgjegjësisë, mund të kontribuojmë për një të ardhme më të pastër, më të sigurt dhe më të shëndetshme për të gjithë.</w:t>
      </w:r>
    </w:p>
    <w:p w:rsidR="00D72AC3" w:rsidRPr="000B46DB" w:rsidRDefault="00CF2D6A" w:rsidP="00D72AC3">
      <w:pPr>
        <w:jc w:val="both"/>
        <w:rPr>
          <w:rFonts w:ascii="Times New Roman" w:hAnsi="Times New Roman" w:cs="Times New Roman"/>
          <w:b/>
          <w:sz w:val="24"/>
          <w:szCs w:val="24"/>
        </w:rPr>
      </w:pPr>
      <w:r>
        <w:rPr>
          <w:rFonts w:ascii="Times New Roman" w:hAnsi="Times New Roman" w:cs="Times New Roman"/>
          <w:b/>
          <w:sz w:val="24"/>
          <w:szCs w:val="24"/>
        </w:rPr>
        <w:t xml:space="preserve">11.4 </w:t>
      </w:r>
      <w:r w:rsidR="00D72AC3" w:rsidRPr="000B46DB">
        <w:rPr>
          <w:rFonts w:ascii="Times New Roman" w:hAnsi="Times New Roman" w:cs="Times New Roman"/>
          <w:b/>
          <w:sz w:val="24"/>
          <w:szCs w:val="24"/>
        </w:rPr>
        <w:t>Konventa e Roterdamit dhe Procedura PIC, (Prior Informed Consent – Pëlqimi i Informuar Paraprak).</w:t>
      </w:r>
    </w:p>
    <w:p w:rsidR="00D72AC3" w:rsidRPr="000234DE" w:rsidRDefault="00D72AC3" w:rsidP="000234DE">
      <w:pPr>
        <w:jc w:val="both"/>
        <w:rPr>
          <w:rFonts w:ascii="Times New Roman" w:hAnsi="Times New Roman" w:cs="Times New Roman"/>
          <w:sz w:val="24"/>
          <w:szCs w:val="24"/>
        </w:rPr>
      </w:pPr>
      <w:r w:rsidRPr="000B46DB">
        <w:rPr>
          <w:rFonts w:ascii="Times New Roman" w:hAnsi="Times New Roman" w:cs="Times New Roman"/>
          <w:sz w:val="24"/>
          <w:szCs w:val="24"/>
        </w:rPr>
        <w:t>Republika e Shqipërisë, ka aderuar në Konventën e Roterdamit nëpërmjet Ligjit Nr. 10277 datë 13.5.2010, “Për aderimin e Republikës së Shqipërisë në Konventën e Roterdamit për proçedurën e njoftimit të pëlqimit paraprak për kimikate të caktuara të rrezikshme dhe pesticideve në tregtinë ndërkombëtare”.</w:t>
      </w:r>
      <w:r w:rsidR="000234DE">
        <w:rPr>
          <w:rFonts w:ascii="Times New Roman" w:hAnsi="Times New Roman" w:cs="Times New Roman"/>
          <w:sz w:val="24"/>
          <w:szCs w:val="24"/>
        </w:rPr>
        <w:t xml:space="preserve"> </w:t>
      </w:r>
      <w:r>
        <w:rPr>
          <w:rFonts w:ascii="Times New Roman" w:hAnsi="Times New Roman" w:cs="Times New Roman"/>
          <w:sz w:val="24"/>
          <w:szCs w:val="24"/>
        </w:rPr>
        <w:t>Konventa</w:t>
      </w:r>
      <w:r w:rsidRPr="000B46DB">
        <w:rPr>
          <w:rFonts w:ascii="Times New Roman" w:hAnsi="Times New Roman" w:cs="Times New Roman"/>
          <w:sz w:val="24"/>
          <w:szCs w:val="24"/>
        </w:rPr>
        <w:t xml:space="preserve"> e Roterdamit </w:t>
      </w:r>
      <w:r w:rsidRPr="009D07D7">
        <w:rPr>
          <w:rFonts w:ascii="Times New Roman" w:eastAsia="Times New Roman" w:hAnsi="Times New Roman" w:cs="Times New Roman"/>
          <w:sz w:val="24"/>
          <w:szCs w:val="24"/>
        </w:rPr>
        <w:t>përfshin disa mekanizma dhe detyrime të rëndësishme që ndihmojnë në kontrollin dhe menaxhimin e sigurt të kimikateve dhe pesticideve të rrezikshme në nivel ndërkombëta</w:t>
      </w:r>
      <w:r w:rsidRPr="000B46DB">
        <w:rPr>
          <w:rFonts w:ascii="Times New Roman" w:eastAsia="Times New Roman" w:hAnsi="Times New Roman" w:cs="Times New Roman"/>
          <w:sz w:val="24"/>
          <w:szCs w:val="24"/>
        </w:rPr>
        <w:t>r.</w:t>
      </w:r>
    </w:p>
    <w:p w:rsidR="00D72AC3" w:rsidRPr="009D07D7" w:rsidRDefault="00D72AC3" w:rsidP="00807975">
      <w:pPr>
        <w:numPr>
          <w:ilvl w:val="0"/>
          <w:numId w:val="132"/>
        </w:numPr>
        <w:spacing w:before="100" w:beforeAutospacing="1" w:after="100" w:afterAutospacing="1" w:line="240" w:lineRule="auto"/>
        <w:jc w:val="both"/>
        <w:rPr>
          <w:rFonts w:ascii="Times New Roman" w:eastAsia="Times New Roman" w:hAnsi="Times New Roman" w:cs="Times New Roman"/>
          <w:sz w:val="24"/>
          <w:szCs w:val="24"/>
        </w:rPr>
      </w:pPr>
      <w:r w:rsidRPr="009D07D7">
        <w:rPr>
          <w:rFonts w:ascii="Times New Roman" w:eastAsia="Times New Roman" w:hAnsi="Times New Roman" w:cs="Times New Roman"/>
          <w:b/>
          <w:bCs/>
          <w:sz w:val="24"/>
          <w:szCs w:val="24"/>
        </w:rPr>
        <w:t>Shkëmbimi i informacionit</w:t>
      </w:r>
      <w:r w:rsidRPr="009D07D7">
        <w:rPr>
          <w:rFonts w:ascii="Times New Roman" w:eastAsia="Times New Roman" w:hAnsi="Times New Roman" w:cs="Times New Roman"/>
          <w:sz w:val="24"/>
          <w:szCs w:val="24"/>
        </w:rPr>
        <w:t xml:space="preserve"> – Vendet shkëmbejnë të dhëna për rreziqet, përdorimin dhe masat mbrojtëse që lidhen me kimikatet e rrezikshme. Kjo ndihmon shtetet të marrin vendime më të sigurta dhe më të informuara. </w:t>
      </w:r>
    </w:p>
    <w:p w:rsidR="00D72AC3" w:rsidRPr="009D07D7" w:rsidRDefault="00D72AC3" w:rsidP="00807975">
      <w:pPr>
        <w:numPr>
          <w:ilvl w:val="0"/>
          <w:numId w:val="132"/>
        </w:numPr>
        <w:spacing w:before="100" w:beforeAutospacing="1" w:after="100" w:afterAutospacing="1" w:line="240" w:lineRule="auto"/>
        <w:jc w:val="both"/>
        <w:rPr>
          <w:rFonts w:ascii="Times New Roman" w:eastAsia="Times New Roman" w:hAnsi="Times New Roman" w:cs="Times New Roman"/>
          <w:sz w:val="24"/>
          <w:szCs w:val="24"/>
        </w:rPr>
      </w:pPr>
      <w:r w:rsidRPr="009D07D7">
        <w:rPr>
          <w:rFonts w:ascii="Times New Roman" w:eastAsia="Times New Roman" w:hAnsi="Times New Roman" w:cs="Times New Roman"/>
          <w:b/>
          <w:bCs/>
          <w:sz w:val="24"/>
          <w:szCs w:val="24"/>
        </w:rPr>
        <w:t>Njoftimet e eksportit</w:t>
      </w:r>
      <w:r w:rsidRPr="009D07D7">
        <w:rPr>
          <w:rFonts w:ascii="Times New Roman" w:eastAsia="Times New Roman" w:hAnsi="Times New Roman" w:cs="Times New Roman"/>
          <w:sz w:val="24"/>
          <w:szCs w:val="24"/>
        </w:rPr>
        <w:t xml:space="preserve"> – Kur një kimikat i ndaluar ose shumë i kufizuar eksportohet në një shtet tjetër, vendi eksportues duhet të dërgojë njoftim paraprak për të informuar vendin pritës mbi rreziqet dhe karakteristikat e substancës. </w:t>
      </w:r>
    </w:p>
    <w:p w:rsidR="00D72AC3" w:rsidRPr="009D07D7" w:rsidRDefault="00D72AC3" w:rsidP="00807975">
      <w:pPr>
        <w:numPr>
          <w:ilvl w:val="0"/>
          <w:numId w:val="132"/>
        </w:numPr>
        <w:spacing w:before="100" w:beforeAutospacing="1" w:after="100" w:afterAutospacing="1" w:line="240" w:lineRule="auto"/>
        <w:jc w:val="both"/>
        <w:rPr>
          <w:rFonts w:ascii="Times New Roman" w:eastAsia="Times New Roman" w:hAnsi="Times New Roman" w:cs="Times New Roman"/>
          <w:sz w:val="24"/>
          <w:szCs w:val="24"/>
        </w:rPr>
      </w:pPr>
      <w:r w:rsidRPr="009D07D7">
        <w:rPr>
          <w:rFonts w:ascii="Times New Roman" w:eastAsia="Times New Roman" w:hAnsi="Times New Roman" w:cs="Times New Roman"/>
          <w:b/>
          <w:bCs/>
          <w:sz w:val="24"/>
          <w:szCs w:val="24"/>
        </w:rPr>
        <w:t>Vendimet për importin</w:t>
      </w:r>
      <w:r w:rsidRPr="009D07D7">
        <w:rPr>
          <w:rFonts w:ascii="Times New Roman" w:eastAsia="Times New Roman" w:hAnsi="Times New Roman" w:cs="Times New Roman"/>
          <w:sz w:val="24"/>
          <w:szCs w:val="24"/>
        </w:rPr>
        <w:t xml:space="preserve"> – Çdo shtet ka të drejtë të vendosë nëse do të lejojë ose jo importimin e një kimikati të listuar në Konventë. Këto vendime komunikohen zyrtarisht përmes DNA-së. </w:t>
      </w:r>
    </w:p>
    <w:p w:rsidR="00D72AC3" w:rsidRPr="009D07D7" w:rsidRDefault="00D72AC3" w:rsidP="00807975">
      <w:pPr>
        <w:numPr>
          <w:ilvl w:val="0"/>
          <w:numId w:val="132"/>
        </w:numPr>
        <w:spacing w:before="100" w:beforeAutospacing="1" w:after="100" w:afterAutospacing="1" w:line="240" w:lineRule="auto"/>
        <w:jc w:val="both"/>
        <w:rPr>
          <w:rFonts w:ascii="Times New Roman" w:eastAsia="Times New Roman" w:hAnsi="Times New Roman" w:cs="Times New Roman"/>
          <w:sz w:val="24"/>
          <w:szCs w:val="24"/>
        </w:rPr>
      </w:pPr>
      <w:r w:rsidRPr="009D07D7">
        <w:rPr>
          <w:rFonts w:ascii="Times New Roman" w:eastAsia="Times New Roman" w:hAnsi="Times New Roman" w:cs="Times New Roman"/>
          <w:b/>
          <w:bCs/>
          <w:sz w:val="24"/>
          <w:szCs w:val="24"/>
        </w:rPr>
        <w:t>Autoriteti Kombëtar i Caktuar (DNA)</w:t>
      </w:r>
      <w:r w:rsidRPr="009D07D7">
        <w:rPr>
          <w:rFonts w:ascii="Times New Roman" w:eastAsia="Times New Roman" w:hAnsi="Times New Roman" w:cs="Times New Roman"/>
          <w:sz w:val="24"/>
          <w:szCs w:val="24"/>
        </w:rPr>
        <w:t xml:space="preserve"> – Çdo vend cakton një institucion përgjegjës për zbatimin e Konventës, komunikimin me Sekretariatin dhe koordinimin e procedurave PIC. </w:t>
      </w:r>
    </w:p>
    <w:p w:rsidR="00D72AC3" w:rsidRPr="009D07D7" w:rsidRDefault="00D72AC3" w:rsidP="00807975">
      <w:pPr>
        <w:numPr>
          <w:ilvl w:val="0"/>
          <w:numId w:val="132"/>
        </w:numPr>
        <w:spacing w:before="100" w:beforeAutospacing="1" w:after="100" w:afterAutospacing="1" w:line="240" w:lineRule="auto"/>
        <w:jc w:val="both"/>
        <w:rPr>
          <w:rFonts w:ascii="Times New Roman" w:eastAsia="Times New Roman" w:hAnsi="Times New Roman" w:cs="Times New Roman"/>
          <w:sz w:val="24"/>
          <w:szCs w:val="24"/>
        </w:rPr>
      </w:pPr>
      <w:r w:rsidRPr="009D07D7">
        <w:rPr>
          <w:rFonts w:ascii="Times New Roman" w:eastAsia="Times New Roman" w:hAnsi="Times New Roman" w:cs="Times New Roman"/>
          <w:b/>
          <w:bCs/>
          <w:sz w:val="24"/>
          <w:szCs w:val="24"/>
        </w:rPr>
        <w:t>Listimi i kimikateve të rrezikshme</w:t>
      </w:r>
      <w:r w:rsidRPr="009D07D7">
        <w:rPr>
          <w:rFonts w:ascii="Times New Roman" w:eastAsia="Times New Roman" w:hAnsi="Times New Roman" w:cs="Times New Roman"/>
          <w:sz w:val="24"/>
          <w:szCs w:val="24"/>
        </w:rPr>
        <w:t xml:space="preserve"> – Konventa përfshin një listë të kimikateve dhe pesticideve që konsiderohen të rrezikshme për shëndetin dhe mjedisin. Kjo listë përditësohet periodikisht nga Konferenca e Palëve (COP). </w:t>
      </w:r>
    </w:p>
    <w:p w:rsidR="00D72AC3" w:rsidRPr="009D07D7" w:rsidRDefault="00D72AC3" w:rsidP="00807975">
      <w:pPr>
        <w:numPr>
          <w:ilvl w:val="0"/>
          <w:numId w:val="132"/>
        </w:numPr>
        <w:spacing w:before="100" w:beforeAutospacing="1" w:after="100" w:afterAutospacing="1" w:line="240" w:lineRule="auto"/>
        <w:jc w:val="both"/>
        <w:rPr>
          <w:rFonts w:ascii="Times New Roman" w:eastAsia="Times New Roman" w:hAnsi="Times New Roman" w:cs="Times New Roman"/>
          <w:sz w:val="24"/>
          <w:szCs w:val="24"/>
        </w:rPr>
      </w:pPr>
      <w:r w:rsidRPr="009D07D7">
        <w:rPr>
          <w:rFonts w:ascii="Times New Roman" w:eastAsia="Times New Roman" w:hAnsi="Times New Roman" w:cs="Times New Roman"/>
          <w:b/>
          <w:bCs/>
          <w:sz w:val="24"/>
          <w:szCs w:val="24"/>
        </w:rPr>
        <w:t>Raportimi dhe formularët</w:t>
      </w:r>
      <w:r w:rsidRPr="009D07D7">
        <w:rPr>
          <w:rFonts w:ascii="Times New Roman" w:eastAsia="Times New Roman" w:hAnsi="Times New Roman" w:cs="Times New Roman"/>
          <w:sz w:val="24"/>
          <w:szCs w:val="24"/>
        </w:rPr>
        <w:t xml:space="preserve"> – Shtetet palë kanë detyrim të plotësojnë formularë, të raportojnë mbi zbatimin e Konventës dhe të japin informacion mbi masat që marrin për kontrollin e kimikateve. </w:t>
      </w:r>
    </w:p>
    <w:p w:rsidR="00D72AC3" w:rsidRPr="009D07D7" w:rsidRDefault="00D72AC3" w:rsidP="00807975">
      <w:pPr>
        <w:numPr>
          <w:ilvl w:val="0"/>
          <w:numId w:val="132"/>
        </w:numPr>
        <w:spacing w:before="100" w:beforeAutospacing="1" w:after="100" w:afterAutospacing="1" w:line="240" w:lineRule="auto"/>
        <w:jc w:val="both"/>
        <w:rPr>
          <w:rFonts w:ascii="Times New Roman" w:eastAsia="Times New Roman" w:hAnsi="Times New Roman" w:cs="Times New Roman"/>
          <w:sz w:val="24"/>
          <w:szCs w:val="24"/>
        </w:rPr>
      </w:pPr>
      <w:r w:rsidRPr="009D07D7">
        <w:rPr>
          <w:rFonts w:ascii="Times New Roman" w:eastAsia="Times New Roman" w:hAnsi="Times New Roman" w:cs="Times New Roman"/>
          <w:b/>
          <w:bCs/>
          <w:sz w:val="24"/>
          <w:szCs w:val="24"/>
        </w:rPr>
        <w:t>Bashkëpunimi ndërkombëtar</w:t>
      </w:r>
      <w:r w:rsidRPr="009D07D7">
        <w:rPr>
          <w:rFonts w:ascii="Times New Roman" w:eastAsia="Times New Roman" w:hAnsi="Times New Roman" w:cs="Times New Roman"/>
          <w:sz w:val="24"/>
          <w:szCs w:val="24"/>
        </w:rPr>
        <w:t xml:space="preserve"> – Konventa promovon ndihmën teknike, edukimin dhe ndërgjegjësimin për sigurinë kimike, veçanërisht për vendet që kanë më pak kapacitete në menaxhimin e substancave të rrezikshme. </w:t>
      </w:r>
    </w:p>
    <w:p w:rsidR="00D72AC3" w:rsidRPr="009D07D7" w:rsidRDefault="00D72AC3" w:rsidP="00D72AC3">
      <w:pPr>
        <w:spacing w:before="100" w:beforeAutospacing="1" w:after="100" w:afterAutospacing="1" w:line="240" w:lineRule="auto"/>
        <w:jc w:val="both"/>
        <w:rPr>
          <w:rFonts w:ascii="Times New Roman" w:eastAsia="Times New Roman" w:hAnsi="Times New Roman" w:cs="Times New Roman"/>
          <w:sz w:val="24"/>
          <w:szCs w:val="24"/>
        </w:rPr>
      </w:pPr>
      <w:r w:rsidRPr="009D07D7">
        <w:rPr>
          <w:rFonts w:ascii="Times New Roman" w:eastAsia="Times New Roman" w:hAnsi="Times New Roman" w:cs="Times New Roman"/>
          <w:sz w:val="24"/>
          <w:szCs w:val="24"/>
        </w:rPr>
        <w:lastRenderedPageBreak/>
        <w:t>Kjo konventë konsiderohet shumë e rëndësishme sepse ndihmon në mbrojtjen e njerëzve dhe të mjedisit nga efektet negative të kimikateve, duke rritur transparencën dhe përgjegjësinë në tregtinë ndërkombëtare.</w:t>
      </w:r>
    </w:p>
    <w:p w:rsidR="00D72AC3" w:rsidRPr="000B46DB" w:rsidRDefault="00D72AC3" w:rsidP="00D72AC3">
      <w:pPr>
        <w:jc w:val="both"/>
        <w:rPr>
          <w:rFonts w:ascii="Times New Roman" w:hAnsi="Times New Roman" w:cs="Times New Roman"/>
          <w:sz w:val="24"/>
          <w:szCs w:val="24"/>
        </w:rPr>
      </w:pPr>
    </w:p>
    <w:p w:rsidR="00D72AC3" w:rsidRPr="000B46DB" w:rsidRDefault="00CF2D6A" w:rsidP="00D72AC3">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11.5 </w:t>
      </w:r>
      <w:r w:rsidR="00D72AC3" w:rsidRPr="000B46DB">
        <w:rPr>
          <w:rFonts w:ascii="Times New Roman" w:hAnsi="Times New Roman" w:cs="Times New Roman"/>
          <w:b/>
          <w:color w:val="000000" w:themeColor="text1"/>
          <w:sz w:val="24"/>
          <w:szCs w:val="24"/>
        </w:rPr>
        <w:t>Procedura PIC, (Prior Informed Consent – Pëlqimi i Informuar Paraprak)</w:t>
      </w:r>
    </w:p>
    <w:p w:rsidR="00D72AC3" w:rsidRPr="000B46DB" w:rsidRDefault="00D72AC3" w:rsidP="00D72AC3">
      <w:pPr>
        <w:jc w:val="both"/>
        <w:rPr>
          <w:rFonts w:ascii="Times New Roman" w:hAnsi="Times New Roman" w:cs="Times New Roman"/>
          <w:color w:val="000000" w:themeColor="text1"/>
          <w:sz w:val="24"/>
          <w:szCs w:val="24"/>
        </w:rPr>
      </w:pPr>
      <w:r w:rsidRPr="000B46DB">
        <w:rPr>
          <w:rFonts w:ascii="Times New Roman" w:hAnsi="Times New Roman" w:cs="Times New Roman"/>
          <w:color w:val="000000" w:themeColor="text1"/>
          <w:sz w:val="24"/>
          <w:szCs w:val="24"/>
        </w:rPr>
        <w:t xml:space="preserve">Në kuadër të procedurës PIC të Rotterdam Convention, DNA (Designated National Authority – Autoriteti Kombëtar i Caktuar) ka detyrën të bëjë njoftime dhe shkëmbim informacioni ndërmjet shteteve për kimikatet dhe pesticidet e rrezikshme. Këto njoftime janë shumë të rëndësishme për të garantuar transparencën dhe sigurinë në tregtinë ndërkombëtare të substancave kimike. </w:t>
      </w:r>
    </w:p>
    <w:p w:rsidR="00D72AC3" w:rsidRPr="000B46DB" w:rsidRDefault="00D72AC3" w:rsidP="00D72AC3">
      <w:pPr>
        <w:jc w:val="both"/>
        <w:rPr>
          <w:rFonts w:ascii="Times New Roman" w:hAnsi="Times New Roman" w:cs="Times New Roman"/>
          <w:color w:val="000000" w:themeColor="text1"/>
          <w:sz w:val="24"/>
          <w:szCs w:val="24"/>
        </w:rPr>
      </w:pPr>
      <w:r w:rsidRPr="000B46DB">
        <w:rPr>
          <w:rFonts w:ascii="Times New Roman" w:hAnsi="Times New Roman" w:cs="Times New Roman"/>
          <w:color w:val="000000" w:themeColor="text1"/>
          <w:sz w:val="24"/>
          <w:szCs w:val="24"/>
        </w:rPr>
        <w:t>Procedura PIC (Prior Informed Consent) e Rotterdam Convention është një mekanizëm ndërkombëtar që synon të kontrollojë tregtinë e kimikateve dhe pesticideve të rrezikshme ndërmjet vendeve. Qëllimi kryesor i kësaj procedure është të sigurojë që çdo shtet të ketë informacion të plotë dhe të japë pëlqimin paraprak përpara se një substancë kimike e rrezikshme të importohet në territorin e tij.</w:t>
      </w:r>
    </w:p>
    <w:p w:rsidR="00D72AC3" w:rsidRPr="000B46DB" w:rsidRDefault="00D72AC3" w:rsidP="00D72AC3">
      <w:pPr>
        <w:jc w:val="both"/>
        <w:rPr>
          <w:rFonts w:ascii="Times New Roman" w:hAnsi="Times New Roman" w:cs="Times New Roman"/>
          <w:color w:val="000000" w:themeColor="text1"/>
          <w:sz w:val="24"/>
          <w:szCs w:val="24"/>
        </w:rPr>
      </w:pPr>
      <w:r w:rsidRPr="000B46DB">
        <w:rPr>
          <w:rFonts w:ascii="Times New Roman" w:hAnsi="Times New Roman" w:cs="Times New Roman"/>
          <w:color w:val="000000" w:themeColor="text1"/>
          <w:sz w:val="24"/>
          <w:szCs w:val="24"/>
        </w:rPr>
        <w:t>DNA njofton vendet e tjera dhe Sekretariatin e Konventës për vendimet që një shtet merr lidhur me importimin ose ndalimin e kimikateve të caktuara. Gjithashtu, ai informon për eksportet e substancave të rrezikshme, për masat mbrojtëse dhe për çdo ndryshim që lidhet me përdorimin apo kontrollin e tyre. Përmes këtyre njoftimeve sigurohet që çdo shtet të ketë informacion të plotë përpara se të pranojë një kimikat në territorin e tij.</w:t>
      </w:r>
    </w:p>
    <w:p w:rsidR="00D72AC3" w:rsidRPr="000B46DB" w:rsidRDefault="00D72AC3" w:rsidP="00D72AC3">
      <w:pPr>
        <w:jc w:val="both"/>
        <w:rPr>
          <w:rFonts w:ascii="Times New Roman" w:hAnsi="Times New Roman" w:cs="Times New Roman"/>
          <w:color w:val="000000" w:themeColor="text1"/>
          <w:sz w:val="24"/>
          <w:szCs w:val="24"/>
        </w:rPr>
      </w:pPr>
      <w:r w:rsidRPr="000B46DB">
        <w:rPr>
          <w:rFonts w:ascii="Times New Roman" w:hAnsi="Times New Roman" w:cs="Times New Roman"/>
          <w:color w:val="000000" w:themeColor="text1"/>
          <w:sz w:val="24"/>
          <w:szCs w:val="24"/>
        </w:rPr>
        <w:t>Ky proces ndihmon në mbrojtjen e shëndetit të njerëzve dhe të mjedisit, duke parandaluar përdorimin e pakontrolluar të kimikateve të rrezikshme dhe duke forcuar bashkëpunimin ndërkombëtar në fushën e sigurisë kimike.</w:t>
      </w:r>
    </w:p>
    <w:p w:rsidR="00D72AC3" w:rsidRPr="000B46DB" w:rsidRDefault="00D72AC3" w:rsidP="00D72AC3">
      <w:pPr>
        <w:jc w:val="both"/>
        <w:rPr>
          <w:rFonts w:ascii="Times New Roman" w:hAnsi="Times New Roman" w:cs="Times New Roman"/>
          <w:color w:val="000000" w:themeColor="text1"/>
          <w:sz w:val="24"/>
          <w:szCs w:val="24"/>
        </w:rPr>
      </w:pPr>
      <w:r w:rsidRPr="000B46DB">
        <w:rPr>
          <w:rFonts w:ascii="Times New Roman" w:hAnsi="Times New Roman" w:cs="Times New Roman"/>
          <w:color w:val="000000" w:themeColor="text1"/>
          <w:sz w:val="24"/>
          <w:szCs w:val="24"/>
        </w:rPr>
        <w:t>Konventa promovon gjithashtu bashkëpunimin dhe shkëmbimin e informacionit ndërmjet shteteve, duke rritur transparencën dhe përgjegjësinë në tregtinë ndërkombëtare të kimikateve. Procedura PIC konsiderohet një hap shumë i rëndësishëm drejt përdorimit të sigurt dhe menaxhimit të përgjegjshëm të substancave kimike në nivel global.</w:t>
      </w:r>
    </w:p>
    <w:p w:rsidR="00D72AC3" w:rsidRPr="000B46DB" w:rsidRDefault="00D72AC3" w:rsidP="00D72AC3">
      <w:pPr>
        <w:jc w:val="both"/>
        <w:rPr>
          <w:rFonts w:ascii="Times New Roman" w:hAnsi="Times New Roman" w:cs="Times New Roman"/>
          <w:color w:val="000000" w:themeColor="text1"/>
          <w:sz w:val="24"/>
          <w:szCs w:val="24"/>
        </w:rPr>
      </w:pPr>
      <w:r w:rsidRPr="000B46DB">
        <w:rPr>
          <w:rFonts w:ascii="Times New Roman" w:hAnsi="Times New Roman" w:cs="Times New Roman"/>
          <w:color w:val="000000" w:themeColor="text1"/>
          <w:sz w:val="24"/>
          <w:szCs w:val="24"/>
        </w:rPr>
        <w:t>Në kuadër të Konventës së Roterdamit, Autoriteti Kombëtar i caktuar gjatë ketyre viteve ka plotësuar detyrimet për plotësimin e Njoftimeve të Eksportit .</w:t>
      </w:r>
    </w:p>
    <w:p w:rsidR="00D72AC3" w:rsidRPr="000B46DB" w:rsidRDefault="00D72AC3" w:rsidP="00D72AC3">
      <w:pPr>
        <w:jc w:val="both"/>
        <w:rPr>
          <w:rFonts w:ascii="Times New Roman" w:hAnsi="Times New Roman" w:cs="Times New Roman"/>
          <w:sz w:val="24"/>
          <w:szCs w:val="24"/>
        </w:rPr>
      </w:pPr>
      <w:r w:rsidRPr="000B46DB">
        <w:rPr>
          <w:rFonts w:ascii="Times New Roman" w:hAnsi="Times New Roman" w:cs="Times New Roman"/>
          <w:sz w:val="24"/>
          <w:szCs w:val="24"/>
        </w:rPr>
        <w:t>Me qëllim forcimin e legjislacionit kombëtar për kimikatet, DNA-ja, në bashkëpunim me autoritetet përgjegjëse për autoriz</w:t>
      </w:r>
      <w:r>
        <w:rPr>
          <w:rFonts w:ascii="Times New Roman" w:hAnsi="Times New Roman" w:cs="Times New Roman"/>
          <w:sz w:val="24"/>
          <w:szCs w:val="24"/>
        </w:rPr>
        <w:t xml:space="preserve">imin e kimikateve në Shqipëri, </w:t>
      </w:r>
      <w:r w:rsidRPr="000B46DB">
        <w:rPr>
          <w:rFonts w:ascii="Times New Roman" w:hAnsi="Times New Roman" w:cs="Times New Roman"/>
          <w:sz w:val="24"/>
          <w:szCs w:val="24"/>
        </w:rPr>
        <w:t>ka kryer një proces verifikimi dhe është përgjegjës për formatin e përgjigjeve në lidhje me procedurat PIC për këto njoftime, bazuar në Vendimin e Këshillit të Ministrave Nr. 665, datë 21.09.2016, "Për eksportin dhe importin e kimikateve të rrezikshme".</w:t>
      </w:r>
    </w:p>
    <w:p w:rsidR="00D72AC3" w:rsidRPr="000B46DB" w:rsidRDefault="00D72AC3" w:rsidP="00D72AC3">
      <w:pPr>
        <w:jc w:val="both"/>
        <w:rPr>
          <w:rFonts w:ascii="Times New Roman" w:hAnsi="Times New Roman" w:cs="Times New Roman"/>
          <w:sz w:val="24"/>
          <w:szCs w:val="24"/>
        </w:rPr>
      </w:pPr>
      <w:r w:rsidRPr="000B46DB">
        <w:rPr>
          <w:rFonts w:ascii="Times New Roman" w:hAnsi="Times New Roman" w:cs="Times New Roman"/>
          <w:sz w:val="24"/>
          <w:szCs w:val="24"/>
        </w:rPr>
        <w:t>Më poshtë gjeni raportimin</w:t>
      </w:r>
      <w:r>
        <w:rPr>
          <w:rFonts w:ascii="Times New Roman" w:hAnsi="Times New Roman" w:cs="Times New Roman"/>
          <w:sz w:val="24"/>
          <w:szCs w:val="24"/>
        </w:rPr>
        <w:t xml:space="preserve"> për njoftimet e eksporteve </w:t>
      </w:r>
      <w:r w:rsidRPr="000B46DB">
        <w:rPr>
          <w:rFonts w:ascii="Times New Roman" w:hAnsi="Times New Roman" w:cs="Times New Roman"/>
          <w:sz w:val="24"/>
          <w:szCs w:val="24"/>
        </w:rPr>
        <w:t xml:space="preserve">nga viti </w:t>
      </w:r>
      <w:r>
        <w:rPr>
          <w:rFonts w:ascii="Times New Roman" w:hAnsi="Times New Roman" w:cs="Times New Roman"/>
          <w:sz w:val="24"/>
          <w:szCs w:val="24"/>
        </w:rPr>
        <w:t>2023</w:t>
      </w:r>
      <w:r w:rsidRPr="000B46DB">
        <w:rPr>
          <w:rFonts w:ascii="Times New Roman" w:hAnsi="Times New Roman" w:cs="Times New Roman"/>
          <w:sz w:val="24"/>
          <w:szCs w:val="24"/>
        </w:rPr>
        <w:t>,</w:t>
      </w:r>
      <w:r>
        <w:rPr>
          <w:rFonts w:ascii="Times New Roman" w:hAnsi="Times New Roman" w:cs="Times New Roman"/>
          <w:sz w:val="24"/>
          <w:szCs w:val="24"/>
        </w:rPr>
        <w:t xml:space="preserve"> </w:t>
      </w:r>
      <w:r w:rsidRPr="000B46DB">
        <w:rPr>
          <w:rFonts w:ascii="Times New Roman" w:hAnsi="Times New Roman" w:cs="Times New Roman"/>
          <w:sz w:val="24"/>
          <w:szCs w:val="24"/>
        </w:rPr>
        <w:t xml:space="preserve">kur Autoriteti i </w:t>
      </w:r>
      <w:r>
        <w:rPr>
          <w:rFonts w:ascii="Times New Roman" w:hAnsi="Times New Roman" w:cs="Times New Roman"/>
          <w:sz w:val="24"/>
          <w:szCs w:val="24"/>
        </w:rPr>
        <w:t>Përcaktuar Kombë</w:t>
      </w:r>
      <w:r w:rsidRPr="000B46DB">
        <w:rPr>
          <w:rFonts w:ascii="Times New Roman" w:hAnsi="Times New Roman" w:cs="Times New Roman"/>
          <w:sz w:val="24"/>
          <w:szCs w:val="24"/>
        </w:rPr>
        <w:t>tar është vendosur pranë Sektorit të Menaxhimit të Kimikateve dhe në vazhdim,</w:t>
      </w:r>
    </w:p>
    <w:p w:rsidR="00D72AC3" w:rsidRPr="000B46DB" w:rsidRDefault="00D72AC3" w:rsidP="00D72AC3">
      <w:pPr>
        <w:jc w:val="both"/>
        <w:rPr>
          <w:rFonts w:ascii="Times New Roman" w:hAnsi="Times New Roman" w:cs="Times New Roman"/>
          <w:sz w:val="24"/>
          <w:szCs w:val="24"/>
        </w:rPr>
      </w:pPr>
      <w:r w:rsidRPr="000B46DB">
        <w:rPr>
          <w:rFonts w:ascii="Times New Roman" w:hAnsi="Times New Roman" w:cs="Times New Roman"/>
          <w:sz w:val="24"/>
          <w:szCs w:val="24"/>
        </w:rPr>
        <w:t>Për vitin 2023 janë plotësuar dhe kthyer përgjigje ,për 97  Njoftime Eksporti.</w:t>
      </w:r>
    </w:p>
    <w:p w:rsidR="00D72AC3" w:rsidRPr="000B46DB" w:rsidRDefault="00D72AC3" w:rsidP="00D72AC3">
      <w:pPr>
        <w:jc w:val="both"/>
        <w:rPr>
          <w:rFonts w:ascii="Times New Roman" w:hAnsi="Times New Roman" w:cs="Times New Roman"/>
          <w:sz w:val="24"/>
          <w:szCs w:val="24"/>
        </w:rPr>
      </w:pPr>
      <w:r w:rsidRPr="000B46DB">
        <w:rPr>
          <w:rFonts w:ascii="Times New Roman" w:hAnsi="Times New Roman" w:cs="Times New Roman"/>
          <w:sz w:val="24"/>
          <w:szCs w:val="24"/>
        </w:rPr>
        <w:lastRenderedPageBreak/>
        <w:t>Për vitin 2024 janë plotësuar dhe kthyer përgjigje, për 37 Njoftime  Eksporti.</w:t>
      </w:r>
    </w:p>
    <w:p w:rsidR="00D72AC3" w:rsidRPr="000B46DB" w:rsidRDefault="00D72AC3" w:rsidP="00D72AC3">
      <w:pPr>
        <w:jc w:val="both"/>
        <w:rPr>
          <w:rFonts w:ascii="Times New Roman" w:hAnsi="Times New Roman" w:cs="Times New Roman"/>
          <w:sz w:val="24"/>
          <w:szCs w:val="24"/>
        </w:rPr>
      </w:pPr>
      <w:r w:rsidRPr="000B46DB">
        <w:rPr>
          <w:rFonts w:ascii="Times New Roman" w:hAnsi="Times New Roman" w:cs="Times New Roman"/>
          <w:sz w:val="24"/>
          <w:szCs w:val="24"/>
        </w:rPr>
        <w:t>Për vitin 2025 janë plotësuar dhe kthyer përgjigje, për 54 Njoftime Eksporti.</w:t>
      </w:r>
    </w:p>
    <w:p w:rsidR="00D72AC3" w:rsidRPr="000B46DB" w:rsidRDefault="00D72AC3" w:rsidP="00D72AC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Shqiperia, si palë  e </w:t>
      </w:r>
      <w:r>
        <w:rPr>
          <w:rFonts w:ascii="Times New Roman" w:hAnsi="Times New Roman" w:cs="Times New Roman"/>
          <w:sz w:val="24"/>
          <w:szCs w:val="24"/>
        </w:rPr>
        <w:t>Konventës</w:t>
      </w:r>
      <w:r w:rsidRPr="000B46DB">
        <w:rPr>
          <w:rFonts w:ascii="Times New Roman" w:hAnsi="Times New Roman" w:cs="Times New Roman"/>
          <w:sz w:val="24"/>
          <w:szCs w:val="24"/>
        </w:rPr>
        <w:t xml:space="preserve"> </w:t>
      </w:r>
      <w:r>
        <w:rPr>
          <w:rFonts w:ascii="Times New Roman" w:hAnsi="Times New Roman" w:cs="Times New Roman"/>
          <w:sz w:val="24"/>
          <w:szCs w:val="24"/>
        </w:rPr>
        <w:t>të</w:t>
      </w:r>
      <w:r w:rsidRPr="000B46DB">
        <w:rPr>
          <w:rFonts w:ascii="Times New Roman" w:hAnsi="Times New Roman" w:cs="Times New Roman"/>
          <w:sz w:val="24"/>
          <w:szCs w:val="24"/>
        </w:rPr>
        <w:t xml:space="preserve"> Roterdamit </w:t>
      </w:r>
      <w:r w:rsidRPr="000B46DB">
        <w:rPr>
          <w:rFonts w:ascii="Times New Roman" w:hAnsi="Times New Roman" w:cs="Times New Roman"/>
          <w:color w:val="000000" w:themeColor="text1"/>
          <w:sz w:val="24"/>
          <w:szCs w:val="24"/>
        </w:rPr>
        <w:t>ka detyrime për plotësimin e formularëve dhe përgatitjen e raporteve periodike. Këto raporte dhe formularë shërbejnë për të informuar Sekretariatin e Konventave mbi masat që vendi ka ndërmarrë për menaxhimin e kimikateve të rrezikshme, zbatimin e legjislacionit dhe respektimin e detyrimeve ndërkombëtare.</w:t>
      </w:r>
    </w:p>
    <w:p w:rsidR="00D72AC3" w:rsidRPr="000B46DB" w:rsidRDefault="00D72AC3" w:rsidP="00D72AC3">
      <w:pPr>
        <w:jc w:val="both"/>
        <w:rPr>
          <w:rFonts w:ascii="Times New Roman" w:hAnsi="Times New Roman" w:cs="Times New Roman"/>
          <w:sz w:val="24"/>
          <w:szCs w:val="24"/>
        </w:rPr>
      </w:pPr>
      <w:r w:rsidRPr="000B46DB">
        <w:rPr>
          <w:rFonts w:ascii="Times New Roman" w:hAnsi="Times New Roman" w:cs="Times New Roman"/>
          <w:color w:val="000000" w:themeColor="text1"/>
          <w:sz w:val="24"/>
          <w:szCs w:val="24"/>
        </w:rPr>
        <w:t>Këto procedura janë shumë të rëndësishme sepse ndihmojnë në monitorimin e situatës së kimikateve në vend, rritin transparencën dhe forcojnë bashkëpunimin ndërkombëtar për mbrojtjen e shëndetit të njerëzve dhe të mjedisit. Përmes raportimit dhe sh</w:t>
      </w:r>
      <w:r w:rsidRPr="000B46DB">
        <w:rPr>
          <w:rFonts w:ascii="Times New Roman" w:hAnsi="Times New Roman" w:cs="Times New Roman"/>
          <w:sz w:val="24"/>
          <w:szCs w:val="24"/>
        </w:rPr>
        <w:t>këmbimit të informacionit, vendi kontribuon në përpjekjet globale për një menaxhim më të sigurt dhe më të përgjegjshëm të substancave kimike.</w:t>
      </w:r>
    </w:p>
    <w:p w:rsidR="00CF2D6A" w:rsidRPr="009D07D7" w:rsidRDefault="00CF2D6A" w:rsidP="00CF2D6A">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11.6 </w:t>
      </w:r>
      <w:r w:rsidRPr="009D07D7">
        <w:rPr>
          <w:rFonts w:ascii="Times New Roman" w:eastAsia="Times New Roman" w:hAnsi="Times New Roman" w:cs="Times New Roman"/>
          <w:b/>
          <w:bCs/>
          <w:sz w:val="24"/>
          <w:szCs w:val="24"/>
        </w:rPr>
        <w:t>Përfundime</w:t>
      </w:r>
    </w:p>
    <w:p w:rsidR="00CF2D6A" w:rsidRDefault="00CF2D6A" w:rsidP="00CF2D6A">
      <w:pPr>
        <w:spacing w:before="100" w:beforeAutospacing="1" w:after="100" w:afterAutospacing="1" w:line="240" w:lineRule="auto"/>
        <w:jc w:val="both"/>
        <w:rPr>
          <w:rFonts w:ascii="Times New Roman" w:eastAsia="Times New Roman" w:hAnsi="Times New Roman" w:cs="Times New Roman"/>
          <w:sz w:val="24"/>
          <w:szCs w:val="24"/>
        </w:rPr>
      </w:pPr>
      <w:r w:rsidRPr="009D07D7">
        <w:rPr>
          <w:rFonts w:ascii="Times New Roman" w:eastAsia="Times New Roman" w:hAnsi="Times New Roman" w:cs="Times New Roman"/>
          <w:sz w:val="24"/>
          <w:szCs w:val="24"/>
        </w:rPr>
        <w:t xml:space="preserve">Sektori i </w:t>
      </w:r>
      <w:r w:rsidRPr="000B46DB">
        <w:rPr>
          <w:rFonts w:ascii="Times New Roman" w:eastAsia="Times New Roman" w:hAnsi="Times New Roman" w:cs="Times New Roman"/>
          <w:sz w:val="24"/>
          <w:szCs w:val="24"/>
        </w:rPr>
        <w:t>Menaxhimit të K</w:t>
      </w:r>
      <w:r w:rsidRPr="009D07D7">
        <w:rPr>
          <w:rFonts w:ascii="Times New Roman" w:eastAsia="Times New Roman" w:hAnsi="Times New Roman" w:cs="Times New Roman"/>
          <w:sz w:val="24"/>
          <w:szCs w:val="24"/>
        </w:rPr>
        <w:t>imikateve përbën një strukturë shumë të rëndësishme për mbrojtjen e shëndetit të njerëzve dhe të mjedisit, duke luajtur rol kyç në menaxhimin dhe k</w:t>
      </w:r>
      <w:r>
        <w:rPr>
          <w:rFonts w:ascii="Times New Roman" w:eastAsia="Times New Roman" w:hAnsi="Times New Roman" w:cs="Times New Roman"/>
          <w:sz w:val="24"/>
          <w:szCs w:val="24"/>
        </w:rPr>
        <w:t>ontrollin e substancave kimike.</w:t>
      </w:r>
    </w:p>
    <w:p w:rsidR="00CF2D6A" w:rsidRPr="009D07D7" w:rsidRDefault="00CF2D6A" w:rsidP="00CF2D6A">
      <w:pPr>
        <w:spacing w:before="100" w:beforeAutospacing="1" w:after="100" w:afterAutospacing="1" w:line="240" w:lineRule="auto"/>
        <w:jc w:val="both"/>
        <w:rPr>
          <w:rFonts w:ascii="Times New Roman" w:eastAsia="Times New Roman" w:hAnsi="Times New Roman" w:cs="Times New Roman"/>
          <w:sz w:val="24"/>
          <w:szCs w:val="24"/>
        </w:rPr>
      </w:pPr>
      <w:r w:rsidRPr="009D07D7">
        <w:rPr>
          <w:rFonts w:ascii="Times New Roman" w:eastAsia="Times New Roman" w:hAnsi="Times New Roman" w:cs="Times New Roman"/>
          <w:sz w:val="24"/>
          <w:szCs w:val="24"/>
        </w:rPr>
        <w:t>Përmes bashkëpunimeve ndërkombëtare, projekteve edukative dhe pjesëmarrjes në aktivitete të ndryshme, është arritur rritja e njohurive dhe ndërgjegjësimit mbi rëndësinë e sigurisë kimike. Megjithatë, përmbushja e standardeve europiane dhe përmirësimi i sistemit kërkojnë mbështetje të vazhdueshme, investime dhe angazhim më të madh institucional për të garantuar një mjedis më të sigurt dhe një të ardhme më të qëndrueshme.</w:t>
      </w:r>
    </w:p>
    <w:p w:rsidR="00D72AC3" w:rsidRPr="009D07D7" w:rsidRDefault="00CF2D6A" w:rsidP="00D72AC3">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11.7 </w:t>
      </w:r>
      <w:r w:rsidR="00D72AC3" w:rsidRPr="009D07D7">
        <w:rPr>
          <w:rFonts w:ascii="Times New Roman" w:eastAsia="Times New Roman" w:hAnsi="Times New Roman" w:cs="Times New Roman"/>
          <w:b/>
          <w:bCs/>
          <w:sz w:val="24"/>
          <w:szCs w:val="24"/>
        </w:rPr>
        <w:t>Rekomandime</w:t>
      </w:r>
    </w:p>
    <w:p w:rsidR="00D72AC3" w:rsidRPr="000B46DB" w:rsidRDefault="00D72AC3" w:rsidP="00D72AC3">
      <w:pPr>
        <w:jc w:val="both"/>
        <w:rPr>
          <w:rFonts w:ascii="Times New Roman" w:hAnsi="Times New Roman" w:cs="Times New Roman"/>
          <w:sz w:val="24"/>
          <w:szCs w:val="24"/>
        </w:rPr>
      </w:pPr>
      <w:r w:rsidRPr="000B46DB">
        <w:rPr>
          <w:rFonts w:ascii="Times New Roman" w:hAnsi="Times New Roman" w:cs="Times New Roman"/>
          <w:sz w:val="24"/>
          <w:szCs w:val="24"/>
        </w:rPr>
        <w:t>Rekomandohet forcimi i mëtejshëm i Sektorit të Menaxhimit të Kimikateve përmes rritjes së kapaciteteve njerëzore dhe teknike, si dhe përmirësimit të infrastrukturës institucionale. Është e rëndësishme të vazhdojë digjitalizimi i sistemeve të raportimit dhe menaxhimit të të dhënave për të rritur efikasitetin dhe transparencën.</w:t>
      </w:r>
    </w:p>
    <w:p w:rsidR="00D72AC3" w:rsidRPr="000B46DB" w:rsidRDefault="00D72AC3" w:rsidP="00D72AC3">
      <w:pPr>
        <w:jc w:val="both"/>
        <w:rPr>
          <w:rFonts w:ascii="Times New Roman" w:hAnsi="Times New Roman" w:cs="Times New Roman"/>
          <w:sz w:val="24"/>
          <w:szCs w:val="24"/>
        </w:rPr>
      </w:pPr>
      <w:r w:rsidRPr="000B46DB">
        <w:rPr>
          <w:rFonts w:ascii="Times New Roman" w:hAnsi="Times New Roman" w:cs="Times New Roman"/>
          <w:sz w:val="24"/>
          <w:szCs w:val="24"/>
        </w:rPr>
        <w:t>Gjithashtu,</w:t>
      </w:r>
      <w:r>
        <w:rPr>
          <w:rFonts w:ascii="Times New Roman" w:hAnsi="Times New Roman" w:cs="Times New Roman"/>
          <w:sz w:val="24"/>
          <w:szCs w:val="24"/>
        </w:rPr>
        <w:t xml:space="preserve"> </w:t>
      </w:r>
      <w:r w:rsidRPr="000B46DB">
        <w:rPr>
          <w:rFonts w:ascii="Times New Roman" w:hAnsi="Times New Roman" w:cs="Times New Roman"/>
          <w:sz w:val="24"/>
          <w:szCs w:val="24"/>
        </w:rPr>
        <w:t>nevojitet më shumë bashkëpunim ndërinstitucional dhe ndërkombëtar, organizimi i trajnimeve dhe aktiviteteve ndërgjegjësuese, si dhe mbështetje më e madhe për projektet që lidhen me sigurinë kimike dhe mbrojtjen e mjedisit.</w:t>
      </w:r>
    </w:p>
    <w:p w:rsidR="00D72AC3" w:rsidRPr="000B46DB" w:rsidRDefault="00D72AC3" w:rsidP="00D72AC3">
      <w:pPr>
        <w:pStyle w:val="NormalWeb"/>
        <w:shd w:val="clear" w:color="auto" w:fill="FFFFFF"/>
        <w:spacing w:before="0" w:beforeAutospacing="0" w:after="0" w:afterAutospacing="0"/>
        <w:jc w:val="both"/>
        <w:rPr>
          <w:color w:val="000000"/>
        </w:rPr>
      </w:pPr>
    </w:p>
    <w:p w:rsidR="00D72AC3" w:rsidRPr="000B46DB" w:rsidRDefault="00D72AC3" w:rsidP="00D72AC3">
      <w:pPr>
        <w:pStyle w:val="NormalWeb"/>
        <w:shd w:val="clear" w:color="auto" w:fill="FFFFFF"/>
        <w:spacing w:before="0" w:beforeAutospacing="0" w:after="0" w:afterAutospacing="0"/>
        <w:jc w:val="both"/>
        <w:rPr>
          <w:color w:val="000000"/>
        </w:rPr>
      </w:pPr>
    </w:p>
    <w:p w:rsidR="00D72AC3" w:rsidRDefault="00D72AC3" w:rsidP="00D72AC3">
      <w:pPr>
        <w:pStyle w:val="NormalWeb"/>
        <w:shd w:val="clear" w:color="auto" w:fill="FFFFFF"/>
        <w:spacing w:before="0" w:beforeAutospacing="0" w:after="0" w:afterAutospacing="0"/>
        <w:jc w:val="both"/>
        <w:rPr>
          <w:color w:val="000000"/>
        </w:rPr>
      </w:pPr>
    </w:p>
    <w:p w:rsidR="000234DE" w:rsidRDefault="000234DE" w:rsidP="00D72AC3">
      <w:pPr>
        <w:pStyle w:val="NormalWeb"/>
        <w:shd w:val="clear" w:color="auto" w:fill="FFFFFF"/>
        <w:spacing w:before="0" w:beforeAutospacing="0" w:after="0" w:afterAutospacing="0"/>
        <w:jc w:val="both"/>
        <w:rPr>
          <w:color w:val="000000"/>
        </w:rPr>
      </w:pPr>
    </w:p>
    <w:p w:rsidR="000234DE" w:rsidRDefault="000234DE" w:rsidP="00D72AC3">
      <w:pPr>
        <w:pStyle w:val="NormalWeb"/>
        <w:shd w:val="clear" w:color="auto" w:fill="FFFFFF"/>
        <w:spacing w:before="0" w:beforeAutospacing="0" w:after="0" w:afterAutospacing="0"/>
        <w:jc w:val="both"/>
        <w:rPr>
          <w:color w:val="000000"/>
        </w:rPr>
      </w:pPr>
    </w:p>
    <w:p w:rsidR="000234DE" w:rsidRPr="000B46DB" w:rsidRDefault="000234DE" w:rsidP="00D72AC3">
      <w:pPr>
        <w:pStyle w:val="NormalWeb"/>
        <w:shd w:val="clear" w:color="auto" w:fill="FFFFFF"/>
        <w:spacing w:before="0" w:beforeAutospacing="0" w:after="0" w:afterAutospacing="0"/>
        <w:jc w:val="both"/>
        <w:rPr>
          <w:color w:val="000000"/>
        </w:rPr>
      </w:pPr>
    </w:p>
    <w:p w:rsidR="00D62190" w:rsidRDefault="00D62190" w:rsidP="00E0358A">
      <w:pPr>
        <w:rPr>
          <w:sz w:val="24"/>
          <w:szCs w:val="24"/>
        </w:rPr>
      </w:pPr>
    </w:p>
    <w:p w:rsidR="0068211D" w:rsidRDefault="0068211D" w:rsidP="0068211D">
      <w:pPr>
        <w:spacing w:after="200" w:line="276" w:lineRule="auto"/>
        <w:jc w:val="center"/>
        <w:rPr>
          <w:rFonts w:ascii="Times New Roman" w:eastAsia="Calibri" w:hAnsi="Times New Roman" w:cs="Times New Roman"/>
          <w:b/>
        </w:rPr>
      </w:pPr>
      <w:r w:rsidRPr="0068211D">
        <w:rPr>
          <w:rFonts w:ascii="Times New Roman" w:eastAsia="Calibri" w:hAnsi="Times New Roman" w:cs="Times New Roman"/>
          <w:b/>
        </w:rPr>
        <w:lastRenderedPageBreak/>
        <w:t>PËRMBLEDHJE</w:t>
      </w:r>
    </w:p>
    <w:p w:rsidR="0068211D" w:rsidRPr="0068211D" w:rsidRDefault="0068211D" w:rsidP="0068211D">
      <w:pPr>
        <w:spacing w:after="200" w:line="276" w:lineRule="auto"/>
        <w:jc w:val="center"/>
        <w:rPr>
          <w:rFonts w:ascii="Times New Roman" w:eastAsia="Calibri" w:hAnsi="Times New Roman" w:cs="Times New Roman"/>
        </w:rPr>
      </w:pPr>
    </w:p>
    <w:p w:rsidR="0068211D" w:rsidRPr="0068211D" w:rsidRDefault="0068211D" w:rsidP="00807975">
      <w:pPr>
        <w:pStyle w:val="ListParagraph"/>
        <w:numPr>
          <w:ilvl w:val="0"/>
          <w:numId w:val="148"/>
        </w:numPr>
        <w:spacing w:after="200" w:line="276" w:lineRule="auto"/>
        <w:rPr>
          <w:rFonts w:ascii="Times New Roman" w:eastAsia="Calibri" w:hAnsi="Times New Roman" w:cs="Times New Roman"/>
          <w:b/>
          <w:sz w:val="24"/>
          <w:szCs w:val="24"/>
        </w:rPr>
      </w:pPr>
      <w:r w:rsidRPr="0068211D">
        <w:rPr>
          <w:rFonts w:ascii="Times New Roman" w:eastAsia="Calibri" w:hAnsi="Times New Roman" w:cs="Times New Roman"/>
          <w:b/>
          <w:sz w:val="24"/>
          <w:szCs w:val="24"/>
        </w:rPr>
        <w:t>Ajri Urban</w:t>
      </w:r>
    </w:p>
    <w:p w:rsidR="0068211D" w:rsidRPr="0068211D" w:rsidRDefault="0068211D" w:rsidP="0068211D">
      <w:pPr>
        <w:jc w:val="both"/>
        <w:rPr>
          <w:rFonts w:ascii="Times New Roman" w:eastAsia="Calibri" w:hAnsi="Times New Roman" w:cs="Times New Roman"/>
          <w:sz w:val="24"/>
          <w:szCs w:val="24"/>
        </w:rPr>
      </w:pPr>
      <w:r w:rsidRPr="0068211D">
        <w:rPr>
          <w:rFonts w:ascii="Times New Roman" w:eastAsia="Calibri" w:hAnsi="Times New Roman" w:cs="Times New Roman"/>
          <w:sz w:val="24"/>
          <w:szCs w:val="24"/>
        </w:rPr>
        <w:t>Për vitin 2025 vlerësohet se cilësia e ajrit në qytetet e monitoruara nuk është e një niveli shumë të mirë. Ndotësit kryesorë të cilësisë së ajrit urban janë pluhurat me diameter 10 mikrometer  PM10 sidomos  në stacionin e Tirana Higjena dhe Elbasanit.  Burimi kryesor i ndotjes nga PM10 në stacionin e Tirana Higjena dhe Elbasanit është trafiku pasi dhe stacionet janë  instaluar në  rrugë me trafik të rënduar në qytetin e Tiranës dhe në stacionin e Elbasanit i cili është instaluar pranë Prefekturës rrugë më trafik. Nivelet më të larta të ozonit janë monitoruar në stacionin e Fierit . Në stacionin Tirana Higjena janë konstatuar gjithashtu tejkalime të përqendrimeve të NO</w:t>
      </w:r>
      <w:r w:rsidRPr="0068211D">
        <w:rPr>
          <w:rFonts w:ascii="Cambria Math" w:eastAsia="Calibri" w:hAnsi="Cambria Math" w:cs="Cambria Math"/>
          <w:sz w:val="24"/>
          <w:szCs w:val="24"/>
        </w:rPr>
        <w:t>₂</w:t>
      </w:r>
      <w:r w:rsidRPr="0068211D">
        <w:rPr>
          <w:rFonts w:ascii="Times New Roman" w:eastAsia="Calibri" w:hAnsi="Times New Roman" w:cs="Times New Roman"/>
          <w:sz w:val="24"/>
          <w:szCs w:val="24"/>
        </w:rPr>
        <w:t xml:space="preserve">, ose nivele shumë </w:t>
      </w:r>
      <w:r w:rsidR="003A09A7">
        <w:rPr>
          <w:rFonts w:ascii="Times New Roman" w:eastAsia="Calibri" w:hAnsi="Times New Roman" w:cs="Times New Roman"/>
          <w:sz w:val="24"/>
          <w:szCs w:val="24"/>
        </w:rPr>
        <w:t>pranë vlerës kufi të standardit</w:t>
      </w:r>
      <w:r w:rsidRPr="0068211D">
        <w:rPr>
          <w:rFonts w:ascii="Times New Roman" w:eastAsia="Calibri" w:hAnsi="Times New Roman" w:cs="Times New Roman"/>
          <w:sz w:val="24"/>
          <w:szCs w:val="24"/>
        </w:rPr>
        <w:t>.</w:t>
      </w:r>
      <w:r w:rsidR="003A09A7">
        <w:rPr>
          <w:rFonts w:ascii="Times New Roman" w:eastAsia="Calibri" w:hAnsi="Times New Roman" w:cs="Times New Roman"/>
          <w:sz w:val="24"/>
          <w:szCs w:val="24"/>
        </w:rPr>
        <w:t xml:space="preserve"> </w:t>
      </w:r>
      <w:r w:rsidRPr="0068211D">
        <w:rPr>
          <w:rFonts w:ascii="Times New Roman" w:eastAsia="Calibri" w:hAnsi="Times New Roman" w:cs="Times New Roman"/>
          <w:sz w:val="24"/>
          <w:szCs w:val="24"/>
        </w:rPr>
        <w:t>Nga të dhënat e monitorimit ndër vite të realizuara nga AKM</w:t>
      </w:r>
      <w:r w:rsidR="003A09A7">
        <w:rPr>
          <w:rFonts w:ascii="Times New Roman" w:eastAsia="Calibri" w:hAnsi="Times New Roman" w:cs="Times New Roman"/>
          <w:sz w:val="24"/>
          <w:szCs w:val="24"/>
        </w:rPr>
        <w:t>,</w:t>
      </w:r>
      <w:r w:rsidRPr="0068211D">
        <w:rPr>
          <w:rFonts w:ascii="Times New Roman" w:eastAsia="Calibri" w:hAnsi="Times New Roman" w:cs="Times New Roman"/>
          <w:sz w:val="24"/>
          <w:szCs w:val="24"/>
        </w:rPr>
        <w:t xml:space="preserve"> tregon se burimet kryesore të ndotjes së ajrit në  Shqipëri lidhen kryesisht me trafikun rrugor, aktivitetet e ndërtimit, si dhe përdorimin e lëndëve djegëse fosile për ngrohje.</w:t>
      </w:r>
    </w:p>
    <w:p w:rsidR="0068211D" w:rsidRPr="0068211D" w:rsidRDefault="0068211D" w:rsidP="0068211D">
      <w:pPr>
        <w:spacing w:after="0" w:line="240" w:lineRule="auto"/>
        <w:jc w:val="both"/>
        <w:rPr>
          <w:rFonts w:ascii="Times New Roman" w:eastAsia="Calibri" w:hAnsi="Times New Roman" w:cs="Times New Roman"/>
          <w:sz w:val="24"/>
          <w:szCs w:val="24"/>
          <w:lang w:val="sq-AL"/>
        </w:rPr>
      </w:pPr>
    </w:p>
    <w:p w:rsidR="0068211D" w:rsidRPr="0068211D" w:rsidRDefault="0068211D" w:rsidP="00807975">
      <w:pPr>
        <w:pStyle w:val="ListParagraph"/>
        <w:numPr>
          <w:ilvl w:val="0"/>
          <w:numId w:val="149"/>
        </w:numPr>
        <w:spacing w:after="0" w:line="240" w:lineRule="auto"/>
        <w:jc w:val="both"/>
        <w:rPr>
          <w:rFonts w:ascii="Times New Roman" w:eastAsia="Calibri" w:hAnsi="Times New Roman" w:cs="Times New Roman"/>
          <w:b/>
          <w:sz w:val="24"/>
          <w:szCs w:val="24"/>
          <w:lang w:val="sq-AL"/>
        </w:rPr>
      </w:pPr>
      <w:r w:rsidRPr="0068211D">
        <w:rPr>
          <w:rFonts w:ascii="Times New Roman" w:eastAsia="Calibri" w:hAnsi="Times New Roman" w:cs="Times New Roman"/>
          <w:b/>
          <w:sz w:val="24"/>
          <w:szCs w:val="24"/>
          <w:lang w:val="sq-AL"/>
        </w:rPr>
        <w:t>Zhurmat</w:t>
      </w:r>
    </w:p>
    <w:p w:rsidR="0068211D" w:rsidRPr="0068211D" w:rsidRDefault="0068211D" w:rsidP="0068211D">
      <w:pPr>
        <w:spacing w:after="0" w:line="240" w:lineRule="auto"/>
        <w:jc w:val="both"/>
        <w:rPr>
          <w:rFonts w:ascii="Times New Roman" w:eastAsia="Calibri" w:hAnsi="Times New Roman" w:cs="Times New Roman"/>
          <w:sz w:val="24"/>
          <w:szCs w:val="24"/>
          <w:lang w:val="sq-AL"/>
        </w:rPr>
      </w:pPr>
    </w:p>
    <w:p w:rsidR="0068211D" w:rsidRPr="0068211D" w:rsidRDefault="0068211D" w:rsidP="0068211D">
      <w:pPr>
        <w:spacing w:after="0" w:line="240" w:lineRule="auto"/>
        <w:jc w:val="both"/>
        <w:rPr>
          <w:rFonts w:ascii="Times New Roman" w:eastAsia="Calibri" w:hAnsi="Times New Roman" w:cs="Times New Roman"/>
          <w:sz w:val="24"/>
          <w:szCs w:val="24"/>
          <w:lang w:val="sq-AL"/>
        </w:rPr>
      </w:pPr>
      <w:r w:rsidRPr="0068211D">
        <w:rPr>
          <w:rFonts w:ascii="Times New Roman" w:eastAsia="Calibri" w:hAnsi="Times New Roman" w:cs="Times New Roman"/>
          <w:sz w:val="24"/>
          <w:szCs w:val="24"/>
          <w:lang w:val="sq-AL"/>
        </w:rPr>
        <w:t>Në të gjitha qytetet e monitoruara kemi tejkalimin të normës ditën (55dB).  Niveli më  i lartë i zhurmave për periudhën e ditës është vlerësuar në stacionet e Tiranës, Vlorës dhe Sarandës.  Niveli më i ulët vlerësohet në qytetet Lezhë dhe Përmet.</w:t>
      </w:r>
    </w:p>
    <w:p w:rsidR="0068211D" w:rsidRPr="0068211D" w:rsidRDefault="0068211D" w:rsidP="0068211D">
      <w:pPr>
        <w:spacing w:after="200" w:line="276" w:lineRule="auto"/>
        <w:jc w:val="both"/>
        <w:rPr>
          <w:rFonts w:ascii="Times New Roman" w:eastAsia="Calibri" w:hAnsi="Times New Roman" w:cs="Times New Roman"/>
          <w:sz w:val="24"/>
          <w:szCs w:val="24"/>
          <w:lang w:val="sq-AL"/>
        </w:rPr>
      </w:pPr>
      <w:r w:rsidRPr="0068211D">
        <w:rPr>
          <w:rFonts w:ascii="Times New Roman" w:eastAsia="Calibri" w:hAnsi="Times New Roman" w:cs="Times New Roman"/>
          <w:sz w:val="24"/>
          <w:szCs w:val="24"/>
          <w:lang w:val="sq-AL"/>
        </w:rPr>
        <w:t>Po ashtu kemi  tejkalim të normës natën (45 dB) pothuajse në të gjitha qytetet përveç Lezhës dhe Përmetit. Niveli më i lartë i zhurmave për periudhën e natës  është monitoruar në stacionet e Tiranës dhe Vlorës.</w:t>
      </w:r>
    </w:p>
    <w:p w:rsidR="0068211D" w:rsidRPr="0068211D" w:rsidRDefault="0068211D" w:rsidP="000234DE">
      <w:pPr>
        <w:pStyle w:val="ListParagraph"/>
        <w:numPr>
          <w:ilvl w:val="0"/>
          <w:numId w:val="150"/>
        </w:numPr>
        <w:spacing w:after="0" w:line="240" w:lineRule="auto"/>
        <w:jc w:val="both"/>
        <w:rPr>
          <w:rFonts w:ascii="Times New Roman" w:eastAsia="Calibri" w:hAnsi="Times New Roman" w:cs="Times New Roman"/>
          <w:b/>
          <w:sz w:val="24"/>
          <w:szCs w:val="24"/>
        </w:rPr>
      </w:pPr>
      <w:r w:rsidRPr="0068211D">
        <w:rPr>
          <w:rFonts w:ascii="Times New Roman" w:eastAsia="Calibri" w:hAnsi="Times New Roman" w:cs="Times New Roman"/>
          <w:b/>
          <w:sz w:val="24"/>
          <w:szCs w:val="24"/>
        </w:rPr>
        <w:t>Ujërat sipërfaqësore</w:t>
      </w:r>
    </w:p>
    <w:p w:rsidR="0068211D" w:rsidRPr="0068211D" w:rsidRDefault="0068211D" w:rsidP="000234DE">
      <w:pPr>
        <w:spacing w:after="0" w:line="240" w:lineRule="auto"/>
        <w:jc w:val="both"/>
        <w:rPr>
          <w:rFonts w:ascii="Times New Roman" w:eastAsia="Calibri" w:hAnsi="Times New Roman" w:cs="Times New Roman"/>
          <w:b/>
          <w:i/>
          <w:sz w:val="24"/>
          <w:szCs w:val="24"/>
          <w:lang w:val="sq-AL"/>
        </w:rPr>
      </w:pPr>
    </w:p>
    <w:p w:rsidR="0068211D" w:rsidRPr="0068211D" w:rsidRDefault="0068211D" w:rsidP="000234DE">
      <w:pPr>
        <w:spacing w:after="0" w:line="240" w:lineRule="auto"/>
        <w:jc w:val="both"/>
        <w:rPr>
          <w:rFonts w:ascii="Times New Roman" w:eastAsia="Calibri" w:hAnsi="Times New Roman" w:cs="Times New Roman"/>
          <w:sz w:val="24"/>
          <w:szCs w:val="24"/>
          <w:lang w:val="sq-AL"/>
        </w:rPr>
      </w:pPr>
      <w:r w:rsidRPr="0068211D">
        <w:rPr>
          <w:rFonts w:ascii="Times New Roman" w:eastAsia="Calibri" w:hAnsi="Times New Roman" w:cs="Times New Roman"/>
          <w:sz w:val="24"/>
          <w:szCs w:val="24"/>
          <w:lang w:val="sq-AL"/>
        </w:rPr>
        <w:t>Referuar monitorimit për parametrat fiziko-kimik vlerësohet se ujërat e Basenit të Drinit dhe të Shkumbinit klasifikohen në Klasën III – Gjendje e moderuar ndërsa ujërat e Basenit të Matit  dhe Vjosës klasifikohen në Klasën II – Gjendje e mirë. Ujërat e  Basenit  Ishëm – Erzen  dhe Seman vlerësohen në Klasën V – Gjendje e keqe.</w:t>
      </w:r>
    </w:p>
    <w:p w:rsidR="0068211D" w:rsidRPr="0068211D" w:rsidRDefault="0068211D" w:rsidP="0068211D">
      <w:pPr>
        <w:spacing w:after="0" w:line="276" w:lineRule="auto"/>
        <w:jc w:val="both"/>
        <w:rPr>
          <w:rFonts w:ascii="Times New Roman" w:eastAsia="Calibri" w:hAnsi="Times New Roman" w:cs="Times New Roman"/>
          <w:sz w:val="24"/>
          <w:szCs w:val="24"/>
          <w:lang w:val="sq-AL"/>
        </w:rPr>
      </w:pPr>
      <w:r w:rsidRPr="0068211D">
        <w:rPr>
          <w:rFonts w:ascii="Times New Roman" w:eastAsia="Calibri" w:hAnsi="Times New Roman" w:cs="Times New Roman"/>
          <w:sz w:val="24"/>
          <w:szCs w:val="24"/>
          <w:lang w:val="sq-AL"/>
        </w:rPr>
        <w:t>Lumenjtë më të ndotur në Shqipëri janë Lumi i Tiranës me stacionet e monitorimit më të ndotura Ura – Kthesa e Kamzës, Lanabregas dhe Yrshek – Ish Dogana, Lumi Ishëm me të tre stacionet e monitorimit Ura Rinas, Ura e Gjolës dhe Ura Salmer dhe në Lumin Erzen – Ura e Beshirit.</w:t>
      </w:r>
    </w:p>
    <w:p w:rsidR="0068211D" w:rsidRPr="0068211D" w:rsidRDefault="0068211D" w:rsidP="0068211D">
      <w:pPr>
        <w:spacing w:after="120" w:line="276" w:lineRule="auto"/>
        <w:jc w:val="both"/>
        <w:rPr>
          <w:rFonts w:ascii="Times New Roman" w:eastAsia="Calibri" w:hAnsi="Times New Roman" w:cs="Times New Roman"/>
          <w:sz w:val="24"/>
          <w:szCs w:val="24"/>
          <w:lang w:val="sq-AL"/>
        </w:rPr>
      </w:pPr>
      <w:r w:rsidRPr="0068211D">
        <w:rPr>
          <w:rFonts w:ascii="Times New Roman" w:eastAsia="Calibri" w:hAnsi="Times New Roman" w:cs="Times New Roman"/>
          <w:sz w:val="24"/>
          <w:szCs w:val="24"/>
          <w:lang w:val="sq-AL"/>
        </w:rPr>
        <w:t>Ndërsa në Basenin e Semanit, Lumi Gjanica i klasifikuar në Klasën V – Gjendje e keqe.</w:t>
      </w:r>
    </w:p>
    <w:p w:rsidR="0068211D" w:rsidRPr="0068211D" w:rsidRDefault="0068211D" w:rsidP="0068211D">
      <w:pPr>
        <w:spacing w:after="200" w:line="276" w:lineRule="auto"/>
        <w:jc w:val="both"/>
        <w:rPr>
          <w:rFonts w:ascii="Times New Roman" w:eastAsia="Calibri" w:hAnsi="Times New Roman" w:cs="Times New Roman"/>
          <w:sz w:val="24"/>
          <w:szCs w:val="24"/>
          <w:lang w:val="sq-AL"/>
        </w:rPr>
      </w:pPr>
      <w:r w:rsidRPr="0068211D">
        <w:rPr>
          <w:rFonts w:ascii="Times New Roman" w:eastAsia="Calibri" w:hAnsi="Times New Roman" w:cs="Times New Roman"/>
          <w:sz w:val="24"/>
          <w:szCs w:val="24"/>
          <w:lang w:val="sq-AL"/>
        </w:rPr>
        <w:t xml:space="preserve">Sipas rezultateve të </w:t>
      </w:r>
      <w:r w:rsidRPr="0068211D">
        <w:rPr>
          <w:rFonts w:ascii="Times New Roman" w:eastAsia="Calibri" w:hAnsi="Times New Roman" w:cs="Times New Roman"/>
          <w:b/>
          <w:sz w:val="24"/>
          <w:szCs w:val="24"/>
          <w:lang w:val="sq-AL"/>
        </w:rPr>
        <w:t>radioaktivitetit alfa dhe beta</w:t>
      </w:r>
      <w:r w:rsidRPr="0068211D">
        <w:rPr>
          <w:rFonts w:ascii="Times New Roman" w:eastAsia="Calibri" w:hAnsi="Times New Roman" w:cs="Times New Roman"/>
          <w:sz w:val="24"/>
          <w:szCs w:val="24"/>
          <w:lang w:val="sq-AL"/>
        </w:rPr>
        <w:t xml:space="preserve"> në lumenj, vlerësohet se janë nën vlerat e përcaktuara  në standartet kombëtare dhe nuk ka ndotje.</w:t>
      </w:r>
    </w:p>
    <w:p w:rsidR="0068211D" w:rsidRPr="0068211D" w:rsidRDefault="0068211D" w:rsidP="0068211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68211D">
        <w:rPr>
          <w:rFonts w:ascii="Times New Roman" w:eastAsia="Times New Roman" w:hAnsi="Times New Roman" w:cs="Times New Roman"/>
          <w:sz w:val="24"/>
          <w:szCs w:val="24"/>
          <w:lang w:val="sq-AL"/>
        </w:rPr>
        <w:t xml:space="preserve">Përsa i përket </w:t>
      </w:r>
      <w:r w:rsidRPr="0068211D">
        <w:rPr>
          <w:rFonts w:ascii="Times New Roman" w:eastAsia="Times New Roman" w:hAnsi="Times New Roman" w:cs="Times New Roman"/>
          <w:b/>
          <w:sz w:val="24"/>
          <w:szCs w:val="24"/>
          <w:lang w:val="sq-AL"/>
        </w:rPr>
        <w:t>prurjeve ujore,</w:t>
      </w:r>
      <w:r w:rsidRPr="0068211D">
        <w:rPr>
          <w:rFonts w:ascii="Times New Roman" w:eastAsia="Times New Roman" w:hAnsi="Times New Roman" w:cs="Times New Roman"/>
          <w:sz w:val="24"/>
          <w:szCs w:val="24"/>
          <w:lang w:val="sq-AL"/>
        </w:rPr>
        <w:t xml:space="preserve"> vlerësohet se rreziku i përmbytjeve mbetet gjithmonë evident në rrjedhjet e poshtme të lumenjve, por edhe në sektorë të tjerë të cilët kanë filluar të evidentohen në vitet e fundit. Kjo tregon shtrirjen në rritje të këtij fenomeni drejt pjesëve më të sipërme të pellgut. Nga shkaqet kryesore të këtij fenomeni janë ulja e pjerrësisë së shtratit në rrjedhën e poshtme, mbushja e tabanit të kanalit të rrjedhës dhe prurjet e shpejta me intensitet të lartë.</w:t>
      </w:r>
    </w:p>
    <w:p w:rsidR="0068211D" w:rsidRPr="0068211D" w:rsidRDefault="0068211D" w:rsidP="0068211D">
      <w:pPr>
        <w:spacing w:after="200" w:line="276" w:lineRule="auto"/>
        <w:jc w:val="both"/>
        <w:rPr>
          <w:rFonts w:ascii="Times New Roman" w:eastAsia="Calibri" w:hAnsi="Times New Roman" w:cs="Times New Roman"/>
          <w:sz w:val="24"/>
          <w:szCs w:val="24"/>
        </w:rPr>
      </w:pPr>
    </w:p>
    <w:p w:rsidR="0068211D" w:rsidRPr="0068211D" w:rsidRDefault="0068211D" w:rsidP="0068211D">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b/>
          <w:sz w:val="24"/>
          <w:szCs w:val="24"/>
          <w:lang w:val="sq-AL"/>
        </w:rPr>
      </w:pPr>
      <w:r w:rsidRPr="0068211D">
        <w:rPr>
          <w:rFonts w:ascii="Times New Roman" w:eastAsia="Calibri" w:hAnsi="Times New Roman" w:cs="Times New Roman"/>
          <w:sz w:val="24"/>
          <w:szCs w:val="24"/>
          <w:lang w:val="sq-AL"/>
        </w:rPr>
        <w:t xml:space="preserve">Në lidhje me </w:t>
      </w:r>
      <w:r w:rsidRPr="0068211D">
        <w:rPr>
          <w:rFonts w:ascii="Times New Roman" w:eastAsia="Calibri" w:hAnsi="Times New Roman" w:cs="Times New Roman"/>
          <w:b/>
          <w:sz w:val="24"/>
          <w:szCs w:val="24"/>
          <w:lang w:val="sq-AL"/>
        </w:rPr>
        <w:t>gjeologjinë e shtretërve të lumenjve</w:t>
      </w:r>
      <w:r w:rsidRPr="0068211D">
        <w:rPr>
          <w:rFonts w:ascii="Times New Roman" w:eastAsia="Calibri" w:hAnsi="Times New Roman" w:cs="Times New Roman"/>
          <w:sz w:val="24"/>
          <w:szCs w:val="24"/>
          <w:lang w:val="sq-AL"/>
        </w:rPr>
        <w:t xml:space="preserve">  Drin, Gjadër, Kir, Mat, Vjosë dhe Ishëm vlerësohet se,</w:t>
      </w:r>
      <w:r w:rsidRPr="0068211D">
        <w:rPr>
          <w:rFonts w:ascii="Times New Roman" w:eastAsia="Calibri" w:hAnsi="Times New Roman" w:cs="Times New Roman"/>
          <w:b/>
          <w:sz w:val="24"/>
          <w:szCs w:val="24"/>
          <w:lang w:val="sq-AL"/>
        </w:rPr>
        <w:t xml:space="preserve"> </w:t>
      </w:r>
      <w:r w:rsidRPr="0068211D">
        <w:rPr>
          <w:rFonts w:ascii="Times New Roman" w:eastAsia="Times New Roman" w:hAnsi="Times New Roman" w:cs="Times New Roman"/>
          <w:sz w:val="24"/>
          <w:szCs w:val="24"/>
          <w:lang w:val="sq-AL"/>
        </w:rPr>
        <w:t>lumenjtë janë të prekur nga presionet e</w:t>
      </w:r>
      <w:r w:rsidRPr="0068211D">
        <w:rPr>
          <w:rFonts w:ascii="Times New Roman" w:eastAsia="Times New Roman" w:hAnsi="Times New Roman" w:cs="Times New Roman"/>
          <w:spacing w:val="-1"/>
          <w:sz w:val="24"/>
          <w:szCs w:val="24"/>
          <w:lang w:val="sq-AL"/>
        </w:rPr>
        <w:t xml:space="preserve"> </w:t>
      </w:r>
      <w:r w:rsidRPr="0068211D">
        <w:rPr>
          <w:rFonts w:ascii="Times New Roman" w:eastAsia="Times New Roman" w:hAnsi="Times New Roman" w:cs="Times New Roman"/>
          <w:sz w:val="24"/>
          <w:szCs w:val="24"/>
          <w:lang w:val="sq-AL"/>
        </w:rPr>
        <w:t>jashme</w:t>
      </w:r>
      <w:r w:rsidRPr="0068211D">
        <w:rPr>
          <w:rFonts w:ascii="Times New Roman" w:eastAsia="Times New Roman" w:hAnsi="Times New Roman" w:cs="Times New Roman"/>
          <w:spacing w:val="-1"/>
          <w:sz w:val="24"/>
          <w:szCs w:val="24"/>
          <w:lang w:val="sq-AL"/>
        </w:rPr>
        <w:t xml:space="preserve"> </w:t>
      </w:r>
      <w:r w:rsidRPr="0068211D">
        <w:rPr>
          <w:rFonts w:ascii="Times New Roman" w:eastAsia="Times New Roman" w:hAnsi="Times New Roman" w:cs="Times New Roman"/>
          <w:sz w:val="24"/>
          <w:szCs w:val="24"/>
          <w:lang w:val="sq-AL"/>
        </w:rPr>
        <w:t>që</w:t>
      </w:r>
      <w:r w:rsidRPr="0068211D">
        <w:rPr>
          <w:rFonts w:ascii="Times New Roman" w:eastAsia="Times New Roman" w:hAnsi="Times New Roman" w:cs="Times New Roman"/>
          <w:spacing w:val="-1"/>
          <w:sz w:val="24"/>
          <w:szCs w:val="24"/>
          <w:lang w:val="sq-AL"/>
        </w:rPr>
        <w:t xml:space="preserve"> </w:t>
      </w:r>
      <w:r w:rsidRPr="0068211D">
        <w:rPr>
          <w:rFonts w:ascii="Times New Roman" w:eastAsia="Times New Roman" w:hAnsi="Times New Roman" w:cs="Times New Roman"/>
          <w:sz w:val="24"/>
          <w:szCs w:val="24"/>
          <w:lang w:val="sq-AL"/>
        </w:rPr>
        <w:t>vijnë</w:t>
      </w:r>
      <w:r w:rsidRPr="0068211D">
        <w:rPr>
          <w:rFonts w:ascii="Times New Roman" w:eastAsia="Times New Roman" w:hAnsi="Times New Roman" w:cs="Times New Roman"/>
          <w:spacing w:val="-1"/>
          <w:sz w:val="24"/>
          <w:szCs w:val="24"/>
          <w:lang w:val="sq-AL"/>
        </w:rPr>
        <w:t xml:space="preserve"> </w:t>
      </w:r>
      <w:r w:rsidRPr="0068211D">
        <w:rPr>
          <w:rFonts w:ascii="Times New Roman" w:eastAsia="Times New Roman" w:hAnsi="Times New Roman" w:cs="Times New Roman"/>
          <w:sz w:val="24"/>
          <w:szCs w:val="24"/>
          <w:lang w:val="sq-AL"/>
        </w:rPr>
        <w:t>nga</w:t>
      </w:r>
      <w:r w:rsidRPr="0068211D">
        <w:rPr>
          <w:rFonts w:ascii="Times New Roman" w:eastAsia="Times New Roman" w:hAnsi="Times New Roman" w:cs="Times New Roman"/>
          <w:spacing w:val="-1"/>
          <w:sz w:val="24"/>
          <w:szCs w:val="24"/>
          <w:lang w:val="sq-AL"/>
        </w:rPr>
        <w:t xml:space="preserve"> </w:t>
      </w:r>
      <w:r w:rsidRPr="0068211D">
        <w:rPr>
          <w:rFonts w:ascii="Times New Roman" w:eastAsia="Times New Roman" w:hAnsi="Times New Roman" w:cs="Times New Roman"/>
          <w:sz w:val="24"/>
          <w:szCs w:val="24"/>
          <w:lang w:val="sq-AL"/>
        </w:rPr>
        <w:t>aktiviteti i shoqërisë</w:t>
      </w:r>
      <w:r w:rsidRPr="0068211D">
        <w:rPr>
          <w:rFonts w:ascii="Times New Roman" w:eastAsia="Times New Roman" w:hAnsi="Times New Roman" w:cs="Times New Roman"/>
          <w:spacing w:val="-1"/>
          <w:sz w:val="24"/>
          <w:szCs w:val="24"/>
          <w:lang w:val="sq-AL"/>
        </w:rPr>
        <w:t xml:space="preserve"> </w:t>
      </w:r>
      <w:r w:rsidRPr="0068211D">
        <w:rPr>
          <w:rFonts w:ascii="Times New Roman" w:eastAsia="Times New Roman" w:hAnsi="Times New Roman" w:cs="Times New Roman"/>
          <w:sz w:val="24"/>
          <w:szCs w:val="24"/>
          <w:lang w:val="sq-AL"/>
        </w:rPr>
        <w:t>sonë dhe</w:t>
      </w:r>
      <w:r w:rsidRPr="0068211D">
        <w:rPr>
          <w:rFonts w:ascii="Times New Roman" w:eastAsia="Times New Roman" w:hAnsi="Times New Roman" w:cs="Times New Roman"/>
          <w:spacing w:val="-1"/>
          <w:sz w:val="24"/>
          <w:szCs w:val="24"/>
          <w:lang w:val="sq-AL"/>
        </w:rPr>
        <w:t xml:space="preserve"> </w:t>
      </w:r>
      <w:r w:rsidRPr="0068211D">
        <w:rPr>
          <w:rFonts w:ascii="Times New Roman" w:eastAsia="Times New Roman" w:hAnsi="Times New Roman" w:cs="Times New Roman"/>
          <w:sz w:val="24"/>
          <w:szCs w:val="24"/>
          <w:lang w:val="sq-AL"/>
        </w:rPr>
        <w:t>për rrjedhojë, nga përshpejtimi i proceseve natyrore të rrymës ujore. Presionet, në shumë raste, kanë tejkaluar aftësinë përballuese të sistemit lumor (shtrat + rrjedhë ujore), kjo e shfaqur më shumë në shtretërit e lumenjve Ishëm dhe Mat, relativisht dëmshëm në rrjedhën e poshtme të Drinit dhe më pak në atë të Vjosës. Shkalla e dëmtimit në këta shtretër është e ndryshme dhe shkaku më kryesor, është intensiteti i ndryshëm i shfrytëzimit të inerteve lumore. Kjo ka krijuar kushtë të favorshme për një vazhdimësi kryesisht të proçesit të erozionit (por edhe të sedimentimit) duke rrezikuar seriozisht edhe vepra të rëndësishme inxhinierike me interes kombëtar.</w:t>
      </w:r>
    </w:p>
    <w:p w:rsidR="0068211D" w:rsidRPr="0068211D" w:rsidRDefault="0068211D" w:rsidP="0068211D">
      <w:pPr>
        <w:spacing w:after="0" w:line="240" w:lineRule="auto"/>
        <w:jc w:val="both"/>
        <w:rPr>
          <w:rFonts w:ascii="Times New Roman" w:eastAsia="Calibri" w:hAnsi="Times New Roman" w:cs="Times New Roman"/>
          <w:b/>
          <w:i/>
          <w:sz w:val="24"/>
          <w:szCs w:val="24"/>
          <w:lang w:val="sq-AL"/>
        </w:rPr>
      </w:pPr>
    </w:p>
    <w:p w:rsidR="0068211D" w:rsidRPr="0068211D" w:rsidRDefault="0068211D" w:rsidP="0068211D">
      <w:pPr>
        <w:spacing w:after="0" w:line="240" w:lineRule="auto"/>
        <w:jc w:val="both"/>
        <w:rPr>
          <w:rFonts w:ascii="Times New Roman" w:eastAsia="Calibri" w:hAnsi="Times New Roman" w:cs="Times New Roman"/>
          <w:sz w:val="24"/>
          <w:szCs w:val="24"/>
          <w:lang w:val="sq-AL"/>
        </w:rPr>
      </w:pPr>
      <w:r w:rsidRPr="0068211D">
        <w:rPr>
          <w:rFonts w:ascii="Times New Roman" w:eastAsia="Calibri" w:hAnsi="Times New Roman" w:cs="Times New Roman"/>
          <w:sz w:val="24"/>
          <w:szCs w:val="24"/>
          <w:lang w:val="sq-AL"/>
        </w:rPr>
        <w:t xml:space="preserve">Ujërat e </w:t>
      </w:r>
      <w:r w:rsidRPr="0068211D">
        <w:rPr>
          <w:rFonts w:ascii="Times New Roman" w:eastAsia="Calibri" w:hAnsi="Times New Roman" w:cs="Times New Roman"/>
          <w:b/>
          <w:sz w:val="24"/>
          <w:szCs w:val="24"/>
          <w:lang w:val="sq-AL"/>
        </w:rPr>
        <w:t>liqenit</w:t>
      </w:r>
      <w:r w:rsidRPr="0068211D">
        <w:rPr>
          <w:rFonts w:ascii="Times New Roman" w:eastAsia="Calibri" w:hAnsi="Times New Roman" w:cs="Times New Roman"/>
          <w:sz w:val="24"/>
          <w:szCs w:val="24"/>
          <w:lang w:val="sq-AL"/>
        </w:rPr>
        <w:t xml:space="preserve"> të Shkodrës dhe të Ohrit  janë të cilësisë oligotrofike me tendencë mezotrofike.</w:t>
      </w:r>
    </w:p>
    <w:p w:rsidR="0068211D" w:rsidRPr="0068211D" w:rsidRDefault="0068211D" w:rsidP="0068211D">
      <w:pPr>
        <w:spacing w:after="200" w:line="276" w:lineRule="auto"/>
        <w:jc w:val="both"/>
        <w:rPr>
          <w:rFonts w:ascii="Times New Roman" w:eastAsia="Calibri" w:hAnsi="Times New Roman" w:cs="Times New Roman"/>
          <w:sz w:val="24"/>
          <w:szCs w:val="24"/>
        </w:rPr>
      </w:pPr>
      <w:r w:rsidRPr="0068211D">
        <w:rPr>
          <w:rFonts w:ascii="Times New Roman" w:eastAsia="Calibri" w:hAnsi="Times New Roman" w:cs="Times New Roman"/>
          <w:color w:val="212121"/>
          <w:sz w:val="24"/>
          <w:szCs w:val="24"/>
        </w:rPr>
        <w:t>Tributarët e liqenit të Ohrit;</w:t>
      </w:r>
      <w:r w:rsidRPr="0068211D">
        <w:rPr>
          <w:rFonts w:ascii="Times New Roman" w:eastAsia="Calibri" w:hAnsi="Times New Roman" w:cs="Times New Roman"/>
          <w:b/>
          <w:i/>
          <w:color w:val="212121"/>
          <w:sz w:val="24"/>
          <w:szCs w:val="24"/>
        </w:rPr>
        <w:t xml:space="preserve"> </w:t>
      </w:r>
      <w:r w:rsidRPr="0068211D">
        <w:rPr>
          <w:rFonts w:ascii="Times New Roman" w:eastAsia="Calibri" w:hAnsi="Times New Roman" w:cs="Times New Roman"/>
          <w:sz w:val="24"/>
          <w:szCs w:val="24"/>
        </w:rPr>
        <w:t xml:space="preserve">Lumi i Vërdovës klasifikohet në një lumë me cilësi të varfër, Klasa IV, ku vlerësohet përmbajtje e lëndëve organike pasi parametri Nevoja Biokimike për Oksigjen është mbi normë. </w:t>
      </w:r>
      <w:r w:rsidRPr="0068211D">
        <w:rPr>
          <w:rFonts w:ascii="Times New Roman" w:eastAsia="Calibri" w:hAnsi="Times New Roman" w:cs="Times New Roman"/>
          <w:sz w:val="24"/>
          <w:szCs w:val="24"/>
          <w:lang w:val="sq-AL"/>
        </w:rPr>
        <w:t>Lumi i Tushemishtit vler</w:t>
      </w:r>
      <w:r w:rsidRPr="0068211D">
        <w:rPr>
          <w:rFonts w:ascii="Times New Roman" w:eastAsia="Calibri" w:hAnsi="Times New Roman" w:cs="Times New Roman"/>
          <w:sz w:val="24"/>
          <w:szCs w:val="24"/>
        </w:rPr>
        <w:t>ë</w:t>
      </w:r>
      <w:r w:rsidRPr="0068211D">
        <w:rPr>
          <w:rFonts w:ascii="Times New Roman" w:eastAsia="Calibri" w:hAnsi="Times New Roman" w:cs="Times New Roman"/>
          <w:sz w:val="24"/>
          <w:szCs w:val="24"/>
          <w:lang w:val="sq-AL"/>
        </w:rPr>
        <w:t>sohet n</w:t>
      </w:r>
      <w:r w:rsidRPr="0068211D">
        <w:rPr>
          <w:rFonts w:ascii="Times New Roman" w:eastAsia="Calibri" w:hAnsi="Times New Roman" w:cs="Times New Roman"/>
          <w:sz w:val="24"/>
          <w:szCs w:val="24"/>
        </w:rPr>
        <w:t>ë</w:t>
      </w:r>
      <w:r w:rsidRPr="0068211D">
        <w:rPr>
          <w:rFonts w:ascii="Times New Roman" w:eastAsia="Calibri" w:hAnsi="Times New Roman" w:cs="Times New Roman"/>
          <w:sz w:val="24"/>
          <w:szCs w:val="24"/>
          <w:lang w:val="sq-AL"/>
        </w:rPr>
        <w:t xml:space="preserve"> uj</w:t>
      </w:r>
      <w:r w:rsidRPr="0068211D">
        <w:rPr>
          <w:rFonts w:ascii="Times New Roman" w:eastAsia="Calibri" w:hAnsi="Times New Roman" w:cs="Times New Roman"/>
          <w:sz w:val="24"/>
          <w:szCs w:val="24"/>
        </w:rPr>
        <w:t>ë</w:t>
      </w:r>
      <w:r w:rsidRPr="0068211D">
        <w:rPr>
          <w:rFonts w:ascii="Times New Roman" w:eastAsia="Calibri" w:hAnsi="Times New Roman" w:cs="Times New Roman"/>
          <w:sz w:val="24"/>
          <w:szCs w:val="24"/>
          <w:lang w:val="sq-AL"/>
        </w:rPr>
        <w:t>ra me cil</w:t>
      </w:r>
      <w:r w:rsidRPr="0068211D">
        <w:rPr>
          <w:rFonts w:ascii="Times New Roman" w:eastAsia="Calibri" w:hAnsi="Times New Roman" w:cs="Times New Roman"/>
          <w:sz w:val="24"/>
          <w:szCs w:val="24"/>
        </w:rPr>
        <w:t>ë</w:t>
      </w:r>
      <w:r w:rsidRPr="0068211D">
        <w:rPr>
          <w:rFonts w:ascii="Times New Roman" w:eastAsia="Calibri" w:hAnsi="Times New Roman" w:cs="Times New Roman"/>
          <w:sz w:val="24"/>
          <w:szCs w:val="24"/>
          <w:lang w:val="sq-AL"/>
        </w:rPr>
        <w:t>si t</w:t>
      </w:r>
      <w:r w:rsidRPr="0068211D">
        <w:rPr>
          <w:rFonts w:ascii="Times New Roman" w:eastAsia="Calibri" w:hAnsi="Times New Roman" w:cs="Times New Roman"/>
          <w:sz w:val="24"/>
          <w:szCs w:val="24"/>
        </w:rPr>
        <w:t>ë</w:t>
      </w:r>
      <w:r w:rsidRPr="0068211D">
        <w:rPr>
          <w:rFonts w:ascii="Times New Roman" w:eastAsia="Calibri" w:hAnsi="Times New Roman" w:cs="Times New Roman"/>
          <w:sz w:val="24"/>
          <w:szCs w:val="24"/>
          <w:lang w:val="sq-AL"/>
        </w:rPr>
        <w:t xml:space="preserve"> lart</w:t>
      </w:r>
      <w:r w:rsidRPr="0068211D">
        <w:rPr>
          <w:rFonts w:ascii="Times New Roman" w:eastAsia="Calibri" w:hAnsi="Times New Roman" w:cs="Times New Roman"/>
          <w:sz w:val="24"/>
          <w:szCs w:val="24"/>
        </w:rPr>
        <w:t>ë</w:t>
      </w:r>
      <w:r w:rsidRPr="0068211D">
        <w:rPr>
          <w:rFonts w:ascii="Times New Roman" w:eastAsia="Calibri" w:hAnsi="Times New Roman" w:cs="Times New Roman"/>
          <w:sz w:val="24"/>
          <w:szCs w:val="24"/>
          <w:lang w:val="sq-AL"/>
        </w:rPr>
        <w:t xml:space="preserve"> n</w:t>
      </w:r>
      <w:r w:rsidRPr="0068211D">
        <w:rPr>
          <w:rFonts w:ascii="Times New Roman" w:eastAsia="Calibri" w:hAnsi="Times New Roman" w:cs="Times New Roman"/>
          <w:sz w:val="24"/>
          <w:szCs w:val="24"/>
        </w:rPr>
        <w:t>ë</w:t>
      </w:r>
      <w:r w:rsidRPr="0068211D">
        <w:rPr>
          <w:rFonts w:ascii="Times New Roman" w:eastAsia="Calibri" w:hAnsi="Times New Roman" w:cs="Times New Roman"/>
          <w:sz w:val="24"/>
          <w:szCs w:val="24"/>
          <w:lang w:val="sq-AL"/>
        </w:rPr>
        <w:t xml:space="preserve"> Klas</w:t>
      </w:r>
      <w:r w:rsidRPr="0068211D">
        <w:rPr>
          <w:rFonts w:ascii="Times New Roman" w:eastAsia="Calibri" w:hAnsi="Times New Roman" w:cs="Times New Roman"/>
          <w:sz w:val="24"/>
          <w:szCs w:val="24"/>
        </w:rPr>
        <w:t>ë</w:t>
      </w:r>
      <w:r w:rsidRPr="0068211D">
        <w:rPr>
          <w:rFonts w:ascii="Times New Roman" w:eastAsia="Calibri" w:hAnsi="Times New Roman" w:cs="Times New Roman"/>
          <w:sz w:val="24"/>
          <w:szCs w:val="24"/>
          <w:lang w:val="sq-AL"/>
        </w:rPr>
        <w:t>n I, ndërsa lumi i Pogradecit klasifikohet në cilësi të mirë, Klasa II.</w:t>
      </w:r>
      <w:r w:rsidRPr="0068211D">
        <w:rPr>
          <w:rFonts w:ascii="Times New Roman" w:eastAsia="Calibri" w:hAnsi="Times New Roman" w:cs="Times New Roman"/>
          <w:sz w:val="24"/>
          <w:szCs w:val="24"/>
        </w:rPr>
        <w:t xml:space="preserve"> </w:t>
      </w:r>
      <w:r w:rsidRPr="0068211D">
        <w:rPr>
          <w:rFonts w:ascii="Times New Roman" w:eastAsia="Calibri" w:hAnsi="Times New Roman" w:cs="Times New Roman"/>
          <w:sz w:val="24"/>
          <w:szCs w:val="24"/>
          <w:lang w:val="sq-AL"/>
        </w:rPr>
        <w:t>Duke u nisur nga vlerësimi i të gjithë parametrave, vlerësojmë se ujërat e Liqenit të Prespës së Madhe janë të cilësisë mezotrofike, ndërsa ujërat e Prespës së Vogël të cilësisë eutrofike. Kemi përmirësim të cilësisë të ujërave të liqenit të Shkodrës gjatë vitit 2025 krahasuar me vitin 2024 duke kaluar nga cilësi mezotrofike në oligotrofike.</w:t>
      </w:r>
    </w:p>
    <w:p w:rsidR="0068211D" w:rsidRPr="0068211D" w:rsidRDefault="0068211D" w:rsidP="00807975">
      <w:pPr>
        <w:pStyle w:val="ListParagraph"/>
        <w:numPr>
          <w:ilvl w:val="0"/>
          <w:numId w:val="151"/>
        </w:numPr>
        <w:spacing w:after="200" w:line="276" w:lineRule="auto"/>
        <w:jc w:val="both"/>
        <w:rPr>
          <w:rFonts w:ascii="Times New Roman" w:eastAsia="Calibri" w:hAnsi="Times New Roman" w:cs="Times New Roman"/>
          <w:b/>
          <w:sz w:val="24"/>
          <w:szCs w:val="24"/>
          <w:lang w:val="sq-AL"/>
        </w:rPr>
      </w:pPr>
      <w:r w:rsidRPr="0068211D">
        <w:rPr>
          <w:rFonts w:ascii="Times New Roman" w:eastAsia="Calibri" w:hAnsi="Times New Roman" w:cs="Times New Roman"/>
          <w:b/>
          <w:sz w:val="24"/>
          <w:szCs w:val="24"/>
        </w:rPr>
        <w:t>Ujërat nëntokësor</w:t>
      </w:r>
    </w:p>
    <w:p w:rsidR="0068211D" w:rsidRPr="0068211D" w:rsidRDefault="0068211D" w:rsidP="0068211D">
      <w:pPr>
        <w:spacing w:after="200" w:line="276" w:lineRule="auto"/>
        <w:contextualSpacing/>
        <w:jc w:val="both"/>
        <w:rPr>
          <w:rFonts w:ascii="Times New Roman" w:hAnsi="Times New Roman" w:cs="Times New Roman"/>
          <w:sz w:val="24"/>
          <w:szCs w:val="24"/>
          <w:lang w:val="sq-AL"/>
        </w:rPr>
      </w:pPr>
      <w:r w:rsidRPr="0068211D">
        <w:rPr>
          <w:rFonts w:ascii="Times New Roman" w:eastAsia="Calibri" w:hAnsi="Times New Roman" w:cs="Times New Roman"/>
          <w:sz w:val="24"/>
          <w:szCs w:val="24"/>
          <w:lang w:val="sq-AL"/>
        </w:rPr>
        <w:t>Ujërat nëntokësore të baseve Drin, Mat, Vjosë, Seman, Ishëm Erzen në përgjithësi</w:t>
      </w:r>
      <w:r w:rsidRPr="0068211D">
        <w:rPr>
          <w:rFonts w:ascii="Times New Roman" w:hAnsi="Times New Roman" w:cs="Times New Roman"/>
          <w:sz w:val="24"/>
          <w:szCs w:val="24"/>
        </w:rPr>
        <w:t xml:space="preserve"> kanë veti të mira fiziko – kimike, janë pa erë, </w:t>
      </w:r>
      <w:r w:rsidRPr="0068211D">
        <w:rPr>
          <w:rFonts w:ascii="Times New Roman" w:eastAsia="Calibri" w:hAnsi="Times New Roman" w:cs="Times New Roman"/>
          <w:sz w:val="24"/>
          <w:szCs w:val="24"/>
          <w:lang w:val="sq-AL"/>
        </w:rPr>
        <w:t>të embla, neutrale</w:t>
      </w:r>
      <w:r w:rsidRPr="0068211D">
        <w:rPr>
          <w:rFonts w:ascii="Times New Roman" w:hAnsi="Times New Roman" w:cs="Times New Roman"/>
          <w:sz w:val="24"/>
          <w:szCs w:val="24"/>
        </w:rPr>
        <w:t xml:space="preserve"> pa ngjyrë, pa shije, transparente</w:t>
      </w:r>
      <w:r w:rsidRPr="0068211D">
        <w:rPr>
          <w:rFonts w:ascii="Times New Roman" w:eastAsia="Calibri" w:hAnsi="Times New Roman" w:cs="Times New Roman"/>
          <w:sz w:val="24"/>
          <w:szCs w:val="24"/>
          <w:lang w:val="sq-AL"/>
        </w:rPr>
        <w:t xml:space="preserve"> dhe brenda standartit të ujit të pijshëm.</w:t>
      </w:r>
      <w:r w:rsidRPr="0068211D">
        <w:rPr>
          <w:rFonts w:ascii="Times New Roman" w:hAnsi="Times New Roman" w:cs="Times New Roman"/>
          <w:sz w:val="24"/>
          <w:szCs w:val="24"/>
          <w:lang w:val="sq-AL"/>
        </w:rPr>
        <w:t xml:space="preserve"> Vihet re prania e NO</w:t>
      </w:r>
      <w:r w:rsidRPr="0068211D">
        <w:rPr>
          <w:rFonts w:ascii="Times New Roman" w:hAnsi="Times New Roman" w:cs="Times New Roman"/>
          <w:sz w:val="24"/>
          <w:szCs w:val="24"/>
          <w:vertAlign w:val="subscript"/>
          <w:lang w:val="sq-AL"/>
        </w:rPr>
        <w:t>2</w:t>
      </w:r>
      <w:r w:rsidRPr="0068211D">
        <w:rPr>
          <w:rFonts w:ascii="Times New Roman" w:hAnsi="Times New Roman" w:cs="Times New Roman"/>
          <w:sz w:val="24"/>
          <w:szCs w:val="24"/>
          <w:lang w:val="sq-AL"/>
        </w:rPr>
        <w:t xml:space="preserve"> dhe e NH</w:t>
      </w:r>
      <w:r w:rsidRPr="0068211D">
        <w:rPr>
          <w:rFonts w:ascii="Times New Roman" w:hAnsi="Times New Roman" w:cs="Times New Roman"/>
          <w:sz w:val="24"/>
          <w:szCs w:val="24"/>
          <w:vertAlign w:val="subscript"/>
          <w:lang w:val="sq-AL"/>
        </w:rPr>
        <w:t>4</w:t>
      </w:r>
      <w:r w:rsidRPr="0068211D">
        <w:rPr>
          <w:rFonts w:ascii="Times New Roman" w:hAnsi="Times New Roman" w:cs="Times New Roman"/>
          <w:sz w:val="24"/>
          <w:szCs w:val="24"/>
          <w:lang w:val="sq-AL"/>
        </w:rPr>
        <w:t xml:space="preserve"> në disa shpime monitorimi.</w:t>
      </w:r>
    </w:p>
    <w:p w:rsidR="0068211D" w:rsidRPr="0068211D" w:rsidRDefault="0068211D" w:rsidP="0068211D">
      <w:pPr>
        <w:spacing w:after="200" w:line="276" w:lineRule="auto"/>
        <w:jc w:val="both"/>
        <w:rPr>
          <w:rFonts w:ascii="Times New Roman" w:eastAsia="Calibri" w:hAnsi="Times New Roman" w:cs="Times New Roman"/>
          <w:sz w:val="24"/>
          <w:szCs w:val="24"/>
        </w:rPr>
      </w:pPr>
    </w:p>
    <w:p w:rsidR="0068211D" w:rsidRPr="0068211D" w:rsidRDefault="004550DE" w:rsidP="00807975">
      <w:pPr>
        <w:pStyle w:val="ListParagraph"/>
        <w:numPr>
          <w:ilvl w:val="0"/>
          <w:numId w:val="152"/>
        </w:numPr>
        <w:spacing w:after="20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Plazhet dhe zonat </w:t>
      </w:r>
      <w:r w:rsidR="0068211D" w:rsidRPr="0068211D">
        <w:rPr>
          <w:rFonts w:ascii="Times New Roman" w:eastAsia="Calibri" w:hAnsi="Times New Roman" w:cs="Times New Roman"/>
          <w:b/>
          <w:sz w:val="24"/>
          <w:szCs w:val="24"/>
        </w:rPr>
        <w:t>bregdetar</w:t>
      </w:r>
      <w:r>
        <w:rPr>
          <w:rFonts w:ascii="Times New Roman" w:eastAsia="Calibri" w:hAnsi="Times New Roman" w:cs="Times New Roman"/>
          <w:b/>
          <w:sz w:val="24"/>
          <w:szCs w:val="24"/>
        </w:rPr>
        <w:t>e</w:t>
      </w:r>
    </w:p>
    <w:p w:rsidR="0068211D" w:rsidRPr="0068211D" w:rsidRDefault="0068211D" w:rsidP="0068211D">
      <w:pPr>
        <w:spacing w:after="200" w:line="288" w:lineRule="auto"/>
        <w:rPr>
          <w:rFonts w:ascii="Times New Roman" w:eastAsia="Times New Roman" w:hAnsi="Times New Roman" w:cs="Times New Roman"/>
          <w:sz w:val="24"/>
          <w:szCs w:val="24"/>
        </w:rPr>
      </w:pPr>
      <w:r w:rsidRPr="0068211D">
        <w:rPr>
          <w:rFonts w:ascii="Times New Roman" w:eastAsia="Times New Roman" w:hAnsi="Times New Roman" w:cs="Times New Roman"/>
          <w:sz w:val="24"/>
          <w:szCs w:val="24"/>
        </w:rPr>
        <w:t xml:space="preserve">Referuar rezultateve mikrobiologjike për vitin 2025, plazhet kategorizohen: </w:t>
      </w:r>
    </w:p>
    <w:p w:rsidR="0068211D" w:rsidRPr="0068211D" w:rsidRDefault="0068211D" w:rsidP="0068211D">
      <w:pPr>
        <w:spacing w:after="200" w:line="276" w:lineRule="auto"/>
        <w:contextualSpacing/>
        <w:jc w:val="both"/>
        <w:rPr>
          <w:rFonts w:ascii="Times New Roman" w:eastAsia="Times New Roman" w:hAnsi="Times New Roman" w:cs="Times New Roman"/>
          <w:sz w:val="24"/>
          <w:szCs w:val="24"/>
        </w:rPr>
      </w:pPr>
      <w:r w:rsidRPr="0068211D">
        <w:rPr>
          <w:rFonts w:ascii="Times New Roman" w:eastAsia="Times New Roman" w:hAnsi="Times New Roman" w:cs="Times New Roman"/>
          <w:sz w:val="24"/>
          <w:szCs w:val="24"/>
        </w:rPr>
        <w:t xml:space="preserve">A- Cilësi e shkëlqyer, 44 pika monitorimi 35.9% e tyre, B -Cilësi e mire, 41 pika monitorimi 33.3 % e tyre, C -Cilësi e mjaftueshme, 16 pika monitorimi 13%  e tyre dhe D-Cilësi e keqe, 22 pika monitorimi 17.8 % e tyre.  </w:t>
      </w:r>
      <w:r w:rsidRPr="0068211D">
        <w:rPr>
          <w:rFonts w:ascii="Times New Roman" w:eastAsia="Times New Roman" w:hAnsi="Times New Roman" w:cs="Times New Roman"/>
          <w:sz w:val="24"/>
          <w:szCs w:val="24"/>
          <w:lang w:val="sq-AL"/>
        </w:rPr>
        <w:t>Vler</w:t>
      </w:r>
      <w:r w:rsidRPr="0068211D">
        <w:rPr>
          <w:rFonts w:ascii="Times New Roman" w:eastAsia="Calibri" w:hAnsi="Times New Roman" w:cs="Times New Roman"/>
          <w:sz w:val="24"/>
          <w:szCs w:val="24"/>
          <w:lang w:val="it-IT"/>
        </w:rPr>
        <w:t>ë</w:t>
      </w:r>
      <w:r w:rsidRPr="0068211D">
        <w:rPr>
          <w:rFonts w:ascii="Times New Roman" w:eastAsia="Times New Roman" w:hAnsi="Times New Roman" w:cs="Times New Roman"/>
          <w:sz w:val="24"/>
          <w:szCs w:val="24"/>
          <w:lang w:val="sq-AL"/>
        </w:rPr>
        <w:t>sohet gjat</w:t>
      </w:r>
      <w:r w:rsidRPr="0068211D">
        <w:rPr>
          <w:rFonts w:ascii="Times New Roman" w:eastAsia="Calibri" w:hAnsi="Times New Roman" w:cs="Times New Roman"/>
          <w:sz w:val="24"/>
          <w:szCs w:val="24"/>
          <w:lang w:val="it-IT"/>
        </w:rPr>
        <w:t>ë</w:t>
      </w:r>
      <w:r w:rsidRPr="0068211D">
        <w:rPr>
          <w:rFonts w:ascii="Times New Roman" w:eastAsia="Times New Roman" w:hAnsi="Times New Roman" w:cs="Times New Roman"/>
          <w:sz w:val="24"/>
          <w:szCs w:val="24"/>
          <w:lang w:val="sq-AL"/>
        </w:rPr>
        <w:t xml:space="preserve"> vitit 2025</w:t>
      </w:r>
      <w:r w:rsidRPr="0068211D">
        <w:rPr>
          <w:rFonts w:ascii="Times New Roman" w:eastAsia="Times New Roman" w:hAnsi="Times New Roman" w:cs="Times New Roman"/>
          <w:sz w:val="24"/>
          <w:szCs w:val="24"/>
          <w:u w:val="single"/>
          <w:lang w:val="sq-AL"/>
        </w:rPr>
        <w:t>,</w:t>
      </w:r>
      <w:r w:rsidRPr="0068211D">
        <w:rPr>
          <w:rFonts w:ascii="Times New Roman" w:eastAsia="Times New Roman" w:hAnsi="Times New Roman" w:cs="Times New Roman"/>
          <w:sz w:val="24"/>
          <w:szCs w:val="24"/>
          <w:lang w:val="sq-AL"/>
        </w:rPr>
        <w:t xml:space="preserve"> rritje e p</w:t>
      </w:r>
      <w:r w:rsidRPr="0068211D">
        <w:rPr>
          <w:rFonts w:ascii="Times New Roman" w:eastAsia="Calibri" w:hAnsi="Times New Roman" w:cs="Times New Roman"/>
          <w:sz w:val="24"/>
          <w:szCs w:val="24"/>
          <w:lang w:val="it-IT"/>
        </w:rPr>
        <w:t>ë</w:t>
      </w:r>
      <w:r w:rsidRPr="0068211D">
        <w:rPr>
          <w:rFonts w:ascii="Times New Roman" w:eastAsia="Times New Roman" w:hAnsi="Times New Roman" w:cs="Times New Roman"/>
          <w:sz w:val="24"/>
          <w:szCs w:val="24"/>
          <w:lang w:val="sq-AL"/>
        </w:rPr>
        <w:t>rqindjes s</w:t>
      </w:r>
      <w:r w:rsidRPr="0068211D">
        <w:rPr>
          <w:rFonts w:ascii="Times New Roman" w:eastAsia="Calibri" w:hAnsi="Times New Roman" w:cs="Times New Roman"/>
          <w:sz w:val="24"/>
          <w:szCs w:val="24"/>
          <w:lang w:val="it-IT"/>
        </w:rPr>
        <w:t>ë</w:t>
      </w:r>
      <w:r w:rsidRPr="0068211D">
        <w:rPr>
          <w:rFonts w:ascii="Times New Roman" w:eastAsia="Times New Roman" w:hAnsi="Times New Roman" w:cs="Times New Roman"/>
          <w:sz w:val="24"/>
          <w:szCs w:val="24"/>
          <w:lang w:val="sq-AL"/>
        </w:rPr>
        <w:t xml:space="preserve"> kategorizimit A- Cilësi e shkëlqyer nga 14.64% në 35.9%, dhe ulje e p</w:t>
      </w:r>
      <w:r w:rsidRPr="0068211D">
        <w:rPr>
          <w:rFonts w:ascii="Times New Roman" w:eastAsia="Calibri" w:hAnsi="Times New Roman" w:cs="Times New Roman"/>
          <w:sz w:val="24"/>
          <w:szCs w:val="24"/>
          <w:lang w:val="it-IT"/>
        </w:rPr>
        <w:t>ë</w:t>
      </w:r>
      <w:r w:rsidRPr="0068211D">
        <w:rPr>
          <w:rFonts w:ascii="Times New Roman" w:eastAsia="Times New Roman" w:hAnsi="Times New Roman" w:cs="Times New Roman"/>
          <w:sz w:val="24"/>
          <w:szCs w:val="24"/>
          <w:lang w:val="sq-AL"/>
        </w:rPr>
        <w:t>rqindjes s</w:t>
      </w:r>
      <w:r w:rsidRPr="0068211D">
        <w:rPr>
          <w:rFonts w:ascii="Times New Roman" w:eastAsia="Calibri" w:hAnsi="Times New Roman" w:cs="Times New Roman"/>
          <w:sz w:val="24"/>
          <w:szCs w:val="24"/>
          <w:lang w:val="it-IT"/>
        </w:rPr>
        <w:t>ë</w:t>
      </w:r>
      <w:r w:rsidRPr="0068211D">
        <w:rPr>
          <w:rFonts w:ascii="Times New Roman" w:eastAsia="Times New Roman" w:hAnsi="Times New Roman" w:cs="Times New Roman"/>
          <w:sz w:val="24"/>
          <w:szCs w:val="24"/>
          <w:lang w:val="sq-AL"/>
        </w:rPr>
        <w:t xml:space="preserve"> kategorizimit </w:t>
      </w:r>
      <w:r w:rsidRPr="0068211D">
        <w:rPr>
          <w:rFonts w:ascii="Times New Roman" w:eastAsia="Times New Roman" w:hAnsi="Times New Roman" w:cs="Times New Roman"/>
          <w:bCs/>
          <w:sz w:val="24"/>
          <w:szCs w:val="24"/>
        </w:rPr>
        <w:t>D-Cilësi e keqe/Masa të menjëherëshme</w:t>
      </w:r>
      <w:r w:rsidRPr="0068211D">
        <w:rPr>
          <w:rFonts w:ascii="Times New Roman" w:eastAsia="Times New Roman" w:hAnsi="Times New Roman" w:cs="Times New Roman"/>
          <w:sz w:val="24"/>
          <w:szCs w:val="24"/>
          <w:lang w:val="sq-AL"/>
        </w:rPr>
        <w:t xml:space="preserve"> nga 26.82% në </w:t>
      </w:r>
      <w:r w:rsidRPr="0068211D">
        <w:rPr>
          <w:rFonts w:ascii="Times New Roman" w:eastAsia="Times New Roman" w:hAnsi="Times New Roman" w:cs="Times New Roman"/>
          <w:sz w:val="24"/>
          <w:szCs w:val="24"/>
        </w:rPr>
        <w:t xml:space="preserve">17.8%, krahasuar me vitin 2024.  </w:t>
      </w:r>
    </w:p>
    <w:p w:rsidR="0068211D" w:rsidRPr="0068211D" w:rsidRDefault="0068211D" w:rsidP="0068211D">
      <w:pPr>
        <w:spacing w:after="200" w:line="276" w:lineRule="auto"/>
        <w:contextualSpacing/>
        <w:jc w:val="both"/>
        <w:rPr>
          <w:rFonts w:ascii="Times New Roman" w:eastAsia="Times New Roman" w:hAnsi="Times New Roman" w:cs="Times New Roman"/>
          <w:sz w:val="24"/>
          <w:szCs w:val="24"/>
        </w:rPr>
      </w:pPr>
      <w:r w:rsidRPr="0068211D">
        <w:rPr>
          <w:rFonts w:ascii="Times New Roman" w:eastAsia="Times New Roman" w:hAnsi="Times New Roman" w:cs="Times New Roman"/>
          <w:sz w:val="24"/>
          <w:szCs w:val="24"/>
          <w:lang w:val="sq-AL"/>
        </w:rPr>
        <w:t>Plazhet e Palas</w:t>
      </w:r>
      <w:r w:rsidRPr="0068211D">
        <w:rPr>
          <w:rFonts w:ascii="Times New Roman" w:eastAsia="Calibri" w:hAnsi="Times New Roman" w:cs="Times New Roman"/>
          <w:sz w:val="24"/>
          <w:szCs w:val="24"/>
          <w:lang w:val="it-IT"/>
        </w:rPr>
        <w:t>ë</w:t>
      </w:r>
      <w:r w:rsidRPr="0068211D">
        <w:rPr>
          <w:rFonts w:ascii="Times New Roman" w:eastAsia="Times New Roman" w:hAnsi="Times New Roman" w:cs="Times New Roman"/>
          <w:sz w:val="24"/>
          <w:szCs w:val="24"/>
          <w:lang w:val="sq-AL"/>
        </w:rPr>
        <w:t>s, Drimadh</w:t>
      </w:r>
      <w:r w:rsidRPr="0068211D">
        <w:rPr>
          <w:rFonts w:ascii="Times New Roman" w:eastAsia="Calibri" w:hAnsi="Times New Roman" w:cs="Times New Roman"/>
          <w:sz w:val="24"/>
          <w:szCs w:val="24"/>
          <w:lang w:val="it-IT"/>
        </w:rPr>
        <w:t>ë</w:t>
      </w:r>
      <w:r w:rsidRPr="0068211D">
        <w:rPr>
          <w:rFonts w:ascii="Times New Roman" w:eastAsia="Times New Roman" w:hAnsi="Times New Roman" w:cs="Times New Roman"/>
          <w:sz w:val="24"/>
          <w:szCs w:val="24"/>
          <w:lang w:val="sq-AL"/>
        </w:rPr>
        <w:t>s, Dh</w:t>
      </w:r>
      <w:r w:rsidRPr="0068211D">
        <w:rPr>
          <w:rFonts w:ascii="Times New Roman" w:eastAsia="Calibri" w:hAnsi="Times New Roman" w:cs="Times New Roman"/>
          <w:sz w:val="24"/>
          <w:szCs w:val="24"/>
          <w:lang w:val="it-IT"/>
        </w:rPr>
        <w:t>ë</w:t>
      </w:r>
      <w:r w:rsidRPr="0068211D">
        <w:rPr>
          <w:rFonts w:ascii="Times New Roman" w:eastAsia="Times New Roman" w:hAnsi="Times New Roman" w:cs="Times New Roman"/>
          <w:sz w:val="24"/>
          <w:szCs w:val="24"/>
          <w:lang w:val="sq-AL"/>
        </w:rPr>
        <w:t>rmiut, Jal</w:t>
      </w:r>
      <w:r w:rsidRPr="0068211D">
        <w:rPr>
          <w:rFonts w:ascii="Times New Roman" w:eastAsia="Calibri" w:hAnsi="Times New Roman" w:cs="Times New Roman"/>
          <w:sz w:val="24"/>
          <w:szCs w:val="24"/>
          <w:lang w:val="it-IT"/>
        </w:rPr>
        <w:t>ë</w:t>
      </w:r>
      <w:r w:rsidRPr="0068211D">
        <w:rPr>
          <w:rFonts w:ascii="Times New Roman" w:eastAsia="Times New Roman" w:hAnsi="Times New Roman" w:cs="Times New Roman"/>
          <w:sz w:val="24"/>
          <w:szCs w:val="24"/>
          <w:lang w:val="sq-AL"/>
        </w:rPr>
        <w:t>s, Livadhes, Himar</w:t>
      </w:r>
      <w:r w:rsidRPr="0068211D">
        <w:rPr>
          <w:rFonts w:ascii="Times New Roman" w:eastAsia="Calibri" w:hAnsi="Times New Roman" w:cs="Times New Roman"/>
          <w:sz w:val="24"/>
          <w:szCs w:val="24"/>
          <w:lang w:val="it-IT"/>
        </w:rPr>
        <w:t>ë</w:t>
      </w:r>
      <w:r w:rsidRPr="0068211D">
        <w:rPr>
          <w:rFonts w:ascii="Times New Roman" w:eastAsia="Times New Roman" w:hAnsi="Times New Roman" w:cs="Times New Roman"/>
          <w:sz w:val="24"/>
          <w:szCs w:val="24"/>
          <w:lang w:val="sq-AL"/>
        </w:rPr>
        <w:t>s, Qeparoit, Borshit, Lukov</w:t>
      </w:r>
      <w:r w:rsidRPr="0068211D">
        <w:rPr>
          <w:rFonts w:ascii="Times New Roman" w:eastAsia="Calibri" w:hAnsi="Times New Roman" w:cs="Times New Roman"/>
          <w:sz w:val="24"/>
          <w:szCs w:val="24"/>
          <w:lang w:val="it-IT"/>
        </w:rPr>
        <w:t>ë</w:t>
      </w:r>
      <w:r w:rsidRPr="0068211D">
        <w:rPr>
          <w:rFonts w:ascii="Times New Roman" w:eastAsia="Times New Roman" w:hAnsi="Times New Roman" w:cs="Times New Roman"/>
          <w:sz w:val="24"/>
          <w:szCs w:val="24"/>
          <w:lang w:val="sq-AL"/>
        </w:rPr>
        <w:t xml:space="preserve">s janë të cilësisë të shkëlqyer. </w:t>
      </w:r>
    </w:p>
    <w:p w:rsidR="0068211D" w:rsidRPr="0068211D" w:rsidRDefault="0068211D" w:rsidP="0068211D">
      <w:pPr>
        <w:spacing w:after="200" w:line="276" w:lineRule="auto"/>
        <w:contextualSpacing/>
        <w:jc w:val="both"/>
        <w:rPr>
          <w:rFonts w:ascii="Times New Roman" w:eastAsia="Calibri" w:hAnsi="Times New Roman" w:cs="Times New Roman"/>
          <w:sz w:val="24"/>
          <w:szCs w:val="24"/>
          <w:lang w:val="sq-AL"/>
        </w:rPr>
      </w:pPr>
      <w:r w:rsidRPr="0068211D">
        <w:rPr>
          <w:rFonts w:ascii="Times New Roman" w:eastAsia="Calibri" w:hAnsi="Times New Roman" w:cs="Times New Roman"/>
          <w:sz w:val="24"/>
          <w:szCs w:val="24"/>
        </w:rPr>
        <w:t>Referuar rezultateve  në stacionet e monitoruara në zonat bregdetare Dhërmi, Himarë, Borsh, Lukovë, Zvërnec dhe Ksamil vlerësojmë një cilësi të mirë të ujërave bregdetare për të gjithë parametrat fiziko – kimikë.</w:t>
      </w:r>
    </w:p>
    <w:p w:rsidR="0068211D" w:rsidRDefault="0068211D" w:rsidP="0068211D">
      <w:pPr>
        <w:spacing w:after="200" w:line="288" w:lineRule="auto"/>
        <w:rPr>
          <w:rFonts w:ascii="Times New Roman" w:eastAsia="Times New Roman" w:hAnsi="Times New Roman" w:cs="Times New Roman"/>
          <w:b/>
          <w:sz w:val="24"/>
          <w:szCs w:val="24"/>
        </w:rPr>
      </w:pPr>
    </w:p>
    <w:p w:rsidR="0068211D" w:rsidRPr="0068211D" w:rsidRDefault="0068211D" w:rsidP="0068211D">
      <w:pPr>
        <w:spacing w:after="200" w:line="288" w:lineRule="auto"/>
        <w:rPr>
          <w:rFonts w:ascii="Times New Roman" w:eastAsia="Times New Roman" w:hAnsi="Times New Roman" w:cs="Times New Roman"/>
          <w:b/>
          <w:sz w:val="24"/>
          <w:szCs w:val="24"/>
        </w:rPr>
      </w:pPr>
      <w:r w:rsidRPr="0068211D">
        <w:rPr>
          <w:rFonts w:ascii="Times New Roman" w:eastAsia="Calibri" w:hAnsi="Times New Roman" w:cs="Times New Roman"/>
          <w:sz w:val="24"/>
          <w:szCs w:val="24"/>
          <w:lang w:val="sq-AL"/>
        </w:rPr>
        <w:t xml:space="preserve">Në lidhje me </w:t>
      </w:r>
      <w:r w:rsidRPr="0068211D">
        <w:rPr>
          <w:rFonts w:ascii="Times New Roman" w:eastAsia="Times New Roman" w:hAnsi="Times New Roman" w:cs="Times New Roman"/>
          <w:b/>
          <w:sz w:val="24"/>
          <w:szCs w:val="24"/>
        </w:rPr>
        <w:t xml:space="preserve">ndikimin e shkarkimeve në zonat bregdetare, </w:t>
      </w:r>
      <w:r w:rsidRPr="0068211D">
        <w:rPr>
          <w:rFonts w:ascii="Times New Roman" w:eastAsia="Times New Roman" w:hAnsi="Times New Roman" w:cs="Times New Roman"/>
          <w:sz w:val="24"/>
          <w:szCs w:val="24"/>
        </w:rPr>
        <w:t>duke iu</w:t>
      </w:r>
      <w:r w:rsidRPr="0068211D">
        <w:rPr>
          <w:rFonts w:ascii="Times New Roman" w:eastAsia="Times New Roman" w:hAnsi="Times New Roman" w:cs="Times New Roman"/>
          <w:b/>
          <w:sz w:val="24"/>
          <w:szCs w:val="24"/>
        </w:rPr>
        <w:t xml:space="preserve"> </w:t>
      </w:r>
      <w:r w:rsidRPr="0068211D">
        <w:rPr>
          <w:rFonts w:ascii="Times New Roman" w:eastAsia="Calibri" w:hAnsi="Times New Roman" w:cs="Times New Roman"/>
          <w:sz w:val="24"/>
          <w:szCs w:val="24"/>
          <w:lang w:val="sq-AL"/>
        </w:rPr>
        <w:t>referuar përmbajtjes së  Nevojës Biokimike për Oksigjen  kemi tejkalim të  normës së lejuar në stacionet Dr</w:t>
      </w:r>
      <w:r w:rsidRPr="0068211D">
        <w:rPr>
          <w:rFonts w:ascii="Times New Roman" w:eastAsia="Calibri" w:hAnsi="Times New Roman" w:cs="Times New Roman"/>
          <w:sz w:val="24"/>
          <w:szCs w:val="24"/>
          <w:vertAlign w:val="subscript"/>
          <w:lang w:val="sq-AL"/>
        </w:rPr>
        <w:t>1</w:t>
      </w:r>
      <w:r w:rsidRPr="0068211D">
        <w:rPr>
          <w:rFonts w:ascii="Times New Roman" w:eastAsia="Calibri" w:hAnsi="Times New Roman" w:cs="Times New Roman"/>
          <w:sz w:val="24"/>
          <w:szCs w:val="24"/>
          <w:lang w:val="sq-AL"/>
        </w:rPr>
        <w:t xml:space="preserve"> – Porto Romano (Hidrovori) dhe V</w:t>
      </w:r>
      <w:r w:rsidRPr="0068211D">
        <w:rPr>
          <w:rFonts w:ascii="Times New Roman" w:eastAsia="Calibri" w:hAnsi="Times New Roman" w:cs="Times New Roman"/>
          <w:sz w:val="24"/>
          <w:szCs w:val="24"/>
          <w:vertAlign w:val="subscript"/>
          <w:lang w:val="sq-AL"/>
        </w:rPr>
        <w:t>1</w:t>
      </w:r>
      <w:r w:rsidRPr="0068211D">
        <w:rPr>
          <w:rFonts w:ascii="Times New Roman" w:eastAsia="Calibri" w:hAnsi="Times New Roman" w:cs="Times New Roman"/>
          <w:sz w:val="24"/>
          <w:szCs w:val="24"/>
          <w:lang w:val="sq-AL"/>
        </w:rPr>
        <w:t xml:space="preserve"> – Në det pas hidrovorit tek Pylli i Sodës.</w:t>
      </w:r>
    </w:p>
    <w:p w:rsidR="0068211D" w:rsidRPr="0068211D" w:rsidRDefault="0068211D" w:rsidP="0068211D">
      <w:pPr>
        <w:spacing w:after="120" w:line="240" w:lineRule="auto"/>
        <w:jc w:val="both"/>
        <w:rPr>
          <w:rFonts w:ascii="Times New Roman" w:eastAsia="Calibri" w:hAnsi="Times New Roman" w:cs="Times New Roman"/>
          <w:sz w:val="24"/>
          <w:szCs w:val="24"/>
          <w:lang w:val="sq-AL"/>
        </w:rPr>
      </w:pPr>
      <w:r w:rsidRPr="0068211D">
        <w:rPr>
          <w:rFonts w:ascii="Times New Roman" w:eastAsia="Calibri" w:hAnsi="Times New Roman" w:cs="Times New Roman"/>
          <w:sz w:val="24"/>
          <w:szCs w:val="24"/>
          <w:lang w:val="sq-AL"/>
        </w:rPr>
        <w:t xml:space="preserve">Për parametrin lëndë pezull kemi tejkalim të normës në stacionet e Durrësit, Vlorës dhe Sarandës ndërsa në stacionet e Shëngjinit dhe Velipojës është brenda normës. Në lidhje me përmbajtjen e fosforit total vlerësohet se kemi tejkalim të normës vetëm në </w:t>
      </w:r>
      <w:r w:rsidRPr="0068211D">
        <w:rPr>
          <w:rFonts w:ascii="Times New Roman" w:eastAsia="Calibri" w:hAnsi="Times New Roman" w:cs="Times New Roman"/>
          <w:kern w:val="28"/>
          <w:sz w:val="24"/>
          <w:szCs w:val="24"/>
          <w:lang w:val="sq-AL"/>
        </w:rPr>
        <w:t>stacionin Dr</w:t>
      </w:r>
      <w:r w:rsidRPr="0068211D">
        <w:rPr>
          <w:rFonts w:ascii="Times New Roman" w:eastAsia="Calibri" w:hAnsi="Times New Roman" w:cs="Times New Roman"/>
          <w:kern w:val="28"/>
          <w:sz w:val="24"/>
          <w:szCs w:val="24"/>
          <w:vertAlign w:val="subscript"/>
          <w:lang w:val="sq-AL"/>
        </w:rPr>
        <w:t>1</w:t>
      </w:r>
      <w:r w:rsidRPr="0068211D">
        <w:rPr>
          <w:rFonts w:ascii="Times New Roman" w:eastAsia="Calibri" w:hAnsi="Times New Roman" w:cs="Times New Roman"/>
          <w:kern w:val="28"/>
          <w:sz w:val="24"/>
          <w:szCs w:val="24"/>
          <w:lang w:val="sq-AL"/>
        </w:rPr>
        <w:t xml:space="preserve"> – Hidrovori Durrës.</w:t>
      </w:r>
    </w:p>
    <w:p w:rsidR="0068211D" w:rsidRPr="0068211D" w:rsidRDefault="0068211D" w:rsidP="0068211D">
      <w:pPr>
        <w:spacing w:after="200" w:line="288" w:lineRule="auto"/>
        <w:rPr>
          <w:rFonts w:ascii="Times New Roman" w:eastAsia="Times New Roman" w:hAnsi="Times New Roman" w:cs="Times New Roman"/>
          <w:sz w:val="24"/>
          <w:szCs w:val="24"/>
        </w:rPr>
      </w:pPr>
      <w:r w:rsidRPr="0068211D">
        <w:rPr>
          <w:rFonts w:ascii="Times New Roman" w:eastAsia="Calibri" w:hAnsi="Times New Roman" w:cs="Times New Roman"/>
          <w:sz w:val="24"/>
          <w:szCs w:val="24"/>
          <w:lang w:val="pt-BR"/>
        </w:rPr>
        <w:t xml:space="preserve">Përmbajtja e </w:t>
      </w:r>
      <w:r w:rsidRPr="0068211D">
        <w:rPr>
          <w:rFonts w:ascii="Times New Roman" w:eastAsia="Calibri" w:hAnsi="Times New Roman" w:cs="Times New Roman"/>
          <w:sz w:val="24"/>
          <w:szCs w:val="24"/>
        </w:rPr>
        <w:t>NKO  është nën vlerën e lejuar, për të gjitha stacionet e monitorimit</w:t>
      </w:r>
    </w:p>
    <w:p w:rsidR="0068211D" w:rsidRPr="0068211D" w:rsidRDefault="0068211D" w:rsidP="0068211D">
      <w:pPr>
        <w:spacing w:after="200" w:line="276" w:lineRule="auto"/>
        <w:jc w:val="both"/>
        <w:rPr>
          <w:rFonts w:ascii="Times New Roman" w:eastAsia="Times New Roman" w:hAnsi="Times New Roman" w:cs="Times New Roman"/>
          <w:sz w:val="24"/>
          <w:szCs w:val="24"/>
        </w:rPr>
      </w:pPr>
      <w:r w:rsidRPr="0068211D">
        <w:rPr>
          <w:rFonts w:ascii="Times New Roman" w:eastAsia="Times New Roman" w:hAnsi="Times New Roman" w:cs="Times New Roman"/>
          <w:sz w:val="24"/>
          <w:szCs w:val="24"/>
        </w:rPr>
        <w:t xml:space="preserve">Ujërat </w:t>
      </w:r>
      <w:r w:rsidRPr="0068211D">
        <w:rPr>
          <w:rFonts w:ascii="Times New Roman" w:eastAsia="Times New Roman" w:hAnsi="Times New Roman" w:cs="Times New Roman"/>
          <w:b/>
          <w:sz w:val="24"/>
          <w:szCs w:val="24"/>
        </w:rPr>
        <w:t>e lagunës</w:t>
      </w:r>
      <w:r w:rsidRPr="0068211D">
        <w:rPr>
          <w:rFonts w:ascii="Times New Roman" w:eastAsia="Times New Roman" w:hAnsi="Times New Roman" w:cs="Times New Roman"/>
          <w:sz w:val="24"/>
          <w:szCs w:val="24"/>
        </w:rPr>
        <w:t xml:space="preserve"> së Karavastasë  vlerësohen me përmbajtje të lartë të kërkesës për oksigjen, nitrateve dhe fosforit total duke e vlerësuar këtë lagunë me cilësi eutrofike.</w:t>
      </w:r>
      <w:r w:rsidRPr="0068211D">
        <w:rPr>
          <w:rFonts w:ascii="Times New Roman" w:eastAsia="Calibri" w:hAnsi="Times New Roman" w:cs="Times New Roman"/>
          <w:b/>
          <w:i/>
          <w:sz w:val="24"/>
          <w:szCs w:val="24"/>
        </w:rPr>
        <w:t xml:space="preserve"> </w:t>
      </w:r>
      <w:r w:rsidRPr="0068211D">
        <w:rPr>
          <w:rFonts w:ascii="Times New Roman" w:eastAsia="Calibri" w:hAnsi="Times New Roman" w:cs="Times New Roman"/>
          <w:sz w:val="24"/>
          <w:szCs w:val="24"/>
        </w:rPr>
        <w:t>Ujërat e lagunës së Butrintit bazuar në parametrat e mësipërm vlerësohen me cilësi eutrofike.</w:t>
      </w:r>
      <w:r w:rsidRPr="0068211D">
        <w:rPr>
          <w:rFonts w:ascii="Times New Roman" w:eastAsia="Times New Roman" w:hAnsi="Times New Roman" w:cs="Times New Roman"/>
          <w:b/>
          <w:i/>
          <w:sz w:val="24"/>
          <w:szCs w:val="24"/>
        </w:rPr>
        <w:t xml:space="preserve"> </w:t>
      </w:r>
      <w:r w:rsidRPr="0068211D">
        <w:rPr>
          <w:rFonts w:ascii="Times New Roman" w:eastAsia="Times New Roman" w:hAnsi="Times New Roman" w:cs="Times New Roman"/>
          <w:sz w:val="24"/>
          <w:szCs w:val="24"/>
        </w:rPr>
        <w:t>Kemi përkeqësim të cilësisë të ujërave të lagunës së Butrintit duke kaluar nga cilësi mezotrofike në vitin 2024 në cilësi eutrofike gjatë vitit 2025</w:t>
      </w:r>
      <w:r w:rsidRPr="0068211D">
        <w:rPr>
          <w:rFonts w:ascii="Times New Roman" w:eastAsia="Times New Roman" w:hAnsi="Times New Roman" w:cs="Times New Roman"/>
          <w:b/>
          <w:i/>
          <w:sz w:val="24"/>
          <w:szCs w:val="24"/>
        </w:rPr>
        <w:t xml:space="preserve">. </w:t>
      </w:r>
      <w:r w:rsidRPr="0068211D">
        <w:rPr>
          <w:rFonts w:ascii="Times New Roman" w:eastAsia="Times New Roman" w:hAnsi="Times New Roman" w:cs="Times New Roman"/>
          <w:sz w:val="24"/>
          <w:szCs w:val="24"/>
        </w:rPr>
        <w:t>Ujërat e Lagunës së Nartës vlerësohen me përmbajtje të lartë të nevojës kimike dhe biokimike për oksigjen duke e klasifikuar këtë lagunë me cilësi eutrofike</w:t>
      </w:r>
    </w:p>
    <w:p w:rsidR="0068211D" w:rsidRPr="0068211D" w:rsidRDefault="0068211D" w:rsidP="0068211D">
      <w:pPr>
        <w:spacing w:after="200" w:line="276" w:lineRule="auto"/>
        <w:jc w:val="both"/>
        <w:rPr>
          <w:rFonts w:ascii="Times New Roman" w:eastAsia="Calibri" w:hAnsi="Times New Roman" w:cs="Times New Roman"/>
          <w:sz w:val="24"/>
          <w:szCs w:val="24"/>
        </w:rPr>
      </w:pPr>
      <w:r w:rsidRPr="0068211D">
        <w:rPr>
          <w:rFonts w:ascii="Times New Roman" w:eastAsia="Calibri" w:hAnsi="Times New Roman" w:cs="Times New Roman"/>
          <w:sz w:val="24"/>
          <w:szCs w:val="24"/>
        </w:rPr>
        <w:t xml:space="preserve">Përsa i përket shfrytëzimit të sipërfaqeve të plazheve vlerësohet se Bashkia Vlorë ka sipërfaqen totale  më të madhe të shfrytëzuar </w:t>
      </w:r>
      <w:r w:rsidRPr="0068211D">
        <w:rPr>
          <w:rFonts w:ascii="Times New Roman" w:eastAsia="Times New Roman" w:hAnsi="Times New Roman" w:cs="Times New Roman"/>
          <w:bCs/>
          <w:color w:val="000000"/>
          <w:sz w:val="24"/>
          <w:szCs w:val="24"/>
        </w:rPr>
        <w:t>1,199,335 m</w:t>
      </w:r>
      <w:r w:rsidRPr="0068211D">
        <w:rPr>
          <w:rFonts w:ascii="Times New Roman" w:eastAsia="Times New Roman" w:hAnsi="Times New Roman" w:cs="Times New Roman"/>
          <w:bCs/>
          <w:color w:val="000000"/>
          <w:sz w:val="24"/>
          <w:szCs w:val="24"/>
          <w:vertAlign w:val="superscript"/>
        </w:rPr>
        <w:t>2</w:t>
      </w:r>
      <w:r w:rsidRPr="0068211D">
        <w:rPr>
          <w:rFonts w:ascii="Times New Roman" w:eastAsia="Times New Roman" w:hAnsi="Times New Roman" w:cs="Times New Roman"/>
          <w:bCs/>
          <w:color w:val="000000"/>
          <w:sz w:val="24"/>
          <w:szCs w:val="24"/>
        </w:rPr>
        <w:t xml:space="preserve"> duke u ndjekur nga  bashkia Durrës  me sipërfaqe  1,162,074  m</w:t>
      </w:r>
      <w:r w:rsidRPr="0068211D">
        <w:rPr>
          <w:rFonts w:ascii="Times New Roman" w:eastAsia="Times New Roman" w:hAnsi="Times New Roman" w:cs="Times New Roman"/>
          <w:bCs/>
          <w:color w:val="000000"/>
          <w:sz w:val="24"/>
          <w:szCs w:val="24"/>
          <w:vertAlign w:val="superscript"/>
        </w:rPr>
        <w:t xml:space="preserve">2  </w:t>
      </w:r>
      <w:r w:rsidRPr="0068211D">
        <w:rPr>
          <w:rFonts w:ascii="Times New Roman" w:eastAsia="Times New Roman" w:hAnsi="Times New Roman" w:cs="Times New Roman"/>
          <w:bCs/>
          <w:color w:val="000000"/>
          <w:sz w:val="24"/>
          <w:szCs w:val="24"/>
        </w:rPr>
        <w:t>dhe bashkia Himarë  me 569,566 m</w:t>
      </w:r>
      <w:r w:rsidRPr="0068211D">
        <w:rPr>
          <w:rFonts w:ascii="Times New Roman" w:eastAsia="Times New Roman" w:hAnsi="Times New Roman" w:cs="Times New Roman"/>
          <w:bCs/>
          <w:color w:val="000000"/>
          <w:sz w:val="24"/>
          <w:szCs w:val="24"/>
          <w:vertAlign w:val="superscript"/>
        </w:rPr>
        <w:t>2</w:t>
      </w:r>
      <w:r w:rsidRPr="0068211D">
        <w:rPr>
          <w:rFonts w:ascii="Times New Roman" w:eastAsia="Times New Roman" w:hAnsi="Times New Roman" w:cs="Times New Roman"/>
          <w:bCs/>
          <w:color w:val="000000"/>
          <w:sz w:val="24"/>
          <w:szCs w:val="24"/>
        </w:rPr>
        <w:t>.</w:t>
      </w:r>
    </w:p>
    <w:p w:rsidR="0068211D" w:rsidRPr="0068211D" w:rsidRDefault="0068211D" w:rsidP="0068211D">
      <w:pPr>
        <w:spacing w:after="200" w:line="276" w:lineRule="auto"/>
        <w:jc w:val="both"/>
        <w:rPr>
          <w:rFonts w:ascii="Times New Roman" w:eastAsia="Calibri" w:hAnsi="Times New Roman" w:cs="Times New Roman"/>
          <w:sz w:val="24"/>
          <w:szCs w:val="24"/>
        </w:rPr>
      </w:pPr>
    </w:p>
    <w:p w:rsidR="0068211D" w:rsidRPr="0068211D" w:rsidRDefault="0068211D" w:rsidP="00807975">
      <w:pPr>
        <w:pStyle w:val="ListParagraph"/>
        <w:numPr>
          <w:ilvl w:val="0"/>
          <w:numId w:val="153"/>
        </w:numPr>
        <w:spacing w:after="200" w:line="276" w:lineRule="auto"/>
        <w:jc w:val="both"/>
        <w:rPr>
          <w:rFonts w:ascii="Times New Roman" w:eastAsia="Calibri" w:hAnsi="Times New Roman" w:cs="Times New Roman"/>
          <w:b/>
          <w:sz w:val="24"/>
          <w:szCs w:val="24"/>
        </w:rPr>
      </w:pPr>
      <w:r w:rsidRPr="0068211D">
        <w:rPr>
          <w:rFonts w:ascii="Times New Roman" w:eastAsia="Calibri" w:hAnsi="Times New Roman" w:cs="Times New Roman"/>
          <w:b/>
          <w:sz w:val="24"/>
          <w:szCs w:val="24"/>
        </w:rPr>
        <w:t>Tokat</w:t>
      </w:r>
    </w:p>
    <w:p w:rsidR="0068211D" w:rsidRPr="0068211D" w:rsidRDefault="0068211D" w:rsidP="0068211D">
      <w:pPr>
        <w:spacing w:after="200" w:line="276" w:lineRule="auto"/>
        <w:jc w:val="both"/>
        <w:rPr>
          <w:rFonts w:ascii="Times New Roman" w:eastAsia="Times New Roman" w:hAnsi="Times New Roman" w:cs="Times New Roman"/>
          <w:sz w:val="24"/>
          <w:szCs w:val="24"/>
          <w:lang w:val="it-IT"/>
        </w:rPr>
      </w:pPr>
      <w:r w:rsidRPr="0068211D">
        <w:rPr>
          <w:rFonts w:ascii="Times New Roman" w:eastAsia="Times New Roman" w:hAnsi="Times New Roman" w:cs="Times New Roman"/>
          <w:bCs/>
          <w:iCs/>
          <w:color w:val="000000"/>
          <w:sz w:val="24"/>
          <w:szCs w:val="24"/>
          <w:lang w:val="sq-AL"/>
        </w:rPr>
        <w:t xml:space="preserve">Nga monitorimi për përmbajtjen e metaleve të rënda në tokat pranë zonave të ndotura si;  </w:t>
      </w:r>
      <w:r w:rsidRPr="0068211D">
        <w:rPr>
          <w:rFonts w:ascii="Times New Roman" w:eastAsia="Times New Roman" w:hAnsi="Times New Roman" w:cs="Times New Roman"/>
          <w:sz w:val="24"/>
          <w:szCs w:val="24"/>
          <w:lang w:val="it-IT"/>
        </w:rPr>
        <w:t>Metalurgjiku në Elbasan, Uzina baterive Berat,  Hekur-Nikeli në Pogradec dhe Përrenjas, Azotiku Fier,</w:t>
      </w:r>
      <w:r w:rsidRPr="0068211D">
        <w:rPr>
          <w:rFonts w:ascii="Times New Roman" w:eastAsia="Times New Roman" w:hAnsi="Times New Roman" w:cs="Times New Roman"/>
          <w:b/>
          <w:sz w:val="24"/>
          <w:szCs w:val="24"/>
          <w:lang w:val="it-IT"/>
        </w:rPr>
        <w:t xml:space="preserve"> </w:t>
      </w:r>
      <w:r w:rsidRPr="0068211D">
        <w:rPr>
          <w:rFonts w:ascii="Times New Roman" w:eastAsia="Times New Roman" w:hAnsi="Times New Roman" w:cs="Times New Roman"/>
          <w:sz w:val="24"/>
          <w:szCs w:val="24"/>
          <w:lang w:val="it-IT"/>
        </w:rPr>
        <w:t>Uzina e Superfosfatit Laç,  Minierat në Kalimash-Gjegjan, Fabrika  P.V.C Vlor</w:t>
      </w:r>
      <w:r w:rsidRPr="0068211D">
        <w:rPr>
          <w:rFonts w:ascii="Times New Roman" w:eastAsia="Times New Roman" w:hAnsi="Times New Roman" w:cs="Times New Roman"/>
          <w:color w:val="000000"/>
          <w:sz w:val="24"/>
          <w:szCs w:val="24"/>
          <w:lang w:val="sq-AL"/>
        </w:rPr>
        <w:t xml:space="preserve">ë, </w:t>
      </w:r>
      <w:r w:rsidRPr="0068211D">
        <w:rPr>
          <w:rFonts w:ascii="Times New Roman" w:eastAsia="Times New Roman" w:hAnsi="Times New Roman" w:cs="Times New Roman"/>
          <w:sz w:val="24"/>
          <w:szCs w:val="24"/>
          <w:lang w:val="it-IT"/>
        </w:rPr>
        <w:t xml:space="preserve">Uzina e Ferro-Kromit Burrel, Ish- fabrika e plastmasit në Lushnje, vlerësohet se nuk kemi ndotje. </w:t>
      </w:r>
    </w:p>
    <w:p w:rsidR="0068211D" w:rsidRPr="0068211D" w:rsidRDefault="0068211D" w:rsidP="0068211D">
      <w:pPr>
        <w:spacing w:after="0" w:line="276" w:lineRule="auto"/>
        <w:jc w:val="both"/>
        <w:rPr>
          <w:rFonts w:ascii="Times New Roman" w:eastAsia="Times New Roman" w:hAnsi="Times New Roman" w:cs="Times New Roman"/>
          <w:b/>
          <w:sz w:val="24"/>
          <w:szCs w:val="24"/>
        </w:rPr>
      </w:pPr>
    </w:p>
    <w:p w:rsidR="0068211D" w:rsidRPr="0068211D" w:rsidRDefault="0068211D" w:rsidP="00807975">
      <w:pPr>
        <w:pStyle w:val="ListParagraph"/>
        <w:numPr>
          <w:ilvl w:val="0"/>
          <w:numId w:val="154"/>
        </w:numPr>
        <w:spacing w:after="0" w:line="276" w:lineRule="auto"/>
        <w:jc w:val="both"/>
        <w:rPr>
          <w:rFonts w:ascii="Times New Roman" w:eastAsia="Times New Roman" w:hAnsi="Times New Roman" w:cs="Times New Roman"/>
          <w:b/>
          <w:sz w:val="24"/>
          <w:szCs w:val="24"/>
        </w:rPr>
      </w:pPr>
      <w:r w:rsidRPr="0068211D">
        <w:rPr>
          <w:rFonts w:ascii="Times New Roman" w:eastAsia="Times New Roman" w:hAnsi="Times New Roman" w:cs="Times New Roman"/>
          <w:b/>
          <w:sz w:val="24"/>
          <w:szCs w:val="24"/>
        </w:rPr>
        <w:t>Aktiviteti industrial</w:t>
      </w:r>
    </w:p>
    <w:p w:rsidR="0068211D" w:rsidRPr="0068211D" w:rsidRDefault="0068211D" w:rsidP="0068211D">
      <w:pPr>
        <w:spacing w:after="0" w:line="276" w:lineRule="auto"/>
        <w:jc w:val="both"/>
        <w:rPr>
          <w:rFonts w:ascii="Times New Roman" w:eastAsia="Times New Roman" w:hAnsi="Times New Roman" w:cs="Times New Roman"/>
          <w:sz w:val="24"/>
          <w:szCs w:val="24"/>
        </w:rPr>
      </w:pPr>
    </w:p>
    <w:p w:rsidR="0068211D" w:rsidRPr="0068211D" w:rsidRDefault="0068211D" w:rsidP="0068211D">
      <w:pPr>
        <w:spacing w:after="0" w:line="276" w:lineRule="auto"/>
        <w:jc w:val="both"/>
        <w:rPr>
          <w:rFonts w:ascii="Times New Roman" w:eastAsia="Times New Roman" w:hAnsi="Times New Roman" w:cs="Times New Roman"/>
          <w:sz w:val="24"/>
          <w:szCs w:val="24"/>
          <w:lang w:eastAsia="it-IT"/>
        </w:rPr>
      </w:pPr>
      <w:r w:rsidRPr="0068211D">
        <w:rPr>
          <w:rFonts w:ascii="Times New Roman" w:eastAsia="Times New Roman" w:hAnsi="Times New Roman" w:cs="Times New Roman"/>
          <w:sz w:val="24"/>
          <w:szCs w:val="24"/>
        </w:rPr>
        <w:t xml:space="preserve">Gjatë vitit 2025 kemi një rritje të numrit të dorëzimit të raporteve të vetmonitorimit nga </w:t>
      </w:r>
      <w:r w:rsidRPr="0068211D">
        <w:rPr>
          <w:rFonts w:ascii="Times New Roman" w:eastAsia="Times New Roman" w:hAnsi="Times New Roman" w:cs="Times New Roman"/>
          <w:sz w:val="24"/>
          <w:szCs w:val="24"/>
          <w:lang w:eastAsia="it-IT"/>
        </w:rPr>
        <w:t xml:space="preserve">Operatorët të cilët janë të pajisur me leje mjedisore krahasuar me vitin 2024. Numri i operatorëve të cilët kanë raportuar </w:t>
      </w:r>
      <w:r w:rsidRPr="0068211D">
        <w:rPr>
          <w:rFonts w:ascii="Times New Roman" w:eastAsia="Times New Roman" w:hAnsi="Times New Roman" w:cs="Times New Roman"/>
          <w:bCs/>
          <w:sz w:val="24"/>
          <w:szCs w:val="24"/>
          <w:lang w:eastAsia="it-IT"/>
        </w:rPr>
        <w:t>për vitin 2025 është rreth 2967 nga të cilat 107 jane operator të pajisur me Leje Mjedisi Tipi A dhe 2860 operatore te pajisur me Leje Mjedisi Tipi B.</w:t>
      </w:r>
      <w:r w:rsidRPr="0068211D">
        <w:rPr>
          <w:rFonts w:ascii="Times New Roman" w:eastAsia="Times New Roman" w:hAnsi="Times New Roman" w:cs="Times New Roman"/>
          <w:sz w:val="24"/>
          <w:szCs w:val="24"/>
          <w:lang w:eastAsia="it-IT"/>
        </w:rPr>
        <w:t xml:space="preserve"> </w:t>
      </w:r>
    </w:p>
    <w:p w:rsidR="0068211D" w:rsidRPr="0068211D" w:rsidRDefault="0068211D" w:rsidP="0068211D">
      <w:pPr>
        <w:spacing w:after="200" w:line="276" w:lineRule="auto"/>
        <w:jc w:val="both"/>
        <w:rPr>
          <w:rFonts w:ascii="Times New Roman" w:eastAsia="Times New Roman" w:hAnsi="Times New Roman" w:cs="Times New Roman"/>
          <w:sz w:val="24"/>
          <w:szCs w:val="24"/>
        </w:rPr>
      </w:pPr>
      <w:r w:rsidRPr="0068211D">
        <w:rPr>
          <w:rFonts w:ascii="Times New Roman" w:eastAsia="Times New Roman" w:hAnsi="Times New Roman" w:cs="Times New Roman"/>
          <w:sz w:val="24"/>
          <w:szCs w:val="24"/>
        </w:rPr>
        <w:t>Nga raportet e vetëmonitorimit të dërguara nga operatorët pranë Agjencisë Kombëtare të Mjedisit për vitin 2025 rezulton se parametrat e matur të përcaktuar në lejen mjedisore të tyre janë brenda normave të përcaktuara në legjislacion përkatës.</w:t>
      </w:r>
    </w:p>
    <w:p w:rsidR="0068211D" w:rsidRPr="0068211D" w:rsidRDefault="0068211D" w:rsidP="0068211D">
      <w:pPr>
        <w:spacing w:after="0" w:line="276" w:lineRule="auto"/>
        <w:jc w:val="both"/>
        <w:rPr>
          <w:rFonts w:ascii="Times New Roman" w:eastAsia="Times New Roman" w:hAnsi="Times New Roman" w:cs="Times New Roman"/>
          <w:sz w:val="24"/>
          <w:szCs w:val="24"/>
        </w:rPr>
      </w:pPr>
      <w:r w:rsidRPr="0068211D">
        <w:rPr>
          <w:rFonts w:ascii="Times New Roman" w:eastAsia="Times New Roman" w:hAnsi="Times New Roman" w:cs="Times New Roman"/>
          <w:sz w:val="24"/>
          <w:szCs w:val="24"/>
        </w:rPr>
        <w:lastRenderedPageBreak/>
        <w:t>Vërehet një rritje e dorëzimit të raporteve të vetmonitorimit gjatë vitit 2025,  krahasuar me vitin 2024 për qarkun Tiranë, Durrës , Berat, Fier dhe Elbasan dhe ulje e dorëzimit të raporteve për qarqet e tjera.</w:t>
      </w:r>
    </w:p>
    <w:p w:rsidR="0068211D" w:rsidRPr="0068211D" w:rsidRDefault="0068211D" w:rsidP="0068211D">
      <w:pPr>
        <w:spacing w:after="0" w:line="276" w:lineRule="auto"/>
        <w:jc w:val="both"/>
        <w:rPr>
          <w:rFonts w:ascii="Times New Roman" w:eastAsia="Times New Roman" w:hAnsi="Times New Roman" w:cs="Times New Roman"/>
          <w:bCs/>
          <w:sz w:val="24"/>
          <w:szCs w:val="24"/>
        </w:rPr>
      </w:pPr>
    </w:p>
    <w:p w:rsidR="0068211D" w:rsidRPr="0068211D" w:rsidRDefault="0068211D" w:rsidP="0068211D">
      <w:pPr>
        <w:spacing w:after="0" w:line="276" w:lineRule="auto"/>
        <w:jc w:val="both"/>
        <w:rPr>
          <w:rFonts w:ascii="Times New Roman" w:eastAsia="Times New Roman" w:hAnsi="Times New Roman" w:cs="Times New Roman"/>
          <w:bCs/>
          <w:sz w:val="24"/>
          <w:szCs w:val="24"/>
        </w:rPr>
      </w:pPr>
      <w:r w:rsidRPr="0068211D">
        <w:rPr>
          <w:rFonts w:ascii="Times New Roman" w:eastAsia="Times New Roman" w:hAnsi="Times New Roman" w:cs="Times New Roman"/>
          <w:bCs/>
          <w:sz w:val="24"/>
          <w:szCs w:val="24"/>
        </w:rPr>
        <w:t>Janë shqyrtuar në total 794 aplikime për leje mjedisi, nga të cilat, kanë qenë aplikime për leje mjedisi tipi A , leje mjedisi tipi B,  si dhe aplikime për liçencë të nënkategorisë III.2.B.</w:t>
      </w:r>
    </w:p>
    <w:p w:rsidR="0068211D" w:rsidRPr="0068211D" w:rsidRDefault="0068211D" w:rsidP="0068211D">
      <w:pPr>
        <w:tabs>
          <w:tab w:val="left" w:pos="90"/>
        </w:tabs>
        <w:spacing w:after="200" w:line="276" w:lineRule="auto"/>
        <w:contextualSpacing/>
        <w:jc w:val="both"/>
        <w:rPr>
          <w:rFonts w:ascii="Times New Roman" w:eastAsia="Times New Roman" w:hAnsi="Times New Roman" w:cs="Times New Roman"/>
          <w:sz w:val="24"/>
          <w:szCs w:val="24"/>
          <w:lang w:val="it-IT"/>
        </w:rPr>
      </w:pPr>
    </w:p>
    <w:p w:rsidR="0068211D" w:rsidRPr="0068211D" w:rsidRDefault="0068211D" w:rsidP="0068211D">
      <w:pPr>
        <w:tabs>
          <w:tab w:val="left" w:pos="90"/>
        </w:tabs>
        <w:spacing w:after="200" w:line="276" w:lineRule="auto"/>
        <w:contextualSpacing/>
        <w:jc w:val="both"/>
        <w:rPr>
          <w:rFonts w:ascii="Times New Roman" w:eastAsia="Times New Roman" w:hAnsi="Times New Roman" w:cs="Times New Roman"/>
          <w:bCs/>
          <w:iCs/>
          <w:sz w:val="24"/>
          <w:szCs w:val="24"/>
        </w:rPr>
      </w:pPr>
      <w:r w:rsidRPr="0068211D">
        <w:rPr>
          <w:rFonts w:ascii="Times New Roman" w:eastAsia="Times New Roman" w:hAnsi="Times New Roman" w:cs="Times New Roman"/>
          <w:bCs/>
          <w:iCs/>
          <w:sz w:val="24"/>
          <w:szCs w:val="24"/>
        </w:rPr>
        <w:t>Në vitin 2024 janë shqyrtuar 1154 aplikime për vlerësim të ndikimit në mjedis, ndërsa  në vitin 2025 janë shqyrtuar 1430 aplikime duke vlerësuar se  kemi rritje të numrit të aplikimeve.</w:t>
      </w:r>
    </w:p>
    <w:p w:rsidR="0068211D" w:rsidRPr="0068211D" w:rsidRDefault="0068211D" w:rsidP="0068211D">
      <w:pPr>
        <w:spacing w:after="0" w:line="276" w:lineRule="auto"/>
        <w:jc w:val="both"/>
        <w:rPr>
          <w:rFonts w:ascii="Times New Roman" w:eastAsia="Times New Roman" w:hAnsi="Times New Roman" w:cs="Times New Roman"/>
          <w:sz w:val="24"/>
          <w:szCs w:val="24"/>
        </w:rPr>
      </w:pPr>
      <w:r w:rsidRPr="0068211D">
        <w:rPr>
          <w:rFonts w:ascii="Times New Roman" w:eastAsia="Times New Roman" w:hAnsi="Times New Roman" w:cs="Times New Roman"/>
          <w:sz w:val="24"/>
          <w:szCs w:val="24"/>
        </w:rPr>
        <w:t>Gjatë vitit 2025 jane kryer 484 inspektime në fushëne ujërave dhe 1729 inspektime në fushën e mjedisit.</w:t>
      </w:r>
    </w:p>
    <w:p w:rsidR="0068211D" w:rsidRPr="0068211D" w:rsidRDefault="0068211D" w:rsidP="0068211D">
      <w:pPr>
        <w:spacing w:after="200" w:line="276" w:lineRule="auto"/>
        <w:jc w:val="both"/>
        <w:rPr>
          <w:rFonts w:ascii="Times New Roman" w:eastAsia="Times New Roman" w:hAnsi="Times New Roman" w:cs="Times New Roman"/>
          <w:sz w:val="24"/>
          <w:szCs w:val="24"/>
          <w:lang w:val="it-IT"/>
        </w:rPr>
      </w:pPr>
    </w:p>
    <w:p w:rsidR="0068211D" w:rsidRDefault="004550DE" w:rsidP="00807975">
      <w:pPr>
        <w:pStyle w:val="ListParagraph"/>
        <w:numPr>
          <w:ilvl w:val="0"/>
          <w:numId w:val="155"/>
        </w:numPr>
        <w:spacing w:after="200" w:line="276" w:lineRule="auto"/>
        <w:jc w:val="both"/>
        <w:rPr>
          <w:rFonts w:ascii="Times New Roman" w:eastAsia="Times New Roman" w:hAnsi="Times New Roman" w:cs="Times New Roman"/>
          <w:b/>
          <w:sz w:val="24"/>
          <w:szCs w:val="24"/>
          <w:lang w:val="it-IT"/>
        </w:rPr>
      </w:pPr>
      <w:r>
        <w:rPr>
          <w:rFonts w:ascii="Times New Roman" w:eastAsia="Times New Roman" w:hAnsi="Times New Roman" w:cs="Times New Roman"/>
          <w:b/>
          <w:sz w:val="24"/>
          <w:szCs w:val="24"/>
          <w:lang w:val="it-IT"/>
        </w:rPr>
        <w:t xml:space="preserve">Pyjet dhe </w:t>
      </w:r>
      <w:r w:rsidR="0068211D" w:rsidRPr="0068211D">
        <w:rPr>
          <w:rFonts w:ascii="Times New Roman" w:eastAsia="Times New Roman" w:hAnsi="Times New Roman" w:cs="Times New Roman"/>
          <w:b/>
          <w:sz w:val="24"/>
          <w:szCs w:val="24"/>
          <w:lang w:val="it-IT"/>
        </w:rPr>
        <w:t xml:space="preserve">Biodiversiteti </w:t>
      </w:r>
    </w:p>
    <w:p w:rsidR="000234DE" w:rsidRPr="0068211D" w:rsidRDefault="000234DE" w:rsidP="000234DE">
      <w:pPr>
        <w:pStyle w:val="ListParagraph"/>
        <w:spacing w:after="200" w:line="276" w:lineRule="auto"/>
        <w:jc w:val="both"/>
        <w:rPr>
          <w:rFonts w:ascii="Times New Roman" w:eastAsia="Times New Roman" w:hAnsi="Times New Roman" w:cs="Times New Roman"/>
          <w:b/>
          <w:sz w:val="24"/>
          <w:szCs w:val="24"/>
          <w:lang w:val="it-IT"/>
        </w:rPr>
      </w:pPr>
    </w:p>
    <w:p w:rsidR="0068211D" w:rsidRPr="0068211D" w:rsidRDefault="0068211D" w:rsidP="0068211D">
      <w:pPr>
        <w:tabs>
          <w:tab w:val="center" w:pos="4680"/>
          <w:tab w:val="right" w:pos="9360"/>
        </w:tabs>
        <w:spacing w:after="0" w:line="240" w:lineRule="auto"/>
        <w:jc w:val="both"/>
        <w:rPr>
          <w:rFonts w:ascii="Times New Roman" w:eastAsia="Calibri" w:hAnsi="Times New Roman" w:cs="Times New Roman"/>
          <w:b/>
          <w:bCs/>
          <w:i/>
          <w:spacing w:val="2"/>
          <w:sz w:val="24"/>
          <w:szCs w:val="24"/>
          <w:u w:val="single"/>
        </w:rPr>
      </w:pPr>
      <w:r w:rsidRPr="0068211D">
        <w:rPr>
          <w:rFonts w:ascii="Times New Roman" w:eastAsia="Calibri" w:hAnsi="Times New Roman" w:cs="Times New Roman"/>
          <w:b/>
          <w:bCs/>
          <w:i/>
          <w:spacing w:val="2"/>
          <w:sz w:val="24"/>
          <w:szCs w:val="24"/>
          <w:u w:val="single"/>
        </w:rPr>
        <w:t>Shëndeti në pyje</w:t>
      </w:r>
    </w:p>
    <w:p w:rsidR="0068211D" w:rsidRPr="0068211D" w:rsidRDefault="0068211D" w:rsidP="0068211D">
      <w:pPr>
        <w:tabs>
          <w:tab w:val="center" w:pos="4680"/>
          <w:tab w:val="right" w:pos="9360"/>
        </w:tabs>
        <w:spacing w:after="0" w:line="240" w:lineRule="auto"/>
        <w:jc w:val="both"/>
        <w:rPr>
          <w:rFonts w:ascii="Times New Roman" w:eastAsia="Calibri" w:hAnsi="Times New Roman" w:cs="Times New Roman"/>
          <w:b/>
          <w:bCs/>
          <w:spacing w:val="2"/>
          <w:sz w:val="24"/>
          <w:szCs w:val="24"/>
        </w:rPr>
      </w:pPr>
    </w:p>
    <w:p w:rsidR="0068211D" w:rsidRPr="0068211D" w:rsidRDefault="0068211D" w:rsidP="0068211D">
      <w:pPr>
        <w:tabs>
          <w:tab w:val="center" w:pos="4680"/>
          <w:tab w:val="right" w:pos="9360"/>
        </w:tabs>
        <w:spacing w:after="0" w:line="240" w:lineRule="auto"/>
        <w:jc w:val="both"/>
        <w:rPr>
          <w:rFonts w:ascii="Times New Roman" w:eastAsia="Times New Roman" w:hAnsi="Times New Roman" w:cs="Times New Roman"/>
          <w:bCs/>
          <w:spacing w:val="2"/>
          <w:sz w:val="24"/>
          <w:szCs w:val="24"/>
          <w:lang w:eastAsia="sq-AL"/>
        </w:rPr>
      </w:pPr>
      <w:r w:rsidRPr="0068211D">
        <w:rPr>
          <w:rFonts w:ascii="Times New Roman" w:eastAsia="Calibri" w:hAnsi="Times New Roman" w:cs="Times New Roman"/>
          <w:bCs/>
          <w:spacing w:val="2"/>
          <w:sz w:val="24"/>
          <w:szCs w:val="24"/>
        </w:rPr>
        <w:t xml:space="preserve">Në lidhje me </w:t>
      </w:r>
      <w:r w:rsidRPr="0068211D">
        <w:rPr>
          <w:rFonts w:ascii="Times New Roman" w:eastAsia="Calibri" w:hAnsi="Times New Roman" w:cs="Times New Roman"/>
          <w:b/>
          <w:bCs/>
          <w:spacing w:val="2"/>
          <w:sz w:val="24"/>
          <w:szCs w:val="24"/>
        </w:rPr>
        <w:t>rënien e halave</w:t>
      </w:r>
      <w:r w:rsidRPr="0068211D">
        <w:rPr>
          <w:rFonts w:ascii="Times New Roman" w:eastAsia="Calibri" w:hAnsi="Times New Roman" w:cs="Times New Roman"/>
          <w:bCs/>
          <w:spacing w:val="2"/>
          <w:sz w:val="24"/>
          <w:szCs w:val="24"/>
        </w:rPr>
        <w:t xml:space="preserve"> për llojet halorë, </w:t>
      </w:r>
      <w:r w:rsidRPr="0068211D">
        <w:rPr>
          <w:rFonts w:ascii="Times New Roman" w:eastAsia="Times New Roman" w:hAnsi="Times New Roman" w:cs="Times New Roman"/>
          <w:spacing w:val="2"/>
          <w:sz w:val="24"/>
          <w:szCs w:val="24"/>
          <w:lang w:eastAsia="sq-AL"/>
        </w:rPr>
        <w:t>pishë e zezë,</w:t>
      </w:r>
      <w:r w:rsidRPr="0068211D">
        <w:rPr>
          <w:rFonts w:ascii="Times New Roman" w:eastAsia="Times New Roman" w:hAnsi="Times New Roman" w:cs="Times New Roman"/>
          <w:bCs/>
          <w:spacing w:val="2"/>
          <w:sz w:val="24"/>
          <w:szCs w:val="24"/>
          <w:lang w:eastAsia="sq-AL"/>
        </w:rPr>
        <w:t xml:space="preserve"> </w:t>
      </w:r>
      <w:r w:rsidRPr="0068211D">
        <w:rPr>
          <w:rFonts w:ascii="Times New Roman" w:eastAsia="Times New Roman" w:hAnsi="Times New Roman" w:cs="Times New Roman"/>
          <w:spacing w:val="2"/>
          <w:sz w:val="24"/>
          <w:szCs w:val="24"/>
          <w:lang w:eastAsia="sq-AL"/>
        </w:rPr>
        <w:t>pishave mesdhetare dhe bredh rezulton se kemi ulje të</w:t>
      </w:r>
      <w:r w:rsidRPr="0068211D">
        <w:rPr>
          <w:rFonts w:ascii="Times New Roman" w:eastAsia="Times New Roman" w:hAnsi="Times New Roman" w:cs="Times New Roman"/>
          <w:bCs/>
          <w:spacing w:val="2"/>
          <w:sz w:val="24"/>
          <w:szCs w:val="24"/>
          <w:lang w:eastAsia="sq-AL"/>
        </w:rPr>
        <w:t xml:space="preserve"> përqindjes së rënies së halave në klasën e tretë (61-100%)  krahasuar me vitin 2024. Ndërsa për llojet halore të tjerë kemi një rritje krahasuar me vitin 2024.</w:t>
      </w:r>
    </w:p>
    <w:p w:rsidR="0068211D" w:rsidRPr="0068211D" w:rsidRDefault="0068211D" w:rsidP="0068211D">
      <w:pPr>
        <w:spacing w:after="0" w:line="240" w:lineRule="auto"/>
        <w:jc w:val="both"/>
        <w:rPr>
          <w:rFonts w:ascii="Times New Roman" w:eastAsia="Times New Roman" w:hAnsi="Times New Roman" w:cs="Times New Roman"/>
          <w:bCs/>
          <w:spacing w:val="2"/>
          <w:sz w:val="24"/>
          <w:szCs w:val="24"/>
          <w:lang w:eastAsia="sq-AL"/>
        </w:rPr>
      </w:pPr>
      <w:r w:rsidRPr="0068211D">
        <w:rPr>
          <w:rFonts w:ascii="Times New Roman" w:eastAsia="Times New Roman" w:hAnsi="Times New Roman" w:cs="Times New Roman"/>
          <w:bCs/>
          <w:spacing w:val="2"/>
          <w:sz w:val="24"/>
          <w:szCs w:val="24"/>
          <w:lang w:eastAsia="sq-AL"/>
        </w:rPr>
        <w:t xml:space="preserve">Për </w:t>
      </w:r>
      <w:r w:rsidRPr="0068211D">
        <w:rPr>
          <w:rFonts w:ascii="Times New Roman" w:eastAsia="Times New Roman" w:hAnsi="Times New Roman" w:cs="Times New Roman"/>
          <w:b/>
          <w:bCs/>
          <w:spacing w:val="2"/>
          <w:sz w:val="24"/>
          <w:szCs w:val="24"/>
          <w:lang w:eastAsia="sq-AL"/>
        </w:rPr>
        <w:t>rënien e gjetheve</w:t>
      </w:r>
      <w:r w:rsidRPr="0068211D">
        <w:rPr>
          <w:rFonts w:ascii="Times New Roman" w:eastAsia="Times New Roman" w:hAnsi="Times New Roman" w:cs="Times New Roman"/>
          <w:bCs/>
          <w:spacing w:val="2"/>
          <w:sz w:val="24"/>
          <w:szCs w:val="24"/>
          <w:lang w:eastAsia="sq-AL"/>
        </w:rPr>
        <w:t xml:space="preserve"> për llojet fletorë, </w:t>
      </w:r>
      <w:r w:rsidRPr="0068211D">
        <w:rPr>
          <w:rFonts w:ascii="Times New Roman" w:eastAsia="Times New Roman" w:hAnsi="Times New Roman" w:cs="Times New Roman"/>
          <w:spacing w:val="2"/>
          <w:sz w:val="24"/>
          <w:szCs w:val="24"/>
          <w:lang w:eastAsia="sq-AL"/>
        </w:rPr>
        <w:t xml:space="preserve">ah, mështeknë, dushqeve, gështenjë si dhe fletorë të tjerë kemi  ulje të përqindjes së rënies së gjetheve </w:t>
      </w:r>
      <w:r w:rsidRPr="0068211D">
        <w:rPr>
          <w:rFonts w:ascii="Times New Roman" w:eastAsia="Times New Roman" w:hAnsi="Times New Roman" w:cs="Times New Roman"/>
          <w:bCs/>
          <w:spacing w:val="2"/>
          <w:sz w:val="24"/>
          <w:szCs w:val="24"/>
          <w:lang w:eastAsia="sq-AL"/>
        </w:rPr>
        <w:t>në klasën e tretë (61-100%) krahasuar me vitin 2024.</w:t>
      </w:r>
    </w:p>
    <w:p w:rsidR="0068211D" w:rsidRPr="0068211D" w:rsidRDefault="0068211D" w:rsidP="0068211D">
      <w:pPr>
        <w:spacing w:after="0" w:line="240" w:lineRule="auto"/>
        <w:jc w:val="both"/>
        <w:rPr>
          <w:rFonts w:ascii="Times New Roman" w:eastAsia="Times New Roman" w:hAnsi="Times New Roman" w:cs="Times New Roman"/>
          <w:bCs/>
          <w:spacing w:val="2"/>
          <w:sz w:val="24"/>
          <w:szCs w:val="24"/>
          <w:lang w:eastAsia="sq-AL"/>
        </w:rPr>
      </w:pPr>
    </w:p>
    <w:p w:rsidR="0068211D" w:rsidRPr="0068211D" w:rsidRDefault="0068211D" w:rsidP="0068211D">
      <w:pPr>
        <w:spacing w:after="0" w:line="240" w:lineRule="auto"/>
        <w:jc w:val="both"/>
        <w:rPr>
          <w:rFonts w:ascii="Times New Roman" w:eastAsia="Times New Roman" w:hAnsi="Times New Roman" w:cs="Times New Roman"/>
          <w:bCs/>
          <w:spacing w:val="2"/>
          <w:sz w:val="24"/>
          <w:szCs w:val="24"/>
          <w:lang w:eastAsia="sq-AL"/>
        </w:rPr>
      </w:pPr>
      <w:r w:rsidRPr="0068211D">
        <w:rPr>
          <w:rFonts w:ascii="Times New Roman" w:eastAsia="Times New Roman" w:hAnsi="Times New Roman" w:cs="Times New Roman"/>
          <w:bCs/>
          <w:spacing w:val="2"/>
          <w:sz w:val="24"/>
          <w:szCs w:val="24"/>
          <w:lang w:eastAsia="sq-AL"/>
        </w:rPr>
        <w:t>Përsa i përket</w:t>
      </w:r>
      <w:r w:rsidRPr="0068211D">
        <w:rPr>
          <w:rFonts w:ascii="Times New Roman" w:eastAsia="Times New Roman" w:hAnsi="Times New Roman" w:cs="Times New Roman"/>
          <w:b/>
          <w:bCs/>
          <w:spacing w:val="2"/>
          <w:sz w:val="24"/>
          <w:szCs w:val="24"/>
          <w:lang w:eastAsia="sq-AL"/>
        </w:rPr>
        <w:t xml:space="preserve"> </w:t>
      </w:r>
      <w:r w:rsidRPr="0068211D">
        <w:rPr>
          <w:rFonts w:ascii="Times New Roman" w:eastAsia="Times New Roman" w:hAnsi="Times New Roman" w:cs="Times New Roman"/>
          <w:b/>
          <w:bCs/>
          <w:sz w:val="24"/>
          <w:szCs w:val="24"/>
          <w:lang w:val="en-GB" w:eastAsia="sq-AL"/>
        </w:rPr>
        <w:t>çngjyrosja (</w:t>
      </w:r>
      <w:r w:rsidRPr="0068211D">
        <w:rPr>
          <w:rFonts w:ascii="Times New Roman" w:eastAsia="Times New Roman" w:hAnsi="Times New Roman" w:cs="Times New Roman"/>
          <w:bCs/>
          <w:sz w:val="24"/>
          <w:szCs w:val="24"/>
          <w:lang w:val="en-GB" w:eastAsia="sq-AL"/>
        </w:rPr>
        <w:t xml:space="preserve">tjetërsimi i ngjyrës së halave dhe gjetheve) vlerësohet se kemi ulje të </w:t>
      </w:r>
      <w:r w:rsidRPr="0068211D">
        <w:rPr>
          <w:rFonts w:ascii="Times New Roman" w:eastAsia="Times New Roman" w:hAnsi="Times New Roman" w:cs="Times New Roman"/>
          <w:bCs/>
          <w:spacing w:val="2"/>
          <w:sz w:val="24"/>
          <w:szCs w:val="24"/>
          <w:lang w:eastAsia="sq-AL"/>
        </w:rPr>
        <w:t>përqindjes së ç’ngjyrosja e halave në klasën e tretë (61-100%) për</w:t>
      </w:r>
      <w:r w:rsidRPr="0068211D">
        <w:rPr>
          <w:rFonts w:ascii="Times New Roman" w:eastAsia="Times New Roman" w:hAnsi="Times New Roman" w:cs="Times New Roman"/>
          <w:spacing w:val="2"/>
          <w:sz w:val="24"/>
          <w:szCs w:val="24"/>
          <w:lang w:eastAsia="sq-AL"/>
        </w:rPr>
        <w:t xml:space="preserve"> llojin pishë e zezë pishave mesdhetare bredh si dhe halorë të tjerë krahasuar me vitin 2024. Po ashtu  </w:t>
      </w:r>
      <w:r w:rsidRPr="0068211D">
        <w:rPr>
          <w:rFonts w:ascii="Times New Roman" w:eastAsia="Times New Roman" w:hAnsi="Times New Roman" w:cs="Times New Roman"/>
          <w:bCs/>
          <w:sz w:val="24"/>
          <w:szCs w:val="24"/>
          <w:lang w:val="en-GB" w:eastAsia="sq-AL"/>
        </w:rPr>
        <w:t xml:space="preserve">kemi ulje të </w:t>
      </w:r>
      <w:r w:rsidRPr="0068211D">
        <w:rPr>
          <w:rFonts w:ascii="Times New Roman" w:eastAsia="Times New Roman" w:hAnsi="Times New Roman" w:cs="Times New Roman"/>
          <w:bCs/>
          <w:spacing w:val="2"/>
          <w:sz w:val="24"/>
          <w:szCs w:val="24"/>
          <w:lang w:eastAsia="sq-AL"/>
        </w:rPr>
        <w:t xml:space="preserve">përqindjes së ç’ngjyrosja e gjetheve në klasën e tretë (61-100%) për llojin </w:t>
      </w:r>
      <w:r w:rsidRPr="0068211D">
        <w:rPr>
          <w:rFonts w:ascii="Times New Roman" w:eastAsia="Times New Roman" w:hAnsi="Times New Roman" w:cs="Times New Roman"/>
          <w:spacing w:val="2"/>
          <w:sz w:val="24"/>
          <w:szCs w:val="24"/>
          <w:lang w:eastAsia="sq-AL"/>
        </w:rPr>
        <w:t>ah, mështeknë, dushqeve, gështenjë si dhe fletorë të tjerë krahasuar me vitin 2024.</w:t>
      </w:r>
    </w:p>
    <w:p w:rsidR="0068211D" w:rsidRPr="0068211D" w:rsidRDefault="0068211D" w:rsidP="0068211D">
      <w:pPr>
        <w:spacing w:after="0" w:line="240" w:lineRule="auto"/>
        <w:jc w:val="both"/>
        <w:rPr>
          <w:rFonts w:ascii="Times New Roman" w:eastAsia="Times New Roman" w:hAnsi="Times New Roman" w:cs="Times New Roman"/>
          <w:b/>
          <w:bCs/>
          <w:spacing w:val="2"/>
          <w:sz w:val="24"/>
          <w:szCs w:val="24"/>
          <w:lang w:eastAsia="sq-AL"/>
        </w:rPr>
      </w:pPr>
    </w:p>
    <w:p w:rsidR="0068211D" w:rsidRPr="0068211D" w:rsidRDefault="0068211D" w:rsidP="0068211D">
      <w:pPr>
        <w:tabs>
          <w:tab w:val="center" w:pos="4680"/>
          <w:tab w:val="right" w:pos="9360"/>
        </w:tabs>
        <w:spacing w:after="0" w:line="240" w:lineRule="auto"/>
        <w:jc w:val="both"/>
        <w:rPr>
          <w:rFonts w:ascii="Times New Roman" w:eastAsia="Times New Roman" w:hAnsi="Times New Roman" w:cs="Times New Roman"/>
          <w:bCs/>
          <w:spacing w:val="2"/>
          <w:sz w:val="24"/>
          <w:szCs w:val="24"/>
          <w:lang w:eastAsia="sq-AL"/>
        </w:rPr>
      </w:pPr>
      <w:r w:rsidRPr="0068211D">
        <w:rPr>
          <w:rFonts w:ascii="Times New Roman" w:eastAsia="Times New Roman" w:hAnsi="Times New Roman" w:cs="Times New Roman"/>
          <w:bCs/>
          <w:spacing w:val="2"/>
          <w:sz w:val="24"/>
          <w:szCs w:val="24"/>
          <w:lang w:eastAsia="sq-AL"/>
        </w:rPr>
        <w:t>Për llojet halorë dhe fletorë, gjatë vitit 2025 nuk kemi fenomenin e tharjes komplet të drurëve.</w:t>
      </w:r>
    </w:p>
    <w:p w:rsidR="0068211D" w:rsidRPr="0068211D" w:rsidRDefault="0068211D" w:rsidP="0068211D">
      <w:pPr>
        <w:spacing w:after="0" w:line="240" w:lineRule="auto"/>
        <w:jc w:val="both"/>
        <w:rPr>
          <w:rFonts w:ascii="Times New Roman" w:eastAsia="Times New Roman" w:hAnsi="Times New Roman" w:cs="Times New Roman"/>
          <w:sz w:val="24"/>
          <w:szCs w:val="24"/>
          <w:lang w:val="it-IT"/>
        </w:rPr>
      </w:pPr>
    </w:p>
    <w:p w:rsidR="0068211D" w:rsidRPr="0068211D" w:rsidRDefault="0068211D" w:rsidP="0068211D">
      <w:pPr>
        <w:spacing w:after="0" w:line="240" w:lineRule="auto"/>
        <w:jc w:val="both"/>
        <w:rPr>
          <w:rFonts w:ascii="Times New Roman" w:eastAsia="Times New Roman" w:hAnsi="Times New Roman" w:cs="Times New Roman"/>
          <w:spacing w:val="2"/>
          <w:sz w:val="24"/>
          <w:szCs w:val="24"/>
          <w:lang w:eastAsia="sq-AL"/>
        </w:rPr>
      </w:pPr>
      <w:r w:rsidRPr="0068211D">
        <w:rPr>
          <w:rFonts w:ascii="Times New Roman" w:eastAsia="Times New Roman" w:hAnsi="Times New Roman" w:cs="Times New Roman"/>
          <w:sz w:val="24"/>
          <w:szCs w:val="24"/>
          <w:lang w:val="it-IT"/>
        </w:rPr>
        <w:t xml:space="preserve">Në lidhje </w:t>
      </w:r>
      <w:r w:rsidRPr="0068211D">
        <w:rPr>
          <w:rFonts w:ascii="Times New Roman" w:eastAsia="Times New Roman" w:hAnsi="Times New Roman" w:cs="Times New Roman"/>
          <w:b/>
          <w:sz w:val="24"/>
          <w:szCs w:val="24"/>
          <w:lang w:val="it-IT"/>
        </w:rPr>
        <w:t>me shkallën e prekjes së pyjeve nga dëmtuesit</w:t>
      </w:r>
      <w:r w:rsidRPr="0068211D">
        <w:rPr>
          <w:rFonts w:ascii="Times New Roman" w:eastAsia="Times New Roman" w:hAnsi="Times New Roman" w:cs="Times New Roman"/>
          <w:sz w:val="24"/>
          <w:szCs w:val="24"/>
          <w:lang w:val="it-IT"/>
        </w:rPr>
        <w:t xml:space="preserve"> vlerësohet se për llojet halorë</w:t>
      </w:r>
      <w:r w:rsidRPr="0068211D">
        <w:rPr>
          <w:rFonts w:ascii="Times New Roman" w:eastAsia="Times New Roman" w:hAnsi="Times New Roman" w:cs="Times New Roman"/>
          <w:b/>
          <w:sz w:val="24"/>
          <w:szCs w:val="24"/>
          <w:lang w:val="it-IT"/>
        </w:rPr>
        <w:t xml:space="preserve"> </w:t>
      </w:r>
      <w:r w:rsidRPr="0068211D">
        <w:rPr>
          <w:rFonts w:ascii="Times New Roman" w:eastAsia="Times New Roman" w:hAnsi="Times New Roman" w:cs="Times New Roman"/>
          <w:spacing w:val="2"/>
          <w:sz w:val="24"/>
          <w:szCs w:val="24"/>
          <w:lang w:eastAsia="sq-AL"/>
        </w:rPr>
        <w:t>pishë e zezë,</w:t>
      </w:r>
      <w:r w:rsidRPr="0068211D">
        <w:rPr>
          <w:rFonts w:ascii="Times New Roman" w:eastAsia="Times New Roman" w:hAnsi="Times New Roman" w:cs="Times New Roman"/>
          <w:bCs/>
          <w:spacing w:val="2"/>
          <w:sz w:val="24"/>
          <w:szCs w:val="24"/>
          <w:lang w:eastAsia="sq-AL"/>
        </w:rPr>
        <w:t xml:space="preserve"> </w:t>
      </w:r>
      <w:r w:rsidRPr="0068211D">
        <w:rPr>
          <w:rFonts w:ascii="Times New Roman" w:eastAsia="Times New Roman" w:hAnsi="Times New Roman" w:cs="Times New Roman"/>
          <w:spacing w:val="2"/>
          <w:sz w:val="24"/>
          <w:szCs w:val="24"/>
          <w:lang w:eastAsia="sq-AL"/>
        </w:rPr>
        <w:t>pishave mesdhetare, bredh si dhe halorë të tjerë kemi ulje të</w:t>
      </w:r>
      <w:r w:rsidRPr="0068211D">
        <w:rPr>
          <w:rFonts w:ascii="Times New Roman" w:eastAsia="Times New Roman" w:hAnsi="Times New Roman" w:cs="Times New Roman"/>
          <w:bCs/>
          <w:spacing w:val="2"/>
          <w:sz w:val="24"/>
          <w:szCs w:val="24"/>
          <w:lang w:val="it-IT" w:eastAsia="sq-AL"/>
        </w:rPr>
        <w:t xml:space="preserve"> përqindjes së prekjes nga dëmtuesit, në klasën e tretë (61-100%) krahasuar me vitin 2024. Gjithashtu kemi </w:t>
      </w:r>
      <w:r w:rsidRPr="0068211D">
        <w:rPr>
          <w:rFonts w:ascii="Times New Roman" w:eastAsia="Times New Roman" w:hAnsi="Times New Roman" w:cs="Times New Roman"/>
          <w:spacing w:val="2"/>
          <w:sz w:val="24"/>
          <w:szCs w:val="24"/>
          <w:lang w:eastAsia="sq-AL"/>
        </w:rPr>
        <w:t>ulje të</w:t>
      </w:r>
      <w:r w:rsidRPr="0068211D">
        <w:rPr>
          <w:rFonts w:ascii="Times New Roman" w:eastAsia="Times New Roman" w:hAnsi="Times New Roman" w:cs="Times New Roman"/>
          <w:bCs/>
          <w:spacing w:val="2"/>
          <w:sz w:val="24"/>
          <w:szCs w:val="24"/>
          <w:lang w:val="it-IT" w:eastAsia="sq-AL"/>
        </w:rPr>
        <w:t xml:space="preserve"> përqindjes së prekjes nga dëmtuesit, në klasën e tretë (61-100%) për llojet fletorë </w:t>
      </w:r>
      <w:r w:rsidRPr="0068211D">
        <w:rPr>
          <w:rFonts w:ascii="Times New Roman" w:eastAsia="Times New Roman" w:hAnsi="Times New Roman" w:cs="Times New Roman"/>
          <w:spacing w:val="2"/>
          <w:sz w:val="24"/>
          <w:szCs w:val="24"/>
          <w:lang w:eastAsia="sq-AL"/>
        </w:rPr>
        <w:t>ah, mështeknë, dushqeve, gështenjë si dhe fletorë të tjerë krahasuar me vitin 2024.</w:t>
      </w:r>
    </w:p>
    <w:p w:rsidR="0068211D" w:rsidRPr="0068211D" w:rsidRDefault="0068211D" w:rsidP="0068211D">
      <w:pPr>
        <w:spacing w:after="0" w:line="240" w:lineRule="auto"/>
        <w:jc w:val="both"/>
        <w:rPr>
          <w:rFonts w:ascii="Times New Roman" w:eastAsia="Times New Roman" w:hAnsi="Times New Roman" w:cs="Times New Roman"/>
          <w:spacing w:val="2"/>
          <w:sz w:val="24"/>
          <w:szCs w:val="24"/>
          <w:lang w:eastAsia="sq-AL"/>
        </w:rPr>
      </w:pPr>
    </w:p>
    <w:p w:rsidR="0068211D" w:rsidRPr="0068211D" w:rsidRDefault="0068211D" w:rsidP="0068211D">
      <w:pPr>
        <w:spacing w:after="0" w:line="240" w:lineRule="auto"/>
        <w:jc w:val="both"/>
        <w:rPr>
          <w:rFonts w:ascii="Times New Roman" w:eastAsia="Times New Roman" w:hAnsi="Times New Roman" w:cs="Times New Roman"/>
          <w:b/>
          <w:sz w:val="24"/>
          <w:szCs w:val="24"/>
          <w:lang w:val="it-IT"/>
        </w:rPr>
      </w:pPr>
      <w:r w:rsidRPr="0068211D">
        <w:rPr>
          <w:rFonts w:ascii="Times New Roman" w:eastAsia="Times New Roman" w:hAnsi="Times New Roman" w:cs="Times New Roman"/>
          <w:sz w:val="24"/>
          <w:szCs w:val="24"/>
          <w:lang w:val="it-IT"/>
        </w:rPr>
        <w:t>Përsa i përket shkallës së prekjes nga sëmundjet vlerësohet se kemi ulje të përqindjes</w:t>
      </w:r>
      <w:r w:rsidRPr="0068211D">
        <w:rPr>
          <w:rFonts w:ascii="Times New Roman" w:eastAsia="Times New Roman" w:hAnsi="Times New Roman" w:cs="Times New Roman"/>
          <w:b/>
          <w:sz w:val="24"/>
          <w:szCs w:val="24"/>
          <w:lang w:val="it-IT"/>
        </w:rPr>
        <w:t xml:space="preserve"> </w:t>
      </w:r>
      <w:r w:rsidRPr="0068211D">
        <w:rPr>
          <w:rFonts w:ascii="Times New Roman" w:eastAsia="Times New Roman" w:hAnsi="Times New Roman" w:cs="Times New Roman"/>
          <w:bCs/>
          <w:spacing w:val="2"/>
          <w:sz w:val="24"/>
          <w:szCs w:val="24"/>
          <w:lang w:val="it-IT" w:eastAsia="sq-AL"/>
        </w:rPr>
        <w:t>në klasën e tretë (61-100%)  krahasuar me vitin 2024 për llojet halorë (</w:t>
      </w:r>
      <w:r w:rsidRPr="0068211D">
        <w:rPr>
          <w:rFonts w:ascii="Times New Roman" w:eastAsia="Times New Roman" w:hAnsi="Times New Roman" w:cs="Times New Roman"/>
          <w:spacing w:val="2"/>
          <w:sz w:val="24"/>
          <w:szCs w:val="24"/>
          <w:lang w:eastAsia="sq-AL"/>
        </w:rPr>
        <w:t>pishë e zezë,</w:t>
      </w:r>
      <w:r w:rsidRPr="0068211D">
        <w:rPr>
          <w:rFonts w:ascii="Times New Roman" w:eastAsia="Times New Roman" w:hAnsi="Times New Roman" w:cs="Times New Roman"/>
          <w:bCs/>
          <w:spacing w:val="2"/>
          <w:sz w:val="24"/>
          <w:szCs w:val="24"/>
          <w:lang w:eastAsia="sq-AL"/>
        </w:rPr>
        <w:t xml:space="preserve"> </w:t>
      </w:r>
      <w:r w:rsidRPr="0068211D">
        <w:rPr>
          <w:rFonts w:ascii="Times New Roman" w:eastAsia="Times New Roman" w:hAnsi="Times New Roman" w:cs="Times New Roman"/>
          <w:spacing w:val="2"/>
          <w:sz w:val="24"/>
          <w:szCs w:val="24"/>
          <w:lang w:eastAsia="sq-AL"/>
        </w:rPr>
        <w:t>pishave mesdhetare, bredh si dhe halorë të tjerë) ashtu edhe për llojet fletorë (ah, mështeknë, dushqeve, gështenjë si dhe fletorë të tjerë).</w:t>
      </w:r>
    </w:p>
    <w:p w:rsidR="0068211D" w:rsidRPr="0068211D" w:rsidRDefault="0068211D" w:rsidP="0068211D">
      <w:pPr>
        <w:tabs>
          <w:tab w:val="center" w:pos="4680"/>
          <w:tab w:val="right" w:pos="9360"/>
        </w:tabs>
        <w:spacing w:after="0" w:line="240" w:lineRule="auto"/>
        <w:jc w:val="both"/>
        <w:rPr>
          <w:rFonts w:ascii="Times New Roman" w:eastAsia="Calibri" w:hAnsi="Times New Roman" w:cs="Times New Roman"/>
          <w:sz w:val="24"/>
          <w:szCs w:val="24"/>
          <w:lang w:val="it-IT"/>
        </w:rPr>
      </w:pPr>
    </w:p>
    <w:p w:rsidR="0068211D" w:rsidRPr="0068211D" w:rsidRDefault="0068211D" w:rsidP="0068211D">
      <w:pPr>
        <w:spacing w:after="0" w:line="240" w:lineRule="auto"/>
        <w:jc w:val="both"/>
        <w:rPr>
          <w:rFonts w:ascii="Times New Roman" w:eastAsia="Times New Roman" w:hAnsi="Times New Roman" w:cs="Times New Roman"/>
          <w:b/>
          <w:sz w:val="24"/>
          <w:szCs w:val="24"/>
          <w:u w:val="single"/>
          <w:lang w:val="it-IT"/>
        </w:rPr>
      </w:pPr>
      <w:r w:rsidRPr="0068211D">
        <w:rPr>
          <w:rFonts w:ascii="Times New Roman" w:eastAsia="Times New Roman" w:hAnsi="Times New Roman" w:cs="Times New Roman"/>
          <w:b/>
          <w:iCs/>
          <w:sz w:val="24"/>
          <w:szCs w:val="24"/>
          <w:u w:val="single"/>
          <w:lang w:val="it-IT"/>
        </w:rPr>
        <w:lastRenderedPageBreak/>
        <w:t>Vlerësimi i llojeve drunore dhe bimëve aromatiko-mjekësore të kërcënuara dhe në rrezik zhdukje.</w:t>
      </w:r>
    </w:p>
    <w:p w:rsidR="0068211D" w:rsidRPr="0068211D" w:rsidRDefault="0068211D" w:rsidP="0068211D">
      <w:pPr>
        <w:spacing w:after="0" w:line="240" w:lineRule="auto"/>
        <w:jc w:val="both"/>
        <w:rPr>
          <w:rFonts w:ascii="Times New Roman" w:eastAsia="Times New Roman" w:hAnsi="Times New Roman" w:cs="Times New Roman"/>
          <w:b/>
          <w:sz w:val="24"/>
          <w:szCs w:val="24"/>
          <w:lang w:val="it-IT"/>
        </w:rPr>
      </w:pPr>
    </w:p>
    <w:p w:rsidR="0068211D" w:rsidRPr="0068211D" w:rsidRDefault="0068211D" w:rsidP="0068211D">
      <w:pPr>
        <w:spacing w:after="200" w:line="276" w:lineRule="auto"/>
        <w:jc w:val="both"/>
        <w:rPr>
          <w:rFonts w:ascii="Times New Roman" w:eastAsia="Calibri" w:hAnsi="Times New Roman" w:cs="Times New Roman"/>
          <w:b/>
          <w:i/>
          <w:sz w:val="24"/>
          <w:szCs w:val="24"/>
        </w:rPr>
      </w:pPr>
      <w:r w:rsidRPr="0068211D">
        <w:rPr>
          <w:rFonts w:ascii="Times New Roman" w:eastAsia="Calibri" w:hAnsi="Times New Roman" w:cs="Times New Roman"/>
          <w:b/>
          <w:i/>
          <w:sz w:val="24"/>
          <w:szCs w:val="24"/>
        </w:rPr>
        <w:t>Llojet drunore</w:t>
      </w:r>
    </w:p>
    <w:p w:rsidR="0068211D" w:rsidRPr="0068211D" w:rsidRDefault="0068211D" w:rsidP="0068211D">
      <w:pPr>
        <w:spacing w:after="200" w:line="276" w:lineRule="auto"/>
        <w:jc w:val="both"/>
        <w:rPr>
          <w:rFonts w:ascii="Times New Roman" w:eastAsia="Calibri" w:hAnsi="Times New Roman" w:cs="Times New Roman"/>
          <w:sz w:val="24"/>
          <w:szCs w:val="24"/>
        </w:rPr>
      </w:pPr>
      <w:r w:rsidRPr="0068211D">
        <w:rPr>
          <w:rFonts w:ascii="Times New Roman" w:eastAsia="Calibri" w:hAnsi="Times New Roman" w:cs="Times New Roman"/>
          <w:sz w:val="24"/>
          <w:szCs w:val="24"/>
        </w:rPr>
        <w:t>Nga vëzhgimi në terren, rezulton se për llojet drunore</w:t>
      </w:r>
      <w:r w:rsidRPr="0068211D">
        <w:rPr>
          <w:rFonts w:ascii="Times New Roman" w:eastAsia="Calibri" w:hAnsi="Times New Roman" w:cs="Times New Roman"/>
          <w:b/>
          <w:iCs/>
          <w:sz w:val="24"/>
          <w:szCs w:val="24"/>
          <w:lang w:val="it-IT"/>
        </w:rPr>
        <w:t xml:space="preserve"> </w:t>
      </w:r>
      <w:r w:rsidRPr="0068211D">
        <w:rPr>
          <w:rFonts w:ascii="Times New Roman" w:eastAsia="Calibri" w:hAnsi="Times New Roman" w:cs="Times New Roman"/>
          <w:iCs/>
          <w:sz w:val="24"/>
          <w:szCs w:val="24"/>
          <w:lang w:val="it-IT"/>
        </w:rPr>
        <w:t>Rrobull, Arnen, Hartina, llqja ,</w:t>
      </w:r>
      <w:r w:rsidRPr="0068211D">
        <w:rPr>
          <w:rFonts w:ascii="Times New Roman" w:eastAsia="Calibri" w:hAnsi="Times New Roman" w:cs="Times New Roman"/>
          <w:sz w:val="24"/>
          <w:szCs w:val="24"/>
          <w:lang w:val="it-IT"/>
        </w:rPr>
        <w:t>Rrenja</w:t>
      </w:r>
      <w:r w:rsidRPr="0068211D">
        <w:rPr>
          <w:rFonts w:ascii="Times New Roman" w:eastAsia="Calibri" w:hAnsi="Times New Roman" w:cs="Times New Roman"/>
          <w:iCs/>
          <w:sz w:val="24"/>
          <w:szCs w:val="24"/>
          <w:lang w:val="it-IT"/>
        </w:rPr>
        <w:t xml:space="preserve"> </w:t>
      </w:r>
      <w:r w:rsidRPr="0068211D">
        <w:rPr>
          <w:rFonts w:ascii="Times New Roman" w:eastAsia="Calibri" w:hAnsi="Times New Roman" w:cs="Times New Roman"/>
          <w:sz w:val="24"/>
          <w:szCs w:val="24"/>
          <w:lang w:val="it-IT"/>
        </w:rPr>
        <w:t>Drunakuqja</w:t>
      </w:r>
      <w:r w:rsidRPr="0068211D">
        <w:rPr>
          <w:rFonts w:ascii="Times New Roman" w:eastAsia="Calibri" w:hAnsi="Times New Roman" w:cs="Times New Roman"/>
          <w:iCs/>
          <w:sz w:val="24"/>
          <w:szCs w:val="24"/>
          <w:lang w:val="it-IT"/>
        </w:rPr>
        <w:t xml:space="preserve"> </w:t>
      </w:r>
      <w:r w:rsidRPr="0068211D">
        <w:rPr>
          <w:rFonts w:ascii="Times New Roman" w:eastAsia="Calibri" w:hAnsi="Times New Roman" w:cs="Times New Roman"/>
          <w:sz w:val="24"/>
          <w:szCs w:val="24"/>
          <w:lang w:val="it-IT"/>
        </w:rPr>
        <w:t xml:space="preserve">Caraca , Tisi, </w:t>
      </w:r>
      <w:r w:rsidRPr="0068211D">
        <w:rPr>
          <w:rFonts w:ascii="Times New Roman" w:eastAsia="Calibri" w:hAnsi="Times New Roman" w:cs="Times New Roman"/>
          <w:iCs/>
          <w:sz w:val="24"/>
          <w:szCs w:val="24"/>
          <w:lang w:val="it-IT"/>
        </w:rPr>
        <w:t>Venja, Geshtenja e kalit, Meshtekna ( gjendja vegjetative dhe fitosanitare paraqitet e mirë. Lajthi e egër paraqitet në  gjendje vegjetative mesatare</w:t>
      </w:r>
      <w:r w:rsidRPr="0068211D">
        <w:rPr>
          <w:rFonts w:ascii="Times New Roman" w:eastAsia="Calibri" w:hAnsi="Times New Roman" w:cs="Times New Roman"/>
          <w:sz w:val="24"/>
          <w:szCs w:val="24"/>
        </w:rPr>
        <w:t xml:space="preserve">. </w:t>
      </w:r>
      <w:r w:rsidRPr="0068211D">
        <w:rPr>
          <w:rFonts w:ascii="Times New Roman" w:eastAsia="Times New Roman" w:hAnsi="Times New Roman" w:cs="Times New Roman"/>
          <w:sz w:val="24"/>
          <w:szCs w:val="24"/>
          <w:lang w:val="sq-AL" w:eastAsia="sq-AL"/>
        </w:rPr>
        <w:t>Valanidhi</w:t>
      </w:r>
      <w:r w:rsidRPr="0068211D">
        <w:rPr>
          <w:rFonts w:ascii="Times New Roman" w:eastAsia="Times New Roman" w:hAnsi="Times New Roman" w:cs="Times New Roman"/>
          <w:i/>
          <w:iCs/>
          <w:sz w:val="24"/>
          <w:szCs w:val="24"/>
          <w:lang w:val="sq-AL" w:eastAsia="sq-AL"/>
        </w:rPr>
        <w:t xml:space="preserve"> </w:t>
      </w:r>
      <w:r w:rsidRPr="0068211D">
        <w:rPr>
          <w:rFonts w:ascii="Times New Roman" w:eastAsia="Times New Roman" w:hAnsi="Times New Roman" w:cs="Times New Roman"/>
          <w:iCs/>
          <w:sz w:val="24"/>
          <w:szCs w:val="24"/>
          <w:lang w:val="sq-AL" w:eastAsia="sq-AL"/>
        </w:rPr>
        <w:t>është në gjendje vegjetative jo të mirë</w:t>
      </w:r>
      <w:r w:rsidRPr="0068211D">
        <w:rPr>
          <w:rFonts w:ascii="Times New Roman" w:eastAsia="Times New Roman" w:hAnsi="Times New Roman" w:cs="Times New Roman"/>
          <w:sz w:val="24"/>
          <w:szCs w:val="24"/>
          <w:lang w:val="sq-AL" w:eastAsia="sq-AL"/>
        </w:rPr>
        <w:t>.</w:t>
      </w:r>
    </w:p>
    <w:p w:rsidR="0068211D" w:rsidRPr="0068211D" w:rsidRDefault="0068211D" w:rsidP="0068211D">
      <w:pPr>
        <w:spacing w:after="0" w:line="240" w:lineRule="auto"/>
        <w:jc w:val="both"/>
        <w:rPr>
          <w:rFonts w:ascii="Times New Roman" w:eastAsia="Times New Roman" w:hAnsi="Times New Roman" w:cs="Times New Roman"/>
          <w:sz w:val="24"/>
          <w:szCs w:val="24"/>
          <w:lang w:eastAsia="sq-AL"/>
        </w:rPr>
      </w:pPr>
    </w:p>
    <w:p w:rsidR="0068211D" w:rsidRPr="0068211D" w:rsidRDefault="0068211D" w:rsidP="0068211D">
      <w:pPr>
        <w:rPr>
          <w:rFonts w:ascii="Times New Roman" w:eastAsia="Calibri" w:hAnsi="Times New Roman" w:cs="Times New Roman"/>
          <w:b/>
          <w:i/>
          <w:iCs/>
          <w:sz w:val="24"/>
          <w:szCs w:val="24"/>
          <w:lang w:val="it-IT"/>
        </w:rPr>
      </w:pPr>
      <w:r w:rsidRPr="0068211D">
        <w:rPr>
          <w:rFonts w:ascii="Times New Roman" w:eastAsia="Calibri" w:hAnsi="Times New Roman" w:cs="Times New Roman"/>
          <w:b/>
          <w:i/>
          <w:iCs/>
          <w:sz w:val="24"/>
          <w:szCs w:val="24"/>
          <w:lang w:val="it-IT"/>
        </w:rPr>
        <w:t>Bimët aromatike-mjekësore</w:t>
      </w:r>
    </w:p>
    <w:p w:rsidR="0068211D" w:rsidRPr="0068211D" w:rsidRDefault="0068211D" w:rsidP="0068211D">
      <w:pPr>
        <w:spacing w:after="200" w:line="276" w:lineRule="auto"/>
        <w:jc w:val="both"/>
        <w:rPr>
          <w:rFonts w:ascii="Times New Roman" w:eastAsia="Calibri" w:hAnsi="Times New Roman" w:cs="Times New Roman"/>
          <w:sz w:val="24"/>
          <w:szCs w:val="24"/>
        </w:rPr>
      </w:pPr>
      <w:r w:rsidRPr="0068211D">
        <w:rPr>
          <w:rFonts w:ascii="Times New Roman" w:eastAsia="Calibri" w:hAnsi="Times New Roman" w:cs="Times New Roman"/>
          <w:sz w:val="24"/>
          <w:szCs w:val="24"/>
        </w:rPr>
        <w:t xml:space="preserve">Nga verifikimi i bërë në terren  i bimëve  aromatike mjekësore , u vu re që kanë një gjendje shumë të mirë vegjetative - fitosanitare  </w:t>
      </w:r>
      <w:r w:rsidRPr="0068211D">
        <w:rPr>
          <w:rFonts w:ascii="Times New Roman" w:eastAsia="Calibri" w:hAnsi="Times New Roman" w:cs="Times New Roman"/>
          <w:b/>
          <w:sz w:val="24"/>
          <w:szCs w:val="24"/>
        </w:rPr>
        <w:t>kultura e Çajit</w:t>
      </w:r>
      <w:r w:rsidRPr="0068211D">
        <w:rPr>
          <w:rFonts w:ascii="Times New Roman" w:eastAsia="Calibri" w:hAnsi="Times New Roman" w:cs="Times New Roman"/>
          <w:sz w:val="24"/>
          <w:szCs w:val="24"/>
        </w:rPr>
        <w:t xml:space="preserve"> </w:t>
      </w:r>
      <w:r w:rsidRPr="0068211D">
        <w:rPr>
          <w:rFonts w:ascii="Times New Roman" w:eastAsia="Calibri" w:hAnsi="Times New Roman" w:cs="Times New Roman"/>
          <w:b/>
          <w:sz w:val="24"/>
          <w:szCs w:val="24"/>
        </w:rPr>
        <w:t>të malit</w:t>
      </w:r>
      <w:r w:rsidRPr="0068211D">
        <w:rPr>
          <w:rFonts w:ascii="Times New Roman" w:eastAsia="Calibri" w:hAnsi="Times New Roman" w:cs="Times New Roman"/>
          <w:sz w:val="24"/>
          <w:szCs w:val="24"/>
        </w:rPr>
        <w:t xml:space="preserve">  dhe </w:t>
      </w:r>
      <w:r w:rsidRPr="0068211D">
        <w:rPr>
          <w:rFonts w:ascii="Times New Roman" w:eastAsia="Calibri" w:hAnsi="Times New Roman" w:cs="Times New Roman"/>
          <w:b/>
          <w:sz w:val="24"/>
          <w:szCs w:val="24"/>
        </w:rPr>
        <w:t>kultura e Boronicës</w:t>
      </w:r>
      <w:r w:rsidRPr="0068211D">
        <w:rPr>
          <w:rFonts w:ascii="Times New Roman" w:eastAsia="Calibri" w:hAnsi="Times New Roman" w:cs="Times New Roman"/>
          <w:sz w:val="24"/>
          <w:szCs w:val="24"/>
        </w:rPr>
        <w:t xml:space="preserve">. </w:t>
      </w:r>
      <w:r w:rsidRPr="0068211D">
        <w:rPr>
          <w:rFonts w:ascii="Times New Roman" w:eastAsia="Calibri" w:hAnsi="Times New Roman" w:cs="Times New Roman"/>
          <w:b/>
          <w:sz w:val="24"/>
          <w:szCs w:val="24"/>
        </w:rPr>
        <w:t xml:space="preserve"> kultura e Xhirokullit,  </w:t>
      </w:r>
      <w:r w:rsidRPr="0068211D">
        <w:rPr>
          <w:rFonts w:ascii="Times New Roman" w:eastAsia="Calibri" w:hAnsi="Times New Roman" w:cs="Times New Roman"/>
          <w:sz w:val="24"/>
          <w:szCs w:val="24"/>
        </w:rPr>
        <w:t xml:space="preserve">ka një gjendje të mirë vegjetative dhe një rritje të lehtë të numrit të bimëve. Ndësa </w:t>
      </w:r>
      <w:r w:rsidRPr="0068211D">
        <w:rPr>
          <w:rFonts w:ascii="Times New Roman" w:eastAsia="Calibri" w:hAnsi="Times New Roman" w:cs="Times New Roman"/>
          <w:b/>
          <w:sz w:val="24"/>
          <w:szCs w:val="24"/>
        </w:rPr>
        <w:t>kultura e Salepit</w:t>
      </w:r>
      <w:r w:rsidRPr="0068211D">
        <w:rPr>
          <w:rFonts w:ascii="Times New Roman" w:eastAsia="Calibri" w:hAnsi="Times New Roman" w:cs="Times New Roman"/>
          <w:sz w:val="24"/>
          <w:szCs w:val="24"/>
        </w:rPr>
        <w:t xml:space="preserve"> ka një gjëndje vegjetative të dobët , sa vjen dhe po rrezikohet, numri i  bimëve  i pandryshuar nga viti i kaluar. Kjo si pasojë e mos zbatimit të rregullave të grumbullimit nga ana e personave të paliçensuar. </w:t>
      </w:r>
    </w:p>
    <w:p w:rsidR="0068211D" w:rsidRPr="0068211D" w:rsidRDefault="0068211D" w:rsidP="0068211D">
      <w:pPr>
        <w:spacing w:after="200" w:line="276" w:lineRule="auto"/>
        <w:jc w:val="both"/>
        <w:rPr>
          <w:rFonts w:ascii="Times New Roman" w:eastAsia="Times New Roman" w:hAnsi="Times New Roman" w:cs="Times New Roman"/>
          <w:b/>
          <w:color w:val="000000"/>
          <w:sz w:val="24"/>
          <w:szCs w:val="24"/>
          <w:u w:val="single"/>
          <w:lang w:val="en-GB"/>
        </w:rPr>
      </w:pPr>
      <w:r w:rsidRPr="0068211D">
        <w:rPr>
          <w:rFonts w:ascii="Times New Roman" w:eastAsia="Calibri" w:hAnsi="Times New Roman" w:cs="Times New Roman"/>
          <w:b/>
          <w:sz w:val="24"/>
          <w:szCs w:val="24"/>
          <w:u w:val="single"/>
        </w:rPr>
        <w:t>Zonat e mbrojtura</w:t>
      </w:r>
      <w:r w:rsidRPr="0068211D">
        <w:rPr>
          <w:rFonts w:ascii="Times New Roman" w:eastAsia="Times New Roman" w:hAnsi="Times New Roman" w:cs="Times New Roman"/>
          <w:b/>
          <w:color w:val="000000"/>
          <w:sz w:val="24"/>
          <w:szCs w:val="24"/>
          <w:u w:val="single"/>
          <w:lang w:val="en-GB"/>
        </w:rPr>
        <w:t xml:space="preserve"> </w:t>
      </w:r>
    </w:p>
    <w:p w:rsidR="0068211D" w:rsidRPr="0068211D" w:rsidRDefault="0068211D" w:rsidP="0068211D">
      <w:pPr>
        <w:spacing w:after="0" w:line="23" w:lineRule="atLeast"/>
        <w:rPr>
          <w:rFonts w:ascii="Times New Roman" w:eastAsia="Times New Roman" w:hAnsi="Times New Roman" w:cs="Times New Roman"/>
          <w:color w:val="000000"/>
          <w:sz w:val="24"/>
          <w:szCs w:val="24"/>
          <w:u w:color="000000"/>
          <w:lang w:val="it-IT"/>
        </w:rPr>
      </w:pPr>
      <w:r w:rsidRPr="0068211D">
        <w:rPr>
          <w:rFonts w:ascii="Times New Roman" w:eastAsia="Times New Roman" w:hAnsi="Times New Roman" w:cs="Times New Roman"/>
          <w:color w:val="000000"/>
          <w:sz w:val="24"/>
          <w:szCs w:val="24"/>
          <w:u w:color="000000"/>
          <w:lang w:val="it-IT"/>
        </w:rPr>
        <w:t xml:space="preserve">Për vitin 2025, sipërfaqja totale e Zonave të Mbrojtura mjedisore është </w:t>
      </w:r>
      <w:r w:rsidRPr="0068211D">
        <w:rPr>
          <w:rFonts w:ascii="Times New Roman" w:eastAsia="Times New Roman" w:hAnsi="Times New Roman" w:cs="Times New Roman"/>
          <w:color w:val="000000"/>
          <w:sz w:val="24"/>
          <w:szCs w:val="24"/>
          <w:u w:color="000000"/>
          <w:lang w:val="sq-AL"/>
        </w:rPr>
        <w:t>21.76 % e sipërfaqes të Republikës  së Shqipërisë.</w:t>
      </w:r>
      <w:r w:rsidRPr="0068211D">
        <w:rPr>
          <w:rFonts w:ascii="Times New Roman" w:eastAsia="Times New Roman" w:hAnsi="Times New Roman" w:cs="Times New Roman"/>
          <w:color w:val="000000"/>
          <w:sz w:val="24"/>
          <w:szCs w:val="24"/>
          <w:u w:color="000000"/>
          <w:lang w:val="it-IT"/>
        </w:rPr>
        <w:t xml:space="preserve"> Siperfaqja tokësore e Zonave të Mbrojtura mjedisore është 544572,2 ha  e shprehur në përqindje rezulton afërsisht 87 %. Sipërfaqja ujore e Zonave të Mbrojtura është 80978,4 ha, e shprehur në përqindje rezulton afërsisht 13 %.</w:t>
      </w:r>
    </w:p>
    <w:p w:rsidR="0068211D" w:rsidRPr="0068211D" w:rsidRDefault="0068211D" w:rsidP="0068211D">
      <w:pPr>
        <w:spacing w:after="0" w:line="23" w:lineRule="atLeast"/>
        <w:rPr>
          <w:rFonts w:ascii="Times New Roman" w:eastAsia="Times New Roman" w:hAnsi="Times New Roman" w:cs="Times New Roman"/>
          <w:color w:val="000000"/>
          <w:sz w:val="24"/>
          <w:szCs w:val="24"/>
          <w:u w:color="000000"/>
          <w:lang w:val="it-IT"/>
        </w:rPr>
      </w:pPr>
    </w:p>
    <w:p w:rsidR="0068211D" w:rsidRPr="0068211D" w:rsidRDefault="0068211D" w:rsidP="0068211D">
      <w:pPr>
        <w:spacing w:after="0" w:line="23" w:lineRule="atLeast"/>
        <w:rPr>
          <w:rFonts w:ascii="Times New Roman" w:eastAsia="Times New Roman" w:hAnsi="Times New Roman" w:cs="Times New Roman"/>
          <w:color w:val="000000"/>
          <w:sz w:val="24"/>
          <w:szCs w:val="24"/>
          <w:u w:color="000000"/>
          <w:lang w:val="it-IT"/>
        </w:rPr>
      </w:pPr>
    </w:p>
    <w:p w:rsidR="0068211D" w:rsidRPr="0068211D" w:rsidRDefault="0068211D" w:rsidP="0068211D">
      <w:pPr>
        <w:spacing w:after="0" w:line="23" w:lineRule="atLeast"/>
        <w:rPr>
          <w:rFonts w:ascii="Times New Roman" w:eastAsia="Times New Roman" w:hAnsi="Times New Roman" w:cs="Times New Roman"/>
          <w:color w:val="000000"/>
          <w:sz w:val="24"/>
          <w:szCs w:val="24"/>
          <w:u w:color="000000"/>
          <w:lang w:val="it-IT"/>
        </w:rPr>
      </w:pPr>
      <w:r w:rsidRPr="0068211D">
        <w:rPr>
          <w:rFonts w:ascii="Times New Roman" w:eastAsia="Times New Roman" w:hAnsi="Times New Roman" w:cs="Times New Roman"/>
          <w:color w:val="000000"/>
          <w:sz w:val="24"/>
          <w:szCs w:val="24"/>
          <w:u w:color="000000"/>
          <w:lang w:val="en-GB"/>
        </w:rPr>
        <w:t>Sipërfaqja totale e zonave të mbrojtura për vitin 2025 është 625,550 ha, duke shënuar një rritje të sipërfaqes së tyre krahasuar me vitin 2024 që ishte 624,610 ha.</w:t>
      </w:r>
    </w:p>
    <w:p w:rsidR="0068211D" w:rsidRPr="0068211D" w:rsidRDefault="0068211D" w:rsidP="0068211D">
      <w:pPr>
        <w:spacing w:after="200" w:line="276" w:lineRule="auto"/>
        <w:jc w:val="both"/>
        <w:rPr>
          <w:rFonts w:ascii="Times New Roman" w:eastAsia="Calibri" w:hAnsi="Times New Roman" w:cs="Times New Roman"/>
          <w:sz w:val="24"/>
          <w:szCs w:val="24"/>
        </w:rPr>
      </w:pPr>
    </w:p>
    <w:p w:rsidR="0068211D" w:rsidRPr="0068211D" w:rsidRDefault="0068211D" w:rsidP="0068211D">
      <w:pPr>
        <w:spacing w:after="200" w:line="276" w:lineRule="auto"/>
        <w:jc w:val="both"/>
        <w:rPr>
          <w:rFonts w:ascii="Times New Roman" w:eastAsia="Calibri" w:hAnsi="Times New Roman" w:cs="Times New Roman"/>
          <w:sz w:val="24"/>
          <w:szCs w:val="24"/>
        </w:rPr>
      </w:pPr>
      <w:r w:rsidRPr="0068211D">
        <w:rPr>
          <w:rFonts w:ascii="Times New Roman" w:eastAsia="Times New Roman" w:hAnsi="Times New Roman" w:cs="Times New Roman"/>
          <w:color w:val="000000"/>
          <w:sz w:val="24"/>
          <w:szCs w:val="24"/>
          <w:u w:color="000000"/>
          <w:lang w:val="en-GB"/>
        </w:rPr>
        <w:t xml:space="preserve">Referuar  Censusit për vitin 2025 të numërimit të shpendëve në 34 vendnumërime (ligatina, lumenj, liqene, rezervuare, ekosisteme bregdetare etj), në të gjithë vendin tonë rezulton se në total u regjistruan 64 lloje (specie) shpendësh, me një numër total individësh prej 112516. Lloji me numër më të madh të individëve, është bajza </w:t>
      </w:r>
      <w:r w:rsidRPr="0068211D">
        <w:rPr>
          <w:rFonts w:ascii="Times New Roman" w:eastAsia="Times New Roman" w:hAnsi="Times New Roman" w:cs="Times New Roman"/>
          <w:i/>
          <w:color w:val="000000"/>
          <w:sz w:val="24"/>
          <w:szCs w:val="24"/>
          <w:u w:color="000000"/>
          <w:lang w:val="en-GB"/>
        </w:rPr>
        <w:t>(Fulica atra)</w:t>
      </w:r>
      <w:r w:rsidRPr="0068211D">
        <w:rPr>
          <w:rFonts w:ascii="Times New Roman" w:eastAsia="Times New Roman" w:hAnsi="Times New Roman" w:cs="Times New Roman"/>
          <w:color w:val="000000"/>
          <w:sz w:val="24"/>
          <w:szCs w:val="24"/>
          <w:u w:color="000000"/>
          <w:lang w:val="en-GB"/>
        </w:rPr>
        <w:t>.</w:t>
      </w:r>
    </w:p>
    <w:p w:rsidR="0068211D" w:rsidRPr="0068211D" w:rsidRDefault="0068211D" w:rsidP="0068211D">
      <w:pPr>
        <w:jc w:val="both"/>
        <w:rPr>
          <w:rFonts w:ascii="Times New Roman" w:eastAsia="Calibri" w:hAnsi="Times New Roman" w:cs="Times New Roman"/>
          <w:color w:val="000000"/>
          <w:sz w:val="24"/>
          <w:szCs w:val="24"/>
          <w:u w:color="000000"/>
          <w:lang w:val="sq-AL"/>
        </w:rPr>
      </w:pPr>
      <w:r w:rsidRPr="0068211D">
        <w:rPr>
          <w:rFonts w:ascii="Times New Roman" w:eastAsia="Times New Roman" w:hAnsi="Times New Roman" w:cs="Times New Roman"/>
          <w:color w:val="000000"/>
          <w:sz w:val="24"/>
          <w:szCs w:val="24"/>
          <w:u w:color="000000"/>
          <w:lang w:val="en-GB"/>
        </w:rPr>
        <w:t>Nga Vëzhgim-Monitorimi i Faunës së Egër, në territoret e sistemit të Zonave të Mbrojtura Mjedisore, sipas specieve të përcaktuara për këtë qëllim vlerësohet se janë gjithsej 40 specie.</w:t>
      </w:r>
      <w:r w:rsidRPr="0068211D">
        <w:rPr>
          <w:rFonts w:ascii="Times New Roman" w:eastAsia="Calibri" w:hAnsi="Times New Roman" w:cs="Times New Roman"/>
          <w:color w:val="000000"/>
          <w:sz w:val="24"/>
          <w:szCs w:val="24"/>
          <w:u w:color="000000"/>
          <w:lang w:val="sq-AL"/>
        </w:rPr>
        <w:t xml:space="preserve"> Nga këto specie, 13 janë gjitarë dhe 27 prej tyre janë shpendë.</w:t>
      </w:r>
    </w:p>
    <w:p w:rsidR="0068211D" w:rsidRPr="0068211D" w:rsidRDefault="0068211D" w:rsidP="00807975">
      <w:pPr>
        <w:pStyle w:val="ListParagraph"/>
        <w:numPr>
          <w:ilvl w:val="0"/>
          <w:numId w:val="156"/>
        </w:numPr>
        <w:jc w:val="both"/>
        <w:rPr>
          <w:rFonts w:ascii="Times New Roman" w:eastAsia="Calibri" w:hAnsi="Times New Roman" w:cs="Times New Roman"/>
          <w:color w:val="000000"/>
          <w:sz w:val="24"/>
          <w:szCs w:val="24"/>
          <w:u w:color="000000"/>
          <w:lang w:val="sq-AL"/>
        </w:rPr>
      </w:pPr>
      <w:r w:rsidRPr="0068211D">
        <w:rPr>
          <w:rFonts w:ascii="Times New Roman" w:eastAsia="Calibri" w:hAnsi="Times New Roman" w:cs="Times New Roman"/>
          <w:b/>
          <w:color w:val="000000"/>
          <w:sz w:val="24"/>
          <w:szCs w:val="24"/>
          <w:u w:color="000000"/>
          <w:lang w:val="sq-AL"/>
        </w:rPr>
        <w:t>Ndryshimet klimatike</w:t>
      </w:r>
    </w:p>
    <w:p w:rsidR="0068211D" w:rsidRPr="0068211D" w:rsidRDefault="0068211D" w:rsidP="0068211D">
      <w:pPr>
        <w:spacing w:after="0" w:line="240" w:lineRule="auto"/>
        <w:jc w:val="both"/>
        <w:rPr>
          <w:rFonts w:ascii="Times New Roman" w:eastAsia="Aptos" w:hAnsi="Times New Roman" w:cs="Times New Roman"/>
          <w:kern w:val="2"/>
          <w:sz w:val="24"/>
          <w:szCs w:val="24"/>
          <w14:ligatures w14:val="standardContextual"/>
        </w:rPr>
      </w:pPr>
      <w:r w:rsidRPr="0068211D">
        <w:rPr>
          <w:rFonts w:ascii="Times New Roman" w:eastAsia="Aptos" w:hAnsi="Times New Roman" w:cs="Times New Roman"/>
          <w:kern w:val="2"/>
          <w:sz w:val="24"/>
          <w:szCs w:val="24"/>
          <w14:ligatures w14:val="standardContextual"/>
        </w:rPr>
        <w:t>Burimet kryesore të emetimeve përfshijnë transportin rrugor (sidomos përdorimin e naftës), industrinë e çimentos, përpunimin e mineraleve jometalike, menaxhimin e mbetjeve dhe blegtorinë.</w:t>
      </w:r>
    </w:p>
    <w:p w:rsidR="0068211D" w:rsidRPr="0068211D" w:rsidRDefault="0068211D" w:rsidP="0068211D">
      <w:pPr>
        <w:jc w:val="both"/>
        <w:rPr>
          <w:rFonts w:ascii="Times New Roman" w:eastAsia="Times New Roman" w:hAnsi="Times New Roman" w:cs="Times New Roman"/>
          <w:color w:val="000000"/>
          <w:sz w:val="24"/>
          <w:szCs w:val="24"/>
          <w:u w:color="000000"/>
          <w:lang w:val="en-GB"/>
        </w:rPr>
      </w:pPr>
      <w:r w:rsidRPr="0068211D">
        <w:rPr>
          <w:rFonts w:ascii="Times New Roman" w:eastAsia="Aptos" w:hAnsi="Times New Roman" w:cs="Times New Roman"/>
          <w:kern w:val="2"/>
          <w:sz w:val="24"/>
          <w:szCs w:val="24"/>
          <w14:ligatures w14:val="standardContextual"/>
        </w:rPr>
        <w:lastRenderedPageBreak/>
        <w:t xml:space="preserve">Ndryshimet klimatike përbëjnë një rrezik të rëndësishëm për zhvillimin e qëndrueshëm të Shqipërisë. Megjithëse vendi ka shënuar ulje të konsiderueshme të emetimeve që nga viti 1990, sfidat mbeten të mëdha, veçanërisht në sektorin e energjisë, transportit dhe mbetjeve. Forcimi i politikave klimatike, përmirësimi i sistemeve të raportimit dhe investimet në energji të rinovueshme dhe masa përshtatëse janë thelbësore për të përballuar ndikimet e ardhshme të ndryshimeve klimatike.  </w:t>
      </w:r>
    </w:p>
    <w:p w:rsidR="0068211D" w:rsidRPr="0068211D" w:rsidRDefault="0068211D" w:rsidP="00807975">
      <w:pPr>
        <w:pStyle w:val="ListParagraph"/>
        <w:numPr>
          <w:ilvl w:val="0"/>
          <w:numId w:val="157"/>
        </w:numPr>
        <w:rPr>
          <w:rFonts w:ascii="Times New Roman" w:eastAsia="Calibri" w:hAnsi="Times New Roman" w:cs="Times New Roman"/>
          <w:b/>
          <w:sz w:val="24"/>
          <w:szCs w:val="24"/>
        </w:rPr>
      </w:pPr>
      <w:r w:rsidRPr="0068211D">
        <w:rPr>
          <w:rFonts w:ascii="Times New Roman" w:eastAsia="Calibri" w:hAnsi="Times New Roman" w:cs="Times New Roman"/>
          <w:b/>
          <w:sz w:val="24"/>
          <w:szCs w:val="24"/>
        </w:rPr>
        <w:t>Ekonomia qarkulluese dhe mbetjet</w:t>
      </w:r>
    </w:p>
    <w:p w:rsidR="0068211D" w:rsidRDefault="003D2017" w:rsidP="003D2017">
      <w:pPr>
        <w:spacing w:after="0" w:line="240" w:lineRule="auto"/>
        <w:jc w:val="both"/>
        <w:rPr>
          <w:rFonts w:ascii="Times New Roman" w:eastAsia="Times New Roman" w:hAnsi="Times New Roman" w:cs="Times New Roman"/>
          <w:color w:val="000000"/>
          <w:sz w:val="24"/>
          <w:szCs w:val="24"/>
          <w:u w:color="000000"/>
          <w:lang w:val="sq-AL"/>
        </w:rPr>
      </w:pPr>
      <w:r w:rsidRPr="003D2017">
        <w:rPr>
          <w:rFonts w:ascii="Times New Roman" w:eastAsia="Times New Roman" w:hAnsi="Times New Roman" w:cs="Times New Roman"/>
          <w:color w:val="000000"/>
          <w:sz w:val="24"/>
          <w:szCs w:val="24"/>
          <w:u w:color="000000"/>
          <w:lang w:val="sq-AL"/>
        </w:rPr>
        <w:t>Vitet e fundit janë ndërmarrë hapa të rëndësishëm drejt zbatimit të parimeve të ekonomisë qarkulluese. Mbështetja e Bashkimit Evropian dhe e organizatave ndërkombëtare ka qenë thelbësore për hartimin e strategjive, përmirësimin e kuadrit ligjor dhe financimin e projekteve që lidhen me menaxhimin e mbetjeve dhe riciklimin. Paralelisht, disa bashki kanë nisur iniciativa konkrete, si ndarja e mbetjeve në burim dhe përpunimin e mbetjeve organike për përdorim në bujqësi. Gjithashtu, nxitja dhe hapja e kompanive të riciklimit të qelqit në Shqipëri përbën një hap të rëndësishëm drejt menaxhimit të qëndrueshëm të mbetjeve dhe mbrojtjes së mjedisit.</w:t>
      </w:r>
      <w:r>
        <w:rPr>
          <w:rFonts w:ascii="Times New Roman" w:eastAsia="Times New Roman" w:hAnsi="Times New Roman" w:cs="Times New Roman"/>
          <w:color w:val="000000"/>
          <w:sz w:val="24"/>
          <w:szCs w:val="24"/>
          <w:u w:color="000000"/>
          <w:lang w:val="sq-AL"/>
        </w:rPr>
        <w:t xml:space="preserve"> </w:t>
      </w:r>
      <w:r w:rsidR="0068211D" w:rsidRPr="0068211D">
        <w:rPr>
          <w:rFonts w:ascii="Times New Roman" w:eastAsia="Times New Roman" w:hAnsi="Times New Roman" w:cs="Times New Roman"/>
          <w:color w:val="000000"/>
          <w:sz w:val="24"/>
          <w:szCs w:val="24"/>
          <w:u w:color="000000"/>
          <w:lang w:val="sq-AL"/>
        </w:rPr>
        <w:t>Ministria e Mjedisit ka hartuar ligjin nr. 57/2025 “Për menaxhimin e integruar të mbetjeve”, i cili ka transpozuar Direktivën Kuadër të Mbetjeve ku është integruar gjithashtu dhe konc</w:t>
      </w:r>
      <w:r w:rsidR="003A09A7">
        <w:rPr>
          <w:rFonts w:ascii="Times New Roman" w:eastAsia="Times New Roman" w:hAnsi="Times New Roman" w:cs="Times New Roman"/>
          <w:color w:val="000000"/>
          <w:sz w:val="24"/>
          <w:szCs w:val="24"/>
          <w:u w:color="000000"/>
          <w:lang w:val="sq-AL"/>
        </w:rPr>
        <w:t>ep</w:t>
      </w:r>
      <w:r>
        <w:rPr>
          <w:rFonts w:ascii="Times New Roman" w:eastAsia="Times New Roman" w:hAnsi="Times New Roman" w:cs="Times New Roman"/>
          <w:color w:val="000000"/>
          <w:sz w:val="24"/>
          <w:szCs w:val="24"/>
          <w:u w:color="000000"/>
          <w:lang w:val="sq-AL"/>
        </w:rPr>
        <w:t>ti i ekonomisë qarkulluese si dhe l</w:t>
      </w:r>
      <w:r w:rsidRPr="002C4E4E">
        <w:rPr>
          <w:rFonts w:ascii="Times New Roman" w:eastAsia="Times New Roman" w:hAnsi="Times New Roman" w:cs="Times New Roman"/>
          <w:color w:val="000000"/>
          <w:sz w:val="24"/>
          <w:szCs w:val="24"/>
          <w:u w:color="000000"/>
          <w:lang w:val="sq-AL"/>
        </w:rPr>
        <w:t>igjit nr. 74/2025 “Për përgjegjësitë e zgjeruara të prodhuesit (PZP)</w:t>
      </w:r>
      <w:r>
        <w:rPr>
          <w:rFonts w:ascii="Times New Roman" w:eastAsia="Times New Roman" w:hAnsi="Times New Roman" w:cs="Times New Roman"/>
          <w:color w:val="000000"/>
          <w:sz w:val="24"/>
          <w:szCs w:val="24"/>
          <w:u w:color="000000"/>
          <w:lang w:val="sq-AL"/>
        </w:rPr>
        <w:t xml:space="preserve">. </w:t>
      </w:r>
      <w:r w:rsidRPr="002C4E4E">
        <w:rPr>
          <w:rFonts w:ascii="Times New Roman" w:eastAsia="Times New Roman" w:hAnsi="Times New Roman" w:cs="Times New Roman"/>
          <w:color w:val="000000"/>
          <w:sz w:val="24"/>
          <w:szCs w:val="24"/>
          <w:u w:color="000000"/>
          <w:lang w:val="sq-AL"/>
        </w:rPr>
        <w:t>Në tërësi, zbatimi i rekomandimeve të Udhërrëfyesit për Ekonominë Qarkulluese mund të konsiderohet se ka shënuar progres të moderuar, ku shumica e masave janë zbatuar pjesërisht</w:t>
      </w:r>
      <w:r>
        <w:rPr>
          <w:rFonts w:ascii="Times New Roman" w:eastAsia="Times New Roman" w:hAnsi="Times New Roman" w:cs="Times New Roman"/>
          <w:color w:val="000000"/>
          <w:sz w:val="24"/>
          <w:szCs w:val="24"/>
          <w:u w:color="000000"/>
          <w:lang w:val="sq-AL"/>
        </w:rPr>
        <w:t>.</w:t>
      </w:r>
    </w:p>
    <w:p w:rsidR="003D2017" w:rsidRPr="003D2017" w:rsidRDefault="003D2017" w:rsidP="003D2017">
      <w:pPr>
        <w:spacing w:after="0" w:line="240" w:lineRule="auto"/>
        <w:jc w:val="both"/>
        <w:rPr>
          <w:rFonts w:ascii="Times New Roman" w:eastAsia="Times New Roman" w:hAnsi="Times New Roman" w:cs="Times New Roman"/>
          <w:color w:val="000000"/>
          <w:sz w:val="24"/>
          <w:szCs w:val="24"/>
          <w:u w:color="000000"/>
          <w:lang w:val="sq-AL"/>
        </w:rPr>
      </w:pPr>
    </w:p>
    <w:p w:rsidR="0068211D" w:rsidRPr="0068211D" w:rsidRDefault="0068211D" w:rsidP="0068211D">
      <w:pPr>
        <w:jc w:val="both"/>
        <w:rPr>
          <w:rFonts w:ascii="Times New Roman" w:eastAsia="Calibri" w:hAnsi="Times New Roman" w:cs="Times New Roman"/>
          <w:b/>
          <w:i/>
          <w:sz w:val="24"/>
          <w:szCs w:val="24"/>
        </w:rPr>
      </w:pPr>
      <w:r w:rsidRPr="0068211D">
        <w:rPr>
          <w:rFonts w:ascii="Times New Roman" w:eastAsia="Calibri" w:hAnsi="Times New Roman" w:cs="Times New Roman"/>
          <w:b/>
          <w:i/>
          <w:sz w:val="24"/>
          <w:szCs w:val="24"/>
        </w:rPr>
        <w:t>Mbetjet</w:t>
      </w:r>
    </w:p>
    <w:p w:rsidR="0068211D" w:rsidRPr="0068211D" w:rsidRDefault="0068211D" w:rsidP="0068211D">
      <w:pPr>
        <w:spacing w:after="0" w:line="240" w:lineRule="auto"/>
        <w:jc w:val="both"/>
        <w:rPr>
          <w:rFonts w:ascii="Times New Roman" w:eastAsia="Calibri" w:hAnsi="Times New Roman" w:cs="Times New Roman"/>
          <w:sz w:val="24"/>
          <w:szCs w:val="24"/>
        </w:rPr>
      </w:pPr>
      <w:r w:rsidRPr="0068211D">
        <w:rPr>
          <w:rFonts w:ascii="Times New Roman" w:eastAsia="Calibri" w:hAnsi="Times New Roman" w:cs="Times New Roman"/>
          <w:sz w:val="24"/>
          <w:szCs w:val="24"/>
        </w:rPr>
        <w:t>Sasia më e madhe e mbetjeve të gjeneruara  në total  për vitin 2025 është në zonën e menaxhimit Tiranë-Durrës me 474617 ton/vit  duke vijuar me zonën e menaxhimit Shkodër-Lezhë  me një sasi 90215 ton/vit. Ndërsa sasia më e ulët e gjenerimit të mbetjeve është në zo</w:t>
      </w:r>
      <w:r w:rsidR="00A803C7">
        <w:rPr>
          <w:rFonts w:ascii="Times New Roman" w:eastAsia="Calibri" w:hAnsi="Times New Roman" w:cs="Times New Roman"/>
          <w:sz w:val="24"/>
          <w:szCs w:val="24"/>
        </w:rPr>
        <w:t>nën e Kukësit me 18510 ton/vit</w:t>
      </w:r>
      <w:r w:rsidR="00261F77">
        <w:rPr>
          <w:rFonts w:ascii="Times New Roman" w:eastAsia="Calibri" w:hAnsi="Times New Roman" w:cs="Times New Roman"/>
          <w:sz w:val="24"/>
          <w:szCs w:val="24"/>
        </w:rPr>
        <w:t xml:space="preserve"> </w:t>
      </w:r>
      <w:r w:rsidR="00A803C7">
        <w:rPr>
          <w:rFonts w:ascii="Times New Roman" w:eastAsia="Calibri" w:hAnsi="Times New Roman" w:cs="Times New Roman"/>
          <w:sz w:val="24"/>
          <w:szCs w:val="24"/>
        </w:rPr>
        <w:t>.</w:t>
      </w:r>
      <w:r w:rsidRPr="0068211D">
        <w:rPr>
          <w:rFonts w:ascii="Times New Roman" w:eastAsia="Calibri" w:hAnsi="Times New Roman" w:cs="Times New Roman"/>
          <w:sz w:val="24"/>
          <w:szCs w:val="24"/>
        </w:rPr>
        <w:t>Përsa i përket gjenerimit të mbetjeve për person/kg/vit vlerësohet se zona e Korçës ka sasinë më të ulët me 115 kg/vit. Sasia më e madhe është në zonën e menaxhimit Tiranë-Durrës me 281 kg/vit për person duke u ndjekur nga zona Vlora Jug-Gjirok</w:t>
      </w:r>
      <w:r w:rsidR="00A803C7">
        <w:rPr>
          <w:rFonts w:ascii="Times New Roman" w:eastAsia="Calibri" w:hAnsi="Times New Roman" w:cs="Times New Roman"/>
          <w:sz w:val="24"/>
          <w:szCs w:val="24"/>
        </w:rPr>
        <w:t>astër me 278 kg/vit për person.</w:t>
      </w:r>
      <w:r w:rsidRPr="0068211D">
        <w:rPr>
          <w:rFonts w:ascii="Times New Roman" w:eastAsia="Calibri" w:hAnsi="Times New Roman" w:cs="Times New Roman"/>
          <w:sz w:val="24"/>
          <w:szCs w:val="24"/>
        </w:rPr>
        <w:t>Vërehet ulje e sasisë të mbetjeve të gjeneruara/menaxhuara në vitin 2025 (846,971 ton) krahasuar me vitin 2024 (870,883 ton).</w:t>
      </w:r>
    </w:p>
    <w:p w:rsidR="000234DE" w:rsidRDefault="000234DE" w:rsidP="0068211D">
      <w:pPr>
        <w:spacing w:after="0" w:line="240" w:lineRule="auto"/>
        <w:jc w:val="both"/>
        <w:rPr>
          <w:rFonts w:ascii="Times New Roman" w:eastAsia="Calibri" w:hAnsi="Times New Roman" w:cs="Times New Roman"/>
          <w:sz w:val="24"/>
          <w:szCs w:val="24"/>
        </w:rPr>
      </w:pPr>
    </w:p>
    <w:p w:rsidR="0068211D" w:rsidRPr="0068211D" w:rsidRDefault="0068211D" w:rsidP="0068211D">
      <w:pPr>
        <w:spacing w:after="0" w:line="240" w:lineRule="auto"/>
        <w:jc w:val="both"/>
        <w:rPr>
          <w:rFonts w:ascii="Times New Roman" w:eastAsia="Calibri" w:hAnsi="Times New Roman" w:cs="Times New Roman"/>
          <w:sz w:val="24"/>
          <w:szCs w:val="24"/>
        </w:rPr>
      </w:pPr>
      <w:r w:rsidRPr="0068211D">
        <w:rPr>
          <w:rFonts w:ascii="Times New Roman" w:eastAsia="Calibri" w:hAnsi="Times New Roman" w:cs="Times New Roman"/>
          <w:sz w:val="24"/>
          <w:szCs w:val="24"/>
        </w:rPr>
        <w:t xml:space="preserve">Gjatë vitit 2025 janë transferuar/trajtuar rreth </w:t>
      </w:r>
      <w:r w:rsidR="00261F77" w:rsidRPr="00261F77">
        <w:rPr>
          <w:rFonts w:ascii="Times New Roman" w:eastAsia="Times New Roman" w:hAnsi="Times New Roman" w:cs="Times New Roman"/>
          <w:color w:val="000000"/>
          <w:sz w:val="24"/>
          <w:szCs w:val="24"/>
        </w:rPr>
        <w:t>674,077,904</w:t>
      </w:r>
      <w:r w:rsidR="00261F77">
        <w:rPr>
          <w:rFonts w:ascii="Calibri" w:eastAsia="Times New Roman" w:hAnsi="Calibri" w:cs="Calibri"/>
          <w:color w:val="000000"/>
        </w:rPr>
        <w:t xml:space="preserve"> </w:t>
      </w:r>
      <w:r w:rsidRPr="0068211D">
        <w:rPr>
          <w:rFonts w:ascii="Times New Roman" w:eastAsia="Calibri" w:hAnsi="Times New Roman" w:cs="Times New Roman"/>
          <w:sz w:val="24"/>
          <w:szCs w:val="24"/>
        </w:rPr>
        <w:t>kg mbetje të parrezikshme dhe të rrezikshme në total. Shihet një ulje e sasisë të  mbetjeve të transferuara gjatë vitit 2025</w:t>
      </w:r>
      <w:r w:rsidR="00261F77">
        <w:rPr>
          <w:rFonts w:ascii="Times New Roman" w:eastAsia="Calibri" w:hAnsi="Times New Roman" w:cs="Times New Roman"/>
          <w:sz w:val="24"/>
          <w:szCs w:val="24"/>
        </w:rPr>
        <w:t xml:space="preserve"> </w:t>
      </w:r>
      <w:r w:rsidRPr="0068211D">
        <w:rPr>
          <w:rFonts w:ascii="Times New Roman" w:eastAsia="Calibri" w:hAnsi="Times New Roman" w:cs="Times New Roman"/>
          <w:sz w:val="24"/>
          <w:szCs w:val="24"/>
        </w:rPr>
        <w:t>(</w:t>
      </w:r>
      <w:r w:rsidR="00261F77">
        <w:rPr>
          <w:rFonts w:ascii="Times New Roman" w:eastAsia="Calibri" w:hAnsi="Times New Roman" w:cs="Times New Roman"/>
          <w:sz w:val="24"/>
          <w:szCs w:val="24"/>
        </w:rPr>
        <w:t xml:space="preserve">rreth </w:t>
      </w:r>
      <w:r w:rsidR="00261F77" w:rsidRPr="00261F77">
        <w:rPr>
          <w:rFonts w:ascii="Times New Roman" w:eastAsia="Times New Roman" w:hAnsi="Times New Roman" w:cs="Times New Roman"/>
          <w:color w:val="000000"/>
          <w:sz w:val="24"/>
          <w:szCs w:val="24"/>
        </w:rPr>
        <w:t>674,078</w:t>
      </w:r>
      <w:r w:rsidR="00261F77">
        <w:rPr>
          <w:rFonts w:ascii="Calibri" w:eastAsia="Times New Roman" w:hAnsi="Calibri" w:cs="Times New Roman"/>
          <w:color w:val="000000"/>
        </w:rPr>
        <w:t xml:space="preserve"> </w:t>
      </w:r>
      <w:r w:rsidRPr="0068211D">
        <w:rPr>
          <w:rFonts w:ascii="Times New Roman" w:eastAsia="Calibri" w:hAnsi="Times New Roman" w:cs="Times New Roman"/>
          <w:sz w:val="24"/>
          <w:szCs w:val="24"/>
        </w:rPr>
        <w:t>ton) krahasuar me vitin 2024 (1,412,662 ton).</w:t>
      </w:r>
    </w:p>
    <w:p w:rsidR="00261F77" w:rsidRDefault="00261F77" w:rsidP="00493867">
      <w:pPr>
        <w:jc w:val="both"/>
        <w:rPr>
          <w:rFonts w:ascii="Times New Roman" w:eastAsia="Calibri" w:hAnsi="Times New Roman" w:cs="Times New Roman"/>
          <w:sz w:val="24"/>
          <w:szCs w:val="24"/>
        </w:rPr>
      </w:pPr>
    </w:p>
    <w:p w:rsidR="00493867" w:rsidRDefault="000234DE" w:rsidP="00493867">
      <w:pPr>
        <w:jc w:val="both"/>
        <w:rPr>
          <w:rFonts w:ascii="Times New Roman" w:eastAsia="Calibri" w:hAnsi="Times New Roman" w:cs="Times New Roman"/>
          <w:sz w:val="24"/>
          <w:szCs w:val="24"/>
        </w:rPr>
      </w:pPr>
      <w:r>
        <w:rPr>
          <w:rFonts w:ascii="Times New Roman" w:eastAsia="Calibri" w:hAnsi="Times New Roman" w:cs="Times New Roman"/>
          <w:sz w:val="24"/>
          <w:szCs w:val="24"/>
        </w:rPr>
        <w:t>J</w:t>
      </w:r>
      <w:r w:rsidR="004550DE">
        <w:rPr>
          <w:rFonts w:ascii="Times New Roman" w:eastAsia="Calibri" w:hAnsi="Times New Roman" w:cs="Times New Roman"/>
          <w:sz w:val="24"/>
          <w:szCs w:val="24"/>
        </w:rPr>
        <w:t xml:space="preserve">anë gjeneruar në total rreth </w:t>
      </w:r>
      <w:r w:rsidR="004550DE" w:rsidRPr="00261F77">
        <w:rPr>
          <w:rFonts w:ascii="Times New Roman" w:eastAsia="Calibri" w:hAnsi="Times New Roman" w:cs="Times New Roman"/>
          <w:sz w:val="24"/>
          <w:szCs w:val="24"/>
        </w:rPr>
        <w:t>1,278,638 kg</w:t>
      </w:r>
      <w:r w:rsidR="004550DE">
        <w:rPr>
          <w:rFonts w:ascii="Times New Roman" w:eastAsia="Calibri" w:hAnsi="Times New Roman" w:cs="Times New Roman"/>
          <w:b/>
          <w:sz w:val="24"/>
          <w:szCs w:val="24"/>
        </w:rPr>
        <w:t xml:space="preserve"> </w:t>
      </w:r>
      <w:r w:rsidR="004550DE" w:rsidRPr="00700512">
        <w:rPr>
          <w:rFonts w:ascii="Times New Roman" w:eastAsia="Calibri" w:hAnsi="Times New Roman" w:cs="Times New Roman"/>
          <w:sz w:val="24"/>
          <w:szCs w:val="24"/>
        </w:rPr>
        <w:t>mbetje nga spitalet publike dhe jo publike.</w:t>
      </w:r>
      <w:r w:rsidR="004550DE">
        <w:rPr>
          <w:rFonts w:ascii="Times New Roman" w:eastAsia="Calibri" w:hAnsi="Times New Roman" w:cs="Times New Roman"/>
          <w:b/>
          <w:sz w:val="24"/>
          <w:szCs w:val="24"/>
        </w:rPr>
        <w:t xml:space="preserve"> </w:t>
      </w:r>
      <w:r w:rsidR="004550DE">
        <w:rPr>
          <w:rFonts w:ascii="Times New Roman" w:eastAsia="Calibri" w:hAnsi="Times New Roman" w:cs="Times New Roman"/>
          <w:sz w:val="24"/>
          <w:szCs w:val="24"/>
        </w:rPr>
        <w:t xml:space="preserve"> Sasia më e madhe e mbetjeve spitalore është gjeneruar në Tiranë me 713,721 kg duke vijuar me Shkodrën ku janë gjeneruar </w:t>
      </w:r>
      <w:r w:rsidR="004550DE" w:rsidRPr="004A74BB">
        <w:rPr>
          <w:rFonts w:ascii="Times New Roman" w:eastAsia="Calibri" w:hAnsi="Times New Roman" w:cs="Times New Roman"/>
          <w:sz w:val="24"/>
          <w:szCs w:val="24"/>
        </w:rPr>
        <w:t>206,89</w:t>
      </w:r>
      <w:r w:rsidR="004550DE">
        <w:rPr>
          <w:rFonts w:ascii="Times New Roman" w:eastAsia="Calibri" w:hAnsi="Times New Roman" w:cs="Times New Roman"/>
          <w:sz w:val="24"/>
          <w:szCs w:val="24"/>
        </w:rPr>
        <w:t xml:space="preserve">1 kg. Sasia më e ulët është gjenerura në Lezhë me 16,363 kg. </w:t>
      </w:r>
      <w:r w:rsidR="0068211D" w:rsidRPr="0068211D">
        <w:rPr>
          <w:rFonts w:ascii="Times New Roman" w:eastAsia="Calibri" w:hAnsi="Times New Roman" w:cs="Times New Roman"/>
          <w:sz w:val="24"/>
          <w:szCs w:val="24"/>
        </w:rPr>
        <w:t xml:space="preserve">Për vitin 2025 janë prodhuar 75,491.51 kg mbetje spitalore  nga Njesitë Vendore të Kujdesit Shëndetësor. </w:t>
      </w:r>
      <w:r w:rsidR="00493867" w:rsidRPr="00DD5125">
        <w:rPr>
          <w:rFonts w:ascii="Times New Roman" w:eastAsia="Calibri" w:hAnsi="Times New Roman" w:cs="Times New Roman"/>
          <w:sz w:val="24"/>
          <w:szCs w:val="24"/>
        </w:rPr>
        <w:t xml:space="preserve">Sasia totale e mbetjeve te rrezikshme dhe të parrezikshme të eksportuara nga subjekte të ndryshme për vitin 2025 është </w:t>
      </w:r>
      <w:r w:rsidR="00493867">
        <w:rPr>
          <w:rFonts w:ascii="Times New Roman" w:eastAsia="Calibri" w:hAnsi="Times New Roman" w:cs="Times New Roman"/>
          <w:sz w:val="24"/>
          <w:szCs w:val="24"/>
        </w:rPr>
        <w:t>21,275 Ton.</w:t>
      </w:r>
    </w:p>
    <w:p w:rsidR="000234DE" w:rsidRDefault="000234DE" w:rsidP="00493867">
      <w:pPr>
        <w:jc w:val="both"/>
        <w:rPr>
          <w:rFonts w:ascii="Times New Roman" w:eastAsia="Calibri" w:hAnsi="Times New Roman" w:cs="Times New Roman"/>
          <w:sz w:val="24"/>
          <w:szCs w:val="24"/>
        </w:rPr>
      </w:pPr>
    </w:p>
    <w:p w:rsidR="000234DE" w:rsidRDefault="000234DE" w:rsidP="00493867">
      <w:pPr>
        <w:jc w:val="both"/>
        <w:rPr>
          <w:rFonts w:ascii="Times New Roman" w:eastAsia="Calibri" w:hAnsi="Times New Roman" w:cs="Times New Roman"/>
          <w:sz w:val="24"/>
          <w:szCs w:val="24"/>
        </w:rPr>
      </w:pPr>
    </w:p>
    <w:p w:rsidR="0068211D" w:rsidRPr="003D2017" w:rsidRDefault="003D2017" w:rsidP="003D2017">
      <w:pPr>
        <w:pStyle w:val="ListParagraph"/>
        <w:numPr>
          <w:ilvl w:val="0"/>
          <w:numId w:val="178"/>
        </w:numPr>
        <w:jc w:val="both"/>
        <w:rPr>
          <w:rFonts w:ascii="Times New Roman" w:eastAsia="Calibri" w:hAnsi="Times New Roman" w:cs="Times New Roman"/>
          <w:b/>
          <w:sz w:val="24"/>
          <w:szCs w:val="24"/>
        </w:rPr>
      </w:pPr>
      <w:r w:rsidRPr="003D2017">
        <w:rPr>
          <w:rFonts w:ascii="Times New Roman" w:eastAsia="Calibri" w:hAnsi="Times New Roman" w:cs="Times New Roman"/>
          <w:b/>
          <w:sz w:val="24"/>
          <w:szCs w:val="24"/>
        </w:rPr>
        <w:t>Menaxhimi i Kimikateve</w:t>
      </w:r>
    </w:p>
    <w:p w:rsidR="00D62190" w:rsidRDefault="003D2017" w:rsidP="00E0358A">
      <w:pPr>
        <w:rPr>
          <w:rFonts w:ascii="Times New Roman" w:hAnsi="Times New Roman" w:cs="Times New Roman"/>
          <w:sz w:val="24"/>
          <w:szCs w:val="24"/>
        </w:rPr>
      </w:pPr>
      <w:r>
        <w:rPr>
          <w:rFonts w:ascii="Times New Roman" w:hAnsi="Times New Roman" w:cs="Times New Roman"/>
          <w:sz w:val="24"/>
          <w:szCs w:val="24"/>
        </w:rPr>
        <w:t xml:space="preserve">Agjencia Kombëtare e Mjedisit  </w:t>
      </w:r>
      <w:r w:rsidRPr="000B46DB">
        <w:rPr>
          <w:rFonts w:ascii="Times New Roman" w:hAnsi="Times New Roman" w:cs="Times New Roman"/>
          <w:sz w:val="24"/>
          <w:szCs w:val="24"/>
        </w:rPr>
        <w:t xml:space="preserve">i ka kushtuar një vëmendje të veçantë Helpdeskut, të cilën e ka përditësuar vazhdimisht. </w:t>
      </w:r>
      <w:r w:rsidR="00A803C7" w:rsidRPr="00A803C7">
        <w:rPr>
          <w:rFonts w:ascii="Times New Roman" w:hAnsi="Times New Roman" w:cs="Times New Roman"/>
          <w:sz w:val="24"/>
          <w:szCs w:val="24"/>
        </w:rPr>
        <w:t>Helpdesku shërben si një pikë kontakti për të gjithë ata që kanë nevojë për informacion rreth rreziqeve që lidhen me kimikatet, mënyrave të sigurta të përdorimit të tyre.</w:t>
      </w:r>
    </w:p>
    <w:p w:rsidR="00A803C7" w:rsidRPr="000B46DB" w:rsidRDefault="00A803C7" w:rsidP="00A803C7">
      <w:pPr>
        <w:jc w:val="both"/>
        <w:rPr>
          <w:rFonts w:ascii="Times New Roman" w:hAnsi="Times New Roman" w:cs="Times New Roman"/>
          <w:sz w:val="24"/>
          <w:szCs w:val="24"/>
        </w:rPr>
      </w:pPr>
      <w:r>
        <w:rPr>
          <w:rFonts w:ascii="Times New Roman" w:hAnsi="Times New Roman" w:cs="Times New Roman"/>
          <w:sz w:val="24"/>
          <w:szCs w:val="24"/>
        </w:rPr>
        <w:t>N</w:t>
      </w:r>
      <w:r w:rsidR="000234DE">
        <w:rPr>
          <w:rFonts w:ascii="Times New Roman" w:hAnsi="Times New Roman" w:cs="Times New Roman"/>
          <w:sz w:val="24"/>
          <w:szCs w:val="24"/>
        </w:rPr>
        <w:t>ë</w:t>
      </w:r>
      <w:r>
        <w:rPr>
          <w:rFonts w:ascii="Times New Roman" w:hAnsi="Times New Roman" w:cs="Times New Roman"/>
          <w:sz w:val="24"/>
          <w:szCs w:val="24"/>
        </w:rPr>
        <w:t xml:space="preserve"> lidhje me </w:t>
      </w:r>
      <w:r w:rsidRPr="00A803C7">
        <w:rPr>
          <w:rFonts w:ascii="Times New Roman" w:hAnsi="Times New Roman" w:cs="Times New Roman"/>
          <w:color w:val="000000" w:themeColor="text1"/>
          <w:sz w:val="24"/>
          <w:szCs w:val="24"/>
        </w:rPr>
        <w:t>Procedura PIC, (Prior Informed Consent – Pëlqimi i Informuar Paraprak)</w:t>
      </w:r>
      <w:r>
        <w:rPr>
          <w:rFonts w:ascii="Times New Roman" w:hAnsi="Times New Roman" w:cs="Times New Roman"/>
          <w:color w:val="000000" w:themeColor="text1"/>
          <w:sz w:val="24"/>
          <w:szCs w:val="24"/>
        </w:rPr>
        <w:t>, gjatë vitit 202</w:t>
      </w:r>
      <w:r w:rsidR="00A25534">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xml:space="preserve"> </w:t>
      </w:r>
      <w:r w:rsidRPr="000B46DB">
        <w:rPr>
          <w:rFonts w:ascii="Times New Roman" w:hAnsi="Times New Roman" w:cs="Times New Roman"/>
          <w:sz w:val="24"/>
          <w:szCs w:val="24"/>
        </w:rPr>
        <w:t>janë plotësuar dhe kthyer përgjigje, për 54 Njoftime Eksporti.</w:t>
      </w:r>
    </w:p>
    <w:p w:rsidR="000234DE" w:rsidRDefault="000234DE" w:rsidP="000234DE">
      <w:pPr>
        <w:spacing w:before="100" w:beforeAutospacing="1" w:after="100" w:afterAutospacing="1" w:line="240" w:lineRule="auto"/>
        <w:jc w:val="both"/>
        <w:rPr>
          <w:rFonts w:ascii="Times New Roman" w:eastAsia="Times New Roman" w:hAnsi="Times New Roman" w:cs="Times New Roman"/>
          <w:sz w:val="24"/>
          <w:szCs w:val="24"/>
        </w:rPr>
      </w:pPr>
      <w:r w:rsidRPr="009D07D7">
        <w:rPr>
          <w:rFonts w:ascii="Times New Roman" w:eastAsia="Times New Roman" w:hAnsi="Times New Roman" w:cs="Times New Roman"/>
          <w:sz w:val="24"/>
          <w:szCs w:val="24"/>
        </w:rPr>
        <w:t xml:space="preserve">Sektori i </w:t>
      </w:r>
      <w:r w:rsidRPr="000B46DB">
        <w:rPr>
          <w:rFonts w:ascii="Times New Roman" w:eastAsia="Times New Roman" w:hAnsi="Times New Roman" w:cs="Times New Roman"/>
          <w:sz w:val="24"/>
          <w:szCs w:val="24"/>
        </w:rPr>
        <w:t>Menaxhimit të K</w:t>
      </w:r>
      <w:r w:rsidRPr="009D07D7">
        <w:rPr>
          <w:rFonts w:ascii="Times New Roman" w:eastAsia="Times New Roman" w:hAnsi="Times New Roman" w:cs="Times New Roman"/>
          <w:sz w:val="24"/>
          <w:szCs w:val="24"/>
        </w:rPr>
        <w:t>imikateve përbën një strukturë shumë të rëndësishme për mbrojtjen e shëndetit të njerëzve dhe të mjedisit, duke luajtur rol kyç në menaxhimin dhe k</w:t>
      </w:r>
      <w:r>
        <w:rPr>
          <w:rFonts w:ascii="Times New Roman" w:eastAsia="Times New Roman" w:hAnsi="Times New Roman" w:cs="Times New Roman"/>
          <w:sz w:val="24"/>
          <w:szCs w:val="24"/>
        </w:rPr>
        <w:t>ontrollin e substancave kimike.</w:t>
      </w:r>
    </w:p>
    <w:p w:rsidR="000234DE" w:rsidRPr="009D07D7" w:rsidRDefault="000234DE" w:rsidP="000234DE">
      <w:pPr>
        <w:spacing w:before="100" w:beforeAutospacing="1" w:after="100" w:afterAutospacing="1" w:line="240" w:lineRule="auto"/>
        <w:jc w:val="both"/>
        <w:rPr>
          <w:rFonts w:ascii="Times New Roman" w:eastAsia="Times New Roman" w:hAnsi="Times New Roman" w:cs="Times New Roman"/>
          <w:sz w:val="24"/>
          <w:szCs w:val="24"/>
        </w:rPr>
      </w:pPr>
      <w:r w:rsidRPr="009D07D7">
        <w:rPr>
          <w:rFonts w:ascii="Times New Roman" w:eastAsia="Times New Roman" w:hAnsi="Times New Roman" w:cs="Times New Roman"/>
          <w:sz w:val="24"/>
          <w:szCs w:val="24"/>
        </w:rPr>
        <w:t>Përmes bashkëpunimeve ndërkombëtare, projekteve edukative dhe pjesëmarrjes në aktivitete të ndryshme, është arritur rritja e njohurive dhe ndërgjegjësimit mbi rëndësinë e sigurisë kimike. Megjithatë, përmbushja e standardeve europiane dhe përmirësimi i sistemit kërkojnë mbështetje të vazhdueshme, investime dhe angazhim më të madh institucional për të garantuar një mjedis më të sigurt dhe një të ardhme më të qëndrueshme.</w:t>
      </w:r>
    </w:p>
    <w:p w:rsidR="00A803C7" w:rsidRPr="000B46DB" w:rsidRDefault="00A803C7" w:rsidP="00A803C7">
      <w:pPr>
        <w:jc w:val="both"/>
        <w:rPr>
          <w:rFonts w:ascii="Times New Roman" w:hAnsi="Times New Roman" w:cs="Times New Roman"/>
          <w:b/>
          <w:color w:val="000000" w:themeColor="text1"/>
          <w:sz w:val="24"/>
          <w:szCs w:val="24"/>
        </w:rPr>
      </w:pPr>
    </w:p>
    <w:p w:rsidR="00A803C7" w:rsidRPr="00A803C7" w:rsidRDefault="00A803C7" w:rsidP="00E0358A">
      <w:pPr>
        <w:rPr>
          <w:rFonts w:ascii="Times New Roman" w:hAnsi="Times New Roman" w:cs="Times New Roman"/>
          <w:sz w:val="24"/>
          <w:szCs w:val="24"/>
        </w:rPr>
      </w:pPr>
    </w:p>
    <w:p w:rsidR="00D62190" w:rsidRDefault="00D62190" w:rsidP="00E0358A">
      <w:pPr>
        <w:rPr>
          <w:sz w:val="24"/>
          <w:szCs w:val="24"/>
        </w:rPr>
      </w:pPr>
    </w:p>
    <w:p w:rsidR="00D62190" w:rsidRDefault="00D62190" w:rsidP="00E0358A">
      <w:pPr>
        <w:rPr>
          <w:sz w:val="24"/>
          <w:szCs w:val="24"/>
        </w:rPr>
      </w:pPr>
    </w:p>
    <w:p w:rsidR="00D62190" w:rsidRDefault="00D62190" w:rsidP="00E0358A">
      <w:pPr>
        <w:rPr>
          <w:sz w:val="24"/>
          <w:szCs w:val="24"/>
        </w:rPr>
      </w:pPr>
    </w:p>
    <w:p w:rsidR="009C6C64" w:rsidRDefault="009C6C64" w:rsidP="00E0358A">
      <w:pPr>
        <w:rPr>
          <w:sz w:val="24"/>
          <w:szCs w:val="24"/>
        </w:rPr>
      </w:pPr>
    </w:p>
    <w:p w:rsidR="00A25534" w:rsidRDefault="00A25534" w:rsidP="00E0358A">
      <w:pPr>
        <w:rPr>
          <w:sz w:val="24"/>
          <w:szCs w:val="24"/>
        </w:rPr>
      </w:pPr>
    </w:p>
    <w:p w:rsidR="00A25534" w:rsidRDefault="00A25534" w:rsidP="00E0358A">
      <w:pPr>
        <w:rPr>
          <w:sz w:val="24"/>
          <w:szCs w:val="24"/>
        </w:rPr>
      </w:pPr>
    </w:p>
    <w:p w:rsidR="00A25534" w:rsidRDefault="00A25534" w:rsidP="00E0358A">
      <w:pPr>
        <w:rPr>
          <w:sz w:val="24"/>
          <w:szCs w:val="24"/>
        </w:rPr>
      </w:pPr>
    </w:p>
    <w:p w:rsidR="00A25534" w:rsidRDefault="00A25534" w:rsidP="00E0358A">
      <w:pPr>
        <w:rPr>
          <w:sz w:val="24"/>
          <w:szCs w:val="24"/>
        </w:rPr>
      </w:pPr>
    </w:p>
    <w:p w:rsidR="00A25534" w:rsidRDefault="00A25534" w:rsidP="00E0358A">
      <w:pPr>
        <w:rPr>
          <w:sz w:val="24"/>
          <w:szCs w:val="24"/>
        </w:rPr>
      </w:pPr>
    </w:p>
    <w:p w:rsidR="00A25534" w:rsidRDefault="00A25534" w:rsidP="00E0358A">
      <w:pPr>
        <w:rPr>
          <w:sz w:val="24"/>
          <w:szCs w:val="24"/>
        </w:rPr>
      </w:pPr>
    </w:p>
    <w:p w:rsidR="00A25534" w:rsidRDefault="00A25534" w:rsidP="00E0358A">
      <w:pPr>
        <w:rPr>
          <w:sz w:val="24"/>
          <w:szCs w:val="24"/>
        </w:rPr>
      </w:pPr>
    </w:p>
    <w:p w:rsidR="00A25534" w:rsidRDefault="00A25534" w:rsidP="00E0358A">
      <w:pPr>
        <w:rPr>
          <w:sz w:val="24"/>
          <w:szCs w:val="24"/>
        </w:rPr>
      </w:pPr>
    </w:p>
    <w:p w:rsidR="00A25534" w:rsidRDefault="00A25534" w:rsidP="00E0358A">
      <w:pPr>
        <w:rPr>
          <w:sz w:val="24"/>
          <w:szCs w:val="24"/>
        </w:rPr>
      </w:pPr>
    </w:p>
    <w:p w:rsidR="00A25534" w:rsidRDefault="00A25534" w:rsidP="00E0358A">
      <w:pPr>
        <w:rPr>
          <w:sz w:val="24"/>
          <w:szCs w:val="24"/>
        </w:rPr>
      </w:pPr>
    </w:p>
    <w:p w:rsidR="00A25534" w:rsidRDefault="00A25534" w:rsidP="00E0358A">
      <w:pPr>
        <w:rPr>
          <w:sz w:val="24"/>
          <w:szCs w:val="24"/>
        </w:rPr>
      </w:pPr>
    </w:p>
    <w:p w:rsidR="00A25534" w:rsidRDefault="00A25534" w:rsidP="00E0358A">
      <w:pPr>
        <w:rPr>
          <w:sz w:val="24"/>
          <w:szCs w:val="24"/>
        </w:rPr>
      </w:pPr>
    </w:p>
    <w:p w:rsidR="00A25534" w:rsidRDefault="00A25534" w:rsidP="00E0358A">
      <w:pPr>
        <w:rPr>
          <w:sz w:val="24"/>
          <w:szCs w:val="24"/>
        </w:rPr>
      </w:pPr>
    </w:p>
    <w:p w:rsidR="003B1A5F" w:rsidRDefault="003B1A5F" w:rsidP="00E0358A">
      <w:pPr>
        <w:rPr>
          <w:sz w:val="24"/>
          <w:szCs w:val="24"/>
        </w:rPr>
      </w:pPr>
    </w:p>
    <w:p w:rsidR="003B1A5F" w:rsidRDefault="003B1A5F" w:rsidP="00E0358A">
      <w:pPr>
        <w:rPr>
          <w:sz w:val="24"/>
          <w:szCs w:val="24"/>
        </w:rPr>
      </w:pPr>
    </w:p>
    <w:p w:rsidR="009C6C64" w:rsidRDefault="009C6C64" w:rsidP="00E0358A">
      <w:pPr>
        <w:rPr>
          <w:sz w:val="24"/>
          <w:szCs w:val="24"/>
        </w:rPr>
      </w:pPr>
    </w:p>
    <w:p w:rsidR="00E73AE8" w:rsidRPr="00E73AE8" w:rsidRDefault="00E73AE8" w:rsidP="00E73AE8">
      <w:pPr>
        <w:jc w:val="center"/>
        <w:rPr>
          <w:rFonts w:ascii="Times New Roman" w:hAnsi="Times New Roman" w:cs="Times New Roman"/>
          <w:b/>
          <w:sz w:val="24"/>
          <w:szCs w:val="24"/>
        </w:rPr>
      </w:pPr>
      <w:r w:rsidRPr="00E73AE8">
        <w:rPr>
          <w:rFonts w:ascii="Times New Roman" w:hAnsi="Times New Roman" w:cs="Times New Roman"/>
          <w:b/>
          <w:sz w:val="24"/>
          <w:szCs w:val="24"/>
        </w:rPr>
        <w:t>ANEKS 1</w:t>
      </w:r>
    </w:p>
    <w:p w:rsidR="006742DC" w:rsidRPr="00E73AE8" w:rsidRDefault="006742DC" w:rsidP="00E73AE8">
      <w:pPr>
        <w:rPr>
          <w:b/>
          <w:sz w:val="24"/>
          <w:szCs w:val="24"/>
        </w:rPr>
      </w:pPr>
    </w:p>
    <w:p w:rsidR="00D33108" w:rsidRPr="00E73AE8" w:rsidRDefault="00E068F7" w:rsidP="00E73AE8">
      <w:pPr>
        <w:jc w:val="center"/>
        <w:rPr>
          <w:rFonts w:ascii="Times New Roman" w:hAnsi="Times New Roman" w:cs="Times New Roman"/>
          <w:b/>
          <w:sz w:val="24"/>
          <w:szCs w:val="24"/>
        </w:rPr>
      </w:pPr>
      <w:r w:rsidRPr="00E73AE8">
        <w:rPr>
          <w:rFonts w:ascii="Times New Roman" w:hAnsi="Times New Roman" w:cs="Times New Roman"/>
          <w:b/>
          <w:sz w:val="24"/>
          <w:szCs w:val="24"/>
        </w:rPr>
        <w:t>Mjedisi i</w:t>
      </w:r>
      <w:r w:rsidR="004F4A02" w:rsidRPr="00E73AE8">
        <w:rPr>
          <w:rFonts w:ascii="Times New Roman" w:hAnsi="Times New Roman" w:cs="Times New Roman"/>
          <w:b/>
          <w:sz w:val="24"/>
          <w:szCs w:val="24"/>
        </w:rPr>
        <w:t xml:space="preserve"> Europ</w:t>
      </w:r>
      <w:r w:rsidR="00E73AE8" w:rsidRPr="00E73AE8">
        <w:rPr>
          <w:rFonts w:ascii="Times New Roman" w:hAnsi="Times New Roman" w:cs="Times New Roman"/>
          <w:b/>
          <w:sz w:val="24"/>
          <w:szCs w:val="24"/>
        </w:rPr>
        <w:t>ë</w:t>
      </w:r>
      <w:r w:rsidR="004F4A02" w:rsidRPr="00E73AE8">
        <w:rPr>
          <w:rFonts w:ascii="Times New Roman" w:hAnsi="Times New Roman" w:cs="Times New Roman"/>
          <w:b/>
          <w:sz w:val="24"/>
          <w:szCs w:val="24"/>
        </w:rPr>
        <w:t>s 2025</w:t>
      </w:r>
      <w:r w:rsidR="006742DC" w:rsidRPr="00E73AE8">
        <w:rPr>
          <w:rFonts w:ascii="Times New Roman" w:hAnsi="Times New Roman" w:cs="Times New Roman"/>
          <w:b/>
          <w:sz w:val="24"/>
          <w:szCs w:val="24"/>
        </w:rPr>
        <w:t>,</w:t>
      </w:r>
    </w:p>
    <w:p w:rsidR="00E068F7" w:rsidRPr="00E73AE8" w:rsidRDefault="00D33108" w:rsidP="00E73AE8">
      <w:pPr>
        <w:jc w:val="center"/>
        <w:rPr>
          <w:rFonts w:ascii="Times New Roman" w:hAnsi="Times New Roman" w:cs="Times New Roman"/>
          <w:b/>
          <w:sz w:val="24"/>
          <w:szCs w:val="24"/>
        </w:rPr>
      </w:pPr>
      <w:r w:rsidRPr="00E73AE8">
        <w:rPr>
          <w:rFonts w:ascii="Times New Roman" w:hAnsi="Times New Roman" w:cs="Times New Roman"/>
          <w:b/>
          <w:sz w:val="24"/>
          <w:szCs w:val="24"/>
        </w:rPr>
        <w:t>P</w:t>
      </w:r>
      <w:r w:rsidR="006742DC" w:rsidRPr="00E73AE8">
        <w:rPr>
          <w:rFonts w:ascii="Times New Roman" w:hAnsi="Times New Roman" w:cs="Times New Roman"/>
          <w:b/>
          <w:sz w:val="24"/>
          <w:szCs w:val="24"/>
        </w:rPr>
        <w:t xml:space="preserve">rofili </w:t>
      </w:r>
      <w:r w:rsidR="00E73AE8">
        <w:rPr>
          <w:rFonts w:ascii="Times New Roman" w:hAnsi="Times New Roman" w:cs="Times New Roman"/>
          <w:b/>
          <w:sz w:val="24"/>
          <w:szCs w:val="24"/>
        </w:rPr>
        <w:t>i</w:t>
      </w:r>
      <w:r w:rsidR="006742DC" w:rsidRPr="00E73AE8">
        <w:rPr>
          <w:rFonts w:ascii="Times New Roman" w:hAnsi="Times New Roman" w:cs="Times New Roman"/>
          <w:b/>
          <w:sz w:val="24"/>
          <w:szCs w:val="24"/>
        </w:rPr>
        <w:t xml:space="preserve"> Shqipëris</w:t>
      </w:r>
      <w:r w:rsidR="00E73AE8">
        <w:rPr>
          <w:rFonts w:ascii="Times New Roman" w:hAnsi="Times New Roman" w:cs="Times New Roman"/>
          <w:b/>
          <w:sz w:val="24"/>
          <w:szCs w:val="24"/>
        </w:rPr>
        <w:t>ë</w:t>
      </w:r>
    </w:p>
    <w:p w:rsidR="00E068F7" w:rsidRPr="00D33108" w:rsidRDefault="00E068F7" w:rsidP="00E0358A">
      <w:pPr>
        <w:rPr>
          <w:rFonts w:ascii="Times New Roman" w:hAnsi="Times New Roman" w:cs="Times New Roman"/>
          <w:sz w:val="24"/>
          <w:szCs w:val="24"/>
        </w:rPr>
      </w:pPr>
    </w:p>
    <w:p w:rsidR="006742DC" w:rsidRPr="00D33108" w:rsidRDefault="006742DC" w:rsidP="00D33108">
      <w:pPr>
        <w:shd w:val="clear" w:color="auto" w:fill="FFFFFF"/>
        <w:spacing w:after="0" w:line="240" w:lineRule="auto"/>
        <w:jc w:val="both"/>
        <w:rPr>
          <w:rFonts w:ascii="Times New Roman" w:eastAsia="Times New Roman" w:hAnsi="Times New Roman" w:cs="Times New Roman"/>
          <w:sz w:val="24"/>
          <w:szCs w:val="24"/>
          <w:shd w:val="clear" w:color="auto" w:fill="FFFFFF"/>
        </w:rPr>
      </w:pPr>
      <w:r w:rsidRPr="00D33108">
        <w:rPr>
          <w:rFonts w:ascii="Times New Roman" w:eastAsia="Times New Roman" w:hAnsi="Times New Roman" w:cs="Times New Roman"/>
          <w:sz w:val="24"/>
          <w:szCs w:val="24"/>
          <w:shd w:val="clear" w:color="auto" w:fill="FFFFFF"/>
        </w:rPr>
        <w:t>Çdo pesë vjet, siç përcaktohet në rregulloren e saj themeluese, Agjencia Evropiane e Mjedisit (EEA)  publikon  raportin  mbi gjendjen e mjedisit. Mjedisi i Evropës 2025 u ofron vendimmarrësve në nivel evropian dhe kombëtar, si dhe publikut të gjerë, një vlerësim gjithëpërfshirës dhe ndërsektorial mbi mjedisin, klimën dhe qëndrueshmërinë në Evropë.</w:t>
      </w:r>
    </w:p>
    <w:p w:rsidR="006742DC" w:rsidRPr="00D33108" w:rsidRDefault="006742DC" w:rsidP="00D33108">
      <w:pPr>
        <w:shd w:val="clear" w:color="auto" w:fill="FFFFFF"/>
        <w:spacing w:after="0" w:line="240" w:lineRule="auto"/>
        <w:jc w:val="both"/>
        <w:rPr>
          <w:rFonts w:ascii="Times New Roman" w:eastAsia="Times New Roman" w:hAnsi="Times New Roman" w:cs="Times New Roman"/>
          <w:sz w:val="24"/>
          <w:szCs w:val="24"/>
          <w:shd w:val="clear" w:color="auto" w:fill="FFFFFF"/>
        </w:rPr>
      </w:pPr>
    </w:p>
    <w:p w:rsidR="006742DC" w:rsidRPr="00D33108" w:rsidRDefault="006742DC" w:rsidP="00D33108">
      <w:pPr>
        <w:shd w:val="clear" w:color="auto" w:fill="FFFFFF"/>
        <w:spacing w:after="0" w:line="240" w:lineRule="auto"/>
        <w:jc w:val="both"/>
        <w:rPr>
          <w:rFonts w:ascii="Times New Roman" w:eastAsia="Times New Roman" w:hAnsi="Times New Roman" w:cs="Times New Roman"/>
          <w:sz w:val="24"/>
          <w:szCs w:val="24"/>
          <w:shd w:val="clear" w:color="auto" w:fill="FFFFFF"/>
        </w:rPr>
      </w:pPr>
    </w:p>
    <w:p w:rsidR="00D33108" w:rsidRPr="009C6C64" w:rsidRDefault="006742DC" w:rsidP="009C6C64">
      <w:pPr>
        <w:shd w:val="clear" w:color="auto" w:fill="FFFFFF"/>
        <w:spacing w:after="0" w:line="240" w:lineRule="auto"/>
        <w:jc w:val="both"/>
        <w:rPr>
          <w:rFonts w:ascii="Times New Roman" w:eastAsia="Times New Roman" w:hAnsi="Times New Roman" w:cs="Times New Roman"/>
          <w:sz w:val="24"/>
          <w:szCs w:val="24"/>
          <w:shd w:val="clear" w:color="auto" w:fill="FFFFFF"/>
        </w:rPr>
      </w:pPr>
      <w:r w:rsidRPr="00D33108">
        <w:rPr>
          <w:rFonts w:ascii="Times New Roman" w:eastAsia="Times New Roman" w:hAnsi="Times New Roman" w:cs="Times New Roman"/>
          <w:sz w:val="24"/>
          <w:szCs w:val="24"/>
          <w:shd w:val="clear" w:color="auto" w:fill="FFFFFF"/>
        </w:rPr>
        <w:t>Mjedisi i Evropës 2025 është përgatitur në bashkëpunim të ngushtë me Rrjetin Evropian të Informacionit dhe Vëzhgimit Mjedisor (Eionet) të EEA-së. Raporti mbështetet në ekspertizën e gjerë të Eionet-it, e cila përbëhet nga ekspertë dhe shkencëtarë kryesorë në fushën e mjedisit,  të  32 vendet anëtare të EEA-së dhe gjashtë vendet bash</w:t>
      </w:r>
      <w:r w:rsidR="009C6C64">
        <w:rPr>
          <w:rFonts w:ascii="Times New Roman" w:eastAsia="Times New Roman" w:hAnsi="Times New Roman" w:cs="Times New Roman"/>
          <w:sz w:val="24"/>
          <w:szCs w:val="24"/>
          <w:shd w:val="clear" w:color="auto" w:fill="FFFFFF"/>
        </w:rPr>
        <w:t>këpunuese, përfshirë Shqipëri</w:t>
      </w:r>
    </w:p>
    <w:p w:rsidR="00D33108" w:rsidRDefault="00D33108">
      <w:pPr>
        <w:rPr>
          <w:rFonts w:ascii="Times New Roman" w:hAnsi="Times New Roman" w:cs="Times New Roman"/>
          <w:sz w:val="24"/>
          <w:szCs w:val="24"/>
        </w:rPr>
      </w:pPr>
    </w:p>
    <w:p w:rsidR="009C6C64" w:rsidRDefault="009C6C64">
      <w:pPr>
        <w:rPr>
          <w:rFonts w:ascii="Times New Roman" w:hAnsi="Times New Roman" w:cs="Times New Roman"/>
          <w:sz w:val="24"/>
          <w:szCs w:val="24"/>
        </w:rPr>
      </w:pPr>
    </w:p>
    <w:p w:rsidR="009C6C64" w:rsidRDefault="009C6C64">
      <w:pPr>
        <w:rPr>
          <w:rFonts w:ascii="Times New Roman" w:hAnsi="Times New Roman" w:cs="Times New Roman"/>
          <w:sz w:val="24"/>
          <w:szCs w:val="24"/>
        </w:rPr>
      </w:pPr>
    </w:p>
    <w:p w:rsidR="009C6C64" w:rsidRDefault="009C6C64">
      <w:pPr>
        <w:rPr>
          <w:rFonts w:ascii="Times New Roman" w:hAnsi="Times New Roman" w:cs="Times New Roman"/>
          <w:sz w:val="24"/>
          <w:szCs w:val="24"/>
        </w:rPr>
      </w:pPr>
    </w:p>
    <w:p w:rsidR="009C6C64" w:rsidRDefault="009C6C64">
      <w:pPr>
        <w:rPr>
          <w:rFonts w:ascii="Times New Roman" w:hAnsi="Times New Roman" w:cs="Times New Roman"/>
          <w:sz w:val="24"/>
          <w:szCs w:val="24"/>
        </w:rPr>
      </w:pPr>
    </w:p>
    <w:p w:rsidR="009C6C64" w:rsidRDefault="009C6C64">
      <w:pPr>
        <w:rPr>
          <w:rFonts w:ascii="Times New Roman" w:hAnsi="Times New Roman" w:cs="Times New Roman"/>
          <w:sz w:val="24"/>
          <w:szCs w:val="24"/>
        </w:rPr>
      </w:pPr>
    </w:p>
    <w:p w:rsidR="009C6C64" w:rsidRDefault="009C6C64">
      <w:pPr>
        <w:rPr>
          <w:rFonts w:ascii="Times New Roman" w:hAnsi="Times New Roman" w:cs="Times New Roman"/>
          <w:sz w:val="24"/>
          <w:szCs w:val="24"/>
        </w:rPr>
      </w:pPr>
    </w:p>
    <w:p w:rsidR="009C6C64" w:rsidRDefault="009C6C64">
      <w:pPr>
        <w:rPr>
          <w:rFonts w:ascii="Times New Roman" w:hAnsi="Times New Roman" w:cs="Times New Roman"/>
          <w:sz w:val="24"/>
          <w:szCs w:val="24"/>
        </w:rPr>
      </w:pPr>
    </w:p>
    <w:p w:rsidR="00A25534" w:rsidRDefault="00A25534">
      <w:pPr>
        <w:rPr>
          <w:rFonts w:ascii="Times New Roman" w:hAnsi="Times New Roman" w:cs="Times New Roman"/>
          <w:sz w:val="24"/>
          <w:szCs w:val="24"/>
        </w:rPr>
      </w:pPr>
    </w:p>
    <w:p w:rsidR="00CF2D6A" w:rsidRPr="00D33108" w:rsidRDefault="00CF2D6A">
      <w:pPr>
        <w:rPr>
          <w:rFonts w:ascii="Times New Roman" w:hAnsi="Times New Roman" w:cs="Times New Roman"/>
          <w:sz w:val="24"/>
          <w:szCs w:val="24"/>
        </w:rPr>
      </w:pPr>
    </w:p>
    <w:p w:rsidR="006742DC" w:rsidRPr="00D33108" w:rsidRDefault="006742DC" w:rsidP="006742DC">
      <w:pPr>
        <w:shd w:val="clear" w:color="auto" w:fill="FFFFFF"/>
        <w:spacing w:after="0" w:line="240" w:lineRule="auto"/>
        <w:jc w:val="center"/>
        <w:rPr>
          <w:rFonts w:ascii="Times New Roman" w:eastAsia="Times New Roman" w:hAnsi="Times New Roman" w:cs="Times New Roman"/>
          <w:b/>
          <w:sz w:val="24"/>
          <w:szCs w:val="24"/>
        </w:rPr>
      </w:pPr>
      <w:r w:rsidRPr="00D33108">
        <w:rPr>
          <w:rFonts w:ascii="Times New Roman" w:eastAsia="Times New Roman" w:hAnsi="Times New Roman" w:cs="Times New Roman"/>
          <w:b/>
          <w:sz w:val="24"/>
          <w:szCs w:val="24"/>
        </w:rPr>
        <w:t xml:space="preserve">Profili i vendit </w:t>
      </w:r>
    </w:p>
    <w:p w:rsidR="006742DC" w:rsidRPr="00D33108" w:rsidRDefault="006742DC" w:rsidP="006742DC">
      <w:pPr>
        <w:shd w:val="clear" w:color="auto" w:fill="FFFFFF"/>
        <w:spacing w:after="0" w:line="240" w:lineRule="auto"/>
        <w:jc w:val="center"/>
        <w:rPr>
          <w:rFonts w:ascii="Times New Roman" w:eastAsia="Times New Roman" w:hAnsi="Times New Roman" w:cs="Times New Roman"/>
          <w:b/>
          <w:sz w:val="24"/>
          <w:szCs w:val="24"/>
        </w:rPr>
      </w:pPr>
      <w:r w:rsidRPr="00D33108">
        <w:rPr>
          <w:rFonts w:ascii="Times New Roman" w:eastAsia="Times New Roman" w:hAnsi="Times New Roman" w:cs="Times New Roman"/>
          <w:b/>
          <w:sz w:val="24"/>
          <w:szCs w:val="24"/>
        </w:rPr>
        <w:t>Shqipëria</w:t>
      </w:r>
    </w:p>
    <w:p w:rsidR="006742DC" w:rsidRPr="00D33108" w:rsidRDefault="006742DC" w:rsidP="006742DC">
      <w:pPr>
        <w:shd w:val="clear" w:color="auto" w:fill="FFFFFF"/>
        <w:spacing w:after="0" w:line="240" w:lineRule="auto"/>
        <w:jc w:val="center"/>
        <w:rPr>
          <w:rFonts w:ascii="Times New Roman" w:eastAsia="Times New Roman" w:hAnsi="Times New Roman" w:cs="Times New Roman"/>
          <w:b/>
          <w:sz w:val="24"/>
          <w:szCs w:val="24"/>
        </w:rPr>
      </w:pPr>
    </w:p>
    <w:p w:rsidR="006742DC" w:rsidRPr="00D33108" w:rsidRDefault="006742DC" w:rsidP="006742DC">
      <w:pPr>
        <w:shd w:val="clear" w:color="auto" w:fill="FFFFFF"/>
        <w:spacing w:after="0" w:line="240" w:lineRule="auto"/>
        <w:jc w:val="both"/>
        <w:rPr>
          <w:rFonts w:ascii="Times New Roman" w:eastAsia="Times New Roman" w:hAnsi="Times New Roman" w:cs="Times New Roman"/>
          <w:sz w:val="24"/>
          <w:szCs w:val="24"/>
        </w:rPr>
      </w:pPr>
      <w:r w:rsidRPr="00D33108">
        <w:rPr>
          <w:rFonts w:ascii="Times New Roman" w:eastAsia="Times New Roman" w:hAnsi="Times New Roman" w:cs="Times New Roman"/>
          <w:sz w:val="24"/>
          <w:szCs w:val="24"/>
        </w:rPr>
        <w:t>Profili i vendit të Shqipërisë ofron një pasqyrë koncize të trendeve kryesore në tre dimensione: mjedisi dhe klima; ndryshimi socio-ekonomik; dhe ndryshimi i sistemit (energjia, lëvizshmëria dhe ushqimi) në vend. Ai nxjerr në pah zhvillimet dhe sfidat kryesore në këto fusha, duke përfshirë masat për të mbështetur progresin drejt qëndrueshmërisë në Shqipëri. Një vlerësim për secilin prej tre dimensioneve u përgatit nga ekspertë kombëtarë nga Rrjeti Evropian i Informacionit dhe Vëzhgimit të Mjedisit (Eionet) në Shqipëri, bazuar në 20 tregues të përcaktuar nga EEA ose Eurostat.</w:t>
      </w:r>
    </w:p>
    <w:p w:rsidR="006742DC" w:rsidRPr="00D33108" w:rsidRDefault="006742DC" w:rsidP="006742DC">
      <w:pPr>
        <w:shd w:val="clear" w:color="auto" w:fill="FFFFFF"/>
        <w:spacing w:after="0" w:line="240" w:lineRule="auto"/>
        <w:jc w:val="both"/>
        <w:rPr>
          <w:rFonts w:ascii="Times New Roman" w:eastAsia="Times New Roman" w:hAnsi="Times New Roman" w:cs="Times New Roman"/>
          <w:sz w:val="24"/>
          <w:szCs w:val="24"/>
        </w:rPr>
      </w:pPr>
    </w:p>
    <w:p w:rsidR="006742DC" w:rsidRPr="00D33108" w:rsidRDefault="006742DC" w:rsidP="006742DC">
      <w:pPr>
        <w:shd w:val="clear" w:color="auto" w:fill="FFFFFF"/>
        <w:spacing w:after="0" w:line="240" w:lineRule="auto"/>
        <w:jc w:val="both"/>
        <w:rPr>
          <w:rFonts w:ascii="Times New Roman" w:eastAsia="Times New Roman" w:hAnsi="Times New Roman" w:cs="Times New Roman"/>
          <w:sz w:val="24"/>
          <w:szCs w:val="24"/>
        </w:rPr>
      </w:pPr>
    </w:p>
    <w:p w:rsidR="006742DC" w:rsidRPr="00E73AE8" w:rsidRDefault="006742DC" w:rsidP="00807975">
      <w:pPr>
        <w:pStyle w:val="ListParagraph"/>
        <w:numPr>
          <w:ilvl w:val="0"/>
          <w:numId w:val="127"/>
        </w:numPr>
        <w:shd w:val="clear" w:color="auto" w:fill="FFFFFF"/>
        <w:suppressAutoHyphens/>
        <w:spacing w:before="120" w:after="0" w:line="240" w:lineRule="auto"/>
        <w:jc w:val="both"/>
        <w:rPr>
          <w:rFonts w:ascii="Times New Roman" w:eastAsia="Times New Roman" w:hAnsi="Times New Roman" w:cs="Times New Roman"/>
          <w:b/>
          <w:sz w:val="24"/>
          <w:szCs w:val="24"/>
        </w:rPr>
      </w:pPr>
      <w:r w:rsidRPr="00E73AE8">
        <w:rPr>
          <w:rFonts w:ascii="Times New Roman" w:eastAsia="Times New Roman" w:hAnsi="Times New Roman" w:cs="Times New Roman"/>
          <w:b/>
          <w:sz w:val="24"/>
          <w:szCs w:val="24"/>
        </w:rPr>
        <w:t>Hyrje</w:t>
      </w:r>
    </w:p>
    <w:p w:rsidR="006742DC" w:rsidRPr="006F3AE9" w:rsidRDefault="006742DC" w:rsidP="006F3AE9">
      <w:pPr>
        <w:shd w:val="clear" w:color="auto" w:fill="FFFFFF"/>
        <w:spacing w:after="0" w:line="240" w:lineRule="auto"/>
        <w:jc w:val="both"/>
        <w:rPr>
          <w:rFonts w:ascii="Times New Roman" w:eastAsia="Times New Roman" w:hAnsi="Times New Roman" w:cs="Times New Roman"/>
          <w:sz w:val="24"/>
          <w:szCs w:val="24"/>
        </w:rPr>
      </w:pPr>
      <w:r w:rsidRPr="006F3AE9">
        <w:rPr>
          <w:rFonts w:ascii="Times New Roman" w:eastAsia="Times New Roman" w:hAnsi="Times New Roman" w:cs="Times New Roman"/>
          <w:sz w:val="24"/>
          <w:szCs w:val="24"/>
        </w:rPr>
        <w:t>Shqipëria nënshkroi Deklaratën e Sofjes mbi Axhendën e Gjelbër për Ballkanin Perëndimor në vitin 2020, duke u zotuar të arrijë neutralitetin e karbonit deri në vitin 2050. Përmes zbatimit të masave të përfshira në strategjitë dhe planet që lidhen me burimet e energjisë së rinovueshme (BRE) dhe energjinë, Shqipëria tashmë ka arritur objektivat e BE-së për vitin 2030 për përdorimin e BRE-ve dhe ka bërë përparim në uljen e konsumit të energjisë.</w:t>
      </w:r>
    </w:p>
    <w:p w:rsidR="006742DC" w:rsidRPr="00D33108" w:rsidRDefault="006742DC" w:rsidP="006F3AE9">
      <w:pPr>
        <w:shd w:val="clear" w:color="auto" w:fill="FFFFFF"/>
        <w:spacing w:after="0" w:line="240" w:lineRule="auto"/>
        <w:jc w:val="both"/>
        <w:rPr>
          <w:rFonts w:ascii="Times New Roman" w:eastAsia="Times New Roman" w:hAnsi="Times New Roman" w:cs="Times New Roman"/>
          <w:sz w:val="24"/>
          <w:szCs w:val="24"/>
        </w:rPr>
      </w:pPr>
      <w:r w:rsidRPr="006F3AE9">
        <w:rPr>
          <w:rFonts w:ascii="Times New Roman" w:eastAsia="Times New Roman" w:hAnsi="Times New Roman" w:cs="Times New Roman"/>
          <w:sz w:val="24"/>
          <w:szCs w:val="24"/>
        </w:rPr>
        <w:t xml:space="preserve">Megjithatë, pavarësisht uljes së emetimeve të gazrave serrë (GHG) nga sektori i përdorimit të tokës, ndryshimit të përdorimit të tokës dhe pylltarisë (LULUCF), rritjet e emetimeve nga sektorë të tjerë nënkuptojnë se përmbushja e objektivit të përcaktuar në Kontributet e Përcaktuara Kombëtarisht (NDC) 2021–2030, i cili synon një ulje të përgjithshme prej 20.9% të </w:t>
      </w:r>
      <w:r w:rsidRPr="00D33108">
        <w:rPr>
          <w:rFonts w:ascii="Times New Roman" w:eastAsia="Times New Roman" w:hAnsi="Times New Roman" w:cs="Times New Roman"/>
          <w:sz w:val="24"/>
          <w:szCs w:val="24"/>
        </w:rPr>
        <w:t>emetimeve të GHG deri në vitin 2030, do të jetë e vështirë.</w:t>
      </w:r>
    </w:p>
    <w:p w:rsidR="006F3AE9" w:rsidRDefault="006F3AE9" w:rsidP="006F3AE9">
      <w:pPr>
        <w:shd w:val="clear" w:color="auto" w:fill="FFFFFF"/>
        <w:spacing w:after="0" w:line="240" w:lineRule="auto"/>
        <w:jc w:val="both"/>
        <w:rPr>
          <w:rFonts w:ascii="Times New Roman" w:eastAsia="Times New Roman" w:hAnsi="Times New Roman" w:cs="Times New Roman"/>
          <w:sz w:val="24"/>
          <w:szCs w:val="24"/>
        </w:rPr>
      </w:pPr>
    </w:p>
    <w:p w:rsidR="006F3AE9" w:rsidRPr="006F3AE9" w:rsidRDefault="006742DC" w:rsidP="006F3AE9">
      <w:pPr>
        <w:shd w:val="clear" w:color="auto" w:fill="FFFFFF"/>
        <w:spacing w:after="0" w:line="240" w:lineRule="auto"/>
        <w:jc w:val="both"/>
        <w:rPr>
          <w:rFonts w:ascii="Times New Roman" w:hAnsi="Times New Roman" w:cs="Times New Roman"/>
          <w:sz w:val="24"/>
          <w:szCs w:val="24"/>
          <w:lang w:val="fr-CA" w:eastAsia="ar-SA"/>
        </w:rPr>
      </w:pPr>
      <w:r w:rsidRPr="00D33108">
        <w:rPr>
          <w:rFonts w:ascii="Times New Roman" w:eastAsia="Times New Roman" w:hAnsi="Times New Roman" w:cs="Times New Roman"/>
          <w:sz w:val="24"/>
          <w:szCs w:val="24"/>
        </w:rPr>
        <w:t>Përmirësimi i infrastrukturës rrugore dhe sistemit të lëvizshmërisë dhe rritja e numrit të makinave të reja dhe elektrike, me emetime më të ulëta, ka çuar në përparimin e bërë drejt uljes së shkallës së vdekjeve të parakohshme për shkak të ndotjes së ajrit. Për më tepër, zona e mbuluar nga bujqësia organike është rritur në dy vitet e fundit për shkak të skemave kombëtare të zbatuara në kuadër të masave të Instrumentit për Ndihmë Para-Anëtarësuese në Zhvillimin Rural (IPARD), por ende nevojiten nivele të larta përpjekjesh për të përmbushur objektivin e politikës së BE-së prej 25% mbulimi deri në vitin 2030.</w:t>
      </w:r>
      <w:r w:rsidRPr="006F3AE9">
        <w:rPr>
          <w:rFonts w:ascii="Times New Roman" w:hAnsi="Times New Roman" w:cs="Times New Roman"/>
          <w:sz w:val="24"/>
          <w:szCs w:val="24"/>
          <w:lang w:val="fr-CA" w:eastAsia="ar-SA"/>
        </w:rPr>
        <w:t xml:space="preserve">Këto skema kanë pasur një ndikim pozitiv në aspektin e cilësisë së ushqimit dhe prodhuesve. </w:t>
      </w:r>
    </w:p>
    <w:p w:rsidR="006F3AE9" w:rsidRPr="006F3AE9" w:rsidRDefault="006F3AE9" w:rsidP="006F3AE9">
      <w:pPr>
        <w:shd w:val="clear" w:color="auto" w:fill="FFFFFF"/>
        <w:spacing w:after="0" w:line="240" w:lineRule="auto"/>
        <w:jc w:val="both"/>
        <w:rPr>
          <w:rFonts w:ascii="Times New Roman" w:hAnsi="Times New Roman" w:cs="Times New Roman"/>
          <w:sz w:val="24"/>
          <w:szCs w:val="24"/>
          <w:lang w:val="fr-CA" w:eastAsia="ar-SA"/>
        </w:rPr>
      </w:pPr>
    </w:p>
    <w:p w:rsidR="006742DC" w:rsidRPr="006F3AE9" w:rsidRDefault="006742DC" w:rsidP="006F3AE9">
      <w:pPr>
        <w:shd w:val="clear" w:color="auto" w:fill="FFFFFF"/>
        <w:spacing w:after="0" w:line="240" w:lineRule="auto"/>
        <w:jc w:val="both"/>
        <w:rPr>
          <w:rFonts w:ascii="Times New Roman" w:eastAsia="Times New Roman" w:hAnsi="Times New Roman" w:cs="Times New Roman"/>
          <w:sz w:val="24"/>
          <w:szCs w:val="24"/>
        </w:rPr>
      </w:pPr>
      <w:r w:rsidRPr="006F3AE9">
        <w:rPr>
          <w:rFonts w:ascii="Times New Roman" w:hAnsi="Times New Roman" w:cs="Times New Roman"/>
          <w:sz w:val="24"/>
          <w:szCs w:val="24"/>
          <w:lang w:val="fr-CA" w:eastAsia="ar-SA"/>
        </w:rPr>
        <w:t>Zonat e mbrojtura tokësore janë zgjeruar gjithashtu gjatë dekadës së fundit; në veçanti, vlen të përmendet përcaktimi i Parkut Natyror të Lumit të Egër Vjosa si një zonë e tillë në vitin 2023. Me uljen e gjenerimit të mbetjeve bashkiake për frymë dhe rritjen e riciklimit të mbetjeve, Shqipëria po bën gjithashtu përparim të mirë në</w:t>
      </w:r>
      <w:r w:rsidRPr="006F3AE9">
        <w:rPr>
          <w:rFonts w:ascii="Times New Roman" w:hAnsi="Times New Roman" w:cs="Times New Roman"/>
          <w:sz w:val="24"/>
          <w:szCs w:val="24"/>
        </w:rPr>
        <w:t xml:space="preserve"> lëvizjen drejt një ekonomie rrethore.</w:t>
      </w:r>
      <w:r w:rsidR="00CF2D6A" w:rsidRPr="006F3AE9">
        <w:rPr>
          <w:rFonts w:ascii="Times New Roman" w:hAnsi="Times New Roman" w:cs="Times New Roman"/>
          <w:sz w:val="24"/>
          <w:szCs w:val="24"/>
        </w:rPr>
        <w:t xml:space="preserve"> Strategjia e mbrojtjes socilae </w:t>
      </w:r>
      <w:r w:rsidRPr="006F3AE9">
        <w:rPr>
          <w:rFonts w:ascii="Times New Roman" w:hAnsi="Times New Roman" w:cs="Times New Roman"/>
          <w:sz w:val="24"/>
          <w:szCs w:val="24"/>
        </w:rPr>
        <w:t xml:space="preserve">2024–2030 </w:t>
      </w:r>
      <w:r w:rsidR="00CF2D6A" w:rsidRPr="006F3AE9">
        <w:rPr>
          <w:rFonts w:ascii="Times New Roman" w:hAnsi="Times New Roman" w:cs="Times New Roman"/>
          <w:sz w:val="24"/>
          <w:szCs w:val="24"/>
        </w:rPr>
        <w:t>synon luftimin e varfërisë energjetike duke konsoliduar skema financiare dhe nxitur përdorimin e paneleve diellore në zoant rurale dhe politikat ekonomike tregojnë që po bëhet  progres</w:t>
      </w:r>
      <w:r w:rsidR="00631644" w:rsidRPr="006F3AE9">
        <w:rPr>
          <w:rFonts w:ascii="Times New Roman" w:hAnsi="Times New Roman" w:cs="Times New Roman"/>
          <w:sz w:val="24"/>
          <w:szCs w:val="24"/>
        </w:rPr>
        <w:t xml:space="preserve"> drejt tranzicionit të gjelbër në  inovacion dhe energjinë e rinovueshme. </w:t>
      </w:r>
      <w:r w:rsidR="00CF2D6A" w:rsidRPr="006F3AE9">
        <w:rPr>
          <w:rFonts w:ascii="Times New Roman" w:hAnsi="Times New Roman" w:cs="Times New Roman"/>
          <w:sz w:val="24"/>
          <w:szCs w:val="24"/>
        </w:rPr>
        <w:t xml:space="preserve"> </w:t>
      </w:r>
      <w:r w:rsidRPr="006F3AE9">
        <w:rPr>
          <w:rFonts w:ascii="Times New Roman" w:hAnsi="Times New Roman" w:cs="Times New Roman"/>
          <w:sz w:val="24"/>
          <w:szCs w:val="24"/>
        </w:rPr>
        <w:t xml:space="preserve"> </w:t>
      </w:r>
    </w:p>
    <w:p w:rsidR="00631644" w:rsidRPr="00631644" w:rsidRDefault="00631644" w:rsidP="00631644">
      <w:pPr>
        <w:pStyle w:val="NormalWeb"/>
        <w:shd w:val="clear" w:color="auto" w:fill="FFFFFF"/>
        <w:spacing w:before="0" w:beforeAutospacing="0" w:after="240" w:afterAutospacing="0"/>
        <w:jc w:val="both"/>
      </w:pPr>
    </w:p>
    <w:p w:rsidR="006742DC" w:rsidRPr="00E73AE8" w:rsidRDefault="006742DC" w:rsidP="00807975">
      <w:pPr>
        <w:pStyle w:val="ListParagraph"/>
        <w:numPr>
          <w:ilvl w:val="0"/>
          <w:numId w:val="127"/>
        </w:numPr>
        <w:shd w:val="clear" w:color="auto" w:fill="FFFFFF"/>
        <w:suppressAutoHyphens/>
        <w:spacing w:before="120" w:after="240" w:line="240" w:lineRule="auto"/>
        <w:jc w:val="both"/>
        <w:rPr>
          <w:rFonts w:ascii="Times New Roman" w:eastAsia="Times New Roman" w:hAnsi="Times New Roman" w:cs="Times New Roman"/>
          <w:b/>
          <w:bCs/>
          <w:spacing w:val="-4"/>
          <w:sz w:val="24"/>
          <w:szCs w:val="24"/>
        </w:rPr>
      </w:pPr>
      <w:r w:rsidRPr="00E73AE8">
        <w:rPr>
          <w:rFonts w:ascii="Times New Roman" w:eastAsia="Times New Roman" w:hAnsi="Times New Roman" w:cs="Times New Roman"/>
          <w:b/>
          <w:bCs/>
          <w:spacing w:val="-4"/>
          <w:sz w:val="24"/>
          <w:szCs w:val="24"/>
        </w:rPr>
        <w:lastRenderedPageBreak/>
        <w:t>Vlerësim përmbledhës</w:t>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lang w:val="fr-CA" w:eastAsia="ar-SA"/>
        </w:rPr>
      </w:pPr>
      <w:r w:rsidRPr="00D33108">
        <w:rPr>
          <w:rFonts w:ascii="Times New Roman" w:eastAsia="Times New Roman" w:hAnsi="Times New Roman" w:cs="Times New Roman"/>
          <w:sz w:val="24"/>
          <w:szCs w:val="24"/>
          <w:lang w:val="fr-CA" w:eastAsia="ar-SA"/>
        </w:rPr>
        <w:t>Shqipëria ka miratuar planin e saj të parë të veprimit për energjinë dhe klimën (NECP) për periudhën 2021–2030, i cili bazohet në strategjinë kombëtare të energjisë dhe Kontributet e Përcaktuara Kombëtarisht (NDC) të miratuara në Konferencën e 21-të të Palëve të Konventës Kornizë të Kombeve të Bashkuara për Ndryshimet Klimatike (UNFCCC). Politikat energjetike të Shqipërisë ndjekin tre objektiva: mbështetjen e zhvillimit të përgjithshëm ekonomik, rritjen e sigurisë së furnizimit me energji dhe mbrojtjen e mjedisit.</w:t>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lang w:val="fr-CA" w:eastAsia="ar-SA"/>
        </w:rPr>
      </w:pPr>
      <w:r w:rsidRPr="00D33108">
        <w:rPr>
          <w:rFonts w:ascii="Times New Roman" w:eastAsia="Times New Roman" w:hAnsi="Times New Roman" w:cs="Times New Roman"/>
          <w:sz w:val="24"/>
          <w:szCs w:val="24"/>
          <w:lang w:val="fr-CA" w:eastAsia="ar-SA"/>
        </w:rPr>
        <w:t>Shqipëria është në një pozicion të shkëlqyer në lidhje me Paktin e Gjelbër, me një sektor energjie të bazuar pothuajse tërësisht në hidrocentrale që prodhojnë energji të pastër, por shpesh është e ekspozuar ndaj mungesave në vitet e thata. Shqipëria synon një ulje prej 15.5% të konsumit të energjisë dhe po bën përpjekje për të arritur objektivin e BE-së prej 87% deri në vitin 2030. Energjia e rinovueshme, veçanërisht nga burime të tjera përveç hidroenergjisë, është një zgjidhje për çështjet që lidhen me prodhimin e energjisë dhe zbutjen e ndryshimeve klimatike. Sfida për menaxhimin e ujit në lidhje me mjedisin është balancimi i nevojave të ekosistemeve të ndryshme me nevojat e përdoruesve të tjerë të ujit. Zonat e mbrojtura, ligatinat dhe pyjet janë tre habitatet kryesore që konsiderohen se ndikojnë drejtpërdrejt dhe preken nga uji. Zonat e mbrojtura janë rritur për shkak të rishikimeve të kufijve të tyre, shpalljes së zonave të reja të mbrojtura dhe zgjerimit të atyre ekzistuese.</w:t>
      </w:r>
    </w:p>
    <w:p w:rsidR="00E73AE8" w:rsidRPr="003A09A7" w:rsidRDefault="006742DC" w:rsidP="00E73AE8">
      <w:pPr>
        <w:suppressAutoHyphens/>
        <w:spacing w:before="120" w:after="180" w:line="276" w:lineRule="auto"/>
        <w:jc w:val="both"/>
        <w:rPr>
          <w:rFonts w:ascii="Times New Roman" w:eastAsia="Times New Roman" w:hAnsi="Times New Roman" w:cs="Times New Roman"/>
          <w:sz w:val="24"/>
          <w:szCs w:val="24"/>
          <w:lang w:val="fr-CA" w:eastAsia="ar-SA"/>
        </w:rPr>
      </w:pPr>
      <w:r w:rsidRPr="00D33108">
        <w:rPr>
          <w:rFonts w:ascii="Times New Roman" w:eastAsia="Times New Roman" w:hAnsi="Times New Roman" w:cs="Times New Roman"/>
          <w:sz w:val="24"/>
          <w:szCs w:val="24"/>
          <w:lang w:val="fr-CA" w:eastAsia="ar-SA"/>
        </w:rPr>
        <w:t>Shqipëria është një nga vendet me nivelet më të ulëta të emetimeve të gazrave serrë (GHG) në rajon, por, në të njëjtën kohë, është më e ndjeshmja ndaj efekteve të ndryshimeve klimatike për shkak të fatkeqësive natyrore. Dokumenti NDC përcakton masa për zbutjen dhe përshtatjen. Legjislacioni kombëtar mbi cilësinë e ajrit të ambientit është përafruar me atë të BE-së në një nivel të avancuar, por praktikat e monitorimit të cilësisë së ajrit duhet të jenë në përputhje me standardet e BE-së. Nevojiten investime të shtuara për të siguruar monitorim të vazhdueshëm, sigurimin e të dhënave dhe raportimin mbi emetimet në ajër nga</w:t>
      </w:r>
      <w:r w:rsidR="003A09A7">
        <w:rPr>
          <w:rFonts w:ascii="Times New Roman" w:eastAsia="Times New Roman" w:hAnsi="Times New Roman" w:cs="Times New Roman"/>
          <w:sz w:val="24"/>
          <w:szCs w:val="24"/>
          <w:lang w:val="fr-CA" w:eastAsia="ar-SA"/>
        </w:rPr>
        <w:t xml:space="preserve"> të gjithë sektorët kontribues.</w:t>
      </w:r>
    </w:p>
    <w:p w:rsidR="00E73AE8" w:rsidRDefault="00E73AE8" w:rsidP="00E73AE8">
      <w:pPr>
        <w:suppressAutoHyphens/>
        <w:spacing w:before="120" w:after="180" w:line="276" w:lineRule="auto"/>
        <w:contextualSpacing/>
        <w:jc w:val="both"/>
        <w:rPr>
          <w:rFonts w:ascii="Times New Roman" w:eastAsia="Times New Roman" w:hAnsi="Times New Roman" w:cs="Times New Roman"/>
          <w:b/>
          <w:sz w:val="24"/>
          <w:szCs w:val="24"/>
          <w:lang w:val="fr-CA" w:eastAsia="ar-SA"/>
        </w:rPr>
      </w:pPr>
    </w:p>
    <w:p w:rsidR="006742DC" w:rsidRPr="00D33108" w:rsidRDefault="006742DC" w:rsidP="00E73AE8">
      <w:pPr>
        <w:suppressAutoHyphens/>
        <w:spacing w:before="120" w:after="180" w:line="276" w:lineRule="auto"/>
        <w:contextualSpacing/>
        <w:jc w:val="both"/>
        <w:rPr>
          <w:rFonts w:ascii="Times New Roman" w:eastAsia="Times New Roman" w:hAnsi="Times New Roman" w:cs="Times New Roman"/>
          <w:b/>
          <w:sz w:val="24"/>
          <w:szCs w:val="24"/>
          <w:lang w:val="fr-CA" w:eastAsia="ar-SA"/>
        </w:rPr>
      </w:pPr>
      <w:r w:rsidRPr="00D33108">
        <w:rPr>
          <w:rFonts w:ascii="Times New Roman" w:eastAsia="Times New Roman" w:hAnsi="Times New Roman" w:cs="Times New Roman"/>
          <w:b/>
          <w:sz w:val="24"/>
          <w:szCs w:val="24"/>
          <w:lang w:val="fr-CA" w:eastAsia="ar-SA"/>
        </w:rPr>
        <w:t>Mjedisi dhe klima</w:t>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lang w:val="fr-CA" w:eastAsia="ar-SA"/>
        </w:rPr>
      </w:pPr>
    </w:p>
    <w:p w:rsidR="006742DC" w:rsidRPr="00D33108" w:rsidRDefault="006742DC" w:rsidP="006742DC">
      <w:pPr>
        <w:shd w:val="clear" w:color="auto" w:fill="007B6C"/>
        <w:spacing w:after="0" w:line="240" w:lineRule="auto"/>
        <w:outlineLvl w:val="0"/>
        <w:rPr>
          <w:rFonts w:ascii="Times New Roman" w:eastAsia="Times New Roman" w:hAnsi="Times New Roman" w:cs="Times New Roman"/>
          <w:b/>
          <w:bCs/>
          <w:spacing w:val="-4"/>
          <w:kern w:val="36"/>
          <w:sz w:val="24"/>
          <w:szCs w:val="24"/>
        </w:rPr>
      </w:pPr>
      <w:r w:rsidRPr="00D33108">
        <w:rPr>
          <w:rFonts w:ascii="Times New Roman" w:eastAsia="Times New Roman" w:hAnsi="Times New Roman" w:cs="Times New Roman"/>
          <w:b/>
          <w:bCs/>
          <w:spacing w:val="-4"/>
          <w:kern w:val="36"/>
          <w:sz w:val="24"/>
          <w:szCs w:val="24"/>
        </w:rPr>
        <w:t>Sipërfaqja me bujqësi organike</w:t>
      </w:r>
    </w:p>
    <w:p w:rsidR="006742DC" w:rsidRPr="00D33108" w:rsidRDefault="006742DC" w:rsidP="006742DC">
      <w:pPr>
        <w:suppressAutoHyphens/>
        <w:spacing w:after="0" w:line="240" w:lineRule="auto"/>
        <w:jc w:val="both"/>
        <w:rPr>
          <w:rFonts w:ascii="Times New Roman" w:eastAsia="Times New Roman" w:hAnsi="Times New Roman" w:cs="Times New Roman"/>
          <w:sz w:val="24"/>
          <w:szCs w:val="24"/>
          <w:shd w:val="clear" w:color="auto" w:fill="FFFFFF"/>
          <w:lang w:val="fr-CA" w:eastAsia="ar-SA"/>
        </w:rPr>
      </w:pPr>
    </w:p>
    <w:p w:rsidR="006742DC" w:rsidRPr="00D33108" w:rsidRDefault="006742DC" w:rsidP="006742DC">
      <w:pPr>
        <w:suppressAutoHyphens/>
        <w:spacing w:after="0" w:line="240" w:lineRule="auto"/>
        <w:jc w:val="both"/>
        <w:rPr>
          <w:rFonts w:ascii="Times New Roman" w:eastAsia="Times New Roman" w:hAnsi="Times New Roman" w:cs="Times New Roman"/>
          <w:sz w:val="24"/>
          <w:szCs w:val="24"/>
          <w:shd w:val="clear" w:color="auto" w:fill="FFFFFF"/>
          <w:lang w:val="fr-CA" w:eastAsia="ar-SA"/>
        </w:rPr>
      </w:pPr>
      <w:r w:rsidRPr="00D33108">
        <w:rPr>
          <w:rFonts w:ascii="Times New Roman" w:eastAsia="Times New Roman" w:hAnsi="Times New Roman" w:cs="Times New Roman"/>
          <w:sz w:val="24"/>
          <w:szCs w:val="24"/>
          <w:shd w:val="clear" w:color="auto" w:fill="FFFFFF"/>
          <w:lang w:val="fr-CA" w:eastAsia="ar-SA"/>
        </w:rPr>
        <w:t>Indikatori tregon pjesën e tokës bujqësore të BE-së që përdoret për bujqësinë organike dhe distancën drejt objektivit prej 25% të pjesës, siç përcaktohet nga Pakti i Gjelbër Evropian.</w:t>
      </w:r>
      <w:r w:rsidRPr="00D33108">
        <w:rPr>
          <w:rFonts w:ascii="Times New Roman" w:eastAsia="Times New Roman" w:hAnsi="Times New Roman" w:cs="Times New Roman"/>
          <w:i/>
          <w:sz w:val="24"/>
          <w:szCs w:val="24"/>
          <w:shd w:val="clear" w:color="auto" w:fill="FFFFFF"/>
          <w:lang w:val="fr-CA" w:eastAsia="ar-SA"/>
        </w:rPr>
        <w:t>.</w:t>
      </w:r>
    </w:p>
    <w:p w:rsidR="006742DC" w:rsidRPr="00D33108" w:rsidRDefault="006742DC" w:rsidP="006742DC">
      <w:pPr>
        <w:spacing w:before="100" w:beforeAutospacing="1" w:after="100" w:afterAutospacing="1" w:line="240" w:lineRule="auto"/>
        <w:rPr>
          <w:rFonts w:ascii="Times New Roman" w:eastAsia="Times New Roman" w:hAnsi="Times New Roman" w:cs="Times New Roman"/>
          <w:sz w:val="24"/>
          <w:szCs w:val="24"/>
        </w:rPr>
      </w:pPr>
      <w:r w:rsidRPr="00D33108">
        <w:rPr>
          <w:rFonts w:ascii="Times New Roman" w:eastAsia="Times New Roman" w:hAnsi="Times New Roman" w:cs="Times New Roman"/>
          <w:noProof/>
          <w:sz w:val="24"/>
          <w:szCs w:val="24"/>
        </w:rPr>
        <w:lastRenderedPageBreak/>
        <w:drawing>
          <wp:inline distT="0" distB="0" distL="0" distR="0" wp14:anchorId="41911E08" wp14:editId="773A0001">
            <wp:extent cx="6324600" cy="3514725"/>
            <wp:effectExtent l="0" t="0" r="0" b="9525"/>
            <wp:docPr id="104" name="Picture 104" descr="C:\Users\arta.kodra\Downloads\Area under organic farm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ta.kodra\Downloads\Area under organic farming.png"/>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6360695" cy="3534784"/>
                    </a:xfrm>
                    <a:prstGeom prst="rect">
                      <a:avLst/>
                    </a:prstGeom>
                    <a:noFill/>
                    <a:ln>
                      <a:noFill/>
                    </a:ln>
                  </pic:spPr>
                </pic:pic>
              </a:graphicData>
            </a:graphic>
          </wp:inline>
        </w:drawing>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lang w:val="fr-CA" w:eastAsia="ar-SA"/>
        </w:rPr>
      </w:pPr>
      <w:r w:rsidRPr="00D33108">
        <w:rPr>
          <w:rFonts w:ascii="Times New Roman" w:eastAsia="Times New Roman" w:hAnsi="Times New Roman" w:cs="Times New Roman"/>
          <w:sz w:val="24"/>
          <w:szCs w:val="24"/>
          <w:lang w:val="fr-CA" w:eastAsia="ar-SA"/>
        </w:rPr>
        <w:t>Strategjia për zhvillimin rural, bujqësinë dhe peshkimin 2021–2027 synon të plotësojë kuadrin ligjor për prodhimin organik dhe ofron mbështetje për fermerët përmes programit të Instrumentit për Ndihmë Para-Anëtarësuese në Zhvillimin Rural (IPARD) (financim kombëtar dhe i BE-së). Ajo gjithashtu integron masat e përcaktuara në shtyllën V të Axhendës së Gjelbër të Vendeve të Ballkanit Perëndimor (nëntor 2020) dhe Strategjinë e BE-së "Nga Ferma në Tavë". Sipërfaqja totale nën bujqësi organike në vitin 2023 ishte 797 ha, nga të cilat 682 ha ishin plotësisht organike dhe 115 ha ishin në fazën e konvertimit.</w:t>
      </w:r>
    </w:p>
    <w:p w:rsidR="00E0358A" w:rsidRPr="00D33108" w:rsidRDefault="006742DC" w:rsidP="006742DC">
      <w:pPr>
        <w:rPr>
          <w:rFonts w:ascii="Times New Roman" w:eastAsia="Times New Roman" w:hAnsi="Times New Roman" w:cs="Times New Roman"/>
          <w:sz w:val="24"/>
          <w:szCs w:val="24"/>
          <w:lang w:val="fr-CA" w:eastAsia="ar-SA"/>
        </w:rPr>
      </w:pPr>
      <w:r w:rsidRPr="00D33108">
        <w:rPr>
          <w:rFonts w:ascii="Times New Roman" w:eastAsia="Times New Roman" w:hAnsi="Times New Roman" w:cs="Times New Roman"/>
          <w:sz w:val="24"/>
          <w:szCs w:val="24"/>
          <w:lang w:val="fr-CA" w:eastAsia="ar-SA"/>
        </w:rPr>
        <w:t>Sipërfaqja nën bujqësinë organike është rritur në vitet e fundit, nga 570 ha (2022) në 682 ha (2023). Kjo për shkak të vazhdimit të mbështetjes së skemave kombëtare për fermat</w:t>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lang w:val="fr-CA" w:eastAsia="ar-SA"/>
        </w:rPr>
      </w:pPr>
      <w:r w:rsidRPr="00D33108">
        <w:rPr>
          <w:rFonts w:ascii="Times New Roman" w:eastAsia="Times New Roman" w:hAnsi="Times New Roman" w:cs="Times New Roman"/>
          <w:sz w:val="24"/>
          <w:szCs w:val="24"/>
          <w:lang w:val="fr-CA" w:eastAsia="ar-SA"/>
        </w:rPr>
        <w:t>organike, por edhe fillimit të zbatimit të Masës 4 'Agro-mjedisi - klima dhe bujqësia organike' të programit IPARD III. Pavarësisht qëllimit dhe pritjeve të Shqipërisë në lidhje me rritjen e sipërfaqes nën bujqësinë organike, pjesa e sipërfaqes totale bujqësore të përdorur për bujqësinë organike midis viteve 2012 dhe 2022 ishte e ulët. Është e nevojshme të merren masa për të arritur objektivin e politikave të BE-së që 25% e sipërfaqes bujqësore të përdoret për bujqësinë organike deri në vitin 2030.</w:t>
      </w:r>
    </w:p>
    <w:p w:rsidR="006742DC" w:rsidRPr="00D33108" w:rsidRDefault="006742DC" w:rsidP="00E73AE8">
      <w:pPr>
        <w:shd w:val="clear" w:color="auto" w:fill="DEEAF6" w:themeFill="accent1" w:themeFillTint="33"/>
        <w:spacing w:after="0" w:line="240" w:lineRule="auto"/>
        <w:outlineLvl w:val="0"/>
        <w:rPr>
          <w:rFonts w:ascii="Times New Roman" w:eastAsia="Times New Roman" w:hAnsi="Times New Roman" w:cs="Times New Roman"/>
          <w:b/>
          <w:bCs/>
          <w:spacing w:val="-4"/>
          <w:kern w:val="36"/>
          <w:sz w:val="24"/>
          <w:szCs w:val="24"/>
        </w:rPr>
      </w:pPr>
      <w:r w:rsidRPr="00D33108">
        <w:rPr>
          <w:rFonts w:ascii="Times New Roman" w:eastAsia="Times New Roman" w:hAnsi="Times New Roman" w:cs="Times New Roman"/>
          <w:b/>
          <w:bCs/>
          <w:spacing w:val="-4"/>
          <w:kern w:val="36"/>
          <w:sz w:val="24"/>
          <w:szCs w:val="24"/>
        </w:rPr>
        <w:t xml:space="preserve">Shkalla </w:t>
      </w:r>
      <w:r w:rsidR="0087111E">
        <w:rPr>
          <w:rFonts w:ascii="Times New Roman" w:eastAsia="Times New Roman" w:hAnsi="Times New Roman" w:cs="Times New Roman"/>
          <w:b/>
          <w:bCs/>
          <w:spacing w:val="-4"/>
          <w:kern w:val="36"/>
          <w:sz w:val="24"/>
          <w:szCs w:val="24"/>
        </w:rPr>
        <w:t xml:space="preserve">qarkulluese </w:t>
      </w:r>
      <w:r w:rsidRPr="00D33108">
        <w:rPr>
          <w:rFonts w:ascii="Times New Roman" w:eastAsia="Times New Roman" w:hAnsi="Times New Roman" w:cs="Times New Roman"/>
          <w:b/>
          <w:bCs/>
          <w:spacing w:val="-4"/>
          <w:kern w:val="36"/>
          <w:sz w:val="24"/>
          <w:szCs w:val="24"/>
        </w:rPr>
        <w:t xml:space="preserve"> e përdorimit të materialit</w:t>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shd w:val="clear" w:color="auto" w:fill="FFFFFF"/>
          <w:lang w:val="fr-CA" w:eastAsia="ar-SA"/>
        </w:rPr>
      </w:pPr>
      <w:r w:rsidRPr="00D33108">
        <w:rPr>
          <w:rFonts w:ascii="Times New Roman" w:eastAsia="Times New Roman" w:hAnsi="Times New Roman" w:cs="Times New Roman"/>
          <w:i/>
          <w:sz w:val="24"/>
          <w:szCs w:val="24"/>
          <w:shd w:val="clear" w:color="auto" w:fill="FFFFFF"/>
          <w:lang w:val="fr-CA" w:eastAsia="ar-SA"/>
        </w:rPr>
        <w:t>Indikatori tregon pjesën e materialit të rikuperuar dhe të kthyer në ekonomi - dhe kështu kursen nxjerrjen e lëndëve të para primare - në përdorimin e përgjithshëm të materialeve.</w:t>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shd w:val="clear" w:color="auto" w:fill="FFFFFF"/>
          <w:lang w:val="fr-CA" w:eastAsia="ar-SA"/>
        </w:rPr>
      </w:pPr>
      <w:r w:rsidRPr="00D33108">
        <w:rPr>
          <w:rFonts w:ascii="Times New Roman" w:eastAsia="Times New Roman" w:hAnsi="Times New Roman" w:cs="Times New Roman"/>
          <w:sz w:val="24"/>
          <w:szCs w:val="24"/>
          <w:shd w:val="clear" w:color="auto" w:fill="FFFFFF"/>
          <w:lang w:val="fr-CA" w:eastAsia="ar-SA"/>
        </w:rPr>
        <w:t xml:space="preserve">Shqipëria është në fazat fillestare të ekonomisë rrethore. Raporti Një Udhërrëfyes drejt </w:t>
      </w:r>
      <w:r w:rsidRPr="00D33108">
        <w:rPr>
          <w:rFonts w:ascii="Times New Roman" w:eastAsia="Times New Roman" w:hAnsi="Times New Roman" w:cs="Times New Roman"/>
          <w:sz w:val="24"/>
          <w:szCs w:val="24"/>
          <w:shd w:val="clear" w:color="auto" w:fill="FFFFFF"/>
          <w:lang w:val="fr-CA" w:eastAsia="ar-SA"/>
        </w:rPr>
        <w:lastRenderedPageBreak/>
        <w:t>Ekonomisë Rrethore në Shqipëri synon të udhëzojë vendin në formësimin e politikave për një ekonomi rrethore, duke u përqendruar në rritjen e koordinimit dhe bashkëpunimit ndërinstitucional me palët e interesuara për të nxitur tranzicionin. Sfidat në lidhje me zbatimin e ekonomisë rrethore lidhen kryesisht me hartimin e kuadrit ligjor në përputhje me direktivat e BE-së, përdorimin e instrumenteve ekonomike, monitorimin e treguesve të ekonomisë rrethore, mbështetjen dhe miratimin e modeleve të biznesit rrethor dhe mbylljen e ciklit jetësor të plastikës (me fokus në mbeturinat detare).</w:t>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lang w:val="fr-CA" w:eastAsia="ar-SA"/>
        </w:rPr>
      </w:pPr>
      <w:r w:rsidRPr="00D33108">
        <w:rPr>
          <w:rFonts w:ascii="Times New Roman" w:eastAsia="Times New Roman" w:hAnsi="Times New Roman" w:cs="Times New Roman"/>
          <w:sz w:val="24"/>
          <w:szCs w:val="24"/>
          <w:shd w:val="clear" w:color="auto" w:fill="FFFFFF"/>
          <w:lang w:val="fr-CA" w:eastAsia="ar-SA"/>
        </w:rPr>
        <w:t>Produktiviteti i burimeve në Shqipëri u rrit midis viteve 2016 (52 lekë/kg) dhe 2022 (100 lekë/kg). Në vitin 2022, përdorimi i brendshëm i materialeve mjedisore (biomasa, mineralet dhe koncentratet metalike, mineralet jometalike, materialet fosile të energjisë, produktet e tjera dhe mbetjet) arriti një vlerë prej rreth 21.4 Mt, duke shënuar një rritje prej 5.7% që nga viti 2021. Pjesa më e madhe e përdorimit të brendshëm të materialeve mjedisore në vitin 2022 u llogarit nga mineralet jometalike (47.4%).</w:t>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lang w:val="fr-CA" w:eastAsia="ar-SA"/>
        </w:rPr>
      </w:pPr>
    </w:p>
    <w:p w:rsidR="006742DC" w:rsidRPr="00D33108" w:rsidRDefault="006742DC" w:rsidP="00E73AE8">
      <w:pPr>
        <w:shd w:val="clear" w:color="auto" w:fill="DEEAF6" w:themeFill="accent1" w:themeFillTint="33"/>
        <w:spacing w:after="0" w:line="240" w:lineRule="auto"/>
        <w:outlineLvl w:val="0"/>
        <w:rPr>
          <w:rFonts w:ascii="Times New Roman" w:eastAsia="Times New Roman" w:hAnsi="Times New Roman" w:cs="Times New Roman"/>
          <w:b/>
          <w:bCs/>
          <w:spacing w:val="-4"/>
          <w:kern w:val="36"/>
          <w:sz w:val="24"/>
          <w:szCs w:val="24"/>
        </w:rPr>
      </w:pPr>
      <w:r w:rsidRPr="00D33108">
        <w:rPr>
          <w:rFonts w:ascii="Times New Roman" w:eastAsia="Times New Roman" w:hAnsi="Times New Roman" w:cs="Times New Roman"/>
          <w:b/>
          <w:bCs/>
          <w:spacing w:val="-4"/>
          <w:kern w:val="36"/>
          <w:sz w:val="24"/>
          <w:szCs w:val="24"/>
        </w:rPr>
        <w:t>Humbjet ekonomike  lidhur me klimën</w:t>
      </w:r>
    </w:p>
    <w:p w:rsidR="006742DC" w:rsidRPr="00D33108" w:rsidRDefault="006742DC" w:rsidP="006742DC">
      <w:pPr>
        <w:suppressAutoHyphens/>
        <w:spacing w:before="120" w:after="180" w:line="276" w:lineRule="auto"/>
        <w:jc w:val="both"/>
        <w:rPr>
          <w:rFonts w:ascii="Times New Roman" w:eastAsia="Times New Roman" w:hAnsi="Times New Roman" w:cs="Times New Roman"/>
          <w:i/>
          <w:sz w:val="24"/>
          <w:szCs w:val="24"/>
          <w:shd w:val="clear" w:color="auto" w:fill="FFFFFF"/>
          <w:lang w:val="fr-CA" w:eastAsia="ar-SA"/>
        </w:rPr>
      </w:pPr>
    </w:p>
    <w:p w:rsidR="006742DC" w:rsidRPr="00D33108" w:rsidRDefault="006742DC" w:rsidP="006742DC">
      <w:pPr>
        <w:suppressAutoHyphens/>
        <w:spacing w:before="120" w:after="180" w:line="276" w:lineRule="auto"/>
        <w:jc w:val="both"/>
        <w:rPr>
          <w:rFonts w:ascii="Times New Roman" w:eastAsia="Times New Roman" w:hAnsi="Times New Roman" w:cs="Times New Roman"/>
          <w:i/>
          <w:sz w:val="24"/>
          <w:szCs w:val="24"/>
          <w:shd w:val="clear" w:color="auto" w:fill="FFFFFF"/>
          <w:lang w:val="fr-CA" w:eastAsia="ar-SA"/>
        </w:rPr>
      </w:pPr>
      <w:r w:rsidRPr="00D33108">
        <w:rPr>
          <w:rFonts w:ascii="Times New Roman" w:eastAsia="Times New Roman" w:hAnsi="Times New Roman" w:cs="Times New Roman"/>
          <w:i/>
          <w:sz w:val="24"/>
          <w:szCs w:val="24"/>
          <w:shd w:val="clear" w:color="auto" w:fill="FFFFFF"/>
          <w:lang w:val="fr-CA" w:eastAsia="ar-SA"/>
        </w:rPr>
        <w:t>Indikatori tregon humbjet totale ekonomike nga ngjarjet ekstreme të lidhura me motin dhe klimën (si stuhitë e erës, përmbytjet, valët e të nxehtit, periudhat e të ftohtit, thatësirat ose zjarret në pyje) për vend dhe për vit (që nga viti 1980). Shtohet një mesatare lëvizëse për 30 vitet e mëparshme për shkak të ndryshueshmërisë së madhe ndërvjetore të humbjeve.</w:t>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shd w:val="clear" w:color="auto" w:fill="FFFFFF"/>
          <w:lang w:val="fr-CA" w:eastAsia="ar-SA"/>
        </w:rPr>
      </w:pPr>
      <w:r w:rsidRPr="00D33108">
        <w:rPr>
          <w:rFonts w:ascii="Times New Roman" w:eastAsia="Times New Roman" w:hAnsi="Times New Roman" w:cs="Times New Roman"/>
          <w:sz w:val="24"/>
          <w:szCs w:val="24"/>
          <w:shd w:val="clear" w:color="auto" w:fill="FFFFFF"/>
          <w:lang w:val="fr-CA" w:eastAsia="ar-SA"/>
        </w:rPr>
        <w:t>Bazuar në të dhënat e marra nga studime të ndryshme mbi ndryshimet klimatike në vend, reshjet vjetore kanë qenë në rënie. Shpërndarja e reshjeve gjatë vitit ka ndryshuar ndjeshëm, duke rezultuar në reshje të dendura gjatë muajve të dimrit dhe periudha të gjata në verë pa reshje. Si rezultat i këtyre ndryshimeve, në dekadën e fundit janë vërejtur shumë përmbytje. Dëmi më i madh u shkaktua në veriperëndim (rajonet e Shkodrës dhe Lezhës). Bazuar në vlerësimet e bëra nga ekspertët e bujqësisë, dëmi që rezultoi nga përmbytjet në prodhimin bujqësor në këto rajone arriti në rreth 100 milionë dollarë amerikanë.</w:t>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lang w:val="fr-CA" w:eastAsia="ar-SA"/>
        </w:rPr>
      </w:pPr>
      <w:r w:rsidRPr="00D33108">
        <w:rPr>
          <w:rFonts w:ascii="Times New Roman" w:eastAsia="Times New Roman" w:hAnsi="Times New Roman" w:cs="Times New Roman"/>
          <w:sz w:val="24"/>
          <w:szCs w:val="24"/>
          <w:shd w:val="clear" w:color="auto" w:fill="FFFFFF"/>
          <w:lang w:val="fr-CA" w:eastAsia="ar-SA"/>
        </w:rPr>
        <w:t>Të dhënat statistikore të Shqipërisë mbi rendimentin dhe prodhimin bujqësor në dekadat e fundit sugjerojnë se niveli i inputeve (plehra kimike, fara me cilësi të lartë, pesticide) dhe niveli i modernizimit (ujitja, teknologjitë e korrjes, etj.) janë rritur me ritme shumë të ulëta krahasuar me ato në Shtetet Anëtare të BE-së. Në këto kushte, duke marrë parasysh efektet e pritura të ndryshimeve klimatike në bujqësi, produkti i brendshëm bruto i Shqipërisë potencialisht do të humbasë midis 800 dhe 900 milionë dollarë amerikanë të ardhura nga prodhimi i të korrave deri në vitin 2050. Masat e adaptimit të identifikuara në dokumentet e politikave janë kategorizuar dhe përmbledhur në Kontributet e Përcaktuara në Nivelin Kombëtar (NDC).</w:t>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lang w:val="fr-CA" w:eastAsia="ar-SA"/>
        </w:rPr>
      </w:pPr>
    </w:p>
    <w:p w:rsidR="006742DC" w:rsidRPr="00D33108" w:rsidRDefault="006742DC" w:rsidP="00E73AE8">
      <w:pPr>
        <w:shd w:val="clear" w:color="auto" w:fill="DEEAF6" w:themeFill="accent1" w:themeFillTint="33"/>
        <w:spacing w:after="0" w:line="240" w:lineRule="auto"/>
        <w:outlineLvl w:val="0"/>
        <w:rPr>
          <w:rFonts w:ascii="Times New Roman" w:eastAsia="Times New Roman" w:hAnsi="Times New Roman" w:cs="Times New Roman"/>
          <w:b/>
          <w:bCs/>
          <w:spacing w:val="-4"/>
          <w:kern w:val="36"/>
          <w:sz w:val="24"/>
          <w:szCs w:val="24"/>
        </w:rPr>
      </w:pPr>
      <w:r w:rsidRPr="00D33108">
        <w:rPr>
          <w:rFonts w:ascii="Times New Roman" w:eastAsia="Times New Roman" w:hAnsi="Times New Roman" w:cs="Times New Roman"/>
          <w:b/>
          <w:bCs/>
          <w:spacing w:val="-4"/>
          <w:kern w:val="36"/>
          <w:sz w:val="24"/>
          <w:szCs w:val="24"/>
        </w:rPr>
        <w:t>Zonat e mbrojtura tokësore të përcaktuara</w:t>
      </w:r>
    </w:p>
    <w:p w:rsidR="006742DC" w:rsidRPr="00D33108" w:rsidRDefault="006742DC" w:rsidP="006742DC">
      <w:pPr>
        <w:suppressAutoHyphens/>
        <w:spacing w:before="120" w:after="180" w:line="276" w:lineRule="auto"/>
        <w:jc w:val="both"/>
        <w:rPr>
          <w:rFonts w:ascii="Times New Roman" w:eastAsia="Times New Roman" w:hAnsi="Times New Roman" w:cs="Times New Roman"/>
          <w:i/>
          <w:sz w:val="24"/>
          <w:szCs w:val="24"/>
          <w:shd w:val="clear" w:color="auto" w:fill="FFFFFF"/>
          <w:lang w:val="fr-CA" w:eastAsia="ar-SA"/>
        </w:rPr>
      </w:pPr>
      <w:r w:rsidRPr="00D33108">
        <w:rPr>
          <w:rFonts w:ascii="Times New Roman" w:eastAsia="Times New Roman" w:hAnsi="Times New Roman" w:cs="Times New Roman"/>
          <w:i/>
          <w:sz w:val="24"/>
          <w:szCs w:val="24"/>
          <w:shd w:val="clear" w:color="auto" w:fill="FFFFFF"/>
          <w:lang w:val="fr-CA" w:eastAsia="ar-SA"/>
        </w:rPr>
        <w:t>Indikatori tregon pjesën e zonave të mbrojtura tokësore të përcaktuara, të shprehur si pjesë e sipërfaqes totale të tokës. Ai përfshin zonat e mbrojtura nga masa të tjera efektive të ruajtjes së bazuara në zonë. Objektivat e BE-së dhe ato globale synojnë një mbrojtje prej 30%.</w:t>
      </w:r>
    </w:p>
    <w:p w:rsidR="006742DC" w:rsidRPr="00D33108" w:rsidRDefault="006742DC" w:rsidP="006742DC">
      <w:pPr>
        <w:spacing w:before="100" w:beforeAutospacing="1" w:after="100" w:afterAutospacing="1" w:line="240" w:lineRule="auto"/>
        <w:rPr>
          <w:rFonts w:ascii="Times New Roman" w:eastAsia="Times New Roman" w:hAnsi="Times New Roman" w:cs="Times New Roman"/>
          <w:sz w:val="24"/>
          <w:szCs w:val="24"/>
        </w:rPr>
      </w:pPr>
      <w:r w:rsidRPr="00D33108">
        <w:rPr>
          <w:rFonts w:ascii="Times New Roman" w:eastAsia="Times New Roman" w:hAnsi="Times New Roman" w:cs="Times New Roman"/>
          <w:noProof/>
          <w:sz w:val="24"/>
          <w:szCs w:val="24"/>
        </w:rPr>
        <w:drawing>
          <wp:inline distT="0" distB="0" distL="0" distR="0" wp14:anchorId="071F242C" wp14:editId="50BB5E8F">
            <wp:extent cx="6162675" cy="3371215"/>
            <wp:effectExtent l="0" t="0" r="9525" b="635"/>
            <wp:docPr id="105" name="Picture 105" descr="C:\Users\arta.kodra\Downloads\Designated terrestrial protected are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ta.kodra\Downloads\Designated terrestrial protected areas.pn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6209877" cy="3397036"/>
                    </a:xfrm>
                    <a:prstGeom prst="rect">
                      <a:avLst/>
                    </a:prstGeom>
                    <a:noFill/>
                    <a:ln>
                      <a:noFill/>
                    </a:ln>
                  </pic:spPr>
                </pic:pic>
              </a:graphicData>
            </a:graphic>
          </wp:inline>
        </w:drawing>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shd w:val="clear" w:color="auto" w:fill="FFFFFF"/>
          <w:lang w:val="fr-CA" w:eastAsia="ar-SA"/>
        </w:rPr>
      </w:pP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shd w:val="clear" w:color="auto" w:fill="FFFFFF"/>
          <w:lang w:val="fr-CA" w:eastAsia="ar-SA"/>
        </w:rPr>
      </w:pPr>
      <w:r w:rsidRPr="00D33108">
        <w:rPr>
          <w:rFonts w:ascii="Times New Roman" w:eastAsia="Times New Roman" w:hAnsi="Times New Roman" w:cs="Times New Roman"/>
          <w:sz w:val="24"/>
          <w:szCs w:val="24"/>
          <w:shd w:val="clear" w:color="auto" w:fill="FFFFFF"/>
          <w:lang w:val="fr-CA" w:eastAsia="ar-SA"/>
        </w:rPr>
        <w:t>Dokumenti strategjik i politikave për mbrojtjen e biodiversitetit identifikon 25 zona të mbrojtura. Shqipëria zgjeroi rrjetin e saj të zonave të mbrojtura tokësore nga 21.7% në vitin 2012 në 23.1% në vitin 2022. Në vitet 2022 dhe 2023, u shpallën shumë zona të mbrojtura: Parku Natyror Gjiri i Porto-Palermo dhe Peizazhi i Mbrojtur Pishë Poro-Nartë. Parku Kombëtar i Lumit të Egër Vjosa dhe monumenti natyror i habitatit të tulipanëve shqiptarë u shpallën gjithashtu zona të mbrojtura.</w:t>
      </w:r>
    </w:p>
    <w:p w:rsidR="006742DC" w:rsidRDefault="006742DC" w:rsidP="006742DC">
      <w:pPr>
        <w:suppressAutoHyphens/>
        <w:spacing w:before="120" w:after="180" w:line="276" w:lineRule="auto"/>
        <w:jc w:val="both"/>
        <w:rPr>
          <w:rFonts w:ascii="Times New Roman" w:eastAsia="Times New Roman" w:hAnsi="Times New Roman" w:cs="Times New Roman"/>
          <w:sz w:val="24"/>
          <w:szCs w:val="24"/>
          <w:shd w:val="clear" w:color="auto" w:fill="FFFFFF"/>
          <w:lang w:val="fr-CA" w:eastAsia="ar-SA"/>
        </w:rPr>
      </w:pPr>
      <w:r w:rsidRPr="00D33108">
        <w:rPr>
          <w:rFonts w:ascii="Times New Roman" w:eastAsia="Times New Roman" w:hAnsi="Times New Roman" w:cs="Times New Roman"/>
          <w:sz w:val="24"/>
          <w:szCs w:val="24"/>
          <w:shd w:val="clear" w:color="auto" w:fill="FFFFFF"/>
          <w:lang w:val="fr-CA" w:eastAsia="ar-SA"/>
        </w:rPr>
        <w:t>Sot, ekzistojnë 767 zona të mbrojtura, dhe ato përfshijnë rreth 613 456 ha (51% parqe kombëtare, 0.2% monumente natyrore, 35% parqe/rezerva natyrore dhe 13% peizazhe të mbrojtura). Zonat e mbrojtura strehojnë 40 lloje, nga të cilat 13 janë gjitarë dhe 27 janë lloje zogjsh. Me rritjen e zonave të mbrojtura, në përputhje me objektivat globale pas vitit 2020 dhe menaxhimin e integruar të tyre, po shfaqen sfida që lidhen me dixhitalizimin e sistemit të zonave të mbrojtura, i cili lehtëson procesin e promovimit të</w:t>
      </w:r>
      <w:r w:rsidR="006F3AE9">
        <w:rPr>
          <w:rFonts w:ascii="Times New Roman" w:eastAsia="Times New Roman" w:hAnsi="Times New Roman" w:cs="Times New Roman"/>
          <w:sz w:val="24"/>
          <w:szCs w:val="24"/>
          <w:lang w:val="fr-CA" w:eastAsia="ar-SA"/>
        </w:rPr>
        <w:t xml:space="preserve"> </w:t>
      </w:r>
      <w:r w:rsidRPr="00D33108">
        <w:rPr>
          <w:rFonts w:ascii="Times New Roman" w:eastAsia="Times New Roman" w:hAnsi="Times New Roman" w:cs="Times New Roman"/>
          <w:sz w:val="24"/>
          <w:szCs w:val="24"/>
          <w:shd w:val="clear" w:color="auto" w:fill="FFFFFF"/>
          <w:lang w:val="fr-CA" w:eastAsia="ar-SA"/>
        </w:rPr>
        <w:t xml:space="preserve">turizmit në këto zona. Krijimi i paketave ekoturistike që promovojnë zonat e mbrojtura. </w:t>
      </w:r>
    </w:p>
    <w:p w:rsidR="006F3AE9" w:rsidRPr="00D33108" w:rsidRDefault="006F3AE9" w:rsidP="006742DC">
      <w:pPr>
        <w:suppressAutoHyphens/>
        <w:spacing w:before="120" w:after="180" w:line="276" w:lineRule="auto"/>
        <w:jc w:val="both"/>
        <w:rPr>
          <w:rFonts w:ascii="Times New Roman" w:eastAsia="Times New Roman" w:hAnsi="Times New Roman" w:cs="Times New Roman"/>
          <w:sz w:val="24"/>
          <w:szCs w:val="24"/>
          <w:lang w:val="fr-CA" w:eastAsia="ar-SA"/>
        </w:rPr>
      </w:pPr>
    </w:p>
    <w:p w:rsidR="006742DC" w:rsidRPr="00D33108" w:rsidRDefault="006742DC" w:rsidP="00E73AE8">
      <w:pPr>
        <w:shd w:val="clear" w:color="auto" w:fill="DEEAF6" w:themeFill="accent1" w:themeFillTint="33"/>
        <w:spacing w:after="0" w:line="240" w:lineRule="auto"/>
        <w:outlineLvl w:val="0"/>
        <w:rPr>
          <w:rFonts w:ascii="Times New Roman" w:eastAsia="Times New Roman" w:hAnsi="Times New Roman" w:cs="Times New Roman"/>
          <w:b/>
          <w:bCs/>
          <w:spacing w:val="-4"/>
          <w:kern w:val="36"/>
          <w:sz w:val="24"/>
          <w:szCs w:val="24"/>
        </w:rPr>
      </w:pPr>
      <w:r w:rsidRPr="00D33108">
        <w:rPr>
          <w:rFonts w:ascii="Times New Roman" w:eastAsia="Times New Roman" w:hAnsi="Times New Roman" w:cs="Times New Roman"/>
          <w:b/>
          <w:bCs/>
          <w:spacing w:val="-4"/>
          <w:kern w:val="36"/>
          <w:sz w:val="24"/>
          <w:szCs w:val="24"/>
        </w:rPr>
        <w:t>Konsumi final i energjisë</w:t>
      </w:r>
    </w:p>
    <w:p w:rsidR="006742DC" w:rsidRPr="00D33108" w:rsidRDefault="006742DC" w:rsidP="006742DC">
      <w:pPr>
        <w:spacing w:before="100" w:beforeAutospacing="1" w:after="100" w:afterAutospacing="1" w:line="240" w:lineRule="auto"/>
        <w:rPr>
          <w:rFonts w:ascii="Times New Roman" w:eastAsia="Times New Roman" w:hAnsi="Times New Roman" w:cs="Times New Roman"/>
          <w:i/>
          <w:sz w:val="24"/>
          <w:szCs w:val="24"/>
          <w:shd w:val="clear" w:color="auto" w:fill="FFFFFF"/>
          <w:lang w:val="fr-CA" w:eastAsia="ar-SA"/>
        </w:rPr>
      </w:pPr>
      <w:r w:rsidRPr="00D33108">
        <w:rPr>
          <w:rFonts w:ascii="Times New Roman" w:eastAsia="Times New Roman" w:hAnsi="Times New Roman" w:cs="Times New Roman"/>
          <w:i/>
          <w:sz w:val="24"/>
          <w:szCs w:val="24"/>
          <w:shd w:val="clear" w:color="auto" w:fill="FFFFFF"/>
          <w:lang w:val="fr-CA" w:eastAsia="ar-SA"/>
        </w:rPr>
        <w:t>Indikatori tregon   konsumin përfundimtar të energjisë nga përdoruesit fundorë për të gjitha përdorimet e energjisë.</w:t>
      </w:r>
    </w:p>
    <w:p w:rsidR="006742DC" w:rsidRPr="00D33108" w:rsidRDefault="006742DC" w:rsidP="006742DC">
      <w:pPr>
        <w:spacing w:before="100" w:beforeAutospacing="1" w:after="100" w:afterAutospacing="1" w:line="240" w:lineRule="auto"/>
        <w:rPr>
          <w:rFonts w:ascii="Times New Roman" w:eastAsia="Times New Roman" w:hAnsi="Times New Roman" w:cs="Times New Roman"/>
          <w:sz w:val="24"/>
          <w:szCs w:val="24"/>
        </w:rPr>
      </w:pPr>
      <w:r w:rsidRPr="00D33108">
        <w:rPr>
          <w:rFonts w:ascii="Times New Roman" w:eastAsia="Times New Roman" w:hAnsi="Times New Roman" w:cs="Times New Roman"/>
          <w:noProof/>
          <w:sz w:val="24"/>
          <w:szCs w:val="24"/>
        </w:rPr>
        <w:drawing>
          <wp:inline distT="0" distB="0" distL="0" distR="0" wp14:anchorId="3F278517" wp14:editId="6A29A7D5">
            <wp:extent cx="6381750" cy="2981325"/>
            <wp:effectExtent l="0" t="0" r="0" b="9525"/>
            <wp:docPr id="106" name="Picture 106" descr="C:\Users\arta.kodra\Downloads\Final energy consump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rta.kodra\Downloads\Final energy consumption.pn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6413086" cy="2995964"/>
                    </a:xfrm>
                    <a:prstGeom prst="rect">
                      <a:avLst/>
                    </a:prstGeom>
                    <a:noFill/>
                    <a:ln>
                      <a:noFill/>
                    </a:ln>
                  </pic:spPr>
                </pic:pic>
              </a:graphicData>
            </a:graphic>
          </wp:inline>
        </w:drawing>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shd w:val="clear" w:color="auto" w:fill="FFFFFF"/>
          <w:lang w:val="fr-CA" w:eastAsia="ar-SA"/>
        </w:rPr>
      </w:pPr>
      <w:r w:rsidRPr="00D33108">
        <w:rPr>
          <w:rFonts w:ascii="Times New Roman" w:eastAsia="Times New Roman" w:hAnsi="Times New Roman" w:cs="Times New Roman"/>
          <w:sz w:val="24"/>
          <w:szCs w:val="24"/>
          <w:shd w:val="clear" w:color="auto" w:fill="FFFFFF"/>
          <w:lang w:val="fr-CA" w:eastAsia="ar-SA"/>
        </w:rPr>
        <w:t>Në Shqipëri, lëndët djegëse më të rëndësishme të energjisë janë produktet e naftës dhe drutë e zjarrit. Përdorimi i energjisë elektrike nga konsumatorët në sektorin rezidencial dhe atë të biznesit është i lartë, ashtu si edhe humbjet në rrjet. Sektorë të tjerë që kontribuojnë në konsumin e energjisë janë transporti, bujqësia, industria, familjet dhe shërbimet. Sektori i transportit konsumon sasinë më të madhe të energjisë, i ndjekur nga sektori rezidencial dhe sektori i industrisë. Konsumi përfundimtar i energjisë në Shqipëri u rrit gradualisht midis viteve 2009 dhe 2011. Konsumi i energjisë u rrit gjithashtu ndjeshëm në vitin 2014, i nxitur kryesisht nga sektorët e industrisë së hekurit dhe çelikut.</w:t>
      </w:r>
    </w:p>
    <w:p w:rsidR="006742DC" w:rsidRDefault="006742DC" w:rsidP="006742DC">
      <w:pPr>
        <w:rPr>
          <w:rFonts w:ascii="Times New Roman" w:eastAsia="Times New Roman" w:hAnsi="Times New Roman" w:cs="Times New Roman"/>
          <w:sz w:val="24"/>
          <w:szCs w:val="24"/>
          <w:shd w:val="clear" w:color="auto" w:fill="FFFFFF"/>
          <w:lang w:val="fr-CA" w:eastAsia="ar-SA"/>
        </w:rPr>
      </w:pPr>
      <w:r w:rsidRPr="00D33108">
        <w:rPr>
          <w:rFonts w:ascii="Times New Roman" w:eastAsia="Times New Roman" w:hAnsi="Times New Roman" w:cs="Times New Roman"/>
          <w:sz w:val="24"/>
          <w:szCs w:val="24"/>
          <w:shd w:val="clear" w:color="auto" w:fill="FFFFFF"/>
          <w:lang w:val="fr-CA" w:eastAsia="ar-SA"/>
        </w:rPr>
        <w:t>Sektori rezidencial është përgjegjës për 49% të konsumit total të energjisë elektrike në Shqipëri, duke e bërë atë sektorin me konsumin më të lartë të energjisë elektrike. Strategjia kombëtare e energjisë 2018–2030 paraqet skenarin bazë për periudhën 2014–2030, i cili tregon se konsumi përfundimtar i energjisë do të rritet në 3 868 ktoe; ajo gjithashtu përcakton objektivin e një uljeje të konsumit përfundimtar të energjisë prej 15.5% deri në vitin 2030. Gjatë periudhës 2021–2023, pati një ulje të konsumit të energjisë nga 106.7% në 102.1% (duke iu referuar konsumit në vitin 2005). Shqipëria duhet të marrë masa për të ulur konsumin vjetor të energjisë nëse dëshiron të arrijë objektivin e BE-së.</w:t>
      </w:r>
    </w:p>
    <w:p w:rsidR="006F3AE9" w:rsidRPr="00D33108" w:rsidRDefault="006F3AE9" w:rsidP="006742DC">
      <w:pPr>
        <w:rPr>
          <w:rFonts w:ascii="Times New Roman" w:eastAsia="Times New Roman" w:hAnsi="Times New Roman" w:cs="Times New Roman"/>
          <w:sz w:val="24"/>
          <w:szCs w:val="24"/>
          <w:lang w:val="fr-CA" w:eastAsia="ar-SA"/>
        </w:rPr>
      </w:pPr>
    </w:p>
    <w:p w:rsidR="006742DC" w:rsidRPr="00D33108" w:rsidRDefault="006742DC" w:rsidP="00E73AE8">
      <w:pPr>
        <w:shd w:val="clear" w:color="auto" w:fill="DEEAF6" w:themeFill="accent1" w:themeFillTint="33"/>
        <w:spacing w:after="0" w:line="240" w:lineRule="auto"/>
        <w:outlineLvl w:val="0"/>
        <w:rPr>
          <w:rFonts w:ascii="Times New Roman" w:eastAsia="Times New Roman" w:hAnsi="Times New Roman" w:cs="Times New Roman"/>
          <w:b/>
          <w:bCs/>
          <w:spacing w:val="-4"/>
          <w:kern w:val="36"/>
          <w:sz w:val="24"/>
          <w:szCs w:val="24"/>
        </w:rPr>
      </w:pPr>
      <w:r w:rsidRPr="00D33108">
        <w:rPr>
          <w:rFonts w:ascii="Times New Roman" w:eastAsia="Times New Roman" w:hAnsi="Times New Roman" w:cs="Times New Roman"/>
          <w:b/>
          <w:bCs/>
          <w:spacing w:val="-4"/>
          <w:kern w:val="36"/>
          <w:sz w:val="24"/>
          <w:szCs w:val="24"/>
        </w:rPr>
        <w:lastRenderedPageBreak/>
        <w:t>Emetimet dhe largimet e gazrave serrë në toka dhe pyje</w:t>
      </w:r>
    </w:p>
    <w:p w:rsidR="006742DC" w:rsidRPr="00D33108" w:rsidRDefault="006742DC" w:rsidP="006742DC">
      <w:pPr>
        <w:spacing w:before="100" w:beforeAutospacing="1" w:after="100" w:afterAutospacing="1" w:line="240" w:lineRule="auto"/>
        <w:rPr>
          <w:rFonts w:ascii="Times New Roman" w:eastAsia="Times New Roman" w:hAnsi="Times New Roman" w:cs="Times New Roman"/>
          <w:i/>
          <w:sz w:val="24"/>
          <w:szCs w:val="24"/>
          <w:shd w:val="clear" w:color="auto" w:fill="FFFFFF"/>
          <w:lang w:val="fr-CA" w:eastAsia="ar-SA"/>
        </w:rPr>
      </w:pPr>
      <w:r w:rsidRPr="00D33108">
        <w:rPr>
          <w:rFonts w:ascii="Times New Roman" w:eastAsia="Times New Roman" w:hAnsi="Times New Roman" w:cs="Times New Roman"/>
          <w:i/>
          <w:sz w:val="24"/>
          <w:szCs w:val="24"/>
          <w:shd w:val="clear" w:color="auto" w:fill="FFFFFF"/>
          <w:lang w:val="fr-CA" w:eastAsia="ar-SA"/>
        </w:rPr>
        <w:t>Indikatori tregon   emetimet totale neto të gazrave serrë (+) dhe largimet (-) për sektorin e përdorimit të tokës, ndryshimit të përdorimit të tokës dhe pylltarisë (LULUCF).</w:t>
      </w:r>
    </w:p>
    <w:p w:rsidR="006742DC" w:rsidRPr="00D33108" w:rsidRDefault="006742DC" w:rsidP="006742DC">
      <w:pPr>
        <w:spacing w:before="100" w:beforeAutospacing="1" w:after="100" w:afterAutospacing="1" w:line="240" w:lineRule="auto"/>
        <w:rPr>
          <w:rFonts w:ascii="Times New Roman" w:eastAsia="Times New Roman" w:hAnsi="Times New Roman" w:cs="Times New Roman"/>
          <w:sz w:val="24"/>
          <w:szCs w:val="24"/>
        </w:rPr>
      </w:pPr>
      <w:r w:rsidRPr="00D33108">
        <w:rPr>
          <w:rFonts w:ascii="Times New Roman" w:eastAsia="Times New Roman" w:hAnsi="Times New Roman" w:cs="Times New Roman"/>
          <w:noProof/>
          <w:sz w:val="24"/>
          <w:szCs w:val="24"/>
        </w:rPr>
        <w:drawing>
          <wp:inline distT="0" distB="0" distL="0" distR="0" wp14:anchorId="5B188678" wp14:editId="56EB9F9B">
            <wp:extent cx="6191250" cy="3152775"/>
            <wp:effectExtent l="0" t="0" r="0" b="9525"/>
            <wp:docPr id="107" name="Picture 107" descr="C:\Users\arta.kodra\Downloads\Greenhouse gas emissions and removals in land and fores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ta.kodra\Downloads\Greenhouse gas emissions and removals in land and forests.pn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6262554" cy="3189085"/>
                    </a:xfrm>
                    <a:prstGeom prst="rect">
                      <a:avLst/>
                    </a:prstGeom>
                    <a:noFill/>
                    <a:ln>
                      <a:noFill/>
                    </a:ln>
                  </pic:spPr>
                </pic:pic>
              </a:graphicData>
            </a:graphic>
          </wp:inline>
        </w:drawing>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shd w:val="clear" w:color="auto" w:fill="FFFFFF"/>
          <w:lang w:val="fr-CA" w:eastAsia="ar-SA"/>
        </w:rPr>
      </w:pPr>
      <w:r w:rsidRPr="00D33108">
        <w:rPr>
          <w:rFonts w:ascii="Times New Roman" w:eastAsia="Times New Roman" w:hAnsi="Times New Roman" w:cs="Times New Roman"/>
          <w:sz w:val="24"/>
          <w:szCs w:val="24"/>
          <w:shd w:val="clear" w:color="auto" w:fill="FFFFFF"/>
          <w:lang w:val="fr-CA" w:eastAsia="ar-SA"/>
        </w:rPr>
        <w:t>Shqipëria, si një vend jo në Shtojcën I të Konventës Kornizë të Kombeve të Bashkuara për Ndryshimet Klimatike (UNFCCC), ka zhvilluar një inventar të emetimeve antropogjene të gazrave serrë (GHG) sipas burimit dhe thithjeve sipas rezervuarit, që mbulon periudhën nga viti 1990 deri në vitin 2019, si pjesë e komunikimeve të saj kombëtare mbi ndryshimet klimatike. Inventari përfshin vlerësime të emetimeve të GHG nga LULUCF.</w:t>
      </w:r>
    </w:p>
    <w:p w:rsidR="006742DC" w:rsidRDefault="006742DC" w:rsidP="006742DC">
      <w:pPr>
        <w:rPr>
          <w:rFonts w:ascii="Times New Roman" w:eastAsia="Times New Roman" w:hAnsi="Times New Roman" w:cs="Times New Roman"/>
          <w:sz w:val="24"/>
          <w:szCs w:val="24"/>
          <w:shd w:val="clear" w:color="auto" w:fill="FFFFFF"/>
          <w:lang w:val="fr-CA" w:eastAsia="ar-SA"/>
        </w:rPr>
      </w:pPr>
      <w:r w:rsidRPr="00D33108">
        <w:rPr>
          <w:rFonts w:ascii="Times New Roman" w:eastAsia="Times New Roman" w:hAnsi="Times New Roman" w:cs="Times New Roman"/>
          <w:sz w:val="24"/>
          <w:szCs w:val="24"/>
          <w:shd w:val="clear" w:color="auto" w:fill="FFFFFF"/>
          <w:lang w:val="fr-CA" w:eastAsia="ar-SA"/>
        </w:rPr>
        <w:t>Është e rëndësishme të përmendet se sektori LULUCF u bë burimi më i lartë i largimeve (mbledhësi më i madh) gjatë viteve 2008 dhe 2009 dhe se emetimet nga sektori LULUCF ranë ndjeshëm në të njëjtën periudhë. Për sa i përket ekuivalentit të dioksidit të karbonit (CO2eq), kontributi i sektorit LULUCF u rrit gjatë viteve 2010-2012, nga 1 728 kt CO2eq në 5 450 kt CO2eq, i ndjekur nga një rënie e madhe në vitin 2013 (në 1 429 kt CO2eq). Emetimet e gazrave serrë nga sektori LULUCF u ulën gjatë viteve 2013-2019. Duke marrë parasysh raportin midis rritjes së biomasës pyjore dhe reduktimit të shkaktuar nga shpyllëzimi dhe zjarret në pyje, në përgjithësi, pyjet ishin emetues të gazrave serrë gjatë viteve 2009-2017. Gjatë viteve 2018 dhe 2019, pyjet filluan të bëheshin thithës të gazrave serrë për shkak të një reduktimi në humbjen e biomasës pyjore.</w:t>
      </w:r>
    </w:p>
    <w:p w:rsidR="006F3AE9" w:rsidRDefault="006F3AE9" w:rsidP="006742DC">
      <w:pPr>
        <w:rPr>
          <w:rFonts w:ascii="Times New Roman" w:eastAsia="Times New Roman" w:hAnsi="Times New Roman" w:cs="Times New Roman"/>
          <w:sz w:val="24"/>
          <w:szCs w:val="24"/>
          <w:shd w:val="clear" w:color="auto" w:fill="FFFFFF"/>
          <w:lang w:val="fr-CA" w:eastAsia="ar-SA"/>
        </w:rPr>
      </w:pPr>
    </w:p>
    <w:p w:rsidR="006F3AE9" w:rsidRDefault="006F3AE9" w:rsidP="006742DC">
      <w:pPr>
        <w:rPr>
          <w:rFonts w:ascii="Times New Roman" w:eastAsia="Times New Roman" w:hAnsi="Times New Roman" w:cs="Times New Roman"/>
          <w:sz w:val="24"/>
          <w:szCs w:val="24"/>
          <w:shd w:val="clear" w:color="auto" w:fill="FFFFFF"/>
          <w:lang w:val="fr-CA" w:eastAsia="ar-SA"/>
        </w:rPr>
      </w:pPr>
    </w:p>
    <w:p w:rsidR="006F3AE9" w:rsidRPr="00D33108" w:rsidRDefault="006F3AE9" w:rsidP="006742DC">
      <w:pPr>
        <w:rPr>
          <w:rFonts w:ascii="Times New Roman" w:eastAsia="Times New Roman" w:hAnsi="Times New Roman" w:cs="Times New Roman"/>
          <w:sz w:val="24"/>
          <w:szCs w:val="24"/>
          <w:lang w:val="fr-CA" w:eastAsia="ar-SA"/>
        </w:rPr>
      </w:pPr>
    </w:p>
    <w:p w:rsidR="006742DC" w:rsidRPr="00D33108" w:rsidRDefault="006742DC" w:rsidP="00E73AE8">
      <w:pPr>
        <w:shd w:val="clear" w:color="auto" w:fill="DEEAF6" w:themeFill="accent1" w:themeFillTint="33"/>
        <w:spacing w:after="0" w:line="240" w:lineRule="auto"/>
        <w:outlineLvl w:val="0"/>
        <w:rPr>
          <w:rFonts w:ascii="Times New Roman" w:eastAsia="Times New Roman" w:hAnsi="Times New Roman" w:cs="Times New Roman"/>
          <w:b/>
          <w:bCs/>
          <w:spacing w:val="-4"/>
          <w:kern w:val="36"/>
          <w:sz w:val="24"/>
          <w:szCs w:val="24"/>
        </w:rPr>
      </w:pPr>
      <w:r w:rsidRPr="00D33108">
        <w:rPr>
          <w:rFonts w:ascii="Times New Roman" w:eastAsia="Times New Roman" w:hAnsi="Times New Roman" w:cs="Times New Roman"/>
          <w:b/>
          <w:bCs/>
          <w:spacing w:val="-4"/>
          <w:kern w:val="36"/>
          <w:sz w:val="24"/>
          <w:szCs w:val="24"/>
        </w:rPr>
        <w:t>Ndikimet shëndetësore të ndotjes së ajrit</w:t>
      </w:r>
    </w:p>
    <w:p w:rsidR="006742DC" w:rsidRPr="00D33108" w:rsidRDefault="006742DC" w:rsidP="006742DC">
      <w:pPr>
        <w:suppressAutoHyphens/>
        <w:spacing w:before="120" w:after="180" w:line="276" w:lineRule="auto"/>
        <w:jc w:val="both"/>
        <w:rPr>
          <w:rFonts w:ascii="Times New Roman" w:eastAsia="Times New Roman" w:hAnsi="Times New Roman" w:cs="Times New Roman"/>
          <w:i/>
          <w:sz w:val="24"/>
          <w:szCs w:val="24"/>
          <w:lang w:val="fr-CA" w:eastAsia="ar-SA"/>
        </w:rPr>
      </w:pPr>
      <w:r w:rsidRPr="00D33108">
        <w:rPr>
          <w:rFonts w:ascii="Times New Roman" w:eastAsia="Times New Roman" w:hAnsi="Times New Roman" w:cs="Times New Roman"/>
          <w:i/>
          <w:sz w:val="24"/>
          <w:szCs w:val="24"/>
          <w:shd w:val="clear" w:color="auto" w:fill="FFFFFF"/>
          <w:lang w:val="fr-CA" w:eastAsia="ar-SA"/>
        </w:rPr>
        <w:t>Indikatori tregon numrin e vdekjeve të parakohshme vjetore që i atribuohen ekspozimit ndaj grimcave të imëta (PM</w:t>
      </w:r>
      <w:r w:rsidRPr="00D33108">
        <w:rPr>
          <w:rFonts w:ascii="Cambria Math" w:eastAsia="Times New Roman" w:hAnsi="Cambria Math" w:cs="Cambria Math"/>
          <w:i/>
          <w:sz w:val="24"/>
          <w:szCs w:val="24"/>
          <w:shd w:val="clear" w:color="auto" w:fill="FFFFFF"/>
          <w:lang w:val="fr-CA" w:eastAsia="ar-SA"/>
        </w:rPr>
        <w:t>₂</w:t>
      </w:r>
      <w:r w:rsidRPr="00D33108">
        <w:rPr>
          <w:rFonts w:ascii="Times New Roman" w:eastAsia="Times New Roman" w:hAnsi="Times New Roman" w:cs="Times New Roman"/>
          <w:i/>
          <w:sz w:val="24"/>
          <w:szCs w:val="24"/>
          <w:shd w:val="clear" w:color="auto" w:fill="FFFFFF"/>
          <w:lang w:val="fr-CA" w:eastAsia="ar-SA"/>
        </w:rPr>
        <w:t>.</w:t>
      </w:r>
      <w:r w:rsidRPr="00D33108">
        <w:rPr>
          <w:rFonts w:ascii="Cambria Math" w:eastAsia="Times New Roman" w:hAnsi="Cambria Math" w:cs="Cambria Math"/>
          <w:i/>
          <w:sz w:val="24"/>
          <w:szCs w:val="24"/>
          <w:shd w:val="clear" w:color="auto" w:fill="FFFFFF"/>
          <w:lang w:val="fr-CA" w:eastAsia="ar-SA"/>
        </w:rPr>
        <w:t>₅</w:t>
      </w:r>
      <w:r w:rsidRPr="00D33108">
        <w:rPr>
          <w:rFonts w:ascii="Times New Roman" w:eastAsia="Times New Roman" w:hAnsi="Times New Roman" w:cs="Times New Roman"/>
          <w:i/>
          <w:sz w:val="24"/>
          <w:szCs w:val="24"/>
          <w:shd w:val="clear" w:color="auto" w:fill="FFFFFF"/>
          <w:lang w:val="fr-CA" w:eastAsia="ar-SA"/>
        </w:rPr>
        <w:t>) dhe objektivin përkatës të planit të veprimit për ndotje zero për vitin 2030. Vdekjet e parakohshme rrjedhin nga një qasje e vlerësimit të rrezikut shëndetësor bazuar në rekomandimet e Organizatës Botërore të Shëndetësisë për Evropën që matin ndikimin e përgjithshëm të ndotjes së ajrit në një popullsi të caktuar.</w:t>
      </w:r>
    </w:p>
    <w:p w:rsidR="006742DC" w:rsidRPr="00D33108" w:rsidRDefault="006742DC" w:rsidP="006742DC">
      <w:pPr>
        <w:spacing w:before="100" w:beforeAutospacing="1" w:after="100" w:afterAutospacing="1" w:line="240" w:lineRule="auto"/>
        <w:rPr>
          <w:rFonts w:ascii="Times New Roman" w:eastAsia="Times New Roman" w:hAnsi="Times New Roman" w:cs="Times New Roman"/>
          <w:sz w:val="24"/>
          <w:szCs w:val="24"/>
        </w:rPr>
      </w:pPr>
      <w:r w:rsidRPr="00D33108">
        <w:rPr>
          <w:rFonts w:ascii="Times New Roman" w:eastAsia="Times New Roman" w:hAnsi="Times New Roman" w:cs="Times New Roman"/>
          <w:noProof/>
          <w:sz w:val="24"/>
          <w:szCs w:val="24"/>
        </w:rPr>
        <w:drawing>
          <wp:inline distT="0" distB="0" distL="0" distR="0" wp14:anchorId="2856DA5F" wp14:editId="270438EB">
            <wp:extent cx="6199562" cy="2933700"/>
            <wp:effectExtent l="0" t="0" r="0" b="0"/>
            <wp:docPr id="108" name="Picture 108" descr="C:\Users\arta.kodra\Downloads\Health impacts of air poll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ta.kodra\Downloads\Health impacts of air pollution.pn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6240664" cy="2953150"/>
                    </a:xfrm>
                    <a:prstGeom prst="rect">
                      <a:avLst/>
                    </a:prstGeom>
                    <a:noFill/>
                    <a:ln>
                      <a:noFill/>
                    </a:ln>
                  </pic:spPr>
                </pic:pic>
              </a:graphicData>
            </a:graphic>
          </wp:inline>
        </w:drawing>
      </w:r>
    </w:p>
    <w:p w:rsidR="006742DC" w:rsidRPr="00D33108" w:rsidRDefault="006742DC" w:rsidP="00E91FC2">
      <w:pPr>
        <w:jc w:val="both"/>
        <w:rPr>
          <w:rFonts w:ascii="Times New Roman" w:eastAsia="Times New Roman" w:hAnsi="Times New Roman" w:cs="Times New Roman"/>
          <w:sz w:val="24"/>
          <w:szCs w:val="24"/>
          <w:shd w:val="clear" w:color="auto" w:fill="FFFFFF"/>
          <w:lang w:val="fr-CA" w:eastAsia="ar-SA"/>
        </w:rPr>
      </w:pPr>
      <w:r w:rsidRPr="00D33108">
        <w:rPr>
          <w:rFonts w:ascii="Times New Roman" w:eastAsia="Times New Roman" w:hAnsi="Times New Roman" w:cs="Times New Roman"/>
          <w:sz w:val="24"/>
          <w:szCs w:val="24"/>
          <w:shd w:val="clear" w:color="auto" w:fill="FFFFFF"/>
          <w:lang w:val="fr-CA" w:eastAsia="ar-SA"/>
        </w:rPr>
        <w:t>Ndotja e ajrit në Shqipëri është një problem i rëndësishëm që lidhet me shëndetin publik dhe që duhet të adresohet. Qeveria shqiptare ka hartuar plane dhe strategji për të ulur ndotjen e ajrit. Objektivat e strategjisë së cilësisë së ajrit në mjedis (2014) janë që cilësia e ajrit të jetë sa më afër standardeve evropiane. Bazuar në monitorimin e cilësisë së ajrit urban të kryer gjatë viteve, transporti rrugor shkakton nivelet më të larta të dioksidit të azotit (NO2) dhe lëndës grimcore me diametër 10 μm ose më pak (PM10) të vërejtura në shumicën e zonave urbane. Sipas inventarit të emetimeve për vitin 2022, sasia e lëndës grimcore me diametër 2.5 μm ose më pak (PM2.5) të emetuara ishte 2.21 kt, nga të cilat 80.0% vjen nga prodhimi i mineraleve jometalike dhe 10.3% nga burimet pikësore ku ndodh djegia në prodhimin e produkteve të ndërtimit.</w:t>
      </w:r>
    </w:p>
    <w:p w:rsidR="006742DC" w:rsidRPr="00D33108" w:rsidRDefault="006742DC" w:rsidP="0087111E">
      <w:pPr>
        <w:suppressAutoHyphens/>
        <w:spacing w:after="0" w:line="240" w:lineRule="auto"/>
        <w:jc w:val="both"/>
        <w:rPr>
          <w:rFonts w:ascii="Times New Roman" w:eastAsia="Times New Roman" w:hAnsi="Times New Roman" w:cs="Times New Roman"/>
          <w:sz w:val="24"/>
          <w:szCs w:val="24"/>
          <w:lang w:val="fr-CA" w:eastAsia="ar-SA"/>
        </w:rPr>
      </w:pPr>
      <w:r w:rsidRPr="00D33108">
        <w:rPr>
          <w:rFonts w:ascii="Times New Roman" w:eastAsia="Times New Roman" w:hAnsi="Times New Roman" w:cs="Times New Roman"/>
          <w:sz w:val="24"/>
          <w:szCs w:val="24"/>
          <w:lang w:val="fr-CA" w:eastAsia="ar-SA"/>
        </w:rPr>
        <w:t>Megjithatë, Shqipëria ka bërë përparim dhe ka ulur shkallën e vdekjeve të parakohshme për shkak të ekspozimit ndaj grimcave me diametër 2.5 μm ose më pak (PM2.5) me 53.7% midis viteve 2005 dhe 2022. Janë marrë masa për të përmirësuar infrastrukturën rrugore dhe lëvizshmërinë dhe për të rritur numrin e makinave të reja me emetime më të ulëta. Gjatë viteve të fundit, numri i automjeteve elektrike dhe hibride është rritur. Shqipëria po rishikon strategjinë e saj kombëtare për cilësinë e ajrit të ambientit dhe planin kombëtar të menaxhimit të cilësisë së ajrit.</w:t>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lang w:val="fr-CA" w:eastAsia="ar-SA"/>
        </w:rPr>
      </w:pPr>
    </w:p>
    <w:p w:rsidR="006742DC" w:rsidRPr="00D33108" w:rsidRDefault="006742DC" w:rsidP="0087111E">
      <w:pPr>
        <w:shd w:val="clear" w:color="auto" w:fill="DEEAF6" w:themeFill="accent1" w:themeFillTint="33"/>
        <w:spacing w:after="0" w:line="240" w:lineRule="auto"/>
        <w:outlineLvl w:val="0"/>
        <w:rPr>
          <w:rFonts w:ascii="Times New Roman" w:eastAsia="Times New Roman" w:hAnsi="Times New Roman" w:cs="Times New Roman"/>
          <w:b/>
          <w:bCs/>
          <w:spacing w:val="-4"/>
          <w:kern w:val="36"/>
          <w:sz w:val="24"/>
          <w:szCs w:val="24"/>
        </w:rPr>
      </w:pPr>
      <w:r w:rsidRPr="00D33108">
        <w:rPr>
          <w:rFonts w:ascii="Times New Roman" w:eastAsia="Times New Roman" w:hAnsi="Times New Roman" w:cs="Times New Roman"/>
          <w:b/>
          <w:bCs/>
          <w:spacing w:val="-4"/>
          <w:kern w:val="36"/>
          <w:sz w:val="24"/>
          <w:szCs w:val="24"/>
        </w:rPr>
        <w:t>Pjesa e energjisë së rinovueshme në konsumin final të energjisë</w:t>
      </w:r>
    </w:p>
    <w:p w:rsidR="006742DC" w:rsidRPr="00D33108" w:rsidRDefault="006742DC" w:rsidP="006742DC">
      <w:pPr>
        <w:suppressAutoHyphens/>
        <w:spacing w:before="120" w:after="180" w:line="276" w:lineRule="auto"/>
        <w:jc w:val="both"/>
        <w:rPr>
          <w:rFonts w:ascii="Times New Roman" w:eastAsia="Times New Roman" w:hAnsi="Times New Roman" w:cs="Times New Roman"/>
          <w:i/>
          <w:sz w:val="24"/>
          <w:szCs w:val="24"/>
          <w:lang w:val="fr-CA" w:eastAsia="ar-SA"/>
        </w:rPr>
      </w:pPr>
      <w:r w:rsidRPr="00D33108">
        <w:rPr>
          <w:rFonts w:ascii="Times New Roman" w:eastAsia="Times New Roman" w:hAnsi="Times New Roman" w:cs="Times New Roman"/>
          <w:i/>
          <w:sz w:val="24"/>
          <w:szCs w:val="24"/>
          <w:shd w:val="clear" w:color="auto" w:fill="FFFFFF"/>
          <w:lang w:val="fr-CA" w:eastAsia="ar-SA"/>
        </w:rPr>
        <w:t>Indikatori tregon konsumin përfundimtar bruto të energjisë nga burimet e energjisë së rinovueshme (BRE), të shprehur si pjesë e konsumit final bruto të energjisë nga të gjitha burimet.</w:t>
      </w:r>
    </w:p>
    <w:p w:rsidR="006742DC" w:rsidRPr="00D33108" w:rsidRDefault="006742DC" w:rsidP="00E91FC2">
      <w:pPr>
        <w:pStyle w:val="NormalWeb"/>
        <w:jc w:val="both"/>
      </w:pPr>
      <w:r w:rsidRPr="00D33108">
        <w:rPr>
          <w:noProof/>
        </w:rPr>
        <w:drawing>
          <wp:inline distT="0" distB="0" distL="0" distR="0" wp14:anchorId="68085102" wp14:editId="22189810">
            <wp:extent cx="6189980" cy="3343275"/>
            <wp:effectExtent l="0" t="0" r="1270" b="9525"/>
            <wp:docPr id="109" name="Picture 109" descr="C:\Users\arta.kodra\Downloads\Share of renewable energy in final energy consump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rta.kodra\Downloads\Share of renewable energy in final energy consumption.png"/>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6267403" cy="3385092"/>
                    </a:xfrm>
                    <a:prstGeom prst="rect">
                      <a:avLst/>
                    </a:prstGeom>
                    <a:noFill/>
                    <a:ln>
                      <a:noFill/>
                    </a:ln>
                  </pic:spPr>
                </pic:pic>
              </a:graphicData>
            </a:graphic>
          </wp:inline>
        </w:drawing>
      </w:r>
      <w:r w:rsidRPr="00D33108">
        <w:rPr>
          <w:shd w:val="clear" w:color="auto" w:fill="FFFFFF"/>
          <w:lang w:val="fr-CA" w:eastAsia="ar-SA"/>
        </w:rPr>
        <w:t xml:space="preserve">Qeveria shqiptare e konsideron promovimin e përdorimit të energjisë së rinovueshme një mjet të rëndësishëm për politikat energjetike që synojnë rritjen e sigurisë së furnizimit me energji, zhvillimin ekonomik, qëndrueshmërinë e sektorit të energjisë dhe mbrojtjen e mjedisit. Pjesa e burimeve të energjisë së rinovueshme (BRE) në furnizimin e përgjithshëm me energji të Shqipërisë përbëhet kryesisht nga energjia hidroelektrike </w:t>
      </w:r>
      <w:r w:rsidRPr="00D33108">
        <w:rPr>
          <w:shd w:val="clear" w:color="auto" w:fill="FFFFFF"/>
        </w:rPr>
        <w:t>dhe drutë e zjarrit. Qeveria shqiptare është përqendruar në diversifikimin e furnizimit të saj me energji, duke përfshirë edhe përmes BRE-ve të tjera, të tilla si biomasa, energjia diellore dhe energjia e erës.</w:t>
      </w:r>
    </w:p>
    <w:p w:rsidR="006742DC" w:rsidRDefault="006742DC" w:rsidP="006742DC">
      <w:pPr>
        <w:suppressAutoHyphens/>
        <w:spacing w:before="120" w:after="180" w:line="276" w:lineRule="auto"/>
        <w:jc w:val="both"/>
        <w:rPr>
          <w:rFonts w:ascii="Times New Roman" w:eastAsia="Times New Roman" w:hAnsi="Times New Roman" w:cs="Times New Roman"/>
          <w:sz w:val="24"/>
          <w:szCs w:val="24"/>
          <w:shd w:val="clear" w:color="auto" w:fill="FFFFFF"/>
          <w:lang w:val="fr-CA" w:eastAsia="ar-SA"/>
        </w:rPr>
      </w:pPr>
      <w:r w:rsidRPr="00D33108">
        <w:rPr>
          <w:rFonts w:ascii="Times New Roman" w:eastAsia="Times New Roman" w:hAnsi="Times New Roman" w:cs="Times New Roman"/>
          <w:sz w:val="24"/>
          <w:szCs w:val="24"/>
          <w:shd w:val="clear" w:color="auto" w:fill="FFFFFF"/>
          <w:lang w:val="fr-CA" w:eastAsia="ar-SA"/>
        </w:rPr>
        <w:t>Qëllimi i strategjisë kombëtare të energjisë 2018–2030 është që përqindja e BRE-ve të arrijë 42% të konsumit total të energjisë në vitin 2030. Në vitin 2004, pjesa e BRE-ve në konsumin përfundimtar ishte 29.6%. Që nga viti 2019, Shqipëria ka bërë përparim në rritjen e vazhdueshme të këtij treguesi, me pjesën e BRE-ve që arriti në 46.6% në vitin 2023. Kjo u arrit duke zbatuar planin kombëtar të veprimit për BRE-të. Shqipëria tashmë e ka arritur objektivin e BE-së për vitin 2030. Plani kombëtar i energjisë dhe klimës (NECP) i vitit 2021 synon të arrijë një pjesë të BRE-ve prej 54.4% në kërkesën përfundimtare për energji, siç parashikohet me masa shtesë për vitin 2030.</w:t>
      </w:r>
    </w:p>
    <w:p w:rsidR="0087111E" w:rsidRPr="00D33108" w:rsidRDefault="0087111E" w:rsidP="006742DC">
      <w:pPr>
        <w:suppressAutoHyphens/>
        <w:spacing w:before="120" w:after="180" w:line="276" w:lineRule="auto"/>
        <w:jc w:val="both"/>
        <w:rPr>
          <w:rFonts w:ascii="Times New Roman" w:eastAsia="Times New Roman" w:hAnsi="Times New Roman" w:cs="Times New Roman"/>
          <w:sz w:val="24"/>
          <w:szCs w:val="24"/>
          <w:shd w:val="clear" w:color="auto" w:fill="FFFFFF"/>
          <w:lang w:val="fr-CA" w:eastAsia="ar-SA"/>
        </w:rPr>
      </w:pPr>
    </w:p>
    <w:p w:rsidR="006742DC" w:rsidRPr="00D33108" w:rsidRDefault="006742DC" w:rsidP="0087111E">
      <w:pPr>
        <w:shd w:val="clear" w:color="auto" w:fill="DEEAF6" w:themeFill="accent1" w:themeFillTint="33"/>
        <w:spacing w:after="0" w:line="240" w:lineRule="auto"/>
        <w:outlineLvl w:val="0"/>
        <w:rPr>
          <w:rFonts w:ascii="Times New Roman" w:eastAsia="Times New Roman" w:hAnsi="Times New Roman" w:cs="Times New Roman"/>
          <w:b/>
          <w:bCs/>
          <w:spacing w:val="-4"/>
          <w:kern w:val="36"/>
          <w:sz w:val="24"/>
          <w:szCs w:val="24"/>
        </w:rPr>
      </w:pPr>
      <w:r w:rsidRPr="00D33108">
        <w:rPr>
          <w:rFonts w:ascii="Times New Roman" w:eastAsia="Times New Roman" w:hAnsi="Times New Roman" w:cs="Times New Roman"/>
          <w:b/>
          <w:bCs/>
          <w:spacing w:val="-4"/>
          <w:kern w:val="36"/>
          <w:sz w:val="24"/>
          <w:szCs w:val="24"/>
        </w:rPr>
        <w:t>Emetimet totale të gazrave serrë (pa LULUCF)</w:t>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shd w:val="clear" w:color="auto" w:fill="FFFFFF"/>
          <w:lang w:val="fr-CA" w:eastAsia="ar-SA"/>
        </w:rPr>
      </w:pPr>
      <w:r w:rsidRPr="00D33108">
        <w:rPr>
          <w:rFonts w:ascii="Times New Roman" w:eastAsia="Times New Roman" w:hAnsi="Times New Roman" w:cs="Times New Roman"/>
          <w:i/>
          <w:sz w:val="24"/>
          <w:szCs w:val="24"/>
          <w:shd w:val="clear" w:color="auto" w:fill="FFFFFF"/>
          <w:lang w:val="fr-CA" w:eastAsia="ar-SA"/>
        </w:rPr>
        <w:t>Indikatori tregon trendin në emetimet totale të gazrave serrë, duke përjashtuar ato nga sektori i përdorimit të tokës, ndryshimit të përdorimit të tokës dhe pylltarisë (LULUCF). Për krahasim, përfshihen dy linja indeksi (vlera e vitit 1990 = 100): e para i referohet emetimeve specifike të vendit, ndërsa e dyta shpreh emetimet totale të BE-së.</w:t>
      </w:r>
    </w:p>
    <w:p w:rsidR="006742DC" w:rsidRPr="00D33108" w:rsidRDefault="006742DC" w:rsidP="006742DC">
      <w:pPr>
        <w:spacing w:before="100" w:beforeAutospacing="1" w:after="100" w:afterAutospacing="1" w:line="240" w:lineRule="auto"/>
        <w:rPr>
          <w:rFonts w:ascii="Times New Roman" w:eastAsia="Times New Roman" w:hAnsi="Times New Roman" w:cs="Times New Roman"/>
          <w:sz w:val="24"/>
          <w:szCs w:val="24"/>
        </w:rPr>
      </w:pPr>
      <w:r w:rsidRPr="00D33108">
        <w:rPr>
          <w:rFonts w:ascii="Times New Roman" w:eastAsia="Times New Roman" w:hAnsi="Times New Roman" w:cs="Times New Roman"/>
          <w:noProof/>
          <w:sz w:val="24"/>
          <w:szCs w:val="24"/>
        </w:rPr>
        <w:drawing>
          <wp:inline distT="0" distB="0" distL="0" distR="0" wp14:anchorId="248E6B97" wp14:editId="06C2482A">
            <wp:extent cx="6162675" cy="3514725"/>
            <wp:effectExtent l="0" t="0" r="9525" b="9525"/>
            <wp:docPr id="110" name="Picture 110" descr="C:\Users\arta.kodra\Downloads\Total greenhouse gas emissions (without LULU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ta.kodra\Downloads\Total greenhouse gas emissions (without LULUCF).pn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6216445" cy="3545391"/>
                    </a:xfrm>
                    <a:prstGeom prst="rect">
                      <a:avLst/>
                    </a:prstGeom>
                    <a:noFill/>
                    <a:ln>
                      <a:noFill/>
                    </a:ln>
                  </pic:spPr>
                </pic:pic>
              </a:graphicData>
            </a:graphic>
          </wp:inline>
        </w:drawing>
      </w:r>
    </w:p>
    <w:p w:rsidR="006742DC" w:rsidRPr="00D33108" w:rsidRDefault="006742DC" w:rsidP="006742DC">
      <w:pPr>
        <w:rPr>
          <w:rFonts w:ascii="Times New Roman" w:eastAsia="Times New Roman" w:hAnsi="Times New Roman" w:cs="Times New Roman"/>
          <w:sz w:val="24"/>
          <w:szCs w:val="24"/>
          <w:shd w:val="clear" w:color="auto" w:fill="FFFFFF"/>
          <w:lang w:val="fr-CA" w:eastAsia="ar-SA"/>
        </w:rPr>
      </w:pPr>
      <w:r w:rsidRPr="00D33108">
        <w:rPr>
          <w:rFonts w:ascii="Times New Roman" w:eastAsia="Times New Roman" w:hAnsi="Times New Roman" w:cs="Times New Roman"/>
          <w:sz w:val="24"/>
          <w:szCs w:val="24"/>
          <w:shd w:val="clear" w:color="auto" w:fill="FFFFFF"/>
          <w:lang w:val="fr-CA" w:eastAsia="ar-SA"/>
        </w:rPr>
        <w:t>Emetimet mesatare vjetore të gazrave serrë (GHG) në Shqipëri arritën në 10.8 Mt CO2eq/vit në vitet 2009–2016. Emetimet e GHG nga sektori i energjisë çlirohen për shkak të aktiviteteve të djegies së karburanteve, nxjerrjes së karburanteve të ngurta dhe transmetimit dhe shpërndarjes së karburanteve të lëngshme dhe të gazta. Emetimet nga sektori i proceseve industriale dhe përdorimit të produkteve vijnë kryesisht nga industria minerale dhe metalike. Transporti është burimi më i rëndësishëm që lidhet me konsumin e karburantit. Emetimet e GHG nga sektorët e bujqësisë dhe mbetjeve u rritën midis viteve 2009 dhe 2019 me përkatësisht 4.7% dhe 42%.</w:t>
      </w:r>
    </w:p>
    <w:p w:rsidR="006742DC" w:rsidRPr="00D33108" w:rsidRDefault="006742DC" w:rsidP="006742DC">
      <w:pPr>
        <w:suppressAutoHyphens/>
        <w:spacing w:before="120" w:after="180" w:line="276" w:lineRule="auto"/>
        <w:jc w:val="both"/>
        <w:rPr>
          <w:rFonts w:ascii="Times New Roman" w:eastAsia="Times New Roman" w:hAnsi="Times New Roman" w:cs="Times New Roman"/>
          <w:sz w:val="24"/>
          <w:szCs w:val="24"/>
          <w:lang w:val="fr-CA" w:eastAsia="ar-SA"/>
        </w:rPr>
      </w:pPr>
      <w:r w:rsidRPr="00D33108">
        <w:rPr>
          <w:rFonts w:ascii="Times New Roman" w:eastAsia="Times New Roman" w:hAnsi="Times New Roman" w:cs="Times New Roman"/>
          <w:sz w:val="24"/>
          <w:szCs w:val="24"/>
          <w:shd w:val="clear" w:color="auto" w:fill="FFFFFF"/>
          <w:lang w:val="fr-CA" w:eastAsia="ar-SA"/>
        </w:rPr>
        <w:t xml:space="preserve">Emetimet totale të gazrave serrë (pa përdorimin e tokës, ndryshimin e përdorimit të tokës dhe pylltarinë LULUCF) janë rritur vazhdimisht midis viteve 1992 (105%) dhe 2019 (230%) si përqindje e emetimeve në vitin 1990. Masat zbutëse në lidhje me energjinë, proceset industriale, mbetjet, bujqësinë dhe LULUCF të llogaritura në skenarin e Kontributeve të Përcaktuara në nivel kombëtar (NDC) mund të ndihmojnë në shmangien e emetimeve që arrijnë në total 16 828 kt CO2eq gjatë viteve 2021–2030 krahasuar me skenarin e biznesit si zakonisht. Diferenca e mundshme në vitin 2030 është – 3 170 kt CO2eq krahasuar me skenarin e biznesit si zakonisht, i </w:t>
      </w:r>
      <w:r w:rsidRPr="00D33108">
        <w:rPr>
          <w:rFonts w:ascii="Times New Roman" w:eastAsia="Times New Roman" w:hAnsi="Times New Roman" w:cs="Times New Roman"/>
          <w:sz w:val="24"/>
          <w:szCs w:val="24"/>
          <w:shd w:val="clear" w:color="auto" w:fill="FFFFFF"/>
          <w:lang w:val="fr-CA" w:eastAsia="ar-SA"/>
        </w:rPr>
        <w:lastRenderedPageBreak/>
        <w:t>cili përfaqëson një ndikim zbutës prej 20.9%. Shqipëria gjithashtu nënshkroi Deklaratën e Sofjes mbi Axhendën e Gjelbër për Ballkanin Perëndimor në vitin 2020, duke u zotuar për neutralitet të karbonit deri në vitin 2050.</w:t>
      </w:r>
    </w:p>
    <w:p w:rsidR="00CA1C73" w:rsidRPr="00D33108" w:rsidRDefault="00CA1C73" w:rsidP="0087111E">
      <w:pPr>
        <w:shd w:val="clear" w:color="auto" w:fill="DEEAF6" w:themeFill="accent1" w:themeFillTint="33"/>
        <w:spacing w:after="0" w:line="240" w:lineRule="auto"/>
        <w:outlineLvl w:val="0"/>
        <w:rPr>
          <w:rFonts w:ascii="Times New Roman" w:eastAsia="Times New Roman" w:hAnsi="Times New Roman" w:cs="Times New Roman"/>
          <w:b/>
          <w:bCs/>
          <w:spacing w:val="-4"/>
          <w:kern w:val="36"/>
          <w:sz w:val="24"/>
          <w:szCs w:val="24"/>
        </w:rPr>
      </w:pPr>
      <w:r w:rsidRPr="00D33108">
        <w:rPr>
          <w:rFonts w:ascii="Times New Roman" w:eastAsia="Times New Roman" w:hAnsi="Times New Roman" w:cs="Times New Roman"/>
          <w:b/>
          <w:bCs/>
          <w:spacing w:val="-4"/>
          <w:kern w:val="36"/>
          <w:sz w:val="24"/>
          <w:szCs w:val="24"/>
        </w:rPr>
        <w:t>Gjenerimi total i mbetjeve</w:t>
      </w:r>
    </w:p>
    <w:p w:rsidR="00CA1C73" w:rsidRPr="00D33108" w:rsidRDefault="00CA1C73" w:rsidP="00CA1C73">
      <w:pPr>
        <w:spacing w:before="100" w:beforeAutospacing="1" w:after="100" w:afterAutospacing="1" w:line="240" w:lineRule="auto"/>
        <w:rPr>
          <w:rFonts w:ascii="Times New Roman" w:eastAsia="Times New Roman" w:hAnsi="Times New Roman" w:cs="Times New Roman"/>
          <w:i/>
          <w:sz w:val="24"/>
          <w:szCs w:val="24"/>
          <w:shd w:val="clear" w:color="auto" w:fill="FFFFFF"/>
          <w:lang w:val="fr-CA" w:eastAsia="ar-SA"/>
        </w:rPr>
      </w:pPr>
      <w:r w:rsidRPr="00D33108">
        <w:rPr>
          <w:rFonts w:ascii="Times New Roman" w:eastAsia="Times New Roman" w:hAnsi="Times New Roman" w:cs="Times New Roman"/>
          <w:i/>
          <w:sz w:val="24"/>
          <w:szCs w:val="24"/>
          <w:shd w:val="clear" w:color="auto" w:fill="FFFFFF"/>
          <w:lang w:val="fr-CA" w:eastAsia="ar-SA"/>
        </w:rPr>
        <w:t>Indikatori tregon sasinë totale të gjeneruar të të gjitha llojeve të mbeturinave nga të gjithë sektorët ekonomikë dhe familjet, dhe e krahason atë me zhvillimin ekonomik të matur si produkt i brendshëm bruto (PBB).</w:t>
      </w:r>
    </w:p>
    <w:p w:rsidR="00CA1C73" w:rsidRPr="00D33108" w:rsidRDefault="00CA1C73" w:rsidP="00CA1C73">
      <w:pPr>
        <w:spacing w:before="100" w:beforeAutospacing="1" w:after="100" w:afterAutospacing="1" w:line="240" w:lineRule="auto"/>
        <w:rPr>
          <w:rFonts w:ascii="Times New Roman" w:eastAsia="Times New Roman" w:hAnsi="Times New Roman" w:cs="Times New Roman"/>
          <w:sz w:val="24"/>
          <w:szCs w:val="24"/>
        </w:rPr>
      </w:pPr>
      <w:r w:rsidRPr="00D33108">
        <w:rPr>
          <w:rFonts w:ascii="Times New Roman" w:eastAsia="Times New Roman" w:hAnsi="Times New Roman" w:cs="Times New Roman"/>
          <w:noProof/>
          <w:sz w:val="24"/>
          <w:szCs w:val="24"/>
        </w:rPr>
        <w:drawing>
          <wp:inline distT="0" distB="0" distL="0" distR="0" wp14:anchorId="66573199" wp14:editId="3A169938">
            <wp:extent cx="6267450" cy="2114550"/>
            <wp:effectExtent l="0" t="0" r="0" b="0"/>
            <wp:docPr id="111" name="Picture 111" descr="C:\Users\arta.kodra\Downloads\Total waste gene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ta.kodra\Downloads\Total waste generation.png"/>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6348672" cy="2141953"/>
                    </a:xfrm>
                    <a:prstGeom prst="rect">
                      <a:avLst/>
                    </a:prstGeom>
                    <a:noFill/>
                    <a:ln>
                      <a:noFill/>
                    </a:ln>
                  </pic:spPr>
                </pic:pic>
              </a:graphicData>
            </a:graphic>
          </wp:inline>
        </w:drawing>
      </w:r>
    </w:p>
    <w:p w:rsidR="006742DC" w:rsidRPr="00D33108" w:rsidRDefault="006742DC" w:rsidP="006742DC">
      <w:pPr>
        <w:rPr>
          <w:rFonts w:ascii="Times New Roman" w:eastAsia="Times New Roman" w:hAnsi="Times New Roman" w:cs="Times New Roman"/>
          <w:sz w:val="24"/>
          <w:szCs w:val="24"/>
          <w:lang w:val="fr-CA" w:eastAsia="ar-SA"/>
        </w:rPr>
      </w:pPr>
    </w:p>
    <w:p w:rsidR="00CA1C73" w:rsidRPr="00D33108" w:rsidRDefault="00CA1C73" w:rsidP="00CA1C73">
      <w:pPr>
        <w:suppressAutoHyphens/>
        <w:spacing w:before="120" w:after="180" w:line="276" w:lineRule="auto"/>
        <w:jc w:val="both"/>
        <w:rPr>
          <w:rFonts w:ascii="Times New Roman" w:eastAsia="Times New Roman" w:hAnsi="Times New Roman" w:cs="Times New Roman"/>
          <w:sz w:val="24"/>
          <w:szCs w:val="24"/>
          <w:shd w:val="clear" w:color="auto" w:fill="FFFFFF"/>
          <w:lang w:val="fr-CA" w:eastAsia="ar-SA"/>
        </w:rPr>
      </w:pPr>
      <w:r w:rsidRPr="00D33108">
        <w:rPr>
          <w:rFonts w:ascii="Times New Roman" w:eastAsia="Times New Roman" w:hAnsi="Times New Roman" w:cs="Times New Roman"/>
          <w:sz w:val="24"/>
          <w:szCs w:val="24"/>
          <w:shd w:val="clear" w:color="auto" w:fill="FFFFFF"/>
          <w:lang w:val="fr-CA" w:eastAsia="ar-SA"/>
        </w:rPr>
        <w:t>Strategjia kombëtare për menaxhimin e mbeturinave dhe plani i veprimit 2020–2035 (NS</w:t>
      </w:r>
      <w:r w:rsidR="002C4833">
        <w:rPr>
          <w:rFonts w:ascii="Times New Roman" w:eastAsia="Times New Roman" w:hAnsi="Times New Roman" w:cs="Times New Roman"/>
          <w:sz w:val="24"/>
          <w:szCs w:val="24"/>
          <w:shd w:val="clear" w:color="auto" w:fill="FFFFFF"/>
          <w:lang w:val="fr-CA" w:eastAsia="ar-SA"/>
        </w:rPr>
        <w:t>Ë</w:t>
      </w:r>
      <w:r w:rsidRPr="00D33108">
        <w:rPr>
          <w:rFonts w:ascii="Times New Roman" w:eastAsia="Times New Roman" w:hAnsi="Times New Roman" w:cs="Times New Roman"/>
          <w:sz w:val="24"/>
          <w:szCs w:val="24"/>
          <w:shd w:val="clear" w:color="auto" w:fill="FFFFFF"/>
          <w:lang w:val="fr-CA" w:eastAsia="ar-SA"/>
        </w:rPr>
        <w:t>MAP) është një nga dokumentet më të rëndësishme dhe thelbësore në fushën e mbeturinave, i cili synon kalimin nga një ekonomi lineare në një ekonomi rrethore. Menaxhimi i mbeturinave kryhet në të gjitha zonat urbane, por më pak në zonat rurale. Mbeturinat hidhen kryesisht në vendet e përcaktuara nga njësitë e vetëqeverisjes vendore. Riciklimi ka përparuar gjatë viteve të fundit, pasi janë krijuar kompani që mbledhin dhe riciklojnë metale, plastikë, letër dhe qelq.</w:t>
      </w:r>
    </w:p>
    <w:p w:rsidR="00CA1C73" w:rsidRPr="00D33108" w:rsidRDefault="00CA1C73" w:rsidP="00CA1C73">
      <w:pPr>
        <w:suppressAutoHyphens/>
        <w:spacing w:before="120" w:after="180" w:line="276" w:lineRule="auto"/>
        <w:jc w:val="both"/>
        <w:rPr>
          <w:rFonts w:ascii="Times New Roman" w:eastAsia="Times New Roman" w:hAnsi="Times New Roman" w:cs="Times New Roman"/>
          <w:sz w:val="24"/>
          <w:szCs w:val="24"/>
          <w:lang w:val="fr-CA" w:eastAsia="ar-SA"/>
        </w:rPr>
      </w:pPr>
      <w:r w:rsidRPr="00D33108">
        <w:rPr>
          <w:rFonts w:ascii="Times New Roman" w:eastAsia="Times New Roman" w:hAnsi="Times New Roman" w:cs="Times New Roman"/>
          <w:sz w:val="24"/>
          <w:szCs w:val="24"/>
          <w:shd w:val="clear" w:color="auto" w:fill="FFFFFF"/>
          <w:lang w:val="fr-CA" w:eastAsia="ar-SA"/>
        </w:rPr>
        <w:t>Ka filluar gjithashtu mbledhja dhe menaxhimi i rrjedhave të tjera të mbeturinave, duke përfshirë mbeturinat spitalore, bateritë, vajrat dhe pajisjet elektrike dhe elektronike. Masat në Planin Kombëtar të Menaxhimit të Mbeturinave (NS</w:t>
      </w:r>
      <w:r w:rsidR="002C4833">
        <w:rPr>
          <w:rFonts w:ascii="Times New Roman" w:eastAsia="Times New Roman" w:hAnsi="Times New Roman" w:cs="Times New Roman"/>
          <w:sz w:val="24"/>
          <w:szCs w:val="24"/>
          <w:shd w:val="clear" w:color="auto" w:fill="FFFFFF"/>
          <w:lang w:val="fr-CA" w:eastAsia="ar-SA"/>
        </w:rPr>
        <w:t>Ë</w:t>
      </w:r>
      <w:r w:rsidRPr="00D33108">
        <w:rPr>
          <w:rFonts w:ascii="Times New Roman" w:eastAsia="Times New Roman" w:hAnsi="Times New Roman" w:cs="Times New Roman"/>
          <w:sz w:val="24"/>
          <w:szCs w:val="24"/>
          <w:shd w:val="clear" w:color="auto" w:fill="FFFFFF"/>
          <w:lang w:val="fr-CA" w:eastAsia="ar-SA"/>
        </w:rPr>
        <w:t>MAP) synojnë të arrijnë një shkallë rikuperimi prej 50% për rrjedhat kryesore të mbeturinave shtëpiake - letër/karton, plastikë, metale dhe qelq - përmes riciklimit deri në vitin 2035. Shqipëria ka bërë përparim në uljen e sasisë totale të mbeturinave bashkiake të gjeneruara, të cilat përfshijnë mbeturinat urbane dhe jo-urbane dhe kanë rënë nga 462 kg/frymë në vitin 2018 në 295 kg/frymë në vitin 2022. Shkalla e riciklimit të mbeturinave u rrit nga 18.1% në vitin 2020 në 18.9% në vitin 2022.</w:t>
      </w:r>
    </w:p>
    <w:p w:rsidR="00CA1C73" w:rsidRPr="00D33108" w:rsidRDefault="00CA1C73" w:rsidP="00CA1C73">
      <w:pPr>
        <w:suppressAutoHyphens/>
        <w:spacing w:before="120" w:after="180" w:line="276" w:lineRule="auto"/>
        <w:jc w:val="both"/>
        <w:rPr>
          <w:rFonts w:ascii="Times New Roman" w:eastAsia="Times New Roman" w:hAnsi="Times New Roman" w:cs="Times New Roman"/>
          <w:sz w:val="24"/>
          <w:szCs w:val="24"/>
          <w:lang w:val="fr-CA" w:eastAsia="ar-SA"/>
        </w:rPr>
      </w:pPr>
    </w:p>
    <w:p w:rsidR="00CA1C73" w:rsidRPr="00D33108" w:rsidRDefault="00CA1C73" w:rsidP="00CA1C73">
      <w:pPr>
        <w:suppressAutoHyphens/>
        <w:spacing w:before="120" w:after="180" w:line="276" w:lineRule="auto"/>
        <w:jc w:val="both"/>
        <w:rPr>
          <w:rFonts w:ascii="Times New Roman" w:eastAsia="Times New Roman" w:hAnsi="Times New Roman" w:cs="Times New Roman"/>
          <w:b/>
          <w:sz w:val="24"/>
          <w:szCs w:val="24"/>
          <w:lang w:val="fr-CA" w:eastAsia="ar-SA"/>
        </w:rPr>
      </w:pPr>
      <w:r w:rsidRPr="00D33108">
        <w:rPr>
          <w:rFonts w:ascii="Times New Roman" w:eastAsia="Times New Roman" w:hAnsi="Times New Roman" w:cs="Times New Roman"/>
          <w:b/>
          <w:sz w:val="24"/>
          <w:szCs w:val="24"/>
          <w:lang w:val="fr-CA" w:eastAsia="ar-SA"/>
        </w:rPr>
        <w:t xml:space="preserve">   Vlerësimi socio-ekonomik</w:t>
      </w:r>
    </w:p>
    <w:p w:rsidR="00CA1C73" w:rsidRPr="00D33108" w:rsidRDefault="00CA1C73" w:rsidP="004D460A">
      <w:pPr>
        <w:numPr>
          <w:ilvl w:val="0"/>
          <w:numId w:val="13"/>
        </w:numPr>
        <w:suppressAutoHyphens/>
        <w:spacing w:before="120" w:after="180" w:line="276" w:lineRule="auto"/>
        <w:contextualSpacing/>
        <w:jc w:val="both"/>
        <w:rPr>
          <w:rFonts w:ascii="Times New Roman" w:eastAsia="Times New Roman" w:hAnsi="Times New Roman" w:cs="Times New Roman"/>
          <w:b/>
          <w:sz w:val="24"/>
          <w:szCs w:val="24"/>
          <w:lang w:val="fr-CA" w:eastAsia="ar-SA"/>
        </w:rPr>
      </w:pPr>
      <w:r w:rsidRPr="00D33108">
        <w:rPr>
          <w:rFonts w:ascii="Times New Roman" w:eastAsia="Times New Roman" w:hAnsi="Times New Roman" w:cs="Times New Roman"/>
          <w:b/>
          <w:sz w:val="24"/>
          <w:szCs w:val="24"/>
          <w:lang w:val="fr-CA" w:eastAsia="ar-SA"/>
        </w:rPr>
        <w:lastRenderedPageBreak/>
        <w:t>Kushte sfiduese socio-ekonomike dhe mbështetje e brishtë për qëndrueshmëri</w:t>
      </w:r>
    </w:p>
    <w:p w:rsidR="00CA1C73" w:rsidRPr="00D33108" w:rsidRDefault="00CA1C73" w:rsidP="00CA1C73">
      <w:pPr>
        <w:suppressAutoHyphens/>
        <w:spacing w:before="120" w:after="180" w:line="276" w:lineRule="auto"/>
        <w:jc w:val="both"/>
        <w:rPr>
          <w:rFonts w:ascii="Times New Roman" w:eastAsia="Times New Roman" w:hAnsi="Times New Roman" w:cs="Times New Roman"/>
          <w:sz w:val="24"/>
          <w:szCs w:val="24"/>
          <w:lang w:val="fr-CA" w:eastAsia="ar-SA"/>
        </w:rPr>
      </w:pPr>
      <w:r w:rsidRPr="00D33108">
        <w:rPr>
          <w:rFonts w:ascii="Times New Roman" w:eastAsia="Times New Roman" w:hAnsi="Times New Roman" w:cs="Times New Roman"/>
          <w:sz w:val="24"/>
          <w:szCs w:val="24"/>
          <w:lang w:val="fr-CA" w:eastAsia="ar-SA"/>
        </w:rPr>
        <w:t>Shqipëria është përballur me sfida socio-ekonomike pas tërmetit të vitit 2019 dhe pandemisë COVID-19, të cilat ndërprenë turizmin dhe vunë në presion buxhetet publike. Mbështetja publike për politikat e gjelbra mbetet e pabarabartë, veçanërisht në zonat rurale. Koeficienti Gini u përmirësua nga 36.8 (2017) në 33 (2021), dhe varfëria energjetike po zvogëlohet, por është ende shumë më e lartë se mesatarja e BE-së. Skemat sociale adresojnë kostot në rritje të energjisë elektrike përmes përfitimeve në para, megjithatë vetëm 80.2% e individëve të kualifikuar i përfituan ato në vitin 2021. Strategjia e mbrojtjes sociale 2024–2030 synon të luftojë varfërinë dhe varfërinë energjetike duke konsoliduar skemat financiare dhe duke promovuar energjinë e rinovueshme, veçanërisht përdorimin e paneleve diellore në zonat rurale.</w:t>
      </w:r>
    </w:p>
    <w:p w:rsidR="00CA1C73" w:rsidRPr="00D33108" w:rsidRDefault="00CA1C73" w:rsidP="0087111E">
      <w:pPr>
        <w:shd w:val="clear" w:color="auto" w:fill="DEEAF6" w:themeFill="accent1" w:themeFillTint="33"/>
        <w:spacing w:after="0" w:line="240" w:lineRule="auto"/>
        <w:outlineLvl w:val="0"/>
        <w:rPr>
          <w:rFonts w:ascii="Times New Roman" w:eastAsia="Times New Roman" w:hAnsi="Times New Roman" w:cs="Times New Roman"/>
          <w:b/>
          <w:bCs/>
          <w:spacing w:val="-4"/>
          <w:kern w:val="36"/>
          <w:sz w:val="24"/>
          <w:szCs w:val="24"/>
        </w:rPr>
      </w:pPr>
      <w:r w:rsidRPr="00D33108">
        <w:rPr>
          <w:rFonts w:ascii="Times New Roman" w:eastAsia="Times New Roman" w:hAnsi="Times New Roman" w:cs="Times New Roman"/>
          <w:b/>
          <w:bCs/>
          <w:spacing w:val="-4"/>
          <w:kern w:val="36"/>
          <w:sz w:val="24"/>
          <w:szCs w:val="24"/>
        </w:rPr>
        <w:t>Koeficienti Gini i të ardhurave të disponueshme ekuivalente</w:t>
      </w:r>
    </w:p>
    <w:p w:rsidR="00CA1C73" w:rsidRPr="00D33108" w:rsidRDefault="00CA1C73" w:rsidP="00CA1C73">
      <w:pPr>
        <w:spacing w:before="100" w:beforeAutospacing="1" w:after="100" w:afterAutospacing="1" w:line="240" w:lineRule="auto"/>
        <w:rPr>
          <w:rFonts w:ascii="Times New Roman" w:eastAsia="Times New Roman" w:hAnsi="Times New Roman" w:cs="Times New Roman"/>
          <w:i/>
          <w:sz w:val="24"/>
          <w:szCs w:val="24"/>
          <w:shd w:val="clear" w:color="auto" w:fill="FFFFFF"/>
          <w:lang w:val="fr-CA" w:eastAsia="ar-SA"/>
        </w:rPr>
      </w:pPr>
      <w:r w:rsidRPr="00D33108">
        <w:rPr>
          <w:rFonts w:ascii="Times New Roman" w:eastAsia="Times New Roman" w:hAnsi="Times New Roman" w:cs="Times New Roman"/>
          <w:i/>
          <w:sz w:val="24"/>
          <w:szCs w:val="24"/>
          <w:shd w:val="clear" w:color="auto" w:fill="FFFFFF"/>
          <w:lang w:val="fr-CA" w:eastAsia="ar-SA"/>
        </w:rPr>
        <w:t>Koeficienti Gini mat pabarazinë e të ardhurave duke përcaktuar se si shpërndahen të ardhurat. Një vlerë prej 0 pasqyron barazinë e përsosur, ku të gjithë qytetarët e një vendi kanë të njëjtat të ardhura, ndërsa një vlerë prej 100 pasqyron pabarazinë maksimale, ku një individ i vetëm në një vend ka të gjitha të ardhurat, ndërsa të gjithë të tjerët nuk kanë asnjë.</w:t>
      </w:r>
    </w:p>
    <w:p w:rsidR="00CA1C73" w:rsidRPr="00D33108" w:rsidRDefault="00CA1C73" w:rsidP="00CA1C73">
      <w:pPr>
        <w:spacing w:before="100" w:beforeAutospacing="1" w:after="100" w:afterAutospacing="1" w:line="240" w:lineRule="auto"/>
        <w:rPr>
          <w:rFonts w:ascii="Times New Roman" w:eastAsia="Times New Roman" w:hAnsi="Times New Roman" w:cs="Times New Roman"/>
          <w:sz w:val="24"/>
          <w:szCs w:val="24"/>
        </w:rPr>
      </w:pPr>
      <w:r w:rsidRPr="00D33108">
        <w:rPr>
          <w:rFonts w:ascii="Times New Roman" w:eastAsia="Times New Roman" w:hAnsi="Times New Roman" w:cs="Times New Roman"/>
          <w:noProof/>
          <w:sz w:val="24"/>
          <w:szCs w:val="24"/>
        </w:rPr>
        <w:drawing>
          <wp:inline distT="0" distB="0" distL="0" distR="0" wp14:anchorId="1000BCA2" wp14:editId="07514AAD">
            <wp:extent cx="6048375" cy="2505075"/>
            <wp:effectExtent l="0" t="0" r="9525" b="9525"/>
            <wp:docPr id="112" name="Picture 112" descr="C:\Users\arta.kodra\Downloads\Gini coefficient of equivalised disposable inc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rta.kodra\Downloads\Gini coefficient of equivalised disposable income.pn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6073162" cy="2515341"/>
                    </a:xfrm>
                    <a:prstGeom prst="rect">
                      <a:avLst/>
                    </a:prstGeom>
                    <a:noFill/>
                    <a:ln>
                      <a:noFill/>
                    </a:ln>
                  </pic:spPr>
                </pic:pic>
              </a:graphicData>
            </a:graphic>
          </wp:inline>
        </w:drawing>
      </w:r>
    </w:p>
    <w:p w:rsidR="00CA1C73" w:rsidRPr="00D33108" w:rsidRDefault="00CA1C73" w:rsidP="0087111E">
      <w:pPr>
        <w:shd w:val="clear" w:color="auto" w:fill="DEEAF6" w:themeFill="accent1" w:themeFillTint="33"/>
        <w:spacing w:after="0" w:line="240" w:lineRule="auto"/>
        <w:outlineLvl w:val="0"/>
        <w:rPr>
          <w:rFonts w:ascii="Times New Roman" w:eastAsia="Times New Roman" w:hAnsi="Times New Roman" w:cs="Times New Roman"/>
          <w:b/>
          <w:bCs/>
          <w:spacing w:val="-4"/>
          <w:kern w:val="36"/>
          <w:sz w:val="24"/>
          <w:szCs w:val="24"/>
        </w:rPr>
      </w:pPr>
      <w:r w:rsidRPr="00D33108">
        <w:rPr>
          <w:rFonts w:ascii="Times New Roman" w:eastAsia="Times New Roman" w:hAnsi="Times New Roman" w:cs="Times New Roman"/>
          <w:b/>
          <w:bCs/>
          <w:spacing w:val="-4"/>
          <w:kern w:val="36"/>
          <w:sz w:val="24"/>
          <w:szCs w:val="24"/>
        </w:rPr>
        <w:t>Varferia energjitike</w:t>
      </w:r>
    </w:p>
    <w:p w:rsidR="00CA1C73" w:rsidRPr="00D33108" w:rsidRDefault="00CA1C73" w:rsidP="00CA1C73">
      <w:pPr>
        <w:spacing w:before="100" w:beforeAutospacing="1" w:after="100" w:afterAutospacing="1" w:line="240" w:lineRule="auto"/>
        <w:rPr>
          <w:rFonts w:ascii="Times New Roman" w:eastAsia="Times New Roman" w:hAnsi="Times New Roman" w:cs="Times New Roman"/>
          <w:i/>
          <w:sz w:val="24"/>
          <w:szCs w:val="24"/>
          <w:shd w:val="clear" w:color="auto" w:fill="FFFFFF"/>
          <w:lang w:val="fr-CA" w:eastAsia="ar-SA"/>
        </w:rPr>
      </w:pPr>
      <w:r w:rsidRPr="00D33108">
        <w:rPr>
          <w:rFonts w:ascii="Times New Roman" w:eastAsia="Times New Roman" w:hAnsi="Times New Roman" w:cs="Times New Roman"/>
          <w:i/>
          <w:sz w:val="24"/>
          <w:szCs w:val="24"/>
          <w:shd w:val="clear" w:color="auto" w:fill="FFFFFF"/>
          <w:lang w:val="fr-CA" w:eastAsia="ar-SA"/>
        </w:rPr>
        <w:t>Indikatori  tregon numrin e familjeve që nuk janë në gjendje ta mbajnë shtëpinë e tyre të ngrohtë në mënyrë adekuate, si pjesë e totalit të familjeve (varfëri energjitike). Ai bazohet në anketën vjetore të të ardhurave dhe kushteve të jetesës të Bashkimit Evropian (EU-SILC).</w:t>
      </w:r>
    </w:p>
    <w:p w:rsidR="006742DC" w:rsidRPr="00D33108" w:rsidRDefault="00CA1C73" w:rsidP="006742DC">
      <w:pPr>
        <w:rPr>
          <w:rFonts w:ascii="Times New Roman" w:eastAsia="Times New Roman" w:hAnsi="Times New Roman" w:cs="Times New Roman"/>
          <w:sz w:val="24"/>
          <w:szCs w:val="24"/>
          <w:lang w:val="fr-CA" w:eastAsia="ar-SA"/>
        </w:rPr>
      </w:pPr>
      <w:r w:rsidRPr="00D33108">
        <w:rPr>
          <w:rFonts w:ascii="Times New Roman" w:eastAsia="Times New Roman" w:hAnsi="Times New Roman" w:cs="Times New Roman"/>
          <w:noProof/>
          <w:sz w:val="24"/>
          <w:szCs w:val="24"/>
        </w:rPr>
        <w:lastRenderedPageBreak/>
        <w:drawing>
          <wp:inline distT="0" distB="0" distL="0" distR="0" wp14:anchorId="54AA8EB0" wp14:editId="2E30C67D">
            <wp:extent cx="5943600" cy="2630160"/>
            <wp:effectExtent l="0" t="0" r="0" b="0"/>
            <wp:docPr id="113" name="Picture 113" descr="C:\Users\arta.kodra\Downloads\Energy pover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ta.kodra\Downloads\Energy poverty.png"/>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943600" cy="2630160"/>
                    </a:xfrm>
                    <a:prstGeom prst="rect">
                      <a:avLst/>
                    </a:prstGeom>
                    <a:noFill/>
                    <a:ln>
                      <a:noFill/>
                    </a:ln>
                  </pic:spPr>
                </pic:pic>
              </a:graphicData>
            </a:graphic>
          </wp:inline>
        </w:drawing>
      </w:r>
    </w:p>
    <w:p w:rsidR="00CA1C73" w:rsidRPr="00D33108" w:rsidRDefault="00CA1C73" w:rsidP="00CA1C73">
      <w:pPr>
        <w:shd w:val="clear" w:color="auto" w:fill="FFFFFF"/>
        <w:spacing w:after="240" w:line="240" w:lineRule="auto"/>
        <w:jc w:val="both"/>
        <w:rPr>
          <w:rFonts w:ascii="Times New Roman" w:eastAsia="Times New Roman" w:hAnsi="Times New Roman" w:cs="Times New Roman"/>
          <w:b/>
          <w:bCs/>
          <w:sz w:val="24"/>
          <w:szCs w:val="24"/>
        </w:rPr>
      </w:pPr>
    </w:p>
    <w:p w:rsidR="00CA1C73" w:rsidRPr="00D33108" w:rsidRDefault="00CA1C73" w:rsidP="004D460A">
      <w:pPr>
        <w:numPr>
          <w:ilvl w:val="0"/>
          <w:numId w:val="14"/>
        </w:numPr>
        <w:shd w:val="clear" w:color="auto" w:fill="FFFFFF"/>
        <w:suppressAutoHyphens/>
        <w:spacing w:before="120" w:after="240" w:line="240" w:lineRule="auto"/>
        <w:jc w:val="both"/>
        <w:rPr>
          <w:rFonts w:ascii="Times New Roman" w:eastAsia="Times New Roman" w:hAnsi="Times New Roman" w:cs="Times New Roman"/>
          <w:sz w:val="24"/>
          <w:szCs w:val="24"/>
        </w:rPr>
      </w:pPr>
      <w:r w:rsidRPr="00D33108">
        <w:rPr>
          <w:rFonts w:ascii="Times New Roman" w:eastAsia="Times New Roman" w:hAnsi="Times New Roman" w:cs="Times New Roman"/>
          <w:sz w:val="24"/>
          <w:szCs w:val="24"/>
        </w:rPr>
        <w:t>Politikat ekonomike tregojnë përparim, por investimet e gjelbra mbeten të kufizuara</w:t>
      </w:r>
    </w:p>
    <w:p w:rsidR="00CA1C73" w:rsidRPr="00D33108" w:rsidRDefault="00CA1C73" w:rsidP="00CA1C73">
      <w:pPr>
        <w:shd w:val="clear" w:color="auto" w:fill="FFFFFF"/>
        <w:spacing w:after="240" w:line="240" w:lineRule="auto"/>
        <w:jc w:val="both"/>
        <w:rPr>
          <w:rFonts w:ascii="Times New Roman" w:eastAsia="Times New Roman" w:hAnsi="Times New Roman" w:cs="Times New Roman"/>
          <w:sz w:val="24"/>
          <w:szCs w:val="24"/>
        </w:rPr>
      </w:pPr>
      <w:r w:rsidRPr="00D33108">
        <w:rPr>
          <w:rFonts w:ascii="Times New Roman" w:eastAsia="Times New Roman" w:hAnsi="Times New Roman" w:cs="Times New Roman"/>
          <w:sz w:val="24"/>
          <w:szCs w:val="24"/>
        </w:rPr>
        <w:t>Shqipëria ka bërë përparim në përafrimin e politikave ekonomike me standardet e BE-së, veçanërisht në inovacionin mjedisor. Aktiviteti i inovacionit midis kompanive me 10 ose më shumë punonjës është rritur nga 36.6% (2018–2020) në 42.9% (2020–2022). Të ardhurat nga taksat mjedisore janë rritur në përgjithësi, por kanë rënë si përqindje e të ardhurave totale që nga viti 2014, duke theksuar nevojën për stimuj të synuar për rritjen e gjelbër.</w:t>
      </w:r>
    </w:p>
    <w:p w:rsidR="00CA1C73" w:rsidRPr="00D33108" w:rsidRDefault="00CA1C73" w:rsidP="004D460A">
      <w:pPr>
        <w:numPr>
          <w:ilvl w:val="0"/>
          <w:numId w:val="15"/>
        </w:numPr>
        <w:shd w:val="clear" w:color="auto" w:fill="FFFFFF"/>
        <w:suppressAutoHyphens/>
        <w:spacing w:before="120" w:after="240" w:line="240" w:lineRule="auto"/>
        <w:jc w:val="both"/>
        <w:rPr>
          <w:rFonts w:ascii="Times New Roman" w:eastAsia="Times New Roman" w:hAnsi="Times New Roman" w:cs="Times New Roman"/>
          <w:sz w:val="24"/>
          <w:szCs w:val="24"/>
        </w:rPr>
      </w:pPr>
      <w:r w:rsidRPr="00D33108">
        <w:rPr>
          <w:rFonts w:ascii="Times New Roman" w:eastAsia="Times New Roman" w:hAnsi="Times New Roman" w:cs="Times New Roman"/>
          <w:sz w:val="24"/>
          <w:szCs w:val="24"/>
        </w:rPr>
        <w:t xml:space="preserve">Investimet në energjinë e rinovueshme janë të pamjaftueshme. </w:t>
      </w:r>
    </w:p>
    <w:p w:rsidR="00CA1C73" w:rsidRPr="00D33108" w:rsidRDefault="00CA1C73" w:rsidP="00CA1C73">
      <w:pPr>
        <w:shd w:val="clear" w:color="auto" w:fill="FFFFFF"/>
        <w:spacing w:after="240" w:line="240" w:lineRule="auto"/>
        <w:jc w:val="both"/>
        <w:rPr>
          <w:rFonts w:ascii="Times New Roman" w:eastAsia="Times New Roman" w:hAnsi="Times New Roman" w:cs="Times New Roman"/>
          <w:sz w:val="24"/>
          <w:szCs w:val="24"/>
        </w:rPr>
      </w:pPr>
      <w:r w:rsidRPr="00D33108">
        <w:rPr>
          <w:rFonts w:ascii="Times New Roman" w:eastAsia="Times New Roman" w:hAnsi="Times New Roman" w:cs="Times New Roman"/>
          <w:sz w:val="24"/>
          <w:szCs w:val="24"/>
        </w:rPr>
        <w:t>Përmbushja e objektivave të BE-së kërkon projekte të reja hidroelektrike, diellore, biomase dhe eolike, duke përfshirë skema të propozuara si marrëveshjet e blerjes së energjisë dhe kushtet e favorshme të kredisë (p.sh., afate maturimi 7 deri në 10-vjeçare, periudha mospagimi 2-vjeçare). Ndërsa vlera e shtuar bruto e mallrave dhe shërbimeve ra nga 6.0% (2021) në 4.4% (2022), kontributi i furnizimit me ujë dhe menaxhimit të mbeturinave u rrit pak.</w:t>
      </w:r>
    </w:p>
    <w:p w:rsidR="00CA1C73" w:rsidRPr="00D33108" w:rsidRDefault="00CA1C73" w:rsidP="004D460A">
      <w:pPr>
        <w:numPr>
          <w:ilvl w:val="0"/>
          <w:numId w:val="15"/>
        </w:numPr>
        <w:shd w:val="clear" w:color="auto" w:fill="FFFFFF"/>
        <w:suppressAutoHyphens/>
        <w:spacing w:before="120" w:after="240" w:line="240" w:lineRule="auto"/>
        <w:jc w:val="both"/>
        <w:rPr>
          <w:rFonts w:ascii="Times New Roman" w:eastAsia="Times New Roman" w:hAnsi="Times New Roman" w:cs="Times New Roman"/>
          <w:sz w:val="24"/>
          <w:szCs w:val="24"/>
        </w:rPr>
      </w:pPr>
      <w:r w:rsidRPr="00D33108">
        <w:rPr>
          <w:rFonts w:ascii="Times New Roman" w:eastAsia="Times New Roman" w:hAnsi="Times New Roman" w:cs="Times New Roman"/>
          <w:sz w:val="24"/>
          <w:szCs w:val="24"/>
        </w:rPr>
        <w:t>Angazhimi i komunitetit të biznesit në tranzicionin e gjelbër të Shqipërisë</w:t>
      </w:r>
    </w:p>
    <w:p w:rsidR="00CA1C73" w:rsidRPr="00D33108" w:rsidRDefault="00CA1C73" w:rsidP="00CA1C73">
      <w:pPr>
        <w:pStyle w:val="NormalWeb"/>
        <w:shd w:val="clear" w:color="auto" w:fill="FFFFFF"/>
        <w:spacing w:before="0" w:beforeAutospacing="0" w:after="240" w:afterAutospacing="0"/>
        <w:jc w:val="both"/>
      </w:pPr>
      <w:r w:rsidRPr="00D33108">
        <w:rPr>
          <w:lang w:val="fr-CA" w:eastAsia="ar-SA"/>
        </w:rPr>
        <w:t>Niveli i angazhimit të komunitetit të biznesit në Shqipëri është i paqëndrueshëm. Firmat më të mëdha po sjellin inovacion, ndërsa ndërmarrjet e vogla dhe të mesme (të cilat përbëjnë 82.1% të punësimit) përballen me kufizime burimesh. Sektorët e ndërtimit dhe prodhimit po përmirësojnë efikasitetin e tyre të materialeve, gjë që reflektohet në produktivitet më të mirë të materialeve dhe konsum të reduktuar të materialeve për frymë. Vetëm 4.3% e ndërmarrjeve inovative morën mbështetje financiare publike, duke</w:t>
      </w:r>
      <w:r w:rsidRPr="00D33108">
        <w:t xml:space="preserve"> nënvizuar nevojën për lehtësim të zgjeruar tatimor dhe partneritete biznes-kërkim. Rritja e shpenzimeve publike për arsimin e lartë mbështet inovacionin, por kërkon përputhje të mëtejshme me objektivat e gjelbra.</w:t>
      </w:r>
    </w:p>
    <w:p w:rsidR="00CA1C73" w:rsidRPr="00D33108" w:rsidRDefault="00CA1C73" w:rsidP="004D460A">
      <w:pPr>
        <w:numPr>
          <w:ilvl w:val="0"/>
          <w:numId w:val="16"/>
        </w:numPr>
        <w:shd w:val="clear" w:color="auto" w:fill="FFFFFF"/>
        <w:suppressAutoHyphens/>
        <w:spacing w:before="120" w:after="240" w:line="240" w:lineRule="auto"/>
        <w:jc w:val="both"/>
        <w:rPr>
          <w:rFonts w:ascii="Times New Roman" w:eastAsia="Times New Roman" w:hAnsi="Times New Roman" w:cs="Times New Roman"/>
          <w:sz w:val="24"/>
          <w:szCs w:val="24"/>
        </w:rPr>
      </w:pPr>
      <w:r w:rsidRPr="00D33108">
        <w:rPr>
          <w:rFonts w:ascii="Times New Roman" w:eastAsia="Times New Roman" w:hAnsi="Times New Roman" w:cs="Times New Roman"/>
          <w:sz w:val="24"/>
          <w:szCs w:val="24"/>
        </w:rPr>
        <w:t>Ndarja urbane-rurale rrezikon një tranzicion të pabarabartë</w:t>
      </w:r>
    </w:p>
    <w:p w:rsidR="00CA1C73" w:rsidRPr="00D33108" w:rsidRDefault="00CA1C73" w:rsidP="00CA1C73">
      <w:pPr>
        <w:spacing w:before="100" w:beforeAutospacing="1" w:after="100" w:afterAutospacing="1" w:line="240" w:lineRule="auto"/>
        <w:rPr>
          <w:rFonts w:ascii="Times New Roman" w:eastAsia="Times New Roman" w:hAnsi="Times New Roman" w:cs="Times New Roman"/>
          <w:sz w:val="24"/>
          <w:szCs w:val="24"/>
        </w:rPr>
      </w:pPr>
      <w:r w:rsidRPr="00D33108">
        <w:rPr>
          <w:rFonts w:ascii="Times New Roman" w:eastAsia="Times New Roman" w:hAnsi="Times New Roman" w:cs="Times New Roman"/>
          <w:sz w:val="24"/>
          <w:szCs w:val="24"/>
        </w:rPr>
        <w:lastRenderedPageBreak/>
        <w:t>Shqipëria përballet me sfida në sigurimin që tranzicioni i gjelbër të përfitojë të gjitha popullatat. Varfëria energjetike është e përhapur, veçanërisht në zonat rurale, me grupet vulnerabël që preken në mënyrë disproporcionale nga kostot e tranzicionit. Ndërsa po zbatohen përfitimet në para dhe subvencionet për efikasitetin e energjisë, plani kombëtar i energjisë dhe klimës (NECP) i Shqipërisë thekson mungesën e politikave të dedikuara për varfërinë energjetike. Zgjerimi i masave gjithëpërfshirëse do të jetë thelbësor për një tranzicion të drejtë dhe të qëndrueshëm.</w:t>
      </w:r>
    </w:p>
    <w:p w:rsidR="00CA1C73" w:rsidRPr="00D33108" w:rsidRDefault="00CA1C73" w:rsidP="00CA1C73">
      <w:pPr>
        <w:suppressAutoHyphens/>
        <w:spacing w:before="120" w:after="180" w:line="276" w:lineRule="auto"/>
        <w:jc w:val="both"/>
        <w:rPr>
          <w:rFonts w:ascii="Times New Roman" w:eastAsia="Times New Roman" w:hAnsi="Times New Roman" w:cs="Times New Roman"/>
          <w:sz w:val="24"/>
          <w:szCs w:val="24"/>
          <w:lang w:val="fr-CA" w:eastAsia="ar-SA"/>
        </w:rPr>
      </w:pPr>
    </w:p>
    <w:p w:rsidR="00CA1C73" w:rsidRPr="00D33108" w:rsidRDefault="00CA1C73" w:rsidP="0087111E">
      <w:pPr>
        <w:shd w:val="clear" w:color="auto" w:fill="FFFFFF"/>
        <w:suppressAutoHyphens/>
        <w:spacing w:before="100" w:beforeAutospacing="1" w:after="100" w:afterAutospacing="1" w:line="240" w:lineRule="auto"/>
        <w:contextualSpacing/>
        <w:jc w:val="both"/>
        <w:outlineLvl w:val="2"/>
        <w:rPr>
          <w:rFonts w:ascii="Times New Roman" w:eastAsia="Times New Roman" w:hAnsi="Times New Roman" w:cs="Times New Roman"/>
          <w:b/>
          <w:bCs/>
          <w:spacing w:val="-4"/>
          <w:sz w:val="24"/>
          <w:szCs w:val="24"/>
        </w:rPr>
      </w:pPr>
      <w:r w:rsidRPr="00D33108">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57216" behindDoc="0" locked="0" layoutInCell="1" allowOverlap="1" wp14:anchorId="203B6701" wp14:editId="21EB50AE">
                <wp:simplePos x="0" y="0"/>
                <wp:positionH relativeFrom="margin">
                  <wp:align>right</wp:align>
                </wp:positionH>
                <wp:positionV relativeFrom="paragraph">
                  <wp:posOffset>228600</wp:posOffset>
                </wp:positionV>
                <wp:extent cx="3886200" cy="2133600"/>
                <wp:effectExtent l="0" t="0" r="0" b="0"/>
                <wp:wrapNone/>
                <wp:docPr id="114" name="Rectangle 114"/>
                <wp:cNvGraphicFramePr/>
                <a:graphic xmlns:a="http://schemas.openxmlformats.org/drawingml/2006/main">
                  <a:graphicData uri="http://schemas.microsoft.com/office/word/2010/wordprocessingShape">
                    <wps:wsp>
                      <wps:cNvSpPr/>
                      <wps:spPr>
                        <a:xfrm>
                          <a:off x="0" y="0"/>
                          <a:ext cx="3886200" cy="2133600"/>
                        </a:xfrm>
                        <a:prstGeom prst="rect">
                          <a:avLst/>
                        </a:prstGeom>
                        <a:noFill/>
                        <a:ln w="12700" cap="flat" cmpd="sng" algn="ctr">
                          <a:noFill/>
                          <a:prstDash val="solid"/>
                          <a:miter lim="800000"/>
                        </a:ln>
                        <a:effectLst/>
                      </wps:spPr>
                      <wps:txbx>
                        <w:txbxContent>
                          <w:p w:rsidR="0064059F" w:rsidRDefault="0064059F" w:rsidP="0087111E">
                            <w:pPr>
                              <w:jc w:val="both"/>
                            </w:pPr>
                            <w:r w:rsidRPr="0087111E">
                              <w:rPr>
                                <w:rFonts w:ascii="Times New Roman" w:hAnsi="Times New Roman" w:cs="Times New Roman"/>
                                <w:sz w:val="24"/>
                              </w:rPr>
                              <w:t>Me nënshkrimin e Axhendës së Gjelbër për Ballkanin Perëndimor, Shqipëria shprehu interesin e saj për të ndjekur strategjinë e BE-së "Nga Ferma në Pirun", duke siguruar kështu që bujqësia, peshkimi dhe akuakultura të mund të kontribuojnë siç duhet në qëllimet e legjislacionit të BE-së. Një fokus i veçantë i kushtohet përdorimit të pesticideve dhe antimikrobikëve, uljes së plehrave të tepërta, rritjes së përdorimit të bujqësisë organike dhe përmirësimit të mirëqenies së kafshëve dhe mbrojtjes së</w:t>
                            </w:r>
                            <w:r w:rsidRPr="0087111E">
                              <w:rPr>
                                <w:rFonts w:ascii="Book Antiqua" w:hAnsi="Book Antiqua" w:cs="Arial"/>
                                <w:sz w:val="24"/>
                              </w:rPr>
                              <w:t xml:space="preserve"> </w:t>
                            </w:r>
                            <w:r w:rsidRPr="0087111E">
                              <w:rPr>
                                <w:rFonts w:ascii="Times New Roman" w:hAnsi="Times New Roman" w:cs="Times New Roman"/>
                                <w:color w:val="3D5265"/>
                                <w:sz w:val="24"/>
                              </w:rPr>
                              <w:t>biodiversitetit.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B6701" id="Rectangle 114" o:spid="_x0000_s1111" style="position:absolute;left:0;text-align:left;margin-left:254.8pt;margin-top:18pt;width:306pt;height:168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" filled="f" stroked="f" strokeweight="1pt">
                <v:textbox>
                  <w:txbxContent>
                    <w:p w:rsidR="0064059F" w:rsidRDefault="0064059F" w:rsidP="0087111E">
                      <w:pPr>
                        <w:jc w:val="both"/>
                      </w:pPr>
                      <w:r w:rsidRPr="0087111E">
                        <w:rPr>
                          <w:rFonts w:ascii="Times New Roman" w:hAnsi="Times New Roman" w:cs="Times New Roman"/>
                          <w:sz w:val="24"/>
                        </w:rPr>
                        <w:t>Me nënshkrimin e Axhendës së Gjelbër për Ballkanin Perëndimor, Shqipëria shprehu interesin e saj për të ndjekur strategjinë e BE-së "Nga Ferma në Pirun", duke siguruar kështu që bujqësia, peshkimi dhe akuakultura të mund të kontribuojnë siç duhet në qëllimet e legjislacionit të BE-së. Një fokus i veçantë i kushtohet përdorimit të pesticideve dhe antimikrobikëve, uljes së plehrave të tepërta, rritjes së përdorimit të bujqësisë organike dhe përmirësimit të mirëqenies së kafshëve dhe mbrojtjes së</w:t>
                      </w:r>
                      <w:r w:rsidRPr="0087111E">
                        <w:rPr>
                          <w:rFonts w:ascii="Book Antiqua" w:hAnsi="Book Antiqua" w:cs="Arial"/>
                          <w:sz w:val="24"/>
                        </w:rPr>
                        <w:t xml:space="preserve"> </w:t>
                      </w:r>
                      <w:r w:rsidRPr="0087111E">
                        <w:rPr>
                          <w:rFonts w:ascii="Times New Roman" w:hAnsi="Times New Roman" w:cs="Times New Roman"/>
                          <w:color w:val="3D5265"/>
                          <w:sz w:val="24"/>
                        </w:rPr>
                        <w:t>biodiversitetit.</w:t>
                      </w:r>
                    </w:p>
                  </w:txbxContent>
                </v:textbox>
                <w10:wrap anchorx="margin"/>
              </v:rect>
            </w:pict>
          </mc:Fallback>
        </mc:AlternateContent>
      </w:r>
      <w:r w:rsidRPr="00D33108">
        <w:rPr>
          <w:rFonts w:ascii="Times New Roman" w:eastAsia="Times New Roman" w:hAnsi="Times New Roman" w:cs="Times New Roman"/>
          <w:b/>
          <w:bCs/>
          <w:spacing w:val="-4"/>
          <w:sz w:val="24"/>
          <w:szCs w:val="24"/>
        </w:rPr>
        <w:t>Sistemi i ushqimit</w:t>
      </w:r>
    </w:p>
    <w:p w:rsidR="00CA1C73" w:rsidRPr="00D33108" w:rsidRDefault="00CA1C73" w:rsidP="00CA1C73">
      <w:pPr>
        <w:shd w:val="clear" w:color="auto" w:fill="FFFFFF"/>
        <w:spacing w:after="240" w:line="240" w:lineRule="auto"/>
        <w:rPr>
          <w:rFonts w:ascii="Times New Roman" w:eastAsia="Times New Roman" w:hAnsi="Times New Roman" w:cs="Times New Roman"/>
          <w:sz w:val="24"/>
          <w:szCs w:val="24"/>
        </w:rPr>
      </w:pPr>
      <w:r w:rsidRPr="00D33108">
        <w:rPr>
          <w:rFonts w:ascii="Times New Roman" w:eastAsia="Times New Roman" w:hAnsi="Times New Roman" w:cs="Times New Roman"/>
          <w:noProof/>
          <w:sz w:val="24"/>
          <w:szCs w:val="24"/>
        </w:rPr>
        <w:drawing>
          <wp:inline distT="0" distB="0" distL="0" distR="0" wp14:anchorId="5B82E958" wp14:editId="483EAF68">
            <wp:extent cx="1457325" cy="1590675"/>
            <wp:effectExtent l="0" t="0" r="9525" b="9525"/>
            <wp:docPr id="115" name="Picture 115" descr="fo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od.pn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457325" cy="1590675"/>
                    </a:xfrm>
                    <a:prstGeom prst="rect">
                      <a:avLst/>
                    </a:prstGeom>
                    <a:noFill/>
                    <a:ln>
                      <a:noFill/>
                    </a:ln>
                  </pic:spPr>
                </pic:pic>
              </a:graphicData>
            </a:graphic>
          </wp:inline>
        </w:drawing>
      </w:r>
      <w:r w:rsidRPr="00D33108">
        <w:rPr>
          <w:rFonts w:ascii="Times New Roman" w:eastAsia="Times New Roman" w:hAnsi="Times New Roman" w:cs="Times New Roman"/>
          <w:sz w:val="24"/>
          <w:szCs w:val="24"/>
        </w:rPr>
        <w:t xml:space="preserve">  </w:t>
      </w:r>
    </w:p>
    <w:p w:rsidR="00CA1C73" w:rsidRPr="00D33108" w:rsidRDefault="00CA1C73" w:rsidP="00CA1C73">
      <w:pPr>
        <w:shd w:val="clear" w:color="auto" w:fill="FFFFFF"/>
        <w:spacing w:after="240" w:line="240" w:lineRule="auto"/>
        <w:rPr>
          <w:rFonts w:ascii="Times New Roman" w:eastAsia="Times New Roman" w:hAnsi="Times New Roman" w:cs="Times New Roman"/>
          <w:sz w:val="24"/>
          <w:szCs w:val="24"/>
        </w:rPr>
      </w:pPr>
    </w:p>
    <w:p w:rsidR="00D33108" w:rsidRPr="00D33108" w:rsidRDefault="00D33108" w:rsidP="00CA1C73">
      <w:pPr>
        <w:shd w:val="clear" w:color="auto" w:fill="FFFFFF"/>
        <w:spacing w:after="240" w:line="240" w:lineRule="auto"/>
        <w:jc w:val="both"/>
        <w:rPr>
          <w:rFonts w:ascii="Times New Roman" w:eastAsia="Times New Roman" w:hAnsi="Times New Roman" w:cs="Times New Roman"/>
          <w:sz w:val="24"/>
          <w:szCs w:val="24"/>
        </w:rPr>
      </w:pPr>
    </w:p>
    <w:p w:rsidR="00CA1C73" w:rsidRPr="00D33108" w:rsidRDefault="00CA1C73" w:rsidP="00CA1C73">
      <w:pPr>
        <w:shd w:val="clear" w:color="auto" w:fill="FFFFFF"/>
        <w:spacing w:after="240" w:line="240" w:lineRule="auto"/>
        <w:jc w:val="both"/>
        <w:rPr>
          <w:rFonts w:ascii="Times New Roman" w:eastAsia="Times New Roman" w:hAnsi="Times New Roman" w:cs="Times New Roman"/>
          <w:sz w:val="24"/>
          <w:szCs w:val="24"/>
        </w:rPr>
      </w:pPr>
      <w:r w:rsidRPr="00D33108">
        <w:rPr>
          <w:rFonts w:ascii="Times New Roman" w:eastAsia="Times New Roman" w:hAnsi="Times New Roman" w:cs="Times New Roman"/>
          <w:sz w:val="24"/>
          <w:szCs w:val="24"/>
        </w:rPr>
        <w:t>Ndërsa Shqipëria i</w:t>
      </w:r>
      <w:r w:rsidRPr="00D33108">
        <w:rPr>
          <w:rFonts w:ascii="Times New Roman" w:eastAsia="Times New Roman" w:hAnsi="Times New Roman" w:cs="Times New Roman"/>
          <w:sz w:val="24"/>
          <w:szCs w:val="24"/>
          <w:shd w:val="clear" w:color="auto" w:fill="FFFFFF"/>
        </w:rPr>
        <w:t xml:space="preserve"> kombëtarizoi</w:t>
      </w:r>
      <w:r w:rsidRPr="00D33108">
        <w:rPr>
          <w:rFonts w:ascii="Times New Roman" w:eastAsia="Times New Roman" w:hAnsi="Times New Roman" w:cs="Times New Roman"/>
          <w:sz w:val="24"/>
          <w:szCs w:val="24"/>
        </w:rPr>
        <w:t xml:space="preserve"> të gjitha objektivat e zhvillimit të qëndrueshëm (OZHQ) dhe shumicën dërrmuese të objektivave të OZHQ-ve, integrimi i konceptit të sistemeve të qëndrueshme ushqimore në planet për zbatimin e OZHQ-ve do ta ndihmojë Shqipërinë të zbatojë të gjitha aspektet e Axhendës 2030.</w:t>
      </w:r>
    </w:p>
    <w:p w:rsidR="00CA1C73" w:rsidRPr="00D33108" w:rsidRDefault="00CA1C73" w:rsidP="00CA1C73">
      <w:pPr>
        <w:shd w:val="clear" w:color="auto" w:fill="FFFFFF"/>
        <w:spacing w:after="240" w:line="240" w:lineRule="auto"/>
        <w:rPr>
          <w:rFonts w:ascii="Times New Roman" w:eastAsia="Times New Roman" w:hAnsi="Times New Roman" w:cs="Times New Roman"/>
          <w:sz w:val="24"/>
          <w:szCs w:val="24"/>
        </w:rPr>
      </w:pPr>
      <w:r w:rsidRPr="00D33108">
        <w:rPr>
          <w:rFonts w:ascii="Times New Roman" w:eastAsia="Times New Roman" w:hAnsi="Times New Roman" w:cs="Times New Roman"/>
          <w:sz w:val="24"/>
          <w:szCs w:val="24"/>
        </w:rPr>
        <w:t>Dialogët kombëtarë të Zgjidhjeve të Sistemeve Ushqimore përcaktuan trendet kryesore që ndikojnë në zhvillimin e sistemeve të qëndrueshme ushqimore në vend deri në vitin 2030. Strategjia kombëtare e sigurisë ushqimore për periudhën 2023–2027 përcakton objektivat për përmirësimin e sistemit të sigurisë ushqimore. Për të forcuar sistemin rregullator agro-ushqimor, duhet të adresohen një numër sfidash specifike, duke përfshirë (i) disponueshmërinë e të dhënave për të informuar monitorimin dhe mbikëqyrjen e bazuar në rrezik, (ii) dobësitë në sistemet e sigurisë ushqimore dhe shëndetit të kafshëve në lidhje me provat shkencore, (iii) infrastrukturën e nevojshme, (iv) trajnimin dhe burimet njerëzore të kërkuara, (v) zhvillimin e kulturës së sigurisë ushqimore dhe (vi) rregulloret përkatëse. Siguria e ofruar konsumatorëve shqiptarë në aspektin e ushqimit është rritur ndjeshëm. Në këtë kontekst, standardet e respektuara nga rrjeti i laboratorëve të sigurisë ushqimore janë përafruar më shumë me standardet e BE-së, dhe numri i laboratorëve të analizave dhe të akredituar është rritur.</w:t>
      </w:r>
    </w:p>
    <w:p w:rsidR="00CA1C73" w:rsidRPr="00D33108" w:rsidRDefault="00CA1C73" w:rsidP="00CA1C73">
      <w:pPr>
        <w:shd w:val="clear" w:color="auto" w:fill="FFFFFF"/>
        <w:spacing w:after="240" w:line="240" w:lineRule="auto"/>
        <w:jc w:val="both"/>
        <w:rPr>
          <w:rFonts w:ascii="Times New Roman" w:eastAsia="Times New Roman" w:hAnsi="Times New Roman" w:cs="Times New Roman"/>
          <w:sz w:val="24"/>
          <w:szCs w:val="24"/>
        </w:rPr>
      </w:pPr>
      <w:r w:rsidRPr="00D33108">
        <w:rPr>
          <w:rFonts w:ascii="Times New Roman" w:eastAsia="Times New Roman" w:hAnsi="Times New Roman" w:cs="Times New Roman"/>
          <w:sz w:val="24"/>
          <w:szCs w:val="24"/>
        </w:rPr>
        <w:t xml:space="preserve">Që nga viti 2017, bujqësia, zhvillimi rural dhe peshkimi janë mbështetur përmes skemave kombëtare. Këto skema kanë ndihmuar në rritjen e prodhimit të bagëtive dhe mjaltit, përmes pagesave për kokë (bagëti) ose koshere bletësh. Ato gjithashtu kanë ndihmuar në rritjen e sipërfaqeve të mbjella me kultura me vlerë të lartë dhe me potencial për eksport, si dhe sipërfaqes së mbuluar nga serrat. Së fundmi, skemat kanë siguruar gjithashtu pajisje më të mira </w:t>
      </w:r>
      <w:r w:rsidRPr="00D33108">
        <w:rPr>
          <w:rFonts w:ascii="Times New Roman" w:eastAsia="Times New Roman" w:hAnsi="Times New Roman" w:cs="Times New Roman"/>
          <w:sz w:val="24"/>
          <w:szCs w:val="24"/>
        </w:rPr>
        <w:lastRenderedPageBreak/>
        <w:t>për flotën e peshkimit që të bëhet më efikase. Që nga viti 2021, ka qenë në fuqi zbatimi i skemës së mbështetjes për fermerët - të cilët tani mund të përdorin naftë për punime të mekanizuara në bujqësi pa paguar akcizë, taksë karboni dhe taksë qarkullimi.</w:t>
      </w:r>
      <w:r w:rsidRPr="00D33108">
        <w:rPr>
          <w:rFonts w:ascii="Times New Roman" w:eastAsia="Times New Roman" w:hAnsi="Times New Roman" w:cs="Times New Roman"/>
          <w:sz w:val="24"/>
          <w:szCs w:val="24"/>
          <w:lang w:val="fr-CA" w:eastAsia="ar-SA"/>
        </w:rPr>
        <w:t xml:space="preserve"> </w:t>
      </w:r>
      <w:r w:rsidRPr="00D33108">
        <w:rPr>
          <w:rFonts w:ascii="Times New Roman" w:eastAsia="Times New Roman" w:hAnsi="Times New Roman" w:cs="Times New Roman"/>
          <w:sz w:val="24"/>
          <w:szCs w:val="24"/>
        </w:rPr>
        <w:t>Rreth 20 000 fermerë përfituan nga kjo skemë në vitin 2021. Grupet e prodhuesve me fokus në marketingun e përbashkët të prodhimit janë më të zbatueshme dhe të përshtatshme për fazën aktuale të bujqësisë shqiptare. Aktualisht, po punohet për të përafruar kuadrin ligjor me acquis të BE-së për organizatat e prodhuesve dhe shoqatat e grupeve të prodhuesve dhe për të ofruar masa të mjaftueshme mbështetëse brenda kuadrit të Instrumentit për Ndihmë Para-Anëtarësimi në Zhvillimin Rural (IPARD). Aktivitetet bujqësore kanë një ndikim në mjedis dhe shëndetin e njeriut përmes përdorimit të kimikateve, mbeturinave dhe emetimeve. Disa nga mbeturinat nga prodhimi i produkteve shtazore dhe jo-shtazore hidhen në deponi të caktuara. Emetimet e gazrave serrë (GHG) nga sektori i bujqësisë u rritën me 4.7% midis viteve 2009 dhe 2019.</w:t>
      </w:r>
    </w:p>
    <w:p w:rsidR="00CA1C73" w:rsidRPr="00D33108" w:rsidRDefault="00C53511" w:rsidP="0087111E">
      <w:pPr>
        <w:shd w:val="clear" w:color="auto" w:fill="FFFFFF"/>
        <w:suppressAutoHyphens/>
        <w:spacing w:before="100" w:beforeAutospacing="1" w:after="100" w:afterAutospacing="1" w:line="240" w:lineRule="auto"/>
        <w:jc w:val="both"/>
        <w:outlineLvl w:val="2"/>
        <w:rPr>
          <w:rFonts w:ascii="Times New Roman" w:eastAsia="Times New Roman" w:hAnsi="Times New Roman" w:cs="Times New Roman"/>
          <w:b/>
          <w:bCs/>
          <w:spacing w:val="-4"/>
          <w:sz w:val="24"/>
          <w:szCs w:val="24"/>
        </w:rPr>
      </w:pPr>
      <w:r w:rsidRPr="00D33108">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60288" behindDoc="0" locked="0" layoutInCell="1" allowOverlap="1" wp14:anchorId="27DC0BD7" wp14:editId="3FBEEF87">
                <wp:simplePos x="0" y="0"/>
                <wp:positionH relativeFrom="margin">
                  <wp:posOffset>2000250</wp:posOffset>
                </wp:positionH>
                <wp:positionV relativeFrom="paragraph">
                  <wp:posOffset>180975</wp:posOffset>
                </wp:positionV>
                <wp:extent cx="3876675" cy="1866900"/>
                <wp:effectExtent l="0" t="0" r="9525" b="0"/>
                <wp:wrapNone/>
                <wp:docPr id="116" name="Rectangle 116"/>
                <wp:cNvGraphicFramePr/>
                <a:graphic xmlns:a="http://schemas.openxmlformats.org/drawingml/2006/main">
                  <a:graphicData uri="http://schemas.microsoft.com/office/word/2010/wordprocessingShape">
                    <wps:wsp>
                      <wps:cNvSpPr/>
                      <wps:spPr>
                        <a:xfrm>
                          <a:off x="0" y="0"/>
                          <a:ext cx="3876675" cy="1866900"/>
                        </a:xfrm>
                        <a:prstGeom prst="rect">
                          <a:avLst/>
                        </a:prstGeom>
                        <a:solidFill>
                          <a:sysClr val="window" lastClr="FFFFFF"/>
                        </a:solidFill>
                        <a:ln w="12700" cap="flat" cmpd="sng" algn="ctr">
                          <a:noFill/>
                          <a:prstDash val="solid"/>
                          <a:miter lim="800000"/>
                        </a:ln>
                        <a:effectLst/>
                      </wps:spPr>
                      <wps:txbx>
                        <w:txbxContent>
                          <w:p w:rsidR="0064059F" w:rsidRPr="00D33108" w:rsidRDefault="0064059F" w:rsidP="00D33108">
                            <w:pPr>
                              <w:spacing w:line="240" w:lineRule="auto"/>
                              <w:jc w:val="both"/>
                              <w:rPr>
                                <w:rFonts w:ascii="Times New Roman" w:hAnsi="Times New Roman" w:cs="Times New Roman"/>
                              </w:rPr>
                            </w:pPr>
                            <w:r w:rsidRPr="00D33108">
                              <w:rPr>
                                <w:rFonts w:ascii="Times New Roman" w:hAnsi="Times New Roman" w:cs="Times New Roman"/>
                                <w:sz w:val="24"/>
                              </w:rPr>
                              <w:t>Shqipëria është anëtare e Procesit të Berlinit dhe iniciativës së 6 vendeve të Ballkanit Perëndimor (WB6) dhe është e angazhuar në integrimin rajonal të tregut të energjisë elektrike si një hap drejt zbatimit të modelit të synuar evropian të energjisë elektrike. Sektori i energjisë në Shqipëri mbulon nënsektorë të tillë si siguria e furnizimit dhe infrastruktura (e energjisë), rregullimi i tregut të energjisë, efikasiteti i energjisë, hidrokarburet dhe energjia e rinovueshme.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C0BD7" id="Rectangle 116" o:spid="_x0000_s1112" style="position:absolute;left:0;text-align:left;margin-left:157.5pt;margin-top:14.25pt;width:305.25pt;height:14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" fillcolor="window" stroked="f" strokeweight="1pt">
                <v:textbox>
                  <w:txbxContent>
                    <w:p w:rsidR="0064059F" w:rsidRPr="00D33108" w:rsidRDefault="0064059F" w:rsidP="00D33108">
                      <w:pPr>
                        <w:spacing w:line="240" w:lineRule="auto"/>
                        <w:jc w:val="both"/>
                        <w:rPr>
                          <w:rFonts w:ascii="Times New Roman" w:hAnsi="Times New Roman" w:cs="Times New Roman"/>
                        </w:rPr>
                      </w:pPr>
                      <w:r w:rsidRPr="00D33108">
                        <w:rPr>
                          <w:rFonts w:ascii="Times New Roman" w:hAnsi="Times New Roman" w:cs="Times New Roman"/>
                          <w:sz w:val="24"/>
                        </w:rPr>
                        <w:t>Shqipëria është anëtare e Procesit të Berlinit dhe iniciativës së 6 vendeve të Ballkanit Perëndimor (WB6) dhe është e angazhuar në integrimin rajonal të tregut të energjisë elektrike si një hap drejt zbatimit të modelit të synuar evropian të energjisë elektrike. Sektori i energjisë në Shqipëri mbulon nënsektorë të tillë si siguria e furnizimit dhe infrastruktura (e energjisë), rregullimi i tregut të energjisë, efikasiteti i energjisë, hidrokarburet dhe energjia e rinovueshme.</w:t>
                      </w:r>
                    </w:p>
                  </w:txbxContent>
                </v:textbox>
                <w10:wrap anchorx="margin"/>
              </v:rect>
            </w:pict>
          </mc:Fallback>
        </mc:AlternateContent>
      </w:r>
      <w:r w:rsidR="00CA1C73" w:rsidRPr="00D33108">
        <w:rPr>
          <w:rFonts w:ascii="Times New Roman" w:eastAsia="Times New Roman" w:hAnsi="Times New Roman" w:cs="Times New Roman"/>
          <w:b/>
          <w:bCs/>
          <w:spacing w:val="-4"/>
          <w:sz w:val="24"/>
          <w:szCs w:val="24"/>
        </w:rPr>
        <w:t>Sistemi energjetik</w:t>
      </w:r>
    </w:p>
    <w:p w:rsidR="00CA1C73" w:rsidRPr="00D33108" w:rsidRDefault="00CA1C73" w:rsidP="00CA1C73">
      <w:pPr>
        <w:shd w:val="clear" w:color="auto" w:fill="FFFFFF"/>
        <w:spacing w:after="240" w:line="240" w:lineRule="auto"/>
        <w:rPr>
          <w:rFonts w:ascii="Times New Roman" w:eastAsia="Times New Roman" w:hAnsi="Times New Roman" w:cs="Times New Roman"/>
          <w:sz w:val="24"/>
          <w:szCs w:val="24"/>
        </w:rPr>
      </w:pPr>
      <w:r w:rsidRPr="00D33108">
        <w:rPr>
          <w:rFonts w:ascii="Times New Roman" w:eastAsia="Times New Roman" w:hAnsi="Times New Roman" w:cs="Times New Roman"/>
          <w:noProof/>
          <w:sz w:val="24"/>
          <w:szCs w:val="24"/>
        </w:rPr>
        <w:drawing>
          <wp:inline distT="0" distB="0" distL="0" distR="0" wp14:anchorId="1AF7DF45" wp14:editId="323D09A6">
            <wp:extent cx="1676400" cy="1609725"/>
            <wp:effectExtent l="0" t="0" r="0" b="9525"/>
            <wp:docPr id="117" name="Picture 117" descr="energy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nergy icon.png"/>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676400" cy="1609725"/>
                    </a:xfrm>
                    <a:prstGeom prst="rect">
                      <a:avLst/>
                    </a:prstGeom>
                    <a:noFill/>
                    <a:ln>
                      <a:noFill/>
                    </a:ln>
                  </pic:spPr>
                </pic:pic>
              </a:graphicData>
            </a:graphic>
          </wp:inline>
        </w:drawing>
      </w:r>
      <w:r w:rsidRPr="00D33108">
        <w:rPr>
          <w:rFonts w:ascii="Times New Roman" w:eastAsia="Times New Roman" w:hAnsi="Times New Roman" w:cs="Times New Roman"/>
          <w:sz w:val="24"/>
          <w:szCs w:val="24"/>
        </w:rPr>
        <w:t xml:space="preserve"> </w:t>
      </w:r>
    </w:p>
    <w:p w:rsidR="00C53511" w:rsidRPr="00C53511" w:rsidRDefault="00C53511" w:rsidP="00C53511">
      <w:pPr>
        <w:shd w:val="clear" w:color="auto" w:fill="FFFFFF"/>
        <w:spacing w:after="240" w:line="240" w:lineRule="auto"/>
        <w:jc w:val="both"/>
        <w:rPr>
          <w:rFonts w:ascii="Times New Roman" w:eastAsia="Times New Roman" w:hAnsi="Times New Roman" w:cs="Times New Roman"/>
          <w:sz w:val="24"/>
          <w:szCs w:val="24"/>
        </w:rPr>
      </w:pPr>
      <w:r w:rsidRPr="00C53511">
        <w:rPr>
          <w:rFonts w:ascii="Times New Roman" w:eastAsia="Times New Roman" w:hAnsi="Times New Roman" w:cs="Times New Roman"/>
          <w:sz w:val="24"/>
          <w:szCs w:val="24"/>
        </w:rPr>
        <w:t>Në sistemin energjetik shqiptar, niveli i përdorimit të nënprodukteve të naftës është më i lartë në transport (rreth 53.3%), e ndjekur nga energjia elektrike e prodhuar nga burimet hidrike (rreth 28.17%) dhe biomasa (druri, rreth 6.8%). Varësia aktuale nga importi është një nga arsyet kryesore pse sistemi energjetik shqiptar duhet të zhvillohet dhe të transformohet në një sistem të diversifikuar të energjisë që përdor burime alternative të energjisë, të tilla si gazi dhe burimet e rinovueshme me emetime më të ulëta të gazrave serrë (GHG).</w:t>
      </w:r>
    </w:p>
    <w:p w:rsidR="00C53511" w:rsidRPr="00C53511" w:rsidRDefault="00C53511" w:rsidP="00C53511">
      <w:pPr>
        <w:shd w:val="clear" w:color="auto" w:fill="FFFFFF"/>
        <w:spacing w:after="240" w:line="240" w:lineRule="auto"/>
        <w:jc w:val="both"/>
        <w:rPr>
          <w:rFonts w:ascii="Times New Roman" w:eastAsia="Times New Roman" w:hAnsi="Times New Roman" w:cs="Times New Roman"/>
          <w:sz w:val="24"/>
          <w:szCs w:val="24"/>
        </w:rPr>
      </w:pPr>
      <w:r w:rsidRPr="00C53511">
        <w:rPr>
          <w:rFonts w:ascii="Times New Roman" w:eastAsia="Times New Roman" w:hAnsi="Times New Roman" w:cs="Times New Roman"/>
          <w:sz w:val="24"/>
          <w:szCs w:val="24"/>
        </w:rPr>
        <w:t xml:space="preserve">Sfidat me të cilat përballet aktualisht sektori i energjisë në Shqipëri lidhen me përmbushjen e kërkesës për energji në përputhje me zhvillimet ekonomike në sektorë të ndryshëm dhe kërkesën në rritje për konsum energjie për frymë; përmirësimin e performancës kundrejt treguesit të intensitetit të energjisë; dhe rritjen e sigurisë së furnizimit me energji duke përmirësuar efikasitetin e energjisë, duke rritur kontributin e burimeve të energjisë së rinovueshme (BRE) dhe burimeve të tjera konvencionale të energjisë, si dhe duke rritur bashkëpunimin dhe integrimin rajonal. </w:t>
      </w:r>
    </w:p>
    <w:p w:rsidR="00C53511" w:rsidRPr="00C53511" w:rsidRDefault="00C53511" w:rsidP="00C53511">
      <w:pPr>
        <w:shd w:val="clear" w:color="auto" w:fill="FFFFFF"/>
        <w:spacing w:after="240" w:line="240" w:lineRule="auto"/>
        <w:jc w:val="both"/>
        <w:rPr>
          <w:rFonts w:ascii="Times New Roman" w:eastAsia="Times New Roman" w:hAnsi="Times New Roman" w:cs="Times New Roman"/>
          <w:sz w:val="24"/>
          <w:szCs w:val="24"/>
        </w:rPr>
      </w:pPr>
      <w:r w:rsidRPr="00C53511">
        <w:rPr>
          <w:rFonts w:ascii="Times New Roman" w:eastAsia="Times New Roman" w:hAnsi="Times New Roman" w:cs="Times New Roman"/>
          <w:sz w:val="24"/>
          <w:szCs w:val="24"/>
        </w:rPr>
        <w:t>Masat dhe objektivat në lidhje me këto sfida janë përcaktuar në dokumentet e politikave mbi energjinë.</w:t>
      </w:r>
    </w:p>
    <w:p w:rsidR="00C53511" w:rsidRPr="00C53511" w:rsidRDefault="00C53511" w:rsidP="00C53511">
      <w:pPr>
        <w:shd w:val="clear" w:color="auto" w:fill="FFFFFF"/>
        <w:spacing w:after="180" w:line="240" w:lineRule="auto"/>
        <w:jc w:val="both"/>
        <w:rPr>
          <w:rFonts w:ascii="Times New Roman" w:eastAsia="Times New Roman" w:hAnsi="Times New Roman" w:cs="Times New Roman"/>
          <w:sz w:val="24"/>
          <w:szCs w:val="24"/>
        </w:rPr>
      </w:pPr>
      <w:r w:rsidRPr="00C53511">
        <w:rPr>
          <w:rFonts w:ascii="Times New Roman" w:eastAsia="Times New Roman" w:hAnsi="Times New Roman" w:cs="Times New Roman"/>
          <w:sz w:val="24"/>
          <w:szCs w:val="24"/>
        </w:rPr>
        <w:t xml:space="preserve">Strategjia kombëtare e energjisë 2018–2030 synon një normë të hapur të tregut të energjisë elektrike prej 100% deri në vitin 2025, duke ndërtuar një skemë të thjeshtë dhe të zbatueshme për mbrojtjen e konsumatorëve familjarë me të ardhura të ulëta. Brenda këtij kuadri, qeveria e </w:t>
      </w:r>
      <w:r w:rsidRPr="00C53511">
        <w:rPr>
          <w:rFonts w:ascii="Times New Roman" w:eastAsia="Times New Roman" w:hAnsi="Times New Roman" w:cs="Times New Roman"/>
          <w:sz w:val="24"/>
          <w:szCs w:val="24"/>
        </w:rPr>
        <w:lastRenderedPageBreak/>
        <w:t>Shqipërisë dhe qeveria e Kosovës - me mbështetjen e Agjencisë së Shteteve të Bashkuara për Zhvillim Ndërkombëtar dhe Sekretariatit të Energjisë - po punojnë për integrimin e tregjeve të energjisë elektrike të Shqipërisë dhe Kosovës. Qeveria e Shqipërisë ka krijuar një skemë mbështetëse për BRE-të përmes tarifave nxitëse për energjinë diellore, të erës dhe të biomasës për të promovuar zonat më të përshtatshme për burime të tilla energjie dhe për të ndihmuar në arritjen e objektivave përkatëse për përdorimin e burimeve të rinovueshme. Zhvillimi i një tregu rajonal mund të çojë në një ndryshim më të madh të çmimeve gjatë ditës dhe sipas sezonit (dimër kundrejt verës). Duke optimizuar shfrytëzimin e hidrocentraleve qendrore përmes centraleve të vogla fotovoltaike diellore dhe të erës për të ndihmuar në diversifikimin e burimeve të energjisë elektrike (energji e rinovueshme diellore dhe e erës), Shqipëria do të rrisë ndjeshëm përfitimet në nivel vendi.</w:t>
      </w:r>
    </w:p>
    <w:p w:rsidR="00C53511" w:rsidRPr="00C53511" w:rsidRDefault="00C53511" w:rsidP="0087111E">
      <w:pPr>
        <w:shd w:val="clear" w:color="auto" w:fill="FFFFFF"/>
        <w:suppressAutoHyphens/>
        <w:spacing w:before="100" w:beforeAutospacing="1" w:after="100" w:afterAutospacing="1" w:line="240" w:lineRule="auto"/>
        <w:jc w:val="both"/>
        <w:outlineLvl w:val="2"/>
        <w:rPr>
          <w:rFonts w:ascii="Times New Roman" w:eastAsia="Times New Roman" w:hAnsi="Times New Roman" w:cs="Times New Roman"/>
          <w:b/>
          <w:bCs/>
          <w:spacing w:val="-4"/>
          <w:sz w:val="24"/>
          <w:szCs w:val="24"/>
        </w:rPr>
      </w:pPr>
      <w:r w:rsidRPr="00C53511">
        <w:rPr>
          <w:rFonts w:ascii="Times New Roman" w:eastAsia="Times New Roman" w:hAnsi="Times New Roman" w:cs="Times New Roman"/>
          <w:b/>
          <w:bCs/>
          <w:spacing w:val="-4"/>
          <w:sz w:val="24"/>
          <w:szCs w:val="24"/>
        </w:rPr>
        <w:t>Sistemi i lëvizshmërisë</w:t>
      </w:r>
    </w:p>
    <w:p w:rsidR="00C53511" w:rsidRPr="00C53511" w:rsidRDefault="00C53511" w:rsidP="00C53511">
      <w:pPr>
        <w:shd w:val="clear" w:color="auto" w:fill="FFFFFF"/>
        <w:spacing w:after="240" w:line="240" w:lineRule="auto"/>
        <w:rPr>
          <w:rFonts w:ascii="Times New Roman" w:eastAsia="Times New Roman" w:hAnsi="Times New Roman" w:cs="Times New Roman"/>
          <w:sz w:val="24"/>
          <w:szCs w:val="24"/>
        </w:rPr>
      </w:pPr>
      <w:r w:rsidRPr="00C53511">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61312" behindDoc="0" locked="0" layoutInCell="1" allowOverlap="1" wp14:anchorId="6AA7E5E4" wp14:editId="462B4BB2">
                <wp:simplePos x="0" y="0"/>
                <wp:positionH relativeFrom="margin">
                  <wp:posOffset>2209800</wp:posOffset>
                </wp:positionH>
                <wp:positionV relativeFrom="paragraph">
                  <wp:posOffset>48260</wp:posOffset>
                </wp:positionV>
                <wp:extent cx="3743325" cy="1590675"/>
                <wp:effectExtent l="0" t="0" r="9525" b="9525"/>
                <wp:wrapNone/>
                <wp:docPr id="505" name="Rectangle 505"/>
                <wp:cNvGraphicFramePr/>
                <a:graphic xmlns:a="http://schemas.openxmlformats.org/drawingml/2006/main">
                  <a:graphicData uri="http://schemas.microsoft.com/office/word/2010/wordprocessingShape">
                    <wps:wsp>
                      <wps:cNvSpPr/>
                      <wps:spPr>
                        <a:xfrm>
                          <a:off x="0" y="0"/>
                          <a:ext cx="3743325" cy="1590675"/>
                        </a:xfrm>
                        <a:prstGeom prst="rect">
                          <a:avLst/>
                        </a:prstGeom>
                        <a:solidFill>
                          <a:sysClr val="window" lastClr="FFFFFF"/>
                        </a:solidFill>
                        <a:ln w="12700" cap="flat" cmpd="sng" algn="ctr">
                          <a:noFill/>
                          <a:prstDash val="solid"/>
                          <a:miter lim="800000"/>
                        </a:ln>
                        <a:effectLst/>
                      </wps:spPr>
                      <wps:txbx>
                        <w:txbxContent>
                          <w:p w:rsidR="0064059F" w:rsidRPr="00C53511" w:rsidRDefault="0064059F" w:rsidP="00C53511">
                            <w:pPr>
                              <w:spacing w:line="240" w:lineRule="auto"/>
                              <w:jc w:val="both"/>
                              <w:rPr>
                                <w:rFonts w:ascii="Times New Roman" w:hAnsi="Times New Roman" w:cs="Times New Roman"/>
                              </w:rPr>
                            </w:pPr>
                            <w:r w:rsidRPr="00C53511">
                              <w:rPr>
                                <w:rFonts w:ascii="Times New Roman" w:hAnsi="Times New Roman" w:cs="Times New Roman"/>
                                <w:sz w:val="24"/>
                              </w:rPr>
                              <w:t>Në vitin 2020, bazuar në Traktatin e Komunitetit të Transportit (të nënshkruar në korrik 2017), qeveria e Shqipërisë miratoi strategjinë sektoriale dhe planin e veprimit për transportin 2016–2020, me qëllimin kryesor të një sistemi efikas transporti, të integruar brenda rajonit dhe rrjetit të BE-së, i cili promovon zhvillimin ekonomik dhe përmirëson cilësinë e jetës së qytetarëve.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7E5E4" id="Rectangle 505" o:spid="_x0000_s1113" style="position:absolute;margin-left:174pt;margin-top:3.8pt;width:294.75pt;height:125.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" fillcolor="window" stroked="f" strokeweight="1pt">
                <v:textbox>
                  <w:txbxContent>
                    <w:p w:rsidR="0064059F" w:rsidRPr="00C53511" w:rsidRDefault="0064059F" w:rsidP="00C53511">
                      <w:pPr>
                        <w:spacing w:line="240" w:lineRule="auto"/>
                        <w:jc w:val="both"/>
                        <w:rPr>
                          <w:rFonts w:ascii="Times New Roman" w:hAnsi="Times New Roman" w:cs="Times New Roman"/>
                        </w:rPr>
                      </w:pPr>
                      <w:r w:rsidRPr="00C53511">
                        <w:rPr>
                          <w:rFonts w:ascii="Times New Roman" w:hAnsi="Times New Roman" w:cs="Times New Roman"/>
                          <w:sz w:val="24"/>
                        </w:rPr>
                        <w:t>Në vitin 2020, bazuar në Traktatin e Komunitetit të Transportit (të nënshkruar në korrik 2017), qeveria e Shqipërisë miratoi strategjinë sektoriale dhe planin e veprimit për transportin 2016–2020, me qëllimin kryesor të një sistemi efikas transporti, të integruar brenda rajonit dhe rrjetit të BE-së, i cili promovon zhvillimin ekonomik dhe përmirëson cilësinë e jetës së qytetarëve.</w:t>
                      </w:r>
                    </w:p>
                  </w:txbxContent>
                </v:textbox>
                <w10:wrap anchorx="margin"/>
              </v:rect>
            </w:pict>
          </mc:Fallback>
        </mc:AlternateContent>
      </w:r>
      <w:r w:rsidRPr="00C53511">
        <w:rPr>
          <w:rFonts w:ascii="Times New Roman" w:eastAsia="Times New Roman" w:hAnsi="Times New Roman" w:cs="Times New Roman"/>
          <w:noProof/>
          <w:sz w:val="24"/>
          <w:szCs w:val="24"/>
        </w:rPr>
        <w:drawing>
          <wp:inline distT="0" distB="0" distL="0" distR="0" wp14:anchorId="0603CCC6" wp14:editId="5AD38AFD">
            <wp:extent cx="1666875" cy="1552575"/>
            <wp:effectExtent l="0" t="0" r="9525" b="9525"/>
            <wp:docPr id="506" name="Picture 506" descr="mobil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bility.png"/>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666875" cy="1552575"/>
                    </a:xfrm>
                    <a:prstGeom prst="rect">
                      <a:avLst/>
                    </a:prstGeom>
                    <a:noFill/>
                    <a:ln>
                      <a:noFill/>
                    </a:ln>
                  </pic:spPr>
                </pic:pic>
              </a:graphicData>
            </a:graphic>
          </wp:inline>
        </w:drawing>
      </w:r>
    </w:p>
    <w:p w:rsidR="00C53511" w:rsidRPr="00C53511" w:rsidRDefault="00C53511" w:rsidP="00C53511">
      <w:pPr>
        <w:shd w:val="clear" w:color="auto" w:fill="FFFFFF"/>
        <w:spacing w:after="240" w:line="240" w:lineRule="auto"/>
        <w:jc w:val="both"/>
        <w:rPr>
          <w:rFonts w:ascii="Times New Roman" w:eastAsia="Times New Roman" w:hAnsi="Times New Roman" w:cs="Times New Roman"/>
          <w:sz w:val="24"/>
          <w:szCs w:val="24"/>
        </w:rPr>
      </w:pPr>
      <w:r w:rsidRPr="00C53511">
        <w:rPr>
          <w:rFonts w:ascii="Times New Roman" w:eastAsia="Times New Roman" w:hAnsi="Times New Roman" w:cs="Times New Roman"/>
          <w:sz w:val="24"/>
          <w:szCs w:val="24"/>
        </w:rPr>
        <w:t>Objektivat e përgjithshme janë (i) të zhvillohet më tej sistemi kombëtar i transportit të Shqipërisë dhe (ii) të përmirësohet ndjeshëm qëndrueshmëria, ndërlidhja, ndërveprimi dhe integrimi i tij me sistemet dhe rajonet më të gjera ndërkombëtare dhe evropiane të transportit. Një nga prioritetet e strategjisë është promovimi i krijimit të kooperativave dhe sindikatave për transportuesit rrugorë dhe, përveç kësaj, stimujt tatimorë për modernizimin e flotës së automjeteve të mallrave dhe pasagjerëve.</w:t>
      </w:r>
    </w:p>
    <w:p w:rsidR="00C53511" w:rsidRPr="00C53511" w:rsidRDefault="00C53511" w:rsidP="00C53511">
      <w:pPr>
        <w:shd w:val="clear" w:color="auto" w:fill="FFFFFF"/>
        <w:spacing w:after="240" w:line="240" w:lineRule="auto"/>
        <w:jc w:val="both"/>
        <w:rPr>
          <w:rFonts w:ascii="Times New Roman" w:eastAsia="Times New Roman" w:hAnsi="Times New Roman" w:cs="Times New Roman"/>
          <w:sz w:val="24"/>
          <w:szCs w:val="24"/>
        </w:rPr>
      </w:pPr>
      <w:r w:rsidRPr="00C53511">
        <w:rPr>
          <w:rFonts w:ascii="Times New Roman" w:eastAsia="Times New Roman" w:hAnsi="Times New Roman" w:cs="Times New Roman"/>
          <w:sz w:val="24"/>
          <w:szCs w:val="24"/>
        </w:rPr>
        <w:t>Sa i përket stimujve për automjetet elektrike, Drejtoria e Përgjithshme e Shërbimeve të Transportit Rrugor do të rimbursojë çdo tarifë regjistrimi për herë të parë për automjetet elektrike (që do të thotë se tarifat do të jenë zero). Deri në vitin 2025, në përputhje me politikat dhe prioritetet e përcaktuara në strategjinë për zbatimin e sistemeve të inteligjencës së transportit rrugor (SIS), SIS pritet të vendosen në sektorin rrugor dhe në sektorin e transportit detar/porteve. Pas vitit 2025, vendosja e SIS në sektorin rrugor do të vazhdojë dhe do të zgjerohet si në fushëveprim ashtu edhe në shkallë. Një nga prioritetet në Shqipëri është vendosja e SIS në ato seksione të rrugëve ndërurbane që kanë probleme serioze që lidhen me sigurinë rrugore, mbingarkesën nga trafiku i rëndë dhe/ose nivele të larta të ndotjes së ajrit.</w:t>
      </w:r>
    </w:p>
    <w:p w:rsidR="00C53511" w:rsidRPr="00C53511" w:rsidRDefault="00C53511" w:rsidP="00C53511">
      <w:pPr>
        <w:shd w:val="clear" w:color="auto" w:fill="FFFFFF"/>
        <w:spacing w:after="240" w:line="240" w:lineRule="auto"/>
        <w:jc w:val="both"/>
        <w:rPr>
          <w:rFonts w:ascii="Times New Roman" w:eastAsia="Times New Roman" w:hAnsi="Times New Roman" w:cs="Times New Roman"/>
          <w:sz w:val="24"/>
          <w:szCs w:val="24"/>
          <w:lang w:val="fr-CA" w:eastAsia="ar-SA"/>
        </w:rPr>
      </w:pPr>
      <w:r w:rsidRPr="00C53511">
        <w:rPr>
          <w:rFonts w:ascii="Times New Roman" w:eastAsia="Times New Roman" w:hAnsi="Times New Roman" w:cs="Times New Roman"/>
          <w:sz w:val="24"/>
          <w:szCs w:val="24"/>
        </w:rPr>
        <w:t xml:space="preserve">Nevojat dhe sfidat me të cilat përballet Tirana, si qyteti më i madh dhe kryeqyteti i Shqipërisë, në lidhje me përmirësimin e sistemit të lëvizshmërisë jepen në planin për qëndrueshmërinë e lëvizshmërisë urbane. Ato përfshijnë (i) përhapjen e transportit publik, bërjen më efikas, të integruar, tërheqës dhe gjithëpërfshirës; (ii) nxitjen e çiklizmit dhe formave të tjera të mikro-lëvizshmërisë si alternativa ndaj transportit privat të motorizuar; (iii) zbatimin e iniciativës së </w:t>
      </w:r>
      <w:r w:rsidRPr="00C53511">
        <w:rPr>
          <w:rFonts w:ascii="Times New Roman" w:eastAsia="Times New Roman" w:hAnsi="Times New Roman" w:cs="Times New Roman"/>
          <w:sz w:val="24"/>
          <w:szCs w:val="24"/>
        </w:rPr>
        <w:lastRenderedPageBreak/>
        <w:t>Tiranës rezistente ndaj lëvizshmërisë duke kombinuar investimet në infrastrukturë dhe politikat e buta, duke shfrytëzuar në mënyrën më të mirë burimet (si financiare ashtu edhe hapësinore) dhe duke rritur fleksibilitetin dhe reaktivitetin e sistemit të lëvizshmërisë; dhe (iv) menaxhimin e furnizimit me parkim, logjistikës dhe çmimeve, ndërsa shoferët drejtojnë zgjedhjen modale (qasja shtyj-tërheq). Shqipëria ka bërë përparim në lidhje me përdorimin e makinave elektrike dhe hibride, si dhe autobusëve hibridë për transportin publik, me një rritje të automjeteve të regjistruar midis viteve 2021 (1 999) dhe 2023 (6 607).</w:t>
      </w:r>
      <w:r w:rsidRPr="00C53511">
        <w:rPr>
          <w:rFonts w:ascii="Times New Roman" w:eastAsia="Times New Roman" w:hAnsi="Times New Roman" w:cs="Times New Roman"/>
          <w:sz w:val="24"/>
          <w:szCs w:val="24"/>
          <w:lang w:val="fr-CA" w:eastAsia="ar-SA"/>
        </w:rPr>
        <w:t xml:space="preserve"> </w:t>
      </w:r>
      <w:r w:rsidRPr="00C53511">
        <w:rPr>
          <w:rFonts w:ascii="Times New Roman" w:eastAsia="Times New Roman" w:hAnsi="Times New Roman" w:cs="Times New Roman"/>
          <w:sz w:val="24"/>
          <w:szCs w:val="24"/>
        </w:rPr>
        <w:t>Rritja e përdorimit të biçikletave dhe transportit publik ka lehtësuar një ulje të përdorimit të automjeteve private. Është vendosur një taksë për të nxitur përdorimin e automjeteve më të reja dhe atyre me konsum më të ulët të karburantit, dhe kështu për të ulur emetimet. Së fundmi, për sa i përket efikasitetit të energjisë në sektorin e transportit, janë marrë masa për rehabilitimin dhe rindërtimin e disa rrugëve për të ndihmuar në uljen e konsumit të karburantit të automjeteve.</w:t>
      </w:r>
    </w:p>
    <w:p w:rsidR="00C53511" w:rsidRPr="00C53511" w:rsidRDefault="00C53511" w:rsidP="00C53511">
      <w:pPr>
        <w:suppressAutoHyphens/>
        <w:spacing w:before="120" w:after="180" w:line="276" w:lineRule="auto"/>
        <w:jc w:val="both"/>
        <w:rPr>
          <w:rFonts w:ascii="Times New Roman" w:eastAsia="Times New Roman" w:hAnsi="Times New Roman" w:cs="Times New Roman"/>
          <w:sz w:val="24"/>
          <w:szCs w:val="24"/>
          <w:lang w:val="fr-CA" w:eastAsia="ar-SA"/>
        </w:rPr>
      </w:pPr>
    </w:p>
    <w:p w:rsidR="006742DC" w:rsidRPr="00C53511" w:rsidRDefault="006742DC" w:rsidP="00C53511">
      <w:pPr>
        <w:jc w:val="both"/>
        <w:rPr>
          <w:rFonts w:ascii="Times New Roman" w:eastAsia="Times New Roman" w:hAnsi="Times New Roman" w:cs="Times New Roman"/>
          <w:sz w:val="24"/>
          <w:szCs w:val="24"/>
          <w:lang w:val="fr-CA" w:eastAsia="ar-SA"/>
        </w:rPr>
      </w:pPr>
    </w:p>
    <w:p w:rsidR="00CA1C73" w:rsidRPr="00D33108" w:rsidRDefault="00CA1C73" w:rsidP="00CA1C73">
      <w:pPr>
        <w:rPr>
          <w:rFonts w:ascii="Times New Roman" w:eastAsia="Times New Roman" w:hAnsi="Times New Roman" w:cs="Times New Roman"/>
          <w:sz w:val="24"/>
          <w:szCs w:val="24"/>
          <w:lang w:val="fr-CA" w:eastAsia="ar-SA"/>
        </w:rPr>
      </w:pPr>
    </w:p>
    <w:p w:rsidR="006742DC" w:rsidRPr="00D33108" w:rsidRDefault="006742DC" w:rsidP="006742DC">
      <w:pPr>
        <w:rPr>
          <w:rFonts w:ascii="Times New Roman" w:hAnsi="Times New Roman" w:cs="Times New Roman"/>
          <w:sz w:val="24"/>
          <w:szCs w:val="24"/>
        </w:rPr>
      </w:pPr>
    </w:p>
    <w:p w:rsidR="00D33108" w:rsidRPr="00D33108" w:rsidRDefault="00D33108">
      <w:pPr>
        <w:rPr>
          <w:rFonts w:ascii="Times New Roman" w:hAnsi="Times New Roman" w:cs="Times New Roman"/>
          <w:sz w:val="24"/>
          <w:szCs w:val="24"/>
        </w:rPr>
      </w:pPr>
    </w:p>
    <w:p w:rsidR="00D33108" w:rsidRPr="00D33108" w:rsidRDefault="00D33108">
      <w:pPr>
        <w:rPr>
          <w:rFonts w:ascii="Times New Roman" w:hAnsi="Times New Roman" w:cs="Times New Roman"/>
          <w:sz w:val="24"/>
          <w:szCs w:val="24"/>
        </w:rPr>
      </w:pPr>
    </w:p>
    <w:p w:rsidR="00D33108" w:rsidRPr="00D33108" w:rsidRDefault="00D33108">
      <w:pPr>
        <w:rPr>
          <w:rFonts w:ascii="Times New Roman" w:hAnsi="Times New Roman" w:cs="Times New Roman"/>
          <w:sz w:val="24"/>
          <w:szCs w:val="24"/>
        </w:rPr>
      </w:pPr>
    </w:p>
    <w:p w:rsidR="00950C8D" w:rsidRDefault="00950C8D">
      <w:pPr>
        <w:rPr>
          <w:rFonts w:ascii="Times New Roman" w:hAnsi="Times New Roman" w:cs="Times New Roman"/>
          <w:b/>
          <w:sz w:val="24"/>
          <w:szCs w:val="24"/>
        </w:rPr>
      </w:pPr>
    </w:p>
    <w:p w:rsidR="00E73AE8" w:rsidRDefault="00E73AE8">
      <w:pPr>
        <w:rPr>
          <w:rFonts w:ascii="Times New Roman" w:hAnsi="Times New Roman" w:cs="Times New Roman"/>
          <w:sz w:val="24"/>
          <w:szCs w:val="24"/>
        </w:rPr>
      </w:pPr>
    </w:p>
    <w:p w:rsidR="00E73AE8" w:rsidRDefault="00E73AE8">
      <w:pPr>
        <w:rPr>
          <w:rFonts w:ascii="Times New Roman" w:hAnsi="Times New Roman" w:cs="Times New Roman"/>
          <w:sz w:val="24"/>
          <w:szCs w:val="24"/>
        </w:rPr>
      </w:pPr>
    </w:p>
    <w:p w:rsidR="00E73AE8" w:rsidRDefault="00E73AE8">
      <w:pPr>
        <w:rPr>
          <w:rFonts w:ascii="Times New Roman" w:hAnsi="Times New Roman" w:cs="Times New Roman"/>
          <w:sz w:val="24"/>
          <w:szCs w:val="24"/>
        </w:rPr>
      </w:pPr>
    </w:p>
    <w:p w:rsidR="00E73AE8" w:rsidRDefault="00E73AE8">
      <w:pPr>
        <w:rPr>
          <w:rFonts w:ascii="Times New Roman" w:hAnsi="Times New Roman" w:cs="Times New Roman"/>
          <w:sz w:val="24"/>
          <w:szCs w:val="24"/>
        </w:rPr>
      </w:pPr>
    </w:p>
    <w:p w:rsidR="00E73AE8" w:rsidRDefault="00E73AE8">
      <w:pPr>
        <w:rPr>
          <w:rFonts w:ascii="Times New Roman" w:hAnsi="Times New Roman" w:cs="Times New Roman"/>
          <w:sz w:val="24"/>
          <w:szCs w:val="24"/>
        </w:rPr>
      </w:pPr>
    </w:p>
    <w:p w:rsidR="00E73AE8" w:rsidRDefault="00E73AE8">
      <w:pPr>
        <w:rPr>
          <w:rFonts w:ascii="Times New Roman" w:hAnsi="Times New Roman" w:cs="Times New Roman"/>
          <w:sz w:val="24"/>
          <w:szCs w:val="24"/>
        </w:rPr>
      </w:pPr>
    </w:p>
    <w:p w:rsidR="00E73AE8" w:rsidRDefault="00E73AE8">
      <w:pPr>
        <w:rPr>
          <w:rFonts w:ascii="Times New Roman" w:hAnsi="Times New Roman" w:cs="Times New Roman"/>
          <w:sz w:val="24"/>
          <w:szCs w:val="24"/>
        </w:rPr>
      </w:pPr>
    </w:p>
    <w:p w:rsidR="00E73AE8" w:rsidRDefault="00E73AE8">
      <w:pPr>
        <w:rPr>
          <w:rFonts w:ascii="Times New Roman" w:hAnsi="Times New Roman" w:cs="Times New Roman"/>
          <w:sz w:val="24"/>
          <w:szCs w:val="24"/>
        </w:rPr>
      </w:pPr>
    </w:p>
    <w:p w:rsidR="00E73AE8" w:rsidRDefault="00E73AE8">
      <w:pPr>
        <w:rPr>
          <w:rFonts w:ascii="Times New Roman" w:hAnsi="Times New Roman" w:cs="Times New Roman"/>
          <w:sz w:val="24"/>
          <w:szCs w:val="24"/>
        </w:rPr>
      </w:pPr>
    </w:p>
    <w:p w:rsidR="00E73AE8" w:rsidRDefault="00E73AE8">
      <w:pPr>
        <w:rPr>
          <w:rFonts w:ascii="Times New Roman" w:hAnsi="Times New Roman" w:cs="Times New Roman"/>
          <w:sz w:val="24"/>
          <w:szCs w:val="24"/>
        </w:rPr>
      </w:pPr>
    </w:p>
    <w:p w:rsidR="00E73AE8" w:rsidRDefault="00E73AE8">
      <w:pPr>
        <w:rPr>
          <w:rFonts w:ascii="Times New Roman" w:hAnsi="Times New Roman" w:cs="Times New Roman"/>
          <w:sz w:val="24"/>
          <w:szCs w:val="24"/>
        </w:rPr>
      </w:pPr>
    </w:p>
    <w:p w:rsidR="00E73AE8" w:rsidRDefault="00E73AE8">
      <w:pPr>
        <w:rPr>
          <w:rFonts w:ascii="Times New Roman" w:hAnsi="Times New Roman" w:cs="Times New Roman"/>
          <w:sz w:val="24"/>
          <w:szCs w:val="24"/>
        </w:rPr>
      </w:pPr>
    </w:p>
    <w:p w:rsidR="00E73AE8" w:rsidRDefault="00E73AE8">
      <w:pPr>
        <w:rPr>
          <w:rFonts w:ascii="Times New Roman" w:hAnsi="Times New Roman" w:cs="Times New Roman"/>
          <w:sz w:val="24"/>
          <w:szCs w:val="24"/>
        </w:rPr>
      </w:pPr>
    </w:p>
    <w:p w:rsidR="0087111E" w:rsidRDefault="0087111E" w:rsidP="00E73AE8">
      <w:pPr>
        <w:jc w:val="center"/>
        <w:rPr>
          <w:rFonts w:ascii="Times New Roman" w:hAnsi="Times New Roman" w:cs="Times New Roman"/>
          <w:b/>
          <w:sz w:val="36"/>
          <w:szCs w:val="36"/>
        </w:rPr>
      </w:pPr>
    </w:p>
    <w:p w:rsidR="0087111E" w:rsidRDefault="0087111E" w:rsidP="00E73AE8">
      <w:pPr>
        <w:jc w:val="center"/>
        <w:rPr>
          <w:rFonts w:ascii="Times New Roman" w:hAnsi="Times New Roman" w:cs="Times New Roman"/>
          <w:b/>
          <w:sz w:val="36"/>
          <w:szCs w:val="36"/>
        </w:rPr>
      </w:pPr>
    </w:p>
    <w:p w:rsidR="0087111E" w:rsidRDefault="0087111E" w:rsidP="00E73AE8">
      <w:pPr>
        <w:jc w:val="center"/>
        <w:rPr>
          <w:rFonts w:ascii="Times New Roman" w:hAnsi="Times New Roman" w:cs="Times New Roman"/>
          <w:b/>
          <w:sz w:val="36"/>
          <w:szCs w:val="36"/>
        </w:rPr>
      </w:pPr>
    </w:p>
    <w:p w:rsidR="0087111E" w:rsidRDefault="0087111E" w:rsidP="00E73AE8">
      <w:pPr>
        <w:jc w:val="center"/>
        <w:rPr>
          <w:rFonts w:ascii="Times New Roman" w:hAnsi="Times New Roman" w:cs="Times New Roman"/>
          <w:b/>
          <w:sz w:val="36"/>
          <w:szCs w:val="36"/>
        </w:rPr>
      </w:pPr>
    </w:p>
    <w:p w:rsidR="0087111E" w:rsidRDefault="0087111E" w:rsidP="00E73AE8">
      <w:pPr>
        <w:jc w:val="center"/>
        <w:rPr>
          <w:rFonts w:ascii="Times New Roman" w:hAnsi="Times New Roman" w:cs="Times New Roman"/>
          <w:b/>
          <w:sz w:val="36"/>
          <w:szCs w:val="36"/>
        </w:rPr>
      </w:pPr>
    </w:p>
    <w:p w:rsidR="0087111E" w:rsidRDefault="0087111E" w:rsidP="00E73AE8">
      <w:pPr>
        <w:jc w:val="center"/>
        <w:rPr>
          <w:rFonts w:ascii="Times New Roman" w:hAnsi="Times New Roman" w:cs="Times New Roman"/>
          <w:b/>
          <w:sz w:val="36"/>
          <w:szCs w:val="36"/>
        </w:rPr>
      </w:pPr>
    </w:p>
    <w:p w:rsidR="00E73AE8" w:rsidRPr="00E73AE8" w:rsidRDefault="00E73AE8" w:rsidP="00E73AE8">
      <w:pPr>
        <w:jc w:val="center"/>
        <w:rPr>
          <w:rFonts w:ascii="Times New Roman" w:hAnsi="Times New Roman" w:cs="Times New Roman"/>
          <w:b/>
          <w:sz w:val="36"/>
          <w:szCs w:val="36"/>
        </w:rPr>
      </w:pPr>
      <w:r w:rsidRPr="00E73AE8">
        <w:rPr>
          <w:rFonts w:ascii="Times New Roman" w:hAnsi="Times New Roman" w:cs="Times New Roman"/>
          <w:b/>
          <w:sz w:val="36"/>
          <w:szCs w:val="36"/>
        </w:rPr>
        <w:t xml:space="preserve">ANEKS  </w:t>
      </w:r>
      <w:r>
        <w:rPr>
          <w:rFonts w:ascii="Times New Roman" w:hAnsi="Times New Roman" w:cs="Times New Roman"/>
          <w:b/>
          <w:sz w:val="36"/>
          <w:szCs w:val="36"/>
        </w:rPr>
        <w:t>2</w:t>
      </w:r>
    </w:p>
    <w:p w:rsidR="00E73AE8" w:rsidRPr="00E73AE8" w:rsidRDefault="00E73AE8" w:rsidP="00E73AE8">
      <w:pPr>
        <w:jc w:val="center"/>
        <w:rPr>
          <w:rFonts w:ascii="Times New Roman" w:hAnsi="Times New Roman" w:cs="Times New Roman"/>
          <w:b/>
          <w:sz w:val="36"/>
          <w:szCs w:val="36"/>
        </w:rPr>
      </w:pPr>
    </w:p>
    <w:p w:rsidR="00E73AE8" w:rsidRPr="00E73AE8" w:rsidRDefault="00E73AE8" w:rsidP="00E73AE8">
      <w:pPr>
        <w:jc w:val="center"/>
        <w:rPr>
          <w:rFonts w:ascii="Times New Roman" w:hAnsi="Times New Roman" w:cs="Times New Roman"/>
          <w:b/>
          <w:sz w:val="36"/>
          <w:szCs w:val="36"/>
        </w:rPr>
      </w:pPr>
      <w:r w:rsidRPr="00E73AE8">
        <w:rPr>
          <w:rFonts w:ascii="Times New Roman" w:hAnsi="Times New Roman" w:cs="Times New Roman"/>
          <w:b/>
          <w:sz w:val="36"/>
          <w:szCs w:val="36"/>
        </w:rPr>
        <w:t>RRJETI I MONITORIMIT TË PYJEVE</w:t>
      </w:r>
    </w:p>
    <w:p w:rsidR="00E73AE8" w:rsidRDefault="00E73AE8">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Pr="0087111E" w:rsidRDefault="0087111E" w:rsidP="00807975">
      <w:pPr>
        <w:numPr>
          <w:ilvl w:val="0"/>
          <w:numId w:val="128"/>
        </w:numPr>
        <w:spacing w:after="0" w:line="240" w:lineRule="auto"/>
        <w:contextualSpacing/>
        <w:jc w:val="both"/>
        <w:rPr>
          <w:rFonts w:ascii="Times New Roman" w:eastAsia="Calibri" w:hAnsi="Times New Roman" w:cs="Times New Roman"/>
          <w:bCs/>
          <w:sz w:val="24"/>
          <w:szCs w:val="24"/>
        </w:rPr>
      </w:pPr>
      <w:r w:rsidRPr="0087111E">
        <w:rPr>
          <w:rFonts w:ascii="Times New Roman" w:eastAsia="Calibri" w:hAnsi="Times New Roman" w:cs="Times New Roman"/>
          <w:b/>
          <w:bCs/>
          <w:sz w:val="24"/>
          <w:szCs w:val="24"/>
        </w:rPr>
        <w:t xml:space="preserve">Rrjeti i monitorimit për </w:t>
      </w:r>
      <w:r w:rsidRPr="0087111E">
        <w:rPr>
          <w:rFonts w:ascii="Times New Roman" w:eastAsia="Calibri" w:hAnsi="Times New Roman" w:cs="Times New Roman"/>
          <w:b/>
          <w:sz w:val="24"/>
          <w:szCs w:val="24"/>
        </w:rPr>
        <w:t xml:space="preserve">llojet e dushqeve dhe gështenjës </w:t>
      </w:r>
    </w:p>
    <w:p w:rsidR="0087111E" w:rsidRPr="0087111E" w:rsidRDefault="0087111E" w:rsidP="0087111E">
      <w:pPr>
        <w:spacing w:after="0" w:line="240" w:lineRule="auto"/>
        <w:jc w:val="both"/>
        <w:rPr>
          <w:rFonts w:ascii="Times New Roman" w:eastAsia="Calibri" w:hAnsi="Times New Roman" w:cs="Times New Roman"/>
          <w:b/>
          <w:sz w:val="24"/>
          <w:szCs w:val="24"/>
        </w:rPr>
      </w:pPr>
    </w:p>
    <w:tbl>
      <w:tblPr>
        <w:tblW w:w="8460" w:type="dxa"/>
        <w:tblLook w:val="04A0" w:firstRow="1" w:lastRow="0" w:firstColumn="1" w:lastColumn="0" w:noHBand="0" w:noVBand="1"/>
      </w:tblPr>
      <w:tblGrid>
        <w:gridCol w:w="530"/>
        <w:gridCol w:w="1445"/>
        <w:gridCol w:w="1359"/>
        <w:gridCol w:w="960"/>
        <w:gridCol w:w="960"/>
        <w:gridCol w:w="960"/>
        <w:gridCol w:w="1123"/>
        <w:gridCol w:w="1123"/>
      </w:tblGrid>
      <w:tr w:rsidR="0087111E" w:rsidRPr="0087111E" w:rsidTr="005B3A66">
        <w:trPr>
          <w:trHeight w:val="602"/>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11E" w:rsidRPr="0087111E" w:rsidRDefault="0087111E" w:rsidP="0087111E">
            <w:pPr>
              <w:spacing w:after="0" w:line="240" w:lineRule="auto"/>
              <w:rPr>
                <w:rFonts w:ascii="Times New Roman" w:eastAsia="Times New Roman" w:hAnsi="Times New Roman" w:cs="Times New Roman"/>
                <w:color w:val="000000"/>
                <w:sz w:val="24"/>
                <w:szCs w:val="24"/>
              </w:rPr>
            </w:pPr>
            <w:r w:rsidRPr="0087111E">
              <w:rPr>
                <w:rFonts w:ascii="Times New Roman" w:eastAsia="Times New Roman" w:hAnsi="Times New Roman" w:cs="Times New Roman"/>
                <w:color w:val="000000"/>
                <w:sz w:val="24"/>
                <w:szCs w:val="24"/>
              </w:rPr>
              <w:t xml:space="preserve">Nr. </w:t>
            </w:r>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rsidR="0087111E" w:rsidRPr="0087111E" w:rsidRDefault="0087111E" w:rsidP="0087111E">
            <w:pPr>
              <w:spacing w:after="0" w:line="240" w:lineRule="auto"/>
              <w:rPr>
                <w:rFonts w:ascii="Times New Roman" w:eastAsia="Times New Roman" w:hAnsi="Times New Roman" w:cs="Times New Roman"/>
                <w:color w:val="000000"/>
                <w:sz w:val="24"/>
                <w:szCs w:val="24"/>
              </w:rPr>
            </w:pPr>
            <w:r w:rsidRPr="0087111E">
              <w:rPr>
                <w:rFonts w:ascii="Times New Roman" w:eastAsia="Times New Roman" w:hAnsi="Times New Roman" w:cs="Times New Roman"/>
                <w:color w:val="000000"/>
                <w:sz w:val="24"/>
                <w:szCs w:val="24"/>
              </w:rPr>
              <w:t xml:space="preserve">Bashkia </w:t>
            </w:r>
          </w:p>
        </w:tc>
        <w:tc>
          <w:tcPr>
            <w:tcW w:w="1359" w:type="dxa"/>
            <w:tcBorders>
              <w:top w:val="single" w:sz="4" w:space="0" w:color="auto"/>
              <w:left w:val="nil"/>
              <w:bottom w:val="single" w:sz="4" w:space="0" w:color="auto"/>
              <w:right w:val="single" w:sz="4" w:space="0" w:color="auto"/>
            </w:tcBorders>
            <w:shd w:val="clear" w:color="auto" w:fill="auto"/>
            <w:vAlign w:val="bottom"/>
            <w:hideMark/>
          </w:tcPr>
          <w:p w:rsidR="0087111E" w:rsidRPr="0087111E" w:rsidRDefault="0087111E" w:rsidP="0087111E">
            <w:pPr>
              <w:spacing w:after="0" w:line="240" w:lineRule="auto"/>
              <w:rPr>
                <w:rFonts w:ascii="Times New Roman" w:eastAsia="Times New Roman" w:hAnsi="Times New Roman" w:cs="Times New Roman"/>
                <w:color w:val="000000"/>
                <w:sz w:val="24"/>
                <w:szCs w:val="24"/>
              </w:rPr>
            </w:pPr>
            <w:r w:rsidRPr="0087111E">
              <w:rPr>
                <w:rFonts w:ascii="Times New Roman" w:eastAsia="Times New Roman" w:hAnsi="Times New Roman" w:cs="Times New Roman"/>
                <w:color w:val="000000"/>
                <w:sz w:val="24"/>
                <w:szCs w:val="24"/>
              </w:rPr>
              <w:t xml:space="preserve">   Lloji drunor</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87111E" w:rsidRPr="0087111E" w:rsidRDefault="0087111E" w:rsidP="0087111E">
            <w:pPr>
              <w:spacing w:after="0" w:line="240" w:lineRule="auto"/>
              <w:rPr>
                <w:rFonts w:ascii="Times New Roman" w:eastAsia="Times New Roman" w:hAnsi="Times New Roman" w:cs="Times New Roman"/>
                <w:color w:val="000000"/>
                <w:sz w:val="24"/>
                <w:szCs w:val="24"/>
              </w:rPr>
            </w:pPr>
            <w:r w:rsidRPr="0087111E">
              <w:rPr>
                <w:rFonts w:ascii="Times New Roman" w:eastAsia="Times New Roman" w:hAnsi="Times New Roman" w:cs="Times New Roman"/>
                <w:color w:val="000000"/>
                <w:sz w:val="24"/>
                <w:szCs w:val="24"/>
              </w:rPr>
              <w:t>Nr. dru. s.p</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87111E" w:rsidRPr="0087111E" w:rsidRDefault="0087111E" w:rsidP="0087111E">
            <w:pPr>
              <w:spacing w:after="0" w:line="240" w:lineRule="auto"/>
              <w:rPr>
                <w:rFonts w:ascii="Times New Roman" w:eastAsia="Times New Roman" w:hAnsi="Times New Roman" w:cs="Times New Roman"/>
                <w:color w:val="000000"/>
                <w:sz w:val="24"/>
                <w:szCs w:val="24"/>
              </w:rPr>
            </w:pPr>
            <w:r w:rsidRPr="0087111E">
              <w:rPr>
                <w:rFonts w:ascii="Times New Roman" w:eastAsia="Times New Roman" w:hAnsi="Times New Roman" w:cs="Times New Roman"/>
                <w:color w:val="000000"/>
                <w:sz w:val="24"/>
                <w:szCs w:val="24"/>
              </w:rPr>
              <w:t>Mosha (vjet)</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87111E" w:rsidRPr="0087111E" w:rsidRDefault="0087111E" w:rsidP="0087111E">
            <w:pPr>
              <w:spacing w:after="0" w:line="240" w:lineRule="auto"/>
              <w:rPr>
                <w:rFonts w:ascii="Times New Roman" w:eastAsia="Times New Roman" w:hAnsi="Times New Roman" w:cs="Times New Roman"/>
                <w:color w:val="000000"/>
                <w:sz w:val="24"/>
                <w:szCs w:val="24"/>
              </w:rPr>
            </w:pPr>
            <w:r w:rsidRPr="0087111E">
              <w:rPr>
                <w:rFonts w:ascii="Times New Roman" w:eastAsia="Times New Roman" w:hAnsi="Times New Roman" w:cs="Times New Roman"/>
                <w:color w:val="000000"/>
                <w:sz w:val="24"/>
                <w:szCs w:val="24"/>
              </w:rPr>
              <w:t>Sip. (m2)</w:t>
            </w:r>
          </w:p>
        </w:tc>
        <w:tc>
          <w:tcPr>
            <w:tcW w:w="1123" w:type="dxa"/>
            <w:tcBorders>
              <w:top w:val="single" w:sz="4" w:space="0" w:color="auto"/>
              <w:left w:val="nil"/>
              <w:bottom w:val="single" w:sz="4" w:space="0" w:color="auto"/>
              <w:right w:val="single" w:sz="4" w:space="0" w:color="auto"/>
            </w:tcBorders>
            <w:shd w:val="clear" w:color="auto" w:fill="auto"/>
            <w:vAlign w:val="bottom"/>
            <w:hideMark/>
          </w:tcPr>
          <w:p w:rsidR="0087111E" w:rsidRPr="0087111E" w:rsidRDefault="0087111E" w:rsidP="0087111E">
            <w:pPr>
              <w:spacing w:after="0" w:line="240" w:lineRule="auto"/>
              <w:rPr>
                <w:rFonts w:ascii="Times New Roman" w:eastAsia="Times New Roman" w:hAnsi="Times New Roman" w:cs="Times New Roman"/>
                <w:color w:val="000000"/>
                <w:sz w:val="24"/>
                <w:szCs w:val="24"/>
              </w:rPr>
            </w:pPr>
            <w:r w:rsidRPr="0087111E">
              <w:rPr>
                <w:rFonts w:ascii="Times New Roman" w:eastAsia="Times New Roman" w:hAnsi="Times New Roman" w:cs="Times New Roman"/>
                <w:color w:val="000000"/>
                <w:sz w:val="24"/>
                <w:szCs w:val="24"/>
              </w:rPr>
              <w:t xml:space="preserve"> (Y) KRGJSH</w:t>
            </w:r>
          </w:p>
        </w:tc>
        <w:tc>
          <w:tcPr>
            <w:tcW w:w="1123" w:type="dxa"/>
            <w:tcBorders>
              <w:top w:val="single" w:sz="4" w:space="0" w:color="auto"/>
              <w:left w:val="nil"/>
              <w:bottom w:val="single" w:sz="4" w:space="0" w:color="auto"/>
              <w:right w:val="single" w:sz="4" w:space="0" w:color="auto"/>
            </w:tcBorders>
            <w:shd w:val="clear" w:color="auto" w:fill="auto"/>
            <w:vAlign w:val="bottom"/>
            <w:hideMark/>
          </w:tcPr>
          <w:p w:rsidR="0087111E" w:rsidRPr="0087111E" w:rsidRDefault="0087111E" w:rsidP="0087111E">
            <w:pPr>
              <w:spacing w:after="0" w:line="240" w:lineRule="auto"/>
              <w:rPr>
                <w:rFonts w:ascii="Times New Roman" w:eastAsia="Times New Roman" w:hAnsi="Times New Roman" w:cs="Times New Roman"/>
                <w:color w:val="000000"/>
                <w:sz w:val="24"/>
                <w:szCs w:val="24"/>
              </w:rPr>
            </w:pPr>
            <w:r w:rsidRPr="0087111E">
              <w:rPr>
                <w:rFonts w:ascii="Times New Roman" w:eastAsia="Times New Roman" w:hAnsi="Times New Roman" w:cs="Times New Roman"/>
                <w:color w:val="000000"/>
                <w:sz w:val="24"/>
                <w:szCs w:val="24"/>
              </w:rPr>
              <w:t xml:space="preserve"> (X) KRGJSH</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w:t>
            </w:r>
          </w:p>
        </w:tc>
        <w:tc>
          <w:tcPr>
            <w:tcW w:w="1445"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Pustec</w:t>
            </w:r>
          </w:p>
        </w:tc>
        <w:tc>
          <w:tcPr>
            <w:tcW w:w="1359"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Bunge</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51</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540642.2</w:t>
            </w:r>
          </w:p>
        </w:tc>
        <w:tc>
          <w:tcPr>
            <w:tcW w:w="1123"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4540655</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w:t>
            </w:r>
          </w:p>
        </w:tc>
        <w:tc>
          <w:tcPr>
            <w:tcW w:w="1445"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 xml:space="preserve">Kolonje </w:t>
            </w:r>
          </w:p>
        </w:tc>
        <w:tc>
          <w:tcPr>
            <w:tcW w:w="1359"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Bun.Shpar</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11</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580387.8</w:t>
            </w:r>
          </w:p>
        </w:tc>
        <w:tc>
          <w:tcPr>
            <w:tcW w:w="1123"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4496494</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3</w:t>
            </w:r>
          </w:p>
        </w:tc>
        <w:tc>
          <w:tcPr>
            <w:tcW w:w="1445"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 xml:space="preserve">Korçë </w:t>
            </w:r>
          </w:p>
        </w:tc>
        <w:tc>
          <w:tcPr>
            <w:tcW w:w="1359"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Qarr</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33</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502365.7</w:t>
            </w:r>
          </w:p>
        </w:tc>
        <w:tc>
          <w:tcPr>
            <w:tcW w:w="1123"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4539031</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w:t>
            </w:r>
          </w:p>
        </w:tc>
        <w:tc>
          <w:tcPr>
            <w:tcW w:w="1445"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Tiran</w:t>
            </w:r>
          </w:p>
        </w:tc>
        <w:tc>
          <w:tcPr>
            <w:tcW w:w="1359"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Bun.Shpar</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14</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500046.5</w:t>
            </w:r>
          </w:p>
        </w:tc>
        <w:tc>
          <w:tcPr>
            <w:tcW w:w="1123"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4576451</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5</w:t>
            </w:r>
          </w:p>
        </w:tc>
        <w:tc>
          <w:tcPr>
            <w:tcW w:w="1445"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Kukes</w:t>
            </w:r>
          </w:p>
        </w:tc>
        <w:tc>
          <w:tcPr>
            <w:tcW w:w="1359"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Bun.Shpar</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35</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533693.7</w:t>
            </w:r>
          </w:p>
        </w:tc>
        <w:tc>
          <w:tcPr>
            <w:tcW w:w="1123"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4656345</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6</w:t>
            </w:r>
          </w:p>
        </w:tc>
        <w:tc>
          <w:tcPr>
            <w:tcW w:w="1445"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Tirane</w:t>
            </w:r>
          </w:p>
        </w:tc>
        <w:tc>
          <w:tcPr>
            <w:tcW w:w="1359"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Geshtenje</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10</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496689.5</w:t>
            </w:r>
          </w:p>
        </w:tc>
        <w:tc>
          <w:tcPr>
            <w:tcW w:w="1123"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4707670</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7</w:t>
            </w:r>
          </w:p>
        </w:tc>
        <w:tc>
          <w:tcPr>
            <w:tcW w:w="1445"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 xml:space="preserve">Delvine </w:t>
            </w:r>
          </w:p>
        </w:tc>
        <w:tc>
          <w:tcPr>
            <w:tcW w:w="1359"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Geshtenje</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15</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538311.2</w:t>
            </w:r>
          </w:p>
        </w:tc>
        <w:tc>
          <w:tcPr>
            <w:tcW w:w="1123" w:type="dxa"/>
            <w:tcBorders>
              <w:top w:val="nil"/>
              <w:left w:val="nil"/>
              <w:bottom w:val="single" w:sz="4" w:space="0" w:color="auto"/>
              <w:right w:val="single" w:sz="4" w:space="0" w:color="auto"/>
            </w:tcBorders>
            <w:shd w:val="clear" w:color="000000" w:fill="FFFFFF"/>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4707775</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8</w:t>
            </w:r>
          </w:p>
        </w:tc>
        <w:tc>
          <w:tcPr>
            <w:tcW w:w="1445"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Tropoje</w:t>
            </w:r>
          </w:p>
        </w:tc>
        <w:tc>
          <w:tcPr>
            <w:tcW w:w="1359"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Bun.Shpar</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16</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504732.7</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4680048</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9</w:t>
            </w:r>
          </w:p>
        </w:tc>
        <w:tc>
          <w:tcPr>
            <w:tcW w:w="1445"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Fushe Arrez</w:t>
            </w:r>
          </w:p>
        </w:tc>
        <w:tc>
          <w:tcPr>
            <w:tcW w:w="1359"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16</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505071.8</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4677043</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10</w:t>
            </w:r>
          </w:p>
        </w:tc>
        <w:tc>
          <w:tcPr>
            <w:tcW w:w="1445"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Puke</w:t>
            </w:r>
          </w:p>
        </w:tc>
        <w:tc>
          <w:tcPr>
            <w:tcW w:w="1359"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Qarr</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487149.7</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4661840</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11</w:t>
            </w:r>
          </w:p>
        </w:tc>
        <w:tc>
          <w:tcPr>
            <w:tcW w:w="1445"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Mirdite</w:t>
            </w:r>
          </w:p>
        </w:tc>
        <w:tc>
          <w:tcPr>
            <w:tcW w:w="1359"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15</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499494.8</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4632488</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12</w:t>
            </w:r>
          </w:p>
        </w:tc>
        <w:tc>
          <w:tcPr>
            <w:tcW w:w="1445"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Lezhe</w:t>
            </w:r>
          </w:p>
        </w:tc>
        <w:tc>
          <w:tcPr>
            <w:tcW w:w="1359"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11</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477414</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4622229</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13</w:t>
            </w:r>
          </w:p>
        </w:tc>
        <w:tc>
          <w:tcPr>
            <w:tcW w:w="1445"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Diber</w:t>
            </w:r>
          </w:p>
        </w:tc>
        <w:tc>
          <w:tcPr>
            <w:tcW w:w="1359"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Qarr</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23</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517553.8</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4610490</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14</w:t>
            </w:r>
          </w:p>
        </w:tc>
        <w:tc>
          <w:tcPr>
            <w:tcW w:w="1445"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Mat</w:t>
            </w:r>
          </w:p>
        </w:tc>
        <w:tc>
          <w:tcPr>
            <w:tcW w:w="1359"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16</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490774.8</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4607871</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15</w:t>
            </w:r>
          </w:p>
        </w:tc>
        <w:tc>
          <w:tcPr>
            <w:tcW w:w="1445"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Kurbin</w:t>
            </w:r>
          </w:p>
        </w:tc>
        <w:tc>
          <w:tcPr>
            <w:tcW w:w="1359"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8</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481857.7</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4609788</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16</w:t>
            </w:r>
          </w:p>
        </w:tc>
        <w:tc>
          <w:tcPr>
            <w:tcW w:w="1445"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Mat</w:t>
            </w:r>
          </w:p>
        </w:tc>
        <w:tc>
          <w:tcPr>
            <w:tcW w:w="1359"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sz w:val="20"/>
                <w:szCs w:val="20"/>
              </w:rPr>
              <w:t>Qarr, Shparth</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22</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500148.3</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4602684</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17</w:t>
            </w:r>
          </w:p>
        </w:tc>
        <w:tc>
          <w:tcPr>
            <w:tcW w:w="1445"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Tirane</w:t>
            </w:r>
          </w:p>
        </w:tc>
        <w:tc>
          <w:tcPr>
            <w:tcW w:w="1359"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Qarr,Bung</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14</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496751.1</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4592649</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18</w:t>
            </w:r>
          </w:p>
        </w:tc>
        <w:tc>
          <w:tcPr>
            <w:tcW w:w="1445"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Tirane</w:t>
            </w:r>
          </w:p>
        </w:tc>
        <w:tc>
          <w:tcPr>
            <w:tcW w:w="1359"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Qarr</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21</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499507.9</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4570685</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19</w:t>
            </w:r>
          </w:p>
        </w:tc>
        <w:tc>
          <w:tcPr>
            <w:tcW w:w="1445"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Skrapar</w:t>
            </w:r>
          </w:p>
        </w:tc>
        <w:tc>
          <w:tcPr>
            <w:tcW w:w="1359"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Bulger</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19</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527107.7</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4473988</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w:t>
            </w:r>
          </w:p>
        </w:tc>
        <w:tc>
          <w:tcPr>
            <w:tcW w:w="1445"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Kolonje</w:t>
            </w:r>
          </w:p>
        </w:tc>
        <w:tc>
          <w:tcPr>
            <w:tcW w:w="1359"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543816.3</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4456480</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21</w:t>
            </w:r>
          </w:p>
        </w:tc>
        <w:tc>
          <w:tcPr>
            <w:tcW w:w="1445"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Vlore</w:t>
            </w:r>
          </w:p>
        </w:tc>
        <w:tc>
          <w:tcPr>
            <w:tcW w:w="1359"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Bung,Bullgr</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19</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462364</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4451764</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22</w:t>
            </w:r>
          </w:p>
        </w:tc>
        <w:tc>
          <w:tcPr>
            <w:tcW w:w="1445"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Gjirokaster</w:t>
            </w:r>
          </w:p>
        </w:tc>
        <w:tc>
          <w:tcPr>
            <w:tcW w:w="1359"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Bullgr.Bung</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500239.8</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4445514</w:t>
            </w:r>
          </w:p>
        </w:tc>
      </w:tr>
      <w:tr w:rsidR="0087111E" w:rsidRPr="0087111E"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23</w:t>
            </w:r>
          </w:p>
        </w:tc>
        <w:tc>
          <w:tcPr>
            <w:tcW w:w="1445"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Dropull</w:t>
            </w:r>
          </w:p>
        </w:tc>
        <w:tc>
          <w:tcPr>
            <w:tcW w:w="1359"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Bulger</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14</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529254.4</w:t>
            </w:r>
          </w:p>
        </w:tc>
        <w:tc>
          <w:tcPr>
            <w:tcW w:w="1123"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4442826</w:t>
            </w:r>
          </w:p>
        </w:tc>
      </w:tr>
      <w:tr w:rsidR="0087111E" w:rsidRPr="0087111E" w:rsidTr="005B3A66">
        <w:trPr>
          <w:trHeight w:val="300"/>
        </w:trPr>
        <w:tc>
          <w:tcPr>
            <w:tcW w:w="197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11E" w:rsidRPr="0087111E" w:rsidRDefault="0087111E" w:rsidP="0087111E">
            <w:pPr>
              <w:spacing w:after="0" w:line="240" w:lineRule="auto"/>
              <w:jc w:val="center"/>
              <w:rPr>
                <w:rFonts w:ascii="Times New Roman" w:eastAsia="Times New Roman" w:hAnsi="Times New Roman" w:cs="Times New Roman"/>
                <w:color w:val="000000"/>
              </w:rPr>
            </w:pPr>
            <w:r w:rsidRPr="0087111E">
              <w:rPr>
                <w:rFonts w:ascii="Times New Roman" w:eastAsia="Times New Roman" w:hAnsi="Times New Roman" w:cs="Times New Roman"/>
                <w:color w:val="000000"/>
              </w:rPr>
              <w:t>Totali</w:t>
            </w:r>
          </w:p>
        </w:tc>
        <w:tc>
          <w:tcPr>
            <w:tcW w:w="1359" w:type="dxa"/>
            <w:tcBorders>
              <w:top w:val="nil"/>
              <w:left w:val="nil"/>
              <w:bottom w:val="single" w:sz="4" w:space="0" w:color="auto"/>
              <w:right w:val="single" w:sz="4" w:space="0" w:color="auto"/>
            </w:tcBorders>
            <w:shd w:val="clear" w:color="auto" w:fill="auto"/>
            <w:noWrap/>
            <w:vAlign w:val="bottom"/>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87111E" w:rsidRPr="0087111E" w:rsidRDefault="0087111E" w:rsidP="0087111E">
            <w:pPr>
              <w:spacing w:after="0" w:line="240" w:lineRule="auto"/>
              <w:jc w:val="right"/>
              <w:rPr>
                <w:rFonts w:ascii="Times New Roman" w:eastAsia="Times New Roman" w:hAnsi="Times New Roman" w:cs="Times New Roman"/>
                <w:color w:val="000000"/>
              </w:rPr>
            </w:pPr>
            <w:r w:rsidRPr="0087111E">
              <w:rPr>
                <w:rFonts w:ascii="Times New Roman" w:eastAsia="Times New Roman" w:hAnsi="Times New Roman" w:cs="Times New Roman"/>
                <w:color w:val="000000"/>
              </w:rPr>
              <w:t>417</w:t>
            </w:r>
          </w:p>
        </w:tc>
        <w:tc>
          <w:tcPr>
            <w:tcW w:w="960" w:type="dxa"/>
            <w:tcBorders>
              <w:top w:val="nil"/>
              <w:left w:val="nil"/>
              <w:bottom w:val="single" w:sz="4" w:space="0" w:color="auto"/>
              <w:right w:val="single" w:sz="4" w:space="0" w:color="auto"/>
            </w:tcBorders>
            <w:shd w:val="clear" w:color="auto" w:fill="auto"/>
            <w:noWrap/>
            <w:vAlign w:val="bottom"/>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87111E" w:rsidRPr="0087111E" w:rsidRDefault="0087111E" w:rsidP="0087111E">
            <w:pPr>
              <w:spacing w:after="0" w:line="240" w:lineRule="auto"/>
              <w:jc w:val="right"/>
              <w:rPr>
                <w:rFonts w:ascii="Times New Roman" w:eastAsia="Times New Roman" w:hAnsi="Times New Roman" w:cs="Times New Roman"/>
                <w:color w:val="000000"/>
              </w:rPr>
            </w:pPr>
            <w:r w:rsidRPr="0087111E">
              <w:rPr>
                <w:rFonts w:ascii="Times New Roman" w:eastAsia="Times New Roman" w:hAnsi="Times New Roman" w:cs="Times New Roman"/>
                <w:color w:val="000000"/>
              </w:rPr>
              <w:t>6000</w:t>
            </w:r>
          </w:p>
        </w:tc>
        <w:tc>
          <w:tcPr>
            <w:tcW w:w="1123" w:type="dxa"/>
            <w:tcBorders>
              <w:top w:val="nil"/>
              <w:left w:val="nil"/>
              <w:bottom w:val="single" w:sz="4" w:space="0" w:color="auto"/>
              <w:right w:val="single" w:sz="4" w:space="0" w:color="auto"/>
            </w:tcBorders>
            <w:shd w:val="clear" w:color="auto" w:fill="auto"/>
            <w:noWrap/>
            <w:vAlign w:val="bottom"/>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 </w:t>
            </w:r>
          </w:p>
        </w:tc>
        <w:tc>
          <w:tcPr>
            <w:tcW w:w="1123" w:type="dxa"/>
            <w:tcBorders>
              <w:top w:val="nil"/>
              <w:left w:val="nil"/>
              <w:bottom w:val="single" w:sz="4" w:space="0" w:color="auto"/>
              <w:right w:val="single" w:sz="4" w:space="0" w:color="auto"/>
            </w:tcBorders>
            <w:shd w:val="clear" w:color="auto" w:fill="auto"/>
            <w:noWrap/>
            <w:vAlign w:val="bottom"/>
            <w:hideMark/>
          </w:tcPr>
          <w:p w:rsidR="0087111E" w:rsidRPr="0087111E" w:rsidRDefault="0087111E" w:rsidP="0087111E">
            <w:pPr>
              <w:spacing w:after="0" w:line="240" w:lineRule="auto"/>
              <w:rPr>
                <w:rFonts w:ascii="Times New Roman" w:eastAsia="Times New Roman" w:hAnsi="Times New Roman" w:cs="Times New Roman"/>
                <w:color w:val="000000"/>
              </w:rPr>
            </w:pPr>
            <w:r w:rsidRPr="0087111E">
              <w:rPr>
                <w:rFonts w:ascii="Times New Roman" w:eastAsia="Times New Roman" w:hAnsi="Times New Roman" w:cs="Times New Roman"/>
                <w:color w:val="000000"/>
              </w:rPr>
              <w:t> </w:t>
            </w:r>
          </w:p>
        </w:tc>
      </w:tr>
    </w:tbl>
    <w:p w:rsidR="0087111E" w:rsidRPr="0087111E" w:rsidRDefault="0087111E" w:rsidP="0087111E">
      <w:pPr>
        <w:jc w:val="both"/>
        <w:rPr>
          <w:rFonts w:ascii="Times New Roman" w:hAnsi="Times New Roman" w:cs="Times New Roman"/>
          <w:b/>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Default="0087111E">
      <w:pPr>
        <w:rPr>
          <w:rFonts w:ascii="Times New Roman" w:hAnsi="Times New Roman" w:cs="Times New Roman"/>
          <w:sz w:val="24"/>
          <w:szCs w:val="24"/>
        </w:rPr>
      </w:pPr>
    </w:p>
    <w:p w:rsidR="0087111E" w:rsidRPr="0087111E" w:rsidRDefault="0087111E" w:rsidP="00807975">
      <w:pPr>
        <w:numPr>
          <w:ilvl w:val="0"/>
          <w:numId w:val="129"/>
        </w:numPr>
        <w:spacing w:after="0" w:line="240" w:lineRule="auto"/>
        <w:contextualSpacing/>
        <w:jc w:val="both"/>
        <w:rPr>
          <w:rFonts w:ascii="Times New Roman" w:hAnsi="Times New Roman" w:cs="Times New Roman"/>
          <w:b/>
          <w:sz w:val="24"/>
          <w:szCs w:val="24"/>
          <w:lang w:val="it-IT"/>
        </w:rPr>
      </w:pPr>
      <w:r w:rsidRPr="0087111E">
        <w:rPr>
          <w:rFonts w:ascii="Times New Roman" w:eastAsia="Calibri" w:hAnsi="Times New Roman" w:cs="Times New Roman"/>
          <w:b/>
          <w:sz w:val="24"/>
          <w:szCs w:val="24"/>
          <w:lang w:val="it-IT"/>
        </w:rPr>
        <w:lastRenderedPageBreak/>
        <w:t xml:space="preserve">Rrjeti i monitorimit për gjendjen shëndetësore </w:t>
      </w:r>
    </w:p>
    <w:p w:rsidR="0087111E" w:rsidRPr="0087111E" w:rsidRDefault="0087111E" w:rsidP="0087111E">
      <w:pPr>
        <w:spacing w:after="0" w:line="240" w:lineRule="auto"/>
        <w:jc w:val="both"/>
        <w:rPr>
          <w:rFonts w:ascii="Times New Roman" w:hAnsi="Times New Roman" w:cs="Times New Roman"/>
          <w:b/>
          <w:color w:val="000000"/>
        </w:rPr>
      </w:pPr>
    </w:p>
    <w:p w:rsidR="0087111E" w:rsidRPr="0087111E" w:rsidRDefault="0087111E" w:rsidP="0087111E">
      <w:pPr>
        <w:spacing w:after="0" w:line="240" w:lineRule="auto"/>
        <w:rPr>
          <w:rFonts w:ascii="Times New Roman" w:eastAsia="Calibri" w:hAnsi="Times New Roman" w:cs="Times New Roman"/>
          <w:sz w:val="24"/>
          <w:szCs w:val="24"/>
          <w:lang w:val="it-IT"/>
        </w:rPr>
      </w:pPr>
      <w:r w:rsidRPr="0087111E">
        <w:rPr>
          <w:rFonts w:ascii="Times New Roman" w:eastAsia="Times New Roman" w:hAnsi="Times New Roman" w:cs="Times New Roman"/>
          <w:b/>
          <w:bCs/>
          <w:color w:val="000000"/>
          <w:szCs w:val="20"/>
        </w:rPr>
        <w:t>Sipërfaqet provë per llojin Pishë Mesdhetare</w:t>
      </w:r>
    </w:p>
    <w:tbl>
      <w:tblPr>
        <w:tblW w:w="9134" w:type="dxa"/>
        <w:tblLook w:val="04A0" w:firstRow="1" w:lastRow="0" w:firstColumn="1" w:lastColumn="0" w:noHBand="0" w:noVBand="1"/>
      </w:tblPr>
      <w:tblGrid>
        <w:gridCol w:w="540"/>
        <w:gridCol w:w="1072"/>
        <w:gridCol w:w="1664"/>
        <w:gridCol w:w="696"/>
        <w:gridCol w:w="1114"/>
        <w:gridCol w:w="756"/>
        <w:gridCol w:w="1591"/>
        <w:gridCol w:w="1701"/>
      </w:tblGrid>
      <w:tr w:rsidR="0087111E" w:rsidRPr="0087111E" w:rsidTr="005B3A66">
        <w:trPr>
          <w:trHeight w:val="52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NR</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Bashkia</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Lloji drunor</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Nr. dru</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Mosha (vjet)</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Sip. (m2)</w:t>
            </w:r>
          </w:p>
        </w:tc>
        <w:tc>
          <w:tcPr>
            <w:tcW w:w="1591" w:type="dxa"/>
            <w:tcBorders>
              <w:top w:val="single" w:sz="4" w:space="0" w:color="auto"/>
              <w:left w:val="nil"/>
              <w:bottom w:val="single" w:sz="4" w:space="0" w:color="auto"/>
              <w:right w:val="single" w:sz="4" w:space="0" w:color="auto"/>
            </w:tcBorders>
            <w:shd w:val="clear" w:color="auto" w:fill="auto"/>
            <w:vAlign w:val="bottom"/>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 xml:space="preserve"> (Y) </w:t>
            </w:r>
          </w:p>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KRGJSH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 xml:space="preserve"> (X) </w:t>
            </w:r>
          </w:p>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KRGJSH</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1</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Divjak</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P.ebutë,Vidh,fra</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36</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457275.177799</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4539988.195890</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2</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Divjak</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P.eegër</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16</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457209.561795</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4539326.449190</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3</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Fier</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P.ebutë</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41</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448797.225058</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4504853.304910</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Fier</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P.ebutë</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39</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448625.965566</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4504210.485450</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5</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Permet</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P.eegër,P.deti</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28</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531063.651425</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4456063.173780</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6</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Elbasan</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P.ebutë</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46</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500897.109151</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4557490.873660</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7</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Librazhd</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P.ebute</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24</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522118.825266</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4560423.687870</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8</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Shkoder</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P.ebute</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24</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453742.630849</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4636665.318700</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9</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Shkoder</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P.deti,Plep</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33</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450199.335271</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4636949.224480</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10</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Lezhe</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P.deti</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24</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465736.865675</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4625203.198190</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11</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Mirdite</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P.ebutë</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18</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482538.246868</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4626101.876110</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12</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Tropoje</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Hormoq,Ah</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33</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496498.489533</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4707450.777300</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13</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Kavaje</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P.eegër</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25</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459951.901143</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4554445.761760</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14</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Rogozhin</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P.ebutë</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21</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454558.954055</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4548361.935160</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15</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Vore</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P.ebutë</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28</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471932.953436</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4586948.751440</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16</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Peqin</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P.ebutë</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28</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489268.020687</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4547556.497150</w:t>
            </w:r>
          </w:p>
        </w:tc>
      </w:tr>
      <w:tr w:rsidR="0087111E" w:rsidRPr="0087111E" w:rsidTr="005B3A6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17</w:t>
            </w:r>
          </w:p>
        </w:tc>
        <w:tc>
          <w:tcPr>
            <w:tcW w:w="1072"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Gramsh</w:t>
            </w:r>
          </w:p>
        </w:tc>
        <w:tc>
          <w:tcPr>
            <w:tcW w:w="166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P.ebutë</w:t>
            </w:r>
          </w:p>
        </w:tc>
        <w:tc>
          <w:tcPr>
            <w:tcW w:w="69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21</w:t>
            </w:r>
          </w:p>
        </w:tc>
        <w:tc>
          <w:tcPr>
            <w:tcW w:w="1114"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400</w:t>
            </w:r>
          </w:p>
        </w:tc>
        <w:tc>
          <w:tcPr>
            <w:tcW w:w="159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516843.613318</w:t>
            </w:r>
          </w:p>
        </w:tc>
        <w:tc>
          <w:tcPr>
            <w:tcW w:w="1701" w:type="dxa"/>
            <w:tcBorders>
              <w:top w:val="nil"/>
              <w:left w:val="nil"/>
              <w:bottom w:val="single" w:sz="4" w:space="0" w:color="auto"/>
              <w:right w:val="single" w:sz="4" w:space="0" w:color="auto"/>
            </w:tcBorders>
            <w:shd w:val="clear" w:color="auto" w:fill="auto"/>
            <w:noWrap/>
            <w:vAlign w:val="center"/>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4522437.890530</w:t>
            </w:r>
          </w:p>
        </w:tc>
      </w:tr>
      <w:tr w:rsidR="0087111E" w:rsidRPr="0087111E" w:rsidTr="005B3A66">
        <w:trPr>
          <w:trHeight w:val="300"/>
        </w:trPr>
        <w:tc>
          <w:tcPr>
            <w:tcW w:w="16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11E" w:rsidRPr="0087111E" w:rsidRDefault="0087111E" w:rsidP="0087111E">
            <w:pPr>
              <w:spacing w:after="0" w:line="240" w:lineRule="auto"/>
              <w:jc w:val="center"/>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Totali</w:t>
            </w:r>
          </w:p>
        </w:tc>
        <w:tc>
          <w:tcPr>
            <w:tcW w:w="1664" w:type="dxa"/>
            <w:tcBorders>
              <w:top w:val="nil"/>
              <w:left w:val="nil"/>
              <w:bottom w:val="single" w:sz="4" w:space="0" w:color="auto"/>
              <w:right w:val="single" w:sz="4" w:space="0" w:color="auto"/>
            </w:tcBorders>
            <w:shd w:val="clear" w:color="auto" w:fill="auto"/>
            <w:noWrap/>
            <w:vAlign w:val="bottom"/>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 </w:t>
            </w:r>
          </w:p>
        </w:tc>
        <w:tc>
          <w:tcPr>
            <w:tcW w:w="696" w:type="dxa"/>
            <w:tcBorders>
              <w:top w:val="nil"/>
              <w:left w:val="nil"/>
              <w:bottom w:val="single" w:sz="4" w:space="0" w:color="auto"/>
              <w:right w:val="single" w:sz="4" w:space="0" w:color="auto"/>
            </w:tcBorders>
            <w:shd w:val="clear" w:color="auto" w:fill="auto"/>
            <w:noWrap/>
            <w:vAlign w:val="bottom"/>
            <w:hideMark/>
          </w:tcPr>
          <w:p w:rsidR="0087111E" w:rsidRPr="0087111E" w:rsidRDefault="0087111E" w:rsidP="0087111E">
            <w:pPr>
              <w:spacing w:after="0" w:line="240" w:lineRule="auto"/>
              <w:jc w:val="right"/>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485</w:t>
            </w:r>
          </w:p>
        </w:tc>
        <w:tc>
          <w:tcPr>
            <w:tcW w:w="1114" w:type="dxa"/>
            <w:tcBorders>
              <w:top w:val="nil"/>
              <w:left w:val="nil"/>
              <w:bottom w:val="single" w:sz="4" w:space="0" w:color="auto"/>
              <w:right w:val="single" w:sz="4" w:space="0" w:color="auto"/>
            </w:tcBorders>
            <w:shd w:val="clear" w:color="auto" w:fill="auto"/>
            <w:noWrap/>
            <w:vAlign w:val="bottom"/>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 </w:t>
            </w:r>
          </w:p>
        </w:tc>
        <w:tc>
          <w:tcPr>
            <w:tcW w:w="756" w:type="dxa"/>
            <w:tcBorders>
              <w:top w:val="nil"/>
              <w:left w:val="nil"/>
              <w:bottom w:val="single" w:sz="4" w:space="0" w:color="auto"/>
              <w:right w:val="single" w:sz="4" w:space="0" w:color="auto"/>
            </w:tcBorders>
            <w:shd w:val="clear" w:color="auto" w:fill="auto"/>
            <w:noWrap/>
            <w:vAlign w:val="bottom"/>
            <w:hideMark/>
          </w:tcPr>
          <w:p w:rsidR="0087111E" w:rsidRPr="0087111E" w:rsidRDefault="0087111E" w:rsidP="0087111E">
            <w:pPr>
              <w:spacing w:after="0" w:line="240" w:lineRule="auto"/>
              <w:jc w:val="right"/>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6800</w:t>
            </w:r>
          </w:p>
        </w:tc>
        <w:tc>
          <w:tcPr>
            <w:tcW w:w="1591" w:type="dxa"/>
            <w:tcBorders>
              <w:top w:val="nil"/>
              <w:left w:val="nil"/>
              <w:bottom w:val="single" w:sz="4" w:space="0" w:color="auto"/>
              <w:right w:val="single" w:sz="4" w:space="0" w:color="auto"/>
            </w:tcBorders>
            <w:shd w:val="clear" w:color="auto" w:fill="auto"/>
            <w:noWrap/>
            <w:vAlign w:val="bottom"/>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 </w:t>
            </w:r>
          </w:p>
        </w:tc>
        <w:tc>
          <w:tcPr>
            <w:tcW w:w="1701" w:type="dxa"/>
            <w:tcBorders>
              <w:top w:val="nil"/>
              <w:left w:val="nil"/>
              <w:bottom w:val="single" w:sz="4" w:space="0" w:color="auto"/>
              <w:right w:val="single" w:sz="4" w:space="0" w:color="auto"/>
            </w:tcBorders>
            <w:shd w:val="clear" w:color="auto" w:fill="auto"/>
            <w:noWrap/>
            <w:vAlign w:val="bottom"/>
            <w:hideMark/>
          </w:tcPr>
          <w:p w:rsidR="0087111E" w:rsidRPr="0087111E" w:rsidRDefault="0087111E" w:rsidP="0087111E">
            <w:pPr>
              <w:spacing w:after="0" w:line="240" w:lineRule="auto"/>
              <w:rPr>
                <w:rFonts w:ascii="Times New Roman" w:eastAsia="Times New Roman" w:hAnsi="Times New Roman" w:cs="Times New Roman"/>
                <w:color w:val="000000"/>
                <w:szCs w:val="20"/>
              </w:rPr>
            </w:pPr>
            <w:r w:rsidRPr="0087111E">
              <w:rPr>
                <w:rFonts w:ascii="Times New Roman" w:eastAsia="Times New Roman" w:hAnsi="Times New Roman" w:cs="Times New Roman"/>
                <w:color w:val="000000"/>
                <w:szCs w:val="20"/>
              </w:rPr>
              <w:t> </w:t>
            </w:r>
          </w:p>
        </w:tc>
      </w:tr>
    </w:tbl>
    <w:p w:rsidR="0087111E" w:rsidRDefault="0087111E">
      <w:pPr>
        <w:rPr>
          <w:rFonts w:ascii="Times New Roman" w:hAnsi="Times New Roman" w:cs="Times New Roman"/>
          <w:sz w:val="24"/>
          <w:szCs w:val="24"/>
        </w:rPr>
      </w:pPr>
    </w:p>
    <w:p w:rsidR="0087111E" w:rsidRPr="0087111E" w:rsidRDefault="0087111E" w:rsidP="0087111E">
      <w:pPr>
        <w:spacing w:after="0" w:line="240" w:lineRule="auto"/>
        <w:rPr>
          <w:rFonts w:ascii="Times New Roman" w:eastAsia="Calibri" w:hAnsi="Times New Roman" w:cs="Times New Roman"/>
          <w:sz w:val="24"/>
          <w:szCs w:val="24"/>
          <w:lang w:val="it-IT"/>
        </w:rPr>
      </w:pPr>
      <w:r w:rsidRPr="0087111E">
        <w:rPr>
          <w:rFonts w:ascii="Times New Roman" w:eastAsia="Times New Roman" w:hAnsi="Times New Roman" w:cs="Times New Roman"/>
          <w:b/>
          <w:bCs/>
          <w:color w:val="000000"/>
          <w:szCs w:val="24"/>
        </w:rPr>
        <w:t>Sipërfaqet provë për llojin Pishë e Zezë</w:t>
      </w:r>
    </w:p>
    <w:tbl>
      <w:tblPr>
        <w:tblW w:w="8551" w:type="dxa"/>
        <w:tblLook w:val="04A0" w:firstRow="1" w:lastRow="0" w:firstColumn="1" w:lastColumn="0" w:noHBand="0" w:noVBand="1"/>
      </w:tblPr>
      <w:tblGrid>
        <w:gridCol w:w="504"/>
        <w:gridCol w:w="1920"/>
        <w:gridCol w:w="1153"/>
        <w:gridCol w:w="565"/>
        <w:gridCol w:w="884"/>
        <w:gridCol w:w="914"/>
        <w:gridCol w:w="1531"/>
        <w:gridCol w:w="1104"/>
      </w:tblGrid>
      <w:tr w:rsidR="005B3A66" w:rsidRPr="005B3A66" w:rsidTr="005B3A66">
        <w:trPr>
          <w:trHeight w:val="458"/>
        </w:trPr>
        <w:tc>
          <w:tcPr>
            <w:tcW w:w="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xml:space="preserve">Nr. </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Bashkia Ekonomia Pyjore</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xml:space="preserve">   Lloji drunor</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Nr dru.</w:t>
            </w:r>
          </w:p>
        </w:tc>
        <w:tc>
          <w:tcPr>
            <w:tcW w:w="884" w:type="dxa"/>
            <w:tcBorders>
              <w:top w:val="single" w:sz="4" w:space="0" w:color="auto"/>
              <w:left w:val="nil"/>
              <w:bottom w:val="single" w:sz="4" w:space="0" w:color="auto"/>
              <w:right w:val="single" w:sz="4" w:space="0" w:color="auto"/>
            </w:tcBorders>
            <w:shd w:val="clear" w:color="auto" w:fill="auto"/>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Mosha (vjet)</w:t>
            </w:r>
          </w:p>
        </w:tc>
        <w:tc>
          <w:tcPr>
            <w:tcW w:w="914" w:type="dxa"/>
            <w:tcBorders>
              <w:top w:val="single" w:sz="4" w:space="0" w:color="auto"/>
              <w:left w:val="nil"/>
              <w:bottom w:val="single" w:sz="4" w:space="0" w:color="auto"/>
              <w:right w:val="single" w:sz="4" w:space="0" w:color="auto"/>
            </w:tcBorders>
            <w:shd w:val="clear" w:color="auto" w:fill="auto"/>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Sip. (m2)</w:t>
            </w:r>
          </w:p>
        </w:tc>
        <w:tc>
          <w:tcPr>
            <w:tcW w:w="1531" w:type="dxa"/>
            <w:tcBorders>
              <w:top w:val="single" w:sz="4" w:space="0" w:color="auto"/>
              <w:left w:val="nil"/>
              <w:bottom w:val="single" w:sz="4" w:space="0" w:color="auto"/>
              <w:right w:val="single" w:sz="4" w:space="0" w:color="auto"/>
            </w:tcBorders>
            <w:shd w:val="clear" w:color="auto" w:fill="auto"/>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xml:space="preserve"> (Y) </w:t>
            </w:r>
          </w:p>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KRGJSH</w:t>
            </w:r>
          </w:p>
        </w:tc>
        <w:tc>
          <w:tcPr>
            <w:tcW w:w="1104" w:type="dxa"/>
            <w:tcBorders>
              <w:top w:val="single" w:sz="4" w:space="0" w:color="auto"/>
              <w:left w:val="nil"/>
              <w:bottom w:val="single" w:sz="4" w:space="0" w:color="auto"/>
              <w:right w:val="single" w:sz="4" w:space="0" w:color="auto"/>
            </w:tcBorders>
            <w:shd w:val="clear" w:color="auto" w:fill="auto"/>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xml:space="preserve"> (X) KRGJSH</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Mat (Dushku-kuq)</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21</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511509.1</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4592872</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Diber (Sllove)</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74</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539128.4</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4634189</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3</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Vlore (Llogara)</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11</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463310.2</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4455283</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Tirane (Shkalle)</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29</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500907.6</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4571885</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Kruj (Qaf-Shtam)</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11</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490748.7</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4598330</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6</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Elbasan (Zavalin)</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36</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517218.4</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4543157</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7</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Librazhd (Qarisht)</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25</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534485.8</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4568934</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8</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Tropoj (Valbon)</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20</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489192.6</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4702417</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9</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 w:val="16"/>
                <w:szCs w:val="14"/>
              </w:rPr>
              <w:t>Gramsh (Skenderbegas)</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20</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522024</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4514200</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10</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Kukes (Kalis)</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47</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530542.3</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4635011</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11</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Skrapar (Mollaj)</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28</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521719.7</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4489861</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12</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Korce (Voskopoje)</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16</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550658.1</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4501529</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13</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Kolonje (Germenj)</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37</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555413.4</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4455363</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14</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 xml:space="preserve">Bulqize (Liqenet) </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24</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519392</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4595265</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15</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 xml:space="preserve">Fush Arrzë. </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46</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503355.9</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4660400</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lastRenderedPageBreak/>
              <w:t>16</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Shkoder</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8</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484571.1</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4693812</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17</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Fush Arzë</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21</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513897.1</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4667849</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18</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Puke</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14</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491994.6</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4656906</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19</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Kukes</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20</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543769.9</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4651999</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20</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Kukes</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21</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532981.8</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4633876</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21</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Elbasan</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18</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505120.2</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4563250</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22</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Gramsh</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13</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521147.3</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4515234</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23</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Skrapar</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14</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527271.6</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4504504</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24</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Skrapar</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9</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528652</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4498351</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25</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Korce</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23</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548139.8</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4489543</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26</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Korce</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12</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563463.1</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4488520</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27</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Devoll</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10</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580481.7</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4486110</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28</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Memaliaj</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13</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500347</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4480002</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29</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Kolonje</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23</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561493.4</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4467698</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30</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Vlore</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11</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464334.2</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4453890</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31</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Kolonje</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14</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551330</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4455078</w:t>
            </w:r>
          </w:p>
        </w:tc>
      </w:tr>
      <w:tr w:rsidR="005B3A66" w:rsidRPr="005B3A66" w:rsidTr="005B3A6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32</w:t>
            </w:r>
          </w:p>
        </w:tc>
        <w:tc>
          <w:tcPr>
            <w:tcW w:w="192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Kolonje</w:t>
            </w:r>
          </w:p>
        </w:tc>
        <w:tc>
          <w:tcPr>
            <w:tcW w:w="115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7</w:t>
            </w:r>
          </w:p>
        </w:tc>
        <w:tc>
          <w:tcPr>
            <w:tcW w:w="88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400</w:t>
            </w:r>
          </w:p>
        </w:tc>
        <w:tc>
          <w:tcPr>
            <w:tcW w:w="1531"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549828.7</w:t>
            </w:r>
          </w:p>
        </w:tc>
        <w:tc>
          <w:tcPr>
            <w:tcW w:w="1104"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4455569</w:t>
            </w:r>
          </w:p>
        </w:tc>
      </w:tr>
      <w:tr w:rsidR="005B3A66" w:rsidRPr="005B3A66" w:rsidTr="005B3A66">
        <w:trPr>
          <w:trHeight w:val="300"/>
        </w:trPr>
        <w:tc>
          <w:tcPr>
            <w:tcW w:w="24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jc w:val="center"/>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Totali</w:t>
            </w:r>
          </w:p>
        </w:tc>
        <w:tc>
          <w:tcPr>
            <w:tcW w:w="115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 </w:t>
            </w:r>
          </w:p>
        </w:tc>
        <w:tc>
          <w:tcPr>
            <w:tcW w:w="55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jc w:val="right"/>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696</w:t>
            </w:r>
          </w:p>
        </w:tc>
        <w:tc>
          <w:tcPr>
            <w:tcW w:w="884"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 </w:t>
            </w:r>
          </w:p>
        </w:tc>
        <w:tc>
          <w:tcPr>
            <w:tcW w:w="914"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jc w:val="right"/>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12800</w:t>
            </w:r>
          </w:p>
        </w:tc>
        <w:tc>
          <w:tcPr>
            <w:tcW w:w="1531"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 </w:t>
            </w:r>
          </w:p>
        </w:tc>
        <w:tc>
          <w:tcPr>
            <w:tcW w:w="1104"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 </w:t>
            </w:r>
          </w:p>
        </w:tc>
      </w:tr>
    </w:tbl>
    <w:p w:rsidR="0087111E" w:rsidRDefault="0087111E">
      <w:pPr>
        <w:rPr>
          <w:rFonts w:ascii="Times New Roman" w:hAnsi="Times New Roman" w:cs="Times New Roman"/>
          <w:sz w:val="24"/>
          <w:szCs w:val="24"/>
        </w:rPr>
      </w:pPr>
    </w:p>
    <w:p w:rsidR="005B3A66" w:rsidRPr="005B3A66" w:rsidRDefault="005B3A66" w:rsidP="005B3A66">
      <w:pPr>
        <w:spacing w:after="0" w:line="240" w:lineRule="auto"/>
        <w:rPr>
          <w:rFonts w:ascii="Times New Roman" w:eastAsia="Calibri" w:hAnsi="Times New Roman" w:cs="Times New Roman"/>
          <w:sz w:val="24"/>
          <w:szCs w:val="24"/>
          <w:lang w:val="it-IT"/>
        </w:rPr>
      </w:pPr>
      <w:r w:rsidRPr="005B3A66">
        <w:rPr>
          <w:rFonts w:ascii="Times New Roman" w:eastAsia="Calibri" w:hAnsi="Times New Roman" w:cs="Times New Roman"/>
          <w:b/>
          <w:szCs w:val="24"/>
        </w:rPr>
        <w:t>Sipërfaqet prove për halorë të tjerë</w:t>
      </w:r>
    </w:p>
    <w:p w:rsidR="005B3A66" w:rsidRPr="005B3A66" w:rsidRDefault="005B3A66" w:rsidP="005B3A66">
      <w:pPr>
        <w:spacing w:after="0" w:line="240" w:lineRule="auto"/>
        <w:jc w:val="both"/>
        <w:rPr>
          <w:rFonts w:ascii="Times New Roman" w:eastAsia="Calibri" w:hAnsi="Times New Roman" w:cs="Times New Roman"/>
          <w:b/>
          <w:szCs w:val="24"/>
        </w:rPr>
      </w:pPr>
    </w:p>
    <w:tbl>
      <w:tblPr>
        <w:tblW w:w="8183" w:type="dxa"/>
        <w:tblLook w:val="04A0" w:firstRow="1" w:lastRow="0" w:firstColumn="1" w:lastColumn="0" w:noHBand="0" w:noVBand="1"/>
      </w:tblPr>
      <w:tblGrid>
        <w:gridCol w:w="960"/>
        <w:gridCol w:w="1083"/>
        <w:gridCol w:w="960"/>
        <w:gridCol w:w="960"/>
        <w:gridCol w:w="960"/>
        <w:gridCol w:w="960"/>
        <w:gridCol w:w="1150"/>
        <w:gridCol w:w="1150"/>
      </w:tblGrid>
      <w:tr w:rsidR="005B3A66" w:rsidRPr="005B3A66" w:rsidTr="005B3A66">
        <w:trPr>
          <w:trHeight w:val="66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5B3A66" w:rsidRPr="005B3A66" w:rsidRDefault="005B3A66" w:rsidP="005B3A66">
            <w:pPr>
              <w:spacing w:after="0" w:line="240" w:lineRule="auto"/>
              <w:jc w:val="center"/>
              <w:rPr>
                <w:rFonts w:ascii="Times New Roman" w:eastAsia="Times New Roman" w:hAnsi="Times New Roman" w:cs="Times New Roman"/>
                <w:color w:val="000000"/>
              </w:rPr>
            </w:pPr>
            <w:r w:rsidRPr="005B3A66">
              <w:rPr>
                <w:rFonts w:ascii="Times New Roman" w:eastAsia="Times New Roman" w:hAnsi="Times New Roman" w:cs="Times New Roman"/>
                <w:color w:val="000000"/>
              </w:rPr>
              <w:t xml:space="preserve">Nr. </w:t>
            </w:r>
          </w:p>
        </w:tc>
        <w:tc>
          <w:tcPr>
            <w:tcW w:w="1083" w:type="dxa"/>
            <w:tcBorders>
              <w:top w:val="single" w:sz="4" w:space="0" w:color="auto"/>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rPr>
            </w:pPr>
            <w:r w:rsidRPr="005B3A66">
              <w:rPr>
                <w:rFonts w:ascii="Times New Roman" w:eastAsia="Times New Roman" w:hAnsi="Times New Roman" w:cs="Times New Roman"/>
                <w:color w:val="000000"/>
              </w:rPr>
              <w:t>Bashkia</w:t>
            </w:r>
          </w:p>
        </w:tc>
        <w:tc>
          <w:tcPr>
            <w:tcW w:w="960" w:type="dxa"/>
            <w:tcBorders>
              <w:top w:val="single" w:sz="4" w:space="0" w:color="auto"/>
              <w:left w:val="nil"/>
              <w:bottom w:val="single" w:sz="4" w:space="0" w:color="auto"/>
              <w:right w:val="single" w:sz="4" w:space="0" w:color="auto"/>
            </w:tcBorders>
            <w:shd w:val="clear" w:color="auto" w:fill="auto"/>
            <w:hideMark/>
          </w:tcPr>
          <w:p w:rsidR="005B3A66" w:rsidRPr="005B3A66" w:rsidRDefault="005B3A66" w:rsidP="005B3A66">
            <w:pPr>
              <w:spacing w:after="0" w:line="240" w:lineRule="auto"/>
              <w:jc w:val="center"/>
              <w:rPr>
                <w:rFonts w:ascii="Times New Roman" w:eastAsia="Times New Roman" w:hAnsi="Times New Roman" w:cs="Times New Roman"/>
                <w:color w:val="000000"/>
              </w:rPr>
            </w:pPr>
            <w:r w:rsidRPr="005B3A66">
              <w:rPr>
                <w:rFonts w:ascii="Times New Roman" w:eastAsia="Times New Roman" w:hAnsi="Times New Roman" w:cs="Times New Roman"/>
                <w:color w:val="000000"/>
              </w:rPr>
              <w:t xml:space="preserve">   Lloji drunor</w:t>
            </w:r>
          </w:p>
        </w:tc>
        <w:tc>
          <w:tcPr>
            <w:tcW w:w="960" w:type="dxa"/>
            <w:tcBorders>
              <w:top w:val="single" w:sz="4" w:space="0" w:color="auto"/>
              <w:left w:val="nil"/>
              <w:bottom w:val="single" w:sz="4" w:space="0" w:color="auto"/>
              <w:right w:val="single" w:sz="4" w:space="0" w:color="auto"/>
            </w:tcBorders>
            <w:shd w:val="clear" w:color="auto" w:fill="auto"/>
            <w:hideMark/>
          </w:tcPr>
          <w:p w:rsidR="005B3A66" w:rsidRPr="005B3A66" w:rsidRDefault="005B3A66" w:rsidP="005B3A66">
            <w:pPr>
              <w:spacing w:after="0" w:line="240" w:lineRule="auto"/>
              <w:jc w:val="center"/>
              <w:rPr>
                <w:rFonts w:ascii="Times New Roman" w:eastAsia="Times New Roman" w:hAnsi="Times New Roman" w:cs="Times New Roman"/>
                <w:color w:val="000000"/>
              </w:rPr>
            </w:pPr>
            <w:r w:rsidRPr="005B3A66">
              <w:rPr>
                <w:rFonts w:ascii="Times New Roman" w:eastAsia="Times New Roman" w:hAnsi="Times New Roman" w:cs="Times New Roman"/>
                <w:color w:val="000000"/>
              </w:rPr>
              <w:t>Nr dru.</w:t>
            </w:r>
          </w:p>
        </w:tc>
        <w:tc>
          <w:tcPr>
            <w:tcW w:w="960" w:type="dxa"/>
            <w:tcBorders>
              <w:top w:val="single" w:sz="4" w:space="0" w:color="auto"/>
              <w:left w:val="nil"/>
              <w:bottom w:val="single" w:sz="4" w:space="0" w:color="auto"/>
              <w:right w:val="single" w:sz="4" w:space="0" w:color="auto"/>
            </w:tcBorders>
            <w:shd w:val="clear" w:color="auto" w:fill="auto"/>
            <w:hideMark/>
          </w:tcPr>
          <w:p w:rsidR="005B3A66" w:rsidRPr="005B3A66" w:rsidRDefault="005B3A66" w:rsidP="005B3A66">
            <w:pPr>
              <w:spacing w:after="0" w:line="240" w:lineRule="auto"/>
              <w:jc w:val="center"/>
              <w:rPr>
                <w:rFonts w:ascii="Times New Roman" w:eastAsia="Times New Roman" w:hAnsi="Times New Roman" w:cs="Times New Roman"/>
                <w:color w:val="000000"/>
              </w:rPr>
            </w:pPr>
            <w:r w:rsidRPr="005B3A66">
              <w:rPr>
                <w:rFonts w:ascii="Times New Roman" w:eastAsia="Times New Roman" w:hAnsi="Times New Roman" w:cs="Times New Roman"/>
                <w:color w:val="000000"/>
              </w:rPr>
              <w:t>Mosha (vjet)</w:t>
            </w:r>
          </w:p>
        </w:tc>
        <w:tc>
          <w:tcPr>
            <w:tcW w:w="960" w:type="dxa"/>
            <w:tcBorders>
              <w:top w:val="single" w:sz="4" w:space="0" w:color="auto"/>
              <w:left w:val="nil"/>
              <w:bottom w:val="single" w:sz="4" w:space="0" w:color="auto"/>
              <w:right w:val="single" w:sz="4" w:space="0" w:color="auto"/>
            </w:tcBorders>
            <w:shd w:val="clear" w:color="auto" w:fill="auto"/>
            <w:hideMark/>
          </w:tcPr>
          <w:p w:rsidR="005B3A66" w:rsidRPr="005B3A66" w:rsidRDefault="005B3A66" w:rsidP="005B3A66">
            <w:pPr>
              <w:spacing w:after="0" w:line="240" w:lineRule="auto"/>
              <w:jc w:val="center"/>
              <w:rPr>
                <w:rFonts w:ascii="Times New Roman" w:eastAsia="Times New Roman" w:hAnsi="Times New Roman" w:cs="Times New Roman"/>
                <w:color w:val="000000"/>
              </w:rPr>
            </w:pPr>
            <w:r w:rsidRPr="005B3A66">
              <w:rPr>
                <w:rFonts w:ascii="Times New Roman" w:eastAsia="Times New Roman" w:hAnsi="Times New Roman" w:cs="Times New Roman"/>
                <w:color w:val="000000"/>
              </w:rPr>
              <w:t>Sip. (m</w:t>
            </w:r>
            <w:r w:rsidRPr="005B3A66">
              <w:rPr>
                <w:rFonts w:ascii="Times New Roman" w:eastAsia="Times New Roman" w:hAnsi="Times New Roman" w:cs="Times New Roman"/>
                <w:color w:val="000000"/>
                <w:vertAlign w:val="superscript"/>
              </w:rPr>
              <w:t>2</w:t>
            </w:r>
            <w:r w:rsidRPr="005B3A66">
              <w:rPr>
                <w:rFonts w:ascii="Times New Roman" w:eastAsia="Times New Roman" w:hAnsi="Times New Roman" w:cs="Times New Roman"/>
                <w:color w:val="000000"/>
              </w:rPr>
              <w:t>)</w:t>
            </w:r>
          </w:p>
        </w:tc>
        <w:tc>
          <w:tcPr>
            <w:tcW w:w="1150" w:type="dxa"/>
            <w:tcBorders>
              <w:top w:val="single" w:sz="4" w:space="0" w:color="auto"/>
              <w:left w:val="nil"/>
              <w:bottom w:val="single" w:sz="4" w:space="0" w:color="auto"/>
              <w:right w:val="single" w:sz="4" w:space="0" w:color="auto"/>
            </w:tcBorders>
            <w:shd w:val="clear" w:color="auto" w:fill="auto"/>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xml:space="preserve"> (Y) KRGJSH</w:t>
            </w:r>
          </w:p>
        </w:tc>
        <w:tc>
          <w:tcPr>
            <w:tcW w:w="1150" w:type="dxa"/>
            <w:tcBorders>
              <w:top w:val="single" w:sz="4" w:space="0" w:color="auto"/>
              <w:left w:val="nil"/>
              <w:bottom w:val="single" w:sz="4" w:space="0" w:color="auto"/>
              <w:right w:val="single" w:sz="4" w:space="0" w:color="auto"/>
            </w:tcBorders>
            <w:shd w:val="clear" w:color="auto" w:fill="auto"/>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xml:space="preserve"> (X) KRGJSH</w:t>
            </w:r>
          </w:p>
        </w:tc>
      </w:tr>
      <w:tr w:rsidR="005B3A66" w:rsidRPr="005B3A66" w:rsidTr="005B3A66">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w:t>
            </w:r>
          </w:p>
        </w:tc>
        <w:tc>
          <w:tcPr>
            <w:tcW w:w="1083"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Gramsh</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Hartinë</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59</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&lt;60</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534937.3</w:t>
            </w:r>
          </w:p>
        </w:tc>
        <w:tc>
          <w:tcPr>
            <w:tcW w:w="115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4516409</w:t>
            </w:r>
          </w:p>
        </w:tc>
      </w:tr>
      <w:tr w:rsidR="005B3A66" w:rsidRPr="005B3A66" w:rsidTr="005B3A66">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2</w:t>
            </w:r>
          </w:p>
        </w:tc>
        <w:tc>
          <w:tcPr>
            <w:tcW w:w="1083"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Gramsh</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Robull</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30</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&gt;60</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534937.3</w:t>
            </w:r>
          </w:p>
        </w:tc>
        <w:tc>
          <w:tcPr>
            <w:tcW w:w="115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4516409</w:t>
            </w:r>
          </w:p>
        </w:tc>
      </w:tr>
      <w:tr w:rsidR="005B3A66" w:rsidRPr="005B3A66" w:rsidTr="005B3A66">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3</w:t>
            </w:r>
          </w:p>
        </w:tc>
        <w:tc>
          <w:tcPr>
            <w:tcW w:w="1083"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Kukes</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Robull</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15</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&gt;60</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539681.2</w:t>
            </w:r>
          </w:p>
        </w:tc>
        <w:tc>
          <w:tcPr>
            <w:tcW w:w="115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4650884</w:t>
            </w:r>
          </w:p>
        </w:tc>
      </w:tr>
      <w:tr w:rsidR="005B3A66" w:rsidRPr="005B3A66" w:rsidTr="005B3A66">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w:t>
            </w:r>
          </w:p>
        </w:tc>
        <w:tc>
          <w:tcPr>
            <w:tcW w:w="1083"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Tropojë</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Arrne</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22</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&gt;60</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499611.9</w:t>
            </w:r>
          </w:p>
        </w:tc>
        <w:tc>
          <w:tcPr>
            <w:tcW w:w="115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4707052</w:t>
            </w:r>
          </w:p>
        </w:tc>
      </w:tr>
      <w:tr w:rsidR="005B3A66" w:rsidRPr="005B3A66" w:rsidTr="005B3A66">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w:t>
            </w:r>
          </w:p>
        </w:tc>
        <w:tc>
          <w:tcPr>
            <w:tcW w:w="1083"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Librazhd</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Bredh</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26</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&gt;60</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534299.6</w:t>
            </w:r>
          </w:p>
        </w:tc>
        <w:tc>
          <w:tcPr>
            <w:tcW w:w="115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4567434</w:t>
            </w:r>
          </w:p>
        </w:tc>
      </w:tr>
      <w:tr w:rsidR="005B3A66" w:rsidRPr="005B3A66" w:rsidTr="005B3A66">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6</w:t>
            </w:r>
          </w:p>
        </w:tc>
        <w:tc>
          <w:tcPr>
            <w:tcW w:w="1083"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Permet</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Bredh</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29</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&gt;60</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532592.7</w:t>
            </w:r>
          </w:p>
        </w:tc>
        <w:tc>
          <w:tcPr>
            <w:tcW w:w="115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4467892</w:t>
            </w:r>
          </w:p>
        </w:tc>
      </w:tr>
      <w:tr w:rsidR="005B3A66" w:rsidRPr="005B3A66" w:rsidTr="005B3A66">
        <w:trPr>
          <w:trHeight w:val="315"/>
        </w:trPr>
        <w:tc>
          <w:tcPr>
            <w:tcW w:w="204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 xml:space="preserve">Totali </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 </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181</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 </w:t>
            </w:r>
          </w:p>
        </w:tc>
        <w:tc>
          <w:tcPr>
            <w:tcW w:w="960" w:type="dxa"/>
            <w:tcBorders>
              <w:top w:val="nil"/>
              <w:left w:val="nil"/>
              <w:bottom w:val="single" w:sz="4" w:space="0" w:color="auto"/>
              <w:right w:val="single" w:sz="4" w:space="0" w:color="auto"/>
            </w:tcBorders>
            <w:shd w:val="clear" w:color="auto" w:fill="auto"/>
            <w:noWrap/>
            <w:hideMark/>
          </w:tcPr>
          <w:p w:rsidR="005B3A66" w:rsidRPr="005B3A66" w:rsidRDefault="005B3A66" w:rsidP="005B3A66">
            <w:pPr>
              <w:spacing w:after="0" w:line="240" w:lineRule="auto"/>
              <w:jc w:val="center"/>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2400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w:t>
            </w:r>
          </w:p>
        </w:tc>
      </w:tr>
    </w:tbl>
    <w:p w:rsidR="005B3A66" w:rsidRPr="005B3A66" w:rsidRDefault="005B3A66" w:rsidP="005B3A66">
      <w:pPr>
        <w:spacing w:after="0" w:line="240" w:lineRule="auto"/>
        <w:jc w:val="both"/>
        <w:rPr>
          <w:rFonts w:ascii="Times New Roman" w:eastAsia="Calibri" w:hAnsi="Times New Roman" w:cs="Times New Roman"/>
          <w:b/>
          <w:szCs w:val="24"/>
        </w:rPr>
      </w:pPr>
    </w:p>
    <w:p w:rsidR="005B3A66" w:rsidRPr="005B3A66" w:rsidRDefault="005B3A66" w:rsidP="005B3A66">
      <w:pPr>
        <w:spacing w:after="0" w:line="240" w:lineRule="auto"/>
        <w:rPr>
          <w:rFonts w:ascii="Times New Roman" w:eastAsia="Calibri" w:hAnsi="Times New Roman" w:cs="Times New Roman"/>
          <w:sz w:val="24"/>
          <w:szCs w:val="24"/>
          <w:lang w:val="it-IT"/>
        </w:rPr>
      </w:pPr>
      <w:r w:rsidRPr="005B3A66">
        <w:rPr>
          <w:rFonts w:ascii="Times New Roman" w:eastAsia="Calibri" w:hAnsi="Times New Roman" w:cs="Times New Roman"/>
          <w:b/>
          <w:szCs w:val="24"/>
        </w:rPr>
        <w:t>Sipërfaqet provë për llojin Ah dhe Mështeknë.</w:t>
      </w:r>
    </w:p>
    <w:tbl>
      <w:tblPr>
        <w:tblW w:w="8229" w:type="dxa"/>
        <w:tblLook w:val="04A0" w:firstRow="1" w:lastRow="0" w:firstColumn="1" w:lastColumn="0" w:noHBand="0" w:noVBand="1"/>
      </w:tblPr>
      <w:tblGrid>
        <w:gridCol w:w="543"/>
        <w:gridCol w:w="1535"/>
        <w:gridCol w:w="1270"/>
        <w:gridCol w:w="623"/>
        <w:gridCol w:w="1189"/>
        <w:gridCol w:w="683"/>
        <w:gridCol w:w="1150"/>
        <w:gridCol w:w="1236"/>
      </w:tblGrid>
      <w:tr w:rsidR="005B3A66" w:rsidRPr="005B3A66" w:rsidTr="005B3A66">
        <w:trPr>
          <w:trHeight w:val="827"/>
        </w:trPr>
        <w:tc>
          <w:tcPr>
            <w:tcW w:w="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xml:space="preserve">Nr. </w:t>
            </w:r>
          </w:p>
        </w:tc>
        <w:tc>
          <w:tcPr>
            <w:tcW w:w="1535" w:type="dxa"/>
            <w:tcBorders>
              <w:top w:val="single" w:sz="4" w:space="0" w:color="auto"/>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xml:space="preserve">Bashkia </w:t>
            </w:r>
          </w:p>
        </w:tc>
        <w:tc>
          <w:tcPr>
            <w:tcW w:w="1270" w:type="dxa"/>
            <w:tcBorders>
              <w:top w:val="single" w:sz="4" w:space="0" w:color="auto"/>
              <w:left w:val="nil"/>
              <w:bottom w:val="single" w:sz="4" w:space="0" w:color="auto"/>
              <w:right w:val="single" w:sz="4" w:space="0" w:color="auto"/>
            </w:tcBorders>
            <w:shd w:val="clear" w:color="auto" w:fill="auto"/>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xml:space="preserve">   Lloji drunor</w:t>
            </w:r>
          </w:p>
        </w:tc>
        <w:tc>
          <w:tcPr>
            <w:tcW w:w="623" w:type="dxa"/>
            <w:tcBorders>
              <w:top w:val="single" w:sz="4" w:space="0" w:color="auto"/>
              <w:left w:val="nil"/>
              <w:bottom w:val="single" w:sz="4" w:space="0" w:color="auto"/>
              <w:right w:val="single" w:sz="4" w:space="0" w:color="auto"/>
            </w:tcBorders>
            <w:shd w:val="clear" w:color="auto" w:fill="auto"/>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Nr. dru. s.pr</w:t>
            </w:r>
          </w:p>
        </w:tc>
        <w:tc>
          <w:tcPr>
            <w:tcW w:w="1189" w:type="dxa"/>
            <w:tcBorders>
              <w:top w:val="single" w:sz="4" w:space="0" w:color="auto"/>
              <w:left w:val="nil"/>
              <w:bottom w:val="single" w:sz="4" w:space="0" w:color="auto"/>
              <w:right w:val="single" w:sz="4" w:space="0" w:color="auto"/>
            </w:tcBorders>
            <w:shd w:val="clear" w:color="auto" w:fill="auto"/>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Mosha (vjet)</w:t>
            </w:r>
          </w:p>
        </w:tc>
        <w:tc>
          <w:tcPr>
            <w:tcW w:w="683" w:type="dxa"/>
            <w:tcBorders>
              <w:top w:val="single" w:sz="4" w:space="0" w:color="auto"/>
              <w:left w:val="nil"/>
              <w:bottom w:val="single" w:sz="4" w:space="0" w:color="auto"/>
              <w:right w:val="single" w:sz="4" w:space="0" w:color="auto"/>
            </w:tcBorders>
            <w:shd w:val="clear" w:color="auto" w:fill="auto"/>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Sip. (m2)</w:t>
            </w:r>
          </w:p>
        </w:tc>
        <w:tc>
          <w:tcPr>
            <w:tcW w:w="1150" w:type="dxa"/>
            <w:tcBorders>
              <w:top w:val="single" w:sz="4" w:space="0" w:color="auto"/>
              <w:left w:val="nil"/>
              <w:bottom w:val="single" w:sz="4" w:space="0" w:color="auto"/>
              <w:right w:val="single" w:sz="4" w:space="0" w:color="auto"/>
            </w:tcBorders>
            <w:shd w:val="clear" w:color="auto" w:fill="auto"/>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xml:space="preserve"> (Y) KRGJSH</w:t>
            </w:r>
          </w:p>
        </w:tc>
        <w:tc>
          <w:tcPr>
            <w:tcW w:w="1236" w:type="dxa"/>
            <w:tcBorders>
              <w:top w:val="single" w:sz="4" w:space="0" w:color="auto"/>
              <w:left w:val="nil"/>
              <w:bottom w:val="single" w:sz="4" w:space="0" w:color="auto"/>
              <w:right w:val="single" w:sz="4" w:space="0" w:color="auto"/>
            </w:tcBorders>
            <w:shd w:val="clear" w:color="auto" w:fill="auto"/>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xml:space="preserve"> (X) KRGJSH</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Tropoj</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502512.9</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4707737.2</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2</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M.Madhe</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26</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470028.2</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4705453.4</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3</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Kukes</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18</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535697.2</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4650602.2</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Diber</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15</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513879.6</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4634140.8</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Klos</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25</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504379.3</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4590713.2</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6</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Tirane</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18</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511722</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4578593.1</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lastRenderedPageBreak/>
              <w:t>7</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Librazhd</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20</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537150.6</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4568381.5</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8</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Prenjas</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39</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548272.7</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4558204.6</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9</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Elbasan</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17</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525934.1</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4543241.6</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10</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Pogradec</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21</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533845.3</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4533828</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11</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Maliq</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15</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542247.9</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4516415.9</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12</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Mirdit</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9</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510009.5</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4648601.6</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13</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Kolonje</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18</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539912.8</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4475370.5</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14</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Bulqize</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36</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525899.3</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4591829.8</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15</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Has</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26</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537193.6</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4668704.6</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16</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Tropojë</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10</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498744.4</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4708410.2</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17</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Fush-Arrz</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18</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507758</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4670576.2</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18</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Shkodër</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25</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479961.9</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4694522.7</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19</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Kukës</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Ah</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30</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551298.5</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4648644.1</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20</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Peshkopi</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Meshtekne</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29</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537167.4</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4634178.1</w:t>
            </w:r>
          </w:p>
        </w:tc>
      </w:tr>
      <w:tr w:rsidR="005B3A66" w:rsidRPr="005B3A66" w:rsidTr="005B3A66">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21</w:t>
            </w:r>
          </w:p>
        </w:tc>
        <w:tc>
          <w:tcPr>
            <w:tcW w:w="1535"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Kukës</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Meshtekne</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26</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mbi 60</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551297</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4"/>
              </w:rPr>
            </w:pPr>
            <w:r w:rsidRPr="005B3A66">
              <w:rPr>
                <w:rFonts w:ascii="Times New Roman" w:eastAsia="Times New Roman" w:hAnsi="Times New Roman" w:cs="Times New Roman"/>
                <w:color w:val="000000"/>
                <w:szCs w:val="24"/>
              </w:rPr>
              <w:t>4648854</w:t>
            </w:r>
          </w:p>
        </w:tc>
      </w:tr>
      <w:tr w:rsidR="005B3A66" w:rsidRPr="005B3A66" w:rsidTr="005B3A66">
        <w:trPr>
          <w:trHeight w:val="300"/>
        </w:trPr>
        <w:tc>
          <w:tcPr>
            <w:tcW w:w="207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jc w:val="center"/>
              <w:rPr>
                <w:rFonts w:ascii="Times New Roman" w:eastAsia="Times New Roman" w:hAnsi="Times New Roman" w:cs="Times New Roman"/>
                <w:color w:val="000000"/>
              </w:rPr>
            </w:pPr>
            <w:r w:rsidRPr="005B3A66">
              <w:rPr>
                <w:rFonts w:ascii="Times New Roman" w:eastAsia="Times New Roman" w:hAnsi="Times New Roman" w:cs="Times New Roman"/>
                <w:color w:val="000000"/>
              </w:rPr>
              <w:t>Totali</w:t>
            </w:r>
          </w:p>
        </w:tc>
        <w:tc>
          <w:tcPr>
            <w:tcW w:w="127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w:t>
            </w:r>
          </w:p>
        </w:tc>
        <w:tc>
          <w:tcPr>
            <w:tcW w:w="6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jc w:val="right"/>
              <w:rPr>
                <w:rFonts w:ascii="Times New Roman" w:eastAsia="Times New Roman" w:hAnsi="Times New Roman" w:cs="Times New Roman"/>
                <w:color w:val="000000"/>
              </w:rPr>
            </w:pPr>
            <w:r w:rsidRPr="005B3A66">
              <w:rPr>
                <w:rFonts w:ascii="Times New Roman" w:eastAsia="Times New Roman" w:hAnsi="Times New Roman" w:cs="Times New Roman"/>
                <w:color w:val="000000"/>
              </w:rPr>
              <w:t>481</w:t>
            </w:r>
          </w:p>
        </w:tc>
        <w:tc>
          <w:tcPr>
            <w:tcW w:w="118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w:t>
            </w:r>
          </w:p>
        </w:tc>
        <w:tc>
          <w:tcPr>
            <w:tcW w:w="68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jc w:val="right"/>
              <w:rPr>
                <w:rFonts w:ascii="Times New Roman" w:eastAsia="Times New Roman" w:hAnsi="Times New Roman" w:cs="Times New Roman"/>
                <w:color w:val="000000"/>
              </w:rPr>
            </w:pPr>
            <w:r w:rsidRPr="005B3A66">
              <w:rPr>
                <w:rFonts w:ascii="Times New Roman" w:eastAsia="Times New Roman" w:hAnsi="Times New Roman" w:cs="Times New Roman"/>
                <w:color w:val="000000"/>
              </w:rPr>
              <w:t>8400</w:t>
            </w:r>
          </w:p>
        </w:tc>
        <w:tc>
          <w:tcPr>
            <w:tcW w:w="115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w:t>
            </w:r>
          </w:p>
        </w:tc>
        <w:tc>
          <w:tcPr>
            <w:tcW w:w="1236"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w:t>
            </w:r>
          </w:p>
        </w:tc>
      </w:tr>
    </w:tbl>
    <w:p w:rsidR="005B3A66" w:rsidRDefault="005B3A66">
      <w:pPr>
        <w:rPr>
          <w:rFonts w:ascii="Times New Roman" w:hAnsi="Times New Roman" w:cs="Times New Roman"/>
          <w:sz w:val="24"/>
          <w:szCs w:val="24"/>
        </w:rPr>
      </w:pPr>
    </w:p>
    <w:p w:rsidR="005B3A66" w:rsidRPr="005B3A66" w:rsidRDefault="005B3A66" w:rsidP="005B3A66">
      <w:pPr>
        <w:spacing w:after="0" w:line="240" w:lineRule="auto"/>
        <w:rPr>
          <w:rFonts w:ascii="Times New Roman" w:eastAsia="Calibri" w:hAnsi="Times New Roman" w:cs="Times New Roman"/>
          <w:sz w:val="24"/>
          <w:szCs w:val="24"/>
          <w:lang w:val="it-IT"/>
        </w:rPr>
      </w:pPr>
      <w:r w:rsidRPr="005B3A66">
        <w:rPr>
          <w:rFonts w:ascii="Times New Roman" w:eastAsia="Calibri" w:hAnsi="Times New Roman" w:cs="Times New Roman"/>
          <w:b/>
          <w:szCs w:val="24"/>
        </w:rPr>
        <w:t>Për llojet e dushqeve dhe gështenjës</w:t>
      </w:r>
    </w:p>
    <w:p w:rsidR="005B3A66" w:rsidRPr="005B3A66" w:rsidRDefault="005B3A66" w:rsidP="005B3A66">
      <w:pPr>
        <w:spacing w:after="0" w:line="240" w:lineRule="auto"/>
        <w:jc w:val="both"/>
        <w:rPr>
          <w:rFonts w:ascii="Times New Roman" w:eastAsia="Calibri" w:hAnsi="Times New Roman" w:cs="Times New Roman"/>
          <w:b/>
          <w:szCs w:val="24"/>
        </w:rPr>
      </w:pPr>
    </w:p>
    <w:tbl>
      <w:tblPr>
        <w:tblW w:w="8640" w:type="dxa"/>
        <w:tblLook w:val="04A0" w:firstRow="1" w:lastRow="0" w:firstColumn="1" w:lastColumn="0" w:noHBand="0" w:noVBand="1"/>
      </w:tblPr>
      <w:tblGrid>
        <w:gridCol w:w="530"/>
        <w:gridCol w:w="1625"/>
        <w:gridCol w:w="1359"/>
        <w:gridCol w:w="960"/>
        <w:gridCol w:w="960"/>
        <w:gridCol w:w="960"/>
        <w:gridCol w:w="1123"/>
        <w:gridCol w:w="1123"/>
      </w:tblGrid>
      <w:tr w:rsidR="005B3A66" w:rsidRPr="005B3A66" w:rsidTr="005B3A66">
        <w:trPr>
          <w:trHeight w:val="467"/>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 xml:space="preserve">Nr. </w:t>
            </w:r>
          </w:p>
        </w:tc>
        <w:tc>
          <w:tcPr>
            <w:tcW w:w="1625" w:type="dxa"/>
            <w:tcBorders>
              <w:top w:val="single" w:sz="4" w:space="0" w:color="auto"/>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 xml:space="preserve">Bashkia </w:t>
            </w:r>
          </w:p>
        </w:tc>
        <w:tc>
          <w:tcPr>
            <w:tcW w:w="1359" w:type="dxa"/>
            <w:tcBorders>
              <w:top w:val="single" w:sz="4" w:space="0" w:color="auto"/>
              <w:left w:val="nil"/>
              <w:bottom w:val="single" w:sz="4" w:space="0" w:color="auto"/>
              <w:right w:val="single" w:sz="4" w:space="0" w:color="auto"/>
            </w:tcBorders>
            <w:shd w:val="clear" w:color="auto" w:fill="auto"/>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 xml:space="preserve">   Lloji drunor</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Nr. dru. s.pr</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Mosha (vjet)</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Sip. (m2)</w:t>
            </w:r>
          </w:p>
        </w:tc>
        <w:tc>
          <w:tcPr>
            <w:tcW w:w="1123" w:type="dxa"/>
            <w:tcBorders>
              <w:top w:val="single" w:sz="4" w:space="0" w:color="auto"/>
              <w:left w:val="nil"/>
              <w:bottom w:val="single" w:sz="4" w:space="0" w:color="auto"/>
              <w:right w:val="single" w:sz="4" w:space="0" w:color="auto"/>
            </w:tcBorders>
            <w:shd w:val="clear" w:color="auto" w:fill="auto"/>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 xml:space="preserve"> (Y) KRGJSH</w:t>
            </w:r>
          </w:p>
        </w:tc>
        <w:tc>
          <w:tcPr>
            <w:tcW w:w="1123" w:type="dxa"/>
            <w:tcBorders>
              <w:top w:val="single" w:sz="4" w:space="0" w:color="auto"/>
              <w:left w:val="nil"/>
              <w:bottom w:val="single" w:sz="4" w:space="0" w:color="auto"/>
              <w:right w:val="single" w:sz="4" w:space="0" w:color="auto"/>
            </w:tcBorders>
            <w:shd w:val="clear" w:color="auto" w:fill="auto"/>
            <w:vAlign w:val="bottom"/>
            <w:hideMark/>
          </w:tcPr>
          <w:p w:rsidR="005B3A66" w:rsidRPr="005B3A66" w:rsidRDefault="005B3A66" w:rsidP="005B3A66">
            <w:pPr>
              <w:spacing w:after="0" w:line="240" w:lineRule="auto"/>
              <w:rPr>
                <w:rFonts w:ascii="Times New Roman" w:eastAsia="Times New Roman" w:hAnsi="Times New Roman" w:cs="Times New Roman"/>
                <w:color w:val="000000"/>
                <w:szCs w:val="20"/>
              </w:rPr>
            </w:pPr>
            <w:r w:rsidRPr="005B3A66">
              <w:rPr>
                <w:rFonts w:ascii="Times New Roman" w:eastAsia="Times New Roman" w:hAnsi="Times New Roman" w:cs="Times New Roman"/>
                <w:color w:val="000000"/>
                <w:szCs w:val="20"/>
              </w:rPr>
              <w:t xml:space="preserve"> (X) KRGJSH</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w:t>
            </w:r>
          </w:p>
        </w:tc>
        <w:tc>
          <w:tcPr>
            <w:tcW w:w="1625"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Pustec</w:t>
            </w:r>
          </w:p>
        </w:tc>
        <w:tc>
          <w:tcPr>
            <w:tcW w:w="1359"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Bunge</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51</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540642.2</w:t>
            </w:r>
          </w:p>
        </w:tc>
        <w:tc>
          <w:tcPr>
            <w:tcW w:w="1123"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4540655</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w:t>
            </w:r>
          </w:p>
        </w:tc>
        <w:tc>
          <w:tcPr>
            <w:tcW w:w="1625"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xml:space="preserve">Kolonje </w:t>
            </w:r>
          </w:p>
        </w:tc>
        <w:tc>
          <w:tcPr>
            <w:tcW w:w="1359"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Bun.Shpar</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11</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580387.8</w:t>
            </w:r>
          </w:p>
        </w:tc>
        <w:tc>
          <w:tcPr>
            <w:tcW w:w="1123"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4496494</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3</w:t>
            </w:r>
          </w:p>
        </w:tc>
        <w:tc>
          <w:tcPr>
            <w:tcW w:w="1625"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xml:space="preserve">Korçë </w:t>
            </w:r>
          </w:p>
        </w:tc>
        <w:tc>
          <w:tcPr>
            <w:tcW w:w="1359"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Qarr</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33</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502365.7</w:t>
            </w:r>
          </w:p>
        </w:tc>
        <w:tc>
          <w:tcPr>
            <w:tcW w:w="1123"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4539031</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w:t>
            </w:r>
          </w:p>
        </w:tc>
        <w:tc>
          <w:tcPr>
            <w:tcW w:w="1625"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Tiran</w:t>
            </w:r>
          </w:p>
        </w:tc>
        <w:tc>
          <w:tcPr>
            <w:tcW w:w="1359"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Bun.Shpar</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14</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500046.5</w:t>
            </w:r>
          </w:p>
        </w:tc>
        <w:tc>
          <w:tcPr>
            <w:tcW w:w="1123"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4576451</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w:t>
            </w:r>
          </w:p>
        </w:tc>
        <w:tc>
          <w:tcPr>
            <w:tcW w:w="1625"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Kukes</w:t>
            </w:r>
          </w:p>
        </w:tc>
        <w:tc>
          <w:tcPr>
            <w:tcW w:w="1359"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Bun.Shpar</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35</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533693.7</w:t>
            </w:r>
          </w:p>
        </w:tc>
        <w:tc>
          <w:tcPr>
            <w:tcW w:w="1123"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4656345</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6</w:t>
            </w:r>
          </w:p>
        </w:tc>
        <w:tc>
          <w:tcPr>
            <w:tcW w:w="1625"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Tirane</w:t>
            </w:r>
          </w:p>
        </w:tc>
        <w:tc>
          <w:tcPr>
            <w:tcW w:w="1359"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Geshtenje</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10</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496689.5</w:t>
            </w:r>
          </w:p>
        </w:tc>
        <w:tc>
          <w:tcPr>
            <w:tcW w:w="1123"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4707670</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7</w:t>
            </w:r>
          </w:p>
        </w:tc>
        <w:tc>
          <w:tcPr>
            <w:tcW w:w="1625"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xml:space="preserve">Delvine </w:t>
            </w:r>
          </w:p>
        </w:tc>
        <w:tc>
          <w:tcPr>
            <w:tcW w:w="1359"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Geshtenje</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15</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538311.2</w:t>
            </w:r>
          </w:p>
        </w:tc>
        <w:tc>
          <w:tcPr>
            <w:tcW w:w="1123" w:type="dxa"/>
            <w:tcBorders>
              <w:top w:val="nil"/>
              <w:left w:val="nil"/>
              <w:bottom w:val="single" w:sz="4" w:space="0" w:color="auto"/>
              <w:right w:val="single" w:sz="4" w:space="0" w:color="auto"/>
            </w:tcBorders>
            <w:shd w:val="clear" w:color="000000" w:fill="FFFFFF"/>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4707775</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8</w:t>
            </w:r>
          </w:p>
        </w:tc>
        <w:tc>
          <w:tcPr>
            <w:tcW w:w="1625"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Tropoje</w:t>
            </w:r>
          </w:p>
        </w:tc>
        <w:tc>
          <w:tcPr>
            <w:tcW w:w="1359"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Bun.Shpar</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16</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504732.7</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4680048</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9</w:t>
            </w:r>
          </w:p>
        </w:tc>
        <w:tc>
          <w:tcPr>
            <w:tcW w:w="1625"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Fushe Arrez</w:t>
            </w:r>
          </w:p>
        </w:tc>
        <w:tc>
          <w:tcPr>
            <w:tcW w:w="1359"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16</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505071.8</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4677043</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10</w:t>
            </w:r>
          </w:p>
        </w:tc>
        <w:tc>
          <w:tcPr>
            <w:tcW w:w="1625"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Puke</w:t>
            </w:r>
          </w:p>
        </w:tc>
        <w:tc>
          <w:tcPr>
            <w:tcW w:w="1359"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Qarr</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487149.7</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4661840</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11</w:t>
            </w:r>
          </w:p>
        </w:tc>
        <w:tc>
          <w:tcPr>
            <w:tcW w:w="1625"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Mirdite</w:t>
            </w:r>
          </w:p>
        </w:tc>
        <w:tc>
          <w:tcPr>
            <w:tcW w:w="1359"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15</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499494.8</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4632488</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12</w:t>
            </w:r>
          </w:p>
        </w:tc>
        <w:tc>
          <w:tcPr>
            <w:tcW w:w="1625"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Lezhe</w:t>
            </w:r>
          </w:p>
        </w:tc>
        <w:tc>
          <w:tcPr>
            <w:tcW w:w="1359"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11</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477414</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4622229</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13</w:t>
            </w:r>
          </w:p>
        </w:tc>
        <w:tc>
          <w:tcPr>
            <w:tcW w:w="1625"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Diber</w:t>
            </w:r>
          </w:p>
        </w:tc>
        <w:tc>
          <w:tcPr>
            <w:tcW w:w="1359"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Qarr</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23</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517553.8</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4610490</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14</w:t>
            </w:r>
          </w:p>
        </w:tc>
        <w:tc>
          <w:tcPr>
            <w:tcW w:w="1625"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Mat</w:t>
            </w:r>
          </w:p>
        </w:tc>
        <w:tc>
          <w:tcPr>
            <w:tcW w:w="1359"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16</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490774.8</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4607871</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15</w:t>
            </w:r>
          </w:p>
        </w:tc>
        <w:tc>
          <w:tcPr>
            <w:tcW w:w="1625"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Kurbin</w:t>
            </w:r>
          </w:p>
        </w:tc>
        <w:tc>
          <w:tcPr>
            <w:tcW w:w="1359"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8</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481857.7</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4609788</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16</w:t>
            </w:r>
          </w:p>
        </w:tc>
        <w:tc>
          <w:tcPr>
            <w:tcW w:w="1625"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Mat</w:t>
            </w:r>
          </w:p>
        </w:tc>
        <w:tc>
          <w:tcPr>
            <w:tcW w:w="1359"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Qarr,Shparth</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22</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500148.3</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4602684</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17</w:t>
            </w:r>
          </w:p>
        </w:tc>
        <w:tc>
          <w:tcPr>
            <w:tcW w:w="1625"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Tirane</w:t>
            </w:r>
          </w:p>
        </w:tc>
        <w:tc>
          <w:tcPr>
            <w:tcW w:w="1359"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Qarr,Bung</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14</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496751.1</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4592649</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18</w:t>
            </w:r>
          </w:p>
        </w:tc>
        <w:tc>
          <w:tcPr>
            <w:tcW w:w="1625"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Tirane</w:t>
            </w:r>
          </w:p>
        </w:tc>
        <w:tc>
          <w:tcPr>
            <w:tcW w:w="1359"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Qarr</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21</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499507.9</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4570685</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19</w:t>
            </w:r>
          </w:p>
        </w:tc>
        <w:tc>
          <w:tcPr>
            <w:tcW w:w="1625"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Skrapar</w:t>
            </w:r>
          </w:p>
        </w:tc>
        <w:tc>
          <w:tcPr>
            <w:tcW w:w="1359"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Bulger</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19</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527107.7</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4473988</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lastRenderedPageBreak/>
              <w:t>20</w:t>
            </w:r>
          </w:p>
        </w:tc>
        <w:tc>
          <w:tcPr>
            <w:tcW w:w="1625"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Kolonje</w:t>
            </w:r>
          </w:p>
        </w:tc>
        <w:tc>
          <w:tcPr>
            <w:tcW w:w="1359"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543816.3</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4456480</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21</w:t>
            </w:r>
          </w:p>
        </w:tc>
        <w:tc>
          <w:tcPr>
            <w:tcW w:w="1625"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Vlore</w:t>
            </w:r>
          </w:p>
        </w:tc>
        <w:tc>
          <w:tcPr>
            <w:tcW w:w="1359"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Bung,Bullgr</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19</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462364</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4451764</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22</w:t>
            </w:r>
          </w:p>
        </w:tc>
        <w:tc>
          <w:tcPr>
            <w:tcW w:w="1625"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Gjirokaster</w:t>
            </w:r>
          </w:p>
        </w:tc>
        <w:tc>
          <w:tcPr>
            <w:tcW w:w="1359"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Bullgr.Bung</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500239.8</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4445514</w:t>
            </w:r>
          </w:p>
        </w:tc>
      </w:tr>
      <w:tr w:rsidR="005B3A66" w:rsidRPr="005B3A66" w:rsidTr="005B3A6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23</w:t>
            </w:r>
          </w:p>
        </w:tc>
        <w:tc>
          <w:tcPr>
            <w:tcW w:w="1625"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Dropull</w:t>
            </w:r>
          </w:p>
        </w:tc>
        <w:tc>
          <w:tcPr>
            <w:tcW w:w="1359"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Bulger</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14</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200</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529254.4</w:t>
            </w:r>
          </w:p>
        </w:tc>
        <w:tc>
          <w:tcPr>
            <w:tcW w:w="1123" w:type="dxa"/>
            <w:tcBorders>
              <w:top w:val="nil"/>
              <w:left w:val="nil"/>
              <w:bottom w:val="single" w:sz="4" w:space="0" w:color="auto"/>
              <w:right w:val="single" w:sz="4" w:space="0" w:color="auto"/>
            </w:tcBorders>
            <w:shd w:val="clear" w:color="auto" w:fill="auto"/>
            <w:noWrap/>
            <w:vAlign w:val="center"/>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4442826</w:t>
            </w:r>
          </w:p>
        </w:tc>
      </w:tr>
      <w:tr w:rsidR="005B3A66" w:rsidRPr="005B3A66" w:rsidTr="005B3A66">
        <w:trPr>
          <w:trHeight w:val="300"/>
        </w:trPr>
        <w:tc>
          <w:tcPr>
            <w:tcW w:w="21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jc w:val="center"/>
              <w:rPr>
                <w:rFonts w:ascii="Times New Roman" w:eastAsia="Times New Roman" w:hAnsi="Times New Roman" w:cs="Times New Roman"/>
                <w:color w:val="000000"/>
              </w:rPr>
            </w:pPr>
            <w:r w:rsidRPr="005B3A66">
              <w:rPr>
                <w:rFonts w:ascii="Times New Roman" w:eastAsia="Times New Roman" w:hAnsi="Times New Roman" w:cs="Times New Roman"/>
                <w:color w:val="000000"/>
              </w:rPr>
              <w:t>Totali</w:t>
            </w:r>
          </w:p>
        </w:tc>
        <w:tc>
          <w:tcPr>
            <w:tcW w:w="1359"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jc w:val="right"/>
              <w:rPr>
                <w:rFonts w:ascii="Times New Roman" w:eastAsia="Times New Roman" w:hAnsi="Times New Roman" w:cs="Times New Roman"/>
                <w:color w:val="000000"/>
              </w:rPr>
            </w:pPr>
            <w:r w:rsidRPr="005B3A66">
              <w:rPr>
                <w:rFonts w:ascii="Times New Roman" w:eastAsia="Times New Roman" w:hAnsi="Times New Roman" w:cs="Times New Roman"/>
                <w:color w:val="000000"/>
              </w:rPr>
              <w:t>417</w:t>
            </w:r>
          </w:p>
        </w:tc>
        <w:tc>
          <w:tcPr>
            <w:tcW w:w="96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jc w:val="right"/>
              <w:rPr>
                <w:rFonts w:ascii="Times New Roman" w:eastAsia="Times New Roman" w:hAnsi="Times New Roman" w:cs="Times New Roman"/>
                <w:color w:val="000000"/>
              </w:rPr>
            </w:pPr>
            <w:r w:rsidRPr="005B3A66">
              <w:rPr>
                <w:rFonts w:ascii="Times New Roman" w:eastAsia="Times New Roman" w:hAnsi="Times New Roman" w:cs="Times New Roman"/>
                <w:color w:val="000000"/>
              </w:rPr>
              <w:t>6000</w:t>
            </w:r>
          </w:p>
        </w:tc>
        <w:tc>
          <w:tcPr>
            <w:tcW w:w="11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w:t>
            </w:r>
          </w:p>
        </w:tc>
        <w:tc>
          <w:tcPr>
            <w:tcW w:w="1123" w:type="dxa"/>
            <w:tcBorders>
              <w:top w:val="nil"/>
              <w:left w:val="nil"/>
              <w:bottom w:val="single" w:sz="4" w:space="0" w:color="auto"/>
              <w:right w:val="single" w:sz="4" w:space="0" w:color="auto"/>
            </w:tcBorders>
            <w:shd w:val="clear" w:color="auto" w:fill="auto"/>
            <w:noWrap/>
            <w:vAlign w:val="bottom"/>
            <w:hideMark/>
          </w:tcPr>
          <w:p w:rsidR="005B3A66" w:rsidRPr="005B3A66" w:rsidRDefault="005B3A66" w:rsidP="005B3A66">
            <w:pPr>
              <w:spacing w:after="0" w:line="240" w:lineRule="auto"/>
              <w:rPr>
                <w:rFonts w:ascii="Times New Roman" w:eastAsia="Times New Roman" w:hAnsi="Times New Roman" w:cs="Times New Roman"/>
                <w:color w:val="000000"/>
              </w:rPr>
            </w:pPr>
            <w:r w:rsidRPr="005B3A66">
              <w:rPr>
                <w:rFonts w:ascii="Times New Roman" w:eastAsia="Times New Roman" w:hAnsi="Times New Roman" w:cs="Times New Roman"/>
                <w:color w:val="000000"/>
              </w:rPr>
              <w:t> </w:t>
            </w:r>
          </w:p>
        </w:tc>
      </w:tr>
    </w:tbl>
    <w:p w:rsidR="005B3A66" w:rsidRDefault="005B3A66">
      <w:pPr>
        <w:rPr>
          <w:rFonts w:ascii="Times New Roman" w:hAnsi="Times New Roman" w:cs="Times New Roman"/>
          <w:sz w:val="24"/>
          <w:szCs w:val="24"/>
        </w:rPr>
      </w:pPr>
    </w:p>
    <w:p w:rsidR="005B3A66" w:rsidRPr="005B3A66" w:rsidRDefault="005B3A66" w:rsidP="00807975">
      <w:pPr>
        <w:numPr>
          <w:ilvl w:val="0"/>
          <w:numId w:val="130"/>
        </w:numPr>
        <w:spacing w:after="0" w:line="240" w:lineRule="auto"/>
        <w:contextualSpacing/>
        <w:jc w:val="both"/>
        <w:rPr>
          <w:rFonts w:ascii="Times New Roman" w:eastAsia="Calibri" w:hAnsi="Times New Roman" w:cs="Times New Roman"/>
          <w:b/>
          <w:sz w:val="24"/>
          <w:szCs w:val="24"/>
        </w:rPr>
      </w:pPr>
      <w:r w:rsidRPr="005B3A66">
        <w:rPr>
          <w:rFonts w:ascii="Times New Roman" w:eastAsia="Calibri" w:hAnsi="Times New Roman" w:cs="Times New Roman"/>
          <w:b/>
          <w:sz w:val="24"/>
          <w:szCs w:val="24"/>
        </w:rPr>
        <w:t xml:space="preserve">Rrjeti i monitorimit të llojeve drunore të kërcënuara dhe në rrezik zhdukjeje </w:t>
      </w:r>
    </w:p>
    <w:p w:rsidR="005B3A66" w:rsidRDefault="005B3A66">
      <w:pPr>
        <w:rPr>
          <w:rFonts w:ascii="Times New Roman" w:hAnsi="Times New Roman" w:cs="Times New Roman"/>
          <w:sz w:val="24"/>
          <w:szCs w:val="24"/>
        </w:rPr>
      </w:pPr>
    </w:p>
    <w:tbl>
      <w:tblPr>
        <w:tblW w:w="8340" w:type="dxa"/>
        <w:tblLook w:val="04A0" w:firstRow="1" w:lastRow="0" w:firstColumn="1" w:lastColumn="0" w:noHBand="0" w:noVBand="1"/>
      </w:tblPr>
      <w:tblGrid>
        <w:gridCol w:w="580"/>
        <w:gridCol w:w="1665"/>
        <w:gridCol w:w="1207"/>
        <w:gridCol w:w="1808"/>
        <w:gridCol w:w="1540"/>
        <w:gridCol w:w="1540"/>
      </w:tblGrid>
      <w:tr w:rsidR="00D62190" w:rsidRPr="00D62190" w:rsidTr="00E67F4D">
        <w:trPr>
          <w:trHeight w:val="30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b/>
                <w:bCs/>
                <w:color w:val="000000"/>
              </w:rPr>
            </w:pPr>
            <w:r w:rsidRPr="00D62190">
              <w:rPr>
                <w:rFonts w:ascii="Times New Roman" w:eastAsia="Times New Roman" w:hAnsi="Times New Roman" w:cs="Times New Roman"/>
                <w:b/>
                <w:bCs/>
                <w:color w:val="000000"/>
              </w:rPr>
              <w:t>Nr</w:t>
            </w:r>
          </w:p>
        </w:tc>
        <w:tc>
          <w:tcPr>
            <w:tcW w:w="1665" w:type="dxa"/>
            <w:tcBorders>
              <w:top w:val="single" w:sz="4" w:space="0" w:color="auto"/>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b/>
                <w:bCs/>
                <w:color w:val="000000"/>
              </w:rPr>
            </w:pPr>
            <w:r w:rsidRPr="00D62190">
              <w:rPr>
                <w:rFonts w:ascii="Times New Roman" w:eastAsia="Times New Roman" w:hAnsi="Times New Roman" w:cs="Times New Roman"/>
                <w:b/>
                <w:bCs/>
                <w:color w:val="000000"/>
              </w:rPr>
              <w:t>Lloji pyjor</w:t>
            </w:r>
          </w:p>
        </w:tc>
        <w:tc>
          <w:tcPr>
            <w:tcW w:w="1207" w:type="dxa"/>
            <w:tcBorders>
              <w:top w:val="single" w:sz="4" w:space="0" w:color="auto"/>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b/>
                <w:bCs/>
                <w:color w:val="000000"/>
              </w:rPr>
            </w:pPr>
            <w:r w:rsidRPr="00D62190">
              <w:rPr>
                <w:rFonts w:ascii="Times New Roman" w:eastAsia="Times New Roman" w:hAnsi="Times New Roman" w:cs="Times New Roman"/>
                <w:b/>
                <w:bCs/>
                <w:color w:val="000000"/>
              </w:rPr>
              <w:t>Bashkia</w:t>
            </w:r>
          </w:p>
        </w:tc>
        <w:tc>
          <w:tcPr>
            <w:tcW w:w="1808" w:type="dxa"/>
            <w:tcBorders>
              <w:top w:val="single" w:sz="4" w:space="0" w:color="auto"/>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b/>
                <w:bCs/>
                <w:color w:val="000000"/>
              </w:rPr>
            </w:pPr>
            <w:r w:rsidRPr="00D62190">
              <w:rPr>
                <w:rFonts w:ascii="Times New Roman" w:eastAsia="Times New Roman" w:hAnsi="Times New Roman" w:cs="Times New Roman"/>
                <w:b/>
                <w:bCs/>
                <w:color w:val="000000"/>
              </w:rPr>
              <w:t>Ekonomia Pyjore</w:t>
            </w:r>
          </w:p>
        </w:tc>
        <w:tc>
          <w:tcPr>
            <w:tcW w:w="1540" w:type="dxa"/>
            <w:tcBorders>
              <w:top w:val="single" w:sz="4" w:space="0" w:color="auto"/>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b/>
                <w:bCs/>
                <w:color w:val="000000"/>
              </w:rPr>
            </w:pPr>
            <w:r w:rsidRPr="00D62190">
              <w:rPr>
                <w:rFonts w:ascii="Times New Roman" w:eastAsia="Times New Roman" w:hAnsi="Times New Roman" w:cs="Times New Roman"/>
                <w:b/>
                <w:bCs/>
                <w:color w:val="000000"/>
              </w:rPr>
              <w:t xml:space="preserve">       (Y)</w:t>
            </w:r>
          </w:p>
          <w:p w:rsidR="00D62190" w:rsidRPr="00D62190" w:rsidRDefault="00D62190" w:rsidP="00D62190">
            <w:pPr>
              <w:spacing w:after="0" w:line="240" w:lineRule="auto"/>
              <w:rPr>
                <w:rFonts w:ascii="Times New Roman" w:eastAsia="Times New Roman" w:hAnsi="Times New Roman" w:cs="Times New Roman"/>
                <w:b/>
                <w:bCs/>
                <w:color w:val="000000"/>
              </w:rPr>
            </w:pPr>
            <w:r w:rsidRPr="00D62190">
              <w:rPr>
                <w:rFonts w:ascii="Times New Roman" w:eastAsia="Times New Roman" w:hAnsi="Times New Roman" w:cs="Times New Roman"/>
                <w:b/>
                <w:bCs/>
                <w:color w:val="000000"/>
              </w:rPr>
              <w:t xml:space="preserve"> KRGJSH</w:t>
            </w:r>
          </w:p>
        </w:tc>
        <w:tc>
          <w:tcPr>
            <w:tcW w:w="1540" w:type="dxa"/>
            <w:tcBorders>
              <w:top w:val="single" w:sz="4" w:space="0" w:color="auto"/>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b/>
                <w:bCs/>
                <w:color w:val="000000"/>
              </w:rPr>
            </w:pPr>
            <w:r w:rsidRPr="00D62190">
              <w:rPr>
                <w:rFonts w:ascii="Times New Roman" w:eastAsia="Times New Roman" w:hAnsi="Times New Roman" w:cs="Times New Roman"/>
                <w:b/>
                <w:bCs/>
                <w:color w:val="000000"/>
              </w:rPr>
              <w:t xml:space="preserve">       (X)</w:t>
            </w:r>
          </w:p>
          <w:p w:rsidR="00D62190" w:rsidRPr="00D62190" w:rsidRDefault="00D62190" w:rsidP="00D62190">
            <w:pPr>
              <w:spacing w:after="0" w:line="240" w:lineRule="auto"/>
              <w:rPr>
                <w:rFonts w:ascii="Times New Roman" w:eastAsia="Times New Roman" w:hAnsi="Times New Roman" w:cs="Times New Roman"/>
                <w:b/>
                <w:bCs/>
                <w:color w:val="000000"/>
              </w:rPr>
            </w:pPr>
            <w:r w:rsidRPr="00D62190">
              <w:rPr>
                <w:rFonts w:ascii="Times New Roman" w:eastAsia="Times New Roman" w:hAnsi="Times New Roman" w:cs="Times New Roman"/>
                <w:b/>
                <w:bCs/>
                <w:color w:val="000000"/>
              </w:rPr>
              <w:t xml:space="preserve"> KRGJSH</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1</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Rrobull</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Bulqizë</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Liqeni i Zi</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516496.7657</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4623080.057</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2</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Rrobull</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Dibër</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Lurë</w:t>
            </w:r>
          </w:p>
        </w:tc>
        <w:tc>
          <w:tcPr>
            <w:tcW w:w="1540" w:type="dxa"/>
            <w:tcBorders>
              <w:top w:val="nil"/>
              <w:left w:val="nil"/>
              <w:bottom w:val="single" w:sz="4" w:space="0" w:color="auto"/>
              <w:right w:val="single" w:sz="4" w:space="0" w:color="auto"/>
            </w:tcBorders>
            <w:shd w:val="clear" w:color="000000" w:fill="FFFFFF"/>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516090.6832</w:t>
            </w:r>
          </w:p>
        </w:tc>
        <w:tc>
          <w:tcPr>
            <w:tcW w:w="1540" w:type="dxa"/>
            <w:tcBorders>
              <w:top w:val="nil"/>
              <w:left w:val="nil"/>
              <w:bottom w:val="single" w:sz="4" w:space="0" w:color="auto"/>
              <w:right w:val="single" w:sz="4" w:space="0" w:color="auto"/>
            </w:tcBorders>
            <w:shd w:val="clear" w:color="000000" w:fill="FFFFFF"/>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4627912.76</w:t>
            </w:r>
          </w:p>
        </w:tc>
      </w:tr>
      <w:tr w:rsidR="00D62190" w:rsidRPr="00D62190" w:rsidTr="00E67F4D">
        <w:trPr>
          <w:trHeight w:val="557"/>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3</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Rrobull</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Gramsh</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Sogor, Mali i Grabovës, Holtë- Lukovë</w:t>
            </w:r>
          </w:p>
        </w:tc>
        <w:tc>
          <w:tcPr>
            <w:tcW w:w="1540" w:type="dxa"/>
            <w:tcBorders>
              <w:top w:val="nil"/>
              <w:left w:val="nil"/>
              <w:bottom w:val="single" w:sz="4" w:space="0" w:color="auto"/>
              <w:right w:val="single" w:sz="4" w:space="0" w:color="auto"/>
            </w:tcBorders>
            <w:shd w:val="clear" w:color="000000" w:fill="FFFFFF"/>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535100.6037</w:t>
            </w:r>
          </w:p>
        </w:tc>
        <w:tc>
          <w:tcPr>
            <w:tcW w:w="1540" w:type="dxa"/>
            <w:tcBorders>
              <w:top w:val="nil"/>
              <w:left w:val="nil"/>
              <w:bottom w:val="single" w:sz="4" w:space="0" w:color="auto"/>
              <w:right w:val="single" w:sz="4" w:space="0" w:color="auto"/>
            </w:tcBorders>
            <w:shd w:val="clear" w:color="000000" w:fill="FFFFFF"/>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4517017.247</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Arnen</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Tropojë</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Çerem Dragobi</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499611.8609</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4707052.441</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Arnen</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Dibër</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Lurë</w:t>
            </w:r>
          </w:p>
        </w:tc>
        <w:tc>
          <w:tcPr>
            <w:tcW w:w="1540" w:type="dxa"/>
            <w:tcBorders>
              <w:top w:val="nil"/>
              <w:left w:val="nil"/>
              <w:bottom w:val="single" w:sz="4" w:space="0" w:color="auto"/>
              <w:right w:val="single" w:sz="4" w:space="0" w:color="auto"/>
            </w:tcBorders>
            <w:shd w:val="clear" w:color="000000" w:fill="FFFFFF"/>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516309.878</w:t>
            </w:r>
          </w:p>
        </w:tc>
        <w:tc>
          <w:tcPr>
            <w:tcW w:w="1540" w:type="dxa"/>
            <w:tcBorders>
              <w:top w:val="nil"/>
              <w:left w:val="nil"/>
              <w:bottom w:val="single" w:sz="4" w:space="0" w:color="auto"/>
              <w:right w:val="single" w:sz="4" w:space="0" w:color="auto"/>
            </w:tcBorders>
            <w:shd w:val="clear" w:color="000000" w:fill="FFFFFF"/>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4627554.39</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6</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Ilqe</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Vlorë</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Llogara</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464131.9926</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4454103.881</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7</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Rrenjë</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Fier</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Kunorë</w:t>
            </w:r>
          </w:p>
        </w:tc>
        <w:tc>
          <w:tcPr>
            <w:tcW w:w="1540" w:type="dxa"/>
            <w:tcBorders>
              <w:top w:val="nil"/>
              <w:left w:val="nil"/>
              <w:bottom w:val="single" w:sz="4" w:space="0" w:color="auto"/>
              <w:right w:val="single" w:sz="4" w:space="0" w:color="auto"/>
            </w:tcBorders>
            <w:shd w:val="clear" w:color="000000" w:fill="FFFFFF"/>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458557.6222</w:t>
            </w:r>
          </w:p>
        </w:tc>
        <w:tc>
          <w:tcPr>
            <w:tcW w:w="1540" w:type="dxa"/>
            <w:tcBorders>
              <w:top w:val="nil"/>
              <w:left w:val="nil"/>
              <w:bottom w:val="single" w:sz="4" w:space="0" w:color="auto"/>
              <w:right w:val="single" w:sz="4" w:space="0" w:color="auto"/>
            </w:tcBorders>
            <w:shd w:val="clear" w:color="000000" w:fill="FFFFFF"/>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4519940.772</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8</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Lajthi e egër</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Korce</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Gollumbac</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576071.187</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4522980.443</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9</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Lajthi e egër</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Has</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Tej drini i bardhë</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537194.4106</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4668550.291</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10</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Lajthi e egër</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Libohovë</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Çajup</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518520.4124</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4451142.054</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11</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Caraca e Kaukazit</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Pustec</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Gollomboc</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579182.4828</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4525635.519</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12</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Venja</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Libohovë</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Çajup</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516407.8476</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4454560.885</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13</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Venja</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Libohovë</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Sheper</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522844.8332</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4452511.038</w:t>
            </w:r>
          </w:p>
        </w:tc>
      </w:tr>
      <w:tr w:rsidR="00D62190" w:rsidRPr="00D62190" w:rsidTr="00E67F4D">
        <w:trPr>
          <w:trHeight w:val="6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14</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Drunakuqja</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Përmet</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Petran – Çarshovë, Petran-Zavalan</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542988.8305</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4445134.282</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15</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Drunakuqja</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Përmet</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Pagri</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529435.9358</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4466414.069</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16</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Drunakuqja</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Përmet</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Ali Bostivan</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526229.3645</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4463099.066</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17</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Mështekën</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Dibër</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Kastriot-Sllovë</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537167.3949</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4634178.103</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18</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Mështekën</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Kukës</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Shishtavec-Zapod</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551274.1543</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4648829.106</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19</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Gështenjë Kali</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Librazhd</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Stravaj</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532322.5404</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4540520.894</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20</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Gështenjë Kali</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Tepelenë</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Kurvelesh</w:t>
            </w:r>
          </w:p>
        </w:tc>
        <w:tc>
          <w:tcPr>
            <w:tcW w:w="1540" w:type="dxa"/>
            <w:tcBorders>
              <w:top w:val="nil"/>
              <w:left w:val="nil"/>
              <w:bottom w:val="single" w:sz="4" w:space="0" w:color="auto"/>
              <w:right w:val="single" w:sz="4" w:space="0" w:color="auto"/>
            </w:tcBorders>
            <w:shd w:val="clear" w:color="000000" w:fill="FFFFFF"/>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496543.5272</w:t>
            </w:r>
          </w:p>
        </w:tc>
        <w:tc>
          <w:tcPr>
            <w:tcW w:w="1540" w:type="dxa"/>
            <w:tcBorders>
              <w:top w:val="nil"/>
              <w:left w:val="nil"/>
              <w:bottom w:val="single" w:sz="4" w:space="0" w:color="auto"/>
              <w:right w:val="single" w:sz="4" w:space="0" w:color="auto"/>
            </w:tcBorders>
            <w:shd w:val="clear" w:color="000000" w:fill="FFFFFF"/>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4453623.03</w:t>
            </w:r>
          </w:p>
        </w:tc>
      </w:tr>
      <w:tr w:rsidR="00D62190" w:rsidRPr="00D62190" w:rsidTr="00E67F4D">
        <w:trPr>
          <w:trHeight w:val="422"/>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21</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 xml:space="preserve">Hartina </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Gramsh</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Sogore-Mali I Graboves</w:t>
            </w:r>
          </w:p>
        </w:tc>
        <w:tc>
          <w:tcPr>
            <w:tcW w:w="1540" w:type="dxa"/>
            <w:tcBorders>
              <w:top w:val="nil"/>
              <w:left w:val="nil"/>
              <w:bottom w:val="single" w:sz="4" w:space="0" w:color="auto"/>
              <w:right w:val="single" w:sz="4" w:space="0" w:color="auto"/>
            </w:tcBorders>
            <w:shd w:val="clear" w:color="000000" w:fill="FFFFFF"/>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536734.6096</w:t>
            </w:r>
          </w:p>
        </w:tc>
        <w:tc>
          <w:tcPr>
            <w:tcW w:w="1540" w:type="dxa"/>
            <w:tcBorders>
              <w:top w:val="nil"/>
              <w:left w:val="nil"/>
              <w:bottom w:val="single" w:sz="4" w:space="0" w:color="auto"/>
              <w:right w:val="single" w:sz="4" w:space="0" w:color="auto"/>
            </w:tcBorders>
            <w:shd w:val="clear" w:color="000000" w:fill="FFFFFF"/>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4517876.063</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22</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Valanidhi</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Himare</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Borsh</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489616.5495</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4434008.273</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23</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Valanidhi</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Himare</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Pilur</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480790.6183</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4440595.133</w:t>
            </w:r>
          </w:p>
        </w:tc>
      </w:tr>
      <w:tr w:rsidR="00D62190" w:rsidRPr="00D62190" w:rsidTr="00E67F4D">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 </w:t>
            </w:r>
          </w:p>
        </w:tc>
        <w:tc>
          <w:tcPr>
            <w:tcW w:w="1665"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Tisi</w:t>
            </w:r>
          </w:p>
        </w:tc>
        <w:tc>
          <w:tcPr>
            <w:tcW w:w="1207"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 xml:space="preserve">Librazhdi </w:t>
            </w:r>
          </w:p>
        </w:tc>
        <w:tc>
          <w:tcPr>
            <w:tcW w:w="1808"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Shebenik</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537652.5763</w:t>
            </w:r>
          </w:p>
        </w:tc>
        <w:tc>
          <w:tcPr>
            <w:tcW w:w="1540" w:type="dxa"/>
            <w:tcBorders>
              <w:top w:val="nil"/>
              <w:left w:val="nil"/>
              <w:bottom w:val="single" w:sz="4" w:space="0" w:color="auto"/>
              <w:right w:val="single" w:sz="4" w:space="0" w:color="auto"/>
            </w:tcBorders>
            <w:shd w:val="clear" w:color="000000" w:fill="FFFFFF"/>
            <w:vAlign w:val="center"/>
            <w:hideMark/>
          </w:tcPr>
          <w:p w:rsidR="00D62190" w:rsidRPr="00D62190" w:rsidRDefault="00D62190" w:rsidP="00D62190">
            <w:pPr>
              <w:spacing w:after="0" w:line="240" w:lineRule="auto"/>
              <w:rPr>
                <w:rFonts w:ascii="Times New Roman" w:eastAsia="Times New Roman" w:hAnsi="Times New Roman" w:cs="Times New Roman"/>
                <w:color w:val="000000"/>
              </w:rPr>
            </w:pPr>
            <w:r w:rsidRPr="00D62190">
              <w:rPr>
                <w:rFonts w:ascii="Times New Roman" w:eastAsia="Times New Roman" w:hAnsi="Times New Roman" w:cs="Times New Roman"/>
                <w:color w:val="000000"/>
              </w:rPr>
              <w:t>4571982.432</w:t>
            </w:r>
          </w:p>
        </w:tc>
      </w:tr>
    </w:tbl>
    <w:p w:rsidR="0087111E" w:rsidRDefault="0087111E">
      <w:pPr>
        <w:rPr>
          <w:rFonts w:ascii="Times New Roman" w:hAnsi="Times New Roman" w:cs="Times New Roman"/>
          <w:sz w:val="24"/>
          <w:szCs w:val="24"/>
        </w:rPr>
      </w:pPr>
    </w:p>
    <w:p w:rsidR="00D62190" w:rsidRDefault="00D62190">
      <w:pPr>
        <w:rPr>
          <w:rFonts w:ascii="Times New Roman" w:hAnsi="Times New Roman" w:cs="Times New Roman"/>
          <w:sz w:val="24"/>
          <w:szCs w:val="24"/>
        </w:rPr>
      </w:pPr>
    </w:p>
    <w:p w:rsidR="00D62190" w:rsidRPr="00D62190" w:rsidRDefault="00D62190" w:rsidP="00807975">
      <w:pPr>
        <w:numPr>
          <w:ilvl w:val="0"/>
          <w:numId w:val="131"/>
        </w:numPr>
        <w:spacing w:after="0" w:line="240" w:lineRule="auto"/>
        <w:contextualSpacing/>
        <w:jc w:val="both"/>
        <w:rPr>
          <w:rFonts w:ascii="Times New Roman" w:hAnsi="Times New Roman" w:cs="Times New Roman"/>
          <w:b/>
          <w:iCs/>
          <w:sz w:val="24"/>
          <w:szCs w:val="28"/>
          <w:lang w:val="de-DE"/>
        </w:rPr>
      </w:pPr>
      <w:r w:rsidRPr="00D62190">
        <w:rPr>
          <w:rFonts w:ascii="Times New Roman" w:hAnsi="Times New Roman" w:cs="Times New Roman"/>
          <w:b/>
          <w:iCs/>
          <w:sz w:val="24"/>
          <w:szCs w:val="28"/>
          <w:lang w:val="de-DE"/>
        </w:rPr>
        <w:t xml:space="preserve">Rrjeti i monitorimit të bimëve aromatiko-mjeksore të kërcënuara dhe </w:t>
      </w:r>
    </w:p>
    <w:p w:rsidR="00D62190" w:rsidRPr="00D62190" w:rsidRDefault="00D62190" w:rsidP="00D62190">
      <w:pPr>
        <w:spacing w:after="0" w:line="240" w:lineRule="auto"/>
        <w:ind w:left="720"/>
        <w:contextualSpacing/>
        <w:jc w:val="both"/>
        <w:rPr>
          <w:rFonts w:ascii="Times New Roman" w:hAnsi="Times New Roman" w:cs="Times New Roman"/>
          <w:b/>
          <w:iCs/>
          <w:sz w:val="24"/>
          <w:szCs w:val="28"/>
          <w:lang w:val="de-DE"/>
        </w:rPr>
      </w:pPr>
      <w:r w:rsidRPr="00D62190">
        <w:rPr>
          <w:rFonts w:ascii="Times New Roman" w:hAnsi="Times New Roman" w:cs="Times New Roman"/>
          <w:b/>
          <w:iCs/>
          <w:sz w:val="24"/>
          <w:szCs w:val="28"/>
          <w:lang w:val="de-DE"/>
        </w:rPr>
        <w:t xml:space="preserve">në rrezik zhdukje </w:t>
      </w:r>
    </w:p>
    <w:p w:rsidR="00D62190" w:rsidRDefault="00D62190">
      <w:pPr>
        <w:rPr>
          <w:rFonts w:ascii="Times New Roman" w:hAnsi="Times New Roman" w:cs="Times New Roman"/>
          <w:sz w:val="24"/>
          <w:szCs w:val="24"/>
        </w:rPr>
      </w:pPr>
    </w:p>
    <w:tbl>
      <w:tblPr>
        <w:tblW w:w="8228" w:type="dxa"/>
        <w:tblLook w:val="04A0" w:firstRow="1" w:lastRow="0" w:firstColumn="1" w:lastColumn="0" w:noHBand="0" w:noVBand="1"/>
      </w:tblPr>
      <w:tblGrid>
        <w:gridCol w:w="470"/>
        <w:gridCol w:w="1150"/>
        <w:gridCol w:w="1350"/>
        <w:gridCol w:w="2250"/>
        <w:gridCol w:w="1476"/>
        <w:gridCol w:w="1532"/>
      </w:tblGrid>
      <w:tr w:rsidR="00D62190" w:rsidRPr="00D62190" w:rsidTr="00E67F4D">
        <w:trPr>
          <w:trHeight w:val="315"/>
        </w:trPr>
        <w:tc>
          <w:tcPr>
            <w:tcW w:w="8228" w:type="dxa"/>
            <w:gridSpan w:val="6"/>
            <w:tcBorders>
              <w:top w:val="nil"/>
              <w:left w:val="nil"/>
              <w:bottom w:val="single" w:sz="4" w:space="0" w:color="auto"/>
              <w:right w:val="nil"/>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b/>
                <w:bCs/>
                <w:color w:val="000000"/>
                <w:sz w:val="24"/>
                <w:szCs w:val="24"/>
              </w:rPr>
            </w:pP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Nr</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Lloji</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Bashkia</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Ekonomia Pyjore</w:t>
            </w:r>
          </w:p>
        </w:tc>
        <w:tc>
          <w:tcPr>
            <w:tcW w:w="1476" w:type="dxa"/>
            <w:tcBorders>
              <w:top w:val="nil"/>
              <w:left w:val="nil"/>
              <w:bottom w:val="single" w:sz="4" w:space="0" w:color="auto"/>
              <w:right w:val="single" w:sz="4" w:space="0" w:color="auto"/>
            </w:tcBorders>
            <w:shd w:val="clear" w:color="auto" w:fill="auto"/>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Y KRGJSH</w:t>
            </w:r>
          </w:p>
        </w:tc>
        <w:tc>
          <w:tcPr>
            <w:tcW w:w="1532" w:type="dxa"/>
            <w:tcBorders>
              <w:top w:val="nil"/>
              <w:left w:val="nil"/>
              <w:bottom w:val="single" w:sz="4" w:space="0" w:color="auto"/>
              <w:right w:val="single" w:sz="4" w:space="0" w:color="auto"/>
            </w:tcBorders>
            <w:shd w:val="clear" w:color="auto" w:fill="auto"/>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X KRGJSH</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1</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Delvine</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Muzine</w:t>
            </w:r>
          </w:p>
        </w:tc>
        <w:tc>
          <w:tcPr>
            <w:tcW w:w="1476"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517084.3761</w:t>
            </w:r>
          </w:p>
        </w:tc>
        <w:tc>
          <w:tcPr>
            <w:tcW w:w="1532"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4420415.059</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2</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Vlore</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Llogara</w:t>
            </w:r>
          </w:p>
        </w:tc>
        <w:tc>
          <w:tcPr>
            <w:tcW w:w="1476"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465232.1555</w:t>
            </w:r>
          </w:p>
        </w:tc>
        <w:tc>
          <w:tcPr>
            <w:tcW w:w="1532"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4451295.415</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3</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Kolonje</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Leskovik</w:t>
            </w:r>
          </w:p>
        </w:tc>
        <w:tc>
          <w:tcPr>
            <w:tcW w:w="1476"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552270.9011</w:t>
            </w:r>
          </w:p>
        </w:tc>
        <w:tc>
          <w:tcPr>
            <w:tcW w:w="1532"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4446946.191</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Berat</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Mali Partizan</w:t>
            </w:r>
          </w:p>
        </w:tc>
        <w:tc>
          <w:tcPr>
            <w:tcW w:w="1476"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495369.3802</w:t>
            </w:r>
          </w:p>
        </w:tc>
        <w:tc>
          <w:tcPr>
            <w:tcW w:w="1532"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4507370.924</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Permet</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Mali Miçanit</w:t>
            </w:r>
          </w:p>
        </w:tc>
        <w:tc>
          <w:tcPr>
            <w:tcW w:w="1476"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534092.6264</w:t>
            </w:r>
          </w:p>
        </w:tc>
        <w:tc>
          <w:tcPr>
            <w:tcW w:w="1532"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4475416.476</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6</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Poliçan</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Terpan</w:t>
            </w:r>
          </w:p>
        </w:tc>
        <w:tc>
          <w:tcPr>
            <w:tcW w:w="1476"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502213.3475</w:t>
            </w:r>
          </w:p>
        </w:tc>
        <w:tc>
          <w:tcPr>
            <w:tcW w:w="1532"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4491420.72</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7</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Bulqize</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Kraste Martanesh</w:t>
            </w:r>
          </w:p>
        </w:tc>
        <w:tc>
          <w:tcPr>
            <w:tcW w:w="1476"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515810.4544</w:t>
            </w:r>
          </w:p>
        </w:tc>
        <w:tc>
          <w:tcPr>
            <w:tcW w:w="1532"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4586628.278</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8</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Lezhe</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Kallmet</w:t>
            </w:r>
          </w:p>
        </w:tc>
        <w:tc>
          <w:tcPr>
            <w:tcW w:w="1476"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473880.7686</w:t>
            </w:r>
          </w:p>
        </w:tc>
        <w:tc>
          <w:tcPr>
            <w:tcW w:w="1532"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4634419.815</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9</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Vlore</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Llogara</w:t>
            </w:r>
          </w:p>
        </w:tc>
        <w:tc>
          <w:tcPr>
            <w:tcW w:w="1476"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464115.1941</w:t>
            </w:r>
          </w:p>
        </w:tc>
        <w:tc>
          <w:tcPr>
            <w:tcW w:w="1532"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4454052.247</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10</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Fush Arrze</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Kryezi</w:t>
            </w:r>
          </w:p>
        </w:tc>
        <w:tc>
          <w:tcPr>
            <w:tcW w:w="1476"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504774.5955</w:t>
            </w:r>
          </w:p>
        </w:tc>
        <w:tc>
          <w:tcPr>
            <w:tcW w:w="1532"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4663318.622</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11</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Çaj mali</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Pustec</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Gollomboc</w:t>
            </w:r>
          </w:p>
        </w:tc>
        <w:tc>
          <w:tcPr>
            <w:tcW w:w="1476"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577129.9835</w:t>
            </w:r>
          </w:p>
        </w:tc>
        <w:tc>
          <w:tcPr>
            <w:tcW w:w="1532"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4514446.616</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12</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Salep</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Pustec</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Gorice</w:t>
            </w:r>
          </w:p>
        </w:tc>
        <w:tc>
          <w:tcPr>
            <w:tcW w:w="1476"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579289.6444</w:t>
            </w:r>
          </w:p>
        </w:tc>
        <w:tc>
          <w:tcPr>
            <w:tcW w:w="1532"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4525322.483</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13</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Çaj mali</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Dropull</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Dropull</w:t>
            </w:r>
          </w:p>
        </w:tc>
        <w:tc>
          <w:tcPr>
            <w:tcW w:w="1476"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515372.0295</w:t>
            </w:r>
          </w:p>
        </w:tc>
        <w:tc>
          <w:tcPr>
            <w:tcW w:w="1532"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4431858.752</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14</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Çaj mali</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Kolonje</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Gramoz</w:t>
            </w:r>
          </w:p>
        </w:tc>
        <w:tc>
          <w:tcPr>
            <w:tcW w:w="1476"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562415.317</w:t>
            </w:r>
          </w:p>
        </w:tc>
        <w:tc>
          <w:tcPr>
            <w:tcW w:w="1532"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4469393.462</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15</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Xhirokull</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Kelcyre</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Ballaban</w:t>
            </w:r>
          </w:p>
        </w:tc>
        <w:tc>
          <w:tcPr>
            <w:tcW w:w="1476"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518227.2411</w:t>
            </w:r>
          </w:p>
        </w:tc>
        <w:tc>
          <w:tcPr>
            <w:tcW w:w="1532"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4465594.738</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16</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Salep</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Dures</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Kepi Rodonit</w:t>
            </w:r>
          </w:p>
        </w:tc>
        <w:tc>
          <w:tcPr>
            <w:tcW w:w="1476"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454692.0787</w:t>
            </w:r>
          </w:p>
        </w:tc>
        <w:tc>
          <w:tcPr>
            <w:tcW w:w="1532"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4605356.962</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17</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 xml:space="preserve">Salep </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Libohove</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libohove</w:t>
            </w:r>
          </w:p>
        </w:tc>
        <w:tc>
          <w:tcPr>
            <w:tcW w:w="1476"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518193.5809</w:t>
            </w:r>
          </w:p>
        </w:tc>
        <w:tc>
          <w:tcPr>
            <w:tcW w:w="1532"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4447703.098</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18</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Boronice</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Tropoje</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Çerem</w:t>
            </w:r>
          </w:p>
        </w:tc>
        <w:tc>
          <w:tcPr>
            <w:tcW w:w="1476"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498701.1439</w:t>
            </w:r>
          </w:p>
        </w:tc>
        <w:tc>
          <w:tcPr>
            <w:tcW w:w="1532"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4708340.666</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19</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Boronice</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Bulqize</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Liqeni Zi</w:t>
            </w:r>
          </w:p>
        </w:tc>
        <w:tc>
          <w:tcPr>
            <w:tcW w:w="1476"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524867.9662</w:t>
            </w:r>
          </w:p>
        </w:tc>
        <w:tc>
          <w:tcPr>
            <w:tcW w:w="1532" w:type="dxa"/>
            <w:tcBorders>
              <w:top w:val="nil"/>
              <w:left w:val="nil"/>
              <w:bottom w:val="single" w:sz="4" w:space="0" w:color="auto"/>
              <w:right w:val="single" w:sz="4" w:space="0" w:color="auto"/>
            </w:tcBorders>
            <w:shd w:val="clear" w:color="auto" w:fill="auto"/>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4591305.182</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20</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Boronice</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Pogradec</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Qaf Panje</w:t>
            </w:r>
          </w:p>
        </w:tc>
        <w:tc>
          <w:tcPr>
            <w:tcW w:w="1476"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544706.3752</w:t>
            </w:r>
          </w:p>
        </w:tc>
        <w:tc>
          <w:tcPr>
            <w:tcW w:w="1532"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4522442.293</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21</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Salep</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Kukes</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Novosej</w:t>
            </w:r>
          </w:p>
        </w:tc>
        <w:tc>
          <w:tcPr>
            <w:tcW w:w="1476"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548461.5196</w:t>
            </w:r>
          </w:p>
        </w:tc>
        <w:tc>
          <w:tcPr>
            <w:tcW w:w="1532"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4649297.909</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22</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Xhirokull</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Kukes</w:t>
            </w:r>
          </w:p>
        </w:tc>
        <w:tc>
          <w:tcPr>
            <w:tcW w:w="22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Kroi Kuq</w:t>
            </w:r>
          </w:p>
        </w:tc>
        <w:tc>
          <w:tcPr>
            <w:tcW w:w="1476"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539694.9175</w:t>
            </w:r>
          </w:p>
        </w:tc>
        <w:tc>
          <w:tcPr>
            <w:tcW w:w="1532"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4651512.562</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23</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Boronice</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Kukes</w:t>
            </w:r>
          </w:p>
        </w:tc>
        <w:tc>
          <w:tcPr>
            <w:tcW w:w="2250"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Samarthi</w:t>
            </w:r>
          </w:p>
        </w:tc>
        <w:tc>
          <w:tcPr>
            <w:tcW w:w="1476"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540346.7946</w:t>
            </w:r>
          </w:p>
        </w:tc>
        <w:tc>
          <w:tcPr>
            <w:tcW w:w="1532"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4650776.02</w:t>
            </w:r>
          </w:p>
        </w:tc>
      </w:tr>
      <w:tr w:rsidR="00D62190" w:rsidRPr="00D62190" w:rsidTr="00E67F4D">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24</w:t>
            </w:r>
          </w:p>
        </w:tc>
        <w:tc>
          <w:tcPr>
            <w:tcW w:w="11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Boronice</w:t>
            </w:r>
          </w:p>
        </w:tc>
        <w:tc>
          <w:tcPr>
            <w:tcW w:w="1350" w:type="dxa"/>
            <w:tcBorders>
              <w:top w:val="nil"/>
              <w:left w:val="nil"/>
              <w:bottom w:val="single" w:sz="4" w:space="0" w:color="auto"/>
              <w:right w:val="single" w:sz="4" w:space="0" w:color="auto"/>
            </w:tcBorders>
            <w:shd w:val="clear" w:color="000000" w:fill="FFFFFF"/>
            <w:noWrap/>
            <w:vAlign w:val="center"/>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Kukes</w:t>
            </w:r>
          </w:p>
        </w:tc>
        <w:tc>
          <w:tcPr>
            <w:tcW w:w="2250"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Stanet e Bicajve</w:t>
            </w:r>
          </w:p>
        </w:tc>
        <w:tc>
          <w:tcPr>
            <w:tcW w:w="1476"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539461.3752</w:t>
            </w:r>
          </w:p>
        </w:tc>
        <w:tc>
          <w:tcPr>
            <w:tcW w:w="1532" w:type="dxa"/>
            <w:tcBorders>
              <w:top w:val="nil"/>
              <w:left w:val="nil"/>
              <w:bottom w:val="single" w:sz="4" w:space="0" w:color="auto"/>
              <w:right w:val="single" w:sz="4" w:space="0" w:color="auto"/>
            </w:tcBorders>
            <w:shd w:val="clear" w:color="auto" w:fill="auto"/>
            <w:noWrap/>
            <w:vAlign w:val="bottom"/>
            <w:hideMark/>
          </w:tcPr>
          <w:p w:rsidR="00D62190" w:rsidRPr="00D62190" w:rsidRDefault="00D62190" w:rsidP="00D62190">
            <w:pPr>
              <w:spacing w:after="0" w:line="240" w:lineRule="auto"/>
              <w:rPr>
                <w:rFonts w:ascii="Times New Roman" w:eastAsia="Times New Roman" w:hAnsi="Times New Roman" w:cs="Times New Roman"/>
                <w:color w:val="000000"/>
                <w:sz w:val="24"/>
                <w:szCs w:val="24"/>
              </w:rPr>
            </w:pPr>
            <w:r w:rsidRPr="00D62190">
              <w:rPr>
                <w:rFonts w:ascii="Times New Roman" w:eastAsia="Times New Roman" w:hAnsi="Times New Roman" w:cs="Times New Roman"/>
                <w:color w:val="000000"/>
                <w:sz w:val="24"/>
                <w:szCs w:val="24"/>
              </w:rPr>
              <w:t>4647899.264</w:t>
            </w:r>
          </w:p>
        </w:tc>
      </w:tr>
    </w:tbl>
    <w:p w:rsidR="00D62190" w:rsidRPr="00D33108" w:rsidRDefault="00D62190">
      <w:pPr>
        <w:rPr>
          <w:rFonts w:ascii="Times New Roman" w:hAnsi="Times New Roman" w:cs="Times New Roman"/>
          <w:sz w:val="24"/>
          <w:szCs w:val="24"/>
        </w:rPr>
      </w:pPr>
    </w:p>
    <w:sectPr w:rsidR="00D62190" w:rsidRPr="00D33108" w:rsidSect="00DD3B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3B5D" w:rsidRDefault="00683B5D" w:rsidP="00AB1F2A">
      <w:pPr>
        <w:spacing w:after="0" w:line="240" w:lineRule="auto"/>
      </w:pPr>
      <w:r>
        <w:separator/>
      </w:r>
    </w:p>
  </w:endnote>
  <w:endnote w:type="continuationSeparator" w:id="0">
    <w:p w:rsidR="00683B5D" w:rsidRDefault="00683B5D" w:rsidP="00AB1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SCHJM S+ Frutiger LT Std">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tos">
    <w:altName w:val="Arial"/>
    <w:charset w:val="00"/>
    <w:family w:val="swiss"/>
    <w:pitch w:val="variable"/>
    <w:sig w:usb0="00000001" w:usb1="00000003" w:usb2="00000000" w:usb3="00000000" w:csb0="0000019F" w:csb1="00000000"/>
  </w:font>
  <w:font w:name="MinionPro-Regular">
    <w:altName w:val="Malgun Gothic Semilight"/>
    <w:panose1 w:val="00000000000000000000"/>
    <w:charset w:val="80"/>
    <w:family w:val="roman"/>
    <w:notTrueType/>
    <w:pitch w:val="default"/>
    <w:sig w:usb0="00000000" w:usb1="08070000" w:usb2="00000010" w:usb3="00000000" w:csb0="00020000" w:csb1="00000000"/>
  </w:font>
  <w:font w:name="PalatinoLinotype-Roman">
    <w:altName w:val="Arial Unicode MS"/>
    <w:panose1 w:val="00000000000000000000"/>
    <w:charset w:val="00"/>
    <w:family w:val="roman"/>
    <w:notTrueType/>
    <w:pitch w:val="default"/>
    <w:sig w:usb0="00000003" w:usb1="08080000" w:usb2="00000010" w:usb3="00000000" w:csb0="00100001" w:csb1="00000000"/>
  </w:font>
  <w:font w:name="Arial MT">
    <w:altName w:val="Arial"/>
    <w:charset w:val="01"/>
    <w:family w:val="swiss"/>
    <w:pitch w:val="variable"/>
  </w:font>
  <w:font w:name="Sylfaen">
    <w:panose1 w:val="010A0502050306030303"/>
    <w:charset w:val="00"/>
    <w:family w:val="roman"/>
    <w:pitch w:val="variable"/>
    <w:sig w:usb0="040006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Adobe Myungjo Std M">
    <w:panose1 w:val="02020600000000000000"/>
    <w:charset w:val="80"/>
    <w:family w:val="roman"/>
    <w:notTrueType/>
    <w:pitch w:val="variable"/>
    <w:sig w:usb0="00000203" w:usb1="29D72C10" w:usb2="00000010" w:usb3="00000000" w:csb0="002A0005" w:csb1="00000000"/>
  </w:font>
  <w:font w:name="Cambria Math">
    <w:panose1 w:val="02040503050406030204"/>
    <w:charset w:val="00"/>
    <w:family w:val="roman"/>
    <w:pitch w:val="variable"/>
    <w:sig w:usb0="E00006FF" w:usb1="420024FF" w:usb2="02000000" w:usb3="00000000" w:csb0="0000019F" w:csb1="00000000"/>
  </w:font>
  <w:font w:name="Aptos Narrow">
    <w:altName w:val="Arial"/>
    <w:charset w:val="00"/>
    <w:family w:val="swiss"/>
    <w:pitch w:val="variable"/>
    <w:sig w:usb0="00000001"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59F" w:rsidRDefault="0064059F">
    <w:pPr>
      <w:pStyle w:val="Footer"/>
      <w:rPr>
        <w:color w:val="000000" w:themeColor="text1"/>
        <w:sz w:val="24"/>
        <w:szCs w:val="24"/>
      </w:rPr>
    </w:pPr>
    <w:sdt>
      <w:sdtPr>
        <w:rPr>
          <w:color w:val="000000" w:themeColor="text1"/>
          <w:sz w:val="24"/>
          <w:szCs w:val="24"/>
        </w:rPr>
        <w:alias w:val="Author"/>
        <w:id w:val="54214575"/>
        <w:dataBinding w:prefixMappings="xmlns:ns0='http://schemas.openxmlformats.org/package/2006/metadata/core-properties' xmlns:ns1='http://purl.org/dc/elements/1.1/'" w:xpath="/ns0:coreProperties[1]/ns1:creator[1]" w:storeItemID="{6C3C8BC8-F283-45AE-878A-BAB7291924A1}"/>
        <w:text/>
      </w:sdtPr>
      <w:sdtContent>
        <w:r>
          <w:rPr>
            <w:color w:val="000000" w:themeColor="text1"/>
            <w:sz w:val="24"/>
            <w:szCs w:val="24"/>
          </w:rPr>
          <w:t>AGJENCIA KOMBËTARE E MJEDISIT</w:t>
        </w:r>
      </w:sdtContent>
    </w:sdt>
  </w:p>
  <w:p w:rsidR="0064059F" w:rsidRDefault="0064059F">
    <w:pPr>
      <w:pStyle w:val="Footer"/>
    </w:pPr>
    <w:r>
      <w:rPr>
        <w:noProof/>
      </w:rPr>
      <mc:AlternateContent>
        <mc:Choice Requires="wps">
          <w:drawing>
            <wp:anchor distT="0" distB="0" distL="114300" distR="114300" simplePos="0" relativeHeight="251663360" behindDoc="0" locked="0" layoutInCell="1" allowOverlap="1" wp14:anchorId="173E82DA" wp14:editId="542E91ED">
              <wp:simplePos x="0" y="0"/>
              <wp:positionH relativeFrom="margin">
                <wp:align>right</wp:align>
              </wp:positionH>
              <wp:positionV relativeFrom="bottomMargin">
                <wp:align>top</wp:align>
              </wp:positionV>
              <wp:extent cx="1508760" cy="395605"/>
              <wp:effectExtent l="0" t="0" r="0" b="0"/>
              <wp:wrapNone/>
              <wp:docPr id="399" name="Text Box 399"/>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64059F" w:rsidRPr="001E7407" w:rsidRDefault="0064059F">
                          <w:pPr>
                            <w:pStyle w:val="Footer"/>
                            <w:jc w:val="right"/>
                            <w:rPr>
                              <w:rFonts w:asciiTheme="majorHAnsi" w:hAnsiTheme="majorHAnsi"/>
                              <w:color w:val="000000" w:themeColor="text1"/>
                              <w:sz w:val="28"/>
                              <w:szCs w:val="28"/>
                            </w:rPr>
                          </w:pPr>
                          <w:r w:rsidRPr="001E7407">
                            <w:rPr>
                              <w:rFonts w:asciiTheme="majorHAnsi" w:hAnsiTheme="majorHAnsi"/>
                              <w:color w:val="000000" w:themeColor="text1"/>
                              <w:sz w:val="28"/>
                              <w:szCs w:val="28"/>
                            </w:rPr>
                            <w:fldChar w:fldCharType="begin"/>
                          </w:r>
                          <w:r w:rsidRPr="001E7407">
                            <w:rPr>
                              <w:rFonts w:asciiTheme="majorHAnsi" w:hAnsiTheme="majorHAnsi"/>
                              <w:color w:val="000000" w:themeColor="text1"/>
                              <w:sz w:val="28"/>
                              <w:szCs w:val="28"/>
                            </w:rPr>
                            <w:instrText xml:space="preserve"> PAGE  \* Arabic  \* MERGEFORMAT </w:instrText>
                          </w:r>
                          <w:r w:rsidRPr="001E7407">
                            <w:rPr>
                              <w:rFonts w:asciiTheme="majorHAnsi" w:hAnsiTheme="majorHAnsi"/>
                              <w:color w:val="000000" w:themeColor="text1"/>
                              <w:sz w:val="28"/>
                              <w:szCs w:val="28"/>
                            </w:rPr>
                            <w:fldChar w:fldCharType="separate"/>
                          </w:r>
                          <w:r>
                            <w:rPr>
                              <w:rFonts w:asciiTheme="majorHAnsi" w:hAnsiTheme="majorHAnsi"/>
                              <w:noProof/>
                              <w:color w:val="000000" w:themeColor="text1"/>
                              <w:sz w:val="28"/>
                              <w:szCs w:val="28"/>
                            </w:rPr>
                            <w:t>29</w:t>
                          </w:r>
                          <w:r w:rsidRPr="001E7407">
                            <w:rPr>
                              <w:rFonts w:asciiTheme="majorHAnsi" w:hAnsiTheme="majorHAnsi"/>
                              <w:color w:val="000000" w:themeColor="text1"/>
                              <w:sz w:val="28"/>
                              <w:szCs w:val="2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73E82DA" id="_x0000_t202" coordsize="21600,21600" o:spt="202" path="m,l,21600r21600,l21600,xe">
              <v:stroke joinstyle="miter"/>
              <v:path gradientshapeok="t" o:connecttype="rect"/>
            </v:shapetype>
            <v:shape id="Text Box 399" o:spid="_x0000_s1114" type="#_x0000_t202" style="position:absolute;margin-left:67.6pt;margin-top:0;width:118.8pt;height:31.15pt;z-index:25166336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" filled="f" stroked="f" strokeweight=".5pt">
              <v:textbox style="mso-fit-shape-to-text:t">
                <w:txbxContent>
                  <w:p w:rsidR="0064059F" w:rsidRPr="001E7407" w:rsidRDefault="0064059F">
                    <w:pPr>
                      <w:pStyle w:val="Footer"/>
                      <w:jc w:val="right"/>
                      <w:rPr>
                        <w:rFonts w:asciiTheme="majorHAnsi" w:hAnsiTheme="majorHAnsi"/>
                        <w:color w:val="000000" w:themeColor="text1"/>
                        <w:sz w:val="28"/>
                        <w:szCs w:val="28"/>
                      </w:rPr>
                    </w:pPr>
                    <w:r w:rsidRPr="001E7407">
                      <w:rPr>
                        <w:rFonts w:asciiTheme="majorHAnsi" w:hAnsiTheme="majorHAnsi"/>
                        <w:color w:val="000000" w:themeColor="text1"/>
                        <w:sz w:val="28"/>
                        <w:szCs w:val="28"/>
                      </w:rPr>
                      <w:fldChar w:fldCharType="begin"/>
                    </w:r>
                    <w:r w:rsidRPr="001E7407">
                      <w:rPr>
                        <w:rFonts w:asciiTheme="majorHAnsi" w:hAnsiTheme="majorHAnsi"/>
                        <w:color w:val="000000" w:themeColor="text1"/>
                        <w:sz w:val="28"/>
                        <w:szCs w:val="28"/>
                      </w:rPr>
                      <w:instrText xml:space="preserve"> PAGE  \* Arabic  \* MERGEFORMAT </w:instrText>
                    </w:r>
                    <w:r w:rsidRPr="001E7407">
                      <w:rPr>
                        <w:rFonts w:asciiTheme="majorHAnsi" w:hAnsiTheme="majorHAnsi"/>
                        <w:color w:val="000000" w:themeColor="text1"/>
                        <w:sz w:val="28"/>
                        <w:szCs w:val="28"/>
                      </w:rPr>
                      <w:fldChar w:fldCharType="separate"/>
                    </w:r>
                    <w:r>
                      <w:rPr>
                        <w:rFonts w:asciiTheme="majorHAnsi" w:hAnsiTheme="majorHAnsi"/>
                        <w:noProof/>
                        <w:color w:val="000000" w:themeColor="text1"/>
                        <w:sz w:val="28"/>
                        <w:szCs w:val="28"/>
                      </w:rPr>
                      <w:t>29</w:t>
                    </w:r>
                    <w:r w:rsidRPr="001E7407">
                      <w:rPr>
                        <w:rFonts w:asciiTheme="majorHAnsi" w:hAnsiTheme="majorHAnsi"/>
                        <w:color w:val="000000" w:themeColor="text1"/>
                        <w:sz w:val="28"/>
                        <w:szCs w:val="28"/>
                      </w:rPr>
                      <w:fldChar w:fldCharType="end"/>
                    </w:r>
                  </w:p>
                </w:txbxContent>
              </v:textbox>
              <w10:wrap anchorx="margin" anchory="margin"/>
            </v:shape>
          </w:pict>
        </mc:Fallback>
      </mc:AlternateContent>
    </w:r>
    <w:r>
      <w:rPr>
        <w:noProof/>
        <w:color w:val="5B9BD5" w:themeColor="accent1"/>
      </w:rPr>
      <mc:AlternateContent>
        <mc:Choice Requires="wps">
          <w:drawing>
            <wp:anchor distT="91440" distB="91440" distL="114300" distR="114300" simplePos="0" relativeHeight="251664384" behindDoc="1" locked="0" layoutInCell="1" allowOverlap="1" wp14:anchorId="19A11BCC" wp14:editId="54B42DC3">
              <wp:simplePos x="0" y="0"/>
              <wp:positionH relativeFrom="margin">
                <wp:align>center</wp:align>
              </wp:positionH>
              <wp:positionV relativeFrom="bottomMargin">
                <wp:align>top</wp:align>
              </wp:positionV>
              <wp:extent cx="5943600" cy="36195"/>
              <wp:effectExtent l="0" t="0" r="0" b="0"/>
              <wp:wrapSquare wrapText="bothSides"/>
              <wp:docPr id="400" name="Rectangle 400"/>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55B012CB" id="Rectangle 400" o:spid="_x0000_s1026" style="position:absolute;margin-left:0;margin-top:0;width:468pt;height:2.85pt;z-index:-251652096;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" fillcolor="#5b9bd5 [3204]" stroked="f" strokeweight="1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3B5D" w:rsidRDefault="00683B5D" w:rsidP="00AB1F2A">
      <w:pPr>
        <w:spacing w:after="0" w:line="240" w:lineRule="auto"/>
      </w:pPr>
      <w:r>
        <w:separator/>
      </w:r>
    </w:p>
  </w:footnote>
  <w:footnote w:type="continuationSeparator" w:id="0">
    <w:p w:rsidR="00683B5D" w:rsidRDefault="00683B5D" w:rsidP="00AB1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rPr>
      <w:alias w:val="Title"/>
      <w:id w:val="536411716"/>
      <w:dataBinding w:prefixMappings="xmlns:ns0='http://schemas.openxmlformats.org/package/2006/metadata/core-properties' xmlns:ns1='http://purl.org/dc/elements/1.1/'" w:xpath="/ns0:coreProperties[1]/ns1:title[1]" w:storeItemID="{6C3C8BC8-F283-45AE-878A-BAB7291924A1}"/>
      <w:text/>
    </w:sdtPr>
    <w:sdtContent>
      <w:p w:rsidR="0064059F" w:rsidRDefault="0064059F">
        <w:pPr>
          <w:pStyle w:val="Header"/>
          <w:rPr>
            <w:rFonts w:asciiTheme="majorHAnsi" w:eastAsiaTheme="majorEastAsia" w:hAnsiTheme="majorHAnsi" w:cstheme="majorBidi"/>
          </w:rPr>
        </w:pPr>
        <w:r>
          <w:rPr>
            <w:rFonts w:asciiTheme="majorHAnsi" w:eastAsiaTheme="majorEastAsia" w:hAnsiTheme="majorHAnsi" w:cstheme="majorBidi"/>
          </w:rPr>
          <w:t>RAPORTI I GJENDJES NË MJEDIS 2025</w:t>
        </w:r>
      </w:p>
    </w:sdtContent>
  </w:sdt>
  <w:p w:rsidR="0064059F" w:rsidRDefault="0064059F">
    <w:pPr>
      <w:pStyle w:val="Header"/>
    </w:pPr>
    <w:r>
      <w:rPr>
        <w:rFonts w:asciiTheme="majorHAnsi" w:eastAsiaTheme="majorEastAsia" w:hAnsiTheme="majorHAnsi" w:cstheme="majorBidi"/>
        <w:noProof/>
      </w:rPr>
      <mc:AlternateContent>
        <mc:Choice Requires="wpg">
          <w:drawing>
            <wp:anchor distT="0" distB="0" distL="114300" distR="114300" simplePos="0" relativeHeight="251661312" behindDoc="0" locked="0" layoutInCell="1" allowOverlap="1" wp14:anchorId="75132110" wp14:editId="79E864F6">
              <wp:simplePos x="0" y="0"/>
              <wp:positionH relativeFrom="page">
                <wp:align>center</wp:align>
              </wp:positionH>
              <wp:positionV relativeFrom="page">
                <wp:align>top</wp:align>
              </wp:positionV>
              <wp:extent cx="10047605" cy="914400"/>
              <wp:effectExtent l="0" t="0" r="19050" b="11430"/>
              <wp:wrapNone/>
              <wp:docPr id="508"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7605" cy="914400"/>
                        <a:chOff x="8" y="9"/>
                        <a:chExt cx="15823" cy="1439"/>
                      </a:xfrm>
                    </wpg:grpSpPr>
                    <wps:wsp>
                      <wps:cNvPr id="50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510" name="Rectangle 51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w:pict>
            <v:group w14:anchorId="7A2733F3" id="Group 508" o:spid="_x0000_s1026" style="position:absolute;margin-left:0;margin-top:0;width:791.15pt;height:1in;z-index:251661312;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" strokecolor="#31849b"/>
              <v:rect id="Rectangle 510"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" filled="f" stroked="f"/>
              <w10:wrap anchorx="page" anchory="page"/>
            </v:group>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1660288" behindDoc="0" locked="0" layoutInCell="1" allowOverlap="1" wp14:anchorId="63761ED6" wp14:editId="4589E01E">
              <wp:simplePos x="0" y="0"/>
              <wp:positionH relativeFrom="rightMargin">
                <wp:align>center</wp:align>
              </wp:positionH>
              <wp:positionV relativeFrom="page">
                <wp:align>top</wp:align>
              </wp:positionV>
              <wp:extent cx="90805" cy="822960"/>
              <wp:effectExtent l="0" t="0" r="4445" b="0"/>
              <wp:wrapNone/>
              <wp:docPr id="511" name="Rectangl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w14:anchorId="3B548C1F" id="Rectangle 511" o:spid="_x0000_s1026" style="position:absolute;margin-left:0;margin-top:0;width:7.15pt;height:64.8pt;z-index:251660288;visibility:visible;mso-wrap-style:square;mso-width-percent:0;mso-height-percent:900;mso-wrap-distance-left:9pt;mso-wrap-distance-top:0;mso-wrap-distance-right:9pt;mso-wrap-distance-bottom:0;mso-position-horizontal:center;mso-position-horizontal-relative:righ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" fillcolor="#4472c4 [3208]" strokecolor="#5b9bd5 [3204]">
              <w10:wrap anchorx="margin" anchory="page"/>
            </v:rect>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5567B9B6" wp14:editId="074C5AA8">
              <wp:simplePos x="0" y="0"/>
              <wp:positionH relativeFrom="leftMargin">
                <wp:align>center</wp:align>
              </wp:positionH>
              <wp:positionV relativeFrom="page">
                <wp:align>top</wp:align>
              </wp:positionV>
              <wp:extent cx="90805" cy="822960"/>
              <wp:effectExtent l="0" t="0" r="4445" b="0"/>
              <wp:wrapNone/>
              <wp:docPr id="398"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w14:anchorId="3E78D425" id="Rectangle 398" o:spid="_x0000_s1026" style="position:absolute;margin-left:0;margin-top:0;width:7.15pt;height:64.8pt;z-index:251659264;visibility:visible;mso-wrap-style:square;mso-width-percent:0;mso-height-percent:900;mso-wrap-distance-left:9pt;mso-wrap-distance-top:0;mso-wrap-distance-right:9pt;mso-wrap-distance-bottom:0;mso-position-horizontal:center;mso-position-horizontal-relative:lef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" fillcolor="#4472c4 [3208]" strokecolor="#5b9bd5 [3204]">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1D836B4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1.25pt;height:11.25pt" o:bullet="t">
        <v:imagedata r:id="rId1" o:title="msoFA19"/>
      </v:shape>
    </w:pict>
  </w:numPicBullet>
  <w:numPicBullet w:numPicBulletId="1">
    <w:pict>
      <v:shape id="_x0000_i1079" type="#_x0000_t75" style="width:11.25pt;height:11.25pt" o:bullet="t">
        <v:imagedata r:id="rId2" o:title="msoAE9F"/>
      </v:shape>
    </w:pict>
  </w:numPicBullet>
  <w:abstractNum w:abstractNumId="0" w15:restartNumberingAfterBreak="0">
    <w:nsid w:val="000029ED"/>
    <w:multiLevelType w:val="multilevel"/>
    <w:tmpl w:val="283C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05777E"/>
    <w:multiLevelType w:val="hybridMultilevel"/>
    <w:tmpl w:val="D13800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B5159"/>
    <w:multiLevelType w:val="hybridMultilevel"/>
    <w:tmpl w:val="15D02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3E7058"/>
    <w:multiLevelType w:val="multilevel"/>
    <w:tmpl w:val="0E7CEDB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1F132E3"/>
    <w:multiLevelType w:val="hybridMultilevel"/>
    <w:tmpl w:val="B3FC67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6339A6"/>
    <w:multiLevelType w:val="hybridMultilevel"/>
    <w:tmpl w:val="B8C02E4A"/>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9E627B"/>
    <w:multiLevelType w:val="hybridMultilevel"/>
    <w:tmpl w:val="B2EEF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987B8C"/>
    <w:multiLevelType w:val="hybridMultilevel"/>
    <w:tmpl w:val="EE5A9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5B7F77"/>
    <w:multiLevelType w:val="hybridMultilevel"/>
    <w:tmpl w:val="08CCC47C"/>
    <w:lvl w:ilvl="0" w:tplc="E0F0EA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8E7FDF"/>
    <w:multiLevelType w:val="hybridMultilevel"/>
    <w:tmpl w:val="BCBAA6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265A23"/>
    <w:multiLevelType w:val="hybridMultilevel"/>
    <w:tmpl w:val="74DA64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2F2ABE"/>
    <w:multiLevelType w:val="hybridMultilevel"/>
    <w:tmpl w:val="C700FC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A002D3"/>
    <w:multiLevelType w:val="hybridMultilevel"/>
    <w:tmpl w:val="29D658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AD7BCC"/>
    <w:multiLevelType w:val="hybridMultilevel"/>
    <w:tmpl w:val="946EA9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DF76EAF"/>
    <w:multiLevelType w:val="hybridMultilevel"/>
    <w:tmpl w:val="B4D01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9D519C"/>
    <w:multiLevelType w:val="multilevel"/>
    <w:tmpl w:val="9198E89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0EA75E0C"/>
    <w:multiLevelType w:val="hybridMultilevel"/>
    <w:tmpl w:val="71E628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B36CF9"/>
    <w:multiLevelType w:val="hybridMultilevel"/>
    <w:tmpl w:val="9134EE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096E96"/>
    <w:multiLevelType w:val="hybridMultilevel"/>
    <w:tmpl w:val="98F2F8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0F67357"/>
    <w:multiLevelType w:val="hybridMultilevel"/>
    <w:tmpl w:val="5EE6396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11D66EB0"/>
    <w:multiLevelType w:val="hybridMultilevel"/>
    <w:tmpl w:val="2EFCEB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D52E9A"/>
    <w:multiLevelType w:val="hybridMultilevel"/>
    <w:tmpl w:val="2550BEAE"/>
    <w:lvl w:ilvl="0" w:tplc="04090005">
      <w:start w:val="1"/>
      <w:numFmt w:val="bullet"/>
      <w:lvlText w:val=""/>
      <w:lvlJc w:val="left"/>
      <w:pPr>
        <w:ind w:left="862" w:hanging="360"/>
      </w:pPr>
      <w:rPr>
        <w:rFonts w:ascii="Wingdings" w:hAnsi="Wingdings"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22" w15:restartNumberingAfterBreak="0">
    <w:nsid w:val="12DD507F"/>
    <w:multiLevelType w:val="hybridMultilevel"/>
    <w:tmpl w:val="B8063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31E230A"/>
    <w:multiLevelType w:val="hybridMultilevel"/>
    <w:tmpl w:val="E580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7A5DE6"/>
    <w:multiLevelType w:val="hybridMultilevel"/>
    <w:tmpl w:val="0A9C62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5D95B77"/>
    <w:multiLevelType w:val="hybridMultilevel"/>
    <w:tmpl w:val="7D1047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6003413"/>
    <w:multiLevelType w:val="hybridMultilevel"/>
    <w:tmpl w:val="FB7ED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237F79"/>
    <w:multiLevelType w:val="hybridMultilevel"/>
    <w:tmpl w:val="D9A048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416F23"/>
    <w:multiLevelType w:val="hybridMultilevel"/>
    <w:tmpl w:val="D0D89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64E5218"/>
    <w:multiLevelType w:val="hybridMultilevel"/>
    <w:tmpl w:val="4D88E8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7875D70"/>
    <w:multiLevelType w:val="hybridMultilevel"/>
    <w:tmpl w:val="D43A5C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D84EC9"/>
    <w:multiLevelType w:val="hybridMultilevel"/>
    <w:tmpl w:val="886629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9BE49E7"/>
    <w:multiLevelType w:val="hybridMultilevel"/>
    <w:tmpl w:val="ED8C99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A0E4CE9"/>
    <w:multiLevelType w:val="hybridMultilevel"/>
    <w:tmpl w:val="980A25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A795BA0"/>
    <w:multiLevelType w:val="multilevel"/>
    <w:tmpl w:val="C55E621E"/>
    <w:lvl w:ilvl="0">
      <w:start w:val="10"/>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C69240F"/>
    <w:multiLevelType w:val="hybridMultilevel"/>
    <w:tmpl w:val="0DAE39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C757C27"/>
    <w:multiLevelType w:val="hybridMultilevel"/>
    <w:tmpl w:val="759414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CD07C05"/>
    <w:multiLevelType w:val="hybridMultilevel"/>
    <w:tmpl w:val="1B46B6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DD5221C"/>
    <w:multiLevelType w:val="hybridMultilevel"/>
    <w:tmpl w:val="80FCBE06"/>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E821F9C"/>
    <w:multiLevelType w:val="multilevel"/>
    <w:tmpl w:val="AAD06DA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F91310C"/>
    <w:multiLevelType w:val="multilevel"/>
    <w:tmpl w:val="CD5CFC9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20201CDB"/>
    <w:multiLevelType w:val="hybridMultilevel"/>
    <w:tmpl w:val="A5589C9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03A1894"/>
    <w:multiLevelType w:val="hybridMultilevel"/>
    <w:tmpl w:val="3A321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086690C"/>
    <w:multiLevelType w:val="hybridMultilevel"/>
    <w:tmpl w:val="97DEBB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0B56CFE"/>
    <w:multiLevelType w:val="hybridMultilevel"/>
    <w:tmpl w:val="FCCCB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1963216"/>
    <w:multiLevelType w:val="hybridMultilevel"/>
    <w:tmpl w:val="49E436E2"/>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6" w15:restartNumberingAfterBreak="0">
    <w:nsid w:val="22CD5A47"/>
    <w:multiLevelType w:val="hybridMultilevel"/>
    <w:tmpl w:val="3CE463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372113D"/>
    <w:multiLevelType w:val="hybridMultilevel"/>
    <w:tmpl w:val="F7EE0D7E"/>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24D4145A"/>
    <w:multiLevelType w:val="hybridMultilevel"/>
    <w:tmpl w:val="D28036A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25491407"/>
    <w:multiLevelType w:val="hybridMultilevel"/>
    <w:tmpl w:val="B20871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8E67D8"/>
    <w:multiLevelType w:val="multilevel"/>
    <w:tmpl w:val="0CAEB03C"/>
    <w:lvl w:ilvl="0">
      <w:start w:val="1"/>
      <w:numFmt w:val="bullet"/>
      <w:lvlText w:val=""/>
      <w:lvlJc w:val="left"/>
      <w:pPr>
        <w:ind w:left="928" w:hanging="360"/>
      </w:pPr>
      <w:rPr>
        <w:rFonts w:ascii="Wingdings" w:hAnsi="Wingdings" w:hint="default"/>
        <w:b/>
        <w:i w:val="0"/>
      </w:r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1" w15:restartNumberingAfterBreak="0">
    <w:nsid w:val="259043BC"/>
    <w:multiLevelType w:val="hybridMultilevel"/>
    <w:tmpl w:val="8090A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5932955"/>
    <w:multiLevelType w:val="hybridMultilevel"/>
    <w:tmpl w:val="0AB28A5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25F84339"/>
    <w:multiLevelType w:val="hybridMultilevel"/>
    <w:tmpl w:val="5B426BF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260A0074"/>
    <w:multiLevelType w:val="hybridMultilevel"/>
    <w:tmpl w:val="6810B452"/>
    <w:lvl w:ilvl="0" w:tplc="9212652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67635FA"/>
    <w:multiLevelType w:val="hybridMultilevel"/>
    <w:tmpl w:val="0A92DA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6F006A3"/>
    <w:multiLevelType w:val="hybridMultilevel"/>
    <w:tmpl w:val="B6B4A6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77D2F03"/>
    <w:multiLevelType w:val="hybridMultilevel"/>
    <w:tmpl w:val="8E3E8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B039DD"/>
    <w:multiLevelType w:val="multilevel"/>
    <w:tmpl w:val="069872B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7FA5A11"/>
    <w:multiLevelType w:val="hybridMultilevel"/>
    <w:tmpl w:val="EFAC5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8075E7E"/>
    <w:multiLevelType w:val="hybridMultilevel"/>
    <w:tmpl w:val="A04C08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91C52A2"/>
    <w:multiLevelType w:val="hybridMultilevel"/>
    <w:tmpl w:val="B676819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97A6F3F"/>
    <w:multiLevelType w:val="hybridMultilevel"/>
    <w:tmpl w:val="354629F6"/>
    <w:lvl w:ilvl="0" w:tplc="B0CE6E4E">
      <w:start w:val="1"/>
      <w:numFmt w:val="bullet"/>
      <w:lvlText w:val=""/>
      <w:lvlJc w:val="left"/>
      <w:pPr>
        <w:ind w:left="720" w:hanging="360"/>
      </w:pPr>
      <w:rPr>
        <w:rFonts w:ascii="Wingdings" w:hAnsi="Wingdings" w:hint="default"/>
        <w:color w:val="2E74B5"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CB43E34"/>
    <w:multiLevelType w:val="hybridMultilevel"/>
    <w:tmpl w:val="1BDE86F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DE15C76"/>
    <w:multiLevelType w:val="hybridMultilevel"/>
    <w:tmpl w:val="AD6EF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ED9650D"/>
    <w:multiLevelType w:val="hybridMultilevel"/>
    <w:tmpl w:val="D56074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1682E5E"/>
    <w:multiLevelType w:val="hybridMultilevel"/>
    <w:tmpl w:val="09AA31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1EA287A"/>
    <w:multiLevelType w:val="hybridMultilevel"/>
    <w:tmpl w:val="FD566C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2314BF8"/>
    <w:multiLevelType w:val="hybridMultilevel"/>
    <w:tmpl w:val="46F217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2D972E3"/>
    <w:multiLevelType w:val="hybridMultilevel"/>
    <w:tmpl w:val="85023F4E"/>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0" w15:restartNumberingAfterBreak="0">
    <w:nsid w:val="33EB6E3D"/>
    <w:multiLevelType w:val="hybridMultilevel"/>
    <w:tmpl w:val="39CCB820"/>
    <w:lvl w:ilvl="0" w:tplc="24321808">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1" w15:restartNumberingAfterBreak="0">
    <w:nsid w:val="34305096"/>
    <w:multiLevelType w:val="hybridMultilevel"/>
    <w:tmpl w:val="86C257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48E5883"/>
    <w:multiLevelType w:val="multilevel"/>
    <w:tmpl w:val="DB4C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4D1725D"/>
    <w:multiLevelType w:val="hybridMultilevel"/>
    <w:tmpl w:val="5568C84A"/>
    <w:lvl w:ilvl="0" w:tplc="04090005">
      <w:start w:val="1"/>
      <w:numFmt w:val="bullet"/>
      <w:lvlText w:val=""/>
      <w:lvlJc w:val="left"/>
      <w:pPr>
        <w:ind w:left="917" w:hanging="360"/>
      </w:pPr>
      <w:rPr>
        <w:rFonts w:ascii="Wingdings" w:hAnsi="Wingdings" w:hint="default"/>
      </w:rPr>
    </w:lvl>
    <w:lvl w:ilvl="1" w:tplc="04090003">
      <w:start w:val="1"/>
      <w:numFmt w:val="bullet"/>
      <w:lvlText w:val="o"/>
      <w:lvlJc w:val="left"/>
      <w:pPr>
        <w:ind w:left="1637" w:hanging="360"/>
      </w:pPr>
      <w:rPr>
        <w:rFonts w:ascii="Courier New" w:hAnsi="Courier New" w:cs="Courier New" w:hint="default"/>
      </w:rPr>
    </w:lvl>
    <w:lvl w:ilvl="2" w:tplc="04090005">
      <w:start w:val="1"/>
      <w:numFmt w:val="bullet"/>
      <w:lvlText w:val=""/>
      <w:lvlJc w:val="left"/>
      <w:pPr>
        <w:ind w:left="2357" w:hanging="360"/>
      </w:pPr>
      <w:rPr>
        <w:rFonts w:ascii="Wingdings" w:hAnsi="Wingdings" w:hint="default"/>
      </w:rPr>
    </w:lvl>
    <w:lvl w:ilvl="3" w:tplc="04090001">
      <w:start w:val="1"/>
      <w:numFmt w:val="bullet"/>
      <w:lvlText w:val=""/>
      <w:lvlJc w:val="left"/>
      <w:pPr>
        <w:ind w:left="3077" w:hanging="360"/>
      </w:pPr>
      <w:rPr>
        <w:rFonts w:ascii="Symbol" w:hAnsi="Symbol" w:hint="default"/>
      </w:rPr>
    </w:lvl>
    <w:lvl w:ilvl="4" w:tplc="04090003">
      <w:start w:val="1"/>
      <w:numFmt w:val="bullet"/>
      <w:lvlText w:val="o"/>
      <w:lvlJc w:val="left"/>
      <w:pPr>
        <w:ind w:left="3797" w:hanging="360"/>
      </w:pPr>
      <w:rPr>
        <w:rFonts w:ascii="Courier New" w:hAnsi="Courier New" w:cs="Courier New" w:hint="default"/>
      </w:rPr>
    </w:lvl>
    <w:lvl w:ilvl="5" w:tplc="04090005">
      <w:start w:val="1"/>
      <w:numFmt w:val="bullet"/>
      <w:lvlText w:val=""/>
      <w:lvlJc w:val="left"/>
      <w:pPr>
        <w:ind w:left="4517" w:hanging="360"/>
      </w:pPr>
      <w:rPr>
        <w:rFonts w:ascii="Wingdings" w:hAnsi="Wingdings" w:hint="default"/>
      </w:rPr>
    </w:lvl>
    <w:lvl w:ilvl="6" w:tplc="04090001">
      <w:start w:val="1"/>
      <w:numFmt w:val="bullet"/>
      <w:lvlText w:val=""/>
      <w:lvlJc w:val="left"/>
      <w:pPr>
        <w:ind w:left="5237" w:hanging="360"/>
      </w:pPr>
      <w:rPr>
        <w:rFonts w:ascii="Symbol" w:hAnsi="Symbol" w:hint="default"/>
      </w:rPr>
    </w:lvl>
    <w:lvl w:ilvl="7" w:tplc="04090003">
      <w:start w:val="1"/>
      <w:numFmt w:val="bullet"/>
      <w:lvlText w:val="o"/>
      <w:lvlJc w:val="left"/>
      <w:pPr>
        <w:ind w:left="5957" w:hanging="360"/>
      </w:pPr>
      <w:rPr>
        <w:rFonts w:ascii="Courier New" w:hAnsi="Courier New" w:cs="Courier New" w:hint="default"/>
      </w:rPr>
    </w:lvl>
    <w:lvl w:ilvl="8" w:tplc="04090005">
      <w:start w:val="1"/>
      <w:numFmt w:val="bullet"/>
      <w:lvlText w:val=""/>
      <w:lvlJc w:val="left"/>
      <w:pPr>
        <w:ind w:left="6677" w:hanging="360"/>
      </w:pPr>
      <w:rPr>
        <w:rFonts w:ascii="Wingdings" w:hAnsi="Wingdings" w:hint="default"/>
      </w:rPr>
    </w:lvl>
  </w:abstractNum>
  <w:abstractNum w:abstractNumId="74" w15:restartNumberingAfterBreak="0">
    <w:nsid w:val="35792193"/>
    <w:multiLevelType w:val="hybridMultilevel"/>
    <w:tmpl w:val="60AACC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6B904BD"/>
    <w:multiLevelType w:val="hybridMultilevel"/>
    <w:tmpl w:val="E38E38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6ED7308"/>
    <w:multiLevelType w:val="hybridMultilevel"/>
    <w:tmpl w:val="AFC81F82"/>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38C22C80"/>
    <w:multiLevelType w:val="hybridMultilevel"/>
    <w:tmpl w:val="E75E99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9E70560"/>
    <w:multiLevelType w:val="hybridMultilevel"/>
    <w:tmpl w:val="B39631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9F95719"/>
    <w:multiLevelType w:val="hybridMultilevel"/>
    <w:tmpl w:val="55203C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AA9324D"/>
    <w:multiLevelType w:val="hybridMultilevel"/>
    <w:tmpl w:val="7B0E41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BA8579B"/>
    <w:multiLevelType w:val="hybridMultilevel"/>
    <w:tmpl w:val="BA2A547C"/>
    <w:lvl w:ilvl="0" w:tplc="517C6ED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C2F247E"/>
    <w:multiLevelType w:val="hybridMultilevel"/>
    <w:tmpl w:val="7B2CC9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E0A3564"/>
    <w:multiLevelType w:val="hybridMultilevel"/>
    <w:tmpl w:val="D2B02AB6"/>
    <w:lvl w:ilvl="0" w:tplc="0409000B">
      <w:start w:val="1"/>
      <w:numFmt w:val="bullet"/>
      <w:lvlText w:val=""/>
      <w:lvlJc w:val="left"/>
      <w:pPr>
        <w:ind w:left="720" w:hanging="360"/>
      </w:pPr>
      <w:rPr>
        <w:rFonts w:ascii="Wingdings" w:hAnsi="Wingding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3E7C5F55"/>
    <w:multiLevelType w:val="hybridMultilevel"/>
    <w:tmpl w:val="166ED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EB32048"/>
    <w:multiLevelType w:val="hybridMultilevel"/>
    <w:tmpl w:val="4CFE42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FAF62CC"/>
    <w:multiLevelType w:val="hybridMultilevel"/>
    <w:tmpl w:val="09A43FA8"/>
    <w:lvl w:ilvl="0" w:tplc="04090005">
      <w:start w:val="1"/>
      <w:numFmt w:val="bullet"/>
      <w:lvlText w:val=""/>
      <w:lvlJc w:val="left"/>
      <w:pPr>
        <w:ind w:left="862" w:hanging="360"/>
      </w:pPr>
      <w:rPr>
        <w:rFonts w:ascii="Wingdings" w:hAnsi="Wingdings"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87" w15:restartNumberingAfterBreak="0">
    <w:nsid w:val="41092ED7"/>
    <w:multiLevelType w:val="hybridMultilevel"/>
    <w:tmpl w:val="5BCE7E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12738AF"/>
    <w:multiLevelType w:val="hybridMultilevel"/>
    <w:tmpl w:val="96EC72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1464AEB"/>
    <w:multiLevelType w:val="multilevel"/>
    <w:tmpl w:val="B0BE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16D2789"/>
    <w:multiLevelType w:val="hybridMultilevel"/>
    <w:tmpl w:val="D3FACA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49A13F6"/>
    <w:multiLevelType w:val="hybridMultilevel"/>
    <w:tmpl w:val="4C781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49C46B1"/>
    <w:multiLevelType w:val="hybridMultilevel"/>
    <w:tmpl w:val="49F00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5580E66"/>
    <w:multiLevelType w:val="hybridMultilevel"/>
    <w:tmpl w:val="1DD255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5673BD0"/>
    <w:multiLevelType w:val="hybridMultilevel"/>
    <w:tmpl w:val="CBBC6A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5F343F4"/>
    <w:multiLevelType w:val="hybridMultilevel"/>
    <w:tmpl w:val="65CCC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6CF3F37"/>
    <w:multiLevelType w:val="multilevel"/>
    <w:tmpl w:val="BE38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89F48C3"/>
    <w:multiLevelType w:val="hybridMultilevel"/>
    <w:tmpl w:val="ED0A1D5C"/>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8C15DF1"/>
    <w:multiLevelType w:val="hybridMultilevel"/>
    <w:tmpl w:val="4B349266"/>
    <w:lvl w:ilvl="0" w:tplc="884C59D2">
      <w:start w:val="8"/>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9" w15:restartNumberingAfterBreak="0">
    <w:nsid w:val="49423220"/>
    <w:multiLevelType w:val="hybridMultilevel"/>
    <w:tmpl w:val="6DE0BA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98D7C86"/>
    <w:multiLevelType w:val="multilevel"/>
    <w:tmpl w:val="0CAEB03C"/>
    <w:lvl w:ilvl="0">
      <w:start w:val="1"/>
      <w:numFmt w:val="bullet"/>
      <w:lvlText w:val=""/>
      <w:lvlJc w:val="left"/>
      <w:pPr>
        <w:ind w:left="928" w:hanging="360"/>
      </w:pPr>
      <w:rPr>
        <w:rFonts w:ascii="Wingdings" w:hAnsi="Wingdings" w:hint="default"/>
        <w:b/>
        <w:i w:val="0"/>
      </w:r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1" w15:restartNumberingAfterBreak="0">
    <w:nsid w:val="4A6C5C19"/>
    <w:multiLevelType w:val="hybridMultilevel"/>
    <w:tmpl w:val="67FA7A50"/>
    <w:lvl w:ilvl="0" w:tplc="0409000D">
      <w:start w:val="1"/>
      <w:numFmt w:val="bullet"/>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4B4427A9"/>
    <w:multiLevelType w:val="hybridMultilevel"/>
    <w:tmpl w:val="55E6BB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DAC7A69"/>
    <w:multiLevelType w:val="hybridMultilevel"/>
    <w:tmpl w:val="B71EA1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E46157B"/>
    <w:multiLevelType w:val="hybridMultilevel"/>
    <w:tmpl w:val="830C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E556A85"/>
    <w:multiLevelType w:val="hybridMultilevel"/>
    <w:tmpl w:val="7A0C9E84"/>
    <w:lvl w:ilvl="0" w:tplc="B0CE6E4E">
      <w:start w:val="1"/>
      <w:numFmt w:val="bullet"/>
      <w:lvlText w:val=""/>
      <w:lvlJc w:val="left"/>
      <w:pPr>
        <w:ind w:left="720" w:hanging="360"/>
      </w:pPr>
      <w:rPr>
        <w:rFonts w:ascii="Wingdings" w:hAnsi="Wingdings" w:hint="default"/>
        <w:color w:val="2E74B5"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F343678"/>
    <w:multiLevelType w:val="hybridMultilevel"/>
    <w:tmpl w:val="9A902C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F5C3145"/>
    <w:multiLevelType w:val="hybridMultilevel"/>
    <w:tmpl w:val="D3B8C3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FE00824"/>
    <w:multiLevelType w:val="hybridMultilevel"/>
    <w:tmpl w:val="F8AC9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01E5ABA"/>
    <w:multiLevelType w:val="hybridMultilevel"/>
    <w:tmpl w:val="B9A476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0340EDA"/>
    <w:multiLevelType w:val="hybridMultilevel"/>
    <w:tmpl w:val="F9E8C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2F53FE9"/>
    <w:multiLevelType w:val="hybridMultilevel"/>
    <w:tmpl w:val="674092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44F2014"/>
    <w:multiLevelType w:val="hybridMultilevel"/>
    <w:tmpl w:val="89200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4B86BEA"/>
    <w:multiLevelType w:val="hybridMultilevel"/>
    <w:tmpl w:val="9D123446"/>
    <w:lvl w:ilvl="0" w:tplc="0409000B">
      <w:start w:val="1"/>
      <w:numFmt w:val="bullet"/>
      <w:lvlText w:val=""/>
      <w:lvlJc w:val="left"/>
      <w:pPr>
        <w:ind w:left="63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4" w15:restartNumberingAfterBreak="0">
    <w:nsid w:val="58EB7514"/>
    <w:multiLevelType w:val="hybridMultilevel"/>
    <w:tmpl w:val="C0424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8EE69A5"/>
    <w:multiLevelType w:val="hybridMultilevel"/>
    <w:tmpl w:val="A26459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9096714"/>
    <w:multiLevelType w:val="hybridMultilevel"/>
    <w:tmpl w:val="81CA8C4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98A5968"/>
    <w:multiLevelType w:val="hybridMultilevel"/>
    <w:tmpl w:val="8828CC5E"/>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A1654F2"/>
    <w:multiLevelType w:val="hybridMultilevel"/>
    <w:tmpl w:val="11424C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A971CAC"/>
    <w:multiLevelType w:val="hybridMultilevel"/>
    <w:tmpl w:val="26AE4AA8"/>
    <w:lvl w:ilvl="0" w:tplc="71FA1500">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0" w15:restartNumberingAfterBreak="0">
    <w:nsid w:val="5AE43836"/>
    <w:multiLevelType w:val="hybridMultilevel"/>
    <w:tmpl w:val="402643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B836B43"/>
    <w:multiLevelType w:val="hybridMultilevel"/>
    <w:tmpl w:val="C66EFD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BC61799"/>
    <w:multiLevelType w:val="hybridMultilevel"/>
    <w:tmpl w:val="EBFE2C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BCF58A2"/>
    <w:multiLevelType w:val="hybridMultilevel"/>
    <w:tmpl w:val="20DE2B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E867D89"/>
    <w:multiLevelType w:val="multilevel"/>
    <w:tmpl w:val="6E7AC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EE24C78"/>
    <w:multiLevelType w:val="multilevel"/>
    <w:tmpl w:val="B410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FF62F16"/>
    <w:multiLevelType w:val="hybridMultilevel"/>
    <w:tmpl w:val="5A807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1751FFA"/>
    <w:multiLevelType w:val="hybridMultilevel"/>
    <w:tmpl w:val="07BAEC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1AB381F"/>
    <w:multiLevelType w:val="hybridMultilevel"/>
    <w:tmpl w:val="8D14D8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21D3A14"/>
    <w:multiLevelType w:val="hybridMultilevel"/>
    <w:tmpl w:val="7E20F2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3527BB9"/>
    <w:multiLevelType w:val="hybridMultilevel"/>
    <w:tmpl w:val="8E583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35C10C2"/>
    <w:multiLevelType w:val="hybridMultilevel"/>
    <w:tmpl w:val="054CA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38E048A"/>
    <w:multiLevelType w:val="hybridMultilevel"/>
    <w:tmpl w:val="60529F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3F03391"/>
    <w:multiLevelType w:val="hybridMultilevel"/>
    <w:tmpl w:val="DE4ED1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51062D8"/>
    <w:multiLevelType w:val="hybridMultilevel"/>
    <w:tmpl w:val="A7A4BE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62E3746"/>
    <w:multiLevelType w:val="multilevel"/>
    <w:tmpl w:val="6390E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6371A13"/>
    <w:multiLevelType w:val="hybridMultilevel"/>
    <w:tmpl w:val="25523F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71F5A43"/>
    <w:multiLevelType w:val="multilevel"/>
    <w:tmpl w:val="E9E2FFD2"/>
    <w:lvl w:ilvl="0">
      <w:start w:val="1"/>
      <w:numFmt w:val="bullet"/>
      <w:lvlText w:val=""/>
      <w:lvlJc w:val="left"/>
      <w:pPr>
        <w:ind w:left="928" w:hanging="360"/>
      </w:pPr>
      <w:rPr>
        <w:rFonts w:ascii="Wingdings" w:hAnsi="Wingdings" w:hint="default"/>
        <w:b/>
        <w:i w:val="0"/>
      </w:r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8" w15:restartNumberingAfterBreak="0">
    <w:nsid w:val="67C1338C"/>
    <w:multiLevelType w:val="hybridMultilevel"/>
    <w:tmpl w:val="6DFCC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8A96916"/>
    <w:multiLevelType w:val="hybridMultilevel"/>
    <w:tmpl w:val="7004B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A6C04E0"/>
    <w:multiLevelType w:val="hybridMultilevel"/>
    <w:tmpl w:val="489ABA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B684732"/>
    <w:multiLevelType w:val="hybridMultilevel"/>
    <w:tmpl w:val="3B1061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C3569CF"/>
    <w:multiLevelType w:val="hybridMultilevel"/>
    <w:tmpl w:val="F0E2A01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C472DDD"/>
    <w:multiLevelType w:val="hybridMultilevel"/>
    <w:tmpl w:val="A7AE3F1E"/>
    <w:lvl w:ilvl="0" w:tplc="04090017">
      <w:start w:val="1"/>
      <w:numFmt w:val="lowerLetter"/>
      <w:lvlText w:val="%1)"/>
      <w:lvlJc w:val="left"/>
      <w:pPr>
        <w:ind w:left="2486" w:hanging="360"/>
      </w:pPr>
    </w:lvl>
    <w:lvl w:ilvl="1" w:tplc="04090019">
      <w:start w:val="1"/>
      <w:numFmt w:val="lowerLetter"/>
      <w:lvlText w:val="%2."/>
      <w:lvlJc w:val="left"/>
      <w:pPr>
        <w:ind w:left="3206" w:hanging="360"/>
      </w:pPr>
    </w:lvl>
    <w:lvl w:ilvl="2" w:tplc="0409001B">
      <w:start w:val="1"/>
      <w:numFmt w:val="lowerRoman"/>
      <w:lvlText w:val="%3."/>
      <w:lvlJc w:val="right"/>
      <w:pPr>
        <w:ind w:left="3926" w:hanging="180"/>
      </w:pPr>
    </w:lvl>
    <w:lvl w:ilvl="3" w:tplc="0409000F">
      <w:start w:val="1"/>
      <w:numFmt w:val="decimal"/>
      <w:lvlText w:val="%4."/>
      <w:lvlJc w:val="left"/>
      <w:pPr>
        <w:ind w:left="4646" w:hanging="360"/>
      </w:pPr>
    </w:lvl>
    <w:lvl w:ilvl="4" w:tplc="04090019">
      <w:start w:val="1"/>
      <w:numFmt w:val="lowerLetter"/>
      <w:lvlText w:val="%5."/>
      <w:lvlJc w:val="left"/>
      <w:pPr>
        <w:ind w:left="5366" w:hanging="360"/>
      </w:pPr>
    </w:lvl>
    <w:lvl w:ilvl="5" w:tplc="0409001B">
      <w:start w:val="1"/>
      <w:numFmt w:val="lowerRoman"/>
      <w:lvlText w:val="%6."/>
      <w:lvlJc w:val="right"/>
      <w:pPr>
        <w:ind w:left="6086" w:hanging="180"/>
      </w:pPr>
    </w:lvl>
    <w:lvl w:ilvl="6" w:tplc="0409000F">
      <w:start w:val="1"/>
      <w:numFmt w:val="decimal"/>
      <w:lvlText w:val="%7."/>
      <w:lvlJc w:val="left"/>
      <w:pPr>
        <w:ind w:left="6806" w:hanging="360"/>
      </w:pPr>
    </w:lvl>
    <w:lvl w:ilvl="7" w:tplc="04090019">
      <w:start w:val="1"/>
      <w:numFmt w:val="lowerLetter"/>
      <w:lvlText w:val="%8."/>
      <w:lvlJc w:val="left"/>
      <w:pPr>
        <w:ind w:left="7526" w:hanging="360"/>
      </w:pPr>
    </w:lvl>
    <w:lvl w:ilvl="8" w:tplc="0409001B">
      <w:start w:val="1"/>
      <w:numFmt w:val="lowerRoman"/>
      <w:lvlText w:val="%9."/>
      <w:lvlJc w:val="right"/>
      <w:pPr>
        <w:ind w:left="8246" w:hanging="180"/>
      </w:pPr>
    </w:lvl>
  </w:abstractNum>
  <w:abstractNum w:abstractNumId="144" w15:restartNumberingAfterBreak="0">
    <w:nsid w:val="6C750DA1"/>
    <w:multiLevelType w:val="hybridMultilevel"/>
    <w:tmpl w:val="0876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CE73BEB"/>
    <w:multiLevelType w:val="hybridMultilevel"/>
    <w:tmpl w:val="CAEAE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D3B42C5"/>
    <w:multiLevelType w:val="hybridMultilevel"/>
    <w:tmpl w:val="68285924"/>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7" w15:restartNumberingAfterBreak="0">
    <w:nsid w:val="6DD547CB"/>
    <w:multiLevelType w:val="hybridMultilevel"/>
    <w:tmpl w:val="13A87118"/>
    <w:lvl w:ilvl="0" w:tplc="243218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E335A71"/>
    <w:multiLevelType w:val="hybridMultilevel"/>
    <w:tmpl w:val="C374B8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E976A7D"/>
    <w:multiLevelType w:val="multilevel"/>
    <w:tmpl w:val="0FE2956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F1721AD"/>
    <w:multiLevelType w:val="hybridMultilevel"/>
    <w:tmpl w:val="4060F432"/>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1" w15:restartNumberingAfterBreak="0">
    <w:nsid w:val="6FBC439B"/>
    <w:multiLevelType w:val="hybridMultilevel"/>
    <w:tmpl w:val="8BA482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0734C71"/>
    <w:multiLevelType w:val="hybridMultilevel"/>
    <w:tmpl w:val="7C8A5E8C"/>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08A2D47"/>
    <w:multiLevelType w:val="hybridMultilevel"/>
    <w:tmpl w:val="65A846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14539AE"/>
    <w:multiLevelType w:val="multilevel"/>
    <w:tmpl w:val="2768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1727D31"/>
    <w:multiLevelType w:val="hybridMultilevel"/>
    <w:tmpl w:val="C8CE2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32F2730"/>
    <w:multiLevelType w:val="hybridMultilevel"/>
    <w:tmpl w:val="473426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3F724D7"/>
    <w:multiLevelType w:val="hybridMultilevel"/>
    <w:tmpl w:val="22C096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4786DD0"/>
    <w:multiLevelType w:val="multilevel"/>
    <w:tmpl w:val="46F8F44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4CA3FE6"/>
    <w:multiLevelType w:val="hybridMultilevel"/>
    <w:tmpl w:val="1E10A996"/>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0" w15:restartNumberingAfterBreak="0">
    <w:nsid w:val="756A3A19"/>
    <w:multiLevelType w:val="hybridMultilevel"/>
    <w:tmpl w:val="EE7483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57A22CC"/>
    <w:multiLevelType w:val="hybridMultilevel"/>
    <w:tmpl w:val="51B299E4"/>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605780E"/>
    <w:multiLevelType w:val="hybridMultilevel"/>
    <w:tmpl w:val="EBCA50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61B3A5E"/>
    <w:multiLevelType w:val="hybridMultilevel"/>
    <w:tmpl w:val="C1A214B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7152401"/>
    <w:multiLevelType w:val="hybridMultilevel"/>
    <w:tmpl w:val="FC8C0F7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8732467"/>
    <w:multiLevelType w:val="hybridMultilevel"/>
    <w:tmpl w:val="62AAAD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88848D2"/>
    <w:multiLevelType w:val="hybridMultilevel"/>
    <w:tmpl w:val="CCA8EF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89113CF"/>
    <w:multiLevelType w:val="hybridMultilevel"/>
    <w:tmpl w:val="63B6DA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896648E"/>
    <w:multiLevelType w:val="multilevel"/>
    <w:tmpl w:val="E84E907C"/>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9" w15:restartNumberingAfterBreak="0">
    <w:nsid w:val="78DE3862"/>
    <w:multiLevelType w:val="hybridMultilevel"/>
    <w:tmpl w:val="89EA5D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91B5A93"/>
    <w:multiLevelType w:val="hybridMultilevel"/>
    <w:tmpl w:val="0AEEA3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796E4739"/>
    <w:multiLevelType w:val="hybridMultilevel"/>
    <w:tmpl w:val="3C18C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9EC16DA"/>
    <w:multiLevelType w:val="hybridMultilevel"/>
    <w:tmpl w:val="A7B432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79F75199"/>
    <w:multiLevelType w:val="hybridMultilevel"/>
    <w:tmpl w:val="31BC61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7A654C41"/>
    <w:multiLevelType w:val="hybridMultilevel"/>
    <w:tmpl w:val="58AE7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D143763"/>
    <w:multiLevelType w:val="multilevel"/>
    <w:tmpl w:val="09AE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D7F46C2"/>
    <w:multiLevelType w:val="hybridMultilevel"/>
    <w:tmpl w:val="7BDC0C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ECB7928"/>
    <w:multiLevelType w:val="hybridMultilevel"/>
    <w:tmpl w:val="CF66137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8" w15:restartNumberingAfterBreak="0">
    <w:nsid w:val="7F28753B"/>
    <w:multiLevelType w:val="multilevel"/>
    <w:tmpl w:val="3DCAF3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52"/>
  </w:num>
  <w:num w:numId="3">
    <w:abstractNumId w:val="163"/>
  </w:num>
  <w:num w:numId="4">
    <w:abstractNumId w:val="76"/>
  </w:num>
  <w:num w:numId="5">
    <w:abstractNumId w:val="16"/>
  </w:num>
  <w:num w:numId="6">
    <w:abstractNumId w:val="22"/>
  </w:num>
  <w:num w:numId="7">
    <w:abstractNumId w:val="70"/>
  </w:num>
  <w:num w:numId="8">
    <w:abstractNumId w:val="101"/>
  </w:num>
  <w:num w:numId="9">
    <w:abstractNumId w:val="41"/>
  </w:num>
  <w:num w:numId="10">
    <w:abstractNumId w:val="15"/>
  </w:num>
  <w:num w:numId="11">
    <w:abstractNumId w:val="155"/>
  </w:num>
  <w:num w:numId="12">
    <w:abstractNumId w:val="144"/>
  </w:num>
  <w:num w:numId="13">
    <w:abstractNumId w:val="165"/>
  </w:num>
  <w:num w:numId="14">
    <w:abstractNumId w:val="174"/>
  </w:num>
  <w:num w:numId="15">
    <w:abstractNumId w:val="169"/>
  </w:num>
  <w:num w:numId="16">
    <w:abstractNumId w:val="151"/>
  </w:num>
  <w:num w:numId="17">
    <w:abstractNumId w:val="2"/>
  </w:num>
  <w:num w:numId="18">
    <w:abstractNumId w:val="80"/>
  </w:num>
  <w:num w:numId="19">
    <w:abstractNumId w:val="24"/>
  </w:num>
  <w:num w:numId="20">
    <w:abstractNumId w:val="142"/>
  </w:num>
  <w:num w:numId="21">
    <w:abstractNumId w:val="116"/>
  </w:num>
  <w:num w:numId="22">
    <w:abstractNumId w:val="54"/>
  </w:num>
  <w:num w:numId="23">
    <w:abstractNumId w:val="123"/>
  </w:num>
  <w:num w:numId="24">
    <w:abstractNumId w:val="40"/>
  </w:num>
  <w:num w:numId="25">
    <w:abstractNumId w:val="75"/>
  </w:num>
  <w:num w:numId="26">
    <w:abstractNumId w:val="39"/>
  </w:num>
  <w:num w:numId="27">
    <w:abstractNumId w:val="109"/>
  </w:num>
  <w:num w:numId="2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7"/>
  </w:num>
  <w:num w:numId="30">
    <w:abstractNumId w:val="160"/>
  </w:num>
  <w:num w:numId="31">
    <w:abstractNumId w:val="170"/>
  </w:num>
  <w:num w:numId="32">
    <w:abstractNumId w:val="30"/>
  </w:num>
  <w:num w:numId="33">
    <w:abstractNumId w:val="178"/>
  </w:num>
  <w:num w:numId="34">
    <w:abstractNumId w:val="58"/>
  </w:num>
  <w:num w:numId="35">
    <w:abstractNumId w:val="158"/>
  </w:num>
  <w:num w:numId="36">
    <w:abstractNumId w:val="124"/>
  </w:num>
  <w:num w:numId="37">
    <w:abstractNumId w:val="135"/>
  </w:num>
  <w:num w:numId="38">
    <w:abstractNumId w:val="0"/>
  </w:num>
  <w:num w:numId="39">
    <w:abstractNumId w:val="154"/>
  </w:num>
  <w:num w:numId="40">
    <w:abstractNumId w:val="157"/>
  </w:num>
  <w:num w:numId="41">
    <w:abstractNumId w:val="31"/>
  </w:num>
  <w:num w:numId="42">
    <w:abstractNumId w:val="59"/>
  </w:num>
  <w:num w:numId="43">
    <w:abstractNumId w:val="17"/>
  </w:num>
  <w:num w:numId="44">
    <w:abstractNumId w:val="43"/>
  </w:num>
  <w:num w:numId="45">
    <w:abstractNumId w:val="87"/>
  </w:num>
  <w:num w:numId="46">
    <w:abstractNumId w:val="57"/>
  </w:num>
  <w:num w:numId="47">
    <w:abstractNumId w:val="46"/>
  </w:num>
  <w:num w:numId="48">
    <w:abstractNumId w:val="38"/>
  </w:num>
  <w:num w:numId="49">
    <w:abstractNumId w:val="107"/>
  </w:num>
  <w:num w:numId="50">
    <w:abstractNumId w:val="126"/>
  </w:num>
  <w:num w:numId="51">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3"/>
  </w:num>
  <w:num w:numId="53">
    <w:abstractNumId w:val="13"/>
  </w:num>
  <w:num w:numId="54">
    <w:abstractNumId w:val="11"/>
  </w:num>
  <w:num w:numId="55">
    <w:abstractNumId w:val="173"/>
  </w:num>
  <w:num w:numId="56">
    <w:abstractNumId w:val="177"/>
  </w:num>
  <w:num w:numId="57">
    <w:abstractNumId w:val="86"/>
  </w:num>
  <w:num w:numId="58">
    <w:abstractNumId w:val="21"/>
  </w:num>
  <w:num w:numId="59">
    <w:abstractNumId w:val="113"/>
  </w:num>
  <w:num w:numId="60">
    <w:abstractNumId w:val="48"/>
  </w:num>
  <w:num w:numId="61">
    <w:abstractNumId w:val="137"/>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0"/>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0"/>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8"/>
  </w:num>
  <w:num w:numId="68">
    <w:abstractNumId w:val="53"/>
  </w:num>
  <w:num w:numId="69">
    <w:abstractNumId w:val="73"/>
  </w:num>
  <w:num w:numId="70">
    <w:abstractNumId w:val="19"/>
  </w:num>
  <w:num w:numId="71">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
  </w:num>
  <w:num w:numId="73">
    <w:abstractNumId w:val="136"/>
  </w:num>
  <w:num w:numId="74">
    <w:abstractNumId w:val="94"/>
  </w:num>
  <w:num w:numId="75">
    <w:abstractNumId w:val="14"/>
  </w:num>
  <w:num w:numId="76">
    <w:abstractNumId w:val="77"/>
  </w:num>
  <w:num w:numId="77">
    <w:abstractNumId w:val="25"/>
  </w:num>
  <w:num w:numId="78">
    <w:abstractNumId w:val="121"/>
  </w:num>
  <w:num w:numId="79">
    <w:abstractNumId w:val="171"/>
  </w:num>
  <w:num w:numId="80">
    <w:abstractNumId w:val="60"/>
  </w:num>
  <w:num w:numId="81">
    <w:abstractNumId w:val="132"/>
  </w:num>
  <w:num w:numId="82">
    <w:abstractNumId w:val="95"/>
  </w:num>
  <w:num w:numId="83">
    <w:abstractNumId w:val="36"/>
  </w:num>
  <w:num w:numId="84">
    <w:abstractNumId w:val="147"/>
  </w:num>
  <w:num w:numId="85">
    <w:abstractNumId w:val="71"/>
  </w:num>
  <w:num w:numId="86">
    <w:abstractNumId w:val="129"/>
  </w:num>
  <w:num w:numId="87">
    <w:abstractNumId w:val="105"/>
  </w:num>
  <w:num w:numId="88">
    <w:abstractNumId w:val="51"/>
  </w:num>
  <w:num w:numId="89">
    <w:abstractNumId w:val="62"/>
  </w:num>
  <w:num w:numId="90">
    <w:abstractNumId w:val="103"/>
  </w:num>
  <w:num w:numId="91">
    <w:abstractNumId w:val="23"/>
  </w:num>
  <w:num w:numId="92">
    <w:abstractNumId w:val="78"/>
  </w:num>
  <w:num w:numId="93">
    <w:abstractNumId w:val="139"/>
  </w:num>
  <w:num w:numId="94">
    <w:abstractNumId w:val="67"/>
  </w:num>
  <w:num w:numId="95">
    <w:abstractNumId w:val="10"/>
  </w:num>
  <w:num w:numId="96">
    <w:abstractNumId w:val="108"/>
  </w:num>
  <w:num w:numId="97">
    <w:abstractNumId w:val="127"/>
  </w:num>
  <w:num w:numId="98">
    <w:abstractNumId w:val="69"/>
  </w:num>
  <w:num w:numId="99">
    <w:abstractNumId w:val="45"/>
  </w:num>
  <w:num w:numId="100">
    <w:abstractNumId w:val="64"/>
  </w:num>
  <w:num w:numId="101">
    <w:abstractNumId w:val="112"/>
  </w:num>
  <w:num w:numId="102">
    <w:abstractNumId w:val="140"/>
  </w:num>
  <w:num w:numId="103">
    <w:abstractNumId w:val="35"/>
  </w:num>
  <w:num w:numId="104">
    <w:abstractNumId w:val="27"/>
  </w:num>
  <w:num w:numId="105">
    <w:abstractNumId w:val="42"/>
  </w:num>
  <w:num w:numId="106">
    <w:abstractNumId w:val="131"/>
  </w:num>
  <w:num w:numId="107">
    <w:abstractNumId w:val="122"/>
  </w:num>
  <w:num w:numId="108">
    <w:abstractNumId w:val="28"/>
  </w:num>
  <w:num w:numId="109">
    <w:abstractNumId w:val="130"/>
  </w:num>
  <w:num w:numId="110">
    <w:abstractNumId w:val="138"/>
  </w:num>
  <w:num w:numId="111">
    <w:abstractNumId w:val="56"/>
  </w:num>
  <w:num w:numId="112">
    <w:abstractNumId w:val="92"/>
  </w:num>
  <w:num w:numId="113">
    <w:abstractNumId w:val="6"/>
  </w:num>
  <w:num w:numId="114">
    <w:abstractNumId w:val="159"/>
  </w:num>
  <w:num w:numId="115">
    <w:abstractNumId w:val="26"/>
  </w:num>
  <w:num w:numId="116">
    <w:abstractNumId w:val="104"/>
  </w:num>
  <w:num w:numId="117">
    <w:abstractNumId w:val="84"/>
  </w:num>
  <w:num w:numId="118">
    <w:abstractNumId w:val="29"/>
  </w:num>
  <w:num w:numId="119">
    <w:abstractNumId w:val="110"/>
  </w:num>
  <w:num w:numId="120">
    <w:abstractNumId w:val="44"/>
  </w:num>
  <w:num w:numId="121">
    <w:abstractNumId w:val="20"/>
  </w:num>
  <w:num w:numId="122">
    <w:abstractNumId w:val="128"/>
  </w:num>
  <w:num w:numId="123">
    <w:abstractNumId w:val="167"/>
  </w:num>
  <w:num w:numId="124">
    <w:abstractNumId w:val="32"/>
  </w:num>
  <w:num w:numId="125">
    <w:abstractNumId w:val="172"/>
  </w:num>
  <w:num w:numId="126">
    <w:abstractNumId w:val="149"/>
  </w:num>
  <w:num w:numId="127">
    <w:abstractNumId w:val="49"/>
  </w:num>
  <w:num w:numId="128">
    <w:abstractNumId w:val="102"/>
  </w:num>
  <w:num w:numId="129">
    <w:abstractNumId w:val="106"/>
  </w:num>
  <w:num w:numId="130">
    <w:abstractNumId w:val="37"/>
  </w:num>
  <w:num w:numId="131">
    <w:abstractNumId w:val="9"/>
  </w:num>
  <w:num w:numId="132">
    <w:abstractNumId w:val="89"/>
  </w:num>
  <w:num w:numId="133">
    <w:abstractNumId w:val="91"/>
  </w:num>
  <w:num w:numId="134">
    <w:abstractNumId w:val="90"/>
  </w:num>
  <w:num w:numId="135">
    <w:abstractNumId w:val="114"/>
  </w:num>
  <w:num w:numId="136">
    <w:abstractNumId w:val="7"/>
  </w:num>
  <w:num w:numId="137">
    <w:abstractNumId w:val="115"/>
  </w:num>
  <w:num w:numId="138">
    <w:abstractNumId w:val="111"/>
  </w:num>
  <w:num w:numId="139">
    <w:abstractNumId w:val="68"/>
  </w:num>
  <w:num w:numId="140">
    <w:abstractNumId w:val="65"/>
  </w:num>
  <w:num w:numId="141">
    <w:abstractNumId w:val="134"/>
  </w:num>
  <w:num w:numId="142">
    <w:abstractNumId w:val="81"/>
  </w:num>
  <w:num w:numId="143">
    <w:abstractNumId w:val="66"/>
  </w:num>
  <w:num w:numId="144">
    <w:abstractNumId w:val="85"/>
  </w:num>
  <w:num w:numId="145">
    <w:abstractNumId w:val="141"/>
  </w:num>
  <w:num w:numId="146">
    <w:abstractNumId w:val="118"/>
  </w:num>
  <w:num w:numId="147">
    <w:abstractNumId w:val="156"/>
  </w:num>
  <w:num w:numId="148">
    <w:abstractNumId w:val="162"/>
  </w:num>
  <w:num w:numId="149">
    <w:abstractNumId w:val="12"/>
  </w:num>
  <w:num w:numId="150">
    <w:abstractNumId w:val="93"/>
  </w:num>
  <w:num w:numId="151">
    <w:abstractNumId w:val="1"/>
  </w:num>
  <w:num w:numId="152">
    <w:abstractNumId w:val="153"/>
  </w:num>
  <w:num w:numId="153">
    <w:abstractNumId w:val="79"/>
  </w:num>
  <w:num w:numId="154">
    <w:abstractNumId w:val="148"/>
  </w:num>
  <w:num w:numId="155">
    <w:abstractNumId w:val="120"/>
  </w:num>
  <w:num w:numId="156">
    <w:abstractNumId w:val="33"/>
  </w:num>
  <w:num w:numId="157">
    <w:abstractNumId w:val="99"/>
  </w:num>
  <w:num w:numId="158">
    <w:abstractNumId w:val="145"/>
  </w:num>
  <w:num w:numId="159">
    <w:abstractNumId w:val="133"/>
  </w:num>
  <w:num w:numId="160">
    <w:abstractNumId w:val="88"/>
  </w:num>
  <w:num w:numId="161">
    <w:abstractNumId w:val="5"/>
  </w:num>
  <w:num w:numId="162">
    <w:abstractNumId w:val="164"/>
  </w:num>
  <w:num w:numId="163">
    <w:abstractNumId w:val="152"/>
  </w:num>
  <w:num w:numId="164">
    <w:abstractNumId w:val="61"/>
  </w:num>
  <w:num w:numId="165">
    <w:abstractNumId w:val="117"/>
  </w:num>
  <w:num w:numId="166">
    <w:abstractNumId w:val="161"/>
  </w:num>
  <w:num w:numId="167">
    <w:abstractNumId w:val="74"/>
  </w:num>
  <w:num w:numId="168">
    <w:abstractNumId w:val="168"/>
  </w:num>
  <w:num w:numId="169">
    <w:abstractNumId w:val="34"/>
  </w:num>
  <w:num w:numId="170">
    <w:abstractNumId w:val="96"/>
  </w:num>
  <w:num w:numId="171">
    <w:abstractNumId w:val="72"/>
  </w:num>
  <w:num w:numId="172">
    <w:abstractNumId w:val="175"/>
  </w:num>
  <w:num w:numId="173">
    <w:abstractNumId w:val="125"/>
  </w:num>
  <w:num w:numId="174">
    <w:abstractNumId w:val="18"/>
  </w:num>
  <w:num w:numId="175">
    <w:abstractNumId w:val="166"/>
  </w:num>
  <w:num w:numId="176">
    <w:abstractNumId w:val="55"/>
  </w:num>
  <w:num w:numId="177">
    <w:abstractNumId w:val="82"/>
  </w:num>
  <w:num w:numId="178">
    <w:abstractNumId w:val="176"/>
  </w:num>
  <w:num w:numId="179">
    <w:abstractNumId w:val="8"/>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s-MX" w:vendorID="64" w:dllVersion="6" w:nlCheck="1" w:checkStyle="0"/>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fr-FR" w:vendorID="64" w:dllVersion="6" w:nlCheck="1" w:checkStyle="0"/>
  <w:activeWritingStyle w:appName="MSWord" w:lang="en-US" w:vendorID="64" w:dllVersion="4096" w:nlCheck="1" w:checkStyle="0"/>
  <w:activeWritingStyle w:appName="MSWord" w:lang="es-MX" w:vendorID="64" w:dllVersion="4096" w:nlCheck="1" w:checkStyle="0"/>
  <w:activeWritingStyle w:appName="MSWord" w:lang="en-GB"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fr-CA"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07B6"/>
    <w:rsid w:val="00002E0A"/>
    <w:rsid w:val="0000381E"/>
    <w:rsid w:val="00013158"/>
    <w:rsid w:val="00014E30"/>
    <w:rsid w:val="00016CD1"/>
    <w:rsid w:val="000234DE"/>
    <w:rsid w:val="00024039"/>
    <w:rsid w:val="00026154"/>
    <w:rsid w:val="000372C6"/>
    <w:rsid w:val="00040F45"/>
    <w:rsid w:val="000419A3"/>
    <w:rsid w:val="000474FC"/>
    <w:rsid w:val="000505FE"/>
    <w:rsid w:val="00051C09"/>
    <w:rsid w:val="00051D49"/>
    <w:rsid w:val="0005229A"/>
    <w:rsid w:val="00053914"/>
    <w:rsid w:val="00054284"/>
    <w:rsid w:val="00057745"/>
    <w:rsid w:val="00061777"/>
    <w:rsid w:val="00061DF1"/>
    <w:rsid w:val="00066FF4"/>
    <w:rsid w:val="00071917"/>
    <w:rsid w:val="00071CE6"/>
    <w:rsid w:val="0007235A"/>
    <w:rsid w:val="00090D59"/>
    <w:rsid w:val="00090FE0"/>
    <w:rsid w:val="000A6658"/>
    <w:rsid w:val="000B3A35"/>
    <w:rsid w:val="000B5790"/>
    <w:rsid w:val="000B6146"/>
    <w:rsid w:val="000B74F2"/>
    <w:rsid w:val="000B7598"/>
    <w:rsid w:val="000B7599"/>
    <w:rsid w:val="000C08CD"/>
    <w:rsid w:val="000C1D0D"/>
    <w:rsid w:val="000C508D"/>
    <w:rsid w:val="000C6893"/>
    <w:rsid w:val="000D69A9"/>
    <w:rsid w:val="000E1686"/>
    <w:rsid w:val="000E23DF"/>
    <w:rsid w:val="000E35BA"/>
    <w:rsid w:val="000F0AE0"/>
    <w:rsid w:val="000F2289"/>
    <w:rsid w:val="000F37C2"/>
    <w:rsid w:val="000F53CF"/>
    <w:rsid w:val="000F6A97"/>
    <w:rsid w:val="000F7D36"/>
    <w:rsid w:val="00106763"/>
    <w:rsid w:val="00115DD2"/>
    <w:rsid w:val="001219D8"/>
    <w:rsid w:val="0012382F"/>
    <w:rsid w:val="00124A5A"/>
    <w:rsid w:val="00124F57"/>
    <w:rsid w:val="00132717"/>
    <w:rsid w:val="00142FA8"/>
    <w:rsid w:val="001445DC"/>
    <w:rsid w:val="00144992"/>
    <w:rsid w:val="00145AAF"/>
    <w:rsid w:val="00145B08"/>
    <w:rsid w:val="00153682"/>
    <w:rsid w:val="00156799"/>
    <w:rsid w:val="00161542"/>
    <w:rsid w:val="00162781"/>
    <w:rsid w:val="001639C7"/>
    <w:rsid w:val="00163B52"/>
    <w:rsid w:val="00163F07"/>
    <w:rsid w:val="00165888"/>
    <w:rsid w:val="00166F51"/>
    <w:rsid w:val="00173229"/>
    <w:rsid w:val="0017692F"/>
    <w:rsid w:val="001827FC"/>
    <w:rsid w:val="00190128"/>
    <w:rsid w:val="0019148D"/>
    <w:rsid w:val="001A3C69"/>
    <w:rsid w:val="001A4278"/>
    <w:rsid w:val="001B2A32"/>
    <w:rsid w:val="001B584E"/>
    <w:rsid w:val="001B6488"/>
    <w:rsid w:val="001B66A2"/>
    <w:rsid w:val="001C33A4"/>
    <w:rsid w:val="001D09ED"/>
    <w:rsid w:val="001D30D5"/>
    <w:rsid w:val="001D6570"/>
    <w:rsid w:val="001E2AD3"/>
    <w:rsid w:val="001E4E06"/>
    <w:rsid w:val="001E64C9"/>
    <w:rsid w:val="001E7407"/>
    <w:rsid w:val="001F2DF4"/>
    <w:rsid w:val="001F64A9"/>
    <w:rsid w:val="002008B0"/>
    <w:rsid w:val="00201FA9"/>
    <w:rsid w:val="0020301C"/>
    <w:rsid w:val="0021214D"/>
    <w:rsid w:val="002179F1"/>
    <w:rsid w:val="0022180C"/>
    <w:rsid w:val="00225502"/>
    <w:rsid w:val="00236F04"/>
    <w:rsid w:val="002424EC"/>
    <w:rsid w:val="00244257"/>
    <w:rsid w:val="00245C52"/>
    <w:rsid w:val="0025415C"/>
    <w:rsid w:val="00261BD4"/>
    <w:rsid w:val="00261F77"/>
    <w:rsid w:val="00265E19"/>
    <w:rsid w:val="00266D36"/>
    <w:rsid w:val="002706F7"/>
    <w:rsid w:val="00277086"/>
    <w:rsid w:val="0027749A"/>
    <w:rsid w:val="00282CB7"/>
    <w:rsid w:val="002840BF"/>
    <w:rsid w:val="00290A95"/>
    <w:rsid w:val="0029302C"/>
    <w:rsid w:val="00296861"/>
    <w:rsid w:val="002A4F7E"/>
    <w:rsid w:val="002A4FDB"/>
    <w:rsid w:val="002A64D6"/>
    <w:rsid w:val="002B575F"/>
    <w:rsid w:val="002B7558"/>
    <w:rsid w:val="002C2A2D"/>
    <w:rsid w:val="002C46B9"/>
    <w:rsid w:val="002C4833"/>
    <w:rsid w:val="002C4E4E"/>
    <w:rsid w:val="002D48AD"/>
    <w:rsid w:val="002D5177"/>
    <w:rsid w:val="002D586E"/>
    <w:rsid w:val="002D7C3E"/>
    <w:rsid w:val="002E13C7"/>
    <w:rsid w:val="002E3D6D"/>
    <w:rsid w:val="002E7797"/>
    <w:rsid w:val="002F0525"/>
    <w:rsid w:val="002F3F5A"/>
    <w:rsid w:val="003021DE"/>
    <w:rsid w:val="0031065A"/>
    <w:rsid w:val="003141BF"/>
    <w:rsid w:val="00316A50"/>
    <w:rsid w:val="003170B7"/>
    <w:rsid w:val="00322D6E"/>
    <w:rsid w:val="00325CAD"/>
    <w:rsid w:val="00326AD6"/>
    <w:rsid w:val="0032791B"/>
    <w:rsid w:val="00327C51"/>
    <w:rsid w:val="00334368"/>
    <w:rsid w:val="0033538C"/>
    <w:rsid w:val="003406C7"/>
    <w:rsid w:val="00344797"/>
    <w:rsid w:val="00346DEB"/>
    <w:rsid w:val="0035409F"/>
    <w:rsid w:val="0035511C"/>
    <w:rsid w:val="003567D3"/>
    <w:rsid w:val="00356DD4"/>
    <w:rsid w:val="00356DE2"/>
    <w:rsid w:val="00357322"/>
    <w:rsid w:val="00357BAD"/>
    <w:rsid w:val="00360B51"/>
    <w:rsid w:val="0036740A"/>
    <w:rsid w:val="00370E7B"/>
    <w:rsid w:val="0037352F"/>
    <w:rsid w:val="00373779"/>
    <w:rsid w:val="00376E24"/>
    <w:rsid w:val="00382561"/>
    <w:rsid w:val="00393692"/>
    <w:rsid w:val="003A09A7"/>
    <w:rsid w:val="003A31D9"/>
    <w:rsid w:val="003A332B"/>
    <w:rsid w:val="003A5B42"/>
    <w:rsid w:val="003A6544"/>
    <w:rsid w:val="003B1A5F"/>
    <w:rsid w:val="003B21F0"/>
    <w:rsid w:val="003B6006"/>
    <w:rsid w:val="003B637B"/>
    <w:rsid w:val="003C64EC"/>
    <w:rsid w:val="003D2017"/>
    <w:rsid w:val="003D3A41"/>
    <w:rsid w:val="003D576E"/>
    <w:rsid w:val="003D58A9"/>
    <w:rsid w:val="003E4775"/>
    <w:rsid w:val="003E5CA2"/>
    <w:rsid w:val="003E5FCA"/>
    <w:rsid w:val="003F0959"/>
    <w:rsid w:val="003F55C0"/>
    <w:rsid w:val="00406968"/>
    <w:rsid w:val="00420C54"/>
    <w:rsid w:val="00420DC8"/>
    <w:rsid w:val="004215A5"/>
    <w:rsid w:val="004218AC"/>
    <w:rsid w:val="00422A16"/>
    <w:rsid w:val="0043196F"/>
    <w:rsid w:val="00431C73"/>
    <w:rsid w:val="004332BF"/>
    <w:rsid w:val="00440261"/>
    <w:rsid w:val="0044080E"/>
    <w:rsid w:val="004460B5"/>
    <w:rsid w:val="00446FEB"/>
    <w:rsid w:val="004550DE"/>
    <w:rsid w:val="0046345D"/>
    <w:rsid w:val="004642BC"/>
    <w:rsid w:val="004658E1"/>
    <w:rsid w:val="00465B85"/>
    <w:rsid w:val="00465EBF"/>
    <w:rsid w:val="00467BFF"/>
    <w:rsid w:val="0047684C"/>
    <w:rsid w:val="004830FF"/>
    <w:rsid w:val="0049172A"/>
    <w:rsid w:val="00493867"/>
    <w:rsid w:val="00496544"/>
    <w:rsid w:val="004A238F"/>
    <w:rsid w:val="004A3A47"/>
    <w:rsid w:val="004A74BB"/>
    <w:rsid w:val="004A7D60"/>
    <w:rsid w:val="004A7E34"/>
    <w:rsid w:val="004B54BC"/>
    <w:rsid w:val="004B5878"/>
    <w:rsid w:val="004B6ACF"/>
    <w:rsid w:val="004C0412"/>
    <w:rsid w:val="004C0F2E"/>
    <w:rsid w:val="004C5FF5"/>
    <w:rsid w:val="004C6B80"/>
    <w:rsid w:val="004C7077"/>
    <w:rsid w:val="004D460A"/>
    <w:rsid w:val="004D7AA4"/>
    <w:rsid w:val="004E3CAD"/>
    <w:rsid w:val="004F1F0D"/>
    <w:rsid w:val="004F1F86"/>
    <w:rsid w:val="004F4A02"/>
    <w:rsid w:val="00501830"/>
    <w:rsid w:val="00503CC0"/>
    <w:rsid w:val="00505410"/>
    <w:rsid w:val="00506621"/>
    <w:rsid w:val="005212BA"/>
    <w:rsid w:val="005235A0"/>
    <w:rsid w:val="00524A94"/>
    <w:rsid w:val="0052600E"/>
    <w:rsid w:val="00527732"/>
    <w:rsid w:val="00531C09"/>
    <w:rsid w:val="00547F98"/>
    <w:rsid w:val="00553A37"/>
    <w:rsid w:val="005617F3"/>
    <w:rsid w:val="00564C07"/>
    <w:rsid w:val="00567176"/>
    <w:rsid w:val="0058136F"/>
    <w:rsid w:val="005874CA"/>
    <w:rsid w:val="00595934"/>
    <w:rsid w:val="00595E57"/>
    <w:rsid w:val="00596911"/>
    <w:rsid w:val="005A0F11"/>
    <w:rsid w:val="005B09D4"/>
    <w:rsid w:val="005B3A66"/>
    <w:rsid w:val="005D14DF"/>
    <w:rsid w:val="005D3C1F"/>
    <w:rsid w:val="005D577C"/>
    <w:rsid w:val="005D749D"/>
    <w:rsid w:val="005E1133"/>
    <w:rsid w:val="005E15B8"/>
    <w:rsid w:val="005E26E3"/>
    <w:rsid w:val="005E2B26"/>
    <w:rsid w:val="005E4492"/>
    <w:rsid w:val="005E771D"/>
    <w:rsid w:val="005F1C58"/>
    <w:rsid w:val="005F41BE"/>
    <w:rsid w:val="006015B2"/>
    <w:rsid w:val="00601626"/>
    <w:rsid w:val="006042F6"/>
    <w:rsid w:val="006074CB"/>
    <w:rsid w:val="00620CA5"/>
    <w:rsid w:val="00623566"/>
    <w:rsid w:val="00631644"/>
    <w:rsid w:val="0063269C"/>
    <w:rsid w:val="006368CB"/>
    <w:rsid w:val="0064059F"/>
    <w:rsid w:val="00643378"/>
    <w:rsid w:val="00643754"/>
    <w:rsid w:val="00643B38"/>
    <w:rsid w:val="006510D0"/>
    <w:rsid w:val="00654129"/>
    <w:rsid w:val="00660554"/>
    <w:rsid w:val="00661250"/>
    <w:rsid w:val="00661877"/>
    <w:rsid w:val="00672D26"/>
    <w:rsid w:val="006742DC"/>
    <w:rsid w:val="00677C4D"/>
    <w:rsid w:val="00681B50"/>
    <w:rsid w:val="0068211D"/>
    <w:rsid w:val="00683B5D"/>
    <w:rsid w:val="00685F1E"/>
    <w:rsid w:val="00690FD9"/>
    <w:rsid w:val="00696006"/>
    <w:rsid w:val="006A0E47"/>
    <w:rsid w:val="006A278D"/>
    <w:rsid w:val="006C2F5F"/>
    <w:rsid w:val="006D0EBF"/>
    <w:rsid w:val="006D4E86"/>
    <w:rsid w:val="006D69C4"/>
    <w:rsid w:val="006E40B2"/>
    <w:rsid w:val="006E4782"/>
    <w:rsid w:val="006F11E9"/>
    <w:rsid w:val="006F3AE9"/>
    <w:rsid w:val="006F438C"/>
    <w:rsid w:val="006F6D38"/>
    <w:rsid w:val="00700512"/>
    <w:rsid w:val="00704422"/>
    <w:rsid w:val="00711CC6"/>
    <w:rsid w:val="00715C31"/>
    <w:rsid w:val="00716E74"/>
    <w:rsid w:val="00720043"/>
    <w:rsid w:val="007213D8"/>
    <w:rsid w:val="0072391F"/>
    <w:rsid w:val="00723CB5"/>
    <w:rsid w:val="00724719"/>
    <w:rsid w:val="00725840"/>
    <w:rsid w:val="007310DC"/>
    <w:rsid w:val="00731AF9"/>
    <w:rsid w:val="007365E6"/>
    <w:rsid w:val="007373E6"/>
    <w:rsid w:val="00741AEC"/>
    <w:rsid w:val="00742163"/>
    <w:rsid w:val="00742D71"/>
    <w:rsid w:val="00744E04"/>
    <w:rsid w:val="007512BD"/>
    <w:rsid w:val="00751ECE"/>
    <w:rsid w:val="00752D86"/>
    <w:rsid w:val="0075650E"/>
    <w:rsid w:val="00756EE0"/>
    <w:rsid w:val="0076266A"/>
    <w:rsid w:val="00763DC7"/>
    <w:rsid w:val="00764B7A"/>
    <w:rsid w:val="007655ED"/>
    <w:rsid w:val="00765B3C"/>
    <w:rsid w:val="00770740"/>
    <w:rsid w:val="00773E68"/>
    <w:rsid w:val="00773F09"/>
    <w:rsid w:val="00777802"/>
    <w:rsid w:val="00783774"/>
    <w:rsid w:val="00783834"/>
    <w:rsid w:val="007861C8"/>
    <w:rsid w:val="007867D8"/>
    <w:rsid w:val="007A2BD0"/>
    <w:rsid w:val="007A4A5E"/>
    <w:rsid w:val="007A6C83"/>
    <w:rsid w:val="007B1640"/>
    <w:rsid w:val="007B5F14"/>
    <w:rsid w:val="007C0D6D"/>
    <w:rsid w:val="007C0E52"/>
    <w:rsid w:val="007C40DD"/>
    <w:rsid w:val="007C666E"/>
    <w:rsid w:val="007C778A"/>
    <w:rsid w:val="007C7F7C"/>
    <w:rsid w:val="007D2532"/>
    <w:rsid w:val="007E02EB"/>
    <w:rsid w:val="007E2640"/>
    <w:rsid w:val="007E7859"/>
    <w:rsid w:val="007F227B"/>
    <w:rsid w:val="007F4C7C"/>
    <w:rsid w:val="00803C1E"/>
    <w:rsid w:val="00804098"/>
    <w:rsid w:val="00807975"/>
    <w:rsid w:val="00820C3D"/>
    <w:rsid w:val="00822E13"/>
    <w:rsid w:val="00827023"/>
    <w:rsid w:val="00833A2A"/>
    <w:rsid w:val="00837BC3"/>
    <w:rsid w:val="00842CC4"/>
    <w:rsid w:val="0085180A"/>
    <w:rsid w:val="00852B77"/>
    <w:rsid w:val="00852F3F"/>
    <w:rsid w:val="00854864"/>
    <w:rsid w:val="00856264"/>
    <w:rsid w:val="0086418D"/>
    <w:rsid w:val="00865641"/>
    <w:rsid w:val="0086733F"/>
    <w:rsid w:val="0087111E"/>
    <w:rsid w:val="00874909"/>
    <w:rsid w:val="00876BC2"/>
    <w:rsid w:val="0088337B"/>
    <w:rsid w:val="00884270"/>
    <w:rsid w:val="00894388"/>
    <w:rsid w:val="008A2EB8"/>
    <w:rsid w:val="008A5C75"/>
    <w:rsid w:val="008A7D95"/>
    <w:rsid w:val="008B1120"/>
    <w:rsid w:val="008B7244"/>
    <w:rsid w:val="008C0EAC"/>
    <w:rsid w:val="008D285C"/>
    <w:rsid w:val="008D464B"/>
    <w:rsid w:val="008D5571"/>
    <w:rsid w:val="008D7C9D"/>
    <w:rsid w:val="008E0AD6"/>
    <w:rsid w:val="008E16A2"/>
    <w:rsid w:val="008E27B4"/>
    <w:rsid w:val="008E73A1"/>
    <w:rsid w:val="00903995"/>
    <w:rsid w:val="009129DE"/>
    <w:rsid w:val="00915578"/>
    <w:rsid w:val="00920F0C"/>
    <w:rsid w:val="0092209E"/>
    <w:rsid w:val="00936709"/>
    <w:rsid w:val="009503CB"/>
    <w:rsid w:val="00950C8D"/>
    <w:rsid w:val="00952251"/>
    <w:rsid w:val="009559E2"/>
    <w:rsid w:val="00960CDE"/>
    <w:rsid w:val="0096339F"/>
    <w:rsid w:val="00963BAC"/>
    <w:rsid w:val="00965616"/>
    <w:rsid w:val="009656F3"/>
    <w:rsid w:val="00975099"/>
    <w:rsid w:val="009773DA"/>
    <w:rsid w:val="009805E6"/>
    <w:rsid w:val="009820EB"/>
    <w:rsid w:val="009826DD"/>
    <w:rsid w:val="009954E1"/>
    <w:rsid w:val="009A543B"/>
    <w:rsid w:val="009A6FC1"/>
    <w:rsid w:val="009B3EC3"/>
    <w:rsid w:val="009B75BF"/>
    <w:rsid w:val="009C00C2"/>
    <w:rsid w:val="009C1CF2"/>
    <w:rsid w:val="009C1DA3"/>
    <w:rsid w:val="009C483D"/>
    <w:rsid w:val="009C6C64"/>
    <w:rsid w:val="009D1127"/>
    <w:rsid w:val="009D1471"/>
    <w:rsid w:val="009D2EB8"/>
    <w:rsid w:val="009D31B3"/>
    <w:rsid w:val="009D54BE"/>
    <w:rsid w:val="009E1BE2"/>
    <w:rsid w:val="009E4ABE"/>
    <w:rsid w:val="009E6FC6"/>
    <w:rsid w:val="009F4908"/>
    <w:rsid w:val="00A03454"/>
    <w:rsid w:val="00A128A6"/>
    <w:rsid w:val="00A156AA"/>
    <w:rsid w:val="00A2481A"/>
    <w:rsid w:val="00A24D3C"/>
    <w:rsid w:val="00A25534"/>
    <w:rsid w:val="00A26227"/>
    <w:rsid w:val="00A274DD"/>
    <w:rsid w:val="00A3161B"/>
    <w:rsid w:val="00A35947"/>
    <w:rsid w:val="00A4700D"/>
    <w:rsid w:val="00A5563D"/>
    <w:rsid w:val="00A55903"/>
    <w:rsid w:val="00A573CB"/>
    <w:rsid w:val="00A579C7"/>
    <w:rsid w:val="00A60274"/>
    <w:rsid w:val="00A60649"/>
    <w:rsid w:val="00A6377E"/>
    <w:rsid w:val="00A64C7E"/>
    <w:rsid w:val="00A664C4"/>
    <w:rsid w:val="00A666A3"/>
    <w:rsid w:val="00A71985"/>
    <w:rsid w:val="00A75687"/>
    <w:rsid w:val="00A803C7"/>
    <w:rsid w:val="00A8064A"/>
    <w:rsid w:val="00A80BCC"/>
    <w:rsid w:val="00A81848"/>
    <w:rsid w:val="00A94861"/>
    <w:rsid w:val="00A95E5C"/>
    <w:rsid w:val="00AA0DFA"/>
    <w:rsid w:val="00AA3E50"/>
    <w:rsid w:val="00AA4851"/>
    <w:rsid w:val="00AA69EF"/>
    <w:rsid w:val="00AB1BDD"/>
    <w:rsid w:val="00AB1F2A"/>
    <w:rsid w:val="00AC6EA7"/>
    <w:rsid w:val="00AC7364"/>
    <w:rsid w:val="00AD541D"/>
    <w:rsid w:val="00AE20F0"/>
    <w:rsid w:val="00AE5C1A"/>
    <w:rsid w:val="00AE61D8"/>
    <w:rsid w:val="00AE753C"/>
    <w:rsid w:val="00AF0379"/>
    <w:rsid w:val="00AF0CD8"/>
    <w:rsid w:val="00AF0E6E"/>
    <w:rsid w:val="00AF5CF3"/>
    <w:rsid w:val="00AF7A3A"/>
    <w:rsid w:val="00B100E9"/>
    <w:rsid w:val="00B16043"/>
    <w:rsid w:val="00B166F9"/>
    <w:rsid w:val="00B16CF2"/>
    <w:rsid w:val="00B21DB2"/>
    <w:rsid w:val="00B22EC1"/>
    <w:rsid w:val="00B24E99"/>
    <w:rsid w:val="00B26656"/>
    <w:rsid w:val="00B35E26"/>
    <w:rsid w:val="00B40228"/>
    <w:rsid w:val="00B42A91"/>
    <w:rsid w:val="00B4466A"/>
    <w:rsid w:val="00B45173"/>
    <w:rsid w:val="00B475FE"/>
    <w:rsid w:val="00B47BFB"/>
    <w:rsid w:val="00B61C2E"/>
    <w:rsid w:val="00B61C80"/>
    <w:rsid w:val="00B63FAE"/>
    <w:rsid w:val="00B72496"/>
    <w:rsid w:val="00B83121"/>
    <w:rsid w:val="00B84416"/>
    <w:rsid w:val="00B85482"/>
    <w:rsid w:val="00B86071"/>
    <w:rsid w:val="00B86F1F"/>
    <w:rsid w:val="00B92895"/>
    <w:rsid w:val="00B947E2"/>
    <w:rsid w:val="00B9526D"/>
    <w:rsid w:val="00BA3F62"/>
    <w:rsid w:val="00BA6898"/>
    <w:rsid w:val="00BC211D"/>
    <w:rsid w:val="00BC25EE"/>
    <w:rsid w:val="00BC3D1F"/>
    <w:rsid w:val="00BC5AD5"/>
    <w:rsid w:val="00BD2329"/>
    <w:rsid w:val="00BE6AFA"/>
    <w:rsid w:val="00BF365F"/>
    <w:rsid w:val="00BF51B8"/>
    <w:rsid w:val="00C05772"/>
    <w:rsid w:val="00C16374"/>
    <w:rsid w:val="00C169AF"/>
    <w:rsid w:val="00C17CBB"/>
    <w:rsid w:val="00C23EBA"/>
    <w:rsid w:val="00C33F11"/>
    <w:rsid w:val="00C3728F"/>
    <w:rsid w:val="00C42BAC"/>
    <w:rsid w:val="00C47656"/>
    <w:rsid w:val="00C522F2"/>
    <w:rsid w:val="00C53511"/>
    <w:rsid w:val="00C553B0"/>
    <w:rsid w:val="00C558BD"/>
    <w:rsid w:val="00C55FD0"/>
    <w:rsid w:val="00C741C8"/>
    <w:rsid w:val="00C76A2F"/>
    <w:rsid w:val="00C8462B"/>
    <w:rsid w:val="00C846E8"/>
    <w:rsid w:val="00C849D5"/>
    <w:rsid w:val="00C85CEB"/>
    <w:rsid w:val="00C86E18"/>
    <w:rsid w:val="00CA0AB5"/>
    <w:rsid w:val="00CA0BC8"/>
    <w:rsid w:val="00CA1C73"/>
    <w:rsid w:val="00CA247F"/>
    <w:rsid w:val="00CB1F77"/>
    <w:rsid w:val="00CB475F"/>
    <w:rsid w:val="00CC05F5"/>
    <w:rsid w:val="00CC107B"/>
    <w:rsid w:val="00CC7B15"/>
    <w:rsid w:val="00CD2C3A"/>
    <w:rsid w:val="00CE0530"/>
    <w:rsid w:val="00CE071B"/>
    <w:rsid w:val="00CE1E06"/>
    <w:rsid w:val="00CE44F5"/>
    <w:rsid w:val="00CE4678"/>
    <w:rsid w:val="00CE5054"/>
    <w:rsid w:val="00CF1326"/>
    <w:rsid w:val="00CF2D6A"/>
    <w:rsid w:val="00CF5A60"/>
    <w:rsid w:val="00D0337E"/>
    <w:rsid w:val="00D0355B"/>
    <w:rsid w:val="00D10692"/>
    <w:rsid w:val="00D113D4"/>
    <w:rsid w:val="00D12377"/>
    <w:rsid w:val="00D15B63"/>
    <w:rsid w:val="00D21581"/>
    <w:rsid w:val="00D3274B"/>
    <w:rsid w:val="00D33108"/>
    <w:rsid w:val="00D37903"/>
    <w:rsid w:val="00D51C91"/>
    <w:rsid w:val="00D51CBA"/>
    <w:rsid w:val="00D60B7B"/>
    <w:rsid w:val="00D62190"/>
    <w:rsid w:val="00D672D3"/>
    <w:rsid w:val="00D67779"/>
    <w:rsid w:val="00D67F76"/>
    <w:rsid w:val="00D720E0"/>
    <w:rsid w:val="00D72AC3"/>
    <w:rsid w:val="00D732AB"/>
    <w:rsid w:val="00D733F8"/>
    <w:rsid w:val="00D75C1A"/>
    <w:rsid w:val="00D7713D"/>
    <w:rsid w:val="00D81137"/>
    <w:rsid w:val="00D837E6"/>
    <w:rsid w:val="00D8485A"/>
    <w:rsid w:val="00D87C5F"/>
    <w:rsid w:val="00D9080D"/>
    <w:rsid w:val="00DA1E70"/>
    <w:rsid w:val="00DA3FBA"/>
    <w:rsid w:val="00DB739E"/>
    <w:rsid w:val="00DC7E73"/>
    <w:rsid w:val="00DD196F"/>
    <w:rsid w:val="00DD3BBF"/>
    <w:rsid w:val="00DD43D3"/>
    <w:rsid w:val="00DD5125"/>
    <w:rsid w:val="00DE4C30"/>
    <w:rsid w:val="00DF1D58"/>
    <w:rsid w:val="00E02B61"/>
    <w:rsid w:val="00E0358A"/>
    <w:rsid w:val="00E068F7"/>
    <w:rsid w:val="00E071D4"/>
    <w:rsid w:val="00E1087F"/>
    <w:rsid w:val="00E15C3C"/>
    <w:rsid w:val="00E17BE7"/>
    <w:rsid w:val="00E224D1"/>
    <w:rsid w:val="00E3771F"/>
    <w:rsid w:val="00E413BD"/>
    <w:rsid w:val="00E45600"/>
    <w:rsid w:val="00E575BB"/>
    <w:rsid w:val="00E607B6"/>
    <w:rsid w:val="00E615C2"/>
    <w:rsid w:val="00E65657"/>
    <w:rsid w:val="00E67F4D"/>
    <w:rsid w:val="00E70CB4"/>
    <w:rsid w:val="00E73AE8"/>
    <w:rsid w:val="00E915A1"/>
    <w:rsid w:val="00E91FC2"/>
    <w:rsid w:val="00E923C1"/>
    <w:rsid w:val="00E95EB4"/>
    <w:rsid w:val="00EA0841"/>
    <w:rsid w:val="00EA480B"/>
    <w:rsid w:val="00EA4B66"/>
    <w:rsid w:val="00EA50B0"/>
    <w:rsid w:val="00EA5AFD"/>
    <w:rsid w:val="00EA7E80"/>
    <w:rsid w:val="00EB1244"/>
    <w:rsid w:val="00EB5F20"/>
    <w:rsid w:val="00EB61BF"/>
    <w:rsid w:val="00EC2D44"/>
    <w:rsid w:val="00ED2CD9"/>
    <w:rsid w:val="00ED3228"/>
    <w:rsid w:val="00ED724D"/>
    <w:rsid w:val="00EE4F3B"/>
    <w:rsid w:val="00EE7C3A"/>
    <w:rsid w:val="00EF2219"/>
    <w:rsid w:val="00EF7E16"/>
    <w:rsid w:val="00F0196D"/>
    <w:rsid w:val="00F03DAE"/>
    <w:rsid w:val="00F04AA2"/>
    <w:rsid w:val="00F060D4"/>
    <w:rsid w:val="00F07BB2"/>
    <w:rsid w:val="00F1390A"/>
    <w:rsid w:val="00F16C47"/>
    <w:rsid w:val="00F22A6C"/>
    <w:rsid w:val="00F26274"/>
    <w:rsid w:val="00F30627"/>
    <w:rsid w:val="00F3158F"/>
    <w:rsid w:val="00F31A2E"/>
    <w:rsid w:val="00F32916"/>
    <w:rsid w:val="00F356D9"/>
    <w:rsid w:val="00F42629"/>
    <w:rsid w:val="00F43698"/>
    <w:rsid w:val="00F47F68"/>
    <w:rsid w:val="00F545EA"/>
    <w:rsid w:val="00F556BB"/>
    <w:rsid w:val="00F6536D"/>
    <w:rsid w:val="00F66236"/>
    <w:rsid w:val="00F730CC"/>
    <w:rsid w:val="00F80F07"/>
    <w:rsid w:val="00F81C5E"/>
    <w:rsid w:val="00F8650C"/>
    <w:rsid w:val="00F92532"/>
    <w:rsid w:val="00F94ED4"/>
    <w:rsid w:val="00FA091C"/>
    <w:rsid w:val="00FA4D94"/>
    <w:rsid w:val="00FA6167"/>
    <w:rsid w:val="00FA6218"/>
    <w:rsid w:val="00FB3CBF"/>
    <w:rsid w:val="00FC025F"/>
    <w:rsid w:val="00FC5061"/>
    <w:rsid w:val="00FD0206"/>
    <w:rsid w:val="00FD4C4D"/>
    <w:rsid w:val="00FD5AE0"/>
    <w:rsid w:val="00FD697B"/>
    <w:rsid w:val="00FE1F1B"/>
    <w:rsid w:val="00FF3A69"/>
    <w:rsid w:val="00FF4A9A"/>
    <w:rsid w:val="00FF4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EE53A"/>
  <w15:docId w15:val="{87B5B0E1-7EE0-4C14-A860-885C0CE2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229A"/>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05229A"/>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05229A"/>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05229A"/>
    <w:pPr>
      <w:keepNext/>
      <w:keepLines/>
      <w:spacing w:before="80" w:after="0" w:line="288" w:lineRule="auto"/>
      <w:outlineLvl w:val="3"/>
    </w:pPr>
    <w:rPr>
      <w:rFonts w:asciiTheme="majorHAnsi" w:eastAsiaTheme="majorEastAsia" w:hAnsiTheme="majorHAnsi" w:cstheme="majorBidi"/>
      <w:color w:val="70AD47" w:themeColor="accent6"/>
    </w:rPr>
  </w:style>
  <w:style w:type="paragraph" w:styleId="Heading5">
    <w:name w:val="heading 5"/>
    <w:basedOn w:val="Normal"/>
    <w:next w:val="Normal"/>
    <w:link w:val="Heading5Char"/>
    <w:uiPriority w:val="9"/>
    <w:unhideWhenUsed/>
    <w:qFormat/>
    <w:rsid w:val="0005229A"/>
    <w:pPr>
      <w:keepNext/>
      <w:keepLines/>
      <w:spacing w:before="40" w:after="0" w:line="288" w:lineRule="auto"/>
      <w:outlineLvl w:val="4"/>
    </w:pPr>
    <w:rPr>
      <w:rFonts w:asciiTheme="majorHAnsi" w:eastAsiaTheme="majorEastAsia" w:hAnsiTheme="majorHAnsi" w:cstheme="majorBidi"/>
      <w:i/>
      <w:iCs/>
      <w:color w:val="70AD47" w:themeColor="accent6"/>
    </w:rPr>
  </w:style>
  <w:style w:type="paragraph" w:styleId="Heading6">
    <w:name w:val="heading 6"/>
    <w:basedOn w:val="Normal"/>
    <w:next w:val="Normal"/>
    <w:link w:val="Heading6Char"/>
    <w:uiPriority w:val="9"/>
    <w:unhideWhenUsed/>
    <w:qFormat/>
    <w:rsid w:val="0005229A"/>
    <w:pPr>
      <w:keepNext/>
      <w:keepLines/>
      <w:spacing w:before="40" w:after="0" w:line="288" w:lineRule="auto"/>
      <w:outlineLvl w:val="5"/>
    </w:pPr>
    <w:rPr>
      <w:rFonts w:asciiTheme="majorHAnsi" w:eastAsiaTheme="majorEastAsia" w:hAnsiTheme="majorHAnsi" w:cstheme="majorBidi"/>
      <w:color w:val="70AD47" w:themeColor="accent6"/>
      <w:sz w:val="21"/>
      <w:szCs w:val="21"/>
    </w:rPr>
  </w:style>
  <w:style w:type="paragraph" w:styleId="Heading7">
    <w:name w:val="heading 7"/>
    <w:basedOn w:val="Normal"/>
    <w:next w:val="Normal"/>
    <w:link w:val="Heading7Char"/>
    <w:uiPriority w:val="9"/>
    <w:semiHidden/>
    <w:unhideWhenUsed/>
    <w:qFormat/>
    <w:rsid w:val="0005229A"/>
    <w:pPr>
      <w:keepNext/>
      <w:keepLines/>
      <w:spacing w:before="40" w:after="0" w:line="288" w:lineRule="auto"/>
      <w:outlineLvl w:val="6"/>
    </w:pPr>
    <w:rPr>
      <w:rFonts w:asciiTheme="majorHAnsi" w:eastAsiaTheme="majorEastAsia" w:hAnsiTheme="majorHAnsi" w:cstheme="majorBidi"/>
      <w:b/>
      <w:bCs/>
      <w:color w:val="70AD47" w:themeColor="accent6"/>
      <w:sz w:val="21"/>
      <w:szCs w:val="21"/>
    </w:rPr>
  </w:style>
  <w:style w:type="paragraph" w:styleId="Heading8">
    <w:name w:val="heading 8"/>
    <w:basedOn w:val="Normal"/>
    <w:next w:val="Normal"/>
    <w:link w:val="Heading8Char"/>
    <w:uiPriority w:val="9"/>
    <w:unhideWhenUsed/>
    <w:qFormat/>
    <w:rsid w:val="0005229A"/>
    <w:pPr>
      <w:keepNext/>
      <w:keepLines/>
      <w:spacing w:before="40" w:after="0" w:line="288" w:lineRule="auto"/>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unhideWhenUsed/>
    <w:qFormat/>
    <w:rsid w:val="0005229A"/>
    <w:pPr>
      <w:keepNext/>
      <w:keepLines/>
      <w:spacing w:before="40" w:after="0" w:line="288" w:lineRule="auto"/>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1,NumberedParas,Dot pt,F5 List Paragraph,List Paragraph Char Char Char,Indicator Text,Numbered Para 1,Bullet 1,Bullet Points,MAIN CONTENT,Párrafo de lista,Recommendation,List Paragraph2,Liste Paragraf,List Paragraph 1,Bullets"/>
    <w:basedOn w:val="Normal"/>
    <w:link w:val="ListParagraphChar"/>
    <w:uiPriority w:val="99"/>
    <w:qFormat/>
    <w:rsid w:val="0019148D"/>
    <w:pPr>
      <w:ind w:left="720"/>
      <w:contextualSpacing/>
    </w:pPr>
  </w:style>
  <w:style w:type="table" w:styleId="TableGrid">
    <w:name w:val="Table Grid"/>
    <w:basedOn w:val="TableNormal"/>
    <w:uiPriority w:val="59"/>
    <w:rsid w:val="008E1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74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49D"/>
    <w:rPr>
      <w:rFonts w:ascii="Segoe UI" w:hAnsi="Segoe UI" w:cs="Segoe UI"/>
      <w:sz w:val="18"/>
      <w:szCs w:val="18"/>
    </w:rPr>
  </w:style>
  <w:style w:type="paragraph" w:customStyle="1" w:styleId="Pa5">
    <w:name w:val="Pa5"/>
    <w:basedOn w:val="Normal"/>
    <w:next w:val="Normal"/>
    <w:uiPriority w:val="99"/>
    <w:rsid w:val="00173229"/>
    <w:pPr>
      <w:autoSpaceDE w:val="0"/>
      <w:autoSpaceDN w:val="0"/>
      <w:adjustRightInd w:val="0"/>
      <w:spacing w:after="0" w:line="181" w:lineRule="atLeast"/>
    </w:pPr>
    <w:rPr>
      <w:rFonts w:ascii="Frutiger LT Std 45 Light" w:hAnsi="Frutiger LT Std 45 Light"/>
      <w:sz w:val="24"/>
      <w:szCs w:val="24"/>
    </w:rPr>
  </w:style>
  <w:style w:type="character" w:customStyle="1" w:styleId="A20">
    <w:name w:val="A20"/>
    <w:uiPriority w:val="99"/>
    <w:rsid w:val="00173229"/>
    <w:rPr>
      <w:rFonts w:cs="Frutiger LT Std 45 Light"/>
      <w:color w:val="19161A"/>
      <w:sz w:val="10"/>
      <w:szCs w:val="10"/>
    </w:rPr>
  </w:style>
  <w:style w:type="paragraph" w:customStyle="1" w:styleId="Pa45">
    <w:name w:val="Pa45"/>
    <w:basedOn w:val="Normal"/>
    <w:next w:val="Normal"/>
    <w:uiPriority w:val="99"/>
    <w:rsid w:val="006F438C"/>
    <w:pPr>
      <w:autoSpaceDE w:val="0"/>
      <w:autoSpaceDN w:val="0"/>
      <w:adjustRightInd w:val="0"/>
      <w:spacing w:after="0" w:line="161" w:lineRule="atLeast"/>
    </w:pPr>
    <w:rPr>
      <w:rFonts w:ascii="SCHJM S+ Frutiger LT Std" w:hAnsi="SCHJM S+ Frutiger LT Std"/>
      <w:sz w:val="24"/>
      <w:szCs w:val="24"/>
    </w:rPr>
  </w:style>
  <w:style w:type="paragraph" w:customStyle="1" w:styleId="Pa46">
    <w:name w:val="Pa46"/>
    <w:basedOn w:val="Normal"/>
    <w:next w:val="Normal"/>
    <w:uiPriority w:val="99"/>
    <w:rsid w:val="006F438C"/>
    <w:pPr>
      <w:autoSpaceDE w:val="0"/>
      <w:autoSpaceDN w:val="0"/>
      <w:adjustRightInd w:val="0"/>
      <w:spacing w:after="0" w:line="141" w:lineRule="atLeast"/>
    </w:pPr>
    <w:rPr>
      <w:rFonts w:ascii="SCHJM S+ Frutiger LT Std" w:hAnsi="SCHJM S+ Frutiger LT Std"/>
      <w:sz w:val="24"/>
      <w:szCs w:val="24"/>
    </w:rPr>
  </w:style>
  <w:style w:type="character" w:customStyle="1" w:styleId="A6">
    <w:name w:val="A6"/>
    <w:uiPriority w:val="99"/>
    <w:rsid w:val="006F438C"/>
    <w:rPr>
      <w:rFonts w:cs="SCHJM S+ Frutiger LT Std"/>
      <w:color w:val="19161A"/>
      <w:sz w:val="16"/>
      <w:szCs w:val="16"/>
    </w:rPr>
  </w:style>
  <w:style w:type="paragraph" w:customStyle="1" w:styleId="Pa10">
    <w:name w:val="Pa10"/>
    <w:basedOn w:val="Normal"/>
    <w:next w:val="Normal"/>
    <w:uiPriority w:val="99"/>
    <w:rsid w:val="00EA7E80"/>
    <w:pPr>
      <w:autoSpaceDE w:val="0"/>
      <w:autoSpaceDN w:val="0"/>
      <w:adjustRightInd w:val="0"/>
      <w:spacing w:after="0" w:line="321" w:lineRule="atLeast"/>
    </w:pPr>
    <w:rPr>
      <w:rFonts w:ascii="Frutiger LT Std 45 Light" w:hAnsi="Frutiger LT Std 45 Light"/>
      <w:sz w:val="24"/>
      <w:szCs w:val="24"/>
    </w:rPr>
  </w:style>
  <w:style w:type="character" w:customStyle="1" w:styleId="A13">
    <w:name w:val="A13"/>
    <w:uiPriority w:val="99"/>
    <w:rsid w:val="004642BC"/>
    <w:rPr>
      <w:rFonts w:cs="Frutiger LT Std 45 Light"/>
      <w:color w:val="19161A"/>
      <w:sz w:val="12"/>
      <w:szCs w:val="12"/>
    </w:rPr>
  </w:style>
  <w:style w:type="paragraph" w:customStyle="1" w:styleId="Pa15">
    <w:name w:val="Pa15"/>
    <w:basedOn w:val="Normal"/>
    <w:next w:val="Normal"/>
    <w:uiPriority w:val="99"/>
    <w:rsid w:val="004642BC"/>
    <w:pPr>
      <w:autoSpaceDE w:val="0"/>
      <w:autoSpaceDN w:val="0"/>
      <w:adjustRightInd w:val="0"/>
      <w:spacing w:after="0" w:line="181" w:lineRule="atLeast"/>
    </w:pPr>
    <w:rPr>
      <w:rFonts w:ascii="Frutiger LT Std 45 Light" w:hAnsi="Frutiger LT Std 45 Light"/>
      <w:sz w:val="24"/>
      <w:szCs w:val="24"/>
    </w:rPr>
  </w:style>
  <w:style w:type="paragraph" w:styleId="NormalWeb">
    <w:name w:val="Normal (Web)"/>
    <w:basedOn w:val="Normal"/>
    <w:uiPriority w:val="99"/>
    <w:unhideWhenUsed/>
    <w:rsid w:val="007867D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67D8"/>
    <w:rPr>
      <w:b/>
      <w:bCs/>
    </w:rPr>
  </w:style>
  <w:style w:type="paragraph" w:customStyle="1" w:styleId="isinpath">
    <w:name w:val="is_in_path"/>
    <w:basedOn w:val="Normal"/>
    <w:rsid w:val="003A332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A332B"/>
    <w:rPr>
      <w:color w:val="0000FF"/>
      <w:u w:val="single"/>
    </w:rPr>
  </w:style>
  <w:style w:type="paragraph" w:customStyle="1" w:styleId="accordion-list-title">
    <w:name w:val="accordion-list-title"/>
    <w:basedOn w:val="Normal"/>
    <w:rsid w:val="003A33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text">
    <w:name w:val="title-text"/>
    <w:basedOn w:val="DefaultParagraphFont"/>
    <w:rsid w:val="003A332B"/>
  </w:style>
  <w:style w:type="character" w:customStyle="1" w:styleId="Heading1Char">
    <w:name w:val="Heading 1 Char"/>
    <w:basedOn w:val="DefaultParagraphFont"/>
    <w:link w:val="Heading1"/>
    <w:uiPriority w:val="9"/>
    <w:rsid w:val="0005229A"/>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05229A"/>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05229A"/>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05229A"/>
    <w:rPr>
      <w:rFonts w:asciiTheme="majorHAnsi" w:eastAsiaTheme="majorEastAsia" w:hAnsiTheme="majorHAnsi" w:cstheme="majorBidi"/>
      <w:color w:val="70AD47" w:themeColor="accent6"/>
    </w:rPr>
  </w:style>
  <w:style w:type="character" w:customStyle="1" w:styleId="Heading5Char">
    <w:name w:val="Heading 5 Char"/>
    <w:basedOn w:val="DefaultParagraphFont"/>
    <w:link w:val="Heading5"/>
    <w:uiPriority w:val="9"/>
    <w:rsid w:val="0005229A"/>
    <w:rPr>
      <w:rFonts w:asciiTheme="majorHAnsi" w:eastAsiaTheme="majorEastAsia" w:hAnsiTheme="majorHAnsi" w:cstheme="majorBidi"/>
      <w:i/>
      <w:iCs/>
      <w:color w:val="70AD47" w:themeColor="accent6"/>
    </w:rPr>
  </w:style>
  <w:style w:type="character" w:customStyle="1" w:styleId="Heading6Char">
    <w:name w:val="Heading 6 Char"/>
    <w:basedOn w:val="DefaultParagraphFont"/>
    <w:link w:val="Heading6"/>
    <w:uiPriority w:val="9"/>
    <w:rsid w:val="0005229A"/>
    <w:rPr>
      <w:rFonts w:asciiTheme="majorHAnsi" w:eastAsiaTheme="majorEastAsia" w:hAnsiTheme="majorHAnsi" w:cstheme="majorBidi"/>
      <w:color w:val="70AD47" w:themeColor="accent6"/>
      <w:sz w:val="21"/>
      <w:szCs w:val="21"/>
    </w:rPr>
  </w:style>
  <w:style w:type="character" w:customStyle="1" w:styleId="Heading7Char">
    <w:name w:val="Heading 7 Char"/>
    <w:basedOn w:val="DefaultParagraphFont"/>
    <w:link w:val="Heading7"/>
    <w:uiPriority w:val="9"/>
    <w:semiHidden/>
    <w:rsid w:val="0005229A"/>
    <w:rPr>
      <w:rFonts w:asciiTheme="majorHAnsi" w:eastAsiaTheme="majorEastAsia" w:hAnsiTheme="majorHAnsi" w:cstheme="majorBidi"/>
      <w:b/>
      <w:bCs/>
      <w:color w:val="70AD47" w:themeColor="accent6"/>
      <w:sz w:val="21"/>
      <w:szCs w:val="21"/>
    </w:rPr>
  </w:style>
  <w:style w:type="character" w:customStyle="1" w:styleId="Heading8Char">
    <w:name w:val="Heading 8 Char"/>
    <w:basedOn w:val="DefaultParagraphFont"/>
    <w:link w:val="Heading8"/>
    <w:uiPriority w:val="9"/>
    <w:rsid w:val="0005229A"/>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rsid w:val="0005229A"/>
    <w:rPr>
      <w:rFonts w:asciiTheme="majorHAnsi" w:eastAsiaTheme="majorEastAsia" w:hAnsiTheme="majorHAnsi" w:cstheme="majorBidi"/>
      <w:i/>
      <w:iCs/>
      <w:color w:val="70AD47" w:themeColor="accent6"/>
      <w:sz w:val="20"/>
      <w:szCs w:val="20"/>
    </w:rPr>
  </w:style>
  <w:style w:type="numbering" w:customStyle="1" w:styleId="NoList1">
    <w:name w:val="No List1"/>
    <w:next w:val="NoList"/>
    <w:uiPriority w:val="99"/>
    <w:semiHidden/>
    <w:unhideWhenUsed/>
    <w:rsid w:val="0005229A"/>
  </w:style>
  <w:style w:type="paragraph" w:styleId="Header">
    <w:name w:val="header"/>
    <w:basedOn w:val="Normal"/>
    <w:link w:val="HeaderChar"/>
    <w:uiPriority w:val="99"/>
    <w:unhideWhenUsed/>
    <w:rsid w:val="0005229A"/>
    <w:pPr>
      <w:tabs>
        <w:tab w:val="center" w:pos="4680"/>
        <w:tab w:val="right" w:pos="9360"/>
      </w:tabs>
      <w:spacing w:after="0" w:line="240" w:lineRule="auto"/>
    </w:pPr>
    <w:rPr>
      <w:rFonts w:eastAsiaTheme="minorEastAsia"/>
      <w:sz w:val="21"/>
      <w:szCs w:val="21"/>
    </w:rPr>
  </w:style>
  <w:style w:type="character" w:customStyle="1" w:styleId="HeaderChar">
    <w:name w:val="Header Char"/>
    <w:basedOn w:val="DefaultParagraphFont"/>
    <w:link w:val="Header"/>
    <w:uiPriority w:val="99"/>
    <w:rsid w:val="0005229A"/>
    <w:rPr>
      <w:rFonts w:eastAsiaTheme="minorEastAsia"/>
      <w:sz w:val="21"/>
      <w:szCs w:val="21"/>
    </w:rPr>
  </w:style>
  <w:style w:type="paragraph" w:styleId="Footer">
    <w:name w:val="footer"/>
    <w:basedOn w:val="Normal"/>
    <w:link w:val="FooterChar"/>
    <w:uiPriority w:val="99"/>
    <w:unhideWhenUsed/>
    <w:rsid w:val="0005229A"/>
    <w:pPr>
      <w:tabs>
        <w:tab w:val="center" w:pos="4680"/>
        <w:tab w:val="right" w:pos="9360"/>
      </w:tabs>
      <w:spacing w:after="0" w:line="240" w:lineRule="auto"/>
    </w:pPr>
    <w:rPr>
      <w:rFonts w:eastAsiaTheme="minorEastAsia"/>
      <w:sz w:val="21"/>
      <w:szCs w:val="21"/>
    </w:rPr>
  </w:style>
  <w:style w:type="character" w:customStyle="1" w:styleId="FooterChar">
    <w:name w:val="Footer Char"/>
    <w:basedOn w:val="DefaultParagraphFont"/>
    <w:link w:val="Footer"/>
    <w:uiPriority w:val="99"/>
    <w:rsid w:val="0005229A"/>
    <w:rPr>
      <w:rFonts w:eastAsiaTheme="minorEastAsia"/>
      <w:sz w:val="21"/>
      <w:szCs w:val="21"/>
    </w:rPr>
  </w:style>
  <w:style w:type="paragraph" w:styleId="Caption">
    <w:name w:val="caption"/>
    <w:basedOn w:val="Normal"/>
    <w:next w:val="Normal"/>
    <w:unhideWhenUsed/>
    <w:qFormat/>
    <w:rsid w:val="0005229A"/>
    <w:pPr>
      <w:spacing w:after="200" w:line="240" w:lineRule="auto"/>
    </w:pPr>
    <w:rPr>
      <w:rFonts w:eastAsiaTheme="minorEastAsia"/>
      <w:b/>
      <w:bCs/>
      <w:smallCaps/>
      <w:color w:val="595959" w:themeColor="text1" w:themeTint="A6"/>
      <w:sz w:val="21"/>
      <w:szCs w:val="21"/>
    </w:rPr>
  </w:style>
  <w:style w:type="paragraph" w:styleId="Title">
    <w:name w:val="Title"/>
    <w:basedOn w:val="Normal"/>
    <w:next w:val="Normal"/>
    <w:link w:val="TitleChar"/>
    <w:uiPriority w:val="10"/>
    <w:qFormat/>
    <w:rsid w:val="0005229A"/>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05229A"/>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05229A"/>
    <w:pPr>
      <w:numPr>
        <w:ilvl w:val="1"/>
      </w:numPr>
      <w:spacing w:after="200"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05229A"/>
    <w:rPr>
      <w:rFonts w:asciiTheme="majorHAnsi" w:eastAsiaTheme="majorEastAsia" w:hAnsiTheme="majorHAnsi" w:cstheme="majorBidi"/>
      <w:sz w:val="30"/>
      <w:szCs w:val="30"/>
    </w:rPr>
  </w:style>
  <w:style w:type="character" w:styleId="Emphasis">
    <w:name w:val="Emphasis"/>
    <w:basedOn w:val="DefaultParagraphFont"/>
    <w:uiPriority w:val="20"/>
    <w:qFormat/>
    <w:rsid w:val="0005229A"/>
    <w:rPr>
      <w:i/>
      <w:iCs/>
      <w:color w:val="70AD47" w:themeColor="accent6"/>
    </w:rPr>
  </w:style>
  <w:style w:type="paragraph" w:styleId="NoSpacing">
    <w:name w:val="No Spacing"/>
    <w:link w:val="NoSpacingChar"/>
    <w:uiPriority w:val="1"/>
    <w:qFormat/>
    <w:rsid w:val="0005229A"/>
    <w:pPr>
      <w:spacing w:after="0" w:line="240" w:lineRule="auto"/>
    </w:pPr>
    <w:rPr>
      <w:rFonts w:eastAsiaTheme="minorEastAsia"/>
      <w:sz w:val="21"/>
      <w:szCs w:val="21"/>
    </w:rPr>
  </w:style>
  <w:style w:type="paragraph" w:styleId="Quote">
    <w:name w:val="Quote"/>
    <w:basedOn w:val="Normal"/>
    <w:next w:val="Normal"/>
    <w:link w:val="QuoteChar"/>
    <w:uiPriority w:val="29"/>
    <w:qFormat/>
    <w:rsid w:val="0005229A"/>
    <w:pPr>
      <w:spacing w:before="160" w:after="200" w:line="288" w:lineRule="auto"/>
      <w:ind w:left="720" w:right="720"/>
      <w:jc w:val="center"/>
    </w:pPr>
    <w:rPr>
      <w:rFonts w:eastAsiaTheme="minorEastAsia"/>
      <w:i/>
      <w:iCs/>
      <w:color w:val="262626" w:themeColor="text1" w:themeTint="D9"/>
      <w:sz w:val="21"/>
      <w:szCs w:val="21"/>
    </w:rPr>
  </w:style>
  <w:style w:type="character" w:customStyle="1" w:styleId="QuoteChar">
    <w:name w:val="Quote Char"/>
    <w:basedOn w:val="DefaultParagraphFont"/>
    <w:link w:val="Quote"/>
    <w:uiPriority w:val="29"/>
    <w:rsid w:val="0005229A"/>
    <w:rPr>
      <w:rFonts w:eastAsiaTheme="minorEastAsia"/>
      <w:i/>
      <w:iCs/>
      <w:color w:val="262626" w:themeColor="text1" w:themeTint="D9"/>
      <w:sz w:val="21"/>
      <w:szCs w:val="21"/>
    </w:rPr>
  </w:style>
  <w:style w:type="paragraph" w:styleId="IntenseQuote">
    <w:name w:val="Intense Quote"/>
    <w:basedOn w:val="Normal"/>
    <w:next w:val="Normal"/>
    <w:link w:val="IntenseQuoteChar"/>
    <w:uiPriority w:val="30"/>
    <w:qFormat/>
    <w:rsid w:val="0005229A"/>
    <w:pPr>
      <w:spacing w:before="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05229A"/>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05229A"/>
    <w:rPr>
      <w:i/>
      <w:iCs/>
    </w:rPr>
  </w:style>
  <w:style w:type="character" w:styleId="IntenseEmphasis">
    <w:name w:val="Intense Emphasis"/>
    <w:basedOn w:val="DefaultParagraphFont"/>
    <w:uiPriority w:val="21"/>
    <w:qFormat/>
    <w:rsid w:val="0005229A"/>
    <w:rPr>
      <w:b/>
      <w:bCs/>
      <w:i/>
      <w:iCs/>
    </w:rPr>
  </w:style>
  <w:style w:type="character" w:styleId="SubtleReference">
    <w:name w:val="Subtle Reference"/>
    <w:basedOn w:val="DefaultParagraphFont"/>
    <w:uiPriority w:val="31"/>
    <w:qFormat/>
    <w:rsid w:val="0005229A"/>
    <w:rPr>
      <w:smallCaps/>
      <w:color w:val="595959" w:themeColor="text1" w:themeTint="A6"/>
    </w:rPr>
  </w:style>
  <w:style w:type="character" w:styleId="IntenseReference">
    <w:name w:val="Intense Reference"/>
    <w:basedOn w:val="DefaultParagraphFont"/>
    <w:uiPriority w:val="32"/>
    <w:qFormat/>
    <w:rsid w:val="0005229A"/>
    <w:rPr>
      <w:b/>
      <w:bCs/>
      <w:smallCaps/>
      <w:color w:val="70AD47" w:themeColor="accent6"/>
    </w:rPr>
  </w:style>
  <w:style w:type="character" w:styleId="BookTitle">
    <w:name w:val="Book Title"/>
    <w:basedOn w:val="DefaultParagraphFont"/>
    <w:uiPriority w:val="33"/>
    <w:qFormat/>
    <w:rsid w:val="0005229A"/>
    <w:rPr>
      <w:b/>
      <w:bCs/>
      <w:caps w:val="0"/>
      <w:smallCaps/>
      <w:spacing w:val="7"/>
      <w:sz w:val="21"/>
      <w:szCs w:val="21"/>
    </w:rPr>
  </w:style>
  <w:style w:type="paragraph" w:styleId="TOCHeading">
    <w:name w:val="TOC Heading"/>
    <w:basedOn w:val="Heading1"/>
    <w:next w:val="Normal"/>
    <w:uiPriority w:val="39"/>
    <w:unhideWhenUsed/>
    <w:qFormat/>
    <w:rsid w:val="0005229A"/>
    <w:pPr>
      <w:outlineLvl w:val="9"/>
    </w:pPr>
  </w:style>
  <w:style w:type="table" w:customStyle="1" w:styleId="TableGrid1">
    <w:name w:val="Table Grid1"/>
    <w:basedOn w:val="TableNormal"/>
    <w:next w:val="TableGrid"/>
    <w:uiPriority w:val="39"/>
    <w:rsid w:val="0005229A"/>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D196F"/>
  </w:style>
  <w:style w:type="table" w:customStyle="1" w:styleId="TableGrid2">
    <w:name w:val="Table Grid2"/>
    <w:basedOn w:val="TableNormal"/>
    <w:next w:val="TableGrid"/>
    <w:uiPriority w:val="39"/>
    <w:rsid w:val="00DD196F"/>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73E68"/>
  </w:style>
  <w:style w:type="paragraph" w:styleId="BodyText">
    <w:name w:val="Body Text"/>
    <w:basedOn w:val="Normal"/>
    <w:link w:val="BodyTextChar"/>
    <w:rsid w:val="00773E6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73E68"/>
    <w:rPr>
      <w:rFonts w:ascii="Times New Roman" w:eastAsia="Times New Roman" w:hAnsi="Times New Roman" w:cs="Times New Roman"/>
      <w:sz w:val="24"/>
      <w:szCs w:val="24"/>
    </w:rPr>
  </w:style>
  <w:style w:type="paragraph" w:styleId="BodyText2">
    <w:name w:val="Body Text 2"/>
    <w:basedOn w:val="Normal"/>
    <w:link w:val="BodyText2Char"/>
    <w:rsid w:val="00773E68"/>
    <w:pPr>
      <w:spacing w:after="0" w:line="240" w:lineRule="auto"/>
    </w:pPr>
    <w:rPr>
      <w:rFonts w:ascii="Times New Roman" w:eastAsia="Times New Roman" w:hAnsi="Times New Roman" w:cs="Times New Roman"/>
      <w:b/>
      <w:bCs/>
      <w:i/>
      <w:iCs/>
      <w:lang w:val="en-GB"/>
    </w:rPr>
  </w:style>
  <w:style w:type="character" w:customStyle="1" w:styleId="BodyText2Char">
    <w:name w:val="Body Text 2 Char"/>
    <w:basedOn w:val="DefaultParagraphFont"/>
    <w:link w:val="BodyText2"/>
    <w:rsid w:val="00773E68"/>
    <w:rPr>
      <w:rFonts w:ascii="Times New Roman" w:eastAsia="Times New Roman" w:hAnsi="Times New Roman" w:cs="Times New Roman"/>
      <w:b/>
      <w:bCs/>
      <w:i/>
      <w:iCs/>
      <w:lang w:val="en-GB"/>
    </w:rPr>
  </w:style>
  <w:style w:type="paragraph" w:styleId="BodyText3">
    <w:name w:val="Body Text 3"/>
    <w:basedOn w:val="Normal"/>
    <w:link w:val="BodyText3Char"/>
    <w:rsid w:val="00773E68"/>
    <w:pPr>
      <w:spacing w:after="0" w:line="240" w:lineRule="auto"/>
      <w:jc w:val="both"/>
    </w:pPr>
    <w:rPr>
      <w:rFonts w:ascii="Times New Roman" w:eastAsia="Times New Roman" w:hAnsi="Times New Roman" w:cs="Times New Roman"/>
      <w:sz w:val="24"/>
      <w:szCs w:val="24"/>
      <w:lang w:val="it-IT"/>
    </w:rPr>
  </w:style>
  <w:style w:type="character" w:customStyle="1" w:styleId="BodyText3Char">
    <w:name w:val="Body Text 3 Char"/>
    <w:basedOn w:val="DefaultParagraphFont"/>
    <w:link w:val="BodyText3"/>
    <w:rsid w:val="00773E68"/>
    <w:rPr>
      <w:rFonts w:ascii="Times New Roman" w:eastAsia="Times New Roman" w:hAnsi="Times New Roman" w:cs="Times New Roman"/>
      <w:sz w:val="24"/>
      <w:szCs w:val="24"/>
      <w:lang w:val="it-IT"/>
    </w:rPr>
  </w:style>
  <w:style w:type="paragraph" w:styleId="BodyTextIndent2">
    <w:name w:val="Body Text Indent 2"/>
    <w:basedOn w:val="Normal"/>
    <w:link w:val="BodyTextIndent2Char"/>
    <w:rsid w:val="00773E68"/>
    <w:pPr>
      <w:spacing w:after="0" w:line="240" w:lineRule="auto"/>
      <w:ind w:left="3600"/>
    </w:pPr>
    <w:rPr>
      <w:rFonts w:ascii="Times New Roman" w:eastAsia="Times New Roman" w:hAnsi="Times New Roman" w:cs="Times New Roman"/>
      <w:b/>
      <w:bCs/>
      <w:sz w:val="24"/>
      <w:szCs w:val="24"/>
      <w:lang w:val="de-DE"/>
    </w:rPr>
  </w:style>
  <w:style w:type="character" w:customStyle="1" w:styleId="BodyTextIndent2Char">
    <w:name w:val="Body Text Indent 2 Char"/>
    <w:basedOn w:val="DefaultParagraphFont"/>
    <w:link w:val="BodyTextIndent2"/>
    <w:rsid w:val="00773E68"/>
    <w:rPr>
      <w:rFonts w:ascii="Times New Roman" w:eastAsia="Times New Roman" w:hAnsi="Times New Roman" w:cs="Times New Roman"/>
      <w:b/>
      <w:bCs/>
      <w:sz w:val="24"/>
      <w:szCs w:val="24"/>
      <w:lang w:val="de-DE"/>
    </w:rPr>
  </w:style>
  <w:style w:type="paragraph" w:customStyle="1" w:styleId="Paragrafiilists">
    <w:name w:val="Paragrafi i listës"/>
    <w:basedOn w:val="Normal"/>
    <w:uiPriority w:val="99"/>
    <w:rsid w:val="00773E68"/>
    <w:pPr>
      <w:spacing w:after="200" w:line="276" w:lineRule="auto"/>
      <w:ind w:left="720"/>
    </w:pPr>
    <w:rPr>
      <w:rFonts w:ascii="Calibri" w:eastAsia="Calibri" w:hAnsi="Calibri" w:cs="Calibri"/>
      <w:lang w:val="sq-AL"/>
    </w:rPr>
  </w:style>
  <w:style w:type="table" w:customStyle="1" w:styleId="TableGrid3">
    <w:name w:val="Table Grid3"/>
    <w:basedOn w:val="TableNormal"/>
    <w:next w:val="TableGrid"/>
    <w:uiPriority w:val="59"/>
    <w:locked/>
    <w:rsid w:val="00773E6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773E68"/>
    <w:pPr>
      <w:spacing w:after="0" w:line="240" w:lineRule="auto"/>
    </w:pPr>
    <w:rPr>
      <w:rFonts w:ascii="Times New Roman" w:eastAsia="Times New Roman" w:hAnsi="Times New Roman" w:cs="Times New Roman"/>
      <w:sz w:val="20"/>
      <w:szCs w:val="20"/>
      <w:lang w:val="it-IT" w:eastAsia="it-IT"/>
    </w:rPr>
  </w:style>
  <w:style w:type="character" w:customStyle="1" w:styleId="FootnoteTextChar">
    <w:name w:val="Footnote Text Char"/>
    <w:basedOn w:val="DefaultParagraphFont"/>
    <w:link w:val="FootnoteText"/>
    <w:uiPriority w:val="99"/>
    <w:semiHidden/>
    <w:rsid w:val="00773E68"/>
    <w:rPr>
      <w:rFonts w:ascii="Times New Roman" w:eastAsia="Times New Roman" w:hAnsi="Times New Roman" w:cs="Times New Roman"/>
      <w:sz w:val="20"/>
      <w:szCs w:val="20"/>
      <w:lang w:val="it-IT" w:eastAsia="it-IT"/>
    </w:rPr>
  </w:style>
  <w:style w:type="character" w:customStyle="1" w:styleId="NoSpacingChar">
    <w:name w:val="No Spacing Char"/>
    <w:link w:val="NoSpacing"/>
    <w:uiPriority w:val="1"/>
    <w:rsid w:val="00773E68"/>
    <w:rPr>
      <w:rFonts w:eastAsiaTheme="minorEastAsia"/>
      <w:sz w:val="21"/>
      <w:szCs w:val="21"/>
    </w:rPr>
  </w:style>
  <w:style w:type="numbering" w:customStyle="1" w:styleId="NoList4">
    <w:name w:val="No List4"/>
    <w:next w:val="NoList"/>
    <w:uiPriority w:val="99"/>
    <w:semiHidden/>
    <w:unhideWhenUsed/>
    <w:rsid w:val="00DD3BBF"/>
  </w:style>
  <w:style w:type="table" w:customStyle="1" w:styleId="LightList-Accent31">
    <w:name w:val="Light List - Accent 31"/>
    <w:basedOn w:val="TableNormal"/>
    <w:next w:val="LightList-Accent3"/>
    <w:uiPriority w:val="61"/>
    <w:rsid w:val="00DD3BBF"/>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1-Accent31">
    <w:name w:val="Medium Shading 1 - Accent 31"/>
    <w:basedOn w:val="TableNormal"/>
    <w:next w:val="MediumShading1-Accent3"/>
    <w:uiPriority w:val="63"/>
    <w:rsid w:val="00DD3BBF"/>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Grid3-Accent31">
    <w:name w:val="Medium Grid 3 - Accent 31"/>
    <w:basedOn w:val="TableNormal"/>
    <w:next w:val="MediumGrid3-Accent3"/>
    <w:uiPriority w:val="69"/>
    <w:rsid w:val="00DD3BBF"/>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ColorfulGrid-Accent31">
    <w:name w:val="Colorful Grid - Accent 31"/>
    <w:basedOn w:val="TableNormal"/>
    <w:next w:val="ColorfulGrid-Accent3"/>
    <w:uiPriority w:val="73"/>
    <w:rsid w:val="00DD3BBF"/>
    <w:pPr>
      <w:spacing w:after="0" w:line="240" w:lineRule="auto"/>
    </w:pPr>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LightList1">
    <w:name w:val="Light List1"/>
    <w:basedOn w:val="TableNormal"/>
    <w:uiPriority w:val="61"/>
    <w:rsid w:val="00DD3BBF"/>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LightList-Accent2"/>
    <w:uiPriority w:val="61"/>
    <w:rsid w:val="00DD3BBF"/>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hps">
    <w:name w:val="hps"/>
    <w:basedOn w:val="DefaultParagraphFont"/>
    <w:rsid w:val="00DD3BBF"/>
  </w:style>
  <w:style w:type="table" w:customStyle="1" w:styleId="DarkList-Accent31">
    <w:name w:val="Dark List - Accent 31"/>
    <w:basedOn w:val="TableNormal"/>
    <w:next w:val="DarkList-Accent3"/>
    <w:uiPriority w:val="70"/>
    <w:rsid w:val="00DD3BBF"/>
    <w:pPr>
      <w:spacing w:after="0" w:line="240" w:lineRule="auto"/>
    </w:pPr>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ColorfulShading-Accent51">
    <w:name w:val="Colorful Shading - Accent 51"/>
    <w:basedOn w:val="TableNormal"/>
    <w:next w:val="ColorfulShading-Accent5"/>
    <w:uiPriority w:val="71"/>
    <w:rsid w:val="00DD3BBF"/>
    <w:pPr>
      <w:spacing w:after="0" w:line="240" w:lineRule="auto"/>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MediumGrid1-Accent31">
    <w:name w:val="Medium Grid 1 - Accent 31"/>
    <w:basedOn w:val="TableNormal"/>
    <w:next w:val="MediumGrid1-Accent3"/>
    <w:uiPriority w:val="67"/>
    <w:rsid w:val="00DD3BBF"/>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LightList-Accent3">
    <w:name w:val="Light List Accent 3"/>
    <w:basedOn w:val="TableNormal"/>
    <w:uiPriority w:val="61"/>
    <w:rsid w:val="00DD3BBF"/>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Shading1-Accent3">
    <w:name w:val="Medium Shading 1 Accent 3"/>
    <w:basedOn w:val="TableNormal"/>
    <w:uiPriority w:val="63"/>
    <w:rsid w:val="00DD3BBF"/>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Grid3-Accent3">
    <w:name w:val="Medium Grid 3 Accent 3"/>
    <w:basedOn w:val="TableNormal"/>
    <w:uiPriority w:val="69"/>
    <w:rsid w:val="00DD3B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olorfulGrid-Accent3">
    <w:name w:val="Colorful Grid Accent 3"/>
    <w:basedOn w:val="TableNormal"/>
    <w:uiPriority w:val="73"/>
    <w:rsid w:val="00DD3B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LightList-Accent2">
    <w:name w:val="Light List Accent 2"/>
    <w:basedOn w:val="TableNormal"/>
    <w:uiPriority w:val="61"/>
    <w:rsid w:val="00DD3BBF"/>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DarkList-Accent3">
    <w:name w:val="Dark List Accent 3"/>
    <w:basedOn w:val="TableNormal"/>
    <w:uiPriority w:val="70"/>
    <w:rsid w:val="00DD3BBF"/>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olorfulShading-Accent5">
    <w:name w:val="Colorful Shading Accent 5"/>
    <w:basedOn w:val="TableNormal"/>
    <w:uiPriority w:val="71"/>
    <w:rsid w:val="00DD3BBF"/>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MediumGrid1-Accent3">
    <w:name w:val="Medium Grid 1 Accent 3"/>
    <w:basedOn w:val="TableNormal"/>
    <w:uiPriority w:val="67"/>
    <w:rsid w:val="00DD3BBF"/>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numbering" w:customStyle="1" w:styleId="NoList5">
    <w:name w:val="No List5"/>
    <w:next w:val="NoList"/>
    <w:uiPriority w:val="99"/>
    <w:semiHidden/>
    <w:unhideWhenUsed/>
    <w:rsid w:val="0047684C"/>
  </w:style>
  <w:style w:type="character" w:customStyle="1" w:styleId="Bodytext0">
    <w:name w:val="Body text_"/>
    <w:link w:val="BodyText1"/>
    <w:uiPriority w:val="99"/>
    <w:locked/>
    <w:rsid w:val="0047684C"/>
    <w:rPr>
      <w:shd w:val="clear" w:color="auto" w:fill="FFFFFF"/>
    </w:rPr>
  </w:style>
  <w:style w:type="paragraph" w:customStyle="1" w:styleId="BodyText1">
    <w:name w:val="Body Text1"/>
    <w:basedOn w:val="Normal"/>
    <w:link w:val="Bodytext0"/>
    <w:uiPriority w:val="99"/>
    <w:rsid w:val="0047684C"/>
    <w:pPr>
      <w:shd w:val="clear" w:color="auto" w:fill="FFFFFF"/>
      <w:spacing w:after="0" w:line="269" w:lineRule="exact"/>
    </w:pPr>
    <w:rPr>
      <w:shd w:val="clear" w:color="auto" w:fill="FFFFFF"/>
    </w:rPr>
  </w:style>
  <w:style w:type="paragraph" w:customStyle="1" w:styleId="ListParagraph1">
    <w:name w:val="List Paragraph1"/>
    <w:basedOn w:val="Normal"/>
    <w:uiPriority w:val="34"/>
    <w:qFormat/>
    <w:rsid w:val="0047684C"/>
    <w:pPr>
      <w:spacing w:after="0" w:line="240" w:lineRule="auto"/>
      <w:ind w:left="720"/>
      <w:contextualSpacing/>
    </w:pPr>
    <w:rPr>
      <w:rFonts w:ascii="Times New Roman" w:eastAsia="Times New Roman" w:hAnsi="Times New Roman" w:cs="Times New Roman"/>
      <w:sz w:val="24"/>
      <w:szCs w:val="20"/>
      <w:lang w:val="en-GB"/>
    </w:rPr>
  </w:style>
  <w:style w:type="paragraph" w:customStyle="1" w:styleId="Char">
    <w:name w:val="Char"/>
    <w:basedOn w:val="Normal"/>
    <w:semiHidden/>
    <w:rsid w:val="0047684C"/>
    <w:pPr>
      <w:spacing w:line="240" w:lineRule="exact"/>
    </w:pPr>
    <w:rPr>
      <w:rFonts w:ascii="Tahoma" w:eastAsia="Times New Roman" w:hAnsi="Tahoma" w:cs="Times New Roman"/>
      <w:sz w:val="20"/>
      <w:szCs w:val="20"/>
    </w:rPr>
  </w:style>
  <w:style w:type="paragraph" w:styleId="HTMLPreformatted">
    <w:name w:val="HTML Preformatted"/>
    <w:basedOn w:val="Normal"/>
    <w:link w:val="HTMLPreformattedChar"/>
    <w:uiPriority w:val="99"/>
    <w:unhideWhenUsed/>
    <w:rsid w:val="00476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7684C"/>
    <w:rPr>
      <w:rFonts w:ascii="Courier New" w:eastAsia="Times New Roman" w:hAnsi="Courier New" w:cs="Courier New"/>
      <w:sz w:val="20"/>
      <w:szCs w:val="20"/>
    </w:rPr>
  </w:style>
  <w:style w:type="character" w:customStyle="1" w:styleId="apple-converted-space">
    <w:name w:val="apple-converted-space"/>
    <w:basedOn w:val="DefaultParagraphFont"/>
    <w:rsid w:val="0047684C"/>
  </w:style>
  <w:style w:type="paragraph" w:customStyle="1" w:styleId="Default">
    <w:name w:val="Default"/>
    <w:rsid w:val="0047684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rialsmalltext">
    <w:name w:val="arialsmalltext"/>
    <w:basedOn w:val="Normal"/>
    <w:rsid w:val="0047684C"/>
    <w:pPr>
      <w:spacing w:before="100" w:beforeAutospacing="1" w:after="100" w:afterAutospacing="1" w:line="240" w:lineRule="auto"/>
    </w:pPr>
    <w:rPr>
      <w:rFonts w:ascii="Arial" w:eastAsia="Times New Roman" w:hAnsi="Arial" w:cs="Arial"/>
      <w:sz w:val="20"/>
      <w:szCs w:val="20"/>
    </w:rPr>
  </w:style>
  <w:style w:type="character" w:customStyle="1" w:styleId="mw-headline">
    <w:name w:val="mw-headline"/>
    <w:basedOn w:val="DefaultParagraphFont"/>
    <w:rsid w:val="0047684C"/>
  </w:style>
  <w:style w:type="table" w:customStyle="1" w:styleId="TableGrid4">
    <w:name w:val="Table Grid4"/>
    <w:basedOn w:val="TableNormal"/>
    <w:next w:val="TableGrid"/>
    <w:uiPriority w:val="59"/>
    <w:rsid w:val="00476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2D7C3E"/>
  </w:style>
  <w:style w:type="table" w:customStyle="1" w:styleId="TableGrid5">
    <w:name w:val="Table Grid5"/>
    <w:basedOn w:val="TableNormal"/>
    <w:next w:val="TableGrid"/>
    <w:uiPriority w:val="59"/>
    <w:rsid w:val="002D7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B7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D15B63"/>
    <w:pPr>
      <w:overflowPunct w:val="0"/>
      <w:autoSpaceDE w:val="0"/>
      <w:autoSpaceDN w:val="0"/>
      <w:adjustRightInd w:val="0"/>
      <w:spacing w:after="0" w:line="240" w:lineRule="auto"/>
      <w:ind w:left="360" w:hanging="360"/>
      <w:textAlignment w:val="baseline"/>
    </w:pPr>
    <w:rPr>
      <w:rFonts w:ascii="Tms Rmn" w:eastAsia="Times New Roman" w:hAnsi="Tms Rmn" w:cs="Times New Roman"/>
      <w:sz w:val="20"/>
      <w:szCs w:val="20"/>
    </w:rPr>
  </w:style>
  <w:style w:type="paragraph" w:styleId="List2">
    <w:name w:val="List 2"/>
    <w:basedOn w:val="Normal"/>
    <w:rsid w:val="00D15B63"/>
    <w:pPr>
      <w:overflowPunct w:val="0"/>
      <w:autoSpaceDE w:val="0"/>
      <w:autoSpaceDN w:val="0"/>
      <w:adjustRightInd w:val="0"/>
      <w:spacing w:after="0" w:line="240" w:lineRule="auto"/>
      <w:ind w:left="720" w:hanging="360"/>
      <w:textAlignment w:val="baseline"/>
    </w:pPr>
    <w:rPr>
      <w:rFonts w:ascii="Tms Rmn" w:eastAsia="Times New Roman" w:hAnsi="Tms Rmn" w:cs="Times New Roman"/>
      <w:sz w:val="20"/>
      <w:szCs w:val="20"/>
    </w:rPr>
  </w:style>
  <w:style w:type="paragraph" w:styleId="BodyTextFirstIndent">
    <w:name w:val="Body Text First Indent"/>
    <w:basedOn w:val="BodyText"/>
    <w:link w:val="BodyTextFirstIndentChar"/>
    <w:rsid w:val="00D15B63"/>
    <w:pPr>
      <w:overflowPunct w:val="0"/>
      <w:autoSpaceDE w:val="0"/>
      <w:autoSpaceDN w:val="0"/>
      <w:adjustRightInd w:val="0"/>
      <w:ind w:firstLine="210"/>
      <w:textAlignment w:val="baseline"/>
    </w:pPr>
    <w:rPr>
      <w:rFonts w:ascii="Tms Rmn" w:hAnsi="Tms Rmn"/>
      <w:szCs w:val="20"/>
    </w:rPr>
  </w:style>
  <w:style w:type="character" w:customStyle="1" w:styleId="BodyTextFirstIndentChar">
    <w:name w:val="Body Text First Indent Char"/>
    <w:basedOn w:val="BodyTextChar"/>
    <w:link w:val="BodyTextFirstIndent"/>
    <w:rsid w:val="00D15B63"/>
    <w:rPr>
      <w:rFonts w:ascii="Tms Rmn" w:eastAsia="Times New Roman" w:hAnsi="Tms Rmn" w:cs="Times New Roman"/>
      <w:sz w:val="24"/>
      <w:szCs w:val="20"/>
    </w:rPr>
  </w:style>
  <w:style w:type="paragraph" w:styleId="BodyTextIndent">
    <w:name w:val="Body Text Indent"/>
    <w:basedOn w:val="Normal"/>
    <w:link w:val="BodyTextIndentChar"/>
    <w:uiPriority w:val="99"/>
    <w:semiHidden/>
    <w:unhideWhenUsed/>
    <w:rsid w:val="00D15B63"/>
    <w:pPr>
      <w:overflowPunct w:val="0"/>
      <w:autoSpaceDE w:val="0"/>
      <w:autoSpaceDN w:val="0"/>
      <w:adjustRightInd w:val="0"/>
      <w:spacing w:after="120" w:line="240" w:lineRule="auto"/>
      <w:ind w:left="360"/>
      <w:textAlignment w:val="baseline"/>
    </w:pPr>
    <w:rPr>
      <w:rFonts w:ascii="Tms Rmn" w:eastAsia="Times New Roman" w:hAnsi="Tms Rmn" w:cs="Times New Roman"/>
      <w:sz w:val="20"/>
      <w:szCs w:val="20"/>
    </w:rPr>
  </w:style>
  <w:style w:type="character" w:customStyle="1" w:styleId="BodyTextIndentChar">
    <w:name w:val="Body Text Indent Char"/>
    <w:basedOn w:val="DefaultParagraphFont"/>
    <w:link w:val="BodyTextIndent"/>
    <w:uiPriority w:val="99"/>
    <w:semiHidden/>
    <w:rsid w:val="00D15B63"/>
    <w:rPr>
      <w:rFonts w:ascii="Tms Rmn" w:eastAsia="Times New Roman" w:hAnsi="Tms Rmn" w:cs="Times New Roman"/>
      <w:sz w:val="20"/>
      <w:szCs w:val="20"/>
    </w:rPr>
  </w:style>
  <w:style w:type="paragraph" w:styleId="BodyTextFirstIndent2">
    <w:name w:val="Body Text First Indent 2"/>
    <w:basedOn w:val="BodyTextIndent"/>
    <w:link w:val="BodyTextFirstIndent2Char"/>
    <w:rsid w:val="00D15B63"/>
    <w:pPr>
      <w:ind w:firstLine="210"/>
    </w:pPr>
  </w:style>
  <w:style w:type="character" w:customStyle="1" w:styleId="BodyTextFirstIndent2Char">
    <w:name w:val="Body Text First Indent 2 Char"/>
    <w:basedOn w:val="BodyTextIndentChar"/>
    <w:link w:val="BodyTextFirstIndent2"/>
    <w:rsid w:val="00D15B63"/>
    <w:rPr>
      <w:rFonts w:ascii="Tms Rmn" w:eastAsia="Times New Roman" w:hAnsi="Tms Rmn" w:cs="Times New Roman"/>
      <w:sz w:val="20"/>
      <w:szCs w:val="20"/>
    </w:rPr>
  </w:style>
  <w:style w:type="table" w:customStyle="1" w:styleId="TableGrid7">
    <w:name w:val="Table Grid7"/>
    <w:basedOn w:val="TableNormal"/>
    <w:next w:val="TableGrid"/>
    <w:uiPriority w:val="59"/>
    <w:rsid w:val="00D15B6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15B63"/>
    <w:rPr>
      <w:color w:val="808080"/>
    </w:rPr>
  </w:style>
  <w:style w:type="paragraph" w:customStyle="1" w:styleId="D2CC0B6B44A644CB9165D72AE26434DF">
    <w:name w:val="D2CC0B6B44A644CB9165D72AE26434DF"/>
    <w:rsid w:val="001E7407"/>
    <w:pPr>
      <w:spacing w:after="200" w:line="276" w:lineRule="auto"/>
    </w:pPr>
    <w:rPr>
      <w:rFonts w:eastAsiaTheme="minorEastAsia"/>
      <w:lang w:eastAsia="ja-JP"/>
    </w:rPr>
  </w:style>
  <w:style w:type="paragraph" w:customStyle="1" w:styleId="B3711001DC9A4C11A6314D6F32AB03C0">
    <w:name w:val="B3711001DC9A4C11A6314D6F32AB03C0"/>
    <w:rsid w:val="001E7407"/>
    <w:pPr>
      <w:spacing w:after="200" w:line="276" w:lineRule="auto"/>
    </w:pPr>
    <w:rPr>
      <w:rFonts w:eastAsiaTheme="minorEastAsia"/>
      <w:lang w:eastAsia="ja-JP"/>
    </w:rPr>
  </w:style>
  <w:style w:type="character" w:styleId="FootnoteReference">
    <w:name w:val="footnote reference"/>
    <w:basedOn w:val="DefaultParagraphFont"/>
    <w:uiPriority w:val="99"/>
    <w:semiHidden/>
    <w:unhideWhenUsed/>
    <w:rsid w:val="00236F04"/>
    <w:rPr>
      <w:vertAlign w:val="superscript"/>
    </w:rPr>
  </w:style>
  <w:style w:type="character" w:customStyle="1" w:styleId="UnresolvedMention1">
    <w:name w:val="Unresolved Mention1"/>
    <w:basedOn w:val="DefaultParagraphFont"/>
    <w:uiPriority w:val="99"/>
    <w:semiHidden/>
    <w:unhideWhenUsed/>
    <w:rsid w:val="00236F04"/>
    <w:rPr>
      <w:color w:val="605E5C"/>
      <w:shd w:val="clear" w:color="auto" w:fill="E1DFDD"/>
    </w:rPr>
  </w:style>
  <w:style w:type="paragraph" w:styleId="TOC1">
    <w:name w:val="toc 1"/>
    <w:basedOn w:val="Normal"/>
    <w:next w:val="Normal"/>
    <w:autoRedefine/>
    <w:uiPriority w:val="39"/>
    <w:unhideWhenUsed/>
    <w:rsid w:val="00236F04"/>
    <w:pPr>
      <w:spacing w:after="100"/>
    </w:pPr>
  </w:style>
  <w:style w:type="character" w:customStyle="1" w:styleId="FollowedHyperlink1">
    <w:name w:val="FollowedHyperlink1"/>
    <w:basedOn w:val="DefaultParagraphFont"/>
    <w:uiPriority w:val="99"/>
    <w:semiHidden/>
    <w:unhideWhenUsed/>
    <w:rsid w:val="00236F04"/>
    <w:rPr>
      <w:color w:val="954F72"/>
      <w:u w:val="single"/>
    </w:rPr>
  </w:style>
  <w:style w:type="paragraph" w:styleId="TOC2">
    <w:name w:val="toc 2"/>
    <w:basedOn w:val="Normal"/>
    <w:next w:val="Normal"/>
    <w:autoRedefine/>
    <w:uiPriority w:val="39"/>
    <w:unhideWhenUsed/>
    <w:rsid w:val="00236F04"/>
    <w:pPr>
      <w:spacing w:after="100"/>
      <w:ind w:left="220"/>
    </w:pPr>
  </w:style>
  <w:style w:type="paragraph" w:customStyle="1" w:styleId="yiv2169166337ydp9448da72msonormal">
    <w:name w:val="yiv2169166337ydp9448da72msonormal"/>
    <w:basedOn w:val="Normal"/>
    <w:rsid w:val="00236F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Normal 1 Char,NumberedParas Char,Dot pt Char,F5 List Paragraph Char,List Paragraph Char Char Char Char,Indicator Text Char,Numbered Para 1 Char,Bullet 1 Char,Bullet Points Char,MAIN CONTENT Char,Párrafo de lista Char,Bullets Char"/>
    <w:link w:val="ListParagraph"/>
    <w:uiPriority w:val="34"/>
    <w:qFormat/>
    <w:locked/>
    <w:rsid w:val="00236F04"/>
  </w:style>
  <w:style w:type="paragraph" w:customStyle="1" w:styleId="Skrapar">
    <w:name w:val="Skrapar"/>
    <w:basedOn w:val="NoSpacing"/>
    <w:link w:val="SkraparChar"/>
    <w:qFormat/>
    <w:rsid w:val="00236F04"/>
    <w:rPr>
      <w:rFonts w:ascii="Times New Roman" w:eastAsia="Times New Roman" w:hAnsi="Times New Roman" w:cs="Times New Roman"/>
      <w:sz w:val="24"/>
      <w:szCs w:val="24"/>
      <w:lang w:val="sq-AL"/>
    </w:rPr>
  </w:style>
  <w:style w:type="character" w:customStyle="1" w:styleId="SkraparChar">
    <w:name w:val="Skrapar Char"/>
    <w:basedOn w:val="NoSpacingChar"/>
    <w:link w:val="Skrapar"/>
    <w:rsid w:val="00236F04"/>
    <w:rPr>
      <w:rFonts w:ascii="Times New Roman" w:eastAsia="Times New Roman" w:hAnsi="Times New Roman" w:cs="Times New Roman"/>
      <w:sz w:val="24"/>
      <w:szCs w:val="24"/>
      <w:lang w:val="sq-AL"/>
    </w:rPr>
  </w:style>
  <w:style w:type="character" w:customStyle="1" w:styleId="UnresolvedMention2">
    <w:name w:val="Unresolved Mention2"/>
    <w:basedOn w:val="DefaultParagraphFont"/>
    <w:uiPriority w:val="99"/>
    <w:semiHidden/>
    <w:unhideWhenUsed/>
    <w:rsid w:val="00236F04"/>
    <w:rPr>
      <w:color w:val="605E5C"/>
      <w:shd w:val="clear" w:color="auto" w:fill="E1DFDD"/>
    </w:rPr>
  </w:style>
  <w:style w:type="character" w:styleId="FollowedHyperlink">
    <w:name w:val="FollowedHyperlink"/>
    <w:basedOn w:val="DefaultParagraphFont"/>
    <w:uiPriority w:val="99"/>
    <w:semiHidden/>
    <w:unhideWhenUsed/>
    <w:rsid w:val="00236F04"/>
    <w:rPr>
      <w:color w:val="954F72" w:themeColor="followedHyperlink"/>
      <w:u w:val="single"/>
    </w:rPr>
  </w:style>
  <w:style w:type="table" w:customStyle="1" w:styleId="GridTable5Dark-Accent11">
    <w:name w:val="Grid Table 5 Dark - Accent 11"/>
    <w:basedOn w:val="TableNormal"/>
    <w:next w:val="GridTable5Dark-Accent12"/>
    <w:uiPriority w:val="50"/>
    <w:rsid w:val="008E73A1"/>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2">
    <w:name w:val="Grid Table 5 Dark - Accent 12"/>
    <w:basedOn w:val="TableNormal"/>
    <w:uiPriority w:val="50"/>
    <w:rsid w:val="008E73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8">
    <w:name w:val="Table Grid8"/>
    <w:basedOn w:val="TableNormal"/>
    <w:next w:val="TableGrid"/>
    <w:uiPriority w:val="59"/>
    <w:rsid w:val="008E7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E7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5E2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061DF1"/>
    <w:pPr>
      <w:spacing w:after="0" w:line="240" w:lineRule="auto"/>
    </w:pPr>
    <w:rPr>
      <w:rFonts w:eastAsia="Times New Roman"/>
      <w:lang w:val="fr-C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1">
    <w:name w:val="Grid Table 4 - Accent 511"/>
    <w:basedOn w:val="TableNormal"/>
    <w:uiPriority w:val="49"/>
    <w:rsid w:val="006F11E9"/>
    <w:pPr>
      <w:spacing w:after="0" w:line="240" w:lineRule="auto"/>
    </w:pPr>
    <w:rPr>
      <w:rFonts w:eastAsia="Times New Roman"/>
      <w:lang w:val="sq"/>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10">
    <w:name w:val="Table Grid110"/>
    <w:basedOn w:val="TableNormal"/>
    <w:uiPriority w:val="59"/>
    <w:rsid w:val="006042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22D6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505FE"/>
    <w:pPr>
      <w:widowControl w:val="0"/>
      <w:autoSpaceDE w:val="0"/>
      <w:autoSpaceDN w:val="0"/>
      <w:spacing w:after="0" w:line="268" w:lineRule="exact"/>
      <w:ind w:left="105"/>
    </w:pPr>
    <w:rPr>
      <w:rFonts w:ascii="Times New Roman" w:eastAsia="Times New Roman" w:hAnsi="Times New Roman" w:cs="Times New Roman"/>
      <w:lang w:val="sq-AL"/>
    </w:rPr>
  </w:style>
  <w:style w:type="paragraph" w:styleId="ListBullet">
    <w:name w:val="List Bullet"/>
    <w:basedOn w:val="Normal"/>
    <w:semiHidden/>
    <w:unhideWhenUsed/>
    <w:rsid w:val="0036740A"/>
    <w:pPr>
      <w:tabs>
        <w:tab w:val="num" w:pos="360"/>
      </w:tabs>
      <w:spacing w:after="0" w:line="240" w:lineRule="auto"/>
      <w:ind w:left="360" w:hanging="360"/>
      <w:jc w:val="both"/>
    </w:pPr>
    <w:rPr>
      <w:rFonts w:ascii="Times New Roman" w:eastAsia="Batang" w:hAnsi="Times New Roman" w:cs="Times New Roman"/>
      <w:sz w:val="20"/>
      <w:szCs w:val="20"/>
      <w:lang w:val="it-IT"/>
    </w:rPr>
  </w:style>
  <w:style w:type="table" w:customStyle="1" w:styleId="TableGrid26">
    <w:name w:val="Table Grid26"/>
    <w:basedOn w:val="TableNormal"/>
    <w:uiPriority w:val="59"/>
    <w:rsid w:val="0064375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kekvd">
    <w:name w:val="vkekvd"/>
    <w:basedOn w:val="DefaultParagraphFont"/>
    <w:rsid w:val="002F3F5A"/>
  </w:style>
  <w:style w:type="table" w:customStyle="1" w:styleId="TableGrid12">
    <w:name w:val="Table Grid12"/>
    <w:basedOn w:val="TableNormal"/>
    <w:next w:val="TableGrid"/>
    <w:uiPriority w:val="39"/>
    <w:rsid w:val="00316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DefaultParagraphFont"/>
    <w:rsid w:val="00D72AC3"/>
  </w:style>
  <w:style w:type="table" w:customStyle="1" w:styleId="TableGrid13">
    <w:name w:val="Table Grid13"/>
    <w:basedOn w:val="TableNormal"/>
    <w:next w:val="TableGrid"/>
    <w:uiPriority w:val="39"/>
    <w:rsid w:val="00AE5C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2C4E4E"/>
    <w:pPr>
      <w:spacing w:after="0" w:line="240" w:lineRule="auto"/>
    </w:pPr>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512">
      <w:bodyDiv w:val="1"/>
      <w:marLeft w:val="0"/>
      <w:marRight w:val="0"/>
      <w:marTop w:val="0"/>
      <w:marBottom w:val="0"/>
      <w:divBdr>
        <w:top w:val="none" w:sz="0" w:space="0" w:color="auto"/>
        <w:left w:val="none" w:sz="0" w:space="0" w:color="auto"/>
        <w:bottom w:val="none" w:sz="0" w:space="0" w:color="auto"/>
        <w:right w:val="none" w:sz="0" w:space="0" w:color="auto"/>
      </w:divBdr>
    </w:div>
    <w:div w:id="50547737">
      <w:bodyDiv w:val="1"/>
      <w:marLeft w:val="0"/>
      <w:marRight w:val="0"/>
      <w:marTop w:val="0"/>
      <w:marBottom w:val="0"/>
      <w:divBdr>
        <w:top w:val="none" w:sz="0" w:space="0" w:color="auto"/>
        <w:left w:val="none" w:sz="0" w:space="0" w:color="auto"/>
        <w:bottom w:val="none" w:sz="0" w:space="0" w:color="auto"/>
        <w:right w:val="none" w:sz="0" w:space="0" w:color="auto"/>
      </w:divBdr>
    </w:div>
    <w:div w:id="116877148">
      <w:bodyDiv w:val="1"/>
      <w:marLeft w:val="0"/>
      <w:marRight w:val="0"/>
      <w:marTop w:val="0"/>
      <w:marBottom w:val="0"/>
      <w:divBdr>
        <w:top w:val="none" w:sz="0" w:space="0" w:color="auto"/>
        <w:left w:val="none" w:sz="0" w:space="0" w:color="auto"/>
        <w:bottom w:val="none" w:sz="0" w:space="0" w:color="auto"/>
        <w:right w:val="none" w:sz="0" w:space="0" w:color="auto"/>
      </w:divBdr>
    </w:div>
    <w:div w:id="126705360">
      <w:bodyDiv w:val="1"/>
      <w:marLeft w:val="0"/>
      <w:marRight w:val="0"/>
      <w:marTop w:val="0"/>
      <w:marBottom w:val="0"/>
      <w:divBdr>
        <w:top w:val="none" w:sz="0" w:space="0" w:color="auto"/>
        <w:left w:val="none" w:sz="0" w:space="0" w:color="auto"/>
        <w:bottom w:val="none" w:sz="0" w:space="0" w:color="auto"/>
        <w:right w:val="none" w:sz="0" w:space="0" w:color="auto"/>
      </w:divBdr>
    </w:div>
    <w:div w:id="152068145">
      <w:bodyDiv w:val="1"/>
      <w:marLeft w:val="0"/>
      <w:marRight w:val="0"/>
      <w:marTop w:val="0"/>
      <w:marBottom w:val="0"/>
      <w:divBdr>
        <w:top w:val="none" w:sz="0" w:space="0" w:color="auto"/>
        <w:left w:val="none" w:sz="0" w:space="0" w:color="auto"/>
        <w:bottom w:val="none" w:sz="0" w:space="0" w:color="auto"/>
        <w:right w:val="none" w:sz="0" w:space="0" w:color="auto"/>
      </w:divBdr>
    </w:div>
    <w:div w:id="160240484">
      <w:bodyDiv w:val="1"/>
      <w:marLeft w:val="0"/>
      <w:marRight w:val="0"/>
      <w:marTop w:val="0"/>
      <w:marBottom w:val="0"/>
      <w:divBdr>
        <w:top w:val="none" w:sz="0" w:space="0" w:color="auto"/>
        <w:left w:val="none" w:sz="0" w:space="0" w:color="auto"/>
        <w:bottom w:val="none" w:sz="0" w:space="0" w:color="auto"/>
        <w:right w:val="none" w:sz="0" w:space="0" w:color="auto"/>
      </w:divBdr>
    </w:div>
    <w:div w:id="191263711">
      <w:bodyDiv w:val="1"/>
      <w:marLeft w:val="0"/>
      <w:marRight w:val="0"/>
      <w:marTop w:val="0"/>
      <w:marBottom w:val="0"/>
      <w:divBdr>
        <w:top w:val="none" w:sz="0" w:space="0" w:color="auto"/>
        <w:left w:val="none" w:sz="0" w:space="0" w:color="auto"/>
        <w:bottom w:val="none" w:sz="0" w:space="0" w:color="auto"/>
        <w:right w:val="none" w:sz="0" w:space="0" w:color="auto"/>
      </w:divBdr>
    </w:div>
    <w:div w:id="192615792">
      <w:bodyDiv w:val="1"/>
      <w:marLeft w:val="0"/>
      <w:marRight w:val="0"/>
      <w:marTop w:val="0"/>
      <w:marBottom w:val="0"/>
      <w:divBdr>
        <w:top w:val="none" w:sz="0" w:space="0" w:color="auto"/>
        <w:left w:val="none" w:sz="0" w:space="0" w:color="auto"/>
        <w:bottom w:val="none" w:sz="0" w:space="0" w:color="auto"/>
        <w:right w:val="none" w:sz="0" w:space="0" w:color="auto"/>
      </w:divBdr>
    </w:div>
    <w:div w:id="244730889">
      <w:bodyDiv w:val="1"/>
      <w:marLeft w:val="0"/>
      <w:marRight w:val="0"/>
      <w:marTop w:val="0"/>
      <w:marBottom w:val="0"/>
      <w:divBdr>
        <w:top w:val="none" w:sz="0" w:space="0" w:color="auto"/>
        <w:left w:val="none" w:sz="0" w:space="0" w:color="auto"/>
        <w:bottom w:val="none" w:sz="0" w:space="0" w:color="auto"/>
        <w:right w:val="none" w:sz="0" w:space="0" w:color="auto"/>
      </w:divBdr>
    </w:div>
    <w:div w:id="295987683">
      <w:bodyDiv w:val="1"/>
      <w:marLeft w:val="0"/>
      <w:marRight w:val="0"/>
      <w:marTop w:val="0"/>
      <w:marBottom w:val="0"/>
      <w:divBdr>
        <w:top w:val="none" w:sz="0" w:space="0" w:color="auto"/>
        <w:left w:val="none" w:sz="0" w:space="0" w:color="auto"/>
        <w:bottom w:val="none" w:sz="0" w:space="0" w:color="auto"/>
        <w:right w:val="none" w:sz="0" w:space="0" w:color="auto"/>
      </w:divBdr>
    </w:div>
    <w:div w:id="300234035">
      <w:bodyDiv w:val="1"/>
      <w:marLeft w:val="0"/>
      <w:marRight w:val="0"/>
      <w:marTop w:val="0"/>
      <w:marBottom w:val="0"/>
      <w:divBdr>
        <w:top w:val="none" w:sz="0" w:space="0" w:color="auto"/>
        <w:left w:val="none" w:sz="0" w:space="0" w:color="auto"/>
        <w:bottom w:val="none" w:sz="0" w:space="0" w:color="auto"/>
        <w:right w:val="none" w:sz="0" w:space="0" w:color="auto"/>
      </w:divBdr>
    </w:div>
    <w:div w:id="300504538">
      <w:bodyDiv w:val="1"/>
      <w:marLeft w:val="0"/>
      <w:marRight w:val="0"/>
      <w:marTop w:val="0"/>
      <w:marBottom w:val="0"/>
      <w:divBdr>
        <w:top w:val="none" w:sz="0" w:space="0" w:color="auto"/>
        <w:left w:val="none" w:sz="0" w:space="0" w:color="auto"/>
        <w:bottom w:val="none" w:sz="0" w:space="0" w:color="auto"/>
        <w:right w:val="none" w:sz="0" w:space="0" w:color="auto"/>
      </w:divBdr>
    </w:div>
    <w:div w:id="310717385">
      <w:bodyDiv w:val="1"/>
      <w:marLeft w:val="0"/>
      <w:marRight w:val="0"/>
      <w:marTop w:val="0"/>
      <w:marBottom w:val="0"/>
      <w:divBdr>
        <w:top w:val="none" w:sz="0" w:space="0" w:color="auto"/>
        <w:left w:val="none" w:sz="0" w:space="0" w:color="auto"/>
        <w:bottom w:val="none" w:sz="0" w:space="0" w:color="auto"/>
        <w:right w:val="none" w:sz="0" w:space="0" w:color="auto"/>
      </w:divBdr>
    </w:div>
    <w:div w:id="311830971">
      <w:bodyDiv w:val="1"/>
      <w:marLeft w:val="0"/>
      <w:marRight w:val="0"/>
      <w:marTop w:val="0"/>
      <w:marBottom w:val="0"/>
      <w:divBdr>
        <w:top w:val="none" w:sz="0" w:space="0" w:color="auto"/>
        <w:left w:val="none" w:sz="0" w:space="0" w:color="auto"/>
        <w:bottom w:val="none" w:sz="0" w:space="0" w:color="auto"/>
        <w:right w:val="none" w:sz="0" w:space="0" w:color="auto"/>
      </w:divBdr>
    </w:div>
    <w:div w:id="318272701">
      <w:bodyDiv w:val="1"/>
      <w:marLeft w:val="0"/>
      <w:marRight w:val="0"/>
      <w:marTop w:val="0"/>
      <w:marBottom w:val="0"/>
      <w:divBdr>
        <w:top w:val="none" w:sz="0" w:space="0" w:color="auto"/>
        <w:left w:val="none" w:sz="0" w:space="0" w:color="auto"/>
        <w:bottom w:val="none" w:sz="0" w:space="0" w:color="auto"/>
        <w:right w:val="none" w:sz="0" w:space="0" w:color="auto"/>
      </w:divBdr>
    </w:div>
    <w:div w:id="326859372">
      <w:bodyDiv w:val="1"/>
      <w:marLeft w:val="0"/>
      <w:marRight w:val="0"/>
      <w:marTop w:val="0"/>
      <w:marBottom w:val="0"/>
      <w:divBdr>
        <w:top w:val="none" w:sz="0" w:space="0" w:color="auto"/>
        <w:left w:val="none" w:sz="0" w:space="0" w:color="auto"/>
        <w:bottom w:val="none" w:sz="0" w:space="0" w:color="auto"/>
        <w:right w:val="none" w:sz="0" w:space="0" w:color="auto"/>
      </w:divBdr>
    </w:div>
    <w:div w:id="347878272">
      <w:bodyDiv w:val="1"/>
      <w:marLeft w:val="0"/>
      <w:marRight w:val="0"/>
      <w:marTop w:val="0"/>
      <w:marBottom w:val="0"/>
      <w:divBdr>
        <w:top w:val="none" w:sz="0" w:space="0" w:color="auto"/>
        <w:left w:val="none" w:sz="0" w:space="0" w:color="auto"/>
        <w:bottom w:val="none" w:sz="0" w:space="0" w:color="auto"/>
        <w:right w:val="none" w:sz="0" w:space="0" w:color="auto"/>
      </w:divBdr>
    </w:div>
    <w:div w:id="376203099">
      <w:bodyDiv w:val="1"/>
      <w:marLeft w:val="0"/>
      <w:marRight w:val="0"/>
      <w:marTop w:val="0"/>
      <w:marBottom w:val="0"/>
      <w:divBdr>
        <w:top w:val="none" w:sz="0" w:space="0" w:color="auto"/>
        <w:left w:val="none" w:sz="0" w:space="0" w:color="auto"/>
        <w:bottom w:val="none" w:sz="0" w:space="0" w:color="auto"/>
        <w:right w:val="none" w:sz="0" w:space="0" w:color="auto"/>
      </w:divBdr>
    </w:div>
    <w:div w:id="378407339">
      <w:bodyDiv w:val="1"/>
      <w:marLeft w:val="0"/>
      <w:marRight w:val="0"/>
      <w:marTop w:val="0"/>
      <w:marBottom w:val="0"/>
      <w:divBdr>
        <w:top w:val="none" w:sz="0" w:space="0" w:color="auto"/>
        <w:left w:val="none" w:sz="0" w:space="0" w:color="auto"/>
        <w:bottom w:val="none" w:sz="0" w:space="0" w:color="auto"/>
        <w:right w:val="none" w:sz="0" w:space="0" w:color="auto"/>
      </w:divBdr>
    </w:div>
    <w:div w:id="438792199">
      <w:bodyDiv w:val="1"/>
      <w:marLeft w:val="0"/>
      <w:marRight w:val="0"/>
      <w:marTop w:val="0"/>
      <w:marBottom w:val="0"/>
      <w:divBdr>
        <w:top w:val="none" w:sz="0" w:space="0" w:color="auto"/>
        <w:left w:val="none" w:sz="0" w:space="0" w:color="auto"/>
        <w:bottom w:val="none" w:sz="0" w:space="0" w:color="auto"/>
        <w:right w:val="none" w:sz="0" w:space="0" w:color="auto"/>
      </w:divBdr>
    </w:div>
    <w:div w:id="440271665">
      <w:bodyDiv w:val="1"/>
      <w:marLeft w:val="0"/>
      <w:marRight w:val="0"/>
      <w:marTop w:val="0"/>
      <w:marBottom w:val="0"/>
      <w:divBdr>
        <w:top w:val="none" w:sz="0" w:space="0" w:color="auto"/>
        <w:left w:val="none" w:sz="0" w:space="0" w:color="auto"/>
        <w:bottom w:val="none" w:sz="0" w:space="0" w:color="auto"/>
        <w:right w:val="none" w:sz="0" w:space="0" w:color="auto"/>
      </w:divBdr>
    </w:div>
    <w:div w:id="462500850">
      <w:bodyDiv w:val="1"/>
      <w:marLeft w:val="0"/>
      <w:marRight w:val="0"/>
      <w:marTop w:val="0"/>
      <w:marBottom w:val="0"/>
      <w:divBdr>
        <w:top w:val="none" w:sz="0" w:space="0" w:color="auto"/>
        <w:left w:val="none" w:sz="0" w:space="0" w:color="auto"/>
        <w:bottom w:val="none" w:sz="0" w:space="0" w:color="auto"/>
        <w:right w:val="none" w:sz="0" w:space="0" w:color="auto"/>
      </w:divBdr>
    </w:div>
    <w:div w:id="490101193">
      <w:bodyDiv w:val="1"/>
      <w:marLeft w:val="0"/>
      <w:marRight w:val="0"/>
      <w:marTop w:val="0"/>
      <w:marBottom w:val="0"/>
      <w:divBdr>
        <w:top w:val="none" w:sz="0" w:space="0" w:color="auto"/>
        <w:left w:val="none" w:sz="0" w:space="0" w:color="auto"/>
        <w:bottom w:val="none" w:sz="0" w:space="0" w:color="auto"/>
        <w:right w:val="none" w:sz="0" w:space="0" w:color="auto"/>
      </w:divBdr>
    </w:div>
    <w:div w:id="500238538">
      <w:bodyDiv w:val="1"/>
      <w:marLeft w:val="0"/>
      <w:marRight w:val="0"/>
      <w:marTop w:val="0"/>
      <w:marBottom w:val="0"/>
      <w:divBdr>
        <w:top w:val="none" w:sz="0" w:space="0" w:color="auto"/>
        <w:left w:val="none" w:sz="0" w:space="0" w:color="auto"/>
        <w:bottom w:val="none" w:sz="0" w:space="0" w:color="auto"/>
        <w:right w:val="none" w:sz="0" w:space="0" w:color="auto"/>
      </w:divBdr>
    </w:div>
    <w:div w:id="509757993">
      <w:bodyDiv w:val="1"/>
      <w:marLeft w:val="0"/>
      <w:marRight w:val="0"/>
      <w:marTop w:val="0"/>
      <w:marBottom w:val="0"/>
      <w:divBdr>
        <w:top w:val="none" w:sz="0" w:space="0" w:color="auto"/>
        <w:left w:val="none" w:sz="0" w:space="0" w:color="auto"/>
        <w:bottom w:val="none" w:sz="0" w:space="0" w:color="auto"/>
        <w:right w:val="none" w:sz="0" w:space="0" w:color="auto"/>
      </w:divBdr>
    </w:div>
    <w:div w:id="553543399">
      <w:bodyDiv w:val="1"/>
      <w:marLeft w:val="0"/>
      <w:marRight w:val="0"/>
      <w:marTop w:val="0"/>
      <w:marBottom w:val="0"/>
      <w:divBdr>
        <w:top w:val="none" w:sz="0" w:space="0" w:color="auto"/>
        <w:left w:val="none" w:sz="0" w:space="0" w:color="auto"/>
        <w:bottom w:val="none" w:sz="0" w:space="0" w:color="auto"/>
        <w:right w:val="none" w:sz="0" w:space="0" w:color="auto"/>
      </w:divBdr>
    </w:div>
    <w:div w:id="584650938">
      <w:bodyDiv w:val="1"/>
      <w:marLeft w:val="0"/>
      <w:marRight w:val="0"/>
      <w:marTop w:val="0"/>
      <w:marBottom w:val="0"/>
      <w:divBdr>
        <w:top w:val="none" w:sz="0" w:space="0" w:color="auto"/>
        <w:left w:val="none" w:sz="0" w:space="0" w:color="auto"/>
        <w:bottom w:val="none" w:sz="0" w:space="0" w:color="auto"/>
        <w:right w:val="none" w:sz="0" w:space="0" w:color="auto"/>
      </w:divBdr>
    </w:div>
    <w:div w:id="586696077">
      <w:bodyDiv w:val="1"/>
      <w:marLeft w:val="0"/>
      <w:marRight w:val="0"/>
      <w:marTop w:val="0"/>
      <w:marBottom w:val="0"/>
      <w:divBdr>
        <w:top w:val="none" w:sz="0" w:space="0" w:color="auto"/>
        <w:left w:val="none" w:sz="0" w:space="0" w:color="auto"/>
        <w:bottom w:val="none" w:sz="0" w:space="0" w:color="auto"/>
        <w:right w:val="none" w:sz="0" w:space="0" w:color="auto"/>
      </w:divBdr>
    </w:div>
    <w:div w:id="594829459">
      <w:bodyDiv w:val="1"/>
      <w:marLeft w:val="0"/>
      <w:marRight w:val="0"/>
      <w:marTop w:val="0"/>
      <w:marBottom w:val="0"/>
      <w:divBdr>
        <w:top w:val="none" w:sz="0" w:space="0" w:color="auto"/>
        <w:left w:val="none" w:sz="0" w:space="0" w:color="auto"/>
        <w:bottom w:val="none" w:sz="0" w:space="0" w:color="auto"/>
        <w:right w:val="none" w:sz="0" w:space="0" w:color="auto"/>
      </w:divBdr>
    </w:div>
    <w:div w:id="631055318">
      <w:bodyDiv w:val="1"/>
      <w:marLeft w:val="0"/>
      <w:marRight w:val="0"/>
      <w:marTop w:val="0"/>
      <w:marBottom w:val="0"/>
      <w:divBdr>
        <w:top w:val="none" w:sz="0" w:space="0" w:color="auto"/>
        <w:left w:val="none" w:sz="0" w:space="0" w:color="auto"/>
        <w:bottom w:val="none" w:sz="0" w:space="0" w:color="auto"/>
        <w:right w:val="none" w:sz="0" w:space="0" w:color="auto"/>
      </w:divBdr>
    </w:div>
    <w:div w:id="631516331">
      <w:bodyDiv w:val="1"/>
      <w:marLeft w:val="0"/>
      <w:marRight w:val="0"/>
      <w:marTop w:val="0"/>
      <w:marBottom w:val="0"/>
      <w:divBdr>
        <w:top w:val="none" w:sz="0" w:space="0" w:color="auto"/>
        <w:left w:val="none" w:sz="0" w:space="0" w:color="auto"/>
        <w:bottom w:val="none" w:sz="0" w:space="0" w:color="auto"/>
        <w:right w:val="none" w:sz="0" w:space="0" w:color="auto"/>
      </w:divBdr>
    </w:div>
    <w:div w:id="637534983">
      <w:bodyDiv w:val="1"/>
      <w:marLeft w:val="0"/>
      <w:marRight w:val="0"/>
      <w:marTop w:val="0"/>
      <w:marBottom w:val="0"/>
      <w:divBdr>
        <w:top w:val="none" w:sz="0" w:space="0" w:color="auto"/>
        <w:left w:val="none" w:sz="0" w:space="0" w:color="auto"/>
        <w:bottom w:val="none" w:sz="0" w:space="0" w:color="auto"/>
        <w:right w:val="none" w:sz="0" w:space="0" w:color="auto"/>
      </w:divBdr>
    </w:div>
    <w:div w:id="641348032">
      <w:bodyDiv w:val="1"/>
      <w:marLeft w:val="0"/>
      <w:marRight w:val="0"/>
      <w:marTop w:val="0"/>
      <w:marBottom w:val="0"/>
      <w:divBdr>
        <w:top w:val="none" w:sz="0" w:space="0" w:color="auto"/>
        <w:left w:val="none" w:sz="0" w:space="0" w:color="auto"/>
        <w:bottom w:val="none" w:sz="0" w:space="0" w:color="auto"/>
        <w:right w:val="none" w:sz="0" w:space="0" w:color="auto"/>
      </w:divBdr>
      <w:divsChild>
        <w:div w:id="96944193">
          <w:marLeft w:val="0"/>
          <w:marRight w:val="0"/>
          <w:marTop w:val="0"/>
          <w:marBottom w:val="0"/>
          <w:divBdr>
            <w:top w:val="none" w:sz="0" w:space="0" w:color="auto"/>
            <w:left w:val="none" w:sz="0" w:space="0" w:color="auto"/>
            <w:bottom w:val="none" w:sz="0" w:space="0" w:color="auto"/>
            <w:right w:val="none" w:sz="0" w:space="0" w:color="auto"/>
          </w:divBdr>
          <w:divsChild>
            <w:div w:id="1295789406">
              <w:marLeft w:val="0"/>
              <w:marRight w:val="0"/>
              <w:marTop w:val="0"/>
              <w:marBottom w:val="0"/>
              <w:divBdr>
                <w:top w:val="none" w:sz="0" w:space="0" w:color="auto"/>
                <w:left w:val="none" w:sz="0" w:space="0" w:color="auto"/>
                <w:bottom w:val="none" w:sz="0" w:space="0" w:color="auto"/>
                <w:right w:val="none" w:sz="0" w:space="0" w:color="auto"/>
              </w:divBdr>
              <w:divsChild>
                <w:div w:id="1763598688">
                  <w:marLeft w:val="0"/>
                  <w:marRight w:val="0"/>
                  <w:marTop w:val="0"/>
                  <w:marBottom w:val="0"/>
                  <w:divBdr>
                    <w:top w:val="none" w:sz="0" w:space="0" w:color="auto"/>
                    <w:left w:val="none" w:sz="0" w:space="0" w:color="auto"/>
                    <w:bottom w:val="none" w:sz="0" w:space="0" w:color="auto"/>
                    <w:right w:val="none" w:sz="0" w:space="0" w:color="auto"/>
                  </w:divBdr>
                  <w:divsChild>
                    <w:div w:id="181629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940347">
      <w:bodyDiv w:val="1"/>
      <w:marLeft w:val="0"/>
      <w:marRight w:val="0"/>
      <w:marTop w:val="0"/>
      <w:marBottom w:val="0"/>
      <w:divBdr>
        <w:top w:val="none" w:sz="0" w:space="0" w:color="auto"/>
        <w:left w:val="none" w:sz="0" w:space="0" w:color="auto"/>
        <w:bottom w:val="none" w:sz="0" w:space="0" w:color="auto"/>
        <w:right w:val="none" w:sz="0" w:space="0" w:color="auto"/>
      </w:divBdr>
    </w:div>
    <w:div w:id="738483012">
      <w:bodyDiv w:val="1"/>
      <w:marLeft w:val="0"/>
      <w:marRight w:val="0"/>
      <w:marTop w:val="0"/>
      <w:marBottom w:val="0"/>
      <w:divBdr>
        <w:top w:val="none" w:sz="0" w:space="0" w:color="auto"/>
        <w:left w:val="none" w:sz="0" w:space="0" w:color="auto"/>
        <w:bottom w:val="none" w:sz="0" w:space="0" w:color="auto"/>
        <w:right w:val="none" w:sz="0" w:space="0" w:color="auto"/>
      </w:divBdr>
      <w:divsChild>
        <w:div w:id="338966890">
          <w:marLeft w:val="0"/>
          <w:marRight w:val="0"/>
          <w:marTop w:val="0"/>
          <w:marBottom w:val="0"/>
          <w:divBdr>
            <w:top w:val="none" w:sz="0" w:space="0" w:color="auto"/>
            <w:left w:val="none" w:sz="0" w:space="0" w:color="auto"/>
            <w:bottom w:val="none" w:sz="0" w:space="0" w:color="auto"/>
            <w:right w:val="none" w:sz="0" w:space="0" w:color="auto"/>
          </w:divBdr>
          <w:divsChild>
            <w:div w:id="446119731">
              <w:marLeft w:val="0"/>
              <w:marRight w:val="0"/>
              <w:marTop w:val="0"/>
              <w:marBottom w:val="0"/>
              <w:divBdr>
                <w:top w:val="none" w:sz="0" w:space="0" w:color="auto"/>
                <w:left w:val="none" w:sz="0" w:space="0" w:color="auto"/>
                <w:bottom w:val="none" w:sz="0" w:space="0" w:color="auto"/>
                <w:right w:val="none" w:sz="0" w:space="0" w:color="auto"/>
              </w:divBdr>
              <w:divsChild>
                <w:div w:id="762918496">
                  <w:marLeft w:val="0"/>
                  <w:marRight w:val="0"/>
                  <w:marTop w:val="0"/>
                  <w:marBottom w:val="0"/>
                  <w:divBdr>
                    <w:top w:val="none" w:sz="0" w:space="0" w:color="auto"/>
                    <w:left w:val="none" w:sz="0" w:space="0" w:color="auto"/>
                    <w:bottom w:val="none" w:sz="0" w:space="0" w:color="auto"/>
                    <w:right w:val="none" w:sz="0" w:space="0" w:color="auto"/>
                  </w:divBdr>
                  <w:divsChild>
                    <w:div w:id="888801335">
                      <w:marLeft w:val="0"/>
                      <w:marRight w:val="0"/>
                      <w:marTop w:val="0"/>
                      <w:marBottom w:val="0"/>
                      <w:divBdr>
                        <w:top w:val="none" w:sz="0" w:space="0" w:color="auto"/>
                        <w:left w:val="none" w:sz="0" w:space="0" w:color="auto"/>
                        <w:bottom w:val="none" w:sz="0" w:space="0" w:color="auto"/>
                        <w:right w:val="none" w:sz="0" w:space="0" w:color="auto"/>
                      </w:divBdr>
                      <w:divsChild>
                        <w:div w:id="1109398486">
                          <w:marLeft w:val="0"/>
                          <w:marRight w:val="0"/>
                          <w:marTop w:val="0"/>
                          <w:marBottom w:val="0"/>
                          <w:divBdr>
                            <w:top w:val="none" w:sz="0" w:space="0" w:color="auto"/>
                            <w:left w:val="none" w:sz="0" w:space="0" w:color="auto"/>
                            <w:bottom w:val="none" w:sz="0" w:space="0" w:color="auto"/>
                            <w:right w:val="none" w:sz="0" w:space="0" w:color="auto"/>
                          </w:divBdr>
                          <w:divsChild>
                            <w:div w:id="1669365167">
                              <w:marLeft w:val="0"/>
                              <w:marRight w:val="0"/>
                              <w:marTop w:val="0"/>
                              <w:marBottom w:val="0"/>
                              <w:divBdr>
                                <w:top w:val="none" w:sz="0" w:space="0" w:color="auto"/>
                                <w:left w:val="none" w:sz="0" w:space="0" w:color="auto"/>
                                <w:bottom w:val="none" w:sz="0" w:space="0" w:color="auto"/>
                                <w:right w:val="none" w:sz="0" w:space="0" w:color="auto"/>
                              </w:divBdr>
                              <w:divsChild>
                                <w:div w:id="1354913540">
                                  <w:marLeft w:val="0"/>
                                  <w:marRight w:val="0"/>
                                  <w:marTop w:val="0"/>
                                  <w:marBottom w:val="0"/>
                                  <w:divBdr>
                                    <w:top w:val="none" w:sz="0" w:space="0" w:color="auto"/>
                                    <w:left w:val="none" w:sz="0" w:space="0" w:color="auto"/>
                                    <w:bottom w:val="none" w:sz="0" w:space="0" w:color="auto"/>
                                    <w:right w:val="none" w:sz="0" w:space="0" w:color="auto"/>
                                  </w:divBdr>
                                  <w:divsChild>
                                    <w:div w:id="116485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368571">
                          <w:marLeft w:val="0"/>
                          <w:marRight w:val="0"/>
                          <w:marTop w:val="0"/>
                          <w:marBottom w:val="0"/>
                          <w:divBdr>
                            <w:top w:val="none" w:sz="0" w:space="0" w:color="auto"/>
                            <w:left w:val="none" w:sz="0" w:space="0" w:color="auto"/>
                            <w:bottom w:val="none" w:sz="0" w:space="0" w:color="auto"/>
                            <w:right w:val="none" w:sz="0" w:space="0" w:color="auto"/>
                          </w:divBdr>
                          <w:divsChild>
                            <w:div w:id="1532570539">
                              <w:marLeft w:val="0"/>
                              <w:marRight w:val="0"/>
                              <w:marTop w:val="0"/>
                              <w:marBottom w:val="0"/>
                              <w:divBdr>
                                <w:top w:val="none" w:sz="0" w:space="0" w:color="auto"/>
                                <w:left w:val="none" w:sz="0" w:space="0" w:color="auto"/>
                                <w:bottom w:val="none" w:sz="0" w:space="0" w:color="auto"/>
                                <w:right w:val="none" w:sz="0" w:space="0" w:color="auto"/>
                              </w:divBdr>
                              <w:divsChild>
                                <w:div w:id="1542747990">
                                  <w:marLeft w:val="0"/>
                                  <w:marRight w:val="0"/>
                                  <w:marTop w:val="0"/>
                                  <w:marBottom w:val="0"/>
                                  <w:divBdr>
                                    <w:top w:val="none" w:sz="0" w:space="0" w:color="auto"/>
                                    <w:left w:val="none" w:sz="0" w:space="0" w:color="auto"/>
                                    <w:bottom w:val="none" w:sz="0" w:space="0" w:color="auto"/>
                                    <w:right w:val="none" w:sz="0" w:space="0" w:color="auto"/>
                                  </w:divBdr>
                                  <w:divsChild>
                                    <w:div w:id="173377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38856">
                          <w:marLeft w:val="0"/>
                          <w:marRight w:val="0"/>
                          <w:marTop w:val="0"/>
                          <w:marBottom w:val="0"/>
                          <w:divBdr>
                            <w:top w:val="none" w:sz="0" w:space="0" w:color="auto"/>
                            <w:left w:val="none" w:sz="0" w:space="0" w:color="auto"/>
                            <w:bottom w:val="none" w:sz="0" w:space="0" w:color="auto"/>
                            <w:right w:val="none" w:sz="0" w:space="0" w:color="auto"/>
                          </w:divBdr>
                          <w:divsChild>
                            <w:div w:id="1683119380">
                              <w:marLeft w:val="0"/>
                              <w:marRight w:val="0"/>
                              <w:marTop w:val="0"/>
                              <w:marBottom w:val="0"/>
                              <w:divBdr>
                                <w:top w:val="none" w:sz="0" w:space="0" w:color="auto"/>
                                <w:left w:val="none" w:sz="0" w:space="0" w:color="auto"/>
                                <w:bottom w:val="none" w:sz="0" w:space="0" w:color="auto"/>
                                <w:right w:val="none" w:sz="0" w:space="0" w:color="auto"/>
                              </w:divBdr>
                              <w:divsChild>
                                <w:div w:id="572592812">
                                  <w:marLeft w:val="0"/>
                                  <w:marRight w:val="0"/>
                                  <w:marTop w:val="0"/>
                                  <w:marBottom w:val="0"/>
                                  <w:divBdr>
                                    <w:top w:val="none" w:sz="0" w:space="0" w:color="auto"/>
                                    <w:left w:val="none" w:sz="0" w:space="0" w:color="auto"/>
                                    <w:bottom w:val="none" w:sz="0" w:space="0" w:color="auto"/>
                                    <w:right w:val="none" w:sz="0" w:space="0" w:color="auto"/>
                                  </w:divBdr>
                                  <w:divsChild>
                                    <w:div w:id="205442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0052537">
      <w:bodyDiv w:val="1"/>
      <w:marLeft w:val="0"/>
      <w:marRight w:val="0"/>
      <w:marTop w:val="0"/>
      <w:marBottom w:val="0"/>
      <w:divBdr>
        <w:top w:val="none" w:sz="0" w:space="0" w:color="auto"/>
        <w:left w:val="none" w:sz="0" w:space="0" w:color="auto"/>
        <w:bottom w:val="none" w:sz="0" w:space="0" w:color="auto"/>
        <w:right w:val="none" w:sz="0" w:space="0" w:color="auto"/>
      </w:divBdr>
    </w:div>
    <w:div w:id="773013838">
      <w:bodyDiv w:val="1"/>
      <w:marLeft w:val="0"/>
      <w:marRight w:val="0"/>
      <w:marTop w:val="0"/>
      <w:marBottom w:val="0"/>
      <w:divBdr>
        <w:top w:val="none" w:sz="0" w:space="0" w:color="auto"/>
        <w:left w:val="none" w:sz="0" w:space="0" w:color="auto"/>
        <w:bottom w:val="none" w:sz="0" w:space="0" w:color="auto"/>
        <w:right w:val="none" w:sz="0" w:space="0" w:color="auto"/>
      </w:divBdr>
    </w:div>
    <w:div w:id="792209280">
      <w:bodyDiv w:val="1"/>
      <w:marLeft w:val="0"/>
      <w:marRight w:val="0"/>
      <w:marTop w:val="0"/>
      <w:marBottom w:val="0"/>
      <w:divBdr>
        <w:top w:val="none" w:sz="0" w:space="0" w:color="auto"/>
        <w:left w:val="none" w:sz="0" w:space="0" w:color="auto"/>
        <w:bottom w:val="none" w:sz="0" w:space="0" w:color="auto"/>
        <w:right w:val="none" w:sz="0" w:space="0" w:color="auto"/>
      </w:divBdr>
    </w:div>
    <w:div w:id="793209998">
      <w:bodyDiv w:val="1"/>
      <w:marLeft w:val="0"/>
      <w:marRight w:val="0"/>
      <w:marTop w:val="0"/>
      <w:marBottom w:val="0"/>
      <w:divBdr>
        <w:top w:val="none" w:sz="0" w:space="0" w:color="auto"/>
        <w:left w:val="none" w:sz="0" w:space="0" w:color="auto"/>
        <w:bottom w:val="none" w:sz="0" w:space="0" w:color="auto"/>
        <w:right w:val="none" w:sz="0" w:space="0" w:color="auto"/>
      </w:divBdr>
    </w:div>
    <w:div w:id="806318913">
      <w:bodyDiv w:val="1"/>
      <w:marLeft w:val="0"/>
      <w:marRight w:val="0"/>
      <w:marTop w:val="0"/>
      <w:marBottom w:val="0"/>
      <w:divBdr>
        <w:top w:val="none" w:sz="0" w:space="0" w:color="auto"/>
        <w:left w:val="none" w:sz="0" w:space="0" w:color="auto"/>
        <w:bottom w:val="none" w:sz="0" w:space="0" w:color="auto"/>
        <w:right w:val="none" w:sz="0" w:space="0" w:color="auto"/>
      </w:divBdr>
      <w:divsChild>
        <w:div w:id="195390155">
          <w:marLeft w:val="0"/>
          <w:marRight w:val="0"/>
          <w:marTop w:val="0"/>
          <w:marBottom w:val="0"/>
          <w:divBdr>
            <w:top w:val="none" w:sz="0" w:space="0" w:color="auto"/>
            <w:left w:val="none" w:sz="0" w:space="0" w:color="auto"/>
            <w:bottom w:val="none" w:sz="0" w:space="0" w:color="auto"/>
            <w:right w:val="none" w:sz="0" w:space="0" w:color="auto"/>
          </w:divBdr>
        </w:div>
        <w:div w:id="588394479">
          <w:marLeft w:val="0"/>
          <w:marRight w:val="0"/>
          <w:marTop w:val="0"/>
          <w:marBottom w:val="0"/>
          <w:divBdr>
            <w:top w:val="none" w:sz="0" w:space="0" w:color="auto"/>
            <w:left w:val="none" w:sz="0" w:space="0" w:color="auto"/>
            <w:bottom w:val="none" w:sz="0" w:space="0" w:color="auto"/>
            <w:right w:val="none" w:sz="0" w:space="0" w:color="auto"/>
          </w:divBdr>
        </w:div>
        <w:div w:id="602541703">
          <w:marLeft w:val="0"/>
          <w:marRight w:val="0"/>
          <w:marTop w:val="0"/>
          <w:marBottom w:val="0"/>
          <w:divBdr>
            <w:top w:val="none" w:sz="0" w:space="0" w:color="auto"/>
            <w:left w:val="none" w:sz="0" w:space="0" w:color="auto"/>
            <w:bottom w:val="none" w:sz="0" w:space="0" w:color="auto"/>
            <w:right w:val="none" w:sz="0" w:space="0" w:color="auto"/>
          </w:divBdr>
        </w:div>
        <w:div w:id="1361737649">
          <w:marLeft w:val="0"/>
          <w:marRight w:val="0"/>
          <w:marTop w:val="0"/>
          <w:marBottom w:val="0"/>
          <w:divBdr>
            <w:top w:val="none" w:sz="0" w:space="0" w:color="auto"/>
            <w:left w:val="none" w:sz="0" w:space="0" w:color="auto"/>
            <w:bottom w:val="none" w:sz="0" w:space="0" w:color="auto"/>
            <w:right w:val="none" w:sz="0" w:space="0" w:color="auto"/>
          </w:divBdr>
        </w:div>
        <w:div w:id="1943608326">
          <w:marLeft w:val="0"/>
          <w:marRight w:val="0"/>
          <w:marTop w:val="0"/>
          <w:marBottom w:val="0"/>
          <w:divBdr>
            <w:top w:val="none" w:sz="0" w:space="0" w:color="auto"/>
            <w:left w:val="none" w:sz="0" w:space="0" w:color="auto"/>
            <w:bottom w:val="none" w:sz="0" w:space="0" w:color="auto"/>
            <w:right w:val="none" w:sz="0" w:space="0" w:color="auto"/>
          </w:divBdr>
        </w:div>
        <w:div w:id="2113475380">
          <w:marLeft w:val="0"/>
          <w:marRight w:val="0"/>
          <w:marTop w:val="0"/>
          <w:marBottom w:val="0"/>
          <w:divBdr>
            <w:top w:val="none" w:sz="0" w:space="0" w:color="auto"/>
            <w:left w:val="none" w:sz="0" w:space="0" w:color="auto"/>
            <w:bottom w:val="none" w:sz="0" w:space="0" w:color="auto"/>
            <w:right w:val="none" w:sz="0" w:space="0" w:color="auto"/>
          </w:divBdr>
        </w:div>
      </w:divsChild>
    </w:div>
    <w:div w:id="833181821">
      <w:bodyDiv w:val="1"/>
      <w:marLeft w:val="0"/>
      <w:marRight w:val="0"/>
      <w:marTop w:val="0"/>
      <w:marBottom w:val="0"/>
      <w:divBdr>
        <w:top w:val="none" w:sz="0" w:space="0" w:color="auto"/>
        <w:left w:val="none" w:sz="0" w:space="0" w:color="auto"/>
        <w:bottom w:val="none" w:sz="0" w:space="0" w:color="auto"/>
        <w:right w:val="none" w:sz="0" w:space="0" w:color="auto"/>
      </w:divBdr>
    </w:div>
    <w:div w:id="838036260">
      <w:bodyDiv w:val="1"/>
      <w:marLeft w:val="0"/>
      <w:marRight w:val="0"/>
      <w:marTop w:val="0"/>
      <w:marBottom w:val="0"/>
      <w:divBdr>
        <w:top w:val="none" w:sz="0" w:space="0" w:color="auto"/>
        <w:left w:val="none" w:sz="0" w:space="0" w:color="auto"/>
        <w:bottom w:val="none" w:sz="0" w:space="0" w:color="auto"/>
        <w:right w:val="none" w:sz="0" w:space="0" w:color="auto"/>
      </w:divBdr>
    </w:div>
    <w:div w:id="913783674">
      <w:bodyDiv w:val="1"/>
      <w:marLeft w:val="0"/>
      <w:marRight w:val="0"/>
      <w:marTop w:val="0"/>
      <w:marBottom w:val="0"/>
      <w:divBdr>
        <w:top w:val="none" w:sz="0" w:space="0" w:color="auto"/>
        <w:left w:val="none" w:sz="0" w:space="0" w:color="auto"/>
        <w:bottom w:val="none" w:sz="0" w:space="0" w:color="auto"/>
        <w:right w:val="none" w:sz="0" w:space="0" w:color="auto"/>
      </w:divBdr>
    </w:div>
    <w:div w:id="943999552">
      <w:bodyDiv w:val="1"/>
      <w:marLeft w:val="0"/>
      <w:marRight w:val="0"/>
      <w:marTop w:val="0"/>
      <w:marBottom w:val="0"/>
      <w:divBdr>
        <w:top w:val="none" w:sz="0" w:space="0" w:color="auto"/>
        <w:left w:val="none" w:sz="0" w:space="0" w:color="auto"/>
        <w:bottom w:val="none" w:sz="0" w:space="0" w:color="auto"/>
        <w:right w:val="none" w:sz="0" w:space="0" w:color="auto"/>
      </w:divBdr>
    </w:div>
    <w:div w:id="992640837">
      <w:bodyDiv w:val="1"/>
      <w:marLeft w:val="0"/>
      <w:marRight w:val="0"/>
      <w:marTop w:val="0"/>
      <w:marBottom w:val="0"/>
      <w:divBdr>
        <w:top w:val="none" w:sz="0" w:space="0" w:color="auto"/>
        <w:left w:val="none" w:sz="0" w:space="0" w:color="auto"/>
        <w:bottom w:val="none" w:sz="0" w:space="0" w:color="auto"/>
        <w:right w:val="none" w:sz="0" w:space="0" w:color="auto"/>
      </w:divBdr>
    </w:div>
    <w:div w:id="1057357945">
      <w:bodyDiv w:val="1"/>
      <w:marLeft w:val="0"/>
      <w:marRight w:val="0"/>
      <w:marTop w:val="0"/>
      <w:marBottom w:val="0"/>
      <w:divBdr>
        <w:top w:val="none" w:sz="0" w:space="0" w:color="auto"/>
        <w:left w:val="none" w:sz="0" w:space="0" w:color="auto"/>
        <w:bottom w:val="none" w:sz="0" w:space="0" w:color="auto"/>
        <w:right w:val="none" w:sz="0" w:space="0" w:color="auto"/>
      </w:divBdr>
    </w:div>
    <w:div w:id="1072195269">
      <w:bodyDiv w:val="1"/>
      <w:marLeft w:val="0"/>
      <w:marRight w:val="0"/>
      <w:marTop w:val="0"/>
      <w:marBottom w:val="0"/>
      <w:divBdr>
        <w:top w:val="none" w:sz="0" w:space="0" w:color="auto"/>
        <w:left w:val="none" w:sz="0" w:space="0" w:color="auto"/>
        <w:bottom w:val="none" w:sz="0" w:space="0" w:color="auto"/>
        <w:right w:val="none" w:sz="0" w:space="0" w:color="auto"/>
      </w:divBdr>
      <w:divsChild>
        <w:div w:id="894043645">
          <w:marLeft w:val="0"/>
          <w:marRight w:val="0"/>
          <w:marTop w:val="0"/>
          <w:marBottom w:val="0"/>
          <w:divBdr>
            <w:top w:val="none" w:sz="0" w:space="0" w:color="auto"/>
            <w:left w:val="single" w:sz="48" w:space="12" w:color="007B6C"/>
            <w:bottom w:val="none" w:sz="0" w:space="0" w:color="auto"/>
            <w:right w:val="none" w:sz="0" w:space="0" w:color="auto"/>
          </w:divBdr>
        </w:div>
      </w:divsChild>
    </w:div>
    <w:div w:id="1118330009">
      <w:bodyDiv w:val="1"/>
      <w:marLeft w:val="0"/>
      <w:marRight w:val="0"/>
      <w:marTop w:val="0"/>
      <w:marBottom w:val="0"/>
      <w:divBdr>
        <w:top w:val="none" w:sz="0" w:space="0" w:color="auto"/>
        <w:left w:val="none" w:sz="0" w:space="0" w:color="auto"/>
        <w:bottom w:val="none" w:sz="0" w:space="0" w:color="auto"/>
        <w:right w:val="none" w:sz="0" w:space="0" w:color="auto"/>
      </w:divBdr>
      <w:divsChild>
        <w:div w:id="585067212">
          <w:marLeft w:val="0"/>
          <w:marRight w:val="0"/>
          <w:marTop w:val="0"/>
          <w:marBottom w:val="0"/>
          <w:divBdr>
            <w:top w:val="none" w:sz="0" w:space="0" w:color="auto"/>
            <w:left w:val="none" w:sz="0" w:space="0" w:color="auto"/>
            <w:bottom w:val="none" w:sz="0" w:space="0" w:color="auto"/>
            <w:right w:val="none" w:sz="0" w:space="0" w:color="auto"/>
          </w:divBdr>
          <w:divsChild>
            <w:div w:id="783424301">
              <w:marLeft w:val="0"/>
              <w:marRight w:val="0"/>
              <w:marTop w:val="0"/>
              <w:marBottom w:val="0"/>
              <w:divBdr>
                <w:top w:val="none" w:sz="0" w:space="0" w:color="auto"/>
                <w:left w:val="none" w:sz="0" w:space="0" w:color="auto"/>
                <w:bottom w:val="none" w:sz="0" w:space="0" w:color="auto"/>
                <w:right w:val="none" w:sz="0" w:space="0" w:color="auto"/>
              </w:divBdr>
              <w:divsChild>
                <w:div w:id="148638005">
                  <w:marLeft w:val="0"/>
                  <w:marRight w:val="0"/>
                  <w:marTop w:val="0"/>
                  <w:marBottom w:val="0"/>
                  <w:divBdr>
                    <w:top w:val="none" w:sz="0" w:space="0" w:color="auto"/>
                    <w:left w:val="none" w:sz="0" w:space="0" w:color="auto"/>
                    <w:bottom w:val="none" w:sz="0" w:space="0" w:color="auto"/>
                    <w:right w:val="none" w:sz="0" w:space="0" w:color="auto"/>
                  </w:divBdr>
                </w:div>
                <w:div w:id="664208264">
                  <w:marLeft w:val="0"/>
                  <w:marRight w:val="0"/>
                  <w:marTop w:val="0"/>
                  <w:marBottom w:val="0"/>
                  <w:divBdr>
                    <w:top w:val="none" w:sz="0" w:space="0" w:color="auto"/>
                    <w:left w:val="none" w:sz="0" w:space="0" w:color="auto"/>
                    <w:bottom w:val="none" w:sz="0" w:space="0" w:color="auto"/>
                    <w:right w:val="none" w:sz="0" w:space="0" w:color="auto"/>
                  </w:divBdr>
                  <w:divsChild>
                    <w:div w:id="283851975">
                      <w:marLeft w:val="0"/>
                      <w:marRight w:val="0"/>
                      <w:marTop w:val="0"/>
                      <w:marBottom w:val="0"/>
                      <w:divBdr>
                        <w:top w:val="none" w:sz="0" w:space="0" w:color="auto"/>
                        <w:left w:val="none" w:sz="0" w:space="0" w:color="auto"/>
                        <w:bottom w:val="single" w:sz="6" w:space="0" w:color="3D5265"/>
                        <w:right w:val="none" w:sz="0" w:space="0" w:color="auto"/>
                      </w:divBdr>
                      <w:divsChild>
                        <w:div w:id="56442951">
                          <w:marLeft w:val="0"/>
                          <w:marRight w:val="0"/>
                          <w:marTop w:val="240"/>
                          <w:marBottom w:val="0"/>
                          <w:divBdr>
                            <w:top w:val="none" w:sz="0" w:space="0" w:color="auto"/>
                            <w:left w:val="none" w:sz="0" w:space="0" w:color="auto"/>
                            <w:bottom w:val="none" w:sz="0" w:space="0" w:color="auto"/>
                            <w:right w:val="none" w:sz="0" w:space="0" w:color="auto"/>
                          </w:divBdr>
                          <w:divsChild>
                            <w:div w:id="1761874248">
                              <w:marLeft w:val="0"/>
                              <w:marRight w:val="0"/>
                              <w:marTop w:val="0"/>
                              <w:marBottom w:val="0"/>
                              <w:divBdr>
                                <w:top w:val="none" w:sz="0" w:space="0" w:color="auto"/>
                                <w:left w:val="none" w:sz="0" w:space="0" w:color="auto"/>
                                <w:bottom w:val="none" w:sz="0" w:space="0" w:color="auto"/>
                                <w:right w:val="none" w:sz="0" w:space="0" w:color="auto"/>
                              </w:divBdr>
                            </w:div>
                          </w:divsChild>
                        </w:div>
                        <w:div w:id="1056854199">
                          <w:marLeft w:val="0"/>
                          <w:marRight w:val="0"/>
                          <w:marTop w:val="240"/>
                          <w:marBottom w:val="0"/>
                          <w:divBdr>
                            <w:top w:val="none" w:sz="0" w:space="0" w:color="auto"/>
                            <w:left w:val="none" w:sz="0" w:space="0" w:color="auto"/>
                            <w:bottom w:val="none" w:sz="0" w:space="0" w:color="auto"/>
                            <w:right w:val="none" w:sz="0" w:space="0" w:color="auto"/>
                          </w:divBdr>
                          <w:divsChild>
                            <w:div w:id="1116216033">
                              <w:marLeft w:val="0"/>
                              <w:marRight w:val="0"/>
                              <w:marTop w:val="0"/>
                              <w:marBottom w:val="0"/>
                              <w:divBdr>
                                <w:top w:val="none" w:sz="0" w:space="0" w:color="auto"/>
                                <w:left w:val="none" w:sz="0" w:space="0" w:color="auto"/>
                                <w:bottom w:val="none" w:sz="0" w:space="0" w:color="auto"/>
                                <w:right w:val="none" w:sz="0" w:space="0" w:color="auto"/>
                              </w:divBdr>
                            </w:div>
                          </w:divsChild>
                        </w:div>
                        <w:div w:id="1227183245">
                          <w:marLeft w:val="0"/>
                          <w:marRight w:val="0"/>
                          <w:marTop w:val="240"/>
                          <w:marBottom w:val="0"/>
                          <w:divBdr>
                            <w:top w:val="none" w:sz="0" w:space="0" w:color="auto"/>
                            <w:left w:val="none" w:sz="0" w:space="0" w:color="auto"/>
                            <w:bottom w:val="none" w:sz="0" w:space="0" w:color="auto"/>
                            <w:right w:val="none" w:sz="0" w:space="0" w:color="auto"/>
                          </w:divBdr>
                          <w:divsChild>
                            <w:div w:id="1858808119">
                              <w:marLeft w:val="0"/>
                              <w:marRight w:val="0"/>
                              <w:marTop w:val="0"/>
                              <w:marBottom w:val="0"/>
                              <w:divBdr>
                                <w:top w:val="none" w:sz="0" w:space="0" w:color="auto"/>
                                <w:left w:val="none" w:sz="0" w:space="0" w:color="auto"/>
                                <w:bottom w:val="none" w:sz="0" w:space="0" w:color="auto"/>
                                <w:right w:val="none" w:sz="0" w:space="0" w:color="auto"/>
                              </w:divBdr>
                            </w:div>
                          </w:divsChild>
                        </w:div>
                        <w:div w:id="1426732225">
                          <w:marLeft w:val="0"/>
                          <w:marRight w:val="0"/>
                          <w:marTop w:val="240"/>
                          <w:marBottom w:val="0"/>
                          <w:divBdr>
                            <w:top w:val="none" w:sz="0" w:space="0" w:color="auto"/>
                            <w:left w:val="none" w:sz="0" w:space="0" w:color="auto"/>
                            <w:bottom w:val="none" w:sz="0" w:space="0" w:color="auto"/>
                            <w:right w:val="none" w:sz="0" w:space="0" w:color="auto"/>
                          </w:divBdr>
                          <w:divsChild>
                            <w:div w:id="190313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256274">
          <w:marLeft w:val="0"/>
          <w:marRight w:val="0"/>
          <w:marTop w:val="0"/>
          <w:marBottom w:val="0"/>
          <w:divBdr>
            <w:top w:val="none" w:sz="0" w:space="0" w:color="auto"/>
            <w:left w:val="none" w:sz="0" w:space="0" w:color="auto"/>
            <w:bottom w:val="none" w:sz="0" w:space="0" w:color="auto"/>
            <w:right w:val="none" w:sz="0" w:space="0" w:color="auto"/>
          </w:divBdr>
          <w:divsChild>
            <w:div w:id="378628238">
              <w:marLeft w:val="0"/>
              <w:marRight w:val="0"/>
              <w:marTop w:val="0"/>
              <w:marBottom w:val="0"/>
              <w:divBdr>
                <w:top w:val="none" w:sz="0" w:space="0" w:color="auto"/>
                <w:left w:val="none" w:sz="0" w:space="0" w:color="auto"/>
                <w:bottom w:val="none" w:sz="0" w:space="0" w:color="auto"/>
                <w:right w:val="none" w:sz="0" w:space="0" w:color="auto"/>
              </w:divBdr>
              <w:divsChild>
                <w:div w:id="564730739">
                  <w:marLeft w:val="0"/>
                  <w:marRight w:val="0"/>
                  <w:marTop w:val="0"/>
                  <w:marBottom w:val="0"/>
                  <w:divBdr>
                    <w:top w:val="none" w:sz="0" w:space="0" w:color="auto"/>
                    <w:left w:val="none" w:sz="0" w:space="0" w:color="auto"/>
                    <w:bottom w:val="none" w:sz="0" w:space="0" w:color="auto"/>
                    <w:right w:val="none" w:sz="0" w:space="0" w:color="auto"/>
                  </w:divBdr>
                  <w:divsChild>
                    <w:div w:id="1348673879">
                      <w:marLeft w:val="0"/>
                      <w:marRight w:val="0"/>
                      <w:marTop w:val="0"/>
                      <w:marBottom w:val="0"/>
                      <w:divBdr>
                        <w:top w:val="none" w:sz="0" w:space="0" w:color="auto"/>
                        <w:left w:val="none" w:sz="0" w:space="0" w:color="auto"/>
                        <w:bottom w:val="none" w:sz="0" w:space="0" w:color="auto"/>
                        <w:right w:val="none" w:sz="0" w:space="0" w:color="auto"/>
                      </w:divBdr>
                      <w:divsChild>
                        <w:div w:id="11522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17006">
              <w:marLeft w:val="0"/>
              <w:marRight w:val="0"/>
              <w:marTop w:val="0"/>
              <w:marBottom w:val="0"/>
              <w:divBdr>
                <w:top w:val="none" w:sz="0" w:space="0" w:color="auto"/>
                <w:left w:val="none" w:sz="0" w:space="0" w:color="auto"/>
                <w:bottom w:val="none" w:sz="0" w:space="0" w:color="auto"/>
                <w:right w:val="none" w:sz="0" w:space="0" w:color="auto"/>
              </w:divBdr>
              <w:divsChild>
                <w:div w:id="1728413171">
                  <w:marLeft w:val="0"/>
                  <w:marRight w:val="0"/>
                  <w:marTop w:val="0"/>
                  <w:marBottom w:val="0"/>
                  <w:divBdr>
                    <w:top w:val="none" w:sz="0" w:space="0" w:color="auto"/>
                    <w:left w:val="none" w:sz="0" w:space="0" w:color="auto"/>
                    <w:bottom w:val="none" w:sz="0" w:space="0" w:color="auto"/>
                    <w:right w:val="none" w:sz="0" w:space="0" w:color="auto"/>
                  </w:divBdr>
                  <w:divsChild>
                    <w:div w:id="1621569225">
                      <w:marLeft w:val="0"/>
                      <w:marRight w:val="0"/>
                      <w:marTop w:val="0"/>
                      <w:marBottom w:val="0"/>
                      <w:divBdr>
                        <w:top w:val="none" w:sz="0" w:space="0" w:color="auto"/>
                        <w:left w:val="none" w:sz="0" w:space="0" w:color="auto"/>
                        <w:bottom w:val="none" w:sz="0" w:space="0" w:color="auto"/>
                        <w:right w:val="none" w:sz="0" w:space="0" w:color="auto"/>
                      </w:divBdr>
                      <w:divsChild>
                        <w:div w:id="471824448">
                          <w:marLeft w:val="0"/>
                          <w:marRight w:val="0"/>
                          <w:marTop w:val="0"/>
                          <w:marBottom w:val="0"/>
                          <w:divBdr>
                            <w:top w:val="none" w:sz="0" w:space="0" w:color="auto"/>
                            <w:left w:val="none" w:sz="0" w:space="0" w:color="auto"/>
                            <w:bottom w:val="none" w:sz="0" w:space="0" w:color="auto"/>
                            <w:right w:val="none" w:sz="0" w:space="0" w:color="auto"/>
                          </w:divBdr>
                          <w:divsChild>
                            <w:div w:id="2044937458">
                              <w:marLeft w:val="0"/>
                              <w:marRight w:val="0"/>
                              <w:marTop w:val="0"/>
                              <w:marBottom w:val="240"/>
                              <w:divBdr>
                                <w:top w:val="none" w:sz="0" w:space="0" w:color="auto"/>
                                <w:left w:val="none" w:sz="0" w:space="0" w:color="auto"/>
                                <w:bottom w:val="none" w:sz="0" w:space="0" w:color="auto"/>
                                <w:right w:val="none" w:sz="0" w:space="0" w:color="auto"/>
                              </w:divBdr>
                              <w:divsChild>
                                <w:div w:id="105709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6756">
                          <w:marLeft w:val="0"/>
                          <w:marRight w:val="0"/>
                          <w:marTop w:val="0"/>
                          <w:marBottom w:val="0"/>
                          <w:divBdr>
                            <w:top w:val="none" w:sz="0" w:space="0" w:color="auto"/>
                            <w:left w:val="none" w:sz="0" w:space="0" w:color="auto"/>
                            <w:bottom w:val="none" w:sz="0" w:space="0" w:color="auto"/>
                            <w:right w:val="none" w:sz="0" w:space="0" w:color="auto"/>
                          </w:divBdr>
                          <w:divsChild>
                            <w:div w:id="1788817356">
                              <w:marLeft w:val="0"/>
                              <w:marRight w:val="0"/>
                              <w:marTop w:val="0"/>
                              <w:marBottom w:val="0"/>
                              <w:divBdr>
                                <w:top w:val="none" w:sz="0" w:space="0" w:color="auto"/>
                                <w:left w:val="single" w:sz="48" w:space="12" w:color="007B6C"/>
                                <w:bottom w:val="none" w:sz="0" w:space="0" w:color="auto"/>
                                <w:right w:val="none" w:sz="0" w:space="0" w:color="auto"/>
                              </w:divBdr>
                            </w:div>
                          </w:divsChild>
                        </w:div>
                      </w:divsChild>
                    </w:div>
                  </w:divsChild>
                </w:div>
              </w:divsChild>
            </w:div>
          </w:divsChild>
        </w:div>
      </w:divsChild>
    </w:div>
    <w:div w:id="1136723888">
      <w:bodyDiv w:val="1"/>
      <w:marLeft w:val="0"/>
      <w:marRight w:val="0"/>
      <w:marTop w:val="0"/>
      <w:marBottom w:val="0"/>
      <w:divBdr>
        <w:top w:val="none" w:sz="0" w:space="0" w:color="auto"/>
        <w:left w:val="none" w:sz="0" w:space="0" w:color="auto"/>
        <w:bottom w:val="none" w:sz="0" w:space="0" w:color="auto"/>
        <w:right w:val="none" w:sz="0" w:space="0" w:color="auto"/>
      </w:divBdr>
    </w:div>
    <w:div w:id="1152987182">
      <w:bodyDiv w:val="1"/>
      <w:marLeft w:val="0"/>
      <w:marRight w:val="0"/>
      <w:marTop w:val="0"/>
      <w:marBottom w:val="0"/>
      <w:divBdr>
        <w:top w:val="none" w:sz="0" w:space="0" w:color="auto"/>
        <w:left w:val="none" w:sz="0" w:space="0" w:color="auto"/>
        <w:bottom w:val="none" w:sz="0" w:space="0" w:color="auto"/>
        <w:right w:val="none" w:sz="0" w:space="0" w:color="auto"/>
      </w:divBdr>
    </w:div>
    <w:div w:id="1203790331">
      <w:bodyDiv w:val="1"/>
      <w:marLeft w:val="0"/>
      <w:marRight w:val="0"/>
      <w:marTop w:val="0"/>
      <w:marBottom w:val="0"/>
      <w:divBdr>
        <w:top w:val="none" w:sz="0" w:space="0" w:color="auto"/>
        <w:left w:val="none" w:sz="0" w:space="0" w:color="auto"/>
        <w:bottom w:val="none" w:sz="0" w:space="0" w:color="auto"/>
        <w:right w:val="none" w:sz="0" w:space="0" w:color="auto"/>
      </w:divBdr>
    </w:div>
    <w:div w:id="1229806727">
      <w:bodyDiv w:val="1"/>
      <w:marLeft w:val="0"/>
      <w:marRight w:val="0"/>
      <w:marTop w:val="0"/>
      <w:marBottom w:val="0"/>
      <w:divBdr>
        <w:top w:val="none" w:sz="0" w:space="0" w:color="auto"/>
        <w:left w:val="none" w:sz="0" w:space="0" w:color="auto"/>
        <w:bottom w:val="none" w:sz="0" w:space="0" w:color="auto"/>
        <w:right w:val="none" w:sz="0" w:space="0" w:color="auto"/>
      </w:divBdr>
      <w:divsChild>
        <w:div w:id="1153984237">
          <w:marLeft w:val="0"/>
          <w:marRight w:val="0"/>
          <w:marTop w:val="0"/>
          <w:marBottom w:val="0"/>
          <w:divBdr>
            <w:top w:val="none" w:sz="0" w:space="0" w:color="auto"/>
            <w:left w:val="none" w:sz="0" w:space="0" w:color="auto"/>
            <w:bottom w:val="none" w:sz="0" w:space="0" w:color="auto"/>
            <w:right w:val="none" w:sz="0" w:space="0" w:color="auto"/>
          </w:divBdr>
          <w:divsChild>
            <w:div w:id="1594632056">
              <w:marLeft w:val="0"/>
              <w:marRight w:val="0"/>
              <w:marTop w:val="0"/>
              <w:marBottom w:val="0"/>
              <w:divBdr>
                <w:top w:val="none" w:sz="0" w:space="0" w:color="auto"/>
                <w:left w:val="none" w:sz="0" w:space="0" w:color="auto"/>
                <w:bottom w:val="none" w:sz="0" w:space="0" w:color="auto"/>
                <w:right w:val="none" w:sz="0" w:space="0" w:color="auto"/>
              </w:divBdr>
              <w:divsChild>
                <w:div w:id="1115949523">
                  <w:marLeft w:val="0"/>
                  <w:marRight w:val="0"/>
                  <w:marTop w:val="0"/>
                  <w:marBottom w:val="0"/>
                  <w:divBdr>
                    <w:top w:val="none" w:sz="0" w:space="0" w:color="auto"/>
                    <w:left w:val="none" w:sz="0" w:space="0" w:color="auto"/>
                    <w:bottom w:val="none" w:sz="0" w:space="0" w:color="auto"/>
                    <w:right w:val="none" w:sz="0" w:space="0" w:color="auto"/>
                  </w:divBdr>
                  <w:divsChild>
                    <w:div w:id="184092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799512">
      <w:bodyDiv w:val="1"/>
      <w:marLeft w:val="0"/>
      <w:marRight w:val="0"/>
      <w:marTop w:val="0"/>
      <w:marBottom w:val="0"/>
      <w:divBdr>
        <w:top w:val="none" w:sz="0" w:space="0" w:color="auto"/>
        <w:left w:val="none" w:sz="0" w:space="0" w:color="auto"/>
        <w:bottom w:val="none" w:sz="0" w:space="0" w:color="auto"/>
        <w:right w:val="none" w:sz="0" w:space="0" w:color="auto"/>
      </w:divBdr>
    </w:div>
    <w:div w:id="1304313098">
      <w:bodyDiv w:val="1"/>
      <w:marLeft w:val="0"/>
      <w:marRight w:val="0"/>
      <w:marTop w:val="0"/>
      <w:marBottom w:val="0"/>
      <w:divBdr>
        <w:top w:val="none" w:sz="0" w:space="0" w:color="auto"/>
        <w:left w:val="none" w:sz="0" w:space="0" w:color="auto"/>
        <w:bottom w:val="none" w:sz="0" w:space="0" w:color="auto"/>
        <w:right w:val="none" w:sz="0" w:space="0" w:color="auto"/>
      </w:divBdr>
      <w:divsChild>
        <w:div w:id="1091123383">
          <w:marLeft w:val="0"/>
          <w:marRight w:val="0"/>
          <w:marTop w:val="0"/>
          <w:marBottom w:val="0"/>
          <w:divBdr>
            <w:top w:val="none" w:sz="0" w:space="0" w:color="auto"/>
            <w:left w:val="none" w:sz="0" w:space="0" w:color="auto"/>
            <w:bottom w:val="none" w:sz="0" w:space="0" w:color="auto"/>
            <w:right w:val="none" w:sz="0" w:space="0" w:color="auto"/>
          </w:divBdr>
          <w:divsChild>
            <w:div w:id="1786922294">
              <w:marLeft w:val="0"/>
              <w:marRight w:val="0"/>
              <w:marTop w:val="0"/>
              <w:marBottom w:val="0"/>
              <w:divBdr>
                <w:top w:val="none" w:sz="0" w:space="0" w:color="auto"/>
                <w:left w:val="none" w:sz="0" w:space="0" w:color="auto"/>
                <w:bottom w:val="none" w:sz="0" w:space="0" w:color="auto"/>
                <w:right w:val="none" w:sz="0" w:space="0" w:color="auto"/>
              </w:divBdr>
              <w:divsChild>
                <w:div w:id="1656029540">
                  <w:marLeft w:val="0"/>
                  <w:marRight w:val="0"/>
                  <w:marTop w:val="0"/>
                  <w:marBottom w:val="0"/>
                  <w:divBdr>
                    <w:top w:val="none" w:sz="0" w:space="0" w:color="auto"/>
                    <w:left w:val="none" w:sz="0" w:space="0" w:color="auto"/>
                    <w:bottom w:val="none" w:sz="0" w:space="0" w:color="auto"/>
                    <w:right w:val="none" w:sz="0" w:space="0" w:color="auto"/>
                  </w:divBdr>
                  <w:divsChild>
                    <w:div w:id="5930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448542">
      <w:bodyDiv w:val="1"/>
      <w:marLeft w:val="0"/>
      <w:marRight w:val="0"/>
      <w:marTop w:val="0"/>
      <w:marBottom w:val="0"/>
      <w:divBdr>
        <w:top w:val="none" w:sz="0" w:space="0" w:color="auto"/>
        <w:left w:val="none" w:sz="0" w:space="0" w:color="auto"/>
        <w:bottom w:val="none" w:sz="0" w:space="0" w:color="auto"/>
        <w:right w:val="none" w:sz="0" w:space="0" w:color="auto"/>
      </w:divBdr>
    </w:div>
    <w:div w:id="1373655815">
      <w:bodyDiv w:val="1"/>
      <w:marLeft w:val="0"/>
      <w:marRight w:val="0"/>
      <w:marTop w:val="0"/>
      <w:marBottom w:val="0"/>
      <w:divBdr>
        <w:top w:val="none" w:sz="0" w:space="0" w:color="auto"/>
        <w:left w:val="none" w:sz="0" w:space="0" w:color="auto"/>
        <w:bottom w:val="none" w:sz="0" w:space="0" w:color="auto"/>
        <w:right w:val="none" w:sz="0" w:space="0" w:color="auto"/>
      </w:divBdr>
    </w:div>
    <w:div w:id="1392270347">
      <w:bodyDiv w:val="1"/>
      <w:marLeft w:val="0"/>
      <w:marRight w:val="0"/>
      <w:marTop w:val="0"/>
      <w:marBottom w:val="0"/>
      <w:divBdr>
        <w:top w:val="none" w:sz="0" w:space="0" w:color="auto"/>
        <w:left w:val="none" w:sz="0" w:space="0" w:color="auto"/>
        <w:bottom w:val="none" w:sz="0" w:space="0" w:color="auto"/>
        <w:right w:val="none" w:sz="0" w:space="0" w:color="auto"/>
      </w:divBdr>
    </w:div>
    <w:div w:id="1409502987">
      <w:bodyDiv w:val="1"/>
      <w:marLeft w:val="0"/>
      <w:marRight w:val="0"/>
      <w:marTop w:val="0"/>
      <w:marBottom w:val="0"/>
      <w:divBdr>
        <w:top w:val="none" w:sz="0" w:space="0" w:color="auto"/>
        <w:left w:val="none" w:sz="0" w:space="0" w:color="auto"/>
        <w:bottom w:val="none" w:sz="0" w:space="0" w:color="auto"/>
        <w:right w:val="none" w:sz="0" w:space="0" w:color="auto"/>
      </w:divBdr>
    </w:div>
    <w:div w:id="1471048831">
      <w:bodyDiv w:val="1"/>
      <w:marLeft w:val="0"/>
      <w:marRight w:val="0"/>
      <w:marTop w:val="0"/>
      <w:marBottom w:val="0"/>
      <w:divBdr>
        <w:top w:val="none" w:sz="0" w:space="0" w:color="auto"/>
        <w:left w:val="none" w:sz="0" w:space="0" w:color="auto"/>
        <w:bottom w:val="none" w:sz="0" w:space="0" w:color="auto"/>
        <w:right w:val="none" w:sz="0" w:space="0" w:color="auto"/>
      </w:divBdr>
    </w:div>
    <w:div w:id="1539973258">
      <w:bodyDiv w:val="1"/>
      <w:marLeft w:val="0"/>
      <w:marRight w:val="0"/>
      <w:marTop w:val="0"/>
      <w:marBottom w:val="0"/>
      <w:divBdr>
        <w:top w:val="none" w:sz="0" w:space="0" w:color="auto"/>
        <w:left w:val="none" w:sz="0" w:space="0" w:color="auto"/>
        <w:bottom w:val="none" w:sz="0" w:space="0" w:color="auto"/>
        <w:right w:val="none" w:sz="0" w:space="0" w:color="auto"/>
      </w:divBdr>
    </w:div>
    <w:div w:id="1553230825">
      <w:bodyDiv w:val="1"/>
      <w:marLeft w:val="0"/>
      <w:marRight w:val="0"/>
      <w:marTop w:val="0"/>
      <w:marBottom w:val="0"/>
      <w:divBdr>
        <w:top w:val="none" w:sz="0" w:space="0" w:color="auto"/>
        <w:left w:val="none" w:sz="0" w:space="0" w:color="auto"/>
        <w:bottom w:val="none" w:sz="0" w:space="0" w:color="auto"/>
        <w:right w:val="none" w:sz="0" w:space="0" w:color="auto"/>
      </w:divBdr>
    </w:div>
    <w:div w:id="1563296721">
      <w:bodyDiv w:val="1"/>
      <w:marLeft w:val="0"/>
      <w:marRight w:val="0"/>
      <w:marTop w:val="0"/>
      <w:marBottom w:val="0"/>
      <w:divBdr>
        <w:top w:val="none" w:sz="0" w:space="0" w:color="auto"/>
        <w:left w:val="none" w:sz="0" w:space="0" w:color="auto"/>
        <w:bottom w:val="none" w:sz="0" w:space="0" w:color="auto"/>
        <w:right w:val="none" w:sz="0" w:space="0" w:color="auto"/>
      </w:divBdr>
    </w:div>
    <w:div w:id="1715546942">
      <w:bodyDiv w:val="1"/>
      <w:marLeft w:val="0"/>
      <w:marRight w:val="0"/>
      <w:marTop w:val="0"/>
      <w:marBottom w:val="0"/>
      <w:divBdr>
        <w:top w:val="none" w:sz="0" w:space="0" w:color="auto"/>
        <w:left w:val="none" w:sz="0" w:space="0" w:color="auto"/>
        <w:bottom w:val="none" w:sz="0" w:space="0" w:color="auto"/>
        <w:right w:val="none" w:sz="0" w:space="0" w:color="auto"/>
      </w:divBdr>
      <w:divsChild>
        <w:div w:id="1472791004">
          <w:marLeft w:val="0"/>
          <w:marRight w:val="0"/>
          <w:marTop w:val="0"/>
          <w:marBottom w:val="0"/>
          <w:divBdr>
            <w:top w:val="none" w:sz="0" w:space="0" w:color="auto"/>
            <w:left w:val="none" w:sz="0" w:space="0" w:color="auto"/>
            <w:bottom w:val="none" w:sz="0" w:space="0" w:color="auto"/>
            <w:right w:val="none" w:sz="0" w:space="0" w:color="auto"/>
          </w:divBdr>
          <w:divsChild>
            <w:div w:id="140125242">
              <w:marLeft w:val="0"/>
              <w:marRight w:val="0"/>
              <w:marTop w:val="0"/>
              <w:marBottom w:val="0"/>
              <w:divBdr>
                <w:top w:val="none" w:sz="0" w:space="0" w:color="auto"/>
                <w:left w:val="none" w:sz="0" w:space="0" w:color="auto"/>
                <w:bottom w:val="single" w:sz="6" w:space="0" w:color="3D5265"/>
                <w:right w:val="none" w:sz="0" w:space="0" w:color="auto"/>
              </w:divBdr>
              <w:divsChild>
                <w:div w:id="1259824322">
                  <w:marLeft w:val="0"/>
                  <w:marRight w:val="0"/>
                  <w:marTop w:val="240"/>
                  <w:marBottom w:val="0"/>
                  <w:divBdr>
                    <w:top w:val="none" w:sz="0" w:space="0" w:color="auto"/>
                    <w:left w:val="none" w:sz="0" w:space="0" w:color="auto"/>
                    <w:bottom w:val="none" w:sz="0" w:space="0" w:color="auto"/>
                    <w:right w:val="none" w:sz="0" w:space="0" w:color="auto"/>
                  </w:divBdr>
                  <w:divsChild>
                    <w:div w:id="371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517527">
      <w:bodyDiv w:val="1"/>
      <w:marLeft w:val="0"/>
      <w:marRight w:val="0"/>
      <w:marTop w:val="0"/>
      <w:marBottom w:val="0"/>
      <w:divBdr>
        <w:top w:val="none" w:sz="0" w:space="0" w:color="auto"/>
        <w:left w:val="none" w:sz="0" w:space="0" w:color="auto"/>
        <w:bottom w:val="none" w:sz="0" w:space="0" w:color="auto"/>
        <w:right w:val="none" w:sz="0" w:space="0" w:color="auto"/>
      </w:divBdr>
    </w:div>
    <w:div w:id="1730766422">
      <w:bodyDiv w:val="1"/>
      <w:marLeft w:val="0"/>
      <w:marRight w:val="0"/>
      <w:marTop w:val="0"/>
      <w:marBottom w:val="0"/>
      <w:divBdr>
        <w:top w:val="none" w:sz="0" w:space="0" w:color="auto"/>
        <w:left w:val="none" w:sz="0" w:space="0" w:color="auto"/>
        <w:bottom w:val="none" w:sz="0" w:space="0" w:color="auto"/>
        <w:right w:val="none" w:sz="0" w:space="0" w:color="auto"/>
      </w:divBdr>
    </w:div>
    <w:div w:id="1818299627">
      <w:bodyDiv w:val="1"/>
      <w:marLeft w:val="0"/>
      <w:marRight w:val="0"/>
      <w:marTop w:val="0"/>
      <w:marBottom w:val="0"/>
      <w:divBdr>
        <w:top w:val="none" w:sz="0" w:space="0" w:color="auto"/>
        <w:left w:val="none" w:sz="0" w:space="0" w:color="auto"/>
        <w:bottom w:val="none" w:sz="0" w:space="0" w:color="auto"/>
        <w:right w:val="none" w:sz="0" w:space="0" w:color="auto"/>
      </w:divBdr>
    </w:div>
    <w:div w:id="1819960744">
      <w:bodyDiv w:val="1"/>
      <w:marLeft w:val="0"/>
      <w:marRight w:val="0"/>
      <w:marTop w:val="0"/>
      <w:marBottom w:val="0"/>
      <w:divBdr>
        <w:top w:val="none" w:sz="0" w:space="0" w:color="auto"/>
        <w:left w:val="none" w:sz="0" w:space="0" w:color="auto"/>
        <w:bottom w:val="none" w:sz="0" w:space="0" w:color="auto"/>
        <w:right w:val="none" w:sz="0" w:space="0" w:color="auto"/>
      </w:divBdr>
    </w:div>
    <w:div w:id="1951548575">
      <w:bodyDiv w:val="1"/>
      <w:marLeft w:val="0"/>
      <w:marRight w:val="0"/>
      <w:marTop w:val="0"/>
      <w:marBottom w:val="0"/>
      <w:divBdr>
        <w:top w:val="none" w:sz="0" w:space="0" w:color="auto"/>
        <w:left w:val="none" w:sz="0" w:space="0" w:color="auto"/>
        <w:bottom w:val="none" w:sz="0" w:space="0" w:color="auto"/>
        <w:right w:val="none" w:sz="0" w:space="0" w:color="auto"/>
      </w:divBdr>
    </w:div>
    <w:div w:id="1954247765">
      <w:bodyDiv w:val="1"/>
      <w:marLeft w:val="0"/>
      <w:marRight w:val="0"/>
      <w:marTop w:val="0"/>
      <w:marBottom w:val="0"/>
      <w:divBdr>
        <w:top w:val="none" w:sz="0" w:space="0" w:color="auto"/>
        <w:left w:val="none" w:sz="0" w:space="0" w:color="auto"/>
        <w:bottom w:val="none" w:sz="0" w:space="0" w:color="auto"/>
        <w:right w:val="none" w:sz="0" w:space="0" w:color="auto"/>
      </w:divBdr>
    </w:div>
    <w:div w:id="1984308734">
      <w:bodyDiv w:val="1"/>
      <w:marLeft w:val="0"/>
      <w:marRight w:val="0"/>
      <w:marTop w:val="0"/>
      <w:marBottom w:val="0"/>
      <w:divBdr>
        <w:top w:val="none" w:sz="0" w:space="0" w:color="auto"/>
        <w:left w:val="none" w:sz="0" w:space="0" w:color="auto"/>
        <w:bottom w:val="none" w:sz="0" w:space="0" w:color="auto"/>
        <w:right w:val="none" w:sz="0" w:space="0" w:color="auto"/>
      </w:divBdr>
    </w:div>
    <w:div w:id="1996177463">
      <w:bodyDiv w:val="1"/>
      <w:marLeft w:val="0"/>
      <w:marRight w:val="0"/>
      <w:marTop w:val="0"/>
      <w:marBottom w:val="0"/>
      <w:divBdr>
        <w:top w:val="none" w:sz="0" w:space="0" w:color="auto"/>
        <w:left w:val="none" w:sz="0" w:space="0" w:color="auto"/>
        <w:bottom w:val="none" w:sz="0" w:space="0" w:color="auto"/>
        <w:right w:val="none" w:sz="0" w:space="0" w:color="auto"/>
      </w:divBdr>
    </w:div>
    <w:div w:id="1999461963">
      <w:bodyDiv w:val="1"/>
      <w:marLeft w:val="0"/>
      <w:marRight w:val="0"/>
      <w:marTop w:val="0"/>
      <w:marBottom w:val="0"/>
      <w:divBdr>
        <w:top w:val="none" w:sz="0" w:space="0" w:color="auto"/>
        <w:left w:val="none" w:sz="0" w:space="0" w:color="auto"/>
        <w:bottom w:val="none" w:sz="0" w:space="0" w:color="auto"/>
        <w:right w:val="none" w:sz="0" w:space="0" w:color="auto"/>
      </w:divBdr>
    </w:div>
    <w:div w:id="2021277763">
      <w:bodyDiv w:val="1"/>
      <w:marLeft w:val="0"/>
      <w:marRight w:val="0"/>
      <w:marTop w:val="0"/>
      <w:marBottom w:val="0"/>
      <w:divBdr>
        <w:top w:val="none" w:sz="0" w:space="0" w:color="auto"/>
        <w:left w:val="none" w:sz="0" w:space="0" w:color="auto"/>
        <w:bottom w:val="none" w:sz="0" w:space="0" w:color="auto"/>
        <w:right w:val="none" w:sz="0" w:space="0" w:color="auto"/>
      </w:divBdr>
    </w:div>
    <w:div w:id="2108689254">
      <w:bodyDiv w:val="1"/>
      <w:marLeft w:val="0"/>
      <w:marRight w:val="0"/>
      <w:marTop w:val="0"/>
      <w:marBottom w:val="0"/>
      <w:divBdr>
        <w:top w:val="none" w:sz="0" w:space="0" w:color="auto"/>
        <w:left w:val="none" w:sz="0" w:space="0" w:color="auto"/>
        <w:bottom w:val="none" w:sz="0" w:space="0" w:color="auto"/>
        <w:right w:val="none" w:sz="0" w:space="0" w:color="auto"/>
      </w:divBdr>
    </w:div>
    <w:div w:id="2111192684">
      <w:bodyDiv w:val="1"/>
      <w:marLeft w:val="0"/>
      <w:marRight w:val="0"/>
      <w:marTop w:val="0"/>
      <w:marBottom w:val="0"/>
      <w:divBdr>
        <w:top w:val="none" w:sz="0" w:space="0" w:color="auto"/>
        <w:left w:val="none" w:sz="0" w:space="0" w:color="auto"/>
        <w:bottom w:val="none" w:sz="0" w:space="0" w:color="auto"/>
        <w:right w:val="none" w:sz="0" w:space="0" w:color="auto"/>
      </w:divBdr>
    </w:div>
    <w:div w:id="2122795163">
      <w:bodyDiv w:val="1"/>
      <w:marLeft w:val="0"/>
      <w:marRight w:val="0"/>
      <w:marTop w:val="0"/>
      <w:marBottom w:val="0"/>
      <w:divBdr>
        <w:top w:val="none" w:sz="0" w:space="0" w:color="auto"/>
        <w:left w:val="none" w:sz="0" w:space="0" w:color="auto"/>
        <w:bottom w:val="none" w:sz="0" w:space="0" w:color="auto"/>
        <w:right w:val="none" w:sz="0" w:space="0" w:color="auto"/>
      </w:divBdr>
    </w:div>
    <w:div w:id="212750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2.png"/><Relationship Id="rId21" Type="http://schemas.openxmlformats.org/officeDocument/2006/relationships/image" Target="media/image14.png"/><Relationship Id="rId63" Type="http://schemas.openxmlformats.org/officeDocument/2006/relationships/chart" Target="charts/chart30.xml"/><Relationship Id="rId159" Type="http://schemas.openxmlformats.org/officeDocument/2006/relationships/image" Target="media/image84.jpeg"/><Relationship Id="rId170" Type="http://schemas.openxmlformats.org/officeDocument/2006/relationships/chart" Target="charts/chart69.xml"/><Relationship Id="rId226" Type="http://schemas.openxmlformats.org/officeDocument/2006/relationships/chart" Target="charts/chart91.xml"/><Relationship Id="rId268" Type="http://schemas.openxmlformats.org/officeDocument/2006/relationships/image" Target="media/image138.emf"/><Relationship Id="rId32" Type="http://schemas.openxmlformats.org/officeDocument/2006/relationships/chart" Target="charts/chart1.xml"/><Relationship Id="rId74" Type="http://schemas.openxmlformats.org/officeDocument/2006/relationships/chart" Target="charts/chart41.xml"/><Relationship Id="rId128" Type="http://schemas.openxmlformats.org/officeDocument/2006/relationships/image" Target="media/image53.png"/><Relationship Id="rId5" Type="http://schemas.openxmlformats.org/officeDocument/2006/relationships/settings" Target="settings.xml"/><Relationship Id="rId181" Type="http://schemas.openxmlformats.org/officeDocument/2006/relationships/chart" Target="charts/chart80.xml"/><Relationship Id="rId237" Type="http://schemas.openxmlformats.org/officeDocument/2006/relationships/chart" Target="charts/chart101.xml"/><Relationship Id="rId279" Type="http://schemas.openxmlformats.org/officeDocument/2006/relationships/image" Target="media/image147.png"/><Relationship Id="rId43" Type="http://schemas.openxmlformats.org/officeDocument/2006/relationships/chart" Target="charts/chart12.xml"/><Relationship Id="rId139" Type="http://schemas.openxmlformats.org/officeDocument/2006/relationships/image" Target="media/image64.png"/><Relationship Id="rId85" Type="http://schemas.openxmlformats.org/officeDocument/2006/relationships/chart" Target="charts/chart52.xml"/><Relationship Id="rId150" Type="http://schemas.openxmlformats.org/officeDocument/2006/relationships/image" Target="media/image75.png"/><Relationship Id="rId171" Type="http://schemas.openxmlformats.org/officeDocument/2006/relationships/chart" Target="charts/chart70.xml"/><Relationship Id="rId192" Type="http://schemas.openxmlformats.org/officeDocument/2006/relationships/image" Target="media/image95.jpeg"/><Relationship Id="rId206" Type="http://schemas.openxmlformats.org/officeDocument/2006/relationships/image" Target="media/image108.png"/><Relationship Id="rId227" Type="http://schemas.openxmlformats.org/officeDocument/2006/relationships/chart" Target="charts/chart92.xml"/><Relationship Id="rId248" Type="http://schemas.openxmlformats.org/officeDocument/2006/relationships/image" Target="media/image132.jpeg"/><Relationship Id="rId269" Type="http://schemas.openxmlformats.org/officeDocument/2006/relationships/image" Target="media/image139.png"/><Relationship Id="rId12" Type="http://schemas.openxmlformats.org/officeDocument/2006/relationships/image" Target="media/image6.jpeg"/><Relationship Id="rId33" Type="http://schemas.openxmlformats.org/officeDocument/2006/relationships/chart" Target="charts/chart2.xml"/><Relationship Id="rId108" Type="http://schemas.openxmlformats.org/officeDocument/2006/relationships/image" Target="media/image34.png"/><Relationship Id="rId129" Type="http://schemas.openxmlformats.org/officeDocument/2006/relationships/image" Target="media/image54.png"/><Relationship Id="rId280" Type="http://schemas.openxmlformats.org/officeDocument/2006/relationships/image" Target="media/image148.png"/><Relationship Id="rId54" Type="http://schemas.openxmlformats.org/officeDocument/2006/relationships/chart" Target="charts/chart23.xml"/><Relationship Id="rId75" Type="http://schemas.openxmlformats.org/officeDocument/2006/relationships/chart" Target="charts/chart42.xml"/><Relationship Id="rId96" Type="http://schemas.openxmlformats.org/officeDocument/2006/relationships/chart" Target="charts/chart63.xml"/><Relationship Id="rId140" Type="http://schemas.openxmlformats.org/officeDocument/2006/relationships/image" Target="media/image65.png"/><Relationship Id="rId161" Type="http://schemas.openxmlformats.org/officeDocument/2006/relationships/image" Target="media/image86.jpeg"/><Relationship Id="rId182" Type="http://schemas.openxmlformats.org/officeDocument/2006/relationships/chart" Target="charts/chart81.xml"/><Relationship Id="rId217" Type="http://schemas.openxmlformats.org/officeDocument/2006/relationships/image" Target="media/image119.png"/><Relationship Id="rId6" Type="http://schemas.openxmlformats.org/officeDocument/2006/relationships/webSettings" Target="webSettings.xml"/><Relationship Id="rId238" Type="http://schemas.openxmlformats.org/officeDocument/2006/relationships/chart" Target="charts/chart102.xml"/><Relationship Id="rId259" Type="http://schemas.openxmlformats.org/officeDocument/2006/relationships/chart" Target="charts/chart117.xml"/><Relationship Id="rId23" Type="http://schemas.openxmlformats.org/officeDocument/2006/relationships/image" Target="media/image16.png"/><Relationship Id="rId119" Type="http://schemas.openxmlformats.org/officeDocument/2006/relationships/image" Target="media/image44.png"/><Relationship Id="rId270" Type="http://schemas.openxmlformats.org/officeDocument/2006/relationships/hyperlink" Target="https://www.google.com/search?sca_esv=a39744d3bd92150d&amp;q=https://akm.gov.al,kimikatet.al&amp;sa=X&amp;ved=2ahUKEwiJnb7diraUAxWO_rsIHXhJJbcQ7xYoAHoECBMQAQ" TargetMode="External"/><Relationship Id="rId44" Type="http://schemas.openxmlformats.org/officeDocument/2006/relationships/chart" Target="charts/chart13.xml"/><Relationship Id="rId65" Type="http://schemas.openxmlformats.org/officeDocument/2006/relationships/chart" Target="charts/chart32.xml"/><Relationship Id="rId86" Type="http://schemas.openxmlformats.org/officeDocument/2006/relationships/chart" Target="charts/chart53.xml"/><Relationship Id="rId130" Type="http://schemas.openxmlformats.org/officeDocument/2006/relationships/image" Target="media/image55.png"/><Relationship Id="rId151" Type="http://schemas.openxmlformats.org/officeDocument/2006/relationships/image" Target="media/image76.png"/><Relationship Id="rId172" Type="http://schemas.openxmlformats.org/officeDocument/2006/relationships/chart" Target="charts/chart71.xml"/><Relationship Id="rId193" Type="http://schemas.openxmlformats.org/officeDocument/2006/relationships/image" Target="media/image96.png"/><Relationship Id="rId207" Type="http://schemas.openxmlformats.org/officeDocument/2006/relationships/image" Target="media/image109.png"/><Relationship Id="rId228" Type="http://schemas.openxmlformats.org/officeDocument/2006/relationships/chart" Target="charts/chart93.xml"/><Relationship Id="rId249" Type="http://schemas.openxmlformats.org/officeDocument/2006/relationships/image" Target="media/image133.png"/><Relationship Id="rId13" Type="http://schemas.openxmlformats.org/officeDocument/2006/relationships/hyperlink" Target="http://www.mjedisi.gov.al/files/userfiles/Ajer/Ligji_i_ri_10431_dt_9_6_2011_per_mbrojtjen_e_mjedisit.doc" TargetMode="External"/><Relationship Id="rId109" Type="http://schemas.openxmlformats.org/officeDocument/2006/relationships/image" Target="media/image35.png"/><Relationship Id="rId260" Type="http://schemas.openxmlformats.org/officeDocument/2006/relationships/image" Target="media/image135.jpeg"/><Relationship Id="rId281" Type="http://schemas.openxmlformats.org/officeDocument/2006/relationships/image" Target="media/image149.png"/><Relationship Id="rId34" Type="http://schemas.openxmlformats.org/officeDocument/2006/relationships/chart" Target="charts/chart3.xml"/><Relationship Id="rId55" Type="http://schemas.openxmlformats.org/officeDocument/2006/relationships/chart" Target="charts/chart24.xml"/><Relationship Id="rId76" Type="http://schemas.openxmlformats.org/officeDocument/2006/relationships/chart" Target="charts/chart43.xml"/><Relationship Id="rId97" Type="http://schemas.openxmlformats.org/officeDocument/2006/relationships/chart" Target="charts/chart64.xml"/><Relationship Id="rId120" Type="http://schemas.openxmlformats.org/officeDocument/2006/relationships/image" Target="media/image45.png"/><Relationship Id="rId141" Type="http://schemas.openxmlformats.org/officeDocument/2006/relationships/image" Target="media/image66.png"/><Relationship Id="rId7" Type="http://schemas.openxmlformats.org/officeDocument/2006/relationships/footnotes" Target="footnotes.xml"/><Relationship Id="rId162" Type="http://schemas.openxmlformats.org/officeDocument/2006/relationships/image" Target="media/image87.jpeg"/><Relationship Id="rId183" Type="http://schemas.openxmlformats.org/officeDocument/2006/relationships/chart" Target="charts/chart82.xml"/><Relationship Id="rId218" Type="http://schemas.openxmlformats.org/officeDocument/2006/relationships/image" Target="media/image120.png"/><Relationship Id="rId239" Type="http://schemas.openxmlformats.org/officeDocument/2006/relationships/chart" Target="charts/chart103.xml"/><Relationship Id="rId250" Type="http://schemas.openxmlformats.org/officeDocument/2006/relationships/image" Target="media/image134.png"/><Relationship Id="rId271" Type="http://schemas.openxmlformats.org/officeDocument/2006/relationships/hyperlink" Target="mailto:info.kimikatet@akm.gov.al" TargetMode="External"/><Relationship Id="rId24" Type="http://schemas.openxmlformats.org/officeDocument/2006/relationships/image" Target="media/image17.png"/><Relationship Id="rId45" Type="http://schemas.openxmlformats.org/officeDocument/2006/relationships/chart" Target="charts/chart14.xml"/><Relationship Id="rId66" Type="http://schemas.openxmlformats.org/officeDocument/2006/relationships/chart" Target="charts/chart33.xml"/><Relationship Id="rId87" Type="http://schemas.openxmlformats.org/officeDocument/2006/relationships/chart" Target="charts/chart54.xml"/><Relationship Id="rId110" Type="http://schemas.openxmlformats.org/officeDocument/2006/relationships/image" Target="media/image36.png"/><Relationship Id="rId131" Type="http://schemas.openxmlformats.org/officeDocument/2006/relationships/image" Target="media/image56.png"/><Relationship Id="rId152" Type="http://schemas.openxmlformats.org/officeDocument/2006/relationships/image" Target="media/image77.png"/><Relationship Id="rId173" Type="http://schemas.openxmlformats.org/officeDocument/2006/relationships/chart" Target="charts/chart72.xml"/><Relationship Id="rId194" Type="http://schemas.openxmlformats.org/officeDocument/2006/relationships/image" Target="media/image97.jpeg"/><Relationship Id="rId208" Type="http://schemas.openxmlformats.org/officeDocument/2006/relationships/image" Target="media/image110.png"/><Relationship Id="rId229" Type="http://schemas.openxmlformats.org/officeDocument/2006/relationships/chart" Target="charts/chart94.xml"/><Relationship Id="rId240" Type="http://schemas.openxmlformats.org/officeDocument/2006/relationships/chart" Target="charts/chart104.xml"/><Relationship Id="rId261" Type="http://schemas.openxmlformats.org/officeDocument/2006/relationships/hyperlink" Target="https://finedu-my.sharepoint.com/personal/enkeleda_shkurta_fin_edu_al/_layouts/15/Doc.aspx?sourcedoc=%7B101B6BC0-021B-4676-8A52-ECDCAD8886F6%7D&amp;file=DRAFT_NID_2026_Albania_v0.1.docx&amp;action=default&amp;mobileredirect=true" TargetMode="External"/><Relationship Id="rId14" Type="http://schemas.openxmlformats.org/officeDocument/2006/relationships/image" Target="media/image7.png"/><Relationship Id="rId35" Type="http://schemas.openxmlformats.org/officeDocument/2006/relationships/chart" Target="charts/chart4.xml"/><Relationship Id="rId56" Type="http://schemas.openxmlformats.org/officeDocument/2006/relationships/chart" Target="charts/chart25.xml"/><Relationship Id="rId77" Type="http://schemas.openxmlformats.org/officeDocument/2006/relationships/chart" Target="charts/chart44.xml"/><Relationship Id="rId100" Type="http://schemas.openxmlformats.org/officeDocument/2006/relationships/chart" Target="charts/chart67.xml"/><Relationship Id="rId282" Type="http://schemas.openxmlformats.org/officeDocument/2006/relationships/image" Target="media/image150.png"/><Relationship Id="rId8" Type="http://schemas.openxmlformats.org/officeDocument/2006/relationships/endnotes" Target="endnotes.xml"/><Relationship Id="rId98" Type="http://schemas.openxmlformats.org/officeDocument/2006/relationships/chart" Target="charts/chart65.xml"/><Relationship Id="rId121" Type="http://schemas.openxmlformats.org/officeDocument/2006/relationships/image" Target="media/image46.png"/><Relationship Id="rId142" Type="http://schemas.openxmlformats.org/officeDocument/2006/relationships/image" Target="media/image67.png"/><Relationship Id="rId163" Type="http://schemas.openxmlformats.org/officeDocument/2006/relationships/image" Target="media/image88.jpeg"/><Relationship Id="rId184" Type="http://schemas.openxmlformats.org/officeDocument/2006/relationships/chart" Target="charts/chart83.xml"/><Relationship Id="rId219" Type="http://schemas.openxmlformats.org/officeDocument/2006/relationships/image" Target="media/image121.png"/><Relationship Id="rId230" Type="http://schemas.openxmlformats.org/officeDocument/2006/relationships/chart" Target="charts/chart95.xml"/><Relationship Id="rId251" Type="http://schemas.openxmlformats.org/officeDocument/2006/relationships/chart" Target="charts/chart109.xml"/><Relationship Id="rId25" Type="http://schemas.openxmlformats.org/officeDocument/2006/relationships/image" Target="media/image18.png"/><Relationship Id="rId46" Type="http://schemas.openxmlformats.org/officeDocument/2006/relationships/chart" Target="charts/chart15.xml"/><Relationship Id="rId67" Type="http://schemas.openxmlformats.org/officeDocument/2006/relationships/chart" Target="charts/chart34.xml"/><Relationship Id="rId272" Type="http://schemas.openxmlformats.org/officeDocument/2006/relationships/image" Target="media/image140.png"/><Relationship Id="rId88" Type="http://schemas.openxmlformats.org/officeDocument/2006/relationships/chart" Target="charts/chart55.xml"/><Relationship Id="rId111" Type="http://schemas.openxmlformats.org/officeDocument/2006/relationships/image" Target="media/image37.png"/><Relationship Id="rId132" Type="http://schemas.openxmlformats.org/officeDocument/2006/relationships/image" Target="media/image57.png"/><Relationship Id="rId153" Type="http://schemas.openxmlformats.org/officeDocument/2006/relationships/image" Target="media/image78.png"/><Relationship Id="rId174" Type="http://schemas.openxmlformats.org/officeDocument/2006/relationships/chart" Target="charts/chart73.xml"/><Relationship Id="rId195" Type="http://schemas.openxmlformats.org/officeDocument/2006/relationships/image" Target="media/image98.png"/><Relationship Id="rId209" Type="http://schemas.openxmlformats.org/officeDocument/2006/relationships/image" Target="media/image111.png"/><Relationship Id="rId220" Type="http://schemas.openxmlformats.org/officeDocument/2006/relationships/image" Target="media/image122.png"/><Relationship Id="rId241" Type="http://schemas.openxmlformats.org/officeDocument/2006/relationships/chart" Target="charts/chart105.xml"/><Relationship Id="rId15" Type="http://schemas.openxmlformats.org/officeDocument/2006/relationships/image" Target="media/image8.png"/><Relationship Id="rId36" Type="http://schemas.openxmlformats.org/officeDocument/2006/relationships/chart" Target="charts/chart5.xml"/><Relationship Id="rId57" Type="http://schemas.openxmlformats.org/officeDocument/2006/relationships/chart" Target="charts/chart26.xml"/><Relationship Id="rId262" Type="http://schemas.openxmlformats.org/officeDocument/2006/relationships/image" Target="media/image136.jpeg"/><Relationship Id="rId283" Type="http://schemas.openxmlformats.org/officeDocument/2006/relationships/image" Target="media/image151.png"/><Relationship Id="rId78" Type="http://schemas.openxmlformats.org/officeDocument/2006/relationships/chart" Target="charts/chart45.xml"/><Relationship Id="rId99" Type="http://schemas.openxmlformats.org/officeDocument/2006/relationships/chart" Target="charts/chart66.xml"/><Relationship Id="rId101" Type="http://schemas.openxmlformats.org/officeDocument/2006/relationships/image" Target="media/image27.jpeg"/><Relationship Id="rId122" Type="http://schemas.openxmlformats.org/officeDocument/2006/relationships/image" Target="media/image47.png"/><Relationship Id="rId143" Type="http://schemas.openxmlformats.org/officeDocument/2006/relationships/image" Target="media/image68.png"/><Relationship Id="rId164" Type="http://schemas.openxmlformats.org/officeDocument/2006/relationships/image" Target="media/image89.jpeg"/><Relationship Id="rId185" Type="http://schemas.openxmlformats.org/officeDocument/2006/relationships/chart" Target="charts/chart84.xml"/><Relationship Id="rId9" Type="http://schemas.openxmlformats.org/officeDocument/2006/relationships/image" Target="media/image3.wmf"/><Relationship Id="rId210" Type="http://schemas.openxmlformats.org/officeDocument/2006/relationships/image" Target="media/image112.png"/><Relationship Id="rId26" Type="http://schemas.openxmlformats.org/officeDocument/2006/relationships/image" Target="media/image19.png"/><Relationship Id="rId231" Type="http://schemas.openxmlformats.org/officeDocument/2006/relationships/chart" Target="charts/chart96.xml"/><Relationship Id="rId252" Type="http://schemas.openxmlformats.org/officeDocument/2006/relationships/chart" Target="charts/chart110.xml"/><Relationship Id="rId273" Type="http://schemas.openxmlformats.org/officeDocument/2006/relationships/image" Target="media/image141.png"/><Relationship Id="rId47" Type="http://schemas.openxmlformats.org/officeDocument/2006/relationships/chart" Target="charts/chart16.xml"/><Relationship Id="rId68" Type="http://schemas.openxmlformats.org/officeDocument/2006/relationships/chart" Target="charts/chart35.xml"/><Relationship Id="rId89" Type="http://schemas.openxmlformats.org/officeDocument/2006/relationships/chart" Target="charts/chart56.xml"/><Relationship Id="rId112" Type="http://schemas.openxmlformats.org/officeDocument/2006/relationships/image" Target="media/image38.png"/><Relationship Id="rId133" Type="http://schemas.openxmlformats.org/officeDocument/2006/relationships/image" Target="media/image58.png"/><Relationship Id="rId154" Type="http://schemas.openxmlformats.org/officeDocument/2006/relationships/image" Target="media/image79.png"/><Relationship Id="rId175" Type="http://schemas.openxmlformats.org/officeDocument/2006/relationships/chart" Target="charts/chart74.xml"/><Relationship Id="rId196" Type="http://schemas.openxmlformats.org/officeDocument/2006/relationships/image" Target="media/image99.png"/><Relationship Id="rId200" Type="http://schemas.openxmlformats.org/officeDocument/2006/relationships/image" Target="media/image102.png"/><Relationship Id="rId16" Type="http://schemas.openxmlformats.org/officeDocument/2006/relationships/image" Target="media/image9.png"/><Relationship Id="rId221" Type="http://schemas.openxmlformats.org/officeDocument/2006/relationships/image" Target="media/image123.png"/><Relationship Id="rId242" Type="http://schemas.openxmlformats.org/officeDocument/2006/relationships/chart" Target="charts/chart106.xml"/><Relationship Id="rId263" Type="http://schemas.openxmlformats.org/officeDocument/2006/relationships/hyperlink" Target="https://circularhub.al/" TargetMode="External"/><Relationship Id="rId284" Type="http://schemas.openxmlformats.org/officeDocument/2006/relationships/image" Target="media/image152.png"/><Relationship Id="rId37" Type="http://schemas.openxmlformats.org/officeDocument/2006/relationships/chart" Target="charts/chart6.xml"/><Relationship Id="rId58" Type="http://schemas.openxmlformats.org/officeDocument/2006/relationships/chart" Target="charts/chart27.xml"/><Relationship Id="rId79" Type="http://schemas.openxmlformats.org/officeDocument/2006/relationships/chart" Target="charts/chart46.xml"/><Relationship Id="rId102" Type="http://schemas.openxmlformats.org/officeDocument/2006/relationships/image" Target="media/image28.png"/><Relationship Id="rId123" Type="http://schemas.openxmlformats.org/officeDocument/2006/relationships/image" Target="media/image48.png"/><Relationship Id="rId144" Type="http://schemas.openxmlformats.org/officeDocument/2006/relationships/image" Target="media/image69.png"/><Relationship Id="rId90" Type="http://schemas.openxmlformats.org/officeDocument/2006/relationships/chart" Target="charts/chart57.xml"/><Relationship Id="rId165" Type="http://schemas.openxmlformats.org/officeDocument/2006/relationships/image" Target="media/image90.jpeg"/><Relationship Id="rId186" Type="http://schemas.openxmlformats.org/officeDocument/2006/relationships/chart" Target="charts/chart85.xml"/><Relationship Id="rId211" Type="http://schemas.openxmlformats.org/officeDocument/2006/relationships/image" Target="media/image113.png"/><Relationship Id="rId232" Type="http://schemas.openxmlformats.org/officeDocument/2006/relationships/chart" Target="charts/chart97.xml"/><Relationship Id="rId253" Type="http://schemas.openxmlformats.org/officeDocument/2006/relationships/chart" Target="charts/chart111.xml"/><Relationship Id="rId274" Type="http://schemas.openxmlformats.org/officeDocument/2006/relationships/image" Target="media/image142.png"/><Relationship Id="rId27" Type="http://schemas.openxmlformats.org/officeDocument/2006/relationships/image" Target="media/image20.png"/><Relationship Id="rId48" Type="http://schemas.openxmlformats.org/officeDocument/2006/relationships/chart" Target="charts/chart17.xml"/><Relationship Id="rId69" Type="http://schemas.openxmlformats.org/officeDocument/2006/relationships/chart" Target="charts/chart36.xml"/><Relationship Id="rId113" Type="http://schemas.openxmlformats.org/officeDocument/2006/relationships/image" Target="media/image39.png"/><Relationship Id="rId134" Type="http://schemas.openxmlformats.org/officeDocument/2006/relationships/image" Target="media/image59.png"/><Relationship Id="rId80" Type="http://schemas.openxmlformats.org/officeDocument/2006/relationships/chart" Target="charts/chart47.xml"/><Relationship Id="rId155" Type="http://schemas.openxmlformats.org/officeDocument/2006/relationships/image" Target="media/image80.png"/><Relationship Id="rId176" Type="http://schemas.openxmlformats.org/officeDocument/2006/relationships/chart" Target="charts/chart75.xml"/><Relationship Id="rId197" Type="http://schemas.openxmlformats.org/officeDocument/2006/relationships/hyperlink" Target="https://tableau-public.discomap.eea.europa.eu/views/BWD_assessment_analysis/1Country" TargetMode="External"/><Relationship Id="rId201" Type="http://schemas.openxmlformats.org/officeDocument/2006/relationships/image" Target="media/image103.png"/><Relationship Id="rId222" Type="http://schemas.openxmlformats.org/officeDocument/2006/relationships/image" Target="media/image124.png"/><Relationship Id="rId243" Type="http://schemas.openxmlformats.org/officeDocument/2006/relationships/image" Target="media/image129.jpeg"/><Relationship Id="rId264" Type="http://schemas.openxmlformats.org/officeDocument/2006/relationships/image" Target="media/image137.png"/><Relationship Id="rId285" Type="http://schemas.openxmlformats.org/officeDocument/2006/relationships/fontTable" Target="fontTable.xml"/><Relationship Id="rId17" Type="http://schemas.openxmlformats.org/officeDocument/2006/relationships/image" Target="media/image10.png"/><Relationship Id="rId38" Type="http://schemas.openxmlformats.org/officeDocument/2006/relationships/chart" Target="charts/chart7.xml"/><Relationship Id="rId59" Type="http://schemas.openxmlformats.org/officeDocument/2006/relationships/chart" Target="charts/chart28.xml"/><Relationship Id="rId103" Type="http://schemas.openxmlformats.org/officeDocument/2006/relationships/image" Target="media/image29.png"/><Relationship Id="rId124" Type="http://schemas.openxmlformats.org/officeDocument/2006/relationships/image" Target="media/image49.png"/><Relationship Id="rId70" Type="http://schemas.openxmlformats.org/officeDocument/2006/relationships/chart" Target="charts/chart37.xml"/><Relationship Id="rId91" Type="http://schemas.openxmlformats.org/officeDocument/2006/relationships/chart" Target="charts/chart58.xml"/><Relationship Id="rId145" Type="http://schemas.openxmlformats.org/officeDocument/2006/relationships/image" Target="media/image70.png"/><Relationship Id="rId166" Type="http://schemas.openxmlformats.org/officeDocument/2006/relationships/image" Target="media/image91.jpeg"/><Relationship Id="rId187" Type="http://schemas.openxmlformats.org/officeDocument/2006/relationships/chart" Target="charts/chart86.xml"/><Relationship Id="rId1" Type="http://schemas.openxmlformats.org/officeDocument/2006/relationships/customXml" Target="../customXml/item1.xml"/><Relationship Id="rId212" Type="http://schemas.openxmlformats.org/officeDocument/2006/relationships/image" Target="media/image114.png"/><Relationship Id="rId233" Type="http://schemas.openxmlformats.org/officeDocument/2006/relationships/image" Target="media/image128.jpeg"/><Relationship Id="rId254" Type="http://schemas.openxmlformats.org/officeDocument/2006/relationships/chart" Target="charts/chart112.xml"/><Relationship Id="rId28" Type="http://schemas.openxmlformats.org/officeDocument/2006/relationships/image" Target="media/image21.png"/><Relationship Id="rId49" Type="http://schemas.openxmlformats.org/officeDocument/2006/relationships/chart" Target="charts/chart18.xml"/><Relationship Id="rId114" Type="http://schemas.openxmlformats.org/officeDocument/2006/relationships/image" Target="media/image40.png"/><Relationship Id="rId275" Type="http://schemas.openxmlformats.org/officeDocument/2006/relationships/image" Target="media/image143.png"/><Relationship Id="rId60" Type="http://schemas.openxmlformats.org/officeDocument/2006/relationships/image" Target="media/image25.jpeg"/><Relationship Id="rId81" Type="http://schemas.openxmlformats.org/officeDocument/2006/relationships/chart" Target="charts/chart48.xml"/><Relationship Id="rId135" Type="http://schemas.openxmlformats.org/officeDocument/2006/relationships/image" Target="media/image60.png"/><Relationship Id="rId156" Type="http://schemas.openxmlformats.org/officeDocument/2006/relationships/image" Target="media/image81.jpeg"/><Relationship Id="rId177" Type="http://schemas.openxmlformats.org/officeDocument/2006/relationships/chart" Target="charts/chart76.xml"/><Relationship Id="rId198" Type="http://schemas.openxmlformats.org/officeDocument/2006/relationships/image" Target="media/image100.png"/><Relationship Id="rId202" Type="http://schemas.openxmlformats.org/officeDocument/2006/relationships/image" Target="media/image104.png"/><Relationship Id="rId223" Type="http://schemas.openxmlformats.org/officeDocument/2006/relationships/image" Target="media/image125.png"/><Relationship Id="rId244" Type="http://schemas.openxmlformats.org/officeDocument/2006/relationships/image" Target="media/image130.jpeg"/><Relationship Id="rId18" Type="http://schemas.openxmlformats.org/officeDocument/2006/relationships/image" Target="media/image11.png"/><Relationship Id="rId39" Type="http://schemas.openxmlformats.org/officeDocument/2006/relationships/chart" Target="charts/chart8.xml"/><Relationship Id="rId265" Type="http://schemas.openxmlformats.org/officeDocument/2006/relationships/chart" Target="charts/chart118.xml"/><Relationship Id="rId286" Type="http://schemas.openxmlformats.org/officeDocument/2006/relationships/theme" Target="theme/theme1.xml"/><Relationship Id="rId50" Type="http://schemas.openxmlformats.org/officeDocument/2006/relationships/chart" Target="charts/chart19.xml"/><Relationship Id="rId104" Type="http://schemas.openxmlformats.org/officeDocument/2006/relationships/image" Target="media/image30.png"/><Relationship Id="rId125" Type="http://schemas.openxmlformats.org/officeDocument/2006/relationships/image" Target="media/image50.png"/><Relationship Id="rId146" Type="http://schemas.openxmlformats.org/officeDocument/2006/relationships/image" Target="media/image71.png"/><Relationship Id="rId167" Type="http://schemas.openxmlformats.org/officeDocument/2006/relationships/image" Target="media/image92.png"/><Relationship Id="rId188" Type="http://schemas.openxmlformats.org/officeDocument/2006/relationships/chart" Target="charts/chart87.xml"/><Relationship Id="rId71" Type="http://schemas.openxmlformats.org/officeDocument/2006/relationships/chart" Target="charts/chart38.xml"/><Relationship Id="rId92" Type="http://schemas.openxmlformats.org/officeDocument/2006/relationships/chart" Target="charts/chart59.xml"/><Relationship Id="rId213" Type="http://schemas.openxmlformats.org/officeDocument/2006/relationships/image" Target="media/image115.png"/><Relationship Id="rId234" Type="http://schemas.openxmlformats.org/officeDocument/2006/relationships/chart" Target="charts/chart98.xml"/><Relationship Id="rId2" Type="http://schemas.openxmlformats.org/officeDocument/2006/relationships/customXml" Target="../customXml/item2.xml"/><Relationship Id="rId29" Type="http://schemas.openxmlformats.org/officeDocument/2006/relationships/image" Target="media/image22.png"/><Relationship Id="rId255" Type="http://schemas.openxmlformats.org/officeDocument/2006/relationships/chart" Target="charts/chart113.xml"/><Relationship Id="rId276" Type="http://schemas.openxmlformats.org/officeDocument/2006/relationships/image" Target="media/image144.png"/><Relationship Id="rId40" Type="http://schemas.openxmlformats.org/officeDocument/2006/relationships/chart" Target="charts/chart9.xml"/><Relationship Id="rId115" Type="http://schemas.openxmlformats.org/officeDocument/2006/relationships/image" Target="media/image41.png"/><Relationship Id="rId136" Type="http://schemas.openxmlformats.org/officeDocument/2006/relationships/image" Target="media/image61.png"/><Relationship Id="rId157" Type="http://schemas.openxmlformats.org/officeDocument/2006/relationships/image" Target="media/image82.jpeg"/><Relationship Id="rId178" Type="http://schemas.openxmlformats.org/officeDocument/2006/relationships/chart" Target="charts/chart77.xml"/><Relationship Id="rId61" Type="http://schemas.openxmlformats.org/officeDocument/2006/relationships/image" Target="media/image26.jpeg"/><Relationship Id="rId82" Type="http://schemas.openxmlformats.org/officeDocument/2006/relationships/chart" Target="charts/chart49.xml"/><Relationship Id="rId199" Type="http://schemas.openxmlformats.org/officeDocument/2006/relationships/image" Target="media/image101.png"/><Relationship Id="rId203" Type="http://schemas.openxmlformats.org/officeDocument/2006/relationships/image" Target="media/image105.png"/><Relationship Id="rId19" Type="http://schemas.openxmlformats.org/officeDocument/2006/relationships/image" Target="media/image12.png"/><Relationship Id="rId224" Type="http://schemas.openxmlformats.org/officeDocument/2006/relationships/image" Target="media/image126.png"/><Relationship Id="rId245" Type="http://schemas.openxmlformats.org/officeDocument/2006/relationships/chart" Target="charts/chart107.xml"/><Relationship Id="rId266" Type="http://schemas.openxmlformats.org/officeDocument/2006/relationships/header" Target="header1.xml"/><Relationship Id="rId30" Type="http://schemas.openxmlformats.org/officeDocument/2006/relationships/image" Target="media/image23.png"/><Relationship Id="rId105" Type="http://schemas.openxmlformats.org/officeDocument/2006/relationships/image" Target="media/image31.png"/><Relationship Id="rId126" Type="http://schemas.openxmlformats.org/officeDocument/2006/relationships/image" Target="media/image51.png"/><Relationship Id="rId147" Type="http://schemas.openxmlformats.org/officeDocument/2006/relationships/image" Target="media/image72.png"/><Relationship Id="rId168" Type="http://schemas.openxmlformats.org/officeDocument/2006/relationships/image" Target="media/image93.png"/><Relationship Id="rId51" Type="http://schemas.openxmlformats.org/officeDocument/2006/relationships/chart" Target="charts/chart20.xml"/><Relationship Id="rId72" Type="http://schemas.openxmlformats.org/officeDocument/2006/relationships/chart" Target="charts/chart39.xml"/><Relationship Id="rId93" Type="http://schemas.openxmlformats.org/officeDocument/2006/relationships/chart" Target="charts/chart60.xml"/><Relationship Id="rId189" Type="http://schemas.openxmlformats.org/officeDocument/2006/relationships/chart" Target="charts/chart88.xml"/><Relationship Id="rId3" Type="http://schemas.openxmlformats.org/officeDocument/2006/relationships/numbering" Target="numbering.xml"/><Relationship Id="rId214" Type="http://schemas.openxmlformats.org/officeDocument/2006/relationships/image" Target="media/image116.png"/><Relationship Id="rId235" Type="http://schemas.openxmlformats.org/officeDocument/2006/relationships/chart" Target="charts/chart99.xml"/><Relationship Id="rId256" Type="http://schemas.openxmlformats.org/officeDocument/2006/relationships/chart" Target="charts/chart114.xml"/><Relationship Id="rId277" Type="http://schemas.openxmlformats.org/officeDocument/2006/relationships/image" Target="media/image145.png"/><Relationship Id="rId116" Type="http://schemas.openxmlformats.org/officeDocument/2006/relationships/chart" Target="charts/chart68.xml"/><Relationship Id="rId137" Type="http://schemas.openxmlformats.org/officeDocument/2006/relationships/image" Target="media/image62.png"/><Relationship Id="rId158" Type="http://schemas.openxmlformats.org/officeDocument/2006/relationships/image" Target="media/image83.jpeg"/><Relationship Id="rId20" Type="http://schemas.openxmlformats.org/officeDocument/2006/relationships/image" Target="media/image13.png"/><Relationship Id="rId41" Type="http://schemas.openxmlformats.org/officeDocument/2006/relationships/chart" Target="charts/chart10.xml"/><Relationship Id="rId62" Type="http://schemas.openxmlformats.org/officeDocument/2006/relationships/chart" Target="charts/chart29.xml"/><Relationship Id="rId83" Type="http://schemas.openxmlformats.org/officeDocument/2006/relationships/chart" Target="charts/chart50.xml"/><Relationship Id="rId179" Type="http://schemas.openxmlformats.org/officeDocument/2006/relationships/chart" Target="charts/chart78.xml"/><Relationship Id="rId190" Type="http://schemas.openxmlformats.org/officeDocument/2006/relationships/chart" Target="charts/chart89.xml"/><Relationship Id="rId204" Type="http://schemas.openxmlformats.org/officeDocument/2006/relationships/image" Target="media/image106.png"/><Relationship Id="rId225" Type="http://schemas.openxmlformats.org/officeDocument/2006/relationships/image" Target="media/image127.png"/><Relationship Id="rId246" Type="http://schemas.openxmlformats.org/officeDocument/2006/relationships/image" Target="media/image131.png"/><Relationship Id="rId267" Type="http://schemas.openxmlformats.org/officeDocument/2006/relationships/footer" Target="footer1.xml"/><Relationship Id="rId106" Type="http://schemas.openxmlformats.org/officeDocument/2006/relationships/image" Target="media/image32.png"/><Relationship Id="rId127" Type="http://schemas.openxmlformats.org/officeDocument/2006/relationships/image" Target="media/image52.png"/><Relationship Id="rId10" Type="http://schemas.openxmlformats.org/officeDocument/2006/relationships/image" Target="media/image4.jpeg"/><Relationship Id="rId31" Type="http://schemas.openxmlformats.org/officeDocument/2006/relationships/image" Target="media/image24.jpeg"/><Relationship Id="rId52" Type="http://schemas.openxmlformats.org/officeDocument/2006/relationships/chart" Target="charts/chart21.xml"/><Relationship Id="rId73" Type="http://schemas.openxmlformats.org/officeDocument/2006/relationships/chart" Target="charts/chart40.xml"/><Relationship Id="rId94" Type="http://schemas.openxmlformats.org/officeDocument/2006/relationships/chart" Target="charts/chart61.xml"/><Relationship Id="rId148" Type="http://schemas.openxmlformats.org/officeDocument/2006/relationships/image" Target="media/image73.png"/><Relationship Id="rId169" Type="http://schemas.openxmlformats.org/officeDocument/2006/relationships/image" Target="media/image94.jpeg"/><Relationship Id="rId4" Type="http://schemas.openxmlformats.org/officeDocument/2006/relationships/styles" Target="styles.xml"/><Relationship Id="rId180" Type="http://schemas.openxmlformats.org/officeDocument/2006/relationships/chart" Target="charts/chart79.xml"/><Relationship Id="rId215" Type="http://schemas.openxmlformats.org/officeDocument/2006/relationships/image" Target="media/image117.png"/><Relationship Id="rId236" Type="http://schemas.openxmlformats.org/officeDocument/2006/relationships/chart" Target="charts/chart100.xml"/><Relationship Id="rId257" Type="http://schemas.openxmlformats.org/officeDocument/2006/relationships/chart" Target="charts/chart115.xml"/><Relationship Id="rId278" Type="http://schemas.openxmlformats.org/officeDocument/2006/relationships/image" Target="media/image146.png"/><Relationship Id="rId42" Type="http://schemas.openxmlformats.org/officeDocument/2006/relationships/chart" Target="charts/chart11.xml"/><Relationship Id="rId84" Type="http://schemas.openxmlformats.org/officeDocument/2006/relationships/chart" Target="charts/chart51.xml"/><Relationship Id="rId138" Type="http://schemas.openxmlformats.org/officeDocument/2006/relationships/image" Target="media/image63.png"/><Relationship Id="rId191" Type="http://schemas.openxmlformats.org/officeDocument/2006/relationships/chart" Target="charts/chart90.xml"/><Relationship Id="rId205" Type="http://schemas.openxmlformats.org/officeDocument/2006/relationships/image" Target="media/image107.png"/><Relationship Id="rId247" Type="http://schemas.openxmlformats.org/officeDocument/2006/relationships/chart" Target="charts/chart108.xml"/><Relationship Id="rId107" Type="http://schemas.openxmlformats.org/officeDocument/2006/relationships/image" Target="media/image33.png"/><Relationship Id="rId11" Type="http://schemas.openxmlformats.org/officeDocument/2006/relationships/image" Target="media/image5.png"/><Relationship Id="rId53" Type="http://schemas.openxmlformats.org/officeDocument/2006/relationships/chart" Target="charts/chart22.xml"/><Relationship Id="rId149" Type="http://schemas.openxmlformats.org/officeDocument/2006/relationships/image" Target="media/image74.png"/><Relationship Id="rId95" Type="http://schemas.openxmlformats.org/officeDocument/2006/relationships/chart" Target="charts/chart62.xml"/><Relationship Id="rId160" Type="http://schemas.openxmlformats.org/officeDocument/2006/relationships/image" Target="media/image85.png"/><Relationship Id="rId216" Type="http://schemas.openxmlformats.org/officeDocument/2006/relationships/image" Target="media/image118.png"/><Relationship Id="rId258" Type="http://schemas.openxmlformats.org/officeDocument/2006/relationships/chart" Target="charts/chart116.xml"/><Relationship Id="rId22" Type="http://schemas.openxmlformats.org/officeDocument/2006/relationships/image" Target="media/image15.png"/><Relationship Id="rId64" Type="http://schemas.openxmlformats.org/officeDocument/2006/relationships/chart" Target="charts/chart31.xml"/><Relationship Id="rId118" Type="http://schemas.openxmlformats.org/officeDocument/2006/relationships/image" Target="media/image4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00.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karavasta.final.xlsx" TargetMode="External"/><Relationship Id="rId1" Type="http://schemas.openxmlformats.org/officeDocument/2006/relationships/themeOverride" Target="../theme/themeOverride100.xml"/></Relationships>
</file>

<file path=word/charts/_rels/chart101.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karavasta.final.xlsx" TargetMode="External"/><Relationship Id="rId1" Type="http://schemas.openxmlformats.org/officeDocument/2006/relationships/themeOverride" Target="../theme/themeOverride101.xml"/></Relationships>
</file>

<file path=word/charts/_rels/chart102.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Narta.final.xlsx" TargetMode="External"/><Relationship Id="rId1" Type="http://schemas.openxmlformats.org/officeDocument/2006/relationships/themeOverride" Target="../theme/themeOverride102.xml"/></Relationships>
</file>

<file path=word/charts/_rels/chart103.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Narta.final.xlsx" TargetMode="External"/><Relationship Id="rId1" Type="http://schemas.openxmlformats.org/officeDocument/2006/relationships/themeOverride" Target="../theme/themeOverride103.xml"/></Relationships>
</file>

<file path=word/charts/_rels/chart104.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Narta.final.xlsx" TargetMode="External"/><Relationship Id="rId1" Type="http://schemas.openxmlformats.org/officeDocument/2006/relationships/themeOverride" Target="../theme/themeOverride104.xml"/></Relationships>
</file>

<file path=word/charts/_rels/chart105.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BUTRINTI.vjetor.xlsx" TargetMode="External"/><Relationship Id="rId1" Type="http://schemas.openxmlformats.org/officeDocument/2006/relationships/themeOverride" Target="../theme/themeOverride105.xml"/></Relationships>
</file>

<file path=word/charts/_rels/chart106.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BUTRINTI.vjetor.xlsx" TargetMode="External"/><Relationship Id="rId1" Type="http://schemas.openxmlformats.org/officeDocument/2006/relationships/themeOverride" Target="../theme/themeOverride106.xml"/></Relationships>
</file>

<file path=word/charts/_rels/chart107.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107.xml"/></Relationships>
</file>

<file path=word/charts/_rels/chart108.xml.rels><?xml version="1.0" encoding="UTF-8" standalone="yes"?>
<Relationships xmlns="http://schemas.openxmlformats.org/package/2006/relationships"><Relationship Id="rId1" Type="http://schemas.openxmlformats.org/officeDocument/2006/relationships/oleObject" Target="file:///C:\Users\C.S.T\Desktop\RGJM%202025\grafik%20RGjM%202025.xlsx" TargetMode="External"/></Relationships>
</file>

<file path=word/charts/_rels/chart109.xml.rels><?xml version="1.0" encoding="UTF-8" standalone="yes"?>
<Relationships xmlns="http://schemas.openxmlformats.org/package/2006/relationships"><Relationship Id="rId2" Type="http://schemas.openxmlformats.org/officeDocument/2006/relationships/oleObject" Target="file:///C:\Users\DELL\AppData\Local\Temp\b47d1747-8533-433b-8282-f9ca7414711e_archive%20(4).zip.11e\Lista%20e%20fondit%20te%20%20BMA_database_Final%202010.xls" TargetMode="External"/><Relationship Id="rId1" Type="http://schemas.openxmlformats.org/officeDocument/2006/relationships/themeOverride" Target="../theme/themeOverride10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10.xml.rels><?xml version="1.0" encoding="UTF-8" standalone="yes"?>
<Relationships xmlns="http://schemas.openxmlformats.org/package/2006/relationships"><Relationship Id="rId2" Type="http://schemas.openxmlformats.org/officeDocument/2006/relationships/oleObject" Target="file:///C:\Users\DELL\AppData\Local\Temp\b47d1747-8533-433b-8282-f9ca7414711e_archive%20(4).zip.11e\Lista%20e%20fondit%20te%20%20BMA_database_Final%202010.xls" TargetMode="External"/><Relationship Id="rId1" Type="http://schemas.openxmlformats.org/officeDocument/2006/relationships/themeOverride" Target="../theme/themeOverride109.xml"/></Relationships>
</file>

<file path=word/charts/_rels/chart11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10.xml"/></Relationships>
</file>

<file path=word/charts/_rels/chart112.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111.xml"/></Relationships>
</file>

<file path=word/charts/_rels/chart113.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112.xml"/></Relationships>
</file>

<file path=word/charts/_rels/chart114.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113.xml"/></Relationships>
</file>

<file path=word/charts/_rels/chart115.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114.xml"/></Relationships>
</file>

<file path=word/charts/_rels/chart116.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115.xml"/></Relationships>
</file>

<file path=word/charts/_rels/chart117.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116.xml"/></Relationships>
</file>

<file path=word/charts/_rels/chart118.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11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35.xml"/></Relationships>
</file>

<file path=word/charts/_rels/chart36.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36.xml"/></Relationships>
</file>

<file path=word/charts/_rels/chart37.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37.xml"/></Relationships>
</file>

<file path=word/charts/_rels/chart38.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38.xml"/></Relationships>
</file>

<file path=word/charts/_rels/chart39.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39.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40.xml"/></Relationships>
</file>

<file path=word/charts/_rels/chart41.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41.xml"/></Relationships>
</file>

<file path=word/charts/_rels/chart42.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42.xml"/></Relationships>
</file>

<file path=word/charts/_rels/chart43.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43.xml"/></Relationships>
</file>

<file path=word/charts/_rels/chart44.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44.xml"/></Relationships>
</file>

<file path=word/charts/_rels/chart45.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45.xml"/></Relationships>
</file>

<file path=word/charts/_rels/chart46.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46.xml"/></Relationships>
</file>

<file path=word/charts/_rels/chart47.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47.xml"/></Relationships>
</file>

<file path=word/charts/_rels/chart48.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48.xml"/></Relationships>
</file>

<file path=word/charts/_rels/chart49.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49.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50.xml"/></Relationships>
</file>

<file path=word/charts/_rels/chart51.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51.xml"/></Relationships>
</file>

<file path=word/charts/_rels/chart52.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52.xml"/></Relationships>
</file>

<file path=word/charts/_rels/chart53.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53.xml"/></Relationships>
</file>

<file path=word/charts/_rels/chart54.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54.xml"/></Relationships>
</file>

<file path=word/charts/_rels/chart55.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55.xml"/></Relationships>
</file>

<file path=word/charts/_rels/chart56.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56.xml"/></Relationships>
</file>

<file path=word/charts/_rels/chart57.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57.xml"/></Relationships>
</file>

<file path=word/charts/_rels/chart58.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58.xml"/></Relationships>
</file>

<file path=word/charts/_rels/chart59.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59.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60.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60.xml"/></Relationships>
</file>

<file path=word/charts/_rels/chart61.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61.xml"/></Relationships>
</file>

<file path=word/charts/_rels/chart62.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62.xml"/></Relationships>
</file>

<file path=word/charts/_rels/chart63.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63.xml"/></Relationships>
</file>

<file path=word/charts/_rels/chart64.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64.xml"/></Relationships>
</file>

<file path=word/charts/_rels/chart65.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65.xml"/></Relationships>
</file>

<file path=word/charts/_rels/chart66.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66.xml"/></Relationships>
</file>

<file path=word/charts/_rels/chart67.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67.xml"/></Relationships>
</file>

<file path=word/charts/_rels/chart68.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68.xml"/></Relationships>
</file>

<file path=word/charts/_rels/chart69.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SHKODRA.%20vjetor.xlsx" TargetMode="External"/><Relationship Id="rId1" Type="http://schemas.openxmlformats.org/officeDocument/2006/relationships/themeOverride" Target="../theme/themeOverride69.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70.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SHKODRA.%20vjetor.xlsx" TargetMode="External"/><Relationship Id="rId1" Type="http://schemas.openxmlformats.org/officeDocument/2006/relationships/themeOverride" Target="../theme/themeOverride70.xml"/></Relationships>
</file>

<file path=word/charts/_rels/chart71.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SHKODRA.%20vjetor.xlsx" TargetMode="External"/><Relationship Id="rId1" Type="http://schemas.openxmlformats.org/officeDocument/2006/relationships/themeOverride" Target="../theme/themeOverride71.xml"/></Relationships>
</file>

<file path=word/charts/_rels/chart72.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SHKODRA.%20vjetor.xlsx" TargetMode="External"/><Relationship Id="rId1" Type="http://schemas.openxmlformats.org/officeDocument/2006/relationships/themeOverride" Target="../theme/themeOverride72.xml"/></Relationships>
</file>

<file path=word/charts/_rels/chart73.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SHKODRA.%20vjetor.xlsx" TargetMode="External"/><Relationship Id="rId1" Type="http://schemas.openxmlformats.org/officeDocument/2006/relationships/themeOverride" Target="../theme/themeOverride73.xml"/></Relationships>
</file>

<file path=word/charts/_rels/chart74.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OHRI.vjetor.xlsx" TargetMode="External"/><Relationship Id="rId1" Type="http://schemas.openxmlformats.org/officeDocument/2006/relationships/themeOverride" Target="../theme/themeOverride74.xml"/></Relationships>
</file>

<file path=word/charts/_rels/chart75.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OHRI.vjetor.xlsx" TargetMode="External"/><Relationship Id="rId1" Type="http://schemas.openxmlformats.org/officeDocument/2006/relationships/themeOverride" Target="../theme/themeOverride75.xml"/></Relationships>
</file>

<file path=word/charts/_rels/chart76.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OHRI.vjetor.xlsx" TargetMode="External"/><Relationship Id="rId1" Type="http://schemas.openxmlformats.org/officeDocument/2006/relationships/themeOverride" Target="../theme/themeOverride76.xml"/></Relationships>
</file>

<file path=word/charts/_rels/chart77.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OHRI.vjetor.xlsx" TargetMode="External"/><Relationship Id="rId1" Type="http://schemas.openxmlformats.org/officeDocument/2006/relationships/themeOverride" Target="../theme/themeOverride77.xml"/></Relationships>
</file>

<file path=word/charts/_rels/chart78.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OHRI.vjetor.xlsx" TargetMode="External"/><Relationship Id="rId1" Type="http://schemas.openxmlformats.org/officeDocument/2006/relationships/themeOverride" Target="../theme/themeOverride78.xml"/></Relationships>
</file>

<file path=word/charts/_rels/chart79.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79.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80.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80.xml"/></Relationships>
</file>

<file path=word/charts/_rels/chart81.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81.xml"/></Relationships>
</file>

<file path=word/charts/_rels/chart82.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82.xml"/></Relationships>
</file>

<file path=word/charts/_rels/chart83.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83.xml"/></Relationships>
</file>

<file path=word/charts/_rels/chart84.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84.xml"/></Relationships>
</file>

<file path=word/charts/_rels/chart85.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e%20baseneve%20vjetore%202025.xls" TargetMode="External"/><Relationship Id="rId1" Type="http://schemas.openxmlformats.org/officeDocument/2006/relationships/themeOverride" Target="../theme/themeOverride85.xml"/></Relationships>
</file>

<file path=word/charts/_rels/chart86.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PRESPA.vjetore.xlsx" TargetMode="External"/><Relationship Id="rId1" Type="http://schemas.openxmlformats.org/officeDocument/2006/relationships/themeOverride" Target="../theme/themeOverride86.xml"/></Relationships>
</file>

<file path=word/charts/_rels/chart87.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PRESPA.vjetore.xlsx" TargetMode="External"/><Relationship Id="rId1" Type="http://schemas.openxmlformats.org/officeDocument/2006/relationships/themeOverride" Target="../theme/themeOverride87.xml"/></Relationships>
</file>

<file path=word/charts/_rels/chart88.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PRESPA.vjetore.xlsx" TargetMode="External"/><Relationship Id="rId1" Type="http://schemas.openxmlformats.org/officeDocument/2006/relationships/themeOverride" Target="../theme/themeOverride88.xml"/></Relationships>
</file>

<file path=word/charts/_rels/chart89.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PRESPA.vjetore.xlsx" TargetMode="External"/><Relationship Id="rId1" Type="http://schemas.openxmlformats.org/officeDocument/2006/relationships/themeOverride" Target="../theme/themeOverride89.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_rels/chart90.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PRESPA.vjetore.xlsx" TargetMode="External"/><Relationship Id="rId1" Type="http://schemas.openxmlformats.org/officeDocument/2006/relationships/themeOverride" Target="../theme/themeOverride90.xml"/></Relationships>
</file>

<file path=word/charts/_rels/chart91.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zonat%20bregdetare%20vjetore.xls" TargetMode="External"/><Relationship Id="rId1" Type="http://schemas.openxmlformats.org/officeDocument/2006/relationships/themeOverride" Target="../theme/themeOverride91.xml"/></Relationships>
</file>

<file path=word/charts/_rels/chart92.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zonat%20bregdetare%20vjetore.xls" TargetMode="External"/><Relationship Id="rId1" Type="http://schemas.openxmlformats.org/officeDocument/2006/relationships/themeOverride" Target="../theme/themeOverride92.xml"/></Relationships>
</file>

<file path=word/charts/_rels/chart93.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zonat%20bregdetare%20vjetore.xls" TargetMode="External"/><Relationship Id="rId1" Type="http://schemas.openxmlformats.org/officeDocument/2006/relationships/themeOverride" Target="../theme/themeOverride93.xml"/></Relationships>
</file>

<file path=word/charts/_rels/chart94.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shkarkimet%20urbane%20vjetore%202025.xls" TargetMode="External"/><Relationship Id="rId1" Type="http://schemas.openxmlformats.org/officeDocument/2006/relationships/themeOverride" Target="../theme/themeOverride94.xml"/></Relationships>
</file>

<file path=word/charts/_rels/chart95.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shkarkimet%20urbane%20vjetore%202025.xls" TargetMode="External"/><Relationship Id="rId1" Type="http://schemas.openxmlformats.org/officeDocument/2006/relationships/themeOverride" Target="../theme/themeOverride95.xml"/></Relationships>
</file>

<file path=word/charts/_rels/chart96.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shkarkimet%20urbane%20vjetore%202025.xls" TargetMode="External"/><Relationship Id="rId1" Type="http://schemas.openxmlformats.org/officeDocument/2006/relationships/themeOverride" Target="../theme/themeOverride96.xml"/></Relationships>
</file>

<file path=word/charts/_rels/chart97.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shkarkimet%20urbane%20vjetore%202025.xls" TargetMode="External"/><Relationship Id="rId1" Type="http://schemas.openxmlformats.org/officeDocument/2006/relationships/themeOverride" Target="../theme/themeOverride97.xml"/></Relationships>
</file>

<file path=word/charts/_rels/chart98.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karavasta.final.xlsx" TargetMode="External"/><Relationship Id="rId1" Type="http://schemas.openxmlformats.org/officeDocument/2006/relationships/themeOverride" Target="../theme/themeOverride98.xml"/></Relationships>
</file>

<file path=word/charts/_rels/chart99.xml.rels><?xml version="1.0" encoding="UTF-8" standalone="yes"?>
<Relationships xmlns="http://schemas.openxmlformats.org/package/2006/relationships"><Relationship Id="rId2" Type="http://schemas.openxmlformats.org/officeDocument/2006/relationships/oleObject" Target="file:///C:\Users\Vanela.Gjeci\Desktop\Materiale%202025\Monitorimi%20i%20ujerave%202025\GRAFIKET%20karavasta.final.xlsx" TargetMode="External"/><Relationship Id="rId1" Type="http://schemas.openxmlformats.org/officeDocument/2006/relationships/themeOverride" Target="../theme/themeOverride9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Niveli</a:t>
            </a:r>
            <a:r>
              <a:rPr lang="en-US" sz="1200" b="1" baseline="0">
                <a:latin typeface="Times New Roman" panose="02020603050405020304" pitchFamily="18" charset="0"/>
                <a:cs typeface="Times New Roman" panose="02020603050405020304" pitchFamily="18" charset="0"/>
              </a:rPr>
              <a:t> i Zhurmave 2025 LAeq/Ditën dB(A)</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23702991452991456"/>
          <c:y val="5.3333333333333337E-2"/>
        </c:manualLayout>
      </c:layout>
      <c:overlay val="0"/>
      <c:spPr>
        <a:noFill/>
        <a:ln>
          <a:noFill/>
        </a:ln>
        <a:effectLst/>
      </c:spPr>
    </c:title>
    <c:autoTitleDeleted val="0"/>
    <c:plotArea>
      <c:layout/>
      <c:barChart>
        <c:barDir val="col"/>
        <c:grouping val="clustered"/>
        <c:varyColors val="0"/>
        <c:ser>
          <c:idx val="0"/>
          <c:order val="0"/>
          <c:tx>
            <c:strRef>
              <c:f>'Zhurmat 2025'!$B$1</c:f>
              <c:strCache>
                <c:ptCount val="1"/>
                <c:pt idx="0">
                  <c:v>Zhurmat 2025</c:v>
                </c:pt>
              </c:strCache>
            </c:strRef>
          </c:tx>
          <c:spPr>
            <a:solidFill>
              <a:srgbClr val="00B050"/>
            </a:solidFill>
            <a:ln>
              <a:noFill/>
            </a:ln>
            <a:effectLst/>
          </c:spPr>
          <c:invertIfNegative val="0"/>
          <c:cat>
            <c:strRef>
              <c:f>'Zhurmat 2025'!$A$2:$A$12</c:f>
              <c:strCache>
                <c:ptCount val="11"/>
                <c:pt idx="0">
                  <c:v>Tirane</c:v>
                </c:pt>
                <c:pt idx="1">
                  <c:v>Korce</c:v>
                </c:pt>
                <c:pt idx="2">
                  <c:v>Gjirokaster</c:v>
                </c:pt>
                <c:pt idx="3">
                  <c:v>Sarande</c:v>
                </c:pt>
                <c:pt idx="4">
                  <c:v>Berat</c:v>
                </c:pt>
                <c:pt idx="5">
                  <c:v>Pogradec</c:v>
                </c:pt>
                <c:pt idx="6">
                  <c:v>Kukes</c:v>
                </c:pt>
                <c:pt idx="7">
                  <c:v>Shkoder</c:v>
                </c:pt>
                <c:pt idx="8">
                  <c:v>Fier</c:v>
                </c:pt>
                <c:pt idx="9">
                  <c:v>Vlore</c:v>
                </c:pt>
                <c:pt idx="10">
                  <c:v>Lezhe</c:v>
                </c:pt>
              </c:strCache>
            </c:strRef>
          </c:cat>
          <c:val>
            <c:numRef>
              <c:f>'Zhurmat 2025'!$B$2:$B$12</c:f>
              <c:numCache>
                <c:formatCode>General</c:formatCode>
                <c:ptCount val="11"/>
                <c:pt idx="0">
                  <c:v>63.07</c:v>
                </c:pt>
                <c:pt idx="1">
                  <c:v>60.27</c:v>
                </c:pt>
                <c:pt idx="2">
                  <c:v>60.51</c:v>
                </c:pt>
                <c:pt idx="3">
                  <c:v>62.87</c:v>
                </c:pt>
                <c:pt idx="4">
                  <c:v>58.88</c:v>
                </c:pt>
                <c:pt idx="5">
                  <c:v>60.18</c:v>
                </c:pt>
                <c:pt idx="6">
                  <c:v>57.23</c:v>
                </c:pt>
                <c:pt idx="7">
                  <c:v>57.36</c:v>
                </c:pt>
                <c:pt idx="8">
                  <c:v>61.67</c:v>
                </c:pt>
                <c:pt idx="9">
                  <c:v>63</c:v>
                </c:pt>
                <c:pt idx="10">
                  <c:v>56.24</c:v>
                </c:pt>
              </c:numCache>
            </c:numRef>
          </c:val>
          <c:extLst>
            <c:ext xmlns:c16="http://schemas.microsoft.com/office/drawing/2014/chart" uri="{C3380CC4-5D6E-409C-BE32-E72D297353CC}">
              <c16:uniqueId val="{00000000-36B2-4139-B75F-1C74539601B1}"/>
            </c:ext>
          </c:extLst>
        </c:ser>
        <c:dLbls>
          <c:showLegendKey val="0"/>
          <c:showVal val="0"/>
          <c:showCatName val="0"/>
          <c:showSerName val="0"/>
          <c:showPercent val="0"/>
          <c:showBubbleSize val="0"/>
        </c:dLbls>
        <c:gapWidth val="219"/>
        <c:overlap val="-27"/>
        <c:axId val="477580288"/>
        <c:axId val="78107392"/>
      </c:barChart>
      <c:lineChart>
        <c:grouping val="standard"/>
        <c:varyColors val="0"/>
        <c:ser>
          <c:idx val="1"/>
          <c:order val="1"/>
          <c:tx>
            <c:strRef>
              <c:f>'Zhurmat 2025'!$C$1</c:f>
              <c:strCache>
                <c:ptCount val="1"/>
                <c:pt idx="0">
                  <c:v>Norma e OBSH </c:v>
                </c:pt>
              </c:strCache>
            </c:strRef>
          </c:tx>
          <c:spPr>
            <a:ln w="28575" cap="rnd">
              <a:solidFill>
                <a:schemeClr val="accent2"/>
              </a:solidFill>
              <a:round/>
            </a:ln>
            <a:effectLst/>
          </c:spPr>
          <c:marker>
            <c:symbol val="none"/>
          </c:marker>
          <c:cat>
            <c:strRef>
              <c:f>'Zhurmat 2025'!$A$2:$A$12</c:f>
              <c:strCache>
                <c:ptCount val="11"/>
                <c:pt idx="0">
                  <c:v>Tirane</c:v>
                </c:pt>
                <c:pt idx="1">
                  <c:v>Korce</c:v>
                </c:pt>
                <c:pt idx="2">
                  <c:v>Gjirokaster</c:v>
                </c:pt>
                <c:pt idx="3">
                  <c:v>Sarande</c:v>
                </c:pt>
                <c:pt idx="4">
                  <c:v>Berat</c:v>
                </c:pt>
                <c:pt idx="5">
                  <c:v>Pogradec</c:v>
                </c:pt>
                <c:pt idx="6">
                  <c:v>Kukes</c:v>
                </c:pt>
                <c:pt idx="7">
                  <c:v>Shkoder</c:v>
                </c:pt>
                <c:pt idx="8">
                  <c:v>Fier</c:v>
                </c:pt>
                <c:pt idx="9">
                  <c:v>Vlore</c:v>
                </c:pt>
                <c:pt idx="10">
                  <c:v>Lezhe</c:v>
                </c:pt>
              </c:strCache>
            </c:strRef>
          </c:cat>
          <c:val>
            <c:numRef>
              <c:f>'Zhurmat 2025'!$C$2:$C$12</c:f>
              <c:numCache>
                <c:formatCode>General</c:formatCode>
                <c:ptCount val="11"/>
                <c:pt idx="0">
                  <c:v>55</c:v>
                </c:pt>
                <c:pt idx="1">
                  <c:v>55</c:v>
                </c:pt>
                <c:pt idx="2">
                  <c:v>55</c:v>
                </c:pt>
                <c:pt idx="3">
                  <c:v>55</c:v>
                </c:pt>
                <c:pt idx="4">
                  <c:v>55</c:v>
                </c:pt>
                <c:pt idx="5">
                  <c:v>55</c:v>
                </c:pt>
                <c:pt idx="6">
                  <c:v>55</c:v>
                </c:pt>
                <c:pt idx="7">
                  <c:v>55</c:v>
                </c:pt>
                <c:pt idx="8">
                  <c:v>55</c:v>
                </c:pt>
                <c:pt idx="9">
                  <c:v>55</c:v>
                </c:pt>
                <c:pt idx="10">
                  <c:v>55</c:v>
                </c:pt>
              </c:numCache>
            </c:numRef>
          </c:val>
          <c:smooth val="0"/>
          <c:extLst>
            <c:ext xmlns:c16="http://schemas.microsoft.com/office/drawing/2014/chart" uri="{C3380CC4-5D6E-409C-BE32-E72D297353CC}">
              <c16:uniqueId val="{00000001-36B2-4139-B75F-1C74539601B1}"/>
            </c:ext>
          </c:extLst>
        </c:ser>
        <c:dLbls>
          <c:showLegendKey val="0"/>
          <c:showVal val="0"/>
          <c:showCatName val="0"/>
          <c:showSerName val="0"/>
          <c:showPercent val="0"/>
          <c:showBubbleSize val="0"/>
        </c:dLbls>
        <c:marker val="1"/>
        <c:smooth val="0"/>
        <c:axId val="477580288"/>
        <c:axId val="78107392"/>
      </c:lineChart>
      <c:catAx>
        <c:axId val="477580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107392"/>
        <c:crosses val="autoZero"/>
        <c:auto val="1"/>
        <c:lblAlgn val="ctr"/>
        <c:lblOffset val="100"/>
        <c:noMultiLvlLbl val="0"/>
      </c:catAx>
      <c:valAx>
        <c:axId val="781073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580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Lezhë,</a:t>
            </a:r>
            <a:r>
              <a:rPr lang="sq-AL" sz="1200" b="1">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Niveli i Zhurmave 2025 LAeq/Natën</a:t>
            </a:r>
            <a:r>
              <a:rPr lang="en-US" sz="1200" b="1" baseline="0">
                <a:latin typeface="Times New Roman" panose="02020603050405020304" pitchFamily="18" charset="0"/>
                <a:cs typeface="Times New Roman" panose="02020603050405020304" pitchFamily="18" charset="0"/>
              </a:rPr>
              <a:t> dB(A)</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'Zhurmat Lezhe 2025'!$A$11</c:f>
              <c:strCache>
                <c:ptCount val="1"/>
                <c:pt idx="0">
                  <c:v>LAeq/Naten dB(A) </c:v>
                </c:pt>
              </c:strCache>
            </c:strRef>
          </c:tx>
          <c:spPr>
            <a:solidFill>
              <a:srgbClr val="00B050"/>
            </a:solidFill>
            <a:ln>
              <a:noFill/>
            </a:ln>
            <a:effectLst/>
          </c:spPr>
          <c:invertIfNegative val="0"/>
          <c:cat>
            <c:strRef>
              <c:f>'Zhurmat Lezhe 2025'!$B$10:$C$10</c:f>
              <c:strCache>
                <c:ptCount val="2"/>
                <c:pt idx="0">
                  <c:v>Kryqezimi Lagjia Gurra</c:v>
                </c:pt>
                <c:pt idx="1">
                  <c:v>11 Janari</c:v>
                </c:pt>
              </c:strCache>
            </c:strRef>
          </c:cat>
          <c:val>
            <c:numRef>
              <c:f>'Zhurmat Lezhe 2025'!$B$11:$C$11</c:f>
              <c:numCache>
                <c:formatCode>General</c:formatCode>
                <c:ptCount val="2"/>
                <c:pt idx="0">
                  <c:v>45.18</c:v>
                </c:pt>
                <c:pt idx="1">
                  <c:v>43.15</c:v>
                </c:pt>
              </c:numCache>
            </c:numRef>
          </c:val>
          <c:extLst>
            <c:ext xmlns:c16="http://schemas.microsoft.com/office/drawing/2014/chart" uri="{C3380CC4-5D6E-409C-BE32-E72D297353CC}">
              <c16:uniqueId val="{00000000-481D-493E-874B-426AAA2184DA}"/>
            </c:ext>
          </c:extLst>
        </c:ser>
        <c:dLbls>
          <c:showLegendKey val="0"/>
          <c:showVal val="0"/>
          <c:showCatName val="0"/>
          <c:showSerName val="0"/>
          <c:showPercent val="0"/>
          <c:showBubbleSize val="0"/>
        </c:dLbls>
        <c:gapWidth val="219"/>
        <c:overlap val="-27"/>
        <c:axId val="248103296"/>
        <c:axId val="248104832"/>
      </c:barChart>
      <c:lineChart>
        <c:grouping val="standard"/>
        <c:varyColors val="0"/>
        <c:ser>
          <c:idx val="1"/>
          <c:order val="1"/>
          <c:tx>
            <c:strRef>
              <c:f>'Zhurmat Lezhe 2025'!$A$12</c:f>
              <c:strCache>
                <c:ptCount val="1"/>
                <c:pt idx="0">
                  <c:v>Norma e OBSH </c:v>
                </c:pt>
              </c:strCache>
            </c:strRef>
          </c:tx>
          <c:spPr>
            <a:ln w="28575" cap="rnd">
              <a:solidFill>
                <a:schemeClr val="accent2"/>
              </a:solidFill>
              <a:round/>
            </a:ln>
            <a:effectLst/>
          </c:spPr>
          <c:marker>
            <c:symbol val="none"/>
          </c:marker>
          <c:cat>
            <c:strRef>
              <c:f>'Zhurmat Lezhe 2025'!$B$10:$C$10</c:f>
              <c:strCache>
                <c:ptCount val="2"/>
                <c:pt idx="0">
                  <c:v>Kryqezimi Lagjia Gurra</c:v>
                </c:pt>
                <c:pt idx="1">
                  <c:v>11 Janari</c:v>
                </c:pt>
              </c:strCache>
            </c:strRef>
          </c:cat>
          <c:val>
            <c:numRef>
              <c:f>'Zhurmat Lezhe 2025'!$B$12:$C$12</c:f>
              <c:numCache>
                <c:formatCode>General</c:formatCode>
                <c:ptCount val="2"/>
                <c:pt idx="0">
                  <c:v>45</c:v>
                </c:pt>
                <c:pt idx="1">
                  <c:v>45</c:v>
                </c:pt>
              </c:numCache>
            </c:numRef>
          </c:val>
          <c:smooth val="0"/>
          <c:extLst>
            <c:ext xmlns:c16="http://schemas.microsoft.com/office/drawing/2014/chart" uri="{C3380CC4-5D6E-409C-BE32-E72D297353CC}">
              <c16:uniqueId val="{00000001-481D-493E-874B-426AAA2184DA}"/>
            </c:ext>
          </c:extLst>
        </c:ser>
        <c:dLbls>
          <c:showLegendKey val="0"/>
          <c:showVal val="0"/>
          <c:showCatName val="0"/>
          <c:showSerName val="0"/>
          <c:showPercent val="0"/>
          <c:showBubbleSize val="0"/>
        </c:dLbls>
        <c:marker val="1"/>
        <c:smooth val="0"/>
        <c:axId val="248103296"/>
        <c:axId val="248104832"/>
      </c:lineChart>
      <c:catAx>
        <c:axId val="24810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8104832"/>
        <c:crosses val="autoZero"/>
        <c:auto val="1"/>
        <c:lblAlgn val="ctr"/>
        <c:lblOffset val="100"/>
        <c:noMultiLvlLbl val="0"/>
      </c:catAx>
      <c:valAx>
        <c:axId val="2481048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810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itchFamily="18" charset="0"/>
                <a:cs typeface="Times New Roman" pitchFamily="18" charset="0"/>
              </a:rPr>
              <a:t>Përmbajtja e nitrateve</a:t>
            </a:r>
            <a:endParaRPr lang="en-US" sz="1200">
              <a:effectLst/>
              <a:latin typeface="Times New Roman" pitchFamily="18" charset="0"/>
              <a:cs typeface="Times New Roman" pitchFamily="18" charset="0"/>
            </a:endParaRPr>
          </a:p>
        </c:rich>
      </c:tx>
      <c:layout>
        <c:manualLayout>
          <c:xMode val="edge"/>
          <c:yMode val="edge"/>
          <c:x val="0.17707843101598444"/>
          <c:y val="3.7383177570093455E-2"/>
        </c:manualLayout>
      </c:layout>
      <c:overlay val="0"/>
      <c:spPr>
        <a:noFill/>
        <a:ln>
          <a:noFill/>
        </a:ln>
        <a:effectLst/>
      </c:spPr>
    </c:title>
    <c:autoTitleDeleted val="0"/>
    <c:plotArea>
      <c:layout/>
      <c:barChart>
        <c:barDir val="col"/>
        <c:grouping val="clustered"/>
        <c:varyColors val="0"/>
        <c:ser>
          <c:idx val="0"/>
          <c:order val="0"/>
          <c:tx>
            <c:strRef>
              <c:f>'NO3'!$I$6</c:f>
              <c:strCache>
                <c:ptCount val="1"/>
                <c:pt idx="0">
                  <c:v>vlerat mesatare vjetore 2025</c:v>
                </c:pt>
              </c:strCache>
            </c:strRef>
          </c:tx>
          <c:spPr>
            <a:solidFill>
              <a:schemeClr val="accent1"/>
            </a:solidFill>
            <a:ln>
              <a:noFill/>
            </a:ln>
            <a:effectLst/>
          </c:spPr>
          <c:invertIfNegative val="0"/>
          <c:cat>
            <c:strRef>
              <c:f>'NO3'!$J$5:$K$5</c:f>
              <c:strCache>
                <c:ptCount val="2"/>
                <c:pt idx="0">
                  <c:v>LKV1</c:v>
                </c:pt>
                <c:pt idx="1">
                  <c:v>LKV2</c:v>
                </c:pt>
              </c:strCache>
            </c:strRef>
          </c:cat>
          <c:val>
            <c:numRef>
              <c:f>'NO3'!$J$6:$K$6</c:f>
              <c:numCache>
                <c:formatCode>General</c:formatCode>
                <c:ptCount val="2"/>
                <c:pt idx="0">
                  <c:v>2.3199999999999998</c:v>
                </c:pt>
                <c:pt idx="1">
                  <c:v>2.2799999999999998</c:v>
                </c:pt>
              </c:numCache>
            </c:numRef>
          </c:val>
          <c:extLst>
            <c:ext xmlns:c16="http://schemas.microsoft.com/office/drawing/2014/chart" uri="{C3380CC4-5D6E-409C-BE32-E72D297353CC}">
              <c16:uniqueId val="{00000000-A6C5-4958-A1A2-A363F863C262}"/>
            </c:ext>
          </c:extLst>
        </c:ser>
        <c:dLbls>
          <c:showLegendKey val="0"/>
          <c:showVal val="0"/>
          <c:showCatName val="0"/>
          <c:showSerName val="0"/>
          <c:showPercent val="0"/>
          <c:showBubbleSize val="0"/>
        </c:dLbls>
        <c:gapWidth val="219"/>
        <c:overlap val="-27"/>
        <c:axId val="358912768"/>
        <c:axId val="358914304"/>
      </c:barChart>
      <c:lineChart>
        <c:grouping val="standard"/>
        <c:varyColors val="0"/>
        <c:ser>
          <c:idx val="1"/>
          <c:order val="1"/>
          <c:tx>
            <c:strRef>
              <c:f>'NO3'!$I$7</c:f>
              <c:strCache>
                <c:ptCount val="1"/>
                <c:pt idx="0">
                  <c:v>Mezotrofik</c:v>
                </c:pt>
              </c:strCache>
            </c:strRef>
          </c:tx>
          <c:spPr>
            <a:ln w="28575" cap="rnd">
              <a:solidFill>
                <a:schemeClr val="accent2"/>
              </a:solidFill>
              <a:round/>
            </a:ln>
            <a:effectLst/>
          </c:spPr>
          <c:marker>
            <c:symbol val="none"/>
          </c:marker>
          <c:cat>
            <c:strRef>
              <c:f>'NO3'!$J$5:$K$5</c:f>
              <c:strCache>
                <c:ptCount val="2"/>
                <c:pt idx="0">
                  <c:v>LKV1</c:v>
                </c:pt>
                <c:pt idx="1">
                  <c:v>LKV2</c:v>
                </c:pt>
              </c:strCache>
            </c:strRef>
          </c:cat>
          <c:val>
            <c:numRef>
              <c:f>'NO3'!$J$7:$K$7</c:f>
              <c:numCache>
                <c:formatCode>General</c:formatCode>
                <c:ptCount val="2"/>
                <c:pt idx="0">
                  <c:v>2</c:v>
                </c:pt>
                <c:pt idx="1">
                  <c:v>2</c:v>
                </c:pt>
              </c:numCache>
            </c:numRef>
          </c:val>
          <c:smooth val="0"/>
          <c:extLst>
            <c:ext xmlns:c16="http://schemas.microsoft.com/office/drawing/2014/chart" uri="{C3380CC4-5D6E-409C-BE32-E72D297353CC}">
              <c16:uniqueId val="{00000001-A6C5-4958-A1A2-A363F863C262}"/>
            </c:ext>
          </c:extLst>
        </c:ser>
        <c:dLbls>
          <c:showLegendKey val="0"/>
          <c:showVal val="0"/>
          <c:showCatName val="0"/>
          <c:showSerName val="0"/>
          <c:showPercent val="0"/>
          <c:showBubbleSize val="0"/>
        </c:dLbls>
        <c:marker val="1"/>
        <c:smooth val="0"/>
        <c:axId val="358912768"/>
        <c:axId val="358914304"/>
      </c:lineChart>
      <c:catAx>
        <c:axId val="35891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914304"/>
        <c:crosses val="autoZero"/>
        <c:auto val="1"/>
        <c:lblAlgn val="ctr"/>
        <c:lblOffset val="100"/>
        <c:noMultiLvlLbl val="0"/>
      </c:catAx>
      <c:valAx>
        <c:axId val="358914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91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itchFamily="18" charset="0"/>
                <a:cs typeface="Times New Roman" pitchFamily="18" charset="0"/>
              </a:rPr>
              <a:t>Përmbajtja e fosforit total</a:t>
            </a:r>
            <a:endParaRPr lang="en-US" sz="1200">
              <a:effectLst/>
              <a:latin typeface="Times New Roman" pitchFamily="18" charset="0"/>
              <a:cs typeface="Times New Roman" pitchFamily="18" charset="0"/>
            </a:endParaRPr>
          </a:p>
        </c:rich>
      </c:tx>
      <c:overlay val="0"/>
      <c:spPr>
        <a:noFill/>
        <a:ln>
          <a:noFill/>
        </a:ln>
        <a:effectLst/>
      </c:spPr>
    </c:title>
    <c:autoTitleDeleted val="0"/>
    <c:plotArea>
      <c:layout/>
      <c:barChart>
        <c:barDir val="col"/>
        <c:grouping val="clustered"/>
        <c:varyColors val="0"/>
        <c:ser>
          <c:idx val="0"/>
          <c:order val="0"/>
          <c:tx>
            <c:strRef>
              <c:f>'P-total'!$C$8</c:f>
              <c:strCache>
                <c:ptCount val="1"/>
                <c:pt idx="0">
                  <c:v>vlerat mesatare vjetore 2025</c:v>
                </c:pt>
              </c:strCache>
            </c:strRef>
          </c:tx>
          <c:spPr>
            <a:solidFill>
              <a:schemeClr val="accent1"/>
            </a:solidFill>
            <a:ln>
              <a:noFill/>
            </a:ln>
            <a:effectLst/>
          </c:spPr>
          <c:invertIfNegative val="0"/>
          <c:cat>
            <c:strRef>
              <c:f>'P-total'!$D$7:$E$7</c:f>
              <c:strCache>
                <c:ptCount val="2"/>
                <c:pt idx="0">
                  <c:v>LKV1</c:v>
                </c:pt>
                <c:pt idx="1">
                  <c:v>LKV2</c:v>
                </c:pt>
              </c:strCache>
            </c:strRef>
          </c:cat>
          <c:val>
            <c:numRef>
              <c:f>'P-total'!$D$8:$E$8</c:f>
              <c:numCache>
                <c:formatCode>General</c:formatCode>
                <c:ptCount val="2"/>
                <c:pt idx="0">
                  <c:v>4.2000000000000003E-2</c:v>
                </c:pt>
                <c:pt idx="1">
                  <c:v>5.2999999999999999E-2</c:v>
                </c:pt>
              </c:numCache>
            </c:numRef>
          </c:val>
          <c:extLst>
            <c:ext xmlns:c16="http://schemas.microsoft.com/office/drawing/2014/chart" uri="{C3380CC4-5D6E-409C-BE32-E72D297353CC}">
              <c16:uniqueId val="{00000000-3514-4FB1-8F7A-7CE664F44900}"/>
            </c:ext>
          </c:extLst>
        </c:ser>
        <c:dLbls>
          <c:showLegendKey val="0"/>
          <c:showVal val="0"/>
          <c:showCatName val="0"/>
          <c:showSerName val="0"/>
          <c:showPercent val="0"/>
          <c:showBubbleSize val="0"/>
        </c:dLbls>
        <c:gapWidth val="219"/>
        <c:overlap val="-27"/>
        <c:axId val="364069632"/>
        <c:axId val="364071168"/>
      </c:barChart>
      <c:lineChart>
        <c:grouping val="standard"/>
        <c:varyColors val="0"/>
        <c:ser>
          <c:idx val="1"/>
          <c:order val="1"/>
          <c:tx>
            <c:strRef>
              <c:f>'P-total'!$C$9</c:f>
              <c:strCache>
                <c:ptCount val="1"/>
                <c:pt idx="0">
                  <c:v>Mezotrofik</c:v>
                </c:pt>
              </c:strCache>
            </c:strRef>
          </c:tx>
          <c:spPr>
            <a:ln w="28575" cap="rnd">
              <a:solidFill>
                <a:schemeClr val="accent2"/>
              </a:solidFill>
              <a:round/>
            </a:ln>
            <a:effectLst/>
          </c:spPr>
          <c:marker>
            <c:symbol val="none"/>
          </c:marker>
          <c:cat>
            <c:strRef>
              <c:f>'P-total'!$D$7:$E$7</c:f>
              <c:strCache>
                <c:ptCount val="2"/>
                <c:pt idx="0">
                  <c:v>LKV1</c:v>
                </c:pt>
                <c:pt idx="1">
                  <c:v>LKV2</c:v>
                </c:pt>
              </c:strCache>
            </c:strRef>
          </c:cat>
          <c:val>
            <c:numRef>
              <c:f>'P-total'!$D$9:$E$9</c:f>
              <c:numCache>
                <c:formatCode>General</c:formatCode>
                <c:ptCount val="2"/>
                <c:pt idx="0">
                  <c:v>3.5000000000000003E-2</c:v>
                </c:pt>
                <c:pt idx="1">
                  <c:v>3.5000000000000003E-2</c:v>
                </c:pt>
              </c:numCache>
            </c:numRef>
          </c:val>
          <c:smooth val="0"/>
          <c:extLst>
            <c:ext xmlns:c16="http://schemas.microsoft.com/office/drawing/2014/chart" uri="{C3380CC4-5D6E-409C-BE32-E72D297353CC}">
              <c16:uniqueId val="{00000001-3514-4FB1-8F7A-7CE664F44900}"/>
            </c:ext>
          </c:extLst>
        </c:ser>
        <c:dLbls>
          <c:showLegendKey val="0"/>
          <c:showVal val="0"/>
          <c:showCatName val="0"/>
          <c:showSerName val="0"/>
          <c:showPercent val="0"/>
          <c:showBubbleSize val="0"/>
        </c:dLbls>
        <c:marker val="1"/>
        <c:smooth val="0"/>
        <c:axId val="364069632"/>
        <c:axId val="364071168"/>
      </c:lineChart>
      <c:catAx>
        <c:axId val="36406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4071168"/>
        <c:crosses val="autoZero"/>
        <c:auto val="1"/>
        <c:lblAlgn val="ctr"/>
        <c:lblOffset val="100"/>
        <c:noMultiLvlLbl val="0"/>
      </c:catAx>
      <c:valAx>
        <c:axId val="364071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4069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anose="02020603050405020304" pitchFamily="18" charset="0"/>
                <a:cs typeface="Times New Roman" panose="02020603050405020304" pitchFamily="18" charset="0"/>
              </a:rPr>
              <a:t>Nevoja Kimike për Oksigjen</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0.12544809485021269"/>
          <c:y val="4.005722460658083E-2"/>
        </c:manualLayout>
      </c:layout>
      <c:overlay val="0"/>
      <c:spPr>
        <a:noFill/>
        <a:ln>
          <a:noFill/>
        </a:ln>
        <a:effectLst/>
      </c:spPr>
    </c:title>
    <c:autoTitleDeleted val="0"/>
    <c:plotArea>
      <c:layout/>
      <c:barChart>
        <c:barDir val="col"/>
        <c:grouping val="clustered"/>
        <c:varyColors val="0"/>
        <c:ser>
          <c:idx val="0"/>
          <c:order val="0"/>
          <c:tx>
            <c:strRef>
              <c:f>NKO!$C$5</c:f>
              <c:strCache>
                <c:ptCount val="1"/>
                <c:pt idx="0">
                  <c:v>vlerat mesatare vjetore 2025</c:v>
                </c:pt>
              </c:strCache>
            </c:strRef>
          </c:tx>
          <c:spPr>
            <a:solidFill>
              <a:schemeClr val="accent1"/>
            </a:solidFill>
            <a:ln>
              <a:noFill/>
            </a:ln>
            <a:effectLst/>
          </c:spPr>
          <c:invertIfNegative val="0"/>
          <c:cat>
            <c:strRef>
              <c:f>NKO!$D$4:$E$4</c:f>
              <c:strCache>
                <c:ptCount val="2"/>
                <c:pt idx="0">
                  <c:v>LN1</c:v>
                </c:pt>
                <c:pt idx="1">
                  <c:v>LN2</c:v>
                </c:pt>
              </c:strCache>
            </c:strRef>
          </c:cat>
          <c:val>
            <c:numRef>
              <c:f>NKO!$D$5:$E$5</c:f>
              <c:numCache>
                <c:formatCode>General</c:formatCode>
                <c:ptCount val="2"/>
                <c:pt idx="0">
                  <c:v>14</c:v>
                </c:pt>
                <c:pt idx="1">
                  <c:v>13</c:v>
                </c:pt>
              </c:numCache>
            </c:numRef>
          </c:val>
          <c:extLst>
            <c:ext xmlns:c16="http://schemas.microsoft.com/office/drawing/2014/chart" uri="{C3380CC4-5D6E-409C-BE32-E72D297353CC}">
              <c16:uniqueId val="{00000000-5471-40E6-8920-F993F7F8D1C8}"/>
            </c:ext>
          </c:extLst>
        </c:ser>
        <c:dLbls>
          <c:showLegendKey val="0"/>
          <c:showVal val="0"/>
          <c:showCatName val="0"/>
          <c:showSerName val="0"/>
          <c:showPercent val="0"/>
          <c:showBubbleSize val="0"/>
        </c:dLbls>
        <c:gapWidth val="219"/>
        <c:overlap val="-27"/>
        <c:axId val="364114688"/>
        <c:axId val="364116224"/>
      </c:barChart>
      <c:lineChart>
        <c:grouping val="standard"/>
        <c:varyColors val="0"/>
        <c:ser>
          <c:idx val="1"/>
          <c:order val="1"/>
          <c:tx>
            <c:strRef>
              <c:f>NKO!$C$6</c:f>
              <c:strCache>
                <c:ptCount val="1"/>
                <c:pt idx="0">
                  <c:v>Mezotrofik</c:v>
                </c:pt>
              </c:strCache>
            </c:strRef>
          </c:tx>
          <c:spPr>
            <a:ln w="28575" cap="rnd">
              <a:solidFill>
                <a:schemeClr val="accent2"/>
              </a:solidFill>
              <a:round/>
            </a:ln>
            <a:effectLst/>
          </c:spPr>
          <c:marker>
            <c:symbol val="none"/>
          </c:marker>
          <c:cat>
            <c:strRef>
              <c:f>NKO!$D$4:$E$4</c:f>
              <c:strCache>
                <c:ptCount val="2"/>
                <c:pt idx="0">
                  <c:v>LN1</c:v>
                </c:pt>
                <c:pt idx="1">
                  <c:v>LN2</c:v>
                </c:pt>
              </c:strCache>
            </c:strRef>
          </c:cat>
          <c:val>
            <c:numRef>
              <c:f>NKO!$D$6:$E$6</c:f>
              <c:numCache>
                <c:formatCode>General</c:formatCode>
                <c:ptCount val="2"/>
                <c:pt idx="0">
                  <c:v>9</c:v>
                </c:pt>
                <c:pt idx="1">
                  <c:v>9</c:v>
                </c:pt>
              </c:numCache>
            </c:numRef>
          </c:val>
          <c:smooth val="0"/>
          <c:extLst>
            <c:ext xmlns:c16="http://schemas.microsoft.com/office/drawing/2014/chart" uri="{C3380CC4-5D6E-409C-BE32-E72D297353CC}">
              <c16:uniqueId val="{00000001-5471-40E6-8920-F993F7F8D1C8}"/>
            </c:ext>
          </c:extLst>
        </c:ser>
        <c:dLbls>
          <c:showLegendKey val="0"/>
          <c:showVal val="0"/>
          <c:showCatName val="0"/>
          <c:showSerName val="0"/>
          <c:showPercent val="0"/>
          <c:showBubbleSize val="0"/>
        </c:dLbls>
        <c:marker val="1"/>
        <c:smooth val="0"/>
        <c:axId val="364114688"/>
        <c:axId val="364116224"/>
      </c:lineChart>
      <c:catAx>
        <c:axId val="36411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4116224"/>
        <c:crosses val="autoZero"/>
        <c:auto val="1"/>
        <c:lblAlgn val="ctr"/>
        <c:lblOffset val="100"/>
        <c:noMultiLvlLbl val="0"/>
      </c:catAx>
      <c:valAx>
        <c:axId val="364116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4114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anose="02020603050405020304" pitchFamily="18" charset="0"/>
                <a:cs typeface="Times New Roman" panose="02020603050405020304" pitchFamily="18" charset="0"/>
              </a:rPr>
              <a:t>Nevoja Biokimike për Oksigjen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'Nbo5'!$I$5</c:f>
              <c:strCache>
                <c:ptCount val="1"/>
                <c:pt idx="0">
                  <c:v>vlerat mesatare vjetore 2025</c:v>
                </c:pt>
              </c:strCache>
            </c:strRef>
          </c:tx>
          <c:spPr>
            <a:solidFill>
              <a:schemeClr val="accent1"/>
            </a:solidFill>
            <a:ln>
              <a:noFill/>
            </a:ln>
            <a:effectLst/>
          </c:spPr>
          <c:invertIfNegative val="0"/>
          <c:cat>
            <c:strRef>
              <c:f>'Nbo5'!$J$4:$K$4</c:f>
              <c:strCache>
                <c:ptCount val="2"/>
                <c:pt idx="0">
                  <c:v>LN1</c:v>
                </c:pt>
                <c:pt idx="1">
                  <c:v>LN2</c:v>
                </c:pt>
              </c:strCache>
            </c:strRef>
          </c:cat>
          <c:val>
            <c:numRef>
              <c:f>'Nbo5'!$J$5:$K$5</c:f>
              <c:numCache>
                <c:formatCode>General</c:formatCode>
                <c:ptCount val="2"/>
                <c:pt idx="0">
                  <c:v>8</c:v>
                </c:pt>
                <c:pt idx="1">
                  <c:v>8</c:v>
                </c:pt>
              </c:numCache>
            </c:numRef>
          </c:val>
          <c:extLst>
            <c:ext xmlns:c16="http://schemas.microsoft.com/office/drawing/2014/chart" uri="{C3380CC4-5D6E-409C-BE32-E72D297353CC}">
              <c16:uniqueId val="{00000000-1426-4829-8015-9F30A1F67FE3}"/>
            </c:ext>
          </c:extLst>
        </c:ser>
        <c:dLbls>
          <c:showLegendKey val="0"/>
          <c:showVal val="0"/>
          <c:showCatName val="0"/>
          <c:showSerName val="0"/>
          <c:showPercent val="0"/>
          <c:showBubbleSize val="0"/>
        </c:dLbls>
        <c:gapWidth val="219"/>
        <c:overlap val="-27"/>
        <c:axId val="366482176"/>
        <c:axId val="366483712"/>
      </c:barChart>
      <c:lineChart>
        <c:grouping val="standard"/>
        <c:varyColors val="0"/>
        <c:ser>
          <c:idx val="1"/>
          <c:order val="1"/>
          <c:tx>
            <c:strRef>
              <c:f>'Nbo5'!$I$6</c:f>
              <c:strCache>
                <c:ptCount val="1"/>
                <c:pt idx="0">
                  <c:v>Mezotrofik</c:v>
                </c:pt>
              </c:strCache>
            </c:strRef>
          </c:tx>
          <c:spPr>
            <a:ln w="28575" cap="rnd">
              <a:solidFill>
                <a:schemeClr val="accent2"/>
              </a:solidFill>
              <a:round/>
            </a:ln>
            <a:effectLst/>
          </c:spPr>
          <c:marker>
            <c:symbol val="none"/>
          </c:marker>
          <c:cat>
            <c:strRef>
              <c:f>'Nbo5'!$J$4:$K$4</c:f>
              <c:strCache>
                <c:ptCount val="2"/>
                <c:pt idx="0">
                  <c:v>LN1</c:v>
                </c:pt>
                <c:pt idx="1">
                  <c:v>LN2</c:v>
                </c:pt>
              </c:strCache>
            </c:strRef>
          </c:cat>
          <c:val>
            <c:numRef>
              <c:f>'Nbo5'!$J$6:$K$6</c:f>
              <c:numCache>
                <c:formatCode>General</c:formatCode>
                <c:ptCount val="2"/>
                <c:pt idx="0">
                  <c:v>5.5</c:v>
                </c:pt>
                <c:pt idx="1">
                  <c:v>5.5</c:v>
                </c:pt>
              </c:numCache>
            </c:numRef>
          </c:val>
          <c:smooth val="0"/>
          <c:extLst>
            <c:ext xmlns:c16="http://schemas.microsoft.com/office/drawing/2014/chart" uri="{C3380CC4-5D6E-409C-BE32-E72D297353CC}">
              <c16:uniqueId val="{00000001-1426-4829-8015-9F30A1F67FE3}"/>
            </c:ext>
          </c:extLst>
        </c:ser>
        <c:dLbls>
          <c:showLegendKey val="0"/>
          <c:showVal val="0"/>
          <c:showCatName val="0"/>
          <c:showSerName val="0"/>
          <c:showPercent val="0"/>
          <c:showBubbleSize val="0"/>
        </c:dLbls>
        <c:marker val="1"/>
        <c:smooth val="0"/>
        <c:axId val="366482176"/>
        <c:axId val="366483712"/>
      </c:lineChart>
      <c:catAx>
        <c:axId val="36648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483712"/>
        <c:crosses val="autoZero"/>
        <c:auto val="1"/>
        <c:lblAlgn val="ctr"/>
        <c:lblOffset val="100"/>
        <c:noMultiLvlLbl val="0"/>
      </c:catAx>
      <c:valAx>
        <c:axId val="36648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482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anose="02020603050405020304" pitchFamily="18" charset="0"/>
                <a:cs typeface="Times New Roman" panose="02020603050405020304" pitchFamily="18" charset="0"/>
              </a:rPr>
              <a:t>Përmbajtja e fosforit total</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0.21187555555555557"/>
          <c:y val="3.8095238095238099E-2"/>
        </c:manualLayout>
      </c:layout>
      <c:overlay val="0"/>
      <c:spPr>
        <a:noFill/>
        <a:ln>
          <a:noFill/>
        </a:ln>
        <a:effectLst/>
      </c:spPr>
    </c:title>
    <c:autoTitleDeleted val="0"/>
    <c:plotArea>
      <c:layout/>
      <c:barChart>
        <c:barDir val="col"/>
        <c:grouping val="clustered"/>
        <c:varyColors val="0"/>
        <c:ser>
          <c:idx val="0"/>
          <c:order val="0"/>
          <c:tx>
            <c:strRef>
              <c:f>'P-total'!$C$8</c:f>
              <c:strCache>
                <c:ptCount val="1"/>
                <c:pt idx="0">
                  <c:v>vlerat mesatare vjetore 2025</c:v>
                </c:pt>
              </c:strCache>
            </c:strRef>
          </c:tx>
          <c:spPr>
            <a:solidFill>
              <a:schemeClr val="accent1"/>
            </a:solidFill>
            <a:ln>
              <a:noFill/>
            </a:ln>
            <a:effectLst/>
          </c:spPr>
          <c:invertIfNegative val="0"/>
          <c:cat>
            <c:strRef>
              <c:f>'P-total'!$D$7:$E$7</c:f>
              <c:strCache>
                <c:ptCount val="2"/>
                <c:pt idx="0">
                  <c:v>LN1</c:v>
                </c:pt>
                <c:pt idx="1">
                  <c:v>LN2</c:v>
                </c:pt>
              </c:strCache>
            </c:strRef>
          </c:cat>
          <c:val>
            <c:numRef>
              <c:f>'P-total'!$D$8:$E$8</c:f>
              <c:numCache>
                <c:formatCode>General</c:formatCode>
                <c:ptCount val="2"/>
                <c:pt idx="0">
                  <c:v>2.1000000000000001E-2</c:v>
                </c:pt>
                <c:pt idx="1">
                  <c:v>2.1000000000000001E-2</c:v>
                </c:pt>
              </c:numCache>
            </c:numRef>
          </c:val>
          <c:extLst>
            <c:ext xmlns:c16="http://schemas.microsoft.com/office/drawing/2014/chart" uri="{C3380CC4-5D6E-409C-BE32-E72D297353CC}">
              <c16:uniqueId val="{00000000-83ED-4101-8EFF-D933C49B4A55}"/>
            </c:ext>
          </c:extLst>
        </c:ser>
        <c:dLbls>
          <c:showLegendKey val="0"/>
          <c:showVal val="0"/>
          <c:showCatName val="0"/>
          <c:showSerName val="0"/>
          <c:showPercent val="0"/>
          <c:showBubbleSize val="0"/>
        </c:dLbls>
        <c:gapWidth val="219"/>
        <c:overlap val="-27"/>
        <c:axId val="366511232"/>
        <c:axId val="366512768"/>
      </c:barChart>
      <c:lineChart>
        <c:grouping val="standard"/>
        <c:varyColors val="0"/>
        <c:ser>
          <c:idx val="1"/>
          <c:order val="1"/>
          <c:tx>
            <c:strRef>
              <c:f>'P-total'!$C$9</c:f>
              <c:strCache>
                <c:ptCount val="1"/>
                <c:pt idx="0">
                  <c:v>Mezotrofik</c:v>
                </c:pt>
              </c:strCache>
            </c:strRef>
          </c:tx>
          <c:spPr>
            <a:ln w="28575" cap="rnd">
              <a:solidFill>
                <a:schemeClr val="accent2"/>
              </a:solidFill>
              <a:round/>
            </a:ln>
            <a:effectLst/>
          </c:spPr>
          <c:marker>
            <c:symbol val="none"/>
          </c:marker>
          <c:cat>
            <c:strRef>
              <c:f>'P-total'!$D$7:$E$7</c:f>
              <c:strCache>
                <c:ptCount val="2"/>
                <c:pt idx="0">
                  <c:v>LN1</c:v>
                </c:pt>
                <c:pt idx="1">
                  <c:v>LN2</c:v>
                </c:pt>
              </c:strCache>
            </c:strRef>
          </c:cat>
          <c:val>
            <c:numRef>
              <c:f>'P-total'!$D$9:$E$9</c:f>
              <c:numCache>
                <c:formatCode>General</c:formatCode>
                <c:ptCount val="2"/>
                <c:pt idx="0">
                  <c:v>3.5000000000000003E-2</c:v>
                </c:pt>
                <c:pt idx="1">
                  <c:v>3.5000000000000003E-2</c:v>
                </c:pt>
              </c:numCache>
            </c:numRef>
          </c:val>
          <c:smooth val="0"/>
          <c:extLst>
            <c:ext xmlns:c16="http://schemas.microsoft.com/office/drawing/2014/chart" uri="{C3380CC4-5D6E-409C-BE32-E72D297353CC}">
              <c16:uniqueId val="{00000001-83ED-4101-8EFF-D933C49B4A55}"/>
            </c:ext>
          </c:extLst>
        </c:ser>
        <c:dLbls>
          <c:showLegendKey val="0"/>
          <c:showVal val="0"/>
          <c:showCatName val="0"/>
          <c:showSerName val="0"/>
          <c:showPercent val="0"/>
          <c:showBubbleSize val="0"/>
        </c:dLbls>
        <c:marker val="1"/>
        <c:smooth val="0"/>
        <c:axId val="366511232"/>
        <c:axId val="366512768"/>
      </c:lineChart>
      <c:catAx>
        <c:axId val="36651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512768"/>
        <c:crosses val="autoZero"/>
        <c:auto val="1"/>
        <c:lblAlgn val="ctr"/>
        <c:lblOffset val="100"/>
        <c:noMultiLvlLbl val="0"/>
      </c:catAx>
      <c:valAx>
        <c:axId val="366512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511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Përmbajtje e NKO</a:t>
            </a:r>
          </a:p>
        </c:rich>
      </c:tx>
      <c:overlay val="0"/>
      <c:spPr>
        <a:noFill/>
        <a:ln>
          <a:noFill/>
        </a:ln>
        <a:effectLst/>
      </c:spPr>
    </c:title>
    <c:autoTitleDeleted val="0"/>
    <c:plotArea>
      <c:layout/>
      <c:barChart>
        <c:barDir val="col"/>
        <c:grouping val="clustered"/>
        <c:varyColors val="0"/>
        <c:ser>
          <c:idx val="0"/>
          <c:order val="0"/>
          <c:tx>
            <c:strRef>
              <c:f>NKO!$B$13</c:f>
              <c:strCache>
                <c:ptCount val="1"/>
                <c:pt idx="0">
                  <c:v>vlerat mesatare vjetore 2025</c:v>
                </c:pt>
              </c:strCache>
            </c:strRef>
          </c:tx>
          <c:spPr>
            <a:solidFill>
              <a:schemeClr val="accent1"/>
            </a:solidFill>
            <a:ln>
              <a:noFill/>
            </a:ln>
            <a:effectLst/>
          </c:spPr>
          <c:invertIfNegative val="0"/>
          <c:cat>
            <c:strRef>
              <c:f>NKO!$C$12:$D$12</c:f>
              <c:strCache>
                <c:ptCount val="2"/>
                <c:pt idx="0">
                  <c:v>stacioni ne 0 m thellesi</c:v>
                </c:pt>
                <c:pt idx="1">
                  <c:v>stacioni ne 5 m thellesi</c:v>
                </c:pt>
              </c:strCache>
            </c:strRef>
          </c:cat>
          <c:val>
            <c:numRef>
              <c:f>NKO!$C$13:$D$13</c:f>
              <c:numCache>
                <c:formatCode>General</c:formatCode>
                <c:ptCount val="2"/>
                <c:pt idx="0">
                  <c:v>8</c:v>
                </c:pt>
                <c:pt idx="1">
                  <c:v>10</c:v>
                </c:pt>
              </c:numCache>
            </c:numRef>
          </c:val>
          <c:extLst>
            <c:ext xmlns:c16="http://schemas.microsoft.com/office/drawing/2014/chart" uri="{C3380CC4-5D6E-409C-BE32-E72D297353CC}">
              <c16:uniqueId val="{00000000-626C-4284-A563-05C4D3856690}"/>
            </c:ext>
          </c:extLst>
        </c:ser>
        <c:ser>
          <c:idx val="1"/>
          <c:order val="1"/>
          <c:tx>
            <c:strRef>
              <c:f>NKO!$B$14</c:f>
              <c:strCache>
                <c:ptCount val="1"/>
                <c:pt idx="0">
                  <c:v>mezotrofik</c:v>
                </c:pt>
              </c:strCache>
            </c:strRef>
          </c:tx>
          <c:spPr>
            <a:solidFill>
              <a:schemeClr val="accent2"/>
            </a:solidFill>
            <a:ln>
              <a:noFill/>
            </a:ln>
            <a:effectLst/>
          </c:spPr>
          <c:invertIfNegative val="0"/>
          <c:cat>
            <c:strRef>
              <c:f>NKO!$C$12:$D$12</c:f>
              <c:strCache>
                <c:ptCount val="2"/>
                <c:pt idx="0">
                  <c:v>stacioni ne 0 m thellesi</c:v>
                </c:pt>
                <c:pt idx="1">
                  <c:v>stacioni ne 5 m thellesi</c:v>
                </c:pt>
              </c:strCache>
            </c:strRef>
          </c:cat>
          <c:val>
            <c:numRef>
              <c:f>NKO!$C$14:$D$14</c:f>
              <c:numCache>
                <c:formatCode>General</c:formatCode>
                <c:ptCount val="2"/>
                <c:pt idx="0">
                  <c:v>9</c:v>
                </c:pt>
                <c:pt idx="1">
                  <c:v>9</c:v>
                </c:pt>
              </c:numCache>
            </c:numRef>
          </c:val>
          <c:extLst>
            <c:ext xmlns:c16="http://schemas.microsoft.com/office/drawing/2014/chart" uri="{C3380CC4-5D6E-409C-BE32-E72D297353CC}">
              <c16:uniqueId val="{00000001-626C-4284-A563-05C4D3856690}"/>
            </c:ext>
          </c:extLst>
        </c:ser>
        <c:ser>
          <c:idx val="2"/>
          <c:order val="2"/>
          <c:tx>
            <c:strRef>
              <c:f>NKO!$B$15</c:f>
              <c:strCache>
                <c:ptCount val="1"/>
                <c:pt idx="0">
                  <c:v>eutrofik</c:v>
                </c:pt>
              </c:strCache>
            </c:strRef>
          </c:tx>
          <c:spPr>
            <a:solidFill>
              <a:schemeClr val="accent3"/>
            </a:solidFill>
            <a:ln>
              <a:noFill/>
            </a:ln>
            <a:effectLst/>
          </c:spPr>
          <c:invertIfNegative val="0"/>
          <c:cat>
            <c:strRef>
              <c:f>NKO!$C$12:$D$12</c:f>
              <c:strCache>
                <c:ptCount val="2"/>
                <c:pt idx="0">
                  <c:v>stacioni ne 0 m thellesi</c:v>
                </c:pt>
                <c:pt idx="1">
                  <c:v>stacioni ne 5 m thellesi</c:v>
                </c:pt>
              </c:strCache>
            </c:strRef>
          </c:cat>
          <c:val>
            <c:numRef>
              <c:f>NKO!$C$15:$D$15</c:f>
              <c:numCache>
                <c:formatCode>General</c:formatCode>
                <c:ptCount val="2"/>
                <c:pt idx="0">
                  <c:v>65</c:v>
                </c:pt>
                <c:pt idx="1">
                  <c:v>65</c:v>
                </c:pt>
              </c:numCache>
            </c:numRef>
          </c:val>
          <c:extLst>
            <c:ext xmlns:c16="http://schemas.microsoft.com/office/drawing/2014/chart" uri="{C3380CC4-5D6E-409C-BE32-E72D297353CC}">
              <c16:uniqueId val="{00000002-626C-4284-A563-05C4D3856690}"/>
            </c:ext>
          </c:extLst>
        </c:ser>
        <c:dLbls>
          <c:showLegendKey val="0"/>
          <c:showVal val="0"/>
          <c:showCatName val="0"/>
          <c:showSerName val="0"/>
          <c:showPercent val="0"/>
          <c:showBubbleSize val="0"/>
        </c:dLbls>
        <c:gapWidth val="219"/>
        <c:overlap val="-27"/>
        <c:axId val="366573056"/>
        <c:axId val="366574592"/>
      </c:barChart>
      <c:catAx>
        <c:axId val="36657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574592"/>
        <c:crosses val="autoZero"/>
        <c:auto val="1"/>
        <c:lblAlgn val="ctr"/>
        <c:lblOffset val="100"/>
        <c:noMultiLvlLbl val="0"/>
      </c:catAx>
      <c:valAx>
        <c:axId val="366574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573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Përmbajtje NBO</a:t>
            </a:r>
            <a:r>
              <a:rPr lang="en-US" b="1" baseline="-25000">
                <a:latin typeface="Times New Roman" panose="02020603050405020304" pitchFamily="18" charset="0"/>
                <a:cs typeface="Times New Roman" panose="02020603050405020304" pitchFamily="18" charset="0"/>
              </a:rPr>
              <a:t>5</a:t>
            </a:r>
          </a:p>
        </c:rich>
      </c:tx>
      <c:overlay val="0"/>
      <c:spPr>
        <a:noFill/>
        <a:ln>
          <a:noFill/>
        </a:ln>
        <a:effectLst/>
      </c:spPr>
    </c:title>
    <c:autoTitleDeleted val="0"/>
    <c:plotArea>
      <c:layout/>
      <c:barChart>
        <c:barDir val="col"/>
        <c:grouping val="clustered"/>
        <c:varyColors val="0"/>
        <c:ser>
          <c:idx val="0"/>
          <c:order val="0"/>
          <c:tx>
            <c:strRef>
              <c:f>'Nbo5'!$F$5</c:f>
              <c:strCache>
                <c:ptCount val="1"/>
                <c:pt idx="0">
                  <c:v>vlerat mesatare vjetore 2025</c:v>
                </c:pt>
              </c:strCache>
            </c:strRef>
          </c:tx>
          <c:spPr>
            <a:solidFill>
              <a:schemeClr val="accent1"/>
            </a:solidFill>
            <a:ln>
              <a:noFill/>
            </a:ln>
            <a:effectLst/>
          </c:spPr>
          <c:invertIfNegative val="0"/>
          <c:cat>
            <c:strRef>
              <c:f>'Nbo5'!$G$4:$H$4</c:f>
              <c:strCache>
                <c:ptCount val="2"/>
                <c:pt idx="0">
                  <c:v>stacioni ne 0 m thellesi</c:v>
                </c:pt>
                <c:pt idx="1">
                  <c:v>stacioni ne 5 m thellesi</c:v>
                </c:pt>
              </c:strCache>
            </c:strRef>
          </c:cat>
          <c:val>
            <c:numRef>
              <c:f>'Nbo5'!$G$5:$H$5</c:f>
              <c:numCache>
                <c:formatCode>General</c:formatCode>
                <c:ptCount val="2"/>
                <c:pt idx="0">
                  <c:v>4</c:v>
                </c:pt>
                <c:pt idx="1">
                  <c:v>5</c:v>
                </c:pt>
              </c:numCache>
            </c:numRef>
          </c:val>
          <c:extLst>
            <c:ext xmlns:c16="http://schemas.microsoft.com/office/drawing/2014/chart" uri="{C3380CC4-5D6E-409C-BE32-E72D297353CC}">
              <c16:uniqueId val="{00000000-760D-4044-8CDE-7FCEE1AB1806}"/>
            </c:ext>
          </c:extLst>
        </c:ser>
        <c:ser>
          <c:idx val="1"/>
          <c:order val="1"/>
          <c:tx>
            <c:strRef>
              <c:f>'Nbo5'!$F$6</c:f>
              <c:strCache>
                <c:ptCount val="1"/>
                <c:pt idx="0">
                  <c:v>mezotrofik</c:v>
                </c:pt>
              </c:strCache>
            </c:strRef>
          </c:tx>
          <c:spPr>
            <a:solidFill>
              <a:schemeClr val="accent2"/>
            </a:solidFill>
            <a:ln>
              <a:noFill/>
            </a:ln>
            <a:effectLst/>
          </c:spPr>
          <c:invertIfNegative val="0"/>
          <c:cat>
            <c:strRef>
              <c:f>'Nbo5'!$G$4:$H$4</c:f>
              <c:strCache>
                <c:ptCount val="2"/>
                <c:pt idx="0">
                  <c:v>stacioni ne 0 m thellesi</c:v>
                </c:pt>
                <c:pt idx="1">
                  <c:v>stacioni ne 5 m thellesi</c:v>
                </c:pt>
              </c:strCache>
            </c:strRef>
          </c:cat>
          <c:val>
            <c:numRef>
              <c:f>'Nbo5'!$G$6:$H$6</c:f>
              <c:numCache>
                <c:formatCode>General</c:formatCode>
                <c:ptCount val="2"/>
                <c:pt idx="0">
                  <c:v>5.5</c:v>
                </c:pt>
                <c:pt idx="1">
                  <c:v>5.5</c:v>
                </c:pt>
              </c:numCache>
            </c:numRef>
          </c:val>
          <c:extLst>
            <c:ext xmlns:c16="http://schemas.microsoft.com/office/drawing/2014/chart" uri="{C3380CC4-5D6E-409C-BE32-E72D297353CC}">
              <c16:uniqueId val="{00000001-760D-4044-8CDE-7FCEE1AB1806}"/>
            </c:ext>
          </c:extLst>
        </c:ser>
        <c:ser>
          <c:idx val="2"/>
          <c:order val="2"/>
          <c:tx>
            <c:strRef>
              <c:f>'Nbo5'!$F$7</c:f>
              <c:strCache>
                <c:ptCount val="1"/>
                <c:pt idx="0">
                  <c:v>eutrofik</c:v>
                </c:pt>
              </c:strCache>
            </c:strRef>
          </c:tx>
          <c:spPr>
            <a:solidFill>
              <a:schemeClr val="accent3"/>
            </a:solidFill>
            <a:ln>
              <a:noFill/>
            </a:ln>
            <a:effectLst/>
          </c:spPr>
          <c:invertIfNegative val="0"/>
          <c:cat>
            <c:strRef>
              <c:f>'Nbo5'!$G$4:$H$4</c:f>
              <c:strCache>
                <c:ptCount val="2"/>
                <c:pt idx="0">
                  <c:v>stacioni ne 0 m thellesi</c:v>
                </c:pt>
                <c:pt idx="1">
                  <c:v>stacioni ne 5 m thellesi</c:v>
                </c:pt>
              </c:strCache>
            </c:strRef>
          </c:cat>
          <c:val>
            <c:numRef>
              <c:f>'Nbo5'!$G$7:$H$7</c:f>
              <c:numCache>
                <c:formatCode>General</c:formatCode>
                <c:ptCount val="2"/>
                <c:pt idx="0">
                  <c:v>14</c:v>
                </c:pt>
                <c:pt idx="1">
                  <c:v>14</c:v>
                </c:pt>
              </c:numCache>
            </c:numRef>
          </c:val>
          <c:extLst>
            <c:ext xmlns:c16="http://schemas.microsoft.com/office/drawing/2014/chart" uri="{C3380CC4-5D6E-409C-BE32-E72D297353CC}">
              <c16:uniqueId val="{00000002-760D-4044-8CDE-7FCEE1AB1806}"/>
            </c:ext>
          </c:extLst>
        </c:ser>
        <c:dLbls>
          <c:showLegendKey val="0"/>
          <c:showVal val="0"/>
          <c:showCatName val="0"/>
          <c:showSerName val="0"/>
          <c:showPercent val="0"/>
          <c:showBubbleSize val="0"/>
        </c:dLbls>
        <c:gapWidth val="219"/>
        <c:overlap val="-27"/>
        <c:axId val="372201344"/>
        <c:axId val="372202880"/>
        <c:extLst>
          <c:ext xmlns:c15="http://schemas.microsoft.com/office/drawing/2012/chart" uri="{02D57815-91ED-43cb-92C2-25804820EDAC}">
            <c15:filteredBarSeries>
              <c15:ser>
                <c:idx val="3"/>
                <c:order val="3"/>
                <c:tx>
                  <c:strRef>
                    <c:extLst>
                      <c:ext uri="{02D57815-91ED-43cb-92C2-25804820EDAC}">
                        <c15:formulaRef>
                          <c15:sqref>'Nbo5'!$F$8</c15:sqref>
                        </c15:formulaRef>
                      </c:ext>
                    </c:extLst>
                    <c:strCache>
                      <c:ptCount val="1"/>
                    </c:strCache>
                  </c:strRef>
                </c:tx>
                <c:spPr>
                  <a:solidFill>
                    <a:schemeClr val="accent4"/>
                  </a:solidFill>
                  <a:ln>
                    <a:noFill/>
                  </a:ln>
                  <a:effectLst/>
                </c:spPr>
                <c:invertIfNegative val="0"/>
                <c:cat>
                  <c:strRef>
                    <c:extLst>
                      <c:ext uri="{02D57815-91ED-43cb-92C2-25804820EDAC}">
                        <c15:formulaRef>
                          <c15:sqref>'Nbo5'!$G$4:$H$4</c15:sqref>
                        </c15:formulaRef>
                      </c:ext>
                    </c:extLst>
                    <c:strCache>
                      <c:ptCount val="2"/>
                      <c:pt idx="0">
                        <c:v>stacioni ne 0 m thellesi</c:v>
                      </c:pt>
                      <c:pt idx="1">
                        <c:v>stacioni ne 5 m thellesi</c:v>
                      </c:pt>
                    </c:strCache>
                  </c:strRef>
                </c:cat>
                <c:val>
                  <c:numRef>
                    <c:extLst>
                      <c:ext uri="{02D57815-91ED-43cb-92C2-25804820EDAC}">
                        <c15:formulaRef>
                          <c15:sqref>'Nbo5'!$G$8:$H$8</c15:sqref>
                        </c15:formulaRef>
                      </c:ext>
                    </c:extLst>
                    <c:numCache>
                      <c:formatCode>General</c:formatCode>
                      <c:ptCount val="2"/>
                    </c:numCache>
                  </c:numRef>
                </c:val>
                <c:extLst>
                  <c:ext xmlns:c16="http://schemas.microsoft.com/office/drawing/2014/chart" uri="{C3380CC4-5D6E-409C-BE32-E72D297353CC}">
                    <c16:uniqueId val="{00000003-760D-4044-8CDE-7FCEE1AB1806}"/>
                  </c:ext>
                </c:extLst>
              </c15:ser>
            </c15:filteredBarSeries>
          </c:ext>
        </c:extLst>
      </c:barChart>
      <c:catAx>
        <c:axId val="37220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202880"/>
        <c:crosses val="autoZero"/>
        <c:auto val="1"/>
        <c:lblAlgn val="ctr"/>
        <c:lblOffset val="100"/>
        <c:noMultiLvlLbl val="0"/>
      </c:catAx>
      <c:valAx>
        <c:axId val="372202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201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n-US" b="0"/>
              <a:t>Viti 2025</a:t>
            </a:r>
          </a:p>
        </c:rich>
      </c:tx>
      <c:overlay val="0"/>
      <c:spPr>
        <a:noFill/>
        <a:ln>
          <a:noFill/>
        </a:ln>
        <a:effectLst/>
      </c:spPr>
    </c:title>
    <c:autoTitleDeleted val="0"/>
    <c:plotArea>
      <c:layout/>
      <c:barChart>
        <c:barDir val="col"/>
        <c:grouping val="stacked"/>
        <c:varyColors val="0"/>
        <c:ser>
          <c:idx val="0"/>
          <c:order val="0"/>
          <c:tx>
            <c:strRef>
              <c:f>Sheet1!$C$4:$C$5</c:f>
              <c:strCache>
                <c:ptCount val="2"/>
                <c:pt idx="1">
                  <c:v>Leje Tipi A</c:v>
                </c:pt>
              </c:strCache>
            </c:strRef>
          </c:tx>
          <c:spPr>
            <a:solidFill>
              <a:schemeClr val="accent1"/>
            </a:solidFill>
            <a:ln>
              <a:noFill/>
            </a:ln>
            <a:effectLst/>
          </c:spPr>
          <c:invertIfNegative val="0"/>
          <c:cat>
            <c:strRef>
              <c:f>Sheet1!$B$6:$B$18</c:f>
              <c:strCache>
                <c:ptCount val="13"/>
                <c:pt idx="0">
                  <c:v>Tirane</c:v>
                </c:pt>
                <c:pt idx="1">
                  <c:v>Durres</c:v>
                </c:pt>
                <c:pt idx="2">
                  <c:v>Lezhe</c:v>
                </c:pt>
                <c:pt idx="3">
                  <c:v>Gjirokaster</c:v>
                </c:pt>
                <c:pt idx="4">
                  <c:v>Vlore</c:v>
                </c:pt>
                <c:pt idx="5">
                  <c:v>Berat</c:v>
                </c:pt>
                <c:pt idx="6">
                  <c:v>Fier</c:v>
                </c:pt>
                <c:pt idx="7">
                  <c:v>Kukes</c:v>
                </c:pt>
                <c:pt idx="8">
                  <c:v>Shkoder</c:v>
                </c:pt>
                <c:pt idx="9">
                  <c:v>Diber</c:v>
                </c:pt>
                <c:pt idx="10">
                  <c:v>Elbasan</c:v>
                </c:pt>
                <c:pt idx="11">
                  <c:v>Korçe</c:v>
                </c:pt>
                <c:pt idx="12">
                  <c:v>Totali</c:v>
                </c:pt>
              </c:strCache>
            </c:strRef>
          </c:cat>
          <c:val>
            <c:numRef>
              <c:f>Sheet1!$C$6:$C$18</c:f>
              <c:numCache>
                <c:formatCode>General</c:formatCode>
                <c:ptCount val="13"/>
                <c:pt idx="0">
                  <c:v>12</c:v>
                </c:pt>
                <c:pt idx="1">
                  <c:v>18</c:v>
                </c:pt>
                <c:pt idx="2">
                  <c:v>7</c:v>
                </c:pt>
                <c:pt idx="3">
                  <c:v>1</c:v>
                </c:pt>
                <c:pt idx="4">
                  <c:v>8</c:v>
                </c:pt>
                <c:pt idx="5">
                  <c:v>11</c:v>
                </c:pt>
                <c:pt idx="6">
                  <c:v>24</c:v>
                </c:pt>
                <c:pt idx="7">
                  <c:v>1</c:v>
                </c:pt>
                <c:pt idx="8">
                  <c:v>2</c:v>
                </c:pt>
                <c:pt idx="9">
                  <c:v>1</c:v>
                </c:pt>
                <c:pt idx="10">
                  <c:v>18</c:v>
                </c:pt>
                <c:pt idx="11">
                  <c:v>4</c:v>
                </c:pt>
                <c:pt idx="12">
                  <c:v>107</c:v>
                </c:pt>
              </c:numCache>
            </c:numRef>
          </c:val>
          <c:extLst>
            <c:ext xmlns:c16="http://schemas.microsoft.com/office/drawing/2014/chart" uri="{C3380CC4-5D6E-409C-BE32-E72D297353CC}">
              <c16:uniqueId val="{00000000-6D04-475E-BEBB-05CE1ADA92B6}"/>
            </c:ext>
          </c:extLst>
        </c:ser>
        <c:ser>
          <c:idx val="1"/>
          <c:order val="1"/>
          <c:tx>
            <c:strRef>
              <c:f>Sheet1!$D$4:$D$5</c:f>
              <c:strCache>
                <c:ptCount val="2"/>
                <c:pt idx="1">
                  <c:v>Leje Tipi B</c:v>
                </c:pt>
              </c:strCache>
            </c:strRef>
          </c:tx>
          <c:spPr>
            <a:solidFill>
              <a:schemeClr val="accent2"/>
            </a:solidFill>
            <a:ln>
              <a:noFill/>
            </a:ln>
            <a:effectLst/>
          </c:spPr>
          <c:invertIfNegative val="0"/>
          <c:cat>
            <c:strRef>
              <c:f>Sheet1!$B$6:$B$18</c:f>
              <c:strCache>
                <c:ptCount val="13"/>
                <c:pt idx="0">
                  <c:v>Tirane</c:v>
                </c:pt>
                <c:pt idx="1">
                  <c:v>Durres</c:v>
                </c:pt>
                <c:pt idx="2">
                  <c:v>Lezhe</c:v>
                </c:pt>
                <c:pt idx="3">
                  <c:v>Gjirokaster</c:v>
                </c:pt>
                <c:pt idx="4">
                  <c:v>Vlore</c:v>
                </c:pt>
                <c:pt idx="5">
                  <c:v>Berat</c:v>
                </c:pt>
                <c:pt idx="6">
                  <c:v>Fier</c:v>
                </c:pt>
                <c:pt idx="7">
                  <c:v>Kukes</c:v>
                </c:pt>
                <c:pt idx="8">
                  <c:v>Shkoder</c:v>
                </c:pt>
                <c:pt idx="9">
                  <c:v>Diber</c:v>
                </c:pt>
                <c:pt idx="10">
                  <c:v>Elbasan</c:v>
                </c:pt>
                <c:pt idx="11">
                  <c:v>Korçe</c:v>
                </c:pt>
                <c:pt idx="12">
                  <c:v>Totali</c:v>
                </c:pt>
              </c:strCache>
            </c:strRef>
          </c:cat>
          <c:val>
            <c:numRef>
              <c:f>Sheet1!$D$6:$D$18</c:f>
              <c:numCache>
                <c:formatCode>General</c:formatCode>
                <c:ptCount val="13"/>
                <c:pt idx="0">
                  <c:v>720</c:v>
                </c:pt>
                <c:pt idx="1">
                  <c:v>384</c:v>
                </c:pt>
                <c:pt idx="2">
                  <c:v>152</c:v>
                </c:pt>
                <c:pt idx="3">
                  <c:v>80</c:v>
                </c:pt>
                <c:pt idx="4">
                  <c:v>226</c:v>
                </c:pt>
                <c:pt idx="5">
                  <c:v>173</c:v>
                </c:pt>
                <c:pt idx="6">
                  <c:v>340</c:v>
                </c:pt>
                <c:pt idx="7">
                  <c:v>88</c:v>
                </c:pt>
                <c:pt idx="8">
                  <c:v>132</c:v>
                </c:pt>
                <c:pt idx="9">
                  <c:v>144</c:v>
                </c:pt>
                <c:pt idx="10">
                  <c:v>260</c:v>
                </c:pt>
                <c:pt idx="11">
                  <c:v>161</c:v>
                </c:pt>
                <c:pt idx="12">
                  <c:v>2860</c:v>
                </c:pt>
              </c:numCache>
            </c:numRef>
          </c:val>
          <c:extLst>
            <c:ext xmlns:c16="http://schemas.microsoft.com/office/drawing/2014/chart" uri="{C3380CC4-5D6E-409C-BE32-E72D297353CC}">
              <c16:uniqueId val="{00000001-6D04-475E-BEBB-05CE1ADA92B6}"/>
            </c:ext>
          </c:extLst>
        </c:ser>
        <c:ser>
          <c:idx val="2"/>
          <c:order val="2"/>
          <c:tx>
            <c:strRef>
              <c:f>Sheet1!$E$4:$E$5</c:f>
              <c:strCache>
                <c:ptCount val="2"/>
                <c:pt idx="1">
                  <c:v>Total</c:v>
                </c:pt>
              </c:strCache>
            </c:strRef>
          </c:tx>
          <c:spPr>
            <a:solidFill>
              <a:schemeClr val="accent3"/>
            </a:solidFill>
            <a:ln>
              <a:noFill/>
            </a:ln>
            <a:effectLst/>
          </c:spPr>
          <c:invertIfNegative val="0"/>
          <c:cat>
            <c:strRef>
              <c:f>Sheet1!$B$6:$B$18</c:f>
              <c:strCache>
                <c:ptCount val="13"/>
                <c:pt idx="0">
                  <c:v>Tirane</c:v>
                </c:pt>
                <c:pt idx="1">
                  <c:v>Durres</c:v>
                </c:pt>
                <c:pt idx="2">
                  <c:v>Lezhe</c:v>
                </c:pt>
                <c:pt idx="3">
                  <c:v>Gjirokaster</c:v>
                </c:pt>
                <c:pt idx="4">
                  <c:v>Vlore</c:v>
                </c:pt>
                <c:pt idx="5">
                  <c:v>Berat</c:v>
                </c:pt>
                <c:pt idx="6">
                  <c:v>Fier</c:v>
                </c:pt>
                <c:pt idx="7">
                  <c:v>Kukes</c:v>
                </c:pt>
                <c:pt idx="8">
                  <c:v>Shkoder</c:v>
                </c:pt>
                <c:pt idx="9">
                  <c:v>Diber</c:v>
                </c:pt>
                <c:pt idx="10">
                  <c:v>Elbasan</c:v>
                </c:pt>
                <c:pt idx="11">
                  <c:v>Korçe</c:v>
                </c:pt>
                <c:pt idx="12">
                  <c:v>Totali</c:v>
                </c:pt>
              </c:strCache>
            </c:strRef>
          </c:cat>
          <c:val>
            <c:numRef>
              <c:f>Sheet1!$E$6:$E$18</c:f>
              <c:numCache>
                <c:formatCode>General</c:formatCode>
                <c:ptCount val="13"/>
                <c:pt idx="0">
                  <c:v>732</c:v>
                </c:pt>
                <c:pt idx="1">
                  <c:v>402</c:v>
                </c:pt>
                <c:pt idx="2">
                  <c:v>159</c:v>
                </c:pt>
                <c:pt idx="3">
                  <c:v>81</c:v>
                </c:pt>
                <c:pt idx="4">
                  <c:v>234</c:v>
                </c:pt>
                <c:pt idx="5">
                  <c:v>184</c:v>
                </c:pt>
                <c:pt idx="6">
                  <c:v>364</c:v>
                </c:pt>
                <c:pt idx="7">
                  <c:v>89</c:v>
                </c:pt>
                <c:pt idx="8">
                  <c:v>134</c:v>
                </c:pt>
                <c:pt idx="9">
                  <c:v>145</c:v>
                </c:pt>
                <c:pt idx="10">
                  <c:v>278</c:v>
                </c:pt>
                <c:pt idx="11">
                  <c:v>165</c:v>
                </c:pt>
                <c:pt idx="12">
                  <c:v>2967</c:v>
                </c:pt>
              </c:numCache>
            </c:numRef>
          </c:val>
          <c:extLst>
            <c:ext xmlns:c16="http://schemas.microsoft.com/office/drawing/2014/chart" uri="{C3380CC4-5D6E-409C-BE32-E72D297353CC}">
              <c16:uniqueId val="{00000002-6D04-475E-BEBB-05CE1ADA92B6}"/>
            </c:ext>
          </c:extLst>
        </c:ser>
        <c:dLbls>
          <c:showLegendKey val="0"/>
          <c:showVal val="0"/>
          <c:showCatName val="0"/>
          <c:showSerName val="0"/>
          <c:showPercent val="0"/>
          <c:showBubbleSize val="0"/>
        </c:dLbls>
        <c:gapWidth val="150"/>
        <c:overlap val="100"/>
        <c:axId val="372230400"/>
        <c:axId val="372396032"/>
      </c:barChart>
      <c:catAx>
        <c:axId val="37223040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2396032"/>
        <c:crosses val="autoZero"/>
        <c:auto val="1"/>
        <c:lblAlgn val="ctr"/>
        <c:lblOffset val="100"/>
        <c:noMultiLvlLbl val="0"/>
      </c:catAx>
      <c:valAx>
        <c:axId val="37239603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223040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Pt>
            <c:idx val="1"/>
            <c:invertIfNegative val="0"/>
            <c:bubble3D val="0"/>
            <c:spPr>
              <a:solidFill>
                <a:schemeClr val="accent5">
                  <a:lumMod val="60000"/>
                  <a:lumOff val="40000"/>
                </a:schemeClr>
              </a:solidFill>
            </c:spPr>
            <c:extLst>
              <c:ext xmlns:c16="http://schemas.microsoft.com/office/drawing/2014/chart" uri="{C3380CC4-5D6E-409C-BE32-E72D297353CC}">
                <c16:uniqueId val="{00000001-6EAD-448A-921F-8D6D1FEC69D4}"/>
              </c:ext>
            </c:extLst>
          </c:dPt>
          <c:dPt>
            <c:idx val="4"/>
            <c:invertIfNegative val="0"/>
            <c:bubble3D val="0"/>
            <c:spPr>
              <a:solidFill>
                <a:schemeClr val="accent5">
                  <a:lumMod val="60000"/>
                  <a:lumOff val="40000"/>
                </a:schemeClr>
              </a:solidFill>
            </c:spPr>
            <c:extLst>
              <c:ext xmlns:c16="http://schemas.microsoft.com/office/drawing/2014/chart" uri="{C3380CC4-5D6E-409C-BE32-E72D297353CC}">
                <c16:uniqueId val="{00000003-6EAD-448A-921F-8D6D1FEC69D4}"/>
              </c:ext>
            </c:extLst>
          </c:dPt>
          <c:dPt>
            <c:idx val="7"/>
            <c:invertIfNegative val="0"/>
            <c:bubble3D val="0"/>
            <c:spPr>
              <a:solidFill>
                <a:schemeClr val="accent5">
                  <a:lumMod val="60000"/>
                  <a:lumOff val="40000"/>
                </a:schemeClr>
              </a:solidFill>
            </c:spPr>
            <c:extLst>
              <c:ext xmlns:c16="http://schemas.microsoft.com/office/drawing/2014/chart" uri="{C3380CC4-5D6E-409C-BE32-E72D297353CC}">
                <c16:uniqueId val="{00000005-6EAD-448A-921F-8D6D1FEC69D4}"/>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Sheet1!$C$6:$J$7</c:f>
              <c:multiLvlStrCache>
                <c:ptCount val="8"/>
                <c:lvl>
                  <c:pt idx="0">
                    <c:v>Miratime </c:v>
                  </c:pt>
                  <c:pt idx="1">
                    <c:v>Refuzime</c:v>
                  </c:pt>
                  <c:pt idx="3">
                    <c:v>Miratime</c:v>
                  </c:pt>
                  <c:pt idx="4">
                    <c:v>Refuzime</c:v>
                  </c:pt>
                  <c:pt idx="6">
                    <c:v>Miratime</c:v>
                  </c:pt>
                  <c:pt idx="7">
                    <c:v>Refuzime</c:v>
                  </c:pt>
                </c:lvl>
                <c:lvl>
                  <c:pt idx="0">
                    <c:v>Leje  Mjedisi Tipi A</c:v>
                  </c:pt>
                  <c:pt idx="3">
                    <c:v>Leje Mjedisi  Tipi B</c:v>
                  </c:pt>
                  <c:pt idx="6">
                    <c:v>Liçenca III 2B</c:v>
                  </c:pt>
                </c:lvl>
              </c:multiLvlStrCache>
            </c:multiLvlStrRef>
          </c:cat>
          <c:val>
            <c:numRef>
              <c:f>Sheet1!$C$8:$J$8</c:f>
              <c:numCache>
                <c:formatCode>General</c:formatCode>
                <c:ptCount val="8"/>
                <c:pt idx="0">
                  <c:v>12</c:v>
                </c:pt>
                <c:pt idx="1">
                  <c:v>10</c:v>
                </c:pt>
                <c:pt idx="3">
                  <c:v>284</c:v>
                </c:pt>
                <c:pt idx="4">
                  <c:v>332</c:v>
                </c:pt>
                <c:pt idx="6">
                  <c:v>60</c:v>
                </c:pt>
                <c:pt idx="7">
                  <c:v>96</c:v>
                </c:pt>
              </c:numCache>
            </c:numRef>
          </c:val>
          <c:extLst>
            <c:ext xmlns:c16="http://schemas.microsoft.com/office/drawing/2014/chart" uri="{C3380CC4-5D6E-409C-BE32-E72D297353CC}">
              <c16:uniqueId val="{00000006-6EAD-448A-921F-8D6D1FEC69D4}"/>
            </c:ext>
          </c:extLst>
        </c:ser>
        <c:dLbls>
          <c:showLegendKey val="0"/>
          <c:showVal val="0"/>
          <c:showCatName val="0"/>
          <c:showSerName val="0"/>
          <c:showPercent val="0"/>
          <c:showBubbleSize val="0"/>
        </c:dLbls>
        <c:gapWidth val="150"/>
        <c:shape val="box"/>
        <c:axId val="372432256"/>
        <c:axId val="373195904"/>
        <c:axId val="0"/>
      </c:bar3DChart>
      <c:catAx>
        <c:axId val="372432256"/>
        <c:scaling>
          <c:orientation val="minMax"/>
        </c:scaling>
        <c:delete val="0"/>
        <c:axPos val="b"/>
        <c:numFmt formatCode="General" sourceLinked="0"/>
        <c:majorTickMark val="out"/>
        <c:minorTickMark val="none"/>
        <c:tickLblPos val="nextTo"/>
        <c:crossAx val="373195904"/>
        <c:crosses val="autoZero"/>
        <c:auto val="1"/>
        <c:lblAlgn val="ctr"/>
        <c:lblOffset val="100"/>
        <c:noMultiLvlLbl val="0"/>
      </c:catAx>
      <c:valAx>
        <c:axId val="373195904"/>
        <c:scaling>
          <c:orientation val="minMax"/>
        </c:scaling>
        <c:delete val="0"/>
        <c:axPos val="l"/>
        <c:majorGridlines/>
        <c:numFmt formatCode="General" sourceLinked="1"/>
        <c:majorTickMark val="out"/>
        <c:minorTickMark val="none"/>
        <c:tickLblPos val="nextTo"/>
        <c:crossAx val="372432256"/>
        <c:crosses val="autoZero"/>
        <c:crossBetween val="between"/>
      </c:valAx>
    </c:plotArea>
    <c:plotVisOnly val="1"/>
    <c:dispBlanksAs val="gap"/>
    <c:showDLblsOverMax val="0"/>
  </c:chart>
  <c:externalData r:id="rId1">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Arial"/>
                <a:ea typeface="Arial"/>
                <a:cs typeface="Arial"/>
              </a:defRPr>
            </a:pPr>
            <a:r>
              <a:rPr lang="en-US"/>
              <a:t>Numuri i llojeve sipas Kategorive</a:t>
            </a:r>
          </a:p>
        </c:rich>
      </c:tx>
      <c:layout>
        <c:manualLayout>
          <c:xMode val="edge"/>
          <c:yMode val="edge"/>
          <c:x val="0.31224520847937481"/>
          <c:y val="4.7903907844852732E-2"/>
        </c:manualLayout>
      </c:layout>
      <c:overlay val="0"/>
      <c:spPr>
        <a:noFill/>
        <a:ln w="25400">
          <a:noFill/>
        </a:ln>
      </c:spPr>
    </c:title>
    <c:autoTitleDeleted val="0"/>
    <c:plotArea>
      <c:layout>
        <c:manualLayout>
          <c:layoutTarget val="inner"/>
          <c:xMode val="edge"/>
          <c:yMode val="edge"/>
          <c:x val="0.11405835543766578"/>
          <c:y val="0.24404903767344258"/>
          <c:w val="0.80371352785145889"/>
          <c:h val="0.51190773755892838"/>
        </c:manualLayout>
      </c:layout>
      <c:lineChart>
        <c:grouping val="standard"/>
        <c:varyColors val="0"/>
        <c:ser>
          <c:idx val="0"/>
          <c:order val="0"/>
          <c:spPr>
            <a:ln w="12700">
              <a:solidFill>
                <a:srgbClr val="000080"/>
              </a:solidFill>
              <a:prstDash val="solid"/>
            </a:ln>
          </c:spPr>
          <c:marker>
            <c:symbol val="diamond"/>
            <c:size val="5"/>
            <c:spPr>
              <a:solidFill>
                <a:srgbClr val="000080"/>
              </a:solidFill>
              <a:ln>
                <a:solidFill>
                  <a:srgbClr val="000080"/>
                </a:solidFill>
                <a:prstDash val="solid"/>
              </a:ln>
            </c:spPr>
          </c:marker>
          <c:dLbls>
            <c:spPr>
              <a:noFill/>
              <a:ln w="25400">
                <a:noFill/>
              </a:ln>
            </c:spPr>
            <c:txPr>
              <a:bodyPr wrap="square" lIns="38100" tIns="19050" rIns="38100" bIns="19050" anchor="ctr">
                <a:spAutoFit/>
              </a:bodyPr>
              <a:lstStyle/>
              <a:p>
                <a:pPr>
                  <a:defRPr sz="800" b="1" i="0" u="none" strike="noStrike" baseline="0">
                    <a:solidFill>
                      <a:srgbClr val="FF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'\Dano_AMPdok_2010\Sektori i Kullotave dhe BMA_2010\Bime Mjeksore\[Lista e Llojeve te Mbrojtura_database.xls]Llojet sipas kategorive'!$B$3:$B$11</c:f>
              <c:strCache>
                <c:ptCount val="9"/>
                <c:pt idx="0">
                  <c:v>EX</c:v>
                </c:pt>
                <c:pt idx="1">
                  <c:v>EW</c:v>
                </c:pt>
                <c:pt idx="2">
                  <c:v>CR</c:v>
                </c:pt>
                <c:pt idx="3">
                  <c:v>DD</c:v>
                </c:pt>
                <c:pt idx="4">
                  <c:v>EN</c:v>
                </c:pt>
                <c:pt idx="5">
                  <c:v>LR</c:v>
                </c:pt>
                <c:pt idx="6">
                  <c:v>NE</c:v>
                </c:pt>
                <c:pt idx="7">
                  <c:v>VU</c:v>
                </c:pt>
                <c:pt idx="8">
                  <c:v>TOTAL</c:v>
                </c:pt>
              </c:strCache>
            </c:strRef>
          </c:cat>
          <c:val>
            <c:numRef>
              <c:f>'\Dano_AMPdok_2010\Sektori i Kullotave dhe BMA_2010\Bime Mjeksore\[Lista e Llojeve te Mbrojtura_database.xls]Llojet sipas kategorive'!$D$3:$D$11</c:f>
              <c:numCache>
                <c:formatCode>General</c:formatCode>
                <c:ptCount val="9"/>
                <c:pt idx="0">
                  <c:v>0</c:v>
                </c:pt>
                <c:pt idx="1">
                  <c:v>0</c:v>
                </c:pt>
                <c:pt idx="2">
                  <c:v>54</c:v>
                </c:pt>
                <c:pt idx="3">
                  <c:v>30</c:v>
                </c:pt>
                <c:pt idx="4">
                  <c:v>118</c:v>
                </c:pt>
                <c:pt idx="5">
                  <c:v>60</c:v>
                </c:pt>
                <c:pt idx="6">
                  <c:v>3</c:v>
                </c:pt>
                <c:pt idx="7">
                  <c:v>96</c:v>
                </c:pt>
                <c:pt idx="8">
                  <c:v>361</c:v>
                </c:pt>
              </c:numCache>
            </c:numRef>
          </c:val>
          <c:smooth val="0"/>
          <c:extLst>
            <c:ext xmlns:c16="http://schemas.microsoft.com/office/drawing/2014/chart" uri="{C3380CC4-5D6E-409C-BE32-E72D297353CC}">
              <c16:uniqueId val="{00000000-3C99-4DC6-AB20-E7E8D42ADD78}"/>
            </c:ext>
          </c:extLst>
        </c:ser>
        <c:dLbls>
          <c:showLegendKey val="0"/>
          <c:showVal val="0"/>
          <c:showCatName val="0"/>
          <c:showSerName val="0"/>
          <c:showPercent val="0"/>
          <c:showBubbleSize val="0"/>
        </c:dLbls>
        <c:marker val="1"/>
        <c:smooth val="0"/>
        <c:axId val="373225728"/>
        <c:axId val="380571648"/>
      </c:lineChart>
      <c:catAx>
        <c:axId val="37322572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380571648"/>
        <c:crosses val="autoZero"/>
        <c:auto val="1"/>
        <c:lblAlgn val="ctr"/>
        <c:lblOffset val="100"/>
        <c:tickLblSkip val="1"/>
        <c:tickMarkSkip val="1"/>
        <c:noMultiLvlLbl val="0"/>
      </c:catAx>
      <c:valAx>
        <c:axId val="380571648"/>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373225728"/>
        <c:crosses val="autoZero"/>
        <c:crossBetween val="between"/>
      </c:valAx>
      <c:spPr>
        <a:solidFill>
          <a:srgbClr val="FFFFCC"/>
        </a:solidFill>
        <a:ln w="12700">
          <a:solidFill>
            <a:srgbClr val="808080"/>
          </a:solidFill>
          <a:prstDash val="solid"/>
        </a:ln>
      </c:spPr>
    </c:plotArea>
    <c:plotVisOnly val="1"/>
    <c:dispBlanksAs val="gap"/>
    <c:showDLblsOverMax val="0"/>
  </c:chart>
  <c:spPr>
    <a:solidFill>
      <a:srgbClr val="FF99CC"/>
    </a:solidFill>
    <a:ln w="3175">
      <a:solidFill>
        <a:srgbClr val="000000"/>
      </a:solidFill>
      <a:prstDash val="solid"/>
    </a:ln>
  </c:spPr>
  <c:txPr>
    <a:bodyPr/>
    <a:lstStyle/>
    <a:p>
      <a:pPr>
        <a:defRPr sz="575" b="0" i="0" u="none" strike="noStrike" baseline="0">
          <a:solidFill>
            <a:srgbClr val="000000"/>
          </a:solidFill>
          <a:latin typeface="Arial"/>
          <a:ea typeface="Arial"/>
          <a:cs typeface="Aria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Fier,</a:t>
            </a:r>
            <a:r>
              <a:rPr lang="sq-AL"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 </a:t>
            </a: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Niveli i Zhurmave 2025 LAeq/Ditën dB(A) </a:t>
            </a:r>
          </a:p>
        </c:rich>
      </c:tx>
      <c:overlay val="0"/>
      <c:spPr>
        <a:noFill/>
        <a:ln>
          <a:noFill/>
        </a:ln>
        <a:effectLst/>
      </c:spPr>
    </c:title>
    <c:autoTitleDeleted val="0"/>
    <c:plotArea>
      <c:layout/>
      <c:barChart>
        <c:barDir val="col"/>
        <c:grouping val="clustered"/>
        <c:varyColors val="0"/>
        <c:ser>
          <c:idx val="0"/>
          <c:order val="0"/>
          <c:tx>
            <c:strRef>
              <c:f>'Zhurmat Fier 2025'!$B$1</c:f>
              <c:strCache>
                <c:ptCount val="1"/>
                <c:pt idx="0">
                  <c:v> LAeq/Diten dB(A) </c:v>
                </c:pt>
              </c:strCache>
            </c:strRef>
          </c:tx>
          <c:spPr>
            <a:solidFill>
              <a:srgbClr val="00B050"/>
            </a:solidFill>
            <a:ln>
              <a:noFill/>
            </a:ln>
            <a:effectLst/>
          </c:spPr>
          <c:invertIfNegative val="0"/>
          <c:cat>
            <c:strRef>
              <c:f>'Zhurmat Fier 2025'!$A$2:$A$5</c:f>
              <c:strCache>
                <c:ptCount val="4"/>
                <c:pt idx="0">
                  <c:v>Kryqezimi i Hyrjes ne Qytet</c:v>
                </c:pt>
                <c:pt idx="1">
                  <c:v>Tregu (Banka)</c:v>
                </c:pt>
                <c:pt idx="2">
                  <c:v>Prefektura</c:v>
                </c:pt>
                <c:pt idx="3">
                  <c:v>Kryqezimi per ne Vlore</c:v>
                </c:pt>
              </c:strCache>
            </c:strRef>
          </c:cat>
          <c:val>
            <c:numRef>
              <c:f>'Zhurmat Fier 2025'!$B$2:$B$5</c:f>
              <c:numCache>
                <c:formatCode>General</c:formatCode>
                <c:ptCount val="4"/>
                <c:pt idx="0">
                  <c:v>61.15</c:v>
                </c:pt>
                <c:pt idx="1">
                  <c:v>59.63</c:v>
                </c:pt>
                <c:pt idx="2">
                  <c:v>62.9</c:v>
                </c:pt>
                <c:pt idx="3">
                  <c:v>63.01</c:v>
                </c:pt>
              </c:numCache>
            </c:numRef>
          </c:val>
          <c:extLst>
            <c:ext xmlns:c16="http://schemas.microsoft.com/office/drawing/2014/chart" uri="{C3380CC4-5D6E-409C-BE32-E72D297353CC}">
              <c16:uniqueId val="{00000000-5B01-458C-9729-41476D0AECBB}"/>
            </c:ext>
          </c:extLst>
        </c:ser>
        <c:dLbls>
          <c:showLegendKey val="0"/>
          <c:showVal val="0"/>
          <c:showCatName val="0"/>
          <c:showSerName val="0"/>
          <c:showPercent val="0"/>
          <c:showBubbleSize val="0"/>
        </c:dLbls>
        <c:gapWidth val="219"/>
        <c:overlap val="-27"/>
        <c:axId val="248234368"/>
        <c:axId val="248235904"/>
      </c:barChart>
      <c:lineChart>
        <c:grouping val="standard"/>
        <c:varyColors val="0"/>
        <c:ser>
          <c:idx val="1"/>
          <c:order val="1"/>
          <c:tx>
            <c:strRef>
              <c:f>'Zhurmat Fier 2025'!$C$1</c:f>
              <c:strCache>
                <c:ptCount val="1"/>
                <c:pt idx="0">
                  <c:v>Norma e OBSH </c:v>
                </c:pt>
              </c:strCache>
            </c:strRef>
          </c:tx>
          <c:spPr>
            <a:ln w="28575" cap="rnd">
              <a:solidFill>
                <a:schemeClr val="accent2"/>
              </a:solidFill>
              <a:round/>
            </a:ln>
            <a:effectLst/>
          </c:spPr>
          <c:marker>
            <c:symbol val="none"/>
          </c:marker>
          <c:cat>
            <c:strRef>
              <c:f>'Zhurmat Fier 2025'!$A$2:$A$5</c:f>
              <c:strCache>
                <c:ptCount val="4"/>
                <c:pt idx="0">
                  <c:v>Kryqezimi i Hyrjes ne Qytet</c:v>
                </c:pt>
                <c:pt idx="1">
                  <c:v>Tregu (Banka)</c:v>
                </c:pt>
                <c:pt idx="2">
                  <c:v>Prefektura</c:v>
                </c:pt>
                <c:pt idx="3">
                  <c:v>Kryqezimi per ne Vlore</c:v>
                </c:pt>
              </c:strCache>
            </c:strRef>
          </c:cat>
          <c:val>
            <c:numRef>
              <c:f>'Zhurmat Fier 2025'!$C$2:$C$5</c:f>
              <c:numCache>
                <c:formatCode>General</c:formatCode>
                <c:ptCount val="4"/>
                <c:pt idx="0">
                  <c:v>55</c:v>
                </c:pt>
                <c:pt idx="1">
                  <c:v>55</c:v>
                </c:pt>
                <c:pt idx="2">
                  <c:v>55</c:v>
                </c:pt>
                <c:pt idx="3">
                  <c:v>55</c:v>
                </c:pt>
              </c:numCache>
            </c:numRef>
          </c:val>
          <c:smooth val="0"/>
          <c:extLst>
            <c:ext xmlns:c16="http://schemas.microsoft.com/office/drawing/2014/chart" uri="{C3380CC4-5D6E-409C-BE32-E72D297353CC}">
              <c16:uniqueId val="{00000001-5B01-458C-9729-41476D0AECBB}"/>
            </c:ext>
          </c:extLst>
        </c:ser>
        <c:dLbls>
          <c:showLegendKey val="0"/>
          <c:showVal val="0"/>
          <c:showCatName val="0"/>
          <c:showSerName val="0"/>
          <c:showPercent val="0"/>
          <c:showBubbleSize val="0"/>
        </c:dLbls>
        <c:marker val="1"/>
        <c:smooth val="0"/>
        <c:axId val="248234368"/>
        <c:axId val="248235904"/>
      </c:lineChart>
      <c:catAx>
        <c:axId val="24823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8235904"/>
        <c:crosses val="autoZero"/>
        <c:auto val="1"/>
        <c:lblAlgn val="ctr"/>
        <c:lblOffset val="100"/>
        <c:noMultiLvlLbl val="0"/>
      </c:catAx>
      <c:valAx>
        <c:axId val="2482359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8234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Arial"/>
                <a:ea typeface="Arial"/>
                <a:cs typeface="Arial"/>
              </a:defRPr>
            </a:pPr>
            <a:r>
              <a:rPr lang="en-US"/>
              <a:t>Llojet e BMA-ve te rrezikuara </a:t>
            </a:r>
          </a:p>
        </c:rich>
      </c:tx>
      <c:layout>
        <c:manualLayout>
          <c:xMode val="edge"/>
          <c:yMode val="edge"/>
          <c:x val="0.23138334367955044"/>
          <c:y val="4.5976870078740156E-2"/>
        </c:manualLayout>
      </c:layout>
      <c:overlay val="0"/>
      <c:spPr>
        <a:noFill/>
        <a:ln w="25400">
          <a:noFill/>
        </a:ln>
      </c:spPr>
    </c:title>
    <c:autoTitleDeleted val="0"/>
    <c:plotArea>
      <c:layout>
        <c:manualLayout>
          <c:layoutTarget val="inner"/>
          <c:xMode val="edge"/>
          <c:yMode val="edge"/>
          <c:x val="9.8404383109082949E-2"/>
          <c:y val="0.23563350638417285"/>
          <c:w val="0.82712873370067019"/>
          <c:h val="0.55172723446050231"/>
        </c:manualLayout>
      </c:layout>
      <c:lineChart>
        <c:grouping val="standard"/>
        <c:varyColors val="0"/>
        <c:ser>
          <c:idx val="0"/>
          <c:order val="0"/>
          <c:spPr>
            <a:ln w="12700">
              <a:solidFill>
                <a:srgbClr val="000080"/>
              </a:solidFill>
              <a:prstDash val="solid"/>
            </a:ln>
          </c:spPr>
          <c:marker>
            <c:symbol val="diamond"/>
            <c:size val="5"/>
            <c:spPr>
              <a:solidFill>
                <a:srgbClr val="000080"/>
              </a:solidFill>
              <a:ln>
                <a:solidFill>
                  <a:srgbClr val="000080"/>
                </a:solidFill>
                <a:prstDash val="solid"/>
              </a:ln>
            </c:spPr>
          </c:marker>
          <c:cat>
            <c:strRef>
              <c:f>'BMA te rrezikuara'!$B$15:$B$23</c:f>
              <c:strCache>
                <c:ptCount val="9"/>
                <c:pt idx="0">
                  <c:v>EX</c:v>
                </c:pt>
                <c:pt idx="1">
                  <c:v>EW</c:v>
                </c:pt>
                <c:pt idx="2">
                  <c:v>CR</c:v>
                </c:pt>
                <c:pt idx="3">
                  <c:v>DD</c:v>
                </c:pt>
                <c:pt idx="4">
                  <c:v>EN</c:v>
                </c:pt>
                <c:pt idx="5">
                  <c:v>LR</c:v>
                </c:pt>
                <c:pt idx="6">
                  <c:v>NE</c:v>
                </c:pt>
                <c:pt idx="7">
                  <c:v>VU</c:v>
                </c:pt>
                <c:pt idx="8">
                  <c:v>TOTAL</c:v>
                </c:pt>
              </c:strCache>
            </c:strRef>
          </c:cat>
          <c:val>
            <c:numRef>
              <c:f>'BMA te rrezikuara'!$C$15:$C$23</c:f>
              <c:numCache>
                <c:formatCode>General</c:formatCode>
                <c:ptCount val="9"/>
                <c:pt idx="0">
                  <c:v>0</c:v>
                </c:pt>
                <c:pt idx="1">
                  <c:v>0</c:v>
                </c:pt>
                <c:pt idx="2">
                  <c:v>0</c:v>
                </c:pt>
                <c:pt idx="3">
                  <c:v>0</c:v>
                </c:pt>
                <c:pt idx="4">
                  <c:v>0</c:v>
                </c:pt>
                <c:pt idx="5">
                  <c:v>0</c:v>
                </c:pt>
                <c:pt idx="6">
                  <c:v>0</c:v>
                </c:pt>
                <c:pt idx="7">
                  <c:v>0</c:v>
                </c:pt>
              </c:numCache>
            </c:numRef>
          </c:val>
          <c:smooth val="0"/>
          <c:extLst>
            <c:ext xmlns:c16="http://schemas.microsoft.com/office/drawing/2014/chart" uri="{C3380CC4-5D6E-409C-BE32-E72D297353CC}">
              <c16:uniqueId val="{00000000-DA57-4B11-98A2-04D05E00C523}"/>
            </c:ext>
          </c:extLst>
        </c:ser>
        <c:ser>
          <c:idx val="1"/>
          <c:order val="1"/>
          <c:spPr>
            <a:ln w="12700">
              <a:solidFill>
                <a:srgbClr val="FF00FF"/>
              </a:solidFill>
              <a:prstDash val="solid"/>
            </a:ln>
          </c:spPr>
          <c:marker>
            <c:symbol val="square"/>
            <c:size val="5"/>
            <c:spPr>
              <a:solidFill>
                <a:srgbClr val="FF00FF"/>
              </a:solidFill>
              <a:ln>
                <a:solidFill>
                  <a:srgbClr val="FF00FF"/>
                </a:solidFill>
                <a:prstDash val="solid"/>
              </a:ln>
            </c:spPr>
          </c:marker>
          <c:dLbls>
            <c:spPr>
              <a:noFill/>
              <a:ln w="25400">
                <a:noFill/>
              </a:ln>
            </c:spPr>
            <c:txPr>
              <a:bodyPr wrap="square" lIns="38100" tIns="19050" rIns="38100" bIns="19050" anchor="ctr">
                <a:spAutoFit/>
              </a:bodyPr>
              <a:lstStyle/>
              <a:p>
                <a:pPr>
                  <a:defRPr sz="800" b="0" i="0" u="none" strike="noStrike" baseline="0">
                    <a:solidFill>
                      <a:srgbClr val="FF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'BMA te rrezikuara'!$B$15:$B$23</c:f>
              <c:strCache>
                <c:ptCount val="9"/>
                <c:pt idx="0">
                  <c:v>EX</c:v>
                </c:pt>
                <c:pt idx="1">
                  <c:v>EW</c:v>
                </c:pt>
                <c:pt idx="2">
                  <c:v>CR</c:v>
                </c:pt>
                <c:pt idx="3">
                  <c:v>DD</c:v>
                </c:pt>
                <c:pt idx="4">
                  <c:v>EN</c:v>
                </c:pt>
                <c:pt idx="5">
                  <c:v>LR</c:v>
                </c:pt>
                <c:pt idx="6">
                  <c:v>NE</c:v>
                </c:pt>
                <c:pt idx="7">
                  <c:v>VU</c:v>
                </c:pt>
                <c:pt idx="8">
                  <c:v>TOTAL</c:v>
                </c:pt>
              </c:strCache>
            </c:strRef>
          </c:cat>
          <c:val>
            <c:numRef>
              <c:f>'BMA te rrezikuara'!$D$15:$D$23</c:f>
              <c:numCache>
                <c:formatCode>General</c:formatCode>
                <c:ptCount val="9"/>
                <c:pt idx="0">
                  <c:v>0</c:v>
                </c:pt>
                <c:pt idx="1">
                  <c:v>0</c:v>
                </c:pt>
                <c:pt idx="2">
                  <c:v>8</c:v>
                </c:pt>
                <c:pt idx="3">
                  <c:v>0</c:v>
                </c:pt>
                <c:pt idx="4">
                  <c:v>10</c:v>
                </c:pt>
                <c:pt idx="5">
                  <c:v>4</c:v>
                </c:pt>
                <c:pt idx="6">
                  <c:v>0</c:v>
                </c:pt>
                <c:pt idx="7">
                  <c:v>8</c:v>
                </c:pt>
                <c:pt idx="8">
                  <c:v>30</c:v>
                </c:pt>
              </c:numCache>
            </c:numRef>
          </c:val>
          <c:smooth val="0"/>
          <c:extLst>
            <c:ext xmlns:c16="http://schemas.microsoft.com/office/drawing/2014/chart" uri="{C3380CC4-5D6E-409C-BE32-E72D297353CC}">
              <c16:uniqueId val="{00000001-DA57-4B11-98A2-04D05E00C523}"/>
            </c:ext>
          </c:extLst>
        </c:ser>
        <c:dLbls>
          <c:showLegendKey val="0"/>
          <c:showVal val="0"/>
          <c:showCatName val="0"/>
          <c:showSerName val="0"/>
          <c:showPercent val="0"/>
          <c:showBubbleSize val="0"/>
        </c:dLbls>
        <c:marker val="1"/>
        <c:smooth val="0"/>
        <c:axId val="380619008"/>
        <c:axId val="380624896"/>
      </c:lineChart>
      <c:catAx>
        <c:axId val="380619008"/>
        <c:scaling>
          <c:orientation val="minMax"/>
        </c:scaling>
        <c:delete val="0"/>
        <c:axPos val="b"/>
        <c:numFmt formatCode="@" sourceLinked="0"/>
        <c:majorTickMark val="out"/>
        <c:minorTickMark val="none"/>
        <c:tickLblPos val="nextTo"/>
        <c:spPr>
          <a:ln w="3175">
            <a:solidFill>
              <a:srgbClr val="000000"/>
            </a:solidFill>
            <a:prstDash val="solid"/>
          </a:ln>
        </c:spPr>
        <c:txPr>
          <a:bodyPr rot="0" vert="horz"/>
          <a:lstStyle/>
          <a:p>
            <a:pPr>
              <a:defRPr sz="800" b="0" i="0" u="none" strike="noStrike" baseline="-25000">
                <a:solidFill>
                  <a:srgbClr val="000000"/>
                </a:solidFill>
                <a:latin typeface="Arial"/>
                <a:ea typeface="Arial"/>
                <a:cs typeface="Arial"/>
              </a:defRPr>
            </a:pPr>
            <a:endParaRPr lang="en-US"/>
          </a:p>
        </c:txPr>
        <c:crossAx val="380624896"/>
        <c:crosses val="autoZero"/>
        <c:auto val="1"/>
        <c:lblAlgn val="ctr"/>
        <c:lblOffset val="100"/>
        <c:tickLblSkip val="1"/>
        <c:tickMarkSkip val="1"/>
        <c:noMultiLvlLbl val="0"/>
      </c:catAx>
      <c:valAx>
        <c:axId val="380624896"/>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380619008"/>
        <c:crosses val="autoZero"/>
        <c:crossBetween val="between"/>
      </c:valAx>
      <c:spPr>
        <a:solidFill>
          <a:srgbClr val="FFFFCC"/>
        </a:solidFill>
        <a:ln w="12700">
          <a:solidFill>
            <a:srgbClr val="808080"/>
          </a:solidFill>
          <a:prstDash val="solid"/>
        </a:ln>
      </c:spPr>
    </c:plotArea>
    <c:plotVisOnly val="1"/>
    <c:dispBlanksAs val="gap"/>
    <c:showDLblsOverMax val="0"/>
  </c:chart>
  <c:spPr>
    <a:solidFill>
      <a:srgbClr val="FF99CC"/>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Ç'halezimi haloret 2025</a:t>
            </a:r>
          </a:p>
        </c:rich>
      </c:tx>
      <c:overlay val="0"/>
      <c:spPr>
        <a:noFill/>
        <a:ln>
          <a:noFill/>
        </a:ln>
        <a:effectLst/>
      </c:spPr>
    </c:title>
    <c:autoTitleDeleted val="0"/>
    <c:plotArea>
      <c:layout/>
      <c:barChart>
        <c:barDir val="col"/>
        <c:grouping val="clustered"/>
        <c:varyColors val="0"/>
        <c:ser>
          <c:idx val="0"/>
          <c:order val="0"/>
          <c:tx>
            <c:strRef>
              <c:f>'Ç''ngjyr, Ç.halezim 2025'!$A$37</c:f>
              <c:strCache>
                <c:ptCount val="1"/>
                <c:pt idx="0">
                  <c:v>Pishë e zezë</c:v>
                </c:pt>
              </c:strCache>
            </c:strRef>
          </c:tx>
          <c:spPr>
            <a:solidFill>
              <a:srgbClr val="FF0000"/>
            </a:solidFill>
            <a:ln>
              <a:noFill/>
            </a:ln>
            <a:effectLst/>
          </c:spPr>
          <c:invertIfNegative val="0"/>
          <c:cat>
            <c:multiLvlStrRef>
              <c:f>'Ç''ngjyr, Ç.halezim 2025'!$B$35:$E$36</c:f>
              <c:multiLvlStrCache>
                <c:ptCount val="4"/>
                <c:lvl>
                  <c:pt idx="0">
                    <c:v>0-10%</c:v>
                  </c:pt>
                  <c:pt idx="1">
                    <c:v>11-25%</c:v>
                  </c:pt>
                  <c:pt idx="2">
                    <c:v>26-60%</c:v>
                  </c:pt>
                  <c:pt idx="3">
                    <c:v>61%-100%</c:v>
                  </c:pt>
                </c:lvl>
                <c:lvl>
                  <c:pt idx="0">
                    <c:v>Klasat e vlerësimit</c:v>
                  </c:pt>
                </c:lvl>
              </c:multiLvlStrCache>
            </c:multiLvlStrRef>
          </c:cat>
          <c:val>
            <c:numRef>
              <c:f>'Ç''ngjyr, Ç.halezim 2025'!$B$37:$E$37</c:f>
              <c:numCache>
                <c:formatCode>0.00%</c:formatCode>
                <c:ptCount val="4"/>
                <c:pt idx="0">
                  <c:v>0.29570000000000002</c:v>
                </c:pt>
                <c:pt idx="1">
                  <c:v>0.29670000000000002</c:v>
                </c:pt>
                <c:pt idx="2">
                  <c:v>0.29249999999999998</c:v>
                </c:pt>
                <c:pt idx="3">
                  <c:v>0.11509999999999999</c:v>
                </c:pt>
              </c:numCache>
            </c:numRef>
          </c:val>
          <c:extLst>
            <c:ext xmlns:c16="http://schemas.microsoft.com/office/drawing/2014/chart" uri="{C3380CC4-5D6E-409C-BE32-E72D297353CC}">
              <c16:uniqueId val="{00000000-BBE4-4B7F-8D1D-BA33754B7442}"/>
            </c:ext>
          </c:extLst>
        </c:ser>
        <c:ser>
          <c:idx val="1"/>
          <c:order val="1"/>
          <c:tx>
            <c:strRef>
              <c:f>'Ç''ngjyr, Ç.halezim 2025'!$A$38</c:f>
              <c:strCache>
                <c:ptCount val="1"/>
                <c:pt idx="0">
                  <c:v>Pishë mesdhetare</c:v>
                </c:pt>
              </c:strCache>
            </c:strRef>
          </c:tx>
          <c:spPr>
            <a:solidFill>
              <a:srgbClr val="69536D"/>
            </a:solidFill>
            <a:ln>
              <a:noFill/>
            </a:ln>
            <a:effectLst/>
          </c:spPr>
          <c:invertIfNegative val="0"/>
          <c:cat>
            <c:multiLvlStrRef>
              <c:f>'Ç''ngjyr, Ç.halezim 2025'!$B$35:$E$36</c:f>
              <c:multiLvlStrCache>
                <c:ptCount val="4"/>
                <c:lvl>
                  <c:pt idx="0">
                    <c:v>0-10%</c:v>
                  </c:pt>
                  <c:pt idx="1">
                    <c:v>11-25%</c:v>
                  </c:pt>
                  <c:pt idx="2">
                    <c:v>26-60%</c:v>
                  </c:pt>
                  <c:pt idx="3">
                    <c:v>61%-100%</c:v>
                  </c:pt>
                </c:lvl>
                <c:lvl>
                  <c:pt idx="0">
                    <c:v>Klasat e vlerësimit</c:v>
                  </c:pt>
                </c:lvl>
              </c:multiLvlStrCache>
            </c:multiLvlStrRef>
          </c:cat>
          <c:val>
            <c:numRef>
              <c:f>'Ç''ngjyr, Ç.halezim 2025'!$B$38:$E$38</c:f>
              <c:numCache>
                <c:formatCode>0.00%</c:formatCode>
                <c:ptCount val="4"/>
                <c:pt idx="0">
                  <c:v>0.2979</c:v>
                </c:pt>
                <c:pt idx="1">
                  <c:v>0.36509999999999998</c:v>
                </c:pt>
                <c:pt idx="2">
                  <c:v>0.24379999999999999</c:v>
                </c:pt>
                <c:pt idx="3">
                  <c:v>9.3200000000000005E-2</c:v>
                </c:pt>
              </c:numCache>
            </c:numRef>
          </c:val>
          <c:extLst>
            <c:ext xmlns:c16="http://schemas.microsoft.com/office/drawing/2014/chart" uri="{C3380CC4-5D6E-409C-BE32-E72D297353CC}">
              <c16:uniqueId val="{00000001-BBE4-4B7F-8D1D-BA33754B7442}"/>
            </c:ext>
          </c:extLst>
        </c:ser>
        <c:ser>
          <c:idx val="2"/>
          <c:order val="2"/>
          <c:tx>
            <c:strRef>
              <c:f>'Ç''ngjyr, Ç.halezim 2025'!$A$39</c:f>
              <c:strCache>
                <c:ptCount val="1"/>
                <c:pt idx="0">
                  <c:v>Bredh</c:v>
                </c:pt>
              </c:strCache>
            </c:strRef>
          </c:tx>
          <c:spPr>
            <a:solidFill>
              <a:srgbClr val="0070C0"/>
            </a:solidFill>
            <a:ln>
              <a:noFill/>
            </a:ln>
            <a:effectLst/>
          </c:spPr>
          <c:invertIfNegative val="0"/>
          <c:cat>
            <c:multiLvlStrRef>
              <c:f>'Ç''ngjyr, Ç.halezim 2025'!$B$35:$E$36</c:f>
              <c:multiLvlStrCache>
                <c:ptCount val="4"/>
                <c:lvl>
                  <c:pt idx="0">
                    <c:v>0-10%</c:v>
                  </c:pt>
                  <c:pt idx="1">
                    <c:v>11-25%</c:v>
                  </c:pt>
                  <c:pt idx="2">
                    <c:v>26-60%</c:v>
                  </c:pt>
                  <c:pt idx="3">
                    <c:v>61%-100%</c:v>
                  </c:pt>
                </c:lvl>
                <c:lvl>
                  <c:pt idx="0">
                    <c:v>Klasat e vlerësimit</c:v>
                  </c:pt>
                </c:lvl>
              </c:multiLvlStrCache>
            </c:multiLvlStrRef>
          </c:cat>
          <c:val>
            <c:numRef>
              <c:f>'Ç''ngjyr, Ç.halezim 2025'!$B$39:$E$39</c:f>
              <c:numCache>
                <c:formatCode>0.00%</c:formatCode>
                <c:ptCount val="4"/>
                <c:pt idx="0">
                  <c:v>0.29289999999999999</c:v>
                </c:pt>
                <c:pt idx="1">
                  <c:v>0.28129999999999999</c:v>
                </c:pt>
                <c:pt idx="2">
                  <c:v>0.3372</c:v>
                </c:pt>
                <c:pt idx="3">
                  <c:v>8.8599999999999998E-2</c:v>
                </c:pt>
              </c:numCache>
            </c:numRef>
          </c:val>
          <c:extLst>
            <c:ext xmlns:c16="http://schemas.microsoft.com/office/drawing/2014/chart" uri="{C3380CC4-5D6E-409C-BE32-E72D297353CC}">
              <c16:uniqueId val="{00000002-BBE4-4B7F-8D1D-BA33754B7442}"/>
            </c:ext>
          </c:extLst>
        </c:ser>
        <c:ser>
          <c:idx val="3"/>
          <c:order val="3"/>
          <c:tx>
            <c:strRef>
              <c:f>'Ç''ngjyr, Ç.halezim 2025'!$A$40</c:f>
              <c:strCache>
                <c:ptCount val="1"/>
                <c:pt idx="0">
                  <c:v>Halorë të tjerë</c:v>
                </c:pt>
              </c:strCache>
            </c:strRef>
          </c:tx>
          <c:spPr>
            <a:solidFill>
              <a:srgbClr val="7030A0"/>
            </a:solidFill>
            <a:ln>
              <a:noFill/>
            </a:ln>
            <a:effectLst/>
          </c:spPr>
          <c:invertIfNegative val="0"/>
          <c:cat>
            <c:multiLvlStrRef>
              <c:f>'Ç''ngjyr, Ç.halezim 2025'!$B$35:$E$36</c:f>
              <c:multiLvlStrCache>
                <c:ptCount val="4"/>
                <c:lvl>
                  <c:pt idx="0">
                    <c:v>0-10%</c:v>
                  </c:pt>
                  <c:pt idx="1">
                    <c:v>11-25%</c:v>
                  </c:pt>
                  <c:pt idx="2">
                    <c:v>26-60%</c:v>
                  </c:pt>
                  <c:pt idx="3">
                    <c:v>61%-100%</c:v>
                  </c:pt>
                </c:lvl>
                <c:lvl>
                  <c:pt idx="0">
                    <c:v>Klasat e vlerësimit</c:v>
                  </c:pt>
                </c:lvl>
              </c:multiLvlStrCache>
            </c:multiLvlStrRef>
          </c:cat>
          <c:val>
            <c:numRef>
              <c:f>'Ç''ngjyr, Ç.halezim 2025'!$B$40:$E$40</c:f>
              <c:numCache>
                <c:formatCode>0.00%</c:formatCode>
                <c:ptCount val="4"/>
                <c:pt idx="0">
                  <c:v>0.32390000000000002</c:v>
                </c:pt>
                <c:pt idx="1">
                  <c:v>0.28249999999999997</c:v>
                </c:pt>
                <c:pt idx="2">
                  <c:v>0.29649999999999999</c:v>
                </c:pt>
                <c:pt idx="3">
                  <c:v>9.7100000000000006E-2</c:v>
                </c:pt>
              </c:numCache>
            </c:numRef>
          </c:val>
          <c:extLst>
            <c:ext xmlns:c16="http://schemas.microsoft.com/office/drawing/2014/chart" uri="{C3380CC4-5D6E-409C-BE32-E72D297353CC}">
              <c16:uniqueId val="{00000003-BBE4-4B7F-8D1D-BA33754B7442}"/>
            </c:ext>
          </c:extLst>
        </c:ser>
        <c:dLbls>
          <c:showLegendKey val="0"/>
          <c:showVal val="0"/>
          <c:showCatName val="0"/>
          <c:showSerName val="0"/>
          <c:showPercent val="0"/>
          <c:showBubbleSize val="0"/>
        </c:dLbls>
        <c:gapWidth val="219"/>
        <c:overlap val="-27"/>
        <c:axId val="380957056"/>
        <c:axId val="380958592"/>
      </c:barChart>
      <c:catAx>
        <c:axId val="38095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0958592"/>
        <c:crosses val="autoZero"/>
        <c:auto val="1"/>
        <c:lblAlgn val="ctr"/>
        <c:lblOffset val="100"/>
        <c:noMultiLvlLbl val="0"/>
      </c:catAx>
      <c:valAx>
        <c:axId val="380958592"/>
        <c:scaling>
          <c:orientation val="minMax"/>
        </c:scaling>
        <c:delete val="0"/>
        <c:axPos val="l"/>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 e prekjes</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0957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alpha val="96000"/>
        </a:schemeClr>
      </a:solidFill>
      <a:round/>
    </a:ln>
    <a:effectLst/>
  </c:spPr>
  <c:txPr>
    <a:bodyPr/>
    <a:lstStyle/>
    <a:p>
      <a:pPr>
        <a:defRPr sz="105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Ç'gjethezimi fletore2025</a:t>
            </a:r>
          </a:p>
        </c:rich>
      </c:tx>
      <c:overlay val="0"/>
      <c:spPr>
        <a:noFill/>
        <a:ln>
          <a:noFill/>
        </a:ln>
        <a:effectLst/>
      </c:spPr>
    </c:title>
    <c:autoTitleDeleted val="0"/>
    <c:plotArea>
      <c:layout/>
      <c:barChart>
        <c:barDir val="col"/>
        <c:grouping val="clustered"/>
        <c:varyColors val="0"/>
        <c:ser>
          <c:idx val="0"/>
          <c:order val="0"/>
          <c:tx>
            <c:strRef>
              <c:f>'Ç''ngjyr, Ç.halezim 2025'!$J$37</c:f>
              <c:strCache>
                <c:ptCount val="1"/>
                <c:pt idx="0">
                  <c:v>Ah + meshtekn</c:v>
                </c:pt>
              </c:strCache>
            </c:strRef>
          </c:tx>
          <c:spPr>
            <a:solidFill>
              <a:srgbClr val="00B050"/>
            </a:solidFill>
            <a:ln>
              <a:noFill/>
            </a:ln>
            <a:effectLst/>
          </c:spPr>
          <c:invertIfNegative val="0"/>
          <c:cat>
            <c:multiLvlStrRef>
              <c:f>'Ç''ngjyr, Ç.halezim 2025'!$K$35:$N$36</c:f>
              <c:multiLvlStrCache>
                <c:ptCount val="4"/>
                <c:lvl>
                  <c:pt idx="0">
                    <c:v>0-10%</c:v>
                  </c:pt>
                  <c:pt idx="1">
                    <c:v>11-25%</c:v>
                  </c:pt>
                  <c:pt idx="2">
                    <c:v>26-60%</c:v>
                  </c:pt>
                  <c:pt idx="3">
                    <c:v>61%-100%</c:v>
                  </c:pt>
                </c:lvl>
                <c:lvl>
                  <c:pt idx="0">
                    <c:v>Klasat e vlerësimit</c:v>
                  </c:pt>
                </c:lvl>
              </c:multiLvlStrCache>
            </c:multiLvlStrRef>
          </c:cat>
          <c:val>
            <c:numRef>
              <c:f>'Ç''ngjyr, Ç.halezim 2025'!$K$37:$N$37</c:f>
              <c:numCache>
                <c:formatCode>0.00%</c:formatCode>
                <c:ptCount val="4"/>
                <c:pt idx="0">
                  <c:v>0.31900000000000001</c:v>
                </c:pt>
                <c:pt idx="1">
                  <c:v>0.30780000000000002</c:v>
                </c:pt>
                <c:pt idx="2">
                  <c:v>0.26090000000000002</c:v>
                </c:pt>
                <c:pt idx="3">
                  <c:v>0.1123</c:v>
                </c:pt>
              </c:numCache>
            </c:numRef>
          </c:val>
          <c:extLst>
            <c:ext xmlns:c16="http://schemas.microsoft.com/office/drawing/2014/chart" uri="{C3380CC4-5D6E-409C-BE32-E72D297353CC}">
              <c16:uniqueId val="{00000000-BFEB-4D4E-9913-32ED2AF31A94}"/>
            </c:ext>
          </c:extLst>
        </c:ser>
        <c:ser>
          <c:idx val="1"/>
          <c:order val="1"/>
          <c:tx>
            <c:strRef>
              <c:f>'Ç''ngjyr, Ç.halezim 2025'!$J$38</c:f>
              <c:strCache>
                <c:ptCount val="1"/>
                <c:pt idx="0">
                  <c:v>Dushqe +Gështenjë</c:v>
                </c:pt>
              </c:strCache>
            </c:strRef>
          </c:tx>
          <c:spPr>
            <a:solidFill>
              <a:schemeClr val="accent2">
                <a:lumMod val="50000"/>
              </a:schemeClr>
            </a:solidFill>
            <a:ln>
              <a:noFill/>
            </a:ln>
            <a:effectLst/>
          </c:spPr>
          <c:invertIfNegative val="0"/>
          <c:cat>
            <c:multiLvlStrRef>
              <c:f>'Ç''ngjyr, Ç.halezim 2025'!$K$35:$N$36</c:f>
              <c:multiLvlStrCache>
                <c:ptCount val="4"/>
                <c:lvl>
                  <c:pt idx="0">
                    <c:v>0-10%</c:v>
                  </c:pt>
                  <c:pt idx="1">
                    <c:v>11-25%</c:v>
                  </c:pt>
                  <c:pt idx="2">
                    <c:v>26-60%</c:v>
                  </c:pt>
                  <c:pt idx="3">
                    <c:v>61%-100%</c:v>
                  </c:pt>
                </c:lvl>
                <c:lvl>
                  <c:pt idx="0">
                    <c:v>Klasat e vlerësimit</c:v>
                  </c:pt>
                </c:lvl>
              </c:multiLvlStrCache>
            </c:multiLvlStrRef>
          </c:cat>
          <c:val>
            <c:numRef>
              <c:f>'Ç''ngjyr, Ç.halezim 2025'!$K$38:$N$38</c:f>
              <c:numCache>
                <c:formatCode>0.00%</c:formatCode>
                <c:ptCount val="4"/>
                <c:pt idx="0">
                  <c:v>0.34379999999999999</c:v>
                </c:pt>
                <c:pt idx="1">
                  <c:v>0.34320000000000001</c:v>
                </c:pt>
                <c:pt idx="2">
                  <c:v>0.22170000000000001</c:v>
                </c:pt>
                <c:pt idx="3">
                  <c:v>9.1300000000000006E-2</c:v>
                </c:pt>
              </c:numCache>
            </c:numRef>
          </c:val>
          <c:extLst>
            <c:ext xmlns:c16="http://schemas.microsoft.com/office/drawing/2014/chart" uri="{C3380CC4-5D6E-409C-BE32-E72D297353CC}">
              <c16:uniqueId val="{00000001-BFEB-4D4E-9913-32ED2AF31A94}"/>
            </c:ext>
          </c:extLst>
        </c:ser>
        <c:ser>
          <c:idx val="2"/>
          <c:order val="2"/>
          <c:tx>
            <c:strRef>
              <c:f>'Ç''ngjyr, Ç.halezim 2025'!$J$39</c:f>
              <c:strCache>
                <c:ptCount val="1"/>
                <c:pt idx="0">
                  <c:v>Fletorë të tjerë</c:v>
                </c:pt>
              </c:strCache>
            </c:strRef>
          </c:tx>
          <c:spPr>
            <a:solidFill>
              <a:srgbClr val="7030A0"/>
            </a:solidFill>
            <a:ln>
              <a:noFill/>
            </a:ln>
            <a:effectLst/>
          </c:spPr>
          <c:invertIfNegative val="0"/>
          <c:cat>
            <c:multiLvlStrRef>
              <c:f>'Ç''ngjyr, Ç.halezim 2025'!$K$35:$N$36</c:f>
              <c:multiLvlStrCache>
                <c:ptCount val="4"/>
                <c:lvl>
                  <c:pt idx="0">
                    <c:v>0-10%</c:v>
                  </c:pt>
                  <c:pt idx="1">
                    <c:v>11-25%</c:v>
                  </c:pt>
                  <c:pt idx="2">
                    <c:v>26-60%</c:v>
                  </c:pt>
                  <c:pt idx="3">
                    <c:v>61%-100%</c:v>
                  </c:pt>
                </c:lvl>
                <c:lvl>
                  <c:pt idx="0">
                    <c:v>Klasat e vlerësimit</c:v>
                  </c:pt>
                </c:lvl>
              </c:multiLvlStrCache>
            </c:multiLvlStrRef>
          </c:cat>
          <c:val>
            <c:numRef>
              <c:f>'Ç''ngjyr, Ç.halezim 2025'!$K$39:$N$39</c:f>
              <c:numCache>
                <c:formatCode>0.00%</c:formatCode>
                <c:ptCount val="4"/>
                <c:pt idx="0">
                  <c:v>0.33639999999999998</c:v>
                </c:pt>
                <c:pt idx="1">
                  <c:v>0.3412</c:v>
                </c:pt>
                <c:pt idx="2">
                  <c:v>0.21890000000000001</c:v>
                </c:pt>
                <c:pt idx="3">
                  <c:v>0.10349999999999999</c:v>
                </c:pt>
              </c:numCache>
            </c:numRef>
          </c:val>
          <c:extLst>
            <c:ext xmlns:c16="http://schemas.microsoft.com/office/drawing/2014/chart" uri="{C3380CC4-5D6E-409C-BE32-E72D297353CC}">
              <c16:uniqueId val="{00000002-BFEB-4D4E-9913-32ED2AF31A94}"/>
            </c:ext>
          </c:extLst>
        </c:ser>
        <c:dLbls>
          <c:showLegendKey val="0"/>
          <c:showVal val="0"/>
          <c:showCatName val="0"/>
          <c:showSerName val="0"/>
          <c:showPercent val="0"/>
          <c:showBubbleSize val="0"/>
        </c:dLbls>
        <c:gapWidth val="219"/>
        <c:overlap val="-27"/>
        <c:axId val="381401344"/>
        <c:axId val="381415424"/>
      </c:barChart>
      <c:catAx>
        <c:axId val="38140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1415424"/>
        <c:crosses val="autoZero"/>
        <c:auto val="1"/>
        <c:lblAlgn val="ctr"/>
        <c:lblOffset val="100"/>
        <c:noMultiLvlLbl val="0"/>
      </c:catAx>
      <c:valAx>
        <c:axId val="381415424"/>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 e prekjes</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1401344"/>
        <c:crosses val="autoZero"/>
        <c:crossBetween val="between"/>
      </c:valAx>
      <c:spPr>
        <a:noFill/>
        <a:ln>
          <a:noFill/>
          <a:prstDash val="solid"/>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Ç'ngjyrosja halore 2025</a:t>
            </a:r>
          </a:p>
        </c:rich>
      </c:tx>
      <c:overlay val="0"/>
      <c:spPr>
        <a:noFill/>
        <a:ln>
          <a:noFill/>
        </a:ln>
        <a:effectLst/>
      </c:spPr>
    </c:title>
    <c:autoTitleDeleted val="0"/>
    <c:plotArea>
      <c:layout/>
      <c:barChart>
        <c:barDir val="col"/>
        <c:grouping val="clustered"/>
        <c:varyColors val="0"/>
        <c:ser>
          <c:idx val="0"/>
          <c:order val="0"/>
          <c:tx>
            <c:strRef>
              <c:f>'Ç''ngjyr, Ç.halezim 2025'!$R$37</c:f>
              <c:strCache>
                <c:ptCount val="1"/>
                <c:pt idx="0">
                  <c:v>P. zezë</c:v>
                </c:pt>
              </c:strCache>
            </c:strRef>
          </c:tx>
          <c:spPr>
            <a:solidFill>
              <a:schemeClr val="accent1"/>
            </a:solidFill>
            <a:ln>
              <a:noFill/>
            </a:ln>
            <a:effectLst/>
          </c:spPr>
          <c:invertIfNegative val="0"/>
          <c:cat>
            <c:multiLvlStrRef>
              <c:f>'Ç''ngjyr, Ç.halezim 2025'!$S$35:$V$36</c:f>
              <c:multiLvlStrCache>
                <c:ptCount val="4"/>
                <c:lvl>
                  <c:pt idx="0">
                    <c:v>0-10%</c:v>
                  </c:pt>
                  <c:pt idx="1">
                    <c:v>11-25%</c:v>
                  </c:pt>
                  <c:pt idx="2">
                    <c:v>26-60%</c:v>
                  </c:pt>
                  <c:pt idx="3">
                    <c:v>61%-100%</c:v>
                  </c:pt>
                </c:lvl>
                <c:lvl>
                  <c:pt idx="0">
                    <c:v>Klasat e vlerësimit</c:v>
                  </c:pt>
                </c:lvl>
              </c:multiLvlStrCache>
            </c:multiLvlStrRef>
          </c:cat>
          <c:val>
            <c:numRef>
              <c:f>'Ç''ngjyr, Ç.halezim 2025'!$S$37:$V$37</c:f>
              <c:numCache>
                <c:formatCode>0.00%</c:formatCode>
                <c:ptCount val="4"/>
                <c:pt idx="0">
                  <c:v>0.31979999999999997</c:v>
                </c:pt>
                <c:pt idx="1">
                  <c:v>0.30180000000000001</c:v>
                </c:pt>
                <c:pt idx="2">
                  <c:v>0.28179999999999999</c:v>
                </c:pt>
                <c:pt idx="3">
                  <c:v>9.6600000000000005E-2</c:v>
                </c:pt>
              </c:numCache>
            </c:numRef>
          </c:val>
          <c:extLst>
            <c:ext xmlns:c16="http://schemas.microsoft.com/office/drawing/2014/chart" uri="{C3380CC4-5D6E-409C-BE32-E72D297353CC}">
              <c16:uniqueId val="{00000000-02C9-49F9-8B02-6D1EAC9AA3C4}"/>
            </c:ext>
          </c:extLst>
        </c:ser>
        <c:ser>
          <c:idx val="1"/>
          <c:order val="1"/>
          <c:tx>
            <c:strRef>
              <c:f>'Ç''ngjyr, Ç.halezim 2025'!$R$38</c:f>
              <c:strCache>
                <c:ptCount val="1"/>
                <c:pt idx="0">
                  <c:v>P. mesdhetare</c:v>
                </c:pt>
              </c:strCache>
            </c:strRef>
          </c:tx>
          <c:spPr>
            <a:solidFill>
              <a:schemeClr val="accent2"/>
            </a:solidFill>
            <a:ln>
              <a:noFill/>
            </a:ln>
            <a:effectLst/>
          </c:spPr>
          <c:invertIfNegative val="0"/>
          <c:cat>
            <c:multiLvlStrRef>
              <c:f>'Ç''ngjyr, Ç.halezim 2025'!$S$35:$V$36</c:f>
              <c:multiLvlStrCache>
                <c:ptCount val="4"/>
                <c:lvl>
                  <c:pt idx="0">
                    <c:v>0-10%</c:v>
                  </c:pt>
                  <c:pt idx="1">
                    <c:v>11-25%</c:v>
                  </c:pt>
                  <c:pt idx="2">
                    <c:v>26-60%</c:v>
                  </c:pt>
                  <c:pt idx="3">
                    <c:v>61%-100%</c:v>
                  </c:pt>
                </c:lvl>
                <c:lvl>
                  <c:pt idx="0">
                    <c:v>Klasat e vlerësimit</c:v>
                  </c:pt>
                </c:lvl>
              </c:multiLvlStrCache>
            </c:multiLvlStrRef>
          </c:cat>
          <c:val>
            <c:numRef>
              <c:f>'Ç''ngjyr, Ç.halezim 2025'!$S$38:$V$38</c:f>
              <c:numCache>
                <c:formatCode>0.00%</c:formatCode>
                <c:ptCount val="4"/>
                <c:pt idx="0">
                  <c:v>0.29680000000000001</c:v>
                </c:pt>
                <c:pt idx="1">
                  <c:v>0.36849999999999999</c:v>
                </c:pt>
                <c:pt idx="2">
                  <c:v>0.26219999999999999</c:v>
                </c:pt>
                <c:pt idx="3">
                  <c:v>7.2499999999999995E-2</c:v>
                </c:pt>
              </c:numCache>
            </c:numRef>
          </c:val>
          <c:extLst>
            <c:ext xmlns:c16="http://schemas.microsoft.com/office/drawing/2014/chart" uri="{C3380CC4-5D6E-409C-BE32-E72D297353CC}">
              <c16:uniqueId val="{00000001-02C9-49F9-8B02-6D1EAC9AA3C4}"/>
            </c:ext>
          </c:extLst>
        </c:ser>
        <c:ser>
          <c:idx val="2"/>
          <c:order val="2"/>
          <c:tx>
            <c:strRef>
              <c:f>'Ç''ngjyr, Ç.halezim 2025'!$R$39</c:f>
              <c:strCache>
                <c:ptCount val="1"/>
                <c:pt idx="0">
                  <c:v>Bredh</c:v>
                </c:pt>
              </c:strCache>
            </c:strRef>
          </c:tx>
          <c:spPr>
            <a:solidFill>
              <a:schemeClr val="accent3"/>
            </a:solidFill>
            <a:ln>
              <a:noFill/>
            </a:ln>
            <a:effectLst/>
          </c:spPr>
          <c:invertIfNegative val="0"/>
          <c:cat>
            <c:multiLvlStrRef>
              <c:f>'Ç''ngjyr, Ç.halezim 2025'!$S$35:$V$36</c:f>
              <c:multiLvlStrCache>
                <c:ptCount val="4"/>
                <c:lvl>
                  <c:pt idx="0">
                    <c:v>0-10%</c:v>
                  </c:pt>
                  <c:pt idx="1">
                    <c:v>11-25%</c:v>
                  </c:pt>
                  <c:pt idx="2">
                    <c:v>26-60%</c:v>
                  </c:pt>
                  <c:pt idx="3">
                    <c:v>61%-100%</c:v>
                  </c:pt>
                </c:lvl>
                <c:lvl>
                  <c:pt idx="0">
                    <c:v>Klasat e vlerësimit</c:v>
                  </c:pt>
                </c:lvl>
              </c:multiLvlStrCache>
            </c:multiLvlStrRef>
          </c:cat>
          <c:val>
            <c:numRef>
              <c:f>'Ç''ngjyr, Ç.halezim 2025'!$S$39:$V$39</c:f>
              <c:numCache>
                <c:formatCode>0.00%</c:formatCode>
                <c:ptCount val="4"/>
                <c:pt idx="0">
                  <c:v>0.2969</c:v>
                </c:pt>
                <c:pt idx="1">
                  <c:v>0.29170000000000001</c:v>
                </c:pt>
                <c:pt idx="2">
                  <c:v>0.3256</c:v>
                </c:pt>
                <c:pt idx="3">
                  <c:v>8.6800000000000002E-2</c:v>
                </c:pt>
              </c:numCache>
            </c:numRef>
          </c:val>
          <c:extLst>
            <c:ext xmlns:c16="http://schemas.microsoft.com/office/drawing/2014/chart" uri="{C3380CC4-5D6E-409C-BE32-E72D297353CC}">
              <c16:uniqueId val="{00000002-02C9-49F9-8B02-6D1EAC9AA3C4}"/>
            </c:ext>
          </c:extLst>
        </c:ser>
        <c:ser>
          <c:idx val="3"/>
          <c:order val="3"/>
          <c:tx>
            <c:strRef>
              <c:f>'Ç''ngjyr, Ç.halezim 2025'!$R$40</c:f>
              <c:strCache>
                <c:ptCount val="1"/>
                <c:pt idx="0">
                  <c:v>Halorë të tjerë</c:v>
                </c:pt>
              </c:strCache>
            </c:strRef>
          </c:tx>
          <c:spPr>
            <a:solidFill>
              <a:schemeClr val="accent4"/>
            </a:solidFill>
            <a:ln>
              <a:noFill/>
            </a:ln>
            <a:effectLst/>
          </c:spPr>
          <c:invertIfNegative val="0"/>
          <c:cat>
            <c:multiLvlStrRef>
              <c:f>'Ç''ngjyr, Ç.halezim 2025'!$S$35:$V$36</c:f>
              <c:multiLvlStrCache>
                <c:ptCount val="4"/>
                <c:lvl>
                  <c:pt idx="0">
                    <c:v>0-10%</c:v>
                  </c:pt>
                  <c:pt idx="1">
                    <c:v>11-25%</c:v>
                  </c:pt>
                  <c:pt idx="2">
                    <c:v>26-60%</c:v>
                  </c:pt>
                  <c:pt idx="3">
                    <c:v>61%-100%</c:v>
                  </c:pt>
                </c:lvl>
                <c:lvl>
                  <c:pt idx="0">
                    <c:v>Klasat e vlerësimit</c:v>
                  </c:pt>
                </c:lvl>
              </c:multiLvlStrCache>
            </c:multiLvlStrRef>
          </c:cat>
          <c:val>
            <c:numRef>
              <c:f>'Ç''ngjyr, Ç.halezim 2025'!$S$40:$V$40</c:f>
              <c:numCache>
                <c:formatCode>0.00%</c:formatCode>
                <c:ptCount val="4"/>
                <c:pt idx="0">
                  <c:v>0.3508</c:v>
                </c:pt>
                <c:pt idx="1">
                  <c:v>0.28260000000000002</c:v>
                </c:pt>
                <c:pt idx="2">
                  <c:v>0.25290000000000001</c:v>
                </c:pt>
                <c:pt idx="3">
                  <c:v>0.1137</c:v>
                </c:pt>
              </c:numCache>
            </c:numRef>
          </c:val>
          <c:extLst>
            <c:ext xmlns:c16="http://schemas.microsoft.com/office/drawing/2014/chart" uri="{C3380CC4-5D6E-409C-BE32-E72D297353CC}">
              <c16:uniqueId val="{00000003-02C9-49F9-8B02-6D1EAC9AA3C4}"/>
            </c:ext>
          </c:extLst>
        </c:ser>
        <c:dLbls>
          <c:showLegendKey val="0"/>
          <c:showVal val="0"/>
          <c:showCatName val="0"/>
          <c:showSerName val="0"/>
          <c:showPercent val="0"/>
          <c:showBubbleSize val="0"/>
        </c:dLbls>
        <c:gapWidth val="219"/>
        <c:overlap val="-27"/>
        <c:axId val="381531648"/>
        <c:axId val="381533184"/>
      </c:barChart>
      <c:catAx>
        <c:axId val="38153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1533184"/>
        <c:crosses val="autoZero"/>
        <c:auto val="1"/>
        <c:lblAlgn val="ctr"/>
        <c:lblOffset val="100"/>
        <c:noMultiLvlLbl val="0"/>
      </c:catAx>
      <c:valAx>
        <c:axId val="381533184"/>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 e prekjes</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153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alpha val="97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Prekja nga dëmtuesit haloret 2025</a:t>
            </a:r>
          </a:p>
        </c:rich>
      </c:tx>
      <c:overlay val="0"/>
      <c:spPr>
        <a:noFill/>
        <a:ln>
          <a:noFill/>
        </a:ln>
        <a:effectLst/>
      </c:spPr>
    </c:title>
    <c:autoTitleDeleted val="0"/>
    <c:plotArea>
      <c:layout/>
      <c:barChart>
        <c:barDir val="col"/>
        <c:grouping val="clustered"/>
        <c:varyColors val="0"/>
        <c:ser>
          <c:idx val="0"/>
          <c:order val="0"/>
          <c:tx>
            <c:strRef>
              <c:f>'Dem, Sem, 2025'!$A$34</c:f>
              <c:strCache>
                <c:ptCount val="1"/>
                <c:pt idx="0">
                  <c:v>Pishë e zezë</c:v>
                </c:pt>
              </c:strCache>
            </c:strRef>
          </c:tx>
          <c:spPr>
            <a:solidFill>
              <a:srgbClr val="FF0000"/>
            </a:solidFill>
            <a:ln>
              <a:noFill/>
            </a:ln>
            <a:effectLst/>
          </c:spPr>
          <c:invertIfNegative val="0"/>
          <c:cat>
            <c:multiLvlStrRef>
              <c:f>'Dem, Sem, 2025'!$B$32:$E$33</c:f>
              <c:multiLvlStrCache>
                <c:ptCount val="4"/>
                <c:lvl>
                  <c:pt idx="0">
                    <c:v>0-10%</c:v>
                  </c:pt>
                  <c:pt idx="1">
                    <c:v>21-25%</c:v>
                  </c:pt>
                  <c:pt idx="2">
                    <c:v>26-60%</c:v>
                  </c:pt>
                  <c:pt idx="3">
                    <c:v>61-100%</c:v>
                  </c:pt>
                </c:lvl>
                <c:lvl>
                  <c:pt idx="0">
                    <c:v>Klasat e vlerësimit në %</c:v>
                  </c:pt>
                </c:lvl>
              </c:multiLvlStrCache>
            </c:multiLvlStrRef>
          </c:cat>
          <c:val>
            <c:numRef>
              <c:f>'Dem, Sem, 2025'!$B$34:$E$34</c:f>
              <c:numCache>
                <c:formatCode>0.00%</c:formatCode>
                <c:ptCount val="4"/>
                <c:pt idx="0">
                  <c:v>0.28160000000000002</c:v>
                </c:pt>
                <c:pt idx="1">
                  <c:v>0.31109999999999999</c:v>
                </c:pt>
                <c:pt idx="2">
                  <c:v>0.31180000000000002</c:v>
                </c:pt>
                <c:pt idx="3">
                  <c:v>9.5500000000000002E-2</c:v>
                </c:pt>
              </c:numCache>
            </c:numRef>
          </c:val>
          <c:extLst>
            <c:ext xmlns:c16="http://schemas.microsoft.com/office/drawing/2014/chart" uri="{C3380CC4-5D6E-409C-BE32-E72D297353CC}">
              <c16:uniqueId val="{00000000-173D-4901-ADBE-DED714715894}"/>
            </c:ext>
          </c:extLst>
        </c:ser>
        <c:ser>
          <c:idx val="1"/>
          <c:order val="1"/>
          <c:tx>
            <c:strRef>
              <c:f>'Dem, Sem, 2025'!$A$35</c:f>
              <c:strCache>
                <c:ptCount val="1"/>
                <c:pt idx="0">
                  <c:v>Bredh</c:v>
                </c:pt>
              </c:strCache>
            </c:strRef>
          </c:tx>
          <c:spPr>
            <a:solidFill>
              <a:srgbClr val="0070C0"/>
            </a:solidFill>
            <a:ln>
              <a:noFill/>
            </a:ln>
            <a:effectLst/>
          </c:spPr>
          <c:invertIfNegative val="0"/>
          <c:cat>
            <c:multiLvlStrRef>
              <c:f>'Dem, Sem, 2025'!$B$32:$E$33</c:f>
              <c:multiLvlStrCache>
                <c:ptCount val="4"/>
                <c:lvl>
                  <c:pt idx="0">
                    <c:v>0-10%</c:v>
                  </c:pt>
                  <c:pt idx="1">
                    <c:v>21-25%</c:v>
                  </c:pt>
                  <c:pt idx="2">
                    <c:v>26-60%</c:v>
                  </c:pt>
                  <c:pt idx="3">
                    <c:v>61-100%</c:v>
                  </c:pt>
                </c:lvl>
                <c:lvl>
                  <c:pt idx="0">
                    <c:v>Klasat e vlerësimit në %</c:v>
                  </c:pt>
                </c:lvl>
              </c:multiLvlStrCache>
            </c:multiLvlStrRef>
          </c:cat>
          <c:val>
            <c:numRef>
              <c:f>'Dem, Sem, 2025'!$B$35:$E$35</c:f>
              <c:numCache>
                <c:formatCode>0.00%</c:formatCode>
                <c:ptCount val="4"/>
                <c:pt idx="0">
                  <c:v>0.41449999999999998</c:v>
                </c:pt>
                <c:pt idx="1">
                  <c:v>0.32229999999999998</c:v>
                </c:pt>
                <c:pt idx="2">
                  <c:v>0.22209999999999999</c:v>
                </c:pt>
                <c:pt idx="3">
                  <c:v>4.1099999999999998E-2</c:v>
                </c:pt>
              </c:numCache>
            </c:numRef>
          </c:val>
          <c:extLst>
            <c:ext xmlns:c16="http://schemas.microsoft.com/office/drawing/2014/chart" uri="{C3380CC4-5D6E-409C-BE32-E72D297353CC}">
              <c16:uniqueId val="{00000001-173D-4901-ADBE-DED714715894}"/>
            </c:ext>
          </c:extLst>
        </c:ser>
        <c:ser>
          <c:idx val="2"/>
          <c:order val="2"/>
          <c:tx>
            <c:strRef>
              <c:f>'Dem, Sem, 2025'!$A$36</c:f>
              <c:strCache>
                <c:ptCount val="1"/>
                <c:pt idx="0">
                  <c:v>Pishë Mesdhetare</c:v>
                </c:pt>
              </c:strCache>
            </c:strRef>
          </c:tx>
          <c:spPr>
            <a:solidFill>
              <a:schemeClr val="accent2">
                <a:lumMod val="75000"/>
              </a:schemeClr>
            </a:solidFill>
            <a:ln>
              <a:noFill/>
            </a:ln>
            <a:effectLst/>
          </c:spPr>
          <c:invertIfNegative val="0"/>
          <c:cat>
            <c:multiLvlStrRef>
              <c:f>'Dem, Sem, 2025'!$B$32:$E$33</c:f>
              <c:multiLvlStrCache>
                <c:ptCount val="4"/>
                <c:lvl>
                  <c:pt idx="0">
                    <c:v>0-10%</c:v>
                  </c:pt>
                  <c:pt idx="1">
                    <c:v>21-25%</c:v>
                  </c:pt>
                  <c:pt idx="2">
                    <c:v>26-60%</c:v>
                  </c:pt>
                  <c:pt idx="3">
                    <c:v>61-100%</c:v>
                  </c:pt>
                </c:lvl>
                <c:lvl>
                  <c:pt idx="0">
                    <c:v>Klasat e vlerësimit në %</c:v>
                  </c:pt>
                </c:lvl>
              </c:multiLvlStrCache>
            </c:multiLvlStrRef>
          </c:cat>
          <c:val>
            <c:numRef>
              <c:f>'Dem, Sem, 2025'!$B$36:$E$36</c:f>
              <c:numCache>
                <c:formatCode>0.00%</c:formatCode>
                <c:ptCount val="4"/>
                <c:pt idx="0">
                  <c:v>0.35010000000000002</c:v>
                </c:pt>
                <c:pt idx="1">
                  <c:v>0.34429999999999999</c:v>
                </c:pt>
                <c:pt idx="2">
                  <c:v>0.2535</c:v>
                </c:pt>
                <c:pt idx="3">
                  <c:v>5.21E-2</c:v>
                </c:pt>
              </c:numCache>
            </c:numRef>
          </c:val>
          <c:extLst>
            <c:ext xmlns:c16="http://schemas.microsoft.com/office/drawing/2014/chart" uri="{C3380CC4-5D6E-409C-BE32-E72D297353CC}">
              <c16:uniqueId val="{00000002-173D-4901-ADBE-DED714715894}"/>
            </c:ext>
          </c:extLst>
        </c:ser>
        <c:ser>
          <c:idx val="3"/>
          <c:order val="3"/>
          <c:tx>
            <c:strRef>
              <c:f>'Dem, Sem, 2025'!$A$37</c:f>
              <c:strCache>
                <c:ptCount val="1"/>
                <c:pt idx="0">
                  <c:v>Halorë të tjerë</c:v>
                </c:pt>
              </c:strCache>
            </c:strRef>
          </c:tx>
          <c:spPr>
            <a:solidFill>
              <a:srgbClr val="7030A0"/>
            </a:solidFill>
            <a:ln>
              <a:noFill/>
            </a:ln>
            <a:effectLst/>
          </c:spPr>
          <c:invertIfNegative val="0"/>
          <c:cat>
            <c:multiLvlStrRef>
              <c:f>'Dem, Sem, 2025'!$B$32:$E$33</c:f>
              <c:multiLvlStrCache>
                <c:ptCount val="4"/>
                <c:lvl>
                  <c:pt idx="0">
                    <c:v>0-10%</c:v>
                  </c:pt>
                  <c:pt idx="1">
                    <c:v>21-25%</c:v>
                  </c:pt>
                  <c:pt idx="2">
                    <c:v>26-60%</c:v>
                  </c:pt>
                  <c:pt idx="3">
                    <c:v>61-100%</c:v>
                  </c:pt>
                </c:lvl>
                <c:lvl>
                  <c:pt idx="0">
                    <c:v>Klasat e vlerësimit në %</c:v>
                  </c:pt>
                </c:lvl>
              </c:multiLvlStrCache>
            </c:multiLvlStrRef>
          </c:cat>
          <c:val>
            <c:numRef>
              <c:f>'Dem, Sem, 2025'!$B$37:$E$37</c:f>
              <c:numCache>
                <c:formatCode>0.00%</c:formatCode>
                <c:ptCount val="4"/>
                <c:pt idx="0">
                  <c:v>0.31080000000000002</c:v>
                </c:pt>
                <c:pt idx="1">
                  <c:v>0.34179999999999999</c:v>
                </c:pt>
                <c:pt idx="2">
                  <c:v>0.2752</c:v>
                </c:pt>
                <c:pt idx="3">
                  <c:v>7.22E-2</c:v>
                </c:pt>
              </c:numCache>
            </c:numRef>
          </c:val>
          <c:extLst>
            <c:ext xmlns:c16="http://schemas.microsoft.com/office/drawing/2014/chart" uri="{C3380CC4-5D6E-409C-BE32-E72D297353CC}">
              <c16:uniqueId val="{00000003-173D-4901-ADBE-DED714715894}"/>
            </c:ext>
          </c:extLst>
        </c:ser>
        <c:dLbls>
          <c:showLegendKey val="0"/>
          <c:showVal val="0"/>
          <c:showCatName val="0"/>
          <c:showSerName val="0"/>
          <c:showPercent val="0"/>
          <c:showBubbleSize val="0"/>
        </c:dLbls>
        <c:gapWidth val="219"/>
        <c:overlap val="-27"/>
        <c:axId val="388711168"/>
        <c:axId val="388712704"/>
      </c:barChart>
      <c:catAx>
        <c:axId val="38871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8712704"/>
        <c:crosses val="autoZero"/>
        <c:auto val="1"/>
        <c:lblAlgn val="ctr"/>
        <c:lblOffset val="100"/>
        <c:noMultiLvlLbl val="0"/>
      </c:catAx>
      <c:valAx>
        <c:axId val="388712704"/>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 e Prekjae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8711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alpha val="97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Prekja nga dëmtuesit fletorët 2025</a:t>
            </a:r>
          </a:p>
        </c:rich>
      </c:tx>
      <c:overlay val="0"/>
      <c:spPr>
        <a:noFill/>
        <a:ln>
          <a:noFill/>
        </a:ln>
        <a:effectLst/>
      </c:spPr>
    </c:title>
    <c:autoTitleDeleted val="0"/>
    <c:plotArea>
      <c:layout/>
      <c:barChart>
        <c:barDir val="col"/>
        <c:grouping val="clustered"/>
        <c:varyColors val="0"/>
        <c:ser>
          <c:idx val="0"/>
          <c:order val="0"/>
          <c:tx>
            <c:strRef>
              <c:f>'Dem, Sem, 2025'!$J$34</c:f>
              <c:strCache>
                <c:ptCount val="1"/>
                <c:pt idx="0">
                  <c:v>Ah</c:v>
                </c:pt>
              </c:strCache>
            </c:strRef>
          </c:tx>
          <c:spPr>
            <a:solidFill>
              <a:srgbClr val="00B050"/>
            </a:solidFill>
            <a:ln>
              <a:noFill/>
            </a:ln>
            <a:effectLst/>
          </c:spPr>
          <c:invertIfNegative val="0"/>
          <c:cat>
            <c:multiLvlStrRef>
              <c:f>'Dem, Sem, 2025'!$K$32:$N$33</c:f>
              <c:multiLvlStrCache>
                <c:ptCount val="4"/>
                <c:lvl>
                  <c:pt idx="0">
                    <c:v>0-10%</c:v>
                  </c:pt>
                  <c:pt idx="1">
                    <c:v>11-25%</c:v>
                  </c:pt>
                  <c:pt idx="2">
                    <c:v>26-60%</c:v>
                  </c:pt>
                  <c:pt idx="3">
                    <c:v>61-100%</c:v>
                  </c:pt>
                </c:lvl>
                <c:lvl>
                  <c:pt idx="0">
                    <c:v>Klasat e vlerësimit në përqindje</c:v>
                  </c:pt>
                </c:lvl>
              </c:multiLvlStrCache>
            </c:multiLvlStrRef>
          </c:cat>
          <c:val>
            <c:numRef>
              <c:f>'Dem, Sem, 2025'!$K$34:$N$34</c:f>
              <c:numCache>
                <c:formatCode>0.00%</c:formatCode>
                <c:ptCount val="4"/>
                <c:pt idx="0">
                  <c:v>0.33339999999999997</c:v>
                </c:pt>
                <c:pt idx="1">
                  <c:v>0.35870000000000002</c:v>
                </c:pt>
                <c:pt idx="2">
                  <c:v>0.2361</c:v>
                </c:pt>
                <c:pt idx="3">
                  <c:v>7.1800000000000003E-2</c:v>
                </c:pt>
              </c:numCache>
            </c:numRef>
          </c:val>
          <c:extLst>
            <c:ext xmlns:c16="http://schemas.microsoft.com/office/drawing/2014/chart" uri="{C3380CC4-5D6E-409C-BE32-E72D297353CC}">
              <c16:uniqueId val="{00000000-338C-4A3E-860C-36BFD26F094D}"/>
            </c:ext>
          </c:extLst>
        </c:ser>
        <c:ser>
          <c:idx val="1"/>
          <c:order val="1"/>
          <c:tx>
            <c:strRef>
              <c:f>'Dem, Sem, 2025'!$J$35</c:f>
              <c:strCache>
                <c:ptCount val="1"/>
                <c:pt idx="0">
                  <c:v>Dushk dhe Gështenjë</c:v>
                </c:pt>
              </c:strCache>
            </c:strRef>
          </c:tx>
          <c:spPr>
            <a:solidFill>
              <a:schemeClr val="accent4">
                <a:lumMod val="50000"/>
              </a:schemeClr>
            </a:solidFill>
            <a:ln>
              <a:noFill/>
            </a:ln>
            <a:effectLst/>
          </c:spPr>
          <c:invertIfNegative val="0"/>
          <c:cat>
            <c:multiLvlStrRef>
              <c:f>'Dem, Sem, 2025'!$K$32:$N$33</c:f>
              <c:multiLvlStrCache>
                <c:ptCount val="4"/>
                <c:lvl>
                  <c:pt idx="0">
                    <c:v>0-10%</c:v>
                  </c:pt>
                  <c:pt idx="1">
                    <c:v>11-25%</c:v>
                  </c:pt>
                  <c:pt idx="2">
                    <c:v>26-60%</c:v>
                  </c:pt>
                  <c:pt idx="3">
                    <c:v>61-100%</c:v>
                  </c:pt>
                </c:lvl>
                <c:lvl>
                  <c:pt idx="0">
                    <c:v>Klasat e vlerësimit në përqindje</c:v>
                  </c:pt>
                </c:lvl>
              </c:multiLvlStrCache>
            </c:multiLvlStrRef>
          </c:cat>
          <c:val>
            <c:numRef>
              <c:f>'Dem, Sem, 2025'!$K$35:$N$35</c:f>
              <c:numCache>
                <c:formatCode>0.00%</c:formatCode>
                <c:ptCount val="4"/>
                <c:pt idx="0">
                  <c:v>0.31759999999999999</c:v>
                </c:pt>
                <c:pt idx="1">
                  <c:v>0.30909999999999999</c:v>
                </c:pt>
                <c:pt idx="2">
                  <c:v>0.24110000000000001</c:v>
                </c:pt>
                <c:pt idx="3">
                  <c:v>0.13220000000000001</c:v>
                </c:pt>
              </c:numCache>
            </c:numRef>
          </c:val>
          <c:extLst>
            <c:ext xmlns:c16="http://schemas.microsoft.com/office/drawing/2014/chart" uri="{C3380CC4-5D6E-409C-BE32-E72D297353CC}">
              <c16:uniqueId val="{00000001-338C-4A3E-860C-36BFD26F094D}"/>
            </c:ext>
          </c:extLst>
        </c:ser>
        <c:ser>
          <c:idx val="2"/>
          <c:order val="2"/>
          <c:tx>
            <c:strRef>
              <c:f>'Dem, Sem, 2025'!$J$36</c:f>
              <c:strCache>
                <c:ptCount val="1"/>
                <c:pt idx="0">
                  <c:v>Fletorë të tjerë</c:v>
                </c:pt>
              </c:strCache>
            </c:strRef>
          </c:tx>
          <c:spPr>
            <a:solidFill>
              <a:schemeClr val="accent5"/>
            </a:solidFill>
            <a:ln>
              <a:noFill/>
            </a:ln>
            <a:effectLst/>
          </c:spPr>
          <c:invertIfNegative val="0"/>
          <c:cat>
            <c:multiLvlStrRef>
              <c:f>'Dem, Sem, 2025'!$K$32:$N$33</c:f>
              <c:multiLvlStrCache>
                <c:ptCount val="4"/>
                <c:lvl>
                  <c:pt idx="0">
                    <c:v>0-10%</c:v>
                  </c:pt>
                  <c:pt idx="1">
                    <c:v>11-25%</c:v>
                  </c:pt>
                  <c:pt idx="2">
                    <c:v>26-60%</c:v>
                  </c:pt>
                  <c:pt idx="3">
                    <c:v>61-100%</c:v>
                  </c:pt>
                </c:lvl>
                <c:lvl>
                  <c:pt idx="0">
                    <c:v>Klasat e vlerësimit në përqindje</c:v>
                  </c:pt>
                </c:lvl>
              </c:multiLvlStrCache>
            </c:multiLvlStrRef>
          </c:cat>
          <c:val>
            <c:numRef>
              <c:f>'Dem, Sem, 2025'!$K$36:$N$36</c:f>
              <c:numCache>
                <c:formatCode>0.00%</c:formatCode>
                <c:ptCount val="4"/>
                <c:pt idx="0">
                  <c:v>0.2601</c:v>
                </c:pt>
                <c:pt idx="1">
                  <c:v>0.33279999999999998</c:v>
                </c:pt>
                <c:pt idx="2">
                  <c:v>0.24179999999999999</c:v>
                </c:pt>
                <c:pt idx="3">
                  <c:v>0.1653</c:v>
                </c:pt>
              </c:numCache>
            </c:numRef>
          </c:val>
          <c:extLst>
            <c:ext xmlns:c16="http://schemas.microsoft.com/office/drawing/2014/chart" uri="{C3380CC4-5D6E-409C-BE32-E72D297353CC}">
              <c16:uniqueId val="{00000002-338C-4A3E-860C-36BFD26F094D}"/>
            </c:ext>
          </c:extLst>
        </c:ser>
        <c:dLbls>
          <c:showLegendKey val="0"/>
          <c:showVal val="0"/>
          <c:showCatName val="0"/>
          <c:showSerName val="0"/>
          <c:showPercent val="0"/>
          <c:showBubbleSize val="0"/>
        </c:dLbls>
        <c:gapWidth val="219"/>
        <c:overlap val="-27"/>
        <c:axId val="414980736"/>
        <c:axId val="414986624"/>
      </c:barChart>
      <c:catAx>
        <c:axId val="41498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4986624"/>
        <c:crosses val="autoZero"/>
        <c:auto val="1"/>
        <c:lblAlgn val="ctr"/>
        <c:lblOffset val="100"/>
        <c:noMultiLvlLbl val="0"/>
      </c:catAx>
      <c:valAx>
        <c:axId val="414986624"/>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 e Prekjes</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4980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alpha val="97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Prekja nga sëmundjet halorët 2025</a:t>
            </a:r>
          </a:p>
        </c:rich>
      </c:tx>
      <c:overlay val="0"/>
      <c:spPr>
        <a:noFill/>
        <a:ln>
          <a:noFill/>
        </a:ln>
        <a:effectLst/>
      </c:spPr>
    </c:title>
    <c:autoTitleDeleted val="0"/>
    <c:plotArea>
      <c:layout/>
      <c:barChart>
        <c:barDir val="col"/>
        <c:grouping val="clustered"/>
        <c:varyColors val="0"/>
        <c:ser>
          <c:idx val="0"/>
          <c:order val="0"/>
          <c:tx>
            <c:strRef>
              <c:f>'Dem, Sem, 2025'!$T$34</c:f>
              <c:strCache>
                <c:ptCount val="1"/>
                <c:pt idx="0">
                  <c:v>Pishë e zezë</c:v>
                </c:pt>
              </c:strCache>
            </c:strRef>
          </c:tx>
          <c:spPr>
            <a:solidFill>
              <a:srgbClr val="FF0000"/>
            </a:solidFill>
            <a:ln>
              <a:noFill/>
            </a:ln>
            <a:effectLst/>
          </c:spPr>
          <c:invertIfNegative val="0"/>
          <c:cat>
            <c:multiLvlStrRef>
              <c:f>'Dem, Sem, 2025'!$U$32:$X$33</c:f>
              <c:multiLvlStrCache>
                <c:ptCount val="4"/>
                <c:lvl>
                  <c:pt idx="0">
                    <c:v>0-10%</c:v>
                  </c:pt>
                  <c:pt idx="1">
                    <c:v>11-25%</c:v>
                  </c:pt>
                  <c:pt idx="2">
                    <c:v>26-60%</c:v>
                  </c:pt>
                  <c:pt idx="3">
                    <c:v>61-100%</c:v>
                  </c:pt>
                </c:lvl>
                <c:lvl>
                  <c:pt idx="0">
                    <c:v>Klasat e vlerësimit përqindje</c:v>
                  </c:pt>
                </c:lvl>
              </c:multiLvlStrCache>
            </c:multiLvlStrRef>
          </c:cat>
          <c:val>
            <c:numRef>
              <c:f>'Dem, Sem, 2025'!$U$34:$X$34</c:f>
              <c:numCache>
                <c:formatCode>0.00%</c:formatCode>
                <c:ptCount val="4"/>
                <c:pt idx="0">
                  <c:v>0.31830000000000003</c:v>
                </c:pt>
                <c:pt idx="1">
                  <c:v>0.30209999999999998</c:v>
                </c:pt>
                <c:pt idx="2">
                  <c:v>0.32440000000000002</c:v>
                </c:pt>
                <c:pt idx="3">
                  <c:v>5.5199999999999999E-2</c:v>
                </c:pt>
              </c:numCache>
            </c:numRef>
          </c:val>
          <c:extLst>
            <c:ext xmlns:c16="http://schemas.microsoft.com/office/drawing/2014/chart" uri="{C3380CC4-5D6E-409C-BE32-E72D297353CC}">
              <c16:uniqueId val="{00000000-230C-4C52-BCB9-9C29391BCA4C}"/>
            </c:ext>
          </c:extLst>
        </c:ser>
        <c:ser>
          <c:idx val="1"/>
          <c:order val="1"/>
          <c:tx>
            <c:strRef>
              <c:f>'Dem, Sem, 2025'!$T$35</c:f>
              <c:strCache>
                <c:ptCount val="1"/>
                <c:pt idx="0">
                  <c:v>Bredh</c:v>
                </c:pt>
              </c:strCache>
            </c:strRef>
          </c:tx>
          <c:spPr>
            <a:solidFill>
              <a:srgbClr val="0070C0"/>
            </a:solidFill>
            <a:ln>
              <a:noFill/>
            </a:ln>
            <a:effectLst/>
          </c:spPr>
          <c:invertIfNegative val="0"/>
          <c:cat>
            <c:multiLvlStrRef>
              <c:f>'Dem, Sem, 2025'!$U$32:$X$33</c:f>
              <c:multiLvlStrCache>
                <c:ptCount val="4"/>
                <c:lvl>
                  <c:pt idx="0">
                    <c:v>0-10%</c:v>
                  </c:pt>
                  <c:pt idx="1">
                    <c:v>11-25%</c:v>
                  </c:pt>
                  <c:pt idx="2">
                    <c:v>26-60%</c:v>
                  </c:pt>
                  <c:pt idx="3">
                    <c:v>61-100%</c:v>
                  </c:pt>
                </c:lvl>
                <c:lvl>
                  <c:pt idx="0">
                    <c:v>Klasat e vlerësimit përqindje</c:v>
                  </c:pt>
                </c:lvl>
              </c:multiLvlStrCache>
            </c:multiLvlStrRef>
          </c:cat>
          <c:val>
            <c:numRef>
              <c:f>'Dem, Sem, 2025'!$U$35:$X$35</c:f>
              <c:numCache>
                <c:formatCode>0.00%</c:formatCode>
                <c:ptCount val="4"/>
                <c:pt idx="0">
                  <c:v>0.34449999999999997</c:v>
                </c:pt>
                <c:pt idx="1">
                  <c:v>0.31159999999999999</c:v>
                </c:pt>
                <c:pt idx="2">
                  <c:v>0.25609999999999999</c:v>
                </c:pt>
                <c:pt idx="3">
                  <c:v>8.7800000000000003E-2</c:v>
                </c:pt>
              </c:numCache>
            </c:numRef>
          </c:val>
          <c:extLst>
            <c:ext xmlns:c16="http://schemas.microsoft.com/office/drawing/2014/chart" uri="{C3380CC4-5D6E-409C-BE32-E72D297353CC}">
              <c16:uniqueId val="{00000001-230C-4C52-BCB9-9C29391BCA4C}"/>
            </c:ext>
          </c:extLst>
        </c:ser>
        <c:ser>
          <c:idx val="2"/>
          <c:order val="2"/>
          <c:tx>
            <c:strRef>
              <c:f>'Dem, Sem, 2025'!$T$36</c:f>
              <c:strCache>
                <c:ptCount val="1"/>
                <c:pt idx="0">
                  <c:v>Pishë Mesdhetare</c:v>
                </c:pt>
              </c:strCache>
            </c:strRef>
          </c:tx>
          <c:spPr>
            <a:solidFill>
              <a:schemeClr val="accent4">
                <a:lumMod val="75000"/>
              </a:schemeClr>
            </a:solidFill>
            <a:ln>
              <a:noFill/>
            </a:ln>
            <a:effectLst/>
          </c:spPr>
          <c:invertIfNegative val="0"/>
          <c:cat>
            <c:multiLvlStrRef>
              <c:f>'Dem, Sem, 2025'!$U$32:$X$33</c:f>
              <c:multiLvlStrCache>
                <c:ptCount val="4"/>
                <c:lvl>
                  <c:pt idx="0">
                    <c:v>0-10%</c:v>
                  </c:pt>
                  <c:pt idx="1">
                    <c:v>11-25%</c:v>
                  </c:pt>
                  <c:pt idx="2">
                    <c:v>26-60%</c:v>
                  </c:pt>
                  <c:pt idx="3">
                    <c:v>61-100%</c:v>
                  </c:pt>
                </c:lvl>
                <c:lvl>
                  <c:pt idx="0">
                    <c:v>Klasat e vlerësimit përqindje</c:v>
                  </c:pt>
                </c:lvl>
              </c:multiLvlStrCache>
            </c:multiLvlStrRef>
          </c:cat>
          <c:val>
            <c:numRef>
              <c:f>'Dem, Sem, 2025'!$U$36:$X$36</c:f>
              <c:numCache>
                <c:formatCode>0.00%</c:formatCode>
                <c:ptCount val="4"/>
                <c:pt idx="0">
                  <c:v>0.34920000000000001</c:v>
                </c:pt>
                <c:pt idx="1">
                  <c:v>0.32229999999999998</c:v>
                </c:pt>
                <c:pt idx="2">
                  <c:v>0.2127</c:v>
                </c:pt>
                <c:pt idx="3">
                  <c:v>0.1158</c:v>
                </c:pt>
              </c:numCache>
            </c:numRef>
          </c:val>
          <c:extLst>
            <c:ext xmlns:c16="http://schemas.microsoft.com/office/drawing/2014/chart" uri="{C3380CC4-5D6E-409C-BE32-E72D297353CC}">
              <c16:uniqueId val="{00000002-230C-4C52-BCB9-9C29391BCA4C}"/>
            </c:ext>
          </c:extLst>
        </c:ser>
        <c:ser>
          <c:idx val="3"/>
          <c:order val="3"/>
          <c:tx>
            <c:strRef>
              <c:f>'Dem, Sem, 2025'!$T$37</c:f>
              <c:strCache>
                <c:ptCount val="1"/>
                <c:pt idx="0">
                  <c:v>Halorë të tjerë</c:v>
                </c:pt>
              </c:strCache>
            </c:strRef>
          </c:tx>
          <c:spPr>
            <a:solidFill>
              <a:srgbClr val="7030A0"/>
            </a:solidFill>
            <a:ln>
              <a:noFill/>
            </a:ln>
            <a:effectLst/>
          </c:spPr>
          <c:invertIfNegative val="0"/>
          <c:cat>
            <c:multiLvlStrRef>
              <c:f>'Dem, Sem, 2025'!$U$32:$X$33</c:f>
              <c:multiLvlStrCache>
                <c:ptCount val="4"/>
                <c:lvl>
                  <c:pt idx="0">
                    <c:v>0-10%</c:v>
                  </c:pt>
                  <c:pt idx="1">
                    <c:v>11-25%</c:v>
                  </c:pt>
                  <c:pt idx="2">
                    <c:v>26-60%</c:v>
                  </c:pt>
                  <c:pt idx="3">
                    <c:v>61-100%</c:v>
                  </c:pt>
                </c:lvl>
                <c:lvl>
                  <c:pt idx="0">
                    <c:v>Klasat e vlerësimit përqindje</c:v>
                  </c:pt>
                </c:lvl>
              </c:multiLvlStrCache>
            </c:multiLvlStrRef>
          </c:cat>
          <c:val>
            <c:numRef>
              <c:f>'Dem, Sem, 2025'!$U$37:$X$37</c:f>
              <c:numCache>
                <c:formatCode>0.00%</c:formatCode>
                <c:ptCount val="4"/>
                <c:pt idx="0">
                  <c:v>0.28910000000000002</c:v>
                </c:pt>
                <c:pt idx="1">
                  <c:v>0.33350000000000002</c:v>
                </c:pt>
                <c:pt idx="2">
                  <c:v>0.26129999999999998</c:v>
                </c:pt>
                <c:pt idx="3">
                  <c:v>0.11609999999999999</c:v>
                </c:pt>
              </c:numCache>
            </c:numRef>
          </c:val>
          <c:extLst>
            <c:ext xmlns:c16="http://schemas.microsoft.com/office/drawing/2014/chart" uri="{C3380CC4-5D6E-409C-BE32-E72D297353CC}">
              <c16:uniqueId val="{00000003-230C-4C52-BCB9-9C29391BCA4C}"/>
            </c:ext>
          </c:extLst>
        </c:ser>
        <c:dLbls>
          <c:showLegendKey val="0"/>
          <c:showVal val="0"/>
          <c:showCatName val="0"/>
          <c:showSerName val="0"/>
          <c:showPercent val="0"/>
          <c:showBubbleSize val="0"/>
        </c:dLbls>
        <c:gapWidth val="219"/>
        <c:overlap val="-27"/>
        <c:axId val="453064576"/>
        <c:axId val="453066112"/>
      </c:barChart>
      <c:catAx>
        <c:axId val="45306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53066112"/>
        <c:crosses val="autoZero"/>
        <c:auto val="1"/>
        <c:lblAlgn val="ctr"/>
        <c:lblOffset val="100"/>
        <c:noMultiLvlLbl val="0"/>
      </c:catAx>
      <c:valAx>
        <c:axId val="453066112"/>
        <c:scaling>
          <c:orientation val="minMax"/>
        </c:scaling>
        <c:delete val="0"/>
        <c:axPos val="l"/>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1"/>
                  <a:t>% e Prekjes</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53064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alpha val="97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Prekja nga sëmundjet fletorët 2025</a:t>
            </a:r>
          </a:p>
        </c:rich>
      </c:tx>
      <c:overlay val="0"/>
      <c:spPr>
        <a:noFill/>
        <a:ln>
          <a:noFill/>
        </a:ln>
        <a:effectLst/>
      </c:spPr>
    </c:title>
    <c:autoTitleDeleted val="0"/>
    <c:plotArea>
      <c:layout/>
      <c:barChart>
        <c:barDir val="col"/>
        <c:grouping val="clustered"/>
        <c:varyColors val="0"/>
        <c:ser>
          <c:idx val="0"/>
          <c:order val="0"/>
          <c:tx>
            <c:strRef>
              <c:f>'Dem, Sem, 2025'!$AD$34</c:f>
              <c:strCache>
                <c:ptCount val="1"/>
                <c:pt idx="0">
                  <c:v>Ah</c:v>
                </c:pt>
              </c:strCache>
            </c:strRef>
          </c:tx>
          <c:spPr>
            <a:solidFill>
              <a:srgbClr val="00B050"/>
            </a:solidFill>
            <a:ln>
              <a:noFill/>
            </a:ln>
            <a:effectLst/>
          </c:spPr>
          <c:invertIfNegative val="0"/>
          <c:cat>
            <c:multiLvlStrRef>
              <c:f>'Dem, Sem, 2025'!$AE$32:$AH$33</c:f>
              <c:multiLvlStrCache>
                <c:ptCount val="4"/>
                <c:lvl>
                  <c:pt idx="0">
                    <c:v>0-10%</c:v>
                  </c:pt>
                  <c:pt idx="1">
                    <c:v>11-25%</c:v>
                  </c:pt>
                  <c:pt idx="2">
                    <c:v>26-60%</c:v>
                  </c:pt>
                  <c:pt idx="3">
                    <c:v>61-100%</c:v>
                  </c:pt>
                </c:lvl>
                <c:lvl>
                  <c:pt idx="0">
                    <c:v>Klasat e vlerësimit në përqindje </c:v>
                  </c:pt>
                </c:lvl>
              </c:multiLvlStrCache>
            </c:multiLvlStrRef>
          </c:cat>
          <c:val>
            <c:numRef>
              <c:f>'Dem, Sem, 2025'!$AE$34:$AH$34</c:f>
              <c:numCache>
                <c:formatCode>0.00%</c:formatCode>
                <c:ptCount val="4"/>
                <c:pt idx="0">
                  <c:v>0.34389999999999998</c:v>
                </c:pt>
                <c:pt idx="1">
                  <c:v>0.31190000000000001</c:v>
                </c:pt>
                <c:pt idx="2">
                  <c:v>0.23169999999999999</c:v>
                </c:pt>
                <c:pt idx="3">
                  <c:v>0.1125</c:v>
                </c:pt>
              </c:numCache>
            </c:numRef>
          </c:val>
          <c:extLst>
            <c:ext xmlns:c16="http://schemas.microsoft.com/office/drawing/2014/chart" uri="{C3380CC4-5D6E-409C-BE32-E72D297353CC}">
              <c16:uniqueId val="{00000000-CFA6-40CE-BE03-015E866948CB}"/>
            </c:ext>
          </c:extLst>
        </c:ser>
        <c:ser>
          <c:idx val="1"/>
          <c:order val="1"/>
          <c:tx>
            <c:strRef>
              <c:f>'Dem, Sem, 2025'!$AD$35</c:f>
              <c:strCache>
                <c:ptCount val="1"/>
                <c:pt idx="0">
                  <c:v>Dushk dhe Gështenjë</c:v>
                </c:pt>
              </c:strCache>
            </c:strRef>
          </c:tx>
          <c:spPr>
            <a:solidFill>
              <a:schemeClr val="accent4">
                <a:lumMod val="50000"/>
              </a:schemeClr>
            </a:solidFill>
            <a:ln>
              <a:noFill/>
            </a:ln>
            <a:effectLst/>
          </c:spPr>
          <c:invertIfNegative val="0"/>
          <c:cat>
            <c:multiLvlStrRef>
              <c:f>'Dem, Sem, 2025'!$AE$32:$AH$33</c:f>
              <c:multiLvlStrCache>
                <c:ptCount val="4"/>
                <c:lvl>
                  <c:pt idx="0">
                    <c:v>0-10%</c:v>
                  </c:pt>
                  <c:pt idx="1">
                    <c:v>11-25%</c:v>
                  </c:pt>
                  <c:pt idx="2">
                    <c:v>26-60%</c:v>
                  </c:pt>
                  <c:pt idx="3">
                    <c:v>61-100%</c:v>
                  </c:pt>
                </c:lvl>
                <c:lvl>
                  <c:pt idx="0">
                    <c:v>Klasat e vlerësimit në përqindje </c:v>
                  </c:pt>
                </c:lvl>
              </c:multiLvlStrCache>
            </c:multiLvlStrRef>
          </c:cat>
          <c:val>
            <c:numRef>
              <c:f>'Dem, Sem, 2025'!$AE$35:$AH$35</c:f>
              <c:numCache>
                <c:formatCode>0.00%</c:formatCode>
                <c:ptCount val="4"/>
                <c:pt idx="0">
                  <c:v>0.32140000000000002</c:v>
                </c:pt>
                <c:pt idx="1">
                  <c:v>0.32540000000000002</c:v>
                </c:pt>
                <c:pt idx="2">
                  <c:v>0.21779999999999999</c:v>
                </c:pt>
                <c:pt idx="3">
                  <c:v>0.13539999999999999</c:v>
                </c:pt>
              </c:numCache>
            </c:numRef>
          </c:val>
          <c:extLst>
            <c:ext xmlns:c16="http://schemas.microsoft.com/office/drawing/2014/chart" uri="{C3380CC4-5D6E-409C-BE32-E72D297353CC}">
              <c16:uniqueId val="{00000001-CFA6-40CE-BE03-015E866948CB}"/>
            </c:ext>
          </c:extLst>
        </c:ser>
        <c:ser>
          <c:idx val="2"/>
          <c:order val="2"/>
          <c:tx>
            <c:strRef>
              <c:f>'Dem, Sem, 2025'!$AD$36</c:f>
              <c:strCache>
                <c:ptCount val="1"/>
                <c:pt idx="0">
                  <c:v>Fletorë të tjerë</c:v>
                </c:pt>
              </c:strCache>
            </c:strRef>
          </c:tx>
          <c:spPr>
            <a:solidFill>
              <a:srgbClr val="00B0F0"/>
            </a:solidFill>
            <a:ln>
              <a:noFill/>
            </a:ln>
            <a:effectLst/>
          </c:spPr>
          <c:invertIfNegative val="0"/>
          <c:cat>
            <c:multiLvlStrRef>
              <c:f>'Dem, Sem, 2025'!$AE$32:$AH$33</c:f>
              <c:multiLvlStrCache>
                <c:ptCount val="4"/>
                <c:lvl>
                  <c:pt idx="0">
                    <c:v>0-10%</c:v>
                  </c:pt>
                  <c:pt idx="1">
                    <c:v>11-25%</c:v>
                  </c:pt>
                  <c:pt idx="2">
                    <c:v>26-60%</c:v>
                  </c:pt>
                  <c:pt idx="3">
                    <c:v>61-100%</c:v>
                  </c:pt>
                </c:lvl>
                <c:lvl>
                  <c:pt idx="0">
                    <c:v>Klasat e vlerësimit në përqindje </c:v>
                  </c:pt>
                </c:lvl>
              </c:multiLvlStrCache>
            </c:multiLvlStrRef>
          </c:cat>
          <c:val>
            <c:numRef>
              <c:f>'Dem, Sem, 2025'!$AE$36:$AH$36</c:f>
              <c:numCache>
                <c:formatCode>0.00%</c:formatCode>
                <c:ptCount val="4"/>
                <c:pt idx="0">
                  <c:v>0.29189999999999999</c:v>
                </c:pt>
                <c:pt idx="1">
                  <c:v>0.34610000000000002</c:v>
                </c:pt>
                <c:pt idx="2">
                  <c:v>0.25290000000000001</c:v>
                </c:pt>
                <c:pt idx="3">
                  <c:v>0.1191</c:v>
                </c:pt>
              </c:numCache>
            </c:numRef>
          </c:val>
          <c:extLst>
            <c:ext xmlns:c16="http://schemas.microsoft.com/office/drawing/2014/chart" uri="{C3380CC4-5D6E-409C-BE32-E72D297353CC}">
              <c16:uniqueId val="{00000002-CFA6-40CE-BE03-015E866948CB}"/>
            </c:ext>
          </c:extLst>
        </c:ser>
        <c:dLbls>
          <c:showLegendKey val="0"/>
          <c:showVal val="0"/>
          <c:showCatName val="0"/>
          <c:showSerName val="0"/>
          <c:showPercent val="0"/>
          <c:showBubbleSize val="0"/>
        </c:dLbls>
        <c:gapWidth val="219"/>
        <c:overlap val="-27"/>
        <c:axId val="453111808"/>
        <c:axId val="453113344"/>
      </c:barChart>
      <c:catAx>
        <c:axId val="453111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53113344"/>
        <c:crosses val="autoZero"/>
        <c:auto val="1"/>
        <c:lblAlgn val="ctr"/>
        <c:lblOffset val="100"/>
        <c:noMultiLvlLbl val="0"/>
      </c:catAx>
      <c:valAx>
        <c:axId val="453113344"/>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 e Prekjes</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53111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200">
                <a:latin typeface="Times New Roman" pitchFamily="18" charset="0"/>
                <a:cs typeface="Times New Roman" pitchFamily="18" charset="0"/>
              </a:rPr>
              <a:t>Mbetjet</a:t>
            </a:r>
            <a:r>
              <a:rPr lang="en-GB" sz="1200" baseline="0">
                <a:latin typeface="Times New Roman" pitchFamily="18" charset="0"/>
                <a:cs typeface="Times New Roman" pitchFamily="18" charset="0"/>
              </a:rPr>
              <a:t> urbane ne vite 2020-2025</a:t>
            </a:r>
            <a:endParaRPr lang="en-GB" sz="1200">
              <a:latin typeface="Times New Roman" pitchFamily="18" charset="0"/>
              <a:cs typeface="Times New Roman" pitchFamily="18" charset="0"/>
            </a:endParaRPr>
          </a:p>
        </c:rich>
      </c:tx>
      <c:overlay val="0"/>
      <c:spPr>
        <a:noFill/>
        <a:ln>
          <a:noFill/>
        </a:ln>
        <a:effectLst/>
      </c:spPr>
    </c:title>
    <c:autoTitleDeleted val="0"/>
    <c:plotArea>
      <c:layout/>
      <c:lineChart>
        <c:grouping val="standard"/>
        <c:varyColors val="0"/>
        <c:ser>
          <c:idx val="0"/>
          <c:order val="0"/>
          <c:tx>
            <c:strRef>
              <c:f>'Te dhena ne vite'!$E$14</c:f>
              <c:strCache>
                <c:ptCount val="1"/>
                <c:pt idx="0">
                  <c:v>Viti</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'Te dhena ne vite'!$E$15:$E$20</c:f>
              <c:numCache>
                <c:formatCode>General</c:formatCode>
                <c:ptCount val="6"/>
                <c:pt idx="0">
                  <c:v>2020</c:v>
                </c:pt>
                <c:pt idx="1">
                  <c:v>2021</c:v>
                </c:pt>
                <c:pt idx="2">
                  <c:v>2022</c:v>
                </c:pt>
                <c:pt idx="3">
                  <c:v>2023</c:v>
                </c:pt>
                <c:pt idx="4">
                  <c:v>2024</c:v>
                </c:pt>
                <c:pt idx="5">
                  <c:v>2025</c:v>
                </c:pt>
              </c:numCache>
            </c:numRef>
          </c:val>
          <c:smooth val="0"/>
          <c:extLst>
            <c:ext xmlns:c16="http://schemas.microsoft.com/office/drawing/2014/chart" uri="{C3380CC4-5D6E-409C-BE32-E72D297353CC}">
              <c16:uniqueId val="{00000000-08C8-4045-938B-BB44FBEC62A2}"/>
            </c:ext>
          </c:extLst>
        </c:ser>
        <c:ser>
          <c:idx val="1"/>
          <c:order val="1"/>
          <c:tx>
            <c:strRef>
              <c:f>'Te dhena ne vite'!$F$14</c:f>
              <c:strCache>
                <c:ptCount val="1"/>
                <c:pt idx="0">
                  <c:v>Mbetjet urbane te menaxhuara (ton)</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'Te dhena ne vite'!$F$15:$F$20</c:f>
              <c:numCache>
                <c:formatCode>#,##0</c:formatCode>
                <c:ptCount val="6"/>
                <c:pt idx="0">
                  <c:v>1170000</c:v>
                </c:pt>
                <c:pt idx="1">
                  <c:v>875105</c:v>
                </c:pt>
                <c:pt idx="2">
                  <c:v>820322</c:v>
                </c:pt>
                <c:pt idx="3">
                  <c:v>844157</c:v>
                </c:pt>
                <c:pt idx="4">
                  <c:v>870883</c:v>
                </c:pt>
                <c:pt idx="5">
                  <c:v>846971</c:v>
                </c:pt>
              </c:numCache>
            </c:numRef>
          </c:val>
          <c:smooth val="0"/>
          <c:extLst>
            <c:ext xmlns:c16="http://schemas.microsoft.com/office/drawing/2014/chart" uri="{C3380CC4-5D6E-409C-BE32-E72D297353CC}">
              <c16:uniqueId val="{00000001-08C8-4045-938B-BB44FBEC62A2}"/>
            </c:ext>
          </c:extLst>
        </c:ser>
        <c:dLbls>
          <c:dLblPos val="ctr"/>
          <c:showLegendKey val="0"/>
          <c:showVal val="1"/>
          <c:showCatName val="0"/>
          <c:showSerName val="0"/>
          <c:showPercent val="0"/>
          <c:showBubbleSize val="0"/>
        </c:dLbls>
        <c:marker val="1"/>
        <c:smooth val="0"/>
        <c:axId val="454907392"/>
        <c:axId val="454908928"/>
      </c:lineChart>
      <c:catAx>
        <c:axId val="454907392"/>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54908928"/>
        <c:crosses val="autoZero"/>
        <c:auto val="1"/>
        <c:lblAlgn val="ctr"/>
        <c:lblOffset val="100"/>
        <c:noMultiLvlLbl val="0"/>
      </c:catAx>
      <c:valAx>
        <c:axId val="45490892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5490739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Fier,</a:t>
            </a:r>
            <a:r>
              <a:rPr lang="sq-AL"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 </a:t>
            </a: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Niveli i Zhurmave 2025 LAeq/Natën dB(A)</a:t>
            </a:r>
          </a:p>
        </c:rich>
      </c:tx>
      <c:overlay val="0"/>
      <c:spPr>
        <a:noFill/>
        <a:ln>
          <a:noFill/>
        </a:ln>
        <a:effectLst/>
      </c:spPr>
    </c:title>
    <c:autoTitleDeleted val="0"/>
    <c:plotArea>
      <c:layout/>
      <c:barChart>
        <c:barDir val="col"/>
        <c:grouping val="clustered"/>
        <c:varyColors val="0"/>
        <c:ser>
          <c:idx val="0"/>
          <c:order val="0"/>
          <c:tx>
            <c:strRef>
              <c:f>'Zhurmat Fier 2025'!$L$2</c:f>
              <c:strCache>
                <c:ptCount val="1"/>
                <c:pt idx="0">
                  <c:v>LAeq/Naten dB(A) </c:v>
                </c:pt>
              </c:strCache>
            </c:strRef>
          </c:tx>
          <c:spPr>
            <a:solidFill>
              <a:srgbClr val="00B050"/>
            </a:solidFill>
            <a:ln>
              <a:noFill/>
            </a:ln>
            <a:effectLst/>
          </c:spPr>
          <c:invertIfNegative val="0"/>
          <c:cat>
            <c:strRef>
              <c:f>'Zhurmat Fier 2025'!$K$3:$K$6</c:f>
              <c:strCache>
                <c:ptCount val="4"/>
                <c:pt idx="0">
                  <c:v>Kryqezimi i Hyrjes ne Qytet</c:v>
                </c:pt>
                <c:pt idx="1">
                  <c:v>Tregu (Banka)</c:v>
                </c:pt>
                <c:pt idx="2">
                  <c:v>Prefektura</c:v>
                </c:pt>
                <c:pt idx="3">
                  <c:v>Kryqezimi per ne Vlore</c:v>
                </c:pt>
              </c:strCache>
            </c:strRef>
          </c:cat>
          <c:val>
            <c:numRef>
              <c:f>'Zhurmat Fier 2025'!$L$3:$L$6</c:f>
              <c:numCache>
                <c:formatCode>General</c:formatCode>
                <c:ptCount val="4"/>
                <c:pt idx="0">
                  <c:v>51.02</c:v>
                </c:pt>
                <c:pt idx="1">
                  <c:v>49.8</c:v>
                </c:pt>
                <c:pt idx="2">
                  <c:v>54.65</c:v>
                </c:pt>
                <c:pt idx="3">
                  <c:v>54.33</c:v>
                </c:pt>
              </c:numCache>
            </c:numRef>
          </c:val>
          <c:extLst>
            <c:ext xmlns:c16="http://schemas.microsoft.com/office/drawing/2014/chart" uri="{C3380CC4-5D6E-409C-BE32-E72D297353CC}">
              <c16:uniqueId val="{00000000-F9A3-4513-B3D7-87CBF0C2D880}"/>
            </c:ext>
          </c:extLst>
        </c:ser>
        <c:dLbls>
          <c:showLegendKey val="0"/>
          <c:showVal val="0"/>
          <c:showCatName val="0"/>
          <c:showSerName val="0"/>
          <c:showPercent val="0"/>
          <c:showBubbleSize val="0"/>
        </c:dLbls>
        <c:gapWidth val="219"/>
        <c:overlap val="-27"/>
        <c:axId val="249373056"/>
        <c:axId val="249374592"/>
      </c:barChart>
      <c:lineChart>
        <c:grouping val="standard"/>
        <c:varyColors val="0"/>
        <c:ser>
          <c:idx val="1"/>
          <c:order val="1"/>
          <c:tx>
            <c:strRef>
              <c:f>'Zhurmat Fier 2025'!$M$2</c:f>
              <c:strCache>
                <c:ptCount val="1"/>
                <c:pt idx="0">
                  <c:v>Norma e OBSH </c:v>
                </c:pt>
              </c:strCache>
            </c:strRef>
          </c:tx>
          <c:spPr>
            <a:ln w="28575" cap="rnd">
              <a:solidFill>
                <a:schemeClr val="accent2"/>
              </a:solidFill>
              <a:round/>
            </a:ln>
            <a:effectLst/>
          </c:spPr>
          <c:marker>
            <c:symbol val="none"/>
          </c:marker>
          <c:cat>
            <c:strRef>
              <c:f>'Zhurmat Fier 2025'!$K$3:$K$6</c:f>
              <c:strCache>
                <c:ptCount val="4"/>
                <c:pt idx="0">
                  <c:v>Kryqezimi i Hyrjes ne Qytet</c:v>
                </c:pt>
                <c:pt idx="1">
                  <c:v>Tregu (Banka)</c:v>
                </c:pt>
                <c:pt idx="2">
                  <c:v>Prefektura</c:v>
                </c:pt>
                <c:pt idx="3">
                  <c:v>Kryqezimi per ne Vlore</c:v>
                </c:pt>
              </c:strCache>
            </c:strRef>
          </c:cat>
          <c:val>
            <c:numRef>
              <c:f>'Zhurmat Fier 2025'!$M$3:$M$6</c:f>
              <c:numCache>
                <c:formatCode>General</c:formatCode>
                <c:ptCount val="4"/>
                <c:pt idx="0">
                  <c:v>45</c:v>
                </c:pt>
                <c:pt idx="1">
                  <c:v>45</c:v>
                </c:pt>
                <c:pt idx="2">
                  <c:v>45</c:v>
                </c:pt>
                <c:pt idx="3">
                  <c:v>45</c:v>
                </c:pt>
              </c:numCache>
            </c:numRef>
          </c:val>
          <c:smooth val="0"/>
          <c:extLst>
            <c:ext xmlns:c16="http://schemas.microsoft.com/office/drawing/2014/chart" uri="{C3380CC4-5D6E-409C-BE32-E72D297353CC}">
              <c16:uniqueId val="{00000001-F9A3-4513-B3D7-87CBF0C2D880}"/>
            </c:ext>
          </c:extLst>
        </c:ser>
        <c:dLbls>
          <c:showLegendKey val="0"/>
          <c:showVal val="0"/>
          <c:showCatName val="0"/>
          <c:showSerName val="0"/>
          <c:showPercent val="0"/>
          <c:showBubbleSize val="0"/>
        </c:dLbls>
        <c:marker val="1"/>
        <c:smooth val="0"/>
        <c:axId val="249373056"/>
        <c:axId val="249374592"/>
      </c:lineChart>
      <c:catAx>
        <c:axId val="24937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9374592"/>
        <c:crosses val="autoZero"/>
        <c:auto val="1"/>
        <c:lblAlgn val="ctr"/>
        <c:lblOffset val="100"/>
        <c:noMultiLvlLbl val="0"/>
      </c:catAx>
      <c:valAx>
        <c:axId val="249374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9373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Korçë,</a:t>
            </a:r>
            <a:r>
              <a:rPr lang="sq-AL" sz="1200" b="1">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Niveli i Zhurmave 2025 LAeq/Ditën dB(A)</a:t>
            </a:r>
          </a:p>
        </c:rich>
      </c:tx>
      <c:overlay val="0"/>
      <c:spPr>
        <a:noFill/>
        <a:ln>
          <a:noFill/>
        </a:ln>
        <a:effectLst/>
      </c:spPr>
    </c:title>
    <c:autoTitleDeleted val="0"/>
    <c:plotArea>
      <c:layout/>
      <c:barChart>
        <c:barDir val="col"/>
        <c:grouping val="clustered"/>
        <c:varyColors val="0"/>
        <c:ser>
          <c:idx val="0"/>
          <c:order val="0"/>
          <c:tx>
            <c:strRef>
              <c:f>'Zhurmat Korce 2025'!$B$1</c:f>
              <c:strCache>
                <c:ptCount val="1"/>
                <c:pt idx="0">
                  <c:v> LAeq/Diten dB(A) </c:v>
                </c:pt>
              </c:strCache>
            </c:strRef>
          </c:tx>
          <c:spPr>
            <a:solidFill>
              <a:srgbClr val="00B050"/>
            </a:solidFill>
            <a:ln>
              <a:noFill/>
            </a:ln>
            <a:effectLst/>
          </c:spPr>
          <c:invertIfNegative val="0"/>
          <c:cat>
            <c:strRef>
              <c:f>'Zhurmat Korce 2025'!$A$2:$A$5</c:f>
              <c:strCache>
                <c:ptCount val="4"/>
                <c:pt idx="0">
                  <c:v>Kryqezimi i Spitalit </c:v>
                </c:pt>
                <c:pt idx="1">
                  <c:v>Telekomi</c:v>
                </c:pt>
                <c:pt idx="2">
                  <c:v>Kryqezimi i Hyrjes</c:v>
                </c:pt>
                <c:pt idx="3">
                  <c:v>Tregu i Shumices</c:v>
                </c:pt>
              </c:strCache>
            </c:strRef>
          </c:cat>
          <c:val>
            <c:numRef>
              <c:f>'Zhurmat Korce 2025'!$B$2:$B$5</c:f>
              <c:numCache>
                <c:formatCode>General</c:formatCode>
                <c:ptCount val="4"/>
                <c:pt idx="0">
                  <c:v>59.06</c:v>
                </c:pt>
                <c:pt idx="1">
                  <c:v>59.56</c:v>
                </c:pt>
                <c:pt idx="2">
                  <c:v>62.37</c:v>
                </c:pt>
                <c:pt idx="3">
                  <c:v>60.09</c:v>
                </c:pt>
              </c:numCache>
            </c:numRef>
          </c:val>
          <c:extLst>
            <c:ext xmlns:c16="http://schemas.microsoft.com/office/drawing/2014/chart" uri="{C3380CC4-5D6E-409C-BE32-E72D297353CC}">
              <c16:uniqueId val="{00000000-6C6D-414F-8BD4-582B6258CFD3}"/>
            </c:ext>
          </c:extLst>
        </c:ser>
        <c:dLbls>
          <c:showLegendKey val="0"/>
          <c:showVal val="0"/>
          <c:showCatName val="0"/>
          <c:showSerName val="0"/>
          <c:showPercent val="0"/>
          <c:showBubbleSize val="0"/>
        </c:dLbls>
        <c:gapWidth val="219"/>
        <c:overlap val="-27"/>
        <c:axId val="251744256"/>
        <c:axId val="251745792"/>
      </c:barChart>
      <c:lineChart>
        <c:grouping val="standard"/>
        <c:varyColors val="0"/>
        <c:ser>
          <c:idx val="1"/>
          <c:order val="1"/>
          <c:tx>
            <c:strRef>
              <c:f>'Zhurmat Korce 2025'!$C$1</c:f>
              <c:strCache>
                <c:ptCount val="1"/>
                <c:pt idx="0">
                  <c:v>Norma e OBSH </c:v>
                </c:pt>
              </c:strCache>
            </c:strRef>
          </c:tx>
          <c:spPr>
            <a:ln w="28575" cap="rnd">
              <a:solidFill>
                <a:schemeClr val="accent2"/>
              </a:solidFill>
              <a:round/>
            </a:ln>
            <a:effectLst/>
          </c:spPr>
          <c:marker>
            <c:symbol val="none"/>
          </c:marker>
          <c:cat>
            <c:strRef>
              <c:f>'Zhurmat Korce 2025'!$A$2:$A$5</c:f>
              <c:strCache>
                <c:ptCount val="4"/>
                <c:pt idx="0">
                  <c:v>Kryqezimi i Spitalit </c:v>
                </c:pt>
                <c:pt idx="1">
                  <c:v>Telekomi</c:v>
                </c:pt>
                <c:pt idx="2">
                  <c:v>Kryqezimi i Hyrjes</c:v>
                </c:pt>
                <c:pt idx="3">
                  <c:v>Tregu i Shumices</c:v>
                </c:pt>
              </c:strCache>
            </c:strRef>
          </c:cat>
          <c:val>
            <c:numRef>
              <c:f>'Zhurmat Korce 2025'!$C$2:$C$5</c:f>
              <c:numCache>
                <c:formatCode>General</c:formatCode>
                <c:ptCount val="4"/>
                <c:pt idx="0">
                  <c:v>55</c:v>
                </c:pt>
                <c:pt idx="1">
                  <c:v>55</c:v>
                </c:pt>
                <c:pt idx="2">
                  <c:v>55</c:v>
                </c:pt>
                <c:pt idx="3">
                  <c:v>55</c:v>
                </c:pt>
              </c:numCache>
            </c:numRef>
          </c:val>
          <c:smooth val="0"/>
          <c:extLst>
            <c:ext xmlns:c16="http://schemas.microsoft.com/office/drawing/2014/chart" uri="{C3380CC4-5D6E-409C-BE32-E72D297353CC}">
              <c16:uniqueId val="{00000001-6C6D-414F-8BD4-582B6258CFD3}"/>
            </c:ext>
          </c:extLst>
        </c:ser>
        <c:dLbls>
          <c:showLegendKey val="0"/>
          <c:showVal val="0"/>
          <c:showCatName val="0"/>
          <c:showSerName val="0"/>
          <c:showPercent val="0"/>
          <c:showBubbleSize val="0"/>
        </c:dLbls>
        <c:marker val="1"/>
        <c:smooth val="0"/>
        <c:axId val="251744256"/>
        <c:axId val="251745792"/>
      </c:lineChart>
      <c:catAx>
        <c:axId val="251744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1745792"/>
        <c:crosses val="autoZero"/>
        <c:auto val="1"/>
        <c:lblAlgn val="ctr"/>
        <c:lblOffset val="100"/>
        <c:noMultiLvlLbl val="0"/>
      </c:catAx>
      <c:valAx>
        <c:axId val="2517457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1744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Korçë,</a:t>
            </a:r>
            <a:r>
              <a:rPr lang="sq-AL" sz="1200" b="1">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Niveli</a:t>
            </a:r>
            <a:r>
              <a:rPr lang="en-US" sz="1200" b="1" baseline="0">
                <a:latin typeface="Times New Roman" panose="02020603050405020304" pitchFamily="18" charset="0"/>
                <a:cs typeface="Times New Roman" panose="02020603050405020304" pitchFamily="18" charset="0"/>
              </a:rPr>
              <a:t> i Zhurmave 2025 LAeq/Natën dB(A)</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'Zhurmat Korce 2025'!$D$1</c:f>
              <c:strCache>
                <c:ptCount val="1"/>
                <c:pt idx="0">
                  <c:v>LAeq/Naten dB(A) </c:v>
                </c:pt>
              </c:strCache>
            </c:strRef>
          </c:tx>
          <c:spPr>
            <a:solidFill>
              <a:srgbClr val="00B050"/>
            </a:solidFill>
            <a:ln>
              <a:noFill/>
            </a:ln>
            <a:effectLst/>
          </c:spPr>
          <c:invertIfNegative val="0"/>
          <c:cat>
            <c:strRef>
              <c:f>'Zhurmat Korce 2025'!$A$2:$A$5</c:f>
              <c:strCache>
                <c:ptCount val="4"/>
                <c:pt idx="0">
                  <c:v>Kryqezimi i Spitalit </c:v>
                </c:pt>
                <c:pt idx="1">
                  <c:v>Telekomi</c:v>
                </c:pt>
                <c:pt idx="2">
                  <c:v>Kryqezimi i Hyrjes</c:v>
                </c:pt>
                <c:pt idx="3">
                  <c:v>Tregu i Shumices</c:v>
                </c:pt>
              </c:strCache>
            </c:strRef>
          </c:cat>
          <c:val>
            <c:numRef>
              <c:f>'Zhurmat Korce 2025'!$D$2:$D$5</c:f>
              <c:numCache>
                <c:formatCode>General</c:formatCode>
                <c:ptCount val="4"/>
                <c:pt idx="0">
                  <c:v>49.07</c:v>
                </c:pt>
                <c:pt idx="1">
                  <c:v>47.19</c:v>
                </c:pt>
                <c:pt idx="2">
                  <c:v>51.21</c:v>
                </c:pt>
                <c:pt idx="3">
                  <c:v>48.15</c:v>
                </c:pt>
              </c:numCache>
            </c:numRef>
          </c:val>
          <c:extLst>
            <c:ext xmlns:c16="http://schemas.microsoft.com/office/drawing/2014/chart" uri="{C3380CC4-5D6E-409C-BE32-E72D297353CC}">
              <c16:uniqueId val="{00000000-7B5A-42C6-8AE4-042CFD5730DD}"/>
            </c:ext>
          </c:extLst>
        </c:ser>
        <c:dLbls>
          <c:showLegendKey val="0"/>
          <c:showVal val="0"/>
          <c:showCatName val="0"/>
          <c:showSerName val="0"/>
          <c:showPercent val="0"/>
          <c:showBubbleSize val="0"/>
        </c:dLbls>
        <c:gapWidth val="219"/>
        <c:overlap val="-27"/>
        <c:axId val="251751808"/>
        <c:axId val="251946112"/>
      </c:barChart>
      <c:lineChart>
        <c:grouping val="standard"/>
        <c:varyColors val="0"/>
        <c:ser>
          <c:idx val="1"/>
          <c:order val="1"/>
          <c:tx>
            <c:strRef>
              <c:f>'Zhurmat Korce 2025'!$E$1</c:f>
              <c:strCache>
                <c:ptCount val="1"/>
                <c:pt idx="0">
                  <c:v>Norma e OBSH </c:v>
                </c:pt>
              </c:strCache>
            </c:strRef>
          </c:tx>
          <c:spPr>
            <a:ln w="28575" cap="rnd">
              <a:solidFill>
                <a:schemeClr val="accent2"/>
              </a:solidFill>
              <a:round/>
            </a:ln>
            <a:effectLst/>
          </c:spPr>
          <c:marker>
            <c:symbol val="none"/>
          </c:marker>
          <c:cat>
            <c:strRef>
              <c:f>'Zhurmat Korce 2025'!$A$2:$A$5</c:f>
              <c:strCache>
                <c:ptCount val="4"/>
                <c:pt idx="0">
                  <c:v>Kryqezimi i Spitalit </c:v>
                </c:pt>
                <c:pt idx="1">
                  <c:v>Telekomi</c:v>
                </c:pt>
                <c:pt idx="2">
                  <c:v>Kryqezimi i Hyrjes</c:v>
                </c:pt>
                <c:pt idx="3">
                  <c:v>Tregu i Shumices</c:v>
                </c:pt>
              </c:strCache>
            </c:strRef>
          </c:cat>
          <c:val>
            <c:numRef>
              <c:f>'Zhurmat Korce 2025'!$E$2:$E$5</c:f>
              <c:numCache>
                <c:formatCode>General</c:formatCode>
                <c:ptCount val="4"/>
                <c:pt idx="0">
                  <c:v>45</c:v>
                </c:pt>
                <c:pt idx="1">
                  <c:v>45</c:v>
                </c:pt>
                <c:pt idx="2">
                  <c:v>45</c:v>
                </c:pt>
                <c:pt idx="3">
                  <c:v>45</c:v>
                </c:pt>
              </c:numCache>
            </c:numRef>
          </c:val>
          <c:smooth val="0"/>
          <c:extLst>
            <c:ext xmlns:c16="http://schemas.microsoft.com/office/drawing/2014/chart" uri="{C3380CC4-5D6E-409C-BE32-E72D297353CC}">
              <c16:uniqueId val="{00000001-7B5A-42C6-8AE4-042CFD5730DD}"/>
            </c:ext>
          </c:extLst>
        </c:ser>
        <c:dLbls>
          <c:showLegendKey val="0"/>
          <c:showVal val="0"/>
          <c:showCatName val="0"/>
          <c:showSerName val="0"/>
          <c:showPercent val="0"/>
          <c:showBubbleSize val="0"/>
        </c:dLbls>
        <c:marker val="1"/>
        <c:smooth val="0"/>
        <c:axId val="251751808"/>
        <c:axId val="251946112"/>
      </c:lineChart>
      <c:catAx>
        <c:axId val="251751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1946112"/>
        <c:crosses val="autoZero"/>
        <c:auto val="1"/>
        <c:lblAlgn val="ctr"/>
        <c:lblOffset val="100"/>
        <c:noMultiLvlLbl val="0"/>
      </c:catAx>
      <c:valAx>
        <c:axId val="2519461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1751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Tiranë,</a:t>
            </a:r>
            <a:r>
              <a:rPr lang="sq-AL" sz="1200" b="1">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Niveli</a:t>
            </a:r>
            <a:r>
              <a:rPr lang="en-US" sz="1200" b="1" baseline="0">
                <a:latin typeface="Times New Roman" panose="02020603050405020304" pitchFamily="18" charset="0"/>
                <a:cs typeface="Times New Roman" panose="02020603050405020304" pitchFamily="18" charset="0"/>
              </a:rPr>
              <a:t> i Zhurmave 2025 LAeq/Ditën dB(A)</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'Zhurmat Tirane 2025'!$B$1</c:f>
              <c:strCache>
                <c:ptCount val="1"/>
                <c:pt idx="0">
                  <c:v> LAeq/Diten dB(A) </c:v>
                </c:pt>
              </c:strCache>
            </c:strRef>
          </c:tx>
          <c:spPr>
            <a:solidFill>
              <a:srgbClr val="00B050"/>
            </a:solidFill>
            <a:ln>
              <a:noFill/>
            </a:ln>
            <a:effectLst/>
          </c:spPr>
          <c:invertIfNegative val="0"/>
          <c:cat>
            <c:strRef>
              <c:f>'Zhurmat Tirane 2025'!$A$2:$A$16</c:f>
              <c:strCache>
                <c:ptCount val="15"/>
                <c:pt idx="0">
                  <c:v>Shkolla e Bashkuar</c:v>
                </c:pt>
                <c:pt idx="1">
                  <c:v>Rruga e Elbasanit</c:v>
                </c:pt>
                <c:pt idx="2">
                  <c:v>Kryqezimi "Vasil Shanto"</c:v>
                </c:pt>
                <c:pt idx="3">
                  <c:v>Farmacia 10</c:v>
                </c:pt>
                <c:pt idx="4">
                  <c:v>Stacioni i Trenit</c:v>
                </c:pt>
                <c:pt idx="5">
                  <c:v>Kryqezimi 21 Dhjetorit</c:v>
                </c:pt>
                <c:pt idx="6">
                  <c:v>Partizani Panjohur</c:v>
                </c:pt>
                <c:pt idx="7">
                  <c:v>Pallati I Kongreseve</c:v>
                </c:pt>
                <c:pt idx="8">
                  <c:v>Ish Banka Amerikane (Ish Blloku)</c:v>
                </c:pt>
                <c:pt idx="9">
                  <c:v>Skenderbeu</c:v>
                </c:pt>
                <c:pt idx="10">
                  <c:v>Selvia</c:v>
                </c:pt>
                <c:pt idx="11">
                  <c:v>Lapraka</c:v>
                </c:pt>
                <c:pt idx="12">
                  <c:v>Drejtoria e Policise</c:v>
                </c:pt>
                <c:pt idx="13">
                  <c:v>Shkolla "Edit Durham"</c:v>
                </c:pt>
                <c:pt idx="14">
                  <c:v>Stadiumi Dinamo</c:v>
                </c:pt>
              </c:strCache>
            </c:strRef>
          </c:cat>
          <c:val>
            <c:numRef>
              <c:f>'Zhurmat Tirane 2025'!$B$2:$B$16</c:f>
              <c:numCache>
                <c:formatCode>General</c:formatCode>
                <c:ptCount val="15"/>
                <c:pt idx="0">
                  <c:v>61.78</c:v>
                </c:pt>
                <c:pt idx="1">
                  <c:v>63.16</c:v>
                </c:pt>
                <c:pt idx="2">
                  <c:v>63.08</c:v>
                </c:pt>
                <c:pt idx="3">
                  <c:v>64.73</c:v>
                </c:pt>
                <c:pt idx="4">
                  <c:v>64.36</c:v>
                </c:pt>
                <c:pt idx="5">
                  <c:v>63.69</c:v>
                </c:pt>
                <c:pt idx="6">
                  <c:v>63.28</c:v>
                </c:pt>
                <c:pt idx="7">
                  <c:v>61.96</c:v>
                </c:pt>
                <c:pt idx="8">
                  <c:v>62.04</c:v>
                </c:pt>
                <c:pt idx="9">
                  <c:v>62.41</c:v>
                </c:pt>
                <c:pt idx="10">
                  <c:v>60.31</c:v>
                </c:pt>
                <c:pt idx="11">
                  <c:v>64.260000000000005</c:v>
                </c:pt>
                <c:pt idx="12">
                  <c:v>63.7</c:v>
                </c:pt>
                <c:pt idx="13">
                  <c:v>63.62</c:v>
                </c:pt>
                <c:pt idx="14">
                  <c:v>61.66</c:v>
                </c:pt>
              </c:numCache>
            </c:numRef>
          </c:val>
          <c:extLst>
            <c:ext xmlns:c16="http://schemas.microsoft.com/office/drawing/2014/chart" uri="{C3380CC4-5D6E-409C-BE32-E72D297353CC}">
              <c16:uniqueId val="{00000000-38CB-482D-BFC4-C96DA039AC39}"/>
            </c:ext>
          </c:extLst>
        </c:ser>
        <c:dLbls>
          <c:showLegendKey val="0"/>
          <c:showVal val="0"/>
          <c:showCatName val="0"/>
          <c:showSerName val="0"/>
          <c:showPercent val="0"/>
          <c:showBubbleSize val="0"/>
        </c:dLbls>
        <c:gapWidth val="150"/>
        <c:axId val="252369536"/>
        <c:axId val="252531072"/>
      </c:barChart>
      <c:lineChart>
        <c:grouping val="standard"/>
        <c:varyColors val="0"/>
        <c:ser>
          <c:idx val="1"/>
          <c:order val="1"/>
          <c:tx>
            <c:strRef>
              <c:f>'Zhurmat Tirane 2025'!$C$1</c:f>
              <c:strCache>
                <c:ptCount val="1"/>
                <c:pt idx="0">
                  <c:v>Norma e OBSH </c:v>
                </c:pt>
              </c:strCache>
            </c:strRef>
          </c:tx>
          <c:spPr>
            <a:ln w="28575" cap="rnd">
              <a:solidFill>
                <a:schemeClr val="accent2"/>
              </a:solidFill>
              <a:round/>
            </a:ln>
            <a:effectLst/>
          </c:spPr>
          <c:marker>
            <c:symbol val="none"/>
          </c:marker>
          <c:cat>
            <c:strRef>
              <c:f>'Zhurmat Tirane 2025'!$A$2:$A$16</c:f>
              <c:strCache>
                <c:ptCount val="15"/>
                <c:pt idx="0">
                  <c:v>Shkolla e Bashkuar</c:v>
                </c:pt>
                <c:pt idx="1">
                  <c:v>Rruga e Elbasanit</c:v>
                </c:pt>
                <c:pt idx="2">
                  <c:v>Kryqezimi "Vasil Shanto"</c:v>
                </c:pt>
                <c:pt idx="3">
                  <c:v>Farmacia 10</c:v>
                </c:pt>
                <c:pt idx="4">
                  <c:v>Stacioni i Trenit</c:v>
                </c:pt>
                <c:pt idx="5">
                  <c:v>Kryqezimi 21 Dhjetorit</c:v>
                </c:pt>
                <c:pt idx="6">
                  <c:v>Partizani Panjohur</c:v>
                </c:pt>
                <c:pt idx="7">
                  <c:v>Pallati I Kongreseve</c:v>
                </c:pt>
                <c:pt idx="8">
                  <c:v>Ish Banka Amerikane (Ish Blloku)</c:v>
                </c:pt>
                <c:pt idx="9">
                  <c:v>Skenderbeu</c:v>
                </c:pt>
                <c:pt idx="10">
                  <c:v>Selvia</c:v>
                </c:pt>
                <c:pt idx="11">
                  <c:v>Lapraka</c:v>
                </c:pt>
                <c:pt idx="12">
                  <c:v>Drejtoria e Policise</c:v>
                </c:pt>
                <c:pt idx="13">
                  <c:v>Shkolla "Edit Durham"</c:v>
                </c:pt>
                <c:pt idx="14">
                  <c:v>Stadiumi Dinamo</c:v>
                </c:pt>
              </c:strCache>
            </c:strRef>
          </c:cat>
          <c:val>
            <c:numRef>
              <c:f>'Zhurmat Tirane 2025'!$C$2:$C$16</c:f>
              <c:numCache>
                <c:formatCode>General</c:formatCode>
                <c:ptCount val="15"/>
                <c:pt idx="0">
                  <c:v>55</c:v>
                </c:pt>
                <c:pt idx="1">
                  <c:v>55</c:v>
                </c:pt>
                <c:pt idx="2">
                  <c:v>55</c:v>
                </c:pt>
                <c:pt idx="3">
                  <c:v>55</c:v>
                </c:pt>
                <c:pt idx="4">
                  <c:v>55</c:v>
                </c:pt>
                <c:pt idx="5">
                  <c:v>55</c:v>
                </c:pt>
                <c:pt idx="6">
                  <c:v>55</c:v>
                </c:pt>
                <c:pt idx="7">
                  <c:v>55</c:v>
                </c:pt>
                <c:pt idx="8">
                  <c:v>55</c:v>
                </c:pt>
                <c:pt idx="9">
                  <c:v>55</c:v>
                </c:pt>
                <c:pt idx="10">
                  <c:v>55</c:v>
                </c:pt>
                <c:pt idx="11">
                  <c:v>55</c:v>
                </c:pt>
                <c:pt idx="12">
                  <c:v>55</c:v>
                </c:pt>
                <c:pt idx="13">
                  <c:v>55</c:v>
                </c:pt>
                <c:pt idx="14">
                  <c:v>55</c:v>
                </c:pt>
              </c:numCache>
            </c:numRef>
          </c:val>
          <c:smooth val="0"/>
          <c:extLst>
            <c:ext xmlns:c16="http://schemas.microsoft.com/office/drawing/2014/chart" uri="{C3380CC4-5D6E-409C-BE32-E72D297353CC}">
              <c16:uniqueId val="{00000001-38CB-482D-BFC4-C96DA039AC39}"/>
            </c:ext>
          </c:extLst>
        </c:ser>
        <c:dLbls>
          <c:showLegendKey val="0"/>
          <c:showVal val="0"/>
          <c:showCatName val="0"/>
          <c:showSerName val="0"/>
          <c:showPercent val="0"/>
          <c:showBubbleSize val="0"/>
        </c:dLbls>
        <c:marker val="1"/>
        <c:smooth val="0"/>
        <c:axId val="252369536"/>
        <c:axId val="252531072"/>
      </c:lineChart>
      <c:catAx>
        <c:axId val="25236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531072"/>
        <c:crosses val="autoZero"/>
        <c:auto val="1"/>
        <c:lblAlgn val="ctr"/>
        <c:lblOffset val="100"/>
        <c:noMultiLvlLbl val="0"/>
      </c:catAx>
      <c:valAx>
        <c:axId val="2525310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369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a:latin typeface="Times New Roman" panose="02020603050405020304" pitchFamily="18" charset="0"/>
                <a:cs typeface="Times New Roman" panose="02020603050405020304" pitchFamily="18" charset="0"/>
              </a:rPr>
              <a:t>Tiranë,</a:t>
            </a:r>
            <a:r>
              <a:rPr lang="sq-AL" sz="1200" b="1" i="0">
                <a:latin typeface="Times New Roman" panose="02020603050405020304" pitchFamily="18" charset="0"/>
                <a:cs typeface="Times New Roman" panose="02020603050405020304" pitchFamily="18" charset="0"/>
              </a:rPr>
              <a:t> </a:t>
            </a:r>
            <a:r>
              <a:rPr lang="en-US" sz="1200" b="1" i="0">
                <a:latin typeface="Times New Roman" panose="02020603050405020304" pitchFamily="18" charset="0"/>
                <a:cs typeface="Times New Roman" panose="02020603050405020304" pitchFamily="18" charset="0"/>
              </a:rPr>
              <a:t>Niveli</a:t>
            </a:r>
            <a:r>
              <a:rPr lang="en-US" sz="1200" b="1" i="0" baseline="0">
                <a:latin typeface="Times New Roman" panose="02020603050405020304" pitchFamily="18" charset="0"/>
                <a:cs typeface="Times New Roman" panose="02020603050405020304" pitchFamily="18" charset="0"/>
              </a:rPr>
              <a:t> i Zhurmave 2025 LAeq/Natën</a:t>
            </a:r>
            <a:endParaRPr lang="en-US" sz="1200" b="1" i="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'Zhurmat Tirane 2025'!$D$1</c:f>
              <c:strCache>
                <c:ptCount val="1"/>
                <c:pt idx="0">
                  <c:v>LAeq/Naten dB(A) </c:v>
                </c:pt>
              </c:strCache>
            </c:strRef>
          </c:tx>
          <c:spPr>
            <a:solidFill>
              <a:srgbClr val="00B050"/>
            </a:solidFill>
            <a:ln>
              <a:noFill/>
            </a:ln>
            <a:effectLst/>
          </c:spPr>
          <c:invertIfNegative val="0"/>
          <c:cat>
            <c:strRef>
              <c:f>'Zhurmat Tirane 2025'!$A$2:$A$16</c:f>
              <c:strCache>
                <c:ptCount val="15"/>
                <c:pt idx="0">
                  <c:v>Shkolla e Bashkuar</c:v>
                </c:pt>
                <c:pt idx="1">
                  <c:v>Rruga e Elbasanit</c:v>
                </c:pt>
                <c:pt idx="2">
                  <c:v>Kryqezimi "Vasil Shanto"</c:v>
                </c:pt>
                <c:pt idx="3">
                  <c:v>Farmacia 10</c:v>
                </c:pt>
                <c:pt idx="4">
                  <c:v>Stacioni i Trenit</c:v>
                </c:pt>
                <c:pt idx="5">
                  <c:v>Kryqezimi 21 Dhjetorit</c:v>
                </c:pt>
                <c:pt idx="6">
                  <c:v>Partizani Panjohur</c:v>
                </c:pt>
                <c:pt idx="7">
                  <c:v>Pallati I Kongreseve</c:v>
                </c:pt>
                <c:pt idx="8">
                  <c:v>Ish Banka Amerikane (Ish Blloku)</c:v>
                </c:pt>
                <c:pt idx="9">
                  <c:v>Skenderbeu</c:v>
                </c:pt>
                <c:pt idx="10">
                  <c:v>Selvia</c:v>
                </c:pt>
                <c:pt idx="11">
                  <c:v>Lapraka</c:v>
                </c:pt>
                <c:pt idx="12">
                  <c:v>Drejtoria e Policise</c:v>
                </c:pt>
                <c:pt idx="13">
                  <c:v>Shkolla "Edit Durham"</c:v>
                </c:pt>
                <c:pt idx="14">
                  <c:v>Stadiumi Dinamo</c:v>
                </c:pt>
              </c:strCache>
            </c:strRef>
          </c:cat>
          <c:val>
            <c:numRef>
              <c:f>'Zhurmat Tirane 2025'!$D$2:$D$16</c:f>
              <c:numCache>
                <c:formatCode>General</c:formatCode>
                <c:ptCount val="15"/>
                <c:pt idx="0">
                  <c:v>53.86</c:v>
                </c:pt>
                <c:pt idx="1">
                  <c:v>52.74</c:v>
                </c:pt>
                <c:pt idx="2">
                  <c:v>51.02</c:v>
                </c:pt>
                <c:pt idx="3">
                  <c:v>56.23</c:v>
                </c:pt>
                <c:pt idx="4">
                  <c:v>53.44</c:v>
                </c:pt>
                <c:pt idx="5">
                  <c:v>52.02</c:v>
                </c:pt>
                <c:pt idx="6">
                  <c:v>52.89</c:v>
                </c:pt>
                <c:pt idx="7">
                  <c:v>50.1</c:v>
                </c:pt>
                <c:pt idx="8">
                  <c:v>52.07</c:v>
                </c:pt>
                <c:pt idx="9">
                  <c:v>52.67</c:v>
                </c:pt>
                <c:pt idx="10">
                  <c:v>50.1</c:v>
                </c:pt>
                <c:pt idx="11">
                  <c:v>54.25</c:v>
                </c:pt>
                <c:pt idx="12">
                  <c:v>55.43</c:v>
                </c:pt>
                <c:pt idx="13">
                  <c:v>55.46</c:v>
                </c:pt>
                <c:pt idx="14">
                  <c:v>53.75</c:v>
                </c:pt>
              </c:numCache>
            </c:numRef>
          </c:val>
          <c:extLst>
            <c:ext xmlns:c16="http://schemas.microsoft.com/office/drawing/2014/chart" uri="{C3380CC4-5D6E-409C-BE32-E72D297353CC}">
              <c16:uniqueId val="{00000000-BD3C-43DB-94CF-A01970B30009}"/>
            </c:ext>
          </c:extLst>
        </c:ser>
        <c:dLbls>
          <c:showLegendKey val="0"/>
          <c:showVal val="0"/>
          <c:showCatName val="0"/>
          <c:showSerName val="0"/>
          <c:showPercent val="0"/>
          <c:showBubbleSize val="0"/>
        </c:dLbls>
        <c:gapWidth val="219"/>
        <c:overlap val="-27"/>
        <c:axId val="253720832"/>
        <c:axId val="253775872"/>
      </c:barChart>
      <c:lineChart>
        <c:grouping val="standard"/>
        <c:varyColors val="0"/>
        <c:ser>
          <c:idx val="1"/>
          <c:order val="1"/>
          <c:tx>
            <c:strRef>
              <c:f>'Zhurmat Tirane 2025'!$E$1</c:f>
              <c:strCache>
                <c:ptCount val="1"/>
                <c:pt idx="0">
                  <c:v>Norma e OBSH </c:v>
                </c:pt>
              </c:strCache>
            </c:strRef>
          </c:tx>
          <c:spPr>
            <a:ln w="28575" cap="rnd">
              <a:solidFill>
                <a:schemeClr val="accent2"/>
              </a:solidFill>
              <a:round/>
            </a:ln>
            <a:effectLst/>
          </c:spPr>
          <c:marker>
            <c:symbol val="none"/>
          </c:marker>
          <c:cat>
            <c:strRef>
              <c:f>'Zhurmat Tirane 2025'!$A$2:$A$16</c:f>
              <c:strCache>
                <c:ptCount val="15"/>
                <c:pt idx="0">
                  <c:v>Shkolla e Bashkuar</c:v>
                </c:pt>
                <c:pt idx="1">
                  <c:v>Rruga e Elbasanit</c:v>
                </c:pt>
                <c:pt idx="2">
                  <c:v>Kryqezimi "Vasil Shanto"</c:v>
                </c:pt>
                <c:pt idx="3">
                  <c:v>Farmacia 10</c:v>
                </c:pt>
                <c:pt idx="4">
                  <c:v>Stacioni i Trenit</c:v>
                </c:pt>
                <c:pt idx="5">
                  <c:v>Kryqezimi 21 Dhjetorit</c:v>
                </c:pt>
                <c:pt idx="6">
                  <c:v>Partizani Panjohur</c:v>
                </c:pt>
                <c:pt idx="7">
                  <c:v>Pallati I Kongreseve</c:v>
                </c:pt>
                <c:pt idx="8">
                  <c:v>Ish Banka Amerikane (Ish Blloku)</c:v>
                </c:pt>
                <c:pt idx="9">
                  <c:v>Skenderbeu</c:v>
                </c:pt>
                <c:pt idx="10">
                  <c:v>Selvia</c:v>
                </c:pt>
                <c:pt idx="11">
                  <c:v>Lapraka</c:v>
                </c:pt>
                <c:pt idx="12">
                  <c:v>Drejtoria e Policise</c:v>
                </c:pt>
                <c:pt idx="13">
                  <c:v>Shkolla "Edit Durham"</c:v>
                </c:pt>
                <c:pt idx="14">
                  <c:v>Stadiumi Dinamo</c:v>
                </c:pt>
              </c:strCache>
            </c:strRef>
          </c:cat>
          <c:val>
            <c:numRef>
              <c:f>'Zhurmat Tirane 2025'!$E$2:$E$16</c:f>
              <c:numCache>
                <c:formatCode>General</c:formatCode>
                <c:ptCount val="15"/>
                <c:pt idx="0">
                  <c:v>45</c:v>
                </c:pt>
                <c:pt idx="1">
                  <c:v>45</c:v>
                </c:pt>
                <c:pt idx="2">
                  <c:v>45</c:v>
                </c:pt>
                <c:pt idx="3">
                  <c:v>45</c:v>
                </c:pt>
                <c:pt idx="4">
                  <c:v>45</c:v>
                </c:pt>
                <c:pt idx="5">
                  <c:v>45</c:v>
                </c:pt>
                <c:pt idx="6">
                  <c:v>45</c:v>
                </c:pt>
                <c:pt idx="7">
                  <c:v>45</c:v>
                </c:pt>
                <c:pt idx="8">
                  <c:v>45</c:v>
                </c:pt>
                <c:pt idx="9">
                  <c:v>45</c:v>
                </c:pt>
                <c:pt idx="10">
                  <c:v>45</c:v>
                </c:pt>
                <c:pt idx="11">
                  <c:v>45</c:v>
                </c:pt>
                <c:pt idx="12">
                  <c:v>45</c:v>
                </c:pt>
                <c:pt idx="13">
                  <c:v>45</c:v>
                </c:pt>
                <c:pt idx="14">
                  <c:v>45</c:v>
                </c:pt>
              </c:numCache>
            </c:numRef>
          </c:val>
          <c:smooth val="0"/>
          <c:extLst>
            <c:ext xmlns:c16="http://schemas.microsoft.com/office/drawing/2014/chart" uri="{C3380CC4-5D6E-409C-BE32-E72D297353CC}">
              <c16:uniqueId val="{00000001-BD3C-43DB-94CF-A01970B30009}"/>
            </c:ext>
          </c:extLst>
        </c:ser>
        <c:dLbls>
          <c:showLegendKey val="0"/>
          <c:showVal val="0"/>
          <c:showCatName val="0"/>
          <c:showSerName val="0"/>
          <c:showPercent val="0"/>
          <c:showBubbleSize val="0"/>
        </c:dLbls>
        <c:marker val="1"/>
        <c:smooth val="0"/>
        <c:axId val="253720832"/>
        <c:axId val="253775872"/>
      </c:lineChart>
      <c:catAx>
        <c:axId val="25372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3775872"/>
        <c:crosses val="autoZero"/>
        <c:auto val="1"/>
        <c:lblAlgn val="ctr"/>
        <c:lblOffset val="100"/>
        <c:noMultiLvlLbl val="0"/>
      </c:catAx>
      <c:valAx>
        <c:axId val="25377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372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Sarandë,</a:t>
            </a:r>
            <a:r>
              <a:rPr lang="sq-AL"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 </a:t>
            </a: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Niveli i Zhurmave 2025 LAeq/Ditën dB(A) </a:t>
            </a:r>
          </a:p>
        </c:rich>
      </c:tx>
      <c:overlay val="0"/>
      <c:spPr>
        <a:noFill/>
        <a:ln>
          <a:noFill/>
        </a:ln>
        <a:effectLst/>
      </c:spPr>
    </c:title>
    <c:autoTitleDeleted val="0"/>
    <c:plotArea>
      <c:layout/>
      <c:barChart>
        <c:barDir val="col"/>
        <c:grouping val="clustered"/>
        <c:varyColors val="0"/>
        <c:ser>
          <c:idx val="0"/>
          <c:order val="0"/>
          <c:tx>
            <c:strRef>
              <c:f>'Zhurmat Sarande 2025'!$B$1</c:f>
              <c:strCache>
                <c:ptCount val="1"/>
                <c:pt idx="0">
                  <c:v> LAeq/Diten dB(A) </c:v>
                </c:pt>
              </c:strCache>
            </c:strRef>
          </c:tx>
          <c:spPr>
            <a:solidFill>
              <a:srgbClr val="00B050"/>
            </a:solidFill>
            <a:ln>
              <a:noFill/>
            </a:ln>
            <a:effectLst/>
          </c:spPr>
          <c:invertIfNegative val="0"/>
          <c:cat>
            <c:strRef>
              <c:f>'Zhurmat Sarande 2025'!$A$2:$A$5</c:f>
              <c:strCache>
                <c:ptCount val="4"/>
                <c:pt idx="0">
                  <c:v>Tregu i Valutes </c:v>
                </c:pt>
                <c:pt idx="1">
                  <c:v>Hotel Butrinti</c:v>
                </c:pt>
                <c:pt idx="2">
                  <c:v>Bashkia</c:v>
                </c:pt>
                <c:pt idx="3">
                  <c:v>Kryqezimi Lagjja Koder</c:v>
                </c:pt>
              </c:strCache>
            </c:strRef>
          </c:cat>
          <c:val>
            <c:numRef>
              <c:f>'Zhurmat Sarande 2025'!$B$2:$B$5</c:f>
              <c:numCache>
                <c:formatCode>General</c:formatCode>
                <c:ptCount val="4"/>
                <c:pt idx="0">
                  <c:v>62.19</c:v>
                </c:pt>
                <c:pt idx="1">
                  <c:v>62.37</c:v>
                </c:pt>
                <c:pt idx="2">
                  <c:v>63.71</c:v>
                </c:pt>
                <c:pt idx="3">
                  <c:v>63.22</c:v>
                </c:pt>
              </c:numCache>
            </c:numRef>
          </c:val>
          <c:extLst>
            <c:ext xmlns:c16="http://schemas.microsoft.com/office/drawing/2014/chart" uri="{C3380CC4-5D6E-409C-BE32-E72D297353CC}">
              <c16:uniqueId val="{00000000-5D59-41A3-90B8-2CF381AD15C3}"/>
            </c:ext>
          </c:extLst>
        </c:ser>
        <c:dLbls>
          <c:showLegendKey val="0"/>
          <c:showVal val="0"/>
          <c:showCatName val="0"/>
          <c:showSerName val="0"/>
          <c:showPercent val="0"/>
          <c:showBubbleSize val="0"/>
        </c:dLbls>
        <c:gapWidth val="219"/>
        <c:overlap val="-27"/>
        <c:axId val="254171392"/>
        <c:axId val="254205952"/>
      </c:barChart>
      <c:lineChart>
        <c:grouping val="standard"/>
        <c:varyColors val="0"/>
        <c:ser>
          <c:idx val="1"/>
          <c:order val="1"/>
          <c:tx>
            <c:strRef>
              <c:f>'Zhurmat Sarande 2025'!$C$1</c:f>
              <c:strCache>
                <c:ptCount val="1"/>
                <c:pt idx="0">
                  <c:v>Norma e OBSH </c:v>
                </c:pt>
              </c:strCache>
            </c:strRef>
          </c:tx>
          <c:spPr>
            <a:ln w="28575" cap="rnd">
              <a:solidFill>
                <a:schemeClr val="accent2"/>
              </a:solidFill>
              <a:round/>
            </a:ln>
            <a:effectLst/>
          </c:spPr>
          <c:marker>
            <c:symbol val="none"/>
          </c:marker>
          <c:cat>
            <c:strRef>
              <c:f>'Zhurmat Sarande 2025'!$A$2:$A$5</c:f>
              <c:strCache>
                <c:ptCount val="4"/>
                <c:pt idx="0">
                  <c:v>Tregu i Valutes </c:v>
                </c:pt>
                <c:pt idx="1">
                  <c:v>Hotel Butrinti</c:v>
                </c:pt>
                <c:pt idx="2">
                  <c:v>Bashkia</c:v>
                </c:pt>
                <c:pt idx="3">
                  <c:v>Kryqezimi Lagjja Koder</c:v>
                </c:pt>
              </c:strCache>
            </c:strRef>
          </c:cat>
          <c:val>
            <c:numRef>
              <c:f>'Zhurmat Sarande 2025'!$C$2:$C$5</c:f>
              <c:numCache>
                <c:formatCode>General</c:formatCode>
                <c:ptCount val="4"/>
                <c:pt idx="0">
                  <c:v>55</c:v>
                </c:pt>
                <c:pt idx="1">
                  <c:v>55</c:v>
                </c:pt>
                <c:pt idx="2">
                  <c:v>55</c:v>
                </c:pt>
                <c:pt idx="3">
                  <c:v>55</c:v>
                </c:pt>
              </c:numCache>
            </c:numRef>
          </c:val>
          <c:smooth val="0"/>
          <c:extLst>
            <c:ext xmlns:c16="http://schemas.microsoft.com/office/drawing/2014/chart" uri="{C3380CC4-5D6E-409C-BE32-E72D297353CC}">
              <c16:uniqueId val="{00000001-5D59-41A3-90B8-2CF381AD15C3}"/>
            </c:ext>
          </c:extLst>
        </c:ser>
        <c:dLbls>
          <c:showLegendKey val="0"/>
          <c:showVal val="0"/>
          <c:showCatName val="0"/>
          <c:showSerName val="0"/>
          <c:showPercent val="0"/>
          <c:showBubbleSize val="0"/>
        </c:dLbls>
        <c:marker val="1"/>
        <c:smooth val="0"/>
        <c:axId val="254171392"/>
        <c:axId val="254205952"/>
      </c:lineChart>
      <c:catAx>
        <c:axId val="25417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205952"/>
        <c:crosses val="autoZero"/>
        <c:auto val="1"/>
        <c:lblAlgn val="ctr"/>
        <c:lblOffset val="100"/>
        <c:noMultiLvlLbl val="0"/>
      </c:catAx>
      <c:valAx>
        <c:axId val="2542059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171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Sarandë,</a:t>
            </a:r>
            <a:r>
              <a:rPr lang="sq-AL"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 </a:t>
            </a: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Niveli i Zhurmave 2025 LAeq/Natën dB(A</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'Zhurmat Sarande 2025'!$L$2</c:f>
              <c:strCache>
                <c:ptCount val="1"/>
                <c:pt idx="0">
                  <c:v>LAeq/Naten dB(A) </c:v>
                </c:pt>
              </c:strCache>
            </c:strRef>
          </c:tx>
          <c:spPr>
            <a:solidFill>
              <a:srgbClr val="00B050"/>
            </a:solidFill>
            <a:ln>
              <a:noFill/>
            </a:ln>
            <a:effectLst/>
          </c:spPr>
          <c:invertIfNegative val="0"/>
          <c:cat>
            <c:strRef>
              <c:f>'Zhurmat Sarande 2025'!$K$3:$K$6</c:f>
              <c:strCache>
                <c:ptCount val="4"/>
                <c:pt idx="0">
                  <c:v>Tregu i Valutes </c:v>
                </c:pt>
                <c:pt idx="1">
                  <c:v>Hotel Butrinti</c:v>
                </c:pt>
                <c:pt idx="2">
                  <c:v>Bashkia</c:v>
                </c:pt>
                <c:pt idx="3">
                  <c:v>Kryqezimi Lagjja Koder</c:v>
                </c:pt>
              </c:strCache>
            </c:strRef>
          </c:cat>
          <c:val>
            <c:numRef>
              <c:f>'Zhurmat Sarande 2025'!$L$3:$L$6</c:f>
              <c:numCache>
                <c:formatCode>General</c:formatCode>
                <c:ptCount val="4"/>
                <c:pt idx="0">
                  <c:v>50.85</c:v>
                </c:pt>
                <c:pt idx="1">
                  <c:v>52.38</c:v>
                </c:pt>
                <c:pt idx="2">
                  <c:v>55.13</c:v>
                </c:pt>
                <c:pt idx="3">
                  <c:v>53.43</c:v>
                </c:pt>
              </c:numCache>
            </c:numRef>
          </c:val>
          <c:extLst>
            <c:ext xmlns:c16="http://schemas.microsoft.com/office/drawing/2014/chart" uri="{C3380CC4-5D6E-409C-BE32-E72D297353CC}">
              <c16:uniqueId val="{00000000-481B-4DAE-9758-0702AACB4BAF}"/>
            </c:ext>
          </c:extLst>
        </c:ser>
        <c:dLbls>
          <c:showLegendKey val="0"/>
          <c:showVal val="0"/>
          <c:showCatName val="0"/>
          <c:showSerName val="0"/>
          <c:showPercent val="0"/>
          <c:showBubbleSize val="0"/>
        </c:dLbls>
        <c:gapWidth val="219"/>
        <c:overlap val="-27"/>
        <c:axId val="254277888"/>
        <c:axId val="254410752"/>
      </c:barChart>
      <c:lineChart>
        <c:grouping val="standard"/>
        <c:varyColors val="0"/>
        <c:ser>
          <c:idx val="1"/>
          <c:order val="1"/>
          <c:tx>
            <c:strRef>
              <c:f>'Zhurmat Sarande 2025'!$M$2</c:f>
              <c:strCache>
                <c:ptCount val="1"/>
                <c:pt idx="0">
                  <c:v>Norma e OBSH </c:v>
                </c:pt>
              </c:strCache>
            </c:strRef>
          </c:tx>
          <c:spPr>
            <a:ln w="28575" cap="rnd">
              <a:solidFill>
                <a:schemeClr val="accent2"/>
              </a:solidFill>
              <a:round/>
            </a:ln>
            <a:effectLst/>
          </c:spPr>
          <c:marker>
            <c:symbol val="none"/>
          </c:marker>
          <c:cat>
            <c:strRef>
              <c:f>'Zhurmat Sarande 2025'!$K$3:$K$6</c:f>
              <c:strCache>
                <c:ptCount val="4"/>
                <c:pt idx="0">
                  <c:v>Tregu i Valutes </c:v>
                </c:pt>
                <c:pt idx="1">
                  <c:v>Hotel Butrinti</c:v>
                </c:pt>
                <c:pt idx="2">
                  <c:v>Bashkia</c:v>
                </c:pt>
                <c:pt idx="3">
                  <c:v>Kryqezimi Lagjja Koder</c:v>
                </c:pt>
              </c:strCache>
            </c:strRef>
          </c:cat>
          <c:val>
            <c:numRef>
              <c:f>'Zhurmat Sarande 2025'!$M$3:$M$6</c:f>
              <c:numCache>
                <c:formatCode>General</c:formatCode>
                <c:ptCount val="4"/>
                <c:pt idx="0">
                  <c:v>45</c:v>
                </c:pt>
                <c:pt idx="1">
                  <c:v>45</c:v>
                </c:pt>
                <c:pt idx="2">
                  <c:v>45</c:v>
                </c:pt>
                <c:pt idx="3">
                  <c:v>45</c:v>
                </c:pt>
              </c:numCache>
            </c:numRef>
          </c:val>
          <c:smooth val="0"/>
          <c:extLst>
            <c:ext xmlns:c16="http://schemas.microsoft.com/office/drawing/2014/chart" uri="{C3380CC4-5D6E-409C-BE32-E72D297353CC}">
              <c16:uniqueId val="{00000001-481B-4DAE-9758-0702AACB4BAF}"/>
            </c:ext>
          </c:extLst>
        </c:ser>
        <c:dLbls>
          <c:showLegendKey val="0"/>
          <c:showVal val="0"/>
          <c:showCatName val="0"/>
          <c:showSerName val="0"/>
          <c:showPercent val="0"/>
          <c:showBubbleSize val="0"/>
        </c:dLbls>
        <c:marker val="1"/>
        <c:smooth val="0"/>
        <c:axId val="254277888"/>
        <c:axId val="254410752"/>
      </c:lineChart>
      <c:catAx>
        <c:axId val="25427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410752"/>
        <c:crosses val="autoZero"/>
        <c:auto val="1"/>
        <c:lblAlgn val="ctr"/>
        <c:lblOffset val="100"/>
        <c:noMultiLvlLbl val="0"/>
      </c:catAx>
      <c:valAx>
        <c:axId val="254410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277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Kukës,</a:t>
            </a:r>
            <a:r>
              <a:rPr lang="sq-AL" sz="1200" b="1">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Niveli i Zhurmave 2025 LAeq/Ditën</a:t>
            </a:r>
            <a:r>
              <a:rPr lang="en-US" sz="1200" b="1" baseline="0">
                <a:latin typeface="Times New Roman" panose="02020603050405020304" pitchFamily="18" charset="0"/>
                <a:cs typeface="Times New Roman" panose="02020603050405020304" pitchFamily="18" charset="0"/>
              </a:rPr>
              <a:t> dB(A)</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'Zhurmat Kukes 2025'!$A$7</c:f>
              <c:strCache>
                <c:ptCount val="1"/>
                <c:pt idx="0">
                  <c:v> LAeq/Diten dB(A) </c:v>
                </c:pt>
              </c:strCache>
            </c:strRef>
          </c:tx>
          <c:spPr>
            <a:solidFill>
              <a:srgbClr val="00B050"/>
            </a:solidFill>
            <a:ln>
              <a:noFill/>
            </a:ln>
            <a:effectLst/>
          </c:spPr>
          <c:invertIfNegative val="0"/>
          <c:cat>
            <c:strRef>
              <c:f>'Zhurmat Kukes 2025'!$B$6:$C$6</c:f>
              <c:strCache>
                <c:ptCount val="2"/>
                <c:pt idx="0">
                  <c:v>Bashkia</c:v>
                </c:pt>
                <c:pt idx="1">
                  <c:v>Stacioni i Autobuzave</c:v>
                </c:pt>
              </c:strCache>
            </c:strRef>
          </c:cat>
          <c:val>
            <c:numRef>
              <c:f>'Zhurmat Kukes 2025'!$B$7:$C$7</c:f>
              <c:numCache>
                <c:formatCode>General</c:formatCode>
                <c:ptCount val="2"/>
                <c:pt idx="0">
                  <c:v>56.34</c:v>
                </c:pt>
                <c:pt idx="1">
                  <c:v>58.12</c:v>
                </c:pt>
              </c:numCache>
            </c:numRef>
          </c:val>
          <c:extLst>
            <c:ext xmlns:c16="http://schemas.microsoft.com/office/drawing/2014/chart" uri="{C3380CC4-5D6E-409C-BE32-E72D297353CC}">
              <c16:uniqueId val="{00000000-ACD3-4702-BC0A-D9920EEEA0D2}"/>
            </c:ext>
          </c:extLst>
        </c:ser>
        <c:dLbls>
          <c:showLegendKey val="0"/>
          <c:showVal val="0"/>
          <c:showCatName val="0"/>
          <c:showSerName val="0"/>
          <c:showPercent val="0"/>
          <c:showBubbleSize val="0"/>
        </c:dLbls>
        <c:gapWidth val="219"/>
        <c:overlap val="-27"/>
        <c:axId val="254625664"/>
        <c:axId val="254627200"/>
      </c:barChart>
      <c:lineChart>
        <c:grouping val="standard"/>
        <c:varyColors val="0"/>
        <c:ser>
          <c:idx val="1"/>
          <c:order val="1"/>
          <c:tx>
            <c:strRef>
              <c:f>'Zhurmat Kukes 2025'!$A$8</c:f>
              <c:strCache>
                <c:ptCount val="1"/>
                <c:pt idx="0">
                  <c:v>Norma e OBSH </c:v>
                </c:pt>
              </c:strCache>
            </c:strRef>
          </c:tx>
          <c:spPr>
            <a:ln w="28575" cap="rnd">
              <a:solidFill>
                <a:schemeClr val="accent2"/>
              </a:solidFill>
              <a:round/>
            </a:ln>
            <a:effectLst/>
          </c:spPr>
          <c:marker>
            <c:symbol val="none"/>
          </c:marker>
          <c:cat>
            <c:strRef>
              <c:f>'Zhurmat Kukes 2025'!$B$6:$C$6</c:f>
              <c:strCache>
                <c:ptCount val="2"/>
                <c:pt idx="0">
                  <c:v>Bashkia</c:v>
                </c:pt>
                <c:pt idx="1">
                  <c:v>Stacioni i Autobuzave</c:v>
                </c:pt>
              </c:strCache>
            </c:strRef>
          </c:cat>
          <c:val>
            <c:numRef>
              <c:f>'Zhurmat Kukes 2025'!$B$8:$C$8</c:f>
              <c:numCache>
                <c:formatCode>General</c:formatCode>
                <c:ptCount val="2"/>
                <c:pt idx="0">
                  <c:v>55</c:v>
                </c:pt>
                <c:pt idx="1">
                  <c:v>55</c:v>
                </c:pt>
              </c:numCache>
            </c:numRef>
          </c:val>
          <c:smooth val="0"/>
          <c:extLst>
            <c:ext xmlns:c16="http://schemas.microsoft.com/office/drawing/2014/chart" uri="{C3380CC4-5D6E-409C-BE32-E72D297353CC}">
              <c16:uniqueId val="{00000001-ACD3-4702-BC0A-D9920EEEA0D2}"/>
            </c:ext>
          </c:extLst>
        </c:ser>
        <c:dLbls>
          <c:showLegendKey val="0"/>
          <c:showVal val="0"/>
          <c:showCatName val="0"/>
          <c:showSerName val="0"/>
          <c:showPercent val="0"/>
          <c:showBubbleSize val="0"/>
        </c:dLbls>
        <c:marker val="1"/>
        <c:smooth val="0"/>
        <c:axId val="254625664"/>
        <c:axId val="254627200"/>
      </c:lineChart>
      <c:catAx>
        <c:axId val="25462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627200"/>
        <c:crosses val="autoZero"/>
        <c:auto val="1"/>
        <c:lblAlgn val="ctr"/>
        <c:lblOffset val="100"/>
        <c:noMultiLvlLbl val="0"/>
      </c:catAx>
      <c:valAx>
        <c:axId val="2546272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62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Niveli i Zhurmave 2025 LAeq/Natën</a:t>
            </a:r>
            <a:r>
              <a:rPr lang="en-US" sz="1200" b="1" baseline="0">
                <a:latin typeface="Times New Roman" panose="02020603050405020304" pitchFamily="18" charset="0"/>
                <a:cs typeface="Times New Roman" panose="02020603050405020304" pitchFamily="18" charset="0"/>
              </a:rPr>
              <a:t> dB(A)</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'Zhurmat 2025'!$B$18</c:f>
              <c:strCache>
                <c:ptCount val="1"/>
                <c:pt idx="0">
                  <c:v>LAeq/Naten dB(A)</c:v>
                </c:pt>
              </c:strCache>
            </c:strRef>
          </c:tx>
          <c:spPr>
            <a:solidFill>
              <a:srgbClr val="00B050"/>
            </a:solidFill>
            <a:ln>
              <a:noFill/>
            </a:ln>
            <a:effectLst/>
          </c:spPr>
          <c:invertIfNegative val="0"/>
          <c:cat>
            <c:strRef>
              <c:f>'Zhurmat 2025'!$A$19:$A$29</c:f>
              <c:strCache>
                <c:ptCount val="11"/>
                <c:pt idx="0">
                  <c:v>Tirane</c:v>
                </c:pt>
                <c:pt idx="1">
                  <c:v>Korce</c:v>
                </c:pt>
                <c:pt idx="2">
                  <c:v>Gjirokaster</c:v>
                </c:pt>
                <c:pt idx="3">
                  <c:v>Sarande</c:v>
                </c:pt>
                <c:pt idx="4">
                  <c:v>Berat</c:v>
                </c:pt>
                <c:pt idx="5">
                  <c:v>Pogradec</c:v>
                </c:pt>
                <c:pt idx="6">
                  <c:v>Kukes</c:v>
                </c:pt>
                <c:pt idx="7">
                  <c:v>Shkoder</c:v>
                </c:pt>
                <c:pt idx="8">
                  <c:v>Fier</c:v>
                </c:pt>
                <c:pt idx="9">
                  <c:v>Vlore</c:v>
                </c:pt>
                <c:pt idx="10">
                  <c:v>Lezhe</c:v>
                </c:pt>
              </c:strCache>
            </c:strRef>
          </c:cat>
          <c:val>
            <c:numRef>
              <c:f>'Zhurmat 2025'!$B$19:$B$29</c:f>
              <c:numCache>
                <c:formatCode>General</c:formatCode>
                <c:ptCount val="11"/>
                <c:pt idx="0">
                  <c:v>53.05</c:v>
                </c:pt>
                <c:pt idx="1">
                  <c:v>48.9</c:v>
                </c:pt>
                <c:pt idx="2">
                  <c:v>49.98</c:v>
                </c:pt>
                <c:pt idx="3">
                  <c:v>52.94</c:v>
                </c:pt>
                <c:pt idx="4">
                  <c:v>49.5</c:v>
                </c:pt>
                <c:pt idx="5">
                  <c:v>47.64</c:v>
                </c:pt>
                <c:pt idx="6">
                  <c:v>47.1</c:v>
                </c:pt>
                <c:pt idx="7">
                  <c:v>45.32</c:v>
                </c:pt>
                <c:pt idx="8">
                  <c:v>52.31</c:v>
                </c:pt>
                <c:pt idx="9">
                  <c:v>53.56</c:v>
                </c:pt>
                <c:pt idx="10">
                  <c:v>44.16</c:v>
                </c:pt>
              </c:numCache>
            </c:numRef>
          </c:val>
          <c:extLst>
            <c:ext xmlns:c16="http://schemas.microsoft.com/office/drawing/2014/chart" uri="{C3380CC4-5D6E-409C-BE32-E72D297353CC}">
              <c16:uniqueId val="{00000000-DF56-44BF-B791-AC788E45DAFC}"/>
            </c:ext>
          </c:extLst>
        </c:ser>
        <c:dLbls>
          <c:showLegendKey val="0"/>
          <c:showVal val="0"/>
          <c:showCatName val="0"/>
          <c:showSerName val="0"/>
          <c:showPercent val="0"/>
          <c:showBubbleSize val="0"/>
        </c:dLbls>
        <c:gapWidth val="219"/>
        <c:overlap val="-27"/>
        <c:axId val="97335936"/>
        <c:axId val="223781248"/>
      </c:barChart>
      <c:lineChart>
        <c:grouping val="standard"/>
        <c:varyColors val="0"/>
        <c:ser>
          <c:idx val="1"/>
          <c:order val="1"/>
          <c:tx>
            <c:strRef>
              <c:f>'Zhurmat 2025'!$C$18</c:f>
              <c:strCache>
                <c:ptCount val="1"/>
                <c:pt idx="0">
                  <c:v>Norma e OBSH </c:v>
                </c:pt>
              </c:strCache>
            </c:strRef>
          </c:tx>
          <c:spPr>
            <a:ln w="28575" cap="rnd">
              <a:solidFill>
                <a:schemeClr val="accent2"/>
              </a:solidFill>
              <a:round/>
            </a:ln>
            <a:effectLst/>
          </c:spPr>
          <c:marker>
            <c:symbol val="none"/>
          </c:marker>
          <c:cat>
            <c:strRef>
              <c:f>'Zhurmat 2025'!$A$19:$A$29</c:f>
              <c:strCache>
                <c:ptCount val="11"/>
                <c:pt idx="0">
                  <c:v>Tirane</c:v>
                </c:pt>
                <c:pt idx="1">
                  <c:v>Korce</c:v>
                </c:pt>
                <c:pt idx="2">
                  <c:v>Gjirokaster</c:v>
                </c:pt>
                <c:pt idx="3">
                  <c:v>Sarande</c:v>
                </c:pt>
                <c:pt idx="4">
                  <c:v>Berat</c:v>
                </c:pt>
                <c:pt idx="5">
                  <c:v>Pogradec</c:v>
                </c:pt>
                <c:pt idx="6">
                  <c:v>Kukes</c:v>
                </c:pt>
                <c:pt idx="7">
                  <c:v>Shkoder</c:v>
                </c:pt>
                <c:pt idx="8">
                  <c:v>Fier</c:v>
                </c:pt>
                <c:pt idx="9">
                  <c:v>Vlore</c:v>
                </c:pt>
                <c:pt idx="10">
                  <c:v>Lezhe</c:v>
                </c:pt>
              </c:strCache>
            </c:strRef>
          </c:cat>
          <c:val>
            <c:numRef>
              <c:f>'Zhurmat 2025'!$C$19:$C$29</c:f>
              <c:numCache>
                <c:formatCode>General</c:formatCode>
                <c:ptCount val="11"/>
                <c:pt idx="0">
                  <c:v>45</c:v>
                </c:pt>
                <c:pt idx="1">
                  <c:v>45</c:v>
                </c:pt>
                <c:pt idx="2">
                  <c:v>45</c:v>
                </c:pt>
                <c:pt idx="3">
                  <c:v>45</c:v>
                </c:pt>
                <c:pt idx="4">
                  <c:v>45</c:v>
                </c:pt>
                <c:pt idx="5">
                  <c:v>45</c:v>
                </c:pt>
                <c:pt idx="6">
                  <c:v>45</c:v>
                </c:pt>
                <c:pt idx="7">
                  <c:v>45</c:v>
                </c:pt>
                <c:pt idx="8">
                  <c:v>45</c:v>
                </c:pt>
                <c:pt idx="9">
                  <c:v>45</c:v>
                </c:pt>
                <c:pt idx="10">
                  <c:v>45</c:v>
                </c:pt>
              </c:numCache>
            </c:numRef>
          </c:val>
          <c:smooth val="0"/>
          <c:extLst>
            <c:ext xmlns:c16="http://schemas.microsoft.com/office/drawing/2014/chart" uri="{C3380CC4-5D6E-409C-BE32-E72D297353CC}">
              <c16:uniqueId val="{00000001-DF56-44BF-B791-AC788E45DAFC}"/>
            </c:ext>
          </c:extLst>
        </c:ser>
        <c:dLbls>
          <c:showLegendKey val="0"/>
          <c:showVal val="0"/>
          <c:showCatName val="0"/>
          <c:showSerName val="0"/>
          <c:showPercent val="0"/>
          <c:showBubbleSize val="0"/>
        </c:dLbls>
        <c:marker val="1"/>
        <c:smooth val="0"/>
        <c:axId val="97335936"/>
        <c:axId val="223781248"/>
      </c:lineChart>
      <c:catAx>
        <c:axId val="9733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781248"/>
        <c:crosses val="autoZero"/>
        <c:auto val="1"/>
        <c:lblAlgn val="ctr"/>
        <c:lblOffset val="100"/>
        <c:noMultiLvlLbl val="0"/>
      </c:catAx>
      <c:valAx>
        <c:axId val="223781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335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Kukës,Niveli</a:t>
            </a:r>
            <a:r>
              <a:rPr lang="en-US" sz="1200" b="1" baseline="0">
                <a:latin typeface="Times New Roman" panose="02020603050405020304" pitchFamily="18" charset="0"/>
                <a:cs typeface="Times New Roman" panose="02020603050405020304" pitchFamily="18" charset="0"/>
              </a:rPr>
              <a:t> i Zhurmave 2025 LAeq/Natën dB(A)</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'Zhurmat Kukes 2025'!$A$12</c:f>
              <c:strCache>
                <c:ptCount val="1"/>
                <c:pt idx="0">
                  <c:v>LAeq/Naten dB(A) </c:v>
                </c:pt>
              </c:strCache>
            </c:strRef>
          </c:tx>
          <c:spPr>
            <a:solidFill>
              <a:srgbClr val="00B050"/>
            </a:solidFill>
            <a:ln>
              <a:noFill/>
            </a:ln>
            <a:effectLst/>
          </c:spPr>
          <c:invertIfNegative val="0"/>
          <c:cat>
            <c:strRef>
              <c:f>'Zhurmat Kukes 2025'!$B$11:$C$11</c:f>
              <c:strCache>
                <c:ptCount val="2"/>
                <c:pt idx="0">
                  <c:v>Bashkia</c:v>
                </c:pt>
                <c:pt idx="1">
                  <c:v>Stacioni i Autobuzave</c:v>
                </c:pt>
              </c:strCache>
            </c:strRef>
          </c:cat>
          <c:val>
            <c:numRef>
              <c:f>'Zhurmat Kukes 2025'!$B$12:$C$12</c:f>
              <c:numCache>
                <c:formatCode>General</c:formatCode>
                <c:ptCount val="2"/>
                <c:pt idx="0">
                  <c:v>46.94</c:v>
                </c:pt>
                <c:pt idx="1">
                  <c:v>47.27</c:v>
                </c:pt>
              </c:numCache>
            </c:numRef>
          </c:val>
          <c:extLst>
            <c:ext xmlns:c16="http://schemas.microsoft.com/office/drawing/2014/chart" uri="{C3380CC4-5D6E-409C-BE32-E72D297353CC}">
              <c16:uniqueId val="{00000000-0B10-4450-9E6C-FBBD100CFD96}"/>
            </c:ext>
          </c:extLst>
        </c:ser>
        <c:dLbls>
          <c:showLegendKey val="0"/>
          <c:showVal val="0"/>
          <c:showCatName val="0"/>
          <c:showSerName val="0"/>
          <c:showPercent val="0"/>
          <c:showBubbleSize val="0"/>
        </c:dLbls>
        <c:gapWidth val="219"/>
        <c:overlap val="-27"/>
        <c:axId val="254674432"/>
        <c:axId val="254675968"/>
      </c:barChart>
      <c:lineChart>
        <c:grouping val="standard"/>
        <c:varyColors val="0"/>
        <c:ser>
          <c:idx val="1"/>
          <c:order val="1"/>
          <c:tx>
            <c:strRef>
              <c:f>'Zhurmat Kukes 2025'!$A$13</c:f>
              <c:strCache>
                <c:ptCount val="1"/>
                <c:pt idx="0">
                  <c:v>Norma e OBSH </c:v>
                </c:pt>
              </c:strCache>
            </c:strRef>
          </c:tx>
          <c:spPr>
            <a:ln w="28575" cap="rnd">
              <a:solidFill>
                <a:schemeClr val="accent2"/>
              </a:solidFill>
              <a:round/>
            </a:ln>
            <a:effectLst/>
          </c:spPr>
          <c:marker>
            <c:symbol val="none"/>
          </c:marker>
          <c:cat>
            <c:strRef>
              <c:f>'Zhurmat Kukes 2025'!$B$11:$C$11</c:f>
              <c:strCache>
                <c:ptCount val="2"/>
                <c:pt idx="0">
                  <c:v>Bashkia</c:v>
                </c:pt>
                <c:pt idx="1">
                  <c:v>Stacioni i Autobuzave</c:v>
                </c:pt>
              </c:strCache>
            </c:strRef>
          </c:cat>
          <c:val>
            <c:numRef>
              <c:f>'Zhurmat Kukes 2025'!$B$13:$C$13</c:f>
              <c:numCache>
                <c:formatCode>General</c:formatCode>
                <c:ptCount val="2"/>
                <c:pt idx="0">
                  <c:v>45</c:v>
                </c:pt>
                <c:pt idx="1">
                  <c:v>45</c:v>
                </c:pt>
              </c:numCache>
            </c:numRef>
          </c:val>
          <c:smooth val="0"/>
          <c:extLst>
            <c:ext xmlns:c16="http://schemas.microsoft.com/office/drawing/2014/chart" uri="{C3380CC4-5D6E-409C-BE32-E72D297353CC}">
              <c16:uniqueId val="{00000001-0B10-4450-9E6C-FBBD100CFD96}"/>
            </c:ext>
          </c:extLst>
        </c:ser>
        <c:dLbls>
          <c:showLegendKey val="0"/>
          <c:showVal val="0"/>
          <c:showCatName val="0"/>
          <c:showSerName val="0"/>
          <c:showPercent val="0"/>
          <c:showBubbleSize val="0"/>
        </c:dLbls>
        <c:marker val="1"/>
        <c:smooth val="0"/>
        <c:axId val="254674432"/>
        <c:axId val="254675968"/>
      </c:lineChart>
      <c:catAx>
        <c:axId val="25467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675968"/>
        <c:crosses val="autoZero"/>
        <c:auto val="1"/>
        <c:lblAlgn val="ctr"/>
        <c:lblOffset val="100"/>
        <c:noMultiLvlLbl val="0"/>
      </c:catAx>
      <c:valAx>
        <c:axId val="2546759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674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Gjirokastër,</a:t>
            </a:r>
            <a:r>
              <a:rPr lang="sq-AL"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 </a:t>
            </a: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Niveli i Zhurmave 2025, LAeq/Ditën dB(A) </a:t>
            </a:r>
          </a:p>
        </c:rich>
      </c:tx>
      <c:overlay val="0"/>
      <c:spPr>
        <a:noFill/>
        <a:ln>
          <a:noFill/>
        </a:ln>
        <a:effectLst/>
      </c:spPr>
    </c:title>
    <c:autoTitleDeleted val="0"/>
    <c:plotArea>
      <c:layout/>
      <c:barChart>
        <c:barDir val="col"/>
        <c:grouping val="clustered"/>
        <c:varyColors val="0"/>
        <c:ser>
          <c:idx val="0"/>
          <c:order val="0"/>
          <c:tx>
            <c:strRef>
              <c:f>'Zhurmat Gjirokaster 2025 '!$A$9</c:f>
              <c:strCache>
                <c:ptCount val="1"/>
                <c:pt idx="0">
                  <c:v> LAeq/Diten dB(A) </c:v>
                </c:pt>
              </c:strCache>
            </c:strRef>
          </c:tx>
          <c:spPr>
            <a:solidFill>
              <a:srgbClr val="00B050"/>
            </a:solidFill>
            <a:ln>
              <a:noFill/>
            </a:ln>
            <a:effectLst/>
          </c:spPr>
          <c:invertIfNegative val="0"/>
          <c:cat>
            <c:strRef>
              <c:f>'Zhurmat Gjirokaster 2025 '!$B$8:$E$8</c:f>
              <c:strCache>
                <c:ptCount val="4"/>
                <c:pt idx="0">
                  <c:v>Kryqezimi ne Hyrje</c:v>
                </c:pt>
                <c:pt idx="1">
                  <c:v>Rrethrrotullimi te Stacioni</c:v>
                </c:pt>
                <c:pt idx="2">
                  <c:v>Sheshi "Çerçiz Topulli"</c:v>
                </c:pt>
                <c:pt idx="3">
                  <c:v>Kryqezimi i Rruges "Gjin Zenebisi"</c:v>
                </c:pt>
              </c:strCache>
            </c:strRef>
          </c:cat>
          <c:val>
            <c:numRef>
              <c:f>'Zhurmat Gjirokaster 2025 '!$B$9:$E$9</c:f>
              <c:numCache>
                <c:formatCode>General</c:formatCode>
                <c:ptCount val="4"/>
                <c:pt idx="0">
                  <c:v>61.95</c:v>
                </c:pt>
                <c:pt idx="1">
                  <c:v>60.1</c:v>
                </c:pt>
                <c:pt idx="2">
                  <c:v>61.29</c:v>
                </c:pt>
                <c:pt idx="3">
                  <c:v>58.68</c:v>
                </c:pt>
              </c:numCache>
            </c:numRef>
          </c:val>
          <c:extLst>
            <c:ext xmlns:c16="http://schemas.microsoft.com/office/drawing/2014/chart" uri="{C3380CC4-5D6E-409C-BE32-E72D297353CC}">
              <c16:uniqueId val="{00000000-5997-4D94-A318-5C8547EBD8DA}"/>
            </c:ext>
          </c:extLst>
        </c:ser>
        <c:dLbls>
          <c:showLegendKey val="0"/>
          <c:showVal val="0"/>
          <c:showCatName val="0"/>
          <c:showSerName val="0"/>
          <c:showPercent val="0"/>
          <c:showBubbleSize val="0"/>
        </c:dLbls>
        <c:gapWidth val="219"/>
        <c:overlap val="-27"/>
        <c:axId val="254813696"/>
        <c:axId val="254815232"/>
      </c:barChart>
      <c:lineChart>
        <c:grouping val="standard"/>
        <c:varyColors val="0"/>
        <c:ser>
          <c:idx val="1"/>
          <c:order val="1"/>
          <c:tx>
            <c:strRef>
              <c:f>'Zhurmat Gjirokaster 2025 '!$A$10</c:f>
              <c:strCache>
                <c:ptCount val="1"/>
                <c:pt idx="0">
                  <c:v>Norma e OBSH </c:v>
                </c:pt>
              </c:strCache>
            </c:strRef>
          </c:tx>
          <c:spPr>
            <a:ln w="28575" cap="rnd">
              <a:solidFill>
                <a:schemeClr val="accent2"/>
              </a:solidFill>
              <a:round/>
            </a:ln>
            <a:effectLst/>
          </c:spPr>
          <c:marker>
            <c:symbol val="none"/>
          </c:marker>
          <c:cat>
            <c:strRef>
              <c:f>'Zhurmat Gjirokaster 2025 '!$B$8:$E$8</c:f>
              <c:strCache>
                <c:ptCount val="4"/>
                <c:pt idx="0">
                  <c:v>Kryqezimi ne Hyrje</c:v>
                </c:pt>
                <c:pt idx="1">
                  <c:v>Rrethrrotullimi te Stacioni</c:v>
                </c:pt>
                <c:pt idx="2">
                  <c:v>Sheshi "Çerçiz Topulli"</c:v>
                </c:pt>
                <c:pt idx="3">
                  <c:v>Kryqezimi i Rruges "Gjin Zenebisi"</c:v>
                </c:pt>
              </c:strCache>
            </c:strRef>
          </c:cat>
          <c:val>
            <c:numRef>
              <c:f>'Zhurmat Gjirokaster 2025 '!$B$10:$E$10</c:f>
              <c:numCache>
                <c:formatCode>General</c:formatCode>
                <c:ptCount val="4"/>
                <c:pt idx="0">
                  <c:v>55</c:v>
                </c:pt>
                <c:pt idx="1">
                  <c:v>55</c:v>
                </c:pt>
                <c:pt idx="2">
                  <c:v>55</c:v>
                </c:pt>
                <c:pt idx="3">
                  <c:v>55</c:v>
                </c:pt>
              </c:numCache>
            </c:numRef>
          </c:val>
          <c:smooth val="0"/>
          <c:extLst>
            <c:ext xmlns:c16="http://schemas.microsoft.com/office/drawing/2014/chart" uri="{C3380CC4-5D6E-409C-BE32-E72D297353CC}">
              <c16:uniqueId val="{00000001-5997-4D94-A318-5C8547EBD8DA}"/>
            </c:ext>
          </c:extLst>
        </c:ser>
        <c:dLbls>
          <c:showLegendKey val="0"/>
          <c:showVal val="0"/>
          <c:showCatName val="0"/>
          <c:showSerName val="0"/>
          <c:showPercent val="0"/>
          <c:showBubbleSize val="0"/>
        </c:dLbls>
        <c:marker val="1"/>
        <c:smooth val="0"/>
        <c:axId val="254813696"/>
        <c:axId val="254815232"/>
      </c:lineChart>
      <c:catAx>
        <c:axId val="25481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815232"/>
        <c:crosses val="autoZero"/>
        <c:auto val="1"/>
        <c:lblAlgn val="ctr"/>
        <c:lblOffset val="100"/>
        <c:noMultiLvlLbl val="0"/>
      </c:catAx>
      <c:valAx>
        <c:axId val="2548152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813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Gjirokastër,</a:t>
            </a:r>
            <a:r>
              <a:rPr lang="sq-AL"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 </a:t>
            </a: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Niveli i Zhurmave 2025, LAeq/Natën dB(A)</a:t>
            </a:r>
          </a:p>
        </c:rich>
      </c:tx>
      <c:overlay val="0"/>
      <c:spPr>
        <a:noFill/>
        <a:ln>
          <a:noFill/>
        </a:ln>
        <a:effectLst/>
      </c:spPr>
    </c:title>
    <c:autoTitleDeleted val="0"/>
    <c:plotArea>
      <c:layout/>
      <c:barChart>
        <c:barDir val="col"/>
        <c:grouping val="clustered"/>
        <c:varyColors val="0"/>
        <c:ser>
          <c:idx val="0"/>
          <c:order val="0"/>
          <c:tx>
            <c:strRef>
              <c:f>'Zhurmat Gjirokaster 2025 '!$A$14</c:f>
              <c:strCache>
                <c:ptCount val="1"/>
                <c:pt idx="0">
                  <c:v>LAeq/Naten dB(A) </c:v>
                </c:pt>
              </c:strCache>
            </c:strRef>
          </c:tx>
          <c:spPr>
            <a:solidFill>
              <a:srgbClr val="00B050"/>
            </a:solidFill>
            <a:ln>
              <a:noFill/>
            </a:ln>
            <a:effectLst/>
          </c:spPr>
          <c:invertIfNegative val="0"/>
          <c:cat>
            <c:strRef>
              <c:f>'Zhurmat Gjirokaster 2025 '!$B$13:$E$13</c:f>
              <c:strCache>
                <c:ptCount val="4"/>
                <c:pt idx="0">
                  <c:v>Kryqezimi ne Hyrje</c:v>
                </c:pt>
                <c:pt idx="1">
                  <c:v>Rrethrrotullimi te Stacioni</c:v>
                </c:pt>
                <c:pt idx="2">
                  <c:v>Sheshi "Çerçiz Topulli"</c:v>
                </c:pt>
                <c:pt idx="3">
                  <c:v>Kryqezimi i Rruges "Gjin Zenebisi"</c:v>
                </c:pt>
              </c:strCache>
            </c:strRef>
          </c:cat>
          <c:val>
            <c:numRef>
              <c:f>'Zhurmat Gjirokaster 2025 '!$B$14:$E$14</c:f>
              <c:numCache>
                <c:formatCode>General</c:formatCode>
                <c:ptCount val="4"/>
                <c:pt idx="0">
                  <c:v>53.04</c:v>
                </c:pt>
                <c:pt idx="1">
                  <c:v>48.93</c:v>
                </c:pt>
                <c:pt idx="2">
                  <c:v>50.06</c:v>
                </c:pt>
                <c:pt idx="3">
                  <c:v>48.89</c:v>
                </c:pt>
              </c:numCache>
            </c:numRef>
          </c:val>
          <c:extLst>
            <c:ext xmlns:c16="http://schemas.microsoft.com/office/drawing/2014/chart" uri="{C3380CC4-5D6E-409C-BE32-E72D297353CC}">
              <c16:uniqueId val="{00000000-9F9C-4730-A49F-FB27BB265AF2}"/>
            </c:ext>
          </c:extLst>
        </c:ser>
        <c:dLbls>
          <c:showLegendKey val="0"/>
          <c:showVal val="0"/>
          <c:showCatName val="0"/>
          <c:showSerName val="0"/>
          <c:showPercent val="0"/>
          <c:showBubbleSize val="0"/>
        </c:dLbls>
        <c:gapWidth val="219"/>
        <c:overlap val="-27"/>
        <c:axId val="255895040"/>
        <c:axId val="255896576"/>
      </c:barChart>
      <c:lineChart>
        <c:grouping val="standard"/>
        <c:varyColors val="0"/>
        <c:ser>
          <c:idx val="1"/>
          <c:order val="1"/>
          <c:tx>
            <c:strRef>
              <c:f>'Zhurmat Gjirokaster 2025 '!$A$15</c:f>
              <c:strCache>
                <c:ptCount val="1"/>
                <c:pt idx="0">
                  <c:v>Norma e OBSH </c:v>
                </c:pt>
              </c:strCache>
            </c:strRef>
          </c:tx>
          <c:spPr>
            <a:ln w="28575" cap="rnd">
              <a:solidFill>
                <a:schemeClr val="accent2"/>
              </a:solidFill>
              <a:round/>
            </a:ln>
            <a:effectLst/>
          </c:spPr>
          <c:marker>
            <c:symbol val="none"/>
          </c:marker>
          <c:cat>
            <c:strRef>
              <c:f>'Zhurmat Gjirokaster 2025 '!$B$13:$E$13</c:f>
              <c:strCache>
                <c:ptCount val="4"/>
                <c:pt idx="0">
                  <c:v>Kryqezimi ne Hyrje</c:v>
                </c:pt>
                <c:pt idx="1">
                  <c:v>Rrethrrotullimi te Stacioni</c:v>
                </c:pt>
                <c:pt idx="2">
                  <c:v>Sheshi "Çerçiz Topulli"</c:v>
                </c:pt>
                <c:pt idx="3">
                  <c:v>Kryqezimi i Rruges "Gjin Zenebisi"</c:v>
                </c:pt>
              </c:strCache>
            </c:strRef>
          </c:cat>
          <c:val>
            <c:numRef>
              <c:f>'Zhurmat Gjirokaster 2025 '!$B$15:$E$15</c:f>
              <c:numCache>
                <c:formatCode>General</c:formatCode>
                <c:ptCount val="4"/>
                <c:pt idx="0">
                  <c:v>45</c:v>
                </c:pt>
                <c:pt idx="1">
                  <c:v>45</c:v>
                </c:pt>
                <c:pt idx="2">
                  <c:v>45</c:v>
                </c:pt>
                <c:pt idx="3">
                  <c:v>45</c:v>
                </c:pt>
              </c:numCache>
            </c:numRef>
          </c:val>
          <c:smooth val="0"/>
          <c:extLst>
            <c:ext xmlns:c16="http://schemas.microsoft.com/office/drawing/2014/chart" uri="{C3380CC4-5D6E-409C-BE32-E72D297353CC}">
              <c16:uniqueId val="{00000001-9F9C-4730-A49F-FB27BB265AF2}"/>
            </c:ext>
          </c:extLst>
        </c:ser>
        <c:dLbls>
          <c:showLegendKey val="0"/>
          <c:showVal val="0"/>
          <c:showCatName val="0"/>
          <c:showSerName val="0"/>
          <c:showPercent val="0"/>
          <c:showBubbleSize val="0"/>
        </c:dLbls>
        <c:marker val="1"/>
        <c:smooth val="0"/>
        <c:axId val="255895040"/>
        <c:axId val="255896576"/>
      </c:lineChart>
      <c:catAx>
        <c:axId val="25589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896576"/>
        <c:crosses val="autoZero"/>
        <c:auto val="1"/>
        <c:lblAlgn val="ctr"/>
        <c:lblOffset val="100"/>
        <c:noMultiLvlLbl val="0"/>
      </c:catAx>
      <c:valAx>
        <c:axId val="2558965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89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Pogradec,</a:t>
            </a:r>
            <a:r>
              <a:rPr lang="sq-AL" sz="1200" b="1">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Niveli</a:t>
            </a:r>
            <a:r>
              <a:rPr lang="en-US" sz="1200" b="1" baseline="0">
                <a:latin typeface="Times New Roman" panose="02020603050405020304" pitchFamily="18" charset="0"/>
                <a:cs typeface="Times New Roman" panose="02020603050405020304" pitchFamily="18" charset="0"/>
              </a:rPr>
              <a:t> i Zhurmave 2025, LAeq/Ditën dB(A) </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'Zhurmat Pogradec 2025'!$A$6</c:f>
              <c:strCache>
                <c:ptCount val="1"/>
                <c:pt idx="0">
                  <c:v> LAeq/Diten dB(A) </c:v>
                </c:pt>
              </c:strCache>
            </c:strRef>
          </c:tx>
          <c:spPr>
            <a:solidFill>
              <a:srgbClr val="00B050"/>
            </a:solidFill>
            <a:ln>
              <a:noFill/>
            </a:ln>
            <a:effectLst/>
          </c:spPr>
          <c:invertIfNegative val="0"/>
          <c:cat>
            <c:strRef>
              <c:f>'Zhurmat Pogradec 2025'!$B$5:$C$5</c:f>
              <c:strCache>
                <c:ptCount val="2"/>
                <c:pt idx="0">
                  <c:v>Kryqezimi Terminali i Autobuzeve</c:v>
                </c:pt>
                <c:pt idx="1">
                  <c:v>Hyrja e Qytetit</c:v>
                </c:pt>
              </c:strCache>
            </c:strRef>
          </c:cat>
          <c:val>
            <c:numRef>
              <c:f>'Zhurmat Pogradec 2025'!$B$6:$C$6</c:f>
              <c:numCache>
                <c:formatCode>General</c:formatCode>
                <c:ptCount val="2"/>
                <c:pt idx="0">
                  <c:v>60.46</c:v>
                </c:pt>
                <c:pt idx="1">
                  <c:v>59.9</c:v>
                </c:pt>
              </c:numCache>
            </c:numRef>
          </c:val>
          <c:extLst>
            <c:ext xmlns:c16="http://schemas.microsoft.com/office/drawing/2014/chart" uri="{C3380CC4-5D6E-409C-BE32-E72D297353CC}">
              <c16:uniqueId val="{00000000-123A-4891-854A-35DC2F4AA4C2}"/>
            </c:ext>
          </c:extLst>
        </c:ser>
        <c:dLbls>
          <c:showLegendKey val="0"/>
          <c:showVal val="0"/>
          <c:showCatName val="0"/>
          <c:showSerName val="0"/>
          <c:showPercent val="0"/>
          <c:showBubbleSize val="0"/>
        </c:dLbls>
        <c:gapWidth val="219"/>
        <c:overlap val="-27"/>
        <c:axId val="256115840"/>
        <c:axId val="256117376"/>
      </c:barChart>
      <c:lineChart>
        <c:grouping val="standard"/>
        <c:varyColors val="0"/>
        <c:ser>
          <c:idx val="1"/>
          <c:order val="1"/>
          <c:tx>
            <c:strRef>
              <c:f>'Zhurmat Pogradec 2025'!$A$7</c:f>
              <c:strCache>
                <c:ptCount val="1"/>
                <c:pt idx="0">
                  <c:v>Norma e OBSH </c:v>
                </c:pt>
              </c:strCache>
            </c:strRef>
          </c:tx>
          <c:spPr>
            <a:ln w="28575" cap="rnd">
              <a:solidFill>
                <a:schemeClr val="accent2"/>
              </a:solidFill>
              <a:round/>
            </a:ln>
            <a:effectLst/>
          </c:spPr>
          <c:marker>
            <c:symbol val="none"/>
          </c:marker>
          <c:cat>
            <c:strRef>
              <c:f>'Zhurmat Pogradec 2025'!$B$5:$C$5</c:f>
              <c:strCache>
                <c:ptCount val="2"/>
                <c:pt idx="0">
                  <c:v>Kryqezimi Terminali i Autobuzeve</c:v>
                </c:pt>
                <c:pt idx="1">
                  <c:v>Hyrja e Qytetit</c:v>
                </c:pt>
              </c:strCache>
            </c:strRef>
          </c:cat>
          <c:val>
            <c:numRef>
              <c:f>'Zhurmat Pogradec 2025'!$B$7:$C$7</c:f>
              <c:numCache>
                <c:formatCode>General</c:formatCode>
                <c:ptCount val="2"/>
                <c:pt idx="0">
                  <c:v>55</c:v>
                </c:pt>
                <c:pt idx="1">
                  <c:v>55</c:v>
                </c:pt>
              </c:numCache>
            </c:numRef>
          </c:val>
          <c:smooth val="0"/>
          <c:extLst>
            <c:ext xmlns:c16="http://schemas.microsoft.com/office/drawing/2014/chart" uri="{C3380CC4-5D6E-409C-BE32-E72D297353CC}">
              <c16:uniqueId val="{00000001-123A-4891-854A-35DC2F4AA4C2}"/>
            </c:ext>
          </c:extLst>
        </c:ser>
        <c:dLbls>
          <c:showLegendKey val="0"/>
          <c:showVal val="0"/>
          <c:showCatName val="0"/>
          <c:showSerName val="0"/>
          <c:showPercent val="0"/>
          <c:showBubbleSize val="0"/>
        </c:dLbls>
        <c:marker val="1"/>
        <c:smooth val="0"/>
        <c:axId val="256115840"/>
        <c:axId val="256117376"/>
      </c:lineChart>
      <c:catAx>
        <c:axId val="25611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117376"/>
        <c:crosses val="autoZero"/>
        <c:auto val="1"/>
        <c:lblAlgn val="ctr"/>
        <c:lblOffset val="100"/>
        <c:noMultiLvlLbl val="0"/>
      </c:catAx>
      <c:valAx>
        <c:axId val="2561173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11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Pogradec,</a:t>
            </a:r>
            <a:r>
              <a:rPr lang="sq-AL" sz="1200" b="1">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Niveli i Zhurmave 2025, LAeq/Natën dB(A</a:t>
            </a:r>
            <a:r>
              <a:rPr lang="en-US" b="1"/>
              <a:t>)</a:t>
            </a:r>
          </a:p>
        </c:rich>
      </c:tx>
      <c:overlay val="0"/>
      <c:spPr>
        <a:noFill/>
        <a:ln>
          <a:noFill/>
        </a:ln>
        <a:effectLst/>
      </c:spPr>
    </c:title>
    <c:autoTitleDeleted val="0"/>
    <c:plotArea>
      <c:layout/>
      <c:barChart>
        <c:barDir val="col"/>
        <c:grouping val="clustered"/>
        <c:varyColors val="0"/>
        <c:ser>
          <c:idx val="0"/>
          <c:order val="0"/>
          <c:tx>
            <c:strRef>
              <c:f>'Zhurmat Pogradec 2025'!$A$11</c:f>
              <c:strCache>
                <c:ptCount val="1"/>
                <c:pt idx="0">
                  <c:v>LAeq/Naten dB(A) </c:v>
                </c:pt>
              </c:strCache>
            </c:strRef>
          </c:tx>
          <c:spPr>
            <a:solidFill>
              <a:srgbClr val="00B050"/>
            </a:solidFill>
            <a:ln>
              <a:noFill/>
            </a:ln>
            <a:effectLst/>
          </c:spPr>
          <c:invertIfNegative val="0"/>
          <c:cat>
            <c:strRef>
              <c:f>'Zhurmat Pogradec 2025'!$B$10:$C$10</c:f>
              <c:strCache>
                <c:ptCount val="2"/>
                <c:pt idx="0">
                  <c:v>Kryqezimi Terminali i Autobuzeve</c:v>
                </c:pt>
                <c:pt idx="1">
                  <c:v>Hyrja e Qytetit</c:v>
                </c:pt>
              </c:strCache>
            </c:strRef>
          </c:cat>
          <c:val>
            <c:numRef>
              <c:f>'Zhurmat Pogradec 2025'!$B$11:$C$11</c:f>
              <c:numCache>
                <c:formatCode>General</c:formatCode>
                <c:ptCount val="2"/>
                <c:pt idx="0">
                  <c:v>47.56</c:v>
                </c:pt>
                <c:pt idx="1">
                  <c:v>47.73</c:v>
                </c:pt>
              </c:numCache>
            </c:numRef>
          </c:val>
          <c:extLst>
            <c:ext xmlns:c16="http://schemas.microsoft.com/office/drawing/2014/chart" uri="{C3380CC4-5D6E-409C-BE32-E72D297353CC}">
              <c16:uniqueId val="{00000000-9FF0-4200-8A34-18B14F67DD81}"/>
            </c:ext>
          </c:extLst>
        </c:ser>
        <c:dLbls>
          <c:showLegendKey val="0"/>
          <c:showVal val="0"/>
          <c:showCatName val="0"/>
          <c:showSerName val="0"/>
          <c:showPercent val="0"/>
          <c:showBubbleSize val="0"/>
        </c:dLbls>
        <c:gapWidth val="219"/>
        <c:overlap val="-27"/>
        <c:axId val="256381696"/>
        <c:axId val="256383232"/>
      </c:barChart>
      <c:lineChart>
        <c:grouping val="standard"/>
        <c:varyColors val="0"/>
        <c:ser>
          <c:idx val="1"/>
          <c:order val="1"/>
          <c:tx>
            <c:strRef>
              <c:f>'Zhurmat Pogradec 2025'!$A$12</c:f>
              <c:strCache>
                <c:ptCount val="1"/>
                <c:pt idx="0">
                  <c:v>Norma e OBSH </c:v>
                </c:pt>
              </c:strCache>
            </c:strRef>
          </c:tx>
          <c:spPr>
            <a:ln w="28575" cap="rnd">
              <a:solidFill>
                <a:schemeClr val="accent2"/>
              </a:solidFill>
              <a:round/>
            </a:ln>
            <a:effectLst/>
          </c:spPr>
          <c:marker>
            <c:symbol val="none"/>
          </c:marker>
          <c:cat>
            <c:strRef>
              <c:f>'Zhurmat Pogradec 2025'!$B$10:$C$10</c:f>
              <c:strCache>
                <c:ptCount val="2"/>
                <c:pt idx="0">
                  <c:v>Kryqezimi Terminali i Autobuzeve</c:v>
                </c:pt>
                <c:pt idx="1">
                  <c:v>Hyrja e Qytetit</c:v>
                </c:pt>
              </c:strCache>
            </c:strRef>
          </c:cat>
          <c:val>
            <c:numRef>
              <c:f>'Zhurmat Pogradec 2025'!$B$12:$C$12</c:f>
              <c:numCache>
                <c:formatCode>General</c:formatCode>
                <c:ptCount val="2"/>
                <c:pt idx="0">
                  <c:v>45</c:v>
                </c:pt>
                <c:pt idx="1">
                  <c:v>45</c:v>
                </c:pt>
              </c:numCache>
            </c:numRef>
          </c:val>
          <c:smooth val="0"/>
          <c:extLst>
            <c:ext xmlns:c16="http://schemas.microsoft.com/office/drawing/2014/chart" uri="{C3380CC4-5D6E-409C-BE32-E72D297353CC}">
              <c16:uniqueId val="{00000001-9FF0-4200-8A34-18B14F67DD81}"/>
            </c:ext>
          </c:extLst>
        </c:ser>
        <c:dLbls>
          <c:showLegendKey val="0"/>
          <c:showVal val="0"/>
          <c:showCatName val="0"/>
          <c:showSerName val="0"/>
          <c:showPercent val="0"/>
          <c:showBubbleSize val="0"/>
        </c:dLbls>
        <c:marker val="1"/>
        <c:smooth val="0"/>
        <c:axId val="256381696"/>
        <c:axId val="256383232"/>
      </c:lineChart>
      <c:catAx>
        <c:axId val="25638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383232"/>
        <c:crosses val="autoZero"/>
        <c:auto val="1"/>
        <c:lblAlgn val="ctr"/>
        <c:lblOffset val="100"/>
        <c:noMultiLvlLbl val="0"/>
      </c:catAx>
      <c:valAx>
        <c:axId val="2563832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381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Përmet,</a:t>
            </a:r>
            <a:r>
              <a:rPr lang="sq-AL" sz="1200" b="1">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Niveli i Zhurmave 2025, LAeq/Ditën dB(A) </a:t>
            </a:r>
          </a:p>
        </c:rich>
      </c:tx>
      <c:layout>
        <c:manualLayout>
          <c:xMode val="edge"/>
          <c:yMode val="edge"/>
          <c:x val="0.1113862252366969"/>
          <c:y val="2.3289665211062592E-2"/>
        </c:manualLayout>
      </c:layout>
      <c:overlay val="0"/>
      <c:spPr>
        <a:noFill/>
        <a:ln>
          <a:noFill/>
        </a:ln>
        <a:effectLst/>
      </c:spPr>
    </c:title>
    <c:autoTitleDeleted val="0"/>
    <c:plotArea>
      <c:layout>
        <c:manualLayout>
          <c:layoutTarget val="inner"/>
          <c:xMode val="edge"/>
          <c:yMode val="edge"/>
          <c:x val="5.2692038495188102E-2"/>
          <c:y val="0.14393518518518519"/>
          <c:w val="0.90286351706036749"/>
          <c:h val="0.61498432487605714"/>
        </c:manualLayout>
      </c:layout>
      <c:barChart>
        <c:barDir val="col"/>
        <c:grouping val="clustered"/>
        <c:varyColors val="0"/>
        <c:ser>
          <c:idx val="0"/>
          <c:order val="0"/>
          <c:tx>
            <c:strRef>
              <c:f>'Zhurmat Permet 2025'!$A$6</c:f>
              <c:strCache>
                <c:ptCount val="1"/>
                <c:pt idx="0">
                  <c:v> LAeq/Diten dB(A) </c:v>
                </c:pt>
              </c:strCache>
            </c:strRef>
          </c:tx>
          <c:spPr>
            <a:solidFill>
              <a:srgbClr val="00B050"/>
            </a:solidFill>
            <a:ln>
              <a:noFill/>
            </a:ln>
            <a:effectLst/>
          </c:spPr>
          <c:invertIfNegative val="0"/>
          <c:cat>
            <c:strRef>
              <c:f>'Zhurmat Permet 2025'!$B$5:$C$5</c:f>
              <c:strCache>
                <c:ptCount val="2"/>
                <c:pt idx="0">
                  <c:v>Ura ne Hyrje</c:v>
                </c:pt>
                <c:pt idx="1">
                  <c:v>Bashkia</c:v>
                </c:pt>
              </c:strCache>
            </c:strRef>
          </c:cat>
          <c:val>
            <c:numRef>
              <c:f>'Zhurmat Permet 2025'!$B$6:$C$6</c:f>
              <c:numCache>
                <c:formatCode>General</c:formatCode>
                <c:ptCount val="2"/>
                <c:pt idx="0">
                  <c:v>54.07</c:v>
                </c:pt>
                <c:pt idx="1">
                  <c:v>56.23</c:v>
                </c:pt>
              </c:numCache>
            </c:numRef>
          </c:val>
          <c:extLst>
            <c:ext xmlns:c16="http://schemas.microsoft.com/office/drawing/2014/chart" uri="{C3380CC4-5D6E-409C-BE32-E72D297353CC}">
              <c16:uniqueId val="{00000000-489D-46C7-9A82-3B31238663A8}"/>
            </c:ext>
          </c:extLst>
        </c:ser>
        <c:dLbls>
          <c:showLegendKey val="0"/>
          <c:showVal val="0"/>
          <c:showCatName val="0"/>
          <c:showSerName val="0"/>
          <c:showPercent val="0"/>
          <c:showBubbleSize val="0"/>
        </c:dLbls>
        <c:gapWidth val="219"/>
        <c:overlap val="-27"/>
        <c:axId val="256496000"/>
        <c:axId val="256497536"/>
      </c:barChart>
      <c:lineChart>
        <c:grouping val="standard"/>
        <c:varyColors val="0"/>
        <c:ser>
          <c:idx val="1"/>
          <c:order val="1"/>
          <c:tx>
            <c:strRef>
              <c:f>'Zhurmat Permet 2025'!$A$7</c:f>
              <c:strCache>
                <c:ptCount val="1"/>
                <c:pt idx="0">
                  <c:v>Norma e OBSH </c:v>
                </c:pt>
              </c:strCache>
            </c:strRef>
          </c:tx>
          <c:spPr>
            <a:ln w="28575" cap="rnd">
              <a:solidFill>
                <a:schemeClr val="accent2"/>
              </a:solidFill>
              <a:round/>
            </a:ln>
            <a:effectLst/>
          </c:spPr>
          <c:marker>
            <c:symbol val="none"/>
          </c:marker>
          <c:cat>
            <c:strRef>
              <c:f>'Zhurmat Permet 2025'!$B$5:$C$5</c:f>
              <c:strCache>
                <c:ptCount val="2"/>
                <c:pt idx="0">
                  <c:v>Ura ne Hyrje</c:v>
                </c:pt>
                <c:pt idx="1">
                  <c:v>Bashkia</c:v>
                </c:pt>
              </c:strCache>
            </c:strRef>
          </c:cat>
          <c:val>
            <c:numRef>
              <c:f>'Zhurmat Permet 2025'!$B$7:$C$7</c:f>
              <c:numCache>
                <c:formatCode>General</c:formatCode>
                <c:ptCount val="2"/>
                <c:pt idx="0">
                  <c:v>55</c:v>
                </c:pt>
                <c:pt idx="1">
                  <c:v>55</c:v>
                </c:pt>
              </c:numCache>
            </c:numRef>
          </c:val>
          <c:smooth val="0"/>
          <c:extLst>
            <c:ext xmlns:c16="http://schemas.microsoft.com/office/drawing/2014/chart" uri="{C3380CC4-5D6E-409C-BE32-E72D297353CC}">
              <c16:uniqueId val="{00000001-489D-46C7-9A82-3B31238663A8}"/>
            </c:ext>
          </c:extLst>
        </c:ser>
        <c:dLbls>
          <c:showLegendKey val="0"/>
          <c:showVal val="0"/>
          <c:showCatName val="0"/>
          <c:showSerName val="0"/>
          <c:showPercent val="0"/>
          <c:showBubbleSize val="0"/>
        </c:dLbls>
        <c:marker val="1"/>
        <c:smooth val="0"/>
        <c:axId val="256496000"/>
        <c:axId val="256497536"/>
      </c:lineChart>
      <c:catAx>
        <c:axId val="25649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497536"/>
        <c:crosses val="autoZero"/>
        <c:auto val="1"/>
        <c:lblAlgn val="ctr"/>
        <c:lblOffset val="100"/>
        <c:noMultiLvlLbl val="0"/>
      </c:catAx>
      <c:valAx>
        <c:axId val="2564975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49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Përmet</a:t>
            </a:r>
            <a:r>
              <a:rPr lang="en-US" sz="1200" b="1" baseline="0">
                <a:latin typeface="Times New Roman" panose="02020603050405020304" pitchFamily="18" charset="0"/>
                <a:cs typeface="Times New Roman" panose="02020603050405020304" pitchFamily="18" charset="0"/>
              </a:rPr>
              <a:t>,</a:t>
            </a:r>
            <a:r>
              <a:rPr lang="sq-AL" sz="1200" b="1" baseline="0">
                <a:latin typeface="Times New Roman" panose="02020603050405020304" pitchFamily="18" charset="0"/>
                <a:cs typeface="Times New Roman" panose="02020603050405020304" pitchFamily="18" charset="0"/>
              </a:rPr>
              <a:t> </a:t>
            </a:r>
            <a:r>
              <a:rPr lang="en-US" sz="1200" b="1" baseline="0">
                <a:latin typeface="Times New Roman" panose="02020603050405020304" pitchFamily="18" charset="0"/>
                <a:cs typeface="Times New Roman" panose="02020603050405020304" pitchFamily="18" charset="0"/>
              </a:rPr>
              <a:t>Niveli i zhurmave  2025, LAeq/Natën dB(A)</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'Zhurmat Permet 2025'!$E$6</c:f>
              <c:strCache>
                <c:ptCount val="1"/>
                <c:pt idx="0">
                  <c:v>LAeq/Naten dB(A) </c:v>
                </c:pt>
              </c:strCache>
            </c:strRef>
          </c:tx>
          <c:spPr>
            <a:solidFill>
              <a:srgbClr val="00B050"/>
            </a:solidFill>
            <a:ln>
              <a:noFill/>
            </a:ln>
            <a:effectLst/>
          </c:spPr>
          <c:invertIfNegative val="0"/>
          <c:cat>
            <c:strRef>
              <c:f>'Zhurmat Permet 2025'!$F$5:$G$5</c:f>
              <c:strCache>
                <c:ptCount val="2"/>
                <c:pt idx="0">
                  <c:v>Ura ne Hyrje</c:v>
                </c:pt>
                <c:pt idx="1">
                  <c:v>Bashkia</c:v>
                </c:pt>
              </c:strCache>
            </c:strRef>
          </c:cat>
          <c:val>
            <c:numRef>
              <c:f>'Zhurmat Permet 2025'!$F$6:$G$6</c:f>
              <c:numCache>
                <c:formatCode>General</c:formatCode>
                <c:ptCount val="2"/>
                <c:pt idx="0">
                  <c:v>43.89</c:v>
                </c:pt>
                <c:pt idx="1">
                  <c:v>44.69</c:v>
                </c:pt>
              </c:numCache>
            </c:numRef>
          </c:val>
          <c:extLst>
            <c:ext xmlns:c16="http://schemas.microsoft.com/office/drawing/2014/chart" uri="{C3380CC4-5D6E-409C-BE32-E72D297353CC}">
              <c16:uniqueId val="{00000000-E918-4CA8-B414-29219129D827}"/>
            </c:ext>
          </c:extLst>
        </c:ser>
        <c:dLbls>
          <c:showLegendKey val="0"/>
          <c:showVal val="0"/>
          <c:showCatName val="0"/>
          <c:showSerName val="0"/>
          <c:showPercent val="0"/>
          <c:showBubbleSize val="0"/>
        </c:dLbls>
        <c:gapWidth val="219"/>
        <c:overlap val="-27"/>
        <c:axId val="256598016"/>
        <c:axId val="256599552"/>
      </c:barChart>
      <c:lineChart>
        <c:grouping val="standard"/>
        <c:varyColors val="0"/>
        <c:ser>
          <c:idx val="1"/>
          <c:order val="1"/>
          <c:tx>
            <c:strRef>
              <c:f>'Zhurmat Permet 2025'!$E$7</c:f>
              <c:strCache>
                <c:ptCount val="1"/>
                <c:pt idx="0">
                  <c:v>Norma e OBSH </c:v>
                </c:pt>
              </c:strCache>
            </c:strRef>
          </c:tx>
          <c:spPr>
            <a:ln w="28575" cap="rnd">
              <a:solidFill>
                <a:schemeClr val="accent2"/>
              </a:solidFill>
              <a:round/>
            </a:ln>
            <a:effectLst/>
          </c:spPr>
          <c:marker>
            <c:symbol val="none"/>
          </c:marker>
          <c:cat>
            <c:strRef>
              <c:f>'Zhurmat Permet 2025'!$F$5:$G$5</c:f>
              <c:strCache>
                <c:ptCount val="2"/>
                <c:pt idx="0">
                  <c:v>Ura ne Hyrje</c:v>
                </c:pt>
                <c:pt idx="1">
                  <c:v>Bashkia</c:v>
                </c:pt>
              </c:strCache>
            </c:strRef>
          </c:cat>
          <c:val>
            <c:numRef>
              <c:f>'Zhurmat Permet 2025'!$F$7:$G$7</c:f>
              <c:numCache>
                <c:formatCode>General</c:formatCode>
                <c:ptCount val="2"/>
                <c:pt idx="0">
                  <c:v>45</c:v>
                </c:pt>
                <c:pt idx="1">
                  <c:v>45</c:v>
                </c:pt>
              </c:numCache>
            </c:numRef>
          </c:val>
          <c:smooth val="0"/>
          <c:extLst>
            <c:ext xmlns:c16="http://schemas.microsoft.com/office/drawing/2014/chart" uri="{C3380CC4-5D6E-409C-BE32-E72D297353CC}">
              <c16:uniqueId val="{00000001-E918-4CA8-B414-29219129D827}"/>
            </c:ext>
          </c:extLst>
        </c:ser>
        <c:dLbls>
          <c:showLegendKey val="0"/>
          <c:showVal val="0"/>
          <c:showCatName val="0"/>
          <c:showSerName val="0"/>
          <c:showPercent val="0"/>
          <c:showBubbleSize val="0"/>
        </c:dLbls>
        <c:marker val="1"/>
        <c:smooth val="0"/>
        <c:axId val="256598016"/>
        <c:axId val="256599552"/>
      </c:lineChart>
      <c:catAx>
        <c:axId val="25659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599552"/>
        <c:crosses val="autoZero"/>
        <c:auto val="1"/>
        <c:lblAlgn val="ctr"/>
        <c:lblOffset val="100"/>
        <c:noMultiLvlLbl val="0"/>
      </c:catAx>
      <c:valAx>
        <c:axId val="256599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59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Lushnje,</a:t>
            </a:r>
            <a:r>
              <a:rPr lang="sq-AL" sz="1200" b="1">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Niveli i Zhurmave LAeq/Ditën dB(A</a:t>
            </a:r>
            <a:r>
              <a:rPr lang="en-US"/>
              <a:t>) </a:t>
            </a:r>
          </a:p>
        </c:rich>
      </c:tx>
      <c:overlay val="0"/>
      <c:spPr>
        <a:noFill/>
        <a:ln>
          <a:noFill/>
        </a:ln>
        <a:effectLst/>
      </c:spPr>
    </c:title>
    <c:autoTitleDeleted val="0"/>
    <c:plotArea>
      <c:layout>
        <c:manualLayout>
          <c:layoutTarget val="inner"/>
          <c:xMode val="edge"/>
          <c:yMode val="edge"/>
          <c:x val="5.2692038495188102E-2"/>
          <c:y val="0.19486111111111112"/>
          <c:w val="0.90286351706036749"/>
          <c:h val="0.51327099737532811"/>
        </c:manualLayout>
      </c:layout>
      <c:barChart>
        <c:barDir val="col"/>
        <c:grouping val="clustered"/>
        <c:varyColors val="0"/>
        <c:ser>
          <c:idx val="0"/>
          <c:order val="0"/>
          <c:tx>
            <c:strRef>
              <c:f>'Zhurmat Lushnje 2025'!$A$9</c:f>
              <c:strCache>
                <c:ptCount val="1"/>
                <c:pt idx="0">
                  <c:v> LAeq/Diten dB(A) </c:v>
                </c:pt>
              </c:strCache>
            </c:strRef>
          </c:tx>
          <c:spPr>
            <a:solidFill>
              <a:srgbClr val="00B050"/>
            </a:solidFill>
            <a:ln>
              <a:noFill/>
            </a:ln>
            <a:effectLst/>
          </c:spPr>
          <c:invertIfNegative val="0"/>
          <c:cat>
            <c:strRef>
              <c:f>'Zhurmat Lushnje 2025'!$B$8:$E$8</c:f>
              <c:strCache>
                <c:ptCount val="4"/>
                <c:pt idx="0">
                  <c:v>Rrethrrotullimi i Plasmasit</c:v>
                </c:pt>
                <c:pt idx="1">
                  <c:v>Shkolla "18 Tetori"</c:v>
                </c:pt>
                <c:pt idx="2">
                  <c:v>Kryqëzimi Ish Instituti Bujqësor (Shëtitorja e Palmave)</c:v>
                </c:pt>
                <c:pt idx="3">
                  <c:v>Stacioni Trenit</c:v>
                </c:pt>
              </c:strCache>
            </c:strRef>
          </c:cat>
          <c:val>
            <c:numRef>
              <c:f>'Zhurmat Lushnje 2025'!$B$9:$E$9</c:f>
              <c:numCache>
                <c:formatCode>General</c:formatCode>
                <c:ptCount val="4"/>
                <c:pt idx="0">
                  <c:v>55.32</c:v>
                </c:pt>
                <c:pt idx="1">
                  <c:v>53.9</c:v>
                </c:pt>
                <c:pt idx="2">
                  <c:v>60.39</c:v>
                </c:pt>
                <c:pt idx="3">
                  <c:v>58.77</c:v>
                </c:pt>
              </c:numCache>
            </c:numRef>
          </c:val>
          <c:extLst>
            <c:ext xmlns:c16="http://schemas.microsoft.com/office/drawing/2014/chart" uri="{C3380CC4-5D6E-409C-BE32-E72D297353CC}">
              <c16:uniqueId val="{00000000-D9E3-4BDD-84C5-09BC19D0B132}"/>
            </c:ext>
          </c:extLst>
        </c:ser>
        <c:dLbls>
          <c:showLegendKey val="0"/>
          <c:showVal val="0"/>
          <c:showCatName val="0"/>
          <c:showSerName val="0"/>
          <c:showPercent val="0"/>
          <c:showBubbleSize val="0"/>
        </c:dLbls>
        <c:gapWidth val="219"/>
        <c:overlap val="-27"/>
        <c:axId val="256818560"/>
        <c:axId val="256877696"/>
      </c:barChart>
      <c:lineChart>
        <c:grouping val="standard"/>
        <c:varyColors val="0"/>
        <c:ser>
          <c:idx val="1"/>
          <c:order val="1"/>
          <c:tx>
            <c:strRef>
              <c:f>'Zhurmat Lushnje 2025'!$A$10</c:f>
              <c:strCache>
                <c:ptCount val="1"/>
                <c:pt idx="0">
                  <c:v>Norma e OBSH </c:v>
                </c:pt>
              </c:strCache>
            </c:strRef>
          </c:tx>
          <c:spPr>
            <a:ln w="28575" cap="rnd">
              <a:solidFill>
                <a:schemeClr val="accent2"/>
              </a:solidFill>
              <a:round/>
            </a:ln>
            <a:effectLst/>
          </c:spPr>
          <c:marker>
            <c:symbol val="none"/>
          </c:marker>
          <c:cat>
            <c:strRef>
              <c:f>'Zhurmat Lushnje 2025'!$B$8:$E$8</c:f>
              <c:strCache>
                <c:ptCount val="4"/>
                <c:pt idx="0">
                  <c:v>Rrethrrotullimi i Plasmasit</c:v>
                </c:pt>
                <c:pt idx="1">
                  <c:v>Shkolla "18 Tetori"</c:v>
                </c:pt>
                <c:pt idx="2">
                  <c:v>Kryqëzimi Ish Instituti Bujqësor (Shëtitorja e Palmave)</c:v>
                </c:pt>
                <c:pt idx="3">
                  <c:v>Stacioni Trenit</c:v>
                </c:pt>
              </c:strCache>
            </c:strRef>
          </c:cat>
          <c:val>
            <c:numRef>
              <c:f>'Zhurmat Lushnje 2025'!$B$10:$E$10</c:f>
              <c:numCache>
                <c:formatCode>General</c:formatCode>
                <c:ptCount val="4"/>
                <c:pt idx="0">
                  <c:v>55</c:v>
                </c:pt>
                <c:pt idx="1">
                  <c:v>55</c:v>
                </c:pt>
                <c:pt idx="2">
                  <c:v>55</c:v>
                </c:pt>
                <c:pt idx="3">
                  <c:v>55</c:v>
                </c:pt>
              </c:numCache>
            </c:numRef>
          </c:val>
          <c:smooth val="0"/>
          <c:extLst>
            <c:ext xmlns:c16="http://schemas.microsoft.com/office/drawing/2014/chart" uri="{C3380CC4-5D6E-409C-BE32-E72D297353CC}">
              <c16:uniqueId val="{00000001-D9E3-4BDD-84C5-09BC19D0B132}"/>
            </c:ext>
          </c:extLst>
        </c:ser>
        <c:dLbls>
          <c:showLegendKey val="0"/>
          <c:showVal val="0"/>
          <c:showCatName val="0"/>
          <c:showSerName val="0"/>
          <c:showPercent val="0"/>
          <c:showBubbleSize val="0"/>
        </c:dLbls>
        <c:marker val="1"/>
        <c:smooth val="0"/>
        <c:axId val="256818560"/>
        <c:axId val="256877696"/>
      </c:lineChart>
      <c:catAx>
        <c:axId val="25681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877696"/>
        <c:crosses val="autoZero"/>
        <c:auto val="1"/>
        <c:lblAlgn val="ctr"/>
        <c:lblOffset val="100"/>
        <c:noMultiLvlLbl val="0"/>
      </c:catAx>
      <c:valAx>
        <c:axId val="25687769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81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Lushnje,</a:t>
            </a:r>
            <a:r>
              <a:rPr lang="sq-AL" sz="1200" b="1">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Niveli</a:t>
            </a:r>
            <a:r>
              <a:rPr lang="en-US" sz="1200" b="1" baseline="0">
                <a:latin typeface="Times New Roman" panose="02020603050405020304" pitchFamily="18" charset="0"/>
                <a:cs typeface="Times New Roman" panose="02020603050405020304" pitchFamily="18" charset="0"/>
              </a:rPr>
              <a:t> i Zhurmave LAeq/Natën dB(A)</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'Zhurmat Lushnje 2025'!$A$14</c:f>
              <c:strCache>
                <c:ptCount val="1"/>
                <c:pt idx="0">
                  <c:v>LAeq/Naten dB(A) </c:v>
                </c:pt>
              </c:strCache>
            </c:strRef>
          </c:tx>
          <c:spPr>
            <a:solidFill>
              <a:srgbClr val="00B050"/>
            </a:solidFill>
            <a:ln>
              <a:noFill/>
            </a:ln>
            <a:effectLst/>
          </c:spPr>
          <c:invertIfNegative val="0"/>
          <c:cat>
            <c:strRef>
              <c:f>'Zhurmat Lushnje 2025'!$B$13:$E$13</c:f>
              <c:strCache>
                <c:ptCount val="4"/>
                <c:pt idx="0">
                  <c:v>Rrethrrotullimi i Plasmasit</c:v>
                </c:pt>
                <c:pt idx="1">
                  <c:v>Shkolla "18 Tetori"</c:v>
                </c:pt>
                <c:pt idx="2">
                  <c:v>Kryqëzimi Ish Instituti Bujqësor (Shëtitorja e Palmave)</c:v>
                </c:pt>
                <c:pt idx="3">
                  <c:v>Stacioni Trenit</c:v>
                </c:pt>
              </c:strCache>
            </c:strRef>
          </c:cat>
          <c:val>
            <c:numRef>
              <c:f>'Zhurmat Lushnje 2025'!$B$14:$E$14</c:f>
              <c:numCache>
                <c:formatCode>General</c:formatCode>
                <c:ptCount val="4"/>
                <c:pt idx="0">
                  <c:v>45.11</c:v>
                </c:pt>
                <c:pt idx="1">
                  <c:v>45.1</c:v>
                </c:pt>
                <c:pt idx="2">
                  <c:v>48.22</c:v>
                </c:pt>
                <c:pt idx="3">
                  <c:v>46.52</c:v>
                </c:pt>
              </c:numCache>
            </c:numRef>
          </c:val>
          <c:extLst>
            <c:ext xmlns:c16="http://schemas.microsoft.com/office/drawing/2014/chart" uri="{C3380CC4-5D6E-409C-BE32-E72D297353CC}">
              <c16:uniqueId val="{00000000-DB9C-4C68-B313-38D32735F1B1}"/>
            </c:ext>
          </c:extLst>
        </c:ser>
        <c:dLbls>
          <c:showLegendKey val="0"/>
          <c:showVal val="0"/>
          <c:showCatName val="0"/>
          <c:showSerName val="0"/>
          <c:showPercent val="0"/>
          <c:showBubbleSize val="0"/>
        </c:dLbls>
        <c:gapWidth val="219"/>
        <c:overlap val="-27"/>
        <c:axId val="257149952"/>
        <c:axId val="257594112"/>
      </c:barChart>
      <c:lineChart>
        <c:grouping val="standard"/>
        <c:varyColors val="0"/>
        <c:ser>
          <c:idx val="1"/>
          <c:order val="1"/>
          <c:tx>
            <c:strRef>
              <c:f>'Zhurmat Lushnje 2025'!$A$15</c:f>
              <c:strCache>
                <c:ptCount val="1"/>
                <c:pt idx="0">
                  <c:v>Norma e OBSH </c:v>
                </c:pt>
              </c:strCache>
            </c:strRef>
          </c:tx>
          <c:spPr>
            <a:ln w="28575" cap="rnd">
              <a:solidFill>
                <a:schemeClr val="accent2"/>
              </a:solidFill>
              <a:round/>
            </a:ln>
            <a:effectLst/>
          </c:spPr>
          <c:marker>
            <c:symbol val="none"/>
          </c:marker>
          <c:cat>
            <c:strRef>
              <c:f>'Zhurmat Lushnje 2025'!$B$13:$E$13</c:f>
              <c:strCache>
                <c:ptCount val="4"/>
                <c:pt idx="0">
                  <c:v>Rrethrrotullimi i Plasmasit</c:v>
                </c:pt>
                <c:pt idx="1">
                  <c:v>Shkolla "18 Tetori"</c:v>
                </c:pt>
                <c:pt idx="2">
                  <c:v>Kryqëzimi Ish Instituti Bujqësor (Shëtitorja e Palmave)</c:v>
                </c:pt>
                <c:pt idx="3">
                  <c:v>Stacioni Trenit</c:v>
                </c:pt>
              </c:strCache>
            </c:strRef>
          </c:cat>
          <c:val>
            <c:numRef>
              <c:f>'Zhurmat Lushnje 2025'!$B$15:$E$15</c:f>
              <c:numCache>
                <c:formatCode>General</c:formatCode>
                <c:ptCount val="4"/>
                <c:pt idx="0">
                  <c:v>45</c:v>
                </c:pt>
                <c:pt idx="1">
                  <c:v>45</c:v>
                </c:pt>
                <c:pt idx="2">
                  <c:v>45</c:v>
                </c:pt>
                <c:pt idx="3">
                  <c:v>45</c:v>
                </c:pt>
              </c:numCache>
            </c:numRef>
          </c:val>
          <c:smooth val="0"/>
          <c:extLst>
            <c:ext xmlns:c16="http://schemas.microsoft.com/office/drawing/2014/chart" uri="{C3380CC4-5D6E-409C-BE32-E72D297353CC}">
              <c16:uniqueId val="{00000001-DB9C-4C68-B313-38D32735F1B1}"/>
            </c:ext>
          </c:extLst>
        </c:ser>
        <c:dLbls>
          <c:showLegendKey val="0"/>
          <c:showVal val="0"/>
          <c:showCatName val="0"/>
          <c:showSerName val="0"/>
          <c:showPercent val="0"/>
          <c:showBubbleSize val="0"/>
        </c:dLbls>
        <c:marker val="1"/>
        <c:smooth val="0"/>
        <c:axId val="257149952"/>
        <c:axId val="257594112"/>
      </c:lineChart>
      <c:catAx>
        <c:axId val="25714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594112"/>
        <c:crosses val="autoZero"/>
        <c:auto val="1"/>
        <c:lblAlgn val="ctr"/>
        <c:lblOffset val="100"/>
        <c:noMultiLvlLbl val="0"/>
      </c:catAx>
      <c:valAx>
        <c:axId val="2575941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149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200">
                <a:latin typeface="Times New Roman" pitchFamily="18" charset="0"/>
                <a:cs typeface="Times New Roman" pitchFamily="18" charset="0"/>
              </a:rPr>
              <a:t>Oksigjeni i tretur</a:t>
            </a:r>
          </a:p>
        </c:rich>
      </c:tx>
      <c:overlay val="0"/>
    </c:title>
    <c:autoTitleDeleted val="0"/>
    <c:plotArea>
      <c:layout/>
      <c:barChart>
        <c:barDir val="col"/>
        <c:grouping val="clustered"/>
        <c:varyColors val="0"/>
        <c:ser>
          <c:idx val="0"/>
          <c:order val="0"/>
          <c:tx>
            <c:strRef>
              <c:f>'Baseni Drinit'!$B$5</c:f>
              <c:strCache>
                <c:ptCount val="1"/>
                <c:pt idx="0">
                  <c:v>mesatare vjetore 2025</c:v>
                </c:pt>
              </c:strCache>
            </c:strRef>
          </c:tx>
          <c:invertIfNegative val="0"/>
          <c:cat>
            <c:strRef>
              <c:f>'Baseni Drinit'!$C$4:$I$4</c:f>
              <c:strCache>
                <c:ptCount val="7"/>
                <c:pt idx="0">
                  <c:v>D1</c:v>
                </c:pt>
                <c:pt idx="1">
                  <c:v>D2</c:v>
                </c:pt>
                <c:pt idx="2">
                  <c:v>D3</c:v>
                </c:pt>
                <c:pt idx="3">
                  <c:v>Bu1</c:v>
                </c:pt>
                <c:pt idx="4">
                  <c:v>Ki</c:v>
                </c:pt>
                <c:pt idx="5">
                  <c:v>Bu2</c:v>
                </c:pt>
                <c:pt idx="6">
                  <c:v>DLe</c:v>
                </c:pt>
              </c:strCache>
            </c:strRef>
          </c:cat>
          <c:val>
            <c:numRef>
              <c:f>'Baseni Drinit'!$C$5:$I$5</c:f>
              <c:numCache>
                <c:formatCode>General</c:formatCode>
                <c:ptCount val="7"/>
                <c:pt idx="0">
                  <c:v>12.3</c:v>
                </c:pt>
                <c:pt idx="1">
                  <c:v>9.25</c:v>
                </c:pt>
                <c:pt idx="2">
                  <c:v>12.3</c:v>
                </c:pt>
                <c:pt idx="3">
                  <c:v>9.6</c:v>
                </c:pt>
                <c:pt idx="4">
                  <c:v>9.9</c:v>
                </c:pt>
                <c:pt idx="5">
                  <c:v>9.32</c:v>
                </c:pt>
                <c:pt idx="6">
                  <c:v>7.9</c:v>
                </c:pt>
              </c:numCache>
            </c:numRef>
          </c:val>
          <c:extLst>
            <c:ext xmlns:c16="http://schemas.microsoft.com/office/drawing/2014/chart" uri="{C3380CC4-5D6E-409C-BE32-E72D297353CC}">
              <c16:uniqueId val="{00000000-1AD0-4305-ADA9-FA47C5CE7719}"/>
            </c:ext>
          </c:extLst>
        </c:ser>
        <c:dLbls>
          <c:showLegendKey val="0"/>
          <c:showVal val="0"/>
          <c:showCatName val="0"/>
          <c:showSerName val="0"/>
          <c:showPercent val="0"/>
          <c:showBubbleSize val="0"/>
        </c:dLbls>
        <c:gapWidth val="150"/>
        <c:axId val="257649664"/>
        <c:axId val="258360064"/>
      </c:barChart>
      <c:lineChart>
        <c:grouping val="stacked"/>
        <c:varyColors val="0"/>
        <c:ser>
          <c:idx val="1"/>
          <c:order val="1"/>
          <c:tx>
            <c:strRef>
              <c:f>'Baseni Drinit'!$B$6</c:f>
              <c:strCache>
                <c:ptCount val="1"/>
                <c:pt idx="0">
                  <c:v>Norma DKU</c:v>
                </c:pt>
              </c:strCache>
            </c:strRef>
          </c:tx>
          <c:marker>
            <c:symbol val="none"/>
          </c:marker>
          <c:cat>
            <c:strRef>
              <c:f>'Baseni Drinit'!$C$4:$I$4</c:f>
              <c:strCache>
                <c:ptCount val="7"/>
                <c:pt idx="0">
                  <c:v>D1</c:v>
                </c:pt>
                <c:pt idx="1">
                  <c:v>D2</c:v>
                </c:pt>
                <c:pt idx="2">
                  <c:v>D3</c:v>
                </c:pt>
                <c:pt idx="3">
                  <c:v>Bu1</c:v>
                </c:pt>
                <c:pt idx="4">
                  <c:v>Ki</c:v>
                </c:pt>
                <c:pt idx="5">
                  <c:v>Bu2</c:v>
                </c:pt>
                <c:pt idx="6">
                  <c:v>DLe</c:v>
                </c:pt>
              </c:strCache>
            </c:strRef>
          </c:cat>
          <c:val>
            <c:numRef>
              <c:f>'Baseni Drinit'!$C$6:$I$6</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1AD0-4305-ADA9-FA47C5CE7719}"/>
            </c:ext>
          </c:extLst>
        </c:ser>
        <c:dLbls>
          <c:showLegendKey val="0"/>
          <c:showVal val="0"/>
          <c:showCatName val="0"/>
          <c:showSerName val="0"/>
          <c:showPercent val="0"/>
          <c:showBubbleSize val="0"/>
        </c:dLbls>
        <c:marker val="1"/>
        <c:smooth val="0"/>
        <c:axId val="257649664"/>
        <c:axId val="258360064"/>
      </c:lineChart>
      <c:catAx>
        <c:axId val="257649664"/>
        <c:scaling>
          <c:orientation val="minMax"/>
        </c:scaling>
        <c:delete val="0"/>
        <c:axPos val="b"/>
        <c:numFmt formatCode="General" sourceLinked="1"/>
        <c:majorTickMark val="none"/>
        <c:minorTickMark val="none"/>
        <c:tickLblPos val="nextTo"/>
        <c:txPr>
          <a:bodyPr rot="0" vert="horz"/>
          <a:lstStyle/>
          <a:p>
            <a:pPr>
              <a:defRPr/>
            </a:pPr>
            <a:endParaRPr lang="en-US"/>
          </a:p>
        </c:txPr>
        <c:crossAx val="258360064"/>
        <c:crosses val="autoZero"/>
        <c:auto val="1"/>
        <c:lblAlgn val="ctr"/>
        <c:lblOffset val="100"/>
        <c:noMultiLvlLbl val="0"/>
      </c:catAx>
      <c:valAx>
        <c:axId val="258360064"/>
        <c:scaling>
          <c:orientation val="minMax"/>
        </c:scaling>
        <c:delete val="0"/>
        <c:axPos val="l"/>
        <c:majorGridlines/>
        <c:numFmt formatCode="General" sourceLinked="1"/>
        <c:majorTickMark val="none"/>
        <c:minorTickMark val="none"/>
        <c:tickLblPos val="nextTo"/>
        <c:txPr>
          <a:bodyPr rot="0" vert="horz"/>
          <a:lstStyle/>
          <a:p>
            <a:pPr>
              <a:defRPr/>
            </a:pPr>
            <a:endParaRPr lang="en-US"/>
          </a:p>
        </c:txPr>
        <c:crossAx val="257649664"/>
        <c:crosses val="autoZero"/>
        <c:crossBetween val="between"/>
      </c:valAx>
    </c:plotArea>
    <c:legend>
      <c:legendPos val="b"/>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Vlorë,</a:t>
            </a:r>
            <a:r>
              <a:rPr lang="sq-AL" sz="1200" b="1">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Niveli</a:t>
            </a:r>
            <a:r>
              <a:rPr lang="en-US" sz="1200" b="1" baseline="0">
                <a:latin typeface="Times New Roman" panose="02020603050405020304" pitchFamily="18" charset="0"/>
                <a:cs typeface="Times New Roman" panose="02020603050405020304" pitchFamily="18" charset="0"/>
              </a:rPr>
              <a:t> i Zhurmave 2025 LAeq/Ditën dB(A) </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'Zhurmat Vlore 2025'!$B$1</c:f>
              <c:strCache>
                <c:ptCount val="1"/>
                <c:pt idx="0">
                  <c:v> LAeq/Diten dB(A) </c:v>
                </c:pt>
              </c:strCache>
            </c:strRef>
          </c:tx>
          <c:spPr>
            <a:solidFill>
              <a:srgbClr val="00B050"/>
            </a:solidFill>
            <a:ln>
              <a:noFill/>
            </a:ln>
            <a:effectLst/>
          </c:spPr>
          <c:invertIfNegative val="0"/>
          <c:cat>
            <c:strRef>
              <c:f>'Zhurmat Vlore 2025'!$A$2:$A$5</c:f>
              <c:strCache>
                <c:ptCount val="4"/>
                <c:pt idx="0">
                  <c:v>Hotel Bolonja </c:v>
                </c:pt>
                <c:pt idx="1">
                  <c:v>Hyrja e Qytetit </c:v>
                </c:pt>
                <c:pt idx="2">
                  <c:v>Xhamia </c:v>
                </c:pt>
                <c:pt idx="3">
                  <c:v>Uji i Ftohte</c:v>
                </c:pt>
              </c:strCache>
            </c:strRef>
          </c:cat>
          <c:val>
            <c:numRef>
              <c:f>'Zhurmat Vlore 2025'!$B$2:$B$5</c:f>
              <c:numCache>
                <c:formatCode>General</c:formatCode>
                <c:ptCount val="4"/>
                <c:pt idx="0">
                  <c:v>62.84</c:v>
                </c:pt>
                <c:pt idx="1">
                  <c:v>63.38</c:v>
                </c:pt>
                <c:pt idx="2">
                  <c:v>61.83</c:v>
                </c:pt>
                <c:pt idx="3">
                  <c:v>64.510000000000005</c:v>
                </c:pt>
              </c:numCache>
            </c:numRef>
          </c:val>
          <c:extLst>
            <c:ext xmlns:c16="http://schemas.microsoft.com/office/drawing/2014/chart" uri="{C3380CC4-5D6E-409C-BE32-E72D297353CC}">
              <c16:uniqueId val="{00000000-03B7-4BD5-9210-66E9F626F459}"/>
            </c:ext>
          </c:extLst>
        </c:ser>
        <c:dLbls>
          <c:showLegendKey val="0"/>
          <c:showVal val="0"/>
          <c:showCatName val="0"/>
          <c:showSerName val="0"/>
          <c:showPercent val="0"/>
          <c:showBubbleSize val="0"/>
        </c:dLbls>
        <c:gapWidth val="219"/>
        <c:overlap val="-27"/>
        <c:axId val="245176576"/>
        <c:axId val="245215232"/>
      </c:barChart>
      <c:lineChart>
        <c:grouping val="standard"/>
        <c:varyColors val="0"/>
        <c:ser>
          <c:idx val="1"/>
          <c:order val="1"/>
          <c:tx>
            <c:strRef>
              <c:f>'Zhurmat Vlore 2025'!$C$1</c:f>
              <c:strCache>
                <c:ptCount val="1"/>
                <c:pt idx="0">
                  <c:v>Norma e OBSH </c:v>
                </c:pt>
              </c:strCache>
            </c:strRef>
          </c:tx>
          <c:spPr>
            <a:ln w="28575" cap="rnd">
              <a:solidFill>
                <a:schemeClr val="accent2"/>
              </a:solidFill>
              <a:round/>
            </a:ln>
            <a:effectLst/>
          </c:spPr>
          <c:marker>
            <c:symbol val="none"/>
          </c:marker>
          <c:cat>
            <c:strRef>
              <c:f>'Zhurmat Vlore 2025'!$A$2:$A$5</c:f>
              <c:strCache>
                <c:ptCount val="4"/>
                <c:pt idx="0">
                  <c:v>Hotel Bolonja </c:v>
                </c:pt>
                <c:pt idx="1">
                  <c:v>Hyrja e Qytetit </c:v>
                </c:pt>
                <c:pt idx="2">
                  <c:v>Xhamia </c:v>
                </c:pt>
                <c:pt idx="3">
                  <c:v>Uji i Ftohte</c:v>
                </c:pt>
              </c:strCache>
            </c:strRef>
          </c:cat>
          <c:val>
            <c:numRef>
              <c:f>'Zhurmat Vlore 2025'!$C$2:$C$5</c:f>
              <c:numCache>
                <c:formatCode>General</c:formatCode>
                <c:ptCount val="4"/>
                <c:pt idx="0">
                  <c:v>55</c:v>
                </c:pt>
                <c:pt idx="1">
                  <c:v>55</c:v>
                </c:pt>
                <c:pt idx="2">
                  <c:v>55</c:v>
                </c:pt>
                <c:pt idx="3">
                  <c:v>55</c:v>
                </c:pt>
              </c:numCache>
            </c:numRef>
          </c:val>
          <c:smooth val="0"/>
          <c:extLst>
            <c:ext xmlns:c16="http://schemas.microsoft.com/office/drawing/2014/chart" uri="{C3380CC4-5D6E-409C-BE32-E72D297353CC}">
              <c16:uniqueId val="{00000001-03B7-4BD5-9210-66E9F626F459}"/>
            </c:ext>
          </c:extLst>
        </c:ser>
        <c:dLbls>
          <c:showLegendKey val="0"/>
          <c:showVal val="0"/>
          <c:showCatName val="0"/>
          <c:showSerName val="0"/>
          <c:showPercent val="0"/>
          <c:showBubbleSize val="0"/>
        </c:dLbls>
        <c:marker val="1"/>
        <c:smooth val="0"/>
        <c:axId val="245176576"/>
        <c:axId val="245215232"/>
      </c:lineChart>
      <c:catAx>
        <c:axId val="24517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215232"/>
        <c:crosses val="autoZero"/>
        <c:auto val="1"/>
        <c:lblAlgn val="ctr"/>
        <c:lblOffset val="100"/>
        <c:noMultiLvlLbl val="0"/>
      </c:catAx>
      <c:valAx>
        <c:axId val="2452152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17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itchFamily="18" charset="0"/>
                <a:cs typeface="Times New Roman" pitchFamily="18" charset="0"/>
              </a:rPr>
              <a:t>Nevoja Biokimike për Oksigjen</a:t>
            </a:r>
            <a:endParaRPr lang="en-US" sz="1200">
              <a:effectLst/>
              <a:latin typeface="Times New Roman" pitchFamily="18" charset="0"/>
              <a:cs typeface="Times New Roman" pitchFamily="18" charset="0"/>
            </a:endParaRPr>
          </a:p>
        </c:rich>
      </c:tx>
      <c:overlay val="0"/>
      <c:spPr>
        <a:noFill/>
        <a:ln w="25400">
          <a:noFill/>
        </a:ln>
      </c:spPr>
    </c:title>
    <c:autoTitleDeleted val="0"/>
    <c:plotArea>
      <c:layout/>
      <c:barChart>
        <c:barDir val="col"/>
        <c:grouping val="clustered"/>
        <c:varyColors val="0"/>
        <c:ser>
          <c:idx val="0"/>
          <c:order val="0"/>
          <c:tx>
            <c:strRef>
              <c:f>'Baseni Drinit'!$L$5</c:f>
              <c:strCache>
                <c:ptCount val="1"/>
                <c:pt idx="0">
                  <c:v>mesatare vjetore 2025</c:v>
                </c:pt>
              </c:strCache>
            </c:strRef>
          </c:tx>
          <c:spPr>
            <a:solidFill>
              <a:srgbClr val="4F81BD"/>
            </a:solidFill>
            <a:ln w="25400">
              <a:noFill/>
            </a:ln>
          </c:spPr>
          <c:invertIfNegative val="0"/>
          <c:cat>
            <c:strRef>
              <c:f>'Baseni Drinit'!$M$4:$S$4</c:f>
              <c:strCache>
                <c:ptCount val="7"/>
                <c:pt idx="0">
                  <c:v>D1</c:v>
                </c:pt>
                <c:pt idx="1">
                  <c:v>D2</c:v>
                </c:pt>
                <c:pt idx="2">
                  <c:v>D3</c:v>
                </c:pt>
                <c:pt idx="3">
                  <c:v>Bu1</c:v>
                </c:pt>
                <c:pt idx="4">
                  <c:v>Ki</c:v>
                </c:pt>
                <c:pt idx="5">
                  <c:v>Bu2</c:v>
                </c:pt>
                <c:pt idx="6">
                  <c:v>DLe</c:v>
                </c:pt>
              </c:strCache>
            </c:strRef>
          </c:cat>
          <c:val>
            <c:numRef>
              <c:f>'Baseni Drinit'!$M$5:$S$5</c:f>
              <c:numCache>
                <c:formatCode>General</c:formatCode>
                <c:ptCount val="7"/>
                <c:pt idx="0">
                  <c:v>1.6</c:v>
                </c:pt>
                <c:pt idx="1">
                  <c:v>2.2000000000000002</c:v>
                </c:pt>
                <c:pt idx="2">
                  <c:v>2.6</c:v>
                </c:pt>
                <c:pt idx="3">
                  <c:v>3.5</c:v>
                </c:pt>
                <c:pt idx="4">
                  <c:v>2.6</c:v>
                </c:pt>
                <c:pt idx="5" formatCode="0">
                  <c:v>3.2</c:v>
                </c:pt>
                <c:pt idx="6">
                  <c:v>6.5</c:v>
                </c:pt>
              </c:numCache>
            </c:numRef>
          </c:val>
          <c:extLst>
            <c:ext xmlns:c16="http://schemas.microsoft.com/office/drawing/2014/chart" uri="{C3380CC4-5D6E-409C-BE32-E72D297353CC}">
              <c16:uniqueId val="{00000000-FE80-4B2F-A1DE-91D8AC856972}"/>
            </c:ext>
          </c:extLst>
        </c:ser>
        <c:dLbls>
          <c:showLegendKey val="0"/>
          <c:showVal val="0"/>
          <c:showCatName val="0"/>
          <c:showSerName val="0"/>
          <c:showPercent val="0"/>
          <c:showBubbleSize val="0"/>
        </c:dLbls>
        <c:gapWidth val="219"/>
        <c:overlap val="-27"/>
        <c:axId val="258374272"/>
        <c:axId val="258388352"/>
      </c:barChart>
      <c:lineChart>
        <c:grouping val="standard"/>
        <c:varyColors val="0"/>
        <c:ser>
          <c:idx val="1"/>
          <c:order val="1"/>
          <c:tx>
            <c:strRef>
              <c:f>'Baseni Drinit'!$L$6</c:f>
              <c:strCache>
                <c:ptCount val="1"/>
                <c:pt idx="0">
                  <c:v>Norma DKU</c:v>
                </c:pt>
              </c:strCache>
            </c:strRef>
          </c:tx>
          <c:spPr>
            <a:ln w="28575" cap="rnd">
              <a:solidFill>
                <a:schemeClr val="accent2"/>
              </a:solidFill>
              <a:round/>
            </a:ln>
            <a:effectLst/>
          </c:spPr>
          <c:marker>
            <c:symbol val="none"/>
          </c:marker>
          <c:cat>
            <c:strRef>
              <c:f>'Baseni Drinit'!$M$4:$S$4</c:f>
              <c:strCache>
                <c:ptCount val="7"/>
                <c:pt idx="0">
                  <c:v>D1</c:v>
                </c:pt>
                <c:pt idx="1">
                  <c:v>D2</c:v>
                </c:pt>
                <c:pt idx="2">
                  <c:v>D3</c:v>
                </c:pt>
                <c:pt idx="3">
                  <c:v>Bu1</c:v>
                </c:pt>
                <c:pt idx="4">
                  <c:v>Ki</c:v>
                </c:pt>
                <c:pt idx="5">
                  <c:v>Bu2</c:v>
                </c:pt>
                <c:pt idx="6">
                  <c:v>DLe</c:v>
                </c:pt>
              </c:strCache>
            </c:strRef>
          </c:cat>
          <c:val>
            <c:numRef>
              <c:f>'Baseni Drinit'!$M$6:$S$6</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FE80-4B2F-A1DE-91D8AC856972}"/>
            </c:ext>
          </c:extLst>
        </c:ser>
        <c:dLbls>
          <c:showLegendKey val="0"/>
          <c:showVal val="0"/>
          <c:showCatName val="0"/>
          <c:showSerName val="0"/>
          <c:showPercent val="0"/>
          <c:showBubbleSize val="0"/>
        </c:dLbls>
        <c:marker val="1"/>
        <c:smooth val="0"/>
        <c:axId val="258374272"/>
        <c:axId val="258388352"/>
      </c:lineChart>
      <c:catAx>
        <c:axId val="25837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388352"/>
        <c:crosses val="autoZero"/>
        <c:auto val="1"/>
        <c:lblAlgn val="ctr"/>
        <c:lblOffset val="100"/>
        <c:noMultiLvlLbl val="0"/>
      </c:catAx>
      <c:valAx>
        <c:axId val="258388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374272"/>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amonjakut</a:t>
            </a:r>
          </a:p>
        </c:rich>
      </c:tx>
      <c:layout>
        <c:manualLayout>
          <c:xMode val="edge"/>
          <c:yMode val="edge"/>
          <c:x val="0.28783324956720835"/>
          <c:y val="5.022276672700271E-2"/>
        </c:manualLayout>
      </c:layout>
      <c:overlay val="0"/>
    </c:title>
    <c:autoTitleDeleted val="0"/>
    <c:plotArea>
      <c:layout/>
      <c:barChart>
        <c:barDir val="col"/>
        <c:grouping val="clustered"/>
        <c:varyColors val="0"/>
        <c:ser>
          <c:idx val="0"/>
          <c:order val="0"/>
          <c:tx>
            <c:strRef>
              <c:f>'Baseni Drinit'!$B$22</c:f>
              <c:strCache>
                <c:ptCount val="1"/>
                <c:pt idx="0">
                  <c:v>mesatare vjetore 2025</c:v>
                </c:pt>
              </c:strCache>
            </c:strRef>
          </c:tx>
          <c:invertIfNegative val="0"/>
          <c:cat>
            <c:strRef>
              <c:f>'Baseni Drinit'!$C$21:$I$21</c:f>
              <c:strCache>
                <c:ptCount val="7"/>
                <c:pt idx="0">
                  <c:v>D1</c:v>
                </c:pt>
                <c:pt idx="1">
                  <c:v>D2</c:v>
                </c:pt>
                <c:pt idx="2">
                  <c:v>D3</c:v>
                </c:pt>
                <c:pt idx="3">
                  <c:v>Bu1</c:v>
                </c:pt>
                <c:pt idx="4">
                  <c:v>Ki</c:v>
                </c:pt>
                <c:pt idx="5">
                  <c:v>Bu2</c:v>
                </c:pt>
                <c:pt idx="6">
                  <c:v>DLe</c:v>
                </c:pt>
              </c:strCache>
            </c:strRef>
          </c:cat>
          <c:val>
            <c:numRef>
              <c:f>'Baseni Drinit'!$C$22:$I$22</c:f>
              <c:numCache>
                <c:formatCode>General</c:formatCode>
                <c:ptCount val="7"/>
                <c:pt idx="0">
                  <c:v>2.3E-2</c:v>
                </c:pt>
                <c:pt idx="1">
                  <c:v>2.1000000000000001E-2</c:v>
                </c:pt>
                <c:pt idx="2">
                  <c:v>2.4E-2</c:v>
                </c:pt>
                <c:pt idx="3">
                  <c:v>1.2999999999999999E-2</c:v>
                </c:pt>
                <c:pt idx="4">
                  <c:v>0.02</c:v>
                </c:pt>
                <c:pt idx="5">
                  <c:v>1.7000000000000001E-2</c:v>
                </c:pt>
                <c:pt idx="6">
                  <c:v>0.2</c:v>
                </c:pt>
              </c:numCache>
            </c:numRef>
          </c:val>
          <c:extLst>
            <c:ext xmlns:c16="http://schemas.microsoft.com/office/drawing/2014/chart" uri="{C3380CC4-5D6E-409C-BE32-E72D297353CC}">
              <c16:uniqueId val="{00000000-F747-4834-8CA5-BDC4F8ED407C}"/>
            </c:ext>
          </c:extLst>
        </c:ser>
        <c:dLbls>
          <c:showLegendKey val="0"/>
          <c:showVal val="0"/>
          <c:showCatName val="0"/>
          <c:showSerName val="0"/>
          <c:showPercent val="0"/>
          <c:showBubbleSize val="0"/>
        </c:dLbls>
        <c:gapWidth val="150"/>
        <c:axId val="260667648"/>
        <c:axId val="260673536"/>
      </c:barChart>
      <c:lineChart>
        <c:grouping val="stacked"/>
        <c:varyColors val="0"/>
        <c:ser>
          <c:idx val="1"/>
          <c:order val="1"/>
          <c:tx>
            <c:strRef>
              <c:f>'Baseni Drinit'!$B$23</c:f>
              <c:strCache>
                <c:ptCount val="1"/>
                <c:pt idx="0">
                  <c:v>Norma DKU</c:v>
                </c:pt>
              </c:strCache>
            </c:strRef>
          </c:tx>
          <c:marker>
            <c:symbol val="none"/>
          </c:marker>
          <c:cat>
            <c:strRef>
              <c:f>'Baseni Drinit'!$C$21:$I$21</c:f>
              <c:strCache>
                <c:ptCount val="7"/>
                <c:pt idx="0">
                  <c:v>D1</c:v>
                </c:pt>
                <c:pt idx="1">
                  <c:v>D2</c:v>
                </c:pt>
                <c:pt idx="2">
                  <c:v>D3</c:v>
                </c:pt>
                <c:pt idx="3">
                  <c:v>Bu1</c:v>
                </c:pt>
                <c:pt idx="4">
                  <c:v>Ki</c:v>
                </c:pt>
                <c:pt idx="5">
                  <c:v>Bu2</c:v>
                </c:pt>
                <c:pt idx="6">
                  <c:v>DLe</c:v>
                </c:pt>
              </c:strCache>
            </c:strRef>
          </c:cat>
          <c:val>
            <c:numRef>
              <c:f>'Baseni Drinit'!$C$23:$I$23</c:f>
              <c:numCache>
                <c:formatCode>General</c:formatCode>
                <c:ptCount val="7"/>
                <c:pt idx="0">
                  <c:v>0.6</c:v>
                </c:pt>
                <c:pt idx="1">
                  <c:v>0.6</c:v>
                </c:pt>
                <c:pt idx="2">
                  <c:v>0.6</c:v>
                </c:pt>
                <c:pt idx="3">
                  <c:v>0.6</c:v>
                </c:pt>
                <c:pt idx="4">
                  <c:v>0.6</c:v>
                </c:pt>
                <c:pt idx="5">
                  <c:v>0.6</c:v>
                </c:pt>
                <c:pt idx="6">
                  <c:v>0.6</c:v>
                </c:pt>
              </c:numCache>
            </c:numRef>
          </c:val>
          <c:smooth val="0"/>
          <c:extLst>
            <c:ext xmlns:c16="http://schemas.microsoft.com/office/drawing/2014/chart" uri="{C3380CC4-5D6E-409C-BE32-E72D297353CC}">
              <c16:uniqueId val="{00000001-F747-4834-8CA5-BDC4F8ED407C}"/>
            </c:ext>
          </c:extLst>
        </c:ser>
        <c:dLbls>
          <c:showLegendKey val="0"/>
          <c:showVal val="0"/>
          <c:showCatName val="0"/>
          <c:showSerName val="0"/>
          <c:showPercent val="0"/>
          <c:showBubbleSize val="0"/>
        </c:dLbls>
        <c:marker val="1"/>
        <c:smooth val="0"/>
        <c:axId val="260667648"/>
        <c:axId val="260673536"/>
      </c:lineChart>
      <c:catAx>
        <c:axId val="26066764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0673536"/>
        <c:crosses val="autoZero"/>
        <c:auto val="1"/>
        <c:lblAlgn val="ctr"/>
        <c:lblOffset val="100"/>
        <c:noMultiLvlLbl val="0"/>
      </c:catAx>
      <c:valAx>
        <c:axId val="260673536"/>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0667648"/>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itchFamily="18" charset="0"/>
                <a:cs typeface="Times New Roman" pitchFamily="18" charset="0"/>
              </a:rPr>
              <a:t>Përmbajtja e nitriteve</a:t>
            </a:r>
            <a:endParaRPr lang="en-US" sz="1200">
              <a:effectLst/>
              <a:latin typeface="Times New Roman" pitchFamily="18" charset="0"/>
              <a:cs typeface="Times New Roman" pitchFamily="18" charset="0"/>
            </a:endParaRPr>
          </a:p>
        </c:rich>
      </c:tx>
      <c:overlay val="0"/>
      <c:spPr>
        <a:noFill/>
        <a:ln w="25400">
          <a:noFill/>
        </a:ln>
      </c:spPr>
    </c:title>
    <c:autoTitleDeleted val="0"/>
    <c:plotArea>
      <c:layout/>
      <c:barChart>
        <c:barDir val="col"/>
        <c:grouping val="clustered"/>
        <c:varyColors val="0"/>
        <c:ser>
          <c:idx val="0"/>
          <c:order val="0"/>
          <c:tx>
            <c:strRef>
              <c:f>'Baseni Drinit'!$M$22</c:f>
              <c:strCache>
                <c:ptCount val="1"/>
                <c:pt idx="0">
                  <c:v>mesatare vjetore 2025</c:v>
                </c:pt>
              </c:strCache>
            </c:strRef>
          </c:tx>
          <c:spPr>
            <a:solidFill>
              <a:srgbClr val="4F81BD"/>
            </a:solidFill>
            <a:ln w="25400">
              <a:noFill/>
            </a:ln>
          </c:spPr>
          <c:invertIfNegative val="0"/>
          <c:cat>
            <c:strRef>
              <c:f>'Baseni Drinit'!$N$21:$T$21</c:f>
              <c:strCache>
                <c:ptCount val="7"/>
                <c:pt idx="0">
                  <c:v>D1</c:v>
                </c:pt>
                <c:pt idx="1">
                  <c:v>D2</c:v>
                </c:pt>
                <c:pt idx="2">
                  <c:v>D3</c:v>
                </c:pt>
                <c:pt idx="3">
                  <c:v>Bu1</c:v>
                </c:pt>
                <c:pt idx="4">
                  <c:v>Ki</c:v>
                </c:pt>
                <c:pt idx="5">
                  <c:v>Bu2</c:v>
                </c:pt>
                <c:pt idx="6">
                  <c:v>DLe</c:v>
                </c:pt>
              </c:strCache>
            </c:strRef>
          </c:cat>
          <c:val>
            <c:numRef>
              <c:f>'Baseni Drinit'!$N$22:$T$22</c:f>
              <c:numCache>
                <c:formatCode>General</c:formatCode>
                <c:ptCount val="7"/>
                <c:pt idx="0">
                  <c:v>6.9999999999999999E-4</c:v>
                </c:pt>
                <c:pt idx="1">
                  <c:v>2.8E-3</c:v>
                </c:pt>
                <c:pt idx="2">
                  <c:v>8.9999999999999998E-4</c:v>
                </c:pt>
                <c:pt idx="3">
                  <c:v>2.3999999999999998E-3</c:v>
                </c:pt>
                <c:pt idx="4">
                  <c:v>6.8999999999999999E-3</c:v>
                </c:pt>
                <c:pt idx="5">
                  <c:v>1.1999999999999999E-3</c:v>
                </c:pt>
                <c:pt idx="6">
                  <c:v>4.4999999999999997E-3</c:v>
                </c:pt>
              </c:numCache>
            </c:numRef>
          </c:val>
          <c:extLst>
            <c:ext xmlns:c16="http://schemas.microsoft.com/office/drawing/2014/chart" uri="{C3380CC4-5D6E-409C-BE32-E72D297353CC}">
              <c16:uniqueId val="{00000000-0645-4C1B-8048-2F3A5474385A}"/>
            </c:ext>
          </c:extLst>
        </c:ser>
        <c:dLbls>
          <c:showLegendKey val="0"/>
          <c:showVal val="0"/>
          <c:showCatName val="0"/>
          <c:showSerName val="0"/>
          <c:showPercent val="0"/>
          <c:showBubbleSize val="0"/>
        </c:dLbls>
        <c:gapWidth val="219"/>
        <c:overlap val="-27"/>
        <c:axId val="260835200"/>
        <c:axId val="260836736"/>
      </c:barChart>
      <c:lineChart>
        <c:grouping val="standard"/>
        <c:varyColors val="0"/>
        <c:ser>
          <c:idx val="1"/>
          <c:order val="1"/>
          <c:tx>
            <c:strRef>
              <c:f>'Baseni Drinit'!$M$23</c:f>
              <c:strCache>
                <c:ptCount val="1"/>
                <c:pt idx="0">
                  <c:v>Norma DKU</c:v>
                </c:pt>
              </c:strCache>
            </c:strRef>
          </c:tx>
          <c:spPr>
            <a:ln w="28575" cap="rnd">
              <a:solidFill>
                <a:schemeClr val="accent2"/>
              </a:solidFill>
              <a:round/>
            </a:ln>
            <a:effectLst/>
          </c:spPr>
          <c:marker>
            <c:symbol val="none"/>
          </c:marker>
          <c:cat>
            <c:strRef>
              <c:f>'Baseni Drinit'!$N$21:$T$21</c:f>
              <c:strCache>
                <c:ptCount val="7"/>
                <c:pt idx="0">
                  <c:v>D1</c:v>
                </c:pt>
                <c:pt idx="1">
                  <c:v>D2</c:v>
                </c:pt>
                <c:pt idx="2">
                  <c:v>D3</c:v>
                </c:pt>
                <c:pt idx="3">
                  <c:v>Bu1</c:v>
                </c:pt>
                <c:pt idx="4">
                  <c:v>Ki</c:v>
                </c:pt>
                <c:pt idx="5">
                  <c:v>Bu2</c:v>
                </c:pt>
                <c:pt idx="6">
                  <c:v>DLe</c:v>
                </c:pt>
              </c:strCache>
            </c:strRef>
          </c:cat>
          <c:val>
            <c:numRef>
              <c:f>'Baseni Drinit'!$N$23:$T$23</c:f>
              <c:numCache>
                <c:formatCode>General</c:formatCode>
                <c:ptCount val="7"/>
                <c:pt idx="0">
                  <c:v>0.12</c:v>
                </c:pt>
                <c:pt idx="1">
                  <c:v>0.12</c:v>
                </c:pt>
                <c:pt idx="2">
                  <c:v>0.12</c:v>
                </c:pt>
                <c:pt idx="3">
                  <c:v>0.12</c:v>
                </c:pt>
                <c:pt idx="4">
                  <c:v>0.12</c:v>
                </c:pt>
                <c:pt idx="5">
                  <c:v>0.12</c:v>
                </c:pt>
                <c:pt idx="6">
                  <c:v>0.12</c:v>
                </c:pt>
              </c:numCache>
            </c:numRef>
          </c:val>
          <c:smooth val="0"/>
          <c:extLst>
            <c:ext xmlns:c16="http://schemas.microsoft.com/office/drawing/2014/chart" uri="{C3380CC4-5D6E-409C-BE32-E72D297353CC}">
              <c16:uniqueId val="{00000001-0645-4C1B-8048-2F3A5474385A}"/>
            </c:ext>
          </c:extLst>
        </c:ser>
        <c:dLbls>
          <c:showLegendKey val="0"/>
          <c:showVal val="0"/>
          <c:showCatName val="0"/>
          <c:showSerName val="0"/>
          <c:showPercent val="0"/>
          <c:showBubbleSize val="0"/>
        </c:dLbls>
        <c:marker val="1"/>
        <c:smooth val="0"/>
        <c:axId val="260835200"/>
        <c:axId val="260836736"/>
      </c:lineChart>
      <c:catAx>
        <c:axId val="26083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836736"/>
        <c:crosses val="autoZero"/>
        <c:auto val="1"/>
        <c:lblAlgn val="ctr"/>
        <c:lblOffset val="100"/>
        <c:noMultiLvlLbl val="0"/>
      </c:catAx>
      <c:valAx>
        <c:axId val="260836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835200"/>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nitrateve</a:t>
            </a:r>
          </a:p>
        </c:rich>
      </c:tx>
      <c:layout>
        <c:manualLayout>
          <c:xMode val="edge"/>
          <c:yMode val="edge"/>
          <c:x val="0.29075369319483446"/>
          <c:y val="5.7765914853863606E-2"/>
        </c:manualLayout>
      </c:layout>
      <c:overlay val="0"/>
    </c:title>
    <c:autoTitleDeleted val="0"/>
    <c:plotArea>
      <c:layout/>
      <c:barChart>
        <c:barDir val="col"/>
        <c:grouping val="clustered"/>
        <c:varyColors val="0"/>
        <c:ser>
          <c:idx val="0"/>
          <c:order val="0"/>
          <c:tx>
            <c:strRef>
              <c:f>'Baseni Drinit'!$B$39</c:f>
              <c:strCache>
                <c:ptCount val="1"/>
                <c:pt idx="0">
                  <c:v>mesatare vjetore 2025</c:v>
                </c:pt>
              </c:strCache>
            </c:strRef>
          </c:tx>
          <c:invertIfNegative val="0"/>
          <c:cat>
            <c:strRef>
              <c:f>'Baseni Drinit'!$C$38:$I$38</c:f>
              <c:strCache>
                <c:ptCount val="7"/>
                <c:pt idx="0">
                  <c:v>D1</c:v>
                </c:pt>
                <c:pt idx="1">
                  <c:v>D2</c:v>
                </c:pt>
                <c:pt idx="2">
                  <c:v>D3</c:v>
                </c:pt>
                <c:pt idx="3">
                  <c:v>Bu1</c:v>
                </c:pt>
                <c:pt idx="4">
                  <c:v>Ki</c:v>
                </c:pt>
                <c:pt idx="5">
                  <c:v>Bu2</c:v>
                </c:pt>
                <c:pt idx="6">
                  <c:v>DLe</c:v>
                </c:pt>
              </c:strCache>
            </c:strRef>
          </c:cat>
          <c:val>
            <c:numRef>
              <c:f>'Baseni Drinit'!$C$39:$I$39</c:f>
              <c:numCache>
                <c:formatCode>General</c:formatCode>
                <c:ptCount val="7"/>
                <c:pt idx="0">
                  <c:v>0.18</c:v>
                </c:pt>
                <c:pt idx="1">
                  <c:v>1.097</c:v>
                </c:pt>
                <c:pt idx="2">
                  <c:v>0.23</c:v>
                </c:pt>
                <c:pt idx="3">
                  <c:v>0.18</c:v>
                </c:pt>
                <c:pt idx="4">
                  <c:v>7.1999999999999995E-2</c:v>
                </c:pt>
                <c:pt idx="5">
                  <c:v>0.46</c:v>
                </c:pt>
                <c:pt idx="6">
                  <c:v>0.82</c:v>
                </c:pt>
              </c:numCache>
            </c:numRef>
          </c:val>
          <c:extLst>
            <c:ext xmlns:c16="http://schemas.microsoft.com/office/drawing/2014/chart" uri="{C3380CC4-5D6E-409C-BE32-E72D297353CC}">
              <c16:uniqueId val="{00000000-08C9-4006-9118-69E959F07FB9}"/>
            </c:ext>
          </c:extLst>
        </c:ser>
        <c:dLbls>
          <c:showLegendKey val="0"/>
          <c:showVal val="0"/>
          <c:showCatName val="0"/>
          <c:showSerName val="0"/>
          <c:showPercent val="0"/>
          <c:showBubbleSize val="0"/>
        </c:dLbls>
        <c:gapWidth val="150"/>
        <c:axId val="260867584"/>
        <c:axId val="260869120"/>
      </c:barChart>
      <c:lineChart>
        <c:grouping val="stacked"/>
        <c:varyColors val="0"/>
        <c:ser>
          <c:idx val="1"/>
          <c:order val="1"/>
          <c:tx>
            <c:strRef>
              <c:f>'Baseni Drinit'!$B$40</c:f>
              <c:strCache>
                <c:ptCount val="1"/>
                <c:pt idx="0">
                  <c:v>Norma DKU</c:v>
                </c:pt>
              </c:strCache>
            </c:strRef>
          </c:tx>
          <c:marker>
            <c:symbol val="none"/>
          </c:marker>
          <c:cat>
            <c:strRef>
              <c:f>'Baseni Drinit'!$C$38:$I$38</c:f>
              <c:strCache>
                <c:ptCount val="7"/>
                <c:pt idx="0">
                  <c:v>D1</c:v>
                </c:pt>
                <c:pt idx="1">
                  <c:v>D2</c:v>
                </c:pt>
                <c:pt idx="2">
                  <c:v>D3</c:v>
                </c:pt>
                <c:pt idx="3">
                  <c:v>Bu1</c:v>
                </c:pt>
                <c:pt idx="4">
                  <c:v>Ki</c:v>
                </c:pt>
                <c:pt idx="5">
                  <c:v>Bu2</c:v>
                </c:pt>
                <c:pt idx="6">
                  <c:v>DLe</c:v>
                </c:pt>
              </c:strCache>
            </c:strRef>
          </c:cat>
          <c:val>
            <c:numRef>
              <c:f>'Baseni Drinit'!$C$40:$I$40</c:f>
              <c:numCache>
                <c:formatCode>General</c:formatCode>
                <c:ptCount val="7"/>
                <c:pt idx="0">
                  <c:v>4</c:v>
                </c:pt>
                <c:pt idx="1">
                  <c:v>4</c:v>
                </c:pt>
                <c:pt idx="2">
                  <c:v>4</c:v>
                </c:pt>
                <c:pt idx="3">
                  <c:v>4</c:v>
                </c:pt>
                <c:pt idx="4">
                  <c:v>4</c:v>
                </c:pt>
                <c:pt idx="5">
                  <c:v>4</c:v>
                </c:pt>
                <c:pt idx="6">
                  <c:v>4</c:v>
                </c:pt>
              </c:numCache>
            </c:numRef>
          </c:val>
          <c:smooth val="0"/>
          <c:extLst>
            <c:ext xmlns:c16="http://schemas.microsoft.com/office/drawing/2014/chart" uri="{C3380CC4-5D6E-409C-BE32-E72D297353CC}">
              <c16:uniqueId val="{00000001-08C9-4006-9118-69E959F07FB9}"/>
            </c:ext>
          </c:extLst>
        </c:ser>
        <c:dLbls>
          <c:showLegendKey val="0"/>
          <c:showVal val="0"/>
          <c:showCatName val="0"/>
          <c:showSerName val="0"/>
          <c:showPercent val="0"/>
          <c:showBubbleSize val="0"/>
        </c:dLbls>
        <c:marker val="1"/>
        <c:smooth val="0"/>
        <c:axId val="260867584"/>
        <c:axId val="260869120"/>
      </c:lineChart>
      <c:catAx>
        <c:axId val="260867584"/>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0869120"/>
        <c:crosses val="autoZero"/>
        <c:auto val="1"/>
        <c:lblAlgn val="ctr"/>
        <c:lblOffset val="100"/>
        <c:noMultiLvlLbl val="0"/>
      </c:catAx>
      <c:valAx>
        <c:axId val="260869120"/>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0867584"/>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itchFamily="18" charset="0"/>
                <a:cs typeface="Times New Roman" pitchFamily="18" charset="0"/>
              </a:rPr>
              <a:t>Përmbajtja  e fosforit</a:t>
            </a:r>
            <a:endParaRPr lang="en-US" sz="1200">
              <a:effectLst/>
              <a:latin typeface="Times New Roman" pitchFamily="18" charset="0"/>
              <a:cs typeface="Times New Roman" pitchFamily="18" charset="0"/>
            </a:endParaRPr>
          </a:p>
        </c:rich>
      </c:tx>
      <c:overlay val="0"/>
      <c:spPr>
        <a:noFill/>
        <a:ln w="25400">
          <a:noFill/>
        </a:ln>
      </c:spPr>
    </c:title>
    <c:autoTitleDeleted val="0"/>
    <c:plotArea>
      <c:layout/>
      <c:barChart>
        <c:barDir val="col"/>
        <c:grouping val="clustered"/>
        <c:varyColors val="0"/>
        <c:ser>
          <c:idx val="0"/>
          <c:order val="0"/>
          <c:tx>
            <c:strRef>
              <c:f>'Baseni Drinit'!$M$39</c:f>
              <c:strCache>
                <c:ptCount val="1"/>
                <c:pt idx="0">
                  <c:v>mesatare vjetore 2025</c:v>
                </c:pt>
              </c:strCache>
            </c:strRef>
          </c:tx>
          <c:spPr>
            <a:solidFill>
              <a:srgbClr val="4F81BD"/>
            </a:solidFill>
            <a:ln w="25400">
              <a:noFill/>
            </a:ln>
          </c:spPr>
          <c:invertIfNegative val="0"/>
          <c:cat>
            <c:strRef>
              <c:f>'Baseni Drinit'!$N$38:$T$38</c:f>
              <c:strCache>
                <c:ptCount val="7"/>
                <c:pt idx="0">
                  <c:v>D1</c:v>
                </c:pt>
                <c:pt idx="1">
                  <c:v>D2</c:v>
                </c:pt>
                <c:pt idx="2">
                  <c:v>D3</c:v>
                </c:pt>
                <c:pt idx="3">
                  <c:v>Bu1</c:v>
                </c:pt>
                <c:pt idx="4">
                  <c:v>Ki</c:v>
                </c:pt>
                <c:pt idx="5">
                  <c:v>Bu2</c:v>
                </c:pt>
                <c:pt idx="6">
                  <c:v>DLe</c:v>
                </c:pt>
              </c:strCache>
            </c:strRef>
          </c:cat>
          <c:val>
            <c:numRef>
              <c:f>'Baseni Drinit'!$N$39:$T$39</c:f>
              <c:numCache>
                <c:formatCode>General</c:formatCode>
                <c:ptCount val="7"/>
                <c:pt idx="0">
                  <c:v>6.7999999999999996E-3</c:v>
                </c:pt>
                <c:pt idx="1">
                  <c:v>3.5000000000000003E-2</c:v>
                </c:pt>
                <c:pt idx="2">
                  <c:v>4.3E-3</c:v>
                </c:pt>
                <c:pt idx="3">
                  <c:v>4.5999999999999999E-3</c:v>
                </c:pt>
                <c:pt idx="4">
                  <c:v>2E-3</c:v>
                </c:pt>
                <c:pt idx="5">
                  <c:v>1.4E-3</c:v>
                </c:pt>
                <c:pt idx="6">
                  <c:v>4.3999999999999997E-2</c:v>
                </c:pt>
              </c:numCache>
            </c:numRef>
          </c:val>
          <c:extLst>
            <c:ext xmlns:c16="http://schemas.microsoft.com/office/drawing/2014/chart" uri="{C3380CC4-5D6E-409C-BE32-E72D297353CC}">
              <c16:uniqueId val="{00000000-754E-4C85-B023-3E93DDE7A914}"/>
            </c:ext>
          </c:extLst>
        </c:ser>
        <c:dLbls>
          <c:showLegendKey val="0"/>
          <c:showVal val="0"/>
          <c:showCatName val="0"/>
          <c:showSerName val="0"/>
          <c:showPercent val="0"/>
          <c:showBubbleSize val="0"/>
        </c:dLbls>
        <c:gapWidth val="219"/>
        <c:overlap val="-27"/>
        <c:axId val="260981888"/>
        <c:axId val="260983424"/>
      </c:barChart>
      <c:lineChart>
        <c:grouping val="standard"/>
        <c:varyColors val="0"/>
        <c:ser>
          <c:idx val="1"/>
          <c:order val="1"/>
          <c:tx>
            <c:strRef>
              <c:f>'Baseni Drinit'!$M$40</c:f>
              <c:strCache>
                <c:ptCount val="1"/>
                <c:pt idx="0">
                  <c:v>Norma DKU</c:v>
                </c:pt>
              </c:strCache>
            </c:strRef>
          </c:tx>
          <c:spPr>
            <a:ln w="28575" cap="rnd">
              <a:solidFill>
                <a:schemeClr val="accent2"/>
              </a:solidFill>
              <a:round/>
            </a:ln>
            <a:effectLst/>
          </c:spPr>
          <c:marker>
            <c:symbol val="none"/>
          </c:marker>
          <c:cat>
            <c:strRef>
              <c:f>'Baseni Drinit'!$N$38:$T$38</c:f>
              <c:strCache>
                <c:ptCount val="7"/>
                <c:pt idx="0">
                  <c:v>D1</c:v>
                </c:pt>
                <c:pt idx="1">
                  <c:v>D2</c:v>
                </c:pt>
                <c:pt idx="2">
                  <c:v>D3</c:v>
                </c:pt>
                <c:pt idx="3">
                  <c:v>Bu1</c:v>
                </c:pt>
                <c:pt idx="4">
                  <c:v>Ki</c:v>
                </c:pt>
                <c:pt idx="5">
                  <c:v>Bu2</c:v>
                </c:pt>
                <c:pt idx="6">
                  <c:v>DLe</c:v>
                </c:pt>
              </c:strCache>
            </c:strRef>
          </c:cat>
          <c:val>
            <c:numRef>
              <c:f>'Baseni Drinit'!$N$40:$T$40</c:f>
              <c:numCache>
                <c:formatCode>General</c:formatCode>
                <c:ptCount val="7"/>
                <c:pt idx="0">
                  <c:v>0.2</c:v>
                </c:pt>
                <c:pt idx="1">
                  <c:v>0.2</c:v>
                </c:pt>
                <c:pt idx="2">
                  <c:v>0.2</c:v>
                </c:pt>
                <c:pt idx="3">
                  <c:v>0.2</c:v>
                </c:pt>
                <c:pt idx="4">
                  <c:v>0.2</c:v>
                </c:pt>
                <c:pt idx="5">
                  <c:v>0.2</c:v>
                </c:pt>
                <c:pt idx="6">
                  <c:v>0.2</c:v>
                </c:pt>
              </c:numCache>
            </c:numRef>
          </c:val>
          <c:smooth val="0"/>
          <c:extLst>
            <c:ext xmlns:c16="http://schemas.microsoft.com/office/drawing/2014/chart" uri="{C3380CC4-5D6E-409C-BE32-E72D297353CC}">
              <c16:uniqueId val="{00000001-754E-4C85-B023-3E93DDE7A914}"/>
            </c:ext>
          </c:extLst>
        </c:ser>
        <c:dLbls>
          <c:showLegendKey val="0"/>
          <c:showVal val="0"/>
          <c:showCatName val="0"/>
          <c:showSerName val="0"/>
          <c:showPercent val="0"/>
          <c:showBubbleSize val="0"/>
        </c:dLbls>
        <c:marker val="1"/>
        <c:smooth val="0"/>
        <c:axId val="260981888"/>
        <c:axId val="260983424"/>
      </c:lineChart>
      <c:catAx>
        <c:axId val="26098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983424"/>
        <c:crosses val="autoZero"/>
        <c:auto val="1"/>
        <c:lblAlgn val="ctr"/>
        <c:lblOffset val="100"/>
        <c:noMultiLvlLbl val="0"/>
      </c:catAx>
      <c:valAx>
        <c:axId val="260983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981888"/>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fosforit total</a:t>
            </a:r>
          </a:p>
        </c:rich>
      </c:tx>
      <c:layout>
        <c:manualLayout>
          <c:xMode val="edge"/>
          <c:yMode val="edge"/>
          <c:x val="0.29200949881264843"/>
          <c:y val="6.9780886403067108E-2"/>
        </c:manualLayout>
      </c:layout>
      <c:overlay val="0"/>
    </c:title>
    <c:autoTitleDeleted val="0"/>
    <c:plotArea>
      <c:layout/>
      <c:barChart>
        <c:barDir val="col"/>
        <c:grouping val="clustered"/>
        <c:varyColors val="0"/>
        <c:ser>
          <c:idx val="0"/>
          <c:order val="0"/>
          <c:tx>
            <c:strRef>
              <c:f>'Baseni Drinit'!$L$56</c:f>
              <c:strCache>
                <c:ptCount val="1"/>
                <c:pt idx="0">
                  <c:v>mesatare vjetore 2025</c:v>
                </c:pt>
              </c:strCache>
            </c:strRef>
          </c:tx>
          <c:invertIfNegative val="0"/>
          <c:cat>
            <c:strRef>
              <c:f>'Baseni Drinit'!$M$55:$S$55</c:f>
              <c:strCache>
                <c:ptCount val="7"/>
                <c:pt idx="0">
                  <c:v>D1</c:v>
                </c:pt>
                <c:pt idx="1">
                  <c:v>D2</c:v>
                </c:pt>
                <c:pt idx="2">
                  <c:v>D3</c:v>
                </c:pt>
                <c:pt idx="3">
                  <c:v>Bu1</c:v>
                </c:pt>
                <c:pt idx="4">
                  <c:v>Ki</c:v>
                </c:pt>
                <c:pt idx="5">
                  <c:v>Bu2</c:v>
                </c:pt>
                <c:pt idx="6">
                  <c:v>DLe</c:v>
                </c:pt>
              </c:strCache>
            </c:strRef>
          </c:cat>
          <c:val>
            <c:numRef>
              <c:f>'Baseni Drinit'!$M$56:$S$56</c:f>
              <c:numCache>
                <c:formatCode>General</c:formatCode>
                <c:ptCount val="7"/>
                <c:pt idx="0">
                  <c:v>8.9999999999999993E-3</c:v>
                </c:pt>
                <c:pt idx="1">
                  <c:v>4.2999999999999997E-2</c:v>
                </c:pt>
                <c:pt idx="2">
                  <c:v>7.1000000000000004E-3</c:v>
                </c:pt>
                <c:pt idx="3">
                  <c:v>5.8999999999999999E-3</c:v>
                </c:pt>
                <c:pt idx="4">
                  <c:v>3.0000000000000001E-3</c:v>
                </c:pt>
                <c:pt idx="5">
                  <c:v>2E-3</c:v>
                </c:pt>
                <c:pt idx="6">
                  <c:v>5.6000000000000001E-2</c:v>
                </c:pt>
              </c:numCache>
            </c:numRef>
          </c:val>
          <c:extLst>
            <c:ext xmlns:c16="http://schemas.microsoft.com/office/drawing/2014/chart" uri="{C3380CC4-5D6E-409C-BE32-E72D297353CC}">
              <c16:uniqueId val="{00000000-D340-45AD-AEC6-49F5A9979D52}"/>
            </c:ext>
          </c:extLst>
        </c:ser>
        <c:dLbls>
          <c:showLegendKey val="0"/>
          <c:showVal val="0"/>
          <c:showCatName val="0"/>
          <c:showSerName val="0"/>
          <c:showPercent val="0"/>
          <c:showBubbleSize val="0"/>
        </c:dLbls>
        <c:gapWidth val="150"/>
        <c:axId val="261034752"/>
        <c:axId val="261036288"/>
      </c:barChart>
      <c:lineChart>
        <c:grouping val="percentStacked"/>
        <c:varyColors val="0"/>
        <c:ser>
          <c:idx val="1"/>
          <c:order val="1"/>
          <c:tx>
            <c:strRef>
              <c:f>'Baseni Drinit'!$L$57</c:f>
              <c:strCache>
                <c:ptCount val="1"/>
                <c:pt idx="0">
                  <c:v>Norma DKU</c:v>
                </c:pt>
              </c:strCache>
            </c:strRef>
          </c:tx>
          <c:marker>
            <c:symbol val="none"/>
          </c:marker>
          <c:cat>
            <c:strRef>
              <c:f>'Baseni Drinit'!$M$55:$S$55</c:f>
              <c:strCache>
                <c:ptCount val="7"/>
                <c:pt idx="0">
                  <c:v>D1</c:v>
                </c:pt>
                <c:pt idx="1">
                  <c:v>D2</c:v>
                </c:pt>
                <c:pt idx="2">
                  <c:v>D3</c:v>
                </c:pt>
                <c:pt idx="3">
                  <c:v>Bu1</c:v>
                </c:pt>
                <c:pt idx="4">
                  <c:v>Ki</c:v>
                </c:pt>
                <c:pt idx="5">
                  <c:v>Bu2</c:v>
                </c:pt>
                <c:pt idx="6">
                  <c:v>DLe</c:v>
                </c:pt>
              </c:strCache>
            </c:strRef>
          </c:cat>
          <c:val>
            <c:numRef>
              <c:f>'Baseni Drinit'!$M$57:$S$57</c:f>
              <c:numCache>
                <c:formatCode>General</c:formatCode>
                <c:ptCount val="7"/>
                <c:pt idx="0">
                  <c:v>0.4</c:v>
                </c:pt>
                <c:pt idx="1">
                  <c:v>0.4</c:v>
                </c:pt>
                <c:pt idx="2">
                  <c:v>0.4</c:v>
                </c:pt>
                <c:pt idx="3">
                  <c:v>0.4</c:v>
                </c:pt>
                <c:pt idx="4">
                  <c:v>0.4</c:v>
                </c:pt>
                <c:pt idx="5">
                  <c:v>0.4</c:v>
                </c:pt>
                <c:pt idx="6">
                  <c:v>0.4</c:v>
                </c:pt>
              </c:numCache>
            </c:numRef>
          </c:val>
          <c:smooth val="0"/>
          <c:extLst>
            <c:ext xmlns:c16="http://schemas.microsoft.com/office/drawing/2014/chart" uri="{C3380CC4-5D6E-409C-BE32-E72D297353CC}">
              <c16:uniqueId val="{00000001-D340-45AD-AEC6-49F5A9979D52}"/>
            </c:ext>
          </c:extLst>
        </c:ser>
        <c:dLbls>
          <c:showLegendKey val="0"/>
          <c:showVal val="0"/>
          <c:showCatName val="0"/>
          <c:showSerName val="0"/>
          <c:showPercent val="0"/>
          <c:showBubbleSize val="0"/>
        </c:dLbls>
        <c:marker val="1"/>
        <c:smooth val="0"/>
        <c:axId val="261034752"/>
        <c:axId val="261036288"/>
      </c:lineChart>
      <c:catAx>
        <c:axId val="261034752"/>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036288"/>
        <c:crosses val="autoZero"/>
        <c:auto val="1"/>
        <c:lblAlgn val="ctr"/>
        <c:lblOffset val="100"/>
        <c:noMultiLvlLbl val="0"/>
      </c:catAx>
      <c:valAx>
        <c:axId val="261036288"/>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034752"/>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Oksigjeni i tretur</a:t>
            </a:r>
          </a:p>
        </c:rich>
      </c:tx>
      <c:layout>
        <c:manualLayout>
          <c:xMode val="edge"/>
          <c:yMode val="edge"/>
          <c:x val="0.3826316631414301"/>
          <c:y val="5.2980132450331126E-2"/>
        </c:manualLayout>
      </c:layout>
      <c:overlay val="0"/>
    </c:title>
    <c:autoTitleDeleted val="0"/>
    <c:plotArea>
      <c:layout/>
      <c:barChart>
        <c:barDir val="col"/>
        <c:grouping val="clustered"/>
        <c:varyColors val="0"/>
        <c:ser>
          <c:idx val="0"/>
          <c:order val="0"/>
          <c:tx>
            <c:strRef>
              <c:f>'Baseni i Matit'!$B$6</c:f>
              <c:strCache>
                <c:ptCount val="1"/>
                <c:pt idx="0">
                  <c:v>mesatare vjetore 2025</c:v>
                </c:pt>
              </c:strCache>
            </c:strRef>
          </c:tx>
          <c:invertIfNegative val="0"/>
          <c:cat>
            <c:strRef>
              <c:f>'Baseni i Matit'!$C$5:$F$5</c:f>
              <c:strCache>
                <c:ptCount val="4"/>
                <c:pt idx="0">
                  <c:v>Ma1</c:v>
                </c:pt>
                <c:pt idx="1">
                  <c:v>Ma2</c:v>
                </c:pt>
                <c:pt idx="2">
                  <c:v>Ma3</c:v>
                </c:pt>
                <c:pt idx="3">
                  <c:v>Ma4</c:v>
                </c:pt>
              </c:strCache>
            </c:strRef>
          </c:cat>
          <c:val>
            <c:numRef>
              <c:f>'Baseni i Matit'!$C$6:$F$6</c:f>
              <c:numCache>
                <c:formatCode>General</c:formatCode>
                <c:ptCount val="4"/>
                <c:pt idx="0">
                  <c:v>12.4</c:v>
                </c:pt>
                <c:pt idx="1">
                  <c:v>11.6</c:v>
                </c:pt>
                <c:pt idx="2">
                  <c:v>12</c:v>
                </c:pt>
                <c:pt idx="3">
                  <c:v>11.8</c:v>
                </c:pt>
              </c:numCache>
            </c:numRef>
          </c:val>
          <c:extLst>
            <c:ext xmlns:c16="http://schemas.microsoft.com/office/drawing/2014/chart" uri="{C3380CC4-5D6E-409C-BE32-E72D297353CC}">
              <c16:uniqueId val="{00000000-C13F-441C-8D9C-7066EF27772A}"/>
            </c:ext>
          </c:extLst>
        </c:ser>
        <c:dLbls>
          <c:showLegendKey val="0"/>
          <c:showVal val="0"/>
          <c:showCatName val="0"/>
          <c:showSerName val="0"/>
          <c:showPercent val="0"/>
          <c:showBubbleSize val="0"/>
        </c:dLbls>
        <c:gapWidth val="150"/>
        <c:axId val="261067136"/>
        <c:axId val="261068672"/>
      </c:barChart>
      <c:lineChart>
        <c:grouping val="stacked"/>
        <c:varyColors val="0"/>
        <c:ser>
          <c:idx val="1"/>
          <c:order val="1"/>
          <c:tx>
            <c:strRef>
              <c:f>'Baseni i Matit'!$B$7</c:f>
              <c:strCache>
                <c:ptCount val="1"/>
                <c:pt idx="0">
                  <c:v>Norma DKU</c:v>
                </c:pt>
              </c:strCache>
            </c:strRef>
          </c:tx>
          <c:marker>
            <c:symbol val="none"/>
          </c:marker>
          <c:cat>
            <c:strRef>
              <c:f>'Baseni i Matit'!$C$5:$F$5</c:f>
              <c:strCache>
                <c:ptCount val="4"/>
                <c:pt idx="0">
                  <c:v>Ma1</c:v>
                </c:pt>
                <c:pt idx="1">
                  <c:v>Ma2</c:v>
                </c:pt>
                <c:pt idx="2">
                  <c:v>Ma3</c:v>
                </c:pt>
                <c:pt idx="3">
                  <c:v>Ma4</c:v>
                </c:pt>
              </c:strCache>
            </c:strRef>
          </c:cat>
          <c:val>
            <c:numRef>
              <c:f>'Baseni i Matit'!$C$7:$F$7</c:f>
              <c:numCache>
                <c:formatCode>General</c:formatCode>
                <c:ptCount val="4"/>
                <c:pt idx="0">
                  <c:v>7</c:v>
                </c:pt>
                <c:pt idx="1">
                  <c:v>7</c:v>
                </c:pt>
                <c:pt idx="2">
                  <c:v>7</c:v>
                </c:pt>
                <c:pt idx="3">
                  <c:v>7</c:v>
                </c:pt>
              </c:numCache>
            </c:numRef>
          </c:val>
          <c:smooth val="0"/>
          <c:extLst>
            <c:ext xmlns:c16="http://schemas.microsoft.com/office/drawing/2014/chart" uri="{C3380CC4-5D6E-409C-BE32-E72D297353CC}">
              <c16:uniqueId val="{00000001-C13F-441C-8D9C-7066EF27772A}"/>
            </c:ext>
          </c:extLst>
        </c:ser>
        <c:dLbls>
          <c:showLegendKey val="0"/>
          <c:showVal val="0"/>
          <c:showCatName val="0"/>
          <c:showSerName val="0"/>
          <c:showPercent val="0"/>
          <c:showBubbleSize val="0"/>
        </c:dLbls>
        <c:marker val="1"/>
        <c:smooth val="0"/>
        <c:axId val="261067136"/>
        <c:axId val="261068672"/>
      </c:lineChart>
      <c:catAx>
        <c:axId val="26106713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068672"/>
        <c:crosses val="autoZero"/>
        <c:auto val="1"/>
        <c:lblAlgn val="ctr"/>
        <c:lblOffset val="100"/>
        <c:noMultiLvlLbl val="0"/>
      </c:catAx>
      <c:valAx>
        <c:axId val="261068672"/>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067136"/>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Nevoja Biokimike për Oksigjen</a:t>
            </a:r>
          </a:p>
        </c:rich>
      </c:tx>
      <c:layout>
        <c:manualLayout>
          <c:xMode val="edge"/>
          <c:yMode val="edge"/>
          <c:x val="0.18529185831969022"/>
          <c:y val="4.1666971861075507E-2"/>
        </c:manualLayout>
      </c:layout>
      <c:overlay val="0"/>
    </c:title>
    <c:autoTitleDeleted val="0"/>
    <c:plotArea>
      <c:layout/>
      <c:barChart>
        <c:barDir val="col"/>
        <c:grouping val="clustered"/>
        <c:varyColors val="0"/>
        <c:ser>
          <c:idx val="0"/>
          <c:order val="0"/>
          <c:tx>
            <c:strRef>
              <c:f>'Baseni i Matit'!$J$6</c:f>
              <c:strCache>
                <c:ptCount val="1"/>
                <c:pt idx="0">
                  <c:v>mesatare vjetore 2025</c:v>
                </c:pt>
              </c:strCache>
            </c:strRef>
          </c:tx>
          <c:invertIfNegative val="0"/>
          <c:cat>
            <c:strRef>
              <c:f>'Baseni i Matit'!$K$5:$N$5</c:f>
              <c:strCache>
                <c:ptCount val="4"/>
                <c:pt idx="0">
                  <c:v>Ma1</c:v>
                </c:pt>
                <c:pt idx="1">
                  <c:v>Ma2</c:v>
                </c:pt>
                <c:pt idx="2">
                  <c:v>Ma3</c:v>
                </c:pt>
                <c:pt idx="3">
                  <c:v>Ma4</c:v>
                </c:pt>
              </c:strCache>
            </c:strRef>
          </c:cat>
          <c:val>
            <c:numRef>
              <c:f>'Baseni i Matit'!$K$6:$N$6</c:f>
              <c:numCache>
                <c:formatCode>General</c:formatCode>
                <c:ptCount val="4"/>
                <c:pt idx="0">
                  <c:v>2</c:v>
                </c:pt>
                <c:pt idx="1">
                  <c:v>4</c:v>
                </c:pt>
                <c:pt idx="2">
                  <c:v>2</c:v>
                </c:pt>
                <c:pt idx="3">
                  <c:v>2</c:v>
                </c:pt>
              </c:numCache>
            </c:numRef>
          </c:val>
          <c:extLst>
            <c:ext xmlns:c16="http://schemas.microsoft.com/office/drawing/2014/chart" uri="{C3380CC4-5D6E-409C-BE32-E72D297353CC}">
              <c16:uniqueId val="{00000000-23BE-40B6-8E52-AFFBF4F70998}"/>
            </c:ext>
          </c:extLst>
        </c:ser>
        <c:dLbls>
          <c:showLegendKey val="0"/>
          <c:showVal val="0"/>
          <c:showCatName val="0"/>
          <c:showSerName val="0"/>
          <c:showPercent val="0"/>
          <c:showBubbleSize val="0"/>
        </c:dLbls>
        <c:gapWidth val="150"/>
        <c:axId val="261107712"/>
        <c:axId val="261109248"/>
      </c:barChart>
      <c:lineChart>
        <c:grouping val="stacked"/>
        <c:varyColors val="0"/>
        <c:ser>
          <c:idx val="1"/>
          <c:order val="1"/>
          <c:tx>
            <c:strRef>
              <c:f>'Baseni i Matit'!$J$7</c:f>
              <c:strCache>
                <c:ptCount val="1"/>
                <c:pt idx="0">
                  <c:v>Norma DKU</c:v>
                </c:pt>
              </c:strCache>
            </c:strRef>
          </c:tx>
          <c:marker>
            <c:symbol val="none"/>
          </c:marker>
          <c:cat>
            <c:strRef>
              <c:f>'Baseni i Matit'!$K$5:$N$5</c:f>
              <c:strCache>
                <c:ptCount val="4"/>
                <c:pt idx="0">
                  <c:v>Ma1</c:v>
                </c:pt>
                <c:pt idx="1">
                  <c:v>Ma2</c:v>
                </c:pt>
                <c:pt idx="2">
                  <c:v>Ma3</c:v>
                </c:pt>
                <c:pt idx="3">
                  <c:v>Ma4</c:v>
                </c:pt>
              </c:strCache>
            </c:strRef>
          </c:cat>
          <c:val>
            <c:numRef>
              <c:f>'Baseni i Matit'!$K$7:$N$7</c:f>
              <c:numCache>
                <c:formatCode>General</c:formatCode>
                <c:ptCount val="4"/>
                <c:pt idx="0">
                  <c:v>7</c:v>
                </c:pt>
                <c:pt idx="1">
                  <c:v>7</c:v>
                </c:pt>
                <c:pt idx="2">
                  <c:v>7</c:v>
                </c:pt>
                <c:pt idx="3">
                  <c:v>7</c:v>
                </c:pt>
              </c:numCache>
            </c:numRef>
          </c:val>
          <c:smooth val="0"/>
          <c:extLst>
            <c:ext xmlns:c16="http://schemas.microsoft.com/office/drawing/2014/chart" uri="{C3380CC4-5D6E-409C-BE32-E72D297353CC}">
              <c16:uniqueId val="{00000001-23BE-40B6-8E52-AFFBF4F70998}"/>
            </c:ext>
          </c:extLst>
        </c:ser>
        <c:dLbls>
          <c:showLegendKey val="0"/>
          <c:showVal val="0"/>
          <c:showCatName val="0"/>
          <c:showSerName val="0"/>
          <c:showPercent val="0"/>
          <c:showBubbleSize val="0"/>
        </c:dLbls>
        <c:marker val="1"/>
        <c:smooth val="0"/>
        <c:axId val="261107712"/>
        <c:axId val="261109248"/>
      </c:lineChart>
      <c:catAx>
        <c:axId val="261107712"/>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109248"/>
        <c:crosses val="autoZero"/>
        <c:auto val="1"/>
        <c:lblAlgn val="ctr"/>
        <c:lblOffset val="100"/>
        <c:noMultiLvlLbl val="0"/>
      </c:catAx>
      <c:valAx>
        <c:axId val="261109248"/>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107712"/>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amonjakut</a:t>
            </a:r>
          </a:p>
        </c:rich>
      </c:tx>
      <c:layout>
        <c:manualLayout>
          <c:xMode val="edge"/>
          <c:yMode val="edge"/>
          <c:x val="0.21"/>
          <c:y val="4.0816326530612242E-2"/>
        </c:manualLayout>
      </c:layout>
      <c:overlay val="0"/>
    </c:title>
    <c:autoTitleDeleted val="0"/>
    <c:plotArea>
      <c:layout/>
      <c:barChart>
        <c:barDir val="col"/>
        <c:grouping val="clustered"/>
        <c:varyColors val="0"/>
        <c:ser>
          <c:idx val="0"/>
          <c:order val="0"/>
          <c:tx>
            <c:strRef>
              <c:f>'Baseni i Matit'!$B$22</c:f>
              <c:strCache>
                <c:ptCount val="1"/>
                <c:pt idx="0">
                  <c:v>mesatare vjetore 2025</c:v>
                </c:pt>
              </c:strCache>
            </c:strRef>
          </c:tx>
          <c:invertIfNegative val="0"/>
          <c:cat>
            <c:strRef>
              <c:f>'Baseni i Matit'!$C$21:$F$21</c:f>
              <c:strCache>
                <c:ptCount val="4"/>
                <c:pt idx="0">
                  <c:v>Ma1</c:v>
                </c:pt>
                <c:pt idx="1">
                  <c:v>Ma2</c:v>
                </c:pt>
                <c:pt idx="2">
                  <c:v>Ma3</c:v>
                </c:pt>
                <c:pt idx="3">
                  <c:v>Ma4</c:v>
                </c:pt>
              </c:strCache>
            </c:strRef>
          </c:cat>
          <c:val>
            <c:numRef>
              <c:f>'Baseni i Matit'!$C$22:$F$22</c:f>
              <c:numCache>
                <c:formatCode>0.000</c:formatCode>
                <c:ptCount val="4"/>
                <c:pt idx="0">
                  <c:v>1.4999999999999999E-2</c:v>
                </c:pt>
                <c:pt idx="1">
                  <c:v>0.11700000000000001</c:v>
                </c:pt>
                <c:pt idx="2">
                  <c:v>1.7000000000000001E-2</c:v>
                </c:pt>
                <c:pt idx="3">
                  <c:v>2.4E-2</c:v>
                </c:pt>
              </c:numCache>
            </c:numRef>
          </c:val>
          <c:extLst>
            <c:ext xmlns:c16="http://schemas.microsoft.com/office/drawing/2014/chart" uri="{C3380CC4-5D6E-409C-BE32-E72D297353CC}">
              <c16:uniqueId val="{00000000-B025-480F-96C0-D973873FD434}"/>
            </c:ext>
          </c:extLst>
        </c:ser>
        <c:dLbls>
          <c:showLegendKey val="0"/>
          <c:showVal val="0"/>
          <c:showCatName val="0"/>
          <c:showSerName val="0"/>
          <c:showPercent val="0"/>
          <c:showBubbleSize val="0"/>
        </c:dLbls>
        <c:gapWidth val="150"/>
        <c:axId val="261135744"/>
        <c:axId val="261158016"/>
      </c:barChart>
      <c:lineChart>
        <c:grouping val="stacked"/>
        <c:varyColors val="0"/>
        <c:ser>
          <c:idx val="1"/>
          <c:order val="1"/>
          <c:tx>
            <c:strRef>
              <c:f>'Baseni i Matit'!$B$23</c:f>
              <c:strCache>
                <c:ptCount val="1"/>
                <c:pt idx="0">
                  <c:v>Norma DKU</c:v>
                </c:pt>
              </c:strCache>
            </c:strRef>
          </c:tx>
          <c:marker>
            <c:symbol val="none"/>
          </c:marker>
          <c:cat>
            <c:strRef>
              <c:f>'Baseni i Matit'!$C$21:$F$21</c:f>
              <c:strCache>
                <c:ptCount val="4"/>
                <c:pt idx="0">
                  <c:v>Ma1</c:v>
                </c:pt>
                <c:pt idx="1">
                  <c:v>Ma2</c:v>
                </c:pt>
                <c:pt idx="2">
                  <c:v>Ma3</c:v>
                </c:pt>
                <c:pt idx="3">
                  <c:v>Ma4</c:v>
                </c:pt>
              </c:strCache>
            </c:strRef>
          </c:cat>
          <c:val>
            <c:numRef>
              <c:f>'Baseni i Matit'!$C$23:$F$23</c:f>
              <c:numCache>
                <c:formatCode>General</c:formatCode>
                <c:ptCount val="4"/>
                <c:pt idx="0">
                  <c:v>0.6</c:v>
                </c:pt>
                <c:pt idx="1">
                  <c:v>0.6</c:v>
                </c:pt>
                <c:pt idx="2">
                  <c:v>0.6</c:v>
                </c:pt>
                <c:pt idx="3">
                  <c:v>0.6</c:v>
                </c:pt>
              </c:numCache>
            </c:numRef>
          </c:val>
          <c:smooth val="0"/>
          <c:extLst>
            <c:ext xmlns:c16="http://schemas.microsoft.com/office/drawing/2014/chart" uri="{C3380CC4-5D6E-409C-BE32-E72D297353CC}">
              <c16:uniqueId val="{00000001-B025-480F-96C0-D973873FD434}"/>
            </c:ext>
          </c:extLst>
        </c:ser>
        <c:dLbls>
          <c:showLegendKey val="0"/>
          <c:showVal val="0"/>
          <c:showCatName val="0"/>
          <c:showSerName val="0"/>
          <c:showPercent val="0"/>
          <c:showBubbleSize val="0"/>
        </c:dLbls>
        <c:marker val="1"/>
        <c:smooth val="0"/>
        <c:axId val="261135744"/>
        <c:axId val="261158016"/>
      </c:lineChart>
      <c:catAx>
        <c:axId val="261135744"/>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158016"/>
        <c:crosses val="autoZero"/>
        <c:auto val="1"/>
        <c:lblAlgn val="ctr"/>
        <c:lblOffset val="100"/>
        <c:noMultiLvlLbl val="0"/>
      </c:catAx>
      <c:valAx>
        <c:axId val="261158016"/>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135744"/>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nitriteve</a:t>
            </a:r>
          </a:p>
        </c:rich>
      </c:tx>
      <c:layout>
        <c:manualLayout>
          <c:xMode val="edge"/>
          <c:yMode val="edge"/>
          <c:x val="0.24963612106626207"/>
          <c:y val="7.0203916818090031E-2"/>
        </c:manualLayout>
      </c:layout>
      <c:overlay val="0"/>
    </c:title>
    <c:autoTitleDeleted val="0"/>
    <c:plotArea>
      <c:layout/>
      <c:barChart>
        <c:barDir val="col"/>
        <c:grouping val="clustered"/>
        <c:varyColors val="0"/>
        <c:ser>
          <c:idx val="0"/>
          <c:order val="0"/>
          <c:tx>
            <c:strRef>
              <c:f>'Baseni i Matit'!$I$22</c:f>
              <c:strCache>
                <c:ptCount val="1"/>
                <c:pt idx="0">
                  <c:v>mesatare vjetore 2025</c:v>
                </c:pt>
              </c:strCache>
            </c:strRef>
          </c:tx>
          <c:invertIfNegative val="0"/>
          <c:cat>
            <c:strRef>
              <c:f>'Baseni i Matit'!$J$21:$M$21</c:f>
              <c:strCache>
                <c:ptCount val="4"/>
                <c:pt idx="0">
                  <c:v>Ma1</c:v>
                </c:pt>
                <c:pt idx="1">
                  <c:v>Ma2</c:v>
                </c:pt>
                <c:pt idx="2">
                  <c:v>Ma3</c:v>
                </c:pt>
                <c:pt idx="3">
                  <c:v>Ma4</c:v>
                </c:pt>
              </c:strCache>
            </c:strRef>
          </c:cat>
          <c:val>
            <c:numRef>
              <c:f>'Baseni i Matit'!$J$22:$M$22</c:f>
              <c:numCache>
                <c:formatCode>0.000</c:formatCode>
                <c:ptCount val="4"/>
                <c:pt idx="0">
                  <c:v>8.9999999999999998E-4</c:v>
                </c:pt>
                <c:pt idx="1">
                  <c:v>1.2E-2</c:v>
                </c:pt>
                <c:pt idx="2">
                  <c:v>1E-3</c:v>
                </c:pt>
                <c:pt idx="3">
                  <c:v>1.8E-3</c:v>
                </c:pt>
              </c:numCache>
            </c:numRef>
          </c:val>
          <c:extLst>
            <c:ext xmlns:c16="http://schemas.microsoft.com/office/drawing/2014/chart" uri="{C3380CC4-5D6E-409C-BE32-E72D297353CC}">
              <c16:uniqueId val="{00000000-2557-4088-8A7C-33DA88A2DDC4}"/>
            </c:ext>
          </c:extLst>
        </c:ser>
        <c:dLbls>
          <c:showLegendKey val="0"/>
          <c:showVal val="0"/>
          <c:showCatName val="0"/>
          <c:showSerName val="0"/>
          <c:showPercent val="0"/>
          <c:showBubbleSize val="0"/>
        </c:dLbls>
        <c:gapWidth val="150"/>
        <c:axId val="261188608"/>
        <c:axId val="261190400"/>
      </c:barChart>
      <c:lineChart>
        <c:grouping val="stacked"/>
        <c:varyColors val="0"/>
        <c:ser>
          <c:idx val="1"/>
          <c:order val="1"/>
          <c:tx>
            <c:strRef>
              <c:f>'Baseni i Matit'!$I$23</c:f>
              <c:strCache>
                <c:ptCount val="1"/>
                <c:pt idx="0">
                  <c:v>Norma DKU</c:v>
                </c:pt>
              </c:strCache>
            </c:strRef>
          </c:tx>
          <c:marker>
            <c:symbol val="none"/>
          </c:marker>
          <c:cat>
            <c:strRef>
              <c:f>'Baseni i Matit'!$J$21:$M$21</c:f>
              <c:strCache>
                <c:ptCount val="4"/>
                <c:pt idx="0">
                  <c:v>Ma1</c:v>
                </c:pt>
                <c:pt idx="1">
                  <c:v>Ma2</c:v>
                </c:pt>
                <c:pt idx="2">
                  <c:v>Ma3</c:v>
                </c:pt>
                <c:pt idx="3">
                  <c:v>Ma4</c:v>
                </c:pt>
              </c:strCache>
            </c:strRef>
          </c:cat>
          <c:val>
            <c:numRef>
              <c:f>'Baseni i Matit'!$J$23:$M$23</c:f>
              <c:numCache>
                <c:formatCode>General</c:formatCode>
                <c:ptCount val="4"/>
                <c:pt idx="0">
                  <c:v>0.12</c:v>
                </c:pt>
                <c:pt idx="1">
                  <c:v>0.12</c:v>
                </c:pt>
                <c:pt idx="2">
                  <c:v>0.12</c:v>
                </c:pt>
                <c:pt idx="3">
                  <c:v>0.12</c:v>
                </c:pt>
              </c:numCache>
            </c:numRef>
          </c:val>
          <c:smooth val="0"/>
          <c:extLst>
            <c:ext xmlns:c16="http://schemas.microsoft.com/office/drawing/2014/chart" uri="{C3380CC4-5D6E-409C-BE32-E72D297353CC}">
              <c16:uniqueId val="{00000001-2557-4088-8A7C-33DA88A2DDC4}"/>
            </c:ext>
          </c:extLst>
        </c:ser>
        <c:dLbls>
          <c:showLegendKey val="0"/>
          <c:showVal val="0"/>
          <c:showCatName val="0"/>
          <c:showSerName val="0"/>
          <c:showPercent val="0"/>
          <c:showBubbleSize val="0"/>
        </c:dLbls>
        <c:marker val="1"/>
        <c:smooth val="0"/>
        <c:axId val="261188608"/>
        <c:axId val="261190400"/>
      </c:lineChart>
      <c:catAx>
        <c:axId val="26118860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190400"/>
        <c:crosses val="autoZero"/>
        <c:auto val="1"/>
        <c:lblAlgn val="ctr"/>
        <c:lblOffset val="100"/>
        <c:noMultiLvlLbl val="0"/>
      </c:catAx>
      <c:valAx>
        <c:axId val="261190400"/>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188608"/>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Vlorë,Niveli</a:t>
            </a:r>
            <a:r>
              <a:rPr lang="en-US" sz="1200" b="1" baseline="0">
                <a:latin typeface="Times New Roman" panose="02020603050405020304" pitchFamily="18" charset="0"/>
                <a:cs typeface="Times New Roman" panose="02020603050405020304" pitchFamily="18" charset="0"/>
              </a:rPr>
              <a:t> i Zhurmave 2025 LAeq/Natën dB(A</a:t>
            </a:r>
            <a:r>
              <a:rPr lang="en-US" sz="1200" baseline="0">
                <a:latin typeface="Times New Roman" panose="02020603050405020304" pitchFamily="18" charset="0"/>
                <a:cs typeface="Times New Roman" panose="02020603050405020304" pitchFamily="18" charset="0"/>
              </a:rPr>
              <a:t>)</a:t>
            </a:r>
            <a:endParaRPr lang="en-US" sz="1200">
              <a:latin typeface="Times New Roman" panose="02020603050405020304" pitchFamily="18" charset="0"/>
              <a:cs typeface="Times New Roman" panose="02020603050405020304" pitchFamily="18" charset="0"/>
            </a:endParaRPr>
          </a:p>
        </c:rich>
      </c:tx>
      <c:layout>
        <c:manualLayout>
          <c:xMode val="edge"/>
          <c:yMode val="edge"/>
          <c:x val="0.14818057742782154"/>
          <c:y val="3.2407412951708035E-2"/>
        </c:manualLayout>
      </c:layout>
      <c:overlay val="0"/>
      <c:spPr>
        <a:noFill/>
        <a:ln>
          <a:noFill/>
        </a:ln>
        <a:effectLst/>
      </c:spPr>
    </c:title>
    <c:autoTitleDeleted val="0"/>
    <c:plotArea>
      <c:layout/>
      <c:barChart>
        <c:barDir val="col"/>
        <c:grouping val="clustered"/>
        <c:varyColors val="0"/>
        <c:ser>
          <c:idx val="0"/>
          <c:order val="0"/>
          <c:tx>
            <c:strRef>
              <c:f>'Zhurmat Vlore 2025'!$H$1</c:f>
              <c:strCache>
                <c:ptCount val="1"/>
                <c:pt idx="0">
                  <c:v>LAeq/Naten dB(A) </c:v>
                </c:pt>
              </c:strCache>
            </c:strRef>
          </c:tx>
          <c:spPr>
            <a:solidFill>
              <a:srgbClr val="00CC66"/>
            </a:solidFill>
            <a:ln>
              <a:noFill/>
            </a:ln>
            <a:effectLst/>
          </c:spPr>
          <c:invertIfNegative val="0"/>
          <c:cat>
            <c:strRef>
              <c:f>'Zhurmat Vlore 2025'!$G$2:$G$5</c:f>
              <c:strCache>
                <c:ptCount val="4"/>
                <c:pt idx="0">
                  <c:v>Hotel Bolonja </c:v>
                </c:pt>
                <c:pt idx="1">
                  <c:v>Hyrja e Qytetit </c:v>
                </c:pt>
                <c:pt idx="2">
                  <c:v>Xhamia </c:v>
                </c:pt>
                <c:pt idx="3">
                  <c:v>Uji i Ftohte</c:v>
                </c:pt>
              </c:strCache>
            </c:strRef>
          </c:cat>
          <c:val>
            <c:numRef>
              <c:f>'Zhurmat Vlore 2025'!$H$2:$H$5</c:f>
              <c:numCache>
                <c:formatCode>General</c:formatCode>
                <c:ptCount val="4"/>
                <c:pt idx="0">
                  <c:v>53.85</c:v>
                </c:pt>
                <c:pt idx="1">
                  <c:v>53.61</c:v>
                </c:pt>
                <c:pt idx="2">
                  <c:v>55.37</c:v>
                </c:pt>
                <c:pt idx="3">
                  <c:v>53.43</c:v>
                </c:pt>
              </c:numCache>
            </c:numRef>
          </c:val>
          <c:extLst>
            <c:ext xmlns:c16="http://schemas.microsoft.com/office/drawing/2014/chart" uri="{C3380CC4-5D6E-409C-BE32-E72D297353CC}">
              <c16:uniqueId val="{00000000-A00C-4B55-AD53-27597D2A6FFF}"/>
            </c:ext>
          </c:extLst>
        </c:ser>
        <c:dLbls>
          <c:showLegendKey val="0"/>
          <c:showVal val="0"/>
          <c:showCatName val="0"/>
          <c:showSerName val="0"/>
          <c:showPercent val="0"/>
          <c:showBubbleSize val="0"/>
        </c:dLbls>
        <c:gapWidth val="219"/>
        <c:overlap val="-27"/>
        <c:axId val="245348224"/>
        <c:axId val="245349760"/>
      </c:barChart>
      <c:lineChart>
        <c:grouping val="standard"/>
        <c:varyColors val="0"/>
        <c:ser>
          <c:idx val="1"/>
          <c:order val="1"/>
          <c:tx>
            <c:strRef>
              <c:f>'Zhurmat Vlore 2025'!$I$1</c:f>
              <c:strCache>
                <c:ptCount val="1"/>
                <c:pt idx="0">
                  <c:v>Norma e OBSH </c:v>
                </c:pt>
              </c:strCache>
            </c:strRef>
          </c:tx>
          <c:spPr>
            <a:ln w="28575" cap="rnd">
              <a:solidFill>
                <a:schemeClr val="accent2"/>
              </a:solidFill>
              <a:round/>
            </a:ln>
            <a:effectLst/>
          </c:spPr>
          <c:marker>
            <c:symbol val="none"/>
          </c:marker>
          <c:cat>
            <c:strRef>
              <c:f>'Zhurmat Vlore 2025'!$G$2:$G$5</c:f>
              <c:strCache>
                <c:ptCount val="4"/>
                <c:pt idx="0">
                  <c:v>Hotel Bolonja </c:v>
                </c:pt>
                <c:pt idx="1">
                  <c:v>Hyrja e Qytetit </c:v>
                </c:pt>
                <c:pt idx="2">
                  <c:v>Xhamia </c:v>
                </c:pt>
                <c:pt idx="3">
                  <c:v>Uji i Ftohte</c:v>
                </c:pt>
              </c:strCache>
            </c:strRef>
          </c:cat>
          <c:val>
            <c:numRef>
              <c:f>'Zhurmat Vlore 2025'!$I$2:$I$5</c:f>
              <c:numCache>
                <c:formatCode>General</c:formatCode>
                <c:ptCount val="4"/>
                <c:pt idx="0">
                  <c:v>45</c:v>
                </c:pt>
                <c:pt idx="1">
                  <c:v>45</c:v>
                </c:pt>
                <c:pt idx="2">
                  <c:v>45</c:v>
                </c:pt>
                <c:pt idx="3">
                  <c:v>45</c:v>
                </c:pt>
              </c:numCache>
            </c:numRef>
          </c:val>
          <c:smooth val="0"/>
          <c:extLst>
            <c:ext xmlns:c16="http://schemas.microsoft.com/office/drawing/2014/chart" uri="{C3380CC4-5D6E-409C-BE32-E72D297353CC}">
              <c16:uniqueId val="{00000001-A00C-4B55-AD53-27597D2A6FFF}"/>
            </c:ext>
          </c:extLst>
        </c:ser>
        <c:dLbls>
          <c:showLegendKey val="0"/>
          <c:showVal val="0"/>
          <c:showCatName val="0"/>
          <c:showSerName val="0"/>
          <c:showPercent val="0"/>
          <c:showBubbleSize val="0"/>
        </c:dLbls>
        <c:marker val="1"/>
        <c:smooth val="0"/>
        <c:axId val="245348224"/>
        <c:axId val="245349760"/>
      </c:lineChart>
      <c:catAx>
        <c:axId val="24534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349760"/>
        <c:crosses val="autoZero"/>
        <c:auto val="1"/>
        <c:lblAlgn val="ctr"/>
        <c:lblOffset val="100"/>
        <c:noMultiLvlLbl val="0"/>
      </c:catAx>
      <c:valAx>
        <c:axId val="245349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34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nitrateve</a:t>
            </a:r>
          </a:p>
        </c:rich>
      </c:tx>
      <c:overlay val="0"/>
    </c:title>
    <c:autoTitleDeleted val="0"/>
    <c:plotArea>
      <c:layout/>
      <c:barChart>
        <c:barDir val="col"/>
        <c:grouping val="clustered"/>
        <c:varyColors val="0"/>
        <c:ser>
          <c:idx val="0"/>
          <c:order val="0"/>
          <c:tx>
            <c:strRef>
              <c:f>'Baseni i Matit'!$B$38</c:f>
              <c:strCache>
                <c:ptCount val="1"/>
                <c:pt idx="0">
                  <c:v>mesatare vjetore 2025</c:v>
                </c:pt>
              </c:strCache>
            </c:strRef>
          </c:tx>
          <c:invertIfNegative val="0"/>
          <c:cat>
            <c:strRef>
              <c:f>'Baseni i Matit'!$C$37:$F$37</c:f>
              <c:strCache>
                <c:ptCount val="4"/>
                <c:pt idx="0">
                  <c:v>Ma1</c:v>
                </c:pt>
                <c:pt idx="1">
                  <c:v>Ma2</c:v>
                </c:pt>
                <c:pt idx="2">
                  <c:v>Ma3</c:v>
                </c:pt>
                <c:pt idx="3">
                  <c:v>Ma4</c:v>
                </c:pt>
              </c:strCache>
            </c:strRef>
          </c:cat>
          <c:val>
            <c:numRef>
              <c:f>'Baseni i Matit'!$C$38:$F$38</c:f>
              <c:numCache>
                <c:formatCode>0.000</c:formatCode>
                <c:ptCount val="4"/>
                <c:pt idx="0">
                  <c:v>0.17</c:v>
                </c:pt>
                <c:pt idx="1">
                  <c:v>0.2</c:v>
                </c:pt>
                <c:pt idx="2">
                  <c:v>0.16600000000000001</c:v>
                </c:pt>
                <c:pt idx="3">
                  <c:v>0.18</c:v>
                </c:pt>
              </c:numCache>
            </c:numRef>
          </c:val>
          <c:extLst>
            <c:ext xmlns:c16="http://schemas.microsoft.com/office/drawing/2014/chart" uri="{C3380CC4-5D6E-409C-BE32-E72D297353CC}">
              <c16:uniqueId val="{00000000-8BDD-42B6-9BB7-4C29B4FBF3F6}"/>
            </c:ext>
          </c:extLst>
        </c:ser>
        <c:dLbls>
          <c:showLegendKey val="0"/>
          <c:showVal val="0"/>
          <c:showCatName val="0"/>
          <c:showSerName val="0"/>
          <c:showPercent val="0"/>
          <c:showBubbleSize val="0"/>
        </c:dLbls>
        <c:gapWidth val="150"/>
        <c:axId val="261225088"/>
        <c:axId val="261243264"/>
      </c:barChart>
      <c:lineChart>
        <c:grouping val="stacked"/>
        <c:varyColors val="0"/>
        <c:ser>
          <c:idx val="1"/>
          <c:order val="1"/>
          <c:tx>
            <c:strRef>
              <c:f>'Baseni i Matit'!$B$39</c:f>
              <c:strCache>
                <c:ptCount val="1"/>
                <c:pt idx="0">
                  <c:v>Norma DKU</c:v>
                </c:pt>
              </c:strCache>
            </c:strRef>
          </c:tx>
          <c:marker>
            <c:symbol val="none"/>
          </c:marker>
          <c:cat>
            <c:strRef>
              <c:f>'Baseni i Matit'!$C$37:$F$37</c:f>
              <c:strCache>
                <c:ptCount val="4"/>
                <c:pt idx="0">
                  <c:v>Ma1</c:v>
                </c:pt>
                <c:pt idx="1">
                  <c:v>Ma2</c:v>
                </c:pt>
                <c:pt idx="2">
                  <c:v>Ma3</c:v>
                </c:pt>
                <c:pt idx="3">
                  <c:v>Ma4</c:v>
                </c:pt>
              </c:strCache>
            </c:strRef>
          </c:cat>
          <c:val>
            <c:numRef>
              <c:f>'Baseni i Matit'!$C$39:$F$39</c:f>
              <c:numCache>
                <c:formatCode>General</c:formatCode>
                <c:ptCount val="4"/>
                <c:pt idx="0">
                  <c:v>4</c:v>
                </c:pt>
                <c:pt idx="1">
                  <c:v>4</c:v>
                </c:pt>
                <c:pt idx="2">
                  <c:v>4</c:v>
                </c:pt>
                <c:pt idx="3">
                  <c:v>4</c:v>
                </c:pt>
              </c:numCache>
            </c:numRef>
          </c:val>
          <c:smooth val="0"/>
          <c:extLst>
            <c:ext xmlns:c16="http://schemas.microsoft.com/office/drawing/2014/chart" uri="{C3380CC4-5D6E-409C-BE32-E72D297353CC}">
              <c16:uniqueId val="{00000001-8BDD-42B6-9BB7-4C29B4FBF3F6}"/>
            </c:ext>
          </c:extLst>
        </c:ser>
        <c:dLbls>
          <c:showLegendKey val="0"/>
          <c:showVal val="0"/>
          <c:showCatName val="0"/>
          <c:showSerName val="0"/>
          <c:showPercent val="0"/>
          <c:showBubbleSize val="0"/>
        </c:dLbls>
        <c:marker val="1"/>
        <c:smooth val="0"/>
        <c:axId val="261225088"/>
        <c:axId val="261243264"/>
      </c:lineChart>
      <c:catAx>
        <c:axId val="26122508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243264"/>
        <c:crosses val="autoZero"/>
        <c:auto val="1"/>
        <c:lblAlgn val="ctr"/>
        <c:lblOffset val="100"/>
        <c:noMultiLvlLbl val="0"/>
      </c:catAx>
      <c:valAx>
        <c:axId val="261243264"/>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225088"/>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fosforit</a:t>
            </a:r>
          </a:p>
        </c:rich>
      </c:tx>
      <c:layout>
        <c:manualLayout>
          <c:xMode val="edge"/>
          <c:yMode val="edge"/>
          <c:x val="0.21057134524851059"/>
          <c:y val="4.4692737430167599E-2"/>
        </c:manualLayout>
      </c:layout>
      <c:overlay val="0"/>
    </c:title>
    <c:autoTitleDeleted val="0"/>
    <c:plotArea>
      <c:layout/>
      <c:barChart>
        <c:barDir val="col"/>
        <c:grouping val="clustered"/>
        <c:varyColors val="0"/>
        <c:ser>
          <c:idx val="0"/>
          <c:order val="0"/>
          <c:tx>
            <c:strRef>
              <c:f>'Baseni i Matit'!$I$36</c:f>
              <c:strCache>
                <c:ptCount val="1"/>
                <c:pt idx="0">
                  <c:v>mesatare vjetore 2025</c:v>
                </c:pt>
              </c:strCache>
            </c:strRef>
          </c:tx>
          <c:invertIfNegative val="0"/>
          <c:cat>
            <c:strRef>
              <c:f>'Baseni i Matit'!$J$35:$M$35</c:f>
              <c:strCache>
                <c:ptCount val="4"/>
                <c:pt idx="0">
                  <c:v>Ma1</c:v>
                </c:pt>
                <c:pt idx="1">
                  <c:v>Ma2</c:v>
                </c:pt>
                <c:pt idx="2">
                  <c:v>Ma3</c:v>
                </c:pt>
                <c:pt idx="3">
                  <c:v>Ma4</c:v>
                </c:pt>
              </c:strCache>
            </c:strRef>
          </c:cat>
          <c:val>
            <c:numRef>
              <c:f>'Baseni i Matit'!$J$36:$M$36</c:f>
              <c:numCache>
                <c:formatCode>0.000</c:formatCode>
                <c:ptCount val="4"/>
                <c:pt idx="0">
                  <c:v>4.0000000000000001E-3</c:v>
                </c:pt>
                <c:pt idx="1">
                  <c:v>1.2999999999999999E-2</c:v>
                </c:pt>
                <c:pt idx="2">
                  <c:v>4.1999999999999997E-3</c:v>
                </c:pt>
                <c:pt idx="3">
                  <c:v>4.5999999999999999E-3</c:v>
                </c:pt>
              </c:numCache>
            </c:numRef>
          </c:val>
          <c:extLst>
            <c:ext xmlns:c16="http://schemas.microsoft.com/office/drawing/2014/chart" uri="{C3380CC4-5D6E-409C-BE32-E72D297353CC}">
              <c16:uniqueId val="{00000000-3221-4060-8FA3-7ED867B25E4F}"/>
            </c:ext>
          </c:extLst>
        </c:ser>
        <c:dLbls>
          <c:showLegendKey val="0"/>
          <c:showVal val="0"/>
          <c:showCatName val="0"/>
          <c:showSerName val="0"/>
          <c:showPercent val="0"/>
          <c:showBubbleSize val="0"/>
        </c:dLbls>
        <c:gapWidth val="150"/>
        <c:axId val="261265664"/>
        <c:axId val="261357568"/>
      </c:barChart>
      <c:lineChart>
        <c:grouping val="stacked"/>
        <c:varyColors val="0"/>
        <c:ser>
          <c:idx val="1"/>
          <c:order val="1"/>
          <c:tx>
            <c:strRef>
              <c:f>'Baseni i Matit'!$I$37</c:f>
              <c:strCache>
                <c:ptCount val="1"/>
                <c:pt idx="0">
                  <c:v>Norma DKU</c:v>
                </c:pt>
              </c:strCache>
            </c:strRef>
          </c:tx>
          <c:marker>
            <c:symbol val="none"/>
          </c:marker>
          <c:cat>
            <c:strRef>
              <c:f>'Baseni i Matit'!$J$35:$M$35</c:f>
              <c:strCache>
                <c:ptCount val="4"/>
                <c:pt idx="0">
                  <c:v>Ma1</c:v>
                </c:pt>
                <c:pt idx="1">
                  <c:v>Ma2</c:v>
                </c:pt>
                <c:pt idx="2">
                  <c:v>Ma3</c:v>
                </c:pt>
                <c:pt idx="3">
                  <c:v>Ma4</c:v>
                </c:pt>
              </c:strCache>
            </c:strRef>
          </c:cat>
          <c:val>
            <c:numRef>
              <c:f>'Baseni i Matit'!$J$37:$M$37</c:f>
              <c:numCache>
                <c:formatCode>General</c:formatCode>
                <c:ptCount val="4"/>
                <c:pt idx="0">
                  <c:v>0.2</c:v>
                </c:pt>
                <c:pt idx="1">
                  <c:v>0.2</c:v>
                </c:pt>
                <c:pt idx="2">
                  <c:v>0.2</c:v>
                </c:pt>
                <c:pt idx="3">
                  <c:v>0.2</c:v>
                </c:pt>
              </c:numCache>
            </c:numRef>
          </c:val>
          <c:smooth val="0"/>
          <c:extLst>
            <c:ext xmlns:c16="http://schemas.microsoft.com/office/drawing/2014/chart" uri="{C3380CC4-5D6E-409C-BE32-E72D297353CC}">
              <c16:uniqueId val="{00000001-3221-4060-8FA3-7ED867B25E4F}"/>
            </c:ext>
          </c:extLst>
        </c:ser>
        <c:dLbls>
          <c:showLegendKey val="0"/>
          <c:showVal val="0"/>
          <c:showCatName val="0"/>
          <c:showSerName val="0"/>
          <c:showPercent val="0"/>
          <c:showBubbleSize val="0"/>
        </c:dLbls>
        <c:marker val="1"/>
        <c:smooth val="0"/>
        <c:axId val="261265664"/>
        <c:axId val="261357568"/>
      </c:lineChart>
      <c:catAx>
        <c:axId val="261265664"/>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357568"/>
        <c:crosses val="autoZero"/>
        <c:auto val="1"/>
        <c:lblAlgn val="ctr"/>
        <c:lblOffset val="100"/>
        <c:noMultiLvlLbl val="0"/>
      </c:catAx>
      <c:valAx>
        <c:axId val="261357568"/>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265664"/>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fosforit total</a:t>
            </a:r>
          </a:p>
        </c:rich>
      </c:tx>
      <c:overlay val="0"/>
    </c:title>
    <c:autoTitleDeleted val="0"/>
    <c:plotArea>
      <c:layout/>
      <c:barChart>
        <c:barDir val="col"/>
        <c:grouping val="clustered"/>
        <c:varyColors val="0"/>
        <c:ser>
          <c:idx val="0"/>
          <c:order val="0"/>
          <c:tx>
            <c:strRef>
              <c:f>'Baseni i Matit'!$F$54</c:f>
              <c:strCache>
                <c:ptCount val="1"/>
                <c:pt idx="0">
                  <c:v>mesatare vjetore 2025</c:v>
                </c:pt>
              </c:strCache>
            </c:strRef>
          </c:tx>
          <c:invertIfNegative val="0"/>
          <c:cat>
            <c:strRef>
              <c:f>'Baseni i Matit'!$G$53:$J$53</c:f>
              <c:strCache>
                <c:ptCount val="4"/>
                <c:pt idx="0">
                  <c:v>Ma1</c:v>
                </c:pt>
                <c:pt idx="1">
                  <c:v>Ma2</c:v>
                </c:pt>
                <c:pt idx="2">
                  <c:v>Ma3</c:v>
                </c:pt>
                <c:pt idx="3">
                  <c:v>Ma4</c:v>
                </c:pt>
              </c:strCache>
            </c:strRef>
          </c:cat>
          <c:val>
            <c:numRef>
              <c:f>'Baseni i Matit'!$G$54:$J$54</c:f>
              <c:numCache>
                <c:formatCode>0.000</c:formatCode>
                <c:ptCount val="4"/>
                <c:pt idx="0">
                  <c:v>5.4000000000000003E-3</c:v>
                </c:pt>
                <c:pt idx="1">
                  <c:v>1.4999999999999999E-2</c:v>
                </c:pt>
                <c:pt idx="2">
                  <c:v>5.7999999999999996E-3</c:v>
                </c:pt>
                <c:pt idx="3">
                  <c:v>5.7999999999999996E-3</c:v>
                </c:pt>
              </c:numCache>
            </c:numRef>
          </c:val>
          <c:extLst>
            <c:ext xmlns:c16="http://schemas.microsoft.com/office/drawing/2014/chart" uri="{C3380CC4-5D6E-409C-BE32-E72D297353CC}">
              <c16:uniqueId val="{00000000-4901-4BCC-AF98-8654D2D2210A}"/>
            </c:ext>
          </c:extLst>
        </c:ser>
        <c:dLbls>
          <c:showLegendKey val="0"/>
          <c:showVal val="0"/>
          <c:showCatName val="0"/>
          <c:showSerName val="0"/>
          <c:showPercent val="0"/>
          <c:showBubbleSize val="0"/>
        </c:dLbls>
        <c:gapWidth val="150"/>
        <c:axId val="261392256"/>
        <c:axId val="261393792"/>
      </c:barChart>
      <c:lineChart>
        <c:grouping val="stacked"/>
        <c:varyColors val="0"/>
        <c:ser>
          <c:idx val="1"/>
          <c:order val="1"/>
          <c:tx>
            <c:strRef>
              <c:f>'Baseni i Matit'!$F$55</c:f>
              <c:strCache>
                <c:ptCount val="1"/>
                <c:pt idx="0">
                  <c:v>Norma DKU</c:v>
                </c:pt>
              </c:strCache>
            </c:strRef>
          </c:tx>
          <c:marker>
            <c:symbol val="none"/>
          </c:marker>
          <c:cat>
            <c:strRef>
              <c:f>'Baseni i Matit'!$G$53:$J$53</c:f>
              <c:strCache>
                <c:ptCount val="4"/>
                <c:pt idx="0">
                  <c:v>Ma1</c:v>
                </c:pt>
                <c:pt idx="1">
                  <c:v>Ma2</c:v>
                </c:pt>
                <c:pt idx="2">
                  <c:v>Ma3</c:v>
                </c:pt>
                <c:pt idx="3">
                  <c:v>Ma4</c:v>
                </c:pt>
              </c:strCache>
            </c:strRef>
          </c:cat>
          <c:val>
            <c:numRef>
              <c:f>'Baseni i Matit'!$G$55:$J$55</c:f>
              <c:numCache>
                <c:formatCode>General</c:formatCode>
                <c:ptCount val="4"/>
                <c:pt idx="0">
                  <c:v>0.4</c:v>
                </c:pt>
                <c:pt idx="1">
                  <c:v>0.4</c:v>
                </c:pt>
                <c:pt idx="2">
                  <c:v>0.4</c:v>
                </c:pt>
                <c:pt idx="3">
                  <c:v>0.4</c:v>
                </c:pt>
              </c:numCache>
            </c:numRef>
          </c:val>
          <c:smooth val="0"/>
          <c:extLst>
            <c:ext xmlns:c16="http://schemas.microsoft.com/office/drawing/2014/chart" uri="{C3380CC4-5D6E-409C-BE32-E72D297353CC}">
              <c16:uniqueId val="{00000001-4901-4BCC-AF98-8654D2D2210A}"/>
            </c:ext>
          </c:extLst>
        </c:ser>
        <c:dLbls>
          <c:showLegendKey val="0"/>
          <c:showVal val="0"/>
          <c:showCatName val="0"/>
          <c:showSerName val="0"/>
          <c:showPercent val="0"/>
          <c:showBubbleSize val="0"/>
        </c:dLbls>
        <c:marker val="1"/>
        <c:smooth val="0"/>
        <c:axId val="261392256"/>
        <c:axId val="261393792"/>
      </c:lineChart>
      <c:catAx>
        <c:axId val="26139225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393792"/>
        <c:crosses val="autoZero"/>
        <c:auto val="1"/>
        <c:lblAlgn val="ctr"/>
        <c:lblOffset val="100"/>
        <c:noMultiLvlLbl val="0"/>
      </c:catAx>
      <c:valAx>
        <c:axId val="261393792"/>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392256"/>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Oksigjeni i tretur</a:t>
            </a:r>
          </a:p>
        </c:rich>
      </c:tx>
      <c:overlay val="0"/>
    </c:title>
    <c:autoTitleDeleted val="0"/>
    <c:plotArea>
      <c:layout/>
      <c:barChart>
        <c:barDir val="col"/>
        <c:grouping val="clustered"/>
        <c:varyColors val="0"/>
        <c:ser>
          <c:idx val="0"/>
          <c:order val="0"/>
          <c:tx>
            <c:strRef>
              <c:f>'Baseni Ishem Erzen'!$B$5</c:f>
              <c:strCache>
                <c:ptCount val="1"/>
                <c:pt idx="0">
                  <c:v>mesatare vjetore 2025</c:v>
                </c:pt>
              </c:strCache>
            </c:strRef>
          </c:tx>
          <c:invertIfNegative val="0"/>
          <c:cat>
            <c:strRef>
              <c:f>'Baseni Ishem Erzen'!$C$4:$L$4</c:f>
              <c:strCache>
                <c:ptCount val="10"/>
                <c:pt idx="0">
                  <c:v>T1</c:v>
                </c:pt>
                <c:pt idx="1">
                  <c:v>T2</c:v>
                </c:pt>
                <c:pt idx="2">
                  <c:v>L1</c:v>
                </c:pt>
                <c:pt idx="3">
                  <c:v>L2</c:v>
                </c:pt>
                <c:pt idx="4">
                  <c:v>Ish1</c:v>
                </c:pt>
                <c:pt idx="5">
                  <c:v>Ish2</c:v>
                </c:pt>
                <c:pt idx="6">
                  <c:v>Ish3</c:v>
                </c:pt>
                <c:pt idx="7">
                  <c:v>Er1</c:v>
                </c:pt>
                <c:pt idx="8">
                  <c:v>Er2</c:v>
                </c:pt>
                <c:pt idx="9">
                  <c:v>Er3</c:v>
                </c:pt>
              </c:strCache>
            </c:strRef>
          </c:cat>
          <c:val>
            <c:numRef>
              <c:f>'Baseni Ishem Erzen'!$C$5:$L$5</c:f>
              <c:numCache>
                <c:formatCode>General</c:formatCode>
                <c:ptCount val="10"/>
                <c:pt idx="0">
                  <c:v>9.1</c:v>
                </c:pt>
                <c:pt idx="1">
                  <c:v>8.1</c:v>
                </c:pt>
                <c:pt idx="2">
                  <c:v>8.1</c:v>
                </c:pt>
                <c:pt idx="3">
                  <c:v>1.8</c:v>
                </c:pt>
                <c:pt idx="4">
                  <c:v>6.6</c:v>
                </c:pt>
                <c:pt idx="5">
                  <c:v>7.7</c:v>
                </c:pt>
                <c:pt idx="6">
                  <c:v>7.3</c:v>
                </c:pt>
                <c:pt idx="7">
                  <c:v>10.199999999999999</c:v>
                </c:pt>
                <c:pt idx="8">
                  <c:v>9.1</c:v>
                </c:pt>
                <c:pt idx="9">
                  <c:v>8.5</c:v>
                </c:pt>
              </c:numCache>
            </c:numRef>
          </c:val>
          <c:extLst>
            <c:ext xmlns:c16="http://schemas.microsoft.com/office/drawing/2014/chart" uri="{C3380CC4-5D6E-409C-BE32-E72D297353CC}">
              <c16:uniqueId val="{00000000-9141-42C5-AEB6-7D93FDAF7EFE}"/>
            </c:ext>
          </c:extLst>
        </c:ser>
        <c:dLbls>
          <c:showLegendKey val="0"/>
          <c:showVal val="0"/>
          <c:showCatName val="0"/>
          <c:showSerName val="0"/>
          <c:showPercent val="0"/>
          <c:showBubbleSize val="0"/>
        </c:dLbls>
        <c:gapWidth val="150"/>
        <c:axId val="261568000"/>
        <c:axId val="261569536"/>
      </c:barChart>
      <c:lineChart>
        <c:grouping val="stacked"/>
        <c:varyColors val="0"/>
        <c:ser>
          <c:idx val="1"/>
          <c:order val="1"/>
          <c:tx>
            <c:strRef>
              <c:f>'Baseni Ishem Erzen'!$B$6</c:f>
              <c:strCache>
                <c:ptCount val="1"/>
                <c:pt idx="0">
                  <c:v>Norma DKU</c:v>
                </c:pt>
              </c:strCache>
            </c:strRef>
          </c:tx>
          <c:marker>
            <c:symbol val="none"/>
          </c:marker>
          <c:cat>
            <c:strRef>
              <c:f>'Baseni Ishem Erzen'!$C$4:$L$4</c:f>
              <c:strCache>
                <c:ptCount val="10"/>
                <c:pt idx="0">
                  <c:v>T1</c:v>
                </c:pt>
                <c:pt idx="1">
                  <c:v>T2</c:v>
                </c:pt>
                <c:pt idx="2">
                  <c:v>L1</c:v>
                </c:pt>
                <c:pt idx="3">
                  <c:v>L2</c:v>
                </c:pt>
                <c:pt idx="4">
                  <c:v>Ish1</c:v>
                </c:pt>
                <c:pt idx="5">
                  <c:v>Ish2</c:v>
                </c:pt>
                <c:pt idx="6">
                  <c:v>Ish3</c:v>
                </c:pt>
                <c:pt idx="7">
                  <c:v>Er1</c:v>
                </c:pt>
                <c:pt idx="8">
                  <c:v>Er2</c:v>
                </c:pt>
                <c:pt idx="9">
                  <c:v>Er3</c:v>
                </c:pt>
              </c:strCache>
            </c:strRef>
          </c:cat>
          <c:val>
            <c:numRef>
              <c:f>'Baseni Ishem Erzen'!$C$6:$L$6</c:f>
              <c:numCache>
                <c:formatCode>General</c:formatCode>
                <c:ptCount val="10"/>
                <c:pt idx="0">
                  <c:v>6</c:v>
                </c:pt>
                <c:pt idx="1">
                  <c:v>6</c:v>
                </c:pt>
                <c:pt idx="2">
                  <c:v>6</c:v>
                </c:pt>
                <c:pt idx="3">
                  <c:v>6</c:v>
                </c:pt>
                <c:pt idx="4">
                  <c:v>6</c:v>
                </c:pt>
                <c:pt idx="5">
                  <c:v>6</c:v>
                </c:pt>
                <c:pt idx="6">
                  <c:v>6</c:v>
                </c:pt>
                <c:pt idx="7">
                  <c:v>6</c:v>
                </c:pt>
                <c:pt idx="8">
                  <c:v>6</c:v>
                </c:pt>
                <c:pt idx="9">
                  <c:v>6</c:v>
                </c:pt>
              </c:numCache>
            </c:numRef>
          </c:val>
          <c:smooth val="0"/>
          <c:extLst>
            <c:ext xmlns:c16="http://schemas.microsoft.com/office/drawing/2014/chart" uri="{C3380CC4-5D6E-409C-BE32-E72D297353CC}">
              <c16:uniqueId val="{00000001-9141-42C5-AEB6-7D93FDAF7EFE}"/>
            </c:ext>
          </c:extLst>
        </c:ser>
        <c:dLbls>
          <c:showLegendKey val="0"/>
          <c:showVal val="0"/>
          <c:showCatName val="0"/>
          <c:showSerName val="0"/>
          <c:showPercent val="0"/>
          <c:showBubbleSize val="0"/>
        </c:dLbls>
        <c:marker val="1"/>
        <c:smooth val="0"/>
        <c:axId val="261568000"/>
        <c:axId val="261569536"/>
      </c:lineChart>
      <c:catAx>
        <c:axId val="261568000"/>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569536"/>
        <c:crosses val="autoZero"/>
        <c:auto val="1"/>
        <c:lblAlgn val="ctr"/>
        <c:lblOffset val="100"/>
        <c:noMultiLvlLbl val="0"/>
      </c:catAx>
      <c:valAx>
        <c:axId val="261569536"/>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568000"/>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Nevoja Biokimike për Oksigjen</a:t>
            </a:r>
          </a:p>
        </c:rich>
      </c:tx>
      <c:layout>
        <c:manualLayout>
          <c:xMode val="edge"/>
          <c:yMode val="edge"/>
          <c:x val="0.21584733158355204"/>
          <c:y val="3.6962400976473686E-2"/>
        </c:manualLayout>
      </c:layout>
      <c:overlay val="0"/>
    </c:title>
    <c:autoTitleDeleted val="0"/>
    <c:plotArea>
      <c:layout/>
      <c:barChart>
        <c:barDir val="col"/>
        <c:grouping val="clustered"/>
        <c:varyColors val="0"/>
        <c:ser>
          <c:idx val="0"/>
          <c:order val="0"/>
          <c:tx>
            <c:strRef>
              <c:f>'Baseni Ishem Erzen'!$N$5</c:f>
              <c:strCache>
                <c:ptCount val="1"/>
                <c:pt idx="0">
                  <c:v>mesatare vjetore 2025</c:v>
                </c:pt>
              </c:strCache>
            </c:strRef>
          </c:tx>
          <c:invertIfNegative val="0"/>
          <c:cat>
            <c:strRef>
              <c:f>'Baseni Ishem Erzen'!$O$4:$X$4</c:f>
              <c:strCache>
                <c:ptCount val="10"/>
                <c:pt idx="0">
                  <c:v>T1</c:v>
                </c:pt>
                <c:pt idx="1">
                  <c:v>T2</c:v>
                </c:pt>
                <c:pt idx="2">
                  <c:v>L1</c:v>
                </c:pt>
                <c:pt idx="3">
                  <c:v>L2</c:v>
                </c:pt>
                <c:pt idx="4">
                  <c:v>Ish1</c:v>
                </c:pt>
                <c:pt idx="5">
                  <c:v>Ish2</c:v>
                </c:pt>
                <c:pt idx="6">
                  <c:v>Ish3</c:v>
                </c:pt>
                <c:pt idx="7">
                  <c:v>Er1</c:v>
                </c:pt>
                <c:pt idx="8">
                  <c:v>Er2</c:v>
                </c:pt>
                <c:pt idx="9">
                  <c:v>Er3</c:v>
                </c:pt>
              </c:strCache>
            </c:strRef>
          </c:cat>
          <c:val>
            <c:numRef>
              <c:f>'Baseni Ishem Erzen'!$O$5:$X$5</c:f>
              <c:numCache>
                <c:formatCode>General</c:formatCode>
                <c:ptCount val="10"/>
                <c:pt idx="0">
                  <c:v>5</c:v>
                </c:pt>
                <c:pt idx="1">
                  <c:v>31</c:v>
                </c:pt>
                <c:pt idx="2">
                  <c:v>16</c:v>
                </c:pt>
                <c:pt idx="3">
                  <c:v>114</c:v>
                </c:pt>
                <c:pt idx="4">
                  <c:v>36</c:v>
                </c:pt>
                <c:pt idx="5">
                  <c:v>33</c:v>
                </c:pt>
                <c:pt idx="6">
                  <c:v>34</c:v>
                </c:pt>
                <c:pt idx="7">
                  <c:v>3</c:v>
                </c:pt>
                <c:pt idx="8">
                  <c:v>6</c:v>
                </c:pt>
                <c:pt idx="9">
                  <c:v>21</c:v>
                </c:pt>
              </c:numCache>
            </c:numRef>
          </c:val>
          <c:extLst>
            <c:ext xmlns:c16="http://schemas.microsoft.com/office/drawing/2014/chart" uri="{C3380CC4-5D6E-409C-BE32-E72D297353CC}">
              <c16:uniqueId val="{00000000-E4D2-43C2-B536-020DF7784744}"/>
            </c:ext>
          </c:extLst>
        </c:ser>
        <c:dLbls>
          <c:showLegendKey val="0"/>
          <c:showVal val="0"/>
          <c:showCatName val="0"/>
          <c:showSerName val="0"/>
          <c:showPercent val="0"/>
          <c:showBubbleSize val="0"/>
        </c:dLbls>
        <c:gapWidth val="150"/>
        <c:axId val="261624960"/>
        <c:axId val="261626496"/>
      </c:barChart>
      <c:lineChart>
        <c:grouping val="stacked"/>
        <c:varyColors val="0"/>
        <c:ser>
          <c:idx val="1"/>
          <c:order val="1"/>
          <c:tx>
            <c:strRef>
              <c:f>'Baseni Ishem Erzen'!$N$6</c:f>
              <c:strCache>
                <c:ptCount val="1"/>
                <c:pt idx="0">
                  <c:v>Norma DKU</c:v>
                </c:pt>
              </c:strCache>
            </c:strRef>
          </c:tx>
          <c:marker>
            <c:symbol val="none"/>
          </c:marker>
          <c:cat>
            <c:strRef>
              <c:f>'Baseni Ishem Erzen'!$O$4:$X$4</c:f>
              <c:strCache>
                <c:ptCount val="10"/>
                <c:pt idx="0">
                  <c:v>T1</c:v>
                </c:pt>
                <c:pt idx="1">
                  <c:v>T2</c:v>
                </c:pt>
                <c:pt idx="2">
                  <c:v>L1</c:v>
                </c:pt>
                <c:pt idx="3">
                  <c:v>L2</c:v>
                </c:pt>
                <c:pt idx="4">
                  <c:v>Ish1</c:v>
                </c:pt>
                <c:pt idx="5">
                  <c:v>Ish2</c:v>
                </c:pt>
                <c:pt idx="6">
                  <c:v>Ish3</c:v>
                </c:pt>
                <c:pt idx="7">
                  <c:v>Er1</c:v>
                </c:pt>
                <c:pt idx="8">
                  <c:v>Er2</c:v>
                </c:pt>
                <c:pt idx="9">
                  <c:v>Er3</c:v>
                </c:pt>
              </c:strCache>
            </c:strRef>
          </c:cat>
          <c:val>
            <c:numRef>
              <c:f>'Baseni Ishem Erzen'!$O$6:$X$6</c:f>
              <c:numCache>
                <c:formatCode>General</c:formatCode>
                <c:ptCount val="10"/>
                <c:pt idx="0">
                  <c:v>7</c:v>
                </c:pt>
                <c:pt idx="1">
                  <c:v>7</c:v>
                </c:pt>
                <c:pt idx="2">
                  <c:v>7</c:v>
                </c:pt>
                <c:pt idx="3">
                  <c:v>7</c:v>
                </c:pt>
                <c:pt idx="4">
                  <c:v>7</c:v>
                </c:pt>
                <c:pt idx="5">
                  <c:v>7</c:v>
                </c:pt>
                <c:pt idx="6">
                  <c:v>7</c:v>
                </c:pt>
                <c:pt idx="7">
                  <c:v>7</c:v>
                </c:pt>
                <c:pt idx="8">
                  <c:v>7</c:v>
                </c:pt>
                <c:pt idx="9">
                  <c:v>7</c:v>
                </c:pt>
              </c:numCache>
            </c:numRef>
          </c:val>
          <c:smooth val="0"/>
          <c:extLst>
            <c:ext xmlns:c16="http://schemas.microsoft.com/office/drawing/2014/chart" uri="{C3380CC4-5D6E-409C-BE32-E72D297353CC}">
              <c16:uniqueId val="{00000001-E4D2-43C2-B536-020DF7784744}"/>
            </c:ext>
          </c:extLst>
        </c:ser>
        <c:dLbls>
          <c:showLegendKey val="0"/>
          <c:showVal val="0"/>
          <c:showCatName val="0"/>
          <c:showSerName val="0"/>
          <c:showPercent val="0"/>
          <c:showBubbleSize val="0"/>
        </c:dLbls>
        <c:marker val="1"/>
        <c:smooth val="0"/>
        <c:axId val="261624960"/>
        <c:axId val="261626496"/>
      </c:lineChart>
      <c:catAx>
        <c:axId val="261624960"/>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626496"/>
        <c:crosses val="autoZero"/>
        <c:auto val="1"/>
        <c:lblAlgn val="ctr"/>
        <c:lblOffset val="100"/>
        <c:noMultiLvlLbl val="0"/>
      </c:catAx>
      <c:valAx>
        <c:axId val="261626496"/>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624960"/>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amonjakut</a:t>
            </a:r>
          </a:p>
        </c:rich>
      </c:tx>
      <c:overlay val="0"/>
    </c:title>
    <c:autoTitleDeleted val="0"/>
    <c:plotArea>
      <c:layout/>
      <c:barChart>
        <c:barDir val="col"/>
        <c:grouping val="clustered"/>
        <c:varyColors val="0"/>
        <c:ser>
          <c:idx val="0"/>
          <c:order val="0"/>
          <c:tx>
            <c:strRef>
              <c:f>'Baseni Ishem Erzen'!$B$20</c:f>
              <c:strCache>
                <c:ptCount val="1"/>
                <c:pt idx="0">
                  <c:v>mesatare vjetore 2025</c:v>
                </c:pt>
              </c:strCache>
            </c:strRef>
          </c:tx>
          <c:invertIfNegative val="0"/>
          <c:cat>
            <c:strRef>
              <c:f>'Baseni Ishem Erzen'!$C$19:$L$19</c:f>
              <c:strCache>
                <c:ptCount val="10"/>
                <c:pt idx="0">
                  <c:v>T1</c:v>
                </c:pt>
                <c:pt idx="1">
                  <c:v>T2</c:v>
                </c:pt>
                <c:pt idx="2">
                  <c:v>L1</c:v>
                </c:pt>
                <c:pt idx="3">
                  <c:v>L2</c:v>
                </c:pt>
                <c:pt idx="4">
                  <c:v>Ish1</c:v>
                </c:pt>
                <c:pt idx="5">
                  <c:v>Ish2</c:v>
                </c:pt>
                <c:pt idx="6">
                  <c:v>Ish3</c:v>
                </c:pt>
                <c:pt idx="7">
                  <c:v>Er1</c:v>
                </c:pt>
                <c:pt idx="8">
                  <c:v>Er2</c:v>
                </c:pt>
                <c:pt idx="9">
                  <c:v>Er3</c:v>
                </c:pt>
              </c:strCache>
            </c:strRef>
          </c:cat>
          <c:val>
            <c:numRef>
              <c:f>'Baseni Ishem Erzen'!$C$20:$L$20</c:f>
              <c:numCache>
                <c:formatCode>0.00</c:formatCode>
                <c:ptCount val="10"/>
                <c:pt idx="0" formatCode="0.000">
                  <c:v>5.6000000000000001E-2</c:v>
                </c:pt>
                <c:pt idx="1">
                  <c:v>10.94</c:v>
                </c:pt>
                <c:pt idx="2" formatCode="0.000">
                  <c:v>3.7</c:v>
                </c:pt>
                <c:pt idx="3" formatCode="0.0">
                  <c:v>24</c:v>
                </c:pt>
                <c:pt idx="4">
                  <c:v>13.02</c:v>
                </c:pt>
                <c:pt idx="5" formatCode="0.000">
                  <c:v>11.5</c:v>
                </c:pt>
                <c:pt idx="6" formatCode="0.0">
                  <c:v>10.57</c:v>
                </c:pt>
                <c:pt idx="7" formatCode="0.0">
                  <c:v>0.14000000000000001</c:v>
                </c:pt>
                <c:pt idx="8" formatCode="0.0">
                  <c:v>0.9</c:v>
                </c:pt>
                <c:pt idx="9" formatCode="0.0">
                  <c:v>7.39</c:v>
                </c:pt>
              </c:numCache>
            </c:numRef>
          </c:val>
          <c:extLst>
            <c:ext xmlns:c16="http://schemas.microsoft.com/office/drawing/2014/chart" uri="{C3380CC4-5D6E-409C-BE32-E72D297353CC}">
              <c16:uniqueId val="{00000000-A931-4604-AD6E-D9463F6C9BC8}"/>
            </c:ext>
          </c:extLst>
        </c:ser>
        <c:dLbls>
          <c:showLegendKey val="0"/>
          <c:showVal val="0"/>
          <c:showCatName val="0"/>
          <c:showSerName val="0"/>
          <c:showPercent val="0"/>
          <c:showBubbleSize val="0"/>
        </c:dLbls>
        <c:gapWidth val="150"/>
        <c:axId val="261649152"/>
        <c:axId val="261650688"/>
      </c:barChart>
      <c:lineChart>
        <c:grouping val="stacked"/>
        <c:varyColors val="0"/>
        <c:ser>
          <c:idx val="1"/>
          <c:order val="1"/>
          <c:tx>
            <c:strRef>
              <c:f>'Baseni Ishem Erzen'!$B$21</c:f>
              <c:strCache>
                <c:ptCount val="1"/>
                <c:pt idx="0">
                  <c:v>Norma DKU</c:v>
                </c:pt>
              </c:strCache>
            </c:strRef>
          </c:tx>
          <c:marker>
            <c:symbol val="none"/>
          </c:marker>
          <c:cat>
            <c:strRef>
              <c:f>'Baseni Ishem Erzen'!$C$19:$L$19</c:f>
              <c:strCache>
                <c:ptCount val="10"/>
                <c:pt idx="0">
                  <c:v>T1</c:v>
                </c:pt>
                <c:pt idx="1">
                  <c:v>T2</c:v>
                </c:pt>
                <c:pt idx="2">
                  <c:v>L1</c:v>
                </c:pt>
                <c:pt idx="3">
                  <c:v>L2</c:v>
                </c:pt>
                <c:pt idx="4">
                  <c:v>Ish1</c:v>
                </c:pt>
                <c:pt idx="5">
                  <c:v>Ish2</c:v>
                </c:pt>
                <c:pt idx="6">
                  <c:v>Ish3</c:v>
                </c:pt>
                <c:pt idx="7">
                  <c:v>Er1</c:v>
                </c:pt>
                <c:pt idx="8">
                  <c:v>Er2</c:v>
                </c:pt>
                <c:pt idx="9">
                  <c:v>Er3</c:v>
                </c:pt>
              </c:strCache>
            </c:strRef>
          </c:cat>
          <c:val>
            <c:numRef>
              <c:f>'Baseni Ishem Erzen'!$C$21:$L$21</c:f>
              <c:numCache>
                <c:formatCode>General</c:formatCode>
                <c:ptCount val="10"/>
                <c:pt idx="0">
                  <c:v>0.6</c:v>
                </c:pt>
                <c:pt idx="1">
                  <c:v>0.6</c:v>
                </c:pt>
                <c:pt idx="2">
                  <c:v>0.6</c:v>
                </c:pt>
                <c:pt idx="3">
                  <c:v>0.6</c:v>
                </c:pt>
                <c:pt idx="4">
                  <c:v>0.6</c:v>
                </c:pt>
                <c:pt idx="5">
                  <c:v>0.6</c:v>
                </c:pt>
                <c:pt idx="6">
                  <c:v>0.6</c:v>
                </c:pt>
                <c:pt idx="7">
                  <c:v>0.6</c:v>
                </c:pt>
                <c:pt idx="8">
                  <c:v>0.6</c:v>
                </c:pt>
                <c:pt idx="9">
                  <c:v>0.6</c:v>
                </c:pt>
              </c:numCache>
            </c:numRef>
          </c:val>
          <c:smooth val="0"/>
          <c:extLst>
            <c:ext xmlns:c16="http://schemas.microsoft.com/office/drawing/2014/chart" uri="{C3380CC4-5D6E-409C-BE32-E72D297353CC}">
              <c16:uniqueId val="{00000001-A931-4604-AD6E-D9463F6C9BC8}"/>
            </c:ext>
          </c:extLst>
        </c:ser>
        <c:dLbls>
          <c:showLegendKey val="0"/>
          <c:showVal val="0"/>
          <c:showCatName val="0"/>
          <c:showSerName val="0"/>
          <c:showPercent val="0"/>
          <c:showBubbleSize val="0"/>
        </c:dLbls>
        <c:marker val="1"/>
        <c:smooth val="0"/>
        <c:axId val="261649152"/>
        <c:axId val="261650688"/>
      </c:lineChart>
      <c:catAx>
        <c:axId val="261649152"/>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650688"/>
        <c:crosses val="autoZero"/>
        <c:auto val="1"/>
        <c:lblAlgn val="ctr"/>
        <c:lblOffset val="100"/>
        <c:noMultiLvlLbl val="0"/>
      </c:catAx>
      <c:valAx>
        <c:axId val="261650688"/>
        <c:scaling>
          <c:orientation val="minMax"/>
          <c:max val="25"/>
          <c:min val="2.5000000000000005E-2"/>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649152"/>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nitriteve</a:t>
            </a:r>
          </a:p>
        </c:rich>
      </c:tx>
      <c:overlay val="0"/>
    </c:title>
    <c:autoTitleDeleted val="0"/>
    <c:plotArea>
      <c:layout/>
      <c:barChart>
        <c:barDir val="col"/>
        <c:grouping val="clustered"/>
        <c:varyColors val="0"/>
        <c:ser>
          <c:idx val="0"/>
          <c:order val="0"/>
          <c:tx>
            <c:strRef>
              <c:f>'Baseni Ishem Erzen'!$O$20</c:f>
              <c:strCache>
                <c:ptCount val="1"/>
                <c:pt idx="0">
                  <c:v>mesatare vjetore 2025</c:v>
                </c:pt>
              </c:strCache>
            </c:strRef>
          </c:tx>
          <c:invertIfNegative val="0"/>
          <c:cat>
            <c:strRef>
              <c:f>'Baseni Ishem Erzen'!$P$19:$Y$19</c:f>
              <c:strCache>
                <c:ptCount val="10"/>
                <c:pt idx="0">
                  <c:v>T1</c:v>
                </c:pt>
                <c:pt idx="1">
                  <c:v>T2</c:v>
                </c:pt>
                <c:pt idx="2">
                  <c:v>L1</c:v>
                </c:pt>
                <c:pt idx="3">
                  <c:v>L2</c:v>
                </c:pt>
                <c:pt idx="4">
                  <c:v>Ish1</c:v>
                </c:pt>
                <c:pt idx="5">
                  <c:v>Ish2</c:v>
                </c:pt>
                <c:pt idx="6">
                  <c:v>Ish3</c:v>
                </c:pt>
                <c:pt idx="7">
                  <c:v>Er1</c:v>
                </c:pt>
                <c:pt idx="8">
                  <c:v>Er2</c:v>
                </c:pt>
                <c:pt idx="9">
                  <c:v>Er3</c:v>
                </c:pt>
              </c:strCache>
            </c:strRef>
          </c:cat>
          <c:val>
            <c:numRef>
              <c:f>'Baseni Ishem Erzen'!$P$20:$Y$20</c:f>
              <c:numCache>
                <c:formatCode>0.000</c:formatCode>
                <c:ptCount val="10"/>
                <c:pt idx="0">
                  <c:v>6.7000000000000002E-3</c:v>
                </c:pt>
                <c:pt idx="1">
                  <c:v>9.4999999999999998E-3</c:v>
                </c:pt>
                <c:pt idx="2" formatCode="General">
                  <c:v>5.1999999999999998E-2</c:v>
                </c:pt>
                <c:pt idx="3" formatCode="General">
                  <c:v>2.4E-2</c:v>
                </c:pt>
                <c:pt idx="4">
                  <c:v>1.2E-2</c:v>
                </c:pt>
                <c:pt idx="5">
                  <c:v>8.9999999999999993E-3</c:v>
                </c:pt>
                <c:pt idx="6">
                  <c:v>0.01</c:v>
                </c:pt>
                <c:pt idx="7" formatCode="General">
                  <c:v>1.4E-3</c:v>
                </c:pt>
                <c:pt idx="8">
                  <c:v>5.8000000000000003E-2</c:v>
                </c:pt>
                <c:pt idx="9">
                  <c:v>2.5000000000000001E-2</c:v>
                </c:pt>
              </c:numCache>
            </c:numRef>
          </c:val>
          <c:extLst>
            <c:ext xmlns:c16="http://schemas.microsoft.com/office/drawing/2014/chart" uri="{C3380CC4-5D6E-409C-BE32-E72D297353CC}">
              <c16:uniqueId val="{00000000-5A08-4001-BC4B-1B486B2354F3}"/>
            </c:ext>
          </c:extLst>
        </c:ser>
        <c:dLbls>
          <c:showLegendKey val="0"/>
          <c:showVal val="0"/>
          <c:showCatName val="0"/>
          <c:showSerName val="0"/>
          <c:showPercent val="0"/>
          <c:showBubbleSize val="0"/>
        </c:dLbls>
        <c:gapWidth val="150"/>
        <c:axId val="261685632"/>
        <c:axId val="261687168"/>
      </c:barChart>
      <c:lineChart>
        <c:grouping val="stacked"/>
        <c:varyColors val="0"/>
        <c:ser>
          <c:idx val="1"/>
          <c:order val="1"/>
          <c:tx>
            <c:strRef>
              <c:f>'Baseni Ishem Erzen'!$O$21</c:f>
              <c:strCache>
                <c:ptCount val="1"/>
                <c:pt idx="0">
                  <c:v>Norma DKU</c:v>
                </c:pt>
              </c:strCache>
            </c:strRef>
          </c:tx>
          <c:marker>
            <c:symbol val="none"/>
          </c:marker>
          <c:cat>
            <c:strRef>
              <c:f>'Baseni Ishem Erzen'!$P$19:$Y$19</c:f>
              <c:strCache>
                <c:ptCount val="10"/>
                <c:pt idx="0">
                  <c:v>T1</c:v>
                </c:pt>
                <c:pt idx="1">
                  <c:v>T2</c:v>
                </c:pt>
                <c:pt idx="2">
                  <c:v>L1</c:v>
                </c:pt>
                <c:pt idx="3">
                  <c:v>L2</c:v>
                </c:pt>
                <c:pt idx="4">
                  <c:v>Ish1</c:v>
                </c:pt>
                <c:pt idx="5">
                  <c:v>Ish2</c:v>
                </c:pt>
                <c:pt idx="6">
                  <c:v>Ish3</c:v>
                </c:pt>
                <c:pt idx="7">
                  <c:v>Er1</c:v>
                </c:pt>
                <c:pt idx="8">
                  <c:v>Er2</c:v>
                </c:pt>
                <c:pt idx="9">
                  <c:v>Er3</c:v>
                </c:pt>
              </c:strCache>
            </c:strRef>
          </c:cat>
          <c:val>
            <c:numRef>
              <c:f>'Baseni Ishem Erzen'!$P$21:$Y$21</c:f>
              <c:numCache>
                <c:formatCode>General</c:formatCode>
                <c:ptCount val="10"/>
                <c:pt idx="0">
                  <c:v>0.12</c:v>
                </c:pt>
                <c:pt idx="1">
                  <c:v>0.12</c:v>
                </c:pt>
                <c:pt idx="2">
                  <c:v>0.12</c:v>
                </c:pt>
                <c:pt idx="3">
                  <c:v>0.12</c:v>
                </c:pt>
                <c:pt idx="4">
                  <c:v>0.12</c:v>
                </c:pt>
                <c:pt idx="5">
                  <c:v>0.12</c:v>
                </c:pt>
                <c:pt idx="6">
                  <c:v>0.12</c:v>
                </c:pt>
                <c:pt idx="7">
                  <c:v>0.12</c:v>
                </c:pt>
                <c:pt idx="8">
                  <c:v>0.12</c:v>
                </c:pt>
                <c:pt idx="9">
                  <c:v>0.12</c:v>
                </c:pt>
              </c:numCache>
            </c:numRef>
          </c:val>
          <c:smooth val="0"/>
          <c:extLst>
            <c:ext xmlns:c16="http://schemas.microsoft.com/office/drawing/2014/chart" uri="{C3380CC4-5D6E-409C-BE32-E72D297353CC}">
              <c16:uniqueId val="{00000001-5A08-4001-BC4B-1B486B2354F3}"/>
            </c:ext>
          </c:extLst>
        </c:ser>
        <c:dLbls>
          <c:showLegendKey val="0"/>
          <c:showVal val="0"/>
          <c:showCatName val="0"/>
          <c:showSerName val="0"/>
          <c:showPercent val="0"/>
          <c:showBubbleSize val="0"/>
        </c:dLbls>
        <c:marker val="1"/>
        <c:smooth val="0"/>
        <c:axId val="261685632"/>
        <c:axId val="261687168"/>
      </c:lineChart>
      <c:catAx>
        <c:axId val="261685632"/>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687168"/>
        <c:crosses val="autoZero"/>
        <c:auto val="1"/>
        <c:lblAlgn val="ctr"/>
        <c:lblOffset val="100"/>
        <c:noMultiLvlLbl val="0"/>
      </c:catAx>
      <c:valAx>
        <c:axId val="261687168"/>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685632"/>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nitrateve</a:t>
            </a:r>
          </a:p>
        </c:rich>
      </c:tx>
      <c:layout>
        <c:manualLayout>
          <c:xMode val="edge"/>
          <c:yMode val="edge"/>
          <c:x val="0.33566228903782669"/>
          <c:y val="0.04"/>
        </c:manualLayout>
      </c:layout>
      <c:overlay val="0"/>
    </c:title>
    <c:autoTitleDeleted val="0"/>
    <c:plotArea>
      <c:layout/>
      <c:barChart>
        <c:barDir val="col"/>
        <c:grouping val="clustered"/>
        <c:varyColors val="0"/>
        <c:ser>
          <c:idx val="0"/>
          <c:order val="0"/>
          <c:tx>
            <c:strRef>
              <c:f>'Baseni Ishem Erzen'!$B$37</c:f>
              <c:strCache>
                <c:ptCount val="1"/>
                <c:pt idx="0">
                  <c:v>mesatare vjetore 2025</c:v>
                </c:pt>
              </c:strCache>
            </c:strRef>
          </c:tx>
          <c:invertIfNegative val="0"/>
          <c:cat>
            <c:strRef>
              <c:f>'Baseni Ishem Erzen'!$C$36:$L$36</c:f>
              <c:strCache>
                <c:ptCount val="10"/>
                <c:pt idx="0">
                  <c:v>T1</c:v>
                </c:pt>
                <c:pt idx="1">
                  <c:v>T2</c:v>
                </c:pt>
                <c:pt idx="2">
                  <c:v>L1</c:v>
                </c:pt>
                <c:pt idx="3">
                  <c:v>L2</c:v>
                </c:pt>
                <c:pt idx="4">
                  <c:v>Ish1</c:v>
                </c:pt>
                <c:pt idx="5">
                  <c:v>Ish2</c:v>
                </c:pt>
                <c:pt idx="6">
                  <c:v>Ish3</c:v>
                </c:pt>
                <c:pt idx="7">
                  <c:v>Er1</c:v>
                </c:pt>
                <c:pt idx="8">
                  <c:v>Er2</c:v>
                </c:pt>
                <c:pt idx="9">
                  <c:v>Er3</c:v>
                </c:pt>
              </c:strCache>
            </c:strRef>
          </c:cat>
          <c:val>
            <c:numRef>
              <c:f>'Baseni Ishem Erzen'!$C$37:$L$37</c:f>
              <c:numCache>
                <c:formatCode>General</c:formatCode>
                <c:ptCount val="10"/>
                <c:pt idx="0" formatCode="0.000">
                  <c:v>0.38</c:v>
                </c:pt>
                <c:pt idx="1">
                  <c:v>0.55000000000000004</c:v>
                </c:pt>
                <c:pt idx="2" formatCode="0.000">
                  <c:v>0.44</c:v>
                </c:pt>
                <c:pt idx="3" formatCode="0.000">
                  <c:v>1</c:v>
                </c:pt>
                <c:pt idx="4">
                  <c:v>0.62</c:v>
                </c:pt>
                <c:pt idx="5" formatCode="0.000">
                  <c:v>0.43</c:v>
                </c:pt>
                <c:pt idx="6" formatCode="0.000">
                  <c:v>0.42</c:v>
                </c:pt>
                <c:pt idx="7" formatCode="0.000">
                  <c:v>0.1</c:v>
                </c:pt>
                <c:pt idx="8" formatCode="0.000">
                  <c:v>0.62</c:v>
                </c:pt>
                <c:pt idx="9" formatCode="0.000">
                  <c:v>1.05</c:v>
                </c:pt>
              </c:numCache>
            </c:numRef>
          </c:val>
          <c:extLst>
            <c:ext xmlns:c16="http://schemas.microsoft.com/office/drawing/2014/chart" uri="{C3380CC4-5D6E-409C-BE32-E72D297353CC}">
              <c16:uniqueId val="{00000000-91F5-4EB4-9481-303D1D613443}"/>
            </c:ext>
          </c:extLst>
        </c:ser>
        <c:dLbls>
          <c:showLegendKey val="0"/>
          <c:showVal val="0"/>
          <c:showCatName val="0"/>
          <c:showSerName val="0"/>
          <c:showPercent val="0"/>
          <c:showBubbleSize val="0"/>
        </c:dLbls>
        <c:gapWidth val="150"/>
        <c:axId val="261734400"/>
        <c:axId val="261735936"/>
      </c:barChart>
      <c:lineChart>
        <c:grouping val="stacked"/>
        <c:varyColors val="0"/>
        <c:ser>
          <c:idx val="1"/>
          <c:order val="1"/>
          <c:tx>
            <c:strRef>
              <c:f>'Baseni Ishem Erzen'!$B$38</c:f>
              <c:strCache>
                <c:ptCount val="1"/>
                <c:pt idx="0">
                  <c:v>Norma DKU</c:v>
                </c:pt>
              </c:strCache>
            </c:strRef>
          </c:tx>
          <c:marker>
            <c:symbol val="none"/>
          </c:marker>
          <c:cat>
            <c:strRef>
              <c:f>'Baseni Ishem Erzen'!$C$36:$L$36</c:f>
              <c:strCache>
                <c:ptCount val="10"/>
                <c:pt idx="0">
                  <c:v>T1</c:v>
                </c:pt>
                <c:pt idx="1">
                  <c:v>T2</c:v>
                </c:pt>
                <c:pt idx="2">
                  <c:v>L1</c:v>
                </c:pt>
                <c:pt idx="3">
                  <c:v>L2</c:v>
                </c:pt>
                <c:pt idx="4">
                  <c:v>Ish1</c:v>
                </c:pt>
                <c:pt idx="5">
                  <c:v>Ish2</c:v>
                </c:pt>
                <c:pt idx="6">
                  <c:v>Ish3</c:v>
                </c:pt>
                <c:pt idx="7">
                  <c:v>Er1</c:v>
                </c:pt>
                <c:pt idx="8">
                  <c:v>Er2</c:v>
                </c:pt>
                <c:pt idx="9">
                  <c:v>Er3</c:v>
                </c:pt>
              </c:strCache>
            </c:strRef>
          </c:cat>
          <c:val>
            <c:numRef>
              <c:f>'Baseni Ishem Erzen'!$C$38:$L$38</c:f>
              <c:numCache>
                <c:formatCode>General</c:formatCode>
                <c:ptCount val="10"/>
                <c:pt idx="0">
                  <c:v>4</c:v>
                </c:pt>
                <c:pt idx="1">
                  <c:v>4</c:v>
                </c:pt>
                <c:pt idx="2">
                  <c:v>4</c:v>
                </c:pt>
                <c:pt idx="3">
                  <c:v>4</c:v>
                </c:pt>
                <c:pt idx="4">
                  <c:v>4</c:v>
                </c:pt>
                <c:pt idx="5">
                  <c:v>4</c:v>
                </c:pt>
                <c:pt idx="6">
                  <c:v>4</c:v>
                </c:pt>
                <c:pt idx="7">
                  <c:v>4</c:v>
                </c:pt>
                <c:pt idx="8">
                  <c:v>4</c:v>
                </c:pt>
                <c:pt idx="9">
                  <c:v>4</c:v>
                </c:pt>
              </c:numCache>
            </c:numRef>
          </c:val>
          <c:smooth val="0"/>
          <c:extLst>
            <c:ext xmlns:c16="http://schemas.microsoft.com/office/drawing/2014/chart" uri="{C3380CC4-5D6E-409C-BE32-E72D297353CC}">
              <c16:uniqueId val="{00000001-91F5-4EB4-9481-303D1D613443}"/>
            </c:ext>
          </c:extLst>
        </c:ser>
        <c:dLbls>
          <c:showLegendKey val="0"/>
          <c:showVal val="0"/>
          <c:showCatName val="0"/>
          <c:showSerName val="0"/>
          <c:showPercent val="0"/>
          <c:showBubbleSize val="0"/>
        </c:dLbls>
        <c:marker val="1"/>
        <c:smooth val="0"/>
        <c:axId val="261734400"/>
        <c:axId val="261735936"/>
      </c:lineChart>
      <c:catAx>
        <c:axId val="261734400"/>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735936"/>
        <c:crosses val="autoZero"/>
        <c:auto val="1"/>
        <c:lblAlgn val="ctr"/>
        <c:lblOffset val="100"/>
        <c:noMultiLvlLbl val="0"/>
      </c:catAx>
      <c:valAx>
        <c:axId val="261735936"/>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734400"/>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fosforit</a:t>
            </a:r>
          </a:p>
        </c:rich>
      </c:tx>
      <c:overlay val="0"/>
    </c:title>
    <c:autoTitleDeleted val="0"/>
    <c:plotArea>
      <c:layout>
        <c:manualLayout>
          <c:layoutTarget val="inner"/>
          <c:xMode val="edge"/>
          <c:yMode val="edge"/>
          <c:x val="0.10066762202669871"/>
          <c:y val="0.20036932883389577"/>
          <c:w val="0.61837907247895385"/>
          <c:h val="0.42572946479732976"/>
        </c:manualLayout>
      </c:layout>
      <c:barChart>
        <c:barDir val="col"/>
        <c:grouping val="clustered"/>
        <c:varyColors val="0"/>
        <c:ser>
          <c:idx val="0"/>
          <c:order val="0"/>
          <c:tx>
            <c:strRef>
              <c:f>'Baseni Ishem Erzen'!$O$37</c:f>
              <c:strCache>
                <c:ptCount val="1"/>
                <c:pt idx="0">
                  <c:v>mesatare vjetore 2025</c:v>
                </c:pt>
              </c:strCache>
            </c:strRef>
          </c:tx>
          <c:invertIfNegative val="0"/>
          <c:cat>
            <c:strRef>
              <c:f>'Baseni Ishem Erzen'!$P$36:$Y$36</c:f>
              <c:strCache>
                <c:ptCount val="10"/>
                <c:pt idx="0">
                  <c:v>T1</c:v>
                </c:pt>
                <c:pt idx="1">
                  <c:v>T2</c:v>
                </c:pt>
                <c:pt idx="2">
                  <c:v>L1</c:v>
                </c:pt>
                <c:pt idx="3">
                  <c:v>L2</c:v>
                </c:pt>
                <c:pt idx="4">
                  <c:v>Ish1</c:v>
                </c:pt>
                <c:pt idx="5">
                  <c:v>Ish2</c:v>
                </c:pt>
                <c:pt idx="6">
                  <c:v>Ish3</c:v>
                </c:pt>
                <c:pt idx="7">
                  <c:v>Er1</c:v>
                </c:pt>
                <c:pt idx="8">
                  <c:v>Er2</c:v>
                </c:pt>
                <c:pt idx="9">
                  <c:v>Er3</c:v>
                </c:pt>
              </c:strCache>
            </c:strRef>
          </c:cat>
          <c:val>
            <c:numRef>
              <c:f>'Baseni Ishem Erzen'!$P$37:$Y$37</c:f>
              <c:numCache>
                <c:formatCode>0.00</c:formatCode>
                <c:ptCount val="10"/>
                <c:pt idx="0" formatCode="0.000">
                  <c:v>1.7999999999999999E-2</c:v>
                </c:pt>
                <c:pt idx="1">
                  <c:v>0.79</c:v>
                </c:pt>
                <c:pt idx="2">
                  <c:v>0.28999999999999998</c:v>
                </c:pt>
                <c:pt idx="3">
                  <c:v>2.04</c:v>
                </c:pt>
                <c:pt idx="4">
                  <c:v>0.81</c:v>
                </c:pt>
                <c:pt idx="5">
                  <c:v>0.76</c:v>
                </c:pt>
                <c:pt idx="6">
                  <c:v>0.75</c:v>
                </c:pt>
                <c:pt idx="7">
                  <c:v>3.0000000000000001E-3</c:v>
                </c:pt>
                <c:pt idx="8">
                  <c:v>3.2000000000000001E-2</c:v>
                </c:pt>
                <c:pt idx="9">
                  <c:v>3.2000000000000001E-2</c:v>
                </c:pt>
              </c:numCache>
            </c:numRef>
          </c:val>
          <c:extLst>
            <c:ext xmlns:c16="http://schemas.microsoft.com/office/drawing/2014/chart" uri="{C3380CC4-5D6E-409C-BE32-E72D297353CC}">
              <c16:uniqueId val="{00000000-0137-41EE-B567-EBBC7C0DFA56}"/>
            </c:ext>
          </c:extLst>
        </c:ser>
        <c:dLbls>
          <c:showLegendKey val="0"/>
          <c:showVal val="0"/>
          <c:showCatName val="0"/>
          <c:showSerName val="0"/>
          <c:showPercent val="0"/>
          <c:showBubbleSize val="0"/>
        </c:dLbls>
        <c:gapWidth val="150"/>
        <c:axId val="261770624"/>
        <c:axId val="261788800"/>
      </c:barChart>
      <c:lineChart>
        <c:grouping val="stacked"/>
        <c:varyColors val="0"/>
        <c:ser>
          <c:idx val="1"/>
          <c:order val="1"/>
          <c:tx>
            <c:strRef>
              <c:f>'Baseni Ishem Erzen'!$O$38</c:f>
              <c:strCache>
                <c:ptCount val="1"/>
                <c:pt idx="0">
                  <c:v>Norma DKU</c:v>
                </c:pt>
              </c:strCache>
            </c:strRef>
          </c:tx>
          <c:marker>
            <c:symbol val="none"/>
          </c:marker>
          <c:cat>
            <c:strRef>
              <c:f>'Baseni Ishem Erzen'!$P$36:$Y$36</c:f>
              <c:strCache>
                <c:ptCount val="10"/>
                <c:pt idx="0">
                  <c:v>T1</c:v>
                </c:pt>
                <c:pt idx="1">
                  <c:v>T2</c:v>
                </c:pt>
                <c:pt idx="2">
                  <c:v>L1</c:v>
                </c:pt>
                <c:pt idx="3">
                  <c:v>L2</c:v>
                </c:pt>
                <c:pt idx="4">
                  <c:v>Ish1</c:v>
                </c:pt>
                <c:pt idx="5">
                  <c:v>Ish2</c:v>
                </c:pt>
                <c:pt idx="6">
                  <c:v>Ish3</c:v>
                </c:pt>
                <c:pt idx="7">
                  <c:v>Er1</c:v>
                </c:pt>
                <c:pt idx="8">
                  <c:v>Er2</c:v>
                </c:pt>
                <c:pt idx="9">
                  <c:v>Er3</c:v>
                </c:pt>
              </c:strCache>
            </c:strRef>
          </c:cat>
          <c:val>
            <c:numRef>
              <c:f>'Baseni Ishem Erzen'!$P$38:$Y$38</c:f>
              <c:numCache>
                <c:formatCode>General</c:formatCode>
                <c:ptCount val="10"/>
                <c:pt idx="0">
                  <c:v>0.2</c:v>
                </c:pt>
                <c:pt idx="1">
                  <c:v>0.2</c:v>
                </c:pt>
                <c:pt idx="2">
                  <c:v>0.2</c:v>
                </c:pt>
                <c:pt idx="3">
                  <c:v>0.2</c:v>
                </c:pt>
                <c:pt idx="4">
                  <c:v>0.2</c:v>
                </c:pt>
                <c:pt idx="5">
                  <c:v>0.2</c:v>
                </c:pt>
                <c:pt idx="6">
                  <c:v>0.2</c:v>
                </c:pt>
                <c:pt idx="7">
                  <c:v>0.2</c:v>
                </c:pt>
                <c:pt idx="8">
                  <c:v>0.2</c:v>
                </c:pt>
                <c:pt idx="9">
                  <c:v>0.2</c:v>
                </c:pt>
              </c:numCache>
            </c:numRef>
          </c:val>
          <c:smooth val="0"/>
          <c:extLst>
            <c:ext xmlns:c16="http://schemas.microsoft.com/office/drawing/2014/chart" uri="{C3380CC4-5D6E-409C-BE32-E72D297353CC}">
              <c16:uniqueId val="{00000001-0137-41EE-B567-EBBC7C0DFA56}"/>
            </c:ext>
          </c:extLst>
        </c:ser>
        <c:dLbls>
          <c:showLegendKey val="0"/>
          <c:showVal val="0"/>
          <c:showCatName val="0"/>
          <c:showSerName val="0"/>
          <c:showPercent val="0"/>
          <c:showBubbleSize val="0"/>
        </c:dLbls>
        <c:marker val="1"/>
        <c:smooth val="0"/>
        <c:axId val="261770624"/>
        <c:axId val="261788800"/>
      </c:lineChart>
      <c:catAx>
        <c:axId val="261770624"/>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788800"/>
        <c:crosses val="autoZero"/>
        <c:auto val="1"/>
        <c:lblAlgn val="ctr"/>
        <c:lblOffset val="100"/>
        <c:noMultiLvlLbl val="0"/>
      </c:catAx>
      <c:valAx>
        <c:axId val="261788800"/>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770624"/>
        <c:crosses val="autoZero"/>
        <c:crossBetween val="between"/>
      </c:valAx>
    </c:plotArea>
    <c:legend>
      <c:legendPos val="b"/>
      <c:layout>
        <c:manualLayout>
          <c:xMode val="edge"/>
          <c:yMode val="edge"/>
          <c:x val="7.8600869837118753E-2"/>
          <c:y val="0.7785986021410245"/>
          <c:w val="0.6964901581263615"/>
          <c:h val="0.12235567587646971"/>
        </c:manualLayout>
      </c:layout>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fosforit total</a:t>
            </a:r>
          </a:p>
        </c:rich>
      </c:tx>
      <c:overlay val="0"/>
    </c:title>
    <c:autoTitleDeleted val="0"/>
    <c:plotArea>
      <c:layout/>
      <c:barChart>
        <c:barDir val="col"/>
        <c:grouping val="clustered"/>
        <c:varyColors val="0"/>
        <c:ser>
          <c:idx val="0"/>
          <c:order val="0"/>
          <c:tx>
            <c:strRef>
              <c:f>'Baseni Ishem Erzen'!$B$53</c:f>
              <c:strCache>
                <c:ptCount val="1"/>
                <c:pt idx="0">
                  <c:v>mesatare vjetore 2025</c:v>
                </c:pt>
              </c:strCache>
            </c:strRef>
          </c:tx>
          <c:invertIfNegative val="0"/>
          <c:cat>
            <c:strRef>
              <c:f>'Baseni Ishem Erzen'!$C$52:$L$52</c:f>
              <c:strCache>
                <c:ptCount val="10"/>
                <c:pt idx="0">
                  <c:v>T1</c:v>
                </c:pt>
                <c:pt idx="1">
                  <c:v>T2</c:v>
                </c:pt>
                <c:pt idx="2">
                  <c:v>L1</c:v>
                </c:pt>
                <c:pt idx="3">
                  <c:v>L2</c:v>
                </c:pt>
                <c:pt idx="4">
                  <c:v>Ish1</c:v>
                </c:pt>
                <c:pt idx="5">
                  <c:v>Ish2</c:v>
                </c:pt>
                <c:pt idx="6">
                  <c:v>Ish3</c:v>
                </c:pt>
                <c:pt idx="7">
                  <c:v>Er1</c:v>
                </c:pt>
                <c:pt idx="8">
                  <c:v>Er2</c:v>
                </c:pt>
                <c:pt idx="9">
                  <c:v>Er3</c:v>
                </c:pt>
              </c:strCache>
            </c:strRef>
          </c:cat>
          <c:val>
            <c:numRef>
              <c:f>'Baseni Ishem Erzen'!$C$53:$L$53</c:f>
              <c:numCache>
                <c:formatCode>0.000</c:formatCode>
                <c:ptCount val="10"/>
                <c:pt idx="0">
                  <c:v>1.9E-2</c:v>
                </c:pt>
                <c:pt idx="1">
                  <c:v>0.83</c:v>
                </c:pt>
                <c:pt idx="2">
                  <c:v>0.308</c:v>
                </c:pt>
                <c:pt idx="3">
                  <c:v>2.25</c:v>
                </c:pt>
                <c:pt idx="4">
                  <c:v>0.84</c:v>
                </c:pt>
                <c:pt idx="5">
                  <c:v>0.78</c:v>
                </c:pt>
                <c:pt idx="6">
                  <c:v>0.77600000000000002</c:v>
                </c:pt>
                <c:pt idx="7">
                  <c:v>5.4000000000000003E-3</c:v>
                </c:pt>
                <c:pt idx="8">
                  <c:v>3.2000000000000001E-2</c:v>
                </c:pt>
                <c:pt idx="9">
                  <c:v>4.8000000000000001E-2</c:v>
                </c:pt>
              </c:numCache>
            </c:numRef>
          </c:val>
          <c:extLst>
            <c:ext xmlns:c16="http://schemas.microsoft.com/office/drawing/2014/chart" uri="{C3380CC4-5D6E-409C-BE32-E72D297353CC}">
              <c16:uniqueId val="{00000000-8A1F-4327-84F1-A48B69586C45}"/>
            </c:ext>
          </c:extLst>
        </c:ser>
        <c:dLbls>
          <c:showLegendKey val="0"/>
          <c:showVal val="0"/>
          <c:showCatName val="0"/>
          <c:showSerName val="0"/>
          <c:showPercent val="0"/>
          <c:showBubbleSize val="0"/>
        </c:dLbls>
        <c:gapWidth val="150"/>
        <c:axId val="261815296"/>
        <c:axId val="261825280"/>
      </c:barChart>
      <c:lineChart>
        <c:grouping val="stacked"/>
        <c:varyColors val="0"/>
        <c:ser>
          <c:idx val="1"/>
          <c:order val="1"/>
          <c:tx>
            <c:strRef>
              <c:f>'Baseni Ishem Erzen'!$B$54</c:f>
              <c:strCache>
                <c:ptCount val="1"/>
                <c:pt idx="0">
                  <c:v>Norma DKU</c:v>
                </c:pt>
              </c:strCache>
            </c:strRef>
          </c:tx>
          <c:marker>
            <c:symbol val="none"/>
          </c:marker>
          <c:cat>
            <c:strRef>
              <c:f>'Baseni Ishem Erzen'!$C$52:$L$52</c:f>
              <c:strCache>
                <c:ptCount val="10"/>
                <c:pt idx="0">
                  <c:v>T1</c:v>
                </c:pt>
                <c:pt idx="1">
                  <c:v>T2</c:v>
                </c:pt>
                <c:pt idx="2">
                  <c:v>L1</c:v>
                </c:pt>
                <c:pt idx="3">
                  <c:v>L2</c:v>
                </c:pt>
                <c:pt idx="4">
                  <c:v>Ish1</c:v>
                </c:pt>
                <c:pt idx="5">
                  <c:v>Ish2</c:v>
                </c:pt>
                <c:pt idx="6">
                  <c:v>Ish3</c:v>
                </c:pt>
                <c:pt idx="7">
                  <c:v>Er1</c:v>
                </c:pt>
                <c:pt idx="8">
                  <c:v>Er2</c:v>
                </c:pt>
                <c:pt idx="9">
                  <c:v>Er3</c:v>
                </c:pt>
              </c:strCache>
            </c:strRef>
          </c:cat>
          <c:val>
            <c:numRef>
              <c:f>'Baseni Ishem Erzen'!$C$54:$L$54</c:f>
              <c:numCache>
                <c:formatCode>General</c:formatCode>
                <c:ptCount val="10"/>
                <c:pt idx="0">
                  <c:v>0.4</c:v>
                </c:pt>
                <c:pt idx="1">
                  <c:v>0.4</c:v>
                </c:pt>
                <c:pt idx="2">
                  <c:v>0.4</c:v>
                </c:pt>
                <c:pt idx="3">
                  <c:v>0.4</c:v>
                </c:pt>
                <c:pt idx="4">
                  <c:v>0.4</c:v>
                </c:pt>
                <c:pt idx="5">
                  <c:v>0.4</c:v>
                </c:pt>
                <c:pt idx="6">
                  <c:v>0.4</c:v>
                </c:pt>
                <c:pt idx="7">
                  <c:v>0.4</c:v>
                </c:pt>
                <c:pt idx="8">
                  <c:v>0.4</c:v>
                </c:pt>
                <c:pt idx="9">
                  <c:v>0.4</c:v>
                </c:pt>
              </c:numCache>
            </c:numRef>
          </c:val>
          <c:smooth val="0"/>
          <c:extLst>
            <c:ext xmlns:c16="http://schemas.microsoft.com/office/drawing/2014/chart" uri="{C3380CC4-5D6E-409C-BE32-E72D297353CC}">
              <c16:uniqueId val="{00000001-8A1F-4327-84F1-A48B69586C45}"/>
            </c:ext>
          </c:extLst>
        </c:ser>
        <c:dLbls>
          <c:showLegendKey val="0"/>
          <c:showVal val="0"/>
          <c:showCatName val="0"/>
          <c:showSerName val="0"/>
          <c:showPercent val="0"/>
          <c:showBubbleSize val="0"/>
        </c:dLbls>
        <c:marker val="1"/>
        <c:smooth val="0"/>
        <c:axId val="261815296"/>
        <c:axId val="261825280"/>
      </c:lineChart>
      <c:catAx>
        <c:axId val="26181529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825280"/>
        <c:crosses val="autoZero"/>
        <c:auto val="1"/>
        <c:lblAlgn val="ctr"/>
        <c:lblOffset val="100"/>
        <c:noMultiLvlLbl val="0"/>
      </c:catAx>
      <c:valAx>
        <c:axId val="261825280"/>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815296"/>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Berat,</a:t>
            </a:r>
            <a:r>
              <a:rPr lang="sq-AL"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 </a:t>
            </a: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Niveli i Zhurmave 2025 LAeq/Ditën dB(A</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rgbClr val="00B050"/>
            </a:solidFill>
            <a:ln>
              <a:noFill/>
            </a:ln>
            <a:effectLst/>
          </c:spPr>
          <c:invertIfNegative val="0"/>
          <c:cat>
            <c:strRef>
              <c:f>'Zhurmat Berat 2025'!$A$2:$A$5</c:f>
              <c:strCache>
                <c:ptCount val="4"/>
                <c:pt idx="0">
                  <c:v>Kryqezimi i Spitalit</c:v>
                </c:pt>
                <c:pt idx="1">
                  <c:v>Bashkia</c:v>
                </c:pt>
                <c:pt idx="2">
                  <c:v>Terminali i Autobuzave</c:v>
                </c:pt>
                <c:pt idx="3">
                  <c:v>Kryqezimi "Shetitorja Osumi"</c:v>
                </c:pt>
              </c:strCache>
            </c:strRef>
          </c:cat>
          <c:val>
            <c:numRef>
              <c:f>'Zhurmat Berat 2025'!$B$2:$B$5</c:f>
              <c:numCache>
                <c:formatCode>General</c:formatCode>
                <c:ptCount val="4"/>
                <c:pt idx="0">
                  <c:v>59.64</c:v>
                </c:pt>
                <c:pt idx="1">
                  <c:v>59.28</c:v>
                </c:pt>
                <c:pt idx="2">
                  <c:v>59.15</c:v>
                </c:pt>
                <c:pt idx="3">
                  <c:v>57.47</c:v>
                </c:pt>
              </c:numCache>
            </c:numRef>
          </c:val>
          <c:extLst>
            <c:ext xmlns:c16="http://schemas.microsoft.com/office/drawing/2014/chart" uri="{C3380CC4-5D6E-409C-BE32-E72D297353CC}">
              <c16:uniqueId val="{00000000-D230-4B7C-BF2B-D28820AA71B6}"/>
            </c:ext>
          </c:extLst>
        </c:ser>
        <c:dLbls>
          <c:showLegendKey val="0"/>
          <c:showVal val="0"/>
          <c:showCatName val="0"/>
          <c:showSerName val="0"/>
          <c:showPercent val="0"/>
          <c:showBubbleSize val="0"/>
        </c:dLbls>
        <c:gapWidth val="219"/>
        <c:overlap val="-27"/>
        <c:axId val="245454720"/>
        <c:axId val="245456256"/>
      </c:barChart>
      <c:lineChart>
        <c:grouping val="standard"/>
        <c:varyColors val="0"/>
        <c:ser>
          <c:idx val="1"/>
          <c:order val="1"/>
          <c:spPr>
            <a:ln w="28575" cap="rnd">
              <a:solidFill>
                <a:schemeClr val="accent2"/>
              </a:solidFill>
              <a:round/>
            </a:ln>
            <a:effectLst/>
          </c:spPr>
          <c:marker>
            <c:symbol val="none"/>
          </c:marker>
          <c:cat>
            <c:strRef>
              <c:f>'Zhurmat Berat 2025'!$A$2:$A$5</c:f>
              <c:strCache>
                <c:ptCount val="4"/>
                <c:pt idx="0">
                  <c:v>Kryqezimi i Spitalit</c:v>
                </c:pt>
                <c:pt idx="1">
                  <c:v>Bashkia</c:v>
                </c:pt>
                <c:pt idx="2">
                  <c:v>Terminali i Autobuzave</c:v>
                </c:pt>
                <c:pt idx="3">
                  <c:v>Kryqezimi "Shetitorja Osumi"</c:v>
                </c:pt>
              </c:strCache>
            </c:strRef>
          </c:cat>
          <c:val>
            <c:numRef>
              <c:f>'Zhurmat Berat 2025'!$C$2:$C$5</c:f>
              <c:numCache>
                <c:formatCode>General</c:formatCode>
                <c:ptCount val="4"/>
                <c:pt idx="0">
                  <c:v>55</c:v>
                </c:pt>
                <c:pt idx="1">
                  <c:v>55</c:v>
                </c:pt>
                <c:pt idx="2">
                  <c:v>55</c:v>
                </c:pt>
                <c:pt idx="3">
                  <c:v>55</c:v>
                </c:pt>
              </c:numCache>
            </c:numRef>
          </c:val>
          <c:smooth val="0"/>
          <c:extLst>
            <c:ext xmlns:c16="http://schemas.microsoft.com/office/drawing/2014/chart" uri="{C3380CC4-5D6E-409C-BE32-E72D297353CC}">
              <c16:uniqueId val="{00000001-D230-4B7C-BF2B-D28820AA71B6}"/>
            </c:ext>
          </c:extLst>
        </c:ser>
        <c:dLbls>
          <c:showLegendKey val="0"/>
          <c:showVal val="0"/>
          <c:showCatName val="0"/>
          <c:showSerName val="0"/>
          <c:showPercent val="0"/>
          <c:showBubbleSize val="0"/>
        </c:dLbls>
        <c:marker val="1"/>
        <c:smooth val="0"/>
        <c:axId val="245454720"/>
        <c:axId val="245456256"/>
      </c:lineChart>
      <c:catAx>
        <c:axId val="245454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456256"/>
        <c:crosses val="autoZero"/>
        <c:auto val="1"/>
        <c:lblAlgn val="ctr"/>
        <c:lblOffset val="100"/>
        <c:noMultiLvlLbl val="0"/>
      </c:catAx>
      <c:valAx>
        <c:axId val="24545625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4547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TOC</a:t>
            </a:r>
          </a:p>
        </c:rich>
      </c:tx>
      <c:layout>
        <c:manualLayout>
          <c:xMode val="edge"/>
          <c:yMode val="edge"/>
          <c:x val="0.36741672263743802"/>
          <c:y val="5.128205128205128E-2"/>
        </c:manualLayout>
      </c:layout>
      <c:overlay val="0"/>
    </c:title>
    <c:autoTitleDeleted val="0"/>
    <c:plotArea>
      <c:layout/>
      <c:barChart>
        <c:barDir val="col"/>
        <c:grouping val="clustered"/>
        <c:varyColors val="0"/>
        <c:ser>
          <c:idx val="0"/>
          <c:order val="0"/>
          <c:tx>
            <c:strRef>
              <c:f>'Baseni Ishem Erzen'!$B$53</c:f>
              <c:strCache>
                <c:ptCount val="1"/>
                <c:pt idx="0">
                  <c:v>mesatare vjetore 2025</c:v>
                </c:pt>
              </c:strCache>
            </c:strRef>
          </c:tx>
          <c:invertIfNegative val="0"/>
          <c:cat>
            <c:strRef>
              <c:f>'Baseni Ishem Erzen'!$C$52:$L$52</c:f>
              <c:strCache>
                <c:ptCount val="10"/>
                <c:pt idx="0">
                  <c:v>T1</c:v>
                </c:pt>
                <c:pt idx="1">
                  <c:v>T2</c:v>
                </c:pt>
                <c:pt idx="2">
                  <c:v>L1</c:v>
                </c:pt>
                <c:pt idx="3">
                  <c:v>L2</c:v>
                </c:pt>
                <c:pt idx="4">
                  <c:v>Ish1</c:v>
                </c:pt>
                <c:pt idx="5">
                  <c:v>Ish2</c:v>
                </c:pt>
                <c:pt idx="6">
                  <c:v>Ish3</c:v>
                </c:pt>
                <c:pt idx="7">
                  <c:v>Er1</c:v>
                </c:pt>
                <c:pt idx="8">
                  <c:v>Er2</c:v>
                </c:pt>
                <c:pt idx="9">
                  <c:v>Er3</c:v>
                </c:pt>
              </c:strCache>
            </c:strRef>
          </c:cat>
          <c:val>
            <c:numRef>
              <c:f>'Baseni Ishem Erzen'!$C$53:$L$53</c:f>
              <c:numCache>
                <c:formatCode>0.000</c:formatCode>
                <c:ptCount val="10"/>
                <c:pt idx="0">
                  <c:v>1.9E-2</c:v>
                </c:pt>
                <c:pt idx="1">
                  <c:v>0.83</c:v>
                </c:pt>
                <c:pt idx="2">
                  <c:v>0.308</c:v>
                </c:pt>
                <c:pt idx="3">
                  <c:v>2.25</c:v>
                </c:pt>
                <c:pt idx="4">
                  <c:v>0.84</c:v>
                </c:pt>
                <c:pt idx="5">
                  <c:v>0.78</c:v>
                </c:pt>
                <c:pt idx="6">
                  <c:v>0.77600000000000002</c:v>
                </c:pt>
                <c:pt idx="7">
                  <c:v>5.4000000000000003E-3</c:v>
                </c:pt>
                <c:pt idx="8">
                  <c:v>3.2000000000000001E-2</c:v>
                </c:pt>
                <c:pt idx="9">
                  <c:v>4.8000000000000001E-2</c:v>
                </c:pt>
              </c:numCache>
            </c:numRef>
          </c:val>
          <c:extLst>
            <c:ext xmlns:c16="http://schemas.microsoft.com/office/drawing/2014/chart" uri="{C3380CC4-5D6E-409C-BE32-E72D297353CC}">
              <c16:uniqueId val="{00000000-3703-41D8-97CC-478154C4E27C}"/>
            </c:ext>
          </c:extLst>
        </c:ser>
        <c:dLbls>
          <c:showLegendKey val="0"/>
          <c:showVal val="0"/>
          <c:showCatName val="0"/>
          <c:showSerName val="0"/>
          <c:showPercent val="0"/>
          <c:showBubbleSize val="0"/>
        </c:dLbls>
        <c:gapWidth val="150"/>
        <c:axId val="261868160"/>
        <c:axId val="261878144"/>
      </c:barChart>
      <c:lineChart>
        <c:grouping val="stacked"/>
        <c:varyColors val="0"/>
        <c:ser>
          <c:idx val="1"/>
          <c:order val="1"/>
          <c:tx>
            <c:strRef>
              <c:f>'Baseni Ishem Erzen'!$B$54</c:f>
              <c:strCache>
                <c:ptCount val="1"/>
                <c:pt idx="0">
                  <c:v>Norma DKU</c:v>
                </c:pt>
              </c:strCache>
            </c:strRef>
          </c:tx>
          <c:marker>
            <c:symbol val="none"/>
          </c:marker>
          <c:cat>
            <c:strRef>
              <c:f>'Baseni Ishem Erzen'!$C$52:$L$52</c:f>
              <c:strCache>
                <c:ptCount val="10"/>
                <c:pt idx="0">
                  <c:v>T1</c:v>
                </c:pt>
                <c:pt idx="1">
                  <c:v>T2</c:v>
                </c:pt>
                <c:pt idx="2">
                  <c:v>L1</c:v>
                </c:pt>
                <c:pt idx="3">
                  <c:v>L2</c:v>
                </c:pt>
                <c:pt idx="4">
                  <c:v>Ish1</c:v>
                </c:pt>
                <c:pt idx="5">
                  <c:v>Ish2</c:v>
                </c:pt>
                <c:pt idx="6">
                  <c:v>Ish3</c:v>
                </c:pt>
                <c:pt idx="7">
                  <c:v>Er1</c:v>
                </c:pt>
                <c:pt idx="8">
                  <c:v>Er2</c:v>
                </c:pt>
                <c:pt idx="9">
                  <c:v>Er3</c:v>
                </c:pt>
              </c:strCache>
            </c:strRef>
          </c:cat>
          <c:val>
            <c:numRef>
              <c:f>'Baseni Ishem Erzen'!$C$54:$L$54</c:f>
              <c:numCache>
                <c:formatCode>General</c:formatCode>
                <c:ptCount val="10"/>
                <c:pt idx="0">
                  <c:v>0.4</c:v>
                </c:pt>
                <c:pt idx="1">
                  <c:v>0.4</c:v>
                </c:pt>
                <c:pt idx="2">
                  <c:v>0.4</c:v>
                </c:pt>
                <c:pt idx="3">
                  <c:v>0.4</c:v>
                </c:pt>
                <c:pt idx="4">
                  <c:v>0.4</c:v>
                </c:pt>
                <c:pt idx="5">
                  <c:v>0.4</c:v>
                </c:pt>
                <c:pt idx="6">
                  <c:v>0.4</c:v>
                </c:pt>
                <c:pt idx="7">
                  <c:v>0.4</c:v>
                </c:pt>
                <c:pt idx="8">
                  <c:v>0.4</c:v>
                </c:pt>
                <c:pt idx="9">
                  <c:v>0.4</c:v>
                </c:pt>
              </c:numCache>
            </c:numRef>
          </c:val>
          <c:smooth val="0"/>
          <c:extLst>
            <c:ext xmlns:c16="http://schemas.microsoft.com/office/drawing/2014/chart" uri="{C3380CC4-5D6E-409C-BE32-E72D297353CC}">
              <c16:uniqueId val="{00000001-3703-41D8-97CC-478154C4E27C}"/>
            </c:ext>
          </c:extLst>
        </c:ser>
        <c:dLbls>
          <c:showLegendKey val="0"/>
          <c:showVal val="0"/>
          <c:showCatName val="0"/>
          <c:showSerName val="0"/>
          <c:showPercent val="0"/>
          <c:showBubbleSize val="0"/>
        </c:dLbls>
        <c:marker val="1"/>
        <c:smooth val="0"/>
        <c:axId val="261868160"/>
        <c:axId val="261878144"/>
      </c:lineChart>
      <c:catAx>
        <c:axId val="261868160"/>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878144"/>
        <c:crosses val="autoZero"/>
        <c:auto val="1"/>
        <c:lblAlgn val="ctr"/>
        <c:lblOffset val="100"/>
        <c:noMultiLvlLbl val="0"/>
      </c:catAx>
      <c:valAx>
        <c:axId val="261878144"/>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868160"/>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Oksigjeni i tretur</a:t>
            </a:r>
          </a:p>
        </c:rich>
      </c:tx>
      <c:overlay val="0"/>
    </c:title>
    <c:autoTitleDeleted val="0"/>
    <c:plotArea>
      <c:layout/>
      <c:barChart>
        <c:barDir val="col"/>
        <c:grouping val="clustered"/>
        <c:varyColors val="0"/>
        <c:ser>
          <c:idx val="0"/>
          <c:order val="0"/>
          <c:tx>
            <c:strRef>
              <c:f>'Baseni Shkumbinit'!$B$5</c:f>
              <c:strCache>
                <c:ptCount val="1"/>
                <c:pt idx="0">
                  <c:v>mesatare vjetore 2025</c:v>
                </c:pt>
              </c:strCache>
            </c:strRef>
          </c:tx>
          <c:invertIfNegative val="0"/>
          <c:cat>
            <c:strRef>
              <c:f>'Baseni Shkumbinit'!$C$4:$F$4</c:f>
              <c:strCache>
                <c:ptCount val="4"/>
                <c:pt idx="0">
                  <c:v>Sh1</c:v>
                </c:pt>
                <c:pt idx="1">
                  <c:v>Sh2</c:v>
                </c:pt>
                <c:pt idx="2">
                  <c:v>Sh3</c:v>
                </c:pt>
                <c:pt idx="3">
                  <c:v>Sh4</c:v>
                </c:pt>
              </c:strCache>
            </c:strRef>
          </c:cat>
          <c:val>
            <c:numRef>
              <c:f>'Baseni Shkumbinit'!$C$5:$F$5</c:f>
              <c:numCache>
                <c:formatCode>General</c:formatCode>
                <c:ptCount val="4"/>
                <c:pt idx="0">
                  <c:v>10.5</c:v>
                </c:pt>
                <c:pt idx="1">
                  <c:v>9.3000000000000007</c:v>
                </c:pt>
                <c:pt idx="2">
                  <c:v>9.1</c:v>
                </c:pt>
                <c:pt idx="3">
                  <c:v>8.9</c:v>
                </c:pt>
              </c:numCache>
            </c:numRef>
          </c:val>
          <c:extLst>
            <c:ext xmlns:c16="http://schemas.microsoft.com/office/drawing/2014/chart" uri="{C3380CC4-5D6E-409C-BE32-E72D297353CC}">
              <c16:uniqueId val="{00000000-6931-433C-9B8B-F0720D4EC531}"/>
            </c:ext>
          </c:extLst>
        </c:ser>
        <c:dLbls>
          <c:showLegendKey val="0"/>
          <c:showVal val="0"/>
          <c:showCatName val="0"/>
          <c:showSerName val="0"/>
          <c:showPercent val="0"/>
          <c:showBubbleSize val="0"/>
        </c:dLbls>
        <c:gapWidth val="150"/>
        <c:axId val="261929216"/>
        <c:axId val="262017024"/>
      </c:barChart>
      <c:lineChart>
        <c:grouping val="stacked"/>
        <c:varyColors val="0"/>
        <c:ser>
          <c:idx val="1"/>
          <c:order val="1"/>
          <c:tx>
            <c:strRef>
              <c:f>'Baseni Shkumbinit'!$B$6</c:f>
              <c:strCache>
                <c:ptCount val="1"/>
                <c:pt idx="0">
                  <c:v>Norma DKU</c:v>
                </c:pt>
              </c:strCache>
            </c:strRef>
          </c:tx>
          <c:marker>
            <c:symbol val="none"/>
          </c:marker>
          <c:cat>
            <c:strRef>
              <c:f>'Baseni Shkumbinit'!$C$4:$F$4</c:f>
              <c:strCache>
                <c:ptCount val="4"/>
                <c:pt idx="0">
                  <c:v>Sh1</c:v>
                </c:pt>
                <c:pt idx="1">
                  <c:v>Sh2</c:v>
                </c:pt>
                <c:pt idx="2">
                  <c:v>Sh3</c:v>
                </c:pt>
                <c:pt idx="3">
                  <c:v>Sh4</c:v>
                </c:pt>
              </c:strCache>
            </c:strRef>
          </c:cat>
          <c:val>
            <c:numRef>
              <c:f>'Baseni Shkumbinit'!$C$6:$F$6</c:f>
              <c:numCache>
                <c:formatCode>General</c:formatCode>
                <c:ptCount val="4"/>
                <c:pt idx="0">
                  <c:v>6</c:v>
                </c:pt>
                <c:pt idx="1">
                  <c:v>6</c:v>
                </c:pt>
                <c:pt idx="2">
                  <c:v>6</c:v>
                </c:pt>
                <c:pt idx="3">
                  <c:v>6</c:v>
                </c:pt>
              </c:numCache>
            </c:numRef>
          </c:val>
          <c:smooth val="0"/>
          <c:extLst>
            <c:ext xmlns:c16="http://schemas.microsoft.com/office/drawing/2014/chart" uri="{C3380CC4-5D6E-409C-BE32-E72D297353CC}">
              <c16:uniqueId val="{00000001-6931-433C-9B8B-F0720D4EC531}"/>
            </c:ext>
          </c:extLst>
        </c:ser>
        <c:dLbls>
          <c:showLegendKey val="0"/>
          <c:showVal val="0"/>
          <c:showCatName val="0"/>
          <c:showSerName val="0"/>
          <c:showPercent val="0"/>
          <c:showBubbleSize val="0"/>
        </c:dLbls>
        <c:marker val="1"/>
        <c:smooth val="0"/>
        <c:axId val="261929216"/>
        <c:axId val="262017024"/>
      </c:lineChart>
      <c:catAx>
        <c:axId val="26192921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017024"/>
        <c:crosses val="autoZero"/>
        <c:auto val="1"/>
        <c:lblAlgn val="ctr"/>
        <c:lblOffset val="100"/>
        <c:noMultiLvlLbl val="0"/>
      </c:catAx>
      <c:valAx>
        <c:axId val="262017024"/>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1929216"/>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Nevoja Biokimike per Oksigjen</a:t>
            </a:r>
          </a:p>
        </c:rich>
      </c:tx>
      <c:overlay val="0"/>
    </c:title>
    <c:autoTitleDeleted val="0"/>
    <c:plotArea>
      <c:layout/>
      <c:barChart>
        <c:barDir val="col"/>
        <c:grouping val="clustered"/>
        <c:varyColors val="0"/>
        <c:ser>
          <c:idx val="0"/>
          <c:order val="0"/>
          <c:tx>
            <c:strRef>
              <c:f>'Baseni Shkumbinit'!$K$5</c:f>
              <c:strCache>
                <c:ptCount val="1"/>
                <c:pt idx="0">
                  <c:v>mesatare vjetore 2025</c:v>
                </c:pt>
              </c:strCache>
            </c:strRef>
          </c:tx>
          <c:invertIfNegative val="0"/>
          <c:cat>
            <c:strRef>
              <c:f>'Baseni Shkumbinit'!$L$4:$O$4</c:f>
              <c:strCache>
                <c:ptCount val="4"/>
                <c:pt idx="0">
                  <c:v>Sh1</c:v>
                </c:pt>
                <c:pt idx="1">
                  <c:v>Sh2</c:v>
                </c:pt>
                <c:pt idx="2">
                  <c:v>Sh3</c:v>
                </c:pt>
                <c:pt idx="3">
                  <c:v>Sh4</c:v>
                </c:pt>
              </c:strCache>
            </c:strRef>
          </c:cat>
          <c:val>
            <c:numRef>
              <c:f>'Baseni Shkumbinit'!$L$5:$O$5</c:f>
              <c:numCache>
                <c:formatCode>General</c:formatCode>
                <c:ptCount val="4"/>
                <c:pt idx="0">
                  <c:v>3.75</c:v>
                </c:pt>
                <c:pt idx="1">
                  <c:v>5.25</c:v>
                </c:pt>
                <c:pt idx="2">
                  <c:v>3.5</c:v>
                </c:pt>
                <c:pt idx="3">
                  <c:v>4.25</c:v>
                </c:pt>
              </c:numCache>
            </c:numRef>
          </c:val>
          <c:extLst>
            <c:ext xmlns:c16="http://schemas.microsoft.com/office/drawing/2014/chart" uri="{C3380CC4-5D6E-409C-BE32-E72D297353CC}">
              <c16:uniqueId val="{00000000-D3E6-4665-9BE6-5CF8B973D20F}"/>
            </c:ext>
          </c:extLst>
        </c:ser>
        <c:dLbls>
          <c:showLegendKey val="0"/>
          <c:showVal val="0"/>
          <c:showCatName val="0"/>
          <c:showSerName val="0"/>
          <c:showPercent val="0"/>
          <c:showBubbleSize val="0"/>
        </c:dLbls>
        <c:gapWidth val="150"/>
        <c:axId val="262047616"/>
        <c:axId val="262049152"/>
      </c:barChart>
      <c:lineChart>
        <c:grouping val="stacked"/>
        <c:varyColors val="0"/>
        <c:ser>
          <c:idx val="1"/>
          <c:order val="1"/>
          <c:tx>
            <c:strRef>
              <c:f>'Baseni Shkumbinit'!$K$6</c:f>
              <c:strCache>
                <c:ptCount val="1"/>
                <c:pt idx="0">
                  <c:v>Norma DKU</c:v>
                </c:pt>
              </c:strCache>
            </c:strRef>
          </c:tx>
          <c:marker>
            <c:symbol val="none"/>
          </c:marker>
          <c:cat>
            <c:strRef>
              <c:f>'Baseni Shkumbinit'!$L$4:$O$4</c:f>
              <c:strCache>
                <c:ptCount val="4"/>
                <c:pt idx="0">
                  <c:v>Sh1</c:v>
                </c:pt>
                <c:pt idx="1">
                  <c:v>Sh2</c:v>
                </c:pt>
                <c:pt idx="2">
                  <c:v>Sh3</c:v>
                </c:pt>
                <c:pt idx="3">
                  <c:v>Sh4</c:v>
                </c:pt>
              </c:strCache>
            </c:strRef>
          </c:cat>
          <c:val>
            <c:numRef>
              <c:f>'Baseni Shkumbinit'!$L$6:$O$6</c:f>
              <c:numCache>
                <c:formatCode>General</c:formatCode>
                <c:ptCount val="4"/>
                <c:pt idx="0">
                  <c:v>7</c:v>
                </c:pt>
                <c:pt idx="1">
                  <c:v>7</c:v>
                </c:pt>
                <c:pt idx="2">
                  <c:v>7</c:v>
                </c:pt>
                <c:pt idx="3">
                  <c:v>7</c:v>
                </c:pt>
              </c:numCache>
            </c:numRef>
          </c:val>
          <c:smooth val="0"/>
          <c:extLst>
            <c:ext xmlns:c16="http://schemas.microsoft.com/office/drawing/2014/chart" uri="{C3380CC4-5D6E-409C-BE32-E72D297353CC}">
              <c16:uniqueId val="{00000001-D3E6-4665-9BE6-5CF8B973D20F}"/>
            </c:ext>
          </c:extLst>
        </c:ser>
        <c:dLbls>
          <c:showLegendKey val="0"/>
          <c:showVal val="0"/>
          <c:showCatName val="0"/>
          <c:showSerName val="0"/>
          <c:showPercent val="0"/>
          <c:showBubbleSize val="0"/>
        </c:dLbls>
        <c:marker val="1"/>
        <c:smooth val="0"/>
        <c:axId val="262047616"/>
        <c:axId val="262049152"/>
      </c:lineChart>
      <c:catAx>
        <c:axId val="26204761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049152"/>
        <c:crosses val="autoZero"/>
        <c:auto val="1"/>
        <c:lblAlgn val="ctr"/>
        <c:lblOffset val="100"/>
        <c:noMultiLvlLbl val="0"/>
      </c:catAx>
      <c:valAx>
        <c:axId val="262049152"/>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047616"/>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amonjakut</a:t>
            </a:r>
          </a:p>
        </c:rich>
      </c:tx>
      <c:overlay val="0"/>
    </c:title>
    <c:autoTitleDeleted val="0"/>
    <c:plotArea>
      <c:layout/>
      <c:barChart>
        <c:barDir val="col"/>
        <c:grouping val="clustered"/>
        <c:varyColors val="0"/>
        <c:ser>
          <c:idx val="0"/>
          <c:order val="0"/>
          <c:tx>
            <c:strRef>
              <c:f>'Baseni Shkumbinit'!$B$21</c:f>
              <c:strCache>
                <c:ptCount val="1"/>
                <c:pt idx="0">
                  <c:v>mesatare vjetore 2025</c:v>
                </c:pt>
              </c:strCache>
            </c:strRef>
          </c:tx>
          <c:invertIfNegative val="0"/>
          <c:cat>
            <c:strRef>
              <c:f>'Baseni Shkumbinit'!$C$20:$F$20</c:f>
              <c:strCache>
                <c:ptCount val="4"/>
                <c:pt idx="0">
                  <c:v>Sh1</c:v>
                </c:pt>
                <c:pt idx="1">
                  <c:v>Sh2</c:v>
                </c:pt>
                <c:pt idx="2">
                  <c:v>Sh3</c:v>
                </c:pt>
                <c:pt idx="3">
                  <c:v>Sh4</c:v>
                </c:pt>
              </c:strCache>
            </c:strRef>
          </c:cat>
          <c:val>
            <c:numRef>
              <c:f>'Baseni Shkumbinit'!$C$21:$F$21</c:f>
              <c:numCache>
                <c:formatCode>0.000</c:formatCode>
                <c:ptCount val="4"/>
                <c:pt idx="0">
                  <c:v>0.03</c:v>
                </c:pt>
                <c:pt idx="1">
                  <c:v>0.32</c:v>
                </c:pt>
                <c:pt idx="2">
                  <c:v>0.15</c:v>
                </c:pt>
                <c:pt idx="3">
                  <c:v>0.14000000000000001</c:v>
                </c:pt>
              </c:numCache>
            </c:numRef>
          </c:val>
          <c:extLst>
            <c:ext xmlns:c16="http://schemas.microsoft.com/office/drawing/2014/chart" uri="{C3380CC4-5D6E-409C-BE32-E72D297353CC}">
              <c16:uniqueId val="{00000000-91CE-42A1-BDCA-225B2CFDE409}"/>
            </c:ext>
          </c:extLst>
        </c:ser>
        <c:dLbls>
          <c:showLegendKey val="0"/>
          <c:showVal val="0"/>
          <c:showCatName val="0"/>
          <c:showSerName val="0"/>
          <c:showPercent val="0"/>
          <c:showBubbleSize val="0"/>
        </c:dLbls>
        <c:gapWidth val="150"/>
        <c:axId val="262075904"/>
        <c:axId val="262077440"/>
      </c:barChart>
      <c:lineChart>
        <c:grouping val="stacked"/>
        <c:varyColors val="0"/>
        <c:ser>
          <c:idx val="1"/>
          <c:order val="1"/>
          <c:tx>
            <c:strRef>
              <c:f>'Baseni Shkumbinit'!$B$22</c:f>
              <c:strCache>
                <c:ptCount val="1"/>
                <c:pt idx="0">
                  <c:v>Norma DKU</c:v>
                </c:pt>
              </c:strCache>
            </c:strRef>
          </c:tx>
          <c:marker>
            <c:symbol val="none"/>
          </c:marker>
          <c:cat>
            <c:strRef>
              <c:f>'Baseni Shkumbinit'!$C$20:$F$20</c:f>
              <c:strCache>
                <c:ptCount val="4"/>
                <c:pt idx="0">
                  <c:v>Sh1</c:v>
                </c:pt>
                <c:pt idx="1">
                  <c:v>Sh2</c:v>
                </c:pt>
                <c:pt idx="2">
                  <c:v>Sh3</c:v>
                </c:pt>
                <c:pt idx="3">
                  <c:v>Sh4</c:v>
                </c:pt>
              </c:strCache>
            </c:strRef>
          </c:cat>
          <c:val>
            <c:numRef>
              <c:f>'Baseni Shkumbinit'!$C$22:$F$22</c:f>
              <c:numCache>
                <c:formatCode>General</c:formatCode>
                <c:ptCount val="4"/>
                <c:pt idx="0">
                  <c:v>0.6</c:v>
                </c:pt>
                <c:pt idx="1">
                  <c:v>0.6</c:v>
                </c:pt>
                <c:pt idx="2">
                  <c:v>0.6</c:v>
                </c:pt>
                <c:pt idx="3">
                  <c:v>0.6</c:v>
                </c:pt>
              </c:numCache>
            </c:numRef>
          </c:val>
          <c:smooth val="0"/>
          <c:extLst>
            <c:ext xmlns:c16="http://schemas.microsoft.com/office/drawing/2014/chart" uri="{C3380CC4-5D6E-409C-BE32-E72D297353CC}">
              <c16:uniqueId val="{00000001-91CE-42A1-BDCA-225B2CFDE409}"/>
            </c:ext>
          </c:extLst>
        </c:ser>
        <c:dLbls>
          <c:showLegendKey val="0"/>
          <c:showVal val="0"/>
          <c:showCatName val="0"/>
          <c:showSerName val="0"/>
          <c:showPercent val="0"/>
          <c:showBubbleSize val="0"/>
        </c:dLbls>
        <c:marker val="1"/>
        <c:smooth val="0"/>
        <c:axId val="262075904"/>
        <c:axId val="262077440"/>
      </c:lineChart>
      <c:catAx>
        <c:axId val="262075904"/>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077440"/>
        <c:crosses val="autoZero"/>
        <c:auto val="1"/>
        <c:lblAlgn val="ctr"/>
        <c:lblOffset val="100"/>
        <c:noMultiLvlLbl val="0"/>
      </c:catAx>
      <c:valAx>
        <c:axId val="262077440"/>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075904"/>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nitriteve</a:t>
            </a:r>
          </a:p>
        </c:rich>
      </c:tx>
      <c:overlay val="0"/>
    </c:title>
    <c:autoTitleDeleted val="0"/>
    <c:plotArea>
      <c:layout/>
      <c:barChart>
        <c:barDir val="col"/>
        <c:grouping val="clustered"/>
        <c:varyColors val="0"/>
        <c:ser>
          <c:idx val="0"/>
          <c:order val="0"/>
          <c:tx>
            <c:strRef>
              <c:f>'Baseni Shkumbinit'!$K$21</c:f>
              <c:strCache>
                <c:ptCount val="1"/>
                <c:pt idx="0">
                  <c:v>mesatare vjetore 2025</c:v>
                </c:pt>
              </c:strCache>
            </c:strRef>
          </c:tx>
          <c:invertIfNegative val="0"/>
          <c:cat>
            <c:strRef>
              <c:f>'Baseni Shkumbinit'!$L$20:$O$20</c:f>
              <c:strCache>
                <c:ptCount val="4"/>
                <c:pt idx="0">
                  <c:v>Sh1</c:v>
                </c:pt>
                <c:pt idx="1">
                  <c:v>Sh2</c:v>
                </c:pt>
                <c:pt idx="2">
                  <c:v>Sh3</c:v>
                </c:pt>
                <c:pt idx="3">
                  <c:v>Sh4</c:v>
                </c:pt>
              </c:strCache>
            </c:strRef>
          </c:cat>
          <c:val>
            <c:numRef>
              <c:f>'Baseni Shkumbinit'!$L$21:$O$21</c:f>
              <c:numCache>
                <c:formatCode>0.000</c:formatCode>
                <c:ptCount val="4"/>
                <c:pt idx="0">
                  <c:v>1.9E-3</c:v>
                </c:pt>
                <c:pt idx="1">
                  <c:v>5.7999999999999996E-3</c:v>
                </c:pt>
                <c:pt idx="2">
                  <c:v>1.9E-2</c:v>
                </c:pt>
                <c:pt idx="3">
                  <c:v>1.2999999999999999E-2</c:v>
                </c:pt>
              </c:numCache>
            </c:numRef>
          </c:val>
          <c:extLst>
            <c:ext xmlns:c16="http://schemas.microsoft.com/office/drawing/2014/chart" uri="{C3380CC4-5D6E-409C-BE32-E72D297353CC}">
              <c16:uniqueId val="{00000000-19DD-48C5-86CB-F79BBA45FCF9}"/>
            </c:ext>
          </c:extLst>
        </c:ser>
        <c:dLbls>
          <c:showLegendKey val="0"/>
          <c:showVal val="0"/>
          <c:showCatName val="0"/>
          <c:showSerName val="0"/>
          <c:showPercent val="0"/>
          <c:showBubbleSize val="0"/>
        </c:dLbls>
        <c:gapWidth val="150"/>
        <c:axId val="262128768"/>
        <c:axId val="262130304"/>
      </c:barChart>
      <c:lineChart>
        <c:grouping val="stacked"/>
        <c:varyColors val="0"/>
        <c:ser>
          <c:idx val="1"/>
          <c:order val="1"/>
          <c:tx>
            <c:strRef>
              <c:f>'Baseni Shkumbinit'!$K$22</c:f>
              <c:strCache>
                <c:ptCount val="1"/>
                <c:pt idx="0">
                  <c:v>Norma DKU</c:v>
                </c:pt>
              </c:strCache>
            </c:strRef>
          </c:tx>
          <c:marker>
            <c:symbol val="none"/>
          </c:marker>
          <c:cat>
            <c:strRef>
              <c:f>'Baseni Shkumbinit'!$L$20:$O$20</c:f>
              <c:strCache>
                <c:ptCount val="4"/>
                <c:pt idx="0">
                  <c:v>Sh1</c:v>
                </c:pt>
                <c:pt idx="1">
                  <c:v>Sh2</c:v>
                </c:pt>
                <c:pt idx="2">
                  <c:v>Sh3</c:v>
                </c:pt>
                <c:pt idx="3">
                  <c:v>Sh4</c:v>
                </c:pt>
              </c:strCache>
            </c:strRef>
          </c:cat>
          <c:val>
            <c:numRef>
              <c:f>'Baseni Shkumbinit'!$L$22:$O$22</c:f>
              <c:numCache>
                <c:formatCode>General</c:formatCode>
                <c:ptCount val="4"/>
                <c:pt idx="0">
                  <c:v>0.12</c:v>
                </c:pt>
                <c:pt idx="1">
                  <c:v>0.12</c:v>
                </c:pt>
                <c:pt idx="2">
                  <c:v>0.12</c:v>
                </c:pt>
                <c:pt idx="3">
                  <c:v>0.12</c:v>
                </c:pt>
              </c:numCache>
            </c:numRef>
          </c:val>
          <c:smooth val="0"/>
          <c:extLst>
            <c:ext xmlns:c16="http://schemas.microsoft.com/office/drawing/2014/chart" uri="{C3380CC4-5D6E-409C-BE32-E72D297353CC}">
              <c16:uniqueId val="{00000001-19DD-48C5-86CB-F79BBA45FCF9}"/>
            </c:ext>
          </c:extLst>
        </c:ser>
        <c:dLbls>
          <c:showLegendKey val="0"/>
          <c:showVal val="0"/>
          <c:showCatName val="0"/>
          <c:showSerName val="0"/>
          <c:showPercent val="0"/>
          <c:showBubbleSize val="0"/>
        </c:dLbls>
        <c:marker val="1"/>
        <c:smooth val="0"/>
        <c:axId val="262128768"/>
        <c:axId val="262130304"/>
      </c:lineChart>
      <c:catAx>
        <c:axId val="26212876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130304"/>
        <c:crosses val="autoZero"/>
        <c:auto val="1"/>
        <c:lblAlgn val="ctr"/>
        <c:lblOffset val="100"/>
        <c:noMultiLvlLbl val="0"/>
      </c:catAx>
      <c:valAx>
        <c:axId val="262130304"/>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128768"/>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nitrateve</a:t>
            </a:r>
          </a:p>
        </c:rich>
      </c:tx>
      <c:overlay val="0"/>
    </c:title>
    <c:autoTitleDeleted val="0"/>
    <c:plotArea>
      <c:layout/>
      <c:barChart>
        <c:barDir val="col"/>
        <c:grouping val="clustered"/>
        <c:varyColors val="0"/>
        <c:ser>
          <c:idx val="0"/>
          <c:order val="0"/>
          <c:tx>
            <c:strRef>
              <c:f>'Baseni Shkumbinit'!$B$36</c:f>
              <c:strCache>
                <c:ptCount val="1"/>
                <c:pt idx="0">
                  <c:v>mesatare vjetore</c:v>
                </c:pt>
              </c:strCache>
            </c:strRef>
          </c:tx>
          <c:invertIfNegative val="0"/>
          <c:cat>
            <c:strRef>
              <c:f>'Baseni Shkumbinit'!$C$35:$F$35</c:f>
              <c:strCache>
                <c:ptCount val="4"/>
                <c:pt idx="0">
                  <c:v>Sh1</c:v>
                </c:pt>
                <c:pt idx="1">
                  <c:v>Sh2</c:v>
                </c:pt>
                <c:pt idx="2">
                  <c:v>Sh3</c:v>
                </c:pt>
                <c:pt idx="3">
                  <c:v>Sh4</c:v>
                </c:pt>
              </c:strCache>
            </c:strRef>
          </c:cat>
          <c:val>
            <c:numRef>
              <c:f>'Baseni Shkumbinit'!$C$36:$F$36</c:f>
              <c:numCache>
                <c:formatCode>0.000</c:formatCode>
                <c:ptCount val="4"/>
                <c:pt idx="0">
                  <c:v>0.3</c:v>
                </c:pt>
                <c:pt idx="1">
                  <c:v>0.39</c:v>
                </c:pt>
                <c:pt idx="2">
                  <c:v>0.66</c:v>
                </c:pt>
                <c:pt idx="3">
                  <c:v>0.77</c:v>
                </c:pt>
              </c:numCache>
            </c:numRef>
          </c:val>
          <c:extLst>
            <c:ext xmlns:c16="http://schemas.microsoft.com/office/drawing/2014/chart" uri="{C3380CC4-5D6E-409C-BE32-E72D297353CC}">
              <c16:uniqueId val="{00000000-B6E2-4645-83AE-50679C333D0E}"/>
            </c:ext>
          </c:extLst>
        </c:ser>
        <c:dLbls>
          <c:showLegendKey val="0"/>
          <c:showVal val="0"/>
          <c:showCatName val="0"/>
          <c:showSerName val="0"/>
          <c:showPercent val="0"/>
          <c:showBubbleSize val="0"/>
        </c:dLbls>
        <c:gapWidth val="150"/>
        <c:axId val="262177536"/>
        <c:axId val="262179072"/>
      </c:barChart>
      <c:lineChart>
        <c:grouping val="stacked"/>
        <c:varyColors val="0"/>
        <c:ser>
          <c:idx val="1"/>
          <c:order val="1"/>
          <c:tx>
            <c:strRef>
              <c:f>'Baseni Shkumbinit'!$B$37</c:f>
              <c:strCache>
                <c:ptCount val="1"/>
                <c:pt idx="0">
                  <c:v>Norma DKU</c:v>
                </c:pt>
              </c:strCache>
            </c:strRef>
          </c:tx>
          <c:marker>
            <c:symbol val="none"/>
          </c:marker>
          <c:cat>
            <c:strRef>
              <c:f>'Baseni Shkumbinit'!$C$35:$F$35</c:f>
              <c:strCache>
                <c:ptCount val="4"/>
                <c:pt idx="0">
                  <c:v>Sh1</c:v>
                </c:pt>
                <c:pt idx="1">
                  <c:v>Sh2</c:v>
                </c:pt>
                <c:pt idx="2">
                  <c:v>Sh3</c:v>
                </c:pt>
                <c:pt idx="3">
                  <c:v>Sh4</c:v>
                </c:pt>
              </c:strCache>
            </c:strRef>
          </c:cat>
          <c:val>
            <c:numRef>
              <c:f>'Baseni Shkumbinit'!$C$37:$F$37</c:f>
              <c:numCache>
                <c:formatCode>General</c:formatCode>
                <c:ptCount val="4"/>
                <c:pt idx="0">
                  <c:v>4</c:v>
                </c:pt>
                <c:pt idx="1">
                  <c:v>4</c:v>
                </c:pt>
                <c:pt idx="2">
                  <c:v>4</c:v>
                </c:pt>
                <c:pt idx="3">
                  <c:v>4</c:v>
                </c:pt>
              </c:numCache>
            </c:numRef>
          </c:val>
          <c:smooth val="0"/>
          <c:extLst>
            <c:ext xmlns:c16="http://schemas.microsoft.com/office/drawing/2014/chart" uri="{C3380CC4-5D6E-409C-BE32-E72D297353CC}">
              <c16:uniqueId val="{00000001-B6E2-4645-83AE-50679C333D0E}"/>
            </c:ext>
          </c:extLst>
        </c:ser>
        <c:dLbls>
          <c:showLegendKey val="0"/>
          <c:showVal val="0"/>
          <c:showCatName val="0"/>
          <c:showSerName val="0"/>
          <c:showPercent val="0"/>
          <c:showBubbleSize val="0"/>
        </c:dLbls>
        <c:marker val="1"/>
        <c:smooth val="0"/>
        <c:axId val="262177536"/>
        <c:axId val="262179072"/>
      </c:lineChart>
      <c:catAx>
        <c:axId val="26217753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179072"/>
        <c:crosses val="autoZero"/>
        <c:auto val="1"/>
        <c:lblAlgn val="ctr"/>
        <c:lblOffset val="100"/>
        <c:noMultiLvlLbl val="0"/>
      </c:catAx>
      <c:valAx>
        <c:axId val="262179072"/>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177536"/>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a:t>
            </a:r>
            <a:r>
              <a:rPr lang="en-US" sz="1200" baseline="0">
                <a:latin typeface="Times New Roman" pitchFamily="18" charset="0"/>
                <a:cs typeface="Times New Roman" pitchFamily="18" charset="0"/>
              </a:rPr>
              <a:t> </a:t>
            </a:r>
            <a:r>
              <a:rPr lang="en-US" sz="1200">
                <a:latin typeface="Times New Roman" pitchFamily="18" charset="0"/>
                <a:cs typeface="Times New Roman" pitchFamily="18" charset="0"/>
              </a:rPr>
              <a:t>e fosforit</a:t>
            </a:r>
          </a:p>
        </c:rich>
      </c:tx>
      <c:overlay val="0"/>
    </c:title>
    <c:autoTitleDeleted val="0"/>
    <c:plotArea>
      <c:layout/>
      <c:barChart>
        <c:barDir val="col"/>
        <c:grouping val="clustered"/>
        <c:varyColors val="0"/>
        <c:ser>
          <c:idx val="0"/>
          <c:order val="0"/>
          <c:tx>
            <c:strRef>
              <c:f>'Baseni Shkumbinit'!$K$36</c:f>
              <c:strCache>
                <c:ptCount val="1"/>
                <c:pt idx="0">
                  <c:v>mesatare vjetore 2025</c:v>
                </c:pt>
              </c:strCache>
            </c:strRef>
          </c:tx>
          <c:invertIfNegative val="0"/>
          <c:cat>
            <c:strRef>
              <c:f>'Baseni Shkumbinit'!$L$35:$O$35</c:f>
              <c:strCache>
                <c:ptCount val="4"/>
                <c:pt idx="0">
                  <c:v>Sh1</c:v>
                </c:pt>
                <c:pt idx="1">
                  <c:v>Sh2</c:v>
                </c:pt>
                <c:pt idx="2">
                  <c:v>Sh3</c:v>
                </c:pt>
                <c:pt idx="3">
                  <c:v>Sh4</c:v>
                </c:pt>
              </c:strCache>
            </c:strRef>
          </c:cat>
          <c:val>
            <c:numRef>
              <c:f>'Baseni Shkumbinit'!$L$36:$O$36</c:f>
              <c:numCache>
                <c:formatCode>0.000</c:formatCode>
                <c:ptCount val="4"/>
                <c:pt idx="0">
                  <c:v>6.0000000000000001E-3</c:v>
                </c:pt>
                <c:pt idx="1">
                  <c:v>3.7999999999999999E-2</c:v>
                </c:pt>
                <c:pt idx="2">
                  <c:v>1.6E-2</c:v>
                </c:pt>
                <c:pt idx="3">
                  <c:v>1.6E-2</c:v>
                </c:pt>
              </c:numCache>
            </c:numRef>
          </c:val>
          <c:extLst>
            <c:ext xmlns:c16="http://schemas.microsoft.com/office/drawing/2014/chart" uri="{C3380CC4-5D6E-409C-BE32-E72D297353CC}">
              <c16:uniqueId val="{00000000-65AB-4BED-A724-F01B4F33B044}"/>
            </c:ext>
          </c:extLst>
        </c:ser>
        <c:dLbls>
          <c:showLegendKey val="0"/>
          <c:showVal val="0"/>
          <c:showCatName val="0"/>
          <c:showSerName val="0"/>
          <c:showPercent val="0"/>
          <c:showBubbleSize val="0"/>
        </c:dLbls>
        <c:gapWidth val="150"/>
        <c:axId val="262234496"/>
        <c:axId val="262236032"/>
      </c:barChart>
      <c:lineChart>
        <c:grouping val="stacked"/>
        <c:varyColors val="0"/>
        <c:ser>
          <c:idx val="1"/>
          <c:order val="1"/>
          <c:tx>
            <c:strRef>
              <c:f>'Baseni Shkumbinit'!$K$37</c:f>
              <c:strCache>
                <c:ptCount val="1"/>
                <c:pt idx="0">
                  <c:v>Norma DKU</c:v>
                </c:pt>
              </c:strCache>
            </c:strRef>
          </c:tx>
          <c:marker>
            <c:symbol val="none"/>
          </c:marker>
          <c:cat>
            <c:strRef>
              <c:f>'Baseni Shkumbinit'!$L$35:$O$35</c:f>
              <c:strCache>
                <c:ptCount val="4"/>
                <c:pt idx="0">
                  <c:v>Sh1</c:v>
                </c:pt>
                <c:pt idx="1">
                  <c:v>Sh2</c:v>
                </c:pt>
                <c:pt idx="2">
                  <c:v>Sh3</c:v>
                </c:pt>
                <c:pt idx="3">
                  <c:v>Sh4</c:v>
                </c:pt>
              </c:strCache>
            </c:strRef>
          </c:cat>
          <c:val>
            <c:numRef>
              <c:f>'Baseni Shkumbinit'!$L$37:$O$37</c:f>
              <c:numCache>
                <c:formatCode>General</c:formatCode>
                <c:ptCount val="4"/>
                <c:pt idx="0">
                  <c:v>0.2</c:v>
                </c:pt>
                <c:pt idx="1">
                  <c:v>0.2</c:v>
                </c:pt>
                <c:pt idx="2">
                  <c:v>0.2</c:v>
                </c:pt>
                <c:pt idx="3">
                  <c:v>0.2</c:v>
                </c:pt>
              </c:numCache>
            </c:numRef>
          </c:val>
          <c:smooth val="0"/>
          <c:extLst>
            <c:ext xmlns:c16="http://schemas.microsoft.com/office/drawing/2014/chart" uri="{C3380CC4-5D6E-409C-BE32-E72D297353CC}">
              <c16:uniqueId val="{00000001-65AB-4BED-A724-F01B4F33B044}"/>
            </c:ext>
          </c:extLst>
        </c:ser>
        <c:dLbls>
          <c:showLegendKey val="0"/>
          <c:showVal val="0"/>
          <c:showCatName val="0"/>
          <c:showSerName val="0"/>
          <c:showPercent val="0"/>
          <c:showBubbleSize val="0"/>
        </c:dLbls>
        <c:marker val="1"/>
        <c:smooth val="0"/>
        <c:axId val="262234496"/>
        <c:axId val="262236032"/>
      </c:lineChart>
      <c:catAx>
        <c:axId val="26223449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236032"/>
        <c:crosses val="autoZero"/>
        <c:auto val="1"/>
        <c:lblAlgn val="ctr"/>
        <c:lblOffset val="100"/>
        <c:noMultiLvlLbl val="0"/>
      </c:catAx>
      <c:valAx>
        <c:axId val="262236032"/>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234496"/>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Përmbajtja e fosforit total</a:t>
            </a:r>
          </a:p>
        </c:rich>
      </c:tx>
      <c:overlay val="0"/>
    </c:title>
    <c:autoTitleDeleted val="0"/>
    <c:plotArea>
      <c:layout/>
      <c:barChart>
        <c:barDir val="col"/>
        <c:grouping val="clustered"/>
        <c:varyColors val="0"/>
        <c:ser>
          <c:idx val="0"/>
          <c:order val="0"/>
          <c:tx>
            <c:strRef>
              <c:f>'Baseni Shkumbinit'!$B$52</c:f>
              <c:strCache>
                <c:ptCount val="1"/>
                <c:pt idx="0">
                  <c:v>mesatare vjetore 2025</c:v>
                </c:pt>
              </c:strCache>
            </c:strRef>
          </c:tx>
          <c:invertIfNegative val="0"/>
          <c:cat>
            <c:strRef>
              <c:f>'Baseni Shkumbinit'!$C$51:$F$51</c:f>
              <c:strCache>
                <c:ptCount val="4"/>
                <c:pt idx="0">
                  <c:v>Sh1</c:v>
                </c:pt>
                <c:pt idx="1">
                  <c:v>Sh2</c:v>
                </c:pt>
                <c:pt idx="2">
                  <c:v>Sh3</c:v>
                </c:pt>
                <c:pt idx="3">
                  <c:v>Sh4</c:v>
                </c:pt>
              </c:strCache>
            </c:strRef>
          </c:cat>
          <c:val>
            <c:numRef>
              <c:f>'Baseni Shkumbinit'!$C$52:$F$52</c:f>
              <c:numCache>
                <c:formatCode>0.000</c:formatCode>
                <c:ptCount val="4"/>
                <c:pt idx="0">
                  <c:v>7.7999999999999996E-3</c:v>
                </c:pt>
                <c:pt idx="1">
                  <c:v>3.1E-2</c:v>
                </c:pt>
                <c:pt idx="2">
                  <c:v>2.3E-2</c:v>
                </c:pt>
                <c:pt idx="3">
                  <c:v>0.02</c:v>
                </c:pt>
              </c:numCache>
            </c:numRef>
          </c:val>
          <c:extLst>
            <c:ext xmlns:c16="http://schemas.microsoft.com/office/drawing/2014/chart" uri="{C3380CC4-5D6E-409C-BE32-E72D297353CC}">
              <c16:uniqueId val="{00000000-B78A-4056-9D6E-63751AC6C844}"/>
            </c:ext>
          </c:extLst>
        </c:ser>
        <c:dLbls>
          <c:showLegendKey val="0"/>
          <c:showVal val="0"/>
          <c:showCatName val="0"/>
          <c:showSerName val="0"/>
          <c:showPercent val="0"/>
          <c:showBubbleSize val="0"/>
        </c:dLbls>
        <c:gapWidth val="150"/>
        <c:axId val="262287360"/>
        <c:axId val="262288896"/>
      </c:barChart>
      <c:lineChart>
        <c:grouping val="stacked"/>
        <c:varyColors val="0"/>
        <c:ser>
          <c:idx val="1"/>
          <c:order val="1"/>
          <c:tx>
            <c:strRef>
              <c:f>'Baseni Shkumbinit'!$B$53</c:f>
              <c:strCache>
                <c:ptCount val="1"/>
                <c:pt idx="0">
                  <c:v>Norma DKU</c:v>
                </c:pt>
              </c:strCache>
            </c:strRef>
          </c:tx>
          <c:marker>
            <c:symbol val="none"/>
          </c:marker>
          <c:cat>
            <c:strRef>
              <c:f>'Baseni Shkumbinit'!$C$51:$F$51</c:f>
              <c:strCache>
                <c:ptCount val="4"/>
                <c:pt idx="0">
                  <c:v>Sh1</c:v>
                </c:pt>
                <c:pt idx="1">
                  <c:v>Sh2</c:v>
                </c:pt>
                <c:pt idx="2">
                  <c:v>Sh3</c:v>
                </c:pt>
                <c:pt idx="3">
                  <c:v>Sh4</c:v>
                </c:pt>
              </c:strCache>
            </c:strRef>
          </c:cat>
          <c:val>
            <c:numRef>
              <c:f>'Baseni Shkumbinit'!$C$53:$F$53</c:f>
              <c:numCache>
                <c:formatCode>General</c:formatCode>
                <c:ptCount val="4"/>
                <c:pt idx="0">
                  <c:v>0.4</c:v>
                </c:pt>
                <c:pt idx="1">
                  <c:v>0.4</c:v>
                </c:pt>
                <c:pt idx="2">
                  <c:v>0.4</c:v>
                </c:pt>
                <c:pt idx="3">
                  <c:v>0.4</c:v>
                </c:pt>
              </c:numCache>
            </c:numRef>
          </c:val>
          <c:smooth val="0"/>
          <c:extLst>
            <c:ext xmlns:c16="http://schemas.microsoft.com/office/drawing/2014/chart" uri="{C3380CC4-5D6E-409C-BE32-E72D297353CC}">
              <c16:uniqueId val="{00000001-B78A-4056-9D6E-63751AC6C844}"/>
            </c:ext>
          </c:extLst>
        </c:ser>
        <c:dLbls>
          <c:showLegendKey val="0"/>
          <c:showVal val="0"/>
          <c:showCatName val="0"/>
          <c:showSerName val="0"/>
          <c:showPercent val="0"/>
          <c:showBubbleSize val="0"/>
        </c:dLbls>
        <c:marker val="1"/>
        <c:smooth val="0"/>
        <c:axId val="262287360"/>
        <c:axId val="262288896"/>
      </c:lineChart>
      <c:catAx>
        <c:axId val="262287360"/>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288896"/>
        <c:crosses val="autoZero"/>
        <c:auto val="1"/>
        <c:lblAlgn val="ctr"/>
        <c:lblOffset val="100"/>
        <c:noMultiLvlLbl val="0"/>
      </c:catAx>
      <c:valAx>
        <c:axId val="262288896"/>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287360"/>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Calibri"/>
                <a:ea typeface="Calibri"/>
                <a:cs typeface="Calibri"/>
              </a:defRPr>
            </a:pPr>
            <a:r>
              <a:rPr lang="en-US" sz="1200"/>
              <a:t>Oksigjeni i tretur</a:t>
            </a:r>
          </a:p>
        </c:rich>
      </c:tx>
      <c:overlay val="0"/>
    </c:title>
    <c:autoTitleDeleted val="0"/>
    <c:plotArea>
      <c:layout/>
      <c:barChart>
        <c:barDir val="col"/>
        <c:grouping val="clustered"/>
        <c:varyColors val="0"/>
        <c:ser>
          <c:idx val="0"/>
          <c:order val="0"/>
          <c:tx>
            <c:strRef>
              <c:f>'Baseni i Vjoses'!$B$5</c:f>
              <c:strCache>
                <c:ptCount val="1"/>
                <c:pt idx="0">
                  <c:v>mesatare vjetore 2025</c:v>
                </c:pt>
              </c:strCache>
            </c:strRef>
          </c:tx>
          <c:invertIfNegative val="0"/>
          <c:cat>
            <c:strRef>
              <c:f>'Baseni i Vjoses'!$C$4:$G$4</c:f>
              <c:strCache>
                <c:ptCount val="5"/>
                <c:pt idx="0">
                  <c:v>Vj1</c:v>
                </c:pt>
                <c:pt idx="1">
                  <c:v>Vj2</c:v>
                </c:pt>
                <c:pt idx="2">
                  <c:v>Vj3</c:v>
                </c:pt>
                <c:pt idx="3">
                  <c:v>Vj4</c:v>
                </c:pt>
                <c:pt idx="4">
                  <c:v>Vj5</c:v>
                </c:pt>
              </c:strCache>
            </c:strRef>
          </c:cat>
          <c:val>
            <c:numRef>
              <c:f>'Baseni i Vjoses'!$C$5:$G$5</c:f>
              <c:numCache>
                <c:formatCode>General</c:formatCode>
                <c:ptCount val="5"/>
                <c:pt idx="0">
                  <c:v>12.23</c:v>
                </c:pt>
                <c:pt idx="1">
                  <c:v>10.7</c:v>
                </c:pt>
                <c:pt idx="2">
                  <c:v>11.6</c:v>
                </c:pt>
                <c:pt idx="3">
                  <c:v>10.53</c:v>
                </c:pt>
                <c:pt idx="4">
                  <c:v>9.6</c:v>
                </c:pt>
              </c:numCache>
            </c:numRef>
          </c:val>
          <c:extLst>
            <c:ext xmlns:c16="http://schemas.microsoft.com/office/drawing/2014/chart" uri="{C3380CC4-5D6E-409C-BE32-E72D297353CC}">
              <c16:uniqueId val="{00000000-EE63-4212-A9D4-0DB33FB020DF}"/>
            </c:ext>
          </c:extLst>
        </c:ser>
        <c:dLbls>
          <c:showLegendKey val="0"/>
          <c:showVal val="0"/>
          <c:showCatName val="0"/>
          <c:showSerName val="0"/>
          <c:showPercent val="0"/>
          <c:showBubbleSize val="0"/>
        </c:dLbls>
        <c:gapWidth val="150"/>
        <c:axId val="262311296"/>
        <c:axId val="262329472"/>
      </c:barChart>
      <c:lineChart>
        <c:grouping val="stacked"/>
        <c:varyColors val="0"/>
        <c:ser>
          <c:idx val="1"/>
          <c:order val="1"/>
          <c:tx>
            <c:strRef>
              <c:f>'Baseni i Vjoses'!$B$6</c:f>
              <c:strCache>
                <c:ptCount val="1"/>
                <c:pt idx="0">
                  <c:v>Norma DKU</c:v>
                </c:pt>
              </c:strCache>
            </c:strRef>
          </c:tx>
          <c:marker>
            <c:symbol val="none"/>
          </c:marker>
          <c:cat>
            <c:strRef>
              <c:f>'Baseni i Vjoses'!$C$4:$G$4</c:f>
              <c:strCache>
                <c:ptCount val="5"/>
                <c:pt idx="0">
                  <c:v>Vj1</c:v>
                </c:pt>
                <c:pt idx="1">
                  <c:v>Vj2</c:v>
                </c:pt>
                <c:pt idx="2">
                  <c:v>Vj3</c:v>
                </c:pt>
                <c:pt idx="3">
                  <c:v>Vj4</c:v>
                </c:pt>
                <c:pt idx="4">
                  <c:v>Vj5</c:v>
                </c:pt>
              </c:strCache>
            </c:strRef>
          </c:cat>
          <c:val>
            <c:numRef>
              <c:f>'Baseni i Vjoses'!$C$6:$G$6</c:f>
              <c:numCache>
                <c:formatCode>General</c:formatCode>
                <c:ptCount val="5"/>
                <c:pt idx="0">
                  <c:v>7</c:v>
                </c:pt>
                <c:pt idx="1">
                  <c:v>7</c:v>
                </c:pt>
                <c:pt idx="2">
                  <c:v>7</c:v>
                </c:pt>
                <c:pt idx="3">
                  <c:v>7</c:v>
                </c:pt>
                <c:pt idx="4">
                  <c:v>7</c:v>
                </c:pt>
              </c:numCache>
            </c:numRef>
          </c:val>
          <c:smooth val="0"/>
          <c:extLst>
            <c:ext xmlns:c16="http://schemas.microsoft.com/office/drawing/2014/chart" uri="{C3380CC4-5D6E-409C-BE32-E72D297353CC}">
              <c16:uniqueId val="{00000001-EE63-4212-A9D4-0DB33FB020DF}"/>
            </c:ext>
          </c:extLst>
        </c:ser>
        <c:dLbls>
          <c:showLegendKey val="0"/>
          <c:showVal val="0"/>
          <c:showCatName val="0"/>
          <c:showSerName val="0"/>
          <c:showPercent val="0"/>
          <c:showBubbleSize val="0"/>
        </c:dLbls>
        <c:marker val="1"/>
        <c:smooth val="0"/>
        <c:axId val="262311296"/>
        <c:axId val="262329472"/>
      </c:lineChart>
      <c:catAx>
        <c:axId val="26231129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329472"/>
        <c:crosses val="autoZero"/>
        <c:auto val="1"/>
        <c:lblAlgn val="ctr"/>
        <c:lblOffset val="100"/>
        <c:noMultiLvlLbl val="0"/>
      </c:catAx>
      <c:valAx>
        <c:axId val="262329472"/>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311296"/>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US" sz="1200">
                <a:latin typeface="Times New Roman" pitchFamily="18" charset="0"/>
                <a:cs typeface="Times New Roman" pitchFamily="18" charset="0"/>
              </a:rPr>
              <a:t>Nevoja Biokimike për Oksigjen</a:t>
            </a:r>
          </a:p>
        </c:rich>
      </c:tx>
      <c:layout>
        <c:manualLayout>
          <c:xMode val="edge"/>
          <c:yMode val="edge"/>
          <c:x val="0.18709011373578302"/>
          <c:y val="4.0816326530612242E-2"/>
        </c:manualLayout>
      </c:layout>
      <c:overlay val="0"/>
    </c:title>
    <c:autoTitleDeleted val="0"/>
    <c:plotArea>
      <c:layout/>
      <c:barChart>
        <c:barDir val="col"/>
        <c:grouping val="clustered"/>
        <c:varyColors val="0"/>
        <c:ser>
          <c:idx val="0"/>
          <c:order val="0"/>
          <c:tx>
            <c:strRef>
              <c:f>'Baseni i Vjoses'!$K$5</c:f>
              <c:strCache>
                <c:ptCount val="1"/>
                <c:pt idx="0">
                  <c:v>mesatare vjetore 2025</c:v>
                </c:pt>
              </c:strCache>
            </c:strRef>
          </c:tx>
          <c:invertIfNegative val="0"/>
          <c:cat>
            <c:strRef>
              <c:f>'Baseni i Vjoses'!$L$4:$P$4</c:f>
              <c:strCache>
                <c:ptCount val="5"/>
                <c:pt idx="0">
                  <c:v>Vj1</c:v>
                </c:pt>
                <c:pt idx="1">
                  <c:v>Vj2</c:v>
                </c:pt>
                <c:pt idx="2">
                  <c:v>Vj3</c:v>
                </c:pt>
                <c:pt idx="3">
                  <c:v>Vj4</c:v>
                </c:pt>
                <c:pt idx="4">
                  <c:v>Vj5</c:v>
                </c:pt>
              </c:strCache>
            </c:strRef>
          </c:cat>
          <c:val>
            <c:numRef>
              <c:f>'Baseni i Vjoses'!$L$5:$P$5</c:f>
              <c:numCache>
                <c:formatCode>General</c:formatCode>
                <c:ptCount val="5"/>
                <c:pt idx="0">
                  <c:v>1.3</c:v>
                </c:pt>
                <c:pt idx="1">
                  <c:v>1.3</c:v>
                </c:pt>
                <c:pt idx="2">
                  <c:v>1.3</c:v>
                </c:pt>
                <c:pt idx="3">
                  <c:v>2</c:v>
                </c:pt>
                <c:pt idx="4">
                  <c:v>4</c:v>
                </c:pt>
              </c:numCache>
            </c:numRef>
          </c:val>
          <c:extLst>
            <c:ext xmlns:c16="http://schemas.microsoft.com/office/drawing/2014/chart" uri="{C3380CC4-5D6E-409C-BE32-E72D297353CC}">
              <c16:uniqueId val="{00000000-E08A-4CEB-9AA8-5CE00513FCFE}"/>
            </c:ext>
          </c:extLst>
        </c:ser>
        <c:dLbls>
          <c:showLegendKey val="0"/>
          <c:showVal val="0"/>
          <c:showCatName val="0"/>
          <c:showSerName val="0"/>
          <c:showPercent val="0"/>
          <c:showBubbleSize val="0"/>
        </c:dLbls>
        <c:gapWidth val="150"/>
        <c:axId val="262757376"/>
        <c:axId val="262767360"/>
      </c:barChart>
      <c:lineChart>
        <c:grouping val="stacked"/>
        <c:varyColors val="0"/>
        <c:ser>
          <c:idx val="1"/>
          <c:order val="1"/>
          <c:tx>
            <c:strRef>
              <c:f>'Baseni i Vjoses'!$K$6</c:f>
              <c:strCache>
                <c:ptCount val="1"/>
                <c:pt idx="0">
                  <c:v>Norma DKU</c:v>
                </c:pt>
              </c:strCache>
            </c:strRef>
          </c:tx>
          <c:marker>
            <c:symbol val="none"/>
          </c:marker>
          <c:cat>
            <c:strRef>
              <c:f>'Baseni i Vjoses'!$L$4:$P$4</c:f>
              <c:strCache>
                <c:ptCount val="5"/>
                <c:pt idx="0">
                  <c:v>Vj1</c:v>
                </c:pt>
                <c:pt idx="1">
                  <c:v>Vj2</c:v>
                </c:pt>
                <c:pt idx="2">
                  <c:v>Vj3</c:v>
                </c:pt>
                <c:pt idx="3">
                  <c:v>Vj4</c:v>
                </c:pt>
                <c:pt idx="4">
                  <c:v>Vj5</c:v>
                </c:pt>
              </c:strCache>
            </c:strRef>
          </c:cat>
          <c:val>
            <c:numRef>
              <c:f>'Baseni i Vjoses'!$L$6:$P$6</c:f>
              <c:numCache>
                <c:formatCode>General</c:formatCode>
                <c:ptCount val="5"/>
                <c:pt idx="0">
                  <c:v>7</c:v>
                </c:pt>
                <c:pt idx="1">
                  <c:v>7</c:v>
                </c:pt>
                <c:pt idx="2">
                  <c:v>7</c:v>
                </c:pt>
                <c:pt idx="3">
                  <c:v>7</c:v>
                </c:pt>
                <c:pt idx="4">
                  <c:v>7</c:v>
                </c:pt>
              </c:numCache>
            </c:numRef>
          </c:val>
          <c:smooth val="0"/>
          <c:extLst>
            <c:ext xmlns:c16="http://schemas.microsoft.com/office/drawing/2014/chart" uri="{C3380CC4-5D6E-409C-BE32-E72D297353CC}">
              <c16:uniqueId val="{00000001-E08A-4CEB-9AA8-5CE00513FCFE}"/>
            </c:ext>
          </c:extLst>
        </c:ser>
        <c:dLbls>
          <c:showLegendKey val="0"/>
          <c:showVal val="0"/>
          <c:showCatName val="0"/>
          <c:showSerName val="0"/>
          <c:showPercent val="0"/>
          <c:showBubbleSize val="0"/>
        </c:dLbls>
        <c:marker val="1"/>
        <c:smooth val="0"/>
        <c:axId val="262757376"/>
        <c:axId val="262767360"/>
      </c:lineChart>
      <c:catAx>
        <c:axId val="26275737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767360"/>
        <c:crosses val="autoZero"/>
        <c:auto val="1"/>
        <c:lblAlgn val="ctr"/>
        <c:lblOffset val="100"/>
        <c:noMultiLvlLbl val="0"/>
      </c:catAx>
      <c:valAx>
        <c:axId val="262767360"/>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757376"/>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kern="1200" spc="0" baseline="0">
                <a:solidFill>
                  <a:sysClr val="windowText" lastClr="000000">
                    <a:lumMod val="65000"/>
                    <a:lumOff val="35000"/>
                  </a:sysClr>
                </a:solidFill>
                <a:latin typeface="Times New Roman" pitchFamily="18" charset="0"/>
                <a:cs typeface="Times New Roman" pitchFamily="18" charset="0"/>
              </a:rPr>
              <a:t>Berat,</a:t>
            </a:r>
            <a:r>
              <a:rPr lang="sq-AL" sz="1200" b="1" i="0" u="none" strike="noStrike" kern="1200" spc="0" baseline="0">
                <a:solidFill>
                  <a:sysClr val="windowText" lastClr="000000">
                    <a:lumMod val="65000"/>
                    <a:lumOff val="35000"/>
                  </a:sysClr>
                </a:solidFill>
                <a:latin typeface="Times New Roman" pitchFamily="18" charset="0"/>
                <a:cs typeface="Times New Roman" pitchFamily="18" charset="0"/>
              </a:rPr>
              <a:t> </a:t>
            </a:r>
            <a:r>
              <a:rPr lang="en-US" sz="1200" b="1" i="0" u="none" strike="noStrike" kern="1200" spc="0" baseline="0">
                <a:solidFill>
                  <a:sysClr val="windowText" lastClr="000000">
                    <a:lumMod val="65000"/>
                    <a:lumOff val="35000"/>
                  </a:sysClr>
                </a:solidFill>
                <a:latin typeface="Times New Roman" pitchFamily="18" charset="0"/>
                <a:cs typeface="Times New Roman" pitchFamily="18" charset="0"/>
              </a:rPr>
              <a:t>Niveli i Zhurmave 2025 LAeq/Natën </a:t>
            </a:r>
            <a:endParaRPr lang="en-US" sz="1200">
              <a:latin typeface="Times New Roman" pitchFamily="18" charset="0"/>
              <a:cs typeface="Times New Roman" pitchFamily="18" charset="0"/>
            </a:endParaRPr>
          </a:p>
        </c:rich>
      </c:tx>
      <c:overlay val="0"/>
      <c:spPr>
        <a:noFill/>
        <a:ln>
          <a:noFill/>
        </a:ln>
        <a:effectLst/>
      </c:spPr>
    </c:title>
    <c:autoTitleDeleted val="0"/>
    <c:plotArea>
      <c:layout/>
      <c:barChart>
        <c:barDir val="col"/>
        <c:grouping val="clustered"/>
        <c:varyColors val="0"/>
        <c:ser>
          <c:idx val="0"/>
          <c:order val="0"/>
          <c:tx>
            <c:strRef>
              <c:f>'Zhurmat Berat 2025'!$A$13</c:f>
              <c:strCache>
                <c:ptCount val="1"/>
                <c:pt idx="0">
                  <c:v>LAeq/Naten dB(A) </c:v>
                </c:pt>
              </c:strCache>
            </c:strRef>
          </c:tx>
          <c:spPr>
            <a:solidFill>
              <a:srgbClr val="00B050"/>
            </a:solidFill>
            <a:ln>
              <a:noFill/>
            </a:ln>
            <a:effectLst/>
          </c:spPr>
          <c:invertIfNegative val="0"/>
          <c:cat>
            <c:strRef>
              <c:f>'Zhurmat Berat 2025'!$B$12:$E$12</c:f>
              <c:strCache>
                <c:ptCount val="4"/>
                <c:pt idx="0">
                  <c:v>Kryqezimi i Spitalit</c:v>
                </c:pt>
                <c:pt idx="1">
                  <c:v>Bashkia</c:v>
                </c:pt>
                <c:pt idx="2">
                  <c:v>Terminali i Autobuzave</c:v>
                </c:pt>
                <c:pt idx="3">
                  <c:v>Kryqezimi "Shetitorja Osumi"</c:v>
                </c:pt>
              </c:strCache>
            </c:strRef>
          </c:cat>
          <c:val>
            <c:numRef>
              <c:f>'Zhurmat Berat 2025'!$B$13:$E$13</c:f>
              <c:numCache>
                <c:formatCode>General</c:formatCode>
                <c:ptCount val="4"/>
                <c:pt idx="0">
                  <c:v>49.9</c:v>
                </c:pt>
                <c:pt idx="1">
                  <c:v>49.78</c:v>
                </c:pt>
                <c:pt idx="2">
                  <c:v>50.49</c:v>
                </c:pt>
                <c:pt idx="3">
                  <c:v>47.85</c:v>
                </c:pt>
              </c:numCache>
            </c:numRef>
          </c:val>
          <c:extLst>
            <c:ext xmlns:c16="http://schemas.microsoft.com/office/drawing/2014/chart" uri="{C3380CC4-5D6E-409C-BE32-E72D297353CC}">
              <c16:uniqueId val="{00000000-1DE9-48F4-A688-93A11B5B6AE7}"/>
            </c:ext>
          </c:extLst>
        </c:ser>
        <c:dLbls>
          <c:showLegendKey val="0"/>
          <c:showVal val="0"/>
          <c:showCatName val="0"/>
          <c:showSerName val="0"/>
          <c:showPercent val="0"/>
          <c:showBubbleSize val="0"/>
        </c:dLbls>
        <c:gapWidth val="219"/>
        <c:overlap val="-27"/>
        <c:axId val="245609984"/>
        <c:axId val="245611520"/>
      </c:barChart>
      <c:lineChart>
        <c:grouping val="standard"/>
        <c:varyColors val="0"/>
        <c:ser>
          <c:idx val="1"/>
          <c:order val="1"/>
          <c:tx>
            <c:strRef>
              <c:f>'Zhurmat Berat 2025'!$A$14</c:f>
              <c:strCache>
                <c:ptCount val="1"/>
                <c:pt idx="0">
                  <c:v>Norma e OBSH </c:v>
                </c:pt>
              </c:strCache>
            </c:strRef>
          </c:tx>
          <c:spPr>
            <a:ln w="28575" cap="rnd">
              <a:solidFill>
                <a:schemeClr val="accent2"/>
              </a:solidFill>
              <a:round/>
            </a:ln>
            <a:effectLst/>
          </c:spPr>
          <c:marker>
            <c:symbol val="none"/>
          </c:marker>
          <c:cat>
            <c:strRef>
              <c:f>'Zhurmat Berat 2025'!$B$12:$E$12</c:f>
              <c:strCache>
                <c:ptCount val="4"/>
                <c:pt idx="0">
                  <c:v>Kryqezimi i Spitalit</c:v>
                </c:pt>
                <c:pt idx="1">
                  <c:v>Bashkia</c:v>
                </c:pt>
                <c:pt idx="2">
                  <c:v>Terminali i Autobuzave</c:v>
                </c:pt>
                <c:pt idx="3">
                  <c:v>Kryqezimi "Shetitorja Osumi"</c:v>
                </c:pt>
              </c:strCache>
            </c:strRef>
          </c:cat>
          <c:val>
            <c:numRef>
              <c:f>'Zhurmat Berat 2025'!$B$14:$E$14</c:f>
              <c:numCache>
                <c:formatCode>General</c:formatCode>
                <c:ptCount val="4"/>
                <c:pt idx="0">
                  <c:v>45</c:v>
                </c:pt>
                <c:pt idx="1">
                  <c:v>45</c:v>
                </c:pt>
                <c:pt idx="2">
                  <c:v>45</c:v>
                </c:pt>
                <c:pt idx="3">
                  <c:v>45</c:v>
                </c:pt>
              </c:numCache>
            </c:numRef>
          </c:val>
          <c:smooth val="0"/>
          <c:extLst>
            <c:ext xmlns:c16="http://schemas.microsoft.com/office/drawing/2014/chart" uri="{C3380CC4-5D6E-409C-BE32-E72D297353CC}">
              <c16:uniqueId val="{00000001-1DE9-48F4-A688-93A11B5B6AE7}"/>
            </c:ext>
          </c:extLst>
        </c:ser>
        <c:dLbls>
          <c:showLegendKey val="0"/>
          <c:showVal val="0"/>
          <c:showCatName val="0"/>
          <c:showSerName val="0"/>
          <c:showPercent val="0"/>
          <c:showBubbleSize val="0"/>
        </c:dLbls>
        <c:marker val="1"/>
        <c:smooth val="0"/>
        <c:axId val="245609984"/>
        <c:axId val="245611520"/>
      </c:lineChart>
      <c:catAx>
        <c:axId val="24560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611520"/>
        <c:crosses val="autoZero"/>
        <c:auto val="1"/>
        <c:lblAlgn val="ctr"/>
        <c:lblOffset val="100"/>
        <c:noMultiLvlLbl val="0"/>
      </c:catAx>
      <c:valAx>
        <c:axId val="245611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609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US" sz="1200">
                <a:latin typeface="Times New Roman" panose="02020603050405020304" pitchFamily="18" charset="0"/>
                <a:cs typeface="Times New Roman" panose="02020603050405020304" pitchFamily="18" charset="0"/>
              </a:rPr>
              <a:t>Përmbajtja e amonjakut</a:t>
            </a:r>
          </a:p>
        </c:rich>
      </c:tx>
      <c:overlay val="0"/>
    </c:title>
    <c:autoTitleDeleted val="0"/>
    <c:plotArea>
      <c:layout/>
      <c:barChart>
        <c:barDir val="col"/>
        <c:grouping val="clustered"/>
        <c:varyColors val="0"/>
        <c:ser>
          <c:idx val="0"/>
          <c:order val="0"/>
          <c:tx>
            <c:strRef>
              <c:f>'Baseni i Vjoses'!$B$21</c:f>
              <c:strCache>
                <c:ptCount val="1"/>
                <c:pt idx="0">
                  <c:v>mesatare vjetore 2025</c:v>
                </c:pt>
              </c:strCache>
            </c:strRef>
          </c:tx>
          <c:invertIfNegative val="0"/>
          <c:cat>
            <c:strRef>
              <c:f>'Baseni i Vjoses'!$C$20:$G$20</c:f>
              <c:strCache>
                <c:ptCount val="5"/>
                <c:pt idx="0">
                  <c:v>Vj1</c:v>
                </c:pt>
                <c:pt idx="1">
                  <c:v>Vj2</c:v>
                </c:pt>
                <c:pt idx="2">
                  <c:v>Vj3</c:v>
                </c:pt>
                <c:pt idx="3">
                  <c:v>Vj4</c:v>
                </c:pt>
                <c:pt idx="4">
                  <c:v>Vj5</c:v>
                </c:pt>
              </c:strCache>
            </c:strRef>
          </c:cat>
          <c:val>
            <c:numRef>
              <c:f>'Baseni i Vjoses'!$C$21:$G$21</c:f>
              <c:numCache>
                <c:formatCode>0.000</c:formatCode>
                <c:ptCount val="5"/>
                <c:pt idx="0">
                  <c:v>1.6E-2</c:v>
                </c:pt>
                <c:pt idx="1">
                  <c:v>2.7E-2</c:v>
                </c:pt>
                <c:pt idx="2">
                  <c:v>2.7E-2</c:v>
                </c:pt>
                <c:pt idx="3">
                  <c:v>3.2000000000000001E-2</c:v>
                </c:pt>
                <c:pt idx="4">
                  <c:v>7.2999999999999995E-2</c:v>
                </c:pt>
              </c:numCache>
            </c:numRef>
          </c:val>
          <c:extLst>
            <c:ext xmlns:c16="http://schemas.microsoft.com/office/drawing/2014/chart" uri="{C3380CC4-5D6E-409C-BE32-E72D297353CC}">
              <c16:uniqueId val="{00000000-6F36-47F9-B694-22D319C0BF74}"/>
            </c:ext>
          </c:extLst>
        </c:ser>
        <c:dLbls>
          <c:showLegendKey val="0"/>
          <c:showVal val="0"/>
          <c:showCatName val="0"/>
          <c:showSerName val="0"/>
          <c:showPercent val="0"/>
          <c:showBubbleSize val="0"/>
        </c:dLbls>
        <c:gapWidth val="150"/>
        <c:axId val="262937216"/>
        <c:axId val="262943104"/>
      </c:barChart>
      <c:lineChart>
        <c:grouping val="stacked"/>
        <c:varyColors val="0"/>
        <c:ser>
          <c:idx val="1"/>
          <c:order val="1"/>
          <c:tx>
            <c:strRef>
              <c:f>'Baseni i Vjoses'!$B$22</c:f>
              <c:strCache>
                <c:ptCount val="1"/>
                <c:pt idx="0">
                  <c:v>Norma DKU</c:v>
                </c:pt>
              </c:strCache>
            </c:strRef>
          </c:tx>
          <c:marker>
            <c:symbol val="none"/>
          </c:marker>
          <c:cat>
            <c:strRef>
              <c:f>'Baseni i Vjoses'!$C$20:$G$20</c:f>
              <c:strCache>
                <c:ptCount val="5"/>
                <c:pt idx="0">
                  <c:v>Vj1</c:v>
                </c:pt>
                <c:pt idx="1">
                  <c:v>Vj2</c:v>
                </c:pt>
                <c:pt idx="2">
                  <c:v>Vj3</c:v>
                </c:pt>
                <c:pt idx="3">
                  <c:v>Vj4</c:v>
                </c:pt>
                <c:pt idx="4">
                  <c:v>Vj5</c:v>
                </c:pt>
              </c:strCache>
            </c:strRef>
          </c:cat>
          <c:val>
            <c:numRef>
              <c:f>'Baseni i Vjoses'!$C$22:$G$22</c:f>
              <c:numCache>
                <c:formatCode>General</c:formatCode>
                <c:ptCount val="5"/>
                <c:pt idx="0">
                  <c:v>0.6</c:v>
                </c:pt>
                <c:pt idx="1">
                  <c:v>0.6</c:v>
                </c:pt>
                <c:pt idx="2">
                  <c:v>0.6</c:v>
                </c:pt>
                <c:pt idx="3">
                  <c:v>0.6</c:v>
                </c:pt>
                <c:pt idx="4">
                  <c:v>0.6</c:v>
                </c:pt>
              </c:numCache>
            </c:numRef>
          </c:val>
          <c:smooth val="0"/>
          <c:extLst>
            <c:ext xmlns:c16="http://schemas.microsoft.com/office/drawing/2014/chart" uri="{C3380CC4-5D6E-409C-BE32-E72D297353CC}">
              <c16:uniqueId val="{00000001-6F36-47F9-B694-22D319C0BF74}"/>
            </c:ext>
          </c:extLst>
        </c:ser>
        <c:dLbls>
          <c:showLegendKey val="0"/>
          <c:showVal val="0"/>
          <c:showCatName val="0"/>
          <c:showSerName val="0"/>
          <c:showPercent val="0"/>
          <c:showBubbleSize val="0"/>
        </c:dLbls>
        <c:marker val="1"/>
        <c:smooth val="0"/>
        <c:axId val="262937216"/>
        <c:axId val="262943104"/>
      </c:lineChart>
      <c:catAx>
        <c:axId val="26293721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943104"/>
        <c:crosses val="autoZero"/>
        <c:auto val="1"/>
        <c:lblAlgn val="ctr"/>
        <c:lblOffset val="100"/>
        <c:noMultiLvlLbl val="0"/>
      </c:catAx>
      <c:valAx>
        <c:axId val="262943104"/>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937216"/>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US" sz="1200">
                <a:latin typeface="Times New Roman" panose="02020603050405020304" pitchFamily="18" charset="0"/>
                <a:cs typeface="Times New Roman" panose="02020603050405020304" pitchFamily="18" charset="0"/>
              </a:rPr>
              <a:t>Oksigjeni i tretur</a:t>
            </a:r>
          </a:p>
        </c:rich>
      </c:tx>
      <c:overlay val="0"/>
    </c:title>
    <c:autoTitleDeleted val="0"/>
    <c:plotArea>
      <c:layout/>
      <c:barChart>
        <c:barDir val="col"/>
        <c:grouping val="clustered"/>
        <c:varyColors val="0"/>
        <c:ser>
          <c:idx val="0"/>
          <c:order val="0"/>
          <c:tx>
            <c:strRef>
              <c:f>'Baseni i Semanit'!$B$5</c:f>
              <c:strCache>
                <c:ptCount val="1"/>
                <c:pt idx="0">
                  <c:v>mesatare vjetore 2025</c:v>
                </c:pt>
              </c:strCache>
            </c:strRef>
          </c:tx>
          <c:invertIfNegative val="0"/>
          <c:cat>
            <c:strRef>
              <c:f>'Baseni i Semanit'!$C$4:$J$4</c:f>
              <c:strCache>
                <c:ptCount val="8"/>
                <c:pt idx="0">
                  <c:v>Dv0</c:v>
                </c:pt>
                <c:pt idx="1">
                  <c:v>Dv1</c:v>
                </c:pt>
                <c:pt idx="2">
                  <c:v>Os2</c:v>
                </c:pt>
                <c:pt idx="3">
                  <c:v>Os3</c:v>
                </c:pt>
                <c:pt idx="4">
                  <c:v>Os1</c:v>
                </c:pt>
                <c:pt idx="5">
                  <c:v>Gj4</c:v>
                </c:pt>
                <c:pt idx="6">
                  <c:v>Se5</c:v>
                </c:pt>
                <c:pt idx="7">
                  <c:v>Se6</c:v>
                </c:pt>
              </c:strCache>
            </c:strRef>
          </c:cat>
          <c:val>
            <c:numRef>
              <c:f>'Baseni i Semanit'!$C$5:$J$5</c:f>
              <c:numCache>
                <c:formatCode>General</c:formatCode>
                <c:ptCount val="8"/>
                <c:pt idx="0">
                  <c:v>9.6</c:v>
                </c:pt>
                <c:pt idx="1">
                  <c:v>9.4600000000000009</c:v>
                </c:pt>
                <c:pt idx="2">
                  <c:v>10.199999999999999</c:v>
                </c:pt>
                <c:pt idx="3">
                  <c:v>8.1999999999999993</c:v>
                </c:pt>
                <c:pt idx="4">
                  <c:v>10.6</c:v>
                </c:pt>
                <c:pt idx="5">
                  <c:v>8.6</c:v>
                </c:pt>
                <c:pt idx="6">
                  <c:v>9.8000000000000007</c:v>
                </c:pt>
                <c:pt idx="7">
                  <c:v>9.5</c:v>
                </c:pt>
              </c:numCache>
            </c:numRef>
          </c:val>
          <c:extLst>
            <c:ext xmlns:c16="http://schemas.microsoft.com/office/drawing/2014/chart" uri="{C3380CC4-5D6E-409C-BE32-E72D297353CC}">
              <c16:uniqueId val="{00000000-CA66-4999-A893-562339679096}"/>
            </c:ext>
          </c:extLst>
        </c:ser>
        <c:dLbls>
          <c:showLegendKey val="0"/>
          <c:showVal val="0"/>
          <c:showCatName val="0"/>
          <c:showSerName val="0"/>
          <c:showPercent val="0"/>
          <c:showBubbleSize val="0"/>
        </c:dLbls>
        <c:gapWidth val="150"/>
        <c:axId val="262965504"/>
        <c:axId val="262975488"/>
      </c:barChart>
      <c:lineChart>
        <c:grouping val="stacked"/>
        <c:varyColors val="0"/>
        <c:ser>
          <c:idx val="1"/>
          <c:order val="1"/>
          <c:tx>
            <c:strRef>
              <c:f>'Baseni i Semanit'!$B$6</c:f>
              <c:strCache>
                <c:ptCount val="1"/>
                <c:pt idx="0">
                  <c:v>Norma DKU</c:v>
                </c:pt>
              </c:strCache>
            </c:strRef>
          </c:tx>
          <c:marker>
            <c:symbol val="none"/>
          </c:marker>
          <c:cat>
            <c:strRef>
              <c:f>'Baseni i Semanit'!$C$4:$J$4</c:f>
              <c:strCache>
                <c:ptCount val="8"/>
                <c:pt idx="0">
                  <c:v>Dv0</c:v>
                </c:pt>
                <c:pt idx="1">
                  <c:v>Dv1</c:v>
                </c:pt>
                <c:pt idx="2">
                  <c:v>Os2</c:v>
                </c:pt>
                <c:pt idx="3">
                  <c:v>Os3</c:v>
                </c:pt>
                <c:pt idx="4">
                  <c:v>Os1</c:v>
                </c:pt>
                <c:pt idx="5">
                  <c:v>Gj4</c:v>
                </c:pt>
                <c:pt idx="6">
                  <c:v>Se5</c:v>
                </c:pt>
                <c:pt idx="7">
                  <c:v>Se6</c:v>
                </c:pt>
              </c:strCache>
            </c:strRef>
          </c:cat>
          <c:val>
            <c:numRef>
              <c:f>'Baseni i Semanit'!$C$6:$J$6</c:f>
              <c:numCache>
                <c:formatCode>General</c:formatCode>
                <c:ptCount val="8"/>
                <c:pt idx="0">
                  <c:v>7</c:v>
                </c:pt>
                <c:pt idx="1">
                  <c:v>7</c:v>
                </c:pt>
                <c:pt idx="2">
                  <c:v>7</c:v>
                </c:pt>
                <c:pt idx="3">
                  <c:v>7</c:v>
                </c:pt>
                <c:pt idx="4">
                  <c:v>7</c:v>
                </c:pt>
                <c:pt idx="5">
                  <c:v>7</c:v>
                </c:pt>
                <c:pt idx="6">
                  <c:v>7</c:v>
                </c:pt>
                <c:pt idx="7">
                  <c:v>7</c:v>
                </c:pt>
              </c:numCache>
            </c:numRef>
          </c:val>
          <c:smooth val="0"/>
          <c:extLst>
            <c:ext xmlns:c16="http://schemas.microsoft.com/office/drawing/2014/chart" uri="{C3380CC4-5D6E-409C-BE32-E72D297353CC}">
              <c16:uniqueId val="{00000001-CA66-4999-A893-562339679096}"/>
            </c:ext>
          </c:extLst>
        </c:ser>
        <c:dLbls>
          <c:showLegendKey val="0"/>
          <c:showVal val="0"/>
          <c:showCatName val="0"/>
          <c:showSerName val="0"/>
          <c:showPercent val="0"/>
          <c:showBubbleSize val="0"/>
        </c:dLbls>
        <c:marker val="1"/>
        <c:smooth val="0"/>
        <c:axId val="262965504"/>
        <c:axId val="262975488"/>
      </c:lineChart>
      <c:catAx>
        <c:axId val="262965504"/>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975488"/>
        <c:crosses val="autoZero"/>
        <c:auto val="1"/>
        <c:lblAlgn val="ctr"/>
        <c:lblOffset val="100"/>
        <c:noMultiLvlLbl val="0"/>
      </c:catAx>
      <c:valAx>
        <c:axId val="262975488"/>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2965504"/>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US" sz="1200">
                <a:latin typeface="Times New Roman" panose="02020603050405020304" pitchFamily="18" charset="0"/>
                <a:cs typeface="Times New Roman" panose="02020603050405020304" pitchFamily="18" charset="0"/>
              </a:rPr>
              <a:t>Nevoja Biokimike për Oksigjen</a:t>
            </a:r>
          </a:p>
        </c:rich>
      </c:tx>
      <c:layout>
        <c:manualLayout>
          <c:xMode val="edge"/>
          <c:yMode val="edge"/>
          <c:x val="0.22890551682951676"/>
          <c:y val="6.8728522336769765E-2"/>
        </c:manualLayout>
      </c:layout>
      <c:overlay val="0"/>
    </c:title>
    <c:autoTitleDeleted val="0"/>
    <c:plotArea>
      <c:layout/>
      <c:barChart>
        <c:barDir val="col"/>
        <c:grouping val="clustered"/>
        <c:varyColors val="0"/>
        <c:ser>
          <c:idx val="0"/>
          <c:order val="0"/>
          <c:tx>
            <c:strRef>
              <c:f>'Baseni i Semanit'!$M$5</c:f>
              <c:strCache>
                <c:ptCount val="1"/>
                <c:pt idx="0">
                  <c:v>mesatare vjetore 2025</c:v>
                </c:pt>
              </c:strCache>
            </c:strRef>
          </c:tx>
          <c:invertIfNegative val="0"/>
          <c:cat>
            <c:strRef>
              <c:f>'Baseni i Semanit'!$N$4:$U$4</c:f>
              <c:strCache>
                <c:ptCount val="8"/>
                <c:pt idx="0">
                  <c:v>Dv0</c:v>
                </c:pt>
                <c:pt idx="1">
                  <c:v>Dv1</c:v>
                </c:pt>
                <c:pt idx="2">
                  <c:v>Os2</c:v>
                </c:pt>
                <c:pt idx="3">
                  <c:v>Os3</c:v>
                </c:pt>
                <c:pt idx="4">
                  <c:v>Os1</c:v>
                </c:pt>
                <c:pt idx="5">
                  <c:v>Gj4</c:v>
                </c:pt>
                <c:pt idx="6">
                  <c:v>Se5</c:v>
                </c:pt>
                <c:pt idx="7">
                  <c:v>Se6</c:v>
                </c:pt>
              </c:strCache>
            </c:strRef>
          </c:cat>
          <c:val>
            <c:numRef>
              <c:f>'Baseni i Semanit'!$N$5:$U$5</c:f>
              <c:numCache>
                <c:formatCode>General</c:formatCode>
                <c:ptCount val="8"/>
                <c:pt idx="0">
                  <c:v>3</c:v>
                </c:pt>
                <c:pt idx="1">
                  <c:v>4.5999999999999996</c:v>
                </c:pt>
                <c:pt idx="2">
                  <c:v>4.5999999999999996</c:v>
                </c:pt>
                <c:pt idx="3">
                  <c:v>4.5999999999999996</c:v>
                </c:pt>
                <c:pt idx="4">
                  <c:v>4</c:v>
                </c:pt>
                <c:pt idx="5">
                  <c:v>9.6</c:v>
                </c:pt>
                <c:pt idx="6">
                  <c:v>3.3</c:v>
                </c:pt>
                <c:pt idx="7">
                  <c:v>3</c:v>
                </c:pt>
              </c:numCache>
            </c:numRef>
          </c:val>
          <c:extLst>
            <c:ext xmlns:c16="http://schemas.microsoft.com/office/drawing/2014/chart" uri="{C3380CC4-5D6E-409C-BE32-E72D297353CC}">
              <c16:uniqueId val="{00000000-6B85-4A08-BD1B-3F314B62978E}"/>
            </c:ext>
          </c:extLst>
        </c:ser>
        <c:dLbls>
          <c:showLegendKey val="0"/>
          <c:showVal val="0"/>
          <c:showCatName val="0"/>
          <c:showSerName val="0"/>
          <c:showPercent val="0"/>
          <c:showBubbleSize val="0"/>
        </c:dLbls>
        <c:gapWidth val="150"/>
        <c:axId val="267786112"/>
        <c:axId val="267787648"/>
      </c:barChart>
      <c:lineChart>
        <c:grouping val="stacked"/>
        <c:varyColors val="0"/>
        <c:ser>
          <c:idx val="1"/>
          <c:order val="1"/>
          <c:tx>
            <c:strRef>
              <c:f>'Baseni i Semanit'!$M$6</c:f>
              <c:strCache>
                <c:ptCount val="1"/>
                <c:pt idx="0">
                  <c:v>Norma DKU</c:v>
                </c:pt>
              </c:strCache>
            </c:strRef>
          </c:tx>
          <c:marker>
            <c:symbol val="none"/>
          </c:marker>
          <c:cat>
            <c:strRef>
              <c:f>'Baseni i Semanit'!$N$4:$U$4</c:f>
              <c:strCache>
                <c:ptCount val="8"/>
                <c:pt idx="0">
                  <c:v>Dv0</c:v>
                </c:pt>
                <c:pt idx="1">
                  <c:v>Dv1</c:v>
                </c:pt>
                <c:pt idx="2">
                  <c:v>Os2</c:v>
                </c:pt>
                <c:pt idx="3">
                  <c:v>Os3</c:v>
                </c:pt>
                <c:pt idx="4">
                  <c:v>Os1</c:v>
                </c:pt>
                <c:pt idx="5">
                  <c:v>Gj4</c:v>
                </c:pt>
                <c:pt idx="6">
                  <c:v>Se5</c:v>
                </c:pt>
                <c:pt idx="7">
                  <c:v>Se6</c:v>
                </c:pt>
              </c:strCache>
            </c:strRef>
          </c:cat>
          <c:val>
            <c:numRef>
              <c:f>'Baseni i Semanit'!$N$6:$U$6</c:f>
              <c:numCache>
                <c:formatCode>General</c:formatCode>
                <c:ptCount val="8"/>
                <c:pt idx="0">
                  <c:v>7</c:v>
                </c:pt>
                <c:pt idx="1">
                  <c:v>7</c:v>
                </c:pt>
                <c:pt idx="2">
                  <c:v>7</c:v>
                </c:pt>
                <c:pt idx="3">
                  <c:v>7</c:v>
                </c:pt>
                <c:pt idx="4">
                  <c:v>7</c:v>
                </c:pt>
                <c:pt idx="5">
                  <c:v>7</c:v>
                </c:pt>
                <c:pt idx="6">
                  <c:v>7</c:v>
                </c:pt>
                <c:pt idx="7">
                  <c:v>7</c:v>
                </c:pt>
              </c:numCache>
            </c:numRef>
          </c:val>
          <c:smooth val="0"/>
          <c:extLst>
            <c:ext xmlns:c16="http://schemas.microsoft.com/office/drawing/2014/chart" uri="{C3380CC4-5D6E-409C-BE32-E72D297353CC}">
              <c16:uniqueId val="{00000001-6B85-4A08-BD1B-3F314B62978E}"/>
            </c:ext>
          </c:extLst>
        </c:ser>
        <c:dLbls>
          <c:showLegendKey val="0"/>
          <c:showVal val="0"/>
          <c:showCatName val="0"/>
          <c:showSerName val="0"/>
          <c:showPercent val="0"/>
          <c:showBubbleSize val="0"/>
        </c:dLbls>
        <c:marker val="1"/>
        <c:smooth val="0"/>
        <c:axId val="267786112"/>
        <c:axId val="267787648"/>
      </c:lineChart>
      <c:catAx>
        <c:axId val="267786112"/>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7787648"/>
        <c:crosses val="autoZero"/>
        <c:auto val="1"/>
        <c:lblAlgn val="ctr"/>
        <c:lblOffset val="100"/>
        <c:noMultiLvlLbl val="0"/>
      </c:catAx>
      <c:valAx>
        <c:axId val="267787648"/>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7786112"/>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sz="1200">
                <a:latin typeface="Times New Roman" panose="02020603050405020304" pitchFamily="18" charset="0"/>
                <a:cs typeface="Times New Roman" panose="02020603050405020304" pitchFamily="18" charset="0"/>
              </a:rPr>
              <a:t>Përmbajtja e amonjakut</a:t>
            </a:r>
          </a:p>
        </c:rich>
      </c:tx>
      <c:layout>
        <c:manualLayout>
          <c:xMode val="edge"/>
          <c:yMode val="edge"/>
          <c:x val="0.30770457963217229"/>
          <c:y val="5.3571428571428568E-2"/>
        </c:manualLayout>
      </c:layout>
      <c:overlay val="0"/>
    </c:title>
    <c:autoTitleDeleted val="0"/>
    <c:plotArea>
      <c:layout>
        <c:manualLayout>
          <c:layoutTarget val="inner"/>
          <c:xMode val="edge"/>
          <c:yMode val="edge"/>
          <c:x val="9.1532304013599727E-2"/>
          <c:y val="0.2191539534120735"/>
          <c:w val="0.61979544371900119"/>
          <c:h val="0.50155933633295835"/>
        </c:manualLayout>
      </c:layout>
      <c:barChart>
        <c:barDir val="col"/>
        <c:grouping val="clustered"/>
        <c:varyColors val="0"/>
        <c:ser>
          <c:idx val="0"/>
          <c:order val="0"/>
          <c:tx>
            <c:strRef>
              <c:f>'Baseni i Semanit'!$B$20</c:f>
              <c:strCache>
                <c:ptCount val="1"/>
                <c:pt idx="0">
                  <c:v>mesatare vjetore 2025</c:v>
                </c:pt>
              </c:strCache>
            </c:strRef>
          </c:tx>
          <c:invertIfNegative val="0"/>
          <c:cat>
            <c:strRef>
              <c:f>'Baseni i Semanit'!$C$19:$J$19</c:f>
              <c:strCache>
                <c:ptCount val="8"/>
                <c:pt idx="0">
                  <c:v>Dv0</c:v>
                </c:pt>
                <c:pt idx="1">
                  <c:v>Dv1</c:v>
                </c:pt>
                <c:pt idx="2">
                  <c:v>Os2</c:v>
                </c:pt>
                <c:pt idx="3">
                  <c:v>Os3</c:v>
                </c:pt>
                <c:pt idx="4">
                  <c:v>Os1</c:v>
                </c:pt>
                <c:pt idx="5">
                  <c:v>Gj4</c:v>
                </c:pt>
                <c:pt idx="6">
                  <c:v>Se5</c:v>
                </c:pt>
                <c:pt idx="7">
                  <c:v>Se6</c:v>
                </c:pt>
              </c:strCache>
            </c:strRef>
          </c:cat>
          <c:val>
            <c:numRef>
              <c:f>'Baseni i Semanit'!$C$20:$J$20</c:f>
              <c:numCache>
                <c:formatCode>0.000</c:formatCode>
                <c:ptCount val="8"/>
                <c:pt idx="0">
                  <c:v>0.1</c:v>
                </c:pt>
                <c:pt idx="1">
                  <c:v>0.04</c:v>
                </c:pt>
                <c:pt idx="2">
                  <c:v>2.5999999999999999E-2</c:v>
                </c:pt>
                <c:pt idx="3">
                  <c:v>9.9000000000000005E-2</c:v>
                </c:pt>
                <c:pt idx="4">
                  <c:v>2.4E-2</c:v>
                </c:pt>
                <c:pt idx="5">
                  <c:v>1.69</c:v>
                </c:pt>
                <c:pt idx="6">
                  <c:v>5.2999999999999999E-2</c:v>
                </c:pt>
                <c:pt idx="7">
                  <c:v>3.9E-2</c:v>
                </c:pt>
              </c:numCache>
            </c:numRef>
          </c:val>
          <c:extLst>
            <c:ext xmlns:c16="http://schemas.microsoft.com/office/drawing/2014/chart" uri="{C3380CC4-5D6E-409C-BE32-E72D297353CC}">
              <c16:uniqueId val="{00000000-EFC6-42BB-8096-115B04DA8DC9}"/>
            </c:ext>
          </c:extLst>
        </c:ser>
        <c:dLbls>
          <c:showLegendKey val="0"/>
          <c:showVal val="0"/>
          <c:showCatName val="0"/>
          <c:showSerName val="0"/>
          <c:showPercent val="0"/>
          <c:showBubbleSize val="0"/>
        </c:dLbls>
        <c:gapWidth val="150"/>
        <c:axId val="267990528"/>
        <c:axId val="267992064"/>
      </c:barChart>
      <c:lineChart>
        <c:grouping val="stacked"/>
        <c:varyColors val="0"/>
        <c:ser>
          <c:idx val="1"/>
          <c:order val="1"/>
          <c:tx>
            <c:strRef>
              <c:f>'Baseni i Semanit'!$B$21</c:f>
              <c:strCache>
                <c:ptCount val="1"/>
                <c:pt idx="0">
                  <c:v>Norma DKU</c:v>
                </c:pt>
              </c:strCache>
            </c:strRef>
          </c:tx>
          <c:marker>
            <c:symbol val="none"/>
          </c:marker>
          <c:cat>
            <c:strRef>
              <c:f>'Baseni i Semanit'!$C$19:$J$19</c:f>
              <c:strCache>
                <c:ptCount val="8"/>
                <c:pt idx="0">
                  <c:v>Dv0</c:v>
                </c:pt>
                <c:pt idx="1">
                  <c:v>Dv1</c:v>
                </c:pt>
                <c:pt idx="2">
                  <c:v>Os2</c:v>
                </c:pt>
                <c:pt idx="3">
                  <c:v>Os3</c:v>
                </c:pt>
                <c:pt idx="4">
                  <c:v>Os1</c:v>
                </c:pt>
                <c:pt idx="5">
                  <c:v>Gj4</c:v>
                </c:pt>
                <c:pt idx="6">
                  <c:v>Se5</c:v>
                </c:pt>
                <c:pt idx="7">
                  <c:v>Se6</c:v>
                </c:pt>
              </c:strCache>
            </c:strRef>
          </c:cat>
          <c:val>
            <c:numRef>
              <c:f>'Baseni i Semanit'!$C$21:$J$21</c:f>
              <c:numCache>
                <c:formatCode>General</c:formatCode>
                <c:ptCount val="8"/>
                <c:pt idx="0">
                  <c:v>0.6</c:v>
                </c:pt>
                <c:pt idx="1">
                  <c:v>0.6</c:v>
                </c:pt>
                <c:pt idx="2">
                  <c:v>0.6</c:v>
                </c:pt>
                <c:pt idx="3">
                  <c:v>0.6</c:v>
                </c:pt>
                <c:pt idx="4">
                  <c:v>0.6</c:v>
                </c:pt>
                <c:pt idx="5">
                  <c:v>0.6</c:v>
                </c:pt>
                <c:pt idx="6">
                  <c:v>0.6</c:v>
                </c:pt>
                <c:pt idx="7">
                  <c:v>0.6</c:v>
                </c:pt>
              </c:numCache>
            </c:numRef>
          </c:val>
          <c:smooth val="0"/>
          <c:extLst>
            <c:ext xmlns:c16="http://schemas.microsoft.com/office/drawing/2014/chart" uri="{C3380CC4-5D6E-409C-BE32-E72D297353CC}">
              <c16:uniqueId val="{00000001-EFC6-42BB-8096-115B04DA8DC9}"/>
            </c:ext>
          </c:extLst>
        </c:ser>
        <c:dLbls>
          <c:showLegendKey val="0"/>
          <c:showVal val="0"/>
          <c:showCatName val="0"/>
          <c:showSerName val="0"/>
          <c:showPercent val="0"/>
          <c:showBubbleSize val="0"/>
        </c:dLbls>
        <c:marker val="1"/>
        <c:smooth val="0"/>
        <c:axId val="267990528"/>
        <c:axId val="267992064"/>
      </c:lineChart>
      <c:catAx>
        <c:axId val="26799052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7992064"/>
        <c:crosses val="autoZero"/>
        <c:auto val="1"/>
        <c:lblAlgn val="ctr"/>
        <c:lblOffset val="100"/>
        <c:noMultiLvlLbl val="0"/>
      </c:catAx>
      <c:valAx>
        <c:axId val="267992064"/>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7990528"/>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US" sz="1200">
                <a:latin typeface="Times New Roman" panose="02020603050405020304" pitchFamily="18" charset="0"/>
                <a:cs typeface="Times New Roman" panose="02020603050405020304" pitchFamily="18" charset="0"/>
              </a:rPr>
              <a:t>Përmbajtja e nitriteve</a:t>
            </a:r>
          </a:p>
        </c:rich>
      </c:tx>
      <c:layout>
        <c:manualLayout>
          <c:xMode val="edge"/>
          <c:yMode val="edge"/>
          <c:x val="0.28903551613010398"/>
          <c:y val="3.8834951456310676E-2"/>
        </c:manualLayout>
      </c:layout>
      <c:overlay val="0"/>
    </c:title>
    <c:autoTitleDeleted val="0"/>
    <c:plotArea>
      <c:layout/>
      <c:barChart>
        <c:barDir val="col"/>
        <c:grouping val="clustered"/>
        <c:varyColors val="0"/>
        <c:ser>
          <c:idx val="0"/>
          <c:order val="0"/>
          <c:tx>
            <c:strRef>
              <c:f>'Baseni i Semanit'!$M$20</c:f>
              <c:strCache>
                <c:ptCount val="1"/>
                <c:pt idx="0">
                  <c:v>mesatare vjetore 2025</c:v>
                </c:pt>
              </c:strCache>
            </c:strRef>
          </c:tx>
          <c:invertIfNegative val="0"/>
          <c:cat>
            <c:strRef>
              <c:f>'Baseni i Semanit'!$N$19:$U$19</c:f>
              <c:strCache>
                <c:ptCount val="8"/>
                <c:pt idx="0">
                  <c:v>Dv0</c:v>
                </c:pt>
                <c:pt idx="1">
                  <c:v>Dv1</c:v>
                </c:pt>
                <c:pt idx="2">
                  <c:v>Os2</c:v>
                </c:pt>
                <c:pt idx="3">
                  <c:v>Os3</c:v>
                </c:pt>
                <c:pt idx="4">
                  <c:v>Os1</c:v>
                </c:pt>
                <c:pt idx="5">
                  <c:v>Gj4</c:v>
                </c:pt>
                <c:pt idx="6">
                  <c:v>Se5</c:v>
                </c:pt>
                <c:pt idx="7">
                  <c:v>Se6</c:v>
                </c:pt>
              </c:strCache>
            </c:strRef>
          </c:cat>
          <c:val>
            <c:numRef>
              <c:f>'Baseni i Semanit'!$N$20:$U$20</c:f>
              <c:numCache>
                <c:formatCode>0.000</c:formatCode>
                <c:ptCount val="8"/>
                <c:pt idx="0">
                  <c:v>3.5999999999999999E-3</c:v>
                </c:pt>
                <c:pt idx="1">
                  <c:v>3.8999999999999998E-3</c:v>
                </c:pt>
                <c:pt idx="2">
                  <c:v>6.3E-3</c:v>
                </c:pt>
                <c:pt idx="3">
                  <c:v>9.4000000000000004E-3</c:v>
                </c:pt>
                <c:pt idx="4">
                  <c:v>1.1999999999999999E-3</c:v>
                </c:pt>
                <c:pt idx="5">
                  <c:v>7.3000000000000001E-3</c:v>
                </c:pt>
                <c:pt idx="6" formatCode="0.0000">
                  <c:v>2.3E-3</c:v>
                </c:pt>
                <c:pt idx="7" formatCode="0.0000">
                  <c:v>3.3E-3</c:v>
                </c:pt>
              </c:numCache>
            </c:numRef>
          </c:val>
          <c:extLst>
            <c:ext xmlns:c16="http://schemas.microsoft.com/office/drawing/2014/chart" uri="{C3380CC4-5D6E-409C-BE32-E72D297353CC}">
              <c16:uniqueId val="{00000000-5E51-41A0-9BF1-2F49206C4FB6}"/>
            </c:ext>
          </c:extLst>
        </c:ser>
        <c:dLbls>
          <c:showLegendKey val="0"/>
          <c:showVal val="0"/>
          <c:showCatName val="0"/>
          <c:showSerName val="0"/>
          <c:showPercent val="0"/>
          <c:showBubbleSize val="0"/>
        </c:dLbls>
        <c:gapWidth val="150"/>
        <c:axId val="268022912"/>
        <c:axId val="268024448"/>
      </c:barChart>
      <c:lineChart>
        <c:grouping val="stacked"/>
        <c:varyColors val="0"/>
        <c:ser>
          <c:idx val="1"/>
          <c:order val="1"/>
          <c:tx>
            <c:strRef>
              <c:f>'Baseni i Semanit'!$M$21</c:f>
              <c:strCache>
                <c:ptCount val="1"/>
                <c:pt idx="0">
                  <c:v>Norma DKU</c:v>
                </c:pt>
              </c:strCache>
            </c:strRef>
          </c:tx>
          <c:marker>
            <c:symbol val="none"/>
          </c:marker>
          <c:cat>
            <c:strRef>
              <c:f>'Baseni i Semanit'!$N$19:$U$19</c:f>
              <c:strCache>
                <c:ptCount val="8"/>
                <c:pt idx="0">
                  <c:v>Dv0</c:v>
                </c:pt>
                <c:pt idx="1">
                  <c:v>Dv1</c:v>
                </c:pt>
                <c:pt idx="2">
                  <c:v>Os2</c:v>
                </c:pt>
                <c:pt idx="3">
                  <c:v>Os3</c:v>
                </c:pt>
                <c:pt idx="4">
                  <c:v>Os1</c:v>
                </c:pt>
                <c:pt idx="5">
                  <c:v>Gj4</c:v>
                </c:pt>
                <c:pt idx="6">
                  <c:v>Se5</c:v>
                </c:pt>
                <c:pt idx="7">
                  <c:v>Se6</c:v>
                </c:pt>
              </c:strCache>
            </c:strRef>
          </c:cat>
          <c:val>
            <c:numRef>
              <c:f>'Baseni i Semanit'!$N$21:$U$21</c:f>
              <c:numCache>
                <c:formatCode>General</c:formatCode>
                <c:ptCount val="8"/>
                <c:pt idx="0">
                  <c:v>0.12</c:v>
                </c:pt>
                <c:pt idx="1">
                  <c:v>0.12</c:v>
                </c:pt>
                <c:pt idx="2">
                  <c:v>0.12</c:v>
                </c:pt>
                <c:pt idx="3">
                  <c:v>0.12</c:v>
                </c:pt>
                <c:pt idx="4">
                  <c:v>0.12</c:v>
                </c:pt>
                <c:pt idx="5">
                  <c:v>0.12</c:v>
                </c:pt>
                <c:pt idx="6">
                  <c:v>0.12</c:v>
                </c:pt>
                <c:pt idx="7">
                  <c:v>0.12</c:v>
                </c:pt>
              </c:numCache>
            </c:numRef>
          </c:val>
          <c:smooth val="0"/>
          <c:extLst>
            <c:ext xmlns:c16="http://schemas.microsoft.com/office/drawing/2014/chart" uri="{C3380CC4-5D6E-409C-BE32-E72D297353CC}">
              <c16:uniqueId val="{00000001-5E51-41A0-9BF1-2F49206C4FB6}"/>
            </c:ext>
          </c:extLst>
        </c:ser>
        <c:dLbls>
          <c:showLegendKey val="0"/>
          <c:showVal val="0"/>
          <c:showCatName val="0"/>
          <c:showSerName val="0"/>
          <c:showPercent val="0"/>
          <c:showBubbleSize val="0"/>
        </c:dLbls>
        <c:marker val="1"/>
        <c:smooth val="0"/>
        <c:axId val="268022912"/>
        <c:axId val="268024448"/>
      </c:lineChart>
      <c:catAx>
        <c:axId val="268022912"/>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8024448"/>
        <c:crosses val="autoZero"/>
        <c:auto val="1"/>
        <c:lblAlgn val="ctr"/>
        <c:lblOffset val="100"/>
        <c:noMultiLvlLbl val="0"/>
      </c:catAx>
      <c:valAx>
        <c:axId val="268024448"/>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8022912"/>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US" sz="1200">
                <a:latin typeface="Times New Roman" panose="02020603050405020304" pitchFamily="18" charset="0"/>
                <a:cs typeface="Times New Roman" panose="02020603050405020304" pitchFamily="18" charset="0"/>
              </a:rPr>
              <a:t>Përmbajtja e nitrateve</a:t>
            </a:r>
          </a:p>
        </c:rich>
      </c:tx>
      <c:overlay val="0"/>
    </c:title>
    <c:autoTitleDeleted val="0"/>
    <c:plotArea>
      <c:layout/>
      <c:barChart>
        <c:barDir val="col"/>
        <c:grouping val="clustered"/>
        <c:varyColors val="0"/>
        <c:ser>
          <c:idx val="0"/>
          <c:order val="0"/>
          <c:tx>
            <c:strRef>
              <c:f>'Baseni i Semanit'!$B$36</c:f>
              <c:strCache>
                <c:ptCount val="1"/>
                <c:pt idx="0">
                  <c:v>mesatare vjetore 2025</c:v>
                </c:pt>
              </c:strCache>
            </c:strRef>
          </c:tx>
          <c:invertIfNegative val="0"/>
          <c:cat>
            <c:strRef>
              <c:f>'Baseni i Semanit'!$C$35:$J$35</c:f>
              <c:strCache>
                <c:ptCount val="8"/>
                <c:pt idx="0">
                  <c:v>Dv0</c:v>
                </c:pt>
                <c:pt idx="1">
                  <c:v>Dv1</c:v>
                </c:pt>
                <c:pt idx="2">
                  <c:v>Os2</c:v>
                </c:pt>
                <c:pt idx="3">
                  <c:v>Os3</c:v>
                </c:pt>
                <c:pt idx="4">
                  <c:v>Os1</c:v>
                </c:pt>
                <c:pt idx="5">
                  <c:v>Gj4</c:v>
                </c:pt>
                <c:pt idx="6">
                  <c:v>Se5</c:v>
                </c:pt>
                <c:pt idx="7">
                  <c:v>Se6</c:v>
                </c:pt>
              </c:strCache>
            </c:strRef>
          </c:cat>
          <c:val>
            <c:numRef>
              <c:f>'Baseni i Semanit'!$C$36:$J$36</c:f>
              <c:numCache>
                <c:formatCode>0.000</c:formatCode>
                <c:ptCount val="8"/>
                <c:pt idx="0">
                  <c:v>0.49</c:v>
                </c:pt>
                <c:pt idx="1">
                  <c:v>1.1599999999999999</c:v>
                </c:pt>
                <c:pt idx="2">
                  <c:v>0.35</c:v>
                </c:pt>
                <c:pt idx="3">
                  <c:v>0.4</c:v>
                </c:pt>
                <c:pt idx="4">
                  <c:v>0.36</c:v>
                </c:pt>
                <c:pt idx="5">
                  <c:v>0.98</c:v>
                </c:pt>
                <c:pt idx="6">
                  <c:v>0.57999999999999996</c:v>
                </c:pt>
                <c:pt idx="7">
                  <c:v>0.57999999999999996</c:v>
                </c:pt>
              </c:numCache>
            </c:numRef>
          </c:val>
          <c:extLst>
            <c:ext xmlns:c16="http://schemas.microsoft.com/office/drawing/2014/chart" uri="{C3380CC4-5D6E-409C-BE32-E72D297353CC}">
              <c16:uniqueId val="{00000000-6647-42B3-891D-67789BF9B45B}"/>
            </c:ext>
          </c:extLst>
        </c:ser>
        <c:dLbls>
          <c:showLegendKey val="0"/>
          <c:showVal val="0"/>
          <c:showCatName val="0"/>
          <c:showSerName val="0"/>
          <c:showPercent val="0"/>
          <c:showBubbleSize val="0"/>
        </c:dLbls>
        <c:gapWidth val="150"/>
        <c:axId val="270426880"/>
        <c:axId val="270428416"/>
      </c:barChart>
      <c:lineChart>
        <c:grouping val="stacked"/>
        <c:varyColors val="0"/>
        <c:ser>
          <c:idx val="1"/>
          <c:order val="1"/>
          <c:tx>
            <c:strRef>
              <c:f>'Baseni i Semanit'!$B$37</c:f>
              <c:strCache>
                <c:ptCount val="1"/>
                <c:pt idx="0">
                  <c:v>Norma DKU</c:v>
                </c:pt>
              </c:strCache>
            </c:strRef>
          </c:tx>
          <c:marker>
            <c:symbol val="none"/>
          </c:marker>
          <c:cat>
            <c:strRef>
              <c:f>'Baseni i Semanit'!$C$35:$J$35</c:f>
              <c:strCache>
                <c:ptCount val="8"/>
                <c:pt idx="0">
                  <c:v>Dv0</c:v>
                </c:pt>
                <c:pt idx="1">
                  <c:v>Dv1</c:v>
                </c:pt>
                <c:pt idx="2">
                  <c:v>Os2</c:v>
                </c:pt>
                <c:pt idx="3">
                  <c:v>Os3</c:v>
                </c:pt>
                <c:pt idx="4">
                  <c:v>Os1</c:v>
                </c:pt>
                <c:pt idx="5">
                  <c:v>Gj4</c:v>
                </c:pt>
                <c:pt idx="6">
                  <c:v>Se5</c:v>
                </c:pt>
                <c:pt idx="7">
                  <c:v>Se6</c:v>
                </c:pt>
              </c:strCache>
            </c:strRef>
          </c:cat>
          <c:val>
            <c:numRef>
              <c:f>'Baseni i Semanit'!$C$37:$J$37</c:f>
              <c:numCache>
                <c:formatCode>General</c:formatCode>
                <c:ptCount val="8"/>
                <c:pt idx="0">
                  <c:v>4</c:v>
                </c:pt>
                <c:pt idx="1">
                  <c:v>4</c:v>
                </c:pt>
                <c:pt idx="2">
                  <c:v>4</c:v>
                </c:pt>
                <c:pt idx="3">
                  <c:v>4</c:v>
                </c:pt>
                <c:pt idx="4">
                  <c:v>4</c:v>
                </c:pt>
                <c:pt idx="5">
                  <c:v>4</c:v>
                </c:pt>
                <c:pt idx="6">
                  <c:v>4</c:v>
                </c:pt>
                <c:pt idx="7">
                  <c:v>4</c:v>
                </c:pt>
              </c:numCache>
            </c:numRef>
          </c:val>
          <c:smooth val="0"/>
          <c:extLst>
            <c:ext xmlns:c16="http://schemas.microsoft.com/office/drawing/2014/chart" uri="{C3380CC4-5D6E-409C-BE32-E72D297353CC}">
              <c16:uniqueId val="{00000001-6647-42B3-891D-67789BF9B45B}"/>
            </c:ext>
          </c:extLst>
        </c:ser>
        <c:dLbls>
          <c:showLegendKey val="0"/>
          <c:showVal val="0"/>
          <c:showCatName val="0"/>
          <c:showSerName val="0"/>
          <c:showPercent val="0"/>
          <c:showBubbleSize val="0"/>
        </c:dLbls>
        <c:marker val="1"/>
        <c:smooth val="0"/>
        <c:axId val="270426880"/>
        <c:axId val="270428416"/>
      </c:lineChart>
      <c:catAx>
        <c:axId val="270426880"/>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70428416"/>
        <c:crosses val="autoZero"/>
        <c:auto val="1"/>
        <c:lblAlgn val="ctr"/>
        <c:lblOffset val="100"/>
        <c:noMultiLvlLbl val="0"/>
      </c:catAx>
      <c:valAx>
        <c:axId val="270428416"/>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70426880"/>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US" sz="1200">
                <a:latin typeface="Times New Roman" panose="02020603050405020304" pitchFamily="18" charset="0"/>
                <a:cs typeface="Times New Roman" panose="02020603050405020304" pitchFamily="18" charset="0"/>
              </a:rPr>
              <a:t>Përmbajtja  e fosforit</a:t>
            </a:r>
          </a:p>
        </c:rich>
      </c:tx>
      <c:overlay val="0"/>
    </c:title>
    <c:autoTitleDeleted val="0"/>
    <c:plotArea>
      <c:layout/>
      <c:barChart>
        <c:barDir val="col"/>
        <c:grouping val="clustered"/>
        <c:varyColors val="0"/>
        <c:ser>
          <c:idx val="0"/>
          <c:order val="0"/>
          <c:tx>
            <c:strRef>
              <c:f>'Baseni i Semanit'!$M$36</c:f>
              <c:strCache>
                <c:ptCount val="1"/>
                <c:pt idx="0">
                  <c:v>mesatare vjetore 2025</c:v>
                </c:pt>
              </c:strCache>
            </c:strRef>
          </c:tx>
          <c:invertIfNegative val="0"/>
          <c:cat>
            <c:strRef>
              <c:f>'Baseni i Semanit'!$N$35:$U$35</c:f>
              <c:strCache>
                <c:ptCount val="8"/>
                <c:pt idx="0">
                  <c:v>Dv0</c:v>
                </c:pt>
                <c:pt idx="1">
                  <c:v>Dv1</c:v>
                </c:pt>
                <c:pt idx="2">
                  <c:v>Os2</c:v>
                </c:pt>
                <c:pt idx="3">
                  <c:v>Os3</c:v>
                </c:pt>
                <c:pt idx="4">
                  <c:v>Os1</c:v>
                </c:pt>
                <c:pt idx="5">
                  <c:v>Gj4</c:v>
                </c:pt>
                <c:pt idx="6">
                  <c:v>Se5</c:v>
                </c:pt>
                <c:pt idx="7">
                  <c:v>Se6</c:v>
                </c:pt>
              </c:strCache>
            </c:strRef>
          </c:cat>
          <c:val>
            <c:numRef>
              <c:f>'Baseni i Semanit'!$N$36:$U$36</c:f>
              <c:numCache>
                <c:formatCode>0.000</c:formatCode>
                <c:ptCount val="8"/>
                <c:pt idx="0">
                  <c:v>3.2000000000000001E-2</c:v>
                </c:pt>
                <c:pt idx="1">
                  <c:v>0.03</c:v>
                </c:pt>
                <c:pt idx="2" formatCode="0.0000">
                  <c:v>3.2000000000000002E-3</c:v>
                </c:pt>
                <c:pt idx="3" formatCode="0.0000">
                  <c:v>7.1000000000000004E-3</c:v>
                </c:pt>
                <c:pt idx="4" formatCode="0.0000">
                  <c:v>3.5000000000000001E-3</c:v>
                </c:pt>
                <c:pt idx="5">
                  <c:v>0.219</c:v>
                </c:pt>
                <c:pt idx="6">
                  <c:v>8.0000000000000002E-3</c:v>
                </c:pt>
                <c:pt idx="7" formatCode="0.0000">
                  <c:v>1.4999999999999999E-2</c:v>
                </c:pt>
              </c:numCache>
            </c:numRef>
          </c:val>
          <c:extLst>
            <c:ext xmlns:c16="http://schemas.microsoft.com/office/drawing/2014/chart" uri="{C3380CC4-5D6E-409C-BE32-E72D297353CC}">
              <c16:uniqueId val="{00000000-5114-41C5-826D-B83832D25D07}"/>
            </c:ext>
          </c:extLst>
        </c:ser>
        <c:dLbls>
          <c:showLegendKey val="0"/>
          <c:showVal val="0"/>
          <c:showCatName val="0"/>
          <c:showSerName val="0"/>
          <c:showPercent val="0"/>
          <c:showBubbleSize val="0"/>
        </c:dLbls>
        <c:gapWidth val="150"/>
        <c:axId val="318255488"/>
        <c:axId val="318257024"/>
      </c:barChart>
      <c:lineChart>
        <c:grouping val="stacked"/>
        <c:varyColors val="0"/>
        <c:ser>
          <c:idx val="1"/>
          <c:order val="1"/>
          <c:tx>
            <c:strRef>
              <c:f>'Baseni i Semanit'!$M$37</c:f>
              <c:strCache>
                <c:ptCount val="1"/>
                <c:pt idx="0">
                  <c:v>Norma DKU</c:v>
                </c:pt>
              </c:strCache>
            </c:strRef>
          </c:tx>
          <c:marker>
            <c:symbol val="none"/>
          </c:marker>
          <c:cat>
            <c:strRef>
              <c:f>'Baseni i Semanit'!$N$35:$U$35</c:f>
              <c:strCache>
                <c:ptCount val="8"/>
                <c:pt idx="0">
                  <c:v>Dv0</c:v>
                </c:pt>
                <c:pt idx="1">
                  <c:v>Dv1</c:v>
                </c:pt>
                <c:pt idx="2">
                  <c:v>Os2</c:v>
                </c:pt>
                <c:pt idx="3">
                  <c:v>Os3</c:v>
                </c:pt>
                <c:pt idx="4">
                  <c:v>Os1</c:v>
                </c:pt>
                <c:pt idx="5">
                  <c:v>Gj4</c:v>
                </c:pt>
                <c:pt idx="6">
                  <c:v>Se5</c:v>
                </c:pt>
                <c:pt idx="7">
                  <c:v>Se6</c:v>
                </c:pt>
              </c:strCache>
            </c:strRef>
          </c:cat>
          <c:val>
            <c:numRef>
              <c:f>'Baseni i Semanit'!$N$37:$U$37</c:f>
              <c:numCache>
                <c:formatCode>General</c:formatCode>
                <c:ptCount val="8"/>
                <c:pt idx="0">
                  <c:v>0.2</c:v>
                </c:pt>
                <c:pt idx="1">
                  <c:v>0.2</c:v>
                </c:pt>
                <c:pt idx="2">
                  <c:v>0.2</c:v>
                </c:pt>
                <c:pt idx="3">
                  <c:v>0.2</c:v>
                </c:pt>
                <c:pt idx="4">
                  <c:v>0.2</c:v>
                </c:pt>
                <c:pt idx="5">
                  <c:v>0.2</c:v>
                </c:pt>
                <c:pt idx="6">
                  <c:v>0.2</c:v>
                </c:pt>
                <c:pt idx="7">
                  <c:v>0.2</c:v>
                </c:pt>
              </c:numCache>
            </c:numRef>
          </c:val>
          <c:smooth val="0"/>
          <c:extLst>
            <c:ext xmlns:c16="http://schemas.microsoft.com/office/drawing/2014/chart" uri="{C3380CC4-5D6E-409C-BE32-E72D297353CC}">
              <c16:uniqueId val="{00000001-5114-41C5-826D-B83832D25D07}"/>
            </c:ext>
          </c:extLst>
        </c:ser>
        <c:dLbls>
          <c:showLegendKey val="0"/>
          <c:showVal val="0"/>
          <c:showCatName val="0"/>
          <c:showSerName val="0"/>
          <c:showPercent val="0"/>
          <c:showBubbleSize val="0"/>
        </c:dLbls>
        <c:marker val="1"/>
        <c:smooth val="0"/>
        <c:axId val="318255488"/>
        <c:axId val="318257024"/>
      </c:lineChart>
      <c:catAx>
        <c:axId val="31825548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8257024"/>
        <c:crosses val="autoZero"/>
        <c:auto val="1"/>
        <c:lblAlgn val="ctr"/>
        <c:lblOffset val="100"/>
        <c:noMultiLvlLbl val="0"/>
      </c:catAx>
      <c:valAx>
        <c:axId val="318257024"/>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8255488"/>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US" sz="1200">
                <a:latin typeface="Times New Roman" panose="02020603050405020304" pitchFamily="18" charset="0"/>
                <a:cs typeface="Times New Roman" panose="02020603050405020304" pitchFamily="18" charset="0"/>
              </a:rPr>
              <a:t>Përmbajtja e fosforit total</a:t>
            </a:r>
          </a:p>
        </c:rich>
      </c:tx>
      <c:overlay val="0"/>
    </c:title>
    <c:autoTitleDeleted val="0"/>
    <c:plotArea>
      <c:layout/>
      <c:barChart>
        <c:barDir val="col"/>
        <c:grouping val="clustered"/>
        <c:varyColors val="0"/>
        <c:ser>
          <c:idx val="0"/>
          <c:order val="0"/>
          <c:tx>
            <c:strRef>
              <c:f>'Baseni i Semanit'!$B$50</c:f>
              <c:strCache>
                <c:ptCount val="1"/>
                <c:pt idx="0">
                  <c:v>mesatare vjetore 2025</c:v>
                </c:pt>
              </c:strCache>
            </c:strRef>
          </c:tx>
          <c:invertIfNegative val="0"/>
          <c:cat>
            <c:strRef>
              <c:f>'Baseni i Semanit'!$C$49:$J$49</c:f>
              <c:strCache>
                <c:ptCount val="8"/>
                <c:pt idx="0">
                  <c:v>Dv0</c:v>
                </c:pt>
                <c:pt idx="1">
                  <c:v>Dv1</c:v>
                </c:pt>
                <c:pt idx="2">
                  <c:v>Os2</c:v>
                </c:pt>
                <c:pt idx="3">
                  <c:v>Os3</c:v>
                </c:pt>
                <c:pt idx="4">
                  <c:v>Os1</c:v>
                </c:pt>
                <c:pt idx="5">
                  <c:v>Gj4</c:v>
                </c:pt>
                <c:pt idx="6">
                  <c:v>Se5</c:v>
                </c:pt>
                <c:pt idx="7">
                  <c:v>Se6</c:v>
                </c:pt>
              </c:strCache>
            </c:strRef>
          </c:cat>
          <c:val>
            <c:numRef>
              <c:f>'Baseni i Semanit'!$C$50:$J$50</c:f>
              <c:numCache>
                <c:formatCode>0.000</c:formatCode>
                <c:ptCount val="8"/>
                <c:pt idx="0">
                  <c:v>3.6999999999999998E-2</c:v>
                </c:pt>
                <c:pt idx="1">
                  <c:v>3.4000000000000002E-2</c:v>
                </c:pt>
                <c:pt idx="2">
                  <c:v>6.0000000000000001E-3</c:v>
                </c:pt>
                <c:pt idx="3">
                  <c:v>1.4E-2</c:v>
                </c:pt>
                <c:pt idx="4">
                  <c:v>6.0000000000000001E-3</c:v>
                </c:pt>
                <c:pt idx="5">
                  <c:v>0.30199999999999999</c:v>
                </c:pt>
                <c:pt idx="6">
                  <c:v>1.4E-2</c:v>
                </c:pt>
                <c:pt idx="7">
                  <c:v>1.7999999999999999E-2</c:v>
                </c:pt>
              </c:numCache>
            </c:numRef>
          </c:val>
          <c:extLst>
            <c:ext xmlns:c16="http://schemas.microsoft.com/office/drawing/2014/chart" uri="{C3380CC4-5D6E-409C-BE32-E72D297353CC}">
              <c16:uniqueId val="{00000000-DA03-4EB6-BDD4-5D3DFD5B06E9}"/>
            </c:ext>
          </c:extLst>
        </c:ser>
        <c:dLbls>
          <c:showLegendKey val="0"/>
          <c:showVal val="0"/>
          <c:showCatName val="0"/>
          <c:showSerName val="0"/>
          <c:showPercent val="0"/>
          <c:showBubbleSize val="0"/>
        </c:dLbls>
        <c:gapWidth val="150"/>
        <c:axId val="318291968"/>
        <c:axId val="318293504"/>
      </c:barChart>
      <c:lineChart>
        <c:grouping val="stacked"/>
        <c:varyColors val="0"/>
        <c:ser>
          <c:idx val="1"/>
          <c:order val="1"/>
          <c:tx>
            <c:strRef>
              <c:f>'Baseni i Semanit'!$B$51</c:f>
              <c:strCache>
                <c:ptCount val="1"/>
                <c:pt idx="0">
                  <c:v>Norma DKU</c:v>
                </c:pt>
              </c:strCache>
            </c:strRef>
          </c:tx>
          <c:marker>
            <c:symbol val="none"/>
          </c:marker>
          <c:cat>
            <c:strRef>
              <c:f>'Baseni i Semanit'!$C$49:$J$49</c:f>
              <c:strCache>
                <c:ptCount val="8"/>
                <c:pt idx="0">
                  <c:v>Dv0</c:v>
                </c:pt>
                <c:pt idx="1">
                  <c:v>Dv1</c:v>
                </c:pt>
                <c:pt idx="2">
                  <c:v>Os2</c:v>
                </c:pt>
                <c:pt idx="3">
                  <c:v>Os3</c:v>
                </c:pt>
                <c:pt idx="4">
                  <c:v>Os1</c:v>
                </c:pt>
                <c:pt idx="5">
                  <c:v>Gj4</c:v>
                </c:pt>
                <c:pt idx="6">
                  <c:v>Se5</c:v>
                </c:pt>
                <c:pt idx="7">
                  <c:v>Se6</c:v>
                </c:pt>
              </c:strCache>
            </c:strRef>
          </c:cat>
          <c:val>
            <c:numRef>
              <c:f>'Baseni i Semanit'!$C$51:$J$51</c:f>
              <c:numCache>
                <c:formatCode>General</c:formatCode>
                <c:ptCount val="8"/>
                <c:pt idx="0">
                  <c:v>0.4</c:v>
                </c:pt>
                <c:pt idx="1">
                  <c:v>0.4</c:v>
                </c:pt>
                <c:pt idx="2">
                  <c:v>0.4</c:v>
                </c:pt>
                <c:pt idx="3">
                  <c:v>0.4</c:v>
                </c:pt>
                <c:pt idx="4">
                  <c:v>0.4</c:v>
                </c:pt>
                <c:pt idx="5">
                  <c:v>0.4</c:v>
                </c:pt>
                <c:pt idx="6">
                  <c:v>0.4</c:v>
                </c:pt>
                <c:pt idx="7">
                  <c:v>0.4</c:v>
                </c:pt>
              </c:numCache>
            </c:numRef>
          </c:val>
          <c:smooth val="0"/>
          <c:extLst>
            <c:ext xmlns:c16="http://schemas.microsoft.com/office/drawing/2014/chart" uri="{C3380CC4-5D6E-409C-BE32-E72D297353CC}">
              <c16:uniqueId val="{00000001-DA03-4EB6-BDD4-5D3DFD5B06E9}"/>
            </c:ext>
          </c:extLst>
        </c:ser>
        <c:dLbls>
          <c:showLegendKey val="0"/>
          <c:showVal val="0"/>
          <c:showCatName val="0"/>
          <c:showSerName val="0"/>
          <c:showPercent val="0"/>
          <c:showBubbleSize val="0"/>
        </c:dLbls>
        <c:marker val="1"/>
        <c:smooth val="0"/>
        <c:axId val="318291968"/>
        <c:axId val="318293504"/>
      </c:lineChart>
      <c:catAx>
        <c:axId val="31829196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8293504"/>
        <c:crosses val="autoZero"/>
        <c:auto val="1"/>
        <c:lblAlgn val="ctr"/>
        <c:lblOffset val="100"/>
        <c:noMultiLvlLbl val="0"/>
      </c:catAx>
      <c:valAx>
        <c:axId val="318293504"/>
        <c:scaling>
          <c:orientation val="minMax"/>
        </c:scaling>
        <c:delete val="0"/>
        <c:axPos val="l"/>
        <c:majorGridlines/>
        <c:numFmt formatCode="0.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8291968"/>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Murriqan, lumi Bunë</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Sheet1!$C$12</c:f>
              <c:strCache>
                <c:ptCount val="1"/>
                <c:pt idx="0">
                  <c:v>Murriqan, Bunë</c:v>
                </c:pt>
              </c:strCache>
            </c:strRef>
          </c:tx>
          <c:invertIfNegative val="0"/>
          <c:cat>
            <c:numRef>
              <c:f>Sheet1!$F$4:$L$4</c:f>
              <c:numCache>
                <c:formatCode>General</c:formatCode>
                <c:ptCount val="7"/>
                <c:pt idx="0">
                  <c:v>2016</c:v>
                </c:pt>
                <c:pt idx="1">
                  <c:v>2018</c:v>
                </c:pt>
                <c:pt idx="2">
                  <c:v>2019</c:v>
                </c:pt>
                <c:pt idx="3">
                  <c:v>2022</c:v>
                </c:pt>
                <c:pt idx="4">
                  <c:v>2023</c:v>
                </c:pt>
                <c:pt idx="5">
                  <c:v>2024</c:v>
                </c:pt>
                <c:pt idx="6">
                  <c:v>2025</c:v>
                </c:pt>
              </c:numCache>
            </c:numRef>
          </c:cat>
          <c:val>
            <c:numRef>
              <c:f>Sheet1!$F$12:$L$12</c:f>
              <c:numCache>
                <c:formatCode>General</c:formatCode>
                <c:ptCount val="7"/>
                <c:pt idx="0">
                  <c:v>777</c:v>
                </c:pt>
                <c:pt idx="1">
                  <c:v>1049.3</c:v>
                </c:pt>
                <c:pt idx="2">
                  <c:v>441.3</c:v>
                </c:pt>
                <c:pt idx="3">
                  <c:v>368.96999999999969</c:v>
                </c:pt>
                <c:pt idx="4">
                  <c:v>321.47999999999894</c:v>
                </c:pt>
                <c:pt idx="5">
                  <c:v>436.77</c:v>
                </c:pt>
                <c:pt idx="6">
                  <c:v>435.33</c:v>
                </c:pt>
              </c:numCache>
            </c:numRef>
          </c:val>
          <c:extLst>
            <c:ext xmlns:c16="http://schemas.microsoft.com/office/drawing/2014/chart" uri="{C3380CC4-5D6E-409C-BE32-E72D297353CC}">
              <c16:uniqueId val="{00000000-74F6-43D9-98D3-3E9D5D9A4742}"/>
            </c:ext>
          </c:extLst>
        </c:ser>
        <c:dLbls>
          <c:showLegendKey val="0"/>
          <c:showVal val="0"/>
          <c:showCatName val="0"/>
          <c:showSerName val="0"/>
          <c:showPercent val="0"/>
          <c:showBubbleSize val="0"/>
        </c:dLbls>
        <c:gapWidth val="150"/>
        <c:shape val="cylinder"/>
        <c:axId val="319300736"/>
        <c:axId val="319302272"/>
        <c:axId val="0"/>
      </c:bar3DChart>
      <c:catAx>
        <c:axId val="319300736"/>
        <c:scaling>
          <c:orientation val="minMax"/>
        </c:scaling>
        <c:delete val="0"/>
        <c:axPos val="b"/>
        <c:numFmt formatCode="General" sourceLinked="1"/>
        <c:majorTickMark val="out"/>
        <c:minorTickMark val="none"/>
        <c:tickLblPos val="nextTo"/>
        <c:txPr>
          <a:bodyPr/>
          <a:lstStyle/>
          <a:p>
            <a:pPr>
              <a:defRPr sz="1000" b="1"/>
            </a:pPr>
            <a:endParaRPr lang="en-US"/>
          </a:p>
        </c:txPr>
        <c:crossAx val="319302272"/>
        <c:crosses val="autoZero"/>
        <c:auto val="1"/>
        <c:lblAlgn val="ctr"/>
        <c:lblOffset val="100"/>
        <c:noMultiLvlLbl val="0"/>
      </c:catAx>
      <c:valAx>
        <c:axId val="319302272"/>
        <c:scaling>
          <c:orientation val="minMax"/>
        </c:scaling>
        <c:delete val="0"/>
        <c:axPos val="l"/>
        <c:majorGridlines/>
        <c:numFmt formatCode="General" sourceLinked="1"/>
        <c:majorTickMark val="out"/>
        <c:minorTickMark val="none"/>
        <c:tickLblPos val="nextTo"/>
        <c:txPr>
          <a:bodyPr/>
          <a:lstStyle/>
          <a:p>
            <a:pPr>
              <a:defRPr sz="1200" b="1"/>
            </a:pPr>
            <a:endParaRPr lang="en-US"/>
          </a:p>
        </c:txPr>
        <c:crossAx val="319300736"/>
        <c:crosses val="autoZero"/>
        <c:crossBetween val="between"/>
      </c:valAx>
    </c:plotArea>
    <c:plotVisOnly val="1"/>
    <c:dispBlanksAs val="gap"/>
    <c:showDLblsOverMax val="0"/>
  </c:chart>
  <c:spPr>
    <a:ln w="19050">
      <a:solidFill>
        <a:schemeClr val="tx1"/>
      </a:solidFill>
    </a:ln>
  </c:spPr>
  <c:externalData r:id="rId2">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b="1" i="0" u="none" strike="noStrike" baseline="0">
                <a:latin typeface="Times New Roman" pitchFamily="18" charset="0"/>
                <a:cs typeface="Times New Roman" pitchFamily="18" charset="0"/>
              </a:rPr>
              <a:t>Transparenca</a:t>
            </a:r>
            <a:endParaRPr lang="en-US" sz="12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Transparenca!$B$6</c:f>
              <c:strCache>
                <c:ptCount val="1"/>
                <c:pt idx="0">
                  <c:v>mesatare vjetore 2025</c:v>
                </c:pt>
              </c:strCache>
            </c:strRef>
          </c:tx>
          <c:invertIfNegative val="0"/>
          <c:cat>
            <c:strRef>
              <c:f>Transparenca!$C$5:$E$5</c:f>
              <c:strCache>
                <c:ptCount val="3"/>
                <c:pt idx="0">
                  <c:v>Shiroke</c:v>
                </c:pt>
                <c:pt idx="1">
                  <c:v>Koplik</c:v>
                </c:pt>
                <c:pt idx="2">
                  <c:v>Zogaj</c:v>
                </c:pt>
              </c:strCache>
            </c:strRef>
          </c:cat>
          <c:val>
            <c:numRef>
              <c:f>Transparenca!$C$6:$E$6</c:f>
              <c:numCache>
                <c:formatCode>General</c:formatCode>
                <c:ptCount val="3"/>
                <c:pt idx="0">
                  <c:v>1.1000000000000001</c:v>
                </c:pt>
                <c:pt idx="1">
                  <c:v>1.22</c:v>
                </c:pt>
                <c:pt idx="2">
                  <c:v>1.5</c:v>
                </c:pt>
              </c:numCache>
            </c:numRef>
          </c:val>
          <c:extLst>
            <c:ext xmlns:c16="http://schemas.microsoft.com/office/drawing/2014/chart" uri="{C3380CC4-5D6E-409C-BE32-E72D297353CC}">
              <c16:uniqueId val="{00000000-C0A5-4A57-848A-7CF4B347FF1E}"/>
            </c:ext>
          </c:extLst>
        </c:ser>
        <c:dLbls>
          <c:showLegendKey val="0"/>
          <c:showVal val="0"/>
          <c:showCatName val="0"/>
          <c:showSerName val="0"/>
          <c:showPercent val="0"/>
          <c:showBubbleSize val="0"/>
        </c:dLbls>
        <c:gapWidth val="150"/>
        <c:axId val="319910656"/>
        <c:axId val="319912192"/>
      </c:barChart>
      <c:lineChart>
        <c:grouping val="stacked"/>
        <c:varyColors val="0"/>
        <c:ser>
          <c:idx val="1"/>
          <c:order val="1"/>
          <c:tx>
            <c:strRef>
              <c:f>Transparenca!$B$7</c:f>
              <c:strCache>
                <c:ptCount val="1"/>
                <c:pt idx="0">
                  <c:v>mezotrofik</c:v>
                </c:pt>
              </c:strCache>
            </c:strRef>
          </c:tx>
          <c:marker>
            <c:symbol val="none"/>
          </c:marker>
          <c:cat>
            <c:strRef>
              <c:f>Transparenca!$C$5:$E$5</c:f>
              <c:strCache>
                <c:ptCount val="3"/>
                <c:pt idx="0">
                  <c:v>Shiroke</c:v>
                </c:pt>
                <c:pt idx="1">
                  <c:v>Koplik</c:v>
                </c:pt>
                <c:pt idx="2">
                  <c:v>Zogaj</c:v>
                </c:pt>
              </c:strCache>
            </c:strRef>
          </c:cat>
          <c:val>
            <c:numRef>
              <c:f>Transparenca!$C$7:$E$7</c:f>
              <c:numCache>
                <c:formatCode>General</c:formatCode>
                <c:ptCount val="3"/>
                <c:pt idx="0">
                  <c:v>2</c:v>
                </c:pt>
                <c:pt idx="1">
                  <c:v>2</c:v>
                </c:pt>
                <c:pt idx="2">
                  <c:v>2</c:v>
                </c:pt>
              </c:numCache>
            </c:numRef>
          </c:val>
          <c:smooth val="0"/>
          <c:extLst>
            <c:ext xmlns:c16="http://schemas.microsoft.com/office/drawing/2014/chart" uri="{C3380CC4-5D6E-409C-BE32-E72D297353CC}">
              <c16:uniqueId val="{00000001-C0A5-4A57-848A-7CF4B347FF1E}"/>
            </c:ext>
          </c:extLst>
        </c:ser>
        <c:dLbls>
          <c:showLegendKey val="0"/>
          <c:showVal val="0"/>
          <c:showCatName val="0"/>
          <c:showSerName val="0"/>
          <c:showPercent val="0"/>
          <c:showBubbleSize val="0"/>
        </c:dLbls>
        <c:marker val="1"/>
        <c:smooth val="0"/>
        <c:axId val="319910656"/>
        <c:axId val="319912192"/>
      </c:lineChart>
      <c:catAx>
        <c:axId val="319910656"/>
        <c:scaling>
          <c:orientation val="minMax"/>
        </c:scaling>
        <c:delete val="0"/>
        <c:axPos val="b"/>
        <c:numFmt formatCode="General" sourceLinked="0"/>
        <c:majorTickMark val="none"/>
        <c:minorTickMark val="none"/>
        <c:tickLblPos val="nextTo"/>
        <c:crossAx val="319912192"/>
        <c:crosses val="autoZero"/>
        <c:auto val="1"/>
        <c:lblAlgn val="ctr"/>
        <c:lblOffset val="100"/>
        <c:noMultiLvlLbl val="0"/>
      </c:catAx>
      <c:valAx>
        <c:axId val="319912192"/>
        <c:scaling>
          <c:orientation val="minMax"/>
        </c:scaling>
        <c:delete val="0"/>
        <c:axPos val="l"/>
        <c:majorGridlines/>
        <c:numFmt formatCode="General" sourceLinked="1"/>
        <c:majorTickMark val="none"/>
        <c:minorTickMark val="none"/>
        <c:tickLblPos val="nextTo"/>
        <c:crossAx val="319910656"/>
        <c:crosses val="autoZero"/>
        <c:crossBetween val="between"/>
      </c:valAx>
    </c:plotArea>
    <c:legend>
      <c:legendPos val="b"/>
      <c:overlay val="0"/>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itchFamily="18" charset="0"/>
                <a:cs typeface="Times New Roman" pitchFamily="18" charset="0"/>
              </a:rPr>
              <a:t>Shkodër,</a:t>
            </a:r>
            <a:r>
              <a:rPr lang="sq-AL" sz="1200" b="1">
                <a:latin typeface="Times New Roman" pitchFamily="18" charset="0"/>
                <a:cs typeface="Times New Roman" pitchFamily="18" charset="0"/>
              </a:rPr>
              <a:t> </a:t>
            </a:r>
            <a:r>
              <a:rPr lang="en-US" sz="1200" b="1">
                <a:latin typeface="Times New Roman" pitchFamily="18" charset="0"/>
                <a:cs typeface="Times New Roman" pitchFamily="18" charset="0"/>
              </a:rPr>
              <a:t>Niveli</a:t>
            </a:r>
            <a:r>
              <a:rPr lang="en-US" sz="1200" b="1" baseline="0">
                <a:latin typeface="Times New Roman" pitchFamily="18" charset="0"/>
                <a:cs typeface="Times New Roman" pitchFamily="18" charset="0"/>
              </a:rPr>
              <a:t> i Zhurmave 2025 LAeq/Ditën dB(A</a:t>
            </a:r>
            <a:r>
              <a:rPr lang="en-US" b="1" baseline="0"/>
              <a:t>) </a:t>
            </a:r>
            <a:endParaRPr lang="en-US" b="1"/>
          </a:p>
        </c:rich>
      </c:tx>
      <c:overlay val="0"/>
      <c:spPr>
        <a:noFill/>
        <a:ln>
          <a:noFill/>
        </a:ln>
        <a:effectLst/>
      </c:spPr>
    </c:title>
    <c:autoTitleDeleted val="0"/>
    <c:plotArea>
      <c:layout/>
      <c:barChart>
        <c:barDir val="col"/>
        <c:grouping val="clustered"/>
        <c:varyColors val="0"/>
        <c:ser>
          <c:idx val="0"/>
          <c:order val="0"/>
          <c:tx>
            <c:strRef>
              <c:f>'Zhurmat Shkoder 2025'!$A$6</c:f>
              <c:strCache>
                <c:ptCount val="1"/>
                <c:pt idx="0">
                  <c:v> LAeq/Diten dB(A) </c:v>
                </c:pt>
              </c:strCache>
            </c:strRef>
          </c:tx>
          <c:spPr>
            <a:solidFill>
              <a:srgbClr val="00B050"/>
            </a:solidFill>
            <a:ln>
              <a:noFill/>
            </a:ln>
            <a:effectLst/>
          </c:spPr>
          <c:invertIfNegative val="0"/>
          <c:cat>
            <c:strRef>
              <c:f>'Zhurmat Shkoder 2025'!$B$5:$C$5</c:f>
              <c:strCache>
                <c:ptCount val="2"/>
                <c:pt idx="0">
                  <c:v>Rozafa</c:v>
                </c:pt>
                <c:pt idx="1">
                  <c:v>Hyrja e Qytetit </c:v>
                </c:pt>
              </c:strCache>
            </c:strRef>
          </c:cat>
          <c:val>
            <c:numRef>
              <c:f>'Zhurmat Shkoder 2025'!$B$6:$C$6</c:f>
              <c:numCache>
                <c:formatCode>General</c:formatCode>
                <c:ptCount val="2"/>
                <c:pt idx="0">
                  <c:v>55.95</c:v>
                </c:pt>
                <c:pt idx="1">
                  <c:v>58.78</c:v>
                </c:pt>
              </c:numCache>
            </c:numRef>
          </c:val>
          <c:extLst>
            <c:ext xmlns:c16="http://schemas.microsoft.com/office/drawing/2014/chart" uri="{C3380CC4-5D6E-409C-BE32-E72D297353CC}">
              <c16:uniqueId val="{00000000-986F-4478-9F58-B95B7AFD3505}"/>
            </c:ext>
          </c:extLst>
        </c:ser>
        <c:dLbls>
          <c:showLegendKey val="0"/>
          <c:showVal val="0"/>
          <c:showCatName val="0"/>
          <c:showSerName val="0"/>
          <c:showPercent val="0"/>
          <c:showBubbleSize val="0"/>
        </c:dLbls>
        <c:gapWidth val="219"/>
        <c:overlap val="-27"/>
        <c:axId val="245707904"/>
        <c:axId val="245709440"/>
      </c:barChart>
      <c:lineChart>
        <c:grouping val="standard"/>
        <c:varyColors val="0"/>
        <c:ser>
          <c:idx val="1"/>
          <c:order val="1"/>
          <c:tx>
            <c:strRef>
              <c:f>'Zhurmat Shkoder 2025'!$A$7</c:f>
              <c:strCache>
                <c:ptCount val="1"/>
                <c:pt idx="0">
                  <c:v>Norma e OBSH </c:v>
                </c:pt>
              </c:strCache>
            </c:strRef>
          </c:tx>
          <c:spPr>
            <a:ln w="28575" cap="rnd">
              <a:solidFill>
                <a:schemeClr val="accent2"/>
              </a:solidFill>
              <a:round/>
            </a:ln>
            <a:effectLst/>
          </c:spPr>
          <c:marker>
            <c:symbol val="none"/>
          </c:marker>
          <c:cat>
            <c:strRef>
              <c:f>'Zhurmat Shkoder 2025'!$B$5:$C$5</c:f>
              <c:strCache>
                <c:ptCount val="2"/>
                <c:pt idx="0">
                  <c:v>Rozafa</c:v>
                </c:pt>
                <c:pt idx="1">
                  <c:v>Hyrja e Qytetit </c:v>
                </c:pt>
              </c:strCache>
            </c:strRef>
          </c:cat>
          <c:val>
            <c:numRef>
              <c:f>'Zhurmat Shkoder 2025'!$B$7:$C$7</c:f>
              <c:numCache>
                <c:formatCode>General</c:formatCode>
                <c:ptCount val="2"/>
                <c:pt idx="0">
                  <c:v>55</c:v>
                </c:pt>
                <c:pt idx="1">
                  <c:v>55</c:v>
                </c:pt>
              </c:numCache>
            </c:numRef>
          </c:val>
          <c:smooth val="0"/>
          <c:extLst>
            <c:ext xmlns:c16="http://schemas.microsoft.com/office/drawing/2014/chart" uri="{C3380CC4-5D6E-409C-BE32-E72D297353CC}">
              <c16:uniqueId val="{00000001-986F-4478-9F58-B95B7AFD3505}"/>
            </c:ext>
          </c:extLst>
        </c:ser>
        <c:dLbls>
          <c:showLegendKey val="0"/>
          <c:showVal val="0"/>
          <c:showCatName val="0"/>
          <c:showSerName val="0"/>
          <c:showPercent val="0"/>
          <c:showBubbleSize val="0"/>
        </c:dLbls>
        <c:marker val="1"/>
        <c:smooth val="0"/>
        <c:axId val="245707904"/>
        <c:axId val="245709440"/>
      </c:lineChart>
      <c:catAx>
        <c:axId val="24570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709440"/>
        <c:crosses val="autoZero"/>
        <c:auto val="1"/>
        <c:lblAlgn val="ctr"/>
        <c:lblOffset val="100"/>
        <c:noMultiLvlLbl val="0"/>
      </c:catAx>
      <c:valAx>
        <c:axId val="2457094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70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b="1" i="0" baseline="0">
                <a:latin typeface="Times New Roman" panose="02020603050405020304" pitchFamily="18" charset="0"/>
                <a:cs typeface="Times New Roman" panose="02020603050405020304" pitchFamily="18" charset="0"/>
              </a:rPr>
              <a:t>Nevoja Kimike për Oksigjen</a:t>
            </a:r>
          </a:p>
        </c:rich>
      </c:tx>
      <c:overlay val="0"/>
    </c:title>
    <c:autoTitleDeleted val="0"/>
    <c:plotArea>
      <c:layout/>
      <c:barChart>
        <c:barDir val="col"/>
        <c:grouping val="clustered"/>
        <c:varyColors val="0"/>
        <c:ser>
          <c:idx val="0"/>
          <c:order val="0"/>
          <c:tx>
            <c:strRef>
              <c:f>NKO!$D$8</c:f>
              <c:strCache>
                <c:ptCount val="1"/>
                <c:pt idx="0">
                  <c:v>mesatare vjetore 2025</c:v>
                </c:pt>
              </c:strCache>
            </c:strRef>
          </c:tx>
          <c:invertIfNegative val="0"/>
          <c:cat>
            <c:strRef>
              <c:f>NKO!$E$7:$G$7</c:f>
              <c:strCache>
                <c:ptCount val="3"/>
                <c:pt idx="0">
                  <c:v>Shiroke</c:v>
                </c:pt>
                <c:pt idx="1">
                  <c:v>Koplik</c:v>
                </c:pt>
                <c:pt idx="2">
                  <c:v>Zogaj</c:v>
                </c:pt>
              </c:strCache>
            </c:strRef>
          </c:cat>
          <c:val>
            <c:numRef>
              <c:f>NKO!$E$8:$G$8</c:f>
              <c:numCache>
                <c:formatCode>General</c:formatCode>
                <c:ptCount val="3"/>
                <c:pt idx="0">
                  <c:v>4</c:v>
                </c:pt>
                <c:pt idx="1">
                  <c:v>4</c:v>
                </c:pt>
                <c:pt idx="2">
                  <c:v>4.5</c:v>
                </c:pt>
              </c:numCache>
            </c:numRef>
          </c:val>
          <c:extLst>
            <c:ext xmlns:c16="http://schemas.microsoft.com/office/drawing/2014/chart" uri="{C3380CC4-5D6E-409C-BE32-E72D297353CC}">
              <c16:uniqueId val="{00000000-C24A-461A-9ABE-C398AFBD148F}"/>
            </c:ext>
          </c:extLst>
        </c:ser>
        <c:ser>
          <c:idx val="1"/>
          <c:order val="1"/>
          <c:tx>
            <c:strRef>
              <c:f>NKO!$D$9</c:f>
              <c:strCache>
                <c:ptCount val="1"/>
                <c:pt idx="0">
                  <c:v>Oligotrofik </c:v>
                </c:pt>
              </c:strCache>
            </c:strRef>
          </c:tx>
          <c:invertIfNegative val="0"/>
          <c:cat>
            <c:strRef>
              <c:f>NKO!$E$7:$G$7</c:f>
              <c:strCache>
                <c:ptCount val="3"/>
                <c:pt idx="0">
                  <c:v>Shiroke</c:v>
                </c:pt>
                <c:pt idx="1">
                  <c:v>Koplik</c:v>
                </c:pt>
                <c:pt idx="2">
                  <c:v>Zogaj</c:v>
                </c:pt>
              </c:strCache>
            </c:strRef>
          </c:cat>
          <c:val>
            <c:numRef>
              <c:f>NKO!$E$9:$G$9</c:f>
              <c:numCache>
                <c:formatCode>General</c:formatCode>
                <c:ptCount val="3"/>
                <c:pt idx="0">
                  <c:v>2</c:v>
                </c:pt>
                <c:pt idx="1">
                  <c:v>2</c:v>
                </c:pt>
                <c:pt idx="2">
                  <c:v>2</c:v>
                </c:pt>
              </c:numCache>
            </c:numRef>
          </c:val>
          <c:extLst>
            <c:ext xmlns:c16="http://schemas.microsoft.com/office/drawing/2014/chart" uri="{C3380CC4-5D6E-409C-BE32-E72D297353CC}">
              <c16:uniqueId val="{00000001-C24A-461A-9ABE-C398AFBD148F}"/>
            </c:ext>
          </c:extLst>
        </c:ser>
        <c:dLbls>
          <c:showLegendKey val="0"/>
          <c:showVal val="0"/>
          <c:showCatName val="0"/>
          <c:showSerName val="0"/>
          <c:showPercent val="0"/>
          <c:showBubbleSize val="0"/>
        </c:dLbls>
        <c:gapWidth val="150"/>
        <c:axId val="322987520"/>
        <c:axId val="322989056"/>
      </c:barChart>
      <c:lineChart>
        <c:grouping val="stacked"/>
        <c:varyColors val="0"/>
        <c:ser>
          <c:idx val="2"/>
          <c:order val="2"/>
          <c:tx>
            <c:strRef>
              <c:f>NKO!$D$10</c:f>
              <c:strCache>
                <c:ptCount val="1"/>
                <c:pt idx="0">
                  <c:v>Mezotrofik</c:v>
                </c:pt>
              </c:strCache>
            </c:strRef>
          </c:tx>
          <c:marker>
            <c:symbol val="none"/>
          </c:marker>
          <c:cat>
            <c:strRef>
              <c:f>NKO!$E$7:$G$7</c:f>
              <c:strCache>
                <c:ptCount val="3"/>
                <c:pt idx="0">
                  <c:v>Shiroke</c:v>
                </c:pt>
                <c:pt idx="1">
                  <c:v>Koplik</c:v>
                </c:pt>
                <c:pt idx="2">
                  <c:v>Zogaj</c:v>
                </c:pt>
              </c:strCache>
            </c:strRef>
          </c:cat>
          <c:val>
            <c:numRef>
              <c:f>NKO!$E$10:$G$10</c:f>
              <c:numCache>
                <c:formatCode>General</c:formatCode>
                <c:ptCount val="3"/>
                <c:pt idx="0">
                  <c:v>9</c:v>
                </c:pt>
                <c:pt idx="1">
                  <c:v>9</c:v>
                </c:pt>
                <c:pt idx="2">
                  <c:v>9</c:v>
                </c:pt>
              </c:numCache>
            </c:numRef>
          </c:val>
          <c:smooth val="0"/>
          <c:extLst>
            <c:ext xmlns:c16="http://schemas.microsoft.com/office/drawing/2014/chart" uri="{C3380CC4-5D6E-409C-BE32-E72D297353CC}">
              <c16:uniqueId val="{00000002-C24A-461A-9ABE-C398AFBD148F}"/>
            </c:ext>
          </c:extLst>
        </c:ser>
        <c:dLbls>
          <c:showLegendKey val="0"/>
          <c:showVal val="0"/>
          <c:showCatName val="0"/>
          <c:showSerName val="0"/>
          <c:showPercent val="0"/>
          <c:showBubbleSize val="0"/>
        </c:dLbls>
        <c:marker val="1"/>
        <c:smooth val="0"/>
        <c:axId val="322987520"/>
        <c:axId val="322989056"/>
      </c:lineChart>
      <c:catAx>
        <c:axId val="322987520"/>
        <c:scaling>
          <c:orientation val="minMax"/>
        </c:scaling>
        <c:delete val="0"/>
        <c:axPos val="b"/>
        <c:numFmt formatCode="General" sourceLinked="0"/>
        <c:majorTickMark val="none"/>
        <c:minorTickMark val="none"/>
        <c:tickLblPos val="nextTo"/>
        <c:crossAx val="322989056"/>
        <c:crosses val="autoZero"/>
        <c:auto val="1"/>
        <c:lblAlgn val="ctr"/>
        <c:lblOffset val="100"/>
        <c:noMultiLvlLbl val="0"/>
      </c:catAx>
      <c:valAx>
        <c:axId val="322989056"/>
        <c:scaling>
          <c:orientation val="minMax"/>
        </c:scaling>
        <c:delete val="0"/>
        <c:axPos val="l"/>
        <c:majorGridlines/>
        <c:numFmt formatCode="General" sourceLinked="1"/>
        <c:majorTickMark val="none"/>
        <c:minorTickMark val="none"/>
        <c:tickLblPos val="nextTo"/>
        <c:crossAx val="322987520"/>
        <c:crosses val="autoZero"/>
        <c:crossBetween val="between"/>
      </c:valAx>
    </c:plotArea>
    <c:legend>
      <c:legendPos val="b"/>
      <c:overlay val="0"/>
    </c:legend>
    <c:plotVisOnly val="1"/>
    <c:dispBlanksAs val="zero"/>
    <c:showDLblsOverMax val="0"/>
  </c:chart>
  <c:externalData r:id="rId2">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b="1" i="0" baseline="0">
                <a:latin typeface="Times New Roman" panose="02020603050405020304" pitchFamily="18" charset="0"/>
                <a:cs typeface="Times New Roman" panose="02020603050405020304" pitchFamily="18" charset="0"/>
              </a:rPr>
              <a:t>Nevoja Biokimike për Oksigjen</a:t>
            </a:r>
          </a:p>
        </c:rich>
      </c:tx>
      <c:layout>
        <c:manualLayout>
          <c:xMode val="edge"/>
          <c:yMode val="edge"/>
          <c:x val="5.0710959547073685E-2"/>
          <c:y val="4.3370508054522923E-2"/>
        </c:manualLayout>
      </c:layout>
      <c:overlay val="0"/>
    </c:title>
    <c:autoTitleDeleted val="0"/>
    <c:plotArea>
      <c:layout/>
      <c:barChart>
        <c:barDir val="col"/>
        <c:grouping val="clustered"/>
        <c:varyColors val="0"/>
        <c:ser>
          <c:idx val="0"/>
          <c:order val="0"/>
          <c:tx>
            <c:strRef>
              <c:f>'NBo5'!$C$8</c:f>
              <c:strCache>
                <c:ptCount val="1"/>
                <c:pt idx="0">
                  <c:v>mesatare vjetore 2025</c:v>
                </c:pt>
              </c:strCache>
            </c:strRef>
          </c:tx>
          <c:invertIfNegative val="0"/>
          <c:cat>
            <c:strRef>
              <c:f>'NBo5'!$D$7:$F$7</c:f>
              <c:strCache>
                <c:ptCount val="3"/>
                <c:pt idx="0">
                  <c:v>Shiroke</c:v>
                </c:pt>
                <c:pt idx="1">
                  <c:v>Koplik</c:v>
                </c:pt>
                <c:pt idx="2">
                  <c:v>Zogaj</c:v>
                </c:pt>
              </c:strCache>
            </c:strRef>
          </c:cat>
          <c:val>
            <c:numRef>
              <c:f>'NBo5'!$D$8:$F$8</c:f>
              <c:numCache>
                <c:formatCode>General</c:formatCode>
                <c:ptCount val="3"/>
                <c:pt idx="0">
                  <c:v>2</c:v>
                </c:pt>
                <c:pt idx="1">
                  <c:v>2.2999999999999998</c:v>
                </c:pt>
                <c:pt idx="2">
                  <c:v>2.1</c:v>
                </c:pt>
              </c:numCache>
            </c:numRef>
          </c:val>
          <c:extLst>
            <c:ext xmlns:c16="http://schemas.microsoft.com/office/drawing/2014/chart" uri="{C3380CC4-5D6E-409C-BE32-E72D297353CC}">
              <c16:uniqueId val="{00000000-08C5-4D7A-96A8-E2CC02A5A386}"/>
            </c:ext>
          </c:extLst>
        </c:ser>
        <c:ser>
          <c:idx val="1"/>
          <c:order val="1"/>
          <c:tx>
            <c:strRef>
              <c:f>'NBo5'!$C$9</c:f>
              <c:strCache>
                <c:ptCount val="1"/>
                <c:pt idx="0">
                  <c:v>Oligotrofik </c:v>
                </c:pt>
              </c:strCache>
            </c:strRef>
          </c:tx>
          <c:invertIfNegative val="0"/>
          <c:cat>
            <c:strRef>
              <c:f>'NBo5'!$D$7:$F$7</c:f>
              <c:strCache>
                <c:ptCount val="3"/>
                <c:pt idx="0">
                  <c:v>Shiroke</c:v>
                </c:pt>
                <c:pt idx="1">
                  <c:v>Koplik</c:v>
                </c:pt>
                <c:pt idx="2">
                  <c:v>Zogaj</c:v>
                </c:pt>
              </c:strCache>
            </c:strRef>
          </c:cat>
          <c:val>
            <c:numRef>
              <c:f>'NBo5'!$D$9:$F$9</c:f>
              <c:numCache>
                <c:formatCode>General</c:formatCode>
                <c:ptCount val="3"/>
                <c:pt idx="0">
                  <c:v>3</c:v>
                </c:pt>
                <c:pt idx="1">
                  <c:v>3</c:v>
                </c:pt>
                <c:pt idx="2">
                  <c:v>3</c:v>
                </c:pt>
              </c:numCache>
            </c:numRef>
          </c:val>
          <c:extLst>
            <c:ext xmlns:c16="http://schemas.microsoft.com/office/drawing/2014/chart" uri="{C3380CC4-5D6E-409C-BE32-E72D297353CC}">
              <c16:uniqueId val="{00000001-08C5-4D7A-96A8-E2CC02A5A386}"/>
            </c:ext>
          </c:extLst>
        </c:ser>
        <c:dLbls>
          <c:showLegendKey val="0"/>
          <c:showVal val="0"/>
          <c:showCatName val="0"/>
          <c:showSerName val="0"/>
          <c:showPercent val="0"/>
          <c:showBubbleSize val="0"/>
        </c:dLbls>
        <c:gapWidth val="150"/>
        <c:axId val="323229952"/>
        <c:axId val="323252224"/>
      </c:barChart>
      <c:lineChart>
        <c:grouping val="stacked"/>
        <c:varyColors val="0"/>
        <c:ser>
          <c:idx val="2"/>
          <c:order val="2"/>
          <c:tx>
            <c:strRef>
              <c:f>'NBo5'!$C$10</c:f>
              <c:strCache>
                <c:ptCount val="1"/>
                <c:pt idx="0">
                  <c:v>Mezotrofik</c:v>
                </c:pt>
              </c:strCache>
            </c:strRef>
          </c:tx>
          <c:marker>
            <c:symbol val="none"/>
          </c:marker>
          <c:cat>
            <c:strRef>
              <c:f>'NBo5'!$D$7:$F$7</c:f>
              <c:strCache>
                <c:ptCount val="3"/>
                <c:pt idx="0">
                  <c:v>Shiroke</c:v>
                </c:pt>
                <c:pt idx="1">
                  <c:v>Koplik</c:v>
                </c:pt>
                <c:pt idx="2">
                  <c:v>Zogaj</c:v>
                </c:pt>
              </c:strCache>
            </c:strRef>
          </c:cat>
          <c:val>
            <c:numRef>
              <c:f>'NBo5'!$D$10:$F$10</c:f>
              <c:numCache>
                <c:formatCode>General</c:formatCode>
                <c:ptCount val="3"/>
                <c:pt idx="0">
                  <c:v>5.5</c:v>
                </c:pt>
                <c:pt idx="1">
                  <c:v>5.5</c:v>
                </c:pt>
                <c:pt idx="2">
                  <c:v>5.5</c:v>
                </c:pt>
              </c:numCache>
            </c:numRef>
          </c:val>
          <c:smooth val="0"/>
          <c:extLst>
            <c:ext xmlns:c16="http://schemas.microsoft.com/office/drawing/2014/chart" uri="{C3380CC4-5D6E-409C-BE32-E72D297353CC}">
              <c16:uniqueId val="{00000002-08C5-4D7A-96A8-E2CC02A5A386}"/>
            </c:ext>
          </c:extLst>
        </c:ser>
        <c:dLbls>
          <c:showLegendKey val="0"/>
          <c:showVal val="0"/>
          <c:showCatName val="0"/>
          <c:showSerName val="0"/>
          <c:showPercent val="0"/>
          <c:showBubbleSize val="0"/>
        </c:dLbls>
        <c:marker val="1"/>
        <c:smooth val="0"/>
        <c:axId val="323229952"/>
        <c:axId val="323252224"/>
      </c:lineChart>
      <c:catAx>
        <c:axId val="323229952"/>
        <c:scaling>
          <c:orientation val="minMax"/>
        </c:scaling>
        <c:delete val="0"/>
        <c:axPos val="b"/>
        <c:numFmt formatCode="General" sourceLinked="0"/>
        <c:majorTickMark val="none"/>
        <c:minorTickMark val="none"/>
        <c:tickLblPos val="nextTo"/>
        <c:crossAx val="323252224"/>
        <c:crosses val="autoZero"/>
        <c:auto val="1"/>
        <c:lblAlgn val="ctr"/>
        <c:lblOffset val="100"/>
        <c:noMultiLvlLbl val="0"/>
      </c:catAx>
      <c:valAx>
        <c:axId val="323252224"/>
        <c:scaling>
          <c:orientation val="minMax"/>
        </c:scaling>
        <c:delete val="0"/>
        <c:axPos val="l"/>
        <c:majorGridlines/>
        <c:numFmt formatCode="General" sourceLinked="1"/>
        <c:majorTickMark val="none"/>
        <c:minorTickMark val="none"/>
        <c:tickLblPos val="nextTo"/>
        <c:crossAx val="323229952"/>
        <c:crosses val="autoZero"/>
        <c:crossBetween val="between"/>
      </c:valAx>
    </c:plotArea>
    <c:legend>
      <c:legendPos val="b"/>
      <c:overlay val="0"/>
    </c:legend>
    <c:plotVisOnly val="1"/>
    <c:dispBlanksAs val="zero"/>
    <c:showDLblsOverMax val="0"/>
  </c:chart>
  <c:externalData r:id="rId2">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b="1" i="0" baseline="0">
                <a:latin typeface="Times New Roman" panose="02020603050405020304" pitchFamily="18" charset="0"/>
                <a:cs typeface="Times New Roman" panose="02020603050405020304" pitchFamily="18" charset="0"/>
              </a:rPr>
              <a:t>Përmbajtja e nitrateve</a:t>
            </a:r>
            <a:endParaRPr lang="en-US" sz="120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tx>
            <c:strRef>
              <c:f>'NO3'!$D$3</c:f>
              <c:strCache>
                <c:ptCount val="1"/>
                <c:pt idx="0">
                  <c:v>mesatare vjetore 2025</c:v>
                </c:pt>
              </c:strCache>
            </c:strRef>
          </c:tx>
          <c:invertIfNegative val="0"/>
          <c:cat>
            <c:strRef>
              <c:f>'NO3'!$E$2:$G$2</c:f>
              <c:strCache>
                <c:ptCount val="3"/>
                <c:pt idx="0">
                  <c:v>Shiroke</c:v>
                </c:pt>
                <c:pt idx="1">
                  <c:v>Koplik</c:v>
                </c:pt>
                <c:pt idx="2">
                  <c:v>Zogaj</c:v>
                </c:pt>
              </c:strCache>
            </c:strRef>
          </c:cat>
          <c:val>
            <c:numRef>
              <c:f>'NO3'!$E$3:$G$3</c:f>
              <c:numCache>
                <c:formatCode>0.00</c:formatCode>
                <c:ptCount val="3"/>
                <c:pt idx="0">
                  <c:v>0.12</c:v>
                </c:pt>
                <c:pt idx="1">
                  <c:v>0.15</c:v>
                </c:pt>
                <c:pt idx="2">
                  <c:v>9.8000000000000004E-2</c:v>
                </c:pt>
              </c:numCache>
            </c:numRef>
          </c:val>
          <c:extLst>
            <c:ext xmlns:c16="http://schemas.microsoft.com/office/drawing/2014/chart" uri="{C3380CC4-5D6E-409C-BE32-E72D297353CC}">
              <c16:uniqueId val="{00000000-BC00-4379-8B01-900DCDF9ECDA}"/>
            </c:ext>
          </c:extLst>
        </c:ser>
        <c:dLbls>
          <c:showLegendKey val="0"/>
          <c:showVal val="0"/>
          <c:showCatName val="0"/>
          <c:showSerName val="0"/>
          <c:showPercent val="0"/>
          <c:showBubbleSize val="0"/>
        </c:dLbls>
        <c:gapWidth val="150"/>
        <c:axId val="323291008"/>
        <c:axId val="323292544"/>
      </c:barChart>
      <c:lineChart>
        <c:grouping val="stacked"/>
        <c:varyColors val="0"/>
        <c:ser>
          <c:idx val="1"/>
          <c:order val="1"/>
          <c:tx>
            <c:strRef>
              <c:f>'NO3'!$D$4</c:f>
              <c:strCache>
                <c:ptCount val="1"/>
                <c:pt idx="0">
                  <c:v>Oligotrofik </c:v>
                </c:pt>
              </c:strCache>
            </c:strRef>
          </c:tx>
          <c:marker>
            <c:symbol val="none"/>
          </c:marker>
          <c:cat>
            <c:strRef>
              <c:f>'NO3'!$E$2:$G$2</c:f>
              <c:strCache>
                <c:ptCount val="3"/>
                <c:pt idx="0">
                  <c:v>Shiroke</c:v>
                </c:pt>
                <c:pt idx="1">
                  <c:v>Koplik</c:v>
                </c:pt>
                <c:pt idx="2">
                  <c:v>Zogaj</c:v>
                </c:pt>
              </c:strCache>
            </c:strRef>
          </c:cat>
          <c:val>
            <c:numRef>
              <c:f>'NO3'!$E$4:$G$4</c:f>
              <c:numCache>
                <c:formatCode>General</c:formatCode>
                <c:ptCount val="3"/>
                <c:pt idx="0">
                  <c:v>1</c:v>
                </c:pt>
                <c:pt idx="1">
                  <c:v>1</c:v>
                </c:pt>
                <c:pt idx="2">
                  <c:v>1</c:v>
                </c:pt>
              </c:numCache>
            </c:numRef>
          </c:val>
          <c:smooth val="0"/>
          <c:extLst>
            <c:ext xmlns:c16="http://schemas.microsoft.com/office/drawing/2014/chart" uri="{C3380CC4-5D6E-409C-BE32-E72D297353CC}">
              <c16:uniqueId val="{00000001-BC00-4379-8B01-900DCDF9ECDA}"/>
            </c:ext>
          </c:extLst>
        </c:ser>
        <c:dLbls>
          <c:showLegendKey val="0"/>
          <c:showVal val="0"/>
          <c:showCatName val="0"/>
          <c:showSerName val="0"/>
          <c:showPercent val="0"/>
          <c:showBubbleSize val="0"/>
        </c:dLbls>
        <c:marker val="1"/>
        <c:smooth val="0"/>
        <c:axId val="323291008"/>
        <c:axId val="323292544"/>
      </c:lineChart>
      <c:catAx>
        <c:axId val="323291008"/>
        <c:scaling>
          <c:orientation val="minMax"/>
        </c:scaling>
        <c:delete val="0"/>
        <c:axPos val="b"/>
        <c:numFmt formatCode="General" sourceLinked="0"/>
        <c:majorTickMark val="none"/>
        <c:minorTickMark val="none"/>
        <c:tickLblPos val="nextTo"/>
        <c:crossAx val="323292544"/>
        <c:crosses val="autoZero"/>
        <c:auto val="1"/>
        <c:lblAlgn val="ctr"/>
        <c:lblOffset val="100"/>
        <c:noMultiLvlLbl val="0"/>
      </c:catAx>
      <c:valAx>
        <c:axId val="323292544"/>
        <c:scaling>
          <c:orientation val="minMax"/>
        </c:scaling>
        <c:delete val="0"/>
        <c:axPos val="l"/>
        <c:majorGridlines/>
        <c:numFmt formatCode="0.00" sourceLinked="1"/>
        <c:majorTickMark val="none"/>
        <c:minorTickMark val="none"/>
        <c:tickLblPos val="nextTo"/>
        <c:crossAx val="323291008"/>
        <c:crosses val="autoZero"/>
        <c:crossBetween val="between"/>
      </c:valAx>
    </c:plotArea>
    <c:legend>
      <c:legendPos val="b"/>
      <c:overlay val="0"/>
    </c:legend>
    <c:plotVisOnly val="1"/>
    <c:dispBlanksAs val="zero"/>
    <c:showDLblsOverMax val="0"/>
  </c:chart>
  <c:externalData r:id="rId2">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l">
              <a:defRPr/>
            </a:pPr>
            <a:r>
              <a:rPr lang="en-US" sz="1200" b="1" i="0" baseline="0">
                <a:latin typeface="Times New Roman" panose="02020603050405020304" pitchFamily="18" charset="0"/>
                <a:cs typeface="Times New Roman" panose="02020603050405020304" pitchFamily="18" charset="0"/>
              </a:rPr>
              <a:t>Përmbajtja e fosforit total</a:t>
            </a:r>
            <a:endParaRPr lang="en-US" sz="120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tx>
            <c:strRef>
              <c:f>'P total'!$K$6</c:f>
              <c:strCache>
                <c:ptCount val="1"/>
                <c:pt idx="0">
                  <c:v>mesatare vjetore 2025</c:v>
                </c:pt>
              </c:strCache>
            </c:strRef>
          </c:tx>
          <c:invertIfNegative val="0"/>
          <c:cat>
            <c:strRef>
              <c:f>'P total'!$L$5:$N$5</c:f>
              <c:strCache>
                <c:ptCount val="3"/>
                <c:pt idx="0">
                  <c:v>Shiroke</c:v>
                </c:pt>
                <c:pt idx="1">
                  <c:v>Koplik</c:v>
                </c:pt>
                <c:pt idx="2">
                  <c:v>Zogaj</c:v>
                </c:pt>
              </c:strCache>
            </c:strRef>
          </c:cat>
          <c:val>
            <c:numRef>
              <c:f>'P total'!$L$6:$N$6</c:f>
              <c:numCache>
                <c:formatCode>0.000</c:formatCode>
                <c:ptCount val="3"/>
                <c:pt idx="0">
                  <c:v>3.3999999999999998E-3</c:v>
                </c:pt>
                <c:pt idx="1">
                  <c:v>3.3999999999999998E-3</c:v>
                </c:pt>
                <c:pt idx="2">
                  <c:v>3.0000000000000001E-3</c:v>
                </c:pt>
              </c:numCache>
            </c:numRef>
          </c:val>
          <c:extLst>
            <c:ext xmlns:c16="http://schemas.microsoft.com/office/drawing/2014/chart" uri="{C3380CC4-5D6E-409C-BE32-E72D297353CC}">
              <c16:uniqueId val="{00000000-DBB4-45CB-85E4-4A7EDEB80B8C}"/>
            </c:ext>
          </c:extLst>
        </c:ser>
        <c:ser>
          <c:idx val="1"/>
          <c:order val="1"/>
          <c:tx>
            <c:strRef>
              <c:f>'P total'!$K$7</c:f>
              <c:strCache>
                <c:ptCount val="1"/>
                <c:pt idx="0">
                  <c:v>Oligotrofik</c:v>
                </c:pt>
              </c:strCache>
            </c:strRef>
          </c:tx>
          <c:invertIfNegative val="0"/>
          <c:cat>
            <c:strRef>
              <c:f>'P total'!$L$5:$N$5</c:f>
              <c:strCache>
                <c:ptCount val="3"/>
                <c:pt idx="0">
                  <c:v>Shiroke</c:v>
                </c:pt>
                <c:pt idx="1">
                  <c:v>Koplik</c:v>
                </c:pt>
                <c:pt idx="2">
                  <c:v>Zogaj</c:v>
                </c:pt>
              </c:strCache>
            </c:strRef>
          </c:cat>
          <c:val>
            <c:numRef>
              <c:f>'P total'!$L$7:$N$7</c:f>
              <c:numCache>
                <c:formatCode>General</c:formatCode>
                <c:ptCount val="3"/>
                <c:pt idx="0">
                  <c:v>0.01</c:v>
                </c:pt>
                <c:pt idx="1">
                  <c:v>0.01</c:v>
                </c:pt>
                <c:pt idx="2">
                  <c:v>0.01</c:v>
                </c:pt>
              </c:numCache>
            </c:numRef>
          </c:val>
          <c:extLst>
            <c:ext xmlns:c16="http://schemas.microsoft.com/office/drawing/2014/chart" uri="{C3380CC4-5D6E-409C-BE32-E72D297353CC}">
              <c16:uniqueId val="{00000001-DBB4-45CB-85E4-4A7EDEB80B8C}"/>
            </c:ext>
          </c:extLst>
        </c:ser>
        <c:dLbls>
          <c:showLegendKey val="0"/>
          <c:showVal val="0"/>
          <c:showCatName val="0"/>
          <c:showSerName val="0"/>
          <c:showPercent val="0"/>
          <c:showBubbleSize val="0"/>
        </c:dLbls>
        <c:gapWidth val="150"/>
        <c:axId val="323323008"/>
        <c:axId val="323324544"/>
      </c:barChart>
      <c:catAx>
        <c:axId val="323323008"/>
        <c:scaling>
          <c:orientation val="minMax"/>
        </c:scaling>
        <c:delete val="0"/>
        <c:axPos val="b"/>
        <c:numFmt formatCode="General" sourceLinked="0"/>
        <c:majorTickMark val="none"/>
        <c:minorTickMark val="none"/>
        <c:tickLblPos val="nextTo"/>
        <c:crossAx val="323324544"/>
        <c:crosses val="autoZero"/>
        <c:auto val="1"/>
        <c:lblAlgn val="ctr"/>
        <c:lblOffset val="100"/>
        <c:noMultiLvlLbl val="0"/>
      </c:catAx>
      <c:valAx>
        <c:axId val="323324544"/>
        <c:scaling>
          <c:orientation val="minMax"/>
        </c:scaling>
        <c:delete val="0"/>
        <c:axPos val="l"/>
        <c:majorGridlines/>
        <c:numFmt formatCode="0.000" sourceLinked="1"/>
        <c:majorTickMark val="none"/>
        <c:minorTickMark val="none"/>
        <c:tickLblPos val="nextTo"/>
        <c:crossAx val="323323008"/>
        <c:crosses val="autoZero"/>
        <c:crossBetween val="between"/>
      </c:valAx>
    </c:plotArea>
    <c:legend>
      <c:legendPos val="b"/>
      <c:overlay val="0"/>
    </c:legend>
    <c:plotVisOnly val="1"/>
    <c:dispBlanksAs val="zero"/>
    <c:showDLblsOverMax val="0"/>
  </c:chart>
  <c:externalData r:id="rId2">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kern="1200" spc="0" baseline="0">
                <a:solidFill>
                  <a:sysClr val="windowText" lastClr="000000">
                    <a:lumMod val="65000"/>
                    <a:lumOff val="35000"/>
                  </a:sysClr>
                </a:solidFill>
                <a:latin typeface="Times New Roman" pitchFamily="18" charset="0"/>
                <a:cs typeface="Times New Roman" pitchFamily="18" charset="0"/>
              </a:rPr>
              <a:t>Transparenca</a:t>
            </a:r>
          </a:p>
        </c:rich>
      </c:tx>
      <c:overlay val="0"/>
      <c:spPr>
        <a:noFill/>
        <a:ln>
          <a:noFill/>
        </a:ln>
        <a:effectLst/>
      </c:spPr>
    </c:title>
    <c:autoTitleDeleted val="0"/>
    <c:plotArea>
      <c:layout/>
      <c:barChart>
        <c:barDir val="col"/>
        <c:grouping val="clustered"/>
        <c:varyColors val="0"/>
        <c:ser>
          <c:idx val="0"/>
          <c:order val="0"/>
          <c:tx>
            <c:strRef>
              <c:f>Transparenca!$B$4</c:f>
              <c:strCache>
                <c:ptCount val="1"/>
                <c:pt idx="0">
                  <c:v>mesatare vjetore 2025</c:v>
                </c:pt>
              </c:strCache>
            </c:strRef>
          </c:tx>
          <c:spPr>
            <a:solidFill>
              <a:schemeClr val="accent1"/>
            </a:solidFill>
            <a:ln>
              <a:noFill/>
            </a:ln>
            <a:effectLst/>
          </c:spPr>
          <c:invertIfNegative val="0"/>
          <c:cat>
            <c:strRef>
              <c:f>Transparenca!$C$3:$D$3</c:f>
              <c:strCache>
                <c:ptCount val="2"/>
                <c:pt idx="0">
                  <c:v>stacioni i references</c:v>
                </c:pt>
                <c:pt idx="1">
                  <c:v>stacioni litoral</c:v>
                </c:pt>
              </c:strCache>
            </c:strRef>
          </c:cat>
          <c:val>
            <c:numRef>
              <c:f>Transparenca!$C$4:$D$4</c:f>
              <c:numCache>
                <c:formatCode>0</c:formatCode>
                <c:ptCount val="2"/>
                <c:pt idx="0" formatCode="0.0">
                  <c:v>5</c:v>
                </c:pt>
                <c:pt idx="1">
                  <c:v>4.2</c:v>
                </c:pt>
              </c:numCache>
            </c:numRef>
          </c:val>
          <c:extLst>
            <c:ext xmlns:c16="http://schemas.microsoft.com/office/drawing/2014/chart" uri="{C3380CC4-5D6E-409C-BE32-E72D297353CC}">
              <c16:uniqueId val="{00000000-A860-4373-AFE1-9304625E4433}"/>
            </c:ext>
          </c:extLst>
        </c:ser>
        <c:dLbls>
          <c:showLegendKey val="0"/>
          <c:showVal val="0"/>
          <c:showCatName val="0"/>
          <c:showSerName val="0"/>
          <c:showPercent val="0"/>
          <c:showBubbleSize val="0"/>
        </c:dLbls>
        <c:gapWidth val="219"/>
        <c:overlap val="-27"/>
        <c:axId val="323396736"/>
        <c:axId val="323398272"/>
      </c:barChart>
      <c:lineChart>
        <c:grouping val="standard"/>
        <c:varyColors val="0"/>
        <c:ser>
          <c:idx val="1"/>
          <c:order val="1"/>
          <c:tx>
            <c:strRef>
              <c:f>Transparenca!$B$5</c:f>
              <c:strCache>
                <c:ptCount val="1"/>
                <c:pt idx="0">
                  <c:v>Mezotrofik</c:v>
                </c:pt>
              </c:strCache>
            </c:strRef>
          </c:tx>
          <c:spPr>
            <a:ln w="28575" cap="rnd">
              <a:solidFill>
                <a:schemeClr val="accent2"/>
              </a:solidFill>
              <a:round/>
            </a:ln>
            <a:effectLst/>
          </c:spPr>
          <c:marker>
            <c:symbol val="none"/>
          </c:marker>
          <c:cat>
            <c:strRef>
              <c:f>Transparenca!$C$3:$D$3</c:f>
              <c:strCache>
                <c:ptCount val="2"/>
                <c:pt idx="0">
                  <c:v>stacioni i references</c:v>
                </c:pt>
                <c:pt idx="1">
                  <c:v>stacioni litoral</c:v>
                </c:pt>
              </c:strCache>
            </c:strRef>
          </c:cat>
          <c:val>
            <c:numRef>
              <c:f>Transparenca!$C$5:$D$5</c:f>
              <c:numCache>
                <c:formatCode>General</c:formatCode>
                <c:ptCount val="2"/>
                <c:pt idx="0">
                  <c:v>2</c:v>
                </c:pt>
                <c:pt idx="1">
                  <c:v>2</c:v>
                </c:pt>
              </c:numCache>
            </c:numRef>
          </c:val>
          <c:smooth val="0"/>
          <c:extLst>
            <c:ext xmlns:c16="http://schemas.microsoft.com/office/drawing/2014/chart" uri="{C3380CC4-5D6E-409C-BE32-E72D297353CC}">
              <c16:uniqueId val="{00000001-A860-4373-AFE1-9304625E4433}"/>
            </c:ext>
          </c:extLst>
        </c:ser>
        <c:dLbls>
          <c:showLegendKey val="0"/>
          <c:showVal val="0"/>
          <c:showCatName val="0"/>
          <c:showSerName val="0"/>
          <c:showPercent val="0"/>
          <c:showBubbleSize val="0"/>
        </c:dLbls>
        <c:marker val="1"/>
        <c:smooth val="0"/>
        <c:axId val="323396736"/>
        <c:axId val="323398272"/>
      </c:lineChart>
      <c:catAx>
        <c:axId val="32339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398272"/>
        <c:crosses val="autoZero"/>
        <c:auto val="1"/>
        <c:lblAlgn val="ctr"/>
        <c:lblOffset val="100"/>
        <c:noMultiLvlLbl val="0"/>
      </c:catAx>
      <c:valAx>
        <c:axId val="3233982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39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Përmbajtja e NKO</a:t>
            </a:r>
          </a:p>
        </c:rich>
      </c:tx>
      <c:overlay val="0"/>
      <c:spPr>
        <a:noFill/>
        <a:ln>
          <a:noFill/>
        </a:ln>
        <a:effectLst/>
      </c:spPr>
    </c:title>
    <c:autoTitleDeleted val="0"/>
    <c:plotArea>
      <c:layout/>
      <c:barChart>
        <c:barDir val="col"/>
        <c:grouping val="clustered"/>
        <c:varyColors val="0"/>
        <c:ser>
          <c:idx val="0"/>
          <c:order val="0"/>
          <c:tx>
            <c:strRef>
              <c:f>NKO!$C$5</c:f>
              <c:strCache>
                <c:ptCount val="1"/>
                <c:pt idx="0">
                  <c:v>mesatare vjetore 2025</c:v>
                </c:pt>
              </c:strCache>
            </c:strRef>
          </c:tx>
          <c:spPr>
            <a:solidFill>
              <a:schemeClr val="accent1"/>
            </a:solidFill>
            <a:ln>
              <a:noFill/>
            </a:ln>
            <a:effectLst/>
          </c:spPr>
          <c:invertIfNegative val="0"/>
          <c:cat>
            <c:strRef>
              <c:f>NKO!$D$4:$E$4</c:f>
              <c:strCache>
                <c:ptCount val="2"/>
                <c:pt idx="0">
                  <c:v>stac.references</c:v>
                </c:pt>
                <c:pt idx="1">
                  <c:v>stac litoral</c:v>
                </c:pt>
              </c:strCache>
            </c:strRef>
          </c:cat>
          <c:val>
            <c:numRef>
              <c:f>NKO!$D$5:$E$5</c:f>
              <c:numCache>
                <c:formatCode>0</c:formatCode>
                <c:ptCount val="2"/>
                <c:pt idx="0" formatCode="0.0">
                  <c:v>4</c:v>
                </c:pt>
                <c:pt idx="1">
                  <c:v>9</c:v>
                </c:pt>
              </c:numCache>
            </c:numRef>
          </c:val>
          <c:extLst>
            <c:ext xmlns:c16="http://schemas.microsoft.com/office/drawing/2014/chart" uri="{C3380CC4-5D6E-409C-BE32-E72D297353CC}">
              <c16:uniqueId val="{00000000-AB7D-4602-A41C-C2B19074362C}"/>
            </c:ext>
          </c:extLst>
        </c:ser>
        <c:dLbls>
          <c:showLegendKey val="0"/>
          <c:showVal val="0"/>
          <c:showCatName val="0"/>
          <c:showSerName val="0"/>
          <c:showPercent val="0"/>
          <c:showBubbleSize val="0"/>
        </c:dLbls>
        <c:gapWidth val="219"/>
        <c:overlap val="-27"/>
        <c:axId val="323434368"/>
        <c:axId val="323435904"/>
      </c:barChart>
      <c:lineChart>
        <c:grouping val="standard"/>
        <c:varyColors val="0"/>
        <c:ser>
          <c:idx val="1"/>
          <c:order val="1"/>
          <c:tx>
            <c:strRef>
              <c:f>NKO!$C$6</c:f>
              <c:strCache>
                <c:ptCount val="1"/>
                <c:pt idx="0">
                  <c:v>Mezotrofik</c:v>
                </c:pt>
              </c:strCache>
            </c:strRef>
          </c:tx>
          <c:spPr>
            <a:ln w="28575" cap="rnd">
              <a:solidFill>
                <a:schemeClr val="accent2"/>
              </a:solidFill>
              <a:round/>
            </a:ln>
            <a:effectLst/>
          </c:spPr>
          <c:marker>
            <c:symbol val="none"/>
          </c:marker>
          <c:cat>
            <c:strRef>
              <c:f>NKO!$D$4:$E$4</c:f>
              <c:strCache>
                <c:ptCount val="2"/>
                <c:pt idx="0">
                  <c:v>stac.references</c:v>
                </c:pt>
                <c:pt idx="1">
                  <c:v>stac litoral</c:v>
                </c:pt>
              </c:strCache>
            </c:strRef>
          </c:cat>
          <c:val>
            <c:numRef>
              <c:f>NKO!$D$6:$E$6</c:f>
              <c:numCache>
                <c:formatCode>General</c:formatCode>
                <c:ptCount val="2"/>
                <c:pt idx="0">
                  <c:v>9</c:v>
                </c:pt>
                <c:pt idx="1">
                  <c:v>9</c:v>
                </c:pt>
              </c:numCache>
            </c:numRef>
          </c:val>
          <c:smooth val="0"/>
          <c:extLst>
            <c:ext xmlns:c16="http://schemas.microsoft.com/office/drawing/2014/chart" uri="{C3380CC4-5D6E-409C-BE32-E72D297353CC}">
              <c16:uniqueId val="{00000001-AB7D-4602-A41C-C2B19074362C}"/>
            </c:ext>
          </c:extLst>
        </c:ser>
        <c:dLbls>
          <c:showLegendKey val="0"/>
          <c:showVal val="0"/>
          <c:showCatName val="0"/>
          <c:showSerName val="0"/>
          <c:showPercent val="0"/>
          <c:showBubbleSize val="0"/>
        </c:dLbls>
        <c:marker val="1"/>
        <c:smooth val="0"/>
        <c:axId val="323434368"/>
        <c:axId val="323435904"/>
      </c:lineChart>
      <c:catAx>
        <c:axId val="32343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435904"/>
        <c:crosses val="autoZero"/>
        <c:auto val="1"/>
        <c:lblAlgn val="ctr"/>
        <c:lblOffset val="100"/>
        <c:noMultiLvlLbl val="0"/>
      </c:catAx>
      <c:valAx>
        <c:axId val="3234359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434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Nevoja Biokimike për Oksigjen</a:t>
            </a:r>
          </a:p>
        </c:rich>
      </c:tx>
      <c:overlay val="0"/>
      <c:spPr>
        <a:noFill/>
        <a:ln>
          <a:noFill/>
        </a:ln>
        <a:effectLst/>
      </c:spPr>
    </c:title>
    <c:autoTitleDeleted val="0"/>
    <c:plotArea>
      <c:layout/>
      <c:barChart>
        <c:barDir val="col"/>
        <c:grouping val="clustered"/>
        <c:varyColors val="0"/>
        <c:ser>
          <c:idx val="0"/>
          <c:order val="0"/>
          <c:tx>
            <c:strRef>
              <c:f>'NBO5'!$E$9</c:f>
              <c:strCache>
                <c:ptCount val="1"/>
                <c:pt idx="0">
                  <c:v>mesatare vjetore 2025</c:v>
                </c:pt>
              </c:strCache>
            </c:strRef>
          </c:tx>
          <c:spPr>
            <a:solidFill>
              <a:schemeClr val="accent1"/>
            </a:solidFill>
            <a:ln>
              <a:noFill/>
            </a:ln>
            <a:effectLst/>
          </c:spPr>
          <c:invertIfNegative val="0"/>
          <c:cat>
            <c:strRef>
              <c:f>'NBO5'!$F$8:$G$8</c:f>
              <c:strCache>
                <c:ptCount val="2"/>
                <c:pt idx="0">
                  <c:v>Stacioni references</c:v>
                </c:pt>
                <c:pt idx="1">
                  <c:v>stacioni litoral</c:v>
                </c:pt>
              </c:strCache>
            </c:strRef>
          </c:cat>
          <c:val>
            <c:numRef>
              <c:f>'NBO5'!$F$9:$G$9</c:f>
              <c:numCache>
                <c:formatCode>0.0</c:formatCode>
                <c:ptCount val="2"/>
                <c:pt idx="0">
                  <c:v>3</c:v>
                </c:pt>
                <c:pt idx="1">
                  <c:v>5</c:v>
                </c:pt>
              </c:numCache>
            </c:numRef>
          </c:val>
          <c:extLst>
            <c:ext xmlns:c16="http://schemas.microsoft.com/office/drawing/2014/chart" uri="{C3380CC4-5D6E-409C-BE32-E72D297353CC}">
              <c16:uniqueId val="{00000000-BD9F-407F-BA87-20BCEE941DC0}"/>
            </c:ext>
          </c:extLst>
        </c:ser>
        <c:dLbls>
          <c:showLegendKey val="0"/>
          <c:showVal val="0"/>
          <c:showCatName val="0"/>
          <c:showSerName val="0"/>
          <c:showPercent val="0"/>
          <c:showBubbleSize val="0"/>
        </c:dLbls>
        <c:gapWidth val="219"/>
        <c:overlap val="-27"/>
        <c:axId val="323491712"/>
        <c:axId val="323493248"/>
      </c:barChart>
      <c:lineChart>
        <c:grouping val="standard"/>
        <c:varyColors val="0"/>
        <c:ser>
          <c:idx val="1"/>
          <c:order val="1"/>
          <c:tx>
            <c:strRef>
              <c:f>'NBO5'!$E$10</c:f>
              <c:strCache>
                <c:ptCount val="1"/>
                <c:pt idx="0">
                  <c:v>Mezotrofik</c:v>
                </c:pt>
              </c:strCache>
            </c:strRef>
          </c:tx>
          <c:spPr>
            <a:ln w="28575" cap="rnd">
              <a:solidFill>
                <a:schemeClr val="accent2"/>
              </a:solidFill>
              <a:round/>
            </a:ln>
            <a:effectLst/>
          </c:spPr>
          <c:marker>
            <c:symbol val="none"/>
          </c:marker>
          <c:cat>
            <c:strRef>
              <c:f>'NBO5'!$F$8:$G$8</c:f>
              <c:strCache>
                <c:ptCount val="2"/>
                <c:pt idx="0">
                  <c:v>Stacioni references</c:v>
                </c:pt>
                <c:pt idx="1">
                  <c:v>stacioni litoral</c:v>
                </c:pt>
              </c:strCache>
            </c:strRef>
          </c:cat>
          <c:val>
            <c:numRef>
              <c:f>'NBO5'!$F$10:$G$10</c:f>
              <c:numCache>
                <c:formatCode>General</c:formatCode>
                <c:ptCount val="2"/>
                <c:pt idx="0">
                  <c:v>5.5</c:v>
                </c:pt>
                <c:pt idx="1">
                  <c:v>5.5</c:v>
                </c:pt>
              </c:numCache>
            </c:numRef>
          </c:val>
          <c:smooth val="0"/>
          <c:extLst>
            <c:ext xmlns:c16="http://schemas.microsoft.com/office/drawing/2014/chart" uri="{C3380CC4-5D6E-409C-BE32-E72D297353CC}">
              <c16:uniqueId val="{00000001-BD9F-407F-BA87-20BCEE941DC0}"/>
            </c:ext>
          </c:extLst>
        </c:ser>
        <c:dLbls>
          <c:showLegendKey val="0"/>
          <c:showVal val="0"/>
          <c:showCatName val="0"/>
          <c:showSerName val="0"/>
          <c:showPercent val="0"/>
          <c:showBubbleSize val="0"/>
        </c:dLbls>
        <c:marker val="1"/>
        <c:smooth val="0"/>
        <c:axId val="323491712"/>
        <c:axId val="323493248"/>
      </c:lineChart>
      <c:catAx>
        <c:axId val="32349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493248"/>
        <c:crosses val="autoZero"/>
        <c:auto val="1"/>
        <c:lblAlgn val="ctr"/>
        <c:lblOffset val="100"/>
        <c:noMultiLvlLbl val="0"/>
      </c:catAx>
      <c:valAx>
        <c:axId val="3234932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49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Përmbajtja e nitrateve</a:t>
            </a:r>
          </a:p>
        </c:rich>
      </c:tx>
      <c:overlay val="0"/>
      <c:spPr>
        <a:noFill/>
        <a:ln>
          <a:noFill/>
        </a:ln>
        <a:effectLst/>
      </c:spPr>
    </c:title>
    <c:autoTitleDeleted val="0"/>
    <c:plotArea>
      <c:layout/>
      <c:barChart>
        <c:barDir val="col"/>
        <c:grouping val="clustered"/>
        <c:varyColors val="0"/>
        <c:ser>
          <c:idx val="0"/>
          <c:order val="0"/>
          <c:tx>
            <c:strRef>
              <c:f>'No3'!$B$6</c:f>
              <c:strCache>
                <c:ptCount val="1"/>
                <c:pt idx="0">
                  <c:v>mesatare vjetore 2025</c:v>
                </c:pt>
              </c:strCache>
            </c:strRef>
          </c:tx>
          <c:spPr>
            <a:solidFill>
              <a:schemeClr val="accent1"/>
            </a:solidFill>
            <a:ln>
              <a:noFill/>
            </a:ln>
            <a:effectLst/>
          </c:spPr>
          <c:invertIfNegative val="0"/>
          <c:cat>
            <c:strRef>
              <c:f>'No3'!$C$5:$D$5</c:f>
              <c:strCache>
                <c:ptCount val="2"/>
                <c:pt idx="0">
                  <c:v>stacion reference</c:v>
                </c:pt>
                <c:pt idx="1">
                  <c:v>stacion litoral</c:v>
                </c:pt>
              </c:strCache>
            </c:strRef>
          </c:cat>
          <c:val>
            <c:numRef>
              <c:f>'No3'!$C$6:$D$6</c:f>
              <c:numCache>
                <c:formatCode>0.000</c:formatCode>
                <c:ptCount val="2"/>
                <c:pt idx="0">
                  <c:v>0.09</c:v>
                </c:pt>
                <c:pt idx="1">
                  <c:v>7.0000000000000007E-2</c:v>
                </c:pt>
              </c:numCache>
            </c:numRef>
          </c:val>
          <c:extLst>
            <c:ext xmlns:c16="http://schemas.microsoft.com/office/drawing/2014/chart" uri="{C3380CC4-5D6E-409C-BE32-E72D297353CC}">
              <c16:uniqueId val="{00000000-D96F-4228-BB50-C8D8F7798F84}"/>
            </c:ext>
          </c:extLst>
        </c:ser>
        <c:dLbls>
          <c:showLegendKey val="0"/>
          <c:showVal val="0"/>
          <c:showCatName val="0"/>
          <c:showSerName val="0"/>
          <c:showPercent val="0"/>
          <c:showBubbleSize val="0"/>
        </c:dLbls>
        <c:gapWidth val="219"/>
        <c:overlap val="-27"/>
        <c:axId val="323536768"/>
        <c:axId val="323538304"/>
      </c:barChart>
      <c:lineChart>
        <c:grouping val="standard"/>
        <c:varyColors val="0"/>
        <c:ser>
          <c:idx val="1"/>
          <c:order val="1"/>
          <c:tx>
            <c:strRef>
              <c:f>'No3'!$B$7</c:f>
              <c:strCache>
                <c:ptCount val="1"/>
                <c:pt idx="0">
                  <c:v>Oligotrofik</c:v>
                </c:pt>
              </c:strCache>
            </c:strRef>
          </c:tx>
          <c:spPr>
            <a:ln w="28575" cap="rnd">
              <a:solidFill>
                <a:schemeClr val="accent2"/>
              </a:solidFill>
              <a:round/>
            </a:ln>
            <a:effectLst/>
          </c:spPr>
          <c:marker>
            <c:symbol val="none"/>
          </c:marker>
          <c:cat>
            <c:strRef>
              <c:f>'No3'!$C$5:$D$5</c:f>
              <c:strCache>
                <c:ptCount val="2"/>
                <c:pt idx="0">
                  <c:v>stacion reference</c:v>
                </c:pt>
                <c:pt idx="1">
                  <c:v>stacion litoral</c:v>
                </c:pt>
              </c:strCache>
            </c:strRef>
          </c:cat>
          <c:val>
            <c:numRef>
              <c:f>'No3'!$C$7:$D$7</c:f>
              <c:numCache>
                <c:formatCode>General</c:formatCode>
                <c:ptCount val="2"/>
                <c:pt idx="0">
                  <c:v>1</c:v>
                </c:pt>
                <c:pt idx="1">
                  <c:v>1</c:v>
                </c:pt>
              </c:numCache>
            </c:numRef>
          </c:val>
          <c:smooth val="0"/>
          <c:extLst>
            <c:ext xmlns:c16="http://schemas.microsoft.com/office/drawing/2014/chart" uri="{C3380CC4-5D6E-409C-BE32-E72D297353CC}">
              <c16:uniqueId val="{00000001-D96F-4228-BB50-C8D8F7798F84}"/>
            </c:ext>
          </c:extLst>
        </c:ser>
        <c:dLbls>
          <c:showLegendKey val="0"/>
          <c:showVal val="0"/>
          <c:showCatName val="0"/>
          <c:showSerName val="0"/>
          <c:showPercent val="0"/>
          <c:showBubbleSize val="0"/>
        </c:dLbls>
        <c:marker val="1"/>
        <c:smooth val="0"/>
        <c:axId val="323536768"/>
        <c:axId val="323538304"/>
      </c:lineChart>
      <c:catAx>
        <c:axId val="32353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538304"/>
        <c:crosses val="autoZero"/>
        <c:auto val="1"/>
        <c:lblAlgn val="ctr"/>
        <c:lblOffset val="100"/>
        <c:noMultiLvlLbl val="0"/>
      </c:catAx>
      <c:valAx>
        <c:axId val="323538304"/>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536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Përmbajtja e P-total</a:t>
            </a:r>
          </a:p>
        </c:rich>
      </c:tx>
      <c:overlay val="0"/>
      <c:spPr>
        <a:noFill/>
        <a:ln>
          <a:noFill/>
        </a:ln>
        <a:effectLst/>
      </c:spPr>
    </c:title>
    <c:autoTitleDeleted val="0"/>
    <c:plotArea>
      <c:layout/>
      <c:barChart>
        <c:barDir val="col"/>
        <c:grouping val="clustered"/>
        <c:varyColors val="0"/>
        <c:ser>
          <c:idx val="0"/>
          <c:order val="0"/>
          <c:tx>
            <c:strRef>
              <c:f>'P-total'!$B$6</c:f>
              <c:strCache>
                <c:ptCount val="1"/>
                <c:pt idx="0">
                  <c:v>mesatare vjetore 2025</c:v>
                </c:pt>
              </c:strCache>
            </c:strRef>
          </c:tx>
          <c:spPr>
            <a:solidFill>
              <a:schemeClr val="accent1"/>
            </a:solidFill>
            <a:ln>
              <a:noFill/>
            </a:ln>
            <a:effectLst/>
          </c:spPr>
          <c:invertIfNegative val="0"/>
          <c:cat>
            <c:strRef>
              <c:f>'P-total'!$C$5:$D$5</c:f>
              <c:strCache>
                <c:ptCount val="2"/>
                <c:pt idx="0">
                  <c:v>stacion reference</c:v>
                </c:pt>
                <c:pt idx="1">
                  <c:v>stacion litoral</c:v>
                </c:pt>
              </c:strCache>
            </c:strRef>
          </c:cat>
          <c:val>
            <c:numRef>
              <c:f>'P-total'!$C$6:$D$6</c:f>
              <c:numCache>
                <c:formatCode>0.000</c:formatCode>
                <c:ptCount val="2"/>
                <c:pt idx="0">
                  <c:v>5.4000000000000003E-3</c:v>
                </c:pt>
                <c:pt idx="1">
                  <c:v>7.6E-3</c:v>
                </c:pt>
              </c:numCache>
            </c:numRef>
          </c:val>
          <c:extLst>
            <c:ext xmlns:c16="http://schemas.microsoft.com/office/drawing/2014/chart" uri="{C3380CC4-5D6E-409C-BE32-E72D297353CC}">
              <c16:uniqueId val="{00000000-9059-4322-9A19-312F0306F266}"/>
            </c:ext>
          </c:extLst>
        </c:ser>
        <c:dLbls>
          <c:showLegendKey val="0"/>
          <c:showVal val="0"/>
          <c:showCatName val="0"/>
          <c:showSerName val="0"/>
          <c:showPercent val="0"/>
          <c:showBubbleSize val="0"/>
        </c:dLbls>
        <c:gapWidth val="219"/>
        <c:overlap val="-27"/>
        <c:axId val="323651456"/>
        <c:axId val="323652992"/>
      </c:barChart>
      <c:lineChart>
        <c:grouping val="standard"/>
        <c:varyColors val="0"/>
        <c:ser>
          <c:idx val="1"/>
          <c:order val="1"/>
          <c:tx>
            <c:strRef>
              <c:f>'P-total'!$B$7</c:f>
              <c:strCache>
                <c:ptCount val="1"/>
                <c:pt idx="0">
                  <c:v>Oligotrofik</c:v>
                </c:pt>
              </c:strCache>
            </c:strRef>
          </c:tx>
          <c:spPr>
            <a:ln w="28575" cap="rnd">
              <a:solidFill>
                <a:schemeClr val="accent2"/>
              </a:solidFill>
              <a:round/>
            </a:ln>
            <a:effectLst/>
          </c:spPr>
          <c:marker>
            <c:symbol val="none"/>
          </c:marker>
          <c:cat>
            <c:strRef>
              <c:f>'P-total'!$C$5:$D$5</c:f>
              <c:strCache>
                <c:ptCount val="2"/>
                <c:pt idx="0">
                  <c:v>stacion reference</c:v>
                </c:pt>
                <c:pt idx="1">
                  <c:v>stacion litoral</c:v>
                </c:pt>
              </c:strCache>
            </c:strRef>
          </c:cat>
          <c:val>
            <c:numRef>
              <c:f>'P-total'!$C$7:$D$7</c:f>
              <c:numCache>
                <c:formatCode>General</c:formatCode>
                <c:ptCount val="2"/>
                <c:pt idx="0">
                  <c:v>0.01</c:v>
                </c:pt>
                <c:pt idx="1">
                  <c:v>0.01</c:v>
                </c:pt>
              </c:numCache>
            </c:numRef>
          </c:val>
          <c:smooth val="0"/>
          <c:extLst>
            <c:ext xmlns:c16="http://schemas.microsoft.com/office/drawing/2014/chart" uri="{C3380CC4-5D6E-409C-BE32-E72D297353CC}">
              <c16:uniqueId val="{00000001-9059-4322-9A19-312F0306F266}"/>
            </c:ext>
          </c:extLst>
        </c:ser>
        <c:dLbls>
          <c:showLegendKey val="0"/>
          <c:showVal val="0"/>
          <c:showCatName val="0"/>
          <c:showSerName val="0"/>
          <c:showPercent val="0"/>
          <c:showBubbleSize val="0"/>
        </c:dLbls>
        <c:marker val="1"/>
        <c:smooth val="0"/>
        <c:axId val="323651456"/>
        <c:axId val="323652992"/>
      </c:lineChart>
      <c:catAx>
        <c:axId val="323651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52992"/>
        <c:crosses val="autoZero"/>
        <c:auto val="1"/>
        <c:lblAlgn val="ctr"/>
        <c:lblOffset val="100"/>
        <c:noMultiLvlLbl val="0"/>
      </c:catAx>
      <c:valAx>
        <c:axId val="323652992"/>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51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Përmbajtja e oksigjenit të  tretur</a:t>
            </a:r>
          </a:p>
        </c:rich>
      </c:tx>
      <c:overlay val="0"/>
      <c:spPr>
        <a:noFill/>
        <a:ln>
          <a:noFill/>
        </a:ln>
        <a:effectLst/>
      </c:spPr>
    </c:title>
    <c:autoTitleDeleted val="0"/>
    <c:plotArea>
      <c:layout/>
      <c:barChart>
        <c:barDir val="col"/>
        <c:grouping val="clustered"/>
        <c:varyColors val="0"/>
        <c:ser>
          <c:idx val="0"/>
          <c:order val="0"/>
          <c:tx>
            <c:strRef>
              <c:f>tributaret!$B$4</c:f>
              <c:strCache>
                <c:ptCount val="1"/>
                <c:pt idx="0">
                  <c:v>mesatare vjetore 2025</c:v>
                </c:pt>
              </c:strCache>
            </c:strRef>
          </c:tx>
          <c:spPr>
            <a:solidFill>
              <a:schemeClr val="accent1"/>
            </a:solidFill>
            <a:ln>
              <a:noFill/>
            </a:ln>
            <a:effectLst/>
          </c:spPr>
          <c:invertIfNegative val="0"/>
          <c:cat>
            <c:strRef>
              <c:f>tributaret!$C$3:$E$3</c:f>
              <c:strCache>
                <c:ptCount val="3"/>
                <c:pt idx="0">
                  <c:v>Lumi i Pogradecit</c:v>
                </c:pt>
                <c:pt idx="1">
                  <c:v>Lumi Verdove</c:v>
                </c:pt>
                <c:pt idx="2">
                  <c:v>Lumi Tushemisht</c:v>
                </c:pt>
              </c:strCache>
            </c:strRef>
          </c:cat>
          <c:val>
            <c:numRef>
              <c:f>tributaret!$C$4:$E$4</c:f>
              <c:numCache>
                <c:formatCode>General</c:formatCode>
                <c:ptCount val="3"/>
                <c:pt idx="0">
                  <c:v>9.1</c:v>
                </c:pt>
                <c:pt idx="1">
                  <c:v>10.7</c:v>
                </c:pt>
                <c:pt idx="2">
                  <c:v>13.1</c:v>
                </c:pt>
              </c:numCache>
            </c:numRef>
          </c:val>
          <c:extLst>
            <c:ext xmlns:c16="http://schemas.microsoft.com/office/drawing/2014/chart" uri="{C3380CC4-5D6E-409C-BE32-E72D297353CC}">
              <c16:uniqueId val="{00000000-3FBA-4A0C-9376-C266164F42D8}"/>
            </c:ext>
          </c:extLst>
        </c:ser>
        <c:dLbls>
          <c:showLegendKey val="0"/>
          <c:showVal val="0"/>
          <c:showCatName val="0"/>
          <c:showSerName val="0"/>
          <c:showPercent val="0"/>
          <c:showBubbleSize val="0"/>
        </c:dLbls>
        <c:gapWidth val="219"/>
        <c:overlap val="-27"/>
        <c:axId val="323995520"/>
        <c:axId val="323997056"/>
      </c:barChart>
      <c:lineChart>
        <c:grouping val="standard"/>
        <c:varyColors val="0"/>
        <c:ser>
          <c:idx val="1"/>
          <c:order val="1"/>
          <c:tx>
            <c:strRef>
              <c:f>tributaret!$B$5</c:f>
              <c:strCache>
                <c:ptCount val="1"/>
                <c:pt idx="0">
                  <c:v>Norma DKU</c:v>
                </c:pt>
              </c:strCache>
            </c:strRef>
          </c:tx>
          <c:spPr>
            <a:ln w="28575" cap="rnd">
              <a:solidFill>
                <a:schemeClr val="accent2"/>
              </a:solidFill>
              <a:round/>
            </a:ln>
            <a:effectLst/>
          </c:spPr>
          <c:marker>
            <c:symbol val="none"/>
          </c:marker>
          <c:cat>
            <c:strRef>
              <c:f>tributaret!$C$3:$E$3</c:f>
              <c:strCache>
                <c:ptCount val="3"/>
                <c:pt idx="0">
                  <c:v>Lumi i Pogradecit</c:v>
                </c:pt>
                <c:pt idx="1">
                  <c:v>Lumi Verdove</c:v>
                </c:pt>
                <c:pt idx="2">
                  <c:v>Lumi Tushemisht</c:v>
                </c:pt>
              </c:strCache>
            </c:strRef>
          </c:cat>
          <c:val>
            <c:numRef>
              <c:f>tributaret!$C$5:$E$5</c:f>
              <c:numCache>
                <c:formatCode>General</c:formatCode>
                <c:ptCount val="3"/>
                <c:pt idx="0">
                  <c:v>7</c:v>
                </c:pt>
                <c:pt idx="1">
                  <c:v>7</c:v>
                </c:pt>
                <c:pt idx="2">
                  <c:v>7</c:v>
                </c:pt>
              </c:numCache>
            </c:numRef>
          </c:val>
          <c:smooth val="0"/>
          <c:extLst>
            <c:ext xmlns:c16="http://schemas.microsoft.com/office/drawing/2014/chart" uri="{C3380CC4-5D6E-409C-BE32-E72D297353CC}">
              <c16:uniqueId val="{00000001-3FBA-4A0C-9376-C266164F42D8}"/>
            </c:ext>
          </c:extLst>
        </c:ser>
        <c:dLbls>
          <c:showLegendKey val="0"/>
          <c:showVal val="0"/>
          <c:showCatName val="0"/>
          <c:showSerName val="0"/>
          <c:showPercent val="0"/>
          <c:showBubbleSize val="0"/>
        </c:dLbls>
        <c:marker val="1"/>
        <c:smooth val="0"/>
        <c:axId val="323995520"/>
        <c:axId val="323997056"/>
      </c:lineChart>
      <c:catAx>
        <c:axId val="32399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997056"/>
        <c:crosses val="autoZero"/>
        <c:auto val="1"/>
        <c:lblAlgn val="ctr"/>
        <c:lblOffset val="100"/>
        <c:noMultiLvlLbl val="0"/>
      </c:catAx>
      <c:valAx>
        <c:axId val="32399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995520"/>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Shkodër,</a:t>
            </a:r>
            <a:r>
              <a:rPr lang="sq-AL" sz="1200" b="1">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Niveli i Zhurmave 2025 LAeq/Natën dB(A)</a:t>
            </a:r>
          </a:p>
        </c:rich>
      </c:tx>
      <c:layout>
        <c:manualLayout>
          <c:xMode val="edge"/>
          <c:yMode val="edge"/>
          <c:x val="0.13918044619422573"/>
          <c:y val="2.7777777777777776E-2"/>
        </c:manualLayout>
      </c:layout>
      <c:overlay val="0"/>
      <c:spPr>
        <a:noFill/>
        <a:ln>
          <a:noFill/>
        </a:ln>
        <a:effectLst/>
      </c:spPr>
    </c:title>
    <c:autoTitleDeleted val="0"/>
    <c:plotArea>
      <c:layout/>
      <c:barChart>
        <c:barDir val="col"/>
        <c:grouping val="clustered"/>
        <c:varyColors val="0"/>
        <c:ser>
          <c:idx val="0"/>
          <c:order val="0"/>
          <c:tx>
            <c:strRef>
              <c:f>'Zhurmat Shkoder 2025'!$A$11</c:f>
              <c:strCache>
                <c:ptCount val="1"/>
                <c:pt idx="0">
                  <c:v>LAeq/Naten dB(A) </c:v>
                </c:pt>
              </c:strCache>
            </c:strRef>
          </c:tx>
          <c:spPr>
            <a:solidFill>
              <a:srgbClr val="00B050"/>
            </a:solidFill>
            <a:ln>
              <a:noFill/>
            </a:ln>
            <a:effectLst/>
          </c:spPr>
          <c:invertIfNegative val="0"/>
          <c:cat>
            <c:strRef>
              <c:f>'Zhurmat Shkoder 2025'!$B$10:$C$10</c:f>
              <c:strCache>
                <c:ptCount val="2"/>
                <c:pt idx="0">
                  <c:v>Rozafa</c:v>
                </c:pt>
                <c:pt idx="1">
                  <c:v>Hyrja e Qytetit </c:v>
                </c:pt>
              </c:strCache>
            </c:strRef>
          </c:cat>
          <c:val>
            <c:numRef>
              <c:f>'Zhurmat Shkoder 2025'!$B$11:$C$11</c:f>
              <c:numCache>
                <c:formatCode>General</c:formatCode>
                <c:ptCount val="2"/>
                <c:pt idx="0">
                  <c:v>44.92</c:v>
                </c:pt>
                <c:pt idx="1">
                  <c:v>45.73</c:v>
                </c:pt>
              </c:numCache>
            </c:numRef>
          </c:val>
          <c:extLst>
            <c:ext xmlns:c16="http://schemas.microsoft.com/office/drawing/2014/chart" uri="{C3380CC4-5D6E-409C-BE32-E72D297353CC}">
              <c16:uniqueId val="{00000000-F6FE-42F1-939B-1096FAF83C63}"/>
            </c:ext>
          </c:extLst>
        </c:ser>
        <c:dLbls>
          <c:showLegendKey val="0"/>
          <c:showVal val="0"/>
          <c:showCatName val="0"/>
          <c:showSerName val="0"/>
          <c:showPercent val="0"/>
          <c:showBubbleSize val="0"/>
        </c:dLbls>
        <c:gapWidth val="219"/>
        <c:overlap val="-27"/>
        <c:axId val="246846208"/>
        <c:axId val="246847744"/>
      </c:barChart>
      <c:lineChart>
        <c:grouping val="standard"/>
        <c:varyColors val="0"/>
        <c:ser>
          <c:idx val="1"/>
          <c:order val="1"/>
          <c:tx>
            <c:strRef>
              <c:f>'Zhurmat Shkoder 2025'!$A$12</c:f>
              <c:strCache>
                <c:ptCount val="1"/>
                <c:pt idx="0">
                  <c:v>Norma e OBSH </c:v>
                </c:pt>
              </c:strCache>
            </c:strRef>
          </c:tx>
          <c:spPr>
            <a:ln w="28575" cap="rnd">
              <a:solidFill>
                <a:schemeClr val="accent2"/>
              </a:solidFill>
              <a:round/>
            </a:ln>
            <a:effectLst/>
          </c:spPr>
          <c:marker>
            <c:symbol val="none"/>
          </c:marker>
          <c:cat>
            <c:strRef>
              <c:f>'Zhurmat Shkoder 2025'!$B$10:$C$10</c:f>
              <c:strCache>
                <c:ptCount val="2"/>
                <c:pt idx="0">
                  <c:v>Rozafa</c:v>
                </c:pt>
                <c:pt idx="1">
                  <c:v>Hyrja e Qytetit </c:v>
                </c:pt>
              </c:strCache>
            </c:strRef>
          </c:cat>
          <c:val>
            <c:numRef>
              <c:f>'Zhurmat Shkoder 2025'!$B$12:$C$12</c:f>
              <c:numCache>
                <c:formatCode>General</c:formatCode>
                <c:ptCount val="2"/>
                <c:pt idx="0">
                  <c:v>45</c:v>
                </c:pt>
                <c:pt idx="1">
                  <c:v>45</c:v>
                </c:pt>
              </c:numCache>
            </c:numRef>
          </c:val>
          <c:smooth val="0"/>
          <c:extLst>
            <c:ext xmlns:c16="http://schemas.microsoft.com/office/drawing/2014/chart" uri="{C3380CC4-5D6E-409C-BE32-E72D297353CC}">
              <c16:uniqueId val="{00000001-F6FE-42F1-939B-1096FAF83C63}"/>
            </c:ext>
          </c:extLst>
        </c:ser>
        <c:dLbls>
          <c:showLegendKey val="0"/>
          <c:showVal val="0"/>
          <c:showCatName val="0"/>
          <c:showSerName val="0"/>
          <c:showPercent val="0"/>
          <c:showBubbleSize val="0"/>
        </c:dLbls>
        <c:marker val="1"/>
        <c:smooth val="0"/>
        <c:axId val="246846208"/>
        <c:axId val="246847744"/>
      </c:lineChart>
      <c:catAx>
        <c:axId val="24684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847744"/>
        <c:crosses val="autoZero"/>
        <c:auto val="1"/>
        <c:lblAlgn val="ctr"/>
        <c:lblOffset val="100"/>
        <c:noMultiLvlLbl val="0"/>
      </c:catAx>
      <c:valAx>
        <c:axId val="2468477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84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Përmbajtja e NBO5</a:t>
            </a:r>
          </a:p>
        </c:rich>
      </c:tx>
      <c:overlay val="0"/>
      <c:spPr>
        <a:noFill/>
        <a:ln>
          <a:noFill/>
        </a:ln>
        <a:effectLst/>
      </c:spPr>
    </c:title>
    <c:autoTitleDeleted val="0"/>
    <c:plotArea>
      <c:layout/>
      <c:barChart>
        <c:barDir val="col"/>
        <c:grouping val="clustered"/>
        <c:varyColors val="0"/>
        <c:ser>
          <c:idx val="0"/>
          <c:order val="0"/>
          <c:tx>
            <c:strRef>
              <c:f>tributaret!$J$4</c:f>
              <c:strCache>
                <c:ptCount val="1"/>
                <c:pt idx="0">
                  <c:v>mesatare vjetore 2025</c:v>
                </c:pt>
              </c:strCache>
            </c:strRef>
          </c:tx>
          <c:spPr>
            <a:solidFill>
              <a:schemeClr val="accent1"/>
            </a:solidFill>
            <a:ln>
              <a:noFill/>
            </a:ln>
            <a:effectLst/>
          </c:spPr>
          <c:invertIfNegative val="0"/>
          <c:cat>
            <c:strRef>
              <c:f>tributaret!$K$3:$M$3</c:f>
              <c:strCache>
                <c:ptCount val="3"/>
                <c:pt idx="0">
                  <c:v>Lumi i Pogradecit</c:v>
                </c:pt>
                <c:pt idx="1">
                  <c:v>Lumi Verdove</c:v>
                </c:pt>
                <c:pt idx="2">
                  <c:v>Lumi Tushemisht</c:v>
                </c:pt>
              </c:strCache>
            </c:strRef>
          </c:cat>
          <c:val>
            <c:numRef>
              <c:f>tributaret!$K$4:$M$4</c:f>
              <c:numCache>
                <c:formatCode>General</c:formatCode>
                <c:ptCount val="3"/>
                <c:pt idx="0">
                  <c:v>3</c:v>
                </c:pt>
                <c:pt idx="1">
                  <c:v>11</c:v>
                </c:pt>
                <c:pt idx="2">
                  <c:v>1.6</c:v>
                </c:pt>
              </c:numCache>
            </c:numRef>
          </c:val>
          <c:extLst>
            <c:ext xmlns:c16="http://schemas.microsoft.com/office/drawing/2014/chart" uri="{C3380CC4-5D6E-409C-BE32-E72D297353CC}">
              <c16:uniqueId val="{00000000-9411-480F-AA23-552113BC246A}"/>
            </c:ext>
          </c:extLst>
        </c:ser>
        <c:dLbls>
          <c:showLegendKey val="0"/>
          <c:showVal val="0"/>
          <c:showCatName val="0"/>
          <c:showSerName val="0"/>
          <c:showPercent val="0"/>
          <c:showBubbleSize val="0"/>
        </c:dLbls>
        <c:gapWidth val="219"/>
        <c:overlap val="-27"/>
        <c:axId val="332572160"/>
        <c:axId val="332573696"/>
      </c:barChart>
      <c:lineChart>
        <c:grouping val="standard"/>
        <c:varyColors val="0"/>
        <c:ser>
          <c:idx val="1"/>
          <c:order val="1"/>
          <c:tx>
            <c:strRef>
              <c:f>tributaret!$J$5</c:f>
              <c:strCache>
                <c:ptCount val="1"/>
                <c:pt idx="0">
                  <c:v>Norma DKU</c:v>
                </c:pt>
              </c:strCache>
            </c:strRef>
          </c:tx>
          <c:spPr>
            <a:ln w="28575" cap="rnd">
              <a:solidFill>
                <a:schemeClr val="accent2"/>
              </a:solidFill>
              <a:round/>
            </a:ln>
            <a:effectLst/>
          </c:spPr>
          <c:marker>
            <c:symbol val="none"/>
          </c:marker>
          <c:cat>
            <c:strRef>
              <c:f>tributaret!$K$3:$M$3</c:f>
              <c:strCache>
                <c:ptCount val="3"/>
                <c:pt idx="0">
                  <c:v>Lumi i Pogradecit</c:v>
                </c:pt>
                <c:pt idx="1">
                  <c:v>Lumi Verdove</c:v>
                </c:pt>
                <c:pt idx="2">
                  <c:v>Lumi Tushemisht</c:v>
                </c:pt>
              </c:strCache>
            </c:strRef>
          </c:cat>
          <c:val>
            <c:numRef>
              <c:f>tributaret!$K$5:$M$5</c:f>
              <c:numCache>
                <c:formatCode>General</c:formatCode>
                <c:ptCount val="3"/>
                <c:pt idx="0">
                  <c:v>7</c:v>
                </c:pt>
                <c:pt idx="1">
                  <c:v>7</c:v>
                </c:pt>
                <c:pt idx="2">
                  <c:v>7</c:v>
                </c:pt>
              </c:numCache>
            </c:numRef>
          </c:val>
          <c:smooth val="0"/>
          <c:extLst>
            <c:ext xmlns:c16="http://schemas.microsoft.com/office/drawing/2014/chart" uri="{C3380CC4-5D6E-409C-BE32-E72D297353CC}">
              <c16:uniqueId val="{00000001-9411-480F-AA23-552113BC246A}"/>
            </c:ext>
          </c:extLst>
        </c:ser>
        <c:dLbls>
          <c:showLegendKey val="0"/>
          <c:showVal val="0"/>
          <c:showCatName val="0"/>
          <c:showSerName val="0"/>
          <c:showPercent val="0"/>
          <c:showBubbleSize val="0"/>
        </c:dLbls>
        <c:marker val="1"/>
        <c:smooth val="0"/>
        <c:axId val="332572160"/>
        <c:axId val="332573696"/>
      </c:lineChart>
      <c:catAx>
        <c:axId val="33257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573696"/>
        <c:crosses val="autoZero"/>
        <c:auto val="1"/>
        <c:lblAlgn val="ctr"/>
        <c:lblOffset val="100"/>
        <c:noMultiLvlLbl val="0"/>
      </c:catAx>
      <c:valAx>
        <c:axId val="332573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572160"/>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b="1">
                <a:latin typeface="Times New Roman" panose="02020603050405020304" pitchFamily="18" charset="0"/>
                <a:cs typeface="Times New Roman" panose="02020603050405020304" pitchFamily="18" charset="0"/>
              </a:rPr>
              <a:t>Përmbajtja e amonjakut</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a:t> </a:t>
            </a:r>
          </a:p>
        </c:rich>
      </c:tx>
      <c:overlay val="0"/>
      <c:spPr>
        <a:noFill/>
        <a:ln>
          <a:noFill/>
        </a:ln>
        <a:effectLst/>
      </c:spPr>
    </c:title>
    <c:autoTitleDeleted val="0"/>
    <c:plotArea>
      <c:layout/>
      <c:barChart>
        <c:barDir val="col"/>
        <c:grouping val="clustered"/>
        <c:varyColors val="0"/>
        <c:ser>
          <c:idx val="0"/>
          <c:order val="0"/>
          <c:tx>
            <c:strRef>
              <c:f>tributaret!$B$26</c:f>
              <c:strCache>
                <c:ptCount val="1"/>
                <c:pt idx="0">
                  <c:v>mesatare vjetore 2025</c:v>
                </c:pt>
              </c:strCache>
            </c:strRef>
          </c:tx>
          <c:spPr>
            <a:solidFill>
              <a:schemeClr val="accent1"/>
            </a:solidFill>
            <a:ln>
              <a:noFill/>
            </a:ln>
            <a:effectLst/>
          </c:spPr>
          <c:invertIfNegative val="0"/>
          <c:cat>
            <c:strRef>
              <c:f>tributaret!$C$25:$E$25</c:f>
              <c:strCache>
                <c:ptCount val="3"/>
                <c:pt idx="0">
                  <c:v>Lumi i Pogradecit</c:v>
                </c:pt>
                <c:pt idx="1">
                  <c:v>Lumi Verdove</c:v>
                </c:pt>
                <c:pt idx="2">
                  <c:v>Lumi Tushemisht</c:v>
                </c:pt>
              </c:strCache>
            </c:strRef>
          </c:cat>
          <c:val>
            <c:numRef>
              <c:f>tributaret!$C$26:$E$26</c:f>
              <c:numCache>
                <c:formatCode>0.000</c:formatCode>
                <c:ptCount val="3"/>
                <c:pt idx="0">
                  <c:v>2.1999999999999999E-2</c:v>
                </c:pt>
                <c:pt idx="1">
                  <c:v>5.0999999999999997E-2</c:v>
                </c:pt>
                <c:pt idx="2">
                  <c:v>2.7E-2</c:v>
                </c:pt>
              </c:numCache>
            </c:numRef>
          </c:val>
          <c:extLst>
            <c:ext xmlns:c16="http://schemas.microsoft.com/office/drawing/2014/chart" uri="{C3380CC4-5D6E-409C-BE32-E72D297353CC}">
              <c16:uniqueId val="{00000000-D524-4CFC-A3BF-0B32618DF72D}"/>
            </c:ext>
          </c:extLst>
        </c:ser>
        <c:dLbls>
          <c:showLegendKey val="0"/>
          <c:showVal val="0"/>
          <c:showCatName val="0"/>
          <c:showSerName val="0"/>
          <c:showPercent val="0"/>
          <c:showBubbleSize val="0"/>
        </c:dLbls>
        <c:gapWidth val="219"/>
        <c:overlap val="-27"/>
        <c:axId val="332641408"/>
        <c:axId val="332642944"/>
      </c:barChart>
      <c:lineChart>
        <c:grouping val="standard"/>
        <c:varyColors val="0"/>
        <c:ser>
          <c:idx val="1"/>
          <c:order val="1"/>
          <c:tx>
            <c:strRef>
              <c:f>tributaret!$B$27</c:f>
              <c:strCache>
                <c:ptCount val="1"/>
                <c:pt idx="0">
                  <c:v>Norma DKU</c:v>
                </c:pt>
              </c:strCache>
            </c:strRef>
          </c:tx>
          <c:spPr>
            <a:ln w="28575" cap="rnd">
              <a:solidFill>
                <a:schemeClr val="accent2"/>
              </a:solidFill>
              <a:round/>
            </a:ln>
            <a:effectLst/>
          </c:spPr>
          <c:marker>
            <c:symbol val="none"/>
          </c:marker>
          <c:cat>
            <c:strRef>
              <c:f>tributaret!$C$25:$E$25</c:f>
              <c:strCache>
                <c:ptCount val="3"/>
                <c:pt idx="0">
                  <c:v>Lumi i Pogradecit</c:v>
                </c:pt>
                <c:pt idx="1">
                  <c:v>Lumi Verdove</c:v>
                </c:pt>
                <c:pt idx="2">
                  <c:v>Lumi Tushemisht</c:v>
                </c:pt>
              </c:strCache>
            </c:strRef>
          </c:cat>
          <c:val>
            <c:numRef>
              <c:f>tributaret!$C$27:$E$27</c:f>
              <c:numCache>
                <c:formatCode>General</c:formatCode>
                <c:ptCount val="3"/>
                <c:pt idx="0">
                  <c:v>0.6</c:v>
                </c:pt>
                <c:pt idx="1">
                  <c:v>0.6</c:v>
                </c:pt>
                <c:pt idx="2">
                  <c:v>0.6</c:v>
                </c:pt>
              </c:numCache>
            </c:numRef>
          </c:val>
          <c:smooth val="0"/>
          <c:extLst>
            <c:ext xmlns:c16="http://schemas.microsoft.com/office/drawing/2014/chart" uri="{C3380CC4-5D6E-409C-BE32-E72D297353CC}">
              <c16:uniqueId val="{00000001-D524-4CFC-A3BF-0B32618DF72D}"/>
            </c:ext>
          </c:extLst>
        </c:ser>
        <c:dLbls>
          <c:showLegendKey val="0"/>
          <c:showVal val="0"/>
          <c:showCatName val="0"/>
          <c:showSerName val="0"/>
          <c:showPercent val="0"/>
          <c:showBubbleSize val="0"/>
        </c:dLbls>
        <c:marker val="1"/>
        <c:smooth val="0"/>
        <c:axId val="332641408"/>
        <c:axId val="332642944"/>
      </c:lineChart>
      <c:catAx>
        <c:axId val="33264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642944"/>
        <c:crosses val="autoZero"/>
        <c:auto val="1"/>
        <c:lblAlgn val="ctr"/>
        <c:lblOffset val="100"/>
        <c:noMultiLvlLbl val="0"/>
      </c:catAx>
      <c:valAx>
        <c:axId val="332642944"/>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641408"/>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Përmbajtja e nitriteve</a:t>
            </a:r>
          </a:p>
        </c:rich>
      </c:tx>
      <c:overlay val="0"/>
      <c:spPr>
        <a:noFill/>
        <a:ln>
          <a:noFill/>
        </a:ln>
        <a:effectLst/>
      </c:spPr>
    </c:title>
    <c:autoTitleDeleted val="0"/>
    <c:plotArea>
      <c:layout/>
      <c:barChart>
        <c:barDir val="col"/>
        <c:grouping val="clustered"/>
        <c:varyColors val="0"/>
        <c:ser>
          <c:idx val="0"/>
          <c:order val="0"/>
          <c:tx>
            <c:strRef>
              <c:f>tributaret!$J$26</c:f>
              <c:strCache>
                <c:ptCount val="1"/>
                <c:pt idx="0">
                  <c:v>mesatare vjetore 2025</c:v>
                </c:pt>
              </c:strCache>
            </c:strRef>
          </c:tx>
          <c:spPr>
            <a:solidFill>
              <a:schemeClr val="accent1"/>
            </a:solidFill>
            <a:ln>
              <a:noFill/>
            </a:ln>
            <a:effectLst/>
          </c:spPr>
          <c:invertIfNegative val="0"/>
          <c:cat>
            <c:strRef>
              <c:f>tributaret!$K$25:$M$25</c:f>
              <c:strCache>
                <c:ptCount val="3"/>
                <c:pt idx="0">
                  <c:v>Lumi i Pogradecit</c:v>
                </c:pt>
                <c:pt idx="1">
                  <c:v>Lumi Verdove</c:v>
                </c:pt>
                <c:pt idx="2">
                  <c:v>Lumi Tushemisht</c:v>
                </c:pt>
              </c:strCache>
            </c:strRef>
          </c:cat>
          <c:val>
            <c:numRef>
              <c:f>tributaret!$K$26:$M$26</c:f>
              <c:numCache>
                <c:formatCode>0.000</c:formatCode>
                <c:ptCount val="3"/>
                <c:pt idx="0">
                  <c:v>2.0999999999999999E-3</c:v>
                </c:pt>
                <c:pt idx="1">
                  <c:v>5.8999999999999999E-3</c:v>
                </c:pt>
                <c:pt idx="2">
                  <c:v>1.6000000000000001E-3</c:v>
                </c:pt>
              </c:numCache>
            </c:numRef>
          </c:val>
          <c:extLst>
            <c:ext xmlns:c16="http://schemas.microsoft.com/office/drawing/2014/chart" uri="{C3380CC4-5D6E-409C-BE32-E72D297353CC}">
              <c16:uniqueId val="{00000000-5D02-4BB3-BBB4-ED146D078492}"/>
            </c:ext>
          </c:extLst>
        </c:ser>
        <c:dLbls>
          <c:showLegendKey val="0"/>
          <c:showVal val="0"/>
          <c:showCatName val="0"/>
          <c:showSerName val="0"/>
          <c:showPercent val="0"/>
          <c:showBubbleSize val="0"/>
        </c:dLbls>
        <c:gapWidth val="219"/>
        <c:overlap val="-27"/>
        <c:axId val="332882688"/>
        <c:axId val="332884224"/>
      </c:barChart>
      <c:lineChart>
        <c:grouping val="standard"/>
        <c:varyColors val="0"/>
        <c:ser>
          <c:idx val="1"/>
          <c:order val="1"/>
          <c:tx>
            <c:strRef>
              <c:f>tributaret!$J$27</c:f>
              <c:strCache>
                <c:ptCount val="1"/>
                <c:pt idx="0">
                  <c:v>Norma DKU</c:v>
                </c:pt>
              </c:strCache>
            </c:strRef>
          </c:tx>
          <c:spPr>
            <a:ln w="28575" cap="rnd">
              <a:solidFill>
                <a:schemeClr val="accent2"/>
              </a:solidFill>
              <a:round/>
            </a:ln>
            <a:effectLst/>
          </c:spPr>
          <c:marker>
            <c:symbol val="none"/>
          </c:marker>
          <c:cat>
            <c:strRef>
              <c:f>tributaret!$K$25:$M$25</c:f>
              <c:strCache>
                <c:ptCount val="3"/>
                <c:pt idx="0">
                  <c:v>Lumi i Pogradecit</c:v>
                </c:pt>
                <c:pt idx="1">
                  <c:v>Lumi Verdove</c:v>
                </c:pt>
                <c:pt idx="2">
                  <c:v>Lumi Tushemisht</c:v>
                </c:pt>
              </c:strCache>
            </c:strRef>
          </c:cat>
          <c:val>
            <c:numRef>
              <c:f>tributaret!$K$27:$M$27</c:f>
              <c:numCache>
                <c:formatCode>General</c:formatCode>
                <c:ptCount val="3"/>
                <c:pt idx="0">
                  <c:v>0.12</c:v>
                </c:pt>
                <c:pt idx="1">
                  <c:v>0.12</c:v>
                </c:pt>
                <c:pt idx="2">
                  <c:v>0.12</c:v>
                </c:pt>
              </c:numCache>
            </c:numRef>
          </c:val>
          <c:smooth val="0"/>
          <c:extLst>
            <c:ext xmlns:c16="http://schemas.microsoft.com/office/drawing/2014/chart" uri="{C3380CC4-5D6E-409C-BE32-E72D297353CC}">
              <c16:uniqueId val="{00000001-5D02-4BB3-BBB4-ED146D078492}"/>
            </c:ext>
          </c:extLst>
        </c:ser>
        <c:dLbls>
          <c:showLegendKey val="0"/>
          <c:showVal val="0"/>
          <c:showCatName val="0"/>
          <c:showSerName val="0"/>
          <c:showPercent val="0"/>
          <c:showBubbleSize val="0"/>
        </c:dLbls>
        <c:marker val="1"/>
        <c:smooth val="0"/>
        <c:axId val="332882688"/>
        <c:axId val="332884224"/>
      </c:lineChart>
      <c:catAx>
        <c:axId val="33288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884224"/>
        <c:crosses val="autoZero"/>
        <c:auto val="1"/>
        <c:lblAlgn val="ctr"/>
        <c:lblOffset val="100"/>
        <c:noMultiLvlLbl val="0"/>
      </c:catAx>
      <c:valAx>
        <c:axId val="332884224"/>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882688"/>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Përmbajtja e nitrateve</a:t>
            </a:r>
          </a:p>
        </c:rich>
      </c:tx>
      <c:overlay val="0"/>
      <c:spPr>
        <a:noFill/>
        <a:ln>
          <a:noFill/>
        </a:ln>
        <a:effectLst/>
      </c:spPr>
    </c:title>
    <c:autoTitleDeleted val="0"/>
    <c:plotArea>
      <c:layout/>
      <c:barChart>
        <c:barDir val="col"/>
        <c:grouping val="clustered"/>
        <c:varyColors val="0"/>
        <c:ser>
          <c:idx val="0"/>
          <c:order val="0"/>
          <c:tx>
            <c:strRef>
              <c:f>tributaret!$B$50</c:f>
              <c:strCache>
                <c:ptCount val="1"/>
                <c:pt idx="0">
                  <c:v>mesatare vjetore 2025</c:v>
                </c:pt>
              </c:strCache>
            </c:strRef>
          </c:tx>
          <c:spPr>
            <a:solidFill>
              <a:schemeClr val="accent1"/>
            </a:solidFill>
            <a:ln>
              <a:noFill/>
            </a:ln>
            <a:effectLst/>
          </c:spPr>
          <c:invertIfNegative val="0"/>
          <c:cat>
            <c:strRef>
              <c:f>tributaret!$C$49:$E$49</c:f>
              <c:strCache>
                <c:ptCount val="3"/>
                <c:pt idx="0">
                  <c:v>Lumi i Pogradecit</c:v>
                </c:pt>
                <c:pt idx="1">
                  <c:v>Lumi Verdove</c:v>
                </c:pt>
                <c:pt idx="2">
                  <c:v>Lumi Tushemisht</c:v>
                </c:pt>
              </c:strCache>
            </c:strRef>
          </c:cat>
          <c:val>
            <c:numRef>
              <c:f>tributaret!$C$50:$E$50</c:f>
              <c:numCache>
                <c:formatCode>0.00</c:formatCode>
                <c:ptCount val="3"/>
                <c:pt idx="0">
                  <c:v>1.25</c:v>
                </c:pt>
                <c:pt idx="1">
                  <c:v>1.18</c:v>
                </c:pt>
                <c:pt idx="2" formatCode="0.0">
                  <c:v>0.3</c:v>
                </c:pt>
              </c:numCache>
            </c:numRef>
          </c:val>
          <c:extLst>
            <c:ext xmlns:c16="http://schemas.microsoft.com/office/drawing/2014/chart" uri="{C3380CC4-5D6E-409C-BE32-E72D297353CC}">
              <c16:uniqueId val="{00000000-0474-45DE-91BD-C8D6E6BE9373}"/>
            </c:ext>
          </c:extLst>
        </c:ser>
        <c:dLbls>
          <c:showLegendKey val="0"/>
          <c:showVal val="0"/>
          <c:showCatName val="0"/>
          <c:showSerName val="0"/>
          <c:showPercent val="0"/>
          <c:showBubbleSize val="0"/>
        </c:dLbls>
        <c:gapWidth val="219"/>
        <c:overlap val="-27"/>
        <c:axId val="334848384"/>
        <c:axId val="334849920"/>
      </c:barChart>
      <c:lineChart>
        <c:grouping val="standard"/>
        <c:varyColors val="0"/>
        <c:ser>
          <c:idx val="1"/>
          <c:order val="1"/>
          <c:tx>
            <c:strRef>
              <c:f>tributaret!$B$51</c:f>
              <c:strCache>
                <c:ptCount val="1"/>
                <c:pt idx="0">
                  <c:v>Norma DKU</c:v>
                </c:pt>
              </c:strCache>
            </c:strRef>
          </c:tx>
          <c:spPr>
            <a:ln w="28575" cap="rnd">
              <a:solidFill>
                <a:schemeClr val="accent2"/>
              </a:solidFill>
              <a:round/>
            </a:ln>
            <a:effectLst/>
          </c:spPr>
          <c:marker>
            <c:symbol val="none"/>
          </c:marker>
          <c:cat>
            <c:strRef>
              <c:f>tributaret!$C$49:$E$49</c:f>
              <c:strCache>
                <c:ptCount val="3"/>
                <c:pt idx="0">
                  <c:v>Lumi i Pogradecit</c:v>
                </c:pt>
                <c:pt idx="1">
                  <c:v>Lumi Verdove</c:v>
                </c:pt>
                <c:pt idx="2">
                  <c:v>Lumi Tushemisht</c:v>
                </c:pt>
              </c:strCache>
            </c:strRef>
          </c:cat>
          <c:val>
            <c:numRef>
              <c:f>tributaret!$C$51:$E$51</c:f>
              <c:numCache>
                <c:formatCode>General</c:formatCode>
                <c:ptCount val="3"/>
                <c:pt idx="0">
                  <c:v>4</c:v>
                </c:pt>
                <c:pt idx="1">
                  <c:v>4</c:v>
                </c:pt>
                <c:pt idx="2">
                  <c:v>4</c:v>
                </c:pt>
              </c:numCache>
            </c:numRef>
          </c:val>
          <c:smooth val="0"/>
          <c:extLst>
            <c:ext xmlns:c16="http://schemas.microsoft.com/office/drawing/2014/chart" uri="{C3380CC4-5D6E-409C-BE32-E72D297353CC}">
              <c16:uniqueId val="{00000001-0474-45DE-91BD-C8D6E6BE9373}"/>
            </c:ext>
          </c:extLst>
        </c:ser>
        <c:dLbls>
          <c:showLegendKey val="0"/>
          <c:showVal val="0"/>
          <c:showCatName val="0"/>
          <c:showSerName val="0"/>
          <c:showPercent val="0"/>
          <c:showBubbleSize val="0"/>
        </c:dLbls>
        <c:marker val="1"/>
        <c:smooth val="0"/>
        <c:axId val="334848384"/>
        <c:axId val="334849920"/>
      </c:lineChart>
      <c:catAx>
        <c:axId val="33484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4849920"/>
        <c:crosses val="autoZero"/>
        <c:auto val="1"/>
        <c:lblAlgn val="ctr"/>
        <c:lblOffset val="100"/>
        <c:noMultiLvlLbl val="0"/>
      </c:catAx>
      <c:valAx>
        <c:axId val="3348499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4848384"/>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Përmbajtja  e fosforit</a:t>
            </a:r>
          </a:p>
        </c:rich>
      </c:tx>
      <c:overlay val="0"/>
      <c:spPr>
        <a:noFill/>
        <a:ln>
          <a:noFill/>
        </a:ln>
        <a:effectLst/>
      </c:spPr>
    </c:title>
    <c:autoTitleDeleted val="0"/>
    <c:plotArea>
      <c:layout/>
      <c:barChart>
        <c:barDir val="col"/>
        <c:grouping val="clustered"/>
        <c:varyColors val="0"/>
        <c:ser>
          <c:idx val="0"/>
          <c:order val="0"/>
          <c:tx>
            <c:strRef>
              <c:f>tributaret!$J$50</c:f>
              <c:strCache>
                <c:ptCount val="1"/>
                <c:pt idx="0">
                  <c:v>mesatare vjetore 2025</c:v>
                </c:pt>
              </c:strCache>
            </c:strRef>
          </c:tx>
          <c:spPr>
            <a:solidFill>
              <a:schemeClr val="accent1"/>
            </a:solidFill>
            <a:ln>
              <a:noFill/>
            </a:ln>
            <a:effectLst/>
          </c:spPr>
          <c:invertIfNegative val="0"/>
          <c:cat>
            <c:strRef>
              <c:f>tributaret!$K$49:$M$49</c:f>
              <c:strCache>
                <c:ptCount val="3"/>
                <c:pt idx="0">
                  <c:v>Lumi i Pogradecit</c:v>
                </c:pt>
                <c:pt idx="1">
                  <c:v>Lumi Verdove</c:v>
                </c:pt>
                <c:pt idx="2">
                  <c:v>Lumi Tushemisht</c:v>
                </c:pt>
              </c:strCache>
            </c:strRef>
          </c:cat>
          <c:val>
            <c:numRef>
              <c:f>tributaret!$K$50:$M$50</c:f>
              <c:numCache>
                <c:formatCode>0.000</c:formatCode>
                <c:ptCount val="3"/>
                <c:pt idx="0">
                  <c:v>2.1999999999999999E-2</c:v>
                </c:pt>
                <c:pt idx="1">
                  <c:v>0.1</c:v>
                </c:pt>
                <c:pt idx="2">
                  <c:v>8.0000000000000002E-3</c:v>
                </c:pt>
              </c:numCache>
            </c:numRef>
          </c:val>
          <c:extLst>
            <c:ext xmlns:c16="http://schemas.microsoft.com/office/drawing/2014/chart" uri="{C3380CC4-5D6E-409C-BE32-E72D297353CC}">
              <c16:uniqueId val="{00000000-9543-42D5-8B44-779550A1E5F8}"/>
            </c:ext>
          </c:extLst>
        </c:ser>
        <c:dLbls>
          <c:showLegendKey val="0"/>
          <c:showVal val="0"/>
          <c:showCatName val="0"/>
          <c:showSerName val="0"/>
          <c:showPercent val="0"/>
          <c:showBubbleSize val="0"/>
        </c:dLbls>
        <c:gapWidth val="219"/>
        <c:overlap val="-27"/>
        <c:axId val="335224832"/>
        <c:axId val="335226368"/>
      </c:barChart>
      <c:lineChart>
        <c:grouping val="standard"/>
        <c:varyColors val="0"/>
        <c:ser>
          <c:idx val="1"/>
          <c:order val="1"/>
          <c:tx>
            <c:strRef>
              <c:f>tributaret!$J$51</c:f>
              <c:strCache>
                <c:ptCount val="1"/>
                <c:pt idx="0">
                  <c:v>Norma DKU</c:v>
                </c:pt>
              </c:strCache>
            </c:strRef>
          </c:tx>
          <c:spPr>
            <a:ln w="28575" cap="rnd">
              <a:solidFill>
                <a:schemeClr val="accent2"/>
              </a:solidFill>
              <a:round/>
            </a:ln>
            <a:effectLst/>
          </c:spPr>
          <c:marker>
            <c:symbol val="none"/>
          </c:marker>
          <c:cat>
            <c:strRef>
              <c:f>tributaret!$K$49:$M$49</c:f>
              <c:strCache>
                <c:ptCount val="3"/>
                <c:pt idx="0">
                  <c:v>Lumi i Pogradecit</c:v>
                </c:pt>
                <c:pt idx="1">
                  <c:v>Lumi Verdove</c:v>
                </c:pt>
                <c:pt idx="2">
                  <c:v>Lumi Tushemisht</c:v>
                </c:pt>
              </c:strCache>
            </c:strRef>
          </c:cat>
          <c:val>
            <c:numRef>
              <c:f>tributaret!$K$51:$M$51</c:f>
              <c:numCache>
                <c:formatCode>General</c:formatCode>
                <c:ptCount val="3"/>
                <c:pt idx="0">
                  <c:v>0.2</c:v>
                </c:pt>
                <c:pt idx="1">
                  <c:v>0.2</c:v>
                </c:pt>
                <c:pt idx="2">
                  <c:v>0.2</c:v>
                </c:pt>
              </c:numCache>
            </c:numRef>
          </c:val>
          <c:smooth val="0"/>
          <c:extLst>
            <c:ext xmlns:c16="http://schemas.microsoft.com/office/drawing/2014/chart" uri="{C3380CC4-5D6E-409C-BE32-E72D297353CC}">
              <c16:uniqueId val="{00000001-9543-42D5-8B44-779550A1E5F8}"/>
            </c:ext>
          </c:extLst>
        </c:ser>
        <c:dLbls>
          <c:showLegendKey val="0"/>
          <c:showVal val="0"/>
          <c:showCatName val="0"/>
          <c:showSerName val="0"/>
          <c:showPercent val="0"/>
          <c:showBubbleSize val="0"/>
        </c:dLbls>
        <c:marker val="1"/>
        <c:smooth val="0"/>
        <c:axId val="335224832"/>
        <c:axId val="335226368"/>
      </c:lineChart>
      <c:catAx>
        <c:axId val="33522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5226368"/>
        <c:crosses val="autoZero"/>
        <c:auto val="1"/>
        <c:lblAlgn val="ctr"/>
        <c:lblOffset val="100"/>
        <c:noMultiLvlLbl val="0"/>
      </c:catAx>
      <c:valAx>
        <c:axId val="335226368"/>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5224832"/>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Përmbajtja</a:t>
            </a:r>
            <a:r>
              <a:rPr lang="en-US" sz="1200" b="1" baseline="0">
                <a:latin typeface="Times New Roman" panose="02020603050405020304" pitchFamily="18" charset="0"/>
                <a:cs typeface="Times New Roman" panose="02020603050405020304" pitchFamily="18" charset="0"/>
              </a:rPr>
              <a:t> e P-total</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tributaret!$B$74</c:f>
              <c:strCache>
                <c:ptCount val="1"/>
                <c:pt idx="0">
                  <c:v>mesatare vjetore 2025</c:v>
                </c:pt>
              </c:strCache>
            </c:strRef>
          </c:tx>
          <c:spPr>
            <a:solidFill>
              <a:schemeClr val="accent1"/>
            </a:solidFill>
            <a:ln>
              <a:noFill/>
            </a:ln>
            <a:effectLst/>
          </c:spPr>
          <c:invertIfNegative val="0"/>
          <c:cat>
            <c:strRef>
              <c:f>tributaret!$C$73:$E$73</c:f>
              <c:strCache>
                <c:ptCount val="3"/>
                <c:pt idx="0">
                  <c:v>Lumi i Pogradecit</c:v>
                </c:pt>
                <c:pt idx="1">
                  <c:v>Lumi Verdove</c:v>
                </c:pt>
                <c:pt idx="2">
                  <c:v>Lumi Tushemisht</c:v>
                </c:pt>
              </c:strCache>
            </c:strRef>
          </c:cat>
          <c:val>
            <c:numRef>
              <c:f>tributaret!$C$74:$E$74</c:f>
              <c:numCache>
                <c:formatCode>0.000</c:formatCode>
                <c:ptCount val="3"/>
                <c:pt idx="0">
                  <c:v>2.7E-2</c:v>
                </c:pt>
                <c:pt idx="1">
                  <c:v>0.13</c:v>
                </c:pt>
                <c:pt idx="2">
                  <c:v>1.0999999999999999E-2</c:v>
                </c:pt>
              </c:numCache>
            </c:numRef>
          </c:val>
          <c:extLst>
            <c:ext xmlns:c16="http://schemas.microsoft.com/office/drawing/2014/chart" uri="{C3380CC4-5D6E-409C-BE32-E72D297353CC}">
              <c16:uniqueId val="{00000000-C4AE-40CA-88C1-6E5343DF1DFE}"/>
            </c:ext>
          </c:extLst>
        </c:ser>
        <c:dLbls>
          <c:showLegendKey val="0"/>
          <c:showVal val="0"/>
          <c:showCatName val="0"/>
          <c:showSerName val="0"/>
          <c:showPercent val="0"/>
          <c:showBubbleSize val="0"/>
        </c:dLbls>
        <c:gapWidth val="219"/>
        <c:overlap val="-27"/>
        <c:axId val="335265152"/>
        <c:axId val="335279232"/>
      </c:barChart>
      <c:lineChart>
        <c:grouping val="standard"/>
        <c:varyColors val="0"/>
        <c:ser>
          <c:idx val="1"/>
          <c:order val="1"/>
          <c:tx>
            <c:strRef>
              <c:f>tributaret!$B$75</c:f>
              <c:strCache>
                <c:ptCount val="1"/>
                <c:pt idx="0">
                  <c:v>Norma DKU</c:v>
                </c:pt>
              </c:strCache>
            </c:strRef>
          </c:tx>
          <c:spPr>
            <a:ln w="28575" cap="rnd">
              <a:solidFill>
                <a:schemeClr val="accent2"/>
              </a:solidFill>
              <a:round/>
            </a:ln>
            <a:effectLst/>
          </c:spPr>
          <c:marker>
            <c:symbol val="none"/>
          </c:marker>
          <c:cat>
            <c:strRef>
              <c:f>tributaret!$C$73:$E$73</c:f>
              <c:strCache>
                <c:ptCount val="3"/>
                <c:pt idx="0">
                  <c:v>Lumi i Pogradecit</c:v>
                </c:pt>
                <c:pt idx="1">
                  <c:v>Lumi Verdove</c:v>
                </c:pt>
                <c:pt idx="2">
                  <c:v>Lumi Tushemisht</c:v>
                </c:pt>
              </c:strCache>
            </c:strRef>
          </c:cat>
          <c:val>
            <c:numRef>
              <c:f>tributaret!$C$75:$E$75</c:f>
              <c:numCache>
                <c:formatCode>General</c:formatCode>
                <c:ptCount val="3"/>
                <c:pt idx="0">
                  <c:v>0.4</c:v>
                </c:pt>
                <c:pt idx="1">
                  <c:v>0.4</c:v>
                </c:pt>
                <c:pt idx="2">
                  <c:v>0.4</c:v>
                </c:pt>
              </c:numCache>
            </c:numRef>
          </c:val>
          <c:smooth val="0"/>
          <c:extLst>
            <c:ext xmlns:c16="http://schemas.microsoft.com/office/drawing/2014/chart" uri="{C3380CC4-5D6E-409C-BE32-E72D297353CC}">
              <c16:uniqueId val="{00000001-C4AE-40CA-88C1-6E5343DF1DFE}"/>
            </c:ext>
          </c:extLst>
        </c:ser>
        <c:dLbls>
          <c:showLegendKey val="0"/>
          <c:showVal val="0"/>
          <c:showCatName val="0"/>
          <c:showSerName val="0"/>
          <c:showPercent val="0"/>
          <c:showBubbleSize val="0"/>
        </c:dLbls>
        <c:marker val="1"/>
        <c:smooth val="0"/>
        <c:axId val="335265152"/>
        <c:axId val="335279232"/>
      </c:lineChart>
      <c:catAx>
        <c:axId val="33526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5279232"/>
        <c:crosses val="autoZero"/>
        <c:auto val="1"/>
        <c:lblAlgn val="ctr"/>
        <c:lblOffset val="100"/>
        <c:noMultiLvlLbl val="0"/>
      </c:catAx>
      <c:valAx>
        <c:axId val="335279232"/>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5265152"/>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b="1" i="0" baseline="0">
                <a:latin typeface="Times New Roman" panose="02020603050405020304" pitchFamily="18" charset="0"/>
                <a:cs typeface="Times New Roman" panose="02020603050405020304" pitchFamily="18" charset="0"/>
              </a:rPr>
              <a:t>Transparenca</a:t>
            </a:r>
            <a:endParaRPr lang="en-US" sz="120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tx>
            <c:strRef>
              <c:f>Transparenca!$C$5</c:f>
              <c:strCache>
                <c:ptCount val="1"/>
                <c:pt idx="0">
                  <c:v>mesatare vjetore 2025</c:v>
                </c:pt>
              </c:strCache>
            </c:strRef>
          </c:tx>
          <c:invertIfNegative val="0"/>
          <c:cat>
            <c:strRef>
              <c:f>Transparenca!$D$4:$G$4</c:f>
              <c:strCache>
                <c:ptCount val="4"/>
                <c:pt idx="0">
                  <c:v>Goricë</c:v>
                </c:pt>
                <c:pt idx="1">
                  <c:v>Liqenas</c:v>
                </c:pt>
                <c:pt idx="2">
                  <c:v>Gollomboç</c:v>
                </c:pt>
                <c:pt idx="3">
                  <c:v>Prespa vogel</c:v>
                </c:pt>
              </c:strCache>
            </c:strRef>
          </c:cat>
          <c:val>
            <c:numRef>
              <c:f>Transparenca!$D$5:$G$5</c:f>
              <c:numCache>
                <c:formatCode>General</c:formatCode>
                <c:ptCount val="4"/>
                <c:pt idx="0">
                  <c:v>1.43</c:v>
                </c:pt>
                <c:pt idx="1">
                  <c:v>1.6</c:v>
                </c:pt>
                <c:pt idx="2">
                  <c:v>1.7</c:v>
                </c:pt>
                <c:pt idx="3">
                  <c:v>0.31</c:v>
                </c:pt>
              </c:numCache>
            </c:numRef>
          </c:val>
          <c:extLst>
            <c:ext xmlns:c16="http://schemas.microsoft.com/office/drawing/2014/chart" uri="{C3380CC4-5D6E-409C-BE32-E72D297353CC}">
              <c16:uniqueId val="{00000000-3CE5-4A76-94B5-F6B97C49BF7A}"/>
            </c:ext>
          </c:extLst>
        </c:ser>
        <c:dLbls>
          <c:showLegendKey val="0"/>
          <c:showVal val="0"/>
          <c:showCatName val="0"/>
          <c:showSerName val="0"/>
          <c:showPercent val="0"/>
          <c:showBubbleSize val="0"/>
        </c:dLbls>
        <c:gapWidth val="150"/>
        <c:axId val="336739328"/>
        <c:axId val="336745216"/>
      </c:barChart>
      <c:lineChart>
        <c:grouping val="stacked"/>
        <c:varyColors val="0"/>
        <c:ser>
          <c:idx val="1"/>
          <c:order val="1"/>
          <c:tx>
            <c:strRef>
              <c:f>Transparenca!$C$6</c:f>
              <c:strCache>
                <c:ptCount val="1"/>
                <c:pt idx="0">
                  <c:v>Oligotrofik</c:v>
                </c:pt>
              </c:strCache>
            </c:strRef>
          </c:tx>
          <c:marker>
            <c:symbol val="none"/>
          </c:marker>
          <c:cat>
            <c:strRef>
              <c:f>Transparenca!$D$4:$G$4</c:f>
              <c:strCache>
                <c:ptCount val="4"/>
                <c:pt idx="0">
                  <c:v>Goricë</c:v>
                </c:pt>
                <c:pt idx="1">
                  <c:v>Liqenas</c:v>
                </c:pt>
                <c:pt idx="2">
                  <c:v>Gollomboç</c:v>
                </c:pt>
                <c:pt idx="3">
                  <c:v>Prespa vogel</c:v>
                </c:pt>
              </c:strCache>
            </c:strRef>
          </c:cat>
          <c:val>
            <c:numRef>
              <c:f>Transparenca!$D$6:$G$6</c:f>
              <c:numCache>
                <c:formatCode>General</c:formatCode>
                <c:ptCount val="4"/>
                <c:pt idx="0">
                  <c:v>5</c:v>
                </c:pt>
                <c:pt idx="1">
                  <c:v>5</c:v>
                </c:pt>
                <c:pt idx="2">
                  <c:v>5</c:v>
                </c:pt>
                <c:pt idx="3">
                  <c:v>5</c:v>
                </c:pt>
              </c:numCache>
            </c:numRef>
          </c:val>
          <c:smooth val="0"/>
          <c:extLst>
            <c:ext xmlns:c16="http://schemas.microsoft.com/office/drawing/2014/chart" uri="{C3380CC4-5D6E-409C-BE32-E72D297353CC}">
              <c16:uniqueId val="{00000001-3CE5-4A76-94B5-F6B97C49BF7A}"/>
            </c:ext>
          </c:extLst>
        </c:ser>
        <c:dLbls>
          <c:showLegendKey val="0"/>
          <c:showVal val="0"/>
          <c:showCatName val="0"/>
          <c:showSerName val="0"/>
          <c:showPercent val="0"/>
          <c:showBubbleSize val="0"/>
        </c:dLbls>
        <c:marker val="1"/>
        <c:smooth val="0"/>
        <c:axId val="336739328"/>
        <c:axId val="336745216"/>
      </c:lineChart>
      <c:catAx>
        <c:axId val="336739328"/>
        <c:scaling>
          <c:orientation val="minMax"/>
        </c:scaling>
        <c:delete val="0"/>
        <c:axPos val="b"/>
        <c:numFmt formatCode="General" sourceLinked="0"/>
        <c:majorTickMark val="none"/>
        <c:minorTickMark val="none"/>
        <c:tickLblPos val="nextTo"/>
        <c:crossAx val="336745216"/>
        <c:crosses val="autoZero"/>
        <c:auto val="1"/>
        <c:lblAlgn val="ctr"/>
        <c:lblOffset val="100"/>
        <c:noMultiLvlLbl val="0"/>
      </c:catAx>
      <c:valAx>
        <c:axId val="336745216"/>
        <c:scaling>
          <c:orientation val="minMax"/>
        </c:scaling>
        <c:delete val="0"/>
        <c:axPos val="l"/>
        <c:majorGridlines/>
        <c:numFmt formatCode="General" sourceLinked="1"/>
        <c:majorTickMark val="none"/>
        <c:minorTickMark val="none"/>
        <c:tickLblPos val="nextTo"/>
        <c:crossAx val="336739328"/>
        <c:crosses val="autoZero"/>
        <c:crossBetween val="between"/>
      </c:valAx>
    </c:plotArea>
    <c:legend>
      <c:legendPos val="b"/>
      <c:overlay val="0"/>
    </c:legend>
    <c:plotVisOnly val="1"/>
    <c:dispBlanksAs val="zero"/>
    <c:showDLblsOverMax val="0"/>
  </c:chart>
  <c:externalData r:id="rId2">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kern="1200" baseline="0">
                <a:solidFill>
                  <a:sysClr val="windowText" lastClr="000000"/>
                </a:solidFill>
                <a:latin typeface="Times New Roman" panose="02020603050405020304" pitchFamily="18" charset="0"/>
                <a:cs typeface="Times New Roman" panose="02020603050405020304" pitchFamily="18" charset="0"/>
              </a:rPr>
              <a:t>Nevoja kimike për oksigjen</a:t>
            </a:r>
          </a:p>
        </c:rich>
      </c:tx>
      <c:overlay val="0"/>
      <c:spPr>
        <a:noFill/>
        <a:ln>
          <a:noFill/>
        </a:ln>
        <a:effectLst/>
      </c:spPr>
    </c:title>
    <c:autoTitleDeleted val="0"/>
    <c:plotArea>
      <c:layout/>
      <c:barChart>
        <c:barDir val="col"/>
        <c:grouping val="clustered"/>
        <c:varyColors val="0"/>
        <c:ser>
          <c:idx val="0"/>
          <c:order val="0"/>
          <c:tx>
            <c:strRef>
              <c:f>NKO!$D$4</c:f>
              <c:strCache>
                <c:ptCount val="1"/>
                <c:pt idx="0">
                  <c:v>mesatare vjetore 2025</c:v>
                </c:pt>
              </c:strCache>
            </c:strRef>
          </c:tx>
          <c:spPr>
            <a:solidFill>
              <a:schemeClr val="accent1"/>
            </a:solidFill>
            <a:ln>
              <a:noFill/>
            </a:ln>
            <a:effectLst/>
          </c:spPr>
          <c:invertIfNegative val="0"/>
          <c:cat>
            <c:strRef>
              <c:f>NKO!$E$3:$I$3</c:f>
              <c:strCache>
                <c:ptCount val="4"/>
                <c:pt idx="0">
                  <c:v>Gorice</c:v>
                </c:pt>
                <c:pt idx="1">
                  <c:v>Liqenas</c:v>
                </c:pt>
                <c:pt idx="2">
                  <c:v>Gollomboç</c:v>
                </c:pt>
                <c:pt idx="3">
                  <c:v>Prespe vogel</c:v>
                </c:pt>
              </c:strCache>
            </c:strRef>
          </c:cat>
          <c:val>
            <c:numRef>
              <c:f>NKO!$E$4:$I$4</c:f>
              <c:numCache>
                <c:formatCode>0.0</c:formatCode>
                <c:ptCount val="5"/>
                <c:pt idx="0">
                  <c:v>8</c:v>
                </c:pt>
                <c:pt idx="1">
                  <c:v>4.5999999999999996</c:v>
                </c:pt>
                <c:pt idx="2" formatCode="General">
                  <c:v>6.6</c:v>
                </c:pt>
                <c:pt idx="3" formatCode="General">
                  <c:v>15.6</c:v>
                </c:pt>
              </c:numCache>
            </c:numRef>
          </c:val>
          <c:extLst>
            <c:ext xmlns:c16="http://schemas.microsoft.com/office/drawing/2014/chart" uri="{C3380CC4-5D6E-409C-BE32-E72D297353CC}">
              <c16:uniqueId val="{00000000-A39E-45D8-9DFA-32C587DD3117}"/>
            </c:ext>
          </c:extLst>
        </c:ser>
        <c:ser>
          <c:idx val="1"/>
          <c:order val="1"/>
          <c:tx>
            <c:strRef>
              <c:f>NKO!$D$5</c:f>
              <c:strCache>
                <c:ptCount val="1"/>
                <c:pt idx="0">
                  <c:v>Oligotrofik</c:v>
                </c:pt>
              </c:strCache>
            </c:strRef>
          </c:tx>
          <c:spPr>
            <a:solidFill>
              <a:schemeClr val="accent2"/>
            </a:solidFill>
            <a:ln>
              <a:noFill/>
            </a:ln>
            <a:effectLst/>
          </c:spPr>
          <c:invertIfNegative val="0"/>
          <c:cat>
            <c:strRef>
              <c:f>NKO!$E$3:$I$3</c:f>
              <c:strCache>
                <c:ptCount val="4"/>
                <c:pt idx="0">
                  <c:v>Gorice</c:v>
                </c:pt>
                <c:pt idx="1">
                  <c:v>Liqenas</c:v>
                </c:pt>
                <c:pt idx="2">
                  <c:v>Gollomboç</c:v>
                </c:pt>
                <c:pt idx="3">
                  <c:v>Prespe vogel</c:v>
                </c:pt>
              </c:strCache>
            </c:strRef>
          </c:cat>
          <c:val>
            <c:numRef>
              <c:f>NKO!$E$5:$I$5</c:f>
              <c:numCache>
                <c:formatCode>General</c:formatCode>
                <c:ptCount val="5"/>
                <c:pt idx="0">
                  <c:v>2</c:v>
                </c:pt>
                <c:pt idx="1">
                  <c:v>2</c:v>
                </c:pt>
                <c:pt idx="2">
                  <c:v>2</c:v>
                </c:pt>
                <c:pt idx="3">
                  <c:v>2</c:v>
                </c:pt>
              </c:numCache>
            </c:numRef>
          </c:val>
          <c:extLst>
            <c:ext xmlns:c16="http://schemas.microsoft.com/office/drawing/2014/chart" uri="{C3380CC4-5D6E-409C-BE32-E72D297353CC}">
              <c16:uniqueId val="{00000001-A39E-45D8-9DFA-32C587DD3117}"/>
            </c:ext>
          </c:extLst>
        </c:ser>
        <c:dLbls>
          <c:showLegendKey val="0"/>
          <c:showVal val="0"/>
          <c:showCatName val="0"/>
          <c:showSerName val="0"/>
          <c:showPercent val="0"/>
          <c:showBubbleSize val="0"/>
        </c:dLbls>
        <c:gapWidth val="219"/>
        <c:overlap val="-27"/>
        <c:axId val="337011072"/>
        <c:axId val="337012608"/>
      </c:barChart>
      <c:lineChart>
        <c:grouping val="standard"/>
        <c:varyColors val="0"/>
        <c:ser>
          <c:idx val="2"/>
          <c:order val="2"/>
          <c:tx>
            <c:strRef>
              <c:f>NKO!$D$6</c:f>
              <c:strCache>
                <c:ptCount val="1"/>
                <c:pt idx="0">
                  <c:v>Mezotrofik</c:v>
                </c:pt>
              </c:strCache>
            </c:strRef>
          </c:tx>
          <c:spPr>
            <a:ln w="28575" cap="rnd">
              <a:solidFill>
                <a:schemeClr val="accent3"/>
              </a:solidFill>
              <a:round/>
            </a:ln>
            <a:effectLst/>
          </c:spPr>
          <c:marker>
            <c:symbol val="none"/>
          </c:marker>
          <c:cat>
            <c:strRef>
              <c:f>NKO!$E$3:$I$3</c:f>
              <c:strCache>
                <c:ptCount val="4"/>
                <c:pt idx="0">
                  <c:v>Gorice</c:v>
                </c:pt>
                <c:pt idx="1">
                  <c:v>Liqenas</c:v>
                </c:pt>
                <c:pt idx="2">
                  <c:v>Gollomboç</c:v>
                </c:pt>
                <c:pt idx="3">
                  <c:v>Prespe vogel</c:v>
                </c:pt>
              </c:strCache>
            </c:strRef>
          </c:cat>
          <c:val>
            <c:numRef>
              <c:f>NKO!$E$6:$I$6</c:f>
              <c:numCache>
                <c:formatCode>General</c:formatCode>
                <c:ptCount val="5"/>
                <c:pt idx="0">
                  <c:v>9</c:v>
                </c:pt>
                <c:pt idx="1">
                  <c:v>9</c:v>
                </c:pt>
                <c:pt idx="2">
                  <c:v>9</c:v>
                </c:pt>
                <c:pt idx="3">
                  <c:v>9</c:v>
                </c:pt>
              </c:numCache>
            </c:numRef>
          </c:val>
          <c:smooth val="0"/>
          <c:extLst>
            <c:ext xmlns:c16="http://schemas.microsoft.com/office/drawing/2014/chart" uri="{C3380CC4-5D6E-409C-BE32-E72D297353CC}">
              <c16:uniqueId val="{00000002-A39E-45D8-9DFA-32C587DD3117}"/>
            </c:ext>
          </c:extLst>
        </c:ser>
        <c:dLbls>
          <c:showLegendKey val="0"/>
          <c:showVal val="0"/>
          <c:showCatName val="0"/>
          <c:showSerName val="0"/>
          <c:showPercent val="0"/>
          <c:showBubbleSize val="0"/>
        </c:dLbls>
        <c:marker val="1"/>
        <c:smooth val="0"/>
        <c:axId val="337011072"/>
        <c:axId val="337012608"/>
      </c:lineChart>
      <c:catAx>
        <c:axId val="33701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012608"/>
        <c:crosses val="autoZero"/>
        <c:auto val="1"/>
        <c:lblAlgn val="ctr"/>
        <c:lblOffset val="100"/>
        <c:noMultiLvlLbl val="0"/>
      </c:catAx>
      <c:valAx>
        <c:axId val="3370126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01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kern="1200" baseline="0">
                <a:solidFill>
                  <a:sysClr val="windowText" lastClr="000000"/>
                </a:solidFill>
                <a:latin typeface="Times New Roman" pitchFamily="18" charset="0"/>
                <a:cs typeface="Times New Roman" pitchFamily="18" charset="0"/>
              </a:rPr>
              <a:t>Nevoja biokimike për oksigjen </a:t>
            </a:r>
          </a:p>
        </c:rich>
      </c:tx>
      <c:overlay val="0"/>
      <c:spPr>
        <a:noFill/>
        <a:ln>
          <a:noFill/>
        </a:ln>
        <a:effectLst/>
      </c:spPr>
    </c:title>
    <c:autoTitleDeleted val="0"/>
    <c:plotArea>
      <c:layout/>
      <c:barChart>
        <c:barDir val="col"/>
        <c:grouping val="clustered"/>
        <c:varyColors val="0"/>
        <c:ser>
          <c:idx val="0"/>
          <c:order val="0"/>
          <c:tx>
            <c:strRef>
              <c:f>'NB5'!$D$6</c:f>
              <c:strCache>
                <c:ptCount val="1"/>
                <c:pt idx="0">
                  <c:v>mesatare vjetore 2025</c:v>
                </c:pt>
              </c:strCache>
            </c:strRef>
          </c:tx>
          <c:spPr>
            <a:solidFill>
              <a:schemeClr val="accent1"/>
            </a:solidFill>
            <a:ln>
              <a:noFill/>
            </a:ln>
            <a:effectLst/>
          </c:spPr>
          <c:invertIfNegative val="0"/>
          <c:cat>
            <c:strRef>
              <c:f>'NB5'!$E$5:$I$5</c:f>
              <c:strCache>
                <c:ptCount val="4"/>
                <c:pt idx="0">
                  <c:v>Gorice</c:v>
                </c:pt>
                <c:pt idx="1">
                  <c:v>Liqenas</c:v>
                </c:pt>
                <c:pt idx="2">
                  <c:v>Gollomboç</c:v>
                </c:pt>
                <c:pt idx="3">
                  <c:v>Prespa vogel</c:v>
                </c:pt>
              </c:strCache>
            </c:strRef>
          </c:cat>
          <c:val>
            <c:numRef>
              <c:f>'NB5'!$E$6:$I$6</c:f>
              <c:numCache>
                <c:formatCode>0.0</c:formatCode>
                <c:ptCount val="5"/>
                <c:pt idx="0">
                  <c:v>4.5999999999999996</c:v>
                </c:pt>
                <c:pt idx="1">
                  <c:v>2.8</c:v>
                </c:pt>
                <c:pt idx="2">
                  <c:v>4.0999999999999996</c:v>
                </c:pt>
                <c:pt idx="3" formatCode="0">
                  <c:v>10</c:v>
                </c:pt>
              </c:numCache>
            </c:numRef>
          </c:val>
          <c:extLst>
            <c:ext xmlns:c16="http://schemas.microsoft.com/office/drawing/2014/chart" uri="{C3380CC4-5D6E-409C-BE32-E72D297353CC}">
              <c16:uniqueId val="{00000000-7CC0-450D-8EE7-A8F74FE50084}"/>
            </c:ext>
          </c:extLst>
        </c:ser>
        <c:ser>
          <c:idx val="1"/>
          <c:order val="1"/>
          <c:tx>
            <c:strRef>
              <c:f>'NB5'!$D$7</c:f>
              <c:strCache>
                <c:ptCount val="1"/>
                <c:pt idx="0">
                  <c:v>Oligotrofik</c:v>
                </c:pt>
              </c:strCache>
            </c:strRef>
          </c:tx>
          <c:spPr>
            <a:solidFill>
              <a:schemeClr val="accent2"/>
            </a:solidFill>
            <a:ln>
              <a:noFill/>
            </a:ln>
            <a:effectLst/>
          </c:spPr>
          <c:invertIfNegative val="0"/>
          <c:cat>
            <c:strRef>
              <c:f>'NB5'!$E$5:$I$5</c:f>
              <c:strCache>
                <c:ptCount val="4"/>
                <c:pt idx="0">
                  <c:v>Gorice</c:v>
                </c:pt>
                <c:pt idx="1">
                  <c:v>Liqenas</c:v>
                </c:pt>
                <c:pt idx="2">
                  <c:v>Gollomboç</c:v>
                </c:pt>
                <c:pt idx="3">
                  <c:v>Prespa vogel</c:v>
                </c:pt>
              </c:strCache>
            </c:strRef>
          </c:cat>
          <c:val>
            <c:numRef>
              <c:f>'NB5'!$E$7:$I$7</c:f>
              <c:numCache>
                <c:formatCode>General</c:formatCode>
                <c:ptCount val="5"/>
                <c:pt idx="0">
                  <c:v>3</c:v>
                </c:pt>
                <c:pt idx="1">
                  <c:v>3</c:v>
                </c:pt>
                <c:pt idx="2">
                  <c:v>3</c:v>
                </c:pt>
                <c:pt idx="3">
                  <c:v>3</c:v>
                </c:pt>
              </c:numCache>
            </c:numRef>
          </c:val>
          <c:extLst>
            <c:ext xmlns:c16="http://schemas.microsoft.com/office/drawing/2014/chart" uri="{C3380CC4-5D6E-409C-BE32-E72D297353CC}">
              <c16:uniqueId val="{00000001-7CC0-450D-8EE7-A8F74FE50084}"/>
            </c:ext>
          </c:extLst>
        </c:ser>
        <c:dLbls>
          <c:showLegendKey val="0"/>
          <c:showVal val="0"/>
          <c:showCatName val="0"/>
          <c:showSerName val="0"/>
          <c:showPercent val="0"/>
          <c:showBubbleSize val="0"/>
        </c:dLbls>
        <c:gapWidth val="219"/>
        <c:overlap val="-27"/>
        <c:axId val="345777664"/>
        <c:axId val="345779200"/>
      </c:barChart>
      <c:lineChart>
        <c:grouping val="standard"/>
        <c:varyColors val="0"/>
        <c:ser>
          <c:idx val="2"/>
          <c:order val="2"/>
          <c:tx>
            <c:strRef>
              <c:f>'NB5'!$D$8</c:f>
              <c:strCache>
                <c:ptCount val="1"/>
                <c:pt idx="0">
                  <c:v>Mezotrofik</c:v>
                </c:pt>
              </c:strCache>
            </c:strRef>
          </c:tx>
          <c:spPr>
            <a:ln w="28575" cap="rnd">
              <a:solidFill>
                <a:schemeClr val="accent3"/>
              </a:solidFill>
              <a:round/>
            </a:ln>
            <a:effectLst/>
          </c:spPr>
          <c:marker>
            <c:symbol val="none"/>
          </c:marker>
          <c:cat>
            <c:strRef>
              <c:f>'NB5'!$E$5:$I$5</c:f>
              <c:strCache>
                <c:ptCount val="4"/>
                <c:pt idx="0">
                  <c:v>Gorice</c:v>
                </c:pt>
                <c:pt idx="1">
                  <c:v>Liqenas</c:v>
                </c:pt>
                <c:pt idx="2">
                  <c:v>Gollomboç</c:v>
                </c:pt>
                <c:pt idx="3">
                  <c:v>Prespa vogel</c:v>
                </c:pt>
              </c:strCache>
            </c:strRef>
          </c:cat>
          <c:val>
            <c:numRef>
              <c:f>'NB5'!$E$8:$I$8</c:f>
              <c:numCache>
                <c:formatCode>General</c:formatCode>
                <c:ptCount val="5"/>
                <c:pt idx="0">
                  <c:v>5.5</c:v>
                </c:pt>
                <c:pt idx="1">
                  <c:v>5.5</c:v>
                </c:pt>
                <c:pt idx="2">
                  <c:v>5.5</c:v>
                </c:pt>
                <c:pt idx="3">
                  <c:v>5.5</c:v>
                </c:pt>
              </c:numCache>
            </c:numRef>
          </c:val>
          <c:smooth val="0"/>
          <c:extLst>
            <c:ext xmlns:c16="http://schemas.microsoft.com/office/drawing/2014/chart" uri="{C3380CC4-5D6E-409C-BE32-E72D297353CC}">
              <c16:uniqueId val="{00000002-7CC0-450D-8EE7-A8F74FE50084}"/>
            </c:ext>
          </c:extLst>
        </c:ser>
        <c:dLbls>
          <c:showLegendKey val="0"/>
          <c:showVal val="0"/>
          <c:showCatName val="0"/>
          <c:showSerName val="0"/>
          <c:showPercent val="0"/>
          <c:showBubbleSize val="0"/>
        </c:dLbls>
        <c:marker val="1"/>
        <c:smooth val="0"/>
        <c:axId val="345777664"/>
        <c:axId val="345779200"/>
      </c:lineChart>
      <c:catAx>
        <c:axId val="34577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5779200"/>
        <c:crosses val="autoZero"/>
        <c:auto val="1"/>
        <c:lblAlgn val="ctr"/>
        <c:lblOffset val="100"/>
        <c:noMultiLvlLbl val="0"/>
      </c:catAx>
      <c:valAx>
        <c:axId val="3457792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5777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b="1" i="0" baseline="0">
                <a:latin typeface="Times New Roman" panose="02020603050405020304" pitchFamily="18" charset="0"/>
                <a:cs typeface="Times New Roman" panose="02020603050405020304" pitchFamily="18" charset="0"/>
              </a:rPr>
              <a:t>Përmbajtja e Nitrateve</a:t>
            </a:r>
            <a:endParaRPr lang="en-US" sz="120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tx>
            <c:strRef>
              <c:f>'NO3'!$C$4</c:f>
              <c:strCache>
                <c:ptCount val="1"/>
                <c:pt idx="0">
                  <c:v>mesatare vjetore 2025</c:v>
                </c:pt>
              </c:strCache>
            </c:strRef>
          </c:tx>
          <c:invertIfNegative val="0"/>
          <c:cat>
            <c:strRef>
              <c:f>'NO3'!$D$3:$G$3</c:f>
              <c:strCache>
                <c:ptCount val="4"/>
                <c:pt idx="0">
                  <c:v>Gorice</c:v>
                </c:pt>
                <c:pt idx="1">
                  <c:v>Liqenas</c:v>
                </c:pt>
                <c:pt idx="2">
                  <c:v>Gollomboç</c:v>
                </c:pt>
                <c:pt idx="3">
                  <c:v>Prespa Vogel</c:v>
                </c:pt>
              </c:strCache>
            </c:strRef>
          </c:cat>
          <c:val>
            <c:numRef>
              <c:f>'NO3'!$D$4:$G$4</c:f>
              <c:numCache>
                <c:formatCode>0.000</c:formatCode>
                <c:ptCount val="4"/>
                <c:pt idx="0" formatCode="0.0">
                  <c:v>0.1</c:v>
                </c:pt>
                <c:pt idx="1">
                  <c:v>8.5999999999999993E-2</c:v>
                </c:pt>
                <c:pt idx="2" formatCode="0.00">
                  <c:v>0.14000000000000001</c:v>
                </c:pt>
                <c:pt idx="3" formatCode="0.00">
                  <c:v>0.34</c:v>
                </c:pt>
              </c:numCache>
            </c:numRef>
          </c:val>
          <c:extLst>
            <c:ext xmlns:c16="http://schemas.microsoft.com/office/drawing/2014/chart" uri="{C3380CC4-5D6E-409C-BE32-E72D297353CC}">
              <c16:uniqueId val="{00000000-1806-435B-BC35-2035F2A65B67}"/>
            </c:ext>
          </c:extLst>
        </c:ser>
        <c:dLbls>
          <c:showLegendKey val="0"/>
          <c:showVal val="0"/>
          <c:showCatName val="0"/>
          <c:showSerName val="0"/>
          <c:showPercent val="0"/>
          <c:showBubbleSize val="0"/>
        </c:dLbls>
        <c:gapWidth val="150"/>
        <c:axId val="345822336"/>
        <c:axId val="345823872"/>
      </c:barChart>
      <c:lineChart>
        <c:grouping val="stacked"/>
        <c:varyColors val="0"/>
        <c:ser>
          <c:idx val="1"/>
          <c:order val="1"/>
          <c:tx>
            <c:strRef>
              <c:f>'NO3'!$C$5</c:f>
              <c:strCache>
                <c:ptCount val="1"/>
                <c:pt idx="0">
                  <c:v>Oligotrofik</c:v>
                </c:pt>
              </c:strCache>
            </c:strRef>
          </c:tx>
          <c:marker>
            <c:symbol val="none"/>
          </c:marker>
          <c:cat>
            <c:strRef>
              <c:f>'NO3'!$D$3:$G$3</c:f>
              <c:strCache>
                <c:ptCount val="4"/>
                <c:pt idx="0">
                  <c:v>Gorice</c:v>
                </c:pt>
                <c:pt idx="1">
                  <c:v>Liqenas</c:v>
                </c:pt>
                <c:pt idx="2">
                  <c:v>Gollomboç</c:v>
                </c:pt>
                <c:pt idx="3">
                  <c:v>Prespa Vogel</c:v>
                </c:pt>
              </c:strCache>
            </c:strRef>
          </c:cat>
          <c:val>
            <c:numRef>
              <c:f>'NO3'!$D$5:$G$5</c:f>
              <c:numCache>
                <c:formatCode>General</c:formatCode>
                <c:ptCount val="4"/>
                <c:pt idx="0">
                  <c:v>1</c:v>
                </c:pt>
                <c:pt idx="1">
                  <c:v>1</c:v>
                </c:pt>
                <c:pt idx="2">
                  <c:v>1</c:v>
                </c:pt>
                <c:pt idx="3">
                  <c:v>1</c:v>
                </c:pt>
              </c:numCache>
            </c:numRef>
          </c:val>
          <c:smooth val="0"/>
          <c:extLst>
            <c:ext xmlns:c16="http://schemas.microsoft.com/office/drawing/2014/chart" uri="{C3380CC4-5D6E-409C-BE32-E72D297353CC}">
              <c16:uniqueId val="{00000001-1806-435B-BC35-2035F2A65B67}"/>
            </c:ext>
          </c:extLst>
        </c:ser>
        <c:dLbls>
          <c:showLegendKey val="0"/>
          <c:showVal val="0"/>
          <c:showCatName val="0"/>
          <c:showSerName val="0"/>
          <c:showPercent val="0"/>
          <c:showBubbleSize val="0"/>
        </c:dLbls>
        <c:marker val="1"/>
        <c:smooth val="0"/>
        <c:axId val="345822336"/>
        <c:axId val="345823872"/>
      </c:lineChart>
      <c:catAx>
        <c:axId val="345822336"/>
        <c:scaling>
          <c:orientation val="minMax"/>
        </c:scaling>
        <c:delete val="0"/>
        <c:axPos val="b"/>
        <c:numFmt formatCode="General" sourceLinked="0"/>
        <c:majorTickMark val="none"/>
        <c:minorTickMark val="none"/>
        <c:tickLblPos val="nextTo"/>
        <c:crossAx val="345823872"/>
        <c:crosses val="autoZero"/>
        <c:auto val="1"/>
        <c:lblAlgn val="ctr"/>
        <c:lblOffset val="100"/>
        <c:noMultiLvlLbl val="0"/>
      </c:catAx>
      <c:valAx>
        <c:axId val="345823872"/>
        <c:scaling>
          <c:orientation val="minMax"/>
        </c:scaling>
        <c:delete val="0"/>
        <c:axPos val="l"/>
        <c:majorGridlines/>
        <c:numFmt formatCode="0.0" sourceLinked="1"/>
        <c:majorTickMark val="none"/>
        <c:minorTickMark val="none"/>
        <c:tickLblPos val="nextTo"/>
        <c:crossAx val="345822336"/>
        <c:crosses val="autoZero"/>
        <c:crossBetween val="between"/>
      </c:valAx>
    </c:plotArea>
    <c:legend>
      <c:legendPos val="b"/>
      <c:overlay val="0"/>
    </c:legend>
    <c:plotVisOnly val="1"/>
    <c:dispBlanksAs val="zero"/>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Lezhë,</a:t>
            </a:r>
            <a:r>
              <a:rPr lang="sq-AL" sz="1200" b="1">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Niveli i Zhurmave 2025 LAeq/Ditën dB(A)</a:t>
            </a:r>
            <a:r>
              <a:rPr lang="en-US" sz="1200" b="1" baseline="0">
                <a:latin typeface="Times New Roman" panose="02020603050405020304" pitchFamily="18" charset="0"/>
                <a:cs typeface="Times New Roman" panose="02020603050405020304" pitchFamily="18" charset="0"/>
              </a:rPr>
              <a:t> </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15088016075141944"/>
          <c:y val="5.7471264367816091E-2"/>
        </c:manualLayout>
      </c:layout>
      <c:overlay val="0"/>
      <c:spPr>
        <a:noFill/>
        <a:ln>
          <a:noFill/>
        </a:ln>
        <a:effectLst/>
      </c:spPr>
    </c:title>
    <c:autoTitleDeleted val="0"/>
    <c:plotArea>
      <c:layout/>
      <c:barChart>
        <c:barDir val="col"/>
        <c:grouping val="clustered"/>
        <c:varyColors val="0"/>
        <c:ser>
          <c:idx val="0"/>
          <c:order val="0"/>
          <c:tx>
            <c:strRef>
              <c:f>'Zhurmat Lezhe 2025'!$A$6</c:f>
              <c:strCache>
                <c:ptCount val="1"/>
                <c:pt idx="0">
                  <c:v> LAeq/Diten dB(A) </c:v>
                </c:pt>
              </c:strCache>
            </c:strRef>
          </c:tx>
          <c:spPr>
            <a:solidFill>
              <a:srgbClr val="00B050"/>
            </a:solidFill>
            <a:ln>
              <a:noFill/>
            </a:ln>
            <a:effectLst/>
          </c:spPr>
          <c:invertIfNegative val="0"/>
          <c:cat>
            <c:strRef>
              <c:f>'Zhurmat Lezhe 2025'!$B$5:$C$5</c:f>
              <c:strCache>
                <c:ptCount val="2"/>
                <c:pt idx="0">
                  <c:v>Kryqezimi Lagjia Gurra</c:v>
                </c:pt>
                <c:pt idx="1">
                  <c:v>11 Janari</c:v>
                </c:pt>
              </c:strCache>
            </c:strRef>
          </c:cat>
          <c:val>
            <c:numRef>
              <c:f>'Zhurmat Lezhe 2025'!$B$6:$C$6</c:f>
              <c:numCache>
                <c:formatCode>General</c:formatCode>
                <c:ptCount val="2"/>
                <c:pt idx="0">
                  <c:v>57.83</c:v>
                </c:pt>
                <c:pt idx="1">
                  <c:v>54.64</c:v>
                </c:pt>
              </c:numCache>
            </c:numRef>
          </c:val>
          <c:extLst>
            <c:ext xmlns:c16="http://schemas.microsoft.com/office/drawing/2014/chart" uri="{C3380CC4-5D6E-409C-BE32-E72D297353CC}">
              <c16:uniqueId val="{00000000-70AB-46EF-81EB-F76D8B1DC071}"/>
            </c:ext>
          </c:extLst>
        </c:ser>
        <c:dLbls>
          <c:showLegendKey val="0"/>
          <c:showVal val="0"/>
          <c:showCatName val="0"/>
          <c:showSerName val="0"/>
          <c:showPercent val="0"/>
          <c:showBubbleSize val="0"/>
        </c:dLbls>
        <c:gapWidth val="219"/>
        <c:overlap val="-27"/>
        <c:axId val="247382400"/>
        <c:axId val="247383936"/>
      </c:barChart>
      <c:lineChart>
        <c:grouping val="standard"/>
        <c:varyColors val="0"/>
        <c:ser>
          <c:idx val="1"/>
          <c:order val="1"/>
          <c:tx>
            <c:strRef>
              <c:f>'Zhurmat Lezhe 2025'!$A$7</c:f>
              <c:strCache>
                <c:ptCount val="1"/>
                <c:pt idx="0">
                  <c:v>Norma e OBSH </c:v>
                </c:pt>
              </c:strCache>
            </c:strRef>
          </c:tx>
          <c:spPr>
            <a:ln w="28575" cap="rnd">
              <a:solidFill>
                <a:schemeClr val="accent2"/>
              </a:solidFill>
              <a:round/>
            </a:ln>
            <a:effectLst/>
          </c:spPr>
          <c:marker>
            <c:symbol val="none"/>
          </c:marker>
          <c:cat>
            <c:strRef>
              <c:f>'Zhurmat Lezhe 2025'!$B$5:$C$5</c:f>
              <c:strCache>
                <c:ptCount val="2"/>
                <c:pt idx="0">
                  <c:v>Kryqezimi Lagjia Gurra</c:v>
                </c:pt>
                <c:pt idx="1">
                  <c:v>11 Janari</c:v>
                </c:pt>
              </c:strCache>
            </c:strRef>
          </c:cat>
          <c:val>
            <c:numRef>
              <c:f>'Zhurmat Lezhe 2025'!$B$7:$C$7</c:f>
              <c:numCache>
                <c:formatCode>General</c:formatCode>
                <c:ptCount val="2"/>
                <c:pt idx="0">
                  <c:v>55</c:v>
                </c:pt>
                <c:pt idx="1">
                  <c:v>55</c:v>
                </c:pt>
              </c:numCache>
            </c:numRef>
          </c:val>
          <c:smooth val="0"/>
          <c:extLst>
            <c:ext xmlns:c16="http://schemas.microsoft.com/office/drawing/2014/chart" uri="{C3380CC4-5D6E-409C-BE32-E72D297353CC}">
              <c16:uniqueId val="{00000001-70AB-46EF-81EB-F76D8B1DC071}"/>
            </c:ext>
          </c:extLst>
        </c:ser>
        <c:dLbls>
          <c:showLegendKey val="0"/>
          <c:showVal val="0"/>
          <c:showCatName val="0"/>
          <c:showSerName val="0"/>
          <c:showPercent val="0"/>
          <c:showBubbleSize val="0"/>
        </c:dLbls>
        <c:marker val="1"/>
        <c:smooth val="0"/>
        <c:axId val="247382400"/>
        <c:axId val="247383936"/>
      </c:lineChart>
      <c:catAx>
        <c:axId val="24738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383936"/>
        <c:crosses val="autoZero"/>
        <c:auto val="1"/>
        <c:lblAlgn val="ctr"/>
        <c:lblOffset val="100"/>
        <c:noMultiLvlLbl val="0"/>
      </c:catAx>
      <c:valAx>
        <c:axId val="2473839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382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b="1" i="0" baseline="0">
                <a:latin typeface="Times New Roman" panose="02020603050405020304" pitchFamily="18" charset="0"/>
                <a:cs typeface="Times New Roman" panose="02020603050405020304" pitchFamily="18" charset="0"/>
              </a:rPr>
              <a:t>Përmbajtja e fosforit total</a:t>
            </a:r>
            <a:endParaRPr lang="en-US" sz="1200">
              <a:latin typeface="Times New Roman" panose="02020603050405020304" pitchFamily="18" charset="0"/>
              <a:cs typeface="Times New Roman" panose="02020603050405020304" pitchFamily="18" charset="0"/>
            </a:endParaRPr>
          </a:p>
        </c:rich>
      </c:tx>
      <c:layout>
        <c:manualLayout>
          <c:xMode val="edge"/>
          <c:yMode val="edge"/>
          <c:x val="0.31538188976377951"/>
          <c:y val="6.4180467122660317E-2"/>
        </c:manualLayout>
      </c:layout>
      <c:overlay val="0"/>
    </c:title>
    <c:autoTitleDeleted val="0"/>
    <c:plotArea>
      <c:layout/>
      <c:barChart>
        <c:barDir val="col"/>
        <c:grouping val="clustered"/>
        <c:varyColors val="0"/>
        <c:ser>
          <c:idx val="0"/>
          <c:order val="0"/>
          <c:tx>
            <c:strRef>
              <c:f>'p-total'!$C$4</c:f>
              <c:strCache>
                <c:ptCount val="1"/>
                <c:pt idx="0">
                  <c:v>mesatare vjetore 2025</c:v>
                </c:pt>
              </c:strCache>
            </c:strRef>
          </c:tx>
          <c:invertIfNegative val="0"/>
          <c:cat>
            <c:strRef>
              <c:f>'p-total'!$D$3:$G$3</c:f>
              <c:strCache>
                <c:ptCount val="4"/>
                <c:pt idx="0">
                  <c:v>Gorice</c:v>
                </c:pt>
                <c:pt idx="1">
                  <c:v>Liqenas</c:v>
                </c:pt>
                <c:pt idx="2">
                  <c:v>Gollomboç</c:v>
                </c:pt>
                <c:pt idx="3">
                  <c:v>Prespa vogel</c:v>
                </c:pt>
              </c:strCache>
            </c:strRef>
          </c:cat>
          <c:val>
            <c:numRef>
              <c:f>'p-total'!$D$4:$G$4</c:f>
              <c:numCache>
                <c:formatCode>0.000</c:formatCode>
                <c:ptCount val="4"/>
                <c:pt idx="0">
                  <c:v>2.1999999999999999E-2</c:v>
                </c:pt>
                <c:pt idx="1">
                  <c:v>5.4000000000000003E-3</c:v>
                </c:pt>
                <c:pt idx="2">
                  <c:v>4.7999999999999996E-3</c:v>
                </c:pt>
                <c:pt idx="3">
                  <c:v>1.7000000000000001E-2</c:v>
                </c:pt>
              </c:numCache>
            </c:numRef>
          </c:val>
          <c:extLst>
            <c:ext xmlns:c16="http://schemas.microsoft.com/office/drawing/2014/chart" uri="{C3380CC4-5D6E-409C-BE32-E72D297353CC}">
              <c16:uniqueId val="{00000000-669C-49C0-B385-3C9EEFD536CD}"/>
            </c:ext>
          </c:extLst>
        </c:ser>
        <c:ser>
          <c:idx val="1"/>
          <c:order val="1"/>
          <c:tx>
            <c:strRef>
              <c:f>'p-total'!$C$5</c:f>
              <c:strCache>
                <c:ptCount val="1"/>
                <c:pt idx="0">
                  <c:v>Oligotrofik</c:v>
                </c:pt>
              </c:strCache>
            </c:strRef>
          </c:tx>
          <c:invertIfNegative val="0"/>
          <c:cat>
            <c:strRef>
              <c:f>'p-total'!$D$3:$G$3</c:f>
              <c:strCache>
                <c:ptCount val="4"/>
                <c:pt idx="0">
                  <c:v>Gorice</c:v>
                </c:pt>
                <c:pt idx="1">
                  <c:v>Liqenas</c:v>
                </c:pt>
                <c:pt idx="2">
                  <c:v>Gollomboç</c:v>
                </c:pt>
                <c:pt idx="3">
                  <c:v>Prespa vogel</c:v>
                </c:pt>
              </c:strCache>
            </c:strRef>
          </c:cat>
          <c:val>
            <c:numRef>
              <c:f>'p-total'!$D$5:$G$5</c:f>
              <c:numCache>
                <c:formatCode>General</c:formatCode>
                <c:ptCount val="4"/>
                <c:pt idx="0">
                  <c:v>0.01</c:v>
                </c:pt>
                <c:pt idx="1">
                  <c:v>0.01</c:v>
                </c:pt>
                <c:pt idx="2">
                  <c:v>0.01</c:v>
                </c:pt>
                <c:pt idx="3">
                  <c:v>0.01</c:v>
                </c:pt>
              </c:numCache>
            </c:numRef>
          </c:val>
          <c:extLst>
            <c:ext xmlns:c16="http://schemas.microsoft.com/office/drawing/2014/chart" uri="{C3380CC4-5D6E-409C-BE32-E72D297353CC}">
              <c16:uniqueId val="{00000001-669C-49C0-B385-3C9EEFD536CD}"/>
            </c:ext>
          </c:extLst>
        </c:ser>
        <c:dLbls>
          <c:showLegendKey val="0"/>
          <c:showVal val="0"/>
          <c:showCatName val="0"/>
          <c:showSerName val="0"/>
          <c:showPercent val="0"/>
          <c:showBubbleSize val="0"/>
        </c:dLbls>
        <c:gapWidth val="150"/>
        <c:axId val="347305856"/>
        <c:axId val="347307392"/>
      </c:barChart>
      <c:lineChart>
        <c:grouping val="stacked"/>
        <c:varyColors val="0"/>
        <c:ser>
          <c:idx val="2"/>
          <c:order val="2"/>
          <c:tx>
            <c:strRef>
              <c:f>'p-total'!$C$6</c:f>
              <c:strCache>
                <c:ptCount val="1"/>
                <c:pt idx="0">
                  <c:v>Mezotrofik</c:v>
                </c:pt>
              </c:strCache>
            </c:strRef>
          </c:tx>
          <c:marker>
            <c:symbol val="none"/>
          </c:marker>
          <c:cat>
            <c:strRef>
              <c:f>'p-total'!$D$3:$G$3</c:f>
              <c:strCache>
                <c:ptCount val="4"/>
                <c:pt idx="0">
                  <c:v>Gorice</c:v>
                </c:pt>
                <c:pt idx="1">
                  <c:v>Liqenas</c:v>
                </c:pt>
                <c:pt idx="2">
                  <c:v>Gollomboç</c:v>
                </c:pt>
                <c:pt idx="3">
                  <c:v>Prespa vogel</c:v>
                </c:pt>
              </c:strCache>
            </c:strRef>
          </c:cat>
          <c:val>
            <c:numRef>
              <c:f>'p-total'!$D$6:$G$6</c:f>
              <c:numCache>
                <c:formatCode>General</c:formatCode>
                <c:ptCount val="4"/>
                <c:pt idx="0">
                  <c:v>3.5000000000000003E-2</c:v>
                </c:pt>
                <c:pt idx="1">
                  <c:v>3.5000000000000003E-2</c:v>
                </c:pt>
                <c:pt idx="2">
                  <c:v>3.5000000000000003E-2</c:v>
                </c:pt>
                <c:pt idx="3">
                  <c:v>3.5000000000000003E-2</c:v>
                </c:pt>
              </c:numCache>
            </c:numRef>
          </c:val>
          <c:smooth val="0"/>
          <c:extLst>
            <c:ext xmlns:c16="http://schemas.microsoft.com/office/drawing/2014/chart" uri="{C3380CC4-5D6E-409C-BE32-E72D297353CC}">
              <c16:uniqueId val="{00000002-669C-49C0-B385-3C9EEFD536CD}"/>
            </c:ext>
          </c:extLst>
        </c:ser>
        <c:dLbls>
          <c:showLegendKey val="0"/>
          <c:showVal val="0"/>
          <c:showCatName val="0"/>
          <c:showSerName val="0"/>
          <c:showPercent val="0"/>
          <c:showBubbleSize val="0"/>
        </c:dLbls>
        <c:marker val="1"/>
        <c:smooth val="0"/>
        <c:axId val="347305856"/>
        <c:axId val="347307392"/>
      </c:lineChart>
      <c:catAx>
        <c:axId val="347305856"/>
        <c:scaling>
          <c:orientation val="minMax"/>
        </c:scaling>
        <c:delete val="0"/>
        <c:axPos val="b"/>
        <c:numFmt formatCode="General" sourceLinked="0"/>
        <c:majorTickMark val="none"/>
        <c:minorTickMark val="none"/>
        <c:tickLblPos val="nextTo"/>
        <c:crossAx val="347307392"/>
        <c:crosses val="autoZero"/>
        <c:auto val="1"/>
        <c:lblAlgn val="ctr"/>
        <c:lblOffset val="100"/>
        <c:noMultiLvlLbl val="0"/>
      </c:catAx>
      <c:valAx>
        <c:axId val="347307392"/>
        <c:scaling>
          <c:orientation val="minMax"/>
        </c:scaling>
        <c:delete val="0"/>
        <c:axPos val="l"/>
        <c:majorGridlines/>
        <c:numFmt formatCode="0.000" sourceLinked="1"/>
        <c:majorTickMark val="none"/>
        <c:minorTickMark val="none"/>
        <c:tickLblPos val="nextTo"/>
        <c:crossAx val="347305856"/>
        <c:crosses val="autoZero"/>
        <c:crossBetween val="between"/>
      </c:valAx>
    </c:plotArea>
    <c:legend>
      <c:legendPos val="b"/>
      <c:overlay val="0"/>
    </c:legend>
    <c:plotVisOnly val="1"/>
    <c:dispBlanksAs val="zero"/>
    <c:showDLblsOverMax val="0"/>
  </c:chart>
  <c:externalData r:id="rId2">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Përmbajtja e NKO</a:t>
            </a:r>
          </a:p>
        </c:rich>
      </c:tx>
      <c:layout>
        <c:manualLayout>
          <c:xMode val="edge"/>
          <c:yMode val="edge"/>
          <c:x val="0.36413406332020998"/>
          <c:y val="3.4542314335060449E-2"/>
        </c:manualLayout>
      </c:layout>
      <c:overlay val="0"/>
      <c:spPr>
        <a:noFill/>
        <a:ln>
          <a:noFill/>
        </a:ln>
        <a:effectLst/>
      </c:spPr>
    </c:title>
    <c:autoTitleDeleted val="0"/>
    <c:plotArea>
      <c:layout/>
      <c:barChart>
        <c:barDir val="col"/>
        <c:grouping val="clustered"/>
        <c:varyColors val="0"/>
        <c:ser>
          <c:idx val="0"/>
          <c:order val="0"/>
          <c:tx>
            <c:strRef>
              <c:f>'zonat bregdetare'!$N$4</c:f>
              <c:strCache>
                <c:ptCount val="1"/>
                <c:pt idx="0">
                  <c:v>mesatare vjetore 2025</c:v>
                </c:pt>
              </c:strCache>
            </c:strRef>
          </c:tx>
          <c:spPr>
            <a:solidFill>
              <a:schemeClr val="accent1"/>
            </a:solidFill>
            <a:ln>
              <a:noFill/>
            </a:ln>
            <a:effectLst/>
          </c:spPr>
          <c:invertIfNegative val="0"/>
          <c:cat>
            <c:strRef>
              <c:f>'zonat bregdetare'!$O$3:$T$3</c:f>
              <c:strCache>
                <c:ptCount val="6"/>
                <c:pt idx="0">
                  <c:v>Dhermi</c:v>
                </c:pt>
                <c:pt idx="1">
                  <c:v>Himare</c:v>
                </c:pt>
                <c:pt idx="2">
                  <c:v>Borsh</c:v>
                </c:pt>
                <c:pt idx="3">
                  <c:v>Lukove</c:v>
                </c:pt>
                <c:pt idx="4">
                  <c:v>Ksamil</c:v>
                </c:pt>
                <c:pt idx="5">
                  <c:v>Zvernec</c:v>
                </c:pt>
              </c:strCache>
            </c:strRef>
          </c:cat>
          <c:val>
            <c:numRef>
              <c:f>'zonat bregdetare'!$O$4:$T$4</c:f>
              <c:numCache>
                <c:formatCode>General</c:formatCode>
                <c:ptCount val="6"/>
                <c:pt idx="0">
                  <c:v>4</c:v>
                </c:pt>
                <c:pt idx="1">
                  <c:v>3.3</c:v>
                </c:pt>
                <c:pt idx="2">
                  <c:v>3</c:v>
                </c:pt>
                <c:pt idx="3">
                  <c:v>3</c:v>
                </c:pt>
                <c:pt idx="4">
                  <c:v>3</c:v>
                </c:pt>
                <c:pt idx="5">
                  <c:v>4</c:v>
                </c:pt>
              </c:numCache>
            </c:numRef>
          </c:val>
          <c:extLst>
            <c:ext xmlns:c16="http://schemas.microsoft.com/office/drawing/2014/chart" uri="{C3380CC4-5D6E-409C-BE32-E72D297353CC}">
              <c16:uniqueId val="{00000000-29D4-46A7-86F6-9FB9740966C7}"/>
            </c:ext>
          </c:extLst>
        </c:ser>
        <c:dLbls>
          <c:showLegendKey val="0"/>
          <c:showVal val="0"/>
          <c:showCatName val="0"/>
          <c:showSerName val="0"/>
          <c:showPercent val="0"/>
          <c:showBubbleSize val="0"/>
        </c:dLbls>
        <c:gapWidth val="219"/>
        <c:overlap val="-27"/>
        <c:axId val="347584768"/>
        <c:axId val="347602944"/>
      </c:barChart>
      <c:catAx>
        <c:axId val="34758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7602944"/>
        <c:crosses val="autoZero"/>
        <c:auto val="1"/>
        <c:lblAlgn val="ctr"/>
        <c:lblOffset val="100"/>
        <c:noMultiLvlLbl val="0"/>
      </c:catAx>
      <c:valAx>
        <c:axId val="347602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7584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Përmbajtja e NBO5</a:t>
            </a:r>
          </a:p>
        </c:rich>
      </c:tx>
      <c:overlay val="0"/>
      <c:spPr>
        <a:noFill/>
        <a:ln>
          <a:noFill/>
        </a:ln>
        <a:effectLst/>
      </c:spPr>
    </c:title>
    <c:autoTitleDeleted val="0"/>
    <c:plotArea>
      <c:layout/>
      <c:barChart>
        <c:barDir val="col"/>
        <c:grouping val="clustered"/>
        <c:varyColors val="0"/>
        <c:ser>
          <c:idx val="0"/>
          <c:order val="0"/>
          <c:tx>
            <c:strRef>
              <c:f>'zonat bregdetare'!$B$5</c:f>
              <c:strCache>
                <c:ptCount val="1"/>
                <c:pt idx="0">
                  <c:v>mesatare vjetore 2025</c:v>
                </c:pt>
              </c:strCache>
            </c:strRef>
          </c:tx>
          <c:spPr>
            <a:solidFill>
              <a:schemeClr val="accent1"/>
            </a:solidFill>
            <a:ln>
              <a:noFill/>
            </a:ln>
            <a:effectLst/>
          </c:spPr>
          <c:invertIfNegative val="0"/>
          <c:cat>
            <c:strRef>
              <c:f>'zonat bregdetare'!$C$4:$H$4</c:f>
              <c:strCache>
                <c:ptCount val="6"/>
                <c:pt idx="0">
                  <c:v>Dhermi</c:v>
                </c:pt>
                <c:pt idx="1">
                  <c:v>Himare</c:v>
                </c:pt>
                <c:pt idx="2">
                  <c:v>Borsh</c:v>
                </c:pt>
                <c:pt idx="3">
                  <c:v>Lukove</c:v>
                </c:pt>
                <c:pt idx="4">
                  <c:v>Ksamil</c:v>
                </c:pt>
                <c:pt idx="5">
                  <c:v>Zvernec</c:v>
                </c:pt>
              </c:strCache>
            </c:strRef>
          </c:cat>
          <c:val>
            <c:numRef>
              <c:f>'zonat bregdetare'!$C$5:$H$5</c:f>
              <c:numCache>
                <c:formatCode>General</c:formatCode>
                <c:ptCount val="6"/>
                <c:pt idx="0">
                  <c:v>2</c:v>
                </c:pt>
                <c:pt idx="1">
                  <c:v>2.2999999999999998</c:v>
                </c:pt>
                <c:pt idx="2">
                  <c:v>2.2999999999999998</c:v>
                </c:pt>
                <c:pt idx="3">
                  <c:v>2</c:v>
                </c:pt>
                <c:pt idx="4">
                  <c:v>2</c:v>
                </c:pt>
                <c:pt idx="5">
                  <c:v>2.2999999999999998</c:v>
                </c:pt>
              </c:numCache>
            </c:numRef>
          </c:val>
          <c:extLst>
            <c:ext xmlns:c16="http://schemas.microsoft.com/office/drawing/2014/chart" uri="{C3380CC4-5D6E-409C-BE32-E72D297353CC}">
              <c16:uniqueId val="{00000000-247E-4D6A-82E1-B9FD2E80C19F}"/>
            </c:ext>
          </c:extLst>
        </c:ser>
        <c:dLbls>
          <c:showLegendKey val="0"/>
          <c:showVal val="0"/>
          <c:showCatName val="0"/>
          <c:showSerName val="0"/>
          <c:showPercent val="0"/>
          <c:showBubbleSize val="0"/>
        </c:dLbls>
        <c:gapWidth val="219"/>
        <c:overlap val="-27"/>
        <c:axId val="347656192"/>
        <c:axId val="347657728"/>
      </c:barChart>
      <c:catAx>
        <c:axId val="34765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7657728"/>
        <c:crosses val="autoZero"/>
        <c:auto val="1"/>
        <c:lblAlgn val="ctr"/>
        <c:lblOffset val="100"/>
        <c:noMultiLvlLbl val="0"/>
      </c:catAx>
      <c:valAx>
        <c:axId val="347657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7656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Përmbajtja e amonjakut</a:t>
            </a:r>
          </a:p>
        </c:rich>
      </c:tx>
      <c:overlay val="0"/>
      <c:spPr>
        <a:noFill/>
        <a:ln>
          <a:noFill/>
        </a:ln>
        <a:effectLst/>
      </c:spPr>
    </c:title>
    <c:autoTitleDeleted val="0"/>
    <c:plotArea>
      <c:layout/>
      <c:barChart>
        <c:barDir val="col"/>
        <c:grouping val="clustered"/>
        <c:varyColors val="0"/>
        <c:ser>
          <c:idx val="0"/>
          <c:order val="0"/>
          <c:tx>
            <c:strRef>
              <c:f>'zonat bregdetare'!$B$38</c:f>
              <c:strCache>
                <c:ptCount val="1"/>
                <c:pt idx="0">
                  <c:v>mesatare vjetore 2025</c:v>
                </c:pt>
              </c:strCache>
            </c:strRef>
          </c:tx>
          <c:spPr>
            <a:solidFill>
              <a:schemeClr val="accent1"/>
            </a:solidFill>
            <a:ln>
              <a:noFill/>
            </a:ln>
            <a:effectLst/>
          </c:spPr>
          <c:invertIfNegative val="0"/>
          <c:cat>
            <c:strRef>
              <c:f>'zonat bregdetare'!$C$37:$H$37</c:f>
              <c:strCache>
                <c:ptCount val="6"/>
                <c:pt idx="0">
                  <c:v>Dhermi</c:v>
                </c:pt>
                <c:pt idx="1">
                  <c:v>Himare</c:v>
                </c:pt>
                <c:pt idx="2">
                  <c:v>Borsh</c:v>
                </c:pt>
                <c:pt idx="3">
                  <c:v>Lukove</c:v>
                </c:pt>
                <c:pt idx="4">
                  <c:v>Ksamil</c:v>
                </c:pt>
                <c:pt idx="5">
                  <c:v>Zvernec</c:v>
                </c:pt>
              </c:strCache>
            </c:strRef>
          </c:cat>
          <c:val>
            <c:numRef>
              <c:f>'zonat bregdetare'!$C$38:$H$38</c:f>
              <c:numCache>
                <c:formatCode>0.00</c:formatCode>
                <c:ptCount val="6"/>
                <c:pt idx="0" formatCode="0.0">
                  <c:v>0.2</c:v>
                </c:pt>
                <c:pt idx="1">
                  <c:v>0.21</c:v>
                </c:pt>
                <c:pt idx="2">
                  <c:v>0.18</c:v>
                </c:pt>
                <c:pt idx="3">
                  <c:v>0.23</c:v>
                </c:pt>
                <c:pt idx="4">
                  <c:v>0.22</c:v>
                </c:pt>
                <c:pt idx="5">
                  <c:v>0.17</c:v>
                </c:pt>
              </c:numCache>
            </c:numRef>
          </c:val>
          <c:extLst>
            <c:ext xmlns:c16="http://schemas.microsoft.com/office/drawing/2014/chart" uri="{C3380CC4-5D6E-409C-BE32-E72D297353CC}">
              <c16:uniqueId val="{00000000-695B-4FD1-92F5-6BA82712BC33}"/>
            </c:ext>
          </c:extLst>
        </c:ser>
        <c:dLbls>
          <c:showLegendKey val="0"/>
          <c:showVal val="0"/>
          <c:showCatName val="0"/>
          <c:showSerName val="0"/>
          <c:showPercent val="0"/>
          <c:showBubbleSize val="0"/>
        </c:dLbls>
        <c:gapWidth val="219"/>
        <c:overlap val="-27"/>
        <c:axId val="349386240"/>
        <c:axId val="349387776"/>
      </c:barChart>
      <c:catAx>
        <c:axId val="34938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387776"/>
        <c:crosses val="autoZero"/>
        <c:auto val="1"/>
        <c:lblAlgn val="ctr"/>
        <c:lblOffset val="100"/>
        <c:noMultiLvlLbl val="0"/>
      </c:catAx>
      <c:valAx>
        <c:axId val="3493877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38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anose="02020603050405020304" pitchFamily="18" charset="0"/>
                <a:cs typeface="Times New Roman" panose="02020603050405020304" pitchFamily="18" charset="0"/>
              </a:rPr>
              <a:t>Nevoja Biokimike për Oksigjen</a:t>
            </a:r>
            <a:endParaRPr lang="en-US" sz="1200">
              <a:effectLst/>
              <a:latin typeface="Times New Roman" panose="02020603050405020304" pitchFamily="18" charset="0"/>
              <a:cs typeface="Times New Roman" panose="02020603050405020304" pitchFamily="18" charset="0"/>
            </a:endParaRPr>
          </a:p>
        </c:rich>
      </c:tx>
      <c:overlay val="0"/>
      <c:spPr>
        <a:noFill/>
        <a:ln w="25400">
          <a:noFill/>
        </a:ln>
      </c:spPr>
    </c:title>
    <c:autoTitleDeleted val="0"/>
    <c:plotArea>
      <c:layout/>
      <c:barChart>
        <c:barDir val="col"/>
        <c:grouping val="clustered"/>
        <c:varyColors val="0"/>
        <c:ser>
          <c:idx val="0"/>
          <c:order val="0"/>
          <c:tx>
            <c:strRef>
              <c:f>NBO5!$B$4</c:f>
              <c:strCache>
                <c:ptCount val="1"/>
                <c:pt idx="0">
                  <c:v>mesatare vjetore 2025</c:v>
                </c:pt>
              </c:strCache>
            </c:strRef>
          </c:tx>
          <c:spPr>
            <a:solidFill>
              <a:srgbClr val="4F81BD"/>
            </a:solidFill>
            <a:ln w="25400">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'NBO5'!$C$3:$P$3</c:f>
              <c:strCache>
                <c:ptCount val="14"/>
                <c:pt idx="0">
                  <c:v>Dr1(hidrovori</c:v>
                </c:pt>
                <c:pt idx="1">
                  <c:v>Dr2</c:v>
                </c:pt>
                <c:pt idx="2">
                  <c:v>Dr3</c:v>
                </c:pt>
                <c:pt idx="3">
                  <c:v>Dr4</c:v>
                </c:pt>
                <c:pt idx="4">
                  <c:v>V1(hidrovori</c:v>
                </c:pt>
                <c:pt idx="5">
                  <c:v>V2</c:v>
                </c:pt>
                <c:pt idx="6">
                  <c:v>V3</c:v>
                </c:pt>
                <c:pt idx="7">
                  <c:v>V4</c:v>
                </c:pt>
                <c:pt idx="8">
                  <c:v>S1</c:v>
                </c:pt>
                <c:pt idx="9">
                  <c:v>S2</c:v>
                </c:pt>
                <c:pt idx="10">
                  <c:v>Shgj1</c:v>
                </c:pt>
                <c:pt idx="11">
                  <c:v>Shgj2</c:v>
                </c:pt>
                <c:pt idx="12">
                  <c:v>Ve1</c:v>
                </c:pt>
                <c:pt idx="13">
                  <c:v>Ve2</c:v>
                </c:pt>
              </c:strCache>
            </c:strRef>
          </c:cat>
          <c:val>
            <c:numRef>
              <c:f>'NBO5'!$C$4:$P$4</c:f>
              <c:numCache>
                <c:formatCode>General</c:formatCode>
                <c:ptCount val="14"/>
                <c:pt idx="0">
                  <c:v>39</c:v>
                </c:pt>
                <c:pt idx="1">
                  <c:v>16</c:v>
                </c:pt>
                <c:pt idx="2">
                  <c:v>3</c:v>
                </c:pt>
                <c:pt idx="3">
                  <c:v>25</c:v>
                </c:pt>
                <c:pt idx="4">
                  <c:v>44</c:v>
                </c:pt>
                <c:pt idx="5">
                  <c:v>18</c:v>
                </c:pt>
                <c:pt idx="6">
                  <c:v>5</c:v>
                </c:pt>
                <c:pt idx="7">
                  <c:v>6</c:v>
                </c:pt>
                <c:pt idx="8">
                  <c:v>4</c:v>
                </c:pt>
                <c:pt idx="9">
                  <c:v>4</c:v>
                </c:pt>
                <c:pt idx="10">
                  <c:v>3</c:v>
                </c:pt>
                <c:pt idx="11">
                  <c:v>2</c:v>
                </c:pt>
                <c:pt idx="12">
                  <c:v>2</c:v>
                </c:pt>
                <c:pt idx="13">
                  <c:v>2</c:v>
                </c:pt>
              </c:numCache>
            </c:numRef>
          </c:val>
          <c:extLst>
            <c:ext xmlns:c16="http://schemas.microsoft.com/office/drawing/2014/chart" uri="{C3380CC4-5D6E-409C-BE32-E72D297353CC}">
              <c16:uniqueId val="{00000000-1500-4A3D-B198-70F39377224E}"/>
            </c:ext>
          </c:extLst>
        </c:ser>
        <c:dLbls>
          <c:showLegendKey val="0"/>
          <c:showVal val="0"/>
          <c:showCatName val="0"/>
          <c:showSerName val="0"/>
          <c:showPercent val="0"/>
          <c:showBubbleSize val="0"/>
        </c:dLbls>
        <c:gapWidth val="219"/>
        <c:overlap val="-27"/>
        <c:axId val="354840960"/>
        <c:axId val="354842496"/>
      </c:barChart>
      <c:lineChart>
        <c:grouping val="standard"/>
        <c:varyColors val="0"/>
        <c:ser>
          <c:idx val="1"/>
          <c:order val="1"/>
          <c:tx>
            <c:strRef>
              <c:f>NBO5!$B$5</c:f>
              <c:strCache>
                <c:ptCount val="1"/>
                <c:pt idx="0">
                  <c:v>Norma</c:v>
                </c:pt>
              </c:strCache>
            </c:strRef>
          </c:tx>
          <c:spPr>
            <a:ln w="28575" cap="rnd">
              <a:solidFill>
                <a:schemeClr val="accent2"/>
              </a:solidFill>
              <a:round/>
            </a:ln>
            <a:effectLst/>
          </c:spPr>
          <c:marker>
            <c:symbol val="none"/>
          </c:marker>
          <c:cat>
            <c:strRef>
              <c:f>'NBO5'!$C$3:$P$3</c:f>
              <c:strCache>
                <c:ptCount val="14"/>
                <c:pt idx="0">
                  <c:v>Dr1(hidrovori</c:v>
                </c:pt>
                <c:pt idx="1">
                  <c:v>Dr2</c:v>
                </c:pt>
                <c:pt idx="2">
                  <c:v>Dr3</c:v>
                </c:pt>
                <c:pt idx="3">
                  <c:v>Dr4</c:v>
                </c:pt>
                <c:pt idx="4">
                  <c:v>V1(hidrovori</c:v>
                </c:pt>
                <c:pt idx="5">
                  <c:v>V2</c:v>
                </c:pt>
                <c:pt idx="6">
                  <c:v>V3</c:v>
                </c:pt>
                <c:pt idx="7">
                  <c:v>V4</c:v>
                </c:pt>
                <c:pt idx="8">
                  <c:v>S1</c:v>
                </c:pt>
                <c:pt idx="9">
                  <c:v>S2</c:v>
                </c:pt>
                <c:pt idx="10">
                  <c:v>Shgj1</c:v>
                </c:pt>
                <c:pt idx="11">
                  <c:v>Shgj2</c:v>
                </c:pt>
                <c:pt idx="12">
                  <c:v>Ve1</c:v>
                </c:pt>
                <c:pt idx="13">
                  <c:v>Ve2</c:v>
                </c:pt>
              </c:strCache>
            </c:strRef>
          </c:cat>
          <c:val>
            <c:numRef>
              <c:f>'NBO5'!$C$5:$P$5</c:f>
              <c:numCache>
                <c:formatCode>General</c:formatCode>
                <c:ptCount val="14"/>
                <c:pt idx="0">
                  <c:v>25</c:v>
                </c:pt>
                <c:pt idx="1">
                  <c:v>25</c:v>
                </c:pt>
                <c:pt idx="2">
                  <c:v>25</c:v>
                </c:pt>
                <c:pt idx="3">
                  <c:v>25</c:v>
                </c:pt>
                <c:pt idx="4">
                  <c:v>25</c:v>
                </c:pt>
                <c:pt idx="5">
                  <c:v>25</c:v>
                </c:pt>
                <c:pt idx="6">
                  <c:v>25</c:v>
                </c:pt>
                <c:pt idx="7">
                  <c:v>25</c:v>
                </c:pt>
                <c:pt idx="8">
                  <c:v>25</c:v>
                </c:pt>
                <c:pt idx="9">
                  <c:v>25</c:v>
                </c:pt>
                <c:pt idx="10">
                  <c:v>25</c:v>
                </c:pt>
                <c:pt idx="11">
                  <c:v>25</c:v>
                </c:pt>
                <c:pt idx="12">
                  <c:v>25</c:v>
                </c:pt>
                <c:pt idx="13">
                  <c:v>25</c:v>
                </c:pt>
              </c:numCache>
            </c:numRef>
          </c:val>
          <c:smooth val="0"/>
          <c:extLst>
            <c:ext xmlns:c16="http://schemas.microsoft.com/office/drawing/2014/chart" uri="{C3380CC4-5D6E-409C-BE32-E72D297353CC}">
              <c16:uniqueId val="{00000001-1500-4A3D-B198-70F39377224E}"/>
            </c:ext>
          </c:extLst>
        </c:ser>
        <c:dLbls>
          <c:showLegendKey val="0"/>
          <c:showVal val="0"/>
          <c:showCatName val="0"/>
          <c:showSerName val="0"/>
          <c:showPercent val="0"/>
          <c:showBubbleSize val="0"/>
        </c:dLbls>
        <c:marker val="1"/>
        <c:smooth val="0"/>
        <c:axId val="354840960"/>
        <c:axId val="354842496"/>
      </c:lineChart>
      <c:catAx>
        <c:axId val="354840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842496"/>
        <c:crosses val="autoZero"/>
        <c:auto val="1"/>
        <c:lblAlgn val="ctr"/>
        <c:lblOffset val="100"/>
        <c:noMultiLvlLbl val="0"/>
      </c:catAx>
      <c:valAx>
        <c:axId val="354842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840960"/>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kern="1200" spc="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Nevoja Kimike për Oksigjen</a:t>
            </a:r>
            <a:endParaRPr lang="en-US" sz="1200" b="0" i="0" u="none" strike="noStrike" kern="1200" spc="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NKO!$B$5</c:f>
              <c:strCache>
                <c:ptCount val="1"/>
                <c:pt idx="0">
                  <c:v>mesatare vjetore 2025</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NKO!$C$4:$P$4</c:f>
              <c:strCache>
                <c:ptCount val="14"/>
                <c:pt idx="0">
                  <c:v>Dr1(hidrovori</c:v>
                </c:pt>
                <c:pt idx="1">
                  <c:v>Dr2</c:v>
                </c:pt>
                <c:pt idx="2">
                  <c:v>Dr3</c:v>
                </c:pt>
                <c:pt idx="3">
                  <c:v>Dr4</c:v>
                </c:pt>
                <c:pt idx="4">
                  <c:v>V1(hidrovori</c:v>
                </c:pt>
                <c:pt idx="5">
                  <c:v>V2</c:v>
                </c:pt>
                <c:pt idx="6">
                  <c:v>V3</c:v>
                </c:pt>
                <c:pt idx="7">
                  <c:v>V4</c:v>
                </c:pt>
                <c:pt idx="8">
                  <c:v>S1</c:v>
                </c:pt>
                <c:pt idx="9">
                  <c:v>S2</c:v>
                </c:pt>
                <c:pt idx="10">
                  <c:v>Shgj1</c:v>
                </c:pt>
                <c:pt idx="11">
                  <c:v>Shgj2</c:v>
                </c:pt>
                <c:pt idx="12">
                  <c:v>Ve1</c:v>
                </c:pt>
                <c:pt idx="13">
                  <c:v>Ve2</c:v>
                </c:pt>
              </c:strCache>
            </c:strRef>
          </c:cat>
          <c:val>
            <c:numRef>
              <c:f>NKO!$C$5:$P$5</c:f>
              <c:numCache>
                <c:formatCode>General</c:formatCode>
                <c:ptCount val="14"/>
                <c:pt idx="0">
                  <c:v>65</c:v>
                </c:pt>
                <c:pt idx="1">
                  <c:v>28</c:v>
                </c:pt>
                <c:pt idx="2">
                  <c:v>5</c:v>
                </c:pt>
                <c:pt idx="3">
                  <c:v>43</c:v>
                </c:pt>
                <c:pt idx="4">
                  <c:v>72</c:v>
                </c:pt>
                <c:pt idx="5">
                  <c:v>29</c:v>
                </c:pt>
                <c:pt idx="6">
                  <c:v>8</c:v>
                </c:pt>
                <c:pt idx="7">
                  <c:v>9</c:v>
                </c:pt>
                <c:pt idx="8">
                  <c:v>6</c:v>
                </c:pt>
                <c:pt idx="9">
                  <c:v>7</c:v>
                </c:pt>
                <c:pt idx="10">
                  <c:v>6</c:v>
                </c:pt>
                <c:pt idx="11">
                  <c:v>4</c:v>
                </c:pt>
                <c:pt idx="12">
                  <c:v>3</c:v>
                </c:pt>
                <c:pt idx="13">
                  <c:v>3</c:v>
                </c:pt>
              </c:numCache>
            </c:numRef>
          </c:val>
          <c:extLst>
            <c:ext xmlns:c16="http://schemas.microsoft.com/office/drawing/2014/chart" uri="{C3380CC4-5D6E-409C-BE32-E72D297353CC}">
              <c16:uniqueId val="{00000000-D52B-4AD5-9447-FFF8A7D1AC89}"/>
            </c:ext>
          </c:extLst>
        </c:ser>
        <c:dLbls>
          <c:showLegendKey val="0"/>
          <c:showVal val="1"/>
          <c:showCatName val="0"/>
          <c:showSerName val="0"/>
          <c:showPercent val="0"/>
          <c:showBubbleSize val="0"/>
        </c:dLbls>
        <c:gapWidth val="219"/>
        <c:overlap val="-27"/>
        <c:axId val="355025664"/>
        <c:axId val="355027200"/>
      </c:barChart>
      <c:lineChart>
        <c:grouping val="standard"/>
        <c:varyColors val="0"/>
        <c:ser>
          <c:idx val="1"/>
          <c:order val="1"/>
          <c:tx>
            <c:strRef>
              <c:f>NKO!$B$6</c:f>
              <c:strCache>
                <c:ptCount val="1"/>
                <c:pt idx="0">
                  <c:v>Norma</c:v>
                </c:pt>
              </c:strCache>
            </c:strRef>
          </c:tx>
          <c:spPr>
            <a:ln w="28575" cap="rnd">
              <a:solidFill>
                <a:schemeClr val="accent2"/>
              </a:solidFill>
              <a:round/>
            </a:ln>
            <a:effectLst/>
          </c:spPr>
          <c:marker>
            <c:symbol val="none"/>
          </c:marker>
          <c:dLbls>
            <c:delete val="1"/>
          </c:dLbls>
          <c:cat>
            <c:strRef>
              <c:f>NKO!$C$4:$P$4</c:f>
              <c:strCache>
                <c:ptCount val="14"/>
                <c:pt idx="0">
                  <c:v>Dr1(hidrovori</c:v>
                </c:pt>
                <c:pt idx="1">
                  <c:v>Dr2</c:v>
                </c:pt>
                <c:pt idx="2">
                  <c:v>Dr3</c:v>
                </c:pt>
                <c:pt idx="3">
                  <c:v>Dr4</c:v>
                </c:pt>
                <c:pt idx="4">
                  <c:v>V1(hidrovori</c:v>
                </c:pt>
                <c:pt idx="5">
                  <c:v>V2</c:v>
                </c:pt>
                <c:pt idx="6">
                  <c:v>V3</c:v>
                </c:pt>
                <c:pt idx="7">
                  <c:v>V4</c:v>
                </c:pt>
                <c:pt idx="8">
                  <c:v>S1</c:v>
                </c:pt>
                <c:pt idx="9">
                  <c:v>S2</c:v>
                </c:pt>
                <c:pt idx="10">
                  <c:v>Shgj1</c:v>
                </c:pt>
                <c:pt idx="11">
                  <c:v>Shgj2</c:v>
                </c:pt>
                <c:pt idx="12">
                  <c:v>Ve1</c:v>
                </c:pt>
                <c:pt idx="13">
                  <c:v>Ve2</c:v>
                </c:pt>
              </c:strCache>
            </c:strRef>
          </c:cat>
          <c:val>
            <c:numRef>
              <c:f>NKO!$C$6:$P$6</c:f>
              <c:numCache>
                <c:formatCode>General</c:formatCode>
                <c:ptCount val="14"/>
                <c:pt idx="0">
                  <c:v>125</c:v>
                </c:pt>
                <c:pt idx="1">
                  <c:v>125</c:v>
                </c:pt>
                <c:pt idx="2">
                  <c:v>125</c:v>
                </c:pt>
                <c:pt idx="3">
                  <c:v>125</c:v>
                </c:pt>
                <c:pt idx="4">
                  <c:v>125</c:v>
                </c:pt>
                <c:pt idx="5">
                  <c:v>125</c:v>
                </c:pt>
                <c:pt idx="6">
                  <c:v>125</c:v>
                </c:pt>
                <c:pt idx="7">
                  <c:v>125</c:v>
                </c:pt>
                <c:pt idx="8">
                  <c:v>125</c:v>
                </c:pt>
                <c:pt idx="9">
                  <c:v>125</c:v>
                </c:pt>
                <c:pt idx="10">
                  <c:v>125</c:v>
                </c:pt>
                <c:pt idx="11">
                  <c:v>125</c:v>
                </c:pt>
                <c:pt idx="12">
                  <c:v>125</c:v>
                </c:pt>
                <c:pt idx="13">
                  <c:v>125</c:v>
                </c:pt>
              </c:numCache>
            </c:numRef>
          </c:val>
          <c:smooth val="0"/>
          <c:extLst>
            <c:ext xmlns:c16="http://schemas.microsoft.com/office/drawing/2014/chart" uri="{C3380CC4-5D6E-409C-BE32-E72D297353CC}">
              <c16:uniqueId val="{00000001-D52B-4AD5-9447-FFF8A7D1AC89}"/>
            </c:ext>
          </c:extLst>
        </c:ser>
        <c:dLbls>
          <c:showLegendKey val="0"/>
          <c:showVal val="1"/>
          <c:showCatName val="0"/>
          <c:showSerName val="0"/>
          <c:showPercent val="0"/>
          <c:showBubbleSize val="0"/>
        </c:dLbls>
        <c:marker val="1"/>
        <c:smooth val="0"/>
        <c:axId val="355025664"/>
        <c:axId val="355027200"/>
      </c:lineChart>
      <c:catAx>
        <c:axId val="35502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5027200"/>
        <c:crosses val="autoZero"/>
        <c:auto val="1"/>
        <c:lblAlgn val="ctr"/>
        <c:lblOffset val="100"/>
        <c:noMultiLvlLbl val="0"/>
      </c:catAx>
      <c:valAx>
        <c:axId val="35502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5025664"/>
        <c:crosses val="autoZero"/>
        <c:crossBetween val="between"/>
      </c:valAx>
      <c:spPr>
        <a:noFill/>
        <a:ln w="25400">
          <a:noFill/>
        </a:ln>
      </c:spPr>
    </c:plotArea>
    <c:legend>
      <c:legendPos val="b"/>
      <c:layout>
        <c:manualLayout>
          <c:xMode val="edge"/>
          <c:yMode val="edge"/>
          <c:x val="0.23717169728783902"/>
          <c:y val="0.90335593467483233"/>
          <c:w val="0.52010104986876637"/>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anose="02020603050405020304" pitchFamily="18" charset="0"/>
                <a:cs typeface="Times New Roman" panose="02020603050405020304" pitchFamily="18" charset="0"/>
              </a:rPr>
              <a:t>Përmbajtja e lëndës pezull</a:t>
            </a:r>
            <a:endParaRPr lang="en-US" sz="1200">
              <a:effectLst/>
              <a:latin typeface="Times New Roman" panose="02020603050405020304" pitchFamily="18" charset="0"/>
              <a:cs typeface="Times New Roman" panose="02020603050405020304" pitchFamily="18" charset="0"/>
            </a:endParaRPr>
          </a:p>
        </c:rich>
      </c:tx>
      <c:overlay val="0"/>
      <c:spPr>
        <a:noFill/>
        <a:ln w="25400">
          <a:noFill/>
        </a:ln>
      </c:spPr>
    </c:title>
    <c:autoTitleDeleted val="0"/>
    <c:plotArea>
      <c:layout/>
      <c:barChart>
        <c:barDir val="col"/>
        <c:grouping val="clustered"/>
        <c:varyColors val="0"/>
        <c:ser>
          <c:idx val="0"/>
          <c:order val="0"/>
          <c:tx>
            <c:strRef>
              <c:f>L.P!$B$6</c:f>
              <c:strCache>
                <c:ptCount val="1"/>
                <c:pt idx="0">
                  <c:v>mesatare vjetore 2025</c:v>
                </c:pt>
              </c:strCache>
            </c:strRef>
          </c:tx>
          <c:spPr>
            <a:solidFill>
              <a:srgbClr val="4F81BD"/>
            </a:solidFill>
            <a:ln w="25400">
              <a:noFill/>
            </a:ln>
          </c:spPr>
          <c:invertIfNegative val="0"/>
          <c:cat>
            <c:strRef>
              <c:f>L.P!$C$5:$P$5</c:f>
              <c:strCache>
                <c:ptCount val="14"/>
                <c:pt idx="0">
                  <c:v>Dr1(hidrovori</c:v>
                </c:pt>
                <c:pt idx="1">
                  <c:v>Dr2</c:v>
                </c:pt>
                <c:pt idx="2">
                  <c:v>Dr3</c:v>
                </c:pt>
                <c:pt idx="3">
                  <c:v>Dr4</c:v>
                </c:pt>
                <c:pt idx="4">
                  <c:v>V1(hidrovori</c:v>
                </c:pt>
                <c:pt idx="5">
                  <c:v>V2</c:v>
                </c:pt>
                <c:pt idx="6">
                  <c:v>V3</c:v>
                </c:pt>
                <c:pt idx="7">
                  <c:v>V4</c:v>
                </c:pt>
                <c:pt idx="8">
                  <c:v>S1</c:v>
                </c:pt>
                <c:pt idx="9">
                  <c:v>S2</c:v>
                </c:pt>
                <c:pt idx="10">
                  <c:v>Shgj1</c:v>
                </c:pt>
                <c:pt idx="11">
                  <c:v>Shgj2</c:v>
                </c:pt>
                <c:pt idx="12">
                  <c:v>Ve1</c:v>
                </c:pt>
                <c:pt idx="13">
                  <c:v>Ve2</c:v>
                </c:pt>
              </c:strCache>
            </c:strRef>
          </c:cat>
          <c:val>
            <c:numRef>
              <c:f>L.P!$C$6:$P$6</c:f>
              <c:numCache>
                <c:formatCode>General</c:formatCode>
                <c:ptCount val="14"/>
                <c:pt idx="0">
                  <c:v>44.3</c:v>
                </c:pt>
                <c:pt idx="1">
                  <c:v>82.2</c:v>
                </c:pt>
                <c:pt idx="2">
                  <c:v>67.3</c:v>
                </c:pt>
                <c:pt idx="3">
                  <c:v>39.200000000000003</c:v>
                </c:pt>
                <c:pt idx="4">
                  <c:v>48.1</c:v>
                </c:pt>
                <c:pt idx="5">
                  <c:v>63.3</c:v>
                </c:pt>
                <c:pt idx="6">
                  <c:v>62.3</c:v>
                </c:pt>
                <c:pt idx="7">
                  <c:v>51.7</c:v>
                </c:pt>
                <c:pt idx="8">
                  <c:v>40.200000000000003</c:v>
                </c:pt>
                <c:pt idx="9">
                  <c:v>40</c:v>
                </c:pt>
                <c:pt idx="10">
                  <c:v>33.6</c:v>
                </c:pt>
                <c:pt idx="11">
                  <c:v>21.2</c:v>
                </c:pt>
                <c:pt idx="12">
                  <c:v>27.6</c:v>
                </c:pt>
                <c:pt idx="13">
                  <c:v>23</c:v>
                </c:pt>
              </c:numCache>
            </c:numRef>
          </c:val>
          <c:extLst>
            <c:ext xmlns:c16="http://schemas.microsoft.com/office/drawing/2014/chart" uri="{C3380CC4-5D6E-409C-BE32-E72D297353CC}">
              <c16:uniqueId val="{00000000-EDEE-484B-BF59-D9477D795998}"/>
            </c:ext>
          </c:extLst>
        </c:ser>
        <c:dLbls>
          <c:showLegendKey val="0"/>
          <c:showVal val="0"/>
          <c:showCatName val="0"/>
          <c:showSerName val="0"/>
          <c:showPercent val="0"/>
          <c:showBubbleSize val="0"/>
        </c:dLbls>
        <c:gapWidth val="219"/>
        <c:overlap val="-27"/>
        <c:axId val="357183872"/>
        <c:axId val="357185408"/>
      </c:barChart>
      <c:lineChart>
        <c:grouping val="standard"/>
        <c:varyColors val="0"/>
        <c:ser>
          <c:idx val="1"/>
          <c:order val="1"/>
          <c:tx>
            <c:strRef>
              <c:f>L.P!$B$7</c:f>
              <c:strCache>
                <c:ptCount val="1"/>
                <c:pt idx="0">
                  <c:v>Norma</c:v>
                </c:pt>
              </c:strCache>
            </c:strRef>
          </c:tx>
          <c:spPr>
            <a:ln w="28575" cap="rnd">
              <a:solidFill>
                <a:schemeClr val="accent2"/>
              </a:solidFill>
              <a:round/>
            </a:ln>
            <a:effectLst/>
          </c:spPr>
          <c:marker>
            <c:symbol val="none"/>
          </c:marker>
          <c:cat>
            <c:strRef>
              <c:f>L.P!$C$5:$P$5</c:f>
              <c:strCache>
                <c:ptCount val="14"/>
                <c:pt idx="0">
                  <c:v>Dr1(hidrovori</c:v>
                </c:pt>
                <c:pt idx="1">
                  <c:v>Dr2</c:v>
                </c:pt>
                <c:pt idx="2">
                  <c:v>Dr3</c:v>
                </c:pt>
                <c:pt idx="3">
                  <c:v>Dr4</c:v>
                </c:pt>
                <c:pt idx="4">
                  <c:v>V1(hidrovori</c:v>
                </c:pt>
                <c:pt idx="5">
                  <c:v>V2</c:v>
                </c:pt>
                <c:pt idx="6">
                  <c:v>V3</c:v>
                </c:pt>
                <c:pt idx="7">
                  <c:v>V4</c:v>
                </c:pt>
                <c:pt idx="8">
                  <c:v>S1</c:v>
                </c:pt>
                <c:pt idx="9">
                  <c:v>S2</c:v>
                </c:pt>
                <c:pt idx="10">
                  <c:v>Shgj1</c:v>
                </c:pt>
                <c:pt idx="11">
                  <c:v>Shgj2</c:v>
                </c:pt>
                <c:pt idx="12">
                  <c:v>Ve1</c:v>
                </c:pt>
                <c:pt idx="13">
                  <c:v>Ve2</c:v>
                </c:pt>
              </c:strCache>
            </c:strRef>
          </c:cat>
          <c:val>
            <c:numRef>
              <c:f>L.P!$D$7:$P$7</c:f>
              <c:numCache>
                <c:formatCode>General</c:formatCode>
                <c:ptCount val="13"/>
                <c:pt idx="0">
                  <c:v>35</c:v>
                </c:pt>
                <c:pt idx="1">
                  <c:v>35</c:v>
                </c:pt>
                <c:pt idx="2">
                  <c:v>35</c:v>
                </c:pt>
                <c:pt idx="3">
                  <c:v>35</c:v>
                </c:pt>
                <c:pt idx="4">
                  <c:v>35</c:v>
                </c:pt>
                <c:pt idx="5">
                  <c:v>35</c:v>
                </c:pt>
                <c:pt idx="6">
                  <c:v>35</c:v>
                </c:pt>
                <c:pt idx="7">
                  <c:v>35</c:v>
                </c:pt>
                <c:pt idx="8">
                  <c:v>35</c:v>
                </c:pt>
                <c:pt idx="9">
                  <c:v>35</c:v>
                </c:pt>
                <c:pt idx="10">
                  <c:v>35</c:v>
                </c:pt>
                <c:pt idx="11">
                  <c:v>35</c:v>
                </c:pt>
                <c:pt idx="12">
                  <c:v>35</c:v>
                </c:pt>
              </c:numCache>
            </c:numRef>
          </c:val>
          <c:smooth val="0"/>
          <c:extLst>
            <c:ext xmlns:c16="http://schemas.microsoft.com/office/drawing/2014/chart" uri="{C3380CC4-5D6E-409C-BE32-E72D297353CC}">
              <c16:uniqueId val="{00000001-EDEE-484B-BF59-D9477D795998}"/>
            </c:ext>
          </c:extLst>
        </c:ser>
        <c:dLbls>
          <c:showLegendKey val="0"/>
          <c:showVal val="0"/>
          <c:showCatName val="0"/>
          <c:showSerName val="0"/>
          <c:showPercent val="0"/>
          <c:showBubbleSize val="0"/>
        </c:dLbls>
        <c:marker val="1"/>
        <c:smooth val="0"/>
        <c:axId val="357183872"/>
        <c:axId val="357185408"/>
      </c:lineChart>
      <c:catAx>
        <c:axId val="35718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7185408"/>
        <c:crosses val="autoZero"/>
        <c:auto val="1"/>
        <c:lblAlgn val="ctr"/>
        <c:lblOffset val="100"/>
        <c:noMultiLvlLbl val="0"/>
      </c:catAx>
      <c:valAx>
        <c:axId val="357185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7183872"/>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Përmbajtja e fosforit total</a:t>
            </a:r>
          </a:p>
        </c:rich>
      </c:tx>
      <c:layout>
        <c:manualLayout>
          <c:xMode val="edge"/>
          <c:yMode val="edge"/>
          <c:x val="0.29282633420822402"/>
          <c:y val="5.423280423280423E-2"/>
        </c:manualLayout>
      </c:layout>
      <c:overlay val="0"/>
      <c:spPr>
        <a:noFill/>
        <a:ln>
          <a:noFill/>
        </a:ln>
        <a:effectLst/>
      </c:spPr>
    </c:title>
    <c:autoTitleDeleted val="0"/>
    <c:plotArea>
      <c:layout/>
      <c:barChart>
        <c:barDir val="col"/>
        <c:grouping val="clustered"/>
        <c:varyColors val="0"/>
        <c:ser>
          <c:idx val="0"/>
          <c:order val="0"/>
          <c:tx>
            <c:strRef>
              <c:f>'P-TOTAL'!$C$5</c:f>
              <c:strCache>
                <c:ptCount val="1"/>
                <c:pt idx="0">
                  <c:v>mesatare vjetore 2025</c:v>
                </c:pt>
              </c:strCache>
            </c:strRef>
          </c:tx>
          <c:spPr>
            <a:solidFill>
              <a:schemeClr val="accent1"/>
            </a:solidFill>
            <a:ln>
              <a:noFill/>
            </a:ln>
            <a:effectLst/>
          </c:spPr>
          <c:invertIfNegative val="0"/>
          <c:cat>
            <c:strRef>
              <c:f>'P-TOTAL'!$D$4:$Q$4</c:f>
              <c:strCache>
                <c:ptCount val="14"/>
                <c:pt idx="0">
                  <c:v>Dr1(hidrovori</c:v>
                </c:pt>
                <c:pt idx="1">
                  <c:v>Dr2</c:v>
                </c:pt>
                <c:pt idx="2">
                  <c:v>Dr3</c:v>
                </c:pt>
                <c:pt idx="3">
                  <c:v>Dr4</c:v>
                </c:pt>
                <c:pt idx="4">
                  <c:v>V1(hidrovori</c:v>
                </c:pt>
                <c:pt idx="5">
                  <c:v>V2</c:v>
                </c:pt>
                <c:pt idx="6">
                  <c:v>V3</c:v>
                </c:pt>
                <c:pt idx="7">
                  <c:v>V4</c:v>
                </c:pt>
                <c:pt idx="8">
                  <c:v>S1</c:v>
                </c:pt>
                <c:pt idx="9">
                  <c:v>S2</c:v>
                </c:pt>
                <c:pt idx="10">
                  <c:v>Shgj1</c:v>
                </c:pt>
                <c:pt idx="11">
                  <c:v>Shgj2</c:v>
                </c:pt>
                <c:pt idx="12">
                  <c:v>Ve1</c:v>
                </c:pt>
                <c:pt idx="13">
                  <c:v>Ve2</c:v>
                </c:pt>
              </c:strCache>
            </c:strRef>
          </c:cat>
          <c:val>
            <c:numRef>
              <c:f>'P-TOTAL'!$D$5:$Q$5</c:f>
              <c:numCache>
                <c:formatCode>0.000</c:formatCode>
                <c:ptCount val="14"/>
                <c:pt idx="0" formatCode="General">
                  <c:v>1.68</c:v>
                </c:pt>
                <c:pt idx="1">
                  <c:v>1.01</c:v>
                </c:pt>
                <c:pt idx="2">
                  <c:v>6.0000000000000001E-3</c:v>
                </c:pt>
                <c:pt idx="3">
                  <c:v>0.98</c:v>
                </c:pt>
                <c:pt idx="4">
                  <c:v>0.93</c:v>
                </c:pt>
                <c:pt idx="5">
                  <c:v>0.25</c:v>
                </c:pt>
                <c:pt idx="6">
                  <c:v>1.7999999999999999E-2</c:v>
                </c:pt>
                <c:pt idx="7">
                  <c:v>1.9E-2</c:v>
                </c:pt>
                <c:pt idx="8">
                  <c:v>5.4000000000000003E-3</c:v>
                </c:pt>
                <c:pt idx="9">
                  <c:v>6.6E-3</c:v>
                </c:pt>
                <c:pt idx="10">
                  <c:v>3.1E-2</c:v>
                </c:pt>
                <c:pt idx="11">
                  <c:v>6.3E-3</c:v>
                </c:pt>
                <c:pt idx="12">
                  <c:v>3.8E-3</c:v>
                </c:pt>
                <c:pt idx="13">
                  <c:v>3.8999999999999998E-3</c:v>
                </c:pt>
              </c:numCache>
            </c:numRef>
          </c:val>
          <c:extLst>
            <c:ext xmlns:c16="http://schemas.microsoft.com/office/drawing/2014/chart" uri="{C3380CC4-5D6E-409C-BE32-E72D297353CC}">
              <c16:uniqueId val="{00000000-462E-439A-9C13-E0C3C2D70D2E}"/>
            </c:ext>
          </c:extLst>
        </c:ser>
        <c:dLbls>
          <c:showLegendKey val="0"/>
          <c:showVal val="0"/>
          <c:showCatName val="0"/>
          <c:showSerName val="0"/>
          <c:showPercent val="0"/>
          <c:showBubbleSize val="0"/>
        </c:dLbls>
        <c:gapWidth val="219"/>
        <c:overlap val="-27"/>
        <c:axId val="357216640"/>
        <c:axId val="357218176"/>
      </c:barChart>
      <c:lineChart>
        <c:grouping val="standard"/>
        <c:varyColors val="0"/>
        <c:ser>
          <c:idx val="1"/>
          <c:order val="1"/>
          <c:tx>
            <c:strRef>
              <c:f>'P-TOTAL'!$C$6</c:f>
              <c:strCache>
                <c:ptCount val="1"/>
                <c:pt idx="0">
                  <c:v>Norma</c:v>
                </c:pt>
              </c:strCache>
            </c:strRef>
          </c:tx>
          <c:spPr>
            <a:ln w="28575" cap="rnd">
              <a:solidFill>
                <a:schemeClr val="accent2"/>
              </a:solidFill>
              <a:round/>
            </a:ln>
            <a:effectLst/>
          </c:spPr>
          <c:marker>
            <c:symbol val="none"/>
          </c:marker>
          <c:cat>
            <c:strRef>
              <c:f>'P-TOTAL'!$D$4:$Q$4</c:f>
              <c:strCache>
                <c:ptCount val="14"/>
                <c:pt idx="0">
                  <c:v>Dr1(hidrovori</c:v>
                </c:pt>
                <c:pt idx="1">
                  <c:v>Dr2</c:v>
                </c:pt>
                <c:pt idx="2">
                  <c:v>Dr3</c:v>
                </c:pt>
                <c:pt idx="3">
                  <c:v>Dr4</c:v>
                </c:pt>
                <c:pt idx="4">
                  <c:v>V1(hidrovori</c:v>
                </c:pt>
                <c:pt idx="5">
                  <c:v>V2</c:v>
                </c:pt>
                <c:pt idx="6">
                  <c:v>V3</c:v>
                </c:pt>
                <c:pt idx="7">
                  <c:v>V4</c:v>
                </c:pt>
                <c:pt idx="8">
                  <c:v>S1</c:v>
                </c:pt>
                <c:pt idx="9">
                  <c:v>S2</c:v>
                </c:pt>
                <c:pt idx="10">
                  <c:v>Shgj1</c:v>
                </c:pt>
                <c:pt idx="11">
                  <c:v>Shgj2</c:v>
                </c:pt>
                <c:pt idx="12">
                  <c:v>Ve1</c:v>
                </c:pt>
                <c:pt idx="13">
                  <c:v>Ve2</c:v>
                </c:pt>
              </c:strCache>
            </c:strRef>
          </c:cat>
          <c:val>
            <c:numRef>
              <c:f>'P-TOTAL'!$D$6:$Q$6</c:f>
              <c:numCache>
                <c:formatCode>General</c:formatCode>
                <c:ptCount val="14"/>
                <c:pt idx="0">
                  <c:v>1</c:v>
                </c:pt>
                <c:pt idx="1">
                  <c:v>1</c:v>
                </c:pt>
                <c:pt idx="2">
                  <c:v>1</c:v>
                </c:pt>
                <c:pt idx="3">
                  <c:v>1</c:v>
                </c:pt>
                <c:pt idx="4">
                  <c:v>1</c:v>
                </c:pt>
                <c:pt idx="5">
                  <c:v>1</c:v>
                </c:pt>
                <c:pt idx="6">
                  <c:v>1</c:v>
                </c:pt>
                <c:pt idx="7">
                  <c:v>1</c:v>
                </c:pt>
                <c:pt idx="8">
                  <c:v>1</c:v>
                </c:pt>
                <c:pt idx="9">
                  <c:v>1</c:v>
                </c:pt>
                <c:pt idx="10">
                  <c:v>1</c:v>
                </c:pt>
                <c:pt idx="11">
                  <c:v>1</c:v>
                </c:pt>
                <c:pt idx="12">
                  <c:v>1</c:v>
                </c:pt>
                <c:pt idx="13">
                  <c:v>1</c:v>
                </c:pt>
              </c:numCache>
            </c:numRef>
          </c:val>
          <c:smooth val="0"/>
          <c:extLst>
            <c:ext xmlns:c16="http://schemas.microsoft.com/office/drawing/2014/chart" uri="{C3380CC4-5D6E-409C-BE32-E72D297353CC}">
              <c16:uniqueId val="{00000001-462E-439A-9C13-E0C3C2D70D2E}"/>
            </c:ext>
          </c:extLst>
        </c:ser>
        <c:dLbls>
          <c:showLegendKey val="0"/>
          <c:showVal val="0"/>
          <c:showCatName val="0"/>
          <c:showSerName val="0"/>
          <c:showPercent val="0"/>
          <c:showBubbleSize val="0"/>
        </c:dLbls>
        <c:marker val="1"/>
        <c:smooth val="0"/>
        <c:axId val="357216640"/>
        <c:axId val="357218176"/>
      </c:lineChart>
      <c:catAx>
        <c:axId val="35721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7218176"/>
        <c:crosses val="autoZero"/>
        <c:auto val="1"/>
        <c:lblAlgn val="ctr"/>
        <c:lblOffset val="100"/>
        <c:noMultiLvlLbl val="0"/>
      </c:catAx>
      <c:valAx>
        <c:axId val="357218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7216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itchFamily="18" charset="0"/>
                <a:cs typeface="Times New Roman" pitchFamily="18" charset="0"/>
              </a:rPr>
              <a:t>Nevoja Kimike për Oksigjen</a:t>
            </a:r>
            <a:endParaRPr lang="en-US" sz="1200">
              <a:effectLst/>
              <a:latin typeface="Times New Roman" pitchFamily="18" charset="0"/>
              <a:cs typeface="Times New Roman" pitchFamily="18" charset="0"/>
            </a:endParaRPr>
          </a:p>
        </c:rich>
      </c:tx>
      <c:overlay val="0"/>
      <c:spPr>
        <a:noFill/>
        <a:ln>
          <a:noFill/>
        </a:ln>
        <a:effectLst/>
      </c:spPr>
    </c:title>
    <c:autoTitleDeleted val="0"/>
    <c:plotArea>
      <c:layout/>
      <c:barChart>
        <c:barDir val="col"/>
        <c:grouping val="clustered"/>
        <c:varyColors val="0"/>
        <c:ser>
          <c:idx val="0"/>
          <c:order val="0"/>
          <c:tx>
            <c:strRef>
              <c:f>NKO!$C$5</c:f>
              <c:strCache>
                <c:ptCount val="1"/>
                <c:pt idx="0">
                  <c:v>vlerat mesatare vjetore 2025</c:v>
                </c:pt>
              </c:strCache>
            </c:strRef>
          </c:tx>
          <c:spPr>
            <a:solidFill>
              <a:schemeClr val="accent1"/>
            </a:solidFill>
            <a:ln>
              <a:noFill/>
            </a:ln>
            <a:effectLst/>
          </c:spPr>
          <c:invertIfNegative val="0"/>
          <c:cat>
            <c:strRef>
              <c:f>NKO!$D$4:$E$4</c:f>
              <c:strCache>
                <c:ptCount val="2"/>
                <c:pt idx="0">
                  <c:v>LKV1</c:v>
                </c:pt>
                <c:pt idx="1">
                  <c:v>LKV2</c:v>
                </c:pt>
              </c:strCache>
            </c:strRef>
          </c:cat>
          <c:val>
            <c:numRef>
              <c:f>NKO!$D$5:$E$5</c:f>
              <c:numCache>
                <c:formatCode>General</c:formatCode>
                <c:ptCount val="2"/>
                <c:pt idx="0">
                  <c:v>11</c:v>
                </c:pt>
                <c:pt idx="1">
                  <c:v>10</c:v>
                </c:pt>
              </c:numCache>
            </c:numRef>
          </c:val>
          <c:extLst>
            <c:ext xmlns:c16="http://schemas.microsoft.com/office/drawing/2014/chart" uri="{C3380CC4-5D6E-409C-BE32-E72D297353CC}">
              <c16:uniqueId val="{00000000-2DCF-49C1-97CD-543EBBC05FBD}"/>
            </c:ext>
          </c:extLst>
        </c:ser>
        <c:dLbls>
          <c:showLegendKey val="0"/>
          <c:showVal val="0"/>
          <c:showCatName val="0"/>
          <c:showSerName val="0"/>
          <c:showPercent val="0"/>
          <c:showBubbleSize val="0"/>
        </c:dLbls>
        <c:gapWidth val="219"/>
        <c:overlap val="-27"/>
        <c:axId val="358269696"/>
        <c:axId val="358271232"/>
      </c:barChart>
      <c:lineChart>
        <c:grouping val="standard"/>
        <c:varyColors val="0"/>
        <c:ser>
          <c:idx val="1"/>
          <c:order val="1"/>
          <c:tx>
            <c:strRef>
              <c:f>NKO!$C$6</c:f>
              <c:strCache>
                <c:ptCount val="1"/>
                <c:pt idx="0">
                  <c:v>Mezotrofik</c:v>
                </c:pt>
              </c:strCache>
            </c:strRef>
          </c:tx>
          <c:spPr>
            <a:ln w="28575" cap="rnd">
              <a:solidFill>
                <a:schemeClr val="accent2"/>
              </a:solidFill>
              <a:round/>
            </a:ln>
            <a:effectLst/>
          </c:spPr>
          <c:marker>
            <c:symbol val="none"/>
          </c:marker>
          <c:cat>
            <c:strRef>
              <c:f>NKO!$D$4:$E$4</c:f>
              <c:strCache>
                <c:ptCount val="2"/>
                <c:pt idx="0">
                  <c:v>LKV1</c:v>
                </c:pt>
                <c:pt idx="1">
                  <c:v>LKV2</c:v>
                </c:pt>
              </c:strCache>
            </c:strRef>
          </c:cat>
          <c:val>
            <c:numRef>
              <c:f>NKO!$D$6:$E$6</c:f>
              <c:numCache>
                <c:formatCode>General</c:formatCode>
                <c:ptCount val="2"/>
                <c:pt idx="0">
                  <c:v>9</c:v>
                </c:pt>
                <c:pt idx="1">
                  <c:v>9</c:v>
                </c:pt>
              </c:numCache>
            </c:numRef>
          </c:val>
          <c:smooth val="0"/>
          <c:extLst>
            <c:ext xmlns:c16="http://schemas.microsoft.com/office/drawing/2014/chart" uri="{C3380CC4-5D6E-409C-BE32-E72D297353CC}">
              <c16:uniqueId val="{00000001-2DCF-49C1-97CD-543EBBC05FBD}"/>
            </c:ext>
          </c:extLst>
        </c:ser>
        <c:dLbls>
          <c:showLegendKey val="0"/>
          <c:showVal val="0"/>
          <c:showCatName val="0"/>
          <c:showSerName val="0"/>
          <c:showPercent val="0"/>
          <c:showBubbleSize val="0"/>
        </c:dLbls>
        <c:marker val="1"/>
        <c:smooth val="0"/>
        <c:axId val="358269696"/>
        <c:axId val="358271232"/>
      </c:lineChart>
      <c:catAx>
        <c:axId val="35826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271232"/>
        <c:crosses val="autoZero"/>
        <c:auto val="1"/>
        <c:lblAlgn val="ctr"/>
        <c:lblOffset val="100"/>
        <c:noMultiLvlLbl val="0"/>
      </c:catAx>
      <c:valAx>
        <c:axId val="358271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269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itchFamily="18" charset="0"/>
                <a:cs typeface="Times New Roman" pitchFamily="18" charset="0"/>
              </a:rPr>
              <a:t>Nevoja Biokimike për Oksigjen</a:t>
            </a:r>
            <a:endParaRPr lang="en-US" sz="1200">
              <a:effectLst/>
              <a:latin typeface="Times New Roman" pitchFamily="18" charset="0"/>
              <a:cs typeface="Times New Roman" pitchFamily="18" charset="0"/>
            </a:endParaRPr>
          </a:p>
        </c:rich>
      </c:tx>
      <c:overlay val="0"/>
      <c:spPr>
        <a:noFill/>
        <a:ln>
          <a:noFill/>
        </a:ln>
        <a:effectLst/>
      </c:spPr>
    </c:title>
    <c:autoTitleDeleted val="0"/>
    <c:plotArea>
      <c:layout/>
      <c:barChart>
        <c:barDir val="col"/>
        <c:grouping val="clustered"/>
        <c:varyColors val="0"/>
        <c:ser>
          <c:idx val="0"/>
          <c:order val="0"/>
          <c:tx>
            <c:strRef>
              <c:f>'Nbo5'!$I$5</c:f>
              <c:strCache>
                <c:ptCount val="1"/>
                <c:pt idx="0">
                  <c:v>vlerat mesatare vjetore 2025</c:v>
                </c:pt>
              </c:strCache>
            </c:strRef>
          </c:tx>
          <c:spPr>
            <a:solidFill>
              <a:schemeClr val="accent1"/>
            </a:solidFill>
            <a:ln>
              <a:noFill/>
            </a:ln>
            <a:effectLst/>
          </c:spPr>
          <c:invertIfNegative val="0"/>
          <c:cat>
            <c:strRef>
              <c:f>'Nbo5'!$J$4:$K$4</c:f>
              <c:strCache>
                <c:ptCount val="2"/>
                <c:pt idx="0">
                  <c:v>LKV1</c:v>
                </c:pt>
                <c:pt idx="1">
                  <c:v>LKV2</c:v>
                </c:pt>
              </c:strCache>
            </c:strRef>
          </c:cat>
          <c:val>
            <c:numRef>
              <c:f>'Nbo5'!$J$5:$K$5</c:f>
              <c:numCache>
                <c:formatCode>General</c:formatCode>
                <c:ptCount val="2"/>
                <c:pt idx="0">
                  <c:v>7</c:v>
                </c:pt>
                <c:pt idx="1">
                  <c:v>7</c:v>
                </c:pt>
              </c:numCache>
            </c:numRef>
          </c:val>
          <c:extLst>
            <c:ext xmlns:c16="http://schemas.microsoft.com/office/drawing/2014/chart" uri="{C3380CC4-5D6E-409C-BE32-E72D297353CC}">
              <c16:uniqueId val="{00000000-15FE-45CE-B53B-7265BC1064C8}"/>
            </c:ext>
          </c:extLst>
        </c:ser>
        <c:dLbls>
          <c:showLegendKey val="0"/>
          <c:showVal val="0"/>
          <c:showCatName val="0"/>
          <c:showSerName val="0"/>
          <c:showPercent val="0"/>
          <c:showBubbleSize val="0"/>
        </c:dLbls>
        <c:gapWidth val="219"/>
        <c:overlap val="-27"/>
        <c:axId val="358793984"/>
        <c:axId val="358795520"/>
      </c:barChart>
      <c:lineChart>
        <c:grouping val="standard"/>
        <c:varyColors val="0"/>
        <c:ser>
          <c:idx val="1"/>
          <c:order val="1"/>
          <c:tx>
            <c:strRef>
              <c:f>'Nbo5'!$I$6</c:f>
              <c:strCache>
                <c:ptCount val="1"/>
                <c:pt idx="0">
                  <c:v>Mezotrofik</c:v>
                </c:pt>
              </c:strCache>
            </c:strRef>
          </c:tx>
          <c:spPr>
            <a:ln w="28575" cap="rnd">
              <a:solidFill>
                <a:schemeClr val="accent2"/>
              </a:solidFill>
              <a:round/>
            </a:ln>
            <a:effectLst/>
          </c:spPr>
          <c:marker>
            <c:symbol val="none"/>
          </c:marker>
          <c:cat>
            <c:strRef>
              <c:f>'Nbo5'!$J$4:$K$4</c:f>
              <c:strCache>
                <c:ptCount val="2"/>
                <c:pt idx="0">
                  <c:v>LKV1</c:v>
                </c:pt>
                <c:pt idx="1">
                  <c:v>LKV2</c:v>
                </c:pt>
              </c:strCache>
            </c:strRef>
          </c:cat>
          <c:val>
            <c:numRef>
              <c:f>'Nbo5'!$J$6:$K$6</c:f>
              <c:numCache>
                <c:formatCode>General</c:formatCode>
                <c:ptCount val="2"/>
                <c:pt idx="0">
                  <c:v>5.5</c:v>
                </c:pt>
                <c:pt idx="1">
                  <c:v>5.5</c:v>
                </c:pt>
              </c:numCache>
            </c:numRef>
          </c:val>
          <c:smooth val="0"/>
          <c:extLst>
            <c:ext xmlns:c16="http://schemas.microsoft.com/office/drawing/2014/chart" uri="{C3380CC4-5D6E-409C-BE32-E72D297353CC}">
              <c16:uniqueId val="{00000001-15FE-45CE-B53B-7265BC1064C8}"/>
            </c:ext>
          </c:extLst>
        </c:ser>
        <c:dLbls>
          <c:showLegendKey val="0"/>
          <c:showVal val="0"/>
          <c:showCatName val="0"/>
          <c:showSerName val="0"/>
          <c:showPercent val="0"/>
          <c:showBubbleSize val="0"/>
        </c:dLbls>
        <c:marker val="1"/>
        <c:smooth val="0"/>
        <c:axId val="358793984"/>
        <c:axId val="358795520"/>
      </c:lineChart>
      <c:catAx>
        <c:axId val="35879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795520"/>
        <c:crosses val="autoZero"/>
        <c:auto val="1"/>
        <c:lblAlgn val="ctr"/>
        <c:lblOffset val="100"/>
        <c:noMultiLvlLbl val="0"/>
      </c:catAx>
      <c:valAx>
        <c:axId val="358795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793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TIRANË 2026</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9ED382-B74A-4FE6-98AA-677848157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349</Pages>
  <Words>91385</Words>
  <Characters>520900</Characters>
  <Application>Microsoft Office Word</Application>
  <DocSecurity>0</DocSecurity>
  <Lines>4340</Lines>
  <Paragraphs>1222</Paragraphs>
  <ScaleCrop>false</ScaleCrop>
  <HeadingPairs>
    <vt:vector size="2" baseType="variant">
      <vt:variant>
        <vt:lpstr>Title</vt:lpstr>
      </vt:variant>
      <vt:variant>
        <vt:i4>1</vt:i4>
      </vt:variant>
    </vt:vector>
  </HeadingPairs>
  <TitlesOfParts>
    <vt:vector size="1" baseType="lpstr">
      <vt:lpstr>RAPORTI I GJENDJES NË MJEDIS 2025</vt:lpstr>
    </vt:vector>
  </TitlesOfParts>
  <Company/>
  <LinksUpToDate>false</LinksUpToDate>
  <CharactersWithSpaces>611063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RAPORTI I GJENDJES NË MJEDIS 2025</dc:title>
  <dc:creator>AGJENCIA KOMBËTARE E MJEDISIT</dc:creator>
  <cp:lastModifiedBy>AKM</cp:lastModifiedBy>
  <cp:revision>26</cp:revision>
  <cp:lastPrinted>2026-01-20T10:16:00Z</cp:lastPrinted>
  <dcterms:created xsi:type="dcterms:W3CDTF">2026-06-30T20:54:00Z</dcterms:created>
  <dcterms:modified xsi:type="dcterms:W3CDTF">2026-08-13T13:57:00Z</dcterms:modified>
</cp:coreProperties>
</file>